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401A7D">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401A7D">
      <w:pPr>
        <w:jc w:val="center"/>
        <w:rPr>
          <w:b/>
          <w:bCs/>
          <w:sz w:val="28"/>
          <w:szCs w:val="28"/>
        </w:rPr>
      </w:pPr>
    </w:p>
    <w:p w14:paraId="636863E8" w14:textId="77777777" w:rsidR="00093030" w:rsidRPr="00DC3181" w:rsidRDefault="00093030" w:rsidP="00401A7D">
      <w:pPr>
        <w:jc w:val="center"/>
        <w:rPr>
          <w:b/>
          <w:bCs/>
          <w:sz w:val="28"/>
          <w:szCs w:val="28"/>
        </w:rPr>
      </w:pPr>
      <w:r w:rsidRPr="00DC3181">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DC3181" w:rsidRDefault="00093030" w:rsidP="00401A7D">
      <w:pPr>
        <w:jc w:val="center"/>
        <w:rPr>
          <w:b/>
          <w:bCs/>
          <w:sz w:val="28"/>
          <w:szCs w:val="28"/>
        </w:rPr>
      </w:pPr>
    </w:p>
    <w:p w14:paraId="08CA4D55" w14:textId="77777777" w:rsidR="00093030" w:rsidRPr="00DC3181" w:rsidRDefault="00093030" w:rsidP="00401A7D">
      <w:pPr>
        <w:jc w:val="center"/>
        <w:rPr>
          <w:b/>
          <w:bCs/>
          <w:sz w:val="28"/>
          <w:szCs w:val="28"/>
        </w:rPr>
      </w:pPr>
      <w:r w:rsidRPr="00DC3181">
        <w:rPr>
          <w:b/>
          <w:bCs/>
          <w:sz w:val="28"/>
          <w:szCs w:val="28"/>
        </w:rPr>
        <w:t>THE SUPREME COURT OF APPEAL OF SOUTH AFRICA</w:t>
      </w:r>
    </w:p>
    <w:p w14:paraId="5405703F" w14:textId="77777777" w:rsidR="00093030" w:rsidRPr="00DC3181" w:rsidRDefault="00093030" w:rsidP="00401A7D">
      <w:pPr>
        <w:pStyle w:val="Heading3"/>
        <w:jc w:val="center"/>
        <w:rPr>
          <w:rFonts w:ascii="Times New Roman" w:hAnsi="Times New Roman" w:cs="Times New Roman"/>
          <w:b/>
          <w:i w:val="0"/>
          <w:szCs w:val="28"/>
        </w:rPr>
      </w:pPr>
      <w:r w:rsidRPr="00DC3181">
        <w:rPr>
          <w:rFonts w:ascii="Times New Roman" w:hAnsi="Times New Roman" w:cs="Times New Roman"/>
          <w:b/>
          <w:i w:val="0"/>
          <w:szCs w:val="28"/>
        </w:rPr>
        <w:t>JUDGMENT</w:t>
      </w:r>
    </w:p>
    <w:p w14:paraId="6FB00DD4" w14:textId="77777777" w:rsidR="00093030" w:rsidRPr="00DC3181" w:rsidRDefault="00093030" w:rsidP="00401A7D">
      <w:pPr>
        <w:jc w:val="center"/>
        <w:rPr>
          <w:b/>
          <w:bCs/>
          <w:sz w:val="28"/>
          <w:szCs w:val="28"/>
        </w:rPr>
      </w:pPr>
      <w:r w:rsidRPr="00DC3181">
        <w:rPr>
          <w:sz w:val="28"/>
          <w:szCs w:val="28"/>
        </w:rPr>
        <w:tab/>
      </w:r>
    </w:p>
    <w:p w14:paraId="500F8243" w14:textId="196E2456" w:rsidR="00093030" w:rsidRPr="00DC3181" w:rsidRDefault="005B02EE" w:rsidP="00401A7D">
      <w:pPr>
        <w:jc w:val="right"/>
        <w:rPr>
          <w:b/>
          <w:sz w:val="28"/>
          <w:szCs w:val="28"/>
        </w:rPr>
      </w:pPr>
      <w:r w:rsidRPr="00DC3181">
        <w:rPr>
          <w:b/>
          <w:sz w:val="28"/>
          <w:szCs w:val="28"/>
        </w:rPr>
        <w:t>Reportable</w:t>
      </w:r>
    </w:p>
    <w:p w14:paraId="7E05351A" w14:textId="3F817218" w:rsidR="00093030" w:rsidRPr="00DC3181" w:rsidRDefault="00093030" w:rsidP="00401A7D">
      <w:pPr>
        <w:jc w:val="right"/>
        <w:rPr>
          <w:sz w:val="28"/>
          <w:szCs w:val="28"/>
        </w:rPr>
      </w:pPr>
      <w:r w:rsidRPr="00DC3181">
        <w:rPr>
          <w:sz w:val="28"/>
          <w:szCs w:val="28"/>
        </w:rPr>
        <w:t xml:space="preserve">Case no: </w:t>
      </w:r>
      <w:r w:rsidR="00621BE0">
        <w:rPr>
          <w:sz w:val="28"/>
          <w:szCs w:val="28"/>
        </w:rPr>
        <w:t>855</w:t>
      </w:r>
      <w:r w:rsidRPr="00DC3181">
        <w:rPr>
          <w:sz w:val="28"/>
          <w:szCs w:val="28"/>
        </w:rPr>
        <w:t>/</w:t>
      </w:r>
      <w:r w:rsidR="00765E56" w:rsidRPr="00DC3181">
        <w:rPr>
          <w:sz w:val="28"/>
          <w:szCs w:val="28"/>
        </w:rPr>
        <w:t>20</w:t>
      </w:r>
      <w:r w:rsidR="00320F36" w:rsidRPr="00DC3181">
        <w:rPr>
          <w:sz w:val="28"/>
          <w:szCs w:val="28"/>
        </w:rPr>
        <w:t>2</w:t>
      </w:r>
      <w:r w:rsidR="005B02EE" w:rsidRPr="00DC3181">
        <w:rPr>
          <w:sz w:val="28"/>
          <w:szCs w:val="28"/>
        </w:rPr>
        <w:t>1</w:t>
      </w:r>
    </w:p>
    <w:p w14:paraId="28D334D0" w14:textId="77777777" w:rsidR="00093030" w:rsidRPr="00DC3181" w:rsidRDefault="00093030" w:rsidP="00401A7D">
      <w:pPr>
        <w:spacing w:line="276" w:lineRule="auto"/>
        <w:rPr>
          <w:sz w:val="28"/>
          <w:szCs w:val="28"/>
        </w:rPr>
      </w:pPr>
    </w:p>
    <w:p w14:paraId="4B56FBEE" w14:textId="0BA077A8" w:rsidR="00D127D4" w:rsidRPr="00DC3181" w:rsidRDefault="00093030" w:rsidP="004D56D2">
      <w:pPr>
        <w:rPr>
          <w:sz w:val="28"/>
          <w:szCs w:val="28"/>
        </w:rPr>
      </w:pPr>
      <w:r w:rsidRPr="00DC3181">
        <w:rPr>
          <w:sz w:val="28"/>
          <w:szCs w:val="28"/>
        </w:rPr>
        <w:t>In the matter between:</w:t>
      </w:r>
    </w:p>
    <w:p w14:paraId="63733934" w14:textId="64226533" w:rsidR="0056026A" w:rsidRPr="00DC3181" w:rsidRDefault="004C1EC7" w:rsidP="004D56D2">
      <w:pPr>
        <w:tabs>
          <w:tab w:val="left" w:pos="6663"/>
        </w:tabs>
        <w:spacing w:line="240" w:lineRule="auto"/>
        <w:ind w:right="4"/>
        <w:rPr>
          <w:b/>
          <w:sz w:val="28"/>
          <w:szCs w:val="28"/>
        </w:rPr>
      </w:pPr>
      <w:r w:rsidRPr="00DC3181">
        <w:rPr>
          <w:b/>
          <w:bCs/>
          <w:sz w:val="28"/>
          <w:szCs w:val="28"/>
        </w:rPr>
        <w:t>MOBILE TELEPHONE NETWORKS</w:t>
      </w:r>
      <w:r w:rsidR="00C72866" w:rsidRPr="00DC3181">
        <w:rPr>
          <w:b/>
          <w:bCs/>
          <w:sz w:val="28"/>
          <w:szCs w:val="28"/>
        </w:rPr>
        <w:t xml:space="preserve"> (PTY) LTD</w:t>
      </w:r>
      <w:r w:rsidR="0080132F" w:rsidRPr="00DC3181">
        <w:rPr>
          <w:b/>
          <w:bCs/>
          <w:sz w:val="28"/>
          <w:szCs w:val="28"/>
        </w:rPr>
        <w:t xml:space="preserve"> </w:t>
      </w:r>
      <w:r w:rsidR="00AE1027" w:rsidRPr="00DC3181">
        <w:rPr>
          <w:b/>
          <w:bCs/>
          <w:sz w:val="28"/>
          <w:szCs w:val="28"/>
        </w:rPr>
        <w:tab/>
      </w:r>
      <w:r w:rsidR="00D22B87" w:rsidRPr="00DC3181">
        <w:rPr>
          <w:b/>
          <w:bCs/>
          <w:sz w:val="28"/>
          <w:szCs w:val="28"/>
        </w:rPr>
        <w:t xml:space="preserve">  </w:t>
      </w:r>
      <w:r w:rsidR="00DE2E23" w:rsidRPr="00DC3181">
        <w:rPr>
          <w:b/>
          <w:bCs/>
          <w:sz w:val="28"/>
          <w:szCs w:val="28"/>
        </w:rPr>
        <w:t xml:space="preserve">            </w:t>
      </w:r>
      <w:r w:rsidR="00EA06A8" w:rsidRPr="00DC3181">
        <w:rPr>
          <w:b/>
          <w:bCs/>
          <w:sz w:val="28"/>
          <w:szCs w:val="28"/>
        </w:rPr>
        <w:t>A</w:t>
      </w:r>
      <w:r w:rsidR="00093030" w:rsidRPr="00DC3181">
        <w:rPr>
          <w:b/>
          <w:sz w:val="28"/>
          <w:szCs w:val="28"/>
        </w:rPr>
        <w:t>PPELLANT</w:t>
      </w:r>
    </w:p>
    <w:p w14:paraId="3CA4A80C" w14:textId="77777777" w:rsidR="00B046D2" w:rsidRPr="00DC3181" w:rsidRDefault="00B046D2" w:rsidP="004D56D2">
      <w:pPr>
        <w:spacing w:line="240" w:lineRule="auto"/>
        <w:ind w:right="-180"/>
        <w:rPr>
          <w:b/>
          <w:sz w:val="28"/>
          <w:szCs w:val="28"/>
        </w:rPr>
      </w:pPr>
    </w:p>
    <w:p w14:paraId="555ED9CF" w14:textId="4383820F" w:rsidR="001967C8" w:rsidRPr="00DC3181" w:rsidRDefault="00D127D4" w:rsidP="004D56D2">
      <w:pPr>
        <w:spacing w:line="240" w:lineRule="auto"/>
        <w:rPr>
          <w:sz w:val="28"/>
          <w:szCs w:val="28"/>
        </w:rPr>
      </w:pPr>
      <w:r w:rsidRPr="00DC3181">
        <w:rPr>
          <w:sz w:val="28"/>
          <w:szCs w:val="28"/>
        </w:rPr>
        <w:t>a</w:t>
      </w:r>
      <w:r w:rsidR="00093030" w:rsidRPr="00DC3181">
        <w:rPr>
          <w:sz w:val="28"/>
          <w:szCs w:val="28"/>
        </w:rPr>
        <w:t>nd</w:t>
      </w:r>
    </w:p>
    <w:p w14:paraId="52808CF5" w14:textId="77777777" w:rsidR="00B046D2" w:rsidRPr="00DC3181" w:rsidRDefault="00B046D2" w:rsidP="004D56D2">
      <w:pPr>
        <w:spacing w:line="240" w:lineRule="auto"/>
        <w:rPr>
          <w:b/>
          <w:bCs/>
          <w:sz w:val="28"/>
          <w:szCs w:val="28"/>
        </w:rPr>
      </w:pPr>
    </w:p>
    <w:p w14:paraId="6DD513EF" w14:textId="77777777" w:rsidR="00D5627E" w:rsidRPr="00DC3181" w:rsidRDefault="00096B0E" w:rsidP="004D56D2">
      <w:pPr>
        <w:ind w:right="-180"/>
        <w:rPr>
          <w:b/>
          <w:sz w:val="28"/>
          <w:szCs w:val="28"/>
        </w:rPr>
      </w:pPr>
      <w:r w:rsidRPr="00DC3181">
        <w:rPr>
          <w:b/>
          <w:sz w:val="28"/>
          <w:szCs w:val="28"/>
        </w:rPr>
        <w:t>THE COMMISSIONER FOR THE SOUTH AFRICAN</w:t>
      </w:r>
      <w:r w:rsidR="00167484" w:rsidRPr="00DC3181">
        <w:rPr>
          <w:b/>
          <w:sz w:val="28"/>
          <w:szCs w:val="28"/>
        </w:rPr>
        <w:tab/>
      </w:r>
    </w:p>
    <w:p w14:paraId="1B0943D9" w14:textId="20D98A7C" w:rsidR="00871146" w:rsidRPr="00DC3181" w:rsidRDefault="00D5627E" w:rsidP="004D56D2">
      <w:pPr>
        <w:spacing w:line="240" w:lineRule="auto"/>
        <w:ind w:right="4"/>
        <w:rPr>
          <w:b/>
          <w:bCs/>
          <w:sz w:val="28"/>
          <w:szCs w:val="28"/>
        </w:rPr>
      </w:pPr>
      <w:r w:rsidRPr="00DC3181">
        <w:rPr>
          <w:b/>
          <w:sz w:val="28"/>
          <w:szCs w:val="28"/>
        </w:rPr>
        <w:t>REVENUE SERVICE</w:t>
      </w:r>
      <w:r w:rsidRPr="00DC3181">
        <w:rPr>
          <w:b/>
          <w:sz w:val="28"/>
          <w:szCs w:val="28"/>
        </w:rPr>
        <w:tab/>
      </w:r>
      <w:r w:rsidRPr="00DC3181">
        <w:rPr>
          <w:b/>
          <w:sz w:val="28"/>
          <w:szCs w:val="28"/>
        </w:rPr>
        <w:tab/>
      </w:r>
      <w:r w:rsidRPr="00DC3181">
        <w:rPr>
          <w:b/>
          <w:sz w:val="28"/>
          <w:szCs w:val="28"/>
        </w:rPr>
        <w:tab/>
      </w:r>
      <w:r w:rsidRPr="00DC3181">
        <w:rPr>
          <w:b/>
          <w:sz w:val="28"/>
          <w:szCs w:val="28"/>
        </w:rPr>
        <w:tab/>
      </w:r>
      <w:r w:rsidRPr="00DC3181">
        <w:rPr>
          <w:b/>
          <w:sz w:val="28"/>
          <w:szCs w:val="28"/>
        </w:rPr>
        <w:tab/>
      </w:r>
      <w:r w:rsidRPr="00DC3181">
        <w:rPr>
          <w:b/>
          <w:sz w:val="28"/>
          <w:szCs w:val="28"/>
        </w:rPr>
        <w:tab/>
      </w:r>
      <w:r w:rsidRPr="00DC3181">
        <w:rPr>
          <w:b/>
          <w:sz w:val="28"/>
          <w:szCs w:val="28"/>
        </w:rPr>
        <w:tab/>
      </w:r>
      <w:r w:rsidR="004D56D2">
        <w:rPr>
          <w:b/>
          <w:sz w:val="28"/>
          <w:szCs w:val="28"/>
        </w:rPr>
        <w:t xml:space="preserve"> </w:t>
      </w:r>
      <w:r w:rsidRPr="00DC3181">
        <w:rPr>
          <w:b/>
          <w:sz w:val="28"/>
          <w:szCs w:val="28"/>
        </w:rPr>
        <w:t xml:space="preserve">  </w:t>
      </w:r>
      <w:r w:rsidR="00A81749" w:rsidRPr="00DC3181">
        <w:rPr>
          <w:b/>
          <w:sz w:val="28"/>
          <w:szCs w:val="28"/>
        </w:rPr>
        <w:t>RESPONDENT</w:t>
      </w:r>
    </w:p>
    <w:p w14:paraId="1C9B3508" w14:textId="77777777" w:rsidR="00DE2E23" w:rsidRPr="00DC3181" w:rsidRDefault="00DE2E23" w:rsidP="00401A7D">
      <w:pPr>
        <w:tabs>
          <w:tab w:val="left" w:pos="5954"/>
        </w:tabs>
        <w:spacing w:line="240" w:lineRule="auto"/>
        <w:contextualSpacing/>
        <w:rPr>
          <w:b/>
          <w:sz w:val="28"/>
          <w:szCs w:val="28"/>
        </w:rPr>
      </w:pPr>
    </w:p>
    <w:p w14:paraId="11159975" w14:textId="0E35DB22" w:rsidR="00093030" w:rsidRPr="00DC3181" w:rsidRDefault="00093030" w:rsidP="00434A10">
      <w:pPr>
        <w:ind w:left="2160" w:hanging="2160"/>
        <w:rPr>
          <w:bCs/>
          <w:sz w:val="28"/>
          <w:szCs w:val="28"/>
        </w:rPr>
      </w:pPr>
      <w:r w:rsidRPr="00DC3181">
        <w:rPr>
          <w:b/>
          <w:bCs/>
          <w:sz w:val="28"/>
          <w:szCs w:val="28"/>
        </w:rPr>
        <w:t>Neutral citation:</w:t>
      </w:r>
      <w:r w:rsidRPr="00DC3181">
        <w:rPr>
          <w:b/>
          <w:bCs/>
          <w:sz w:val="28"/>
          <w:szCs w:val="28"/>
        </w:rPr>
        <w:tab/>
      </w:r>
      <w:r w:rsidR="00406AEF" w:rsidRPr="00DC3181">
        <w:rPr>
          <w:i/>
          <w:iCs/>
          <w:sz w:val="28"/>
          <w:szCs w:val="28"/>
        </w:rPr>
        <w:t>Mobile Telephone Networks</w:t>
      </w:r>
      <w:r w:rsidR="00167484" w:rsidRPr="00DC3181">
        <w:rPr>
          <w:i/>
          <w:iCs/>
          <w:sz w:val="28"/>
          <w:szCs w:val="28"/>
        </w:rPr>
        <w:t xml:space="preserve"> (Pty) Ltd</w:t>
      </w:r>
      <w:r w:rsidR="00870DC4" w:rsidRPr="00DC3181">
        <w:rPr>
          <w:bCs/>
          <w:i/>
          <w:sz w:val="28"/>
          <w:szCs w:val="28"/>
        </w:rPr>
        <w:t xml:space="preserve"> </w:t>
      </w:r>
      <w:r w:rsidRPr="00DC3181">
        <w:rPr>
          <w:bCs/>
          <w:i/>
          <w:sz w:val="28"/>
          <w:szCs w:val="28"/>
        </w:rPr>
        <w:t xml:space="preserve">v </w:t>
      </w:r>
      <w:r w:rsidR="00406AEF" w:rsidRPr="00DC3181">
        <w:rPr>
          <w:bCs/>
          <w:i/>
          <w:sz w:val="28"/>
          <w:szCs w:val="28"/>
        </w:rPr>
        <w:t>Commissioner for the South African Revenue Service</w:t>
      </w:r>
      <w:r w:rsidRPr="00DC3181">
        <w:rPr>
          <w:bCs/>
          <w:i/>
          <w:sz w:val="28"/>
          <w:szCs w:val="28"/>
        </w:rPr>
        <w:t xml:space="preserve"> </w:t>
      </w:r>
      <w:r w:rsidRPr="00DC3181">
        <w:rPr>
          <w:bCs/>
          <w:sz w:val="28"/>
          <w:szCs w:val="28"/>
        </w:rPr>
        <w:t>(</w:t>
      </w:r>
      <w:r w:rsidR="004E661C" w:rsidRPr="00DC3181">
        <w:rPr>
          <w:bCs/>
          <w:sz w:val="28"/>
          <w:szCs w:val="28"/>
        </w:rPr>
        <w:t>805</w:t>
      </w:r>
      <w:r w:rsidRPr="00DC3181">
        <w:rPr>
          <w:bCs/>
          <w:sz w:val="28"/>
          <w:szCs w:val="28"/>
        </w:rPr>
        <w:t>/</w:t>
      </w:r>
      <w:r w:rsidR="00C40CCA" w:rsidRPr="00DC3181">
        <w:rPr>
          <w:bCs/>
          <w:sz w:val="28"/>
          <w:szCs w:val="28"/>
        </w:rPr>
        <w:t>20</w:t>
      </w:r>
      <w:r w:rsidR="009F761B" w:rsidRPr="00DC3181">
        <w:rPr>
          <w:bCs/>
          <w:sz w:val="28"/>
          <w:szCs w:val="28"/>
        </w:rPr>
        <w:t>2</w:t>
      </w:r>
      <w:r w:rsidR="00EC1747" w:rsidRPr="00DC3181">
        <w:rPr>
          <w:bCs/>
          <w:sz w:val="28"/>
          <w:szCs w:val="28"/>
        </w:rPr>
        <w:t>1</w:t>
      </w:r>
      <w:r w:rsidRPr="00DC3181">
        <w:rPr>
          <w:bCs/>
          <w:sz w:val="28"/>
          <w:szCs w:val="28"/>
        </w:rPr>
        <w:t>) [202</w:t>
      </w:r>
      <w:r w:rsidR="000640FB" w:rsidRPr="00DC3181">
        <w:rPr>
          <w:bCs/>
          <w:sz w:val="28"/>
          <w:szCs w:val="28"/>
        </w:rPr>
        <w:t>2</w:t>
      </w:r>
      <w:r w:rsidRPr="00DC3181">
        <w:rPr>
          <w:bCs/>
          <w:sz w:val="28"/>
          <w:szCs w:val="28"/>
        </w:rPr>
        <w:t xml:space="preserve">] ZASCA </w:t>
      </w:r>
      <w:r w:rsidR="002A75B7">
        <w:rPr>
          <w:bCs/>
          <w:sz w:val="28"/>
          <w:szCs w:val="28"/>
        </w:rPr>
        <w:t>142</w:t>
      </w:r>
      <w:r w:rsidR="00761D99" w:rsidRPr="00DC3181">
        <w:rPr>
          <w:bCs/>
          <w:sz w:val="28"/>
          <w:szCs w:val="28"/>
        </w:rPr>
        <w:t xml:space="preserve"> </w:t>
      </w:r>
      <w:r w:rsidRPr="00DC3181">
        <w:rPr>
          <w:bCs/>
          <w:sz w:val="28"/>
          <w:szCs w:val="28"/>
        </w:rPr>
        <w:t>(</w:t>
      </w:r>
      <w:r w:rsidR="008F2B9C">
        <w:rPr>
          <w:bCs/>
          <w:sz w:val="28"/>
          <w:szCs w:val="28"/>
        </w:rPr>
        <w:t>24</w:t>
      </w:r>
      <w:r w:rsidR="00EC1747" w:rsidRPr="00DC3181">
        <w:rPr>
          <w:bCs/>
          <w:sz w:val="28"/>
          <w:szCs w:val="28"/>
        </w:rPr>
        <w:t xml:space="preserve"> </w:t>
      </w:r>
      <w:r w:rsidR="00587504" w:rsidRPr="00DC3181">
        <w:rPr>
          <w:bCs/>
          <w:sz w:val="28"/>
          <w:szCs w:val="28"/>
        </w:rPr>
        <w:t>Octo</w:t>
      </w:r>
      <w:r w:rsidR="00D65C48" w:rsidRPr="00DC3181">
        <w:rPr>
          <w:bCs/>
          <w:sz w:val="28"/>
          <w:szCs w:val="28"/>
        </w:rPr>
        <w:t>ber</w:t>
      </w:r>
      <w:r w:rsidR="00761D99" w:rsidRPr="00DC3181">
        <w:rPr>
          <w:bCs/>
          <w:sz w:val="28"/>
          <w:szCs w:val="28"/>
        </w:rPr>
        <w:t xml:space="preserve"> 202</w:t>
      </w:r>
      <w:r w:rsidR="000640FB" w:rsidRPr="00DC3181">
        <w:rPr>
          <w:bCs/>
          <w:sz w:val="28"/>
          <w:szCs w:val="28"/>
        </w:rPr>
        <w:t>2</w:t>
      </w:r>
      <w:r w:rsidRPr="00DC3181">
        <w:rPr>
          <w:bCs/>
          <w:sz w:val="28"/>
          <w:szCs w:val="28"/>
        </w:rPr>
        <w:t>)</w:t>
      </w:r>
    </w:p>
    <w:p w14:paraId="04ACD6FA" w14:textId="54A89FD5" w:rsidR="00093030" w:rsidRPr="00DC3181" w:rsidRDefault="00093030" w:rsidP="009052FE">
      <w:pPr>
        <w:ind w:left="1440" w:hanging="1440"/>
        <w:rPr>
          <w:sz w:val="28"/>
          <w:szCs w:val="28"/>
        </w:rPr>
      </w:pPr>
      <w:r w:rsidRPr="00DC3181">
        <w:rPr>
          <w:b/>
          <w:bCs/>
          <w:sz w:val="28"/>
          <w:szCs w:val="28"/>
        </w:rPr>
        <w:t>Coram:</w:t>
      </w:r>
      <w:r w:rsidRPr="00DC3181">
        <w:rPr>
          <w:sz w:val="28"/>
          <w:szCs w:val="28"/>
        </w:rPr>
        <w:tab/>
      </w:r>
      <w:r w:rsidR="004E661C" w:rsidRPr="00DC3181">
        <w:rPr>
          <w:bCs/>
          <w:sz w:val="28"/>
          <w:szCs w:val="28"/>
        </w:rPr>
        <w:t>DAMBUZA</w:t>
      </w:r>
      <w:r w:rsidR="001F4DE7" w:rsidRPr="00DC3181">
        <w:rPr>
          <w:bCs/>
          <w:sz w:val="28"/>
          <w:szCs w:val="28"/>
        </w:rPr>
        <w:t xml:space="preserve"> A</w:t>
      </w:r>
      <w:r w:rsidR="004E661C" w:rsidRPr="00DC3181">
        <w:rPr>
          <w:bCs/>
          <w:sz w:val="28"/>
          <w:szCs w:val="28"/>
        </w:rPr>
        <w:t>D</w:t>
      </w:r>
      <w:r w:rsidR="001F4DE7" w:rsidRPr="00DC3181">
        <w:rPr>
          <w:bCs/>
          <w:sz w:val="28"/>
          <w:szCs w:val="28"/>
        </w:rPr>
        <w:t>P, MAKGOKA</w:t>
      </w:r>
      <w:r w:rsidR="00602683" w:rsidRPr="00DC3181">
        <w:rPr>
          <w:bCs/>
          <w:sz w:val="28"/>
          <w:szCs w:val="28"/>
        </w:rPr>
        <w:t xml:space="preserve"> </w:t>
      </w:r>
      <w:r w:rsidR="00313266" w:rsidRPr="00DC3181">
        <w:rPr>
          <w:bCs/>
          <w:sz w:val="28"/>
          <w:szCs w:val="28"/>
        </w:rPr>
        <w:t>and</w:t>
      </w:r>
      <w:r w:rsidR="001F4DE7" w:rsidRPr="00DC3181">
        <w:rPr>
          <w:bCs/>
          <w:sz w:val="28"/>
          <w:szCs w:val="28"/>
        </w:rPr>
        <w:t xml:space="preserve"> GORVEN </w:t>
      </w:r>
      <w:r w:rsidR="00602683" w:rsidRPr="00DC3181">
        <w:rPr>
          <w:bCs/>
          <w:sz w:val="28"/>
          <w:szCs w:val="28"/>
        </w:rPr>
        <w:t>JJA and</w:t>
      </w:r>
      <w:r w:rsidR="001F4DE7" w:rsidRPr="00DC3181">
        <w:rPr>
          <w:bCs/>
          <w:sz w:val="28"/>
          <w:szCs w:val="28"/>
        </w:rPr>
        <w:t xml:space="preserve"> </w:t>
      </w:r>
      <w:r w:rsidR="00602683" w:rsidRPr="00DC3181">
        <w:rPr>
          <w:bCs/>
          <w:sz w:val="28"/>
          <w:szCs w:val="28"/>
        </w:rPr>
        <w:t>WEINER</w:t>
      </w:r>
      <w:r w:rsidR="00F54E7E" w:rsidRPr="00DC3181">
        <w:rPr>
          <w:bCs/>
          <w:sz w:val="28"/>
          <w:szCs w:val="28"/>
        </w:rPr>
        <w:t xml:space="preserve"> and </w:t>
      </w:r>
      <w:r w:rsidR="009A7709" w:rsidRPr="00DC3181">
        <w:rPr>
          <w:bCs/>
          <w:sz w:val="28"/>
          <w:szCs w:val="28"/>
        </w:rPr>
        <w:t>SALIE-HLOPHE</w:t>
      </w:r>
      <w:r w:rsidR="00F54E7E" w:rsidRPr="00DC3181">
        <w:rPr>
          <w:bCs/>
          <w:sz w:val="28"/>
          <w:szCs w:val="28"/>
        </w:rPr>
        <w:t xml:space="preserve"> A</w:t>
      </w:r>
      <w:r w:rsidR="00602683" w:rsidRPr="00DC3181">
        <w:rPr>
          <w:bCs/>
          <w:sz w:val="28"/>
          <w:szCs w:val="28"/>
        </w:rPr>
        <w:t>J</w:t>
      </w:r>
      <w:r w:rsidR="00F54E7E" w:rsidRPr="00DC3181">
        <w:rPr>
          <w:bCs/>
          <w:sz w:val="28"/>
          <w:szCs w:val="28"/>
        </w:rPr>
        <w:t>JA</w:t>
      </w:r>
    </w:p>
    <w:p w14:paraId="69D44D8F" w14:textId="2F33CC83" w:rsidR="00D31511" w:rsidRPr="00DC3181" w:rsidRDefault="00093030" w:rsidP="00401A7D">
      <w:pPr>
        <w:rPr>
          <w:b/>
          <w:bCs/>
          <w:sz w:val="28"/>
          <w:szCs w:val="28"/>
        </w:rPr>
      </w:pPr>
      <w:r w:rsidRPr="00DC3181">
        <w:rPr>
          <w:b/>
          <w:bCs/>
          <w:sz w:val="28"/>
          <w:szCs w:val="28"/>
        </w:rPr>
        <w:t>Heard</w:t>
      </w:r>
      <w:r w:rsidRPr="00DC3181">
        <w:rPr>
          <w:sz w:val="28"/>
          <w:szCs w:val="28"/>
        </w:rPr>
        <w:t>:</w:t>
      </w:r>
      <w:r w:rsidRPr="00DC3181">
        <w:rPr>
          <w:sz w:val="28"/>
          <w:szCs w:val="28"/>
        </w:rPr>
        <w:tab/>
      </w:r>
      <w:r w:rsidR="0075064B" w:rsidRPr="00DC3181">
        <w:rPr>
          <w:sz w:val="28"/>
          <w:szCs w:val="28"/>
        </w:rPr>
        <w:t>9</w:t>
      </w:r>
      <w:r w:rsidR="00D65C48" w:rsidRPr="00DC3181">
        <w:rPr>
          <w:sz w:val="28"/>
          <w:szCs w:val="28"/>
        </w:rPr>
        <w:t xml:space="preserve"> September</w:t>
      </w:r>
      <w:r w:rsidR="00A01D2A" w:rsidRPr="00DC3181">
        <w:rPr>
          <w:sz w:val="28"/>
          <w:szCs w:val="28"/>
        </w:rPr>
        <w:t xml:space="preserve"> </w:t>
      </w:r>
      <w:r w:rsidRPr="00DC3181">
        <w:rPr>
          <w:sz w:val="28"/>
          <w:szCs w:val="28"/>
        </w:rPr>
        <w:t>202</w:t>
      </w:r>
      <w:r w:rsidR="00347061" w:rsidRPr="00DC3181">
        <w:rPr>
          <w:sz w:val="28"/>
          <w:szCs w:val="28"/>
        </w:rPr>
        <w:t>2</w:t>
      </w:r>
      <w:r w:rsidRPr="00DC3181">
        <w:rPr>
          <w:sz w:val="28"/>
          <w:szCs w:val="28"/>
        </w:rPr>
        <w:t xml:space="preserve"> </w:t>
      </w:r>
    </w:p>
    <w:p w14:paraId="52B4C992" w14:textId="6A5AD462" w:rsidR="00FE4AD4" w:rsidRPr="00DC3181" w:rsidRDefault="00093030" w:rsidP="00401A7D">
      <w:pPr>
        <w:rPr>
          <w:b/>
          <w:bCs/>
          <w:sz w:val="28"/>
          <w:szCs w:val="28"/>
        </w:rPr>
      </w:pPr>
      <w:r w:rsidRPr="00DC3181">
        <w:rPr>
          <w:b/>
          <w:bCs/>
          <w:sz w:val="28"/>
          <w:szCs w:val="28"/>
        </w:rPr>
        <w:t>Delivered</w:t>
      </w:r>
      <w:r w:rsidRPr="00DC3181">
        <w:rPr>
          <w:sz w:val="28"/>
          <w:szCs w:val="28"/>
        </w:rPr>
        <w:t>:</w:t>
      </w:r>
      <w:r w:rsidRPr="00DC3181">
        <w:rPr>
          <w:sz w:val="28"/>
          <w:szCs w:val="28"/>
        </w:rPr>
        <w:tab/>
      </w:r>
      <w:r w:rsidR="008F2B9C">
        <w:rPr>
          <w:sz w:val="28"/>
          <w:szCs w:val="28"/>
        </w:rPr>
        <w:t>24</w:t>
      </w:r>
      <w:r w:rsidR="00F300A1" w:rsidRPr="00DC3181">
        <w:rPr>
          <w:sz w:val="28"/>
          <w:szCs w:val="28"/>
        </w:rPr>
        <w:t xml:space="preserve"> </w:t>
      </w:r>
      <w:r w:rsidR="00587504" w:rsidRPr="00DC3181">
        <w:rPr>
          <w:sz w:val="28"/>
          <w:szCs w:val="28"/>
        </w:rPr>
        <w:t>October</w:t>
      </w:r>
      <w:r w:rsidR="00D65C48" w:rsidRPr="00DC3181">
        <w:rPr>
          <w:sz w:val="28"/>
          <w:szCs w:val="28"/>
        </w:rPr>
        <w:t xml:space="preserve"> </w:t>
      </w:r>
      <w:r w:rsidR="00F300A1" w:rsidRPr="00DC3181">
        <w:rPr>
          <w:sz w:val="28"/>
          <w:szCs w:val="28"/>
        </w:rPr>
        <w:t>2022</w:t>
      </w:r>
    </w:p>
    <w:p w14:paraId="4CB62C7D" w14:textId="133E5AED" w:rsidR="00034FD9" w:rsidRPr="00DC3181" w:rsidRDefault="00093030" w:rsidP="00401A7D">
      <w:pPr>
        <w:rPr>
          <w:sz w:val="28"/>
          <w:szCs w:val="28"/>
        </w:rPr>
      </w:pPr>
      <w:r w:rsidRPr="00DC3181">
        <w:rPr>
          <w:b/>
          <w:bCs/>
          <w:sz w:val="28"/>
          <w:szCs w:val="28"/>
        </w:rPr>
        <w:t>Summary:</w:t>
      </w:r>
      <w:r w:rsidR="00C83F90" w:rsidRPr="00DC3181">
        <w:rPr>
          <w:sz w:val="28"/>
          <w:szCs w:val="28"/>
        </w:rPr>
        <w:tab/>
      </w:r>
      <w:r w:rsidR="0075064B" w:rsidRPr="00DC3181">
        <w:rPr>
          <w:sz w:val="28"/>
          <w:szCs w:val="28"/>
        </w:rPr>
        <w:t>Tax law</w:t>
      </w:r>
      <w:r w:rsidR="009A131B" w:rsidRPr="00DC3181">
        <w:rPr>
          <w:sz w:val="28"/>
          <w:szCs w:val="28"/>
        </w:rPr>
        <w:t xml:space="preserve"> – </w:t>
      </w:r>
      <w:r w:rsidR="0075064B" w:rsidRPr="00DC3181">
        <w:rPr>
          <w:sz w:val="28"/>
          <w:szCs w:val="28"/>
        </w:rPr>
        <w:t xml:space="preserve">Value-Added </w:t>
      </w:r>
      <w:r w:rsidR="00D65C48" w:rsidRPr="00DC3181">
        <w:rPr>
          <w:sz w:val="28"/>
          <w:szCs w:val="28"/>
        </w:rPr>
        <w:t>T</w:t>
      </w:r>
      <w:r w:rsidR="0075064B" w:rsidRPr="00DC3181">
        <w:rPr>
          <w:sz w:val="28"/>
          <w:szCs w:val="28"/>
        </w:rPr>
        <w:t>ax</w:t>
      </w:r>
      <w:r w:rsidR="00C10FBA" w:rsidRPr="00DC3181">
        <w:rPr>
          <w:sz w:val="28"/>
          <w:szCs w:val="28"/>
        </w:rPr>
        <w:t xml:space="preserve"> </w:t>
      </w:r>
      <w:r w:rsidR="009A131B" w:rsidRPr="00DC3181">
        <w:rPr>
          <w:bCs/>
          <w:sz w:val="28"/>
          <w:szCs w:val="28"/>
        </w:rPr>
        <w:t xml:space="preserve">Act </w:t>
      </w:r>
      <w:r w:rsidR="00532783" w:rsidRPr="00DC3181">
        <w:rPr>
          <w:bCs/>
          <w:sz w:val="28"/>
          <w:szCs w:val="28"/>
        </w:rPr>
        <w:t>8</w:t>
      </w:r>
      <w:r w:rsidR="009A131B" w:rsidRPr="00DC3181">
        <w:rPr>
          <w:bCs/>
          <w:sz w:val="28"/>
          <w:szCs w:val="28"/>
        </w:rPr>
        <w:t>9 of 199</w:t>
      </w:r>
      <w:r w:rsidR="00532783" w:rsidRPr="00DC3181">
        <w:rPr>
          <w:bCs/>
          <w:sz w:val="28"/>
          <w:szCs w:val="28"/>
        </w:rPr>
        <w:t>1</w:t>
      </w:r>
      <w:r w:rsidR="00077C4C" w:rsidRPr="00DC3181">
        <w:rPr>
          <w:sz w:val="28"/>
          <w:szCs w:val="28"/>
        </w:rPr>
        <w:t xml:space="preserve"> </w:t>
      </w:r>
      <w:r w:rsidR="009F48B7" w:rsidRPr="00DC3181">
        <w:rPr>
          <w:sz w:val="28"/>
          <w:szCs w:val="28"/>
        </w:rPr>
        <w:t xml:space="preserve">– </w:t>
      </w:r>
      <w:r w:rsidR="000163A4" w:rsidRPr="00DC3181">
        <w:rPr>
          <w:sz w:val="28"/>
          <w:szCs w:val="28"/>
        </w:rPr>
        <w:t xml:space="preserve">declaratory order </w:t>
      </w:r>
      <w:r w:rsidR="00BD5040" w:rsidRPr="00DC3181">
        <w:rPr>
          <w:sz w:val="28"/>
          <w:szCs w:val="28"/>
        </w:rPr>
        <w:t>–</w:t>
      </w:r>
      <w:r w:rsidR="000163A4" w:rsidRPr="00DC3181">
        <w:rPr>
          <w:sz w:val="28"/>
          <w:szCs w:val="28"/>
        </w:rPr>
        <w:t xml:space="preserve"> </w:t>
      </w:r>
      <w:r w:rsidR="00BD5040" w:rsidRPr="00DC3181">
        <w:rPr>
          <w:sz w:val="28"/>
          <w:szCs w:val="28"/>
        </w:rPr>
        <w:t xml:space="preserve">under which of </w:t>
      </w:r>
      <w:r w:rsidR="00672C2E" w:rsidRPr="00DC3181">
        <w:rPr>
          <w:sz w:val="28"/>
          <w:szCs w:val="28"/>
        </w:rPr>
        <w:t xml:space="preserve">ss 10(18) </w:t>
      </w:r>
      <w:r w:rsidR="008F2B9C">
        <w:rPr>
          <w:sz w:val="28"/>
          <w:szCs w:val="28"/>
        </w:rPr>
        <w:t>or</w:t>
      </w:r>
      <w:r w:rsidR="00672C2E" w:rsidRPr="00DC3181">
        <w:rPr>
          <w:sz w:val="28"/>
          <w:szCs w:val="28"/>
        </w:rPr>
        <w:t xml:space="preserve"> 10(19) </w:t>
      </w:r>
      <w:r w:rsidR="00BD5040" w:rsidRPr="00DC3181">
        <w:rPr>
          <w:sz w:val="28"/>
          <w:szCs w:val="28"/>
        </w:rPr>
        <w:t>pre-paid</w:t>
      </w:r>
      <w:r w:rsidR="0026736B" w:rsidRPr="00DC3181">
        <w:rPr>
          <w:sz w:val="28"/>
          <w:szCs w:val="28"/>
        </w:rPr>
        <w:t xml:space="preserve"> vouchers</w:t>
      </w:r>
      <w:r w:rsidR="00AF676C" w:rsidRPr="00DC3181">
        <w:rPr>
          <w:sz w:val="28"/>
          <w:szCs w:val="28"/>
        </w:rPr>
        <w:t xml:space="preserve"> </w:t>
      </w:r>
      <w:r w:rsidR="00BD5040" w:rsidRPr="00DC3181">
        <w:rPr>
          <w:sz w:val="28"/>
          <w:szCs w:val="28"/>
        </w:rPr>
        <w:t>fall</w:t>
      </w:r>
      <w:r w:rsidR="00347061" w:rsidRPr="00DC3181">
        <w:rPr>
          <w:sz w:val="28"/>
          <w:szCs w:val="28"/>
        </w:rPr>
        <w:t xml:space="preserve"> </w:t>
      </w:r>
      <w:r w:rsidR="00B00B03" w:rsidRPr="00DC3181">
        <w:rPr>
          <w:bCs/>
          <w:sz w:val="28"/>
          <w:szCs w:val="28"/>
        </w:rPr>
        <w:t>–</w:t>
      </w:r>
      <w:r w:rsidR="008E357C" w:rsidRPr="00DC3181">
        <w:rPr>
          <w:bCs/>
          <w:sz w:val="28"/>
          <w:szCs w:val="28"/>
        </w:rPr>
        <w:t xml:space="preserve"> </w:t>
      </w:r>
      <w:r w:rsidR="00AF676C" w:rsidRPr="00DC3181">
        <w:rPr>
          <w:bCs/>
          <w:sz w:val="28"/>
          <w:szCs w:val="28"/>
        </w:rPr>
        <w:t xml:space="preserve">fact specific </w:t>
      </w:r>
      <w:r w:rsidR="00B96AD2" w:rsidRPr="00DC3181">
        <w:rPr>
          <w:bCs/>
          <w:sz w:val="28"/>
          <w:szCs w:val="28"/>
        </w:rPr>
        <w:t>test</w:t>
      </w:r>
      <w:r w:rsidR="004B05E5" w:rsidRPr="00DC3181">
        <w:rPr>
          <w:bCs/>
          <w:sz w:val="28"/>
          <w:szCs w:val="28"/>
        </w:rPr>
        <w:t xml:space="preserve"> – </w:t>
      </w:r>
      <w:r w:rsidR="003A5DFF" w:rsidRPr="00DC3181">
        <w:rPr>
          <w:bCs/>
          <w:sz w:val="28"/>
          <w:szCs w:val="28"/>
        </w:rPr>
        <w:t xml:space="preserve">narrow basis for declaration of rights in tax matters – </w:t>
      </w:r>
      <w:r w:rsidR="003E20A4" w:rsidRPr="00DC3181">
        <w:rPr>
          <w:bCs/>
          <w:sz w:val="28"/>
          <w:szCs w:val="28"/>
        </w:rPr>
        <w:t>clear, uncontested</w:t>
      </w:r>
      <w:r w:rsidR="004B05E5" w:rsidRPr="00DC3181">
        <w:rPr>
          <w:bCs/>
          <w:sz w:val="28"/>
          <w:szCs w:val="28"/>
        </w:rPr>
        <w:t xml:space="preserve"> facts </w:t>
      </w:r>
      <w:r w:rsidR="003E20A4" w:rsidRPr="00DC3181">
        <w:rPr>
          <w:bCs/>
          <w:sz w:val="28"/>
          <w:szCs w:val="28"/>
        </w:rPr>
        <w:t>necessary</w:t>
      </w:r>
      <w:r w:rsidR="008A209A" w:rsidRPr="00DC3181">
        <w:rPr>
          <w:bCs/>
          <w:sz w:val="28"/>
          <w:szCs w:val="28"/>
        </w:rPr>
        <w:t xml:space="preserve"> – </w:t>
      </w:r>
      <w:r w:rsidR="003A5DFF" w:rsidRPr="00DC3181">
        <w:rPr>
          <w:bCs/>
          <w:sz w:val="28"/>
          <w:szCs w:val="28"/>
        </w:rPr>
        <w:t xml:space="preserve">no basis for </w:t>
      </w:r>
      <w:r w:rsidR="00EC2D26" w:rsidRPr="00DC3181">
        <w:rPr>
          <w:bCs/>
          <w:sz w:val="28"/>
          <w:szCs w:val="28"/>
        </w:rPr>
        <w:t>declaration of rights</w:t>
      </w:r>
      <w:r w:rsidR="00E06545" w:rsidRPr="00DC3181">
        <w:rPr>
          <w:sz w:val="28"/>
          <w:szCs w:val="28"/>
        </w:rPr>
        <w:t>.</w:t>
      </w:r>
      <w:r w:rsidR="00034FD9" w:rsidRPr="00DC3181">
        <w:rPr>
          <w:sz w:val="28"/>
          <w:szCs w:val="28"/>
        </w:rPr>
        <w:br w:type="page"/>
      </w:r>
    </w:p>
    <w:p w14:paraId="1C2C5C2E" w14:textId="36C070CA" w:rsidR="008A1D81" w:rsidRPr="00DC3181" w:rsidRDefault="0053011F" w:rsidP="00401A7D">
      <w:pPr>
        <w:pStyle w:val="Heading3"/>
        <w:spacing w:after="240"/>
        <w:jc w:val="center"/>
        <w:rPr>
          <w:rFonts w:ascii="Times New Roman" w:hAnsi="Times New Roman" w:cs="Times New Roman"/>
          <w:b/>
          <w:i w:val="0"/>
          <w:szCs w:val="28"/>
        </w:rPr>
      </w:pPr>
      <w:r w:rsidRPr="00DC3181">
        <w:rPr>
          <w:rFonts w:ascii="Times New Roman" w:hAnsi="Times New Roman" w:cs="Times New Roman"/>
          <w:b/>
          <w:i w:val="0"/>
          <w:szCs w:val="28"/>
        </w:rPr>
        <w:lastRenderedPageBreak/>
        <w:t>_____</w:t>
      </w:r>
      <w:r w:rsidR="008A1D81" w:rsidRPr="00DC3181">
        <w:rPr>
          <w:rFonts w:ascii="Times New Roman" w:hAnsi="Times New Roman" w:cs="Times New Roman"/>
          <w:b/>
          <w:i w:val="0"/>
          <w:szCs w:val="28"/>
        </w:rPr>
        <w:t>_____________________________________________________________</w:t>
      </w:r>
    </w:p>
    <w:p w14:paraId="6CD909E1" w14:textId="77777777" w:rsidR="008A1D81" w:rsidRPr="00DC3181" w:rsidRDefault="008A1D81" w:rsidP="00401A7D">
      <w:pPr>
        <w:pStyle w:val="Heading3"/>
        <w:jc w:val="center"/>
        <w:rPr>
          <w:rFonts w:ascii="Times New Roman" w:hAnsi="Times New Roman" w:cs="Times New Roman"/>
          <w:b/>
          <w:bCs/>
          <w:i w:val="0"/>
          <w:szCs w:val="28"/>
        </w:rPr>
      </w:pPr>
      <w:r w:rsidRPr="00DC3181">
        <w:rPr>
          <w:rFonts w:ascii="Times New Roman" w:hAnsi="Times New Roman" w:cs="Times New Roman"/>
          <w:b/>
          <w:i w:val="0"/>
          <w:szCs w:val="28"/>
        </w:rPr>
        <w:t>ORDER</w:t>
      </w:r>
    </w:p>
    <w:p w14:paraId="5D5CED47" w14:textId="2400A9A0" w:rsidR="008A1D81" w:rsidRPr="00DC3181" w:rsidRDefault="00746627" w:rsidP="00401A7D">
      <w:pPr>
        <w:rPr>
          <w:b/>
          <w:bCs/>
        </w:rPr>
      </w:pPr>
      <w:r w:rsidRPr="00DC3181">
        <w:rPr>
          <w:b/>
          <w:bCs/>
        </w:rPr>
        <w:t>______</w:t>
      </w:r>
      <w:r w:rsidR="008A1D81" w:rsidRPr="00DC3181">
        <w:rPr>
          <w:b/>
          <w:bCs/>
        </w:rPr>
        <w:t>________________________________________________________________________</w:t>
      </w:r>
    </w:p>
    <w:p w14:paraId="5E458C3F" w14:textId="50BF1B69" w:rsidR="007E44D7" w:rsidRPr="00DC3181" w:rsidRDefault="00093030" w:rsidP="00401A7D">
      <w:pPr>
        <w:spacing w:before="240"/>
        <w:rPr>
          <w:bCs/>
          <w:sz w:val="28"/>
          <w:szCs w:val="28"/>
        </w:rPr>
      </w:pPr>
      <w:r w:rsidRPr="00DC3181">
        <w:rPr>
          <w:b/>
          <w:bCs/>
          <w:sz w:val="28"/>
          <w:szCs w:val="28"/>
        </w:rPr>
        <w:t>On appeal from:</w:t>
      </w:r>
      <w:r w:rsidR="00332389" w:rsidRPr="00DC3181">
        <w:rPr>
          <w:sz w:val="28"/>
          <w:szCs w:val="28"/>
        </w:rPr>
        <w:t xml:space="preserve"> </w:t>
      </w:r>
      <w:r w:rsidR="00490B64" w:rsidRPr="00DC3181">
        <w:rPr>
          <w:sz w:val="28"/>
          <w:szCs w:val="28"/>
        </w:rPr>
        <w:t>Gauteng</w:t>
      </w:r>
      <w:r w:rsidRPr="00DC3181">
        <w:rPr>
          <w:bCs/>
          <w:sz w:val="28"/>
          <w:szCs w:val="28"/>
        </w:rPr>
        <w:t xml:space="preserve"> Division of the High Court</w:t>
      </w:r>
      <w:r w:rsidR="00081A89" w:rsidRPr="00DC3181">
        <w:rPr>
          <w:bCs/>
          <w:sz w:val="28"/>
          <w:szCs w:val="28"/>
        </w:rPr>
        <w:t xml:space="preserve">, </w:t>
      </w:r>
      <w:r w:rsidR="007812F5" w:rsidRPr="00DC3181">
        <w:rPr>
          <w:bCs/>
          <w:sz w:val="28"/>
          <w:szCs w:val="28"/>
        </w:rPr>
        <w:t>Pretoria</w:t>
      </w:r>
      <w:r w:rsidR="00414DF4" w:rsidRPr="00DC3181">
        <w:rPr>
          <w:bCs/>
          <w:sz w:val="28"/>
          <w:szCs w:val="28"/>
        </w:rPr>
        <w:t xml:space="preserve"> </w:t>
      </w:r>
      <w:r w:rsidRPr="00DC3181">
        <w:rPr>
          <w:bCs/>
          <w:sz w:val="28"/>
          <w:szCs w:val="28"/>
        </w:rPr>
        <w:t>(</w:t>
      </w:r>
      <w:r w:rsidR="007812F5" w:rsidRPr="00DC3181">
        <w:rPr>
          <w:bCs/>
          <w:sz w:val="28"/>
          <w:szCs w:val="28"/>
        </w:rPr>
        <w:t>Hughes</w:t>
      </w:r>
      <w:r w:rsidR="00567564" w:rsidRPr="00DC3181">
        <w:rPr>
          <w:bCs/>
          <w:sz w:val="28"/>
          <w:szCs w:val="28"/>
        </w:rPr>
        <w:t> </w:t>
      </w:r>
      <w:r w:rsidR="00C57586" w:rsidRPr="00DC3181">
        <w:rPr>
          <w:bCs/>
          <w:sz w:val="28"/>
          <w:szCs w:val="28"/>
        </w:rPr>
        <w:t>J</w:t>
      </w:r>
      <w:r w:rsidR="00C83F90" w:rsidRPr="00DC3181">
        <w:rPr>
          <w:bCs/>
          <w:sz w:val="28"/>
          <w:szCs w:val="28"/>
        </w:rPr>
        <w:t>,</w:t>
      </w:r>
      <w:r w:rsidR="004A546C" w:rsidRPr="00DC3181">
        <w:rPr>
          <w:bCs/>
          <w:sz w:val="28"/>
          <w:szCs w:val="28"/>
        </w:rPr>
        <w:t xml:space="preserve"> </w:t>
      </w:r>
      <w:r w:rsidR="00E5435F" w:rsidRPr="00DC3181">
        <w:rPr>
          <w:bCs/>
          <w:sz w:val="28"/>
          <w:szCs w:val="28"/>
        </w:rPr>
        <w:t>sitting as court of first instance</w:t>
      </w:r>
      <w:r w:rsidR="001C713A">
        <w:rPr>
          <w:bCs/>
          <w:sz w:val="28"/>
          <w:szCs w:val="28"/>
        </w:rPr>
        <w:t>)</w:t>
      </w:r>
      <w:r w:rsidRPr="00DC3181">
        <w:rPr>
          <w:bCs/>
          <w:sz w:val="28"/>
          <w:szCs w:val="28"/>
        </w:rPr>
        <w:t xml:space="preserve">: </w:t>
      </w:r>
    </w:p>
    <w:p w14:paraId="5B4F20DB" w14:textId="69316F06" w:rsidR="00D901B2" w:rsidRPr="00DC3181" w:rsidRDefault="00CC0444" w:rsidP="00401A7D">
      <w:pPr>
        <w:spacing w:before="240"/>
        <w:rPr>
          <w:sz w:val="28"/>
          <w:szCs w:val="28"/>
        </w:rPr>
      </w:pPr>
      <w:r w:rsidRPr="00DC3181">
        <w:rPr>
          <w:bCs/>
          <w:sz w:val="28"/>
          <w:szCs w:val="28"/>
        </w:rPr>
        <w:t>T</w:t>
      </w:r>
      <w:r w:rsidRPr="00DC3181">
        <w:rPr>
          <w:sz w:val="28"/>
          <w:szCs w:val="28"/>
        </w:rPr>
        <w:t>he appeal is</w:t>
      </w:r>
      <w:r w:rsidR="00890F02" w:rsidRPr="00DC3181">
        <w:rPr>
          <w:sz w:val="28"/>
          <w:szCs w:val="28"/>
        </w:rPr>
        <w:t xml:space="preserve"> </w:t>
      </w:r>
      <w:r w:rsidR="00E150AE" w:rsidRPr="00DC3181">
        <w:rPr>
          <w:sz w:val="28"/>
          <w:szCs w:val="28"/>
        </w:rPr>
        <w:t>dismissed</w:t>
      </w:r>
      <w:r w:rsidR="001F485A" w:rsidRPr="00DC3181">
        <w:rPr>
          <w:sz w:val="28"/>
          <w:szCs w:val="28"/>
        </w:rPr>
        <w:t xml:space="preserve"> </w:t>
      </w:r>
      <w:r w:rsidR="000E121F" w:rsidRPr="00DC3181">
        <w:rPr>
          <w:sz w:val="28"/>
          <w:szCs w:val="28"/>
        </w:rPr>
        <w:t>with costs</w:t>
      </w:r>
      <w:r w:rsidR="005F05C9">
        <w:rPr>
          <w:sz w:val="28"/>
          <w:szCs w:val="28"/>
        </w:rPr>
        <w:t>, including those of two counsel where used</w:t>
      </w:r>
      <w:r w:rsidR="000E121F" w:rsidRPr="00DC3181">
        <w:rPr>
          <w:sz w:val="28"/>
          <w:szCs w:val="28"/>
        </w:rPr>
        <w:t>.</w:t>
      </w:r>
    </w:p>
    <w:p w14:paraId="617C314F" w14:textId="153BE8F7" w:rsidR="008A1D81" w:rsidRPr="00DC3181" w:rsidRDefault="00745D18" w:rsidP="00401A7D">
      <w:pPr>
        <w:pStyle w:val="ListParagraph"/>
        <w:spacing w:after="240"/>
        <w:ind w:left="0"/>
        <w:rPr>
          <w:b/>
          <w:bCs/>
          <w:sz w:val="28"/>
          <w:szCs w:val="28"/>
        </w:rPr>
      </w:pPr>
      <w:r w:rsidRPr="00DC3181">
        <w:rPr>
          <w:b/>
          <w:bCs/>
          <w:sz w:val="28"/>
          <w:szCs w:val="28"/>
        </w:rPr>
        <w:t>_____</w:t>
      </w:r>
      <w:r w:rsidR="008A1D81" w:rsidRPr="00DC3181">
        <w:rPr>
          <w:b/>
          <w:bCs/>
          <w:sz w:val="28"/>
          <w:szCs w:val="28"/>
        </w:rPr>
        <w:t>_____________________________________________________________</w:t>
      </w:r>
    </w:p>
    <w:p w14:paraId="747C9F8E" w14:textId="77777777" w:rsidR="008A1D81" w:rsidRPr="00DC3181" w:rsidRDefault="008A1D81" w:rsidP="00401A7D">
      <w:pPr>
        <w:pStyle w:val="Heading1"/>
        <w:jc w:val="center"/>
        <w:rPr>
          <w:rFonts w:ascii="Times New Roman" w:hAnsi="Times New Roman" w:cs="Times New Roman"/>
          <w:szCs w:val="28"/>
        </w:rPr>
      </w:pPr>
      <w:r w:rsidRPr="00DC3181">
        <w:rPr>
          <w:rFonts w:ascii="Times New Roman" w:hAnsi="Times New Roman" w:cs="Times New Roman"/>
          <w:szCs w:val="28"/>
        </w:rPr>
        <w:t>JUDGMENT</w:t>
      </w:r>
    </w:p>
    <w:p w14:paraId="6C01EE17" w14:textId="7A74E2D6" w:rsidR="008A1D81" w:rsidRPr="00DC3181" w:rsidRDefault="00745D18" w:rsidP="00401A7D">
      <w:pPr>
        <w:spacing w:after="240"/>
        <w:rPr>
          <w:b/>
          <w:bCs/>
          <w:sz w:val="28"/>
          <w:szCs w:val="28"/>
        </w:rPr>
      </w:pPr>
      <w:r w:rsidRPr="00DC3181">
        <w:rPr>
          <w:b/>
          <w:bCs/>
          <w:sz w:val="28"/>
          <w:szCs w:val="28"/>
        </w:rPr>
        <w:t>_____</w:t>
      </w:r>
      <w:r w:rsidR="008A1D81" w:rsidRPr="00DC3181">
        <w:rPr>
          <w:b/>
          <w:bCs/>
          <w:sz w:val="28"/>
          <w:szCs w:val="28"/>
        </w:rPr>
        <w:t>_____________________________________________________________</w:t>
      </w:r>
    </w:p>
    <w:p w14:paraId="62C0C741" w14:textId="13FCD4EA" w:rsidR="00042A51" w:rsidRPr="00DC3181" w:rsidRDefault="00CB0375" w:rsidP="00CD0A0E">
      <w:pPr>
        <w:spacing w:after="240"/>
        <w:rPr>
          <w:sz w:val="28"/>
          <w:szCs w:val="28"/>
        </w:rPr>
      </w:pPr>
      <w:r w:rsidRPr="00DC3181">
        <w:rPr>
          <w:b/>
          <w:sz w:val="28"/>
          <w:szCs w:val="28"/>
        </w:rPr>
        <w:t>Gorven</w:t>
      </w:r>
      <w:r w:rsidR="00093030" w:rsidRPr="00DC3181">
        <w:rPr>
          <w:b/>
          <w:sz w:val="28"/>
          <w:szCs w:val="28"/>
        </w:rPr>
        <w:t xml:space="preserve"> JA (</w:t>
      </w:r>
      <w:r w:rsidR="008248E0">
        <w:rPr>
          <w:b/>
          <w:sz w:val="28"/>
          <w:szCs w:val="28"/>
        </w:rPr>
        <w:t>Dambuza ADP, Makgoka JA and Weiner and Salie-Hlophe AJJA</w:t>
      </w:r>
      <w:r w:rsidR="00635B6E" w:rsidRPr="00DC3181">
        <w:rPr>
          <w:b/>
          <w:sz w:val="28"/>
          <w:szCs w:val="28"/>
        </w:rPr>
        <w:t xml:space="preserve"> </w:t>
      </w:r>
      <w:r w:rsidR="003342E3" w:rsidRPr="00DC3181">
        <w:rPr>
          <w:b/>
          <w:sz w:val="28"/>
          <w:szCs w:val="28"/>
        </w:rPr>
        <w:t>co</w:t>
      </w:r>
      <w:r w:rsidR="00093030" w:rsidRPr="00DC3181">
        <w:rPr>
          <w:b/>
          <w:sz w:val="28"/>
          <w:szCs w:val="28"/>
        </w:rPr>
        <w:t>ncurring)</w:t>
      </w:r>
    </w:p>
    <w:p w14:paraId="70497297" w14:textId="2F5BBA16" w:rsidR="009B439A" w:rsidRPr="00685259" w:rsidRDefault="00685259" w:rsidP="00685259">
      <w:pPr>
        <w:rPr>
          <w:sz w:val="28"/>
          <w:szCs w:val="28"/>
        </w:rPr>
      </w:pPr>
      <w:r w:rsidRPr="00DC3181">
        <w:rPr>
          <w:sz w:val="28"/>
          <w:szCs w:val="28"/>
        </w:rPr>
        <w:t>[1]</w:t>
      </w:r>
      <w:r w:rsidRPr="00DC3181">
        <w:rPr>
          <w:sz w:val="28"/>
          <w:szCs w:val="28"/>
        </w:rPr>
        <w:tab/>
      </w:r>
      <w:r w:rsidR="007A1444" w:rsidRPr="00685259">
        <w:rPr>
          <w:sz w:val="28"/>
          <w:szCs w:val="28"/>
        </w:rPr>
        <w:t xml:space="preserve">This appeal </w:t>
      </w:r>
      <w:r w:rsidR="0056426F" w:rsidRPr="00685259">
        <w:rPr>
          <w:sz w:val="28"/>
          <w:szCs w:val="28"/>
        </w:rPr>
        <w:t xml:space="preserve">concerns </w:t>
      </w:r>
      <w:r w:rsidR="00985B44" w:rsidRPr="00685259">
        <w:rPr>
          <w:sz w:val="28"/>
          <w:szCs w:val="28"/>
        </w:rPr>
        <w:t xml:space="preserve">the sale of </w:t>
      </w:r>
      <w:r w:rsidR="00EE208F" w:rsidRPr="00685259">
        <w:rPr>
          <w:sz w:val="28"/>
          <w:szCs w:val="28"/>
        </w:rPr>
        <w:t>certain vouchers</w:t>
      </w:r>
      <w:r w:rsidR="00985B44" w:rsidRPr="00685259">
        <w:rPr>
          <w:sz w:val="28"/>
          <w:szCs w:val="28"/>
        </w:rPr>
        <w:t xml:space="preserve"> by the appellant</w:t>
      </w:r>
      <w:r w:rsidR="0056426F" w:rsidRPr="00685259">
        <w:rPr>
          <w:sz w:val="28"/>
          <w:szCs w:val="28"/>
        </w:rPr>
        <w:t>, Mobile Telephone Networks (Pty) Ltd (MTN).</w:t>
      </w:r>
      <w:r w:rsidR="00985B44" w:rsidRPr="00685259">
        <w:rPr>
          <w:sz w:val="28"/>
          <w:szCs w:val="28"/>
        </w:rPr>
        <w:t xml:space="preserve"> </w:t>
      </w:r>
      <w:r w:rsidR="009B439A" w:rsidRPr="00685259">
        <w:rPr>
          <w:sz w:val="28"/>
          <w:szCs w:val="28"/>
        </w:rPr>
        <w:t>The respondent is the Commissioner for the South African Revenue Service (</w:t>
      </w:r>
      <w:r w:rsidR="00482C63" w:rsidRPr="00685259">
        <w:rPr>
          <w:sz w:val="28"/>
          <w:szCs w:val="28"/>
        </w:rPr>
        <w:t>SARS</w:t>
      </w:r>
      <w:r w:rsidR="009B439A" w:rsidRPr="00685259">
        <w:rPr>
          <w:sz w:val="28"/>
          <w:szCs w:val="28"/>
        </w:rPr>
        <w:t>).</w:t>
      </w:r>
      <w:r w:rsidR="005A3E4B" w:rsidRPr="00DC3181">
        <w:rPr>
          <w:rStyle w:val="FootnoteReference"/>
          <w:sz w:val="28"/>
          <w:szCs w:val="28"/>
        </w:rPr>
        <w:footnoteReference w:id="2"/>
      </w:r>
      <w:r w:rsidR="009B439A" w:rsidRPr="00685259">
        <w:rPr>
          <w:sz w:val="28"/>
          <w:szCs w:val="28"/>
        </w:rPr>
        <w:t xml:space="preserve"> </w:t>
      </w:r>
      <w:r w:rsidR="007B7193" w:rsidRPr="00685259">
        <w:rPr>
          <w:sz w:val="28"/>
          <w:szCs w:val="28"/>
        </w:rPr>
        <w:t xml:space="preserve">MTN provides a range of services to customers. </w:t>
      </w:r>
      <w:r w:rsidR="00C84358" w:rsidRPr="00685259">
        <w:rPr>
          <w:sz w:val="28"/>
          <w:szCs w:val="28"/>
        </w:rPr>
        <w:t>As part of its offering, MTN sells what it refers to in the papers as ‘pre-paid multi-purpose vouchers’ (</w:t>
      </w:r>
      <w:r w:rsidR="00CD3AA1" w:rsidRPr="00685259">
        <w:rPr>
          <w:sz w:val="28"/>
          <w:szCs w:val="28"/>
        </w:rPr>
        <w:t>the pre-paid vouchers</w:t>
      </w:r>
      <w:r w:rsidR="00C84358" w:rsidRPr="00685259">
        <w:rPr>
          <w:sz w:val="28"/>
          <w:szCs w:val="28"/>
        </w:rPr>
        <w:t xml:space="preserve">). Historically, the sale of </w:t>
      </w:r>
      <w:r w:rsidR="00CD3AA1" w:rsidRPr="00685259">
        <w:rPr>
          <w:sz w:val="28"/>
          <w:szCs w:val="28"/>
        </w:rPr>
        <w:t>the pre-paid vouchers</w:t>
      </w:r>
      <w:r w:rsidR="00C84358" w:rsidRPr="00685259">
        <w:rPr>
          <w:sz w:val="28"/>
          <w:szCs w:val="28"/>
        </w:rPr>
        <w:t xml:space="preserve"> was dealt with by MTN as falling under s 10(19) of the Value-Added Tax Act 89 of 1991 (the Act). On 15 November 2017, MTN sought a </w:t>
      </w:r>
      <w:r w:rsidR="00B11A87" w:rsidRPr="00685259">
        <w:rPr>
          <w:sz w:val="28"/>
          <w:szCs w:val="28"/>
        </w:rPr>
        <w:t xml:space="preserve">private binding </w:t>
      </w:r>
      <w:r w:rsidR="00C84358" w:rsidRPr="00685259">
        <w:rPr>
          <w:sz w:val="28"/>
          <w:szCs w:val="28"/>
        </w:rPr>
        <w:t xml:space="preserve">ruling </w:t>
      </w:r>
      <w:r w:rsidR="000779D7" w:rsidRPr="00685259">
        <w:rPr>
          <w:sz w:val="28"/>
          <w:szCs w:val="28"/>
        </w:rPr>
        <w:t xml:space="preserve">from SARS </w:t>
      </w:r>
      <w:r w:rsidR="00C84358" w:rsidRPr="00685259">
        <w:rPr>
          <w:sz w:val="28"/>
          <w:szCs w:val="28"/>
        </w:rPr>
        <w:t>under s 41B of the Act</w:t>
      </w:r>
      <w:r w:rsidR="00BE7537" w:rsidRPr="00685259">
        <w:rPr>
          <w:sz w:val="28"/>
          <w:szCs w:val="28"/>
        </w:rPr>
        <w:t>,</w:t>
      </w:r>
      <w:r w:rsidR="00C84358" w:rsidRPr="00685259">
        <w:rPr>
          <w:sz w:val="28"/>
          <w:szCs w:val="28"/>
        </w:rPr>
        <w:t xml:space="preserve"> to the effect that the sale of </w:t>
      </w:r>
      <w:r w:rsidR="00CD3AA1" w:rsidRPr="00685259">
        <w:rPr>
          <w:sz w:val="28"/>
          <w:szCs w:val="28"/>
        </w:rPr>
        <w:t>the pre-paid vouchers</w:t>
      </w:r>
      <w:r w:rsidR="00C84358" w:rsidRPr="00685259">
        <w:rPr>
          <w:sz w:val="28"/>
          <w:szCs w:val="28"/>
        </w:rPr>
        <w:t xml:space="preserve"> could </w:t>
      </w:r>
      <w:r w:rsidR="005B09D2" w:rsidRPr="00685259">
        <w:rPr>
          <w:sz w:val="28"/>
          <w:szCs w:val="28"/>
        </w:rPr>
        <w:t>t</w:t>
      </w:r>
      <w:r w:rsidR="000779D7" w:rsidRPr="00685259">
        <w:rPr>
          <w:sz w:val="28"/>
          <w:szCs w:val="28"/>
        </w:rPr>
        <w:t xml:space="preserve">henceforth </w:t>
      </w:r>
      <w:r w:rsidR="00C84358" w:rsidRPr="00685259">
        <w:rPr>
          <w:sz w:val="28"/>
          <w:szCs w:val="28"/>
        </w:rPr>
        <w:t>be dealt with as falling under s 10(18) of the Act.</w:t>
      </w:r>
    </w:p>
    <w:p w14:paraId="7C2E551E" w14:textId="240E9358" w:rsidR="00C84358" w:rsidRPr="00685259" w:rsidRDefault="00685259" w:rsidP="00685259">
      <w:pPr>
        <w:rPr>
          <w:sz w:val="28"/>
          <w:szCs w:val="28"/>
        </w:rPr>
      </w:pPr>
      <w:r w:rsidRPr="00DC3181">
        <w:rPr>
          <w:sz w:val="28"/>
          <w:szCs w:val="28"/>
        </w:rPr>
        <w:lastRenderedPageBreak/>
        <w:t>[2]</w:t>
      </w:r>
      <w:r w:rsidRPr="00DC3181">
        <w:rPr>
          <w:sz w:val="28"/>
          <w:szCs w:val="28"/>
        </w:rPr>
        <w:tab/>
      </w:r>
      <w:r w:rsidR="0001591A" w:rsidRPr="00685259">
        <w:rPr>
          <w:sz w:val="28"/>
          <w:szCs w:val="28"/>
        </w:rPr>
        <w:t>On 4 April 2019, a</w:t>
      </w:r>
      <w:r w:rsidR="007E7474" w:rsidRPr="00685259">
        <w:rPr>
          <w:sz w:val="28"/>
          <w:szCs w:val="28"/>
        </w:rPr>
        <w:t xml:space="preserve">fter an extensive exchange of correspondence, </w:t>
      </w:r>
      <w:r w:rsidR="00482C63" w:rsidRPr="00685259">
        <w:rPr>
          <w:sz w:val="28"/>
          <w:szCs w:val="28"/>
        </w:rPr>
        <w:t>SARS</w:t>
      </w:r>
      <w:r w:rsidR="00053D62" w:rsidRPr="00685259">
        <w:rPr>
          <w:sz w:val="28"/>
          <w:szCs w:val="28"/>
        </w:rPr>
        <w:t xml:space="preserve"> issued a private binding ruling to the effect that s 10(19), and not s 10(18), of the Act applied. </w:t>
      </w:r>
      <w:r w:rsidR="00C84358" w:rsidRPr="00685259">
        <w:rPr>
          <w:sz w:val="28"/>
          <w:szCs w:val="28"/>
        </w:rPr>
        <w:t>Aggrieved by the ruling, MTN approached the Gauteng Division of the High Court, Pretoria, (the high court) for the following relief:</w:t>
      </w:r>
    </w:p>
    <w:p w14:paraId="188452C4" w14:textId="0DC54C10" w:rsidR="00C84358" w:rsidRPr="00DC3181" w:rsidRDefault="00C84358" w:rsidP="00401A7D">
      <w:r w:rsidRPr="00DC3181">
        <w:t>‘1.</w:t>
      </w:r>
      <w:r w:rsidRPr="00DC3181">
        <w:tab/>
        <w:t>Declaring that the supply by the Applicant of pre-paid tokens or vouchers for a consideration denominated in Rand, entitling the holder to receive available services and products on the MTN mobile network, as selected by the holder, to the extent of the monetary value stated on or attributed to the tokens or vouchers (multi-purpose vouchers), constitutes a supply as envisaged in section 10(18) of the [Act]</w:t>
      </w:r>
      <w:r w:rsidR="00A51B6D" w:rsidRPr="00DC3181">
        <w:t>.</w:t>
      </w:r>
    </w:p>
    <w:p w14:paraId="2767EE37" w14:textId="587A1EA2" w:rsidR="00C84358" w:rsidRPr="00DC3181" w:rsidRDefault="00C84358" w:rsidP="00401A7D">
      <w:r w:rsidRPr="00DC3181">
        <w:t>2.</w:t>
      </w:r>
      <w:r w:rsidRPr="00DC3181">
        <w:tab/>
        <w:t>Declaring, accordingly, that the supply of such token or voucher is disregarded for the purposes of the [Act], except to the extent (if any) that the consideration for the multi-purpose voucher exceeds the monetary value stated thereon</w:t>
      </w:r>
      <w:r w:rsidR="00A51B6D" w:rsidRPr="00DC3181">
        <w:t>.</w:t>
      </w:r>
    </w:p>
    <w:p w14:paraId="592A729F" w14:textId="7F4884FE" w:rsidR="00C84358" w:rsidRPr="00DC3181" w:rsidRDefault="00C84358" w:rsidP="00401A7D">
      <w:r w:rsidRPr="00DC3181">
        <w:t>3.</w:t>
      </w:r>
      <w:r w:rsidRPr="00DC3181">
        <w:tab/>
        <w:t>To the extent necessary declaring to be incorrect and/or setting aside the ruling issued by the Respondent on 4 April 2019, to the effect that the pre-paid vouchers fall within the ambit of section 10(19) of the [Act] and that value-added tax must accordingly be accounted for by the Applicant when the voucher is sold to the subscriber</w:t>
      </w:r>
      <w:r w:rsidR="00A51B6D" w:rsidRPr="00DC3181">
        <w:t>.</w:t>
      </w:r>
    </w:p>
    <w:p w14:paraId="4C7C11E8" w14:textId="64DFCCC0" w:rsidR="00C84358" w:rsidRPr="00DC3181" w:rsidRDefault="00C84358" w:rsidP="00401A7D">
      <w:pPr>
        <w:rPr>
          <w:sz w:val="28"/>
          <w:szCs w:val="28"/>
        </w:rPr>
      </w:pPr>
      <w:r w:rsidRPr="00DC3181">
        <w:t>4.</w:t>
      </w:r>
      <w:r w:rsidRPr="00DC3181">
        <w:tab/>
        <w:t>Directing the Respondent to pay the costs of this application.</w:t>
      </w:r>
      <w:r w:rsidR="00D57B87">
        <w:t>’</w:t>
      </w:r>
    </w:p>
    <w:p w14:paraId="4EC7CA72" w14:textId="52136D39" w:rsidR="00C84358" w:rsidRPr="00DC3181" w:rsidRDefault="00C84358" w:rsidP="00401A7D">
      <w:pPr>
        <w:rPr>
          <w:sz w:val="28"/>
          <w:szCs w:val="28"/>
        </w:rPr>
      </w:pPr>
      <w:r w:rsidRPr="00DC3181">
        <w:rPr>
          <w:sz w:val="28"/>
          <w:szCs w:val="28"/>
        </w:rPr>
        <w:t>The high court, per Hughes J, entertained the application for declaratory relief but dismissed the application with costs. It is against that order that MTN appeals</w:t>
      </w:r>
      <w:r w:rsidR="00DA59DA" w:rsidRPr="00DC3181">
        <w:rPr>
          <w:sz w:val="28"/>
          <w:szCs w:val="28"/>
        </w:rPr>
        <w:t>,</w:t>
      </w:r>
      <w:r w:rsidRPr="00DC3181">
        <w:rPr>
          <w:sz w:val="28"/>
          <w:szCs w:val="28"/>
        </w:rPr>
        <w:t xml:space="preserve"> with her leave.</w:t>
      </w:r>
    </w:p>
    <w:p w14:paraId="5BC44DEC" w14:textId="61AE5719" w:rsidR="003869D5" w:rsidRPr="00DC3181" w:rsidRDefault="003869D5" w:rsidP="00401A7D">
      <w:pPr>
        <w:pStyle w:val="ListParagraph"/>
        <w:ind w:left="0"/>
        <w:rPr>
          <w:sz w:val="28"/>
          <w:szCs w:val="28"/>
        </w:rPr>
      </w:pPr>
    </w:p>
    <w:p w14:paraId="3F7F66A9" w14:textId="585AD350" w:rsidR="00473483" w:rsidRPr="00685259" w:rsidRDefault="00685259" w:rsidP="00685259">
      <w:pPr>
        <w:rPr>
          <w:sz w:val="28"/>
          <w:szCs w:val="28"/>
        </w:rPr>
      </w:pPr>
      <w:r w:rsidRPr="00DC3181">
        <w:rPr>
          <w:sz w:val="28"/>
          <w:szCs w:val="28"/>
        </w:rPr>
        <w:t>[3]</w:t>
      </w:r>
      <w:r w:rsidRPr="00DC3181">
        <w:rPr>
          <w:sz w:val="28"/>
          <w:szCs w:val="28"/>
        </w:rPr>
        <w:tab/>
      </w:r>
      <w:r w:rsidR="00473483" w:rsidRPr="00685259">
        <w:rPr>
          <w:sz w:val="28"/>
          <w:szCs w:val="28"/>
        </w:rPr>
        <w:t>The legislative backdrop to the matter frames the dispute. Section 7(1) of the Act levies a tax on ‘the supply by any vendor of goods or services supplied by him’. And ss 10(18) and (19) provide:</w:t>
      </w:r>
    </w:p>
    <w:p w14:paraId="15923FBB" w14:textId="77777777" w:rsidR="00473483" w:rsidRPr="00DC3181" w:rsidRDefault="00473483" w:rsidP="00401A7D">
      <w:r w:rsidRPr="00DC3181">
        <w:t>‘(18)  Where a right to receive goods or services to the extent of a monetary value stated on any token, voucher or stamp (other than a postage stamp as defined in section 1 of the Postal Services Act, 1998, and any token, voucher or stamp contemplated in subsection (19)) is granted for a consideration in money, the supply of such token, voucher or stamp is disregarded for the purposes of this Act, except to the extent (if any) that such consideration exceeds such monetary value.</w:t>
      </w:r>
    </w:p>
    <w:p w14:paraId="26A3B6B6" w14:textId="77777777" w:rsidR="00473483" w:rsidRPr="00DC3181" w:rsidRDefault="00473483" w:rsidP="00401A7D">
      <w:r w:rsidRPr="00DC3181">
        <w:lastRenderedPageBreak/>
        <w:t>(19)   Where any token, voucher or stamp (other than a postage stamp as defined in section 1 of the Postal Services Act, 1998) is issued for a consideration in money and the holder thereof is entitled on the surrender thereof to receive goods or services specified on such token, voucher or stamp or which by usage or arrangement entitles the holder to specified goods or services, without any further charge, the value of the supply of the goods or services made upon the surrender of such token, voucher or stamp is regarded as nil.’</w:t>
      </w:r>
    </w:p>
    <w:p w14:paraId="37704875" w14:textId="0AC8D7E6" w:rsidR="00BB5912" w:rsidRPr="00DC3181" w:rsidRDefault="00473483" w:rsidP="00401A7D">
      <w:pPr>
        <w:rPr>
          <w:sz w:val="28"/>
          <w:szCs w:val="28"/>
        </w:rPr>
      </w:pPr>
      <w:r w:rsidRPr="00DC3181">
        <w:rPr>
          <w:sz w:val="28"/>
          <w:szCs w:val="28"/>
        </w:rPr>
        <w:t xml:space="preserve">The former attracts VAT only </w:t>
      </w:r>
      <w:r w:rsidR="00164D6B" w:rsidRPr="00DC3181">
        <w:rPr>
          <w:sz w:val="28"/>
          <w:szCs w:val="28"/>
        </w:rPr>
        <w:t>at the time</w:t>
      </w:r>
      <w:r w:rsidR="000956EF" w:rsidRPr="00DC3181">
        <w:rPr>
          <w:sz w:val="28"/>
          <w:szCs w:val="28"/>
        </w:rPr>
        <w:t xml:space="preserve"> </w:t>
      </w:r>
      <w:r w:rsidR="00B1750D" w:rsidRPr="00DC3181">
        <w:rPr>
          <w:sz w:val="28"/>
          <w:szCs w:val="28"/>
        </w:rPr>
        <w:t>a</w:t>
      </w:r>
      <w:r w:rsidRPr="00DC3181">
        <w:rPr>
          <w:sz w:val="28"/>
          <w:szCs w:val="28"/>
        </w:rPr>
        <w:t xml:space="preserve"> voucher</w:t>
      </w:r>
      <w:r w:rsidR="00D95A6D" w:rsidRPr="00DC3181">
        <w:rPr>
          <w:sz w:val="28"/>
          <w:szCs w:val="28"/>
        </w:rPr>
        <w:t xml:space="preserve"> </w:t>
      </w:r>
      <w:r w:rsidRPr="00DC3181">
        <w:rPr>
          <w:sz w:val="28"/>
          <w:szCs w:val="28"/>
        </w:rPr>
        <w:t>is used to procure goods or services</w:t>
      </w:r>
      <w:r w:rsidR="000956EF" w:rsidRPr="00DC3181">
        <w:rPr>
          <w:sz w:val="28"/>
          <w:szCs w:val="28"/>
        </w:rPr>
        <w:t xml:space="preserve"> rather than at the time the voucher is supplied</w:t>
      </w:r>
      <w:r w:rsidRPr="00DC3181">
        <w:rPr>
          <w:sz w:val="28"/>
          <w:szCs w:val="28"/>
        </w:rPr>
        <w:t xml:space="preserve">. In the latter instance, VAT is levied on </w:t>
      </w:r>
      <w:r w:rsidR="00BB5912" w:rsidRPr="00DC3181">
        <w:rPr>
          <w:sz w:val="28"/>
          <w:szCs w:val="28"/>
        </w:rPr>
        <w:t xml:space="preserve">the </w:t>
      </w:r>
      <w:r w:rsidRPr="00DC3181">
        <w:rPr>
          <w:sz w:val="28"/>
          <w:szCs w:val="28"/>
        </w:rPr>
        <w:t xml:space="preserve">sale of </w:t>
      </w:r>
      <w:r w:rsidR="00D95A6D" w:rsidRPr="00DC3181">
        <w:rPr>
          <w:sz w:val="28"/>
          <w:szCs w:val="28"/>
        </w:rPr>
        <w:t>a</w:t>
      </w:r>
      <w:r w:rsidRPr="00DC3181">
        <w:rPr>
          <w:sz w:val="28"/>
          <w:szCs w:val="28"/>
        </w:rPr>
        <w:t xml:space="preserve"> voucher but no further VAT is levied when the voucher is </w:t>
      </w:r>
      <w:r w:rsidR="00BB5912" w:rsidRPr="00DC3181">
        <w:rPr>
          <w:sz w:val="28"/>
          <w:szCs w:val="28"/>
        </w:rPr>
        <w:t>‘surrendered’</w:t>
      </w:r>
      <w:r w:rsidRPr="00DC3181">
        <w:rPr>
          <w:sz w:val="28"/>
          <w:szCs w:val="28"/>
        </w:rPr>
        <w:t>.</w:t>
      </w:r>
      <w:r w:rsidR="00D95A6D" w:rsidRPr="00DC3181">
        <w:rPr>
          <w:sz w:val="28"/>
          <w:szCs w:val="28"/>
        </w:rPr>
        <w:t xml:space="preserve"> </w:t>
      </w:r>
    </w:p>
    <w:p w14:paraId="36536652" w14:textId="7F90709B" w:rsidR="00440828" w:rsidRPr="00DC3181" w:rsidRDefault="00440828" w:rsidP="00440828">
      <w:pPr>
        <w:pStyle w:val="ListParagraph"/>
        <w:ind w:left="0"/>
        <w:rPr>
          <w:sz w:val="28"/>
          <w:szCs w:val="28"/>
        </w:rPr>
      </w:pPr>
    </w:p>
    <w:p w14:paraId="1917A524" w14:textId="7EFF685F" w:rsidR="00BB5912" w:rsidRPr="00685259" w:rsidRDefault="00685259" w:rsidP="00685259">
      <w:pPr>
        <w:rPr>
          <w:sz w:val="28"/>
          <w:szCs w:val="28"/>
        </w:rPr>
      </w:pPr>
      <w:r w:rsidRPr="00DC3181">
        <w:rPr>
          <w:sz w:val="28"/>
          <w:szCs w:val="28"/>
        </w:rPr>
        <w:t>[4]</w:t>
      </w:r>
      <w:r w:rsidRPr="00DC3181">
        <w:rPr>
          <w:sz w:val="28"/>
          <w:szCs w:val="28"/>
        </w:rPr>
        <w:tab/>
      </w:r>
      <w:r w:rsidR="00BB5912" w:rsidRPr="00685259">
        <w:rPr>
          <w:sz w:val="28"/>
          <w:szCs w:val="28"/>
        </w:rPr>
        <w:t xml:space="preserve">MTN submitted that </w:t>
      </w:r>
      <w:r w:rsidR="00052C88" w:rsidRPr="00685259">
        <w:rPr>
          <w:sz w:val="28"/>
          <w:szCs w:val="28"/>
        </w:rPr>
        <w:t>two types of voucher</w:t>
      </w:r>
      <w:r w:rsidR="00B530E2" w:rsidRPr="00685259">
        <w:rPr>
          <w:sz w:val="28"/>
          <w:szCs w:val="28"/>
        </w:rPr>
        <w:t>s</w:t>
      </w:r>
      <w:r w:rsidR="00052C88" w:rsidRPr="00685259">
        <w:rPr>
          <w:sz w:val="28"/>
          <w:szCs w:val="28"/>
        </w:rPr>
        <w:t xml:space="preserve"> supplied by </w:t>
      </w:r>
      <w:r w:rsidR="000F1BFA" w:rsidRPr="00685259">
        <w:rPr>
          <w:sz w:val="28"/>
          <w:szCs w:val="28"/>
        </w:rPr>
        <w:t>i</w:t>
      </w:r>
      <w:r w:rsidR="00052C88" w:rsidRPr="00685259">
        <w:rPr>
          <w:sz w:val="28"/>
          <w:szCs w:val="28"/>
        </w:rPr>
        <w:t xml:space="preserve">t fall under </w:t>
      </w:r>
      <w:r w:rsidR="00995710" w:rsidRPr="00685259">
        <w:rPr>
          <w:sz w:val="28"/>
          <w:szCs w:val="28"/>
        </w:rPr>
        <w:t xml:space="preserve">the </w:t>
      </w:r>
      <w:r w:rsidR="00E170DF" w:rsidRPr="00685259">
        <w:rPr>
          <w:sz w:val="28"/>
          <w:szCs w:val="28"/>
        </w:rPr>
        <w:t>different</w:t>
      </w:r>
      <w:r w:rsidR="00BB5912" w:rsidRPr="00685259">
        <w:rPr>
          <w:sz w:val="28"/>
          <w:szCs w:val="28"/>
        </w:rPr>
        <w:t xml:space="preserve"> sections</w:t>
      </w:r>
      <w:r w:rsidR="00E775B2" w:rsidRPr="00685259">
        <w:rPr>
          <w:sz w:val="28"/>
          <w:szCs w:val="28"/>
        </w:rPr>
        <w:t xml:space="preserve"> concerned</w:t>
      </w:r>
      <w:r w:rsidR="00BB5912" w:rsidRPr="00685259">
        <w:rPr>
          <w:sz w:val="28"/>
          <w:szCs w:val="28"/>
        </w:rPr>
        <w:t xml:space="preserve">. The first type specifies the goods which can be obtained </w:t>
      </w:r>
      <w:r w:rsidR="00907EC4" w:rsidRPr="00685259">
        <w:rPr>
          <w:sz w:val="28"/>
          <w:szCs w:val="28"/>
        </w:rPr>
        <w:t>by using</w:t>
      </w:r>
      <w:r w:rsidR="00124F21" w:rsidRPr="00685259">
        <w:rPr>
          <w:sz w:val="28"/>
          <w:szCs w:val="28"/>
        </w:rPr>
        <w:t xml:space="preserve"> t</w:t>
      </w:r>
      <w:r w:rsidR="00BB5912" w:rsidRPr="00685259">
        <w:rPr>
          <w:sz w:val="28"/>
          <w:szCs w:val="28"/>
        </w:rPr>
        <w:t>he voucher. A</w:t>
      </w:r>
      <w:r w:rsidR="00907EC4" w:rsidRPr="00685259">
        <w:rPr>
          <w:sz w:val="28"/>
          <w:szCs w:val="28"/>
        </w:rPr>
        <w:t>n</w:t>
      </w:r>
      <w:r w:rsidR="00BB5912" w:rsidRPr="00685259">
        <w:rPr>
          <w:sz w:val="28"/>
          <w:szCs w:val="28"/>
        </w:rPr>
        <w:t xml:space="preserve"> example </w:t>
      </w:r>
      <w:r w:rsidR="00B360C6" w:rsidRPr="00685259">
        <w:rPr>
          <w:sz w:val="28"/>
          <w:szCs w:val="28"/>
        </w:rPr>
        <w:t>given wa</w:t>
      </w:r>
      <w:r w:rsidR="00BB5912" w:rsidRPr="00685259">
        <w:rPr>
          <w:sz w:val="28"/>
          <w:szCs w:val="28"/>
        </w:rPr>
        <w:t>s a data voucher. What is purchased i</w:t>
      </w:r>
      <w:r w:rsidR="00E170DF" w:rsidRPr="00685259">
        <w:rPr>
          <w:sz w:val="28"/>
          <w:szCs w:val="28"/>
        </w:rPr>
        <w:t>s</w:t>
      </w:r>
      <w:r w:rsidR="00BB5912" w:rsidRPr="00685259">
        <w:rPr>
          <w:sz w:val="28"/>
          <w:szCs w:val="28"/>
        </w:rPr>
        <w:t xml:space="preserve"> the right to use </w:t>
      </w:r>
      <w:r w:rsidR="00274C0D" w:rsidRPr="00685259">
        <w:rPr>
          <w:sz w:val="28"/>
          <w:szCs w:val="28"/>
        </w:rPr>
        <w:t xml:space="preserve">the </w:t>
      </w:r>
      <w:r w:rsidR="009E70ED" w:rsidRPr="00685259">
        <w:rPr>
          <w:sz w:val="28"/>
          <w:szCs w:val="28"/>
        </w:rPr>
        <w:t>volume</w:t>
      </w:r>
      <w:r w:rsidR="00274C0D" w:rsidRPr="00685259">
        <w:rPr>
          <w:sz w:val="28"/>
          <w:szCs w:val="28"/>
        </w:rPr>
        <w:t xml:space="preserve"> of </w:t>
      </w:r>
      <w:r w:rsidR="00BB5912" w:rsidRPr="00685259">
        <w:rPr>
          <w:sz w:val="28"/>
          <w:szCs w:val="28"/>
        </w:rPr>
        <w:t xml:space="preserve">data purchased. It cannot be used to access anything </w:t>
      </w:r>
      <w:r w:rsidR="00124F21" w:rsidRPr="00685259">
        <w:rPr>
          <w:sz w:val="28"/>
          <w:szCs w:val="28"/>
        </w:rPr>
        <w:t>else</w:t>
      </w:r>
      <w:r w:rsidR="00BB5912" w:rsidRPr="00685259">
        <w:rPr>
          <w:sz w:val="28"/>
          <w:szCs w:val="28"/>
        </w:rPr>
        <w:t xml:space="preserve">. </w:t>
      </w:r>
      <w:r w:rsidR="00276065" w:rsidRPr="00685259">
        <w:rPr>
          <w:sz w:val="28"/>
          <w:szCs w:val="28"/>
        </w:rPr>
        <w:t xml:space="preserve">This type of voucher falls under s 10(19). </w:t>
      </w:r>
      <w:r w:rsidR="00BB5912" w:rsidRPr="00685259">
        <w:rPr>
          <w:sz w:val="28"/>
          <w:szCs w:val="28"/>
        </w:rPr>
        <w:t xml:space="preserve">The second type is </w:t>
      </w:r>
      <w:r w:rsidR="00CD3AA1" w:rsidRPr="00685259">
        <w:rPr>
          <w:sz w:val="28"/>
          <w:szCs w:val="28"/>
        </w:rPr>
        <w:t>the pre-paid vouchers</w:t>
      </w:r>
      <w:r w:rsidR="00BB5912" w:rsidRPr="00685259">
        <w:rPr>
          <w:sz w:val="28"/>
          <w:szCs w:val="28"/>
        </w:rPr>
        <w:t>. These have a rand value and can be used to access a wide range of services offered by MTN. They are not limited to specific services such as data. These are</w:t>
      </w:r>
      <w:r w:rsidR="002B6027" w:rsidRPr="00685259">
        <w:rPr>
          <w:sz w:val="28"/>
          <w:szCs w:val="28"/>
        </w:rPr>
        <w:t>, MTN said,</w:t>
      </w:r>
      <w:r w:rsidR="00BB5912" w:rsidRPr="00685259">
        <w:rPr>
          <w:sz w:val="28"/>
          <w:szCs w:val="28"/>
        </w:rPr>
        <w:t xml:space="preserve"> ‘typically referred to as “</w:t>
      </w:r>
      <w:r w:rsidR="00BB5912" w:rsidRPr="00685259">
        <w:rPr>
          <w:i/>
          <w:iCs/>
          <w:sz w:val="28"/>
          <w:szCs w:val="28"/>
        </w:rPr>
        <w:t>airtime</w:t>
      </w:r>
      <w:r w:rsidR="00BB5912" w:rsidRPr="00685259">
        <w:rPr>
          <w:sz w:val="28"/>
          <w:szCs w:val="28"/>
        </w:rPr>
        <w:t>” vouchers</w:t>
      </w:r>
      <w:r w:rsidR="004C162C" w:rsidRPr="00685259">
        <w:rPr>
          <w:sz w:val="28"/>
          <w:szCs w:val="28"/>
        </w:rPr>
        <w:t>’</w:t>
      </w:r>
      <w:r w:rsidR="00BB5912" w:rsidRPr="00685259">
        <w:rPr>
          <w:sz w:val="28"/>
          <w:szCs w:val="28"/>
        </w:rPr>
        <w:t>.</w:t>
      </w:r>
      <w:r w:rsidR="00BB5912" w:rsidRPr="00DC3181">
        <w:rPr>
          <w:rStyle w:val="FootnoteReference"/>
          <w:sz w:val="28"/>
          <w:szCs w:val="28"/>
        </w:rPr>
        <w:footnoteReference w:id="3"/>
      </w:r>
      <w:r w:rsidR="00276065" w:rsidRPr="00685259">
        <w:rPr>
          <w:sz w:val="28"/>
          <w:szCs w:val="28"/>
        </w:rPr>
        <w:t xml:space="preserve"> These</w:t>
      </w:r>
      <w:r w:rsidR="00D2731F" w:rsidRPr="00685259">
        <w:rPr>
          <w:sz w:val="28"/>
          <w:szCs w:val="28"/>
        </w:rPr>
        <w:t>, it contended,</w:t>
      </w:r>
      <w:r w:rsidR="00276065" w:rsidRPr="00685259">
        <w:rPr>
          <w:sz w:val="28"/>
          <w:szCs w:val="28"/>
        </w:rPr>
        <w:t xml:space="preserve"> f</w:t>
      </w:r>
      <w:r w:rsidR="00A3049D" w:rsidRPr="00685259">
        <w:rPr>
          <w:sz w:val="28"/>
          <w:szCs w:val="28"/>
        </w:rPr>
        <w:t>a</w:t>
      </w:r>
      <w:r w:rsidR="00276065" w:rsidRPr="00685259">
        <w:rPr>
          <w:sz w:val="28"/>
          <w:szCs w:val="28"/>
        </w:rPr>
        <w:t>ll under s 10(18).</w:t>
      </w:r>
    </w:p>
    <w:p w14:paraId="628F8ACD" w14:textId="77777777" w:rsidR="00BB5912" w:rsidRPr="00DC3181" w:rsidRDefault="00BB5912" w:rsidP="00401A7D">
      <w:pPr>
        <w:pStyle w:val="ListParagraph"/>
        <w:ind w:left="0"/>
        <w:rPr>
          <w:sz w:val="28"/>
          <w:szCs w:val="28"/>
        </w:rPr>
      </w:pPr>
    </w:p>
    <w:p w14:paraId="1AF3A9A2" w14:textId="78D3AF84" w:rsidR="00EE0771" w:rsidRPr="00685259" w:rsidRDefault="00685259" w:rsidP="00685259">
      <w:pPr>
        <w:rPr>
          <w:sz w:val="28"/>
          <w:szCs w:val="28"/>
        </w:rPr>
      </w:pPr>
      <w:r w:rsidRPr="00DC3181">
        <w:rPr>
          <w:sz w:val="28"/>
          <w:szCs w:val="28"/>
        </w:rPr>
        <w:t>[5]</w:t>
      </w:r>
      <w:r w:rsidRPr="00DC3181">
        <w:rPr>
          <w:sz w:val="28"/>
          <w:szCs w:val="28"/>
        </w:rPr>
        <w:tab/>
      </w:r>
      <w:r w:rsidR="00EE0771" w:rsidRPr="00685259">
        <w:rPr>
          <w:sz w:val="28"/>
          <w:szCs w:val="28"/>
        </w:rPr>
        <w:t>MTN analysed the key difference between the two provisions.</w:t>
      </w:r>
      <w:r w:rsidR="00EE0771" w:rsidRPr="00DC3181">
        <w:rPr>
          <w:rStyle w:val="FootnoteReference"/>
          <w:sz w:val="28"/>
          <w:szCs w:val="28"/>
        </w:rPr>
        <w:footnoteReference w:id="4"/>
      </w:r>
      <w:r w:rsidR="00EE0771" w:rsidRPr="00685259">
        <w:rPr>
          <w:sz w:val="28"/>
          <w:szCs w:val="28"/>
        </w:rPr>
        <w:t xml:space="preserve"> Under s 10(18), the voucher specifies the value of goods or services that may be selected rather than specifying </w:t>
      </w:r>
      <w:r w:rsidR="009E70ED" w:rsidRPr="00685259">
        <w:rPr>
          <w:sz w:val="28"/>
          <w:szCs w:val="28"/>
        </w:rPr>
        <w:t>the</w:t>
      </w:r>
      <w:r w:rsidR="00EE0771" w:rsidRPr="00685259">
        <w:rPr>
          <w:sz w:val="28"/>
          <w:szCs w:val="28"/>
        </w:rPr>
        <w:t xml:space="preserve"> goods or services which the voucher may be used to acquire from the vendor. Under s 10(19), the particular goods or services to which </w:t>
      </w:r>
      <w:r w:rsidR="00EE0771" w:rsidRPr="00685259">
        <w:rPr>
          <w:sz w:val="28"/>
          <w:szCs w:val="28"/>
        </w:rPr>
        <w:lastRenderedPageBreak/>
        <w:t xml:space="preserve">the holder is entitled are specified rather than their value. </w:t>
      </w:r>
      <w:r w:rsidR="00482C63" w:rsidRPr="00685259">
        <w:rPr>
          <w:sz w:val="28"/>
          <w:szCs w:val="28"/>
        </w:rPr>
        <w:t>SARS</w:t>
      </w:r>
      <w:r w:rsidR="00EE0771" w:rsidRPr="00685259">
        <w:rPr>
          <w:sz w:val="28"/>
          <w:szCs w:val="28"/>
        </w:rPr>
        <w:t xml:space="preserve"> </w:t>
      </w:r>
      <w:r w:rsidR="007F5085" w:rsidRPr="00685259">
        <w:rPr>
          <w:sz w:val="28"/>
          <w:szCs w:val="28"/>
        </w:rPr>
        <w:t xml:space="preserve">submitted that </w:t>
      </w:r>
      <w:r w:rsidR="00EE0771" w:rsidRPr="00685259">
        <w:rPr>
          <w:sz w:val="28"/>
          <w:szCs w:val="28"/>
        </w:rPr>
        <w:t xml:space="preserve">the enquiry </w:t>
      </w:r>
      <w:r w:rsidR="00C75F1E" w:rsidRPr="00685259">
        <w:rPr>
          <w:sz w:val="28"/>
          <w:szCs w:val="28"/>
        </w:rPr>
        <w:t>w</w:t>
      </w:r>
      <w:r w:rsidR="00EE0771" w:rsidRPr="00685259">
        <w:rPr>
          <w:sz w:val="28"/>
          <w:szCs w:val="28"/>
        </w:rPr>
        <w:t>as</w:t>
      </w:r>
      <w:r w:rsidR="00C75F1E" w:rsidRPr="00685259">
        <w:rPr>
          <w:sz w:val="28"/>
          <w:szCs w:val="28"/>
        </w:rPr>
        <w:t xml:space="preserve"> therefore</w:t>
      </w:r>
      <w:r w:rsidR="00EE0771" w:rsidRPr="00685259">
        <w:rPr>
          <w:sz w:val="28"/>
          <w:szCs w:val="28"/>
        </w:rPr>
        <w:t xml:space="preserve"> whether:</w:t>
      </w:r>
    </w:p>
    <w:p w14:paraId="10BF7B81" w14:textId="4776F26B" w:rsidR="00EE0771" w:rsidRPr="00685259" w:rsidRDefault="00685259" w:rsidP="00685259">
      <w:pPr>
        <w:rPr>
          <w:sz w:val="28"/>
          <w:szCs w:val="28"/>
        </w:rPr>
      </w:pPr>
      <w:r w:rsidRPr="00DC3181">
        <w:rPr>
          <w:sz w:val="28"/>
          <w:szCs w:val="28"/>
        </w:rPr>
        <w:t>a)</w:t>
      </w:r>
      <w:r w:rsidRPr="00DC3181">
        <w:rPr>
          <w:sz w:val="28"/>
          <w:szCs w:val="28"/>
        </w:rPr>
        <w:tab/>
      </w:r>
      <w:r w:rsidR="00EE0771" w:rsidRPr="00685259">
        <w:rPr>
          <w:sz w:val="28"/>
          <w:szCs w:val="28"/>
        </w:rPr>
        <w:t>Airtime (the voucher) itself constitutes ‘goods’, alternatively whether what can be exchanged for the voucher constitutes ‘goods or services’ that are specified by usage or arrangement; or</w:t>
      </w:r>
    </w:p>
    <w:p w14:paraId="1CF1BA90" w14:textId="3EB544F0" w:rsidR="00EE0771" w:rsidRPr="00685259" w:rsidRDefault="00685259" w:rsidP="00685259">
      <w:pPr>
        <w:rPr>
          <w:sz w:val="28"/>
          <w:szCs w:val="28"/>
        </w:rPr>
      </w:pPr>
      <w:r w:rsidRPr="00DC3181">
        <w:rPr>
          <w:sz w:val="28"/>
          <w:szCs w:val="28"/>
        </w:rPr>
        <w:t>b)</w:t>
      </w:r>
      <w:r w:rsidRPr="00DC3181">
        <w:rPr>
          <w:sz w:val="28"/>
          <w:szCs w:val="28"/>
        </w:rPr>
        <w:tab/>
      </w:r>
      <w:r w:rsidR="00EE0771" w:rsidRPr="00685259">
        <w:rPr>
          <w:sz w:val="28"/>
          <w:szCs w:val="28"/>
        </w:rPr>
        <w:t>Airtime simply means the voucher itself, which is a form of currency that can be exchanged for an unspecified number of goods and services, akin to a gift voucher.</w:t>
      </w:r>
    </w:p>
    <w:p w14:paraId="3E0538F5" w14:textId="6551AD41" w:rsidR="00FC3709" w:rsidRPr="00DC3181" w:rsidRDefault="00482C63" w:rsidP="00401A7D">
      <w:pPr>
        <w:pStyle w:val="ListParagraph"/>
        <w:ind w:left="0"/>
        <w:rPr>
          <w:sz w:val="28"/>
          <w:szCs w:val="28"/>
        </w:rPr>
      </w:pPr>
      <w:r w:rsidRPr="00DC3181">
        <w:rPr>
          <w:sz w:val="28"/>
          <w:szCs w:val="28"/>
        </w:rPr>
        <w:t>SARS</w:t>
      </w:r>
      <w:r w:rsidR="00EE0771" w:rsidRPr="00DC3181">
        <w:rPr>
          <w:sz w:val="28"/>
          <w:szCs w:val="28"/>
        </w:rPr>
        <w:t xml:space="preserve"> contended </w:t>
      </w:r>
      <w:r w:rsidR="000B7EED" w:rsidRPr="00DC3181">
        <w:rPr>
          <w:sz w:val="28"/>
          <w:szCs w:val="28"/>
        </w:rPr>
        <w:t xml:space="preserve">that </w:t>
      </w:r>
      <w:r w:rsidR="00C75F1E" w:rsidRPr="00DC3181">
        <w:rPr>
          <w:sz w:val="28"/>
          <w:szCs w:val="28"/>
        </w:rPr>
        <w:t>the pre-paid</w:t>
      </w:r>
      <w:r w:rsidR="000B7EED" w:rsidRPr="00DC3181">
        <w:rPr>
          <w:sz w:val="28"/>
          <w:szCs w:val="28"/>
        </w:rPr>
        <w:t xml:space="preserve"> vouchers fall under </w:t>
      </w:r>
      <w:r w:rsidR="00EE0771" w:rsidRPr="00DC3181">
        <w:rPr>
          <w:sz w:val="28"/>
          <w:szCs w:val="28"/>
        </w:rPr>
        <w:t>the f</w:t>
      </w:r>
      <w:r w:rsidRPr="00DC3181">
        <w:rPr>
          <w:sz w:val="28"/>
          <w:szCs w:val="28"/>
        </w:rPr>
        <w:t>irst of these</w:t>
      </w:r>
      <w:r w:rsidR="00EE0771" w:rsidRPr="00DC3181">
        <w:rPr>
          <w:sz w:val="28"/>
          <w:szCs w:val="28"/>
        </w:rPr>
        <w:t xml:space="preserve"> and MTN </w:t>
      </w:r>
      <w:r w:rsidR="000B7EED" w:rsidRPr="00DC3181">
        <w:rPr>
          <w:sz w:val="28"/>
          <w:szCs w:val="28"/>
        </w:rPr>
        <w:t xml:space="preserve">that they fall under </w:t>
      </w:r>
      <w:r w:rsidR="00EE0771" w:rsidRPr="00DC3181">
        <w:rPr>
          <w:sz w:val="28"/>
          <w:szCs w:val="28"/>
        </w:rPr>
        <w:t xml:space="preserve">the </w:t>
      </w:r>
      <w:r w:rsidRPr="00DC3181">
        <w:rPr>
          <w:sz w:val="28"/>
          <w:szCs w:val="28"/>
        </w:rPr>
        <w:t>second</w:t>
      </w:r>
      <w:r w:rsidR="00EE0771" w:rsidRPr="00DC3181">
        <w:rPr>
          <w:sz w:val="28"/>
          <w:szCs w:val="28"/>
        </w:rPr>
        <w:t>. This is where the lines</w:t>
      </w:r>
      <w:r w:rsidR="00266709" w:rsidRPr="00DC3181">
        <w:rPr>
          <w:sz w:val="28"/>
          <w:szCs w:val="28"/>
        </w:rPr>
        <w:t xml:space="preserve"> </w:t>
      </w:r>
      <w:r w:rsidR="00EE0771" w:rsidRPr="00DC3181">
        <w:rPr>
          <w:sz w:val="28"/>
          <w:szCs w:val="28"/>
        </w:rPr>
        <w:t>were drawn in the litigation.</w:t>
      </w:r>
    </w:p>
    <w:p w14:paraId="14A6CCB6" w14:textId="77777777" w:rsidR="00B1374E" w:rsidRPr="00DC3181" w:rsidRDefault="00B1374E" w:rsidP="00401A7D">
      <w:pPr>
        <w:pStyle w:val="ListParagraph"/>
        <w:ind w:left="0"/>
        <w:rPr>
          <w:sz w:val="28"/>
          <w:szCs w:val="28"/>
        </w:rPr>
      </w:pPr>
    </w:p>
    <w:p w14:paraId="773B2C3A" w14:textId="2B9AF602" w:rsidR="00266709" w:rsidRPr="00685259" w:rsidRDefault="00685259" w:rsidP="00685259">
      <w:pPr>
        <w:rPr>
          <w:sz w:val="28"/>
          <w:szCs w:val="28"/>
        </w:rPr>
      </w:pPr>
      <w:r w:rsidRPr="00DC3181">
        <w:rPr>
          <w:sz w:val="28"/>
          <w:szCs w:val="28"/>
        </w:rPr>
        <w:t>[6]</w:t>
      </w:r>
      <w:r w:rsidRPr="00DC3181">
        <w:rPr>
          <w:sz w:val="28"/>
          <w:szCs w:val="28"/>
        </w:rPr>
        <w:tab/>
      </w:r>
      <w:r w:rsidR="00882C1C" w:rsidRPr="00685259">
        <w:rPr>
          <w:sz w:val="28"/>
          <w:szCs w:val="28"/>
        </w:rPr>
        <w:t xml:space="preserve">In essence, this appeal relates to two main issues. The first is whether </w:t>
      </w:r>
      <w:r w:rsidR="00C75F1E" w:rsidRPr="00685259">
        <w:rPr>
          <w:sz w:val="28"/>
          <w:szCs w:val="28"/>
        </w:rPr>
        <w:t xml:space="preserve">seeking </w:t>
      </w:r>
      <w:r w:rsidR="00266709" w:rsidRPr="00685259">
        <w:rPr>
          <w:sz w:val="28"/>
          <w:szCs w:val="28"/>
        </w:rPr>
        <w:t>a declaratory order was appropriate in the circumstances.</w:t>
      </w:r>
      <w:r w:rsidR="00882C1C" w:rsidRPr="00685259">
        <w:rPr>
          <w:sz w:val="28"/>
          <w:szCs w:val="28"/>
        </w:rPr>
        <w:t xml:space="preserve"> The second is whether, if so, the ruling of </w:t>
      </w:r>
      <w:r w:rsidR="00482C63" w:rsidRPr="00685259">
        <w:rPr>
          <w:sz w:val="28"/>
          <w:szCs w:val="28"/>
        </w:rPr>
        <w:t>SARS</w:t>
      </w:r>
      <w:r w:rsidR="00882C1C" w:rsidRPr="00685259">
        <w:rPr>
          <w:sz w:val="28"/>
          <w:szCs w:val="28"/>
        </w:rPr>
        <w:t xml:space="preserve"> was incorrect.</w:t>
      </w:r>
      <w:r w:rsidR="0017503F" w:rsidRPr="00685259">
        <w:rPr>
          <w:sz w:val="28"/>
          <w:szCs w:val="28"/>
        </w:rPr>
        <w:t xml:space="preserve"> </w:t>
      </w:r>
    </w:p>
    <w:p w14:paraId="477E72CD" w14:textId="77777777" w:rsidR="00266709" w:rsidRPr="00DC3181" w:rsidRDefault="00266709" w:rsidP="00401A7D">
      <w:pPr>
        <w:pStyle w:val="ListParagraph"/>
        <w:ind w:left="0"/>
        <w:rPr>
          <w:sz w:val="28"/>
          <w:szCs w:val="28"/>
        </w:rPr>
      </w:pPr>
    </w:p>
    <w:p w14:paraId="587F245A" w14:textId="73EF1118" w:rsidR="0017503F" w:rsidRPr="00685259" w:rsidRDefault="00685259" w:rsidP="00685259">
      <w:pPr>
        <w:rPr>
          <w:sz w:val="28"/>
          <w:szCs w:val="28"/>
        </w:rPr>
      </w:pPr>
      <w:r w:rsidRPr="00DC3181">
        <w:rPr>
          <w:sz w:val="28"/>
          <w:szCs w:val="28"/>
        </w:rPr>
        <w:t>[7]</w:t>
      </w:r>
      <w:r w:rsidRPr="00DC3181">
        <w:rPr>
          <w:sz w:val="28"/>
          <w:szCs w:val="28"/>
        </w:rPr>
        <w:tab/>
      </w:r>
      <w:r w:rsidR="00BA28BA" w:rsidRPr="00685259">
        <w:rPr>
          <w:sz w:val="28"/>
          <w:szCs w:val="28"/>
        </w:rPr>
        <w:t xml:space="preserve">As to the first issue, </w:t>
      </w:r>
      <w:r w:rsidR="00482C63" w:rsidRPr="00685259">
        <w:rPr>
          <w:sz w:val="28"/>
          <w:szCs w:val="28"/>
        </w:rPr>
        <w:t>SARS</w:t>
      </w:r>
      <w:r w:rsidR="00BA28BA" w:rsidRPr="00685259">
        <w:rPr>
          <w:sz w:val="28"/>
          <w:szCs w:val="28"/>
        </w:rPr>
        <w:t xml:space="preserve"> submitted that the procedure utilised by MTN was impermissible. </w:t>
      </w:r>
      <w:r w:rsidR="00E95456" w:rsidRPr="00685259">
        <w:rPr>
          <w:sz w:val="28"/>
          <w:szCs w:val="28"/>
        </w:rPr>
        <w:t>There were t</w:t>
      </w:r>
      <w:r w:rsidR="00493B4D" w:rsidRPr="00685259">
        <w:rPr>
          <w:sz w:val="28"/>
          <w:szCs w:val="28"/>
        </w:rPr>
        <w:t>hree</w:t>
      </w:r>
      <w:r w:rsidR="00E95456" w:rsidRPr="00685259">
        <w:rPr>
          <w:sz w:val="28"/>
          <w:szCs w:val="28"/>
        </w:rPr>
        <w:t xml:space="preserve"> bases to th</w:t>
      </w:r>
      <w:r w:rsidR="005F1825" w:rsidRPr="00685259">
        <w:rPr>
          <w:sz w:val="28"/>
          <w:szCs w:val="28"/>
        </w:rPr>
        <w:t xml:space="preserve">at </w:t>
      </w:r>
      <w:r w:rsidR="00E95456" w:rsidRPr="00685259">
        <w:rPr>
          <w:sz w:val="28"/>
          <w:szCs w:val="28"/>
        </w:rPr>
        <w:t xml:space="preserve">contention. </w:t>
      </w:r>
      <w:r w:rsidR="00864684" w:rsidRPr="00685259">
        <w:rPr>
          <w:sz w:val="28"/>
          <w:szCs w:val="28"/>
        </w:rPr>
        <w:t>It</w:t>
      </w:r>
      <w:r w:rsidR="009543A2" w:rsidRPr="00685259">
        <w:rPr>
          <w:sz w:val="28"/>
          <w:szCs w:val="28"/>
        </w:rPr>
        <w:t xml:space="preserve"> amounted either to a review, an appeal, or an objection to the ruling, none of which are competent.</w:t>
      </w:r>
    </w:p>
    <w:p w14:paraId="2E2EF0E1" w14:textId="77777777" w:rsidR="009543A2" w:rsidRPr="00DC3181" w:rsidRDefault="009543A2" w:rsidP="009543A2">
      <w:pPr>
        <w:pStyle w:val="ListParagraph"/>
        <w:ind w:left="0"/>
        <w:rPr>
          <w:sz w:val="28"/>
          <w:szCs w:val="28"/>
        </w:rPr>
      </w:pPr>
    </w:p>
    <w:p w14:paraId="2AC539DE" w14:textId="275B5D44" w:rsidR="00336C1C" w:rsidRPr="00685259" w:rsidRDefault="00685259" w:rsidP="00685259">
      <w:pPr>
        <w:rPr>
          <w:sz w:val="28"/>
          <w:szCs w:val="28"/>
        </w:rPr>
      </w:pPr>
      <w:r w:rsidRPr="00DC3181">
        <w:rPr>
          <w:sz w:val="28"/>
          <w:szCs w:val="28"/>
        </w:rPr>
        <w:t>[8]</w:t>
      </w:r>
      <w:r w:rsidRPr="00DC3181">
        <w:rPr>
          <w:sz w:val="28"/>
          <w:szCs w:val="28"/>
        </w:rPr>
        <w:tab/>
      </w:r>
      <w:r w:rsidR="007D5A1E" w:rsidRPr="00685259">
        <w:rPr>
          <w:sz w:val="28"/>
          <w:szCs w:val="28"/>
        </w:rPr>
        <w:t>P</w:t>
      </w:r>
      <w:r w:rsidR="00BA28BA" w:rsidRPr="00685259">
        <w:rPr>
          <w:sz w:val="28"/>
          <w:szCs w:val="28"/>
        </w:rPr>
        <w:t>rayer 3</w:t>
      </w:r>
      <w:r w:rsidR="00EB562A" w:rsidRPr="00685259">
        <w:rPr>
          <w:sz w:val="28"/>
          <w:szCs w:val="28"/>
        </w:rPr>
        <w:t>, which followed the declarations</w:t>
      </w:r>
      <w:r w:rsidR="00BA28BA" w:rsidRPr="00685259">
        <w:rPr>
          <w:sz w:val="28"/>
          <w:szCs w:val="28"/>
        </w:rPr>
        <w:t xml:space="preserve"> </w:t>
      </w:r>
      <w:r w:rsidR="002349CC" w:rsidRPr="00685259">
        <w:rPr>
          <w:sz w:val="28"/>
          <w:szCs w:val="28"/>
        </w:rPr>
        <w:t>requested</w:t>
      </w:r>
      <w:r w:rsidR="00EB562A" w:rsidRPr="00685259">
        <w:rPr>
          <w:sz w:val="28"/>
          <w:szCs w:val="28"/>
        </w:rPr>
        <w:t xml:space="preserve"> in prayers 1 and 2,</w:t>
      </w:r>
      <w:r w:rsidR="009F2C99" w:rsidRPr="00685259">
        <w:rPr>
          <w:sz w:val="28"/>
          <w:szCs w:val="28"/>
        </w:rPr>
        <w:t xml:space="preserve"> sought</w:t>
      </w:r>
      <w:r w:rsidR="00BA28BA" w:rsidRPr="00685259">
        <w:rPr>
          <w:sz w:val="28"/>
          <w:szCs w:val="28"/>
        </w:rPr>
        <w:t xml:space="preserve"> to set aside the ruling. </w:t>
      </w:r>
      <w:r w:rsidR="00D26158" w:rsidRPr="00685259">
        <w:rPr>
          <w:sz w:val="28"/>
          <w:szCs w:val="28"/>
        </w:rPr>
        <w:t>In general terms, decisions of functionaries may only be set aside on</w:t>
      </w:r>
      <w:r w:rsidR="007A62A5" w:rsidRPr="00685259">
        <w:rPr>
          <w:sz w:val="28"/>
          <w:szCs w:val="28"/>
        </w:rPr>
        <w:t xml:space="preserve"> </w:t>
      </w:r>
      <w:r w:rsidR="00BD5040" w:rsidRPr="00685259">
        <w:rPr>
          <w:sz w:val="28"/>
          <w:szCs w:val="28"/>
        </w:rPr>
        <w:t xml:space="preserve">an application for </w:t>
      </w:r>
      <w:r w:rsidR="00D26158" w:rsidRPr="00685259">
        <w:rPr>
          <w:sz w:val="28"/>
          <w:szCs w:val="28"/>
        </w:rPr>
        <w:t>the decision</w:t>
      </w:r>
      <w:r w:rsidR="00BD5040" w:rsidRPr="00685259">
        <w:rPr>
          <w:sz w:val="28"/>
          <w:szCs w:val="28"/>
        </w:rPr>
        <w:t xml:space="preserve"> to be </w:t>
      </w:r>
      <w:r w:rsidR="007D5A1E" w:rsidRPr="00685259">
        <w:rPr>
          <w:sz w:val="28"/>
          <w:szCs w:val="28"/>
        </w:rPr>
        <w:t>review</w:t>
      </w:r>
      <w:r w:rsidR="00BD5040" w:rsidRPr="00685259">
        <w:rPr>
          <w:sz w:val="28"/>
          <w:szCs w:val="28"/>
        </w:rPr>
        <w:t>ed</w:t>
      </w:r>
      <w:r w:rsidR="009F2C99" w:rsidRPr="00685259">
        <w:rPr>
          <w:sz w:val="28"/>
          <w:szCs w:val="28"/>
        </w:rPr>
        <w:t xml:space="preserve">. </w:t>
      </w:r>
      <w:r w:rsidR="00482C63" w:rsidRPr="00685259">
        <w:rPr>
          <w:sz w:val="28"/>
          <w:szCs w:val="28"/>
        </w:rPr>
        <w:t>SARS</w:t>
      </w:r>
      <w:r w:rsidR="00BA28BA" w:rsidRPr="00685259">
        <w:rPr>
          <w:sz w:val="28"/>
          <w:szCs w:val="28"/>
        </w:rPr>
        <w:t xml:space="preserve"> submitted that no review </w:t>
      </w:r>
      <w:r w:rsidR="007A62A5" w:rsidRPr="00685259">
        <w:rPr>
          <w:sz w:val="28"/>
          <w:szCs w:val="28"/>
        </w:rPr>
        <w:t xml:space="preserve">application </w:t>
      </w:r>
      <w:r w:rsidR="00451378" w:rsidRPr="00685259">
        <w:rPr>
          <w:sz w:val="28"/>
          <w:szCs w:val="28"/>
        </w:rPr>
        <w:t>was brought</w:t>
      </w:r>
      <w:r w:rsidR="00D26158" w:rsidRPr="00685259">
        <w:rPr>
          <w:sz w:val="28"/>
          <w:szCs w:val="28"/>
        </w:rPr>
        <w:t xml:space="preserve">. In any event, </w:t>
      </w:r>
      <w:r w:rsidR="00336C1C" w:rsidRPr="00685259">
        <w:rPr>
          <w:sz w:val="28"/>
          <w:szCs w:val="28"/>
        </w:rPr>
        <w:t>no review</w:t>
      </w:r>
      <w:r w:rsidR="00451378" w:rsidRPr="00685259">
        <w:rPr>
          <w:sz w:val="28"/>
          <w:szCs w:val="28"/>
        </w:rPr>
        <w:t xml:space="preserve"> could </w:t>
      </w:r>
      <w:r w:rsidR="00BA28BA" w:rsidRPr="00685259">
        <w:rPr>
          <w:sz w:val="28"/>
          <w:szCs w:val="28"/>
        </w:rPr>
        <w:t>l</w:t>
      </w:r>
      <w:r w:rsidR="00451378" w:rsidRPr="00685259">
        <w:rPr>
          <w:sz w:val="28"/>
          <w:szCs w:val="28"/>
        </w:rPr>
        <w:t>ie</w:t>
      </w:r>
      <w:r w:rsidR="00BA28BA" w:rsidRPr="00685259">
        <w:rPr>
          <w:sz w:val="28"/>
          <w:szCs w:val="28"/>
        </w:rPr>
        <w:t xml:space="preserve"> </w:t>
      </w:r>
      <w:r w:rsidR="00336C1C" w:rsidRPr="00685259">
        <w:rPr>
          <w:sz w:val="28"/>
          <w:szCs w:val="28"/>
        </w:rPr>
        <w:t xml:space="preserve">against the ruling </w:t>
      </w:r>
      <w:r w:rsidR="00BA28BA" w:rsidRPr="00685259">
        <w:rPr>
          <w:sz w:val="28"/>
          <w:szCs w:val="28"/>
        </w:rPr>
        <w:t>because the definition of administrative action in s 1 of the Promotion of Administrative Justice Act 3 of 2000</w:t>
      </w:r>
      <w:r w:rsidR="002349CC" w:rsidRPr="00685259">
        <w:rPr>
          <w:sz w:val="28"/>
          <w:szCs w:val="28"/>
        </w:rPr>
        <w:t xml:space="preserve"> (PAJA)</w:t>
      </w:r>
      <w:r w:rsidR="00BA28BA" w:rsidRPr="00685259">
        <w:rPr>
          <w:sz w:val="28"/>
          <w:szCs w:val="28"/>
        </w:rPr>
        <w:t xml:space="preserve"> requires the action in question to have </w:t>
      </w:r>
      <w:r w:rsidR="00BA28BA" w:rsidRPr="00685259">
        <w:rPr>
          <w:sz w:val="28"/>
          <w:szCs w:val="28"/>
        </w:rPr>
        <w:lastRenderedPageBreak/>
        <w:t>a direct, external and final effect.</w:t>
      </w:r>
      <w:r w:rsidR="005470FD" w:rsidRPr="00DC3181">
        <w:rPr>
          <w:rStyle w:val="FootnoteReference"/>
          <w:sz w:val="28"/>
          <w:szCs w:val="28"/>
        </w:rPr>
        <w:footnoteReference w:id="5"/>
      </w:r>
      <w:r w:rsidR="00BA28BA" w:rsidRPr="00685259">
        <w:rPr>
          <w:sz w:val="28"/>
          <w:szCs w:val="28"/>
        </w:rPr>
        <w:t xml:space="preserve"> </w:t>
      </w:r>
      <w:r w:rsidR="00853341" w:rsidRPr="00685259">
        <w:rPr>
          <w:sz w:val="28"/>
          <w:szCs w:val="28"/>
        </w:rPr>
        <w:t xml:space="preserve">In the present matter, </w:t>
      </w:r>
      <w:r w:rsidR="00DC40D8" w:rsidRPr="00685259">
        <w:rPr>
          <w:sz w:val="28"/>
          <w:szCs w:val="28"/>
        </w:rPr>
        <w:t xml:space="preserve">the ruling </w:t>
      </w:r>
      <w:r w:rsidR="0048762D" w:rsidRPr="00685259">
        <w:rPr>
          <w:sz w:val="28"/>
          <w:szCs w:val="28"/>
        </w:rPr>
        <w:t>would only have an effect once it was applied to an assessment.</w:t>
      </w:r>
      <w:r w:rsidR="00853341" w:rsidRPr="00685259">
        <w:rPr>
          <w:sz w:val="28"/>
          <w:szCs w:val="28"/>
        </w:rPr>
        <w:t xml:space="preserve"> </w:t>
      </w:r>
      <w:r w:rsidR="002349CC" w:rsidRPr="00685259">
        <w:rPr>
          <w:sz w:val="28"/>
          <w:szCs w:val="28"/>
        </w:rPr>
        <w:t xml:space="preserve">As such, it did not fall within the definition of administrative action and could not be reviewed under PAJA. </w:t>
      </w:r>
    </w:p>
    <w:p w14:paraId="6B49B5F7" w14:textId="77777777" w:rsidR="00336C1C" w:rsidRPr="00DC3181" w:rsidRDefault="00336C1C" w:rsidP="00336C1C">
      <w:pPr>
        <w:rPr>
          <w:sz w:val="28"/>
          <w:szCs w:val="28"/>
        </w:rPr>
      </w:pPr>
    </w:p>
    <w:p w14:paraId="34C32AFE" w14:textId="4B85F113" w:rsidR="00BA28BA" w:rsidRPr="00685259" w:rsidRDefault="00685259" w:rsidP="00685259">
      <w:pPr>
        <w:rPr>
          <w:sz w:val="28"/>
          <w:szCs w:val="28"/>
        </w:rPr>
      </w:pPr>
      <w:r w:rsidRPr="00DC3181">
        <w:rPr>
          <w:sz w:val="28"/>
          <w:szCs w:val="28"/>
        </w:rPr>
        <w:t>[9]</w:t>
      </w:r>
      <w:r w:rsidRPr="00DC3181">
        <w:rPr>
          <w:sz w:val="28"/>
          <w:szCs w:val="28"/>
        </w:rPr>
        <w:tab/>
      </w:r>
      <w:r w:rsidR="00BA28BA" w:rsidRPr="00685259">
        <w:rPr>
          <w:sz w:val="28"/>
          <w:szCs w:val="28"/>
        </w:rPr>
        <w:t xml:space="preserve">MTN conceded that </w:t>
      </w:r>
      <w:r w:rsidR="00805142" w:rsidRPr="00685259">
        <w:rPr>
          <w:sz w:val="28"/>
          <w:szCs w:val="28"/>
        </w:rPr>
        <w:t>the ruling did not amount to administrative action</w:t>
      </w:r>
      <w:r w:rsidR="00A24F7C" w:rsidRPr="00685259">
        <w:rPr>
          <w:sz w:val="28"/>
          <w:szCs w:val="28"/>
        </w:rPr>
        <w:t xml:space="preserve"> as defined in PAJA</w:t>
      </w:r>
      <w:r w:rsidR="00D8346B" w:rsidRPr="00685259">
        <w:rPr>
          <w:sz w:val="28"/>
          <w:szCs w:val="28"/>
        </w:rPr>
        <w:t xml:space="preserve"> and was not review</w:t>
      </w:r>
      <w:r w:rsidR="00502258" w:rsidRPr="00685259">
        <w:rPr>
          <w:sz w:val="28"/>
          <w:szCs w:val="28"/>
        </w:rPr>
        <w:t>able</w:t>
      </w:r>
      <w:r w:rsidR="00482C63" w:rsidRPr="00685259">
        <w:rPr>
          <w:sz w:val="28"/>
          <w:szCs w:val="28"/>
        </w:rPr>
        <w:t xml:space="preserve">. It submitted, however, that, if the declarators were granted and the ruling was not set aside, it </w:t>
      </w:r>
      <w:r w:rsidR="00316A00" w:rsidRPr="00685259">
        <w:rPr>
          <w:sz w:val="28"/>
          <w:szCs w:val="28"/>
        </w:rPr>
        <w:t xml:space="preserve">would </w:t>
      </w:r>
      <w:r w:rsidR="00482C63" w:rsidRPr="00685259">
        <w:rPr>
          <w:sz w:val="28"/>
          <w:szCs w:val="28"/>
        </w:rPr>
        <w:t xml:space="preserve">remain intact. </w:t>
      </w:r>
      <w:r w:rsidR="00316A00" w:rsidRPr="00685259">
        <w:rPr>
          <w:sz w:val="28"/>
          <w:szCs w:val="28"/>
        </w:rPr>
        <w:t>But s</w:t>
      </w:r>
      <w:r w:rsidR="00BD5040" w:rsidRPr="00685259">
        <w:rPr>
          <w:sz w:val="28"/>
          <w:szCs w:val="28"/>
        </w:rPr>
        <w:t>uch a ruling binds only SARS.</w:t>
      </w:r>
      <w:r w:rsidR="00BD5040" w:rsidRPr="00DC3181">
        <w:rPr>
          <w:rStyle w:val="FootnoteReference"/>
          <w:sz w:val="28"/>
          <w:szCs w:val="28"/>
        </w:rPr>
        <w:footnoteReference w:id="6"/>
      </w:r>
      <w:r w:rsidR="00BD5040" w:rsidRPr="00685259">
        <w:rPr>
          <w:sz w:val="28"/>
          <w:szCs w:val="28"/>
        </w:rPr>
        <w:t xml:space="preserve"> </w:t>
      </w:r>
      <w:r w:rsidR="00482C63" w:rsidRPr="00685259">
        <w:rPr>
          <w:sz w:val="28"/>
          <w:szCs w:val="28"/>
        </w:rPr>
        <w:t>SARS can withdraw it at any time unless the withdrawal</w:t>
      </w:r>
      <w:r w:rsidR="00316A00" w:rsidRPr="00685259">
        <w:rPr>
          <w:sz w:val="28"/>
          <w:szCs w:val="28"/>
        </w:rPr>
        <w:t xml:space="preserve"> were to</w:t>
      </w:r>
      <w:r w:rsidR="00482C63" w:rsidRPr="00685259">
        <w:rPr>
          <w:sz w:val="28"/>
          <w:szCs w:val="28"/>
        </w:rPr>
        <w:t xml:space="preserve"> prejudice MTN. That would not be the case </w:t>
      </w:r>
      <w:r w:rsidR="00D8346B" w:rsidRPr="00685259">
        <w:rPr>
          <w:sz w:val="28"/>
          <w:szCs w:val="28"/>
        </w:rPr>
        <w:t xml:space="preserve">in this matter </w:t>
      </w:r>
      <w:r w:rsidR="00316A00" w:rsidRPr="00685259">
        <w:rPr>
          <w:sz w:val="28"/>
          <w:szCs w:val="28"/>
        </w:rPr>
        <w:t>where the ruling was a</w:t>
      </w:r>
      <w:r w:rsidR="003E3443" w:rsidRPr="00685259">
        <w:rPr>
          <w:sz w:val="28"/>
          <w:szCs w:val="28"/>
        </w:rPr>
        <w:t>gainst the interpretation contended for by</w:t>
      </w:r>
      <w:r w:rsidR="00316A00" w:rsidRPr="00685259">
        <w:rPr>
          <w:sz w:val="28"/>
          <w:szCs w:val="28"/>
        </w:rPr>
        <w:t xml:space="preserve"> MTN. </w:t>
      </w:r>
      <w:r w:rsidR="00C04530" w:rsidRPr="00685259">
        <w:rPr>
          <w:sz w:val="28"/>
          <w:szCs w:val="28"/>
        </w:rPr>
        <w:t>In any event</w:t>
      </w:r>
      <w:r w:rsidR="004436A3" w:rsidRPr="00685259">
        <w:rPr>
          <w:sz w:val="28"/>
          <w:szCs w:val="28"/>
        </w:rPr>
        <w:t xml:space="preserve">, SARS submitted that </w:t>
      </w:r>
      <w:r w:rsidR="00C04530" w:rsidRPr="00685259">
        <w:rPr>
          <w:sz w:val="28"/>
          <w:szCs w:val="28"/>
        </w:rPr>
        <w:t>the ruling</w:t>
      </w:r>
      <w:r w:rsidR="00482C63" w:rsidRPr="00685259">
        <w:rPr>
          <w:sz w:val="28"/>
          <w:szCs w:val="28"/>
        </w:rPr>
        <w:t xml:space="preserve"> w</w:t>
      </w:r>
      <w:r w:rsidR="004436A3" w:rsidRPr="00685259">
        <w:rPr>
          <w:sz w:val="28"/>
          <w:szCs w:val="28"/>
        </w:rPr>
        <w:t>ould be</w:t>
      </w:r>
      <w:r w:rsidR="00482C63" w:rsidRPr="00685259">
        <w:rPr>
          <w:sz w:val="28"/>
          <w:szCs w:val="28"/>
        </w:rPr>
        <w:t xml:space="preserve"> withdrawn i</w:t>
      </w:r>
      <w:r w:rsidR="004436A3" w:rsidRPr="00685259">
        <w:rPr>
          <w:sz w:val="28"/>
          <w:szCs w:val="28"/>
        </w:rPr>
        <w:t xml:space="preserve">f it </w:t>
      </w:r>
      <w:r w:rsidR="00C968E1" w:rsidRPr="00685259">
        <w:rPr>
          <w:sz w:val="28"/>
          <w:szCs w:val="28"/>
        </w:rPr>
        <w:t>was contrary to</w:t>
      </w:r>
      <w:r w:rsidR="00482C63" w:rsidRPr="00685259">
        <w:rPr>
          <w:sz w:val="28"/>
          <w:szCs w:val="28"/>
        </w:rPr>
        <w:t xml:space="preserve"> declarations </w:t>
      </w:r>
      <w:r w:rsidR="00BD5040" w:rsidRPr="00685259">
        <w:rPr>
          <w:sz w:val="28"/>
          <w:szCs w:val="28"/>
        </w:rPr>
        <w:t>made by a court.</w:t>
      </w:r>
      <w:r w:rsidR="00482C63" w:rsidRPr="00685259">
        <w:rPr>
          <w:sz w:val="28"/>
          <w:szCs w:val="28"/>
        </w:rPr>
        <w:t xml:space="preserve"> </w:t>
      </w:r>
      <w:r w:rsidR="004436A3" w:rsidRPr="00685259">
        <w:rPr>
          <w:sz w:val="28"/>
          <w:szCs w:val="28"/>
        </w:rPr>
        <w:t>MTN</w:t>
      </w:r>
      <w:r w:rsidR="00482C63" w:rsidRPr="00685259">
        <w:rPr>
          <w:sz w:val="28"/>
          <w:szCs w:val="28"/>
        </w:rPr>
        <w:t xml:space="preserve"> accepted th</w:t>
      </w:r>
      <w:r w:rsidR="00C968E1" w:rsidRPr="00685259">
        <w:rPr>
          <w:sz w:val="28"/>
          <w:szCs w:val="28"/>
        </w:rPr>
        <w:t>is to be the case and, a</w:t>
      </w:r>
      <w:r w:rsidR="000F1AFE" w:rsidRPr="00685259">
        <w:rPr>
          <w:sz w:val="28"/>
          <w:szCs w:val="28"/>
        </w:rPr>
        <w:t>s a result,</w:t>
      </w:r>
      <w:r w:rsidR="00BA28BA" w:rsidRPr="00685259">
        <w:rPr>
          <w:sz w:val="28"/>
          <w:szCs w:val="28"/>
        </w:rPr>
        <w:t xml:space="preserve"> </w:t>
      </w:r>
      <w:r w:rsidR="00482C63" w:rsidRPr="00685259">
        <w:rPr>
          <w:sz w:val="28"/>
          <w:szCs w:val="28"/>
        </w:rPr>
        <w:t xml:space="preserve">conceded that </w:t>
      </w:r>
      <w:r w:rsidR="00BA28BA" w:rsidRPr="00685259">
        <w:rPr>
          <w:sz w:val="28"/>
          <w:szCs w:val="28"/>
        </w:rPr>
        <w:t>it was not entitled to the relief sought in prayer 3.</w:t>
      </w:r>
    </w:p>
    <w:p w14:paraId="7784F0AD" w14:textId="77777777" w:rsidR="000F1AFE" w:rsidRPr="00DC3181" w:rsidRDefault="000F1AFE" w:rsidP="000F1AFE">
      <w:pPr>
        <w:pStyle w:val="ListParagraph"/>
        <w:ind w:left="0"/>
        <w:rPr>
          <w:sz w:val="28"/>
          <w:szCs w:val="28"/>
        </w:rPr>
      </w:pPr>
    </w:p>
    <w:p w14:paraId="59D167B4" w14:textId="6D80D81E" w:rsidR="00493B4D" w:rsidRPr="00685259" w:rsidRDefault="00685259" w:rsidP="00685259">
      <w:pPr>
        <w:rPr>
          <w:sz w:val="28"/>
          <w:szCs w:val="28"/>
        </w:rPr>
      </w:pPr>
      <w:r w:rsidRPr="00DC3181">
        <w:rPr>
          <w:sz w:val="28"/>
          <w:szCs w:val="28"/>
        </w:rPr>
        <w:t>[10]</w:t>
      </w:r>
      <w:r w:rsidRPr="00DC3181">
        <w:rPr>
          <w:sz w:val="28"/>
          <w:szCs w:val="28"/>
        </w:rPr>
        <w:tab/>
      </w:r>
      <w:r w:rsidR="008B5BC6" w:rsidRPr="00685259">
        <w:rPr>
          <w:sz w:val="28"/>
          <w:szCs w:val="28"/>
        </w:rPr>
        <w:t>As regards th</w:t>
      </w:r>
      <w:r w:rsidR="00974B26" w:rsidRPr="00685259">
        <w:rPr>
          <w:sz w:val="28"/>
          <w:szCs w:val="28"/>
        </w:rPr>
        <w:t>e application</w:t>
      </w:r>
      <w:r w:rsidR="00A24F7C" w:rsidRPr="00685259">
        <w:rPr>
          <w:sz w:val="28"/>
          <w:szCs w:val="28"/>
        </w:rPr>
        <w:t xml:space="preserve"> amounting to an impermissible</w:t>
      </w:r>
      <w:r w:rsidR="008B5BC6" w:rsidRPr="00685259">
        <w:rPr>
          <w:sz w:val="28"/>
          <w:szCs w:val="28"/>
        </w:rPr>
        <w:t xml:space="preserve"> appeal, </w:t>
      </w:r>
      <w:r w:rsidR="00482C63" w:rsidRPr="00685259">
        <w:rPr>
          <w:sz w:val="28"/>
          <w:szCs w:val="28"/>
        </w:rPr>
        <w:t>SARS</w:t>
      </w:r>
      <w:r w:rsidR="008B5BC6" w:rsidRPr="00685259">
        <w:rPr>
          <w:sz w:val="28"/>
          <w:szCs w:val="28"/>
        </w:rPr>
        <w:t xml:space="preserve"> </w:t>
      </w:r>
      <w:r w:rsidR="005B69EF" w:rsidRPr="00685259">
        <w:rPr>
          <w:sz w:val="28"/>
          <w:szCs w:val="28"/>
        </w:rPr>
        <w:t xml:space="preserve">contended that the ruling was not appealable, whether to the Tax Court or the </w:t>
      </w:r>
      <w:r w:rsidR="00974B26" w:rsidRPr="00685259">
        <w:rPr>
          <w:sz w:val="28"/>
          <w:szCs w:val="28"/>
        </w:rPr>
        <w:t>H</w:t>
      </w:r>
      <w:r w:rsidR="005B69EF" w:rsidRPr="00685259">
        <w:rPr>
          <w:sz w:val="28"/>
          <w:szCs w:val="28"/>
        </w:rPr>
        <w:t xml:space="preserve">igh </w:t>
      </w:r>
      <w:r w:rsidR="00974B26" w:rsidRPr="00685259">
        <w:rPr>
          <w:sz w:val="28"/>
          <w:szCs w:val="28"/>
        </w:rPr>
        <w:t>C</w:t>
      </w:r>
      <w:r w:rsidR="005B69EF" w:rsidRPr="00685259">
        <w:rPr>
          <w:sz w:val="28"/>
          <w:szCs w:val="28"/>
        </w:rPr>
        <w:t xml:space="preserve">ourt. Section 32(1) of the Act </w:t>
      </w:r>
      <w:r w:rsidR="00FC4FE1" w:rsidRPr="00685259">
        <w:rPr>
          <w:sz w:val="28"/>
          <w:szCs w:val="28"/>
        </w:rPr>
        <w:t>specifies t</w:t>
      </w:r>
      <w:r w:rsidR="005B69EF" w:rsidRPr="00685259">
        <w:rPr>
          <w:sz w:val="28"/>
          <w:szCs w:val="28"/>
        </w:rPr>
        <w:t xml:space="preserve">hose decisions of </w:t>
      </w:r>
      <w:r w:rsidR="00482C63" w:rsidRPr="00685259">
        <w:rPr>
          <w:sz w:val="28"/>
          <w:szCs w:val="28"/>
        </w:rPr>
        <w:t>SARS</w:t>
      </w:r>
      <w:r w:rsidR="005B69EF" w:rsidRPr="00685259">
        <w:rPr>
          <w:sz w:val="28"/>
          <w:szCs w:val="28"/>
        </w:rPr>
        <w:t xml:space="preserve"> which are susceptible of objection or appeal. Rulings under s</w:t>
      </w:r>
      <w:r w:rsidR="00C602E6" w:rsidRPr="00685259">
        <w:rPr>
          <w:sz w:val="28"/>
          <w:szCs w:val="28"/>
        </w:rPr>
        <w:t xml:space="preserve"> 41B </w:t>
      </w:r>
      <w:r w:rsidR="005B69EF" w:rsidRPr="00685259">
        <w:rPr>
          <w:sz w:val="28"/>
          <w:szCs w:val="28"/>
        </w:rPr>
        <w:t>are not included.</w:t>
      </w:r>
      <w:r w:rsidR="00493B4D" w:rsidRPr="00685259">
        <w:rPr>
          <w:sz w:val="28"/>
          <w:szCs w:val="28"/>
        </w:rPr>
        <w:t xml:space="preserve"> This much was also conceded by MTN. It </w:t>
      </w:r>
      <w:r w:rsidR="00BD5040" w:rsidRPr="00685259">
        <w:rPr>
          <w:sz w:val="28"/>
          <w:szCs w:val="28"/>
        </w:rPr>
        <w:t>submitted</w:t>
      </w:r>
      <w:r w:rsidR="00493B4D" w:rsidRPr="00685259">
        <w:rPr>
          <w:sz w:val="28"/>
          <w:szCs w:val="28"/>
        </w:rPr>
        <w:t>, however, that the application did not amount to an appeal.</w:t>
      </w:r>
      <w:r w:rsidR="005B69EF" w:rsidRPr="00685259">
        <w:rPr>
          <w:sz w:val="28"/>
          <w:szCs w:val="28"/>
        </w:rPr>
        <w:t xml:space="preserve"> </w:t>
      </w:r>
    </w:p>
    <w:p w14:paraId="6735913C" w14:textId="68056EF5" w:rsidR="00986422" w:rsidRPr="00685259" w:rsidRDefault="00685259" w:rsidP="00685259">
      <w:pPr>
        <w:rPr>
          <w:sz w:val="28"/>
          <w:szCs w:val="28"/>
        </w:rPr>
      </w:pPr>
      <w:r w:rsidRPr="00DC3181">
        <w:rPr>
          <w:sz w:val="28"/>
          <w:szCs w:val="28"/>
        </w:rPr>
        <w:lastRenderedPageBreak/>
        <w:t>[11]</w:t>
      </w:r>
      <w:r w:rsidRPr="00DC3181">
        <w:rPr>
          <w:sz w:val="28"/>
          <w:szCs w:val="28"/>
        </w:rPr>
        <w:tab/>
      </w:r>
      <w:r w:rsidR="00493B4D" w:rsidRPr="00685259">
        <w:rPr>
          <w:sz w:val="28"/>
          <w:szCs w:val="28"/>
        </w:rPr>
        <w:t xml:space="preserve">That leaves the question of an objection. </w:t>
      </w:r>
      <w:r w:rsidR="00482C63" w:rsidRPr="00685259">
        <w:rPr>
          <w:sz w:val="28"/>
          <w:szCs w:val="28"/>
        </w:rPr>
        <w:t>SARS</w:t>
      </w:r>
      <w:r w:rsidR="00493B4D" w:rsidRPr="00685259">
        <w:rPr>
          <w:sz w:val="28"/>
          <w:szCs w:val="28"/>
        </w:rPr>
        <w:t xml:space="preserve"> submitted that t</w:t>
      </w:r>
      <w:r w:rsidR="005B69EF" w:rsidRPr="00685259">
        <w:rPr>
          <w:sz w:val="28"/>
          <w:szCs w:val="28"/>
        </w:rPr>
        <w:t xml:space="preserve">here are no provisions in </w:t>
      </w:r>
      <w:r w:rsidR="00C602E6" w:rsidRPr="00685259">
        <w:rPr>
          <w:sz w:val="28"/>
          <w:szCs w:val="28"/>
        </w:rPr>
        <w:t xml:space="preserve">the Act </w:t>
      </w:r>
      <w:r w:rsidR="002A50E0" w:rsidRPr="00685259">
        <w:rPr>
          <w:sz w:val="28"/>
          <w:szCs w:val="28"/>
        </w:rPr>
        <w:t>in terms of</w:t>
      </w:r>
      <w:r w:rsidR="00C602E6" w:rsidRPr="00685259">
        <w:rPr>
          <w:sz w:val="28"/>
          <w:szCs w:val="28"/>
        </w:rPr>
        <w:t xml:space="preserve"> </w:t>
      </w:r>
      <w:r w:rsidR="005B69EF" w:rsidRPr="00685259">
        <w:rPr>
          <w:sz w:val="28"/>
          <w:szCs w:val="28"/>
        </w:rPr>
        <w:t xml:space="preserve">which to object to </w:t>
      </w:r>
      <w:r w:rsidR="00986422" w:rsidRPr="00685259">
        <w:rPr>
          <w:sz w:val="28"/>
          <w:szCs w:val="28"/>
        </w:rPr>
        <w:t xml:space="preserve">such </w:t>
      </w:r>
      <w:r w:rsidR="005B69EF" w:rsidRPr="00685259">
        <w:rPr>
          <w:sz w:val="28"/>
          <w:szCs w:val="28"/>
        </w:rPr>
        <w:t xml:space="preserve">a ruling. </w:t>
      </w:r>
      <w:r w:rsidR="00B20FA7" w:rsidRPr="00685259">
        <w:rPr>
          <w:sz w:val="28"/>
          <w:szCs w:val="28"/>
        </w:rPr>
        <w:t xml:space="preserve">This is correct. </w:t>
      </w:r>
      <w:r w:rsidR="00493B4D" w:rsidRPr="00685259">
        <w:rPr>
          <w:sz w:val="28"/>
          <w:szCs w:val="28"/>
        </w:rPr>
        <w:t>I</w:t>
      </w:r>
      <w:r w:rsidR="005B69EF" w:rsidRPr="00685259">
        <w:rPr>
          <w:sz w:val="28"/>
          <w:szCs w:val="28"/>
        </w:rPr>
        <w:t>n terms of s</w:t>
      </w:r>
      <w:r w:rsidR="00B20FA7" w:rsidRPr="00685259">
        <w:rPr>
          <w:sz w:val="28"/>
          <w:szCs w:val="28"/>
        </w:rPr>
        <w:t> </w:t>
      </w:r>
      <w:r w:rsidR="005B69EF" w:rsidRPr="00685259">
        <w:rPr>
          <w:sz w:val="28"/>
          <w:szCs w:val="28"/>
        </w:rPr>
        <w:t xml:space="preserve">83(1) of the </w:t>
      </w:r>
      <w:r w:rsidR="00F43044" w:rsidRPr="00685259">
        <w:rPr>
          <w:sz w:val="28"/>
          <w:szCs w:val="28"/>
        </w:rPr>
        <w:t xml:space="preserve">Tax Administration Act 28 of 2011 (the </w:t>
      </w:r>
      <w:r w:rsidR="005B69EF" w:rsidRPr="00685259">
        <w:rPr>
          <w:sz w:val="28"/>
          <w:szCs w:val="28"/>
        </w:rPr>
        <w:t>TAA</w:t>
      </w:r>
      <w:r w:rsidR="00F43044" w:rsidRPr="00685259">
        <w:rPr>
          <w:sz w:val="28"/>
          <w:szCs w:val="28"/>
        </w:rPr>
        <w:t>)</w:t>
      </w:r>
      <w:r w:rsidR="005B69EF" w:rsidRPr="00685259">
        <w:rPr>
          <w:sz w:val="28"/>
          <w:szCs w:val="28"/>
        </w:rPr>
        <w:t>,</w:t>
      </w:r>
      <w:r w:rsidR="00493B4D" w:rsidRPr="00685259">
        <w:rPr>
          <w:sz w:val="28"/>
          <w:szCs w:val="28"/>
        </w:rPr>
        <w:t xml:space="preserve"> </w:t>
      </w:r>
      <w:r w:rsidR="005B69EF" w:rsidRPr="00685259">
        <w:rPr>
          <w:sz w:val="28"/>
          <w:szCs w:val="28"/>
        </w:rPr>
        <w:t xml:space="preserve">the ruling only ‘applies’ to a taxpayer when </w:t>
      </w:r>
      <w:r w:rsidR="00FC6532" w:rsidRPr="00685259">
        <w:rPr>
          <w:sz w:val="28"/>
          <w:szCs w:val="28"/>
        </w:rPr>
        <w:t xml:space="preserve">it </w:t>
      </w:r>
      <w:r w:rsidR="005B69EF" w:rsidRPr="00685259">
        <w:rPr>
          <w:sz w:val="28"/>
          <w:szCs w:val="28"/>
        </w:rPr>
        <w:t xml:space="preserve">is put into effect. </w:t>
      </w:r>
      <w:r w:rsidR="00B20FA7" w:rsidRPr="00685259">
        <w:rPr>
          <w:sz w:val="28"/>
          <w:szCs w:val="28"/>
        </w:rPr>
        <w:t>Once again</w:t>
      </w:r>
      <w:r w:rsidR="00751A9F" w:rsidRPr="00685259">
        <w:rPr>
          <w:sz w:val="28"/>
          <w:szCs w:val="28"/>
        </w:rPr>
        <w:t xml:space="preserve">, </w:t>
      </w:r>
      <w:r w:rsidR="00BA08D9" w:rsidRPr="00685259">
        <w:rPr>
          <w:sz w:val="28"/>
          <w:szCs w:val="28"/>
        </w:rPr>
        <w:t xml:space="preserve">the ruling would be </w:t>
      </w:r>
      <w:r w:rsidR="00FC6532" w:rsidRPr="00685259">
        <w:rPr>
          <w:sz w:val="28"/>
          <w:szCs w:val="28"/>
        </w:rPr>
        <w:t>applie</w:t>
      </w:r>
      <w:r w:rsidR="00BA08D9" w:rsidRPr="00685259">
        <w:rPr>
          <w:sz w:val="28"/>
          <w:szCs w:val="28"/>
        </w:rPr>
        <w:t>d</w:t>
      </w:r>
      <w:r w:rsidR="00751A9F" w:rsidRPr="00685259">
        <w:rPr>
          <w:sz w:val="28"/>
          <w:szCs w:val="28"/>
        </w:rPr>
        <w:t xml:space="preserve"> </w:t>
      </w:r>
      <w:r w:rsidR="00BA08D9" w:rsidRPr="00685259">
        <w:rPr>
          <w:sz w:val="28"/>
          <w:szCs w:val="28"/>
        </w:rPr>
        <w:t xml:space="preserve">by </w:t>
      </w:r>
      <w:r w:rsidR="00482C63" w:rsidRPr="00685259">
        <w:rPr>
          <w:sz w:val="28"/>
          <w:szCs w:val="28"/>
        </w:rPr>
        <w:t>SARS</w:t>
      </w:r>
      <w:r w:rsidR="00BA08D9" w:rsidRPr="00685259">
        <w:rPr>
          <w:sz w:val="28"/>
          <w:szCs w:val="28"/>
        </w:rPr>
        <w:t xml:space="preserve"> </w:t>
      </w:r>
      <w:r w:rsidR="00751A9F" w:rsidRPr="00685259">
        <w:rPr>
          <w:sz w:val="28"/>
          <w:szCs w:val="28"/>
        </w:rPr>
        <w:t>once a return ha</w:t>
      </w:r>
      <w:r w:rsidR="00CA708D" w:rsidRPr="00685259">
        <w:rPr>
          <w:sz w:val="28"/>
          <w:szCs w:val="28"/>
        </w:rPr>
        <w:t>d</w:t>
      </w:r>
      <w:r w:rsidR="00751A9F" w:rsidRPr="00685259">
        <w:rPr>
          <w:sz w:val="28"/>
          <w:szCs w:val="28"/>
        </w:rPr>
        <w:t xml:space="preserve"> been submitted. </w:t>
      </w:r>
      <w:r w:rsidR="00315856" w:rsidRPr="00685259">
        <w:rPr>
          <w:sz w:val="28"/>
          <w:szCs w:val="28"/>
        </w:rPr>
        <w:t>Only a</w:t>
      </w:r>
      <w:r w:rsidR="00BD5040" w:rsidRPr="00685259">
        <w:rPr>
          <w:sz w:val="28"/>
          <w:szCs w:val="28"/>
        </w:rPr>
        <w:t xml:space="preserve">t that point </w:t>
      </w:r>
      <w:r w:rsidR="00E43F5E" w:rsidRPr="00685259">
        <w:rPr>
          <w:sz w:val="28"/>
          <w:szCs w:val="28"/>
        </w:rPr>
        <w:t xml:space="preserve">could </w:t>
      </w:r>
      <w:r w:rsidR="00BD5040" w:rsidRPr="00685259">
        <w:rPr>
          <w:sz w:val="28"/>
          <w:szCs w:val="28"/>
        </w:rPr>
        <w:t>an objection be lodged.</w:t>
      </w:r>
    </w:p>
    <w:p w14:paraId="0D118FF4" w14:textId="77777777" w:rsidR="00986422" w:rsidRPr="00DC3181" w:rsidRDefault="00986422" w:rsidP="00986422">
      <w:pPr>
        <w:rPr>
          <w:sz w:val="28"/>
          <w:szCs w:val="28"/>
        </w:rPr>
      </w:pPr>
    </w:p>
    <w:p w14:paraId="0F49CB4F" w14:textId="475251C6" w:rsidR="00B865EB" w:rsidRPr="00685259" w:rsidRDefault="00685259" w:rsidP="00685259">
      <w:pPr>
        <w:rPr>
          <w:sz w:val="28"/>
          <w:szCs w:val="28"/>
        </w:rPr>
      </w:pPr>
      <w:r w:rsidRPr="00DC3181">
        <w:rPr>
          <w:sz w:val="28"/>
          <w:szCs w:val="28"/>
        </w:rPr>
        <w:t>[12]</w:t>
      </w:r>
      <w:r w:rsidRPr="00DC3181">
        <w:rPr>
          <w:sz w:val="28"/>
          <w:szCs w:val="28"/>
        </w:rPr>
        <w:tab/>
      </w:r>
      <w:r w:rsidR="00482C63" w:rsidRPr="00685259">
        <w:rPr>
          <w:sz w:val="28"/>
          <w:szCs w:val="28"/>
        </w:rPr>
        <w:t>SARS</w:t>
      </w:r>
      <w:r w:rsidR="00035199" w:rsidRPr="00685259">
        <w:rPr>
          <w:sz w:val="28"/>
          <w:szCs w:val="28"/>
        </w:rPr>
        <w:t xml:space="preserve"> </w:t>
      </w:r>
      <w:r w:rsidR="00BD5040" w:rsidRPr="00685259">
        <w:rPr>
          <w:sz w:val="28"/>
          <w:szCs w:val="28"/>
        </w:rPr>
        <w:t>drew attention to the</w:t>
      </w:r>
      <w:r w:rsidR="00035199" w:rsidRPr="00685259">
        <w:rPr>
          <w:sz w:val="28"/>
          <w:szCs w:val="28"/>
        </w:rPr>
        <w:t xml:space="preserve"> </w:t>
      </w:r>
      <w:r w:rsidR="00986422" w:rsidRPr="00685259">
        <w:rPr>
          <w:sz w:val="28"/>
          <w:szCs w:val="28"/>
        </w:rPr>
        <w:t>special machinery created by the TAA for</w:t>
      </w:r>
      <w:r w:rsidR="00093921" w:rsidRPr="00685259">
        <w:rPr>
          <w:sz w:val="28"/>
          <w:szCs w:val="28"/>
        </w:rPr>
        <w:t xml:space="preserve"> such disputes between </w:t>
      </w:r>
      <w:r w:rsidR="00482C63" w:rsidRPr="00685259">
        <w:rPr>
          <w:sz w:val="28"/>
          <w:szCs w:val="28"/>
        </w:rPr>
        <w:t>SARS</w:t>
      </w:r>
      <w:r w:rsidR="00093921" w:rsidRPr="00685259">
        <w:rPr>
          <w:sz w:val="28"/>
          <w:szCs w:val="28"/>
        </w:rPr>
        <w:t xml:space="preserve"> and taxpayers. </w:t>
      </w:r>
      <w:r w:rsidR="00BD5040" w:rsidRPr="00685259">
        <w:rPr>
          <w:sz w:val="28"/>
          <w:szCs w:val="28"/>
        </w:rPr>
        <w:t xml:space="preserve">It submitted that the </w:t>
      </w:r>
      <w:r w:rsidR="00EA4733" w:rsidRPr="00685259">
        <w:rPr>
          <w:sz w:val="28"/>
          <w:szCs w:val="28"/>
        </w:rPr>
        <w:t>appropriate course to be adopted by</w:t>
      </w:r>
      <w:r w:rsidR="00BD5040" w:rsidRPr="00685259">
        <w:rPr>
          <w:sz w:val="28"/>
          <w:szCs w:val="28"/>
        </w:rPr>
        <w:t xml:space="preserve"> </w:t>
      </w:r>
      <w:r w:rsidR="00BA08D9" w:rsidRPr="00685259">
        <w:rPr>
          <w:sz w:val="28"/>
          <w:szCs w:val="28"/>
        </w:rPr>
        <w:t xml:space="preserve">MTN </w:t>
      </w:r>
      <w:r w:rsidR="00BD5040" w:rsidRPr="00685259">
        <w:rPr>
          <w:sz w:val="28"/>
          <w:szCs w:val="28"/>
        </w:rPr>
        <w:t xml:space="preserve">was to </w:t>
      </w:r>
      <w:r w:rsidR="00BD355C" w:rsidRPr="00685259">
        <w:rPr>
          <w:sz w:val="28"/>
          <w:szCs w:val="28"/>
        </w:rPr>
        <w:t>utilise th</w:t>
      </w:r>
      <w:r w:rsidR="00BD5040" w:rsidRPr="00685259">
        <w:rPr>
          <w:sz w:val="28"/>
          <w:szCs w:val="28"/>
        </w:rPr>
        <w:t>at</w:t>
      </w:r>
      <w:r w:rsidR="00BD355C" w:rsidRPr="00685259">
        <w:rPr>
          <w:sz w:val="28"/>
          <w:szCs w:val="28"/>
        </w:rPr>
        <w:t xml:space="preserve"> machinery. It should </w:t>
      </w:r>
      <w:r w:rsidR="005B69EF" w:rsidRPr="00685259">
        <w:rPr>
          <w:sz w:val="28"/>
          <w:szCs w:val="28"/>
        </w:rPr>
        <w:t>submit a return</w:t>
      </w:r>
      <w:r w:rsidR="00FA2C25" w:rsidRPr="00685259">
        <w:rPr>
          <w:sz w:val="28"/>
          <w:szCs w:val="28"/>
        </w:rPr>
        <w:t xml:space="preserve"> which treats the supply</w:t>
      </w:r>
      <w:r w:rsidR="00212726" w:rsidRPr="00685259">
        <w:rPr>
          <w:sz w:val="28"/>
          <w:szCs w:val="28"/>
        </w:rPr>
        <w:t xml:space="preserve"> of</w:t>
      </w:r>
      <w:r w:rsidR="00FA2C25" w:rsidRPr="00685259">
        <w:rPr>
          <w:sz w:val="28"/>
          <w:szCs w:val="28"/>
        </w:rPr>
        <w:t xml:space="preserve"> </w:t>
      </w:r>
      <w:r w:rsidR="00CD3AA1" w:rsidRPr="00685259">
        <w:rPr>
          <w:sz w:val="28"/>
          <w:szCs w:val="28"/>
        </w:rPr>
        <w:t>the pre-paid vouchers</w:t>
      </w:r>
      <w:r w:rsidR="00FA2C25" w:rsidRPr="00685259">
        <w:rPr>
          <w:sz w:val="28"/>
          <w:szCs w:val="28"/>
        </w:rPr>
        <w:t xml:space="preserve"> as falling under s 10(18)</w:t>
      </w:r>
      <w:r w:rsidR="00FC6532" w:rsidRPr="00685259">
        <w:rPr>
          <w:sz w:val="28"/>
          <w:szCs w:val="28"/>
        </w:rPr>
        <w:t xml:space="preserve">. </w:t>
      </w:r>
      <w:r w:rsidR="00482C63" w:rsidRPr="00685259">
        <w:rPr>
          <w:sz w:val="28"/>
          <w:szCs w:val="28"/>
        </w:rPr>
        <w:t>SARS</w:t>
      </w:r>
      <w:r w:rsidR="00FC6532" w:rsidRPr="00685259">
        <w:rPr>
          <w:sz w:val="28"/>
          <w:szCs w:val="28"/>
        </w:rPr>
        <w:t xml:space="preserve"> would presumably</w:t>
      </w:r>
      <w:r w:rsidR="005F249F" w:rsidRPr="00685259">
        <w:rPr>
          <w:sz w:val="28"/>
          <w:szCs w:val="28"/>
        </w:rPr>
        <w:t xml:space="preserve"> reject</w:t>
      </w:r>
      <w:r w:rsidR="00870D4F" w:rsidRPr="00685259">
        <w:rPr>
          <w:sz w:val="28"/>
          <w:szCs w:val="28"/>
        </w:rPr>
        <w:t xml:space="preserve"> such </w:t>
      </w:r>
      <w:r w:rsidR="005F249F" w:rsidRPr="00685259">
        <w:rPr>
          <w:sz w:val="28"/>
          <w:szCs w:val="28"/>
        </w:rPr>
        <w:t xml:space="preserve">a return </w:t>
      </w:r>
      <w:r w:rsidR="00870D4F" w:rsidRPr="00685259">
        <w:rPr>
          <w:sz w:val="28"/>
          <w:szCs w:val="28"/>
        </w:rPr>
        <w:t xml:space="preserve">and issue an assessment based on </w:t>
      </w:r>
      <w:r w:rsidR="00CD3AA1" w:rsidRPr="00685259">
        <w:rPr>
          <w:sz w:val="28"/>
          <w:szCs w:val="28"/>
        </w:rPr>
        <w:t>the pre-paid vouchers</w:t>
      </w:r>
      <w:r w:rsidR="00870D4F" w:rsidRPr="00685259">
        <w:rPr>
          <w:sz w:val="28"/>
          <w:szCs w:val="28"/>
        </w:rPr>
        <w:t xml:space="preserve"> falling under s 10(19).</w:t>
      </w:r>
      <w:r w:rsidR="005F249F" w:rsidRPr="00685259">
        <w:rPr>
          <w:sz w:val="28"/>
          <w:szCs w:val="28"/>
        </w:rPr>
        <w:t xml:space="preserve"> </w:t>
      </w:r>
      <w:r w:rsidR="00CF51FD" w:rsidRPr="00685259">
        <w:rPr>
          <w:sz w:val="28"/>
          <w:szCs w:val="28"/>
        </w:rPr>
        <w:t>MTN would then be entitled to</w:t>
      </w:r>
      <w:r w:rsidR="005B69EF" w:rsidRPr="00685259">
        <w:rPr>
          <w:sz w:val="28"/>
          <w:szCs w:val="28"/>
        </w:rPr>
        <w:t xml:space="preserve"> object</w:t>
      </w:r>
      <w:r w:rsidR="00BA08D9" w:rsidRPr="00685259">
        <w:rPr>
          <w:sz w:val="28"/>
          <w:szCs w:val="28"/>
        </w:rPr>
        <w:t xml:space="preserve"> to the assessment</w:t>
      </w:r>
      <w:r w:rsidR="005B69EF" w:rsidRPr="00685259">
        <w:rPr>
          <w:sz w:val="28"/>
          <w:szCs w:val="28"/>
        </w:rPr>
        <w:t xml:space="preserve">. </w:t>
      </w:r>
      <w:r w:rsidR="00BA08D9" w:rsidRPr="00685259">
        <w:rPr>
          <w:sz w:val="28"/>
          <w:szCs w:val="28"/>
        </w:rPr>
        <w:t>I</w:t>
      </w:r>
      <w:r w:rsidR="005B69EF" w:rsidRPr="00685259">
        <w:rPr>
          <w:sz w:val="28"/>
          <w:szCs w:val="28"/>
        </w:rPr>
        <w:t xml:space="preserve">f </w:t>
      </w:r>
      <w:r w:rsidR="00321ECC" w:rsidRPr="00685259">
        <w:rPr>
          <w:sz w:val="28"/>
          <w:szCs w:val="28"/>
        </w:rPr>
        <w:t xml:space="preserve">the objection was turned down, </w:t>
      </w:r>
      <w:r w:rsidR="00BA08D9" w:rsidRPr="00685259">
        <w:rPr>
          <w:sz w:val="28"/>
          <w:szCs w:val="28"/>
        </w:rPr>
        <w:t>MTN could</w:t>
      </w:r>
      <w:r w:rsidR="001845E2" w:rsidRPr="00685259">
        <w:rPr>
          <w:sz w:val="28"/>
          <w:szCs w:val="28"/>
        </w:rPr>
        <w:t xml:space="preserve"> approach</w:t>
      </w:r>
      <w:r w:rsidR="005B69EF" w:rsidRPr="00685259">
        <w:rPr>
          <w:sz w:val="28"/>
          <w:szCs w:val="28"/>
        </w:rPr>
        <w:t xml:space="preserve"> the Tax Court</w:t>
      </w:r>
      <w:r w:rsidR="00BD5040" w:rsidRPr="00685259">
        <w:rPr>
          <w:sz w:val="28"/>
          <w:szCs w:val="28"/>
        </w:rPr>
        <w:t>, which is a specialist court,</w:t>
      </w:r>
      <w:r w:rsidR="005B69EF" w:rsidRPr="00685259">
        <w:rPr>
          <w:sz w:val="28"/>
          <w:szCs w:val="28"/>
        </w:rPr>
        <w:t xml:space="preserve"> </w:t>
      </w:r>
      <w:r w:rsidR="00670E9F" w:rsidRPr="00685259">
        <w:rPr>
          <w:sz w:val="28"/>
          <w:szCs w:val="28"/>
        </w:rPr>
        <w:t xml:space="preserve">and lead full evidence </w:t>
      </w:r>
      <w:r w:rsidR="00AB5C74" w:rsidRPr="00685259">
        <w:rPr>
          <w:sz w:val="28"/>
          <w:szCs w:val="28"/>
        </w:rPr>
        <w:t>in support of its contention</w:t>
      </w:r>
      <w:r w:rsidR="00670E9F" w:rsidRPr="00685259">
        <w:rPr>
          <w:sz w:val="28"/>
          <w:szCs w:val="28"/>
        </w:rPr>
        <w:t>. If unsuccessful before the Tax Court,</w:t>
      </w:r>
      <w:r w:rsidR="005B69EF" w:rsidRPr="00685259">
        <w:rPr>
          <w:sz w:val="28"/>
          <w:szCs w:val="28"/>
        </w:rPr>
        <w:t xml:space="preserve"> an appeal might thereafter lie</w:t>
      </w:r>
      <w:r w:rsidR="001728BC" w:rsidRPr="00685259">
        <w:rPr>
          <w:sz w:val="28"/>
          <w:szCs w:val="28"/>
        </w:rPr>
        <w:t xml:space="preserve"> to the full bench</w:t>
      </w:r>
      <w:r w:rsidR="004A7996" w:rsidRPr="00685259">
        <w:rPr>
          <w:sz w:val="28"/>
          <w:szCs w:val="28"/>
        </w:rPr>
        <w:t xml:space="preserve"> of the relevant High Court or to this Court</w:t>
      </w:r>
      <w:r w:rsidR="005B69EF" w:rsidRPr="00685259">
        <w:rPr>
          <w:sz w:val="28"/>
          <w:szCs w:val="28"/>
        </w:rPr>
        <w:t>.</w:t>
      </w:r>
      <w:r w:rsidR="004A7996" w:rsidRPr="00DC3181">
        <w:rPr>
          <w:rStyle w:val="FootnoteReference"/>
          <w:sz w:val="28"/>
          <w:szCs w:val="28"/>
        </w:rPr>
        <w:footnoteReference w:id="7"/>
      </w:r>
      <w:r w:rsidR="0047408E" w:rsidRPr="00685259">
        <w:rPr>
          <w:sz w:val="28"/>
          <w:szCs w:val="28"/>
        </w:rPr>
        <w:t xml:space="preserve"> </w:t>
      </w:r>
    </w:p>
    <w:p w14:paraId="1D094869" w14:textId="77777777" w:rsidR="00B865EB" w:rsidRPr="00DC3181" w:rsidRDefault="00B865EB" w:rsidP="00B865EB">
      <w:pPr>
        <w:rPr>
          <w:sz w:val="28"/>
          <w:szCs w:val="28"/>
        </w:rPr>
      </w:pPr>
    </w:p>
    <w:p w14:paraId="4018C9FE" w14:textId="7B43965F" w:rsidR="0036281C" w:rsidRPr="00685259" w:rsidRDefault="00685259" w:rsidP="00685259">
      <w:pPr>
        <w:rPr>
          <w:sz w:val="28"/>
          <w:szCs w:val="28"/>
        </w:rPr>
      </w:pPr>
      <w:r w:rsidRPr="00DC3181">
        <w:rPr>
          <w:sz w:val="28"/>
          <w:szCs w:val="28"/>
        </w:rPr>
        <w:t>[13]</w:t>
      </w:r>
      <w:r w:rsidRPr="00DC3181">
        <w:rPr>
          <w:sz w:val="28"/>
          <w:szCs w:val="28"/>
        </w:rPr>
        <w:tab/>
      </w:r>
      <w:r w:rsidR="00176F59" w:rsidRPr="00685259">
        <w:rPr>
          <w:sz w:val="28"/>
          <w:szCs w:val="28"/>
        </w:rPr>
        <w:t xml:space="preserve">MTN </w:t>
      </w:r>
      <w:r w:rsidR="00EE2BF7" w:rsidRPr="00685259">
        <w:rPr>
          <w:sz w:val="28"/>
          <w:szCs w:val="28"/>
        </w:rPr>
        <w:t>conceded that this procedure was available to it</w:t>
      </w:r>
      <w:r w:rsidR="00FF5035" w:rsidRPr="00685259">
        <w:rPr>
          <w:sz w:val="28"/>
          <w:szCs w:val="28"/>
        </w:rPr>
        <w:t xml:space="preserve">. However, it submitted that </w:t>
      </w:r>
      <w:r w:rsidR="00EE2BF7" w:rsidRPr="00685259">
        <w:rPr>
          <w:sz w:val="28"/>
          <w:szCs w:val="28"/>
        </w:rPr>
        <w:t xml:space="preserve">the application was not one </w:t>
      </w:r>
      <w:r w:rsidR="009B5700" w:rsidRPr="00685259">
        <w:rPr>
          <w:sz w:val="28"/>
          <w:szCs w:val="28"/>
        </w:rPr>
        <w:t>which</w:t>
      </w:r>
      <w:r w:rsidR="00932F98" w:rsidRPr="00685259">
        <w:rPr>
          <w:sz w:val="28"/>
          <w:szCs w:val="28"/>
        </w:rPr>
        <w:t>,</w:t>
      </w:r>
      <w:r w:rsidR="009B5700" w:rsidRPr="00685259">
        <w:rPr>
          <w:sz w:val="28"/>
          <w:szCs w:val="28"/>
        </w:rPr>
        <w:t xml:space="preserve"> in effect</w:t>
      </w:r>
      <w:r w:rsidR="00932F98" w:rsidRPr="00685259">
        <w:rPr>
          <w:sz w:val="28"/>
          <w:szCs w:val="28"/>
        </w:rPr>
        <w:t>,</w:t>
      </w:r>
      <w:r w:rsidR="009B5700" w:rsidRPr="00685259">
        <w:rPr>
          <w:sz w:val="28"/>
          <w:szCs w:val="28"/>
        </w:rPr>
        <w:t xml:space="preserve"> objected to the ruling but was a </w:t>
      </w:r>
      <w:r w:rsidR="009B5700" w:rsidRPr="00685259">
        <w:rPr>
          <w:sz w:val="28"/>
          <w:szCs w:val="28"/>
        </w:rPr>
        <w:lastRenderedPageBreak/>
        <w:t>legitimate approach to the high court for a declaration of rights.</w:t>
      </w:r>
      <w:r w:rsidR="00C2584B" w:rsidRPr="00685259">
        <w:rPr>
          <w:sz w:val="28"/>
          <w:szCs w:val="28"/>
        </w:rPr>
        <w:t xml:space="preserve"> In this regard, it placed reliance on the matter of </w:t>
      </w:r>
      <w:r w:rsidR="00E038BB" w:rsidRPr="00685259">
        <w:rPr>
          <w:i/>
          <w:iCs/>
          <w:sz w:val="28"/>
          <w:szCs w:val="28"/>
        </w:rPr>
        <w:t>Commissioner for the South African Revenue Service v Langholm Farms (Pty) Ltd</w:t>
      </w:r>
      <w:r w:rsidR="00E038BB" w:rsidRPr="00685259">
        <w:rPr>
          <w:sz w:val="28"/>
          <w:szCs w:val="28"/>
        </w:rPr>
        <w:t>.</w:t>
      </w:r>
      <w:r w:rsidR="00E038BB" w:rsidRPr="00DC3181">
        <w:rPr>
          <w:rStyle w:val="FootnoteReference"/>
          <w:sz w:val="28"/>
          <w:szCs w:val="28"/>
        </w:rPr>
        <w:footnoteReference w:id="8"/>
      </w:r>
      <w:r w:rsidR="00E038BB" w:rsidRPr="00685259">
        <w:rPr>
          <w:sz w:val="28"/>
          <w:szCs w:val="28"/>
        </w:rPr>
        <w:t xml:space="preserve"> </w:t>
      </w:r>
      <w:r w:rsidR="00255205" w:rsidRPr="00685259">
        <w:rPr>
          <w:sz w:val="28"/>
          <w:szCs w:val="28"/>
        </w:rPr>
        <w:t>In that matter</w:t>
      </w:r>
      <w:r w:rsidR="00E038BB" w:rsidRPr="00685259">
        <w:rPr>
          <w:sz w:val="28"/>
          <w:szCs w:val="28"/>
        </w:rPr>
        <w:t>, Langholm Farms had submitted a claim for diesel rebates</w:t>
      </w:r>
      <w:r w:rsidR="00255205" w:rsidRPr="00685259">
        <w:rPr>
          <w:sz w:val="28"/>
          <w:szCs w:val="28"/>
        </w:rPr>
        <w:t>. This</w:t>
      </w:r>
      <w:r w:rsidR="00E038BB" w:rsidRPr="00685259">
        <w:rPr>
          <w:sz w:val="28"/>
          <w:szCs w:val="28"/>
        </w:rPr>
        <w:t xml:space="preserve"> triggered an audit by </w:t>
      </w:r>
      <w:r w:rsidR="00482C63" w:rsidRPr="00685259">
        <w:rPr>
          <w:sz w:val="28"/>
          <w:szCs w:val="28"/>
        </w:rPr>
        <w:t>SARS</w:t>
      </w:r>
      <w:r w:rsidR="00E038BB" w:rsidRPr="00685259">
        <w:rPr>
          <w:sz w:val="28"/>
          <w:szCs w:val="28"/>
        </w:rPr>
        <w:t xml:space="preserve">. Following the audit, </w:t>
      </w:r>
      <w:r w:rsidR="00482C63" w:rsidRPr="00685259">
        <w:rPr>
          <w:sz w:val="28"/>
          <w:szCs w:val="28"/>
        </w:rPr>
        <w:t>SARS</w:t>
      </w:r>
      <w:r w:rsidR="00E038BB" w:rsidRPr="00685259">
        <w:rPr>
          <w:sz w:val="28"/>
          <w:szCs w:val="28"/>
        </w:rPr>
        <w:t xml:space="preserve"> indicated that it would issue a revised assessment disallowing the claim on grounds relating to the interpretation of s 75(1C)</w:t>
      </w:r>
      <w:r w:rsidR="00E038BB" w:rsidRPr="00685259">
        <w:rPr>
          <w:i/>
          <w:iCs/>
          <w:sz w:val="28"/>
          <w:szCs w:val="28"/>
        </w:rPr>
        <w:t>(a)</w:t>
      </w:r>
      <w:r w:rsidR="00E038BB" w:rsidRPr="00685259">
        <w:rPr>
          <w:sz w:val="28"/>
          <w:szCs w:val="28"/>
        </w:rPr>
        <w:t xml:space="preserve">(iii) of the Customs and Excise Act 91 of 1964. </w:t>
      </w:r>
      <w:r w:rsidR="00952EB0" w:rsidRPr="00685259">
        <w:rPr>
          <w:sz w:val="28"/>
          <w:szCs w:val="28"/>
        </w:rPr>
        <w:t xml:space="preserve">Langholm Farms approached the high court </w:t>
      </w:r>
      <w:r w:rsidR="002E65BB" w:rsidRPr="00685259">
        <w:rPr>
          <w:sz w:val="28"/>
          <w:szCs w:val="28"/>
        </w:rPr>
        <w:t xml:space="preserve">and succeeded in obtaining </w:t>
      </w:r>
      <w:r w:rsidR="00952EB0" w:rsidRPr="00685259">
        <w:rPr>
          <w:sz w:val="28"/>
          <w:szCs w:val="28"/>
        </w:rPr>
        <w:t>declaratory relief.</w:t>
      </w:r>
      <w:r w:rsidR="002E65BB" w:rsidRPr="00685259">
        <w:rPr>
          <w:sz w:val="28"/>
          <w:szCs w:val="28"/>
        </w:rPr>
        <w:t xml:space="preserve"> On appeal, t</w:t>
      </w:r>
      <w:r w:rsidR="00E038BB" w:rsidRPr="00685259">
        <w:rPr>
          <w:sz w:val="28"/>
          <w:szCs w:val="28"/>
        </w:rPr>
        <w:t xml:space="preserve">his Court </w:t>
      </w:r>
      <w:r w:rsidR="00233666" w:rsidRPr="00685259">
        <w:rPr>
          <w:sz w:val="28"/>
          <w:szCs w:val="28"/>
        </w:rPr>
        <w:t>set aside the</w:t>
      </w:r>
      <w:r w:rsidR="00E038BB" w:rsidRPr="00685259">
        <w:rPr>
          <w:sz w:val="28"/>
          <w:szCs w:val="28"/>
        </w:rPr>
        <w:t xml:space="preserve"> declaratory order</w:t>
      </w:r>
      <w:r w:rsidR="00B97C1E" w:rsidRPr="00685259">
        <w:rPr>
          <w:sz w:val="28"/>
          <w:szCs w:val="28"/>
        </w:rPr>
        <w:t xml:space="preserve">. </w:t>
      </w:r>
    </w:p>
    <w:p w14:paraId="1209F722" w14:textId="77777777" w:rsidR="0036281C" w:rsidRPr="00DC3181" w:rsidRDefault="0036281C" w:rsidP="00401A7D">
      <w:pPr>
        <w:rPr>
          <w:sz w:val="28"/>
          <w:szCs w:val="28"/>
        </w:rPr>
      </w:pPr>
    </w:p>
    <w:p w14:paraId="50426315" w14:textId="34303F10" w:rsidR="00E038BB" w:rsidRPr="00685259" w:rsidRDefault="00685259" w:rsidP="00685259">
      <w:pPr>
        <w:rPr>
          <w:sz w:val="28"/>
          <w:szCs w:val="28"/>
        </w:rPr>
      </w:pPr>
      <w:r w:rsidRPr="00DC3181">
        <w:rPr>
          <w:sz w:val="28"/>
          <w:szCs w:val="28"/>
        </w:rPr>
        <w:t>[14]</w:t>
      </w:r>
      <w:r w:rsidRPr="00DC3181">
        <w:rPr>
          <w:sz w:val="28"/>
          <w:szCs w:val="28"/>
        </w:rPr>
        <w:tab/>
      </w:r>
      <w:r w:rsidR="00E038BB" w:rsidRPr="00685259">
        <w:rPr>
          <w:sz w:val="28"/>
          <w:szCs w:val="28"/>
        </w:rPr>
        <w:t>I</w:t>
      </w:r>
      <w:r w:rsidR="00672064" w:rsidRPr="00685259">
        <w:rPr>
          <w:sz w:val="28"/>
          <w:szCs w:val="28"/>
        </w:rPr>
        <w:t>n</w:t>
      </w:r>
      <w:r w:rsidR="00F24FA2" w:rsidRPr="00685259">
        <w:rPr>
          <w:sz w:val="28"/>
          <w:szCs w:val="28"/>
        </w:rPr>
        <w:t xml:space="preserve"> dealing with an argument</w:t>
      </w:r>
      <w:r w:rsidR="00E038BB" w:rsidRPr="00685259">
        <w:rPr>
          <w:sz w:val="28"/>
          <w:szCs w:val="28"/>
        </w:rPr>
        <w:t xml:space="preserve"> </w:t>
      </w:r>
      <w:r w:rsidR="00DD3BE6" w:rsidRPr="00685259">
        <w:rPr>
          <w:sz w:val="28"/>
          <w:szCs w:val="28"/>
        </w:rPr>
        <w:t>t</w:t>
      </w:r>
      <w:r w:rsidR="00E038BB" w:rsidRPr="00685259">
        <w:rPr>
          <w:sz w:val="28"/>
          <w:szCs w:val="28"/>
        </w:rPr>
        <w:t>hat</w:t>
      </w:r>
      <w:r w:rsidR="00597833" w:rsidRPr="00685259">
        <w:rPr>
          <w:sz w:val="28"/>
          <w:szCs w:val="28"/>
        </w:rPr>
        <w:t xml:space="preserve"> the procedure </w:t>
      </w:r>
      <w:r w:rsidR="00F24FA2" w:rsidRPr="00685259">
        <w:rPr>
          <w:sz w:val="28"/>
          <w:szCs w:val="28"/>
        </w:rPr>
        <w:t>of applying for declara</w:t>
      </w:r>
      <w:r w:rsidR="00DE3D37" w:rsidRPr="00685259">
        <w:rPr>
          <w:sz w:val="28"/>
          <w:szCs w:val="28"/>
        </w:rPr>
        <w:t xml:space="preserve">tory relief </w:t>
      </w:r>
      <w:r w:rsidR="00597833" w:rsidRPr="00685259">
        <w:rPr>
          <w:sz w:val="28"/>
          <w:szCs w:val="28"/>
        </w:rPr>
        <w:t>was not competent</w:t>
      </w:r>
      <w:r w:rsidR="00DE3D37" w:rsidRPr="00685259">
        <w:rPr>
          <w:sz w:val="28"/>
          <w:szCs w:val="28"/>
        </w:rPr>
        <w:t>, this</w:t>
      </w:r>
      <w:r w:rsidR="00E038BB" w:rsidRPr="00685259">
        <w:rPr>
          <w:sz w:val="28"/>
          <w:szCs w:val="28"/>
        </w:rPr>
        <w:t xml:space="preserve"> </w:t>
      </w:r>
      <w:r w:rsidR="00597833" w:rsidRPr="00685259">
        <w:rPr>
          <w:sz w:val="28"/>
          <w:szCs w:val="28"/>
        </w:rPr>
        <w:t>C</w:t>
      </w:r>
      <w:r w:rsidR="00E038BB" w:rsidRPr="00685259">
        <w:rPr>
          <w:sz w:val="28"/>
          <w:szCs w:val="28"/>
        </w:rPr>
        <w:t xml:space="preserve">ourt </w:t>
      </w:r>
      <w:r w:rsidR="00DE3D37" w:rsidRPr="00685259">
        <w:rPr>
          <w:sz w:val="28"/>
          <w:szCs w:val="28"/>
        </w:rPr>
        <w:t>held</w:t>
      </w:r>
      <w:r w:rsidR="00E038BB" w:rsidRPr="00685259">
        <w:rPr>
          <w:sz w:val="28"/>
          <w:szCs w:val="28"/>
        </w:rPr>
        <w:t>:</w:t>
      </w:r>
    </w:p>
    <w:p w14:paraId="1DE00D06" w14:textId="17329178" w:rsidR="00E038BB" w:rsidRPr="00DC3181" w:rsidRDefault="00E038BB" w:rsidP="00401A7D">
      <w:r w:rsidRPr="00DC3181">
        <w:t>‘SARS made it clear that refunds may only be claimed on fuel that was delivered, stored and dispensed from storage facilities on the premises of Langholm. In so doing SARS expressed a clear view as to the proper construction of s 75(1C)</w:t>
      </w:r>
      <w:r w:rsidRPr="00DC3181">
        <w:rPr>
          <w:i/>
          <w:iCs/>
        </w:rPr>
        <w:t>(a)</w:t>
      </w:r>
      <w:r w:rsidRPr="00DC3181">
        <w:t>(iii). Langholm disagreed and responded with the application, in an effort to resolve this dispute. It is true that Langholm could have waited and provided SARS with the documents it required for a revised assessment, and then challenged such an assessment, and argued the point of law at that stage. The issue is whether it was obliged to do so. In my view there was nothing objectionable in Langholm seeking clarity on an issue of statutory interpretation that would clearly influence the outcome of SARS’ audit. If the court accepted Langholm’s view of the proper interpretation of s 75(1C)</w:t>
      </w:r>
      <w:r w:rsidRPr="00DC3181">
        <w:rPr>
          <w:i/>
          <w:iCs/>
        </w:rPr>
        <w:t>(a)</w:t>
      </w:r>
      <w:r w:rsidRPr="00DC3181">
        <w:t xml:space="preserve">(iii) of the Act, SARS would have had to return to the audit and re-assess its position in the light of any further information and debate with Langholm. There was little point in Langholm entering into a debate or providing further information when none of it would be at all relevant given SARS’ legal view. That </w:t>
      </w:r>
      <w:r w:rsidR="00C63D38" w:rsidRPr="00DC3181">
        <w:t>i</w:t>
      </w:r>
      <w:r w:rsidRPr="00DC3181">
        <w:t xml:space="preserve">s exactly the situation for which declaratory orders are made and seeking one in the context of a taxing statute was endorsed by the Constitutional Court in </w:t>
      </w:r>
      <w:r w:rsidRPr="00DC3181">
        <w:rPr>
          <w:i/>
          <w:iCs/>
        </w:rPr>
        <w:t>Metcash</w:t>
      </w:r>
      <w:r w:rsidRPr="00DC3181">
        <w:t>.’</w:t>
      </w:r>
      <w:r w:rsidRPr="00DC3181">
        <w:rPr>
          <w:rStyle w:val="FootnoteReference"/>
        </w:rPr>
        <w:footnoteReference w:id="9"/>
      </w:r>
    </w:p>
    <w:p w14:paraId="1F5B25AE" w14:textId="77777777" w:rsidR="00F07683" w:rsidRPr="00DC3181" w:rsidRDefault="00F07683" w:rsidP="00401A7D">
      <w:pPr>
        <w:rPr>
          <w:sz w:val="28"/>
          <w:szCs w:val="28"/>
        </w:rPr>
      </w:pPr>
    </w:p>
    <w:p w14:paraId="3C565DB0" w14:textId="0E66A436" w:rsidR="00DC7190" w:rsidRPr="00685259" w:rsidRDefault="00685259" w:rsidP="00685259">
      <w:pPr>
        <w:rPr>
          <w:sz w:val="28"/>
          <w:szCs w:val="28"/>
        </w:rPr>
      </w:pPr>
      <w:r w:rsidRPr="00DC3181">
        <w:rPr>
          <w:sz w:val="28"/>
          <w:szCs w:val="28"/>
        </w:rPr>
        <w:lastRenderedPageBreak/>
        <w:t>[15]</w:t>
      </w:r>
      <w:r w:rsidRPr="00DC3181">
        <w:rPr>
          <w:sz w:val="28"/>
          <w:szCs w:val="28"/>
        </w:rPr>
        <w:tab/>
      </w:r>
      <w:r w:rsidR="00E81484" w:rsidRPr="00685259">
        <w:rPr>
          <w:sz w:val="28"/>
          <w:szCs w:val="28"/>
        </w:rPr>
        <w:t xml:space="preserve"> </w:t>
      </w:r>
      <w:r w:rsidR="00482C63" w:rsidRPr="00685259">
        <w:rPr>
          <w:sz w:val="28"/>
          <w:szCs w:val="28"/>
        </w:rPr>
        <w:t>SARS</w:t>
      </w:r>
      <w:r w:rsidR="00DC7190" w:rsidRPr="00685259">
        <w:rPr>
          <w:sz w:val="28"/>
          <w:szCs w:val="28"/>
        </w:rPr>
        <w:t xml:space="preserve"> conceded that declaratory relief is competent in tax matters. Its contention, however, was the ambit </w:t>
      </w:r>
      <w:r w:rsidR="00482C63" w:rsidRPr="00685259">
        <w:rPr>
          <w:sz w:val="28"/>
          <w:szCs w:val="28"/>
        </w:rPr>
        <w:t>for the grant o</w:t>
      </w:r>
      <w:r w:rsidR="00DC7190" w:rsidRPr="00685259">
        <w:rPr>
          <w:sz w:val="28"/>
          <w:szCs w:val="28"/>
        </w:rPr>
        <w:t xml:space="preserve">f declaratory relief in such matters is narrow. </w:t>
      </w:r>
      <w:r w:rsidR="00BD5040" w:rsidRPr="00685259">
        <w:rPr>
          <w:sz w:val="28"/>
          <w:szCs w:val="28"/>
        </w:rPr>
        <w:t>It submitted that t</w:t>
      </w:r>
      <w:r w:rsidR="00DC7190" w:rsidRPr="00685259">
        <w:rPr>
          <w:sz w:val="28"/>
          <w:szCs w:val="28"/>
        </w:rPr>
        <w:t>he present matter did not meet the required criteria.</w:t>
      </w:r>
      <w:r w:rsidR="00BD5040" w:rsidRPr="00685259">
        <w:rPr>
          <w:sz w:val="28"/>
          <w:szCs w:val="28"/>
        </w:rPr>
        <w:t xml:space="preserve"> It is not necessary to decide whether the application amounted to an impermissible objection. Th</w:t>
      </w:r>
      <w:r w:rsidR="00A27B7A" w:rsidRPr="00685259">
        <w:rPr>
          <w:sz w:val="28"/>
          <w:szCs w:val="28"/>
        </w:rPr>
        <w:t>is part of the appeal</w:t>
      </w:r>
      <w:r w:rsidR="00BD5040" w:rsidRPr="00685259">
        <w:rPr>
          <w:sz w:val="28"/>
          <w:szCs w:val="28"/>
        </w:rPr>
        <w:t xml:space="preserve"> must </w:t>
      </w:r>
      <w:r w:rsidR="008B4DBA" w:rsidRPr="00685259">
        <w:rPr>
          <w:sz w:val="28"/>
          <w:szCs w:val="28"/>
        </w:rPr>
        <w:t>turn o</w:t>
      </w:r>
      <w:r w:rsidR="00A27B7A" w:rsidRPr="00685259">
        <w:rPr>
          <w:sz w:val="28"/>
          <w:szCs w:val="28"/>
        </w:rPr>
        <w:t>n</w:t>
      </w:r>
      <w:r w:rsidR="00BD5040" w:rsidRPr="00685259">
        <w:rPr>
          <w:sz w:val="28"/>
          <w:szCs w:val="28"/>
        </w:rPr>
        <w:t xml:space="preserve"> whether</w:t>
      </w:r>
      <w:r w:rsidR="002238F6" w:rsidRPr="00685259">
        <w:rPr>
          <w:sz w:val="28"/>
          <w:szCs w:val="28"/>
        </w:rPr>
        <w:t xml:space="preserve"> MTN made out a case for</w:t>
      </w:r>
      <w:r w:rsidR="008B4DBA" w:rsidRPr="00685259">
        <w:rPr>
          <w:sz w:val="28"/>
          <w:szCs w:val="28"/>
        </w:rPr>
        <w:t xml:space="preserve"> the high court to entertain the application for</w:t>
      </w:r>
      <w:r w:rsidR="002238F6" w:rsidRPr="00685259">
        <w:rPr>
          <w:sz w:val="28"/>
          <w:szCs w:val="28"/>
        </w:rPr>
        <w:t xml:space="preserve"> declaratory relief.</w:t>
      </w:r>
    </w:p>
    <w:p w14:paraId="5218C9CA" w14:textId="77777777" w:rsidR="00DC7190" w:rsidRPr="00DC3181" w:rsidRDefault="00DC7190" w:rsidP="00DC7190">
      <w:pPr>
        <w:pStyle w:val="ListParagraph"/>
        <w:ind w:left="0"/>
        <w:rPr>
          <w:sz w:val="28"/>
          <w:szCs w:val="28"/>
        </w:rPr>
      </w:pPr>
    </w:p>
    <w:p w14:paraId="70938389" w14:textId="367E8D81" w:rsidR="005B57DE" w:rsidRPr="00685259" w:rsidRDefault="00685259" w:rsidP="00685259">
      <w:pPr>
        <w:rPr>
          <w:sz w:val="28"/>
          <w:szCs w:val="28"/>
        </w:rPr>
      </w:pPr>
      <w:r w:rsidRPr="00DC3181">
        <w:rPr>
          <w:sz w:val="28"/>
          <w:szCs w:val="28"/>
        </w:rPr>
        <w:t>[16]</w:t>
      </w:r>
      <w:r w:rsidRPr="00DC3181">
        <w:rPr>
          <w:sz w:val="28"/>
          <w:szCs w:val="28"/>
        </w:rPr>
        <w:tab/>
      </w:r>
      <w:r w:rsidR="00DC7190" w:rsidRPr="00685259">
        <w:rPr>
          <w:sz w:val="28"/>
          <w:szCs w:val="28"/>
        </w:rPr>
        <w:t xml:space="preserve">It is correct that </w:t>
      </w:r>
      <w:r w:rsidR="0087525B" w:rsidRPr="00685259">
        <w:rPr>
          <w:sz w:val="28"/>
          <w:szCs w:val="28"/>
        </w:rPr>
        <w:t xml:space="preserve">courts have jurisdiction to grant </w:t>
      </w:r>
      <w:r w:rsidR="00DC7190" w:rsidRPr="00685259">
        <w:rPr>
          <w:sz w:val="28"/>
          <w:szCs w:val="28"/>
        </w:rPr>
        <w:t>a declaration of rights in tax matters</w:t>
      </w:r>
      <w:r w:rsidR="002238F6" w:rsidRPr="00685259">
        <w:rPr>
          <w:sz w:val="28"/>
          <w:szCs w:val="28"/>
        </w:rPr>
        <w:t xml:space="preserve"> as was done in </w:t>
      </w:r>
      <w:r w:rsidR="002238F6" w:rsidRPr="00685259">
        <w:rPr>
          <w:i/>
          <w:iCs/>
          <w:sz w:val="28"/>
          <w:szCs w:val="28"/>
        </w:rPr>
        <w:t>Langholm Farm</w:t>
      </w:r>
      <w:r w:rsidR="00B52E77" w:rsidRPr="00685259">
        <w:rPr>
          <w:i/>
          <w:iCs/>
          <w:sz w:val="28"/>
          <w:szCs w:val="28"/>
        </w:rPr>
        <w:t>s</w:t>
      </w:r>
      <w:r w:rsidR="00DC7190" w:rsidRPr="00685259">
        <w:rPr>
          <w:sz w:val="28"/>
          <w:szCs w:val="28"/>
        </w:rPr>
        <w:t xml:space="preserve">. </w:t>
      </w:r>
      <w:r w:rsidR="00EF4D9C" w:rsidRPr="00685259">
        <w:rPr>
          <w:i/>
          <w:iCs/>
          <w:sz w:val="28"/>
          <w:szCs w:val="28"/>
        </w:rPr>
        <w:t>Metcash</w:t>
      </w:r>
      <w:r w:rsidR="00EF4D9C" w:rsidRPr="00685259">
        <w:rPr>
          <w:sz w:val="28"/>
          <w:szCs w:val="28"/>
        </w:rPr>
        <w:t xml:space="preserve"> </w:t>
      </w:r>
      <w:r w:rsidR="002238F6" w:rsidRPr="00685259">
        <w:rPr>
          <w:sz w:val="28"/>
          <w:szCs w:val="28"/>
        </w:rPr>
        <w:t xml:space="preserve">also </w:t>
      </w:r>
      <w:r w:rsidR="00EF4D9C" w:rsidRPr="00685259">
        <w:rPr>
          <w:sz w:val="28"/>
          <w:szCs w:val="28"/>
        </w:rPr>
        <w:t xml:space="preserve">made </w:t>
      </w:r>
      <w:r w:rsidR="00DC7190" w:rsidRPr="00685259">
        <w:rPr>
          <w:sz w:val="28"/>
          <w:szCs w:val="28"/>
        </w:rPr>
        <w:t>this</w:t>
      </w:r>
      <w:r w:rsidR="00FD14ED" w:rsidRPr="00685259">
        <w:rPr>
          <w:sz w:val="28"/>
          <w:szCs w:val="28"/>
        </w:rPr>
        <w:t xml:space="preserve"> clear</w:t>
      </w:r>
      <w:r w:rsidR="00DC7190" w:rsidRPr="00685259">
        <w:rPr>
          <w:sz w:val="28"/>
          <w:szCs w:val="28"/>
        </w:rPr>
        <w:t>:</w:t>
      </w:r>
    </w:p>
    <w:p w14:paraId="747A369F" w14:textId="77777777" w:rsidR="005B57DE" w:rsidRPr="00DC3181" w:rsidRDefault="005B57DE" w:rsidP="00401A7D">
      <w:pPr>
        <w:pStyle w:val="ListParagraph"/>
        <w:ind w:left="0"/>
      </w:pPr>
      <w:r w:rsidRPr="00DC3181">
        <w:t>‘But that does not mean that a court is prohibited from hearing an application for interlocutory relief in the face of a pending VAT appeal, or from granting other appropriate relief. Nor does it mean that the jurisdiction is theoretically extant but actually illusory. A court would certainly have jurisdiction to grant declaratory relief to such a vendor if, for instance, it were to be alleged that the Commissioner had erred in law in regarding the applicant as a vendor; or had misapplied the law in holding a particular transaction to be liable to VAT; or had acted capriciously or in bad faith; or had failed to apply the proper legal test to any particular set of facts.’</w:t>
      </w:r>
      <w:r w:rsidRPr="00DC3181">
        <w:rPr>
          <w:rStyle w:val="FootnoteReference"/>
        </w:rPr>
        <w:footnoteReference w:id="10"/>
      </w:r>
    </w:p>
    <w:p w14:paraId="6128DA36" w14:textId="155A9325" w:rsidR="00A0681E" w:rsidRPr="00DC3181" w:rsidRDefault="00EF4D9C" w:rsidP="002238F6">
      <w:pPr>
        <w:pStyle w:val="ListParagraph"/>
        <w:ind w:left="0"/>
        <w:rPr>
          <w:sz w:val="28"/>
          <w:szCs w:val="28"/>
        </w:rPr>
      </w:pPr>
      <w:r w:rsidRPr="00DC3181">
        <w:rPr>
          <w:sz w:val="28"/>
          <w:szCs w:val="28"/>
        </w:rPr>
        <w:t>I</w:t>
      </w:r>
      <w:r w:rsidR="00E81484" w:rsidRPr="00DC3181">
        <w:rPr>
          <w:sz w:val="28"/>
          <w:szCs w:val="28"/>
        </w:rPr>
        <w:t xml:space="preserve">n </w:t>
      </w:r>
      <w:r w:rsidR="00DA49DA" w:rsidRPr="00DC3181">
        <w:rPr>
          <w:i/>
          <w:iCs/>
          <w:sz w:val="28"/>
          <w:szCs w:val="28"/>
        </w:rPr>
        <w:t>Metcash</w:t>
      </w:r>
      <w:r w:rsidRPr="00DC3181">
        <w:rPr>
          <w:sz w:val="28"/>
          <w:szCs w:val="28"/>
        </w:rPr>
        <w:t>, Kriegler</w:t>
      </w:r>
      <w:r w:rsidR="00DA49DA" w:rsidRPr="00DC3181">
        <w:rPr>
          <w:sz w:val="28"/>
          <w:szCs w:val="28"/>
        </w:rPr>
        <w:t xml:space="preserve"> </w:t>
      </w:r>
      <w:r w:rsidR="001A65CB" w:rsidRPr="00DC3181">
        <w:rPr>
          <w:sz w:val="28"/>
          <w:szCs w:val="28"/>
        </w:rPr>
        <w:t xml:space="preserve">J </w:t>
      </w:r>
      <w:r w:rsidR="00E81484" w:rsidRPr="00DC3181">
        <w:rPr>
          <w:sz w:val="28"/>
          <w:szCs w:val="28"/>
        </w:rPr>
        <w:t xml:space="preserve">referred </w:t>
      </w:r>
      <w:r w:rsidRPr="00DC3181">
        <w:rPr>
          <w:sz w:val="28"/>
          <w:szCs w:val="28"/>
        </w:rPr>
        <w:t xml:space="preserve">with approval </w:t>
      </w:r>
      <w:r w:rsidR="00E81484" w:rsidRPr="00DC3181">
        <w:rPr>
          <w:sz w:val="28"/>
          <w:szCs w:val="28"/>
        </w:rPr>
        <w:t xml:space="preserve">to </w:t>
      </w:r>
      <w:r w:rsidR="00B27A46" w:rsidRPr="00DC3181">
        <w:rPr>
          <w:sz w:val="28"/>
          <w:szCs w:val="28"/>
        </w:rPr>
        <w:t>the following</w:t>
      </w:r>
      <w:r w:rsidR="00BA3402" w:rsidRPr="00DC3181">
        <w:rPr>
          <w:sz w:val="28"/>
          <w:szCs w:val="28"/>
        </w:rPr>
        <w:t xml:space="preserve"> dictum of</w:t>
      </w:r>
      <w:r w:rsidR="00174BA8" w:rsidRPr="00DC3181">
        <w:rPr>
          <w:sz w:val="28"/>
          <w:szCs w:val="28"/>
        </w:rPr>
        <w:t xml:space="preserve"> McCreath</w:t>
      </w:r>
      <w:r w:rsidR="00222252">
        <w:rPr>
          <w:sz w:val="28"/>
          <w:szCs w:val="28"/>
        </w:rPr>
        <w:t> </w:t>
      </w:r>
      <w:r w:rsidR="00174BA8" w:rsidRPr="00DC3181">
        <w:rPr>
          <w:sz w:val="28"/>
          <w:szCs w:val="28"/>
        </w:rPr>
        <w:t>J</w:t>
      </w:r>
      <w:r w:rsidR="0094405A" w:rsidRPr="00DC3181">
        <w:rPr>
          <w:sz w:val="28"/>
          <w:szCs w:val="28"/>
        </w:rPr>
        <w:t xml:space="preserve"> in </w:t>
      </w:r>
      <w:r w:rsidR="006A6938" w:rsidRPr="00DC3181">
        <w:rPr>
          <w:i/>
          <w:iCs/>
          <w:sz w:val="28"/>
          <w:szCs w:val="28"/>
        </w:rPr>
        <w:t>Friedman and Others NNO v Commissioner for Inland Revenue: In re Phillip Frame Will Trust v Commissioner for Inland Revenue</w:t>
      </w:r>
      <w:r w:rsidR="00A0681E" w:rsidRPr="00DC3181">
        <w:rPr>
          <w:sz w:val="28"/>
          <w:szCs w:val="28"/>
        </w:rPr>
        <w:t>:</w:t>
      </w:r>
      <w:r w:rsidR="006A6938" w:rsidRPr="00DC3181">
        <w:rPr>
          <w:rStyle w:val="FootnoteReference"/>
          <w:sz w:val="28"/>
          <w:szCs w:val="28"/>
        </w:rPr>
        <w:footnoteReference w:id="11"/>
      </w:r>
      <w:r w:rsidR="00395AE5" w:rsidRPr="00DC3181">
        <w:rPr>
          <w:sz w:val="28"/>
          <w:szCs w:val="28"/>
        </w:rPr>
        <w:t xml:space="preserve"> </w:t>
      </w:r>
    </w:p>
    <w:p w14:paraId="27C9B70E" w14:textId="3BAA51A2" w:rsidR="00A0681E" w:rsidRPr="00DC3181" w:rsidRDefault="00937228" w:rsidP="00401A7D">
      <w:pPr>
        <w:pStyle w:val="ListParagraph"/>
        <w:ind w:left="0"/>
      </w:pPr>
      <w:r w:rsidRPr="00DC3181">
        <w:t>‘I am in agreement with the finding of the Court in that case that where the dispute involved no question of fact and is simply one of law the Commissioner and the Special Court are not the only competent authorities to decide the issue - at any rate when a declaratory order such as that in the present case is being sought.’</w:t>
      </w:r>
    </w:p>
    <w:p w14:paraId="54697543" w14:textId="77777777" w:rsidR="00CA37DD" w:rsidRPr="00DC3181" w:rsidRDefault="00CA37DD" w:rsidP="00CA37DD">
      <w:pPr>
        <w:pStyle w:val="ListParagraph"/>
        <w:ind w:left="0"/>
        <w:rPr>
          <w:sz w:val="28"/>
          <w:szCs w:val="28"/>
        </w:rPr>
      </w:pPr>
    </w:p>
    <w:p w14:paraId="4E5297B9" w14:textId="39419FAF" w:rsidR="007F6C6F" w:rsidRPr="00685259" w:rsidRDefault="00685259" w:rsidP="00685259">
      <w:pPr>
        <w:rPr>
          <w:bCs/>
          <w:sz w:val="28"/>
          <w:szCs w:val="28"/>
        </w:rPr>
      </w:pPr>
      <w:r w:rsidRPr="00DC3181">
        <w:rPr>
          <w:sz w:val="28"/>
          <w:szCs w:val="28"/>
        </w:rPr>
        <w:lastRenderedPageBreak/>
        <w:t>[17]</w:t>
      </w:r>
      <w:r w:rsidRPr="00DC3181">
        <w:rPr>
          <w:sz w:val="28"/>
          <w:szCs w:val="28"/>
        </w:rPr>
        <w:tab/>
      </w:r>
      <w:r w:rsidR="00DB79D1" w:rsidRPr="00685259">
        <w:rPr>
          <w:sz w:val="28"/>
          <w:szCs w:val="28"/>
        </w:rPr>
        <w:t xml:space="preserve">It is worth </w:t>
      </w:r>
      <w:r w:rsidR="00D309B5" w:rsidRPr="00685259">
        <w:rPr>
          <w:sz w:val="28"/>
          <w:szCs w:val="28"/>
        </w:rPr>
        <w:t>reviewing matters</w:t>
      </w:r>
      <w:r w:rsidR="00DB79D1" w:rsidRPr="00685259">
        <w:rPr>
          <w:sz w:val="28"/>
          <w:szCs w:val="28"/>
        </w:rPr>
        <w:t xml:space="preserve"> </w:t>
      </w:r>
      <w:r w:rsidR="007F6C6F" w:rsidRPr="00685259">
        <w:rPr>
          <w:sz w:val="28"/>
          <w:szCs w:val="28"/>
        </w:rPr>
        <w:t xml:space="preserve">when </w:t>
      </w:r>
      <w:r w:rsidR="00D309B5" w:rsidRPr="00685259">
        <w:rPr>
          <w:sz w:val="28"/>
          <w:szCs w:val="28"/>
        </w:rPr>
        <w:t xml:space="preserve">the courts have exercised their jurisdiction to </w:t>
      </w:r>
      <w:r w:rsidR="002238F6" w:rsidRPr="00685259">
        <w:rPr>
          <w:sz w:val="28"/>
          <w:szCs w:val="28"/>
        </w:rPr>
        <w:t>entertain applications for</w:t>
      </w:r>
      <w:r w:rsidR="00D309B5" w:rsidRPr="00685259">
        <w:rPr>
          <w:sz w:val="28"/>
          <w:szCs w:val="28"/>
        </w:rPr>
        <w:t xml:space="preserve"> </w:t>
      </w:r>
      <w:r w:rsidR="007F6C6F" w:rsidRPr="00685259">
        <w:rPr>
          <w:sz w:val="28"/>
          <w:szCs w:val="28"/>
        </w:rPr>
        <w:t xml:space="preserve">declaratory orders </w:t>
      </w:r>
      <w:r w:rsidR="00D309B5" w:rsidRPr="00685259">
        <w:rPr>
          <w:sz w:val="28"/>
          <w:szCs w:val="28"/>
        </w:rPr>
        <w:t>i</w:t>
      </w:r>
      <w:r w:rsidR="007F6C6F" w:rsidRPr="00685259">
        <w:rPr>
          <w:sz w:val="28"/>
          <w:szCs w:val="28"/>
        </w:rPr>
        <w:t xml:space="preserve">n tax matters. </w:t>
      </w:r>
      <w:r w:rsidR="00CA37DD" w:rsidRPr="00685259">
        <w:rPr>
          <w:sz w:val="28"/>
          <w:szCs w:val="28"/>
        </w:rPr>
        <w:t xml:space="preserve">The facts in </w:t>
      </w:r>
      <w:r w:rsidR="00CA37DD" w:rsidRPr="00685259">
        <w:rPr>
          <w:i/>
          <w:iCs/>
          <w:sz w:val="28"/>
          <w:szCs w:val="28"/>
        </w:rPr>
        <w:t>Langholm Farms</w:t>
      </w:r>
      <w:r w:rsidR="00D309B5" w:rsidRPr="00E94060">
        <w:rPr>
          <w:rStyle w:val="FootnoteReference"/>
          <w:iCs/>
          <w:sz w:val="28"/>
          <w:szCs w:val="28"/>
        </w:rPr>
        <w:footnoteReference w:id="12"/>
      </w:r>
      <w:r w:rsidR="00CA37DD" w:rsidRPr="00685259">
        <w:rPr>
          <w:sz w:val="28"/>
          <w:szCs w:val="28"/>
        </w:rPr>
        <w:t xml:space="preserve"> were clear and uncontested. A discrete legal issue had arisen for decision. No further factual information was necessary to resolve that legal issue. The dispute was</w:t>
      </w:r>
      <w:r w:rsidR="002238F6" w:rsidRPr="00685259">
        <w:rPr>
          <w:sz w:val="28"/>
          <w:szCs w:val="28"/>
        </w:rPr>
        <w:t xml:space="preserve"> therefore ripe</w:t>
      </w:r>
      <w:r w:rsidR="00CA37DD" w:rsidRPr="00685259">
        <w:rPr>
          <w:sz w:val="28"/>
          <w:szCs w:val="28"/>
        </w:rPr>
        <w:t xml:space="preserve"> for a declaration of rights.</w:t>
      </w:r>
      <w:r w:rsidR="00151A48" w:rsidRPr="00685259">
        <w:rPr>
          <w:sz w:val="28"/>
          <w:szCs w:val="28"/>
        </w:rPr>
        <w:t xml:space="preserve"> In </w:t>
      </w:r>
      <w:r w:rsidR="00151A48" w:rsidRPr="00685259">
        <w:rPr>
          <w:i/>
          <w:iCs/>
          <w:sz w:val="28"/>
          <w:szCs w:val="28"/>
        </w:rPr>
        <w:t>Friedman and Others NNO</w:t>
      </w:r>
      <w:r w:rsidR="00151A48" w:rsidRPr="00685259">
        <w:rPr>
          <w:sz w:val="28"/>
          <w:szCs w:val="28"/>
        </w:rPr>
        <w:t>,</w:t>
      </w:r>
      <w:r w:rsidR="00D309B5" w:rsidRPr="00DC3181">
        <w:rPr>
          <w:rStyle w:val="FootnoteReference"/>
          <w:sz w:val="28"/>
          <w:szCs w:val="28"/>
        </w:rPr>
        <w:footnoteReference w:id="13"/>
      </w:r>
      <w:r w:rsidR="00151A48" w:rsidRPr="00685259">
        <w:rPr>
          <w:sz w:val="28"/>
          <w:szCs w:val="28"/>
        </w:rPr>
        <w:t xml:space="preserve"> the high court was asked to determine the legal question whether a testamentary trust was a person as defined in the Income Tax Act. There was </w:t>
      </w:r>
      <w:r w:rsidR="00BE0361" w:rsidRPr="00685259">
        <w:rPr>
          <w:sz w:val="28"/>
          <w:szCs w:val="28"/>
        </w:rPr>
        <w:t xml:space="preserve">once more </w:t>
      </w:r>
      <w:r w:rsidR="00151A48" w:rsidRPr="00685259">
        <w:rPr>
          <w:sz w:val="28"/>
          <w:szCs w:val="28"/>
        </w:rPr>
        <w:t>an undisputed factual situation</w:t>
      </w:r>
      <w:r w:rsidR="00BE0361" w:rsidRPr="00685259">
        <w:rPr>
          <w:sz w:val="28"/>
          <w:szCs w:val="28"/>
        </w:rPr>
        <w:t xml:space="preserve"> on which the court was asked to pronounce</w:t>
      </w:r>
      <w:r w:rsidR="00151A48" w:rsidRPr="00685259">
        <w:rPr>
          <w:sz w:val="28"/>
          <w:szCs w:val="28"/>
        </w:rPr>
        <w:t xml:space="preserve">. </w:t>
      </w:r>
      <w:r w:rsidR="00BE0361" w:rsidRPr="00685259">
        <w:rPr>
          <w:sz w:val="28"/>
          <w:szCs w:val="28"/>
        </w:rPr>
        <w:t xml:space="preserve">In </w:t>
      </w:r>
      <w:bookmarkStart w:id="5" w:name="_Hlk116146256"/>
      <w:r w:rsidR="007F6C6F" w:rsidRPr="00685259">
        <w:rPr>
          <w:bCs/>
          <w:i/>
          <w:iCs/>
          <w:sz w:val="28"/>
          <w:szCs w:val="28"/>
        </w:rPr>
        <w:t>Chancellor, Masters and Scholars of the University of Oxford v Commissioner for Inland Revenue</w:t>
      </w:r>
      <w:bookmarkEnd w:id="5"/>
      <w:r w:rsidR="00605A66" w:rsidRPr="00685259">
        <w:rPr>
          <w:bCs/>
          <w:sz w:val="28"/>
          <w:szCs w:val="28"/>
        </w:rPr>
        <w:t>,</w:t>
      </w:r>
      <w:r w:rsidR="00605A66" w:rsidRPr="00DC3181">
        <w:rPr>
          <w:rStyle w:val="FootnoteReference"/>
          <w:bCs/>
          <w:sz w:val="28"/>
          <w:szCs w:val="28"/>
        </w:rPr>
        <w:footnoteReference w:id="14"/>
      </w:r>
      <w:r w:rsidR="008B4A4A" w:rsidRPr="00685259">
        <w:rPr>
          <w:bCs/>
          <w:sz w:val="28"/>
          <w:szCs w:val="28"/>
        </w:rPr>
        <w:t xml:space="preserve"> the respondent did not dispute the facts put up by the appellant or provide any additional material facts.</w:t>
      </w:r>
      <w:r w:rsidR="007F6C6F" w:rsidRPr="00DC3181">
        <w:rPr>
          <w:rStyle w:val="FootnoteReference"/>
          <w:bCs/>
          <w:sz w:val="28"/>
          <w:szCs w:val="28"/>
        </w:rPr>
        <w:footnoteReference w:id="15"/>
      </w:r>
      <w:r w:rsidR="003053B1" w:rsidRPr="00685259">
        <w:rPr>
          <w:bCs/>
          <w:sz w:val="28"/>
          <w:szCs w:val="28"/>
        </w:rPr>
        <w:t xml:space="preserve"> </w:t>
      </w:r>
      <w:r w:rsidR="0044567A" w:rsidRPr="00685259">
        <w:rPr>
          <w:bCs/>
          <w:sz w:val="28"/>
          <w:szCs w:val="28"/>
        </w:rPr>
        <w:t>The matter turned on whether</w:t>
      </w:r>
      <w:r w:rsidR="008471E2" w:rsidRPr="00685259">
        <w:rPr>
          <w:bCs/>
          <w:sz w:val="28"/>
          <w:szCs w:val="28"/>
        </w:rPr>
        <w:t xml:space="preserve"> the appellant </w:t>
      </w:r>
      <w:r w:rsidR="005A77FB" w:rsidRPr="00685259">
        <w:rPr>
          <w:bCs/>
          <w:sz w:val="28"/>
          <w:szCs w:val="28"/>
        </w:rPr>
        <w:t>was liable to pay income tax</w:t>
      </w:r>
      <w:r w:rsidR="008F2A73" w:rsidRPr="00685259">
        <w:rPr>
          <w:bCs/>
          <w:sz w:val="28"/>
          <w:szCs w:val="28"/>
        </w:rPr>
        <w:t xml:space="preserve"> on income derived from the activit</w:t>
      </w:r>
      <w:r w:rsidR="00D309B5" w:rsidRPr="00685259">
        <w:rPr>
          <w:bCs/>
          <w:sz w:val="28"/>
          <w:szCs w:val="28"/>
        </w:rPr>
        <w:t>i</w:t>
      </w:r>
      <w:r w:rsidR="008F2A73" w:rsidRPr="00685259">
        <w:rPr>
          <w:bCs/>
          <w:sz w:val="28"/>
          <w:szCs w:val="28"/>
        </w:rPr>
        <w:t>es of</w:t>
      </w:r>
      <w:r w:rsidR="00D90CE8" w:rsidRPr="00685259">
        <w:rPr>
          <w:bCs/>
          <w:sz w:val="28"/>
          <w:szCs w:val="28"/>
        </w:rPr>
        <w:t xml:space="preserve"> its publishing branch.</w:t>
      </w:r>
      <w:r w:rsidR="00F34F02" w:rsidRPr="00685259">
        <w:rPr>
          <w:bCs/>
          <w:sz w:val="28"/>
          <w:szCs w:val="28"/>
        </w:rPr>
        <w:t xml:space="preserve"> I</w:t>
      </w:r>
      <w:r w:rsidR="003053B1" w:rsidRPr="00685259">
        <w:rPr>
          <w:bCs/>
          <w:sz w:val="28"/>
          <w:szCs w:val="28"/>
        </w:rPr>
        <w:t xml:space="preserve">n </w:t>
      </w:r>
      <w:r w:rsidR="007F6C6F" w:rsidRPr="00685259">
        <w:rPr>
          <w:i/>
          <w:iCs/>
          <w:color w:val="000000"/>
          <w:sz w:val="28"/>
          <w:szCs w:val="28"/>
        </w:rPr>
        <w:t>Commissioner for Inland Revenue v Shell Southern Africa Pension Fund</w:t>
      </w:r>
      <w:r w:rsidR="00E252CA" w:rsidRPr="00685259">
        <w:rPr>
          <w:bCs/>
          <w:sz w:val="28"/>
          <w:szCs w:val="28"/>
        </w:rPr>
        <w:t>,</w:t>
      </w:r>
      <w:r w:rsidR="00E252CA" w:rsidRPr="00DC3181">
        <w:rPr>
          <w:rStyle w:val="FootnoteReference"/>
          <w:bCs/>
          <w:sz w:val="28"/>
          <w:szCs w:val="28"/>
        </w:rPr>
        <w:footnoteReference w:id="16"/>
      </w:r>
      <w:r w:rsidR="007F6C6F" w:rsidRPr="00685259">
        <w:rPr>
          <w:bCs/>
          <w:sz w:val="28"/>
          <w:szCs w:val="28"/>
        </w:rPr>
        <w:t xml:space="preserve"> no affidavits </w:t>
      </w:r>
      <w:r w:rsidR="00E252CA" w:rsidRPr="00685259">
        <w:rPr>
          <w:bCs/>
          <w:sz w:val="28"/>
          <w:szCs w:val="28"/>
        </w:rPr>
        <w:t xml:space="preserve">were </w:t>
      </w:r>
      <w:r w:rsidR="007F6C6F" w:rsidRPr="00685259">
        <w:rPr>
          <w:bCs/>
          <w:sz w:val="28"/>
          <w:szCs w:val="28"/>
        </w:rPr>
        <w:t xml:space="preserve">filed by </w:t>
      </w:r>
      <w:r w:rsidR="00482C63" w:rsidRPr="00685259">
        <w:rPr>
          <w:bCs/>
          <w:sz w:val="28"/>
          <w:szCs w:val="28"/>
        </w:rPr>
        <w:t>SARS</w:t>
      </w:r>
      <w:r w:rsidR="007F6C6F" w:rsidRPr="00685259">
        <w:rPr>
          <w:bCs/>
          <w:sz w:val="28"/>
          <w:szCs w:val="28"/>
        </w:rPr>
        <w:t xml:space="preserve"> in answer to the application for a declaration.</w:t>
      </w:r>
      <w:r w:rsidR="00E252CA" w:rsidRPr="00685259">
        <w:rPr>
          <w:bCs/>
          <w:sz w:val="28"/>
          <w:szCs w:val="28"/>
        </w:rPr>
        <w:t xml:space="preserve"> </w:t>
      </w:r>
      <w:r w:rsidR="002238F6" w:rsidRPr="00685259">
        <w:rPr>
          <w:bCs/>
          <w:sz w:val="28"/>
          <w:szCs w:val="28"/>
        </w:rPr>
        <w:t xml:space="preserve">There was no factual dispute or lack of clarity. </w:t>
      </w:r>
      <w:r w:rsidR="00617717" w:rsidRPr="00685259">
        <w:rPr>
          <w:bCs/>
          <w:sz w:val="28"/>
          <w:szCs w:val="28"/>
        </w:rPr>
        <w:t xml:space="preserve">The issue was whether </w:t>
      </w:r>
      <w:r w:rsidR="00DA5F00" w:rsidRPr="00685259">
        <w:rPr>
          <w:bCs/>
          <w:sz w:val="28"/>
          <w:szCs w:val="28"/>
        </w:rPr>
        <w:t xml:space="preserve">payment of a lump sum to a dependant of </w:t>
      </w:r>
      <w:r w:rsidR="00E84683" w:rsidRPr="00685259">
        <w:rPr>
          <w:bCs/>
          <w:sz w:val="28"/>
          <w:szCs w:val="28"/>
        </w:rPr>
        <w:t xml:space="preserve">a </w:t>
      </w:r>
      <w:r w:rsidR="00DA5F00" w:rsidRPr="00685259">
        <w:rPr>
          <w:bCs/>
          <w:sz w:val="28"/>
          <w:szCs w:val="28"/>
        </w:rPr>
        <w:t xml:space="preserve">member of </w:t>
      </w:r>
      <w:r w:rsidR="00E84683" w:rsidRPr="00685259">
        <w:rPr>
          <w:bCs/>
          <w:sz w:val="28"/>
          <w:szCs w:val="28"/>
        </w:rPr>
        <w:t xml:space="preserve">the </w:t>
      </w:r>
      <w:r w:rsidR="00DA5F00" w:rsidRPr="00685259">
        <w:rPr>
          <w:bCs/>
          <w:sz w:val="28"/>
          <w:szCs w:val="28"/>
        </w:rPr>
        <w:t xml:space="preserve">pension fund at </w:t>
      </w:r>
      <w:r w:rsidR="002238F6" w:rsidRPr="00685259">
        <w:rPr>
          <w:bCs/>
          <w:sz w:val="28"/>
          <w:szCs w:val="28"/>
        </w:rPr>
        <w:t xml:space="preserve">the </w:t>
      </w:r>
      <w:r w:rsidR="00DA5F00" w:rsidRPr="00685259">
        <w:rPr>
          <w:bCs/>
          <w:sz w:val="28"/>
          <w:szCs w:val="28"/>
        </w:rPr>
        <w:t xml:space="preserve">discretion of </w:t>
      </w:r>
      <w:r w:rsidR="00745E8B" w:rsidRPr="00685259">
        <w:rPr>
          <w:bCs/>
          <w:sz w:val="28"/>
          <w:szCs w:val="28"/>
        </w:rPr>
        <w:t xml:space="preserve">the </w:t>
      </w:r>
      <w:r w:rsidR="00DA5F00" w:rsidRPr="00685259">
        <w:rPr>
          <w:bCs/>
          <w:sz w:val="28"/>
          <w:szCs w:val="28"/>
        </w:rPr>
        <w:t>fund</w:t>
      </w:r>
      <w:r w:rsidR="00076E15" w:rsidRPr="00685259">
        <w:rPr>
          <w:bCs/>
          <w:sz w:val="28"/>
          <w:szCs w:val="28"/>
        </w:rPr>
        <w:t>’</w:t>
      </w:r>
      <w:r w:rsidR="00DA5F00" w:rsidRPr="00685259">
        <w:rPr>
          <w:bCs/>
          <w:sz w:val="28"/>
          <w:szCs w:val="28"/>
        </w:rPr>
        <w:t>s committee</w:t>
      </w:r>
      <w:r w:rsidR="00E84683" w:rsidRPr="00685259">
        <w:rPr>
          <w:bCs/>
          <w:sz w:val="28"/>
          <w:szCs w:val="28"/>
        </w:rPr>
        <w:t xml:space="preserve"> constituted </w:t>
      </w:r>
      <w:r w:rsidR="00F34F02" w:rsidRPr="00685259">
        <w:rPr>
          <w:bCs/>
          <w:sz w:val="28"/>
          <w:szCs w:val="28"/>
        </w:rPr>
        <w:t xml:space="preserve">gross </w:t>
      </w:r>
      <w:r w:rsidR="00E84683" w:rsidRPr="00685259">
        <w:rPr>
          <w:bCs/>
          <w:sz w:val="28"/>
          <w:szCs w:val="28"/>
        </w:rPr>
        <w:t>income</w:t>
      </w:r>
      <w:r w:rsidR="00F34F02" w:rsidRPr="00685259">
        <w:rPr>
          <w:bCs/>
          <w:sz w:val="28"/>
          <w:szCs w:val="28"/>
        </w:rPr>
        <w:t xml:space="preserve"> or remuneration.</w:t>
      </w:r>
      <w:r w:rsidR="00DA5F00" w:rsidRPr="00685259">
        <w:rPr>
          <w:bCs/>
          <w:sz w:val="28"/>
          <w:szCs w:val="28"/>
        </w:rPr>
        <w:t xml:space="preserve"> </w:t>
      </w:r>
      <w:r w:rsidR="00624C76" w:rsidRPr="00685259">
        <w:rPr>
          <w:bCs/>
          <w:sz w:val="28"/>
          <w:szCs w:val="28"/>
        </w:rPr>
        <w:t>And, finally, i</w:t>
      </w:r>
      <w:r w:rsidR="00F34F02" w:rsidRPr="00685259">
        <w:rPr>
          <w:bCs/>
          <w:sz w:val="28"/>
          <w:szCs w:val="28"/>
        </w:rPr>
        <w:t xml:space="preserve">n the matter of </w:t>
      </w:r>
      <w:r w:rsidR="004A4643" w:rsidRPr="00685259">
        <w:rPr>
          <w:bCs/>
          <w:i/>
          <w:iCs/>
          <w:sz w:val="28"/>
          <w:szCs w:val="28"/>
        </w:rPr>
        <w:t>Shell’s Annandale Farm (Pty) Ltd v Commissioner, South African Revenue Service</w:t>
      </w:r>
      <w:r w:rsidR="00FC278F" w:rsidRPr="00685259">
        <w:rPr>
          <w:bCs/>
          <w:sz w:val="28"/>
          <w:szCs w:val="28"/>
        </w:rPr>
        <w:t>,</w:t>
      </w:r>
      <w:r w:rsidR="00FC278F" w:rsidRPr="00DC3181">
        <w:rPr>
          <w:rStyle w:val="FootnoteReference"/>
          <w:bCs/>
          <w:sz w:val="28"/>
          <w:szCs w:val="28"/>
        </w:rPr>
        <w:footnoteReference w:id="17"/>
      </w:r>
      <w:r w:rsidR="00FC278F" w:rsidRPr="00685259">
        <w:rPr>
          <w:bCs/>
          <w:sz w:val="28"/>
          <w:szCs w:val="28"/>
        </w:rPr>
        <w:t xml:space="preserve"> </w:t>
      </w:r>
      <w:r w:rsidR="00CD3AA1" w:rsidRPr="00685259">
        <w:rPr>
          <w:bCs/>
          <w:sz w:val="28"/>
          <w:szCs w:val="28"/>
        </w:rPr>
        <w:t xml:space="preserve">the question was whether </w:t>
      </w:r>
      <w:r w:rsidR="00617717" w:rsidRPr="00685259">
        <w:rPr>
          <w:bCs/>
          <w:sz w:val="28"/>
          <w:szCs w:val="28"/>
        </w:rPr>
        <w:t xml:space="preserve">Shell was </w:t>
      </w:r>
      <w:r w:rsidR="00211D8A" w:rsidRPr="00685259">
        <w:rPr>
          <w:bCs/>
          <w:sz w:val="28"/>
          <w:szCs w:val="28"/>
        </w:rPr>
        <w:t xml:space="preserve">liable for payment of VAT on compensation received for expropriation. </w:t>
      </w:r>
      <w:r w:rsidR="00482C63" w:rsidRPr="00685259">
        <w:rPr>
          <w:bCs/>
          <w:sz w:val="28"/>
          <w:szCs w:val="28"/>
        </w:rPr>
        <w:t>SARS</w:t>
      </w:r>
      <w:r w:rsidR="00E252CA" w:rsidRPr="00685259">
        <w:rPr>
          <w:bCs/>
          <w:sz w:val="28"/>
          <w:szCs w:val="28"/>
        </w:rPr>
        <w:t xml:space="preserve"> was content to argue on the facts put </w:t>
      </w:r>
      <w:r w:rsidR="00E2689D" w:rsidRPr="00685259">
        <w:rPr>
          <w:bCs/>
          <w:sz w:val="28"/>
          <w:szCs w:val="28"/>
        </w:rPr>
        <w:t>up</w:t>
      </w:r>
      <w:r w:rsidR="00E252CA" w:rsidRPr="00685259">
        <w:rPr>
          <w:bCs/>
          <w:sz w:val="28"/>
          <w:szCs w:val="28"/>
        </w:rPr>
        <w:t xml:space="preserve"> by </w:t>
      </w:r>
      <w:r w:rsidR="00F261D6" w:rsidRPr="00685259">
        <w:rPr>
          <w:bCs/>
          <w:sz w:val="28"/>
          <w:szCs w:val="28"/>
        </w:rPr>
        <w:t>the applicant.</w:t>
      </w:r>
    </w:p>
    <w:p w14:paraId="26E8A159" w14:textId="77777777" w:rsidR="00DB79D1" w:rsidRPr="00DC3181" w:rsidRDefault="00DB79D1" w:rsidP="00DB79D1">
      <w:pPr>
        <w:pStyle w:val="ListParagraph"/>
        <w:ind w:left="0"/>
        <w:rPr>
          <w:sz w:val="28"/>
          <w:szCs w:val="28"/>
        </w:rPr>
      </w:pPr>
    </w:p>
    <w:p w14:paraId="22576E75" w14:textId="1202251F" w:rsidR="00C2582D" w:rsidRPr="00685259" w:rsidRDefault="00685259" w:rsidP="00685259">
      <w:pPr>
        <w:rPr>
          <w:sz w:val="28"/>
          <w:szCs w:val="28"/>
        </w:rPr>
      </w:pPr>
      <w:r w:rsidRPr="00DC3181">
        <w:rPr>
          <w:sz w:val="28"/>
          <w:szCs w:val="28"/>
        </w:rPr>
        <w:lastRenderedPageBreak/>
        <w:t>[18]</w:t>
      </w:r>
      <w:r w:rsidRPr="00DC3181">
        <w:rPr>
          <w:sz w:val="28"/>
          <w:szCs w:val="28"/>
        </w:rPr>
        <w:tab/>
      </w:r>
      <w:r w:rsidR="00357529" w:rsidRPr="00685259">
        <w:rPr>
          <w:sz w:val="28"/>
          <w:szCs w:val="28"/>
        </w:rPr>
        <w:t>T</w:t>
      </w:r>
      <w:r w:rsidR="007D64FA" w:rsidRPr="00685259">
        <w:rPr>
          <w:sz w:val="28"/>
          <w:szCs w:val="28"/>
        </w:rPr>
        <w:t>he matters referred to above show that</w:t>
      </w:r>
      <w:r w:rsidR="00D309B5" w:rsidRPr="00685259">
        <w:rPr>
          <w:sz w:val="28"/>
          <w:szCs w:val="28"/>
        </w:rPr>
        <w:t xml:space="preserve"> proceedings for </w:t>
      </w:r>
      <w:r w:rsidR="00B27A46" w:rsidRPr="00685259">
        <w:rPr>
          <w:sz w:val="28"/>
          <w:szCs w:val="28"/>
        </w:rPr>
        <w:t>declaratory relief</w:t>
      </w:r>
      <w:r w:rsidR="00981FAC" w:rsidRPr="00685259">
        <w:rPr>
          <w:sz w:val="28"/>
          <w:szCs w:val="28"/>
        </w:rPr>
        <w:t xml:space="preserve"> in tax matter</w:t>
      </w:r>
      <w:r w:rsidR="007D64FA" w:rsidRPr="00685259">
        <w:rPr>
          <w:sz w:val="28"/>
          <w:szCs w:val="28"/>
        </w:rPr>
        <w:t>s</w:t>
      </w:r>
      <w:r w:rsidR="00981FAC" w:rsidRPr="00685259">
        <w:rPr>
          <w:sz w:val="28"/>
          <w:szCs w:val="28"/>
        </w:rPr>
        <w:t xml:space="preserve"> </w:t>
      </w:r>
      <w:r w:rsidR="00D309B5" w:rsidRPr="00685259">
        <w:rPr>
          <w:sz w:val="28"/>
          <w:szCs w:val="28"/>
        </w:rPr>
        <w:t>are</w:t>
      </w:r>
      <w:r w:rsidR="00981FAC" w:rsidRPr="00685259">
        <w:rPr>
          <w:sz w:val="28"/>
          <w:szCs w:val="28"/>
        </w:rPr>
        <w:t xml:space="preserve"> </w:t>
      </w:r>
      <w:r w:rsidR="002238F6" w:rsidRPr="00685259">
        <w:rPr>
          <w:sz w:val="28"/>
          <w:szCs w:val="28"/>
        </w:rPr>
        <w:t>entertained</w:t>
      </w:r>
      <w:r w:rsidR="001D1B60" w:rsidRPr="00685259">
        <w:rPr>
          <w:sz w:val="28"/>
          <w:szCs w:val="28"/>
        </w:rPr>
        <w:t xml:space="preserve"> only</w:t>
      </w:r>
      <w:r w:rsidR="00981FAC" w:rsidRPr="00685259">
        <w:rPr>
          <w:sz w:val="28"/>
          <w:szCs w:val="28"/>
        </w:rPr>
        <w:t xml:space="preserve"> in limited circumstances. </w:t>
      </w:r>
      <w:r w:rsidR="00D309B5" w:rsidRPr="00685259">
        <w:rPr>
          <w:sz w:val="28"/>
          <w:szCs w:val="28"/>
        </w:rPr>
        <w:t xml:space="preserve">All of them dealt with </w:t>
      </w:r>
      <w:r w:rsidR="005C4E90" w:rsidRPr="00685259">
        <w:rPr>
          <w:sz w:val="28"/>
          <w:szCs w:val="28"/>
        </w:rPr>
        <w:t xml:space="preserve">applications where there were </w:t>
      </w:r>
      <w:r w:rsidR="00E461B8" w:rsidRPr="00685259">
        <w:rPr>
          <w:sz w:val="28"/>
          <w:szCs w:val="28"/>
        </w:rPr>
        <w:t>clear and uncontested</w:t>
      </w:r>
      <w:r w:rsidR="00025B1B" w:rsidRPr="00685259">
        <w:rPr>
          <w:sz w:val="28"/>
          <w:szCs w:val="28"/>
        </w:rPr>
        <w:t xml:space="preserve"> facts</w:t>
      </w:r>
      <w:r w:rsidR="00E461B8" w:rsidRPr="00685259">
        <w:rPr>
          <w:sz w:val="28"/>
          <w:szCs w:val="28"/>
        </w:rPr>
        <w:t xml:space="preserve">. </w:t>
      </w:r>
      <w:r w:rsidR="00D309B5" w:rsidRPr="00685259">
        <w:rPr>
          <w:sz w:val="28"/>
          <w:szCs w:val="28"/>
        </w:rPr>
        <w:t>That is the bare minimum requirement</w:t>
      </w:r>
      <w:r w:rsidR="00FE05DB" w:rsidRPr="00685259">
        <w:rPr>
          <w:sz w:val="28"/>
          <w:szCs w:val="28"/>
        </w:rPr>
        <w:t xml:space="preserve"> for a court to entertain declaratory relief</w:t>
      </w:r>
      <w:r w:rsidR="00D309B5" w:rsidRPr="00685259">
        <w:rPr>
          <w:sz w:val="28"/>
          <w:szCs w:val="28"/>
        </w:rPr>
        <w:t xml:space="preserve">. </w:t>
      </w:r>
      <w:r w:rsidR="00C2582D" w:rsidRPr="00685259">
        <w:rPr>
          <w:sz w:val="28"/>
          <w:szCs w:val="28"/>
        </w:rPr>
        <w:t>Even where th</w:t>
      </w:r>
      <w:r w:rsidR="006671EC" w:rsidRPr="00685259">
        <w:rPr>
          <w:sz w:val="28"/>
          <w:szCs w:val="28"/>
        </w:rPr>
        <w:t>at is the case</w:t>
      </w:r>
      <w:r w:rsidR="00D309B5" w:rsidRPr="00685259">
        <w:rPr>
          <w:sz w:val="28"/>
          <w:szCs w:val="28"/>
        </w:rPr>
        <w:t>,</w:t>
      </w:r>
      <w:r w:rsidR="00C2582D" w:rsidRPr="00685259">
        <w:rPr>
          <w:sz w:val="28"/>
          <w:szCs w:val="28"/>
        </w:rPr>
        <w:t xml:space="preserve"> there are circumstances where a court will </w:t>
      </w:r>
      <w:r w:rsidR="00FE05DB" w:rsidRPr="00685259">
        <w:rPr>
          <w:sz w:val="28"/>
          <w:szCs w:val="28"/>
        </w:rPr>
        <w:t xml:space="preserve">nevertheless </w:t>
      </w:r>
      <w:r w:rsidR="002238F6" w:rsidRPr="00685259">
        <w:rPr>
          <w:sz w:val="28"/>
          <w:szCs w:val="28"/>
        </w:rPr>
        <w:t xml:space="preserve">decline to </w:t>
      </w:r>
      <w:r w:rsidR="00C2582D" w:rsidRPr="00685259">
        <w:rPr>
          <w:sz w:val="28"/>
          <w:szCs w:val="28"/>
        </w:rPr>
        <w:t xml:space="preserve">exercise its discretion </w:t>
      </w:r>
      <w:r w:rsidR="00D309B5" w:rsidRPr="00685259">
        <w:rPr>
          <w:sz w:val="28"/>
          <w:szCs w:val="28"/>
        </w:rPr>
        <w:t>to</w:t>
      </w:r>
      <w:r w:rsidR="00C2582D" w:rsidRPr="00685259">
        <w:rPr>
          <w:sz w:val="28"/>
          <w:szCs w:val="28"/>
        </w:rPr>
        <w:t xml:space="preserve"> grant</w:t>
      </w:r>
      <w:r w:rsidR="00D309B5" w:rsidRPr="00685259">
        <w:rPr>
          <w:sz w:val="28"/>
          <w:szCs w:val="28"/>
        </w:rPr>
        <w:t xml:space="preserve"> </w:t>
      </w:r>
      <w:r w:rsidR="00C2582D" w:rsidRPr="00685259">
        <w:rPr>
          <w:sz w:val="28"/>
          <w:szCs w:val="28"/>
        </w:rPr>
        <w:t>a declaratory order. This was explained by Van Dijkhorst J</w:t>
      </w:r>
      <w:r w:rsidR="00E7660A" w:rsidRPr="00685259">
        <w:rPr>
          <w:sz w:val="28"/>
          <w:szCs w:val="28"/>
        </w:rPr>
        <w:t xml:space="preserve"> in </w:t>
      </w:r>
      <w:r w:rsidR="00E7660A" w:rsidRPr="00685259">
        <w:rPr>
          <w:i/>
          <w:iCs/>
          <w:sz w:val="28"/>
          <w:szCs w:val="28"/>
        </w:rPr>
        <w:t>Family Benefit Friendly Society v Commissioner</w:t>
      </w:r>
      <w:r w:rsidR="00527DB6" w:rsidRPr="00685259">
        <w:rPr>
          <w:i/>
          <w:iCs/>
          <w:sz w:val="28"/>
          <w:szCs w:val="28"/>
        </w:rPr>
        <w:t xml:space="preserve"> for Inland Revenue and Another</w:t>
      </w:r>
      <w:r w:rsidR="00C2582D" w:rsidRPr="00685259">
        <w:rPr>
          <w:sz w:val="28"/>
          <w:szCs w:val="28"/>
        </w:rPr>
        <w:t>:</w:t>
      </w:r>
      <w:r w:rsidR="00527DB6" w:rsidRPr="00DC3181">
        <w:rPr>
          <w:rStyle w:val="FootnoteReference"/>
          <w:sz w:val="28"/>
          <w:szCs w:val="28"/>
        </w:rPr>
        <w:footnoteReference w:id="18"/>
      </w:r>
    </w:p>
    <w:p w14:paraId="0F353E1F" w14:textId="315A146D" w:rsidR="00C2582D" w:rsidRPr="00DC3181" w:rsidRDefault="00C36AAA" w:rsidP="00E7660A">
      <w:r w:rsidRPr="00DC3181">
        <w:t>‘</w:t>
      </w:r>
      <w:r w:rsidR="00C339C0" w:rsidRPr="00DC3181">
        <w:t>When a Court has to determine whether it should exercise its discretion in favour of a declaratory order considerations of public policy come into play. In matters like the present it is a weighty consideration that the Commissioner for Inland Revenue is placed in an invidious position. He is requested for a ruling, which he is not obliged to give. He gives an opinion </w:t>
      </w:r>
      <w:r w:rsidR="00C339C0" w:rsidRPr="00DC3181">
        <w:rPr>
          <w:i/>
          <w:iCs/>
        </w:rPr>
        <w:t>ex gratia</w:t>
      </w:r>
      <w:r w:rsidR="00C339C0" w:rsidRPr="00DC3181">
        <w:t>. Should it be favourable the taxpayer accepts it. Should it not be in his favour and the taxpayer is free to approach the Court to hear the dispute, then there is a danger that the Courts may be flooded with cases wherein entrepreneurs seek certainty about their tax liability before embarking on new ventures or schemes. The Commissioner would be in an invidious position if he is forced to defend every tentative opinion he expresses in a Court of law.’</w:t>
      </w:r>
    </w:p>
    <w:p w14:paraId="530EBAF4" w14:textId="0C70EE2B" w:rsidR="00E7660A" w:rsidRPr="00DC3181" w:rsidRDefault="00F677D6" w:rsidP="00E7660A">
      <w:pPr>
        <w:rPr>
          <w:sz w:val="28"/>
          <w:szCs w:val="28"/>
        </w:rPr>
      </w:pPr>
      <w:r w:rsidRPr="00DC3181">
        <w:rPr>
          <w:sz w:val="28"/>
          <w:szCs w:val="28"/>
        </w:rPr>
        <w:t xml:space="preserve">In other words, there are considerations </w:t>
      </w:r>
      <w:r w:rsidR="00A934FC" w:rsidRPr="00DC3181">
        <w:rPr>
          <w:sz w:val="28"/>
          <w:szCs w:val="28"/>
        </w:rPr>
        <w:t>other than</w:t>
      </w:r>
      <w:r w:rsidRPr="00DC3181">
        <w:rPr>
          <w:sz w:val="28"/>
          <w:szCs w:val="28"/>
        </w:rPr>
        <w:t xml:space="preserve"> the question </w:t>
      </w:r>
      <w:r w:rsidR="00B27F93" w:rsidRPr="00DC3181">
        <w:rPr>
          <w:sz w:val="28"/>
          <w:szCs w:val="28"/>
        </w:rPr>
        <w:t>concerning</w:t>
      </w:r>
      <w:r w:rsidRPr="00DC3181">
        <w:rPr>
          <w:sz w:val="28"/>
          <w:szCs w:val="28"/>
        </w:rPr>
        <w:t xml:space="preserve"> clear and uncontested</w:t>
      </w:r>
      <w:r w:rsidR="00B27F93" w:rsidRPr="00DC3181">
        <w:rPr>
          <w:sz w:val="28"/>
          <w:szCs w:val="28"/>
        </w:rPr>
        <w:t xml:space="preserve"> facts</w:t>
      </w:r>
      <w:r w:rsidR="00BE28EA" w:rsidRPr="00DC3181">
        <w:rPr>
          <w:sz w:val="28"/>
          <w:szCs w:val="28"/>
        </w:rPr>
        <w:t xml:space="preserve"> which weigh with courts</w:t>
      </w:r>
      <w:r w:rsidRPr="00DC3181">
        <w:rPr>
          <w:sz w:val="28"/>
          <w:szCs w:val="28"/>
        </w:rPr>
        <w:t>.</w:t>
      </w:r>
      <w:r w:rsidR="00D309B5" w:rsidRPr="00DC3181">
        <w:rPr>
          <w:sz w:val="28"/>
          <w:szCs w:val="28"/>
        </w:rPr>
        <w:t xml:space="preserve"> A primary concern is the opening of </w:t>
      </w:r>
      <w:r w:rsidR="00107CC3" w:rsidRPr="00DC3181">
        <w:rPr>
          <w:sz w:val="28"/>
          <w:szCs w:val="28"/>
        </w:rPr>
        <w:t xml:space="preserve">the </w:t>
      </w:r>
      <w:r w:rsidR="00D309B5" w:rsidRPr="00DC3181">
        <w:rPr>
          <w:sz w:val="28"/>
          <w:szCs w:val="28"/>
        </w:rPr>
        <w:t>floodgates f</w:t>
      </w:r>
      <w:r w:rsidR="00A934FC" w:rsidRPr="00DC3181">
        <w:rPr>
          <w:sz w:val="28"/>
          <w:szCs w:val="28"/>
        </w:rPr>
        <w:t>or</w:t>
      </w:r>
      <w:r w:rsidR="00D309B5" w:rsidRPr="00DC3181">
        <w:rPr>
          <w:sz w:val="28"/>
          <w:szCs w:val="28"/>
        </w:rPr>
        <w:t xml:space="preserve"> applications to court where </w:t>
      </w:r>
      <w:r w:rsidR="00E53F20" w:rsidRPr="00DC3181">
        <w:rPr>
          <w:sz w:val="28"/>
          <w:szCs w:val="28"/>
        </w:rPr>
        <w:t xml:space="preserve">certainty is sought from the court prior to </w:t>
      </w:r>
      <w:r w:rsidR="008E4655" w:rsidRPr="00DC3181">
        <w:rPr>
          <w:sz w:val="28"/>
          <w:szCs w:val="28"/>
        </w:rPr>
        <w:t>applying a new strategy</w:t>
      </w:r>
      <w:r w:rsidR="00D309B5" w:rsidRPr="00DC3181">
        <w:rPr>
          <w:sz w:val="28"/>
          <w:szCs w:val="28"/>
        </w:rPr>
        <w:t>.</w:t>
      </w:r>
    </w:p>
    <w:p w14:paraId="54B21D9C" w14:textId="77777777" w:rsidR="006A1BB0" w:rsidRPr="00DC3181" w:rsidRDefault="006A1BB0" w:rsidP="006A1BB0">
      <w:pPr>
        <w:pStyle w:val="ListParagraph"/>
        <w:ind w:left="0"/>
        <w:rPr>
          <w:sz w:val="28"/>
          <w:szCs w:val="28"/>
        </w:rPr>
      </w:pPr>
    </w:p>
    <w:p w14:paraId="0E7B6B85" w14:textId="2C138630" w:rsidR="00A9402B" w:rsidRPr="00685259" w:rsidRDefault="00685259" w:rsidP="00685259">
      <w:pPr>
        <w:rPr>
          <w:sz w:val="28"/>
          <w:szCs w:val="28"/>
        </w:rPr>
      </w:pPr>
      <w:r w:rsidRPr="00DC3181">
        <w:rPr>
          <w:sz w:val="28"/>
          <w:szCs w:val="28"/>
        </w:rPr>
        <w:t>[19]</w:t>
      </w:r>
      <w:r w:rsidRPr="00DC3181">
        <w:rPr>
          <w:sz w:val="28"/>
          <w:szCs w:val="28"/>
        </w:rPr>
        <w:tab/>
      </w:r>
      <w:r w:rsidR="006A1BB0" w:rsidRPr="00685259">
        <w:rPr>
          <w:sz w:val="28"/>
          <w:szCs w:val="28"/>
        </w:rPr>
        <w:t xml:space="preserve">In </w:t>
      </w:r>
      <w:r w:rsidR="00F677D6" w:rsidRPr="00685259">
        <w:rPr>
          <w:sz w:val="28"/>
          <w:szCs w:val="28"/>
        </w:rPr>
        <w:t>the present matter, t</w:t>
      </w:r>
      <w:r w:rsidR="0059499F" w:rsidRPr="00685259">
        <w:rPr>
          <w:sz w:val="28"/>
          <w:szCs w:val="28"/>
        </w:rPr>
        <w:t xml:space="preserve">he </w:t>
      </w:r>
      <w:r w:rsidR="00F677D6" w:rsidRPr="00685259">
        <w:rPr>
          <w:sz w:val="28"/>
          <w:szCs w:val="28"/>
        </w:rPr>
        <w:t xml:space="preserve">first </w:t>
      </w:r>
      <w:r w:rsidR="00C668C7" w:rsidRPr="00685259">
        <w:rPr>
          <w:sz w:val="28"/>
          <w:szCs w:val="28"/>
        </w:rPr>
        <w:t>question is whether</w:t>
      </w:r>
      <w:r w:rsidR="002E4002" w:rsidRPr="00685259">
        <w:rPr>
          <w:sz w:val="28"/>
          <w:szCs w:val="28"/>
        </w:rPr>
        <w:t xml:space="preserve"> there is a clear</w:t>
      </w:r>
      <w:r w:rsidR="008D4870" w:rsidRPr="00685259">
        <w:rPr>
          <w:sz w:val="28"/>
          <w:szCs w:val="28"/>
        </w:rPr>
        <w:t>, uncontested,</w:t>
      </w:r>
      <w:r w:rsidR="002E4002" w:rsidRPr="00685259">
        <w:rPr>
          <w:sz w:val="28"/>
          <w:szCs w:val="28"/>
        </w:rPr>
        <w:t xml:space="preserve"> </w:t>
      </w:r>
      <w:r w:rsidR="00B35813" w:rsidRPr="00685259">
        <w:rPr>
          <w:sz w:val="28"/>
          <w:szCs w:val="28"/>
        </w:rPr>
        <w:t xml:space="preserve">sufficient, </w:t>
      </w:r>
      <w:r w:rsidR="002E4002" w:rsidRPr="00685259">
        <w:rPr>
          <w:sz w:val="28"/>
          <w:szCs w:val="28"/>
        </w:rPr>
        <w:t xml:space="preserve">set of facts. </w:t>
      </w:r>
      <w:r w:rsidR="00A9402B" w:rsidRPr="00685259">
        <w:rPr>
          <w:sz w:val="28"/>
          <w:szCs w:val="28"/>
        </w:rPr>
        <w:t xml:space="preserve">The distinction between s 10(18) and s 10(19) of the Act is clear. The latter applies where the goods or services to which the holder of the voucher is entitled are specified on the voucher or, where not specified, where usage or arrangement entitles the holder to such specified goods or services. On the other </w:t>
      </w:r>
      <w:r w:rsidR="00A9402B" w:rsidRPr="00685259">
        <w:rPr>
          <w:sz w:val="28"/>
          <w:szCs w:val="28"/>
        </w:rPr>
        <w:lastRenderedPageBreak/>
        <w:t xml:space="preserve">hand, s 10(18) applies where there is no specification of goods or services, either by indication on the voucher, or by usage or arrangement. The factual enquiry is whether </w:t>
      </w:r>
      <w:r w:rsidR="00CD3AA1" w:rsidRPr="00685259">
        <w:rPr>
          <w:sz w:val="28"/>
          <w:szCs w:val="28"/>
        </w:rPr>
        <w:t>the pre-paid vouchers</w:t>
      </w:r>
      <w:r w:rsidR="00A9402B" w:rsidRPr="00685259">
        <w:rPr>
          <w:sz w:val="28"/>
          <w:szCs w:val="28"/>
        </w:rPr>
        <w:t xml:space="preserve"> fall into one category or the other. Without that enquiry rendering a clear answer, the grant of declaratory relief would not be warranted.</w:t>
      </w:r>
    </w:p>
    <w:p w14:paraId="0CD95931" w14:textId="77777777" w:rsidR="00532945" w:rsidRPr="00DC3181" w:rsidRDefault="00532945" w:rsidP="00532945">
      <w:pPr>
        <w:pStyle w:val="ListParagraph"/>
        <w:ind w:left="0"/>
        <w:rPr>
          <w:sz w:val="28"/>
          <w:szCs w:val="28"/>
        </w:rPr>
      </w:pPr>
    </w:p>
    <w:p w14:paraId="701DB1F3" w14:textId="627B09D8" w:rsidR="001E4724" w:rsidRPr="00685259" w:rsidRDefault="00685259" w:rsidP="00685259">
      <w:pPr>
        <w:rPr>
          <w:sz w:val="28"/>
          <w:szCs w:val="28"/>
        </w:rPr>
      </w:pPr>
      <w:r w:rsidRPr="00DC3181">
        <w:rPr>
          <w:sz w:val="28"/>
          <w:szCs w:val="28"/>
        </w:rPr>
        <w:t>[20]</w:t>
      </w:r>
      <w:r w:rsidRPr="00DC3181">
        <w:rPr>
          <w:sz w:val="28"/>
          <w:szCs w:val="28"/>
        </w:rPr>
        <w:tab/>
      </w:r>
      <w:r w:rsidR="00482C63" w:rsidRPr="00685259">
        <w:rPr>
          <w:sz w:val="28"/>
          <w:szCs w:val="28"/>
        </w:rPr>
        <w:t>SARS</w:t>
      </w:r>
      <w:r w:rsidR="0059499F" w:rsidRPr="00685259">
        <w:rPr>
          <w:sz w:val="28"/>
          <w:szCs w:val="28"/>
        </w:rPr>
        <w:t xml:space="preserve"> </w:t>
      </w:r>
      <w:r w:rsidR="003C1DE8" w:rsidRPr="00685259">
        <w:rPr>
          <w:sz w:val="28"/>
          <w:szCs w:val="28"/>
        </w:rPr>
        <w:t>submitted</w:t>
      </w:r>
      <w:r w:rsidR="0059499F" w:rsidRPr="00685259">
        <w:rPr>
          <w:sz w:val="28"/>
          <w:szCs w:val="28"/>
        </w:rPr>
        <w:t xml:space="preserve"> that th</w:t>
      </w:r>
      <w:r w:rsidR="00A411D4" w:rsidRPr="00685259">
        <w:rPr>
          <w:sz w:val="28"/>
          <w:szCs w:val="28"/>
        </w:rPr>
        <w:t xml:space="preserve">e factual position </w:t>
      </w:r>
      <w:r w:rsidR="006C6D69" w:rsidRPr="00685259">
        <w:rPr>
          <w:sz w:val="28"/>
          <w:szCs w:val="28"/>
        </w:rPr>
        <w:t>wa</w:t>
      </w:r>
      <w:r w:rsidR="00A411D4" w:rsidRPr="00685259">
        <w:rPr>
          <w:sz w:val="28"/>
          <w:szCs w:val="28"/>
        </w:rPr>
        <w:t>s far from clear</w:t>
      </w:r>
      <w:r w:rsidR="0059499F" w:rsidRPr="00685259">
        <w:rPr>
          <w:sz w:val="28"/>
          <w:szCs w:val="28"/>
        </w:rPr>
        <w:t xml:space="preserve">. </w:t>
      </w:r>
      <w:r w:rsidR="00050A2C" w:rsidRPr="00685259">
        <w:rPr>
          <w:sz w:val="28"/>
          <w:szCs w:val="28"/>
        </w:rPr>
        <w:t xml:space="preserve">It </w:t>
      </w:r>
      <w:r w:rsidR="005303B1" w:rsidRPr="00685259">
        <w:rPr>
          <w:sz w:val="28"/>
          <w:szCs w:val="28"/>
        </w:rPr>
        <w:t>said</w:t>
      </w:r>
      <w:r w:rsidR="001A746C" w:rsidRPr="00685259">
        <w:rPr>
          <w:sz w:val="28"/>
          <w:szCs w:val="28"/>
        </w:rPr>
        <w:t xml:space="preserve"> that MTN dealt with the application </w:t>
      </w:r>
      <w:r w:rsidR="00050A2C" w:rsidRPr="00685259">
        <w:rPr>
          <w:sz w:val="28"/>
          <w:szCs w:val="28"/>
        </w:rPr>
        <w:t xml:space="preserve">largely </w:t>
      </w:r>
      <w:r w:rsidR="001A746C" w:rsidRPr="00685259">
        <w:rPr>
          <w:sz w:val="28"/>
          <w:szCs w:val="28"/>
        </w:rPr>
        <w:t xml:space="preserve">in the abstract. </w:t>
      </w:r>
      <w:r w:rsidR="00050A2C" w:rsidRPr="00685259">
        <w:rPr>
          <w:sz w:val="28"/>
          <w:szCs w:val="28"/>
        </w:rPr>
        <w:t>It</w:t>
      </w:r>
      <w:r w:rsidR="001A746C" w:rsidRPr="00685259">
        <w:rPr>
          <w:sz w:val="28"/>
          <w:szCs w:val="28"/>
        </w:rPr>
        <w:t xml:space="preserve"> had not put up sufficient </w:t>
      </w:r>
      <w:r w:rsidR="00102441" w:rsidRPr="00685259">
        <w:rPr>
          <w:sz w:val="28"/>
          <w:szCs w:val="28"/>
        </w:rPr>
        <w:t xml:space="preserve">or clear </w:t>
      </w:r>
      <w:r w:rsidR="001A746C" w:rsidRPr="00685259">
        <w:rPr>
          <w:sz w:val="28"/>
          <w:szCs w:val="28"/>
        </w:rPr>
        <w:t>facts to allow the court to finally determine the entitlement of MTN to apply s</w:t>
      </w:r>
      <w:r w:rsidR="00102441" w:rsidRPr="00685259">
        <w:rPr>
          <w:sz w:val="28"/>
          <w:szCs w:val="28"/>
        </w:rPr>
        <w:t> </w:t>
      </w:r>
      <w:r w:rsidR="001A746C" w:rsidRPr="00685259">
        <w:rPr>
          <w:sz w:val="28"/>
          <w:szCs w:val="28"/>
        </w:rPr>
        <w:t xml:space="preserve">10(18) rather than s 10(19). </w:t>
      </w:r>
      <w:r w:rsidR="005303B1" w:rsidRPr="00685259">
        <w:rPr>
          <w:sz w:val="28"/>
          <w:szCs w:val="28"/>
        </w:rPr>
        <w:t>I</w:t>
      </w:r>
      <w:r w:rsidR="00463575" w:rsidRPr="00685259">
        <w:rPr>
          <w:sz w:val="28"/>
          <w:szCs w:val="28"/>
        </w:rPr>
        <w:t>n particular,</w:t>
      </w:r>
      <w:r w:rsidR="00355BAC" w:rsidRPr="00685259">
        <w:rPr>
          <w:sz w:val="28"/>
          <w:szCs w:val="28"/>
        </w:rPr>
        <w:t xml:space="preserve"> the facts were not clear </w:t>
      </w:r>
      <w:r w:rsidR="008739E7" w:rsidRPr="00685259">
        <w:rPr>
          <w:sz w:val="28"/>
          <w:szCs w:val="28"/>
        </w:rPr>
        <w:t xml:space="preserve">as to precisely how </w:t>
      </w:r>
      <w:r w:rsidR="00CD3AA1" w:rsidRPr="00685259">
        <w:rPr>
          <w:sz w:val="28"/>
          <w:szCs w:val="28"/>
        </w:rPr>
        <w:t>the pre-paid vouchers</w:t>
      </w:r>
      <w:r w:rsidR="006A01F5" w:rsidRPr="00685259">
        <w:rPr>
          <w:sz w:val="28"/>
          <w:szCs w:val="28"/>
        </w:rPr>
        <w:t xml:space="preserve"> </w:t>
      </w:r>
      <w:r w:rsidR="008739E7" w:rsidRPr="00685259">
        <w:rPr>
          <w:sz w:val="28"/>
          <w:szCs w:val="28"/>
        </w:rPr>
        <w:t>functioned</w:t>
      </w:r>
      <w:r w:rsidR="00E17BF4" w:rsidRPr="00685259">
        <w:rPr>
          <w:sz w:val="28"/>
          <w:szCs w:val="28"/>
        </w:rPr>
        <w:t>.</w:t>
      </w:r>
      <w:r w:rsidR="00532945" w:rsidRPr="00685259">
        <w:rPr>
          <w:sz w:val="28"/>
          <w:szCs w:val="28"/>
        </w:rPr>
        <w:t xml:space="preserve"> MTN had provided no evidence of ‘how vouchers are purchased, what information is provided to c</w:t>
      </w:r>
      <w:r w:rsidR="007C1360" w:rsidRPr="00685259">
        <w:rPr>
          <w:sz w:val="28"/>
          <w:szCs w:val="28"/>
        </w:rPr>
        <w:t>u</w:t>
      </w:r>
      <w:r w:rsidR="00532945" w:rsidRPr="00685259">
        <w:rPr>
          <w:sz w:val="28"/>
          <w:szCs w:val="28"/>
        </w:rPr>
        <w:t>stomers, and</w:t>
      </w:r>
      <w:r w:rsidR="007C1360" w:rsidRPr="00685259">
        <w:rPr>
          <w:sz w:val="28"/>
          <w:szCs w:val="28"/>
        </w:rPr>
        <w:t xml:space="preserve"> the manner in which vouchers are actually used by customers’.</w:t>
      </w:r>
      <w:r w:rsidR="00CD5B8D" w:rsidRPr="00685259">
        <w:rPr>
          <w:sz w:val="28"/>
          <w:szCs w:val="28"/>
        </w:rPr>
        <w:t xml:space="preserve"> In addition, the concept of ‘airtime’ ha</w:t>
      </w:r>
      <w:r w:rsidR="002238F6" w:rsidRPr="00685259">
        <w:rPr>
          <w:sz w:val="28"/>
          <w:szCs w:val="28"/>
        </w:rPr>
        <w:t>s</w:t>
      </w:r>
      <w:r w:rsidR="00CD5B8D" w:rsidRPr="00685259">
        <w:rPr>
          <w:sz w:val="28"/>
          <w:szCs w:val="28"/>
        </w:rPr>
        <w:t xml:space="preserve"> evolved over time due to technology and the use of data and the like.</w:t>
      </w:r>
      <w:r w:rsidR="006A01F5" w:rsidRPr="00685259">
        <w:rPr>
          <w:sz w:val="28"/>
          <w:szCs w:val="28"/>
        </w:rPr>
        <w:t xml:space="preserve"> </w:t>
      </w:r>
      <w:r w:rsidR="001E4724" w:rsidRPr="00685259">
        <w:rPr>
          <w:sz w:val="28"/>
          <w:szCs w:val="28"/>
        </w:rPr>
        <w:t xml:space="preserve">In the result </w:t>
      </w:r>
      <w:r w:rsidR="00482C63" w:rsidRPr="00685259">
        <w:rPr>
          <w:sz w:val="28"/>
          <w:szCs w:val="28"/>
        </w:rPr>
        <w:t>SARS</w:t>
      </w:r>
      <w:r w:rsidR="003D1C0D" w:rsidRPr="00685259">
        <w:rPr>
          <w:sz w:val="28"/>
          <w:szCs w:val="28"/>
        </w:rPr>
        <w:t xml:space="preserve"> submitted </w:t>
      </w:r>
      <w:r w:rsidR="0050719B" w:rsidRPr="00685259">
        <w:rPr>
          <w:sz w:val="28"/>
          <w:szCs w:val="28"/>
        </w:rPr>
        <w:t>that</w:t>
      </w:r>
      <w:r w:rsidR="002238F6" w:rsidRPr="00685259">
        <w:rPr>
          <w:sz w:val="28"/>
          <w:szCs w:val="28"/>
        </w:rPr>
        <w:t>,</w:t>
      </w:r>
      <w:r w:rsidR="0050719B" w:rsidRPr="00685259">
        <w:rPr>
          <w:sz w:val="28"/>
          <w:szCs w:val="28"/>
        </w:rPr>
        <w:t xml:space="preserve"> </w:t>
      </w:r>
      <w:r w:rsidR="003C106A" w:rsidRPr="00685259">
        <w:rPr>
          <w:sz w:val="28"/>
          <w:szCs w:val="28"/>
        </w:rPr>
        <w:t>o</w:t>
      </w:r>
      <w:r w:rsidR="0050719B" w:rsidRPr="00685259">
        <w:rPr>
          <w:sz w:val="28"/>
          <w:szCs w:val="28"/>
        </w:rPr>
        <w:t>n the facts</w:t>
      </w:r>
      <w:r w:rsidR="009D20E0" w:rsidRPr="00685259">
        <w:rPr>
          <w:sz w:val="28"/>
          <w:szCs w:val="28"/>
        </w:rPr>
        <w:t xml:space="preserve"> presented</w:t>
      </w:r>
      <w:r w:rsidR="002238F6" w:rsidRPr="00685259">
        <w:rPr>
          <w:sz w:val="28"/>
          <w:szCs w:val="28"/>
        </w:rPr>
        <w:t xml:space="preserve">, it </w:t>
      </w:r>
      <w:r w:rsidR="009D20E0" w:rsidRPr="00685259">
        <w:rPr>
          <w:sz w:val="28"/>
          <w:szCs w:val="28"/>
        </w:rPr>
        <w:t>wa</w:t>
      </w:r>
      <w:r w:rsidR="002238F6" w:rsidRPr="00685259">
        <w:rPr>
          <w:sz w:val="28"/>
          <w:szCs w:val="28"/>
        </w:rPr>
        <w:t>s not clear what ‘airtime’ actually connote</w:t>
      </w:r>
      <w:r w:rsidR="009D20E0" w:rsidRPr="00685259">
        <w:rPr>
          <w:sz w:val="28"/>
          <w:szCs w:val="28"/>
        </w:rPr>
        <w:t>d</w:t>
      </w:r>
      <w:r w:rsidR="002238F6" w:rsidRPr="00685259">
        <w:rPr>
          <w:sz w:val="28"/>
          <w:szCs w:val="28"/>
        </w:rPr>
        <w:t xml:space="preserve">. </w:t>
      </w:r>
      <w:r w:rsidR="008F2B58" w:rsidRPr="00685259">
        <w:rPr>
          <w:sz w:val="28"/>
          <w:szCs w:val="28"/>
        </w:rPr>
        <w:t>T</w:t>
      </w:r>
      <w:r w:rsidR="00466BEF" w:rsidRPr="00685259">
        <w:rPr>
          <w:sz w:val="28"/>
          <w:szCs w:val="28"/>
        </w:rPr>
        <w:t xml:space="preserve">herefore </w:t>
      </w:r>
      <w:r w:rsidR="00100687" w:rsidRPr="00685259">
        <w:rPr>
          <w:sz w:val="28"/>
          <w:szCs w:val="28"/>
        </w:rPr>
        <w:t>the matter did not fall within the narrow purview of when</w:t>
      </w:r>
      <w:r w:rsidR="001E4724" w:rsidRPr="00685259">
        <w:rPr>
          <w:sz w:val="28"/>
          <w:szCs w:val="28"/>
        </w:rPr>
        <w:t xml:space="preserve"> a declaratory order</w:t>
      </w:r>
      <w:r w:rsidR="00100687" w:rsidRPr="00685259">
        <w:rPr>
          <w:sz w:val="28"/>
          <w:szCs w:val="28"/>
        </w:rPr>
        <w:t xml:space="preserve"> would be </w:t>
      </w:r>
      <w:r w:rsidR="009D20E0" w:rsidRPr="00685259">
        <w:rPr>
          <w:sz w:val="28"/>
          <w:szCs w:val="28"/>
        </w:rPr>
        <w:t>entertained</w:t>
      </w:r>
      <w:r w:rsidR="00100687" w:rsidRPr="00685259">
        <w:rPr>
          <w:sz w:val="28"/>
          <w:szCs w:val="28"/>
        </w:rPr>
        <w:t xml:space="preserve"> in tax matters</w:t>
      </w:r>
      <w:r w:rsidR="001E4724" w:rsidRPr="00685259">
        <w:rPr>
          <w:sz w:val="28"/>
          <w:szCs w:val="28"/>
        </w:rPr>
        <w:t>.</w:t>
      </w:r>
    </w:p>
    <w:p w14:paraId="1DB34CFC" w14:textId="77777777" w:rsidR="00A6058A" w:rsidRPr="00DC3181" w:rsidRDefault="00A6058A" w:rsidP="00401A7D">
      <w:pPr>
        <w:pStyle w:val="ListParagraph"/>
        <w:ind w:left="0"/>
        <w:rPr>
          <w:sz w:val="28"/>
          <w:szCs w:val="28"/>
        </w:rPr>
      </w:pPr>
    </w:p>
    <w:p w14:paraId="6A2480A7" w14:textId="7B5475FF" w:rsidR="00B07D2B" w:rsidRPr="00685259" w:rsidRDefault="00685259" w:rsidP="00685259">
      <w:pPr>
        <w:rPr>
          <w:sz w:val="28"/>
          <w:szCs w:val="28"/>
        </w:rPr>
      </w:pPr>
      <w:r w:rsidRPr="00DC3181">
        <w:rPr>
          <w:sz w:val="28"/>
          <w:szCs w:val="28"/>
        </w:rPr>
        <w:t>[21]</w:t>
      </w:r>
      <w:r w:rsidRPr="00DC3181">
        <w:rPr>
          <w:sz w:val="28"/>
          <w:szCs w:val="28"/>
        </w:rPr>
        <w:tab/>
      </w:r>
      <w:r w:rsidR="006F4EAC" w:rsidRPr="00685259">
        <w:rPr>
          <w:sz w:val="28"/>
          <w:szCs w:val="28"/>
        </w:rPr>
        <w:t>MTN submitted that</w:t>
      </w:r>
      <w:r w:rsidR="00F8669B" w:rsidRPr="00685259">
        <w:rPr>
          <w:sz w:val="28"/>
          <w:szCs w:val="28"/>
        </w:rPr>
        <w:t xml:space="preserve"> the facts were common cause. It </w:t>
      </w:r>
      <w:r w:rsidR="00466BEF" w:rsidRPr="00685259">
        <w:rPr>
          <w:sz w:val="28"/>
          <w:szCs w:val="28"/>
        </w:rPr>
        <w:t>might be</w:t>
      </w:r>
      <w:r w:rsidR="00326365" w:rsidRPr="00685259">
        <w:rPr>
          <w:sz w:val="28"/>
          <w:szCs w:val="28"/>
        </w:rPr>
        <w:t xml:space="preserve"> </w:t>
      </w:r>
      <w:r w:rsidR="00F8669B" w:rsidRPr="00685259">
        <w:rPr>
          <w:sz w:val="28"/>
          <w:szCs w:val="28"/>
        </w:rPr>
        <w:t xml:space="preserve">so that certain explanations were accepted by </w:t>
      </w:r>
      <w:r w:rsidR="00482C63" w:rsidRPr="00685259">
        <w:rPr>
          <w:sz w:val="28"/>
          <w:szCs w:val="28"/>
        </w:rPr>
        <w:t>SARS</w:t>
      </w:r>
      <w:r w:rsidR="00F8669B" w:rsidRPr="00685259">
        <w:rPr>
          <w:sz w:val="28"/>
          <w:szCs w:val="28"/>
        </w:rPr>
        <w:t xml:space="preserve">. However, the sticking </w:t>
      </w:r>
      <w:r w:rsidR="00674016" w:rsidRPr="00685259">
        <w:rPr>
          <w:sz w:val="28"/>
          <w:szCs w:val="28"/>
        </w:rPr>
        <w:t>point was the nature of what MTN term</w:t>
      </w:r>
      <w:r w:rsidR="009D20E0" w:rsidRPr="00685259">
        <w:rPr>
          <w:sz w:val="28"/>
          <w:szCs w:val="28"/>
        </w:rPr>
        <w:t>ed</w:t>
      </w:r>
      <w:r w:rsidR="00674016" w:rsidRPr="00685259">
        <w:rPr>
          <w:sz w:val="28"/>
          <w:szCs w:val="28"/>
        </w:rPr>
        <w:t xml:space="preserve"> ‘airtime’. The assertion of MTN was that airtime </w:t>
      </w:r>
      <w:r w:rsidR="009D20E0" w:rsidRPr="00685259">
        <w:rPr>
          <w:sz w:val="28"/>
          <w:szCs w:val="28"/>
        </w:rPr>
        <w:t>wa</w:t>
      </w:r>
      <w:r w:rsidR="00674016" w:rsidRPr="00685259">
        <w:rPr>
          <w:sz w:val="28"/>
          <w:szCs w:val="28"/>
        </w:rPr>
        <w:t xml:space="preserve">s not something </w:t>
      </w:r>
      <w:r w:rsidR="009D20E0" w:rsidRPr="00685259">
        <w:rPr>
          <w:sz w:val="28"/>
          <w:szCs w:val="28"/>
        </w:rPr>
        <w:t xml:space="preserve">in and of </w:t>
      </w:r>
      <w:r w:rsidR="00674016" w:rsidRPr="00685259">
        <w:rPr>
          <w:sz w:val="28"/>
          <w:szCs w:val="28"/>
        </w:rPr>
        <w:t xml:space="preserve">itself – it </w:t>
      </w:r>
      <w:r w:rsidR="009D20E0" w:rsidRPr="00685259">
        <w:rPr>
          <w:sz w:val="28"/>
          <w:szCs w:val="28"/>
        </w:rPr>
        <w:t>should</w:t>
      </w:r>
      <w:r w:rsidR="002238F6" w:rsidRPr="00685259">
        <w:rPr>
          <w:sz w:val="28"/>
          <w:szCs w:val="28"/>
        </w:rPr>
        <w:t xml:space="preserve"> be construed a</w:t>
      </w:r>
      <w:r w:rsidR="00674016" w:rsidRPr="00685259">
        <w:rPr>
          <w:sz w:val="28"/>
          <w:szCs w:val="28"/>
        </w:rPr>
        <w:t xml:space="preserve">s a right </w:t>
      </w:r>
      <w:r w:rsidR="00F63B1E" w:rsidRPr="00685259">
        <w:rPr>
          <w:sz w:val="28"/>
          <w:szCs w:val="28"/>
        </w:rPr>
        <w:t>to the supply of services.</w:t>
      </w:r>
      <w:r w:rsidR="00624F3B" w:rsidRPr="00685259">
        <w:rPr>
          <w:sz w:val="28"/>
          <w:szCs w:val="28"/>
        </w:rPr>
        <w:t xml:space="preserve"> </w:t>
      </w:r>
      <w:r w:rsidR="00326365" w:rsidRPr="00685259">
        <w:rPr>
          <w:sz w:val="28"/>
          <w:szCs w:val="28"/>
        </w:rPr>
        <w:t xml:space="preserve">It </w:t>
      </w:r>
      <w:r w:rsidR="002B5B0D" w:rsidRPr="00685259">
        <w:rPr>
          <w:sz w:val="28"/>
          <w:szCs w:val="28"/>
        </w:rPr>
        <w:t>expla</w:t>
      </w:r>
      <w:r w:rsidR="00326365" w:rsidRPr="00685259">
        <w:rPr>
          <w:sz w:val="28"/>
          <w:szCs w:val="28"/>
        </w:rPr>
        <w:t>i</w:t>
      </w:r>
      <w:r w:rsidR="002B5B0D" w:rsidRPr="00685259">
        <w:rPr>
          <w:sz w:val="28"/>
          <w:szCs w:val="28"/>
        </w:rPr>
        <w:t>n</w:t>
      </w:r>
      <w:r w:rsidR="00326365" w:rsidRPr="00685259">
        <w:rPr>
          <w:sz w:val="28"/>
          <w:szCs w:val="28"/>
        </w:rPr>
        <w:t>ed</w:t>
      </w:r>
      <w:r w:rsidR="002B5B0D" w:rsidRPr="00685259">
        <w:rPr>
          <w:sz w:val="28"/>
          <w:szCs w:val="28"/>
        </w:rPr>
        <w:t xml:space="preserve"> </w:t>
      </w:r>
      <w:r w:rsidR="00262BBE" w:rsidRPr="00685259">
        <w:rPr>
          <w:sz w:val="28"/>
          <w:szCs w:val="28"/>
        </w:rPr>
        <w:t>that</w:t>
      </w:r>
      <w:r w:rsidR="00FE4950" w:rsidRPr="00685259">
        <w:rPr>
          <w:sz w:val="28"/>
          <w:szCs w:val="28"/>
        </w:rPr>
        <w:t xml:space="preserve"> </w:t>
      </w:r>
      <w:r w:rsidR="00CD3AA1" w:rsidRPr="00685259">
        <w:rPr>
          <w:sz w:val="28"/>
          <w:szCs w:val="28"/>
        </w:rPr>
        <w:t>the pre-paid vouchers</w:t>
      </w:r>
      <w:r w:rsidR="00CD078C" w:rsidRPr="00685259">
        <w:rPr>
          <w:sz w:val="28"/>
          <w:szCs w:val="28"/>
        </w:rPr>
        <w:t xml:space="preserve"> are purchased for a rand value. When activated, </w:t>
      </w:r>
      <w:r w:rsidR="00E72CC6" w:rsidRPr="00685259">
        <w:rPr>
          <w:sz w:val="28"/>
          <w:szCs w:val="28"/>
        </w:rPr>
        <w:t xml:space="preserve">the </w:t>
      </w:r>
      <w:r w:rsidR="00B07D2B" w:rsidRPr="00685259">
        <w:rPr>
          <w:sz w:val="28"/>
          <w:szCs w:val="28"/>
        </w:rPr>
        <w:t>s</w:t>
      </w:r>
      <w:r w:rsidR="009B38C3" w:rsidRPr="00685259">
        <w:rPr>
          <w:sz w:val="28"/>
          <w:szCs w:val="28"/>
        </w:rPr>
        <w:t>ubscriber</w:t>
      </w:r>
      <w:r w:rsidR="00B07D2B" w:rsidRPr="00685259">
        <w:rPr>
          <w:sz w:val="28"/>
          <w:szCs w:val="28"/>
        </w:rPr>
        <w:t>:</w:t>
      </w:r>
    </w:p>
    <w:p w14:paraId="5FCFBA7B" w14:textId="3869D5CF" w:rsidR="00B41D55" w:rsidRPr="00DC3181" w:rsidRDefault="00E72CC6" w:rsidP="00401A7D">
      <w:pPr>
        <w:pStyle w:val="ListParagraph"/>
        <w:ind w:left="0"/>
      </w:pPr>
      <w:r w:rsidRPr="00DC3181">
        <w:t>‘</w:t>
      </w:r>
      <w:r w:rsidR="000145DC">
        <w:t xml:space="preserve">. . . </w:t>
      </w:r>
      <w:r w:rsidRPr="00DC3181">
        <w:t>can access any services</w:t>
      </w:r>
      <w:r w:rsidR="00062040" w:rsidRPr="00DC3181">
        <w:t xml:space="preserve"> on the network, up to the value of the voucher. </w:t>
      </w:r>
      <w:r w:rsidR="00B07D2B" w:rsidRPr="00DC3181">
        <w:t>As the selected services are used or acquired, they are charged to the subsc</w:t>
      </w:r>
      <w:r w:rsidR="009B38C3" w:rsidRPr="00DC3181">
        <w:t>r</w:t>
      </w:r>
      <w:r w:rsidR="00B07D2B" w:rsidRPr="00DC3181">
        <w:t>iber</w:t>
      </w:r>
      <w:r w:rsidR="009B38C3" w:rsidRPr="00DC3181">
        <w:t xml:space="preserve"> at the then prevailing tariff, and paid for through allocation or redemption of the available pre-paid funds</w:t>
      </w:r>
      <w:r w:rsidR="004D559F" w:rsidRPr="00DC3181">
        <w:t xml:space="preserve"> attributable to the subscriber . . .</w:t>
      </w:r>
      <w:r w:rsidR="004C3202" w:rsidRPr="00DC3181">
        <w:t xml:space="preserve"> </w:t>
      </w:r>
      <w:r w:rsidR="004C3202" w:rsidRPr="00DC3181">
        <w:lastRenderedPageBreak/>
        <w:t>The pre-paid amount is effectively currency from which the subscriber pays for t</w:t>
      </w:r>
      <w:r w:rsidR="00650622" w:rsidRPr="00DC3181">
        <w:t>h</w:t>
      </w:r>
      <w:r w:rsidR="004C3202" w:rsidRPr="00DC3181">
        <w:t>e services selected from time to tim</w:t>
      </w:r>
      <w:r w:rsidR="00650622" w:rsidRPr="00DC3181">
        <w:t>e.’</w:t>
      </w:r>
    </w:p>
    <w:p w14:paraId="7F795F9B" w14:textId="56F53487" w:rsidR="002238F6" w:rsidRPr="00DC3181" w:rsidRDefault="002238F6" w:rsidP="00401A7D">
      <w:pPr>
        <w:pStyle w:val="ListParagraph"/>
        <w:ind w:left="0"/>
        <w:rPr>
          <w:sz w:val="28"/>
          <w:szCs w:val="28"/>
        </w:rPr>
      </w:pPr>
      <w:r w:rsidRPr="00DC3181">
        <w:rPr>
          <w:sz w:val="28"/>
          <w:szCs w:val="28"/>
        </w:rPr>
        <w:t>In support of th</w:t>
      </w:r>
      <w:r w:rsidR="00E96FB9" w:rsidRPr="00DC3181">
        <w:rPr>
          <w:sz w:val="28"/>
          <w:szCs w:val="28"/>
        </w:rPr>
        <w:t>at</w:t>
      </w:r>
      <w:r w:rsidRPr="00DC3181">
        <w:rPr>
          <w:sz w:val="28"/>
          <w:szCs w:val="28"/>
        </w:rPr>
        <w:t xml:space="preserve"> contention, MTN explained its administrative approach to the pre-paid vouchers. When such a voucher is activated, MTN ‘credits a sum of money equal to the face value of the voucher to a ledger account linked to the relevant SIM card . . .’. This </w:t>
      </w:r>
      <w:r w:rsidR="00E96FB9" w:rsidRPr="00DC3181">
        <w:rPr>
          <w:sz w:val="28"/>
          <w:szCs w:val="28"/>
        </w:rPr>
        <w:t>wa</w:t>
      </w:r>
      <w:r w:rsidRPr="00DC3181">
        <w:rPr>
          <w:sz w:val="28"/>
          <w:szCs w:val="28"/>
        </w:rPr>
        <w:t>s referred to by MTN as the subscriber’s ‘main wallet’. When the subscriber accesses a service on the network, MTN debits the cost of that service from the balance in the ‘main wallet’.</w:t>
      </w:r>
    </w:p>
    <w:p w14:paraId="1282E1D4" w14:textId="77777777" w:rsidR="004833AA" w:rsidRPr="00DC3181" w:rsidRDefault="004833AA" w:rsidP="00401A7D">
      <w:pPr>
        <w:pStyle w:val="ListParagraph"/>
        <w:ind w:left="0"/>
        <w:rPr>
          <w:sz w:val="28"/>
          <w:szCs w:val="28"/>
        </w:rPr>
      </w:pPr>
    </w:p>
    <w:p w14:paraId="2D887F71" w14:textId="60B6DB72" w:rsidR="002238F6" w:rsidRPr="00685259" w:rsidRDefault="00685259" w:rsidP="00685259">
      <w:pPr>
        <w:rPr>
          <w:sz w:val="28"/>
          <w:szCs w:val="28"/>
        </w:rPr>
      </w:pPr>
      <w:r w:rsidRPr="00DC3181">
        <w:rPr>
          <w:sz w:val="28"/>
          <w:szCs w:val="28"/>
        </w:rPr>
        <w:t>[22]</w:t>
      </w:r>
      <w:r w:rsidRPr="00DC3181">
        <w:rPr>
          <w:sz w:val="28"/>
          <w:szCs w:val="28"/>
        </w:rPr>
        <w:tab/>
      </w:r>
      <w:r w:rsidR="002238F6" w:rsidRPr="00685259">
        <w:rPr>
          <w:sz w:val="28"/>
          <w:szCs w:val="28"/>
        </w:rPr>
        <w:t xml:space="preserve">MTN sought to compare the pre-paid vouchers to retail vouchers issued by a shop or shopping centre. Retail vouchers are issued for a value and allow </w:t>
      </w:r>
      <w:r w:rsidR="00B770E4" w:rsidRPr="00685259">
        <w:rPr>
          <w:sz w:val="28"/>
          <w:szCs w:val="28"/>
        </w:rPr>
        <w:t>the</w:t>
      </w:r>
      <w:r w:rsidR="002238F6" w:rsidRPr="00685259">
        <w:rPr>
          <w:sz w:val="28"/>
          <w:szCs w:val="28"/>
        </w:rPr>
        <w:t xml:space="preserve"> purchase</w:t>
      </w:r>
      <w:r w:rsidR="00B770E4" w:rsidRPr="00685259">
        <w:rPr>
          <w:sz w:val="28"/>
          <w:szCs w:val="28"/>
        </w:rPr>
        <w:t xml:space="preserve"> of</w:t>
      </w:r>
      <w:r w:rsidR="002238F6" w:rsidRPr="00685259">
        <w:rPr>
          <w:sz w:val="28"/>
          <w:szCs w:val="28"/>
        </w:rPr>
        <w:t xml:space="preserve"> any goods stocked at the shop or centre up to that value. They effectively function as currency when presented for the purchase of the selected item. So, too, s</w:t>
      </w:r>
      <w:r w:rsidR="006662CA" w:rsidRPr="00685259">
        <w:rPr>
          <w:sz w:val="28"/>
          <w:szCs w:val="28"/>
        </w:rPr>
        <w:t>ubmitted</w:t>
      </w:r>
      <w:r w:rsidR="002238F6" w:rsidRPr="00685259">
        <w:rPr>
          <w:sz w:val="28"/>
          <w:szCs w:val="28"/>
        </w:rPr>
        <w:t xml:space="preserve"> MTN, the pre-paid vouchers. They are issued for a value. The holder can redeem them for any services offered by MTN up to that value. </w:t>
      </w:r>
    </w:p>
    <w:p w14:paraId="433DC11A" w14:textId="77777777" w:rsidR="006662CA" w:rsidRPr="00DC3181" w:rsidRDefault="006662CA" w:rsidP="006662CA">
      <w:pPr>
        <w:pStyle w:val="ListParagraph"/>
        <w:ind w:left="0"/>
        <w:rPr>
          <w:sz w:val="28"/>
          <w:szCs w:val="28"/>
        </w:rPr>
      </w:pPr>
    </w:p>
    <w:p w14:paraId="31025131" w14:textId="3FD54873" w:rsidR="000E1D38" w:rsidRPr="00685259" w:rsidRDefault="00685259" w:rsidP="00685259">
      <w:pPr>
        <w:rPr>
          <w:sz w:val="28"/>
          <w:szCs w:val="28"/>
        </w:rPr>
      </w:pPr>
      <w:r w:rsidRPr="00DC3181">
        <w:rPr>
          <w:sz w:val="28"/>
          <w:szCs w:val="28"/>
        </w:rPr>
        <w:t>[23]</w:t>
      </w:r>
      <w:r w:rsidRPr="00DC3181">
        <w:rPr>
          <w:sz w:val="28"/>
          <w:szCs w:val="28"/>
        </w:rPr>
        <w:tab/>
      </w:r>
      <w:r w:rsidR="00482C63" w:rsidRPr="00685259">
        <w:rPr>
          <w:sz w:val="28"/>
          <w:szCs w:val="28"/>
        </w:rPr>
        <w:t>SARS</w:t>
      </w:r>
      <w:r w:rsidR="000D5A7E" w:rsidRPr="00685259">
        <w:rPr>
          <w:sz w:val="28"/>
          <w:szCs w:val="28"/>
        </w:rPr>
        <w:t xml:space="preserve"> </w:t>
      </w:r>
      <w:r w:rsidR="002238F6" w:rsidRPr="00685259">
        <w:rPr>
          <w:sz w:val="28"/>
          <w:szCs w:val="28"/>
        </w:rPr>
        <w:t>submitted that this, and further explanations of MTN</w:t>
      </w:r>
      <w:r w:rsidR="00672C52" w:rsidRPr="00685259">
        <w:rPr>
          <w:sz w:val="28"/>
          <w:szCs w:val="28"/>
        </w:rPr>
        <w:t>,</w:t>
      </w:r>
      <w:r w:rsidR="002238F6" w:rsidRPr="00685259">
        <w:rPr>
          <w:sz w:val="28"/>
          <w:szCs w:val="28"/>
        </w:rPr>
        <w:t xml:space="preserve"> were far from clear. It referred as an example to </w:t>
      </w:r>
      <w:r w:rsidR="000D5A7E" w:rsidRPr="00685259">
        <w:rPr>
          <w:sz w:val="28"/>
          <w:szCs w:val="28"/>
        </w:rPr>
        <w:t xml:space="preserve">the terms and conditions </w:t>
      </w:r>
      <w:r w:rsidR="004A3645" w:rsidRPr="00685259">
        <w:rPr>
          <w:sz w:val="28"/>
          <w:szCs w:val="28"/>
        </w:rPr>
        <w:t>governing</w:t>
      </w:r>
      <w:r w:rsidR="000D5A7E" w:rsidRPr="00685259">
        <w:rPr>
          <w:sz w:val="28"/>
          <w:szCs w:val="28"/>
        </w:rPr>
        <w:t xml:space="preserve"> </w:t>
      </w:r>
      <w:r w:rsidR="00CD3AA1" w:rsidRPr="00685259">
        <w:rPr>
          <w:sz w:val="28"/>
          <w:szCs w:val="28"/>
        </w:rPr>
        <w:t>the pre-paid vouchers</w:t>
      </w:r>
      <w:r w:rsidR="000D5A7E" w:rsidRPr="00685259">
        <w:rPr>
          <w:sz w:val="28"/>
          <w:szCs w:val="28"/>
        </w:rPr>
        <w:t>. These</w:t>
      </w:r>
      <w:r w:rsidR="00C41157" w:rsidRPr="00685259">
        <w:rPr>
          <w:sz w:val="28"/>
          <w:szCs w:val="28"/>
        </w:rPr>
        <w:t xml:space="preserve"> </w:t>
      </w:r>
      <w:r w:rsidR="000E1D38" w:rsidRPr="00685259">
        <w:rPr>
          <w:sz w:val="28"/>
          <w:szCs w:val="28"/>
        </w:rPr>
        <w:t>state</w:t>
      </w:r>
      <w:r w:rsidR="00D7600D" w:rsidRPr="00685259">
        <w:rPr>
          <w:sz w:val="28"/>
          <w:szCs w:val="28"/>
        </w:rPr>
        <w:t>d</w:t>
      </w:r>
      <w:r w:rsidR="000E1D38" w:rsidRPr="00685259">
        <w:rPr>
          <w:sz w:val="28"/>
          <w:szCs w:val="28"/>
        </w:rPr>
        <w:t>:</w:t>
      </w:r>
    </w:p>
    <w:p w14:paraId="0CB6B56A" w14:textId="5A30129F" w:rsidR="000E1D38" w:rsidRPr="00DC3181" w:rsidRDefault="000E1D38" w:rsidP="00401A7D">
      <w:pPr>
        <w:pStyle w:val="ListParagraph"/>
        <w:ind w:left="0"/>
      </w:pPr>
      <w:r w:rsidRPr="00DC3181">
        <w:t>‘“Airtime” means the prepaid value which when loaded onto your mobile device enables you to make or receive calls and/or send or receive SMSs and/or allows you to utilise internet services, or content services on the MTN network.’</w:t>
      </w:r>
    </w:p>
    <w:p w14:paraId="0F9D02BD" w14:textId="668D3AB0" w:rsidR="00694780" w:rsidRPr="00DC3181" w:rsidRDefault="00482C63" w:rsidP="00127C81">
      <w:pPr>
        <w:pStyle w:val="ListParagraph"/>
        <w:ind w:left="0"/>
        <w:rPr>
          <w:sz w:val="28"/>
          <w:szCs w:val="28"/>
        </w:rPr>
      </w:pPr>
      <w:r w:rsidRPr="00DC3181">
        <w:rPr>
          <w:sz w:val="28"/>
          <w:szCs w:val="28"/>
        </w:rPr>
        <w:t>SARS</w:t>
      </w:r>
      <w:r w:rsidR="00694780" w:rsidRPr="00DC3181">
        <w:rPr>
          <w:sz w:val="28"/>
          <w:szCs w:val="28"/>
        </w:rPr>
        <w:t xml:space="preserve"> also pointed to the document put up by MTN to explain what </w:t>
      </w:r>
      <w:r w:rsidR="00D7600D" w:rsidRPr="00DC3181">
        <w:rPr>
          <w:sz w:val="28"/>
          <w:szCs w:val="28"/>
        </w:rPr>
        <w:t>wa</w:t>
      </w:r>
      <w:r w:rsidR="00694780" w:rsidRPr="00DC3181">
        <w:rPr>
          <w:sz w:val="28"/>
          <w:szCs w:val="28"/>
        </w:rPr>
        <w:t>s meant by Digital Services:</w:t>
      </w:r>
    </w:p>
    <w:p w14:paraId="157ECC21" w14:textId="2037B952" w:rsidR="00694780" w:rsidRPr="00DC3181" w:rsidRDefault="00694780" w:rsidP="00694780">
      <w:pPr>
        <w:pStyle w:val="ListParagraph"/>
        <w:ind w:left="0"/>
      </w:pPr>
      <w:r w:rsidRPr="00DC3181">
        <w:t>‘Digital services consist of content subscription services that allow MTN subscribers to subscribe to and consume Digital services like Gaming, Music, Video, Te</w:t>
      </w:r>
      <w:r w:rsidR="00D7600D" w:rsidRPr="00DC3181">
        <w:t>x</w:t>
      </w:r>
      <w:r w:rsidRPr="00DC3181">
        <w:t>t base</w:t>
      </w:r>
      <w:r w:rsidR="005E0A31" w:rsidRPr="00DC3181">
        <w:t>d</w:t>
      </w:r>
      <w:r w:rsidRPr="00DC3181">
        <w:t xml:space="preserve"> notification services etc in exchange for a daily/weekly/monthly/once off fee settled via airtime payment.’</w:t>
      </w:r>
    </w:p>
    <w:p w14:paraId="22E80F17" w14:textId="77777777" w:rsidR="00694780" w:rsidRPr="00DC3181" w:rsidRDefault="00694780" w:rsidP="00694780">
      <w:pPr>
        <w:pStyle w:val="ListParagraph"/>
        <w:ind w:left="0"/>
        <w:contextualSpacing w:val="0"/>
        <w:rPr>
          <w:sz w:val="28"/>
          <w:szCs w:val="28"/>
        </w:rPr>
      </w:pPr>
    </w:p>
    <w:p w14:paraId="389B2D66" w14:textId="50998A04" w:rsidR="00C94789" w:rsidRPr="00685259" w:rsidRDefault="00685259" w:rsidP="00685259">
      <w:pPr>
        <w:rPr>
          <w:sz w:val="28"/>
          <w:szCs w:val="28"/>
        </w:rPr>
      </w:pPr>
      <w:r w:rsidRPr="00DC3181">
        <w:rPr>
          <w:sz w:val="28"/>
          <w:szCs w:val="28"/>
        </w:rPr>
        <w:lastRenderedPageBreak/>
        <w:t>[24]</w:t>
      </w:r>
      <w:r w:rsidRPr="00DC3181">
        <w:rPr>
          <w:sz w:val="28"/>
          <w:szCs w:val="28"/>
        </w:rPr>
        <w:tab/>
      </w:r>
      <w:r w:rsidR="00C94789" w:rsidRPr="00685259">
        <w:rPr>
          <w:sz w:val="28"/>
          <w:szCs w:val="28"/>
        </w:rPr>
        <w:t>These explanations, it said, appear to support the notion that airtime is a commodity, contrary to what MTN claimed. Airtime is what is acquired by way of the pre-paid vouchers. It can then be utilised to obtain the other services offered by MTN. Hence the word ‘settled via airtime payment.’ There was, accordingly, no clear explanation of what is meant by airtime or how it functions. It seems to me that the submission of SARS concerning this lack of clarity has considerable merit.</w:t>
      </w:r>
    </w:p>
    <w:p w14:paraId="5FE75888" w14:textId="77777777" w:rsidR="00B770E4" w:rsidRDefault="00B770E4" w:rsidP="00C94789">
      <w:pPr>
        <w:pStyle w:val="ListParagraph"/>
        <w:ind w:left="0"/>
        <w:contextualSpacing w:val="0"/>
        <w:rPr>
          <w:sz w:val="28"/>
          <w:szCs w:val="28"/>
        </w:rPr>
      </w:pPr>
    </w:p>
    <w:p w14:paraId="7211107A" w14:textId="032DBC4F" w:rsidR="00A81948" w:rsidRPr="00685259" w:rsidRDefault="00685259" w:rsidP="00685259">
      <w:pPr>
        <w:rPr>
          <w:sz w:val="28"/>
          <w:szCs w:val="28"/>
        </w:rPr>
      </w:pPr>
      <w:r w:rsidRPr="00DC3181">
        <w:rPr>
          <w:sz w:val="28"/>
          <w:szCs w:val="28"/>
        </w:rPr>
        <w:t>[25]</w:t>
      </w:r>
      <w:r w:rsidRPr="00DC3181">
        <w:rPr>
          <w:sz w:val="28"/>
          <w:szCs w:val="28"/>
        </w:rPr>
        <w:tab/>
      </w:r>
      <w:r w:rsidR="00482C63" w:rsidRPr="00685259">
        <w:rPr>
          <w:sz w:val="28"/>
          <w:szCs w:val="28"/>
        </w:rPr>
        <w:t>SARS</w:t>
      </w:r>
      <w:r w:rsidR="00A13662" w:rsidRPr="00685259">
        <w:rPr>
          <w:sz w:val="28"/>
          <w:szCs w:val="28"/>
        </w:rPr>
        <w:t xml:space="preserve"> contended that there was a</w:t>
      </w:r>
      <w:r w:rsidR="00246ADF" w:rsidRPr="00685259">
        <w:rPr>
          <w:sz w:val="28"/>
          <w:szCs w:val="28"/>
        </w:rPr>
        <w:t xml:space="preserve"> further less than clear aspect</w:t>
      </w:r>
      <w:r w:rsidR="00A13662" w:rsidRPr="00685259">
        <w:rPr>
          <w:sz w:val="28"/>
          <w:szCs w:val="28"/>
        </w:rPr>
        <w:t xml:space="preserve">. </w:t>
      </w:r>
      <w:r w:rsidR="00200AB3" w:rsidRPr="00685259">
        <w:rPr>
          <w:sz w:val="28"/>
          <w:szCs w:val="28"/>
        </w:rPr>
        <w:t>MTN offers an extensive range of</w:t>
      </w:r>
      <w:r w:rsidR="00127C81" w:rsidRPr="00685259">
        <w:rPr>
          <w:sz w:val="28"/>
          <w:szCs w:val="28"/>
        </w:rPr>
        <w:t xml:space="preserve"> ‘services on the network’</w:t>
      </w:r>
      <w:r w:rsidR="00200AB3" w:rsidRPr="00685259">
        <w:rPr>
          <w:sz w:val="28"/>
          <w:szCs w:val="28"/>
        </w:rPr>
        <w:t xml:space="preserve"> to</w:t>
      </w:r>
      <w:r w:rsidR="00127C81" w:rsidRPr="00685259">
        <w:rPr>
          <w:sz w:val="28"/>
          <w:szCs w:val="28"/>
        </w:rPr>
        <w:t xml:space="preserve"> holder</w:t>
      </w:r>
      <w:r w:rsidR="00200AB3" w:rsidRPr="00685259">
        <w:rPr>
          <w:sz w:val="28"/>
          <w:szCs w:val="28"/>
        </w:rPr>
        <w:t>s</w:t>
      </w:r>
      <w:r w:rsidR="00127C81" w:rsidRPr="00685259">
        <w:rPr>
          <w:sz w:val="28"/>
          <w:szCs w:val="28"/>
        </w:rPr>
        <w:t xml:space="preserve"> of </w:t>
      </w:r>
      <w:r w:rsidR="00CD3AA1" w:rsidRPr="00685259">
        <w:rPr>
          <w:sz w:val="28"/>
          <w:szCs w:val="28"/>
        </w:rPr>
        <w:t>the pre-paid vouchers</w:t>
      </w:r>
      <w:r w:rsidR="00200AB3" w:rsidRPr="00685259">
        <w:rPr>
          <w:sz w:val="28"/>
          <w:szCs w:val="28"/>
        </w:rPr>
        <w:t>.</w:t>
      </w:r>
      <w:r w:rsidR="00B10C8A" w:rsidRPr="00685259">
        <w:rPr>
          <w:sz w:val="28"/>
          <w:szCs w:val="28"/>
        </w:rPr>
        <w:t xml:space="preserve"> </w:t>
      </w:r>
      <w:r w:rsidR="00977563" w:rsidRPr="00685259">
        <w:rPr>
          <w:sz w:val="28"/>
          <w:szCs w:val="28"/>
        </w:rPr>
        <w:t xml:space="preserve">MTN submitted that the services offered </w:t>
      </w:r>
      <w:r w:rsidR="008816B0" w:rsidRPr="00685259">
        <w:rPr>
          <w:sz w:val="28"/>
          <w:szCs w:val="28"/>
        </w:rPr>
        <w:t>we</w:t>
      </w:r>
      <w:r w:rsidR="00977563" w:rsidRPr="00685259">
        <w:rPr>
          <w:sz w:val="28"/>
          <w:szCs w:val="28"/>
        </w:rPr>
        <w:t xml:space="preserve">re constantly expanding. </w:t>
      </w:r>
      <w:r w:rsidR="006267E7" w:rsidRPr="00685259">
        <w:rPr>
          <w:sz w:val="28"/>
          <w:szCs w:val="28"/>
        </w:rPr>
        <w:t xml:space="preserve">In addition, it said that </w:t>
      </w:r>
      <w:r w:rsidR="00ED7284" w:rsidRPr="00685259">
        <w:rPr>
          <w:sz w:val="28"/>
          <w:szCs w:val="28"/>
        </w:rPr>
        <w:t xml:space="preserve">when a particular service </w:t>
      </w:r>
      <w:r w:rsidR="008816B0" w:rsidRPr="00685259">
        <w:rPr>
          <w:sz w:val="28"/>
          <w:szCs w:val="28"/>
        </w:rPr>
        <w:t>wa</w:t>
      </w:r>
      <w:r w:rsidR="00ED7284" w:rsidRPr="00685259">
        <w:rPr>
          <w:sz w:val="28"/>
          <w:szCs w:val="28"/>
        </w:rPr>
        <w:t xml:space="preserve">s accessed, the subscriber cannot expect the cost to be the same as when the airtime voucher was purchased. </w:t>
      </w:r>
      <w:r w:rsidR="00645F9C" w:rsidRPr="00685259">
        <w:rPr>
          <w:sz w:val="28"/>
          <w:szCs w:val="28"/>
        </w:rPr>
        <w:t xml:space="preserve">When these </w:t>
      </w:r>
      <w:r w:rsidR="008816B0" w:rsidRPr="00685259">
        <w:rPr>
          <w:sz w:val="28"/>
          <w:szCs w:val="28"/>
        </w:rPr>
        <w:t>we</w:t>
      </w:r>
      <w:r w:rsidR="00645F9C" w:rsidRPr="00685259">
        <w:rPr>
          <w:sz w:val="28"/>
          <w:szCs w:val="28"/>
        </w:rPr>
        <w:t xml:space="preserve">re accessed, </w:t>
      </w:r>
      <w:r w:rsidR="00F100A9" w:rsidRPr="00685259">
        <w:rPr>
          <w:sz w:val="28"/>
          <w:szCs w:val="28"/>
        </w:rPr>
        <w:t xml:space="preserve">the </w:t>
      </w:r>
      <w:r w:rsidR="00ED7284" w:rsidRPr="00685259">
        <w:rPr>
          <w:sz w:val="28"/>
          <w:szCs w:val="28"/>
        </w:rPr>
        <w:t xml:space="preserve">current ruling </w:t>
      </w:r>
      <w:r w:rsidR="00F100A9" w:rsidRPr="00685259">
        <w:rPr>
          <w:sz w:val="28"/>
          <w:szCs w:val="28"/>
        </w:rPr>
        <w:t>cost w</w:t>
      </w:r>
      <w:r w:rsidR="008816B0" w:rsidRPr="00685259">
        <w:rPr>
          <w:sz w:val="28"/>
          <w:szCs w:val="28"/>
        </w:rPr>
        <w:t>ould</w:t>
      </w:r>
      <w:r w:rsidR="00F100A9" w:rsidRPr="00685259">
        <w:rPr>
          <w:sz w:val="28"/>
          <w:szCs w:val="28"/>
        </w:rPr>
        <w:t xml:space="preserve"> be deducted from the subscriber’s airtime balance. </w:t>
      </w:r>
      <w:r w:rsidR="000C47C4" w:rsidRPr="00685259">
        <w:rPr>
          <w:sz w:val="28"/>
          <w:szCs w:val="28"/>
        </w:rPr>
        <w:t xml:space="preserve">As a result, the services </w:t>
      </w:r>
      <w:r w:rsidR="008816B0" w:rsidRPr="00685259">
        <w:rPr>
          <w:sz w:val="28"/>
          <w:szCs w:val="28"/>
        </w:rPr>
        <w:t>we</w:t>
      </w:r>
      <w:r w:rsidR="000C47C4" w:rsidRPr="00685259">
        <w:rPr>
          <w:sz w:val="28"/>
          <w:szCs w:val="28"/>
        </w:rPr>
        <w:t>re not specified</w:t>
      </w:r>
      <w:r w:rsidR="00800E92" w:rsidRPr="00685259">
        <w:rPr>
          <w:sz w:val="28"/>
          <w:szCs w:val="28"/>
        </w:rPr>
        <w:t xml:space="preserve"> </w:t>
      </w:r>
      <w:r w:rsidR="00F0636A" w:rsidRPr="00685259">
        <w:rPr>
          <w:sz w:val="28"/>
          <w:szCs w:val="28"/>
        </w:rPr>
        <w:t>and did not fall under s 10(19).</w:t>
      </w:r>
      <w:r w:rsidR="000C47C4" w:rsidRPr="00685259">
        <w:rPr>
          <w:sz w:val="28"/>
          <w:szCs w:val="28"/>
        </w:rPr>
        <w:t xml:space="preserve"> </w:t>
      </w:r>
    </w:p>
    <w:p w14:paraId="2E02A7CB" w14:textId="77777777" w:rsidR="00A81948" w:rsidRPr="00DC3181" w:rsidRDefault="00A81948" w:rsidP="00A81948">
      <w:pPr>
        <w:pStyle w:val="ListParagraph"/>
        <w:ind w:left="0"/>
        <w:contextualSpacing w:val="0"/>
        <w:rPr>
          <w:sz w:val="28"/>
          <w:szCs w:val="28"/>
        </w:rPr>
      </w:pPr>
    </w:p>
    <w:p w14:paraId="40DD0B52" w14:textId="50B5670E" w:rsidR="00127C81" w:rsidRPr="00685259" w:rsidRDefault="00685259" w:rsidP="00685259">
      <w:pPr>
        <w:rPr>
          <w:sz w:val="28"/>
          <w:szCs w:val="28"/>
        </w:rPr>
      </w:pPr>
      <w:r w:rsidRPr="00DC3181">
        <w:rPr>
          <w:sz w:val="28"/>
          <w:szCs w:val="28"/>
        </w:rPr>
        <w:t>[26]</w:t>
      </w:r>
      <w:r w:rsidRPr="00DC3181">
        <w:rPr>
          <w:sz w:val="28"/>
          <w:szCs w:val="28"/>
        </w:rPr>
        <w:tab/>
      </w:r>
      <w:r w:rsidR="000C47C4" w:rsidRPr="00685259">
        <w:rPr>
          <w:sz w:val="28"/>
          <w:szCs w:val="28"/>
        </w:rPr>
        <w:t xml:space="preserve">But </w:t>
      </w:r>
      <w:r w:rsidR="00B4756E" w:rsidRPr="00685259">
        <w:rPr>
          <w:sz w:val="28"/>
          <w:szCs w:val="28"/>
        </w:rPr>
        <w:t xml:space="preserve">MTN put up some </w:t>
      </w:r>
      <w:r w:rsidR="007D5ACF" w:rsidRPr="00685259">
        <w:rPr>
          <w:sz w:val="28"/>
          <w:szCs w:val="28"/>
        </w:rPr>
        <w:t xml:space="preserve">nine pages listing the services offered by it. </w:t>
      </w:r>
      <w:r w:rsidR="00482C63" w:rsidRPr="00685259">
        <w:rPr>
          <w:sz w:val="28"/>
          <w:szCs w:val="28"/>
        </w:rPr>
        <w:t>SARS</w:t>
      </w:r>
      <w:r w:rsidR="007D5ACF" w:rsidRPr="00685259">
        <w:rPr>
          <w:sz w:val="28"/>
          <w:szCs w:val="28"/>
        </w:rPr>
        <w:t xml:space="preserve"> submitted that this </w:t>
      </w:r>
      <w:r w:rsidR="000C47C4" w:rsidRPr="00685259">
        <w:rPr>
          <w:sz w:val="28"/>
          <w:szCs w:val="28"/>
        </w:rPr>
        <w:t>tended to show</w:t>
      </w:r>
      <w:r w:rsidR="00ED7284" w:rsidRPr="00685259">
        <w:rPr>
          <w:sz w:val="28"/>
          <w:szCs w:val="28"/>
        </w:rPr>
        <w:t xml:space="preserve"> that </w:t>
      </w:r>
      <w:r w:rsidR="00CD3AA1" w:rsidRPr="00685259">
        <w:rPr>
          <w:sz w:val="28"/>
          <w:szCs w:val="28"/>
        </w:rPr>
        <w:t>the pre-paid vouchers</w:t>
      </w:r>
      <w:r w:rsidR="00ED7284" w:rsidRPr="00685259">
        <w:rPr>
          <w:sz w:val="28"/>
          <w:szCs w:val="28"/>
        </w:rPr>
        <w:t xml:space="preserve"> </w:t>
      </w:r>
      <w:r w:rsidR="00D34895" w:rsidRPr="00685259">
        <w:rPr>
          <w:sz w:val="28"/>
          <w:szCs w:val="28"/>
        </w:rPr>
        <w:t>f</w:t>
      </w:r>
      <w:r w:rsidR="00A81948" w:rsidRPr="00685259">
        <w:rPr>
          <w:sz w:val="28"/>
          <w:szCs w:val="28"/>
        </w:rPr>
        <w:t>e</w:t>
      </w:r>
      <w:r w:rsidR="00D34895" w:rsidRPr="00685259">
        <w:rPr>
          <w:sz w:val="28"/>
          <w:szCs w:val="28"/>
        </w:rPr>
        <w:t>ll within s 10(19)</w:t>
      </w:r>
      <w:r w:rsidR="007A450F" w:rsidRPr="00685259">
        <w:rPr>
          <w:sz w:val="28"/>
          <w:szCs w:val="28"/>
        </w:rPr>
        <w:t>. This was because</w:t>
      </w:r>
      <w:r w:rsidR="00D34895" w:rsidRPr="00685259">
        <w:rPr>
          <w:sz w:val="28"/>
          <w:szCs w:val="28"/>
        </w:rPr>
        <w:t xml:space="preserve">, even though those services </w:t>
      </w:r>
      <w:r w:rsidR="00A81948" w:rsidRPr="00685259">
        <w:rPr>
          <w:sz w:val="28"/>
          <w:szCs w:val="28"/>
        </w:rPr>
        <w:t>we</w:t>
      </w:r>
      <w:r w:rsidR="00D34895" w:rsidRPr="00685259">
        <w:rPr>
          <w:sz w:val="28"/>
          <w:szCs w:val="28"/>
        </w:rPr>
        <w:t xml:space="preserve">re not specified on </w:t>
      </w:r>
      <w:r w:rsidR="00CD3AA1" w:rsidRPr="00685259">
        <w:rPr>
          <w:sz w:val="28"/>
          <w:szCs w:val="28"/>
        </w:rPr>
        <w:t>the pre-paid vouchers</w:t>
      </w:r>
      <w:r w:rsidR="00D34895" w:rsidRPr="00685259">
        <w:rPr>
          <w:sz w:val="28"/>
          <w:szCs w:val="28"/>
        </w:rPr>
        <w:t xml:space="preserve">, </w:t>
      </w:r>
      <w:r w:rsidR="00C55959" w:rsidRPr="00685259">
        <w:rPr>
          <w:sz w:val="28"/>
          <w:szCs w:val="28"/>
        </w:rPr>
        <w:t>the vouchers entitle</w:t>
      </w:r>
      <w:r w:rsidR="00A81948" w:rsidRPr="00685259">
        <w:rPr>
          <w:sz w:val="28"/>
          <w:szCs w:val="28"/>
        </w:rPr>
        <w:t>d</w:t>
      </w:r>
      <w:r w:rsidR="00C55959" w:rsidRPr="00685259">
        <w:rPr>
          <w:sz w:val="28"/>
          <w:szCs w:val="28"/>
        </w:rPr>
        <w:t xml:space="preserve"> them ‘to receive goods or services</w:t>
      </w:r>
      <w:r w:rsidR="00762ACB" w:rsidRPr="00685259">
        <w:rPr>
          <w:sz w:val="28"/>
          <w:szCs w:val="28"/>
        </w:rPr>
        <w:t xml:space="preserve"> . . . which by usage or arrangement [entitle</w:t>
      </w:r>
      <w:r w:rsidR="00A81948" w:rsidRPr="00685259">
        <w:rPr>
          <w:sz w:val="28"/>
          <w:szCs w:val="28"/>
        </w:rPr>
        <w:t>d</w:t>
      </w:r>
      <w:r w:rsidR="00762ACB" w:rsidRPr="00685259">
        <w:rPr>
          <w:sz w:val="28"/>
          <w:szCs w:val="28"/>
        </w:rPr>
        <w:t>] the holder to</w:t>
      </w:r>
      <w:r w:rsidR="0059510C" w:rsidRPr="00685259">
        <w:rPr>
          <w:sz w:val="28"/>
          <w:szCs w:val="28"/>
        </w:rPr>
        <w:t xml:space="preserve"> specified goods or services’. </w:t>
      </w:r>
      <w:r w:rsidR="00A934FC" w:rsidRPr="00685259">
        <w:rPr>
          <w:sz w:val="28"/>
          <w:szCs w:val="28"/>
        </w:rPr>
        <w:t>In the result, SARS submit</w:t>
      </w:r>
      <w:r w:rsidR="00A81948" w:rsidRPr="00685259">
        <w:rPr>
          <w:sz w:val="28"/>
          <w:szCs w:val="28"/>
        </w:rPr>
        <w:t>ted</w:t>
      </w:r>
      <w:r w:rsidR="00A934FC" w:rsidRPr="00685259">
        <w:rPr>
          <w:sz w:val="28"/>
          <w:szCs w:val="28"/>
        </w:rPr>
        <w:t xml:space="preserve"> that it </w:t>
      </w:r>
      <w:r w:rsidR="00A81948" w:rsidRPr="00685259">
        <w:rPr>
          <w:sz w:val="28"/>
          <w:szCs w:val="28"/>
        </w:rPr>
        <w:t>wa</w:t>
      </w:r>
      <w:r w:rsidR="00A934FC" w:rsidRPr="00685259">
        <w:rPr>
          <w:sz w:val="28"/>
          <w:szCs w:val="28"/>
        </w:rPr>
        <w:t xml:space="preserve">s not clear that the </w:t>
      </w:r>
      <w:r w:rsidR="000C47C4" w:rsidRPr="00685259">
        <w:rPr>
          <w:sz w:val="28"/>
          <w:szCs w:val="28"/>
        </w:rPr>
        <w:t xml:space="preserve">services to which holders of the </w:t>
      </w:r>
      <w:r w:rsidR="00A934FC" w:rsidRPr="00685259">
        <w:rPr>
          <w:sz w:val="28"/>
          <w:szCs w:val="28"/>
        </w:rPr>
        <w:t>pre-paid vouchers</w:t>
      </w:r>
      <w:r w:rsidR="000C47C4" w:rsidRPr="00685259">
        <w:rPr>
          <w:sz w:val="28"/>
          <w:szCs w:val="28"/>
        </w:rPr>
        <w:t xml:space="preserve"> </w:t>
      </w:r>
      <w:r w:rsidR="00A81948" w:rsidRPr="00685259">
        <w:rPr>
          <w:sz w:val="28"/>
          <w:szCs w:val="28"/>
        </w:rPr>
        <w:t>we</w:t>
      </w:r>
      <w:r w:rsidR="000C47C4" w:rsidRPr="00685259">
        <w:rPr>
          <w:sz w:val="28"/>
          <w:szCs w:val="28"/>
        </w:rPr>
        <w:t xml:space="preserve">re entitled </w:t>
      </w:r>
      <w:r w:rsidR="00A81948" w:rsidRPr="00685259">
        <w:rPr>
          <w:sz w:val="28"/>
          <w:szCs w:val="28"/>
        </w:rPr>
        <w:t>we</w:t>
      </w:r>
      <w:r w:rsidR="000C47C4" w:rsidRPr="00685259">
        <w:rPr>
          <w:sz w:val="28"/>
          <w:szCs w:val="28"/>
        </w:rPr>
        <w:t>re not specified</w:t>
      </w:r>
      <w:r w:rsidR="00A934FC" w:rsidRPr="00685259">
        <w:rPr>
          <w:sz w:val="28"/>
          <w:szCs w:val="28"/>
        </w:rPr>
        <w:t xml:space="preserve"> </w:t>
      </w:r>
      <w:r w:rsidR="000C47C4" w:rsidRPr="00685259">
        <w:rPr>
          <w:sz w:val="28"/>
          <w:szCs w:val="28"/>
        </w:rPr>
        <w:t>by usage or arrangement</w:t>
      </w:r>
      <w:r w:rsidR="00A934FC" w:rsidRPr="00685259">
        <w:rPr>
          <w:sz w:val="28"/>
          <w:szCs w:val="28"/>
        </w:rPr>
        <w:t xml:space="preserve">. If they </w:t>
      </w:r>
      <w:r w:rsidR="00A81948" w:rsidRPr="00685259">
        <w:rPr>
          <w:sz w:val="28"/>
          <w:szCs w:val="28"/>
        </w:rPr>
        <w:t>we</w:t>
      </w:r>
      <w:r w:rsidR="000C47C4" w:rsidRPr="00685259">
        <w:rPr>
          <w:sz w:val="28"/>
          <w:szCs w:val="28"/>
        </w:rPr>
        <w:t>re so specified</w:t>
      </w:r>
      <w:r w:rsidR="00A934FC" w:rsidRPr="00685259">
        <w:rPr>
          <w:sz w:val="28"/>
          <w:szCs w:val="28"/>
        </w:rPr>
        <w:t xml:space="preserve">, the pre-paid vouchers would fall under s 10(19). </w:t>
      </w:r>
    </w:p>
    <w:p w14:paraId="1B987361" w14:textId="77777777" w:rsidR="00477F15" w:rsidRPr="00DC3181" w:rsidRDefault="00477F15" w:rsidP="00477F15">
      <w:pPr>
        <w:pStyle w:val="ListParagraph"/>
        <w:ind w:left="0"/>
        <w:contextualSpacing w:val="0"/>
        <w:rPr>
          <w:sz w:val="28"/>
          <w:szCs w:val="28"/>
        </w:rPr>
      </w:pPr>
    </w:p>
    <w:p w14:paraId="4114F98D" w14:textId="654366D5" w:rsidR="000C47C4" w:rsidRPr="00685259" w:rsidRDefault="00685259" w:rsidP="00685259">
      <w:pPr>
        <w:rPr>
          <w:sz w:val="28"/>
          <w:szCs w:val="28"/>
        </w:rPr>
      </w:pPr>
      <w:r w:rsidRPr="00DC3181">
        <w:rPr>
          <w:sz w:val="28"/>
          <w:szCs w:val="28"/>
        </w:rPr>
        <w:t>[27]</w:t>
      </w:r>
      <w:r w:rsidRPr="00DC3181">
        <w:rPr>
          <w:sz w:val="28"/>
          <w:szCs w:val="28"/>
        </w:rPr>
        <w:tab/>
      </w:r>
      <w:r w:rsidR="00896A3C" w:rsidRPr="00685259">
        <w:rPr>
          <w:sz w:val="28"/>
          <w:szCs w:val="28"/>
        </w:rPr>
        <w:t xml:space="preserve">Considerable difficulty was experienced </w:t>
      </w:r>
      <w:r w:rsidR="001A6A74" w:rsidRPr="00685259">
        <w:rPr>
          <w:sz w:val="28"/>
          <w:szCs w:val="28"/>
        </w:rPr>
        <w:t>during</w:t>
      </w:r>
      <w:r w:rsidR="00896A3C" w:rsidRPr="00685259">
        <w:rPr>
          <w:sz w:val="28"/>
          <w:szCs w:val="28"/>
        </w:rPr>
        <w:t xml:space="preserve"> argument </w:t>
      </w:r>
      <w:r w:rsidR="00722E66" w:rsidRPr="00685259">
        <w:rPr>
          <w:sz w:val="28"/>
          <w:szCs w:val="28"/>
        </w:rPr>
        <w:t>in</w:t>
      </w:r>
      <w:r w:rsidR="00896A3C" w:rsidRPr="00685259">
        <w:rPr>
          <w:sz w:val="28"/>
          <w:szCs w:val="28"/>
        </w:rPr>
        <w:t xml:space="preserve"> obtain</w:t>
      </w:r>
      <w:r w:rsidR="00722E66" w:rsidRPr="00685259">
        <w:rPr>
          <w:sz w:val="28"/>
          <w:szCs w:val="28"/>
        </w:rPr>
        <w:t>ing</w:t>
      </w:r>
      <w:r w:rsidR="00896A3C" w:rsidRPr="00685259">
        <w:rPr>
          <w:sz w:val="28"/>
          <w:szCs w:val="28"/>
        </w:rPr>
        <w:t xml:space="preserve"> clarity on the nature of airtime</w:t>
      </w:r>
      <w:r w:rsidR="00F64113" w:rsidRPr="00685259">
        <w:rPr>
          <w:sz w:val="28"/>
          <w:szCs w:val="28"/>
        </w:rPr>
        <w:t xml:space="preserve"> as used by MTN a</w:t>
      </w:r>
      <w:r w:rsidR="00896A3C" w:rsidRPr="00685259">
        <w:rPr>
          <w:sz w:val="28"/>
          <w:szCs w:val="28"/>
        </w:rPr>
        <w:t xml:space="preserve">nd how </w:t>
      </w:r>
      <w:r w:rsidR="00CD3AA1" w:rsidRPr="00685259">
        <w:rPr>
          <w:sz w:val="28"/>
          <w:szCs w:val="28"/>
        </w:rPr>
        <w:t>the pre-paid vouchers</w:t>
      </w:r>
      <w:r w:rsidR="00896A3C" w:rsidRPr="00685259">
        <w:rPr>
          <w:sz w:val="28"/>
          <w:szCs w:val="28"/>
        </w:rPr>
        <w:t xml:space="preserve"> function in practice. </w:t>
      </w:r>
      <w:r w:rsidR="004A7678" w:rsidRPr="00685259">
        <w:rPr>
          <w:sz w:val="28"/>
          <w:szCs w:val="28"/>
        </w:rPr>
        <w:t>This</w:t>
      </w:r>
      <w:r w:rsidR="00B74B34" w:rsidRPr="00685259">
        <w:rPr>
          <w:sz w:val="28"/>
          <w:szCs w:val="28"/>
        </w:rPr>
        <w:t xml:space="preserve"> also</w:t>
      </w:r>
      <w:r w:rsidR="004A7678" w:rsidRPr="00685259">
        <w:rPr>
          <w:sz w:val="28"/>
          <w:szCs w:val="28"/>
        </w:rPr>
        <w:t xml:space="preserve"> applie</w:t>
      </w:r>
      <w:r w:rsidR="00B74B34" w:rsidRPr="00685259">
        <w:rPr>
          <w:sz w:val="28"/>
          <w:szCs w:val="28"/>
        </w:rPr>
        <w:t>d</w:t>
      </w:r>
      <w:r w:rsidR="004A7678" w:rsidRPr="00685259">
        <w:rPr>
          <w:sz w:val="28"/>
          <w:szCs w:val="28"/>
        </w:rPr>
        <w:t xml:space="preserve"> to </w:t>
      </w:r>
      <w:r w:rsidR="00ED7284" w:rsidRPr="00685259">
        <w:rPr>
          <w:sz w:val="28"/>
          <w:szCs w:val="28"/>
        </w:rPr>
        <w:t xml:space="preserve">the question of </w:t>
      </w:r>
      <w:r w:rsidR="00477F15" w:rsidRPr="00685259">
        <w:rPr>
          <w:sz w:val="28"/>
          <w:szCs w:val="28"/>
        </w:rPr>
        <w:t xml:space="preserve">whether </w:t>
      </w:r>
      <w:r w:rsidR="00ED7284" w:rsidRPr="00685259">
        <w:rPr>
          <w:sz w:val="28"/>
          <w:szCs w:val="28"/>
        </w:rPr>
        <w:t xml:space="preserve">the </w:t>
      </w:r>
      <w:r w:rsidR="00B74B34" w:rsidRPr="00685259">
        <w:rPr>
          <w:sz w:val="28"/>
          <w:szCs w:val="28"/>
        </w:rPr>
        <w:t>services</w:t>
      </w:r>
      <w:r w:rsidR="00ED7284" w:rsidRPr="00685259">
        <w:rPr>
          <w:sz w:val="28"/>
          <w:szCs w:val="28"/>
        </w:rPr>
        <w:t xml:space="preserve"> offered</w:t>
      </w:r>
      <w:r w:rsidR="00477F15" w:rsidRPr="00685259">
        <w:rPr>
          <w:sz w:val="28"/>
          <w:szCs w:val="28"/>
        </w:rPr>
        <w:t xml:space="preserve"> </w:t>
      </w:r>
      <w:r w:rsidR="00A81948" w:rsidRPr="00685259">
        <w:rPr>
          <w:sz w:val="28"/>
          <w:szCs w:val="28"/>
        </w:rPr>
        <w:t>we</w:t>
      </w:r>
      <w:r w:rsidR="00477F15" w:rsidRPr="00685259">
        <w:rPr>
          <w:sz w:val="28"/>
          <w:szCs w:val="28"/>
        </w:rPr>
        <w:t xml:space="preserve">re </w:t>
      </w:r>
      <w:r w:rsidR="00477F15" w:rsidRPr="00685259">
        <w:rPr>
          <w:sz w:val="28"/>
          <w:szCs w:val="28"/>
        </w:rPr>
        <w:lastRenderedPageBreak/>
        <w:t>specified by usage or arrangement.</w:t>
      </w:r>
      <w:r w:rsidR="00B74B34" w:rsidRPr="00685259">
        <w:rPr>
          <w:sz w:val="28"/>
          <w:szCs w:val="28"/>
        </w:rPr>
        <w:t xml:space="preserve"> </w:t>
      </w:r>
      <w:r w:rsidR="00E8033E" w:rsidRPr="00685259">
        <w:rPr>
          <w:sz w:val="28"/>
          <w:szCs w:val="28"/>
        </w:rPr>
        <w:t xml:space="preserve">It seems to me that, at best, the factual position as to </w:t>
      </w:r>
      <w:r w:rsidR="00CF058A" w:rsidRPr="00685259">
        <w:rPr>
          <w:sz w:val="28"/>
          <w:szCs w:val="28"/>
        </w:rPr>
        <w:t>both of these aspects</w:t>
      </w:r>
      <w:r w:rsidR="00E8033E" w:rsidRPr="00685259">
        <w:rPr>
          <w:sz w:val="28"/>
          <w:szCs w:val="28"/>
        </w:rPr>
        <w:t xml:space="preserve"> is </w:t>
      </w:r>
      <w:r w:rsidR="00A81948" w:rsidRPr="00685259">
        <w:rPr>
          <w:sz w:val="28"/>
          <w:szCs w:val="28"/>
        </w:rPr>
        <w:t>distinc</w:t>
      </w:r>
      <w:r w:rsidR="00C20895" w:rsidRPr="00685259">
        <w:rPr>
          <w:sz w:val="28"/>
          <w:szCs w:val="28"/>
        </w:rPr>
        <w:t>tly</w:t>
      </w:r>
      <w:r w:rsidR="00477F15" w:rsidRPr="00685259">
        <w:rPr>
          <w:sz w:val="28"/>
          <w:szCs w:val="28"/>
        </w:rPr>
        <w:t xml:space="preserve"> </w:t>
      </w:r>
      <w:r w:rsidR="00E8033E" w:rsidRPr="00685259">
        <w:rPr>
          <w:sz w:val="28"/>
          <w:szCs w:val="28"/>
        </w:rPr>
        <w:t>opaque.</w:t>
      </w:r>
      <w:r w:rsidR="008C2674" w:rsidRPr="00685259">
        <w:rPr>
          <w:sz w:val="28"/>
          <w:szCs w:val="28"/>
        </w:rPr>
        <w:t xml:space="preserve"> </w:t>
      </w:r>
      <w:r w:rsidR="000651F5" w:rsidRPr="00685259">
        <w:rPr>
          <w:sz w:val="28"/>
          <w:szCs w:val="28"/>
        </w:rPr>
        <w:t xml:space="preserve">This is not a matter where there is a set of clear, </w:t>
      </w:r>
      <w:r w:rsidR="00C94789" w:rsidRPr="00685259">
        <w:rPr>
          <w:sz w:val="28"/>
          <w:szCs w:val="28"/>
        </w:rPr>
        <w:t xml:space="preserve">sufficient, </w:t>
      </w:r>
      <w:r w:rsidR="000651F5" w:rsidRPr="00685259">
        <w:rPr>
          <w:sz w:val="28"/>
          <w:szCs w:val="28"/>
        </w:rPr>
        <w:t xml:space="preserve">uncontested, facts. </w:t>
      </w:r>
      <w:r w:rsidR="00C20895" w:rsidRPr="00685259">
        <w:rPr>
          <w:sz w:val="28"/>
          <w:szCs w:val="28"/>
        </w:rPr>
        <w:t>T</w:t>
      </w:r>
      <w:r w:rsidR="00771433" w:rsidRPr="00685259">
        <w:rPr>
          <w:sz w:val="28"/>
          <w:szCs w:val="28"/>
        </w:rPr>
        <w:t xml:space="preserve">he present matter </w:t>
      </w:r>
      <w:r w:rsidR="00C20895" w:rsidRPr="00685259">
        <w:rPr>
          <w:sz w:val="28"/>
          <w:szCs w:val="28"/>
        </w:rPr>
        <w:t xml:space="preserve">therefore differs markedly </w:t>
      </w:r>
      <w:r w:rsidR="00771433" w:rsidRPr="00685259">
        <w:rPr>
          <w:sz w:val="28"/>
          <w:szCs w:val="28"/>
        </w:rPr>
        <w:t>from th</w:t>
      </w:r>
      <w:r w:rsidR="001A23C7" w:rsidRPr="00685259">
        <w:rPr>
          <w:sz w:val="28"/>
          <w:szCs w:val="28"/>
        </w:rPr>
        <w:t>os</w:t>
      </w:r>
      <w:r w:rsidR="00771433" w:rsidRPr="00685259">
        <w:rPr>
          <w:sz w:val="28"/>
          <w:szCs w:val="28"/>
        </w:rPr>
        <w:t xml:space="preserve">e </w:t>
      </w:r>
      <w:r w:rsidR="001A23C7" w:rsidRPr="00685259">
        <w:rPr>
          <w:sz w:val="28"/>
          <w:szCs w:val="28"/>
        </w:rPr>
        <w:t>mentioned</w:t>
      </w:r>
      <w:r w:rsidR="00771433" w:rsidRPr="00685259">
        <w:rPr>
          <w:sz w:val="28"/>
          <w:szCs w:val="28"/>
        </w:rPr>
        <w:t xml:space="preserve"> above where our courts have </w:t>
      </w:r>
      <w:r w:rsidR="00477F15" w:rsidRPr="00685259">
        <w:rPr>
          <w:sz w:val="28"/>
          <w:szCs w:val="28"/>
        </w:rPr>
        <w:t>entertained applications for</w:t>
      </w:r>
      <w:r w:rsidR="00771433" w:rsidRPr="00685259">
        <w:rPr>
          <w:sz w:val="28"/>
          <w:szCs w:val="28"/>
        </w:rPr>
        <w:t xml:space="preserve"> declaratory orders in tax matters. </w:t>
      </w:r>
      <w:r w:rsidR="007F173D" w:rsidRPr="00685259">
        <w:rPr>
          <w:sz w:val="28"/>
          <w:szCs w:val="28"/>
        </w:rPr>
        <w:t>In that regard, the high court erred when it held that</w:t>
      </w:r>
      <w:r w:rsidR="003E5891" w:rsidRPr="00685259">
        <w:rPr>
          <w:sz w:val="28"/>
          <w:szCs w:val="28"/>
        </w:rPr>
        <w:t xml:space="preserve"> ‘no </w:t>
      </w:r>
      <w:r w:rsidR="000651F5" w:rsidRPr="00685259">
        <w:rPr>
          <w:sz w:val="28"/>
          <w:szCs w:val="28"/>
        </w:rPr>
        <w:t xml:space="preserve">. . . </w:t>
      </w:r>
      <w:r w:rsidR="003E5891" w:rsidRPr="00685259">
        <w:rPr>
          <w:sz w:val="28"/>
          <w:szCs w:val="28"/>
        </w:rPr>
        <w:t>further facts or information would alter the respondent’s legal view</w:t>
      </w:r>
      <w:r w:rsidR="000A5280" w:rsidRPr="00685259">
        <w:rPr>
          <w:sz w:val="28"/>
          <w:szCs w:val="28"/>
        </w:rPr>
        <w:t>’ and that ‘the applicant’s declaratory application is properly before this court</w:t>
      </w:r>
      <w:r w:rsidR="00285CE3" w:rsidRPr="00685259">
        <w:rPr>
          <w:sz w:val="28"/>
          <w:szCs w:val="28"/>
        </w:rPr>
        <w:t>’</w:t>
      </w:r>
      <w:r w:rsidR="000A5280" w:rsidRPr="00685259">
        <w:rPr>
          <w:sz w:val="28"/>
          <w:szCs w:val="28"/>
        </w:rPr>
        <w:t>.</w:t>
      </w:r>
    </w:p>
    <w:p w14:paraId="5CB667D1" w14:textId="77777777" w:rsidR="000C47C4" w:rsidRPr="00DC3181" w:rsidRDefault="000C47C4" w:rsidP="000C47C4">
      <w:pPr>
        <w:rPr>
          <w:sz w:val="28"/>
          <w:szCs w:val="28"/>
        </w:rPr>
      </w:pPr>
    </w:p>
    <w:p w14:paraId="453F6E6D" w14:textId="3BE9F567" w:rsidR="000C47C4" w:rsidRPr="00685259" w:rsidRDefault="00685259" w:rsidP="00685259">
      <w:pPr>
        <w:rPr>
          <w:sz w:val="28"/>
          <w:szCs w:val="28"/>
        </w:rPr>
      </w:pPr>
      <w:r w:rsidRPr="00DC3181">
        <w:rPr>
          <w:sz w:val="28"/>
          <w:szCs w:val="28"/>
        </w:rPr>
        <w:t>[28]</w:t>
      </w:r>
      <w:r w:rsidRPr="00DC3181">
        <w:rPr>
          <w:sz w:val="28"/>
          <w:szCs w:val="28"/>
        </w:rPr>
        <w:tab/>
      </w:r>
      <w:r w:rsidR="00CF058A" w:rsidRPr="00685259">
        <w:rPr>
          <w:sz w:val="28"/>
          <w:szCs w:val="28"/>
        </w:rPr>
        <w:t xml:space="preserve">In any event, </w:t>
      </w:r>
      <w:r w:rsidR="000C47C4" w:rsidRPr="00685259">
        <w:rPr>
          <w:sz w:val="28"/>
          <w:szCs w:val="28"/>
        </w:rPr>
        <w:t xml:space="preserve">even if the facts were clear and uncontested, it is doubtful whether this matter warranted the exercise of the discretion of the high court to entertain the grant of declaratory relief. </w:t>
      </w:r>
      <w:r w:rsidR="00C20895" w:rsidRPr="00685259">
        <w:rPr>
          <w:sz w:val="28"/>
          <w:szCs w:val="28"/>
        </w:rPr>
        <w:t xml:space="preserve">It was a classic case of MTN wishing to obtain clarity from the high court on whether it could </w:t>
      </w:r>
      <w:r w:rsidR="008A3851" w:rsidRPr="00685259">
        <w:rPr>
          <w:sz w:val="28"/>
          <w:szCs w:val="28"/>
        </w:rPr>
        <w:t>depart from its prior practice of treating the pre-paid vouchers as falling under s 10(19)</w:t>
      </w:r>
      <w:r w:rsidR="00175F85" w:rsidRPr="00685259">
        <w:rPr>
          <w:sz w:val="28"/>
          <w:szCs w:val="28"/>
        </w:rPr>
        <w:t xml:space="preserve"> and </w:t>
      </w:r>
      <w:r w:rsidR="0094728C" w:rsidRPr="00685259">
        <w:rPr>
          <w:sz w:val="28"/>
          <w:szCs w:val="28"/>
        </w:rPr>
        <w:t xml:space="preserve">apply a new approach of </w:t>
      </w:r>
      <w:r w:rsidR="00175F85" w:rsidRPr="00685259">
        <w:rPr>
          <w:sz w:val="28"/>
          <w:szCs w:val="28"/>
        </w:rPr>
        <w:t xml:space="preserve">treating them as falling under s 10(18). </w:t>
      </w:r>
      <w:r w:rsidR="007308BA" w:rsidRPr="00685259">
        <w:rPr>
          <w:sz w:val="28"/>
          <w:szCs w:val="28"/>
        </w:rPr>
        <w:t>It seems to me that t</w:t>
      </w:r>
      <w:r w:rsidR="000C47C4" w:rsidRPr="00685259">
        <w:rPr>
          <w:sz w:val="28"/>
          <w:szCs w:val="28"/>
        </w:rPr>
        <w:t xml:space="preserve">he nature of the dispute </w:t>
      </w:r>
      <w:r w:rsidR="0025206B" w:rsidRPr="00685259">
        <w:rPr>
          <w:sz w:val="28"/>
          <w:szCs w:val="28"/>
        </w:rPr>
        <w:t>lent itself</w:t>
      </w:r>
      <w:r w:rsidR="000C47C4" w:rsidRPr="00685259">
        <w:rPr>
          <w:sz w:val="28"/>
          <w:szCs w:val="28"/>
        </w:rPr>
        <w:t xml:space="preserve"> more properly</w:t>
      </w:r>
      <w:r w:rsidR="007308BA" w:rsidRPr="00685259">
        <w:rPr>
          <w:sz w:val="28"/>
          <w:szCs w:val="28"/>
        </w:rPr>
        <w:t xml:space="preserve"> </w:t>
      </w:r>
      <w:r w:rsidR="0025206B" w:rsidRPr="00685259">
        <w:rPr>
          <w:sz w:val="28"/>
          <w:szCs w:val="28"/>
        </w:rPr>
        <w:t xml:space="preserve">to </w:t>
      </w:r>
      <w:r w:rsidR="000C47C4" w:rsidRPr="00685259">
        <w:rPr>
          <w:sz w:val="28"/>
          <w:szCs w:val="28"/>
        </w:rPr>
        <w:t>resol</w:t>
      </w:r>
      <w:r w:rsidR="0025206B" w:rsidRPr="00685259">
        <w:rPr>
          <w:sz w:val="28"/>
          <w:szCs w:val="28"/>
        </w:rPr>
        <w:t>ution</w:t>
      </w:r>
      <w:r w:rsidR="000C47C4" w:rsidRPr="00685259">
        <w:rPr>
          <w:sz w:val="28"/>
          <w:szCs w:val="28"/>
        </w:rPr>
        <w:t xml:space="preserve"> by use of the special machinery of the TAA set up for that purpose. </w:t>
      </w:r>
      <w:r w:rsidR="00C9643E" w:rsidRPr="00685259">
        <w:rPr>
          <w:sz w:val="28"/>
          <w:szCs w:val="28"/>
        </w:rPr>
        <w:t xml:space="preserve">To hold otherwise might well result in a </w:t>
      </w:r>
      <w:r w:rsidR="00F83F8B" w:rsidRPr="00685259">
        <w:rPr>
          <w:sz w:val="28"/>
          <w:szCs w:val="28"/>
        </w:rPr>
        <w:t>deluge</w:t>
      </w:r>
      <w:r w:rsidR="00C9643E" w:rsidRPr="00685259">
        <w:rPr>
          <w:sz w:val="28"/>
          <w:szCs w:val="28"/>
        </w:rPr>
        <w:t xml:space="preserve"> of similar applications. </w:t>
      </w:r>
    </w:p>
    <w:p w14:paraId="2D7C36D2" w14:textId="77777777" w:rsidR="000C47C4" w:rsidRPr="00DC3181" w:rsidRDefault="000C47C4" w:rsidP="000C47C4">
      <w:pPr>
        <w:rPr>
          <w:sz w:val="28"/>
          <w:szCs w:val="28"/>
        </w:rPr>
      </w:pPr>
    </w:p>
    <w:p w14:paraId="2CDDC6E3" w14:textId="34B5B909" w:rsidR="00F96658" w:rsidRPr="00685259" w:rsidRDefault="00685259" w:rsidP="00685259">
      <w:pPr>
        <w:rPr>
          <w:sz w:val="28"/>
          <w:szCs w:val="28"/>
        </w:rPr>
      </w:pPr>
      <w:r w:rsidRPr="00DC3181">
        <w:rPr>
          <w:sz w:val="28"/>
          <w:szCs w:val="28"/>
        </w:rPr>
        <w:t>[29]</w:t>
      </w:r>
      <w:r w:rsidRPr="00DC3181">
        <w:rPr>
          <w:sz w:val="28"/>
          <w:szCs w:val="28"/>
        </w:rPr>
        <w:tab/>
      </w:r>
      <w:r w:rsidR="00C9643E" w:rsidRPr="00685259">
        <w:rPr>
          <w:sz w:val="28"/>
          <w:szCs w:val="28"/>
        </w:rPr>
        <w:t xml:space="preserve">For these reasons, I consider that </w:t>
      </w:r>
      <w:r w:rsidR="00176328" w:rsidRPr="00685259">
        <w:rPr>
          <w:sz w:val="28"/>
          <w:szCs w:val="28"/>
        </w:rPr>
        <w:t>the</w:t>
      </w:r>
      <w:r w:rsidR="00C9643E" w:rsidRPr="00685259">
        <w:rPr>
          <w:sz w:val="28"/>
          <w:szCs w:val="28"/>
        </w:rPr>
        <w:t xml:space="preserve"> application for declaratory relief was not appropriate in this matter. That being the case, the second issue in the appeal as to whether the ruling was correct or not need not</w:t>
      </w:r>
      <w:r w:rsidR="00F83F8B" w:rsidRPr="00685259">
        <w:rPr>
          <w:sz w:val="28"/>
          <w:szCs w:val="28"/>
        </w:rPr>
        <w:t>, indeed cannot,</w:t>
      </w:r>
      <w:r w:rsidR="00C9643E" w:rsidRPr="00685259">
        <w:rPr>
          <w:sz w:val="28"/>
          <w:szCs w:val="28"/>
        </w:rPr>
        <w:t xml:space="preserve"> be decided. </w:t>
      </w:r>
      <w:r w:rsidR="00BF4658" w:rsidRPr="00685259">
        <w:rPr>
          <w:sz w:val="28"/>
          <w:szCs w:val="28"/>
        </w:rPr>
        <w:t xml:space="preserve">This </w:t>
      </w:r>
      <w:r w:rsidR="00710F8B" w:rsidRPr="00685259">
        <w:rPr>
          <w:sz w:val="28"/>
          <w:szCs w:val="28"/>
        </w:rPr>
        <w:t xml:space="preserve">all </w:t>
      </w:r>
      <w:r w:rsidR="00BF4658" w:rsidRPr="00685259">
        <w:rPr>
          <w:sz w:val="28"/>
          <w:szCs w:val="28"/>
        </w:rPr>
        <w:t>means that, al</w:t>
      </w:r>
      <w:r w:rsidR="006A3707" w:rsidRPr="00685259">
        <w:rPr>
          <w:sz w:val="28"/>
          <w:szCs w:val="28"/>
        </w:rPr>
        <w:t xml:space="preserve">though the high court </w:t>
      </w:r>
      <w:r w:rsidR="00BF4658" w:rsidRPr="00685259">
        <w:rPr>
          <w:sz w:val="28"/>
          <w:szCs w:val="28"/>
        </w:rPr>
        <w:t xml:space="preserve">incorrectly </w:t>
      </w:r>
      <w:r w:rsidR="006A3707" w:rsidRPr="00685259">
        <w:rPr>
          <w:sz w:val="28"/>
          <w:szCs w:val="28"/>
        </w:rPr>
        <w:t>entertained declaratory relief</w:t>
      </w:r>
      <w:r w:rsidR="009C2D02" w:rsidRPr="00685259">
        <w:rPr>
          <w:sz w:val="28"/>
          <w:szCs w:val="28"/>
        </w:rPr>
        <w:t xml:space="preserve">, </w:t>
      </w:r>
      <w:r w:rsidR="00F83F8B" w:rsidRPr="00685259">
        <w:rPr>
          <w:sz w:val="28"/>
          <w:szCs w:val="28"/>
        </w:rPr>
        <w:t>i</w:t>
      </w:r>
      <w:r w:rsidR="00DC1F89" w:rsidRPr="00685259">
        <w:rPr>
          <w:sz w:val="28"/>
          <w:szCs w:val="28"/>
        </w:rPr>
        <w:t>t</w:t>
      </w:r>
      <w:r w:rsidR="009642DA" w:rsidRPr="00685259">
        <w:rPr>
          <w:sz w:val="28"/>
          <w:szCs w:val="28"/>
        </w:rPr>
        <w:t xml:space="preserve"> was c</w:t>
      </w:r>
      <w:r w:rsidR="00477F15" w:rsidRPr="00685259">
        <w:rPr>
          <w:sz w:val="28"/>
          <w:szCs w:val="28"/>
        </w:rPr>
        <w:t>o</w:t>
      </w:r>
      <w:r w:rsidR="00752813" w:rsidRPr="00685259">
        <w:rPr>
          <w:sz w:val="28"/>
          <w:szCs w:val="28"/>
        </w:rPr>
        <w:t>rrect</w:t>
      </w:r>
      <w:r w:rsidR="009642DA" w:rsidRPr="00685259">
        <w:rPr>
          <w:sz w:val="28"/>
          <w:szCs w:val="28"/>
        </w:rPr>
        <w:t xml:space="preserve"> in dismissing the application</w:t>
      </w:r>
      <w:r w:rsidR="00C47619" w:rsidRPr="00685259">
        <w:rPr>
          <w:sz w:val="28"/>
          <w:szCs w:val="28"/>
        </w:rPr>
        <w:t>.</w:t>
      </w:r>
      <w:r w:rsidR="00BC2A2E" w:rsidRPr="00685259">
        <w:rPr>
          <w:sz w:val="28"/>
          <w:szCs w:val="28"/>
        </w:rPr>
        <w:t xml:space="preserve"> </w:t>
      </w:r>
      <w:r w:rsidR="009642DA" w:rsidRPr="00685259">
        <w:rPr>
          <w:sz w:val="28"/>
          <w:szCs w:val="28"/>
        </w:rPr>
        <w:t xml:space="preserve">The appeal must therefore fail. </w:t>
      </w:r>
      <w:r w:rsidR="00BC2A2E" w:rsidRPr="00685259">
        <w:rPr>
          <w:sz w:val="28"/>
          <w:szCs w:val="28"/>
        </w:rPr>
        <w:t>Both parties agreed that the costs should follow the result.</w:t>
      </w:r>
      <w:r w:rsidR="001C0BCD" w:rsidRPr="00685259">
        <w:rPr>
          <w:sz w:val="28"/>
          <w:szCs w:val="28"/>
        </w:rPr>
        <w:t xml:space="preserve"> The use of two counsel was warranted.</w:t>
      </w:r>
    </w:p>
    <w:p w14:paraId="47EDD4DA" w14:textId="77777777" w:rsidR="001C6FDD" w:rsidRPr="00DC3181" w:rsidRDefault="001C6FDD" w:rsidP="00401A7D">
      <w:pPr>
        <w:pStyle w:val="ListParagraph"/>
        <w:ind w:left="0"/>
        <w:rPr>
          <w:sz w:val="28"/>
          <w:szCs w:val="28"/>
        </w:rPr>
      </w:pPr>
    </w:p>
    <w:p w14:paraId="3C07531B" w14:textId="0339B63B" w:rsidR="006D2450" w:rsidRPr="00685259" w:rsidRDefault="00685259" w:rsidP="00685259">
      <w:pPr>
        <w:rPr>
          <w:sz w:val="28"/>
          <w:szCs w:val="28"/>
        </w:rPr>
      </w:pPr>
      <w:r w:rsidRPr="00DC3181">
        <w:rPr>
          <w:sz w:val="28"/>
          <w:szCs w:val="28"/>
        </w:rPr>
        <w:lastRenderedPageBreak/>
        <w:t>[30]</w:t>
      </w:r>
      <w:r w:rsidRPr="00DC3181">
        <w:rPr>
          <w:sz w:val="28"/>
          <w:szCs w:val="28"/>
        </w:rPr>
        <w:tab/>
      </w:r>
      <w:r w:rsidR="001007F1" w:rsidRPr="00685259">
        <w:rPr>
          <w:sz w:val="28"/>
          <w:szCs w:val="28"/>
        </w:rPr>
        <w:t>In the result</w:t>
      </w:r>
      <w:r w:rsidR="004F0B46" w:rsidRPr="00685259">
        <w:rPr>
          <w:sz w:val="28"/>
          <w:szCs w:val="28"/>
        </w:rPr>
        <w:t>, t</w:t>
      </w:r>
      <w:r w:rsidR="001F485A" w:rsidRPr="00685259">
        <w:rPr>
          <w:sz w:val="28"/>
          <w:szCs w:val="28"/>
        </w:rPr>
        <w:t xml:space="preserve">he appeal is </w:t>
      </w:r>
      <w:r w:rsidR="00C47619" w:rsidRPr="00685259">
        <w:rPr>
          <w:sz w:val="28"/>
          <w:szCs w:val="28"/>
        </w:rPr>
        <w:t xml:space="preserve">dismissed </w:t>
      </w:r>
      <w:r w:rsidR="00295425" w:rsidRPr="00685259">
        <w:rPr>
          <w:sz w:val="28"/>
          <w:szCs w:val="28"/>
        </w:rPr>
        <w:t>with</w:t>
      </w:r>
      <w:r w:rsidR="0026535A" w:rsidRPr="00685259">
        <w:rPr>
          <w:sz w:val="28"/>
          <w:szCs w:val="28"/>
        </w:rPr>
        <w:t xml:space="preserve"> costs</w:t>
      </w:r>
      <w:r w:rsidR="00176F6F" w:rsidRPr="00685259">
        <w:rPr>
          <w:sz w:val="28"/>
          <w:szCs w:val="28"/>
        </w:rPr>
        <w:t>, including those of two counsel where used</w:t>
      </w:r>
      <w:r w:rsidR="0026535A" w:rsidRPr="00685259">
        <w:rPr>
          <w:sz w:val="28"/>
          <w:szCs w:val="28"/>
        </w:rPr>
        <w:t>.</w:t>
      </w:r>
    </w:p>
    <w:p w14:paraId="2CE7F37C" w14:textId="77777777" w:rsidR="001F18ED" w:rsidRPr="00DC3181" w:rsidRDefault="001F18ED" w:rsidP="00401A7D">
      <w:pPr>
        <w:pStyle w:val="ListParagraph"/>
        <w:ind w:left="0"/>
        <w:rPr>
          <w:sz w:val="28"/>
          <w:szCs w:val="28"/>
        </w:rPr>
      </w:pPr>
    </w:p>
    <w:p w14:paraId="428F58D7" w14:textId="77777777" w:rsidR="00752813" w:rsidRPr="00DC3181" w:rsidRDefault="00752813" w:rsidP="00401A7D">
      <w:pPr>
        <w:jc w:val="right"/>
        <w:rPr>
          <w:sz w:val="28"/>
          <w:szCs w:val="28"/>
        </w:rPr>
      </w:pPr>
    </w:p>
    <w:p w14:paraId="68278B44" w14:textId="77777777" w:rsidR="00752813" w:rsidRPr="00DC3181" w:rsidRDefault="00752813" w:rsidP="00401A7D">
      <w:pPr>
        <w:jc w:val="right"/>
        <w:rPr>
          <w:sz w:val="28"/>
          <w:szCs w:val="28"/>
        </w:rPr>
      </w:pPr>
    </w:p>
    <w:p w14:paraId="74D2AC78" w14:textId="10500048" w:rsidR="00796962" w:rsidRPr="00DC3181" w:rsidRDefault="00796962" w:rsidP="00401A7D">
      <w:pPr>
        <w:jc w:val="right"/>
        <w:rPr>
          <w:sz w:val="28"/>
          <w:szCs w:val="28"/>
        </w:rPr>
      </w:pPr>
      <w:r w:rsidRPr="00DC3181">
        <w:rPr>
          <w:sz w:val="28"/>
          <w:szCs w:val="28"/>
        </w:rPr>
        <w:t>____________________</w:t>
      </w:r>
    </w:p>
    <w:p w14:paraId="512F62BE" w14:textId="7BBD26BF" w:rsidR="00796962" w:rsidRPr="00DC3181" w:rsidRDefault="00883DE2" w:rsidP="00401A7D">
      <w:pPr>
        <w:jc w:val="right"/>
        <w:rPr>
          <w:sz w:val="28"/>
          <w:szCs w:val="28"/>
        </w:rPr>
      </w:pPr>
      <w:r w:rsidRPr="00DC3181">
        <w:rPr>
          <w:sz w:val="28"/>
          <w:szCs w:val="28"/>
        </w:rPr>
        <w:t xml:space="preserve"> T R </w:t>
      </w:r>
      <w:r w:rsidR="00796962" w:rsidRPr="00DC3181">
        <w:rPr>
          <w:sz w:val="28"/>
          <w:szCs w:val="28"/>
        </w:rPr>
        <w:t>GORVEN</w:t>
      </w:r>
    </w:p>
    <w:p w14:paraId="59D6E5B0" w14:textId="68FBCC5C" w:rsidR="00C55BC7" w:rsidRPr="00DC3181" w:rsidRDefault="00796962" w:rsidP="00401A7D">
      <w:pPr>
        <w:jc w:val="right"/>
        <w:rPr>
          <w:sz w:val="28"/>
          <w:szCs w:val="28"/>
        </w:rPr>
      </w:pPr>
      <w:r w:rsidRPr="00DC3181">
        <w:rPr>
          <w:sz w:val="28"/>
          <w:szCs w:val="28"/>
        </w:rPr>
        <w:t>JUDGE OF APPEAL</w:t>
      </w:r>
    </w:p>
    <w:p w14:paraId="717ABC82" w14:textId="5B0254E8" w:rsidR="00796962" w:rsidRPr="00DC3181" w:rsidRDefault="00C55BC7" w:rsidP="00401A7D">
      <w:pPr>
        <w:rPr>
          <w:sz w:val="28"/>
          <w:szCs w:val="28"/>
        </w:rPr>
      </w:pPr>
      <w:r w:rsidRPr="00DC3181">
        <w:rPr>
          <w:sz w:val="28"/>
          <w:szCs w:val="28"/>
        </w:rPr>
        <w:br w:type="page"/>
      </w:r>
      <w:r w:rsidR="000D2758" w:rsidRPr="00DC3181">
        <w:rPr>
          <w:sz w:val="28"/>
          <w:szCs w:val="28"/>
        </w:rPr>
        <w:lastRenderedPageBreak/>
        <w:t>A</w:t>
      </w:r>
      <w:r w:rsidR="00745E90" w:rsidRPr="00DC3181">
        <w:rPr>
          <w:sz w:val="28"/>
          <w:szCs w:val="28"/>
        </w:rPr>
        <w:t>ppearances</w:t>
      </w:r>
      <w:r w:rsidR="000D2758" w:rsidRPr="00DC3181">
        <w:rPr>
          <w:sz w:val="28"/>
          <w:szCs w:val="28"/>
        </w:rPr>
        <w:t xml:space="preserve"> </w:t>
      </w:r>
    </w:p>
    <w:p w14:paraId="0C9EBD64" w14:textId="77777777" w:rsidR="00796962" w:rsidRPr="00DC3181" w:rsidRDefault="00796962" w:rsidP="00401A7D">
      <w:pPr>
        <w:rPr>
          <w:sz w:val="28"/>
          <w:szCs w:val="28"/>
        </w:rPr>
      </w:pPr>
    </w:p>
    <w:p w14:paraId="40D46A0A" w14:textId="45E2905F" w:rsidR="00796962" w:rsidRPr="00DC3181" w:rsidRDefault="00796962" w:rsidP="007B04BA">
      <w:pPr>
        <w:tabs>
          <w:tab w:val="left" w:pos="2127"/>
        </w:tabs>
        <w:rPr>
          <w:sz w:val="28"/>
          <w:szCs w:val="28"/>
        </w:rPr>
      </w:pPr>
      <w:r w:rsidRPr="00DC3181">
        <w:rPr>
          <w:sz w:val="28"/>
          <w:szCs w:val="28"/>
        </w:rPr>
        <w:t>For appellant:</w:t>
      </w:r>
      <w:r w:rsidR="007B04BA">
        <w:rPr>
          <w:sz w:val="28"/>
          <w:szCs w:val="28"/>
        </w:rPr>
        <w:tab/>
      </w:r>
      <w:r w:rsidR="00785342" w:rsidRPr="00DC3181">
        <w:rPr>
          <w:sz w:val="28"/>
          <w:szCs w:val="28"/>
        </w:rPr>
        <w:t>M</w:t>
      </w:r>
      <w:r w:rsidR="007B04BA">
        <w:rPr>
          <w:sz w:val="28"/>
          <w:szCs w:val="28"/>
        </w:rPr>
        <w:t xml:space="preserve"> </w:t>
      </w:r>
      <w:r w:rsidR="00785342" w:rsidRPr="00DC3181">
        <w:rPr>
          <w:sz w:val="28"/>
          <w:szCs w:val="28"/>
        </w:rPr>
        <w:t>W Janisch</w:t>
      </w:r>
      <w:r w:rsidR="00834E28" w:rsidRPr="00DC3181">
        <w:rPr>
          <w:sz w:val="28"/>
          <w:szCs w:val="28"/>
        </w:rPr>
        <w:t xml:space="preserve"> SC</w:t>
      </w:r>
    </w:p>
    <w:p w14:paraId="3ECB3557" w14:textId="1B83D01C" w:rsidR="00341250" w:rsidRPr="00DC3181" w:rsidRDefault="00796962" w:rsidP="00401A7D">
      <w:pPr>
        <w:ind w:hanging="3544"/>
        <w:rPr>
          <w:bCs/>
          <w:sz w:val="28"/>
          <w:szCs w:val="28"/>
        </w:rPr>
      </w:pPr>
      <w:r w:rsidRPr="00DC3181">
        <w:rPr>
          <w:bCs/>
          <w:sz w:val="28"/>
          <w:szCs w:val="28"/>
        </w:rPr>
        <w:t>Instructed by:</w:t>
      </w:r>
      <w:r w:rsidRPr="00DC3181">
        <w:rPr>
          <w:bCs/>
          <w:sz w:val="28"/>
          <w:szCs w:val="28"/>
        </w:rPr>
        <w:tab/>
      </w:r>
      <w:r w:rsidR="008668B3">
        <w:rPr>
          <w:bCs/>
          <w:sz w:val="28"/>
          <w:szCs w:val="28"/>
        </w:rPr>
        <w:t>Instructed by:</w:t>
      </w:r>
      <w:r w:rsidR="00C47619" w:rsidRPr="00DC3181">
        <w:rPr>
          <w:bCs/>
          <w:sz w:val="28"/>
          <w:szCs w:val="28"/>
        </w:rPr>
        <w:tab/>
      </w:r>
      <w:r w:rsidR="00785342" w:rsidRPr="00DC3181">
        <w:rPr>
          <w:bCs/>
          <w:sz w:val="28"/>
          <w:szCs w:val="28"/>
        </w:rPr>
        <w:t>Werksmans</w:t>
      </w:r>
      <w:r w:rsidR="005651F3" w:rsidRPr="00DC3181">
        <w:rPr>
          <w:bCs/>
          <w:sz w:val="28"/>
          <w:szCs w:val="28"/>
        </w:rPr>
        <w:t xml:space="preserve"> Attorneys</w:t>
      </w:r>
      <w:r w:rsidRPr="00DC3181">
        <w:rPr>
          <w:bCs/>
          <w:sz w:val="28"/>
          <w:szCs w:val="28"/>
        </w:rPr>
        <w:t xml:space="preserve">, </w:t>
      </w:r>
      <w:r w:rsidR="00562F16" w:rsidRPr="00DC3181">
        <w:rPr>
          <w:bCs/>
          <w:sz w:val="28"/>
          <w:szCs w:val="28"/>
        </w:rPr>
        <w:t>Sandton</w:t>
      </w:r>
    </w:p>
    <w:p w14:paraId="5D137F78" w14:textId="76117587" w:rsidR="00796962" w:rsidRPr="00DC3181" w:rsidRDefault="005516B7" w:rsidP="007B04BA">
      <w:pPr>
        <w:ind w:left="1440" w:firstLine="720"/>
        <w:rPr>
          <w:bCs/>
          <w:sz w:val="28"/>
          <w:szCs w:val="28"/>
        </w:rPr>
      </w:pPr>
      <w:r w:rsidRPr="00DC3181">
        <w:rPr>
          <w:bCs/>
          <w:sz w:val="28"/>
          <w:szCs w:val="28"/>
        </w:rPr>
        <w:t>Symington De Kok Attorneys</w:t>
      </w:r>
      <w:r w:rsidR="003602B2" w:rsidRPr="00DC3181">
        <w:rPr>
          <w:bCs/>
          <w:sz w:val="28"/>
          <w:szCs w:val="28"/>
        </w:rPr>
        <w:t xml:space="preserve">, </w:t>
      </w:r>
      <w:r w:rsidR="00796962" w:rsidRPr="00DC3181">
        <w:rPr>
          <w:bCs/>
          <w:sz w:val="28"/>
          <w:szCs w:val="28"/>
        </w:rPr>
        <w:t>Bloemfontein</w:t>
      </w:r>
    </w:p>
    <w:p w14:paraId="500DF642" w14:textId="56542F36" w:rsidR="00796962" w:rsidRPr="00DC3181" w:rsidRDefault="00796962" w:rsidP="00401A7D">
      <w:pPr>
        <w:rPr>
          <w:bCs/>
          <w:sz w:val="28"/>
          <w:szCs w:val="28"/>
        </w:rPr>
      </w:pPr>
    </w:p>
    <w:p w14:paraId="42AD2FBF" w14:textId="72151C08" w:rsidR="00796962" w:rsidRPr="00DC3181" w:rsidRDefault="00796962" w:rsidP="00401A7D">
      <w:pPr>
        <w:rPr>
          <w:sz w:val="28"/>
          <w:szCs w:val="28"/>
        </w:rPr>
      </w:pPr>
      <w:r w:rsidRPr="00DC3181">
        <w:rPr>
          <w:sz w:val="28"/>
          <w:szCs w:val="28"/>
        </w:rPr>
        <w:t>For respondent:</w:t>
      </w:r>
      <w:r w:rsidRPr="00DC3181">
        <w:rPr>
          <w:sz w:val="28"/>
          <w:szCs w:val="28"/>
        </w:rPr>
        <w:tab/>
      </w:r>
      <w:r w:rsidR="00785342" w:rsidRPr="00DC3181">
        <w:rPr>
          <w:sz w:val="28"/>
          <w:szCs w:val="28"/>
        </w:rPr>
        <w:t>A</w:t>
      </w:r>
      <w:r w:rsidR="007B04BA">
        <w:rPr>
          <w:sz w:val="28"/>
          <w:szCs w:val="28"/>
        </w:rPr>
        <w:t xml:space="preserve"> </w:t>
      </w:r>
      <w:r w:rsidR="00785342" w:rsidRPr="00DC3181">
        <w:rPr>
          <w:sz w:val="28"/>
          <w:szCs w:val="28"/>
        </w:rPr>
        <w:t>R Sholto-Douglas SC</w:t>
      </w:r>
      <w:r w:rsidR="009375D6" w:rsidRPr="00DC3181">
        <w:rPr>
          <w:sz w:val="28"/>
          <w:szCs w:val="28"/>
        </w:rPr>
        <w:t xml:space="preserve"> </w:t>
      </w:r>
      <w:r w:rsidR="007B04BA">
        <w:rPr>
          <w:sz w:val="28"/>
          <w:szCs w:val="28"/>
        </w:rPr>
        <w:t>(</w:t>
      </w:r>
      <w:r w:rsidR="009375D6" w:rsidRPr="00DC3181">
        <w:rPr>
          <w:sz w:val="28"/>
          <w:szCs w:val="28"/>
        </w:rPr>
        <w:t xml:space="preserve">with </w:t>
      </w:r>
      <w:r w:rsidR="007B04BA">
        <w:rPr>
          <w:sz w:val="28"/>
          <w:szCs w:val="28"/>
        </w:rPr>
        <w:t xml:space="preserve">him </w:t>
      </w:r>
      <w:r w:rsidR="009375D6" w:rsidRPr="00DC3181">
        <w:rPr>
          <w:sz w:val="28"/>
          <w:szCs w:val="28"/>
        </w:rPr>
        <w:t>S Dzakwa</w:t>
      </w:r>
      <w:r w:rsidR="007B04BA">
        <w:rPr>
          <w:sz w:val="28"/>
          <w:szCs w:val="28"/>
        </w:rPr>
        <w:t>)</w:t>
      </w:r>
    </w:p>
    <w:p w14:paraId="4573B5CA" w14:textId="088BD6A1" w:rsidR="004C6051" w:rsidRPr="00DC3181" w:rsidRDefault="00796962" w:rsidP="00401A7D">
      <w:pPr>
        <w:ind w:hanging="4320"/>
        <w:rPr>
          <w:bCs/>
          <w:sz w:val="28"/>
          <w:szCs w:val="28"/>
        </w:rPr>
      </w:pPr>
      <w:r w:rsidRPr="00DC3181">
        <w:rPr>
          <w:bCs/>
          <w:sz w:val="28"/>
          <w:szCs w:val="28"/>
        </w:rPr>
        <w:t>Instructed by:</w:t>
      </w:r>
      <w:r w:rsidRPr="00DC3181">
        <w:rPr>
          <w:bCs/>
          <w:sz w:val="28"/>
          <w:szCs w:val="28"/>
        </w:rPr>
        <w:tab/>
      </w:r>
      <w:r w:rsidR="008668B3">
        <w:rPr>
          <w:bCs/>
          <w:sz w:val="28"/>
          <w:szCs w:val="28"/>
        </w:rPr>
        <w:t>Instructed by:</w:t>
      </w:r>
      <w:r w:rsidR="00C47619" w:rsidRPr="00DC3181">
        <w:rPr>
          <w:bCs/>
          <w:sz w:val="28"/>
          <w:szCs w:val="28"/>
        </w:rPr>
        <w:tab/>
      </w:r>
      <w:r w:rsidR="00562F16" w:rsidRPr="00DC3181">
        <w:rPr>
          <w:bCs/>
          <w:sz w:val="28"/>
          <w:szCs w:val="28"/>
        </w:rPr>
        <w:t xml:space="preserve">State Attorney, </w:t>
      </w:r>
      <w:r w:rsidR="00DD725B">
        <w:rPr>
          <w:bCs/>
          <w:sz w:val="28"/>
          <w:szCs w:val="28"/>
        </w:rPr>
        <w:t>Cape Town</w:t>
      </w:r>
    </w:p>
    <w:p w14:paraId="6861B7E3" w14:textId="700E7478" w:rsidR="00796962" w:rsidRDefault="004C6051" w:rsidP="007B04BA">
      <w:pPr>
        <w:ind w:left="1440" w:firstLine="720"/>
        <w:rPr>
          <w:bCs/>
          <w:sz w:val="28"/>
          <w:szCs w:val="28"/>
        </w:rPr>
      </w:pPr>
      <w:r w:rsidRPr="00DC3181">
        <w:rPr>
          <w:bCs/>
          <w:sz w:val="28"/>
          <w:szCs w:val="28"/>
        </w:rPr>
        <w:t>State Attorney</w:t>
      </w:r>
      <w:r w:rsidR="00894D8C" w:rsidRPr="00DC3181">
        <w:rPr>
          <w:bCs/>
          <w:sz w:val="28"/>
          <w:szCs w:val="28"/>
        </w:rPr>
        <w:t xml:space="preserve">, </w:t>
      </w:r>
      <w:r w:rsidR="00EE3C39" w:rsidRPr="00DC3181">
        <w:rPr>
          <w:bCs/>
          <w:sz w:val="28"/>
          <w:szCs w:val="28"/>
        </w:rPr>
        <w:t>Bloemfontein</w:t>
      </w:r>
      <w:r w:rsidR="00796962" w:rsidRPr="00614C00">
        <w:rPr>
          <w:bCs/>
          <w:sz w:val="28"/>
          <w:szCs w:val="28"/>
        </w:rPr>
        <w:t xml:space="preserve"> </w:t>
      </w:r>
    </w:p>
    <w:p w14:paraId="69AF6280" w14:textId="77777777" w:rsidR="00E71585" w:rsidRDefault="00E71585" w:rsidP="00C47619">
      <w:pPr>
        <w:ind w:left="3600" w:firstLine="720"/>
        <w:rPr>
          <w:bCs/>
          <w:sz w:val="28"/>
          <w:szCs w:val="28"/>
        </w:rPr>
      </w:pPr>
    </w:p>
    <w:sectPr w:rsidR="00E71585"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EE5E" w14:textId="77777777" w:rsidR="007C1DEB" w:rsidRDefault="007C1DEB">
      <w:r>
        <w:separator/>
      </w:r>
    </w:p>
  </w:endnote>
  <w:endnote w:type="continuationSeparator" w:id="0">
    <w:p w14:paraId="033B8682" w14:textId="77777777" w:rsidR="007C1DEB" w:rsidRDefault="007C1DEB">
      <w:r>
        <w:continuationSeparator/>
      </w:r>
    </w:p>
  </w:endnote>
  <w:endnote w:type="continuationNotice" w:id="1">
    <w:p w14:paraId="31FD9B13" w14:textId="77777777" w:rsidR="007C1DEB" w:rsidRDefault="007C1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51966" w14:textId="77777777" w:rsidR="007C1DEB" w:rsidRDefault="007C1DEB">
      <w:r>
        <w:separator/>
      </w:r>
    </w:p>
  </w:footnote>
  <w:footnote w:type="continuationSeparator" w:id="0">
    <w:p w14:paraId="42042B85" w14:textId="77777777" w:rsidR="007C1DEB" w:rsidRDefault="007C1DEB">
      <w:r>
        <w:continuationSeparator/>
      </w:r>
    </w:p>
  </w:footnote>
  <w:footnote w:type="continuationNotice" w:id="1">
    <w:p w14:paraId="51A1DBD9" w14:textId="77777777" w:rsidR="007C1DEB" w:rsidRDefault="007C1DEB"/>
  </w:footnote>
  <w:footnote w:id="2">
    <w:p w14:paraId="711D4079" w14:textId="028F2B96" w:rsidR="005A3E4B" w:rsidRPr="005A3E4B" w:rsidRDefault="005A3E4B" w:rsidP="00007206">
      <w:pPr>
        <w:pStyle w:val="FootnoteText"/>
        <w:spacing w:line="240" w:lineRule="auto"/>
        <w:rPr>
          <w:lang w:val="en-US"/>
        </w:rPr>
      </w:pPr>
      <w:r>
        <w:rPr>
          <w:rStyle w:val="FootnoteReference"/>
        </w:rPr>
        <w:footnoteRef/>
      </w:r>
      <w:r>
        <w:t xml:space="preserve"> </w:t>
      </w:r>
      <w:r w:rsidR="00007206">
        <w:t xml:space="preserve">For the sake of convenience, </w:t>
      </w:r>
      <w:r w:rsidR="007B6CD4">
        <w:rPr>
          <w:lang w:val="en-US"/>
        </w:rPr>
        <w:t>I shall refer to the respondent as SARS despite the Commissioner of SARS being the party.</w:t>
      </w:r>
      <w:r w:rsidR="00007206">
        <w:rPr>
          <w:lang w:val="en-US"/>
        </w:rPr>
        <w:t xml:space="preserve"> The rulings mentioned hereunder are issued by the Commissioner but SARS as an entity gives effect to the rulings. I am mindful of the distinction between the Commissioner and SARS but</w:t>
      </w:r>
      <w:r w:rsidR="005D6E5B">
        <w:rPr>
          <w:lang w:val="en-US"/>
        </w:rPr>
        <w:t xml:space="preserve"> this distinction is not material in this matter.</w:t>
      </w:r>
    </w:p>
  </w:footnote>
  <w:footnote w:id="3">
    <w:p w14:paraId="036270DB" w14:textId="77777777" w:rsidR="00BB5912" w:rsidRPr="00391DA9" w:rsidRDefault="00BB5912" w:rsidP="00BB5912">
      <w:pPr>
        <w:pStyle w:val="FootnoteText"/>
        <w:spacing w:line="240" w:lineRule="auto"/>
        <w:rPr>
          <w:lang w:val="en-US"/>
        </w:rPr>
      </w:pPr>
      <w:r>
        <w:rPr>
          <w:rStyle w:val="FootnoteReference"/>
        </w:rPr>
        <w:footnoteRef/>
      </w:r>
      <w:r>
        <w:t xml:space="preserve"> </w:t>
      </w:r>
      <w:r>
        <w:rPr>
          <w:lang w:val="en-US"/>
        </w:rPr>
        <w:t>Their emphasis.</w:t>
      </w:r>
    </w:p>
  </w:footnote>
  <w:footnote w:id="4">
    <w:p w14:paraId="06B5847C" w14:textId="42569502" w:rsidR="00EE0771" w:rsidRPr="00716131" w:rsidRDefault="00EE0771" w:rsidP="00391DA9">
      <w:pPr>
        <w:pStyle w:val="FootnoteText"/>
        <w:spacing w:line="240" w:lineRule="auto"/>
        <w:rPr>
          <w:lang w:val="en-US"/>
        </w:rPr>
      </w:pPr>
      <w:r>
        <w:rPr>
          <w:rStyle w:val="FootnoteReference"/>
        </w:rPr>
        <w:footnoteRef/>
      </w:r>
      <w:r>
        <w:t xml:space="preserve"> </w:t>
      </w:r>
      <w:r w:rsidR="00482C63">
        <w:t>SARS</w:t>
      </w:r>
      <w:r>
        <w:rPr>
          <w:lang w:val="en-US"/>
        </w:rPr>
        <w:t xml:space="preserve"> used slightly different wording but agreed on the distinction.</w:t>
      </w:r>
    </w:p>
  </w:footnote>
  <w:footnote w:id="5">
    <w:p w14:paraId="5D436F8E" w14:textId="19413E58" w:rsidR="005470FD" w:rsidRPr="00D46602" w:rsidRDefault="005470FD" w:rsidP="00C04530">
      <w:pPr>
        <w:pStyle w:val="FootnoteText"/>
        <w:spacing w:line="240" w:lineRule="auto"/>
        <w:rPr>
          <w:lang w:val="en-US"/>
        </w:rPr>
      </w:pPr>
      <w:r>
        <w:rPr>
          <w:rStyle w:val="FootnoteReference"/>
        </w:rPr>
        <w:footnoteRef/>
      </w:r>
      <w:r>
        <w:t xml:space="preserve"> </w:t>
      </w:r>
      <w:r w:rsidRPr="00D46602">
        <w:rPr>
          <w:lang w:val="en-US"/>
        </w:rPr>
        <w:t>The</w:t>
      </w:r>
      <w:r w:rsidR="0068669D" w:rsidRPr="00D46602">
        <w:rPr>
          <w:lang w:val="en-US"/>
        </w:rPr>
        <w:t xml:space="preserve"> relevant parts of the</w:t>
      </w:r>
      <w:r w:rsidRPr="00D46602">
        <w:rPr>
          <w:lang w:val="en-US"/>
        </w:rPr>
        <w:t xml:space="preserve"> definition of administrative action </w:t>
      </w:r>
      <w:r w:rsidR="00E0489A">
        <w:rPr>
          <w:lang w:val="en-US"/>
        </w:rPr>
        <w:t>are</w:t>
      </w:r>
      <w:r w:rsidRPr="00D46602">
        <w:rPr>
          <w:lang w:val="en-US"/>
        </w:rPr>
        <w:t>:</w:t>
      </w:r>
    </w:p>
    <w:p w14:paraId="4E8BE917" w14:textId="73EBCEA3" w:rsidR="0068669D" w:rsidRPr="00D46602" w:rsidRDefault="0068669D" w:rsidP="00C04530">
      <w:pPr>
        <w:pStyle w:val="FootnoteText"/>
        <w:spacing w:line="240" w:lineRule="auto"/>
      </w:pPr>
      <w:r w:rsidRPr="00D46602">
        <w:rPr>
          <w:lang w:val="en-US"/>
        </w:rPr>
        <w:t>‘</w:t>
      </w:r>
      <w:r w:rsidR="00083BD1">
        <w:rPr>
          <w:lang w:val="en-US"/>
        </w:rPr>
        <w:t xml:space="preserve">. . . </w:t>
      </w:r>
      <w:r w:rsidRPr="00D46602">
        <w:t>any decision taken, or any failure to take a decision, by-</w:t>
      </w:r>
    </w:p>
    <w:p w14:paraId="687A037A" w14:textId="0E4DB409" w:rsidR="0068669D" w:rsidRPr="0068669D" w:rsidRDefault="0068669D" w:rsidP="00C04530">
      <w:pPr>
        <w:pStyle w:val="FootnoteText"/>
        <w:spacing w:line="240" w:lineRule="auto"/>
      </w:pPr>
      <w:r w:rsidRPr="0068669D">
        <w:t> </w:t>
      </w:r>
      <w:bookmarkStart w:id="1" w:name="0-0-0-130825"/>
      <w:bookmarkEnd w:id="1"/>
      <w:r w:rsidRPr="0068669D">
        <w:rPr>
          <w:i/>
          <w:iCs/>
        </w:rPr>
        <w:t>(a)</w:t>
      </w:r>
      <w:r w:rsidRPr="0068669D">
        <w:t>   an organ of state, when-</w:t>
      </w:r>
    </w:p>
    <w:p w14:paraId="2BE43D48" w14:textId="10FBA575" w:rsidR="0068669D" w:rsidRPr="0068669D" w:rsidRDefault="0068669D" w:rsidP="00C04530">
      <w:pPr>
        <w:pStyle w:val="FootnoteText"/>
        <w:spacing w:line="240" w:lineRule="auto"/>
      </w:pPr>
      <w:r w:rsidRPr="0068669D">
        <w:t>     </w:t>
      </w:r>
      <w:bookmarkStart w:id="2" w:name="0-0-0-130827"/>
      <w:bookmarkEnd w:id="2"/>
      <w:r w:rsidR="00E0489A">
        <w:t xml:space="preserve">   </w:t>
      </w:r>
      <w:hyperlink r:id="rId1" w:tgtFrame="main" w:history="1">
        <w:r w:rsidRPr="0068669D">
          <w:rPr>
            <w:rStyle w:val="Hyperlink"/>
            <w:color w:val="auto"/>
            <w:u w:val="none"/>
          </w:rPr>
          <w:t>(i)</w:t>
        </w:r>
      </w:hyperlink>
      <w:r w:rsidRPr="0068669D">
        <w:t>   exercising a power in terms of the Constitution or a provincial constitution; or</w:t>
      </w:r>
    </w:p>
    <w:p w14:paraId="6E0FC473" w14:textId="74DA3F84" w:rsidR="0068669D" w:rsidRPr="0068669D" w:rsidRDefault="0068669D" w:rsidP="00C04530">
      <w:pPr>
        <w:pStyle w:val="FootnoteText"/>
        <w:spacing w:line="240" w:lineRule="auto"/>
      </w:pPr>
      <w:r w:rsidRPr="0068669D">
        <w:t> </w:t>
      </w:r>
      <w:r w:rsidR="00E0489A">
        <w:t xml:space="preserve"> </w:t>
      </w:r>
      <w:r w:rsidRPr="0068669D">
        <w:t>   </w:t>
      </w:r>
      <w:bookmarkStart w:id="3" w:name="0-0-0-130831"/>
      <w:bookmarkEnd w:id="3"/>
      <w:r w:rsidR="00E0489A">
        <w:t xml:space="preserve">   </w:t>
      </w:r>
      <w:hyperlink r:id="rId2" w:tgtFrame="main" w:history="1">
        <w:r w:rsidRPr="0068669D">
          <w:rPr>
            <w:rStyle w:val="Hyperlink"/>
            <w:color w:val="auto"/>
            <w:u w:val="none"/>
          </w:rPr>
          <w:t>(ii)</w:t>
        </w:r>
      </w:hyperlink>
      <w:r w:rsidRPr="0068669D">
        <w:t>   exercising a public power or performing a public function in terms of any legislation; or</w:t>
      </w:r>
    </w:p>
    <w:p w14:paraId="6DF0730D" w14:textId="4204BD67" w:rsidR="0068669D" w:rsidRPr="0068669D" w:rsidRDefault="0068669D" w:rsidP="00C04530">
      <w:pPr>
        <w:pStyle w:val="FootnoteText"/>
        <w:spacing w:line="240" w:lineRule="auto"/>
      </w:pPr>
      <w:r w:rsidRPr="0068669D">
        <w:t> </w:t>
      </w:r>
      <w:bookmarkStart w:id="4" w:name="0-0-0-130835"/>
      <w:bookmarkEnd w:id="4"/>
      <w:r w:rsidRPr="0068669D">
        <w:rPr>
          <w:i/>
          <w:iCs/>
        </w:rPr>
        <w:t>(b)</w:t>
      </w:r>
      <w:r w:rsidRPr="0068669D">
        <w:t>   a natural or juristic person, other than an organ of state, when exercising a public power or performing a public function in terms of an empowering provision,</w:t>
      </w:r>
    </w:p>
    <w:p w14:paraId="65B9357A" w14:textId="3D06C497" w:rsidR="0068669D" w:rsidRPr="005470FD" w:rsidRDefault="0068669D" w:rsidP="00C04530">
      <w:pPr>
        <w:pStyle w:val="FootnoteText"/>
        <w:spacing w:line="240" w:lineRule="auto"/>
        <w:rPr>
          <w:lang w:val="en-US"/>
        </w:rPr>
      </w:pPr>
      <w:r w:rsidRPr="0068669D">
        <w:t>which adversely affects the rights of any person and which has a direct, external legal effect</w:t>
      </w:r>
      <w:r w:rsidR="00D46602">
        <w:t xml:space="preserve"> . . .</w:t>
      </w:r>
      <w:r w:rsidR="00DC40D8">
        <w:t>’</w:t>
      </w:r>
      <w:r w:rsidR="00D46602">
        <w:t>.</w:t>
      </w:r>
      <w:r w:rsidRPr="0068669D">
        <w:t> </w:t>
      </w:r>
    </w:p>
  </w:footnote>
  <w:footnote w:id="6">
    <w:p w14:paraId="1BABBB7B" w14:textId="77777777" w:rsidR="00BD5040" w:rsidRDefault="00BD5040" w:rsidP="00C04530">
      <w:pPr>
        <w:pStyle w:val="FootnoteText"/>
        <w:spacing w:line="240" w:lineRule="auto"/>
        <w:rPr>
          <w:lang w:val="en-US"/>
        </w:rPr>
      </w:pPr>
      <w:r>
        <w:rPr>
          <w:rStyle w:val="FootnoteReference"/>
        </w:rPr>
        <w:footnoteRef/>
      </w:r>
      <w:r>
        <w:t xml:space="preserve"> </w:t>
      </w:r>
      <w:r>
        <w:rPr>
          <w:lang w:val="en-US"/>
        </w:rPr>
        <w:t>Section 82(1) of the Tax Administration Act 28 of 2011 (the TAA) which provides:</w:t>
      </w:r>
    </w:p>
    <w:p w14:paraId="264411B0" w14:textId="77777777" w:rsidR="00BD5040" w:rsidRPr="00BC3EF9" w:rsidRDefault="00BD5040" w:rsidP="00C04530">
      <w:pPr>
        <w:pStyle w:val="FootnoteText"/>
        <w:spacing w:line="240" w:lineRule="auto"/>
        <w:rPr>
          <w:lang w:val="en-US"/>
        </w:rPr>
      </w:pPr>
      <w:r>
        <w:rPr>
          <w:lang w:val="en-US"/>
        </w:rPr>
        <w:t>‘If an “advance ruling” applies to a person in accordance with section 83, then SARS must interpret or apply the applicable tax Act to the person in accordance with the ruling.’</w:t>
      </w:r>
    </w:p>
  </w:footnote>
  <w:footnote w:id="7">
    <w:p w14:paraId="7515CFC6" w14:textId="42C2D300" w:rsidR="004A7996" w:rsidRPr="005F7D94" w:rsidRDefault="004A7996" w:rsidP="000A5CFE">
      <w:pPr>
        <w:pStyle w:val="FootnoteText"/>
        <w:spacing w:line="240" w:lineRule="auto"/>
        <w:rPr>
          <w:lang w:val="en-US"/>
        </w:rPr>
      </w:pPr>
      <w:r w:rsidRPr="005F7D94">
        <w:rPr>
          <w:rStyle w:val="FootnoteReference"/>
        </w:rPr>
        <w:footnoteRef/>
      </w:r>
      <w:r w:rsidRPr="005F7D94">
        <w:t xml:space="preserve"> </w:t>
      </w:r>
      <w:r w:rsidR="007571A4" w:rsidRPr="005F7D94">
        <w:t>10</w:t>
      </w:r>
      <w:r w:rsidR="000D4E66" w:rsidRPr="005F7D94">
        <w:t xml:space="preserve"> </w:t>
      </w:r>
      <w:r w:rsidR="00CB1DE5" w:rsidRPr="005F7D94">
        <w:rPr>
          <w:i/>
          <w:iCs/>
          <w:lang w:val="en-US"/>
        </w:rPr>
        <w:t>Lawsa</w:t>
      </w:r>
      <w:r w:rsidR="00CB1DE5" w:rsidRPr="005F7D94">
        <w:rPr>
          <w:lang w:val="en-US"/>
        </w:rPr>
        <w:t xml:space="preserve"> </w:t>
      </w:r>
      <w:r w:rsidR="007571A4" w:rsidRPr="005F7D94">
        <w:rPr>
          <w:lang w:val="en-US"/>
        </w:rPr>
        <w:t xml:space="preserve">3 ed </w:t>
      </w:r>
      <w:r w:rsidR="00CB1DE5" w:rsidRPr="005F7D94">
        <w:rPr>
          <w:lang w:val="en-US"/>
        </w:rPr>
        <w:t>para 488 explains</w:t>
      </w:r>
      <w:r w:rsidR="000A5CFE" w:rsidRPr="005F7D94">
        <w:rPr>
          <w:lang w:val="en-US"/>
        </w:rPr>
        <w:t>:</w:t>
      </w:r>
    </w:p>
    <w:p w14:paraId="6BC76213" w14:textId="54CDB577" w:rsidR="000A5CFE" w:rsidRPr="005F7D94" w:rsidRDefault="000A5CFE" w:rsidP="000A5CFE">
      <w:pPr>
        <w:pStyle w:val="FootnoteText"/>
        <w:spacing w:line="240" w:lineRule="auto"/>
      </w:pPr>
      <w:r w:rsidRPr="005F7D94">
        <w:rPr>
          <w:lang w:val="en-US"/>
        </w:rPr>
        <w:t>‘</w:t>
      </w:r>
      <w:r w:rsidRPr="005F7D94">
        <w:t>An appeal from the tax court lies to the full bench of the provincial division of the High Court having jurisdiction in the area where the tax court sat, or in two circumstances to the Supreme Court of Appeal. Those circumstances are where the court was initially composed of three judges and where the president of the tax court grants leave for a direct appeal.</w:t>
      </w:r>
      <w:r w:rsidR="00BD5325" w:rsidRPr="005F7D94">
        <w:t>’</w:t>
      </w:r>
    </w:p>
    <w:p w14:paraId="22099E43" w14:textId="2D88E610" w:rsidR="000514C7" w:rsidRPr="005F7D94" w:rsidRDefault="000514C7" w:rsidP="000A5CFE">
      <w:pPr>
        <w:pStyle w:val="FootnoteText"/>
        <w:spacing w:line="240" w:lineRule="auto"/>
      </w:pPr>
      <w:r w:rsidRPr="005F7D94">
        <w:t>As authority for an appeal lying to the full bench rather than the full court, the learned author says, in footnote 18:</w:t>
      </w:r>
    </w:p>
    <w:p w14:paraId="0D49F69D" w14:textId="4E7C7C86" w:rsidR="000514C7" w:rsidRPr="004A7996" w:rsidRDefault="000514C7" w:rsidP="000A5CFE">
      <w:pPr>
        <w:pStyle w:val="FootnoteText"/>
        <w:spacing w:line="240" w:lineRule="auto"/>
        <w:rPr>
          <w:lang w:val="en-US"/>
        </w:rPr>
      </w:pPr>
      <w:r w:rsidRPr="005F7D94">
        <w:t>‘The language of s 133(2) has not been amended to take account of the Superior Courts Act 10 of 2013. As a result it is unclear whether an appeal from a tax court may lie to the full bench of a division sitting at a local seat of that division. It is submitted that it can in the light of s 6(4)(a) of the latter Act.’</w:t>
      </w:r>
    </w:p>
  </w:footnote>
  <w:footnote w:id="8">
    <w:p w14:paraId="09BD18FB" w14:textId="77777777" w:rsidR="00E038BB" w:rsidRPr="00703190" w:rsidRDefault="00E038BB" w:rsidP="000A5CFE">
      <w:pPr>
        <w:pStyle w:val="FootnoteText"/>
        <w:spacing w:line="240" w:lineRule="auto"/>
        <w:rPr>
          <w:lang w:val="en-US"/>
        </w:rPr>
      </w:pPr>
      <w:r>
        <w:rPr>
          <w:rStyle w:val="FootnoteReference"/>
        </w:rPr>
        <w:footnoteRef/>
      </w:r>
      <w:r>
        <w:t xml:space="preserve"> </w:t>
      </w:r>
      <w:r w:rsidRPr="00703190">
        <w:rPr>
          <w:i/>
          <w:iCs/>
        </w:rPr>
        <w:t>Commissioner for the South African Revenue Service v Langholm Farms (Pty) Ltd</w:t>
      </w:r>
      <w:r w:rsidRPr="00703190">
        <w:t xml:space="preserve"> [2019] ZASCA 163</w:t>
      </w:r>
      <w:r>
        <w:t>.</w:t>
      </w:r>
    </w:p>
  </w:footnote>
  <w:footnote w:id="9">
    <w:p w14:paraId="1C7FECF1" w14:textId="3F9B9F45" w:rsidR="00E038BB" w:rsidRPr="00CB4D2D" w:rsidRDefault="00E038BB" w:rsidP="00512206">
      <w:pPr>
        <w:pStyle w:val="FootnoteText"/>
        <w:spacing w:line="240" w:lineRule="auto"/>
        <w:rPr>
          <w:lang w:val="en-US"/>
        </w:rPr>
      </w:pPr>
      <w:r>
        <w:rPr>
          <w:rStyle w:val="FootnoteReference"/>
        </w:rPr>
        <w:footnoteRef/>
      </w:r>
      <w:r>
        <w:t xml:space="preserve"> </w:t>
      </w:r>
      <w:r>
        <w:rPr>
          <w:lang w:val="en-US"/>
        </w:rPr>
        <w:t xml:space="preserve">Ibid para 10. The reference is to </w:t>
      </w:r>
      <w:r w:rsidRPr="00BC7F9A">
        <w:rPr>
          <w:i/>
          <w:iCs/>
        </w:rPr>
        <w:t xml:space="preserve">Metcash Trading Limited v Commissioner South African Revenue Services </w:t>
      </w:r>
      <w:r w:rsidR="00B00A70">
        <w:rPr>
          <w:i/>
          <w:iCs/>
        </w:rPr>
        <w:t>and Another</w:t>
      </w:r>
      <w:r w:rsidRPr="00BC7F9A">
        <w:t xml:space="preserve"> [2000] ZACC 21; 2001 (1) SA 1109 (CC) para 44</w:t>
      </w:r>
      <w:r>
        <w:t>.</w:t>
      </w:r>
    </w:p>
  </w:footnote>
  <w:footnote w:id="10">
    <w:p w14:paraId="65F92B03" w14:textId="77777777" w:rsidR="005B57DE" w:rsidRPr="00D446A9" w:rsidRDefault="005B57DE" w:rsidP="000D171D">
      <w:pPr>
        <w:pStyle w:val="FootnoteText"/>
        <w:spacing w:line="240" w:lineRule="auto"/>
        <w:rPr>
          <w:lang w:val="en-US"/>
        </w:rPr>
      </w:pPr>
      <w:r>
        <w:rPr>
          <w:rStyle w:val="FootnoteReference"/>
        </w:rPr>
        <w:footnoteRef/>
      </w:r>
      <w:r>
        <w:t xml:space="preserve"> </w:t>
      </w:r>
      <w:r w:rsidRPr="00D446A9">
        <w:rPr>
          <w:i/>
          <w:iCs/>
        </w:rPr>
        <w:t>Metcash</w:t>
      </w:r>
      <w:r>
        <w:t xml:space="preserve"> para 71.</w:t>
      </w:r>
    </w:p>
  </w:footnote>
  <w:footnote w:id="11">
    <w:p w14:paraId="3727D859" w14:textId="4E1127FE" w:rsidR="006A6938" w:rsidRPr="006A6938" w:rsidRDefault="006A6938" w:rsidP="000D171D">
      <w:pPr>
        <w:pStyle w:val="FootnoteText"/>
        <w:spacing w:line="240" w:lineRule="auto"/>
        <w:rPr>
          <w:lang w:val="en-US"/>
        </w:rPr>
      </w:pPr>
      <w:r>
        <w:rPr>
          <w:rStyle w:val="FootnoteReference"/>
        </w:rPr>
        <w:footnoteRef/>
      </w:r>
      <w:r>
        <w:t xml:space="preserve"> </w:t>
      </w:r>
      <w:r w:rsidRPr="006A6938">
        <w:rPr>
          <w:i/>
          <w:iCs/>
        </w:rPr>
        <w:t>Friedman and Others NNO v Commissioner for Inland Revenue: In re Phillip Frame Will Trust v Commissioner for Inland Revenue</w:t>
      </w:r>
      <w:r>
        <w:t xml:space="preserve"> </w:t>
      </w:r>
      <w:r w:rsidR="00395AE5" w:rsidRPr="00395AE5">
        <w:t>1991 (2) SA 340 (W)</w:t>
      </w:r>
      <w:r w:rsidR="00385FFC">
        <w:t xml:space="preserve"> at 341I-J</w:t>
      </w:r>
      <w:r w:rsidR="00395AE5" w:rsidRPr="00395AE5">
        <w:t>.</w:t>
      </w:r>
      <w:r w:rsidR="00B62288">
        <w:t xml:space="preserve"> The judgment of McCreath J was confirmed by this Court in </w:t>
      </w:r>
      <w:r w:rsidR="00B62288" w:rsidRPr="00B62288">
        <w:rPr>
          <w:i/>
          <w:iCs/>
        </w:rPr>
        <w:t>Commissioner for Inland Revenue v Friedman and Others NNO</w:t>
      </w:r>
      <w:r w:rsidR="00B62288" w:rsidRPr="00B62288">
        <w:t xml:space="preserve"> </w:t>
      </w:r>
      <w:r w:rsidR="00126156" w:rsidRPr="00126156">
        <w:t>[1992] ZASCA 190; 1993 (1) SA 353 (A); [1993] 1 All SA 306 (A)</w:t>
      </w:r>
      <w:r w:rsidR="00126156">
        <w:t>. It</w:t>
      </w:r>
      <w:r w:rsidR="00011373">
        <w:t xml:space="preserve"> deal</w:t>
      </w:r>
      <w:r w:rsidR="00126156">
        <w:t>t</w:t>
      </w:r>
      <w:r w:rsidR="00011373">
        <w:t xml:space="preserve"> with the merits of the declaration granted by him </w:t>
      </w:r>
      <w:r w:rsidR="00572F19">
        <w:t>without discussion of the point at issue here.</w:t>
      </w:r>
    </w:p>
  </w:footnote>
  <w:footnote w:id="12">
    <w:p w14:paraId="427EC3A5" w14:textId="73A2105C" w:rsidR="00D309B5" w:rsidRPr="00D309B5" w:rsidRDefault="00D309B5" w:rsidP="00D309B5">
      <w:pPr>
        <w:pStyle w:val="FootnoteText"/>
        <w:spacing w:line="240" w:lineRule="auto"/>
        <w:rPr>
          <w:lang w:val="en-US"/>
        </w:rPr>
      </w:pPr>
      <w:r>
        <w:rPr>
          <w:rStyle w:val="FootnoteReference"/>
        </w:rPr>
        <w:footnoteRef/>
      </w:r>
      <w:r>
        <w:t xml:space="preserve"> </w:t>
      </w:r>
      <w:r>
        <w:rPr>
          <w:lang w:val="en-US"/>
        </w:rPr>
        <w:t>Footnote 6.</w:t>
      </w:r>
    </w:p>
  </w:footnote>
  <w:footnote w:id="13">
    <w:p w14:paraId="011A7499" w14:textId="79D46F87" w:rsidR="00D309B5" w:rsidRPr="00D309B5" w:rsidRDefault="00D309B5" w:rsidP="00D309B5">
      <w:pPr>
        <w:pStyle w:val="FootnoteText"/>
        <w:spacing w:line="240" w:lineRule="auto"/>
        <w:rPr>
          <w:lang w:val="en-US"/>
        </w:rPr>
      </w:pPr>
      <w:r>
        <w:rPr>
          <w:rStyle w:val="FootnoteReference"/>
        </w:rPr>
        <w:footnoteRef/>
      </w:r>
      <w:r>
        <w:t xml:space="preserve"> </w:t>
      </w:r>
      <w:r>
        <w:rPr>
          <w:lang w:val="en-US"/>
        </w:rPr>
        <w:t>Footnote 9.</w:t>
      </w:r>
    </w:p>
  </w:footnote>
  <w:footnote w:id="14">
    <w:p w14:paraId="0CA56A3E" w14:textId="6C5F4AEF" w:rsidR="00605A66" w:rsidRPr="00605A66" w:rsidRDefault="00605A66" w:rsidP="00D309B5">
      <w:pPr>
        <w:pStyle w:val="FootnoteText"/>
        <w:spacing w:line="240" w:lineRule="auto"/>
        <w:rPr>
          <w:lang w:val="en-US"/>
        </w:rPr>
      </w:pPr>
      <w:r>
        <w:rPr>
          <w:rStyle w:val="FootnoteReference"/>
        </w:rPr>
        <w:footnoteRef/>
      </w:r>
      <w:r>
        <w:t xml:space="preserve"> </w:t>
      </w:r>
      <w:r w:rsidRPr="00605A66">
        <w:rPr>
          <w:bCs/>
          <w:i/>
          <w:iCs/>
        </w:rPr>
        <w:t>Chancellor, Masters and Scholars of the University of Oxford v Commissioner for Inland Revenue</w:t>
      </w:r>
      <w:r w:rsidRPr="00605A66">
        <w:rPr>
          <w:bCs/>
        </w:rPr>
        <w:t xml:space="preserve"> </w:t>
      </w:r>
      <w:r w:rsidR="00126156" w:rsidRPr="00126156">
        <w:rPr>
          <w:bCs/>
        </w:rPr>
        <w:t>[1995] ZASCA 157; 1996 (1) SA 1196 (SCA); [1996] 1 All SA 287 (A</w:t>
      </w:r>
      <w:r w:rsidRPr="00605A66">
        <w:rPr>
          <w:bCs/>
        </w:rPr>
        <w:t>)</w:t>
      </w:r>
      <w:r>
        <w:rPr>
          <w:bCs/>
        </w:rPr>
        <w:t>.</w:t>
      </w:r>
    </w:p>
  </w:footnote>
  <w:footnote w:id="15">
    <w:p w14:paraId="5193705E" w14:textId="3EE9564B" w:rsidR="007F6C6F" w:rsidRPr="000C4C2F" w:rsidRDefault="007F6C6F" w:rsidP="00D309B5">
      <w:pPr>
        <w:pStyle w:val="FootnoteText"/>
        <w:spacing w:line="240" w:lineRule="auto"/>
        <w:rPr>
          <w:lang w:val="en-US"/>
        </w:rPr>
      </w:pPr>
      <w:r>
        <w:rPr>
          <w:rStyle w:val="FootnoteReference"/>
        </w:rPr>
        <w:footnoteRef/>
      </w:r>
      <w:r>
        <w:t xml:space="preserve"> </w:t>
      </w:r>
      <w:r w:rsidRPr="000C4C2F">
        <w:rPr>
          <w:bCs/>
          <w:i/>
          <w:iCs/>
        </w:rPr>
        <w:t>University of Oxford</w:t>
      </w:r>
      <w:r>
        <w:rPr>
          <w:bCs/>
        </w:rPr>
        <w:t xml:space="preserve"> at 1202C-E.</w:t>
      </w:r>
    </w:p>
  </w:footnote>
  <w:footnote w:id="16">
    <w:p w14:paraId="1A182446" w14:textId="4E0B9AE8" w:rsidR="00E252CA" w:rsidRPr="00E252CA" w:rsidRDefault="00E252CA" w:rsidP="00D309B5">
      <w:pPr>
        <w:pStyle w:val="FootnoteText"/>
        <w:spacing w:line="240" w:lineRule="auto"/>
        <w:rPr>
          <w:lang w:val="en-US"/>
        </w:rPr>
      </w:pPr>
      <w:r>
        <w:rPr>
          <w:rStyle w:val="FootnoteReference"/>
        </w:rPr>
        <w:footnoteRef/>
      </w:r>
      <w:r>
        <w:t xml:space="preserve"> </w:t>
      </w:r>
      <w:r w:rsidRPr="00E252CA">
        <w:rPr>
          <w:i/>
          <w:iCs/>
        </w:rPr>
        <w:t>Commissioner for Inland Revenue v Shell Southern Africa Pension Fund</w:t>
      </w:r>
      <w:r w:rsidRPr="00E252CA">
        <w:rPr>
          <w:bCs/>
        </w:rPr>
        <w:t xml:space="preserve"> 1984 (1) SA 672 (A)</w:t>
      </w:r>
      <w:r>
        <w:rPr>
          <w:bCs/>
        </w:rPr>
        <w:t>.</w:t>
      </w:r>
    </w:p>
  </w:footnote>
  <w:footnote w:id="17">
    <w:p w14:paraId="12E9FFF6" w14:textId="1615B36A" w:rsidR="00FC278F" w:rsidRPr="00FC278F" w:rsidRDefault="00FC278F" w:rsidP="00D309B5">
      <w:pPr>
        <w:pStyle w:val="FootnoteText"/>
        <w:spacing w:line="240" w:lineRule="auto"/>
        <w:rPr>
          <w:lang w:val="en-US"/>
        </w:rPr>
      </w:pPr>
      <w:r>
        <w:rPr>
          <w:rStyle w:val="FootnoteReference"/>
        </w:rPr>
        <w:footnoteRef/>
      </w:r>
      <w:r>
        <w:t xml:space="preserve"> </w:t>
      </w:r>
      <w:r w:rsidRPr="00FC278F">
        <w:rPr>
          <w:bCs/>
          <w:i/>
          <w:iCs/>
        </w:rPr>
        <w:t>Shell’s Annandale Farm (Pty) Ltd v Commissioner, South African Revenue Service</w:t>
      </w:r>
      <w:r w:rsidRPr="00FC278F">
        <w:rPr>
          <w:bCs/>
        </w:rPr>
        <w:t xml:space="preserve"> 2000 (3) SA 564 (C)</w:t>
      </w:r>
      <w:r>
        <w:rPr>
          <w:bCs/>
        </w:rPr>
        <w:t>.</w:t>
      </w:r>
    </w:p>
  </w:footnote>
  <w:footnote w:id="18">
    <w:p w14:paraId="0B9A61E6" w14:textId="573F1529" w:rsidR="00527DB6" w:rsidRPr="003D1ECA" w:rsidRDefault="00527DB6" w:rsidP="003D1ECA">
      <w:pPr>
        <w:pStyle w:val="FootnoteText"/>
        <w:spacing w:line="240" w:lineRule="auto"/>
        <w:rPr>
          <w:lang w:val="en-US"/>
        </w:rPr>
      </w:pPr>
      <w:r>
        <w:rPr>
          <w:rStyle w:val="FootnoteReference"/>
        </w:rPr>
        <w:footnoteRef/>
      </w:r>
      <w:r>
        <w:t xml:space="preserve"> </w:t>
      </w:r>
      <w:r w:rsidRPr="00527DB6">
        <w:rPr>
          <w:i/>
          <w:iCs/>
        </w:rPr>
        <w:t>Family Benefit Friendly Society v Commissioner for Inland Revenue and Another</w:t>
      </w:r>
      <w:r w:rsidR="003D1ECA">
        <w:t xml:space="preserve"> 1995 (4) SA 120 (T)</w:t>
      </w:r>
      <w:r w:rsidR="00C36AAA">
        <w:t xml:space="preserve"> at 126C.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F0305C" w:rsidRDefault="007C1DE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70D305D0"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259">
      <w:rPr>
        <w:rStyle w:val="PageNumber"/>
        <w:noProof/>
      </w:rPr>
      <w:t>17</w:t>
    </w:r>
    <w:r>
      <w:rPr>
        <w:rStyle w:val="PageNumber"/>
      </w:rPr>
      <w:fldChar w:fldCharType="end"/>
    </w:r>
  </w:p>
  <w:p w14:paraId="0B7E1CB3" w14:textId="77777777" w:rsidR="00F0305C" w:rsidRDefault="007C1DE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E7929"/>
    <w:multiLevelType w:val="hybridMultilevel"/>
    <w:tmpl w:val="18CA7EAC"/>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A35"/>
    <w:multiLevelType w:val="hybridMultilevel"/>
    <w:tmpl w:val="E10879FC"/>
    <w:lvl w:ilvl="0" w:tplc="F9E0D32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AF73EC"/>
    <w:multiLevelType w:val="hybridMultilevel"/>
    <w:tmpl w:val="E910C608"/>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296CC1"/>
    <w:multiLevelType w:val="hybridMultilevel"/>
    <w:tmpl w:val="C6960A74"/>
    <w:lvl w:ilvl="0" w:tplc="FBCC62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91554B"/>
    <w:multiLevelType w:val="hybridMultilevel"/>
    <w:tmpl w:val="80F8245C"/>
    <w:lvl w:ilvl="0" w:tplc="0CCEBB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D75064"/>
    <w:multiLevelType w:val="hybridMultilevel"/>
    <w:tmpl w:val="D0ECA03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770EB1"/>
    <w:multiLevelType w:val="hybridMultilevel"/>
    <w:tmpl w:val="A010315C"/>
    <w:lvl w:ilvl="0" w:tplc="FFFFFFFF">
      <w:start w:val="1"/>
      <w:numFmt w:val="decimal"/>
      <w:lvlText w:val="[%1]"/>
      <w:lvlJc w:val="left"/>
      <w:pPr>
        <w:ind w:left="142" w:firstLine="0"/>
      </w:pPr>
      <w:rPr>
        <w:rFonts w:ascii="Times New Roman" w:hAnsi="Times New Roman" w:hint="default"/>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9"/>
  </w:num>
  <w:num w:numId="3">
    <w:abstractNumId w:val="3"/>
  </w:num>
  <w:num w:numId="4">
    <w:abstractNumId w:val="14"/>
  </w:num>
  <w:num w:numId="5">
    <w:abstractNumId w:val="19"/>
  </w:num>
  <w:num w:numId="6">
    <w:abstractNumId w:val="23"/>
  </w:num>
  <w:num w:numId="7">
    <w:abstractNumId w:val="16"/>
  </w:num>
  <w:num w:numId="8">
    <w:abstractNumId w:val="27"/>
  </w:num>
  <w:num w:numId="9">
    <w:abstractNumId w:val="28"/>
  </w:num>
  <w:num w:numId="10">
    <w:abstractNumId w:val="12"/>
  </w:num>
  <w:num w:numId="11">
    <w:abstractNumId w:val="37"/>
  </w:num>
  <w:num w:numId="12">
    <w:abstractNumId w:val="24"/>
  </w:num>
  <w:num w:numId="13">
    <w:abstractNumId w:val="38"/>
  </w:num>
  <w:num w:numId="14">
    <w:abstractNumId w:val="42"/>
  </w:num>
  <w:num w:numId="15">
    <w:abstractNumId w:val="7"/>
  </w:num>
  <w:num w:numId="16">
    <w:abstractNumId w:val="25"/>
  </w:num>
  <w:num w:numId="17">
    <w:abstractNumId w:val="17"/>
  </w:num>
  <w:num w:numId="18">
    <w:abstractNumId w:val="33"/>
  </w:num>
  <w:num w:numId="19">
    <w:abstractNumId w:val="31"/>
  </w:num>
  <w:num w:numId="20">
    <w:abstractNumId w:val="34"/>
  </w:num>
  <w:num w:numId="21">
    <w:abstractNumId w:val="0"/>
  </w:num>
  <w:num w:numId="22">
    <w:abstractNumId w:val="41"/>
  </w:num>
  <w:num w:numId="23">
    <w:abstractNumId w:val="21"/>
  </w:num>
  <w:num w:numId="24">
    <w:abstractNumId w:val="6"/>
  </w:num>
  <w:num w:numId="25">
    <w:abstractNumId w:val="36"/>
  </w:num>
  <w:num w:numId="26">
    <w:abstractNumId w:val="35"/>
  </w:num>
  <w:num w:numId="27">
    <w:abstractNumId w:val="8"/>
  </w:num>
  <w:num w:numId="28">
    <w:abstractNumId w:val="29"/>
  </w:num>
  <w:num w:numId="29">
    <w:abstractNumId w:val="15"/>
  </w:num>
  <w:num w:numId="30">
    <w:abstractNumId w:val="5"/>
  </w:num>
  <w:num w:numId="31">
    <w:abstractNumId w:val="26"/>
  </w:num>
  <w:num w:numId="32">
    <w:abstractNumId w:val="20"/>
  </w:num>
  <w:num w:numId="33">
    <w:abstractNumId w:val="30"/>
  </w:num>
  <w:num w:numId="34">
    <w:abstractNumId w:val="40"/>
  </w:num>
  <w:num w:numId="35">
    <w:abstractNumId w:val="32"/>
  </w:num>
  <w:num w:numId="36">
    <w:abstractNumId w:val="22"/>
  </w:num>
  <w:num w:numId="37">
    <w:abstractNumId w:val="13"/>
  </w:num>
  <w:num w:numId="38">
    <w:abstractNumId w:val="9"/>
  </w:num>
  <w:num w:numId="39">
    <w:abstractNumId w:val="2"/>
  </w:num>
  <w:num w:numId="40">
    <w:abstractNumId w:val="10"/>
  </w:num>
  <w:num w:numId="41">
    <w:abstractNumId w:val="11"/>
  </w:num>
  <w:num w:numId="42">
    <w:abstractNumId w:val="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00504"/>
    <w:rsid w:val="00000932"/>
    <w:rsid w:val="00000D64"/>
    <w:rsid w:val="00001622"/>
    <w:rsid w:val="00001B1B"/>
    <w:rsid w:val="0000238D"/>
    <w:rsid w:val="00002623"/>
    <w:rsid w:val="000027CE"/>
    <w:rsid w:val="00003149"/>
    <w:rsid w:val="000035F0"/>
    <w:rsid w:val="00003B46"/>
    <w:rsid w:val="00004416"/>
    <w:rsid w:val="00004571"/>
    <w:rsid w:val="0000465C"/>
    <w:rsid w:val="00004956"/>
    <w:rsid w:val="00004CA7"/>
    <w:rsid w:val="00004FC6"/>
    <w:rsid w:val="00005BFB"/>
    <w:rsid w:val="00006091"/>
    <w:rsid w:val="00006309"/>
    <w:rsid w:val="0000656A"/>
    <w:rsid w:val="00006BB0"/>
    <w:rsid w:val="00006BC8"/>
    <w:rsid w:val="00007199"/>
    <w:rsid w:val="00007206"/>
    <w:rsid w:val="000073E1"/>
    <w:rsid w:val="000073E6"/>
    <w:rsid w:val="00007C99"/>
    <w:rsid w:val="00007DE2"/>
    <w:rsid w:val="00010647"/>
    <w:rsid w:val="000108BC"/>
    <w:rsid w:val="00010BBC"/>
    <w:rsid w:val="00010F72"/>
    <w:rsid w:val="00011373"/>
    <w:rsid w:val="000113AF"/>
    <w:rsid w:val="000115EA"/>
    <w:rsid w:val="00011629"/>
    <w:rsid w:val="000117C2"/>
    <w:rsid w:val="00011A40"/>
    <w:rsid w:val="00012D85"/>
    <w:rsid w:val="000132FC"/>
    <w:rsid w:val="000134D2"/>
    <w:rsid w:val="00013E9B"/>
    <w:rsid w:val="00014529"/>
    <w:rsid w:val="000145DC"/>
    <w:rsid w:val="00014864"/>
    <w:rsid w:val="00014C66"/>
    <w:rsid w:val="000154F3"/>
    <w:rsid w:val="00015578"/>
    <w:rsid w:val="0001558A"/>
    <w:rsid w:val="0001558F"/>
    <w:rsid w:val="0001559C"/>
    <w:rsid w:val="0001591A"/>
    <w:rsid w:val="000161A5"/>
    <w:rsid w:val="00016368"/>
    <w:rsid w:val="000163A4"/>
    <w:rsid w:val="00016F8C"/>
    <w:rsid w:val="000170C6"/>
    <w:rsid w:val="0001750E"/>
    <w:rsid w:val="0001771F"/>
    <w:rsid w:val="00017777"/>
    <w:rsid w:val="00017A7A"/>
    <w:rsid w:val="00017F4A"/>
    <w:rsid w:val="0002055D"/>
    <w:rsid w:val="0002073D"/>
    <w:rsid w:val="00020C1A"/>
    <w:rsid w:val="00023823"/>
    <w:rsid w:val="00023A34"/>
    <w:rsid w:val="00023B13"/>
    <w:rsid w:val="00023E92"/>
    <w:rsid w:val="000241E9"/>
    <w:rsid w:val="000242CE"/>
    <w:rsid w:val="000248C7"/>
    <w:rsid w:val="00024925"/>
    <w:rsid w:val="00024DB7"/>
    <w:rsid w:val="00024E4D"/>
    <w:rsid w:val="00024E84"/>
    <w:rsid w:val="00025133"/>
    <w:rsid w:val="0002590B"/>
    <w:rsid w:val="00025B1B"/>
    <w:rsid w:val="00025F5C"/>
    <w:rsid w:val="00026197"/>
    <w:rsid w:val="0002710E"/>
    <w:rsid w:val="00027466"/>
    <w:rsid w:val="00027632"/>
    <w:rsid w:val="0002772B"/>
    <w:rsid w:val="00027914"/>
    <w:rsid w:val="00027931"/>
    <w:rsid w:val="00027B17"/>
    <w:rsid w:val="00027C75"/>
    <w:rsid w:val="00027E77"/>
    <w:rsid w:val="00030116"/>
    <w:rsid w:val="0003041D"/>
    <w:rsid w:val="00030613"/>
    <w:rsid w:val="00030F79"/>
    <w:rsid w:val="0003112D"/>
    <w:rsid w:val="000311E7"/>
    <w:rsid w:val="000313AF"/>
    <w:rsid w:val="00031871"/>
    <w:rsid w:val="0003231E"/>
    <w:rsid w:val="0003233B"/>
    <w:rsid w:val="0003246A"/>
    <w:rsid w:val="00032621"/>
    <w:rsid w:val="00032BFE"/>
    <w:rsid w:val="00032E02"/>
    <w:rsid w:val="0003396B"/>
    <w:rsid w:val="00033B50"/>
    <w:rsid w:val="000342AB"/>
    <w:rsid w:val="00034DF5"/>
    <w:rsid w:val="00034FD9"/>
    <w:rsid w:val="00035199"/>
    <w:rsid w:val="000361E2"/>
    <w:rsid w:val="00036218"/>
    <w:rsid w:val="0003644F"/>
    <w:rsid w:val="00036FD3"/>
    <w:rsid w:val="000378FC"/>
    <w:rsid w:val="00037A68"/>
    <w:rsid w:val="000404EA"/>
    <w:rsid w:val="000409A4"/>
    <w:rsid w:val="00040A1A"/>
    <w:rsid w:val="00040D26"/>
    <w:rsid w:val="00040E09"/>
    <w:rsid w:val="0004105A"/>
    <w:rsid w:val="000416B5"/>
    <w:rsid w:val="000417D7"/>
    <w:rsid w:val="0004224A"/>
    <w:rsid w:val="0004248F"/>
    <w:rsid w:val="0004250D"/>
    <w:rsid w:val="00042B11"/>
    <w:rsid w:val="00043435"/>
    <w:rsid w:val="00043FF4"/>
    <w:rsid w:val="0004403B"/>
    <w:rsid w:val="00044627"/>
    <w:rsid w:val="00044628"/>
    <w:rsid w:val="000465B4"/>
    <w:rsid w:val="00046C7D"/>
    <w:rsid w:val="00046CD2"/>
    <w:rsid w:val="00046D6A"/>
    <w:rsid w:val="00047451"/>
    <w:rsid w:val="000474FA"/>
    <w:rsid w:val="00047699"/>
    <w:rsid w:val="0004788F"/>
    <w:rsid w:val="00047A69"/>
    <w:rsid w:val="00050019"/>
    <w:rsid w:val="00050270"/>
    <w:rsid w:val="00050372"/>
    <w:rsid w:val="00050A2C"/>
    <w:rsid w:val="00050C79"/>
    <w:rsid w:val="000514C7"/>
    <w:rsid w:val="00051E94"/>
    <w:rsid w:val="00051EB2"/>
    <w:rsid w:val="0005269A"/>
    <w:rsid w:val="00052C88"/>
    <w:rsid w:val="00053B76"/>
    <w:rsid w:val="00053CD1"/>
    <w:rsid w:val="00053D0A"/>
    <w:rsid w:val="00053D62"/>
    <w:rsid w:val="00054217"/>
    <w:rsid w:val="00054487"/>
    <w:rsid w:val="000545D4"/>
    <w:rsid w:val="0005535D"/>
    <w:rsid w:val="0005559C"/>
    <w:rsid w:val="00055A4B"/>
    <w:rsid w:val="00055BE1"/>
    <w:rsid w:val="000560CA"/>
    <w:rsid w:val="00056CB4"/>
    <w:rsid w:val="00056FC7"/>
    <w:rsid w:val="000576DE"/>
    <w:rsid w:val="00057AC9"/>
    <w:rsid w:val="00057B05"/>
    <w:rsid w:val="0006044F"/>
    <w:rsid w:val="00060CCD"/>
    <w:rsid w:val="00061258"/>
    <w:rsid w:val="00062040"/>
    <w:rsid w:val="000620AB"/>
    <w:rsid w:val="00062727"/>
    <w:rsid w:val="00062B38"/>
    <w:rsid w:val="0006320B"/>
    <w:rsid w:val="000634C7"/>
    <w:rsid w:val="000637E5"/>
    <w:rsid w:val="000640FB"/>
    <w:rsid w:val="0006422E"/>
    <w:rsid w:val="00064E0C"/>
    <w:rsid w:val="000651F5"/>
    <w:rsid w:val="00065739"/>
    <w:rsid w:val="00065A80"/>
    <w:rsid w:val="00066D57"/>
    <w:rsid w:val="0006786B"/>
    <w:rsid w:val="000679AF"/>
    <w:rsid w:val="00067C90"/>
    <w:rsid w:val="00067E5F"/>
    <w:rsid w:val="000708DD"/>
    <w:rsid w:val="0007138B"/>
    <w:rsid w:val="00071420"/>
    <w:rsid w:val="000716E0"/>
    <w:rsid w:val="00072059"/>
    <w:rsid w:val="00072BC2"/>
    <w:rsid w:val="00072D04"/>
    <w:rsid w:val="00072E6E"/>
    <w:rsid w:val="000736B9"/>
    <w:rsid w:val="00074C9D"/>
    <w:rsid w:val="0007548B"/>
    <w:rsid w:val="00076181"/>
    <w:rsid w:val="00076194"/>
    <w:rsid w:val="000762F1"/>
    <w:rsid w:val="00076360"/>
    <w:rsid w:val="00076A92"/>
    <w:rsid w:val="00076E15"/>
    <w:rsid w:val="00076ED3"/>
    <w:rsid w:val="000771A6"/>
    <w:rsid w:val="000777BC"/>
    <w:rsid w:val="000779D7"/>
    <w:rsid w:val="000779EF"/>
    <w:rsid w:val="00077C4C"/>
    <w:rsid w:val="00077D8A"/>
    <w:rsid w:val="000803D5"/>
    <w:rsid w:val="00080643"/>
    <w:rsid w:val="00080786"/>
    <w:rsid w:val="000807AD"/>
    <w:rsid w:val="0008135D"/>
    <w:rsid w:val="000818EA"/>
    <w:rsid w:val="00081A89"/>
    <w:rsid w:val="00082A3D"/>
    <w:rsid w:val="00082E7A"/>
    <w:rsid w:val="00083BD1"/>
    <w:rsid w:val="00084154"/>
    <w:rsid w:val="00084427"/>
    <w:rsid w:val="000845D8"/>
    <w:rsid w:val="00085609"/>
    <w:rsid w:val="00085C34"/>
    <w:rsid w:val="000863B6"/>
    <w:rsid w:val="000863F6"/>
    <w:rsid w:val="0008646A"/>
    <w:rsid w:val="000866BB"/>
    <w:rsid w:val="000870A2"/>
    <w:rsid w:val="00087302"/>
    <w:rsid w:val="000875CB"/>
    <w:rsid w:val="000875F8"/>
    <w:rsid w:val="00087BAD"/>
    <w:rsid w:val="00087D0E"/>
    <w:rsid w:val="00087F86"/>
    <w:rsid w:val="0009022C"/>
    <w:rsid w:val="000906C8"/>
    <w:rsid w:val="00090AAC"/>
    <w:rsid w:val="00090F1A"/>
    <w:rsid w:val="00091096"/>
    <w:rsid w:val="00091940"/>
    <w:rsid w:val="00091A6F"/>
    <w:rsid w:val="00091DCC"/>
    <w:rsid w:val="00092377"/>
    <w:rsid w:val="00092F87"/>
    <w:rsid w:val="00093030"/>
    <w:rsid w:val="000937F9"/>
    <w:rsid w:val="00093921"/>
    <w:rsid w:val="000939D6"/>
    <w:rsid w:val="00094098"/>
    <w:rsid w:val="00094160"/>
    <w:rsid w:val="0009473F"/>
    <w:rsid w:val="00094EB8"/>
    <w:rsid w:val="00094EBE"/>
    <w:rsid w:val="000956EF"/>
    <w:rsid w:val="00095ABA"/>
    <w:rsid w:val="00095C60"/>
    <w:rsid w:val="00096286"/>
    <w:rsid w:val="000962BF"/>
    <w:rsid w:val="00096910"/>
    <w:rsid w:val="00096B0E"/>
    <w:rsid w:val="00097704"/>
    <w:rsid w:val="00097A26"/>
    <w:rsid w:val="000A089E"/>
    <w:rsid w:val="000A0A9E"/>
    <w:rsid w:val="000A0C77"/>
    <w:rsid w:val="000A17B7"/>
    <w:rsid w:val="000A1916"/>
    <w:rsid w:val="000A252E"/>
    <w:rsid w:val="000A2E4C"/>
    <w:rsid w:val="000A3395"/>
    <w:rsid w:val="000A373C"/>
    <w:rsid w:val="000A3D8E"/>
    <w:rsid w:val="000A3E1C"/>
    <w:rsid w:val="000A3E8C"/>
    <w:rsid w:val="000A4759"/>
    <w:rsid w:val="000A50AB"/>
    <w:rsid w:val="000A5280"/>
    <w:rsid w:val="000A5721"/>
    <w:rsid w:val="000A59D8"/>
    <w:rsid w:val="000A5C30"/>
    <w:rsid w:val="000A5CFE"/>
    <w:rsid w:val="000A6340"/>
    <w:rsid w:val="000A6908"/>
    <w:rsid w:val="000A6E9D"/>
    <w:rsid w:val="000A70BC"/>
    <w:rsid w:val="000A756B"/>
    <w:rsid w:val="000A7807"/>
    <w:rsid w:val="000A7A80"/>
    <w:rsid w:val="000A7B3E"/>
    <w:rsid w:val="000B0BC9"/>
    <w:rsid w:val="000B112C"/>
    <w:rsid w:val="000B12AA"/>
    <w:rsid w:val="000B176D"/>
    <w:rsid w:val="000B2C47"/>
    <w:rsid w:val="000B30EB"/>
    <w:rsid w:val="000B3FD8"/>
    <w:rsid w:val="000B4386"/>
    <w:rsid w:val="000B5162"/>
    <w:rsid w:val="000B6733"/>
    <w:rsid w:val="000B6773"/>
    <w:rsid w:val="000B6B9C"/>
    <w:rsid w:val="000B700A"/>
    <w:rsid w:val="000B7381"/>
    <w:rsid w:val="000B7734"/>
    <w:rsid w:val="000B7EED"/>
    <w:rsid w:val="000C02AF"/>
    <w:rsid w:val="000C076E"/>
    <w:rsid w:val="000C0A22"/>
    <w:rsid w:val="000C0DB9"/>
    <w:rsid w:val="000C10A2"/>
    <w:rsid w:val="000C13E7"/>
    <w:rsid w:val="000C1BA8"/>
    <w:rsid w:val="000C21F6"/>
    <w:rsid w:val="000C23D0"/>
    <w:rsid w:val="000C2612"/>
    <w:rsid w:val="000C3A4F"/>
    <w:rsid w:val="000C3D6E"/>
    <w:rsid w:val="000C3DAA"/>
    <w:rsid w:val="000C3E95"/>
    <w:rsid w:val="000C4637"/>
    <w:rsid w:val="000C47C4"/>
    <w:rsid w:val="000C4905"/>
    <w:rsid w:val="000C4A67"/>
    <w:rsid w:val="000C4C2F"/>
    <w:rsid w:val="000C4CB0"/>
    <w:rsid w:val="000C4D78"/>
    <w:rsid w:val="000C4DC7"/>
    <w:rsid w:val="000C631A"/>
    <w:rsid w:val="000C640E"/>
    <w:rsid w:val="000C7F6C"/>
    <w:rsid w:val="000C7FCB"/>
    <w:rsid w:val="000D0BA0"/>
    <w:rsid w:val="000D0E29"/>
    <w:rsid w:val="000D11A3"/>
    <w:rsid w:val="000D171D"/>
    <w:rsid w:val="000D26B4"/>
    <w:rsid w:val="000D2758"/>
    <w:rsid w:val="000D2B28"/>
    <w:rsid w:val="000D2DE9"/>
    <w:rsid w:val="000D352C"/>
    <w:rsid w:val="000D3A50"/>
    <w:rsid w:val="000D3C41"/>
    <w:rsid w:val="000D4029"/>
    <w:rsid w:val="000D42C4"/>
    <w:rsid w:val="000D4D36"/>
    <w:rsid w:val="000D4E66"/>
    <w:rsid w:val="000D5021"/>
    <w:rsid w:val="000D511B"/>
    <w:rsid w:val="000D5997"/>
    <w:rsid w:val="000D5A7E"/>
    <w:rsid w:val="000D6867"/>
    <w:rsid w:val="000D6EE2"/>
    <w:rsid w:val="000D7C37"/>
    <w:rsid w:val="000D7FF9"/>
    <w:rsid w:val="000E0CEA"/>
    <w:rsid w:val="000E0F82"/>
    <w:rsid w:val="000E121F"/>
    <w:rsid w:val="000E13E1"/>
    <w:rsid w:val="000E1D38"/>
    <w:rsid w:val="000E20AF"/>
    <w:rsid w:val="000E20B3"/>
    <w:rsid w:val="000E267F"/>
    <w:rsid w:val="000E2D57"/>
    <w:rsid w:val="000E2DAF"/>
    <w:rsid w:val="000E3560"/>
    <w:rsid w:val="000E459A"/>
    <w:rsid w:val="000E481D"/>
    <w:rsid w:val="000E49E4"/>
    <w:rsid w:val="000E4C4C"/>
    <w:rsid w:val="000E4DAC"/>
    <w:rsid w:val="000E5633"/>
    <w:rsid w:val="000E5C89"/>
    <w:rsid w:val="000E611B"/>
    <w:rsid w:val="000E62F0"/>
    <w:rsid w:val="000E693D"/>
    <w:rsid w:val="000E71FB"/>
    <w:rsid w:val="000E77E6"/>
    <w:rsid w:val="000E7D79"/>
    <w:rsid w:val="000F0517"/>
    <w:rsid w:val="000F0609"/>
    <w:rsid w:val="000F0A0C"/>
    <w:rsid w:val="000F0D97"/>
    <w:rsid w:val="000F0FEF"/>
    <w:rsid w:val="000F1190"/>
    <w:rsid w:val="000F1AFE"/>
    <w:rsid w:val="000F1BFA"/>
    <w:rsid w:val="000F1DBB"/>
    <w:rsid w:val="000F1F3D"/>
    <w:rsid w:val="000F2A71"/>
    <w:rsid w:val="000F33F2"/>
    <w:rsid w:val="000F3491"/>
    <w:rsid w:val="000F412C"/>
    <w:rsid w:val="000F4265"/>
    <w:rsid w:val="000F48BC"/>
    <w:rsid w:val="000F5208"/>
    <w:rsid w:val="000F53C2"/>
    <w:rsid w:val="000F597C"/>
    <w:rsid w:val="000F5FE3"/>
    <w:rsid w:val="000F6022"/>
    <w:rsid w:val="000F6183"/>
    <w:rsid w:val="000F670E"/>
    <w:rsid w:val="000F6BB3"/>
    <w:rsid w:val="000F7BAC"/>
    <w:rsid w:val="0010009D"/>
    <w:rsid w:val="0010052F"/>
    <w:rsid w:val="00100687"/>
    <w:rsid w:val="001007F1"/>
    <w:rsid w:val="00101537"/>
    <w:rsid w:val="0010182F"/>
    <w:rsid w:val="00101F50"/>
    <w:rsid w:val="00102441"/>
    <w:rsid w:val="00102972"/>
    <w:rsid w:val="001029BC"/>
    <w:rsid w:val="00102B7F"/>
    <w:rsid w:val="00103716"/>
    <w:rsid w:val="00103E0C"/>
    <w:rsid w:val="00103F66"/>
    <w:rsid w:val="00104A9B"/>
    <w:rsid w:val="00104AAA"/>
    <w:rsid w:val="00105CB5"/>
    <w:rsid w:val="001060F2"/>
    <w:rsid w:val="00106FC2"/>
    <w:rsid w:val="001074E1"/>
    <w:rsid w:val="00107512"/>
    <w:rsid w:val="00107558"/>
    <w:rsid w:val="00107884"/>
    <w:rsid w:val="00107CC3"/>
    <w:rsid w:val="00107E4F"/>
    <w:rsid w:val="00110024"/>
    <w:rsid w:val="00110585"/>
    <w:rsid w:val="00110B99"/>
    <w:rsid w:val="00110F8C"/>
    <w:rsid w:val="00111092"/>
    <w:rsid w:val="0011146B"/>
    <w:rsid w:val="00111728"/>
    <w:rsid w:val="00112072"/>
    <w:rsid w:val="0011211A"/>
    <w:rsid w:val="00112303"/>
    <w:rsid w:val="00112FCE"/>
    <w:rsid w:val="001139CF"/>
    <w:rsid w:val="00113CE9"/>
    <w:rsid w:val="00114132"/>
    <w:rsid w:val="001145E1"/>
    <w:rsid w:val="00114CC9"/>
    <w:rsid w:val="00114F52"/>
    <w:rsid w:val="0011516A"/>
    <w:rsid w:val="001151E8"/>
    <w:rsid w:val="00115A79"/>
    <w:rsid w:val="00116347"/>
    <w:rsid w:val="00116CC6"/>
    <w:rsid w:val="00116E62"/>
    <w:rsid w:val="00116F71"/>
    <w:rsid w:val="00117578"/>
    <w:rsid w:val="001179CB"/>
    <w:rsid w:val="00117B08"/>
    <w:rsid w:val="00120067"/>
    <w:rsid w:val="001208AD"/>
    <w:rsid w:val="001209DA"/>
    <w:rsid w:val="0012159F"/>
    <w:rsid w:val="001215C8"/>
    <w:rsid w:val="0012213F"/>
    <w:rsid w:val="0012282A"/>
    <w:rsid w:val="00122D84"/>
    <w:rsid w:val="00122F87"/>
    <w:rsid w:val="001232D5"/>
    <w:rsid w:val="00123576"/>
    <w:rsid w:val="00123870"/>
    <w:rsid w:val="00123C0B"/>
    <w:rsid w:val="00124018"/>
    <w:rsid w:val="00124130"/>
    <w:rsid w:val="00124F21"/>
    <w:rsid w:val="00125800"/>
    <w:rsid w:val="001259B4"/>
    <w:rsid w:val="00125AF2"/>
    <w:rsid w:val="00126156"/>
    <w:rsid w:val="0012633E"/>
    <w:rsid w:val="0012669A"/>
    <w:rsid w:val="00126C95"/>
    <w:rsid w:val="00126ECF"/>
    <w:rsid w:val="0012734A"/>
    <w:rsid w:val="00127549"/>
    <w:rsid w:val="001277A6"/>
    <w:rsid w:val="00127B00"/>
    <w:rsid w:val="00127BC4"/>
    <w:rsid w:val="00127C81"/>
    <w:rsid w:val="00130283"/>
    <w:rsid w:val="0013032C"/>
    <w:rsid w:val="001306FF"/>
    <w:rsid w:val="00130737"/>
    <w:rsid w:val="00130E15"/>
    <w:rsid w:val="00130F98"/>
    <w:rsid w:val="00130FA8"/>
    <w:rsid w:val="0013184C"/>
    <w:rsid w:val="0013237D"/>
    <w:rsid w:val="00133C42"/>
    <w:rsid w:val="0013403F"/>
    <w:rsid w:val="00134779"/>
    <w:rsid w:val="00134AEF"/>
    <w:rsid w:val="00134BA8"/>
    <w:rsid w:val="00134E8B"/>
    <w:rsid w:val="0013596B"/>
    <w:rsid w:val="001359B4"/>
    <w:rsid w:val="00135EB1"/>
    <w:rsid w:val="001360B9"/>
    <w:rsid w:val="001361A9"/>
    <w:rsid w:val="00136257"/>
    <w:rsid w:val="001362A1"/>
    <w:rsid w:val="0013666E"/>
    <w:rsid w:val="0013698F"/>
    <w:rsid w:val="00136E71"/>
    <w:rsid w:val="0013747F"/>
    <w:rsid w:val="0013760E"/>
    <w:rsid w:val="0013797E"/>
    <w:rsid w:val="00137D38"/>
    <w:rsid w:val="00137E49"/>
    <w:rsid w:val="00137E94"/>
    <w:rsid w:val="0014003E"/>
    <w:rsid w:val="00141649"/>
    <w:rsid w:val="00141E35"/>
    <w:rsid w:val="00142A1F"/>
    <w:rsid w:val="0014380C"/>
    <w:rsid w:val="00144276"/>
    <w:rsid w:val="001442D6"/>
    <w:rsid w:val="00144704"/>
    <w:rsid w:val="00144FAE"/>
    <w:rsid w:val="001450FD"/>
    <w:rsid w:val="00145444"/>
    <w:rsid w:val="00145464"/>
    <w:rsid w:val="00145782"/>
    <w:rsid w:val="00146051"/>
    <w:rsid w:val="001463FD"/>
    <w:rsid w:val="00146498"/>
    <w:rsid w:val="001464E4"/>
    <w:rsid w:val="001469DE"/>
    <w:rsid w:val="00147480"/>
    <w:rsid w:val="001476F3"/>
    <w:rsid w:val="0014773F"/>
    <w:rsid w:val="00147ACD"/>
    <w:rsid w:val="00147DCD"/>
    <w:rsid w:val="0015002B"/>
    <w:rsid w:val="001501BE"/>
    <w:rsid w:val="0015056E"/>
    <w:rsid w:val="001508F7"/>
    <w:rsid w:val="00150C8C"/>
    <w:rsid w:val="001517FC"/>
    <w:rsid w:val="00151A48"/>
    <w:rsid w:val="00151D08"/>
    <w:rsid w:val="00152BCF"/>
    <w:rsid w:val="0015327E"/>
    <w:rsid w:val="001533FE"/>
    <w:rsid w:val="0015417D"/>
    <w:rsid w:val="001544E6"/>
    <w:rsid w:val="0015487C"/>
    <w:rsid w:val="00155C0A"/>
    <w:rsid w:val="0015641F"/>
    <w:rsid w:val="0015668E"/>
    <w:rsid w:val="00156802"/>
    <w:rsid w:val="001568D1"/>
    <w:rsid w:val="00156E86"/>
    <w:rsid w:val="001578D9"/>
    <w:rsid w:val="00157BAF"/>
    <w:rsid w:val="0016016E"/>
    <w:rsid w:val="00160F5F"/>
    <w:rsid w:val="001612C6"/>
    <w:rsid w:val="00161784"/>
    <w:rsid w:val="00161B7F"/>
    <w:rsid w:val="00161DD4"/>
    <w:rsid w:val="0016291D"/>
    <w:rsid w:val="00162C04"/>
    <w:rsid w:val="00163503"/>
    <w:rsid w:val="00163812"/>
    <w:rsid w:val="00163B1E"/>
    <w:rsid w:val="00164187"/>
    <w:rsid w:val="0016442A"/>
    <w:rsid w:val="001644A5"/>
    <w:rsid w:val="001646DB"/>
    <w:rsid w:val="00164826"/>
    <w:rsid w:val="001649F2"/>
    <w:rsid w:val="00164A51"/>
    <w:rsid w:val="00164D6B"/>
    <w:rsid w:val="00165EF9"/>
    <w:rsid w:val="00166468"/>
    <w:rsid w:val="001665DE"/>
    <w:rsid w:val="00166935"/>
    <w:rsid w:val="00166A49"/>
    <w:rsid w:val="00166B27"/>
    <w:rsid w:val="00167484"/>
    <w:rsid w:val="00167AE7"/>
    <w:rsid w:val="0017029B"/>
    <w:rsid w:val="001708E5"/>
    <w:rsid w:val="00170AB8"/>
    <w:rsid w:val="00170B08"/>
    <w:rsid w:val="00171117"/>
    <w:rsid w:val="001715C3"/>
    <w:rsid w:val="001718F1"/>
    <w:rsid w:val="00172832"/>
    <w:rsid w:val="001728BC"/>
    <w:rsid w:val="001734CE"/>
    <w:rsid w:val="00173A98"/>
    <w:rsid w:val="00173BD1"/>
    <w:rsid w:val="00174498"/>
    <w:rsid w:val="00174BA8"/>
    <w:rsid w:val="0017503F"/>
    <w:rsid w:val="00175C9F"/>
    <w:rsid w:val="00175F85"/>
    <w:rsid w:val="00176275"/>
    <w:rsid w:val="00176328"/>
    <w:rsid w:val="0017669F"/>
    <w:rsid w:val="00176A46"/>
    <w:rsid w:val="00176E2F"/>
    <w:rsid w:val="00176EB8"/>
    <w:rsid w:val="00176F59"/>
    <w:rsid w:val="00176F6F"/>
    <w:rsid w:val="0017765F"/>
    <w:rsid w:val="00177BAE"/>
    <w:rsid w:val="00177FFC"/>
    <w:rsid w:val="0018052F"/>
    <w:rsid w:val="00180964"/>
    <w:rsid w:val="00180ED6"/>
    <w:rsid w:val="001811F8"/>
    <w:rsid w:val="00181DB6"/>
    <w:rsid w:val="00181F73"/>
    <w:rsid w:val="0018232D"/>
    <w:rsid w:val="001845E2"/>
    <w:rsid w:val="00184639"/>
    <w:rsid w:val="00184C74"/>
    <w:rsid w:val="00184D04"/>
    <w:rsid w:val="00184DAB"/>
    <w:rsid w:val="00185944"/>
    <w:rsid w:val="00185C48"/>
    <w:rsid w:val="00186270"/>
    <w:rsid w:val="0018636D"/>
    <w:rsid w:val="00186DB3"/>
    <w:rsid w:val="00187343"/>
    <w:rsid w:val="00187C4D"/>
    <w:rsid w:val="00187C62"/>
    <w:rsid w:val="00190783"/>
    <w:rsid w:val="00190C5E"/>
    <w:rsid w:val="00191007"/>
    <w:rsid w:val="001914EC"/>
    <w:rsid w:val="00191614"/>
    <w:rsid w:val="00192790"/>
    <w:rsid w:val="00192CA6"/>
    <w:rsid w:val="00192DD0"/>
    <w:rsid w:val="0019352F"/>
    <w:rsid w:val="001935FC"/>
    <w:rsid w:val="00193749"/>
    <w:rsid w:val="001938C8"/>
    <w:rsid w:val="001946E2"/>
    <w:rsid w:val="00194FA2"/>
    <w:rsid w:val="001956DA"/>
    <w:rsid w:val="00196791"/>
    <w:rsid w:val="001967C8"/>
    <w:rsid w:val="00197DAB"/>
    <w:rsid w:val="00197F99"/>
    <w:rsid w:val="001A0678"/>
    <w:rsid w:val="001A07AE"/>
    <w:rsid w:val="001A13E0"/>
    <w:rsid w:val="001A1985"/>
    <w:rsid w:val="001A1AAD"/>
    <w:rsid w:val="001A23C7"/>
    <w:rsid w:val="001A253D"/>
    <w:rsid w:val="001A2601"/>
    <w:rsid w:val="001A2A1A"/>
    <w:rsid w:val="001A2A95"/>
    <w:rsid w:val="001A2E24"/>
    <w:rsid w:val="001A2EB9"/>
    <w:rsid w:val="001A3501"/>
    <w:rsid w:val="001A35E0"/>
    <w:rsid w:val="001A3746"/>
    <w:rsid w:val="001A4330"/>
    <w:rsid w:val="001A4355"/>
    <w:rsid w:val="001A4F45"/>
    <w:rsid w:val="001A5297"/>
    <w:rsid w:val="001A65CB"/>
    <w:rsid w:val="001A6A74"/>
    <w:rsid w:val="001A6B6D"/>
    <w:rsid w:val="001A6D17"/>
    <w:rsid w:val="001A6F5F"/>
    <w:rsid w:val="001A746C"/>
    <w:rsid w:val="001A79FF"/>
    <w:rsid w:val="001A7BB2"/>
    <w:rsid w:val="001A7DDE"/>
    <w:rsid w:val="001B04E8"/>
    <w:rsid w:val="001B1981"/>
    <w:rsid w:val="001B1ED9"/>
    <w:rsid w:val="001B214D"/>
    <w:rsid w:val="001B290C"/>
    <w:rsid w:val="001B345B"/>
    <w:rsid w:val="001B4049"/>
    <w:rsid w:val="001B44DA"/>
    <w:rsid w:val="001B4713"/>
    <w:rsid w:val="001B4E31"/>
    <w:rsid w:val="001B4F3E"/>
    <w:rsid w:val="001B4FB3"/>
    <w:rsid w:val="001B4FE6"/>
    <w:rsid w:val="001B522B"/>
    <w:rsid w:val="001B54FB"/>
    <w:rsid w:val="001B5583"/>
    <w:rsid w:val="001B5720"/>
    <w:rsid w:val="001B5907"/>
    <w:rsid w:val="001B5992"/>
    <w:rsid w:val="001B5AE7"/>
    <w:rsid w:val="001B5F78"/>
    <w:rsid w:val="001B6053"/>
    <w:rsid w:val="001B637D"/>
    <w:rsid w:val="001B66B4"/>
    <w:rsid w:val="001B6EB5"/>
    <w:rsid w:val="001B7013"/>
    <w:rsid w:val="001B7167"/>
    <w:rsid w:val="001B74D5"/>
    <w:rsid w:val="001B7694"/>
    <w:rsid w:val="001B7F1F"/>
    <w:rsid w:val="001B7FA2"/>
    <w:rsid w:val="001C001E"/>
    <w:rsid w:val="001C0A9E"/>
    <w:rsid w:val="001C0BCD"/>
    <w:rsid w:val="001C0D3C"/>
    <w:rsid w:val="001C1963"/>
    <w:rsid w:val="001C1ECE"/>
    <w:rsid w:val="001C38B6"/>
    <w:rsid w:val="001C39AC"/>
    <w:rsid w:val="001C3D87"/>
    <w:rsid w:val="001C4213"/>
    <w:rsid w:val="001C4320"/>
    <w:rsid w:val="001C44AF"/>
    <w:rsid w:val="001C485E"/>
    <w:rsid w:val="001C6415"/>
    <w:rsid w:val="001C6616"/>
    <w:rsid w:val="001C66DF"/>
    <w:rsid w:val="001C6FDD"/>
    <w:rsid w:val="001C713A"/>
    <w:rsid w:val="001C7315"/>
    <w:rsid w:val="001C740F"/>
    <w:rsid w:val="001C75C5"/>
    <w:rsid w:val="001C76D6"/>
    <w:rsid w:val="001C78D0"/>
    <w:rsid w:val="001C7BE4"/>
    <w:rsid w:val="001C7E89"/>
    <w:rsid w:val="001D0387"/>
    <w:rsid w:val="001D05F5"/>
    <w:rsid w:val="001D0EF4"/>
    <w:rsid w:val="001D10AA"/>
    <w:rsid w:val="001D1174"/>
    <w:rsid w:val="001D19AC"/>
    <w:rsid w:val="001D1B20"/>
    <w:rsid w:val="001D1B60"/>
    <w:rsid w:val="001D2A52"/>
    <w:rsid w:val="001D2B5F"/>
    <w:rsid w:val="001D2BB3"/>
    <w:rsid w:val="001D2E04"/>
    <w:rsid w:val="001D37F8"/>
    <w:rsid w:val="001D3AB1"/>
    <w:rsid w:val="001D49AB"/>
    <w:rsid w:val="001D5002"/>
    <w:rsid w:val="001D5868"/>
    <w:rsid w:val="001D5CFA"/>
    <w:rsid w:val="001D5DAE"/>
    <w:rsid w:val="001D64DD"/>
    <w:rsid w:val="001D676D"/>
    <w:rsid w:val="001D724F"/>
    <w:rsid w:val="001D7C12"/>
    <w:rsid w:val="001E0467"/>
    <w:rsid w:val="001E05A6"/>
    <w:rsid w:val="001E0D02"/>
    <w:rsid w:val="001E1B82"/>
    <w:rsid w:val="001E1F80"/>
    <w:rsid w:val="001E272D"/>
    <w:rsid w:val="001E2970"/>
    <w:rsid w:val="001E3070"/>
    <w:rsid w:val="001E3454"/>
    <w:rsid w:val="001E3B5B"/>
    <w:rsid w:val="001E3E48"/>
    <w:rsid w:val="001E4724"/>
    <w:rsid w:val="001E47CF"/>
    <w:rsid w:val="001E4EFC"/>
    <w:rsid w:val="001E6C11"/>
    <w:rsid w:val="001E77C2"/>
    <w:rsid w:val="001E7AE4"/>
    <w:rsid w:val="001F0C36"/>
    <w:rsid w:val="001F18ED"/>
    <w:rsid w:val="001F2463"/>
    <w:rsid w:val="001F33B1"/>
    <w:rsid w:val="001F445A"/>
    <w:rsid w:val="001F485A"/>
    <w:rsid w:val="001F4920"/>
    <w:rsid w:val="001F4BD4"/>
    <w:rsid w:val="001F4DE7"/>
    <w:rsid w:val="001F5253"/>
    <w:rsid w:val="001F525A"/>
    <w:rsid w:val="001F5E60"/>
    <w:rsid w:val="001F61D5"/>
    <w:rsid w:val="001F6443"/>
    <w:rsid w:val="001F7224"/>
    <w:rsid w:val="0020003E"/>
    <w:rsid w:val="00200441"/>
    <w:rsid w:val="00200AB3"/>
    <w:rsid w:val="002012E8"/>
    <w:rsid w:val="00201336"/>
    <w:rsid w:val="00202027"/>
    <w:rsid w:val="0020283C"/>
    <w:rsid w:val="00202E45"/>
    <w:rsid w:val="00204B84"/>
    <w:rsid w:val="00204CA3"/>
    <w:rsid w:val="00204FF3"/>
    <w:rsid w:val="00205608"/>
    <w:rsid w:val="00205833"/>
    <w:rsid w:val="00205C1E"/>
    <w:rsid w:val="00205D33"/>
    <w:rsid w:val="0020625D"/>
    <w:rsid w:val="0020688A"/>
    <w:rsid w:val="00206A19"/>
    <w:rsid w:val="00206B53"/>
    <w:rsid w:val="00207689"/>
    <w:rsid w:val="002078E6"/>
    <w:rsid w:val="00210177"/>
    <w:rsid w:val="0021044E"/>
    <w:rsid w:val="00210518"/>
    <w:rsid w:val="002107E2"/>
    <w:rsid w:val="00210A18"/>
    <w:rsid w:val="00210D61"/>
    <w:rsid w:val="0021127A"/>
    <w:rsid w:val="00211702"/>
    <w:rsid w:val="00211B83"/>
    <w:rsid w:val="00211D8A"/>
    <w:rsid w:val="00212654"/>
    <w:rsid w:val="00212726"/>
    <w:rsid w:val="002127B6"/>
    <w:rsid w:val="002127D1"/>
    <w:rsid w:val="00212A8C"/>
    <w:rsid w:val="00212FDB"/>
    <w:rsid w:val="0021350F"/>
    <w:rsid w:val="002136C8"/>
    <w:rsid w:val="00214255"/>
    <w:rsid w:val="00214BFE"/>
    <w:rsid w:val="00214E8A"/>
    <w:rsid w:val="002159DA"/>
    <w:rsid w:val="00216020"/>
    <w:rsid w:val="002165C8"/>
    <w:rsid w:val="00216CE8"/>
    <w:rsid w:val="00216F2C"/>
    <w:rsid w:val="00216FAC"/>
    <w:rsid w:val="002173CA"/>
    <w:rsid w:val="00217577"/>
    <w:rsid w:val="00220A6E"/>
    <w:rsid w:val="00221054"/>
    <w:rsid w:val="00221158"/>
    <w:rsid w:val="00221523"/>
    <w:rsid w:val="00221F31"/>
    <w:rsid w:val="00222252"/>
    <w:rsid w:val="00222755"/>
    <w:rsid w:val="00222C17"/>
    <w:rsid w:val="0022330B"/>
    <w:rsid w:val="002238F6"/>
    <w:rsid w:val="00223906"/>
    <w:rsid w:val="00223A94"/>
    <w:rsid w:val="00224445"/>
    <w:rsid w:val="002245DD"/>
    <w:rsid w:val="0022460D"/>
    <w:rsid w:val="00225583"/>
    <w:rsid w:val="00225B13"/>
    <w:rsid w:val="00225C05"/>
    <w:rsid w:val="00225F22"/>
    <w:rsid w:val="00226354"/>
    <w:rsid w:val="00226AF2"/>
    <w:rsid w:val="00227148"/>
    <w:rsid w:val="002275D9"/>
    <w:rsid w:val="00227D0A"/>
    <w:rsid w:val="0023088F"/>
    <w:rsid w:val="0023111D"/>
    <w:rsid w:val="00231C9E"/>
    <w:rsid w:val="00231FAC"/>
    <w:rsid w:val="00231FE5"/>
    <w:rsid w:val="002327B0"/>
    <w:rsid w:val="00233666"/>
    <w:rsid w:val="00233ADB"/>
    <w:rsid w:val="00233C03"/>
    <w:rsid w:val="00233DA8"/>
    <w:rsid w:val="00233F81"/>
    <w:rsid w:val="00233FD6"/>
    <w:rsid w:val="002341F2"/>
    <w:rsid w:val="00234373"/>
    <w:rsid w:val="002349CC"/>
    <w:rsid w:val="002352E4"/>
    <w:rsid w:val="00236069"/>
    <w:rsid w:val="00236CA2"/>
    <w:rsid w:val="002372DB"/>
    <w:rsid w:val="00237731"/>
    <w:rsid w:val="00237C30"/>
    <w:rsid w:val="00237CF7"/>
    <w:rsid w:val="00240209"/>
    <w:rsid w:val="002404A8"/>
    <w:rsid w:val="002407E5"/>
    <w:rsid w:val="00241180"/>
    <w:rsid w:val="002416C8"/>
    <w:rsid w:val="002417B4"/>
    <w:rsid w:val="00241A94"/>
    <w:rsid w:val="00241ABA"/>
    <w:rsid w:val="00241E7A"/>
    <w:rsid w:val="00242293"/>
    <w:rsid w:val="002428DE"/>
    <w:rsid w:val="00242A9D"/>
    <w:rsid w:val="00243BA0"/>
    <w:rsid w:val="00243BBC"/>
    <w:rsid w:val="00244365"/>
    <w:rsid w:val="00244439"/>
    <w:rsid w:val="00245191"/>
    <w:rsid w:val="00245EF7"/>
    <w:rsid w:val="002460F1"/>
    <w:rsid w:val="002465CB"/>
    <w:rsid w:val="00246ADF"/>
    <w:rsid w:val="00246F91"/>
    <w:rsid w:val="00250129"/>
    <w:rsid w:val="00250619"/>
    <w:rsid w:val="00250D6B"/>
    <w:rsid w:val="002511D0"/>
    <w:rsid w:val="00251872"/>
    <w:rsid w:val="002518F4"/>
    <w:rsid w:val="0025206B"/>
    <w:rsid w:val="002520C3"/>
    <w:rsid w:val="002525C0"/>
    <w:rsid w:val="0025273E"/>
    <w:rsid w:val="002531B9"/>
    <w:rsid w:val="00253A92"/>
    <w:rsid w:val="00253FC6"/>
    <w:rsid w:val="00254530"/>
    <w:rsid w:val="00254BBC"/>
    <w:rsid w:val="00254CA5"/>
    <w:rsid w:val="00255174"/>
    <w:rsid w:val="00255205"/>
    <w:rsid w:val="00255792"/>
    <w:rsid w:val="00255849"/>
    <w:rsid w:val="00256A36"/>
    <w:rsid w:val="0025713C"/>
    <w:rsid w:val="002573F9"/>
    <w:rsid w:val="002578FF"/>
    <w:rsid w:val="00257B89"/>
    <w:rsid w:val="00257E1D"/>
    <w:rsid w:val="00260697"/>
    <w:rsid w:val="00260826"/>
    <w:rsid w:val="00260A5B"/>
    <w:rsid w:val="00260C2E"/>
    <w:rsid w:val="00261163"/>
    <w:rsid w:val="00261828"/>
    <w:rsid w:val="00261EEA"/>
    <w:rsid w:val="002624EC"/>
    <w:rsid w:val="00262BBE"/>
    <w:rsid w:val="00262EC5"/>
    <w:rsid w:val="00262FDA"/>
    <w:rsid w:val="00263239"/>
    <w:rsid w:val="002637C3"/>
    <w:rsid w:val="0026391D"/>
    <w:rsid w:val="00263D03"/>
    <w:rsid w:val="00263D34"/>
    <w:rsid w:val="00264AB9"/>
    <w:rsid w:val="00265288"/>
    <w:rsid w:val="0026535A"/>
    <w:rsid w:val="002653D6"/>
    <w:rsid w:val="00265BA9"/>
    <w:rsid w:val="0026620A"/>
    <w:rsid w:val="00266424"/>
    <w:rsid w:val="00266709"/>
    <w:rsid w:val="00267301"/>
    <w:rsid w:val="0026736B"/>
    <w:rsid w:val="002674EB"/>
    <w:rsid w:val="0026796F"/>
    <w:rsid w:val="002702F0"/>
    <w:rsid w:val="00270F6A"/>
    <w:rsid w:val="0027136D"/>
    <w:rsid w:val="00271482"/>
    <w:rsid w:val="00271C29"/>
    <w:rsid w:val="00272176"/>
    <w:rsid w:val="002721DC"/>
    <w:rsid w:val="002729A9"/>
    <w:rsid w:val="0027322A"/>
    <w:rsid w:val="002732A1"/>
    <w:rsid w:val="00273874"/>
    <w:rsid w:val="00273AA5"/>
    <w:rsid w:val="00273BA5"/>
    <w:rsid w:val="00273BE6"/>
    <w:rsid w:val="00273F4A"/>
    <w:rsid w:val="002740D5"/>
    <w:rsid w:val="00274864"/>
    <w:rsid w:val="00274C0D"/>
    <w:rsid w:val="00274DDA"/>
    <w:rsid w:val="0027529E"/>
    <w:rsid w:val="002755D9"/>
    <w:rsid w:val="002757B2"/>
    <w:rsid w:val="00276065"/>
    <w:rsid w:val="00277203"/>
    <w:rsid w:val="002772D4"/>
    <w:rsid w:val="00277FA0"/>
    <w:rsid w:val="002800AA"/>
    <w:rsid w:val="00280442"/>
    <w:rsid w:val="00280609"/>
    <w:rsid w:val="00280AA2"/>
    <w:rsid w:val="0028173A"/>
    <w:rsid w:val="00281809"/>
    <w:rsid w:val="00281E47"/>
    <w:rsid w:val="00282904"/>
    <w:rsid w:val="00283FED"/>
    <w:rsid w:val="00284869"/>
    <w:rsid w:val="00284923"/>
    <w:rsid w:val="00284A2A"/>
    <w:rsid w:val="00284C61"/>
    <w:rsid w:val="0028503A"/>
    <w:rsid w:val="002856D5"/>
    <w:rsid w:val="00285CE3"/>
    <w:rsid w:val="00286064"/>
    <w:rsid w:val="0028660C"/>
    <w:rsid w:val="00286B87"/>
    <w:rsid w:val="00286BD3"/>
    <w:rsid w:val="00286EDE"/>
    <w:rsid w:val="00287325"/>
    <w:rsid w:val="0028741B"/>
    <w:rsid w:val="002875EE"/>
    <w:rsid w:val="00290B09"/>
    <w:rsid w:val="002910F0"/>
    <w:rsid w:val="002918BC"/>
    <w:rsid w:val="00292047"/>
    <w:rsid w:val="00292196"/>
    <w:rsid w:val="00292307"/>
    <w:rsid w:val="00292A03"/>
    <w:rsid w:val="00293B3C"/>
    <w:rsid w:val="00294973"/>
    <w:rsid w:val="00294B7A"/>
    <w:rsid w:val="00295425"/>
    <w:rsid w:val="002956CC"/>
    <w:rsid w:val="0029595A"/>
    <w:rsid w:val="00296142"/>
    <w:rsid w:val="0029615D"/>
    <w:rsid w:val="00296AF9"/>
    <w:rsid w:val="0029702D"/>
    <w:rsid w:val="002972BB"/>
    <w:rsid w:val="002A06F1"/>
    <w:rsid w:val="002A0B41"/>
    <w:rsid w:val="002A0D02"/>
    <w:rsid w:val="002A0EFB"/>
    <w:rsid w:val="002A126F"/>
    <w:rsid w:val="002A132A"/>
    <w:rsid w:val="002A1485"/>
    <w:rsid w:val="002A14A0"/>
    <w:rsid w:val="002A19DD"/>
    <w:rsid w:val="002A1B78"/>
    <w:rsid w:val="002A1D62"/>
    <w:rsid w:val="002A1F23"/>
    <w:rsid w:val="002A251F"/>
    <w:rsid w:val="002A28AC"/>
    <w:rsid w:val="002A2910"/>
    <w:rsid w:val="002A29CE"/>
    <w:rsid w:val="002A2EC7"/>
    <w:rsid w:val="002A30D1"/>
    <w:rsid w:val="002A4E5B"/>
    <w:rsid w:val="002A4F29"/>
    <w:rsid w:val="002A50E0"/>
    <w:rsid w:val="002A5212"/>
    <w:rsid w:val="002A57A4"/>
    <w:rsid w:val="002A5A5A"/>
    <w:rsid w:val="002A5C14"/>
    <w:rsid w:val="002A5CC4"/>
    <w:rsid w:val="002A733B"/>
    <w:rsid w:val="002A75B7"/>
    <w:rsid w:val="002A7E33"/>
    <w:rsid w:val="002A7E8A"/>
    <w:rsid w:val="002B0119"/>
    <w:rsid w:val="002B0398"/>
    <w:rsid w:val="002B0970"/>
    <w:rsid w:val="002B09E4"/>
    <w:rsid w:val="002B0A24"/>
    <w:rsid w:val="002B0C00"/>
    <w:rsid w:val="002B0E7A"/>
    <w:rsid w:val="002B11F7"/>
    <w:rsid w:val="002B2412"/>
    <w:rsid w:val="002B3612"/>
    <w:rsid w:val="002B3E05"/>
    <w:rsid w:val="002B46FD"/>
    <w:rsid w:val="002B4AE3"/>
    <w:rsid w:val="002B4C5C"/>
    <w:rsid w:val="002B4E17"/>
    <w:rsid w:val="002B5153"/>
    <w:rsid w:val="002B591A"/>
    <w:rsid w:val="002B5B0D"/>
    <w:rsid w:val="002B6027"/>
    <w:rsid w:val="002B67AF"/>
    <w:rsid w:val="002B6988"/>
    <w:rsid w:val="002B6AAD"/>
    <w:rsid w:val="002B7042"/>
    <w:rsid w:val="002B74E4"/>
    <w:rsid w:val="002C04B3"/>
    <w:rsid w:val="002C04E4"/>
    <w:rsid w:val="002C0D5A"/>
    <w:rsid w:val="002C15BC"/>
    <w:rsid w:val="002C1815"/>
    <w:rsid w:val="002C1CEC"/>
    <w:rsid w:val="002C1E92"/>
    <w:rsid w:val="002C22B5"/>
    <w:rsid w:val="002C22D1"/>
    <w:rsid w:val="002C302F"/>
    <w:rsid w:val="002C3472"/>
    <w:rsid w:val="002C357C"/>
    <w:rsid w:val="002C41C8"/>
    <w:rsid w:val="002C42E9"/>
    <w:rsid w:val="002C453D"/>
    <w:rsid w:val="002C4CFF"/>
    <w:rsid w:val="002C4E05"/>
    <w:rsid w:val="002C50B8"/>
    <w:rsid w:val="002C6D00"/>
    <w:rsid w:val="002D0E15"/>
    <w:rsid w:val="002D1494"/>
    <w:rsid w:val="002D1619"/>
    <w:rsid w:val="002D17B5"/>
    <w:rsid w:val="002D19B1"/>
    <w:rsid w:val="002D1CF9"/>
    <w:rsid w:val="002D3C62"/>
    <w:rsid w:val="002D40CE"/>
    <w:rsid w:val="002D4132"/>
    <w:rsid w:val="002D44E7"/>
    <w:rsid w:val="002D5EAA"/>
    <w:rsid w:val="002D6292"/>
    <w:rsid w:val="002D65EA"/>
    <w:rsid w:val="002D6635"/>
    <w:rsid w:val="002D7B9C"/>
    <w:rsid w:val="002E0469"/>
    <w:rsid w:val="002E08E3"/>
    <w:rsid w:val="002E0A63"/>
    <w:rsid w:val="002E0B01"/>
    <w:rsid w:val="002E1B5F"/>
    <w:rsid w:val="002E1FAC"/>
    <w:rsid w:val="002E22B7"/>
    <w:rsid w:val="002E26C8"/>
    <w:rsid w:val="002E327C"/>
    <w:rsid w:val="002E3C15"/>
    <w:rsid w:val="002E4002"/>
    <w:rsid w:val="002E4342"/>
    <w:rsid w:val="002E452D"/>
    <w:rsid w:val="002E455E"/>
    <w:rsid w:val="002E4FB2"/>
    <w:rsid w:val="002E51C8"/>
    <w:rsid w:val="002E61DB"/>
    <w:rsid w:val="002E65BB"/>
    <w:rsid w:val="002E6DFC"/>
    <w:rsid w:val="002E7943"/>
    <w:rsid w:val="002F094B"/>
    <w:rsid w:val="002F0DA2"/>
    <w:rsid w:val="002F1B9B"/>
    <w:rsid w:val="002F2326"/>
    <w:rsid w:val="002F26A8"/>
    <w:rsid w:val="002F2DB9"/>
    <w:rsid w:val="002F349F"/>
    <w:rsid w:val="002F350D"/>
    <w:rsid w:val="002F3C61"/>
    <w:rsid w:val="002F3D27"/>
    <w:rsid w:val="002F5029"/>
    <w:rsid w:val="002F5140"/>
    <w:rsid w:val="002F51F0"/>
    <w:rsid w:val="002F57D8"/>
    <w:rsid w:val="002F57D9"/>
    <w:rsid w:val="002F5B02"/>
    <w:rsid w:val="002F5D36"/>
    <w:rsid w:val="002F5D42"/>
    <w:rsid w:val="002F6072"/>
    <w:rsid w:val="002F6519"/>
    <w:rsid w:val="002F6676"/>
    <w:rsid w:val="002F668D"/>
    <w:rsid w:val="002F6906"/>
    <w:rsid w:val="002F716C"/>
    <w:rsid w:val="002F75DB"/>
    <w:rsid w:val="002F7A64"/>
    <w:rsid w:val="00300173"/>
    <w:rsid w:val="0030027B"/>
    <w:rsid w:val="00301162"/>
    <w:rsid w:val="0030131B"/>
    <w:rsid w:val="0030168D"/>
    <w:rsid w:val="00302B7D"/>
    <w:rsid w:val="00302F41"/>
    <w:rsid w:val="00303549"/>
    <w:rsid w:val="00303662"/>
    <w:rsid w:val="003038DE"/>
    <w:rsid w:val="003039F5"/>
    <w:rsid w:val="00303E35"/>
    <w:rsid w:val="0030406F"/>
    <w:rsid w:val="003043EC"/>
    <w:rsid w:val="003044B6"/>
    <w:rsid w:val="003053B1"/>
    <w:rsid w:val="003060F5"/>
    <w:rsid w:val="00306674"/>
    <w:rsid w:val="00306CCC"/>
    <w:rsid w:val="00307138"/>
    <w:rsid w:val="0030713F"/>
    <w:rsid w:val="0030751F"/>
    <w:rsid w:val="003077E1"/>
    <w:rsid w:val="00310048"/>
    <w:rsid w:val="003100AD"/>
    <w:rsid w:val="003106CA"/>
    <w:rsid w:val="00310C03"/>
    <w:rsid w:val="00310D42"/>
    <w:rsid w:val="00310F7F"/>
    <w:rsid w:val="003128B0"/>
    <w:rsid w:val="003131A1"/>
    <w:rsid w:val="00313266"/>
    <w:rsid w:val="003133F4"/>
    <w:rsid w:val="00313833"/>
    <w:rsid w:val="003139F2"/>
    <w:rsid w:val="00313FF1"/>
    <w:rsid w:val="00314316"/>
    <w:rsid w:val="0031431B"/>
    <w:rsid w:val="00315257"/>
    <w:rsid w:val="003153DF"/>
    <w:rsid w:val="00315856"/>
    <w:rsid w:val="003160AC"/>
    <w:rsid w:val="00316254"/>
    <w:rsid w:val="003162F7"/>
    <w:rsid w:val="00316998"/>
    <w:rsid w:val="00316A00"/>
    <w:rsid w:val="003172C6"/>
    <w:rsid w:val="0031755C"/>
    <w:rsid w:val="0031774F"/>
    <w:rsid w:val="003178C4"/>
    <w:rsid w:val="0032027C"/>
    <w:rsid w:val="00320330"/>
    <w:rsid w:val="0032038F"/>
    <w:rsid w:val="00320788"/>
    <w:rsid w:val="00320B4C"/>
    <w:rsid w:val="00320CE3"/>
    <w:rsid w:val="00320F36"/>
    <w:rsid w:val="003211D2"/>
    <w:rsid w:val="00321262"/>
    <w:rsid w:val="003213A8"/>
    <w:rsid w:val="00321577"/>
    <w:rsid w:val="003218BC"/>
    <w:rsid w:val="00321BBD"/>
    <w:rsid w:val="00321E38"/>
    <w:rsid w:val="00321ECC"/>
    <w:rsid w:val="003224CA"/>
    <w:rsid w:val="00322F87"/>
    <w:rsid w:val="003232B1"/>
    <w:rsid w:val="00324214"/>
    <w:rsid w:val="0032442C"/>
    <w:rsid w:val="0032458C"/>
    <w:rsid w:val="00324AF9"/>
    <w:rsid w:val="00325A75"/>
    <w:rsid w:val="00325A82"/>
    <w:rsid w:val="00325CFA"/>
    <w:rsid w:val="0032625E"/>
    <w:rsid w:val="00326365"/>
    <w:rsid w:val="00326C56"/>
    <w:rsid w:val="00327204"/>
    <w:rsid w:val="003272E4"/>
    <w:rsid w:val="00330754"/>
    <w:rsid w:val="00330807"/>
    <w:rsid w:val="00330C1E"/>
    <w:rsid w:val="003316BC"/>
    <w:rsid w:val="003316C0"/>
    <w:rsid w:val="003317DD"/>
    <w:rsid w:val="003317FB"/>
    <w:rsid w:val="003319F9"/>
    <w:rsid w:val="00331DD9"/>
    <w:rsid w:val="00332167"/>
    <w:rsid w:val="00332389"/>
    <w:rsid w:val="00332408"/>
    <w:rsid w:val="003327AD"/>
    <w:rsid w:val="00332DDD"/>
    <w:rsid w:val="00333280"/>
    <w:rsid w:val="003338F4"/>
    <w:rsid w:val="0033411B"/>
    <w:rsid w:val="00334137"/>
    <w:rsid w:val="003341CF"/>
    <w:rsid w:val="003342E3"/>
    <w:rsid w:val="00334BBE"/>
    <w:rsid w:val="00335512"/>
    <w:rsid w:val="00335594"/>
    <w:rsid w:val="0033606B"/>
    <w:rsid w:val="003361B9"/>
    <w:rsid w:val="003363D3"/>
    <w:rsid w:val="00336C1C"/>
    <w:rsid w:val="00336CE0"/>
    <w:rsid w:val="0033714E"/>
    <w:rsid w:val="00337357"/>
    <w:rsid w:val="00337619"/>
    <w:rsid w:val="00337841"/>
    <w:rsid w:val="00337E98"/>
    <w:rsid w:val="00337EE3"/>
    <w:rsid w:val="003402F4"/>
    <w:rsid w:val="0034035A"/>
    <w:rsid w:val="0034049A"/>
    <w:rsid w:val="00340B69"/>
    <w:rsid w:val="00341250"/>
    <w:rsid w:val="003431EF"/>
    <w:rsid w:val="0034411C"/>
    <w:rsid w:val="00344579"/>
    <w:rsid w:val="00344AC6"/>
    <w:rsid w:val="00344BF6"/>
    <w:rsid w:val="00344FCE"/>
    <w:rsid w:val="00345162"/>
    <w:rsid w:val="00345549"/>
    <w:rsid w:val="0034556D"/>
    <w:rsid w:val="0034701E"/>
    <w:rsid w:val="00347061"/>
    <w:rsid w:val="003471A1"/>
    <w:rsid w:val="00347D22"/>
    <w:rsid w:val="003509AF"/>
    <w:rsid w:val="00350AB9"/>
    <w:rsid w:val="0035106F"/>
    <w:rsid w:val="00352634"/>
    <w:rsid w:val="0035264B"/>
    <w:rsid w:val="00352803"/>
    <w:rsid w:val="00352AA8"/>
    <w:rsid w:val="00353712"/>
    <w:rsid w:val="00354838"/>
    <w:rsid w:val="00354D83"/>
    <w:rsid w:val="00355406"/>
    <w:rsid w:val="00355787"/>
    <w:rsid w:val="00355BAC"/>
    <w:rsid w:val="00356614"/>
    <w:rsid w:val="00356A06"/>
    <w:rsid w:val="00357529"/>
    <w:rsid w:val="0035799A"/>
    <w:rsid w:val="003602B2"/>
    <w:rsid w:val="0036046C"/>
    <w:rsid w:val="003606D8"/>
    <w:rsid w:val="00360921"/>
    <w:rsid w:val="00360BF6"/>
    <w:rsid w:val="00360E0D"/>
    <w:rsid w:val="00361767"/>
    <w:rsid w:val="003618C8"/>
    <w:rsid w:val="003618D9"/>
    <w:rsid w:val="00361E5D"/>
    <w:rsid w:val="0036273D"/>
    <w:rsid w:val="0036281C"/>
    <w:rsid w:val="003628A7"/>
    <w:rsid w:val="003629DB"/>
    <w:rsid w:val="0036337B"/>
    <w:rsid w:val="003634F3"/>
    <w:rsid w:val="003636FA"/>
    <w:rsid w:val="0036376E"/>
    <w:rsid w:val="00363801"/>
    <w:rsid w:val="00363884"/>
    <w:rsid w:val="00363DFF"/>
    <w:rsid w:val="00363E10"/>
    <w:rsid w:val="00363E38"/>
    <w:rsid w:val="00364460"/>
    <w:rsid w:val="00364C58"/>
    <w:rsid w:val="00365B0F"/>
    <w:rsid w:val="0036610E"/>
    <w:rsid w:val="003663DA"/>
    <w:rsid w:val="003666C6"/>
    <w:rsid w:val="00366729"/>
    <w:rsid w:val="00366DA4"/>
    <w:rsid w:val="00366DFA"/>
    <w:rsid w:val="00367007"/>
    <w:rsid w:val="003674F8"/>
    <w:rsid w:val="003701BA"/>
    <w:rsid w:val="00370DC5"/>
    <w:rsid w:val="00370E68"/>
    <w:rsid w:val="00371148"/>
    <w:rsid w:val="00371C70"/>
    <w:rsid w:val="0037200E"/>
    <w:rsid w:val="00374134"/>
    <w:rsid w:val="003741F2"/>
    <w:rsid w:val="00374283"/>
    <w:rsid w:val="0037434B"/>
    <w:rsid w:val="0037482B"/>
    <w:rsid w:val="00375FB3"/>
    <w:rsid w:val="003763F0"/>
    <w:rsid w:val="0037686C"/>
    <w:rsid w:val="00376E39"/>
    <w:rsid w:val="003771B9"/>
    <w:rsid w:val="00377374"/>
    <w:rsid w:val="00377AD4"/>
    <w:rsid w:val="00377D46"/>
    <w:rsid w:val="00380A9E"/>
    <w:rsid w:val="00380E9D"/>
    <w:rsid w:val="00381045"/>
    <w:rsid w:val="003811DB"/>
    <w:rsid w:val="0038132F"/>
    <w:rsid w:val="00381414"/>
    <w:rsid w:val="00381731"/>
    <w:rsid w:val="00381F47"/>
    <w:rsid w:val="003824EC"/>
    <w:rsid w:val="00382A7E"/>
    <w:rsid w:val="00382A98"/>
    <w:rsid w:val="00382BA0"/>
    <w:rsid w:val="00382E8F"/>
    <w:rsid w:val="0038325D"/>
    <w:rsid w:val="003833EA"/>
    <w:rsid w:val="00383601"/>
    <w:rsid w:val="00383D04"/>
    <w:rsid w:val="003848C6"/>
    <w:rsid w:val="0038507C"/>
    <w:rsid w:val="00385FFC"/>
    <w:rsid w:val="00386297"/>
    <w:rsid w:val="0038630A"/>
    <w:rsid w:val="003869D5"/>
    <w:rsid w:val="00386C4F"/>
    <w:rsid w:val="00386C6B"/>
    <w:rsid w:val="00387033"/>
    <w:rsid w:val="00387217"/>
    <w:rsid w:val="003875E2"/>
    <w:rsid w:val="00387A5E"/>
    <w:rsid w:val="00390E5C"/>
    <w:rsid w:val="003910BB"/>
    <w:rsid w:val="00391381"/>
    <w:rsid w:val="00391420"/>
    <w:rsid w:val="00391757"/>
    <w:rsid w:val="00391B58"/>
    <w:rsid w:val="00391DA9"/>
    <w:rsid w:val="00392FDC"/>
    <w:rsid w:val="0039332C"/>
    <w:rsid w:val="00393CC7"/>
    <w:rsid w:val="00393D73"/>
    <w:rsid w:val="00394416"/>
    <w:rsid w:val="0039442F"/>
    <w:rsid w:val="00394CA7"/>
    <w:rsid w:val="0039507F"/>
    <w:rsid w:val="00395AE5"/>
    <w:rsid w:val="0039610A"/>
    <w:rsid w:val="003964F5"/>
    <w:rsid w:val="003965E9"/>
    <w:rsid w:val="00397470"/>
    <w:rsid w:val="00397BF4"/>
    <w:rsid w:val="00397C48"/>
    <w:rsid w:val="003A05CD"/>
    <w:rsid w:val="003A10CF"/>
    <w:rsid w:val="003A2678"/>
    <w:rsid w:val="003A26A5"/>
    <w:rsid w:val="003A2837"/>
    <w:rsid w:val="003A3158"/>
    <w:rsid w:val="003A36D6"/>
    <w:rsid w:val="003A4073"/>
    <w:rsid w:val="003A4F00"/>
    <w:rsid w:val="003A5208"/>
    <w:rsid w:val="003A540B"/>
    <w:rsid w:val="003A59F9"/>
    <w:rsid w:val="003A5B2F"/>
    <w:rsid w:val="003A5DFF"/>
    <w:rsid w:val="003A6BF8"/>
    <w:rsid w:val="003A7B2E"/>
    <w:rsid w:val="003A7B30"/>
    <w:rsid w:val="003A7D99"/>
    <w:rsid w:val="003B103A"/>
    <w:rsid w:val="003B15CE"/>
    <w:rsid w:val="003B1B1C"/>
    <w:rsid w:val="003B1C15"/>
    <w:rsid w:val="003B2015"/>
    <w:rsid w:val="003B2A59"/>
    <w:rsid w:val="003B2C18"/>
    <w:rsid w:val="003B2D92"/>
    <w:rsid w:val="003B2FEB"/>
    <w:rsid w:val="003B3DA2"/>
    <w:rsid w:val="003B4147"/>
    <w:rsid w:val="003B4210"/>
    <w:rsid w:val="003B49DD"/>
    <w:rsid w:val="003B4AB5"/>
    <w:rsid w:val="003B56BF"/>
    <w:rsid w:val="003B5E03"/>
    <w:rsid w:val="003B63AA"/>
    <w:rsid w:val="003C0930"/>
    <w:rsid w:val="003C106A"/>
    <w:rsid w:val="003C1086"/>
    <w:rsid w:val="003C12A5"/>
    <w:rsid w:val="003C15A1"/>
    <w:rsid w:val="003C16D1"/>
    <w:rsid w:val="003C189B"/>
    <w:rsid w:val="003C1B9D"/>
    <w:rsid w:val="003C1DE8"/>
    <w:rsid w:val="003C2103"/>
    <w:rsid w:val="003C2463"/>
    <w:rsid w:val="003C2480"/>
    <w:rsid w:val="003C266B"/>
    <w:rsid w:val="003C29AE"/>
    <w:rsid w:val="003C2F41"/>
    <w:rsid w:val="003C3384"/>
    <w:rsid w:val="003C33DC"/>
    <w:rsid w:val="003C3C89"/>
    <w:rsid w:val="003C3CA5"/>
    <w:rsid w:val="003C4992"/>
    <w:rsid w:val="003C4BC6"/>
    <w:rsid w:val="003C50C2"/>
    <w:rsid w:val="003C533C"/>
    <w:rsid w:val="003C5D57"/>
    <w:rsid w:val="003C602B"/>
    <w:rsid w:val="003C672D"/>
    <w:rsid w:val="003C6777"/>
    <w:rsid w:val="003C6E03"/>
    <w:rsid w:val="003C6EA3"/>
    <w:rsid w:val="003C6ED3"/>
    <w:rsid w:val="003C7527"/>
    <w:rsid w:val="003C753E"/>
    <w:rsid w:val="003C79BD"/>
    <w:rsid w:val="003D0638"/>
    <w:rsid w:val="003D0B64"/>
    <w:rsid w:val="003D0BAB"/>
    <w:rsid w:val="003D16C8"/>
    <w:rsid w:val="003D183A"/>
    <w:rsid w:val="003D1C0D"/>
    <w:rsid w:val="003D1D5C"/>
    <w:rsid w:val="003D1ECA"/>
    <w:rsid w:val="003D2427"/>
    <w:rsid w:val="003D25CB"/>
    <w:rsid w:val="003D25D9"/>
    <w:rsid w:val="003D28A8"/>
    <w:rsid w:val="003D2E75"/>
    <w:rsid w:val="003D3638"/>
    <w:rsid w:val="003D3A92"/>
    <w:rsid w:val="003D3CC6"/>
    <w:rsid w:val="003D3CFF"/>
    <w:rsid w:val="003D3ECF"/>
    <w:rsid w:val="003D3F09"/>
    <w:rsid w:val="003D4480"/>
    <w:rsid w:val="003D59BC"/>
    <w:rsid w:val="003D5A23"/>
    <w:rsid w:val="003D644A"/>
    <w:rsid w:val="003D6A8E"/>
    <w:rsid w:val="003D763C"/>
    <w:rsid w:val="003D780F"/>
    <w:rsid w:val="003D7C43"/>
    <w:rsid w:val="003E012B"/>
    <w:rsid w:val="003E05FB"/>
    <w:rsid w:val="003E0891"/>
    <w:rsid w:val="003E0A97"/>
    <w:rsid w:val="003E0D5A"/>
    <w:rsid w:val="003E0DBF"/>
    <w:rsid w:val="003E17E9"/>
    <w:rsid w:val="003E2003"/>
    <w:rsid w:val="003E20A4"/>
    <w:rsid w:val="003E2152"/>
    <w:rsid w:val="003E28FA"/>
    <w:rsid w:val="003E30CD"/>
    <w:rsid w:val="003E33B8"/>
    <w:rsid w:val="003E3443"/>
    <w:rsid w:val="003E464C"/>
    <w:rsid w:val="003E4654"/>
    <w:rsid w:val="003E4AA6"/>
    <w:rsid w:val="003E4AC7"/>
    <w:rsid w:val="003E4E66"/>
    <w:rsid w:val="003E50E9"/>
    <w:rsid w:val="003E580C"/>
    <w:rsid w:val="003E5891"/>
    <w:rsid w:val="003E5D89"/>
    <w:rsid w:val="003E5F03"/>
    <w:rsid w:val="003E5FEE"/>
    <w:rsid w:val="003E6072"/>
    <w:rsid w:val="003E6135"/>
    <w:rsid w:val="003E613D"/>
    <w:rsid w:val="003E6920"/>
    <w:rsid w:val="003E6F35"/>
    <w:rsid w:val="003E7193"/>
    <w:rsid w:val="003E73D4"/>
    <w:rsid w:val="003E7555"/>
    <w:rsid w:val="003E76A0"/>
    <w:rsid w:val="003E7A5F"/>
    <w:rsid w:val="003F06C3"/>
    <w:rsid w:val="003F1303"/>
    <w:rsid w:val="003F223F"/>
    <w:rsid w:val="003F2465"/>
    <w:rsid w:val="003F2F03"/>
    <w:rsid w:val="003F437C"/>
    <w:rsid w:val="003F4A1E"/>
    <w:rsid w:val="003F4E65"/>
    <w:rsid w:val="003F58C6"/>
    <w:rsid w:val="003F598E"/>
    <w:rsid w:val="003F5B79"/>
    <w:rsid w:val="003F5B9E"/>
    <w:rsid w:val="003F63C7"/>
    <w:rsid w:val="003F67D8"/>
    <w:rsid w:val="003F6CDD"/>
    <w:rsid w:val="003F6D98"/>
    <w:rsid w:val="003F75B2"/>
    <w:rsid w:val="003F7C53"/>
    <w:rsid w:val="00400090"/>
    <w:rsid w:val="00400C3D"/>
    <w:rsid w:val="0040119C"/>
    <w:rsid w:val="00401577"/>
    <w:rsid w:val="00401A7D"/>
    <w:rsid w:val="00401D4B"/>
    <w:rsid w:val="00401DF6"/>
    <w:rsid w:val="00401EE8"/>
    <w:rsid w:val="00402183"/>
    <w:rsid w:val="00402EED"/>
    <w:rsid w:val="00403818"/>
    <w:rsid w:val="00403F5C"/>
    <w:rsid w:val="004048E6"/>
    <w:rsid w:val="00405DB6"/>
    <w:rsid w:val="0040621F"/>
    <w:rsid w:val="004063C0"/>
    <w:rsid w:val="00406AEF"/>
    <w:rsid w:val="00406C64"/>
    <w:rsid w:val="00406E16"/>
    <w:rsid w:val="004074C0"/>
    <w:rsid w:val="00407F66"/>
    <w:rsid w:val="0041014C"/>
    <w:rsid w:val="00410348"/>
    <w:rsid w:val="00411532"/>
    <w:rsid w:val="00411CD5"/>
    <w:rsid w:val="00411D64"/>
    <w:rsid w:val="0041205B"/>
    <w:rsid w:val="004121DD"/>
    <w:rsid w:val="0041246E"/>
    <w:rsid w:val="00412B36"/>
    <w:rsid w:val="00412B6D"/>
    <w:rsid w:val="00412E17"/>
    <w:rsid w:val="004132EF"/>
    <w:rsid w:val="004134FD"/>
    <w:rsid w:val="0041352E"/>
    <w:rsid w:val="0041410B"/>
    <w:rsid w:val="004141BC"/>
    <w:rsid w:val="00414DF4"/>
    <w:rsid w:val="00415E09"/>
    <w:rsid w:val="0041632F"/>
    <w:rsid w:val="004164CF"/>
    <w:rsid w:val="00416689"/>
    <w:rsid w:val="00416B3E"/>
    <w:rsid w:val="00416C8F"/>
    <w:rsid w:val="00417373"/>
    <w:rsid w:val="00417BEA"/>
    <w:rsid w:val="00417BF8"/>
    <w:rsid w:val="00417EA4"/>
    <w:rsid w:val="00420081"/>
    <w:rsid w:val="0042044E"/>
    <w:rsid w:val="00420598"/>
    <w:rsid w:val="00420667"/>
    <w:rsid w:val="00420823"/>
    <w:rsid w:val="0042089F"/>
    <w:rsid w:val="0042169D"/>
    <w:rsid w:val="00421A97"/>
    <w:rsid w:val="00422796"/>
    <w:rsid w:val="00422F8A"/>
    <w:rsid w:val="004232B2"/>
    <w:rsid w:val="00423747"/>
    <w:rsid w:val="004239F1"/>
    <w:rsid w:val="00423AA5"/>
    <w:rsid w:val="00423B23"/>
    <w:rsid w:val="00423C82"/>
    <w:rsid w:val="004245D6"/>
    <w:rsid w:val="00424A21"/>
    <w:rsid w:val="004257B6"/>
    <w:rsid w:val="004257F8"/>
    <w:rsid w:val="00425880"/>
    <w:rsid w:val="00425B76"/>
    <w:rsid w:val="00425EC4"/>
    <w:rsid w:val="00426D49"/>
    <w:rsid w:val="00427749"/>
    <w:rsid w:val="00427B92"/>
    <w:rsid w:val="004307CC"/>
    <w:rsid w:val="00430EB4"/>
    <w:rsid w:val="00431681"/>
    <w:rsid w:val="004322E5"/>
    <w:rsid w:val="00432831"/>
    <w:rsid w:val="00433121"/>
    <w:rsid w:val="00433858"/>
    <w:rsid w:val="00433D79"/>
    <w:rsid w:val="004341E9"/>
    <w:rsid w:val="0043464E"/>
    <w:rsid w:val="00434A10"/>
    <w:rsid w:val="0043533B"/>
    <w:rsid w:val="0043544C"/>
    <w:rsid w:val="004355F9"/>
    <w:rsid w:val="00435B3F"/>
    <w:rsid w:val="00435ECC"/>
    <w:rsid w:val="00436157"/>
    <w:rsid w:val="0043656E"/>
    <w:rsid w:val="004365CB"/>
    <w:rsid w:val="00437330"/>
    <w:rsid w:val="00437455"/>
    <w:rsid w:val="0043796C"/>
    <w:rsid w:val="00440166"/>
    <w:rsid w:val="004404F1"/>
    <w:rsid w:val="00440828"/>
    <w:rsid w:val="0044141F"/>
    <w:rsid w:val="00441814"/>
    <w:rsid w:val="00441D07"/>
    <w:rsid w:val="004425B3"/>
    <w:rsid w:val="0044323C"/>
    <w:rsid w:val="004432A4"/>
    <w:rsid w:val="00443644"/>
    <w:rsid w:val="004436A3"/>
    <w:rsid w:val="00443E86"/>
    <w:rsid w:val="004444C1"/>
    <w:rsid w:val="00444904"/>
    <w:rsid w:val="00444A3C"/>
    <w:rsid w:val="00444D4D"/>
    <w:rsid w:val="0044567A"/>
    <w:rsid w:val="004456E1"/>
    <w:rsid w:val="00445850"/>
    <w:rsid w:val="0044601B"/>
    <w:rsid w:val="004466AA"/>
    <w:rsid w:val="004466C1"/>
    <w:rsid w:val="00446FDB"/>
    <w:rsid w:val="004472CB"/>
    <w:rsid w:val="00447A86"/>
    <w:rsid w:val="00450BF9"/>
    <w:rsid w:val="0045120F"/>
    <w:rsid w:val="00451378"/>
    <w:rsid w:val="00451A40"/>
    <w:rsid w:val="0045222E"/>
    <w:rsid w:val="00453814"/>
    <w:rsid w:val="00453F38"/>
    <w:rsid w:val="00454B3F"/>
    <w:rsid w:val="00454D69"/>
    <w:rsid w:val="004559A3"/>
    <w:rsid w:val="00455C96"/>
    <w:rsid w:val="00456F76"/>
    <w:rsid w:val="004577DB"/>
    <w:rsid w:val="00457859"/>
    <w:rsid w:val="00457B76"/>
    <w:rsid w:val="00457F59"/>
    <w:rsid w:val="00457FE1"/>
    <w:rsid w:val="00460137"/>
    <w:rsid w:val="004604EE"/>
    <w:rsid w:val="004605CB"/>
    <w:rsid w:val="00460670"/>
    <w:rsid w:val="00460A44"/>
    <w:rsid w:val="00460A84"/>
    <w:rsid w:val="00460DC2"/>
    <w:rsid w:val="00461B31"/>
    <w:rsid w:val="00461B82"/>
    <w:rsid w:val="00461BC1"/>
    <w:rsid w:val="00461EB5"/>
    <w:rsid w:val="00461F40"/>
    <w:rsid w:val="00462004"/>
    <w:rsid w:val="00462130"/>
    <w:rsid w:val="00462624"/>
    <w:rsid w:val="004626B0"/>
    <w:rsid w:val="00462FF3"/>
    <w:rsid w:val="00462FFE"/>
    <w:rsid w:val="00463575"/>
    <w:rsid w:val="0046463B"/>
    <w:rsid w:val="00464EA9"/>
    <w:rsid w:val="00464EED"/>
    <w:rsid w:val="004653D1"/>
    <w:rsid w:val="00465413"/>
    <w:rsid w:val="00465B99"/>
    <w:rsid w:val="00466563"/>
    <w:rsid w:val="004667E3"/>
    <w:rsid w:val="00466BEF"/>
    <w:rsid w:val="00466D4D"/>
    <w:rsid w:val="0046728A"/>
    <w:rsid w:val="00467513"/>
    <w:rsid w:val="0046760C"/>
    <w:rsid w:val="00467B40"/>
    <w:rsid w:val="00467C67"/>
    <w:rsid w:val="00467D1E"/>
    <w:rsid w:val="004701A1"/>
    <w:rsid w:val="00470CF2"/>
    <w:rsid w:val="0047134E"/>
    <w:rsid w:val="004717ED"/>
    <w:rsid w:val="004718C0"/>
    <w:rsid w:val="00471FA1"/>
    <w:rsid w:val="0047236E"/>
    <w:rsid w:val="004724E8"/>
    <w:rsid w:val="00472972"/>
    <w:rsid w:val="00472DB0"/>
    <w:rsid w:val="00473355"/>
    <w:rsid w:val="00473390"/>
    <w:rsid w:val="00473483"/>
    <w:rsid w:val="0047399F"/>
    <w:rsid w:val="00473DEB"/>
    <w:rsid w:val="0047408E"/>
    <w:rsid w:val="00474176"/>
    <w:rsid w:val="004743B8"/>
    <w:rsid w:val="00474DA6"/>
    <w:rsid w:val="00474F47"/>
    <w:rsid w:val="0047544E"/>
    <w:rsid w:val="00475A4F"/>
    <w:rsid w:val="00475C8A"/>
    <w:rsid w:val="00475E2D"/>
    <w:rsid w:val="0047655C"/>
    <w:rsid w:val="004765C9"/>
    <w:rsid w:val="0047676D"/>
    <w:rsid w:val="00476B6A"/>
    <w:rsid w:val="00476BFC"/>
    <w:rsid w:val="00476D1E"/>
    <w:rsid w:val="004770B7"/>
    <w:rsid w:val="004770BA"/>
    <w:rsid w:val="00477427"/>
    <w:rsid w:val="00477F15"/>
    <w:rsid w:val="00477FA1"/>
    <w:rsid w:val="00481296"/>
    <w:rsid w:val="00481B70"/>
    <w:rsid w:val="00481C27"/>
    <w:rsid w:val="00481DD7"/>
    <w:rsid w:val="00482161"/>
    <w:rsid w:val="004822C1"/>
    <w:rsid w:val="0048231D"/>
    <w:rsid w:val="00482C63"/>
    <w:rsid w:val="00482DBF"/>
    <w:rsid w:val="004833AA"/>
    <w:rsid w:val="00483B06"/>
    <w:rsid w:val="00483F5A"/>
    <w:rsid w:val="00484014"/>
    <w:rsid w:val="00485091"/>
    <w:rsid w:val="004850D2"/>
    <w:rsid w:val="004855E6"/>
    <w:rsid w:val="004857FF"/>
    <w:rsid w:val="00485ACC"/>
    <w:rsid w:val="00485DAE"/>
    <w:rsid w:val="00486444"/>
    <w:rsid w:val="004872CA"/>
    <w:rsid w:val="00487624"/>
    <w:rsid w:val="0048762D"/>
    <w:rsid w:val="00487FFC"/>
    <w:rsid w:val="004900B0"/>
    <w:rsid w:val="004908A3"/>
    <w:rsid w:val="00490B64"/>
    <w:rsid w:val="00490B91"/>
    <w:rsid w:val="00491148"/>
    <w:rsid w:val="00491158"/>
    <w:rsid w:val="0049177E"/>
    <w:rsid w:val="004921E5"/>
    <w:rsid w:val="00492322"/>
    <w:rsid w:val="004925BB"/>
    <w:rsid w:val="0049295B"/>
    <w:rsid w:val="0049309E"/>
    <w:rsid w:val="00493332"/>
    <w:rsid w:val="0049337C"/>
    <w:rsid w:val="00493AA4"/>
    <w:rsid w:val="00493B4D"/>
    <w:rsid w:val="00493B96"/>
    <w:rsid w:val="00493CE0"/>
    <w:rsid w:val="00494213"/>
    <w:rsid w:val="0049425A"/>
    <w:rsid w:val="00494B71"/>
    <w:rsid w:val="00494D29"/>
    <w:rsid w:val="0049588F"/>
    <w:rsid w:val="004973AA"/>
    <w:rsid w:val="004A098F"/>
    <w:rsid w:val="004A0B9B"/>
    <w:rsid w:val="004A0C7C"/>
    <w:rsid w:val="004A16FD"/>
    <w:rsid w:val="004A188C"/>
    <w:rsid w:val="004A22DA"/>
    <w:rsid w:val="004A25A1"/>
    <w:rsid w:val="004A29D9"/>
    <w:rsid w:val="004A2AAE"/>
    <w:rsid w:val="004A2D43"/>
    <w:rsid w:val="004A35B4"/>
    <w:rsid w:val="004A3645"/>
    <w:rsid w:val="004A4643"/>
    <w:rsid w:val="004A4A51"/>
    <w:rsid w:val="004A546C"/>
    <w:rsid w:val="004A54D1"/>
    <w:rsid w:val="004A54EF"/>
    <w:rsid w:val="004A5DFF"/>
    <w:rsid w:val="004A63D0"/>
    <w:rsid w:val="004A680E"/>
    <w:rsid w:val="004A6963"/>
    <w:rsid w:val="004A6CE0"/>
    <w:rsid w:val="004A6FBB"/>
    <w:rsid w:val="004A73D7"/>
    <w:rsid w:val="004A7678"/>
    <w:rsid w:val="004A7996"/>
    <w:rsid w:val="004B05E5"/>
    <w:rsid w:val="004B0788"/>
    <w:rsid w:val="004B0919"/>
    <w:rsid w:val="004B0C95"/>
    <w:rsid w:val="004B0E84"/>
    <w:rsid w:val="004B0E87"/>
    <w:rsid w:val="004B0F0A"/>
    <w:rsid w:val="004B122B"/>
    <w:rsid w:val="004B15F8"/>
    <w:rsid w:val="004B1FA4"/>
    <w:rsid w:val="004B2113"/>
    <w:rsid w:val="004B2AE4"/>
    <w:rsid w:val="004B36DA"/>
    <w:rsid w:val="004B3AD8"/>
    <w:rsid w:val="004B3B8D"/>
    <w:rsid w:val="004B4419"/>
    <w:rsid w:val="004B46A2"/>
    <w:rsid w:val="004B57D9"/>
    <w:rsid w:val="004B593C"/>
    <w:rsid w:val="004B5EA2"/>
    <w:rsid w:val="004B63EB"/>
    <w:rsid w:val="004B6527"/>
    <w:rsid w:val="004B6FF4"/>
    <w:rsid w:val="004B707D"/>
    <w:rsid w:val="004B777A"/>
    <w:rsid w:val="004C0064"/>
    <w:rsid w:val="004C09E6"/>
    <w:rsid w:val="004C0D22"/>
    <w:rsid w:val="004C0D92"/>
    <w:rsid w:val="004C132A"/>
    <w:rsid w:val="004C1499"/>
    <w:rsid w:val="004C162C"/>
    <w:rsid w:val="004C1EC7"/>
    <w:rsid w:val="004C2032"/>
    <w:rsid w:val="004C28F9"/>
    <w:rsid w:val="004C3202"/>
    <w:rsid w:val="004C3C64"/>
    <w:rsid w:val="004C3F7B"/>
    <w:rsid w:val="004C40D4"/>
    <w:rsid w:val="004C4759"/>
    <w:rsid w:val="004C5015"/>
    <w:rsid w:val="004C5793"/>
    <w:rsid w:val="004C5ACD"/>
    <w:rsid w:val="004C5DB0"/>
    <w:rsid w:val="004C6051"/>
    <w:rsid w:val="004C6A2A"/>
    <w:rsid w:val="004C70FF"/>
    <w:rsid w:val="004D0518"/>
    <w:rsid w:val="004D0974"/>
    <w:rsid w:val="004D0D00"/>
    <w:rsid w:val="004D1427"/>
    <w:rsid w:val="004D1628"/>
    <w:rsid w:val="004D18A6"/>
    <w:rsid w:val="004D23E8"/>
    <w:rsid w:val="004D28F7"/>
    <w:rsid w:val="004D2C0D"/>
    <w:rsid w:val="004D2CD3"/>
    <w:rsid w:val="004D45A4"/>
    <w:rsid w:val="004D4B03"/>
    <w:rsid w:val="004D4B21"/>
    <w:rsid w:val="004D50D6"/>
    <w:rsid w:val="004D50F2"/>
    <w:rsid w:val="004D51EF"/>
    <w:rsid w:val="004D559F"/>
    <w:rsid w:val="004D56D2"/>
    <w:rsid w:val="004D5892"/>
    <w:rsid w:val="004D5FD8"/>
    <w:rsid w:val="004D64BE"/>
    <w:rsid w:val="004D686C"/>
    <w:rsid w:val="004D6AD6"/>
    <w:rsid w:val="004D7086"/>
    <w:rsid w:val="004D7211"/>
    <w:rsid w:val="004D791B"/>
    <w:rsid w:val="004E1B11"/>
    <w:rsid w:val="004E22A5"/>
    <w:rsid w:val="004E2A10"/>
    <w:rsid w:val="004E2CAB"/>
    <w:rsid w:val="004E3529"/>
    <w:rsid w:val="004E395D"/>
    <w:rsid w:val="004E3AF2"/>
    <w:rsid w:val="004E3B8F"/>
    <w:rsid w:val="004E3BAF"/>
    <w:rsid w:val="004E4425"/>
    <w:rsid w:val="004E44F3"/>
    <w:rsid w:val="004E4D65"/>
    <w:rsid w:val="004E522F"/>
    <w:rsid w:val="004E5547"/>
    <w:rsid w:val="004E5958"/>
    <w:rsid w:val="004E5E18"/>
    <w:rsid w:val="004E661C"/>
    <w:rsid w:val="004E6A82"/>
    <w:rsid w:val="004E6B3A"/>
    <w:rsid w:val="004E78AE"/>
    <w:rsid w:val="004F05A0"/>
    <w:rsid w:val="004F0B46"/>
    <w:rsid w:val="004F0CB9"/>
    <w:rsid w:val="004F0D46"/>
    <w:rsid w:val="004F0FDC"/>
    <w:rsid w:val="004F11EE"/>
    <w:rsid w:val="004F142E"/>
    <w:rsid w:val="004F163D"/>
    <w:rsid w:val="004F22E1"/>
    <w:rsid w:val="004F2542"/>
    <w:rsid w:val="004F25E1"/>
    <w:rsid w:val="004F3354"/>
    <w:rsid w:val="004F3645"/>
    <w:rsid w:val="004F3EAD"/>
    <w:rsid w:val="004F3FF8"/>
    <w:rsid w:val="004F446D"/>
    <w:rsid w:val="004F4543"/>
    <w:rsid w:val="004F4ADF"/>
    <w:rsid w:val="004F535F"/>
    <w:rsid w:val="004F536D"/>
    <w:rsid w:val="004F5CF1"/>
    <w:rsid w:val="004F7450"/>
    <w:rsid w:val="005004BB"/>
    <w:rsid w:val="0050055B"/>
    <w:rsid w:val="00500EFF"/>
    <w:rsid w:val="00501058"/>
    <w:rsid w:val="005015B5"/>
    <w:rsid w:val="005018D3"/>
    <w:rsid w:val="00501CDD"/>
    <w:rsid w:val="005021EB"/>
    <w:rsid w:val="00502258"/>
    <w:rsid w:val="0050296F"/>
    <w:rsid w:val="00502ADA"/>
    <w:rsid w:val="005031BA"/>
    <w:rsid w:val="00503D1E"/>
    <w:rsid w:val="00503F7D"/>
    <w:rsid w:val="00504112"/>
    <w:rsid w:val="005042F5"/>
    <w:rsid w:val="0050435E"/>
    <w:rsid w:val="00504462"/>
    <w:rsid w:val="0050486B"/>
    <w:rsid w:val="00504960"/>
    <w:rsid w:val="005052CF"/>
    <w:rsid w:val="00505BE5"/>
    <w:rsid w:val="00505C8F"/>
    <w:rsid w:val="00505DDD"/>
    <w:rsid w:val="00505EBE"/>
    <w:rsid w:val="00506057"/>
    <w:rsid w:val="005060D4"/>
    <w:rsid w:val="005063D5"/>
    <w:rsid w:val="00506C3D"/>
    <w:rsid w:val="00506C79"/>
    <w:rsid w:val="00506F6F"/>
    <w:rsid w:val="0050704D"/>
    <w:rsid w:val="0050719B"/>
    <w:rsid w:val="005075BB"/>
    <w:rsid w:val="00507CFB"/>
    <w:rsid w:val="00510B67"/>
    <w:rsid w:val="005110E5"/>
    <w:rsid w:val="00511542"/>
    <w:rsid w:val="00511952"/>
    <w:rsid w:val="00512206"/>
    <w:rsid w:val="005123FD"/>
    <w:rsid w:val="00512700"/>
    <w:rsid w:val="005127C1"/>
    <w:rsid w:val="00512971"/>
    <w:rsid w:val="005132AA"/>
    <w:rsid w:val="00513604"/>
    <w:rsid w:val="00513A26"/>
    <w:rsid w:val="00513C30"/>
    <w:rsid w:val="00513FD8"/>
    <w:rsid w:val="0051447B"/>
    <w:rsid w:val="005145D2"/>
    <w:rsid w:val="00514699"/>
    <w:rsid w:val="0051488D"/>
    <w:rsid w:val="00515204"/>
    <w:rsid w:val="0051582D"/>
    <w:rsid w:val="00515E18"/>
    <w:rsid w:val="00515FC7"/>
    <w:rsid w:val="00516046"/>
    <w:rsid w:val="00516408"/>
    <w:rsid w:val="005168AA"/>
    <w:rsid w:val="00516C47"/>
    <w:rsid w:val="00516C6C"/>
    <w:rsid w:val="00517463"/>
    <w:rsid w:val="00517FF3"/>
    <w:rsid w:val="005207E8"/>
    <w:rsid w:val="00520D26"/>
    <w:rsid w:val="00520EA0"/>
    <w:rsid w:val="00520F8A"/>
    <w:rsid w:val="00521126"/>
    <w:rsid w:val="00521186"/>
    <w:rsid w:val="00521CF6"/>
    <w:rsid w:val="005224F3"/>
    <w:rsid w:val="005228D0"/>
    <w:rsid w:val="00522C72"/>
    <w:rsid w:val="00522D65"/>
    <w:rsid w:val="00523760"/>
    <w:rsid w:val="00523D54"/>
    <w:rsid w:val="00523E97"/>
    <w:rsid w:val="00523F1B"/>
    <w:rsid w:val="00524456"/>
    <w:rsid w:val="00524EC4"/>
    <w:rsid w:val="00525237"/>
    <w:rsid w:val="005259C0"/>
    <w:rsid w:val="00526951"/>
    <w:rsid w:val="0052716C"/>
    <w:rsid w:val="0052766D"/>
    <w:rsid w:val="00527DB6"/>
    <w:rsid w:val="00527E5A"/>
    <w:rsid w:val="0053011F"/>
    <w:rsid w:val="005303B1"/>
    <w:rsid w:val="0053046B"/>
    <w:rsid w:val="00531501"/>
    <w:rsid w:val="00531E70"/>
    <w:rsid w:val="005324BA"/>
    <w:rsid w:val="00532587"/>
    <w:rsid w:val="005326A9"/>
    <w:rsid w:val="00532783"/>
    <w:rsid w:val="00532945"/>
    <w:rsid w:val="00532A65"/>
    <w:rsid w:val="00532BFC"/>
    <w:rsid w:val="0053375A"/>
    <w:rsid w:val="00534015"/>
    <w:rsid w:val="00534200"/>
    <w:rsid w:val="005347E3"/>
    <w:rsid w:val="00534D4C"/>
    <w:rsid w:val="00535042"/>
    <w:rsid w:val="0053520A"/>
    <w:rsid w:val="00535671"/>
    <w:rsid w:val="005358E1"/>
    <w:rsid w:val="00536079"/>
    <w:rsid w:val="005360EB"/>
    <w:rsid w:val="0053630A"/>
    <w:rsid w:val="00536389"/>
    <w:rsid w:val="00536A37"/>
    <w:rsid w:val="005377EA"/>
    <w:rsid w:val="005378DF"/>
    <w:rsid w:val="0053790D"/>
    <w:rsid w:val="00537B05"/>
    <w:rsid w:val="00537E89"/>
    <w:rsid w:val="00540054"/>
    <w:rsid w:val="0054066D"/>
    <w:rsid w:val="00540AB9"/>
    <w:rsid w:val="00541073"/>
    <w:rsid w:val="0054141C"/>
    <w:rsid w:val="005415E4"/>
    <w:rsid w:val="0054160C"/>
    <w:rsid w:val="005420C8"/>
    <w:rsid w:val="00542414"/>
    <w:rsid w:val="00542A25"/>
    <w:rsid w:val="00542D88"/>
    <w:rsid w:val="00542EF8"/>
    <w:rsid w:val="005433BF"/>
    <w:rsid w:val="00544288"/>
    <w:rsid w:val="0054463C"/>
    <w:rsid w:val="0054484B"/>
    <w:rsid w:val="0054493E"/>
    <w:rsid w:val="00544C22"/>
    <w:rsid w:val="0054556B"/>
    <w:rsid w:val="00545B71"/>
    <w:rsid w:val="00546793"/>
    <w:rsid w:val="00546ED4"/>
    <w:rsid w:val="00546EEE"/>
    <w:rsid w:val="005470FD"/>
    <w:rsid w:val="00547722"/>
    <w:rsid w:val="00547A5C"/>
    <w:rsid w:val="00547E82"/>
    <w:rsid w:val="00547F6C"/>
    <w:rsid w:val="0055067F"/>
    <w:rsid w:val="005516B7"/>
    <w:rsid w:val="00552263"/>
    <w:rsid w:val="00552EA8"/>
    <w:rsid w:val="00553293"/>
    <w:rsid w:val="0055373F"/>
    <w:rsid w:val="00553B40"/>
    <w:rsid w:val="005540E9"/>
    <w:rsid w:val="00555048"/>
    <w:rsid w:val="00555ADF"/>
    <w:rsid w:val="0055666F"/>
    <w:rsid w:val="005568DB"/>
    <w:rsid w:val="00556BED"/>
    <w:rsid w:val="0056026A"/>
    <w:rsid w:val="00560295"/>
    <w:rsid w:val="00560E04"/>
    <w:rsid w:val="0056162C"/>
    <w:rsid w:val="00561715"/>
    <w:rsid w:val="00561841"/>
    <w:rsid w:val="005621FF"/>
    <w:rsid w:val="0056222F"/>
    <w:rsid w:val="005624E1"/>
    <w:rsid w:val="00562927"/>
    <w:rsid w:val="00562F16"/>
    <w:rsid w:val="00563076"/>
    <w:rsid w:val="0056392E"/>
    <w:rsid w:val="00563AB4"/>
    <w:rsid w:val="00563C8D"/>
    <w:rsid w:val="00564039"/>
    <w:rsid w:val="005641DB"/>
    <w:rsid w:val="0056426F"/>
    <w:rsid w:val="005647D6"/>
    <w:rsid w:val="00564849"/>
    <w:rsid w:val="00564C8A"/>
    <w:rsid w:val="005650FC"/>
    <w:rsid w:val="005651F3"/>
    <w:rsid w:val="00565B3D"/>
    <w:rsid w:val="00565F44"/>
    <w:rsid w:val="005662E5"/>
    <w:rsid w:val="0056691B"/>
    <w:rsid w:val="005670A6"/>
    <w:rsid w:val="00567564"/>
    <w:rsid w:val="00567716"/>
    <w:rsid w:val="00567FDC"/>
    <w:rsid w:val="00570C81"/>
    <w:rsid w:val="00570D6C"/>
    <w:rsid w:val="00570D91"/>
    <w:rsid w:val="00571078"/>
    <w:rsid w:val="00571555"/>
    <w:rsid w:val="00571678"/>
    <w:rsid w:val="00572139"/>
    <w:rsid w:val="00572758"/>
    <w:rsid w:val="00572F19"/>
    <w:rsid w:val="005730FB"/>
    <w:rsid w:val="0057342F"/>
    <w:rsid w:val="00573727"/>
    <w:rsid w:val="00573B50"/>
    <w:rsid w:val="00573CFE"/>
    <w:rsid w:val="00574061"/>
    <w:rsid w:val="00574728"/>
    <w:rsid w:val="00574F17"/>
    <w:rsid w:val="0057557E"/>
    <w:rsid w:val="005759DE"/>
    <w:rsid w:val="00575FD5"/>
    <w:rsid w:val="005769D5"/>
    <w:rsid w:val="00576EED"/>
    <w:rsid w:val="00576F21"/>
    <w:rsid w:val="005774BA"/>
    <w:rsid w:val="00580128"/>
    <w:rsid w:val="00580A01"/>
    <w:rsid w:val="00580A8D"/>
    <w:rsid w:val="00581142"/>
    <w:rsid w:val="00582C0E"/>
    <w:rsid w:val="00582E07"/>
    <w:rsid w:val="005830AC"/>
    <w:rsid w:val="005835D1"/>
    <w:rsid w:val="00584456"/>
    <w:rsid w:val="005844B3"/>
    <w:rsid w:val="005849DB"/>
    <w:rsid w:val="00584D37"/>
    <w:rsid w:val="00584D81"/>
    <w:rsid w:val="00584E8C"/>
    <w:rsid w:val="00584F3E"/>
    <w:rsid w:val="0058538F"/>
    <w:rsid w:val="005858BD"/>
    <w:rsid w:val="00585D39"/>
    <w:rsid w:val="00586087"/>
    <w:rsid w:val="005860FE"/>
    <w:rsid w:val="00586A83"/>
    <w:rsid w:val="00586AB7"/>
    <w:rsid w:val="00587216"/>
    <w:rsid w:val="005872D3"/>
    <w:rsid w:val="00587504"/>
    <w:rsid w:val="00587713"/>
    <w:rsid w:val="00587DFD"/>
    <w:rsid w:val="005900C3"/>
    <w:rsid w:val="005901C2"/>
    <w:rsid w:val="005905C5"/>
    <w:rsid w:val="00590C66"/>
    <w:rsid w:val="005912A6"/>
    <w:rsid w:val="00591471"/>
    <w:rsid w:val="00591A65"/>
    <w:rsid w:val="00591C32"/>
    <w:rsid w:val="00592D21"/>
    <w:rsid w:val="005933FC"/>
    <w:rsid w:val="00593CAF"/>
    <w:rsid w:val="005942F8"/>
    <w:rsid w:val="0059499F"/>
    <w:rsid w:val="00594B85"/>
    <w:rsid w:val="00594DF3"/>
    <w:rsid w:val="0059510C"/>
    <w:rsid w:val="00595254"/>
    <w:rsid w:val="00595B7C"/>
    <w:rsid w:val="00595CC3"/>
    <w:rsid w:val="005962B1"/>
    <w:rsid w:val="005969C3"/>
    <w:rsid w:val="00597531"/>
    <w:rsid w:val="00597833"/>
    <w:rsid w:val="0059797E"/>
    <w:rsid w:val="005979D7"/>
    <w:rsid w:val="005A0865"/>
    <w:rsid w:val="005A0986"/>
    <w:rsid w:val="005A0C10"/>
    <w:rsid w:val="005A1066"/>
    <w:rsid w:val="005A1102"/>
    <w:rsid w:val="005A1FA2"/>
    <w:rsid w:val="005A27C2"/>
    <w:rsid w:val="005A28EA"/>
    <w:rsid w:val="005A3448"/>
    <w:rsid w:val="005A3E4B"/>
    <w:rsid w:val="005A5A74"/>
    <w:rsid w:val="005A5DB6"/>
    <w:rsid w:val="005A61B8"/>
    <w:rsid w:val="005A6973"/>
    <w:rsid w:val="005A6A55"/>
    <w:rsid w:val="005A77FB"/>
    <w:rsid w:val="005B02EE"/>
    <w:rsid w:val="005B043E"/>
    <w:rsid w:val="005B09D0"/>
    <w:rsid w:val="005B09D2"/>
    <w:rsid w:val="005B0DEF"/>
    <w:rsid w:val="005B1366"/>
    <w:rsid w:val="005B146C"/>
    <w:rsid w:val="005B1575"/>
    <w:rsid w:val="005B1CBD"/>
    <w:rsid w:val="005B21EC"/>
    <w:rsid w:val="005B248B"/>
    <w:rsid w:val="005B2697"/>
    <w:rsid w:val="005B2746"/>
    <w:rsid w:val="005B2867"/>
    <w:rsid w:val="005B2B91"/>
    <w:rsid w:val="005B39A6"/>
    <w:rsid w:val="005B4090"/>
    <w:rsid w:val="005B41AF"/>
    <w:rsid w:val="005B44DE"/>
    <w:rsid w:val="005B4855"/>
    <w:rsid w:val="005B49E1"/>
    <w:rsid w:val="005B4BAD"/>
    <w:rsid w:val="005B52A6"/>
    <w:rsid w:val="005B5554"/>
    <w:rsid w:val="005B57DE"/>
    <w:rsid w:val="005B5C45"/>
    <w:rsid w:val="005B69EF"/>
    <w:rsid w:val="005B6B58"/>
    <w:rsid w:val="005B73C3"/>
    <w:rsid w:val="005B7875"/>
    <w:rsid w:val="005B7A88"/>
    <w:rsid w:val="005B7D09"/>
    <w:rsid w:val="005C03EF"/>
    <w:rsid w:val="005C0690"/>
    <w:rsid w:val="005C0982"/>
    <w:rsid w:val="005C0EED"/>
    <w:rsid w:val="005C1CBD"/>
    <w:rsid w:val="005C1FFF"/>
    <w:rsid w:val="005C2924"/>
    <w:rsid w:val="005C2D95"/>
    <w:rsid w:val="005C356E"/>
    <w:rsid w:val="005C35F7"/>
    <w:rsid w:val="005C3634"/>
    <w:rsid w:val="005C3944"/>
    <w:rsid w:val="005C4375"/>
    <w:rsid w:val="005C46CA"/>
    <w:rsid w:val="005C4C26"/>
    <w:rsid w:val="005C4C53"/>
    <w:rsid w:val="005C4E60"/>
    <w:rsid w:val="005C4E90"/>
    <w:rsid w:val="005C5233"/>
    <w:rsid w:val="005C582A"/>
    <w:rsid w:val="005C6F9D"/>
    <w:rsid w:val="005C7984"/>
    <w:rsid w:val="005C7CB7"/>
    <w:rsid w:val="005D04F4"/>
    <w:rsid w:val="005D118D"/>
    <w:rsid w:val="005D143C"/>
    <w:rsid w:val="005D14B3"/>
    <w:rsid w:val="005D19E3"/>
    <w:rsid w:val="005D1D8D"/>
    <w:rsid w:val="005D1ECF"/>
    <w:rsid w:val="005D20F9"/>
    <w:rsid w:val="005D21A2"/>
    <w:rsid w:val="005D21A5"/>
    <w:rsid w:val="005D21C7"/>
    <w:rsid w:val="005D292B"/>
    <w:rsid w:val="005D2A7C"/>
    <w:rsid w:val="005D3457"/>
    <w:rsid w:val="005D3C3D"/>
    <w:rsid w:val="005D3F9C"/>
    <w:rsid w:val="005D440A"/>
    <w:rsid w:val="005D44D9"/>
    <w:rsid w:val="005D4D13"/>
    <w:rsid w:val="005D4FF8"/>
    <w:rsid w:val="005D5B60"/>
    <w:rsid w:val="005D5C73"/>
    <w:rsid w:val="005D5CD3"/>
    <w:rsid w:val="005D6290"/>
    <w:rsid w:val="005D6734"/>
    <w:rsid w:val="005D6CC8"/>
    <w:rsid w:val="005D6D33"/>
    <w:rsid w:val="005D6E5B"/>
    <w:rsid w:val="005D7476"/>
    <w:rsid w:val="005D7759"/>
    <w:rsid w:val="005D7E37"/>
    <w:rsid w:val="005D7F0C"/>
    <w:rsid w:val="005E02BD"/>
    <w:rsid w:val="005E0607"/>
    <w:rsid w:val="005E06C0"/>
    <w:rsid w:val="005E093E"/>
    <w:rsid w:val="005E0A31"/>
    <w:rsid w:val="005E1203"/>
    <w:rsid w:val="005E15F8"/>
    <w:rsid w:val="005E186B"/>
    <w:rsid w:val="005E1E8E"/>
    <w:rsid w:val="005E296A"/>
    <w:rsid w:val="005E2CF0"/>
    <w:rsid w:val="005E304B"/>
    <w:rsid w:val="005E36B9"/>
    <w:rsid w:val="005E3CB4"/>
    <w:rsid w:val="005E4887"/>
    <w:rsid w:val="005E4E38"/>
    <w:rsid w:val="005E4F12"/>
    <w:rsid w:val="005E550A"/>
    <w:rsid w:val="005E5AB5"/>
    <w:rsid w:val="005E5C6C"/>
    <w:rsid w:val="005E641A"/>
    <w:rsid w:val="005E6531"/>
    <w:rsid w:val="005E6668"/>
    <w:rsid w:val="005E68D3"/>
    <w:rsid w:val="005E72C7"/>
    <w:rsid w:val="005E7E56"/>
    <w:rsid w:val="005F003A"/>
    <w:rsid w:val="005F00B0"/>
    <w:rsid w:val="005F02DA"/>
    <w:rsid w:val="005F05C9"/>
    <w:rsid w:val="005F094F"/>
    <w:rsid w:val="005F12B3"/>
    <w:rsid w:val="005F13A3"/>
    <w:rsid w:val="005F14A1"/>
    <w:rsid w:val="005F15A5"/>
    <w:rsid w:val="005F1825"/>
    <w:rsid w:val="005F1B5D"/>
    <w:rsid w:val="005F1C1A"/>
    <w:rsid w:val="005F227D"/>
    <w:rsid w:val="005F249F"/>
    <w:rsid w:val="005F2CFF"/>
    <w:rsid w:val="005F32DE"/>
    <w:rsid w:val="005F4386"/>
    <w:rsid w:val="005F5039"/>
    <w:rsid w:val="005F5483"/>
    <w:rsid w:val="005F558E"/>
    <w:rsid w:val="005F5AF8"/>
    <w:rsid w:val="005F64DB"/>
    <w:rsid w:val="005F6592"/>
    <w:rsid w:val="005F6611"/>
    <w:rsid w:val="005F7420"/>
    <w:rsid w:val="005F7874"/>
    <w:rsid w:val="005F78F9"/>
    <w:rsid w:val="005F7D94"/>
    <w:rsid w:val="005F7F52"/>
    <w:rsid w:val="0060079A"/>
    <w:rsid w:val="00601523"/>
    <w:rsid w:val="00601741"/>
    <w:rsid w:val="00601BF5"/>
    <w:rsid w:val="00602683"/>
    <w:rsid w:val="006026B9"/>
    <w:rsid w:val="0060282A"/>
    <w:rsid w:val="00602856"/>
    <w:rsid w:val="00602900"/>
    <w:rsid w:val="00602FD6"/>
    <w:rsid w:val="006031B1"/>
    <w:rsid w:val="00603A4A"/>
    <w:rsid w:val="00603E32"/>
    <w:rsid w:val="006046BA"/>
    <w:rsid w:val="00604A31"/>
    <w:rsid w:val="00604EB4"/>
    <w:rsid w:val="00604F18"/>
    <w:rsid w:val="00605440"/>
    <w:rsid w:val="00605A66"/>
    <w:rsid w:val="00606224"/>
    <w:rsid w:val="006066A4"/>
    <w:rsid w:val="0060780E"/>
    <w:rsid w:val="00610B7B"/>
    <w:rsid w:val="00611631"/>
    <w:rsid w:val="006117EE"/>
    <w:rsid w:val="00611B0A"/>
    <w:rsid w:val="006124C2"/>
    <w:rsid w:val="006125A2"/>
    <w:rsid w:val="006126BB"/>
    <w:rsid w:val="00612771"/>
    <w:rsid w:val="006130F6"/>
    <w:rsid w:val="006134BB"/>
    <w:rsid w:val="006134F8"/>
    <w:rsid w:val="00613D1F"/>
    <w:rsid w:val="00614415"/>
    <w:rsid w:val="00614A54"/>
    <w:rsid w:val="00614C00"/>
    <w:rsid w:val="00615800"/>
    <w:rsid w:val="00616A81"/>
    <w:rsid w:val="00617212"/>
    <w:rsid w:val="00617717"/>
    <w:rsid w:val="00617963"/>
    <w:rsid w:val="00620359"/>
    <w:rsid w:val="00620880"/>
    <w:rsid w:val="006208FE"/>
    <w:rsid w:val="00620CF7"/>
    <w:rsid w:val="0062179B"/>
    <w:rsid w:val="006217E0"/>
    <w:rsid w:val="00621BE0"/>
    <w:rsid w:val="006225D6"/>
    <w:rsid w:val="00622633"/>
    <w:rsid w:val="00622A57"/>
    <w:rsid w:val="00623136"/>
    <w:rsid w:val="006238FB"/>
    <w:rsid w:val="00623943"/>
    <w:rsid w:val="006239B6"/>
    <w:rsid w:val="00624AF3"/>
    <w:rsid w:val="00624C10"/>
    <w:rsid w:val="00624C74"/>
    <w:rsid w:val="00624C76"/>
    <w:rsid w:val="00624EBA"/>
    <w:rsid w:val="00624F3B"/>
    <w:rsid w:val="0062587A"/>
    <w:rsid w:val="00625B45"/>
    <w:rsid w:val="00625BF0"/>
    <w:rsid w:val="006267E7"/>
    <w:rsid w:val="00626E65"/>
    <w:rsid w:val="0062724B"/>
    <w:rsid w:val="0062738A"/>
    <w:rsid w:val="00627B7F"/>
    <w:rsid w:val="00627F4A"/>
    <w:rsid w:val="00627F52"/>
    <w:rsid w:val="0063001E"/>
    <w:rsid w:val="00630288"/>
    <w:rsid w:val="0063095F"/>
    <w:rsid w:val="00630C39"/>
    <w:rsid w:val="006316BF"/>
    <w:rsid w:val="00631D76"/>
    <w:rsid w:val="00632039"/>
    <w:rsid w:val="0063248A"/>
    <w:rsid w:val="00632FE2"/>
    <w:rsid w:val="006331CA"/>
    <w:rsid w:val="00633A91"/>
    <w:rsid w:val="00633AB3"/>
    <w:rsid w:val="00633B76"/>
    <w:rsid w:val="006342A6"/>
    <w:rsid w:val="0063444C"/>
    <w:rsid w:val="00634A6E"/>
    <w:rsid w:val="00634D2A"/>
    <w:rsid w:val="00635508"/>
    <w:rsid w:val="00635B6E"/>
    <w:rsid w:val="00635E77"/>
    <w:rsid w:val="00636A33"/>
    <w:rsid w:val="00637618"/>
    <w:rsid w:val="0063768F"/>
    <w:rsid w:val="00637733"/>
    <w:rsid w:val="00637868"/>
    <w:rsid w:val="00637FA1"/>
    <w:rsid w:val="00637FA9"/>
    <w:rsid w:val="00641BCC"/>
    <w:rsid w:val="00641DAD"/>
    <w:rsid w:val="00641FBF"/>
    <w:rsid w:val="00643D7F"/>
    <w:rsid w:val="00644117"/>
    <w:rsid w:val="0064435F"/>
    <w:rsid w:val="00644542"/>
    <w:rsid w:val="00644ED3"/>
    <w:rsid w:val="006450F8"/>
    <w:rsid w:val="006451EA"/>
    <w:rsid w:val="00645A2D"/>
    <w:rsid w:val="00645EBC"/>
    <w:rsid w:val="00645F9C"/>
    <w:rsid w:val="006460B8"/>
    <w:rsid w:val="006463E7"/>
    <w:rsid w:val="0064672D"/>
    <w:rsid w:val="0064681A"/>
    <w:rsid w:val="006479A6"/>
    <w:rsid w:val="00647B3F"/>
    <w:rsid w:val="00650622"/>
    <w:rsid w:val="006509AE"/>
    <w:rsid w:val="0065136E"/>
    <w:rsid w:val="00651853"/>
    <w:rsid w:val="00651C52"/>
    <w:rsid w:val="00651D07"/>
    <w:rsid w:val="00652194"/>
    <w:rsid w:val="0065266B"/>
    <w:rsid w:val="006529BD"/>
    <w:rsid w:val="00653801"/>
    <w:rsid w:val="00653BFD"/>
    <w:rsid w:val="00653FB1"/>
    <w:rsid w:val="006547EA"/>
    <w:rsid w:val="00654AB6"/>
    <w:rsid w:val="0065556E"/>
    <w:rsid w:val="00655EE6"/>
    <w:rsid w:val="006561D8"/>
    <w:rsid w:val="00656268"/>
    <w:rsid w:val="00656398"/>
    <w:rsid w:val="006572FA"/>
    <w:rsid w:val="00657799"/>
    <w:rsid w:val="00657CDC"/>
    <w:rsid w:val="00660920"/>
    <w:rsid w:val="00660D3E"/>
    <w:rsid w:val="006617B7"/>
    <w:rsid w:val="0066281F"/>
    <w:rsid w:val="00662BBF"/>
    <w:rsid w:val="00662C3E"/>
    <w:rsid w:val="00662CFA"/>
    <w:rsid w:val="00663B24"/>
    <w:rsid w:val="00664056"/>
    <w:rsid w:val="006645DF"/>
    <w:rsid w:val="006650CE"/>
    <w:rsid w:val="006654A8"/>
    <w:rsid w:val="0066564F"/>
    <w:rsid w:val="006659DB"/>
    <w:rsid w:val="00665D2D"/>
    <w:rsid w:val="00665FB0"/>
    <w:rsid w:val="006662CA"/>
    <w:rsid w:val="006671EC"/>
    <w:rsid w:val="0066785B"/>
    <w:rsid w:val="00667EFE"/>
    <w:rsid w:val="0067067F"/>
    <w:rsid w:val="0067069B"/>
    <w:rsid w:val="00670B74"/>
    <w:rsid w:val="00670C98"/>
    <w:rsid w:val="00670E9F"/>
    <w:rsid w:val="00671148"/>
    <w:rsid w:val="006713F4"/>
    <w:rsid w:val="006714BE"/>
    <w:rsid w:val="00671E1C"/>
    <w:rsid w:val="00671F3D"/>
    <w:rsid w:val="00672064"/>
    <w:rsid w:val="006720E5"/>
    <w:rsid w:val="00672C2E"/>
    <w:rsid w:val="00672C52"/>
    <w:rsid w:val="0067317F"/>
    <w:rsid w:val="0067343D"/>
    <w:rsid w:val="00673C03"/>
    <w:rsid w:val="00673C4D"/>
    <w:rsid w:val="00674016"/>
    <w:rsid w:val="006740A5"/>
    <w:rsid w:val="00674204"/>
    <w:rsid w:val="00675195"/>
    <w:rsid w:val="00675895"/>
    <w:rsid w:val="00675B38"/>
    <w:rsid w:val="006760EA"/>
    <w:rsid w:val="00677377"/>
    <w:rsid w:val="00677F15"/>
    <w:rsid w:val="0068004A"/>
    <w:rsid w:val="00680C67"/>
    <w:rsid w:val="006811F9"/>
    <w:rsid w:val="0068181E"/>
    <w:rsid w:val="00681915"/>
    <w:rsid w:val="00681ABC"/>
    <w:rsid w:val="00682B0B"/>
    <w:rsid w:val="00682B8A"/>
    <w:rsid w:val="00682EEA"/>
    <w:rsid w:val="0068324C"/>
    <w:rsid w:val="00683E47"/>
    <w:rsid w:val="0068419A"/>
    <w:rsid w:val="006844CB"/>
    <w:rsid w:val="006844F2"/>
    <w:rsid w:val="00684659"/>
    <w:rsid w:val="00684876"/>
    <w:rsid w:val="006849B7"/>
    <w:rsid w:val="00684D62"/>
    <w:rsid w:val="00684F98"/>
    <w:rsid w:val="00685259"/>
    <w:rsid w:val="00685510"/>
    <w:rsid w:val="00685650"/>
    <w:rsid w:val="006857F2"/>
    <w:rsid w:val="00685982"/>
    <w:rsid w:val="00685BEC"/>
    <w:rsid w:val="00685DCD"/>
    <w:rsid w:val="00686377"/>
    <w:rsid w:val="0068669D"/>
    <w:rsid w:val="006868F5"/>
    <w:rsid w:val="00686E2C"/>
    <w:rsid w:val="0068708D"/>
    <w:rsid w:val="006876AC"/>
    <w:rsid w:val="00687D5D"/>
    <w:rsid w:val="00687FD4"/>
    <w:rsid w:val="006902EC"/>
    <w:rsid w:val="00690803"/>
    <w:rsid w:val="00690AA1"/>
    <w:rsid w:val="006915CA"/>
    <w:rsid w:val="006918B2"/>
    <w:rsid w:val="006924A8"/>
    <w:rsid w:val="00692A61"/>
    <w:rsid w:val="006930E5"/>
    <w:rsid w:val="0069350C"/>
    <w:rsid w:val="00693925"/>
    <w:rsid w:val="00694007"/>
    <w:rsid w:val="00694015"/>
    <w:rsid w:val="006942CE"/>
    <w:rsid w:val="0069471A"/>
    <w:rsid w:val="00694780"/>
    <w:rsid w:val="00694990"/>
    <w:rsid w:val="006953AA"/>
    <w:rsid w:val="00695DA0"/>
    <w:rsid w:val="00695EA5"/>
    <w:rsid w:val="00696139"/>
    <w:rsid w:val="006961B4"/>
    <w:rsid w:val="00696441"/>
    <w:rsid w:val="00696719"/>
    <w:rsid w:val="00696B0C"/>
    <w:rsid w:val="00697185"/>
    <w:rsid w:val="0069758E"/>
    <w:rsid w:val="00697B0A"/>
    <w:rsid w:val="00697D82"/>
    <w:rsid w:val="006A00C9"/>
    <w:rsid w:val="006A0176"/>
    <w:rsid w:val="006A01F5"/>
    <w:rsid w:val="006A0641"/>
    <w:rsid w:val="006A0BEE"/>
    <w:rsid w:val="006A14C8"/>
    <w:rsid w:val="006A1BB0"/>
    <w:rsid w:val="006A1D98"/>
    <w:rsid w:val="006A1E68"/>
    <w:rsid w:val="006A2C98"/>
    <w:rsid w:val="006A344C"/>
    <w:rsid w:val="006A3707"/>
    <w:rsid w:val="006A3856"/>
    <w:rsid w:val="006A3D5A"/>
    <w:rsid w:val="006A447B"/>
    <w:rsid w:val="006A4737"/>
    <w:rsid w:val="006A4947"/>
    <w:rsid w:val="006A4A1D"/>
    <w:rsid w:val="006A507E"/>
    <w:rsid w:val="006A5658"/>
    <w:rsid w:val="006A5AC6"/>
    <w:rsid w:val="006A5CD2"/>
    <w:rsid w:val="006A5CFC"/>
    <w:rsid w:val="006A6938"/>
    <w:rsid w:val="006A71F0"/>
    <w:rsid w:val="006A756D"/>
    <w:rsid w:val="006A7653"/>
    <w:rsid w:val="006A7BCB"/>
    <w:rsid w:val="006A7CC2"/>
    <w:rsid w:val="006A7F98"/>
    <w:rsid w:val="006B0BA8"/>
    <w:rsid w:val="006B0DEA"/>
    <w:rsid w:val="006B0F25"/>
    <w:rsid w:val="006B1046"/>
    <w:rsid w:val="006B106C"/>
    <w:rsid w:val="006B1492"/>
    <w:rsid w:val="006B14FA"/>
    <w:rsid w:val="006B2FEC"/>
    <w:rsid w:val="006B357F"/>
    <w:rsid w:val="006B39FD"/>
    <w:rsid w:val="006B3E8B"/>
    <w:rsid w:val="006B3FCD"/>
    <w:rsid w:val="006B480A"/>
    <w:rsid w:val="006B4926"/>
    <w:rsid w:val="006B535D"/>
    <w:rsid w:val="006B5473"/>
    <w:rsid w:val="006B57E0"/>
    <w:rsid w:val="006B5AC9"/>
    <w:rsid w:val="006B5D6A"/>
    <w:rsid w:val="006B5E03"/>
    <w:rsid w:val="006B637E"/>
    <w:rsid w:val="006B63C4"/>
    <w:rsid w:val="006B66A7"/>
    <w:rsid w:val="006B6D61"/>
    <w:rsid w:val="006B7606"/>
    <w:rsid w:val="006B7781"/>
    <w:rsid w:val="006B780B"/>
    <w:rsid w:val="006B78FA"/>
    <w:rsid w:val="006C0583"/>
    <w:rsid w:val="006C074C"/>
    <w:rsid w:val="006C0982"/>
    <w:rsid w:val="006C1484"/>
    <w:rsid w:val="006C154A"/>
    <w:rsid w:val="006C1BA9"/>
    <w:rsid w:val="006C3129"/>
    <w:rsid w:val="006C3220"/>
    <w:rsid w:val="006C32D4"/>
    <w:rsid w:val="006C38AD"/>
    <w:rsid w:val="006C3AA3"/>
    <w:rsid w:val="006C3DBB"/>
    <w:rsid w:val="006C408A"/>
    <w:rsid w:val="006C439D"/>
    <w:rsid w:val="006C4D6A"/>
    <w:rsid w:val="006C4E65"/>
    <w:rsid w:val="006C4F00"/>
    <w:rsid w:val="006C52F2"/>
    <w:rsid w:val="006C5332"/>
    <w:rsid w:val="006C55E1"/>
    <w:rsid w:val="006C673A"/>
    <w:rsid w:val="006C67C0"/>
    <w:rsid w:val="006C683E"/>
    <w:rsid w:val="006C6D69"/>
    <w:rsid w:val="006C724F"/>
    <w:rsid w:val="006C7B9A"/>
    <w:rsid w:val="006D0454"/>
    <w:rsid w:val="006D0AAE"/>
    <w:rsid w:val="006D1008"/>
    <w:rsid w:val="006D1868"/>
    <w:rsid w:val="006D1BEC"/>
    <w:rsid w:val="006D1C7D"/>
    <w:rsid w:val="006D20F7"/>
    <w:rsid w:val="006D2450"/>
    <w:rsid w:val="006D24B7"/>
    <w:rsid w:val="006D264F"/>
    <w:rsid w:val="006D28D1"/>
    <w:rsid w:val="006D46F9"/>
    <w:rsid w:val="006D4D21"/>
    <w:rsid w:val="006D4DF0"/>
    <w:rsid w:val="006D536A"/>
    <w:rsid w:val="006D59A6"/>
    <w:rsid w:val="006D5A3E"/>
    <w:rsid w:val="006D64EC"/>
    <w:rsid w:val="006D667C"/>
    <w:rsid w:val="006D6930"/>
    <w:rsid w:val="006D6E2E"/>
    <w:rsid w:val="006D7599"/>
    <w:rsid w:val="006E01F9"/>
    <w:rsid w:val="006E0CF6"/>
    <w:rsid w:val="006E0E47"/>
    <w:rsid w:val="006E1511"/>
    <w:rsid w:val="006E1700"/>
    <w:rsid w:val="006E17F8"/>
    <w:rsid w:val="006E19BF"/>
    <w:rsid w:val="006E1B87"/>
    <w:rsid w:val="006E1D9E"/>
    <w:rsid w:val="006E2357"/>
    <w:rsid w:val="006E25A8"/>
    <w:rsid w:val="006E2FCF"/>
    <w:rsid w:val="006E3928"/>
    <w:rsid w:val="006E3E0F"/>
    <w:rsid w:val="006E4650"/>
    <w:rsid w:val="006E50A9"/>
    <w:rsid w:val="006E5859"/>
    <w:rsid w:val="006E5D34"/>
    <w:rsid w:val="006E608A"/>
    <w:rsid w:val="006E6646"/>
    <w:rsid w:val="006E6933"/>
    <w:rsid w:val="006E7490"/>
    <w:rsid w:val="006E7622"/>
    <w:rsid w:val="006F003B"/>
    <w:rsid w:val="006F0195"/>
    <w:rsid w:val="006F0DC0"/>
    <w:rsid w:val="006F1C33"/>
    <w:rsid w:val="006F1D90"/>
    <w:rsid w:val="006F2036"/>
    <w:rsid w:val="006F215A"/>
    <w:rsid w:val="006F2A83"/>
    <w:rsid w:val="006F2B47"/>
    <w:rsid w:val="006F2D2D"/>
    <w:rsid w:val="006F310C"/>
    <w:rsid w:val="006F474E"/>
    <w:rsid w:val="006F4EAC"/>
    <w:rsid w:val="006F54A6"/>
    <w:rsid w:val="006F588C"/>
    <w:rsid w:val="006F592D"/>
    <w:rsid w:val="006F59FF"/>
    <w:rsid w:val="006F5B32"/>
    <w:rsid w:val="006F62C8"/>
    <w:rsid w:val="006F6B83"/>
    <w:rsid w:val="006F74F0"/>
    <w:rsid w:val="0070098B"/>
    <w:rsid w:val="00700BC0"/>
    <w:rsid w:val="00701278"/>
    <w:rsid w:val="00701A9E"/>
    <w:rsid w:val="00701B63"/>
    <w:rsid w:val="00701F70"/>
    <w:rsid w:val="00702C9A"/>
    <w:rsid w:val="00702F5D"/>
    <w:rsid w:val="00704C69"/>
    <w:rsid w:val="00704DE0"/>
    <w:rsid w:val="0070500C"/>
    <w:rsid w:val="007058C4"/>
    <w:rsid w:val="00705D9C"/>
    <w:rsid w:val="00705E05"/>
    <w:rsid w:val="00706406"/>
    <w:rsid w:val="00706E05"/>
    <w:rsid w:val="007070EE"/>
    <w:rsid w:val="0070712C"/>
    <w:rsid w:val="00707176"/>
    <w:rsid w:val="00710F8B"/>
    <w:rsid w:val="00711218"/>
    <w:rsid w:val="007114B2"/>
    <w:rsid w:val="007118F2"/>
    <w:rsid w:val="00711BAD"/>
    <w:rsid w:val="00711F2D"/>
    <w:rsid w:val="00712F6E"/>
    <w:rsid w:val="00713111"/>
    <w:rsid w:val="007134D5"/>
    <w:rsid w:val="00713A2E"/>
    <w:rsid w:val="007143DB"/>
    <w:rsid w:val="00714713"/>
    <w:rsid w:val="00714851"/>
    <w:rsid w:val="00715025"/>
    <w:rsid w:val="007155E7"/>
    <w:rsid w:val="007157CA"/>
    <w:rsid w:val="00715833"/>
    <w:rsid w:val="00715A35"/>
    <w:rsid w:val="00715ACA"/>
    <w:rsid w:val="00716496"/>
    <w:rsid w:val="007164D8"/>
    <w:rsid w:val="00716C2A"/>
    <w:rsid w:val="00717044"/>
    <w:rsid w:val="00717636"/>
    <w:rsid w:val="007177BB"/>
    <w:rsid w:val="007177CF"/>
    <w:rsid w:val="00717A87"/>
    <w:rsid w:val="00720701"/>
    <w:rsid w:val="00720E3A"/>
    <w:rsid w:val="00721501"/>
    <w:rsid w:val="007215B3"/>
    <w:rsid w:val="00721D3C"/>
    <w:rsid w:val="00721DBE"/>
    <w:rsid w:val="00722142"/>
    <w:rsid w:val="007223C2"/>
    <w:rsid w:val="0072286F"/>
    <w:rsid w:val="00722CE7"/>
    <w:rsid w:val="00722D58"/>
    <w:rsid w:val="00722E66"/>
    <w:rsid w:val="00723075"/>
    <w:rsid w:val="00723195"/>
    <w:rsid w:val="007243AA"/>
    <w:rsid w:val="00724958"/>
    <w:rsid w:val="00724974"/>
    <w:rsid w:val="00724A34"/>
    <w:rsid w:val="00724E28"/>
    <w:rsid w:val="0072519F"/>
    <w:rsid w:val="00725211"/>
    <w:rsid w:val="00725F48"/>
    <w:rsid w:val="00726184"/>
    <w:rsid w:val="00726679"/>
    <w:rsid w:val="00727297"/>
    <w:rsid w:val="007272DB"/>
    <w:rsid w:val="007279D2"/>
    <w:rsid w:val="00727ADF"/>
    <w:rsid w:val="00727DCD"/>
    <w:rsid w:val="00727E08"/>
    <w:rsid w:val="00727F09"/>
    <w:rsid w:val="00730001"/>
    <w:rsid w:val="007300F6"/>
    <w:rsid w:val="007308BA"/>
    <w:rsid w:val="00730B9B"/>
    <w:rsid w:val="00730C01"/>
    <w:rsid w:val="00730C74"/>
    <w:rsid w:val="007312C7"/>
    <w:rsid w:val="00731CA8"/>
    <w:rsid w:val="007324CD"/>
    <w:rsid w:val="00732501"/>
    <w:rsid w:val="0073308C"/>
    <w:rsid w:val="007344D9"/>
    <w:rsid w:val="00736FAC"/>
    <w:rsid w:val="00737618"/>
    <w:rsid w:val="007379BF"/>
    <w:rsid w:val="007409B3"/>
    <w:rsid w:val="00741416"/>
    <w:rsid w:val="007417C2"/>
    <w:rsid w:val="007418A8"/>
    <w:rsid w:val="00742248"/>
    <w:rsid w:val="0074249D"/>
    <w:rsid w:val="00742A6A"/>
    <w:rsid w:val="0074399B"/>
    <w:rsid w:val="00743B2E"/>
    <w:rsid w:val="0074473E"/>
    <w:rsid w:val="007449E7"/>
    <w:rsid w:val="00744ABE"/>
    <w:rsid w:val="00744CFB"/>
    <w:rsid w:val="00744F3B"/>
    <w:rsid w:val="00744FAF"/>
    <w:rsid w:val="00745122"/>
    <w:rsid w:val="007458C6"/>
    <w:rsid w:val="0074591C"/>
    <w:rsid w:val="0074596B"/>
    <w:rsid w:val="00745D18"/>
    <w:rsid w:val="00745E8B"/>
    <w:rsid w:val="00745E90"/>
    <w:rsid w:val="00745EE9"/>
    <w:rsid w:val="00746627"/>
    <w:rsid w:val="00746AA2"/>
    <w:rsid w:val="00746D7B"/>
    <w:rsid w:val="00746DC3"/>
    <w:rsid w:val="00746FCB"/>
    <w:rsid w:val="007470D8"/>
    <w:rsid w:val="007472C3"/>
    <w:rsid w:val="00747C5D"/>
    <w:rsid w:val="007504A4"/>
    <w:rsid w:val="0075064B"/>
    <w:rsid w:val="007507FA"/>
    <w:rsid w:val="007516C9"/>
    <w:rsid w:val="00751A9F"/>
    <w:rsid w:val="00751AA7"/>
    <w:rsid w:val="00751C19"/>
    <w:rsid w:val="00751C5A"/>
    <w:rsid w:val="0075250A"/>
    <w:rsid w:val="00752813"/>
    <w:rsid w:val="00753553"/>
    <w:rsid w:val="00753904"/>
    <w:rsid w:val="00753AA6"/>
    <w:rsid w:val="007547D4"/>
    <w:rsid w:val="00754DC8"/>
    <w:rsid w:val="00755201"/>
    <w:rsid w:val="00755605"/>
    <w:rsid w:val="007557FC"/>
    <w:rsid w:val="00755B9F"/>
    <w:rsid w:val="00755D3C"/>
    <w:rsid w:val="00756559"/>
    <w:rsid w:val="007567A9"/>
    <w:rsid w:val="00756920"/>
    <w:rsid w:val="00756F70"/>
    <w:rsid w:val="00756FAF"/>
    <w:rsid w:val="007571A4"/>
    <w:rsid w:val="007571DA"/>
    <w:rsid w:val="00757613"/>
    <w:rsid w:val="00757C74"/>
    <w:rsid w:val="0076066E"/>
    <w:rsid w:val="007607C3"/>
    <w:rsid w:val="00760DA1"/>
    <w:rsid w:val="00760DD6"/>
    <w:rsid w:val="00760F74"/>
    <w:rsid w:val="00761008"/>
    <w:rsid w:val="007611FE"/>
    <w:rsid w:val="00761D5B"/>
    <w:rsid w:val="00761D99"/>
    <w:rsid w:val="00761E01"/>
    <w:rsid w:val="00762ACB"/>
    <w:rsid w:val="00762DF2"/>
    <w:rsid w:val="007638FE"/>
    <w:rsid w:val="007652D9"/>
    <w:rsid w:val="007653CA"/>
    <w:rsid w:val="00765692"/>
    <w:rsid w:val="00765DBD"/>
    <w:rsid w:val="00765E42"/>
    <w:rsid w:val="00765E56"/>
    <w:rsid w:val="0076616D"/>
    <w:rsid w:val="00766401"/>
    <w:rsid w:val="007664A9"/>
    <w:rsid w:val="00766DD3"/>
    <w:rsid w:val="007670DA"/>
    <w:rsid w:val="007679E3"/>
    <w:rsid w:val="00770241"/>
    <w:rsid w:val="007706BC"/>
    <w:rsid w:val="00771433"/>
    <w:rsid w:val="007716F1"/>
    <w:rsid w:val="007730AB"/>
    <w:rsid w:val="007733D3"/>
    <w:rsid w:val="00773DD2"/>
    <w:rsid w:val="007745C8"/>
    <w:rsid w:val="00774A30"/>
    <w:rsid w:val="00774B99"/>
    <w:rsid w:val="00774D03"/>
    <w:rsid w:val="00775114"/>
    <w:rsid w:val="00775936"/>
    <w:rsid w:val="00775BED"/>
    <w:rsid w:val="00775CA7"/>
    <w:rsid w:val="0077664B"/>
    <w:rsid w:val="00776E4A"/>
    <w:rsid w:val="00777B5C"/>
    <w:rsid w:val="00777BBA"/>
    <w:rsid w:val="0078015A"/>
    <w:rsid w:val="00780806"/>
    <w:rsid w:val="00780967"/>
    <w:rsid w:val="00780CBB"/>
    <w:rsid w:val="00780F12"/>
    <w:rsid w:val="007812F5"/>
    <w:rsid w:val="007816E3"/>
    <w:rsid w:val="00781EC0"/>
    <w:rsid w:val="007825B6"/>
    <w:rsid w:val="00782850"/>
    <w:rsid w:val="00782FA0"/>
    <w:rsid w:val="0078311A"/>
    <w:rsid w:val="00783572"/>
    <w:rsid w:val="007839DC"/>
    <w:rsid w:val="00783AE0"/>
    <w:rsid w:val="00783FD3"/>
    <w:rsid w:val="007844F7"/>
    <w:rsid w:val="00784743"/>
    <w:rsid w:val="00785342"/>
    <w:rsid w:val="007856E5"/>
    <w:rsid w:val="00785B11"/>
    <w:rsid w:val="00785DDB"/>
    <w:rsid w:val="0078661A"/>
    <w:rsid w:val="00786746"/>
    <w:rsid w:val="00786795"/>
    <w:rsid w:val="00786875"/>
    <w:rsid w:val="00786961"/>
    <w:rsid w:val="00786A31"/>
    <w:rsid w:val="0078700A"/>
    <w:rsid w:val="00787678"/>
    <w:rsid w:val="00787797"/>
    <w:rsid w:val="007905FD"/>
    <w:rsid w:val="00790D05"/>
    <w:rsid w:val="00791DB8"/>
    <w:rsid w:val="007923A7"/>
    <w:rsid w:val="00792432"/>
    <w:rsid w:val="00793A9D"/>
    <w:rsid w:val="00793E25"/>
    <w:rsid w:val="007941A3"/>
    <w:rsid w:val="0079453C"/>
    <w:rsid w:val="007945A1"/>
    <w:rsid w:val="00794A4D"/>
    <w:rsid w:val="00794C89"/>
    <w:rsid w:val="00794E0A"/>
    <w:rsid w:val="0079583C"/>
    <w:rsid w:val="00795940"/>
    <w:rsid w:val="0079594C"/>
    <w:rsid w:val="00795E91"/>
    <w:rsid w:val="00796018"/>
    <w:rsid w:val="00796962"/>
    <w:rsid w:val="00796A92"/>
    <w:rsid w:val="00796ACD"/>
    <w:rsid w:val="00796C12"/>
    <w:rsid w:val="007976BF"/>
    <w:rsid w:val="00797B63"/>
    <w:rsid w:val="00797D02"/>
    <w:rsid w:val="00797D2F"/>
    <w:rsid w:val="007A00E9"/>
    <w:rsid w:val="007A05A8"/>
    <w:rsid w:val="007A0646"/>
    <w:rsid w:val="007A0C9B"/>
    <w:rsid w:val="007A0F73"/>
    <w:rsid w:val="007A1358"/>
    <w:rsid w:val="007A1444"/>
    <w:rsid w:val="007A1F7F"/>
    <w:rsid w:val="007A37C3"/>
    <w:rsid w:val="007A3B2D"/>
    <w:rsid w:val="007A3F6B"/>
    <w:rsid w:val="007A4160"/>
    <w:rsid w:val="007A42B2"/>
    <w:rsid w:val="007A450F"/>
    <w:rsid w:val="007A4631"/>
    <w:rsid w:val="007A4D3A"/>
    <w:rsid w:val="007A508C"/>
    <w:rsid w:val="007A5238"/>
    <w:rsid w:val="007A5A0F"/>
    <w:rsid w:val="007A5F9B"/>
    <w:rsid w:val="007A62A5"/>
    <w:rsid w:val="007A6440"/>
    <w:rsid w:val="007A672B"/>
    <w:rsid w:val="007A6FCD"/>
    <w:rsid w:val="007A7388"/>
    <w:rsid w:val="007A7538"/>
    <w:rsid w:val="007A7670"/>
    <w:rsid w:val="007A797E"/>
    <w:rsid w:val="007B04BA"/>
    <w:rsid w:val="007B1A70"/>
    <w:rsid w:val="007B238A"/>
    <w:rsid w:val="007B23F2"/>
    <w:rsid w:val="007B2574"/>
    <w:rsid w:val="007B25CE"/>
    <w:rsid w:val="007B3783"/>
    <w:rsid w:val="007B3C34"/>
    <w:rsid w:val="007B40C0"/>
    <w:rsid w:val="007B4103"/>
    <w:rsid w:val="007B460D"/>
    <w:rsid w:val="007B4792"/>
    <w:rsid w:val="007B48CA"/>
    <w:rsid w:val="007B4964"/>
    <w:rsid w:val="007B4A68"/>
    <w:rsid w:val="007B5233"/>
    <w:rsid w:val="007B582D"/>
    <w:rsid w:val="007B5A10"/>
    <w:rsid w:val="007B5B24"/>
    <w:rsid w:val="007B5C3F"/>
    <w:rsid w:val="007B60D0"/>
    <w:rsid w:val="007B66CB"/>
    <w:rsid w:val="007B6A35"/>
    <w:rsid w:val="007B6A4F"/>
    <w:rsid w:val="007B6B26"/>
    <w:rsid w:val="007B6C00"/>
    <w:rsid w:val="007B6CD4"/>
    <w:rsid w:val="007B710F"/>
    <w:rsid w:val="007B7193"/>
    <w:rsid w:val="007B7713"/>
    <w:rsid w:val="007B7798"/>
    <w:rsid w:val="007B7965"/>
    <w:rsid w:val="007B7B4A"/>
    <w:rsid w:val="007B7F43"/>
    <w:rsid w:val="007B7F50"/>
    <w:rsid w:val="007C04E9"/>
    <w:rsid w:val="007C0AF3"/>
    <w:rsid w:val="007C1360"/>
    <w:rsid w:val="007C16A8"/>
    <w:rsid w:val="007C190D"/>
    <w:rsid w:val="007C1AB6"/>
    <w:rsid w:val="007C1DEB"/>
    <w:rsid w:val="007C298A"/>
    <w:rsid w:val="007C2997"/>
    <w:rsid w:val="007C32AE"/>
    <w:rsid w:val="007C3532"/>
    <w:rsid w:val="007C378D"/>
    <w:rsid w:val="007C43CD"/>
    <w:rsid w:val="007C56F1"/>
    <w:rsid w:val="007C57A7"/>
    <w:rsid w:val="007C6AC7"/>
    <w:rsid w:val="007C76BE"/>
    <w:rsid w:val="007C78B4"/>
    <w:rsid w:val="007D094F"/>
    <w:rsid w:val="007D1614"/>
    <w:rsid w:val="007D161D"/>
    <w:rsid w:val="007D1997"/>
    <w:rsid w:val="007D19DC"/>
    <w:rsid w:val="007D3567"/>
    <w:rsid w:val="007D360B"/>
    <w:rsid w:val="007D3DCD"/>
    <w:rsid w:val="007D4810"/>
    <w:rsid w:val="007D4EA9"/>
    <w:rsid w:val="007D534E"/>
    <w:rsid w:val="007D55FF"/>
    <w:rsid w:val="007D585B"/>
    <w:rsid w:val="007D589C"/>
    <w:rsid w:val="007D5A1E"/>
    <w:rsid w:val="007D5A5E"/>
    <w:rsid w:val="007D5ACF"/>
    <w:rsid w:val="007D64FA"/>
    <w:rsid w:val="007D692F"/>
    <w:rsid w:val="007D6F02"/>
    <w:rsid w:val="007D730B"/>
    <w:rsid w:val="007D7494"/>
    <w:rsid w:val="007D78B7"/>
    <w:rsid w:val="007D7D4B"/>
    <w:rsid w:val="007E03B7"/>
    <w:rsid w:val="007E07E5"/>
    <w:rsid w:val="007E095D"/>
    <w:rsid w:val="007E0C6F"/>
    <w:rsid w:val="007E0CE6"/>
    <w:rsid w:val="007E1969"/>
    <w:rsid w:val="007E1AE1"/>
    <w:rsid w:val="007E1DB7"/>
    <w:rsid w:val="007E22C0"/>
    <w:rsid w:val="007E2DAE"/>
    <w:rsid w:val="007E2F65"/>
    <w:rsid w:val="007E333E"/>
    <w:rsid w:val="007E3A2C"/>
    <w:rsid w:val="007E44D7"/>
    <w:rsid w:val="007E528C"/>
    <w:rsid w:val="007E54C4"/>
    <w:rsid w:val="007E54EC"/>
    <w:rsid w:val="007E5729"/>
    <w:rsid w:val="007E588F"/>
    <w:rsid w:val="007E5AA5"/>
    <w:rsid w:val="007E6063"/>
    <w:rsid w:val="007E6668"/>
    <w:rsid w:val="007E73CB"/>
    <w:rsid w:val="007E7474"/>
    <w:rsid w:val="007E7E83"/>
    <w:rsid w:val="007F01BA"/>
    <w:rsid w:val="007F0391"/>
    <w:rsid w:val="007F0D79"/>
    <w:rsid w:val="007F173D"/>
    <w:rsid w:val="007F1AC2"/>
    <w:rsid w:val="007F20BB"/>
    <w:rsid w:val="007F218B"/>
    <w:rsid w:val="007F2C2C"/>
    <w:rsid w:val="007F3A04"/>
    <w:rsid w:val="007F4013"/>
    <w:rsid w:val="007F40DD"/>
    <w:rsid w:val="007F5085"/>
    <w:rsid w:val="007F59BC"/>
    <w:rsid w:val="007F5DC7"/>
    <w:rsid w:val="007F653B"/>
    <w:rsid w:val="007F6B99"/>
    <w:rsid w:val="007F6C6F"/>
    <w:rsid w:val="007F6D11"/>
    <w:rsid w:val="007F758A"/>
    <w:rsid w:val="007F7A1A"/>
    <w:rsid w:val="007F7AE2"/>
    <w:rsid w:val="008000D6"/>
    <w:rsid w:val="008002D2"/>
    <w:rsid w:val="00800E0A"/>
    <w:rsid w:val="00800E92"/>
    <w:rsid w:val="0080132F"/>
    <w:rsid w:val="0080190E"/>
    <w:rsid w:val="0080226E"/>
    <w:rsid w:val="008030F4"/>
    <w:rsid w:val="008033D8"/>
    <w:rsid w:val="00803FD2"/>
    <w:rsid w:val="008040F5"/>
    <w:rsid w:val="00804F7A"/>
    <w:rsid w:val="00805142"/>
    <w:rsid w:val="00805264"/>
    <w:rsid w:val="00805488"/>
    <w:rsid w:val="0080570C"/>
    <w:rsid w:val="00806494"/>
    <w:rsid w:val="008068CF"/>
    <w:rsid w:val="0080717D"/>
    <w:rsid w:val="00807497"/>
    <w:rsid w:val="0081060C"/>
    <w:rsid w:val="00810D09"/>
    <w:rsid w:val="00810D2B"/>
    <w:rsid w:val="00811276"/>
    <w:rsid w:val="00811E55"/>
    <w:rsid w:val="00811E9B"/>
    <w:rsid w:val="00812E63"/>
    <w:rsid w:val="008132F4"/>
    <w:rsid w:val="00813795"/>
    <w:rsid w:val="00813E7E"/>
    <w:rsid w:val="0081547A"/>
    <w:rsid w:val="008154AC"/>
    <w:rsid w:val="00815628"/>
    <w:rsid w:val="0081572E"/>
    <w:rsid w:val="008158EA"/>
    <w:rsid w:val="00815C0A"/>
    <w:rsid w:val="00815E59"/>
    <w:rsid w:val="00815E7F"/>
    <w:rsid w:val="008165D5"/>
    <w:rsid w:val="00816896"/>
    <w:rsid w:val="00816976"/>
    <w:rsid w:val="00817619"/>
    <w:rsid w:val="00817694"/>
    <w:rsid w:val="00817A9E"/>
    <w:rsid w:val="00817D49"/>
    <w:rsid w:val="00817EC6"/>
    <w:rsid w:val="008202E3"/>
    <w:rsid w:val="008204EE"/>
    <w:rsid w:val="00820FA7"/>
    <w:rsid w:val="00821188"/>
    <w:rsid w:val="00821ABD"/>
    <w:rsid w:val="00821B46"/>
    <w:rsid w:val="008222A5"/>
    <w:rsid w:val="00822349"/>
    <w:rsid w:val="00822715"/>
    <w:rsid w:val="00822759"/>
    <w:rsid w:val="00822BA7"/>
    <w:rsid w:val="00822E50"/>
    <w:rsid w:val="00823620"/>
    <w:rsid w:val="008239DE"/>
    <w:rsid w:val="008239F3"/>
    <w:rsid w:val="00823C8E"/>
    <w:rsid w:val="00823F84"/>
    <w:rsid w:val="008244F9"/>
    <w:rsid w:val="008248E0"/>
    <w:rsid w:val="008249BD"/>
    <w:rsid w:val="00824B1B"/>
    <w:rsid w:val="00824D5F"/>
    <w:rsid w:val="0082514E"/>
    <w:rsid w:val="0082555F"/>
    <w:rsid w:val="00825DD2"/>
    <w:rsid w:val="00826348"/>
    <w:rsid w:val="008267F3"/>
    <w:rsid w:val="008269CF"/>
    <w:rsid w:val="008272C3"/>
    <w:rsid w:val="008301CB"/>
    <w:rsid w:val="00830B84"/>
    <w:rsid w:val="00830E35"/>
    <w:rsid w:val="00830EAD"/>
    <w:rsid w:val="008312D9"/>
    <w:rsid w:val="00831705"/>
    <w:rsid w:val="00831C01"/>
    <w:rsid w:val="00831E0B"/>
    <w:rsid w:val="008324BD"/>
    <w:rsid w:val="00832928"/>
    <w:rsid w:val="00832D11"/>
    <w:rsid w:val="00832EF6"/>
    <w:rsid w:val="00833888"/>
    <w:rsid w:val="00833F2A"/>
    <w:rsid w:val="0083423D"/>
    <w:rsid w:val="0083459C"/>
    <w:rsid w:val="008348C9"/>
    <w:rsid w:val="00834A62"/>
    <w:rsid w:val="00834E28"/>
    <w:rsid w:val="00835A2E"/>
    <w:rsid w:val="00835D4A"/>
    <w:rsid w:val="00836746"/>
    <w:rsid w:val="00836BA1"/>
    <w:rsid w:val="0083704D"/>
    <w:rsid w:val="008378D4"/>
    <w:rsid w:val="00840194"/>
    <w:rsid w:val="0084029F"/>
    <w:rsid w:val="008403A5"/>
    <w:rsid w:val="008406F2"/>
    <w:rsid w:val="00840847"/>
    <w:rsid w:val="00840C50"/>
    <w:rsid w:val="00841E3A"/>
    <w:rsid w:val="008426B7"/>
    <w:rsid w:val="0084276D"/>
    <w:rsid w:val="00842EA3"/>
    <w:rsid w:val="0084392B"/>
    <w:rsid w:val="00843B08"/>
    <w:rsid w:val="008445F4"/>
    <w:rsid w:val="00844798"/>
    <w:rsid w:val="00844A80"/>
    <w:rsid w:val="00844C31"/>
    <w:rsid w:val="00845033"/>
    <w:rsid w:val="008457CF"/>
    <w:rsid w:val="00845E45"/>
    <w:rsid w:val="0084600C"/>
    <w:rsid w:val="0084602F"/>
    <w:rsid w:val="0084631D"/>
    <w:rsid w:val="00846D14"/>
    <w:rsid w:val="00847009"/>
    <w:rsid w:val="008471E2"/>
    <w:rsid w:val="008471EC"/>
    <w:rsid w:val="00847E08"/>
    <w:rsid w:val="00850111"/>
    <w:rsid w:val="008501B9"/>
    <w:rsid w:val="008503CE"/>
    <w:rsid w:val="008509A9"/>
    <w:rsid w:val="00850C41"/>
    <w:rsid w:val="00851017"/>
    <w:rsid w:val="00852415"/>
    <w:rsid w:val="00853341"/>
    <w:rsid w:val="00853388"/>
    <w:rsid w:val="008538A3"/>
    <w:rsid w:val="008539FC"/>
    <w:rsid w:val="008542D2"/>
    <w:rsid w:val="00854B92"/>
    <w:rsid w:val="00855078"/>
    <w:rsid w:val="008567AC"/>
    <w:rsid w:val="00856AEC"/>
    <w:rsid w:val="00856C69"/>
    <w:rsid w:val="00856D4C"/>
    <w:rsid w:val="00856F6D"/>
    <w:rsid w:val="008573C2"/>
    <w:rsid w:val="00857F0C"/>
    <w:rsid w:val="00860450"/>
    <w:rsid w:val="00860794"/>
    <w:rsid w:val="00862447"/>
    <w:rsid w:val="008624EA"/>
    <w:rsid w:val="00862688"/>
    <w:rsid w:val="008627A2"/>
    <w:rsid w:val="0086343A"/>
    <w:rsid w:val="008636AC"/>
    <w:rsid w:val="00863E68"/>
    <w:rsid w:val="00864512"/>
    <w:rsid w:val="00864684"/>
    <w:rsid w:val="00864836"/>
    <w:rsid w:val="0086493F"/>
    <w:rsid w:val="00865261"/>
    <w:rsid w:val="008657BE"/>
    <w:rsid w:val="00865DA0"/>
    <w:rsid w:val="00865DA5"/>
    <w:rsid w:val="00865E2B"/>
    <w:rsid w:val="0086615A"/>
    <w:rsid w:val="008664E4"/>
    <w:rsid w:val="008668B3"/>
    <w:rsid w:val="00866EF9"/>
    <w:rsid w:val="008678E5"/>
    <w:rsid w:val="00867F32"/>
    <w:rsid w:val="00870C3E"/>
    <w:rsid w:val="00870D4F"/>
    <w:rsid w:val="00870DC4"/>
    <w:rsid w:val="00871082"/>
    <w:rsid w:val="00871146"/>
    <w:rsid w:val="0087126A"/>
    <w:rsid w:val="0087168A"/>
    <w:rsid w:val="0087247A"/>
    <w:rsid w:val="008724FC"/>
    <w:rsid w:val="00873646"/>
    <w:rsid w:val="008739E7"/>
    <w:rsid w:val="00873AB8"/>
    <w:rsid w:val="008741A8"/>
    <w:rsid w:val="0087455D"/>
    <w:rsid w:val="00874D62"/>
    <w:rsid w:val="0087525B"/>
    <w:rsid w:val="00875619"/>
    <w:rsid w:val="0087598F"/>
    <w:rsid w:val="00875BF9"/>
    <w:rsid w:val="00876215"/>
    <w:rsid w:val="00876653"/>
    <w:rsid w:val="00876A16"/>
    <w:rsid w:val="0087724C"/>
    <w:rsid w:val="00880109"/>
    <w:rsid w:val="0088060D"/>
    <w:rsid w:val="00880B77"/>
    <w:rsid w:val="0088150C"/>
    <w:rsid w:val="008816B0"/>
    <w:rsid w:val="00881903"/>
    <w:rsid w:val="00881BFF"/>
    <w:rsid w:val="0088206D"/>
    <w:rsid w:val="00882651"/>
    <w:rsid w:val="00882C1C"/>
    <w:rsid w:val="0088319A"/>
    <w:rsid w:val="0088319B"/>
    <w:rsid w:val="00883480"/>
    <w:rsid w:val="0088372C"/>
    <w:rsid w:val="00883B50"/>
    <w:rsid w:val="00883DE2"/>
    <w:rsid w:val="00884323"/>
    <w:rsid w:val="00884A70"/>
    <w:rsid w:val="00885258"/>
    <w:rsid w:val="00885EB4"/>
    <w:rsid w:val="008866D1"/>
    <w:rsid w:val="00886E85"/>
    <w:rsid w:val="00887243"/>
    <w:rsid w:val="008878C9"/>
    <w:rsid w:val="00887B76"/>
    <w:rsid w:val="00887E93"/>
    <w:rsid w:val="00887F70"/>
    <w:rsid w:val="0089067E"/>
    <w:rsid w:val="00890F02"/>
    <w:rsid w:val="008913C9"/>
    <w:rsid w:val="00891774"/>
    <w:rsid w:val="008918AE"/>
    <w:rsid w:val="00891F6A"/>
    <w:rsid w:val="00891F7C"/>
    <w:rsid w:val="008922CC"/>
    <w:rsid w:val="00892D50"/>
    <w:rsid w:val="00893522"/>
    <w:rsid w:val="008938AB"/>
    <w:rsid w:val="00894122"/>
    <w:rsid w:val="008945A2"/>
    <w:rsid w:val="008945F6"/>
    <w:rsid w:val="00894C49"/>
    <w:rsid w:val="00894D8C"/>
    <w:rsid w:val="008951C9"/>
    <w:rsid w:val="008952E9"/>
    <w:rsid w:val="008953CA"/>
    <w:rsid w:val="00895A45"/>
    <w:rsid w:val="00895A8D"/>
    <w:rsid w:val="00895E9F"/>
    <w:rsid w:val="00895F00"/>
    <w:rsid w:val="0089632C"/>
    <w:rsid w:val="00896353"/>
    <w:rsid w:val="008964BD"/>
    <w:rsid w:val="008966C2"/>
    <w:rsid w:val="00896A3C"/>
    <w:rsid w:val="00896FD5"/>
    <w:rsid w:val="008973B8"/>
    <w:rsid w:val="0089745A"/>
    <w:rsid w:val="008977C7"/>
    <w:rsid w:val="00897EFC"/>
    <w:rsid w:val="008A08AE"/>
    <w:rsid w:val="008A0915"/>
    <w:rsid w:val="008A0BC6"/>
    <w:rsid w:val="008A0D28"/>
    <w:rsid w:val="008A0F17"/>
    <w:rsid w:val="008A0FD4"/>
    <w:rsid w:val="008A1D31"/>
    <w:rsid w:val="008A1D81"/>
    <w:rsid w:val="008A1DE3"/>
    <w:rsid w:val="008A209A"/>
    <w:rsid w:val="008A21C0"/>
    <w:rsid w:val="008A2CFF"/>
    <w:rsid w:val="008A30B3"/>
    <w:rsid w:val="008A3851"/>
    <w:rsid w:val="008A3C2A"/>
    <w:rsid w:val="008A3CE6"/>
    <w:rsid w:val="008A3F4B"/>
    <w:rsid w:val="008A4601"/>
    <w:rsid w:val="008A4AEB"/>
    <w:rsid w:val="008A55A3"/>
    <w:rsid w:val="008A6AC4"/>
    <w:rsid w:val="008A767D"/>
    <w:rsid w:val="008A76EF"/>
    <w:rsid w:val="008B165D"/>
    <w:rsid w:val="008B1C7A"/>
    <w:rsid w:val="008B1D35"/>
    <w:rsid w:val="008B2073"/>
    <w:rsid w:val="008B2640"/>
    <w:rsid w:val="008B29B1"/>
    <w:rsid w:val="008B304D"/>
    <w:rsid w:val="008B375A"/>
    <w:rsid w:val="008B390F"/>
    <w:rsid w:val="008B3ACA"/>
    <w:rsid w:val="008B3D3A"/>
    <w:rsid w:val="008B42A2"/>
    <w:rsid w:val="008B4A4A"/>
    <w:rsid w:val="008B4BA8"/>
    <w:rsid w:val="008B4DBA"/>
    <w:rsid w:val="008B51A5"/>
    <w:rsid w:val="008B5BC6"/>
    <w:rsid w:val="008B5D11"/>
    <w:rsid w:val="008B699F"/>
    <w:rsid w:val="008B6D4E"/>
    <w:rsid w:val="008B7269"/>
    <w:rsid w:val="008B7481"/>
    <w:rsid w:val="008B74D3"/>
    <w:rsid w:val="008C0483"/>
    <w:rsid w:val="008C0A3F"/>
    <w:rsid w:val="008C0B43"/>
    <w:rsid w:val="008C0D4D"/>
    <w:rsid w:val="008C1190"/>
    <w:rsid w:val="008C1364"/>
    <w:rsid w:val="008C15DF"/>
    <w:rsid w:val="008C1DED"/>
    <w:rsid w:val="008C205B"/>
    <w:rsid w:val="008C2674"/>
    <w:rsid w:val="008C3205"/>
    <w:rsid w:val="008C37E2"/>
    <w:rsid w:val="008C3BEF"/>
    <w:rsid w:val="008C3D69"/>
    <w:rsid w:val="008C4147"/>
    <w:rsid w:val="008C4658"/>
    <w:rsid w:val="008C474E"/>
    <w:rsid w:val="008C4A20"/>
    <w:rsid w:val="008C4BCF"/>
    <w:rsid w:val="008C5029"/>
    <w:rsid w:val="008C52E4"/>
    <w:rsid w:val="008C547C"/>
    <w:rsid w:val="008C6A62"/>
    <w:rsid w:val="008D03A0"/>
    <w:rsid w:val="008D03CD"/>
    <w:rsid w:val="008D1129"/>
    <w:rsid w:val="008D14BB"/>
    <w:rsid w:val="008D174B"/>
    <w:rsid w:val="008D1BAD"/>
    <w:rsid w:val="008D1D0E"/>
    <w:rsid w:val="008D2D1F"/>
    <w:rsid w:val="008D2E04"/>
    <w:rsid w:val="008D2E06"/>
    <w:rsid w:val="008D3045"/>
    <w:rsid w:val="008D372A"/>
    <w:rsid w:val="008D4870"/>
    <w:rsid w:val="008D53D5"/>
    <w:rsid w:val="008D5723"/>
    <w:rsid w:val="008D583B"/>
    <w:rsid w:val="008D5A39"/>
    <w:rsid w:val="008D5EE2"/>
    <w:rsid w:val="008D6008"/>
    <w:rsid w:val="008D6055"/>
    <w:rsid w:val="008D6D9B"/>
    <w:rsid w:val="008D7151"/>
    <w:rsid w:val="008D79AC"/>
    <w:rsid w:val="008E0131"/>
    <w:rsid w:val="008E0271"/>
    <w:rsid w:val="008E02FD"/>
    <w:rsid w:val="008E03D0"/>
    <w:rsid w:val="008E0604"/>
    <w:rsid w:val="008E07C7"/>
    <w:rsid w:val="008E1045"/>
    <w:rsid w:val="008E1087"/>
    <w:rsid w:val="008E1317"/>
    <w:rsid w:val="008E221E"/>
    <w:rsid w:val="008E2604"/>
    <w:rsid w:val="008E2C09"/>
    <w:rsid w:val="008E357C"/>
    <w:rsid w:val="008E36A0"/>
    <w:rsid w:val="008E36BE"/>
    <w:rsid w:val="008E3C87"/>
    <w:rsid w:val="008E3F52"/>
    <w:rsid w:val="008E42F1"/>
    <w:rsid w:val="008E4655"/>
    <w:rsid w:val="008E4796"/>
    <w:rsid w:val="008E56D5"/>
    <w:rsid w:val="008E5F68"/>
    <w:rsid w:val="008E6472"/>
    <w:rsid w:val="008E65E1"/>
    <w:rsid w:val="008E6799"/>
    <w:rsid w:val="008E6A3F"/>
    <w:rsid w:val="008E6B50"/>
    <w:rsid w:val="008E79F2"/>
    <w:rsid w:val="008F02E7"/>
    <w:rsid w:val="008F110E"/>
    <w:rsid w:val="008F1304"/>
    <w:rsid w:val="008F1857"/>
    <w:rsid w:val="008F1F42"/>
    <w:rsid w:val="008F2332"/>
    <w:rsid w:val="008F2A73"/>
    <w:rsid w:val="008F2B58"/>
    <w:rsid w:val="008F2B93"/>
    <w:rsid w:val="008F2B9C"/>
    <w:rsid w:val="008F2C87"/>
    <w:rsid w:val="008F318C"/>
    <w:rsid w:val="008F381E"/>
    <w:rsid w:val="008F3BAA"/>
    <w:rsid w:val="008F3E6A"/>
    <w:rsid w:val="008F3E9E"/>
    <w:rsid w:val="008F4680"/>
    <w:rsid w:val="008F4D7D"/>
    <w:rsid w:val="008F5609"/>
    <w:rsid w:val="008F5A5F"/>
    <w:rsid w:val="008F5C12"/>
    <w:rsid w:val="008F61A0"/>
    <w:rsid w:val="008F683A"/>
    <w:rsid w:val="008F6AA1"/>
    <w:rsid w:val="008F7803"/>
    <w:rsid w:val="00900282"/>
    <w:rsid w:val="00900309"/>
    <w:rsid w:val="00900705"/>
    <w:rsid w:val="00901020"/>
    <w:rsid w:val="0090115A"/>
    <w:rsid w:val="00901283"/>
    <w:rsid w:val="00901790"/>
    <w:rsid w:val="00901CAE"/>
    <w:rsid w:val="0090220A"/>
    <w:rsid w:val="00902342"/>
    <w:rsid w:val="009023A8"/>
    <w:rsid w:val="0090365E"/>
    <w:rsid w:val="00903A5F"/>
    <w:rsid w:val="00903F7A"/>
    <w:rsid w:val="0090423A"/>
    <w:rsid w:val="009044A9"/>
    <w:rsid w:val="0090451E"/>
    <w:rsid w:val="009045DA"/>
    <w:rsid w:val="00904D3F"/>
    <w:rsid w:val="00904F05"/>
    <w:rsid w:val="00905093"/>
    <w:rsid w:val="009052FE"/>
    <w:rsid w:val="009054F6"/>
    <w:rsid w:val="0090639B"/>
    <w:rsid w:val="00906B50"/>
    <w:rsid w:val="00907EC4"/>
    <w:rsid w:val="00910035"/>
    <w:rsid w:val="00910710"/>
    <w:rsid w:val="0091168C"/>
    <w:rsid w:val="009118AF"/>
    <w:rsid w:val="00911EB0"/>
    <w:rsid w:val="00912072"/>
    <w:rsid w:val="009121EB"/>
    <w:rsid w:val="00913463"/>
    <w:rsid w:val="00913645"/>
    <w:rsid w:val="00913766"/>
    <w:rsid w:val="00913840"/>
    <w:rsid w:val="009139D6"/>
    <w:rsid w:val="0091446A"/>
    <w:rsid w:val="00914B43"/>
    <w:rsid w:val="009159D5"/>
    <w:rsid w:val="009166F5"/>
    <w:rsid w:val="00916CF5"/>
    <w:rsid w:val="00917443"/>
    <w:rsid w:val="0091762C"/>
    <w:rsid w:val="009176CB"/>
    <w:rsid w:val="009179EF"/>
    <w:rsid w:val="00920BC2"/>
    <w:rsid w:val="009210C4"/>
    <w:rsid w:val="00921395"/>
    <w:rsid w:val="00921444"/>
    <w:rsid w:val="00921BDB"/>
    <w:rsid w:val="00921FBE"/>
    <w:rsid w:val="009223E6"/>
    <w:rsid w:val="009229FA"/>
    <w:rsid w:val="00922A62"/>
    <w:rsid w:val="00923583"/>
    <w:rsid w:val="00923F8C"/>
    <w:rsid w:val="009241AB"/>
    <w:rsid w:val="00924657"/>
    <w:rsid w:val="00924715"/>
    <w:rsid w:val="00924805"/>
    <w:rsid w:val="00924834"/>
    <w:rsid w:val="00924DF5"/>
    <w:rsid w:val="00925178"/>
    <w:rsid w:val="009257B8"/>
    <w:rsid w:val="00925E35"/>
    <w:rsid w:val="00926E11"/>
    <w:rsid w:val="00926E93"/>
    <w:rsid w:val="00927979"/>
    <w:rsid w:val="00927B39"/>
    <w:rsid w:val="00927E1A"/>
    <w:rsid w:val="00927FFB"/>
    <w:rsid w:val="0093046D"/>
    <w:rsid w:val="009308C8"/>
    <w:rsid w:val="009310A5"/>
    <w:rsid w:val="00931317"/>
    <w:rsid w:val="00931D95"/>
    <w:rsid w:val="00931DBF"/>
    <w:rsid w:val="0093215B"/>
    <w:rsid w:val="009323A0"/>
    <w:rsid w:val="00932504"/>
    <w:rsid w:val="00932F98"/>
    <w:rsid w:val="00932FCD"/>
    <w:rsid w:val="0093437F"/>
    <w:rsid w:val="009346A5"/>
    <w:rsid w:val="00934CFA"/>
    <w:rsid w:val="00934DBB"/>
    <w:rsid w:val="00934ED4"/>
    <w:rsid w:val="009351B4"/>
    <w:rsid w:val="009351B8"/>
    <w:rsid w:val="009352EF"/>
    <w:rsid w:val="009353E4"/>
    <w:rsid w:val="00935656"/>
    <w:rsid w:val="00936D9C"/>
    <w:rsid w:val="00937228"/>
    <w:rsid w:val="009375D6"/>
    <w:rsid w:val="009377FE"/>
    <w:rsid w:val="009407C4"/>
    <w:rsid w:val="00940F1F"/>
    <w:rsid w:val="00941F8D"/>
    <w:rsid w:val="009429BF"/>
    <w:rsid w:val="009430C7"/>
    <w:rsid w:val="00943971"/>
    <w:rsid w:val="00943A5C"/>
    <w:rsid w:val="00943CF1"/>
    <w:rsid w:val="00943DD5"/>
    <w:rsid w:val="0094405A"/>
    <w:rsid w:val="00944C57"/>
    <w:rsid w:val="009456B0"/>
    <w:rsid w:val="00945D37"/>
    <w:rsid w:val="009465B8"/>
    <w:rsid w:val="00946C6C"/>
    <w:rsid w:val="00946FAE"/>
    <w:rsid w:val="0094728C"/>
    <w:rsid w:val="00947CD3"/>
    <w:rsid w:val="00950487"/>
    <w:rsid w:val="00950643"/>
    <w:rsid w:val="009511B3"/>
    <w:rsid w:val="009518DF"/>
    <w:rsid w:val="009520C5"/>
    <w:rsid w:val="00952185"/>
    <w:rsid w:val="009521E0"/>
    <w:rsid w:val="009523B2"/>
    <w:rsid w:val="00952468"/>
    <w:rsid w:val="00952B9A"/>
    <w:rsid w:val="00952EB0"/>
    <w:rsid w:val="009530B4"/>
    <w:rsid w:val="009531E2"/>
    <w:rsid w:val="00953770"/>
    <w:rsid w:val="009539D9"/>
    <w:rsid w:val="00953E56"/>
    <w:rsid w:val="00953FE6"/>
    <w:rsid w:val="009542C4"/>
    <w:rsid w:val="009543A2"/>
    <w:rsid w:val="009545F8"/>
    <w:rsid w:val="00954B54"/>
    <w:rsid w:val="00956664"/>
    <w:rsid w:val="0095710F"/>
    <w:rsid w:val="0095711C"/>
    <w:rsid w:val="0095724A"/>
    <w:rsid w:val="00957A3D"/>
    <w:rsid w:val="00957B15"/>
    <w:rsid w:val="00957E96"/>
    <w:rsid w:val="009602EE"/>
    <w:rsid w:val="009606DB"/>
    <w:rsid w:val="0096074C"/>
    <w:rsid w:val="00960A59"/>
    <w:rsid w:val="00960DB5"/>
    <w:rsid w:val="00961341"/>
    <w:rsid w:val="009616E7"/>
    <w:rsid w:val="00962805"/>
    <w:rsid w:val="00962850"/>
    <w:rsid w:val="0096326C"/>
    <w:rsid w:val="00963B40"/>
    <w:rsid w:val="00963F2C"/>
    <w:rsid w:val="009642B5"/>
    <w:rsid w:val="009642DA"/>
    <w:rsid w:val="00965F95"/>
    <w:rsid w:val="00966944"/>
    <w:rsid w:val="00966BC8"/>
    <w:rsid w:val="00966F80"/>
    <w:rsid w:val="00967962"/>
    <w:rsid w:val="00970712"/>
    <w:rsid w:val="0097076B"/>
    <w:rsid w:val="00970C28"/>
    <w:rsid w:val="00971298"/>
    <w:rsid w:val="00972227"/>
    <w:rsid w:val="00972600"/>
    <w:rsid w:val="00972985"/>
    <w:rsid w:val="00972F0E"/>
    <w:rsid w:val="00972F1E"/>
    <w:rsid w:val="009732E2"/>
    <w:rsid w:val="009733DB"/>
    <w:rsid w:val="009734CA"/>
    <w:rsid w:val="009735D1"/>
    <w:rsid w:val="00973A1E"/>
    <w:rsid w:val="00974B26"/>
    <w:rsid w:val="009765BC"/>
    <w:rsid w:val="009766E3"/>
    <w:rsid w:val="00976717"/>
    <w:rsid w:val="00976815"/>
    <w:rsid w:val="00977563"/>
    <w:rsid w:val="00977622"/>
    <w:rsid w:val="0097768C"/>
    <w:rsid w:val="009778B4"/>
    <w:rsid w:val="00977D70"/>
    <w:rsid w:val="00980188"/>
    <w:rsid w:val="0098023E"/>
    <w:rsid w:val="009802E2"/>
    <w:rsid w:val="00980789"/>
    <w:rsid w:val="00980B98"/>
    <w:rsid w:val="00980CC2"/>
    <w:rsid w:val="00980D9C"/>
    <w:rsid w:val="00981662"/>
    <w:rsid w:val="009819FF"/>
    <w:rsid w:val="00981FAC"/>
    <w:rsid w:val="00982BD3"/>
    <w:rsid w:val="00982CA2"/>
    <w:rsid w:val="00982D17"/>
    <w:rsid w:val="0098301C"/>
    <w:rsid w:val="00983A1D"/>
    <w:rsid w:val="00983CD0"/>
    <w:rsid w:val="009845A4"/>
    <w:rsid w:val="009847EC"/>
    <w:rsid w:val="00984A0D"/>
    <w:rsid w:val="00984A89"/>
    <w:rsid w:val="009853FF"/>
    <w:rsid w:val="00985560"/>
    <w:rsid w:val="0098563A"/>
    <w:rsid w:val="00985B44"/>
    <w:rsid w:val="009860F2"/>
    <w:rsid w:val="00986422"/>
    <w:rsid w:val="0098658B"/>
    <w:rsid w:val="009865B9"/>
    <w:rsid w:val="0098744F"/>
    <w:rsid w:val="00990358"/>
    <w:rsid w:val="00991944"/>
    <w:rsid w:val="009919FC"/>
    <w:rsid w:val="00991EA7"/>
    <w:rsid w:val="00992200"/>
    <w:rsid w:val="00992DC8"/>
    <w:rsid w:val="00992E2E"/>
    <w:rsid w:val="00993002"/>
    <w:rsid w:val="009940FA"/>
    <w:rsid w:val="009941AB"/>
    <w:rsid w:val="00994BED"/>
    <w:rsid w:val="00994FD5"/>
    <w:rsid w:val="00995331"/>
    <w:rsid w:val="009953FB"/>
    <w:rsid w:val="00995710"/>
    <w:rsid w:val="0099615A"/>
    <w:rsid w:val="0099647A"/>
    <w:rsid w:val="00996516"/>
    <w:rsid w:val="00997AFD"/>
    <w:rsid w:val="00997BC2"/>
    <w:rsid w:val="00997D37"/>
    <w:rsid w:val="009A0480"/>
    <w:rsid w:val="009A089A"/>
    <w:rsid w:val="009A131B"/>
    <w:rsid w:val="009A1D61"/>
    <w:rsid w:val="009A20A3"/>
    <w:rsid w:val="009A2ABE"/>
    <w:rsid w:val="009A350F"/>
    <w:rsid w:val="009A3CE8"/>
    <w:rsid w:val="009A4326"/>
    <w:rsid w:val="009A4429"/>
    <w:rsid w:val="009A45AB"/>
    <w:rsid w:val="009A47BD"/>
    <w:rsid w:val="009A4905"/>
    <w:rsid w:val="009A53D2"/>
    <w:rsid w:val="009A56F3"/>
    <w:rsid w:val="009A5AEF"/>
    <w:rsid w:val="009A64E9"/>
    <w:rsid w:val="009A73FE"/>
    <w:rsid w:val="009A7709"/>
    <w:rsid w:val="009A7BE2"/>
    <w:rsid w:val="009A7F6C"/>
    <w:rsid w:val="009B0503"/>
    <w:rsid w:val="009B1113"/>
    <w:rsid w:val="009B1157"/>
    <w:rsid w:val="009B1973"/>
    <w:rsid w:val="009B1B74"/>
    <w:rsid w:val="009B2701"/>
    <w:rsid w:val="009B28B6"/>
    <w:rsid w:val="009B299B"/>
    <w:rsid w:val="009B29A8"/>
    <w:rsid w:val="009B2C5F"/>
    <w:rsid w:val="009B36E2"/>
    <w:rsid w:val="009B38C3"/>
    <w:rsid w:val="009B3CA5"/>
    <w:rsid w:val="009B439A"/>
    <w:rsid w:val="009B4BBB"/>
    <w:rsid w:val="009B52CE"/>
    <w:rsid w:val="009B5611"/>
    <w:rsid w:val="009B5700"/>
    <w:rsid w:val="009B5902"/>
    <w:rsid w:val="009B5C93"/>
    <w:rsid w:val="009B6418"/>
    <w:rsid w:val="009B6DD9"/>
    <w:rsid w:val="009B6E92"/>
    <w:rsid w:val="009B6EE5"/>
    <w:rsid w:val="009C00AB"/>
    <w:rsid w:val="009C0AAF"/>
    <w:rsid w:val="009C0D1C"/>
    <w:rsid w:val="009C1438"/>
    <w:rsid w:val="009C1CF2"/>
    <w:rsid w:val="009C2423"/>
    <w:rsid w:val="009C2CB6"/>
    <w:rsid w:val="009C2D02"/>
    <w:rsid w:val="009C3235"/>
    <w:rsid w:val="009C36AC"/>
    <w:rsid w:val="009C3CEF"/>
    <w:rsid w:val="009C3F5F"/>
    <w:rsid w:val="009C45D7"/>
    <w:rsid w:val="009C47DE"/>
    <w:rsid w:val="009C4EE9"/>
    <w:rsid w:val="009C4F06"/>
    <w:rsid w:val="009C5143"/>
    <w:rsid w:val="009C526A"/>
    <w:rsid w:val="009C57B3"/>
    <w:rsid w:val="009C58E4"/>
    <w:rsid w:val="009C6107"/>
    <w:rsid w:val="009C6ABB"/>
    <w:rsid w:val="009C6D11"/>
    <w:rsid w:val="009C716E"/>
    <w:rsid w:val="009C7229"/>
    <w:rsid w:val="009C775F"/>
    <w:rsid w:val="009C7FDE"/>
    <w:rsid w:val="009D10F4"/>
    <w:rsid w:val="009D17B8"/>
    <w:rsid w:val="009D1F05"/>
    <w:rsid w:val="009D20C3"/>
    <w:rsid w:val="009D20E0"/>
    <w:rsid w:val="009D23F3"/>
    <w:rsid w:val="009D2554"/>
    <w:rsid w:val="009D2DDB"/>
    <w:rsid w:val="009D3851"/>
    <w:rsid w:val="009D4C34"/>
    <w:rsid w:val="009D50B5"/>
    <w:rsid w:val="009D50F4"/>
    <w:rsid w:val="009D5372"/>
    <w:rsid w:val="009D5516"/>
    <w:rsid w:val="009D580D"/>
    <w:rsid w:val="009D5D62"/>
    <w:rsid w:val="009D5E6E"/>
    <w:rsid w:val="009D6384"/>
    <w:rsid w:val="009D7AC0"/>
    <w:rsid w:val="009D7D50"/>
    <w:rsid w:val="009D7F32"/>
    <w:rsid w:val="009E0D82"/>
    <w:rsid w:val="009E22F2"/>
    <w:rsid w:val="009E274B"/>
    <w:rsid w:val="009E2BFF"/>
    <w:rsid w:val="009E2D7F"/>
    <w:rsid w:val="009E33B9"/>
    <w:rsid w:val="009E354A"/>
    <w:rsid w:val="009E4051"/>
    <w:rsid w:val="009E4742"/>
    <w:rsid w:val="009E4AC6"/>
    <w:rsid w:val="009E4BFC"/>
    <w:rsid w:val="009E52D4"/>
    <w:rsid w:val="009E5A76"/>
    <w:rsid w:val="009E5FD8"/>
    <w:rsid w:val="009E6167"/>
    <w:rsid w:val="009E6403"/>
    <w:rsid w:val="009E6C26"/>
    <w:rsid w:val="009E6D4D"/>
    <w:rsid w:val="009E70ED"/>
    <w:rsid w:val="009E76C2"/>
    <w:rsid w:val="009E7796"/>
    <w:rsid w:val="009E7DB1"/>
    <w:rsid w:val="009F0129"/>
    <w:rsid w:val="009F0EC7"/>
    <w:rsid w:val="009F12B7"/>
    <w:rsid w:val="009F1E62"/>
    <w:rsid w:val="009F26EE"/>
    <w:rsid w:val="009F2C99"/>
    <w:rsid w:val="009F2E92"/>
    <w:rsid w:val="009F330E"/>
    <w:rsid w:val="009F3373"/>
    <w:rsid w:val="009F33B0"/>
    <w:rsid w:val="009F39A7"/>
    <w:rsid w:val="009F3B66"/>
    <w:rsid w:val="009F3F40"/>
    <w:rsid w:val="009F48B7"/>
    <w:rsid w:val="009F4C0A"/>
    <w:rsid w:val="009F5058"/>
    <w:rsid w:val="009F59D6"/>
    <w:rsid w:val="009F5DA9"/>
    <w:rsid w:val="009F6265"/>
    <w:rsid w:val="009F6D43"/>
    <w:rsid w:val="009F761B"/>
    <w:rsid w:val="009F77CE"/>
    <w:rsid w:val="009F7E47"/>
    <w:rsid w:val="00A00041"/>
    <w:rsid w:val="00A004A2"/>
    <w:rsid w:val="00A0059E"/>
    <w:rsid w:val="00A0063A"/>
    <w:rsid w:val="00A00649"/>
    <w:rsid w:val="00A009E7"/>
    <w:rsid w:val="00A00DB3"/>
    <w:rsid w:val="00A014D9"/>
    <w:rsid w:val="00A0153A"/>
    <w:rsid w:val="00A015B6"/>
    <w:rsid w:val="00A01818"/>
    <w:rsid w:val="00A0193E"/>
    <w:rsid w:val="00A01D2A"/>
    <w:rsid w:val="00A020AB"/>
    <w:rsid w:val="00A02769"/>
    <w:rsid w:val="00A02B29"/>
    <w:rsid w:val="00A02CBC"/>
    <w:rsid w:val="00A0310F"/>
    <w:rsid w:val="00A031A8"/>
    <w:rsid w:val="00A031CF"/>
    <w:rsid w:val="00A0324E"/>
    <w:rsid w:val="00A032B2"/>
    <w:rsid w:val="00A036BC"/>
    <w:rsid w:val="00A03CCB"/>
    <w:rsid w:val="00A03DA0"/>
    <w:rsid w:val="00A03E7C"/>
    <w:rsid w:val="00A03F92"/>
    <w:rsid w:val="00A048A1"/>
    <w:rsid w:val="00A05447"/>
    <w:rsid w:val="00A056C4"/>
    <w:rsid w:val="00A059EB"/>
    <w:rsid w:val="00A05D10"/>
    <w:rsid w:val="00A05F6D"/>
    <w:rsid w:val="00A0681E"/>
    <w:rsid w:val="00A06D56"/>
    <w:rsid w:val="00A06DD5"/>
    <w:rsid w:val="00A06F18"/>
    <w:rsid w:val="00A070EE"/>
    <w:rsid w:val="00A077E6"/>
    <w:rsid w:val="00A07E61"/>
    <w:rsid w:val="00A07EA3"/>
    <w:rsid w:val="00A10331"/>
    <w:rsid w:val="00A10352"/>
    <w:rsid w:val="00A10440"/>
    <w:rsid w:val="00A10521"/>
    <w:rsid w:val="00A108E1"/>
    <w:rsid w:val="00A10ACE"/>
    <w:rsid w:val="00A10B64"/>
    <w:rsid w:val="00A11A12"/>
    <w:rsid w:val="00A1317F"/>
    <w:rsid w:val="00A1325C"/>
    <w:rsid w:val="00A134B9"/>
    <w:rsid w:val="00A13662"/>
    <w:rsid w:val="00A13AED"/>
    <w:rsid w:val="00A1497F"/>
    <w:rsid w:val="00A14DCC"/>
    <w:rsid w:val="00A153E1"/>
    <w:rsid w:val="00A15807"/>
    <w:rsid w:val="00A15AEF"/>
    <w:rsid w:val="00A15DFB"/>
    <w:rsid w:val="00A16628"/>
    <w:rsid w:val="00A172D1"/>
    <w:rsid w:val="00A1763F"/>
    <w:rsid w:val="00A20611"/>
    <w:rsid w:val="00A20632"/>
    <w:rsid w:val="00A20AEC"/>
    <w:rsid w:val="00A212BD"/>
    <w:rsid w:val="00A214EB"/>
    <w:rsid w:val="00A21FF7"/>
    <w:rsid w:val="00A230CC"/>
    <w:rsid w:val="00A231B4"/>
    <w:rsid w:val="00A23389"/>
    <w:rsid w:val="00A2391A"/>
    <w:rsid w:val="00A240E9"/>
    <w:rsid w:val="00A2451D"/>
    <w:rsid w:val="00A24762"/>
    <w:rsid w:val="00A24A81"/>
    <w:rsid w:val="00A24CCD"/>
    <w:rsid w:val="00A24E96"/>
    <w:rsid w:val="00A24F7C"/>
    <w:rsid w:val="00A25CC9"/>
    <w:rsid w:val="00A26835"/>
    <w:rsid w:val="00A26ED8"/>
    <w:rsid w:val="00A27355"/>
    <w:rsid w:val="00A27508"/>
    <w:rsid w:val="00A2792C"/>
    <w:rsid w:val="00A27B7A"/>
    <w:rsid w:val="00A27E17"/>
    <w:rsid w:val="00A302ED"/>
    <w:rsid w:val="00A303E2"/>
    <w:rsid w:val="00A30496"/>
    <w:rsid w:val="00A3049D"/>
    <w:rsid w:val="00A313B6"/>
    <w:rsid w:val="00A31418"/>
    <w:rsid w:val="00A3165D"/>
    <w:rsid w:val="00A31DDF"/>
    <w:rsid w:val="00A31E4F"/>
    <w:rsid w:val="00A32B52"/>
    <w:rsid w:val="00A32F6B"/>
    <w:rsid w:val="00A333AE"/>
    <w:rsid w:val="00A340FC"/>
    <w:rsid w:val="00A347D5"/>
    <w:rsid w:val="00A34E2F"/>
    <w:rsid w:val="00A35124"/>
    <w:rsid w:val="00A359B9"/>
    <w:rsid w:val="00A35E37"/>
    <w:rsid w:val="00A3683E"/>
    <w:rsid w:val="00A368B1"/>
    <w:rsid w:val="00A36C7D"/>
    <w:rsid w:val="00A37492"/>
    <w:rsid w:val="00A376DE"/>
    <w:rsid w:val="00A4031C"/>
    <w:rsid w:val="00A411D4"/>
    <w:rsid w:val="00A41301"/>
    <w:rsid w:val="00A41A7B"/>
    <w:rsid w:val="00A41C02"/>
    <w:rsid w:val="00A41E9F"/>
    <w:rsid w:val="00A41ED5"/>
    <w:rsid w:val="00A421F1"/>
    <w:rsid w:val="00A42730"/>
    <w:rsid w:val="00A42856"/>
    <w:rsid w:val="00A42B8D"/>
    <w:rsid w:val="00A43360"/>
    <w:rsid w:val="00A436E0"/>
    <w:rsid w:val="00A436E1"/>
    <w:rsid w:val="00A43E82"/>
    <w:rsid w:val="00A43E96"/>
    <w:rsid w:val="00A43F7B"/>
    <w:rsid w:val="00A44473"/>
    <w:rsid w:val="00A4468F"/>
    <w:rsid w:val="00A46AA0"/>
    <w:rsid w:val="00A46DA9"/>
    <w:rsid w:val="00A46EAE"/>
    <w:rsid w:val="00A470B1"/>
    <w:rsid w:val="00A471D3"/>
    <w:rsid w:val="00A47288"/>
    <w:rsid w:val="00A475E2"/>
    <w:rsid w:val="00A47682"/>
    <w:rsid w:val="00A47860"/>
    <w:rsid w:val="00A47906"/>
    <w:rsid w:val="00A47CD3"/>
    <w:rsid w:val="00A47E3E"/>
    <w:rsid w:val="00A50A74"/>
    <w:rsid w:val="00A50D35"/>
    <w:rsid w:val="00A516CC"/>
    <w:rsid w:val="00A517F3"/>
    <w:rsid w:val="00A51B6D"/>
    <w:rsid w:val="00A52120"/>
    <w:rsid w:val="00A52380"/>
    <w:rsid w:val="00A525F6"/>
    <w:rsid w:val="00A52A02"/>
    <w:rsid w:val="00A52D45"/>
    <w:rsid w:val="00A52DE3"/>
    <w:rsid w:val="00A52DFA"/>
    <w:rsid w:val="00A5337A"/>
    <w:rsid w:val="00A53CF8"/>
    <w:rsid w:val="00A545C8"/>
    <w:rsid w:val="00A54B09"/>
    <w:rsid w:val="00A55058"/>
    <w:rsid w:val="00A55074"/>
    <w:rsid w:val="00A55086"/>
    <w:rsid w:val="00A55C18"/>
    <w:rsid w:val="00A5623E"/>
    <w:rsid w:val="00A5638D"/>
    <w:rsid w:val="00A56C0C"/>
    <w:rsid w:val="00A56CE9"/>
    <w:rsid w:val="00A579DC"/>
    <w:rsid w:val="00A6058A"/>
    <w:rsid w:val="00A608EC"/>
    <w:rsid w:val="00A60BF0"/>
    <w:rsid w:val="00A60CDA"/>
    <w:rsid w:val="00A60D2C"/>
    <w:rsid w:val="00A60E38"/>
    <w:rsid w:val="00A61455"/>
    <w:rsid w:val="00A61722"/>
    <w:rsid w:val="00A6192D"/>
    <w:rsid w:val="00A61955"/>
    <w:rsid w:val="00A6209B"/>
    <w:rsid w:val="00A625C4"/>
    <w:rsid w:val="00A6289C"/>
    <w:rsid w:val="00A629E8"/>
    <w:rsid w:val="00A62AC7"/>
    <w:rsid w:val="00A62C1F"/>
    <w:rsid w:val="00A62DF3"/>
    <w:rsid w:val="00A6334E"/>
    <w:rsid w:val="00A6380C"/>
    <w:rsid w:val="00A63CDD"/>
    <w:rsid w:val="00A64127"/>
    <w:rsid w:val="00A6459E"/>
    <w:rsid w:val="00A649CA"/>
    <w:rsid w:val="00A64DD2"/>
    <w:rsid w:val="00A650A0"/>
    <w:rsid w:val="00A6626E"/>
    <w:rsid w:val="00A665D7"/>
    <w:rsid w:val="00A6661C"/>
    <w:rsid w:val="00A66C2E"/>
    <w:rsid w:val="00A67CA8"/>
    <w:rsid w:val="00A7086D"/>
    <w:rsid w:val="00A71639"/>
    <w:rsid w:val="00A728EF"/>
    <w:rsid w:val="00A72B8E"/>
    <w:rsid w:val="00A72CC7"/>
    <w:rsid w:val="00A72F38"/>
    <w:rsid w:val="00A72FCB"/>
    <w:rsid w:val="00A7369E"/>
    <w:rsid w:val="00A73C97"/>
    <w:rsid w:val="00A73EA9"/>
    <w:rsid w:val="00A73F02"/>
    <w:rsid w:val="00A7465B"/>
    <w:rsid w:val="00A74BF5"/>
    <w:rsid w:val="00A74D46"/>
    <w:rsid w:val="00A77169"/>
    <w:rsid w:val="00A774A4"/>
    <w:rsid w:val="00A77B41"/>
    <w:rsid w:val="00A801C1"/>
    <w:rsid w:val="00A8079C"/>
    <w:rsid w:val="00A807B1"/>
    <w:rsid w:val="00A8094C"/>
    <w:rsid w:val="00A81749"/>
    <w:rsid w:val="00A81948"/>
    <w:rsid w:val="00A81A02"/>
    <w:rsid w:val="00A81AE0"/>
    <w:rsid w:val="00A81E3D"/>
    <w:rsid w:val="00A825A8"/>
    <w:rsid w:val="00A82613"/>
    <w:rsid w:val="00A82682"/>
    <w:rsid w:val="00A829EA"/>
    <w:rsid w:val="00A82AC5"/>
    <w:rsid w:val="00A8357F"/>
    <w:rsid w:val="00A8413B"/>
    <w:rsid w:val="00A845B7"/>
    <w:rsid w:val="00A84604"/>
    <w:rsid w:val="00A85AC7"/>
    <w:rsid w:val="00A860A4"/>
    <w:rsid w:val="00A86152"/>
    <w:rsid w:val="00A86370"/>
    <w:rsid w:val="00A86B9D"/>
    <w:rsid w:val="00A86C6E"/>
    <w:rsid w:val="00A86ED2"/>
    <w:rsid w:val="00A87251"/>
    <w:rsid w:val="00A87FDC"/>
    <w:rsid w:val="00A903C6"/>
    <w:rsid w:val="00A90CEF"/>
    <w:rsid w:val="00A91633"/>
    <w:rsid w:val="00A91727"/>
    <w:rsid w:val="00A919A1"/>
    <w:rsid w:val="00A91AFB"/>
    <w:rsid w:val="00A920C7"/>
    <w:rsid w:val="00A92682"/>
    <w:rsid w:val="00A92A58"/>
    <w:rsid w:val="00A92C0C"/>
    <w:rsid w:val="00A934FC"/>
    <w:rsid w:val="00A93C67"/>
    <w:rsid w:val="00A9402B"/>
    <w:rsid w:val="00A94371"/>
    <w:rsid w:val="00A94727"/>
    <w:rsid w:val="00A94EC2"/>
    <w:rsid w:val="00A95A58"/>
    <w:rsid w:val="00A96832"/>
    <w:rsid w:val="00A970A3"/>
    <w:rsid w:val="00A973BB"/>
    <w:rsid w:val="00AA004C"/>
    <w:rsid w:val="00AA04A9"/>
    <w:rsid w:val="00AA05C0"/>
    <w:rsid w:val="00AA10D9"/>
    <w:rsid w:val="00AA18F0"/>
    <w:rsid w:val="00AA1CE1"/>
    <w:rsid w:val="00AA2541"/>
    <w:rsid w:val="00AA2ED0"/>
    <w:rsid w:val="00AA3C51"/>
    <w:rsid w:val="00AA3E9D"/>
    <w:rsid w:val="00AA408C"/>
    <w:rsid w:val="00AA40B1"/>
    <w:rsid w:val="00AA4200"/>
    <w:rsid w:val="00AA4944"/>
    <w:rsid w:val="00AA4F22"/>
    <w:rsid w:val="00AA576E"/>
    <w:rsid w:val="00AA58F2"/>
    <w:rsid w:val="00AA5957"/>
    <w:rsid w:val="00AA5DD6"/>
    <w:rsid w:val="00AA737C"/>
    <w:rsid w:val="00AA7418"/>
    <w:rsid w:val="00AA776E"/>
    <w:rsid w:val="00AA78B0"/>
    <w:rsid w:val="00AA7E8D"/>
    <w:rsid w:val="00AA7EFA"/>
    <w:rsid w:val="00AB04D1"/>
    <w:rsid w:val="00AB0703"/>
    <w:rsid w:val="00AB1B0B"/>
    <w:rsid w:val="00AB26B2"/>
    <w:rsid w:val="00AB2816"/>
    <w:rsid w:val="00AB35C1"/>
    <w:rsid w:val="00AB4991"/>
    <w:rsid w:val="00AB4FBF"/>
    <w:rsid w:val="00AB5263"/>
    <w:rsid w:val="00AB5504"/>
    <w:rsid w:val="00AB5C74"/>
    <w:rsid w:val="00AB644B"/>
    <w:rsid w:val="00AB6534"/>
    <w:rsid w:val="00AB663D"/>
    <w:rsid w:val="00AB6E61"/>
    <w:rsid w:val="00AB78AD"/>
    <w:rsid w:val="00AC033F"/>
    <w:rsid w:val="00AC0B13"/>
    <w:rsid w:val="00AC0B60"/>
    <w:rsid w:val="00AC0E43"/>
    <w:rsid w:val="00AC2893"/>
    <w:rsid w:val="00AC2E1E"/>
    <w:rsid w:val="00AC2E21"/>
    <w:rsid w:val="00AC2FCA"/>
    <w:rsid w:val="00AC30BC"/>
    <w:rsid w:val="00AC3268"/>
    <w:rsid w:val="00AC34F0"/>
    <w:rsid w:val="00AC3823"/>
    <w:rsid w:val="00AC3D04"/>
    <w:rsid w:val="00AC40C9"/>
    <w:rsid w:val="00AC4746"/>
    <w:rsid w:val="00AC5109"/>
    <w:rsid w:val="00AC5FC7"/>
    <w:rsid w:val="00AC666F"/>
    <w:rsid w:val="00AC675D"/>
    <w:rsid w:val="00AC6CBF"/>
    <w:rsid w:val="00AC7200"/>
    <w:rsid w:val="00AC74BB"/>
    <w:rsid w:val="00AC79B2"/>
    <w:rsid w:val="00AC7CFC"/>
    <w:rsid w:val="00AD0520"/>
    <w:rsid w:val="00AD0678"/>
    <w:rsid w:val="00AD08CA"/>
    <w:rsid w:val="00AD0BA7"/>
    <w:rsid w:val="00AD0E77"/>
    <w:rsid w:val="00AD14D6"/>
    <w:rsid w:val="00AD1A5B"/>
    <w:rsid w:val="00AD29AC"/>
    <w:rsid w:val="00AD2F83"/>
    <w:rsid w:val="00AD3BA0"/>
    <w:rsid w:val="00AD55C6"/>
    <w:rsid w:val="00AD57EC"/>
    <w:rsid w:val="00AD59E8"/>
    <w:rsid w:val="00AD5C0B"/>
    <w:rsid w:val="00AD60C8"/>
    <w:rsid w:val="00AD6211"/>
    <w:rsid w:val="00AD628D"/>
    <w:rsid w:val="00AD6989"/>
    <w:rsid w:val="00AD6B1F"/>
    <w:rsid w:val="00AD6B65"/>
    <w:rsid w:val="00AD75A4"/>
    <w:rsid w:val="00AD7B9C"/>
    <w:rsid w:val="00AD7CCC"/>
    <w:rsid w:val="00AD7F91"/>
    <w:rsid w:val="00AE1027"/>
    <w:rsid w:val="00AE13B8"/>
    <w:rsid w:val="00AE142B"/>
    <w:rsid w:val="00AE2D51"/>
    <w:rsid w:val="00AE2E39"/>
    <w:rsid w:val="00AE3551"/>
    <w:rsid w:val="00AE443F"/>
    <w:rsid w:val="00AE4469"/>
    <w:rsid w:val="00AE49FE"/>
    <w:rsid w:val="00AE5723"/>
    <w:rsid w:val="00AE6248"/>
    <w:rsid w:val="00AE6DF9"/>
    <w:rsid w:val="00AE6F09"/>
    <w:rsid w:val="00AE7F7E"/>
    <w:rsid w:val="00AF00F6"/>
    <w:rsid w:val="00AF0644"/>
    <w:rsid w:val="00AF0811"/>
    <w:rsid w:val="00AF0AB5"/>
    <w:rsid w:val="00AF1C8A"/>
    <w:rsid w:val="00AF28C3"/>
    <w:rsid w:val="00AF2B33"/>
    <w:rsid w:val="00AF357F"/>
    <w:rsid w:val="00AF38D3"/>
    <w:rsid w:val="00AF3B20"/>
    <w:rsid w:val="00AF41BF"/>
    <w:rsid w:val="00AF4655"/>
    <w:rsid w:val="00AF5072"/>
    <w:rsid w:val="00AF5599"/>
    <w:rsid w:val="00AF5792"/>
    <w:rsid w:val="00AF676C"/>
    <w:rsid w:val="00AF6AA7"/>
    <w:rsid w:val="00AF739D"/>
    <w:rsid w:val="00AF76DE"/>
    <w:rsid w:val="00AF789F"/>
    <w:rsid w:val="00AF7C3B"/>
    <w:rsid w:val="00AF7CCF"/>
    <w:rsid w:val="00B000DE"/>
    <w:rsid w:val="00B0082E"/>
    <w:rsid w:val="00B0091A"/>
    <w:rsid w:val="00B00A70"/>
    <w:rsid w:val="00B00AFF"/>
    <w:rsid w:val="00B00B03"/>
    <w:rsid w:val="00B01C12"/>
    <w:rsid w:val="00B022D6"/>
    <w:rsid w:val="00B02BA8"/>
    <w:rsid w:val="00B02EE8"/>
    <w:rsid w:val="00B03410"/>
    <w:rsid w:val="00B037D7"/>
    <w:rsid w:val="00B03B12"/>
    <w:rsid w:val="00B04473"/>
    <w:rsid w:val="00B046D2"/>
    <w:rsid w:val="00B06137"/>
    <w:rsid w:val="00B06808"/>
    <w:rsid w:val="00B0694C"/>
    <w:rsid w:val="00B07D2B"/>
    <w:rsid w:val="00B07E6D"/>
    <w:rsid w:val="00B07F34"/>
    <w:rsid w:val="00B100CA"/>
    <w:rsid w:val="00B10317"/>
    <w:rsid w:val="00B10C8A"/>
    <w:rsid w:val="00B10D24"/>
    <w:rsid w:val="00B10DCD"/>
    <w:rsid w:val="00B11151"/>
    <w:rsid w:val="00B11907"/>
    <w:rsid w:val="00B11A87"/>
    <w:rsid w:val="00B11CD7"/>
    <w:rsid w:val="00B125C3"/>
    <w:rsid w:val="00B125D1"/>
    <w:rsid w:val="00B127E0"/>
    <w:rsid w:val="00B12CD1"/>
    <w:rsid w:val="00B1300C"/>
    <w:rsid w:val="00B131BA"/>
    <w:rsid w:val="00B1374E"/>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1750D"/>
    <w:rsid w:val="00B204CA"/>
    <w:rsid w:val="00B205BF"/>
    <w:rsid w:val="00B20882"/>
    <w:rsid w:val="00B20F3F"/>
    <w:rsid w:val="00B20FA7"/>
    <w:rsid w:val="00B21B41"/>
    <w:rsid w:val="00B226F1"/>
    <w:rsid w:val="00B22F0C"/>
    <w:rsid w:val="00B23527"/>
    <w:rsid w:val="00B23940"/>
    <w:rsid w:val="00B24277"/>
    <w:rsid w:val="00B24D06"/>
    <w:rsid w:val="00B250CA"/>
    <w:rsid w:val="00B2519E"/>
    <w:rsid w:val="00B25792"/>
    <w:rsid w:val="00B2602D"/>
    <w:rsid w:val="00B2636E"/>
    <w:rsid w:val="00B266F2"/>
    <w:rsid w:val="00B27098"/>
    <w:rsid w:val="00B279D7"/>
    <w:rsid w:val="00B27A46"/>
    <w:rsid w:val="00B27F93"/>
    <w:rsid w:val="00B3119E"/>
    <w:rsid w:val="00B3146A"/>
    <w:rsid w:val="00B31EA2"/>
    <w:rsid w:val="00B32107"/>
    <w:rsid w:val="00B32431"/>
    <w:rsid w:val="00B32484"/>
    <w:rsid w:val="00B33971"/>
    <w:rsid w:val="00B34064"/>
    <w:rsid w:val="00B340DD"/>
    <w:rsid w:val="00B343F0"/>
    <w:rsid w:val="00B34598"/>
    <w:rsid w:val="00B3556A"/>
    <w:rsid w:val="00B35813"/>
    <w:rsid w:val="00B36034"/>
    <w:rsid w:val="00B360C6"/>
    <w:rsid w:val="00B36B6A"/>
    <w:rsid w:val="00B36D41"/>
    <w:rsid w:val="00B374CD"/>
    <w:rsid w:val="00B37740"/>
    <w:rsid w:val="00B37A3E"/>
    <w:rsid w:val="00B37ACB"/>
    <w:rsid w:val="00B37CC4"/>
    <w:rsid w:val="00B37DB2"/>
    <w:rsid w:val="00B40109"/>
    <w:rsid w:val="00B40AAA"/>
    <w:rsid w:val="00B40EF0"/>
    <w:rsid w:val="00B411EF"/>
    <w:rsid w:val="00B412D4"/>
    <w:rsid w:val="00B41497"/>
    <w:rsid w:val="00B415CE"/>
    <w:rsid w:val="00B415E6"/>
    <w:rsid w:val="00B419CF"/>
    <w:rsid w:val="00B41D55"/>
    <w:rsid w:val="00B422DA"/>
    <w:rsid w:val="00B42EC6"/>
    <w:rsid w:val="00B4307B"/>
    <w:rsid w:val="00B437D7"/>
    <w:rsid w:val="00B44023"/>
    <w:rsid w:val="00B44B0C"/>
    <w:rsid w:val="00B44D91"/>
    <w:rsid w:val="00B45492"/>
    <w:rsid w:val="00B454CF"/>
    <w:rsid w:val="00B454E4"/>
    <w:rsid w:val="00B45583"/>
    <w:rsid w:val="00B4577B"/>
    <w:rsid w:val="00B4584E"/>
    <w:rsid w:val="00B46293"/>
    <w:rsid w:val="00B4663F"/>
    <w:rsid w:val="00B466DE"/>
    <w:rsid w:val="00B470A1"/>
    <w:rsid w:val="00B473A4"/>
    <w:rsid w:val="00B4756E"/>
    <w:rsid w:val="00B475FC"/>
    <w:rsid w:val="00B500C5"/>
    <w:rsid w:val="00B502B8"/>
    <w:rsid w:val="00B5049B"/>
    <w:rsid w:val="00B5089A"/>
    <w:rsid w:val="00B50AE2"/>
    <w:rsid w:val="00B50D4D"/>
    <w:rsid w:val="00B517A3"/>
    <w:rsid w:val="00B51943"/>
    <w:rsid w:val="00B51D15"/>
    <w:rsid w:val="00B51E20"/>
    <w:rsid w:val="00B52434"/>
    <w:rsid w:val="00B5280C"/>
    <w:rsid w:val="00B529B6"/>
    <w:rsid w:val="00B52BBB"/>
    <w:rsid w:val="00B52E77"/>
    <w:rsid w:val="00B5300D"/>
    <w:rsid w:val="00B5301C"/>
    <w:rsid w:val="00B530E2"/>
    <w:rsid w:val="00B53432"/>
    <w:rsid w:val="00B53733"/>
    <w:rsid w:val="00B538E7"/>
    <w:rsid w:val="00B53ABD"/>
    <w:rsid w:val="00B53EEC"/>
    <w:rsid w:val="00B542FE"/>
    <w:rsid w:val="00B548C7"/>
    <w:rsid w:val="00B54CE4"/>
    <w:rsid w:val="00B54FBE"/>
    <w:rsid w:val="00B559DA"/>
    <w:rsid w:val="00B55FC9"/>
    <w:rsid w:val="00B56104"/>
    <w:rsid w:val="00B56260"/>
    <w:rsid w:val="00B569F7"/>
    <w:rsid w:val="00B56F83"/>
    <w:rsid w:val="00B57450"/>
    <w:rsid w:val="00B57982"/>
    <w:rsid w:val="00B602BD"/>
    <w:rsid w:val="00B608F4"/>
    <w:rsid w:val="00B6127B"/>
    <w:rsid w:val="00B6178B"/>
    <w:rsid w:val="00B617C2"/>
    <w:rsid w:val="00B61E3E"/>
    <w:rsid w:val="00B61EE3"/>
    <w:rsid w:val="00B62288"/>
    <w:rsid w:val="00B62442"/>
    <w:rsid w:val="00B624A5"/>
    <w:rsid w:val="00B62FC8"/>
    <w:rsid w:val="00B63907"/>
    <w:rsid w:val="00B63B77"/>
    <w:rsid w:val="00B63C68"/>
    <w:rsid w:val="00B6457D"/>
    <w:rsid w:val="00B645E2"/>
    <w:rsid w:val="00B653C8"/>
    <w:rsid w:val="00B65973"/>
    <w:rsid w:val="00B65D13"/>
    <w:rsid w:val="00B6652B"/>
    <w:rsid w:val="00B666F4"/>
    <w:rsid w:val="00B67338"/>
    <w:rsid w:val="00B67A85"/>
    <w:rsid w:val="00B7068C"/>
    <w:rsid w:val="00B706D8"/>
    <w:rsid w:val="00B708D0"/>
    <w:rsid w:val="00B70EDC"/>
    <w:rsid w:val="00B711BE"/>
    <w:rsid w:val="00B71420"/>
    <w:rsid w:val="00B715D6"/>
    <w:rsid w:val="00B71922"/>
    <w:rsid w:val="00B719CA"/>
    <w:rsid w:val="00B71CE3"/>
    <w:rsid w:val="00B724CC"/>
    <w:rsid w:val="00B72CDF"/>
    <w:rsid w:val="00B7365D"/>
    <w:rsid w:val="00B73890"/>
    <w:rsid w:val="00B73C9E"/>
    <w:rsid w:val="00B74B34"/>
    <w:rsid w:val="00B752E2"/>
    <w:rsid w:val="00B75A9F"/>
    <w:rsid w:val="00B76585"/>
    <w:rsid w:val="00B767F5"/>
    <w:rsid w:val="00B7685D"/>
    <w:rsid w:val="00B770E4"/>
    <w:rsid w:val="00B77869"/>
    <w:rsid w:val="00B80211"/>
    <w:rsid w:val="00B8030B"/>
    <w:rsid w:val="00B803CF"/>
    <w:rsid w:val="00B803D0"/>
    <w:rsid w:val="00B804CC"/>
    <w:rsid w:val="00B80824"/>
    <w:rsid w:val="00B80D33"/>
    <w:rsid w:val="00B8100B"/>
    <w:rsid w:val="00B81208"/>
    <w:rsid w:val="00B81616"/>
    <w:rsid w:val="00B81813"/>
    <w:rsid w:val="00B81B6F"/>
    <w:rsid w:val="00B82188"/>
    <w:rsid w:val="00B823BB"/>
    <w:rsid w:val="00B82E92"/>
    <w:rsid w:val="00B8341A"/>
    <w:rsid w:val="00B835F0"/>
    <w:rsid w:val="00B838AA"/>
    <w:rsid w:val="00B845E1"/>
    <w:rsid w:val="00B84B6E"/>
    <w:rsid w:val="00B8529D"/>
    <w:rsid w:val="00B85DA1"/>
    <w:rsid w:val="00B8631E"/>
    <w:rsid w:val="00B865EB"/>
    <w:rsid w:val="00B87C14"/>
    <w:rsid w:val="00B87CFD"/>
    <w:rsid w:val="00B90F8F"/>
    <w:rsid w:val="00B91025"/>
    <w:rsid w:val="00B9110C"/>
    <w:rsid w:val="00B91651"/>
    <w:rsid w:val="00B92C49"/>
    <w:rsid w:val="00B93C31"/>
    <w:rsid w:val="00B93E30"/>
    <w:rsid w:val="00B9408D"/>
    <w:rsid w:val="00B946CF"/>
    <w:rsid w:val="00B94841"/>
    <w:rsid w:val="00B94905"/>
    <w:rsid w:val="00B956AA"/>
    <w:rsid w:val="00B95B44"/>
    <w:rsid w:val="00B95E73"/>
    <w:rsid w:val="00B961C8"/>
    <w:rsid w:val="00B96AD2"/>
    <w:rsid w:val="00B9743E"/>
    <w:rsid w:val="00B97C1E"/>
    <w:rsid w:val="00BA055A"/>
    <w:rsid w:val="00BA08D9"/>
    <w:rsid w:val="00BA0961"/>
    <w:rsid w:val="00BA0B28"/>
    <w:rsid w:val="00BA1204"/>
    <w:rsid w:val="00BA1852"/>
    <w:rsid w:val="00BA18DF"/>
    <w:rsid w:val="00BA1C92"/>
    <w:rsid w:val="00BA20B5"/>
    <w:rsid w:val="00BA28BA"/>
    <w:rsid w:val="00BA29A9"/>
    <w:rsid w:val="00BA32E4"/>
    <w:rsid w:val="00BA3402"/>
    <w:rsid w:val="00BA34E5"/>
    <w:rsid w:val="00BA3517"/>
    <w:rsid w:val="00BA3C7A"/>
    <w:rsid w:val="00BA3D45"/>
    <w:rsid w:val="00BA40A3"/>
    <w:rsid w:val="00BA426D"/>
    <w:rsid w:val="00BA48A5"/>
    <w:rsid w:val="00BA4EB4"/>
    <w:rsid w:val="00BA5D86"/>
    <w:rsid w:val="00BA5F80"/>
    <w:rsid w:val="00BA63F5"/>
    <w:rsid w:val="00BA6556"/>
    <w:rsid w:val="00BA6855"/>
    <w:rsid w:val="00BA6912"/>
    <w:rsid w:val="00BA6AC1"/>
    <w:rsid w:val="00BA6F2A"/>
    <w:rsid w:val="00BA7178"/>
    <w:rsid w:val="00BA7337"/>
    <w:rsid w:val="00BA7DF8"/>
    <w:rsid w:val="00BB03C3"/>
    <w:rsid w:val="00BB0AA9"/>
    <w:rsid w:val="00BB0F56"/>
    <w:rsid w:val="00BB111F"/>
    <w:rsid w:val="00BB1284"/>
    <w:rsid w:val="00BB1812"/>
    <w:rsid w:val="00BB1842"/>
    <w:rsid w:val="00BB2642"/>
    <w:rsid w:val="00BB2869"/>
    <w:rsid w:val="00BB2E55"/>
    <w:rsid w:val="00BB2EC9"/>
    <w:rsid w:val="00BB31A1"/>
    <w:rsid w:val="00BB3223"/>
    <w:rsid w:val="00BB35FE"/>
    <w:rsid w:val="00BB427A"/>
    <w:rsid w:val="00BB4E95"/>
    <w:rsid w:val="00BB537C"/>
    <w:rsid w:val="00BB56D7"/>
    <w:rsid w:val="00BB5776"/>
    <w:rsid w:val="00BB5912"/>
    <w:rsid w:val="00BB5F14"/>
    <w:rsid w:val="00BB5FF9"/>
    <w:rsid w:val="00BB6B6F"/>
    <w:rsid w:val="00BB6BA4"/>
    <w:rsid w:val="00BB6BC6"/>
    <w:rsid w:val="00BB6E1C"/>
    <w:rsid w:val="00BB6EDA"/>
    <w:rsid w:val="00BB71BA"/>
    <w:rsid w:val="00BB7365"/>
    <w:rsid w:val="00BB7640"/>
    <w:rsid w:val="00BB7B12"/>
    <w:rsid w:val="00BB7F9A"/>
    <w:rsid w:val="00BC04EE"/>
    <w:rsid w:val="00BC210D"/>
    <w:rsid w:val="00BC2A2E"/>
    <w:rsid w:val="00BC5155"/>
    <w:rsid w:val="00BC587C"/>
    <w:rsid w:val="00BC6514"/>
    <w:rsid w:val="00BC69A2"/>
    <w:rsid w:val="00BC69D3"/>
    <w:rsid w:val="00BC6B41"/>
    <w:rsid w:val="00BC6B9E"/>
    <w:rsid w:val="00BC6C02"/>
    <w:rsid w:val="00BC6E5F"/>
    <w:rsid w:val="00BC7097"/>
    <w:rsid w:val="00BC73D6"/>
    <w:rsid w:val="00BC76BC"/>
    <w:rsid w:val="00BC794F"/>
    <w:rsid w:val="00BC7E61"/>
    <w:rsid w:val="00BD031D"/>
    <w:rsid w:val="00BD0E2C"/>
    <w:rsid w:val="00BD0F33"/>
    <w:rsid w:val="00BD138D"/>
    <w:rsid w:val="00BD15AD"/>
    <w:rsid w:val="00BD1BE4"/>
    <w:rsid w:val="00BD211D"/>
    <w:rsid w:val="00BD22E6"/>
    <w:rsid w:val="00BD23D5"/>
    <w:rsid w:val="00BD2983"/>
    <w:rsid w:val="00BD355C"/>
    <w:rsid w:val="00BD446E"/>
    <w:rsid w:val="00BD492A"/>
    <w:rsid w:val="00BD4BBB"/>
    <w:rsid w:val="00BD5040"/>
    <w:rsid w:val="00BD5325"/>
    <w:rsid w:val="00BD56CE"/>
    <w:rsid w:val="00BD6418"/>
    <w:rsid w:val="00BD657D"/>
    <w:rsid w:val="00BD696F"/>
    <w:rsid w:val="00BD6FFF"/>
    <w:rsid w:val="00BD7563"/>
    <w:rsid w:val="00BD7C98"/>
    <w:rsid w:val="00BD7D64"/>
    <w:rsid w:val="00BE00F5"/>
    <w:rsid w:val="00BE0361"/>
    <w:rsid w:val="00BE079A"/>
    <w:rsid w:val="00BE0BD2"/>
    <w:rsid w:val="00BE1462"/>
    <w:rsid w:val="00BE1606"/>
    <w:rsid w:val="00BE22BF"/>
    <w:rsid w:val="00BE254F"/>
    <w:rsid w:val="00BE28EA"/>
    <w:rsid w:val="00BE2983"/>
    <w:rsid w:val="00BE34D4"/>
    <w:rsid w:val="00BE3648"/>
    <w:rsid w:val="00BE3B86"/>
    <w:rsid w:val="00BE41DD"/>
    <w:rsid w:val="00BE421A"/>
    <w:rsid w:val="00BE4600"/>
    <w:rsid w:val="00BE462F"/>
    <w:rsid w:val="00BE469D"/>
    <w:rsid w:val="00BE47F9"/>
    <w:rsid w:val="00BE4C38"/>
    <w:rsid w:val="00BE4C43"/>
    <w:rsid w:val="00BE5053"/>
    <w:rsid w:val="00BE5087"/>
    <w:rsid w:val="00BE5090"/>
    <w:rsid w:val="00BE5969"/>
    <w:rsid w:val="00BE5E68"/>
    <w:rsid w:val="00BE5EBD"/>
    <w:rsid w:val="00BE5F6B"/>
    <w:rsid w:val="00BE62F5"/>
    <w:rsid w:val="00BE7410"/>
    <w:rsid w:val="00BE7437"/>
    <w:rsid w:val="00BE7537"/>
    <w:rsid w:val="00BE7E0B"/>
    <w:rsid w:val="00BF0626"/>
    <w:rsid w:val="00BF0ABE"/>
    <w:rsid w:val="00BF1216"/>
    <w:rsid w:val="00BF1A88"/>
    <w:rsid w:val="00BF1C6E"/>
    <w:rsid w:val="00BF1DCE"/>
    <w:rsid w:val="00BF1FBF"/>
    <w:rsid w:val="00BF21A5"/>
    <w:rsid w:val="00BF2257"/>
    <w:rsid w:val="00BF26A1"/>
    <w:rsid w:val="00BF29F9"/>
    <w:rsid w:val="00BF2F1B"/>
    <w:rsid w:val="00BF337B"/>
    <w:rsid w:val="00BF33F3"/>
    <w:rsid w:val="00BF3642"/>
    <w:rsid w:val="00BF389C"/>
    <w:rsid w:val="00BF3BFB"/>
    <w:rsid w:val="00BF3E43"/>
    <w:rsid w:val="00BF428F"/>
    <w:rsid w:val="00BF4658"/>
    <w:rsid w:val="00BF4F10"/>
    <w:rsid w:val="00BF5E22"/>
    <w:rsid w:val="00BF5F60"/>
    <w:rsid w:val="00BF643A"/>
    <w:rsid w:val="00BF6DF0"/>
    <w:rsid w:val="00BF7730"/>
    <w:rsid w:val="00BF7A4B"/>
    <w:rsid w:val="00BF7CD2"/>
    <w:rsid w:val="00C004FF"/>
    <w:rsid w:val="00C005DD"/>
    <w:rsid w:val="00C00F88"/>
    <w:rsid w:val="00C012E8"/>
    <w:rsid w:val="00C0190A"/>
    <w:rsid w:val="00C0227A"/>
    <w:rsid w:val="00C027AC"/>
    <w:rsid w:val="00C039C2"/>
    <w:rsid w:val="00C03F39"/>
    <w:rsid w:val="00C04155"/>
    <w:rsid w:val="00C04530"/>
    <w:rsid w:val="00C0455F"/>
    <w:rsid w:val="00C04955"/>
    <w:rsid w:val="00C04F49"/>
    <w:rsid w:val="00C0581A"/>
    <w:rsid w:val="00C05AAC"/>
    <w:rsid w:val="00C05E7F"/>
    <w:rsid w:val="00C06054"/>
    <w:rsid w:val="00C07B8D"/>
    <w:rsid w:val="00C07EC8"/>
    <w:rsid w:val="00C07F96"/>
    <w:rsid w:val="00C100D3"/>
    <w:rsid w:val="00C1023E"/>
    <w:rsid w:val="00C1042F"/>
    <w:rsid w:val="00C1051F"/>
    <w:rsid w:val="00C10551"/>
    <w:rsid w:val="00C10809"/>
    <w:rsid w:val="00C10CAA"/>
    <w:rsid w:val="00C10FBA"/>
    <w:rsid w:val="00C1120E"/>
    <w:rsid w:val="00C115A0"/>
    <w:rsid w:val="00C12831"/>
    <w:rsid w:val="00C13B4A"/>
    <w:rsid w:val="00C13EFB"/>
    <w:rsid w:val="00C143B7"/>
    <w:rsid w:val="00C149A8"/>
    <w:rsid w:val="00C14FB3"/>
    <w:rsid w:val="00C1615A"/>
    <w:rsid w:val="00C16165"/>
    <w:rsid w:val="00C16AB2"/>
    <w:rsid w:val="00C16D8E"/>
    <w:rsid w:val="00C17270"/>
    <w:rsid w:val="00C17473"/>
    <w:rsid w:val="00C17988"/>
    <w:rsid w:val="00C17A9E"/>
    <w:rsid w:val="00C17B20"/>
    <w:rsid w:val="00C17EE0"/>
    <w:rsid w:val="00C201DB"/>
    <w:rsid w:val="00C20895"/>
    <w:rsid w:val="00C20DE5"/>
    <w:rsid w:val="00C211BD"/>
    <w:rsid w:val="00C2154F"/>
    <w:rsid w:val="00C218E8"/>
    <w:rsid w:val="00C21A95"/>
    <w:rsid w:val="00C21E40"/>
    <w:rsid w:val="00C220BB"/>
    <w:rsid w:val="00C22CFF"/>
    <w:rsid w:val="00C23613"/>
    <w:rsid w:val="00C2483C"/>
    <w:rsid w:val="00C2582D"/>
    <w:rsid w:val="00C2584B"/>
    <w:rsid w:val="00C260A5"/>
    <w:rsid w:val="00C26C0F"/>
    <w:rsid w:val="00C26C57"/>
    <w:rsid w:val="00C272A4"/>
    <w:rsid w:val="00C27481"/>
    <w:rsid w:val="00C27730"/>
    <w:rsid w:val="00C27736"/>
    <w:rsid w:val="00C279D5"/>
    <w:rsid w:val="00C30EAE"/>
    <w:rsid w:val="00C3108B"/>
    <w:rsid w:val="00C31647"/>
    <w:rsid w:val="00C31FAD"/>
    <w:rsid w:val="00C322F1"/>
    <w:rsid w:val="00C33933"/>
    <w:rsid w:val="00C339C0"/>
    <w:rsid w:val="00C33C1F"/>
    <w:rsid w:val="00C33C89"/>
    <w:rsid w:val="00C33CD4"/>
    <w:rsid w:val="00C34495"/>
    <w:rsid w:val="00C3517C"/>
    <w:rsid w:val="00C35198"/>
    <w:rsid w:val="00C35B11"/>
    <w:rsid w:val="00C36673"/>
    <w:rsid w:val="00C36AAA"/>
    <w:rsid w:val="00C36AEA"/>
    <w:rsid w:val="00C36EDC"/>
    <w:rsid w:val="00C372C3"/>
    <w:rsid w:val="00C3785F"/>
    <w:rsid w:val="00C37A92"/>
    <w:rsid w:val="00C400B1"/>
    <w:rsid w:val="00C405BA"/>
    <w:rsid w:val="00C40CCA"/>
    <w:rsid w:val="00C41029"/>
    <w:rsid w:val="00C41157"/>
    <w:rsid w:val="00C41568"/>
    <w:rsid w:val="00C41A4D"/>
    <w:rsid w:val="00C42F45"/>
    <w:rsid w:val="00C43268"/>
    <w:rsid w:val="00C43D3D"/>
    <w:rsid w:val="00C43D7C"/>
    <w:rsid w:val="00C4424B"/>
    <w:rsid w:val="00C44741"/>
    <w:rsid w:val="00C45713"/>
    <w:rsid w:val="00C45BBD"/>
    <w:rsid w:val="00C45ED3"/>
    <w:rsid w:val="00C46106"/>
    <w:rsid w:val="00C46DBB"/>
    <w:rsid w:val="00C46DBF"/>
    <w:rsid w:val="00C46EDD"/>
    <w:rsid w:val="00C46F95"/>
    <w:rsid w:val="00C46FE0"/>
    <w:rsid w:val="00C470AB"/>
    <w:rsid w:val="00C47118"/>
    <w:rsid w:val="00C47619"/>
    <w:rsid w:val="00C476D4"/>
    <w:rsid w:val="00C500C8"/>
    <w:rsid w:val="00C501DA"/>
    <w:rsid w:val="00C505D4"/>
    <w:rsid w:val="00C50698"/>
    <w:rsid w:val="00C50FE5"/>
    <w:rsid w:val="00C510B8"/>
    <w:rsid w:val="00C51484"/>
    <w:rsid w:val="00C51700"/>
    <w:rsid w:val="00C51874"/>
    <w:rsid w:val="00C51968"/>
    <w:rsid w:val="00C52354"/>
    <w:rsid w:val="00C52583"/>
    <w:rsid w:val="00C528B2"/>
    <w:rsid w:val="00C52D30"/>
    <w:rsid w:val="00C530B9"/>
    <w:rsid w:val="00C53F31"/>
    <w:rsid w:val="00C54535"/>
    <w:rsid w:val="00C55180"/>
    <w:rsid w:val="00C5528E"/>
    <w:rsid w:val="00C55540"/>
    <w:rsid w:val="00C55712"/>
    <w:rsid w:val="00C55959"/>
    <w:rsid w:val="00C55BC7"/>
    <w:rsid w:val="00C56591"/>
    <w:rsid w:val="00C56B5F"/>
    <w:rsid w:val="00C56C37"/>
    <w:rsid w:val="00C57525"/>
    <w:rsid w:val="00C57586"/>
    <w:rsid w:val="00C57ABC"/>
    <w:rsid w:val="00C57AC8"/>
    <w:rsid w:val="00C57ECF"/>
    <w:rsid w:val="00C57F17"/>
    <w:rsid w:val="00C602E6"/>
    <w:rsid w:val="00C608EA"/>
    <w:rsid w:val="00C60DD0"/>
    <w:rsid w:val="00C612E0"/>
    <w:rsid w:val="00C612E6"/>
    <w:rsid w:val="00C61B03"/>
    <w:rsid w:val="00C62143"/>
    <w:rsid w:val="00C62173"/>
    <w:rsid w:val="00C627C7"/>
    <w:rsid w:val="00C62ACB"/>
    <w:rsid w:val="00C6339F"/>
    <w:rsid w:val="00C63D38"/>
    <w:rsid w:val="00C63E6B"/>
    <w:rsid w:val="00C63FE4"/>
    <w:rsid w:val="00C64071"/>
    <w:rsid w:val="00C641BB"/>
    <w:rsid w:val="00C64343"/>
    <w:rsid w:val="00C648A0"/>
    <w:rsid w:val="00C64BD7"/>
    <w:rsid w:val="00C64D67"/>
    <w:rsid w:val="00C64F05"/>
    <w:rsid w:val="00C64FB7"/>
    <w:rsid w:val="00C65653"/>
    <w:rsid w:val="00C65E4A"/>
    <w:rsid w:val="00C6624A"/>
    <w:rsid w:val="00C66475"/>
    <w:rsid w:val="00C665B9"/>
    <w:rsid w:val="00C668C7"/>
    <w:rsid w:val="00C66D4D"/>
    <w:rsid w:val="00C676CE"/>
    <w:rsid w:val="00C67A43"/>
    <w:rsid w:val="00C703C7"/>
    <w:rsid w:val="00C717B7"/>
    <w:rsid w:val="00C72044"/>
    <w:rsid w:val="00C72685"/>
    <w:rsid w:val="00C72866"/>
    <w:rsid w:val="00C731E3"/>
    <w:rsid w:val="00C74006"/>
    <w:rsid w:val="00C74DF9"/>
    <w:rsid w:val="00C74EE7"/>
    <w:rsid w:val="00C75AEE"/>
    <w:rsid w:val="00C75F1E"/>
    <w:rsid w:val="00C765AD"/>
    <w:rsid w:val="00C7687D"/>
    <w:rsid w:val="00C7697A"/>
    <w:rsid w:val="00C77747"/>
    <w:rsid w:val="00C779B6"/>
    <w:rsid w:val="00C80E9C"/>
    <w:rsid w:val="00C81343"/>
    <w:rsid w:val="00C81754"/>
    <w:rsid w:val="00C81787"/>
    <w:rsid w:val="00C817EC"/>
    <w:rsid w:val="00C818A3"/>
    <w:rsid w:val="00C8196A"/>
    <w:rsid w:val="00C819CC"/>
    <w:rsid w:val="00C82BBF"/>
    <w:rsid w:val="00C833CE"/>
    <w:rsid w:val="00C83496"/>
    <w:rsid w:val="00C834B6"/>
    <w:rsid w:val="00C8386A"/>
    <w:rsid w:val="00C83B0E"/>
    <w:rsid w:val="00C83F90"/>
    <w:rsid w:val="00C842AC"/>
    <w:rsid w:val="00C84358"/>
    <w:rsid w:val="00C846F0"/>
    <w:rsid w:val="00C8478A"/>
    <w:rsid w:val="00C84ED1"/>
    <w:rsid w:val="00C8533C"/>
    <w:rsid w:val="00C85D53"/>
    <w:rsid w:val="00C8766D"/>
    <w:rsid w:val="00C87EF1"/>
    <w:rsid w:val="00C87FC9"/>
    <w:rsid w:val="00C90076"/>
    <w:rsid w:val="00C900CB"/>
    <w:rsid w:val="00C9053C"/>
    <w:rsid w:val="00C9056A"/>
    <w:rsid w:val="00C91CEA"/>
    <w:rsid w:val="00C9256C"/>
    <w:rsid w:val="00C9266B"/>
    <w:rsid w:val="00C92749"/>
    <w:rsid w:val="00C9285C"/>
    <w:rsid w:val="00C92E86"/>
    <w:rsid w:val="00C92EC0"/>
    <w:rsid w:val="00C92F6D"/>
    <w:rsid w:val="00C933F5"/>
    <w:rsid w:val="00C93AE9"/>
    <w:rsid w:val="00C93DD9"/>
    <w:rsid w:val="00C945B7"/>
    <w:rsid w:val="00C945B9"/>
    <w:rsid w:val="00C945E4"/>
    <w:rsid w:val="00C94638"/>
    <w:rsid w:val="00C94789"/>
    <w:rsid w:val="00C955FD"/>
    <w:rsid w:val="00C9572E"/>
    <w:rsid w:val="00C95A01"/>
    <w:rsid w:val="00C9643E"/>
    <w:rsid w:val="00C96781"/>
    <w:rsid w:val="00C968E1"/>
    <w:rsid w:val="00C973B7"/>
    <w:rsid w:val="00C9740A"/>
    <w:rsid w:val="00CA01F9"/>
    <w:rsid w:val="00CA04A7"/>
    <w:rsid w:val="00CA04DD"/>
    <w:rsid w:val="00CA08B8"/>
    <w:rsid w:val="00CA101E"/>
    <w:rsid w:val="00CA1990"/>
    <w:rsid w:val="00CA27AD"/>
    <w:rsid w:val="00CA283C"/>
    <w:rsid w:val="00CA2A45"/>
    <w:rsid w:val="00CA2E5C"/>
    <w:rsid w:val="00CA3226"/>
    <w:rsid w:val="00CA3396"/>
    <w:rsid w:val="00CA3651"/>
    <w:rsid w:val="00CA37DD"/>
    <w:rsid w:val="00CA392D"/>
    <w:rsid w:val="00CA3DF9"/>
    <w:rsid w:val="00CA3E87"/>
    <w:rsid w:val="00CA41FE"/>
    <w:rsid w:val="00CA4AD0"/>
    <w:rsid w:val="00CA4BEB"/>
    <w:rsid w:val="00CA5018"/>
    <w:rsid w:val="00CA63A4"/>
    <w:rsid w:val="00CA64F7"/>
    <w:rsid w:val="00CA66D5"/>
    <w:rsid w:val="00CA696B"/>
    <w:rsid w:val="00CA6B6A"/>
    <w:rsid w:val="00CA708D"/>
    <w:rsid w:val="00CA712F"/>
    <w:rsid w:val="00CA72A7"/>
    <w:rsid w:val="00CA7CA6"/>
    <w:rsid w:val="00CA7E63"/>
    <w:rsid w:val="00CA7F9A"/>
    <w:rsid w:val="00CB0375"/>
    <w:rsid w:val="00CB046B"/>
    <w:rsid w:val="00CB0A6F"/>
    <w:rsid w:val="00CB1281"/>
    <w:rsid w:val="00CB1C13"/>
    <w:rsid w:val="00CB1DE5"/>
    <w:rsid w:val="00CB2235"/>
    <w:rsid w:val="00CB24B1"/>
    <w:rsid w:val="00CB272C"/>
    <w:rsid w:val="00CB322C"/>
    <w:rsid w:val="00CB3684"/>
    <w:rsid w:val="00CB4054"/>
    <w:rsid w:val="00CB4196"/>
    <w:rsid w:val="00CB4F59"/>
    <w:rsid w:val="00CB53F3"/>
    <w:rsid w:val="00CB546B"/>
    <w:rsid w:val="00CB57C1"/>
    <w:rsid w:val="00CB57D3"/>
    <w:rsid w:val="00CB5C31"/>
    <w:rsid w:val="00CB65E2"/>
    <w:rsid w:val="00CB676C"/>
    <w:rsid w:val="00CB69A5"/>
    <w:rsid w:val="00CB7611"/>
    <w:rsid w:val="00CB7631"/>
    <w:rsid w:val="00CB76B5"/>
    <w:rsid w:val="00CB7983"/>
    <w:rsid w:val="00CB7A76"/>
    <w:rsid w:val="00CB7C90"/>
    <w:rsid w:val="00CC0444"/>
    <w:rsid w:val="00CC0855"/>
    <w:rsid w:val="00CC0D8A"/>
    <w:rsid w:val="00CC0DC4"/>
    <w:rsid w:val="00CC1040"/>
    <w:rsid w:val="00CC1581"/>
    <w:rsid w:val="00CC19DB"/>
    <w:rsid w:val="00CC1A61"/>
    <w:rsid w:val="00CC1B6A"/>
    <w:rsid w:val="00CC322D"/>
    <w:rsid w:val="00CC34D1"/>
    <w:rsid w:val="00CC3618"/>
    <w:rsid w:val="00CC39D4"/>
    <w:rsid w:val="00CC41A8"/>
    <w:rsid w:val="00CC425B"/>
    <w:rsid w:val="00CC46F7"/>
    <w:rsid w:val="00CC524B"/>
    <w:rsid w:val="00CC66A2"/>
    <w:rsid w:val="00CC6F56"/>
    <w:rsid w:val="00CC7304"/>
    <w:rsid w:val="00CC7B72"/>
    <w:rsid w:val="00CD01A8"/>
    <w:rsid w:val="00CD064A"/>
    <w:rsid w:val="00CD0665"/>
    <w:rsid w:val="00CD0782"/>
    <w:rsid w:val="00CD078C"/>
    <w:rsid w:val="00CD0A0E"/>
    <w:rsid w:val="00CD0A48"/>
    <w:rsid w:val="00CD11E5"/>
    <w:rsid w:val="00CD124A"/>
    <w:rsid w:val="00CD1631"/>
    <w:rsid w:val="00CD1857"/>
    <w:rsid w:val="00CD2011"/>
    <w:rsid w:val="00CD20D7"/>
    <w:rsid w:val="00CD2407"/>
    <w:rsid w:val="00CD2792"/>
    <w:rsid w:val="00CD2CDE"/>
    <w:rsid w:val="00CD3AA1"/>
    <w:rsid w:val="00CD43FE"/>
    <w:rsid w:val="00CD4666"/>
    <w:rsid w:val="00CD46A5"/>
    <w:rsid w:val="00CD4F4D"/>
    <w:rsid w:val="00CD4F64"/>
    <w:rsid w:val="00CD514F"/>
    <w:rsid w:val="00CD569F"/>
    <w:rsid w:val="00CD5B60"/>
    <w:rsid w:val="00CD5B8D"/>
    <w:rsid w:val="00CD5BE3"/>
    <w:rsid w:val="00CD5CB4"/>
    <w:rsid w:val="00CD5EA9"/>
    <w:rsid w:val="00CD5FCB"/>
    <w:rsid w:val="00CD60B0"/>
    <w:rsid w:val="00CD6A29"/>
    <w:rsid w:val="00CD77CB"/>
    <w:rsid w:val="00CD79E1"/>
    <w:rsid w:val="00CD7C86"/>
    <w:rsid w:val="00CD7CB4"/>
    <w:rsid w:val="00CD7DC0"/>
    <w:rsid w:val="00CE01BA"/>
    <w:rsid w:val="00CE01BD"/>
    <w:rsid w:val="00CE029C"/>
    <w:rsid w:val="00CE07CA"/>
    <w:rsid w:val="00CE0FCB"/>
    <w:rsid w:val="00CE12C2"/>
    <w:rsid w:val="00CE1729"/>
    <w:rsid w:val="00CE1AA9"/>
    <w:rsid w:val="00CE1B71"/>
    <w:rsid w:val="00CE2841"/>
    <w:rsid w:val="00CE2B41"/>
    <w:rsid w:val="00CE2E25"/>
    <w:rsid w:val="00CE3216"/>
    <w:rsid w:val="00CE346E"/>
    <w:rsid w:val="00CE3F6F"/>
    <w:rsid w:val="00CE4206"/>
    <w:rsid w:val="00CE4523"/>
    <w:rsid w:val="00CE45ED"/>
    <w:rsid w:val="00CE49E2"/>
    <w:rsid w:val="00CE4F9E"/>
    <w:rsid w:val="00CE53FC"/>
    <w:rsid w:val="00CE56E1"/>
    <w:rsid w:val="00CE6132"/>
    <w:rsid w:val="00CE64D4"/>
    <w:rsid w:val="00CE6675"/>
    <w:rsid w:val="00CE6E1F"/>
    <w:rsid w:val="00CE7045"/>
    <w:rsid w:val="00CE728B"/>
    <w:rsid w:val="00CE7964"/>
    <w:rsid w:val="00CE7E6A"/>
    <w:rsid w:val="00CF052E"/>
    <w:rsid w:val="00CF058A"/>
    <w:rsid w:val="00CF0EBE"/>
    <w:rsid w:val="00CF11F3"/>
    <w:rsid w:val="00CF20B7"/>
    <w:rsid w:val="00CF2443"/>
    <w:rsid w:val="00CF28C0"/>
    <w:rsid w:val="00CF2A8F"/>
    <w:rsid w:val="00CF2E8C"/>
    <w:rsid w:val="00CF2EF0"/>
    <w:rsid w:val="00CF3219"/>
    <w:rsid w:val="00CF3724"/>
    <w:rsid w:val="00CF421D"/>
    <w:rsid w:val="00CF4665"/>
    <w:rsid w:val="00CF485E"/>
    <w:rsid w:val="00CF4A2D"/>
    <w:rsid w:val="00CF4CEE"/>
    <w:rsid w:val="00CF51FD"/>
    <w:rsid w:val="00CF64A4"/>
    <w:rsid w:val="00CF687C"/>
    <w:rsid w:val="00CF6C3F"/>
    <w:rsid w:val="00CF7088"/>
    <w:rsid w:val="00CF730A"/>
    <w:rsid w:val="00CF757A"/>
    <w:rsid w:val="00CF75BE"/>
    <w:rsid w:val="00CF789A"/>
    <w:rsid w:val="00CF7B4C"/>
    <w:rsid w:val="00CF7F13"/>
    <w:rsid w:val="00D003F1"/>
    <w:rsid w:val="00D00418"/>
    <w:rsid w:val="00D0055B"/>
    <w:rsid w:val="00D00BA3"/>
    <w:rsid w:val="00D00C04"/>
    <w:rsid w:val="00D00EEB"/>
    <w:rsid w:val="00D016E0"/>
    <w:rsid w:val="00D021DD"/>
    <w:rsid w:val="00D022DC"/>
    <w:rsid w:val="00D02E5F"/>
    <w:rsid w:val="00D03645"/>
    <w:rsid w:val="00D03767"/>
    <w:rsid w:val="00D03800"/>
    <w:rsid w:val="00D042BE"/>
    <w:rsid w:val="00D0531A"/>
    <w:rsid w:val="00D05439"/>
    <w:rsid w:val="00D0567F"/>
    <w:rsid w:val="00D060F2"/>
    <w:rsid w:val="00D066CC"/>
    <w:rsid w:val="00D067F3"/>
    <w:rsid w:val="00D06B84"/>
    <w:rsid w:val="00D073DA"/>
    <w:rsid w:val="00D0767F"/>
    <w:rsid w:val="00D076B6"/>
    <w:rsid w:val="00D07905"/>
    <w:rsid w:val="00D106F3"/>
    <w:rsid w:val="00D10F3F"/>
    <w:rsid w:val="00D10F4E"/>
    <w:rsid w:val="00D122FD"/>
    <w:rsid w:val="00D12713"/>
    <w:rsid w:val="00D127D4"/>
    <w:rsid w:val="00D1294F"/>
    <w:rsid w:val="00D13032"/>
    <w:rsid w:val="00D1393C"/>
    <w:rsid w:val="00D13B14"/>
    <w:rsid w:val="00D13C93"/>
    <w:rsid w:val="00D14B1C"/>
    <w:rsid w:val="00D14B52"/>
    <w:rsid w:val="00D15D82"/>
    <w:rsid w:val="00D15DF4"/>
    <w:rsid w:val="00D15E94"/>
    <w:rsid w:val="00D16D5A"/>
    <w:rsid w:val="00D17C15"/>
    <w:rsid w:val="00D17D14"/>
    <w:rsid w:val="00D21779"/>
    <w:rsid w:val="00D21978"/>
    <w:rsid w:val="00D21A1B"/>
    <w:rsid w:val="00D22217"/>
    <w:rsid w:val="00D2250A"/>
    <w:rsid w:val="00D22B87"/>
    <w:rsid w:val="00D2425E"/>
    <w:rsid w:val="00D2450A"/>
    <w:rsid w:val="00D24B0D"/>
    <w:rsid w:val="00D25175"/>
    <w:rsid w:val="00D254F6"/>
    <w:rsid w:val="00D25772"/>
    <w:rsid w:val="00D258B9"/>
    <w:rsid w:val="00D25C13"/>
    <w:rsid w:val="00D26158"/>
    <w:rsid w:val="00D26383"/>
    <w:rsid w:val="00D268D5"/>
    <w:rsid w:val="00D26F95"/>
    <w:rsid w:val="00D26FC5"/>
    <w:rsid w:val="00D2731F"/>
    <w:rsid w:val="00D275B4"/>
    <w:rsid w:val="00D27F15"/>
    <w:rsid w:val="00D309B5"/>
    <w:rsid w:val="00D30C64"/>
    <w:rsid w:val="00D31055"/>
    <w:rsid w:val="00D31511"/>
    <w:rsid w:val="00D315C2"/>
    <w:rsid w:val="00D31ACC"/>
    <w:rsid w:val="00D3208D"/>
    <w:rsid w:val="00D32A21"/>
    <w:rsid w:val="00D32B18"/>
    <w:rsid w:val="00D32C90"/>
    <w:rsid w:val="00D32E11"/>
    <w:rsid w:val="00D3330C"/>
    <w:rsid w:val="00D33A88"/>
    <w:rsid w:val="00D343D1"/>
    <w:rsid w:val="00D34895"/>
    <w:rsid w:val="00D34A7A"/>
    <w:rsid w:val="00D34A92"/>
    <w:rsid w:val="00D34FA2"/>
    <w:rsid w:val="00D36F7D"/>
    <w:rsid w:val="00D371B6"/>
    <w:rsid w:val="00D37523"/>
    <w:rsid w:val="00D376BC"/>
    <w:rsid w:val="00D41223"/>
    <w:rsid w:val="00D412B5"/>
    <w:rsid w:val="00D41EBE"/>
    <w:rsid w:val="00D42912"/>
    <w:rsid w:val="00D42CA2"/>
    <w:rsid w:val="00D43039"/>
    <w:rsid w:val="00D43666"/>
    <w:rsid w:val="00D438B3"/>
    <w:rsid w:val="00D43A69"/>
    <w:rsid w:val="00D4460E"/>
    <w:rsid w:val="00D446A9"/>
    <w:rsid w:val="00D449A8"/>
    <w:rsid w:val="00D44B24"/>
    <w:rsid w:val="00D44C5A"/>
    <w:rsid w:val="00D45ED5"/>
    <w:rsid w:val="00D46156"/>
    <w:rsid w:val="00D46301"/>
    <w:rsid w:val="00D46319"/>
    <w:rsid w:val="00D46602"/>
    <w:rsid w:val="00D46787"/>
    <w:rsid w:val="00D471CB"/>
    <w:rsid w:val="00D47921"/>
    <w:rsid w:val="00D47A92"/>
    <w:rsid w:val="00D47B7B"/>
    <w:rsid w:val="00D50326"/>
    <w:rsid w:val="00D504C1"/>
    <w:rsid w:val="00D51190"/>
    <w:rsid w:val="00D51206"/>
    <w:rsid w:val="00D513CA"/>
    <w:rsid w:val="00D51E08"/>
    <w:rsid w:val="00D51F7E"/>
    <w:rsid w:val="00D51FC6"/>
    <w:rsid w:val="00D52F62"/>
    <w:rsid w:val="00D534CE"/>
    <w:rsid w:val="00D535AF"/>
    <w:rsid w:val="00D53C5A"/>
    <w:rsid w:val="00D540BF"/>
    <w:rsid w:val="00D543C0"/>
    <w:rsid w:val="00D5447A"/>
    <w:rsid w:val="00D549FA"/>
    <w:rsid w:val="00D54FBE"/>
    <w:rsid w:val="00D5590D"/>
    <w:rsid w:val="00D55E73"/>
    <w:rsid w:val="00D55FE7"/>
    <w:rsid w:val="00D5627E"/>
    <w:rsid w:val="00D57038"/>
    <w:rsid w:val="00D573AB"/>
    <w:rsid w:val="00D576B9"/>
    <w:rsid w:val="00D57747"/>
    <w:rsid w:val="00D57ADF"/>
    <w:rsid w:val="00D57B87"/>
    <w:rsid w:val="00D6040F"/>
    <w:rsid w:val="00D604BC"/>
    <w:rsid w:val="00D606B5"/>
    <w:rsid w:val="00D60953"/>
    <w:rsid w:val="00D60A3E"/>
    <w:rsid w:val="00D60D43"/>
    <w:rsid w:val="00D60DC5"/>
    <w:rsid w:val="00D617EA"/>
    <w:rsid w:val="00D61A50"/>
    <w:rsid w:val="00D62E68"/>
    <w:rsid w:val="00D6313A"/>
    <w:rsid w:val="00D634F5"/>
    <w:rsid w:val="00D63774"/>
    <w:rsid w:val="00D63827"/>
    <w:rsid w:val="00D63C0E"/>
    <w:rsid w:val="00D63FD9"/>
    <w:rsid w:val="00D64384"/>
    <w:rsid w:val="00D647FF"/>
    <w:rsid w:val="00D64B3B"/>
    <w:rsid w:val="00D6575E"/>
    <w:rsid w:val="00D65C0C"/>
    <w:rsid w:val="00D65C48"/>
    <w:rsid w:val="00D66013"/>
    <w:rsid w:val="00D6603C"/>
    <w:rsid w:val="00D66421"/>
    <w:rsid w:val="00D66802"/>
    <w:rsid w:val="00D66C4D"/>
    <w:rsid w:val="00D66F67"/>
    <w:rsid w:val="00D702CA"/>
    <w:rsid w:val="00D70409"/>
    <w:rsid w:val="00D70E1A"/>
    <w:rsid w:val="00D7161A"/>
    <w:rsid w:val="00D71659"/>
    <w:rsid w:val="00D71698"/>
    <w:rsid w:val="00D71734"/>
    <w:rsid w:val="00D717C9"/>
    <w:rsid w:val="00D7223B"/>
    <w:rsid w:val="00D727B6"/>
    <w:rsid w:val="00D72942"/>
    <w:rsid w:val="00D72D12"/>
    <w:rsid w:val="00D736BF"/>
    <w:rsid w:val="00D73A6C"/>
    <w:rsid w:val="00D746A9"/>
    <w:rsid w:val="00D74B42"/>
    <w:rsid w:val="00D74CC5"/>
    <w:rsid w:val="00D74D13"/>
    <w:rsid w:val="00D75599"/>
    <w:rsid w:val="00D75866"/>
    <w:rsid w:val="00D75D5D"/>
    <w:rsid w:val="00D7600D"/>
    <w:rsid w:val="00D7651D"/>
    <w:rsid w:val="00D7654C"/>
    <w:rsid w:val="00D76591"/>
    <w:rsid w:val="00D767BD"/>
    <w:rsid w:val="00D77005"/>
    <w:rsid w:val="00D770A8"/>
    <w:rsid w:val="00D77151"/>
    <w:rsid w:val="00D77171"/>
    <w:rsid w:val="00D77B8A"/>
    <w:rsid w:val="00D804D5"/>
    <w:rsid w:val="00D804D8"/>
    <w:rsid w:val="00D80FCC"/>
    <w:rsid w:val="00D81227"/>
    <w:rsid w:val="00D8164A"/>
    <w:rsid w:val="00D816C1"/>
    <w:rsid w:val="00D82212"/>
    <w:rsid w:val="00D824DA"/>
    <w:rsid w:val="00D82A75"/>
    <w:rsid w:val="00D82A8F"/>
    <w:rsid w:val="00D82D88"/>
    <w:rsid w:val="00D82E39"/>
    <w:rsid w:val="00D830A9"/>
    <w:rsid w:val="00D8346B"/>
    <w:rsid w:val="00D837E9"/>
    <w:rsid w:val="00D84843"/>
    <w:rsid w:val="00D84871"/>
    <w:rsid w:val="00D850AF"/>
    <w:rsid w:val="00D85312"/>
    <w:rsid w:val="00D8533A"/>
    <w:rsid w:val="00D857A4"/>
    <w:rsid w:val="00D85923"/>
    <w:rsid w:val="00D859B6"/>
    <w:rsid w:val="00D85C3B"/>
    <w:rsid w:val="00D86985"/>
    <w:rsid w:val="00D86A06"/>
    <w:rsid w:val="00D86A49"/>
    <w:rsid w:val="00D86EF8"/>
    <w:rsid w:val="00D86F23"/>
    <w:rsid w:val="00D86F36"/>
    <w:rsid w:val="00D8700C"/>
    <w:rsid w:val="00D87526"/>
    <w:rsid w:val="00D901B2"/>
    <w:rsid w:val="00D905AE"/>
    <w:rsid w:val="00D9094E"/>
    <w:rsid w:val="00D90AEA"/>
    <w:rsid w:val="00D90C52"/>
    <w:rsid w:val="00D90CE8"/>
    <w:rsid w:val="00D91401"/>
    <w:rsid w:val="00D9156F"/>
    <w:rsid w:val="00D9221E"/>
    <w:rsid w:val="00D924FB"/>
    <w:rsid w:val="00D93744"/>
    <w:rsid w:val="00D939BB"/>
    <w:rsid w:val="00D94D93"/>
    <w:rsid w:val="00D94E0C"/>
    <w:rsid w:val="00D95279"/>
    <w:rsid w:val="00D9569B"/>
    <w:rsid w:val="00D95A6D"/>
    <w:rsid w:val="00D97503"/>
    <w:rsid w:val="00D9775A"/>
    <w:rsid w:val="00DA011C"/>
    <w:rsid w:val="00DA057F"/>
    <w:rsid w:val="00DA0D77"/>
    <w:rsid w:val="00DA15BC"/>
    <w:rsid w:val="00DA1706"/>
    <w:rsid w:val="00DA1871"/>
    <w:rsid w:val="00DA18A4"/>
    <w:rsid w:val="00DA207F"/>
    <w:rsid w:val="00DA25E6"/>
    <w:rsid w:val="00DA26B2"/>
    <w:rsid w:val="00DA2925"/>
    <w:rsid w:val="00DA32DA"/>
    <w:rsid w:val="00DA3B41"/>
    <w:rsid w:val="00DA3B9F"/>
    <w:rsid w:val="00DA4472"/>
    <w:rsid w:val="00DA45A2"/>
    <w:rsid w:val="00DA4875"/>
    <w:rsid w:val="00DA49DA"/>
    <w:rsid w:val="00DA54E6"/>
    <w:rsid w:val="00DA5847"/>
    <w:rsid w:val="00DA59DA"/>
    <w:rsid w:val="00DA5F00"/>
    <w:rsid w:val="00DA6094"/>
    <w:rsid w:val="00DA636E"/>
    <w:rsid w:val="00DA6609"/>
    <w:rsid w:val="00DA68A3"/>
    <w:rsid w:val="00DA6C3D"/>
    <w:rsid w:val="00DA6FCF"/>
    <w:rsid w:val="00DA70F2"/>
    <w:rsid w:val="00DA7389"/>
    <w:rsid w:val="00DA75D0"/>
    <w:rsid w:val="00DA7B9A"/>
    <w:rsid w:val="00DA7F70"/>
    <w:rsid w:val="00DB07B7"/>
    <w:rsid w:val="00DB07EF"/>
    <w:rsid w:val="00DB0BA6"/>
    <w:rsid w:val="00DB0DD7"/>
    <w:rsid w:val="00DB0FB3"/>
    <w:rsid w:val="00DB1B27"/>
    <w:rsid w:val="00DB28D8"/>
    <w:rsid w:val="00DB2942"/>
    <w:rsid w:val="00DB2A31"/>
    <w:rsid w:val="00DB3492"/>
    <w:rsid w:val="00DB415C"/>
    <w:rsid w:val="00DB4550"/>
    <w:rsid w:val="00DB4FC1"/>
    <w:rsid w:val="00DB5BE1"/>
    <w:rsid w:val="00DB6159"/>
    <w:rsid w:val="00DB63DB"/>
    <w:rsid w:val="00DB646C"/>
    <w:rsid w:val="00DB6514"/>
    <w:rsid w:val="00DB6847"/>
    <w:rsid w:val="00DB6CF8"/>
    <w:rsid w:val="00DB73AF"/>
    <w:rsid w:val="00DB79D1"/>
    <w:rsid w:val="00DB7B2C"/>
    <w:rsid w:val="00DB7C57"/>
    <w:rsid w:val="00DC01B5"/>
    <w:rsid w:val="00DC0211"/>
    <w:rsid w:val="00DC048F"/>
    <w:rsid w:val="00DC07A9"/>
    <w:rsid w:val="00DC0B47"/>
    <w:rsid w:val="00DC13BA"/>
    <w:rsid w:val="00DC176D"/>
    <w:rsid w:val="00DC1F89"/>
    <w:rsid w:val="00DC2626"/>
    <w:rsid w:val="00DC28A7"/>
    <w:rsid w:val="00DC2CA5"/>
    <w:rsid w:val="00DC3181"/>
    <w:rsid w:val="00DC373D"/>
    <w:rsid w:val="00DC3E25"/>
    <w:rsid w:val="00DC3FF2"/>
    <w:rsid w:val="00DC3FFC"/>
    <w:rsid w:val="00DC40D8"/>
    <w:rsid w:val="00DC4D2D"/>
    <w:rsid w:val="00DC4DB3"/>
    <w:rsid w:val="00DC5359"/>
    <w:rsid w:val="00DC57F3"/>
    <w:rsid w:val="00DC5968"/>
    <w:rsid w:val="00DC5CD2"/>
    <w:rsid w:val="00DC60DA"/>
    <w:rsid w:val="00DC62A7"/>
    <w:rsid w:val="00DC67E7"/>
    <w:rsid w:val="00DC6C40"/>
    <w:rsid w:val="00DC6DC7"/>
    <w:rsid w:val="00DC7190"/>
    <w:rsid w:val="00DD044F"/>
    <w:rsid w:val="00DD0783"/>
    <w:rsid w:val="00DD1E32"/>
    <w:rsid w:val="00DD273D"/>
    <w:rsid w:val="00DD27C5"/>
    <w:rsid w:val="00DD2B62"/>
    <w:rsid w:val="00DD2FCD"/>
    <w:rsid w:val="00DD3531"/>
    <w:rsid w:val="00DD3BE6"/>
    <w:rsid w:val="00DD4B0D"/>
    <w:rsid w:val="00DD4D05"/>
    <w:rsid w:val="00DD57C8"/>
    <w:rsid w:val="00DD5F23"/>
    <w:rsid w:val="00DD651E"/>
    <w:rsid w:val="00DD6E56"/>
    <w:rsid w:val="00DD725B"/>
    <w:rsid w:val="00DD772B"/>
    <w:rsid w:val="00DE0102"/>
    <w:rsid w:val="00DE0535"/>
    <w:rsid w:val="00DE1016"/>
    <w:rsid w:val="00DE13B5"/>
    <w:rsid w:val="00DE16E4"/>
    <w:rsid w:val="00DE181B"/>
    <w:rsid w:val="00DE23B8"/>
    <w:rsid w:val="00DE2E23"/>
    <w:rsid w:val="00DE34ED"/>
    <w:rsid w:val="00DE352F"/>
    <w:rsid w:val="00DE3733"/>
    <w:rsid w:val="00DE3D37"/>
    <w:rsid w:val="00DE3E9A"/>
    <w:rsid w:val="00DE40CE"/>
    <w:rsid w:val="00DE5480"/>
    <w:rsid w:val="00DE6012"/>
    <w:rsid w:val="00DE6EC2"/>
    <w:rsid w:val="00DE7220"/>
    <w:rsid w:val="00DE7435"/>
    <w:rsid w:val="00DE7A3E"/>
    <w:rsid w:val="00DF105D"/>
    <w:rsid w:val="00DF17CC"/>
    <w:rsid w:val="00DF1E16"/>
    <w:rsid w:val="00DF1F7E"/>
    <w:rsid w:val="00DF2294"/>
    <w:rsid w:val="00DF287F"/>
    <w:rsid w:val="00DF2AC9"/>
    <w:rsid w:val="00DF2D83"/>
    <w:rsid w:val="00DF307A"/>
    <w:rsid w:val="00DF321B"/>
    <w:rsid w:val="00DF3AEE"/>
    <w:rsid w:val="00DF3D4F"/>
    <w:rsid w:val="00DF41D8"/>
    <w:rsid w:val="00DF49E7"/>
    <w:rsid w:val="00DF4E2F"/>
    <w:rsid w:val="00DF566F"/>
    <w:rsid w:val="00DF5821"/>
    <w:rsid w:val="00DF5D8D"/>
    <w:rsid w:val="00DF669B"/>
    <w:rsid w:val="00DF6B03"/>
    <w:rsid w:val="00DF6FD8"/>
    <w:rsid w:val="00DF7352"/>
    <w:rsid w:val="00DF779E"/>
    <w:rsid w:val="00E0019E"/>
    <w:rsid w:val="00E00475"/>
    <w:rsid w:val="00E013A4"/>
    <w:rsid w:val="00E01401"/>
    <w:rsid w:val="00E01470"/>
    <w:rsid w:val="00E0187D"/>
    <w:rsid w:val="00E01893"/>
    <w:rsid w:val="00E01BB8"/>
    <w:rsid w:val="00E01D9F"/>
    <w:rsid w:val="00E025AB"/>
    <w:rsid w:val="00E02BA9"/>
    <w:rsid w:val="00E02C76"/>
    <w:rsid w:val="00E02F0B"/>
    <w:rsid w:val="00E03294"/>
    <w:rsid w:val="00E03607"/>
    <w:rsid w:val="00E038BB"/>
    <w:rsid w:val="00E03FA0"/>
    <w:rsid w:val="00E045CE"/>
    <w:rsid w:val="00E0489A"/>
    <w:rsid w:val="00E04ED8"/>
    <w:rsid w:val="00E054D0"/>
    <w:rsid w:val="00E054FC"/>
    <w:rsid w:val="00E059DC"/>
    <w:rsid w:val="00E060DB"/>
    <w:rsid w:val="00E06269"/>
    <w:rsid w:val="00E06545"/>
    <w:rsid w:val="00E06623"/>
    <w:rsid w:val="00E06854"/>
    <w:rsid w:val="00E069E0"/>
    <w:rsid w:val="00E06FCE"/>
    <w:rsid w:val="00E071C0"/>
    <w:rsid w:val="00E072F2"/>
    <w:rsid w:val="00E074A0"/>
    <w:rsid w:val="00E0786F"/>
    <w:rsid w:val="00E07D23"/>
    <w:rsid w:val="00E109F5"/>
    <w:rsid w:val="00E117AA"/>
    <w:rsid w:val="00E11CCE"/>
    <w:rsid w:val="00E11D81"/>
    <w:rsid w:val="00E12780"/>
    <w:rsid w:val="00E130FC"/>
    <w:rsid w:val="00E13265"/>
    <w:rsid w:val="00E13BDF"/>
    <w:rsid w:val="00E13CB5"/>
    <w:rsid w:val="00E140FB"/>
    <w:rsid w:val="00E144F8"/>
    <w:rsid w:val="00E14602"/>
    <w:rsid w:val="00E1505A"/>
    <w:rsid w:val="00E150AE"/>
    <w:rsid w:val="00E1553C"/>
    <w:rsid w:val="00E1555D"/>
    <w:rsid w:val="00E1591F"/>
    <w:rsid w:val="00E15BF5"/>
    <w:rsid w:val="00E16367"/>
    <w:rsid w:val="00E16FA7"/>
    <w:rsid w:val="00E170D8"/>
    <w:rsid w:val="00E170DF"/>
    <w:rsid w:val="00E17593"/>
    <w:rsid w:val="00E17ABA"/>
    <w:rsid w:val="00E17BF4"/>
    <w:rsid w:val="00E17D2D"/>
    <w:rsid w:val="00E209E1"/>
    <w:rsid w:val="00E2182C"/>
    <w:rsid w:val="00E21C52"/>
    <w:rsid w:val="00E21E1A"/>
    <w:rsid w:val="00E21E94"/>
    <w:rsid w:val="00E22456"/>
    <w:rsid w:val="00E22CE0"/>
    <w:rsid w:val="00E22D4B"/>
    <w:rsid w:val="00E23CB3"/>
    <w:rsid w:val="00E245E6"/>
    <w:rsid w:val="00E24A5E"/>
    <w:rsid w:val="00E24D88"/>
    <w:rsid w:val="00E24E59"/>
    <w:rsid w:val="00E2514E"/>
    <w:rsid w:val="00E252CA"/>
    <w:rsid w:val="00E256DD"/>
    <w:rsid w:val="00E25956"/>
    <w:rsid w:val="00E25F60"/>
    <w:rsid w:val="00E264C4"/>
    <w:rsid w:val="00E2682A"/>
    <w:rsid w:val="00E2689D"/>
    <w:rsid w:val="00E26C3E"/>
    <w:rsid w:val="00E26DB1"/>
    <w:rsid w:val="00E26F18"/>
    <w:rsid w:val="00E27061"/>
    <w:rsid w:val="00E276A3"/>
    <w:rsid w:val="00E27CDC"/>
    <w:rsid w:val="00E27FEF"/>
    <w:rsid w:val="00E30024"/>
    <w:rsid w:val="00E30195"/>
    <w:rsid w:val="00E30B4A"/>
    <w:rsid w:val="00E30E86"/>
    <w:rsid w:val="00E30F2A"/>
    <w:rsid w:val="00E310CC"/>
    <w:rsid w:val="00E31D60"/>
    <w:rsid w:val="00E31F3F"/>
    <w:rsid w:val="00E321CC"/>
    <w:rsid w:val="00E3226F"/>
    <w:rsid w:val="00E32A30"/>
    <w:rsid w:val="00E32C70"/>
    <w:rsid w:val="00E32DD7"/>
    <w:rsid w:val="00E33A07"/>
    <w:rsid w:val="00E33B8D"/>
    <w:rsid w:val="00E33DB5"/>
    <w:rsid w:val="00E33EAF"/>
    <w:rsid w:val="00E342B0"/>
    <w:rsid w:val="00E3651C"/>
    <w:rsid w:val="00E36858"/>
    <w:rsid w:val="00E36A11"/>
    <w:rsid w:val="00E36C01"/>
    <w:rsid w:val="00E36C41"/>
    <w:rsid w:val="00E36C8F"/>
    <w:rsid w:val="00E40E76"/>
    <w:rsid w:val="00E41876"/>
    <w:rsid w:val="00E41B5D"/>
    <w:rsid w:val="00E420E2"/>
    <w:rsid w:val="00E423E6"/>
    <w:rsid w:val="00E42A97"/>
    <w:rsid w:val="00E43189"/>
    <w:rsid w:val="00E4397A"/>
    <w:rsid w:val="00E43A74"/>
    <w:rsid w:val="00E43B26"/>
    <w:rsid w:val="00E43F5E"/>
    <w:rsid w:val="00E44A50"/>
    <w:rsid w:val="00E44BB3"/>
    <w:rsid w:val="00E44D62"/>
    <w:rsid w:val="00E4511F"/>
    <w:rsid w:val="00E45223"/>
    <w:rsid w:val="00E45BB2"/>
    <w:rsid w:val="00E45F42"/>
    <w:rsid w:val="00E46091"/>
    <w:rsid w:val="00E461B8"/>
    <w:rsid w:val="00E464B8"/>
    <w:rsid w:val="00E4677A"/>
    <w:rsid w:val="00E46BF0"/>
    <w:rsid w:val="00E47154"/>
    <w:rsid w:val="00E475D9"/>
    <w:rsid w:val="00E478AA"/>
    <w:rsid w:val="00E47B45"/>
    <w:rsid w:val="00E509D9"/>
    <w:rsid w:val="00E516D7"/>
    <w:rsid w:val="00E51AB8"/>
    <w:rsid w:val="00E51E68"/>
    <w:rsid w:val="00E51EDB"/>
    <w:rsid w:val="00E51FDA"/>
    <w:rsid w:val="00E52068"/>
    <w:rsid w:val="00E5277F"/>
    <w:rsid w:val="00E52A04"/>
    <w:rsid w:val="00E538FD"/>
    <w:rsid w:val="00E53C1A"/>
    <w:rsid w:val="00E53D05"/>
    <w:rsid w:val="00E53D27"/>
    <w:rsid w:val="00E53F20"/>
    <w:rsid w:val="00E5435F"/>
    <w:rsid w:val="00E54993"/>
    <w:rsid w:val="00E554F3"/>
    <w:rsid w:val="00E55970"/>
    <w:rsid w:val="00E56404"/>
    <w:rsid w:val="00E5700C"/>
    <w:rsid w:val="00E5788D"/>
    <w:rsid w:val="00E5788F"/>
    <w:rsid w:val="00E57A1F"/>
    <w:rsid w:val="00E57D06"/>
    <w:rsid w:val="00E57FAD"/>
    <w:rsid w:val="00E6003F"/>
    <w:rsid w:val="00E60537"/>
    <w:rsid w:val="00E60864"/>
    <w:rsid w:val="00E608CD"/>
    <w:rsid w:val="00E60EAA"/>
    <w:rsid w:val="00E61529"/>
    <w:rsid w:val="00E61A1D"/>
    <w:rsid w:val="00E61FE9"/>
    <w:rsid w:val="00E6215B"/>
    <w:rsid w:val="00E6297A"/>
    <w:rsid w:val="00E62A65"/>
    <w:rsid w:val="00E636FB"/>
    <w:rsid w:val="00E645AB"/>
    <w:rsid w:val="00E650EE"/>
    <w:rsid w:val="00E6545B"/>
    <w:rsid w:val="00E654B2"/>
    <w:rsid w:val="00E656EE"/>
    <w:rsid w:val="00E65858"/>
    <w:rsid w:val="00E65D23"/>
    <w:rsid w:val="00E661DE"/>
    <w:rsid w:val="00E6672E"/>
    <w:rsid w:val="00E6683E"/>
    <w:rsid w:val="00E668B9"/>
    <w:rsid w:val="00E6741D"/>
    <w:rsid w:val="00E67C0C"/>
    <w:rsid w:val="00E67E13"/>
    <w:rsid w:val="00E70425"/>
    <w:rsid w:val="00E70773"/>
    <w:rsid w:val="00E70C0E"/>
    <w:rsid w:val="00E71585"/>
    <w:rsid w:val="00E718F8"/>
    <w:rsid w:val="00E72252"/>
    <w:rsid w:val="00E723CF"/>
    <w:rsid w:val="00E723D0"/>
    <w:rsid w:val="00E72991"/>
    <w:rsid w:val="00E729B9"/>
    <w:rsid w:val="00E72AB7"/>
    <w:rsid w:val="00E72CC6"/>
    <w:rsid w:val="00E72E9E"/>
    <w:rsid w:val="00E7370C"/>
    <w:rsid w:val="00E73820"/>
    <w:rsid w:val="00E746CE"/>
    <w:rsid w:val="00E75025"/>
    <w:rsid w:val="00E7524B"/>
    <w:rsid w:val="00E7530C"/>
    <w:rsid w:val="00E75731"/>
    <w:rsid w:val="00E75D93"/>
    <w:rsid w:val="00E76426"/>
    <w:rsid w:val="00E7660A"/>
    <w:rsid w:val="00E768D7"/>
    <w:rsid w:val="00E76BD4"/>
    <w:rsid w:val="00E76BF3"/>
    <w:rsid w:val="00E76D01"/>
    <w:rsid w:val="00E77261"/>
    <w:rsid w:val="00E7737F"/>
    <w:rsid w:val="00E775B2"/>
    <w:rsid w:val="00E77EA8"/>
    <w:rsid w:val="00E80014"/>
    <w:rsid w:val="00E8033E"/>
    <w:rsid w:val="00E81484"/>
    <w:rsid w:val="00E8170F"/>
    <w:rsid w:val="00E81CBF"/>
    <w:rsid w:val="00E82095"/>
    <w:rsid w:val="00E82C93"/>
    <w:rsid w:val="00E82EDF"/>
    <w:rsid w:val="00E83238"/>
    <w:rsid w:val="00E83893"/>
    <w:rsid w:val="00E83B90"/>
    <w:rsid w:val="00E84683"/>
    <w:rsid w:val="00E846D0"/>
    <w:rsid w:val="00E851A1"/>
    <w:rsid w:val="00E8530A"/>
    <w:rsid w:val="00E85F60"/>
    <w:rsid w:val="00E8699D"/>
    <w:rsid w:val="00E86D87"/>
    <w:rsid w:val="00E87431"/>
    <w:rsid w:val="00E87D9C"/>
    <w:rsid w:val="00E9029E"/>
    <w:rsid w:val="00E90AA7"/>
    <w:rsid w:val="00E915B1"/>
    <w:rsid w:val="00E9175D"/>
    <w:rsid w:val="00E918CC"/>
    <w:rsid w:val="00E91E7C"/>
    <w:rsid w:val="00E9225D"/>
    <w:rsid w:val="00E92325"/>
    <w:rsid w:val="00E92B66"/>
    <w:rsid w:val="00E92E0E"/>
    <w:rsid w:val="00E92F63"/>
    <w:rsid w:val="00E93911"/>
    <w:rsid w:val="00E93CAC"/>
    <w:rsid w:val="00E94060"/>
    <w:rsid w:val="00E9426D"/>
    <w:rsid w:val="00E944D7"/>
    <w:rsid w:val="00E949B3"/>
    <w:rsid w:val="00E94E77"/>
    <w:rsid w:val="00E95456"/>
    <w:rsid w:val="00E95687"/>
    <w:rsid w:val="00E9583F"/>
    <w:rsid w:val="00E962BD"/>
    <w:rsid w:val="00E96831"/>
    <w:rsid w:val="00E968C7"/>
    <w:rsid w:val="00E96FB9"/>
    <w:rsid w:val="00E97036"/>
    <w:rsid w:val="00E9708D"/>
    <w:rsid w:val="00E97381"/>
    <w:rsid w:val="00E974A6"/>
    <w:rsid w:val="00E97685"/>
    <w:rsid w:val="00E97E68"/>
    <w:rsid w:val="00EA034B"/>
    <w:rsid w:val="00EA06A8"/>
    <w:rsid w:val="00EA0F84"/>
    <w:rsid w:val="00EA1077"/>
    <w:rsid w:val="00EA1404"/>
    <w:rsid w:val="00EA235C"/>
    <w:rsid w:val="00EA254A"/>
    <w:rsid w:val="00EA2944"/>
    <w:rsid w:val="00EA2B00"/>
    <w:rsid w:val="00EA34A5"/>
    <w:rsid w:val="00EA3DC4"/>
    <w:rsid w:val="00EA4575"/>
    <w:rsid w:val="00EA4733"/>
    <w:rsid w:val="00EA4961"/>
    <w:rsid w:val="00EA57C4"/>
    <w:rsid w:val="00EA5BAF"/>
    <w:rsid w:val="00EA5E31"/>
    <w:rsid w:val="00EA602B"/>
    <w:rsid w:val="00EA63AB"/>
    <w:rsid w:val="00EA64FD"/>
    <w:rsid w:val="00EA69C9"/>
    <w:rsid w:val="00EA7284"/>
    <w:rsid w:val="00EA78A8"/>
    <w:rsid w:val="00EA7D1C"/>
    <w:rsid w:val="00EA7E44"/>
    <w:rsid w:val="00EA7ECE"/>
    <w:rsid w:val="00EB0751"/>
    <w:rsid w:val="00EB1131"/>
    <w:rsid w:val="00EB14B0"/>
    <w:rsid w:val="00EB18E6"/>
    <w:rsid w:val="00EB1B15"/>
    <w:rsid w:val="00EB1BAB"/>
    <w:rsid w:val="00EB1E16"/>
    <w:rsid w:val="00EB1F7F"/>
    <w:rsid w:val="00EB2EEF"/>
    <w:rsid w:val="00EB3750"/>
    <w:rsid w:val="00EB4315"/>
    <w:rsid w:val="00EB45C2"/>
    <w:rsid w:val="00EB5218"/>
    <w:rsid w:val="00EB5595"/>
    <w:rsid w:val="00EB562A"/>
    <w:rsid w:val="00EB5A75"/>
    <w:rsid w:val="00EB5D04"/>
    <w:rsid w:val="00EB5DA6"/>
    <w:rsid w:val="00EB5DD8"/>
    <w:rsid w:val="00EB6454"/>
    <w:rsid w:val="00EB677A"/>
    <w:rsid w:val="00EB6AF0"/>
    <w:rsid w:val="00EB712D"/>
    <w:rsid w:val="00EB7491"/>
    <w:rsid w:val="00EB7767"/>
    <w:rsid w:val="00EC104A"/>
    <w:rsid w:val="00EC1156"/>
    <w:rsid w:val="00EC1747"/>
    <w:rsid w:val="00EC1DF0"/>
    <w:rsid w:val="00EC2D26"/>
    <w:rsid w:val="00EC2F4C"/>
    <w:rsid w:val="00EC33DC"/>
    <w:rsid w:val="00EC3FD3"/>
    <w:rsid w:val="00EC50D8"/>
    <w:rsid w:val="00EC56B4"/>
    <w:rsid w:val="00EC5DEF"/>
    <w:rsid w:val="00EC61E4"/>
    <w:rsid w:val="00EC6788"/>
    <w:rsid w:val="00EC6E3A"/>
    <w:rsid w:val="00EC6E79"/>
    <w:rsid w:val="00EC76E1"/>
    <w:rsid w:val="00ED017B"/>
    <w:rsid w:val="00ED0D10"/>
    <w:rsid w:val="00ED1359"/>
    <w:rsid w:val="00ED14E9"/>
    <w:rsid w:val="00ED15F2"/>
    <w:rsid w:val="00ED1902"/>
    <w:rsid w:val="00ED2654"/>
    <w:rsid w:val="00ED275B"/>
    <w:rsid w:val="00ED28C4"/>
    <w:rsid w:val="00ED3093"/>
    <w:rsid w:val="00ED30C1"/>
    <w:rsid w:val="00ED328D"/>
    <w:rsid w:val="00ED383B"/>
    <w:rsid w:val="00ED3C20"/>
    <w:rsid w:val="00ED413F"/>
    <w:rsid w:val="00ED4F3B"/>
    <w:rsid w:val="00ED51FD"/>
    <w:rsid w:val="00ED566F"/>
    <w:rsid w:val="00ED5A7E"/>
    <w:rsid w:val="00ED5B4D"/>
    <w:rsid w:val="00ED5D21"/>
    <w:rsid w:val="00ED5FD8"/>
    <w:rsid w:val="00ED6211"/>
    <w:rsid w:val="00ED6D77"/>
    <w:rsid w:val="00ED7284"/>
    <w:rsid w:val="00ED7A24"/>
    <w:rsid w:val="00EE0179"/>
    <w:rsid w:val="00EE06DD"/>
    <w:rsid w:val="00EE0771"/>
    <w:rsid w:val="00EE0D97"/>
    <w:rsid w:val="00EE0E99"/>
    <w:rsid w:val="00EE10FC"/>
    <w:rsid w:val="00EE119A"/>
    <w:rsid w:val="00EE189F"/>
    <w:rsid w:val="00EE208F"/>
    <w:rsid w:val="00EE27B8"/>
    <w:rsid w:val="00EE2B3D"/>
    <w:rsid w:val="00EE2BF1"/>
    <w:rsid w:val="00EE2BF7"/>
    <w:rsid w:val="00EE34D7"/>
    <w:rsid w:val="00EE395D"/>
    <w:rsid w:val="00EE3C39"/>
    <w:rsid w:val="00EE3D15"/>
    <w:rsid w:val="00EE4506"/>
    <w:rsid w:val="00EE457A"/>
    <w:rsid w:val="00EE4AF0"/>
    <w:rsid w:val="00EE53AE"/>
    <w:rsid w:val="00EE54CC"/>
    <w:rsid w:val="00EE56E1"/>
    <w:rsid w:val="00EE6069"/>
    <w:rsid w:val="00EE616F"/>
    <w:rsid w:val="00EE627C"/>
    <w:rsid w:val="00EE641D"/>
    <w:rsid w:val="00EE6BED"/>
    <w:rsid w:val="00EE6EFA"/>
    <w:rsid w:val="00EE6F17"/>
    <w:rsid w:val="00EE7CFB"/>
    <w:rsid w:val="00EF040B"/>
    <w:rsid w:val="00EF10C8"/>
    <w:rsid w:val="00EF17FB"/>
    <w:rsid w:val="00EF1E4E"/>
    <w:rsid w:val="00EF261C"/>
    <w:rsid w:val="00EF28FE"/>
    <w:rsid w:val="00EF301F"/>
    <w:rsid w:val="00EF30C8"/>
    <w:rsid w:val="00EF40F2"/>
    <w:rsid w:val="00EF44AD"/>
    <w:rsid w:val="00EF48EF"/>
    <w:rsid w:val="00EF4C2C"/>
    <w:rsid w:val="00EF4D9C"/>
    <w:rsid w:val="00EF5087"/>
    <w:rsid w:val="00EF56FA"/>
    <w:rsid w:val="00EF57B8"/>
    <w:rsid w:val="00EF5DE5"/>
    <w:rsid w:val="00EF60BB"/>
    <w:rsid w:val="00EF6846"/>
    <w:rsid w:val="00EF6E99"/>
    <w:rsid w:val="00EF742C"/>
    <w:rsid w:val="00EF7608"/>
    <w:rsid w:val="00EF76D5"/>
    <w:rsid w:val="00EF7725"/>
    <w:rsid w:val="00EF7927"/>
    <w:rsid w:val="00F001B2"/>
    <w:rsid w:val="00F004BD"/>
    <w:rsid w:val="00F0163F"/>
    <w:rsid w:val="00F01A1E"/>
    <w:rsid w:val="00F01C06"/>
    <w:rsid w:val="00F01E14"/>
    <w:rsid w:val="00F02180"/>
    <w:rsid w:val="00F028CE"/>
    <w:rsid w:val="00F02DAE"/>
    <w:rsid w:val="00F02E95"/>
    <w:rsid w:val="00F03A12"/>
    <w:rsid w:val="00F03A40"/>
    <w:rsid w:val="00F041E5"/>
    <w:rsid w:val="00F0421E"/>
    <w:rsid w:val="00F044B6"/>
    <w:rsid w:val="00F050CF"/>
    <w:rsid w:val="00F05303"/>
    <w:rsid w:val="00F057E3"/>
    <w:rsid w:val="00F057EE"/>
    <w:rsid w:val="00F05C81"/>
    <w:rsid w:val="00F05E02"/>
    <w:rsid w:val="00F0636A"/>
    <w:rsid w:val="00F06F98"/>
    <w:rsid w:val="00F06FA2"/>
    <w:rsid w:val="00F0717D"/>
    <w:rsid w:val="00F07683"/>
    <w:rsid w:val="00F100A9"/>
    <w:rsid w:val="00F1100B"/>
    <w:rsid w:val="00F11032"/>
    <w:rsid w:val="00F11384"/>
    <w:rsid w:val="00F114FB"/>
    <w:rsid w:val="00F12202"/>
    <w:rsid w:val="00F1222C"/>
    <w:rsid w:val="00F12407"/>
    <w:rsid w:val="00F12F54"/>
    <w:rsid w:val="00F13147"/>
    <w:rsid w:val="00F13451"/>
    <w:rsid w:val="00F13659"/>
    <w:rsid w:val="00F1374E"/>
    <w:rsid w:val="00F14E32"/>
    <w:rsid w:val="00F14F28"/>
    <w:rsid w:val="00F154FB"/>
    <w:rsid w:val="00F156BE"/>
    <w:rsid w:val="00F1677F"/>
    <w:rsid w:val="00F16CD4"/>
    <w:rsid w:val="00F177AB"/>
    <w:rsid w:val="00F17CC8"/>
    <w:rsid w:val="00F17D0B"/>
    <w:rsid w:val="00F2033B"/>
    <w:rsid w:val="00F2054A"/>
    <w:rsid w:val="00F21ED8"/>
    <w:rsid w:val="00F21F77"/>
    <w:rsid w:val="00F21FE8"/>
    <w:rsid w:val="00F22123"/>
    <w:rsid w:val="00F2212F"/>
    <w:rsid w:val="00F2273F"/>
    <w:rsid w:val="00F23425"/>
    <w:rsid w:val="00F242BD"/>
    <w:rsid w:val="00F24973"/>
    <w:rsid w:val="00F2497F"/>
    <w:rsid w:val="00F24EC9"/>
    <w:rsid w:val="00F24FA2"/>
    <w:rsid w:val="00F250CA"/>
    <w:rsid w:val="00F25AAD"/>
    <w:rsid w:val="00F25CE7"/>
    <w:rsid w:val="00F2616A"/>
    <w:rsid w:val="00F261D6"/>
    <w:rsid w:val="00F27075"/>
    <w:rsid w:val="00F27168"/>
    <w:rsid w:val="00F2729C"/>
    <w:rsid w:val="00F27309"/>
    <w:rsid w:val="00F2738F"/>
    <w:rsid w:val="00F27B69"/>
    <w:rsid w:val="00F300A1"/>
    <w:rsid w:val="00F30106"/>
    <w:rsid w:val="00F30500"/>
    <w:rsid w:val="00F30576"/>
    <w:rsid w:val="00F309C4"/>
    <w:rsid w:val="00F311D0"/>
    <w:rsid w:val="00F31209"/>
    <w:rsid w:val="00F3191F"/>
    <w:rsid w:val="00F3222A"/>
    <w:rsid w:val="00F325DD"/>
    <w:rsid w:val="00F32689"/>
    <w:rsid w:val="00F32721"/>
    <w:rsid w:val="00F32A65"/>
    <w:rsid w:val="00F32D5B"/>
    <w:rsid w:val="00F33A56"/>
    <w:rsid w:val="00F33FE7"/>
    <w:rsid w:val="00F3433F"/>
    <w:rsid w:val="00F34F02"/>
    <w:rsid w:val="00F351C1"/>
    <w:rsid w:val="00F35477"/>
    <w:rsid w:val="00F35DDA"/>
    <w:rsid w:val="00F35F84"/>
    <w:rsid w:val="00F36516"/>
    <w:rsid w:val="00F36518"/>
    <w:rsid w:val="00F368B4"/>
    <w:rsid w:val="00F36B20"/>
    <w:rsid w:val="00F36C65"/>
    <w:rsid w:val="00F37729"/>
    <w:rsid w:val="00F3793E"/>
    <w:rsid w:val="00F37D11"/>
    <w:rsid w:val="00F37DC9"/>
    <w:rsid w:val="00F37F12"/>
    <w:rsid w:val="00F40390"/>
    <w:rsid w:val="00F40741"/>
    <w:rsid w:val="00F40DAE"/>
    <w:rsid w:val="00F41620"/>
    <w:rsid w:val="00F41911"/>
    <w:rsid w:val="00F42419"/>
    <w:rsid w:val="00F427B2"/>
    <w:rsid w:val="00F42832"/>
    <w:rsid w:val="00F42B81"/>
    <w:rsid w:val="00F43044"/>
    <w:rsid w:val="00F4325E"/>
    <w:rsid w:val="00F43BD5"/>
    <w:rsid w:val="00F4445C"/>
    <w:rsid w:val="00F4461D"/>
    <w:rsid w:val="00F449F3"/>
    <w:rsid w:val="00F44A9B"/>
    <w:rsid w:val="00F44CEA"/>
    <w:rsid w:val="00F450BE"/>
    <w:rsid w:val="00F4547B"/>
    <w:rsid w:val="00F45687"/>
    <w:rsid w:val="00F46800"/>
    <w:rsid w:val="00F4680E"/>
    <w:rsid w:val="00F46899"/>
    <w:rsid w:val="00F46AA3"/>
    <w:rsid w:val="00F47434"/>
    <w:rsid w:val="00F47443"/>
    <w:rsid w:val="00F47EC9"/>
    <w:rsid w:val="00F501F2"/>
    <w:rsid w:val="00F50601"/>
    <w:rsid w:val="00F50A2F"/>
    <w:rsid w:val="00F50D3A"/>
    <w:rsid w:val="00F5117A"/>
    <w:rsid w:val="00F514FC"/>
    <w:rsid w:val="00F51529"/>
    <w:rsid w:val="00F51726"/>
    <w:rsid w:val="00F519FF"/>
    <w:rsid w:val="00F51F3F"/>
    <w:rsid w:val="00F52004"/>
    <w:rsid w:val="00F520F4"/>
    <w:rsid w:val="00F5330C"/>
    <w:rsid w:val="00F538CE"/>
    <w:rsid w:val="00F54647"/>
    <w:rsid w:val="00F54E7E"/>
    <w:rsid w:val="00F5588E"/>
    <w:rsid w:val="00F56BE7"/>
    <w:rsid w:val="00F57B6F"/>
    <w:rsid w:val="00F60283"/>
    <w:rsid w:val="00F6044E"/>
    <w:rsid w:val="00F60670"/>
    <w:rsid w:val="00F60B7A"/>
    <w:rsid w:val="00F60C8D"/>
    <w:rsid w:val="00F60D34"/>
    <w:rsid w:val="00F633E8"/>
    <w:rsid w:val="00F638BB"/>
    <w:rsid w:val="00F63B1E"/>
    <w:rsid w:val="00F64113"/>
    <w:rsid w:val="00F649BB"/>
    <w:rsid w:val="00F650A5"/>
    <w:rsid w:val="00F65492"/>
    <w:rsid w:val="00F657F4"/>
    <w:rsid w:val="00F65A6E"/>
    <w:rsid w:val="00F66251"/>
    <w:rsid w:val="00F66785"/>
    <w:rsid w:val="00F66948"/>
    <w:rsid w:val="00F66E63"/>
    <w:rsid w:val="00F675A1"/>
    <w:rsid w:val="00F677D6"/>
    <w:rsid w:val="00F67E2F"/>
    <w:rsid w:val="00F700F5"/>
    <w:rsid w:val="00F70CFD"/>
    <w:rsid w:val="00F70DBF"/>
    <w:rsid w:val="00F71A3A"/>
    <w:rsid w:val="00F725B4"/>
    <w:rsid w:val="00F72617"/>
    <w:rsid w:val="00F72709"/>
    <w:rsid w:val="00F738A9"/>
    <w:rsid w:val="00F73F61"/>
    <w:rsid w:val="00F74192"/>
    <w:rsid w:val="00F750B0"/>
    <w:rsid w:val="00F757FF"/>
    <w:rsid w:val="00F760FF"/>
    <w:rsid w:val="00F7727B"/>
    <w:rsid w:val="00F77E8D"/>
    <w:rsid w:val="00F80322"/>
    <w:rsid w:val="00F80996"/>
    <w:rsid w:val="00F80ADE"/>
    <w:rsid w:val="00F80EEC"/>
    <w:rsid w:val="00F8164E"/>
    <w:rsid w:val="00F817C7"/>
    <w:rsid w:val="00F81CDB"/>
    <w:rsid w:val="00F81E85"/>
    <w:rsid w:val="00F8224F"/>
    <w:rsid w:val="00F8289D"/>
    <w:rsid w:val="00F82F46"/>
    <w:rsid w:val="00F834ED"/>
    <w:rsid w:val="00F8355A"/>
    <w:rsid w:val="00F837CD"/>
    <w:rsid w:val="00F83A73"/>
    <w:rsid w:val="00F83BC5"/>
    <w:rsid w:val="00F83F8B"/>
    <w:rsid w:val="00F840BC"/>
    <w:rsid w:val="00F8433E"/>
    <w:rsid w:val="00F844FA"/>
    <w:rsid w:val="00F8459E"/>
    <w:rsid w:val="00F846BD"/>
    <w:rsid w:val="00F84DE0"/>
    <w:rsid w:val="00F850B7"/>
    <w:rsid w:val="00F853D2"/>
    <w:rsid w:val="00F8559F"/>
    <w:rsid w:val="00F8654A"/>
    <w:rsid w:val="00F8669B"/>
    <w:rsid w:val="00F86B2A"/>
    <w:rsid w:val="00F86D96"/>
    <w:rsid w:val="00F86DC7"/>
    <w:rsid w:val="00F87066"/>
    <w:rsid w:val="00F87082"/>
    <w:rsid w:val="00F875FA"/>
    <w:rsid w:val="00F879B8"/>
    <w:rsid w:val="00F87A33"/>
    <w:rsid w:val="00F87BF0"/>
    <w:rsid w:val="00F9012A"/>
    <w:rsid w:val="00F90E68"/>
    <w:rsid w:val="00F90EFE"/>
    <w:rsid w:val="00F90F95"/>
    <w:rsid w:val="00F9125D"/>
    <w:rsid w:val="00F91746"/>
    <w:rsid w:val="00F91BE7"/>
    <w:rsid w:val="00F92021"/>
    <w:rsid w:val="00F92031"/>
    <w:rsid w:val="00F9271F"/>
    <w:rsid w:val="00F929CB"/>
    <w:rsid w:val="00F929F7"/>
    <w:rsid w:val="00F92F22"/>
    <w:rsid w:val="00F93038"/>
    <w:rsid w:val="00F9303A"/>
    <w:rsid w:val="00F9473E"/>
    <w:rsid w:val="00F94887"/>
    <w:rsid w:val="00F94B84"/>
    <w:rsid w:val="00F96163"/>
    <w:rsid w:val="00F962FC"/>
    <w:rsid w:val="00F96611"/>
    <w:rsid w:val="00F96658"/>
    <w:rsid w:val="00F96AFA"/>
    <w:rsid w:val="00F96C8D"/>
    <w:rsid w:val="00F9710E"/>
    <w:rsid w:val="00F97462"/>
    <w:rsid w:val="00F975DF"/>
    <w:rsid w:val="00FA0083"/>
    <w:rsid w:val="00FA0089"/>
    <w:rsid w:val="00FA01D8"/>
    <w:rsid w:val="00FA1CA4"/>
    <w:rsid w:val="00FA2647"/>
    <w:rsid w:val="00FA2C25"/>
    <w:rsid w:val="00FA3964"/>
    <w:rsid w:val="00FA3C2E"/>
    <w:rsid w:val="00FA3CB1"/>
    <w:rsid w:val="00FA43E0"/>
    <w:rsid w:val="00FA4966"/>
    <w:rsid w:val="00FA4E30"/>
    <w:rsid w:val="00FA5041"/>
    <w:rsid w:val="00FA5459"/>
    <w:rsid w:val="00FA58B3"/>
    <w:rsid w:val="00FA5CD4"/>
    <w:rsid w:val="00FA5DFA"/>
    <w:rsid w:val="00FA5E6A"/>
    <w:rsid w:val="00FA6049"/>
    <w:rsid w:val="00FA60EF"/>
    <w:rsid w:val="00FA6888"/>
    <w:rsid w:val="00FA7E4B"/>
    <w:rsid w:val="00FB04D9"/>
    <w:rsid w:val="00FB09AD"/>
    <w:rsid w:val="00FB0E48"/>
    <w:rsid w:val="00FB0F4E"/>
    <w:rsid w:val="00FB10EE"/>
    <w:rsid w:val="00FB1282"/>
    <w:rsid w:val="00FB1631"/>
    <w:rsid w:val="00FB1BE1"/>
    <w:rsid w:val="00FB2139"/>
    <w:rsid w:val="00FB2BEA"/>
    <w:rsid w:val="00FB2E6E"/>
    <w:rsid w:val="00FB329C"/>
    <w:rsid w:val="00FB3498"/>
    <w:rsid w:val="00FB48E4"/>
    <w:rsid w:val="00FB492E"/>
    <w:rsid w:val="00FB4C8F"/>
    <w:rsid w:val="00FB4CF5"/>
    <w:rsid w:val="00FB528D"/>
    <w:rsid w:val="00FB58BC"/>
    <w:rsid w:val="00FB6060"/>
    <w:rsid w:val="00FB6318"/>
    <w:rsid w:val="00FB654C"/>
    <w:rsid w:val="00FB6BE0"/>
    <w:rsid w:val="00FB79DB"/>
    <w:rsid w:val="00FB7FB8"/>
    <w:rsid w:val="00FC071F"/>
    <w:rsid w:val="00FC0F5B"/>
    <w:rsid w:val="00FC14F3"/>
    <w:rsid w:val="00FC1C01"/>
    <w:rsid w:val="00FC2388"/>
    <w:rsid w:val="00FC278F"/>
    <w:rsid w:val="00FC303E"/>
    <w:rsid w:val="00FC3709"/>
    <w:rsid w:val="00FC37F2"/>
    <w:rsid w:val="00FC3BEB"/>
    <w:rsid w:val="00FC412E"/>
    <w:rsid w:val="00FC4210"/>
    <w:rsid w:val="00FC4FE1"/>
    <w:rsid w:val="00FC57A9"/>
    <w:rsid w:val="00FC5813"/>
    <w:rsid w:val="00FC6020"/>
    <w:rsid w:val="00FC63E8"/>
    <w:rsid w:val="00FC6532"/>
    <w:rsid w:val="00FC7008"/>
    <w:rsid w:val="00FC72D0"/>
    <w:rsid w:val="00FC73CA"/>
    <w:rsid w:val="00FC7E57"/>
    <w:rsid w:val="00FC7E63"/>
    <w:rsid w:val="00FD06A2"/>
    <w:rsid w:val="00FD06AE"/>
    <w:rsid w:val="00FD0A65"/>
    <w:rsid w:val="00FD109C"/>
    <w:rsid w:val="00FD14ED"/>
    <w:rsid w:val="00FD17E7"/>
    <w:rsid w:val="00FD1D5B"/>
    <w:rsid w:val="00FD31AA"/>
    <w:rsid w:val="00FD3A82"/>
    <w:rsid w:val="00FD3BC1"/>
    <w:rsid w:val="00FD3E3F"/>
    <w:rsid w:val="00FD40E6"/>
    <w:rsid w:val="00FD4123"/>
    <w:rsid w:val="00FD4C1E"/>
    <w:rsid w:val="00FD4C1F"/>
    <w:rsid w:val="00FD4C47"/>
    <w:rsid w:val="00FD5683"/>
    <w:rsid w:val="00FD6CA5"/>
    <w:rsid w:val="00FD6E47"/>
    <w:rsid w:val="00FD714F"/>
    <w:rsid w:val="00FD74A7"/>
    <w:rsid w:val="00FD7518"/>
    <w:rsid w:val="00FD75FA"/>
    <w:rsid w:val="00FE003F"/>
    <w:rsid w:val="00FE024A"/>
    <w:rsid w:val="00FE0386"/>
    <w:rsid w:val="00FE051E"/>
    <w:rsid w:val="00FE05DB"/>
    <w:rsid w:val="00FE0F72"/>
    <w:rsid w:val="00FE11D7"/>
    <w:rsid w:val="00FE1D19"/>
    <w:rsid w:val="00FE270E"/>
    <w:rsid w:val="00FE2822"/>
    <w:rsid w:val="00FE2F98"/>
    <w:rsid w:val="00FE3242"/>
    <w:rsid w:val="00FE3BA2"/>
    <w:rsid w:val="00FE424E"/>
    <w:rsid w:val="00FE48DA"/>
    <w:rsid w:val="00FE4950"/>
    <w:rsid w:val="00FE4AD4"/>
    <w:rsid w:val="00FE536F"/>
    <w:rsid w:val="00FE5417"/>
    <w:rsid w:val="00FE5628"/>
    <w:rsid w:val="00FE5C3C"/>
    <w:rsid w:val="00FE6669"/>
    <w:rsid w:val="00FF0AC0"/>
    <w:rsid w:val="00FF1588"/>
    <w:rsid w:val="00FF1DE6"/>
    <w:rsid w:val="00FF1EB9"/>
    <w:rsid w:val="00FF2900"/>
    <w:rsid w:val="00FF29C4"/>
    <w:rsid w:val="00FF32D7"/>
    <w:rsid w:val="00FF33DE"/>
    <w:rsid w:val="00FF3BFB"/>
    <w:rsid w:val="00FF44F5"/>
    <w:rsid w:val="00FF5022"/>
    <w:rsid w:val="00FF5035"/>
    <w:rsid w:val="00FF55C8"/>
    <w:rsid w:val="00FF55DF"/>
    <w:rsid w:val="00FF5A9E"/>
    <w:rsid w:val="00FF5CB8"/>
    <w:rsid w:val="00FF684F"/>
    <w:rsid w:val="00FF6DC9"/>
    <w:rsid w:val="00FF6E9D"/>
    <w:rsid w:val="00FF748F"/>
    <w:rsid w:val="00FF7582"/>
    <w:rsid w:val="00FF75BC"/>
    <w:rsid w:val="00FF7AA7"/>
    <w:rsid w:val="00FF7DD7"/>
    <w:rsid w:val="00FF7E4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
    <w:name w:val="Unresolved Mention"/>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557274794">
      <w:bodyDiv w:val="1"/>
      <w:marLeft w:val="0"/>
      <w:marRight w:val="0"/>
      <w:marTop w:val="0"/>
      <w:marBottom w:val="0"/>
      <w:divBdr>
        <w:top w:val="none" w:sz="0" w:space="0" w:color="auto"/>
        <w:left w:val="none" w:sz="0" w:space="0" w:color="auto"/>
        <w:bottom w:val="none" w:sz="0" w:space="0" w:color="auto"/>
        <w:right w:val="none" w:sz="0" w:space="0" w:color="auto"/>
      </w:divBdr>
      <w:divsChild>
        <w:div w:id="1608467355">
          <w:marLeft w:val="284"/>
          <w:marRight w:val="0"/>
          <w:marTop w:val="80"/>
          <w:marBottom w:val="0"/>
          <w:divBdr>
            <w:top w:val="none" w:sz="0" w:space="0" w:color="auto"/>
            <w:left w:val="none" w:sz="0" w:space="0" w:color="auto"/>
            <w:bottom w:val="none" w:sz="0" w:space="0" w:color="auto"/>
            <w:right w:val="none" w:sz="0" w:space="0" w:color="auto"/>
          </w:divBdr>
        </w:div>
        <w:div w:id="446044079">
          <w:marLeft w:val="1134"/>
          <w:marRight w:val="0"/>
          <w:marTop w:val="60"/>
          <w:marBottom w:val="0"/>
          <w:divBdr>
            <w:top w:val="none" w:sz="0" w:space="0" w:color="auto"/>
            <w:left w:val="none" w:sz="0" w:space="0" w:color="auto"/>
            <w:bottom w:val="none" w:sz="0" w:space="0" w:color="auto"/>
            <w:right w:val="none" w:sz="0" w:space="0" w:color="auto"/>
          </w:divBdr>
        </w:div>
        <w:div w:id="342392671">
          <w:marLeft w:val="1985"/>
          <w:marRight w:val="0"/>
          <w:marTop w:val="60"/>
          <w:marBottom w:val="0"/>
          <w:divBdr>
            <w:top w:val="none" w:sz="0" w:space="0" w:color="auto"/>
            <w:left w:val="none" w:sz="0" w:space="0" w:color="auto"/>
            <w:bottom w:val="none" w:sz="0" w:space="0" w:color="auto"/>
            <w:right w:val="none" w:sz="0" w:space="0" w:color="auto"/>
          </w:divBdr>
        </w:div>
        <w:div w:id="390810043">
          <w:marLeft w:val="1985"/>
          <w:marRight w:val="0"/>
          <w:marTop w:val="60"/>
          <w:marBottom w:val="0"/>
          <w:divBdr>
            <w:top w:val="none" w:sz="0" w:space="0" w:color="auto"/>
            <w:left w:val="none" w:sz="0" w:space="0" w:color="auto"/>
            <w:bottom w:val="none" w:sz="0" w:space="0" w:color="auto"/>
            <w:right w:val="none" w:sz="0" w:space="0" w:color="auto"/>
          </w:divBdr>
        </w:div>
        <w:div w:id="980617102">
          <w:marLeft w:val="1134"/>
          <w:marRight w:val="0"/>
          <w:marTop w:val="60"/>
          <w:marBottom w:val="0"/>
          <w:divBdr>
            <w:top w:val="none" w:sz="0" w:space="0" w:color="auto"/>
            <w:left w:val="none" w:sz="0" w:space="0" w:color="auto"/>
            <w:bottom w:val="none" w:sz="0" w:space="0" w:color="auto"/>
            <w:right w:val="none" w:sz="0" w:space="0" w:color="auto"/>
          </w:divBdr>
        </w:div>
        <w:div w:id="1753119515">
          <w:marLeft w:val="284"/>
          <w:marRight w:val="0"/>
          <w:marTop w:val="4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1_defn_administrative_action(a)(ii)%27%5d&amp;xhitlist_md=target-id=0-0-0-13083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1_defn_administrative_action(a)(i)%27%5d&amp;xhitlist_md=target-id=0-0-0-130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4984-B2B8-401D-92A2-2B81B85E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3</cp:revision>
  <cp:lastPrinted>2022-10-21T08:00:00Z</cp:lastPrinted>
  <dcterms:created xsi:type="dcterms:W3CDTF">2022-11-01T09:17:00Z</dcterms:created>
  <dcterms:modified xsi:type="dcterms:W3CDTF">2022-11-01T09:31:00Z</dcterms:modified>
</cp:coreProperties>
</file>