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0EFC" w14:textId="5AF5E188" w:rsidR="00093030" w:rsidRPr="004F7156" w:rsidRDefault="00AE52E9" w:rsidP="00093030">
      <w:pPr>
        <w:spacing w:line="360" w:lineRule="auto"/>
        <w:jc w:val="both"/>
        <w:rPr>
          <w:sz w:val="28"/>
          <w:szCs w:val="28"/>
        </w:rPr>
      </w:pPr>
      <w:bookmarkStart w:id="0" w:name="_GoBack"/>
      <w:bookmarkEnd w:id="0"/>
      <w:r w:rsidRPr="004F7156">
        <w:rPr>
          <w:noProof/>
          <w:lang w:val="en-ZA" w:eastAsia="en-ZA"/>
        </w:rPr>
        <w:drawing>
          <wp:anchor distT="0" distB="0" distL="114300" distR="114300" simplePos="0" relativeHeight="251659264" behindDoc="0" locked="0" layoutInCell="1" allowOverlap="1" wp14:anchorId="52879A93" wp14:editId="2B607DEA">
            <wp:simplePos x="0" y="0"/>
            <wp:positionH relativeFrom="column">
              <wp:posOffset>2216150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82FAD3D" w14:textId="77777777" w:rsidR="00093030" w:rsidRPr="004F7156" w:rsidRDefault="00093030" w:rsidP="00B96EAD">
      <w:pPr>
        <w:rPr>
          <w:b/>
          <w:bCs/>
          <w:sz w:val="28"/>
          <w:szCs w:val="28"/>
        </w:rPr>
      </w:pPr>
      <w:r w:rsidRPr="004F7156">
        <w:rPr>
          <w:sz w:val="28"/>
          <w:szCs w:val="28"/>
        </w:rPr>
        <w:tab/>
      </w:r>
      <w:r w:rsidRPr="004F7156">
        <w:rPr>
          <w:sz w:val="28"/>
          <w:szCs w:val="28"/>
        </w:rPr>
        <w:tab/>
      </w:r>
      <w:r w:rsidRPr="004F7156">
        <w:rPr>
          <w:sz w:val="28"/>
          <w:szCs w:val="28"/>
        </w:rPr>
        <w:tab/>
      </w:r>
    </w:p>
    <w:p w14:paraId="5815F93E" w14:textId="77777777" w:rsidR="00093030" w:rsidRPr="004F7156" w:rsidRDefault="00093030" w:rsidP="00B96EAD">
      <w:pPr>
        <w:jc w:val="center"/>
        <w:rPr>
          <w:b/>
          <w:bCs/>
          <w:sz w:val="28"/>
          <w:szCs w:val="28"/>
        </w:rPr>
      </w:pPr>
    </w:p>
    <w:p w14:paraId="5E079192" w14:textId="77777777" w:rsidR="00093030" w:rsidRPr="004F7156" w:rsidRDefault="00093030" w:rsidP="00B96EAD">
      <w:pPr>
        <w:jc w:val="center"/>
        <w:rPr>
          <w:b/>
          <w:bCs/>
          <w:sz w:val="28"/>
          <w:szCs w:val="28"/>
        </w:rPr>
      </w:pPr>
    </w:p>
    <w:p w14:paraId="36CD9B44" w14:textId="77777777" w:rsidR="00093030" w:rsidRPr="004F7156" w:rsidRDefault="00093030" w:rsidP="00B96EAD">
      <w:pPr>
        <w:jc w:val="center"/>
        <w:rPr>
          <w:b/>
          <w:bCs/>
          <w:sz w:val="28"/>
          <w:szCs w:val="28"/>
        </w:rPr>
      </w:pPr>
    </w:p>
    <w:p w14:paraId="08CA4D55" w14:textId="77777777" w:rsidR="00093030" w:rsidRPr="004F7156" w:rsidRDefault="00093030" w:rsidP="00B96EAD">
      <w:pPr>
        <w:jc w:val="center"/>
        <w:rPr>
          <w:b/>
          <w:bCs/>
          <w:sz w:val="28"/>
          <w:szCs w:val="28"/>
        </w:rPr>
      </w:pPr>
      <w:r w:rsidRPr="004F7156">
        <w:rPr>
          <w:b/>
          <w:bCs/>
          <w:sz w:val="28"/>
          <w:szCs w:val="28"/>
        </w:rPr>
        <w:t>THE SUPREME COURT OF APPEAL OF SOUTH AFRICA</w:t>
      </w:r>
    </w:p>
    <w:p w14:paraId="5405703F" w14:textId="77777777" w:rsidR="00093030" w:rsidRPr="004F7156" w:rsidRDefault="00093030" w:rsidP="00B96EAD">
      <w:pPr>
        <w:pStyle w:val="Heading3"/>
        <w:spacing w:line="240" w:lineRule="auto"/>
        <w:jc w:val="center"/>
        <w:rPr>
          <w:rFonts w:ascii="Times New Roman" w:hAnsi="Times New Roman" w:cs="Times New Roman"/>
          <w:b/>
          <w:i w:val="0"/>
          <w:szCs w:val="28"/>
        </w:rPr>
      </w:pPr>
      <w:r w:rsidRPr="004F7156">
        <w:rPr>
          <w:rFonts w:ascii="Times New Roman" w:hAnsi="Times New Roman" w:cs="Times New Roman"/>
          <w:b/>
          <w:i w:val="0"/>
          <w:szCs w:val="28"/>
        </w:rPr>
        <w:t>JUDGMENT</w:t>
      </w:r>
    </w:p>
    <w:p w14:paraId="6FB00DD4" w14:textId="77777777" w:rsidR="00093030" w:rsidRPr="004F7156" w:rsidRDefault="00093030" w:rsidP="00B96EAD">
      <w:pPr>
        <w:jc w:val="center"/>
        <w:rPr>
          <w:b/>
          <w:bCs/>
          <w:sz w:val="28"/>
          <w:szCs w:val="28"/>
        </w:rPr>
      </w:pPr>
      <w:r w:rsidRPr="004F7156">
        <w:rPr>
          <w:sz w:val="28"/>
          <w:szCs w:val="28"/>
        </w:rPr>
        <w:tab/>
      </w:r>
    </w:p>
    <w:p w14:paraId="500F8243" w14:textId="1AA9889E" w:rsidR="00093030" w:rsidRPr="004F7156" w:rsidRDefault="004F7156" w:rsidP="00B96EAD">
      <w:pPr>
        <w:spacing w:line="360" w:lineRule="auto"/>
        <w:jc w:val="right"/>
        <w:rPr>
          <w:b/>
          <w:sz w:val="28"/>
          <w:szCs w:val="28"/>
        </w:rPr>
      </w:pPr>
      <w:r>
        <w:rPr>
          <w:b/>
          <w:sz w:val="28"/>
          <w:szCs w:val="28"/>
        </w:rPr>
        <w:t>Reportable</w:t>
      </w:r>
    </w:p>
    <w:p w14:paraId="7E05351A" w14:textId="33B80747" w:rsidR="00093030" w:rsidRPr="004F7156" w:rsidRDefault="00093030" w:rsidP="00B96EAD">
      <w:pPr>
        <w:spacing w:line="360" w:lineRule="auto"/>
        <w:jc w:val="right"/>
        <w:rPr>
          <w:sz w:val="28"/>
          <w:szCs w:val="28"/>
        </w:rPr>
      </w:pPr>
      <w:r w:rsidRPr="004F7156">
        <w:rPr>
          <w:sz w:val="28"/>
          <w:szCs w:val="28"/>
        </w:rPr>
        <w:t xml:space="preserve">Case no: </w:t>
      </w:r>
      <w:r w:rsidR="00B808D9" w:rsidRPr="004F7156">
        <w:rPr>
          <w:sz w:val="28"/>
          <w:szCs w:val="28"/>
        </w:rPr>
        <w:t>887/2021</w:t>
      </w:r>
    </w:p>
    <w:p w14:paraId="28D334D0" w14:textId="77777777" w:rsidR="00093030" w:rsidRPr="004F7156" w:rsidRDefault="00093030" w:rsidP="00B96EAD">
      <w:pPr>
        <w:spacing w:line="360" w:lineRule="auto"/>
        <w:rPr>
          <w:sz w:val="28"/>
          <w:szCs w:val="28"/>
        </w:rPr>
      </w:pPr>
    </w:p>
    <w:p w14:paraId="499DC789" w14:textId="77777777" w:rsidR="00093030" w:rsidRPr="004F7156" w:rsidRDefault="00093030" w:rsidP="00B96EAD">
      <w:pPr>
        <w:spacing w:line="360" w:lineRule="auto"/>
        <w:rPr>
          <w:sz w:val="28"/>
          <w:szCs w:val="28"/>
        </w:rPr>
      </w:pPr>
      <w:r w:rsidRPr="004F7156">
        <w:rPr>
          <w:sz w:val="28"/>
          <w:szCs w:val="28"/>
        </w:rPr>
        <w:t>In the matter between:</w:t>
      </w:r>
    </w:p>
    <w:p w14:paraId="21FDB3DA" w14:textId="10F2A183" w:rsidR="00B808D9" w:rsidRPr="004F7156" w:rsidRDefault="00B808D9" w:rsidP="00B96EAD">
      <w:pPr>
        <w:spacing w:line="360" w:lineRule="auto"/>
        <w:rPr>
          <w:b/>
          <w:bCs/>
          <w:sz w:val="28"/>
          <w:szCs w:val="28"/>
        </w:rPr>
      </w:pPr>
      <w:r w:rsidRPr="004F7156">
        <w:rPr>
          <w:b/>
          <w:bCs/>
          <w:sz w:val="28"/>
          <w:szCs w:val="28"/>
        </w:rPr>
        <w:t>C</w:t>
      </w:r>
      <w:r w:rsidR="00E62338" w:rsidRPr="004F7156">
        <w:rPr>
          <w:b/>
          <w:bCs/>
          <w:sz w:val="28"/>
          <w:szCs w:val="28"/>
        </w:rPr>
        <w:t>O</w:t>
      </w:r>
      <w:r w:rsidRPr="004F7156">
        <w:rPr>
          <w:b/>
          <w:bCs/>
          <w:sz w:val="28"/>
          <w:szCs w:val="28"/>
        </w:rPr>
        <w:t>R</w:t>
      </w:r>
      <w:r w:rsidR="00E62338" w:rsidRPr="004F7156">
        <w:rPr>
          <w:b/>
          <w:bCs/>
          <w:sz w:val="28"/>
          <w:szCs w:val="28"/>
        </w:rPr>
        <w:t>A</w:t>
      </w:r>
      <w:r w:rsidRPr="004F7156">
        <w:rPr>
          <w:b/>
          <w:bCs/>
          <w:sz w:val="28"/>
          <w:szCs w:val="28"/>
        </w:rPr>
        <w:t>L LAGOON INVESTMENT</w:t>
      </w:r>
      <w:r w:rsidR="00AC68D0" w:rsidRPr="004F7156">
        <w:rPr>
          <w:b/>
          <w:bCs/>
          <w:sz w:val="28"/>
          <w:szCs w:val="28"/>
        </w:rPr>
        <w:t>S</w:t>
      </w:r>
      <w:r w:rsidRPr="004F7156">
        <w:rPr>
          <w:b/>
          <w:bCs/>
          <w:sz w:val="28"/>
          <w:szCs w:val="28"/>
        </w:rPr>
        <w:t xml:space="preserve"> 194</w:t>
      </w:r>
    </w:p>
    <w:p w14:paraId="44FCA08C" w14:textId="6A8F0F33" w:rsidR="00093030" w:rsidRPr="004F7156" w:rsidRDefault="00B808D9" w:rsidP="00B96EAD">
      <w:pPr>
        <w:spacing w:line="360" w:lineRule="auto"/>
        <w:rPr>
          <w:b/>
          <w:sz w:val="28"/>
          <w:szCs w:val="28"/>
        </w:rPr>
      </w:pPr>
      <w:r w:rsidRPr="004F7156">
        <w:rPr>
          <w:b/>
          <w:bCs/>
          <w:sz w:val="28"/>
          <w:szCs w:val="28"/>
        </w:rPr>
        <w:t>(PTY) LTD</w:t>
      </w:r>
      <w:r w:rsidRPr="004F7156">
        <w:rPr>
          <w:b/>
          <w:bCs/>
          <w:sz w:val="28"/>
          <w:szCs w:val="28"/>
        </w:rPr>
        <w:tab/>
      </w:r>
      <w:r w:rsidRPr="004F7156">
        <w:rPr>
          <w:b/>
          <w:bCs/>
          <w:sz w:val="28"/>
          <w:szCs w:val="28"/>
        </w:rPr>
        <w:tab/>
      </w:r>
      <w:r w:rsidRPr="004F7156">
        <w:rPr>
          <w:b/>
          <w:bCs/>
          <w:sz w:val="28"/>
          <w:szCs w:val="28"/>
        </w:rPr>
        <w:tab/>
      </w:r>
      <w:r w:rsidRPr="004F7156">
        <w:rPr>
          <w:b/>
          <w:bCs/>
          <w:sz w:val="28"/>
          <w:szCs w:val="28"/>
        </w:rPr>
        <w:tab/>
      </w:r>
      <w:r w:rsidRPr="004F7156">
        <w:rPr>
          <w:b/>
          <w:bCs/>
          <w:sz w:val="28"/>
          <w:szCs w:val="28"/>
        </w:rPr>
        <w:tab/>
      </w:r>
      <w:r w:rsidRPr="004F7156">
        <w:rPr>
          <w:b/>
          <w:bCs/>
          <w:sz w:val="28"/>
          <w:szCs w:val="28"/>
        </w:rPr>
        <w:tab/>
      </w:r>
      <w:r w:rsidRPr="004F7156">
        <w:rPr>
          <w:b/>
          <w:bCs/>
          <w:sz w:val="28"/>
          <w:szCs w:val="28"/>
        </w:rPr>
        <w:tab/>
        <w:t xml:space="preserve">  </w:t>
      </w:r>
      <w:r w:rsidR="00093030" w:rsidRPr="004F7156">
        <w:rPr>
          <w:b/>
          <w:bCs/>
          <w:sz w:val="28"/>
          <w:szCs w:val="28"/>
        </w:rPr>
        <w:t xml:space="preserve">  </w:t>
      </w:r>
      <w:r w:rsidRPr="004F7156">
        <w:rPr>
          <w:b/>
          <w:bCs/>
          <w:sz w:val="28"/>
          <w:szCs w:val="28"/>
        </w:rPr>
        <w:t>FIRST</w:t>
      </w:r>
      <w:r w:rsidR="00093030" w:rsidRPr="004F7156">
        <w:rPr>
          <w:b/>
          <w:bCs/>
          <w:sz w:val="28"/>
          <w:szCs w:val="28"/>
        </w:rPr>
        <w:t xml:space="preserve"> </w:t>
      </w:r>
      <w:r w:rsidR="00093030" w:rsidRPr="004F7156">
        <w:rPr>
          <w:b/>
          <w:sz w:val="28"/>
          <w:szCs w:val="28"/>
        </w:rPr>
        <w:t>APPELLANT</w:t>
      </w:r>
    </w:p>
    <w:p w14:paraId="53E9025E" w14:textId="1B8015EF" w:rsidR="00B808D9" w:rsidRPr="004F7156" w:rsidRDefault="00B808D9" w:rsidP="00B96EAD">
      <w:pPr>
        <w:spacing w:line="360" w:lineRule="auto"/>
        <w:rPr>
          <w:b/>
          <w:sz w:val="28"/>
          <w:szCs w:val="28"/>
        </w:rPr>
      </w:pPr>
      <w:r w:rsidRPr="004F7156">
        <w:rPr>
          <w:b/>
          <w:sz w:val="28"/>
          <w:szCs w:val="28"/>
        </w:rPr>
        <w:t xml:space="preserve">ASH BROOK INVESTMENTS 15 </w:t>
      </w:r>
    </w:p>
    <w:p w14:paraId="0D47132A" w14:textId="2142D207" w:rsidR="00B808D9" w:rsidRPr="004F7156" w:rsidRDefault="00B808D9" w:rsidP="00B96EAD">
      <w:pPr>
        <w:spacing w:line="360" w:lineRule="auto"/>
        <w:rPr>
          <w:b/>
          <w:sz w:val="28"/>
          <w:szCs w:val="28"/>
        </w:rPr>
      </w:pPr>
      <w:r w:rsidRPr="004F7156">
        <w:rPr>
          <w:b/>
          <w:sz w:val="28"/>
          <w:szCs w:val="28"/>
        </w:rPr>
        <w:t xml:space="preserve">(PTY) LTD </w:t>
      </w:r>
      <w:r w:rsidRPr="004F7156">
        <w:rPr>
          <w:b/>
          <w:sz w:val="28"/>
          <w:szCs w:val="28"/>
        </w:rPr>
        <w:tab/>
      </w:r>
      <w:r w:rsidRPr="004F7156">
        <w:rPr>
          <w:b/>
          <w:sz w:val="28"/>
          <w:szCs w:val="28"/>
        </w:rPr>
        <w:tab/>
      </w:r>
      <w:r w:rsidRPr="004F7156">
        <w:rPr>
          <w:b/>
          <w:sz w:val="28"/>
          <w:szCs w:val="28"/>
        </w:rPr>
        <w:tab/>
      </w:r>
      <w:r w:rsidRPr="004F7156">
        <w:rPr>
          <w:b/>
          <w:sz w:val="28"/>
          <w:szCs w:val="28"/>
        </w:rPr>
        <w:tab/>
      </w:r>
      <w:r w:rsidRPr="004F7156">
        <w:rPr>
          <w:b/>
          <w:sz w:val="28"/>
          <w:szCs w:val="28"/>
        </w:rPr>
        <w:tab/>
        <w:t xml:space="preserve">         SECOND APPELLANT</w:t>
      </w:r>
    </w:p>
    <w:p w14:paraId="2AA7E32B" w14:textId="77777777" w:rsidR="00093030" w:rsidRPr="004F7156" w:rsidRDefault="00093030" w:rsidP="00B96EAD">
      <w:pPr>
        <w:spacing w:line="360" w:lineRule="auto"/>
        <w:rPr>
          <w:sz w:val="28"/>
          <w:szCs w:val="28"/>
        </w:rPr>
      </w:pPr>
      <w:r w:rsidRPr="004F7156">
        <w:rPr>
          <w:sz w:val="28"/>
          <w:szCs w:val="28"/>
        </w:rPr>
        <w:t>and</w:t>
      </w:r>
    </w:p>
    <w:p w14:paraId="05C2A6F7" w14:textId="5F0E73BF" w:rsidR="00093030" w:rsidRPr="004F7156" w:rsidRDefault="00B808D9" w:rsidP="00B96EAD">
      <w:pPr>
        <w:spacing w:line="360" w:lineRule="auto"/>
        <w:rPr>
          <w:b/>
          <w:sz w:val="28"/>
          <w:szCs w:val="28"/>
        </w:rPr>
      </w:pPr>
      <w:r w:rsidRPr="004F7156">
        <w:rPr>
          <w:b/>
          <w:bCs/>
          <w:sz w:val="28"/>
          <w:szCs w:val="28"/>
        </w:rPr>
        <w:t xml:space="preserve">CAPITEC BANK HOLDINGS </w:t>
      </w:r>
      <w:r w:rsidR="004F7156">
        <w:rPr>
          <w:b/>
          <w:bCs/>
          <w:sz w:val="28"/>
          <w:szCs w:val="28"/>
        </w:rPr>
        <w:t>LIMITED</w:t>
      </w:r>
      <w:r w:rsidRPr="004F7156">
        <w:rPr>
          <w:b/>
          <w:bCs/>
          <w:sz w:val="28"/>
          <w:szCs w:val="28"/>
        </w:rPr>
        <w:tab/>
      </w:r>
      <w:r w:rsidRPr="004F7156">
        <w:rPr>
          <w:b/>
          <w:bCs/>
          <w:sz w:val="28"/>
          <w:szCs w:val="28"/>
        </w:rPr>
        <w:tab/>
      </w:r>
      <w:r w:rsidR="004F7156">
        <w:rPr>
          <w:b/>
          <w:bCs/>
          <w:sz w:val="28"/>
          <w:szCs w:val="28"/>
        </w:rPr>
        <w:t xml:space="preserve">            </w:t>
      </w:r>
      <w:r w:rsidR="00093030" w:rsidRPr="004F7156">
        <w:rPr>
          <w:b/>
          <w:sz w:val="28"/>
          <w:szCs w:val="28"/>
        </w:rPr>
        <w:t>RESPONDENT</w:t>
      </w:r>
    </w:p>
    <w:p w14:paraId="49BDCAB0" w14:textId="77777777" w:rsidR="00093030" w:rsidRPr="004F7156" w:rsidRDefault="00093030" w:rsidP="00B96EAD">
      <w:pPr>
        <w:pStyle w:val="FootnoteText"/>
        <w:spacing w:line="360" w:lineRule="auto"/>
        <w:rPr>
          <w:sz w:val="28"/>
          <w:szCs w:val="28"/>
        </w:rPr>
      </w:pPr>
    </w:p>
    <w:p w14:paraId="11159975" w14:textId="0636A771" w:rsidR="00093030" w:rsidRPr="004F7156" w:rsidRDefault="00093030" w:rsidP="00B96EAD">
      <w:pPr>
        <w:spacing w:line="360" w:lineRule="auto"/>
        <w:ind w:left="2160" w:hanging="2160"/>
        <w:rPr>
          <w:bCs/>
          <w:sz w:val="28"/>
          <w:szCs w:val="28"/>
        </w:rPr>
      </w:pPr>
      <w:r w:rsidRPr="004F7156">
        <w:rPr>
          <w:b/>
          <w:bCs/>
          <w:sz w:val="28"/>
          <w:szCs w:val="28"/>
        </w:rPr>
        <w:t>Neutral citation:</w:t>
      </w:r>
      <w:r w:rsidRPr="004F7156">
        <w:rPr>
          <w:b/>
          <w:bCs/>
          <w:sz w:val="28"/>
          <w:szCs w:val="28"/>
        </w:rPr>
        <w:tab/>
      </w:r>
      <w:bookmarkStart w:id="1" w:name="_Hlk115883257"/>
      <w:r w:rsidR="00B808D9" w:rsidRPr="004F7156">
        <w:rPr>
          <w:bCs/>
          <w:i/>
          <w:sz w:val="28"/>
          <w:szCs w:val="28"/>
        </w:rPr>
        <w:t>C</w:t>
      </w:r>
      <w:r w:rsidR="0086536A" w:rsidRPr="004F7156">
        <w:rPr>
          <w:bCs/>
          <w:i/>
          <w:sz w:val="28"/>
          <w:szCs w:val="28"/>
        </w:rPr>
        <w:t>o</w:t>
      </w:r>
      <w:r w:rsidR="00B808D9" w:rsidRPr="004F7156">
        <w:rPr>
          <w:bCs/>
          <w:i/>
          <w:sz w:val="28"/>
          <w:szCs w:val="28"/>
        </w:rPr>
        <w:t>r</w:t>
      </w:r>
      <w:r w:rsidR="009629A4" w:rsidRPr="004F7156">
        <w:rPr>
          <w:bCs/>
          <w:i/>
          <w:sz w:val="28"/>
          <w:szCs w:val="28"/>
        </w:rPr>
        <w:t>a</w:t>
      </w:r>
      <w:r w:rsidR="00B808D9" w:rsidRPr="004F7156">
        <w:rPr>
          <w:bCs/>
          <w:i/>
          <w:sz w:val="28"/>
          <w:szCs w:val="28"/>
        </w:rPr>
        <w:t>l Lagoon Investments 194</w:t>
      </w:r>
      <w:r w:rsidRPr="004F7156">
        <w:rPr>
          <w:bCs/>
          <w:i/>
          <w:sz w:val="28"/>
          <w:szCs w:val="28"/>
        </w:rPr>
        <w:t xml:space="preserve"> (Pty) Ltd</w:t>
      </w:r>
      <w:bookmarkEnd w:id="1"/>
      <w:r w:rsidRPr="004F7156">
        <w:rPr>
          <w:bCs/>
          <w:i/>
          <w:sz w:val="28"/>
          <w:szCs w:val="28"/>
        </w:rPr>
        <w:t xml:space="preserve"> </w:t>
      </w:r>
      <w:r w:rsidR="00B808D9" w:rsidRPr="004F7156">
        <w:rPr>
          <w:bCs/>
          <w:i/>
          <w:sz w:val="28"/>
          <w:szCs w:val="28"/>
        </w:rPr>
        <w:t xml:space="preserve">and Another </w:t>
      </w:r>
      <w:r w:rsidRPr="004F7156">
        <w:rPr>
          <w:bCs/>
          <w:i/>
          <w:sz w:val="28"/>
          <w:szCs w:val="28"/>
        </w:rPr>
        <w:t xml:space="preserve">v </w:t>
      </w:r>
      <w:r w:rsidR="00B808D9" w:rsidRPr="004F7156">
        <w:rPr>
          <w:bCs/>
          <w:i/>
          <w:sz w:val="28"/>
          <w:szCs w:val="28"/>
        </w:rPr>
        <w:t>Capitec Bank Holdings</w:t>
      </w:r>
      <w:r w:rsidR="009162E3">
        <w:rPr>
          <w:bCs/>
          <w:i/>
          <w:sz w:val="28"/>
          <w:szCs w:val="28"/>
        </w:rPr>
        <w:t xml:space="preserve"> Limited </w:t>
      </w:r>
      <w:r w:rsidRPr="004F7156">
        <w:rPr>
          <w:bCs/>
          <w:sz w:val="28"/>
          <w:szCs w:val="28"/>
        </w:rPr>
        <w:t>(</w:t>
      </w:r>
      <w:r w:rsidR="00600226">
        <w:rPr>
          <w:bCs/>
          <w:sz w:val="28"/>
          <w:szCs w:val="28"/>
        </w:rPr>
        <w:t>Case no.</w:t>
      </w:r>
      <w:r w:rsidR="00B808D9" w:rsidRPr="004F7156">
        <w:rPr>
          <w:bCs/>
          <w:sz w:val="28"/>
          <w:szCs w:val="28"/>
        </w:rPr>
        <w:t>887/2021</w:t>
      </w:r>
      <w:r w:rsidRPr="004F7156">
        <w:rPr>
          <w:bCs/>
          <w:sz w:val="28"/>
          <w:szCs w:val="28"/>
        </w:rPr>
        <w:t>) [202</w:t>
      </w:r>
      <w:r w:rsidR="00B808D9" w:rsidRPr="004F7156">
        <w:rPr>
          <w:bCs/>
          <w:sz w:val="28"/>
          <w:szCs w:val="28"/>
        </w:rPr>
        <w:t>2</w:t>
      </w:r>
      <w:r w:rsidRPr="004F7156">
        <w:rPr>
          <w:bCs/>
          <w:sz w:val="28"/>
          <w:szCs w:val="28"/>
        </w:rPr>
        <w:t xml:space="preserve">] ZASCA </w:t>
      </w:r>
      <w:r w:rsidR="002E0A44">
        <w:rPr>
          <w:bCs/>
          <w:sz w:val="28"/>
          <w:szCs w:val="28"/>
        </w:rPr>
        <w:t>144</w:t>
      </w:r>
      <w:r w:rsidRPr="004F7156">
        <w:rPr>
          <w:bCs/>
          <w:sz w:val="28"/>
          <w:szCs w:val="28"/>
        </w:rPr>
        <w:t xml:space="preserve"> (</w:t>
      </w:r>
      <w:r w:rsidR="002E0A44">
        <w:rPr>
          <w:bCs/>
          <w:sz w:val="28"/>
          <w:szCs w:val="28"/>
        </w:rPr>
        <w:t xml:space="preserve">24 </w:t>
      </w:r>
      <w:r w:rsidR="00AD306F" w:rsidRPr="004F7156">
        <w:rPr>
          <w:bCs/>
          <w:sz w:val="28"/>
          <w:szCs w:val="28"/>
        </w:rPr>
        <w:t>October</w:t>
      </w:r>
      <w:r w:rsidR="00B808D9" w:rsidRPr="004F7156">
        <w:rPr>
          <w:bCs/>
          <w:sz w:val="28"/>
          <w:szCs w:val="28"/>
        </w:rPr>
        <w:t xml:space="preserve"> 2022</w:t>
      </w:r>
      <w:r w:rsidRPr="004F7156">
        <w:rPr>
          <w:bCs/>
          <w:sz w:val="28"/>
          <w:szCs w:val="28"/>
        </w:rPr>
        <w:t>)</w:t>
      </w:r>
    </w:p>
    <w:p w14:paraId="04ACD6FA" w14:textId="36346243" w:rsidR="00093030" w:rsidRPr="004F7156" w:rsidRDefault="00093030" w:rsidP="00B96EAD">
      <w:pPr>
        <w:spacing w:line="360" w:lineRule="auto"/>
        <w:ind w:left="1440" w:hanging="1440"/>
        <w:jc w:val="both"/>
        <w:rPr>
          <w:b/>
          <w:bCs/>
          <w:i/>
          <w:iCs/>
          <w:sz w:val="28"/>
          <w:szCs w:val="28"/>
        </w:rPr>
      </w:pPr>
      <w:r w:rsidRPr="004F7156">
        <w:rPr>
          <w:b/>
          <w:bCs/>
          <w:sz w:val="28"/>
          <w:szCs w:val="28"/>
        </w:rPr>
        <w:t>Coram:</w:t>
      </w:r>
      <w:r w:rsidRPr="004F7156">
        <w:rPr>
          <w:sz w:val="28"/>
          <w:szCs w:val="28"/>
        </w:rPr>
        <w:tab/>
      </w:r>
      <w:r w:rsidR="00B808D9" w:rsidRPr="004F7156">
        <w:rPr>
          <w:sz w:val="28"/>
          <w:szCs w:val="28"/>
        </w:rPr>
        <w:t>ZONDI, GORVEN</w:t>
      </w:r>
      <w:r w:rsidR="00844254" w:rsidRPr="004F7156">
        <w:rPr>
          <w:sz w:val="28"/>
          <w:szCs w:val="28"/>
        </w:rPr>
        <w:t xml:space="preserve"> and</w:t>
      </w:r>
      <w:r w:rsidR="00B808D9" w:rsidRPr="004F7156">
        <w:rPr>
          <w:sz w:val="28"/>
          <w:szCs w:val="28"/>
        </w:rPr>
        <w:t xml:space="preserve"> HUGHES JJA and WINDEL</w:t>
      </w:r>
      <w:r w:rsidR="00844254" w:rsidRPr="004F7156">
        <w:rPr>
          <w:sz w:val="28"/>
          <w:szCs w:val="28"/>
        </w:rPr>
        <w:t>L</w:t>
      </w:r>
      <w:r w:rsidR="00B808D9" w:rsidRPr="004F7156">
        <w:rPr>
          <w:sz w:val="28"/>
          <w:szCs w:val="28"/>
        </w:rPr>
        <w:t xml:space="preserve"> and CHETTY AJJA</w:t>
      </w:r>
    </w:p>
    <w:p w14:paraId="75BFF482" w14:textId="5F7FBBC9" w:rsidR="00093030" w:rsidRPr="004F7156" w:rsidRDefault="00093030" w:rsidP="00B96EAD">
      <w:pPr>
        <w:spacing w:line="360" w:lineRule="auto"/>
        <w:rPr>
          <w:b/>
          <w:bCs/>
          <w:sz w:val="28"/>
          <w:szCs w:val="28"/>
        </w:rPr>
      </w:pPr>
      <w:r w:rsidRPr="004F7156">
        <w:rPr>
          <w:b/>
          <w:bCs/>
          <w:sz w:val="28"/>
          <w:szCs w:val="28"/>
        </w:rPr>
        <w:t>Heard</w:t>
      </w:r>
      <w:r w:rsidRPr="004F7156">
        <w:rPr>
          <w:sz w:val="28"/>
          <w:szCs w:val="28"/>
        </w:rPr>
        <w:t>:</w:t>
      </w:r>
      <w:r w:rsidRPr="004F7156">
        <w:rPr>
          <w:sz w:val="28"/>
          <w:szCs w:val="28"/>
        </w:rPr>
        <w:tab/>
      </w:r>
      <w:r w:rsidR="00B808D9" w:rsidRPr="004F7156">
        <w:rPr>
          <w:sz w:val="28"/>
          <w:szCs w:val="28"/>
        </w:rPr>
        <w:t>5 September 2022</w:t>
      </w:r>
      <w:r w:rsidRPr="004F7156">
        <w:rPr>
          <w:sz w:val="28"/>
          <w:szCs w:val="28"/>
        </w:rPr>
        <w:t xml:space="preserve"> </w:t>
      </w:r>
    </w:p>
    <w:p w14:paraId="60140833" w14:textId="07364A08" w:rsidR="00093030" w:rsidRDefault="00093030" w:rsidP="00B96EAD">
      <w:pPr>
        <w:spacing w:after="240" w:line="360" w:lineRule="auto"/>
        <w:rPr>
          <w:sz w:val="28"/>
          <w:szCs w:val="28"/>
        </w:rPr>
      </w:pPr>
      <w:r w:rsidRPr="004F7156">
        <w:rPr>
          <w:b/>
          <w:bCs/>
          <w:sz w:val="28"/>
          <w:szCs w:val="28"/>
        </w:rPr>
        <w:t>Delivered</w:t>
      </w:r>
      <w:r w:rsidRPr="004F7156">
        <w:rPr>
          <w:sz w:val="28"/>
          <w:szCs w:val="28"/>
        </w:rPr>
        <w:t>:</w:t>
      </w:r>
      <w:r w:rsidRPr="004F7156">
        <w:rPr>
          <w:sz w:val="28"/>
          <w:szCs w:val="28"/>
        </w:rPr>
        <w:tab/>
      </w:r>
      <w:r w:rsidR="002E0A44">
        <w:rPr>
          <w:sz w:val="28"/>
          <w:szCs w:val="28"/>
        </w:rPr>
        <w:t xml:space="preserve">24 </w:t>
      </w:r>
      <w:r w:rsidR="00AD306F" w:rsidRPr="004F7156">
        <w:rPr>
          <w:sz w:val="28"/>
          <w:szCs w:val="28"/>
        </w:rPr>
        <w:t>October</w:t>
      </w:r>
      <w:r w:rsidR="00B808D9" w:rsidRPr="004F7156">
        <w:rPr>
          <w:sz w:val="28"/>
          <w:szCs w:val="28"/>
        </w:rPr>
        <w:t xml:space="preserve"> 2022</w:t>
      </w:r>
    </w:p>
    <w:p w14:paraId="4B29D03A" w14:textId="12AA81C7" w:rsidR="00AE52E9" w:rsidRDefault="00093030" w:rsidP="00B96EAD">
      <w:pPr>
        <w:spacing w:after="240" w:line="360" w:lineRule="auto"/>
        <w:jc w:val="both"/>
        <w:rPr>
          <w:bCs/>
          <w:color w:val="000000" w:themeColor="text1"/>
          <w:sz w:val="28"/>
          <w:szCs w:val="28"/>
        </w:rPr>
      </w:pPr>
      <w:r w:rsidRPr="004F7156">
        <w:rPr>
          <w:b/>
          <w:bCs/>
          <w:sz w:val="28"/>
          <w:szCs w:val="28"/>
        </w:rPr>
        <w:t xml:space="preserve">Summary: </w:t>
      </w:r>
      <w:r w:rsidR="00C95C39" w:rsidRPr="004F7156">
        <w:rPr>
          <w:bCs/>
          <w:sz w:val="28"/>
          <w:szCs w:val="28"/>
        </w:rPr>
        <w:t>Contract –</w:t>
      </w:r>
      <w:r w:rsidR="00C95C39" w:rsidRPr="004F7156">
        <w:rPr>
          <w:b/>
          <w:bCs/>
          <w:sz w:val="28"/>
          <w:szCs w:val="28"/>
        </w:rPr>
        <w:t xml:space="preserve"> </w:t>
      </w:r>
      <w:r w:rsidR="00222B1E" w:rsidRPr="004F7156">
        <w:rPr>
          <w:bCs/>
          <w:color w:val="000000" w:themeColor="text1"/>
          <w:sz w:val="28"/>
          <w:szCs w:val="28"/>
        </w:rPr>
        <w:t xml:space="preserve">agreement not to sue – </w:t>
      </w:r>
      <w:r w:rsidR="00222B1E" w:rsidRPr="004F7156">
        <w:rPr>
          <w:bCs/>
          <w:i/>
          <w:color w:val="000000" w:themeColor="text1"/>
          <w:sz w:val="28"/>
          <w:szCs w:val="28"/>
        </w:rPr>
        <w:t xml:space="preserve">pactum </w:t>
      </w:r>
      <w:r w:rsidR="00AE52E9" w:rsidRPr="004F7156">
        <w:rPr>
          <w:bCs/>
          <w:i/>
          <w:color w:val="000000" w:themeColor="text1"/>
          <w:sz w:val="28"/>
          <w:szCs w:val="28"/>
        </w:rPr>
        <w:t>de non petendo</w:t>
      </w:r>
      <w:r w:rsidR="00222B1E" w:rsidRPr="004F7156">
        <w:rPr>
          <w:bCs/>
          <w:i/>
          <w:color w:val="000000" w:themeColor="text1"/>
          <w:sz w:val="28"/>
          <w:szCs w:val="28"/>
        </w:rPr>
        <w:t xml:space="preserve"> </w:t>
      </w:r>
      <w:r w:rsidR="0009485D" w:rsidRPr="004F7156">
        <w:rPr>
          <w:bCs/>
          <w:i/>
          <w:color w:val="000000" w:themeColor="text1"/>
          <w:sz w:val="28"/>
          <w:szCs w:val="28"/>
        </w:rPr>
        <w:t>anticipando</w:t>
      </w:r>
      <w:r w:rsidR="00C95C39" w:rsidRPr="004F7156">
        <w:rPr>
          <w:bCs/>
          <w:iCs/>
          <w:color w:val="000000" w:themeColor="text1"/>
          <w:sz w:val="28"/>
          <w:szCs w:val="28"/>
        </w:rPr>
        <w:t xml:space="preserve"> </w:t>
      </w:r>
      <w:r w:rsidR="00222B1E" w:rsidRPr="004F7156">
        <w:rPr>
          <w:bCs/>
          <w:color w:val="000000" w:themeColor="text1"/>
          <w:sz w:val="28"/>
          <w:szCs w:val="28"/>
        </w:rPr>
        <w:t>–</w:t>
      </w:r>
      <w:r w:rsidR="000A0B6C" w:rsidRPr="004F7156">
        <w:rPr>
          <w:bCs/>
          <w:color w:val="000000" w:themeColor="text1"/>
          <w:sz w:val="28"/>
          <w:szCs w:val="28"/>
        </w:rPr>
        <w:t xml:space="preserve"> enforcement </w:t>
      </w:r>
      <w:r w:rsidR="0009485D" w:rsidRPr="004F7156">
        <w:rPr>
          <w:bCs/>
          <w:color w:val="000000" w:themeColor="text1"/>
          <w:sz w:val="28"/>
          <w:szCs w:val="28"/>
        </w:rPr>
        <w:t xml:space="preserve">thereof </w:t>
      </w:r>
      <w:r w:rsidR="000A0B6C" w:rsidRPr="004F7156">
        <w:rPr>
          <w:bCs/>
          <w:color w:val="000000" w:themeColor="text1"/>
          <w:sz w:val="28"/>
          <w:szCs w:val="28"/>
        </w:rPr>
        <w:t>not</w:t>
      </w:r>
      <w:r w:rsidR="00AE52E9" w:rsidRPr="004F7156">
        <w:rPr>
          <w:bCs/>
          <w:color w:val="000000" w:themeColor="text1"/>
          <w:sz w:val="28"/>
          <w:szCs w:val="28"/>
        </w:rPr>
        <w:t xml:space="preserve"> against public policy.</w:t>
      </w:r>
    </w:p>
    <w:p w14:paraId="04686845" w14:textId="3FF9744E" w:rsidR="00831533" w:rsidRPr="004F7156" w:rsidRDefault="00831533" w:rsidP="00831533">
      <w:pPr>
        <w:ind w:right="-7"/>
        <w:rPr>
          <w:b/>
        </w:rPr>
      </w:pPr>
      <w:r w:rsidRPr="004F7156">
        <w:rPr>
          <w:b/>
        </w:rPr>
        <w:lastRenderedPageBreak/>
        <w:t>__________________________________________________________________</w:t>
      </w:r>
      <w:r w:rsidRPr="004F7156">
        <w:rPr>
          <w:b/>
        </w:rPr>
        <w:softHyphen/>
      </w:r>
      <w:r w:rsidRPr="004F7156">
        <w:rPr>
          <w:b/>
        </w:rPr>
        <w:softHyphen/>
        <w:t>______</w:t>
      </w:r>
    </w:p>
    <w:p w14:paraId="3474E0EE" w14:textId="77777777" w:rsidR="00831533" w:rsidRPr="004F7156" w:rsidRDefault="00831533" w:rsidP="00831533">
      <w:pPr>
        <w:jc w:val="center"/>
        <w:rPr>
          <w:b/>
          <w:bCs/>
        </w:rPr>
      </w:pPr>
    </w:p>
    <w:p w14:paraId="02E5D757" w14:textId="77777777" w:rsidR="00831533" w:rsidRPr="004F7156" w:rsidRDefault="00831533" w:rsidP="00831533">
      <w:pPr>
        <w:jc w:val="center"/>
        <w:rPr>
          <w:rFonts w:ascii="Arial" w:hAnsi="Arial" w:cs="Arial"/>
          <w:b/>
          <w:bCs/>
        </w:rPr>
      </w:pPr>
      <w:r w:rsidRPr="004F7156">
        <w:rPr>
          <w:rFonts w:ascii="Arial" w:hAnsi="Arial" w:cs="Arial"/>
          <w:b/>
          <w:bCs/>
        </w:rPr>
        <w:t>ORDER</w:t>
      </w:r>
    </w:p>
    <w:p w14:paraId="38EFE134" w14:textId="5FEFA4CF" w:rsidR="00093030" w:rsidRPr="004F7156" w:rsidRDefault="00831533" w:rsidP="00831533">
      <w:pPr>
        <w:spacing w:line="360" w:lineRule="auto"/>
        <w:ind w:right="-149"/>
        <w:rPr>
          <w:b/>
          <w:bCs/>
          <w:sz w:val="28"/>
          <w:szCs w:val="28"/>
        </w:rPr>
      </w:pPr>
      <w:r w:rsidRPr="004F7156">
        <w:rPr>
          <w:b/>
        </w:rPr>
        <w:t>______________________________________________________________________</w:t>
      </w:r>
      <w:r w:rsidR="00093030" w:rsidRPr="004F7156">
        <w:rPr>
          <w:rFonts w:ascii="Arial" w:hAnsi="Arial" w:cs="Arial"/>
          <w:noProof/>
          <w:lang w:val="en-ZA" w:eastAsia="en-ZA"/>
        </w:rPr>
        <mc:AlternateContent>
          <mc:Choice Requires="wps">
            <w:drawing>
              <wp:anchor distT="0" distB="0" distL="114300" distR="114300" simplePos="0" relativeHeight="251660288" behindDoc="0" locked="0" layoutInCell="1" allowOverlap="1" wp14:anchorId="7240AF7A" wp14:editId="3698E2F1">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A2DB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r w:rsidRPr="004F7156">
        <w:rPr>
          <w:b/>
        </w:rPr>
        <w:t>__</w:t>
      </w:r>
    </w:p>
    <w:p w14:paraId="15A43976" w14:textId="448F0E1B" w:rsidR="007357D2" w:rsidRPr="004F7156" w:rsidRDefault="007357D2" w:rsidP="00222B1E">
      <w:pPr>
        <w:spacing w:after="240" w:line="360" w:lineRule="auto"/>
        <w:rPr>
          <w:rFonts w:ascii="Arial" w:hAnsi="Arial" w:cs="Arial"/>
          <w:color w:val="000000" w:themeColor="text1"/>
        </w:rPr>
      </w:pPr>
      <w:r w:rsidRPr="004F7156">
        <w:rPr>
          <w:rFonts w:ascii="Arial" w:hAnsi="Arial" w:cs="Arial"/>
          <w:b/>
          <w:color w:val="000000" w:themeColor="text1"/>
        </w:rPr>
        <w:t>On appeal from</w:t>
      </w:r>
      <w:r w:rsidRPr="004F7156">
        <w:rPr>
          <w:rFonts w:ascii="Arial" w:hAnsi="Arial" w:cs="Arial"/>
          <w:color w:val="000000" w:themeColor="text1"/>
        </w:rPr>
        <w:t>: Western Cape Division of the High Court, Cape Town (Wille J, sitting as court of first instance).</w:t>
      </w:r>
    </w:p>
    <w:p w14:paraId="2BBB4144" w14:textId="156D3A01" w:rsidR="00093030" w:rsidRPr="004F7156" w:rsidRDefault="00831533" w:rsidP="00E86763">
      <w:pPr>
        <w:pStyle w:val="ListParagraph"/>
        <w:spacing w:after="240" w:line="360" w:lineRule="auto"/>
        <w:ind w:left="0"/>
        <w:rPr>
          <w:rFonts w:ascii="Arial" w:hAnsi="Arial" w:cs="Arial"/>
          <w:color w:val="000000" w:themeColor="text1"/>
        </w:rPr>
      </w:pPr>
      <w:r w:rsidRPr="004F7156">
        <w:rPr>
          <w:rFonts w:ascii="Arial" w:hAnsi="Arial" w:cs="Arial"/>
          <w:color w:val="000000" w:themeColor="text1"/>
        </w:rPr>
        <w:t>The appeal is dismissed with costs on an attorney and client scale, including the costs of two counsel</w:t>
      </w:r>
      <w:r w:rsidR="00C57B10" w:rsidRPr="004F7156">
        <w:rPr>
          <w:rFonts w:ascii="Arial" w:hAnsi="Arial" w:cs="Arial"/>
          <w:color w:val="000000" w:themeColor="text1"/>
        </w:rPr>
        <w:t>.</w:t>
      </w:r>
    </w:p>
    <w:p w14:paraId="656EECE9" w14:textId="0EC58F31" w:rsidR="00831533" w:rsidRPr="004F7156" w:rsidRDefault="00831533" w:rsidP="00831533">
      <w:pPr>
        <w:jc w:val="center"/>
        <w:rPr>
          <w:rFonts w:ascii="Arial" w:hAnsi="Arial" w:cs="Arial"/>
          <w:color w:val="000000" w:themeColor="text1"/>
        </w:rPr>
      </w:pPr>
      <w:r w:rsidRPr="004F7156">
        <w:rPr>
          <w:rFonts w:ascii="Arial" w:hAnsi="Arial" w:cs="Arial"/>
          <w:color w:val="000000" w:themeColor="text1"/>
        </w:rPr>
        <w:t>________________________________________________________________</w:t>
      </w:r>
    </w:p>
    <w:p w14:paraId="4B22BD50" w14:textId="77777777" w:rsidR="00831533" w:rsidRPr="004F7156" w:rsidRDefault="00831533" w:rsidP="00831533">
      <w:pPr>
        <w:jc w:val="center"/>
        <w:rPr>
          <w:b/>
          <w:bCs/>
        </w:rPr>
      </w:pPr>
    </w:p>
    <w:p w14:paraId="6B8383EE" w14:textId="77777777" w:rsidR="00831533" w:rsidRPr="004F7156" w:rsidRDefault="00831533" w:rsidP="00831533">
      <w:pPr>
        <w:ind w:right="-7"/>
        <w:jc w:val="center"/>
        <w:rPr>
          <w:rFonts w:ascii="Arial" w:hAnsi="Arial" w:cs="Arial"/>
          <w:b/>
          <w:bCs/>
        </w:rPr>
      </w:pPr>
      <w:r w:rsidRPr="004F7156">
        <w:rPr>
          <w:rFonts w:ascii="Arial" w:hAnsi="Arial" w:cs="Arial"/>
          <w:b/>
          <w:bCs/>
        </w:rPr>
        <w:t>JUDGMENT</w:t>
      </w:r>
    </w:p>
    <w:p w14:paraId="56D437FA" w14:textId="331FF2D6" w:rsidR="00831533" w:rsidRPr="004F7156" w:rsidRDefault="00831533" w:rsidP="00831533">
      <w:pPr>
        <w:spacing w:line="360" w:lineRule="auto"/>
        <w:ind w:right="-7"/>
        <w:jc w:val="both"/>
        <w:rPr>
          <w:rFonts w:ascii="Arial" w:hAnsi="Arial" w:cs="Arial"/>
          <w:color w:val="000000" w:themeColor="text1"/>
        </w:rPr>
      </w:pPr>
      <w:r w:rsidRPr="004F7156">
        <w:rPr>
          <w:b/>
        </w:rPr>
        <w:t>________________________________________________________________________</w:t>
      </w:r>
    </w:p>
    <w:p w14:paraId="7E570431" w14:textId="77777777" w:rsidR="00831533" w:rsidRPr="004F7156" w:rsidRDefault="00831533" w:rsidP="00831533">
      <w:pPr>
        <w:jc w:val="both"/>
        <w:rPr>
          <w:rFonts w:ascii="Arial" w:hAnsi="Arial" w:cs="Arial"/>
          <w:b/>
          <w:bCs/>
          <w:color w:val="000000" w:themeColor="text1"/>
        </w:rPr>
      </w:pPr>
    </w:p>
    <w:p w14:paraId="59C5C557" w14:textId="2BDDD89F" w:rsidR="007357D2" w:rsidRPr="00FD6903" w:rsidRDefault="00FD6903" w:rsidP="00B96EAD">
      <w:pPr>
        <w:spacing w:line="360" w:lineRule="auto"/>
        <w:jc w:val="both"/>
        <w:rPr>
          <w:rFonts w:ascii="Arial" w:hAnsi="Arial" w:cs="Arial"/>
        </w:rPr>
      </w:pPr>
      <w:r>
        <w:rPr>
          <w:rFonts w:ascii="Arial" w:hAnsi="Arial" w:cs="Arial"/>
          <w:b/>
          <w:bCs/>
          <w:color w:val="000000" w:themeColor="text1"/>
        </w:rPr>
        <w:t>WINDELL</w:t>
      </w:r>
      <w:r w:rsidR="007357D2" w:rsidRPr="004F7156">
        <w:rPr>
          <w:rFonts w:ascii="Arial" w:hAnsi="Arial" w:cs="Arial"/>
          <w:b/>
          <w:bCs/>
          <w:color w:val="000000" w:themeColor="text1"/>
        </w:rPr>
        <w:t xml:space="preserve"> AJA (</w:t>
      </w:r>
      <w:r>
        <w:rPr>
          <w:rFonts w:ascii="Arial" w:hAnsi="Arial" w:cs="Arial"/>
          <w:b/>
        </w:rPr>
        <w:t>ZONDI, GORVEN and HUGHES JJA, and CHETTY AJA</w:t>
      </w:r>
      <w:r w:rsidRPr="00A00F8F">
        <w:rPr>
          <w:rFonts w:ascii="Arial" w:hAnsi="Arial" w:cs="Arial"/>
          <w:b/>
        </w:rPr>
        <w:t xml:space="preserve"> concurring)</w:t>
      </w:r>
      <w:r>
        <w:rPr>
          <w:rFonts w:ascii="Arial" w:hAnsi="Arial" w:cs="Arial"/>
          <w:b/>
        </w:rPr>
        <w:t xml:space="preserve"> </w:t>
      </w:r>
    </w:p>
    <w:p w14:paraId="1330787E" w14:textId="77777777" w:rsidR="007357D2" w:rsidRPr="004F7156" w:rsidRDefault="007357D2" w:rsidP="00B96EAD">
      <w:pPr>
        <w:spacing w:line="360" w:lineRule="auto"/>
        <w:jc w:val="both"/>
        <w:rPr>
          <w:rFonts w:ascii="Arial" w:hAnsi="Arial" w:cs="Arial"/>
          <w:b/>
          <w:bCs/>
          <w:color w:val="000000" w:themeColor="text1"/>
        </w:rPr>
      </w:pPr>
    </w:p>
    <w:p w14:paraId="458B441A" w14:textId="7F6A3D0F" w:rsidR="007357D2" w:rsidRPr="004F7156" w:rsidRDefault="00D9395A" w:rsidP="00F53E33">
      <w:pPr>
        <w:spacing w:line="360" w:lineRule="auto"/>
        <w:jc w:val="both"/>
        <w:rPr>
          <w:rFonts w:ascii="Arial" w:hAnsi="Arial" w:cs="Arial"/>
          <w:color w:val="000000" w:themeColor="text1"/>
        </w:rPr>
      </w:pPr>
      <w:r w:rsidRPr="004F7156">
        <w:rPr>
          <w:rFonts w:ascii="Arial" w:hAnsi="Arial" w:cs="Arial"/>
          <w:color w:val="000000" w:themeColor="text1"/>
        </w:rPr>
        <w:t>[1]</w:t>
      </w:r>
      <w:r w:rsidRPr="004F7156">
        <w:rPr>
          <w:rFonts w:ascii="Arial" w:hAnsi="Arial" w:cs="Arial"/>
          <w:color w:val="000000" w:themeColor="text1"/>
        </w:rPr>
        <w:tab/>
      </w:r>
      <w:r w:rsidR="007357D2" w:rsidRPr="004F7156">
        <w:rPr>
          <w:rFonts w:ascii="Arial" w:hAnsi="Arial" w:cs="Arial"/>
          <w:color w:val="000000" w:themeColor="text1"/>
        </w:rPr>
        <w:t xml:space="preserve">This is an appeal against an order </w:t>
      </w:r>
      <w:r w:rsidR="00C96B6A" w:rsidRPr="004F7156">
        <w:rPr>
          <w:rFonts w:ascii="Arial" w:hAnsi="Arial" w:cs="Arial"/>
          <w:color w:val="000000" w:themeColor="text1"/>
        </w:rPr>
        <w:t xml:space="preserve">of the Western Cape Division of the High Court, Cape Town (the high court). The order </w:t>
      </w:r>
      <w:r w:rsidR="007357D2" w:rsidRPr="004F7156">
        <w:rPr>
          <w:rFonts w:ascii="Arial" w:hAnsi="Arial" w:cs="Arial"/>
          <w:color w:val="000000" w:themeColor="text1"/>
        </w:rPr>
        <w:t>direct</w:t>
      </w:r>
      <w:r w:rsidR="00C96B6A" w:rsidRPr="004F7156">
        <w:rPr>
          <w:rFonts w:ascii="Arial" w:hAnsi="Arial" w:cs="Arial"/>
          <w:color w:val="000000" w:themeColor="text1"/>
        </w:rPr>
        <w:t>ed</w:t>
      </w:r>
      <w:r w:rsidR="007357D2" w:rsidRPr="004F7156">
        <w:rPr>
          <w:rFonts w:ascii="Arial" w:hAnsi="Arial" w:cs="Arial"/>
          <w:color w:val="000000" w:themeColor="text1"/>
        </w:rPr>
        <w:t xml:space="preserve"> the appellants</w:t>
      </w:r>
      <w:r w:rsidR="0017338F" w:rsidRPr="004F7156">
        <w:rPr>
          <w:rFonts w:ascii="Arial" w:hAnsi="Arial" w:cs="Arial"/>
          <w:color w:val="000000" w:themeColor="text1"/>
        </w:rPr>
        <w:t>, Coral Lagoon Investments 194 (Pty) Ltd</w:t>
      </w:r>
      <w:r w:rsidR="007357D2" w:rsidRPr="004F7156">
        <w:rPr>
          <w:rFonts w:ascii="Arial" w:hAnsi="Arial" w:cs="Arial"/>
          <w:color w:val="000000" w:themeColor="text1"/>
        </w:rPr>
        <w:t xml:space="preserve"> (Coral</w:t>
      </w:r>
      <w:r w:rsidR="0017338F" w:rsidRPr="004F7156">
        <w:rPr>
          <w:rFonts w:ascii="Arial" w:hAnsi="Arial" w:cs="Arial"/>
          <w:color w:val="000000" w:themeColor="text1"/>
        </w:rPr>
        <w:t>)</w:t>
      </w:r>
      <w:r w:rsidR="007357D2" w:rsidRPr="004F7156">
        <w:rPr>
          <w:rFonts w:ascii="Arial" w:hAnsi="Arial" w:cs="Arial"/>
          <w:color w:val="000000" w:themeColor="text1"/>
        </w:rPr>
        <w:t xml:space="preserve"> and its holding company</w:t>
      </w:r>
      <w:r w:rsidR="0017338F" w:rsidRPr="004F7156">
        <w:rPr>
          <w:rFonts w:ascii="Arial" w:hAnsi="Arial" w:cs="Arial"/>
          <w:color w:val="000000" w:themeColor="text1"/>
        </w:rPr>
        <w:t>,</w:t>
      </w:r>
      <w:r w:rsidR="00C43D99" w:rsidRPr="004F7156">
        <w:rPr>
          <w:rFonts w:ascii="Arial" w:hAnsi="Arial" w:cs="Arial"/>
          <w:color w:val="000000" w:themeColor="text1"/>
        </w:rPr>
        <w:t xml:space="preserve"> Ash Brook Investments 15 (Pty) Ltd</w:t>
      </w:r>
      <w:r w:rsidR="007357D2" w:rsidRPr="004F7156">
        <w:rPr>
          <w:rFonts w:ascii="Arial" w:hAnsi="Arial" w:cs="Arial"/>
          <w:color w:val="000000" w:themeColor="text1"/>
        </w:rPr>
        <w:t xml:space="preserve"> </w:t>
      </w:r>
      <w:r w:rsidR="00C43D99" w:rsidRPr="004F7156">
        <w:rPr>
          <w:rFonts w:ascii="Arial" w:hAnsi="Arial" w:cs="Arial"/>
          <w:color w:val="000000" w:themeColor="text1"/>
        </w:rPr>
        <w:t>(</w:t>
      </w:r>
      <w:r w:rsidR="007357D2" w:rsidRPr="004F7156">
        <w:rPr>
          <w:rFonts w:ascii="Arial" w:hAnsi="Arial" w:cs="Arial"/>
          <w:color w:val="000000" w:themeColor="text1"/>
        </w:rPr>
        <w:t xml:space="preserve">Ash Brook) to withdraw an action for damages </w:t>
      </w:r>
      <w:r w:rsidR="004F7156">
        <w:rPr>
          <w:rFonts w:ascii="Arial" w:hAnsi="Arial" w:cs="Arial"/>
          <w:color w:val="000000" w:themeColor="text1"/>
        </w:rPr>
        <w:t xml:space="preserve">against the respondent, Capitec </w:t>
      </w:r>
      <w:r w:rsidR="007357D2" w:rsidRPr="004F7156">
        <w:rPr>
          <w:rFonts w:ascii="Arial" w:hAnsi="Arial" w:cs="Arial"/>
          <w:color w:val="000000" w:themeColor="text1"/>
        </w:rPr>
        <w:t xml:space="preserve">Bank Holdings Limited (Capitec) (the 2020 action). In doing so the </w:t>
      </w:r>
      <w:r w:rsidR="00C57B10" w:rsidRPr="004F7156">
        <w:rPr>
          <w:rFonts w:ascii="Arial" w:hAnsi="Arial" w:cs="Arial"/>
          <w:color w:val="000000" w:themeColor="text1"/>
        </w:rPr>
        <w:t>h</w:t>
      </w:r>
      <w:r w:rsidRPr="004F7156">
        <w:rPr>
          <w:rFonts w:ascii="Arial" w:hAnsi="Arial" w:cs="Arial"/>
          <w:color w:val="000000" w:themeColor="text1"/>
        </w:rPr>
        <w:t xml:space="preserve">igh </w:t>
      </w:r>
      <w:r w:rsidR="00C57B10" w:rsidRPr="004F7156">
        <w:rPr>
          <w:rFonts w:ascii="Arial" w:hAnsi="Arial" w:cs="Arial"/>
          <w:color w:val="000000" w:themeColor="text1"/>
        </w:rPr>
        <w:t>c</w:t>
      </w:r>
      <w:r w:rsidRPr="004F7156">
        <w:rPr>
          <w:rFonts w:ascii="Arial" w:hAnsi="Arial" w:cs="Arial"/>
          <w:color w:val="000000" w:themeColor="text1"/>
        </w:rPr>
        <w:t>ourt</w:t>
      </w:r>
      <w:r w:rsidR="00174122" w:rsidRPr="004F7156">
        <w:rPr>
          <w:rFonts w:ascii="Arial" w:hAnsi="Arial" w:cs="Arial"/>
          <w:color w:val="000000" w:themeColor="text1"/>
        </w:rPr>
        <w:t xml:space="preserve">, per Wille J, </w:t>
      </w:r>
      <w:r w:rsidR="007357D2" w:rsidRPr="004F7156">
        <w:rPr>
          <w:rFonts w:ascii="Arial" w:hAnsi="Arial" w:cs="Arial"/>
          <w:color w:val="000000" w:themeColor="text1"/>
        </w:rPr>
        <w:t>enforced a clause not to sue contained in a written ‘consent agreement’ co</w:t>
      </w:r>
      <w:r w:rsidR="002872CD" w:rsidRPr="004F7156">
        <w:rPr>
          <w:rFonts w:ascii="Arial" w:hAnsi="Arial" w:cs="Arial"/>
          <w:color w:val="000000" w:themeColor="text1"/>
        </w:rPr>
        <w:t>ncluded between Capitec and the appellants</w:t>
      </w:r>
      <w:r w:rsidR="007357D2" w:rsidRPr="004F7156">
        <w:rPr>
          <w:rFonts w:ascii="Arial" w:hAnsi="Arial" w:cs="Arial"/>
          <w:color w:val="000000" w:themeColor="text1"/>
        </w:rPr>
        <w:t>.</w:t>
      </w:r>
      <w:r w:rsidR="00E94EA9" w:rsidRPr="004F7156">
        <w:rPr>
          <w:rStyle w:val="FootnoteReference"/>
          <w:rFonts w:ascii="Arial" w:hAnsi="Arial" w:cs="Arial"/>
          <w:color w:val="000000" w:themeColor="text1"/>
        </w:rPr>
        <w:footnoteReference w:id="1"/>
      </w:r>
      <w:r w:rsidR="007357D2" w:rsidRPr="004F7156">
        <w:rPr>
          <w:rFonts w:ascii="Arial" w:hAnsi="Arial" w:cs="Arial"/>
          <w:color w:val="000000" w:themeColor="text1"/>
        </w:rPr>
        <w:t xml:space="preserve"> </w:t>
      </w:r>
      <w:r w:rsidR="00872F68" w:rsidRPr="004F7156">
        <w:rPr>
          <w:rFonts w:ascii="Arial" w:hAnsi="Arial" w:cs="Arial"/>
          <w:color w:val="000000" w:themeColor="text1"/>
        </w:rPr>
        <w:t xml:space="preserve">Such a clause is known as a </w:t>
      </w:r>
      <w:r w:rsidR="00872F68" w:rsidRPr="004F7156">
        <w:rPr>
          <w:rFonts w:ascii="Arial" w:hAnsi="Arial" w:cs="Arial"/>
          <w:i/>
          <w:color w:val="000000" w:themeColor="text1"/>
        </w:rPr>
        <w:t>pactum de non petendo</w:t>
      </w:r>
      <w:r w:rsidR="00872F68" w:rsidRPr="004F7156">
        <w:rPr>
          <w:rFonts w:ascii="Arial" w:hAnsi="Arial" w:cs="Arial"/>
          <w:color w:val="000000" w:themeColor="text1"/>
        </w:rPr>
        <w:t xml:space="preserve"> (the </w:t>
      </w:r>
      <w:r w:rsidR="00872F68" w:rsidRPr="004F7156">
        <w:rPr>
          <w:rFonts w:ascii="Arial" w:hAnsi="Arial" w:cs="Arial"/>
          <w:i/>
          <w:color w:val="000000" w:themeColor="text1"/>
        </w:rPr>
        <w:t>pactum</w:t>
      </w:r>
      <w:r w:rsidR="00872F68" w:rsidRPr="004F7156">
        <w:rPr>
          <w:rFonts w:ascii="Arial" w:hAnsi="Arial" w:cs="Arial"/>
          <w:color w:val="000000" w:themeColor="text1"/>
        </w:rPr>
        <w:t xml:space="preserve">). </w:t>
      </w:r>
      <w:r w:rsidR="007357D2" w:rsidRPr="004F7156">
        <w:rPr>
          <w:rFonts w:ascii="Arial" w:hAnsi="Arial" w:cs="Arial"/>
          <w:color w:val="000000" w:themeColor="text1"/>
        </w:rPr>
        <w:t>The high court</w:t>
      </w:r>
      <w:r w:rsidR="00174122" w:rsidRPr="004F7156">
        <w:rPr>
          <w:rFonts w:ascii="Arial" w:hAnsi="Arial" w:cs="Arial"/>
          <w:color w:val="000000" w:themeColor="text1"/>
        </w:rPr>
        <w:t xml:space="preserve"> </w:t>
      </w:r>
      <w:r w:rsidR="007357D2" w:rsidRPr="004F7156">
        <w:rPr>
          <w:rFonts w:ascii="Arial" w:hAnsi="Arial" w:cs="Arial"/>
          <w:color w:val="000000" w:themeColor="text1"/>
        </w:rPr>
        <w:t xml:space="preserve">found that the </w:t>
      </w:r>
      <w:r w:rsidR="002872CD" w:rsidRPr="004F7156">
        <w:rPr>
          <w:rFonts w:ascii="Arial" w:hAnsi="Arial" w:cs="Arial"/>
          <w:color w:val="000000" w:themeColor="text1"/>
        </w:rPr>
        <w:t>appellants</w:t>
      </w:r>
      <w:r w:rsidR="007357D2" w:rsidRPr="004F7156">
        <w:rPr>
          <w:rFonts w:ascii="Arial" w:hAnsi="Arial" w:cs="Arial"/>
          <w:color w:val="000000" w:themeColor="text1"/>
        </w:rPr>
        <w:t xml:space="preserve"> had breached the </w:t>
      </w:r>
      <w:r w:rsidR="001021C2" w:rsidRPr="004F7156">
        <w:rPr>
          <w:rFonts w:ascii="Arial" w:hAnsi="Arial" w:cs="Arial"/>
          <w:i/>
          <w:color w:val="000000" w:themeColor="text1"/>
        </w:rPr>
        <w:t>pactum</w:t>
      </w:r>
      <w:r w:rsidR="007357D2" w:rsidRPr="004F7156">
        <w:rPr>
          <w:rFonts w:ascii="Arial" w:hAnsi="Arial" w:cs="Arial"/>
          <w:color w:val="000000" w:themeColor="text1"/>
        </w:rPr>
        <w:t xml:space="preserve"> by instituting the 2020 action</w:t>
      </w:r>
      <w:r w:rsidR="009C2ECE" w:rsidRPr="004F7156">
        <w:rPr>
          <w:rFonts w:ascii="Arial" w:hAnsi="Arial" w:cs="Arial"/>
          <w:color w:val="000000" w:themeColor="text1"/>
        </w:rPr>
        <w:t xml:space="preserve"> against Capitec</w:t>
      </w:r>
      <w:r w:rsidR="007357D2" w:rsidRPr="004F7156">
        <w:rPr>
          <w:rFonts w:ascii="Arial" w:hAnsi="Arial" w:cs="Arial"/>
          <w:color w:val="000000" w:themeColor="text1"/>
        </w:rPr>
        <w:t xml:space="preserve">. It further found that Capitec was entitled to specific performance of the consent agreement and </w:t>
      </w:r>
      <w:r w:rsidR="009845BE" w:rsidRPr="004F7156">
        <w:rPr>
          <w:rFonts w:ascii="Arial" w:hAnsi="Arial" w:cs="Arial"/>
          <w:color w:val="000000" w:themeColor="text1"/>
        </w:rPr>
        <w:t xml:space="preserve">that </w:t>
      </w:r>
      <w:r w:rsidR="007357D2" w:rsidRPr="004F7156">
        <w:rPr>
          <w:rFonts w:ascii="Arial" w:hAnsi="Arial" w:cs="Arial"/>
          <w:color w:val="000000" w:themeColor="text1"/>
        </w:rPr>
        <w:t xml:space="preserve">the use of motion proceedings was permissible. </w:t>
      </w:r>
      <w:r w:rsidR="007263C1" w:rsidRPr="004F7156">
        <w:rPr>
          <w:rFonts w:ascii="Arial" w:hAnsi="Arial" w:cs="Arial"/>
          <w:color w:val="000000" w:themeColor="text1"/>
        </w:rPr>
        <w:t xml:space="preserve">It </w:t>
      </w:r>
      <w:r w:rsidR="009D43AB" w:rsidRPr="004F7156">
        <w:rPr>
          <w:rFonts w:ascii="Arial" w:hAnsi="Arial" w:cs="Arial"/>
          <w:color w:val="000000" w:themeColor="text1"/>
        </w:rPr>
        <w:t xml:space="preserve">also dismissed </w:t>
      </w:r>
      <w:r w:rsidR="002872CD" w:rsidRPr="004F7156">
        <w:rPr>
          <w:rFonts w:ascii="Arial" w:hAnsi="Arial" w:cs="Arial"/>
          <w:color w:val="000000" w:themeColor="text1"/>
        </w:rPr>
        <w:t>the appellants’</w:t>
      </w:r>
      <w:r w:rsidR="007263C1" w:rsidRPr="004F7156">
        <w:rPr>
          <w:rFonts w:ascii="Arial" w:hAnsi="Arial" w:cs="Arial"/>
          <w:color w:val="000000" w:themeColor="text1"/>
        </w:rPr>
        <w:t xml:space="preserve"> counter application </w:t>
      </w:r>
      <w:r w:rsidR="001021C2" w:rsidRPr="004F7156">
        <w:rPr>
          <w:rFonts w:ascii="Arial" w:hAnsi="Arial" w:cs="Arial"/>
          <w:color w:val="000000" w:themeColor="text1"/>
        </w:rPr>
        <w:t xml:space="preserve">contending </w:t>
      </w:r>
      <w:r w:rsidR="007263C1" w:rsidRPr="004F7156">
        <w:rPr>
          <w:rFonts w:ascii="Arial" w:hAnsi="Arial" w:cs="Arial"/>
          <w:color w:val="000000" w:themeColor="text1"/>
        </w:rPr>
        <w:t xml:space="preserve">that the </w:t>
      </w:r>
      <w:r w:rsidR="00872F68" w:rsidRPr="004F7156">
        <w:rPr>
          <w:rFonts w:ascii="Arial" w:hAnsi="Arial" w:cs="Arial"/>
          <w:i/>
          <w:color w:val="000000" w:themeColor="text1"/>
        </w:rPr>
        <w:t>pactum</w:t>
      </w:r>
      <w:r w:rsidR="00872F68" w:rsidRPr="004F7156">
        <w:rPr>
          <w:rFonts w:ascii="Arial" w:hAnsi="Arial" w:cs="Arial"/>
          <w:color w:val="000000" w:themeColor="text1"/>
        </w:rPr>
        <w:t xml:space="preserve"> </w:t>
      </w:r>
      <w:r w:rsidR="007263C1" w:rsidRPr="004F7156">
        <w:rPr>
          <w:rFonts w:ascii="Arial" w:hAnsi="Arial" w:cs="Arial"/>
          <w:color w:val="000000" w:themeColor="text1"/>
        </w:rPr>
        <w:t xml:space="preserve">is contrary to public policy. </w:t>
      </w:r>
      <w:r w:rsidR="007357D2" w:rsidRPr="004F7156">
        <w:rPr>
          <w:rFonts w:ascii="Arial" w:hAnsi="Arial" w:cs="Arial"/>
          <w:color w:val="000000" w:themeColor="text1"/>
        </w:rPr>
        <w:t xml:space="preserve">The appeal is with leave of the high court. </w:t>
      </w:r>
    </w:p>
    <w:p w14:paraId="3131957D" w14:textId="77777777" w:rsidR="007357D2" w:rsidRPr="004F7156" w:rsidRDefault="007357D2" w:rsidP="00D9395A">
      <w:pPr>
        <w:spacing w:line="360" w:lineRule="auto"/>
        <w:jc w:val="both"/>
        <w:rPr>
          <w:rFonts w:ascii="Arial" w:hAnsi="Arial" w:cs="Arial"/>
          <w:color w:val="000000" w:themeColor="text1"/>
        </w:rPr>
      </w:pPr>
    </w:p>
    <w:p w14:paraId="0AC07A7B" w14:textId="0C644AB7" w:rsidR="007357D2" w:rsidRPr="004F7156" w:rsidRDefault="00D9395A" w:rsidP="00D9395A">
      <w:pPr>
        <w:spacing w:line="360" w:lineRule="auto"/>
        <w:jc w:val="both"/>
        <w:rPr>
          <w:rFonts w:ascii="Arial" w:hAnsi="Arial" w:cs="Arial"/>
          <w:color w:val="000000" w:themeColor="text1"/>
        </w:rPr>
      </w:pPr>
      <w:r w:rsidRPr="004F7156">
        <w:rPr>
          <w:rFonts w:ascii="Arial" w:hAnsi="Arial" w:cs="Arial"/>
          <w:color w:val="000000" w:themeColor="text1"/>
        </w:rPr>
        <w:lastRenderedPageBreak/>
        <w:t>[2]</w:t>
      </w:r>
      <w:r w:rsidRPr="004F7156">
        <w:rPr>
          <w:rFonts w:ascii="Arial" w:hAnsi="Arial" w:cs="Arial"/>
          <w:color w:val="000000" w:themeColor="text1"/>
        </w:rPr>
        <w:tab/>
      </w:r>
      <w:r w:rsidR="007357D2" w:rsidRPr="004F7156">
        <w:rPr>
          <w:rFonts w:ascii="Arial" w:hAnsi="Arial" w:cs="Arial"/>
          <w:color w:val="000000" w:themeColor="text1"/>
        </w:rPr>
        <w:t xml:space="preserve">Two main issues arise </w:t>
      </w:r>
      <w:r w:rsidR="00725DBC" w:rsidRPr="004F7156">
        <w:rPr>
          <w:rFonts w:ascii="Arial" w:hAnsi="Arial" w:cs="Arial"/>
          <w:color w:val="000000" w:themeColor="text1"/>
        </w:rPr>
        <w:t xml:space="preserve">for determination </w:t>
      </w:r>
      <w:r w:rsidR="007357D2" w:rsidRPr="004F7156">
        <w:rPr>
          <w:rFonts w:ascii="Arial" w:hAnsi="Arial" w:cs="Arial"/>
          <w:color w:val="000000" w:themeColor="text1"/>
        </w:rPr>
        <w:t xml:space="preserve">in this appeal. Firstly, the interpretation of the consent agreement and, secondly, whether </w:t>
      </w:r>
      <w:r w:rsidR="00AF4737" w:rsidRPr="004F7156">
        <w:rPr>
          <w:rFonts w:ascii="Arial" w:hAnsi="Arial" w:cs="Arial"/>
          <w:color w:val="000000" w:themeColor="text1"/>
        </w:rPr>
        <w:t xml:space="preserve">the </w:t>
      </w:r>
      <w:r w:rsidR="00AF4737" w:rsidRPr="004F7156">
        <w:rPr>
          <w:rFonts w:ascii="Arial" w:hAnsi="Arial" w:cs="Arial"/>
          <w:i/>
          <w:color w:val="000000" w:themeColor="text1"/>
        </w:rPr>
        <w:t>pactum</w:t>
      </w:r>
      <w:r w:rsidR="00E533A7" w:rsidRPr="004F7156">
        <w:rPr>
          <w:rFonts w:ascii="Arial" w:hAnsi="Arial" w:cs="Arial"/>
          <w:iCs/>
          <w:color w:val="000000" w:themeColor="text1"/>
        </w:rPr>
        <w:t>, which was</w:t>
      </w:r>
      <w:r w:rsidR="00E533A7" w:rsidRPr="004F7156">
        <w:rPr>
          <w:rFonts w:ascii="Arial" w:hAnsi="Arial" w:cs="Arial"/>
          <w:i/>
          <w:color w:val="000000" w:themeColor="text1"/>
        </w:rPr>
        <w:t xml:space="preserve"> </w:t>
      </w:r>
      <w:r w:rsidR="007357D2" w:rsidRPr="004F7156">
        <w:rPr>
          <w:rFonts w:ascii="Arial" w:hAnsi="Arial" w:cs="Arial"/>
          <w:color w:val="000000" w:themeColor="text1"/>
        </w:rPr>
        <w:t xml:space="preserve">a permanent </w:t>
      </w:r>
      <w:r w:rsidR="00E533A7" w:rsidRPr="004F7156">
        <w:rPr>
          <w:rFonts w:ascii="Arial" w:hAnsi="Arial" w:cs="Arial"/>
          <w:color w:val="000000" w:themeColor="text1"/>
        </w:rPr>
        <w:t>one,</w:t>
      </w:r>
      <w:r w:rsidR="007357D2" w:rsidRPr="004F7156">
        <w:rPr>
          <w:rFonts w:ascii="Arial" w:hAnsi="Arial" w:cs="Arial"/>
          <w:i/>
          <w:color w:val="000000" w:themeColor="text1"/>
        </w:rPr>
        <w:t xml:space="preserve"> </w:t>
      </w:r>
      <w:r w:rsidR="00E533A7" w:rsidRPr="004F7156">
        <w:rPr>
          <w:rFonts w:ascii="Arial" w:hAnsi="Arial" w:cs="Arial"/>
          <w:color w:val="000000" w:themeColor="text1"/>
        </w:rPr>
        <w:t>was</w:t>
      </w:r>
      <w:r w:rsidR="007357D2" w:rsidRPr="004F7156">
        <w:rPr>
          <w:rFonts w:ascii="Arial" w:hAnsi="Arial" w:cs="Arial"/>
          <w:color w:val="000000" w:themeColor="text1"/>
        </w:rPr>
        <w:t xml:space="preserve"> contrary to public policy.</w:t>
      </w:r>
    </w:p>
    <w:p w14:paraId="15277CC7" w14:textId="77777777" w:rsidR="007357D2" w:rsidRPr="004F7156" w:rsidRDefault="007357D2" w:rsidP="00D9395A">
      <w:pPr>
        <w:spacing w:line="360" w:lineRule="auto"/>
        <w:jc w:val="both"/>
        <w:rPr>
          <w:rFonts w:ascii="Arial" w:hAnsi="Arial" w:cs="Arial"/>
          <w:b/>
          <w:color w:val="000000" w:themeColor="text1"/>
        </w:rPr>
      </w:pPr>
    </w:p>
    <w:p w14:paraId="26EAABB2" w14:textId="77777777" w:rsidR="007357D2" w:rsidRPr="004F7156" w:rsidRDefault="007357D2" w:rsidP="007357D2">
      <w:pPr>
        <w:spacing w:line="360" w:lineRule="auto"/>
        <w:jc w:val="both"/>
        <w:rPr>
          <w:rFonts w:ascii="Arial" w:hAnsi="Arial" w:cs="Arial"/>
          <w:b/>
          <w:color w:val="000000" w:themeColor="text1"/>
        </w:rPr>
      </w:pPr>
      <w:r w:rsidRPr="004F7156">
        <w:rPr>
          <w:rFonts w:ascii="Arial" w:hAnsi="Arial" w:cs="Arial"/>
          <w:b/>
          <w:color w:val="000000" w:themeColor="text1"/>
        </w:rPr>
        <w:t>Background</w:t>
      </w:r>
    </w:p>
    <w:p w14:paraId="13C9977F" w14:textId="4A1A708A" w:rsidR="007357D2" w:rsidRPr="004F7156" w:rsidRDefault="00D9395A" w:rsidP="00D9395A">
      <w:pPr>
        <w:spacing w:line="360" w:lineRule="auto"/>
        <w:jc w:val="both"/>
        <w:rPr>
          <w:rFonts w:ascii="Arial" w:hAnsi="Arial" w:cs="Arial"/>
          <w:color w:val="000000" w:themeColor="text1"/>
        </w:rPr>
      </w:pPr>
      <w:r w:rsidRPr="004F7156">
        <w:rPr>
          <w:rFonts w:ascii="Arial" w:hAnsi="Arial" w:cs="Arial"/>
          <w:color w:val="000000" w:themeColor="text1"/>
        </w:rPr>
        <w:t>[3]</w:t>
      </w:r>
      <w:r w:rsidRPr="004F7156">
        <w:rPr>
          <w:rFonts w:ascii="Arial" w:hAnsi="Arial" w:cs="Arial"/>
          <w:color w:val="000000" w:themeColor="text1"/>
        </w:rPr>
        <w:tab/>
      </w:r>
      <w:r w:rsidR="007357D2" w:rsidRPr="004F7156">
        <w:rPr>
          <w:rFonts w:ascii="Arial" w:hAnsi="Arial" w:cs="Arial"/>
          <w:color w:val="000000" w:themeColor="text1"/>
        </w:rPr>
        <w:t>Coral is wholly owned by Ash Brook, a broad based black economic empowerment consortium comprising</w:t>
      </w:r>
      <w:r w:rsidR="00FD6903">
        <w:rPr>
          <w:rFonts w:ascii="Arial" w:hAnsi="Arial" w:cs="Arial"/>
          <w:color w:val="000000" w:themeColor="text1"/>
        </w:rPr>
        <w:t xml:space="preserve"> 13 black shareholders</w:t>
      </w:r>
      <w:r w:rsidR="007357D2" w:rsidRPr="004F7156">
        <w:rPr>
          <w:rFonts w:ascii="Arial" w:hAnsi="Arial" w:cs="Arial"/>
          <w:color w:val="000000" w:themeColor="text1"/>
        </w:rPr>
        <w:t xml:space="preserve"> in different formations.</w:t>
      </w:r>
      <w:r w:rsidR="007357D2" w:rsidRPr="004F7156">
        <w:rPr>
          <w:rFonts w:ascii="Arial" w:hAnsi="Arial" w:cs="Arial"/>
          <w:color w:val="000000" w:themeColor="text1"/>
          <w:lang w:eastAsia="en-ZA"/>
        </w:rPr>
        <w:t xml:space="preserve"> In 2006 Capitec, Coral, Ash Brook, the shareholders of Ash Brook (all of which are black persons and black-owned entities) and the</w:t>
      </w:r>
      <w:r w:rsidR="007357D2" w:rsidRPr="004F7156">
        <w:rPr>
          <w:rFonts w:ascii="Arial" w:hAnsi="Arial" w:cs="Arial"/>
          <w:color w:val="000000" w:themeColor="text1"/>
        </w:rPr>
        <w:t xml:space="preserve"> Indus</w:t>
      </w:r>
      <w:r w:rsidR="0009485D" w:rsidRPr="004F7156">
        <w:rPr>
          <w:rFonts w:ascii="Arial" w:hAnsi="Arial" w:cs="Arial"/>
          <w:color w:val="000000" w:themeColor="text1"/>
        </w:rPr>
        <w:t>trial Development Corporation (</w:t>
      </w:r>
      <w:r w:rsidR="007357D2" w:rsidRPr="004F7156">
        <w:rPr>
          <w:rFonts w:ascii="Arial" w:hAnsi="Arial" w:cs="Arial"/>
          <w:color w:val="000000" w:themeColor="text1"/>
          <w:lang w:eastAsia="en-ZA"/>
        </w:rPr>
        <w:t xml:space="preserve">IDC) concluded a linked set of </w:t>
      </w:r>
      <w:r w:rsidR="008415D6" w:rsidRPr="004F7156">
        <w:rPr>
          <w:rFonts w:ascii="Arial" w:hAnsi="Arial" w:cs="Arial"/>
          <w:color w:val="000000" w:themeColor="text1"/>
          <w:lang w:eastAsia="en-ZA"/>
        </w:rPr>
        <w:t>written</w:t>
      </w:r>
      <w:r w:rsidR="007357D2" w:rsidRPr="004F7156">
        <w:rPr>
          <w:rFonts w:ascii="Arial" w:hAnsi="Arial" w:cs="Arial"/>
          <w:color w:val="000000" w:themeColor="text1"/>
          <w:lang w:eastAsia="en-ZA"/>
        </w:rPr>
        <w:t xml:space="preserve"> agreements. Part of the set of agreements was a subscription of shares and shareholders agreement (the subscription agreement), concluded between Capitec and </w:t>
      </w:r>
      <w:r w:rsidR="002872CD" w:rsidRPr="004F7156">
        <w:rPr>
          <w:rFonts w:ascii="Arial" w:hAnsi="Arial" w:cs="Arial"/>
          <w:color w:val="000000" w:themeColor="text1"/>
          <w:lang w:eastAsia="en-ZA"/>
        </w:rPr>
        <w:t>the appellants</w:t>
      </w:r>
      <w:r w:rsidR="0072495C" w:rsidRPr="004F7156">
        <w:rPr>
          <w:rFonts w:ascii="Arial" w:hAnsi="Arial" w:cs="Arial"/>
          <w:color w:val="000000" w:themeColor="text1"/>
          <w:lang w:eastAsia="en-ZA"/>
        </w:rPr>
        <w:t xml:space="preserve"> </w:t>
      </w:r>
      <w:r w:rsidR="007357D2" w:rsidRPr="004F7156">
        <w:rPr>
          <w:rFonts w:ascii="Arial" w:hAnsi="Arial" w:cs="Arial"/>
          <w:color w:val="000000" w:themeColor="text1"/>
          <w:lang w:eastAsia="en-ZA"/>
        </w:rPr>
        <w:t xml:space="preserve">on </w:t>
      </w:r>
      <w:r w:rsidR="007357D2" w:rsidRPr="004F7156">
        <w:rPr>
          <w:rFonts w:ascii="Arial" w:hAnsi="Arial" w:cs="Arial"/>
          <w:color w:val="000000" w:themeColor="text1"/>
        </w:rPr>
        <w:t xml:space="preserve">12 December 2006. The purpose of the </w:t>
      </w:r>
      <w:r w:rsidR="00E46B30" w:rsidRPr="004F7156">
        <w:rPr>
          <w:rFonts w:ascii="Arial" w:hAnsi="Arial" w:cs="Arial"/>
          <w:color w:val="000000" w:themeColor="text1"/>
        </w:rPr>
        <w:t xml:space="preserve">subscription </w:t>
      </w:r>
      <w:r w:rsidR="007357D2" w:rsidRPr="004F7156">
        <w:rPr>
          <w:rFonts w:ascii="Arial" w:hAnsi="Arial" w:cs="Arial"/>
          <w:color w:val="000000" w:themeColor="text1"/>
        </w:rPr>
        <w:t>agreement was to facilitate and promote the achievement of the transformational objectives set out in the Broad</w:t>
      </w:r>
      <w:r w:rsidR="00E46B30" w:rsidRPr="004F7156">
        <w:rPr>
          <w:rFonts w:ascii="Arial" w:hAnsi="Arial" w:cs="Arial"/>
          <w:color w:val="000000" w:themeColor="text1"/>
        </w:rPr>
        <w:t>-</w:t>
      </w:r>
      <w:r w:rsidR="007357D2" w:rsidRPr="004F7156">
        <w:rPr>
          <w:rFonts w:ascii="Arial" w:hAnsi="Arial" w:cs="Arial"/>
          <w:color w:val="000000" w:themeColor="text1"/>
        </w:rPr>
        <w:t>Based Black Economic Empowerment Act 53 of 2003 (B</w:t>
      </w:r>
      <w:r w:rsidR="00872F68" w:rsidRPr="004F7156">
        <w:rPr>
          <w:rFonts w:ascii="Arial" w:hAnsi="Arial" w:cs="Arial"/>
          <w:color w:val="000000" w:themeColor="text1"/>
        </w:rPr>
        <w:t>-BB</w:t>
      </w:r>
      <w:r w:rsidR="007357D2" w:rsidRPr="004F7156">
        <w:rPr>
          <w:rFonts w:ascii="Arial" w:hAnsi="Arial" w:cs="Arial"/>
          <w:color w:val="000000" w:themeColor="text1"/>
        </w:rPr>
        <w:t>EE Act), the Financial Sector Charter</w:t>
      </w:r>
      <w:r w:rsidR="008415D6" w:rsidRPr="004F7156">
        <w:rPr>
          <w:rStyle w:val="FootnoteReference"/>
          <w:rFonts w:ascii="Arial" w:hAnsi="Arial" w:cs="Arial"/>
          <w:color w:val="000000" w:themeColor="text1"/>
        </w:rPr>
        <w:footnoteReference w:id="2"/>
      </w:r>
      <w:r w:rsidR="004638E8" w:rsidRPr="004F7156">
        <w:rPr>
          <w:rFonts w:ascii="Arial" w:hAnsi="Arial" w:cs="Arial"/>
          <w:color w:val="000000" w:themeColor="text1"/>
        </w:rPr>
        <w:t xml:space="preserve"> </w:t>
      </w:r>
      <w:r w:rsidR="007357D2" w:rsidRPr="004F7156">
        <w:rPr>
          <w:rFonts w:ascii="Arial" w:hAnsi="Arial" w:cs="Arial"/>
          <w:color w:val="000000" w:themeColor="text1"/>
        </w:rPr>
        <w:t>(FSC) and the Codes of Good Practice</w:t>
      </w:r>
      <w:r w:rsidR="004831B7" w:rsidRPr="004F7156">
        <w:rPr>
          <w:rFonts w:ascii="Arial" w:hAnsi="Arial" w:cs="Arial"/>
          <w:bCs/>
          <w:color w:val="000000" w:themeColor="text1"/>
        </w:rPr>
        <w:t xml:space="preserve"> on Black Economic Empowerment</w:t>
      </w:r>
      <w:r w:rsidR="004831B7" w:rsidRPr="004F7156">
        <w:rPr>
          <w:rStyle w:val="FootnoteReference"/>
          <w:rFonts w:ascii="Arial" w:hAnsi="Arial" w:cs="Arial"/>
          <w:bCs/>
          <w:color w:val="000000" w:themeColor="text1"/>
        </w:rPr>
        <w:footnoteReference w:id="3"/>
      </w:r>
      <w:r w:rsidR="007357D2" w:rsidRPr="004F7156">
        <w:rPr>
          <w:rFonts w:ascii="Arial" w:hAnsi="Arial" w:cs="Arial"/>
          <w:color w:val="000000" w:themeColor="text1"/>
        </w:rPr>
        <w:t xml:space="preserve"> (the </w:t>
      </w:r>
      <w:r w:rsidR="00A253FE" w:rsidRPr="004F7156">
        <w:rPr>
          <w:rFonts w:ascii="Arial" w:hAnsi="Arial" w:cs="Arial"/>
          <w:color w:val="000000" w:themeColor="text1"/>
        </w:rPr>
        <w:t>transformation practises</w:t>
      </w:r>
      <w:r w:rsidR="007357D2" w:rsidRPr="004F7156">
        <w:rPr>
          <w:rFonts w:ascii="Arial" w:hAnsi="Arial" w:cs="Arial"/>
          <w:color w:val="000000" w:themeColor="text1"/>
        </w:rPr>
        <w:t>). As a result, Capitec allotted and issued, and Coral subscribed for ten million ordinary shares in Capitec at R30 per share for a total subscription price of R300 million (the CPI shares). The CPI shares were equivalent to a 12</w:t>
      </w:r>
      <w:r w:rsidRPr="004F7156">
        <w:rPr>
          <w:rFonts w:ascii="Arial" w:hAnsi="Arial" w:cs="Arial"/>
          <w:color w:val="000000" w:themeColor="text1"/>
        </w:rPr>
        <w:t>,21</w:t>
      </w:r>
      <w:r w:rsidR="00016F89">
        <w:rPr>
          <w:rFonts w:ascii="Arial" w:hAnsi="Arial" w:cs="Arial"/>
          <w:color w:val="000000" w:themeColor="text1"/>
        </w:rPr>
        <w:t xml:space="preserve"> per cent</w:t>
      </w:r>
      <w:r w:rsidR="007357D2" w:rsidRPr="004F7156">
        <w:rPr>
          <w:rFonts w:ascii="Arial" w:hAnsi="Arial" w:cs="Arial"/>
          <w:color w:val="000000" w:themeColor="text1"/>
        </w:rPr>
        <w:t xml:space="preserve"> stake in Capitec. The black shareholders leveraged finance of R285 million to fund the acquisition using a third party, the IDC. </w:t>
      </w:r>
    </w:p>
    <w:p w14:paraId="5640A3F7" w14:textId="77777777" w:rsidR="007357D2" w:rsidRPr="004F7156" w:rsidRDefault="007357D2" w:rsidP="00D9395A">
      <w:pPr>
        <w:spacing w:line="360" w:lineRule="auto"/>
        <w:jc w:val="both"/>
        <w:rPr>
          <w:rFonts w:ascii="Arial" w:hAnsi="Arial" w:cs="Arial"/>
          <w:color w:val="000000" w:themeColor="text1"/>
        </w:rPr>
      </w:pPr>
    </w:p>
    <w:p w14:paraId="37C58FB8" w14:textId="4E9C2C1D" w:rsidR="007357D2" w:rsidRPr="004F7156" w:rsidRDefault="007357D2" w:rsidP="00D9395A">
      <w:pPr>
        <w:spacing w:line="360" w:lineRule="auto"/>
        <w:jc w:val="both"/>
        <w:rPr>
          <w:rFonts w:ascii="Arial" w:hAnsi="Arial" w:cs="Arial"/>
          <w:color w:val="000000" w:themeColor="text1"/>
          <w:lang w:eastAsia="en-ZA"/>
        </w:rPr>
      </w:pPr>
      <w:r w:rsidRPr="004F7156">
        <w:rPr>
          <w:rFonts w:ascii="Arial" w:hAnsi="Arial" w:cs="Arial"/>
          <w:color w:val="000000" w:themeColor="text1"/>
        </w:rPr>
        <w:t>[4]</w:t>
      </w:r>
      <w:r w:rsidR="00D9395A" w:rsidRPr="004F7156">
        <w:rPr>
          <w:rFonts w:ascii="Arial" w:hAnsi="Arial" w:cs="Arial"/>
          <w:color w:val="000000" w:themeColor="text1"/>
        </w:rPr>
        <w:tab/>
      </w:r>
      <w:r w:rsidRPr="004F7156">
        <w:rPr>
          <w:rFonts w:ascii="Arial" w:hAnsi="Arial" w:cs="Arial"/>
          <w:color w:val="000000" w:themeColor="text1"/>
        </w:rPr>
        <w:t xml:space="preserve">An important element of the subscription agreement are three sets of selling restrictions, aimed at keeping the </w:t>
      </w:r>
      <w:r w:rsidR="009D654C">
        <w:rPr>
          <w:rFonts w:ascii="Arial" w:hAnsi="Arial" w:cs="Arial"/>
          <w:color w:val="000000" w:themeColor="text1"/>
        </w:rPr>
        <w:t>CPI</w:t>
      </w:r>
      <w:r w:rsidRPr="004F7156">
        <w:rPr>
          <w:rFonts w:ascii="Arial" w:hAnsi="Arial" w:cs="Arial"/>
          <w:color w:val="000000" w:themeColor="text1"/>
        </w:rPr>
        <w:t xml:space="preserve"> shares in black</w:t>
      </w:r>
      <w:r w:rsidR="006F4B26" w:rsidRPr="004F7156">
        <w:rPr>
          <w:rFonts w:ascii="Arial" w:hAnsi="Arial" w:cs="Arial"/>
          <w:color w:val="000000" w:themeColor="text1"/>
        </w:rPr>
        <w:t xml:space="preserve"> shareholders’</w:t>
      </w:r>
      <w:r w:rsidRPr="004F7156">
        <w:rPr>
          <w:rFonts w:ascii="Arial" w:hAnsi="Arial" w:cs="Arial"/>
          <w:color w:val="000000" w:themeColor="text1"/>
        </w:rPr>
        <w:t xml:space="preserve"> hands. One of these selling restrictions is clause 8.3 of the subscription</w:t>
      </w:r>
      <w:r w:rsidR="0009485D" w:rsidRPr="004F7156">
        <w:rPr>
          <w:rFonts w:ascii="Arial" w:hAnsi="Arial" w:cs="Arial"/>
          <w:color w:val="000000" w:themeColor="text1"/>
        </w:rPr>
        <w:t xml:space="preserve"> agreement. This clause provides</w:t>
      </w:r>
      <w:r w:rsidRPr="004F7156">
        <w:rPr>
          <w:rFonts w:ascii="Arial" w:hAnsi="Arial" w:cs="Arial"/>
          <w:color w:val="000000" w:themeColor="text1"/>
        </w:rPr>
        <w:t xml:space="preserve"> that, </w:t>
      </w:r>
      <w:r w:rsidRPr="004F7156">
        <w:rPr>
          <w:rFonts w:ascii="Arial" w:hAnsi="Arial" w:cs="Arial"/>
          <w:color w:val="000000" w:themeColor="text1"/>
          <w:lang w:eastAsia="en-ZA"/>
        </w:rPr>
        <w:t xml:space="preserve">should Coral in any manner endeavour to dispose </w:t>
      </w:r>
      <w:r w:rsidR="007263C1" w:rsidRPr="004F7156">
        <w:rPr>
          <w:rFonts w:ascii="Arial" w:hAnsi="Arial" w:cs="Arial"/>
          <w:color w:val="000000" w:themeColor="text1"/>
          <w:lang w:eastAsia="en-ZA"/>
        </w:rPr>
        <w:t xml:space="preserve">of </w:t>
      </w:r>
      <w:r w:rsidRPr="004F7156">
        <w:rPr>
          <w:rFonts w:ascii="Arial" w:hAnsi="Arial" w:cs="Arial"/>
          <w:color w:val="000000" w:themeColor="text1"/>
          <w:lang w:eastAsia="en-ZA"/>
        </w:rPr>
        <w:t xml:space="preserve">any of the CPI </w:t>
      </w:r>
      <w:r w:rsidRPr="004F7156">
        <w:rPr>
          <w:rFonts w:ascii="Arial" w:hAnsi="Arial" w:cs="Arial"/>
          <w:color w:val="000000" w:themeColor="text1"/>
          <w:lang w:eastAsia="en-ZA"/>
        </w:rPr>
        <w:lastRenderedPageBreak/>
        <w:t xml:space="preserve">shares to any entity or person who, in Capitec’s opinion, does not comply with the </w:t>
      </w:r>
      <w:r w:rsidR="00AD306F" w:rsidRPr="004F7156">
        <w:rPr>
          <w:rFonts w:ascii="Arial" w:hAnsi="Arial" w:cs="Arial"/>
          <w:color w:val="000000" w:themeColor="text1"/>
          <w:lang w:eastAsia="en-ZA"/>
        </w:rPr>
        <w:t>B</w:t>
      </w:r>
      <w:r w:rsidR="00A253FE" w:rsidRPr="004F7156">
        <w:rPr>
          <w:rFonts w:ascii="Arial" w:hAnsi="Arial" w:cs="Arial"/>
          <w:color w:val="000000" w:themeColor="text1"/>
          <w:lang w:eastAsia="en-ZA"/>
        </w:rPr>
        <w:t>-BB</w:t>
      </w:r>
      <w:r w:rsidR="00AD306F" w:rsidRPr="004F7156">
        <w:rPr>
          <w:rFonts w:ascii="Arial" w:hAnsi="Arial" w:cs="Arial"/>
          <w:color w:val="000000" w:themeColor="text1"/>
          <w:lang w:eastAsia="en-ZA"/>
        </w:rPr>
        <w:t xml:space="preserve">EE Act and </w:t>
      </w:r>
      <w:r w:rsidRPr="004F7156">
        <w:rPr>
          <w:rFonts w:ascii="Arial" w:hAnsi="Arial" w:cs="Arial"/>
          <w:color w:val="000000" w:themeColor="text1"/>
          <w:lang w:eastAsia="en-ZA"/>
        </w:rPr>
        <w:t>transformation practi</w:t>
      </w:r>
      <w:r w:rsidR="00367C5A" w:rsidRPr="004F7156">
        <w:rPr>
          <w:rFonts w:ascii="Arial" w:hAnsi="Arial" w:cs="Arial"/>
          <w:color w:val="000000" w:themeColor="text1"/>
          <w:lang w:eastAsia="en-ZA"/>
        </w:rPr>
        <w:t>s</w:t>
      </w:r>
      <w:r w:rsidRPr="004F7156">
        <w:rPr>
          <w:rFonts w:ascii="Arial" w:hAnsi="Arial" w:cs="Arial"/>
          <w:color w:val="000000" w:themeColor="text1"/>
          <w:lang w:eastAsia="en-ZA"/>
        </w:rPr>
        <w:t>es, Capitec will determine the number of CPI shares sold and may require Coral to acquire an equal number of CPI shares and cause</w:t>
      </w:r>
      <w:r w:rsidR="005077B9">
        <w:rPr>
          <w:rFonts w:ascii="Arial" w:hAnsi="Arial" w:cs="Arial"/>
          <w:color w:val="000000" w:themeColor="text1"/>
          <w:lang w:eastAsia="en-ZA"/>
        </w:rPr>
        <w:t xml:space="preserve"> them</w:t>
      </w:r>
      <w:r w:rsidRPr="004F7156">
        <w:rPr>
          <w:rFonts w:ascii="Arial" w:hAnsi="Arial" w:cs="Arial"/>
          <w:color w:val="000000" w:themeColor="text1"/>
          <w:lang w:eastAsia="en-ZA"/>
        </w:rPr>
        <w:t xml:space="preserve"> to be registered in Coral’s name.</w:t>
      </w:r>
    </w:p>
    <w:p w14:paraId="08DF267B" w14:textId="77777777" w:rsidR="007357D2" w:rsidRPr="004F7156" w:rsidRDefault="007357D2" w:rsidP="00D9395A">
      <w:pPr>
        <w:spacing w:line="360" w:lineRule="auto"/>
        <w:jc w:val="both"/>
        <w:rPr>
          <w:rFonts w:ascii="Arial" w:hAnsi="Arial" w:cs="Arial"/>
          <w:color w:val="000000" w:themeColor="text1"/>
        </w:rPr>
      </w:pPr>
    </w:p>
    <w:p w14:paraId="4EFEA934" w14:textId="0D5D9990" w:rsidR="007357D2" w:rsidRPr="004F7156" w:rsidRDefault="007357D2" w:rsidP="00BC59E7">
      <w:pPr>
        <w:spacing w:line="360" w:lineRule="auto"/>
        <w:jc w:val="both"/>
        <w:rPr>
          <w:rFonts w:ascii="Arial" w:hAnsi="Arial" w:cs="Arial"/>
          <w:color w:val="000000" w:themeColor="text1"/>
        </w:rPr>
      </w:pPr>
      <w:r w:rsidRPr="004F7156">
        <w:rPr>
          <w:rFonts w:ascii="Arial" w:hAnsi="Arial" w:cs="Arial"/>
          <w:color w:val="000000" w:themeColor="text1"/>
          <w:lang w:eastAsia="en-ZA"/>
        </w:rPr>
        <w:t>[5]</w:t>
      </w:r>
      <w:r w:rsidR="00D9395A" w:rsidRPr="004F7156">
        <w:rPr>
          <w:rFonts w:ascii="Arial" w:hAnsi="Arial" w:cs="Arial"/>
          <w:color w:val="000000" w:themeColor="text1"/>
          <w:lang w:eastAsia="en-ZA"/>
        </w:rPr>
        <w:tab/>
      </w:r>
      <w:r w:rsidRPr="004F7156">
        <w:rPr>
          <w:rFonts w:ascii="Arial" w:hAnsi="Arial" w:cs="Arial"/>
          <w:color w:val="000000" w:themeColor="text1"/>
          <w:lang w:eastAsia="en-ZA"/>
        </w:rPr>
        <w:t xml:space="preserve">It was always Capitec’s and the appellants’ understanding of clause 8.3 that Capitec’s consent was required for Coral to trade in </w:t>
      </w:r>
      <w:r w:rsidR="005077B9">
        <w:rPr>
          <w:rFonts w:ascii="Arial" w:hAnsi="Arial" w:cs="Arial"/>
          <w:color w:val="000000" w:themeColor="text1"/>
          <w:lang w:eastAsia="en-ZA"/>
        </w:rPr>
        <w:t>the CPI shares.</w:t>
      </w:r>
      <w:r w:rsidRPr="004F7156">
        <w:rPr>
          <w:rFonts w:ascii="Arial" w:hAnsi="Arial" w:cs="Arial"/>
          <w:color w:val="000000" w:themeColor="text1"/>
          <w:lang w:eastAsia="en-ZA"/>
        </w:rPr>
        <w:t xml:space="preserve"> However, in court proceedings instituted by the appellants against Capitec in September 2019 (</w:t>
      </w:r>
      <w:r w:rsidR="005539BD" w:rsidRPr="004F7156">
        <w:rPr>
          <w:rFonts w:ascii="Arial" w:hAnsi="Arial" w:cs="Arial"/>
          <w:color w:val="000000" w:themeColor="text1"/>
          <w:lang w:eastAsia="en-ZA"/>
        </w:rPr>
        <w:t xml:space="preserve">which I deal with </w:t>
      </w:r>
      <w:r w:rsidRPr="004F7156">
        <w:rPr>
          <w:rFonts w:ascii="Arial" w:hAnsi="Arial" w:cs="Arial"/>
          <w:color w:val="000000" w:themeColor="text1"/>
          <w:lang w:eastAsia="en-ZA"/>
        </w:rPr>
        <w:t xml:space="preserve">later in the judgment), Capitec stated that it had realized that clause 8.3 </w:t>
      </w:r>
      <w:r w:rsidR="001F3C29" w:rsidRPr="004F7156">
        <w:rPr>
          <w:rFonts w:ascii="Arial" w:hAnsi="Arial" w:cs="Arial"/>
          <w:color w:val="000000" w:themeColor="text1"/>
          <w:lang w:eastAsia="en-ZA"/>
        </w:rPr>
        <w:t xml:space="preserve">is concerned </w:t>
      </w:r>
      <w:r w:rsidRPr="004F7156">
        <w:rPr>
          <w:rFonts w:ascii="Arial" w:hAnsi="Arial" w:cs="Arial"/>
          <w:color w:val="000000" w:themeColor="text1"/>
          <w:lang w:eastAsia="en-ZA"/>
        </w:rPr>
        <w:t xml:space="preserve">with the </w:t>
      </w:r>
      <w:r w:rsidRPr="004F7156">
        <w:rPr>
          <w:rFonts w:ascii="Arial" w:hAnsi="Arial" w:cs="Arial"/>
          <w:i/>
          <w:color w:val="000000" w:themeColor="text1"/>
          <w:lang w:eastAsia="en-ZA"/>
        </w:rPr>
        <w:t>consequences</w:t>
      </w:r>
      <w:r w:rsidR="005539BD" w:rsidRPr="004F7156">
        <w:rPr>
          <w:rFonts w:ascii="Arial" w:hAnsi="Arial" w:cs="Arial"/>
          <w:color w:val="000000" w:themeColor="text1"/>
          <w:lang w:eastAsia="en-ZA"/>
        </w:rPr>
        <w:t xml:space="preserve"> for Coral of</w:t>
      </w:r>
      <w:r w:rsidRPr="004F7156">
        <w:rPr>
          <w:rFonts w:ascii="Arial" w:hAnsi="Arial" w:cs="Arial"/>
          <w:color w:val="000000" w:themeColor="text1"/>
          <w:lang w:eastAsia="en-ZA"/>
        </w:rPr>
        <w:t xml:space="preserve"> selling any of its CPI shares to an entity or person who, in Capitec’s opinion, does not comply with the </w:t>
      </w:r>
      <w:r w:rsidR="00AD306F" w:rsidRPr="004F7156">
        <w:rPr>
          <w:rFonts w:ascii="Arial" w:hAnsi="Arial" w:cs="Arial"/>
          <w:color w:val="000000" w:themeColor="text1"/>
          <w:lang w:eastAsia="en-ZA"/>
        </w:rPr>
        <w:t>B</w:t>
      </w:r>
      <w:r w:rsidR="00F54904" w:rsidRPr="004F7156">
        <w:rPr>
          <w:rFonts w:ascii="Arial" w:hAnsi="Arial" w:cs="Arial"/>
          <w:color w:val="000000" w:themeColor="text1"/>
          <w:lang w:eastAsia="en-ZA"/>
        </w:rPr>
        <w:t>-BB</w:t>
      </w:r>
      <w:r w:rsidR="00AD306F" w:rsidRPr="004F7156">
        <w:rPr>
          <w:rFonts w:ascii="Arial" w:hAnsi="Arial" w:cs="Arial"/>
          <w:color w:val="000000" w:themeColor="text1"/>
          <w:lang w:eastAsia="en-ZA"/>
        </w:rPr>
        <w:t xml:space="preserve">EE Act and </w:t>
      </w:r>
      <w:r w:rsidRPr="004F7156">
        <w:rPr>
          <w:rFonts w:ascii="Arial" w:hAnsi="Arial" w:cs="Arial"/>
          <w:color w:val="000000" w:themeColor="text1"/>
          <w:lang w:eastAsia="en-ZA"/>
        </w:rPr>
        <w:t xml:space="preserve">transformation practices. </w:t>
      </w:r>
      <w:r w:rsidRPr="004F7156">
        <w:rPr>
          <w:rFonts w:ascii="Arial" w:hAnsi="Arial" w:cs="Arial"/>
          <w:color w:val="000000" w:themeColor="text1"/>
        </w:rPr>
        <w:t xml:space="preserve">The effect of this concession was that Coral did not need Capitec’s consent to sell its CPI shares. </w:t>
      </w:r>
      <w:r w:rsidRPr="004F7156">
        <w:rPr>
          <w:rFonts w:ascii="Arial" w:hAnsi="Arial" w:cs="Arial"/>
          <w:color w:val="000000" w:themeColor="text1"/>
          <w:lang w:eastAsia="en-ZA"/>
        </w:rPr>
        <w:t xml:space="preserve">Capitec’s understanding of clause 8.3 was recently affirmed by this Court in </w:t>
      </w:r>
      <w:r w:rsidRPr="004F7156">
        <w:rPr>
          <w:rFonts w:ascii="Arial" w:hAnsi="Arial" w:cs="Arial"/>
          <w:i/>
          <w:color w:val="000000" w:themeColor="text1"/>
          <w:lang w:eastAsia="en-ZA"/>
        </w:rPr>
        <w:t>Capitec Bank Holdings Limited and Another v Coral Lagoon Investments 194 (Pty) Ltd and Others</w:t>
      </w:r>
      <w:r w:rsidR="00224EAE" w:rsidRPr="004F7156">
        <w:rPr>
          <w:rFonts w:ascii="Arial" w:hAnsi="Arial" w:cs="Arial"/>
          <w:i/>
          <w:color w:val="000000" w:themeColor="text1"/>
          <w:lang w:eastAsia="en-ZA"/>
        </w:rPr>
        <w:t>.</w:t>
      </w:r>
      <w:r w:rsidRPr="004F7156">
        <w:rPr>
          <w:rStyle w:val="FootnoteReference"/>
          <w:rFonts w:ascii="Arial" w:hAnsi="Arial" w:cs="Arial"/>
          <w:color w:val="000000" w:themeColor="text1"/>
          <w:lang w:eastAsia="en-ZA"/>
        </w:rPr>
        <w:footnoteReference w:id="4"/>
      </w:r>
      <w:r w:rsidRPr="004F7156">
        <w:rPr>
          <w:rFonts w:ascii="Arial" w:hAnsi="Arial" w:cs="Arial"/>
          <w:color w:val="000000" w:themeColor="text1"/>
          <w:lang w:eastAsia="en-ZA"/>
        </w:rPr>
        <w:t xml:space="preserve"> </w:t>
      </w:r>
    </w:p>
    <w:p w14:paraId="766FBDD5" w14:textId="77777777" w:rsidR="00D9395A" w:rsidRPr="004F7156" w:rsidRDefault="00D9395A" w:rsidP="00D9395A">
      <w:pPr>
        <w:shd w:val="clear" w:color="auto" w:fill="FFFFFF"/>
        <w:spacing w:line="360" w:lineRule="auto"/>
        <w:jc w:val="both"/>
        <w:outlineLvl w:val="1"/>
        <w:rPr>
          <w:rFonts w:ascii="Arial" w:hAnsi="Arial" w:cs="Arial"/>
          <w:color w:val="000000" w:themeColor="text1"/>
          <w:lang w:eastAsia="en-ZA"/>
        </w:rPr>
      </w:pPr>
    </w:p>
    <w:p w14:paraId="1AAE0204" w14:textId="30BD172B" w:rsidR="007357D2" w:rsidRDefault="002A5B5B" w:rsidP="00D9395A">
      <w:pPr>
        <w:shd w:val="clear" w:color="auto" w:fill="FFFFFF"/>
        <w:spacing w:line="360" w:lineRule="auto"/>
        <w:jc w:val="both"/>
        <w:outlineLvl w:val="1"/>
        <w:rPr>
          <w:rFonts w:ascii="Arial" w:hAnsi="Arial" w:cs="Arial"/>
          <w:color w:val="000000" w:themeColor="text1"/>
        </w:rPr>
      </w:pPr>
      <w:r w:rsidRPr="004F7156">
        <w:rPr>
          <w:rFonts w:ascii="Arial" w:hAnsi="Arial" w:cs="Arial"/>
          <w:color w:val="000000" w:themeColor="text1"/>
          <w:lang w:eastAsia="en-ZA"/>
        </w:rPr>
        <w:t>[6</w:t>
      </w:r>
      <w:r w:rsidR="007357D2" w:rsidRPr="004F7156">
        <w:rPr>
          <w:rFonts w:ascii="Arial" w:hAnsi="Arial" w:cs="Arial"/>
          <w:color w:val="000000" w:themeColor="text1"/>
          <w:lang w:eastAsia="en-ZA"/>
        </w:rPr>
        <w:t>]</w:t>
      </w:r>
      <w:r w:rsidR="00D9395A" w:rsidRPr="004F7156">
        <w:rPr>
          <w:rFonts w:ascii="Arial" w:hAnsi="Arial" w:cs="Arial"/>
          <w:color w:val="000000" w:themeColor="text1"/>
          <w:lang w:eastAsia="en-ZA"/>
        </w:rPr>
        <w:tab/>
      </w:r>
      <w:r w:rsidR="007357D2" w:rsidRPr="004F7156">
        <w:rPr>
          <w:rFonts w:ascii="Arial" w:hAnsi="Arial" w:cs="Arial"/>
          <w:color w:val="000000" w:themeColor="text1"/>
          <w:lang w:eastAsia="en-ZA"/>
        </w:rPr>
        <w:t xml:space="preserve">In any event, </w:t>
      </w:r>
      <w:r w:rsidR="007357D2" w:rsidRPr="004F7156">
        <w:rPr>
          <w:rFonts w:ascii="Arial" w:hAnsi="Arial" w:cs="Arial"/>
          <w:color w:val="000000" w:themeColor="text1"/>
        </w:rPr>
        <w:t>after holding the shares for 5 years, Coral sold 5 284 735 CPI shares to the Public Investment Corporation in 2012 in order to repay its debt to the IDC. Coral obtained Capitec’s consent prior to the transaction. In addition, Capitec required as a condition of its consent that the CPI shares be subject to a further lock</w:t>
      </w:r>
      <w:r w:rsidR="00185035" w:rsidRPr="004F7156">
        <w:rPr>
          <w:rFonts w:ascii="Arial" w:hAnsi="Arial" w:cs="Arial"/>
          <w:color w:val="000000" w:themeColor="text1"/>
        </w:rPr>
        <w:t>ed</w:t>
      </w:r>
      <w:r w:rsidR="007357D2" w:rsidRPr="004F7156">
        <w:rPr>
          <w:rFonts w:ascii="Arial" w:hAnsi="Arial" w:cs="Arial"/>
          <w:color w:val="000000" w:themeColor="text1"/>
        </w:rPr>
        <w:t>-in period of 10 years. That meant that the shareholders in Ash Brook would not be entitled to dispose of, or trade</w:t>
      </w:r>
      <w:r w:rsidR="00671DBF" w:rsidRPr="004F7156">
        <w:rPr>
          <w:rFonts w:ascii="Arial" w:hAnsi="Arial" w:cs="Arial"/>
          <w:color w:val="000000" w:themeColor="text1"/>
        </w:rPr>
        <w:t>,</w:t>
      </w:r>
      <w:r w:rsidR="007357D2" w:rsidRPr="004F7156">
        <w:rPr>
          <w:rFonts w:ascii="Arial" w:hAnsi="Arial" w:cs="Arial"/>
          <w:color w:val="000000" w:themeColor="text1"/>
        </w:rPr>
        <w:t xml:space="preserve"> their </w:t>
      </w:r>
      <w:r w:rsidR="00E86F00">
        <w:rPr>
          <w:rFonts w:ascii="Arial" w:hAnsi="Arial" w:cs="Arial"/>
          <w:color w:val="000000" w:themeColor="text1"/>
        </w:rPr>
        <w:t xml:space="preserve">CPI </w:t>
      </w:r>
      <w:r w:rsidR="007357D2" w:rsidRPr="004F7156">
        <w:rPr>
          <w:rFonts w:ascii="Arial" w:hAnsi="Arial" w:cs="Arial"/>
          <w:color w:val="000000" w:themeColor="text1"/>
        </w:rPr>
        <w:t>shares in th</w:t>
      </w:r>
      <w:r w:rsidR="007263C1" w:rsidRPr="004F7156">
        <w:rPr>
          <w:rFonts w:ascii="Arial" w:hAnsi="Arial" w:cs="Arial"/>
          <w:color w:val="000000" w:themeColor="text1"/>
        </w:rPr>
        <w:t>e open market during the locked-</w:t>
      </w:r>
      <w:r w:rsidR="007357D2" w:rsidRPr="004F7156">
        <w:rPr>
          <w:rFonts w:ascii="Arial" w:hAnsi="Arial" w:cs="Arial"/>
          <w:color w:val="000000" w:themeColor="text1"/>
        </w:rPr>
        <w:t>in period. Th</w:t>
      </w:r>
      <w:r w:rsidR="00231494">
        <w:rPr>
          <w:rFonts w:ascii="Arial" w:hAnsi="Arial" w:cs="Arial"/>
          <w:color w:val="000000" w:themeColor="text1"/>
        </w:rPr>
        <w:t>e CPI shares were sold at a 15 per</w:t>
      </w:r>
      <w:r w:rsidR="009162E3">
        <w:rPr>
          <w:rFonts w:ascii="Arial" w:hAnsi="Arial" w:cs="Arial"/>
          <w:color w:val="000000" w:themeColor="text1"/>
        </w:rPr>
        <w:t xml:space="preserve"> </w:t>
      </w:r>
      <w:r w:rsidR="00231494">
        <w:rPr>
          <w:rFonts w:ascii="Arial" w:hAnsi="Arial" w:cs="Arial"/>
          <w:color w:val="000000" w:themeColor="text1"/>
        </w:rPr>
        <w:t xml:space="preserve">cent </w:t>
      </w:r>
      <w:r w:rsidR="007357D2" w:rsidRPr="004F7156">
        <w:rPr>
          <w:rFonts w:ascii="Arial" w:hAnsi="Arial" w:cs="Arial"/>
          <w:color w:val="000000" w:themeColor="text1"/>
        </w:rPr>
        <w:t xml:space="preserve">discount to </w:t>
      </w:r>
      <w:r w:rsidR="005539BD" w:rsidRPr="004F7156">
        <w:rPr>
          <w:rFonts w:ascii="Arial" w:hAnsi="Arial" w:cs="Arial"/>
          <w:color w:val="000000" w:themeColor="text1"/>
        </w:rPr>
        <w:t xml:space="preserve">the </w:t>
      </w:r>
      <w:r w:rsidR="007357D2" w:rsidRPr="004F7156">
        <w:rPr>
          <w:rFonts w:ascii="Arial" w:hAnsi="Arial" w:cs="Arial"/>
          <w:color w:val="000000" w:themeColor="text1"/>
        </w:rPr>
        <w:t>market.</w:t>
      </w:r>
    </w:p>
    <w:p w14:paraId="57668E77" w14:textId="77777777" w:rsidR="00DC228D" w:rsidRPr="004F7156" w:rsidRDefault="00DC228D" w:rsidP="00D9395A">
      <w:pPr>
        <w:shd w:val="clear" w:color="auto" w:fill="FFFFFF"/>
        <w:spacing w:line="360" w:lineRule="auto"/>
        <w:jc w:val="both"/>
        <w:outlineLvl w:val="1"/>
        <w:rPr>
          <w:rFonts w:ascii="Arial" w:hAnsi="Arial" w:cs="Arial"/>
          <w:color w:val="000000" w:themeColor="text1"/>
        </w:rPr>
      </w:pPr>
    </w:p>
    <w:p w14:paraId="209009EE" w14:textId="617274CA" w:rsidR="007357D2" w:rsidRPr="004F7156" w:rsidRDefault="002A5B5B" w:rsidP="00D9395A">
      <w:pPr>
        <w:shd w:val="clear" w:color="auto" w:fill="FFFFFF"/>
        <w:spacing w:line="360" w:lineRule="auto"/>
        <w:jc w:val="both"/>
        <w:outlineLvl w:val="1"/>
        <w:rPr>
          <w:rFonts w:ascii="Arial" w:hAnsi="Arial" w:cs="Arial"/>
          <w:color w:val="000000" w:themeColor="text1"/>
        </w:rPr>
      </w:pPr>
      <w:r w:rsidRPr="004F7156">
        <w:rPr>
          <w:rFonts w:ascii="Arial" w:hAnsi="Arial" w:cs="Arial"/>
          <w:color w:val="000000" w:themeColor="text1"/>
        </w:rPr>
        <w:t>[7</w:t>
      </w:r>
      <w:r w:rsidR="007357D2" w:rsidRPr="004F7156">
        <w:rPr>
          <w:rFonts w:ascii="Arial" w:hAnsi="Arial" w:cs="Arial"/>
          <w:color w:val="000000" w:themeColor="text1"/>
        </w:rPr>
        <w:t>]</w:t>
      </w:r>
      <w:r w:rsidR="00D9395A" w:rsidRPr="004F7156">
        <w:rPr>
          <w:rFonts w:ascii="Arial" w:hAnsi="Arial" w:cs="Arial"/>
          <w:color w:val="000000" w:themeColor="text1"/>
        </w:rPr>
        <w:tab/>
      </w:r>
      <w:r w:rsidR="007357D2" w:rsidRPr="004F7156">
        <w:rPr>
          <w:rFonts w:ascii="Arial" w:hAnsi="Arial" w:cs="Arial"/>
          <w:color w:val="000000" w:themeColor="text1"/>
        </w:rPr>
        <w:t xml:space="preserve">From about 2014 there was ongoing dissatisfaction about the selling restrictions by Ash Brook and its shareholders. In 2016 the appellants instituted action against Capitec and its subsidiary, Capitec Bank Limited, in which they </w:t>
      </w:r>
      <w:r w:rsidR="007357D2" w:rsidRPr="004F7156">
        <w:rPr>
          <w:rFonts w:ascii="Arial" w:hAnsi="Arial" w:cs="Arial"/>
          <w:color w:val="000000" w:themeColor="text1"/>
        </w:rPr>
        <w:lastRenderedPageBreak/>
        <w:t>challenged the validity of certain provisions of the subscription agreement (the 2016 action)</w:t>
      </w:r>
      <w:r w:rsidR="00F44EBE" w:rsidRPr="004F7156">
        <w:rPr>
          <w:rFonts w:ascii="Arial" w:hAnsi="Arial" w:cs="Arial"/>
          <w:color w:val="000000" w:themeColor="text1"/>
        </w:rPr>
        <w:t xml:space="preserve">. They </w:t>
      </w:r>
      <w:r w:rsidR="005E0D7B" w:rsidRPr="004F7156">
        <w:rPr>
          <w:rFonts w:ascii="Arial" w:hAnsi="Arial" w:cs="Arial"/>
          <w:color w:val="000000" w:themeColor="text1"/>
        </w:rPr>
        <w:t>specifically</w:t>
      </w:r>
      <w:r w:rsidR="00F44EBE" w:rsidRPr="004F7156">
        <w:rPr>
          <w:rFonts w:ascii="Arial" w:hAnsi="Arial" w:cs="Arial"/>
          <w:color w:val="000000" w:themeColor="text1"/>
        </w:rPr>
        <w:t xml:space="preserve"> sought</w:t>
      </w:r>
      <w:r w:rsidR="007357D2" w:rsidRPr="004F7156">
        <w:rPr>
          <w:rFonts w:ascii="Arial" w:hAnsi="Arial" w:cs="Arial"/>
          <w:color w:val="000000" w:themeColor="text1"/>
        </w:rPr>
        <w:t xml:space="preserve"> an order that they </w:t>
      </w:r>
      <w:r w:rsidR="00A31D2B" w:rsidRPr="004F7156">
        <w:rPr>
          <w:rFonts w:ascii="Arial" w:hAnsi="Arial" w:cs="Arial"/>
          <w:color w:val="000000" w:themeColor="text1"/>
        </w:rPr>
        <w:t>were</w:t>
      </w:r>
      <w:r w:rsidR="007357D2" w:rsidRPr="004F7156">
        <w:rPr>
          <w:rFonts w:ascii="Arial" w:hAnsi="Arial" w:cs="Arial"/>
          <w:color w:val="000000" w:themeColor="text1"/>
        </w:rPr>
        <w:t xml:space="preserve"> entitled to dispose of their shares without the selling restrictions. </w:t>
      </w:r>
      <w:r w:rsidR="00F44EBE" w:rsidRPr="004F7156">
        <w:rPr>
          <w:rFonts w:ascii="Arial" w:hAnsi="Arial" w:cs="Arial"/>
          <w:color w:val="000000" w:themeColor="text1"/>
        </w:rPr>
        <w:t>In 2018</w:t>
      </w:r>
      <w:r w:rsidR="00185035" w:rsidRPr="004F7156">
        <w:rPr>
          <w:rFonts w:ascii="Arial" w:hAnsi="Arial" w:cs="Arial"/>
          <w:color w:val="000000" w:themeColor="text1"/>
        </w:rPr>
        <w:t>,</w:t>
      </w:r>
      <w:r w:rsidR="00F44EBE" w:rsidRPr="004F7156">
        <w:rPr>
          <w:rFonts w:ascii="Arial" w:hAnsi="Arial" w:cs="Arial"/>
          <w:color w:val="000000" w:themeColor="text1"/>
        </w:rPr>
        <w:t xml:space="preserve"> the</w:t>
      </w:r>
      <w:r w:rsidR="007357D2" w:rsidRPr="004F7156">
        <w:rPr>
          <w:rFonts w:ascii="Arial" w:hAnsi="Arial" w:cs="Arial"/>
          <w:color w:val="000000" w:themeColor="text1"/>
        </w:rPr>
        <w:t xml:space="preserve"> 2016 action was removed from the pre-trial roll for purpose of settlement negotiations. It has not been re-enrolled and is still pending. </w:t>
      </w:r>
    </w:p>
    <w:p w14:paraId="1622FF80" w14:textId="77777777" w:rsidR="00D9395A" w:rsidRPr="004F7156" w:rsidRDefault="00D9395A" w:rsidP="00D9395A">
      <w:pPr>
        <w:shd w:val="clear" w:color="auto" w:fill="FFFFFF"/>
        <w:spacing w:line="360" w:lineRule="auto"/>
        <w:jc w:val="both"/>
        <w:outlineLvl w:val="1"/>
        <w:rPr>
          <w:rFonts w:ascii="Arial" w:hAnsi="Arial" w:cs="Arial"/>
          <w:color w:val="000000" w:themeColor="text1"/>
          <w:lang w:eastAsia="en-ZA"/>
        </w:rPr>
      </w:pPr>
    </w:p>
    <w:p w14:paraId="50D9A4F6" w14:textId="4DBB2428" w:rsidR="007357D2" w:rsidRPr="004F7156" w:rsidRDefault="002A5B5B" w:rsidP="00D72474">
      <w:pPr>
        <w:spacing w:line="360" w:lineRule="auto"/>
        <w:jc w:val="both"/>
        <w:rPr>
          <w:rFonts w:ascii="Arial" w:hAnsi="Arial" w:cs="Arial"/>
          <w:color w:val="000000" w:themeColor="text1"/>
        </w:rPr>
      </w:pPr>
      <w:r w:rsidRPr="004F7156">
        <w:rPr>
          <w:rFonts w:ascii="Arial" w:hAnsi="Arial" w:cs="Arial"/>
          <w:color w:val="000000" w:themeColor="text1"/>
        </w:rPr>
        <w:t>[8</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 xml:space="preserve">In 2017, Coral sought to sell 3 360 830 of its CPI </w:t>
      </w:r>
      <w:r w:rsidR="00514DED">
        <w:rPr>
          <w:rFonts w:ascii="Arial" w:hAnsi="Arial" w:cs="Arial"/>
          <w:color w:val="000000" w:themeColor="text1"/>
        </w:rPr>
        <w:t>shares to a subsidiary of a 100 per</w:t>
      </w:r>
      <w:r w:rsidR="009162E3">
        <w:rPr>
          <w:rFonts w:ascii="Arial" w:hAnsi="Arial" w:cs="Arial"/>
          <w:color w:val="000000" w:themeColor="text1"/>
        </w:rPr>
        <w:t xml:space="preserve"> </w:t>
      </w:r>
      <w:r w:rsidR="00514DED">
        <w:rPr>
          <w:rFonts w:ascii="Arial" w:hAnsi="Arial" w:cs="Arial"/>
          <w:color w:val="000000" w:themeColor="text1"/>
        </w:rPr>
        <w:t>cent</w:t>
      </w:r>
      <w:r w:rsidR="007357D2" w:rsidRPr="004F7156">
        <w:rPr>
          <w:rFonts w:ascii="Arial" w:hAnsi="Arial" w:cs="Arial"/>
          <w:color w:val="000000" w:themeColor="text1"/>
        </w:rPr>
        <w:t xml:space="preserve"> black-owned company called Petratouch (Pty) Ltd (the 2017 Petratouch transaction). It involved numerous parties and the transaction was embodied in numerous agreements. By then</w:t>
      </w:r>
      <w:r w:rsidR="005F2A0E" w:rsidRPr="004F7156">
        <w:rPr>
          <w:rFonts w:ascii="Arial" w:hAnsi="Arial" w:cs="Arial"/>
          <w:color w:val="000000" w:themeColor="text1"/>
        </w:rPr>
        <w:t>,</w:t>
      </w:r>
      <w:r w:rsidR="007357D2" w:rsidRPr="004F7156">
        <w:rPr>
          <w:rFonts w:ascii="Arial" w:hAnsi="Arial" w:cs="Arial"/>
          <w:color w:val="000000" w:themeColor="text1"/>
        </w:rPr>
        <w:t xml:space="preserve"> Capitec’s relationship with the appellants had deteriorated. At the time the appellants had remained invested in Capitec for over 10 years and had already fully repaid the funding for the CPI shares provided by the IDC. The CPI shares were thus fully owned by the appellants without any residual financial obligations to third parties. </w:t>
      </w:r>
    </w:p>
    <w:p w14:paraId="73D3F7CD" w14:textId="77777777" w:rsidR="007357D2" w:rsidRPr="004F7156" w:rsidRDefault="007357D2" w:rsidP="00D72474">
      <w:pPr>
        <w:spacing w:line="360" w:lineRule="auto"/>
        <w:jc w:val="both"/>
        <w:rPr>
          <w:rFonts w:ascii="Arial" w:hAnsi="Arial" w:cs="Arial"/>
          <w:color w:val="000000" w:themeColor="text1"/>
        </w:rPr>
      </w:pPr>
    </w:p>
    <w:p w14:paraId="489A3F5E" w14:textId="7EF74491" w:rsidR="007357D2" w:rsidRPr="004F7156" w:rsidRDefault="002A5B5B" w:rsidP="00D72474">
      <w:pPr>
        <w:spacing w:line="360" w:lineRule="auto"/>
        <w:jc w:val="both"/>
        <w:rPr>
          <w:rFonts w:ascii="Arial" w:hAnsi="Arial" w:cs="Arial"/>
          <w:color w:val="000000" w:themeColor="text1"/>
        </w:rPr>
      </w:pPr>
      <w:r w:rsidRPr="004F7156">
        <w:rPr>
          <w:rFonts w:ascii="Arial" w:hAnsi="Arial" w:cs="Arial"/>
          <w:color w:val="000000" w:themeColor="text1"/>
        </w:rPr>
        <w:t>[9</w:t>
      </w:r>
      <w:r w:rsidR="007357D2" w:rsidRPr="004F7156">
        <w:rPr>
          <w:rFonts w:ascii="Arial" w:hAnsi="Arial" w:cs="Arial"/>
          <w:color w:val="000000" w:themeColor="text1"/>
        </w:rPr>
        <w:t>]</w:t>
      </w:r>
      <w:r w:rsidR="00D72474" w:rsidRPr="004F7156">
        <w:rPr>
          <w:rFonts w:ascii="Arial" w:hAnsi="Arial" w:cs="Arial"/>
          <w:color w:val="000000" w:themeColor="text1"/>
        </w:rPr>
        <w:tab/>
      </w:r>
      <w:r w:rsidRPr="004F7156">
        <w:rPr>
          <w:rFonts w:ascii="Arial" w:hAnsi="Arial" w:cs="Arial"/>
          <w:color w:val="000000" w:themeColor="text1"/>
        </w:rPr>
        <w:t>C</w:t>
      </w:r>
      <w:r w:rsidR="00B663C7" w:rsidRPr="004F7156">
        <w:rPr>
          <w:rFonts w:ascii="Arial" w:hAnsi="Arial" w:cs="Arial"/>
          <w:color w:val="000000" w:themeColor="text1"/>
        </w:rPr>
        <w:t>onsistent with the practic</w:t>
      </w:r>
      <w:r w:rsidRPr="004F7156">
        <w:rPr>
          <w:rFonts w:ascii="Arial" w:hAnsi="Arial" w:cs="Arial"/>
          <w:color w:val="000000" w:themeColor="text1"/>
        </w:rPr>
        <w:t>e adopted by the parties in</w:t>
      </w:r>
      <w:r w:rsidR="007357D2" w:rsidRPr="004F7156">
        <w:rPr>
          <w:rFonts w:ascii="Arial" w:hAnsi="Arial" w:cs="Arial"/>
          <w:color w:val="000000" w:themeColor="text1"/>
        </w:rPr>
        <w:t xml:space="preserve"> the previous transactions, Coral sought Capitec’s consent for the 2017 Petratouch Transaction. Capitec agreed, subject to certain conditions, inter alia, that Petratouch could only sell the CPI shares to people who are black persons approved by Capitec in writing, and further that the purchaser had to enter into a written agreement with Capitec on substantially the same terms. Coral accepted the conditions and sold the CPI shares to Petratouch. One of the agreements constituting the 2017 Petratouch Transaction was the consent agreement entered into between Capitec and the appellants, which contains the </w:t>
      </w:r>
      <w:r w:rsidR="00106845" w:rsidRPr="004F7156">
        <w:rPr>
          <w:rFonts w:ascii="Arial" w:hAnsi="Arial" w:cs="Arial"/>
          <w:i/>
          <w:iCs/>
          <w:color w:val="000000" w:themeColor="text1"/>
        </w:rPr>
        <w:t>pactum</w:t>
      </w:r>
      <w:r w:rsidR="007357D2" w:rsidRPr="004F7156">
        <w:rPr>
          <w:rFonts w:ascii="Arial" w:hAnsi="Arial" w:cs="Arial"/>
          <w:color w:val="000000" w:themeColor="text1"/>
        </w:rPr>
        <w:t>.</w:t>
      </w:r>
    </w:p>
    <w:p w14:paraId="25D65961" w14:textId="77777777" w:rsidR="007357D2" w:rsidRPr="004F7156" w:rsidRDefault="007357D2" w:rsidP="00D72474">
      <w:pPr>
        <w:spacing w:line="360" w:lineRule="auto"/>
        <w:jc w:val="both"/>
        <w:rPr>
          <w:rFonts w:ascii="Arial" w:hAnsi="Arial" w:cs="Arial"/>
          <w:color w:val="000000" w:themeColor="text1"/>
        </w:rPr>
      </w:pPr>
    </w:p>
    <w:p w14:paraId="607DD65C" w14:textId="46B596A2" w:rsidR="007357D2" w:rsidRPr="004F7156" w:rsidRDefault="00B663C7" w:rsidP="00D72474">
      <w:pPr>
        <w:spacing w:line="360" w:lineRule="auto"/>
        <w:jc w:val="both"/>
        <w:rPr>
          <w:rFonts w:ascii="Arial" w:hAnsi="Arial" w:cs="Arial"/>
          <w:color w:val="000000" w:themeColor="text1"/>
        </w:rPr>
      </w:pPr>
      <w:r w:rsidRPr="004F7156">
        <w:rPr>
          <w:rFonts w:ascii="Arial" w:hAnsi="Arial" w:cs="Arial"/>
          <w:color w:val="000000" w:themeColor="text1"/>
        </w:rPr>
        <w:t>[10</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 xml:space="preserve">After the 2017 Petratouch Transaction, Coral held 1 354 435 CPI shares. In 2019 Coral sought to dispose of 810 230 CPI shares to the Transnet Second Defined Benefit Fund. When Capitec was called upon to consent to the sale, </w:t>
      </w:r>
      <w:r w:rsidR="004A3B4D" w:rsidRPr="004F7156">
        <w:rPr>
          <w:rFonts w:ascii="Arial" w:hAnsi="Arial" w:cs="Arial"/>
          <w:color w:val="000000" w:themeColor="text1"/>
        </w:rPr>
        <w:t>it</w:t>
      </w:r>
      <w:r w:rsidR="007357D2" w:rsidRPr="004F7156">
        <w:rPr>
          <w:rFonts w:ascii="Arial" w:hAnsi="Arial" w:cs="Arial"/>
          <w:color w:val="000000" w:themeColor="text1"/>
        </w:rPr>
        <w:t xml:space="preserve"> refused. </w:t>
      </w:r>
      <w:r w:rsidR="0038530B" w:rsidRPr="004F7156">
        <w:rPr>
          <w:rFonts w:ascii="Arial" w:hAnsi="Arial" w:cs="Arial"/>
          <w:color w:val="000000" w:themeColor="text1"/>
        </w:rPr>
        <w:t>The appellants launched a</w:t>
      </w:r>
      <w:r w:rsidR="007357D2" w:rsidRPr="004F7156">
        <w:rPr>
          <w:rFonts w:ascii="Arial" w:hAnsi="Arial" w:cs="Arial"/>
          <w:color w:val="000000" w:themeColor="text1"/>
        </w:rPr>
        <w:t xml:space="preserve">n urgent application seeking to declare the refusal of consent to be in breach of Capitec’s duty of good faith to the appellants. It is in this application that Capitec, for the first time, </w:t>
      </w:r>
      <w:r w:rsidR="00872F68" w:rsidRPr="004F7156">
        <w:rPr>
          <w:rFonts w:ascii="Arial" w:hAnsi="Arial" w:cs="Arial"/>
          <w:color w:val="000000" w:themeColor="text1"/>
        </w:rPr>
        <w:t>indicated</w:t>
      </w:r>
      <w:r w:rsidR="007357D2" w:rsidRPr="004F7156">
        <w:rPr>
          <w:rFonts w:ascii="Arial" w:hAnsi="Arial" w:cs="Arial"/>
          <w:color w:val="000000" w:themeColor="text1"/>
        </w:rPr>
        <w:t xml:space="preserve"> that clause 8.3 of </w:t>
      </w:r>
      <w:r w:rsidR="007357D2" w:rsidRPr="004F7156">
        <w:rPr>
          <w:rFonts w:ascii="Arial" w:hAnsi="Arial" w:cs="Arial"/>
          <w:color w:val="000000" w:themeColor="text1"/>
        </w:rPr>
        <w:lastRenderedPageBreak/>
        <w:t xml:space="preserve">the subscription agreement did not require Capitec’s consent to sell the CPI shares and did not entitle Capitec to impose further restrictions on a sale of CPI shares by Coral. </w:t>
      </w:r>
    </w:p>
    <w:p w14:paraId="2B2F92EA" w14:textId="77777777" w:rsidR="007357D2" w:rsidRPr="004F7156" w:rsidRDefault="007357D2" w:rsidP="00D72474">
      <w:pPr>
        <w:spacing w:line="360" w:lineRule="auto"/>
        <w:jc w:val="both"/>
        <w:rPr>
          <w:rFonts w:ascii="Arial" w:hAnsi="Arial" w:cs="Arial"/>
          <w:color w:val="000000" w:themeColor="text1"/>
        </w:rPr>
      </w:pPr>
    </w:p>
    <w:p w14:paraId="56955FC3" w14:textId="17550581" w:rsidR="007357D2" w:rsidRPr="004F7156" w:rsidRDefault="0038530B" w:rsidP="00D72474">
      <w:pPr>
        <w:spacing w:line="360" w:lineRule="auto"/>
        <w:jc w:val="both"/>
        <w:rPr>
          <w:rFonts w:ascii="Arial" w:hAnsi="Arial" w:cs="Arial"/>
          <w:color w:val="000000" w:themeColor="text1"/>
        </w:rPr>
      </w:pPr>
      <w:r w:rsidRPr="004F7156">
        <w:rPr>
          <w:rFonts w:ascii="Arial" w:hAnsi="Arial" w:cs="Arial"/>
          <w:color w:val="000000" w:themeColor="text1"/>
        </w:rPr>
        <w:t>[11</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 xml:space="preserve">On 19 June 2020 the appellants instituted </w:t>
      </w:r>
      <w:r w:rsidRPr="004F7156">
        <w:rPr>
          <w:rFonts w:ascii="Arial" w:hAnsi="Arial" w:cs="Arial"/>
          <w:color w:val="000000" w:themeColor="text1"/>
        </w:rPr>
        <w:t xml:space="preserve">the 2020 action against Capitec. They claimed, </w:t>
      </w:r>
      <w:r w:rsidR="007357D2" w:rsidRPr="004F7156">
        <w:rPr>
          <w:rFonts w:ascii="Arial" w:hAnsi="Arial" w:cs="Arial"/>
          <w:color w:val="000000" w:themeColor="text1"/>
        </w:rPr>
        <w:t xml:space="preserve">in broad terms, that, but for Capitec’s conduct, Coral would not have concluded the 2017 Petratouch </w:t>
      </w:r>
      <w:r w:rsidR="003C3865">
        <w:rPr>
          <w:rFonts w:ascii="Arial" w:hAnsi="Arial" w:cs="Arial"/>
          <w:color w:val="000000" w:themeColor="text1"/>
        </w:rPr>
        <w:t>Transaction at a discount of 52 per</w:t>
      </w:r>
      <w:r w:rsidR="009162E3">
        <w:rPr>
          <w:rFonts w:ascii="Arial" w:hAnsi="Arial" w:cs="Arial"/>
          <w:color w:val="000000" w:themeColor="text1"/>
        </w:rPr>
        <w:t xml:space="preserve"> </w:t>
      </w:r>
      <w:r w:rsidR="003C3865">
        <w:rPr>
          <w:rFonts w:ascii="Arial" w:hAnsi="Arial" w:cs="Arial"/>
          <w:color w:val="000000" w:themeColor="text1"/>
        </w:rPr>
        <w:t>cent</w:t>
      </w:r>
      <w:r w:rsidR="007357D2" w:rsidRPr="004F7156">
        <w:rPr>
          <w:rFonts w:ascii="Arial" w:hAnsi="Arial" w:cs="Arial"/>
          <w:color w:val="000000" w:themeColor="text1"/>
        </w:rPr>
        <w:t xml:space="preserve"> </w:t>
      </w:r>
      <w:r w:rsidR="00524D43" w:rsidRPr="004F7156">
        <w:rPr>
          <w:rFonts w:ascii="Arial" w:hAnsi="Arial" w:cs="Arial"/>
          <w:color w:val="000000" w:themeColor="text1"/>
        </w:rPr>
        <w:t>t</w:t>
      </w:r>
      <w:r w:rsidR="007357D2" w:rsidRPr="004F7156">
        <w:rPr>
          <w:rFonts w:ascii="Arial" w:hAnsi="Arial" w:cs="Arial"/>
          <w:color w:val="000000" w:themeColor="text1"/>
        </w:rPr>
        <w:t>o</w:t>
      </w:r>
      <w:r w:rsidR="00BD44C7" w:rsidRPr="004F7156">
        <w:rPr>
          <w:rFonts w:ascii="Arial" w:hAnsi="Arial" w:cs="Arial"/>
          <w:color w:val="000000" w:themeColor="text1"/>
        </w:rPr>
        <w:t xml:space="preserve"> the prevailing 30-</w:t>
      </w:r>
      <w:r w:rsidR="007357D2" w:rsidRPr="004F7156">
        <w:rPr>
          <w:rFonts w:ascii="Arial" w:hAnsi="Arial" w:cs="Arial"/>
          <w:color w:val="000000" w:themeColor="text1"/>
        </w:rPr>
        <w:t xml:space="preserve">day </w:t>
      </w:r>
      <w:r w:rsidR="007357D2" w:rsidRPr="004F7156">
        <w:rPr>
          <w:rFonts w:ascii="Arial" w:hAnsi="Arial" w:cs="Arial"/>
        </w:rPr>
        <w:t>weigh</w:t>
      </w:r>
      <w:r w:rsidR="00054ABF" w:rsidRPr="004F7156">
        <w:rPr>
          <w:rFonts w:ascii="Arial" w:hAnsi="Arial" w:cs="Arial"/>
        </w:rPr>
        <w:t>t</w:t>
      </w:r>
      <w:r w:rsidR="007357D2" w:rsidRPr="004F7156">
        <w:rPr>
          <w:rFonts w:ascii="Arial" w:hAnsi="Arial" w:cs="Arial"/>
        </w:rPr>
        <w:t xml:space="preserve">ed </w:t>
      </w:r>
      <w:r w:rsidR="003C3865">
        <w:rPr>
          <w:rFonts w:ascii="Arial" w:hAnsi="Arial" w:cs="Arial"/>
          <w:color w:val="000000" w:themeColor="text1"/>
        </w:rPr>
        <w:t>average, amounting to</w:t>
      </w:r>
      <w:r w:rsidR="007357D2" w:rsidRPr="004F7156">
        <w:rPr>
          <w:rFonts w:ascii="Arial" w:hAnsi="Arial" w:cs="Arial"/>
          <w:color w:val="000000" w:themeColor="text1"/>
        </w:rPr>
        <w:t xml:space="preserve"> a loss of R 1,225 billion. This led to the application before the high court that is the subject of this appeal. Capitec’s main claim in the high court was that the 2020 action </w:t>
      </w:r>
      <w:r w:rsidR="00891D75" w:rsidRPr="004F7156">
        <w:rPr>
          <w:rFonts w:ascii="Arial" w:hAnsi="Arial" w:cs="Arial"/>
          <w:color w:val="000000" w:themeColor="text1"/>
        </w:rPr>
        <w:t>should</w:t>
      </w:r>
      <w:r w:rsidR="007357D2" w:rsidRPr="004F7156">
        <w:rPr>
          <w:rFonts w:ascii="Arial" w:hAnsi="Arial" w:cs="Arial"/>
          <w:color w:val="000000" w:themeColor="text1"/>
        </w:rPr>
        <w:t xml:space="preserve"> be withdrawn because the appellants agreed in clause 7.1.6.2 of the consent agreement not to institute legal proceedings against Capitec in which they s</w:t>
      </w:r>
      <w:r w:rsidR="00281125" w:rsidRPr="004F7156">
        <w:rPr>
          <w:rFonts w:ascii="Arial" w:hAnsi="Arial" w:cs="Arial"/>
          <w:color w:val="000000" w:themeColor="text1"/>
        </w:rPr>
        <w:t>ought</w:t>
      </w:r>
      <w:r w:rsidR="007357D2" w:rsidRPr="004F7156">
        <w:rPr>
          <w:rFonts w:ascii="Arial" w:hAnsi="Arial" w:cs="Arial"/>
          <w:color w:val="000000" w:themeColor="text1"/>
        </w:rPr>
        <w:t xml:space="preserve"> to use or rely upon the 2017 Petratouch Transaction or any part of it.</w:t>
      </w:r>
      <w:r w:rsidR="007357D2" w:rsidRPr="004F7156">
        <w:rPr>
          <w:rStyle w:val="FootnoteReference"/>
          <w:rFonts w:ascii="Arial" w:hAnsi="Arial" w:cs="Arial"/>
          <w:color w:val="000000" w:themeColor="text1"/>
        </w:rPr>
        <w:t xml:space="preserve"> </w:t>
      </w:r>
      <w:r w:rsidR="007357D2" w:rsidRPr="004F7156">
        <w:rPr>
          <w:rStyle w:val="FootnoteReference"/>
          <w:rFonts w:ascii="Arial" w:hAnsi="Arial" w:cs="Arial"/>
          <w:color w:val="000000" w:themeColor="text1"/>
        </w:rPr>
        <w:footnoteReference w:id="5"/>
      </w:r>
    </w:p>
    <w:p w14:paraId="5B23E915" w14:textId="77777777" w:rsidR="007357D2" w:rsidRPr="004F7156" w:rsidRDefault="007357D2" w:rsidP="00D72474">
      <w:pPr>
        <w:spacing w:line="360" w:lineRule="auto"/>
        <w:jc w:val="both"/>
        <w:rPr>
          <w:rFonts w:ascii="Arial" w:hAnsi="Arial" w:cs="Arial"/>
          <w:color w:val="000000" w:themeColor="text1"/>
        </w:rPr>
      </w:pPr>
    </w:p>
    <w:p w14:paraId="3B879B99" w14:textId="77727F0D" w:rsidR="007357D2" w:rsidRPr="004F7156" w:rsidRDefault="0038530B" w:rsidP="00D72474">
      <w:pPr>
        <w:spacing w:line="360" w:lineRule="auto"/>
        <w:jc w:val="both"/>
        <w:rPr>
          <w:rFonts w:ascii="Arial" w:hAnsi="Arial" w:cs="Arial"/>
          <w:color w:val="000000" w:themeColor="text1"/>
        </w:rPr>
      </w:pPr>
      <w:r w:rsidRPr="004F7156">
        <w:rPr>
          <w:rFonts w:ascii="Arial" w:hAnsi="Arial" w:cs="Arial"/>
          <w:color w:val="000000" w:themeColor="text1"/>
        </w:rPr>
        <w:t>[12</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 Before the hearing of the application in the high court, Capitec filed its plea in the 2020 action. </w:t>
      </w:r>
      <w:r w:rsidR="00D07217">
        <w:rPr>
          <w:rFonts w:ascii="Arial" w:hAnsi="Arial" w:cs="Arial"/>
          <w:color w:val="000000" w:themeColor="text1"/>
        </w:rPr>
        <w:t>In the plea</w:t>
      </w:r>
      <w:r w:rsidR="007357D2" w:rsidRPr="004F7156">
        <w:rPr>
          <w:rFonts w:ascii="Arial" w:hAnsi="Arial" w:cs="Arial"/>
          <w:color w:val="000000" w:themeColor="text1"/>
        </w:rPr>
        <w:t xml:space="preserve"> Capitec raised special defences which were similar to the objections in its application. It also pleaded to the merits of the 2020 action.</w:t>
      </w:r>
    </w:p>
    <w:p w14:paraId="475735DA" w14:textId="77777777" w:rsidR="007357D2" w:rsidRPr="004F7156" w:rsidRDefault="007357D2" w:rsidP="00D72474">
      <w:pPr>
        <w:spacing w:line="360" w:lineRule="auto"/>
        <w:jc w:val="both"/>
        <w:rPr>
          <w:rFonts w:ascii="Arial" w:hAnsi="Arial" w:cs="Arial"/>
          <w:color w:val="000000" w:themeColor="text1"/>
        </w:rPr>
      </w:pPr>
    </w:p>
    <w:p w14:paraId="77B9D804" w14:textId="77777777" w:rsidR="007357D2" w:rsidRPr="004F7156" w:rsidRDefault="007357D2" w:rsidP="007357D2">
      <w:pPr>
        <w:spacing w:line="360" w:lineRule="auto"/>
        <w:jc w:val="both"/>
        <w:rPr>
          <w:rFonts w:ascii="Arial" w:hAnsi="Arial" w:cs="Arial"/>
          <w:color w:val="000000" w:themeColor="text1"/>
        </w:rPr>
      </w:pPr>
      <w:r w:rsidRPr="004F7156">
        <w:rPr>
          <w:rFonts w:ascii="Arial" w:hAnsi="Arial" w:cs="Arial"/>
          <w:b/>
          <w:color w:val="000000" w:themeColor="text1"/>
        </w:rPr>
        <w:t>Agreement not to sue</w:t>
      </w:r>
    </w:p>
    <w:p w14:paraId="2FA0F9E8" w14:textId="677C7DF2" w:rsidR="007357D2" w:rsidRPr="004F7156" w:rsidRDefault="0038530B" w:rsidP="007357D2">
      <w:pPr>
        <w:spacing w:line="360" w:lineRule="auto"/>
        <w:jc w:val="both"/>
        <w:rPr>
          <w:rFonts w:ascii="Arial" w:hAnsi="Arial" w:cs="Arial"/>
          <w:color w:val="000000" w:themeColor="text1"/>
        </w:rPr>
      </w:pPr>
      <w:r w:rsidRPr="004F7156">
        <w:rPr>
          <w:rFonts w:ascii="Arial" w:hAnsi="Arial" w:cs="Arial"/>
          <w:color w:val="000000" w:themeColor="text1"/>
        </w:rPr>
        <w:t>[13</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Capitec</w:t>
      </w:r>
      <w:r w:rsidR="00185035" w:rsidRPr="004F7156">
        <w:rPr>
          <w:rFonts w:ascii="Arial" w:hAnsi="Arial" w:cs="Arial"/>
          <w:color w:val="000000" w:themeColor="text1"/>
        </w:rPr>
        <w:t>’s</w:t>
      </w:r>
      <w:r w:rsidR="007357D2" w:rsidRPr="004F7156">
        <w:rPr>
          <w:rFonts w:ascii="Arial" w:hAnsi="Arial" w:cs="Arial"/>
          <w:color w:val="000000" w:themeColor="text1"/>
        </w:rPr>
        <w:t xml:space="preserve"> </w:t>
      </w:r>
      <w:r w:rsidRPr="004F7156">
        <w:rPr>
          <w:rFonts w:ascii="Arial" w:hAnsi="Arial" w:cs="Arial"/>
          <w:color w:val="000000" w:themeColor="text1"/>
        </w:rPr>
        <w:t>consent to the 2017 Petratouch Transaction</w:t>
      </w:r>
      <w:r w:rsidR="007357D2" w:rsidRPr="004F7156">
        <w:rPr>
          <w:rFonts w:ascii="Arial" w:hAnsi="Arial" w:cs="Arial"/>
          <w:color w:val="000000" w:themeColor="text1"/>
        </w:rPr>
        <w:t xml:space="preserve"> was embodied in the written consent agreement, entered into between Capitec and the appellants. The purpose of the consent agreement was for Capitec to waive various rights in connection with the selling restrictions imposed in terms of the subscription agreement so that the 2017 Petratouch Transaction could proceed. Without these waivers, which Capitec was not obliged to make, the 2017 Petratouch Transaction </w:t>
      </w:r>
      <w:r w:rsidR="00872F68" w:rsidRPr="004F7156">
        <w:rPr>
          <w:rFonts w:ascii="Arial" w:hAnsi="Arial" w:cs="Arial"/>
          <w:color w:val="000000" w:themeColor="text1"/>
        </w:rPr>
        <w:t xml:space="preserve">would have breached </w:t>
      </w:r>
      <w:r w:rsidR="007357D2" w:rsidRPr="004F7156">
        <w:rPr>
          <w:rFonts w:ascii="Arial" w:hAnsi="Arial" w:cs="Arial"/>
          <w:color w:val="000000" w:themeColor="text1"/>
        </w:rPr>
        <w:t>the selling restrictions</w:t>
      </w:r>
      <w:r w:rsidR="00872F68" w:rsidRPr="004F7156">
        <w:rPr>
          <w:rFonts w:ascii="Arial" w:hAnsi="Arial" w:cs="Arial"/>
          <w:color w:val="000000" w:themeColor="text1"/>
        </w:rPr>
        <w:t xml:space="preserve"> in the subscription agreement</w:t>
      </w:r>
      <w:r w:rsidR="007357D2" w:rsidRPr="004F7156">
        <w:rPr>
          <w:rFonts w:ascii="Arial" w:hAnsi="Arial" w:cs="Arial"/>
          <w:color w:val="000000" w:themeColor="text1"/>
        </w:rPr>
        <w:t xml:space="preserve">. Because of certain concerns (dealt with below), Capitec proposed the inclusion of </w:t>
      </w:r>
      <w:r w:rsidR="00302FCE" w:rsidRPr="004F7156">
        <w:rPr>
          <w:rFonts w:ascii="Arial" w:hAnsi="Arial" w:cs="Arial"/>
          <w:color w:val="000000" w:themeColor="text1"/>
        </w:rPr>
        <w:t>the</w:t>
      </w:r>
      <w:r w:rsidR="007357D2" w:rsidRPr="004F7156">
        <w:rPr>
          <w:rFonts w:ascii="Arial" w:hAnsi="Arial" w:cs="Arial"/>
          <w:color w:val="000000" w:themeColor="text1"/>
        </w:rPr>
        <w:t xml:space="preserve"> </w:t>
      </w:r>
      <w:r w:rsidR="007357D2" w:rsidRPr="004F7156">
        <w:rPr>
          <w:rFonts w:ascii="Arial" w:hAnsi="Arial" w:cs="Arial"/>
          <w:i/>
          <w:color w:val="000000" w:themeColor="text1"/>
        </w:rPr>
        <w:t xml:space="preserve">pactum </w:t>
      </w:r>
      <w:r w:rsidR="007357D2" w:rsidRPr="004F7156">
        <w:rPr>
          <w:rFonts w:ascii="Arial" w:hAnsi="Arial" w:cs="Arial"/>
          <w:color w:val="000000" w:themeColor="text1"/>
        </w:rPr>
        <w:t>in the consent agreement</w:t>
      </w:r>
      <w:r w:rsidR="00302FCE" w:rsidRPr="004F7156">
        <w:rPr>
          <w:rFonts w:ascii="Arial" w:hAnsi="Arial" w:cs="Arial"/>
          <w:color w:val="000000" w:themeColor="text1"/>
        </w:rPr>
        <w:t>,</w:t>
      </w:r>
      <w:r w:rsidR="007357D2" w:rsidRPr="004F7156">
        <w:rPr>
          <w:rFonts w:ascii="Arial" w:hAnsi="Arial" w:cs="Arial"/>
          <w:color w:val="000000" w:themeColor="text1"/>
        </w:rPr>
        <w:t xml:space="preserve"> to which the appellants agreed. It is necessary to quote the clause containing the </w:t>
      </w:r>
      <w:r w:rsidR="007357D2" w:rsidRPr="004F7156">
        <w:rPr>
          <w:rFonts w:ascii="Arial" w:hAnsi="Arial" w:cs="Arial"/>
          <w:i/>
          <w:color w:val="000000" w:themeColor="text1"/>
        </w:rPr>
        <w:t xml:space="preserve">pactum </w:t>
      </w:r>
      <w:r w:rsidR="00D72474" w:rsidRPr="004F7156">
        <w:rPr>
          <w:rFonts w:ascii="Arial" w:hAnsi="Arial" w:cs="Arial"/>
          <w:color w:val="000000" w:themeColor="text1"/>
        </w:rPr>
        <w:t>in extenso:</w:t>
      </w:r>
    </w:p>
    <w:p w14:paraId="4D9FF4D9" w14:textId="77777777"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lastRenderedPageBreak/>
        <w:t>‘7.1 Each of Ash Brook and Coral hereby give the following warranties to Capitec Holdings.</w:t>
      </w:r>
    </w:p>
    <w:p w14:paraId="0C81122F" w14:textId="77777777"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w:t>
      </w:r>
    </w:p>
    <w:p w14:paraId="4EA35763" w14:textId="55E0A360"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7.1.6 it shall not and shall procure that its related and inter</w:t>
      </w:r>
      <w:r w:rsidR="00FE2ABB" w:rsidRPr="004F7156">
        <w:rPr>
          <w:rFonts w:ascii="Arial" w:hAnsi="Arial" w:cs="Arial"/>
          <w:color w:val="000000" w:themeColor="text1"/>
          <w:sz w:val="22"/>
          <w:szCs w:val="22"/>
        </w:rPr>
        <w:t>-</w:t>
      </w:r>
      <w:r w:rsidRPr="004F7156">
        <w:rPr>
          <w:rFonts w:ascii="Arial" w:hAnsi="Arial" w:cs="Arial"/>
          <w:color w:val="000000" w:themeColor="text1"/>
          <w:sz w:val="22"/>
          <w:szCs w:val="22"/>
        </w:rPr>
        <w:t>rela</w:t>
      </w:r>
      <w:r w:rsidR="00185035" w:rsidRPr="004F7156">
        <w:rPr>
          <w:rFonts w:ascii="Arial" w:hAnsi="Arial" w:cs="Arial"/>
          <w:color w:val="000000" w:themeColor="text1"/>
          <w:sz w:val="22"/>
          <w:szCs w:val="22"/>
        </w:rPr>
        <w:t>ted persons (as defined in the C</w:t>
      </w:r>
      <w:r w:rsidRPr="004F7156">
        <w:rPr>
          <w:rFonts w:ascii="Arial" w:hAnsi="Arial" w:cs="Arial"/>
          <w:color w:val="000000" w:themeColor="text1"/>
          <w:sz w:val="22"/>
          <w:szCs w:val="22"/>
        </w:rPr>
        <w:t>ompanies Act) do not:</w:t>
      </w:r>
    </w:p>
    <w:p w14:paraId="6B5C4149" w14:textId="6221DFD9"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7.1.6.1 directly or</w:t>
      </w:r>
      <w:r w:rsidR="00185035" w:rsidRPr="004F7156">
        <w:rPr>
          <w:rFonts w:ascii="Arial" w:hAnsi="Arial" w:cs="Arial"/>
          <w:color w:val="000000" w:themeColor="text1"/>
          <w:sz w:val="22"/>
          <w:szCs w:val="22"/>
        </w:rPr>
        <w:t xml:space="preserve"> indirectly use or rely on the T</w:t>
      </w:r>
      <w:r w:rsidRPr="004F7156">
        <w:rPr>
          <w:rFonts w:ascii="Arial" w:hAnsi="Arial" w:cs="Arial"/>
          <w:color w:val="000000" w:themeColor="text1"/>
          <w:sz w:val="22"/>
          <w:szCs w:val="22"/>
        </w:rPr>
        <w:t xml:space="preserve">ransaction (or any part thereof) or any of the </w:t>
      </w:r>
      <w:r w:rsidR="00FE21B5" w:rsidRPr="004F7156">
        <w:rPr>
          <w:rFonts w:ascii="Arial" w:hAnsi="Arial" w:cs="Arial"/>
          <w:color w:val="000000" w:themeColor="text1"/>
          <w:sz w:val="22"/>
          <w:szCs w:val="22"/>
        </w:rPr>
        <w:t>T</w:t>
      </w:r>
      <w:r w:rsidRPr="004F7156">
        <w:rPr>
          <w:rFonts w:ascii="Arial" w:hAnsi="Arial" w:cs="Arial"/>
          <w:color w:val="000000" w:themeColor="text1"/>
          <w:sz w:val="22"/>
          <w:szCs w:val="22"/>
        </w:rPr>
        <w:t xml:space="preserve">ransaction </w:t>
      </w:r>
      <w:r w:rsidR="00FE21B5" w:rsidRPr="004F7156">
        <w:rPr>
          <w:rFonts w:ascii="Arial" w:hAnsi="Arial" w:cs="Arial"/>
          <w:color w:val="000000" w:themeColor="text1"/>
          <w:sz w:val="22"/>
          <w:szCs w:val="22"/>
        </w:rPr>
        <w:t>A</w:t>
      </w:r>
      <w:r w:rsidRPr="004F7156">
        <w:rPr>
          <w:rFonts w:ascii="Arial" w:hAnsi="Arial" w:cs="Arial"/>
          <w:color w:val="000000" w:themeColor="text1"/>
          <w:sz w:val="22"/>
          <w:szCs w:val="22"/>
        </w:rPr>
        <w:t>greements in the Legal Proceedings or any other legal proceedings related thereto or flowing therefrom: and/or</w:t>
      </w:r>
    </w:p>
    <w:p w14:paraId="4D4182EF" w14:textId="48957813"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 xml:space="preserve">7.1.6.2 directly or indirectly institute any legal proceedings against Capitec </w:t>
      </w:r>
      <w:r w:rsidR="00AF0DEC" w:rsidRPr="004F7156">
        <w:rPr>
          <w:rFonts w:ascii="Arial" w:hAnsi="Arial" w:cs="Arial"/>
          <w:color w:val="000000" w:themeColor="text1"/>
          <w:sz w:val="22"/>
          <w:szCs w:val="22"/>
        </w:rPr>
        <w:t>H</w:t>
      </w:r>
      <w:r w:rsidRPr="004F7156">
        <w:rPr>
          <w:rFonts w:ascii="Arial" w:hAnsi="Arial" w:cs="Arial"/>
          <w:color w:val="000000" w:themeColor="text1"/>
          <w:sz w:val="22"/>
          <w:szCs w:val="22"/>
        </w:rPr>
        <w:t>oldings and/or any of its subsidiaries (as defined in the Companies Act)</w:t>
      </w:r>
      <w:r w:rsidR="000A645F" w:rsidRPr="004F7156">
        <w:rPr>
          <w:rFonts w:ascii="Arial" w:hAnsi="Arial" w:cs="Arial"/>
          <w:color w:val="000000" w:themeColor="text1"/>
          <w:sz w:val="22"/>
          <w:szCs w:val="22"/>
        </w:rPr>
        <w:t>,</w:t>
      </w:r>
      <w:r w:rsidRPr="004F7156">
        <w:rPr>
          <w:rFonts w:ascii="Arial" w:hAnsi="Arial" w:cs="Arial"/>
          <w:color w:val="000000" w:themeColor="text1"/>
          <w:sz w:val="22"/>
          <w:szCs w:val="22"/>
        </w:rPr>
        <w:t xml:space="preserve"> whether as plaintiff, </w:t>
      </w:r>
      <w:r w:rsidR="000A645F" w:rsidRPr="004F7156">
        <w:rPr>
          <w:rFonts w:ascii="Arial" w:hAnsi="Arial" w:cs="Arial"/>
          <w:color w:val="000000" w:themeColor="text1"/>
          <w:sz w:val="22"/>
          <w:szCs w:val="22"/>
        </w:rPr>
        <w:t xml:space="preserve">applicant, </w:t>
      </w:r>
      <w:r w:rsidRPr="004F7156">
        <w:rPr>
          <w:rFonts w:ascii="Arial" w:hAnsi="Arial" w:cs="Arial"/>
          <w:color w:val="000000" w:themeColor="text1"/>
          <w:sz w:val="22"/>
          <w:szCs w:val="22"/>
        </w:rPr>
        <w:t>defendant, respondent or otherwise, wherein it seeks to use or rely upon the Transaction (or any part thereof).</w:t>
      </w:r>
    </w:p>
    <w:p w14:paraId="6548D693" w14:textId="77777777" w:rsidR="007357D2" w:rsidRPr="004F7156" w:rsidRDefault="007357D2" w:rsidP="00D72474">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 xml:space="preserve">(Transaction warranties)’. </w:t>
      </w:r>
    </w:p>
    <w:p w14:paraId="365CB7BE" w14:textId="0DE30467" w:rsidR="007357D2" w:rsidRPr="004F7156" w:rsidRDefault="00293BED" w:rsidP="00D72474">
      <w:pPr>
        <w:spacing w:line="360" w:lineRule="auto"/>
        <w:jc w:val="both"/>
        <w:rPr>
          <w:rFonts w:ascii="Arial" w:hAnsi="Arial" w:cs="Arial"/>
          <w:color w:val="000000" w:themeColor="text1"/>
        </w:rPr>
      </w:pPr>
      <w:r w:rsidRPr="004F7156">
        <w:rPr>
          <w:rFonts w:ascii="Arial" w:hAnsi="Arial" w:cs="Arial"/>
          <w:color w:val="000000" w:themeColor="text1"/>
        </w:rPr>
        <w:t>I</w:t>
      </w:r>
      <w:r w:rsidR="007357D2" w:rsidRPr="004F7156">
        <w:rPr>
          <w:rFonts w:ascii="Arial" w:hAnsi="Arial" w:cs="Arial"/>
          <w:color w:val="000000" w:themeColor="text1"/>
        </w:rPr>
        <w:t xml:space="preserve">t </w:t>
      </w:r>
      <w:r w:rsidR="00185035" w:rsidRPr="004F7156">
        <w:rPr>
          <w:rFonts w:ascii="Arial" w:hAnsi="Arial" w:cs="Arial"/>
          <w:color w:val="000000" w:themeColor="text1"/>
        </w:rPr>
        <w:t>is common cause that the word ‘T</w:t>
      </w:r>
      <w:r w:rsidR="007357D2" w:rsidRPr="004F7156">
        <w:rPr>
          <w:rFonts w:ascii="Arial" w:hAnsi="Arial" w:cs="Arial"/>
          <w:color w:val="000000" w:themeColor="text1"/>
        </w:rPr>
        <w:t>ransaction’ in the clauses above refers to the 2017 Pe</w:t>
      </w:r>
      <w:r w:rsidR="00185035" w:rsidRPr="004F7156">
        <w:rPr>
          <w:rFonts w:ascii="Arial" w:hAnsi="Arial" w:cs="Arial"/>
          <w:color w:val="000000" w:themeColor="text1"/>
        </w:rPr>
        <w:t>tratouch Transaction and that ‘L</w:t>
      </w:r>
      <w:r w:rsidR="007357D2" w:rsidRPr="004F7156">
        <w:rPr>
          <w:rFonts w:ascii="Arial" w:hAnsi="Arial" w:cs="Arial"/>
          <w:color w:val="000000" w:themeColor="text1"/>
        </w:rPr>
        <w:t xml:space="preserve">egal </w:t>
      </w:r>
      <w:r w:rsidR="00B77C36">
        <w:rPr>
          <w:rFonts w:ascii="Arial" w:hAnsi="Arial" w:cs="Arial"/>
          <w:color w:val="000000" w:themeColor="text1"/>
        </w:rPr>
        <w:t>P</w:t>
      </w:r>
      <w:r w:rsidR="007357D2" w:rsidRPr="004F7156">
        <w:rPr>
          <w:rFonts w:ascii="Arial" w:hAnsi="Arial" w:cs="Arial"/>
          <w:color w:val="000000" w:themeColor="text1"/>
        </w:rPr>
        <w:t>roceedings’ refer</w:t>
      </w:r>
      <w:r w:rsidR="004C70EA">
        <w:rPr>
          <w:rFonts w:ascii="Arial" w:hAnsi="Arial" w:cs="Arial"/>
          <w:color w:val="000000" w:themeColor="text1"/>
        </w:rPr>
        <w:t>s</w:t>
      </w:r>
      <w:r w:rsidR="007357D2" w:rsidRPr="004F7156">
        <w:rPr>
          <w:rFonts w:ascii="Arial" w:hAnsi="Arial" w:cs="Arial"/>
          <w:color w:val="000000" w:themeColor="text1"/>
        </w:rPr>
        <w:t xml:space="preserve"> to the 2016 action.</w:t>
      </w:r>
      <w:r w:rsidR="001C0E01" w:rsidRPr="004F7156" w:rsidDel="001C0E01">
        <w:rPr>
          <w:rStyle w:val="FootnoteReference"/>
          <w:rFonts w:ascii="Arial" w:hAnsi="Arial" w:cs="Arial"/>
          <w:color w:val="000000" w:themeColor="text1"/>
        </w:rPr>
        <w:t xml:space="preserve"> </w:t>
      </w:r>
    </w:p>
    <w:p w14:paraId="1E01D4E8" w14:textId="77777777" w:rsidR="007357D2" w:rsidRPr="004F7156" w:rsidRDefault="007357D2" w:rsidP="00D72474">
      <w:pPr>
        <w:spacing w:line="360" w:lineRule="auto"/>
        <w:jc w:val="both"/>
        <w:rPr>
          <w:rFonts w:ascii="Arial" w:hAnsi="Arial" w:cs="Arial"/>
          <w:color w:val="000000" w:themeColor="text1"/>
        </w:rPr>
      </w:pPr>
    </w:p>
    <w:p w14:paraId="20F93A1E" w14:textId="15211203" w:rsidR="007357D2" w:rsidRPr="00B96EAD" w:rsidRDefault="007357D2" w:rsidP="007357D2">
      <w:pPr>
        <w:spacing w:line="360" w:lineRule="auto"/>
        <w:jc w:val="both"/>
        <w:rPr>
          <w:rFonts w:ascii="Arial" w:hAnsi="Arial" w:cs="Arial"/>
          <w:b/>
          <w:color w:val="000000" w:themeColor="text1"/>
        </w:rPr>
      </w:pPr>
      <w:r w:rsidRPr="00B96EAD">
        <w:rPr>
          <w:rFonts w:ascii="Arial" w:hAnsi="Arial" w:cs="Arial"/>
          <w:b/>
          <w:color w:val="000000" w:themeColor="text1"/>
        </w:rPr>
        <w:t>The interpretation of clause</w:t>
      </w:r>
      <w:r w:rsidR="00DF0AA0" w:rsidRPr="00B96EAD">
        <w:rPr>
          <w:rFonts w:ascii="Arial" w:hAnsi="Arial" w:cs="Arial"/>
          <w:b/>
          <w:color w:val="000000" w:themeColor="text1"/>
        </w:rPr>
        <w:t>s</w:t>
      </w:r>
      <w:r w:rsidRPr="00B96EAD">
        <w:rPr>
          <w:rFonts w:ascii="Arial" w:hAnsi="Arial" w:cs="Arial"/>
          <w:b/>
          <w:color w:val="000000" w:themeColor="text1"/>
        </w:rPr>
        <w:t xml:space="preserve"> 7.1.6.1 and 7.1.6.2</w:t>
      </w:r>
    </w:p>
    <w:p w14:paraId="3831DEAE" w14:textId="77777777" w:rsidR="002A593F" w:rsidRDefault="007357D2" w:rsidP="00B96EAD">
      <w:pPr>
        <w:shd w:val="clear" w:color="auto" w:fill="FFFFFF"/>
        <w:spacing w:line="360" w:lineRule="auto"/>
        <w:jc w:val="both"/>
        <w:rPr>
          <w:rFonts w:ascii="Arial" w:hAnsi="Arial" w:cs="Arial"/>
          <w:color w:val="000000" w:themeColor="text1"/>
        </w:rPr>
      </w:pPr>
      <w:r w:rsidRPr="004F7156">
        <w:rPr>
          <w:rFonts w:ascii="Arial" w:hAnsi="Arial" w:cs="Arial"/>
          <w:color w:val="000000" w:themeColor="text1"/>
        </w:rPr>
        <w:t>[1</w:t>
      </w:r>
      <w:r w:rsidR="008F7AD6" w:rsidRPr="004F7156">
        <w:rPr>
          <w:rFonts w:ascii="Arial" w:hAnsi="Arial" w:cs="Arial"/>
          <w:color w:val="000000" w:themeColor="text1"/>
        </w:rPr>
        <w:t>4</w:t>
      </w:r>
      <w:r w:rsidR="00D72474" w:rsidRPr="004F7156">
        <w:rPr>
          <w:rFonts w:ascii="Arial" w:hAnsi="Arial" w:cs="Arial"/>
          <w:color w:val="000000" w:themeColor="text1"/>
        </w:rPr>
        <w:t>]</w:t>
      </w:r>
      <w:r w:rsidR="00D72474" w:rsidRPr="004F7156">
        <w:rPr>
          <w:rFonts w:ascii="Arial" w:hAnsi="Arial" w:cs="Arial"/>
          <w:color w:val="000000" w:themeColor="text1"/>
        </w:rPr>
        <w:tab/>
      </w:r>
      <w:r w:rsidR="0087518F" w:rsidRPr="004F7156">
        <w:rPr>
          <w:rFonts w:ascii="Arial" w:hAnsi="Arial" w:cs="Arial"/>
          <w:color w:val="000000" w:themeColor="text1"/>
        </w:rPr>
        <w:t>The appellants contend that clauses 7.1.6.1 and 7.1.6.2 are warranties</w:t>
      </w:r>
      <w:r w:rsidR="009068C9" w:rsidRPr="004F7156">
        <w:rPr>
          <w:rFonts w:ascii="Arial" w:hAnsi="Arial" w:cs="Arial"/>
          <w:color w:val="000000" w:themeColor="text1"/>
        </w:rPr>
        <w:t xml:space="preserve"> that do</w:t>
      </w:r>
      <w:r w:rsidR="0087518F" w:rsidRPr="004F7156">
        <w:rPr>
          <w:rFonts w:ascii="Arial" w:hAnsi="Arial" w:cs="Arial"/>
          <w:color w:val="000000" w:themeColor="text1"/>
        </w:rPr>
        <w:t xml:space="preserve"> not give rise to the rights and obligations that Capitec contends for. </w:t>
      </w:r>
      <w:r w:rsidR="009068C9" w:rsidRPr="004F7156">
        <w:rPr>
          <w:rFonts w:ascii="Arial" w:hAnsi="Arial" w:cs="Arial"/>
          <w:color w:val="000000" w:themeColor="text1"/>
        </w:rPr>
        <w:t xml:space="preserve">It is submitted that the </w:t>
      </w:r>
      <w:r w:rsidR="00E3508D" w:rsidRPr="004F7156">
        <w:rPr>
          <w:rFonts w:ascii="Arial" w:hAnsi="Arial" w:cs="Arial"/>
          <w:color w:val="000000" w:themeColor="text1"/>
        </w:rPr>
        <w:t xml:space="preserve">only </w:t>
      </w:r>
      <w:r w:rsidR="0087518F" w:rsidRPr="004F7156">
        <w:rPr>
          <w:rFonts w:ascii="Arial" w:hAnsi="Arial" w:cs="Arial"/>
          <w:color w:val="000000" w:themeColor="text1"/>
        </w:rPr>
        <w:t>basis for the inclusion of the clauses was to pro</w:t>
      </w:r>
      <w:r w:rsidR="002A593F" w:rsidRPr="004F7156">
        <w:rPr>
          <w:rFonts w:ascii="Arial" w:hAnsi="Arial" w:cs="Arial"/>
          <w:color w:val="000000" w:themeColor="text1"/>
        </w:rPr>
        <w:t>tect Capitec in the 2016 action.</w:t>
      </w:r>
    </w:p>
    <w:p w14:paraId="0636FC01" w14:textId="77777777" w:rsidR="00B96EAD" w:rsidRPr="004F7156" w:rsidRDefault="00B96EAD" w:rsidP="00B96EAD">
      <w:pPr>
        <w:shd w:val="clear" w:color="auto" w:fill="FFFFFF"/>
        <w:spacing w:line="360" w:lineRule="auto"/>
        <w:jc w:val="both"/>
        <w:rPr>
          <w:rFonts w:ascii="Arial" w:hAnsi="Arial" w:cs="Arial"/>
          <w:color w:val="000000" w:themeColor="text1"/>
        </w:rPr>
      </w:pPr>
    </w:p>
    <w:p w14:paraId="5F37668E" w14:textId="3F6BF89A" w:rsidR="0087518F" w:rsidRDefault="0087518F" w:rsidP="00B96EAD">
      <w:pPr>
        <w:shd w:val="clear" w:color="auto" w:fill="FFFFFF"/>
        <w:spacing w:line="360" w:lineRule="auto"/>
        <w:jc w:val="both"/>
        <w:rPr>
          <w:rFonts w:ascii="Arial" w:hAnsi="Arial" w:cs="Arial"/>
          <w:color w:val="000000" w:themeColor="text1"/>
        </w:rPr>
      </w:pPr>
      <w:r w:rsidRPr="004F7156">
        <w:rPr>
          <w:rFonts w:ascii="Arial" w:hAnsi="Arial" w:cs="Arial"/>
          <w:color w:val="000000" w:themeColor="text1"/>
        </w:rPr>
        <w:t xml:space="preserve">[15] </w:t>
      </w:r>
      <w:r w:rsidR="007357D2" w:rsidRPr="004F7156">
        <w:rPr>
          <w:rFonts w:ascii="Arial" w:hAnsi="Arial" w:cs="Arial"/>
          <w:color w:val="000000" w:themeColor="text1"/>
        </w:rPr>
        <w:t>It is trite that interpretation is, generally speaking, an objective process of attributing meaning to the words used in a document</w:t>
      </w:r>
      <w:r w:rsidR="0089283C" w:rsidRPr="004F7156">
        <w:rPr>
          <w:rFonts w:ascii="Arial" w:hAnsi="Arial" w:cs="Arial"/>
          <w:color w:val="000000" w:themeColor="text1"/>
        </w:rPr>
        <w:t>,</w:t>
      </w:r>
      <w:r w:rsidR="007357D2" w:rsidRPr="004F7156">
        <w:rPr>
          <w:rFonts w:ascii="Arial" w:hAnsi="Arial" w:cs="Arial"/>
          <w:color w:val="000000" w:themeColor="text1"/>
        </w:rPr>
        <w:t xml:space="preserve"> read in the context of the document as a whole and having regard to the apparent purpose of the words.</w:t>
      </w:r>
      <w:r w:rsidR="007357D2" w:rsidRPr="004F7156">
        <w:rPr>
          <w:rStyle w:val="FootnoteReference"/>
          <w:rFonts w:ascii="Arial" w:hAnsi="Arial" w:cs="Arial"/>
          <w:color w:val="000000" w:themeColor="text1"/>
        </w:rPr>
        <w:footnoteReference w:id="6"/>
      </w:r>
      <w:r w:rsidR="007357D2" w:rsidRPr="004F7156">
        <w:rPr>
          <w:rFonts w:ascii="Arial" w:hAnsi="Arial" w:cs="Arial"/>
          <w:color w:val="000000" w:themeColor="text1"/>
        </w:rPr>
        <w:t xml:space="preserve"> </w:t>
      </w:r>
      <w:r w:rsidR="002A593F" w:rsidRPr="004F7156">
        <w:rPr>
          <w:rFonts w:ascii="Arial" w:hAnsi="Arial" w:cs="Arial"/>
          <w:color w:val="000000" w:themeColor="text1"/>
        </w:rPr>
        <w:t>It is a unitary exercise which must be approached holistically:</w:t>
      </w:r>
      <w:r w:rsidR="002A593F" w:rsidRPr="004F7156">
        <w:rPr>
          <w:rFonts w:ascii="Arial" w:hAnsi="Arial" w:cs="Arial"/>
          <w:color w:val="242121"/>
          <w:lang w:eastAsia="en-ZA"/>
        </w:rPr>
        <w:t xml:space="preserve"> simultaneously considering the text, context and purpose.</w:t>
      </w:r>
      <w:r w:rsidR="002A593F" w:rsidRPr="004F7156">
        <w:rPr>
          <w:rStyle w:val="FootnoteReference"/>
          <w:rFonts w:ascii="Arial" w:hAnsi="Arial" w:cs="Arial"/>
          <w:color w:val="242121"/>
          <w:lang w:eastAsia="en-ZA"/>
        </w:rPr>
        <w:footnoteReference w:id="7"/>
      </w:r>
      <w:r w:rsidR="00137389" w:rsidRPr="004F7156">
        <w:rPr>
          <w:rFonts w:ascii="Arial" w:hAnsi="Arial" w:cs="Arial"/>
          <w:color w:val="242121"/>
          <w:lang w:eastAsia="en-ZA"/>
        </w:rPr>
        <w:t xml:space="preserve"> </w:t>
      </w:r>
      <w:r w:rsidR="0068118C" w:rsidRPr="004F7156">
        <w:rPr>
          <w:rFonts w:ascii="Arial" w:hAnsi="Arial" w:cs="Arial"/>
        </w:rPr>
        <w:t xml:space="preserve">In addition, </w:t>
      </w:r>
      <w:r w:rsidR="007357D2" w:rsidRPr="004F7156">
        <w:rPr>
          <w:rFonts w:ascii="Arial" w:hAnsi="Arial" w:cs="Arial"/>
          <w:lang w:eastAsia="en-ZA"/>
        </w:rPr>
        <w:t>extrinsic evidence may be admitted as relevant to context and purpose</w:t>
      </w:r>
      <w:r w:rsidR="007357D2" w:rsidRPr="004F7156">
        <w:rPr>
          <w:rFonts w:ascii="Arial" w:hAnsi="Arial" w:cs="Arial"/>
          <w:color w:val="242121"/>
          <w:lang w:eastAsia="en-ZA"/>
        </w:rPr>
        <w:t>.</w:t>
      </w:r>
      <w:r w:rsidR="007357D2" w:rsidRPr="004F7156">
        <w:rPr>
          <w:rStyle w:val="FootnoteReference"/>
          <w:rFonts w:ascii="Arial" w:hAnsi="Arial" w:cs="Arial"/>
          <w:color w:val="000000" w:themeColor="text1"/>
        </w:rPr>
        <w:footnoteReference w:id="8"/>
      </w:r>
      <w:r w:rsidR="00D72474" w:rsidRPr="004F7156">
        <w:rPr>
          <w:rFonts w:ascii="Arial" w:hAnsi="Arial" w:cs="Arial"/>
          <w:color w:val="000000" w:themeColor="text1"/>
        </w:rPr>
        <w:tab/>
      </w:r>
    </w:p>
    <w:p w14:paraId="066E6133" w14:textId="77777777" w:rsidR="00B96EAD" w:rsidRPr="004F7156" w:rsidRDefault="00B96EAD" w:rsidP="00B96EAD">
      <w:pPr>
        <w:shd w:val="clear" w:color="auto" w:fill="FFFFFF"/>
        <w:spacing w:line="360" w:lineRule="auto"/>
        <w:jc w:val="both"/>
        <w:rPr>
          <w:rFonts w:ascii="Arial" w:hAnsi="Arial" w:cs="Arial"/>
          <w:color w:val="000000" w:themeColor="text1"/>
        </w:rPr>
      </w:pPr>
    </w:p>
    <w:p w14:paraId="16F867D0" w14:textId="23CBE63B" w:rsidR="007357D2" w:rsidRPr="004F7156" w:rsidRDefault="0087518F" w:rsidP="00D72474">
      <w:pPr>
        <w:spacing w:line="360" w:lineRule="auto"/>
        <w:jc w:val="both"/>
        <w:rPr>
          <w:rFonts w:ascii="Arial" w:hAnsi="Arial" w:cs="Arial"/>
          <w:color w:val="000000" w:themeColor="text1"/>
        </w:rPr>
      </w:pPr>
      <w:r w:rsidRPr="004F7156">
        <w:rPr>
          <w:rFonts w:ascii="Arial" w:hAnsi="Arial" w:cs="Arial"/>
          <w:color w:val="000000" w:themeColor="text1"/>
        </w:rPr>
        <w:t>[16]</w:t>
      </w:r>
      <w:r w:rsidR="00401921" w:rsidRPr="004F7156">
        <w:rPr>
          <w:rFonts w:ascii="Arial" w:hAnsi="Arial" w:cs="Arial"/>
          <w:color w:val="000000" w:themeColor="text1"/>
        </w:rPr>
        <w:t xml:space="preserve"> </w:t>
      </w:r>
      <w:r w:rsidR="007357D2" w:rsidRPr="004F7156">
        <w:rPr>
          <w:rFonts w:ascii="Arial" w:hAnsi="Arial" w:cs="Arial"/>
          <w:color w:val="000000" w:themeColor="text1"/>
        </w:rPr>
        <w:t>The point of departure in interpreting the subject clauses is the text. The introductory words in Clause 7.1.6, read with 7.1.6.1 and 7.1.6.2,</w:t>
      </w:r>
      <w:r w:rsidR="00B6495B" w:rsidRPr="004F7156">
        <w:rPr>
          <w:rFonts w:ascii="Arial" w:hAnsi="Arial" w:cs="Arial"/>
          <w:color w:val="000000" w:themeColor="text1"/>
        </w:rPr>
        <w:t xml:space="preserve"> make</w:t>
      </w:r>
      <w:r w:rsidR="007357D2" w:rsidRPr="004F7156">
        <w:rPr>
          <w:rFonts w:ascii="Arial" w:hAnsi="Arial" w:cs="Arial"/>
          <w:color w:val="000000" w:themeColor="text1"/>
        </w:rPr>
        <w:t xml:space="preserve"> clear that the institution of legal proceedings by Coral and Ash Brook and its related entities</w:t>
      </w:r>
      <w:r w:rsidR="003F2A03" w:rsidRPr="004F7156">
        <w:rPr>
          <w:rFonts w:ascii="Arial" w:hAnsi="Arial" w:cs="Arial"/>
          <w:color w:val="000000" w:themeColor="text1"/>
        </w:rPr>
        <w:t xml:space="preserve"> against Capitec</w:t>
      </w:r>
      <w:r w:rsidR="007357D2" w:rsidRPr="004F7156">
        <w:rPr>
          <w:rFonts w:ascii="Arial" w:hAnsi="Arial" w:cs="Arial"/>
          <w:color w:val="000000" w:themeColor="text1"/>
        </w:rPr>
        <w:t xml:space="preserve"> </w:t>
      </w:r>
      <w:r w:rsidR="003F2A03" w:rsidRPr="004F7156">
        <w:rPr>
          <w:rFonts w:ascii="Arial" w:hAnsi="Arial" w:cs="Arial"/>
          <w:color w:val="000000" w:themeColor="text1"/>
        </w:rPr>
        <w:t>are</w:t>
      </w:r>
      <w:r w:rsidR="007357D2" w:rsidRPr="004F7156">
        <w:rPr>
          <w:rFonts w:ascii="Arial" w:hAnsi="Arial" w:cs="Arial"/>
          <w:color w:val="000000" w:themeColor="text1"/>
        </w:rPr>
        <w:t xml:space="preserve"> not permitted under two distinct circumstances</w:t>
      </w:r>
      <w:r w:rsidR="007357D2" w:rsidRPr="004F7156">
        <w:rPr>
          <w:rFonts w:ascii="Arial" w:hAnsi="Arial" w:cs="Arial"/>
          <w:color w:val="000000" w:themeColor="text1"/>
          <w:lang w:eastAsia="en-ZA"/>
        </w:rPr>
        <w:t xml:space="preserve">. </w:t>
      </w:r>
      <w:r w:rsidR="007357D2" w:rsidRPr="004F7156">
        <w:rPr>
          <w:rFonts w:ascii="Arial" w:hAnsi="Arial" w:cs="Arial"/>
          <w:color w:val="000000" w:themeColor="text1"/>
        </w:rPr>
        <w:t>Clause 7.1.6.1 is specifically directed to the 2016 action. It stipulates that the appellants (and its related and inter</w:t>
      </w:r>
      <w:r w:rsidR="00D70A62" w:rsidRPr="004F7156">
        <w:rPr>
          <w:rFonts w:ascii="Arial" w:hAnsi="Arial" w:cs="Arial"/>
          <w:color w:val="000000" w:themeColor="text1"/>
        </w:rPr>
        <w:t>-</w:t>
      </w:r>
      <w:r w:rsidR="007357D2" w:rsidRPr="004F7156">
        <w:rPr>
          <w:rFonts w:ascii="Arial" w:hAnsi="Arial" w:cs="Arial"/>
          <w:color w:val="000000" w:themeColor="text1"/>
        </w:rPr>
        <w:t xml:space="preserve">related persons) shall not use or rely on the 2017 Petratouch Transaction in the 2016 action or any other legal proceedings related to the 2016 action. Clause 7.1.6.2 is framed in wider terms. It applies not only to the 2016 action but to </w:t>
      </w:r>
      <w:r w:rsidR="007357D2" w:rsidRPr="004F7156">
        <w:rPr>
          <w:rFonts w:ascii="Arial" w:hAnsi="Arial" w:cs="Arial"/>
          <w:i/>
          <w:color w:val="000000" w:themeColor="text1"/>
        </w:rPr>
        <w:t>any legal proceedings</w:t>
      </w:r>
      <w:r w:rsidR="007357D2" w:rsidRPr="004F7156">
        <w:rPr>
          <w:rFonts w:ascii="Arial" w:hAnsi="Arial" w:cs="Arial"/>
          <w:color w:val="000000" w:themeColor="text1"/>
        </w:rPr>
        <w:t xml:space="preserve"> against Capitec where the appellants seek to use or rely upon the 2017 Petratouch Transaction. The singular purpose of the words used in clause 7.1.6.2 is clearly to prevent the appellants from instituting </w:t>
      </w:r>
      <w:r w:rsidR="0075146C" w:rsidRPr="004F7156">
        <w:rPr>
          <w:rFonts w:ascii="Arial" w:hAnsi="Arial" w:cs="Arial"/>
          <w:color w:val="000000" w:themeColor="text1"/>
        </w:rPr>
        <w:t xml:space="preserve">any </w:t>
      </w:r>
      <w:r w:rsidR="007357D2" w:rsidRPr="004F7156">
        <w:rPr>
          <w:rFonts w:ascii="Arial" w:hAnsi="Arial" w:cs="Arial"/>
          <w:color w:val="000000" w:themeColor="text1"/>
        </w:rPr>
        <w:t xml:space="preserve">future legal proceedings against Capitec in which it seeks to use or rely upon the 2017 Petratouch Transaction. </w:t>
      </w:r>
    </w:p>
    <w:p w14:paraId="4F2E6DED" w14:textId="77777777" w:rsidR="007357D2" w:rsidRPr="004F7156" w:rsidRDefault="007357D2" w:rsidP="00D72474">
      <w:pPr>
        <w:spacing w:line="360" w:lineRule="auto"/>
        <w:jc w:val="both"/>
        <w:rPr>
          <w:rFonts w:ascii="Arial" w:hAnsi="Arial" w:cs="Arial"/>
          <w:color w:val="000000" w:themeColor="text1"/>
        </w:rPr>
      </w:pPr>
    </w:p>
    <w:p w14:paraId="52B34159" w14:textId="4D49DC22" w:rsidR="007357D2" w:rsidRPr="004F7156" w:rsidRDefault="00293BED" w:rsidP="00D72474">
      <w:pPr>
        <w:spacing w:line="360" w:lineRule="auto"/>
        <w:jc w:val="both"/>
        <w:rPr>
          <w:rFonts w:ascii="Arial" w:hAnsi="Arial" w:cs="Arial"/>
          <w:color w:val="000000" w:themeColor="text1"/>
        </w:rPr>
      </w:pPr>
      <w:r w:rsidRPr="004F7156">
        <w:rPr>
          <w:rFonts w:ascii="Arial" w:hAnsi="Arial" w:cs="Arial"/>
          <w:color w:val="000000" w:themeColor="text1"/>
        </w:rPr>
        <w:t>[17</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 xml:space="preserve">The context in which the parties agreed to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is similarly clear. In the introduction to the consent agreement, it is recorded that the appellants and other parties had proposed the 2017 Petratouch Transaction to Capitec (clause 1.2). Various steps in the 2017 Petratouch Transaction required the consent or approval of Capitec in terms of the subscription agreement (clause 1.3). The parties requested Capitec to consent to those steps (clause 1.3). Capitec was willing to provide that consent on the terms and subject to the conditions in the consent agreement (clause 1.4). Clause 7.1.6 then </w:t>
      </w:r>
      <w:r w:rsidR="00B81805" w:rsidRPr="004F7156">
        <w:rPr>
          <w:rFonts w:ascii="Arial" w:hAnsi="Arial" w:cs="Arial"/>
          <w:color w:val="000000" w:themeColor="text1"/>
        </w:rPr>
        <w:t>addressed</w:t>
      </w:r>
      <w:r w:rsidR="007357D2" w:rsidRPr="004F7156">
        <w:rPr>
          <w:rFonts w:ascii="Arial" w:hAnsi="Arial" w:cs="Arial"/>
          <w:color w:val="000000" w:themeColor="text1"/>
        </w:rPr>
        <w:t xml:space="preserve"> Capitec’s two main concerns: Clause 7.1.6.1 prevents the appellants from using or relying upon the 2017 Petratouch Transaction in the 2016 action; and clause 7.1.6.2 prevents the appellants from instituting any other legal proceedings in which it will use or rely</w:t>
      </w:r>
      <w:r w:rsidR="007357D2" w:rsidRPr="004F7156">
        <w:rPr>
          <w:rFonts w:ascii="Arial" w:hAnsi="Arial" w:cs="Arial"/>
          <w:i/>
          <w:color w:val="000000" w:themeColor="text1"/>
        </w:rPr>
        <w:t xml:space="preserve"> </w:t>
      </w:r>
      <w:r w:rsidR="007357D2" w:rsidRPr="004F7156">
        <w:rPr>
          <w:rFonts w:ascii="Arial" w:hAnsi="Arial" w:cs="Arial"/>
          <w:color w:val="000000" w:themeColor="text1"/>
        </w:rPr>
        <w:t>upon the 2017 Petratouch Transaction. Clause 7.1.6.2 clearly does not refer to the 2016 action.</w:t>
      </w:r>
      <w:r w:rsidR="00D70A62" w:rsidRPr="004F7156">
        <w:rPr>
          <w:rStyle w:val="CommentReference"/>
        </w:rPr>
        <w:t xml:space="preserve"> </w:t>
      </w:r>
    </w:p>
    <w:p w14:paraId="433BF597" w14:textId="77777777" w:rsidR="007357D2" w:rsidRPr="004F7156" w:rsidRDefault="007357D2" w:rsidP="00D72474">
      <w:pPr>
        <w:spacing w:line="360" w:lineRule="auto"/>
        <w:jc w:val="both"/>
        <w:rPr>
          <w:rFonts w:ascii="Arial" w:hAnsi="Arial" w:cs="Arial"/>
          <w:color w:val="000000" w:themeColor="text1"/>
        </w:rPr>
      </w:pPr>
    </w:p>
    <w:p w14:paraId="41DEC24F" w14:textId="53E63612" w:rsidR="007357D2" w:rsidRPr="004F7156" w:rsidRDefault="00CD6A09" w:rsidP="00B81805">
      <w:pPr>
        <w:spacing w:line="360" w:lineRule="auto"/>
        <w:jc w:val="both"/>
        <w:rPr>
          <w:rFonts w:ascii="Arial" w:hAnsi="Arial" w:cs="Arial"/>
          <w:color w:val="000000" w:themeColor="text1"/>
        </w:rPr>
      </w:pPr>
      <w:r w:rsidRPr="004F7156">
        <w:rPr>
          <w:rFonts w:ascii="Arial" w:hAnsi="Arial" w:cs="Arial"/>
          <w:color w:val="000000" w:themeColor="text1"/>
        </w:rPr>
        <w:lastRenderedPageBreak/>
        <w:t>[18</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 xml:space="preserve">The appellants contend that on the assumption that clause 7.1.6.2 only applies to new litigation in which it seeks to escape </w:t>
      </w:r>
      <w:r w:rsidR="002B1E4C" w:rsidRPr="004F7156">
        <w:rPr>
          <w:rFonts w:ascii="Arial" w:hAnsi="Arial" w:cs="Arial"/>
          <w:color w:val="000000" w:themeColor="text1"/>
        </w:rPr>
        <w:t>‘</w:t>
      </w:r>
      <w:r w:rsidR="007357D2" w:rsidRPr="004F7156">
        <w:rPr>
          <w:rFonts w:ascii="Arial" w:hAnsi="Arial" w:cs="Arial"/>
          <w:color w:val="000000" w:themeColor="text1"/>
        </w:rPr>
        <w:t>from the selling restrictions</w:t>
      </w:r>
      <w:r w:rsidR="002B1E4C" w:rsidRPr="004F7156">
        <w:rPr>
          <w:rFonts w:ascii="Arial" w:hAnsi="Arial" w:cs="Arial"/>
          <w:color w:val="000000" w:themeColor="text1"/>
        </w:rPr>
        <w:t>’</w:t>
      </w:r>
      <w:r w:rsidR="007357D2" w:rsidRPr="004F7156">
        <w:rPr>
          <w:rFonts w:ascii="Arial" w:hAnsi="Arial" w:cs="Arial"/>
          <w:color w:val="000000" w:themeColor="text1"/>
        </w:rPr>
        <w:t>, it is not triggered by the 2020 action as the 2020 action does not relate to the ‘selling restrictions’.</w:t>
      </w:r>
      <w:r w:rsidR="00B81805" w:rsidRPr="004F7156">
        <w:rPr>
          <w:rFonts w:ascii="Arial" w:hAnsi="Arial" w:cs="Arial"/>
          <w:color w:val="000000" w:themeColor="text1"/>
        </w:rPr>
        <w:t xml:space="preserve"> In support of this contention the appellants refer to Capitec’s founding affidavit in which </w:t>
      </w:r>
      <w:r w:rsidR="004C70EA">
        <w:rPr>
          <w:rFonts w:ascii="Arial" w:hAnsi="Arial" w:cs="Arial"/>
          <w:color w:val="000000" w:themeColor="text1"/>
        </w:rPr>
        <w:t>it</w:t>
      </w:r>
      <w:r w:rsidR="00B81805" w:rsidRPr="004F7156">
        <w:rPr>
          <w:rFonts w:ascii="Arial" w:hAnsi="Arial" w:cs="Arial"/>
          <w:color w:val="000000" w:themeColor="text1"/>
        </w:rPr>
        <w:t xml:space="preserve"> stated that at the time the 2017 Petratouch Transaction was conclu</w:t>
      </w:r>
      <w:r w:rsidR="004C70EA">
        <w:rPr>
          <w:rFonts w:ascii="Arial" w:hAnsi="Arial" w:cs="Arial"/>
          <w:color w:val="000000" w:themeColor="text1"/>
        </w:rPr>
        <w:t>ded, it was ‘concerned that</w:t>
      </w:r>
      <w:r w:rsidR="00B81805" w:rsidRPr="004F7156">
        <w:rPr>
          <w:rFonts w:ascii="Arial" w:hAnsi="Arial" w:cs="Arial"/>
          <w:color w:val="000000" w:themeColor="text1"/>
        </w:rPr>
        <w:t xml:space="preserve"> [the appellants] intended to use the 2017 Petratouch Transaction to either support that litigation, or to institute new litigation in which it sought to escape from the Selling Restrictions’.</w:t>
      </w:r>
    </w:p>
    <w:p w14:paraId="6E49692F" w14:textId="77777777" w:rsidR="007357D2" w:rsidRPr="004F7156" w:rsidRDefault="007357D2" w:rsidP="00D72474">
      <w:pPr>
        <w:spacing w:line="360" w:lineRule="auto"/>
        <w:jc w:val="both"/>
        <w:rPr>
          <w:rFonts w:ascii="Arial" w:hAnsi="Arial" w:cs="Arial"/>
          <w:color w:val="000000" w:themeColor="text1"/>
        </w:rPr>
      </w:pPr>
    </w:p>
    <w:p w14:paraId="19D11569" w14:textId="7F668032" w:rsidR="007357D2" w:rsidRPr="004F7156" w:rsidRDefault="00CD6A09" w:rsidP="00D72474">
      <w:pPr>
        <w:spacing w:line="360" w:lineRule="auto"/>
        <w:jc w:val="both"/>
        <w:rPr>
          <w:rFonts w:ascii="Arial" w:hAnsi="Arial" w:cs="Arial"/>
          <w:color w:val="000000" w:themeColor="text1"/>
        </w:rPr>
      </w:pPr>
      <w:r w:rsidRPr="004F7156">
        <w:rPr>
          <w:rFonts w:ascii="Arial" w:hAnsi="Arial" w:cs="Arial"/>
          <w:color w:val="000000" w:themeColor="text1"/>
        </w:rPr>
        <w:t>[19</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The passage in the founding affidavit referred to above is not the only </w:t>
      </w:r>
      <w:r w:rsidR="00054ABF" w:rsidRPr="004F7156">
        <w:rPr>
          <w:rFonts w:ascii="Arial" w:hAnsi="Arial" w:cs="Arial"/>
        </w:rPr>
        <w:t>i</w:t>
      </w:r>
      <w:r w:rsidR="00D12687" w:rsidRPr="004F7156">
        <w:rPr>
          <w:rFonts w:ascii="Arial" w:hAnsi="Arial" w:cs="Arial"/>
        </w:rPr>
        <w:t>n</w:t>
      </w:r>
      <w:r w:rsidR="00054ABF" w:rsidRPr="004F7156">
        <w:rPr>
          <w:rFonts w:ascii="Arial" w:hAnsi="Arial" w:cs="Arial"/>
        </w:rPr>
        <w:t>stance</w:t>
      </w:r>
      <w:r w:rsidR="007357D2" w:rsidRPr="004F7156">
        <w:rPr>
          <w:rFonts w:ascii="Arial" w:hAnsi="Arial" w:cs="Arial"/>
        </w:rPr>
        <w:t xml:space="preserve"> </w:t>
      </w:r>
      <w:r w:rsidR="007357D2" w:rsidRPr="004F7156">
        <w:rPr>
          <w:rFonts w:ascii="Arial" w:hAnsi="Arial" w:cs="Arial"/>
          <w:color w:val="000000" w:themeColor="text1"/>
        </w:rPr>
        <w:t xml:space="preserve">in the founding affidavit where </w:t>
      </w:r>
      <w:r w:rsidR="006F4B26" w:rsidRPr="004F7156">
        <w:rPr>
          <w:rFonts w:ascii="Arial" w:hAnsi="Arial" w:cs="Arial"/>
          <w:color w:val="000000" w:themeColor="text1"/>
        </w:rPr>
        <w:t>Capitec explained</w:t>
      </w:r>
      <w:r w:rsidR="007357D2" w:rsidRPr="004F7156">
        <w:rPr>
          <w:rFonts w:ascii="Arial" w:hAnsi="Arial" w:cs="Arial"/>
          <w:color w:val="000000" w:themeColor="text1"/>
        </w:rPr>
        <w:t xml:space="preserve"> the reason for the inclusion of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w:t>
      </w:r>
      <w:r w:rsidR="00B6495B" w:rsidRPr="004F7156">
        <w:rPr>
          <w:rFonts w:ascii="Arial" w:hAnsi="Arial" w:cs="Arial"/>
          <w:color w:val="000000" w:themeColor="text1"/>
        </w:rPr>
        <w:t xml:space="preserve">Capitec </w:t>
      </w:r>
      <w:r w:rsidR="007357D2" w:rsidRPr="004F7156">
        <w:rPr>
          <w:rFonts w:ascii="Arial" w:hAnsi="Arial" w:cs="Arial"/>
          <w:color w:val="000000" w:themeColor="text1"/>
        </w:rPr>
        <w:t xml:space="preserve">also </w:t>
      </w:r>
      <w:r w:rsidR="00054ABF" w:rsidRPr="004F7156">
        <w:rPr>
          <w:rFonts w:ascii="Arial" w:hAnsi="Arial" w:cs="Arial"/>
          <w:color w:val="000000" w:themeColor="text1"/>
        </w:rPr>
        <w:t>averred</w:t>
      </w:r>
      <w:r w:rsidR="007357D2" w:rsidRPr="004F7156">
        <w:rPr>
          <w:rFonts w:ascii="Arial" w:hAnsi="Arial" w:cs="Arial"/>
          <w:color w:val="000000" w:themeColor="text1"/>
        </w:rPr>
        <w:t xml:space="preserve"> that </w:t>
      </w:r>
      <w:r w:rsidR="00B6495B" w:rsidRPr="004F7156">
        <w:rPr>
          <w:rFonts w:ascii="Arial" w:hAnsi="Arial" w:cs="Arial"/>
          <w:color w:val="000000" w:themeColor="text1"/>
        </w:rPr>
        <w:t>it</w:t>
      </w:r>
      <w:r w:rsidR="007357D2" w:rsidRPr="004F7156">
        <w:rPr>
          <w:rFonts w:ascii="Arial" w:hAnsi="Arial" w:cs="Arial"/>
          <w:color w:val="000000" w:themeColor="text1"/>
        </w:rPr>
        <w:t xml:space="preserve"> gave its consent for the 2017 Petratouch Transaction only because it knew that </w:t>
      </w:r>
      <w:r w:rsidR="006F4B26" w:rsidRPr="004F7156">
        <w:rPr>
          <w:rFonts w:ascii="Arial" w:hAnsi="Arial" w:cs="Arial"/>
          <w:color w:val="000000" w:themeColor="text1"/>
        </w:rPr>
        <w:t>the appellants</w:t>
      </w:r>
      <w:r w:rsidR="007357D2" w:rsidRPr="004F7156">
        <w:rPr>
          <w:rFonts w:ascii="Arial" w:hAnsi="Arial" w:cs="Arial"/>
          <w:color w:val="000000" w:themeColor="text1"/>
        </w:rPr>
        <w:t xml:space="preserve"> could not subsequently hold the 2017 </w:t>
      </w:r>
      <w:r w:rsidR="004C70EA">
        <w:rPr>
          <w:rFonts w:ascii="Arial" w:hAnsi="Arial" w:cs="Arial"/>
          <w:color w:val="000000" w:themeColor="text1"/>
        </w:rPr>
        <w:t xml:space="preserve">Petratouch </w:t>
      </w:r>
      <w:r w:rsidR="007357D2" w:rsidRPr="004F7156">
        <w:rPr>
          <w:rFonts w:ascii="Arial" w:hAnsi="Arial" w:cs="Arial"/>
          <w:color w:val="000000" w:themeColor="text1"/>
        </w:rPr>
        <w:t>Transaction against it in litigation.</w:t>
      </w:r>
      <w:r w:rsidR="001C0E01" w:rsidRPr="004F7156" w:rsidDel="001C0E01">
        <w:rPr>
          <w:rStyle w:val="FootnoteReference"/>
          <w:rFonts w:ascii="Arial" w:hAnsi="Arial" w:cs="Arial"/>
          <w:color w:val="000000" w:themeColor="text1"/>
        </w:rPr>
        <w:t xml:space="preserve"> </w:t>
      </w:r>
      <w:r w:rsidR="007357D2" w:rsidRPr="004F7156">
        <w:rPr>
          <w:rFonts w:ascii="Arial" w:hAnsi="Arial" w:cs="Arial"/>
          <w:color w:val="000000" w:themeColor="text1"/>
        </w:rPr>
        <w:t xml:space="preserve"> Clause 7.1.6. catered for both the 2016 action (which attacks the selling restrictions directly) and any legal proceedings other than</w:t>
      </w:r>
      <w:r w:rsidRPr="004F7156">
        <w:rPr>
          <w:rFonts w:ascii="Arial" w:hAnsi="Arial" w:cs="Arial"/>
          <w:color w:val="000000" w:themeColor="text1"/>
        </w:rPr>
        <w:t>,</w:t>
      </w:r>
      <w:r w:rsidR="007357D2" w:rsidRPr="004F7156">
        <w:rPr>
          <w:rFonts w:ascii="Arial" w:hAnsi="Arial" w:cs="Arial"/>
          <w:color w:val="000000" w:themeColor="text1"/>
        </w:rPr>
        <w:t xml:space="preserve"> and in addition to</w:t>
      </w:r>
      <w:r w:rsidR="00D70A62" w:rsidRPr="004F7156">
        <w:rPr>
          <w:rFonts w:ascii="Arial" w:hAnsi="Arial" w:cs="Arial"/>
          <w:color w:val="000000" w:themeColor="text1"/>
        </w:rPr>
        <w:t>,</w:t>
      </w:r>
      <w:r w:rsidR="007357D2" w:rsidRPr="004F7156">
        <w:rPr>
          <w:rFonts w:ascii="Arial" w:hAnsi="Arial" w:cs="Arial"/>
          <w:color w:val="000000" w:themeColor="text1"/>
        </w:rPr>
        <w:t xml:space="preserve"> the 2016 action. </w:t>
      </w:r>
    </w:p>
    <w:p w14:paraId="11552D48" w14:textId="77777777" w:rsidR="007357D2" w:rsidRPr="004F7156" w:rsidRDefault="007357D2" w:rsidP="00D72474">
      <w:pPr>
        <w:spacing w:line="360" w:lineRule="auto"/>
        <w:jc w:val="both"/>
        <w:rPr>
          <w:rFonts w:ascii="Arial" w:hAnsi="Arial" w:cs="Arial"/>
          <w:color w:val="000000" w:themeColor="text1"/>
        </w:rPr>
      </w:pPr>
    </w:p>
    <w:p w14:paraId="052F2647" w14:textId="34E49624" w:rsidR="007357D2" w:rsidRPr="004F7156" w:rsidRDefault="00CD6A09" w:rsidP="007357D2">
      <w:pPr>
        <w:spacing w:line="360" w:lineRule="auto"/>
        <w:jc w:val="both"/>
        <w:rPr>
          <w:rFonts w:ascii="Arial" w:hAnsi="Arial" w:cs="Arial"/>
          <w:color w:val="000000" w:themeColor="text1"/>
        </w:rPr>
      </w:pPr>
      <w:r w:rsidRPr="004F7156">
        <w:rPr>
          <w:rFonts w:ascii="Arial" w:hAnsi="Arial" w:cs="Arial"/>
          <w:color w:val="000000" w:themeColor="text1"/>
        </w:rPr>
        <w:t>[20</w:t>
      </w:r>
      <w:r w:rsidR="00D72474"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The context established that Capitec agreed to give its consent to the 2017 Petratouch Transaction only if the appellants agreed not to use or rely on the 2017 Petratouch Transaction or any part thereof against Capitec in the 2016 action or any other legal proceedings which they might institute against Capitec.</w:t>
      </w:r>
    </w:p>
    <w:p w14:paraId="3801618A" w14:textId="77777777" w:rsidR="00D72474" w:rsidRPr="004F7156" w:rsidRDefault="00D72474" w:rsidP="007357D2">
      <w:pPr>
        <w:spacing w:line="360" w:lineRule="auto"/>
        <w:jc w:val="both"/>
        <w:rPr>
          <w:rFonts w:ascii="Arial" w:hAnsi="Arial" w:cs="Arial"/>
          <w:b/>
          <w:i/>
          <w:color w:val="000000" w:themeColor="text1"/>
        </w:rPr>
      </w:pPr>
    </w:p>
    <w:p w14:paraId="7CDC300E" w14:textId="4E348FEF" w:rsidR="007357D2" w:rsidRPr="00B96EAD" w:rsidRDefault="007357D2" w:rsidP="007357D2">
      <w:pPr>
        <w:spacing w:line="360" w:lineRule="auto"/>
        <w:jc w:val="both"/>
        <w:rPr>
          <w:rFonts w:ascii="Arial" w:hAnsi="Arial" w:cs="Arial"/>
          <w:b/>
          <w:color w:val="000000" w:themeColor="text1"/>
        </w:rPr>
      </w:pPr>
      <w:r w:rsidRPr="00B96EAD">
        <w:rPr>
          <w:rFonts w:ascii="Arial" w:hAnsi="Arial" w:cs="Arial"/>
          <w:b/>
          <w:color w:val="000000" w:themeColor="text1"/>
        </w:rPr>
        <w:t>Is clause 7.1.6.2 a warranty?</w:t>
      </w:r>
    </w:p>
    <w:p w14:paraId="15485175" w14:textId="4C0CCCD1" w:rsidR="007357D2" w:rsidRPr="004F7156" w:rsidRDefault="00CD6A09" w:rsidP="00CB3D6F">
      <w:pPr>
        <w:spacing w:line="360" w:lineRule="auto"/>
        <w:jc w:val="both"/>
        <w:rPr>
          <w:rFonts w:ascii="Arial" w:hAnsi="Arial" w:cs="Arial"/>
          <w:color w:val="000000" w:themeColor="text1"/>
        </w:rPr>
      </w:pPr>
      <w:r w:rsidRPr="004F7156">
        <w:rPr>
          <w:rFonts w:ascii="Arial" w:hAnsi="Arial" w:cs="Arial"/>
          <w:color w:val="000000" w:themeColor="text1"/>
        </w:rPr>
        <w:t>[21</w:t>
      </w:r>
      <w:r w:rsidR="007357D2" w:rsidRPr="004F7156">
        <w:rPr>
          <w:rFonts w:ascii="Arial" w:hAnsi="Arial" w:cs="Arial"/>
          <w:color w:val="000000" w:themeColor="text1"/>
        </w:rPr>
        <w:t>]</w:t>
      </w:r>
      <w:r w:rsidR="00D72474" w:rsidRPr="004F7156">
        <w:rPr>
          <w:rFonts w:ascii="Arial" w:hAnsi="Arial" w:cs="Arial"/>
          <w:color w:val="000000" w:themeColor="text1"/>
        </w:rPr>
        <w:tab/>
      </w:r>
      <w:r w:rsidR="0008065C" w:rsidRPr="004F7156">
        <w:rPr>
          <w:rFonts w:ascii="Arial" w:hAnsi="Arial" w:cs="Arial"/>
          <w:color w:val="000000" w:themeColor="text1"/>
        </w:rPr>
        <w:t>Clause 7, in</w:t>
      </w:r>
      <w:r w:rsidR="007357D2" w:rsidRPr="004F7156">
        <w:rPr>
          <w:rFonts w:ascii="Arial" w:hAnsi="Arial" w:cs="Arial"/>
          <w:color w:val="000000" w:themeColor="text1"/>
        </w:rPr>
        <w:t xml:space="preserve"> which the </w:t>
      </w:r>
      <w:r w:rsidR="007357D2" w:rsidRPr="004F7156">
        <w:rPr>
          <w:rFonts w:ascii="Arial" w:hAnsi="Arial" w:cs="Arial"/>
          <w:i/>
          <w:color w:val="000000" w:themeColor="text1"/>
        </w:rPr>
        <w:t>pactum</w:t>
      </w:r>
      <w:r w:rsidR="0008065C" w:rsidRPr="004F7156">
        <w:rPr>
          <w:rFonts w:ascii="Arial" w:hAnsi="Arial" w:cs="Arial"/>
          <w:color w:val="000000" w:themeColor="text1"/>
        </w:rPr>
        <w:t xml:space="preserve"> is located</w:t>
      </w:r>
      <w:r w:rsidR="007357D2" w:rsidRPr="004F7156">
        <w:rPr>
          <w:rFonts w:ascii="Arial" w:hAnsi="Arial" w:cs="Arial"/>
          <w:color w:val="000000" w:themeColor="text1"/>
        </w:rPr>
        <w:t xml:space="preserve">, is headed ‘Warranties, representations and undertakings by Ash Brook and Coral’. In Clause 7.1 it is recorded that ‘Ash Brook and Coral hereby give the following </w:t>
      </w:r>
      <w:r w:rsidR="00FB4852">
        <w:rPr>
          <w:rFonts w:ascii="Arial" w:hAnsi="Arial" w:cs="Arial"/>
          <w:color w:val="000000" w:themeColor="text1"/>
        </w:rPr>
        <w:t>“</w:t>
      </w:r>
      <w:r w:rsidR="007357D2" w:rsidRPr="004F7156">
        <w:rPr>
          <w:rFonts w:ascii="Arial" w:hAnsi="Arial" w:cs="Arial"/>
          <w:color w:val="000000" w:themeColor="text1"/>
        </w:rPr>
        <w:t>warranties</w:t>
      </w:r>
      <w:r w:rsidR="00FB4852">
        <w:rPr>
          <w:rFonts w:ascii="Arial" w:hAnsi="Arial" w:cs="Arial"/>
          <w:color w:val="000000" w:themeColor="text1"/>
        </w:rPr>
        <w:t>”</w:t>
      </w:r>
      <w:r w:rsidR="007357D2" w:rsidRPr="004F7156">
        <w:rPr>
          <w:rFonts w:ascii="Arial" w:hAnsi="Arial" w:cs="Arial"/>
          <w:color w:val="000000" w:themeColor="text1"/>
        </w:rPr>
        <w:t xml:space="preserve"> to Capitec Holdings’.</w:t>
      </w:r>
      <w:r w:rsidR="007357D2" w:rsidRPr="004F7156">
        <w:rPr>
          <w:rFonts w:ascii="Arial" w:hAnsi="Arial" w:cs="Arial"/>
          <w:i/>
          <w:color w:val="000000" w:themeColor="text1"/>
        </w:rPr>
        <w:t xml:space="preserve"> </w:t>
      </w:r>
      <w:r w:rsidR="007357D2" w:rsidRPr="004F7156">
        <w:rPr>
          <w:rFonts w:ascii="Arial" w:hAnsi="Arial" w:cs="Arial"/>
          <w:color w:val="000000" w:themeColor="text1"/>
        </w:rPr>
        <w:t>Clause 7.1.1 to 7.1.6 are also referred to in the agreement as ‘</w:t>
      </w:r>
      <w:r w:rsidR="00D70A62" w:rsidRPr="004F7156">
        <w:rPr>
          <w:rFonts w:ascii="Arial" w:hAnsi="Arial" w:cs="Arial"/>
          <w:color w:val="000000" w:themeColor="text1"/>
        </w:rPr>
        <w:t>T</w:t>
      </w:r>
      <w:r w:rsidR="007357D2" w:rsidRPr="004F7156">
        <w:rPr>
          <w:rFonts w:ascii="Arial" w:hAnsi="Arial" w:cs="Arial"/>
          <w:color w:val="000000" w:themeColor="text1"/>
        </w:rPr>
        <w:t xml:space="preserve">ransaction </w:t>
      </w:r>
      <w:r w:rsidR="00D70A62" w:rsidRPr="004F7156">
        <w:rPr>
          <w:rFonts w:ascii="Arial" w:hAnsi="Arial" w:cs="Arial"/>
          <w:color w:val="000000" w:themeColor="text1"/>
        </w:rPr>
        <w:t>W</w:t>
      </w:r>
      <w:r w:rsidR="007357D2" w:rsidRPr="004F7156">
        <w:rPr>
          <w:rFonts w:ascii="Arial" w:hAnsi="Arial" w:cs="Arial"/>
          <w:color w:val="000000" w:themeColor="text1"/>
        </w:rPr>
        <w:t>arranties’. Clause 7.3 further states that the ‘transaction warranties are a material representation inducing Capitec Holdings to enter into this Agreement</w:t>
      </w:r>
      <w:r w:rsidR="00FB4852">
        <w:rPr>
          <w:rFonts w:ascii="Arial" w:hAnsi="Arial" w:cs="Arial"/>
          <w:color w:val="000000" w:themeColor="text1"/>
        </w:rPr>
        <w:t>’</w:t>
      </w:r>
      <w:r w:rsidR="007357D2" w:rsidRPr="004F7156">
        <w:rPr>
          <w:rFonts w:ascii="Arial" w:hAnsi="Arial" w:cs="Arial"/>
          <w:color w:val="000000" w:themeColor="text1"/>
        </w:rPr>
        <w:t>.</w:t>
      </w:r>
    </w:p>
    <w:p w14:paraId="0BB6EAB7" w14:textId="77777777" w:rsidR="007357D2" w:rsidRPr="004F7156" w:rsidRDefault="007357D2" w:rsidP="00D72474">
      <w:pPr>
        <w:spacing w:line="360" w:lineRule="auto"/>
        <w:jc w:val="both"/>
        <w:rPr>
          <w:rFonts w:ascii="Arial" w:hAnsi="Arial" w:cs="Arial"/>
          <w:color w:val="000000" w:themeColor="text1"/>
        </w:rPr>
      </w:pPr>
    </w:p>
    <w:p w14:paraId="23882061" w14:textId="77777777" w:rsidR="0072114F" w:rsidRPr="004F7156" w:rsidRDefault="0072114F" w:rsidP="0072114F">
      <w:pPr>
        <w:spacing w:line="360" w:lineRule="auto"/>
        <w:jc w:val="both"/>
        <w:rPr>
          <w:rFonts w:ascii="Arial" w:hAnsi="Arial" w:cs="Arial"/>
          <w:color w:val="000000" w:themeColor="text1"/>
        </w:rPr>
      </w:pPr>
      <w:r w:rsidRPr="004F7156">
        <w:rPr>
          <w:rFonts w:ascii="Arial" w:hAnsi="Arial" w:cs="Arial"/>
          <w:color w:val="000000" w:themeColor="text1"/>
        </w:rPr>
        <w:lastRenderedPageBreak/>
        <w:t>[22</w:t>
      </w:r>
      <w:r w:rsidR="00D72474"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The appellants contend that clause 7.1.6.2, properly interpreted, is a warranty that ‘reflected a position at the time the consent agreement was concluded’. The appellants submit the purpose of the clause was limited and does not give rise to legally enforceable rights and obligations beyond those specified in clause 7.4</w:t>
      </w:r>
      <w:r w:rsidRPr="004F7156">
        <w:rPr>
          <w:rFonts w:ascii="Arial" w:hAnsi="Arial" w:cs="Arial"/>
          <w:color w:val="000000" w:themeColor="text1"/>
        </w:rPr>
        <w:t xml:space="preserve"> which provides:</w:t>
      </w:r>
    </w:p>
    <w:p w14:paraId="1D0D4EFE" w14:textId="79391AFE" w:rsidR="0072114F" w:rsidRPr="004F7156" w:rsidRDefault="0072114F" w:rsidP="0072114F">
      <w:pPr>
        <w:spacing w:line="360" w:lineRule="auto"/>
        <w:jc w:val="both"/>
        <w:rPr>
          <w:rFonts w:ascii="Arial" w:hAnsi="Arial" w:cs="Arial"/>
          <w:color w:val="000000" w:themeColor="text1"/>
        </w:rPr>
      </w:pPr>
      <w:r w:rsidRPr="004F7156">
        <w:rPr>
          <w:rFonts w:ascii="Arial" w:hAnsi="Arial" w:cs="Arial"/>
          <w:color w:val="000000" w:themeColor="text1"/>
          <w:sz w:val="22"/>
          <w:szCs w:val="22"/>
        </w:rPr>
        <w:t xml:space="preserve">‘If Ash Brook or Coral breach any of the Transaction Warranties, then Capitec Holdings shall be entitled to immediately without having to give notice as envisaged in clause 11, upon written notice to the other Parties and without prejudice to any other remedies Capitec Holdings may be entitled in law, forthwith revoke all or any of the consents, approvals, undertakings and confirmations envisaged in clause 6 </w:t>
      </w:r>
      <w:r w:rsidRPr="004F7156">
        <w:rPr>
          <w:rFonts w:ascii="Arial" w:hAnsi="Arial" w:cs="Arial"/>
          <w:i/>
          <w:color w:val="000000" w:themeColor="text1"/>
          <w:sz w:val="22"/>
          <w:szCs w:val="22"/>
        </w:rPr>
        <w:t>ab initio</w:t>
      </w:r>
      <w:r w:rsidRPr="004F7156">
        <w:rPr>
          <w:rFonts w:ascii="Arial" w:hAnsi="Arial" w:cs="Arial"/>
          <w:color w:val="000000" w:themeColor="text1"/>
          <w:sz w:val="22"/>
          <w:szCs w:val="22"/>
        </w:rPr>
        <w:t>, and/or exercise its rights pursuant to the Mandatory Acquisition Option and/or the Repurchase option as the case may be.’</w:t>
      </w:r>
      <w:r w:rsidR="002B1E4C" w:rsidRPr="004F7156">
        <w:rPr>
          <w:rFonts w:ascii="Arial" w:hAnsi="Arial" w:cs="Arial"/>
          <w:color w:val="000000" w:themeColor="text1"/>
        </w:rPr>
        <w:t xml:space="preserve"> </w:t>
      </w:r>
    </w:p>
    <w:p w14:paraId="1269BAE4" w14:textId="4CFB5400" w:rsidR="007357D2" w:rsidRDefault="007357D2" w:rsidP="00B96EAD">
      <w:pPr>
        <w:spacing w:line="360" w:lineRule="auto"/>
        <w:jc w:val="both"/>
        <w:rPr>
          <w:rFonts w:ascii="Arial" w:hAnsi="Arial" w:cs="Arial"/>
          <w:color w:val="000000" w:themeColor="text1"/>
        </w:rPr>
      </w:pPr>
      <w:r w:rsidRPr="004F7156">
        <w:rPr>
          <w:rFonts w:ascii="Arial" w:hAnsi="Arial" w:cs="Arial"/>
          <w:color w:val="000000" w:themeColor="text1"/>
        </w:rPr>
        <w:t xml:space="preserve">At most, so it is argued, a breach of a warranty would give rise to a damages action, and not the ‘drastic remedy’ granted by the high court. In support of </w:t>
      </w:r>
      <w:r w:rsidR="00B56B1A" w:rsidRPr="004F7156">
        <w:rPr>
          <w:rFonts w:ascii="Arial" w:hAnsi="Arial" w:cs="Arial"/>
          <w:color w:val="000000" w:themeColor="text1"/>
        </w:rPr>
        <w:t>their</w:t>
      </w:r>
      <w:r w:rsidRPr="004F7156">
        <w:rPr>
          <w:rFonts w:ascii="Arial" w:hAnsi="Arial" w:cs="Arial"/>
          <w:color w:val="000000" w:themeColor="text1"/>
        </w:rPr>
        <w:t xml:space="preserve"> argument the appellants rely, inter alia, on </w:t>
      </w:r>
      <w:r w:rsidRPr="004F7156">
        <w:rPr>
          <w:rFonts w:ascii="Arial" w:hAnsi="Arial" w:cs="Arial"/>
          <w:i/>
          <w:color w:val="000000" w:themeColor="text1"/>
        </w:rPr>
        <w:t>Absa Bank v Swanepoel</w:t>
      </w:r>
      <w:r w:rsidRPr="004F7156">
        <w:rPr>
          <w:rFonts w:ascii="Arial" w:hAnsi="Arial" w:cs="Arial"/>
          <w:color w:val="000000" w:themeColor="text1"/>
        </w:rPr>
        <w:t>.</w:t>
      </w:r>
      <w:r w:rsidRPr="004F7156">
        <w:rPr>
          <w:rStyle w:val="FootnoteReference"/>
          <w:rFonts w:ascii="Arial" w:hAnsi="Arial" w:cs="Arial"/>
          <w:color w:val="000000" w:themeColor="text1"/>
        </w:rPr>
        <w:footnoteReference w:id="9"/>
      </w:r>
      <w:r w:rsidRPr="004F7156">
        <w:rPr>
          <w:rFonts w:ascii="Arial" w:hAnsi="Arial" w:cs="Arial"/>
          <w:color w:val="000000" w:themeColor="text1"/>
        </w:rPr>
        <w:t xml:space="preserve"> In that matter Cameron JA emphasised that not all terms in a contract create enforceable rights and obligations. He remarked that </w:t>
      </w:r>
      <w:r w:rsidR="005539BD" w:rsidRPr="004F7156">
        <w:rPr>
          <w:rFonts w:ascii="Arial" w:hAnsi="Arial" w:cs="Arial"/>
          <w:color w:val="000000" w:themeColor="text1"/>
        </w:rPr>
        <w:t xml:space="preserve">to establish </w:t>
      </w:r>
      <w:r w:rsidRPr="004F7156">
        <w:rPr>
          <w:rFonts w:ascii="Arial" w:hAnsi="Arial" w:cs="Arial"/>
          <w:color w:val="000000" w:themeColor="text1"/>
        </w:rPr>
        <w:t xml:space="preserve">whether a clause has an operational effect ‘depends on what it says within its context in the contract, against the background in which the parties concluded it’. </w:t>
      </w:r>
    </w:p>
    <w:p w14:paraId="672BA312" w14:textId="77777777" w:rsidR="00B96EAD" w:rsidRPr="004F7156" w:rsidRDefault="00B96EAD" w:rsidP="00B96EAD">
      <w:pPr>
        <w:spacing w:line="360" w:lineRule="auto"/>
        <w:jc w:val="both"/>
        <w:rPr>
          <w:rFonts w:ascii="Arial" w:hAnsi="Arial" w:cs="Arial"/>
          <w:color w:val="000000" w:themeColor="text1"/>
        </w:rPr>
      </w:pPr>
    </w:p>
    <w:p w14:paraId="7D3377F1" w14:textId="77E8D676" w:rsidR="007357D2" w:rsidRPr="004F7156" w:rsidRDefault="0072114F" w:rsidP="00B96EAD">
      <w:pPr>
        <w:pStyle w:val="western"/>
        <w:shd w:val="clear" w:color="auto" w:fill="FFFFFF"/>
        <w:spacing w:before="0" w:beforeAutospacing="0" w:after="0" w:afterAutospacing="0" w:line="360" w:lineRule="auto"/>
        <w:jc w:val="both"/>
        <w:rPr>
          <w:rFonts w:ascii="Arial" w:hAnsi="Arial" w:cs="Arial"/>
          <w:color w:val="000000" w:themeColor="text1"/>
          <w:lang w:val="en-GB"/>
        </w:rPr>
      </w:pPr>
      <w:r w:rsidRPr="004F7156">
        <w:rPr>
          <w:rFonts w:ascii="Arial" w:hAnsi="Arial" w:cs="Arial"/>
          <w:color w:val="000000" w:themeColor="text1"/>
          <w:lang w:val="en-GB"/>
        </w:rPr>
        <w:t>[23</w:t>
      </w:r>
      <w:r w:rsidR="007357D2" w:rsidRPr="004F7156">
        <w:rPr>
          <w:rFonts w:ascii="Arial" w:hAnsi="Arial" w:cs="Arial"/>
          <w:color w:val="000000" w:themeColor="text1"/>
          <w:lang w:val="en-GB"/>
        </w:rPr>
        <w:t>]</w:t>
      </w:r>
      <w:r w:rsidR="00D72474" w:rsidRPr="004F7156">
        <w:rPr>
          <w:rFonts w:ascii="Arial" w:hAnsi="Arial" w:cs="Arial"/>
          <w:color w:val="000000" w:themeColor="text1"/>
          <w:lang w:val="en-GB"/>
        </w:rPr>
        <w:tab/>
      </w:r>
      <w:r w:rsidR="007357D2" w:rsidRPr="004F7156">
        <w:rPr>
          <w:rFonts w:ascii="Arial" w:hAnsi="Arial" w:cs="Arial"/>
          <w:color w:val="000000" w:themeColor="text1"/>
          <w:lang w:val="en-GB"/>
        </w:rPr>
        <w:t xml:space="preserve">Although clause 7.1.6.2 is referred to as a ‘warranty’ in the consent agreement, there is no magic in the </w:t>
      </w:r>
      <w:r w:rsidR="00212A71">
        <w:rPr>
          <w:rFonts w:ascii="Arial" w:hAnsi="Arial" w:cs="Arial"/>
          <w:color w:val="000000" w:themeColor="text1"/>
          <w:lang w:val="en-GB"/>
        </w:rPr>
        <w:t xml:space="preserve">contractual </w:t>
      </w:r>
      <w:r w:rsidR="007357D2" w:rsidRPr="004F7156">
        <w:rPr>
          <w:rFonts w:ascii="Arial" w:hAnsi="Arial" w:cs="Arial"/>
          <w:color w:val="000000" w:themeColor="text1"/>
          <w:lang w:val="en-GB"/>
        </w:rPr>
        <w:t xml:space="preserve">terminology. As remarked by Hoexter JA in </w:t>
      </w:r>
      <w:r w:rsidR="007357D2" w:rsidRPr="004F7156">
        <w:rPr>
          <w:rFonts w:ascii="Arial" w:hAnsi="Arial" w:cs="Arial"/>
          <w:i/>
          <w:color w:val="000000" w:themeColor="text1"/>
          <w:lang w:val="en-GB"/>
        </w:rPr>
        <w:t>Resisto Dairy v Auto Protection Insurance Co</w:t>
      </w:r>
      <w:r w:rsidR="007357D2" w:rsidRPr="004F7156">
        <w:rPr>
          <w:rFonts w:ascii="Arial" w:hAnsi="Arial" w:cs="Arial"/>
          <w:color w:val="000000" w:themeColor="text1"/>
          <w:lang w:val="en-GB"/>
        </w:rPr>
        <w:t>:</w:t>
      </w:r>
      <w:r w:rsidR="007514B9" w:rsidRPr="004F7156">
        <w:rPr>
          <w:rStyle w:val="FootnoteReference"/>
          <w:rFonts w:ascii="Arial" w:hAnsi="Arial" w:cs="Arial"/>
          <w:color w:val="000000" w:themeColor="text1"/>
          <w:lang w:val="en-GB"/>
        </w:rPr>
        <w:footnoteReference w:id="10"/>
      </w:r>
    </w:p>
    <w:p w14:paraId="35C48F7B" w14:textId="77777777" w:rsidR="00C30F28" w:rsidRDefault="007357D2" w:rsidP="00B96EAD">
      <w:pPr>
        <w:pStyle w:val="western"/>
        <w:shd w:val="clear" w:color="auto" w:fill="FFFFFF"/>
        <w:spacing w:before="0" w:beforeAutospacing="0" w:after="0" w:afterAutospacing="0" w:line="360" w:lineRule="auto"/>
        <w:jc w:val="both"/>
        <w:rPr>
          <w:rFonts w:ascii="Arial" w:hAnsi="Arial" w:cs="Arial"/>
          <w:iCs/>
          <w:color w:val="000000" w:themeColor="text1"/>
          <w:sz w:val="22"/>
          <w:szCs w:val="22"/>
        </w:rPr>
      </w:pPr>
      <w:r w:rsidRPr="00C30F28">
        <w:rPr>
          <w:rFonts w:ascii="Arial" w:hAnsi="Arial" w:cs="Arial"/>
          <w:color w:val="000000" w:themeColor="text1"/>
          <w:sz w:val="22"/>
          <w:szCs w:val="22"/>
        </w:rPr>
        <w:t>‘</w:t>
      </w:r>
      <w:r w:rsidRPr="00C30F28">
        <w:rPr>
          <w:rFonts w:ascii="Arial" w:hAnsi="Arial" w:cs="Arial"/>
          <w:iCs/>
          <w:color w:val="000000" w:themeColor="text1"/>
          <w:sz w:val="22"/>
          <w:szCs w:val="22"/>
        </w:rPr>
        <w:t>The terms of the contract cannot be changed into suspensive conditions merely by calling them conditions precedent. A term of the contract may be so material that a breach of it will entitle the other party to repudiate the contract, and in the present case the parties have used the words “conditions precedent to any liability” to indicate that the so-called conditions are material terms of the contract.’</w:t>
      </w:r>
      <w:r w:rsidRPr="00212A71">
        <w:rPr>
          <w:rStyle w:val="FootnoteReference"/>
          <w:rFonts w:ascii="Arial" w:hAnsi="Arial" w:cs="Arial"/>
          <w:iCs/>
          <w:color w:val="000000" w:themeColor="text1"/>
        </w:rPr>
        <w:footnoteReference w:id="11"/>
      </w:r>
    </w:p>
    <w:p w14:paraId="5E9BA4CA" w14:textId="77777777" w:rsidR="00B96EAD" w:rsidRDefault="00B96EAD" w:rsidP="00B96EAD">
      <w:pPr>
        <w:pStyle w:val="western"/>
        <w:shd w:val="clear" w:color="auto" w:fill="FFFFFF"/>
        <w:spacing w:before="0" w:beforeAutospacing="0" w:after="0" w:afterAutospacing="0" w:line="360" w:lineRule="auto"/>
        <w:jc w:val="both"/>
        <w:rPr>
          <w:rFonts w:ascii="Arial" w:hAnsi="Arial" w:cs="Arial"/>
          <w:iCs/>
          <w:color w:val="000000" w:themeColor="text1"/>
        </w:rPr>
      </w:pPr>
    </w:p>
    <w:p w14:paraId="5D6180F6" w14:textId="0349FF8F" w:rsidR="007357D2" w:rsidRPr="004104E7" w:rsidRDefault="00C30F28" w:rsidP="00B96EAD">
      <w:pPr>
        <w:pStyle w:val="western"/>
        <w:shd w:val="clear" w:color="auto" w:fill="FFFFFF"/>
        <w:spacing w:before="0" w:beforeAutospacing="0" w:after="0" w:afterAutospacing="0" w:line="360" w:lineRule="auto"/>
        <w:jc w:val="both"/>
        <w:rPr>
          <w:rFonts w:ascii="Arial" w:hAnsi="Arial" w:cs="Arial"/>
          <w:color w:val="000000" w:themeColor="text1"/>
          <w:sz w:val="22"/>
          <w:szCs w:val="22"/>
          <w:lang w:val="en-GB"/>
        </w:rPr>
      </w:pPr>
      <w:r>
        <w:rPr>
          <w:rFonts w:ascii="Arial" w:hAnsi="Arial" w:cs="Arial"/>
          <w:iCs/>
          <w:color w:val="000000" w:themeColor="text1"/>
        </w:rPr>
        <w:lastRenderedPageBreak/>
        <w:t xml:space="preserve">[24] </w:t>
      </w:r>
      <w:r w:rsidR="004104E7">
        <w:rPr>
          <w:rFonts w:ascii="Arial" w:hAnsi="Arial" w:cs="Arial"/>
          <w:iCs/>
          <w:color w:val="000000" w:themeColor="text1"/>
        </w:rPr>
        <w:tab/>
      </w:r>
      <w:r>
        <w:rPr>
          <w:rFonts w:ascii="Arial" w:hAnsi="Arial" w:cs="Arial"/>
          <w:iCs/>
          <w:color w:val="000000" w:themeColor="text1"/>
        </w:rPr>
        <w:t xml:space="preserve">In </w:t>
      </w:r>
      <w:r w:rsidRPr="00212A71">
        <w:rPr>
          <w:rFonts w:ascii="Arial" w:hAnsi="Arial" w:cs="Arial"/>
          <w:i/>
        </w:rPr>
        <w:t>Parsons Transport</w:t>
      </w:r>
      <w:r w:rsidRPr="00212A71">
        <w:rPr>
          <w:rFonts w:ascii="Arial" w:hAnsi="Arial" w:cs="Arial"/>
          <w:b/>
          <w:bCs/>
          <w:i/>
        </w:rPr>
        <w:t xml:space="preserve"> </w:t>
      </w:r>
      <w:r w:rsidRPr="00212A71">
        <w:rPr>
          <w:rFonts w:ascii="Arial" w:hAnsi="Arial" w:cs="Arial"/>
          <w:i/>
        </w:rPr>
        <w:t>(Pty) Ltd v Global Insurance Ltd</w:t>
      </w:r>
      <w:r w:rsidR="004104E7">
        <w:rPr>
          <w:rStyle w:val="FootnoteReference"/>
          <w:rFonts w:ascii="Arial" w:hAnsi="Arial" w:cs="Arial"/>
          <w:i/>
        </w:rPr>
        <w:footnoteReference w:id="12"/>
      </w:r>
      <w:r w:rsidR="00212A71" w:rsidRPr="00212A71">
        <w:rPr>
          <w:rFonts w:ascii="Arial" w:hAnsi="Arial" w:cs="Arial"/>
        </w:rPr>
        <w:t xml:space="preserve"> this Court had to interpret certain clauses in an insurance contract. In dealing with the ‘warranties’, Mpati DP </w:t>
      </w:r>
      <w:r w:rsidR="004104E7">
        <w:rPr>
          <w:rFonts w:ascii="Arial" w:hAnsi="Arial" w:cs="Arial"/>
          <w:iCs/>
          <w:color w:val="000000" w:themeColor="text1"/>
        </w:rPr>
        <w:t xml:space="preserve">applied the </w:t>
      </w:r>
      <w:r w:rsidR="004104E7" w:rsidRPr="00212A71">
        <w:rPr>
          <w:rFonts w:ascii="Arial" w:hAnsi="Arial" w:cs="Arial"/>
          <w:iCs/>
          <w:color w:val="000000" w:themeColor="text1"/>
        </w:rPr>
        <w:t xml:space="preserve">approach </w:t>
      </w:r>
      <w:r w:rsidR="004104E7">
        <w:rPr>
          <w:rFonts w:ascii="Arial" w:hAnsi="Arial" w:cs="Arial"/>
          <w:iCs/>
          <w:color w:val="000000" w:themeColor="text1"/>
        </w:rPr>
        <w:t xml:space="preserve">adopted in </w:t>
      </w:r>
      <w:r w:rsidR="004104E7" w:rsidRPr="00212A71">
        <w:rPr>
          <w:rFonts w:ascii="Arial" w:hAnsi="Arial" w:cs="Arial"/>
          <w:i/>
          <w:iCs/>
          <w:color w:val="000000" w:themeColor="text1"/>
        </w:rPr>
        <w:t>Resisto Dairy</w:t>
      </w:r>
      <w:r w:rsidR="004104E7">
        <w:rPr>
          <w:rFonts w:ascii="Arial" w:hAnsi="Arial" w:cs="Arial"/>
          <w:i/>
          <w:iCs/>
          <w:color w:val="000000" w:themeColor="text1"/>
        </w:rPr>
        <w:t xml:space="preserve">, </w:t>
      </w:r>
      <w:r w:rsidR="004104E7" w:rsidRPr="004104E7">
        <w:rPr>
          <w:rFonts w:ascii="Arial" w:hAnsi="Arial" w:cs="Arial"/>
          <w:iCs/>
          <w:color w:val="000000" w:themeColor="text1"/>
        </w:rPr>
        <w:t xml:space="preserve">and </w:t>
      </w:r>
      <w:r w:rsidR="00212A71" w:rsidRPr="004104E7">
        <w:rPr>
          <w:rFonts w:ascii="Arial" w:hAnsi="Arial" w:cs="Arial"/>
          <w:color w:val="000000" w:themeColor="text1"/>
        </w:rPr>
        <w:t>held</w:t>
      </w:r>
      <w:r w:rsidR="004104E7">
        <w:rPr>
          <w:rFonts w:ascii="Arial" w:hAnsi="Arial" w:cs="Arial"/>
          <w:color w:val="000000" w:themeColor="text1"/>
        </w:rPr>
        <w:t xml:space="preserve"> that</w:t>
      </w:r>
      <w:r w:rsidR="00212A71" w:rsidRPr="00212A71">
        <w:rPr>
          <w:rFonts w:ascii="Arial" w:hAnsi="Arial" w:cs="Arial"/>
          <w:color w:val="000000" w:themeColor="text1"/>
        </w:rPr>
        <w:t xml:space="preserve"> </w:t>
      </w:r>
      <w:r w:rsidR="004104E7">
        <w:rPr>
          <w:rFonts w:ascii="Arial" w:hAnsi="Arial" w:cs="Arial"/>
          <w:color w:val="000000" w:themeColor="text1"/>
        </w:rPr>
        <w:t>they</w:t>
      </w:r>
      <w:r w:rsidR="00212A71" w:rsidRPr="00212A71">
        <w:rPr>
          <w:rFonts w:ascii="Arial" w:hAnsi="Arial" w:cs="Arial"/>
          <w:color w:val="000000" w:themeColor="text1"/>
        </w:rPr>
        <w:t xml:space="preserve"> were material terms of the contract and did not ‘become warranties merely because they are referred to as warranties in the schedule’.</w:t>
      </w:r>
      <w:r w:rsidR="00212A71">
        <w:rPr>
          <w:rStyle w:val="FootnoteReference"/>
          <w:rFonts w:ascii="Arial" w:hAnsi="Arial" w:cs="Arial"/>
          <w:color w:val="000000" w:themeColor="text1"/>
        </w:rPr>
        <w:footnoteReference w:id="13"/>
      </w:r>
      <w:r w:rsidR="004104E7" w:rsidRPr="004104E7">
        <w:rPr>
          <w:rFonts w:ascii="Arial" w:hAnsi="Arial" w:cs="Arial"/>
          <w:i/>
        </w:rPr>
        <w:t xml:space="preserve"> </w:t>
      </w:r>
      <w:r w:rsidR="007357D2" w:rsidRPr="004F7156">
        <w:rPr>
          <w:rFonts w:ascii="Arial" w:hAnsi="Arial" w:cs="Arial"/>
          <w:color w:val="000000" w:themeColor="text1"/>
        </w:rPr>
        <w:t xml:space="preserve">In </w:t>
      </w:r>
      <w:r w:rsidR="007357D2" w:rsidRPr="004F7156">
        <w:rPr>
          <w:rFonts w:ascii="Arial" w:hAnsi="Arial" w:cs="Arial"/>
          <w:i/>
          <w:iCs/>
          <w:color w:val="000000"/>
        </w:rPr>
        <w:t xml:space="preserve">Protea Property Holdings (Pty) Ltd v Boundary Financing Ltd (formerly known as International Bank of Southern Africa Ltd) </w:t>
      </w:r>
      <w:r w:rsidR="00CF5B1F" w:rsidRPr="004F7156">
        <w:rPr>
          <w:rFonts w:ascii="Arial" w:hAnsi="Arial" w:cs="Arial"/>
          <w:i/>
          <w:iCs/>
          <w:color w:val="000000"/>
        </w:rPr>
        <w:t>and</w:t>
      </w:r>
      <w:r w:rsidR="007357D2" w:rsidRPr="004F7156">
        <w:rPr>
          <w:rFonts w:ascii="Arial" w:hAnsi="Arial" w:cs="Arial"/>
          <w:i/>
          <w:iCs/>
          <w:color w:val="000000"/>
        </w:rPr>
        <w:t xml:space="preserve"> </w:t>
      </w:r>
      <w:r w:rsidR="00F73EE7" w:rsidRPr="004F7156">
        <w:rPr>
          <w:rFonts w:ascii="Arial" w:hAnsi="Arial" w:cs="Arial"/>
          <w:i/>
          <w:iCs/>
          <w:color w:val="000000"/>
        </w:rPr>
        <w:t>O</w:t>
      </w:r>
      <w:r w:rsidR="007357D2" w:rsidRPr="004F7156">
        <w:rPr>
          <w:rFonts w:ascii="Arial" w:hAnsi="Arial" w:cs="Arial"/>
          <w:i/>
          <w:iCs/>
          <w:color w:val="000000"/>
        </w:rPr>
        <w:t>thers</w:t>
      </w:r>
      <w:r w:rsidR="00112592" w:rsidRPr="004F7156">
        <w:rPr>
          <w:rFonts w:ascii="Arial" w:hAnsi="Arial" w:cs="Arial"/>
          <w:i/>
          <w:iCs/>
          <w:color w:val="000000"/>
        </w:rPr>
        <w:t>,</w:t>
      </w:r>
      <w:r w:rsidR="007357D2" w:rsidRPr="004F7156">
        <w:rPr>
          <w:rStyle w:val="FootnoteReference"/>
          <w:rFonts w:ascii="Arial" w:hAnsi="Arial" w:cs="Arial"/>
          <w:iCs/>
          <w:color w:val="000000"/>
        </w:rPr>
        <w:footnoteReference w:id="14"/>
      </w:r>
      <w:r w:rsidR="00CB3D6F" w:rsidRPr="004F7156">
        <w:rPr>
          <w:rFonts w:ascii="Arial" w:hAnsi="Arial" w:cs="Arial"/>
          <w:color w:val="000000"/>
        </w:rPr>
        <w:t xml:space="preserve"> Griesel J said</w:t>
      </w:r>
      <w:r w:rsidR="007357D2" w:rsidRPr="004F7156">
        <w:rPr>
          <w:rFonts w:ascii="Arial" w:hAnsi="Arial" w:cs="Arial"/>
          <w:color w:val="000000"/>
        </w:rPr>
        <w:t xml:space="preserve">: </w:t>
      </w:r>
    </w:p>
    <w:p w14:paraId="009D51CF" w14:textId="42BD36BA" w:rsidR="007357D2" w:rsidRPr="00484E79" w:rsidRDefault="007357D2" w:rsidP="004104E7">
      <w:pPr>
        <w:spacing w:line="360" w:lineRule="auto"/>
        <w:jc w:val="both"/>
        <w:rPr>
          <w:rFonts w:ascii="Arial" w:hAnsi="Arial" w:cs="Arial"/>
          <w:color w:val="000000"/>
        </w:rPr>
      </w:pPr>
      <w:r w:rsidRPr="004F7156">
        <w:rPr>
          <w:rFonts w:ascii="Arial" w:hAnsi="Arial" w:cs="Arial"/>
          <w:color w:val="000000"/>
          <w:sz w:val="22"/>
          <w:szCs w:val="22"/>
        </w:rPr>
        <w:t>'In the final analysis, there is no unanimity among the authorities as to what the expression "warranty" connotes, save that it is a contractual term. It accordingly becomes necessary, as pointed out by Farlam JA in </w:t>
      </w:r>
      <w:r w:rsidRPr="004F7156">
        <w:rPr>
          <w:rFonts w:ascii="Arial" w:hAnsi="Arial" w:cs="Arial"/>
          <w:i/>
          <w:iCs/>
          <w:color w:val="000000"/>
          <w:sz w:val="22"/>
          <w:szCs w:val="22"/>
        </w:rPr>
        <w:t xml:space="preserve">Masterspice (Pty) Ltd v Broszeit </w:t>
      </w:r>
      <w:r w:rsidRPr="004F7156">
        <w:rPr>
          <w:rFonts w:ascii="Arial" w:hAnsi="Arial" w:cs="Arial"/>
          <w:i/>
          <w:iCs/>
          <w:sz w:val="22"/>
          <w:szCs w:val="22"/>
        </w:rPr>
        <w:t>Investments CC</w:t>
      </w:r>
      <w:r w:rsidR="00484E79">
        <w:rPr>
          <w:rFonts w:ascii="Arial" w:hAnsi="Arial" w:cs="Arial"/>
          <w:i/>
          <w:iCs/>
          <w:sz w:val="22"/>
          <w:szCs w:val="22"/>
        </w:rPr>
        <w:t>,</w:t>
      </w:r>
      <w:r w:rsidRPr="004F7156">
        <w:rPr>
          <w:rFonts w:ascii="Arial" w:hAnsi="Arial" w:cs="Arial"/>
          <w:sz w:val="22"/>
          <w:szCs w:val="22"/>
        </w:rPr>
        <w:t xml:space="preserve"> "in every case where the expression is used, to exam</w:t>
      </w:r>
      <w:r w:rsidRPr="004F7156">
        <w:rPr>
          <w:rFonts w:ascii="Arial" w:hAnsi="Arial" w:cs="Arial"/>
          <w:color w:val="000000"/>
          <w:sz w:val="22"/>
          <w:szCs w:val="22"/>
        </w:rPr>
        <w:t>ine the terms of the contract in question closely in order to endeavour to ascertain in what sense</w:t>
      </w:r>
      <w:r w:rsidR="00484E79">
        <w:rPr>
          <w:rFonts w:ascii="Arial" w:hAnsi="Arial" w:cs="Arial"/>
          <w:color w:val="000000"/>
          <w:sz w:val="22"/>
          <w:szCs w:val="22"/>
        </w:rPr>
        <w:t xml:space="preserve"> the parties have used it". </w:t>
      </w:r>
      <w:r w:rsidR="00484E79" w:rsidRPr="00484E79">
        <w:rPr>
          <w:rFonts w:ascii="Arial" w:hAnsi="Arial" w:cs="Arial"/>
          <w:color w:val="000000"/>
        </w:rPr>
        <w:t>(Footnotes omitted)</w:t>
      </w:r>
    </w:p>
    <w:p w14:paraId="03DDC9EC" w14:textId="77777777" w:rsidR="00F73EE7" w:rsidRPr="004F7156" w:rsidRDefault="00F73EE7" w:rsidP="007357D2">
      <w:pPr>
        <w:spacing w:line="360" w:lineRule="auto"/>
        <w:jc w:val="both"/>
        <w:rPr>
          <w:rFonts w:ascii="Arial" w:hAnsi="Arial" w:cs="Arial"/>
          <w:color w:val="000000"/>
          <w:sz w:val="22"/>
          <w:szCs w:val="22"/>
        </w:rPr>
      </w:pPr>
    </w:p>
    <w:p w14:paraId="2E583004" w14:textId="78AF8694" w:rsidR="007357D2" w:rsidRPr="004F7156" w:rsidRDefault="0072114F" w:rsidP="002625CE">
      <w:pPr>
        <w:spacing w:line="360" w:lineRule="auto"/>
        <w:jc w:val="both"/>
        <w:rPr>
          <w:rFonts w:ascii="Arial" w:hAnsi="Arial" w:cs="Arial"/>
          <w:color w:val="000000" w:themeColor="text1"/>
        </w:rPr>
      </w:pPr>
      <w:r w:rsidRPr="004F7156">
        <w:rPr>
          <w:rFonts w:ascii="Arial" w:hAnsi="Arial" w:cs="Arial"/>
          <w:color w:val="000000" w:themeColor="text1"/>
        </w:rPr>
        <w:t>[25</w:t>
      </w:r>
      <w:r w:rsidR="007357D2" w:rsidRPr="004F7156">
        <w:rPr>
          <w:rFonts w:ascii="Arial" w:hAnsi="Arial" w:cs="Arial"/>
          <w:color w:val="000000" w:themeColor="text1"/>
        </w:rPr>
        <w:t>]</w:t>
      </w:r>
      <w:r w:rsidR="00D72474" w:rsidRPr="004F7156">
        <w:rPr>
          <w:rFonts w:ascii="Arial" w:hAnsi="Arial" w:cs="Arial"/>
          <w:color w:val="000000" w:themeColor="text1"/>
        </w:rPr>
        <w:tab/>
      </w:r>
      <w:r w:rsidR="007357D2" w:rsidRPr="004F7156">
        <w:rPr>
          <w:rFonts w:ascii="Arial" w:hAnsi="Arial" w:cs="Arial"/>
          <w:color w:val="000000" w:themeColor="text1"/>
        </w:rPr>
        <w:t>Warranties</w:t>
      </w:r>
      <w:r w:rsidR="00CB3D6F" w:rsidRPr="004F7156">
        <w:rPr>
          <w:rFonts w:ascii="Arial" w:hAnsi="Arial" w:cs="Arial"/>
          <w:color w:val="000000" w:themeColor="text1"/>
        </w:rPr>
        <w:t>, in the narrow sense,</w:t>
      </w:r>
      <w:r w:rsidR="007357D2" w:rsidRPr="004F7156">
        <w:rPr>
          <w:rFonts w:ascii="Arial" w:hAnsi="Arial" w:cs="Arial"/>
          <w:color w:val="000000" w:themeColor="text1"/>
        </w:rPr>
        <w:t xml:space="preserve"> can give rise to contractual remedies if they were intended to do so. But, depending on the context, </w:t>
      </w:r>
      <w:r w:rsidR="00484E79">
        <w:rPr>
          <w:rFonts w:ascii="Arial" w:hAnsi="Arial" w:cs="Arial"/>
          <w:color w:val="000000" w:themeColor="text1"/>
        </w:rPr>
        <w:t>they</w:t>
      </w:r>
      <w:r w:rsidR="007357D2" w:rsidRPr="004F7156">
        <w:rPr>
          <w:rFonts w:ascii="Arial" w:hAnsi="Arial" w:cs="Arial"/>
          <w:color w:val="000000" w:themeColor="text1"/>
        </w:rPr>
        <w:t xml:space="preserve"> can also be </w:t>
      </w:r>
      <w:r w:rsidR="007357D2" w:rsidRPr="004F7156">
        <w:rPr>
          <w:rFonts w:ascii="Arial" w:hAnsi="Arial" w:cs="Arial"/>
          <w:color w:val="000000"/>
        </w:rPr>
        <w:t>used in a wider sense to mean</w:t>
      </w:r>
      <w:r w:rsidR="007357D2" w:rsidRPr="004F7156">
        <w:rPr>
          <w:rFonts w:ascii="Arial" w:hAnsi="Arial" w:cs="Arial"/>
          <w:color w:val="000000" w:themeColor="text1"/>
        </w:rPr>
        <w:t xml:space="preserve"> contractual undertaking</w:t>
      </w:r>
      <w:r w:rsidR="00484E79">
        <w:rPr>
          <w:rFonts w:ascii="Arial" w:hAnsi="Arial" w:cs="Arial"/>
          <w:color w:val="000000" w:themeColor="text1"/>
        </w:rPr>
        <w:t>s</w:t>
      </w:r>
      <w:r w:rsidR="007357D2" w:rsidRPr="004F7156">
        <w:rPr>
          <w:rFonts w:ascii="Arial" w:hAnsi="Arial" w:cs="Arial"/>
          <w:color w:val="000000" w:themeColor="text1"/>
        </w:rPr>
        <w:t>.</w:t>
      </w:r>
      <w:r w:rsidR="007357D2" w:rsidRPr="004F7156">
        <w:rPr>
          <w:rStyle w:val="FootnoteReference"/>
          <w:rFonts w:ascii="Arial" w:hAnsi="Arial" w:cs="Arial"/>
          <w:color w:val="000000" w:themeColor="text1"/>
        </w:rPr>
        <w:footnoteReference w:id="15"/>
      </w:r>
      <w:r w:rsidR="007357D2" w:rsidRPr="004F7156">
        <w:rPr>
          <w:rFonts w:ascii="Arial" w:hAnsi="Arial" w:cs="Arial"/>
          <w:color w:val="000000" w:themeColor="text1"/>
        </w:rPr>
        <w:t xml:space="preserve"> I have already dealt with the context in which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was included in the consent agreement. Clause 7.1.6.2 was clearly intended to create obligations and afford rights and remedies. T</w:t>
      </w:r>
      <w:r w:rsidR="002625CE" w:rsidRPr="004F7156">
        <w:rPr>
          <w:rFonts w:ascii="Arial" w:hAnsi="Arial" w:cs="Arial"/>
          <w:color w:val="000000" w:themeColor="text1"/>
        </w:rPr>
        <w:t xml:space="preserve">his is made clear by clause 7.4. </w:t>
      </w:r>
      <w:r w:rsidR="007357D2" w:rsidRPr="004F7156">
        <w:rPr>
          <w:rFonts w:ascii="Arial" w:hAnsi="Arial" w:cs="Arial"/>
          <w:color w:val="000000" w:themeColor="text1"/>
        </w:rPr>
        <w:t>Clause 7.1.6.2 is not a warranty in the true sense of the word</w:t>
      </w:r>
      <w:r w:rsidR="0080441B" w:rsidRPr="004F7156">
        <w:rPr>
          <w:rFonts w:ascii="Arial" w:hAnsi="Arial" w:cs="Arial"/>
          <w:color w:val="000000" w:themeColor="text1"/>
        </w:rPr>
        <w:t>,</w:t>
      </w:r>
      <w:r w:rsidR="007357D2" w:rsidRPr="004F7156">
        <w:rPr>
          <w:rFonts w:ascii="Arial" w:hAnsi="Arial" w:cs="Arial"/>
          <w:color w:val="000000" w:themeColor="text1"/>
        </w:rPr>
        <w:t xml:space="preserve"> ie a representation about a past or present state of affairs.</w:t>
      </w:r>
      <w:r w:rsidR="007357D2" w:rsidRPr="004F7156">
        <w:rPr>
          <w:rStyle w:val="FootnoteReference"/>
          <w:rFonts w:ascii="Arial" w:hAnsi="Arial" w:cs="Arial"/>
          <w:color w:val="000000" w:themeColor="text1"/>
        </w:rPr>
        <w:footnoteReference w:id="16"/>
      </w:r>
      <w:r w:rsidR="007357D2" w:rsidRPr="004F7156">
        <w:rPr>
          <w:rFonts w:ascii="Arial" w:hAnsi="Arial" w:cs="Arial"/>
          <w:color w:val="000000" w:themeColor="text1"/>
        </w:rPr>
        <w:t xml:space="preserve"> It is about how the appellants warrant or </w:t>
      </w:r>
      <w:r w:rsidR="00CF5B1F" w:rsidRPr="004F7156">
        <w:rPr>
          <w:rFonts w:ascii="Arial" w:hAnsi="Arial" w:cs="Arial"/>
          <w:color w:val="000000" w:themeColor="text1"/>
        </w:rPr>
        <w:t>undertake</w:t>
      </w:r>
      <w:r w:rsidR="00C23854" w:rsidRPr="004F7156">
        <w:rPr>
          <w:rFonts w:ascii="Arial" w:hAnsi="Arial" w:cs="Arial"/>
          <w:color w:val="000000" w:themeColor="text1"/>
        </w:rPr>
        <w:t xml:space="preserve"> that</w:t>
      </w:r>
      <w:r w:rsidR="007357D2" w:rsidRPr="004F7156">
        <w:rPr>
          <w:rFonts w:ascii="Arial" w:hAnsi="Arial" w:cs="Arial"/>
          <w:color w:val="000000" w:themeColor="text1"/>
        </w:rPr>
        <w:t xml:space="preserve"> they shall not conduct themselves in future.</w:t>
      </w:r>
      <w:r w:rsidR="007357D2" w:rsidRPr="004F7156">
        <w:rPr>
          <w:rFonts w:ascii="Verdana" w:hAnsi="Verdana"/>
          <w:color w:val="000000"/>
          <w:sz w:val="20"/>
          <w:szCs w:val="20"/>
        </w:rPr>
        <w:t xml:space="preserve"> </w:t>
      </w:r>
      <w:r w:rsidR="007357D2" w:rsidRPr="004F7156">
        <w:rPr>
          <w:rFonts w:ascii="Arial" w:hAnsi="Arial" w:cs="Arial"/>
          <w:color w:val="000000" w:themeColor="text1"/>
        </w:rPr>
        <w:t>It is a contractual undertaking.</w:t>
      </w:r>
      <w:r w:rsidR="00CF5B1F" w:rsidRPr="004F7156">
        <w:rPr>
          <w:rFonts w:ascii="Arial" w:hAnsi="Arial" w:cs="Arial"/>
          <w:color w:val="000000" w:themeColor="text1"/>
        </w:rPr>
        <w:t xml:space="preserve"> This interpretation is fortified by the use in the heading to clause 7 of the word ‘undertakings’.</w:t>
      </w:r>
    </w:p>
    <w:p w14:paraId="0836DDAD" w14:textId="5ACEBB9F" w:rsidR="007357D2" w:rsidRPr="004F7156" w:rsidRDefault="007357D2" w:rsidP="00D72474">
      <w:pPr>
        <w:jc w:val="both"/>
        <w:rPr>
          <w:rFonts w:ascii="Arial" w:hAnsi="Arial" w:cs="Arial"/>
          <w:color w:val="000000" w:themeColor="text1"/>
        </w:rPr>
      </w:pPr>
    </w:p>
    <w:p w14:paraId="3BE2FB1F" w14:textId="77777777" w:rsidR="007357D2" w:rsidRPr="004F7156" w:rsidRDefault="007357D2" w:rsidP="007357D2">
      <w:pPr>
        <w:spacing w:line="360" w:lineRule="auto"/>
        <w:jc w:val="both"/>
        <w:rPr>
          <w:rFonts w:ascii="Arial" w:hAnsi="Arial" w:cs="Arial"/>
          <w:b/>
          <w:color w:val="000000" w:themeColor="text1"/>
        </w:rPr>
      </w:pPr>
      <w:bookmarkStart w:id="2" w:name="LPTOC11"/>
      <w:bookmarkEnd w:id="2"/>
      <w:r w:rsidRPr="004F7156">
        <w:rPr>
          <w:rFonts w:ascii="Arial" w:hAnsi="Arial" w:cs="Arial"/>
          <w:b/>
          <w:color w:val="000000" w:themeColor="text1"/>
        </w:rPr>
        <w:t>Breach of the consent agreement</w:t>
      </w:r>
    </w:p>
    <w:p w14:paraId="0DC8981D" w14:textId="6687864A" w:rsidR="007357D2" w:rsidRPr="004F7156" w:rsidRDefault="002625CE" w:rsidP="007357D2">
      <w:pPr>
        <w:spacing w:line="360" w:lineRule="auto"/>
        <w:jc w:val="both"/>
        <w:rPr>
          <w:rFonts w:ascii="Arial" w:hAnsi="Arial" w:cs="Arial"/>
          <w:color w:val="000000" w:themeColor="text1"/>
        </w:rPr>
      </w:pPr>
      <w:r w:rsidRPr="004F7156">
        <w:rPr>
          <w:rFonts w:ascii="Arial" w:hAnsi="Arial" w:cs="Arial"/>
          <w:color w:val="000000" w:themeColor="text1"/>
        </w:rPr>
        <w:lastRenderedPageBreak/>
        <w:t>[26</w:t>
      </w:r>
      <w:r w:rsidR="007357D2" w:rsidRPr="004F7156">
        <w:rPr>
          <w:rFonts w:ascii="Arial" w:hAnsi="Arial" w:cs="Arial"/>
          <w:color w:val="000000" w:themeColor="text1"/>
        </w:rPr>
        <w:t>]</w:t>
      </w:r>
      <w:r w:rsidR="00AB0585" w:rsidRPr="004F7156">
        <w:rPr>
          <w:rFonts w:ascii="Arial" w:hAnsi="Arial" w:cs="Arial"/>
          <w:color w:val="000000" w:themeColor="text1"/>
        </w:rPr>
        <w:tab/>
      </w:r>
      <w:r w:rsidR="007357D2" w:rsidRPr="004F7156">
        <w:rPr>
          <w:rFonts w:ascii="Arial" w:hAnsi="Arial" w:cs="Arial"/>
          <w:color w:val="000000" w:themeColor="text1"/>
        </w:rPr>
        <w:t xml:space="preserve">The claim against Capitec in the 2020 action is based on four causes of action, which are all framed in the alternative. </w:t>
      </w:r>
      <w:r w:rsidR="00BD44C7" w:rsidRPr="004F7156">
        <w:rPr>
          <w:rFonts w:ascii="Arial" w:hAnsi="Arial" w:cs="Arial"/>
          <w:color w:val="000000" w:themeColor="text1"/>
        </w:rPr>
        <w:t xml:space="preserve">Capitec’s synopsis of the four claims can be summarized as </w:t>
      </w:r>
      <w:r w:rsidR="007357D2" w:rsidRPr="004F7156">
        <w:rPr>
          <w:rFonts w:ascii="Arial" w:hAnsi="Arial" w:cs="Arial"/>
          <w:color w:val="000000" w:themeColor="text1"/>
        </w:rPr>
        <w:t>follows:</w:t>
      </w:r>
    </w:p>
    <w:p w14:paraId="63804309" w14:textId="4B12298B" w:rsidR="007357D2" w:rsidRPr="00613025" w:rsidRDefault="00613025" w:rsidP="00613025">
      <w:pPr>
        <w:tabs>
          <w:tab w:val="left" w:pos="284"/>
        </w:tabs>
        <w:spacing w:after="160" w:line="360" w:lineRule="auto"/>
        <w:jc w:val="both"/>
        <w:rPr>
          <w:rFonts w:ascii="Arial" w:hAnsi="Arial" w:cs="Arial"/>
          <w:color w:val="000000" w:themeColor="text1"/>
        </w:rPr>
      </w:pPr>
      <w:r w:rsidRPr="004F7156">
        <w:rPr>
          <w:rFonts w:ascii="Arial" w:hAnsi="Arial" w:cs="Arial"/>
          <w:color w:val="000000" w:themeColor="text1"/>
        </w:rPr>
        <w:t>1.</w:t>
      </w:r>
      <w:r w:rsidRPr="004F7156">
        <w:rPr>
          <w:rFonts w:ascii="Arial" w:hAnsi="Arial" w:cs="Arial"/>
          <w:color w:val="000000" w:themeColor="text1"/>
        </w:rPr>
        <w:tab/>
      </w:r>
      <w:r w:rsidR="007357D2" w:rsidRPr="00613025">
        <w:rPr>
          <w:rFonts w:ascii="Arial" w:hAnsi="Arial" w:cs="Arial"/>
          <w:color w:val="000000" w:themeColor="text1"/>
        </w:rPr>
        <w:t xml:space="preserve">Claim A: This is a contractual claim for damages based on a breach of duty of reasonableness and good faith allegedly owed in terms of the subscription agreement, alternatively the common law duty of good faith, and what the appellants described as the duty to achieve BEE. It is alleged that Capitec breached these duties by imposing a condition that its consent be obtained for the 2017 Petratouch Transaction, which caused Coral to sell its CPI shares at a discount. </w:t>
      </w:r>
    </w:p>
    <w:p w14:paraId="4A989A71" w14:textId="5234343D" w:rsidR="007357D2" w:rsidRPr="00613025" w:rsidRDefault="00613025" w:rsidP="00613025">
      <w:pPr>
        <w:tabs>
          <w:tab w:val="left" w:pos="284"/>
        </w:tabs>
        <w:spacing w:after="160" w:line="360" w:lineRule="auto"/>
        <w:jc w:val="both"/>
        <w:rPr>
          <w:rFonts w:ascii="Arial" w:hAnsi="Arial" w:cs="Arial"/>
          <w:color w:val="000000" w:themeColor="text1"/>
        </w:rPr>
      </w:pPr>
      <w:r w:rsidRPr="004F7156">
        <w:rPr>
          <w:rFonts w:ascii="Arial" w:hAnsi="Arial" w:cs="Arial"/>
          <w:color w:val="000000" w:themeColor="text1"/>
        </w:rPr>
        <w:t>2.</w:t>
      </w:r>
      <w:r w:rsidRPr="004F7156">
        <w:rPr>
          <w:rFonts w:ascii="Arial" w:hAnsi="Arial" w:cs="Arial"/>
          <w:color w:val="000000" w:themeColor="text1"/>
        </w:rPr>
        <w:tab/>
      </w:r>
      <w:r w:rsidR="007357D2" w:rsidRPr="00613025">
        <w:rPr>
          <w:rFonts w:ascii="Arial" w:hAnsi="Arial" w:cs="Arial"/>
          <w:color w:val="000000" w:themeColor="text1"/>
        </w:rPr>
        <w:t>Claim B: This is a delictual claim for damages based on an alleged grossly negligent and/or fraudulent material misrepresentation by Capitec that the 2017 Petratouch Transaction was conditional upon Capitec’s consent.</w:t>
      </w:r>
    </w:p>
    <w:p w14:paraId="5B69C9A6" w14:textId="50DA146F" w:rsidR="007357D2" w:rsidRPr="00613025" w:rsidRDefault="00613025" w:rsidP="00613025">
      <w:pPr>
        <w:tabs>
          <w:tab w:val="left" w:pos="284"/>
        </w:tabs>
        <w:spacing w:after="160" w:line="360" w:lineRule="auto"/>
        <w:jc w:val="both"/>
        <w:rPr>
          <w:rFonts w:ascii="Arial" w:hAnsi="Arial" w:cs="Arial"/>
          <w:color w:val="000000" w:themeColor="text1"/>
        </w:rPr>
      </w:pPr>
      <w:r w:rsidRPr="004F7156">
        <w:rPr>
          <w:rFonts w:ascii="Arial" w:hAnsi="Arial" w:cs="Arial"/>
          <w:color w:val="000000" w:themeColor="text1"/>
        </w:rPr>
        <w:t>3.</w:t>
      </w:r>
      <w:r w:rsidRPr="004F7156">
        <w:rPr>
          <w:rFonts w:ascii="Arial" w:hAnsi="Arial" w:cs="Arial"/>
          <w:color w:val="000000" w:themeColor="text1"/>
        </w:rPr>
        <w:tab/>
      </w:r>
      <w:r w:rsidR="007357D2" w:rsidRPr="00613025">
        <w:rPr>
          <w:rFonts w:ascii="Arial" w:hAnsi="Arial" w:cs="Arial"/>
          <w:color w:val="000000" w:themeColor="text1"/>
        </w:rPr>
        <w:t>Claim C: This is a delictual claim for damages based on pure economic loss allegedly suffered by Coral as a result of Capitec’s breach of duty to ‘not engage in conduct that diminished or reduced the value of [Coral</w:t>
      </w:r>
      <w:r w:rsidR="00C23854" w:rsidRPr="00613025">
        <w:rPr>
          <w:rFonts w:ascii="Arial" w:hAnsi="Arial" w:cs="Arial"/>
          <w:color w:val="000000" w:themeColor="text1"/>
        </w:rPr>
        <w:t>’s</w:t>
      </w:r>
      <w:r w:rsidR="007357D2" w:rsidRPr="00613025">
        <w:rPr>
          <w:rFonts w:ascii="Arial" w:hAnsi="Arial" w:cs="Arial"/>
          <w:color w:val="000000" w:themeColor="text1"/>
        </w:rPr>
        <w:t xml:space="preserve"> and Ash Brook</w:t>
      </w:r>
      <w:r w:rsidR="00C23854" w:rsidRPr="00613025">
        <w:rPr>
          <w:rFonts w:ascii="Arial" w:hAnsi="Arial" w:cs="Arial"/>
          <w:color w:val="000000" w:themeColor="text1"/>
        </w:rPr>
        <w:t>’s</w:t>
      </w:r>
      <w:r w:rsidR="007357D2" w:rsidRPr="00613025">
        <w:rPr>
          <w:rFonts w:ascii="Arial" w:hAnsi="Arial" w:cs="Arial"/>
          <w:color w:val="000000" w:themeColor="text1"/>
        </w:rPr>
        <w:t>] proprietary interest in the [Capitec] shares’. Capitec allegedly breached this duty by facilitating the 2017 Petratouch Transaction.</w:t>
      </w:r>
    </w:p>
    <w:p w14:paraId="0469D507" w14:textId="156DB8FE" w:rsidR="007357D2" w:rsidRPr="00613025" w:rsidRDefault="00613025" w:rsidP="00613025">
      <w:pPr>
        <w:tabs>
          <w:tab w:val="left" w:pos="284"/>
        </w:tabs>
        <w:spacing w:line="360" w:lineRule="auto"/>
        <w:jc w:val="both"/>
        <w:rPr>
          <w:rFonts w:ascii="Arial" w:hAnsi="Arial" w:cs="Arial"/>
          <w:color w:val="000000" w:themeColor="text1"/>
        </w:rPr>
      </w:pPr>
      <w:r w:rsidRPr="004F7156">
        <w:rPr>
          <w:rFonts w:ascii="Arial" w:hAnsi="Arial" w:cs="Arial"/>
          <w:color w:val="000000" w:themeColor="text1"/>
        </w:rPr>
        <w:t>4.</w:t>
      </w:r>
      <w:r w:rsidRPr="004F7156">
        <w:rPr>
          <w:rFonts w:ascii="Arial" w:hAnsi="Arial" w:cs="Arial"/>
          <w:color w:val="000000" w:themeColor="text1"/>
        </w:rPr>
        <w:tab/>
      </w:r>
      <w:r w:rsidR="007357D2" w:rsidRPr="00613025">
        <w:rPr>
          <w:rFonts w:ascii="Arial" w:hAnsi="Arial" w:cs="Arial"/>
          <w:color w:val="000000" w:themeColor="text1"/>
        </w:rPr>
        <w:t>Claim D: This is a statutory claim for damages based on an allegation that Capitec engaged in a fronting practice in contravention of the B</w:t>
      </w:r>
      <w:r w:rsidR="002B1E4C" w:rsidRPr="00613025">
        <w:rPr>
          <w:rFonts w:ascii="Arial" w:hAnsi="Arial" w:cs="Arial"/>
          <w:color w:val="000000" w:themeColor="text1"/>
        </w:rPr>
        <w:t>-BB</w:t>
      </w:r>
      <w:r w:rsidR="007357D2" w:rsidRPr="00613025">
        <w:rPr>
          <w:rFonts w:ascii="Arial" w:hAnsi="Arial" w:cs="Arial"/>
          <w:color w:val="000000" w:themeColor="text1"/>
        </w:rPr>
        <w:t>EE Act, which amounted to conduct or the conducting of Capitec’s business in a manner that is oppressive or unfairly prejudicial to, or that unfairly disregards the interests of Coral in terms of s 163(1)(a) and (b) of the Companies Act 71 of 2008 or which amounted to unfair discrimination on the basis of race as contemplated in s 7 of the Promotion of Equality and the Prevention of Unfair Discrimination Act 4 of 2000. Capitec allegedly engaged in a fronting practice by requiring the appellants to sell their sale shares at a discount.</w:t>
      </w:r>
    </w:p>
    <w:p w14:paraId="035733DE" w14:textId="77777777" w:rsidR="007357D2" w:rsidRPr="004F7156" w:rsidRDefault="007357D2" w:rsidP="00AB0585">
      <w:pPr>
        <w:pStyle w:val="ListParagraph"/>
        <w:spacing w:line="360" w:lineRule="auto"/>
        <w:jc w:val="both"/>
        <w:rPr>
          <w:rFonts w:ascii="Arial" w:hAnsi="Arial" w:cs="Arial"/>
          <w:color w:val="000000" w:themeColor="text1"/>
        </w:rPr>
      </w:pPr>
    </w:p>
    <w:p w14:paraId="6B1E1A59" w14:textId="21423B40" w:rsidR="007357D2" w:rsidRPr="004F7156" w:rsidRDefault="007357D2" w:rsidP="007357D2">
      <w:pPr>
        <w:spacing w:line="360" w:lineRule="auto"/>
        <w:jc w:val="both"/>
        <w:rPr>
          <w:rFonts w:ascii="Arial" w:hAnsi="Arial" w:cs="Arial"/>
          <w:color w:val="000000" w:themeColor="text1"/>
        </w:rPr>
      </w:pPr>
      <w:r w:rsidRPr="004F7156">
        <w:rPr>
          <w:rFonts w:ascii="Arial" w:hAnsi="Arial" w:cs="Arial"/>
          <w:color w:val="000000" w:themeColor="text1"/>
        </w:rPr>
        <w:t>[2</w:t>
      </w:r>
      <w:r w:rsidR="001E0853" w:rsidRPr="004F7156">
        <w:rPr>
          <w:rFonts w:ascii="Arial" w:hAnsi="Arial" w:cs="Arial"/>
          <w:color w:val="000000" w:themeColor="text1"/>
        </w:rPr>
        <w:t>7</w:t>
      </w:r>
      <w:r w:rsidRPr="004F7156">
        <w:rPr>
          <w:rFonts w:ascii="Arial" w:hAnsi="Arial" w:cs="Arial"/>
          <w:color w:val="000000" w:themeColor="text1"/>
        </w:rPr>
        <w:t>]</w:t>
      </w:r>
      <w:r w:rsidR="00AB0585" w:rsidRPr="004F7156">
        <w:rPr>
          <w:rFonts w:ascii="Arial" w:hAnsi="Arial" w:cs="Arial"/>
          <w:color w:val="000000" w:themeColor="text1"/>
        </w:rPr>
        <w:tab/>
      </w:r>
      <w:r w:rsidR="00484E79">
        <w:rPr>
          <w:rFonts w:ascii="Arial" w:hAnsi="Arial" w:cs="Arial"/>
          <w:color w:val="000000" w:themeColor="text1"/>
        </w:rPr>
        <w:t>It is clear from the above</w:t>
      </w:r>
      <w:r w:rsidRPr="004F7156">
        <w:rPr>
          <w:rFonts w:ascii="Arial" w:hAnsi="Arial" w:cs="Arial"/>
          <w:color w:val="000000" w:themeColor="text1"/>
        </w:rPr>
        <w:t xml:space="preserve"> that the appellants </w:t>
      </w:r>
      <w:r w:rsidR="001E0853" w:rsidRPr="004F7156">
        <w:rPr>
          <w:rFonts w:ascii="Arial" w:hAnsi="Arial" w:cs="Arial"/>
          <w:color w:val="000000" w:themeColor="text1"/>
        </w:rPr>
        <w:t>‘</w:t>
      </w:r>
      <w:r w:rsidRPr="004F7156">
        <w:rPr>
          <w:rFonts w:ascii="Arial" w:hAnsi="Arial" w:cs="Arial"/>
          <w:color w:val="000000" w:themeColor="text1"/>
        </w:rPr>
        <w:t>use or rely on</w:t>
      </w:r>
      <w:r w:rsidR="00FE3536" w:rsidRPr="004F7156">
        <w:rPr>
          <w:rFonts w:ascii="Arial" w:hAnsi="Arial" w:cs="Arial"/>
          <w:color w:val="000000" w:themeColor="text1"/>
        </w:rPr>
        <w:t>’</w:t>
      </w:r>
      <w:r w:rsidRPr="004F7156">
        <w:rPr>
          <w:rFonts w:ascii="Arial" w:hAnsi="Arial" w:cs="Arial"/>
          <w:color w:val="000000" w:themeColor="text1"/>
        </w:rPr>
        <w:t xml:space="preserve"> the 2017 Petratouch Transaction in support of their claims.</w:t>
      </w:r>
      <w:r w:rsidR="001E0853" w:rsidRPr="004F7156">
        <w:rPr>
          <w:rFonts w:ascii="Arial" w:hAnsi="Arial" w:cs="Arial"/>
          <w:color w:val="000000" w:themeColor="text1"/>
        </w:rPr>
        <w:t xml:space="preserve"> But, if</w:t>
      </w:r>
      <w:r w:rsidR="00FF4B05" w:rsidRPr="004F7156">
        <w:rPr>
          <w:rFonts w:ascii="Arial" w:hAnsi="Arial" w:cs="Arial"/>
          <w:color w:val="000000" w:themeColor="text1"/>
        </w:rPr>
        <w:t xml:space="preserve"> there was </w:t>
      </w:r>
      <w:r w:rsidRPr="004F7156">
        <w:rPr>
          <w:rFonts w:ascii="Arial" w:hAnsi="Arial" w:cs="Arial"/>
          <w:color w:val="000000" w:themeColor="text1"/>
        </w:rPr>
        <w:t xml:space="preserve">any doubt, the </w:t>
      </w:r>
      <w:r w:rsidRPr="004F7156">
        <w:rPr>
          <w:rFonts w:ascii="Arial" w:hAnsi="Arial" w:cs="Arial"/>
          <w:color w:val="000000" w:themeColor="text1"/>
        </w:rPr>
        <w:lastRenderedPageBreak/>
        <w:t>following paragraphs in the particulars of claim, describing the conduct causing loss, make it plain:</w:t>
      </w:r>
    </w:p>
    <w:p w14:paraId="7CE5B9FF" w14:textId="77777777"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‘96. At the time of the 2017 Petratouch Transaction, Capitec maintained that Coral was prohibited from disposing of its CPI shares without Capitec’s consent.</w:t>
      </w:r>
    </w:p>
    <w:p w14:paraId="141D5A9C" w14:textId="59ADA656"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97. As a condition for granting its consent, Capitec required that Coral could only sell its CPI shares subject to the requirement of Capitec’s consent as to the identity of the purchaser and th</w:t>
      </w:r>
      <w:r w:rsidR="009E550B">
        <w:rPr>
          <w:rFonts w:ascii="Arial" w:hAnsi="Arial" w:cs="Arial"/>
          <w:color w:val="000000" w:themeColor="text1"/>
          <w:sz w:val="22"/>
          <w:szCs w:val="22"/>
        </w:rPr>
        <w:t>e terms on which the sale takes</w:t>
      </w:r>
      <w:r w:rsidRPr="004F7156">
        <w:rPr>
          <w:rFonts w:ascii="Arial" w:hAnsi="Arial" w:cs="Arial"/>
          <w:color w:val="000000" w:themeColor="text1"/>
          <w:sz w:val="22"/>
          <w:szCs w:val="22"/>
        </w:rPr>
        <w:t xml:space="preserve"> place, including subjecting the Sale Shares to further restrictive conditions</w:t>
      </w:r>
      <w:r w:rsidR="009E550B">
        <w:rPr>
          <w:rFonts w:ascii="Arial" w:hAnsi="Arial" w:cs="Arial"/>
          <w:color w:val="000000" w:themeColor="text1"/>
          <w:sz w:val="22"/>
          <w:szCs w:val="22"/>
        </w:rPr>
        <w:t xml:space="preserve"> as a condition of its consent as reflected in the Framework Agreement, the Capitec Consent Agreement and the Relationship Agreement to persuade BidCo to conclude the transaction.</w:t>
      </w:r>
      <w:r w:rsidR="009E550B">
        <w:rPr>
          <w:rStyle w:val="FootnoteReference"/>
          <w:rFonts w:ascii="Arial" w:hAnsi="Arial" w:cs="Arial"/>
          <w:color w:val="000000" w:themeColor="text1"/>
          <w:sz w:val="22"/>
          <w:szCs w:val="22"/>
        </w:rPr>
        <w:footnoteReference w:id="17"/>
      </w:r>
      <w:r w:rsidR="009E550B">
        <w:rPr>
          <w:rFonts w:ascii="Arial" w:hAnsi="Arial" w:cs="Arial"/>
          <w:color w:val="000000" w:themeColor="text1"/>
          <w:sz w:val="22"/>
          <w:szCs w:val="22"/>
        </w:rPr>
        <w:t xml:space="preserve">  </w:t>
      </w:r>
    </w:p>
    <w:p w14:paraId="4529C699" w14:textId="2F7951C7"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98. At the time of imposing this condition, Capitec knew or would have known with the exercise of reasonable care, that imposing this condition would have the effect of the Black shareholders having to sell the Sale Shares at a significant discount of 52% of their market value, given the highly restrictive nature of the restrictive conditio</w:t>
      </w:r>
      <w:r w:rsidR="009E550B">
        <w:rPr>
          <w:rFonts w:ascii="Arial" w:hAnsi="Arial" w:cs="Arial"/>
          <w:color w:val="000000" w:themeColor="text1"/>
          <w:sz w:val="22"/>
          <w:szCs w:val="22"/>
        </w:rPr>
        <w:t>ns.</w:t>
      </w:r>
    </w:p>
    <w:p w14:paraId="6EB4B0B3" w14:textId="77777777" w:rsidR="007357D2" w:rsidRPr="004F7156" w:rsidRDefault="007357D2" w:rsidP="007357D2">
      <w:pPr>
        <w:spacing w:line="360" w:lineRule="auto"/>
        <w:jc w:val="both"/>
        <w:rPr>
          <w:rFonts w:ascii="Arial" w:hAnsi="Arial" w:cs="Arial"/>
          <w:color w:val="000000" w:themeColor="text1"/>
          <w:sz w:val="22"/>
          <w:szCs w:val="22"/>
        </w:rPr>
      </w:pPr>
      <w:r w:rsidRPr="004F7156">
        <w:rPr>
          <w:rFonts w:ascii="Arial" w:hAnsi="Arial" w:cs="Arial"/>
          <w:color w:val="000000" w:themeColor="text1"/>
          <w:sz w:val="22"/>
          <w:szCs w:val="22"/>
        </w:rPr>
        <w:t>104. But for Capitec’s conduct in breach of one or more of the legal duties pleaded below, Coral would not have concluded the 2017 Petratouch Transaction and would have been able to sell its CPI shares to any Black purchaser at a discount of at most 5% of the value of the Sale Shares.’</w:t>
      </w:r>
    </w:p>
    <w:p w14:paraId="436D86C4" w14:textId="77777777" w:rsidR="007357D2" w:rsidRPr="004F7156" w:rsidRDefault="007357D2" w:rsidP="007357D2">
      <w:pPr>
        <w:spacing w:line="360" w:lineRule="auto"/>
        <w:jc w:val="both"/>
        <w:rPr>
          <w:rFonts w:ascii="Arial" w:hAnsi="Arial" w:cs="Arial"/>
          <w:color w:val="000000" w:themeColor="text1"/>
        </w:rPr>
      </w:pPr>
    </w:p>
    <w:p w14:paraId="24EBAA0E" w14:textId="6BC4C71E" w:rsidR="007357D2" w:rsidRPr="004F7156" w:rsidRDefault="001E0853" w:rsidP="007357D2">
      <w:pPr>
        <w:spacing w:line="360" w:lineRule="auto"/>
        <w:jc w:val="both"/>
        <w:rPr>
          <w:rFonts w:ascii="Arial" w:hAnsi="Arial" w:cs="Arial"/>
          <w:color w:val="000000" w:themeColor="text1"/>
        </w:rPr>
      </w:pPr>
      <w:r w:rsidRPr="004F7156">
        <w:rPr>
          <w:rFonts w:ascii="Arial" w:hAnsi="Arial" w:cs="Arial"/>
          <w:color w:val="000000" w:themeColor="text1"/>
        </w:rPr>
        <w:t>[28</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To finally test if </w:t>
      </w:r>
      <w:r w:rsidRPr="004F7156">
        <w:rPr>
          <w:rFonts w:ascii="Arial" w:hAnsi="Arial" w:cs="Arial"/>
          <w:color w:val="000000" w:themeColor="text1"/>
        </w:rPr>
        <w:t>the claims in the 2020 action</w:t>
      </w:r>
      <w:r w:rsidR="007357D2" w:rsidRPr="004F7156">
        <w:rPr>
          <w:rFonts w:ascii="Arial" w:hAnsi="Arial" w:cs="Arial"/>
          <w:color w:val="000000" w:themeColor="text1"/>
        </w:rPr>
        <w:t xml:space="preserve"> contravene clause 7.1.6.2</w:t>
      </w:r>
      <w:r w:rsidRPr="004F7156">
        <w:rPr>
          <w:rFonts w:ascii="Arial" w:hAnsi="Arial" w:cs="Arial"/>
          <w:color w:val="000000" w:themeColor="text1"/>
        </w:rPr>
        <w:t>,</w:t>
      </w:r>
      <w:r w:rsidR="007357D2" w:rsidRPr="004F7156">
        <w:rPr>
          <w:rFonts w:ascii="Arial" w:hAnsi="Arial" w:cs="Arial"/>
          <w:color w:val="000000" w:themeColor="text1"/>
        </w:rPr>
        <w:t xml:space="preserve"> is to ask whether they can be sustained without using or relying upon the 2017 Petratouch Transaction. The answer is no. The institution of the 2020 action clearly breached</w:t>
      </w:r>
      <w:r w:rsidR="00AB0585" w:rsidRPr="004F7156">
        <w:rPr>
          <w:rFonts w:ascii="Arial" w:hAnsi="Arial" w:cs="Arial"/>
          <w:color w:val="000000" w:themeColor="text1"/>
        </w:rPr>
        <w:t xml:space="preserve"> the </w:t>
      </w:r>
      <w:r w:rsidR="00FE3536" w:rsidRPr="004F7156">
        <w:rPr>
          <w:rFonts w:ascii="Arial" w:hAnsi="Arial" w:cs="Arial"/>
          <w:color w:val="000000" w:themeColor="text1"/>
        </w:rPr>
        <w:t>undertaking</w:t>
      </w:r>
      <w:r w:rsidR="00AB0585" w:rsidRPr="004F7156">
        <w:rPr>
          <w:rFonts w:ascii="Arial" w:hAnsi="Arial" w:cs="Arial"/>
          <w:color w:val="000000" w:themeColor="text1"/>
        </w:rPr>
        <w:t xml:space="preserve"> not to sue.</w:t>
      </w:r>
    </w:p>
    <w:p w14:paraId="14F99232" w14:textId="77777777" w:rsidR="00AB0585" w:rsidRPr="004F7156" w:rsidRDefault="00AB0585" w:rsidP="007357D2">
      <w:pPr>
        <w:spacing w:line="360" w:lineRule="auto"/>
        <w:jc w:val="both"/>
        <w:rPr>
          <w:rFonts w:ascii="Arial" w:hAnsi="Arial" w:cs="Arial"/>
          <w:color w:val="000000" w:themeColor="text1"/>
        </w:rPr>
      </w:pPr>
    </w:p>
    <w:p w14:paraId="7FE7ABA1" w14:textId="111708CA" w:rsidR="007357D2" w:rsidRPr="004F7156" w:rsidRDefault="004A4773" w:rsidP="007357D2">
      <w:pPr>
        <w:spacing w:line="360" w:lineRule="auto"/>
        <w:jc w:val="both"/>
        <w:rPr>
          <w:rFonts w:ascii="Arial" w:hAnsi="Arial" w:cs="Arial"/>
          <w:b/>
          <w:color w:val="000000" w:themeColor="text1"/>
        </w:rPr>
      </w:pPr>
      <w:r w:rsidRPr="004F7156">
        <w:rPr>
          <w:rFonts w:ascii="Arial" w:hAnsi="Arial" w:cs="Arial"/>
          <w:b/>
          <w:color w:val="000000" w:themeColor="text1"/>
        </w:rPr>
        <w:t>Remedy</w:t>
      </w:r>
    </w:p>
    <w:p w14:paraId="75B049CE" w14:textId="77777777" w:rsidR="007357D2" w:rsidRPr="004F7156" w:rsidRDefault="007357D2" w:rsidP="007357D2">
      <w:pPr>
        <w:spacing w:line="360" w:lineRule="auto"/>
        <w:jc w:val="both"/>
        <w:rPr>
          <w:rFonts w:ascii="Arial" w:hAnsi="Arial" w:cs="Arial"/>
          <w:b/>
          <w:i/>
          <w:color w:val="000000" w:themeColor="text1"/>
        </w:rPr>
      </w:pPr>
      <w:r w:rsidRPr="004F7156">
        <w:rPr>
          <w:rFonts w:ascii="Arial" w:hAnsi="Arial" w:cs="Arial"/>
          <w:b/>
          <w:i/>
          <w:color w:val="000000" w:themeColor="text1"/>
        </w:rPr>
        <w:t>The nature of a pactum de non petendo in anticipando</w:t>
      </w:r>
    </w:p>
    <w:p w14:paraId="070C49AB" w14:textId="287F1F54" w:rsidR="007357D2" w:rsidRPr="004F7156" w:rsidRDefault="001E0853" w:rsidP="00AB0585">
      <w:pPr>
        <w:spacing w:line="360" w:lineRule="auto"/>
        <w:jc w:val="both"/>
        <w:rPr>
          <w:rFonts w:ascii="Arial" w:hAnsi="Arial" w:cs="Arial"/>
          <w:color w:val="000000" w:themeColor="text1"/>
        </w:rPr>
      </w:pPr>
      <w:r w:rsidRPr="004F7156">
        <w:rPr>
          <w:rFonts w:ascii="Arial" w:hAnsi="Arial" w:cs="Arial"/>
          <w:color w:val="000000" w:themeColor="text1"/>
        </w:rPr>
        <w:t>[29</w:t>
      </w:r>
      <w:r w:rsidR="007357D2" w:rsidRPr="004F7156">
        <w:rPr>
          <w:rFonts w:ascii="Arial" w:hAnsi="Arial" w:cs="Arial"/>
          <w:color w:val="000000" w:themeColor="text1"/>
        </w:rPr>
        <w:t>]</w:t>
      </w:r>
      <w:r w:rsidR="00AB0585" w:rsidRPr="004F7156">
        <w:rPr>
          <w:rFonts w:ascii="Arial" w:hAnsi="Arial" w:cs="Arial"/>
          <w:color w:val="000000" w:themeColor="text1"/>
        </w:rPr>
        <w:tab/>
      </w:r>
      <w:r w:rsidR="007357D2" w:rsidRPr="004F7156">
        <w:rPr>
          <w:rFonts w:ascii="Arial" w:hAnsi="Arial" w:cs="Arial"/>
          <w:color w:val="000000" w:themeColor="text1"/>
        </w:rPr>
        <w:t xml:space="preserve">A </w:t>
      </w:r>
      <w:r w:rsidR="007357D2" w:rsidRPr="004F7156">
        <w:rPr>
          <w:rFonts w:ascii="Arial" w:hAnsi="Arial" w:cs="Arial"/>
          <w:i/>
          <w:color w:val="000000" w:themeColor="text1"/>
        </w:rPr>
        <w:t>pactum de non petendo in anticipando</w:t>
      </w:r>
      <w:r w:rsidR="007357D2" w:rsidRPr="004F7156">
        <w:rPr>
          <w:rFonts w:ascii="Arial" w:hAnsi="Arial" w:cs="Arial"/>
          <w:color w:val="000000" w:themeColor="text1"/>
        </w:rPr>
        <w:t xml:space="preserve"> forms part of our law.</w:t>
      </w:r>
      <w:r w:rsidR="007357D2" w:rsidRPr="004F7156">
        <w:rPr>
          <w:rStyle w:val="FootnoteReference"/>
          <w:rFonts w:ascii="Arial" w:hAnsi="Arial" w:cs="Arial"/>
          <w:color w:val="000000" w:themeColor="text1"/>
        </w:rPr>
        <w:footnoteReference w:id="18"/>
      </w:r>
      <w:r w:rsidR="007357D2" w:rsidRPr="004F7156">
        <w:rPr>
          <w:rFonts w:ascii="Arial" w:hAnsi="Arial" w:cs="Arial"/>
          <w:color w:val="000000" w:themeColor="text1"/>
        </w:rPr>
        <w:t xml:space="preserve"> It is a contractual undertaking not to institute an action. The appellants contend that our courts have recognised such a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only (</w:t>
      </w:r>
      <w:r w:rsidR="00256154" w:rsidRPr="004F7156">
        <w:rPr>
          <w:rFonts w:ascii="Arial" w:hAnsi="Arial" w:cs="Arial"/>
          <w:color w:val="000000" w:themeColor="text1"/>
        </w:rPr>
        <w:t>a</w:t>
      </w:r>
      <w:r w:rsidR="007357D2" w:rsidRPr="004F7156">
        <w:rPr>
          <w:rFonts w:ascii="Arial" w:hAnsi="Arial" w:cs="Arial"/>
          <w:color w:val="000000" w:themeColor="text1"/>
        </w:rPr>
        <w:t>) as a defence and (</w:t>
      </w:r>
      <w:r w:rsidR="00256154" w:rsidRPr="004F7156">
        <w:rPr>
          <w:rFonts w:ascii="Arial" w:hAnsi="Arial" w:cs="Arial"/>
          <w:color w:val="000000" w:themeColor="text1"/>
        </w:rPr>
        <w:t>b</w:t>
      </w:r>
      <w:r w:rsidR="007357D2" w:rsidRPr="004F7156">
        <w:rPr>
          <w:rFonts w:ascii="Arial" w:hAnsi="Arial" w:cs="Arial"/>
          <w:color w:val="000000" w:themeColor="text1"/>
        </w:rPr>
        <w:t xml:space="preserve">) to grant a </w:t>
      </w:r>
      <w:r w:rsidR="007357D2" w:rsidRPr="004F7156">
        <w:rPr>
          <w:rFonts w:ascii="Arial" w:hAnsi="Arial" w:cs="Arial"/>
          <w:color w:val="000000" w:themeColor="text1"/>
        </w:rPr>
        <w:lastRenderedPageBreak/>
        <w:t>temporary stay of proceedings to afford a debtor an opportunity to repay, alternatively (</w:t>
      </w:r>
      <w:r w:rsidR="00256154" w:rsidRPr="004F7156">
        <w:rPr>
          <w:rFonts w:ascii="Arial" w:hAnsi="Arial" w:cs="Arial"/>
          <w:color w:val="000000" w:themeColor="text1"/>
        </w:rPr>
        <w:t>c</w:t>
      </w:r>
      <w:r w:rsidR="007357D2" w:rsidRPr="004F7156">
        <w:rPr>
          <w:rFonts w:ascii="Arial" w:hAnsi="Arial" w:cs="Arial"/>
          <w:color w:val="000000" w:themeColor="text1"/>
        </w:rPr>
        <w:t>) as part of settling (compromising an already existing dispute).</w:t>
      </w:r>
    </w:p>
    <w:p w14:paraId="5BD7F31B" w14:textId="77777777" w:rsidR="007357D2" w:rsidRPr="004F7156" w:rsidRDefault="007357D2" w:rsidP="00AB0585">
      <w:pPr>
        <w:spacing w:line="360" w:lineRule="auto"/>
        <w:jc w:val="both"/>
        <w:rPr>
          <w:rFonts w:ascii="Arial" w:hAnsi="Arial" w:cs="Arial"/>
          <w:color w:val="000000" w:themeColor="text1"/>
        </w:rPr>
      </w:pPr>
    </w:p>
    <w:p w14:paraId="7D72D2E6" w14:textId="07B9217A" w:rsidR="007357D2" w:rsidRPr="004F7156" w:rsidRDefault="00555B60" w:rsidP="00AB0585">
      <w:pPr>
        <w:spacing w:line="360" w:lineRule="auto"/>
        <w:jc w:val="both"/>
        <w:rPr>
          <w:rFonts w:ascii="Arial" w:hAnsi="Arial" w:cs="Arial"/>
          <w:color w:val="000000" w:themeColor="text1"/>
        </w:rPr>
      </w:pPr>
      <w:r w:rsidRPr="004F7156">
        <w:rPr>
          <w:rFonts w:ascii="Arial" w:hAnsi="Arial" w:cs="Arial"/>
          <w:color w:val="000000" w:themeColor="text1"/>
        </w:rPr>
        <w:t>[30</w:t>
      </w:r>
      <w:r w:rsidR="007357D2" w:rsidRPr="004F7156">
        <w:rPr>
          <w:rFonts w:ascii="Arial" w:hAnsi="Arial" w:cs="Arial"/>
          <w:color w:val="000000" w:themeColor="text1"/>
        </w:rPr>
        <w:t>]</w:t>
      </w:r>
      <w:r w:rsidR="007357D2" w:rsidRPr="004F7156">
        <w:rPr>
          <w:rFonts w:ascii="Arial" w:hAnsi="Arial" w:cs="Arial"/>
          <w:color w:val="000000" w:themeColor="text1"/>
        </w:rPr>
        <w:tab/>
      </w:r>
      <w:r w:rsidRPr="004F7156">
        <w:rPr>
          <w:rFonts w:ascii="Arial" w:hAnsi="Arial" w:cs="Arial"/>
          <w:color w:val="000000" w:themeColor="text1"/>
        </w:rPr>
        <w:t xml:space="preserve">A </w:t>
      </w:r>
      <w:r w:rsidR="007357D2" w:rsidRPr="004F7156">
        <w:rPr>
          <w:rFonts w:ascii="Arial" w:hAnsi="Arial" w:cs="Arial"/>
          <w:i/>
          <w:color w:val="000000" w:themeColor="text1"/>
        </w:rPr>
        <w:t xml:space="preserve">pactum </w:t>
      </w:r>
      <w:r w:rsidR="007357D2" w:rsidRPr="004F7156">
        <w:rPr>
          <w:rFonts w:ascii="Arial" w:hAnsi="Arial" w:cs="Arial"/>
          <w:color w:val="000000" w:themeColor="text1"/>
        </w:rPr>
        <w:t>is an agreement like any other.</w:t>
      </w:r>
      <w:r w:rsidR="009C3500" w:rsidRPr="004F7156">
        <w:rPr>
          <w:rFonts w:ascii="Arial" w:hAnsi="Arial" w:cs="Arial"/>
          <w:color w:val="000000" w:themeColor="text1"/>
        </w:rPr>
        <w:t xml:space="preserve"> </w:t>
      </w:r>
      <w:r w:rsidR="007357D2" w:rsidRPr="004F7156">
        <w:rPr>
          <w:rFonts w:ascii="Arial" w:hAnsi="Arial" w:cs="Arial"/>
          <w:color w:val="000000" w:themeColor="text1"/>
        </w:rPr>
        <w:t xml:space="preserve">It is a contract that gives rise to rights and correlative duties. The nature of the right in question varies from case to case and is </w:t>
      </w:r>
      <w:r w:rsidR="000021C6" w:rsidRPr="004F7156">
        <w:rPr>
          <w:rFonts w:ascii="Arial" w:hAnsi="Arial" w:cs="Arial"/>
          <w:color w:val="000000" w:themeColor="text1"/>
        </w:rPr>
        <w:t>dependent on the text and the facts.</w:t>
      </w:r>
      <w:r w:rsidR="007357D2" w:rsidRPr="004F7156">
        <w:rPr>
          <w:rFonts w:ascii="Arial" w:hAnsi="Arial" w:cs="Arial"/>
          <w:color w:val="000000" w:themeColor="text1"/>
        </w:rPr>
        <w:t xml:space="preserve"> Although the court in </w:t>
      </w:r>
      <w:r w:rsidR="007357D2" w:rsidRPr="004F7156">
        <w:rPr>
          <w:rFonts w:ascii="Arial" w:hAnsi="Arial" w:cs="Arial"/>
          <w:i/>
          <w:color w:val="000000" w:themeColor="text1"/>
        </w:rPr>
        <w:t>Miller</w:t>
      </w:r>
      <w:r w:rsidR="00B967F5" w:rsidRPr="004F7156">
        <w:rPr>
          <w:rFonts w:ascii="Arial" w:hAnsi="Arial" w:cs="Arial"/>
          <w:i/>
          <w:color w:val="000000" w:themeColor="text1"/>
        </w:rPr>
        <w:t xml:space="preserve"> v Dannecker</w:t>
      </w:r>
      <w:r w:rsidR="007357D2" w:rsidRPr="004F7156">
        <w:rPr>
          <w:rStyle w:val="FootnoteReference"/>
          <w:rFonts w:ascii="Arial" w:hAnsi="Arial" w:cs="Arial"/>
          <w:color w:val="000000" w:themeColor="text1"/>
        </w:rPr>
        <w:footnoteReference w:id="19"/>
      </w:r>
      <w:r w:rsidR="007357D2" w:rsidRPr="004F7156">
        <w:rPr>
          <w:rFonts w:ascii="Arial" w:hAnsi="Arial" w:cs="Arial"/>
          <w:color w:val="000000" w:themeColor="text1"/>
        </w:rPr>
        <w:t xml:space="preserve"> held that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merely suspends the enforcement of a contract, usually for a specific period or until the occurrence of some contingency, the court in that matter was dealing with a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that </w:t>
      </w:r>
      <w:r w:rsidR="0091682C" w:rsidRPr="004F7156">
        <w:rPr>
          <w:rFonts w:ascii="Arial" w:hAnsi="Arial" w:cs="Arial"/>
          <w:color w:val="000000" w:themeColor="text1"/>
        </w:rPr>
        <w:t>was</w:t>
      </w:r>
      <w:r w:rsidR="007357D2" w:rsidRPr="004F7156">
        <w:rPr>
          <w:rFonts w:ascii="Arial" w:hAnsi="Arial" w:cs="Arial"/>
          <w:color w:val="000000" w:themeColor="text1"/>
        </w:rPr>
        <w:t xml:space="preserve"> temporary. </w:t>
      </w:r>
      <w:r w:rsidR="00DF66BC" w:rsidRPr="004F7156">
        <w:rPr>
          <w:rFonts w:ascii="Arial" w:hAnsi="Arial" w:cs="Arial"/>
          <w:color w:val="000000" w:themeColor="text1"/>
        </w:rPr>
        <w:t>In the present matter the limitation of the right not to be sued is not linked to time.</w:t>
      </w:r>
      <w:r w:rsidR="002B1E4C" w:rsidRPr="004F7156">
        <w:rPr>
          <w:rFonts w:ascii="Arial" w:hAnsi="Arial" w:cs="Arial"/>
          <w:color w:val="000000" w:themeColor="text1"/>
        </w:rPr>
        <w:t xml:space="preserve"> The </w:t>
      </w:r>
      <w:r w:rsidR="002B1E4C" w:rsidRPr="004F7156">
        <w:rPr>
          <w:rFonts w:ascii="Arial" w:hAnsi="Arial" w:cs="Arial"/>
          <w:i/>
          <w:color w:val="000000" w:themeColor="text1"/>
        </w:rPr>
        <w:t>pactum</w:t>
      </w:r>
      <w:r w:rsidR="002B1E4C" w:rsidRPr="004F7156">
        <w:rPr>
          <w:rFonts w:ascii="Arial" w:hAnsi="Arial" w:cs="Arial"/>
          <w:color w:val="000000" w:themeColor="text1"/>
        </w:rPr>
        <w:t xml:space="preserve"> in the present matter is </w:t>
      </w:r>
      <w:r w:rsidR="00FE681D">
        <w:rPr>
          <w:rFonts w:ascii="Arial" w:hAnsi="Arial" w:cs="Arial"/>
          <w:color w:val="000000" w:themeColor="text1"/>
        </w:rPr>
        <w:t xml:space="preserve">one </w:t>
      </w:r>
      <w:r w:rsidR="002B1E4C" w:rsidRPr="004F7156">
        <w:rPr>
          <w:rFonts w:ascii="Arial" w:hAnsi="Arial" w:cs="Arial"/>
          <w:color w:val="000000" w:themeColor="text1"/>
        </w:rPr>
        <w:t>operating in perpetuity.</w:t>
      </w:r>
      <w:r w:rsidR="002B1E4C" w:rsidRPr="004F7156">
        <w:rPr>
          <w:rStyle w:val="FootnoteReference"/>
          <w:rFonts w:ascii="Arial" w:hAnsi="Arial" w:cs="Arial"/>
          <w:color w:val="000000" w:themeColor="text1"/>
        </w:rPr>
        <w:footnoteReference w:id="20"/>
      </w:r>
      <w:r w:rsidR="00DF66BC" w:rsidRPr="004F7156">
        <w:rPr>
          <w:rFonts w:ascii="Arial" w:hAnsi="Arial" w:cs="Arial"/>
          <w:color w:val="000000" w:themeColor="text1"/>
        </w:rPr>
        <w:t xml:space="preserve"> </w:t>
      </w:r>
      <w:r w:rsidR="00FE3536" w:rsidRPr="004F7156">
        <w:rPr>
          <w:rFonts w:ascii="Arial" w:hAnsi="Arial" w:cs="Arial"/>
          <w:i/>
          <w:iCs/>
          <w:color w:val="000000" w:themeColor="text1"/>
        </w:rPr>
        <w:t>Van Zyl</w:t>
      </w:r>
      <w:r w:rsidR="00FE3536" w:rsidRPr="004F7156">
        <w:rPr>
          <w:rFonts w:ascii="Arial" w:hAnsi="Arial" w:cs="Arial"/>
          <w:color w:val="000000" w:themeColor="text1"/>
        </w:rPr>
        <w:t xml:space="preserve"> makes it clear that there is no bar in our law to such a </w:t>
      </w:r>
      <w:r w:rsidR="00FE3536" w:rsidRPr="004F7156">
        <w:rPr>
          <w:rFonts w:ascii="Arial" w:hAnsi="Arial" w:cs="Arial"/>
          <w:i/>
          <w:iCs/>
          <w:color w:val="000000" w:themeColor="text1"/>
        </w:rPr>
        <w:t>pactum</w:t>
      </w:r>
      <w:r w:rsidR="00FE3536" w:rsidRPr="004F7156">
        <w:rPr>
          <w:rFonts w:ascii="Arial" w:hAnsi="Arial" w:cs="Arial"/>
          <w:color w:val="000000" w:themeColor="text1"/>
        </w:rPr>
        <w:t>.</w:t>
      </w:r>
      <w:r w:rsidR="00FE3536" w:rsidRPr="004F7156">
        <w:rPr>
          <w:rStyle w:val="FootnoteReference"/>
          <w:rFonts w:ascii="Arial" w:hAnsi="Arial" w:cs="Arial"/>
          <w:color w:val="000000" w:themeColor="text1"/>
        </w:rPr>
        <w:footnoteReference w:id="21"/>
      </w:r>
      <w:r w:rsidR="0091682C" w:rsidRPr="004F7156">
        <w:rPr>
          <w:rFonts w:ascii="Arial" w:hAnsi="Arial" w:cs="Arial"/>
          <w:color w:val="000000" w:themeColor="text1"/>
        </w:rPr>
        <w:t xml:space="preserve"> </w:t>
      </w:r>
      <w:r w:rsidR="00DF66BC" w:rsidRPr="004F7156">
        <w:rPr>
          <w:rFonts w:ascii="Arial" w:hAnsi="Arial" w:cs="Arial"/>
          <w:color w:val="000000" w:themeColor="text1"/>
        </w:rPr>
        <w:t>F</w:t>
      </w:r>
      <w:r w:rsidR="007357D2" w:rsidRPr="004F7156">
        <w:rPr>
          <w:rFonts w:ascii="Arial" w:hAnsi="Arial" w:cs="Arial"/>
          <w:color w:val="000000" w:themeColor="text1"/>
        </w:rPr>
        <w:t>ormulations emphasis</w:t>
      </w:r>
      <w:r w:rsidR="00DF66BC" w:rsidRPr="004F7156">
        <w:rPr>
          <w:rFonts w:ascii="Arial" w:hAnsi="Arial" w:cs="Arial"/>
          <w:color w:val="000000" w:themeColor="text1"/>
        </w:rPr>
        <w:t>ing</w:t>
      </w:r>
      <w:r w:rsidR="007357D2" w:rsidRPr="004F7156">
        <w:rPr>
          <w:rFonts w:ascii="Arial" w:hAnsi="Arial" w:cs="Arial"/>
          <w:color w:val="000000" w:themeColor="text1"/>
        </w:rPr>
        <w:t xml:space="preserve"> time limitation or contingency aspects cannot</w:t>
      </w:r>
      <w:r w:rsidR="00DF66BC" w:rsidRPr="004F7156">
        <w:rPr>
          <w:rFonts w:ascii="Arial" w:hAnsi="Arial" w:cs="Arial"/>
          <w:color w:val="000000" w:themeColor="text1"/>
        </w:rPr>
        <w:t xml:space="preserve"> therefore</w:t>
      </w:r>
      <w:r w:rsidR="007357D2" w:rsidRPr="004F7156">
        <w:rPr>
          <w:rFonts w:ascii="Arial" w:hAnsi="Arial" w:cs="Arial"/>
          <w:color w:val="000000" w:themeColor="text1"/>
        </w:rPr>
        <w:t xml:space="preserve"> be said to mean that such features are requirements for a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to be valid. </w:t>
      </w:r>
    </w:p>
    <w:p w14:paraId="3911C115" w14:textId="77777777" w:rsidR="007357D2" w:rsidRPr="004F7156" w:rsidRDefault="007357D2" w:rsidP="00AB0585">
      <w:pPr>
        <w:spacing w:line="360" w:lineRule="auto"/>
        <w:jc w:val="both"/>
        <w:rPr>
          <w:rFonts w:ascii="Arial" w:hAnsi="Arial" w:cs="Arial"/>
          <w:color w:val="000000" w:themeColor="text1"/>
        </w:rPr>
      </w:pPr>
      <w:r w:rsidRPr="004F7156">
        <w:rPr>
          <w:rFonts w:ascii="Arial" w:hAnsi="Arial" w:cs="Arial"/>
          <w:color w:val="000000" w:themeColor="text1"/>
        </w:rPr>
        <w:t xml:space="preserve">  </w:t>
      </w:r>
    </w:p>
    <w:p w14:paraId="6729BCA2" w14:textId="77777777" w:rsidR="00A25491" w:rsidRPr="00B96EAD" w:rsidRDefault="007357D2" w:rsidP="00A25491">
      <w:pPr>
        <w:spacing w:line="360" w:lineRule="auto"/>
        <w:jc w:val="both"/>
        <w:rPr>
          <w:rFonts w:ascii="Arial" w:hAnsi="Arial" w:cs="Arial"/>
          <w:b/>
          <w:color w:val="000000" w:themeColor="text1"/>
        </w:rPr>
      </w:pPr>
      <w:r w:rsidRPr="00B96EAD">
        <w:rPr>
          <w:rFonts w:ascii="Arial" w:hAnsi="Arial" w:cs="Arial"/>
          <w:b/>
          <w:color w:val="000000" w:themeColor="text1"/>
        </w:rPr>
        <w:t>Specific performance</w:t>
      </w:r>
    </w:p>
    <w:p w14:paraId="51BCED6E" w14:textId="2CDFABAF" w:rsidR="00A25491" w:rsidRDefault="00555B60" w:rsidP="00B96EAD">
      <w:pPr>
        <w:spacing w:line="360" w:lineRule="auto"/>
        <w:jc w:val="both"/>
        <w:rPr>
          <w:rFonts w:ascii="Arial" w:hAnsi="Arial" w:cs="Arial"/>
          <w:color w:val="000000" w:themeColor="text1"/>
        </w:rPr>
      </w:pPr>
      <w:r w:rsidRPr="004F7156">
        <w:rPr>
          <w:rFonts w:ascii="Arial" w:hAnsi="Arial" w:cs="Arial"/>
          <w:color w:val="000000" w:themeColor="text1"/>
        </w:rPr>
        <w:t>[31</w:t>
      </w:r>
      <w:r w:rsidR="00AB0585" w:rsidRPr="004F7156">
        <w:rPr>
          <w:rFonts w:ascii="Arial" w:hAnsi="Arial" w:cs="Arial"/>
          <w:color w:val="000000" w:themeColor="text1"/>
        </w:rPr>
        <w:t>]</w:t>
      </w:r>
      <w:r w:rsidR="00AB0585" w:rsidRPr="004F7156">
        <w:rPr>
          <w:rFonts w:ascii="Arial" w:hAnsi="Arial" w:cs="Arial"/>
          <w:color w:val="000000" w:themeColor="text1"/>
        </w:rPr>
        <w:tab/>
      </w:r>
      <w:r w:rsidR="007357D2" w:rsidRPr="004F7156">
        <w:rPr>
          <w:rFonts w:ascii="Arial" w:hAnsi="Arial" w:cs="Arial"/>
          <w:color w:val="000000" w:themeColor="text1"/>
        </w:rPr>
        <w:t xml:space="preserve">The law on specific performance is well established. </w:t>
      </w:r>
      <w:r w:rsidR="00657989">
        <w:rPr>
          <w:rFonts w:ascii="Arial" w:hAnsi="Arial" w:cs="Arial"/>
          <w:color w:val="000000" w:themeColor="text1"/>
        </w:rPr>
        <w:t>Injured parties have</w:t>
      </w:r>
      <w:r w:rsidR="007357D2" w:rsidRPr="004F7156">
        <w:rPr>
          <w:rFonts w:ascii="Arial" w:hAnsi="Arial" w:cs="Arial"/>
          <w:color w:val="000000" w:themeColor="text1"/>
        </w:rPr>
        <w:t xml:space="preserve"> the right of election whether to hold the </w:t>
      </w:r>
      <w:r w:rsidR="00657989">
        <w:rPr>
          <w:rFonts w:ascii="Arial" w:hAnsi="Arial" w:cs="Arial"/>
          <w:color w:val="000000" w:themeColor="text1"/>
        </w:rPr>
        <w:t>parties</w:t>
      </w:r>
      <w:r w:rsidR="007357D2" w:rsidRPr="004F7156">
        <w:rPr>
          <w:rFonts w:ascii="Arial" w:hAnsi="Arial" w:cs="Arial"/>
          <w:color w:val="000000" w:themeColor="text1"/>
        </w:rPr>
        <w:t xml:space="preserve"> in breach to </w:t>
      </w:r>
      <w:r w:rsidR="00657989">
        <w:rPr>
          <w:rFonts w:ascii="Arial" w:hAnsi="Arial" w:cs="Arial"/>
          <w:color w:val="000000" w:themeColor="text1"/>
        </w:rPr>
        <w:t>their</w:t>
      </w:r>
      <w:r w:rsidR="007357D2" w:rsidRPr="004F7156">
        <w:rPr>
          <w:rFonts w:ascii="Arial" w:hAnsi="Arial" w:cs="Arial"/>
          <w:color w:val="000000" w:themeColor="text1"/>
        </w:rPr>
        <w:t xml:space="preserve"> contract and claim performance by </w:t>
      </w:r>
      <w:r w:rsidR="00657989">
        <w:rPr>
          <w:rFonts w:ascii="Arial" w:hAnsi="Arial" w:cs="Arial"/>
          <w:color w:val="000000" w:themeColor="text1"/>
        </w:rPr>
        <w:t>them</w:t>
      </w:r>
      <w:r w:rsidR="007357D2" w:rsidRPr="004F7156">
        <w:rPr>
          <w:rFonts w:ascii="Arial" w:hAnsi="Arial" w:cs="Arial"/>
          <w:color w:val="000000" w:themeColor="text1"/>
        </w:rPr>
        <w:t xml:space="preserve"> for precisely what </w:t>
      </w:r>
      <w:r w:rsidR="00657989">
        <w:rPr>
          <w:rFonts w:ascii="Arial" w:hAnsi="Arial" w:cs="Arial"/>
          <w:color w:val="000000" w:themeColor="text1"/>
        </w:rPr>
        <w:t>they</w:t>
      </w:r>
      <w:r w:rsidR="007357D2" w:rsidRPr="004F7156">
        <w:rPr>
          <w:rFonts w:ascii="Arial" w:hAnsi="Arial" w:cs="Arial"/>
          <w:color w:val="000000" w:themeColor="text1"/>
        </w:rPr>
        <w:t xml:space="preserve"> had bound </w:t>
      </w:r>
      <w:r w:rsidR="00657989">
        <w:rPr>
          <w:rFonts w:ascii="Arial" w:hAnsi="Arial" w:cs="Arial"/>
          <w:color w:val="000000" w:themeColor="text1"/>
        </w:rPr>
        <w:t>themselves</w:t>
      </w:r>
      <w:r w:rsidR="007357D2" w:rsidRPr="004F7156">
        <w:rPr>
          <w:rFonts w:ascii="Arial" w:hAnsi="Arial" w:cs="Arial"/>
          <w:color w:val="000000" w:themeColor="text1"/>
        </w:rPr>
        <w:t xml:space="preserve"> to do, or to claim damages for the breach.</w:t>
      </w:r>
      <w:r w:rsidR="007357D2" w:rsidRPr="004F7156">
        <w:rPr>
          <w:rStyle w:val="FootnoteReference"/>
          <w:rFonts w:ascii="Arial" w:hAnsi="Arial" w:cs="Arial"/>
          <w:color w:val="000000" w:themeColor="text1"/>
        </w:rPr>
        <w:footnoteReference w:id="22"/>
      </w:r>
      <w:r w:rsidR="007357D2" w:rsidRPr="004F7156">
        <w:rPr>
          <w:rFonts w:ascii="Arial" w:hAnsi="Arial" w:cs="Arial"/>
          <w:color w:val="000000" w:themeColor="text1"/>
        </w:rPr>
        <w:t xml:space="preserve"> It is in the court’s discretion to award specific performance. The discretion must be exercised judicially upon a consideration of all relevant facts.</w:t>
      </w:r>
      <w:r w:rsidR="007357D2" w:rsidRPr="004F7156">
        <w:rPr>
          <w:rStyle w:val="FootnoteReference"/>
          <w:rFonts w:ascii="Arial" w:hAnsi="Arial" w:cs="Arial"/>
          <w:color w:val="000000" w:themeColor="text1"/>
        </w:rPr>
        <w:footnoteReference w:id="23"/>
      </w:r>
      <w:r w:rsidR="007357D2" w:rsidRPr="004F7156">
        <w:rPr>
          <w:rFonts w:ascii="Arial" w:hAnsi="Arial" w:cs="Arial"/>
          <w:color w:val="000000" w:themeColor="text1"/>
        </w:rPr>
        <w:t xml:space="preserve"> The ultimate principle is that the order which the court makes should not produce an unjust result </w:t>
      </w:r>
      <w:r w:rsidR="00E05DF8" w:rsidRPr="004F7156">
        <w:rPr>
          <w:rFonts w:ascii="Arial" w:hAnsi="Arial" w:cs="Arial"/>
          <w:color w:val="000000" w:themeColor="text1"/>
        </w:rPr>
        <w:t>such as in a situation where</w:t>
      </w:r>
      <w:r w:rsidR="002B1E4C" w:rsidRPr="004F7156">
        <w:rPr>
          <w:rFonts w:ascii="Arial" w:hAnsi="Arial" w:cs="Arial"/>
          <w:color w:val="000000" w:themeColor="text1"/>
        </w:rPr>
        <w:t xml:space="preserve"> it i</w:t>
      </w:r>
      <w:r w:rsidR="007357D2" w:rsidRPr="004F7156">
        <w:rPr>
          <w:rFonts w:ascii="Arial" w:hAnsi="Arial" w:cs="Arial"/>
          <w:color w:val="000000" w:themeColor="text1"/>
        </w:rPr>
        <w:t>s impossible for the appellants to comply with the order or if the order w</w:t>
      </w:r>
      <w:r w:rsidR="00E05DF8" w:rsidRPr="004F7156">
        <w:rPr>
          <w:rFonts w:ascii="Arial" w:hAnsi="Arial" w:cs="Arial"/>
          <w:color w:val="000000" w:themeColor="text1"/>
        </w:rPr>
        <w:t>ould</w:t>
      </w:r>
      <w:r w:rsidR="007357D2" w:rsidRPr="004F7156">
        <w:rPr>
          <w:rFonts w:ascii="Arial" w:hAnsi="Arial" w:cs="Arial"/>
          <w:color w:val="000000" w:themeColor="text1"/>
        </w:rPr>
        <w:t xml:space="preserve"> operate unduly harshly on the appellants.</w:t>
      </w:r>
      <w:r w:rsidR="007357D2" w:rsidRPr="004F7156">
        <w:rPr>
          <w:rStyle w:val="FootnoteReference"/>
          <w:rFonts w:ascii="Arial" w:hAnsi="Arial" w:cs="Arial"/>
          <w:color w:val="000000" w:themeColor="text1"/>
        </w:rPr>
        <w:footnoteReference w:id="24"/>
      </w:r>
    </w:p>
    <w:p w14:paraId="3B5ABE8E" w14:textId="77777777" w:rsidR="00B96EAD" w:rsidRPr="004F7156" w:rsidRDefault="00B96EAD" w:rsidP="00B96EAD">
      <w:pPr>
        <w:spacing w:line="360" w:lineRule="auto"/>
        <w:jc w:val="both"/>
        <w:rPr>
          <w:rFonts w:ascii="Arial" w:hAnsi="Arial" w:cs="Arial"/>
          <w:color w:val="000000" w:themeColor="text1"/>
        </w:rPr>
      </w:pPr>
    </w:p>
    <w:p w14:paraId="422045AD" w14:textId="2FACBD2D" w:rsidR="00A25491" w:rsidRDefault="00A25491" w:rsidP="00B96EAD">
      <w:pPr>
        <w:spacing w:line="360" w:lineRule="auto"/>
        <w:jc w:val="both"/>
        <w:rPr>
          <w:rFonts w:ascii="Arial" w:hAnsi="Arial" w:cs="Arial"/>
          <w:color w:val="000000" w:themeColor="text1"/>
        </w:rPr>
      </w:pPr>
      <w:r w:rsidRPr="004F7156">
        <w:rPr>
          <w:rFonts w:ascii="Arial" w:hAnsi="Arial" w:cs="Arial"/>
          <w:color w:val="000000" w:themeColor="text1"/>
        </w:rPr>
        <w:lastRenderedPageBreak/>
        <w:t xml:space="preserve">[32] The appellants contend that Capitec was not entitled to specific performance. It </w:t>
      </w:r>
      <w:r w:rsidR="00E05DF8" w:rsidRPr="004F7156">
        <w:rPr>
          <w:rFonts w:ascii="Arial" w:hAnsi="Arial" w:cs="Arial"/>
          <w:color w:val="000000" w:themeColor="text1"/>
        </w:rPr>
        <w:t>wa</w:t>
      </w:r>
      <w:r w:rsidRPr="004F7156">
        <w:rPr>
          <w:rFonts w:ascii="Arial" w:hAnsi="Arial" w:cs="Arial"/>
          <w:color w:val="000000" w:themeColor="text1"/>
        </w:rPr>
        <w:t>s submitted that in the event of breach of the consent agreement Capitec c</w:t>
      </w:r>
      <w:r w:rsidR="00E05DF8" w:rsidRPr="004F7156">
        <w:rPr>
          <w:rFonts w:ascii="Arial" w:hAnsi="Arial" w:cs="Arial"/>
          <w:color w:val="000000" w:themeColor="text1"/>
        </w:rPr>
        <w:t>ould</w:t>
      </w:r>
      <w:r w:rsidRPr="004F7156">
        <w:rPr>
          <w:rFonts w:ascii="Arial" w:hAnsi="Arial" w:cs="Arial"/>
          <w:color w:val="000000" w:themeColor="text1"/>
        </w:rPr>
        <w:t xml:space="preserve"> rescind the consent agreement or seek damages. They rely on clause 7.4 of the consent agreement (referred to earlier), which they </w:t>
      </w:r>
      <w:r w:rsidR="00497535" w:rsidRPr="004F7156">
        <w:rPr>
          <w:rFonts w:ascii="Arial" w:hAnsi="Arial" w:cs="Arial"/>
          <w:color w:val="000000" w:themeColor="text1"/>
        </w:rPr>
        <w:t>argue</w:t>
      </w:r>
      <w:r w:rsidR="001F3C29" w:rsidRPr="004F7156">
        <w:rPr>
          <w:rFonts w:ascii="Arial" w:hAnsi="Arial" w:cs="Arial"/>
          <w:color w:val="000000" w:themeColor="text1"/>
        </w:rPr>
        <w:t xml:space="preserve"> caters </w:t>
      </w:r>
      <w:r w:rsidRPr="004F7156">
        <w:rPr>
          <w:rFonts w:ascii="Arial" w:hAnsi="Arial" w:cs="Arial"/>
          <w:color w:val="000000" w:themeColor="text1"/>
        </w:rPr>
        <w:t>for the only remedies a party can claim in the event of a breach.</w:t>
      </w:r>
    </w:p>
    <w:p w14:paraId="234D1166" w14:textId="77777777" w:rsidR="00B96EAD" w:rsidRPr="004F7156" w:rsidRDefault="00B96EAD" w:rsidP="00B96EAD">
      <w:pPr>
        <w:spacing w:line="360" w:lineRule="auto"/>
        <w:jc w:val="both"/>
        <w:rPr>
          <w:rFonts w:ascii="Arial" w:hAnsi="Arial" w:cs="Arial"/>
          <w:color w:val="000000" w:themeColor="text1"/>
        </w:rPr>
      </w:pPr>
    </w:p>
    <w:p w14:paraId="70FF59E7" w14:textId="6C564CB4" w:rsidR="007357D2" w:rsidRDefault="004A4773" w:rsidP="00B96EAD">
      <w:pPr>
        <w:spacing w:line="360" w:lineRule="auto"/>
        <w:jc w:val="both"/>
        <w:rPr>
          <w:rFonts w:ascii="Arial" w:hAnsi="Arial" w:cs="Arial"/>
          <w:color w:val="000000" w:themeColor="text1"/>
        </w:rPr>
      </w:pPr>
      <w:r w:rsidRPr="004F7156">
        <w:rPr>
          <w:rFonts w:ascii="Arial" w:hAnsi="Arial" w:cs="Arial"/>
          <w:color w:val="000000" w:themeColor="text1"/>
        </w:rPr>
        <w:t>[33</w:t>
      </w:r>
      <w:r w:rsidR="007357D2" w:rsidRPr="004F7156">
        <w:rPr>
          <w:rFonts w:ascii="Arial" w:hAnsi="Arial" w:cs="Arial"/>
          <w:color w:val="000000" w:themeColor="text1"/>
        </w:rPr>
        <w:t xml:space="preserve">] </w:t>
      </w:r>
      <w:r w:rsidR="007357D2" w:rsidRPr="004F7156">
        <w:rPr>
          <w:rFonts w:ascii="Arial" w:hAnsi="Arial" w:cs="Arial"/>
          <w:color w:val="000000" w:themeColor="text1"/>
        </w:rPr>
        <w:tab/>
        <w:t>Firstly, clause 7.4 expands, rather than restricts</w:t>
      </w:r>
      <w:r w:rsidR="00E05DF8" w:rsidRPr="004F7156">
        <w:rPr>
          <w:rFonts w:ascii="Arial" w:hAnsi="Arial" w:cs="Arial"/>
          <w:color w:val="000000" w:themeColor="text1"/>
        </w:rPr>
        <w:t>,</w:t>
      </w:r>
      <w:r w:rsidR="007357D2" w:rsidRPr="004F7156">
        <w:rPr>
          <w:rFonts w:ascii="Arial" w:hAnsi="Arial" w:cs="Arial"/>
          <w:color w:val="000000" w:themeColor="text1"/>
        </w:rPr>
        <w:t xml:space="preserve"> Capitec’s remedies. It specifically provides that the remedies in 7.4 are ‘without prejudice to any other remedies to which Capitec Holdings may be entitled in law’. Secondly, it is not clear what damages Capitec would be able </w:t>
      </w:r>
      <w:r w:rsidR="00606950" w:rsidRPr="004F7156">
        <w:rPr>
          <w:rFonts w:ascii="Arial" w:hAnsi="Arial" w:cs="Arial"/>
          <w:color w:val="000000" w:themeColor="text1"/>
        </w:rPr>
        <w:t>to claim in these circumstances</w:t>
      </w:r>
      <w:r w:rsidR="00E87869" w:rsidRPr="004F7156">
        <w:rPr>
          <w:rFonts w:ascii="Arial" w:hAnsi="Arial" w:cs="Arial"/>
          <w:color w:val="000000" w:themeColor="text1"/>
        </w:rPr>
        <w:t>. The appellants were</w:t>
      </w:r>
      <w:r w:rsidR="00606950" w:rsidRPr="004F7156">
        <w:rPr>
          <w:rFonts w:ascii="Arial" w:hAnsi="Arial" w:cs="Arial"/>
          <w:color w:val="000000" w:themeColor="text1"/>
        </w:rPr>
        <w:t xml:space="preserve"> unable to identify any.</w:t>
      </w:r>
      <w:r w:rsidR="007357D2" w:rsidRPr="004F7156">
        <w:rPr>
          <w:rFonts w:ascii="Arial" w:hAnsi="Arial" w:cs="Arial"/>
          <w:color w:val="000000" w:themeColor="text1"/>
        </w:rPr>
        <w:t xml:space="preserve"> Thirdly, specific performance </w:t>
      </w:r>
      <w:r w:rsidR="00FF4B05" w:rsidRPr="004F7156">
        <w:rPr>
          <w:rFonts w:ascii="Arial" w:hAnsi="Arial" w:cs="Arial"/>
          <w:color w:val="000000" w:themeColor="text1"/>
        </w:rPr>
        <w:t xml:space="preserve">in the present matter </w:t>
      </w:r>
      <w:r w:rsidR="007357D2" w:rsidRPr="004F7156">
        <w:rPr>
          <w:rFonts w:ascii="Arial" w:hAnsi="Arial" w:cs="Arial"/>
          <w:color w:val="000000" w:themeColor="text1"/>
        </w:rPr>
        <w:t xml:space="preserve">is possible and is not unprecedented. In </w:t>
      </w:r>
      <w:r w:rsidR="007357D2" w:rsidRPr="004F7156">
        <w:rPr>
          <w:rFonts w:ascii="Arial" w:hAnsi="Arial" w:cs="Arial"/>
          <w:i/>
          <w:color w:val="000000" w:themeColor="text1"/>
        </w:rPr>
        <w:t>Rayden v Hurwitz</w:t>
      </w:r>
      <w:r w:rsidR="007357D2" w:rsidRPr="004F7156">
        <w:rPr>
          <w:rStyle w:val="FootnoteReference"/>
          <w:rFonts w:ascii="Arial" w:hAnsi="Arial" w:cs="Arial"/>
          <w:color w:val="000000" w:themeColor="text1"/>
        </w:rPr>
        <w:footnoteReference w:id="25"/>
      </w:r>
      <w:r w:rsidR="007357D2" w:rsidRPr="004F7156">
        <w:rPr>
          <w:rFonts w:ascii="Arial" w:hAnsi="Arial" w:cs="Arial"/>
          <w:color w:val="000000" w:themeColor="text1"/>
        </w:rPr>
        <w:t xml:space="preserve"> the court granted an order that an action be withdrawn </w:t>
      </w:r>
      <w:r w:rsidR="00E05DF8" w:rsidRPr="004F7156">
        <w:rPr>
          <w:rFonts w:ascii="Arial" w:hAnsi="Arial" w:cs="Arial"/>
          <w:color w:val="000000" w:themeColor="text1"/>
        </w:rPr>
        <w:t>on the basis of a similar provision in</w:t>
      </w:r>
      <w:r w:rsidR="007357D2" w:rsidRPr="004F7156">
        <w:rPr>
          <w:rFonts w:ascii="Arial" w:hAnsi="Arial" w:cs="Arial"/>
          <w:color w:val="000000" w:themeColor="text1"/>
        </w:rPr>
        <w:t xml:space="preserve"> an agreement. </w:t>
      </w:r>
    </w:p>
    <w:p w14:paraId="4A077B31" w14:textId="77777777" w:rsidR="00B96EAD" w:rsidRPr="004F7156" w:rsidRDefault="00B96EAD" w:rsidP="00B96EAD">
      <w:pPr>
        <w:spacing w:line="360" w:lineRule="auto"/>
        <w:jc w:val="both"/>
        <w:rPr>
          <w:rFonts w:ascii="Arial" w:hAnsi="Arial" w:cs="Arial"/>
          <w:color w:val="000000" w:themeColor="text1"/>
        </w:rPr>
      </w:pPr>
    </w:p>
    <w:p w14:paraId="3170F918" w14:textId="4A4C9B60" w:rsidR="007357D2" w:rsidRPr="004F7156" w:rsidRDefault="00E87869" w:rsidP="00B96EAD">
      <w:pPr>
        <w:spacing w:line="360" w:lineRule="auto"/>
        <w:jc w:val="both"/>
        <w:rPr>
          <w:rFonts w:ascii="Arial" w:hAnsi="Arial" w:cs="Arial"/>
          <w:color w:val="000000" w:themeColor="text1"/>
        </w:rPr>
      </w:pPr>
      <w:r w:rsidRPr="004F7156">
        <w:rPr>
          <w:rFonts w:ascii="Arial" w:hAnsi="Arial" w:cs="Arial"/>
          <w:color w:val="000000" w:themeColor="text1"/>
        </w:rPr>
        <w:t>[34</w:t>
      </w:r>
      <w:r w:rsidR="00AB0585" w:rsidRPr="004F7156">
        <w:rPr>
          <w:rFonts w:ascii="Arial" w:hAnsi="Arial" w:cs="Arial"/>
          <w:color w:val="000000" w:themeColor="text1"/>
        </w:rPr>
        <w:t>]</w:t>
      </w:r>
      <w:r w:rsidR="00AB0585" w:rsidRPr="004F7156">
        <w:rPr>
          <w:rFonts w:ascii="Arial" w:hAnsi="Arial" w:cs="Arial"/>
          <w:color w:val="000000" w:themeColor="text1"/>
        </w:rPr>
        <w:tab/>
      </w:r>
      <w:r w:rsidR="007357D2" w:rsidRPr="004F7156">
        <w:rPr>
          <w:rFonts w:ascii="Arial" w:hAnsi="Arial" w:cs="Arial"/>
          <w:color w:val="000000" w:themeColor="text1"/>
        </w:rPr>
        <w:t xml:space="preserve">Capitec has the right to not be sued by the appellants </w:t>
      </w:r>
      <w:r w:rsidR="00E05DF8" w:rsidRPr="004F7156">
        <w:rPr>
          <w:rFonts w:ascii="Arial" w:hAnsi="Arial" w:cs="Arial"/>
          <w:color w:val="000000" w:themeColor="text1"/>
        </w:rPr>
        <w:t>where they use or rely upon</w:t>
      </w:r>
      <w:r w:rsidR="007357D2" w:rsidRPr="004F7156">
        <w:rPr>
          <w:rFonts w:ascii="Arial" w:hAnsi="Arial" w:cs="Arial"/>
          <w:color w:val="000000" w:themeColor="text1"/>
        </w:rPr>
        <w:t xml:space="preserve"> the 2017 Petratouch Transaction</w:t>
      </w:r>
      <w:r w:rsidR="00606950" w:rsidRPr="004F7156">
        <w:rPr>
          <w:rFonts w:ascii="Arial" w:hAnsi="Arial" w:cs="Arial"/>
          <w:color w:val="000000" w:themeColor="text1"/>
        </w:rPr>
        <w:t>. The appellants</w:t>
      </w:r>
      <w:r w:rsidR="007357D2" w:rsidRPr="004F7156">
        <w:rPr>
          <w:rFonts w:ascii="Arial" w:hAnsi="Arial" w:cs="Arial"/>
          <w:color w:val="000000" w:themeColor="text1"/>
        </w:rPr>
        <w:t xml:space="preserve"> breached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by instituting the 2020 action. Under the circumstances there is no reason why Capitec cannot enforce the </w:t>
      </w:r>
      <w:r w:rsidR="007357D2" w:rsidRPr="004F7156">
        <w:rPr>
          <w:rFonts w:ascii="Arial" w:hAnsi="Arial" w:cs="Arial"/>
          <w:i/>
          <w:color w:val="000000" w:themeColor="text1"/>
        </w:rPr>
        <w:t xml:space="preserve">pactum </w:t>
      </w:r>
      <w:r w:rsidR="007357D2" w:rsidRPr="004F7156">
        <w:rPr>
          <w:rFonts w:ascii="Arial" w:hAnsi="Arial" w:cs="Arial"/>
          <w:color w:val="000000" w:themeColor="text1"/>
        </w:rPr>
        <w:t>by instituting application proceedings aimed at compelling the appellant</w:t>
      </w:r>
      <w:r w:rsidR="00B433BE" w:rsidRPr="004F7156">
        <w:rPr>
          <w:rFonts w:ascii="Arial" w:hAnsi="Arial" w:cs="Arial"/>
          <w:color w:val="000000" w:themeColor="text1"/>
        </w:rPr>
        <w:t>s</w:t>
      </w:r>
      <w:r w:rsidR="007357D2" w:rsidRPr="004F7156">
        <w:rPr>
          <w:rFonts w:ascii="Arial" w:hAnsi="Arial" w:cs="Arial"/>
          <w:color w:val="000000" w:themeColor="text1"/>
        </w:rPr>
        <w:t xml:space="preserve"> to comply and withdraw the 2020 action. The only issue is whether the ordering of specific performance in the circumstances of this case would result in an </w:t>
      </w:r>
      <w:r w:rsidR="004432B2" w:rsidRPr="004F7156">
        <w:rPr>
          <w:rFonts w:ascii="Arial" w:hAnsi="Arial" w:cs="Arial"/>
          <w:color w:val="000000" w:themeColor="text1"/>
        </w:rPr>
        <w:t>i</w:t>
      </w:r>
      <w:r w:rsidR="007357D2" w:rsidRPr="004F7156">
        <w:rPr>
          <w:rFonts w:ascii="Arial" w:hAnsi="Arial" w:cs="Arial"/>
          <w:color w:val="000000" w:themeColor="text1"/>
        </w:rPr>
        <w:t>njust</w:t>
      </w:r>
      <w:r w:rsidR="004432B2" w:rsidRPr="004F7156">
        <w:rPr>
          <w:rFonts w:ascii="Arial" w:hAnsi="Arial" w:cs="Arial"/>
          <w:color w:val="000000" w:themeColor="text1"/>
        </w:rPr>
        <w:t>ice</w:t>
      </w:r>
      <w:r w:rsidR="007357D2" w:rsidRPr="004F7156">
        <w:rPr>
          <w:rFonts w:ascii="Arial" w:hAnsi="Arial" w:cs="Arial"/>
          <w:color w:val="000000" w:themeColor="text1"/>
        </w:rPr>
        <w:t>. To answer this question, it is necessary to deal with</w:t>
      </w:r>
      <w:r w:rsidR="006519E9">
        <w:rPr>
          <w:rFonts w:ascii="Arial" w:hAnsi="Arial" w:cs="Arial"/>
          <w:color w:val="000000" w:themeColor="text1"/>
        </w:rPr>
        <w:t xml:space="preserve"> the</w:t>
      </w:r>
      <w:r w:rsidR="007357D2" w:rsidRPr="004F7156">
        <w:rPr>
          <w:rFonts w:ascii="Arial" w:hAnsi="Arial" w:cs="Arial"/>
          <w:color w:val="000000" w:themeColor="text1"/>
        </w:rPr>
        <w:t xml:space="preserve"> appellants’ claim that the </w:t>
      </w:r>
      <w:r w:rsidRPr="004F7156">
        <w:rPr>
          <w:rFonts w:ascii="Arial" w:hAnsi="Arial" w:cs="Arial"/>
          <w:color w:val="000000" w:themeColor="text1"/>
        </w:rPr>
        <w:t xml:space="preserve">high </w:t>
      </w:r>
      <w:r w:rsidR="007357D2" w:rsidRPr="004F7156">
        <w:rPr>
          <w:rFonts w:ascii="Arial" w:hAnsi="Arial" w:cs="Arial"/>
          <w:color w:val="000000" w:themeColor="text1"/>
        </w:rPr>
        <w:t xml:space="preserve">court should not </w:t>
      </w:r>
      <w:r w:rsidRPr="004F7156">
        <w:rPr>
          <w:rFonts w:ascii="Arial" w:hAnsi="Arial" w:cs="Arial"/>
          <w:color w:val="000000" w:themeColor="text1"/>
        </w:rPr>
        <w:t xml:space="preserve">have </w:t>
      </w:r>
      <w:r w:rsidR="007357D2" w:rsidRPr="004F7156">
        <w:rPr>
          <w:rFonts w:ascii="Arial" w:hAnsi="Arial" w:cs="Arial"/>
          <w:color w:val="000000" w:themeColor="text1"/>
        </w:rPr>
        <w:t>enforce</w:t>
      </w:r>
      <w:r w:rsidRPr="004F7156">
        <w:rPr>
          <w:rFonts w:ascii="Arial" w:hAnsi="Arial" w:cs="Arial"/>
          <w:color w:val="000000" w:themeColor="text1"/>
        </w:rPr>
        <w:t>d</w:t>
      </w:r>
      <w:r w:rsidR="007357D2" w:rsidRPr="004F7156">
        <w:rPr>
          <w:rFonts w:ascii="Arial" w:hAnsi="Arial" w:cs="Arial"/>
          <w:color w:val="000000" w:themeColor="text1"/>
        </w:rPr>
        <w:t xml:space="preserve"> clause 7.1.6.2 because it woul</w:t>
      </w:r>
      <w:r w:rsidR="00AB0585" w:rsidRPr="004F7156">
        <w:rPr>
          <w:rFonts w:ascii="Arial" w:hAnsi="Arial" w:cs="Arial"/>
          <w:color w:val="000000" w:themeColor="text1"/>
        </w:rPr>
        <w:t>d be contrary to public policy.</w:t>
      </w:r>
    </w:p>
    <w:p w14:paraId="7663D3F9" w14:textId="77777777" w:rsidR="00FF4B05" w:rsidRPr="004F7156" w:rsidRDefault="00FF4B05" w:rsidP="007357D2">
      <w:pPr>
        <w:spacing w:line="360" w:lineRule="auto"/>
        <w:jc w:val="both"/>
        <w:rPr>
          <w:rFonts w:ascii="Arial" w:hAnsi="Arial" w:cs="Arial"/>
          <w:color w:val="000000" w:themeColor="text1"/>
        </w:rPr>
      </w:pPr>
    </w:p>
    <w:p w14:paraId="395930FA" w14:textId="2957139A" w:rsidR="00B56B1A" w:rsidRPr="004F7156" w:rsidRDefault="007357D2" w:rsidP="007357D2">
      <w:pPr>
        <w:spacing w:line="360" w:lineRule="auto"/>
        <w:jc w:val="both"/>
        <w:rPr>
          <w:rFonts w:ascii="Arial" w:hAnsi="Arial" w:cs="Arial"/>
          <w:b/>
          <w:color w:val="000000" w:themeColor="text1"/>
        </w:rPr>
      </w:pPr>
      <w:r w:rsidRPr="004F7156">
        <w:rPr>
          <w:rFonts w:ascii="Arial" w:hAnsi="Arial" w:cs="Arial"/>
          <w:b/>
          <w:color w:val="000000" w:themeColor="text1"/>
        </w:rPr>
        <w:t xml:space="preserve">The enforceability of the </w:t>
      </w:r>
      <w:r w:rsidRPr="004F7156">
        <w:rPr>
          <w:rFonts w:ascii="Arial" w:hAnsi="Arial" w:cs="Arial"/>
          <w:b/>
          <w:i/>
          <w:color w:val="000000" w:themeColor="text1"/>
        </w:rPr>
        <w:t>pactum</w:t>
      </w:r>
    </w:p>
    <w:p w14:paraId="621184CD" w14:textId="54B6203D" w:rsidR="007357D2" w:rsidRDefault="00B56B1A" w:rsidP="007357D2">
      <w:pPr>
        <w:spacing w:line="360" w:lineRule="auto"/>
        <w:jc w:val="both"/>
        <w:rPr>
          <w:rFonts w:ascii="Arial" w:hAnsi="Arial" w:cs="Arial"/>
          <w:color w:val="000000" w:themeColor="text1"/>
        </w:rPr>
      </w:pPr>
      <w:r w:rsidRPr="004F7156">
        <w:rPr>
          <w:rFonts w:ascii="Arial" w:hAnsi="Arial" w:cs="Arial"/>
          <w:color w:val="000000" w:themeColor="text1"/>
        </w:rPr>
        <w:t>[35</w:t>
      </w:r>
      <w:r w:rsidR="007357D2" w:rsidRPr="004F7156">
        <w:rPr>
          <w:rFonts w:ascii="Arial" w:hAnsi="Arial" w:cs="Arial"/>
          <w:color w:val="000000" w:themeColor="text1"/>
        </w:rPr>
        <w:t xml:space="preserve">] </w:t>
      </w:r>
      <w:r w:rsidR="007357D2" w:rsidRPr="004F7156">
        <w:rPr>
          <w:rFonts w:ascii="Arial" w:hAnsi="Arial" w:cs="Arial"/>
          <w:color w:val="000000" w:themeColor="text1"/>
        </w:rPr>
        <w:tab/>
        <w:t xml:space="preserve">The appellants made two main submissions: </w:t>
      </w:r>
      <w:r w:rsidR="00B433BE" w:rsidRPr="004F7156">
        <w:rPr>
          <w:rFonts w:ascii="Arial" w:hAnsi="Arial" w:cs="Arial"/>
          <w:color w:val="000000" w:themeColor="text1"/>
        </w:rPr>
        <w:t>f</w:t>
      </w:r>
      <w:r w:rsidR="007357D2" w:rsidRPr="004F7156">
        <w:rPr>
          <w:rFonts w:ascii="Arial" w:hAnsi="Arial" w:cs="Arial"/>
          <w:color w:val="000000" w:themeColor="text1"/>
        </w:rPr>
        <w:t xml:space="preserve">irst, </w:t>
      </w:r>
      <w:r w:rsidR="004432B2" w:rsidRPr="004F7156">
        <w:rPr>
          <w:rFonts w:ascii="Arial" w:hAnsi="Arial" w:cs="Arial"/>
          <w:color w:val="000000" w:themeColor="text1"/>
        </w:rPr>
        <w:t xml:space="preserve">that </w:t>
      </w:r>
      <w:r w:rsidR="007357D2" w:rsidRPr="004F7156">
        <w:rPr>
          <w:rFonts w:ascii="Arial" w:hAnsi="Arial" w:cs="Arial"/>
          <w:color w:val="000000" w:themeColor="text1"/>
        </w:rPr>
        <w:t xml:space="preserve">a constitutional right cannot be waived, and second, </w:t>
      </w:r>
      <w:r w:rsidR="004432B2" w:rsidRPr="004F7156">
        <w:rPr>
          <w:rFonts w:ascii="Arial" w:hAnsi="Arial" w:cs="Arial"/>
          <w:color w:val="000000" w:themeColor="text1"/>
        </w:rPr>
        <w:t xml:space="preserve">that </w:t>
      </w:r>
      <w:r w:rsidR="007357D2" w:rsidRPr="004F7156">
        <w:rPr>
          <w:rFonts w:ascii="Arial" w:hAnsi="Arial" w:cs="Arial"/>
          <w:color w:val="000000" w:themeColor="text1"/>
        </w:rPr>
        <w:t xml:space="preserve">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is against public policy.</w:t>
      </w:r>
    </w:p>
    <w:p w14:paraId="5C6CBF9E" w14:textId="77777777" w:rsidR="00AB0585" w:rsidRPr="004F7156" w:rsidRDefault="00AB0585" w:rsidP="007357D2">
      <w:pPr>
        <w:spacing w:line="360" w:lineRule="auto"/>
        <w:jc w:val="both"/>
        <w:rPr>
          <w:rFonts w:ascii="Arial" w:hAnsi="Arial" w:cs="Arial"/>
          <w:color w:val="000000" w:themeColor="text1"/>
        </w:rPr>
      </w:pPr>
    </w:p>
    <w:p w14:paraId="1394CE17" w14:textId="17FEE99C" w:rsidR="007357D2" w:rsidRPr="00B96EAD" w:rsidRDefault="007357D2" w:rsidP="007357D2">
      <w:pPr>
        <w:spacing w:line="360" w:lineRule="auto"/>
        <w:jc w:val="both"/>
        <w:rPr>
          <w:rFonts w:ascii="Arial" w:hAnsi="Arial" w:cs="Arial"/>
          <w:b/>
          <w:color w:val="000000" w:themeColor="text1"/>
        </w:rPr>
      </w:pPr>
      <w:r w:rsidRPr="00B96EAD">
        <w:rPr>
          <w:rFonts w:ascii="Arial" w:hAnsi="Arial" w:cs="Arial"/>
          <w:b/>
          <w:color w:val="000000" w:themeColor="text1"/>
        </w:rPr>
        <w:t>Waiver</w:t>
      </w:r>
    </w:p>
    <w:p w14:paraId="7CF1BF0C" w14:textId="0CEC9542" w:rsidR="007357D2" w:rsidRPr="004F7156" w:rsidRDefault="00B56B1A" w:rsidP="007357D2">
      <w:pPr>
        <w:spacing w:line="360" w:lineRule="auto"/>
        <w:jc w:val="both"/>
        <w:rPr>
          <w:rFonts w:ascii="Arial" w:hAnsi="Arial" w:cs="Arial"/>
          <w:color w:val="000000"/>
          <w:lang w:eastAsia="en-ZA"/>
        </w:rPr>
      </w:pPr>
      <w:r w:rsidRPr="004F7156">
        <w:rPr>
          <w:rFonts w:ascii="Arial" w:hAnsi="Arial" w:cs="Arial"/>
          <w:color w:val="000000"/>
          <w:lang w:eastAsia="en-ZA"/>
        </w:rPr>
        <w:lastRenderedPageBreak/>
        <w:t>[36</w:t>
      </w:r>
      <w:r w:rsidR="00AB0585" w:rsidRPr="004F7156">
        <w:rPr>
          <w:rFonts w:ascii="Arial" w:hAnsi="Arial" w:cs="Arial"/>
          <w:color w:val="000000"/>
          <w:lang w:eastAsia="en-ZA"/>
        </w:rPr>
        <w:t>]</w:t>
      </w:r>
      <w:r w:rsidR="00AB0585" w:rsidRPr="004F7156">
        <w:rPr>
          <w:rFonts w:ascii="Arial" w:hAnsi="Arial" w:cs="Arial"/>
          <w:color w:val="000000"/>
          <w:lang w:eastAsia="en-ZA"/>
        </w:rPr>
        <w:tab/>
      </w:r>
      <w:r w:rsidR="007F7899" w:rsidRPr="004F7156">
        <w:rPr>
          <w:rFonts w:ascii="Arial" w:hAnsi="Arial" w:cs="Arial"/>
          <w:color w:val="000000"/>
          <w:lang w:eastAsia="en-ZA"/>
        </w:rPr>
        <w:t>Section 34 of the Constitution provides that e</w:t>
      </w:r>
      <w:r w:rsidR="007357D2" w:rsidRPr="004F7156">
        <w:rPr>
          <w:rFonts w:ascii="Arial" w:hAnsi="Arial" w:cs="Arial"/>
          <w:color w:val="000000"/>
          <w:lang w:eastAsia="en-ZA"/>
        </w:rPr>
        <w:t xml:space="preserve">veryone has the right to have any dispute that can be resolved by the application of law decided in a fair public hearing before a court or, where appropriate, another independent and impartial tribunal or forum. </w:t>
      </w:r>
      <w:r w:rsidR="007357D2" w:rsidRPr="004F7156">
        <w:rPr>
          <w:rFonts w:ascii="Arial" w:hAnsi="Arial" w:cs="Arial"/>
          <w:color w:val="000000" w:themeColor="text1"/>
        </w:rPr>
        <w:t xml:space="preserve">The issue whether </w:t>
      </w:r>
      <w:r w:rsidR="00C441AF" w:rsidRPr="004F7156">
        <w:rPr>
          <w:rFonts w:ascii="Arial" w:hAnsi="Arial" w:cs="Arial"/>
          <w:color w:val="000000" w:themeColor="text1"/>
        </w:rPr>
        <w:t xml:space="preserve">this right </w:t>
      </w:r>
      <w:r w:rsidR="007357D2" w:rsidRPr="004F7156">
        <w:rPr>
          <w:rFonts w:ascii="Arial" w:hAnsi="Arial" w:cs="Arial"/>
          <w:color w:val="000000" w:themeColor="text1"/>
        </w:rPr>
        <w:t xml:space="preserve">can be waived </w:t>
      </w:r>
      <w:r w:rsidR="00C441AF" w:rsidRPr="004F7156">
        <w:rPr>
          <w:rFonts w:ascii="Arial" w:hAnsi="Arial" w:cs="Arial"/>
          <w:color w:val="000000" w:themeColor="text1"/>
        </w:rPr>
        <w:t xml:space="preserve">was addressed in </w:t>
      </w:r>
      <w:r w:rsidR="009E411B" w:rsidRPr="004F7156">
        <w:rPr>
          <w:rFonts w:ascii="Arial" w:hAnsi="Arial" w:cs="Arial"/>
          <w:color w:val="000000" w:themeColor="text1"/>
        </w:rPr>
        <w:t xml:space="preserve"> </w:t>
      </w:r>
      <w:r w:rsidR="007357D2" w:rsidRPr="004F7156">
        <w:rPr>
          <w:rFonts w:ascii="Arial" w:hAnsi="Arial" w:cs="Arial"/>
          <w:i/>
          <w:color w:val="000000" w:themeColor="text1"/>
        </w:rPr>
        <w:t>Lufuno Mphaphuli &amp; Associates Pty Ltd v Andrews</w:t>
      </w:r>
      <w:r w:rsidR="00FD46F6" w:rsidRPr="004F7156">
        <w:rPr>
          <w:rFonts w:ascii="Arial" w:hAnsi="Arial" w:cs="Arial"/>
          <w:i/>
          <w:color w:val="000000" w:themeColor="text1"/>
        </w:rPr>
        <w:t xml:space="preserve"> </w:t>
      </w:r>
      <w:r w:rsidR="00FD46F6" w:rsidRPr="004F7156">
        <w:rPr>
          <w:rFonts w:ascii="Arial" w:hAnsi="Arial" w:cs="Arial"/>
          <w:iCs/>
          <w:color w:val="000000" w:themeColor="text1"/>
        </w:rPr>
        <w:t>(</w:t>
      </w:r>
      <w:r w:rsidR="00FD46F6" w:rsidRPr="004F7156">
        <w:rPr>
          <w:rFonts w:ascii="Arial" w:hAnsi="Arial" w:cs="Arial"/>
          <w:i/>
          <w:color w:val="000000" w:themeColor="text1"/>
        </w:rPr>
        <w:t>Lufuno</w:t>
      </w:r>
      <w:r w:rsidR="00FD46F6" w:rsidRPr="004F7156">
        <w:rPr>
          <w:rFonts w:ascii="Arial" w:hAnsi="Arial" w:cs="Arial"/>
          <w:iCs/>
          <w:color w:val="000000" w:themeColor="text1"/>
        </w:rPr>
        <w:t>)</w:t>
      </w:r>
      <w:r w:rsidR="00C441AF" w:rsidRPr="004F7156">
        <w:rPr>
          <w:rFonts w:ascii="Arial" w:hAnsi="Arial" w:cs="Arial"/>
          <w:iCs/>
          <w:color w:val="000000" w:themeColor="text1"/>
        </w:rPr>
        <w:t>.</w:t>
      </w:r>
      <w:r w:rsidR="007357D2" w:rsidRPr="004F7156">
        <w:rPr>
          <w:rStyle w:val="FootnoteReference"/>
          <w:rFonts w:ascii="Arial" w:hAnsi="Arial" w:cs="Arial"/>
          <w:color w:val="000000" w:themeColor="text1"/>
        </w:rPr>
        <w:footnoteReference w:id="26"/>
      </w:r>
      <w:r w:rsidR="009E411B" w:rsidRPr="004F7156">
        <w:rPr>
          <w:rFonts w:ascii="Arial" w:hAnsi="Arial" w:cs="Arial"/>
          <w:color w:val="000000" w:themeColor="text1"/>
        </w:rPr>
        <w:t xml:space="preserve"> </w:t>
      </w:r>
      <w:r w:rsidR="007357D2" w:rsidRPr="004F7156">
        <w:rPr>
          <w:rFonts w:ascii="Arial" w:hAnsi="Arial" w:cs="Arial"/>
          <w:color w:val="000000" w:themeColor="text1"/>
        </w:rPr>
        <w:t>That matter concerned whether parties to arbitration agreements c</w:t>
      </w:r>
      <w:r w:rsidR="004432B2" w:rsidRPr="004F7156">
        <w:rPr>
          <w:rFonts w:ascii="Arial" w:hAnsi="Arial" w:cs="Arial"/>
          <w:color w:val="000000" w:themeColor="text1"/>
        </w:rPr>
        <w:t>ould</w:t>
      </w:r>
      <w:r w:rsidR="007357D2" w:rsidRPr="004F7156">
        <w:rPr>
          <w:rFonts w:ascii="Arial" w:hAnsi="Arial" w:cs="Arial"/>
          <w:color w:val="000000" w:themeColor="text1"/>
        </w:rPr>
        <w:t xml:space="preserve"> waive their right to a fair hearing.</w:t>
      </w:r>
      <w:r w:rsidR="009C3500" w:rsidRPr="004F7156">
        <w:rPr>
          <w:rFonts w:ascii="Arial" w:hAnsi="Arial" w:cs="Arial"/>
          <w:color w:val="000000" w:themeColor="text1"/>
        </w:rPr>
        <w:t xml:space="preserve"> </w:t>
      </w:r>
      <w:r w:rsidR="007357D2" w:rsidRPr="004F7156">
        <w:rPr>
          <w:rFonts w:ascii="Arial" w:hAnsi="Arial" w:cs="Arial"/>
          <w:color w:val="000000" w:themeColor="text1"/>
        </w:rPr>
        <w:t xml:space="preserve">The majority held that where parties agree to arbitrate, they arguably do not so much </w:t>
      </w:r>
      <w:r w:rsidR="000F2E7D" w:rsidRPr="004F7156">
        <w:rPr>
          <w:rFonts w:ascii="Arial" w:hAnsi="Arial" w:cs="Arial"/>
          <w:color w:val="000000" w:themeColor="text1"/>
        </w:rPr>
        <w:t xml:space="preserve">as </w:t>
      </w:r>
      <w:r w:rsidR="007357D2" w:rsidRPr="004F7156">
        <w:rPr>
          <w:rFonts w:ascii="Arial" w:hAnsi="Arial" w:cs="Arial"/>
          <w:color w:val="000000" w:themeColor="text1"/>
        </w:rPr>
        <w:t xml:space="preserve">waive their s </w:t>
      </w:r>
      <w:r w:rsidR="00455A80">
        <w:rPr>
          <w:rFonts w:ascii="Arial" w:hAnsi="Arial" w:cs="Arial"/>
          <w:color w:val="000000" w:themeColor="text1"/>
        </w:rPr>
        <w:t xml:space="preserve">34 </w:t>
      </w:r>
      <w:r w:rsidR="007357D2" w:rsidRPr="004F7156">
        <w:rPr>
          <w:rFonts w:ascii="Arial" w:hAnsi="Arial" w:cs="Arial"/>
          <w:color w:val="000000" w:themeColor="text1"/>
        </w:rPr>
        <w:t>rights as si</w:t>
      </w:r>
      <w:r w:rsidR="00455A80">
        <w:rPr>
          <w:rFonts w:ascii="Arial" w:hAnsi="Arial" w:cs="Arial"/>
          <w:color w:val="000000" w:themeColor="text1"/>
        </w:rPr>
        <w:t>mply agree not to exercise them.</w:t>
      </w:r>
      <w:r w:rsidR="007357D2" w:rsidRPr="004F7156">
        <w:rPr>
          <w:rFonts w:ascii="Arial" w:hAnsi="Arial" w:cs="Arial"/>
          <w:color w:val="000000" w:themeColor="text1"/>
        </w:rPr>
        <w:t xml:space="preserve"> O’Regan ADCJ, speaking for the majority said:</w:t>
      </w:r>
      <w:r w:rsidR="00167BAF" w:rsidRPr="004F7156">
        <w:rPr>
          <w:rStyle w:val="CommentReference"/>
        </w:rPr>
        <w:t xml:space="preserve"> </w:t>
      </w:r>
    </w:p>
    <w:p w14:paraId="613B1B2E" w14:textId="77A683BC" w:rsidR="007357D2" w:rsidRPr="004F7156" w:rsidRDefault="007357D2" w:rsidP="00AB0585">
      <w:pPr>
        <w:spacing w:line="360" w:lineRule="auto"/>
        <w:jc w:val="both"/>
        <w:rPr>
          <w:rFonts w:ascii="Arial" w:hAnsi="Arial" w:cs="Arial"/>
          <w:color w:val="000000" w:themeColor="text1"/>
          <w:lang w:eastAsia="en-ZA"/>
        </w:rPr>
      </w:pPr>
      <w:r w:rsidRPr="004F7156">
        <w:rPr>
          <w:rFonts w:ascii="Arial" w:hAnsi="Arial" w:cs="Arial"/>
          <w:color w:val="000000" w:themeColor="text1"/>
          <w:lang w:eastAsia="en-ZA"/>
        </w:rPr>
        <w:t>‘</w:t>
      </w:r>
      <w:r w:rsidRPr="004F7156">
        <w:rPr>
          <w:rFonts w:ascii="Arial" w:hAnsi="Arial" w:cs="Arial"/>
          <w:color w:val="000000" w:themeColor="text1"/>
          <w:sz w:val="22"/>
          <w:szCs w:val="22"/>
          <w:lang w:eastAsia="en-ZA"/>
        </w:rPr>
        <w:t>If we understand s</w:t>
      </w:r>
      <w:r w:rsidR="004432B2" w:rsidRPr="004F7156">
        <w:rPr>
          <w:rFonts w:ascii="Arial" w:hAnsi="Arial" w:cs="Arial"/>
          <w:color w:val="000000" w:themeColor="text1"/>
          <w:sz w:val="22"/>
          <w:szCs w:val="22"/>
          <w:lang w:eastAsia="en-ZA"/>
        </w:rPr>
        <w:t>ection</w:t>
      </w:r>
      <w:r w:rsidRPr="004F7156">
        <w:rPr>
          <w:rFonts w:ascii="Arial" w:hAnsi="Arial" w:cs="Arial"/>
          <w:color w:val="000000" w:themeColor="text1"/>
          <w:sz w:val="22"/>
          <w:szCs w:val="22"/>
          <w:lang w:eastAsia="en-ZA"/>
        </w:rPr>
        <w:t xml:space="preserve"> 34 not to be directly applicable to private arbitration, the effect of a person choosing private arbitration for the resolution of a dispute is not that they have waived their rights under s</w:t>
      </w:r>
      <w:r w:rsidR="004432B2" w:rsidRPr="004F7156">
        <w:rPr>
          <w:rFonts w:ascii="Arial" w:hAnsi="Arial" w:cs="Arial"/>
          <w:color w:val="000000" w:themeColor="text1"/>
          <w:sz w:val="22"/>
          <w:szCs w:val="22"/>
          <w:lang w:eastAsia="en-ZA"/>
        </w:rPr>
        <w:t>ection</w:t>
      </w:r>
      <w:r w:rsidRPr="004F7156">
        <w:rPr>
          <w:rFonts w:ascii="Arial" w:hAnsi="Arial" w:cs="Arial"/>
          <w:color w:val="000000" w:themeColor="text1"/>
          <w:sz w:val="22"/>
          <w:szCs w:val="22"/>
          <w:lang w:eastAsia="en-ZA"/>
        </w:rPr>
        <w:t xml:space="preserve"> 34. They have instead chosen not to exercise their right under s</w:t>
      </w:r>
      <w:r w:rsidR="004432B2" w:rsidRPr="004F7156">
        <w:rPr>
          <w:rFonts w:ascii="Arial" w:hAnsi="Arial" w:cs="Arial"/>
          <w:color w:val="000000" w:themeColor="text1"/>
          <w:sz w:val="22"/>
          <w:szCs w:val="22"/>
          <w:lang w:eastAsia="en-ZA"/>
        </w:rPr>
        <w:t>ection</w:t>
      </w:r>
      <w:r w:rsidRPr="004F7156">
        <w:rPr>
          <w:rFonts w:ascii="Arial" w:hAnsi="Arial" w:cs="Arial"/>
          <w:color w:val="000000" w:themeColor="text1"/>
          <w:sz w:val="22"/>
          <w:szCs w:val="22"/>
          <w:lang w:eastAsia="en-ZA"/>
        </w:rPr>
        <w:t xml:space="preserve"> 34</w:t>
      </w:r>
      <w:bookmarkStart w:id="3" w:name="0-0-0-316803"/>
      <w:bookmarkEnd w:id="3"/>
      <w:r w:rsidRPr="004F7156">
        <w:rPr>
          <w:rFonts w:ascii="Arial" w:hAnsi="Arial" w:cs="Arial"/>
          <w:color w:val="000000" w:themeColor="text1"/>
          <w:sz w:val="22"/>
          <w:szCs w:val="22"/>
          <w:lang w:eastAsia="en-ZA"/>
        </w:rPr>
        <w:t>. I do not think, therefore, that the language of waiver used by both the European Court of Human Rights in </w:t>
      </w:r>
      <w:r w:rsidRPr="004F7156">
        <w:rPr>
          <w:rFonts w:ascii="Arial" w:hAnsi="Arial" w:cs="Arial"/>
          <w:i/>
          <w:iCs/>
          <w:color w:val="000000" w:themeColor="text1"/>
          <w:sz w:val="22"/>
          <w:szCs w:val="22"/>
          <w:lang w:eastAsia="en-ZA"/>
        </w:rPr>
        <w:t>Suovaniemi</w:t>
      </w:r>
      <w:r w:rsidRPr="004F7156">
        <w:rPr>
          <w:rFonts w:ascii="Arial" w:hAnsi="Arial" w:cs="Arial"/>
          <w:color w:val="000000" w:themeColor="text1"/>
          <w:sz w:val="22"/>
          <w:szCs w:val="22"/>
          <w:lang w:eastAsia="en-ZA"/>
        </w:rPr>
        <w:t> and by the Supreme Court of Appeal in </w:t>
      </w:r>
      <w:r w:rsidRPr="004F7156">
        <w:rPr>
          <w:rFonts w:ascii="Arial" w:hAnsi="Arial" w:cs="Arial"/>
          <w:i/>
          <w:iCs/>
          <w:color w:val="000000" w:themeColor="text1"/>
          <w:sz w:val="22"/>
          <w:szCs w:val="22"/>
          <w:lang w:eastAsia="en-ZA"/>
        </w:rPr>
        <w:t>Telcordia</w:t>
      </w:r>
      <w:r w:rsidRPr="004F7156">
        <w:rPr>
          <w:rFonts w:ascii="Arial" w:hAnsi="Arial" w:cs="Arial"/>
          <w:color w:val="000000" w:themeColor="text1"/>
          <w:sz w:val="22"/>
          <w:szCs w:val="22"/>
          <w:lang w:eastAsia="en-ZA"/>
        </w:rPr>
        <w:t> is apt. Indeed, it may not be apt in relation to constitutional rights at all</w:t>
      </w:r>
      <w:bookmarkStart w:id="4" w:name="0-0-0-316807"/>
      <w:bookmarkEnd w:id="4"/>
      <w:r w:rsidRPr="004F7156">
        <w:rPr>
          <w:rFonts w:ascii="Arial" w:hAnsi="Arial" w:cs="Arial"/>
          <w:color w:val="000000" w:themeColor="text1"/>
          <w:sz w:val="22"/>
          <w:szCs w:val="22"/>
          <w:lang w:eastAsia="en-ZA"/>
        </w:rPr>
        <w:t>, but that is a topic for another day.’</w:t>
      </w:r>
      <w:r w:rsidRPr="004F7156">
        <w:rPr>
          <w:rStyle w:val="FootnoteReference"/>
          <w:rFonts w:ascii="Arial" w:hAnsi="Arial" w:cs="Arial"/>
          <w:color w:val="000000" w:themeColor="text1"/>
          <w:lang w:eastAsia="en-ZA"/>
        </w:rPr>
        <w:footnoteReference w:id="27"/>
      </w:r>
    </w:p>
    <w:p w14:paraId="44656130" w14:textId="77777777" w:rsidR="007357D2" w:rsidRPr="004F7156" w:rsidRDefault="007357D2" w:rsidP="00AB0585">
      <w:pPr>
        <w:spacing w:line="360" w:lineRule="auto"/>
        <w:jc w:val="both"/>
        <w:rPr>
          <w:rFonts w:ascii="Arial" w:hAnsi="Arial" w:cs="Arial"/>
          <w:color w:val="000000"/>
          <w:lang w:eastAsia="en-ZA"/>
        </w:rPr>
      </w:pPr>
    </w:p>
    <w:p w14:paraId="338E9C3D" w14:textId="5BD9C983" w:rsidR="007357D2" w:rsidRDefault="007F7899" w:rsidP="00AB0585">
      <w:pPr>
        <w:spacing w:line="360" w:lineRule="auto"/>
        <w:jc w:val="both"/>
        <w:rPr>
          <w:rFonts w:ascii="Arial" w:hAnsi="Arial" w:cs="Arial"/>
          <w:color w:val="000000" w:themeColor="text1"/>
        </w:rPr>
      </w:pPr>
      <w:r w:rsidRPr="004F7156">
        <w:rPr>
          <w:rFonts w:ascii="Arial" w:hAnsi="Arial" w:cs="Arial"/>
          <w:color w:val="000000"/>
          <w:lang w:eastAsia="en-ZA"/>
        </w:rPr>
        <w:t>[3</w:t>
      </w:r>
      <w:r w:rsidR="00C441AF" w:rsidRPr="004F7156">
        <w:rPr>
          <w:rFonts w:ascii="Arial" w:hAnsi="Arial" w:cs="Arial"/>
          <w:color w:val="000000"/>
          <w:lang w:eastAsia="en-ZA"/>
        </w:rPr>
        <w:t>7</w:t>
      </w:r>
      <w:r w:rsidR="007357D2" w:rsidRPr="004F7156">
        <w:rPr>
          <w:rFonts w:ascii="Arial" w:hAnsi="Arial" w:cs="Arial"/>
          <w:color w:val="000000"/>
          <w:lang w:eastAsia="en-ZA"/>
        </w:rPr>
        <w:t>]</w:t>
      </w:r>
      <w:r w:rsidR="007357D2" w:rsidRPr="004F7156">
        <w:rPr>
          <w:rFonts w:ascii="Arial" w:hAnsi="Arial" w:cs="Arial"/>
          <w:color w:val="000000"/>
          <w:lang w:eastAsia="en-ZA"/>
        </w:rPr>
        <w:tab/>
        <w:t xml:space="preserve">The high court applied </w:t>
      </w:r>
      <w:r w:rsidR="007357D2" w:rsidRPr="004F7156">
        <w:rPr>
          <w:rFonts w:ascii="Arial" w:hAnsi="Arial" w:cs="Arial"/>
          <w:i/>
          <w:color w:val="000000"/>
          <w:lang w:eastAsia="en-ZA"/>
        </w:rPr>
        <w:t>Lufuno</w:t>
      </w:r>
      <w:r w:rsidR="007357D2" w:rsidRPr="004F7156">
        <w:rPr>
          <w:rFonts w:ascii="Arial" w:hAnsi="Arial" w:cs="Arial"/>
          <w:color w:val="000000"/>
          <w:lang w:eastAsia="en-ZA"/>
        </w:rPr>
        <w:t xml:space="preserve"> and found that the concept of waiver </w:t>
      </w:r>
      <w:r w:rsidR="00054ABF" w:rsidRPr="004F7156">
        <w:rPr>
          <w:rFonts w:ascii="Arial" w:hAnsi="Arial" w:cs="Arial"/>
          <w:color w:val="000000"/>
          <w:lang w:eastAsia="en-ZA"/>
        </w:rPr>
        <w:t xml:space="preserve">did not arise. </w:t>
      </w:r>
      <w:r w:rsidR="007357D2" w:rsidRPr="004F7156">
        <w:rPr>
          <w:rFonts w:ascii="Arial" w:hAnsi="Arial" w:cs="Arial"/>
          <w:color w:val="000000"/>
          <w:lang w:eastAsia="en-ZA"/>
        </w:rPr>
        <w:t xml:space="preserve">It held that the appellants were fully informed of their rights and elected voluntarily to consent to the terms of the subject clause. It then proceeded with an enquiry to establish whether clause 7.1.6.2 was inconsistent with public policy. </w:t>
      </w:r>
      <w:r w:rsidR="007357D2" w:rsidRPr="004F7156">
        <w:rPr>
          <w:rFonts w:ascii="Arial" w:hAnsi="Arial" w:cs="Arial"/>
          <w:color w:val="000000" w:themeColor="text1"/>
        </w:rPr>
        <w:t xml:space="preserve">The high court cannot be faulted in its approach. The proper inquiry in the present matter is to determine whether </w:t>
      </w:r>
      <w:r w:rsidR="00C441AF" w:rsidRPr="004F7156">
        <w:rPr>
          <w:rFonts w:ascii="Arial" w:hAnsi="Arial" w:cs="Arial"/>
          <w:color w:val="000000" w:themeColor="text1"/>
        </w:rPr>
        <w:t>the subject clause</w:t>
      </w:r>
      <w:r w:rsidR="007357D2" w:rsidRPr="004F7156">
        <w:rPr>
          <w:rFonts w:ascii="Arial" w:hAnsi="Arial" w:cs="Arial"/>
          <w:color w:val="000000" w:themeColor="text1"/>
        </w:rPr>
        <w:t xml:space="preserve"> or its enforcement is consistent with public policy.</w:t>
      </w:r>
      <w:r w:rsidR="007357D2" w:rsidRPr="004F7156">
        <w:rPr>
          <w:rStyle w:val="FootnoteReference"/>
          <w:rFonts w:ascii="Arial" w:hAnsi="Arial" w:cs="Arial"/>
          <w:color w:val="000000" w:themeColor="text1"/>
        </w:rPr>
        <w:footnoteReference w:id="28"/>
      </w:r>
    </w:p>
    <w:p w14:paraId="1474593A" w14:textId="77777777" w:rsidR="00DC228D" w:rsidRDefault="00DC228D" w:rsidP="00AB0585">
      <w:pPr>
        <w:spacing w:line="360" w:lineRule="auto"/>
        <w:jc w:val="both"/>
        <w:rPr>
          <w:rFonts w:ascii="Arial" w:hAnsi="Arial" w:cs="Arial"/>
          <w:color w:val="000000" w:themeColor="text1"/>
        </w:rPr>
      </w:pPr>
    </w:p>
    <w:p w14:paraId="010C928D" w14:textId="77777777" w:rsidR="007357D2" w:rsidRPr="00B96EAD" w:rsidRDefault="007357D2" w:rsidP="007357D2">
      <w:pPr>
        <w:spacing w:line="360" w:lineRule="auto"/>
        <w:jc w:val="both"/>
        <w:rPr>
          <w:rFonts w:ascii="Arial" w:hAnsi="Arial" w:cs="Arial"/>
          <w:b/>
          <w:color w:val="000000" w:themeColor="text1"/>
        </w:rPr>
      </w:pPr>
      <w:r w:rsidRPr="00B96EAD">
        <w:rPr>
          <w:rFonts w:ascii="Arial" w:hAnsi="Arial" w:cs="Arial"/>
          <w:b/>
          <w:color w:val="000000" w:themeColor="text1"/>
        </w:rPr>
        <w:t>Public policy</w:t>
      </w:r>
    </w:p>
    <w:p w14:paraId="55EE8999" w14:textId="28E2C29D" w:rsidR="007357D2" w:rsidRPr="004F7156" w:rsidRDefault="00C441AF" w:rsidP="00AB0585">
      <w:pPr>
        <w:spacing w:line="360" w:lineRule="auto"/>
        <w:jc w:val="both"/>
        <w:rPr>
          <w:rFonts w:ascii="Arial" w:hAnsi="Arial" w:cs="Arial"/>
          <w:color w:val="000000" w:themeColor="text1"/>
        </w:rPr>
      </w:pPr>
      <w:r w:rsidRPr="004F7156">
        <w:rPr>
          <w:rFonts w:ascii="Arial" w:hAnsi="Arial" w:cs="Arial"/>
          <w:color w:val="000000" w:themeColor="text1"/>
        </w:rPr>
        <w:lastRenderedPageBreak/>
        <w:t>[38</w:t>
      </w:r>
      <w:r w:rsidR="007357D2" w:rsidRPr="004F7156">
        <w:rPr>
          <w:rFonts w:ascii="Arial" w:hAnsi="Arial" w:cs="Arial"/>
          <w:color w:val="000000" w:themeColor="text1"/>
        </w:rPr>
        <w:t xml:space="preserve">] </w:t>
      </w:r>
      <w:r w:rsidR="007357D2" w:rsidRPr="004F7156">
        <w:rPr>
          <w:rFonts w:ascii="Arial" w:hAnsi="Arial" w:cs="Arial"/>
          <w:color w:val="000000" w:themeColor="text1"/>
        </w:rPr>
        <w:tab/>
        <w:t xml:space="preserve">In </w:t>
      </w:r>
      <w:r w:rsidR="007370CB" w:rsidRPr="002F252F">
        <w:rPr>
          <w:rFonts w:ascii="Arial" w:hAnsi="Arial" w:cs="Arial"/>
          <w:i/>
        </w:rPr>
        <w:t>Beadica 231 CC and Others v Trustees for the time being of the Oregon Trust and Others</w:t>
      </w:r>
      <w:r w:rsidR="007370CB">
        <w:rPr>
          <w:rFonts w:ascii="Arial" w:hAnsi="Arial" w:cs="Arial"/>
          <w:i/>
        </w:rPr>
        <w:t>,</w:t>
      </w:r>
      <w:r w:rsidR="007370CB" w:rsidRPr="007370CB">
        <w:rPr>
          <w:rStyle w:val="FootnoteReference"/>
          <w:rFonts w:ascii="Arial" w:hAnsi="Arial" w:cs="Arial"/>
        </w:rPr>
        <w:footnoteReference w:id="29"/>
      </w:r>
      <w:r w:rsidR="007357D2" w:rsidRPr="007370CB">
        <w:rPr>
          <w:rFonts w:ascii="Arial" w:hAnsi="Arial" w:cs="Arial"/>
          <w:color w:val="000000" w:themeColor="text1"/>
        </w:rPr>
        <w:t xml:space="preserve"> </w:t>
      </w:r>
      <w:r w:rsidR="007357D2" w:rsidRPr="004F7156">
        <w:rPr>
          <w:rFonts w:ascii="Arial" w:hAnsi="Arial" w:cs="Arial"/>
          <w:color w:val="000000" w:themeColor="text1"/>
        </w:rPr>
        <w:t>the Constitutional Court held that public policy is the basis on which courts may decline to enforce contractual terms where the term itself or its enforcement would be contrary to public policy.</w:t>
      </w:r>
      <w:r w:rsidR="007357D2" w:rsidRPr="004F7156">
        <w:rPr>
          <w:rStyle w:val="FootnoteReference"/>
          <w:rFonts w:ascii="Arial" w:hAnsi="Arial" w:cs="Arial"/>
          <w:color w:val="000000" w:themeColor="text1"/>
        </w:rPr>
        <w:footnoteReference w:id="30"/>
      </w:r>
      <w:r w:rsidR="007357D2" w:rsidRPr="004F7156">
        <w:rPr>
          <w:rFonts w:ascii="Arial" w:hAnsi="Arial" w:cs="Arial"/>
          <w:color w:val="000000" w:themeColor="text1"/>
        </w:rPr>
        <w:t xml:space="preserve"> </w:t>
      </w:r>
      <w:r w:rsidR="00817FC7" w:rsidRPr="004F7156">
        <w:rPr>
          <w:rFonts w:ascii="Arial" w:hAnsi="Arial" w:cs="Arial"/>
          <w:color w:val="000000" w:themeColor="text1"/>
        </w:rPr>
        <w:t>Public policy requires in general that parties should comply with contractual obligations that have been freely and voluntarily undertaken. This is n</w:t>
      </w:r>
      <w:r w:rsidR="00040610" w:rsidRPr="004F7156">
        <w:rPr>
          <w:rFonts w:ascii="Arial" w:hAnsi="Arial" w:cs="Arial"/>
          <w:color w:val="000000" w:themeColor="text1"/>
        </w:rPr>
        <w:t>either</w:t>
      </w:r>
      <w:r w:rsidR="00817FC7" w:rsidRPr="004F7156">
        <w:rPr>
          <w:rFonts w:ascii="Arial" w:hAnsi="Arial" w:cs="Arial"/>
          <w:color w:val="000000" w:themeColor="text1"/>
        </w:rPr>
        <w:t xml:space="preserve"> the only nor the most important principle, but is a factor that gives effect to the central constitutional values of freedom and dignity and is essential to the achievement of the constitutional vision of our society.</w:t>
      </w:r>
      <w:r w:rsidR="00817FC7" w:rsidRPr="004F7156">
        <w:rPr>
          <w:rStyle w:val="FootnoteReference"/>
          <w:rFonts w:ascii="Arial" w:hAnsi="Arial" w:cs="Arial"/>
          <w:color w:val="000000" w:themeColor="text1"/>
        </w:rPr>
        <w:footnoteReference w:id="31"/>
      </w:r>
      <w:r w:rsidR="00817FC7" w:rsidRPr="004F7156">
        <w:rPr>
          <w:rFonts w:ascii="Arial" w:hAnsi="Arial" w:cs="Arial"/>
          <w:color w:val="000000" w:themeColor="text1"/>
        </w:rPr>
        <w:t xml:space="preserve"> </w:t>
      </w:r>
      <w:r w:rsidR="007357D2" w:rsidRPr="004F7156">
        <w:rPr>
          <w:rFonts w:ascii="Arial" w:hAnsi="Arial" w:cs="Arial"/>
          <w:color w:val="000000" w:themeColor="text1"/>
        </w:rPr>
        <w:t>In determining what public policy requires</w:t>
      </w:r>
      <w:r w:rsidR="00817FC7" w:rsidRPr="004F7156">
        <w:rPr>
          <w:rFonts w:ascii="Arial" w:hAnsi="Arial" w:cs="Arial"/>
          <w:color w:val="000000" w:themeColor="text1"/>
        </w:rPr>
        <w:t>,</w:t>
      </w:r>
      <w:r w:rsidR="007357D2" w:rsidRPr="004F7156">
        <w:rPr>
          <w:rFonts w:ascii="Arial" w:hAnsi="Arial" w:cs="Arial"/>
          <w:color w:val="000000" w:themeColor="text1"/>
        </w:rPr>
        <w:t xml:space="preserve"> </w:t>
      </w:r>
      <w:r w:rsidR="00817FC7" w:rsidRPr="004F7156">
        <w:rPr>
          <w:rFonts w:ascii="Arial" w:hAnsi="Arial" w:cs="Arial"/>
          <w:color w:val="000000" w:themeColor="text1"/>
        </w:rPr>
        <w:t xml:space="preserve">courts must </w:t>
      </w:r>
      <w:r w:rsidR="007357D2" w:rsidRPr="004F7156">
        <w:rPr>
          <w:rFonts w:ascii="Arial" w:hAnsi="Arial" w:cs="Arial"/>
          <w:color w:val="000000" w:themeColor="text1"/>
        </w:rPr>
        <w:t>conduct a careful balancing exercise in which it has to ‘employ [the Constitution</w:t>
      </w:r>
      <w:r w:rsidR="00054ABF" w:rsidRPr="004F7156">
        <w:rPr>
          <w:rFonts w:ascii="Arial" w:hAnsi="Arial" w:cs="Arial"/>
          <w:color w:val="000000" w:themeColor="text1"/>
        </w:rPr>
        <w:t>al</w:t>
      </w:r>
      <w:r w:rsidR="007357D2" w:rsidRPr="004F7156">
        <w:rPr>
          <w:rFonts w:ascii="Arial" w:hAnsi="Arial" w:cs="Arial"/>
          <w:color w:val="000000" w:themeColor="text1"/>
        </w:rPr>
        <w:t xml:space="preserve">] values to achieve a balance that strikes down the unacceptable excesses of </w:t>
      </w:r>
      <w:r w:rsidR="00691DAE" w:rsidRPr="004F7156">
        <w:rPr>
          <w:rFonts w:ascii="Arial" w:hAnsi="Arial" w:cs="Arial"/>
          <w:color w:val="000000" w:themeColor="text1"/>
        </w:rPr>
        <w:t>“</w:t>
      </w:r>
      <w:r w:rsidR="007357D2" w:rsidRPr="004F7156">
        <w:rPr>
          <w:rFonts w:ascii="Arial" w:hAnsi="Arial" w:cs="Arial"/>
          <w:color w:val="000000" w:themeColor="text1"/>
        </w:rPr>
        <w:t>freedom of contract</w:t>
      </w:r>
      <w:r w:rsidR="00691DAE" w:rsidRPr="004F7156">
        <w:rPr>
          <w:rFonts w:ascii="Arial" w:hAnsi="Arial" w:cs="Arial"/>
          <w:color w:val="000000" w:themeColor="text1"/>
        </w:rPr>
        <w:t>”,</w:t>
      </w:r>
      <w:r w:rsidR="007357D2" w:rsidRPr="004F7156">
        <w:rPr>
          <w:rFonts w:ascii="Arial" w:hAnsi="Arial" w:cs="Arial"/>
          <w:color w:val="000000" w:themeColor="text1"/>
        </w:rPr>
        <w:t xml:space="preserve"> while seeking to permit individuals the dignity and autonomy of regulating their own lives’.</w:t>
      </w:r>
      <w:r w:rsidR="007357D2" w:rsidRPr="004F7156">
        <w:rPr>
          <w:rStyle w:val="FootnoteReference"/>
          <w:rFonts w:ascii="Arial" w:hAnsi="Arial" w:cs="Arial"/>
          <w:color w:val="000000" w:themeColor="text1"/>
        </w:rPr>
        <w:footnoteReference w:id="32"/>
      </w:r>
      <w:r w:rsidR="007357D2" w:rsidRPr="004F7156">
        <w:rPr>
          <w:rFonts w:ascii="Arial" w:hAnsi="Arial" w:cs="Arial"/>
          <w:color w:val="000000" w:themeColor="text1"/>
        </w:rPr>
        <w:t xml:space="preserve"> This includes a consideration of various factors, including, but not limited to</w:t>
      </w:r>
      <w:r w:rsidR="00040610" w:rsidRPr="004F7156">
        <w:rPr>
          <w:rFonts w:ascii="Arial" w:hAnsi="Arial" w:cs="Arial"/>
          <w:color w:val="000000" w:themeColor="text1"/>
        </w:rPr>
        <w:t>,</w:t>
      </w:r>
      <w:r w:rsidR="007357D2" w:rsidRPr="004F7156">
        <w:rPr>
          <w:rFonts w:ascii="Arial" w:hAnsi="Arial" w:cs="Arial"/>
          <w:color w:val="000000" w:themeColor="text1"/>
        </w:rPr>
        <w:t xml:space="preserve"> whether the parties negotiated with equal bargaining power and whether they understood what they were agreeing to. This much is accepted by the appellants. </w:t>
      </w:r>
    </w:p>
    <w:p w14:paraId="2B5387BA" w14:textId="77777777" w:rsidR="007357D2" w:rsidRPr="004F7156" w:rsidRDefault="007357D2" w:rsidP="00AB0585">
      <w:pPr>
        <w:spacing w:line="360" w:lineRule="auto"/>
        <w:jc w:val="both"/>
        <w:rPr>
          <w:rFonts w:ascii="Arial" w:hAnsi="Arial" w:cs="Arial"/>
          <w:color w:val="000000" w:themeColor="text1"/>
        </w:rPr>
      </w:pPr>
    </w:p>
    <w:p w14:paraId="36841660" w14:textId="77777777" w:rsidR="003E346F" w:rsidRDefault="00C441AF" w:rsidP="007357D2">
      <w:pPr>
        <w:spacing w:line="360" w:lineRule="auto"/>
        <w:jc w:val="both"/>
        <w:rPr>
          <w:rFonts w:ascii="Arial" w:hAnsi="Arial" w:cs="Arial"/>
          <w:color w:val="000000" w:themeColor="text1"/>
        </w:rPr>
      </w:pPr>
      <w:r w:rsidRPr="004F7156">
        <w:rPr>
          <w:rFonts w:ascii="Arial" w:hAnsi="Arial" w:cs="Arial"/>
          <w:color w:val="000000" w:themeColor="text1"/>
        </w:rPr>
        <w:t>[39</w:t>
      </w:r>
      <w:r w:rsidR="003279B6" w:rsidRPr="004F7156">
        <w:rPr>
          <w:rFonts w:ascii="Arial" w:hAnsi="Arial" w:cs="Arial"/>
          <w:color w:val="000000" w:themeColor="text1"/>
        </w:rPr>
        <w:t xml:space="preserve">] </w:t>
      </w:r>
      <w:r w:rsidR="003E7999" w:rsidRPr="004F7156">
        <w:rPr>
          <w:rFonts w:ascii="Arial" w:hAnsi="Arial" w:cs="Arial"/>
          <w:color w:val="000000" w:themeColor="text1"/>
        </w:rPr>
        <w:tab/>
      </w:r>
      <w:r w:rsidR="007357D2" w:rsidRPr="004F7156">
        <w:rPr>
          <w:rFonts w:ascii="Arial" w:hAnsi="Arial" w:cs="Arial"/>
          <w:color w:val="000000" w:themeColor="text1"/>
        </w:rPr>
        <w:t>Courts should use the power to invalidate a contract or not to enforce it sparingly and only in the clearest of cases.</w:t>
      </w:r>
      <w:r w:rsidR="007357D2" w:rsidRPr="004F7156">
        <w:rPr>
          <w:rStyle w:val="FootnoteReference"/>
          <w:rFonts w:ascii="Arial" w:hAnsi="Arial" w:cs="Arial"/>
          <w:color w:val="000000" w:themeColor="text1"/>
        </w:rPr>
        <w:footnoteReference w:id="33"/>
      </w:r>
      <w:r w:rsidR="007357D2" w:rsidRPr="004F7156">
        <w:rPr>
          <w:rFonts w:ascii="Arial" w:hAnsi="Arial" w:cs="Arial"/>
          <w:color w:val="000000" w:themeColor="text1"/>
        </w:rPr>
        <w:t xml:space="preserve"> This principle of perceptive restraint has been endorsed by the Constitutional Court subject to the caveat that the degree of restraint to be exercised must be balanced against the backdrop of our constitutional rights and values.</w:t>
      </w:r>
      <w:r w:rsidR="007357D2" w:rsidRPr="004F7156">
        <w:rPr>
          <w:rStyle w:val="FootnoteReference"/>
          <w:rFonts w:ascii="Arial" w:hAnsi="Arial" w:cs="Arial"/>
          <w:color w:val="000000" w:themeColor="text1"/>
        </w:rPr>
        <w:footnoteReference w:id="34"/>
      </w:r>
      <w:r w:rsidR="009C3500" w:rsidRPr="004F7156">
        <w:rPr>
          <w:rFonts w:ascii="Arial" w:hAnsi="Arial" w:cs="Arial"/>
          <w:color w:val="000000" w:themeColor="text1"/>
        </w:rPr>
        <w:t xml:space="preserve"> </w:t>
      </w:r>
      <w:r w:rsidR="007357D2" w:rsidRPr="004F7156">
        <w:rPr>
          <w:rFonts w:ascii="Arial" w:hAnsi="Arial" w:cs="Arial"/>
          <w:color w:val="000000" w:themeColor="text1"/>
        </w:rPr>
        <w:t>The principle of perceptive restraint flows from the underlying principle that contracts that are freely and voluntarily entered into should be honoured.</w:t>
      </w:r>
      <w:r w:rsidR="007357D2" w:rsidRPr="004F7156">
        <w:rPr>
          <w:rStyle w:val="FootnoteReference"/>
          <w:rFonts w:ascii="Arial" w:hAnsi="Arial" w:cs="Arial"/>
          <w:color w:val="000000" w:themeColor="text1"/>
        </w:rPr>
        <w:footnoteReference w:id="35"/>
      </w:r>
    </w:p>
    <w:p w14:paraId="3B21926A" w14:textId="3371F9AC" w:rsidR="007357D2" w:rsidRPr="004F7156" w:rsidRDefault="007357D2" w:rsidP="007357D2">
      <w:pPr>
        <w:spacing w:line="360" w:lineRule="auto"/>
        <w:jc w:val="both"/>
        <w:rPr>
          <w:rFonts w:ascii="Arial" w:hAnsi="Arial" w:cs="Arial"/>
          <w:color w:val="000000" w:themeColor="text1"/>
        </w:rPr>
      </w:pPr>
      <w:r w:rsidRPr="004F7156">
        <w:rPr>
          <w:rFonts w:ascii="Arial" w:hAnsi="Arial" w:cs="Arial"/>
          <w:color w:val="000000" w:themeColor="text1"/>
        </w:rPr>
        <w:t xml:space="preserve"> </w:t>
      </w:r>
    </w:p>
    <w:p w14:paraId="11FAD290" w14:textId="77777777" w:rsidR="007357D2" w:rsidRPr="00B96EAD" w:rsidRDefault="007357D2" w:rsidP="007357D2">
      <w:pPr>
        <w:spacing w:line="360" w:lineRule="auto"/>
        <w:jc w:val="both"/>
        <w:rPr>
          <w:rFonts w:ascii="Arial" w:hAnsi="Arial" w:cs="Arial"/>
          <w:b/>
          <w:color w:val="000000" w:themeColor="text1"/>
        </w:rPr>
      </w:pPr>
      <w:r w:rsidRPr="00B96EAD">
        <w:rPr>
          <w:rFonts w:ascii="Arial" w:hAnsi="Arial" w:cs="Arial"/>
          <w:b/>
          <w:color w:val="000000" w:themeColor="text1"/>
        </w:rPr>
        <w:t>Is Clause 7.1.6.2 consistent with public policy?</w:t>
      </w:r>
    </w:p>
    <w:p w14:paraId="7F7C1D54" w14:textId="17BE2043" w:rsidR="00243510" w:rsidRPr="004F7156" w:rsidRDefault="00C441AF" w:rsidP="00B932DF">
      <w:pPr>
        <w:spacing w:line="360" w:lineRule="auto"/>
        <w:jc w:val="both"/>
        <w:rPr>
          <w:rFonts w:ascii="Arial" w:hAnsi="Arial" w:cs="Arial"/>
          <w:color w:val="000000" w:themeColor="text1"/>
        </w:rPr>
      </w:pPr>
      <w:r w:rsidRPr="004F7156">
        <w:rPr>
          <w:rFonts w:ascii="Arial" w:hAnsi="Arial" w:cs="Arial"/>
          <w:color w:val="000000" w:themeColor="text1"/>
        </w:rPr>
        <w:lastRenderedPageBreak/>
        <w:t>[40</w:t>
      </w:r>
      <w:r w:rsidR="00AB0585" w:rsidRPr="004F7156">
        <w:rPr>
          <w:rFonts w:ascii="Arial" w:hAnsi="Arial" w:cs="Arial"/>
          <w:color w:val="000000" w:themeColor="text1"/>
        </w:rPr>
        <w:t>]</w:t>
      </w:r>
      <w:r w:rsidR="00AB0585" w:rsidRPr="004F7156">
        <w:rPr>
          <w:rFonts w:ascii="Arial" w:hAnsi="Arial" w:cs="Arial"/>
          <w:color w:val="000000" w:themeColor="text1"/>
        </w:rPr>
        <w:tab/>
      </w:r>
      <w:r w:rsidR="00243510" w:rsidRPr="004F7156">
        <w:rPr>
          <w:rFonts w:ascii="Arial" w:hAnsi="Arial" w:cs="Arial"/>
          <w:color w:val="000000" w:themeColor="text1"/>
        </w:rPr>
        <w:t xml:space="preserve">The appellants submit that clause 7.1.6.2 ousts their right to access to court. </w:t>
      </w:r>
      <w:r w:rsidRPr="004F7156">
        <w:rPr>
          <w:rFonts w:ascii="Arial" w:hAnsi="Arial" w:cs="Arial"/>
          <w:color w:val="000000" w:themeColor="text1"/>
        </w:rPr>
        <w:t>In general, w</w:t>
      </w:r>
      <w:r w:rsidR="00243510" w:rsidRPr="004F7156">
        <w:rPr>
          <w:rFonts w:ascii="Arial" w:hAnsi="Arial" w:cs="Arial"/>
          <w:color w:val="000000" w:themeColor="text1"/>
        </w:rPr>
        <w:t xml:space="preserve">ith reference to, amongst others, </w:t>
      </w:r>
      <w:r w:rsidR="00243510" w:rsidRPr="004F7156">
        <w:rPr>
          <w:rFonts w:ascii="Arial" w:hAnsi="Arial" w:cs="Arial"/>
          <w:i/>
        </w:rPr>
        <w:t>Barkhuizen v Napier</w:t>
      </w:r>
      <w:r w:rsidR="00243510" w:rsidRPr="004F7156">
        <w:rPr>
          <w:rStyle w:val="FootnoteReference"/>
          <w:rFonts w:ascii="Arial" w:hAnsi="Arial" w:cs="Arial"/>
          <w:color w:val="000000" w:themeColor="text1"/>
        </w:rPr>
        <w:footnoteReference w:id="36"/>
      </w:r>
      <w:r w:rsidR="00243510" w:rsidRPr="004F7156">
        <w:rPr>
          <w:rFonts w:ascii="Arial" w:hAnsi="Arial" w:cs="Arial"/>
          <w:color w:val="000000" w:themeColor="text1"/>
        </w:rPr>
        <w:t xml:space="preserve"> and </w:t>
      </w:r>
      <w:r w:rsidR="00243510" w:rsidRPr="004F7156">
        <w:rPr>
          <w:rFonts w:ascii="Arial" w:hAnsi="Arial" w:cs="Arial"/>
          <w:i/>
        </w:rPr>
        <w:t>Schierhout v Minister of Justice,</w:t>
      </w:r>
      <w:r w:rsidR="00243510" w:rsidRPr="004F7156">
        <w:rPr>
          <w:rStyle w:val="FootnoteReference"/>
          <w:rFonts w:ascii="Arial" w:hAnsi="Arial" w:cs="Arial"/>
          <w:color w:val="000000" w:themeColor="text1"/>
        </w:rPr>
        <w:footnoteReference w:id="37"/>
      </w:r>
      <w:r w:rsidR="00243510" w:rsidRPr="004F7156">
        <w:rPr>
          <w:rFonts w:ascii="Arial" w:hAnsi="Arial" w:cs="Arial"/>
          <w:color w:val="000000" w:themeColor="text1"/>
        </w:rPr>
        <w:t xml:space="preserve"> they contend that a litigant will always be entitled, even at common law, to an adequate and fair opportunity to seek judicial redress and that it would be contrary to public policy to enforce a clause that does not afford such an opportunity.</w:t>
      </w:r>
    </w:p>
    <w:p w14:paraId="312EB9D3" w14:textId="77777777" w:rsidR="00243510" w:rsidRPr="004F7156" w:rsidRDefault="00243510" w:rsidP="00B932DF">
      <w:pPr>
        <w:spacing w:line="360" w:lineRule="auto"/>
        <w:jc w:val="both"/>
        <w:rPr>
          <w:rFonts w:ascii="Arial" w:hAnsi="Arial" w:cs="Arial"/>
          <w:color w:val="000000" w:themeColor="text1"/>
        </w:rPr>
      </w:pPr>
    </w:p>
    <w:p w14:paraId="04EC101E" w14:textId="1AADC7CB" w:rsidR="007357D2" w:rsidRPr="004F7156" w:rsidRDefault="00C441AF" w:rsidP="00B96EAD">
      <w:pPr>
        <w:spacing w:line="360" w:lineRule="auto"/>
        <w:jc w:val="both"/>
        <w:rPr>
          <w:rFonts w:ascii="Arial" w:hAnsi="Arial" w:cs="Arial"/>
          <w:color w:val="000000" w:themeColor="text1"/>
        </w:rPr>
      </w:pPr>
      <w:r w:rsidRPr="004F7156">
        <w:rPr>
          <w:rFonts w:ascii="Arial" w:hAnsi="Arial" w:cs="Arial"/>
          <w:color w:val="000000" w:themeColor="text1"/>
        </w:rPr>
        <w:t>[41</w:t>
      </w:r>
      <w:r w:rsidR="00243510" w:rsidRPr="004F7156">
        <w:rPr>
          <w:rFonts w:ascii="Arial" w:hAnsi="Arial" w:cs="Arial"/>
          <w:color w:val="000000" w:themeColor="text1"/>
        </w:rPr>
        <w:t xml:space="preserve">] </w:t>
      </w:r>
      <w:r w:rsidR="00243510" w:rsidRPr="004F7156">
        <w:rPr>
          <w:rFonts w:ascii="Arial" w:hAnsi="Arial" w:cs="Arial"/>
          <w:color w:val="000000" w:themeColor="text1"/>
        </w:rPr>
        <w:tab/>
      </w:r>
      <w:r w:rsidR="007357D2" w:rsidRPr="004F7156">
        <w:rPr>
          <w:rFonts w:ascii="Arial" w:hAnsi="Arial" w:cs="Arial"/>
          <w:color w:val="000000" w:themeColor="text1"/>
        </w:rPr>
        <w:t>The appellants bear the burden of showing that clause 7.1.6.2 or its enforcement would be contrary to public policy.</w:t>
      </w:r>
      <w:r w:rsidR="007357D2" w:rsidRPr="004F7156">
        <w:rPr>
          <w:rStyle w:val="FootnoteReference"/>
          <w:rFonts w:ascii="Arial" w:hAnsi="Arial" w:cs="Arial"/>
          <w:color w:val="000000" w:themeColor="text1"/>
        </w:rPr>
        <w:footnoteReference w:id="38"/>
      </w:r>
      <w:r w:rsidR="007357D2" w:rsidRPr="004F7156">
        <w:rPr>
          <w:rFonts w:ascii="Arial" w:hAnsi="Arial" w:cs="Arial"/>
          <w:color w:val="000000" w:themeColor="text1"/>
        </w:rPr>
        <w:t xml:space="preserve"> The appellants allege that it would be unfair to enforce the clause </w:t>
      </w:r>
      <w:r w:rsidR="00B932DF" w:rsidRPr="004F7156">
        <w:rPr>
          <w:rFonts w:ascii="Arial" w:hAnsi="Arial" w:cs="Arial"/>
          <w:color w:val="000000" w:themeColor="text1"/>
        </w:rPr>
        <w:t xml:space="preserve">because </w:t>
      </w:r>
      <w:r w:rsidR="007357D2" w:rsidRPr="004F7156">
        <w:rPr>
          <w:rFonts w:ascii="Arial" w:hAnsi="Arial" w:cs="Arial"/>
          <w:color w:val="000000" w:themeColor="text1"/>
        </w:rPr>
        <w:t>Capitec was a central participant in the 2017 Petratouch Transa</w:t>
      </w:r>
      <w:r w:rsidR="00B932DF" w:rsidRPr="004F7156">
        <w:rPr>
          <w:rFonts w:ascii="Arial" w:hAnsi="Arial" w:cs="Arial"/>
          <w:color w:val="000000" w:themeColor="text1"/>
        </w:rPr>
        <w:t>ction and its e</w:t>
      </w:r>
      <w:r w:rsidR="007357D2" w:rsidRPr="004F7156">
        <w:rPr>
          <w:rFonts w:ascii="Arial" w:hAnsi="Arial" w:cs="Arial"/>
          <w:color w:val="000000" w:themeColor="text1"/>
        </w:rPr>
        <w:t>nforcement will have the effect that the appellants will not b</w:t>
      </w:r>
      <w:r w:rsidR="00E535B9" w:rsidRPr="004F7156">
        <w:rPr>
          <w:rFonts w:ascii="Arial" w:hAnsi="Arial" w:cs="Arial"/>
          <w:color w:val="000000" w:themeColor="text1"/>
        </w:rPr>
        <w:t>e able to exercise their s</w:t>
      </w:r>
      <w:r w:rsidR="007357D2" w:rsidRPr="004F7156">
        <w:rPr>
          <w:rFonts w:ascii="Arial" w:hAnsi="Arial" w:cs="Arial"/>
          <w:color w:val="000000" w:themeColor="text1"/>
        </w:rPr>
        <w:t xml:space="preserve"> 34 rights of access to courts.</w:t>
      </w:r>
      <w:r w:rsidRPr="004F7156">
        <w:rPr>
          <w:rFonts w:ascii="Arial" w:hAnsi="Arial" w:cs="Arial"/>
          <w:color w:val="000000" w:themeColor="text1"/>
        </w:rPr>
        <w:t xml:space="preserve"> They further contend</w:t>
      </w:r>
      <w:r w:rsidR="00B932DF" w:rsidRPr="004F7156">
        <w:rPr>
          <w:rFonts w:ascii="Arial" w:hAnsi="Arial" w:cs="Arial"/>
          <w:color w:val="000000" w:themeColor="text1"/>
        </w:rPr>
        <w:t xml:space="preserve"> that t</w:t>
      </w:r>
      <w:r w:rsidR="007357D2" w:rsidRPr="004F7156">
        <w:rPr>
          <w:rFonts w:ascii="Arial" w:hAnsi="Arial" w:cs="Arial"/>
          <w:color w:val="000000" w:themeColor="text1"/>
        </w:rPr>
        <w:t xml:space="preserve">heir status </w:t>
      </w:r>
      <w:r w:rsidR="00B932DF" w:rsidRPr="004F7156">
        <w:rPr>
          <w:rFonts w:ascii="Arial" w:hAnsi="Arial" w:cs="Arial"/>
          <w:color w:val="000000" w:themeColor="text1"/>
        </w:rPr>
        <w:t>as BEE shareholders is relevant</w:t>
      </w:r>
      <w:r w:rsidR="00E535B9" w:rsidRPr="004F7156">
        <w:rPr>
          <w:rFonts w:ascii="Arial" w:hAnsi="Arial" w:cs="Arial"/>
          <w:color w:val="000000" w:themeColor="text1"/>
        </w:rPr>
        <w:t>; that</w:t>
      </w:r>
      <w:r w:rsidR="00B932DF" w:rsidRPr="004F7156">
        <w:rPr>
          <w:rFonts w:ascii="Arial" w:hAnsi="Arial" w:cs="Arial"/>
          <w:color w:val="000000" w:themeColor="text1"/>
        </w:rPr>
        <w:t xml:space="preserve"> </w:t>
      </w:r>
      <w:r w:rsidR="007357D2" w:rsidRPr="004F7156">
        <w:rPr>
          <w:rFonts w:ascii="Arial" w:hAnsi="Arial" w:cs="Arial"/>
          <w:color w:val="000000" w:themeColor="text1"/>
        </w:rPr>
        <w:t>Capitec owed them a duty to pro</w:t>
      </w:r>
      <w:r w:rsidR="00E535B9" w:rsidRPr="004F7156">
        <w:rPr>
          <w:rFonts w:ascii="Arial" w:hAnsi="Arial" w:cs="Arial"/>
          <w:color w:val="000000" w:themeColor="text1"/>
        </w:rPr>
        <w:t>tect the value of their shares; and they</w:t>
      </w:r>
      <w:r w:rsidR="007357D2" w:rsidRPr="004F7156">
        <w:rPr>
          <w:rFonts w:ascii="Arial" w:hAnsi="Arial" w:cs="Arial"/>
          <w:color w:val="000000" w:themeColor="text1"/>
        </w:rPr>
        <w:t xml:space="preserve"> had no commercial power to prevent Capitec’s alleged abuse of clause 8.3 of the subscription agreement.</w:t>
      </w:r>
    </w:p>
    <w:p w14:paraId="67CF792A" w14:textId="77777777" w:rsidR="007357D2" w:rsidRPr="004F7156" w:rsidRDefault="007357D2" w:rsidP="00B96EAD">
      <w:pPr>
        <w:pStyle w:val="ListParagraph"/>
        <w:spacing w:line="360" w:lineRule="auto"/>
        <w:ind w:left="0"/>
        <w:jc w:val="both"/>
        <w:rPr>
          <w:rFonts w:ascii="Arial" w:hAnsi="Arial" w:cs="Arial"/>
          <w:color w:val="000000" w:themeColor="text1"/>
        </w:rPr>
      </w:pPr>
    </w:p>
    <w:p w14:paraId="6F33042B" w14:textId="20AD7D83" w:rsidR="007357D2" w:rsidRPr="004F7156" w:rsidRDefault="00C441AF" w:rsidP="007357D2">
      <w:pPr>
        <w:spacing w:line="360" w:lineRule="auto"/>
        <w:jc w:val="both"/>
        <w:rPr>
          <w:rFonts w:ascii="Arial" w:hAnsi="Arial" w:cs="Arial"/>
          <w:color w:val="000000" w:themeColor="text1"/>
        </w:rPr>
      </w:pPr>
      <w:r w:rsidRPr="004F7156">
        <w:rPr>
          <w:rFonts w:ascii="Arial" w:hAnsi="Arial" w:cs="Arial"/>
          <w:color w:val="000000" w:themeColor="text1"/>
        </w:rPr>
        <w:t>[42</w:t>
      </w:r>
      <w:r w:rsidR="007357D2" w:rsidRPr="004F7156">
        <w:rPr>
          <w:rFonts w:ascii="Arial" w:hAnsi="Arial" w:cs="Arial"/>
          <w:color w:val="000000" w:themeColor="text1"/>
        </w:rPr>
        <w:t>]</w:t>
      </w:r>
      <w:r w:rsidR="007357D2" w:rsidRPr="004F7156">
        <w:rPr>
          <w:rFonts w:ascii="Arial" w:hAnsi="Arial" w:cs="Arial"/>
          <w:color w:val="000000" w:themeColor="text1"/>
        </w:rPr>
        <w:tab/>
        <w:t>The following factors are instructive. Firstly, in clause 9 of the consent agreement it was agreed that the parties were ‘free to secure independent legal and other professional advice (including financial and taxation advice) as to the nature and effect of all the provisions of the consent agreement and the other Transaction Agreements</w:t>
      </w:r>
      <w:r w:rsidR="00024FE9" w:rsidRPr="004F7156">
        <w:rPr>
          <w:rFonts w:ascii="Arial" w:hAnsi="Arial" w:cs="Arial"/>
          <w:color w:val="000000" w:themeColor="text1"/>
        </w:rPr>
        <w:t>’</w:t>
      </w:r>
      <w:r w:rsidR="007357D2" w:rsidRPr="004F7156">
        <w:rPr>
          <w:rFonts w:ascii="Arial" w:hAnsi="Arial" w:cs="Arial"/>
          <w:color w:val="000000" w:themeColor="text1"/>
        </w:rPr>
        <w:t xml:space="preserve">. The appellants did just that. They were legally </w:t>
      </w:r>
      <w:r w:rsidR="001961A8" w:rsidRPr="004F7156">
        <w:rPr>
          <w:rFonts w:ascii="Arial" w:hAnsi="Arial" w:cs="Arial"/>
          <w:color w:val="000000" w:themeColor="text1"/>
        </w:rPr>
        <w:t>re</w:t>
      </w:r>
      <w:r w:rsidR="007357D2" w:rsidRPr="004F7156">
        <w:rPr>
          <w:rFonts w:ascii="Arial" w:hAnsi="Arial" w:cs="Arial"/>
          <w:color w:val="000000" w:themeColor="text1"/>
        </w:rPr>
        <w:t xml:space="preserve">presented at the time of the negotiation and conclusion of the 2017 Petratouch Transaction. In fact, they obtained substantial independent professional and legal advice spending over R16 million. </w:t>
      </w:r>
    </w:p>
    <w:p w14:paraId="1D683F1D" w14:textId="77777777" w:rsidR="007357D2" w:rsidRPr="004F7156" w:rsidRDefault="007357D2" w:rsidP="007357D2">
      <w:pPr>
        <w:spacing w:line="360" w:lineRule="auto"/>
        <w:jc w:val="both"/>
        <w:rPr>
          <w:rFonts w:ascii="Arial" w:hAnsi="Arial" w:cs="Arial"/>
          <w:color w:val="000000" w:themeColor="text1"/>
        </w:rPr>
      </w:pPr>
    </w:p>
    <w:p w14:paraId="069F8FAA" w14:textId="5C5E4C6F" w:rsidR="00993964" w:rsidRPr="004F7156" w:rsidRDefault="00EB4AB6" w:rsidP="00B96EAD">
      <w:pPr>
        <w:spacing w:line="360" w:lineRule="auto"/>
        <w:jc w:val="both"/>
        <w:rPr>
          <w:rFonts w:ascii="Arial" w:hAnsi="Arial" w:cs="Arial"/>
          <w:color w:val="000000" w:themeColor="text1"/>
        </w:rPr>
      </w:pPr>
      <w:r w:rsidRPr="004F7156">
        <w:rPr>
          <w:rFonts w:ascii="Arial" w:hAnsi="Arial" w:cs="Arial"/>
          <w:color w:val="000000" w:themeColor="text1"/>
        </w:rPr>
        <w:t>[43</w:t>
      </w:r>
      <w:r w:rsidR="00831533" w:rsidRPr="004F7156">
        <w:rPr>
          <w:rFonts w:ascii="Arial" w:hAnsi="Arial" w:cs="Arial"/>
          <w:color w:val="000000" w:themeColor="text1"/>
        </w:rPr>
        <w:t>]</w:t>
      </w:r>
      <w:r w:rsidR="00831533" w:rsidRPr="004F7156">
        <w:rPr>
          <w:rFonts w:ascii="Arial" w:hAnsi="Arial" w:cs="Arial"/>
          <w:color w:val="000000" w:themeColor="text1"/>
        </w:rPr>
        <w:tab/>
      </w:r>
      <w:r w:rsidR="007357D2" w:rsidRPr="004F7156">
        <w:rPr>
          <w:rFonts w:ascii="Arial" w:hAnsi="Arial" w:cs="Arial"/>
          <w:color w:val="000000" w:themeColor="text1"/>
        </w:rPr>
        <w:t>Secondly, the part</w:t>
      </w:r>
      <w:r w:rsidR="007370CB">
        <w:rPr>
          <w:rFonts w:ascii="Arial" w:hAnsi="Arial" w:cs="Arial"/>
          <w:color w:val="000000" w:themeColor="text1"/>
        </w:rPr>
        <w:t>ies to the consent agreement were</w:t>
      </w:r>
      <w:r w:rsidR="007357D2" w:rsidRPr="004F7156">
        <w:rPr>
          <w:rFonts w:ascii="Arial" w:hAnsi="Arial" w:cs="Arial"/>
          <w:color w:val="000000" w:themeColor="text1"/>
        </w:rPr>
        <w:t xml:space="preserve"> all experienced business people who engaged in detailed and complex negotiations over a period </w:t>
      </w:r>
      <w:r w:rsidR="007357D2" w:rsidRPr="004F7156">
        <w:rPr>
          <w:rFonts w:ascii="Arial" w:hAnsi="Arial" w:cs="Arial"/>
          <w:color w:val="000000" w:themeColor="text1"/>
        </w:rPr>
        <w:lastRenderedPageBreak/>
        <w:t>of time. They themselves shared Capitec’s belief that its consent for the 2017 Petratouch Transaction was legally required.</w:t>
      </w:r>
      <w:r w:rsidR="00024FE9" w:rsidRPr="004F7156">
        <w:rPr>
          <w:rFonts w:ascii="Arial" w:hAnsi="Arial" w:cs="Arial"/>
          <w:color w:val="000000" w:themeColor="text1"/>
        </w:rPr>
        <w:t xml:space="preserve"> </w:t>
      </w:r>
      <w:r w:rsidR="00C441AF" w:rsidRPr="004F7156">
        <w:rPr>
          <w:rFonts w:ascii="Arial" w:hAnsi="Arial" w:cs="Arial"/>
          <w:color w:val="000000" w:themeColor="text1"/>
        </w:rPr>
        <w:t>They</w:t>
      </w:r>
      <w:r w:rsidR="007357D2" w:rsidRPr="004F7156">
        <w:rPr>
          <w:rFonts w:ascii="Arial" w:hAnsi="Arial" w:cs="Arial"/>
          <w:color w:val="000000" w:themeColor="text1"/>
        </w:rPr>
        <w:t xml:space="preserve"> specifically agreed in clause 9.3.1 and 9.3.2 that:</w:t>
      </w:r>
      <w:r w:rsidR="00993964" w:rsidRPr="004F7156">
        <w:rPr>
          <w:rFonts w:ascii="Arial" w:hAnsi="Arial" w:cs="Arial"/>
          <w:color w:val="000000" w:themeColor="text1"/>
        </w:rPr>
        <w:t xml:space="preserve"> (a)</w:t>
      </w:r>
      <w:r w:rsidR="007370CB">
        <w:rPr>
          <w:rFonts w:ascii="Arial" w:hAnsi="Arial" w:cs="Arial"/>
          <w:color w:val="000000" w:themeColor="text1"/>
        </w:rPr>
        <w:t xml:space="preserve"> </w:t>
      </w:r>
      <w:r w:rsidR="007357D2" w:rsidRPr="004F7156">
        <w:rPr>
          <w:rFonts w:ascii="Arial" w:hAnsi="Arial" w:cs="Arial"/>
          <w:color w:val="000000" w:themeColor="text1"/>
        </w:rPr>
        <w:t xml:space="preserve">They had not placed any reliance upon any view expressed by any other party, except those express representations, warranties, covenants, undertakings </w:t>
      </w:r>
      <w:r w:rsidR="00024FE9" w:rsidRPr="004F7156">
        <w:rPr>
          <w:rFonts w:ascii="Arial" w:hAnsi="Arial" w:cs="Arial"/>
          <w:color w:val="000000" w:themeColor="text1"/>
        </w:rPr>
        <w:t>and agreements set forth in the consent a</w:t>
      </w:r>
      <w:r w:rsidR="007357D2" w:rsidRPr="004F7156">
        <w:rPr>
          <w:rFonts w:ascii="Arial" w:hAnsi="Arial" w:cs="Arial"/>
          <w:color w:val="000000" w:themeColor="text1"/>
        </w:rPr>
        <w:t>greement and the other Transaction Agreements to whi</w:t>
      </w:r>
      <w:r w:rsidR="00497535" w:rsidRPr="004F7156">
        <w:rPr>
          <w:rFonts w:ascii="Arial" w:hAnsi="Arial" w:cs="Arial"/>
          <w:color w:val="000000" w:themeColor="text1"/>
        </w:rPr>
        <w:t>ch it is or will become a party;</w:t>
      </w:r>
      <w:r w:rsidR="00993964" w:rsidRPr="004F7156">
        <w:rPr>
          <w:rFonts w:ascii="Arial" w:hAnsi="Arial" w:cs="Arial"/>
          <w:color w:val="000000" w:themeColor="text1"/>
        </w:rPr>
        <w:t xml:space="preserve"> (b)</w:t>
      </w:r>
      <w:r w:rsidR="007370CB">
        <w:rPr>
          <w:rFonts w:ascii="Arial" w:hAnsi="Arial" w:cs="Arial"/>
          <w:color w:val="000000" w:themeColor="text1"/>
        </w:rPr>
        <w:t xml:space="preserve"> T</w:t>
      </w:r>
      <w:r w:rsidR="007357D2" w:rsidRPr="004F7156">
        <w:rPr>
          <w:rFonts w:ascii="Arial" w:hAnsi="Arial" w:cs="Arial"/>
          <w:color w:val="000000" w:themeColor="text1"/>
        </w:rPr>
        <w:t>he terms and conditions of the</w:t>
      </w:r>
      <w:r w:rsidR="00C02CDC">
        <w:rPr>
          <w:rFonts w:ascii="Arial" w:hAnsi="Arial" w:cs="Arial"/>
          <w:color w:val="000000" w:themeColor="text1"/>
        </w:rPr>
        <w:t xml:space="preserve"> 2017 Petratouch Transaction were</w:t>
      </w:r>
      <w:r w:rsidR="007357D2" w:rsidRPr="004F7156">
        <w:rPr>
          <w:rFonts w:ascii="Arial" w:hAnsi="Arial" w:cs="Arial"/>
          <w:color w:val="000000" w:themeColor="text1"/>
        </w:rPr>
        <w:t xml:space="preserve"> fair and reasonable in all the circumstances and </w:t>
      </w:r>
      <w:r w:rsidR="00C02CDC">
        <w:rPr>
          <w:rFonts w:ascii="Arial" w:hAnsi="Arial" w:cs="Arial"/>
          <w:color w:val="000000" w:themeColor="text1"/>
        </w:rPr>
        <w:t>were</w:t>
      </w:r>
      <w:r w:rsidR="00024FE9" w:rsidRPr="004F7156">
        <w:rPr>
          <w:rFonts w:ascii="Arial" w:hAnsi="Arial" w:cs="Arial"/>
          <w:color w:val="000000" w:themeColor="text1"/>
        </w:rPr>
        <w:t xml:space="preserve"> in accordance with the parties’</w:t>
      </w:r>
      <w:r w:rsidR="00497535" w:rsidRPr="004F7156">
        <w:rPr>
          <w:rFonts w:ascii="Arial" w:hAnsi="Arial" w:cs="Arial"/>
          <w:color w:val="000000" w:themeColor="text1"/>
        </w:rPr>
        <w:t xml:space="preserve"> comme</w:t>
      </w:r>
      <w:r w:rsidR="007370CB">
        <w:rPr>
          <w:rFonts w:ascii="Arial" w:hAnsi="Arial" w:cs="Arial"/>
          <w:color w:val="000000" w:themeColor="text1"/>
        </w:rPr>
        <w:t xml:space="preserve">rcial intentions; and </w:t>
      </w:r>
      <w:r w:rsidR="00993964" w:rsidRPr="004F7156">
        <w:rPr>
          <w:rFonts w:ascii="Arial" w:hAnsi="Arial" w:cs="Arial"/>
          <w:color w:val="000000" w:themeColor="text1"/>
        </w:rPr>
        <w:t xml:space="preserve">(c) </w:t>
      </w:r>
      <w:r w:rsidR="007357D2" w:rsidRPr="004F7156">
        <w:rPr>
          <w:rFonts w:ascii="Arial" w:hAnsi="Arial" w:cs="Arial"/>
          <w:color w:val="000000" w:themeColor="text1"/>
        </w:rPr>
        <w:t>They had the necessary sophistication, knowledge and experience in finan</w:t>
      </w:r>
      <w:r w:rsidR="00024FE9" w:rsidRPr="004F7156">
        <w:rPr>
          <w:rFonts w:ascii="Arial" w:hAnsi="Arial" w:cs="Arial"/>
          <w:color w:val="000000" w:themeColor="text1"/>
        </w:rPr>
        <w:t>c</w:t>
      </w:r>
      <w:r w:rsidR="007370CB">
        <w:rPr>
          <w:rFonts w:ascii="Arial" w:hAnsi="Arial" w:cs="Arial"/>
          <w:color w:val="000000" w:themeColor="text1"/>
        </w:rPr>
        <w:t xml:space="preserve">ial and business matters and were </w:t>
      </w:r>
      <w:r w:rsidR="007357D2" w:rsidRPr="004F7156">
        <w:rPr>
          <w:rFonts w:ascii="Arial" w:hAnsi="Arial" w:cs="Arial"/>
          <w:color w:val="000000" w:themeColor="text1"/>
        </w:rPr>
        <w:t xml:space="preserve">capable of evaluating the merits, risk and suitability of entering into the consent agreement. </w:t>
      </w:r>
      <w:r w:rsidR="00993964" w:rsidRPr="004F7156">
        <w:rPr>
          <w:rFonts w:ascii="Arial" w:hAnsi="Arial" w:cs="Arial"/>
          <w:color w:val="000000" w:themeColor="text1"/>
        </w:rPr>
        <w:t xml:space="preserve"> There is no indication on the facts that the parties did not have equal bargaining power.  </w:t>
      </w:r>
    </w:p>
    <w:p w14:paraId="434A02DE" w14:textId="77777777" w:rsidR="007357D2" w:rsidRPr="004F7156" w:rsidRDefault="007357D2" w:rsidP="00B96EAD">
      <w:pPr>
        <w:pStyle w:val="ListParagraph"/>
        <w:spacing w:line="360" w:lineRule="auto"/>
        <w:ind w:left="0"/>
        <w:jc w:val="both"/>
        <w:rPr>
          <w:rFonts w:ascii="Arial" w:hAnsi="Arial" w:cs="Arial"/>
          <w:color w:val="000000" w:themeColor="text1"/>
        </w:rPr>
      </w:pPr>
    </w:p>
    <w:p w14:paraId="12C28E0B" w14:textId="22D7C906" w:rsidR="007357D2" w:rsidRPr="004F7156" w:rsidRDefault="00EB4AB6" w:rsidP="007357D2">
      <w:pPr>
        <w:shd w:val="clear" w:color="auto" w:fill="FFFFFF"/>
        <w:spacing w:line="360" w:lineRule="auto"/>
        <w:jc w:val="both"/>
        <w:rPr>
          <w:rFonts w:ascii="Arial" w:hAnsi="Arial" w:cs="Arial"/>
          <w:color w:val="000000" w:themeColor="text1"/>
        </w:rPr>
      </w:pPr>
      <w:r w:rsidRPr="004F7156">
        <w:rPr>
          <w:rFonts w:ascii="Arial" w:hAnsi="Arial" w:cs="Arial"/>
          <w:color w:val="000000" w:themeColor="text1"/>
        </w:rPr>
        <w:t>[44</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Thirdly, there are no special rules that apply to contracts designed to promote black economic empowerment. In </w:t>
      </w:r>
      <w:r w:rsidR="007357D2" w:rsidRPr="004F7156">
        <w:rPr>
          <w:rFonts w:ascii="Arial" w:hAnsi="Arial" w:cs="Arial"/>
          <w:i/>
        </w:rPr>
        <w:t xml:space="preserve">Beadica </w:t>
      </w:r>
      <w:r w:rsidR="007357D2" w:rsidRPr="004F7156">
        <w:rPr>
          <w:rFonts w:ascii="Arial" w:hAnsi="Arial" w:cs="Arial"/>
          <w:color w:val="000000" w:themeColor="text1"/>
        </w:rPr>
        <w:t>the contract under scrutiny was part of an empowerment scheme and enforcing it would lead to the failure of a publicly funded BEE initiative. The Constitutional Court held that carving out special rules for BEE contracts would:</w:t>
      </w:r>
    </w:p>
    <w:p w14:paraId="4CCFF611" w14:textId="17164491" w:rsidR="007357D2" w:rsidRPr="004F7156" w:rsidRDefault="007357D2" w:rsidP="00831533">
      <w:pPr>
        <w:shd w:val="clear" w:color="auto" w:fill="FFFFFF"/>
        <w:spacing w:line="360" w:lineRule="auto"/>
        <w:jc w:val="both"/>
        <w:rPr>
          <w:rFonts w:ascii="Arial" w:hAnsi="Arial" w:cs="Arial"/>
          <w:color w:val="000000" w:themeColor="text1"/>
          <w:lang w:eastAsia="en-ZA"/>
        </w:rPr>
      </w:pPr>
      <w:r w:rsidRPr="004F7156">
        <w:rPr>
          <w:rFonts w:ascii="Arial" w:hAnsi="Arial" w:cs="Arial"/>
          <w:color w:val="000000" w:themeColor="text1"/>
        </w:rPr>
        <w:t xml:space="preserve"> </w:t>
      </w:r>
      <w:r w:rsidRPr="004F7156">
        <w:rPr>
          <w:rFonts w:ascii="Arial" w:hAnsi="Arial" w:cs="Arial"/>
          <w:color w:val="000000" w:themeColor="text1"/>
          <w:sz w:val="22"/>
          <w:szCs w:val="22"/>
        </w:rPr>
        <w:t>‘</w:t>
      </w:r>
      <w:r w:rsidR="003C0D25" w:rsidRPr="004F7156">
        <w:rPr>
          <w:rFonts w:ascii="Arial" w:hAnsi="Arial" w:cs="Arial"/>
          <w:color w:val="000000" w:themeColor="text1"/>
          <w:sz w:val="22"/>
          <w:szCs w:val="22"/>
        </w:rPr>
        <w:t xml:space="preserve">. . . </w:t>
      </w:r>
      <w:r w:rsidRPr="004F7156">
        <w:rPr>
          <w:rFonts w:ascii="Arial" w:hAnsi="Arial" w:cs="Arial"/>
          <w:color w:val="000000" w:themeColor="text1"/>
          <w:sz w:val="22"/>
          <w:szCs w:val="22"/>
        </w:rPr>
        <w:t>increase</w:t>
      </w:r>
      <w:r w:rsidRPr="004F7156">
        <w:rPr>
          <w:rFonts w:ascii="Arial" w:hAnsi="Arial" w:cs="Arial"/>
          <w:color w:val="000000" w:themeColor="text1"/>
          <w:sz w:val="22"/>
          <w:szCs w:val="22"/>
          <w:lang w:eastAsia="en-ZA"/>
        </w:rPr>
        <w:t xml:space="preserve"> the risk of contracting with historically disadvantaged persons who benefit from the Fund.</w:t>
      </w:r>
      <w:r w:rsidR="009C3500" w:rsidRPr="004F7156">
        <w:rPr>
          <w:rFonts w:ascii="Arial" w:hAnsi="Arial" w:cs="Arial"/>
          <w:color w:val="000000" w:themeColor="text1"/>
          <w:sz w:val="22"/>
          <w:szCs w:val="22"/>
          <w:lang w:eastAsia="en-ZA"/>
        </w:rPr>
        <w:t xml:space="preserve"> </w:t>
      </w:r>
      <w:r w:rsidRPr="004F7156">
        <w:rPr>
          <w:rFonts w:ascii="Arial" w:hAnsi="Arial" w:cs="Arial"/>
          <w:color w:val="000000" w:themeColor="text1"/>
          <w:sz w:val="22"/>
          <w:szCs w:val="22"/>
          <w:lang w:eastAsia="en-ZA"/>
        </w:rPr>
        <w:t>If the applicants were to succeed, it would establish the legal principle that enforcement of a contractual term would be inimical to the constitutional value of equality, and therefore contrary to public policy, where enforcement would result in the failure of a black economic empowerment initiative.</w:t>
      </w:r>
      <w:r w:rsidR="009C3500" w:rsidRPr="004F7156">
        <w:rPr>
          <w:rFonts w:ascii="Arial" w:hAnsi="Arial" w:cs="Arial"/>
          <w:color w:val="000000" w:themeColor="text1"/>
          <w:sz w:val="22"/>
          <w:szCs w:val="22"/>
          <w:lang w:eastAsia="en-ZA"/>
        </w:rPr>
        <w:t xml:space="preserve"> </w:t>
      </w:r>
      <w:r w:rsidRPr="004F7156">
        <w:rPr>
          <w:rFonts w:ascii="Arial" w:hAnsi="Arial" w:cs="Arial"/>
          <w:color w:val="000000" w:themeColor="text1"/>
          <w:sz w:val="22"/>
          <w:szCs w:val="22"/>
          <w:lang w:eastAsia="en-ZA"/>
        </w:rPr>
        <w:t>This could, in turn, deter other parties from electing to contract with beneficiaries of the Fund, or force beneficiaries to offset the increased risk by making concessions on other contractual aspects during contract negotiations.</w:t>
      </w:r>
      <w:r w:rsidR="009C3500" w:rsidRPr="004F7156">
        <w:rPr>
          <w:rFonts w:ascii="Arial" w:hAnsi="Arial" w:cs="Arial"/>
          <w:color w:val="000000" w:themeColor="text1"/>
          <w:sz w:val="22"/>
          <w:szCs w:val="22"/>
          <w:lang w:eastAsia="en-ZA"/>
        </w:rPr>
        <w:t xml:space="preserve"> </w:t>
      </w:r>
      <w:r w:rsidRPr="004F7156">
        <w:rPr>
          <w:rFonts w:ascii="Arial" w:hAnsi="Arial" w:cs="Arial"/>
          <w:color w:val="000000" w:themeColor="text1"/>
          <w:sz w:val="22"/>
          <w:szCs w:val="22"/>
          <w:lang w:eastAsia="en-ZA"/>
        </w:rPr>
        <w:t>These outcomes would, in effect, undermine the very objects that the Fund and section 9(2) seek to achieve’</w:t>
      </w:r>
      <w:r w:rsidRPr="004F7156">
        <w:rPr>
          <w:rFonts w:ascii="Arial" w:hAnsi="Arial" w:cs="Arial"/>
          <w:color w:val="000000" w:themeColor="text1"/>
          <w:lang w:eastAsia="en-ZA"/>
        </w:rPr>
        <w:t>.</w:t>
      </w:r>
      <w:r w:rsidRPr="004F7156">
        <w:rPr>
          <w:rStyle w:val="FootnoteReference"/>
          <w:rFonts w:ascii="Arial" w:hAnsi="Arial" w:cs="Arial"/>
          <w:color w:val="000000" w:themeColor="text1"/>
          <w:lang w:eastAsia="en-ZA"/>
        </w:rPr>
        <w:footnoteReference w:id="39"/>
      </w:r>
    </w:p>
    <w:p w14:paraId="095CD57E" w14:textId="77777777" w:rsidR="007357D2" w:rsidRPr="004F7156" w:rsidRDefault="007357D2" w:rsidP="00831533">
      <w:pPr>
        <w:shd w:val="clear" w:color="auto" w:fill="FFFFFF"/>
        <w:spacing w:line="360" w:lineRule="auto"/>
        <w:jc w:val="both"/>
        <w:rPr>
          <w:rFonts w:ascii="Arial" w:hAnsi="Arial" w:cs="Arial"/>
          <w:color w:val="000000" w:themeColor="text1"/>
          <w:lang w:eastAsia="en-ZA"/>
        </w:rPr>
      </w:pPr>
    </w:p>
    <w:p w14:paraId="611FBB3F" w14:textId="348DF427" w:rsidR="007357D2" w:rsidRPr="004F7156" w:rsidRDefault="00EB4AB6" w:rsidP="00831533">
      <w:pPr>
        <w:spacing w:line="360" w:lineRule="auto"/>
        <w:jc w:val="both"/>
        <w:rPr>
          <w:rFonts w:ascii="Arial" w:hAnsi="Arial" w:cs="Arial"/>
          <w:color w:val="000000" w:themeColor="text1"/>
        </w:rPr>
      </w:pPr>
      <w:r w:rsidRPr="004F7156">
        <w:rPr>
          <w:rFonts w:ascii="Arial" w:hAnsi="Arial" w:cs="Arial"/>
          <w:color w:val="000000" w:themeColor="text1"/>
        </w:rPr>
        <w:t>[45</w:t>
      </w:r>
      <w:r w:rsidR="00831533" w:rsidRPr="004F7156">
        <w:rPr>
          <w:rFonts w:ascii="Arial" w:hAnsi="Arial" w:cs="Arial"/>
          <w:color w:val="000000" w:themeColor="text1"/>
        </w:rPr>
        <w:t>]</w:t>
      </w:r>
      <w:r w:rsidR="00831533" w:rsidRPr="004F7156">
        <w:rPr>
          <w:rFonts w:ascii="Arial" w:hAnsi="Arial" w:cs="Arial"/>
          <w:color w:val="000000" w:themeColor="text1"/>
        </w:rPr>
        <w:tab/>
      </w:r>
      <w:r w:rsidR="007357D2" w:rsidRPr="004F7156">
        <w:rPr>
          <w:rFonts w:ascii="Arial" w:hAnsi="Arial" w:cs="Arial"/>
          <w:color w:val="000000" w:themeColor="text1"/>
        </w:rPr>
        <w:t xml:space="preserve">The fact that the appellants are BEE shareholders of Capitec is therefore irrelevant. They were fully advised, fully informed, believed the terms were </w:t>
      </w:r>
      <w:r w:rsidR="007357D2" w:rsidRPr="004F7156">
        <w:rPr>
          <w:rFonts w:ascii="Arial" w:hAnsi="Arial" w:cs="Arial"/>
          <w:color w:val="000000" w:themeColor="text1"/>
        </w:rPr>
        <w:lastRenderedPageBreak/>
        <w:t>reasonable and freely relinquished the right not to inst</w:t>
      </w:r>
      <w:r w:rsidR="00185357" w:rsidRPr="004F7156">
        <w:rPr>
          <w:rFonts w:ascii="Arial" w:hAnsi="Arial" w:cs="Arial"/>
          <w:color w:val="000000" w:themeColor="text1"/>
        </w:rPr>
        <w:t>itute</w:t>
      </w:r>
      <w:r w:rsidR="007357D2" w:rsidRPr="004F7156">
        <w:rPr>
          <w:rFonts w:ascii="Arial" w:hAnsi="Arial" w:cs="Arial"/>
          <w:color w:val="000000" w:themeColor="text1"/>
        </w:rPr>
        <w:t xml:space="preserve"> legal proceedings in which they use or rely on the 2017 Petratouch Transaction, in return for Capitec’s consent to the </w:t>
      </w:r>
      <w:r w:rsidR="00993964" w:rsidRPr="004F7156">
        <w:rPr>
          <w:rFonts w:ascii="Arial" w:hAnsi="Arial" w:cs="Arial"/>
          <w:color w:val="000000" w:themeColor="text1"/>
        </w:rPr>
        <w:t xml:space="preserve">2017 Petratouch </w:t>
      </w:r>
      <w:r w:rsidR="007357D2" w:rsidRPr="004F7156">
        <w:rPr>
          <w:rFonts w:ascii="Arial" w:hAnsi="Arial" w:cs="Arial"/>
          <w:color w:val="000000" w:themeColor="text1"/>
        </w:rPr>
        <w:t xml:space="preserve">Transaction.  </w:t>
      </w:r>
    </w:p>
    <w:p w14:paraId="49770A41" w14:textId="77777777" w:rsidR="007357D2" w:rsidRPr="004F7156" w:rsidRDefault="007357D2" w:rsidP="00831533">
      <w:pPr>
        <w:spacing w:line="360" w:lineRule="auto"/>
        <w:jc w:val="both"/>
        <w:rPr>
          <w:rFonts w:ascii="Arial" w:hAnsi="Arial" w:cs="Arial"/>
          <w:color w:val="000000" w:themeColor="text1"/>
        </w:rPr>
      </w:pPr>
    </w:p>
    <w:p w14:paraId="195F4E42" w14:textId="01A80361" w:rsidR="007357D2" w:rsidRPr="004F7156" w:rsidRDefault="00EB4AB6" w:rsidP="00831533">
      <w:pPr>
        <w:spacing w:line="360" w:lineRule="auto"/>
        <w:jc w:val="both"/>
        <w:rPr>
          <w:rFonts w:ascii="Arial" w:hAnsi="Arial" w:cs="Arial"/>
          <w:color w:val="000000" w:themeColor="text1"/>
        </w:rPr>
      </w:pPr>
      <w:r w:rsidRPr="004F7156">
        <w:rPr>
          <w:rFonts w:ascii="Arial" w:hAnsi="Arial" w:cs="Arial"/>
          <w:color w:val="000000" w:themeColor="text1"/>
        </w:rPr>
        <w:t>[46</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Fourthly, the </w:t>
      </w:r>
      <w:r w:rsidR="007357D2" w:rsidRPr="004F7156">
        <w:rPr>
          <w:rFonts w:ascii="Arial" w:hAnsi="Arial" w:cs="Arial"/>
          <w:i/>
          <w:color w:val="000000" w:themeColor="text1"/>
        </w:rPr>
        <w:t>pactum</w:t>
      </w:r>
      <w:r w:rsidR="007357D2" w:rsidRPr="004F7156">
        <w:rPr>
          <w:rFonts w:ascii="Arial" w:hAnsi="Arial" w:cs="Arial"/>
          <w:color w:val="000000" w:themeColor="text1"/>
        </w:rPr>
        <w:t xml:space="preserve"> was concluded in a particular context for a specific legitimate reason. Coral required the 2017 </w:t>
      </w:r>
      <w:r w:rsidR="00C02CDC">
        <w:rPr>
          <w:rFonts w:ascii="Arial" w:hAnsi="Arial" w:cs="Arial"/>
          <w:color w:val="000000" w:themeColor="text1"/>
        </w:rPr>
        <w:t xml:space="preserve">Petratouch </w:t>
      </w:r>
      <w:r w:rsidR="007357D2" w:rsidRPr="004F7156">
        <w:rPr>
          <w:rFonts w:ascii="Arial" w:hAnsi="Arial" w:cs="Arial"/>
          <w:color w:val="000000" w:themeColor="text1"/>
        </w:rPr>
        <w:t xml:space="preserve">Transaction to settle a substantial tax liability </w:t>
      </w:r>
      <w:r w:rsidR="00CF3EF0" w:rsidRPr="004F7156">
        <w:rPr>
          <w:rFonts w:ascii="Arial" w:hAnsi="Arial" w:cs="Arial"/>
          <w:color w:val="000000" w:themeColor="text1"/>
        </w:rPr>
        <w:t xml:space="preserve">to SARS </w:t>
      </w:r>
      <w:r w:rsidR="007357D2" w:rsidRPr="004F7156">
        <w:rPr>
          <w:rFonts w:ascii="Arial" w:hAnsi="Arial" w:cs="Arial"/>
          <w:color w:val="000000" w:themeColor="text1"/>
        </w:rPr>
        <w:t xml:space="preserve">and </w:t>
      </w:r>
      <w:r w:rsidR="00024FE9" w:rsidRPr="004F7156">
        <w:rPr>
          <w:rFonts w:ascii="Arial" w:hAnsi="Arial" w:cs="Arial"/>
          <w:color w:val="000000" w:themeColor="text1"/>
        </w:rPr>
        <w:t xml:space="preserve">to enable </w:t>
      </w:r>
      <w:r w:rsidR="007357D2" w:rsidRPr="004F7156">
        <w:rPr>
          <w:rFonts w:ascii="Arial" w:hAnsi="Arial" w:cs="Arial"/>
          <w:color w:val="000000" w:themeColor="text1"/>
        </w:rPr>
        <w:t>71</w:t>
      </w:r>
      <w:r w:rsidR="00831533" w:rsidRPr="004F7156">
        <w:rPr>
          <w:rFonts w:ascii="Arial" w:hAnsi="Arial" w:cs="Arial"/>
          <w:color w:val="000000" w:themeColor="text1"/>
        </w:rPr>
        <w:t>,3</w:t>
      </w:r>
      <w:r w:rsidR="00C02CDC">
        <w:rPr>
          <w:rFonts w:ascii="Arial" w:hAnsi="Arial" w:cs="Arial"/>
          <w:color w:val="000000" w:themeColor="text1"/>
        </w:rPr>
        <w:t xml:space="preserve"> per</w:t>
      </w:r>
      <w:r w:rsidR="009162E3">
        <w:rPr>
          <w:rFonts w:ascii="Arial" w:hAnsi="Arial" w:cs="Arial"/>
          <w:color w:val="000000" w:themeColor="text1"/>
        </w:rPr>
        <w:t xml:space="preserve"> </w:t>
      </w:r>
      <w:r w:rsidR="00C02CDC">
        <w:rPr>
          <w:rFonts w:ascii="Arial" w:hAnsi="Arial" w:cs="Arial"/>
          <w:color w:val="000000" w:themeColor="text1"/>
        </w:rPr>
        <w:t>cent</w:t>
      </w:r>
      <w:r w:rsidR="007357D2" w:rsidRPr="004F7156">
        <w:rPr>
          <w:rFonts w:ascii="Arial" w:hAnsi="Arial" w:cs="Arial"/>
          <w:color w:val="000000" w:themeColor="text1"/>
        </w:rPr>
        <w:t xml:space="preserve"> of Ash</w:t>
      </w:r>
      <w:r w:rsidR="00C02CDC">
        <w:rPr>
          <w:rFonts w:ascii="Arial" w:hAnsi="Arial" w:cs="Arial"/>
          <w:color w:val="000000" w:themeColor="text1"/>
        </w:rPr>
        <w:t xml:space="preserve"> B</w:t>
      </w:r>
      <w:r w:rsidR="007357D2" w:rsidRPr="004F7156">
        <w:rPr>
          <w:rFonts w:ascii="Arial" w:hAnsi="Arial" w:cs="Arial"/>
          <w:color w:val="000000" w:themeColor="text1"/>
        </w:rPr>
        <w:t xml:space="preserve">rook’s shareholders to exit the consortium. </w:t>
      </w:r>
      <w:r w:rsidR="00024FE9" w:rsidRPr="004F7156">
        <w:rPr>
          <w:rFonts w:ascii="Arial" w:hAnsi="Arial" w:cs="Arial"/>
          <w:color w:val="000000" w:themeColor="text1"/>
        </w:rPr>
        <w:t>Coral</w:t>
      </w:r>
      <w:r w:rsidR="007357D2" w:rsidRPr="004F7156">
        <w:rPr>
          <w:rFonts w:ascii="Arial" w:hAnsi="Arial" w:cs="Arial"/>
          <w:color w:val="000000" w:themeColor="text1"/>
        </w:rPr>
        <w:t xml:space="preserve"> chose to sell to Petratouch at the sale price with the result that R975 287 684 was paid out to the existing shareholders. At all material times, Mr Tshepo Mahloele was a director of both Coral </w:t>
      </w:r>
      <w:r w:rsidR="007357D2" w:rsidRPr="004F7156">
        <w:rPr>
          <w:rFonts w:ascii="Arial" w:hAnsi="Arial" w:cs="Arial"/>
          <w:i/>
          <w:color w:val="000000" w:themeColor="text1"/>
        </w:rPr>
        <w:t>and</w:t>
      </w:r>
      <w:r w:rsidR="007357D2" w:rsidRPr="004F7156">
        <w:rPr>
          <w:rFonts w:ascii="Arial" w:hAnsi="Arial" w:cs="Arial"/>
          <w:color w:val="000000" w:themeColor="text1"/>
        </w:rPr>
        <w:t xml:space="preserve"> Petratouch. At the time of the 2017 Petratouch Transaction the appellants had already instituted the 2016 action in which </w:t>
      </w:r>
      <w:r w:rsidR="001961A8" w:rsidRPr="004F7156">
        <w:rPr>
          <w:rFonts w:ascii="Arial" w:hAnsi="Arial" w:cs="Arial"/>
          <w:color w:val="000000" w:themeColor="text1"/>
        </w:rPr>
        <w:t>they had</w:t>
      </w:r>
      <w:r w:rsidR="007357D2" w:rsidRPr="004F7156">
        <w:rPr>
          <w:rFonts w:ascii="Arial" w:hAnsi="Arial" w:cs="Arial"/>
          <w:color w:val="000000" w:themeColor="text1"/>
        </w:rPr>
        <w:t xml:space="preserve"> sued Capitec over the legality of the selling restrictions in the subscription agreement. Capitec was concerned that the appellants intended to use the 2017 Petratouch Transaction to either support that litigation or to institute new litigation in which it sought to escape from the selling restrictions. But it did not want to stand in the way of a deal between the appellants and Petratouch. It therefore proposed the inclusion of the </w:t>
      </w:r>
      <w:r w:rsidR="007357D2" w:rsidRPr="004F7156">
        <w:rPr>
          <w:rFonts w:ascii="Arial" w:hAnsi="Arial" w:cs="Arial"/>
          <w:i/>
          <w:color w:val="000000" w:themeColor="text1"/>
        </w:rPr>
        <w:t xml:space="preserve">pactum </w:t>
      </w:r>
      <w:r w:rsidR="007357D2" w:rsidRPr="004F7156">
        <w:rPr>
          <w:rFonts w:ascii="Arial" w:hAnsi="Arial" w:cs="Arial"/>
          <w:color w:val="000000" w:themeColor="text1"/>
        </w:rPr>
        <w:t xml:space="preserve">in the consent agreement, to protect its interests, which the appellants agreed to. The appellants determined that the benefit that they would obtain from concluding the 2017 Petratouch Transaction was worth the cost of agreeing not to sue Capitec. Capitec was not a party to the 2017 Petratouch Transaction, it did not initiate the transaction nor did it directly benefit from it. As for the alleged duty owed to the appellants, no basis for such a duty </w:t>
      </w:r>
      <w:r w:rsidR="008A274F" w:rsidRPr="004F7156">
        <w:rPr>
          <w:rFonts w:ascii="Arial" w:hAnsi="Arial" w:cs="Arial"/>
          <w:color w:val="000000" w:themeColor="text1"/>
        </w:rPr>
        <w:t xml:space="preserve">was </w:t>
      </w:r>
      <w:r w:rsidR="007357D2" w:rsidRPr="004F7156">
        <w:rPr>
          <w:rFonts w:ascii="Arial" w:hAnsi="Arial" w:cs="Arial"/>
          <w:color w:val="000000" w:themeColor="text1"/>
        </w:rPr>
        <w:t>established by the appellants.</w:t>
      </w:r>
    </w:p>
    <w:p w14:paraId="76D14464" w14:textId="77777777" w:rsidR="007357D2" w:rsidRPr="004F7156" w:rsidRDefault="007357D2" w:rsidP="00831533">
      <w:pPr>
        <w:spacing w:line="360" w:lineRule="auto"/>
        <w:jc w:val="both"/>
        <w:rPr>
          <w:rFonts w:ascii="Arial" w:hAnsi="Arial" w:cs="Arial"/>
          <w:color w:val="000000" w:themeColor="text1"/>
        </w:rPr>
      </w:pPr>
    </w:p>
    <w:p w14:paraId="0C0B6D83" w14:textId="3E505773" w:rsidR="001961A8" w:rsidRPr="004F7156" w:rsidRDefault="00243510" w:rsidP="00831533">
      <w:pPr>
        <w:spacing w:line="360" w:lineRule="auto"/>
        <w:jc w:val="both"/>
        <w:rPr>
          <w:rFonts w:ascii="Arial" w:hAnsi="Arial" w:cs="Arial"/>
          <w:color w:val="000000" w:themeColor="text1"/>
        </w:rPr>
      </w:pPr>
      <w:r w:rsidRPr="004F7156">
        <w:rPr>
          <w:rFonts w:ascii="Arial" w:hAnsi="Arial" w:cs="Arial"/>
          <w:color w:val="000000" w:themeColor="text1"/>
        </w:rPr>
        <w:t>[4</w:t>
      </w:r>
      <w:r w:rsidR="002E0A44">
        <w:rPr>
          <w:rFonts w:ascii="Arial" w:hAnsi="Arial" w:cs="Arial"/>
          <w:color w:val="000000" w:themeColor="text1"/>
        </w:rPr>
        <w:t>7</w:t>
      </w:r>
      <w:r w:rsidR="0048217E" w:rsidRPr="004F7156">
        <w:rPr>
          <w:rFonts w:ascii="Arial" w:hAnsi="Arial" w:cs="Arial"/>
          <w:color w:val="000000" w:themeColor="text1"/>
        </w:rPr>
        <w:t>]</w:t>
      </w:r>
      <w:r w:rsidR="0048217E" w:rsidRPr="004F7156">
        <w:rPr>
          <w:rFonts w:ascii="Arial" w:hAnsi="Arial" w:cs="Arial"/>
          <w:color w:val="000000" w:themeColor="text1"/>
        </w:rPr>
        <w:tab/>
        <w:t>Lastly,</w:t>
      </w:r>
      <w:r w:rsidR="007357D2" w:rsidRPr="004F7156">
        <w:rPr>
          <w:rFonts w:ascii="Arial" w:hAnsi="Arial" w:cs="Arial"/>
          <w:color w:val="000000" w:themeColor="text1"/>
        </w:rPr>
        <w:t xml:space="preserve"> the clause does not prevent the appellants from suing Capitec for breach of the consent agreement, or for matters unrelated to the 2017 Petratouch Transaction.</w:t>
      </w:r>
      <w:r w:rsidR="009C3500" w:rsidRPr="004F7156">
        <w:rPr>
          <w:rFonts w:ascii="Arial" w:hAnsi="Arial" w:cs="Arial"/>
          <w:color w:val="000000" w:themeColor="text1"/>
        </w:rPr>
        <w:t xml:space="preserve"> </w:t>
      </w:r>
      <w:r w:rsidR="001961A8" w:rsidRPr="004F7156">
        <w:rPr>
          <w:rFonts w:ascii="Arial" w:hAnsi="Arial" w:cs="Arial"/>
          <w:color w:val="000000" w:themeColor="text1"/>
        </w:rPr>
        <w:t>This is expressly set out in clause 7.2:</w:t>
      </w:r>
    </w:p>
    <w:p w14:paraId="7B9734F1" w14:textId="250FA364" w:rsidR="001961A8" w:rsidRPr="00DC228D" w:rsidRDefault="001961A8" w:rsidP="00831533">
      <w:pPr>
        <w:spacing w:line="360" w:lineRule="auto"/>
        <w:jc w:val="both"/>
        <w:rPr>
          <w:rFonts w:ascii="Arial" w:hAnsi="Arial" w:cs="Arial"/>
          <w:color w:val="000000" w:themeColor="text1"/>
          <w:sz w:val="22"/>
          <w:szCs w:val="22"/>
        </w:rPr>
      </w:pPr>
      <w:r w:rsidRPr="00DC228D">
        <w:rPr>
          <w:rFonts w:ascii="Arial" w:hAnsi="Arial" w:cs="Arial"/>
          <w:color w:val="000000" w:themeColor="text1"/>
          <w:sz w:val="22"/>
          <w:szCs w:val="22"/>
        </w:rPr>
        <w:t>‘For the avoidance of doubt, it is recorded that the provisions of clause 7.1.6 do not apply to a cause of action or claim resulting or arising from a breach by Capitec Holdings of any of the provisions of this Agreement, and shall not preclude another Party from instituting legal proceedings against Capitec Holdings in order for that Party to enforce compliance by Capitec Holdings with any of the provisions of this Agreement.’</w:t>
      </w:r>
    </w:p>
    <w:p w14:paraId="784A02CE" w14:textId="35AE7A1D" w:rsidR="007357D2" w:rsidRPr="004F7156" w:rsidRDefault="007357D2" w:rsidP="00831533">
      <w:pPr>
        <w:spacing w:line="360" w:lineRule="auto"/>
        <w:jc w:val="both"/>
        <w:rPr>
          <w:rFonts w:ascii="Arial" w:hAnsi="Arial" w:cs="Arial"/>
          <w:color w:val="000000" w:themeColor="text1"/>
        </w:rPr>
      </w:pPr>
      <w:r w:rsidRPr="004F7156">
        <w:rPr>
          <w:rFonts w:ascii="Arial" w:hAnsi="Arial" w:cs="Arial"/>
          <w:color w:val="000000" w:themeColor="text1"/>
        </w:rPr>
        <w:lastRenderedPageBreak/>
        <w:t xml:space="preserve">What they agreed not to do was ‘use or rely upon the 2017 Petratouch Transaction’ to sue Capitec outside such a breach. </w:t>
      </w:r>
      <w:r w:rsidR="001961A8" w:rsidRPr="004F7156">
        <w:rPr>
          <w:rFonts w:ascii="Arial" w:hAnsi="Arial" w:cs="Arial"/>
          <w:color w:val="000000" w:themeColor="text1"/>
        </w:rPr>
        <w:t xml:space="preserve">The </w:t>
      </w:r>
      <w:r w:rsidR="001961A8" w:rsidRPr="004F7156">
        <w:rPr>
          <w:rFonts w:ascii="Arial" w:hAnsi="Arial" w:cs="Arial"/>
          <w:i/>
          <w:iCs/>
          <w:color w:val="000000" w:themeColor="text1"/>
        </w:rPr>
        <w:t>pactum</w:t>
      </w:r>
      <w:r w:rsidR="001961A8" w:rsidRPr="004F7156">
        <w:rPr>
          <w:rFonts w:ascii="Arial" w:hAnsi="Arial" w:cs="Arial"/>
          <w:color w:val="000000" w:themeColor="text1"/>
        </w:rPr>
        <w:t xml:space="preserve"> went no further than was necessary to prevent very specific litigation. </w:t>
      </w:r>
      <w:r w:rsidRPr="004F7156">
        <w:rPr>
          <w:rFonts w:ascii="Arial" w:hAnsi="Arial" w:cs="Arial"/>
          <w:color w:val="000000" w:themeColor="text1"/>
        </w:rPr>
        <w:t xml:space="preserve">As such it is a limited and reasonable restriction on the appellants’ ability to litigate. </w:t>
      </w:r>
    </w:p>
    <w:p w14:paraId="553995EE" w14:textId="77777777" w:rsidR="007357D2" w:rsidRPr="004F7156" w:rsidRDefault="007357D2" w:rsidP="00831533">
      <w:pPr>
        <w:spacing w:line="360" w:lineRule="auto"/>
        <w:jc w:val="both"/>
        <w:rPr>
          <w:rFonts w:ascii="Arial" w:hAnsi="Arial" w:cs="Arial"/>
          <w:color w:val="000000" w:themeColor="text1"/>
        </w:rPr>
      </w:pPr>
    </w:p>
    <w:p w14:paraId="4A5A87F4" w14:textId="12E12AAD" w:rsidR="007357D2" w:rsidRPr="004F7156" w:rsidRDefault="00243510" w:rsidP="00831533">
      <w:pPr>
        <w:spacing w:line="360" w:lineRule="auto"/>
        <w:jc w:val="both"/>
        <w:rPr>
          <w:rFonts w:ascii="Arial" w:hAnsi="Arial" w:cs="Arial"/>
          <w:color w:val="000000" w:themeColor="text1"/>
        </w:rPr>
      </w:pPr>
      <w:r w:rsidRPr="004F7156">
        <w:rPr>
          <w:rFonts w:ascii="Arial" w:hAnsi="Arial" w:cs="Arial"/>
          <w:color w:val="000000" w:themeColor="text1"/>
        </w:rPr>
        <w:t>[4</w:t>
      </w:r>
      <w:r w:rsidR="002E0A44">
        <w:rPr>
          <w:rFonts w:ascii="Arial" w:hAnsi="Arial" w:cs="Arial"/>
          <w:color w:val="000000" w:themeColor="text1"/>
        </w:rPr>
        <w:t>8</w:t>
      </w:r>
      <w:r w:rsidR="007357D2" w:rsidRPr="004F7156">
        <w:rPr>
          <w:rFonts w:ascii="Arial" w:hAnsi="Arial" w:cs="Arial"/>
          <w:color w:val="000000" w:themeColor="text1"/>
        </w:rPr>
        <w:t>]</w:t>
      </w:r>
      <w:r w:rsidR="007357D2" w:rsidRPr="004F7156">
        <w:rPr>
          <w:rFonts w:ascii="Arial" w:hAnsi="Arial" w:cs="Arial"/>
          <w:color w:val="000000" w:themeColor="text1"/>
        </w:rPr>
        <w:tab/>
        <w:t xml:space="preserve">Agreements not to litigate are not </w:t>
      </w:r>
      <w:r w:rsidR="001961A8" w:rsidRPr="004F7156">
        <w:rPr>
          <w:rFonts w:ascii="Arial" w:hAnsi="Arial" w:cs="Arial"/>
          <w:color w:val="000000" w:themeColor="text1"/>
        </w:rPr>
        <w:t>necessarily</w:t>
      </w:r>
      <w:r w:rsidR="007357D2" w:rsidRPr="004F7156">
        <w:rPr>
          <w:rFonts w:ascii="Arial" w:hAnsi="Arial" w:cs="Arial"/>
          <w:color w:val="000000" w:themeColor="text1"/>
        </w:rPr>
        <w:t xml:space="preserve"> unreasonable. </w:t>
      </w:r>
      <w:r w:rsidR="002F252F" w:rsidRPr="004F7156">
        <w:rPr>
          <w:rFonts w:ascii="Arial" w:hAnsi="Arial" w:cs="Arial"/>
        </w:rPr>
        <w:t xml:space="preserve">Most agreements </w:t>
      </w:r>
      <w:r w:rsidR="007357D2" w:rsidRPr="004F7156">
        <w:rPr>
          <w:rFonts w:ascii="Arial" w:hAnsi="Arial" w:cs="Arial"/>
        </w:rPr>
        <w:t>of compromise,</w:t>
      </w:r>
      <w:r w:rsidR="007357D2" w:rsidRPr="004F7156">
        <w:rPr>
          <w:rFonts w:ascii="Arial" w:hAnsi="Arial" w:cs="Arial"/>
          <w:color w:val="000000" w:themeColor="text1"/>
        </w:rPr>
        <w:t xml:space="preserve"> in which one party settles a claim against the other, </w:t>
      </w:r>
      <w:r w:rsidR="00497535" w:rsidRPr="004F7156">
        <w:rPr>
          <w:rFonts w:ascii="Arial" w:hAnsi="Arial" w:cs="Arial"/>
          <w:color w:val="000000" w:themeColor="text1"/>
        </w:rPr>
        <w:t>as a matter of course</w:t>
      </w:r>
      <w:r w:rsidR="007357D2" w:rsidRPr="004F7156">
        <w:rPr>
          <w:rFonts w:ascii="Arial" w:hAnsi="Arial" w:cs="Arial"/>
          <w:color w:val="000000" w:themeColor="text1"/>
        </w:rPr>
        <w:t xml:space="preserve"> entails an agreement by one party not to institute or persist with the same proceedings against the other party in the future. Each case must be assessed on its own terms undertaking the </w:t>
      </w:r>
      <w:r w:rsidR="00C02CDC">
        <w:rPr>
          <w:rFonts w:ascii="Arial" w:hAnsi="Arial" w:cs="Arial"/>
          <w:color w:val="000000" w:themeColor="text1"/>
        </w:rPr>
        <w:t xml:space="preserve">enquiry set out in </w:t>
      </w:r>
      <w:r w:rsidR="007357D2" w:rsidRPr="004F7156">
        <w:rPr>
          <w:rFonts w:ascii="Arial" w:hAnsi="Arial" w:cs="Arial"/>
          <w:i/>
          <w:color w:val="000000" w:themeColor="text1"/>
        </w:rPr>
        <w:t>Barkhuizen</w:t>
      </w:r>
      <w:r w:rsidR="00C02CDC">
        <w:rPr>
          <w:rFonts w:ascii="Arial" w:hAnsi="Arial" w:cs="Arial"/>
          <w:i/>
          <w:color w:val="000000" w:themeColor="text1"/>
        </w:rPr>
        <w:t>.</w:t>
      </w:r>
      <w:r w:rsidR="007357D2" w:rsidRPr="004F7156">
        <w:rPr>
          <w:rFonts w:ascii="Arial" w:hAnsi="Arial" w:cs="Arial"/>
          <w:i/>
          <w:color w:val="000000" w:themeColor="text1"/>
        </w:rPr>
        <w:t xml:space="preserve"> </w:t>
      </w:r>
      <w:r w:rsidR="007357D2" w:rsidRPr="004F7156">
        <w:rPr>
          <w:rFonts w:ascii="Arial" w:hAnsi="Arial" w:cs="Arial"/>
          <w:color w:val="000000" w:themeColor="text1"/>
        </w:rPr>
        <w:t>On the facts in the present matter the</w:t>
      </w:r>
      <w:r w:rsidR="007357D2" w:rsidRPr="004F7156">
        <w:rPr>
          <w:rFonts w:ascii="Arial" w:hAnsi="Arial" w:cs="Arial"/>
          <w:i/>
          <w:color w:val="000000" w:themeColor="text1"/>
        </w:rPr>
        <w:t xml:space="preserve"> </w:t>
      </w:r>
      <w:r w:rsidR="00497535" w:rsidRPr="004F7156">
        <w:rPr>
          <w:rFonts w:ascii="Arial" w:hAnsi="Arial" w:cs="Arial"/>
          <w:i/>
          <w:color w:val="000000" w:themeColor="text1"/>
        </w:rPr>
        <w:t>pactum</w:t>
      </w:r>
      <w:r w:rsidR="007357D2" w:rsidRPr="004F7156">
        <w:rPr>
          <w:rFonts w:ascii="Arial" w:hAnsi="Arial" w:cs="Arial"/>
          <w:color w:val="000000" w:themeColor="text1"/>
        </w:rPr>
        <w:t xml:space="preserve"> is consistent with public policy.</w:t>
      </w:r>
      <w:r w:rsidR="009C3500" w:rsidRPr="004F7156">
        <w:rPr>
          <w:rFonts w:ascii="Arial" w:hAnsi="Arial" w:cs="Arial"/>
          <w:color w:val="000000" w:themeColor="text1"/>
        </w:rPr>
        <w:t xml:space="preserve"> </w:t>
      </w:r>
      <w:r w:rsidR="007357D2" w:rsidRPr="004F7156">
        <w:rPr>
          <w:rFonts w:ascii="Arial" w:hAnsi="Arial" w:cs="Arial"/>
          <w:color w:val="000000" w:themeColor="text1"/>
        </w:rPr>
        <w:t>In the premise</w:t>
      </w:r>
      <w:r w:rsidR="001961A8" w:rsidRPr="004F7156">
        <w:rPr>
          <w:rFonts w:ascii="Arial" w:hAnsi="Arial" w:cs="Arial"/>
          <w:color w:val="000000" w:themeColor="text1"/>
        </w:rPr>
        <w:t>s</w:t>
      </w:r>
      <w:r w:rsidR="007357D2" w:rsidRPr="004F7156">
        <w:rPr>
          <w:rFonts w:ascii="Arial" w:hAnsi="Arial" w:cs="Arial"/>
          <w:color w:val="000000" w:themeColor="text1"/>
        </w:rPr>
        <w:t>, the appellants’ counter application was correctly dismissed.</w:t>
      </w:r>
    </w:p>
    <w:p w14:paraId="268750F3" w14:textId="34773704" w:rsidR="00054ABF" w:rsidRPr="004F7156" w:rsidRDefault="00054ABF" w:rsidP="00831533">
      <w:pPr>
        <w:spacing w:line="360" w:lineRule="auto"/>
        <w:jc w:val="both"/>
        <w:rPr>
          <w:rFonts w:ascii="Arial" w:hAnsi="Arial" w:cs="Arial"/>
          <w:color w:val="000000" w:themeColor="text1"/>
        </w:rPr>
      </w:pPr>
    </w:p>
    <w:p w14:paraId="5C867449" w14:textId="1A9BC595" w:rsidR="00054ABF" w:rsidRPr="004F7156" w:rsidRDefault="00054ABF" w:rsidP="00831533">
      <w:pPr>
        <w:spacing w:line="360" w:lineRule="auto"/>
        <w:jc w:val="both"/>
        <w:rPr>
          <w:rFonts w:ascii="Arial" w:hAnsi="Arial" w:cs="Arial"/>
          <w:color w:val="000000" w:themeColor="text1"/>
        </w:rPr>
      </w:pPr>
      <w:r w:rsidRPr="004F7156">
        <w:rPr>
          <w:rFonts w:ascii="Arial" w:hAnsi="Arial" w:cs="Arial"/>
          <w:color w:val="000000" w:themeColor="text1"/>
        </w:rPr>
        <w:t>[</w:t>
      </w:r>
      <w:r w:rsidR="002E0A44">
        <w:rPr>
          <w:rFonts w:ascii="Arial" w:hAnsi="Arial" w:cs="Arial"/>
          <w:color w:val="000000" w:themeColor="text1"/>
        </w:rPr>
        <w:t>49</w:t>
      </w:r>
      <w:r w:rsidRPr="004F7156">
        <w:rPr>
          <w:rFonts w:ascii="Arial" w:hAnsi="Arial" w:cs="Arial"/>
          <w:color w:val="000000" w:themeColor="text1"/>
        </w:rPr>
        <w:t xml:space="preserve">] </w:t>
      </w:r>
      <w:r w:rsidR="005539BD" w:rsidRPr="004F7156">
        <w:rPr>
          <w:rFonts w:ascii="Arial" w:hAnsi="Arial" w:cs="Arial"/>
          <w:color w:val="000000" w:themeColor="text1"/>
        </w:rPr>
        <w:t>The subscription agreement and the consent agreement provide that costs will be recoverable on an attorney and own client scale. T</w:t>
      </w:r>
      <w:r w:rsidR="009D1CCE" w:rsidRPr="004F7156">
        <w:rPr>
          <w:rFonts w:ascii="Arial" w:hAnsi="Arial" w:cs="Arial"/>
          <w:color w:val="000000" w:themeColor="text1"/>
        </w:rPr>
        <w:t>here is no reason why such c</w:t>
      </w:r>
      <w:r w:rsidR="00B548D9" w:rsidRPr="004F7156">
        <w:rPr>
          <w:rFonts w:ascii="Arial" w:hAnsi="Arial" w:cs="Arial"/>
          <w:color w:val="000000" w:themeColor="text1"/>
        </w:rPr>
        <w:t>osts,</w:t>
      </w:r>
      <w:r w:rsidR="00B548D9" w:rsidRPr="004F7156">
        <w:rPr>
          <w:rFonts w:ascii="Arial" w:hAnsi="Arial" w:cs="Arial"/>
          <w:color w:val="242121"/>
          <w:lang w:eastAsia="en-ZA"/>
        </w:rPr>
        <w:t xml:space="preserve"> including the costs of two counsel, should not follow the result. </w:t>
      </w:r>
    </w:p>
    <w:p w14:paraId="5035A078" w14:textId="77777777" w:rsidR="007357D2" w:rsidRPr="004F7156" w:rsidRDefault="007357D2" w:rsidP="00831533">
      <w:pPr>
        <w:spacing w:line="360" w:lineRule="auto"/>
        <w:jc w:val="both"/>
        <w:rPr>
          <w:rFonts w:ascii="Arial" w:hAnsi="Arial" w:cs="Arial"/>
          <w:color w:val="000000" w:themeColor="text1"/>
        </w:rPr>
      </w:pPr>
    </w:p>
    <w:p w14:paraId="0E1E83DF" w14:textId="0C97621A" w:rsidR="007357D2" w:rsidRPr="004F7156" w:rsidRDefault="005539BD" w:rsidP="007357D2">
      <w:pPr>
        <w:spacing w:line="360" w:lineRule="auto"/>
        <w:jc w:val="both"/>
        <w:rPr>
          <w:rFonts w:ascii="Arial" w:hAnsi="Arial" w:cs="Arial"/>
          <w:color w:val="000000" w:themeColor="text1"/>
        </w:rPr>
      </w:pPr>
      <w:r w:rsidRPr="004F7156">
        <w:rPr>
          <w:rFonts w:ascii="Arial" w:hAnsi="Arial" w:cs="Arial"/>
          <w:color w:val="000000" w:themeColor="text1"/>
        </w:rPr>
        <w:t>[5</w:t>
      </w:r>
      <w:r w:rsidR="002E0A44">
        <w:rPr>
          <w:rFonts w:ascii="Arial" w:hAnsi="Arial" w:cs="Arial"/>
          <w:color w:val="000000" w:themeColor="text1"/>
        </w:rPr>
        <w:t>0</w:t>
      </w:r>
      <w:r w:rsidR="007357D2" w:rsidRPr="004F7156">
        <w:rPr>
          <w:rFonts w:ascii="Arial" w:hAnsi="Arial" w:cs="Arial"/>
          <w:color w:val="000000" w:themeColor="text1"/>
        </w:rPr>
        <w:t xml:space="preserve">] </w:t>
      </w:r>
      <w:r w:rsidR="007357D2" w:rsidRPr="004F7156">
        <w:rPr>
          <w:rFonts w:ascii="Arial" w:hAnsi="Arial" w:cs="Arial"/>
          <w:color w:val="000000" w:themeColor="text1"/>
        </w:rPr>
        <w:tab/>
        <w:t>In the result the following order is made:</w:t>
      </w:r>
    </w:p>
    <w:p w14:paraId="43B5A886" w14:textId="56C7423F" w:rsidR="007357D2" w:rsidRPr="004F7156" w:rsidRDefault="007357D2" w:rsidP="00293BED">
      <w:pPr>
        <w:spacing w:after="160" w:line="360" w:lineRule="auto"/>
        <w:jc w:val="both"/>
        <w:rPr>
          <w:rFonts w:ascii="Arial" w:hAnsi="Arial" w:cs="Arial"/>
          <w:color w:val="000000" w:themeColor="text1"/>
        </w:rPr>
      </w:pPr>
      <w:r w:rsidRPr="004F7156">
        <w:rPr>
          <w:rFonts w:ascii="Arial" w:hAnsi="Arial" w:cs="Arial"/>
          <w:color w:val="000000" w:themeColor="text1"/>
        </w:rPr>
        <w:t>The appeal is dismissed with costs on an attorney and client scale, including</w:t>
      </w:r>
      <w:r w:rsidR="009C3500" w:rsidRPr="004F7156">
        <w:rPr>
          <w:rFonts w:ascii="Arial" w:hAnsi="Arial" w:cs="Arial"/>
          <w:color w:val="000000" w:themeColor="text1"/>
        </w:rPr>
        <w:t xml:space="preserve"> </w:t>
      </w:r>
      <w:r w:rsidRPr="004F7156">
        <w:rPr>
          <w:rFonts w:ascii="Arial" w:hAnsi="Arial" w:cs="Arial"/>
          <w:color w:val="000000" w:themeColor="text1"/>
        </w:rPr>
        <w:t xml:space="preserve">the costs of two counsel. </w:t>
      </w:r>
    </w:p>
    <w:p w14:paraId="2B0F0475" w14:textId="77777777" w:rsidR="007357D2" w:rsidRPr="004F7156" w:rsidRDefault="007357D2" w:rsidP="007357D2">
      <w:pPr>
        <w:spacing w:line="360" w:lineRule="auto"/>
        <w:jc w:val="both"/>
        <w:rPr>
          <w:rFonts w:ascii="Arial" w:hAnsi="Arial" w:cs="Arial"/>
          <w:color w:val="000000" w:themeColor="text1"/>
        </w:rPr>
      </w:pPr>
    </w:p>
    <w:p w14:paraId="7A3922DA" w14:textId="77777777" w:rsidR="00093030" w:rsidRPr="004F7156" w:rsidRDefault="00093030" w:rsidP="00093030">
      <w:pPr>
        <w:spacing w:line="360" w:lineRule="auto"/>
        <w:jc w:val="right"/>
        <w:rPr>
          <w:b/>
          <w:sz w:val="28"/>
          <w:szCs w:val="28"/>
        </w:rPr>
      </w:pPr>
      <w:r w:rsidRPr="004F7156">
        <w:rPr>
          <w:b/>
          <w:sz w:val="28"/>
          <w:szCs w:val="28"/>
        </w:rPr>
        <w:t>________________________</w:t>
      </w:r>
    </w:p>
    <w:p w14:paraId="7CFB0BB0" w14:textId="1B540ECF" w:rsidR="00093030" w:rsidRPr="004F7156" w:rsidRDefault="00B808D9" w:rsidP="00093030">
      <w:pPr>
        <w:spacing w:line="360" w:lineRule="auto"/>
        <w:jc w:val="right"/>
        <w:rPr>
          <w:b/>
          <w:sz w:val="28"/>
          <w:szCs w:val="28"/>
        </w:rPr>
      </w:pPr>
      <w:r w:rsidRPr="004F7156">
        <w:rPr>
          <w:b/>
          <w:sz w:val="28"/>
          <w:szCs w:val="28"/>
        </w:rPr>
        <w:t>L WINDEL</w:t>
      </w:r>
      <w:r w:rsidR="001961A8" w:rsidRPr="004F7156">
        <w:rPr>
          <w:b/>
          <w:sz w:val="28"/>
          <w:szCs w:val="28"/>
        </w:rPr>
        <w:t>L</w:t>
      </w:r>
    </w:p>
    <w:p w14:paraId="45FC60F0" w14:textId="1EB3B75F" w:rsidR="00093030" w:rsidRPr="004F7156" w:rsidRDefault="00B808D9" w:rsidP="00093030">
      <w:pPr>
        <w:spacing w:line="360" w:lineRule="auto"/>
        <w:jc w:val="right"/>
        <w:rPr>
          <w:b/>
          <w:sz w:val="28"/>
          <w:szCs w:val="28"/>
        </w:rPr>
      </w:pPr>
      <w:r w:rsidRPr="004F7156">
        <w:rPr>
          <w:b/>
          <w:sz w:val="28"/>
          <w:szCs w:val="28"/>
        </w:rPr>
        <w:t xml:space="preserve">ACTING </w:t>
      </w:r>
      <w:r w:rsidR="00093030" w:rsidRPr="004F7156">
        <w:rPr>
          <w:b/>
          <w:sz w:val="28"/>
          <w:szCs w:val="28"/>
        </w:rPr>
        <w:t>JUDGE OF APPEAL</w:t>
      </w:r>
    </w:p>
    <w:p w14:paraId="6D272171" w14:textId="77777777" w:rsidR="00806986" w:rsidRPr="004F7156" w:rsidRDefault="00806986" w:rsidP="001C0E01">
      <w:pPr>
        <w:pStyle w:val="Heading1"/>
      </w:pPr>
      <w:r w:rsidRPr="004F7156">
        <w:br w:type="page"/>
      </w:r>
    </w:p>
    <w:p w14:paraId="468BB7E3" w14:textId="7D241ADA" w:rsidR="00093030" w:rsidRPr="004F7156" w:rsidRDefault="00093030" w:rsidP="00222B1E">
      <w:pPr>
        <w:spacing w:line="360" w:lineRule="auto"/>
        <w:rPr>
          <w:sz w:val="28"/>
          <w:szCs w:val="28"/>
        </w:rPr>
      </w:pPr>
      <w:r w:rsidRPr="004F7156">
        <w:rPr>
          <w:sz w:val="28"/>
          <w:szCs w:val="28"/>
        </w:rPr>
        <w:lastRenderedPageBreak/>
        <w:t xml:space="preserve">Appearances </w:t>
      </w:r>
    </w:p>
    <w:p w14:paraId="791A6A3C" w14:textId="56A8D5BE" w:rsidR="00093030" w:rsidRPr="004F7156" w:rsidRDefault="00093030" w:rsidP="00093030">
      <w:pPr>
        <w:spacing w:line="360" w:lineRule="auto"/>
        <w:rPr>
          <w:sz w:val="28"/>
          <w:szCs w:val="28"/>
        </w:rPr>
      </w:pPr>
      <w:r w:rsidRPr="004F7156">
        <w:rPr>
          <w:sz w:val="28"/>
          <w:szCs w:val="28"/>
        </w:rPr>
        <w:t>For appellant</w:t>
      </w:r>
      <w:r w:rsidR="00C30F28">
        <w:rPr>
          <w:sz w:val="28"/>
          <w:szCs w:val="28"/>
        </w:rPr>
        <w:t>s</w:t>
      </w:r>
      <w:r w:rsidRPr="004F7156">
        <w:rPr>
          <w:sz w:val="28"/>
          <w:szCs w:val="28"/>
        </w:rPr>
        <w:t>:</w:t>
      </w:r>
      <w:r w:rsidRPr="004F7156">
        <w:rPr>
          <w:sz w:val="28"/>
          <w:szCs w:val="28"/>
        </w:rPr>
        <w:tab/>
      </w:r>
      <w:r w:rsidR="00882505" w:rsidRPr="004F7156">
        <w:rPr>
          <w:sz w:val="28"/>
          <w:szCs w:val="28"/>
        </w:rPr>
        <w:tab/>
        <w:t>I V Maleka SC with T Scott</w:t>
      </w:r>
    </w:p>
    <w:p w14:paraId="056A79C9" w14:textId="06CCB00D" w:rsidR="00093030" w:rsidRPr="004F7156" w:rsidRDefault="00093030" w:rsidP="001C0E01">
      <w:pPr>
        <w:spacing w:line="360" w:lineRule="auto"/>
        <w:ind w:left="2880" w:hanging="2880"/>
        <w:rPr>
          <w:bCs/>
          <w:sz w:val="28"/>
          <w:szCs w:val="28"/>
        </w:rPr>
      </w:pPr>
      <w:r w:rsidRPr="004F7156">
        <w:rPr>
          <w:bCs/>
          <w:sz w:val="28"/>
          <w:szCs w:val="28"/>
        </w:rPr>
        <w:t xml:space="preserve">Instructed by: </w:t>
      </w:r>
      <w:r w:rsidR="00882505" w:rsidRPr="004F7156">
        <w:rPr>
          <w:bCs/>
          <w:sz w:val="28"/>
          <w:szCs w:val="28"/>
        </w:rPr>
        <w:tab/>
      </w:r>
      <w:r w:rsidR="00222B1E" w:rsidRPr="004F7156">
        <w:rPr>
          <w:bCs/>
          <w:sz w:val="28"/>
          <w:szCs w:val="28"/>
        </w:rPr>
        <w:t xml:space="preserve">Mkhabela </w:t>
      </w:r>
      <w:r w:rsidR="00882505" w:rsidRPr="004F7156">
        <w:rPr>
          <w:bCs/>
          <w:sz w:val="28"/>
          <w:szCs w:val="28"/>
        </w:rPr>
        <w:t>Huntley Attorneys</w:t>
      </w:r>
      <w:r w:rsidR="001961A8" w:rsidRPr="004F7156">
        <w:rPr>
          <w:bCs/>
          <w:sz w:val="28"/>
          <w:szCs w:val="28"/>
        </w:rPr>
        <w:t xml:space="preserve"> Incorporated</w:t>
      </w:r>
      <w:r w:rsidR="00882505" w:rsidRPr="004F7156">
        <w:rPr>
          <w:bCs/>
          <w:sz w:val="28"/>
          <w:szCs w:val="28"/>
        </w:rPr>
        <w:t xml:space="preserve">, </w:t>
      </w:r>
      <w:r w:rsidR="00222B1E" w:rsidRPr="004F7156">
        <w:rPr>
          <w:bCs/>
          <w:sz w:val="28"/>
          <w:szCs w:val="28"/>
        </w:rPr>
        <w:t>Johannesburg</w:t>
      </w:r>
    </w:p>
    <w:p w14:paraId="60CEBC67" w14:textId="67F9B76C" w:rsidR="00093030" w:rsidRPr="004F7156" w:rsidRDefault="00222B1E" w:rsidP="00882505">
      <w:pPr>
        <w:spacing w:line="360" w:lineRule="auto"/>
        <w:ind w:left="1179" w:firstLine="1701"/>
        <w:rPr>
          <w:bCs/>
          <w:sz w:val="28"/>
          <w:szCs w:val="28"/>
        </w:rPr>
      </w:pPr>
      <w:r w:rsidRPr="004F7156">
        <w:rPr>
          <w:bCs/>
          <w:sz w:val="28"/>
          <w:szCs w:val="28"/>
        </w:rPr>
        <w:t>McIntyre van der Post</w:t>
      </w:r>
      <w:r w:rsidR="00093030" w:rsidRPr="004F7156">
        <w:rPr>
          <w:bCs/>
          <w:sz w:val="28"/>
          <w:szCs w:val="28"/>
        </w:rPr>
        <w:t>, Bloemfontein</w:t>
      </w:r>
    </w:p>
    <w:p w14:paraId="761EB7F2" w14:textId="77777777" w:rsidR="00093030" w:rsidRPr="004F7156" w:rsidRDefault="00093030" w:rsidP="00093030">
      <w:pPr>
        <w:spacing w:line="360" w:lineRule="auto"/>
        <w:rPr>
          <w:bCs/>
          <w:sz w:val="28"/>
          <w:szCs w:val="28"/>
        </w:rPr>
      </w:pPr>
      <w:r w:rsidRPr="004F7156">
        <w:rPr>
          <w:bCs/>
          <w:sz w:val="28"/>
          <w:szCs w:val="28"/>
        </w:rPr>
        <w:t xml:space="preserve"> </w:t>
      </w:r>
    </w:p>
    <w:p w14:paraId="1383BAC6" w14:textId="324DC673" w:rsidR="00093030" w:rsidRPr="004F7156" w:rsidRDefault="00093030" w:rsidP="00882505">
      <w:pPr>
        <w:spacing w:line="360" w:lineRule="auto"/>
        <w:ind w:left="2880" w:hanging="2880"/>
        <w:rPr>
          <w:sz w:val="28"/>
          <w:szCs w:val="28"/>
        </w:rPr>
      </w:pPr>
      <w:r w:rsidRPr="004F7156">
        <w:rPr>
          <w:sz w:val="28"/>
          <w:szCs w:val="28"/>
        </w:rPr>
        <w:t>For respondent:</w:t>
      </w:r>
      <w:r w:rsidRPr="004F7156">
        <w:rPr>
          <w:sz w:val="28"/>
          <w:szCs w:val="28"/>
        </w:rPr>
        <w:tab/>
      </w:r>
      <w:r w:rsidR="00882505" w:rsidRPr="004F7156">
        <w:rPr>
          <w:sz w:val="28"/>
          <w:szCs w:val="28"/>
        </w:rPr>
        <w:t>A M Breitenbach SC with M Bishop and P Wainwright</w:t>
      </w:r>
      <w:r w:rsidRPr="004F7156">
        <w:rPr>
          <w:sz w:val="28"/>
          <w:szCs w:val="28"/>
        </w:rPr>
        <w:tab/>
        <w:t xml:space="preserve"> </w:t>
      </w:r>
    </w:p>
    <w:p w14:paraId="3FA0FB25" w14:textId="77C287D9" w:rsidR="00093030" w:rsidRPr="004F7156" w:rsidRDefault="00093030" w:rsidP="00093030">
      <w:pPr>
        <w:spacing w:line="360" w:lineRule="auto"/>
        <w:rPr>
          <w:bCs/>
          <w:sz w:val="28"/>
          <w:szCs w:val="28"/>
        </w:rPr>
      </w:pPr>
      <w:r w:rsidRPr="004F7156">
        <w:rPr>
          <w:bCs/>
          <w:sz w:val="28"/>
          <w:szCs w:val="28"/>
        </w:rPr>
        <w:t>Instructed by:</w:t>
      </w:r>
      <w:r w:rsidR="00A50053">
        <w:rPr>
          <w:bCs/>
          <w:sz w:val="28"/>
          <w:szCs w:val="28"/>
        </w:rPr>
        <w:tab/>
      </w:r>
      <w:r w:rsidR="00A50053">
        <w:rPr>
          <w:bCs/>
          <w:sz w:val="28"/>
          <w:szCs w:val="28"/>
        </w:rPr>
        <w:tab/>
        <w:t>Van</w:t>
      </w:r>
      <w:r w:rsidR="002E0A44">
        <w:rPr>
          <w:bCs/>
          <w:sz w:val="28"/>
          <w:szCs w:val="28"/>
        </w:rPr>
        <w:t xml:space="preserve"> </w:t>
      </w:r>
      <w:r w:rsidR="00A50053">
        <w:rPr>
          <w:bCs/>
          <w:sz w:val="28"/>
          <w:szCs w:val="28"/>
        </w:rPr>
        <w:t>der</w:t>
      </w:r>
      <w:r w:rsidR="002E0A44">
        <w:rPr>
          <w:bCs/>
          <w:sz w:val="28"/>
          <w:szCs w:val="28"/>
        </w:rPr>
        <w:t xml:space="preserve"> </w:t>
      </w:r>
      <w:r w:rsidR="00882505" w:rsidRPr="004F7156">
        <w:rPr>
          <w:bCs/>
          <w:sz w:val="28"/>
          <w:szCs w:val="28"/>
        </w:rPr>
        <w:t>Sp</w:t>
      </w:r>
      <w:r w:rsidR="003E464E" w:rsidRPr="004F7156">
        <w:rPr>
          <w:bCs/>
          <w:sz w:val="28"/>
          <w:szCs w:val="28"/>
        </w:rPr>
        <w:t>u</w:t>
      </w:r>
      <w:r w:rsidR="00882505" w:rsidRPr="004F7156">
        <w:rPr>
          <w:bCs/>
          <w:sz w:val="28"/>
          <w:szCs w:val="28"/>
        </w:rPr>
        <w:t>y, Cape Town</w:t>
      </w:r>
    </w:p>
    <w:p w14:paraId="1DCFA3A5" w14:textId="2625F207" w:rsidR="00093030" w:rsidRPr="002C505B" w:rsidRDefault="00222B1E" w:rsidP="001C0E01">
      <w:pPr>
        <w:spacing w:line="360" w:lineRule="auto"/>
        <w:ind w:left="2880"/>
        <w:rPr>
          <w:bCs/>
          <w:sz w:val="28"/>
          <w:szCs w:val="28"/>
        </w:rPr>
      </w:pPr>
      <w:r w:rsidRPr="004F7156">
        <w:rPr>
          <w:bCs/>
          <w:sz w:val="28"/>
          <w:szCs w:val="28"/>
        </w:rPr>
        <w:t>Hill McHardy &amp; He</w:t>
      </w:r>
      <w:r w:rsidR="00A50053">
        <w:rPr>
          <w:bCs/>
          <w:sz w:val="28"/>
          <w:szCs w:val="28"/>
        </w:rPr>
        <w:t>rbst Attorneys,</w:t>
      </w:r>
      <w:r w:rsidR="00093030" w:rsidRPr="004F7156">
        <w:rPr>
          <w:bCs/>
          <w:sz w:val="28"/>
          <w:szCs w:val="28"/>
        </w:rPr>
        <w:t xml:space="preserve"> Bloemfontein.</w:t>
      </w:r>
    </w:p>
    <w:p w14:paraId="41C5A551" w14:textId="77777777" w:rsidR="00093030" w:rsidRPr="002C505B" w:rsidRDefault="00093030" w:rsidP="00093030">
      <w:pPr>
        <w:pStyle w:val="Pa3"/>
        <w:spacing w:line="360" w:lineRule="auto"/>
        <w:rPr>
          <w:rFonts w:ascii="Times New Roman" w:hAnsi="Times New Roman"/>
          <w:sz w:val="28"/>
          <w:szCs w:val="28"/>
        </w:rPr>
      </w:pPr>
    </w:p>
    <w:p w14:paraId="5663ECFD" w14:textId="77777777" w:rsidR="00093030" w:rsidRPr="002C505B" w:rsidRDefault="00093030" w:rsidP="00093030">
      <w:pPr>
        <w:spacing w:line="360" w:lineRule="auto"/>
        <w:jc w:val="both"/>
        <w:rPr>
          <w:sz w:val="28"/>
          <w:szCs w:val="28"/>
        </w:rPr>
      </w:pPr>
    </w:p>
    <w:p w14:paraId="62C0C741" w14:textId="77777777" w:rsidR="00A54B38" w:rsidRDefault="00A54B38" w:rsidP="00093030">
      <w:pPr>
        <w:jc w:val="center"/>
      </w:pPr>
    </w:p>
    <w:sectPr w:rsidR="00A54B38" w:rsidSect="00A54B38">
      <w:headerReference w:type="even" r:id="rId9"/>
      <w:headerReference w:type="default" r:id="rId10"/>
      <w:pgSz w:w="12240" w:h="15840"/>
      <w:pgMar w:top="1440" w:right="1800" w:bottom="1440" w:left="180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E0D5" w16cex:dateUtc="2022-10-1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73A7A" w16cid:durableId="26EEE0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61FB" w14:textId="77777777" w:rsidR="0008659A" w:rsidRDefault="0008659A">
      <w:r>
        <w:separator/>
      </w:r>
    </w:p>
  </w:endnote>
  <w:endnote w:type="continuationSeparator" w:id="0">
    <w:p w14:paraId="4960858D" w14:textId="77777777" w:rsidR="0008659A" w:rsidRDefault="0008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2F3A" w14:textId="77777777" w:rsidR="0008659A" w:rsidRDefault="0008659A">
      <w:r>
        <w:separator/>
      </w:r>
    </w:p>
  </w:footnote>
  <w:footnote w:type="continuationSeparator" w:id="0">
    <w:p w14:paraId="5FA8D2B5" w14:textId="77777777" w:rsidR="0008659A" w:rsidRDefault="0008659A">
      <w:r>
        <w:continuationSeparator/>
      </w:r>
    </w:p>
  </w:footnote>
  <w:footnote w:id="1">
    <w:p w14:paraId="3ECB333A" w14:textId="287BB027" w:rsidR="00E94EA9" w:rsidRPr="00E94EA9" w:rsidRDefault="00E94EA9" w:rsidP="001C0E01">
      <w:pPr>
        <w:pStyle w:val="FootnoteText"/>
        <w:jc w:val="both"/>
        <w:rPr>
          <w:rFonts w:ascii="Arial" w:hAnsi="Arial" w:cs="Arial"/>
        </w:rPr>
      </w:pPr>
      <w:r w:rsidRPr="00E94EA9">
        <w:rPr>
          <w:rStyle w:val="FootnoteReference"/>
          <w:rFonts w:ascii="Arial" w:hAnsi="Arial" w:cs="Arial"/>
        </w:rPr>
        <w:footnoteRef/>
      </w:r>
      <w:r w:rsidRPr="00E94EA9">
        <w:rPr>
          <w:rFonts w:ascii="Arial" w:hAnsi="Arial" w:cs="Arial"/>
        </w:rPr>
        <w:t xml:space="preserve"> There were also other parties to the consent agreement namely K2017134938 (South Africa) (Pty) Ltd (Bidco) and CB Employee Holdings (Pty) Ltd.</w:t>
      </w:r>
    </w:p>
  </w:footnote>
  <w:footnote w:id="2">
    <w:p w14:paraId="6802ABE7" w14:textId="27CBBFBA" w:rsidR="008415D6" w:rsidRPr="002F252F" w:rsidRDefault="008415D6" w:rsidP="00D765F2">
      <w:pPr>
        <w:pStyle w:val="NormalWeb"/>
        <w:shd w:val="clear" w:color="auto" w:fill="FFFFFF"/>
        <w:spacing w:before="120" w:beforeAutospacing="0" w:after="0" w:afterAutospacing="0"/>
        <w:jc w:val="both"/>
        <w:rPr>
          <w:rFonts w:ascii="Arial" w:hAnsi="Arial" w:cs="Arial"/>
          <w:sz w:val="20"/>
          <w:szCs w:val="20"/>
        </w:rPr>
      </w:pPr>
      <w:r w:rsidRPr="002F252F">
        <w:rPr>
          <w:rStyle w:val="FootnoteReference"/>
          <w:rFonts w:ascii="Arial" w:hAnsi="Arial" w:cs="Arial"/>
          <w:sz w:val="20"/>
          <w:szCs w:val="20"/>
        </w:rPr>
        <w:footnoteRef/>
      </w:r>
      <w:r w:rsidRPr="002F252F">
        <w:rPr>
          <w:rFonts w:ascii="Arial" w:hAnsi="Arial" w:cs="Arial"/>
          <w:sz w:val="20"/>
          <w:szCs w:val="20"/>
        </w:rPr>
        <w:t xml:space="preserve"> </w:t>
      </w:r>
      <w:r w:rsidR="00603F22" w:rsidRPr="002F252F">
        <w:rPr>
          <w:rFonts w:ascii="Arial" w:hAnsi="Arial" w:cs="Arial"/>
          <w:sz w:val="20"/>
          <w:szCs w:val="20"/>
        </w:rPr>
        <w:t>The </w:t>
      </w:r>
      <w:hyperlink r:id="rId1" w:tooltip="South Africa" w:history="1">
        <w:r w:rsidR="00603F22" w:rsidRPr="002F252F">
          <w:rPr>
            <w:rStyle w:val="Hyperlink"/>
            <w:rFonts w:ascii="Arial" w:hAnsi="Arial" w:cs="Arial"/>
            <w:color w:val="auto"/>
            <w:sz w:val="20"/>
            <w:szCs w:val="20"/>
            <w:u w:val="none"/>
          </w:rPr>
          <w:t>South African</w:t>
        </w:r>
      </w:hyperlink>
      <w:r w:rsidR="00603F22" w:rsidRPr="002F252F">
        <w:rPr>
          <w:rFonts w:ascii="Arial" w:hAnsi="Arial" w:cs="Arial"/>
          <w:sz w:val="20"/>
          <w:szCs w:val="20"/>
        </w:rPr>
        <w:t> </w:t>
      </w:r>
      <w:r w:rsidR="00603F22" w:rsidRPr="002F252F">
        <w:rPr>
          <w:rFonts w:ascii="Arial" w:hAnsi="Arial" w:cs="Arial"/>
          <w:bCs/>
          <w:sz w:val="20"/>
          <w:szCs w:val="20"/>
        </w:rPr>
        <w:t>Financial Sector Charter</w:t>
      </w:r>
      <w:r w:rsidR="00603F22" w:rsidRPr="002F252F">
        <w:rPr>
          <w:rFonts w:ascii="Arial" w:hAnsi="Arial" w:cs="Arial"/>
          <w:sz w:val="20"/>
          <w:szCs w:val="20"/>
        </w:rPr>
        <w:t> is a transformation </w:t>
      </w:r>
      <w:hyperlink r:id="rId2" w:tooltip="Charter" w:history="1">
        <w:r w:rsidR="00603F22" w:rsidRPr="002F252F">
          <w:rPr>
            <w:rStyle w:val="Hyperlink"/>
            <w:rFonts w:ascii="Arial" w:hAnsi="Arial" w:cs="Arial"/>
            <w:color w:val="auto"/>
            <w:sz w:val="20"/>
            <w:szCs w:val="20"/>
            <w:u w:val="none"/>
          </w:rPr>
          <w:t>charter</w:t>
        </w:r>
      </w:hyperlink>
      <w:r w:rsidR="00603F22" w:rsidRPr="002F252F">
        <w:rPr>
          <w:rFonts w:ascii="Arial" w:hAnsi="Arial" w:cs="Arial"/>
          <w:sz w:val="20"/>
          <w:szCs w:val="20"/>
        </w:rPr>
        <w:t> in terms of the </w:t>
      </w:r>
      <w:hyperlink r:id="rId3" w:tooltip="Broad-Based Black Economic Empowerment" w:history="1">
        <w:r w:rsidR="00603F22" w:rsidRPr="002F252F">
          <w:rPr>
            <w:rStyle w:val="Hyperlink"/>
            <w:rFonts w:ascii="Arial" w:hAnsi="Arial" w:cs="Arial"/>
            <w:color w:val="auto"/>
            <w:sz w:val="20"/>
            <w:szCs w:val="20"/>
            <w:u w:val="none"/>
          </w:rPr>
          <w:t>Broad-</w:t>
        </w:r>
        <w:r w:rsidR="00D765F2">
          <w:rPr>
            <w:rStyle w:val="Hyperlink"/>
            <w:rFonts w:ascii="Arial" w:hAnsi="Arial" w:cs="Arial"/>
            <w:color w:val="auto"/>
            <w:sz w:val="20"/>
            <w:szCs w:val="20"/>
            <w:u w:val="none"/>
          </w:rPr>
          <w:t>B</w:t>
        </w:r>
        <w:r w:rsidR="00603F22" w:rsidRPr="002F252F">
          <w:rPr>
            <w:rStyle w:val="Hyperlink"/>
            <w:rFonts w:ascii="Arial" w:hAnsi="Arial" w:cs="Arial"/>
            <w:color w:val="auto"/>
            <w:sz w:val="20"/>
            <w:szCs w:val="20"/>
            <w:u w:val="none"/>
          </w:rPr>
          <w:t>ased Black Economic Empowerment</w:t>
        </w:r>
      </w:hyperlink>
      <w:r w:rsidR="00603F22" w:rsidRPr="002F252F">
        <w:rPr>
          <w:rFonts w:ascii="Arial" w:hAnsi="Arial" w:cs="Arial"/>
          <w:sz w:val="20"/>
          <w:szCs w:val="20"/>
        </w:rPr>
        <w:t> (B</w:t>
      </w:r>
      <w:r w:rsidR="00D765F2">
        <w:rPr>
          <w:rFonts w:ascii="Arial" w:hAnsi="Arial" w:cs="Arial"/>
          <w:sz w:val="20"/>
          <w:szCs w:val="20"/>
        </w:rPr>
        <w:t>-</w:t>
      </w:r>
      <w:r w:rsidR="00603F22" w:rsidRPr="002F252F">
        <w:rPr>
          <w:rFonts w:ascii="Arial" w:hAnsi="Arial" w:cs="Arial"/>
          <w:sz w:val="20"/>
          <w:szCs w:val="20"/>
        </w:rPr>
        <w:t>BBEE) Act 53 of 2003. The Charter came into effect in January 2004.</w:t>
      </w:r>
    </w:p>
  </w:footnote>
  <w:footnote w:id="3">
    <w:p w14:paraId="543FD222" w14:textId="0A25AD66" w:rsidR="004831B7" w:rsidRPr="00603F22" w:rsidRDefault="004831B7" w:rsidP="00603F22">
      <w:pPr>
        <w:pStyle w:val="FootnoteText"/>
        <w:jc w:val="both"/>
        <w:rPr>
          <w:rFonts w:ascii="Arial" w:hAnsi="Arial" w:cs="Arial"/>
          <w:lang w:val="en-ZA"/>
        </w:rPr>
      </w:pPr>
      <w:r w:rsidRPr="002F252F">
        <w:rPr>
          <w:rStyle w:val="FootnoteReference"/>
          <w:rFonts w:ascii="Arial" w:hAnsi="Arial" w:cs="Arial"/>
        </w:rPr>
        <w:footnoteRef/>
      </w:r>
      <w:r w:rsidRPr="002F252F">
        <w:rPr>
          <w:rFonts w:ascii="Arial" w:hAnsi="Arial" w:cs="Arial"/>
        </w:rPr>
        <w:t xml:space="preserve"> </w:t>
      </w:r>
      <w:r w:rsidR="003A1689" w:rsidRPr="002F252F">
        <w:rPr>
          <w:rFonts w:ascii="Arial" w:hAnsi="Arial" w:cs="Arial"/>
        </w:rPr>
        <w:t>Codes of Good Practice</w:t>
      </w:r>
      <w:r w:rsidR="003A1689" w:rsidRPr="002F252F">
        <w:rPr>
          <w:rFonts w:ascii="Arial" w:hAnsi="Arial" w:cs="Arial"/>
          <w:b/>
          <w:bCs/>
        </w:rPr>
        <w:t xml:space="preserve"> </w:t>
      </w:r>
      <w:r w:rsidR="003A1689" w:rsidRPr="002F252F">
        <w:rPr>
          <w:rFonts w:ascii="Arial" w:hAnsi="Arial" w:cs="Arial"/>
        </w:rPr>
        <w:t>on Black Economic Empowerment published in General Notice 112 in </w:t>
      </w:r>
      <w:r w:rsidR="003A1689" w:rsidRPr="002F252F">
        <w:rPr>
          <w:rFonts w:ascii="Arial" w:hAnsi="Arial" w:cs="Arial"/>
          <w:i/>
          <w:iCs/>
        </w:rPr>
        <w:t>Government Gazette</w:t>
      </w:r>
      <w:r w:rsidR="003A1689" w:rsidRPr="002F252F">
        <w:rPr>
          <w:rFonts w:ascii="Arial" w:hAnsi="Arial" w:cs="Arial"/>
        </w:rPr>
        <w:t xml:space="preserve"> 29617 of 9 February 2007, as amended </w:t>
      </w:r>
      <w:r w:rsidR="00D765F2">
        <w:rPr>
          <w:rFonts w:ascii="Arial" w:hAnsi="Arial" w:cs="Arial"/>
        </w:rPr>
        <w:t>from time to time.</w:t>
      </w:r>
    </w:p>
  </w:footnote>
  <w:footnote w:id="4">
    <w:p w14:paraId="55F83BF6" w14:textId="68573970" w:rsidR="007357D2" w:rsidRPr="0048161A" w:rsidRDefault="007357D2" w:rsidP="001C0E01">
      <w:pPr>
        <w:pStyle w:val="FootnoteText"/>
        <w:jc w:val="both"/>
        <w:rPr>
          <w:rFonts w:ascii="Arial" w:hAnsi="Arial" w:cs="Arial"/>
        </w:rPr>
      </w:pPr>
      <w:r w:rsidRPr="0048161A">
        <w:rPr>
          <w:rStyle w:val="FootnoteReference"/>
          <w:rFonts w:ascii="Arial" w:hAnsi="Arial" w:cs="Arial"/>
        </w:rPr>
        <w:footnoteRef/>
      </w:r>
      <w:r w:rsidRPr="0048161A">
        <w:rPr>
          <w:rFonts w:ascii="Arial" w:hAnsi="Arial" w:cs="Arial"/>
        </w:rPr>
        <w:t xml:space="preserve"> </w:t>
      </w:r>
      <w:r w:rsidRPr="0048161A">
        <w:rPr>
          <w:rFonts w:ascii="Arial" w:hAnsi="Arial" w:cs="Arial"/>
          <w:i/>
          <w:color w:val="000000" w:themeColor="text1"/>
          <w:lang w:eastAsia="en-ZA"/>
        </w:rPr>
        <w:t>Capitec Bank Holdings Limited and Another v Coral Lagoon Investments 194 (Pty) Ltd and Others</w:t>
      </w:r>
      <w:r w:rsidRPr="0048161A">
        <w:rPr>
          <w:rFonts w:ascii="Arial" w:hAnsi="Arial" w:cs="Arial"/>
          <w:color w:val="000000" w:themeColor="text1"/>
          <w:lang w:eastAsia="en-ZA"/>
        </w:rPr>
        <w:t xml:space="preserve"> [2021] ZASCA 99; [2021] 3 All SA 647 (SCA). </w:t>
      </w:r>
    </w:p>
  </w:footnote>
  <w:footnote w:id="5">
    <w:p w14:paraId="2F2139FD" w14:textId="77777777" w:rsidR="007357D2" w:rsidRPr="00B77C36" w:rsidRDefault="007357D2" w:rsidP="007357D2">
      <w:pPr>
        <w:spacing w:line="360" w:lineRule="auto"/>
        <w:jc w:val="both"/>
        <w:rPr>
          <w:rFonts w:ascii="Arial" w:hAnsi="Arial" w:cs="Arial"/>
          <w:sz w:val="20"/>
          <w:szCs w:val="20"/>
        </w:rPr>
      </w:pPr>
      <w:r w:rsidRPr="00B77C36">
        <w:rPr>
          <w:rStyle w:val="FootnoteReference"/>
          <w:rFonts w:ascii="Arial" w:hAnsi="Arial" w:cs="Arial"/>
          <w:sz w:val="20"/>
          <w:szCs w:val="20"/>
        </w:rPr>
        <w:footnoteRef/>
      </w:r>
      <w:r w:rsidRPr="00B77C36">
        <w:rPr>
          <w:rFonts w:ascii="Arial" w:hAnsi="Arial" w:cs="Arial"/>
          <w:sz w:val="20"/>
          <w:szCs w:val="20"/>
        </w:rPr>
        <w:t xml:space="preserve"> Capitec also sought alternative relief, directing the appellants to refer their claims for arbitration.</w:t>
      </w:r>
    </w:p>
    <w:p w14:paraId="28BA6EC9" w14:textId="77777777" w:rsidR="007357D2" w:rsidRPr="00F9432A" w:rsidRDefault="007357D2" w:rsidP="007357D2">
      <w:pPr>
        <w:pStyle w:val="FootnoteText"/>
      </w:pPr>
    </w:p>
  </w:footnote>
  <w:footnote w:id="6">
    <w:p w14:paraId="080E182B" w14:textId="49B2DE78" w:rsidR="007357D2" w:rsidRPr="00F62EC3" w:rsidRDefault="007357D2" w:rsidP="001C0E01">
      <w:pPr>
        <w:pStyle w:val="FootnoteText"/>
        <w:jc w:val="both"/>
        <w:rPr>
          <w:rFonts w:ascii="Arial" w:hAnsi="Arial" w:cs="Arial"/>
        </w:rPr>
      </w:pPr>
      <w:r w:rsidRPr="00F62EC3">
        <w:rPr>
          <w:rStyle w:val="FootnoteReference"/>
          <w:rFonts w:ascii="Arial" w:hAnsi="Arial" w:cs="Arial"/>
        </w:rPr>
        <w:footnoteRef/>
      </w:r>
      <w:r w:rsidRPr="00F62EC3">
        <w:rPr>
          <w:rFonts w:ascii="Arial" w:hAnsi="Arial" w:cs="Arial"/>
        </w:rPr>
        <w:t xml:space="preserve"> </w:t>
      </w:r>
      <w:r w:rsidRPr="00F62EC3">
        <w:rPr>
          <w:rFonts w:ascii="Arial" w:hAnsi="Arial" w:cs="Arial"/>
          <w:i/>
        </w:rPr>
        <w:t>Natal Joint Municipal Pension Fund v Endumeni Municipality</w:t>
      </w:r>
      <w:r w:rsidRPr="00F62EC3">
        <w:rPr>
          <w:rFonts w:ascii="Arial" w:hAnsi="Arial" w:cs="Arial"/>
        </w:rPr>
        <w:t xml:space="preserve"> </w:t>
      </w:r>
      <w:r w:rsidR="005304C3">
        <w:rPr>
          <w:rFonts w:ascii="Arial" w:hAnsi="Arial" w:cs="Arial"/>
        </w:rPr>
        <w:t xml:space="preserve">[2012] ZASCA 13; </w:t>
      </w:r>
      <w:r w:rsidR="002A593F">
        <w:rPr>
          <w:rFonts w:ascii="Arial" w:hAnsi="Arial" w:cs="Arial"/>
        </w:rPr>
        <w:t xml:space="preserve">2012 (4) SA 593 (SCA) para [18]. </w:t>
      </w:r>
    </w:p>
  </w:footnote>
  <w:footnote w:id="7">
    <w:p w14:paraId="46CBA3AF" w14:textId="693B143B" w:rsidR="002A593F" w:rsidRPr="002A593F" w:rsidRDefault="002A593F" w:rsidP="001C0E01">
      <w:pPr>
        <w:pStyle w:val="FootnoteText"/>
        <w:jc w:val="both"/>
        <w:rPr>
          <w:rFonts w:ascii="Arial" w:hAnsi="Arial" w:cs="Arial"/>
        </w:rPr>
      </w:pPr>
      <w:r>
        <w:rPr>
          <w:rStyle w:val="FootnoteReference"/>
        </w:rPr>
        <w:footnoteRef/>
      </w:r>
      <w:r>
        <w:t xml:space="preserve"> </w:t>
      </w:r>
      <w:r w:rsidRPr="004A520F">
        <w:rPr>
          <w:rFonts w:ascii="Arial" w:hAnsi="Arial" w:cs="Arial"/>
          <w:i/>
          <w:iCs/>
          <w:lang w:eastAsia="en-ZA"/>
        </w:rPr>
        <w:t>University of Johannesburg v Auckland Park Theological Seminary and Another</w:t>
      </w:r>
      <w:r>
        <w:rPr>
          <w:rFonts w:ascii="Arial" w:hAnsi="Arial" w:cs="Arial"/>
          <w:i/>
          <w:iCs/>
          <w:lang w:eastAsia="en-ZA"/>
        </w:rPr>
        <w:t xml:space="preserve"> </w:t>
      </w:r>
      <w:r>
        <w:rPr>
          <w:rFonts w:ascii="Arial" w:hAnsi="Arial" w:cs="Arial"/>
        </w:rPr>
        <w:t>[2021] ZACC 13; 2021 (6) SA 1 (CC) para [65].</w:t>
      </w:r>
    </w:p>
  </w:footnote>
  <w:footnote w:id="8">
    <w:p w14:paraId="3809FC33" w14:textId="758AA7E1" w:rsidR="007357D2" w:rsidRPr="00587AB9" w:rsidRDefault="007357D2" w:rsidP="001C0E01">
      <w:pPr>
        <w:shd w:val="clear" w:color="auto" w:fill="FFFFFF"/>
        <w:jc w:val="both"/>
      </w:pPr>
      <w:r w:rsidRPr="003B71CC">
        <w:rPr>
          <w:rStyle w:val="FootnoteReference"/>
          <w:rFonts w:ascii="Arial" w:hAnsi="Arial" w:cs="Arial"/>
          <w:sz w:val="20"/>
          <w:szCs w:val="20"/>
        </w:rPr>
        <w:footnoteRef/>
      </w:r>
      <w:r>
        <w:rPr>
          <w:rFonts w:ascii="Arial" w:hAnsi="Arial" w:cs="Arial"/>
          <w:sz w:val="20"/>
          <w:szCs w:val="20"/>
        </w:rPr>
        <w:t xml:space="preserve"> </w:t>
      </w:r>
      <w:r w:rsidR="00CA49BB">
        <w:rPr>
          <w:rFonts w:ascii="Arial" w:hAnsi="Arial" w:cs="Arial"/>
          <w:sz w:val="20"/>
          <w:szCs w:val="20"/>
        </w:rPr>
        <w:t>Footnote 1</w:t>
      </w:r>
      <w:r>
        <w:rPr>
          <w:rFonts w:ascii="Arial" w:hAnsi="Arial" w:cs="Arial"/>
          <w:sz w:val="20"/>
          <w:szCs w:val="20"/>
        </w:rPr>
        <w:t xml:space="preserve"> para 47</w:t>
      </w:r>
      <w:r w:rsidRPr="003B71CC">
        <w:rPr>
          <w:rFonts w:ascii="Arial" w:hAnsi="Arial" w:cs="Arial"/>
          <w:sz w:val="20"/>
          <w:szCs w:val="20"/>
        </w:rPr>
        <w:t xml:space="preserve">. Unterhalter AJA remarked, </w:t>
      </w:r>
      <w:r w:rsidRPr="003B71CC">
        <w:rPr>
          <w:rFonts w:ascii="Arial" w:hAnsi="Arial" w:cs="Arial"/>
          <w:sz w:val="20"/>
          <w:szCs w:val="20"/>
          <w:lang w:eastAsia="en-ZA"/>
        </w:rPr>
        <w:t>that ‘reasonable disagreements as to the relevance of such evidence should favour admitting the evidence and the weight of the evidence may then be considered. It is this enquiry into relevance that will determine the admissibility of the evidence’.</w:t>
      </w:r>
    </w:p>
  </w:footnote>
  <w:footnote w:id="9">
    <w:p w14:paraId="721CFE86" w14:textId="163ADF2F" w:rsidR="007357D2" w:rsidRPr="004452C4" w:rsidRDefault="007357D2" w:rsidP="00CF5B1F">
      <w:pPr>
        <w:pStyle w:val="FootnoteText"/>
        <w:jc w:val="both"/>
        <w:rPr>
          <w:rFonts w:ascii="Arial" w:hAnsi="Arial" w:cs="Arial"/>
        </w:rPr>
      </w:pPr>
      <w:r w:rsidRPr="002F252F">
        <w:rPr>
          <w:rStyle w:val="FootnoteReference"/>
          <w:rFonts w:ascii="Arial" w:hAnsi="Arial" w:cs="Arial"/>
        </w:rPr>
        <w:footnoteRef/>
      </w:r>
      <w:r w:rsidRPr="002F252F">
        <w:rPr>
          <w:rFonts w:ascii="Arial" w:hAnsi="Arial" w:cs="Arial"/>
        </w:rPr>
        <w:t xml:space="preserve"> </w:t>
      </w:r>
      <w:r w:rsidR="000D6A6E" w:rsidRPr="002F252F">
        <w:rPr>
          <w:rFonts w:ascii="Arial" w:hAnsi="Arial" w:cs="Arial"/>
          <w:i/>
        </w:rPr>
        <w:t>ABSA Bank Ltd v Swanepoel</w:t>
      </w:r>
      <w:r w:rsidR="000D6A6E" w:rsidRPr="002F252F">
        <w:rPr>
          <w:rFonts w:ascii="Arial" w:hAnsi="Arial" w:cs="Arial"/>
        </w:rPr>
        <w:t xml:space="preserve"> [2004] ZASCA 60; </w:t>
      </w:r>
      <w:r w:rsidRPr="002F252F">
        <w:rPr>
          <w:rFonts w:ascii="Arial" w:hAnsi="Arial" w:cs="Arial"/>
        </w:rPr>
        <w:t>2004 (6) SA 178 (SCA) paras 6-8.</w:t>
      </w:r>
    </w:p>
  </w:footnote>
  <w:footnote w:id="10">
    <w:p w14:paraId="14AACBF2" w14:textId="567072BF" w:rsidR="007514B9" w:rsidRPr="00293BED" w:rsidRDefault="007514B9" w:rsidP="001C0E01">
      <w:pPr>
        <w:pStyle w:val="FootnoteText"/>
        <w:jc w:val="both"/>
        <w:rPr>
          <w:lang w:val="en-ZA"/>
        </w:rPr>
      </w:pPr>
      <w:r>
        <w:rPr>
          <w:rStyle w:val="FootnoteReference"/>
        </w:rPr>
        <w:footnoteRef/>
      </w:r>
      <w:r>
        <w:t xml:space="preserve"> </w:t>
      </w:r>
      <w:r w:rsidRPr="004452C4">
        <w:rPr>
          <w:rFonts w:ascii="Arial" w:hAnsi="Arial" w:cs="Arial"/>
          <w:i/>
          <w:color w:val="000000" w:themeColor="text1"/>
        </w:rPr>
        <w:t>Resisto Dairy v Auto Protection Insurance Co</w:t>
      </w:r>
      <w:r w:rsidRPr="004452C4">
        <w:rPr>
          <w:rFonts w:ascii="Arial" w:hAnsi="Arial" w:cs="Arial"/>
        </w:rPr>
        <w:t xml:space="preserve"> 1963 (1) SA 632 (A)</w:t>
      </w:r>
      <w:r w:rsidR="00326B35">
        <w:rPr>
          <w:rFonts w:ascii="Arial" w:hAnsi="Arial" w:cs="Arial"/>
        </w:rPr>
        <w:t>.</w:t>
      </w:r>
    </w:p>
  </w:footnote>
  <w:footnote w:id="11">
    <w:p w14:paraId="61F5BBF4" w14:textId="7E462EBD" w:rsidR="007357D2" w:rsidRPr="004104E7" w:rsidRDefault="007357D2" w:rsidP="00CF5B1F">
      <w:pPr>
        <w:shd w:val="clear" w:color="auto" w:fill="FFFFFF"/>
        <w:jc w:val="both"/>
        <w:outlineLvl w:val="1"/>
        <w:rPr>
          <w:rFonts w:ascii="Arial" w:hAnsi="Arial" w:cs="Arial"/>
          <w:sz w:val="20"/>
          <w:szCs w:val="20"/>
          <w:lang w:eastAsia="en-ZA"/>
        </w:rPr>
      </w:pPr>
      <w:r w:rsidRPr="004104E7">
        <w:rPr>
          <w:rStyle w:val="FootnoteReference"/>
          <w:rFonts w:ascii="Arial" w:hAnsi="Arial" w:cs="Arial"/>
          <w:sz w:val="20"/>
          <w:szCs w:val="20"/>
        </w:rPr>
        <w:footnoteRef/>
      </w:r>
      <w:r w:rsidRPr="004104E7">
        <w:rPr>
          <w:rFonts w:ascii="Arial" w:hAnsi="Arial" w:cs="Arial"/>
          <w:sz w:val="20"/>
          <w:szCs w:val="20"/>
        </w:rPr>
        <w:t xml:space="preserve"> </w:t>
      </w:r>
      <w:r w:rsidR="007514B9" w:rsidRPr="004104E7">
        <w:rPr>
          <w:rFonts w:ascii="Arial" w:hAnsi="Arial" w:cs="Arial"/>
          <w:sz w:val="20"/>
          <w:szCs w:val="20"/>
        </w:rPr>
        <w:t>Ibid at 644F-G.</w:t>
      </w:r>
    </w:p>
  </w:footnote>
  <w:footnote w:id="12">
    <w:p w14:paraId="69D0B103" w14:textId="79F3C0A8" w:rsidR="004104E7" w:rsidRPr="004104E7" w:rsidRDefault="004104E7">
      <w:pPr>
        <w:pStyle w:val="FootnoteText"/>
        <w:rPr>
          <w:rFonts w:ascii="Arial" w:hAnsi="Arial" w:cs="Arial"/>
        </w:rPr>
      </w:pPr>
      <w:r w:rsidRPr="004104E7">
        <w:rPr>
          <w:rStyle w:val="FootnoteReference"/>
          <w:rFonts w:ascii="Arial" w:hAnsi="Arial" w:cs="Arial"/>
        </w:rPr>
        <w:footnoteRef/>
      </w:r>
      <w:r w:rsidRPr="004104E7">
        <w:rPr>
          <w:rFonts w:ascii="Arial" w:hAnsi="Arial" w:cs="Arial"/>
        </w:rPr>
        <w:t xml:space="preserve"> </w:t>
      </w:r>
      <w:r w:rsidRPr="004104E7">
        <w:rPr>
          <w:rFonts w:ascii="Arial" w:hAnsi="Arial" w:cs="Arial"/>
          <w:lang w:eastAsia="en-ZA"/>
        </w:rPr>
        <w:t>[2005] ZASCA 95.</w:t>
      </w:r>
    </w:p>
  </w:footnote>
  <w:footnote w:id="13">
    <w:p w14:paraId="65601BFF" w14:textId="6E144853" w:rsidR="00212A71" w:rsidRPr="004104E7" w:rsidRDefault="00212A71">
      <w:pPr>
        <w:pStyle w:val="FootnoteText"/>
        <w:rPr>
          <w:rFonts w:ascii="Arial" w:hAnsi="Arial" w:cs="Arial"/>
        </w:rPr>
      </w:pPr>
      <w:r w:rsidRPr="004104E7">
        <w:rPr>
          <w:rStyle w:val="FootnoteReference"/>
          <w:rFonts w:ascii="Arial" w:hAnsi="Arial" w:cs="Arial"/>
        </w:rPr>
        <w:footnoteRef/>
      </w:r>
      <w:r w:rsidRPr="004104E7">
        <w:rPr>
          <w:rFonts w:ascii="Arial" w:hAnsi="Arial" w:cs="Arial"/>
        </w:rPr>
        <w:t xml:space="preserve"> Ibid para [7].</w:t>
      </w:r>
    </w:p>
  </w:footnote>
  <w:footnote w:id="14">
    <w:p w14:paraId="2B385F67" w14:textId="01117D1D" w:rsidR="007357D2" w:rsidRPr="004104E7" w:rsidRDefault="007357D2" w:rsidP="001C0E01">
      <w:pPr>
        <w:pStyle w:val="FootnoteText"/>
        <w:jc w:val="both"/>
        <w:rPr>
          <w:rFonts w:ascii="Arial" w:hAnsi="Arial" w:cs="Arial"/>
        </w:rPr>
      </w:pPr>
      <w:r w:rsidRPr="004104E7">
        <w:rPr>
          <w:rStyle w:val="FootnoteReference"/>
          <w:rFonts w:ascii="Arial" w:hAnsi="Arial" w:cs="Arial"/>
        </w:rPr>
        <w:footnoteRef/>
      </w:r>
      <w:r w:rsidRPr="004104E7">
        <w:rPr>
          <w:rFonts w:ascii="Arial" w:hAnsi="Arial" w:cs="Arial"/>
        </w:rPr>
        <w:t xml:space="preserve"> </w:t>
      </w:r>
      <w:r w:rsidR="00112592" w:rsidRPr="004104E7">
        <w:rPr>
          <w:rFonts w:ascii="Arial" w:hAnsi="Arial" w:cs="Arial"/>
          <w:i/>
          <w:iCs/>
        </w:rPr>
        <w:t>Protea Property Holdings (Pty) Ltd v Boundary Financing Ltd (formerly known</w:t>
      </w:r>
      <w:r w:rsidR="00F73EE7" w:rsidRPr="004104E7">
        <w:rPr>
          <w:rFonts w:ascii="Arial" w:hAnsi="Arial" w:cs="Arial"/>
          <w:i/>
          <w:iCs/>
        </w:rPr>
        <w:t xml:space="preserve"> as International Bank of Southern Africa Ltd) &amp; Others</w:t>
      </w:r>
      <w:r w:rsidR="00F73EE7" w:rsidRPr="004104E7">
        <w:rPr>
          <w:rFonts w:ascii="Arial" w:hAnsi="Arial" w:cs="Arial"/>
        </w:rPr>
        <w:t xml:space="preserve"> [2007] ZAWCHC 39;</w:t>
      </w:r>
      <w:r w:rsidR="00112592" w:rsidRPr="004104E7">
        <w:rPr>
          <w:rFonts w:ascii="Arial" w:hAnsi="Arial" w:cs="Arial"/>
        </w:rPr>
        <w:t xml:space="preserve"> </w:t>
      </w:r>
      <w:hyperlink r:id="rId4" w:tgtFrame="main" w:history="1">
        <w:r w:rsidRPr="004104E7">
          <w:rPr>
            <w:rStyle w:val="Hyperlink"/>
            <w:rFonts w:ascii="Arial" w:hAnsi="Arial" w:cs="Arial"/>
            <w:color w:val="auto"/>
            <w:u w:val="none"/>
          </w:rPr>
          <w:t>2008 (3) SA 33 (C)</w:t>
        </w:r>
      </w:hyperlink>
      <w:r w:rsidRPr="004104E7">
        <w:rPr>
          <w:rFonts w:ascii="Arial" w:hAnsi="Arial" w:cs="Arial"/>
        </w:rPr>
        <w:t xml:space="preserve"> para 39.</w:t>
      </w:r>
    </w:p>
  </w:footnote>
  <w:footnote w:id="15">
    <w:p w14:paraId="2CB0AB24" w14:textId="75948E92" w:rsidR="007357D2" w:rsidRPr="004104E7" w:rsidRDefault="007357D2" w:rsidP="001C0E01">
      <w:pPr>
        <w:pStyle w:val="FootnoteText"/>
        <w:jc w:val="both"/>
        <w:rPr>
          <w:rFonts w:ascii="Arial" w:hAnsi="Arial" w:cs="Arial"/>
        </w:rPr>
      </w:pPr>
      <w:r w:rsidRPr="004104E7">
        <w:rPr>
          <w:rStyle w:val="FootnoteReference"/>
          <w:rFonts w:ascii="Arial" w:hAnsi="Arial" w:cs="Arial"/>
        </w:rPr>
        <w:footnoteRef/>
      </w:r>
      <w:r w:rsidRPr="004104E7">
        <w:rPr>
          <w:rFonts w:ascii="Arial" w:hAnsi="Arial" w:cs="Arial"/>
        </w:rPr>
        <w:t xml:space="preserve"> See </w:t>
      </w:r>
      <w:r w:rsidRPr="004104E7">
        <w:rPr>
          <w:rFonts w:ascii="Arial" w:hAnsi="Arial" w:cs="Arial"/>
          <w:lang w:eastAsia="en-ZA"/>
        </w:rPr>
        <w:t>Wessels: </w:t>
      </w:r>
      <w:r w:rsidRPr="004104E7">
        <w:rPr>
          <w:rFonts w:ascii="Arial" w:hAnsi="Arial" w:cs="Arial"/>
          <w:i/>
          <w:iCs/>
          <w:lang w:eastAsia="en-ZA"/>
        </w:rPr>
        <w:t>The Law of Contract in South Africa</w:t>
      </w:r>
      <w:r w:rsidR="00484E79" w:rsidRPr="004104E7">
        <w:rPr>
          <w:rFonts w:ascii="Arial" w:hAnsi="Arial" w:cs="Arial"/>
          <w:lang w:eastAsia="en-ZA"/>
        </w:rPr>
        <w:t> 2 ed V</w:t>
      </w:r>
      <w:r w:rsidRPr="004104E7">
        <w:rPr>
          <w:rFonts w:ascii="Arial" w:hAnsi="Arial" w:cs="Arial"/>
          <w:lang w:eastAsia="en-ZA"/>
        </w:rPr>
        <w:t>ol 2 paras 3044 and 3049.</w:t>
      </w:r>
    </w:p>
  </w:footnote>
  <w:footnote w:id="16">
    <w:p w14:paraId="10A24AD0" w14:textId="63C608DC" w:rsidR="007357D2" w:rsidRPr="004104E7" w:rsidRDefault="007357D2" w:rsidP="001C0E01">
      <w:pPr>
        <w:pStyle w:val="FootnoteText"/>
        <w:jc w:val="both"/>
        <w:rPr>
          <w:rFonts w:ascii="Arial" w:hAnsi="Arial" w:cs="Arial"/>
          <w:u w:val="single"/>
        </w:rPr>
      </w:pPr>
      <w:r w:rsidRPr="004104E7">
        <w:rPr>
          <w:rStyle w:val="FootnoteReference"/>
          <w:rFonts w:ascii="Arial" w:hAnsi="Arial" w:cs="Arial"/>
        </w:rPr>
        <w:footnoteRef/>
      </w:r>
      <w:r w:rsidRPr="004104E7">
        <w:rPr>
          <w:rFonts w:ascii="Arial" w:hAnsi="Arial" w:cs="Arial"/>
        </w:rPr>
        <w:t xml:space="preserve"> </w:t>
      </w:r>
      <w:r w:rsidR="000A6890" w:rsidRPr="004104E7">
        <w:rPr>
          <w:rFonts w:ascii="Arial" w:hAnsi="Arial" w:cs="Arial"/>
          <w:i/>
          <w:iCs/>
          <w:lang w:eastAsia="en-ZA"/>
        </w:rPr>
        <w:t>Lewis Ltd v Norwich Union Fire Insurance Co</w:t>
      </w:r>
      <w:r w:rsidR="000A6890" w:rsidRPr="004104E7">
        <w:rPr>
          <w:rFonts w:ascii="Arial" w:hAnsi="Arial" w:cs="Arial"/>
        </w:rPr>
        <w:t xml:space="preserve"> </w:t>
      </w:r>
      <w:hyperlink r:id="rId5" w:tgtFrame="main" w:history="1">
        <w:r w:rsidRPr="004104E7">
          <w:rPr>
            <w:rStyle w:val="Hyperlink"/>
            <w:rFonts w:ascii="Arial" w:hAnsi="Arial" w:cs="Arial"/>
            <w:color w:val="auto"/>
            <w:u w:val="none"/>
          </w:rPr>
          <w:t>1916 AD 509</w:t>
        </w:r>
      </w:hyperlink>
      <w:r w:rsidRPr="004104E7">
        <w:rPr>
          <w:rStyle w:val="Hyperlink"/>
          <w:rFonts w:ascii="Arial" w:hAnsi="Arial" w:cs="Arial"/>
          <w:color w:val="auto"/>
          <w:u w:val="none"/>
        </w:rPr>
        <w:t>.</w:t>
      </w:r>
    </w:p>
  </w:footnote>
  <w:footnote w:id="17">
    <w:p w14:paraId="75D315DE" w14:textId="780AB770" w:rsidR="009E550B" w:rsidRPr="009E550B" w:rsidRDefault="009E550B">
      <w:pPr>
        <w:pStyle w:val="FootnoteText"/>
        <w:rPr>
          <w:rFonts w:ascii="Arial" w:hAnsi="Arial" w:cs="Arial"/>
        </w:rPr>
      </w:pPr>
      <w:r w:rsidRPr="009E550B">
        <w:rPr>
          <w:rStyle w:val="FootnoteReference"/>
          <w:rFonts w:ascii="Arial" w:hAnsi="Arial" w:cs="Arial"/>
        </w:rPr>
        <w:footnoteRef/>
      </w:r>
      <w:r w:rsidRPr="009E550B">
        <w:rPr>
          <w:rFonts w:ascii="Arial" w:hAnsi="Arial" w:cs="Arial"/>
        </w:rPr>
        <w:t xml:space="preserve"> </w:t>
      </w:r>
      <w:r w:rsidRPr="009E550B">
        <w:rPr>
          <w:rFonts w:ascii="Arial" w:hAnsi="Arial" w:cs="Arial"/>
          <w:color w:val="000000" w:themeColor="text1"/>
        </w:rPr>
        <w:t>The particulars of claim define “Sale Shares” as meaning the shares sold by Coral in the 2017 Petratouch Transaction.</w:t>
      </w:r>
    </w:p>
  </w:footnote>
  <w:footnote w:id="18">
    <w:p w14:paraId="3D1CD306" w14:textId="330A90B0" w:rsidR="007357D2" w:rsidRPr="006519E9" w:rsidRDefault="007357D2" w:rsidP="001C0E01">
      <w:pPr>
        <w:pStyle w:val="FootnoteText"/>
        <w:jc w:val="both"/>
        <w:rPr>
          <w:rFonts w:ascii="Arial" w:hAnsi="Arial" w:cs="Arial"/>
        </w:rPr>
      </w:pPr>
      <w:r w:rsidRPr="006519E9">
        <w:rPr>
          <w:rStyle w:val="FootnoteReference"/>
          <w:rFonts w:ascii="Arial" w:hAnsi="Arial" w:cs="Arial"/>
        </w:rPr>
        <w:footnoteRef/>
      </w:r>
      <w:r w:rsidRPr="006519E9">
        <w:rPr>
          <w:rFonts w:ascii="Arial" w:hAnsi="Arial" w:cs="Arial"/>
        </w:rPr>
        <w:t xml:space="preserve"> </w:t>
      </w:r>
      <w:r w:rsidRPr="006519E9">
        <w:rPr>
          <w:rFonts w:ascii="Arial" w:hAnsi="Arial" w:cs="Arial"/>
          <w:i/>
        </w:rPr>
        <w:t>Miller v Dannecker</w:t>
      </w:r>
      <w:r w:rsidR="00F642FD" w:rsidRPr="006519E9">
        <w:rPr>
          <w:rFonts w:ascii="Arial" w:hAnsi="Arial" w:cs="Arial"/>
        </w:rPr>
        <w:t xml:space="preserve"> 2001 (1) SA 928 (C);</w:t>
      </w:r>
      <w:r w:rsidRPr="006519E9">
        <w:rPr>
          <w:rFonts w:ascii="Arial" w:hAnsi="Arial" w:cs="Arial"/>
        </w:rPr>
        <w:t xml:space="preserve"> </w:t>
      </w:r>
      <w:r w:rsidRPr="006519E9">
        <w:rPr>
          <w:rFonts w:ascii="Arial" w:hAnsi="Arial" w:cs="Arial"/>
          <w:i/>
          <w:iCs/>
        </w:rPr>
        <w:t xml:space="preserve">Tuning Fork </w:t>
      </w:r>
      <w:r w:rsidR="00484E79" w:rsidRPr="006519E9">
        <w:rPr>
          <w:rFonts w:ascii="Arial" w:hAnsi="Arial" w:cs="Arial"/>
          <w:i/>
          <w:iCs/>
        </w:rPr>
        <w:t>(</w:t>
      </w:r>
      <w:r w:rsidRPr="006519E9">
        <w:rPr>
          <w:rFonts w:ascii="Arial" w:hAnsi="Arial" w:cs="Arial"/>
          <w:i/>
          <w:iCs/>
        </w:rPr>
        <w:t>Pty</w:t>
      </w:r>
      <w:r w:rsidR="00484E79" w:rsidRPr="006519E9">
        <w:rPr>
          <w:rFonts w:ascii="Arial" w:hAnsi="Arial" w:cs="Arial"/>
          <w:i/>
          <w:iCs/>
        </w:rPr>
        <w:t>)</w:t>
      </w:r>
      <w:r w:rsidR="00F642FD" w:rsidRPr="006519E9">
        <w:rPr>
          <w:rFonts w:ascii="Arial" w:hAnsi="Arial" w:cs="Arial"/>
          <w:i/>
          <w:iCs/>
        </w:rPr>
        <w:t xml:space="preserve"> Ltd t/a</w:t>
      </w:r>
      <w:r w:rsidRPr="006519E9">
        <w:rPr>
          <w:rFonts w:ascii="Arial" w:hAnsi="Arial" w:cs="Arial"/>
          <w:i/>
          <w:iCs/>
        </w:rPr>
        <w:t xml:space="preserve"> Balanced Audio v Greeff and </w:t>
      </w:r>
      <w:r w:rsidR="0021645C" w:rsidRPr="006519E9">
        <w:rPr>
          <w:rFonts w:ascii="Arial" w:hAnsi="Arial" w:cs="Arial"/>
          <w:i/>
          <w:iCs/>
        </w:rPr>
        <w:t>A</w:t>
      </w:r>
      <w:r w:rsidRPr="006519E9">
        <w:rPr>
          <w:rFonts w:ascii="Arial" w:hAnsi="Arial" w:cs="Arial"/>
          <w:i/>
          <w:iCs/>
        </w:rPr>
        <w:t>nother</w:t>
      </w:r>
      <w:r w:rsidRPr="006519E9">
        <w:rPr>
          <w:rFonts w:ascii="Arial" w:hAnsi="Arial" w:cs="Arial"/>
        </w:rPr>
        <w:t xml:space="preserve"> </w:t>
      </w:r>
      <w:r w:rsidR="0021645C" w:rsidRPr="006519E9">
        <w:rPr>
          <w:rFonts w:ascii="Arial" w:hAnsi="Arial" w:cs="Arial"/>
        </w:rPr>
        <w:t xml:space="preserve">[2014] ZAWCHC 78; </w:t>
      </w:r>
      <w:r w:rsidRPr="006519E9">
        <w:rPr>
          <w:rFonts w:ascii="Arial" w:hAnsi="Arial" w:cs="Arial"/>
        </w:rPr>
        <w:t xml:space="preserve">2014 (4) SA 521 (WCC) para 43 (iv). </w:t>
      </w:r>
    </w:p>
  </w:footnote>
  <w:footnote w:id="19">
    <w:p w14:paraId="15D84F45" w14:textId="287EC044" w:rsidR="007357D2" w:rsidRPr="006519E9" w:rsidRDefault="007357D2" w:rsidP="001C0E01">
      <w:pPr>
        <w:pStyle w:val="FootnoteText"/>
        <w:jc w:val="both"/>
        <w:rPr>
          <w:rFonts w:ascii="Arial" w:hAnsi="Arial" w:cs="Arial"/>
        </w:rPr>
      </w:pPr>
      <w:r w:rsidRPr="006519E9">
        <w:rPr>
          <w:rStyle w:val="FootnoteReference"/>
          <w:rFonts w:ascii="Arial" w:hAnsi="Arial" w:cs="Arial"/>
        </w:rPr>
        <w:footnoteRef/>
      </w:r>
      <w:r w:rsidRPr="006519E9">
        <w:rPr>
          <w:rFonts w:ascii="Arial" w:hAnsi="Arial" w:cs="Arial"/>
        </w:rPr>
        <w:t xml:space="preserve"> Ibid </w:t>
      </w:r>
      <w:r w:rsidR="00E05DF8" w:rsidRPr="006519E9">
        <w:rPr>
          <w:rFonts w:ascii="Arial" w:hAnsi="Arial" w:cs="Arial"/>
        </w:rPr>
        <w:t xml:space="preserve">at </w:t>
      </w:r>
      <w:r w:rsidRPr="006519E9">
        <w:rPr>
          <w:rFonts w:ascii="Arial" w:hAnsi="Arial" w:cs="Arial"/>
        </w:rPr>
        <w:t>937A-B.</w:t>
      </w:r>
    </w:p>
  </w:footnote>
  <w:footnote w:id="20">
    <w:p w14:paraId="67D0CB0D" w14:textId="76B71909" w:rsidR="002B1E4C" w:rsidRPr="006519E9" w:rsidRDefault="002B1E4C" w:rsidP="002B1E4C">
      <w:pPr>
        <w:pStyle w:val="FootnoteText"/>
        <w:jc w:val="both"/>
        <w:rPr>
          <w:rFonts w:ascii="Arial" w:hAnsi="Arial" w:cs="Arial"/>
        </w:rPr>
      </w:pPr>
      <w:r w:rsidRPr="006519E9">
        <w:rPr>
          <w:rStyle w:val="FootnoteReference"/>
          <w:rFonts w:ascii="Arial" w:hAnsi="Arial" w:cs="Arial"/>
        </w:rPr>
        <w:footnoteRef/>
      </w:r>
      <w:r w:rsidRPr="006519E9">
        <w:rPr>
          <w:rFonts w:ascii="Arial" w:hAnsi="Arial" w:cs="Arial"/>
        </w:rPr>
        <w:t xml:space="preserve"> </w:t>
      </w:r>
      <w:r w:rsidRPr="006519E9">
        <w:rPr>
          <w:rFonts w:ascii="Arial" w:hAnsi="Arial" w:cs="Arial"/>
          <w:i/>
        </w:rPr>
        <w:t xml:space="preserve">Van Zyl v Auto Commodities </w:t>
      </w:r>
      <w:r w:rsidR="006519E9" w:rsidRPr="006519E9">
        <w:rPr>
          <w:rFonts w:ascii="Arial" w:hAnsi="Arial" w:cs="Arial"/>
          <w:i/>
        </w:rPr>
        <w:t>(</w:t>
      </w:r>
      <w:r w:rsidRPr="006519E9">
        <w:rPr>
          <w:rFonts w:ascii="Arial" w:hAnsi="Arial" w:cs="Arial"/>
          <w:i/>
        </w:rPr>
        <w:t>Pty</w:t>
      </w:r>
      <w:r w:rsidR="006519E9" w:rsidRPr="006519E9">
        <w:rPr>
          <w:rFonts w:ascii="Arial" w:hAnsi="Arial" w:cs="Arial"/>
          <w:i/>
        </w:rPr>
        <w:t>)</w:t>
      </w:r>
      <w:r w:rsidRPr="006519E9">
        <w:rPr>
          <w:rFonts w:ascii="Arial" w:hAnsi="Arial" w:cs="Arial"/>
          <w:i/>
        </w:rPr>
        <w:t xml:space="preserve"> Ltd </w:t>
      </w:r>
      <w:r w:rsidRPr="006519E9">
        <w:rPr>
          <w:rFonts w:ascii="Arial" w:hAnsi="Arial" w:cs="Arial"/>
          <w:iCs/>
        </w:rPr>
        <w:t>[2021] ZASCA 67;</w:t>
      </w:r>
      <w:r w:rsidRPr="006519E9">
        <w:rPr>
          <w:rFonts w:ascii="Arial" w:hAnsi="Arial" w:cs="Arial"/>
        </w:rPr>
        <w:t xml:space="preserve"> 2021 (5) SA 171 SCA. </w:t>
      </w:r>
    </w:p>
  </w:footnote>
  <w:footnote w:id="21">
    <w:p w14:paraId="51D7C934" w14:textId="61549A13" w:rsidR="00FE3536" w:rsidRPr="006519E9" w:rsidRDefault="00FE3536" w:rsidP="001C0E01">
      <w:pPr>
        <w:pStyle w:val="FootnoteText"/>
        <w:jc w:val="both"/>
        <w:rPr>
          <w:rFonts w:ascii="Arial" w:hAnsi="Arial" w:cs="Arial"/>
          <w:lang w:val="en-US"/>
        </w:rPr>
      </w:pPr>
      <w:r w:rsidRPr="006519E9">
        <w:rPr>
          <w:rStyle w:val="FootnoteReference"/>
          <w:rFonts w:ascii="Arial" w:hAnsi="Arial" w:cs="Arial"/>
        </w:rPr>
        <w:footnoteRef/>
      </w:r>
      <w:r w:rsidRPr="006519E9">
        <w:rPr>
          <w:rFonts w:ascii="Arial" w:hAnsi="Arial" w:cs="Arial"/>
        </w:rPr>
        <w:t xml:space="preserve"> </w:t>
      </w:r>
      <w:r w:rsidRPr="006519E9">
        <w:rPr>
          <w:rFonts w:ascii="Arial" w:hAnsi="Arial" w:cs="Arial"/>
          <w:lang w:val="en-US"/>
        </w:rPr>
        <w:t>Ibid para 32.</w:t>
      </w:r>
    </w:p>
  </w:footnote>
  <w:footnote w:id="22">
    <w:p w14:paraId="6382D66B" w14:textId="268AA27C" w:rsidR="007357D2" w:rsidRPr="006519E9" w:rsidRDefault="007357D2" w:rsidP="001C0E01">
      <w:pPr>
        <w:pStyle w:val="FootnoteText"/>
        <w:jc w:val="both"/>
        <w:rPr>
          <w:rFonts w:ascii="Arial" w:hAnsi="Arial" w:cs="Arial"/>
        </w:rPr>
      </w:pPr>
      <w:r w:rsidRPr="006519E9">
        <w:rPr>
          <w:rStyle w:val="FootnoteReference"/>
          <w:rFonts w:ascii="Arial" w:hAnsi="Arial" w:cs="Arial"/>
        </w:rPr>
        <w:footnoteRef/>
      </w:r>
      <w:r w:rsidRPr="006519E9">
        <w:rPr>
          <w:rFonts w:ascii="Arial" w:hAnsi="Arial" w:cs="Arial"/>
        </w:rPr>
        <w:t xml:space="preserve"> </w:t>
      </w:r>
      <w:r w:rsidRPr="006519E9">
        <w:rPr>
          <w:rFonts w:ascii="Arial" w:hAnsi="Arial" w:cs="Arial"/>
          <w:i/>
        </w:rPr>
        <w:t>Benson v SA Mutual Life Assurance Society</w:t>
      </w:r>
      <w:r w:rsidRPr="006519E9">
        <w:rPr>
          <w:rFonts w:ascii="Arial" w:hAnsi="Arial" w:cs="Arial"/>
        </w:rPr>
        <w:t xml:space="preserve"> </w:t>
      </w:r>
      <w:r w:rsidR="003F3D63" w:rsidRPr="006519E9">
        <w:rPr>
          <w:rFonts w:ascii="Arial" w:hAnsi="Arial" w:cs="Arial"/>
        </w:rPr>
        <w:t xml:space="preserve">[1985] ZASCA 114; </w:t>
      </w:r>
      <w:r w:rsidRPr="006519E9">
        <w:rPr>
          <w:rFonts w:ascii="Arial" w:hAnsi="Arial" w:cs="Arial"/>
        </w:rPr>
        <w:t xml:space="preserve">1986 (1) SA 776 (A). </w:t>
      </w:r>
    </w:p>
  </w:footnote>
  <w:footnote w:id="23">
    <w:p w14:paraId="2D68BCCF" w14:textId="53ED04A0" w:rsidR="007357D2" w:rsidRPr="006519E9" w:rsidRDefault="007357D2" w:rsidP="001C0E01">
      <w:pPr>
        <w:pStyle w:val="FootnoteText"/>
        <w:jc w:val="both"/>
        <w:rPr>
          <w:rFonts w:ascii="Arial" w:hAnsi="Arial" w:cs="Arial"/>
        </w:rPr>
      </w:pPr>
      <w:r w:rsidRPr="006519E9">
        <w:rPr>
          <w:rStyle w:val="FootnoteReference"/>
          <w:rFonts w:ascii="Arial" w:hAnsi="Arial" w:cs="Arial"/>
        </w:rPr>
        <w:footnoteRef/>
      </w:r>
      <w:r w:rsidRPr="006519E9">
        <w:rPr>
          <w:rFonts w:ascii="Arial" w:hAnsi="Arial" w:cs="Arial"/>
        </w:rPr>
        <w:t xml:space="preserve"> </w:t>
      </w:r>
      <w:r w:rsidR="00F50FD9" w:rsidRPr="006519E9">
        <w:rPr>
          <w:rFonts w:ascii="Arial" w:hAnsi="Arial" w:cs="Arial"/>
          <w:iCs/>
        </w:rPr>
        <w:t>Ibid</w:t>
      </w:r>
      <w:r w:rsidR="00F50FD9" w:rsidRPr="006519E9">
        <w:rPr>
          <w:rFonts w:ascii="Arial" w:hAnsi="Arial" w:cs="Arial"/>
        </w:rPr>
        <w:t xml:space="preserve"> </w:t>
      </w:r>
      <w:r w:rsidR="00E05DF8" w:rsidRPr="006519E9">
        <w:rPr>
          <w:rFonts w:ascii="Arial" w:hAnsi="Arial" w:cs="Arial"/>
        </w:rPr>
        <w:t xml:space="preserve">at </w:t>
      </w:r>
      <w:r w:rsidRPr="006519E9">
        <w:rPr>
          <w:rFonts w:ascii="Arial" w:hAnsi="Arial" w:cs="Arial"/>
        </w:rPr>
        <w:t>783C.</w:t>
      </w:r>
    </w:p>
  </w:footnote>
  <w:footnote w:id="24">
    <w:p w14:paraId="2620274B" w14:textId="74653E9C" w:rsidR="007357D2" w:rsidRPr="002F252F" w:rsidRDefault="007357D2" w:rsidP="001C0E01">
      <w:pPr>
        <w:pStyle w:val="FootnoteText"/>
        <w:jc w:val="both"/>
        <w:rPr>
          <w:rFonts w:ascii="Arial" w:hAnsi="Arial" w:cs="Arial"/>
        </w:rPr>
      </w:pPr>
      <w:r w:rsidRPr="002F252F">
        <w:rPr>
          <w:rStyle w:val="FootnoteReference"/>
          <w:rFonts w:ascii="Arial" w:hAnsi="Arial" w:cs="Arial"/>
        </w:rPr>
        <w:footnoteRef/>
      </w:r>
      <w:r w:rsidRPr="002F252F">
        <w:rPr>
          <w:rFonts w:ascii="Arial" w:hAnsi="Arial" w:cs="Arial"/>
        </w:rPr>
        <w:t xml:space="preserve"> </w:t>
      </w:r>
      <w:r w:rsidR="00F50FD9" w:rsidRPr="002F252F">
        <w:rPr>
          <w:rFonts w:ascii="Arial" w:hAnsi="Arial" w:cs="Arial"/>
          <w:iCs/>
        </w:rPr>
        <w:t>Ibid</w:t>
      </w:r>
      <w:r w:rsidR="00F50FD9" w:rsidRPr="002F252F">
        <w:rPr>
          <w:rFonts w:ascii="Arial" w:hAnsi="Arial" w:cs="Arial"/>
        </w:rPr>
        <w:t xml:space="preserve"> </w:t>
      </w:r>
      <w:r w:rsidR="00E05DF8" w:rsidRPr="002F252F">
        <w:rPr>
          <w:rFonts w:ascii="Arial" w:hAnsi="Arial" w:cs="Arial"/>
        </w:rPr>
        <w:t xml:space="preserve">at </w:t>
      </w:r>
      <w:r w:rsidRPr="002F252F">
        <w:rPr>
          <w:rFonts w:ascii="Arial" w:hAnsi="Arial" w:cs="Arial"/>
        </w:rPr>
        <w:t>783 E-G.</w:t>
      </w:r>
    </w:p>
  </w:footnote>
  <w:footnote w:id="25">
    <w:p w14:paraId="3A9036C6" w14:textId="4D8D1640" w:rsidR="007357D2" w:rsidRPr="00643E88" w:rsidRDefault="007357D2" w:rsidP="007357D2">
      <w:pPr>
        <w:pStyle w:val="FootnoteText"/>
        <w:jc w:val="both"/>
        <w:rPr>
          <w:rFonts w:ascii="Arial" w:hAnsi="Arial" w:cs="Arial"/>
        </w:rPr>
      </w:pPr>
      <w:r w:rsidRPr="002F252F">
        <w:rPr>
          <w:rStyle w:val="FootnoteReference"/>
          <w:rFonts w:ascii="Arial" w:hAnsi="Arial" w:cs="Arial"/>
        </w:rPr>
        <w:footnoteRef/>
      </w:r>
      <w:r w:rsidRPr="002F252F">
        <w:rPr>
          <w:rFonts w:ascii="Arial" w:hAnsi="Arial" w:cs="Arial"/>
        </w:rPr>
        <w:t xml:space="preserve"> </w:t>
      </w:r>
      <w:r w:rsidR="00F50FD9" w:rsidRPr="002F252F">
        <w:rPr>
          <w:rFonts w:ascii="Arial" w:hAnsi="Arial" w:cs="Arial"/>
          <w:i/>
          <w:iCs/>
        </w:rPr>
        <w:t>Rayden v Hurwitz</w:t>
      </w:r>
      <w:r w:rsidR="00F50FD9" w:rsidRPr="002F252F">
        <w:rPr>
          <w:rFonts w:ascii="Arial" w:hAnsi="Arial" w:cs="Arial"/>
        </w:rPr>
        <w:t xml:space="preserve"> </w:t>
      </w:r>
      <w:r w:rsidRPr="002F252F">
        <w:rPr>
          <w:rFonts w:ascii="Arial" w:hAnsi="Arial" w:cs="Arial"/>
        </w:rPr>
        <w:t>1932 CPD 336.</w:t>
      </w:r>
    </w:p>
  </w:footnote>
  <w:footnote w:id="26">
    <w:p w14:paraId="6F9213F1" w14:textId="78F067EF" w:rsidR="007357D2" w:rsidRPr="00643E88" w:rsidRDefault="007357D2" w:rsidP="007357D2">
      <w:pPr>
        <w:pStyle w:val="FootnoteText"/>
        <w:jc w:val="both"/>
        <w:rPr>
          <w:rFonts w:ascii="Arial" w:hAnsi="Arial" w:cs="Arial"/>
        </w:rPr>
      </w:pPr>
      <w:r w:rsidRPr="00643E88">
        <w:rPr>
          <w:rStyle w:val="FootnoteReference"/>
          <w:rFonts w:ascii="Arial" w:hAnsi="Arial" w:cs="Arial"/>
        </w:rPr>
        <w:footnoteRef/>
      </w:r>
      <w:r w:rsidRPr="00643E88">
        <w:rPr>
          <w:rFonts w:ascii="Arial" w:hAnsi="Arial" w:cs="Arial"/>
        </w:rPr>
        <w:t xml:space="preserve"> </w:t>
      </w:r>
      <w:r w:rsidR="000C00A1" w:rsidRPr="00293BED">
        <w:rPr>
          <w:rFonts w:ascii="Arial" w:hAnsi="Arial" w:cs="Arial"/>
          <w:i/>
          <w:iCs/>
        </w:rPr>
        <w:t xml:space="preserve">Lufuno Mphaphuli &amp; Associates (Pty) Ltd </w:t>
      </w:r>
      <w:r w:rsidR="00FF4D1A" w:rsidRPr="00293BED">
        <w:rPr>
          <w:rFonts w:ascii="Arial" w:hAnsi="Arial" w:cs="Arial"/>
          <w:i/>
          <w:iCs/>
        </w:rPr>
        <w:t xml:space="preserve">v Andrews and Another </w:t>
      </w:r>
      <w:r w:rsidR="00FF4D1A">
        <w:rPr>
          <w:rFonts w:ascii="Arial" w:hAnsi="Arial" w:cs="Arial"/>
        </w:rPr>
        <w:t xml:space="preserve">[2009] ZACC 6; </w:t>
      </w:r>
      <w:r w:rsidR="00817FC7">
        <w:rPr>
          <w:rFonts w:ascii="Arial" w:hAnsi="Arial" w:cs="Arial"/>
        </w:rPr>
        <w:t>2009 (4) SA 529 (CC)</w:t>
      </w:r>
      <w:r w:rsidRPr="00643E88">
        <w:rPr>
          <w:rFonts w:ascii="Arial" w:hAnsi="Arial" w:cs="Arial"/>
        </w:rPr>
        <w:t>.</w:t>
      </w:r>
    </w:p>
  </w:footnote>
  <w:footnote w:id="27">
    <w:p w14:paraId="613E7D84" w14:textId="2F839659" w:rsidR="007357D2" w:rsidRPr="002F252F" w:rsidRDefault="007357D2" w:rsidP="00AB0585">
      <w:pPr>
        <w:jc w:val="both"/>
        <w:rPr>
          <w:rFonts w:ascii="Arial" w:hAnsi="Arial" w:cs="Arial"/>
          <w:iCs/>
          <w:color w:val="000000" w:themeColor="text1"/>
          <w:sz w:val="20"/>
          <w:szCs w:val="20"/>
        </w:rPr>
      </w:pPr>
      <w:r w:rsidRPr="002F252F">
        <w:rPr>
          <w:rStyle w:val="FootnoteReference"/>
          <w:rFonts w:ascii="Arial" w:hAnsi="Arial" w:cs="Arial"/>
          <w:sz w:val="20"/>
          <w:szCs w:val="20"/>
        </w:rPr>
        <w:footnoteRef/>
      </w:r>
      <w:r w:rsidRPr="002F252F">
        <w:rPr>
          <w:rFonts w:ascii="Arial" w:hAnsi="Arial" w:cs="Arial"/>
          <w:sz w:val="20"/>
          <w:szCs w:val="20"/>
        </w:rPr>
        <w:t xml:space="preserve"> </w:t>
      </w:r>
      <w:r w:rsidR="007370CB">
        <w:rPr>
          <w:rFonts w:ascii="Arial" w:hAnsi="Arial" w:cs="Arial"/>
          <w:sz w:val="20"/>
          <w:szCs w:val="20"/>
        </w:rPr>
        <w:t xml:space="preserve">Ibid para 216. </w:t>
      </w:r>
      <w:r w:rsidR="004432B2" w:rsidRPr="002F252F">
        <w:rPr>
          <w:rFonts w:ascii="Arial" w:hAnsi="Arial" w:cs="Arial"/>
          <w:sz w:val="20"/>
          <w:szCs w:val="20"/>
        </w:rPr>
        <w:t>See also</w:t>
      </w:r>
      <w:r w:rsidRPr="002F252F">
        <w:rPr>
          <w:rFonts w:ascii="Arial" w:hAnsi="Arial" w:cs="Arial"/>
          <w:color w:val="000000" w:themeColor="text1"/>
          <w:sz w:val="20"/>
          <w:szCs w:val="20"/>
        </w:rPr>
        <w:t xml:space="preserve"> </w:t>
      </w:r>
      <w:r w:rsidR="00040610" w:rsidRPr="002F252F">
        <w:rPr>
          <w:rFonts w:ascii="Arial" w:hAnsi="Arial" w:cs="Arial"/>
          <w:i/>
          <w:color w:val="000000" w:themeColor="text1"/>
          <w:sz w:val="20"/>
          <w:szCs w:val="20"/>
        </w:rPr>
        <w:t xml:space="preserve">Schoombee and Another v S </w:t>
      </w:r>
      <w:r w:rsidR="00040610" w:rsidRPr="002F252F">
        <w:rPr>
          <w:rFonts w:ascii="Arial" w:hAnsi="Arial" w:cs="Arial"/>
          <w:iCs/>
          <w:color w:val="000000" w:themeColor="text1"/>
          <w:sz w:val="20"/>
          <w:szCs w:val="20"/>
        </w:rPr>
        <w:t xml:space="preserve">[2016] ZACC 50; 2017 (2) SACR 1 (CC); 2017 (5) BCLR 572 (CC) </w:t>
      </w:r>
      <w:r w:rsidRPr="002F252F">
        <w:rPr>
          <w:rFonts w:ascii="Arial" w:hAnsi="Arial" w:cs="Arial"/>
          <w:iCs/>
          <w:sz w:val="20"/>
          <w:szCs w:val="20"/>
        </w:rPr>
        <w:t>para 25.</w:t>
      </w:r>
      <w:r w:rsidRPr="002F252F">
        <w:rPr>
          <w:rFonts w:ascii="Arial" w:hAnsi="Arial" w:cs="Arial"/>
          <w:iCs/>
          <w:color w:val="000000" w:themeColor="text1"/>
          <w:sz w:val="20"/>
          <w:szCs w:val="20"/>
        </w:rPr>
        <w:t xml:space="preserve"> </w:t>
      </w:r>
    </w:p>
  </w:footnote>
  <w:footnote w:id="28">
    <w:p w14:paraId="35621FFF" w14:textId="060E5033" w:rsidR="007357D2" w:rsidRPr="00FA186B" w:rsidRDefault="007357D2" w:rsidP="00831533">
      <w:pPr>
        <w:pStyle w:val="FootnoteText"/>
        <w:jc w:val="both"/>
        <w:rPr>
          <w:rFonts w:ascii="Arial" w:hAnsi="Arial" w:cs="Arial"/>
        </w:rPr>
      </w:pPr>
      <w:r w:rsidRPr="002F252F">
        <w:rPr>
          <w:rStyle w:val="FootnoteReference"/>
          <w:rFonts w:ascii="Arial" w:hAnsi="Arial" w:cs="Arial"/>
        </w:rPr>
        <w:footnoteRef/>
      </w:r>
      <w:r w:rsidRPr="002F252F">
        <w:rPr>
          <w:rFonts w:ascii="Arial" w:hAnsi="Arial" w:cs="Arial"/>
        </w:rPr>
        <w:t xml:space="preserve"> See </w:t>
      </w:r>
      <w:r w:rsidRPr="002F252F">
        <w:rPr>
          <w:rFonts w:ascii="Arial" w:hAnsi="Arial" w:cs="Arial"/>
          <w:i/>
        </w:rPr>
        <w:t>Barkhuizen v Napier</w:t>
      </w:r>
      <w:r w:rsidRPr="002F252F">
        <w:rPr>
          <w:rFonts w:ascii="Arial" w:hAnsi="Arial" w:cs="Arial"/>
        </w:rPr>
        <w:t xml:space="preserve"> </w:t>
      </w:r>
      <w:r w:rsidR="00FD46F6" w:rsidRPr="002F252F">
        <w:rPr>
          <w:rFonts w:ascii="Arial" w:hAnsi="Arial" w:cs="Arial"/>
        </w:rPr>
        <w:t xml:space="preserve">[2007] ZACC 5; </w:t>
      </w:r>
      <w:r w:rsidRPr="002F252F">
        <w:rPr>
          <w:rFonts w:ascii="Arial" w:hAnsi="Arial" w:cs="Arial"/>
        </w:rPr>
        <w:t>2007 (5) SA 323 CC</w:t>
      </w:r>
      <w:r w:rsidR="007370CB">
        <w:rPr>
          <w:rFonts w:ascii="Arial" w:hAnsi="Arial" w:cs="Arial"/>
        </w:rPr>
        <w:t>.</w:t>
      </w:r>
    </w:p>
  </w:footnote>
  <w:footnote w:id="29">
    <w:p w14:paraId="1E50CC31" w14:textId="1B861863" w:rsidR="007370CB" w:rsidRPr="007370CB" w:rsidRDefault="007370CB" w:rsidP="007370CB">
      <w:pPr>
        <w:pStyle w:val="FootnoteText"/>
        <w:jc w:val="both"/>
        <w:rPr>
          <w:rFonts w:ascii="Arial" w:hAnsi="Arial" w:cs="Arial"/>
        </w:rPr>
      </w:pPr>
      <w:r>
        <w:rPr>
          <w:rStyle w:val="FootnoteReference"/>
        </w:rPr>
        <w:footnoteRef/>
      </w:r>
      <w:r>
        <w:t xml:space="preserve"> </w:t>
      </w:r>
      <w:r w:rsidRPr="002F252F">
        <w:rPr>
          <w:rFonts w:ascii="Arial" w:hAnsi="Arial" w:cs="Arial"/>
          <w:i/>
        </w:rPr>
        <w:t xml:space="preserve">Beadica 231 CC and Others v Trustees for the time being of the Oregon Trust and Others </w:t>
      </w:r>
      <w:r w:rsidRPr="002F252F">
        <w:rPr>
          <w:rFonts w:ascii="Arial" w:hAnsi="Arial" w:cs="Arial"/>
          <w:iCs/>
        </w:rPr>
        <w:t>[2020] ZACC 13 (</w:t>
      </w:r>
      <w:r w:rsidRPr="002F252F">
        <w:rPr>
          <w:rFonts w:ascii="Arial" w:hAnsi="Arial" w:cs="Arial"/>
          <w:i/>
        </w:rPr>
        <w:t>Beadica</w:t>
      </w:r>
      <w:r w:rsidRPr="002F252F">
        <w:rPr>
          <w:rFonts w:ascii="Arial" w:hAnsi="Arial" w:cs="Arial"/>
          <w:iCs/>
        </w:rPr>
        <w:t>); 2020 (5)</w:t>
      </w:r>
      <w:r w:rsidRPr="00293BED">
        <w:rPr>
          <w:rFonts w:ascii="Arial" w:hAnsi="Arial" w:cs="Arial"/>
          <w:iCs/>
        </w:rPr>
        <w:t xml:space="preserve"> SA 247 CC.</w:t>
      </w:r>
    </w:p>
  </w:footnote>
  <w:footnote w:id="30">
    <w:p w14:paraId="0833B2F4" w14:textId="77777777" w:rsidR="007357D2" w:rsidRPr="00FA186B" w:rsidRDefault="007357D2"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rPr>
        <w:t xml:space="preserve"> </w:t>
      </w:r>
      <w:r w:rsidRPr="00FA186B">
        <w:rPr>
          <w:rFonts w:ascii="Arial" w:hAnsi="Arial" w:cs="Arial"/>
          <w:i/>
        </w:rPr>
        <w:t>Beadica</w:t>
      </w:r>
      <w:r w:rsidRPr="00FA186B">
        <w:rPr>
          <w:rFonts w:ascii="Arial" w:hAnsi="Arial" w:cs="Arial"/>
        </w:rPr>
        <w:t xml:space="preserve"> para 80.</w:t>
      </w:r>
    </w:p>
  </w:footnote>
  <w:footnote w:id="31">
    <w:p w14:paraId="168732EA" w14:textId="77777777" w:rsidR="00817FC7" w:rsidRPr="00FA186B" w:rsidRDefault="00817FC7"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rPr>
        <w:t xml:space="preserve"> </w:t>
      </w:r>
      <w:r w:rsidRPr="00293BED">
        <w:rPr>
          <w:rFonts w:ascii="Arial" w:hAnsi="Arial" w:cs="Arial"/>
          <w:iCs/>
        </w:rPr>
        <w:t>Ibid</w:t>
      </w:r>
      <w:r w:rsidRPr="00FA186B">
        <w:rPr>
          <w:rFonts w:ascii="Arial" w:hAnsi="Arial" w:cs="Arial"/>
        </w:rPr>
        <w:t xml:space="preserve"> paras 57 and 87. </w:t>
      </w:r>
    </w:p>
  </w:footnote>
  <w:footnote w:id="32">
    <w:p w14:paraId="4264E0DB" w14:textId="4E53D125" w:rsidR="007357D2" w:rsidRPr="00B25120" w:rsidRDefault="007357D2" w:rsidP="001C0E01">
      <w:pPr>
        <w:pStyle w:val="FootnoteText"/>
        <w:jc w:val="both"/>
        <w:rPr>
          <w:rFonts w:ascii="Arial" w:hAnsi="Arial" w:cs="Arial"/>
        </w:rPr>
      </w:pPr>
      <w:r w:rsidRPr="00FA186B">
        <w:rPr>
          <w:rStyle w:val="FootnoteReference"/>
          <w:rFonts w:ascii="Arial" w:hAnsi="Arial" w:cs="Arial"/>
        </w:rPr>
        <w:footnoteRef/>
      </w:r>
      <w:r w:rsidRPr="00B25120">
        <w:rPr>
          <w:rFonts w:ascii="Arial" w:hAnsi="Arial" w:cs="Arial"/>
        </w:rPr>
        <w:t xml:space="preserve"> </w:t>
      </w:r>
      <w:r w:rsidR="00691DAE" w:rsidRPr="00293BED">
        <w:rPr>
          <w:rFonts w:ascii="Arial" w:hAnsi="Arial" w:cs="Arial"/>
          <w:iCs/>
        </w:rPr>
        <w:t>Ibid</w:t>
      </w:r>
      <w:r w:rsidR="00691DAE" w:rsidRPr="00B25120">
        <w:rPr>
          <w:rFonts w:ascii="Arial" w:hAnsi="Arial" w:cs="Arial"/>
        </w:rPr>
        <w:t xml:space="preserve"> </w:t>
      </w:r>
      <w:r w:rsidRPr="00B25120">
        <w:rPr>
          <w:rFonts w:ascii="Arial" w:hAnsi="Arial" w:cs="Arial"/>
        </w:rPr>
        <w:t>para 71.</w:t>
      </w:r>
    </w:p>
  </w:footnote>
  <w:footnote w:id="33">
    <w:p w14:paraId="7A9271C7" w14:textId="62B19EBB" w:rsidR="007357D2" w:rsidRPr="00FA186B" w:rsidRDefault="007357D2" w:rsidP="001C0E01">
      <w:pPr>
        <w:pStyle w:val="FootnoteText"/>
        <w:jc w:val="both"/>
        <w:rPr>
          <w:rFonts w:ascii="Arial" w:hAnsi="Arial" w:cs="Arial"/>
        </w:rPr>
      </w:pPr>
      <w:r w:rsidRPr="00F53E33">
        <w:rPr>
          <w:rStyle w:val="FootnoteReference"/>
          <w:rFonts w:ascii="Arial" w:hAnsi="Arial" w:cs="Arial"/>
        </w:rPr>
        <w:footnoteRef/>
      </w:r>
      <w:r w:rsidRPr="00F53E33">
        <w:rPr>
          <w:rFonts w:ascii="Arial" w:hAnsi="Arial" w:cs="Arial"/>
        </w:rPr>
        <w:t xml:space="preserve"> </w:t>
      </w:r>
      <w:r w:rsidRPr="00F53E33">
        <w:rPr>
          <w:rFonts w:ascii="Arial" w:hAnsi="Arial" w:cs="Arial"/>
          <w:i/>
        </w:rPr>
        <w:t>AB v Pridwin Prepa</w:t>
      </w:r>
      <w:r w:rsidR="00E75C47" w:rsidRPr="00F53E33">
        <w:rPr>
          <w:rFonts w:ascii="Arial" w:hAnsi="Arial" w:cs="Arial"/>
          <w:i/>
        </w:rPr>
        <w:t>ra</w:t>
      </w:r>
      <w:r w:rsidRPr="00F53E33">
        <w:rPr>
          <w:rFonts w:ascii="Arial" w:hAnsi="Arial" w:cs="Arial"/>
          <w:i/>
        </w:rPr>
        <w:t>tory School</w:t>
      </w:r>
      <w:r w:rsidRPr="00F53E33">
        <w:rPr>
          <w:rFonts w:ascii="Arial" w:hAnsi="Arial" w:cs="Arial"/>
        </w:rPr>
        <w:t xml:space="preserve"> </w:t>
      </w:r>
      <w:r w:rsidR="003216A4" w:rsidRPr="00F53E33">
        <w:rPr>
          <w:rFonts w:ascii="Arial" w:hAnsi="Arial" w:cs="Arial"/>
        </w:rPr>
        <w:t xml:space="preserve">[2018] ZASCA 150; </w:t>
      </w:r>
      <w:r w:rsidR="00F53E33">
        <w:rPr>
          <w:rFonts w:ascii="Arial" w:hAnsi="Arial" w:cs="Arial"/>
        </w:rPr>
        <w:t>2019 (1) SA 327 (SCA)</w:t>
      </w:r>
      <w:r w:rsidR="00CB3486" w:rsidRPr="00F53E33">
        <w:rPr>
          <w:rFonts w:ascii="Arial" w:hAnsi="Arial" w:cs="Arial"/>
        </w:rPr>
        <w:t xml:space="preserve"> </w:t>
      </w:r>
      <w:r w:rsidRPr="00F53E33">
        <w:rPr>
          <w:rFonts w:ascii="Arial" w:hAnsi="Arial" w:cs="Arial"/>
        </w:rPr>
        <w:t>para 27.</w:t>
      </w:r>
    </w:p>
  </w:footnote>
  <w:footnote w:id="34">
    <w:p w14:paraId="5F23DE4B" w14:textId="5BD0A10C" w:rsidR="007357D2" w:rsidRPr="00FA186B" w:rsidRDefault="007357D2"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rPr>
        <w:t xml:space="preserve"> </w:t>
      </w:r>
      <w:r w:rsidR="003216A4" w:rsidRPr="00293BED">
        <w:rPr>
          <w:rFonts w:ascii="Arial" w:hAnsi="Arial" w:cs="Arial"/>
          <w:iCs/>
        </w:rPr>
        <w:t xml:space="preserve">Footnote </w:t>
      </w:r>
      <w:r w:rsidR="008A274F">
        <w:rPr>
          <w:rFonts w:ascii="Arial" w:hAnsi="Arial" w:cs="Arial"/>
          <w:iCs/>
        </w:rPr>
        <w:t>28</w:t>
      </w:r>
      <w:r w:rsidR="003216A4" w:rsidRPr="00FA186B">
        <w:rPr>
          <w:rFonts w:ascii="Arial" w:hAnsi="Arial" w:cs="Arial"/>
        </w:rPr>
        <w:t xml:space="preserve"> </w:t>
      </w:r>
      <w:r w:rsidRPr="00FA186B">
        <w:rPr>
          <w:rFonts w:ascii="Arial" w:hAnsi="Arial" w:cs="Arial"/>
        </w:rPr>
        <w:t>paras 88-90.</w:t>
      </w:r>
    </w:p>
  </w:footnote>
  <w:footnote w:id="35">
    <w:p w14:paraId="7E13DEF3" w14:textId="5C10B0F9" w:rsidR="007357D2" w:rsidRPr="00FA186B" w:rsidRDefault="007357D2"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i/>
        </w:rPr>
        <w:t xml:space="preserve"> </w:t>
      </w:r>
      <w:r w:rsidR="003216A4" w:rsidRPr="00293BED">
        <w:rPr>
          <w:rFonts w:ascii="Arial" w:hAnsi="Arial" w:cs="Arial"/>
          <w:iCs/>
        </w:rPr>
        <w:t>Ibid</w:t>
      </w:r>
      <w:r w:rsidR="003216A4" w:rsidRPr="00FA186B">
        <w:rPr>
          <w:rFonts w:ascii="Arial" w:hAnsi="Arial" w:cs="Arial"/>
        </w:rPr>
        <w:t xml:space="preserve"> </w:t>
      </w:r>
      <w:r w:rsidRPr="00FA186B">
        <w:rPr>
          <w:rFonts w:ascii="Arial" w:hAnsi="Arial" w:cs="Arial"/>
        </w:rPr>
        <w:t>para 89.</w:t>
      </w:r>
    </w:p>
  </w:footnote>
  <w:footnote w:id="36">
    <w:p w14:paraId="0A04F639" w14:textId="77777777" w:rsidR="00243510" w:rsidRPr="00FA186B" w:rsidRDefault="00243510"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rPr>
        <w:t xml:space="preserve"> </w:t>
      </w:r>
      <w:r w:rsidRPr="00FA186B">
        <w:rPr>
          <w:rFonts w:ascii="Arial" w:hAnsi="Arial" w:cs="Arial"/>
          <w:i/>
        </w:rPr>
        <w:t>Barkhuizen v Napier</w:t>
      </w:r>
      <w:r>
        <w:rPr>
          <w:rFonts w:ascii="Arial" w:hAnsi="Arial" w:cs="Arial"/>
          <w:i/>
        </w:rPr>
        <w:t xml:space="preserve"> </w:t>
      </w:r>
      <w:r>
        <w:rPr>
          <w:rFonts w:ascii="Arial" w:hAnsi="Arial" w:cs="Arial"/>
          <w:iCs/>
        </w:rPr>
        <w:t>[2007] ZACC 5;</w:t>
      </w:r>
      <w:r w:rsidRPr="00FA186B">
        <w:rPr>
          <w:rFonts w:ascii="Arial" w:hAnsi="Arial" w:cs="Arial"/>
        </w:rPr>
        <w:t xml:space="preserve"> 2007 (5) SA 323 CC</w:t>
      </w:r>
      <w:r>
        <w:rPr>
          <w:rFonts w:ascii="Arial" w:hAnsi="Arial" w:cs="Arial"/>
        </w:rPr>
        <w:t xml:space="preserve"> (</w:t>
      </w:r>
      <w:r>
        <w:rPr>
          <w:rFonts w:ascii="Arial" w:hAnsi="Arial" w:cs="Arial"/>
          <w:i/>
          <w:iCs/>
        </w:rPr>
        <w:t>Barkhuizen</w:t>
      </w:r>
      <w:r>
        <w:rPr>
          <w:rFonts w:ascii="Arial" w:hAnsi="Arial" w:cs="Arial"/>
        </w:rPr>
        <w:t>)</w:t>
      </w:r>
      <w:r w:rsidRPr="00FA186B">
        <w:rPr>
          <w:rFonts w:ascii="Arial" w:hAnsi="Arial" w:cs="Arial"/>
        </w:rPr>
        <w:t>.</w:t>
      </w:r>
    </w:p>
  </w:footnote>
  <w:footnote w:id="37">
    <w:p w14:paraId="7B669CEE" w14:textId="77777777" w:rsidR="00243510" w:rsidRPr="00FA186B" w:rsidRDefault="00243510" w:rsidP="001C0E01">
      <w:pPr>
        <w:pStyle w:val="FootnoteText"/>
        <w:jc w:val="both"/>
        <w:rPr>
          <w:rFonts w:ascii="Arial" w:hAnsi="Arial" w:cs="Arial"/>
        </w:rPr>
      </w:pPr>
      <w:r w:rsidRPr="00FA186B">
        <w:rPr>
          <w:rStyle w:val="FootnoteReference"/>
          <w:rFonts w:ascii="Arial" w:hAnsi="Arial" w:cs="Arial"/>
        </w:rPr>
        <w:footnoteRef/>
      </w:r>
      <w:r w:rsidRPr="00FA186B">
        <w:rPr>
          <w:rFonts w:ascii="Arial" w:hAnsi="Arial" w:cs="Arial"/>
        </w:rPr>
        <w:t xml:space="preserve"> </w:t>
      </w:r>
      <w:r w:rsidRPr="00FA186B">
        <w:rPr>
          <w:rFonts w:ascii="Arial" w:hAnsi="Arial" w:cs="Arial"/>
          <w:i/>
        </w:rPr>
        <w:t>Schierhout v Minister of Justice</w:t>
      </w:r>
      <w:r w:rsidRPr="00FA186B">
        <w:rPr>
          <w:rFonts w:ascii="Arial" w:hAnsi="Arial" w:cs="Arial"/>
        </w:rPr>
        <w:t xml:space="preserve"> 1926 AD 99.</w:t>
      </w:r>
    </w:p>
  </w:footnote>
  <w:footnote w:id="38">
    <w:p w14:paraId="5B5D0C35" w14:textId="77777777" w:rsidR="007357D2" w:rsidRPr="00E40D77" w:rsidRDefault="007357D2" w:rsidP="007357D2">
      <w:pPr>
        <w:pStyle w:val="FootnoteText"/>
      </w:pPr>
      <w:r w:rsidRPr="00FA186B">
        <w:rPr>
          <w:rStyle w:val="FootnoteReference"/>
          <w:rFonts w:ascii="Arial" w:hAnsi="Arial" w:cs="Arial"/>
        </w:rPr>
        <w:footnoteRef/>
      </w:r>
      <w:r w:rsidRPr="00FA186B">
        <w:rPr>
          <w:rFonts w:ascii="Arial" w:hAnsi="Arial" w:cs="Arial"/>
        </w:rPr>
        <w:t xml:space="preserve"> </w:t>
      </w:r>
      <w:r w:rsidRPr="00FA186B">
        <w:rPr>
          <w:rFonts w:ascii="Arial" w:hAnsi="Arial" w:cs="Arial"/>
          <w:i/>
        </w:rPr>
        <w:t>Barkhuizen</w:t>
      </w:r>
      <w:r w:rsidRPr="00E40D77">
        <w:rPr>
          <w:rFonts w:ascii="Arial" w:hAnsi="Arial" w:cs="Arial"/>
        </w:rPr>
        <w:t xml:space="preserve"> para 58 and </w:t>
      </w:r>
      <w:r w:rsidRPr="00E40D77">
        <w:rPr>
          <w:rFonts w:ascii="Arial" w:hAnsi="Arial" w:cs="Arial"/>
          <w:i/>
        </w:rPr>
        <w:t>Pridwin</w:t>
      </w:r>
      <w:r w:rsidRPr="00E40D77">
        <w:rPr>
          <w:rFonts w:ascii="Arial" w:hAnsi="Arial" w:cs="Arial"/>
        </w:rPr>
        <w:t xml:space="preserve"> para 27 (iv).</w:t>
      </w:r>
    </w:p>
  </w:footnote>
  <w:footnote w:id="39">
    <w:p w14:paraId="4DCE9E3A" w14:textId="77777777" w:rsidR="007357D2" w:rsidRPr="00275647" w:rsidRDefault="007357D2" w:rsidP="0019166C">
      <w:pPr>
        <w:pStyle w:val="FootnoteText"/>
        <w:rPr>
          <w:rFonts w:ascii="Arial" w:hAnsi="Arial" w:cs="Arial"/>
        </w:rPr>
      </w:pPr>
      <w:r w:rsidRPr="00275647">
        <w:rPr>
          <w:rStyle w:val="FootnoteReference"/>
          <w:rFonts w:ascii="Arial" w:hAnsi="Arial" w:cs="Arial"/>
        </w:rPr>
        <w:footnoteRef/>
      </w:r>
      <w:r w:rsidRPr="00275647">
        <w:rPr>
          <w:rFonts w:ascii="Arial" w:hAnsi="Arial" w:cs="Arial"/>
          <w:i/>
        </w:rPr>
        <w:t xml:space="preserve"> Beadica</w:t>
      </w:r>
      <w:r w:rsidRPr="00275647">
        <w:rPr>
          <w:rFonts w:ascii="Arial" w:hAnsi="Arial" w:cs="Arial"/>
        </w:rPr>
        <w:t xml:space="preserve"> para 101.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A54B3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A54B38" w:rsidRDefault="00A54B3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1BCC151A" w:rsidR="00A54B3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025">
      <w:rPr>
        <w:rStyle w:val="PageNumber"/>
        <w:noProof/>
      </w:rPr>
      <w:t>22</w:t>
    </w:r>
    <w:r>
      <w:rPr>
        <w:rStyle w:val="PageNumber"/>
      </w:rPr>
      <w:fldChar w:fldCharType="end"/>
    </w:r>
  </w:p>
  <w:p w14:paraId="0B7E1CB3" w14:textId="77777777" w:rsidR="00A54B38" w:rsidRDefault="00A54B3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4BE"/>
    <w:multiLevelType w:val="hybridMultilevel"/>
    <w:tmpl w:val="3CDAC836"/>
    <w:lvl w:ilvl="0" w:tplc="936E87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5EB4"/>
    <w:multiLevelType w:val="hybridMultilevel"/>
    <w:tmpl w:val="E8FA7B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F6304D"/>
    <w:multiLevelType w:val="hybridMultilevel"/>
    <w:tmpl w:val="E034E1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F21E23"/>
    <w:multiLevelType w:val="hybridMultilevel"/>
    <w:tmpl w:val="E29C1F7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6C0EC5"/>
    <w:multiLevelType w:val="hybridMultilevel"/>
    <w:tmpl w:val="529C8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1500C3"/>
    <w:multiLevelType w:val="hybridMultilevel"/>
    <w:tmpl w:val="25081B54"/>
    <w:lvl w:ilvl="0" w:tplc="AC92C7A8">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C732068"/>
    <w:multiLevelType w:val="hybridMultilevel"/>
    <w:tmpl w:val="ECF897F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CD65C1"/>
    <w:multiLevelType w:val="hybridMultilevel"/>
    <w:tmpl w:val="3558D9A4"/>
    <w:lvl w:ilvl="0" w:tplc="E0ACE83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7"/>
  </w:num>
  <w:num w:numId="6">
    <w:abstractNumId w:val="5"/>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021C6"/>
    <w:rsid w:val="00016F89"/>
    <w:rsid w:val="00024FE9"/>
    <w:rsid w:val="000332A1"/>
    <w:rsid w:val="00033D80"/>
    <w:rsid w:val="00035250"/>
    <w:rsid w:val="00040610"/>
    <w:rsid w:val="00054ABF"/>
    <w:rsid w:val="000705B2"/>
    <w:rsid w:val="0008065C"/>
    <w:rsid w:val="000828ED"/>
    <w:rsid w:val="0008659A"/>
    <w:rsid w:val="00093030"/>
    <w:rsid w:val="0009485D"/>
    <w:rsid w:val="000A0B6C"/>
    <w:rsid w:val="000A1D43"/>
    <w:rsid w:val="000A645F"/>
    <w:rsid w:val="000A6890"/>
    <w:rsid w:val="000B6B65"/>
    <w:rsid w:val="000C00A1"/>
    <w:rsid w:val="000C6FC7"/>
    <w:rsid w:val="000D6A6E"/>
    <w:rsid w:val="000F2E7D"/>
    <w:rsid w:val="001021C2"/>
    <w:rsid w:val="00106845"/>
    <w:rsid w:val="00110C56"/>
    <w:rsid w:val="00112592"/>
    <w:rsid w:val="00115F0D"/>
    <w:rsid w:val="00134CB6"/>
    <w:rsid w:val="00137389"/>
    <w:rsid w:val="00167BAF"/>
    <w:rsid w:val="0017338F"/>
    <w:rsid w:val="00174122"/>
    <w:rsid w:val="00185035"/>
    <w:rsid w:val="00185357"/>
    <w:rsid w:val="0019166C"/>
    <w:rsid w:val="001961A8"/>
    <w:rsid w:val="001A3F98"/>
    <w:rsid w:val="001C0E01"/>
    <w:rsid w:val="001E0853"/>
    <w:rsid w:val="001F3C29"/>
    <w:rsid w:val="001F5117"/>
    <w:rsid w:val="00210C36"/>
    <w:rsid w:val="00212A71"/>
    <w:rsid w:val="0021645C"/>
    <w:rsid w:val="00222B1E"/>
    <w:rsid w:val="00224EAE"/>
    <w:rsid w:val="00231494"/>
    <w:rsid w:val="00243510"/>
    <w:rsid w:val="00256154"/>
    <w:rsid w:val="002625CE"/>
    <w:rsid w:val="002675C5"/>
    <w:rsid w:val="00281125"/>
    <w:rsid w:val="002872CD"/>
    <w:rsid w:val="00293BED"/>
    <w:rsid w:val="00294F05"/>
    <w:rsid w:val="002A593F"/>
    <w:rsid w:val="002A5B5B"/>
    <w:rsid w:val="002B1E4C"/>
    <w:rsid w:val="002C71FA"/>
    <w:rsid w:val="002E0A44"/>
    <w:rsid w:val="002F252F"/>
    <w:rsid w:val="00302FCE"/>
    <w:rsid w:val="00317E59"/>
    <w:rsid w:val="003216A4"/>
    <w:rsid w:val="00326B35"/>
    <w:rsid w:val="003279B6"/>
    <w:rsid w:val="003422BA"/>
    <w:rsid w:val="00363D02"/>
    <w:rsid w:val="003664C4"/>
    <w:rsid w:val="00367C5A"/>
    <w:rsid w:val="0038530B"/>
    <w:rsid w:val="003856DA"/>
    <w:rsid w:val="003A1689"/>
    <w:rsid w:val="003A3BE9"/>
    <w:rsid w:val="003C0D25"/>
    <w:rsid w:val="003C2325"/>
    <w:rsid w:val="003C3865"/>
    <w:rsid w:val="003E346F"/>
    <w:rsid w:val="003E464E"/>
    <w:rsid w:val="003E7999"/>
    <w:rsid w:val="003F2A03"/>
    <w:rsid w:val="003F3D63"/>
    <w:rsid w:val="00401921"/>
    <w:rsid w:val="00403ED1"/>
    <w:rsid w:val="004104E7"/>
    <w:rsid w:val="00422D38"/>
    <w:rsid w:val="00426E70"/>
    <w:rsid w:val="004432B2"/>
    <w:rsid w:val="00455415"/>
    <w:rsid w:val="00455A80"/>
    <w:rsid w:val="004638E8"/>
    <w:rsid w:val="004667E3"/>
    <w:rsid w:val="0048217E"/>
    <w:rsid w:val="004831B7"/>
    <w:rsid w:val="00484E79"/>
    <w:rsid w:val="00497535"/>
    <w:rsid w:val="004A3B4D"/>
    <w:rsid w:val="004A431B"/>
    <w:rsid w:val="004A4773"/>
    <w:rsid w:val="004C70EA"/>
    <w:rsid w:val="004F7156"/>
    <w:rsid w:val="005077B9"/>
    <w:rsid w:val="00514DED"/>
    <w:rsid w:val="00524D43"/>
    <w:rsid w:val="00524D54"/>
    <w:rsid w:val="005304C3"/>
    <w:rsid w:val="005539BD"/>
    <w:rsid w:val="00555B60"/>
    <w:rsid w:val="00561064"/>
    <w:rsid w:val="005B3E17"/>
    <w:rsid w:val="005E0D7B"/>
    <w:rsid w:val="005E17F7"/>
    <w:rsid w:val="005F2A0E"/>
    <w:rsid w:val="005F3BFD"/>
    <w:rsid w:val="00600226"/>
    <w:rsid w:val="00603F22"/>
    <w:rsid w:val="00606950"/>
    <w:rsid w:val="00612A13"/>
    <w:rsid w:val="00613025"/>
    <w:rsid w:val="006519E9"/>
    <w:rsid w:val="00654822"/>
    <w:rsid w:val="00657989"/>
    <w:rsid w:val="006711C7"/>
    <w:rsid w:val="00671DBF"/>
    <w:rsid w:val="0068118C"/>
    <w:rsid w:val="00691DAE"/>
    <w:rsid w:val="006D48F6"/>
    <w:rsid w:val="006F4B26"/>
    <w:rsid w:val="007029BE"/>
    <w:rsid w:val="0071293A"/>
    <w:rsid w:val="0072114F"/>
    <w:rsid w:val="00723FFD"/>
    <w:rsid w:val="0072495C"/>
    <w:rsid w:val="00725DBC"/>
    <w:rsid w:val="007263C1"/>
    <w:rsid w:val="007357D2"/>
    <w:rsid w:val="007370CB"/>
    <w:rsid w:val="0075146C"/>
    <w:rsid w:val="007514B9"/>
    <w:rsid w:val="007742B8"/>
    <w:rsid w:val="007E58BD"/>
    <w:rsid w:val="007F7899"/>
    <w:rsid w:val="0080170C"/>
    <w:rsid w:val="0080441B"/>
    <w:rsid w:val="00806986"/>
    <w:rsid w:val="00817FC7"/>
    <w:rsid w:val="00827F1A"/>
    <w:rsid w:val="00831533"/>
    <w:rsid w:val="00834092"/>
    <w:rsid w:val="008415D6"/>
    <w:rsid w:val="00842C8B"/>
    <w:rsid w:val="00844254"/>
    <w:rsid w:val="00864464"/>
    <w:rsid w:val="0086536A"/>
    <w:rsid w:val="00872F68"/>
    <w:rsid w:val="0087518F"/>
    <w:rsid w:val="00882505"/>
    <w:rsid w:val="00891D75"/>
    <w:rsid w:val="0089283C"/>
    <w:rsid w:val="008A274F"/>
    <w:rsid w:val="008A51B9"/>
    <w:rsid w:val="008A69D4"/>
    <w:rsid w:val="008B2698"/>
    <w:rsid w:val="008F7AD6"/>
    <w:rsid w:val="009068C9"/>
    <w:rsid w:val="00911A10"/>
    <w:rsid w:val="0091378A"/>
    <w:rsid w:val="009162E3"/>
    <w:rsid w:val="0091682C"/>
    <w:rsid w:val="00920343"/>
    <w:rsid w:val="00941E90"/>
    <w:rsid w:val="009629A4"/>
    <w:rsid w:val="00972C1C"/>
    <w:rsid w:val="009845BE"/>
    <w:rsid w:val="00993964"/>
    <w:rsid w:val="009B468E"/>
    <w:rsid w:val="009B5BDF"/>
    <w:rsid w:val="009C2ECE"/>
    <w:rsid w:val="009C3500"/>
    <w:rsid w:val="009C609B"/>
    <w:rsid w:val="009D1CCE"/>
    <w:rsid w:val="009D43AB"/>
    <w:rsid w:val="009D654C"/>
    <w:rsid w:val="009E1C1B"/>
    <w:rsid w:val="009E411B"/>
    <w:rsid w:val="009E550B"/>
    <w:rsid w:val="00A253FE"/>
    <w:rsid w:val="00A25491"/>
    <w:rsid w:val="00A31D2B"/>
    <w:rsid w:val="00A50053"/>
    <w:rsid w:val="00A50BBD"/>
    <w:rsid w:val="00A54B38"/>
    <w:rsid w:val="00A82468"/>
    <w:rsid w:val="00AB0585"/>
    <w:rsid w:val="00AB3870"/>
    <w:rsid w:val="00AC68D0"/>
    <w:rsid w:val="00AD306F"/>
    <w:rsid w:val="00AE52E9"/>
    <w:rsid w:val="00AE739B"/>
    <w:rsid w:val="00AF0DEC"/>
    <w:rsid w:val="00AF4737"/>
    <w:rsid w:val="00B038D9"/>
    <w:rsid w:val="00B32821"/>
    <w:rsid w:val="00B433BE"/>
    <w:rsid w:val="00B548D9"/>
    <w:rsid w:val="00B56B1A"/>
    <w:rsid w:val="00B6495B"/>
    <w:rsid w:val="00B663C7"/>
    <w:rsid w:val="00B77C36"/>
    <w:rsid w:val="00B808D9"/>
    <w:rsid w:val="00B81805"/>
    <w:rsid w:val="00B932DF"/>
    <w:rsid w:val="00B967F5"/>
    <w:rsid w:val="00B96EAD"/>
    <w:rsid w:val="00BA1262"/>
    <w:rsid w:val="00BB3C13"/>
    <w:rsid w:val="00BC59E7"/>
    <w:rsid w:val="00BD44C7"/>
    <w:rsid w:val="00C02CDC"/>
    <w:rsid w:val="00C03655"/>
    <w:rsid w:val="00C04945"/>
    <w:rsid w:val="00C23854"/>
    <w:rsid w:val="00C2515A"/>
    <w:rsid w:val="00C30F28"/>
    <w:rsid w:val="00C350B6"/>
    <w:rsid w:val="00C43D99"/>
    <w:rsid w:val="00C441AF"/>
    <w:rsid w:val="00C53CD2"/>
    <w:rsid w:val="00C55848"/>
    <w:rsid w:val="00C57B10"/>
    <w:rsid w:val="00C95C39"/>
    <w:rsid w:val="00C96B6A"/>
    <w:rsid w:val="00CA49BB"/>
    <w:rsid w:val="00CB3486"/>
    <w:rsid w:val="00CB3D6F"/>
    <w:rsid w:val="00CB7FF4"/>
    <w:rsid w:val="00CC70A8"/>
    <w:rsid w:val="00CD6A09"/>
    <w:rsid w:val="00CF3EF0"/>
    <w:rsid w:val="00CF5B1F"/>
    <w:rsid w:val="00D07217"/>
    <w:rsid w:val="00D11C7C"/>
    <w:rsid w:val="00D12687"/>
    <w:rsid w:val="00D51307"/>
    <w:rsid w:val="00D617EA"/>
    <w:rsid w:val="00D62574"/>
    <w:rsid w:val="00D70A62"/>
    <w:rsid w:val="00D72474"/>
    <w:rsid w:val="00D765F2"/>
    <w:rsid w:val="00D9395A"/>
    <w:rsid w:val="00DA6E0F"/>
    <w:rsid w:val="00DB415F"/>
    <w:rsid w:val="00DC1BDF"/>
    <w:rsid w:val="00DC228D"/>
    <w:rsid w:val="00DE7078"/>
    <w:rsid w:val="00DF0AA0"/>
    <w:rsid w:val="00DF66BC"/>
    <w:rsid w:val="00E05DF8"/>
    <w:rsid w:val="00E12C0B"/>
    <w:rsid w:val="00E24CCE"/>
    <w:rsid w:val="00E279E3"/>
    <w:rsid w:val="00E27CE0"/>
    <w:rsid w:val="00E3508D"/>
    <w:rsid w:val="00E35B7D"/>
    <w:rsid w:val="00E46B30"/>
    <w:rsid w:val="00E533A7"/>
    <w:rsid w:val="00E535B9"/>
    <w:rsid w:val="00E62338"/>
    <w:rsid w:val="00E72F9D"/>
    <w:rsid w:val="00E75C47"/>
    <w:rsid w:val="00E865DA"/>
    <w:rsid w:val="00E86763"/>
    <w:rsid w:val="00E86F00"/>
    <w:rsid w:val="00E87869"/>
    <w:rsid w:val="00E943A8"/>
    <w:rsid w:val="00E94EA9"/>
    <w:rsid w:val="00EA2712"/>
    <w:rsid w:val="00EA3914"/>
    <w:rsid w:val="00EA69C9"/>
    <w:rsid w:val="00EB4AB6"/>
    <w:rsid w:val="00EE384E"/>
    <w:rsid w:val="00F0353B"/>
    <w:rsid w:val="00F178EE"/>
    <w:rsid w:val="00F44EBE"/>
    <w:rsid w:val="00F50FD9"/>
    <w:rsid w:val="00F53E33"/>
    <w:rsid w:val="00F54904"/>
    <w:rsid w:val="00F642FD"/>
    <w:rsid w:val="00F73EE7"/>
    <w:rsid w:val="00F76E37"/>
    <w:rsid w:val="00F814AD"/>
    <w:rsid w:val="00FA351B"/>
    <w:rsid w:val="00FB4852"/>
    <w:rsid w:val="00FD1FCA"/>
    <w:rsid w:val="00FD46F6"/>
    <w:rsid w:val="00FD6903"/>
    <w:rsid w:val="00FE21B5"/>
    <w:rsid w:val="00FE2ABB"/>
    <w:rsid w:val="00FE3536"/>
    <w:rsid w:val="00FE681D"/>
    <w:rsid w:val="00FF4B05"/>
    <w:rsid w:val="00FF4D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1CF"/>
  <w15:chartTrackingRefBased/>
  <w15:docId w15:val="{E993CF54-80A6-472E-BB61-230E0A5C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rsid w:val="00093030"/>
    <w:pPr>
      <w:tabs>
        <w:tab w:val="center" w:pos="4153"/>
        <w:tab w:val="right" w:pos="8306"/>
      </w:tabs>
    </w:pPr>
  </w:style>
  <w:style w:type="character" w:customStyle="1" w:styleId="HeaderChar">
    <w:name w:val="Header Char"/>
    <w:basedOn w:val="DefaultParagraphFont"/>
    <w:link w:val="Header"/>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385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DA"/>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7357D2"/>
    <w:rPr>
      <w:vertAlign w:val="superscript"/>
    </w:rPr>
  </w:style>
  <w:style w:type="paragraph" w:customStyle="1" w:styleId="western">
    <w:name w:val="western"/>
    <w:basedOn w:val="Normal"/>
    <w:rsid w:val="007357D2"/>
    <w:pPr>
      <w:spacing w:before="100" w:beforeAutospacing="1" w:after="100" w:afterAutospacing="1"/>
    </w:pPr>
    <w:rPr>
      <w:lang w:val="en-ZA" w:eastAsia="en-ZA"/>
    </w:rPr>
  </w:style>
  <w:style w:type="character" w:styleId="Hyperlink">
    <w:name w:val="Hyperlink"/>
    <w:basedOn w:val="DefaultParagraphFont"/>
    <w:uiPriority w:val="99"/>
    <w:semiHidden/>
    <w:unhideWhenUsed/>
    <w:rsid w:val="007357D2"/>
    <w:rPr>
      <w:color w:val="0000FF"/>
      <w:u w:val="single"/>
    </w:rPr>
  </w:style>
  <w:style w:type="character" w:styleId="CommentReference">
    <w:name w:val="annotation reference"/>
    <w:basedOn w:val="DefaultParagraphFont"/>
    <w:uiPriority w:val="99"/>
    <w:semiHidden/>
    <w:unhideWhenUsed/>
    <w:rsid w:val="000A1D43"/>
    <w:rPr>
      <w:sz w:val="16"/>
      <w:szCs w:val="16"/>
    </w:rPr>
  </w:style>
  <w:style w:type="paragraph" w:styleId="CommentText">
    <w:name w:val="annotation text"/>
    <w:basedOn w:val="Normal"/>
    <w:link w:val="CommentTextChar"/>
    <w:uiPriority w:val="99"/>
    <w:unhideWhenUsed/>
    <w:rsid w:val="000A1D43"/>
    <w:rPr>
      <w:sz w:val="20"/>
      <w:szCs w:val="20"/>
    </w:rPr>
  </w:style>
  <w:style w:type="character" w:customStyle="1" w:styleId="CommentTextChar">
    <w:name w:val="Comment Text Char"/>
    <w:basedOn w:val="DefaultParagraphFont"/>
    <w:link w:val="CommentText"/>
    <w:uiPriority w:val="99"/>
    <w:rsid w:val="000A1D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1D43"/>
    <w:rPr>
      <w:b/>
      <w:bCs/>
    </w:rPr>
  </w:style>
  <w:style w:type="character" w:customStyle="1" w:styleId="CommentSubjectChar">
    <w:name w:val="Comment Subject Char"/>
    <w:basedOn w:val="CommentTextChar"/>
    <w:link w:val="CommentSubject"/>
    <w:uiPriority w:val="99"/>
    <w:semiHidden/>
    <w:rsid w:val="000A1D43"/>
    <w:rPr>
      <w:rFonts w:ascii="Times New Roman" w:eastAsia="Times New Roman" w:hAnsi="Times New Roman" w:cs="Times New Roman"/>
      <w:b/>
      <w:bCs/>
      <w:sz w:val="20"/>
      <w:szCs w:val="20"/>
      <w:lang w:val="en-GB"/>
    </w:rPr>
  </w:style>
  <w:style w:type="paragraph" w:styleId="Revision">
    <w:name w:val="Revision"/>
    <w:hidden/>
    <w:uiPriority w:val="99"/>
    <w:semiHidden/>
    <w:rsid w:val="000A1D43"/>
    <w:rPr>
      <w:rFonts w:ascii="Times New Roman" w:eastAsia="Times New Roman" w:hAnsi="Times New Roman" w:cs="Times New Roman"/>
      <w:lang w:val="en-GB"/>
    </w:rPr>
  </w:style>
  <w:style w:type="character" w:customStyle="1" w:styleId="footnote-link">
    <w:name w:val="footnote-link"/>
    <w:basedOn w:val="DefaultParagraphFont"/>
    <w:rsid w:val="007742B8"/>
  </w:style>
  <w:style w:type="paragraph" w:styleId="NormalWeb">
    <w:name w:val="Normal (Web)"/>
    <w:basedOn w:val="Normal"/>
    <w:uiPriority w:val="99"/>
    <w:unhideWhenUsed/>
    <w:rsid w:val="00603F22"/>
    <w:pPr>
      <w:spacing w:before="100" w:beforeAutospacing="1" w:after="100" w:afterAutospacing="1"/>
    </w:pPr>
    <w:rPr>
      <w:lang w:val="en-ZA" w:eastAsia="en-ZA"/>
    </w:rPr>
  </w:style>
  <w:style w:type="paragraph" w:styleId="Footer">
    <w:name w:val="footer"/>
    <w:basedOn w:val="Normal"/>
    <w:link w:val="FooterChar"/>
    <w:uiPriority w:val="99"/>
    <w:unhideWhenUsed/>
    <w:rsid w:val="009B468E"/>
    <w:pPr>
      <w:tabs>
        <w:tab w:val="center" w:pos="4513"/>
        <w:tab w:val="right" w:pos="9026"/>
      </w:tabs>
    </w:pPr>
  </w:style>
  <w:style w:type="character" w:customStyle="1" w:styleId="FooterChar">
    <w:name w:val="Footer Char"/>
    <w:basedOn w:val="DefaultParagraphFont"/>
    <w:link w:val="Footer"/>
    <w:uiPriority w:val="99"/>
    <w:rsid w:val="009B468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0659">
      <w:bodyDiv w:val="1"/>
      <w:marLeft w:val="0"/>
      <w:marRight w:val="0"/>
      <w:marTop w:val="0"/>
      <w:marBottom w:val="0"/>
      <w:divBdr>
        <w:top w:val="none" w:sz="0" w:space="0" w:color="auto"/>
        <w:left w:val="none" w:sz="0" w:space="0" w:color="auto"/>
        <w:bottom w:val="none" w:sz="0" w:space="0" w:color="auto"/>
        <w:right w:val="none" w:sz="0" w:space="0" w:color="auto"/>
      </w:divBdr>
      <w:divsChild>
        <w:div w:id="2144499446">
          <w:marLeft w:val="0"/>
          <w:marRight w:val="0"/>
          <w:marTop w:val="60"/>
          <w:marBottom w:val="0"/>
          <w:divBdr>
            <w:top w:val="none" w:sz="0" w:space="0" w:color="auto"/>
            <w:left w:val="none" w:sz="0" w:space="0" w:color="auto"/>
            <w:bottom w:val="none" w:sz="0" w:space="0" w:color="auto"/>
            <w:right w:val="none" w:sz="0" w:space="0" w:color="auto"/>
          </w:divBdr>
        </w:div>
        <w:div w:id="2036805712">
          <w:marLeft w:val="0"/>
          <w:marRight w:val="0"/>
          <w:marTop w:val="60"/>
          <w:marBottom w:val="0"/>
          <w:divBdr>
            <w:top w:val="none" w:sz="0" w:space="0" w:color="auto"/>
            <w:left w:val="none" w:sz="0" w:space="0" w:color="auto"/>
            <w:bottom w:val="none" w:sz="0" w:space="0" w:color="auto"/>
            <w:right w:val="none" w:sz="0" w:space="0" w:color="auto"/>
          </w:divBdr>
        </w:div>
      </w:divsChild>
    </w:div>
    <w:div w:id="9845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Broad-Based_Black_Economic_Empowerment" TargetMode="External"/><Relationship Id="rId2" Type="http://schemas.openxmlformats.org/officeDocument/2006/relationships/hyperlink" Target="https://en.wikipedia.org/wiki/Charter" TargetMode="External"/><Relationship Id="rId1" Type="http://schemas.openxmlformats.org/officeDocument/2006/relationships/hyperlink" Target="https://en.wikipedia.org/wiki/South_Africa"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16509%27%5d&amp;xhitlist_md=target-id=0-0-0-131957"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8333%27%5d&amp;xhitlist_md=target-id=0-0-0-260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B8B8-F12D-4A15-B546-82B5A474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2022-10-24T07:14:00Z</cp:lastPrinted>
  <dcterms:created xsi:type="dcterms:W3CDTF">2022-10-24T11:12:00Z</dcterms:created>
  <dcterms:modified xsi:type="dcterms:W3CDTF">2022-10-24T15:49:00Z</dcterms:modified>
</cp:coreProperties>
</file>