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9DD" w:rsidRPr="00D33F9B" w:rsidRDefault="00A339DD" w:rsidP="00A339DD">
      <w:pPr>
        <w:autoSpaceDE w:val="0"/>
        <w:autoSpaceDN w:val="0"/>
        <w:adjustRightInd w:val="0"/>
        <w:spacing w:line="241" w:lineRule="atLeast"/>
        <w:jc w:val="center"/>
        <w:rPr>
          <w:rFonts w:ascii="Times New Roman" w:hAnsi="Times New Roman" w:cs="Times New Roman"/>
          <w:color w:val="221E1F"/>
          <w:sz w:val="20"/>
          <w:szCs w:val="20"/>
          <w:lang w:val="en-US"/>
        </w:rPr>
      </w:pPr>
      <w:bookmarkStart w:id="0" w:name="OLE_LINK1"/>
      <w:r w:rsidRPr="00D33F9B">
        <w:rPr>
          <w:noProof/>
          <w:lang w:val="en-ZA" w:eastAsia="en-ZA"/>
        </w:rPr>
        <w:drawing>
          <wp:anchor distT="0" distB="0" distL="114300" distR="114300" simplePos="0" relativeHeight="251659264" behindDoc="1" locked="0" layoutInCell="1" allowOverlap="1" wp14:anchorId="744AF5AC" wp14:editId="7ABFCD4E">
            <wp:simplePos x="0" y="0"/>
            <wp:positionH relativeFrom="margin">
              <wp:align>center</wp:align>
            </wp:positionH>
            <wp:positionV relativeFrom="paragraph">
              <wp:posOffset>-209550</wp:posOffset>
            </wp:positionV>
            <wp:extent cx="800100" cy="9144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r w:rsidRPr="00D33F9B">
        <w:rPr>
          <w:rFonts w:ascii="Times New Roman" w:hAnsi="Times New Roman" w:cs="Times New Roman"/>
          <w:color w:val="221E1F"/>
          <w:sz w:val="20"/>
          <w:szCs w:val="20"/>
          <w:lang w:val="en-US"/>
        </w:rPr>
        <w:t>`</w:t>
      </w:r>
    </w:p>
    <w:p w:rsidR="00A339DD" w:rsidRPr="00D33F9B" w:rsidRDefault="00A339DD" w:rsidP="00A339DD">
      <w:pPr>
        <w:autoSpaceDE w:val="0"/>
        <w:autoSpaceDN w:val="0"/>
        <w:adjustRightInd w:val="0"/>
        <w:spacing w:line="241" w:lineRule="atLeast"/>
        <w:jc w:val="center"/>
        <w:rPr>
          <w:rFonts w:ascii="Times New Roman" w:hAnsi="Times New Roman" w:cs="Times New Roman"/>
          <w:color w:val="221E1F"/>
          <w:sz w:val="20"/>
          <w:szCs w:val="20"/>
          <w:lang w:val="en-US"/>
        </w:rPr>
      </w:pPr>
    </w:p>
    <w:p w:rsidR="00A339DD" w:rsidRPr="00D33F9B" w:rsidRDefault="00A339DD" w:rsidP="00A339DD">
      <w:pPr>
        <w:jc w:val="center"/>
        <w:rPr>
          <w:sz w:val="24"/>
          <w:lang w:val="en-US"/>
        </w:rPr>
      </w:pPr>
    </w:p>
    <w:p w:rsidR="00A339DD" w:rsidRPr="00D33F9B" w:rsidRDefault="00A339DD" w:rsidP="00A339DD">
      <w:pPr>
        <w:jc w:val="center"/>
        <w:rPr>
          <w:sz w:val="24"/>
          <w:lang w:val="en-US"/>
        </w:rPr>
      </w:pPr>
    </w:p>
    <w:p w:rsidR="00A339DD" w:rsidRPr="00D33F9B" w:rsidRDefault="00A339DD" w:rsidP="00A339DD">
      <w:pPr>
        <w:jc w:val="center"/>
        <w:rPr>
          <w:sz w:val="24"/>
          <w:lang w:val="en-US"/>
        </w:rPr>
      </w:pPr>
    </w:p>
    <w:p w:rsidR="00A339DD" w:rsidRPr="00D33F9B" w:rsidRDefault="00A339DD" w:rsidP="00A339DD">
      <w:pPr>
        <w:autoSpaceDE w:val="0"/>
        <w:autoSpaceDN w:val="0"/>
        <w:adjustRightInd w:val="0"/>
        <w:spacing w:line="241" w:lineRule="atLeast"/>
        <w:jc w:val="center"/>
        <w:rPr>
          <w:b/>
          <w:bCs/>
          <w:color w:val="000000"/>
          <w:sz w:val="24"/>
          <w:lang w:val="en-US"/>
        </w:rPr>
      </w:pPr>
      <w:r w:rsidRPr="00D33F9B">
        <w:rPr>
          <w:b/>
          <w:bCs/>
          <w:sz w:val="24"/>
          <w:lang w:val="en-US"/>
        </w:rPr>
        <w:t>THE SUPREME COURT OF APPEAL OF SOUTH AFRICA</w:t>
      </w:r>
    </w:p>
    <w:p w:rsidR="00A339DD" w:rsidRPr="00D33F9B" w:rsidRDefault="00A339DD" w:rsidP="00A339DD">
      <w:pPr>
        <w:autoSpaceDE w:val="0"/>
        <w:autoSpaceDN w:val="0"/>
        <w:adjustRightInd w:val="0"/>
        <w:spacing w:line="241" w:lineRule="atLeast"/>
        <w:jc w:val="center"/>
        <w:rPr>
          <w:b/>
          <w:bCs/>
          <w:color w:val="221E1F"/>
          <w:sz w:val="24"/>
          <w:lang w:val="en-US"/>
        </w:rPr>
      </w:pPr>
    </w:p>
    <w:p w:rsidR="00A339DD" w:rsidRPr="00D33F9B" w:rsidRDefault="00A339DD" w:rsidP="00A339DD">
      <w:pPr>
        <w:jc w:val="center"/>
        <w:rPr>
          <w:b/>
          <w:bCs/>
          <w:sz w:val="24"/>
          <w:lang w:eastAsia="en-GB"/>
        </w:rPr>
      </w:pPr>
      <w:r w:rsidRPr="00D33F9B">
        <w:rPr>
          <w:b/>
          <w:bCs/>
          <w:sz w:val="24"/>
          <w:lang w:eastAsia="en-GB"/>
        </w:rPr>
        <w:t>JUDGMENT</w:t>
      </w:r>
    </w:p>
    <w:p w:rsidR="00A339DD" w:rsidRPr="00D33F9B" w:rsidRDefault="00A339DD" w:rsidP="00A339DD">
      <w:pPr>
        <w:spacing w:line="360" w:lineRule="auto"/>
        <w:jc w:val="both"/>
        <w:rPr>
          <w:sz w:val="24"/>
          <w:lang w:val="en-US"/>
        </w:rPr>
      </w:pPr>
    </w:p>
    <w:bookmarkEnd w:id="0"/>
    <w:p w:rsidR="00A339DD" w:rsidRPr="00D33F9B" w:rsidRDefault="00A339DD" w:rsidP="00A339DD">
      <w:pPr>
        <w:spacing w:line="360" w:lineRule="auto"/>
        <w:jc w:val="right"/>
        <w:rPr>
          <w:b/>
          <w:sz w:val="24"/>
          <w:lang w:eastAsia="en-GB"/>
        </w:rPr>
      </w:pPr>
      <w:r w:rsidRPr="00D33F9B">
        <w:rPr>
          <w:rFonts w:eastAsia="Calibri"/>
          <w:b/>
          <w:sz w:val="24"/>
          <w:lang w:val="en-US" w:eastAsia="en-GB"/>
        </w:rPr>
        <w:t xml:space="preserve">Reportable </w:t>
      </w:r>
    </w:p>
    <w:p w:rsidR="00A339DD" w:rsidRPr="00D33F9B" w:rsidRDefault="00A339DD" w:rsidP="00A339DD">
      <w:pPr>
        <w:spacing w:line="360" w:lineRule="auto"/>
        <w:jc w:val="right"/>
        <w:rPr>
          <w:b/>
          <w:sz w:val="24"/>
          <w:lang w:eastAsia="en-GB"/>
        </w:rPr>
      </w:pPr>
    </w:p>
    <w:p w:rsidR="00A339DD" w:rsidRPr="00D33F9B" w:rsidRDefault="00A339DD" w:rsidP="00A339DD">
      <w:pPr>
        <w:spacing w:line="276" w:lineRule="auto"/>
        <w:jc w:val="right"/>
        <w:rPr>
          <w:sz w:val="24"/>
          <w:lang w:eastAsia="en-GB"/>
        </w:rPr>
      </w:pPr>
      <w:r w:rsidRPr="00D33F9B">
        <w:rPr>
          <w:sz w:val="24"/>
          <w:lang w:eastAsia="en-GB"/>
        </w:rPr>
        <w:t xml:space="preserve">Case no: </w:t>
      </w:r>
      <w:r w:rsidR="00854D16">
        <w:rPr>
          <w:sz w:val="24"/>
          <w:lang w:eastAsia="en-GB"/>
        </w:rPr>
        <w:t>406</w:t>
      </w:r>
      <w:r w:rsidRPr="00D33F9B">
        <w:rPr>
          <w:sz w:val="24"/>
          <w:lang w:eastAsia="en-GB"/>
        </w:rPr>
        <w:t>/</w:t>
      </w:r>
      <w:r w:rsidR="00854D16">
        <w:rPr>
          <w:sz w:val="24"/>
          <w:lang w:eastAsia="en-GB"/>
        </w:rPr>
        <w:t>21</w:t>
      </w:r>
    </w:p>
    <w:p w:rsidR="00A339DD" w:rsidRPr="00D33F9B" w:rsidRDefault="00A339DD" w:rsidP="00A339DD">
      <w:pPr>
        <w:spacing w:line="276" w:lineRule="auto"/>
        <w:jc w:val="right"/>
        <w:rPr>
          <w:sz w:val="24"/>
          <w:lang w:eastAsia="en-GB"/>
        </w:rPr>
      </w:pPr>
    </w:p>
    <w:p w:rsidR="00A339DD" w:rsidRPr="00D33F9B" w:rsidRDefault="00A339DD" w:rsidP="00A339DD">
      <w:pPr>
        <w:spacing w:line="276" w:lineRule="auto"/>
        <w:ind w:right="-46"/>
        <w:jc w:val="both"/>
        <w:rPr>
          <w:sz w:val="24"/>
          <w:lang w:eastAsia="en-GB"/>
        </w:rPr>
      </w:pPr>
      <w:r w:rsidRPr="00D33F9B">
        <w:rPr>
          <w:sz w:val="24"/>
          <w:lang w:eastAsia="en-GB"/>
        </w:rPr>
        <w:t>In the matter between:</w:t>
      </w:r>
    </w:p>
    <w:p w:rsidR="00A339DD" w:rsidRPr="00D33F9B" w:rsidRDefault="00A339DD" w:rsidP="00A339DD">
      <w:pPr>
        <w:spacing w:line="360" w:lineRule="auto"/>
        <w:jc w:val="both"/>
        <w:rPr>
          <w:sz w:val="24"/>
          <w:lang w:eastAsia="en-GB"/>
        </w:rPr>
      </w:pPr>
    </w:p>
    <w:p w:rsidR="00A339DD" w:rsidRPr="00D33F9B" w:rsidRDefault="00854D16" w:rsidP="00C86183">
      <w:pPr>
        <w:tabs>
          <w:tab w:val="right" w:pos="9072"/>
        </w:tabs>
        <w:spacing w:line="360" w:lineRule="auto"/>
        <w:jc w:val="both"/>
        <w:rPr>
          <w:b/>
          <w:sz w:val="24"/>
          <w:lang w:eastAsia="en-GB"/>
        </w:rPr>
      </w:pPr>
      <w:r>
        <w:rPr>
          <w:b/>
          <w:sz w:val="24"/>
          <w:lang w:eastAsia="en-GB"/>
        </w:rPr>
        <w:t>DEON NEL</w:t>
      </w:r>
      <w:r w:rsidR="00C86183" w:rsidRPr="00D33F9B">
        <w:rPr>
          <w:b/>
          <w:sz w:val="24"/>
          <w:lang w:eastAsia="en-GB"/>
        </w:rPr>
        <w:tab/>
      </w:r>
      <w:r w:rsidR="00A339DD" w:rsidRPr="00D33F9B">
        <w:rPr>
          <w:b/>
          <w:sz w:val="24"/>
          <w:lang w:eastAsia="en-GB"/>
        </w:rPr>
        <w:t xml:space="preserve"> </w:t>
      </w:r>
      <w:r w:rsidR="00C86183" w:rsidRPr="00D33F9B">
        <w:rPr>
          <w:b/>
          <w:sz w:val="24"/>
          <w:lang w:eastAsia="en-GB"/>
        </w:rPr>
        <w:t xml:space="preserve">             </w:t>
      </w:r>
      <w:r w:rsidR="00A339DD" w:rsidRPr="00D33F9B">
        <w:rPr>
          <w:b/>
          <w:sz w:val="24"/>
          <w:lang w:eastAsia="en-GB"/>
        </w:rPr>
        <w:t>APPELLANT</w:t>
      </w:r>
    </w:p>
    <w:p w:rsidR="00A339DD" w:rsidRPr="00D33F9B" w:rsidRDefault="00A339DD" w:rsidP="00A339DD">
      <w:pPr>
        <w:tabs>
          <w:tab w:val="right" w:pos="8364"/>
        </w:tabs>
        <w:spacing w:line="360" w:lineRule="auto"/>
        <w:jc w:val="both"/>
        <w:rPr>
          <w:b/>
          <w:sz w:val="24"/>
          <w:lang w:eastAsia="en-GB"/>
        </w:rPr>
      </w:pPr>
    </w:p>
    <w:p w:rsidR="00A339DD" w:rsidRPr="00D33F9B" w:rsidRDefault="00A339DD" w:rsidP="00A339DD">
      <w:pPr>
        <w:tabs>
          <w:tab w:val="right" w:pos="8364"/>
        </w:tabs>
        <w:spacing w:line="360" w:lineRule="auto"/>
        <w:jc w:val="both"/>
        <w:rPr>
          <w:sz w:val="24"/>
          <w:lang w:eastAsia="en-GB"/>
        </w:rPr>
      </w:pPr>
      <w:r w:rsidRPr="00D33F9B">
        <w:rPr>
          <w:sz w:val="24"/>
          <w:lang w:eastAsia="en-GB"/>
        </w:rPr>
        <w:t>and</w:t>
      </w:r>
    </w:p>
    <w:p w:rsidR="00A339DD" w:rsidRPr="00D33F9B" w:rsidRDefault="00A339DD" w:rsidP="00A339DD">
      <w:pPr>
        <w:tabs>
          <w:tab w:val="left" w:pos="7320"/>
          <w:tab w:val="right" w:pos="8364"/>
        </w:tabs>
        <w:spacing w:line="360" w:lineRule="auto"/>
        <w:jc w:val="both"/>
        <w:rPr>
          <w:sz w:val="24"/>
          <w:lang w:eastAsia="en-GB"/>
        </w:rPr>
      </w:pPr>
    </w:p>
    <w:p w:rsidR="00854D16" w:rsidRDefault="00854D16" w:rsidP="00A44E76">
      <w:pPr>
        <w:spacing w:line="360" w:lineRule="auto"/>
        <w:contextualSpacing/>
        <w:jc w:val="both"/>
        <w:rPr>
          <w:b/>
          <w:bCs/>
          <w:sz w:val="24"/>
        </w:rPr>
      </w:pPr>
      <w:r>
        <w:rPr>
          <w:b/>
          <w:bCs/>
          <w:sz w:val="24"/>
        </w:rPr>
        <w:t xml:space="preserve">PETRUS JACOBUS DE BEER </w:t>
      </w:r>
      <w:r>
        <w:rPr>
          <w:b/>
          <w:bCs/>
          <w:sz w:val="24"/>
        </w:rPr>
        <w:tab/>
      </w:r>
      <w:r>
        <w:rPr>
          <w:b/>
          <w:bCs/>
          <w:sz w:val="24"/>
        </w:rPr>
        <w:tab/>
      </w:r>
      <w:r>
        <w:rPr>
          <w:b/>
          <w:bCs/>
          <w:sz w:val="24"/>
        </w:rPr>
        <w:tab/>
      </w:r>
      <w:r>
        <w:rPr>
          <w:b/>
          <w:bCs/>
          <w:sz w:val="24"/>
        </w:rPr>
        <w:tab/>
      </w:r>
      <w:r>
        <w:rPr>
          <w:b/>
          <w:bCs/>
          <w:sz w:val="24"/>
        </w:rPr>
        <w:tab/>
        <w:t>FIRST RESPONDENT</w:t>
      </w:r>
    </w:p>
    <w:p w:rsidR="00A44E76" w:rsidRDefault="00A44E76" w:rsidP="00A44E76">
      <w:pPr>
        <w:spacing w:line="360" w:lineRule="auto"/>
        <w:contextualSpacing/>
        <w:jc w:val="both"/>
        <w:rPr>
          <w:b/>
          <w:bCs/>
          <w:sz w:val="24"/>
        </w:rPr>
      </w:pPr>
    </w:p>
    <w:p w:rsidR="00A339DD" w:rsidRPr="00D33F9B" w:rsidRDefault="00854D16" w:rsidP="00A44E76">
      <w:pPr>
        <w:spacing w:line="360" w:lineRule="auto"/>
        <w:contextualSpacing/>
        <w:jc w:val="both"/>
        <w:rPr>
          <w:b/>
          <w:bCs/>
          <w:sz w:val="24"/>
        </w:rPr>
      </w:pPr>
      <w:r>
        <w:rPr>
          <w:b/>
          <w:bCs/>
          <w:sz w:val="24"/>
        </w:rPr>
        <w:t>PIETER HENDRIK JACOBUS BURGER NO</w:t>
      </w:r>
      <w:r w:rsidR="006B7D2B" w:rsidRPr="00D33F9B">
        <w:rPr>
          <w:b/>
          <w:bCs/>
          <w:sz w:val="24"/>
        </w:rPr>
        <w:tab/>
        <w:t xml:space="preserve"> </w:t>
      </w:r>
      <w:r>
        <w:rPr>
          <w:b/>
          <w:bCs/>
          <w:sz w:val="24"/>
        </w:rPr>
        <w:tab/>
        <w:t xml:space="preserve">      SECOND</w:t>
      </w:r>
      <w:r w:rsidR="006B7D2B" w:rsidRPr="00D33F9B">
        <w:rPr>
          <w:b/>
          <w:bCs/>
          <w:sz w:val="24"/>
        </w:rPr>
        <w:t xml:space="preserve"> </w:t>
      </w:r>
      <w:r w:rsidR="00A339DD" w:rsidRPr="00D33F9B">
        <w:rPr>
          <w:b/>
          <w:bCs/>
          <w:sz w:val="24"/>
        </w:rPr>
        <w:t>RESPONDENT</w:t>
      </w:r>
    </w:p>
    <w:p w:rsidR="00A339DD" w:rsidRPr="00D33F9B" w:rsidRDefault="00A339DD" w:rsidP="00A339DD">
      <w:pPr>
        <w:spacing w:line="360" w:lineRule="auto"/>
        <w:ind w:right="-19"/>
        <w:jc w:val="both"/>
        <w:rPr>
          <w:b/>
          <w:bCs/>
          <w:sz w:val="24"/>
          <w:lang w:eastAsia="en-GB"/>
        </w:rPr>
      </w:pPr>
    </w:p>
    <w:p w:rsidR="00A339DD" w:rsidRPr="00D33F9B" w:rsidRDefault="00A339DD" w:rsidP="00A339DD">
      <w:pPr>
        <w:spacing w:line="360" w:lineRule="auto"/>
        <w:ind w:right="-19"/>
        <w:jc w:val="both"/>
        <w:rPr>
          <w:bCs/>
          <w:sz w:val="24"/>
          <w:lang w:eastAsia="en-GB"/>
        </w:rPr>
      </w:pPr>
      <w:r w:rsidRPr="00D33F9B">
        <w:rPr>
          <w:b/>
          <w:bCs/>
          <w:sz w:val="24"/>
          <w:lang w:eastAsia="en-GB"/>
        </w:rPr>
        <w:t>Neutral citation:</w:t>
      </w:r>
      <w:r w:rsidRPr="00D33F9B">
        <w:rPr>
          <w:b/>
          <w:bCs/>
          <w:sz w:val="24"/>
          <w:lang w:eastAsia="en-GB"/>
        </w:rPr>
        <w:tab/>
      </w:r>
      <w:r w:rsidR="00854D16">
        <w:rPr>
          <w:i/>
          <w:sz w:val="24"/>
          <w:lang w:eastAsia="en-GB"/>
        </w:rPr>
        <w:t xml:space="preserve">Deon Nel </w:t>
      </w:r>
      <w:r w:rsidR="006B7D2B" w:rsidRPr="00D33F9B">
        <w:rPr>
          <w:i/>
          <w:sz w:val="24"/>
          <w:lang w:eastAsia="en-GB"/>
        </w:rPr>
        <w:t xml:space="preserve">v </w:t>
      </w:r>
      <w:r w:rsidR="00854D16">
        <w:rPr>
          <w:i/>
          <w:sz w:val="24"/>
          <w:lang w:eastAsia="en-GB"/>
        </w:rPr>
        <w:t xml:space="preserve">Petrus Jacobus de Beer &amp; </w:t>
      </w:r>
      <w:r w:rsidR="00E46B27">
        <w:rPr>
          <w:i/>
          <w:sz w:val="24"/>
          <w:lang w:eastAsia="en-GB"/>
        </w:rPr>
        <w:t>A</w:t>
      </w:r>
      <w:r w:rsidR="00854D16">
        <w:rPr>
          <w:i/>
          <w:sz w:val="24"/>
          <w:lang w:eastAsia="en-GB"/>
        </w:rPr>
        <w:t>nother</w:t>
      </w:r>
      <w:r w:rsidR="006B7D2B" w:rsidRPr="00D33F9B">
        <w:rPr>
          <w:i/>
          <w:sz w:val="24"/>
          <w:lang w:eastAsia="en-GB"/>
        </w:rPr>
        <w:t xml:space="preserve"> </w:t>
      </w:r>
      <w:r w:rsidRPr="00D33F9B">
        <w:rPr>
          <w:bCs/>
          <w:iCs/>
          <w:sz w:val="24"/>
          <w:lang w:eastAsia="en-GB"/>
        </w:rPr>
        <w:t>(</w:t>
      </w:r>
      <w:r w:rsidR="00854D16">
        <w:rPr>
          <w:bCs/>
          <w:iCs/>
          <w:sz w:val="24"/>
          <w:lang w:eastAsia="en-GB"/>
        </w:rPr>
        <w:t>406</w:t>
      </w:r>
      <w:r w:rsidRPr="00D33F9B">
        <w:rPr>
          <w:bCs/>
          <w:iCs/>
          <w:sz w:val="24"/>
          <w:lang w:eastAsia="en-GB"/>
        </w:rPr>
        <w:t>/</w:t>
      </w:r>
      <w:r w:rsidR="00854D16">
        <w:rPr>
          <w:bCs/>
          <w:iCs/>
          <w:sz w:val="24"/>
          <w:lang w:eastAsia="en-GB"/>
        </w:rPr>
        <w:t>21</w:t>
      </w:r>
      <w:r w:rsidRPr="00D33F9B">
        <w:rPr>
          <w:bCs/>
          <w:sz w:val="24"/>
          <w:lang w:eastAsia="en-GB"/>
        </w:rPr>
        <w:t>) [</w:t>
      </w:r>
      <w:r w:rsidR="00854D16">
        <w:rPr>
          <w:bCs/>
          <w:sz w:val="24"/>
          <w:lang w:eastAsia="en-GB"/>
        </w:rPr>
        <w:t>2022</w:t>
      </w:r>
      <w:r w:rsidRPr="00D33F9B">
        <w:rPr>
          <w:bCs/>
          <w:sz w:val="24"/>
          <w:lang w:eastAsia="en-GB"/>
        </w:rPr>
        <w:t xml:space="preserve">] ZASCA </w:t>
      </w:r>
      <w:r w:rsidR="00A44E76">
        <w:rPr>
          <w:bCs/>
          <w:sz w:val="24"/>
          <w:lang w:eastAsia="en-GB"/>
        </w:rPr>
        <w:t>145</w:t>
      </w:r>
      <w:r w:rsidR="00854D16">
        <w:rPr>
          <w:bCs/>
          <w:sz w:val="24"/>
          <w:lang w:eastAsia="en-GB"/>
        </w:rPr>
        <w:t xml:space="preserve"> </w:t>
      </w:r>
      <w:r w:rsidRPr="00D33F9B">
        <w:rPr>
          <w:bCs/>
          <w:sz w:val="24"/>
          <w:lang w:eastAsia="en-GB"/>
        </w:rPr>
        <w:t>(</w:t>
      </w:r>
      <w:r w:rsidR="00A44E76">
        <w:rPr>
          <w:bCs/>
          <w:sz w:val="24"/>
          <w:lang w:eastAsia="en-GB"/>
        </w:rPr>
        <w:t>26</w:t>
      </w:r>
      <w:r w:rsidR="00A44E76" w:rsidRPr="00D33F9B">
        <w:rPr>
          <w:bCs/>
          <w:sz w:val="24"/>
          <w:lang w:eastAsia="en-GB"/>
        </w:rPr>
        <w:t xml:space="preserve"> </w:t>
      </w:r>
      <w:r w:rsidR="00854D16">
        <w:rPr>
          <w:bCs/>
          <w:sz w:val="24"/>
          <w:lang w:eastAsia="en-GB"/>
        </w:rPr>
        <w:t xml:space="preserve">October </w:t>
      </w:r>
      <w:r w:rsidRPr="00D33F9B">
        <w:rPr>
          <w:bCs/>
          <w:sz w:val="24"/>
          <w:lang w:eastAsia="en-GB"/>
        </w:rPr>
        <w:t>20</w:t>
      </w:r>
      <w:r w:rsidR="00854D16">
        <w:rPr>
          <w:bCs/>
          <w:sz w:val="24"/>
          <w:lang w:eastAsia="en-GB"/>
        </w:rPr>
        <w:t>22</w:t>
      </w:r>
      <w:r w:rsidRPr="00D33F9B">
        <w:rPr>
          <w:bCs/>
          <w:sz w:val="24"/>
          <w:lang w:eastAsia="en-GB"/>
        </w:rPr>
        <w:t>)</w:t>
      </w:r>
    </w:p>
    <w:p w:rsidR="00A339DD" w:rsidRPr="00D33F9B" w:rsidRDefault="00A339DD" w:rsidP="00A339DD">
      <w:pPr>
        <w:spacing w:line="360" w:lineRule="auto"/>
        <w:jc w:val="both"/>
        <w:rPr>
          <w:b/>
          <w:bCs/>
          <w:sz w:val="24"/>
          <w:u w:val="single"/>
          <w:lang w:eastAsia="en-GB"/>
        </w:rPr>
      </w:pPr>
    </w:p>
    <w:p w:rsidR="00A339DD" w:rsidRPr="00D33F9B" w:rsidRDefault="00A339DD" w:rsidP="00C86183">
      <w:pPr>
        <w:ind w:left="2160" w:hanging="2160"/>
        <w:rPr>
          <w:sz w:val="22"/>
          <w:szCs w:val="22"/>
        </w:rPr>
      </w:pPr>
      <w:r w:rsidRPr="00D33F9B">
        <w:rPr>
          <w:b/>
          <w:bCs/>
          <w:sz w:val="24"/>
          <w:lang w:eastAsia="en-GB"/>
        </w:rPr>
        <w:t>Coram</w:t>
      </w:r>
      <w:r w:rsidRPr="00D33F9B">
        <w:rPr>
          <w:b/>
          <w:bCs/>
          <w:sz w:val="24"/>
          <w:lang w:eastAsia="en-GB"/>
        </w:rPr>
        <w:tab/>
      </w:r>
      <w:r w:rsidR="00854D16">
        <w:rPr>
          <w:sz w:val="24"/>
        </w:rPr>
        <w:t>Zondi</w:t>
      </w:r>
      <w:r w:rsidRPr="00D33F9B">
        <w:rPr>
          <w:sz w:val="24"/>
        </w:rPr>
        <w:t xml:space="preserve">, </w:t>
      </w:r>
      <w:r w:rsidR="00854D16">
        <w:rPr>
          <w:sz w:val="24"/>
        </w:rPr>
        <w:t>Mol</w:t>
      </w:r>
      <w:r w:rsidR="00713E4F">
        <w:rPr>
          <w:sz w:val="24"/>
        </w:rPr>
        <w:t>emela, Plasket and Mabindla-Boqwana JJA and Mus</w:t>
      </w:r>
      <w:r w:rsidR="00854D16">
        <w:rPr>
          <w:sz w:val="24"/>
        </w:rPr>
        <w:t>i AJA</w:t>
      </w:r>
      <w:r w:rsidRPr="00D33F9B">
        <w:rPr>
          <w:sz w:val="22"/>
          <w:szCs w:val="22"/>
        </w:rPr>
        <w:t xml:space="preserve"> </w:t>
      </w:r>
    </w:p>
    <w:p w:rsidR="00A339DD" w:rsidRPr="00D33F9B" w:rsidRDefault="00A339DD" w:rsidP="00A339DD">
      <w:pPr>
        <w:tabs>
          <w:tab w:val="left" w:pos="1985"/>
        </w:tabs>
        <w:spacing w:line="360" w:lineRule="auto"/>
        <w:jc w:val="both"/>
        <w:rPr>
          <w:b/>
          <w:bCs/>
          <w:sz w:val="24"/>
          <w:lang w:eastAsia="en-GB"/>
        </w:rPr>
      </w:pPr>
    </w:p>
    <w:p w:rsidR="00A339DD" w:rsidRPr="00D33F9B" w:rsidRDefault="00A339DD" w:rsidP="00CA01CC">
      <w:pPr>
        <w:tabs>
          <w:tab w:val="left" w:pos="1985"/>
          <w:tab w:val="left" w:pos="2160"/>
          <w:tab w:val="left" w:pos="2880"/>
          <w:tab w:val="left" w:pos="3600"/>
          <w:tab w:val="left" w:pos="4320"/>
          <w:tab w:val="left" w:pos="4697"/>
        </w:tabs>
        <w:spacing w:line="360" w:lineRule="auto"/>
        <w:jc w:val="both"/>
        <w:rPr>
          <w:bCs/>
          <w:sz w:val="24"/>
          <w:lang w:eastAsia="en-GB"/>
        </w:rPr>
      </w:pPr>
      <w:r w:rsidRPr="00D33F9B">
        <w:rPr>
          <w:b/>
          <w:bCs/>
          <w:sz w:val="24"/>
          <w:lang w:eastAsia="en-GB"/>
        </w:rPr>
        <w:t>Heard:</w:t>
      </w:r>
      <w:r w:rsidRPr="00D33F9B">
        <w:rPr>
          <w:b/>
          <w:bCs/>
          <w:sz w:val="24"/>
          <w:lang w:eastAsia="en-GB"/>
        </w:rPr>
        <w:tab/>
      </w:r>
      <w:r w:rsidRPr="00D33F9B">
        <w:rPr>
          <w:b/>
          <w:bCs/>
          <w:sz w:val="24"/>
          <w:lang w:eastAsia="en-GB"/>
        </w:rPr>
        <w:tab/>
      </w:r>
      <w:r w:rsidR="00854D16">
        <w:rPr>
          <w:bCs/>
          <w:sz w:val="24"/>
          <w:lang w:eastAsia="en-GB"/>
        </w:rPr>
        <w:t xml:space="preserve">14 September </w:t>
      </w:r>
      <w:r w:rsidRPr="00D33F9B">
        <w:rPr>
          <w:bCs/>
          <w:sz w:val="24"/>
          <w:lang w:eastAsia="en-GB"/>
        </w:rPr>
        <w:t>20</w:t>
      </w:r>
      <w:r w:rsidR="00854D16">
        <w:rPr>
          <w:bCs/>
          <w:sz w:val="24"/>
          <w:lang w:eastAsia="en-GB"/>
        </w:rPr>
        <w:t>22</w:t>
      </w:r>
      <w:r w:rsidR="00CA01CC">
        <w:rPr>
          <w:bCs/>
          <w:sz w:val="24"/>
          <w:lang w:eastAsia="en-GB"/>
        </w:rPr>
        <w:tab/>
      </w:r>
    </w:p>
    <w:p w:rsidR="00A339DD" w:rsidRPr="00D33F9B" w:rsidRDefault="00A339DD" w:rsidP="00A339DD">
      <w:pPr>
        <w:spacing w:line="360" w:lineRule="auto"/>
        <w:jc w:val="both"/>
        <w:rPr>
          <w:b/>
          <w:bCs/>
          <w:sz w:val="24"/>
          <w:lang w:eastAsia="en-GB"/>
        </w:rPr>
      </w:pPr>
    </w:p>
    <w:p w:rsidR="00A339DD" w:rsidRPr="00D33F9B" w:rsidRDefault="00A339DD" w:rsidP="00A339DD">
      <w:pPr>
        <w:tabs>
          <w:tab w:val="left" w:pos="1985"/>
        </w:tabs>
        <w:spacing w:line="360" w:lineRule="auto"/>
        <w:jc w:val="both"/>
        <w:rPr>
          <w:b/>
          <w:bCs/>
          <w:sz w:val="24"/>
          <w:lang w:eastAsia="en-GB"/>
        </w:rPr>
      </w:pPr>
      <w:r w:rsidRPr="00D33F9B">
        <w:rPr>
          <w:b/>
          <w:bCs/>
          <w:sz w:val="24"/>
          <w:lang w:eastAsia="en-GB"/>
        </w:rPr>
        <w:t>Delivered:</w:t>
      </w:r>
      <w:r w:rsidRPr="00D33F9B">
        <w:rPr>
          <w:b/>
          <w:bCs/>
          <w:sz w:val="24"/>
          <w:lang w:eastAsia="en-GB"/>
        </w:rPr>
        <w:tab/>
      </w:r>
      <w:r w:rsidRPr="00D33F9B">
        <w:rPr>
          <w:b/>
          <w:bCs/>
          <w:sz w:val="24"/>
          <w:lang w:eastAsia="en-GB"/>
        </w:rPr>
        <w:tab/>
      </w:r>
      <w:r w:rsidR="00A44E76">
        <w:rPr>
          <w:bCs/>
          <w:sz w:val="24"/>
          <w:lang w:eastAsia="en-GB"/>
        </w:rPr>
        <w:t>26 October 2022</w:t>
      </w:r>
    </w:p>
    <w:p w:rsidR="00A339DD" w:rsidRPr="00854D16" w:rsidRDefault="00A339DD" w:rsidP="00A339DD">
      <w:pPr>
        <w:spacing w:line="276" w:lineRule="auto"/>
        <w:jc w:val="both"/>
        <w:rPr>
          <w:b/>
          <w:bCs/>
          <w:sz w:val="24"/>
          <w:lang w:val="en-ZA" w:eastAsia="en-GB"/>
        </w:rPr>
      </w:pPr>
    </w:p>
    <w:p w:rsidR="00F433F4" w:rsidRPr="00D33F9B" w:rsidRDefault="00A339DD" w:rsidP="005726DC">
      <w:pPr>
        <w:tabs>
          <w:tab w:val="left" w:pos="1276"/>
          <w:tab w:val="left" w:pos="1701"/>
          <w:tab w:val="left" w:pos="5103"/>
        </w:tabs>
        <w:spacing w:line="360" w:lineRule="auto"/>
        <w:jc w:val="both"/>
        <w:rPr>
          <w:rFonts w:eastAsia="Calibri"/>
          <w:sz w:val="24"/>
          <w:lang w:val="en-ZA"/>
        </w:rPr>
      </w:pPr>
      <w:r w:rsidRPr="00D33F9B">
        <w:rPr>
          <w:rFonts w:eastAsia="Calibri"/>
          <w:b/>
          <w:sz w:val="24"/>
          <w:lang w:val="en-ZA"/>
        </w:rPr>
        <w:t>Summary:</w:t>
      </w:r>
      <w:r w:rsidRPr="00D33F9B">
        <w:rPr>
          <w:rFonts w:eastAsia="Calibri"/>
          <w:sz w:val="24"/>
          <w:lang w:val="en-ZA"/>
        </w:rPr>
        <w:t xml:space="preserve"> </w:t>
      </w:r>
      <w:r w:rsidR="00047CB6" w:rsidRPr="00D33F9B">
        <w:rPr>
          <w:rFonts w:eastAsia="Calibri"/>
          <w:sz w:val="24"/>
          <w:lang w:val="en-ZA"/>
        </w:rPr>
        <w:tab/>
      </w:r>
      <w:r w:rsidR="00047CB6" w:rsidRPr="00D33F9B">
        <w:rPr>
          <w:rFonts w:eastAsia="Calibri"/>
          <w:sz w:val="24"/>
          <w:lang w:val="en-ZA"/>
        </w:rPr>
        <w:tab/>
      </w:r>
      <w:r w:rsidR="00225D12">
        <w:rPr>
          <w:rFonts w:eastAsia="Calibri"/>
          <w:sz w:val="24"/>
          <w:lang w:val="en-ZA"/>
        </w:rPr>
        <w:t>Sale of land</w:t>
      </w:r>
      <w:r w:rsidR="005726DC">
        <w:rPr>
          <w:rFonts w:eastAsia="Calibri"/>
          <w:sz w:val="24"/>
          <w:lang w:val="en-ZA"/>
        </w:rPr>
        <w:t xml:space="preserve"> </w:t>
      </w:r>
      <w:r w:rsidR="006313E7">
        <w:rPr>
          <w:rFonts w:eastAsia="Calibri"/>
          <w:sz w:val="24"/>
          <w:lang w:val="en-ZA"/>
        </w:rPr>
        <w:t xml:space="preserve"> </w:t>
      </w:r>
      <w:r w:rsidR="00CA01CC">
        <w:rPr>
          <w:rFonts w:eastAsia="Calibri"/>
          <w:sz w:val="24"/>
          <w:lang w:val="en-ZA"/>
        </w:rPr>
        <w:t>̶</w:t>
      </w:r>
      <w:r w:rsidR="006313E7">
        <w:rPr>
          <w:rFonts w:eastAsia="Calibri"/>
          <w:sz w:val="24"/>
          <w:lang w:val="en-ZA"/>
        </w:rPr>
        <w:t xml:space="preserve"> </w:t>
      </w:r>
      <w:r w:rsidR="00DB6004">
        <w:rPr>
          <w:rFonts w:eastAsia="Calibri"/>
          <w:sz w:val="24"/>
          <w:lang w:val="en-ZA"/>
        </w:rPr>
        <w:t xml:space="preserve"> </w:t>
      </w:r>
      <w:r w:rsidR="00B22619">
        <w:rPr>
          <w:rFonts w:eastAsia="Calibri"/>
          <w:sz w:val="24"/>
          <w:lang w:val="en-ZA"/>
        </w:rPr>
        <w:t>r</w:t>
      </w:r>
      <w:r w:rsidR="00225D12">
        <w:rPr>
          <w:rFonts w:eastAsia="Calibri"/>
          <w:sz w:val="24"/>
          <w:lang w:val="en-ZA"/>
        </w:rPr>
        <w:t>ight of pre-emption</w:t>
      </w:r>
      <w:r w:rsidR="00654CBB">
        <w:rPr>
          <w:rFonts w:eastAsia="Calibri"/>
          <w:sz w:val="24"/>
          <w:lang w:val="en-ZA"/>
        </w:rPr>
        <w:t xml:space="preserve"> – </w:t>
      </w:r>
      <w:r w:rsidR="00B22619">
        <w:rPr>
          <w:rFonts w:eastAsia="Calibri"/>
          <w:sz w:val="24"/>
          <w:lang w:val="en-ZA"/>
        </w:rPr>
        <w:t>r</w:t>
      </w:r>
      <w:r w:rsidR="00654CBB">
        <w:rPr>
          <w:rFonts w:eastAsia="Calibri"/>
          <w:sz w:val="24"/>
          <w:lang w:val="en-ZA"/>
        </w:rPr>
        <w:t>ight of pre-emption in lease agreement in respect of five separately registered farms</w:t>
      </w:r>
      <w:r w:rsidR="006313E7">
        <w:rPr>
          <w:rFonts w:eastAsia="Calibri"/>
          <w:sz w:val="24"/>
          <w:lang w:val="en-ZA"/>
        </w:rPr>
        <w:t xml:space="preserve"> </w:t>
      </w:r>
      <w:r w:rsidR="00CA01CC">
        <w:rPr>
          <w:rFonts w:eastAsia="Calibri"/>
          <w:sz w:val="24"/>
          <w:lang w:val="en-ZA"/>
        </w:rPr>
        <w:t xml:space="preserve"> </w:t>
      </w:r>
      <w:r w:rsidR="00654CBB">
        <w:rPr>
          <w:rFonts w:eastAsia="Calibri"/>
          <w:sz w:val="24"/>
          <w:lang w:val="en-ZA"/>
        </w:rPr>
        <w:t xml:space="preserve"> </w:t>
      </w:r>
      <w:r w:rsidR="006313E7">
        <w:rPr>
          <w:rFonts w:eastAsia="Calibri"/>
          <w:sz w:val="24"/>
          <w:lang w:val="en-ZA"/>
        </w:rPr>
        <w:t>̶</w:t>
      </w:r>
      <w:r w:rsidR="00CA01CC">
        <w:rPr>
          <w:rFonts w:eastAsia="Calibri"/>
          <w:sz w:val="24"/>
          <w:lang w:val="en-ZA"/>
        </w:rPr>
        <w:t xml:space="preserve">  </w:t>
      </w:r>
      <w:r w:rsidR="00B22619">
        <w:rPr>
          <w:rFonts w:eastAsia="Calibri"/>
          <w:sz w:val="24"/>
          <w:lang w:val="en-ZA"/>
        </w:rPr>
        <w:t>s</w:t>
      </w:r>
      <w:r w:rsidR="00654CBB">
        <w:rPr>
          <w:rFonts w:eastAsia="Calibri"/>
          <w:sz w:val="24"/>
          <w:lang w:val="en-ZA"/>
        </w:rPr>
        <w:t>ale of two of those farms</w:t>
      </w:r>
      <w:r w:rsidR="00E0773B">
        <w:rPr>
          <w:rFonts w:eastAsia="Calibri"/>
          <w:sz w:val="24"/>
          <w:lang w:val="en-ZA"/>
        </w:rPr>
        <w:t xml:space="preserve"> </w:t>
      </w:r>
      <w:r w:rsidR="00654CBB">
        <w:rPr>
          <w:rFonts w:eastAsia="Calibri"/>
          <w:sz w:val="24"/>
          <w:lang w:val="en-ZA"/>
        </w:rPr>
        <w:t>constitutes breach of contract</w:t>
      </w:r>
      <w:r w:rsidR="00CA01CC">
        <w:rPr>
          <w:rFonts w:eastAsia="Calibri"/>
          <w:sz w:val="24"/>
          <w:lang w:val="en-ZA"/>
        </w:rPr>
        <w:t xml:space="preserve">  </w:t>
      </w:r>
      <w:r w:rsidR="005C0AB0">
        <w:rPr>
          <w:rFonts w:eastAsia="Calibri"/>
          <w:sz w:val="24"/>
          <w:lang w:val="en-ZA"/>
        </w:rPr>
        <w:t xml:space="preserve"> </w:t>
      </w:r>
      <w:r w:rsidR="006313E7">
        <w:rPr>
          <w:rFonts w:eastAsia="Calibri"/>
          <w:sz w:val="24"/>
          <w:lang w:val="en-ZA"/>
        </w:rPr>
        <w:t>̶</w:t>
      </w:r>
      <w:r w:rsidR="00CA01CC">
        <w:rPr>
          <w:rFonts w:eastAsia="Calibri"/>
          <w:sz w:val="24"/>
          <w:lang w:val="en-ZA"/>
        </w:rPr>
        <w:t xml:space="preserve">  </w:t>
      </w:r>
      <w:r w:rsidR="00B22619">
        <w:rPr>
          <w:rFonts w:eastAsia="Calibri"/>
          <w:sz w:val="24"/>
          <w:lang w:val="en-ZA"/>
        </w:rPr>
        <w:t>t</w:t>
      </w:r>
      <w:r w:rsidR="00E0773B">
        <w:rPr>
          <w:rFonts w:eastAsia="Calibri"/>
          <w:sz w:val="24"/>
          <w:lang w:val="en-ZA"/>
        </w:rPr>
        <w:t>hird party purchasing two of the farms with knowledge of right of pre-emption</w:t>
      </w:r>
      <w:r w:rsidR="005726DC">
        <w:rPr>
          <w:rFonts w:eastAsia="Calibri"/>
          <w:sz w:val="24"/>
          <w:lang w:val="en-ZA"/>
        </w:rPr>
        <w:t xml:space="preserve"> </w:t>
      </w:r>
      <w:r w:rsidR="006313E7">
        <w:rPr>
          <w:rFonts w:eastAsia="Calibri"/>
          <w:sz w:val="24"/>
          <w:lang w:val="en-ZA"/>
        </w:rPr>
        <w:t xml:space="preserve"> </w:t>
      </w:r>
      <w:r w:rsidR="005726DC">
        <w:rPr>
          <w:rFonts w:eastAsia="Calibri"/>
          <w:sz w:val="24"/>
          <w:lang w:val="en-ZA"/>
        </w:rPr>
        <w:t>̶</w:t>
      </w:r>
      <w:r w:rsidR="00CA01CC">
        <w:rPr>
          <w:rFonts w:eastAsia="Calibri"/>
          <w:sz w:val="24"/>
          <w:lang w:val="en-ZA"/>
        </w:rPr>
        <w:t xml:space="preserve"> </w:t>
      </w:r>
      <w:r w:rsidR="005726DC">
        <w:rPr>
          <w:rFonts w:eastAsia="Calibri"/>
          <w:sz w:val="24"/>
          <w:lang w:val="en-ZA"/>
        </w:rPr>
        <w:t xml:space="preserve"> </w:t>
      </w:r>
      <w:r w:rsidR="00B22619">
        <w:rPr>
          <w:rFonts w:eastAsia="Calibri"/>
          <w:sz w:val="24"/>
          <w:lang w:val="en-ZA"/>
        </w:rPr>
        <w:t>r</w:t>
      </w:r>
      <w:r w:rsidR="00654CBB">
        <w:rPr>
          <w:rFonts w:eastAsia="Calibri"/>
          <w:sz w:val="24"/>
          <w:lang w:val="en-ZA"/>
        </w:rPr>
        <w:t>emedy – specific performance</w:t>
      </w:r>
      <w:r w:rsidR="00E0773B">
        <w:rPr>
          <w:rFonts w:eastAsia="Calibri"/>
          <w:sz w:val="24"/>
          <w:lang w:val="en-ZA"/>
        </w:rPr>
        <w:t>, subject to court’s discretion,</w:t>
      </w:r>
      <w:r w:rsidR="00654CBB">
        <w:rPr>
          <w:rFonts w:eastAsia="Calibri"/>
          <w:sz w:val="24"/>
          <w:lang w:val="en-ZA"/>
        </w:rPr>
        <w:t xml:space="preserve"> suitable remedy.</w:t>
      </w:r>
    </w:p>
    <w:p w:rsidR="001354C7" w:rsidRPr="00D33F9B" w:rsidRDefault="001354C7" w:rsidP="00A44E76">
      <w:pPr>
        <w:keepNext/>
        <w:spacing w:line="360" w:lineRule="auto"/>
        <w:jc w:val="both"/>
        <w:rPr>
          <w:sz w:val="24"/>
          <w:lang w:eastAsia="en-GB"/>
        </w:rPr>
      </w:pPr>
      <w:r w:rsidRPr="00D33F9B">
        <w:rPr>
          <w:sz w:val="24"/>
          <w:lang w:eastAsia="en-GB"/>
        </w:rPr>
        <w:lastRenderedPageBreak/>
        <w:t>___________________________________________________________________</w:t>
      </w:r>
    </w:p>
    <w:p w:rsidR="001354C7" w:rsidRPr="00D33F9B" w:rsidRDefault="001354C7" w:rsidP="00A44E76">
      <w:pPr>
        <w:keepNext/>
        <w:spacing w:line="360" w:lineRule="auto"/>
        <w:jc w:val="center"/>
        <w:rPr>
          <w:sz w:val="24"/>
          <w:lang w:eastAsia="en-GB"/>
        </w:rPr>
      </w:pPr>
    </w:p>
    <w:p w:rsidR="001354C7" w:rsidRPr="00D33F9B" w:rsidRDefault="001354C7" w:rsidP="00A44E76">
      <w:pPr>
        <w:keepNext/>
        <w:spacing w:line="360" w:lineRule="auto"/>
        <w:jc w:val="center"/>
        <w:rPr>
          <w:b/>
          <w:bCs/>
          <w:sz w:val="24"/>
          <w:lang w:eastAsia="en-GB"/>
        </w:rPr>
      </w:pPr>
      <w:r w:rsidRPr="00D33F9B">
        <w:rPr>
          <w:b/>
          <w:bCs/>
          <w:sz w:val="24"/>
          <w:lang w:eastAsia="en-GB"/>
        </w:rPr>
        <w:t>ORDER</w:t>
      </w:r>
    </w:p>
    <w:p w:rsidR="001354C7" w:rsidRPr="00D33F9B" w:rsidRDefault="001354C7" w:rsidP="00A44E76">
      <w:pPr>
        <w:spacing w:line="360" w:lineRule="auto"/>
        <w:jc w:val="both"/>
        <w:rPr>
          <w:sz w:val="24"/>
          <w:lang w:eastAsia="en-GB"/>
        </w:rPr>
      </w:pPr>
      <w:r w:rsidRPr="00D33F9B">
        <w:rPr>
          <w:sz w:val="24"/>
          <w:lang w:eastAsia="en-GB"/>
        </w:rPr>
        <w:t>___________________________________________________________________</w:t>
      </w:r>
    </w:p>
    <w:p w:rsidR="001354C7" w:rsidRPr="00D33F9B" w:rsidRDefault="001354C7" w:rsidP="001354C7">
      <w:pPr>
        <w:spacing w:line="360" w:lineRule="auto"/>
        <w:jc w:val="center"/>
        <w:rPr>
          <w:b/>
          <w:bCs/>
          <w:sz w:val="24"/>
          <w:lang w:eastAsia="en-GB"/>
        </w:rPr>
      </w:pPr>
    </w:p>
    <w:p w:rsidR="001354C7" w:rsidRPr="00D33F9B" w:rsidRDefault="001354C7" w:rsidP="001354C7">
      <w:pPr>
        <w:spacing w:line="360" w:lineRule="auto"/>
        <w:jc w:val="both"/>
        <w:rPr>
          <w:sz w:val="24"/>
          <w:lang w:eastAsia="en-GB"/>
        </w:rPr>
      </w:pPr>
      <w:r w:rsidRPr="00D33F9B">
        <w:rPr>
          <w:b/>
          <w:bCs/>
          <w:sz w:val="24"/>
          <w:lang w:eastAsia="en-GB"/>
        </w:rPr>
        <w:t>On appeal from</w:t>
      </w:r>
      <w:r w:rsidRPr="00D33F9B">
        <w:rPr>
          <w:b/>
          <w:sz w:val="20"/>
          <w:szCs w:val="20"/>
          <w:lang w:eastAsia="en-GB"/>
        </w:rPr>
        <w:t>:</w:t>
      </w:r>
      <w:r w:rsidRPr="00D33F9B">
        <w:rPr>
          <w:sz w:val="24"/>
          <w:lang w:eastAsia="en-GB"/>
        </w:rPr>
        <w:t xml:space="preserve"> </w:t>
      </w:r>
      <w:r w:rsidR="00F32340">
        <w:rPr>
          <w:sz w:val="24"/>
          <w:lang w:eastAsia="en-GB"/>
        </w:rPr>
        <w:t>Gauteng Division of the High Court, Pretoria</w:t>
      </w:r>
      <w:r w:rsidR="00433949" w:rsidRPr="00D33F9B">
        <w:rPr>
          <w:sz w:val="24"/>
          <w:lang w:eastAsia="en-GB"/>
        </w:rPr>
        <w:t xml:space="preserve"> (</w:t>
      </w:r>
      <w:r w:rsidR="001E7C82">
        <w:rPr>
          <w:sz w:val="24"/>
          <w:lang w:eastAsia="en-GB"/>
        </w:rPr>
        <w:t>V</w:t>
      </w:r>
      <w:r w:rsidR="00F32340">
        <w:rPr>
          <w:sz w:val="24"/>
          <w:lang w:eastAsia="en-GB"/>
        </w:rPr>
        <w:t xml:space="preserve">an </w:t>
      </w:r>
      <w:r w:rsidR="002B14EE">
        <w:rPr>
          <w:sz w:val="24"/>
          <w:lang w:eastAsia="en-GB"/>
        </w:rPr>
        <w:t>d</w:t>
      </w:r>
      <w:r w:rsidR="00F32340">
        <w:rPr>
          <w:sz w:val="24"/>
          <w:lang w:eastAsia="en-GB"/>
        </w:rPr>
        <w:t>er Westhuizen</w:t>
      </w:r>
      <w:r w:rsidR="00E0773B">
        <w:rPr>
          <w:sz w:val="24"/>
          <w:lang w:eastAsia="en-GB"/>
        </w:rPr>
        <w:t xml:space="preserve"> J</w:t>
      </w:r>
      <w:r w:rsidR="00F32340">
        <w:rPr>
          <w:sz w:val="24"/>
          <w:lang w:eastAsia="en-GB"/>
        </w:rPr>
        <w:t xml:space="preserve"> </w:t>
      </w:r>
      <w:r w:rsidR="00433949" w:rsidRPr="00D33F9B">
        <w:rPr>
          <w:sz w:val="24"/>
          <w:lang w:eastAsia="en-GB"/>
        </w:rPr>
        <w:t>sitting as court of first instance)</w:t>
      </w:r>
      <w:r w:rsidRPr="00D33F9B">
        <w:rPr>
          <w:sz w:val="24"/>
          <w:lang w:eastAsia="en-GB"/>
        </w:rPr>
        <w:t xml:space="preserve">: </w:t>
      </w:r>
    </w:p>
    <w:p w:rsidR="005F121A" w:rsidRPr="00D33F9B" w:rsidRDefault="005F121A" w:rsidP="005F121A">
      <w:pPr>
        <w:spacing w:line="360" w:lineRule="auto"/>
        <w:contextualSpacing/>
        <w:jc w:val="both"/>
        <w:rPr>
          <w:sz w:val="24"/>
        </w:rPr>
      </w:pPr>
      <w:bookmarkStart w:id="1" w:name="_GoBack"/>
    </w:p>
    <w:p w:rsidR="0035568E" w:rsidRDefault="0035568E" w:rsidP="0035568E">
      <w:pPr>
        <w:spacing w:line="360" w:lineRule="auto"/>
        <w:jc w:val="both"/>
        <w:rPr>
          <w:sz w:val="24"/>
          <w:lang w:val="en-ZA"/>
        </w:rPr>
      </w:pPr>
      <w:bookmarkStart w:id="2" w:name="_Hlk115955851"/>
      <w:r>
        <w:rPr>
          <w:sz w:val="24"/>
          <w:lang w:val="en-ZA"/>
        </w:rPr>
        <w:t>1</w:t>
      </w:r>
      <w:r>
        <w:rPr>
          <w:sz w:val="24"/>
          <w:lang w:val="en-ZA"/>
        </w:rPr>
        <w:tab/>
      </w:r>
      <w:r w:rsidRPr="004D222E">
        <w:rPr>
          <w:sz w:val="24"/>
          <w:lang w:val="en-ZA"/>
        </w:rPr>
        <w:t xml:space="preserve">The </w:t>
      </w:r>
      <w:bookmarkEnd w:id="1"/>
      <w:r w:rsidRPr="004D222E">
        <w:rPr>
          <w:sz w:val="24"/>
          <w:lang w:val="en-ZA"/>
        </w:rPr>
        <w:t xml:space="preserve">appeal is upheld with costs, including </w:t>
      </w:r>
      <w:r w:rsidR="00F32340">
        <w:rPr>
          <w:sz w:val="24"/>
          <w:lang w:val="en-ZA"/>
        </w:rPr>
        <w:t xml:space="preserve">the </w:t>
      </w:r>
      <w:r w:rsidRPr="004D222E">
        <w:rPr>
          <w:sz w:val="24"/>
          <w:lang w:val="en-ZA"/>
        </w:rPr>
        <w:t>costs of two counsel.</w:t>
      </w:r>
    </w:p>
    <w:p w:rsidR="00594BB5" w:rsidRPr="004D222E" w:rsidRDefault="00594BB5" w:rsidP="0035568E">
      <w:pPr>
        <w:spacing w:line="360" w:lineRule="auto"/>
        <w:jc w:val="both"/>
        <w:rPr>
          <w:sz w:val="24"/>
          <w:lang w:val="en-ZA"/>
        </w:rPr>
      </w:pPr>
    </w:p>
    <w:p w:rsidR="0035568E" w:rsidRPr="00E85033" w:rsidRDefault="00E85033" w:rsidP="00E85033">
      <w:pPr>
        <w:spacing w:line="360" w:lineRule="auto"/>
        <w:ind w:left="567" w:hanging="567"/>
        <w:jc w:val="both"/>
        <w:rPr>
          <w:sz w:val="24"/>
          <w:lang w:val="en-ZA"/>
        </w:rPr>
      </w:pPr>
      <w:r w:rsidRPr="00882336">
        <w:rPr>
          <w:sz w:val="24"/>
          <w:lang w:val="en-ZA"/>
        </w:rPr>
        <w:t>2</w:t>
      </w:r>
      <w:r w:rsidRPr="00882336">
        <w:rPr>
          <w:sz w:val="24"/>
          <w:lang w:val="en-ZA"/>
        </w:rPr>
        <w:tab/>
      </w:r>
      <w:r w:rsidR="0035568E" w:rsidRPr="00E85033">
        <w:rPr>
          <w:sz w:val="24"/>
          <w:lang w:val="en-ZA"/>
        </w:rPr>
        <w:tab/>
        <w:t>The order of the high court is set aside and replaced with the following:</w:t>
      </w:r>
    </w:p>
    <w:p w:rsidR="0035568E" w:rsidRDefault="0035568E" w:rsidP="00594BB5">
      <w:pPr>
        <w:pStyle w:val="ListParagraph"/>
        <w:spacing w:line="360" w:lineRule="auto"/>
        <w:ind w:left="1080"/>
        <w:jc w:val="both"/>
        <w:rPr>
          <w:sz w:val="24"/>
          <w:lang w:val="en-ZA"/>
        </w:rPr>
      </w:pPr>
    </w:p>
    <w:p w:rsidR="0035568E" w:rsidRDefault="00B23692" w:rsidP="005C0AB0">
      <w:pPr>
        <w:pStyle w:val="ListParagraph"/>
        <w:spacing w:line="360" w:lineRule="auto"/>
        <w:ind w:left="709"/>
        <w:jc w:val="both"/>
        <w:rPr>
          <w:sz w:val="24"/>
          <w:lang w:val="en-ZA"/>
        </w:rPr>
      </w:pPr>
      <w:r>
        <w:rPr>
          <w:sz w:val="24"/>
          <w:lang w:val="en-ZA"/>
        </w:rPr>
        <w:t xml:space="preserve">‘(i) </w:t>
      </w:r>
      <w:r w:rsidR="0035568E">
        <w:rPr>
          <w:sz w:val="24"/>
          <w:lang w:val="en-ZA"/>
        </w:rPr>
        <w:t xml:space="preserve">The plaintiff is </w:t>
      </w:r>
      <w:r w:rsidR="005C0AB0">
        <w:rPr>
          <w:sz w:val="24"/>
          <w:lang w:val="en-ZA"/>
        </w:rPr>
        <w:t>directed</w:t>
      </w:r>
      <w:r w:rsidR="0035568E">
        <w:rPr>
          <w:sz w:val="24"/>
          <w:lang w:val="en-ZA"/>
        </w:rPr>
        <w:t xml:space="preserve"> </w:t>
      </w:r>
      <w:r w:rsidR="00713E4F">
        <w:rPr>
          <w:sz w:val="24"/>
          <w:lang w:val="en-ZA"/>
        </w:rPr>
        <w:t xml:space="preserve">to submit a duly signed </w:t>
      </w:r>
      <w:r w:rsidR="00B07E9C">
        <w:rPr>
          <w:sz w:val="24"/>
          <w:lang w:val="en-ZA"/>
        </w:rPr>
        <w:t>deed of sale</w:t>
      </w:r>
      <w:r w:rsidR="0035568E">
        <w:rPr>
          <w:sz w:val="24"/>
          <w:lang w:val="en-ZA"/>
        </w:rPr>
        <w:t xml:space="preserve"> </w:t>
      </w:r>
      <w:r w:rsidR="00594BB5">
        <w:rPr>
          <w:sz w:val="24"/>
          <w:lang w:val="en-ZA"/>
        </w:rPr>
        <w:t xml:space="preserve">to the defendants </w:t>
      </w:r>
      <w:r w:rsidR="0035568E">
        <w:rPr>
          <w:sz w:val="24"/>
          <w:lang w:val="en-ZA"/>
        </w:rPr>
        <w:t xml:space="preserve">in respect of </w:t>
      </w:r>
      <w:r w:rsidR="00CA01CC">
        <w:rPr>
          <w:sz w:val="24"/>
          <w:lang w:val="en-ZA"/>
        </w:rPr>
        <w:t>P</w:t>
      </w:r>
      <w:r w:rsidR="0035568E">
        <w:rPr>
          <w:sz w:val="24"/>
          <w:lang w:val="en-ZA"/>
        </w:rPr>
        <w:t>ortion</w:t>
      </w:r>
      <w:r w:rsidR="00594BB5">
        <w:rPr>
          <w:sz w:val="24"/>
          <w:lang w:val="en-ZA"/>
        </w:rPr>
        <w:t>s</w:t>
      </w:r>
      <w:r w:rsidR="0035568E">
        <w:rPr>
          <w:sz w:val="24"/>
          <w:lang w:val="en-ZA"/>
        </w:rPr>
        <w:t xml:space="preserve"> 6 </w:t>
      </w:r>
      <w:r w:rsidR="00594BB5">
        <w:rPr>
          <w:sz w:val="24"/>
          <w:lang w:val="en-ZA"/>
        </w:rPr>
        <w:t xml:space="preserve">and 11 of the farm Swarts Rust, </w:t>
      </w:r>
      <w:r w:rsidR="0035568E">
        <w:rPr>
          <w:sz w:val="24"/>
          <w:lang w:val="en-ZA"/>
        </w:rPr>
        <w:t xml:space="preserve">which </w:t>
      </w:r>
      <w:r w:rsidR="00B07E9C">
        <w:rPr>
          <w:sz w:val="24"/>
          <w:lang w:val="en-ZA"/>
        </w:rPr>
        <w:t>deed of sale</w:t>
      </w:r>
      <w:r w:rsidR="0035568E">
        <w:rPr>
          <w:sz w:val="24"/>
          <w:lang w:val="en-ZA"/>
        </w:rPr>
        <w:t xml:space="preserve"> shall contain all the terms and condit</w:t>
      </w:r>
      <w:r w:rsidR="00594BB5">
        <w:rPr>
          <w:sz w:val="24"/>
          <w:lang w:val="en-ZA"/>
        </w:rPr>
        <w:t xml:space="preserve">ions of the Fanie </w:t>
      </w:r>
      <w:r w:rsidR="00B07E9C">
        <w:rPr>
          <w:sz w:val="24"/>
          <w:lang w:val="en-ZA"/>
        </w:rPr>
        <w:t>T</w:t>
      </w:r>
      <w:r w:rsidR="00594BB5">
        <w:rPr>
          <w:sz w:val="24"/>
          <w:lang w:val="en-ZA"/>
        </w:rPr>
        <w:t xml:space="preserve">rust agreement, save for clause 2(d), </w:t>
      </w:r>
      <w:r w:rsidR="0035568E">
        <w:rPr>
          <w:sz w:val="24"/>
          <w:lang w:val="en-ZA"/>
        </w:rPr>
        <w:t>within 14 days from</w:t>
      </w:r>
      <w:r w:rsidR="00713E4F">
        <w:rPr>
          <w:sz w:val="24"/>
          <w:lang w:val="en-ZA"/>
        </w:rPr>
        <w:t xml:space="preserve"> the</w:t>
      </w:r>
      <w:r w:rsidR="0035568E">
        <w:rPr>
          <w:sz w:val="24"/>
          <w:lang w:val="en-ZA"/>
        </w:rPr>
        <w:t xml:space="preserve"> date of this order;</w:t>
      </w:r>
    </w:p>
    <w:p w:rsidR="0035568E" w:rsidRDefault="00B23692" w:rsidP="005C0AB0">
      <w:pPr>
        <w:pStyle w:val="ListParagraph"/>
        <w:spacing w:line="360" w:lineRule="auto"/>
        <w:ind w:left="709"/>
        <w:jc w:val="both"/>
        <w:rPr>
          <w:sz w:val="24"/>
          <w:lang w:val="en-ZA"/>
        </w:rPr>
      </w:pPr>
      <w:r>
        <w:rPr>
          <w:sz w:val="24"/>
          <w:lang w:val="en-ZA"/>
        </w:rPr>
        <w:t xml:space="preserve">(ii) </w:t>
      </w:r>
      <w:r w:rsidR="0035568E">
        <w:rPr>
          <w:sz w:val="24"/>
          <w:lang w:val="en-ZA"/>
        </w:rPr>
        <w:t xml:space="preserve">The defendants </w:t>
      </w:r>
      <w:r w:rsidR="00713E4F">
        <w:rPr>
          <w:sz w:val="24"/>
          <w:lang w:val="en-ZA"/>
        </w:rPr>
        <w:t xml:space="preserve">are ordered to sign the </w:t>
      </w:r>
      <w:r w:rsidR="00B07E9C">
        <w:rPr>
          <w:sz w:val="24"/>
          <w:lang w:val="en-ZA"/>
        </w:rPr>
        <w:t>deed of sale</w:t>
      </w:r>
      <w:r w:rsidR="0035568E">
        <w:rPr>
          <w:sz w:val="24"/>
          <w:lang w:val="en-ZA"/>
        </w:rPr>
        <w:t xml:space="preserve"> submitted to them by the plaintiff within 14 days from date of receipt thereof;</w:t>
      </w:r>
    </w:p>
    <w:p w:rsidR="0035568E" w:rsidRDefault="00B23692" w:rsidP="005C0AB0">
      <w:pPr>
        <w:pStyle w:val="ListParagraph"/>
        <w:spacing w:line="360" w:lineRule="auto"/>
        <w:ind w:left="709"/>
        <w:jc w:val="both"/>
        <w:rPr>
          <w:sz w:val="24"/>
          <w:lang w:val="en-ZA"/>
        </w:rPr>
      </w:pPr>
      <w:r>
        <w:rPr>
          <w:sz w:val="24"/>
          <w:lang w:val="en-ZA"/>
        </w:rPr>
        <w:t xml:space="preserve">(iii) </w:t>
      </w:r>
      <w:r w:rsidR="0035568E">
        <w:rPr>
          <w:sz w:val="24"/>
          <w:lang w:val="en-ZA"/>
        </w:rPr>
        <w:t>Should the defendants fail a</w:t>
      </w:r>
      <w:r w:rsidR="00594BB5">
        <w:rPr>
          <w:sz w:val="24"/>
          <w:lang w:val="en-ZA"/>
        </w:rPr>
        <w:t>nd/or refuse to sign the</w:t>
      </w:r>
      <w:r w:rsidR="0035568E">
        <w:rPr>
          <w:sz w:val="24"/>
          <w:lang w:val="en-ZA"/>
        </w:rPr>
        <w:t xml:space="preserve"> </w:t>
      </w:r>
      <w:r w:rsidR="00B07E9C">
        <w:rPr>
          <w:sz w:val="24"/>
          <w:lang w:val="en-ZA"/>
        </w:rPr>
        <w:t>deed of sale</w:t>
      </w:r>
      <w:r w:rsidR="0035568E">
        <w:rPr>
          <w:sz w:val="24"/>
          <w:lang w:val="en-ZA"/>
        </w:rPr>
        <w:t xml:space="preserve"> aforesaid, the Sheriff of the Court (in which district the properties are situated) is authorised and ordered to si</w:t>
      </w:r>
      <w:r w:rsidR="00594BB5">
        <w:rPr>
          <w:sz w:val="24"/>
          <w:lang w:val="en-ZA"/>
        </w:rPr>
        <w:t>gn the</w:t>
      </w:r>
      <w:r w:rsidR="0035568E">
        <w:rPr>
          <w:sz w:val="24"/>
          <w:lang w:val="en-ZA"/>
        </w:rPr>
        <w:t xml:space="preserve"> </w:t>
      </w:r>
      <w:r w:rsidR="00B07E9C">
        <w:rPr>
          <w:sz w:val="24"/>
          <w:lang w:val="en-ZA"/>
        </w:rPr>
        <w:t>deed of sale</w:t>
      </w:r>
      <w:r w:rsidR="00594BB5">
        <w:rPr>
          <w:sz w:val="24"/>
          <w:lang w:val="en-ZA"/>
        </w:rPr>
        <w:t xml:space="preserve"> on behalf of the defendants</w:t>
      </w:r>
      <w:r w:rsidR="00B07E9C">
        <w:rPr>
          <w:sz w:val="24"/>
          <w:lang w:val="en-ZA"/>
        </w:rPr>
        <w:t>;</w:t>
      </w:r>
    </w:p>
    <w:p w:rsidR="0035568E" w:rsidRDefault="00B23692" w:rsidP="005C0AB0">
      <w:pPr>
        <w:pStyle w:val="ListParagraph"/>
        <w:spacing w:line="360" w:lineRule="auto"/>
        <w:ind w:left="709"/>
        <w:jc w:val="both"/>
        <w:rPr>
          <w:sz w:val="24"/>
          <w:lang w:val="en-ZA"/>
        </w:rPr>
      </w:pPr>
      <w:r>
        <w:rPr>
          <w:sz w:val="24"/>
          <w:lang w:val="en-ZA"/>
        </w:rPr>
        <w:t xml:space="preserve">(iv) </w:t>
      </w:r>
      <w:r w:rsidR="0035568E">
        <w:rPr>
          <w:sz w:val="24"/>
          <w:lang w:val="en-ZA"/>
        </w:rPr>
        <w:t>The defendants are ordered to pa</w:t>
      </w:r>
      <w:r w:rsidR="00594BB5">
        <w:rPr>
          <w:sz w:val="24"/>
          <w:lang w:val="en-ZA"/>
        </w:rPr>
        <w:t xml:space="preserve">y the costs of the action, including the </w:t>
      </w:r>
      <w:r w:rsidR="0035568E">
        <w:rPr>
          <w:sz w:val="24"/>
          <w:lang w:val="en-ZA"/>
        </w:rPr>
        <w:t>costs</w:t>
      </w:r>
      <w:r w:rsidR="00594BB5">
        <w:rPr>
          <w:sz w:val="24"/>
          <w:lang w:val="en-ZA"/>
        </w:rPr>
        <w:t xml:space="preserve"> of two </w:t>
      </w:r>
      <w:r w:rsidR="0035568E">
        <w:rPr>
          <w:sz w:val="24"/>
          <w:lang w:val="en-ZA"/>
        </w:rPr>
        <w:t>counsel.</w:t>
      </w:r>
      <w:r>
        <w:rPr>
          <w:sz w:val="24"/>
          <w:lang w:val="en-ZA"/>
        </w:rPr>
        <w:t>’</w:t>
      </w:r>
    </w:p>
    <w:bookmarkEnd w:id="2"/>
    <w:p w:rsidR="00B23692" w:rsidRPr="004147E4" w:rsidRDefault="00B23692" w:rsidP="00882336">
      <w:pPr>
        <w:pStyle w:val="ListParagraph"/>
        <w:spacing w:line="360" w:lineRule="auto"/>
        <w:ind w:left="1800"/>
        <w:jc w:val="both"/>
        <w:rPr>
          <w:sz w:val="24"/>
          <w:lang w:val="en-ZA"/>
        </w:rPr>
      </w:pPr>
    </w:p>
    <w:p w:rsidR="0035568E" w:rsidRDefault="0035568E" w:rsidP="001354C7">
      <w:pPr>
        <w:spacing w:line="360" w:lineRule="auto"/>
        <w:jc w:val="both"/>
        <w:rPr>
          <w:sz w:val="24"/>
          <w:lang w:eastAsia="en-GB"/>
        </w:rPr>
      </w:pPr>
    </w:p>
    <w:p w:rsidR="00854D16" w:rsidRDefault="00854D16" w:rsidP="001354C7">
      <w:pPr>
        <w:spacing w:line="360" w:lineRule="auto"/>
        <w:jc w:val="both"/>
        <w:rPr>
          <w:sz w:val="24"/>
          <w:lang w:eastAsia="en-GB"/>
        </w:rPr>
      </w:pPr>
    </w:p>
    <w:p w:rsidR="00854D16" w:rsidRDefault="00854D16" w:rsidP="001354C7">
      <w:pPr>
        <w:spacing w:line="360" w:lineRule="auto"/>
        <w:jc w:val="both"/>
        <w:rPr>
          <w:sz w:val="24"/>
          <w:lang w:eastAsia="en-GB"/>
        </w:rPr>
      </w:pPr>
    </w:p>
    <w:p w:rsidR="00854D16" w:rsidRDefault="00854D16" w:rsidP="001354C7">
      <w:pPr>
        <w:spacing w:line="360" w:lineRule="auto"/>
        <w:jc w:val="both"/>
        <w:rPr>
          <w:sz w:val="24"/>
          <w:lang w:eastAsia="en-GB"/>
        </w:rPr>
      </w:pPr>
    </w:p>
    <w:p w:rsidR="00854D16" w:rsidRDefault="00854D16" w:rsidP="001354C7">
      <w:pPr>
        <w:spacing w:line="360" w:lineRule="auto"/>
        <w:jc w:val="both"/>
        <w:rPr>
          <w:sz w:val="24"/>
          <w:lang w:eastAsia="en-GB"/>
        </w:rPr>
      </w:pPr>
    </w:p>
    <w:p w:rsidR="00854D16" w:rsidRDefault="00854D16" w:rsidP="001354C7">
      <w:pPr>
        <w:spacing w:line="360" w:lineRule="auto"/>
        <w:jc w:val="both"/>
        <w:rPr>
          <w:sz w:val="24"/>
          <w:lang w:eastAsia="en-GB"/>
        </w:rPr>
      </w:pPr>
    </w:p>
    <w:p w:rsidR="00854D16" w:rsidRDefault="00854D16" w:rsidP="001354C7">
      <w:pPr>
        <w:spacing w:line="360" w:lineRule="auto"/>
        <w:jc w:val="both"/>
        <w:rPr>
          <w:sz w:val="24"/>
          <w:lang w:eastAsia="en-GB"/>
        </w:rPr>
      </w:pPr>
    </w:p>
    <w:p w:rsidR="00A44E76" w:rsidRDefault="00A44E76" w:rsidP="001354C7">
      <w:pPr>
        <w:spacing w:line="360" w:lineRule="auto"/>
        <w:jc w:val="both"/>
        <w:rPr>
          <w:sz w:val="24"/>
          <w:lang w:eastAsia="en-GB"/>
        </w:rPr>
      </w:pPr>
    </w:p>
    <w:p w:rsidR="00A44E76" w:rsidRDefault="00A44E76" w:rsidP="001354C7">
      <w:pPr>
        <w:spacing w:line="360" w:lineRule="auto"/>
        <w:jc w:val="both"/>
        <w:rPr>
          <w:sz w:val="24"/>
          <w:lang w:eastAsia="en-GB"/>
        </w:rPr>
      </w:pPr>
    </w:p>
    <w:p w:rsidR="00854D16" w:rsidRDefault="00854D16" w:rsidP="001354C7">
      <w:pPr>
        <w:spacing w:line="360" w:lineRule="auto"/>
        <w:jc w:val="both"/>
        <w:rPr>
          <w:sz w:val="24"/>
          <w:lang w:eastAsia="en-GB"/>
        </w:rPr>
      </w:pPr>
    </w:p>
    <w:p w:rsidR="001354C7" w:rsidRPr="00D33F9B" w:rsidRDefault="001354C7" w:rsidP="00A44E76">
      <w:pPr>
        <w:spacing w:line="360" w:lineRule="auto"/>
        <w:jc w:val="both"/>
        <w:rPr>
          <w:sz w:val="24"/>
          <w:lang w:eastAsia="en-GB"/>
        </w:rPr>
      </w:pPr>
      <w:r w:rsidRPr="00D33F9B">
        <w:rPr>
          <w:sz w:val="24"/>
          <w:lang w:eastAsia="en-GB"/>
        </w:rPr>
        <w:lastRenderedPageBreak/>
        <w:t>______________________________________________________________</w:t>
      </w:r>
      <w:r w:rsidR="00A44E76">
        <w:rPr>
          <w:sz w:val="24"/>
          <w:lang w:eastAsia="en-GB"/>
        </w:rPr>
        <w:t>_____</w:t>
      </w:r>
    </w:p>
    <w:p w:rsidR="001354C7" w:rsidRPr="00D33F9B" w:rsidRDefault="001354C7" w:rsidP="00A44E76">
      <w:pPr>
        <w:spacing w:line="360" w:lineRule="auto"/>
        <w:jc w:val="both"/>
        <w:rPr>
          <w:b/>
          <w:bCs/>
          <w:sz w:val="24"/>
          <w:lang w:eastAsia="en-GB"/>
        </w:rPr>
      </w:pPr>
    </w:p>
    <w:p w:rsidR="001354C7" w:rsidRPr="00D33F9B" w:rsidRDefault="001354C7" w:rsidP="00A44E76">
      <w:pPr>
        <w:spacing w:line="360" w:lineRule="auto"/>
        <w:jc w:val="center"/>
        <w:rPr>
          <w:b/>
          <w:bCs/>
          <w:sz w:val="24"/>
          <w:lang w:eastAsia="en-GB"/>
        </w:rPr>
      </w:pPr>
      <w:r w:rsidRPr="00D33F9B">
        <w:rPr>
          <w:b/>
          <w:bCs/>
          <w:sz w:val="24"/>
          <w:lang w:eastAsia="en-GB"/>
        </w:rPr>
        <w:t>JUDGMENT</w:t>
      </w:r>
    </w:p>
    <w:p w:rsidR="001354C7" w:rsidRPr="00D33F9B" w:rsidRDefault="001354C7" w:rsidP="00A44E76">
      <w:pPr>
        <w:spacing w:line="360" w:lineRule="auto"/>
        <w:jc w:val="both"/>
        <w:rPr>
          <w:sz w:val="24"/>
          <w:lang w:eastAsia="en-GB"/>
        </w:rPr>
      </w:pPr>
      <w:r w:rsidRPr="00D33F9B">
        <w:rPr>
          <w:sz w:val="24"/>
          <w:lang w:eastAsia="en-GB"/>
        </w:rPr>
        <w:t>_____________________________________________________________</w:t>
      </w:r>
      <w:r w:rsidR="00A44E76">
        <w:rPr>
          <w:sz w:val="24"/>
          <w:lang w:eastAsia="en-GB"/>
        </w:rPr>
        <w:t>_____</w:t>
      </w:r>
      <w:r w:rsidRPr="00D33F9B">
        <w:rPr>
          <w:sz w:val="24"/>
          <w:lang w:eastAsia="en-GB"/>
        </w:rPr>
        <w:t>_</w:t>
      </w:r>
    </w:p>
    <w:p w:rsidR="001354C7" w:rsidRPr="00D33F9B" w:rsidRDefault="001354C7" w:rsidP="001354C7">
      <w:pPr>
        <w:spacing w:line="360" w:lineRule="auto"/>
        <w:jc w:val="both"/>
        <w:rPr>
          <w:b/>
          <w:sz w:val="24"/>
          <w:lang w:eastAsia="en-GB"/>
        </w:rPr>
      </w:pPr>
    </w:p>
    <w:p w:rsidR="001354C7" w:rsidRPr="00D33F9B" w:rsidRDefault="00854D16" w:rsidP="00E24AF2">
      <w:pPr>
        <w:spacing w:line="360" w:lineRule="auto"/>
        <w:contextualSpacing/>
        <w:jc w:val="both"/>
        <w:rPr>
          <w:b/>
          <w:sz w:val="24"/>
          <w:lang w:eastAsia="en-GB"/>
        </w:rPr>
      </w:pPr>
      <w:r>
        <w:rPr>
          <w:b/>
          <w:sz w:val="24"/>
          <w:lang w:eastAsia="en-GB"/>
        </w:rPr>
        <w:t>Musi</w:t>
      </w:r>
      <w:r w:rsidR="001354C7" w:rsidRPr="00D33F9B">
        <w:rPr>
          <w:b/>
          <w:sz w:val="24"/>
          <w:lang w:eastAsia="en-GB"/>
        </w:rPr>
        <w:t xml:space="preserve"> </w:t>
      </w:r>
      <w:r>
        <w:rPr>
          <w:b/>
          <w:sz w:val="24"/>
          <w:lang w:eastAsia="en-GB"/>
        </w:rPr>
        <w:t>A</w:t>
      </w:r>
      <w:r w:rsidR="001354C7" w:rsidRPr="00D33F9B">
        <w:rPr>
          <w:b/>
          <w:sz w:val="24"/>
          <w:lang w:eastAsia="en-GB"/>
        </w:rPr>
        <w:t>JA (</w:t>
      </w:r>
      <w:r w:rsidR="00A44E76">
        <w:rPr>
          <w:b/>
          <w:sz w:val="24"/>
          <w:lang w:eastAsia="en-GB"/>
        </w:rPr>
        <w:t xml:space="preserve">Zondi, Molemela, Plasket and Mabindla-Boqwana JJA </w:t>
      </w:r>
      <w:r w:rsidR="00922C0A">
        <w:rPr>
          <w:b/>
          <w:sz w:val="24"/>
          <w:lang w:eastAsia="en-GB"/>
        </w:rPr>
        <w:t>concurring</w:t>
      </w:r>
      <w:r w:rsidR="001354C7" w:rsidRPr="00D33F9B">
        <w:rPr>
          <w:b/>
          <w:sz w:val="24"/>
          <w:lang w:eastAsia="en-GB"/>
        </w:rPr>
        <w:t>):</w:t>
      </w:r>
    </w:p>
    <w:p w:rsidR="001354C7" w:rsidRPr="00D33F9B" w:rsidRDefault="001354C7" w:rsidP="00E24AF2">
      <w:pPr>
        <w:spacing w:after="200" w:line="360" w:lineRule="auto"/>
        <w:contextualSpacing/>
        <w:jc w:val="both"/>
        <w:rPr>
          <w:rFonts w:eastAsia="Calibri"/>
          <w:sz w:val="24"/>
          <w:lang w:val="en-ZA"/>
        </w:rPr>
      </w:pPr>
    </w:p>
    <w:p w:rsidR="00FA7D6F" w:rsidRPr="00D33F9B" w:rsidRDefault="00FA7D6F" w:rsidP="00E24AF2">
      <w:pPr>
        <w:spacing w:after="200" w:line="360" w:lineRule="auto"/>
        <w:contextualSpacing/>
        <w:jc w:val="both"/>
        <w:rPr>
          <w:rFonts w:eastAsia="Calibri"/>
          <w:b/>
          <w:sz w:val="24"/>
          <w:lang w:val="en-ZA"/>
        </w:rPr>
      </w:pPr>
      <w:r w:rsidRPr="00D33F9B">
        <w:rPr>
          <w:rFonts w:eastAsia="Calibri"/>
          <w:b/>
          <w:sz w:val="24"/>
          <w:lang w:val="en-ZA"/>
        </w:rPr>
        <w:t>Introduction</w:t>
      </w:r>
    </w:p>
    <w:p w:rsidR="004D222E" w:rsidRPr="004D222E" w:rsidRDefault="00EC5774" w:rsidP="00E24AF2">
      <w:pPr>
        <w:spacing w:line="360" w:lineRule="auto"/>
        <w:jc w:val="both"/>
        <w:rPr>
          <w:sz w:val="24"/>
          <w:lang w:val="en-ZA"/>
        </w:rPr>
      </w:pPr>
      <w:r w:rsidRPr="006A3099">
        <w:rPr>
          <w:sz w:val="24"/>
          <w:lang w:val="en-ZA"/>
        </w:rPr>
        <w:t>[1]</w:t>
      </w:r>
      <w:r>
        <w:rPr>
          <w:sz w:val="24"/>
          <w:lang w:val="en-ZA"/>
        </w:rPr>
        <w:tab/>
      </w:r>
      <w:r w:rsidR="004D222E" w:rsidRPr="004D222E">
        <w:rPr>
          <w:sz w:val="24"/>
          <w:lang w:val="en-ZA"/>
        </w:rPr>
        <w:t>This appeal, which is with the leave of this Court, is against the judgment of the Gauteng Division of the High Court, Pretoria (the high court). The appeal concerns a dispute about the validity and</w:t>
      </w:r>
      <w:r w:rsidR="00F32340">
        <w:rPr>
          <w:sz w:val="24"/>
          <w:lang w:val="en-ZA"/>
        </w:rPr>
        <w:t xml:space="preserve"> enforceability of a</w:t>
      </w:r>
      <w:r w:rsidR="004D222E" w:rsidRPr="004D222E">
        <w:rPr>
          <w:sz w:val="24"/>
          <w:lang w:val="en-ZA"/>
        </w:rPr>
        <w:t xml:space="preserve"> right </w:t>
      </w:r>
      <w:r w:rsidR="00F32340">
        <w:rPr>
          <w:sz w:val="24"/>
          <w:lang w:val="en-ZA"/>
        </w:rPr>
        <w:t xml:space="preserve">of pre-emption </w:t>
      </w:r>
      <w:r w:rsidR="004D222E" w:rsidRPr="004D222E">
        <w:rPr>
          <w:sz w:val="24"/>
          <w:lang w:val="en-ZA"/>
        </w:rPr>
        <w:t>contained in a lease agreement. The high court found that there was no valid and enforceable pre-empti</w:t>
      </w:r>
      <w:r w:rsidR="00922C0A">
        <w:rPr>
          <w:sz w:val="24"/>
          <w:lang w:val="en-ZA"/>
        </w:rPr>
        <w:t>on</w:t>
      </w:r>
      <w:r w:rsidR="004D222E" w:rsidRPr="004D222E">
        <w:rPr>
          <w:sz w:val="24"/>
          <w:lang w:val="en-ZA"/>
        </w:rPr>
        <w:t xml:space="preserve"> clause in the lease agreement and consequently dismissed the claim. Mrs de Beer (the </w:t>
      </w:r>
      <w:r w:rsidR="00E0773B">
        <w:rPr>
          <w:sz w:val="24"/>
          <w:lang w:val="en-ZA"/>
        </w:rPr>
        <w:t xml:space="preserve">erstwhile </w:t>
      </w:r>
      <w:r w:rsidR="004D222E" w:rsidRPr="004D222E">
        <w:rPr>
          <w:sz w:val="24"/>
          <w:lang w:val="en-ZA"/>
        </w:rPr>
        <w:t>second respondent) passed on after the proceedings were instituted.</w:t>
      </w:r>
      <w:r w:rsidR="00E0773B">
        <w:rPr>
          <w:sz w:val="24"/>
          <w:lang w:val="en-ZA"/>
        </w:rPr>
        <w:t xml:space="preserve"> The current second respondent is the executor of her estate.</w:t>
      </w:r>
      <w:r w:rsidR="004D222E" w:rsidRPr="004D222E">
        <w:rPr>
          <w:sz w:val="24"/>
          <w:lang w:val="en-ZA"/>
        </w:rPr>
        <w:t xml:space="preserve"> Although the lease agreement was entered into between the appellant </w:t>
      </w:r>
      <w:r w:rsidR="00F32340">
        <w:rPr>
          <w:sz w:val="24"/>
          <w:lang w:val="en-ZA"/>
        </w:rPr>
        <w:t>(</w:t>
      </w:r>
      <w:r w:rsidR="00713E4F">
        <w:rPr>
          <w:sz w:val="24"/>
          <w:lang w:val="en-ZA"/>
        </w:rPr>
        <w:t xml:space="preserve">the </w:t>
      </w:r>
      <w:r w:rsidR="00F32340">
        <w:rPr>
          <w:sz w:val="24"/>
          <w:lang w:val="en-ZA"/>
        </w:rPr>
        <w:t xml:space="preserve">plaintiff) </w:t>
      </w:r>
      <w:r w:rsidR="004D222E" w:rsidRPr="004D222E">
        <w:rPr>
          <w:sz w:val="24"/>
          <w:lang w:val="en-ZA"/>
        </w:rPr>
        <w:t>and the responden</w:t>
      </w:r>
      <w:r w:rsidR="00F32340">
        <w:rPr>
          <w:sz w:val="24"/>
          <w:lang w:val="en-ZA"/>
        </w:rPr>
        <w:t>ts (the de Beers), the plaintiff</w:t>
      </w:r>
      <w:r w:rsidR="004D222E" w:rsidRPr="004D222E">
        <w:rPr>
          <w:sz w:val="24"/>
          <w:lang w:val="en-ZA"/>
        </w:rPr>
        <w:t>’s brother Mr Mari</w:t>
      </w:r>
      <w:r w:rsidR="00B23692">
        <w:rPr>
          <w:sz w:val="24"/>
          <w:lang w:val="en-ZA"/>
        </w:rPr>
        <w:t>u</w:t>
      </w:r>
      <w:r w:rsidR="004D222E" w:rsidRPr="004D222E">
        <w:rPr>
          <w:sz w:val="24"/>
          <w:lang w:val="en-ZA"/>
        </w:rPr>
        <w:t xml:space="preserve">s Nel played a pivotal role in the dispute. </w:t>
      </w:r>
    </w:p>
    <w:p w:rsidR="004D222E" w:rsidRDefault="004D222E" w:rsidP="00E24AF2">
      <w:pPr>
        <w:spacing w:line="360" w:lineRule="auto"/>
        <w:jc w:val="both"/>
        <w:rPr>
          <w:sz w:val="24"/>
          <w:lang w:val="en-ZA"/>
        </w:rPr>
      </w:pPr>
    </w:p>
    <w:p w:rsidR="004D222E" w:rsidRDefault="004D222E" w:rsidP="00E24AF2">
      <w:pPr>
        <w:spacing w:line="360" w:lineRule="auto"/>
        <w:jc w:val="both"/>
        <w:rPr>
          <w:b/>
          <w:sz w:val="24"/>
          <w:lang w:val="en-ZA"/>
        </w:rPr>
      </w:pPr>
      <w:r w:rsidRPr="004D222E">
        <w:rPr>
          <w:b/>
          <w:sz w:val="24"/>
          <w:lang w:val="en-ZA"/>
        </w:rPr>
        <w:t>Facts</w:t>
      </w:r>
    </w:p>
    <w:p w:rsidR="004D222E" w:rsidRDefault="00EC5774" w:rsidP="00E24AF2">
      <w:pPr>
        <w:spacing w:line="360" w:lineRule="auto"/>
        <w:jc w:val="both"/>
        <w:rPr>
          <w:sz w:val="24"/>
          <w:lang w:val="en-ZA"/>
        </w:rPr>
      </w:pPr>
      <w:r>
        <w:rPr>
          <w:sz w:val="24"/>
          <w:lang w:val="en-ZA"/>
        </w:rPr>
        <w:t>[2]</w:t>
      </w:r>
      <w:r>
        <w:rPr>
          <w:sz w:val="24"/>
          <w:lang w:val="en-ZA"/>
        </w:rPr>
        <w:tab/>
      </w:r>
      <w:r w:rsidR="004D222E" w:rsidRPr="004D222E">
        <w:rPr>
          <w:sz w:val="24"/>
          <w:lang w:val="en-ZA"/>
        </w:rPr>
        <w:t>On 20 November 2008, the plaintiff and the de Beers entered into a lease agreement in terms of which the plaintiff leased five farms from the de Beers for a period of three</w:t>
      </w:r>
      <w:r w:rsidR="00713E4F">
        <w:rPr>
          <w:sz w:val="24"/>
          <w:lang w:val="en-ZA"/>
        </w:rPr>
        <w:t xml:space="preserve"> years (the capacity in which the plaintiff</w:t>
      </w:r>
      <w:r w:rsidR="004D222E" w:rsidRPr="004D222E">
        <w:rPr>
          <w:sz w:val="24"/>
          <w:lang w:val="en-ZA"/>
        </w:rPr>
        <w:t xml:space="preserve"> entered into the lease agreement is in dispute</w:t>
      </w:r>
      <w:r w:rsidR="00B22619" w:rsidRPr="00B95027">
        <w:rPr>
          <w:sz w:val="24"/>
          <w:lang w:val="en-ZA"/>
        </w:rPr>
        <w:t>, and will be dealt with below</w:t>
      </w:r>
      <w:r w:rsidR="004D222E" w:rsidRPr="00B95027">
        <w:rPr>
          <w:sz w:val="24"/>
          <w:lang w:val="en-ZA"/>
        </w:rPr>
        <w:t>).</w:t>
      </w:r>
      <w:r w:rsidR="004D222E" w:rsidRPr="004D222E">
        <w:rPr>
          <w:sz w:val="24"/>
          <w:lang w:val="en-ZA"/>
        </w:rPr>
        <w:t xml:space="preserve"> The five farms consisted of two portions of the farm Welgevonden (</w:t>
      </w:r>
      <w:r w:rsidR="00B07E9C">
        <w:rPr>
          <w:sz w:val="24"/>
          <w:lang w:val="en-ZA"/>
        </w:rPr>
        <w:t>P</w:t>
      </w:r>
      <w:r w:rsidR="004D222E" w:rsidRPr="004D222E">
        <w:rPr>
          <w:sz w:val="24"/>
          <w:lang w:val="en-ZA"/>
        </w:rPr>
        <w:t xml:space="preserve">ortion 18 – a portion of </w:t>
      </w:r>
      <w:r w:rsidR="00B07E9C">
        <w:rPr>
          <w:sz w:val="24"/>
          <w:lang w:val="en-ZA"/>
        </w:rPr>
        <w:t>P</w:t>
      </w:r>
      <w:r w:rsidR="004D222E" w:rsidRPr="004D222E">
        <w:rPr>
          <w:sz w:val="24"/>
          <w:lang w:val="en-ZA"/>
        </w:rPr>
        <w:t xml:space="preserve">ortion 1 – and </w:t>
      </w:r>
      <w:r w:rsidR="00B07E9C">
        <w:rPr>
          <w:sz w:val="24"/>
          <w:lang w:val="en-ZA"/>
        </w:rPr>
        <w:t>P</w:t>
      </w:r>
      <w:r w:rsidR="004D222E" w:rsidRPr="004D222E">
        <w:rPr>
          <w:sz w:val="24"/>
          <w:lang w:val="en-ZA"/>
        </w:rPr>
        <w:t xml:space="preserve">ortion 20 – a portion of </w:t>
      </w:r>
      <w:r w:rsidR="00B07E9C">
        <w:rPr>
          <w:sz w:val="24"/>
          <w:lang w:val="en-ZA"/>
        </w:rPr>
        <w:t>P</w:t>
      </w:r>
      <w:r w:rsidR="004D222E" w:rsidRPr="004D222E">
        <w:rPr>
          <w:sz w:val="24"/>
          <w:lang w:val="en-ZA"/>
        </w:rPr>
        <w:t xml:space="preserve">ortion 18), as well as three </w:t>
      </w:r>
      <w:r w:rsidR="00B07E9C">
        <w:rPr>
          <w:sz w:val="24"/>
          <w:lang w:val="en-ZA"/>
        </w:rPr>
        <w:t>P</w:t>
      </w:r>
      <w:r w:rsidR="004D222E" w:rsidRPr="004D222E">
        <w:rPr>
          <w:sz w:val="24"/>
          <w:lang w:val="en-ZA"/>
        </w:rPr>
        <w:t>ortions of the farm Swarts Rust (</w:t>
      </w:r>
      <w:r w:rsidR="00CA01CC">
        <w:rPr>
          <w:sz w:val="24"/>
          <w:lang w:val="en-ZA"/>
        </w:rPr>
        <w:t>P</w:t>
      </w:r>
      <w:r w:rsidR="004D222E" w:rsidRPr="004D222E">
        <w:rPr>
          <w:sz w:val="24"/>
          <w:lang w:val="en-ZA"/>
        </w:rPr>
        <w:t xml:space="preserve">ortions 2, 6 and 11). All the portions were separately registered. </w:t>
      </w:r>
      <w:r w:rsidR="004D222E" w:rsidRPr="00B95027">
        <w:rPr>
          <w:sz w:val="24"/>
          <w:lang w:val="en-ZA"/>
        </w:rPr>
        <w:t>The</w:t>
      </w:r>
      <w:r w:rsidR="00B22619" w:rsidRPr="00B95027">
        <w:rPr>
          <w:sz w:val="24"/>
          <w:lang w:val="en-ZA"/>
        </w:rPr>
        <w:t xml:space="preserve"> </w:t>
      </w:r>
      <w:r w:rsidR="00B22619" w:rsidRPr="00084A34">
        <w:rPr>
          <w:sz w:val="24"/>
          <w:lang w:val="en-ZA"/>
        </w:rPr>
        <w:t>parties</w:t>
      </w:r>
      <w:r w:rsidR="004D222E" w:rsidRPr="00B95027">
        <w:rPr>
          <w:sz w:val="24"/>
          <w:lang w:val="en-ZA"/>
        </w:rPr>
        <w:t xml:space="preserve"> agreed</w:t>
      </w:r>
      <w:r w:rsidR="004D222E" w:rsidRPr="004D222E">
        <w:rPr>
          <w:sz w:val="24"/>
          <w:lang w:val="en-ZA"/>
        </w:rPr>
        <w:t xml:space="preserve"> that the extent of the land was 600 hectares.</w:t>
      </w:r>
    </w:p>
    <w:p w:rsidR="004D222E" w:rsidRPr="004D222E" w:rsidRDefault="004D222E" w:rsidP="00E24AF2">
      <w:pPr>
        <w:spacing w:line="360" w:lineRule="auto"/>
        <w:jc w:val="both"/>
        <w:rPr>
          <w:sz w:val="24"/>
          <w:lang w:val="en-ZA"/>
        </w:rPr>
      </w:pPr>
      <w:r w:rsidRPr="004D222E">
        <w:rPr>
          <w:sz w:val="24"/>
          <w:lang w:val="en-ZA"/>
        </w:rPr>
        <w:t xml:space="preserve"> </w:t>
      </w:r>
    </w:p>
    <w:p w:rsidR="004D222E" w:rsidRPr="004D222E" w:rsidRDefault="00EC5774" w:rsidP="00E24AF2">
      <w:pPr>
        <w:spacing w:line="360" w:lineRule="auto"/>
        <w:jc w:val="both"/>
        <w:rPr>
          <w:sz w:val="24"/>
          <w:lang w:val="en-ZA"/>
        </w:rPr>
      </w:pPr>
      <w:r>
        <w:rPr>
          <w:sz w:val="24"/>
          <w:lang w:val="en-ZA"/>
        </w:rPr>
        <w:t>[3]</w:t>
      </w:r>
      <w:r>
        <w:rPr>
          <w:sz w:val="24"/>
          <w:lang w:val="en-ZA"/>
        </w:rPr>
        <w:tab/>
      </w:r>
      <w:r w:rsidR="004D222E" w:rsidRPr="004D222E">
        <w:rPr>
          <w:sz w:val="24"/>
          <w:lang w:val="en-ZA"/>
        </w:rPr>
        <w:t xml:space="preserve">The plaintiff initially desired to have an option to purchase the </w:t>
      </w:r>
      <w:r w:rsidR="006A3099">
        <w:rPr>
          <w:sz w:val="24"/>
          <w:lang w:val="en-ZA"/>
        </w:rPr>
        <w:t>farms</w:t>
      </w:r>
      <w:r w:rsidR="004D222E" w:rsidRPr="004D222E">
        <w:rPr>
          <w:sz w:val="24"/>
          <w:lang w:val="en-ZA"/>
        </w:rPr>
        <w:t xml:space="preserve">. However, the parties agreed to include a right of pre-emption in favour of the plaintiff. The right </w:t>
      </w:r>
      <w:r w:rsidR="006A3099">
        <w:rPr>
          <w:sz w:val="24"/>
          <w:lang w:val="en-ZA"/>
        </w:rPr>
        <w:t xml:space="preserve">of pre-emption </w:t>
      </w:r>
      <w:r w:rsidR="004D222E" w:rsidRPr="004D222E">
        <w:rPr>
          <w:sz w:val="24"/>
          <w:lang w:val="en-ZA"/>
        </w:rPr>
        <w:t>read as follows:</w:t>
      </w:r>
    </w:p>
    <w:p w:rsidR="004D222E" w:rsidRPr="004D222E" w:rsidRDefault="004D222E" w:rsidP="00E24AF2">
      <w:pPr>
        <w:spacing w:line="360" w:lineRule="auto"/>
        <w:jc w:val="both"/>
        <w:rPr>
          <w:sz w:val="24"/>
          <w:lang w:val="en-ZA"/>
        </w:rPr>
      </w:pPr>
      <w:r w:rsidRPr="004D222E">
        <w:rPr>
          <w:sz w:val="24"/>
          <w:lang w:val="en-ZA"/>
        </w:rPr>
        <w:lastRenderedPageBreak/>
        <w:t>‘</w:t>
      </w:r>
      <w:r w:rsidRPr="004D222E">
        <w:rPr>
          <w:sz w:val="22"/>
          <w:szCs w:val="22"/>
          <w:lang w:val="en-ZA"/>
        </w:rPr>
        <w:t>Die verhuurder verleen hiermee aan die huurder die eerste reg om die gemelde eiendomme voor die verstryking van hierdie huurkontrak te koop</w:t>
      </w:r>
      <w:r w:rsidRPr="004D222E">
        <w:rPr>
          <w:sz w:val="24"/>
          <w:lang w:val="en-ZA"/>
        </w:rPr>
        <w:t>.’</w:t>
      </w:r>
      <w:r w:rsidRPr="004D222E">
        <w:rPr>
          <w:rStyle w:val="FootnoteReference"/>
          <w:sz w:val="24"/>
          <w:lang w:val="en-ZA"/>
        </w:rPr>
        <w:footnoteReference w:id="1"/>
      </w:r>
    </w:p>
    <w:p w:rsidR="004D222E" w:rsidRDefault="004D222E" w:rsidP="00AF6E6E">
      <w:pPr>
        <w:tabs>
          <w:tab w:val="left" w:pos="4820"/>
        </w:tabs>
        <w:spacing w:line="360" w:lineRule="auto"/>
        <w:jc w:val="both"/>
        <w:rPr>
          <w:sz w:val="24"/>
          <w:lang w:val="en-ZA"/>
        </w:rPr>
      </w:pPr>
      <w:r w:rsidRPr="004D222E">
        <w:rPr>
          <w:sz w:val="24"/>
          <w:lang w:val="en-ZA"/>
        </w:rPr>
        <w:t>On 30 July 2009, whilst the lease agreement was extant, and unbeknown to the plaintiff, the de Beers concluded a sale agreement with the Fanie Trust (represented by Mr Mari</w:t>
      </w:r>
      <w:r w:rsidR="00882DA7">
        <w:rPr>
          <w:sz w:val="24"/>
          <w:lang w:val="en-ZA"/>
        </w:rPr>
        <w:t>u</w:t>
      </w:r>
      <w:r w:rsidRPr="004D222E">
        <w:rPr>
          <w:sz w:val="24"/>
          <w:lang w:val="en-ZA"/>
        </w:rPr>
        <w:t xml:space="preserve">s Nel) in terms of which </w:t>
      </w:r>
      <w:r w:rsidR="00B07E9C">
        <w:rPr>
          <w:sz w:val="24"/>
          <w:lang w:val="en-ZA"/>
        </w:rPr>
        <w:t>P</w:t>
      </w:r>
      <w:r w:rsidRPr="004D222E">
        <w:rPr>
          <w:sz w:val="24"/>
          <w:lang w:val="en-ZA"/>
        </w:rPr>
        <w:t xml:space="preserve">ortions 6 and 11 of the farm Swarts Rust </w:t>
      </w:r>
      <w:r w:rsidR="006C182C">
        <w:rPr>
          <w:sz w:val="24"/>
          <w:lang w:val="en-ZA"/>
        </w:rPr>
        <w:t>(</w:t>
      </w:r>
      <w:r w:rsidR="00AF6E6E">
        <w:rPr>
          <w:sz w:val="24"/>
          <w:lang w:val="en-ZA"/>
        </w:rPr>
        <w:t>P</w:t>
      </w:r>
      <w:r w:rsidR="006C182C">
        <w:rPr>
          <w:sz w:val="24"/>
          <w:lang w:val="en-ZA"/>
        </w:rPr>
        <w:t xml:space="preserve">ortions 6 and 11) </w:t>
      </w:r>
      <w:r w:rsidRPr="004D222E">
        <w:rPr>
          <w:sz w:val="24"/>
          <w:lang w:val="en-ZA"/>
        </w:rPr>
        <w:t>were sold for R3 137 103 (the Fanie Trust agreement). On the same day the Moladora Trust (represented by Mr Mar</w:t>
      </w:r>
      <w:r w:rsidR="00882336">
        <w:rPr>
          <w:sz w:val="24"/>
          <w:lang w:val="en-ZA"/>
        </w:rPr>
        <w:t>i</w:t>
      </w:r>
      <w:r w:rsidRPr="004D222E">
        <w:rPr>
          <w:sz w:val="24"/>
          <w:lang w:val="en-ZA"/>
        </w:rPr>
        <w:t>us Nel) sold two farms (</w:t>
      </w:r>
      <w:r w:rsidR="00B07E9C">
        <w:rPr>
          <w:sz w:val="24"/>
          <w:lang w:val="en-ZA"/>
        </w:rPr>
        <w:t>P</w:t>
      </w:r>
      <w:r w:rsidRPr="004D222E">
        <w:rPr>
          <w:sz w:val="24"/>
          <w:lang w:val="en-ZA"/>
        </w:rPr>
        <w:t xml:space="preserve">ortion 15 – a portion of </w:t>
      </w:r>
      <w:r w:rsidR="005726DC">
        <w:rPr>
          <w:sz w:val="24"/>
          <w:lang w:val="en-ZA"/>
        </w:rPr>
        <w:t>P</w:t>
      </w:r>
      <w:r w:rsidR="00C200A1">
        <w:rPr>
          <w:sz w:val="24"/>
          <w:lang w:val="en-ZA"/>
        </w:rPr>
        <w:t>o</w:t>
      </w:r>
      <w:r w:rsidRPr="004D222E">
        <w:rPr>
          <w:sz w:val="24"/>
          <w:lang w:val="en-ZA"/>
        </w:rPr>
        <w:t xml:space="preserve">rtion 5 of the farm Rietkuil and </w:t>
      </w:r>
      <w:r w:rsidR="005726DC">
        <w:rPr>
          <w:sz w:val="24"/>
          <w:lang w:val="en-ZA"/>
        </w:rPr>
        <w:t>P</w:t>
      </w:r>
      <w:r w:rsidRPr="004D222E">
        <w:rPr>
          <w:sz w:val="24"/>
          <w:lang w:val="en-ZA"/>
        </w:rPr>
        <w:t xml:space="preserve">ortion 16 a portion of </w:t>
      </w:r>
      <w:r w:rsidR="005726DC">
        <w:rPr>
          <w:sz w:val="24"/>
          <w:lang w:val="en-ZA"/>
        </w:rPr>
        <w:t>P</w:t>
      </w:r>
      <w:r w:rsidRPr="004D222E">
        <w:rPr>
          <w:sz w:val="24"/>
          <w:lang w:val="en-ZA"/>
        </w:rPr>
        <w:t>ortion 12 of the farm Doornfontein) to the de</w:t>
      </w:r>
      <w:r w:rsidR="00C200A1">
        <w:rPr>
          <w:sz w:val="24"/>
          <w:lang w:val="en-ZA"/>
        </w:rPr>
        <w:t xml:space="preserve"> Beers for R2 100 000 (the Mo</w:t>
      </w:r>
      <w:r w:rsidRPr="004D222E">
        <w:rPr>
          <w:sz w:val="24"/>
          <w:lang w:val="en-ZA"/>
        </w:rPr>
        <w:t>ladora Trust agreement).</w:t>
      </w:r>
    </w:p>
    <w:p w:rsidR="004D222E" w:rsidRPr="004D222E" w:rsidRDefault="004D222E" w:rsidP="00E24AF2">
      <w:pPr>
        <w:spacing w:line="360" w:lineRule="auto"/>
        <w:jc w:val="both"/>
        <w:rPr>
          <w:sz w:val="24"/>
          <w:lang w:val="en-ZA"/>
        </w:rPr>
      </w:pPr>
    </w:p>
    <w:p w:rsidR="004D222E" w:rsidRDefault="00EC5774" w:rsidP="00E24AF2">
      <w:pPr>
        <w:spacing w:line="360" w:lineRule="auto"/>
        <w:jc w:val="both"/>
        <w:rPr>
          <w:sz w:val="24"/>
          <w:lang w:val="en-ZA"/>
        </w:rPr>
      </w:pPr>
      <w:r>
        <w:rPr>
          <w:sz w:val="24"/>
          <w:lang w:val="en-ZA"/>
        </w:rPr>
        <w:t>[4]</w:t>
      </w:r>
      <w:r>
        <w:rPr>
          <w:sz w:val="24"/>
          <w:lang w:val="en-ZA"/>
        </w:rPr>
        <w:tab/>
      </w:r>
      <w:r w:rsidR="004D222E" w:rsidRPr="004D222E">
        <w:rPr>
          <w:sz w:val="24"/>
          <w:lang w:val="en-ZA"/>
        </w:rPr>
        <w:t xml:space="preserve">The Fanie Trust agreement stated that the properties shall not be registered before 1 November 2011, a day after the expiry of the lease agreement and consequently the right </w:t>
      </w:r>
      <w:r w:rsidR="006A3099">
        <w:rPr>
          <w:sz w:val="24"/>
          <w:lang w:val="en-ZA"/>
        </w:rPr>
        <w:t xml:space="preserve">of pre-emption </w:t>
      </w:r>
      <w:r w:rsidR="004D222E" w:rsidRPr="004D222E">
        <w:rPr>
          <w:sz w:val="24"/>
          <w:lang w:val="en-ZA"/>
        </w:rPr>
        <w:t xml:space="preserve">(clause 2(c)). The parties agreed, in clause 2(d) of both sale </w:t>
      </w:r>
      <w:r w:rsidR="00854D16" w:rsidRPr="004D222E">
        <w:rPr>
          <w:sz w:val="24"/>
          <w:lang w:val="en-ZA"/>
        </w:rPr>
        <w:t>agreements</w:t>
      </w:r>
      <w:r w:rsidR="00CD7E1A">
        <w:rPr>
          <w:sz w:val="24"/>
          <w:lang w:val="en-ZA"/>
        </w:rPr>
        <w:t>,</w:t>
      </w:r>
      <w:r w:rsidR="00A44E76">
        <w:rPr>
          <w:sz w:val="24"/>
          <w:lang w:val="en-ZA"/>
        </w:rPr>
        <w:t xml:space="preserve"> </w:t>
      </w:r>
      <w:r w:rsidR="00854D16" w:rsidRPr="004D222E">
        <w:rPr>
          <w:sz w:val="24"/>
          <w:lang w:val="en-ZA"/>
        </w:rPr>
        <w:t>that</w:t>
      </w:r>
      <w:r w:rsidR="004D222E" w:rsidRPr="004D222E">
        <w:rPr>
          <w:sz w:val="24"/>
          <w:lang w:val="en-ZA"/>
        </w:rPr>
        <w:t xml:space="preserve"> the registration of the properties in the Fanie Trust agreement must be done simultaneously</w:t>
      </w:r>
      <w:r w:rsidR="00C200A1">
        <w:rPr>
          <w:sz w:val="24"/>
          <w:lang w:val="en-ZA"/>
        </w:rPr>
        <w:t xml:space="preserve"> with the registration </w:t>
      </w:r>
      <w:r w:rsidR="00B95027">
        <w:rPr>
          <w:sz w:val="24"/>
          <w:lang w:val="en-ZA"/>
        </w:rPr>
        <w:t>of t</w:t>
      </w:r>
      <w:r w:rsidR="00B07E9C">
        <w:rPr>
          <w:sz w:val="24"/>
          <w:lang w:val="en-ZA"/>
        </w:rPr>
        <w:t>he</w:t>
      </w:r>
      <w:r w:rsidR="00B95027">
        <w:rPr>
          <w:sz w:val="24"/>
          <w:lang w:val="en-ZA"/>
        </w:rPr>
        <w:t xml:space="preserve"> </w:t>
      </w:r>
      <w:r w:rsidR="00B22619" w:rsidRPr="00084A34">
        <w:rPr>
          <w:sz w:val="24"/>
          <w:lang w:val="en-ZA"/>
        </w:rPr>
        <w:t>properties</w:t>
      </w:r>
      <w:r w:rsidR="00037E7C" w:rsidRPr="00084A34">
        <w:rPr>
          <w:sz w:val="24"/>
          <w:lang w:val="en-ZA"/>
        </w:rPr>
        <w:t xml:space="preserve"> in the</w:t>
      </w:r>
      <w:r w:rsidR="00C200A1">
        <w:rPr>
          <w:sz w:val="24"/>
          <w:lang w:val="en-ZA"/>
        </w:rPr>
        <w:t xml:space="preserve"> Mo</w:t>
      </w:r>
      <w:r w:rsidR="004D222E" w:rsidRPr="004D222E">
        <w:rPr>
          <w:sz w:val="24"/>
          <w:lang w:val="en-ZA"/>
        </w:rPr>
        <w:t xml:space="preserve">ladora Trust agreement. They further acknowledged, in the Fanie </w:t>
      </w:r>
      <w:r w:rsidR="00B07E9C">
        <w:rPr>
          <w:sz w:val="24"/>
          <w:lang w:val="en-ZA"/>
        </w:rPr>
        <w:t>T</w:t>
      </w:r>
      <w:r w:rsidR="004D222E" w:rsidRPr="004D222E">
        <w:rPr>
          <w:sz w:val="24"/>
          <w:lang w:val="en-ZA"/>
        </w:rPr>
        <w:t xml:space="preserve">rust agreement, the existence of the lease agreement entered into between the de Beers and the plaintiff and recorded that the sale agreement </w:t>
      </w:r>
      <w:r w:rsidR="006A3099">
        <w:rPr>
          <w:sz w:val="24"/>
          <w:lang w:val="en-ZA"/>
        </w:rPr>
        <w:t>was</w:t>
      </w:r>
      <w:r w:rsidR="004D222E" w:rsidRPr="004D222E">
        <w:rPr>
          <w:sz w:val="24"/>
          <w:lang w:val="en-ZA"/>
        </w:rPr>
        <w:t xml:space="preserve"> subject to that lease agreement.</w:t>
      </w:r>
    </w:p>
    <w:p w:rsidR="004D222E" w:rsidRPr="004D222E" w:rsidRDefault="004D222E" w:rsidP="00E24AF2">
      <w:pPr>
        <w:spacing w:line="360" w:lineRule="auto"/>
        <w:jc w:val="both"/>
        <w:rPr>
          <w:sz w:val="24"/>
          <w:lang w:val="en-ZA"/>
        </w:rPr>
      </w:pPr>
    </w:p>
    <w:p w:rsidR="004D222E" w:rsidRDefault="00EC5774" w:rsidP="00E24AF2">
      <w:pPr>
        <w:spacing w:line="360" w:lineRule="auto"/>
        <w:jc w:val="both"/>
        <w:rPr>
          <w:sz w:val="24"/>
          <w:lang w:val="en-ZA"/>
        </w:rPr>
      </w:pPr>
      <w:r>
        <w:rPr>
          <w:sz w:val="24"/>
          <w:lang w:val="en-ZA"/>
        </w:rPr>
        <w:t>[5]</w:t>
      </w:r>
      <w:r>
        <w:rPr>
          <w:sz w:val="24"/>
          <w:lang w:val="en-ZA"/>
        </w:rPr>
        <w:tab/>
      </w:r>
      <w:r w:rsidR="004D222E" w:rsidRPr="004D222E">
        <w:rPr>
          <w:sz w:val="24"/>
          <w:lang w:val="en-ZA"/>
        </w:rPr>
        <w:t xml:space="preserve">The de Beers did not offer the Swarts Rust farms to the plaintiff for him to exercise his right of pre-emption. Instead, on 22 September 2011 after the Swarts Rust farms were sold to the Fanie Trust the de Beers entered into another lease agreement in respect of the same </w:t>
      </w:r>
      <w:r w:rsidR="007E1015">
        <w:rPr>
          <w:sz w:val="24"/>
          <w:lang w:val="en-ZA"/>
        </w:rPr>
        <w:t xml:space="preserve">five </w:t>
      </w:r>
      <w:r w:rsidR="004D222E" w:rsidRPr="004D222E">
        <w:rPr>
          <w:sz w:val="24"/>
          <w:lang w:val="en-ZA"/>
        </w:rPr>
        <w:t>farms with the plaintiff for another three years</w:t>
      </w:r>
      <w:r w:rsidR="007E1015">
        <w:rPr>
          <w:sz w:val="24"/>
          <w:lang w:val="en-ZA"/>
        </w:rPr>
        <w:t>. Th</w:t>
      </w:r>
      <w:r w:rsidR="006A3099">
        <w:rPr>
          <w:sz w:val="24"/>
          <w:lang w:val="en-ZA"/>
        </w:rPr>
        <w:t>e second</w:t>
      </w:r>
      <w:r w:rsidR="007E1015">
        <w:rPr>
          <w:sz w:val="24"/>
          <w:lang w:val="en-ZA"/>
        </w:rPr>
        <w:t xml:space="preserve"> lease agreement also granted</w:t>
      </w:r>
      <w:r w:rsidR="004D222E" w:rsidRPr="004D222E">
        <w:rPr>
          <w:sz w:val="24"/>
          <w:lang w:val="en-ZA"/>
        </w:rPr>
        <w:t xml:space="preserve"> the plaintiff the right of pre-emption. The plaintiff subsequently found out about the Fanie Trust agreement when Mr Mar</w:t>
      </w:r>
      <w:r w:rsidR="00882336">
        <w:rPr>
          <w:sz w:val="24"/>
          <w:lang w:val="en-ZA"/>
        </w:rPr>
        <w:t xml:space="preserve">ius </w:t>
      </w:r>
      <w:r w:rsidR="004D222E" w:rsidRPr="004D222E">
        <w:rPr>
          <w:sz w:val="24"/>
          <w:lang w:val="en-ZA"/>
        </w:rPr>
        <w:t>Nel told him about it. The plaintiff confronted Mr de Beer and told him that he wanted to exercise his right of pre-emption.</w:t>
      </w:r>
    </w:p>
    <w:p w:rsidR="00EC5774" w:rsidRPr="004D222E" w:rsidRDefault="00EC5774" w:rsidP="00E24AF2">
      <w:pPr>
        <w:spacing w:line="360" w:lineRule="auto"/>
        <w:jc w:val="both"/>
        <w:rPr>
          <w:sz w:val="24"/>
          <w:lang w:val="en-ZA"/>
        </w:rPr>
      </w:pPr>
    </w:p>
    <w:p w:rsidR="004D222E" w:rsidRDefault="00EC5774" w:rsidP="00E24AF2">
      <w:pPr>
        <w:spacing w:line="360" w:lineRule="auto"/>
        <w:jc w:val="both"/>
        <w:rPr>
          <w:sz w:val="24"/>
          <w:lang w:val="en-ZA"/>
        </w:rPr>
      </w:pPr>
      <w:r>
        <w:rPr>
          <w:sz w:val="24"/>
          <w:lang w:val="en-ZA"/>
        </w:rPr>
        <w:t>[6]</w:t>
      </w:r>
      <w:r>
        <w:rPr>
          <w:sz w:val="24"/>
          <w:lang w:val="en-ZA"/>
        </w:rPr>
        <w:tab/>
      </w:r>
      <w:r w:rsidR="004D222E" w:rsidRPr="004D222E">
        <w:rPr>
          <w:sz w:val="24"/>
          <w:lang w:val="en-ZA"/>
        </w:rPr>
        <w:t xml:space="preserve">On 28 November 2011, the plaintiff gave notice of his intention to exercise his </w:t>
      </w:r>
      <w:r w:rsidR="007E1015">
        <w:rPr>
          <w:sz w:val="24"/>
          <w:lang w:val="en-ZA"/>
        </w:rPr>
        <w:t>right of pre-emption</w:t>
      </w:r>
      <w:r w:rsidR="004D222E" w:rsidRPr="004D222E">
        <w:rPr>
          <w:sz w:val="24"/>
          <w:lang w:val="en-ZA"/>
        </w:rPr>
        <w:t xml:space="preserve"> to the de Beers. He included a signed standard draft agreement </w:t>
      </w:r>
      <w:r w:rsidR="004D222E" w:rsidRPr="004D222E">
        <w:rPr>
          <w:sz w:val="24"/>
          <w:lang w:val="en-ZA"/>
        </w:rPr>
        <w:lastRenderedPageBreak/>
        <w:t xml:space="preserve">for the de Beers’ consideration. The de Beers did not sign the draft agreement. They also did not indicate that they </w:t>
      </w:r>
      <w:r w:rsidR="00732778">
        <w:rPr>
          <w:sz w:val="24"/>
          <w:lang w:val="en-ZA"/>
        </w:rPr>
        <w:t xml:space="preserve">were </w:t>
      </w:r>
      <w:r w:rsidR="00882336">
        <w:rPr>
          <w:sz w:val="24"/>
          <w:lang w:val="en-ZA"/>
        </w:rPr>
        <w:t>dis</w:t>
      </w:r>
      <w:r w:rsidR="004D222E" w:rsidRPr="004D222E">
        <w:rPr>
          <w:sz w:val="24"/>
          <w:lang w:val="en-ZA"/>
        </w:rPr>
        <w:t xml:space="preserve">satisfied with any term or condition in the draft </w:t>
      </w:r>
      <w:r w:rsidR="00B95027">
        <w:rPr>
          <w:sz w:val="24"/>
          <w:lang w:val="en-ZA"/>
        </w:rPr>
        <w:t xml:space="preserve">agreement </w:t>
      </w:r>
      <w:r w:rsidR="004D222E" w:rsidRPr="004D222E">
        <w:rPr>
          <w:sz w:val="24"/>
          <w:lang w:val="en-ZA"/>
        </w:rPr>
        <w:t>or that they regarded the draft as a counter</w:t>
      </w:r>
      <w:r w:rsidR="00B22619">
        <w:rPr>
          <w:sz w:val="24"/>
          <w:lang w:val="en-ZA"/>
        </w:rPr>
        <w:t>-</w:t>
      </w:r>
      <w:r w:rsidR="004D222E" w:rsidRPr="004D222E">
        <w:rPr>
          <w:sz w:val="24"/>
          <w:lang w:val="en-ZA"/>
        </w:rPr>
        <w:t xml:space="preserve">offer. On 9 November 2012 the plaintiff’s attorney </w:t>
      </w:r>
      <w:r w:rsidR="006A3099">
        <w:rPr>
          <w:sz w:val="24"/>
          <w:lang w:val="en-ZA"/>
        </w:rPr>
        <w:t>transmitted</w:t>
      </w:r>
      <w:r w:rsidR="004D222E" w:rsidRPr="004D222E">
        <w:rPr>
          <w:sz w:val="24"/>
          <w:lang w:val="en-ZA"/>
        </w:rPr>
        <w:t xml:space="preserve"> letters to the de Beers’ and Mari</w:t>
      </w:r>
      <w:r w:rsidR="00732778">
        <w:rPr>
          <w:sz w:val="24"/>
          <w:lang w:val="en-ZA"/>
        </w:rPr>
        <w:t>u</w:t>
      </w:r>
      <w:r w:rsidR="004D222E" w:rsidRPr="004D222E">
        <w:rPr>
          <w:sz w:val="24"/>
          <w:lang w:val="en-ZA"/>
        </w:rPr>
        <w:t>s Nel’s attorneys resp</w:t>
      </w:r>
      <w:r w:rsidR="007E1015">
        <w:rPr>
          <w:sz w:val="24"/>
          <w:lang w:val="en-ZA"/>
        </w:rPr>
        <w:t>ectively, informing them that the plaintiff</w:t>
      </w:r>
      <w:r w:rsidR="004D222E" w:rsidRPr="004D222E">
        <w:rPr>
          <w:sz w:val="24"/>
          <w:lang w:val="en-ZA"/>
        </w:rPr>
        <w:t xml:space="preserve"> intend</w:t>
      </w:r>
      <w:r w:rsidR="00B95027">
        <w:rPr>
          <w:sz w:val="24"/>
          <w:lang w:val="en-ZA"/>
        </w:rPr>
        <w:t>ed</w:t>
      </w:r>
      <w:r w:rsidR="004D222E" w:rsidRPr="004D222E">
        <w:rPr>
          <w:sz w:val="24"/>
          <w:lang w:val="en-ZA"/>
        </w:rPr>
        <w:t xml:space="preserve"> to purchase the </w:t>
      </w:r>
      <w:r w:rsidR="006A3099">
        <w:rPr>
          <w:sz w:val="24"/>
          <w:lang w:val="en-ZA"/>
        </w:rPr>
        <w:t>farms</w:t>
      </w:r>
      <w:r w:rsidR="004D222E" w:rsidRPr="004D222E">
        <w:rPr>
          <w:sz w:val="24"/>
          <w:lang w:val="en-ZA"/>
        </w:rPr>
        <w:t xml:space="preserve"> sold to the Fanie Trust on the same terms and conditions set out in the Fanie Trust agreement.</w:t>
      </w:r>
    </w:p>
    <w:p w:rsidR="004D222E" w:rsidRPr="004D222E" w:rsidRDefault="004D222E" w:rsidP="00E24AF2">
      <w:pPr>
        <w:spacing w:line="360" w:lineRule="auto"/>
        <w:jc w:val="both"/>
        <w:rPr>
          <w:sz w:val="24"/>
          <w:lang w:val="en-ZA"/>
        </w:rPr>
      </w:pPr>
    </w:p>
    <w:p w:rsidR="004D222E" w:rsidRDefault="00EC5774" w:rsidP="00E24AF2">
      <w:pPr>
        <w:spacing w:line="360" w:lineRule="auto"/>
        <w:jc w:val="both"/>
        <w:rPr>
          <w:sz w:val="24"/>
          <w:lang w:val="en-ZA"/>
        </w:rPr>
      </w:pPr>
      <w:r>
        <w:rPr>
          <w:sz w:val="24"/>
          <w:lang w:val="en-ZA"/>
        </w:rPr>
        <w:t>[7]</w:t>
      </w:r>
      <w:r>
        <w:rPr>
          <w:sz w:val="24"/>
          <w:lang w:val="en-ZA"/>
        </w:rPr>
        <w:tab/>
      </w:r>
      <w:r w:rsidR="004D222E" w:rsidRPr="004D222E">
        <w:rPr>
          <w:sz w:val="24"/>
          <w:lang w:val="en-ZA"/>
        </w:rPr>
        <w:t xml:space="preserve">On 4 July 2014, the plaintiff launched an application wherein he </w:t>
      </w:r>
      <w:r w:rsidR="004D222E" w:rsidRPr="007E1015">
        <w:rPr>
          <w:i/>
          <w:sz w:val="24"/>
          <w:lang w:val="en-ZA"/>
        </w:rPr>
        <w:t>inter alia</w:t>
      </w:r>
      <w:r w:rsidR="004D222E" w:rsidRPr="004D222E">
        <w:rPr>
          <w:sz w:val="24"/>
          <w:lang w:val="en-ZA"/>
        </w:rPr>
        <w:t xml:space="preserve"> sought an order declaring that he properly exercised his right of pre-emption over the </w:t>
      </w:r>
      <w:r w:rsidR="006A3099">
        <w:rPr>
          <w:sz w:val="24"/>
          <w:lang w:val="en-ZA"/>
        </w:rPr>
        <w:t>farms</w:t>
      </w:r>
      <w:r w:rsidR="007E1015">
        <w:rPr>
          <w:sz w:val="24"/>
          <w:lang w:val="en-ZA"/>
        </w:rPr>
        <w:t xml:space="preserve"> sold to the Fanie Trust. He also requested</w:t>
      </w:r>
      <w:r w:rsidR="004D222E" w:rsidRPr="004D222E">
        <w:rPr>
          <w:sz w:val="24"/>
          <w:lang w:val="en-ZA"/>
        </w:rPr>
        <w:t xml:space="preserve"> that the de Beers be ordered to enter into a sale agreement with him on the same terms as the Fanie Trust agreement excluding paragraphs 2(c), 2(d) and 2(e)</w:t>
      </w:r>
      <w:r w:rsidR="004706EA">
        <w:rPr>
          <w:sz w:val="24"/>
          <w:lang w:val="en-ZA"/>
        </w:rPr>
        <w:t>.</w:t>
      </w:r>
      <w:r w:rsidR="004D222E" w:rsidRPr="004D222E">
        <w:rPr>
          <w:rStyle w:val="FootnoteReference"/>
          <w:sz w:val="24"/>
          <w:lang w:val="en-ZA"/>
        </w:rPr>
        <w:footnoteReference w:id="2"/>
      </w:r>
      <w:r w:rsidR="004D222E" w:rsidRPr="004D222E">
        <w:rPr>
          <w:sz w:val="24"/>
          <w:lang w:val="en-ZA"/>
        </w:rPr>
        <w:t xml:space="preserve"> Due </w:t>
      </w:r>
      <w:r w:rsidR="00F32340">
        <w:rPr>
          <w:sz w:val="24"/>
          <w:lang w:val="en-ZA"/>
        </w:rPr>
        <w:t xml:space="preserve">to </w:t>
      </w:r>
      <w:r w:rsidR="004D222E" w:rsidRPr="004D222E">
        <w:rPr>
          <w:sz w:val="24"/>
          <w:lang w:val="en-ZA"/>
        </w:rPr>
        <w:t>the factual disputes</w:t>
      </w:r>
      <w:r w:rsidR="00B95027">
        <w:rPr>
          <w:sz w:val="24"/>
          <w:lang w:val="en-ZA"/>
        </w:rPr>
        <w:t xml:space="preserve"> on the papers</w:t>
      </w:r>
      <w:r w:rsidR="004D222E" w:rsidRPr="004D222E">
        <w:rPr>
          <w:sz w:val="24"/>
          <w:lang w:val="en-ZA"/>
        </w:rPr>
        <w:t xml:space="preserve"> the matter was referred to trial.</w:t>
      </w:r>
    </w:p>
    <w:p w:rsidR="004D222E" w:rsidRPr="004D222E" w:rsidRDefault="004D222E" w:rsidP="00E24AF2">
      <w:pPr>
        <w:spacing w:line="360" w:lineRule="auto"/>
        <w:jc w:val="both"/>
        <w:rPr>
          <w:sz w:val="24"/>
          <w:lang w:val="en-ZA"/>
        </w:rPr>
      </w:pPr>
    </w:p>
    <w:p w:rsidR="004D222E" w:rsidRDefault="004D222E" w:rsidP="00E24AF2">
      <w:pPr>
        <w:spacing w:line="360" w:lineRule="auto"/>
        <w:jc w:val="both"/>
        <w:rPr>
          <w:b/>
          <w:sz w:val="24"/>
          <w:lang w:val="en-ZA"/>
        </w:rPr>
      </w:pPr>
      <w:r w:rsidRPr="004D222E">
        <w:rPr>
          <w:b/>
          <w:sz w:val="24"/>
          <w:lang w:val="en-ZA"/>
        </w:rPr>
        <w:t>The Trial</w:t>
      </w:r>
    </w:p>
    <w:p w:rsidR="007E1015" w:rsidRDefault="00EC5774" w:rsidP="00E24AF2">
      <w:pPr>
        <w:spacing w:line="360" w:lineRule="auto"/>
        <w:jc w:val="both"/>
        <w:rPr>
          <w:sz w:val="24"/>
          <w:lang w:val="en-ZA"/>
        </w:rPr>
      </w:pPr>
      <w:r>
        <w:rPr>
          <w:sz w:val="24"/>
          <w:lang w:val="en-ZA"/>
        </w:rPr>
        <w:t>[8]</w:t>
      </w:r>
      <w:r>
        <w:rPr>
          <w:sz w:val="24"/>
          <w:lang w:val="en-ZA"/>
        </w:rPr>
        <w:tab/>
      </w:r>
      <w:r w:rsidR="004D222E" w:rsidRPr="004D222E">
        <w:rPr>
          <w:sz w:val="24"/>
          <w:lang w:val="en-ZA"/>
        </w:rPr>
        <w:t>The plaintiff testified and called two witnesse</w:t>
      </w:r>
      <w:r w:rsidR="007E1015">
        <w:rPr>
          <w:sz w:val="24"/>
          <w:lang w:val="en-ZA"/>
        </w:rPr>
        <w:t xml:space="preserve">s, </w:t>
      </w:r>
      <w:r w:rsidR="00AF6E6E">
        <w:rPr>
          <w:sz w:val="24"/>
          <w:lang w:val="en-ZA"/>
        </w:rPr>
        <w:t xml:space="preserve">his wife, </w:t>
      </w:r>
      <w:r w:rsidR="00C97AB5">
        <w:rPr>
          <w:sz w:val="24"/>
          <w:lang w:val="en-ZA"/>
        </w:rPr>
        <w:t>Mrs Mariette Nel</w:t>
      </w:r>
      <w:r w:rsidR="00AF6E6E">
        <w:rPr>
          <w:sz w:val="24"/>
          <w:lang w:val="en-ZA"/>
        </w:rPr>
        <w:t>,</w:t>
      </w:r>
      <w:r w:rsidR="007E1015">
        <w:rPr>
          <w:sz w:val="24"/>
          <w:lang w:val="en-ZA"/>
        </w:rPr>
        <w:t xml:space="preserve"> and Mr Nieuwoudt, the</w:t>
      </w:r>
      <w:r w:rsidR="004D222E" w:rsidRPr="004D222E">
        <w:rPr>
          <w:sz w:val="24"/>
          <w:lang w:val="en-ZA"/>
        </w:rPr>
        <w:t xml:space="preserve"> attorney who drafted the first lease agreement. Mr </w:t>
      </w:r>
      <w:r w:rsidR="00882336">
        <w:rPr>
          <w:sz w:val="24"/>
          <w:lang w:val="en-ZA"/>
        </w:rPr>
        <w:t xml:space="preserve">Marius </w:t>
      </w:r>
      <w:r w:rsidR="004D222E" w:rsidRPr="004D222E">
        <w:rPr>
          <w:sz w:val="24"/>
          <w:lang w:val="en-ZA"/>
        </w:rPr>
        <w:t>Nel and Mrs Gagiano</w:t>
      </w:r>
      <w:r w:rsidR="007E1015">
        <w:rPr>
          <w:sz w:val="24"/>
          <w:lang w:val="en-ZA"/>
        </w:rPr>
        <w:t>, the de Beers’</w:t>
      </w:r>
      <w:r w:rsidR="004D222E" w:rsidRPr="004D222E">
        <w:rPr>
          <w:sz w:val="24"/>
          <w:lang w:val="en-ZA"/>
        </w:rPr>
        <w:t xml:space="preserve"> daughter</w:t>
      </w:r>
      <w:r w:rsidR="006C74B2">
        <w:rPr>
          <w:sz w:val="24"/>
          <w:lang w:val="en-ZA"/>
        </w:rPr>
        <w:t>,</w:t>
      </w:r>
      <w:r w:rsidR="004D222E" w:rsidRPr="004D222E">
        <w:rPr>
          <w:sz w:val="24"/>
          <w:lang w:val="en-ZA"/>
        </w:rPr>
        <w:t xml:space="preserve"> testifie</w:t>
      </w:r>
      <w:r w:rsidR="007E1015">
        <w:rPr>
          <w:sz w:val="24"/>
          <w:lang w:val="en-ZA"/>
        </w:rPr>
        <w:t>d on behalf of the respondents.</w:t>
      </w:r>
      <w:r w:rsidR="006A3099">
        <w:rPr>
          <w:sz w:val="24"/>
          <w:lang w:val="en-ZA"/>
        </w:rPr>
        <w:t xml:space="preserve"> </w:t>
      </w:r>
      <w:r w:rsidR="00A9280C">
        <w:rPr>
          <w:sz w:val="24"/>
          <w:lang w:val="en-ZA"/>
        </w:rPr>
        <w:t>Mr de Beer could not give coherent testimony, due to ill health.</w:t>
      </w:r>
    </w:p>
    <w:p w:rsidR="007E1015" w:rsidRDefault="007E1015" w:rsidP="00E24AF2">
      <w:pPr>
        <w:spacing w:line="360" w:lineRule="auto"/>
        <w:jc w:val="both"/>
        <w:rPr>
          <w:sz w:val="24"/>
          <w:lang w:val="en-ZA"/>
        </w:rPr>
      </w:pPr>
    </w:p>
    <w:p w:rsidR="004D222E" w:rsidRDefault="007E1015" w:rsidP="00E24AF2">
      <w:pPr>
        <w:spacing w:line="360" w:lineRule="auto"/>
        <w:jc w:val="both"/>
        <w:rPr>
          <w:sz w:val="24"/>
          <w:lang w:val="en-ZA"/>
        </w:rPr>
      </w:pPr>
      <w:r>
        <w:rPr>
          <w:sz w:val="24"/>
          <w:lang w:val="en-ZA"/>
        </w:rPr>
        <w:t xml:space="preserve">[9]     </w:t>
      </w:r>
      <w:r w:rsidR="004D222E" w:rsidRPr="004D222E">
        <w:rPr>
          <w:sz w:val="24"/>
          <w:lang w:val="en-ZA"/>
        </w:rPr>
        <w:t>The plaintiff testified that he was informed by his mother that Mr de Beer asked her for his number. He called Mr de Beer and they arranged to meet at Mr de Beer</w:t>
      </w:r>
      <w:r w:rsidR="00B22619">
        <w:rPr>
          <w:sz w:val="24"/>
          <w:lang w:val="en-ZA"/>
        </w:rPr>
        <w:t>’</w:t>
      </w:r>
      <w:r w:rsidR="004D222E" w:rsidRPr="004D222E">
        <w:rPr>
          <w:sz w:val="24"/>
          <w:lang w:val="en-ZA"/>
        </w:rPr>
        <w:t>s farm. They duly met and during that meeting they agreed that he could lease the farms. They agreed on the rental amount and Mr de Beers contacted Mr Nieuwoudt who drafted the lease agreement. Mr</w:t>
      </w:r>
      <w:r w:rsidR="00882336">
        <w:rPr>
          <w:sz w:val="24"/>
          <w:lang w:val="en-ZA"/>
        </w:rPr>
        <w:t xml:space="preserve"> Marius </w:t>
      </w:r>
      <w:r w:rsidR="004D222E" w:rsidRPr="004D222E">
        <w:rPr>
          <w:sz w:val="24"/>
          <w:lang w:val="en-ZA"/>
        </w:rPr>
        <w:t>Nel was not at the meeting and was not a party to the lease agreement. It was already planting season (which is between middle November and 15 December) and he was in a hurry to clear the land and commence planting.</w:t>
      </w:r>
    </w:p>
    <w:p w:rsidR="004D222E" w:rsidRPr="004D222E" w:rsidRDefault="004D222E" w:rsidP="00E24AF2">
      <w:pPr>
        <w:spacing w:line="360" w:lineRule="auto"/>
        <w:jc w:val="both"/>
        <w:rPr>
          <w:sz w:val="24"/>
          <w:lang w:val="en-ZA"/>
        </w:rPr>
      </w:pPr>
    </w:p>
    <w:p w:rsidR="004D222E" w:rsidRDefault="007E1015" w:rsidP="00E24AF2">
      <w:pPr>
        <w:spacing w:line="360" w:lineRule="auto"/>
        <w:jc w:val="both"/>
        <w:rPr>
          <w:sz w:val="24"/>
          <w:lang w:val="en-ZA"/>
        </w:rPr>
      </w:pPr>
      <w:r>
        <w:rPr>
          <w:sz w:val="24"/>
          <w:lang w:val="en-ZA"/>
        </w:rPr>
        <w:lastRenderedPageBreak/>
        <w:t>[10</w:t>
      </w:r>
      <w:r w:rsidR="00EC5774">
        <w:rPr>
          <w:sz w:val="24"/>
          <w:lang w:val="en-ZA"/>
        </w:rPr>
        <w:t>]</w:t>
      </w:r>
      <w:r w:rsidR="00EC5774">
        <w:rPr>
          <w:sz w:val="24"/>
          <w:lang w:val="en-ZA"/>
        </w:rPr>
        <w:tab/>
      </w:r>
      <w:r w:rsidR="00F32340">
        <w:rPr>
          <w:sz w:val="24"/>
          <w:lang w:val="en-ZA"/>
        </w:rPr>
        <w:t xml:space="preserve">He testified that the </w:t>
      </w:r>
      <w:r w:rsidR="004D222E" w:rsidRPr="004D222E">
        <w:rPr>
          <w:sz w:val="24"/>
          <w:lang w:val="en-ZA"/>
        </w:rPr>
        <w:t xml:space="preserve">tractor </w:t>
      </w:r>
      <w:r w:rsidR="00F32340">
        <w:rPr>
          <w:sz w:val="24"/>
          <w:lang w:val="en-ZA"/>
        </w:rPr>
        <w:t xml:space="preserve">that he used to rip the soil </w:t>
      </w:r>
      <w:r w:rsidR="004D222E" w:rsidRPr="004D222E">
        <w:rPr>
          <w:sz w:val="24"/>
          <w:lang w:val="en-ZA"/>
        </w:rPr>
        <w:t>broke and the agents informed him that it would take approximately six weeks to repair it. He contacted Mr Mar</w:t>
      </w:r>
      <w:r w:rsidR="00882336">
        <w:rPr>
          <w:sz w:val="24"/>
          <w:lang w:val="en-ZA"/>
        </w:rPr>
        <w:t>iu</w:t>
      </w:r>
      <w:r w:rsidR="004D222E" w:rsidRPr="004D222E">
        <w:rPr>
          <w:sz w:val="24"/>
          <w:lang w:val="en-ZA"/>
        </w:rPr>
        <w:t xml:space="preserve">s Nel and asked him to rent him a tractor. He refused. In desperation he requested Mr </w:t>
      </w:r>
      <w:r w:rsidR="00882336">
        <w:rPr>
          <w:sz w:val="24"/>
          <w:lang w:val="en-ZA"/>
        </w:rPr>
        <w:t xml:space="preserve">Marius </w:t>
      </w:r>
      <w:r w:rsidR="004D222E" w:rsidRPr="004D222E">
        <w:rPr>
          <w:sz w:val="24"/>
          <w:lang w:val="en-ZA"/>
        </w:rPr>
        <w:t>Nel to clear and cultivate the land. Mr de Beer consented to the arrangement and Mr Mar</w:t>
      </w:r>
      <w:r w:rsidR="00882336">
        <w:rPr>
          <w:sz w:val="24"/>
          <w:lang w:val="en-ZA"/>
        </w:rPr>
        <w:t>iu</w:t>
      </w:r>
      <w:r w:rsidR="004D222E" w:rsidRPr="004D222E">
        <w:rPr>
          <w:sz w:val="24"/>
          <w:lang w:val="en-ZA"/>
        </w:rPr>
        <w:t xml:space="preserve">s Nel paid for the lease of the land and cultivated it for the entire lease period. He confirmed that during November 2011 when he </w:t>
      </w:r>
      <w:r w:rsidR="00F32340">
        <w:rPr>
          <w:sz w:val="24"/>
          <w:lang w:val="en-ZA"/>
        </w:rPr>
        <w:t>was cultivating</w:t>
      </w:r>
      <w:r w:rsidR="004D222E" w:rsidRPr="004D222E">
        <w:rPr>
          <w:sz w:val="24"/>
          <w:lang w:val="en-ZA"/>
        </w:rPr>
        <w:t xml:space="preserve"> the land</w:t>
      </w:r>
      <w:r w:rsidR="006C74B2">
        <w:rPr>
          <w:sz w:val="24"/>
          <w:lang w:val="en-ZA"/>
        </w:rPr>
        <w:t>,</w:t>
      </w:r>
      <w:r w:rsidR="004D222E" w:rsidRPr="004D222E">
        <w:rPr>
          <w:sz w:val="24"/>
          <w:lang w:val="en-ZA"/>
        </w:rPr>
        <w:t xml:space="preserve"> Mr Mar</w:t>
      </w:r>
      <w:r w:rsidR="00882336">
        <w:rPr>
          <w:sz w:val="24"/>
          <w:lang w:val="en-ZA"/>
        </w:rPr>
        <w:t>iu</w:t>
      </w:r>
      <w:r w:rsidR="004D222E" w:rsidRPr="004D222E">
        <w:rPr>
          <w:sz w:val="24"/>
          <w:lang w:val="en-ZA"/>
        </w:rPr>
        <w:t>s Nel informed him that he bought the farms. He consulted his attorney and it was as a result of the attorney’s enquiries that they</w:t>
      </w:r>
      <w:r>
        <w:rPr>
          <w:sz w:val="24"/>
          <w:lang w:val="en-ZA"/>
        </w:rPr>
        <w:t xml:space="preserve"> received the Fanie Trust and Mola</w:t>
      </w:r>
      <w:r w:rsidR="004D222E" w:rsidRPr="004D222E">
        <w:rPr>
          <w:sz w:val="24"/>
          <w:lang w:val="en-ZA"/>
        </w:rPr>
        <w:t xml:space="preserve">dora </w:t>
      </w:r>
      <w:r w:rsidR="00B22619">
        <w:rPr>
          <w:sz w:val="24"/>
          <w:lang w:val="en-ZA"/>
        </w:rPr>
        <w:t xml:space="preserve">Trust </w:t>
      </w:r>
      <w:r w:rsidR="004D222E" w:rsidRPr="004D222E">
        <w:rPr>
          <w:sz w:val="24"/>
          <w:lang w:val="en-ZA"/>
        </w:rPr>
        <w:t>sale agreements from Mr Mar</w:t>
      </w:r>
      <w:r w:rsidR="00882336">
        <w:rPr>
          <w:sz w:val="24"/>
          <w:lang w:val="en-ZA"/>
        </w:rPr>
        <w:t>iu</w:t>
      </w:r>
      <w:r w:rsidR="004D222E" w:rsidRPr="004D222E">
        <w:rPr>
          <w:sz w:val="24"/>
          <w:lang w:val="en-ZA"/>
        </w:rPr>
        <w:t>s Nel’s attorney.</w:t>
      </w:r>
    </w:p>
    <w:p w:rsidR="004D222E" w:rsidRPr="004D222E" w:rsidRDefault="004D222E" w:rsidP="00E24AF2">
      <w:pPr>
        <w:spacing w:line="360" w:lineRule="auto"/>
        <w:jc w:val="both"/>
        <w:rPr>
          <w:sz w:val="24"/>
          <w:lang w:val="en-ZA"/>
        </w:rPr>
      </w:pPr>
    </w:p>
    <w:p w:rsidR="004D222E" w:rsidRDefault="00807762" w:rsidP="00E24AF2">
      <w:pPr>
        <w:spacing w:line="360" w:lineRule="auto"/>
        <w:jc w:val="both"/>
        <w:rPr>
          <w:sz w:val="24"/>
          <w:lang w:val="en-ZA"/>
        </w:rPr>
      </w:pPr>
      <w:r>
        <w:rPr>
          <w:sz w:val="24"/>
          <w:lang w:val="en-ZA"/>
        </w:rPr>
        <w:t>[11</w:t>
      </w:r>
      <w:r w:rsidR="00EC5774">
        <w:rPr>
          <w:sz w:val="24"/>
          <w:lang w:val="en-ZA"/>
        </w:rPr>
        <w:t>]</w:t>
      </w:r>
      <w:r w:rsidR="00EC5774">
        <w:rPr>
          <w:sz w:val="24"/>
          <w:lang w:val="en-ZA"/>
        </w:rPr>
        <w:tab/>
      </w:r>
      <w:r w:rsidR="00C97AB5">
        <w:rPr>
          <w:sz w:val="24"/>
          <w:lang w:val="en-ZA"/>
        </w:rPr>
        <w:t xml:space="preserve">Mrs </w:t>
      </w:r>
      <w:r w:rsidR="004D222E" w:rsidRPr="004D222E">
        <w:rPr>
          <w:sz w:val="24"/>
          <w:lang w:val="en-ZA"/>
        </w:rPr>
        <w:t>Mariette Nel, confirmed that Mr Mar</w:t>
      </w:r>
      <w:r w:rsidR="00882336">
        <w:rPr>
          <w:sz w:val="24"/>
          <w:lang w:val="en-ZA"/>
        </w:rPr>
        <w:t>iu</w:t>
      </w:r>
      <w:r w:rsidR="004D222E" w:rsidRPr="004D222E">
        <w:rPr>
          <w:sz w:val="24"/>
          <w:lang w:val="en-ZA"/>
        </w:rPr>
        <w:t xml:space="preserve">s Nel was not at the meeting where the lease of the farms was discussed by her husband and the de Beers. Mr </w:t>
      </w:r>
      <w:r w:rsidR="00E9206D">
        <w:rPr>
          <w:sz w:val="24"/>
          <w:lang w:val="en-ZA"/>
        </w:rPr>
        <w:t>N</w:t>
      </w:r>
      <w:r w:rsidR="004D222E" w:rsidRPr="004D222E">
        <w:rPr>
          <w:sz w:val="24"/>
          <w:lang w:val="en-ZA"/>
        </w:rPr>
        <w:t>ieuwoudt testified that Mr Mari</w:t>
      </w:r>
      <w:r w:rsidR="00882336">
        <w:rPr>
          <w:sz w:val="24"/>
          <w:lang w:val="en-ZA"/>
        </w:rPr>
        <w:t>u</w:t>
      </w:r>
      <w:r w:rsidR="004D222E" w:rsidRPr="004D222E">
        <w:rPr>
          <w:sz w:val="24"/>
          <w:lang w:val="en-ZA"/>
        </w:rPr>
        <w:t>s Nel was not a party to the lease agreement.</w:t>
      </w:r>
    </w:p>
    <w:p w:rsidR="00807762" w:rsidRPr="004D222E" w:rsidRDefault="00807762" w:rsidP="00E24AF2">
      <w:pPr>
        <w:spacing w:line="360" w:lineRule="auto"/>
        <w:jc w:val="both"/>
        <w:rPr>
          <w:sz w:val="24"/>
          <w:lang w:val="en-ZA"/>
        </w:rPr>
      </w:pPr>
    </w:p>
    <w:p w:rsidR="004D222E" w:rsidRDefault="00807762" w:rsidP="00E24AF2">
      <w:pPr>
        <w:spacing w:line="360" w:lineRule="auto"/>
        <w:jc w:val="both"/>
        <w:rPr>
          <w:sz w:val="24"/>
          <w:lang w:val="en-ZA"/>
        </w:rPr>
      </w:pPr>
      <w:r>
        <w:rPr>
          <w:sz w:val="24"/>
          <w:lang w:val="en-ZA"/>
        </w:rPr>
        <w:t xml:space="preserve">[12]     </w:t>
      </w:r>
      <w:r w:rsidR="004D222E" w:rsidRPr="004D222E">
        <w:rPr>
          <w:sz w:val="24"/>
          <w:lang w:val="en-ZA"/>
        </w:rPr>
        <w:t>Mr Mari</w:t>
      </w:r>
      <w:r w:rsidR="008D3592">
        <w:rPr>
          <w:sz w:val="24"/>
          <w:lang w:val="en-ZA"/>
        </w:rPr>
        <w:t>u</w:t>
      </w:r>
      <w:r w:rsidR="004D222E" w:rsidRPr="004D222E">
        <w:rPr>
          <w:sz w:val="24"/>
          <w:lang w:val="en-ZA"/>
        </w:rPr>
        <w:t>s Nel testified that on 15 November 2008</w:t>
      </w:r>
      <w:r w:rsidR="006C74B2">
        <w:rPr>
          <w:sz w:val="24"/>
          <w:lang w:val="en-ZA"/>
        </w:rPr>
        <w:t>,</w:t>
      </w:r>
      <w:r w:rsidR="004D222E" w:rsidRPr="004D222E">
        <w:rPr>
          <w:sz w:val="24"/>
          <w:lang w:val="en-ZA"/>
        </w:rPr>
        <w:t xml:space="preserve"> Mr du Preez, the de Beers’ son-in-law, informed him tel</w:t>
      </w:r>
      <w:r>
        <w:rPr>
          <w:sz w:val="24"/>
          <w:lang w:val="en-ZA"/>
        </w:rPr>
        <w:t>ephonically that Mr de Beer wanted</w:t>
      </w:r>
      <w:r w:rsidR="004D222E" w:rsidRPr="004D222E">
        <w:rPr>
          <w:sz w:val="24"/>
          <w:lang w:val="en-ZA"/>
        </w:rPr>
        <w:t xml:space="preserve"> to rent out his farms. He went to the de Beers’ farm where he found the de Beers, Mr du Preez, the plaintiff and the plaintiff’s wife. During the negotiations the plaintiff stated that </w:t>
      </w:r>
      <w:r w:rsidR="004D222E" w:rsidRPr="00084A34">
        <w:rPr>
          <w:sz w:val="24"/>
          <w:lang w:val="en-ZA"/>
        </w:rPr>
        <w:t>he d</w:t>
      </w:r>
      <w:r w:rsidR="00B22619" w:rsidRPr="00084A34">
        <w:rPr>
          <w:sz w:val="24"/>
          <w:lang w:val="en-ZA"/>
        </w:rPr>
        <w:t>id</w:t>
      </w:r>
      <w:r w:rsidR="004D222E" w:rsidRPr="00084A34">
        <w:rPr>
          <w:sz w:val="24"/>
          <w:lang w:val="en-ZA"/>
        </w:rPr>
        <w:t xml:space="preserve"> not have</w:t>
      </w:r>
      <w:r w:rsidR="004D222E" w:rsidRPr="004D222E">
        <w:rPr>
          <w:sz w:val="24"/>
          <w:lang w:val="en-ZA"/>
        </w:rPr>
        <w:t xml:space="preserve"> enough implements to cultivate the farms. They agreed on the lease amount and that he would cultivate </w:t>
      </w:r>
      <w:r w:rsidR="005726DC">
        <w:rPr>
          <w:sz w:val="24"/>
          <w:lang w:val="en-ZA"/>
        </w:rPr>
        <w:t>P</w:t>
      </w:r>
      <w:r w:rsidR="004D222E" w:rsidRPr="004D222E">
        <w:rPr>
          <w:sz w:val="24"/>
          <w:lang w:val="en-ZA"/>
        </w:rPr>
        <w:t xml:space="preserve">ortions 6 and 11 and the plaintiff would cultivate the rest. He paid the rental amount plus </w:t>
      </w:r>
      <w:r w:rsidR="000A02C3">
        <w:rPr>
          <w:sz w:val="24"/>
          <w:lang w:val="en-ZA"/>
        </w:rPr>
        <w:t>VAT</w:t>
      </w:r>
      <w:r w:rsidR="004D222E" w:rsidRPr="004D222E">
        <w:rPr>
          <w:sz w:val="24"/>
          <w:lang w:val="en-ZA"/>
        </w:rPr>
        <w:t xml:space="preserve"> for the properties. On 17 November 2008 he started cleaning and cultivating </w:t>
      </w:r>
      <w:r w:rsidR="005726DC">
        <w:rPr>
          <w:sz w:val="24"/>
          <w:lang w:val="en-ZA"/>
        </w:rPr>
        <w:t>P</w:t>
      </w:r>
      <w:r w:rsidR="004D222E" w:rsidRPr="004D222E">
        <w:rPr>
          <w:sz w:val="24"/>
          <w:lang w:val="en-ZA"/>
        </w:rPr>
        <w:t>ortions 6 and 11. When he noticed that the plaintiff only delivered implements on the other farms without cultivating them, he decided to cultivate them. After the first season when he heard nothing from the plaintiff</w:t>
      </w:r>
      <w:r w:rsidR="00B03BF3">
        <w:rPr>
          <w:sz w:val="24"/>
          <w:lang w:val="en-ZA"/>
        </w:rPr>
        <w:t>,</w:t>
      </w:r>
      <w:r w:rsidR="004D222E" w:rsidRPr="004D222E">
        <w:rPr>
          <w:sz w:val="24"/>
          <w:lang w:val="en-ZA"/>
        </w:rPr>
        <w:t xml:space="preserve"> he paid the de Beers and cultivated all the farms.</w:t>
      </w:r>
    </w:p>
    <w:p w:rsidR="004D222E" w:rsidRPr="004D222E" w:rsidRDefault="004D222E" w:rsidP="00E24AF2">
      <w:pPr>
        <w:spacing w:line="360" w:lineRule="auto"/>
        <w:jc w:val="both"/>
        <w:rPr>
          <w:sz w:val="24"/>
          <w:lang w:val="en-ZA"/>
        </w:rPr>
      </w:pPr>
    </w:p>
    <w:p w:rsidR="004D222E" w:rsidRDefault="00F0340F" w:rsidP="00E24AF2">
      <w:pPr>
        <w:spacing w:line="360" w:lineRule="auto"/>
        <w:jc w:val="both"/>
        <w:rPr>
          <w:sz w:val="24"/>
          <w:lang w:val="en-ZA"/>
        </w:rPr>
      </w:pPr>
      <w:r>
        <w:rPr>
          <w:sz w:val="24"/>
          <w:lang w:val="en-ZA"/>
        </w:rPr>
        <w:t>[1</w:t>
      </w:r>
      <w:r w:rsidR="00B22619">
        <w:rPr>
          <w:sz w:val="24"/>
          <w:lang w:val="en-ZA"/>
        </w:rPr>
        <w:t>3</w:t>
      </w:r>
      <w:r w:rsidR="00EC5774">
        <w:rPr>
          <w:sz w:val="24"/>
          <w:lang w:val="en-ZA"/>
        </w:rPr>
        <w:t>]</w:t>
      </w:r>
      <w:r w:rsidR="00EC5774">
        <w:rPr>
          <w:sz w:val="24"/>
          <w:lang w:val="en-ZA"/>
        </w:rPr>
        <w:tab/>
      </w:r>
      <w:r w:rsidR="004D222E" w:rsidRPr="004D222E">
        <w:rPr>
          <w:sz w:val="24"/>
          <w:lang w:val="en-ZA"/>
        </w:rPr>
        <w:t>He testified that during June 2009 he bought the farm Rietkuil from his mother. Mr du Preez informed him that Mr de Beer was interested in buying Rietkuil. Mr</w:t>
      </w:r>
      <w:r w:rsidR="00807762">
        <w:rPr>
          <w:sz w:val="24"/>
          <w:lang w:val="en-ZA"/>
        </w:rPr>
        <w:t xml:space="preserve"> de Beer offered to sell</w:t>
      </w:r>
      <w:r w:rsidR="004D222E" w:rsidRPr="004D222E">
        <w:rPr>
          <w:sz w:val="24"/>
          <w:lang w:val="en-ZA"/>
        </w:rPr>
        <w:t xml:space="preserve"> </w:t>
      </w:r>
      <w:r w:rsidR="00AF6E6E">
        <w:rPr>
          <w:sz w:val="24"/>
          <w:lang w:val="en-ZA"/>
        </w:rPr>
        <w:t>P</w:t>
      </w:r>
      <w:r w:rsidR="004D222E" w:rsidRPr="004D222E">
        <w:rPr>
          <w:sz w:val="24"/>
          <w:lang w:val="en-ZA"/>
        </w:rPr>
        <w:t xml:space="preserve">ortions </w:t>
      </w:r>
      <w:r w:rsidR="00807762">
        <w:rPr>
          <w:sz w:val="24"/>
          <w:lang w:val="en-ZA"/>
        </w:rPr>
        <w:t xml:space="preserve">6 and 11 </w:t>
      </w:r>
      <w:r w:rsidR="004D222E" w:rsidRPr="004D222E">
        <w:rPr>
          <w:sz w:val="24"/>
          <w:lang w:val="en-ZA"/>
        </w:rPr>
        <w:t xml:space="preserve">of the Swarts Rust farm to the Fanie Trust. </w:t>
      </w:r>
      <w:r w:rsidR="000A02C3">
        <w:rPr>
          <w:sz w:val="24"/>
          <w:lang w:val="en-ZA"/>
        </w:rPr>
        <w:t>However, h</w:t>
      </w:r>
      <w:r w:rsidR="004D222E" w:rsidRPr="004D222E">
        <w:rPr>
          <w:sz w:val="24"/>
          <w:lang w:val="en-ZA"/>
        </w:rPr>
        <w:t>e only saw the first lease agreement in 2009 when the attorney who drafted the sale agreements requested it from Mr De Beer</w:t>
      </w:r>
      <w:r w:rsidR="00C97AB5">
        <w:rPr>
          <w:sz w:val="24"/>
          <w:lang w:val="en-ZA"/>
        </w:rPr>
        <w:t>,</w:t>
      </w:r>
      <w:r w:rsidR="000A02C3">
        <w:rPr>
          <w:sz w:val="24"/>
          <w:lang w:val="en-ZA"/>
        </w:rPr>
        <w:t xml:space="preserve"> and</w:t>
      </w:r>
      <w:r w:rsidR="004D222E" w:rsidRPr="004D222E">
        <w:rPr>
          <w:sz w:val="24"/>
          <w:lang w:val="en-ZA"/>
        </w:rPr>
        <w:t xml:space="preserve"> was disappointed to see that the plaintiff was the only </w:t>
      </w:r>
      <w:r w:rsidR="00807762">
        <w:rPr>
          <w:sz w:val="24"/>
          <w:lang w:val="en-ZA"/>
        </w:rPr>
        <w:t xml:space="preserve">lessee. </w:t>
      </w:r>
      <w:r w:rsidR="000A02C3">
        <w:rPr>
          <w:sz w:val="24"/>
          <w:lang w:val="en-ZA"/>
        </w:rPr>
        <w:t>As a result, t</w:t>
      </w:r>
      <w:r w:rsidR="00807762">
        <w:rPr>
          <w:sz w:val="24"/>
          <w:lang w:val="en-ZA"/>
        </w:rPr>
        <w:t>he Fanie Trust and Mola</w:t>
      </w:r>
      <w:r w:rsidR="004D222E" w:rsidRPr="004D222E">
        <w:rPr>
          <w:sz w:val="24"/>
          <w:lang w:val="en-ZA"/>
        </w:rPr>
        <w:t>dora Trust agreements were entered into.</w:t>
      </w:r>
    </w:p>
    <w:p w:rsidR="004D222E" w:rsidRPr="004D222E" w:rsidRDefault="004D222E" w:rsidP="00E24AF2">
      <w:pPr>
        <w:spacing w:line="360" w:lineRule="auto"/>
        <w:jc w:val="both"/>
        <w:rPr>
          <w:sz w:val="24"/>
          <w:lang w:val="en-ZA"/>
        </w:rPr>
      </w:pPr>
    </w:p>
    <w:p w:rsidR="004D222E" w:rsidRDefault="00F0340F" w:rsidP="00E24AF2">
      <w:pPr>
        <w:spacing w:line="360" w:lineRule="auto"/>
        <w:jc w:val="both"/>
        <w:rPr>
          <w:sz w:val="24"/>
          <w:lang w:val="en-ZA"/>
        </w:rPr>
      </w:pPr>
      <w:r>
        <w:rPr>
          <w:sz w:val="24"/>
          <w:lang w:val="en-ZA"/>
        </w:rPr>
        <w:lastRenderedPageBreak/>
        <w:t>[1</w:t>
      </w:r>
      <w:r w:rsidR="00B22619">
        <w:rPr>
          <w:sz w:val="24"/>
          <w:lang w:val="en-ZA"/>
        </w:rPr>
        <w:t>4</w:t>
      </w:r>
      <w:r w:rsidR="00EC5774">
        <w:rPr>
          <w:sz w:val="24"/>
          <w:lang w:val="en-ZA"/>
        </w:rPr>
        <w:t>]</w:t>
      </w:r>
      <w:r w:rsidR="00EC5774">
        <w:rPr>
          <w:sz w:val="24"/>
          <w:lang w:val="en-ZA"/>
        </w:rPr>
        <w:tab/>
      </w:r>
      <w:r w:rsidR="004D222E" w:rsidRPr="004D222E">
        <w:rPr>
          <w:sz w:val="24"/>
          <w:lang w:val="en-ZA"/>
        </w:rPr>
        <w:t xml:space="preserve">Mrs Gagiano </w:t>
      </w:r>
      <w:r w:rsidR="008D3592" w:rsidRPr="00084A34">
        <w:rPr>
          <w:sz w:val="24"/>
          <w:lang w:val="en-ZA"/>
        </w:rPr>
        <w:t xml:space="preserve">testified that she was not </w:t>
      </w:r>
      <w:r w:rsidR="004D222E" w:rsidRPr="00084A34">
        <w:rPr>
          <w:sz w:val="24"/>
          <w:lang w:val="en-ZA"/>
        </w:rPr>
        <w:t xml:space="preserve">present at the meeting in her parental home. She confirmed that she </w:t>
      </w:r>
      <w:r w:rsidR="00B22619" w:rsidRPr="00084A34">
        <w:rPr>
          <w:sz w:val="24"/>
          <w:lang w:val="en-ZA"/>
        </w:rPr>
        <w:t>filled in</w:t>
      </w:r>
      <w:r w:rsidR="004D222E" w:rsidRPr="00084A34">
        <w:rPr>
          <w:sz w:val="24"/>
          <w:lang w:val="en-ZA"/>
        </w:rPr>
        <w:t xml:space="preserve"> the</w:t>
      </w:r>
      <w:r w:rsidR="004D222E" w:rsidRPr="004D222E">
        <w:rPr>
          <w:sz w:val="24"/>
          <w:lang w:val="en-ZA"/>
        </w:rPr>
        <w:t xml:space="preserve"> other particulars on the cheque that Mr Mar</w:t>
      </w:r>
      <w:r w:rsidR="008D3592">
        <w:rPr>
          <w:sz w:val="24"/>
          <w:lang w:val="en-ZA"/>
        </w:rPr>
        <w:t>iu</w:t>
      </w:r>
      <w:r w:rsidR="004D222E" w:rsidRPr="004D222E">
        <w:rPr>
          <w:sz w:val="24"/>
          <w:lang w:val="en-ZA"/>
        </w:rPr>
        <w:t>s Nel presented to the de Beers.</w:t>
      </w:r>
    </w:p>
    <w:p w:rsidR="004D222E" w:rsidRPr="004D222E" w:rsidRDefault="004D222E" w:rsidP="00E24AF2">
      <w:pPr>
        <w:spacing w:line="360" w:lineRule="auto"/>
        <w:jc w:val="both"/>
        <w:rPr>
          <w:sz w:val="24"/>
          <w:lang w:val="en-ZA"/>
        </w:rPr>
      </w:pPr>
    </w:p>
    <w:p w:rsidR="004D222E" w:rsidRPr="004D222E" w:rsidRDefault="004D222E" w:rsidP="00E24AF2">
      <w:pPr>
        <w:spacing w:line="360" w:lineRule="auto"/>
        <w:jc w:val="both"/>
        <w:rPr>
          <w:b/>
          <w:sz w:val="24"/>
          <w:lang w:val="en-ZA"/>
        </w:rPr>
      </w:pPr>
      <w:r w:rsidRPr="004D222E">
        <w:rPr>
          <w:b/>
          <w:sz w:val="24"/>
          <w:lang w:val="en-ZA"/>
        </w:rPr>
        <w:t>High Court</w:t>
      </w:r>
    </w:p>
    <w:p w:rsidR="004D222E" w:rsidRDefault="00F0340F" w:rsidP="00E24AF2">
      <w:pPr>
        <w:spacing w:line="360" w:lineRule="auto"/>
        <w:jc w:val="both"/>
        <w:rPr>
          <w:sz w:val="24"/>
          <w:lang w:val="en-ZA"/>
        </w:rPr>
      </w:pPr>
      <w:r>
        <w:rPr>
          <w:sz w:val="24"/>
          <w:lang w:val="en-ZA"/>
        </w:rPr>
        <w:t>[1</w:t>
      </w:r>
      <w:r w:rsidR="00E9206D">
        <w:rPr>
          <w:sz w:val="24"/>
          <w:lang w:val="en-ZA"/>
        </w:rPr>
        <w:t>5</w:t>
      </w:r>
      <w:r w:rsidR="00EC5774">
        <w:rPr>
          <w:sz w:val="24"/>
          <w:lang w:val="en-ZA"/>
        </w:rPr>
        <w:t>]</w:t>
      </w:r>
      <w:r w:rsidR="00EC5774">
        <w:rPr>
          <w:sz w:val="24"/>
          <w:lang w:val="en-ZA"/>
        </w:rPr>
        <w:tab/>
      </w:r>
      <w:r w:rsidR="004D222E" w:rsidRPr="004D222E">
        <w:rPr>
          <w:sz w:val="24"/>
          <w:lang w:val="en-ZA"/>
        </w:rPr>
        <w:t xml:space="preserve">The high court found that the impugned clause did not contain a proper </w:t>
      </w:r>
      <w:r w:rsidR="00807762">
        <w:rPr>
          <w:sz w:val="24"/>
          <w:lang w:val="en-ZA"/>
        </w:rPr>
        <w:t>right of pre-emption</w:t>
      </w:r>
      <w:r w:rsidR="004D222E" w:rsidRPr="004D222E">
        <w:rPr>
          <w:sz w:val="24"/>
          <w:lang w:val="en-ZA"/>
        </w:rPr>
        <w:t xml:space="preserve"> since it did not provide for the price of the properties. It opined that the purported pre-empti</w:t>
      </w:r>
      <w:r w:rsidR="00922C0A">
        <w:rPr>
          <w:sz w:val="24"/>
          <w:lang w:val="en-ZA"/>
        </w:rPr>
        <w:t>on</w:t>
      </w:r>
      <w:r w:rsidR="004D222E" w:rsidRPr="004D222E">
        <w:rPr>
          <w:sz w:val="24"/>
          <w:lang w:val="en-ZA"/>
        </w:rPr>
        <w:t xml:space="preserve"> clause was in effect an agreement to enter into an agreement about the purchase price and other terms and conditions of the sale. It also found that </w:t>
      </w:r>
      <w:r w:rsidR="00807762">
        <w:rPr>
          <w:sz w:val="24"/>
          <w:lang w:val="en-ZA"/>
        </w:rPr>
        <w:t>if the plaintiff wanted</w:t>
      </w:r>
      <w:r w:rsidR="004D222E" w:rsidRPr="004D222E">
        <w:rPr>
          <w:sz w:val="24"/>
          <w:lang w:val="en-ZA"/>
        </w:rPr>
        <w:t xml:space="preserve"> to step into the shoes of the Fanie Trust, no term of the agreement between the de Beers and the Fanie Trust may be added or deleted. It reasoned that the deletion of clause 2(d) from the Fanie Trust agreement would constitute a counter</w:t>
      </w:r>
      <w:r w:rsidR="00B22619">
        <w:rPr>
          <w:sz w:val="24"/>
          <w:lang w:val="en-ZA"/>
        </w:rPr>
        <w:t>-</w:t>
      </w:r>
      <w:r w:rsidR="004D222E" w:rsidRPr="004D222E">
        <w:rPr>
          <w:sz w:val="24"/>
          <w:lang w:val="en-ZA"/>
        </w:rPr>
        <w:t>offer. Furthermore, it found that the pre-empti</w:t>
      </w:r>
      <w:r w:rsidR="00922C0A">
        <w:rPr>
          <w:sz w:val="24"/>
          <w:lang w:val="en-ZA"/>
        </w:rPr>
        <w:t>on</w:t>
      </w:r>
      <w:r w:rsidR="004D222E" w:rsidRPr="004D222E">
        <w:rPr>
          <w:sz w:val="24"/>
          <w:lang w:val="en-ZA"/>
        </w:rPr>
        <w:t xml:space="preserve"> clause was not triggered because the Fanie Trust agreement was in respect of certain specified farms and not the entire 600 hectares mentioned in the lease agreement.</w:t>
      </w:r>
    </w:p>
    <w:p w:rsidR="004D222E" w:rsidRPr="004D222E" w:rsidRDefault="004D222E" w:rsidP="00E24AF2">
      <w:pPr>
        <w:spacing w:line="360" w:lineRule="auto"/>
        <w:jc w:val="both"/>
        <w:rPr>
          <w:sz w:val="24"/>
          <w:lang w:val="en-ZA"/>
        </w:rPr>
      </w:pPr>
    </w:p>
    <w:p w:rsidR="004D222E" w:rsidRPr="004D222E" w:rsidRDefault="004D222E" w:rsidP="00E24AF2">
      <w:pPr>
        <w:spacing w:line="360" w:lineRule="auto"/>
        <w:jc w:val="both"/>
        <w:rPr>
          <w:b/>
          <w:sz w:val="24"/>
          <w:lang w:val="en-ZA"/>
        </w:rPr>
      </w:pPr>
      <w:r w:rsidRPr="004D222E">
        <w:rPr>
          <w:b/>
          <w:sz w:val="24"/>
          <w:lang w:val="en-ZA"/>
        </w:rPr>
        <w:t>Issues</w:t>
      </w:r>
    </w:p>
    <w:p w:rsidR="004D222E" w:rsidRDefault="00F0340F" w:rsidP="00E24AF2">
      <w:pPr>
        <w:spacing w:line="360" w:lineRule="auto"/>
        <w:jc w:val="both"/>
        <w:rPr>
          <w:sz w:val="24"/>
          <w:lang w:val="en-ZA"/>
        </w:rPr>
      </w:pPr>
      <w:r>
        <w:rPr>
          <w:sz w:val="24"/>
          <w:lang w:val="en-ZA"/>
        </w:rPr>
        <w:t>[1</w:t>
      </w:r>
      <w:r w:rsidR="00E9206D">
        <w:rPr>
          <w:sz w:val="24"/>
          <w:lang w:val="en-ZA"/>
        </w:rPr>
        <w:t>6</w:t>
      </w:r>
      <w:r w:rsidR="00EC5774">
        <w:rPr>
          <w:sz w:val="24"/>
          <w:lang w:val="en-ZA"/>
        </w:rPr>
        <w:t>]</w:t>
      </w:r>
      <w:r w:rsidR="00EC5774">
        <w:rPr>
          <w:sz w:val="24"/>
          <w:lang w:val="en-ZA"/>
        </w:rPr>
        <w:tab/>
      </w:r>
      <w:r w:rsidR="004D222E" w:rsidRPr="004D222E">
        <w:rPr>
          <w:sz w:val="24"/>
          <w:lang w:val="en-ZA"/>
        </w:rPr>
        <w:t>The issues that fall to be determined are: (a) whether the Nel brothers were co-lessees; (b) whether the pre-empti</w:t>
      </w:r>
      <w:r w:rsidR="00922C0A">
        <w:rPr>
          <w:sz w:val="24"/>
          <w:lang w:val="en-ZA"/>
        </w:rPr>
        <w:t>on</w:t>
      </w:r>
      <w:r w:rsidR="004D222E" w:rsidRPr="004D222E">
        <w:rPr>
          <w:sz w:val="24"/>
          <w:lang w:val="en-ZA"/>
        </w:rPr>
        <w:t xml:space="preserve"> clause was triggered </w:t>
      </w:r>
      <w:r w:rsidR="009719DB">
        <w:rPr>
          <w:sz w:val="24"/>
          <w:lang w:val="en-ZA"/>
        </w:rPr>
        <w:t xml:space="preserve">when </w:t>
      </w:r>
      <w:r w:rsidR="004D222E" w:rsidRPr="004D222E">
        <w:rPr>
          <w:sz w:val="24"/>
          <w:lang w:val="en-ZA"/>
        </w:rPr>
        <w:t xml:space="preserve">only two farms were sold; (c) whether the right was properly exercised; (d) whether the exclusion of clause 2(d) in the offer to step into the Fanie </w:t>
      </w:r>
      <w:r w:rsidR="0069053C">
        <w:rPr>
          <w:sz w:val="24"/>
          <w:lang w:val="en-ZA"/>
        </w:rPr>
        <w:t>T</w:t>
      </w:r>
      <w:r w:rsidR="004D222E" w:rsidRPr="004D222E">
        <w:rPr>
          <w:sz w:val="24"/>
          <w:lang w:val="en-ZA"/>
        </w:rPr>
        <w:t>rust’s shoes constituted a counter</w:t>
      </w:r>
      <w:r w:rsidR="00B22619">
        <w:rPr>
          <w:sz w:val="24"/>
          <w:lang w:val="en-ZA"/>
        </w:rPr>
        <w:t>-</w:t>
      </w:r>
      <w:r w:rsidR="004D222E" w:rsidRPr="004D222E">
        <w:rPr>
          <w:sz w:val="24"/>
          <w:lang w:val="en-ZA"/>
        </w:rPr>
        <w:t>offer</w:t>
      </w:r>
      <w:r w:rsidR="008D3592">
        <w:rPr>
          <w:sz w:val="24"/>
          <w:lang w:val="en-ZA"/>
        </w:rPr>
        <w:t>; and (e) the appropriate remedy.</w:t>
      </w:r>
    </w:p>
    <w:p w:rsidR="004D222E" w:rsidRPr="004D222E" w:rsidRDefault="004D222E" w:rsidP="00E24AF2">
      <w:pPr>
        <w:spacing w:line="360" w:lineRule="auto"/>
        <w:jc w:val="both"/>
        <w:rPr>
          <w:sz w:val="24"/>
          <w:lang w:val="en-ZA"/>
        </w:rPr>
      </w:pPr>
    </w:p>
    <w:p w:rsidR="004D222E" w:rsidRPr="004D222E" w:rsidRDefault="00F0340F" w:rsidP="00E24AF2">
      <w:pPr>
        <w:spacing w:line="360" w:lineRule="auto"/>
        <w:jc w:val="both"/>
        <w:rPr>
          <w:sz w:val="24"/>
          <w:lang w:val="en-ZA"/>
        </w:rPr>
      </w:pPr>
      <w:r>
        <w:rPr>
          <w:sz w:val="24"/>
          <w:lang w:val="en-ZA"/>
        </w:rPr>
        <w:t>[1</w:t>
      </w:r>
      <w:r w:rsidR="00E9206D">
        <w:rPr>
          <w:sz w:val="24"/>
          <w:lang w:val="en-ZA"/>
        </w:rPr>
        <w:t>7</w:t>
      </w:r>
      <w:r w:rsidR="00EC5774">
        <w:rPr>
          <w:sz w:val="24"/>
          <w:lang w:val="en-ZA"/>
        </w:rPr>
        <w:t>]</w:t>
      </w:r>
      <w:r w:rsidR="00EC5774">
        <w:rPr>
          <w:sz w:val="24"/>
          <w:lang w:val="en-ZA"/>
        </w:rPr>
        <w:tab/>
      </w:r>
      <w:r w:rsidR="004D222E" w:rsidRPr="004D222E">
        <w:rPr>
          <w:sz w:val="24"/>
          <w:lang w:val="en-ZA"/>
        </w:rPr>
        <w:t xml:space="preserve">The principles regarding a right of pre-emption are well-established. In </w:t>
      </w:r>
      <w:r w:rsidR="004D222E" w:rsidRPr="008D3592">
        <w:rPr>
          <w:i/>
          <w:iCs/>
          <w:sz w:val="24"/>
          <w:lang w:val="en-ZA"/>
        </w:rPr>
        <w:t>Owsianick v African Consolidated Theatres</w:t>
      </w:r>
      <w:r w:rsidR="004D222E" w:rsidRPr="004D222E">
        <w:rPr>
          <w:rStyle w:val="FootnoteReference"/>
          <w:sz w:val="24"/>
          <w:lang w:val="en-ZA"/>
        </w:rPr>
        <w:footnoteReference w:id="3"/>
      </w:r>
      <w:r w:rsidR="00854D16">
        <w:rPr>
          <w:sz w:val="24"/>
          <w:lang w:val="en-ZA"/>
        </w:rPr>
        <w:t xml:space="preserve"> </w:t>
      </w:r>
      <w:r w:rsidR="004D222E" w:rsidRPr="004D222E">
        <w:rPr>
          <w:sz w:val="24"/>
          <w:lang w:val="en-ZA"/>
        </w:rPr>
        <w:t>it was stated as follows:</w:t>
      </w:r>
    </w:p>
    <w:p w:rsidR="004D222E" w:rsidRDefault="004D222E" w:rsidP="00E24AF2">
      <w:pPr>
        <w:spacing w:line="360" w:lineRule="auto"/>
        <w:jc w:val="both"/>
        <w:rPr>
          <w:sz w:val="24"/>
          <w:lang w:val="en-ZA"/>
        </w:rPr>
      </w:pPr>
      <w:r w:rsidRPr="004D222E">
        <w:rPr>
          <w:sz w:val="24"/>
          <w:lang w:val="en-ZA"/>
        </w:rPr>
        <w:t>‘</w:t>
      </w:r>
      <w:r w:rsidR="00807762">
        <w:rPr>
          <w:sz w:val="22"/>
          <w:szCs w:val="22"/>
          <w:lang w:val="en-ZA"/>
        </w:rPr>
        <w:t>A right of</w:t>
      </w:r>
      <w:r w:rsidRPr="004D222E">
        <w:rPr>
          <w:sz w:val="22"/>
          <w:szCs w:val="22"/>
          <w:lang w:val="en-ZA"/>
        </w:rPr>
        <w:t xml:space="preserve"> pre-emption is well known in our law</w:t>
      </w:r>
      <w:r w:rsidR="009E7DEA">
        <w:rPr>
          <w:sz w:val="22"/>
          <w:szCs w:val="22"/>
          <w:lang w:val="en-ZA"/>
        </w:rPr>
        <w:t xml:space="preserve"> . . . </w:t>
      </w:r>
      <w:r w:rsidRPr="004D222E">
        <w:rPr>
          <w:sz w:val="22"/>
          <w:szCs w:val="22"/>
          <w:lang w:val="en-ZA"/>
        </w:rPr>
        <w:t>and it is to be distinguished from an option to purchase</w:t>
      </w:r>
      <w:r w:rsidR="009E7DEA">
        <w:rPr>
          <w:sz w:val="22"/>
          <w:szCs w:val="22"/>
          <w:lang w:val="en-ZA"/>
        </w:rPr>
        <w:t xml:space="preserve"> </w:t>
      </w:r>
      <w:r w:rsidRPr="004D222E">
        <w:rPr>
          <w:sz w:val="22"/>
          <w:szCs w:val="22"/>
          <w:lang w:val="en-ZA"/>
        </w:rPr>
        <w:t xml:space="preserve">. </w:t>
      </w:r>
      <w:r w:rsidR="009E7DEA">
        <w:rPr>
          <w:sz w:val="22"/>
          <w:szCs w:val="22"/>
          <w:lang w:val="en-ZA"/>
        </w:rPr>
        <w:t>. .</w:t>
      </w:r>
      <w:r w:rsidRPr="004D222E">
        <w:rPr>
          <w:sz w:val="22"/>
          <w:szCs w:val="22"/>
          <w:lang w:val="en-ZA"/>
        </w:rPr>
        <w:t>The grant</w:t>
      </w:r>
      <w:r w:rsidR="009E7DEA">
        <w:rPr>
          <w:sz w:val="22"/>
          <w:szCs w:val="22"/>
          <w:lang w:val="en-ZA"/>
        </w:rPr>
        <w:t>e</w:t>
      </w:r>
      <w:r w:rsidRPr="004D222E">
        <w:rPr>
          <w:sz w:val="22"/>
          <w:szCs w:val="22"/>
          <w:lang w:val="en-ZA"/>
        </w:rPr>
        <w:t>r of the right of pre-emption cannot be compelled to sell the subject of the right. Should he, however, decide to do so, he is obliged, before executing his decision to sell, to offer the property to the grantee of the right of pre-emption upon the terms reflected in the contract creating that right.</w:t>
      </w:r>
      <w:r w:rsidRPr="004D222E">
        <w:rPr>
          <w:sz w:val="24"/>
          <w:lang w:val="en-ZA"/>
        </w:rPr>
        <w:t>’</w:t>
      </w:r>
      <w:r w:rsidRPr="004D222E">
        <w:rPr>
          <w:rStyle w:val="FootnoteReference"/>
          <w:sz w:val="24"/>
          <w:lang w:val="en-ZA"/>
        </w:rPr>
        <w:footnoteReference w:id="4"/>
      </w:r>
      <w:r w:rsidRPr="004D222E">
        <w:rPr>
          <w:sz w:val="24"/>
          <w:lang w:val="en-ZA"/>
        </w:rPr>
        <w:t xml:space="preserve">  </w:t>
      </w:r>
    </w:p>
    <w:p w:rsidR="004D222E" w:rsidRPr="004D222E" w:rsidRDefault="004D222E" w:rsidP="00E24AF2">
      <w:pPr>
        <w:spacing w:line="360" w:lineRule="auto"/>
        <w:jc w:val="both"/>
        <w:rPr>
          <w:sz w:val="24"/>
          <w:lang w:val="en-ZA"/>
        </w:rPr>
      </w:pPr>
    </w:p>
    <w:p w:rsidR="00EC5774" w:rsidRDefault="00EC5774" w:rsidP="00E24AF2">
      <w:pPr>
        <w:spacing w:line="360" w:lineRule="auto"/>
        <w:jc w:val="both"/>
        <w:rPr>
          <w:b/>
          <w:sz w:val="24"/>
          <w:lang w:val="en-ZA"/>
        </w:rPr>
      </w:pPr>
    </w:p>
    <w:p w:rsidR="002F3FA7" w:rsidRDefault="004D222E" w:rsidP="00E24AF2">
      <w:pPr>
        <w:spacing w:line="360" w:lineRule="auto"/>
        <w:jc w:val="both"/>
        <w:rPr>
          <w:sz w:val="24"/>
          <w:lang w:val="en-ZA"/>
        </w:rPr>
      </w:pPr>
      <w:r w:rsidRPr="002F3FA7">
        <w:rPr>
          <w:b/>
          <w:sz w:val="24"/>
          <w:lang w:val="en-ZA"/>
        </w:rPr>
        <w:lastRenderedPageBreak/>
        <w:t>Was Mr Mar</w:t>
      </w:r>
      <w:r w:rsidR="008D3592">
        <w:rPr>
          <w:b/>
          <w:sz w:val="24"/>
          <w:lang w:val="en-ZA"/>
        </w:rPr>
        <w:t>i</w:t>
      </w:r>
      <w:r w:rsidRPr="002F3FA7">
        <w:rPr>
          <w:b/>
          <w:sz w:val="24"/>
          <w:lang w:val="en-ZA"/>
        </w:rPr>
        <w:t>us Nel a co-lessee?</w:t>
      </w:r>
      <w:r>
        <w:rPr>
          <w:sz w:val="24"/>
          <w:lang w:val="en-ZA"/>
        </w:rPr>
        <w:t xml:space="preserve"> </w:t>
      </w:r>
    </w:p>
    <w:p w:rsidR="007C4F42" w:rsidRDefault="00F0340F" w:rsidP="00E24AF2">
      <w:pPr>
        <w:spacing w:line="360" w:lineRule="auto"/>
        <w:jc w:val="both"/>
        <w:rPr>
          <w:sz w:val="24"/>
          <w:lang w:val="en-ZA"/>
        </w:rPr>
      </w:pPr>
      <w:r>
        <w:rPr>
          <w:sz w:val="24"/>
          <w:lang w:val="en-ZA"/>
        </w:rPr>
        <w:t>[1</w:t>
      </w:r>
      <w:r w:rsidR="00E9206D">
        <w:rPr>
          <w:sz w:val="24"/>
          <w:lang w:val="en-ZA"/>
        </w:rPr>
        <w:t>8</w:t>
      </w:r>
      <w:r w:rsidR="00EC5774">
        <w:rPr>
          <w:sz w:val="24"/>
          <w:lang w:val="en-ZA"/>
        </w:rPr>
        <w:t>]</w:t>
      </w:r>
      <w:r w:rsidR="00EC5774">
        <w:rPr>
          <w:sz w:val="24"/>
          <w:lang w:val="en-ZA"/>
        </w:rPr>
        <w:tab/>
      </w:r>
      <w:r w:rsidR="0067107B">
        <w:rPr>
          <w:sz w:val="24"/>
          <w:lang w:val="en-ZA"/>
        </w:rPr>
        <w:t xml:space="preserve">Only the testimonies of the Nel brothers are relevant to determine whether Mr Marius Nel was a co-lessee. </w:t>
      </w:r>
      <w:r w:rsidR="009018B4">
        <w:rPr>
          <w:sz w:val="24"/>
          <w:lang w:val="en-ZA"/>
        </w:rPr>
        <w:t xml:space="preserve">The high court did not deal with this issue. </w:t>
      </w:r>
      <w:r w:rsidR="00F32340">
        <w:rPr>
          <w:sz w:val="24"/>
          <w:lang w:val="en-ZA"/>
        </w:rPr>
        <w:t>The de Beers</w:t>
      </w:r>
      <w:r w:rsidR="004D222E" w:rsidRPr="004D222E">
        <w:rPr>
          <w:sz w:val="24"/>
          <w:lang w:val="en-ZA"/>
        </w:rPr>
        <w:t xml:space="preserve"> contended that the plaintiff cou</w:t>
      </w:r>
      <w:r w:rsidR="00807762">
        <w:rPr>
          <w:sz w:val="24"/>
          <w:lang w:val="en-ZA"/>
        </w:rPr>
        <w:t xml:space="preserve">ld not exercise the right of pre-emption </w:t>
      </w:r>
      <w:r w:rsidR="004D222E" w:rsidRPr="004D222E">
        <w:rPr>
          <w:sz w:val="24"/>
          <w:lang w:val="en-ZA"/>
        </w:rPr>
        <w:t>unilaterally because Mr Mar</w:t>
      </w:r>
      <w:r w:rsidR="002411AA">
        <w:rPr>
          <w:sz w:val="24"/>
          <w:lang w:val="en-ZA"/>
        </w:rPr>
        <w:t>i</w:t>
      </w:r>
      <w:r w:rsidR="004D222E" w:rsidRPr="004D222E">
        <w:rPr>
          <w:sz w:val="24"/>
          <w:lang w:val="en-ZA"/>
        </w:rPr>
        <w:t>us Nel w</w:t>
      </w:r>
      <w:r w:rsidR="00807762">
        <w:rPr>
          <w:sz w:val="24"/>
          <w:lang w:val="en-ZA"/>
        </w:rPr>
        <w:t xml:space="preserve">as a co-lessee and therefore </w:t>
      </w:r>
      <w:r w:rsidR="004D222E" w:rsidRPr="004D222E">
        <w:rPr>
          <w:sz w:val="24"/>
          <w:lang w:val="en-ZA"/>
        </w:rPr>
        <w:t xml:space="preserve">had to exercise the right with </w:t>
      </w:r>
      <w:r w:rsidR="00807762">
        <w:rPr>
          <w:sz w:val="24"/>
          <w:lang w:val="en-ZA"/>
        </w:rPr>
        <w:t>the plaintiff.</w:t>
      </w:r>
      <w:r w:rsidR="004D222E" w:rsidRPr="004D222E">
        <w:rPr>
          <w:sz w:val="24"/>
          <w:lang w:val="en-ZA"/>
        </w:rPr>
        <w:t xml:space="preserve"> They argued that the plaintiff’s name was inserted in the lease agreement as the nominee for himself and Mr Mar</w:t>
      </w:r>
      <w:r w:rsidR="002411AA">
        <w:rPr>
          <w:sz w:val="24"/>
          <w:lang w:val="en-ZA"/>
        </w:rPr>
        <w:t>i</w:t>
      </w:r>
      <w:r w:rsidR="004D222E" w:rsidRPr="004D222E">
        <w:rPr>
          <w:sz w:val="24"/>
          <w:lang w:val="en-ZA"/>
        </w:rPr>
        <w:t>us Nel. Mr Mar</w:t>
      </w:r>
      <w:r w:rsidR="002411AA">
        <w:rPr>
          <w:sz w:val="24"/>
          <w:lang w:val="en-ZA"/>
        </w:rPr>
        <w:t>i</w:t>
      </w:r>
      <w:r w:rsidR="004D222E" w:rsidRPr="004D222E">
        <w:rPr>
          <w:sz w:val="24"/>
          <w:lang w:val="en-ZA"/>
        </w:rPr>
        <w:t>us Nel testified that the agreement between him, the de Beers, and the plaintiff was that he would lease the two Swarts Rust farms and that the plaintiff would lease the rest. He did not sign any lease agreement.  He initially testified that he assumed that the plaintiff was going to sign the contract on their behalf.</w:t>
      </w:r>
    </w:p>
    <w:p w:rsidR="00807762" w:rsidRDefault="004D222E" w:rsidP="00E24AF2">
      <w:pPr>
        <w:spacing w:line="360" w:lineRule="auto"/>
        <w:jc w:val="both"/>
        <w:rPr>
          <w:sz w:val="24"/>
          <w:lang w:val="en-ZA"/>
        </w:rPr>
      </w:pPr>
      <w:r w:rsidRPr="004D222E">
        <w:rPr>
          <w:sz w:val="24"/>
          <w:lang w:val="en-ZA"/>
        </w:rPr>
        <w:t xml:space="preserve"> </w:t>
      </w:r>
    </w:p>
    <w:p w:rsidR="004D222E" w:rsidRDefault="00F0340F" w:rsidP="00E24AF2">
      <w:pPr>
        <w:spacing w:line="360" w:lineRule="auto"/>
        <w:jc w:val="both"/>
        <w:rPr>
          <w:sz w:val="24"/>
          <w:lang w:val="en-ZA"/>
        </w:rPr>
      </w:pPr>
      <w:r>
        <w:rPr>
          <w:sz w:val="24"/>
          <w:lang w:val="en-ZA"/>
        </w:rPr>
        <w:t>[</w:t>
      </w:r>
      <w:r w:rsidR="00F414EC">
        <w:rPr>
          <w:sz w:val="24"/>
          <w:lang w:val="en-ZA"/>
        </w:rPr>
        <w:t>19</w:t>
      </w:r>
      <w:r>
        <w:rPr>
          <w:sz w:val="24"/>
          <w:lang w:val="en-ZA"/>
        </w:rPr>
        <w:t xml:space="preserve">]    </w:t>
      </w:r>
      <w:r w:rsidR="004D222E" w:rsidRPr="004D222E">
        <w:rPr>
          <w:sz w:val="24"/>
          <w:lang w:val="en-ZA"/>
        </w:rPr>
        <w:t>During cross-examination</w:t>
      </w:r>
      <w:r w:rsidR="007C4F42">
        <w:rPr>
          <w:sz w:val="24"/>
          <w:lang w:val="en-ZA"/>
        </w:rPr>
        <w:t>,</w:t>
      </w:r>
      <w:r w:rsidR="004D222E" w:rsidRPr="004D222E">
        <w:rPr>
          <w:sz w:val="24"/>
          <w:lang w:val="en-ZA"/>
        </w:rPr>
        <w:t xml:space="preserve"> </w:t>
      </w:r>
      <w:r w:rsidR="007C4F42">
        <w:rPr>
          <w:sz w:val="24"/>
          <w:lang w:val="en-ZA"/>
        </w:rPr>
        <w:t xml:space="preserve">Mr </w:t>
      </w:r>
      <w:r w:rsidR="002411AA">
        <w:rPr>
          <w:sz w:val="24"/>
          <w:lang w:val="en-ZA"/>
        </w:rPr>
        <w:t xml:space="preserve">Marius </w:t>
      </w:r>
      <w:r w:rsidR="007C4F42">
        <w:rPr>
          <w:sz w:val="24"/>
          <w:lang w:val="en-ZA"/>
        </w:rPr>
        <w:t>Nel</w:t>
      </w:r>
      <w:r w:rsidR="007C4F42" w:rsidRPr="004D222E">
        <w:rPr>
          <w:sz w:val="24"/>
          <w:lang w:val="en-ZA"/>
        </w:rPr>
        <w:t xml:space="preserve"> </w:t>
      </w:r>
      <w:r w:rsidR="004D222E" w:rsidRPr="004D222E">
        <w:rPr>
          <w:sz w:val="24"/>
          <w:lang w:val="en-ZA"/>
        </w:rPr>
        <w:t>testif</w:t>
      </w:r>
      <w:r>
        <w:rPr>
          <w:sz w:val="24"/>
          <w:lang w:val="en-ZA"/>
        </w:rPr>
        <w:t>ied that he assumed that he would</w:t>
      </w:r>
      <w:r w:rsidR="004D222E" w:rsidRPr="004D222E">
        <w:rPr>
          <w:sz w:val="24"/>
          <w:lang w:val="en-ZA"/>
        </w:rPr>
        <w:t xml:space="preserve"> sign a separate contract for the two Swarts Rust farms and that the plaintiff would do so with regard to the rest of the farms. He stated that he paid the full lease amount for all five farms because he assumed that the plaintiff would later repay him his (</w:t>
      </w:r>
      <w:r w:rsidR="007C4F42">
        <w:rPr>
          <w:sz w:val="24"/>
          <w:lang w:val="en-ZA"/>
        </w:rPr>
        <w:t xml:space="preserve">the </w:t>
      </w:r>
      <w:r w:rsidR="004D222E" w:rsidRPr="004D222E">
        <w:rPr>
          <w:sz w:val="24"/>
          <w:lang w:val="en-ZA"/>
        </w:rPr>
        <w:t>plaintiff</w:t>
      </w:r>
      <w:r w:rsidR="007C4F42">
        <w:rPr>
          <w:sz w:val="24"/>
          <w:lang w:val="en-ZA"/>
        </w:rPr>
        <w:t>’s</w:t>
      </w:r>
      <w:r w:rsidR="004D222E" w:rsidRPr="004D222E">
        <w:rPr>
          <w:sz w:val="24"/>
          <w:lang w:val="en-ZA"/>
        </w:rPr>
        <w:t xml:space="preserve">) </w:t>
      </w:r>
      <w:r w:rsidR="004D222E" w:rsidRPr="002411AA">
        <w:rPr>
          <w:i/>
          <w:iCs/>
          <w:sz w:val="24"/>
          <w:lang w:val="en-ZA"/>
        </w:rPr>
        <w:t>pro rata</w:t>
      </w:r>
      <w:r w:rsidR="004D222E" w:rsidRPr="004D222E">
        <w:rPr>
          <w:sz w:val="24"/>
          <w:lang w:val="en-ZA"/>
        </w:rPr>
        <w:t xml:space="preserve"> amount.</w:t>
      </w:r>
      <w:r w:rsidR="007C4F42">
        <w:rPr>
          <w:sz w:val="24"/>
          <w:lang w:val="en-ZA"/>
        </w:rPr>
        <w:t xml:space="preserve"> However, h</w:t>
      </w:r>
      <w:r w:rsidR="004D222E" w:rsidRPr="004D222E">
        <w:rPr>
          <w:sz w:val="24"/>
          <w:lang w:val="en-ZA"/>
        </w:rPr>
        <w:t>e did not discuss any of this with the plaintiff. When he was not given a lease agreement in respect of the two farms</w:t>
      </w:r>
      <w:r w:rsidR="007C4F42">
        <w:rPr>
          <w:sz w:val="24"/>
          <w:lang w:val="en-ZA"/>
        </w:rPr>
        <w:t>,</w:t>
      </w:r>
      <w:r w:rsidR="004D222E" w:rsidRPr="004D222E">
        <w:rPr>
          <w:sz w:val="24"/>
          <w:lang w:val="en-ZA"/>
        </w:rPr>
        <w:t xml:space="preserve"> he did not enquire from the de Beers or the plaintiff about it. He testified that</w:t>
      </w:r>
      <w:r>
        <w:rPr>
          <w:sz w:val="24"/>
          <w:lang w:val="en-ZA"/>
        </w:rPr>
        <w:t xml:space="preserve"> he did not </w:t>
      </w:r>
      <w:r w:rsidR="004D222E" w:rsidRPr="004D222E">
        <w:rPr>
          <w:sz w:val="24"/>
          <w:lang w:val="en-ZA"/>
        </w:rPr>
        <w:t>confront the plaint</w:t>
      </w:r>
      <w:r w:rsidR="002411AA">
        <w:rPr>
          <w:sz w:val="24"/>
          <w:lang w:val="en-ZA"/>
        </w:rPr>
        <w:t>i</w:t>
      </w:r>
      <w:r w:rsidR="004D222E" w:rsidRPr="004D222E">
        <w:rPr>
          <w:sz w:val="24"/>
          <w:lang w:val="en-ZA"/>
        </w:rPr>
        <w:t xml:space="preserve">ff or Mr de Beer </w:t>
      </w:r>
      <w:r>
        <w:rPr>
          <w:sz w:val="24"/>
          <w:lang w:val="en-ZA"/>
        </w:rPr>
        <w:t xml:space="preserve">when he found out that the plaintiff was the only lessee in terms of the contract. </w:t>
      </w:r>
      <w:r w:rsidR="004D222E" w:rsidRPr="004D222E">
        <w:rPr>
          <w:sz w:val="24"/>
          <w:lang w:val="en-ZA"/>
        </w:rPr>
        <w:t>He also did not take any steps to try and rectify the anomaly. During the discussions preceding the signing of the sa</w:t>
      </w:r>
      <w:r>
        <w:rPr>
          <w:sz w:val="24"/>
          <w:lang w:val="en-ZA"/>
        </w:rPr>
        <w:t xml:space="preserve">le agreement he, </w:t>
      </w:r>
      <w:r w:rsidR="004D222E" w:rsidRPr="004D222E">
        <w:rPr>
          <w:sz w:val="24"/>
          <w:lang w:val="en-ZA"/>
        </w:rPr>
        <w:t>Mr de Beer and Mr du Preez discussed the lease agreement</w:t>
      </w:r>
      <w:r w:rsidR="00F825C0">
        <w:rPr>
          <w:sz w:val="24"/>
          <w:lang w:val="en-ZA"/>
        </w:rPr>
        <w:t xml:space="preserve"> whereupon</w:t>
      </w:r>
      <w:r>
        <w:rPr>
          <w:sz w:val="24"/>
          <w:lang w:val="en-ZA"/>
        </w:rPr>
        <w:t xml:space="preserve"> Mr de Beer informed him</w:t>
      </w:r>
      <w:r w:rsidR="004D222E" w:rsidRPr="004D222E">
        <w:rPr>
          <w:sz w:val="24"/>
          <w:lang w:val="en-ZA"/>
        </w:rPr>
        <w:t xml:space="preserve"> that the lease agreement is null and void because the plaintiff sub-let the property to him. He accepted this proposition without demur. </w:t>
      </w:r>
    </w:p>
    <w:p w:rsidR="004D222E" w:rsidRPr="004D222E" w:rsidRDefault="004D222E" w:rsidP="00E24AF2">
      <w:pPr>
        <w:spacing w:line="360" w:lineRule="auto"/>
        <w:jc w:val="both"/>
        <w:rPr>
          <w:sz w:val="24"/>
          <w:lang w:val="en-ZA"/>
        </w:rPr>
      </w:pPr>
    </w:p>
    <w:p w:rsidR="004D222E" w:rsidRDefault="00F0340F" w:rsidP="00E24AF2">
      <w:pPr>
        <w:spacing w:line="360" w:lineRule="auto"/>
        <w:jc w:val="both"/>
        <w:rPr>
          <w:sz w:val="24"/>
          <w:lang w:val="en-ZA"/>
        </w:rPr>
      </w:pPr>
      <w:r>
        <w:rPr>
          <w:sz w:val="24"/>
          <w:lang w:val="en-ZA"/>
        </w:rPr>
        <w:t>[2</w:t>
      </w:r>
      <w:r w:rsidR="00F414EC">
        <w:rPr>
          <w:sz w:val="24"/>
          <w:lang w:val="en-ZA"/>
        </w:rPr>
        <w:t>0</w:t>
      </w:r>
      <w:r w:rsidR="00EC5774">
        <w:rPr>
          <w:sz w:val="24"/>
          <w:lang w:val="en-ZA"/>
        </w:rPr>
        <w:t>]</w:t>
      </w:r>
      <w:r w:rsidR="00EC5774">
        <w:rPr>
          <w:sz w:val="24"/>
          <w:lang w:val="en-ZA"/>
        </w:rPr>
        <w:tab/>
      </w:r>
      <w:r w:rsidR="004D222E" w:rsidRPr="004D222E">
        <w:rPr>
          <w:sz w:val="24"/>
          <w:lang w:val="en-ZA"/>
        </w:rPr>
        <w:t>In their plea</w:t>
      </w:r>
      <w:r w:rsidR="00F825C0">
        <w:rPr>
          <w:sz w:val="24"/>
          <w:lang w:val="en-ZA"/>
        </w:rPr>
        <w:t>,</w:t>
      </w:r>
      <w:r w:rsidR="004D222E" w:rsidRPr="004D222E">
        <w:rPr>
          <w:sz w:val="24"/>
          <w:lang w:val="en-ZA"/>
        </w:rPr>
        <w:t xml:space="preserve"> the de Beers stated that Mr </w:t>
      </w:r>
      <w:r w:rsidR="002411AA">
        <w:rPr>
          <w:sz w:val="24"/>
          <w:lang w:val="en-ZA"/>
        </w:rPr>
        <w:t xml:space="preserve">Marius </w:t>
      </w:r>
      <w:r w:rsidR="004D222E" w:rsidRPr="004D222E">
        <w:rPr>
          <w:sz w:val="24"/>
          <w:lang w:val="en-ZA"/>
        </w:rPr>
        <w:t>Nel and the plaintiff were co-lessees of a</w:t>
      </w:r>
      <w:r>
        <w:rPr>
          <w:sz w:val="24"/>
          <w:lang w:val="en-ZA"/>
        </w:rPr>
        <w:t xml:space="preserve">ll the farms, in terms of </w:t>
      </w:r>
      <w:r w:rsidR="004D222E" w:rsidRPr="004D222E">
        <w:rPr>
          <w:sz w:val="24"/>
          <w:lang w:val="en-ZA"/>
        </w:rPr>
        <w:t xml:space="preserve">the first and second lease agreements. They later abandoned their stance with regard to the second lease agreement. </w:t>
      </w:r>
      <w:r w:rsidR="009018B4">
        <w:rPr>
          <w:sz w:val="24"/>
          <w:lang w:val="en-ZA"/>
        </w:rPr>
        <w:t xml:space="preserve">The high court found that </w:t>
      </w:r>
      <w:r w:rsidR="009018B4" w:rsidRPr="00084A34">
        <w:rPr>
          <w:sz w:val="24"/>
          <w:lang w:val="en-ZA"/>
        </w:rPr>
        <w:t>the de Beers were scoundrels</w:t>
      </w:r>
      <w:r w:rsidR="00037E7C" w:rsidRPr="00084A34">
        <w:rPr>
          <w:sz w:val="24"/>
          <w:lang w:val="en-ZA"/>
        </w:rPr>
        <w:t xml:space="preserve"> because they entered into the second lease agreement with the plaintiff knowing that they concluded a sale agreement with the Fanie Trust, in respect of </w:t>
      </w:r>
      <w:r w:rsidR="00C97AB5">
        <w:rPr>
          <w:sz w:val="24"/>
          <w:lang w:val="en-ZA"/>
        </w:rPr>
        <w:t>P</w:t>
      </w:r>
      <w:r w:rsidR="00037E7C" w:rsidRPr="00084A34">
        <w:rPr>
          <w:sz w:val="24"/>
          <w:lang w:val="en-ZA"/>
        </w:rPr>
        <w:t>ortions 6 and 11</w:t>
      </w:r>
      <w:r w:rsidR="009018B4" w:rsidRPr="00084A34">
        <w:rPr>
          <w:sz w:val="24"/>
          <w:lang w:val="en-ZA"/>
        </w:rPr>
        <w:t xml:space="preserve">. This finding was not challenged before us. </w:t>
      </w:r>
      <w:r w:rsidR="004D222E" w:rsidRPr="00084A34">
        <w:rPr>
          <w:sz w:val="24"/>
          <w:lang w:val="en-ZA"/>
        </w:rPr>
        <w:t xml:space="preserve">Mr </w:t>
      </w:r>
      <w:r w:rsidR="002411AA" w:rsidRPr="00084A34">
        <w:rPr>
          <w:sz w:val="24"/>
          <w:lang w:val="en-ZA"/>
        </w:rPr>
        <w:t xml:space="preserve">Marius </w:t>
      </w:r>
      <w:r w:rsidR="004D222E" w:rsidRPr="00084A34">
        <w:rPr>
          <w:sz w:val="24"/>
          <w:lang w:val="en-ZA"/>
        </w:rPr>
        <w:t>Nel insisted that he was a co-lessee</w:t>
      </w:r>
      <w:r w:rsidR="004D222E" w:rsidRPr="004D222E">
        <w:rPr>
          <w:sz w:val="24"/>
          <w:lang w:val="en-ZA"/>
        </w:rPr>
        <w:t xml:space="preserve">, however, he could not coherently explain why the Fanie Trust agreement was made subject to the lease agreement </w:t>
      </w:r>
      <w:r w:rsidR="004D222E" w:rsidRPr="004D222E">
        <w:rPr>
          <w:sz w:val="24"/>
          <w:lang w:val="en-ZA"/>
        </w:rPr>
        <w:lastRenderedPageBreak/>
        <w:t>entered into between the de Beer</w:t>
      </w:r>
      <w:r>
        <w:rPr>
          <w:sz w:val="24"/>
          <w:lang w:val="en-ZA"/>
        </w:rPr>
        <w:t xml:space="preserve">s and the plaintiff. </w:t>
      </w:r>
      <w:r w:rsidR="009018B4">
        <w:rPr>
          <w:sz w:val="24"/>
          <w:lang w:val="en-ZA"/>
        </w:rPr>
        <w:t>The high court did not make any credibility findings in respect of the Nel brother’s testimonies.</w:t>
      </w:r>
      <w:r w:rsidR="004D222E" w:rsidRPr="004D222E">
        <w:rPr>
          <w:sz w:val="24"/>
          <w:lang w:val="en-ZA"/>
        </w:rPr>
        <w:t xml:space="preserve">  </w:t>
      </w:r>
    </w:p>
    <w:p w:rsidR="004D222E" w:rsidRPr="004D222E" w:rsidRDefault="004D222E" w:rsidP="00E24AF2">
      <w:pPr>
        <w:spacing w:line="360" w:lineRule="auto"/>
        <w:jc w:val="both"/>
        <w:rPr>
          <w:sz w:val="24"/>
          <w:lang w:val="en-ZA"/>
        </w:rPr>
      </w:pPr>
    </w:p>
    <w:p w:rsidR="0067107B" w:rsidRDefault="00F0340F" w:rsidP="00E24AF2">
      <w:pPr>
        <w:spacing w:line="360" w:lineRule="auto"/>
        <w:jc w:val="both"/>
        <w:rPr>
          <w:sz w:val="24"/>
          <w:lang w:val="en-ZA"/>
        </w:rPr>
      </w:pPr>
      <w:r>
        <w:rPr>
          <w:sz w:val="24"/>
          <w:lang w:val="en-ZA"/>
        </w:rPr>
        <w:t>[2</w:t>
      </w:r>
      <w:r w:rsidR="00F414EC">
        <w:rPr>
          <w:sz w:val="24"/>
          <w:lang w:val="en-ZA"/>
        </w:rPr>
        <w:t>1</w:t>
      </w:r>
      <w:r w:rsidR="00EC5774">
        <w:rPr>
          <w:sz w:val="24"/>
          <w:lang w:val="en-ZA"/>
        </w:rPr>
        <w:t>]</w:t>
      </w:r>
      <w:r w:rsidR="00EC5774">
        <w:rPr>
          <w:sz w:val="24"/>
          <w:lang w:val="en-ZA"/>
        </w:rPr>
        <w:tab/>
      </w:r>
      <w:r w:rsidR="00D6006D" w:rsidRPr="00084A34">
        <w:rPr>
          <w:sz w:val="24"/>
          <w:lang w:val="en-ZA"/>
        </w:rPr>
        <w:t xml:space="preserve">On the probabilities, </w:t>
      </w:r>
      <w:r w:rsidR="004D222E" w:rsidRPr="00084A34">
        <w:rPr>
          <w:sz w:val="24"/>
          <w:lang w:val="en-ZA"/>
        </w:rPr>
        <w:t>I</w:t>
      </w:r>
      <w:r w:rsidR="004D222E" w:rsidRPr="004D222E">
        <w:rPr>
          <w:sz w:val="24"/>
          <w:lang w:val="en-ZA"/>
        </w:rPr>
        <w:t xml:space="preserve"> agree with the plaintiff that </w:t>
      </w:r>
      <w:r w:rsidR="00892474">
        <w:rPr>
          <w:sz w:val="24"/>
          <w:lang w:val="en-ZA"/>
        </w:rPr>
        <w:t>Mr Marius Nel’s</w:t>
      </w:r>
      <w:r w:rsidR="004D222E" w:rsidRPr="004D222E">
        <w:rPr>
          <w:sz w:val="24"/>
          <w:lang w:val="en-ZA"/>
        </w:rPr>
        <w:t xml:space="preserve"> conduct was consistent with that of a sub-lessee. He did not ask for a separate lease contract; he paid the full lease amount whereas he stated that he leased </w:t>
      </w:r>
      <w:r w:rsidR="00F825C0">
        <w:rPr>
          <w:sz w:val="24"/>
          <w:lang w:val="en-ZA"/>
        </w:rPr>
        <w:t xml:space="preserve">only </w:t>
      </w:r>
      <w:r w:rsidR="004D222E" w:rsidRPr="004D222E">
        <w:rPr>
          <w:sz w:val="24"/>
          <w:lang w:val="en-ZA"/>
        </w:rPr>
        <w:t>two fa</w:t>
      </w:r>
      <w:r>
        <w:rPr>
          <w:sz w:val="24"/>
          <w:lang w:val="en-ZA"/>
        </w:rPr>
        <w:t>rms</w:t>
      </w:r>
      <w:r w:rsidR="00F825C0">
        <w:rPr>
          <w:sz w:val="24"/>
          <w:lang w:val="en-ZA"/>
        </w:rPr>
        <w:t xml:space="preserve"> and,</w:t>
      </w:r>
      <w:r>
        <w:rPr>
          <w:sz w:val="24"/>
          <w:lang w:val="en-ZA"/>
        </w:rPr>
        <w:t xml:space="preserve"> when he was told </w:t>
      </w:r>
      <w:r w:rsidR="004D222E" w:rsidRPr="004D222E">
        <w:rPr>
          <w:sz w:val="24"/>
          <w:lang w:val="en-ZA"/>
        </w:rPr>
        <w:t>by Mr de Beer that he was a sub-lessee, he did not object.</w:t>
      </w:r>
      <w:r w:rsidR="002F3FA7">
        <w:rPr>
          <w:sz w:val="24"/>
          <w:lang w:val="en-ZA"/>
        </w:rPr>
        <w:t xml:space="preserve"> </w:t>
      </w:r>
      <w:r w:rsidR="00D6006D">
        <w:rPr>
          <w:sz w:val="24"/>
          <w:lang w:val="en-ZA"/>
        </w:rPr>
        <w:t xml:space="preserve">Also, Mr Marius Nel signed the Fanie Trust agreement wherein he and the </w:t>
      </w:r>
      <w:r w:rsidR="00892474">
        <w:rPr>
          <w:sz w:val="24"/>
          <w:lang w:val="en-ZA"/>
        </w:rPr>
        <w:t>d</w:t>
      </w:r>
      <w:r w:rsidR="00D6006D">
        <w:rPr>
          <w:sz w:val="24"/>
          <w:lang w:val="en-ZA"/>
        </w:rPr>
        <w:t>e</w:t>
      </w:r>
      <w:r w:rsidR="00892474">
        <w:rPr>
          <w:sz w:val="24"/>
          <w:lang w:val="en-ZA"/>
        </w:rPr>
        <w:t xml:space="preserve"> </w:t>
      </w:r>
      <w:r w:rsidR="00D6006D">
        <w:rPr>
          <w:sz w:val="24"/>
          <w:lang w:val="en-ZA"/>
        </w:rPr>
        <w:t xml:space="preserve">Beers recognised the </w:t>
      </w:r>
      <w:r w:rsidR="00AE33AE">
        <w:rPr>
          <w:sz w:val="24"/>
          <w:lang w:val="en-ZA"/>
        </w:rPr>
        <w:t xml:space="preserve">plaintiff’s </w:t>
      </w:r>
      <w:r w:rsidR="00D6006D">
        <w:rPr>
          <w:sz w:val="24"/>
          <w:lang w:val="en-ZA"/>
        </w:rPr>
        <w:t>right of pre-emption</w:t>
      </w:r>
      <w:r w:rsidR="00AE33AE">
        <w:rPr>
          <w:sz w:val="24"/>
          <w:lang w:val="en-ZA"/>
        </w:rPr>
        <w:t xml:space="preserve"> </w:t>
      </w:r>
      <w:r w:rsidR="00D6006D">
        <w:rPr>
          <w:sz w:val="24"/>
          <w:lang w:val="en-ZA"/>
        </w:rPr>
        <w:t xml:space="preserve">in the lease agreement. </w:t>
      </w:r>
      <w:r w:rsidR="00037E7C">
        <w:rPr>
          <w:sz w:val="24"/>
          <w:lang w:val="en-ZA"/>
        </w:rPr>
        <w:t>This</w:t>
      </w:r>
      <w:r w:rsidR="00892474">
        <w:rPr>
          <w:sz w:val="24"/>
          <w:lang w:val="en-ZA"/>
        </w:rPr>
        <w:t xml:space="preserve"> conduct </w:t>
      </w:r>
      <w:r w:rsidR="00037E7C">
        <w:rPr>
          <w:sz w:val="24"/>
          <w:lang w:val="en-ZA"/>
        </w:rPr>
        <w:t>is</w:t>
      </w:r>
      <w:r w:rsidR="00892474">
        <w:rPr>
          <w:sz w:val="24"/>
          <w:lang w:val="en-ZA"/>
        </w:rPr>
        <w:t xml:space="preserve"> contrary to that of a person who claims to have been a co-l</w:t>
      </w:r>
      <w:r w:rsidR="006E7272">
        <w:rPr>
          <w:sz w:val="24"/>
          <w:lang w:val="en-ZA"/>
        </w:rPr>
        <w:t>e</w:t>
      </w:r>
      <w:r w:rsidR="00892474">
        <w:rPr>
          <w:sz w:val="24"/>
          <w:lang w:val="en-ZA"/>
        </w:rPr>
        <w:t>s</w:t>
      </w:r>
      <w:r w:rsidR="006E7272">
        <w:rPr>
          <w:sz w:val="24"/>
          <w:lang w:val="en-ZA"/>
        </w:rPr>
        <w:t>s</w:t>
      </w:r>
      <w:r w:rsidR="00892474">
        <w:rPr>
          <w:sz w:val="24"/>
          <w:lang w:val="en-ZA"/>
        </w:rPr>
        <w:t xml:space="preserve">ee. </w:t>
      </w:r>
      <w:r w:rsidR="00F825C0">
        <w:rPr>
          <w:sz w:val="24"/>
          <w:lang w:val="en-ZA"/>
        </w:rPr>
        <w:t xml:space="preserve">Furthermore, </w:t>
      </w:r>
      <w:r w:rsidR="004D222E" w:rsidRPr="004D222E">
        <w:rPr>
          <w:sz w:val="24"/>
          <w:lang w:val="en-ZA"/>
        </w:rPr>
        <w:t xml:space="preserve">Mr </w:t>
      </w:r>
      <w:r w:rsidR="002411AA">
        <w:rPr>
          <w:sz w:val="24"/>
          <w:lang w:val="en-ZA"/>
        </w:rPr>
        <w:t xml:space="preserve">Marius </w:t>
      </w:r>
      <w:r w:rsidR="004D222E" w:rsidRPr="004D222E">
        <w:rPr>
          <w:sz w:val="24"/>
          <w:lang w:val="en-ZA"/>
        </w:rPr>
        <w:t>Nel did not give the plaintiff an</w:t>
      </w:r>
      <w:r w:rsidR="00854047">
        <w:rPr>
          <w:sz w:val="24"/>
          <w:lang w:val="en-ZA"/>
        </w:rPr>
        <w:t xml:space="preserve"> instruction</w:t>
      </w:r>
      <w:r w:rsidR="00F31E09">
        <w:rPr>
          <w:sz w:val="24"/>
          <w:lang w:val="en-ZA"/>
        </w:rPr>
        <w:t xml:space="preserve"> </w:t>
      </w:r>
      <w:r w:rsidR="004D222E" w:rsidRPr="004D222E">
        <w:rPr>
          <w:sz w:val="24"/>
          <w:lang w:val="en-ZA"/>
        </w:rPr>
        <w:t>to enter into the lease agreement as his nominee.</w:t>
      </w:r>
      <w:r w:rsidR="004E56B3">
        <w:rPr>
          <w:rStyle w:val="FootnoteReference"/>
          <w:sz w:val="24"/>
          <w:lang w:val="en-ZA"/>
        </w:rPr>
        <w:footnoteReference w:id="5"/>
      </w:r>
      <w:r w:rsidR="004D222E" w:rsidRPr="004D222E">
        <w:rPr>
          <w:sz w:val="24"/>
          <w:lang w:val="en-ZA"/>
        </w:rPr>
        <w:t xml:space="preserve"> </w:t>
      </w:r>
      <w:r w:rsidR="00F825C0">
        <w:rPr>
          <w:sz w:val="24"/>
          <w:lang w:val="en-ZA"/>
        </w:rPr>
        <w:t>As such, t</w:t>
      </w:r>
      <w:r w:rsidR="004D222E" w:rsidRPr="004D222E">
        <w:rPr>
          <w:sz w:val="24"/>
          <w:lang w:val="en-ZA"/>
        </w:rPr>
        <w:t xml:space="preserve">he </w:t>
      </w:r>
      <w:r w:rsidR="004D222E" w:rsidRPr="00084A34">
        <w:rPr>
          <w:sz w:val="24"/>
          <w:lang w:val="en-ZA"/>
        </w:rPr>
        <w:t xml:space="preserve">doctrine of </w:t>
      </w:r>
      <w:r w:rsidR="00716A71" w:rsidRPr="00084A34">
        <w:rPr>
          <w:sz w:val="24"/>
          <w:lang w:val="en-ZA"/>
        </w:rPr>
        <w:t xml:space="preserve">the </w:t>
      </w:r>
      <w:r w:rsidR="004D222E" w:rsidRPr="00084A34">
        <w:rPr>
          <w:sz w:val="24"/>
          <w:lang w:val="en-ZA"/>
        </w:rPr>
        <w:t>undisclosed</w:t>
      </w:r>
      <w:r w:rsidR="004D222E" w:rsidRPr="004D222E">
        <w:rPr>
          <w:sz w:val="24"/>
          <w:lang w:val="en-ZA"/>
        </w:rPr>
        <w:t xml:space="preserve"> principal is also not applicable firstly</w:t>
      </w:r>
      <w:r>
        <w:rPr>
          <w:sz w:val="24"/>
          <w:lang w:val="en-ZA"/>
        </w:rPr>
        <w:t>,</w:t>
      </w:r>
      <w:r w:rsidR="004D222E" w:rsidRPr="004D222E">
        <w:rPr>
          <w:sz w:val="24"/>
          <w:lang w:val="en-ZA"/>
        </w:rPr>
        <w:t xml:space="preserve"> because Mr Mar</w:t>
      </w:r>
      <w:r w:rsidR="002411AA">
        <w:rPr>
          <w:sz w:val="24"/>
          <w:lang w:val="en-ZA"/>
        </w:rPr>
        <w:t>i</w:t>
      </w:r>
      <w:r w:rsidR="004D222E" w:rsidRPr="004D222E">
        <w:rPr>
          <w:sz w:val="24"/>
          <w:lang w:val="en-ZA"/>
        </w:rPr>
        <w:t>us Nel did not testify that he was the plaintiff’s principal and secondly, he did not give the plaintiff</w:t>
      </w:r>
      <w:r w:rsidR="004E56B3">
        <w:rPr>
          <w:sz w:val="24"/>
          <w:lang w:val="en-ZA"/>
        </w:rPr>
        <w:t>,</w:t>
      </w:r>
      <w:r w:rsidR="004D222E" w:rsidRPr="004D222E">
        <w:rPr>
          <w:sz w:val="24"/>
          <w:lang w:val="en-ZA"/>
        </w:rPr>
        <w:t xml:space="preserve"> as the purported intermediary</w:t>
      </w:r>
      <w:r w:rsidR="00F825C0">
        <w:rPr>
          <w:sz w:val="24"/>
          <w:lang w:val="en-ZA"/>
        </w:rPr>
        <w:t>,</w:t>
      </w:r>
      <w:r w:rsidR="004D222E" w:rsidRPr="004D222E">
        <w:rPr>
          <w:sz w:val="24"/>
          <w:lang w:val="en-ZA"/>
        </w:rPr>
        <w:t xml:space="preserve"> a mandate. </w:t>
      </w:r>
      <w:r w:rsidR="0067107B">
        <w:rPr>
          <w:sz w:val="24"/>
          <w:lang w:val="en-ZA"/>
        </w:rPr>
        <w:t>There must be a relationship between the principal and the intermediary:</w:t>
      </w:r>
    </w:p>
    <w:p w:rsidR="004E56B3" w:rsidRPr="004E56B3" w:rsidRDefault="0067107B" w:rsidP="00E24AF2">
      <w:pPr>
        <w:spacing w:line="360" w:lineRule="auto"/>
        <w:jc w:val="both"/>
        <w:rPr>
          <w:sz w:val="22"/>
          <w:szCs w:val="22"/>
          <w:lang w:val="en-ZA"/>
        </w:rPr>
      </w:pPr>
      <w:r w:rsidRPr="004E56B3">
        <w:rPr>
          <w:sz w:val="22"/>
          <w:szCs w:val="22"/>
          <w:lang w:val="en-ZA"/>
        </w:rPr>
        <w:t xml:space="preserve">‘It would </w:t>
      </w:r>
      <w:r w:rsidR="004E56B3" w:rsidRPr="004E56B3">
        <w:rPr>
          <w:sz w:val="22"/>
          <w:szCs w:val="22"/>
          <w:lang w:val="en-ZA"/>
        </w:rPr>
        <w:t>appear though, that the required relationship exists only where the undisclosed principal has instructed the intermediary to conclude the contract either in the name of the principal or in his or her own name or in either as he or she chooses. If no such relationship exists, the situation is not an undisclosed-principal relationship and the alleged undisclosed principal can acquire no right and incur no obligations from the contract’</w:t>
      </w:r>
      <w:r w:rsidR="004E56B3" w:rsidRPr="004E56B3">
        <w:rPr>
          <w:rStyle w:val="FootnoteReference"/>
          <w:sz w:val="22"/>
          <w:szCs w:val="22"/>
          <w:lang w:val="en-ZA"/>
        </w:rPr>
        <w:footnoteReference w:id="6"/>
      </w:r>
      <w:r w:rsidR="004E56B3" w:rsidRPr="004E56B3">
        <w:rPr>
          <w:sz w:val="22"/>
          <w:szCs w:val="22"/>
          <w:lang w:val="en-ZA"/>
        </w:rPr>
        <w:t xml:space="preserve"> </w:t>
      </w:r>
    </w:p>
    <w:p w:rsidR="004D222E" w:rsidRPr="004D222E" w:rsidRDefault="004D222E" w:rsidP="00E24AF2">
      <w:pPr>
        <w:spacing w:line="360" w:lineRule="auto"/>
        <w:jc w:val="both"/>
        <w:rPr>
          <w:sz w:val="24"/>
          <w:lang w:val="en-ZA"/>
        </w:rPr>
      </w:pPr>
      <w:r w:rsidRPr="004D222E">
        <w:rPr>
          <w:sz w:val="24"/>
          <w:lang w:val="en-ZA"/>
        </w:rPr>
        <w:t>I find that Mr Mar</w:t>
      </w:r>
      <w:r w:rsidR="002411AA">
        <w:rPr>
          <w:sz w:val="24"/>
          <w:lang w:val="en-ZA"/>
        </w:rPr>
        <w:t>iu</w:t>
      </w:r>
      <w:r w:rsidRPr="004D222E">
        <w:rPr>
          <w:sz w:val="24"/>
          <w:lang w:val="en-ZA"/>
        </w:rPr>
        <w:t xml:space="preserve">s Nel was not a co-lessee. There was therefore no need for him to exercise the </w:t>
      </w:r>
      <w:r w:rsidR="00F0340F">
        <w:rPr>
          <w:sz w:val="24"/>
          <w:lang w:val="en-ZA"/>
        </w:rPr>
        <w:t>right of pre-emption</w:t>
      </w:r>
      <w:r w:rsidRPr="004D222E">
        <w:rPr>
          <w:sz w:val="24"/>
          <w:lang w:val="en-ZA"/>
        </w:rPr>
        <w:t xml:space="preserve"> </w:t>
      </w:r>
      <w:r w:rsidR="00892474" w:rsidRPr="00084A34">
        <w:rPr>
          <w:sz w:val="24"/>
          <w:lang w:val="en-ZA"/>
        </w:rPr>
        <w:t>jointly</w:t>
      </w:r>
      <w:r w:rsidR="00892474">
        <w:rPr>
          <w:sz w:val="24"/>
          <w:lang w:val="en-ZA"/>
        </w:rPr>
        <w:t xml:space="preserve"> </w:t>
      </w:r>
      <w:r w:rsidRPr="004D222E">
        <w:rPr>
          <w:sz w:val="24"/>
          <w:lang w:val="en-ZA"/>
        </w:rPr>
        <w:t>with the plaintiff.</w:t>
      </w:r>
    </w:p>
    <w:p w:rsidR="002F3FA7" w:rsidRDefault="002F3FA7" w:rsidP="00E24AF2">
      <w:pPr>
        <w:spacing w:line="360" w:lineRule="auto"/>
        <w:jc w:val="both"/>
        <w:rPr>
          <w:sz w:val="24"/>
          <w:lang w:val="en-ZA"/>
        </w:rPr>
      </w:pPr>
    </w:p>
    <w:p w:rsidR="004D222E" w:rsidRPr="002F3FA7" w:rsidRDefault="004D222E" w:rsidP="00E24AF2">
      <w:pPr>
        <w:spacing w:line="360" w:lineRule="auto"/>
        <w:jc w:val="both"/>
        <w:rPr>
          <w:b/>
          <w:sz w:val="24"/>
          <w:lang w:val="en-ZA"/>
        </w:rPr>
      </w:pPr>
      <w:r w:rsidRPr="002F3FA7">
        <w:rPr>
          <w:b/>
          <w:sz w:val="24"/>
          <w:lang w:val="en-ZA"/>
        </w:rPr>
        <w:t xml:space="preserve">Interpretation of Clause 19 </w:t>
      </w:r>
    </w:p>
    <w:p w:rsidR="004D222E" w:rsidRPr="004D222E" w:rsidRDefault="00F0340F" w:rsidP="00E24AF2">
      <w:pPr>
        <w:spacing w:line="360" w:lineRule="auto"/>
        <w:jc w:val="both"/>
        <w:rPr>
          <w:sz w:val="24"/>
          <w:lang w:val="en-ZA"/>
        </w:rPr>
      </w:pPr>
      <w:r>
        <w:rPr>
          <w:sz w:val="24"/>
          <w:lang w:val="en-ZA"/>
        </w:rPr>
        <w:t>[2</w:t>
      </w:r>
      <w:r w:rsidR="00F414EC">
        <w:rPr>
          <w:sz w:val="24"/>
          <w:lang w:val="en-ZA"/>
        </w:rPr>
        <w:t>2</w:t>
      </w:r>
      <w:r w:rsidR="00EC5774">
        <w:rPr>
          <w:sz w:val="24"/>
          <w:lang w:val="en-ZA"/>
        </w:rPr>
        <w:t>]</w:t>
      </w:r>
      <w:r w:rsidR="00EC5774">
        <w:rPr>
          <w:sz w:val="24"/>
          <w:lang w:val="en-ZA"/>
        </w:rPr>
        <w:tab/>
      </w:r>
      <w:r w:rsidR="004D222E" w:rsidRPr="004D222E">
        <w:rPr>
          <w:sz w:val="24"/>
          <w:lang w:val="en-ZA"/>
        </w:rPr>
        <w:t xml:space="preserve">This Court has set out the proper approach to interpreting a document in the oft-quoted decision in </w:t>
      </w:r>
      <w:r w:rsidR="00840274" w:rsidRPr="002411AA">
        <w:rPr>
          <w:i/>
          <w:iCs/>
          <w:sz w:val="24"/>
          <w:lang w:val="en-ZA"/>
        </w:rPr>
        <w:t>Natal Joint Municipal Pension Fund</w:t>
      </w:r>
      <w:r w:rsidR="00716A71">
        <w:rPr>
          <w:i/>
          <w:iCs/>
          <w:sz w:val="24"/>
          <w:lang w:val="en-ZA"/>
        </w:rPr>
        <w:t xml:space="preserve"> v</w:t>
      </w:r>
      <w:r w:rsidR="00840274" w:rsidRPr="002411AA">
        <w:rPr>
          <w:i/>
          <w:iCs/>
          <w:sz w:val="24"/>
          <w:lang w:val="en-ZA"/>
        </w:rPr>
        <w:t xml:space="preserve"> </w:t>
      </w:r>
      <w:r w:rsidR="004D222E" w:rsidRPr="002411AA">
        <w:rPr>
          <w:i/>
          <w:iCs/>
          <w:sz w:val="24"/>
          <w:lang w:val="en-ZA"/>
        </w:rPr>
        <w:t>Endumeni</w:t>
      </w:r>
      <w:r w:rsidR="00840274">
        <w:rPr>
          <w:i/>
          <w:iCs/>
          <w:sz w:val="24"/>
          <w:lang w:val="en-ZA"/>
        </w:rPr>
        <w:t xml:space="preserve"> Municipality</w:t>
      </w:r>
      <w:r w:rsidR="004D222E" w:rsidRPr="004D222E">
        <w:rPr>
          <w:sz w:val="24"/>
          <w:lang w:val="en-ZA"/>
        </w:rPr>
        <w:t>:</w:t>
      </w:r>
      <w:r w:rsidR="004D222E" w:rsidRPr="004D222E">
        <w:rPr>
          <w:rStyle w:val="FootnoteReference"/>
          <w:sz w:val="24"/>
          <w:lang w:val="en-ZA"/>
        </w:rPr>
        <w:footnoteReference w:id="7"/>
      </w:r>
      <w:r w:rsidR="004D222E" w:rsidRPr="004D222E">
        <w:rPr>
          <w:sz w:val="24"/>
          <w:lang w:val="en-ZA"/>
        </w:rPr>
        <w:t xml:space="preserve">    </w:t>
      </w:r>
    </w:p>
    <w:p w:rsidR="004D222E" w:rsidRPr="004D222E" w:rsidRDefault="00EC5774" w:rsidP="00E24AF2">
      <w:pPr>
        <w:spacing w:line="360" w:lineRule="auto"/>
        <w:jc w:val="both"/>
        <w:rPr>
          <w:sz w:val="24"/>
        </w:rPr>
      </w:pPr>
      <w:r>
        <w:rPr>
          <w:sz w:val="24"/>
        </w:rPr>
        <w:t>‘</w:t>
      </w:r>
      <w:r w:rsidR="004D222E" w:rsidRPr="00300074">
        <w:rPr>
          <w:sz w:val="22"/>
          <w:szCs w:val="22"/>
        </w:rPr>
        <w:t xml:space="preserve">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w:t>
      </w:r>
      <w:r w:rsidR="004D222E" w:rsidRPr="00300074">
        <w:rPr>
          <w:sz w:val="22"/>
          <w:szCs w:val="22"/>
        </w:rPr>
        <w:lastRenderedPageBreak/>
        <w:t>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weighed in the light of all these factors. The process is objective, not subjective. A sensible meaning is to be preferred to one that leads to insensible or unbusinesslike results or undermines the apparent purpose of the document</w:t>
      </w:r>
      <w:r w:rsidR="00840274">
        <w:rPr>
          <w:sz w:val="22"/>
          <w:szCs w:val="22"/>
        </w:rPr>
        <w:t xml:space="preserve"> </w:t>
      </w:r>
      <w:r w:rsidR="00F32340">
        <w:rPr>
          <w:sz w:val="22"/>
          <w:szCs w:val="22"/>
        </w:rPr>
        <w:t xml:space="preserve">. </w:t>
      </w:r>
      <w:r w:rsidR="00840274">
        <w:rPr>
          <w:sz w:val="22"/>
          <w:szCs w:val="22"/>
        </w:rPr>
        <w:t xml:space="preserve">. . </w:t>
      </w:r>
      <w:r w:rsidR="004D222E" w:rsidRPr="00300074">
        <w:rPr>
          <w:sz w:val="22"/>
          <w:szCs w:val="22"/>
        </w:rPr>
        <w:t xml:space="preserve"> </w:t>
      </w:r>
      <w:r w:rsidR="00297BB9">
        <w:rPr>
          <w:sz w:val="22"/>
          <w:szCs w:val="22"/>
        </w:rPr>
        <w:t>[t]</w:t>
      </w:r>
      <w:r w:rsidRPr="00300074">
        <w:rPr>
          <w:sz w:val="22"/>
          <w:szCs w:val="22"/>
        </w:rPr>
        <w:t>he “</w:t>
      </w:r>
      <w:r w:rsidR="004D222E" w:rsidRPr="00300074">
        <w:rPr>
          <w:sz w:val="22"/>
          <w:szCs w:val="22"/>
        </w:rPr>
        <w:t>inevitable point of departure is the l</w:t>
      </w:r>
      <w:r w:rsidRPr="00300074">
        <w:rPr>
          <w:sz w:val="22"/>
          <w:szCs w:val="22"/>
        </w:rPr>
        <w:t>anguage of the provision itself”</w:t>
      </w:r>
      <w:r w:rsidR="004D222E" w:rsidRPr="00300074">
        <w:rPr>
          <w:sz w:val="22"/>
          <w:szCs w:val="22"/>
        </w:rPr>
        <w:t>, read in context and having regard to the purpose of the provision and the background to the preparation and</w:t>
      </w:r>
      <w:r w:rsidRPr="00300074">
        <w:rPr>
          <w:sz w:val="22"/>
          <w:szCs w:val="22"/>
        </w:rPr>
        <w:t xml:space="preserve"> production of the document</w:t>
      </w:r>
      <w:r>
        <w:rPr>
          <w:sz w:val="24"/>
        </w:rPr>
        <w:t>.’</w:t>
      </w:r>
      <w:r w:rsidR="004D222E" w:rsidRPr="004D222E">
        <w:rPr>
          <w:rStyle w:val="FootnoteReference"/>
          <w:sz w:val="24"/>
        </w:rPr>
        <w:footnoteReference w:id="8"/>
      </w:r>
    </w:p>
    <w:p w:rsidR="004D222E" w:rsidRPr="004D222E" w:rsidRDefault="004D222E" w:rsidP="00E24AF2">
      <w:pPr>
        <w:spacing w:line="360" w:lineRule="auto"/>
        <w:jc w:val="both"/>
        <w:rPr>
          <w:sz w:val="24"/>
          <w:lang w:val="en-ZA"/>
        </w:rPr>
      </w:pPr>
    </w:p>
    <w:p w:rsidR="004D222E" w:rsidRDefault="00F0340F" w:rsidP="00E24AF2">
      <w:pPr>
        <w:spacing w:line="360" w:lineRule="auto"/>
        <w:jc w:val="both"/>
        <w:rPr>
          <w:sz w:val="24"/>
          <w:lang w:val="en-ZA"/>
        </w:rPr>
      </w:pPr>
      <w:r>
        <w:rPr>
          <w:sz w:val="24"/>
          <w:lang w:val="en-ZA"/>
        </w:rPr>
        <w:t>[2</w:t>
      </w:r>
      <w:r w:rsidR="00F414EC">
        <w:rPr>
          <w:sz w:val="24"/>
          <w:lang w:val="en-ZA"/>
        </w:rPr>
        <w:t>3</w:t>
      </w:r>
      <w:r w:rsidR="00EC5774">
        <w:rPr>
          <w:sz w:val="24"/>
          <w:lang w:val="en-ZA"/>
        </w:rPr>
        <w:t>]</w:t>
      </w:r>
      <w:r w:rsidR="00EC5774">
        <w:rPr>
          <w:sz w:val="24"/>
          <w:lang w:val="en-ZA"/>
        </w:rPr>
        <w:tab/>
      </w:r>
      <w:r w:rsidR="004D222E" w:rsidRPr="004D222E">
        <w:rPr>
          <w:sz w:val="24"/>
          <w:lang w:val="en-ZA"/>
        </w:rPr>
        <w:t>The approach to interpretation is a unitary exercise: the text, context and purpose must be considered simultaneously.</w:t>
      </w:r>
      <w:r w:rsidR="004D222E" w:rsidRPr="004D222E">
        <w:rPr>
          <w:rStyle w:val="FootnoteReference"/>
          <w:sz w:val="24"/>
          <w:lang w:val="en-ZA"/>
        </w:rPr>
        <w:footnoteReference w:id="9"/>
      </w:r>
      <w:r w:rsidR="00EC5774">
        <w:rPr>
          <w:sz w:val="24"/>
          <w:lang w:val="en-ZA"/>
        </w:rPr>
        <w:t xml:space="preserve"> </w:t>
      </w:r>
      <w:r w:rsidR="004D222E" w:rsidRPr="004D222E">
        <w:rPr>
          <w:sz w:val="24"/>
          <w:lang w:val="en-ZA"/>
        </w:rPr>
        <w:t>In determining the intention of the parties to an agreement the court must have regard to all the facts. Although the words used by the parties are important, it must, however, be remembered that ‘words without context mean nothing’.</w:t>
      </w:r>
      <w:r w:rsidR="004D222E" w:rsidRPr="004D222E">
        <w:rPr>
          <w:rStyle w:val="FootnoteReference"/>
          <w:sz w:val="24"/>
          <w:lang w:val="en-ZA"/>
        </w:rPr>
        <w:footnoteReference w:id="10"/>
      </w:r>
    </w:p>
    <w:p w:rsidR="00EC5774" w:rsidRPr="004D222E" w:rsidRDefault="00EC5774" w:rsidP="00E24AF2">
      <w:pPr>
        <w:spacing w:line="360" w:lineRule="auto"/>
        <w:jc w:val="both"/>
        <w:rPr>
          <w:sz w:val="24"/>
          <w:lang w:val="en-ZA"/>
        </w:rPr>
      </w:pPr>
    </w:p>
    <w:p w:rsidR="00EC5774" w:rsidRDefault="00F0340F" w:rsidP="00084A34">
      <w:pPr>
        <w:spacing w:line="360" w:lineRule="auto"/>
        <w:jc w:val="both"/>
        <w:rPr>
          <w:sz w:val="24"/>
          <w:lang w:val="en-ZA"/>
        </w:rPr>
      </w:pPr>
      <w:r>
        <w:rPr>
          <w:sz w:val="24"/>
          <w:lang w:val="en-ZA"/>
        </w:rPr>
        <w:t>[2</w:t>
      </w:r>
      <w:r w:rsidR="00F414EC">
        <w:rPr>
          <w:sz w:val="24"/>
          <w:lang w:val="en-ZA"/>
        </w:rPr>
        <w:t>4</w:t>
      </w:r>
      <w:r w:rsidR="00EC5774">
        <w:rPr>
          <w:sz w:val="24"/>
          <w:lang w:val="en-ZA"/>
        </w:rPr>
        <w:t>]</w:t>
      </w:r>
      <w:r w:rsidR="00EC5774">
        <w:rPr>
          <w:sz w:val="24"/>
          <w:lang w:val="en-ZA"/>
        </w:rPr>
        <w:tab/>
      </w:r>
      <w:r w:rsidR="004D222E" w:rsidRPr="004D222E">
        <w:rPr>
          <w:sz w:val="24"/>
          <w:lang w:val="en-ZA"/>
        </w:rPr>
        <w:t xml:space="preserve">The de Beers argued that the right </w:t>
      </w:r>
      <w:r w:rsidR="00357AA1">
        <w:rPr>
          <w:sz w:val="24"/>
          <w:lang w:val="en-ZA"/>
        </w:rPr>
        <w:t xml:space="preserve">of pre-emption </w:t>
      </w:r>
      <w:r w:rsidR="004D222E" w:rsidRPr="004D222E">
        <w:rPr>
          <w:sz w:val="24"/>
          <w:lang w:val="en-ZA"/>
        </w:rPr>
        <w:t xml:space="preserve">was not triggered because in terms of clause 19 the farms were leased as a unit and the right could only be triggered if they were sold as a unit. The sale of </w:t>
      </w:r>
      <w:r w:rsidR="008B22DC">
        <w:rPr>
          <w:sz w:val="24"/>
          <w:lang w:val="en-ZA"/>
        </w:rPr>
        <w:t xml:space="preserve">the </w:t>
      </w:r>
      <w:r w:rsidR="004D222E" w:rsidRPr="004D222E">
        <w:rPr>
          <w:sz w:val="24"/>
          <w:lang w:val="en-ZA"/>
        </w:rPr>
        <w:t>two farm</w:t>
      </w:r>
      <w:r w:rsidR="00F32340">
        <w:rPr>
          <w:sz w:val="24"/>
          <w:lang w:val="en-ZA"/>
        </w:rPr>
        <w:t>s</w:t>
      </w:r>
      <w:r w:rsidR="004D222E" w:rsidRPr="004D222E">
        <w:rPr>
          <w:sz w:val="24"/>
          <w:lang w:val="en-ZA"/>
        </w:rPr>
        <w:t>, so the argument went, did not activate the right</w:t>
      </w:r>
      <w:r w:rsidR="00922C0A">
        <w:rPr>
          <w:sz w:val="24"/>
          <w:lang w:val="en-ZA"/>
        </w:rPr>
        <w:t xml:space="preserve"> of pre-emption</w:t>
      </w:r>
      <w:r w:rsidR="004D222E" w:rsidRPr="004D222E">
        <w:rPr>
          <w:sz w:val="24"/>
          <w:lang w:val="en-ZA"/>
        </w:rPr>
        <w:t xml:space="preserve">. The plaintiff </w:t>
      </w:r>
      <w:r w:rsidR="004D222E" w:rsidRPr="00084A34">
        <w:rPr>
          <w:sz w:val="24"/>
          <w:lang w:val="en-ZA"/>
        </w:rPr>
        <w:t xml:space="preserve">argued that </w:t>
      </w:r>
      <w:r w:rsidR="00716A71" w:rsidRPr="00084A34">
        <w:rPr>
          <w:sz w:val="24"/>
          <w:lang w:val="en-ZA"/>
        </w:rPr>
        <w:t xml:space="preserve">the </w:t>
      </w:r>
      <w:r w:rsidR="004D222E" w:rsidRPr="00084A34">
        <w:rPr>
          <w:sz w:val="24"/>
          <w:lang w:val="en-ZA"/>
        </w:rPr>
        <w:t>wording of clause</w:t>
      </w:r>
      <w:r w:rsidR="004D222E" w:rsidRPr="004D222E">
        <w:rPr>
          <w:sz w:val="24"/>
          <w:lang w:val="en-ZA"/>
        </w:rPr>
        <w:t xml:space="preserve"> 19 is clear in that it refers to </w:t>
      </w:r>
      <w:r w:rsidR="004D222E" w:rsidRPr="00685DB4">
        <w:rPr>
          <w:sz w:val="24"/>
          <w:lang w:val="en-ZA"/>
        </w:rPr>
        <w:t>properties</w:t>
      </w:r>
      <w:r w:rsidR="004D222E" w:rsidRPr="004D222E">
        <w:rPr>
          <w:sz w:val="24"/>
          <w:lang w:val="en-ZA"/>
        </w:rPr>
        <w:t xml:space="preserve"> and not property</w:t>
      </w:r>
      <w:r w:rsidR="00685DB4">
        <w:rPr>
          <w:sz w:val="24"/>
          <w:lang w:val="en-ZA"/>
        </w:rPr>
        <w:t>,</w:t>
      </w:r>
      <w:r w:rsidR="004D222E" w:rsidRPr="004D222E">
        <w:rPr>
          <w:sz w:val="24"/>
          <w:lang w:val="en-ZA"/>
        </w:rPr>
        <w:t xml:space="preserve"> as the high court erroneously stated.</w:t>
      </w:r>
    </w:p>
    <w:p w:rsidR="004D222E" w:rsidRPr="004D222E" w:rsidRDefault="004D222E" w:rsidP="00E24AF2">
      <w:pPr>
        <w:spacing w:line="360" w:lineRule="auto"/>
        <w:jc w:val="both"/>
        <w:rPr>
          <w:sz w:val="24"/>
          <w:lang w:val="en-ZA"/>
        </w:rPr>
      </w:pPr>
      <w:r w:rsidRPr="004D222E">
        <w:rPr>
          <w:sz w:val="24"/>
          <w:lang w:val="en-ZA"/>
        </w:rPr>
        <w:t xml:space="preserve">  </w:t>
      </w:r>
    </w:p>
    <w:p w:rsidR="004D222E" w:rsidRDefault="00ED7030" w:rsidP="00E24AF2">
      <w:pPr>
        <w:spacing w:line="360" w:lineRule="auto"/>
        <w:jc w:val="both"/>
        <w:rPr>
          <w:sz w:val="24"/>
          <w:lang w:val="en-ZA"/>
        </w:rPr>
      </w:pPr>
      <w:r>
        <w:rPr>
          <w:sz w:val="24"/>
          <w:lang w:val="en-ZA"/>
        </w:rPr>
        <w:t>[2</w:t>
      </w:r>
      <w:r w:rsidR="00F414EC">
        <w:rPr>
          <w:sz w:val="24"/>
          <w:lang w:val="en-ZA"/>
        </w:rPr>
        <w:t>5</w:t>
      </w:r>
      <w:r w:rsidR="00EC5774">
        <w:rPr>
          <w:sz w:val="24"/>
          <w:lang w:val="en-ZA"/>
        </w:rPr>
        <w:t>]</w:t>
      </w:r>
      <w:r w:rsidR="00EC5774">
        <w:rPr>
          <w:sz w:val="24"/>
          <w:lang w:val="en-ZA"/>
        </w:rPr>
        <w:tab/>
      </w:r>
      <w:r w:rsidR="004D222E" w:rsidRPr="004D222E">
        <w:rPr>
          <w:sz w:val="24"/>
          <w:lang w:val="en-ZA"/>
        </w:rPr>
        <w:t>It is correct that the high court referred to property instead of properties when it interpreted clause 19. The submission by the plaintiff that the high court should have found that the use of the word p</w:t>
      </w:r>
      <w:r>
        <w:rPr>
          <w:sz w:val="24"/>
          <w:lang w:val="en-ZA"/>
        </w:rPr>
        <w:t>roperties in clause 19 was indicative of</w:t>
      </w:r>
      <w:r w:rsidR="004D222E" w:rsidRPr="004D222E">
        <w:rPr>
          <w:sz w:val="24"/>
          <w:lang w:val="en-ZA"/>
        </w:rPr>
        <w:t xml:space="preserve"> an intention to disaggregate the farms is without merit. This is so because the parties clearly used the words ‘properties’ and ‘property’ interchangeably. In clause 1 it is stated that the ‘properties leased are described as follows’ later in the same clause it is stated that ‘both parties agreed on the size of the property’.</w:t>
      </w:r>
    </w:p>
    <w:p w:rsidR="00EC5774" w:rsidRPr="004D222E" w:rsidRDefault="00EC5774" w:rsidP="00E24AF2">
      <w:pPr>
        <w:spacing w:line="360" w:lineRule="auto"/>
        <w:jc w:val="both"/>
        <w:rPr>
          <w:sz w:val="24"/>
          <w:lang w:val="en-ZA"/>
        </w:rPr>
      </w:pPr>
    </w:p>
    <w:p w:rsidR="004D222E" w:rsidRPr="004D222E" w:rsidRDefault="00ED7030" w:rsidP="00E24AF2">
      <w:pPr>
        <w:spacing w:line="360" w:lineRule="auto"/>
        <w:jc w:val="both"/>
        <w:rPr>
          <w:sz w:val="24"/>
          <w:lang w:val="en-ZA"/>
        </w:rPr>
      </w:pPr>
      <w:r>
        <w:rPr>
          <w:sz w:val="24"/>
          <w:lang w:val="en-ZA"/>
        </w:rPr>
        <w:lastRenderedPageBreak/>
        <w:t>[2</w:t>
      </w:r>
      <w:r w:rsidR="00F414EC">
        <w:rPr>
          <w:sz w:val="24"/>
          <w:lang w:val="en-ZA"/>
        </w:rPr>
        <w:t>6</w:t>
      </w:r>
      <w:r w:rsidR="00EC5774">
        <w:rPr>
          <w:sz w:val="24"/>
          <w:lang w:val="en-ZA"/>
        </w:rPr>
        <w:t>]</w:t>
      </w:r>
      <w:r w:rsidR="00EC5774">
        <w:rPr>
          <w:sz w:val="24"/>
          <w:lang w:val="en-ZA"/>
        </w:rPr>
        <w:tab/>
      </w:r>
      <w:r w:rsidR="004D222E" w:rsidRPr="004D222E">
        <w:rPr>
          <w:sz w:val="24"/>
          <w:lang w:val="en-ZA"/>
        </w:rPr>
        <w:t>There is no evidence that the parties agreed that the farms had to be sold as a un</w:t>
      </w:r>
      <w:r w:rsidR="00F414EC">
        <w:rPr>
          <w:sz w:val="24"/>
          <w:lang w:val="en-ZA"/>
        </w:rPr>
        <w:t>i</w:t>
      </w:r>
      <w:r w:rsidR="004D222E" w:rsidRPr="004D222E">
        <w:rPr>
          <w:sz w:val="24"/>
          <w:lang w:val="en-ZA"/>
        </w:rPr>
        <w:t xml:space="preserve">t. It was common cause that the de Beers’ other son-in-law, Mr Gagiano, occupied </w:t>
      </w:r>
      <w:r w:rsidR="00C97AB5">
        <w:rPr>
          <w:sz w:val="24"/>
          <w:lang w:val="en-ZA"/>
        </w:rPr>
        <w:t>P</w:t>
      </w:r>
      <w:r w:rsidR="004D222E" w:rsidRPr="004D222E">
        <w:rPr>
          <w:sz w:val="24"/>
          <w:lang w:val="en-ZA"/>
        </w:rPr>
        <w:t>ortions 6 and 1</w:t>
      </w:r>
      <w:r w:rsidR="00922C0A">
        <w:rPr>
          <w:sz w:val="24"/>
          <w:lang w:val="en-ZA"/>
        </w:rPr>
        <w:t>1</w:t>
      </w:r>
      <w:r w:rsidR="004D222E" w:rsidRPr="004D222E">
        <w:rPr>
          <w:sz w:val="24"/>
          <w:lang w:val="en-ZA"/>
        </w:rPr>
        <w:t>. The relationship between the de Beer family and Mr Gagi</w:t>
      </w:r>
      <w:r>
        <w:rPr>
          <w:sz w:val="24"/>
          <w:lang w:val="en-ZA"/>
        </w:rPr>
        <w:t>ano was strained and Mr de Beer</w:t>
      </w:r>
      <w:r w:rsidR="004D222E" w:rsidRPr="004D222E">
        <w:rPr>
          <w:sz w:val="24"/>
          <w:lang w:val="en-ZA"/>
        </w:rPr>
        <w:t xml:space="preserve"> wanted him to vacate those farms. Mrs Gagiano pertinently testified that one of the ways the de Beers considered to get rid of Mr Gagiano was to sell </w:t>
      </w:r>
      <w:r w:rsidR="00C97AB5">
        <w:rPr>
          <w:sz w:val="24"/>
          <w:lang w:val="en-ZA"/>
        </w:rPr>
        <w:t>P</w:t>
      </w:r>
      <w:r w:rsidR="004D222E" w:rsidRPr="004D222E">
        <w:rPr>
          <w:sz w:val="24"/>
          <w:lang w:val="en-ZA"/>
        </w:rPr>
        <w:t xml:space="preserve">ortions 6 and 11. The de Beers therefore contemplated selling the Swarts Rust farms separately in order to get rid of Mr Gagiano. The plaintiff testified that </w:t>
      </w:r>
      <w:r w:rsidR="00C97AB5">
        <w:rPr>
          <w:sz w:val="24"/>
          <w:lang w:val="en-ZA"/>
        </w:rPr>
        <w:t>P</w:t>
      </w:r>
      <w:r w:rsidR="004D222E" w:rsidRPr="004D222E">
        <w:rPr>
          <w:sz w:val="24"/>
          <w:lang w:val="en-ZA"/>
        </w:rPr>
        <w:t>ortions 6 and 11 could be sold separately as a viable unit because the land was arab</w:t>
      </w:r>
      <w:r>
        <w:rPr>
          <w:sz w:val="24"/>
          <w:lang w:val="en-ZA"/>
        </w:rPr>
        <w:t>le with good soil. The de Beers</w:t>
      </w:r>
      <w:r w:rsidR="004D222E" w:rsidRPr="004D222E">
        <w:rPr>
          <w:sz w:val="24"/>
          <w:lang w:val="en-ZA"/>
        </w:rPr>
        <w:t xml:space="preserve"> eventually sold only </w:t>
      </w:r>
      <w:r w:rsidR="00C97AB5">
        <w:rPr>
          <w:sz w:val="24"/>
          <w:lang w:val="en-ZA"/>
        </w:rPr>
        <w:t>P</w:t>
      </w:r>
      <w:r w:rsidR="004D222E" w:rsidRPr="004D222E">
        <w:rPr>
          <w:sz w:val="24"/>
          <w:lang w:val="en-ZA"/>
        </w:rPr>
        <w:t xml:space="preserve">ortions 6 and 11 to the Fanie Trust. When the plaintiff informed the de Beers that he wanted to exercise his right of pre-emption in respect of </w:t>
      </w:r>
      <w:r w:rsidR="00C97AB5">
        <w:rPr>
          <w:sz w:val="24"/>
          <w:lang w:val="en-ZA"/>
        </w:rPr>
        <w:t>P</w:t>
      </w:r>
      <w:r w:rsidR="004D222E" w:rsidRPr="004D222E">
        <w:rPr>
          <w:sz w:val="24"/>
          <w:lang w:val="en-ZA"/>
        </w:rPr>
        <w:t xml:space="preserve">ortions 6 and 11, they did not inform him that </w:t>
      </w:r>
      <w:r w:rsidR="004D222E" w:rsidRPr="00084A34">
        <w:rPr>
          <w:sz w:val="24"/>
          <w:lang w:val="en-ZA"/>
        </w:rPr>
        <w:t xml:space="preserve">he </w:t>
      </w:r>
      <w:r w:rsidR="00716A71" w:rsidRPr="00084A34">
        <w:rPr>
          <w:sz w:val="24"/>
          <w:lang w:val="en-ZA"/>
        </w:rPr>
        <w:t>could</w:t>
      </w:r>
      <w:r w:rsidR="004D222E" w:rsidRPr="00084A34">
        <w:rPr>
          <w:sz w:val="24"/>
          <w:lang w:val="en-ZA"/>
        </w:rPr>
        <w:t xml:space="preserve"> </w:t>
      </w:r>
      <w:r w:rsidR="008B22DC">
        <w:rPr>
          <w:sz w:val="24"/>
          <w:lang w:val="en-ZA"/>
        </w:rPr>
        <w:t xml:space="preserve">not </w:t>
      </w:r>
      <w:r w:rsidR="004D222E" w:rsidRPr="00084A34">
        <w:rPr>
          <w:sz w:val="24"/>
          <w:lang w:val="en-ZA"/>
        </w:rPr>
        <w:t>do</w:t>
      </w:r>
      <w:r w:rsidR="004D222E" w:rsidRPr="004D222E">
        <w:rPr>
          <w:sz w:val="24"/>
          <w:lang w:val="en-ZA"/>
        </w:rPr>
        <w:t xml:space="preserve"> so because their agreement was that he</w:t>
      </w:r>
      <w:r>
        <w:rPr>
          <w:sz w:val="24"/>
          <w:lang w:val="en-ZA"/>
        </w:rPr>
        <w:t xml:space="preserve"> could only do so if </w:t>
      </w:r>
      <w:r w:rsidR="004D222E" w:rsidRPr="004D222E">
        <w:rPr>
          <w:sz w:val="24"/>
          <w:lang w:val="en-ZA"/>
        </w:rPr>
        <w:t>all the properties</w:t>
      </w:r>
      <w:r>
        <w:rPr>
          <w:sz w:val="24"/>
          <w:lang w:val="en-ZA"/>
        </w:rPr>
        <w:t xml:space="preserve"> were sold</w:t>
      </w:r>
      <w:r w:rsidR="004D222E" w:rsidRPr="004D222E">
        <w:rPr>
          <w:sz w:val="24"/>
          <w:lang w:val="en-ZA"/>
        </w:rPr>
        <w:t xml:space="preserve">. </w:t>
      </w:r>
    </w:p>
    <w:p w:rsidR="002F3FA7" w:rsidRDefault="002F3FA7" w:rsidP="00E24AF2">
      <w:pPr>
        <w:spacing w:line="360" w:lineRule="auto"/>
        <w:jc w:val="both"/>
        <w:rPr>
          <w:sz w:val="24"/>
          <w:lang w:val="en-ZA"/>
        </w:rPr>
      </w:pPr>
    </w:p>
    <w:p w:rsidR="004D222E" w:rsidRDefault="00ED7030" w:rsidP="00E24AF2">
      <w:pPr>
        <w:spacing w:line="360" w:lineRule="auto"/>
        <w:jc w:val="both"/>
        <w:rPr>
          <w:sz w:val="24"/>
          <w:lang w:val="en-ZA"/>
        </w:rPr>
      </w:pPr>
      <w:r>
        <w:rPr>
          <w:sz w:val="24"/>
          <w:lang w:val="en-ZA"/>
        </w:rPr>
        <w:t>[2</w:t>
      </w:r>
      <w:r w:rsidR="00F414EC">
        <w:rPr>
          <w:sz w:val="24"/>
          <w:lang w:val="en-ZA"/>
        </w:rPr>
        <w:t>7</w:t>
      </w:r>
      <w:r w:rsidR="00EC5774">
        <w:rPr>
          <w:sz w:val="24"/>
          <w:lang w:val="en-ZA"/>
        </w:rPr>
        <w:t>]</w:t>
      </w:r>
      <w:r w:rsidR="00EC5774">
        <w:rPr>
          <w:sz w:val="24"/>
          <w:lang w:val="en-ZA"/>
        </w:rPr>
        <w:tab/>
      </w:r>
      <w:r w:rsidR="004D222E" w:rsidRPr="004D222E">
        <w:rPr>
          <w:sz w:val="24"/>
          <w:lang w:val="en-ZA"/>
        </w:rPr>
        <w:t xml:space="preserve">I agree with the plaintiff that the contention that all the farms had to be sold simultaneously as a unit does not make business sense. The de Beers’ contention would give them licence to undermine the plaintiff’s </w:t>
      </w:r>
      <w:r>
        <w:rPr>
          <w:sz w:val="24"/>
          <w:lang w:val="en-ZA"/>
        </w:rPr>
        <w:t>right of pre-emption</w:t>
      </w:r>
      <w:r w:rsidR="004D222E" w:rsidRPr="004D222E">
        <w:rPr>
          <w:sz w:val="24"/>
          <w:lang w:val="en-ZA"/>
        </w:rPr>
        <w:t xml:space="preserve"> by selling the farms separately and on a piece</w:t>
      </w:r>
      <w:r w:rsidR="00525C86">
        <w:rPr>
          <w:sz w:val="24"/>
          <w:lang w:val="en-ZA"/>
        </w:rPr>
        <w:t>-</w:t>
      </w:r>
      <w:r w:rsidR="004D222E" w:rsidRPr="004D222E">
        <w:rPr>
          <w:sz w:val="24"/>
          <w:lang w:val="en-ZA"/>
        </w:rPr>
        <w:t>meal basis. The only sensible interp</w:t>
      </w:r>
      <w:r>
        <w:rPr>
          <w:sz w:val="24"/>
          <w:lang w:val="en-ZA"/>
        </w:rPr>
        <w:t xml:space="preserve">retation is that the right of pre-emption </w:t>
      </w:r>
      <w:r w:rsidR="004D222E" w:rsidRPr="004D222E">
        <w:rPr>
          <w:sz w:val="24"/>
          <w:lang w:val="en-ZA"/>
        </w:rPr>
        <w:t>could be triggered by the sale of any or all the farms. There is</w:t>
      </w:r>
      <w:r w:rsidR="00525C86">
        <w:rPr>
          <w:sz w:val="24"/>
          <w:lang w:val="en-ZA"/>
        </w:rPr>
        <w:t>, however,</w:t>
      </w:r>
      <w:r w:rsidR="004D222E" w:rsidRPr="004D222E">
        <w:rPr>
          <w:sz w:val="24"/>
          <w:lang w:val="en-ZA"/>
        </w:rPr>
        <w:t xml:space="preserve"> another reason why the de Beers’ contention is untenable.</w:t>
      </w:r>
    </w:p>
    <w:p w:rsidR="002F3FA7" w:rsidRPr="004D222E" w:rsidRDefault="002F3FA7" w:rsidP="00E24AF2">
      <w:pPr>
        <w:spacing w:line="360" w:lineRule="auto"/>
        <w:jc w:val="both"/>
        <w:rPr>
          <w:sz w:val="24"/>
          <w:lang w:val="en-ZA"/>
        </w:rPr>
      </w:pPr>
    </w:p>
    <w:p w:rsidR="004D222E" w:rsidRDefault="004D222E" w:rsidP="00E24AF2">
      <w:pPr>
        <w:spacing w:line="360" w:lineRule="auto"/>
        <w:jc w:val="both"/>
        <w:rPr>
          <w:sz w:val="24"/>
          <w:lang w:val="en-ZA"/>
        </w:rPr>
      </w:pPr>
      <w:r w:rsidRPr="004D222E">
        <w:rPr>
          <w:sz w:val="24"/>
          <w:lang w:val="en-ZA"/>
        </w:rPr>
        <w:t xml:space="preserve"> </w:t>
      </w:r>
      <w:r w:rsidR="00ED7030">
        <w:rPr>
          <w:sz w:val="24"/>
          <w:lang w:val="en-ZA"/>
        </w:rPr>
        <w:t>[2</w:t>
      </w:r>
      <w:r w:rsidR="00F414EC">
        <w:rPr>
          <w:sz w:val="24"/>
          <w:lang w:val="en-ZA"/>
        </w:rPr>
        <w:t>8</w:t>
      </w:r>
      <w:r w:rsidR="00EC5774">
        <w:rPr>
          <w:sz w:val="24"/>
          <w:lang w:val="en-ZA"/>
        </w:rPr>
        <w:t>]</w:t>
      </w:r>
      <w:r w:rsidR="00EC5774">
        <w:rPr>
          <w:sz w:val="24"/>
          <w:lang w:val="en-ZA"/>
        </w:rPr>
        <w:tab/>
      </w:r>
      <w:r w:rsidRPr="004D222E">
        <w:rPr>
          <w:sz w:val="24"/>
          <w:lang w:val="en-ZA"/>
        </w:rPr>
        <w:t xml:space="preserve">In </w:t>
      </w:r>
      <w:r w:rsidRPr="00300074">
        <w:rPr>
          <w:i/>
          <w:sz w:val="24"/>
          <w:lang w:val="en-ZA"/>
        </w:rPr>
        <w:t>McGregor v Jordaan</w:t>
      </w:r>
      <w:r w:rsidRPr="004D222E">
        <w:rPr>
          <w:rStyle w:val="FootnoteReference"/>
          <w:sz w:val="24"/>
          <w:lang w:val="en-ZA"/>
        </w:rPr>
        <w:footnoteReference w:id="11"/>
      </w:r>
      <w:r w:rsidRPr="004D222E">
        <w:rPr>
          <w:sz w:val="24"/>
          <w:lang w:val="en-ZA"/>
        </w:rPr>
        <w:t xml:space="preserve"> the plaintiff (lessee) had a right of pre-emption over a farm. The defendant sold a portion of the farm to a third party who had knowledge of the plaintiff’s prior right of pre-emption. Kotze J held that the object of the law is, </w:t>
      </w:r>
      <w:r w:rsidRPr="002411AA">
        <w:rPr>
          <w:i/>
          <w:iCs/>
          <w:sz w:val="24"/>
          <w:lang w:val="en-ZA"/>
        </w:rPr>
        <w:t>inter alia</w:t>
      </w:r>
      <w:r w:rsidRPr="004D222E">
        <w:rPr>
          <w:sz w:val="24"/>
          <w:lang w:val="en-ZA"/>
        </w:rPr>
        <w:t>, to discourage and prevent fraud and that the conduct of the second defendant (purchaser) amounted to fraud.</w:t>
      </w:r>
      <w:r w:rsidRPr="004D222E">
        <w:rPr>
          <w:rStyle w:val="FootnoteReference"/>
          <w:sz w:val="24"/>
          <w:lang w:val="en-ZA"/>
        </w:rPr>
        <w:footnoteReference w:id="12"/>
      </w:r>
      <w:r w:rsidRPr="004D222E">
        <w:rPr>
          <w:sz w:val="24"/>
          <w:lang w:val="en-ZA"/>
        </w:rPr>
        <w:t xml:space="preserve"> The court declared the sale agreement null and void and interdicted the seller from giving and the purchaser from accepting transfer of the half share of the farm.</w:t>
      </w:r>
    </w:p>
    <w:p w:rsidR="002F3FA7" w:rsidRPr="004D222E" w:rsidRDefault="002F3FA7" w:rsidP="00E24AF2">
      <w:pPr>
        <w:spacing w:line="360" w:lineRule="auto"/>
        <w:jc w:val="both"/>
        <w:rPr>
          <w:sz w:val="24"/>
          <w:lang w:val="en-ZA"/>
        </w:rPr>
      </w:pPr>
    </w:p>
    <w:p w:rsidR="004D222E" w:rsidRPr="004D222E" w:rsidRDefault="00ED7030" w:rsidP="00E24AF2">
      <w:pPr>
        <w:spacing w:line="360" w:lineRule="auto"/>
        <w:jc w:val="both"/>
        <w:rPr>
          <w:sz w:val="24"/>
          <w:lang w:val="en-ZA"/>
        </w:rPr>
      </w:pPr>
      <w:r>
        <w:rPr>
          <w:sz w:val="24"/>
          <w:lang w:val="en-ZA"/>
        </w:rPr>
        <w:lastRenderedPageBreak/>
        <w:t>[</w:t>
      </w:r>
      <w:r w:rsidR="00F414EC">
        <w:rPr>
          <w:sz w:val="24"/>
          <w:lang w:val="en-ZA"/>
        </w:rPr>
        <w:t>29</w:t>
      </w:r>
      <w:r w:rsidR="00EC5774">
        <w:rPr>
          <w:sz w:val="24"/>
          <w:lang w:val="en-ZA"/>
        </w:rPr>
        <w:t>]</w:t>
      </w:r>
      <w:r w:rsidR="00EC5774">
        <w:rPr>
          <w:sz w:val="24"/>
          <w:lang w:val="en-ZA"/>
        </w:rPr>
        <w:tab/>
      </w:r>
      <w:r w:rsidR="004D222E" w:rsidRPr="004D222E">
        <w:rPr>
          <w:sz w:val="24"/>
          <w:lang w:val="en-ZA"/>
        </w:rPr>
        <w:t>T Naude</w:t>
      </w:r>
      <w:r w:rsidR="004D222E" w:rsidRPr="004D222E">
        <w:rPr>
          <w:rStyle w:val="FootnoteReference"/>
          <w:sz w:val="24"/>
          <w:lang w:val="en-ZA"/>
        </w:rPr>
        <w:footnoteReference w:id="13"/>
      </w:r>
      <w:r w:rsidR="004D222E" w:rsidRPr="004D222E">
        <w:rPr>
          <w:sz w:val="24"/>
          <w:lang w:val="en-ZA"/>
        </w:rPr>
        <w:t xml:space="preserve"> states, with reference to </w:t>
      </w:r>
      <w:r w:rsidR="004D222E" w:rsidRPr="00300074">
        <w:rPr>
          <w:i/>
          <w:sz w:val="24"/>
          <w:lang w:val="en-ZA"/>
        </w:rPr>
        <w:t>McGregor v Jordaan</w:t>
      </w:r>
      <w:r w:rsidR="004D222E" w:rsidRPr="004D222E">
        <w:rPr>
          <w:sz w:val="24"/>
          <w:lang w:val="en-ZA"/>
        </w:rPr>
        <w:t xml:space="preserve"> and </w:t>
      </w:r>
      <w:r w:rsidR="004D222E" w:rsidRPr="00300074">
        <w:rPr>
          <w:i/>
          <w:sz w:val="24"/>
          <w:lang w:val="en-ZA"/>
        </w:rPr>
        <w:t>Transvaal Silver Mines v Jacobs Le Grange and Fox</w:t>
      </w:r>
      <w:r w:rsidR="004D222E" w:rsidRPr="004D222E">
        <w:rPr>
          <w:rStyle w:val="FootnoteReference"/>
          <w:sz w:val="24"/>
          <w:lang w:val="en-ZA"/>
        </w:rPr>
        <w:footnoteReference w:id="14"/>
      </w:r>
      <w:r w:rsidR="004D222E" w:rsidRPr="004D222E">
        <w:rPr>
          <w:sz w:val="24"/>
          <w:lang w:val="en-ZA"/>
        </w:rPr>
        <w:t xml:space="preserve"> that:</w:t>
      </w:r>
    </w:p>
    <w:p w:rsidR="004D222E" w:rsidRPr="004D222E" w:rsidRDefault="004D222E" w:rsidP="00E24AF2">
      <w:pPr>
        <w:spacing w:line="360" w:lineRule="auto"/>
        <w:jc w:val="both"/>
        <w:rPr>
          <w:sz w:val="24"/>
          <w:lang w:val="en-ZA"/>
        </w:rPr>
      </w:pPr>
      <w:r w:rsidRPr="004D222E">
        <w:rPr>
          <w:sz w:val="24"/>
          <w:lang w:val="en-ZA"/>
        </w:rPr>
        <w:t>‘</w:t>
      </w:r>
      <w:r w:rsidRPr="002F3FA7">
        <w:rPr>
          <w:sz w:val="22"/>
          <w:szCs w:val="22"/>
          <w:lang w:val="en-ZA"/>
        </w:rPr>
        <w:t>It is, however, clear that the sale of a portion of the pre-emption property is regarded as a breach of the right of pre-emption, and that the holder is entitled to an interdict prohibiting such a sale or an order cancelling the transfer of the pre-emption property to a third party with prior knowledge of the right of pre-emption</w:t>
      </w:r>
      <w:r w:rsidRPr="004D222E">
        <w:rPr>
          <w:sz w:val="24"/>
          <w:lang w:val="en-ZA"/>
        </w:rPr>
        <w:t>’</w:t>
      </w:r>
      <w:r w:rsidRPr="004D222E">
        <w:rPr>
          <w:rStyle w:val="FootnoteReference"/>
          <w:sz w:val="24"/>
          <w:lang w:val="en-ZA"/>
        </w:rPr>
        <w:footnoteReference w:id="15"/>
      </w:r>
    </w:p>
    <w:p w:rsidR="004D222E" w:rsidRPr="004D222E" w:rsidRDefault="004D222E" w:rsidP="00E24AF2">
      <w:pPr>
        <w:spacing w:line="360" w:lineRule="auto"/>
        <w:jc w:val="both"/>
        <w:rPr>
          <w:sz w:val="24"/>
          <w:lang w:val="en-ZA"/>
        </w:rPr>
      </w:pPr>
      <w:r w:rsidRPr="004D222E">
        <w:rPr>
          <w:sz w:val="24"/>
          <w:lang w:val="en-ZA"/>
        </w:rPr>
        <w:t>She summarises the legal position in other jurisdictions as follows:</w:t>
      </w:r>
    </w:p>
    <w:p w:rsidR="004D222E" w:rsidRDefault="004D222E" w:rsidP="00E24AF2">
      <w:pPr>
        <w:spacing w:line="360" w:lineRule="auto"/>
        <w:jc w:val="both"/>
        <w:rPr>
          <w:sz w:val="24"/>
          <w:lang w:val="en-ZA"/>
        </w:rPr>
      </w:pPr>
      <w:r w:rsidRPr="004D222E">
        <w:rPr>
          <w:sz w:val="24"/>
          <w:lang w:val="en-ZA"/>
        </w:rPr>
        <w:t>‘</w:t>
      </w:r>
      <w:r w:rsidRPr="002F3FA7">
        <w:rPr>
          <w:sz w:val="22"/>
          <w:szCs w:val="22"/>
          <w:lang w:val="en-ZA"/>
        </w:rPr>
        <w:t xml:space="preserve">A majority of courts in the USA have decided that the grantor’s willingness to sell a partial interest in the pre-emption property gives the holder the right to buy that partial interest by matching the third party’s offer. A Canadian court has also held that the sale of a portion of the pre-emption property (one of three parcels of land), triggers the right of pre-emption to buy that </w:t>
      </w:r>
      <w:r w:rsidR="002411AA">
        <w:rPr>
          <w:sz w:val="22"/>
          <w:szCs w:val="22"/>
          <w:lang w:val="en-ZA"/>
        </w:rPr>
        <w:t>portion</w:t>
      </w:r>
      <w:r w:rsidR="00C67268">
        <w:rPr>
          <w:sz w:val="22"/>
          <w:szCs w:val="22"/>
          <w:lang w:val="en-ZA"/>
        </w:rPr>
        <w:t xml:space="preserve">. . . </w:t>
      </w:r>
      <w:r w:rsidRPr="002F3FA7">
        <w:rPr>
          <w:sz w:val="22"/>
          <w:szCs w:val="22"/>
          <w:lang w:val="en-ZA"/>
        </w:rPr>
        <w:t>The German BGB provisions on Vorkaufsrechte are silent on the effect of the sale of a partial interest in the pre-emption property. However, there is authority that the sale of a portion of the pre-emption property triggers the right of pre-emption to buy that portion</w:t>
      </w:r>
      <w:r w:rsidR="00C67268">
        <w:rPr>
          <w:sz w:val="22"/>
          <w:szCs w:val="22"/>
          <w:lang w:val="en-ZA"/>
        </w:rPr>
        <w:t>.</w:t>
      </w:r>
      <w:r w:rsidRPr="004D222E">
        <w:rPr>
          <w:sz w:val="24"/>
          <w:lang w:val="en-ZA"/>
        </w:rPr>
        <w:t>’</w:t>
      </w:r>
      <w:r w:rsidRPr="004D222E">
        <w:rPr>
          <w:rStyle w:val="FootnoteReference"/>
          <w:sz w:val="24"/>
          <w:lang w:val="en-ZA"/>
        </w:rPr>
        <w:footnoteReference w:id="16"/>
      </w:r>
    </w:p>
    <w:p w:rsidR="00ED7030" w:rsidRPr="004D222E" w:rsidRDefault="00ED7030" w:rsidP="00E24AF2">
      <w:pPr>
        <w:spacing w:line="360" w:lineRule="auto"/>
        <w:jc w:val="both"/>
        <w:rPr>
          <w:sz w:val="24"/>
          <w:lang w:val="en-ZA"/>
        </w:rPr>
      </w:pPr>
    </w:p>
    <w:p w:rsidR="004D222E" w:rsidRPr="004D222E" w:rsidRDefault="00ED7030" w:rsidP="00E24AF2">
      <w:pPr>
        <w:spacing w:line="360" w:lineRule="auto"/>
        <w:jc w:val="both"/>
        <w:rPr>
          <w:sz w:val="24"/>
          <w:lang w:val="en-ZA"/>
        </w:rPr>
      </w:pPr>
      <w:r>
        <w:rPr>
          <w:sz w:val="24"/>
          <w:lang w:val="en-ZA"/>
        </w:rPr>
        <w:t>[3</w:t>
      </w:r>
      <w:r w:rsidR="00F414EC">
        <w:rPr>
          <w:sz w:val="24"/>
          <w:lang w:val="en-ZA"/>
        </w:rPr>
        <w:t>0</w:t>
      </w:r>
      <w:r>
        <w:rPr>
          <w:sz w:val="24"/>
          <w:lang w:val="en-ZA"/>
        </w:rPr>
        <w:t xml:space="preserve">]    </w:t>
      </w:r>
      <w:r w:rsidR="004D222E" w:rsidRPr="004D222E">
        <w:rPr>
          <w:sz w:val="24"/>
          <w:lang w:val="en-ZA"/>
        </w:rPr>
        <w:t xml:space="preserve">In </w:t>
      </w:r>
      <w:r w:rsidR="004D222E" w:rsidRPr="00300074">
        <w:rPr>
          <w:i/>
          <w:sz w:val="24"/>
          <w:lang w:val="en-ZA"/>
        </w:rPr>
        <w:t>Pushka v Magnowski Estate</w:t>
      </w:r>
      <w:r w:rsidR="004D222E" w:rsidRPr="004D222E">
        <w:rPr>
          <w:sz w:val="24"/>
          <w:lang w:val="en-ZA"/>
        </w:rPr>
        <w:t>,</w:t>
      </w:r>
      <w:r w:rsidR="004D222E" w:rsidRPr="004D222E">
        <w:rPr>
          <w:rStyle w:val="FootnoteReference"/>
          <w:sz w:val="24"/>
          <w:lang w:val="en-ZA"/>
        </w:rPr>
        <w:footnoteReference w:id="17"/>
      </w:r>
      <w:r w:rsidR="004D222E" w:rsidRPr="004D222E">
        <w:rPr>
          <w:sz w:val="24"/>
          <w:lang w:val="en-ZA"/>
        </w:rPr>
        <w:t xml:space="preserve"> the Canadian case referred to by Naude, the right of pre-emption in </w:t>
      </w:r>
      <w:r w:rsidR="009719DB">
        <w:rPr>
          <w:sz w:val="24"/>
          <w:lang w:val="en-ZA"/>
        </w:rPr>
        <w:t>a</w:t>
      </w:r>
      <w:r w:rsidR="004D222E" w:rsidRPr="004D222E">
        <w:rPr>
          <w:sz w:val="24"/>
          <w:lang w:val="en-ZA"/>
        </w:rPr>
        <w:t xml:space="preserve"> lease agreement referred to an offer for the ‘demised premises’ which </w:t>
      </w:r>
      <w:r w:rsidR="00487F78">
        <w:rPr>
          <w:sz w:val="24"/>
          <w:lang w:val="en-ZA"/>
        </w:rPr>
        <w:t>consisted of</w:t>
      </w:r>
      <w:r w:rsidR="004D222E" w:rsidRPr="004D222E">
        <w:rPr>
          <w:sz w:val="24"/>
          <w:lang w:val="en-ZA"/>
        </w:rPr>
        <w:t xml:space="preserve"> three parcels of land. The defendant sold one parcel of land and contended that the right </w:t>
      </w:r>
      <w:r w:rsidR="009719DB">
        <w:rPr>
          <w:sz w:val="24"/>
          <w:lang w:val="en-ZA"/>
        </w:rPr>
        <w:t xml:space="preserve">of pre-emption </w:t>
      </w:r>
      <w:r w:rsidR="004D222E" w:rsidRPr="004D222E">
        <w:rPr>
          <w:sz w:val="24"/>
          <w:lang w:val="en-ZA"/>
        </w:rPr>
        <w:t>could only be triggered if all three parcels</w:t>
      </w:r>
      <w:r w:rsidR="00487F78">
        <w:rPr>
          <w:sz w:val="24"/>
          <w:lang w:val="en-ZA"/>
        </w:rPr>
        <w:t>,</w:t>
      </w:r>
      <w:r w:rsidR="004D222E" w:rsidRPr="004D222E">
        <w:rPr>
          <w:sz w:val="24"/>
          <w:lang w:val="en-ZA"/>
        </w:rPr>
        <w:t xml:space="preserve"> and not merely a part thereof</w:t>
      </w:r>
      <w:r w:rsidR="00487F78">
        <w:rPr>
          <w:sz w:val="24"/>
          <w:lang w:val="en-ZA"/>
        </w:rPr>
        <w:t>,</w:t>
      </w:r>
      <w:r w:rsidR="004D222E" w:rsidRPr="004D222E">
        <w:rPr>
          <w:sz w:val="24"/>
          <w:lang w:val="en-ZA"/>
        </w:rPr>
        <w:t xml:space="preserve"> w</w:t>
      </w:r>
      <w:r w:rsidR="00487F78">
        <w:rPr>
          <w:sz w:val="24"/>
          <w:lang w:val="en-ZA"/>
        </w:rPr>
        <w:t>ere</w:t>
      </w:r>
      <w:r w:rsidR="004D222E" w:rsidRPr="004D222E">
        <w:rPr>
          <w:sz w:val="24"/>
          <w:lang w:val="en-ZA"/>
        </w:rPr>
        <w:t xml:space="preserve"> sold. The court said the following about the contention:</w:t>
      </w:r>
    </w:p>
    <w:p w:rsidR="004D222E" w:rsidRPr="004D222E" w:rsidRDefault="004D222E" w:rsidP="00716A71">
      <w:pPr>
        <w:tabs>
          <w:tab w:val="left" w:pos="5954"/>
        </w:tabs>
        <w:spacing w:line="360" w:lineRule="auto"/>
        <w:jc w:val="both"/>
        <w:rPr>
          <w:sz w:val="24"/>
          <w:lang w:val="en-ZA"/>
        </w:rPr>
      </w:pPr>
      <w:r w:rsidRPr="002F3FA7">
        <w:rPr>
          <w:sz w:val="22"/>
          <w:szCs w:val="22"/>
          <w:lang w:val="en-ZA"/>
        </w:rPr>
        <w:t xml:space="preserve">‘…it would follow that, although </w:t>
      </w:r>
      <w:r w:rsidR="00716A71">
        <w:rPr>
          <w:sz w:val="22"/>
          <w:szCs w:val="22"/>
          <w:lang w:val="en-ZA"/>
        </w:rPr>
        <w:t>“</w:t>
      </w:r>
      <w:r w:rsidRPr="002F3FA7">
        <w:rPr>
          <w:sz w:val="22"/>
          <w:szCs w:val="22"/>
          <w:lang w:val="en-ZA"/>
        </w:rPr>
        <w:t>the demised premises</w:t>
      </w:r>
      <w:r w:rsidR="00716A71">
        <w:rPr>
          <w:sz w:val="22"/>
          <w:szCs w:val="22"/>
          <w:lang w:val="en-ZA"/>
        </w:rPr>
        <w:t>”</w:t>
      </w:r>
      <w:r w:rsidRPr="002F3FA7">
        <w:rPr>
          <w:sz w:val="22"/>
          <w:szCs w:val="22"/>
          <w:lang w:val="en-ZA"/>
        </w:rPr>
        <w:t xml:space="preserve"> retains the same meaning – all three parcels – the lessor, by offering and selling only one parcel to a third party would not only </w:t>
      </w:r>
      <w:r w:rsidRPr="002F3FA7">
        <w:rPr>
          <w:i/>
          <w:sz w:val="22"/>
          <w:szCs w:val="22"/>
          <w:lang w:val="en-ZA"/>
        </w:rPr>
        <w:t xml:space="preserve">not </w:t>
      </w:r>
      <w:r w:rsidRPr="002F3FA7">
        <w:rPr>
          <w:sz w:val="22"/>
          <w:szCs w:val="22"/>
          <w:lang w:val="en-ZA"/>
        </w:rPr>
        <w:t>trigger the lessee’s right to match the offer, but would terminate his right to match any later offer on either or both of the remaining parcels. Such a devious and tortured reading is not warranted when in their ordinary meaning the words are apt to include the parts in the whole</w:t>
      </w:r>
      <w:r w:rsidR="00487F78">
        <w:rPr>
          <w:sz w:val="22"/>
          <w:szCs w:val="22"/>
          <w:lang w:val="en-ZA"/>
        </w:rPr>
        <w:t>.</w:t>
      </w:r>
      <w:r w:rsidRPr="004D222E">
        <w:rPr>
          <w:sz w:val="24"/>
          <w:lang w:val="en-ZA"/>
        </w:rPr>
        <w:t>’</w:t>
      </w:r>
      <w:r w:rsidRPr="004D222E">
        <w:rPr>
          <w:rStyle w:val="FootnoteReference"/>
          <w:sz w:val="24"/>
          <w:lang w:val="en-ZA"/>
        </w:rPr>
        <w:footnoteReference w:id="18"/>
      </w:r>
    </w:p>
    <w:p w:rsidR="004D222E" w:rsidRPr="004D222E" w:rsidRDefault="004D222E" w:rsidP="00E24AF2">
      <w:pPr>
        <w:spacing w:line="360" w:lineRule="auto"/>
        <w:jc w:val="both"/>
        <w:rPr>
          <w:sz w:val="24"/>
          <w:lang w:val="en-ZA"/>
        </w:rPr>
      </w:pPr>
    </w:p>
    <w:p w:rsidR="004D222E" w:rsidRDefault="00ED7030" w:rsidP="00E24AF2">
      <w:pPr>
        <w:spacing w:line="360" w:lineRule="auto"/>
        <w:jc w:val="both"/>
        <w:rPr>
          <w:sz w:val="24"/>
          <w:lang w:val="en-ZA"/>
        </w:rPr>
      </w:pPr>
      <w:r>
        <w:rPr>
          <w:sz w:val="24"/>
          <w:lang w:val="en-ZA"/>
        </w:rPr>
        <w:t>[3</w:t>
      </w:r>
      <w:r w:rsidR="00F414EC">
        <w:rPr>
          <w:sz w:val="24"/>
          <w:lang w:val="en-ZA"/>
        </w:rPr>
        <w:t>1</w:t>
      </w:r>
      <w:r w:rsidR="00EC5774">
        <w:rPr>
          <w:sz w:val="24"/>
          <w:lang w:val="en-ZA"/>
        </w:rPr>
        <w:t>]</w:t>
      </w:r>
      <w:r w:rsidR="00EC5774">
        <w:rPr>
          <w:sz w:val="24"/>
          <w:lang w:val="en-ZA"/>
        </w:rPr>
        <w:tab/>
      </w:r>
      <w:r w:rsidR="004D222E" w:rsidRPr="004D222E">
        <w:rPr>
          <w:sz w:val="24"/>
          <w:lang w:val="en-ZA"/>
        </w:rPr>
        <w:t xml:space="preserve">The absurdity illustrated in </w:t>
      </w:r>
      <w:r w:rsidR="004D222E" w:rsidRPr="00181F86">
        <w:rPr>
          <w:i/>
          <w:sz w:val="24"/>
          <w:lang w:val="en-ZA"/>
        </w:rPr>
        <w:t>Pushka</w:t>
      </w:r>
      <w:r w:rsidRPr="00181F86">
        <w:rPr>
          <w:i/>
          <w:sz w:val="24"/>
          <w:lang w:val="en-ZA"/>
        </w:rPr>
        <w:t xml:space="preserve"> v Magnowski Estate</w:t>
      </w:r>
      <w:r w:rsidR="004D222E" w:rsidRPr="004D222E">
        <w:rPr>
          <w:sz w:val="24"/>
          <w:lang w:val="en-ZA"/>
        </w:rPr>
        <w:t xml:space="preserve"> would present itself in this matter if the de Beers’ contention </w:t>
      </w:r>
      <w:r w:rsidR="005726DC">
        <w:rPr>
          <w:sz w:val="24"/>
          <w:lang w:val="en-ZA"/>
        </w:rPr>
        <w:t xml:space="preserve">were to be </w:t>
      </w:r>
      <w:r w:rsidR="004C7EF7">
        <w:rPr>
          <w:sz w:val="24"/>
          <w:lang w:val="en-ZA"/>
        </w:rPr>
        <w:t>accepted</w:t>
      </w:r>
      <w:r w:rsidR="004D222E" w:rsidRPr="004D222E">
        <w:rPr>
          <w:sz w:val="24"/>
          <w:lang w:val="en-ZA"/>
        </w:rPr>
        <w:t>. The plaintiff’s right of pre-</w:t>
      </w:r>
      <w:r w:rsidR="004D222E" w:rsidRPr="004D222E">
        <w:rPr>
          <w:sz w:val="24"/>
          <w:lang w:val="en-ZA"/>
        </w:rPr>
        <w:lastRenderedPageBreak/>
        <w:t xml:space="preserve">emption would be nugatory. In my view, where a right of pre-emption was granted in respect of </w:t>
      </w:r>
      <w:r w:rsidR="00E4237D">
        <w:rPr>
          <w:sz w:val="24"/>
          <w:lang w:val="en-ZA"/>
        </w:rPr>
        <w:t>land</w:t>
      </w:r>
      <w:r w:rsidR="004D222E" w:rsidRPr="004D222E">
        <w:rPr>
          <w:sz w:val="24"/>
          <w:lang w:val="en-ZA"/>
        </w:rPr>
        <w:t xml:space="preserve"> or separate </w:t>
      </w:r>
      <w:r w:rsidR="00E4237D">
        <w:rPr>
          <w:sz w:val="24"/>
          <w:lang w:val="en-ZA"/>
        </w:rPr>
        <w:t>parcels of land</w:t>
      </w:r>
      <w:r w:rsidR="004D222E" w:rsidRPr="004D222E">
        <w:rPr>
          <w:sz w:val="24"/>
          <w:lang w:val="en-ZA"/>
        </w:rPr>
        <w:t xml:space="preserve"> and the grantor sells a portion of the </w:t>
      </w:r>
      <w:r w:rsidR="00E4237D">
        <w:rPr>
          <w:sz w:val="24"/>
          <w:lang w:val="en-ZA"/>
        </w:rPr>
        <w:t>land</w:t>
      </w:r>
      <w:r w:rsidR="004D222E" w:rsidRPr="004D222E">
        <w:rPr>
          <w:sz w:val="24"/>
          <w:lang w:val="en-ZA"/>
        </w:rPr>
        <w:t xml:space="preserve"> or one of the </w:t>
      </w:r>
      <w:r w:rsidR="00E4237D">
        <w:rPr>
          <w:sz w:val="24"/>
          <w:lang w:val="en-ZA"/>
        </w:rPr>
        <w:t>parcels,</w:t>
      </w:r>
      <w:r w:rsidR="004D222E" w:rsidRPr="004D222E">
        <w:rPr>
          <w:sz w:val="24"/>
          <w:lang w:val="en-ZA"/>
        </w:rPr>
        <w:t xml:space="preserve"> the right of pre-emption would be triggered, unless a contrary intention is indicated in the agreement between the parties.</w:t>
      </w:r>
    </w:p>
    <w:p w:rsidR="002F3FA7" w:rsidRPr="004D222E" w:rsidRDefault="002F3FA7" w:rsidP="00E24AF2">
      <w:pPr>
        <w:spacing w:line="360" w:lineRule="auto"/>
        <w:jc w:val="both"/>
        <w:rPr>
          <w:sz w:val="24"/>
          <w:lang w:val="en-ZA"/>
        </w:rPr>
      </w:pPr>
    </w:p>
    <w:p w:rsidR="004D222E" w:rsidRPr="002F3FA7" w:rsidRDefault="004D222E" w:rsidP="00E24AF2">
      <w:pPr>
        <w:spacing w:line="360" w:lineRule="auto"/>
        <w:jc w:val="both"/>
        <w:rPr>
          <w:b/>
          <w:sz w:val="24"/>
          <w:lang w:val="en-ZA"/>
        </w:rPr>
      </w:pPr>
      <w:r w:rsidRPr="002F3FA7">
        <w:rPr>
          <w:b/>
          <w:sz w:val="24"/>
          <w:lang w:val="en-ZA"/>
        </w:rPr>
        <w:t>Did the plaintiff exercise his right of pre-emption?</w:t>
      </w:r>
    </w:p>
    <w:p w:rsidR="004D222E" w:rsidRDefault="00181F86" w:rsidP="00E24AF2">
      <w:pPr>
        <w:spacing w:line="360" w:lineRule="auto"/>
        <w:jc w:val="both"/>
        <w:rPr>
          <w:sz w:val="24"/>
          <w:lang w:val="en-ZA"/>
        </w:rPr>
      </w:pPr>
      <w:r>
        <w:rPr>
          <w:sz w:val="24"/>
          <w:lang w:val="en-ZA"/>
        </w:rPr>
        <w:t>[3</w:t>
      </w:r>
      <w:r w:rsidR="00F414EC">
        <w:rPr>
          <w:sz w:val="24"/>
          <w:lang w:val="en-ZA"/>
        </w:rPr>
        <w:t>2</w:t>
      </w:r>
      <w:r w:rsidR="00EC5774">
        <w:rPr>
          <w:sz w:val="24"/>
          <w:lang w:val="en-ZA"/>
        </w:rPr>
        <w:t>]</w:t>
      </w:r>
      <w:r w:rsidR="00EC5774">
        <w:rPr>
          <w:sz w:val="24"/>
          <w:lang w:val="en-ZA"/>
        </w:rPr>
        <w:tab/>
      </w:r>
      <w:r w:rsidR="004D222E" w:rsidRPr="004D222E">
        <w:rPr>
          <w:sz w:val="24"/>
          <w:lang w:val="en-ZA"/>
        </w:rPr>
        <w:t>On 28 November 2011, the plaintiff’s attorney wrote to the de Beers to inform them that the plaintiff insists on exercising his right of pre-emption and attached a deed of sale for the de Beers to append their signatures to. The de Beers</w:t>
      </w:r>
      <w:r w:rsidR="00487F78">
        <w:rPr>
          <w:sz w:val="24"/>
          <w:lang w:val="en-ZA"/>
        </w:rPr>
        <w:t>, however,</w:t>
      </w:r>
      <w:r w:rsidR="004D222E" w:rsidRPr="004D222E">
        <w:rPr>
          <w:sz w:val="24"/>
          <w:lang w:val="en-ZA"/>
        </w:rPr>
        <w:t xml:space="preserve"> did not respond. On 9 January 2012 the pl</w:t>
      </w:r>
      <w:r w:rsidR="004D222E" w:rsidRPr="00084A34">
        <w:rPr>
          <w:sz w:val="24"/>
          <w:lang w:val="en-ZA"/>
        </w:rPr>
        <w:t xml:space="preserve">aintiff’s attorney </w:t>
      </w:r>
      <w:r w:rsidR="00487F78" w:rsidRPr="00084A34">
        <w:rPr>
          <w:sz w:val="24"/>
          <w:lang w:val="en-ZA"/>
        </w:rPr>
        <w:t xml:space="preserve">again </w:t>
      </w:r>
      <w:r w:rsidR="004D222E" w:rsidRPr="00084A34">
        <w:rPr>
          <w:sz w:val="24"/>
          <w:lang w:val="en-ZA"/>
        </w:rPr>
        <w:t>wrote to the de Beers’ attorney and informed him that the plaintiff insist</w:t>
      </w:r>
      <w:r w:rsidR="00E9206D" w:rsidRPr="00084A34">
        <w:rPr>
          <w:sz w:val="24"/>
          <w:lang w:val="en-ZA"/>
        </w:rPr>
        <w:t>ed</w:t>
      </w:r>
      <w:r w:rsidR="004D222E" w:rsidRPr="00084A34">
        <w:rPr>
          <w:sz w:val="24"/>
          <w:lang w:val="en-ZA"/>
        </w:rPr>
        <w:t xml:space="preserve"> on specific performance of his right of pre-emption relating to </w:t>
      </w:r>
      <w:r w:rsidR="001F6B5D">
        <w:rPr>
          <w:sz w:val="24"/>
          <w:lang w:val="en-ZA"/>
        </w:rPr>
        <w:t>P</w:t>
      </w:r>
      <w:r w:rsidR="004D222E" w:rsidRPr="00084A34">
        <w:rPr>
          <w:sz w:val="24"/>
          <w:lang w:val="en-ZA"/>
        </w:rPr>
        <w:t xml:space="preserve">ortions 6 and 11 and </w:t>
      </w:r>
      <w:r w:rsidR="00E9206D" w:rsidRPr="00084A34">
        <w:rPr>
          <w:sz w:val="24"/>
          <w:lang w:val="en-ZA"/>
        </w:rPr>
        <w:t>was</w:t>
      </w:r>
      <w:r w:rsidR="004D222E" w:rsidRPr="00084A34">
        <w:rPr>
          <w:sz w:val="24"/>
          <w:lang w:val="en-ZA"/>
        </w:rPr>
        <w:t xml:space="preserve"> prepared to buy them on the same conditions as those contained</w:t>
      </w:r>
      <w:r w:rsidRPr="00084A34">
        <w:rPr>
          <w:sz w:val="24"/>
          <w:lang w:val="en-ZA"/>
        </w:rPr>
        <w:t xml:space="preserve"> in the Fanie Trust agreement. </w:t>
      </w:r>
      <w:r w:rsidR="00487F78" w:rsidRPr="00084A34">
        <w:rPr>
          <w:sz w:val="24"/>
          <w:lang w:val="en-ZA"/>
        </w:rPr>
        <w:t xml:space="preserve">Mr </w:t>
      </w:r>
      <w:r w:rsidR="002411AA" w:rsidRPr="00084A34">
        <w:rPr>
          <w:sz w:val="24"/>
          <w:lang w:val="en-ZA"/>
        </w:rPr>
        <w:t xml:space="preserve">Marius </w:t>
      </w:r>
      <w:r w:rsidR="004D222E" w:rsidRPr="00084A34">
        <w:rPr>
          <w:sz w:val="24"/>
          <w:lang w:val="en-ZA"/>
        </w:rPr>
        <w:t xml:space="preserve">Nel, on behalf of the Fanie Trust, entered into an agreement of sale with the de Beers in respect of </w:t>
      </w:r>
      <w:r w:rsidR="008B6FE4">
        <w:rPr>
          <w:sz w:val="24"/>
          <w:lang w:val="en-ZA"/>
        </w:rPr>
        <w:t>P</w:t>
      </w:r>
      <w:r w:rsidR="004D222E" w:rsidRPr="00084A34">
        <w:rPr>
          <w:sz w:val="24"/>
          <w:lang w:val="en-ZA"/>
        </w:rPr>
        <w:t xml:space="preserve">ortions 6 and 11 whilst fully aware of the plaintiff’s right of pre-emption. </w:t>
      </w:r>
      <w:r w:rsidR="00487F78" w:rsidRPr="00084A34">
        <w:rPr>
          <w:sz w:val="24"/>
          <w:lang w:val="en-ZA"/>
        </w:rPr>
        <w:t>Accordingly, t</w:t>
      </w:r>
      <w:r w:rsidR="004D222E" w:rsidRPr="00084A34">
        <w:rPr>
          <w:sz w:val="24"/>
          <w:lang w:val="en-ZA"/>
        </w:rPr>
        <w:t>he plaintiff exercised his right of pre-emption properly.</w:t>
      </w:r>
    </w:p>
    <w:p w:rsidR="002F3FA7" w:rsidRPr="004D222E" w:rsidRDefault="002F3FA7" w:rsidP="00E24AF2">
      <w:pPr>
        <w:spacing w:line="360" w:lineRule="auto"/>
        <w:jc w:val="both"/>
        <w:rPr>
          <w:sz w:val="24"/>
          <w:lang w:val="en-ZA"/>
        </w:rPr>
      </w:pPr>
    </w:p>
    <w:p w:rsidR="004D222E" w:rsidRPr="002F3FA7" w:rsidRDefault="004D222E" w:rsidP="00E24AF2">
      <w:pPr>
        <w:spacing w:line="360" w:lineRule="auto"/>
        <w:jc w:val="both"/>
        <w:rPr>
          <w:b/>
          <w:sz w:val="24"/>
          <w:lang w:val="en-ZA"/>
        </w:rPr>
      </w:pPr>
      <w:r w:rsidRPr="002F3FA7">
        <w:rPr>
          <w:b/>
          <w:sz w:val="24"/>
          <w:lang w:val="en-ZA"/>
        </w:rPr>
        <w:t>Did plaintiff make a counter</w:t>
      </w:r>
      <w:r w:rsidR="00F414EC">
        <w:rPr>
          <w:b/>
          <w:sz w:val="24"/>
          <w:lang w:val="en-ZA"/>
        </w:rPr>
        <w:t>-</w:t>
      </w:r>
      <w:r w:rsidRPr="002F3FA7">
        <w:rPr>
          <w:b/>
          <w:sz w:val="24"/>
          <w:lang w:val="en-ZA"/>
        </w:rPr>
        <w:t>offer?</w:t>
      </w:r>
    </w:p>
    <w:p w:rsidR="004D222E" w:rsidRDefault="00181F86" w:rsidP="00E24AF2">
      <w:pPr>
        <w:spacing w:line="360" w:lineRule="auto"/>
        <w:jc w:val="both"/>
        <w:rPr>
          <w:sz w:val="24"/>
          <w:lang w:val="en-ZA"/>
        </w:rPr>
      </w:pPr>
      <w:r>
        <w:rPr>
          <w:sz w:val="24"/>
          <w:lang w:val="en-ZA"/>
        </w:rPr>
        <w:t>[3</w:t>
      </w:r>
      <w:r w:rsidR="00F414EC">
        <w:rPr>
          <w:sz w:val="24"/>
          <w:lang w:val="en-ZA"/>
        </w:rPr>
        <w:t>3</w:t>
      </w:r>
      <w:r w:rsidR="00EC5774">
        <w:rPr>
          <w:sz w:val="24"/>
          <w:lang w:val="en-ZA"/>
        </w:rPr>
        <w:t>]</w:t>
      </w:r>
      <w:r w:rsidR="00EC5774">
        <w:rPr>
          <w:sz w:val="24"/>
          <w:lang w:val="en-ZA"/>
        </w:rPr>
        <w:tab/>
      </w:r>
      <w:r w:rsidR="004D222E" w:rsidRPr="004D222E">
        <w:rPr>
          <w:sz w:val="24"/>
          <w:lang w:val="en-ZA"/>
        </w:rPr>
        <w:t>The high court found that any attempt to delete any term contained in the proposed agreement would constitute a counter</w:t>
      </w:r>
      <w:r w:rsidR="00E9206D">
        <w:rPr>
          <w:sz w:val="24"/>
          <w:lang w:val="en-ZA"/>
        </w:rPr>
        <w:t>-</w:t>
      </w:r>
      <w:r w:rsidR="004D222E" w:rsidRPr="004D222E">
        <w:rPr>
          <w:sz w:val="24"/>
          <w:lang w:val="en-ZA"/>
        </w:rPr>
        <w:t>offer. Additionally, it found that the plaintiff rejected the Fanie Trust offer and provided a counter</w:t>
      </w:r>
      <w:r w:rsidR="00E9206D">
        <w:rPr>
          <w:sz w:val="24"/>
          <w:lang w:val="en-ZA"/>
        </w:rPr>
        <w:t>-</w:t>
      </w:r>
      <w:r w:rsidR="004D222E" w:rsidRPr="004D222E">
        <w:rPr>
          <w:sz w:val="24"/>
          <w:lang w:val="en-ZA"/>
        </w:rPr>
        <w:t>offer</w:t>
      </w:r>
      <w:r w:rsidR="00CE56B2">
        <w:rPr>
          <w:sz w:val="24"/>
          <w:lang w:val="en-ZA"/>
        </w:rPr>
        <w:t>,</w:t>
      </w:r>
      <w:r w:rsidR="004D222E" w:rsidRPr="004D222E">
        <w:rPr>
          <w:sz w:val="24"/>
          <w:lang w:val="en-ZA"/>
        </w:rPr>
        <w:t xml:space="preserve"> ie the offer without clause 2(d) of the Fanie Trust agreement. No offer was ever made to the plaintiff. He could therefore not have made a counter</w:t>
      </w:r>
      <w:r w:rsidR="00E9206D">
        <w:rPr>
          <w:sz w:val="24"/>
          <w:lang w:val="en-ZA"/>
        </w:rPr>
        <w:t>-</w:t>
      </w:r>
      <w:r w:rsidR="004D222E" w:rsidRPr="004D222E">
        <w:rPr>
          <w:sz w:val="24"/>
          <w:lang w:val="en-ZA"/>
        </w:rPr>
        <w:t>offer. On the contrary</w:t>
      </w:r>
      <w:r w:rsidR="00CE56B2">
        <w:rPr>
          <w:sz w:val="24"/>
          <w:lang w:val="en-ZA"/>
        </w:rPr>
        <w:t>,</w:t>
      </w:r>
      <w:r w:rsidR="004D222E" w:rsidRPr="004D222E">
        <w:rPr>
          <w:sz w:val="24"/>
          <w:lang w:val="en-ZA"/>
        </w:rPr>
        <w:t xml:space="preserve"> the plaintiff offered to purchase </w:t>
      </w:r>
      <w:r w:rsidR="001F6B5D">
        <w:rPr>
          <w:sz w:val="24"/>
          <w:lang w:val="en-ZA"/>
        </w:rPr>
        <w:t>P</w:t>
      </w:r>
      <w:r w:rsidR="004D222E" w:rsidRPr="004D222E">
        <w:rPr>
          <w:sz w:val="24"/>
          <w:lang w:val="en-ZA"/>
        </w:rPr>
        <w:t>ortions 6 and 11 on the same conditions contained in the Fanie Trust agreement.</w:t>
      </w:r>
    </w:p>
    <w:p w:rsidR="002F3FA7" w:rsidRPr="004D222E" w:rsidRDefault="002F3FA7" w:rsidP="00E24AF2">
      <w:pPr>
        <w:spacing w:line="360" w:lineRule="auto"/>
        <w:jc w:val="both"/>
        <w:rPr>
          <w:sz w:val="24"/>
          <w:lang w:val="en-ZA"/>
        </w:rPr>
      </w:pPr>
    </w:p>
    <w:p w:rsidR="004D222E" w:rsidRDefault="00181F86" w:rsidP="00E24AF2">
      <w:pPr>
        <w:spacing w:line="360" w:lineRule="auto"/>
        <w:jc w:val="both"/>
        <w:rPr>
          <w:sz w:val="24"/>
          <w:lang w:val="en-ZA"/>
        </w:rPr>
      </w:pPr>
      <w:r w:rsidRPr="00084A34">
        <w:rPr>
          <w:sz w:val="24"/>
          <w:lang w:val="en-ZA"/>
        </w:rPr>
        <w:t>[3</w:t>
      </w:r>
      <w:r w:rsidR="00F414EC" w:rsidRPr="00084A34">
        <w:rPr>
          <w:sz w:val="24"/>
          <w:lang w:val="en-ZA"/>
        </w:rPr>
        <w:t>4</w:t>
      </w:r>
      <w:r w:rsidR="00EC5774" w:rsidRPr="00084A34">
        <w:rPr>
          <w:sz w:val="24"/>
          <w:lang w:val="en-ZA"/>
        </w:rPr>
        <w:t>]</w:t>
      </w:r>
      <w:r w:rsidR="00EC5774" w:rsidRPr="00084A34">
        <w:rPr>
          <w:sz w:val="24"/>
          <w:lang w:val="en-ZA"/>
        </w:rPr>
        <w:tab/>
      </w:r>
      <w:r w:rsidR="004D222E" w:rsidRPr="00084A34">
        <w:rPr>
          <w:sz w:val="24"/>
          <w:lang w:val="en-ZA"/>
        </w:rPr>
        <w:t xml:space="preserve">The finding with regard to the omission of clause 2(d) of the Fanie Trust agreement in the initial agreement that the plaintiff presented to the de Beers is a red herring. The de Beers pleaded that the Moladora </w:t>
      </w:r>
      <w:r w:rsidR="00E9206D" w:rsidRPr="00084A34">
        <w:rPr>
          <w:sz w:val="24"/>
          <w:lang w:val="en-ZA"/>
        </w:rPr>
        <w:t xml:space="preserve">Trust </w:t>
      </w:r>
      <w:r w:rsidR="004D222E" w:rsidRPr="00084A34">
        <w:rPr>
          <w:sz w:val="24"/>
          <w:lang w:val="en-ZA"/>
        </w:rPr>
        <w:t>and Fanie Trust agreements were cancelled. The clause 2(d) issue was therefore moot. Clause 2(d) was in any event not a material clause</w:t>
      </w:r>
      <w:r w:rsidR="00CE56B2" w:rsidRPr="00084A34">
        <w:rPr>
          <w:sz w:val="24"/>
          <w:lang w:val="en-ZA"/>
        </w:rPr>
        <w:t>; i</w:t>
      </w:r>
      <w:r w:rsidR="004D222E" w:rsidRPr="00084A34">
        <w:rPr>
          <w:sz w:val="24"/>
          <w:lang w:val="en-ZA"/>
        </w:rPr>
        <w:t>t was inserted for practical reasons to facilitate payment. The de Beers conceded that the Moladora Trust and Fanie Trust agreements did not constitute an exchange. The de Beers could therefore still continue</w:t>
      </w:r>
      <w:r w:rsidR="004D222E" w:rsidRPr="004D222E">
        <w:rPr>
          <w:sz w:val="24"/>
          <w:lang w:val="en-ZA"/>
        </w:rPr>
        <w:t xml:space="preserve"> with the Moladora Trust agreement without the Fanie Trust agreement.</w:t>
      </w:r>
    </w:p>
    <w:p w:rsidR="002F3FA7" w:rsidRPr="004D222E" w:rsidRDefault="002F3FA7" w:rsidP="00E24AF2">
      <w:pPr>
        <w:spacing w:line="360" w:lineRule="auto"/>
        <w:jc w:val="both"/>
        <w:rPr>
          <w:sz w:val="24"/>
          <w:lang w:val="en-ZA"/>
        </w:rPr>
      </w:pPr>
    </w:p>
    <w:p w:rsidR="004D222E" w:rsidRPr="002F3FA7" w:rsidRDefault="004D222E" w:rsidP="00E24AF2">
      <w:pPr>
        <w:spacing w:line="360" w:lineRule="auto"/>
        <w:jc w:val="both"/>
        <w:rPr>
          <w:b/>
          <w:sz w:val="24"/>
          <w:lang w:val="en-ZA"/>
        </w:rPr>
      </w:pPr>
      <w:r w:rsidRPr="002F3FA7">
        <w:rPr>
          <w:b/>
          <w:sz w:val="24"/>
          <w:lang w:val="en-ZA"/>
        </w:rPr>
        <w:t xml:space="preserve">Was the price of </w:t>
      </w:r>
      <w:r w:rsidR="008B6FE4">
        <w:rPr>
          <w:b/>
          <w:sz w:val="24"/>
          <w:lang w:val="en-ZA"/>
        </w:rPr>
        <w:t>P</w:t>
      </w:r>
      <w:r w:rsidRPr="002F3FA7">
        <w:rPr>
          <w:b/>
          <w:sz w:val="24"/>
          <w:lang w:val="en-ZA"/>
        </w:rPr>
        <w:t>ortions 6 and 11 determinable?</w:t>
      </w:r>
    </w:p>
    <w:p w:rsidR="004D222E" w:rsidRDefault="00181F86" w:rsidP="00E24AF2">
      <w:pPr>
        <w:spacing w:line="360" w:lineRule="auto"/>
        <w:jc w:val="both"/>
        <w:rPr>
          <w:sz w:val="24"/>
          <w:lang w:val="en-ZA"/>
        </w:rPr>
      </w:pPr>
      <w:r>
        <w:rPr>
          <w:sz w:val="24"/>
          <w:lang w:val="en-ZA"/>
        </w:rPr>
        <w:t>[3</w:t>
      </w:r>
      <w:r w:rsidR="00F414EC">
        <w:rPr>
          <w:sz w:val="24"/>
          <w:lang w:val="en-ZA"/>
        </w:rPr>
        <w:t>5</w:t>
      </w:r>
      <w:r w:rsidR="00EC5774">
        <w:rPr>
          <w:sz w:val="24"/>
          <w:lang w:val="en-ZA"/>
        </w:rPr>
        <w:t>]</w:t>
      </w:r>
      <w:r w:rsidR="00EC5774">
        <w:rPr>
          <w:sz w:val="24"/>
          <w:lang w:val="en-ZA"/>
        </w:rPr>
        <w:tab/>
      </w:r>
      <w:r w:rsidR="004D222E" w:rsidRPr="004D222E">
        <w:rPr>
          <w:sz w:val="24"/>
          <w:lang w:val="en-ZA"/>
        </w:rPr>
        <w:t xml:space="preserve">The high court found that the price in the Fanie Trust agreement was for </w:t>
      </w:r>
      <w:r w:rsidR="008B6FE4">
        <w:rPr>
          <w:sz w:val="24"/>
          <w:lang w:val="en-ZA"/>
        </w:rPr>
        <w:t>P</w:t>
      </w:r>
      <w:r w:rsidR="004D222E" w:rsidRPr="004D222E">
        <w:rPr>
          <w:sz w:val="24"/>
          <w:lang w:val="en-ZA"/>
        </w:rPr>
        <w:t xml:space="preserve">ortions 6 and 11 and not the entire 600 hectares. It opined that additional terms and conditions would have to be added to provide for the remaining farms. This reasoning </w:t>
      </w:r>
      <w:r w:rsidR="00CE56B2">
        <w:rPr>
          <w:sz w:val="24"/>
          <w:lang w:val="en-ZA"/>
        </w:rPr>
        <w:t>wa</w:t>
      </w:r>
      <w:r w:rsidR="004D222E" w:rsidRPr="004D222E">
        <w:rPr>
          <w:sz w:val="24"/>
          <w:lang w:val="en-ZA"/>
        </w:rPr>
        <w:t xml:space="preserve">s based on its </w:t>
      </w:r>
      <w:r>
        <w:rPr>
          <w:sz w:val="24"/>
          <w:lang w:val="en-ZA"/>
        </w:rPr>
        <w:t xml:space="preserve">unfortunate </w:t>
      </w:r>
      <w:r w:rsidR="004D222E" w:rsidRPr="004D222E">
        <w:rPr>
          <w:sz w:val="24"/>
          <w:lang w:val="en-ZA"/>
        </w:rPr>
        <w:t xml:space="preserve">finding that the </w:t>
      </w:r>
      <w:r w:rsidR="00F31E09">
        <w:rPr>
          <w:sz w:val="24"/>
          <w:lang w:val="en-ZA"/>
        </w:rPr>
        <w:t xml:space="preserve">farms </w:t>
      </w:r>
      <w:r w:rsidR="004D222E" w:rsidRPr="004D222E">
        <w:rPr>
          <w:sz w:val="24"/>
          <w:lang w:val="en-ZA"/>
        </w:rPr>
        <w:t>had to be sold as a unit for the right of pre-</w:t>
      </w:r>
      <w:r>
        <w:rPr>
          <w:sz w:val="24"/>
          <w:lang w:val="en-ZA"/>
        </w:rPr>
        <w:t xml:space="preserve">emption to be triggered. </w:t>
      </w:r>
      <w:r w:rsidR="004D222E" w:rsidRPr="004D222E">
        <w:rPr>
          <w:sz w:val="24"/>
          <w:lang w:val="en-ZA"/>
        </w:rPr>
        <w:t>The finding</w:t>
      </w:r>
      <w:r>
        <w:rPr>
          <w:sz w:val="24"/>
          <w:lang w:val="en-ZA"/>
        </w:rPr>
        <w:t xml:space="preserve"> of the high court is </w:t>
      </w:r>
      <w:r w:rsidR="004D222E" w:rsidRPr="004D222E">
        <w:rPr>
          <w:sz w:val="24"/>
          <w:lang w:val="en-ZA"/>
        </w:rPr>
        <w:t>unsustainable.</w:t>
      </w:r>
      <w:r w:rsidR="002F3FA7">
        <w:rPr>
          <w:sz w:val="24"/>
          <w:lang w:val="en-ZA"/>
        </w:rPr>
        <w:t xml:space="preserve"> </w:t>
      </w:r>
      <w:r w:rsidR="004D222E" w:rsidRPr="004D222E">
        <w:rPr>
          <w:sz w:val="24"/>
          <w:lang w:val="en-ZA"/>
        </w:rPr>
        <w:t xml:space="preserve">It is not in dispute that the price of </w:t>
      </w:r>
      <w:r w:rsidR="008B6FE4">
        <w:rPr>
          <w:sz w:val="24"/>
          <w:lang w:val="en-ZA"/>
        </w:rPr>
        <w:t>P</w:t>
      </w:r>
      <w:r w:rsidR="004D222E" w:rsidRPr="004D222E">
        <w:rPr>
          <w:sz w:val="24"/>
          <w:lang w:val="en-ZA"/>
        </w:rPr>
        <w:t>ortions 6 and 11 was determinable based on the Fanie Trust agreement. A right of pre-emption is enforceable if th</w:t>
      </w:r>
      <w:r>
        <w:rPr>
          <w:sz w:val="24"/>
          <w:lang w:val="en-ZA"/>
        </w:rPr>
        <w:t>e price and method of payment are</w:t>
      </w:r>
      <w:r w:rsidR="004D222E" w:rsidRPr="004D222E">
        <w:rPr>
          <w:sz w:val="24"/>
          <w:lang w:val="en-ZA"/>
        </w:rPr>
        <w:t xml:space="preserve"> determinable.</w:t>
      </w:r>
      <w:r w:rsidR="004D222E" w:rsidRPr="004D222E">
        <w:rPr>
          <w:rStyle w:val="FootnoteReference"/>
          <w:sz w:val="24"/>
          <w:lang w:val="en-ZA"/>
        </w:rPr>
        <w:footnoteReference w:id="19"/>
      </w:r>
      <w:r w:rsidR="004D222E" w:rsidRPr="004D222E">
        <w:rPr>
          <w:sz w:val="24"/>
          <w:lang w:val="en-ZA"/>
        </w:rPr>
        <w:t xml:space="preserve"> </w:t>
      </w:r>
    </w:p>
    <w:p w:rsidR="002F3FA7" w:rsidRPr="004D222E" w:rsidRDefault="002F3FA7" w:rsidP="00E24AF2">
      <w:pPr>
        <w:spacing w:line="360" w:lineRule="auto"/>
        <w:jc w:val="both"/>
        <w:rPr>
          <w:sz w:val="24"/>
          <w:lang w:val="en-ZA"/>
        </w:rPr>
      </w:pPr>
    </w:p>
    <w:p w:rsidR="004D222E" w:rsidRPr="002F3FA7" w:rsidRDefault="004D222E" w:rsidP="00E24AF2">
      <w:pPr>
        <w:spacing w:line="360" w:lineRule="auto"/>
        <w:jc w:val="both"/>
        <w:rPr>
          <w:b/>
          <w:sz w:val="24"/>
          <w:lang w:val="en-ZA"/>
        </w:rPr>
      </w:pPr>
      <w:r w:rsidRPr="002F3FA7">
        <w:rPr>
          <w:b/>
          <w:sz w:val="24"/>
          <w:lang w:val="en-ZA"/>
        </w:rPr>
        <w:t>Remedy</w:t>
      </w:r>
    </w:p>
    <w:p w:rsidR="004D222E" w:rsidRDefault="00181F86" w:rsidP="00892474">
      <w:pPr>
        <w:tabs>
          <w:tab w:val="left" w:pos="851"/>
        </w:tabs>
        <w:spacing w:line="360" w:lineRule="auto"/>
        <w:jc w:val="both"/>
        <w:rPr>
          <w:sz w:val="24"/>
          <w:lang w:val="en-ZA"/>
        </w:rPr>
      </w:pPr>
      <w:r>
        <w:rPr>
          <w:sz w:val="24"/>
          <w:lang w:val="en-ZA"/>
        </w:rPr>
        <w:t>[3</w:t>
      </w:r>
      <w:r w:rsidR="00F414EC">
        <w:rPr>
          <w:sz w:val="24"/>
          <w:lang w:val="en-ZA"/>
        </w:rPr>
        <w:t>6</w:t>
      </w:r>
      <w:r w:rsidR="00EC5774">
        <w:rPr>
          <w:sz w:val="24"/>
          <w:lang w:val="en-ZA"/>
        </w:rPr>
        <w:t>]</w:t>
      </w:r>
      <w:r w:rsidR="00892474">
        <w:rPr>
          <w:sz w:val="24"/>
          <w:lang w:val="en-ZA"/>
        </w:rPr>
        <w:t xml:space="preserve">    </w:t>
      </w:r>
      <w:r w:rsidR="004D222E" w:rsidRPr="004D222E">
        <w:rPr>
          <w:sz w:val="24"/>
          <w:lang w:val="en-ZA"/>
        </w:rPr>
        <w:t xml:space="preserve">The de Beers argued that the only remedies at the plaintiff’s disposal are a declaratory order or an interdict. This argument is misplaced. In </w:t>
      </w:r>
      <w:r w:rsidR="004D222E" w:rsidRPr="00181F86">
        <w:rPr>
          <w:i/>
          <w:sz w:val="24"/>
          <w:lang w:val="en-ZA"/>
        </w:rPr>
        <w:t>Associated South</w:t>
      </w:r>
      <w:r w:rsidR="004D222E" w:rsidRPr="004D222E">
        <w:rPr>
          <w:sz w:val="24"/>
          <w:lang w:val="en-ZA"/>
        </w:rPr>
        <w:t xml:space="preserve"> </w:t>
      </w:r>
      <w:r w:rsidR="004D222E" w:rsidRPr="00300074">
        <w:rPr>
          <w:i/>
          <w:sz w:val="24"/>
          <w:lang w:val="en-ZA"/>
        </w:rPr>
        <w:t>African Bakeries v Oryx</w:t>
      </w:r>
      <w:r w:rsidR="004D222E" w:rsidRPr="004D222E">
        <w:rPr>
          <w:rStyle w:val="FootnoteReference"/>
          <w:sz w:val="24"/>
          <w:lang w:val="en-ZA"/>
        </w:rPr>
        <w:footnoteReference w:id="20"/>
      </w:r>
      <w:r w:rsidR="00300074">
        <w:rPr>
          <w:sz w:val="24"/>
          <w:lang w:val="en-ZA"/>
        </w:rPr>
        <w:t xml:space="preserve"> </w:t>
      </w:r>
      <w:r w:rsidR="004D222E" w:rsidRPr="004D222E">
        <w:rPr>
          <w:sz w:val="24"/>
          <w:lang w:val="en-ZA"/>
        </w:rPr>
        <w:t>this Court held that where a seller enters into a contract of sale with a third party</w:t>
      </w:r>
      <w:r w:rsidR="00F31E09">
        <w:rPr>
          <w:sz w:val="24"/>
          <w:lang w:val="en-ZA"/>
        </w:rPr>
        <w:t>, who had knowledge of the right of pre-emption,</w:t>
      </w:r>
      <w:r w:rsidR="004D222E" w:rsidRPr="004D222E">
        <w:rPr>
          <w:sz w:val="24"/>
          <w:lang w:val="en-ZA"/>
        </w:rPr>
        <w:t xml:space="preserve"> in breach of </w:t>
      </w:r>
      <w:r w:rsidR="00F31E09">
        <w:rPr>
          <w:sz w:val="24"/>
          <w:lang w:val="en-ZA"/>
        </w:rPr>
        <w:t>that</w:t>
      </w:r>
      <w:r w:rsidR="004D222E" w:rsidRPr="004D222E">
        <w:rPr>
          <w:sz w:val="24"/>
          <w:lang w:val="en-ZA"/>
        </w:rPr>
        <w:t xml:space="preserve"> right</w:t>
      </w:r>
      <w:r w:rsidR="00F31E09">
        <w:rPr>
          <w:sz w:val="24"/>
          <w:lang w:val="en-ZA"/>
        </w:rPr>
        <w:t>,</w:t>
      </w:r>
      <w:r w:rsidR="004D222E" w:rsidRPr="004D222E">
        <w:rPr>
          <w:sz w:val="24"/>
          <w:lang w:val="en-ZA"/>
        </w:rPr>
        <w:t xml:space="preserve"> the purchaser can by way of a unilateral declaration of intent step into the shoes of the third party.</w:t>
      </w:r>
      <w:r w:rsidR="004D222E" w:rsidRPr="004D222E">
        <w:rPr>
          <w:rStyle w:val="FootnoteReference"/>
          <w:sz w:val="24"/>
          <w:lang w:val="en-ZA"/>
        </w:rPr>
        <w:footnoteReference w:id="21"/>
      </w:r>
      <w:r w:rsidR="00300074">
        <w:rPr>
          <w:sz w:val="24"/>
          <w:lang w:val="en-ZA"/>
        </w:rPr>
        <w:t xml:space="preserve"> </w:t>
      </w:r>
      <w:r w:rsidR="004D222E" w:rsidRPr="004D222E">
        <w:rPr>
          <w:sz w:val="24"/>
          <w:lang w:val="en-ZA"/>
        </w:rPr>
        <w:t xml:space="preserve">The moment </w:t>
      </w:r>
      <w:r w:rsidR="00892474">
        <w:rPr>
          <w:sz w:val="24"/>
          <w:lang w:val="en-ZA"/>
        </w:rPr>
        <w:t>a</w:t>
      </w:r>
      <w:r w:rsidR="004D222E" w:rsidRPr="004D222E">
        <w:rPr>
          <w:sz w:val="24"/>
          <w:lang w:val="en-ZA"/>
        </w:rPr>
        <w:t xml:space="preserve"> right of pre-emption is exercised after </w:t>
      </w:r>
      <w:r w:rsidR="00892474">
        <w:rPr>
          <w:sz w:val="24"/>
          <w:lang w:val="en-ZA"/>
        </w:rPr>
        <w:t>a</w:t>
      </w:r>
      <w:r w:rsidR="004D222E" w:rsidRPr="004D222E">
        <w:rPr>
          <w:sz w:val="24"/>
          <w:lang w:val="en-ZA"/>
        </w:rPr>
        <w:t xml:space="preserve"> contract was concluded with </w:t>
      </w:r>
      <w:r w:rsidR="00892474">
        <w:rPr>
          <w:sz w:val="24"/>
          <w:lang w:val="en-ZA"/>
        </w:rPr>
        <w:t>a</w:t>
      </w:r>
      <w:r w:rsidR="004D222E" w:rsidRPr="004D222E">
        <w:rPr>
          <w:sz w:val="24"/>
          <w:lang w:val="en-ZA"/>
        </w:rPr>
        <w:t xml:space="preserve"> third party, an independent contract</w:t>
      </w:r>
      <w:r w:rsidR="00E4237D">
        <w:rPr>
          <w:sz w:val="24"/>
          <w:lang w:val="en-ZA"/>
        </w:rPr>
        <w:t>,</w:t>
      </w:r>
      <w:r w:rsidR="004D222E" w:rsidRPr="004D222E">
        <w:rPr>
          <w:sz w:val="24"/>
          <w:lang w:val="en-ZA"/>
        </w:rPr>
        <w:t xml:space="preserve"> and not a substituti</w:t>
      </w:r>
      <w:r w:rsidR="008E6CA6">
        <w:rPr>
          <w:sz w:val="24"/>
          <w:lang w:val="en-ZA"/>
        </w:rPr>
        <w:t>onary one</w:t>
      </w:r>
      <w:r w:rsidR="000049CC">
        <w:rPr>
          <w:sz w:val="24"/>
          <w:lang w:val="en-ZA"/>
        </w:rPr>
        <w:t>,</w:t>
      </w:r>
      <w:r w:rsidR="008E6CA6">
        <w:rPr>
          <w:sz w:val="24"/>
          <w:lang w:val="en-ZA"/>
        </w:rPr>
        <w:t xml:space="preserve"> comes into </w:t>
      </w:r>
      <w:r w:rsidR="004D222E" w:rsidRPr="004D222E">
        <w:rPr>
          <w:sz w:val="24"/>
          <w:lang w:val="en-ZA"/>
        </w:rPr>
        <w:t>existence between the grantor and grantee and this does not affect the validity of the contract between the grantor and the third party.</w:t>
      </w:r>
      <w:r w:rsidR="004D222E" w:rsidRPr="004D222E">
        <w:rPr>
          <w:rStyle w:val="FootnoteReference"/>
          <w:sz w:val="24"/>
          <w:lang w:val="en-ZA"/>
        </w:rPr>
        <w:footnoteReference w:id="22"/>
      </w:r>
      <w:r w:rsidR="004D222E" w:rsidRPr="004D222E">
        <w:rPr>
          <w:sz w:val="24"/>
          <w:lang w:val="en-ZA"/>
        </w:rPr>
        <w:t xml:space="preserve">  </w:t>
      </w:r>
    </w:p>
    <w:p w:rsidR="002F3FA7" w:rsidRPr="004D222E" w:rsidRDefault="002F3FA7" w:rsidP="00E24AF2">
      <w:pPr>
        <w:spacing w:line="360" w:lineRule="auto"/>
        <w:jc w:val="both"/>
        <w:rPr>
          <w:sz w:val="24"/>
          <w:lang w:val="en-ZA"/>
        </w:rPr>
      </w:pPr>
    </w:p>
    <w:p w:rsidR="004D222E" w:rsidRPr="004D222E" w:rsidRDefault="00181F86" w:rsidP="00E24AF2">
      <w:pPr>
        <w:spacing w:line="360" w:lineRule="auto"/>
        <w:jc w:val="both"/>
        <w:rPr>
          <w:sz w:val="24"/>
          <w:lang w:val="en-ZA"/>
        </w:rPr>
      </w:pPr>
      <w:r>
        <w:rPr>
          <w:sz w:val="24"/>
          <w:lang w:val="en-ZA"/>
        </w:rPr>
        <w:t>[3</w:t>
      </w:r>
      <w:r w:rsidR="00F414EC">
        <w:rPr>
          <w:sz w:val="24"/>
          <w:lang w:val="en-ZA"/>
        </w:rPr>
        <w:t>7</w:t>
      </w:r>
      <w:r w:rsidR="00EC5774">
        <w:rPr>
          <w:sz w:val="24"/>
          <w:lang w:val="en-ZA"/>
        </w:rPr>
        <w:t>]</w:t>
      </w:r>
      <w:r w:rsidR="00EC5774">
        <w:rPr>
          <w:sz w:val="24"/>
          <w:lang w:val="en-ZA"/>
        </w:rPr>
        <w:tab/>
      </w:r>
      <w:r w:rsidR="004D222E" w:rsidRPr="004D222E">
        <w:rPr>
          <w:sz w:val="24"/>
          <w:lang w:val="en-ZA"/>
        </w:rPr>
        <w:t xml:space="preserve">In </w:t>
      </w:r>
      <w:r w:rsidR="004D222E" w:rsidRPr="00181F86">
        <w:rPr>
          <w:i/>
          <w:sz w:val="24"/>
          <w:lang w:val="en-ZA"/>
        </w:rPr>
        <w:t xml:space="preserve">Hirschowitz </w:t>
      </w:r>
      <w:r>
        <w:rPr>
          <w:i/>
          <w:sz w:val="24"/>
          <w:lang w:val="en-ZA"/>
        </w:rPr>
        <w:t>v Moolman</w:t>
      </w:r>
      <w:r w:rsidR="00CE63DF">
        <w:rPr>
          <w:rStyle w:val="FootnoteReference"/>
          <w:i/>
          <w:sz w:val="24"/>
          <w:lang w:val="en-ZA"/>
        </w:rPr>
        <w:footnoteReference w:id="23"/>
      </w:r>
      <w:r>
        <w:rPr>
          <w:i/>
          <w:sz w:val="24"/>
          <w:lang w:val="en-ZA"/>
        </w:rPr>
        <w:t xml:space="preserve"> </w:t>
      </w:r>
      <w:r w:rsidR="004D222E" w:rsidRPr="004D222E">
        <w:rPr>
          <w:sz w:val="24"/>
          <w:lang w:val="en-ZA"/>
        </w:rPr>
        <w:t xml:space="preserve">this Court </w:t>
      </w:r>
      <w:r w:rsidR="00F31E09">
        <w:rPr>
          <w:sz w:val="24"/>
          <w:lang w:val="en-ZA"/>
        </w:rPr>
        <w:t>stated</w:t>
      </w:r>
      <w:r w:rsidR="004D222E" w:rsidRPr="004D222E">
        <w:rPr>
          <w:sz w:val="24"/>
          <w:lang w:val="en-ZA"/>
        </w:rPr>
        <w:t xml:space="preserve"> that:</w:t>
      </w:r>
    </w:p>
    <w:p w:rsidR="000049CC" w:rsidRDefault="004D222E" w:rsidP="00E24AF2">
      <w:pPr>
        <w:spacing w:line="360" w:lineRule="auto"/>
        <w:jc w:val="both"/>
        <w:rPr>
          <w:sz w:val="24"/>
          <w:lang w:val="en-ZA"/>
        </w:rPr>
      </w:pPr>
      <w:r w:rsidRPr="004D222E">
        <w:rPr>
          <w:sz w:val="24"/>
          <w:lang w:val="en-ZA"/>
        </w:rPr>
        <w:t>‘</w:t>
      </w:r>
      <w:r w:rsidRPr="002F3FA7">
        <w:rPr>
          <w:sz w:val="22"/>
          <w:szCs w:val="22"/>
          <w:lang w:val="en-ZA"/>
        </w:rPr>
        <w:t>In principle the</w:t>
      </w:r>
      <w:r w:rsidR="00147F85">
        <w:rPr>
          <w:sz w:val="22"/>
          <w:szCs w:val="22"/>
          <w:lang w:val="en-ZA"/>
        </w:rPr>
        <w:t xml:space="preserve"> </w:t>
      </w:r>
      <w:r w:rsidRPr="002F3FA7">
        <w:rPr>
          <w:sz w:val="22"/>
          <w:szCs w:val="22"/>
          <w:lang w:val="en-ZA"/>
        </w:rPr>
        <w:t>holder of a right of pre-emption is entitled (in addition to claiming an interdict or damages in appropriate circumstances) to seek the positive enforcement of his right</w:t>
      </w:r>
      <w:r w:rsidRPr="004D222E">
        <w:rPr>
          <w:sz w:val="24"/>
          <w:lang w:val="en-ZA"/>
        </w:rPr>
        <w:t>.’</w:t>
      </w:r>
      <w:r w:rsidRPr="004D222E">
        <w:rPr>
          <w:rStyle w:val="FootnoteReference"/>
          <w:sz w:val="24"/>
          <w:lang w:val="en-ZA"/>
        </w:rPr>
        <w:footnoteReference w:id="24"/>
      </w:r>
    </w:p>
    <w:p w:rsidR="004D222E" w:rsidRDefault="00CE63DF" w:rsidP="00E24AF2">
      <w:pPr>
        <w:spacing w:line="360" w:lineRule="auto"/>
        <w:jc w:val="both"/>
        <w:rPr>
          <w:sz w:val="24"/>
          <w:lang w:val="en-ZA"/>
        </w:rPr>
      </w:pPr>
      <w:r>
        <w:rPr>
          <w:sz w:val="24"/>
          <w:lang w:val="en-ZA"/>
        </w:rPr>
        <w:lastRenderedPageBreak/>
        <w:t>I</w:t>
      </w:r>
      <w:r w:rsidR="00CE329E">
        <w:rPr>
          <w:sz w:val="24"/>
          <w:lang w:val="en-ZA"/>
        </w:rPr>
        <w:t>t is now well-settled in o</w:t>
      </w:r>
      <w:r w:rsidR="00E4237D">
        <w:rPr>
          <w:sz w:val="24"/>
          <w:lang w:val="en-ZA"/>
        </w:rPr>
        <w:t>u</w:t>
      </w:r>
      <w:r w:rsidR="00CE329E">
        <w:rPr>
          <w:sz w:val="24"/>
          <w:lang w:val="en-ZA"/>
        </w:rPr>
        <w:t>r law that a right to specific performance exists subject to the Court’s discretion to grant or refuse it.</w:t>
      </w:r>
      <w:r w:rsidR="00CE329E">
        <w:rPr>
          <w:rStyle w:val="FootnoteReference"/>
          <w:sz w:val="24"/>
          <w:lang w:val="en-ZA"/>
        </w:rPr>
        <w:footnoteReference w:id="25"/>
      </w:r>
      <w:r w:rsidR="00E46B27">
        <w:rPr>
          <w:sz w:val="24"/>
          <w:lang w:val="en-ZA"/>
        </w:rPr>
        <w:t xml:space="preserve"> </w:t>
      </w:r>
      <w:r w:rsidR="00CE329E">
        <w:rPr>
          <w:sz w:val="24"/>
          <w:lang w:val="en-ZA"/>
        </w:rPr>
        <w:t>There is no reason not to grant it in this matter.</w:t>
      </w:r>
      <w:r w:rsidR="00E4237D">
        <w:rPr>
          <w:sz w:val="24"/>
          <w:lang w:val="en-ZA"/>
        </w:rPr>
        <w:t xml:space="preserve"> </w:t>
      </w:r>
      <w:r w:rsidR="004D222E" w:rsidRPr="004D222E">
        <w:rPr>
          <w:sz w:val="24"/>
          <w:lang w:val="en-ZA"/>
        </w:rPr>
        <w:t>The appeal must succeed and the order of the high court should be set aside.</w:t>
      </w:r>
    </w:p>
    <w:p w:rsidR="00CE329E" w:rsidRPr="004D222E" w:rsidRDefault="00CE329E" w:rsidP="00E24AF2">
      <w:pPr>
        <w:spacing w:line="360" w:lineRule="auto"/>
        <w:jc w:val="both"/>
        <w:rPr>
          <w:sz w:val="24"/>
          <w:lang w:val="en-ZA"/>
        </w:rPr>
      </w:pPr>
    </w:p>
    <w:p w:rsidR="004147E4" w:rsidRPr="00594BB5" w:rsidRDefault="00CE329E" w:rsidP="00E24AF2">
      <w:pPr>
        <w:spacing w:line="360" w:lineRule="auto"/>
        <w:jc w:val="both"/>
        <w:rPr>
          <w:sz w:val="24"/>
          <w:lang w:val="en-ZA"/>
        </w:rPr>
      </w:pPr>
      <w:r>
        <w:rPr>
          <w:sz w:val="24"/>
          <w:lang w:val="en-ZA"/>
        </w:rPr>
        <w:t>[</w:t>
      </w:r>
      <w:r w:rsidR="00E4237D">
        <w:rPr>
          <w:sz w:val="24"/>
          <w:lang w:val="en-ZA"/>
        </w:rPr>
        <w:t>3</w:t>
      </w:r>
      <w:r w:rsidR="00F414EC">
        <w:rPr>
          <w:sz w:val="24"/>
          <w:lang w:val="en-ZA"/>
        </w:rPr>
        <w:t>8</w:t>
      </w:r>
      <w:r>
        <w:rPr>
          <w:sz w:val="24"/>
          <w:lang w:val="en-ZA"/>
        </w:rPr>
        <w:t xml:space="preserve">]     </w:t>
      </w:r>
      <w:r w:rsidR="00594BB5">
        <w:rPr>
          <w:sz w:val="24"/>
          <w:lang w:val="en-ZA"/>
        </w:rPr>
        <w:t>The following order is made:</w:t>
      </w:r>
    </w:p>
    <w:p w:rsidR="00594BB5" w:rsidRPr="00D33F9B" w:rsidRDefault="004D222E" w:rsidP="00E24AF2">
      <w:pPr>
        <w:spacing w:line="360" w:lineRule="auto"/>
        <w:contextualSpacing/>
        <w:jc w:val="both"/>
        <w:rPr>
          <w:sz w:val="24"/>
        </w:rPr>
      </w:pPr>
      <w:r w:rsidRPr="004D222E">
        <w:rPr>
          <w:sz w:val="24"/>
          <w:lang w:val="en-ZA"/>
        </w:rPr>
        <w:t xml:space="preserve"> </w:t>
      </w:r>
    </w:p>
    <w:p w:rsidR="00E24AF2" w:rsidRPr="00E85033" w:rsidRDefault="00E85033" w:rsidP="00E85033">
      <w:pPr>
        <w:spacing w:line="360" w:lineRule="auto"/>
        <w:ind w:left="720" w:hanging="720"/>
        <w:jc w:val="both"/>
        <w:rPr>
          <w:sz w:val="24"/>
          <w:lang w:val="en-ZA"/>
        </w:rPr>
      </w:pPr>
      <w:r w:rsidRPr="004C7EF7">
        <w:rPr>
          <w:sz w:val="24"/>
          <w:lang w:val="en-ZA"/>
        </w:rPr>
        <w:t>1</w:t>
      </w:r>
      <w:r w:rsidRPr="004C7EF7">
        <w:rPr>
          <w:sz w:val="24"/>
          <w:lang w:val="en-ZA"/>
        </w:rPr>
        <w:tab/>
      </w:r>
      <w:r w:rsidR="00E24AF2" w:rsidRPr="00E85033">
        <w:rPr>
          <w:sz w:val="24"/>
          <w:lang w:val="en-ZA"/>
        </w:rPr>
        <w:t>The appeal is upheld with costs, including the costs of two counsel.</w:t>
      </w:r>
    </w:p>
    <w:p w:rsidR="00E24AF2" w:rsidRPr="004D222E" w:rsidRDefault="00E24AF2" w:rsidP="00E24AF2">
      <w:pPr>
        <w:spacing w:line="360" w:lineRule="auto"/>
        <w:jc w:val="both"/>
        <w:rPr>
          <w:sz w:val="24"/>
          <w:lang w:val="en-ZA"/>
        </w:rPr>
      </w:pPr>
    </w:p>
    <w:p w:rsidR="00E24AF2" w:rsidRPr="004C7EF7" w:rsidRDefault="00E24AF2" w:rsidP="004C7EF7">
      <w:pPr>
        <w:spacing w:line="360" w:lineRule="auto"/>
        <w:jc w:val="both"/>
        <w:rPr>
          <w:sz w:val="24"/>
          <w:lang w:val="en-ZA"/>
        </w:rPr>
      </w:pPr>
      <w:r>
        <w:rPr>
          <w:sz w:val="24"/>
          <w:lang w:val="en-ZA"/>
        </w:rPr>
        <w:t>2</w:t>
      </w:r>
      <w:r w:rsidRPr="004C7EF7">
        <w:rPr>
          <w:sz w:val="24"/>
          <w:lang w:val="en-ZA"/>
        </w:rPr>
        <w:tab/>
        <w:t>The order of the high court is set aside and replaced with the following:</w:t>
      </w:r>
    </w:p>
    <w:p w:rsidR="00E24AF2" w:rsidRDefault="00E24AF2" w:rsidP="00E24AF2">
      <w:pPr>
        <w:pStyle w:val="ListParagraph"/>
        <w:spacing w:line="360" w:lineRule="auto"/>
        <w:ind w:left="1080"/>
        <w:jc w:val="both"/>
        <w:rPr>
          <w:sz w:val="24"/>
          <w:lang w:val="en-ZA"/>
        </w:rPr>
      </w:pPr>
    </w:p>
    <w:p w:rsidR="00E24AF2" w:rsidRDefault="00E24AF2" w:rsidP="00256D02">
      <w:pPr>
        <w:pStyle w:val="ListParagraph"/>
        <w:spacing w:line="360" w:lineRule="auto"/>
        <w:ind w:left="851"/>
        <w:jc w:val="both"/>
        <w:rPr>
          <w:sz w:val="24"/>
          <w:lang w:val="en-ZA"/>
        </w:rPr>
      </w:pPr>
      <w:r>
        <w:rPr>
          <w:sz w:val="24"/>
          <w:lang w:val="en-ZA"/>
        </w:rPr>
        <w:t xml:space="preserve">‘(i) The plaintiff is </w:t>
      </w:r>
      <w:r w:rsidR="008B6FE4">
        <w:rPr>
          <w:sz w:val="24"/>
          <w:lang w:val="en-ZA"/>
        </w:rPr>
        <w:t>directed</w:t>
      </w:r>
      <w:r>
        <w:rPr>
          <w:sz w:val="24"/>
          <w:lang w:val="en-ZA"/>
        </w:rPr>
        <w:t xml:space="preserve"> to submit a duly signed </w:t>
      </w:r>
      <w:r w:rsidR="008B6FE4">
        <w:rPr>
          <w:sz w:val="24"/>
          <w:lang w:val="en-ZA"/>
        </w:rPr>
        <w:t>deed of sale</w:t>
      </w:r>
      <w:r w:rsidR="00AF6E6E">
        <w:rPr>
          <w:sz w:val="24"/>
          <w:lang w:val="en-ZA"/>
        </w:rPr>
        <w:t xml:space="preserve"> </w:t>
      </w:r>
      <w:r>
        <w:rPr>
          <w:sz w:val="24"/>
          <w:lang w:val="en-ZA"/>
        </w:rPr>
        <w:t xml:space="preserve">to the defendants in respect of Portions 6 and 11 of the farm Swarts Rust, which </w:t>
      </w:r>
      <w:r w:rsidR="008B6FE4">
        <w:rPr>
          <w:sz w:val="24"/>
          <w:lang w:val="en-ZA"/>
        </w:rPr>
        <w:t>deed of sale</w:t>
      </w:r>
      <w:r>
        <w:rPr>
          <w:sz w:val="24"/>
          <w:lang w:val="en-ZA"/>
        </w:rPr>
        <w:t xml:space="preserve"> shall contain all the terms and conditions of the Fanie </w:t>
      </w:r>
      <w:r w:rsidR="00256D02">
        <w:rPr>
          <w:sz w:val="24"/>
          <w:lang w:val="en-ZA"/>
        </w:rPr>
        <w:t>T</w:t>
      </w:r>
      <w:r>
        <w:rPr>
          <w:sz w:val="24"/>
          <w:lang w:val="en-ZA"/>
        </w:rPr>
        <w:t>rust agreement, save for clause 2(d), within 14 days from the date of this order;</w:t>
      </w:r>
    </w:p>
    <w:p w:rsidR="00E24AF2" w:rsidRDefault="00E24AF2" w:rsidP="00256D02">
      <w:pPr>
        <w:pStyle w:val="ListParagraph"/>
        <w:spacing w:line="360" w:lineRule="auto"/>
        <w:ind w:left="851"/>
        <w:jc w:val="both"/>
        <w:rPr>
          <w:sz w:val="24"/>
          <w:lang w:val="en-ZA"/>
        </w:rPr>
      </w:pPr>
      <w:r>
        <w:rPr>
          <w:sz w:val="24"/>
          <w:lang w:val="en-ZA"/>
        </w:rPr>
        <w:t xml:space="preserve">(ii) The defendants are ordered to sign the </w:t>
      </w:r>
      <w:r w:rsidR="00AF6E6E">
        <w:rPr>
          <w:sz w:val="24"/>
          <w:lang w:val="en-ZA"/>
        </w:rPr>
        <w:t>deed of sale</w:t>
      </w:r>
      <w:r>
        <w:rPr>
          <w:sz w:val="24"/>
          <w:lang w:val="en-ZA"/>
        </w:rPr>
        <w:t xml:space="preserve"> submitted to them by the plaintiff within 14 days from date of receipt thereof;</w:t>
      </w:r>
    </w:p>
    <w:p w:rsidR="00E24AF2" w:rsidRDefault="00E24AF2" w:rsidP="00256D02">
      <w:pPr>
        <w:pStyle w:val="ListParagraph"/>
        <w:spacing w:line="360" w:lineRule="auto"/>
        <w:ind w:left="851"/>
        <w:jc w:val="both"/>
        <w:rPr>
          <w:sz w:val="24"/>
          <w:lang w:val="en-ZA"/>
        </w:rPr>
      </w:pPr>
      <w:r>
        <w:rPr>
          <w:sz w:val="24"/>
          <w:lang w:val="en-ZA"/>
        </w:rPr>
        <w:t xml:space="preserve">(iii) Should the defendants fail and/or refuse to sign the </w:t>
      </w:r>
      <w:r w:rsidR="00256D02">
        <w:rPr>
          <w:sz w:val="24"/>
          <w:lang w:val="en-ZA"/>
        </w:rPr>
        <w:t>deed of sale</w:t>
      </w:r>
      <w:r>
        <w:rPr>
          <w:sz w:val="24"/>
          <w:lang w:val="en-ZA"/>
        </w:rPr>
        <w:t xml:space="preserve"> aforesaid, the Sheriff of the Court (in which district the properties are situated) is authorised and ordered to sign the </w:t>
      </w:r>
      <w:r w:rsidR="00256D02">
        <w:rPr>
          <w:sz w:val="24"/>
          <w:lang w:val="en-ZA"/>
        </w:rPr>
        <w:t>deed of sale</w:t>
      </w:r>
      <w:r>
        <w:rPr>
          <w:sz w:val="24"/>
          <w:lang w:val="en-ZA"/>
        </w:rPr>
        <w:t xml:space="preserve"> on behalf of the defendants</w:t>
      </w:r>
    </w:p>
    <w:p w:rsidR="00E24AF2" w:rsidRDefault="00E24AF2" w:rsidP="00256D02">
      <w:pPr>
        <w:pStyle w:val="ListParagraph"/>
        <w:spacing w:line="360" w:lineRule="auto"/>
        <w:ind w:left="851"/>
        <w:jc w:val="both"/>
        <w:rPr>
          <w:sz w:val="24"/>
          <w:lang w:val="en-ZA"/>
        </w:rPr>
      </w:pPr>
      <w:r>
        <w:rPr>
          <w:sz w:val="24"/>
          <w:lang w:val="en-ZA"/>
        </w:rPr>
        <w:t>(iv) The defendants are ordered to pay the costs of the action, including the costs of two counsel.’</w:t>
      </w:r>
    </w:p>
    <w:p w:rsidR="004D222E" w:rsidRPr="004D222E" w:rsidRDefault="004D222E" w:rsidP="00E24AF2">
      <w:pPr>
        <w:spacing w:line="360" w:lineRule="auto"/>
        <w:jc w:val="both"/>
        <w:rPr>
          <w:sz w:val="24"/>
          <w:lang w:val="en-ZA"/>
        </w:rPr>
      </w:pPr>
    </w:p>
    <w:p w:rsidR="005F121A" w:rsidRPr="00D33F9B" w:rsidRDefault="00AF6E6E" w:rsidP="00E24AF2">
      <w:pPr>
        <w:spacing w:line="360" w:lineRule="auto"/>
        <w:contextualSpacing/>
        <w:jc w:val="both"/>
        <w:rPr>
          <w:sz w:val="24"/>
        </w:rPr>
      </w:pPr>
      <w:r>
        <w:rPr>
          <w:sz w:val="24"/>
        </w:rPr>
        <w:t xml:space="preserve"> </w:t>
      </w:r>
    </w:p>
    <w:p w:rsidR="005F121A" w:rsidRPr="00D33F9B" w:rsidRDefault="005F121A" w:rsidP="00A44E76">
      <w:pPr>
        <w:spacing w:line="360" w:lineRule="auto"/>
        <w:ind w:left="5760"/>
        <w:contextualSpacing/>
        <w:jc w:val="right"/>
        <w:rPr>
          <w:sz w:val="24"/>
        </w:rPr>
      </w:pPr>
      <w:r w:rsidRPr="00D33F9B">
        <w:rPr>
          <w:sz w:val="24"/>
        </w:rPr>
        <w:t>______________________</w:t>
      </w:r>
    </w:p>
    <w:p w:rsidR="005F121A" w:rsidRPr="00D33F9B" w:rsidRDefault="00E46B27" w:rsidP="004C7EF7">
      <w:pPr>
        <w:spacing w:line="360" w:lineRule="auto"/>
        <w:ind w:left="7200" w:firstLine="720"/>
        <w:contextualSpacing/>
        <w:jc w:val="both"/>
        <w:rPr>
          <w:sz w:val="24"/>
        </w:rPr>
      </w:pPr>
      <w:r>
        <w:rPr>
          <w:sz w:val="24"/>
        </w:rPr>
        <w:t>MUSI AJA</w:t>
      </w:r>
    </w:p>
    <w:p w:rsidR="00E24AF2" w:rsidRDefault="009B5F39" w:rsidP="004C7EF7">
      <w:pPr>
        <w:spacing w:after="160" w:line="259" w:lineRule="auto"/>
        <w:ind w:right="-46"/>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sidR="004147E4">
        <w:rPr>
          <w:sz w:val="24"/>
        </w:rPr>
        <w:t>A</w:t>
      </w:r>
      <w:r w:rsidR="00E46B27">
        <w:rPr>
          <w:sz w:val="24"/>
        </w:rPr>
        <w:t>CTING JUDGE OF APPEAL</w:t>
      </w:r>
      <w:r w:rsidR="00E24AF2">
        <w:rPr>
          <w:sz w:val="24"/>
        </w:rPr>
        <w:br w:type="page"/>
      </w:r>
    </w:p>
    <w:p w:rsidR="005F121A" w:rsidRPr="00D33F9B" w:rsidRDefault="005F121A" w:rsidP="005F121A">
      <w:pPr>
        <w:tabs>
          <w:tab w:val="right" w:pos="8306"/>
        </w:tabs>
        <w:spacing w:line="360" w:lineRule="auto"/>
        <w:rPr>
          <w:sz w:val="24"/>
        </w:rPr>
      </w:pPr>
      <w:r w:rsidRPr="00D33F9B">
        <w:rPr>
          <w:sz w:val="24"/>
        </w:rPr>
        <w:lastRenderedPageBreak/>
        <w:t>APPEARANCES</w:t>
      </w:r>
    </w:p>
    <w:p w:rsidR="005F121A" w:rsidRPr="00D33F9B" w:rsidRDefault="005F121A" w:rsidP="005F121A">
      <w:pPr>
        <w:tabs>
          <w:tab w:val="right" w:pos="8306"/>
        </w:tabs>
        <w:spacing w:line="360" w:lineRule="auto"/>
        <w:rPr>
          <w:bCs/>
          <w:sz w:val="24"/>
          <w:lang w:eastAsia="en-GB"/>
        </w:rPr>
      </w:pPr>
    </w:p>
    <w:p w:rsidR="005F121A" w:rsidRPr="00D33F9B" w:rsidRDefault="005F121A" w:rsidP="005F121A">
      <w:pPr>
        <w:spacing w:line="480" w:lineRule="auto"/>
        <w:jc w:val="both"/>
        <w:rPr>
          <w:rFonts w:eastAsia="Calibri"/>
          <w:sz w:val="24"/>
          <w:lang w:val="en-ZA"/>
        </w:rPr>
      </w:pPr>
      <w:r w:rsidRPr="00D33F9B">
        <w:rPr>
          <w:rFonts w:eastAsia="Calibri"/>
          <w:sz w:val="24"/>
          <w:lang w:val="en-ZA"/>
        </w:rPr>
        <w:t>For</w:t>
      </w:r>
      <w:r w:rsidR="008B6FE4">
        <w:rPr>
          <w:rFonts w:eastAsia="Calibri"/>
          <w:sz w:val="24"/>
          <w:lang w:val="en-ZA"/>
        </w:rPr>
        <w:t xml:space="preserve"> </w:t>
      </w:r>
      <w:r w:rsidRPr="00D33F9B">
        <w:rPr>
          <w:rFonts w:eastAsia="Calibri"/>
          <w:sz w:val="24"/>
          <w:lang w:val="en-ZA"/>
        </w:rPr>
        <w:t>Appellant:</w:t>
      </w:r>
      <w:r w:rsidRPr="00D33F9B">
        <w:rPr>
          <w:rFonts w:eastAsia="Calibri"/>
          <w:sz w:val="24"/>
          <w:lang w:val="en-ZA"/>
        </w:rPr>
        <w:tab/>
      </w:r>
      <w:r w:rsidRPr="00D33F9B">
        <w:rPr>
          <w:rFonts w:eastAsia="Calibri"/>
          <w:sz w:val="24"/>
          <w:lang w:val="en-ZA"/>
        </w:rPr>
        <w:tab/>
      </w:r>
      <w:r w:rsidRPr="00D33F9B">
        <w:rPr>
          <w:rFonts w:eastAsia="Calibri"/>
          <w:sz w:val="24"/>
          <w:lang w:val="en-ZA"/>
        </w:rPr>
        <w:tab/>
      </w:r>
      <w:r w:rsidR="00225D12">
        <w:rPr>
          <w:rFonts w:eastAsia="Calibri"/>
          <w:sz w:val="24"/>
          <w:lang w:val="en-ZA"/>
        </w:rPr>
        <w:t xml:space="preserve">SG Maritz with him JF van der Merwe </w:t>
      </w:r>
    </w:p>
    <w:p w:rsidR="005F121A" w:rsidRPr="00D33F9B" w:rsidRDefault="005F121A" w:rsidP="005F121A">
      <w:pPr>
        <w:spacing w:line="480" w:lineRule="auto"/>
        <w:jc w:val="both"/>
        <w:rPr>
          <w:rFonts w:eastAsia="Calibri"/>
          <w:sz w:val="24"/>
          <w:lang w:val="en-ZA"/>
        </w:rPr>
      </w:pPr>
      <w:r w:rsidRPr="00D33F9B">
        <w:rPr>
          <w:rFonts w:eastAsia="Calibri"/>
          <w:sz w:val="24"/>
          <w:lang w:val="en-ZA"/>
        </w:rPr>
        <w:t xml:space="preserve">Instructed by: </w:t>
      </w:r>
      <w:r w:rsidRPr="00D33F9B">
        <w:rPr>
          <w:rFonts w:eastAsia="Calibri"/>
          <w:sz w:val="24"/>
          <w:lang w:val="en-ZA"/>
        </w:rPr>
        <w:tab/>
      </w:r>
      <w:r w:rsidRPr="00D33F9B">
        <w:rPr>
          <w:rFonts w:eastAsia="Calibri"/>
          <w:sz w:val="24"/>
          <w:lang w:val="en-ZA"/>
        </w:rPr>
        <w:tab/>
      </w:r>
      <w:r w:rsidRPr="00D33F9B">
        <w:rPr>
          <w:rFonts w:eastAsia="Calibri"/>
          <w:sz w:val="24"/>
          <w:lang w:val="en-ZA"/>
        </w:rPr>
        <w:tab/>
      </w:r>
      <w:r w:rsidR="00225D12">
        <w:rPr>
          <w:rFonts w:eastAsia="Calibri"/>
          <w:sz w:val="24"/>
          <w:lang w:val="en-ZA"/>
        </w:rPr>
        <w:t>JP Kruyshaar Attorneys</w:t>
      </w:r>
      <w:r w:rsidRPr="00D33F9B">
        <w:rPr>
          <w:rFonts w:eastAsia="Calibri"/>
          <w:sz w:val="24"/>
          <w:lang w:val="en-ZA"/>
        </w:rPr>
        <w:t>,</w:t>
      </w:r>
      <w:r w:rsidR="00E61BF5">
        <w:rPr>
          <w:rFonts w:eastAsia="Calibri"/>
          <w:sz w:val="24"/>
          <w:lang w:val="en-ZA"/>
        </w:rPr>
        <w:t xml:space="preserve"> </w:t>
      </w:r>
      <w:r w:rsidR="00225D12">
        <w:rPr>
          <w:rFonts w:eastAsia="Calibri"/>
          <w:sz w:val="24"/>
          <w:lang w:val="en-ZA"/>
        </w:rPr>
        <w:t>Pretoria</w:t>
      </w:r>
    </w:p>
    <w:p w:rsidR="005F121A" w:rsidRPr="00D33F9B" w:rsidRDefault="00225D12" w:rsidP="005F121A">
      <w:pPr>
        <w:spacing w:line="480" w:lineRule="auto"/>
        <w:ind w:left="2880" w:firstLine="720"/>
        <w:jc w:val="both"/>
      </w:pPr>
      <w:r>
        <w:rPr>
          <w:rFonts w:eastAsia="Calibri"/>
          <w:sz w:val="24"/>
          <w:lang w:val="en-ZA"/>
        </w:rPr>
        <w:t>Honeys Attorneys</w:t>
      </w:r>
      <w:r w:rsidR="005F121A" w:rsidRPr="00D33F9B">
        <w:rPr>
          <w:rFonts w:eastAsia="Calibri"/>
          <w:sz w:val="24"/>
          <w:lang w:val="en-ZA"/>
        </w:rPr>
        <w:t>, Bloemfontein</w:t>
      </w:r>
      <w:r w:rsidR="005F121A" w:rsidRPr="00D33F9B">
        <w:t xml:space="preserve"> </w:t>
      </w:r>
    </w:p>
    <w:p w:rsidR="005F121A" w:rsidRPr="00D33F9B" w:rsidRDefault="005F121A" w:rsidP="005F121A">
      <w:pPr>
        <w:spacing w:line="480" w:lineRule="auto"/>
        <w:ind w:left="2160" w:firstLine="720"/>
        <w:jc w:val="both"/>
      </w:pPr>
    </w:p>
    <w:p w:rsidR="00A44E76" w:rsidRDefault="005F121A" w:rsidP="005F121A">
      <w:pPr>
        <w:spacing w:line="480" w:lineRule="auto"/>
        <w:rPr>
          <w:rFonts w:eastAsia="Calibri"/>
          <w:sz w:val="24"/>
          <w:lang w:val="en-ZA"/>
        </w:rPr>
      </w:pPr>
      <w:r w:rsidRPr="00D33F9B">
        <w:rPr>
          <w:rFonts w:eastAsia="Calibri"/>
          <w:sz w:val="24"/>
          <w:lang w:val="en-ZA"/>
        </w:rPr>
        <w:t xml:space="preserve">For </w:t>
      </w:r>
      <w:r w:rsidR="008B6FE4">
        <w:rPr>
          <w:rFonts w:eastAsia="Calibri"/>
          <w:sz w:val="24"/>
          <w:lang w:val="en-ZA"/>
        </w:rPr>
        <w:t xml:space="preserve">First and </w:t>
      </w:r>
      <w:r w:rsidRPr="00D33F9B">
        <w:rPr>
          <w:rFonts w:eastAsia="Calibri"/>
          <w:sz w:val="24"/>
          <w:lang w:val="en-ZA"/>
        </w:rPr>
        <w:t xml:space="preserve">Second </w:t>
      </w:r>
    </w:p>
    <w:p w:rsidR="005F121A" w:rsidRPr="00D33F9B" w:rsidRDefault="005F121A" w:rsidP="005F121A">
      <w:pPr>
        <w:spacing w:line="480" w:lineRule="auto"/>
        <w:rPr>
          <w:rFonts w:eastAsia="Calibri"/>
          <w:sz w:val="24"/>
          <w:lang w:val="en-ZA"/>
        </w:rPr>
      </w:pPr>
      <w:r w:rsidRPr="00D33F9B">
        <w:rPr>
          <w:rFonts w:eastAsia="Calibri"/>
          <w:sz w:val="24"/>
          <w:lang w:val="en-ZA"/>
        </w:rPr>
        <w:t>Respondent</w:t>
      </w:r>
      <w:r w:rsidR="008B6FE4">
        <w:rPr>
          <w:rFonts w:eastAsia="Calibri"/>
          <w:sz w:val="24"/>
          <w:lang w:val="en-ZA"/>
        </w:rPr>
        <w:t>s</w:t>
      </w:r>
      <w:r w:rsidRPr="00D33F9B">
        <w:rPr>
          <w:rFonts w:eastAsia="Calibri"/>
          <w:sz w:val="24"/>
          <w:lang w:val="en-ZA"/>
        </w:rPr>
        <w:t>:</w:t>
      </w:r>
      <w:r w:rsidRPr="00D33F9B">
        <w:rPr>
          <w:rFonts w:eastAsia="Calibri"/>
          <w:sz w:val="24"/>
          <w:lang w:val="en-ZA"/>
        </w:rPr>
        <w:tab/>
      </w:r>
      <w:r w:rsidRPr="00D33F9B">
        <w:rPr>
          <w:rFonts w:eastAsia="Calibri"/>
          <w:sz w:val="24"/>
          <w:lang w:val="en-ZA"/>
        </w:rPr>
        <w:tab/>
      </w:r>
      <w:r w:rsidR="00A44E76">
        <w:rPr>
          <w:rFonts w:eastAsia="Calibri"/>
          <w:sz w:val="24"/>
          <w:lang w:val="en-ZA"/>
        </w:rPr>
        <w:tab/>
      </w:r>
      <w:r w:rsidR="00225D12">
        <w:rPr>
          <w:rFonts w:eastAsia="Calibri"/>
          <w:sz w:val="24"/>
          <w:lang w:val="en-ZA"/>
        </w:rPr>
        <w:t xml:space="preserve">R Grundlingh </w:t>
      </w:r>
      <w:r w:rsidRPr="00D33F9B">
        <w:rPr>
          <w:rFonts w:eastAsia="Calibri"/>
          <w:sz w:val="24"/>
          <w:lang w:val="en-ZA"/>
        </w:rPr>
        <w:t>with him</w:t>
      </w:r>
      <w:r w:rsidR="00225D12">
        <w:rPr>
          <w:rFonts w:eastAsia="Calibri"/>
          <w:sz w:val="24"/>
          <w:lang w:val="en-ZA"/>
        </w:rPr>
        <w:t xml:space="preserve"> ASL van Wyk</w:t>
      </w:r>
      <w:r w:rsidRPr="00D33F9B">
        <w:rPr>
          <w:rFonts w:eastAsia="Calibri"/>
          <w:sz w:val="24"/>
          <w:lang w:val="en-ZA"/>
        </w:rPr>
        <w:t xml:space="preserve"> </w:t>
      </w:r>
    </w:p>
    <w:p w:rsidR="005F121A" w:rsidRPr="00D33F9B" w:rsidRDefault="005F121A" w:rsidP="005F121A">
      <w:pPr>
        <w:spacing w:line="480" w:lineRule="auto"/>
        <w:rPr>
          <w:rFonts w:eastAsia="Calibri"/>
          <w:sz w:val="24"/>
          <w:lang w:val="en-ZA"/>
        </w:rPr>
      </w:pPr>
      <w:r w:rsidRPr="00D33F9B">
        <w:rPr>
          <w:rFonts w:eastAsia="Calibri"/>
          <w:sz w:val="24"/>
          <w:lang w:val="en-ZA"/>
        </w:rPr>
        <w:t>Instructed by:</w:t>
      </w:r>
      <w:r w:rsidRPr="00D33F9B">
        <w:rPr>
          <w:rFonts w:eastAsia="Calibri"/>
          <w:sz w:val="24"/>
          <w:lang w:val="en-ZA"/>
        </w:rPr>
        <w:tab/>
      </w:r>
      <w:r w:rsidRPr="00D33F9B">
        <w:rPr>
          <w:rFonts w:eastAsia="Calibri"/>
          <w:sz w:val="24"/>
          <w:lang w:val="en-ZA"/>
        </w:rPr>
        <w:tab/>
      </w:r>
      <w:r w:rsidRPr="00D33F9B">
        <w:rPr>
          <w:rFonts w:eastAsia="Calibri"/>
          <w:sz w:val="24"/>
          <w:lang w:val="en-ZA"/>
        </w:rPr>
        <w:tab/>
      </w:r>
      <w:r w:rsidR="00225D12">
        <w:rPr>
          <w:rFonts w:eastAsia="Calibri"/>
          <w:sz w:val="24"/>
          <w:lang w:val="en-ZA"/>
        </w:rPr>
        <w:t>Hengst Attorneys</w:t>
      </w:r>
      <w:r w:rsidRPr="00D33F9B">
        <w:rPr>
          <w:rFonts w:eastAsia="Calibri"/>
          <w:sz w:val="24"/>
          <w:lang w:val="en-ZA"/>
        </w:rPr>
        <w:t>,</w:t>
      </w:r>
      <w:r w:rsidR="00225D12">
        <w:rPr>
          <w:rFonts w:eastAsia="Calibri"/>
          <w:sz w:val="24"/>
          <w:lang w:val="en-ZA"/>
        </w:rPr>
        <w:t xml:space="preserve"> Pretoria</w:t>
      </w:r>
    </w:p>
    <w:p w:rsidR="005F121A" w:rsidRDefault="005F121A" w:rsidP="005F121A">
      <w:pPr>
        <w:spacing w:line="480" w:lineRule="auto"/>
        <w:rPr>
          <w:szCs w:val="28"/>
        </w:rPr>
      </w:pPr>
      <w:r w:rsidRPr="00D33F9B">
        <w:rPr>
          <w:rFonts w:eastAsia="Calibri"/>
          <w:sz w:val="24"/>
          <w:lang w:val="en-ZA"/>
        </w:rPr>
        <w:tab/>
      </w:r>
      <w:r w:rsidRPr="00D33F9B">
        <w:rPr>
          <w:rFonts w:eastAsia="Calibri"/>
          <w:sz w:val="24"/>
          <w:lang w:val="en-ZA"/>
        </w:rPr>
        <w:tab/>
      </w:r>
      <w:r w:rsidRPr="00D33F9B">
        <w:rPr>
          <w:rFonts w:eastAsia="Calibri"/>
          <w:sz w:val="24"/>
          <w:lang w:val="en-ZA"/>
        </w:rPr>
        <w:tab/>
      </w:r>
      <w:r w:rsidRPr="00D33F9B">
        <w:rPr>
          <w:rFonts w:eastAsia="Calibri"/>
          <w:sz w:val="24"/>
          <w:lang w:val="en-ZA"/>
        </w:rPr>
        <w:tab/>
      </w:r>
      <w:r w:rsidRPr="00D33F9B">
        <w:rPr>
          <w:rFonts w:eastAsia="Calibri"/>
          <w:sz w:val="24"/>
          <w:lang w:val="en-ZA"/>
        </w:rPr>
        <w:tab/>
      </w:r>
      <w:r w:rsidR="00225D12">
        <w:rPr>
          <w:rFonts w:eastAsia="Calibri"/>
          <w:sz w:val="24"/>
          <w:lang w:val="en-ZA"/>
        </w:rPr>
        <w:t>Lovius Block Attorneys</w:t>
      </w:r>
      <w:r w:rsidRPr="00D33F9B">
        <w:rPr>
          <w:rFonts w:eastAsia="Calibri"/>
          <w:sz w:val="24"/>
          <w:lang w:val="en-ZA"/>
        </w:rPr>
        <w:t>, Bloemfontein</w:t>
      </w:r>
    </w:p>
    <w:p w:rsidR="005F121A" w:rsidRPr="00102DE2" w:rsidRDefault="005F121A" w:rsidP="00337261">
      <w:pPr>
        <w:spacing w:line="360" w:lineRule="auto"/>
        <w:contextualSpacing/>
        <w:jc w:val="both"/>
        <w:rPr>
          <w:sz w:val="24"/>
        </w:rPr>
      </w:pPr>
    </w:p>
    <w:sectPr w:rsidR="005F121A" w:rsidRPr="00102DE2" w:rsidSect="00A67544">
      <w:headerReference w:type="default" r:id="rId9"/>
      <w:pgSz w:w="11906" w:h="16838"/>
      <w:pgMar w:top="1440" w:right="1440" w:bottom="1440" w:left="1440" w:header="708" w:footer="708" w:gutter="0"/>
      <w:cols w:space="708"/>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93962" w16cex:dateUtc="2022-10-06T09:24:00Z"/>
  <w16cex:commentExtensible w16cex:durableId="26E94A30" w16cex:dateUtc="2022-10-06T10:36:00Z"/>
  <w16cex:commentExtensible w16cex:durableId="26E9595C" w16cex:dateUtc="2022-10-06T1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2936F4" w16cid:durableId="26E93962"/>
  <w16cid:commentId w16cid:paraId="3C19D968" w16cid:durableId="26E94A30"/>
  <w16cid:commentId w16cid:paraId="50FE24ED" w16cid:durableId="26E9595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FEB" w:rsidRDefault="00EE7FEB" w:rsidP="00337261">
      <w:r>
        <w:separator/>
      </w:r>
    </w:p>
  </w:endnote>
  <w:endnote w:type="continuationSeparator" w:id="0">
    <w:p w:rsidR="00EE7FEB" w:rsidRDefault="00EE7FEB" w:rsidP="00337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FEB" w:rsidRDefault="00EE7FEB" w:rsidP="00337261">
      <w:r>
        <w:separator/>
      </w:r>
    </w:p>
  </w:footnote>
  <w:footnote w:type="continuationSeparator" w:id="0">
    <w:p w:rsidR="00EE7FEB" w:rsidRDefault="00EE7FEB" w:rsidP="00337261">
      <w:r>
        <w:continuationSeparator/>
      </w:r>
    </w:p>
  </w:footnote>
  <w:footnote w:id="1">
    <w:p w:rsidR="004D222E" w:rsidRPr="005E373B" w:rsidRDefault="004D222E" w:rsidP="00A44E76">
      <w:pPr>
        <w:pStyle w:val="FootnoteText"/>
        <w:jc w:val="both"/>
        <w:rPr>
          <w:lang w:val="en-ZA"/>
        </w:rPr>
      </w:pPr>
      <w:r>
        <w:rPr>
          <w:rStyle w:val="FootnoteReference"/>
        </w:rPr>
        <w:footnoteRef/>
      </w:r>
      <w:r>
        <w:t xml:space="preserve"> </w:t>
      </w:r>
      <w:r>
        <w:rPr>
          <w:lang w:val="en-ZA"/>
        </w:rPr>
        <w:t xml:space="preserve">The lessors grant to the lessee the first right to purchase the said properties before this lease agreement expires. (My </w:t>
      </w:r>
      <w:r w:rsidR="00C97AB5">
        <w:rPr>
          <w:lang w:val="en-ZA"/>
        </w:rPr>
        <w:t xml:space="preserve">loose </w:t>
      </w:r>
      <w:r>
        <w:rPr>
          <w:lang w:val="en-ZA"/>
        </w:rPr>
        <w:t>translation.)</w:t>
      </w:r>
    </w:p>
  </w:footnote>
  <w:footnote w:id="2">
    <w:p w:rsidR="004D222E" w:rsidRPr="001D5DD2" w:rsidRDefault="004D222E" w:rsidP="00A44E76">
      <w:pPr>
        <w:pStyle w:val="FootnoteText"/>
        <w:jc w:val="both"/>
        <w:rPr>
          <w:lang w:val="en-ZA"/>
        </w:rPr>
      </w:pPr>
      <w:r>
        <w:rPr>
          <w:rStyle w:val="FootnoteReference"/>
        </w:rPr>
        <w:footnoteRef/>
      </w:r>
      <w:r>
        <w:t xml:space="preserve"> </w:t>
      </w:r>
      <w:r>
        <w:rPr>
          <w:lang w:val="en-ZA"/>
        </w:rPr>
        <w:t>Clause 2(e) was a recordal that the parties are aware of the Moladora Trust agreement and accept the contents of that agreement.</w:t>
      </w:r>
    </w:p>
  </w:footnote>
  <w:footnote w:id="3">
    <w:p w:rsidR="004D222E" w:rsidRPr="00DC19A1" w:rsidRDefault="004D222E" w:rsidP="00A44E76">
      <w:pPr>
        <w:pStyle w:val="FootnoteText"/>
        <w:jc w:val="both"/>
        <w:rPr>
          <w:lang w:val="en-ZA"/>
        </w:rPr>
      </w:pPr>
      <w:r>
        <w:rPr>
          <w:rStyle w:val="FootnoteReference"/>
        </w:rPr>
        <w:footnoteRef/>
      </w:r>
      <w:r>
        <w:t xml:space="preserve"> </w:t>
      </w:r>
      <w:r w:rsidRPr="0035568E">
        <w:rPr>
          <w:i/>
        </w:rPr>
        <w:t>Owsianick v African Consolidated Theatres (Pty) Ltd</w:t>
      </w:r>
      <w:r>
        <w:t xml:space="preserve"> 1967 (3) SA 310 (A).</w:t>
      </w:r>
    </w:p>
  </w:footnote>
  <w:footnote w:id="4">
    <w:p w:rsidR="004D222E" w:rsidRPr="00DC19A1" w:rsidRDefault="004D222E" w:rsidP="00A44E76">
      <w:pPr>
        <w:pStyle w:val="FootnoteText"/>
        <w:jc w:val="both"/>
        <w:rPr>
          <w:lang w:val="en-ZA"/>
        </w:rPr>
      </w:pPr>
      <w:r>
        <w:rPr>
          <w:rStyle w:val="FootnoteReference"/>
        </w:rPr>
        <w:footnoteRef/>
      </w:r>
      <w:r>
        <w:t xml:space="preserve"> Ibid 316</w:t>
      </w:r>
      <w:r w:rsidR="00430A8F">
        <w:t>C-D</w:t>
      </w:r>
      <w:r>
        <w:t>.</w:t>
      </w:r>
    </w:p>
  </w:footnote>
  <w:footnote w:id="5">
    <w:p w:rsidR="004E56B3" w:rsidRPr="00F31E09" w:rsidRDefault="004E56B3" w:rsidP="00A44E76">
      <w:pPr>
        <w:pStyle w:val="FootnoteText"/>
        <w:jc w:val="both"/>
        <w:rPr>
          <w:lang w:val="en-ZA"/>
        </w:rPr>
      </w:pPr>
      <w:r>
        <w:rPr>
          <w:rStyle w:val="FootnoteReference"/>
        </w:rPr>
        <w:footnoteRef/>
      </w:r>
      <w:r>
        <w:t xml:space="preserve"> </w:t>
      </w:r>
      <w:r w:rsidR="00854047">
        <w:t xml:space="preserve">In </w:t>
      </w:r>
      <w:r w:rsidR="00854047" w:rsidRPr="00F31E09">
        <w:rPr>
          <w:i/>
        </w:rPr>
        <w:t>Dadabhay v Dadabhay and Another</w:t>
      </w:r>
      <w:r w:rsidR="00854047">
        <w:t xml:space="preserve"> 1981 (3) SA 1039 (A) at 1047 Holmes AJA said ‘The nominee shareholder takes his instructions from the beneficial shareholder.’ See also</w:t>
      </w:r>
      <w:r w:rsidR="00854047" w:rsidRPr="00F31E09">
        <w:rPr>
          <w:i/>
        </w:rPr>
        <w:t xml:space="preserve"> Smyth and Others v Investec Bank L</w:t>
      </w:r>
      <w:r w:rsidR="00716A71">
        <w:rPr>
          <w:i/>
        </w:rPr>
        <w:t>td</w:t>
      </w:r>
      <w:r w:rsidR="00854047" w:rsidRPr="00F31E09">
        <w:rPr>
          <w:i/>
        </w:rPr>
        <w:t xml:space="preserve"> and Another</w:t>
      </w:r>
      <w:r w:rsidR="00854047">
        <w:t xml:space="preserve"> [2017] ZASCA 147; 2018 (1) SA 494 (SCA) paras 21</w:t>
      </w:r>
      <w:r w:rsidR="00716A71">
        <w:t>-23.</w:t>
      </w:r>
      <w:r w:rsidR="00854047">
        <w:t xml:space="preserve"> </w:t>
      </w:r>
    </w:p>
  </w:footnote>
  <w:footnote w:id="6">
    <w:p w:rsidR="004E56B3" w:rsidRPr="00F31E09" w:rsidRDefault="004E56B3" w:rsidP="00A44E76">
      <w:pPr>
        <w:pStyle w:val="FootnoteText"/>
        <w:jc w:val="both"/>
        <w:rPr>
          <w:lang w:val="en-ZA"/>
        </w:rPr>
      </w:pPr>
      <w:r>
        <w:rPr>
          <w:rStyle w:val="FootnoteReference"/>
        </w:rPr>
        <w:footnoteRef/>
      </w:r>
      <w:r>
        <w:t xml:space="preserve"> </w:t>
      </w:r>
      <w:r w:rsidRPr="00F31E09">
        <w:rPr>
          <w:i/>
          <w:lang w:val="en-ZA"/>
        </w:rPr>
        <w:t>The Law of South Africa,</w:t>
      </w:r>
      <w:r>
        <w:rPr>
          <w:lang w:val="en-ZA"/>
        </w:rPr>
        <w:t xml:space="preserve"> Volume 1, Third Edition para 174.</w:t>
      </w:r>
    </w:p>
  </w:footnote>
  <w:footnote w:id="7">
    <w:p w:rsidR="004D222E" w:rsidRPr="00AA0F6A" w:rsidRDefault="004D222E" w:rsidP="00A44E76">
      <w:pPr>
        <w:pStyle w:val="FootnoteText"/>
        <w:jc w:val="both"/>
        <w:rPr>
          <w:lang w:val="en-ZA"/>
        </w:rPr>
      </w:pPr>
      <w:r>
        <w:rPr>
          <w:rStyle w:val="FootnoteReference"/>
        </w:rPr>
        <w:footnoteRef/>
      </w:r>
      <w:r>
        <w:t xml:space="preserve"> </w:t>
      </w:r>
      <w:r w:rsidRPr="0035568E">
        <w:rPr>
          <w:i/>
        </w:rPr>
        <w:t>Natal Joint Municipal Pension Fund v Endumeni Municipality</w:t>
      </w:r>
      <w:r>
        <w:t xml:space="preserve"> [2012] ZASCA 13</w:t>
      </w:r>
      <w:r w:rsidR="00840274">
        <w:t>; 2012 (4) SA 593 (SCA)</w:t>
      </w:r>
      <w:r>
        <w:t>.</w:t>
      </w:r>
    </w:p>
  </w:footnote>
  <w:footnote w:id="8">
    <w:p w:rsidR="004D222E" w:rsidRPr="00681589" w:rsidRDefault="004D222E" w:rsidP="00A44E76">
      <w:pPr>
        <w:pStyle w:val="FootnoteText"/>
        <w:jc w:val="both"/>
        <w:rPr>
          <w:lang w:val="en-ZA"/>
        </w:rPr>
      </w:pPr>
      <w:r>
        <w:rPr>
          <w:rStyle w:val="FootnoteReference"/>
        </w:rPr>
        <w:footnoteRef/>
      </w:r>
      <w:r>
        <w:t xml:space="preserve"> </w:t>
      </w:r>
      <w:r w:rsidR="00AF6E6E" w:rsidRPr="00AF6E6E">
        <w:rPr>
          <w:i/>
        </w:rPr>
        <w:t xml:space="preserve"> </w:t>
      </w:r>
      <w:r w:rsidR="00AF6E6E" w:rsidRPr="0035568E">
        <w:rPr>
          <w:i/>
        </w:rPr>
        <w:t>Natal Joint Municipal Pension Fund v Endumeni Municipality</w:t>
      </w:r>
      <w:r>
        <w:t xml:space="preserve"> para 18.</w:t>
      </w:r>
    </w:p>
  </w:footnote>
  <w:footnote w:id="9">
    <w:p w:rsidR="004D222E" w:rsidRPr="00213D59" w:rsidRDefault="004D222E" w:rsidP="00A44E76">
      <w:pPr>
        <w:pStyle w:val="FootnoteText"/>
        <w:jc w:val="both"/>
        <w:rPr>
          <w:lang w:val="en-ZA"/>
        </w:rPr>
      </w:pPr>
      <w:r>
        <w:rPr>
          <w:rStyle w:val="FootnoteReference"/>
        </w:rPr>
        <w:footnoteRef/>
      </w:r>
      <w:r>
        <w:t xml:space="preserve"> </w:t>
      </w:r>
      <w:r w:rsidRPr="0035568E">
        <w:rPr>
          <w:i/>
          <w:lang w:val="en-ZA"/>
        </w:rPr>
        <w:t>University of Johannesburg v Auckland Park Theological Seminary and Another</w:t>
      </w:r>
      <w:r>
        <w:rPr>
          <w:lang w:val="en-ZA"/>
        </w:rPr>
        <w:t xml:space="preserve"> </w:t>
      </w:r>
      <w:r w:rsidR="00297BB9">
        <w:rPr>
          <w:lang w:val="en-ZA"/>
        </w:rPr>
        <w:t xml:space="preserve">[2021] ZACC 13; </w:t>
      </w:r>
      <w:r>
        <w:rPr>
          <w:lang w:val="en-ZA"/>
        </w:rPr>
        <w:t>2021 (6) SA 1 (CC) para 65.</w:t>
      </w:r>
    </w:p>
  </w:footnote>
  <w:footnote w:id="10">
    <w:p w:rsidR="004D222E" w:rsidRPr="00316CE0" w:rsidRDefault="004D222E" w:rsidP="00A44E76">
      <w:pPr>
        <w:pStyle w:val="FootnoteText"/>
        <w:jc w:val="both"/>
        <w:rPr>
          <w:lang w:val="en-ZA"/>
        </w:rPr>
      </w:pPr>
      <w:r w:rsidRPr="0035568E">
        <w:rPr>
          <w:rStyle w:val="FootnoteReference"/>
          <w:i/>
        </w:rPr>
        <w:footnoteRef/>
      </w:r>
      <w:r w:rsidRPr="0035568E">
        <w:rPr>
          <w:i/>
        </w:rPr>
        <w:t xml:space="preserve"> </w:t>
      </w:r>
      <w:r w:rsidRPr="0035568E">
        <w:rPr>
          <w:i/>
          <w:lang w:val="en-ZA"/>
        </w:rPr>
        <w:t>Novartis SA (Pty) Ltd v Maphil Trading (Pty) Ltd</w:t>
      </w:r>
      <w:r>
        <w:rPr>
          <w:lang w:val="en-ZA"/>
        </w:rPr>
        <w:t xml:space="preserve"> </w:t>
      </w:r>
      <w:r w:rsidR="00297BB9">
        <w:rPr>
          <w:lang w:val="en-ZA"/>
        </w:rPr>
        <w:t xml:space="preserve">[2015] ZASCA 111; </w:t>
      </w:r>
      <w:r>
        <w:rPr>
          <w:lang w:val="en-ZA"/>
        </w:rPr>
        <w:t xml:space="preserve">2016 (1) SA 518 </w:t>
      </w:r>
      <w:r w:rsidR="00297BB9">
        <w:rPr>
          <w:lang w:val="en-ZA"/>
        </w:rPr>
        <w:t xml:space="preserve">(SCA) </w:t>
      </w:r>
      <w:r>
        <w:rPr>
          <w:lang w:val="en-ZA"/>
        </w:rPr>
        <w:t>para 28.</w:t>
      </w:r>
    </w:p>
  </w:footnote>
  <w:footnote w:id="11">
    <w:p w:rsidR="004D222E" w:rsidRPr="00DE501E" w:rsidRDefault="004D222E" w:rsidP="00A44E76">
      <w:pPr>
        <w:pStyle w:val="FootnoteText"/>
        <w:jc w:val="both"/>
        <w:rPr>
          <w:lang w:val="en-ZA"/>
        </w:rPr>
      </w:pPr>
      <w:r>
        <w:rPr>
          <w:rStyle w:val="FootnoteReference"/>
        </w:rPr>
        <w:footnoteRef/>
      </w:r>
      <w:r>
        <w:t xml:space="preserve"> </w:t>
      </w:r>
      <w:r w:rsidRPr="0035568E">
        <w:rPr>
          <w:i/>
        </w:rPr>
        <w:t>McGregor v Jordaan and Another</w:t>
      </w:r>
      <w:r>
        <w:t xml:space="preserve"> 1921 CPD 301.</w:t>
      </w:r>
    </w:p>
  </w:footnote>
  <w:footnote w:id="12">
    <w:p w:rsidR="004D222E" w:rsidRPr="00DE501E" w:rsidRDefault="004D222E" w:rsidP="00A44E76">
      <w:pPr>
        <w:pStyle w:val="FootnoteText"/>
        <w:jc w:val="both"/>
        <w:rPr>
          <w:lang w:val="en-ZA"/>
        </w:rPr>
      </w:pPr>
      <w:r>
        <w:rPr>
          <w:rStyle w:val="FootnoteReference"/>
        </w:rPr>
        <w:footnoteRef/>
      </w:r>
      <w:r>
        <w:t xml:space="preserve"> </w:t>
      </w:r>
      <w:r>
        <w:rPr>
          <w:lang w:val="en-ZA"/>
        </w:rPr>
        <w:t>Ibid at 309.</w:t>
      </w:r>
    </w:p>
  </w:footnote>
  <w:footnote w:id="13">
    <w:p w:rsidR="004D222E" w:rsidRPr="006E05D4" w:rsidRDefault="004D222E" w:rsidP="00A44E76">
      <w:pPr>
        <w:pStyle w:val="FootnoteText"/>
        <w:jc w:val="both"/>
        <w:rPr>
          <w:lang w:val="en-ZA"/>
        </w:rPr>
      </w:pPr>
      <w:r>
        <w:rPr>
          <w:rStyle w:val="FootnoteReference"/>
        </w:rPr>
        <w:footnoteRef/>
      </w:r>
      <w:r>
        <w:t xml:space="preserve"> </w:t>
      </w:r>
      <w:r>
        <w:rPr>
          <w:lang w:val="en-ZA"/>
        </w:rPr>
        <w:t>T Naud</w:t>
      </w:r>
      <w:r>
        <w:rPr>
          <w:rFonts w:cstheme="minorHAnsi"/>
          <w:lang w:val="en-ZA"/>
        </w:rPr>
        <w:t>é, ‘Which transactions trigger a right of first refusal or preferential right to contract?’ (2006) 123</w:t>
      </w:r>
      <w:r w:rsidRPr="00716A71">
        <w:rPr>
          <w:rFonts w:cstheme="minorHAnsi"/>
          <w:i/>
          <w:lang w:val="en-ZA"/>
        </w:rPr>
        <w:t xml:space="preserve"> SALJ</w:t>
      </w:r>
      <w:r>
        <w:rPr>
          <w:rFonts w:cstheme="minorHAnsi"/>
          <w:lang w:val="en-ZA"/>
        </w:rPr>
        <w:t xml:space="preserve"> 461</w:t>
      </w:r>
      <w:r w:rsidR="00023C8F">
        <w:rPr>
          <w:rFonts w:cstheme="minorHAnsi"/>
          <w:lang w:val="en-ZA"/>
        </w:rPr>
        <w:t>.</w:t>
      </w:r>
    </w:p>
  </w:footnote>
  <w:footnote w:id="14">
    <w:p w:rsidR="004D222E" w:rsidRPr="00AE6B9A" w:rsidRDefault="004D222E" w:rsidP="00A44E76">
      <w:pPr>
        <w:pStyle w:val="FootnoteText"/>
        <w:jc w:val="both"/>
        <w:rPr>
          <w:lang w:val="en-ZA"/>
        </w:rPr>
      </w:pPr>
      <w:r>
        <w:rPr>
          <w:rStyle w:val="FootnoteReference"/>
        </w:rPr>
        <w:footnoteRef/>
      </w:r>
      <w:r>
        <w:t xml:space="preserve"> </w:t>
      </w:r>
      <w:r w:rsidRPr="0035568E">
        <w:rPr>
          <w:i/>
          <w:lang w:val="en-ZA"/>
        </w:rPr>
        <w:t>Transvaal Silver Mines v Jaobs Le Grange and Fox</w:t>
      </w:r>
      <w:r>
        <w:rPr>
          <w:lang w:val="en-ZA"/>
        </w:rPr>
        <w:t xml:space="preserve"> 1891 4 SAR 116.</w:t>
      </w:r>
    </w:p>
  </w:footnote>
  <w:footnote w:id="15">
    <w:p w:rsidR="004D222E" w:rsidRPr="006E05D4" w:rsidRDefault="004D222E" w:rsidP="00A44E76">
      <w:pPr>
        <w:pStyle w:val="FootnoteText"/>
        <w:jc w:val="both"/>
        <w:rPr>
          <w:lang w:val="en-ZA"/>
        </w:rPr>
      </w:pPr>
      <w:r>
        <w:rPr>
          <w:rStyle w:val="FootnoteReference"/>
        </w:rPr>
        <w:footnoteRef/>
      </w:r>
      <w:r>
        <w:t xml:space="preserve"> </w:t>
      </w:r>
      <w:r w:rsidR="00023C8F">
        <w:t>Footnote 11</w:t>
      </w:r>
      <w:r>
        <w:t xml:space="preserve"> at 493.</w:t>
      </w:r>
    </w:p>
  </w:footnote>
  <w:footnote w:id="16">
    <w:p w:rsidR="004D222E" w:rsidRPr="006E05D4" w:rsidRDefault="004D222E" w:rsidP="00A44E76">
      <w:pPr>
        <w:pStyle w:val="FootnoteText"/>
        <w:jc w:val="both"/>
        <w:rPr>
          <w:lang w:val="en-ZA"/>
        </w:rPr>
      </w:pPr>
      <w:r>
        <w:rPr>
          <w:rStyle w:val="FootnoteReference"/>
        </w:rPr>
        <w:footnoteRef/>
      </w:r>
      <w:r>
        <w:t xml:space="preserve"> Ibid 494.</w:t>
      </w:r>
    </w:p>
  </w:footnote>
  <w:footnote w:id="17">
    <w:p w:rsidR="004D222E" w:rsidRPr="006306A6" w:rsidRDefault="004D222E" w:rsidP="00A44E76">
      <w:pPr>
        <w:pStyle w:val="FootnoteText"/>
        <w:jc w:val="both"/>
        <w:rPr>
          <w:lang w:val="en-ZA"/>
        </w:rPr>
      </w:pPr>
      <w:r>
        <w:rPr>
          <w:rStyle w:val="FootnoteReference"/>
        </w:rPr>
        <w:footnoteRef/>
      </w:r>
      <w:r>
        <w:t xml:space="preserve"> </w:t>
      </w:r>
      <w:r w:rsidRPr="0035568E">
        <w:rPr>
          <w:i/>
          <w:lang w:val="en-ZA"/>
        </w:rPr>
        <w:t>Pushka v Magnowski Estate</w:t>
      </w:r>
      <w:r>
        <w:rPr>
          <w:lang w:val="en-ZA"/>
        </w:rPr>
        <w:t xml:space="preserve"> (1983), 23 Man. R. (2d) 189 (QB).</w:t>
      </w:r>
    </w:p>
  </w:footnote>
  <w:footnote w:id="18">
    <w:p w:rsidR="004D222E" w:rsidRPr="006306A6" w:rsidRDefault="004D222E" w:rsidP="00A44E76">
      <w:pPr>
        <w:pStyle w:val="FootnoteText"/>
        <w:jc w:val="both"/>
        <w:rPr>
          <w:lang w:val="en-ZA"/>
        </w:rPr>
      </w:pPr>
      <w:r>
        <w:rPr>
          <w:rStyle w:val="FootnoteReference"/>
        </w:rPr>
        <w:footnoteRef/>
      </w:r>
      <w:r>
        <w:t xml:space="preserve"> </w:t>
      </w:r>
      <w:r>
        <w:rPr>
          <w:lang w:val="en-ZA"/>
        </w:rPr>
        <w:t>Ibid at 194.</w:t>
      </w:r>
    </w:p>
  </w:footnote>
  <w:footnote w:id="19">
    <w:p w:rsidR="004D222E" w:rsidRPr="00297921" w:rsidRDefault="004D222E" w:rsidP="00A44E76">
      <w:pPr>
        <w:pStyle w:val="FootnoteText"/>
        <w:jc w:val="both"/>
        <w:rPr>
          <w:lang w:val="en-ZA"/>
        </w:rPr>
      </w:pPr>
      <w:r>
        <w:rPr>
          <w:rStyle w:val="FootnoteReference"/>
        </w:rPr>
        <w:footnoteRef/>
      </w:r>
      <w:r>
        <w:t xml:space="preserve"> </w:t>
      </w:r>
      <w:r w:rsidRPr="0035568E">
        <w:rPr>
          <w:i/>
          <w:lang w:val="en-ZA"/>
        </w:rPr>
        <w:t>Van Aardt &amp; Another v Weehuizen &amp; Others</w:t>
      </w:r>
      <w:r>
        <w:rPr>
          <w:lang w:val="en-ZA"/>
        </w:rPr>
        <w:t xml:space="preserve"> 2006 (4) SA 401 (N) para 16.</w:t>
      </w:r>
    </w:p>
  </w:footnote>
  <w:footnote w:id="20">
    <w:p w:rsidR="004D222E" w:rsidRPr="007434AC" w:rsidRDefault="004D222E" w:rsidP="00A44E76">
      <w:pPr>
        <w:pStyle w:val="FootnoteText"/>
        <w:jc w:val="both"/>
        <w:rPr>
          <w:lang w:val="en-ZA"/>
        </w:rPr>
      </w:pPr>
      <w:r>
        <w:rPr>
          <w:rStyle w:val="FootnoteReference"/>
        </w:rPr>
        <w:footnoteRef/>
      </w:r>
      <w:r>
        <w:t xml:space="preserve"> </w:t>
      </w:r>
      <w:r w:rsidRPr="0035568E">
        <w:rPr>
          <w:i/>
          <w:lang w:val="en-ZA"/>
        </w:rPr>
        <w:t>Associated South African Bakeries (Pty) Ltd v Oryx &amp; Verenigte B</w:t>
      </w:r>
      <w:r w:rsidRPr="0035568E">
        <w:rPr>
          <w:rFonts w:cstheme="minorHAnsi"/>
          <w:i/>
          <w:lang w:val="en-ZA"/>
        </w:rPr>
        <w:t>ӓ</w:t>
      </w:r>
      <w:r w:rsidRPr="0035568E">
        <w:rPr>
          <w:i/>
          <w:lang w:val="en-ZA"/>
        </w:rPr>
        <w:t>ckereien (Pty) Ltd en Andere</w:t>
      </w:r>
      <w:r>
        <w:rPr>
          <w:lang w:val="en-ZA"/>
        </w:rPr>
        <w:t xml:space="preserve"> 1982 (3) SA 893 (A)</w:t>
      </w:r>
      <w:r w:rsidR="00181F86">
        <w:rPr>
          <w:lang w:val="en-ZA"/>
        </w:rPr>
        <w:t xml:space="preserve"> (</w:t>
      </w:r>
      <w:r w:rsidR="00181F86" w:rsidRPr="002411AA">
        <w:rPr>
          <w:i/>
          <w:iCs/>
          <w:lang w:val="en-ZA"/>
        </w:rPr>
        <w:t>O</w:t>
      </w:r>
      <w:r w:rsidR="00CE63DF" w:rsidRPr="002411AA">
        <w:rPr>
          <w:i/>
          <w:iCs/>
          <w:lang w:val="en-ZA"/>
        </w:rPr>
        <w:t>r</w:t>
      </w:r>
      <w:r w:rsidR="00181F86" w:rsidRPr="002411AA">
        <w:rPr>
          <w:i/>
          <w:iCs/>
          <w:lang w:val="en-ZA"/>
        </w:rPr>
        <w:t>yx</w:t>
      </w:r>
      <w:r w:rsidR="00181F86">
        <w:rPr>
          <w:lang w:val="en-ZA"/>
        </w:rPr>
        <w:t>)</w:t>
      </w:r>
      <w:r>
        <w:rPr>
          <w:lang w:val="en-ZA"/>
        </w:rPr>
        <w:t>.</w:t>
      </w:r>
    </w:p>
  </w:footnote>
  <w:footnote w:id="21">
    <w:p w:rsidR="004D222E" w:rsidRPr="00BE0E2F" w:rsidRDefault="004D222E" w:rsidP="00A44E76">
      <w:pPr>
        <w:pStyle w:val="FootnoteText"/>
        <w:jc w:val="both"/>
        <w:rPr>
          <w:lang w:val="en-ZA"/>
        </w:rPr>
      </w:pPr>
      <w:r>
        <w:rPr>
          <w:rStyle w:val="FootnoteReference"/>
        </w:rPr>
        <w:footnoteRef/>
      </w:r>
      <w:r>
        <w:t xml:space="preserve"> </w:t>
      </w:r>
      <w:r>
        <w:rPr>
          <w:lang w:val="en-ZA"/>
        </w:rPr>
        <w:t xml:space="preserve">Ibid at 907E. In </w:t>
      </w:r>
      <w:r w:rsidRPr="0035568E">
        <w:rPr>
          <w:i/>
          <w:lang w:val="en-ZA"/>
        </w:rPr>
        <w:t>Mokone v Tassos Properties CC</w:t>
      </w:r>
      <w:r>
        <w:rPr>
          <w:lang w:val="en-ZA"/>
        </w:rPr>
        <w:t xml:space="preserve"> 2017 (5) SA 456 (CC) para 57 The Constitutional Court said: ‘The idea of a </w:t>
      </w:r>
      <w:r w:rsidR="00E9206D">
        <w:rPr>
          <w:lang w:val="en-ZA"/>
        </w:rPr>
        <w:t>“</w:t>
      </w:r>
      <w:r>
        <w:rPr>
          <w:lang w:val="en-ZA"/>
        </w:rPr>
        <w:t>unilateral declaration of intent</w:t>
      </w:r>
      <w:r w:rsidR="00E9206D">
        <w:rPr>
          <w:lang w:val="en-ZA"/>
        </w:rPr>
        <w:t>”</w:t>
      </w:r>
      <w:r>
        <w:rPr>
          <w:lang w:val="en-ZA"/>
        </w:rPr>
        <w:t xml:space="preserve"> is understandable in the circumstances. It is consonant with the notion that, subject to whatever the law may be held to be in ordering or not ordering specific performance, the grantor of the right is liable to coercion.’ </w:t>
      </w:r>
    </w:p>
  </w:footnote>
  <w:footnote w:id="22">
    <w:p w:rsidR="004D222E" w:rsidRPr="0033726F" w:rsidRDefault="004D222E" w:rsidP="00A44E76">
      <w:pPr>
        <w:pStyle w:val="FootnoteText"/>
        <w:jc w:val="both"/>
        <w:rPr>
          <w:lang w:val="en-ZA"/>
        </w:rPr>
      </w:pPr>
      <w:r>
        <w:rPr>
          <w:rStyle w:val="FootnoteReference"/>
        </w:rPr>
        <w:footnoteRef/>
      </w:r>
      <w:r w:rsidRPr="00181F86">
        <w:rPr>
          <w:i/>
        </w:rPr>
        <w:t xml:space="preserve"> </w:t>
      </w:r>
      <w:r w:rsidR="00181F86" w:rsidRPr="00181F86">
        <w:rPr>
          <w:i/>
          <w:lang w:val="en-ZA"/>
        </w:rPr>
        <w:t>O</w:t>
      </w:r>
      <w:r w:rsidR="00CE63DF">
        <w:rPr>
          <w:i/>
          <w:lang w:val="en-ZA"/>
        </w:rPr>
        <w:t>ry</w:t>
      </w:r>
      <w:r w:rsidR="00181F86" w:rsidRPr="00181F86">
        <w:rPr>
          <w:i/>
          <w:lang w:val="en-ZA"/>
        </w:rPr>
        <w:t>x</w:t>
      </w:r>
      <w:r>
        <w:rPr>
          <w:lang w:val="en-ZA"/>
        </w:rPr>
        <w:t xml:space="preserve"> at 919C-E. </w:t>
      </w:r>
    </w:p>
  </w:footnote>
  <w:footnote w:id="23">
    <w:p w:rsidR="00CE63DF" w:rsidRPr="00CE63DF" w:rsidRDefault="00CE63DF" w:rsidP="00A44E76">
      <w:pPr>
        <w:pStyle w:val="FootnoteText"/>
        <w:jc w:val="both"/>
        <w:rPr>
          <w:lang w:val="en-ZA"/>
        </w:rPr>
      </w:pPr>
      <w:r>
        <w:rPr>
          <w:rStyle w:val="FootnoteReference"/>
        </w:rPr>
        <w:footnoteRef/>
      </w:r>
      <w:r>
        <w:t xml:space="preserve"> </w:t>
      </w:r>
      <w:r w:rsidRPr="0035568E">
        <w:rPr>
          <w:i/>
          <w:lang w:val="en-ZA"/>
        </w:rPr>
        <w:t>Hirschowitz v Moolman and Others</w:t>
      </w:r>
      <w:r>
        <w:rPr>
          <w:lang w:val="en-ZA"/>
        </w:rPr>
        <w:t xml:space="preserve"> </w:t>
      </w:r>
      <w:r w:rsidR="000049CC">
        <w:rPr>
          <w:lang w:val="en-ZA"/>
        </w:rPr>
        <w:t xml:space="preserve">[1985] ZASCA 38; </w:t>
      </w:r>
      <w:r>
        <w:rPr>
          <w:lang w:val="en-ZA"/>
        </w:rPr>
        <w:t>1985 (3) SA 739 (A)</w:t>
      </w:r>
      <w:r w:rsidR="00E9206D">
        <w:rPr>
          <w:lang w:val="en-ZA"/>
        </w:rPr>
        <w:t>.</w:t>
      </w:r>
    </w:p>
  </w:footnote>
  <w:footnote w:id="24">
    <w:p w:rsidR="004D222E" w:rsidRPr="006F38DF" w:rsidRDefault="004D222E" w:rsidP="00A44E76">
      <w:pPr>
        <w:pStyle w:val="FootnoteText"/>
        <w:jc w:val="both"/>
        <w:rPr>
          <w:lang w:val="en-ZA"/>
        </w:rPr>
      </w:pPr>
      <w:r>
        <w:rPr>
          <w:rStyle w:val="FootnoteReference"/>
        </w:rPr>
        <w:footnoteRef/>
      </w:r>
      <w:r>
        <w:t xml:space="preserve"> </w:t>
      </w:r>
      <w:r w:rsidR="000049CC">
        <w:rPr>
          <w:lang w:val="en-ZA"/>
        </w:rPr>
        <w:t>Ibid a</w:t>
      </w:r>
      <w:r>
        <w:rPr>
          <w:lang w:val="en-ZA"/>
        </w:rPr>
        <w:t>t 776D.</w:t>
      </w:r>
    </w:p>
  </w:footnote>
  <w:footnote w:id="25">
    <w:p w:rsidR="00CE329E" w:rsidRPr="00CE329E" w:rsidRDefault="00CE329E" w:rsidP="00A44E76">
      <w:pPr>
        <w:pStyle w:val="FootnoteText"/>
        <w:jc w:val="both"/>
        <w:rPr>
          <w:lang w:val="en-ZA"/>
        </w:rPr>
      </w:pPr>
      <w:r>
        <w:rPr>
          <w:rStyle w:val="FootnoteReference"/>
        </w:rPr>
        <w:footnoteRef/>
      </w:r>
      <w:r>
        <w:t xml:space="preserve"> </w:t>
      </w:r>
      <w:r w:rsidRPr="00CE329E">
        <w:rPr>
          <w:i/>
          <w:lang w:val="en-ZA"/>
        </w:rPr>
        <w:t>Benson v SA Mutual Life Assurance Society</w:t>
      </w:r>
      <w:r>
        <w:rPr>
          <w:lang w:val="en-ZA"/>
        </w:rPr>
        <w:t xml:space="preserve"> 1986 (1) SA 776 (A).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311182"/>
      <w:docPartObj>
        <w:docPartGallery w:val="Page Numbers (Top of Page)"/>
        <w:docPartUnique/>
      </w:docPartObj>
    </w:sdtPr>
    <w:sdtEndPr>
      <w:rPr>
        <w:noProof/>
        <w:sz w:val="24"/>
      </w:rPr>
    </w:sdtEndPr>
    <w:sdtContent>
      <w:p w:rsidR="007B56C9" w:rsidRPr="00A44E76" w:rsidRDefault="007B56C9">
        <w:pPr>
          <w:pStyle w:val="Header"/>
          <w:jc w:val="right"/>
          <w:rPr>
            <w:sz w:val="24"/>
          </w:rPr>
        </w:pPr>
        <w:r w:rsidRPr="00A44E76">
          <w:rPr>
            <w:sz w:val="24"/>
          </w:rPr>
          <w:fldChar w:fldCharType="begin"/>
        </w:r>
        <w:r w:rsidRPr="00A44E76">
          <w:rPr>
            <w:sz w:val="24"/>
          </w:rPr>
          <w:instrText xml:space="preserve"> PAGE   \* MERGEFORMAT </w:instrText>
        </w:r>
        <w:r w:rsidRPr="00A44E76">
          <w:rPr>
            <w:sz w:val="24"/>
          </w:rPr>
          <w:fldChar w:fldCharType="separate"/>
        </w:r>
        <w:r w:rsidR="00E85033">
          <w:rPr>
            <w:noProof/>
            <w:sz w:val="24"/>
          </w:rPr>
          <w:t>2</w:t>
        </w:r>
        <w:r w:rsidRPr="00A44E76">
          <w:rPr>
            <w:noProof/>
            <w:sz w:val="24"/>
          </w:rPr>
          <w:fldChar w:fldCharType="end"/>
        </w:r>
      </w:p>
    </w:sdtContent>
  </w:sdt>
  <w:p w:rsidR="007B56C9" w:rsidRDefault="007B56C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477"/>
    <w:multiLevelType w:val="hybridMultilevel"/>
    <w:tmpl w:val="FE1878B0"/>
    <w:lvl w:ilvl="0" w:tplc="70FCE4B8">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5DB53F0"/>
    <w:multiLevelType w:val="hybridMultilevel"/>
    <w:tmpl w:val="B314925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88971FD"/>
    <w:multiLevelType w:val="hybridMultilevel"/>
    <w:tmpl w:val="DBA60898"/>
    <w:lvl w:ilvl="0" w:tplc="250823B2">
      <w:start w:val="2"/>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 w15:restartNumberingAfterBreak="0">
    <w:nsid w:val="21601377"/>
    <w:multiLevelType w:val="hybridMultilevel"/>
    <w:tmpl w:val="2F8432B6"/>
    <w:lvl w:ilvl="0" w:tplc="33F21DE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C950F5E"/>
    <w:multiLevelType w:val="hybridMultilevel"/>
    <w:tmpl w:val="773CA538"/>
    <w:lvl w:ilvl="0" w:tplc="3A00607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2BB7727"/>
    <w:multiLevelType w:val="hybridMultilevel"/>
    <w:tmpl w:val="66E49C00"/>
    <w:lvl w:ilvl="0" w:tplc="9FC25188">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2A748DC"/>
    <w:multiLevelType w:val="hybridMultilevel"/>
    <w:tmpl w:val="5BCAC40A"/>
    <w:lvl w:ilvl="0" w:tplc="6F1E2D9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17251C6"/>
    <w:multiLevelType w:val="hybridMultilevel"/>
    <w:tmpl w:val="5FA83D2C"/>
    <w:lvl w:ilvl="0" w:tplc="6D16499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9FF4F14"/>
    <w:multiLevelType w:val="hybridMultilevel"/>
    <w:tmpl w:val="24E48868"/>
    <w:lvl w:ilvl="0" w:tplc="78EED5F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5F7312EC"/>
    <w:multiLevelType w:val="hybridMultilevel"/>
    <w:tmpl w:val="4CB057AA"/>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61CE5E3B"/>
    <w:multiLevelType w:val="hybridMultilevel"/>
    <w:tmpl w:val="A0EE4AB6"/>
    <w:lvl w:ilvl="0" w:tplc="E3EC8E6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68AF5BFC"/>
    <w:multiLevelType w:val="hybridMultilevel"/>
    <w:tmpl w:val="7A36EA82"/>
    <w:lvl w:ilvl="0" w:tplc="F55C8B3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B1603A5"/>
    <w:multiLevelType w:val="hybridMultilevel"/>
    <w:tmpl w:val="24E48868"/>
    <w:lvl w:ilvl="0" w:tplc="78EED5F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9"/>
  </w:num>
  <w:num w:numId="2">
    <w:abstractNumId w:val="1"/>
  </w:num>
  <w:num w:numId="3">
    <w:abstractNumId w:val="10"/>
  </w:num>
  <w:num w:numId="4">
    <w:abstractNumId w:val="8"/>
  </w:num>
  <w:num w:numId="5">
    <w:abstractNumId w:val="12"/>
  </w:num>
  <w:num w:numId="6">
    <w:abstractNumId w:val="6"/>
  </w:num>
  <w:num w:numId="7">
    <w:abstractNumId w:val="4"/>
  </w:num>
  <w:num w:numId="8">
    <w:abstractNumId w:val="2"/>
  </w:num>
  <w:num w:numId="9">
    <w:abstractNumId w:val="5"/>
  </w:num>
  <w:num w:numId="10">
    <w:abstractNumId w:val="0"/>
  </w:num>
  <w:num w:numId="11">
    <w:abstractNumId w:val="1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9DD"/>
    <w:rsid w:val="0000191A"/>
    <w:rsid w:val="000049CC"/>
    <w:rsid w:val="00014FCE"/>
    <w:rsid w:val="00020A04"/>
    <w:rsid w:val="00023C8F"/>
    <w:rsid w:val="00024F7E"/>
    <w:rsid w:val="00026325"/>
    <w:rsid w:val="00037E7C"/>
    <w:rsid w:val="000400FD"/>
    <w:rsid w:val="00047CB6"/>
    <w:rsid w:val="000616F3"/>
    <w:rsid w:val="0006620E"/>
    <w:rsid w:val="0008382B"/>
    <w:rsid w:val="00084A34"/>
    <w:rsid w:val="000908F4"/>
    <w:rsid w:val="00091C77"/>
    <w:rsid w:val="000A02C3"/>
    <w:rsid w:val="000D56F5"/>
    <w:rsid w:val="00102DE2"/>
    <w:rsid w:val="00112F6B"/>
    <w:rsid w:val="00120968"/>
    <w:rsid w:val="00132916"/>
    <w:rsid w:val="001354C7"/>
    <w:rsid w:val="00142412"/>
    <w:rsid w:val="00147F85"/>
    <w:rsid w:val="00150836"/>
    <w:rsid w:val="001732F2"/>
    <w:rsid w:val="00173760"/>
    <w:rsid w:val="0018069D"/>
    <w:rsid w:val="00181F86"/>
    <w:rsid w:val="00184CFA"/>
    <w:rsid w:val="001B0D36"/>
    <w:rsid w:val="001B15DC"/>
    <w:rsid w:val="001B42C9"/>
    <w:rsid w:val="001D5EEE"/>
    <w:rsid w:val="001E6637"/>
    <w:rsid w:val="001E7C82"/>
    <w:rsid w:val="001F197E"/>
    <w:rsid w:val="001F6B5D"/>
    <w:rsid w:val="00205978"/>
    <w:rsid w:val="00213352"/>
    <w:rsid w:val="00225D12"/>
    <w:rsid w:val="002411AA"/>
    <w:rsid w:val="002506EA"/>
    <w:rsid w:val="00256D02"/>
    <w:rsid w:val="00260836"/>
    <w:rsid w:val="00273F1C"/>
    <w:rsid w:val="002757D3"/>
    <w:rsid w:val="002777CC"/>
    <w:rsid w:val="00283FBA"/>
    <w:rsid w:val="00297BB9"/>
    <w:rsid w:val="002A50EB"/>
    <w:rsid w:val="002B14EE"/>
    <w:rsid w:val="002B78CF"/>
    <w:rsid w:val="002D52B7"/>
    <w:rsid w:val="002E52E7"/>
    <w:rsid w:val="002F3FA7"/>
    <w:rsid w:val="00300074"/>
    <w:rsid w:val="00310829"/>
    <w:rsid w:val="00313C29"/>
    <w:rsid w:val="003341B3"/>
    <w:rsid w:val="00337261"/>
    <w:rsid w:val="0035568E"/>
    <w:rsid w:val="00357AA1"/>
    <w:rsid w:val="00396CA9"/>
    <w:rsid w:val="003A092A"/>
    <w:rsid w:val="003C3FE9"/>
    <w:rsid w:val="0040703D"/>
    <w:rsid w:val="0040728F"/>
    <w:rsid w:val="004147E4"/>
    <w:rsid w:val="004259EA"/>
    <w:rsid w:val="00430A8F"/>
    <w:rsid w:val="00433949"/>
    <w:rsid w:val="00454DAF"/>
    <w:rsid w:val="004706EA"/>
    <w:rsid w:val="00480F88"/>
    <w:rsid w:val="00484873"/>
    <w:rsid w:val="00487F78"/>
    <w:rsid w:val="004904C4"/>
    <w:rsid w:val="004C7EF7"/>
    <w:rsid w:val="004D222E"/>
    <w:rsid w:val="004E56B3"/>
    <w:rsid w:val="004F6772"/>
    <w:rsid w:val="00505925"/>
    <w:rsid w:val="005157A9"/>
    <w:rsid w:val="00516490"/>
    <w:rsid w:val="00517373"/>
    <w:rsid w:val="00525C86"/>
    <w:rsid w:val="005365C3"/>
    <w:rsid w:val="00547446"/>
    <w:rsid w:val="005714A0"/>
    <w:rsid w:val="005726DC"/>
    <w:rsid w:val="005800D4"/>
    <w:rsid w:val="00594BB5"/>
    <w:rsid w:val="005A2481"/>
    <w:rsid w:val="005A2DCF"/>
    <w:rsid w:val="005B59F6"/>
    <w:rsid w:val="005C0AB0"/>
    <w:rsid w:val="005D78C7"/>
    <w:rsid w:val="005F121A"/>
    <w:rsid w:val="005F6BD5"/>
    <w:rsid w:val="0060386D"/>
    <w:rsid w:val="0062677B"/>
    <w:rsid w:val="006313E7"/>
    <w:rsid w:val="006321D2"/>
    <w:rsid w:val="006469BC"/>
    <w:rsid w:val="00654CBB"/>
    <w:rsid w:val="00670C82"/>
    <w:rsid w:val="0067107B"/>
    <w:rsid w:val="00677901"/>
    <w:rsid w:val="00685DB4"/>
    <w:rsid w:val="0069053C"/>
    <w:rsid w:val="00695D7D"/>
    <w:rsid w:val="0069732F"/>
    <w:rsid w:val="006A3099"/>
    <w:rsid w:val="006B7B91"/>
    <w:rsid w:val="006B7D2B"/>
    <w:rsid w:val="006C182C"/>
    <w:rsid w:val="006C74B2"/>
    <w:rsid w:val="006E7272"/>
    <w:rsid w:val="006F1F66"/>
    <w:rsid w:val="006F6179"/>
    <w:rsid w:val="00710386"/>
    <w:rsid w:val="00713E4F"/>
    <w:rsid w:val="00716A71"/>
    <w:rsid w:val="00732778"/>
    <w:rsid w:val="007361A2"/>
    <w:rsid w:val="0074586D"/>
    <w:rsid w:val="00747C5C"/>
    <w:rsid w:val="00772768"/>
    <w:rsid w:val="007767B6"/>
    <w:rsid w:val="007B56C9"/>
    <w:rsid w:val="007C4AF0"/>
    <w:rsid w:val="007C4F42"/>
    <w:rsid w:val="007E1015"/>
    <w:rsid w:val="00807762"/>
    <w:rsid w:val="008376F0"/>
    <w:rsid w:val="008379BE"/>
    <w:rsid w:val="00840274"/>
    <w:rsid w:val="008457AC"/>
    <w:rsid w:val="00854047"/>
    <w:rsid w:val="00854D16"/>
    <w:rsid w:val="00864CE2"/>
    <w:rsid w:val="00882336"/>
    <w:rsid w:val="00882426"/>
    <w:rsid w:val="00882DA7"/>
    <w:rsid w:val="00892474"/>
    <w:rsid w:val="008A6976"/>
    <w:rsid w:val="008B1D19"/>
    <w:rsid w:val="008B22DC"/>
    <w:rsid w:val="008B6FE4"/>
    <w:rsid w:val="008D3592"/>
    <w:rsid w:val="008E6CA6"/>
    <w:rsid w:val="009018B4"/>
    <w:rsid w:val="0091142E"/>
    <w:rsid w:val="00912414"/>
    <w:rsid w:val="00922C0A"/>
    <w:rsid w:val="00930A78"/>
    <w:rsid w:val="00935CD1"/>
    <w:rsid w:val="0094688C"/>
    <w:rsid w:val="00954024"/>
    <w:rsid w:val="00963DDF"/>
    <w:rsid w:val="009719DB"/>
    <w:rsid w:val="00972916"/>
    <w:rsid w:val="00985730"/>
    <w:rsid w:val="00986A63"/>
    <w:rsid w:val="009A160E"/>
    <w:rsid w:val="009B5E46"/>
    <w:rsid w:val="009B5F39"/>
    <w:rsid w:val="009C591A"/>
    <w:rsid w:val="009E7DEA"/>
    <w:rsid w:val="00A12F8F"/>
    <w:rsid w:val="00A2556F"/>
    <w:rsid w:val="00A339DD"/>
    <w:rsid w:val="00A340E1"/>
    <w:rsid w:val="00A34945"/>
    <w:rsid w:val="00A44E76"/>
    <w:rsid w:val="00A67544"/>
    <w:rsid w:val="00A9280C"/>
    <w:rsid w:val="00AC26F1"/>
    <w:rsid w:val="00AD27CF"/>
    <w:rsid w:val="00AE33AE"/>
    <w:rsid w:val="00AF0304"/>
    <w:rsid w:val="00AF18C7"/>
    <w:rsid w:val="00AF199F"/>
    <w:rsid w:val="00AF6E6E"/>
    <w:rsid w:val="00B03BF3"/>
    <w:rsid w:val="00B05053"/>
    <w:rsid w:val="00B07E9C"/>
    <w:rsid w:val="00B14A11"/>
    <w:rsid w:val="00B22619"/>
    <w:rsid w:val="00B23692"/>
    <w:rsid w:val="00B33399"/>
    <w:rsid w:val="00B36F92"/>
    <w:rsid w:val="00B438C6"/>
    <w:rsid w:val="00B5756E"/>
    <w:rsid w:val="00B60293"/>
    <w:rsid w:val="00B75A93"/>
    <w:rsid w:val="00B95027"/>
    <w:rsid w:val="00B95F38"/>
    <w:rsid w:val="00BC440B"/>
    <w:rsid w:val="00BF5B9C"/>
    <w:rsid w:val="00C0073C"/>
    <w:rsid w:val="00C200A1"/>
    <w:rsid w:val="00C57B0A"/>
    <w:rsid w:val="00C67268"/>
    <w:rsid w:val="00C71842"/>
    <w:rsid w:val="00C86183"/>
    <w:rsid w:val="00C97AB5"/>
    <w:rsid w:val="00CA01CC"/>
    <w:rsid w:val="00CA4229"/>
    <w:rsid w:val="00CD7E1A"/>
    <w:rsid w:val="00CE329E"/>
    <w:rsid w:val="00CE56B2"/>
    <w:rsid w:val="00CE63DF"/>
    <w:rsid w:val="00D224B6"/>
    <w:rsid w:val="00D2414D"/>
    <w:rsid w:val="00D33F9B"/>
    <w:rsid w:val="00D6006D"/>
    <w:rsid w:val="00D94DD2"/>
    <w:rsid w:val="00DB6004"/>
    <w:rsid w:val="00DD2A27"/>
    <w:rsid w:val="00DE1C97"/>
    <w:rsid w:val="00DF38BA"/>
    <w:rsid w:val="00E064DB"/>
    <w:rsid w:val="00E0773B"/>
    <w:rsid w:val="00E14275"/>
    <w:rsid w:val="00E21FBC"/>
    <w:rsid w:val="00E24AF2"/>
    <w:rsid w:val="00E4237D"/>
    <w:rsid w:val="00E46B27"/>
    <w:rsid w:val="00E60F34"/>
    <w:rsid w:val="00E61BF5"/>
    <w:rsid w:val="00E85033"/>
    <w:rsid w:val="00E9206D"/>
    <w:rsid w:val="00EA0693"/>
    <w:rsid w:val="00EB0841"/>
    <w:rsid w:val="00EC5774"/>
    <w:rsid w:val="00ED7030"/>
    <w:rsid w:val="00EE7FEB"/>
    <w:rsid w:val="00F00054"/>
    <w:rsid w:val="00F0340F"/>
    <w:rsid w:val="00F039E1"/>
    <w:rsid w:val="00F118A3"/>
    <w:rsid w:val="00F16042"/>
    <w:rsid w:val="00F31E09"/>
    <w:rsid w:val="00F32340"/>
    <w:rsid w:val="00F414EC"/>
    <w:rsid w:val="00F433F4"/>
    <w:rsid w:val="00F638C6"/>
    <w:rsid w:val="00F72FEA"/>
    <w:rsid w:val="00F75FD5"/>
    <w:rsid w:val="00F81AF6"/>
    <w:rsid w:val="00F825C0"/>
    <w:rsid w:val="00F84267"/>
    <w:rsid w:val="00FA7D6F"/>
    <w:rsid w:val="00FB297C"/>
    <w:rsid w:val="00FB3B16"/>
    <w:rsid w:val="00FD3D8F"/>
    <w:rsid w:val="00FD6AC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1886E3-0785-41AD-BAA9-A39651A7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9DD"/>
    <w:pPr>
      <w:spacing w:after="0" w:line="240" w:lineRule="auto"/>
    </w:pPr>
    <w:rPr>
      <w:rFonts w:ascii="Arial" w:eastAsia="Times New Roman" w:hAnsi="Arial" w:cs="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37261"/>
    <w:rPr>
      <w:sz w:val="20"/>
      <w:szCs w:val="20"/>
    </w:rPr>
  </w:style>
  <w:style w:type="character" w:customStyle="1" w:styleId="FootnoteTextChar">
    <w:name w:val="Footnote Text Char"/>
    <w:basedOn w:val="DefaultParagraphFont"/>
    <w:link w:val="FootnoteText"/>
    <w:uiPriority w:val="99"/>
    <w:semiHidden/>
    <w:rsid w:val="00337261"/>
    <w:rPr>
      <w:rFonts w:ascii="Arial" w:eastAsia="Times New Roman" w:hAnsi="Arial" w:cs="Arial"/>
      <w:sz w:val="20"/>
      <w:szCs w:val="20"/>
      <w:lang w:val="en-GB"/>
    </w:rPr>
  </w:style>
  <w:style w:type="character" w:styleId="FootnoteReference">
    <w:name w:val="footnote reference"/>
    <w:basedOn w:val="DefaultParagraphFont"/>
    <w:uiPriority w:val="99"/>
    <w:semiHidden/>
    <w:unhideWhenUsed/>
    <w:rsid w:val="00337261"/>
    <w:rPr>
      <w:vertAlign w:val="superscript"/>
    </w:rPr>
  </w:style>
  <w:style w:type="paragraph" w:styleId="BalloonText">
    <w:name w:val="Balloon Text"/>
    <w:basedOn w:val="Normal"/>
    <w:link w:val="BalloonTextChar"/>
    <w:uiPriority w:val="99"/>
    <w:semiHidden/>
    <w:unhideWhenUsed/>
    <w:rsid w:val="00FA7D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D6F"/>
    <w:rPr>
      <w:rFonts w:ascii="Segoe UI" w:eastAsia="Times New Roman" w:hAnsi="Segoe UI" w:cs="Segoe UI"/>
      <w:sz w:val="18"/>
      <w:szCs w:val="18"/>
      <w:lang w:val="en-GB"/>
    </w:rPr>
  </w:style>
  <w:style w:type="paragraph" w:styleId="Header">
    <w:name w:val="header"/>
    <w:basedOn w:val="Normal"/>
    <w:link w:val="HeaderChar"/>
    <w:uiPriority w:val="99"/>
    <w:unhideWhenUsed/>
    <w:rsid w:val="00A67544"/>
    <w:pPr>
      <w:tabs>
        <w:tab w:val="center" w:pos="4513"/>
        <w:tab w:val="right" w:pos="9026"/>
      </w:tabs>
    </w:pPr>
  </w:style>
  <w:style w:type="character" w:customStyle="1" w:styleId="HeaderChar">
    <w:name w:val="Header Char"/>
    <w:basedOn w:val="DefaultParagraphFont"/>
    <w:link w:val="Header"/>
    <w:uiPriority w:val="99"/>
    <w:rsid w:val="00A67544"/>
    <w:rPr>
      <w:rFonts w:ascii="Arial" w:eastAsia="Times New Roman" w:hAnsi="Arial" w:cs="Arial"/>
      <w:sz w:val="28"/>
      <w:szCs w:val="24"/>
      <w:lang w:val="en-GB"/>
    </w:rPr>
  </w:style>
  <w:style w:type="paragraph" w:styleId="Footer">
    <w:name w:val="footer"/>
    <w:basedOn w:val="Normal"/>
    <w:link w:val="FooterChar"/>
    <w:uiPriority w:val="99"/>
    <w:unhideWhenUsed/>
    <w:rsid w:val="00A67544"/>
    <w:pPr>
      <w:tabs>
        <w:tab w:val="center" w:pos="4513"/>
        <w:tab w:val="right" w:pos="9026"/>
      </w:tabs>
    </w:pPr>
  </w:style>
  <w:style w:type="character" w:customStyle="1" w:styleId="FooterChar">
    <w:name w:val="Footer Char"/>
    <w:basedOn w:val="DefaultParagraphFont"/>
    <w:link w:val="Footer"/>
    <w:uiPriority w:val="99"/>
    <w:rsid w:val="00A67544"/>
    <w:rPr>
      <w:rFonts w:ascii="Arial" w:eastAsia="Times New Roman" w:hAnsi="Arial" w:cs="Arial"/>
      <w:sz w:val="28"/>
      <w:szCs w:val="24"/>
      <w:lang w:val="en-GB"/>
    </w:rPr>
  </w:style>
  <w:style w:type="paragraph" w:styleId="ListParagraph">
    <w:name w:val="List Paragraph"/>
    <w:basedOn w:val="Normal"/>
    <w:uiPriority w:val="34"/>
    <w:qFormat/>
    <w:rsid w:val="005A2DCF"/>
    <w:pPr>
      <w:ind w:left="720"/>
      <w:contextualSpacing/>
    </w:pPr>
  </w:style>
  <w:style w:type="character" w:styleId="CommentReference">
    <w:name w:val="annotation reference"/>
    <w:basedOn w:val="DefaultParagraphFont"/>
    <w:uiPriority w:val="99"/>
    <w:semiHidden/>
    <w:unhideWhenUsed/>
    <w:rsid w:val="00396CA9"/>
    <w:rPr>
      <w:sz w:val="16"/>
      <w:szCs w:val="16"/>
    </w:rPr>
  </w:style>
  <w:style w:type="paragraph" w:styleId="CommentText">
    <w:name w:val="annotation text"/>
    <w:basedOn w:val="Normal"/>
    <w:link w:val="CommentTextChar"/>
    <w:uiPriority w:val="99"/>
    <w:semiHidden/>
    <w:unhideWhenUsed/>
    <w:rsid w:val="00396CA9"/>
    <w:rPr>
      <w:sz w:val="20"/>
      <w:szCs w:val="20"/>
    </w:rPr>
  </w:style>
  <w:style w:type="character" w:customStyle="1" w:styleId="CommentTextChar">
    <w:name w:val="Comment Text Char"/>
    <w:basedOn w:val="DefaultParagraphFont"/>
    <w:link w:val="CommentText"/>
    <w:uiPriority w:val="99"/>
    <w:semiHidden/>
    <w:rsid w:val="00396CA9"/>
    <w:rPr>
      <w:rFonts w:ascii="Arial" w:eastAsia="Times New Roman"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396CA9"/>
    <w:rPr>
      <w:b/>
      <w:bCs/>
    </w:rPr>
  </w:style>
  <w:style w:type="character" w:customStyle="1" w:styleId="CommentSubjectChar">
    <w:name w:val="Comment Subject Char"/>
    <w:basedOn w:val="CommentTextChar"/>
    <w:link w:val="CommentSubject"/>
    <w:uiPriority w:val="99"/>
    <w:semiHidden/>
    <w:rsid w:val="00396CA9"/>
    <w:rPr>
      <w:rFonts w:ascii="Arial" w:eastAsia="Times New Roman" w:hAnsi="Arial" w:cs="Arial"/>
      <w:b/>
      <w:bCs/>
      <w:sz w:val="20"/>
      <w:szCs w:val="20"/>
      <w:lang w:val="en-GB"/>
    </w:rPr>
  </w:style>
  <w:style w:type="paragraph" w:styleId="Revision">
    <w:name w:val="Revision"/>
    <w:hidden/>
    <w:uiPriority w:val="99"/>
    <w:semiHidden/>
    <w:rsid w:val="00205978"/>
    <w:pPr>
      <w:spacing w:after="0" w:line="240" w:lineRule="auto"/>
    </w:pPr>
    <w:rPr>
      <w:rFonts w:ascii="Arial" w:eastAsia="Times New Roman" w:hAnsi="Arial" w:cs="Arial"/>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47820-D22E-4A43-9211-271E098CC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4408</Words>
  <Characters>25132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Scheepers</dc:creator>
  <cp:keywords/>
  <dc:description/>
  <cp:lastModifiedBy>Mary Bruce</cp:lastModifiedBy>
  <cp:revision>3</cp:revision>
  <cp:lastPrinted>2019-05-30T09:58:00Z</cp:lastPrinted>
  <dcterms:created xsi:type="dcterms:W3CDTF">2022-10-26T08:11:00Z</dcterms:created>
  <dcterms:modified xsi:type="dcterms:W3CDTF">2022-10-26T09:19:00Z</dcterms:modified>
</cp:coreProperties>
</file>