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F3C9B" w14:textId="77777777" w:rsidR="00AC1913" w:rsidRPr="008E064A" w:rsidRDefault="00AC1913" w:rsidP="00AC1913">
      <w:pPr>
        <w:jc w:val="center"/>
        <w:rPr>
          <w:b/>
          <w:bCs/>
          <w:sz w:val="28"/>
          <w:szCs w:val="28"/>
        </w:rPr>
      </w:pPr>
    </w:p>
    <w:p w14:paraId="18F4EF96" w14:textId="77777777" w:rsidR="00AC1913" w:rsidRPr="008E064A" w:rsidRDefault="00AC1913" w:rsidP="00AC1913">
      <w:pPr>
        <w:jc w:val="center"/>
        <w:rPr>
          <w:b/>
          <w:bCs/>
          <w:sz w:val="28"/>
          <w:szCs w:val="28"/>
        </w:rPr>
      </w:pPr>
    </w:p>
    <w:p w14:paraId="079808EA" w14:textId="77777777" w:rsidR="00BA4A98" w:rsidRPr="008E064A" w:rsidRDefault="00AC1913" w:rsidP="00BA4A98">
      <w:pPr>
        <w:jc w:val="center"/>
        <w:rPr>
          <w:b/>
          <w:bCs/>
          <w:sz w:val="28"/>
          <w:szCs w:val="28"/>
        </w:rPr>
      </w:pPr>
      <w:r w:rsidRPr="008E064A">
        <w:rPr>
          <w:noProof/>
          <w:sz w:val="28"/>
          <w:szCs w:val="28"/>
          <w:lang w:val="en-ZA" w:eastAsia="en-ZA"/>
        </w:rPr>
        <w:drawing>
          <wp:anchor distT="0" distB="0" distL="114300" distR="114300" simplePos="0" relativeHeight="251659264" behindDoc="0" locked="0" layoutInCell="1" allowOverlap="1" wp14:anchorId="003A9D9F" wp14:editId="63BD958E">
            <wp:simplePos x="0" y="0"/>
            <wp:positionH relativeFrom="margi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6E9AAE0E" w14:textId="77777777" w:rsidR="00AC1913" w:rsidRPr="00CA56AD" w:rsidRDefault="00AC1913" w:rsidP="00BA4A98">
      <w:pPr>
        <w:spacing w:before="240"/>
        <w:jc w:val="center"/>
        <w:rPr>
          <w:b/>
          <w:bCs/>
          <w:sz w:val="28"/>
          <w:szCs w:val="28"/>
        </w:rPr>
      </w:pPr>
      <w:r w:rsidRPr="00CA56AD">
        <w:rPr>
          <w:b/>
          <w:bCs/>
          <w:sz w:val="28"/>
          <w:szCs w:val="28"/>
        </w:rPr>
        <w:t>THE SUPREME COURT OF APPEAL OF SOUTH AFRICA</w:t>
      </w:r>
    </w:p>
    <w:p w14:paraId="3F144001" w14:textId="77777777" w:rsidR="00AC1913" w:rsidRPr="00CA56AD" w:rsidRDefault="00AC1913" w:rsidP="000D3C1E">
      <w:pPr>
        <w:pStyle w:val="Heading3"/>
        <w:jc w:val="center"/>
        <w:rPr>
          <w:rFonts w:ascii="Times New Roman" w:hAnsi="Times New Roman" w:cs="Times New Roman"/>
          <w:b/>
          <w:i w:val="0"/>
          <w:szCs w:val="28"/>
        </w:rPr>
      </w:pPr>
      <w:r w:rsidRPr="00CA56AD">
        <w:rPr>
          <w:rFonts w:ascii="Times New Roman" w:hAnsi="Times New Roman" w:cs="Times New Roman"/>
          <w:b/>
          <w:i w:val="0"/>
          <w:szCs w:val="28"/>
        </w:rPr>
        <w:t>JUDGMENT</w:t>
      </w:r>
    </w:p>
    <w:p w14:paraId="06E83604" w14:textId="3721B0DA" w:rsidR="00AC1913" w:rsidRPr="00CA56AD" w:rsidRDefault="00AC1913" w:rsidP="000D3C1E">
      <w:pPr>
        <w:spacing w:before="120"/>
        <w:jc w:val="right"/>
        <w:rPr>
          <w:b/>
          <w:sz w:val="28"/>
          <w:szCs w:val="28"/>
        </w:rPr>
      </w:pPr>
      <w:r w:rsidRPr="00CA56AD">
        <w:rPr>
          <w:b/>
          <w:sz w:val="28"/>
          <w:szCs w:val="28"/>
        </w:rPr>
        <w:t>Reportable</w:t>
      </w:r>
    </w:p>
    <w:p w14:paraId="156CEE27" w14:textId="77777777" w:rsidR="00AC1913" w:rsidRPr="00CA56AD" w:rsidRDefault="00AC1913" w:rsidP="000D3C1E">
      <w:pPr>
        <w:jc w:val="right"/>
        <w:rPr>
          <w:sz w:val="28"/>
          <w:szCs w:val="28"/>
        </w:rPr>
      </w:pPr>
      <w:r w:rsidRPr="00CA56AD">
        <w:rPr>
          <w:sz w:val="28"/>
          <w:szCs w:val="28"/>
        </w:rPr>
        <w:t>Case no: 1265/</w:t>
      </w:r>
      <w:r w:rsidR="000C6A26" w:rsidRPr="00CA56AD">
        <w:rPr>
          <w:sz w:val="28"/>
          <w:szCs w:val="28"/>
        </w:rPr>
        <w:t>20</w:t>
      </w:r>
      <w:r w:rsidRPr="00CA56AD">
        <w:rPr>
          <w:sz w:val="28"/>
          <w:szCs w:val="28"/>
        </w:rPr>
        <w:t>21</w:t>
      </w:r>
    </w:p>
    <w:p w14:paraId="0EF91893" w14:textId="77777777" w:rsidR="00AC1913" w:rsidRPr="00CA56AD" w:rsidRDefault="00AC1913" w:rsidP="000D3C1E">
      <w:pPr>
        <w:jc w:val="right"/>
        <w:rPr>
          <w:sz w:val="28"/>
          <w:szCs w:val="28"/>
        </w:rPr>
      </w:pPr>
    </w:p>
    <w:p w14:paraId="0530810B" w14:textId="77777777" w:rsidR="00AC1913" w:rsidRPr="00CA56AD" w:rsidRDefault="00AC1913" w:rsidP="000D3C1E">
      <w:pPr>
        <w:spacing w:after="120"/>
        <w:rPr>
          <w:sz w:val="28"/>
          <w:szCs w:val="28"/>
        </w:rPr>
      </w:pPr>
      <w:r w:rsidRPr="00CA56AD">
        <w:rPr>
          <w:sz w:val="28"/>
          <w:szCs w:val="28"/>
        </w:rPr>
        <w:t>In the matter between:</w:t>
      </w:r>
    </w:p>
    <w:p w14:paraId="30D33AF8" w14:textId="517B514C" w:rsidR="00AC1913" w:rsidRDefault="00F04DC1" w:rsidP="00A502AE">
      <w:pPr>
        <w:tabs>
          <w:tab w:val="right" w:pos="8640"/>
        </w:tabs>
        <w:rPr>
          <w:b/>
          <w:bCs/>
          <w:sz w:val="28"/>
          <w:szCs w:val="28"/>
        </w:rPr>
      </w:pPr>
      <w:r w:rsidRPr="00CA56AD">
        <w:rPr>
          <w:b/>
          <w:bCs/>
          <w:sz w:val="28"/>
          <w:szCs w:val="28"/>
        </w:rPr>
        <w:t>KEYHEALTH</w:t>
      </w:r>
      <w:r w:rsidR="00AC1913" w:rsidRPr="00CA56AD">
        <w:rPr>
          <w:b/>
          <w:bCs/>
          <w:sz w:val="28"/>
          <w:szCs w:val="28"/>
        </w:rPr>
        <w:t xml:space="preserve"> MEDICAL SCHEME                                            APPELLANT </w:t>
      </w:r>
    </w:p>
    <w:p w14:paraId="02EAA32F" w14:textId="77777777" w:rsidR="009A32FC" w:rsidRPr="009A32FC" w:rsidRDefault="009A32FC" w:rsidP="00A502AE">
      <w:pPr>
        <w:tabs>
          <w:tab w:val="right" w:pos="8640"/>
        </w:tabs>
        <w:rPr>
          <w:b/>
          <w:sz w:val="16"/>
          <w:szCs w:val="16"/>
        </w:rPr>
      </w:pPr>
    </w:p>
    <w:p w14:paraId="328A09DF" w14:textId="3170578C" w:rsidR="00AC1913" w:rsidRDefault="009A32FC" w:rsidP="00A502AE">
      <w:pPr>
        <w:tabs>
          <w:tab w:val="right" w:pos="8640"/>
        </w:tabs>
        <w:rPr>
          <w:bCs/>
          <w:sz w:val="28"/>
          <w:szCs w:val="28"/>
        </w:rPr>
      </w:pPr>
      <w:r>
        <w:rPr>
          <w:bCs/>
          <w:sz w:val="28"/>
          <w:szCs w:val="28"/>
        </w:rPr>
        <w:t>a</w:t>
      </w:r>
      <w:r w:rsidR="00AC1913" w:rsidRPr="00CA56AD">
        <w:rPr>
          <w:bCs/>
          <w:sz w:val="28"/>
          <w:szCs w:val="28"/>
        </w:rPr>
        <w:t>nd</w:t>
      </w:r>
    </w:p>
    <w:p w14:paraId="140588B1" w14:textId="77777777" w:rsidR="009A32FC" w:rsidRPr="009A32FC" w:rsidRDefault="009A32FC" w:rsidP="00A502AE">
      <w:pPr>
        <w:tabs>
          <w:tab w:val="right" w:pos="8640"/>
        </w:tabs>
        <w:rPr>
          <w:bCs/>
          <w:sz w:val="16"/>
          <w:szCs w:val="16"/>
        </w:rPr>
      </w:pPr>
    </w:p>
    <w:p w14:paraId="74A97851" w14:textId="77777777" w:rsidR="00AC1913" w:rsidRPr="00CA56AD" w:rsidRDefault="00AC1913" w:rsidP="00A502AE">
      <w:pPr>
        <w:rPr>
          <w:b/>
          <w:sz w:val="28"/>
          <w:szCs w:val="28"/>
        </w:rPr>
      </w:pPr>
      <w:r w:rsidRPr="00CA56AD">
        <w:rPr>
          <w:b/>
          <w:sz w:val="28"/>
          <w:szCs w:val="28"/>
        </w:rPr>
        <w:t>GLOPIN (PTY) LTD                                                             RESPONDENT</w:t>
      </w:r>
    </w:p>
    <w:p w14:paraId="2479A022" w14:textId="77777777" w:rsidR="00AC1913" w:rsidRPr="00CA56AD" w:rsidRDefault="00AC1913" w:rsidP="000D3C1E">
      <w:pPr>
        <w:tabs>
          <w:tab w:val="right" w:pos="8640"/>
        </w:tabs>
        <w:rPr>
          <w:b/>
          <w:sz w:val="28"/>
          <w:szCs w:val="28"/>
        </w:rPr>
      </w:pPr>
    </w:p>
    <w:p w14:paraId="6900F09F" w14:textId="0B5F8946" w:rsidR="00F04DC1" w:rsidRPr="00CA56AD" w:rsidRDefault="00AC1913" w:rsidP="00F04DC1">
      <w:pPr>
        <w:spacing w:after="240"/>
        <w:ind w:left="2160" w:hanging="2160"/>
        <w:contextualSpacing/>
        <w:rPr>
          <w:bCs/>
          <w:sz w:val="28"/>
          <w:szCs w:val="28"/>
        </w:rPr>
      </w:pPr>
      <w:r w:rsidRPr="00CA56AD">
        <w:rPr>
          <w:b/>
          <w:bCs/>
          <w:sz w:val="28"/>
          <w:szCs w:val="28"/>
        </w:rPr>
        <w:t>Neutral citation:</w:t>
      </w:r>
      <w:r w:rsidRPr="00CA56AD">
        <w:rPr>
          <w:bCs/>
          <w:i/>
          <w:sz w:val="28"/>
          <w:szCs w:val="28"/>
        </w:rPr>
        <w:tab/>
      </w:r>
      <w:bookmarkStart w:id="0" w:name="_GoBack"/>
      <w:r w:rsidR="00F04DC1" w:rsidRPr="00CA56AD">
        <w:rPr>
          <w:bCs/>
          <w:i/>
          <w:sz w:val="28"/>
          <w:szCs w:val="28"/>
        </w:rPr>
        <w:t>KeyHealth</w:t>
      </w:r>
      <w:r w:rsidRPr="00CA56AD">
        <w:rPr>
          <w:bCs/>
          <w:i/>
          <w:sz w:val="28"/>
          <w:szCs w:val="28"/>
        </w:rPr>
        <w:t xml:space="preserve"> Medical Scheme v Glopin (Pty) Ltd </w:t>
      </w:r>
      <w:r w:rsidRPr="00CA56AD">
        <w:rPr>
          <w:sz w:val="28"/>
          <w:szCs w:val="28"/>
        </w:rPr>
        <w:t>(</w:t>
      </w:r>
      <w:r w:rsidRPr="00CA56AD">
        <w:rPr>
          <w:bCs/>
          <w:sz w:val="28"/>
          <w:szCs w:val="28"/>
        </w:rPr>
        <w:t>1265/2021) [2022] ZASCA</w:t>
      </w:r>
      <w:r w:rsidR="009958E1" w:rsidRPr="00CA56AD">
        <w:rPr>
          <w:bCs/>
          <w:sz w:val="28"/>
          <w:szCs w:val="28"/>
        </w:rPr>
        <w:t xml:space="preserve"> 147</w:t>
      </w:r>
      <w:r w:rsidRPr="00CA56AD">
        <w:rPr>
          <w:bCs/>
          <w:sz w:val="28"/>
          <w:szCs w:val="28"/>
        </w:rPr>
        <w:t xml:space="preserve"> (</w:t>
      </w:r>
      <w:r w:rsidR="00552406">
        <w:rPr>
          <w:bCs/>
          <w:sz w:val="28"/>
          <w:szCs w:val="28"/>
        </w:rPr>
        <w:t>28 October 2022</w:t>
      </w:r>
      <w:r w:rsidRPr="00CA56AD">
        <w:rPr>
          <w:bCs/>
          <w:sz w:val="28"/>
          <w:szCs w:val="28"/>
        </w:rPr>
        <w:t>)</w:t>
      </w:r>
    </w:p>
    <w:bookmarkEnd w:id="0"/>
    <w:p w14:paraId="641BED69" w14:textId="77777777" w:rsidR="00F04DC1" w:rsidRPr="00CA56AD" w:rsidRDefault="00AC1913" w:rsidP="00F04DC1">
      <w:pPr>
        <w:spacing w:after="240"/>
        <w:ind w:left="1440" w:hanging="1440"/>
        <w:contextualSpacing/>
        <w:rPr>
          <w:sz w:val="28"/>
          <w:szCs w:val="28"/>
        </w:rPr>
      </w:pPr>
      <w:r w:rsidRPr="00CA56AD">
        <w:rPr>
          <w:b/>
          <w:bCs/>
          <w:sz w:val="28"/>
          <w:szCs w:val="28"/>
        </w:rPr>
        <w:t>Coram:</w:t>
      </w:r>
      <w:r w:rsidRPr="00CA56AD">
        <w:rPr>
          <w:sz w:val="28"/>
          <w:szCs w:val="28"/>
        </w:rPr>
        <w:tab/>
        <w:t>MOLEMELA, PLASKET and MABINDLA-BOQWANA JJA</w:t>
      </w:r>
      <w:r w:rsidR="000D3C1E" w:rsidRPr="00CA56AD">
        <w:rPr>
          <w:sz w:val="28"/>
          <w:szCs w:val="28"/>
        </w:rPr>
        <w:t xml:space="preserve"> and</w:t>
      </w:r>
      <w:r w:rsidRPr="00CA56AD">
        <w:rPr>
          <w:sz w:val="28"/>
          <w:szCs w:val="28"/>
        </w:rPr>
        <w:t xml:space="preserve"> WEINER and MASIPA AJJA</w:t>
      </w:r>
    </w:p>
    <w:p w14:paraId="1E6FB355" w14:textId="122271D8" w:rsidR="00F04DC1" w:rsidRPr="00CA56AD" w:rsidRDefault="00AC1913" w:rsidP="00F04DC1">
      <w:pPr>
        <w:spacing w:after="240"/>
        <w:contextualSpacing/>
        <w:rPr>
          <w:sz w:val="28"/>
          <w:szCs w:val="28"/>
        </w:rPr>
      </w:pPr>
      <w:r w:rsidRPr="00CA56AD">
        <w:rPr>
          <w:b/>
          <w:bCs/>
          <w:sz w:val="28"/>
          <w:szCs w:val="28"/>
        </w:rPr>
        <w:t>Heard</w:t>
      </w:r>
      <w:r w:rsidRPr="00CA56AD">
        <w:rPr>
          <w:b/>
          <w:sz w:val="28"/>
          <w:szCs w:val="28"/>
        </w:rPr>
        <w:t>:</w:t>
      </w:r>
      <w:r w:rsidRPr="00CA56AD">
        <w:rPr>
          <w:sz w:val="28"/>
          <w:szCs w:val="28"/>
        </w:rPr>
        <w:tab/>
      </w:r>
      <w:r w:rsidR="003D632C" w:rsidRPr="00CA56AD">
        <w:rPr>
          <w:sz w:val="28"/>
          <w:szCs w:val="28"/>
        </w:rPr>
        <w:t>5 September 2022</w:t>
      </w:r>
    </w:p>
    <w:p w14:paraId="3E3F83B8" w14:textId="2FC4DDA1" w:rsidR="00F04DC1" w:rsidRPr="00CA56AD" w:rsidRDefault="00AC1913" w:rsidP="00F04DC1">
      <w:pPr>
        <w:spacing w:after="240"/>
        <w:contextualSpacing/>
        <w:rPr>
          <w:sz w:val="28"/>
          <w:szCs w:val="28"/>
        </w:rPr>
      </w:pPr>
      <w:r w:rsidRPr="00CA56AD">
        <w:rPr>
          <w:b/>
          <w:bCs/>
          <w:sz w:val="28"/>
          <w:szCs w:val="28"/>
        </w:rPr>
        <w:t>Delivered</w:t>
      </w:r>
      <w:r w:rsidRPr="00CA56AD">
        <w:rPr>
          <w:b/>
          <w:sz w:val="28"/>
          <w:szCs w:val="28"/>
        </w:rPr>
        <w:t>:</w:t>
      </w:r>
      <w:r w:rsidRPr="00CA56AD">
        <w:rPr>
          <w:sz w:val="28"/>
          <w:szCs w:val="28"/>
        </w:rPr>
        <w:tab/>
      </w:r>
      <w:r w:rsidR="009958E1" w:rsidRPr="00CA56AD">
        <w:rPr>
          <w:sz w:val="28"/>
          <w:szCs w:val="28"/>
        </w:rPr>
        <w:t xml:space="preserve">28 </w:t>
      </w:r>
      <w:r w:rsidR="0001301A" w:rsidRPr="00CA56AD">
        <w:rPr>
          <w:sz w:val="28"/>
          <w:szCs w:val="28"/>
        </w:rPr>
        <w:t xml:space="preserve">October </w:t>
      </w:r>
      <w:r w:rsidRPr="00CA56AD">
        <w:rPr>
          <w:sz w:val="28"/>
          <w:szCs w:val="28"/>
        </w:rPr>
        <w:t>2022</w:t>
      </w:r>
    </w:p>
    <w:p w14:paraId="25ACFA65" w14:textId="77777777" w:rsidR="00F504AD" w:rsidRPr="00CA56AD" w:rsidRDefault="00AC1913" w:rsidP="00F04DC1">
      <w:pPr>
        <w:spacing w:after="240"/>
        <w:contextualSpacing/>
        <w:rPr>
          <w:bCs/>
          <w:sz w:val="28"/>
          <w:szCs w:val="28"/>
        </w:rPr>
      </w:pPr>
      <w:r w:rsidRPr="00CA56AD">
        <w:rPr>
          <w:b/>
          <w:bCs/>
          <w:sz w:val="28"/>
          <w:szCs w:val="28"/>
        </w:rPr>
        <w:t xml:space="preserve">Summary: </w:t>
      </w:r>
      <w:r w:rsidR="005031EF" w:rsidRPr="00CA56AD">
        <w:rPr>
          <w:bCs/>
          <w:sz w:val="28"/>
          <w:szCs w:val="28"/>
        </w:rPr>
        <w:t>Contract –</w:t>
      </w:r>
      <w:r w:rsidR="00561040" w:rsidRPr="00CA56AD">
        <w:rPr>
          <w:bCs/>
          <w:sz w:val="28"/>
          <w:szCs w:val="28"/>
        </w:rPr>
        <w:t xml:space="preserve"> revocation </w:t>
      </w:r>
      <w:r w:rsidR="00355ECA" w:rsidRPr="00CA56AD">
        <w:rPr>
          <w:bCs/>
          <w:sz w:val="28"/>
          <w:szCs w:val="28"/>
        </w:rPr>
        <w:t>of mandate</w:t>
      </w:r>
      <w:r w:rsidR="00F504AD" w:rsidRPr="00CA56AD">
        <w:rPr>
          <w:bCs/>
          <w:sz w:val="28"/>
          <w:szCs w:val="28"/>
        </w:rPr>
        <w:t xml:space="preserve"> </w:t>
      </w:r>
      <w:r w:rsidR="005031EF" w:rsidRPr="00CA56AD">
        <w:rPr>
          <w:bCs/>
          <w:sz w:val="28"/>
          <w:szCs w:val="28"/>
        </w:rPr>
        <w:t xml:space="preserve">– </w:t>
      </w:r>
      <w:r w:rsidR="00F504AD" w:rsidRPr="00CA56AD">
        <w:rPr>
          <w:bCs/>
          <w:sz w:val="28"/>
          <w:szCs w:val="28"/>
        </w:rPr>
        <w:t xml:space="preserve">whether agreement may be revoked at will by one of the parties – </w:t>
      </w:r>
      <w:r w:rsidR="005031EF" w:rsidRPr="00CA56AD">
        <w:rPr>
          <w:bCs/>
          <w:sz w:val="28"/>
          <w:szCs w:val="28"/>
        </w:rPr>
        <w:t xml:space="preserve">terms of duration and termination </w:t>
      </w:r>
      <w:r w:rsidR="00561040" w:rsidRPr="00CA56AD">
        <w:rPr>
          <w:bCs/>
          <w:sz w:val="28"/>
          <w:szCs w:val="28"/>
        </w:rPr>
        <w:t xml:space="preserve">of agreement </w:t>
      </w:r>
      <w:r w:rsidR="005031EF" w:rsidRPr="00CA56AD">
        <w:rPr>
          <w:bCs/>
          <w:sz w:val="28"/>
          <w:szCs w:val="28"/>
        </w:rPr>
        <w:t xml:space="preserve">validly agreed between the parties.   </w:t>
      </w:r>
    </w:p>
    <w:p w14:paraId="780EB248" w14:textId="77777777" w:rsidR="00F504AD" w:rsidRPr="00CA56AD" w:rsidRDefault="00F504AD" w:rsidP="00F04DC1">
      <w:pPr>
        <w:spacing w:after="240"/>
        <w:contextualSpacing/>
        <w:rPr>
          <w:bCs/>
          <w:sz w:val="28"/>
          <w:szCs w:val="28"/>
        </w:rPr>
      </w:pPr>
    </w:p>
    <w:p w14:paraId="7E8A47AE" w14:textId="587176A3" w:rsidR="00AC1913" w:rsidRPr="009A32FC" w:rsidRDefault="005031EF" w:rsidP="009A32FC">
      <w:pPr>
        <w:spacing w:after="240"/>
        <w:contextualSpacing/>
        <w:rPr>
          <w:bCs/>
          <w:sz w:val="28"/>
          <w:szCs w:val="28"/>
        </w:rPr>
      </w:pPr>
      <w:r w:rsidRPr="00CA56AD">
        <w:rPr>
          <w:bCs/>
          <w:sz w:val="28"/>
          <w:szCs w:val="28"/>
        </w:rPr>
        <w:t xml:space="preserve"> </w:t>
      </w:r>
    </w:p>
    <w:p w14:paraId="19ECE383" w14:textId="77777777" w:rsidR="00AC1913" w:rsidRPr="00CA56AD" w:rsidRDefault="00AC1913" w:rsidP="009A32FC">
      <w:pPr>
        <w:pBdr>
          <w:bottom w:val="single" w:sz="12" w:space="1" w:color="auto"/>
        </w:pBdr>
        <w:spacing w:line="240" w:lineRule="auto"/>
        <w:rPr>
          <w:sz w:val="28"/>
          <w:szCs w:val="28"/>
        </w:rPr>
      </w:pPr>
      <w:r w:rsidRPr="00CA56AD">
        <w:rPr>
          <w:noProof/>
          <w:sz w:val="28"/>
          <w:szCs w:val="28"/>
          <w:lang w:val="en-ZA" w:eastAsia="en-ZA"/>
        </w:rPr>
        <w:lastRenderedPageBreak/>
        <mc:AlternateContent>
          <mc:Choice Requires="wps">
            <w:drawing>
              <wp:anchor distT="0" distB="0" distL="114300" distR="114300" simplePos="0" relativeHeight="251660288" behindDoc="0" locked="0" layoutInCell="1" allowOverlap="1" wp14:anchorId="7B1F5CA6" wp14:editId="7D324263">
                <wp:simplePos x="0" y="0"/>
                <wp:positionH relativeFrom="column">
                  <wp:posOffset>0</wp:posOffset>
                </wp:positionH>
                <wp:positionV relativeFrom="paragraph">
                  <wp:posOffset>114300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96A239"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p>
    <w:p w14:paraId="2FE0D176" w14:textId="77777777" w:rsidR="00AC1913" w:rsidRPr="00CA56AD" w:rsidRDefault="00AC1913" w:rsidP="00AC1913">
      <w:pPr>
        <w:pStyle w:val="Heading3"/>
        <w:pBdr>
          <w:bottom w:val="single" w:sz="12" w:space="12" w:color="auto"/>
        </w:pBdr>
        <w:jc w:val="center"/>
        <w:rPr>
          <w:rFonts w:ascii="Times New Roman" w:hAnsi="Times New Roman" w:cs="Times New Roman"/>
          <w:b/>
          <w:i w:val="0"/>
          <w:szCs w:val="28"/>
        </w:rPr>
      </w:pPr>
    </w:p>
    <w:p w14:paraId="5ED07089" w14:textId="77777777" w:rsidR="00AC1913" w:rsidRPr="00CA56AD" w:rsidRDefault="00AC1913" w:rsidP="00AC1913">
      <w:pPr>
        <w:pStyle w:val="Heading3"/>
        <w:pBdr>
          <w:bottom w:val="single" w:sz="12" w:space="12" w:color="auto"/>
        </w:pBdr>
        <w:jc w:val="center"/>
        <w:rPr>
          <w:rFonts w:ascii="Times New Roman" w:hAnsi="Times New Roman" w:cs="Times New Roman"/>
          <w:b/>
          <w:i w:val="0"/>
          <w:szCs w:val="28"/>
        </w:rPr>
      </w:pPr>
      <w:r w:rsidRPr="00CA56AD">
        <w:rPr>
          <w:rFonts w:ascii="Times New Roman" w:hAnsi="Times New Roman" w:cs="Times New Roman"/>
          <w:b/>
          <w:i w:val="0"/>
          <w:szCs w:val="28"/>
        </w:rPr>
        <w:t>ORDER</w:t>
      </w:r>
    </w:p>
    <w:p w14:paraId="7D7A1B59" w14:textId="77777777" w:rsidR="00AC1913" w:rsidRPr="00CA56AD" w:rsidRDefault="00AC1913" w:rsidP="00A502AE">
      <w:pPr>
        <w:spacing w:line="240" w:lineRule="auto"/>
        <w:rPr>
          <w:sz w:val="28"/>
          <w:szCs w:val="28"/>
        </w:rPr>
      </w:pPr>
    </w:p>
    <w:p w14:paraId="50780E88" w14:textId="77777777" w:rsidR="00AC1913" w:rsidRPr="00CA56AD" w:rsidRDefault="00AC1913" w:rsidP="00AC1913">
      <w:pPr>
        <w:rPr>
          <w:bCs/>
          <w:sz w:val="28"/>
          <w:szCs w:val="28"/>
        </w:rPr>
      </w:pPr>
      <w:r w:rsidRPr="00CA56AD">
        <w:rPr>
          <w:b/>
          <w:bCs/>
          <w:sz w:val="28"/>
          <w:szCs w:val="28"/>
        </w:rPr>
        <w:t xml:space="preserve">On appeal from: </w:t>
      </w:r>
      <w:r w:rsidRPr="00CA56AD">
        <w:rPr>
          <w:bCs/>
          <w:sz w:val="28"/>
          <w:szCs w:val="28"/>
        </w:rPr>
        <w:t xml:space="preserve">Gauteng Division of the High Court, </w:t>
      </w:r>
      <w:r w:rsidR="003D632C" w:rsidRPr="00CA56AD">
        <w:rPr>
          <w:bCs/>
          <w:sz w:val="28"/>
          <w:szCs w:val="28"/>
        </w:rPr>
        <w:t xml:space="preserve">Pretoria </w:t>
      </w:r>
      <w:r w:rsidRPr="00CA56AD">
        <w:rPr>
          <w:bCs/>
          <w:sz w:val="28"/>
          <w:szCs w:val="28"/>
        </w:rPr>
        <w:t>(</w:t>
      </w:r>
      <w:r w:rsidR="002C5D1E" w:rsidRPr="00CA56AD">
        <w:rPr>
          <w:bCs/>
          <w:sz w:val="28"/>
          <w:szCs w:val="28"/>
        </w:rPr>
        <w:t>Mogotsi AJ</w:t>
      </w:r>
      <w:r w:rsidR="00A86730" w:rsidRPr="00CA56AD">
        <w:rPr>
          <w:bCs/>
          <w:sz w:val="28"/>
          <w:szCs w:val="28"/>
        </w:rPr>
        <w:t>,</w:t>
      </w:r>
      <w:r w:rsidR="002C5D1E" w:rsidRPr="00CA56AD">
        <w:rPr>
          <w:bCs/>
          <w:sz w:val="28"/>
          <w:szCs w:val="28"/>
        </w:rPr>
        <w:t xml:space="preserve"> </w:t>
      </w:r>
      <w:r w:rsidR="00701534" w:rsidRPr="00CA56AD">
        <w:rPr>
          <w:bCs/>
          <w:sz w:val="28"/>
          <w:szCs w:val="28"/>
        </w:rPr>
        <w:t xml:space="preserve">with </w:t>
      </w:r>
      <w:r w:rsidR="002C5D1E" w:rsidRPr="00CA56AD">
        <w:rPr>
          <w:bCs/>
          <w:sz w:val="28"/>
          <w:szCs w:val="28"/>
        </w:rPr>
        <w:t>Van der Westhuizen and Collis JJ concurring</w:t>
      </w:r>
      <w:r w:rsidRPr="00CA56AD">
        <w:rPr>
          <w:bCs/>
          <w:sz w:val="28"/>
          <w:szCs w:val="28"/>
        </w:rPr>
        <w:t>, sitting as court of</w:t>
      </w:r>
      <w:r w:rsidR="0093750C" w:rsidRPr="00CA56AD">
        <w:rPr>
          <w:bCs/>
          <w:sz w:val="28"/>
          <w:szCs w:val="28"/>
        </w:rPr>
        <w:t xml:space="preserve"> appeal</w:t>
      </w:r>
      <w:r w:rsidRPr="00CA56AD">
        <w:rPr>
          <w:bCs/>
          <w:sz w:val="28"/>
          <w:szCs w:val="28"/>
        </w:rPr>
        <w:t xml:space="preserve">): </w:t>
      </w:r>
    </w:p>
    <w:p w14:paraId="28D25225" w14:textId="77777777" w:rsidR="00AC1913" w:rsidRPr="00CA56AD" w:rsidRDefault="005031EF" w:rsidP="00574AD4">
      <w:pPr>
        <w:spacing w:before="120"/>
        <w:rPr>
          <w:bCs/>
          <w:sz w:val="28"/>
          <w:szCs w:val="28"/>
        </w:rPr>
      </w:pPr>
      <w:r w:rsidRPr="00CA56AD">
        <w:rPr>
          <w:bCs/>
          <w:sz w:val="28"/>
          <w:szCs w:val="28"/>
        </w:rPr>
        <w:t>The appeal is dismissed with costs</w:t>
      </w:r>
      <w:r w:rsidR="000C6A26" w:rsidRPr="00CA56AD">
        <w:rPr>
          <w:bCs/>
          <w:sz w:val="28"/>
          <w:szCs w:val="28"/>
        </w:rPr>
        <w:t>,</w:t>
      </w:r>
      <w:r w:rsidRPr="00CA56AD">
        <w:rPr>
          <w:bCs/>
          <w:sz w:val="28"/>
          <w:szCs w:val="28"/>
        </w:rPr>
        <w:t xml:space="preserve"> including the costs of two counsel. </w:t>
      </w:r>
    </w:p>
    <w:p w14:paraId="27A62E02" w14:textId="77777777" w:rsidR="00AC1913" w:rsidRPr="00CA56AD" w:rsidRDefault="00AC1913" w:rsidP="00A502AE">
      <w:pPr>
        <w:pBdr>
          <w:bottom w:val="single" w:sz="12" w:space="1" w:color="auto"/>
        </w:pBdr>
        <w:spacing w:line="240" w:lineRule="auto"/>
        <w:rPr>
          <w:sz w:val="28"/>
          <w:szCs w:val="28"/>
        </w:rPr>
      </w:pPr>
      <w:r w:rsidRPr="00CA56AD">
        <w:rPr>
          <w:noProof/>
          <w:sz w:val="28"/>
          <w:szCs w:val="28"/>
          <w:lang w:val="en-ZA" w:eastAsia="en-ZA"/>
        </w:rPr>
        <mc:AlternateContent>
          <mc:Choice Requires="wps">
            <w:drawing>
              <wp:anchor distT="0" distB="0" distL="114300" distR="114300" simplePos="0" relativeHeight="251661312" behindDoc="0" locked="0" layoutInCell="1" allowOverlap="1" wp14:anchorId="0C29DA5C" wp14:editId="3CAAC1C8">
                <wp:simplePos x="0" y="0"/>
                <wp:positionH relativeFrom="column">
                  <wp:posOffset>0</wp:posOffset>
                </wp:positionH>
                <wp:positionV relativeFrom="paragraph">
                  <wp:posOffset>114300</wp:posOffset>
                </wp:positionV>
                <wp:extent cx="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B11151"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p>
    <w:p w14:paraId="2D3FD107" w14:textId="77777777" w:rsidR="00AC1913" w:rsidRPr="00CA56AD" w:rsidRDefault="00AC1913" w:rsidP="00AC1913">
      <w:pPr>
        <w:pStyle w:val="Heading3"/>
        <w:pBdr>
          <w:bottom w:val="single" w:sz="12" w:space="12" w:color="auto"/>
        </w:pBdr>
        <w:jc w:val="center"/>
        <w:rPr>
          <w:rFonts w:ascii="Times New Roman" w:hAnsi="Times New Roman" w:cs="Times New Roman"/>
          <w:b/>
          <w:i w:val="0"/>
          <w:szCs w:val="28"/>
        </w:rPr>
      </w:pPr>
    </w:p>
    <w:p w14:paraId="0442CC45" w14:textId="77777777" w:rsidR="00AC1913" w:rsidRPr="00CA56AD" w:rsidRDefault="00AC1913" w:rsidP="00AC1913">
      <w:pPr>
        <w:pStyle w:val="Heading3"/>
        <w:pBdr>
          <w:bottom w:val="single" w:sz="12" w:space="12" w:color="auto"/>
        </w:pBdr>
        <w:jc w:val="center"/>
        <w:rPr>
          <w:rFonts w:ascii="Times New Roman" w:hAnsi="Times New Roman" w:cs="Times New Roman"/>
          <w:szCs w:val="28"/>
        </w:rPr>
      </w:pPr>
      <w:r w:rsidRPr="00CA56AD">
        <w:rPr>
          <w:rFonts w:ascii="Times New Roman" w:hAnsi="Times New Roman" w:cs="Times New Roman"/>
          <w:b/>
          <w:i w:val="0"/>
          <w:szCs w:val="28"/>
        </w:rPr>
        <w:t>JUDGMENT</w:t>
      </w:r>
    </w:p>
    <w:p w14:paraId="11A31490" w14:textId="51F475BC" w:rsidR="008B7B09" w:rsidRPr="00CA56AD" w:rsidRDefault="00AC1913" w:rsidP="008E064A">
      <w:pPr>
        <w:spacing w:before="240" w:after="240"/>
        <w:rPr>
          <w:b/>
          <w:sz w:val="28"/>
          <w:szCs w:val="28"/>
        </w:rPr>
      </w:pPr>
      <w:r w:rsidRPr="00CA56AD">
        <w:rPr>
          <w:b/>
          <w:sz w:val="28"/>
          <w:szCs w:val="28"/>
        </w:rPr>
        <w:t>Mabindla-Boqwana JA (</w:t>
      </w:r>
      <w:r w:rsidR="00B92A3F" w:rsidRPr="00CA56AD">
        <w:rPr>
          <w:b/>
          <w:sz w:val="28"/>
          <w:szCs w:val="28"/>
        </w:rPr>
        <w:t>Molemela and Plasket JJA and Weiner and Masipa AJJA concurring</w:t>
      </w:r>
      <w:r w:rsidRPr="00CA56AD">
        <w:rPr>
          <w:b/>
          <w:sz w:val="28"/>
          <w:szCs w:val="28"/>
        </w:rPr>
        <w:t>)</w:t>
      </w:r>
      <w:r w:rsidR="00CA6D8D" w:rsidRPr="00CA56AD">
        <w:rPr>
          <w:b/>
          <w:sz w:val="28"/>
          <w:szCs w:val="28"/>
        </w:rPr>
        <w:t>:</w:t>
      </w:r>
    </w:p>
    <w:p w14:paraId="38589335" w14:textId="77777777" w:rsidR="006328D2" w:rsidRPr="00CA56AD" w:rsidRDefault="006328D2" w:rsidP="008E064A">
      <w:pPr>
        <w:numPr>
          <w:ilvl w:val="0"/>
          <w:numId w:val="1"/>
        </w:numPr>
        <w:tabs>
          <w:tab w:val="left" w:pos="0"/>
        </w:tabs>
        <w:ind w:left="0"/>
        <w:rPr>
          <w:sz w:val="28"/>
          <w:szCs w:val="28"/>
        </w:rPr>
      </w:pPr>
      <w:r w:rsidRPr="00CA56AD">
        <w:rPr>
          <w:sz w:val="28"/>
          <w:szCs w:val="28"/>
        </w:rPr>
        <w:t>The issue in this appeal is whether the appellant, Key</w:t>
      </w:r>
      <w:r w:rsidR="00F04DC1" w:rsidRPr="00CA56AD">
        <w:rPr>
          <w:sz w:val="28"/>
          <w:szCs w:val="28"/>
        </w:rPr>
        <w:t>H</w:t>
      </w:r>
      <w:r w:rsidRPr="00CA56AD">
        <w:rPr>
          <w:sz w:val="28"/>
          <w:szCs w:val="28"/>
        </w:rPr>
        <w:t>ealth Medical Scheme (</w:t>
      </w:r>
      <w:r w:rsidR="00F04DC1" w:rsidRPr="00CA56AD">
        <w:rPr>
          <w:sz w:val="28"/>
          <w:szCs w:val="28"/>
        </w:rPr>
        <w:t>KeyHealth</w:t>
      </w:r>
      <w:r w:rsidRPr="00CA56AD">
        <w:rPr>
          <w:sz w:val="28"/>
          <w:szCs w:val="28"/>
        </w:rPr>
        <w:t>)</w:t>
      </w:r>
      <w:r w:rsidR="007F0CF2" w:rsidRPr="00CA56AD">
        <w:rPr>
          <w:sz w:val="28"/>
          <w:szCs w:val="28"/>
        </w:rPr>
        <w:t>,</w:t>
      </w:r>
      <w:r w:rsidRPr="00CA56AD">
        <w:rPr>
          <w:sz w:val="28"/>
          <w:szCs w:val="28"/>
        </w:rPr>
        <w:t xml:space="preserve"> was entitled to revoke the agreement it had </w:t>
      </w:r>
      <w:r w:rsidR="00686A83" w:rsidRPr="00CA56AD">
        <w:rPr>
          <w:sz w:val="28"/>
          <w:szCs w:val="28"/>
        </w:rPr>
        <w:t xml:space="preserve">with </w:t>
      </w:r>
      <w:r w:rsidRPr="00CA56AD">
        <w:rPr>
          <w:sz w:val="28"/>
          <w:szCs w:val="28"/>
        </w:rPr>
        <w:t>the respondent, Glopin (Pty) Ltd (Glopin)</w:t>
      </w:r>
      <w:r w:rsidR="007F0CF2" w:rsidRPr="00CA56AD">
        <w:rPr>
          <w:sz w:val="28"/>
          <w:szCs w:val="28"/>
        </w:rPr>
        <w:t>,</w:t>
      </w:r>
      <w:r w:rsidRPr="00CA56AD">
        <w:rPr>
          <w:sz w:val="28"/>
          <w:szCs w:val="28"/>
        </w:rPr>
        <w:t xml:space="preserve"> on the basis that it constituted a mandate revocable at any time by </w:t>
      </w:r>
      <w:r w:rsidR="00F04DC1" w:rsidRPr="00CA56AD">
        <w:rPr>
          <w:sz w:val="28"/>
          <w:szCs w:val="28"/>
        </w:rPr>
        <w:t>KeyHealth</w:t>
      </w:r>
      <w:r w:rsidRPr="00CA56AD">
        <w:rPr>
          <w:sz w:val="28"/>
          <w:szCs w:val="28"/>
        </w:rPr>
        <w:t xml:space="preserve">.    </w:t>
      </w:r>
    </w:p>
    <w:p w14:paraId="39142941" w14:textId="77777777" w:rsidR="006328D2" w:rsidRPr="00CA56AD" w:rsidRDefault="006328D2" w:rsidP="008E064A">
      <w:pPr>
        <w:tabs>
          <w:tab w:val="left" w:pos="0"/>
        </w:tabs>
        <w:rPr>
          <w:sz w:val="28"/>
          <w:szCs w:val="28"/>
        </w:rPr>
      </w:pPr>
      <w:r w:rsidRPr="00CA56AD">
        <w:rPr>
          <w:sz w:val="28"/>
          <w:szCs w:val="28"/>
        </w:rPr>
        <w:t xml:space="preserve">    </w:t>
      </w:r>
    </w:p>
    <w:p w14:paraId="557F63A6" w14:textId="090C8AD8" w:rsidR="000F6028" w:rsidRPr="00CA56AD" w:rsidRDefault="000F6028" w:rsidP="008E064A">
      <w:pPr>
        <w:numPr>
          <w:ilvl w:val="0"/>
          <w:numId w:val="1"/>
        </w:numPr>
        <w:tabs>
          <w:tab w:val="left" w:pos="0"/>
        </w:tabs>
        <w:ind w:left="0"/>
        <w:rPr>
          <w:sz w:val="28"/>
          <w:szCs w:val="28"/>
        </w:rPr>
      </w:pPr>
      <w:r w:rsidRPr="00CA56AD">
        <w:rPr>
          <w:sz w:val="28"/>
          <w:szCs w:val="28"/>
        </w:rPr>
        <w:t>On 20 October 2004</w:t>
      </w:r>
      <w:r w:rsidR="00DC29D8">
        <w:rPr>
          <w:sz w:val="28"/>
          <w:szCs w:val="28"/>
        </w:rPr>
        <w:t>,</w:t>
      </w:r>
      <w:r w:rsidRPr="00CA56AD">
        <w:rPr>
          <w:sz w:val="28"/>
          <w:szCs w:val="28"/>
        </w:rPr>
        <w:t xml:space="preserve"> </w:t>
      </w:r>
      <w:r w:rsidR="008B7B09" w:rsidRPr="00CA56AD">
        <w:rPr>
          <w:sz w:val="28"/>
          <w:szCs w:val="28"/>
        </w:rPr>
        <w:t xml:space="preserve">Glopin concluded a written broking agreement (the agreement) with </w:t>
      </w:r>
      <w:r w:rsidRPr="00CA56AD">
        <w:rPr>
          <w:sz w:val="28"/>
          <w:szCs w:val="28"/>
        </w:rPr>
        <w:t xml:space="preserve">Munimed </w:t>
      </w:r>
      <w:r w:rsidR="008B7B09" w:rsidRPr="00CA56AD">
        <w:rPr>
          <w:sz w:val="28"/>
          <w:szCs w:val="28"/>
        </w:rPr>
        <w:t>M</w:t>
      </w:r>
      <w:r w:rsidRPr="00CA56AD">
        <w:rPr>
          <w:sz w:val="28"/>
          <w:szCs w:val="28"/>
        </w:rPr>
        <w:t xml:space="preserve">edical </w:t>
      </w:r>
      <w:r w:rsidR="008B7B09" w:rsidRPr="00CA56AD">
        <w:rPr>
          <w:sz w:val="28"/>
          <w:szCs w:val="28"/>
        </w:rPr>
        <w:t>S</w:t>
      </w:r>
      <w:r w:rsidRPr="00CA56AD">
        <w:rPr>
          <w:sz w:val="28"/>
          <w:szCs w:val="28"/>
        </w:rPr>
        <w:t>cheme (Munimed)</w:t>
      </w:r>
      <w:r w:rsidR="008B7B09" w:rsidRPr="00CA56AD">
        <w:rPr>
          <w:sz w:val="28"/>
          <w:szCs w:val="28"/>
        </w:rPr>
        <w:t xml:space="preserve"> incorporating the following </w:t>
      </w:r>
      <w:r w:rsidRPr="00CA56AD">
        <w:rPr>
          <w:sz w:val="28"/>
          <w:szCs w:val="28"/>
        </w:rPr>
        <w:t>material terms</w:t>
      </w:r>
      <w:r w:rsidR="008B7B09" w:rsidRPr="00CA56AD">
        <w:rPr>
          <w:sz w:val="28"/>
          <w:szCs w:val="28"/>
        </w:rPr>
        <w:t>:</w:t>
      </w:r>
    </w:p>
    <w:p w14:paraId="131ECA9F" w14:textId="77777777" w:rsidR="00E631D2" w:rsidRPr="00CA56AD" w:rsidRDefault="00E631D2" w:rsidP="008E064A">
      <w:pPr>
        <w:tabs>
          <w:tab w:val="left" w:pos="0"/>
        </w:tabs>
      </w:pPr>
      <w:r w:rsidRPr="00CA56AD">
        <w:t>‘</w:t>
      </w:r>
      <w:r w:rsidR="008E064A" w:rsidRPr="00CA56AD">
        <w:t>2.</w:t>
      </w:r>
      <w:r w:rsidR="008E064A" w:rsidRPr="00CA56AD">
        <w:tab/>
      </w:r>
      <w:r w:rsidRPr="00CA56AD">
        <w:rPr>
          <w:u w:val="single"/>
        </w:rPr>
        <w:t>INTRODUCTION</w:t>
      </w:r>
      <w:r w:rsidRPr="00CA56AD">
        <w:t>:</w:t>
      </w:r>
    </w:p>
    <w:p w14:paraId="1F4FFE25" w14:textId="77777777" w:rsidR="00E631D2" w:rsidRPr="00CA56AD" w:rsidRDefault="00E631D2" w:rsidP="008E064A">
      <w:pPr>
        <w:tabs>
          <w:tab w:val="left" w:pos="0"/>
        </w:tabs>
      </w:pPr>
      <w:r w:rsidRPr="00CA56AD">
        <w:t xml:space="preserve">2.1 </w:t>
      </w:r>
      <w:r w:rsidR="008E064A" w:rsidRPr="00CA56AD">
        <w:tab/>
      </w:r>
      <w:r w:rsidRPr="00CA56AD">
        <w:t>GLOPIN wishes to introduce and admit new members to Munimed and provide ongoing services in relation to the products of Munimed for the benefit of GLOPIN’s clients.</w:t>
      </w:r>
    </w:p>
    <w:p w14:paraId="5AD596C0" w14:textId="77777777" w:rsidR="00E631D2" w:rsidRPr="00CA56AD" w:rsidRDefault="00E631D2" w:rsidP="008E064A">
      <w:pPr>
        <w:tabs>
          <w:tab w:val="left" w:pos="0"/>
        </w:tabs>
      </w:pPr>
      <w:r w:rsidRPr="00CA56AD">
        <w:t xml:space="preserve">2.2 </w:t>
      </w:r>
      <w:r w:rsidR="008E064A" w:rsidRPr="00CA56AD">
        <w:tab/>
      </w:r>
      <w:r w:rsidRPr="00CA56AD">
        <w:t>Munimed has agreed to accept the appointment of GLOPIN, subject to the terms and conditions of this agreement.</w:t>
      </w:r>
    </w:p>
    <w:p w14:paraId="4F051E43" w14:textId="77777777" w:rsidR="00E631D2" w:rsidRPr="00CA56AD" w:rsidRDefault="00E631D2" w:rsidP="008E064A">
      <w:pPr>
        <w:tabs>
          <w:tab w:val="left" w:pos="0"/>
        </w:tabs>
      </w:pPr>
      <w:r w:rsidRPr="00CA56AD">
        <w:lastRenderedPageBreak/>
        <w:t xml:space="preserve">3. </w:t>
      </w:r>
      <w:r w:rsidR="008E064A" w:rsidRPr="00CA56AD">
        <w:tab/>
      </w:r>
      <w:r w:rsidRPr="00CA56AD">
        <w:rPr>
          <w:u w:val="single"/>
        </w:rPr>
        <w:t>DURATION AND SCOPE</w:t>
      </w:r>
      <w:r w:rsidRPr="00CA56AD">
        <w:t xml:space="preserve">: </w:t>
      </w:r>
    </w:p>
    <w:p w14:paraId="1266DA5E" w14:textId="77777777" w:rsidR="00E631D2" w:rsidRPr="00CA56AD" w:rsidRDefault="00E631D2" w:rsidP="008E064A">
      <w:pPr>
        <w:tabs>
          <w:tab w:val="left" w:pos="0"/>
        </w:tabs>
      </w:pPr>
      <w:r w:rsidRPr="00CA56AD">
        <w:t xml:space="preserve">3.1 </w:t>
      </w:r>
      <w:r w:rsidR="008E064A" w:rsidRPr="00CA56AD">
        <w:tab/>
      </w:r>
      <w:r w:rsidRPr="00CA56AD">
        <w:t xml:space="preserve">GLOPIN is </w:t>
      </w:r>
      <w:r w:rsidRPr="00CA56AD">
        <w:rPr>
          <w:i/>
        </w:rPr>
        <w:t>authorised</w:t>
      </w:r>
      <w:r w:rsidR="008E064A" w:rsidRPr="00CA56AD">
        <w:t>,</w:t>
      </w:r>
      <w:r w:rsidRPr="00CA56AD">
        <w:t xml:space="preserve"> with effect from the commencement date, to submit to Munimed, on behalf of GLOPIN’s clients</w:t>
      </w:r>
      <w:r w:rsidR="004871E0" w:rsidRPr="00CA56AD">
        <w:t>,</w:t>
      </w:r>
      <w:r w:rsidR="00161F94" w:rsidRPr="00CA56AD">
        <w:t xml:space="preserve"> applications for the products for the benefit of </w:t>
      </w:r>
      <w:r w:rsidR="004871E0" w:rsidRPr="00CA56AD">
        <w:t>GLOPIN</w:t>
      </w:r>
      <w:r w:rsidR="00161F94" w:rsidRPr="00CA56AD">
        <w:t>’s clients</w:t>
      </w:r>
      <w:r w:rsidRPr="00CA56AD">
        <w:t xml:space="preserve"> and to provide ongoing broker services.</w:t>
      </w:r>
    </w:p>
    <w:p w14:paraId="0ED3FC74" w14:textId="77777777" w:rsidR="00E631D2" w:rsidRPr="00CA56AD" w:rsidRDefault="00E631D2" w:rsidP="008E064A">
      <w:pPr>
        <w:tabs>
          <w:tab w:val="left" w:pos="0"/>
        </w:tabs>
        <w:rPr>
          <w:i/>
        </w:rPr>
      </w:pPr>
      <w:r w:rsidRPr="00CA56AD">
        <w:t xml:space="preserve">3.2 </w:t>
      </w:r>
      <w:r w:rsidR="008E064A" w:rsidRPr="00CA56AD">
        <w:tab/>
      </w:r>
      <w:r w:rsidRPr="00CA56AD">
        <w:t xml:space="preserve">GLOPIN’s </w:t>
      </w:r>
      <w:r w:rsidRPr="00CA56AD">
        <w:rPr>
          <w:i/>
        </w:rPr>
        <w:t>authority</w:t>
      </w:r>
      <w:r w:rsidRPr="00CA56AD">
        <w:t xml:space="preserve"> in terms of this agreement is limited to what is set out in 3.1 above. Without limiting the generality of the aforegoing, </w:t>
      </w:r>
      <w:r w:rsidRPr="00CA56AD">
        <w:rPr>
          <w:i/>
        </w:rPr>
        <w:t xml:space="preserve">GLOPIN is not appointed as agent or representative of Munimed and is not authorised to or </w:t>
      </w:r>
      <w:r w:rsidR="004871E0" w:rsidRPr="00CA56AD">
        <w:rPr>
          <w:i/>
        </w:rPr>
        <w:t xml:space="preserve">to </w:t>
      </w:r>
      <w:r w:rsidRPr="00CA56AD">
        <w:rPr>
          <w:i/>
        </w:rPr>
        <w:t>purport to:-</w:t>
      </w:r>
    </w:p>
    <w:p w14:paraId="7588995F" w14:textId="77777777" w:rsidR="00E631D2" w:rsidRPr="00CA56AD" w:rsidRDefault="00E631D2" w:rsidP="008E064A">
      <w:pPr>
        <w:tabs>
          <w:tab w:val="left" w:pos="0"/>
        </w:tabs>
        <w:rPr>
          <w:i/>
        </w:rPr>
      </w:pPr>
      <w:r w:rsidRPr="00CA56AD">
        <w:rPr>
          <w:i/>
        </w:rPr>
        <w:t xml:space="preserve">3.2.1 </w:t>
      </w:r>
      <w:r w:rsidR="008E064A" w:rsidRPr="00CA56AD">
        <w:rPr>
          <w:i/>
        </w:rPr>
        <w:tab/>
      </w:r>
      <w:r w:rsidRPr="00CA56AD">
        <w:rPr>
          <w:i/>
        </w:rPr>
        <w:t>contract on behalf of or in any way bind Munimed;</w:t>
      </w:r>
    </w:p>
    <w:p w14:paraId="1470CA4D" w14:textId="77777777" w:rsidR="00E631D2" w:rsidRPr="00CA56AD" w:rsidRDefault="00E631D2" w:rsidP="008E064A">
      <w:pPr>
        <w:tabs>
          <w:tab w:val="left" w:pos="0"/>
        </w:tabs>
        <w:rPr>
          <w:i/>
        </w:rPr>
      </w:pPr>
      <w:r w:rsidRPr="00CA56AD">
        <w:rPr>
          <w:i/>
        </w:rPr>
        <w:t xml:space="preserve">3.2.2 </w:t>
      </w:r>
      <w:r w:rsidR="008E064A" w:rsidRPr="00CA56AD">
        <w:rPr>
          <w:i/>
        </w:rPr>
        <w:tab/>
      </w:r>
      <w:r w:rsidRPr="00CA56AD">
        <w:rPr>
          <w:i/>
        </w:rPr>
        <w:t>incur any debt or liability or accept an</w:t>
      </w:r>
      <w:r w:rsidR="004871E0" w:rsidRPr="00CA56AD">
        <w:rPr>
          <w:i/>
        </w:rPr>
        <w:t>y</w:t>
      </w:r>
      <w:r w:rsidRPr="00CA56AD">
        <w:rPr>
          <w:i/>
        </w:rPr>
        <w:t xml:space="preserve"> insurance risk on Munimed’s behalf;</w:t>
      </w:r>
    </w:p>
    <w:p w14:paraId="460D97F5" w14:textId="77777777" w:rsidR="00E631D2" w:rsidRPr="00CA56AD" w:rsidRDefault="00E631D2" w:rsidP="008E064A">
      <w:pPr>
        <w:tabs>
          <w:tab w:val="left" w:pos="0"/>
        </w:tabs>
        <w:rPr>
          <w:i/>
        </w:rPr>
      </w:pPr>
      <w:r w:rsidRPr="00CA56AD">
        <w:rPr>
          <w:i/>
        </w:rPr>
        <w:t xml:space="preserve">3.2.3 </w:t>
      </w:r>
      <w:r w:rsidR="008E064A" w:rsidRPr="00CA56AD">
        <w:rPr>
          <w:i/>
        </w:rPr>
        <w:tab/>
      </w:r>
      <w:r w:rsidRPr="00CA56AD">
        <w:rPr>
          <w:i/>
        </w:rPr>
        <w:t>agree to alter any policy (including, but not limited to, the premiums payable) or waive any lapse, forfeiture or other non-compliance with conditions by any policyholder or insured;</w:t>
      </w:r>
    </w:p>
    <w:p w14:paraId="128B5D63" w14:textId="77777777" w:rsidR="00E631D2" w:rsidRPr="00CA56AD" w:rsidRDefault="00E631D2" w:rsidP="008E064A">
      <w:pPr>
        <w:tabs>
          <w:tab w:val="left" w:pos="0"/>
        </w:tabs>
        <w:rPr>
          <w:i/>
        </w:rPr>
      </w:pPr>
      <w:r w:rsidRPr="00CA56AD">
        <w:rPr>
          <w:i/>
        </w:rPr>
        <w:t xml:space="preserve">3.2.4 </w:t>
      </w:r>
      <w:r w:rsidR="008E064A" w:rsidRPr="00CA56AD">
        <w:rPr>
          <w:i/>
        </w:rPr>
        <w:tab/>
      </w:r>
      <w:r w:rsidRPr="00CA56AD">
        <w:rPr>
          <w:i/>
        </w:rPr>
        <w:t>extend the time for the payment of any premium;</w:t>
      </w:r>
    </w:p>
    <w:p w14:paraId="078A481B" w14:textId="77777777" w:rsidR="00E631D2" w:rsidRPr="00CA56AD" w:rsidRDefault="00E631D2" w:rsidP="008E064A">
      <w:pPr>
        <w:tabs>
          <w:tab w:val="left" w:pos="0"/>
        </w:tabs>
      </w:pPr>
      <w:r w:rsidRPr="00CA56AD">
        <w:rPr>
          <w:i/>
        </w:rPr>
        <w:t xml:space="preserve">3.2.5 </w:t>
      </w:r>
      <w:r w:rsidR="008E064A" w:rsidRPr="00CA56AD">
        <w:rPr>
          <w:i/>
        </w:rPr>
        <w:tab/>
      </w:r>
      <w:r w:rsidRPr="00CA56AD">
        <w:rPr>
          <w:i/>
        </w:rPr>
        <w:t xml:space="preserve">collect and accept premiums for </w:t>
      </w:r>
      <w:r w:rsidR="00C9523B" w:rsidRPr="00CA56AD">
        <w:rPr>
          <w:i/>
        </w:rPr>
        <w:t xml:space="preserve">and </w:t>
      </w:r>
      <w:r w:rsidRPr="00CA56AD">
        <w:rPr>
          <w:i/>
        </w:rPr>
        <w:t>on behalf of Munimed</w:t>
      </w:r>
      <w:r w:rsidR="00C9523B" w:rsidRPr="00CA56AD">
        <w:t>.</w:t>
      </w:r>
    </w:p>
    <w:p w14:paraId="5EFCDC91" w14:textId="77777777" w:rsidR="00E631D2" w:rsidRPr="00CA56AD" w:rsidRDefault="00E631D2" w:rsidP="008E064A">
      <w:pPr>
        <w:tabs>
          <w:tab w:val="left" w:pos="0"/>
        </w:tabs>
      </w:pPr>
      <w:r w:rsidRPr="00CA56AD">
        <w:t xml:space="preserve">3.3 </w:t>
      </w:r>
      <w:r w:rsidR="008E064A" w:rsidRPr="00CA56AD">
        <w:tab/>
      </w:r>
      <w:r w:rsidRPr="00CA56AD">
        <w:t>GLOPIN shall not publish anything concerning Munimed without its prior written approval.</w:t>
      </w:r>
    </w:p>
    <w:p w14:paraId="25A69FB0" w14:textId="77777777" w:rsidR="00E631D2" w:rsidRPr="00CA56AD" w:rsidRDefault="00E631D2" w:rsidP="008E064A">
      <w:pPr>
        <w:tabs>
          <w:tab w:val="left" w:pos="0"/>
        </w:tabs>
      </w:pPr>
      <w:r w:rsidRPr="00CA56AD">
        <w:t xml:space="preserve">3.4 </w:t>
      </w:r>
      <w:r w:rsidR="008E064A" w:rsidRPr="00CA56AD">
        <w:tab/>
      </w:r>
      <w:r w:rsidRPr="00CA56AD">
        <w:t xml:space="preserve">For the purposes of sub-clauses 3.2 and 3.3, any reference to GLOPIN shall include </w:t>
      </w:r>
      <w:r w:rsidR="00C9523B" w:rsidRPr="00CA56AD">
        <w:t>GLOPIN</w:t>
      </w:r>
      <w:r w:rsidRPr="00CA56AD">
        <w:t>’s employees, agents and/or consultants.</w:t>
      </w:r>
    </w:p>
    <w:p w14:paraId="0448E3D4" w14:textId="77777777" w:rsidR="00E631D2" w:rsidRPr="00CA56AD" w:rsidRDefault="00E631D2" w:rsidP="008E064A">
      <w:pPr>
        <w:tabs>
          <w:tab w:val="left" w:pos="0"/>
        </w:tabs>
        <w:rPr>
          <w:u w:val="single"/>
        </w:rPr>
      </w:pPr>
      <w:r w:rsidRPr="00CA56AD">
        <w:t xml:space="preserve">4. </w:t>
      </w:r>
      <w:r w:rsidR="008E064A" w:rsidRPr="00CA56AD">
        <w:tab/>
      </w:r>
      <w:r w:rsidRPr="00CA56AD">
        <w:rPr>
          <w:u w:val="single"/>
        </w:rPr>
        <w:t>DURATION AND TERMINATION</w:t>
      </w:r>
      <w:r w:rsidR="00344F62" w:rsidRPr="00CA56AD">
        <w:rPr>
          <w:u w:val="single"/>
        </w:rPr>
        <w:t>:</w:t>
      </w:r>
    </w:p>
    <w:p w14:paraId="7B58FB07" w14:textId="77777777" w:rsidR="00E631D2" w:rsidRPr="00CA56AD" w:rsidRDefault="00E631D2" w:rsidP="008E064A">
      <w:pPr>
        <w:tabs>
          <w:tab w:val="left" w:pos="0"/>
        </w:tabs>
      </w:pPr>
      <w:r w:rsidRPr="00CA56AD">
        <w:t xml:space="preserve">4.1 </w:t>
      </w:r>
      <w:r w:rsidR="008E064A" w:rsidRPr="00CA56AD">
        <w:tab/>
      </w:r>
      <w:r w:rsidRPr="00CA56AD">
        <w:t xml:space="preserve">This agreement shall commence on 1 September 2004 and shall continue for the period of accreditation of GLOPIN by the Council for </w:t>
      </w:r>
      <w:r w:rsidR="00C9523B" w:rsidRPr="00CA56AD">
        <w:t>[M]</w:t>
      </w:r>
      <w:r w:rsidRPr="00CA56AD">
        <w:t xml:space="preserve">edical </w:t>
      </w:r>
      <w:r w:rsidR="00C9523B" w:rsidRPr="00CA56AD">
        <w:t>S</w:t>
      </w:r>
      <w:r w:rsidRPr="00CA56AD">
        <w:t>chemes and may be terminated by either party hereto, pursuant to the terms contained in this agreement.</w:t>
      </w:r>
    </w:p>
    <w:p w14:paraId="1FA33288" w14:textId="77777777" w:rsidR="00E631D2" w:rsidRPr="00CA56AD" w:rsidRDefault="00E631D2" w:rsidP="008E064A">
      <w:pPr>
        <w:tabs>
          <w:tab w:val="left" w:pos="0"/>
        </w:tabs>
      </w:pPr>
      <w:r w:rsidRPr="00CA56AD">
        <w:t xml:space="preserve">4.2 </w:t>
      </w:r>
      <w:r w:rsidR="008E064A" w:rsidRPr="00CA56AD">
        <w:tab/>
      </w:r>
      <w:r w:rsidRPr="00CA56AD">
        <w:t>This agreement may be terminated by either party in terms of ruling legislation.</w:t>
      </w:r>
    </w:p>
    <w:p w14:paraId="52D64FF7" w14:textId="77777777" w:rsidR="00E631D2" w:rsidRPr="00CA56AD" w:rsidRDefault="00E631D2" w:rsidP="008E064A">
      <w:pPr>
        <w:tabs>
          <w:tab w:val="left" w:pos="0"/>
        </w:tabs>
      </w:pPr>
      <w:r w:rsidRPr="00CA56AD">
        <w:t xml:space="preserve">4.3 </w:t>
      </w:r>
      <w:r w:rsidR="008E064A" w:rsidRPr="00CA56AD">
        <w:tab/>
      </w:r>
      <w:r w:rsidRPr="00CA56AD">
        <w:t>This agreement shall automatically terminate:</w:t>
      </w:r>
    </w:p>
    <w:p w14:paraId="02C6984B" w14:textId="77777777" w:rsidR="00E631D2" w:rsidRPr="00CA56AD" w:rsidRDefault="00E631D2" w:rsidP="008E064A">
      <w:pPr>
        <w:tabs>
          <w:tab w:val="left" w:pos="0"/>
        </w:tabs>
      </w:pPr>
      <w:r w:rsidRPr="00CA56AD">
        <w:t xml:space="preserve">4.3.1 </w:t>
      </w:r>
      <w:r w:rsidR="008E064A" w:rsidRPr="00CA56AD">
        <w:tab/>
      </w:r>
      <w:r w:rsidRPr="00CA56AD">
        <w:t>In the event of GLOPIN entering into any compromise with its creditors; or</w:t>
      </w:r>
    </w:p>
    <w:p w14:paraId="17CD1565" w14:textId="77777777" w:rsidR="00E631D2" w:rsidRPr="00CA56AD" w:rsidRDefault="00E631D2" w:rsidP="008E064A">
      <w:pPr>
        <w:tabs>
          <w:tab w:val="left" w:pos="0"/>
        </w:tabs>
      </w:pPr>
      <w:r w:rsidRPr="00CA56AD">
        <w:t xml:space="preserve">4.3.2 </w:t>
      </w:r>
      <w:r w:rsidR="008E064A" w:rsidRPr="00CA56AD">
        <w:tab/>
      </w:r>
      <w:r w:rsidRPr="00CA56AD">
        <w:t>In the event of GLOPIN been provisionally or finally wound up or sequestrated; or</w:t>
      </w:r>
    </w:p>
    <w:p w14:paraId="31BA7440" w14:textId="77777777" w:rsidR="00405F3B" w:rsidRPr="00CA56AD" w:rsidRDefault="00E631D2" w:rsidP="008E064A">
      <w:pPr>
        <w:tabs>
          <w:tab w:val="left" w:pos="0"/>
        </w:tabs>
      </w:pPr>
      <w:r w:rsidRPr="00CA56AD">
        <w:t xml:space="preserve">4.3.3 </w:t>
      </w:r>
      <w:r w:rsidR="008E064A" w:rsidRPr="00CA56AD">
        <w:tab/>
      </w:r>
      <w:r w:rsidRPr="00CA56AD">
        <w:t>In the event of GLOPIN not complying with the [Medical Schemes Act 131 of 1998 and regulations thereto, or any legislation which may amend or replace the Act or regulations thereto]</w:t>
      </w:r>
      <w:r w:rsidRPr="00CA56AD">
        <w:rPr>
          <w:rStyle w:val="FootnoteReference"/>
        </w:rPr>
        <w:footnoteReference w:id="1"/>
      </w:r>
      <w:r w:rsidRPr="00CA56AD">
        <w:t xml:space="preserve"> (to be read in conjunction with the Corruption Act No. 94 of 1994), </w:t>
      </w:r>
      <w:r w:rsidRPr="00CA56AD">
        <w:lastRenderedPageBreak/>
        <w:t xml:space="preserve">the minimum service levels as required by the scheme or the Act, the broker code of conduct/ethics </w:t>
      </w:r>
      <w:r w:rsidR="00344F62" w:rsidRPr="00CA56AD">
        <w:t>as</w:t>
      </w:r>
      <w:r w:rsidRPr="00CA56AD">
        <w:t xml:space="preserve"> determined by the Council for Medical Schemes, and the Financial Advisory and Intermediary Services Act (FAIS Act).</w:t>
      </w:r>
      <w:r w:rsidR="00161F94" w:rsidRPr="00CA56AD">
        <w:t xml:space="preserve"> </w:t>
      </w:r>
    </w:p>
    <w:p w14:paraId="590A7A57" w14:textId="77777777" w:rsidR="00405F3B" w:rsidRPr="00CA56AD" w:rsidRDefault="00405F3B" w:rsidP="008E064A">
      <w:pPr>
        <w:tabs>
          <w:tab w:val="left" w:pos="0"/>
        </w:tabs>
      </w:pPr>
      <w:r w:rsidRPr="00CA56AD">
        <w:t>. . .</w:t>
      </w:r>
    </w:p>
    <w:p w14:paraId="02043333" w14:textId="77777777" w:rsidR="00344F62" w:rsidRPr="00CA56AD" w:rsidRDefault="00344F62" w:rsidP="008E064A">
      <w:pPr>
        <w:tabs>
          <w:tab w:val="left" w:pos="0"/>
        </w:tabs>
      </w:pPr>
      <w:r w:rsidRPr="00CA56AD">
        <w:t>6.</w:t>
      </w:r>
      <w:r w:rsidRPr="00CA56AD">
        <w:tab/>
      </w:r>
      <w:r w:rsidRPr="00CA56AD">
        <w:rPr>
          <w:u w:val="single"/>
        </w:rPr>
        <w:t>COMPENSATION:</w:t>
      </w:r>
    </w:p>
    <w:p w14:paraId="762CEBF6" w14:textId="77777777" w:rsidR="00E631D2" w:rsidRPr="00CA56AD" w:rsidRDefault="00405F3B" w:rsidP="008E064A">
      <w:pPr>
        <w:tabs>
          <w:tab w:val="left" w:pos="0"/>
        </w:tabs>
      </w:pPr>
      <w:r w:rsidRPr="00CA56AD">
        <w:t xml:space="preserve">6.1 </w:t>
      </w:r>
      <w:r w:rsidR="008E064A" w:rsidRPr="00CA56AD">
        <w:tab/>
      </w:r>
      <w:r w:rsidRPr="00CA56AD">
        <w:t xml:space="preserve">GLOPIN </w:t>
      </w:r>
      <w:r w:rsidR="00862A17" w:rsidRPr="00CA56AD">
        <w:t xml:space="preserve">shall </w:t>
      </w:r>
      <w:r w:rsidRPr="00CA56AD">
        <w:t>be paid compensation</w:t>
      </w:r>
      <w:r w:rsidR="00862A17" w:rsidRPr="00CA56AD">
        <w:t xml:space="preserve"> for premiums paid to, received and allocated by Munimed for the products issued by Munimed pursuant to applications procured and submitted </w:t>
      </w:r>
      <w:r w:rsidR="00DC5B47" w:rsidRPr="00CA56AD">
        <w:t xml:space="preserve">by </w:t>
      </w:r>
      <w:r w:rsidR="00862A17" w:rsidRPr="00CA56AD">
        <w:t xml:space="preserve">GLOPIN. The rates at which </w:t>
      </w:r>
      <w:r w:rsidR="00DC5B47" w:rsidRPr="00CA56AD">
        <w:t xml:space="preserve">such </w:t>
      </w:r>
      <w:r w:rsidR="00862A17" w:rsidRPr="00CA56AD">
        <w:t>compensation shall be paid shall be equal to the maximum payable by statute or regulation from time to time. GLOPIN shall be provided with a schedule setting out the total sum of all compensation payable by Munimed to GLOPIN.</w:t>
      </w:r>
      <w:r w:rsidR="00E631D2" w:rsidRPr="00CA56AD">
        <w:t>’</w:t>
      </w:r>
      <w:r w:rsidR="00161F94" w:rsidRPr="00CA56AD">
        <w:t xml:space="preserve"> (My emphasis.)</w:t>
      </w:r>
    </w:p>
    <w:p w14:paraId="346544AA" w14:textId="77777777" w:rsidR="008B7730" w:rsidRPr="00CA56AD" w:rsidRDefault="008B7730" w:rsidP="008E064A">
      <w:pPr>
        <w:tabs>
          <w:tab w:val="left" w:pos="0"/>
        </w:tabs>
        <w:rPr>
          <w:sz w:val="28"/>
          <w:szCs w:val="28"/>
        </w:rPr>
      </w:pPr>
    </w:p>
    <w:p w14:paraId="2C0807C0" w14:textId="0F1D0B6A" w:rsidR="00161F94" w:rsidRPr="00CA56AD" w:rsidRDefault="006328D2" w:rsidP="008E064A">
      <w:pPr>
        <w:numPr>
          <w:ilvl w:val="0"/>
          <w:numId w:val="1"/>
        </w:numPr>
        <w:tabs>
          <w:tab w:val="left" w:pos="0"/>
        </w:tabs>
        <w:ind w:left="0"/>
        <w:rPr>
          <w:sz w:val="28"/>
          <w:szCs w:val="28"/>
        </w:rPr>
      </w:pPr>
      <w:r w:rsidRPr="00CA56AD">
        <w:rPr>
          <w:sz w:val="28"/>
          <w:szCs w:val="28"/>
        </w:rPr>
        <w:t>The a</w:t>
      </w:r>
      <w:r w:rsidR="008B7730" w:rsidRPr="00CA56AD">
        <w:rPr>
          <w:sz w:val="28"/>
          <w:szCs w:val="28"/>
        </w:rPr>
        <w:t>greement</w:t>
      </w:r>
      <w:r w:rsidRPr="00CA56AD">
        <w:rPr>
          <w:sz w:val="28"/>
          <w:szCs w:val="28"/>
        </w:rPr>
        <w:t xml:space="preserve"> was assigned to </w:t>
      </w:r>
      <w:r w:rsidR="00F04DC1" w:rsidRPr="00CA56AD">
        <w:rPr>
          <w:sz w:val="28"/>
          <w:szCs w:val="28"/>
        </w:rPr>
        <w:t>KeyHealth</w:t>
      </w:r>
      <w:r w:rsidRPr="00CA56AD">
        <w:rPr>
          <w:sz w:val="28"/>
          <w:szCs w:val="28"/>
        </w:rPr>
        <w:t xml:space="preserve"> by Munimed</w:t>
      </w:r>
      <w:r w:rsidR="00DC5B47" w:rsidRPr="00CA56AD">
        <w:rPr>
          <w:sz w:val="28"/>
          <w:szCs w:val="28"/>
        </w:rPr>
        <w:t xml:space="preserve"> on 24 October 2011</w:t>
      </w:r>
      <w:r w:rsidR="008B7730" w:rsidRPr="00CA56AD">
        <w:rPr>
          <w:sz w:val="28"/>
          <w:szCs w:val="28"/>
        </w:rPr>
        <w:t xml:space="preserve">. </w:t>
      </w:r>
      <w:r w:rsidR="00862A17" w:rsidRPr="00CA56AD">
        <w:rPr>
          <w:sz w:val="28"/>
          <w:szCs w:val="28"/>
        </w:rPr>
        <w:t xml:space="preserve">On 14 February 2017, </w:t>
      </w:r>
      <w:r w:rsidR="00F04DC1" w:rsidRPr="00CA56AD">
        <w:rPr>
          <w:sz w:val="28"/>
          <w:szCs w:val="28"/>
        </w:rPr>
        <w:t>KeyHealth</w:t>
      </w:r>
      <w:r w:rsidR="00862A17" w:rsidRPr="00CA56AD">
        <w:rPr>
          <w:sz w:val="28"/>
          <w:szCs w:val="28"/>
        </w:rPr>
        <w:t xml:space="preserve">’s attorneys sent a letter to Glopin terminating the agreement citing Glopin’s failure to comply with legislation, service levels and </w:t>
      </w:r>
      <w:r w:rsidRPr="00CA56AD">
        <w:rPr>
          <w:sz w:val="28"/>
          <w:szCs w:val="28"/>
        </w:rPr>
        <w:t xml:space="preserve">the </w:t>
      </w:r>
      <w:r w:rsidR="00862A17" w:rsidRPr="00CA56AD">
        <w:rPr>
          <w:sz w:val="28"/>
          <w:szCs w:val="28"/>
        </w:rPr>
        <w:t xml:space="preserve">code of conduct </w:t>
      </w:r>
      <w:r w:rsidRPr="00CA56AD">
        <w:rPr>
          <w:sz w:val="28"/>
          <w:szCs w:val="28"/>
        </w:rPr>
        <w:t xml:space="preserve">as stated in </w:t>
      </w:r>
      <w:r w:rsidR="00862A17" w:rsidRPr="00CA56AD">
        <w:rPr>
          <w:sz w:val="28"/>
          <w:szCs w:val="28"/>
        </w:rPr>
        <w:t>clause 4.3 of the agreement</w:t>
      </w:r>
      <w:r w:rsidR="004D42E5" w:rsidRPr="00CA56AD">
        <w:rPr>
          <w:sz w:val="28"/>
          <w:szCs w:val="28"/>
        </w:rPr>
        <w:t xml:space="preserve">, which </w:t>
      </w:r>
      <w:r w:rsidR="00F04DC1" w:rsidRPr="00CA56AD">
        <w:rPr>
          <w:sz w:val="28"/>
          <w:szCs w:val="28"/>
        </w:rPr>
        <w:t>KeyHealth</w:t>
      </w:r>
      <w:r w:rsidR="004D42E5" w:rsidRPr="00CA56AD">
        <w:rPr>
          <w:sz w:val="28"/>
          <w:szCs w:val="28"/>
        </w:rPr>
        <w:t xml:space="preserve"> viewed as constituting a serious breach</w:t>
      </w:r>
      <w:r w:rsidR="00862A17" w:rsidRPr="00CA56AD">
        <w:rPr>
          <w:sz w:val="28"/>
          <w:szCs w:val="28"/>
        </w:rPr>
        <w:t xml:space="preserve">. Glopin </w:t>
      </w:r>
      <w:r w:rsidR="004D5884" w:rsidRPr="00CA56AD">
        <w:rPr>
          <w:sz w:val="28"/>
          <w:szCs w:val="28"/>
        </w:rPr>
        <w:t>regarded</w:t>
      </w:r>
      <w:r w:rsidR="00862A17" w:rsidRPr="00CA56AD">
        <w:rPr>
          <w:sz w:val="28"/>
          <w:szCs w:val="28"/>
        </w:rPr>
        <w:t xml:space="preserve"> this as repudiation of the </w:t>
      </w:r>
      <w:r w:rsidR="00161F94" w:rsidRPr="00CA56AD">
        <w:rPr>
          <w:sz w:val="28"/>
          <w:szCs w:val="28"/>
        </w:rPr>
        <w:t>agreement, which</w:t>
      </w:r>
      <w:r w:rsidR="00862A17" w:rsidRPr="00CA56AD">
        <w:rPr>
          <w:sz w:val="28"/>
          <w:szCs w:val="28"/>
        </w:rPr>
        <w:t xml:space="preserve"> it did not accept.</w:t>
      </w:r>
    </w:p>
    <w:p w14:paraId="4B1E09FF" w14:textId="77777777" w:rsidR="00161F94" w:rsidRPr="00CA56AD" w:rsidRDefault="00161F94" w:rsidP="008E064A">
      <w:pPr>
        <w:tabs>
          <w:tab w:val="left" w:pos="0"/>
        </w:tabs>
        <w:rPr>
          <w:sz w:val="28"/>
          <w:szCs w:val="28"/>
        </w:rPr>
      </w:pPr>
    </w:p>
    <w:p w14:paraId="5A724CC8" w14:textId="77777777" w:rsidR="008B7730" w:rsidRPr="00CA56AD" w:rsidRDefault="00161F94" w:rsidP="008E064A">
      <w:pPr>
        <w:numPr>
          <w:ilvl w:val="0"/>
          <w:numId w:val="1"/>
        </w:numPr>
        <w:tabs>
          <w:tab w:val="left" w:pos="0"/>
        </w:tabs>
        <w:ind w:left="0"/>
        <w:rPr>
          <w:sz w:val="28"/>
          <w:szCs w:val="28"/>
        </w:rPr>
      </w:pPr>
      <w:r w:rsidRPr="00CA56AD">
        <w:rPr>
          <w:sz w:val="28"/>
          <w:szCs w:val="28"/>
        </w:rPr>
        <w:t xml:space="preserve">Glopin </w:t>
      </w:r>
      <w:r w:rsidR="00F770D0" w:rsidRPr="00CA56AD">
        <w:rPr>
          <w:sz w:val="28"/>
          <w:szCs w:val="28"/>
        </w:rPr>
        <w:t xml:space="preserve">subsequently </w:t>
      </w:r>
      <w:r w:rsidR="00862A17" w:rsidRPr="00CA56AD">
        <w:rPr>
          <w:sz w:val="28"/>
          <w:szCs w:val="28"/>
        </w:rPr>
        <w:t xml:space="preserve">approached </w:t>
      </w:r>
      <w:r w:rsidRPr="00CA56AD">
        <w:rPr>
          <w:sz w:val="28"/>
          <w:szCs w:val="28"/>
        </w:rPr>
        <w:t xml:space="preserve">the </w:t>
      </w:r>
      <w:r w:rsidR="00862A17" w:rsidRPr="00CA56AD">
        <w:rPr>
          <w:sz w:val="28"/>
          <w:szCs w:val="28"/>
        </w:rPr>
        <w:t>Gauteng Division of the High Court, Pretoria</w:t>
      </w:r>
      <w:r w:rsidR="00DE5C2D" w:rsidRPr="00CA56AD">
        <w:rPr>
          <w:sz w:val="28"/>
          <w:szCs w:val="28"/>
        </w:rPr>
        <w:t xml:space="preserve"> (the high court)</w:t>
      </w:r>
      <w:r w:rsidRPr="00CA56AD">
        <w:rPr>
          <w:sz w:val="28"/>
          <w:szCs w:val="28"/>
        </w:rPr>
        <w:t xml:space="preserve"> </w:t>
      </w:r>
      <w:r w:rsidR="00862A17" w:rsidRPr="00CA56AD">
        <w:rPr>
          <w:sz w:val="28"/>
          <w:szCs w:val="28"/>
        </w:rPr>
        <w:t xml:space="preserve">for urgent </w:t>
      </w:r>
      <w:r w:rsidR="00FF57DE" w:rsidRPr="00CA56AD">
        <w:rPr>
          <w:sz w:val="28"/>
          <w:szCs w:val="28"/>
        </w:rPr>
        <w:t>relief</w:t>
      </w:r>
      <w:r w:rsidR="00862A17" w:rsidRPr="00CA56AD">
        <w:rPr>
          <w:sz w:val="28"/>
          <w:szCs w:val="28"/>
        </w:rPr>
        <w:t xml:space="preserve">, seeking an interim order preventing </w:t>
      </w:r>
      <w:r w:rsidR="00F04DC1" w:rsidRPr="00CA56AD">
        <w:rPr>
          <w:sz w:val="28"/>
          <w:szCs w:val="28"/>
        </w:rPr>
        <w:t>KeyHealth</w:t>
      </w:r>
      <w:r w:rsidR="00862A17" w:rsidRPr="00CA56AD">
        <w:rPr>
          <w:sz w:val="28"/>
          <w:szCs w:val="28"/>
        </w:rPr>
        <w:t xml:space="preserve"> from acting upon its repudiation pending the outcome of an action it intended to institute</w:t>
      </w:r>
      <w:r w:rsidRPr="00CA56AD">
        <w:rPr>
          <w:sz w:val="28"/>
          <w:szCs w:val="28"/>
        </w:rPr>
        <w:t xml:space="preserve"> against </w:t>
      </w:r>
      <w:r w:rsidR="004D5884" w:rsidRPr="00CA56AD">
        <w:rPr>
          <w:sz w:val="28"/>
          <w:szCs w:val="28"/>
        </w:rPr>
        <w:t>Key</w:t>
      </w:r>
      <w:r w:rsidR="00FE1376" w:rsidRPr="00CA56AD">
        <w:rPr>
          <w:sz w:val="28"/>
          <w:szCs w:val="28"/>
        </w:rPr>
        <w:t>H</w:t>
      </w:r>
      <w:r w:rsidR="004D5884" w:rsidRPr="00CA56AD">
        <w:rPr>
          <w:sz w:val="28"/>
          <w:szCs w:val="28"/>
        </w:rPr>
        <w:t>ea</w:t>
      </w:r>
      <w:r w:rsidR="00FE1376" w:rsidRPr="00CA56AD">
        <w:rPr>
          <w:sz w:val="28"/>
          <w:szCs w:val="28"/>
        </w:rPr>
        <w:t>l</w:t>
      </w:r>
      <w:r w:rsidR="004D5884" w:rsidRPr="00CA56AD">
        <w:rPr>
          <w:sz w:val="28"/>
          <w:szCs w:val="28"/>
        </w:rPr>
        <w:t>th</w:t>
      </w:r>
      <w:r w:rsidRPr="00CA56AD">
        <w:rPr>
          <w:sz w:val="28"/>
          <w:szCs w:val="28"/>
        </w:rPr>
        <w:t>.</w:t>
      </w:r>
      <w:r w:rsidR="00862A17" w:rsidRPr="00CA56AD">
        <w:rPr>
          <w:sz w:val="28"/>
          <w:szCs w:val="28"/>
        </w:rPr>
        <w:t xml:space="preserve"> </w:t>
      </w:r>
      <w:r w:rsidR="00F770D0" w:rsidRPr="00CA56AD">
        <w:rPr>
          <w:sz w:val="28"/>
          <w:szCs w:val="28"/>
        </w:rPr>
        <w:t>An</w:t>
      </w:r>
      <w:r w:rsidRPr="00CA56AD">
        <w:rPr>
          <w:sz w:val="28"/>
          <w:szCs w:val="28"/>
        </w:rPr>
        <w:t xml:space="preserve"> order </w:t>
      </w:r>
      <w:r w:rsidR="00F770D0" w:rsidRPr="00CA56AD">
        <w:rPr>
          <w:sz w:val="28"/>
          <w:szCs w:val="28"/>
        </w:rPr>
        <w:t xml:space="preserve">to this effect </w:t>
      </w:r>
      <w:r w:rsidR="004D5884" w:rsidRPr="00CA56AD">
        <w:rPr>
          <w:sz w:val="28"/>
          <w:szCs w:val="28"/>
        </w:rPr>
        <w:t xml:space="preserve">was taken </w:t>
      </w:r>
      <w:r w:rsidRPr="00CA56AD">
        <w:rPr>
          <w:sz w:val="28"/>
          <w:szCs w:val="28"/>
        </w:rPr>
        <w:t xml:space="preserve">by </w:t>
      </w:r>
      <w:r w:rsidR="00862A17" w:rsidRPr="00CA56AD">
        <w:rPr>
          <w:sz w:val="28"/>
          <w:szCs w:val="28"/>
        </w:rPr>
        <w:t>agreement between the parties</w:t>
      </w:r>
      <w:r w:rsidR="004D5884" w:rsidRPr="00CA56AD">
        <w:rPr>
          <w:sz w:val="28"/>
          <w:szCs w:val="28"/>
        </w:rPr>
        <w:t xml:space="preserve"> on 28 February 2017</w:t>
      </w:r>
      <w:r w:rsidR="00862A17" w:rsidRPr="00CA56AD">
        <w:rPr>
          <w:sz w:val="28"/>
          <w:szCs w:val="28"/>
        </w:rPr>
        <w:t xml:space="preserve">.   </w:t>
      </w:r>
    </w:p>
    <w:p w14:paraId="6DF889FE" w14:textId="77777777" w:rsidR="00862A17" w:rsidRPr="00CA56AD" w:rsidRDefault="00862A17" w:rsidP="008E064A">
      <w:pPr>
        <w:tabs>
          <w:tab w:val="left" w:pos="0"/>
        </w:tabs>
        <w:rPr>
          <w:sz w:val="28"/>
          <w:szCs w:val="28"/>
        </w:rPr>
      </w:pPr>
      <w:r w:rsidRPr="00CA56AD">
        <w:rPr>
          <w:sz w:val="28"/>
          <w:szCs w:val="28"/>
        </w:rPr>
        <w:t xml:space="preserve">    </w:t>
      </w:r>
    </w:p>
    <w:p w14:paraId="72D2C058" w14:textId="77777777" w:rsidR="006266CC" w:rsidRPr="00CA56AD" w:rsidRDefault="006266CC" w:rsidP="008E064A">
      <w:pPr>
        <w:numPr>
          <w:ilvl w:val="0"/>
          <w:numId w:val="1"/>
        </w:numPr>
        <w:tabs>
          <w:tab w:val="left" w:pos="0"/>
        </w:tabs>
        <w:ind w:left="0"/>
        <w:rPr>
          <w:sz w:val="28"/>
          <w:szCs w:val="28"/>
        </w:rPr>
      </w:pPr>
      <w:r w:rsidRPr="00CA56AD">
        <w:rPr>
          <w:sz w:val="28"/>
          <w:szCs w:val="28"/>
        </w:rPr>
        <w:t>On 31 March 2017</w:t>
      </w:r>
      <w:r w:rsidR="00F770D0" w:rsidRPr="00CA56AD">
        <w:rPr>
          <w:sz w:val="28"/>
          <w:szCs w:val="28"/>
        </w:rPr>
        <w:t>,</w:t>
      </w:r>
      <w:r w:rsidRPr="00CA56AD">
        <w:rPr>
          <w:sz w:val="28"/>
          <w:szCs w:val="28"/>
        </w:rPr>
        <w:t xml:space="preserve"> </w:t>
      </w:r>
      <w:r w:rsidR="00F04DC1" w:rsidRPr="00CA56AD">
        <w:rPr>
          <w:sz w:val="28"/>
          <w:szCs w:val="28"/>
        </w:rPr>
        <w:t>KeyHealth</w:t>
      </w:r>
      <w:r w:rsidRPr="00CA56AD">
        <w:rPr>
          <w:sz w:val="28"/>
          <w:szCs w:val="28"/>
        </w:rPr>
        <w:t xml:space="preserve">’s attorneys sent a letter to Glopin’s attorneys informing them of </w:t>
      </w:r>
      <w:r w:rsidR="00F04DC1" w:rsidRPr="00CA56AD">
        <w:rPr>
          <w:sz w:val="28"/>
          <w:szCs w:val="28"/>
        </w:rPr>
        <w:t>KeyHealth</w:t>
      </w:r>
      <w:r w:rsidRPr="00CA56AD">
        <w:rPr>
          <w:sz w:val="28"/>
          <w:szCs w:val="28"/>
        </w:rPr>
        <w:t xml:space="preserve">’s abandonment of the notice of </w:t>
      </w:r>
      <w:r w:rsidRPr="00CA56AD">
        <w:rPr>
          <w:sz w:val="28"/>
          <w:szCs w:val="28"/>
        </w:rPr>
        <w:lastRenderedPageBreak/>
        <w:t>termination</w:t>
      </w:r>
      <w:r w:rsidR="007E7E3B" w:rsidRPr="00CA56AD">
        <w:rPr>
          <w:sz w:val="28"/>
          <w:szCs w:val="28"/>
        </w:rPr>
        <w:t>,</w:t>
      </w:r>
      <w:r w:rsidR="0079047F" w:rsidRPr="00CA56AD">
        <w:rPr>
          <w:sz w:val="28"/>
          <w:szCs w:val="28"/>
        </w:rPr>
        <w:t xml:space="preserve"> which meant the agreement remained extant</w:t>
      </w:r>
      <w:r w:rsidRPr="00CA56AD">
        <w:rPr>
          <w:sz w:val="28"/>
          <w:szCs w:val="28"/>
        </w:rPr>
        <w:t xml:space="preserve">. </w:t>
      </w:r>
      <w:r w:rsidR="007E7E3B" w:rsidRPr="00CA56AD">
        <w:rPr>
          <w:sz w:val="28"/>
          <w:szCs w:val="28"/>
        </w:rPr>
        <w:t>Importantly, t</w:t>
      </w:r>
      <w:r w:rsidRPr="00CA56AD">
        <w:rPr>
          <w:sz w:val="28"/>
          <w:szCs w:val="28"/>
        </w:rPr>
        <w:t>he letter further advised</w:t>
      </w:r>
      <w:r w:rsidR="0025569A" w:rsidRPr="00CA56AD">
        <w:rPr>
          <w:sz w:val="28"/>
          <w:szCs w:val="28"/>
        </w:rPr>
        <w:t xml:space="preserve"> the following</w:t>
      </w:r>
      <w:r w:rsidRPr="00CA56AD">
        <w:rPr>
          <w:sz w:val="28"/>
          <w:szCs w:val="28"/>
        </w:rPr>
        <w:t>:</w:t>
      </w:r>
    </w:p>
    <w:p w14:paraId="1A29DF8A" w14:textId="77777777" w:rsidR="006266CC" w:rsidRPr="00CA56AD" w:rsidRDefault="006266CC" w:rsidP="008E064A">
      <w:pPr>
        <w:tabs>
          <w:tab w:val="left" w:pos="0"/>
        </w:tabs>
      </w:pPr>
      <w:r w:rsidRPr="00CA56AD">
        <w:t>‘</w:t>
      </w:r>
      <w:r w:rsidRPr="00CA56AD">
        <w:rPr>
          <w:i/>
        </w:rPr>
        <w:t xml:space="preserve">4.1 </w:t>
      </w:r>
      <w:r w:rsidR="00D31581" w:rsidRPr="00CA56AD">
        <w:rPr>
          <w:i/>
        </w:rPr>
        <w:tab/>
      </w:r>
      <w:r w:rsidRPr="00CA56AD">
        <w:rPr>
          <w:i/>
        </w:rPr>
        <w:t>Glopin (Pty) Ltd is herewith notified on behalf of Keyheath Medical Scheme that the authority which is referred to in clauses 2.1, 3.1 and 3.2 of the Broker Agreement is revoked with effect from 1 July 2017</w:t>
      </w:r>
      <w:r w:rsidRPr="00CA56AD">
        <w:t>.</w:t>
      </w:r>
    </w:p>
    <w:p w14:paraId="53717671" w14:textId="77777777" w:rsidR="006266CC" w:rsidRPr="00CA56AD" w:rsidRDefault="006266CC" w:rsidP="008E064A">
      <w:pPr>
        <w:tabs>
          <w:tab w:val="left" w:pos="0"/>
        </w:tabs>
      </w:pPr>
      <w:r w:rsidRPr="00CA56AD">
        <w:t xml:space="preserve">4.2 </w:t>
      </w:r>
      <w:r w:rsidR="00D31581" w:rsidRPr="00CA56AD">
        <w:tab/>
      </w:r>
      <w:r w:rsidRPr="00CA56AD">
        <w:t>The three month notice period is not provided for in the Broker Agreement, but is regarded by</w:t>
      </w:r>
      <w:r w:rsidR="0025569A" w:rsidRPr="00CA56AD">
        <w:t xml:space="preserve"> our client </w:t>
      </w:r>
      <w:r w:rsidR="007E7E3B" w:rsidRPr="00CA56AD">
        <w:t>as</w:t>
      </w:r>
      <w:r w:rsidR="0025569A" w:rsidRPr="00CA56AD">
        <w:t xml:space="preserve"> reasonable to afford your client adequate time to mitigate any damages it may suffer as a result of the revocation of the authority.</w:t>
      </w:r>
    </w:p>
    <w:p w14:paraId="42D9A790" w14:textId="77777777" w:rsidR="0025569A" w:rsidRPr="00CA56AD" w:rsidRDefault="0025569A" w:rsidP="008E064A">
      <w:pPr>
        <w:tabs>
          <w:tab w:val="left" w:pos="0"/>
        </w:tabs>
      </w:pPr>
      <w:r w:rsidRPr="00CA56AD">
        <w:t xml:space="preserve">4.3 </w:t>
      </w:r>
      <w:r w:rsidR="00D31581" w:rsidRPr="00CA56AD">
        <w:tab/>
      </w:r>
      <w:r w:rsidRPr="00CA56AD">
        <w:t>As from 1 July 2017 Glopin (Pty) Ltd will not be entitled to render any further broker services to our client.</w:t>
      </w:r>
    </w:p>
    <w:p w14:paraId="32FE2956" w14:textId="77777777" w:rsidR="0025569A" w:rsidRPr="00CA56AD" w:rsidRDefault="0025569A" w:rsidP="008E064A">
      <w:pPr>
        <w:tabs>
          <w:tab w:val="left" w:pos="0"/>
        </w:tabs>
      </w:pPr>
      <w:r w:rsidRPr="00CA56AD">
        <w:t xml:space="preserve">4.4 </w:t>
      </w:r>
      <w:r w:rsidR="00D31581" w:rsidRPr="00CA56AD">
        <w:tab/>
      </w:r>
      <w:r w:rsidRPr="00CA56AD">
        <w:t xml:space="preserve">As we are not at liberty to communicate directly to your client, we will cause a copy of this notice to be forwarded to your client by our client. We trust, however, that you will confirm that this notice to you constitutes notice to Glopin (Pty) Ltd.’ </w:t>
      </w:r>
      <w:r w:rsidR="0073034F" w:rsidRPr="00CA56AD">
        <w:t>(My emphasis.)</w:t>
      </w:r>
    </w:p>
    <w:p w14:paraId="5B84A2E7" w14:textId="77777777" w:rsidR="0025569A" w:rsidRPr="00CA56AD" w:rsidRDefault="0025569A" w:rsidP="008E064A">
      <w:pPr>
        <w:tabs>
          <w:tab w:val="left" w:pos="0"/>
        </w:tabs>
        <w:rPr>
          <w:sz w:val="28"/>
          <w:szCs w:val="28"/>
        </w:rPr>
      </w:pPr>
    </w:p>
    <w:p w14:paraId="0A6A6FE2" w14:textId="41372C14" w:rsidR="00F504AD" w:rsidRPr="00CA56AD" w:rsidRDefault="00D4119D" w:rsidP="008E064A">
      <w:pPr>
        <w:numPr>
          <w:ilvl w:val="0"/>
          <w:numId w:val="1"/>
        </w:numPr>
        <w:tabs>
          <w:tab w:val="left" w:pos="0"/>
        </w:tabs>
        <w:ind w:left="0"/>
        <w:rPr>
          <w:sz w:val="28"/>
          <w:szCs w:val="28"/>
        </w:rPr>
      </w:pPr>
      <w:r w:rsidRPr="00CA56AD">
        <w:rPr>
          <w:sz w:val="28"/>
          <w:szCs w:val="28"/>
        </w:rPr>
        <w:t xml:space="preserve">Following this letter, </w:t>
      </w:r>
      <w:r w:rsidR="00405689" w:rsidRPr="00CA56AD">
        <w:rPr>
          <w:sz w:val="28"/>
          <w:szCs w:val="28"/>
        </w:rPr>
        <w:t>Glopin instituted a</w:t>
      </w:r>
      <w:r w:rsidR="00FA380A" w:rsidRPr="00CA56AD">
        <w:rPr>
          <w:sz w:val="28"/>
          <w:szCs w:val="28"/>
        </w:rPr>
        <w:t xml:space="preserve">n action </w:t>
      </w:r>
      <w:r w:rsidR="00405689" w:rsidRPr="00CA56AD">
        <w:rPr>
          <w:sz w:val="28"/>
          <w:szCs w:val="28"/>
        </w:rPr>
        <w:t>in the</w:t>
      </w:r>
      <w:r w:rsidR="00DE5C2D" w:rsidRPr="00CA56AD">
        <w:rPr>
          <w:sz w:val="28"/>
          <w:szCs w:val="28"/>
        </w:rPr>
        <w:t xml:space="preserve"> high court</w:t>
      </w:r>
      <w:r w:rsidR="00F504AD" w:rsidRPr="00CA56AD">
        <w:rPr>
          <w:sz w:val="28"/>
          <w:szCs w:val="28"/>
        </w:rPr>
        <w:t xml:space="preserve">, which served before Basson J </w:t>
      </w:r>
      <w:r w:rsidR="00701534" w:rsidRPr="00CA56AD">
        <w:rPr>
          <w:sz w:val="28"/>
          <w:szCs w:val="28"/>
        </w:rPr>
        <w:t xml:space="preserve">(the </w:t>
      </w:r>
      <w:r w:rsidR="00C211ED" w:rsidRPr="00CA56AD">
        <w:rPr>
          <w:sz w:val="28"/>
          <w:szCs w:val="28"/>
        </w:rPr>
        <w:t xml:space="preserve">trial </w:t>
      </w:r>
      <w:r w:rsidR="00405689" w:rsidRPr="00CA56AD">
        <w:rPr>
          <w:sz w:val="28"/>
          <w:szCs w:val="28"/>
        </w:rPr>
        <w:t>court</w:t>
      </w:r>
      <w:r w:rsidR="00701534" w:rsidRPr="00CA56AD">
        <w:rPr>
          <w:sz w:val="28"/>
          <w:szCs w:val="28"/>
        </w:rPr>
        <w:t>),</w:t>
      </w:r>
      <w:r w:rsidR="00405689" w:rsidRPr="00CA56AD">
        <w:rPr>
          <w:sz w:val="28"/>
          <w:szCs w:val="28"/>
        </w:rPr>
        <w:t xml:space="preserve"> </w:t>
      </w:r>
      <w:r w:rsidR="00E60AF8" w:rsidRPr="00CA56AD">
        <w:rPr>
          <w:sz w:val="28"/>
          <w:szCs w:val="28"/>
        </w:rPr>
        <w:t>seeking a</w:t>
      </w:r>
      <w:r w:rsidR="00405689" w:rsidRPr="00CA56AD">
        <w:rPr>
          <w:sz w:val="28"/>
          <w:szCs w:val="28"/>
        </w:rPr>
        <w:t xml:space="preserve"> declarator that the agreement between the parties was</w:t>
      </w:r>
      <w:r w:rsidRPr="00CA56AD">
        <w:rPr>
          <w:sz w:val="28"/>
          <w:szCs w:val="28"/>
        </w:rPr>
        <w:t xml:space="preserve"> of </w:t>
      </w:r>
      <w:r w:rsidR="00405689" w:rsidRPr="00CA56AD">
        <w:rPr>
          <w:sz w:val="28"/>
          <w:szCs w:val="28"/>
        </w:rPr>
        <w:t>full force and effect; that the purported cancellation on 14 February 2017</w:t>
      </w:r>
      <w:r w:rsidR="00FA380A" w:rsidRPr="00CA56AD">
        <w:rPr>
          <w:sz w:val="28"/>
          <w:szCs w:val="28"/>
        </w:rPr>
        <w:t xml:space="preserve">, as well as </w:t>
      </w:r>
      <w:r w:rsidR="00405689" w:rsidRPr="00CA56AD">
        <w:rPr>
          <w:sz w:val="28"/>
          <w:szCs w:val="28"/>
        </w:rPr>
        <w:t xml:space="preserve">the subsequent purported revocation </w:t>
      </w:r>
      <w:r w:rsidR="00701534" w:rsidRPr="00CA56AD">
        <w:rPr>
          <w:sz w:val="28"/>
          <w:szCs w:val="28"/>
        </w:rPr>
        <w:t>of Glopin’s authority under the agreement</w:t>
      </w:r>
      <w:r w:rsidR="00DC29D8">
        <w:rPr>
          <w:sz w:val="28"/>
          <w:szCs w:val="28"/>
        </w:rPr>
        <w:t>,</w:t>
      </w:r>
      <w:r w:rsidR="00701534" w:rsidRPr="00CA56AD">
        <w:rPr>
          <w:sz w:val="28"/>
          <w:szCs w:val="28"/>
        </w:rPr>
        <w:t xml:space="preserve"> w</w:t>
      </w:r>
      <w:r w:rsidR="00FA380A" w:rsidRPr="00CA56AD">
        <w:rPr>
          <w:sz w:val="28"/>
          <w:szCs w:val="28"/>
        </w:rPr>
        <w:t>ere</w:t>
      </w:r>
      <w:r w:rsidR="00405689" w:rsidRPr="00CA56AD">
        <w:rPr>
          <w:sz w:val="28"/>
          <w:szCs w:val="28"/>
        </w:rPr>
        <w:t xml:space="preserve"> unlawful and invalid. </w:t>
      </w:r>
    </w:p>
    <w:p w14:paraId="3052DD29" w14:textId="77777777" w:rsidR="00F504AD" w:rsidRPr="00CA56AD" w:rsidRDefault="00F504AD" w:rsidP="00F504AD">
      <w:pPr>
        <w:tabs>
          <w:tab w:val="left" w:pos="0"/>
        </w:tabs>
        <w:rPr>
          <w:sz w:val="28"/>
          <w:szCs w:val="28"/>
        </w:rPr>
      </w:pPr>
    </w:p>
    <w:p w14:paraId="75FB403D" w14:textId="77777777" w:rsidR="00405689" w:rsidRPr="00CA56AD" w:rsidRDefault="00701534" w:rsidP="008E064A">
      <w:pPr>
        <w:numPr>
          <w:ilvl w:val="0"/>
          <w:numId w:val="1"/>
        </w:numPr>
        <w:tabs>
          <w:tab w:val="left" w:pos="0"/>
        </w:tabs>
        <w:ind w:left="0"/>
        <w:rPr>
          <w:sz w:val="28"/>
          <w:szCs w:val="28"/>
        </w:rPr>
      </w:pPr>
      <w:r w:rsidRPr="00CA56AD">
        <w:rPr>
          <w:sz w:val="28"/>
          <w:szCs w:val="28"/>
        </w:rPr>
        <w:t>Glopin</w:t>
      </w:r>
      <w:r w:rsidR="00405689" w:rsidRPr="00CA56AD">
        <w:rPr>
          <w:sz w:val="28"/>
          <w:szCs w:val="28"/>
        </w:rPr>
        <w:t xml:space="preserve"> further sought a confirmation of the mandamus </w:t>
      </w:r>
      <w:r w:rsidR="00D4119D" w:rsidRPr="00CA56AD">
        <w:rPr>
          <w:sz w:val="28"/>
          <w:szCs w:val="28"/>
        </w:rPr>
        <w:t xml:space="preserve">granted </w:t>
      </w:r>
      <w:r w:rsidR="00405689" w:rsidRPr="00CA56AD">
        <w:rPr>
          <w:sz w:val="28"/>
          <w:szCs w:val="28"/>
        </w:rPr>
        <w:t>in the</w:t>
      </w:r>
      <w:r w:rsidR="00D4119D" w:rsidRPr="00CA56AD">
        <w:rPr>
          <w:sz w:val="28"/>
          <w:szCs w:val="28"/>
        </w:rPr>
        <w:t xml:space="preserve"> interim</w:t>
      </w:r>
      <w:r w:rsidR="00405689" w:rsidRPr="00CA56AD">
        <w:rPr>
          <w:sz w:val="28"/>
          <w:szCs w:val="28"/>
        </w:rPr>
        <w:t xml:space="preserve"> order agreed to between the parties on 28 February 2017. In the alternative, </w:t>
      </w:r>
      <w:r w:rsidRPr="00CA56AD">
        <w:rPr>
          <w:sz w:val="28"/>
          <w:szCs w:val="28"/>
        </w:rPr>
        <w:t>Glopin</w:t>
      </w:r>
      <w:r w:rsidR="00D4119D" w:rsidRPr="00CA56AD">
        <w:rPr>
          <w:sz w:val="28"/>
          <w:szCs w:val="28"/>
        </w:rPr>
        <w:t xml:space="preserve"> sought </w:t>
      </w:r>
      <w:r w:rsidR="00405689" w:rsidRPr="00CA56AD">
        <w:rPr>
          <w:sz w:val="28"/>
          <w:szCs w:val="28"/>
        </w:rPr>
        <w:t xml:space="preserve">a declarator that, notwithstanding </w:t>
      </w:r>
      <w:r w:rsidRPr="00CA56AD">
        <w:rPr>
          <w:sz w:val="28"/>
          <w:szCs w:val="28"/>
        </w:rPr>
        <w:t>KeyHealth’s</w:t>
      </w:r>
      <w:r w:rsidR="00405689" w:rsidRPr="00CA56AD">
        <w:rPr>
          <w:sz w:val="28"/>
          <w:szCs w:val="28"/>
        </w:rPr>
        <w:t xml:space="preserve"> revocation of </w:t>
      </w:r>
      <w:r w:rsidR="00D4119D" w:rsidRPr="00CA56AD">
        <w:rPr>
          <w:sz w:val="28"/>
          <w:szCs w:val="28"/>
        </w:rPr>
        <w:t xml:space="preserve">its </w:t>
      </w:r>
      <w:r w:rsidR="00405689" w:rsidRPr="00CA56AD">
        <w:rPr>
          <w:sz w:val="28"/>
          <w:szCs w:val="28"/>
        </w:rPr>
        <w:t>authority in terms of clause</w:t>
      </w:r>
      <w:r w:rsidRPr="00CA56AD">
        <w:rPr>
          <w:sz w:val="28"/>
          <w:szCs w:val="28"/>
        </w:rPr>
        <w:t>s</w:t>
      </w:r>
      <w:r w:rsidR="00405689" w:rsidRPr="00CA56AD">
        <w:rPr>
          <w:sz w:val="28"/>
          <w:szCs w:val="28"/>
        </w:rPr>
        <w:t xml:space="preserve"> 2.1, 3.1 and 3.2 of the agreement, </w:t>
      </w:r>
      <w:r w:rsidR="00D4119D" w:rsidRPr="00CA56AD">
        <w:rPr>
          <w:sz w:val="28"/>
          <w:szCs w:val="28"/>
        </w:rPr>
        <w:t xml:space="preserve">it </w:t>
      </w:r>
      <w:r w:rsidR="00405689" w:rsidRPr="00CA56AD">
        <w:rPr>
          <w:sz w:val="28"/>
          <w:szCs w:val="28"/>
        </w:rPr>
        <w:t xml:space="preserve">was entitled to continued payment of remuneration and broker compensation in terms </w:t>
      </w:r>
      <w:r w:rsidRPr="00CA56AD">
        <w:rPr>
          <w:sz w:val="28"/>
          <w:szCs w:val="28"/>
        </w:rPr>
        <w:t>of</w:t>
      </w:r>
      <w:r w:rsidR="00405689" w:rsidRPr="00CA56AD">
        <w:rPr>
          <w:sz w:val="28"/>
          <w:szCs w:val="28"/>
        </w:rPr>
        <w:t xml:space="preserve"> the agreement.</w:t>
      </w:r>
    </w:p>
    <w:p w14:paraId="42DC55E7" w14:textId="77777777" w:rsidR="008B7730" w:rsidRPr="00CA56AD" w:rsidRDefault="008B7730" w:rsidP="008E064A">
      <w:pPr>
        <w:tabs>
          <w:tab w:val="left" w:pos="0"/>
        </w:tabs>
        <w:rPr>
          <w:sz w:val="28"/>
          <w:szCs w:val="28"/>
        </w:rPr>
      </w:pPr>
    </w:p>
    <w:p w14:paraId="19D84E92" w14:textId="5414AAF2" w:rsidR="00405689" w:rsidRPr="00CA56AD" w:rsidRDefault="00405689" w:rsidP="008E064A">
      <w:pPr>
        <w:numPr>
          <w:ilvl w:val="0"/>
          <w:numId w:val="1"/>
        </w:numPr>
        <w:tabs>
          <w:tab w:val="left" w:pos="0"/>
        </w:tabs>
        <w:ind w:left="0"/>
        <w:rPr>
          <w:sz w:val="28"/>
          <w:szCs w:val="28"/>
        </w:rPr>
      </w:pPr>
      <w:r w:rsidRPr="00CA56AD">
        <w:rPr>
          <w:sz w:val="28"/>
          <w:szCs w:val="28"/>
        </w:rPr>
        <w:lastRenderedPageBreak/>
        <w:t xml:space="preserve">In its defence, </w:t>
      </w:r>
      <w:r w:rsidR="00F04DC1" w:rsidRPr="00CA56AD">
        <w:rPr>
          <w:sz w:val="28"/>
          <w:szCs w:val="28"/>
        </w:rPr>
        <w:t>KeyHealth</w:t>
      </w:r>
      <w:r w:rsidRPr="00CA56AD">
        <w:rPr>
          <w:sz w:val="28"/>
          <w:szCs w:val="28"/>
        </w:rPr>
        <w:t xml:space="preserve"> contended that the revocation of Glopin’s authority constituted termination of the agreement. It further alleged that</w:t>
      </w:r>
      <w:r w:rsidR="007553B1" w:rsidRPr="00CA56AD">
        <w:rPr>
          <w:sz w:val="28"/>
          <w:szCs w:val="28"/>
        </w:rPr>
        <w:t>,</w:t>
      </w:r>
      <w:r w:rsidRPr="00CA56AD">
        <w:rPr>
          <w:sz w:val="28"/>
          <w:szCs w:val="28"/>
        </w:rPr>
        <w:t xml:space="preserve"> in February 2018, Glopin had repudiated the agreement by insisting on payment of broker commission in terms of </w:t>
      </w:r>
      <w:r w:rsidR="0079047F" w:rsidRPr="00CA56AD">
        <w:rPr>
          <w:sz w:val="28"/>
          <w:szCs w:val="28"/>
        </w:rPr>
        <w:t>r</w:t>
      </w:r>
      <w:r w:rsidRPr="00CA56AD">
        <w:rPr>
          <w:sz w:val="28"/>
          <w:szCs w:val="28"/>
        </w:rPr>
        <w:t xml:space="preserve">egulation 28 of the Regulations promulgated in terms of the Medical Schemes Act 131 of 1998 (the </w:t>
      </w:r>
      <w:r w:rsidR="00E60AF8" w:rsidRPr="00CA56AD">
        <w:rPr>
          <w:sz w:val="28"/>
          <w:szCs w:val="28"/>
        </w:rPr>
        <w:t>MSA</w:t>
      </w:r>
      <w:r w:rsidRPr="00CA56AD">
        <w:rPr>
          <w:sz w:val="28"/>
          <w:szCs w:val="28"/>
        </w:rPr>
        <w:t>)</w:t>
      </w:r>
      <w:r w:rsidR="0079047F" w:rsidRPr="00CA56AD">
        <w:rPr>
          <w:sz w:val="28"/>
          <w:szCs w:val="28"/>
        </w:rPr>
        <w:t>,</w:t>
      </w:r>
      <w:r w:rsidR="00F65C38" w:rsidRPr="00CA56AD">
        <w:rPr>
          <w:sz w:val="28"/>
          <w:szCs w:val="28"/>
        </w:rPr>
        <w:t xml:space="preserve"> in respect of members of the Retired Municipal Employees Association (RMEA)</w:t>
      </w:r>
      <w:r w:rsidR="00286FB4" w:rsidRPr="00CA56AD">
        <w:rPr>
          <w:sz w:val="28"/>
          <w:szCs w:val="28"/>
        </w:rPr>
        <w:t xml:space="preserve">. </w:t>
      </w:r>
      <w:r w:rsidR="00F04DC1" w:rsidRPr="00CA56AD">
        <w:rPr>
          <w:sz w:val="28"/>
          <w:szCs w:val="28"/>
        </w:rPr>
        <w:t>KeyHealth</w:t>
      </w:r>
      <w:r w:rsidR="00286FB4" w:rsidRPr="00CA56AD">
        <w:rPr>
          <w:sz w:val="28"/>
          <w:szCs w:val="28"/>
        </w:rPr>
        <w:t xml:space="preserve"> no longer pursues this defence. Thus, </w:t>
      </w:r>
      <w:r w:rsidR="008A39D5" w:rsidRPr="00CA56AD">
        <w:rPr>
          <w:sz w:val="28"/>
          <w:szCs w:val="28"/>
        </w:rPr>
        <w:t>save for highlighting</w:t>
      </w:r>
      <w:r w:rsidR="00FD1D46" w:rsidRPr="00CA56AD">
        <w:rPr>
          <w:sz w:val="28"/>
          <w:szCs w:val="28"/>
        </w:rPr>
        <w:t xml:space="preserve"> </w:t>
      </w:r>
      <w:r w:rsidR="0079047F" w:rsidRPr="00CA56AD">
        <w:rPr>
          <w:sz w:val="28"/>
          <w:szCs w:val="28"/>
        </w:rPr>
        <w:t>it where</w:t>
      </w:r>
      <w:r w:rsidR="00E60AF8" w:rsidRPr="00CA56AD">
        <w:rPr>
          <w:sz w:val="28"/>
          <w:szCs w:val="28"/>
        </w:rPr>
        <w:t xml:space="preserve"> necessary, in the context of </w:t>
      </w:r>
      <w:r w:rsidR="008A39D5" w:rsidRPr="00CA56AD">
        <w:rPr>
          <w:sz w:val="28"/>
          <w:szCs w:val="28"/>
        </w:rPr>
        <w:t>the findings of the courts below</w:t>
      </w:r>
      <w:r w:rsidR="0079047F" w:rsidRPr="00CA56AD">
        <w:rPr>
          <w:sz w:val="28"/>
          <w:szCs w:val="28"/>
        </w:rPr>
        <w:t xml:space="preserve">, </w:t>
      </w:r>
      <w:r w:rsidR="004928C9" w:rsidRPr="00CA56AD">
        <w:rPr>
          <w:sz w:val="28"/>
          <w:szCs w:val="28"/>
        </w:rPr>
        <w:t>that</w:t>
      </w:r>
      <w:r w:rsidR="0079047F" w:rsidRPr="00CA56AD">
        <w:rPr>
          <w:sz w:val="28"/>
          <w:szCs w:val="28"/>
        </w:rPr>
        <w:t xml:space="preserve"> issue </w:t>
      </w:r>
      <w:r w:rsidR="008A39D5" w:rsidRPr="00CA56AD">
        <w:rPr>
          <w:sz w:val="28"/>
          <w:szCs w:val="28"/>
        </w:rPr>
        <w:t>does not form part of questions to be determined by this Court.</w:t>
      </w:r>
    </w:p>
    <w:p w14:paraId="1A4AEDBD" w14:textId="77777777" w:rsidR="008A39D5" w:rsidRPr="00CA56AD" w:rsidRDefault="008A39D5" w:rsidP="008E064A">
      <w:pPr>
        <w:tabs>
          <w:tab w:val="left" w:pos="0"/>
        </w:tabs>
        <w:rPr>
          <w:sz w:val="28"/>
          <w:szCs w:val="28"/>
        </w:rPr>
      </w:pPr>
    </w:p>
    <w:p w14:paraId="478F3610" w14:textId="77777777" w:rsidR="00841289" w:rsidRPr="00CA56AD" w:rsidRDefault="003770E3" w:rsidP="008E064A">
      <w:pPr>
        <w:numPr>
          <w:ilvl w:val="0"/>
          <w:numId w:val="1"/>
        </w:numPr>
        <w:tabs>
          <w:tab w:val="left" w:pos="0"/>
        </w:tabs>
        <w:ind w:left="0"/>
        <w:rPr>
          <w:sz w:val="28"/>
          <w:szCs w:val="28"/>
        </w:rPr>
      </w:pPr>
      <w:r w:rsidRPr="00CA56AD">
        <w:rPr>
          <w:sz w:val="28"/>
          <w:szCs w:val="28"/>
        </w:rPr>
        <w:t xml:space="preserve">In grappling with </w:t>
      </w:r>
      <w:r w:rsidR="0079047F" w:rsidRPr="00CA56AD">
        <w:rPr>
          <w:sz w:val="28"/>
          <w:szCs w:val="28"/>
        </w:rPr>
        <w:t xml:space="preserve">the </w:t>
      </w:r>
      <w:r w:rsidR="00286FB4" w:rsidRPr="00CA56AD">
        <w:rPr>
          <w:sz w:val="28"/>
          <w:szCs w:val="28"/>
        </w:rPr>
        <w:t>revocation</w:t>
      </w:r>
      <w:r w:rsidRPr="00CA56AD">
        <w:rPr>
          <w:sz w:val="28"/>
          <w:szCs w:val="28"/>
        </w:rPr>
        <w:t xml:space="preserve"> issue</w:t>
      </w:r>
      <w:r w:rsidR="00286FB4" w:rsidRPr="00CA56AD">
        <w:rPr>
          <w:sz w:val="28"/>
          <w:szCs w:val="28"/>
        </w:rPr>
        <w:t xml:space="preserve">, the </w:t>
      </w:r>
      <w:r w:rsidRPr="00CA56AD">
        <w:rPr>
          <w:sz w:val="28"/>
          <w:szCs w:val="28"/>
        </w:rPr>
        <w:t xml:space="preserve">trial </w:t>
      </w:r>
      <w:r w:rsidR="00286FB4" w:rsidRPr="00CA56AD">
        <w:rPr>
          <w:sz w:val="28"/>
          <w:szCs w:val="28"/>
        </w:rPr>
        <w:t xml:space="preserve">court </w:t>
      </w:r>
      <w:r w:rsidR="0079047F" w:rsidRPr="00CA56AD">
        <w:rPr>
          <w:sz w:val="28"/>
          <w:szCs w:val="28"/>
        </w:rPr>
        <w:t xml:space="preserve">determined </w:t>
      </w:r>
      <w:r w:rsidR="00286FB4" w:rsidRPr="00CA56AD">
        <w:rPr>
          <w:sz w:val="28"/>
          <w:szCs w:val="28"/>
        </w:rPr>
        <w:t>whether the</w:t>
      </w:r>
      <w:r w:rsidRPr="00CA56AD">
        <w:rPr>
          <w:sz w:val="28"/>
          <w:szCs w:val="28"/>
        </w:rPr>
        <w:t xml:space="preserve"> agreement</w:t>
      </w:r>
      <w:r w:rsidR="00286FB4" w:rsidRPr="00CA56AD">
        <w:rPr>
          <w:sz w:val="28"/>
          <w:szCs w:val="28"/>
        </w:rPr>
        <w:t xml:space="preserve"> between the parties </w:t>
      </w:r>
      <w:r w:rsidR="00B94F0B" w:rsidRPr="00CA56AD">
        <w:rPr>
          <w:sz w:val="28"/>
          <w:szCs w:val="28"/>
        </w:rPr>
        <w:t xml:space="preserve">was </w:t>
      </w:r>
      <w:r w:rsidRPr="00CA56AD">
        <w:rPr>
          <w:sz w:val="28"/>
          <w:szCs w:val="28"/>
        </w:rPr>
        <w:t xml:space="preserve">a contract </w:t>
      </w:r>
      <w:r w:rsidR="00286FB4" w:rsidRPr="00CA56AD">
        <w:rPr>
          <w:sz w:val="28"/>
          <w:szCs w:val="28"/>
        </w:rPr>
        <w:t>of mandate.</w:t>
      </w:r>
      <w:r w:rsidR="0079047F" w:rsidRPr="00CA56AD">
        <w:rPr>
          <w:sz w:val="28"/>
          <w:szCs w:val="28"/>
        </w:rPr>
        <w:t xml:space="preserve"> In this regard, it </w:t>
      </w:r>
      <w:r w:rsidR="00286FB4" w:rsidRPr="00CA56AD">
        <w:rPr>
          <w:sz w:val="28"/>
          <w:szCs w:val="28"/>
        </w:rPr>
        <w:t xml:space="preserve">referred to a passage in </w:t>
      </w:r>
      <w:r w:rsidR="00286FB4" w:rsidRPr="00CA56AD">
        <w:rPr>
          <w:i/>
          <w:sz w:val="28"/>
          <w:szCs w:val="28"/>
        </w:rPr>
        <w:t>L</w:t>
      </w:r>
      <w:r w:rsidR="00C211ED" w:rsidRPr="00CA56AD">
        <w:rPr>
          <w:i/>
          <w:sz w:val="28"/>
          <w:szCs w:val="28"/>
        </w:rPr>
        <w:t>awsa</w:t>
      </w:r>
      <w:r w:rsidR="00286FB4" w:rsidRPr="00CA56AD">
        <w:rPr>
          <w:rStyle w:val="FootnoteReference"/>
          <w:sz w:val="28"/>
          <w:szCs w:val="28"/>
        </w:rPr>
        <w:footnoteReference w:id="2"/>
      </w:r>
      <w:r w:rsidRPr="00CA56AD">
        <w:rPr>
          <w:sz w:val="28"/>
          <w:szCs w:val="28"/>
        </w:rPr>
        <w:t xml:space="preserve"> which contained the following description</w:t>
      </w:r>
      <w:r w:rsidR="00841289" w:rsidRPr="00CA56AD">
        <w:rPr>
          <w:sz w:val="28"/>
          <w:szCs w:val="28"/>
        </w:rPr>
        <w:t>:</w:t>
      </w:r>
    </w:p>
    <w:p w14:paraId="5C19EBD0" w14:textId="77777777" w:rsidR="004B02C0" w:rsidRPr="00CA56AD" w:rsidRDefault="004B02C0" w:rsidP="008E064A">
      <w:pPr>
        <w:tabs>
          <w:tab w:val="left" w:pos="0"/>
          <w:tab w:val="left" w:pos="180"/>
        </w:tabs>
      </w:pPr>
      <w:r w:rsidRPr="00CA56AD">
        <w:t>‘A contract of mandate is a consensual contract between one party, the mandator, and another, the mandatary, in terms of which the mandatary undertakes to perform a mandate or commission for the mandator. In essence the mandatary undertakes to do something at the request or on the instruction of the mandator. Although the mandate is usually performed gratuitously, provision may be made for the payment of a reward or remuneration.</w:t>
      </w:r>
    </w:p>
    <w:p w14:paraId="697868E5" w14:textId="77777777" w:rsidR="004B02C0" w:rsidRPr="00CA56AD" w:rsidRDefault="004B02C0" w:rsidP="008E064A">
      <w:pPr>
        <w:tabs>
          <w:tab w:val="left" w:pos="0"/>
          <w:tab w:val="left" w:pos="180"/>
        </w:tabs>
      </w:pPr>
      <w:r w:rsidRPr="00CA56AD">
        <w:t xml:space="preserve">Because the word “mandate” suggests an instruction or “command” given by the mandator, the impression may be created that </w:t>
      </w:r>
      <w:r w:rsidR="00010FE7" w:rsidRPr="00CA56AD">
        <w:t xml:space="preserve">a </w:t>
      </w:r>
      <w:r w:rsidRPr="00CA56AD">
        <w:t xml:space="preserve">mandate is constituted by the unilateral act of the mandator in giving the mandate. Such impression is erroneous since the conduct of mandate requires consensus between the parties thereto. There must hence be an agreement between the parties brought about by </w:t>
      </w:r>
      <w:r w:rsidR="00010FE7" w:rsidRPr="00CA56AD">
        <w:t xml:space="preserve">an </w:t>
      </w:r>
      <w:r w:rsidRPr="00CA56AD">
        <w:t xml:space="preserve">identifiable offer, in the form of a request that the mandate in question be performed, and an acceptance of that offer, in the sense of acceding </w:t>
      </w:r>
      <w:r w:rsidRPr="00CA56AD">
        <w:lastRenderedPageBreak/>
        <w:t>to that request, together with an undertaking to carry out the mandate and to perform the various duties imposed by it. For the rest the agreement must comply with all the requirements for a valid and enforceable contract.</w:t>
      </w:r>
    </w:p>
    <w:p w14:paraId="4B5D0D54" w14:textId="77777777" w:rsidR="004B02C0" w:rsidRPr="00CA56AD" w:rsidRDefault="004B02C0" w:rsidP="008E064A">
      <w:pPr>
        <w:tabs>
          <w:tab w:val="left" w:pos="0"/>
          <w:tab w:val="left" w:pos="180"/>
        </w:tabs>
      </w:pPr>
      <w:r w:rsidRPr="00CA56AD">
        <w:t>A mandate should be distinguished from an authority or power of attorney. An authority gives the authorised party the power to perform juristic acts in the name or on behalf of the grantor of the authority, while a mandate does not necessarily include any power to represent the mandator legally.’</w:t>
      </w:r>
    </w:p>
    <w:p w14:paraId="4BD53E2F" w14:textId="77777777" w:rsidR="004B02C0" w:rsidRPr="00CA56AD" w:rsidRDefault="004B02C0" w:rsidP="008E064A">
      <w:pPr>
        <w:tabs>
          <w:tab w:val="left" w:pos="0"/>
        </w:tabs>
        <w:rPr>
          <w:sz w:val="28"/>
          <w:szCs w:val="28"/>
        </w:rPr>
      </w:pPr>
    </w:p>
    <w:p w14:paraId="4EBF75C7" w14:textId="77777777" w:rsidR="00B94F0B" w:rsidRPr="00CA56AD" w:rsidRDefault="00B94F0B" w:rsidP="008E064A">
      <w:pPr>
        <w:numPr>
          <w:ilvl w:val="0"/>
          <w:numId w:val="1"/>
        </w:numPr>
        <w:tabs>
          <w:tab w:val="left" w:pos="0"/>
        </w:tabs>
        <w:ind w:left="0"/>
        <w:rPr>
          <w:sz w:val="28"/>
          <w:szCs w:val="28"/>
        </w:rPr>
      </w:pPr>
      <w:r w:rsidRPr="00CA56AD">
        <w:rPr>
          <w:sz w:val="28"/>
          <w:szCs w:val="28"/>
        </w:rPr>
        <w:t xml:space="preserve">Relying on this passage, the trial court agreed with </w:t>
      </w:r>
      <w:r w:rsidR="00F04DC1" w:rsidRPr="00CA56AD">
        <w:rPr>
          <w:sz w:val="28"/>
          <w:szCs w:val="28"/>
        </w:rPr>
        <w:t>KeyHealth</w:t>
      </w:r>
      <w:r w:rsidRPr="00CA56AD">
        <w:rPr>
          <w:sz w:val="28"/>
          <w:szCs w:val="28"/>
        </w:rPr>
        <w:t xml:space="preserve"> that ‘the authority extended in clause 3.1, read together with clauses 2.1 and 3.2 establishe</w:t>
      </w:r>
      <w:r w:rsidR="0079047F" w:rsidRPr="00CA56AD">
        <w:rPr>
          <w:sz w:val="28"/>
          <w:szCs w:val="28"/>
        </w:rPr>
        <w:t>[d]</w:t>
      </w:r>
      <w:r w:rsidRPr="00CA56AD">
        <w:rPr>
          <w:sz w:val="28"/>
          <w:szCs w:val="28"/>
        </w:rPr>
        <w:t xml:space="preserve"> a mandate to Glopin to market Keyhealth’s products and to introduce to Keyhealth new members by submitting to Keyhealth applications by its clients for products of Keyhealth and, should medical cover result from that, to </w:t>
      </w:r>
      <w:r w:rsidR="00D63867" w:rsidRPr="00CA56AD">
        <w:rPr>
          <w:sz w:val="28"/>
          <w:szCs w:val="28"/>
        </w:rPr>
        <w:t>render</w:t>
      </w:r>
      <w:r w:rsidRPr="00CA56AD">
        <w:rPr>
          <w:sz w:val="28"/>
          <w:szCs w:val="28"/>
        </w:rPr>
        <w:t xml:space="preserve"> ongoing services to Keyhealth in accordance with the service level agreement. As already pointed out, such introduction and the resulting medical cover will then cause Glopin to become entitled to compensation in terms of clause 6.1 of the broking agreement</w:t>
      </w:r>
      <w:r w:rsidR="00E0452A" w:rsidRPr="00CA56AD">
        <w:rPr>
          <w:sz w:val="28"/>
          <w:szCs w:val="28"/>
        </w:rPr>
        <w:t>’</w:t>
      </w:r>
      <w:r w:rsidRPr="00CA56AD">
        <w:rPr>
          <w:sz w:val="28"/>
          <w:szCs w:val="28"/>
        </w:rPr>
        <w:t>.</w:t>
      </w:r>
    </w:p>
    <w:p w14:paraId="221631EE" w14:textId="77777777" w:rsidR="00B94F0B" w:rsidRPr="00CA56AD" w:rsidRDefault="00B94F0B" w:rsidP="008E064A">
      <w:pPr>
        <w:tabs>
          <w:tab w:val="left" w:pos="0"/>
        </w:tabs>
        <w:rPr>
          <w:sz w:val="28"/>
          <w:szCs w:val="28"/>
        </w:rPr>
      </w:pPr>
      <w:r w:rsidRPr="00CA56AD">
        <w:rPr>
          <w:sz w:val="28"/>
          <w:szCs w:val="28"/>
        </w:rPr>
        <w:t xml:space="preserve">      </w:t>
      </w:r>
    </w:p>
    <w:p w14:paraId="48863ABF" w14:textId="77777777" w:rsidR="001D7158" w:rsidRPr="00CA56AD" w:rsidRDefault="0079047F" w:rsidP="008E064A">
      <w:pPr>
        <w:numPr>
          <w:ilvl w:val="0"/>
          <w:numId w:val="1"/>
        </w:numPr>
        <w:tabs>
          <w:tab w:val="left" w:pos="0"/>
        </w:tabs>
        <w:ind w:left="0"/>
        <w:rPr>
          <w:sz w:val="28"/>
          <w:szCs w:val="28"/>
        </w:rPr>
      </w:pPr>
      <w:r w:rsidRPr="00CA56AD">
        <w:rPr>
          <w:sz w:val="28"/>
          <w:szCs w:val="28"/>
        </w:rPr>
        <w:t>On the question of revocation, t</w:t>
      </w:r>
      <w:r w:rsidR="00A3457C" w:rsidRPr="00CA56AD">
        <w:rPr>
          <w:sz w:val="28"/>
          <w:szCs w:val="28"/>
        </w:rPr>
        <w:t xml:space="preserve">he </w:t>
      </w:r>
      <w:r w:rsidR="00B94F0B" w:rsidRPr="00CA56AD">
        <w:rPr>
          <w:sz w:val="28"/>
          <w:szCs w:val="28"/>
        </w:rPr>
        <w:t xml:space="preserve">trial </w:t>
      </w:r>
      <w:r w:rsidRPr="00CA56AD">
        <w:rPr>
          <w:sz w:val="28"/>
          <w:szCs w:val="28"/>
        </w:rPr>
        <w:t xml:space="preserve">court stated </w:t>
      </w:r>
      <w:r w:rsidR="00D63867" w:rsidRPr="00CA56AD">
        <w:rPr>
          <w:sz w:val="28"/>
          <w:szCs w:val="28"/>
        </w:rPr>
        <w:t xml:space="preserve">that </w:t>
      </w:r>
      <w:r w:rsidR="001D7158" w:rsidRPr="00CA56AD">
        <w:rPr>
          <w:sz w:val="28"/>
          <w:szCs w:val="28"/>
        </w:rPr>
        <w:t>‘</w:t>
      </w:r>
      <w:r w:rsidR="00A3457C" w:rsidRPr="00CA56AD">
        <w:rPr>
          <w:sz w:val="28"/>
          <w:szCs w:val="28"/>
        </w:rPr>
        <w:t xml:space="preserve">the general rule </w:t>
      </w:r>
      <w:r w:rsidR="001D7158" w:rsidRPr="00CA56AD">
        <w:rPr>
          <w:sz w:val="28"/>
          <w:szCs w:val="28"/>
        </w:rPr>
        <w:t xml:space="preserve">is that the mandator is entitled to revoke the mandate, whether irrevocable or not, upon which the contract in its entirety is terminated (except where the terms of the </w:t>
      </w:r>
      <w:r w:rsidR="00D63867" w:rsidRPr="00CA56AD">
        <w:rPr>
          <w:sz w:val="28"/>
          <w:szCs w:val="28"/>
        </w:rPr>
        <w:t>contract</w:t>
      </w:r>
      <w:r w:rsidR="001D7158" w:rsidRPr="00CA56AD">
        <w:rPr>
          <w:sz w:val="28"/>
          <w:szCs w:val="28"/>
        </w:rPr>
        <w:t xml:space="preserve"> may indicate that such revocation is a breach of contract)’</w:t>
      </w:r>
      <w:r w:rsidR="00A3457C" w:rsidRPr="00CA56AD">
        <w:rPr>
          <w:sz w:val="28"/>
          <w:szCs w:val="28"/>
        </w:rPr>
        <w:t>.</w:t>
      </w:r>
      <w:r w:rsidR="00A3457C" w:rsidRPr="00CA56AD">
        <w:rPr>
          <w:rStyle w:val="FootnoteReference"/>
          <w:sz w:val="28"/>
          <w:szCs w:val="28"/>
        </w:rPr>
        <w:footnoteReference w:id="3"/>
      </w:r>
      <w:r w:rsidR="00A3457C" w:rsidRPr="00CA56AD">
        <w:rPr>
          <w:sz w:val="28"/>
          <w:szCs w:val="28"/>
        </w:rPr>
        <w:t xml:space="preserve"> </w:t>
      </w:r>
      <w:r w:rsidR="001D7158" w:rsidRPr="00CA56AD">
        <w:rPr>
          <w:sz w:val="28"/>
          <w:szCs w:val="28"/>
        </w:rPr>
        <w:t>It then concluded that</w:t>
      </w:r>
      <w:r w:rsidR="008A39D5" w:rsidRPr="00CA56AD">
        <w:rPr>
          <w:sz w:val="28"/>
          <w:szCs w:val="28"/>
        </w:rPr>
        <w:t xml:space="preserve"> </w:t>
      </w:r>
      <w:r w:rsidR="00F04DC1" w:rsidRPr="00CA56AD">
        <w:rPr>
          <w:sz w:val="28"/>
          <w:szCs w:val="28"/>
        </w:rPr>
        <w:t>KeyHealth</w:t>
      </w:r>
      <w:r w:rsidR="008A39D5" w:rsidRPr="00CA56AD">
        <w:rPr>
          <w:sz w:val="28"/>
          <w:szCs w:val="28"/>
        </w:rPr>
        <w:t>’s revocation of the agreement was unlawful and invalid</w:t>
      </w:r>
      <w:r w:rsidR="002833D7" w:rsidRPr="00CA56AD">
        <w:rPr>
          <w:sz w:val="28"/>
          <w:szCs w:val="28"/>
        </w:rPr>
        <w:t>,</w:t>
      </w:r>
      <w:r w:rsidR="008A39D5" w:rsidRPr="00CA56AD">
        <w:rPr>
          <w:sz w:val="28"/>
          <w:szCs w:val="28"/>
        </w:rPr>
        <w:t xml:space="preserve"> because Glopin’s insistence on being paid compensation in respect of RMEA members</w:t>
      </w:r>
      <w:r w:rsidR="00355ECA" w:rsidRPr="00CA56AD">
        <w:rPr>
          <w:sz w:val="28"/>
          <w:szCs w:val="28"/>
        </w:rPr>
        <w:t xml:space="preserve"> was not a repudiation of the </w:t>
      </w:r>
      <w:r w:rsidR="00355ECA" w:rsidRPr="00CA56AD">
        <w:rPr>
          <w:sz w:val="28"/>
          <w:szCs w:val="28"/>
        </w:rPr>
        <w:lastRenderedPageBreak/>
        <w:t>agreement because it</w:t>
      </w:r>
      <w:r w:rsidR="008A39D5" w:rsidRPr="00CA56AD">
        <w:rPr>
          <w:sz w:val="28"/>
          <w:szCs w:val="28"/>
        </w:rPr>
        <w:t xml:space="preserve"> did not create an impression that it no longer intended to comply with the terms of the agreement. </w:t>
      </w:r>
    </w:p>
    <w:p w14:paraId="60888F92" w14:textId="77777777" w:rsidR="001D7158" w:rsidRPr="00CA56AD" w:rsidRDefault="001D7158" w:rsidP="008E064A">
      <w:pPr>
        <w:pStyle w:val="ListParagraph"/>
        <w:rPr>
          <w:sz w:val="28"/>
          <w:szCs w:val="28"/>
        </w:rPr>
      </w:pPr>
    </w:p>
    <w:p w14:paraId="71F8BA3D" w14:textId="77777777" w:rsidR="008A39D5" w:rsidRPr="00CA56AD" w:rsidRDefault="008A39D5" w:rsidP="008E064A">
      <w:pPr>
        <w:numPr>
          <w:ilvl w:val="0"/>
          <w:numId w:val="1"/>
        </w:numPr>
        <w:tabs>
          <w:tab w:val="left" w:pos="0"/>
        </w:tabs>
        <w:ind w:left="0"/>
        <w:rPr>
          <w:sz w:val="28"/>
          <w:szCs w:val="28"/>
        </w:rPr>
      </w:pPr>
      <w:r w:rsidRPr="00CA56AD">
        <w:rPr>
          <w:sz w:val="28"/>
          <w:szCs w:val="28"/>
        </w:rPr>
        <w:t xml:space="preserve">It appears that the </w:t>
      </w:r>
      <w:r w:rsidR="001463DD" w:rsidRPr="00CA56AD">
        <w:rPr>
          <w:sz w:val="28"/>
          <w:szCs w:val="28"/>
        </w:rPr>
        <w:t xml:space="preserve">trial </w:t>
      </w:r>
      <w:r w:rsidRPr="00CA56AD">
        <w:rPr>
          <w:sz w:val="28"/>
          <w:szCs w:val="28"/>
        </w:rPr>
        <w:t xml:space="preserve">court </w:t>
      </w:r>
      <w:r w:rsidR="001463DD" w:rsidRPr="00CA56AD">
        <w:rPr>
          <w:sz w:val="28"/>
          <w:szCs w:val="28"/>
        </w:rPr>
        <w:t xml:space="preserve">based </w:t>
      </w:r>
      <w:r w:rsidRPr="00CA56AD">
        <w:rPr>
          <w:sz w:val="28"/>
          <w:szCs w:val="28"/>
        </w:rPr>
        <w:t xml:space="preserve">its decision on </w:t>
      </w:r>
      <w:r w:rsidR="00F04DC1" w:rsidRPr="00CA56AD">
        <w:rPr>
          <w:sz w:val="28"/>
          <w:szCs w:val="28"/>
        </w:rPr>
        <w:t>KeyHealth</w:t>
      </w:r>
      <w:r w:rsidRPr="00CA56AD">
        <w:rPr>
          <w:sz w:val="28"/>
          <w:szCs w:val="28"/>
        </w:rPr>
        <w:t>’s alternative argument</w:t>
      </w:r>
      <w:r w:rsidR="00FA380A" w:rsidRPr="00CA56AD">
        <w:rPr>
          <w:sz w:val="28"/>
          <w:szCs w:val="28"/>
        </w:rPr>
        <w:t>, t</w:t>
      </w:r>
      <w:r w:rsidRPr="00CA56AD">
        <w:rPr>
          <w:sz w:val="28"/>
          <w:szCs w:val="28"/>
        </w:rPr>
        <w:t>hus interlinking the revocation question with</w:t>
      </w:r>
      <w:r w:rsidR="00F35125" w:rsidRPr="00CA56AD">
        <w:rPr>
          <w:sz w:val="28"/>
          <w:szCs w:val="28"/>
        </w:rPr>
        <w:t xml:space="preserve"> </w:t>
      </w:r>
      <w:r w:rsidRPr="00CA56AD">
        <w:rPr>
          <w:sz w:val="28"/>
          <w:szCs w:val="28"/>
        </w:rPr>
        <w:t xml:space="preserve">repudiation. Glopin, </w:t>
      </w:r>
      <w:r w:rsidR="001463DD" w:rsidRPr="00CA56AD">
        <w:rPr>
          <w:sz w:val="28"/>
          <w:szCs w:val="28"/>
        </w:rPr>
        <w:t>therefore</w:t>
      </w:r>
      <w:r w:rsidRPr="00CA56AD">
        <w:rPr>
          <w:sz w:val="28"/>
          <w:szCs w:val="28"/>
        </w:rPr>
        <w:t xml:space="preserve">, succeeded in obtaining a declaratory </w:t>
      </w:r>
      <w:r w:rsidR="001D7158" w:rsidRPr="00CA56AD">
        <w:rPr>
          <w:sz w:val="28"/>
          <w:szCs w:val="28"/>
        </w:rPr>
        <w:t>order invalidating</w:t>
      </w:r>
      <w:r w:rsidRPr="00CA56AD">
        <w:rPr>
          <w:sz w:val="28"/>
          <w:szCs w:val="28"/>
        </w:rPr>
        <w:t xml:space="preserve"> </w:t>
      </w:r>
      <w:r w:rsidR="00F04DC1" w:rsidRPr="00CA56AD">
        <w:rPr>
          <w:sz w:val="28"/>
          <w:szCs w:val="28"/>
        </w:rPr>
        <w:t>KeyHealth</w:t>
      </w:r>
      <w:r w:rsidRPr="00CA56AD">
        <w:rPr>
          <w:sz w:val="28"/>
          <w:szCs w:val="28"/>
        </w:rPr>
        <w:t xml:space="preserve">’s revocation. </w:t>
      </w:r>
    </w:p>
    <w:p w14:paraId="6E0DAD12" w14:textId="77777777" w:rsidR="008B7730" w:rsidRPr="00CA56AD" w:rsidRDefault="008B7730" w:rsidP="008E064A">
      <w:pPr>
        <w:pStyle w:val="ListParagraph"/>
        <w:rPr>
          <w:sz w:val="28"/>
          <w:szCs w:val="28"/>
        </w:rPr>
      </w:pPr>
    </w:p>
    <w:p w14:paraId="1DB56F92" w14:textId="58E4D0F2" w:rsidR="00EB53FC" w:rsidRPr="00CA56AD" w:rsidRDefault="001463DD" w:rsidP="008E064A">
      <w:pPr>
        <w:numPr>
          <w:ilvl w:val="0"/>
          <w:numId w:val="1"/>
        </w:numPr>
        <w:tabs>
          <w:tab w:val="left" w:pos="0"/>
        </w:tabs>
        <w:ind w:left="0"/>
        <w:rPr>
          <w:sz w:val="28"/>
          <w:szCs w:val="28"/>
        </w:rPr>
      </w:pPr>
      <w:r w:rsidRPr="00CA56AD">
        <w:rPr>
          <w:sz w:val="28"/>
          <w:szCs w:val="28"/>
        </w:rPr>
        <w:t>With the</w:t>
      </w:r>
      <w:r w:rsidR="00366093" w:rsidRPr="00CA56AD">
        <w:rPr>
          <w:sz w:val="28"/>
          <w:szCs w:val="28"/>
        </w:rPr>
        <w:t xml:space="preserve"> </w:t>
      </w:r>
      <w:r w:rsidRPr="00CA56AD">
        <w:rPr>
          <w:sz w:val="28"/>
          <w:szCs w:val="28"/>
        </w:rPr>
        <w:t>leave of the trial court, t</w:t>
      </w:r>
      <w:r w:rsidR="008A39D5" w:rsidRPr="00CA56AD">
        <w:rPr>
          <w:sz w:val="28"/>
          <w:szCs w:val="28"/>
        </w:rPr>
        <w:t>he matter went before the</w:t>
      </w:r>
      <w:r w:rsidR="00DE5C2D" w:rsidRPr="00CA56AD">
        <w:rPr>
          <w:sz w:val="28"/>
          <w:szCs w:val="28"/>
        </w:rPr>
        <w:t xml:space="preserve"> full court of the </w:t>
      </w:r>
      <w:r w:rsidR="00946E7D" w:rsidRPr="00CA56AD">
        <w:rPr>
          <w:bCs/>
          <w:sz w:val="28"/>
          <w:szCs w:val="28"/>
        </w:rPr>
        <w:t>Gauteng Division of the High Court, Pretoria</w:t>
      </w:r>
      <w:r w:rsidR="00DE5C2D" w:rsidRPr="00CA56AD">
        <w:rPr>
          <w:bCs/>
          <w:sz w:val="28"/>
          <w:szCs w:val="28"/>
        </w:rPr>
        <w:t>.</w:t>
      </w:r>
      <w:r w:rsidR="00946E7D" w:rsidRPr="00CA56AD">
        <w:rPr>
          <w:bCs/>
          <w:sz w:val="28"/>
          <w:szCs w:val="28"/>
        </w:rPr>
        <w:t xml:space="preserve"> </w:t>
      </w:r>
      <w:r w:rsidR="008A39D5" w:rsidRPr="00CA56AD">
        <w:rPr>
          <w:sz w:val="28"/>
          <w:szCs w:val="28"/>
        </w:rPr>
        <w:t xml:space="preserve">While endorsing the decision of the </w:t>
      </w:r>
      <w:r w:rsidR="0079047F" w:rsidRPr="00CA56AD">
        <w:rPr>
          <w:sz w:val="28"/>
          <w:szCs w:val="28"/>
        </w:rPr>
        <w:t xml:space="preserve">trial </w:t>
      </w:r>
      <w:r w:rsidR="008A39D5" w:rsidRPr="00CA56AD">
        <w:rPr>
          <w:sz w:val="28"/>
          <w:szCs w:val="28"/>
        </w:rPr>
        <w:t>court, the full court found that th</w:t>
      </w:r>
      <w:r w:rsidR="00EB53FC" w:rsidRPr="00CA56AD">
        <w:rPr>
          <w:sz w:val="28"/>
          <w:szCs w:val="28"/>
        </w:rPr>
        <w:t>e</w:t>
      </w:r>
      <w:r w:rsidR="008A39D5" w:rsidRPr="00CA56AD">
        <w:rPr>
          <w:sz w:val="28"/>
          <w:szCs w:val="28"/>
        </w:rPr>
        <w:t xml:space="preserve"> agreement was not a mandate </w:t>
      </w:r>
      <w:r w:rsidR="00EB53FC" w:rsidRPr="00CA56AD">
        <w:rPr>
          <w:sz w:val="28"/>
          <w:szCs w:val="28"/>
        </w:rPr>
        <w:t>simpliciter</w:t>
      </w:r>
      <w:r w:rsidR="00946E7D" w:rsidRPr="00CA56AD">
        <w:rPr>
          <w:sz w:val="28"/>
          <w:szCs w:val="28"/>
        </w:rPr>
        <w:t>,</w:t>
      </w:r>
      <w:r w:rsidR="00EB53FC" w:rsidRPr="00CA56AD">
        <w:rPr>
          <w:sz w:val="28"/>
          <w:szCs w:val="28"/>
        </w:rPr>
        <w:t xml:space="preserve"> but</w:t>
      </w:r>
      <w:r w:rsidR="008A39D5" w:rsidRPr="00CA56AD">
        <w:rPr>
          <w:sz w:val="28"/>
          <w:szCs w:val="28"/>
        </w:rPr>
        <w:t xml:space="preserve"> a </w:t>
      </w:r>
      <w:r w:rsidR="00EB53FC" w:rsidRPr="00CA56AD">
        <w:rPr>
          <w:sz w:val="28"/>
          <w:szCs w:val="28"/>
        </w:rPr>
        <w:t>contract which</w:t>
      </w:r>
      <w:r w:rsidR="008A39D5" w:rsidRPr="00CA56AD">
        <w:rPr>
          <w:sz w:val="28"/>
          <w:szCs w:val="28"/>
        </w:rPr>
        <w:t xml:space="preserve"> created obligations between </w:t>
      </w:r>
      <w:r w:rsidR="00946E7D" w:rsidRPr="00CA56AD">
        <w:rPr>
          <w:sz w:val="28"/>
          <w:szCs w:val="28"/>
        </w:rPr>
        <w:t xml:space="preserve">the </w:t>
      </w:r>
      <w:r w:rsidR="008A39D5" w:rsidRPr="00CA56AD">
        <w:rPr>
          <w:sz w:val="28"/>
          <w:szCs w:val="28"/>
        </w:rPr>
        <w:t>parties</w:t>
      </w:r>
      <w:r w:rsidR="006D0C08" w:rsidRPr="00CA56AD">
        <w:rPr>
          <w:sz w:val="28"/>
          <w:szCs w:val="28"/>
        </w:rPr>
        <w:t>,</w:t>
      </w:r>
      <w:r w:rsidR="00EB53FC" w:rsidRPr="00CA56AD">
        <w:rPr>
          <w:sz w:val="28"/>
          <w:szCs w:val="28"/>
        </w:rPr>
        <w:t xml:space="preserve"> and</w:t>
      </w:r>
      <w:r w:rsidR="008A39D5" w:rsidRPr="00CA56AD">
        <w:rPr>
          <w:sz w:val="28"/>
          <w:szCs w:val="28"/>
        </w:rPr>
        <w:t xml:space="preserve"> which c</w:t>
      </w:r>
      <w:r w:rsidR="00EB53FC" w:rsidRPr="00CA56AD">
        <w:rPr>
          <w:sz w:val="28"/>
          <w:szCs w:val="28"/>
        </w:rPr>
        <w:t>ould</w:t>
      </w:r>
      <w:r w:rsidR="008A39D5" w:rsidRPr="00CA56AD">
        <w:rPr>
          <w:sz w:val="28"/>
          <w:szCs w:val="28"/>
        </w:rPr>
        <w:t xml:space="preserve"> be terminated</w:t>
      </w:r>
      <w:r w:rsidR="00900F51" w:rsidRPr="00CA56AD">
        <w:rPr>
          <w:sz w:val="28"/>
          <w:szCs w:val="28"/>
        </w:rPr>
        <w:t xml:space="preserve"> </w:t>
      </w:r>
      <w:r w:rsidR="008A39D5" w:rsidRPr="00CA56AD">
        <w:rPr>
          <w:sz w:val="28"/>
          <w:szCs w:val="28"/>
        </w:rPr>
        <w:t xml:space="preserve">only if clause 4 </w:t>
      </w:r>
      <w:r w:rsidR="00946E7D" w:rsidRPr="00CA56AD">
        <w:rPr>
          <w:sz w:val="28"/>
          <w:szCs w:val="28"/>
        </w:rPr>
        <w:t xml:space="preserve">of the agreement </w:t>
      </w:r>
      <w:r w:rsidR="00EB53FC" w:rsidRPr="00CA56AD">
        <w:rPr>
          <w:sz w:val="28"/>
          <w:szCs w:val="28"/>
        </w:rPr>
        <w:t>was</w:t>
      </w:r>
      <w:r w:rsidR="008A39D5" w:rsidRPr="00CA56AD">
        <w:rPr>
          <w:sz w:val="28"/>
          <w:szCs w:val="28"/>
        </w:rPr>
        <w:t xml:space="preserve"> triggered. </w:t>
      </w:r>
    </w:p>
    <w:p w14:paraId="5485FA65" w14:textId="77777777" w:rsidR="00EB53FC" w:rsidRPr="00CA56AD" w:rsidRDefault="00EB53FC" w:rsidP="008E064A">
      <w:pPr>
        <w:tabs>
          <w:tab w:val="left" w:pos="0"/>
        </w:tabs>
        <w:rPr>
          <w:sz w:val="28"/>
          <w:szCs w:val="28"/>
        </w:rPr>
      </w:pPr>
    </w:p>
    <w:p w14:paraId="32E3E409" w14:textId="1C378F28" w:rsidR="007223E4" w:rsidRPr="00CA56AD" w:rsidRDefault="001463DD" w:rsidP="008E064A">
      <w:pPr>
        <w:numPr>
          <w:ilvl w:val="0"/>
          <w:numId w:val="1"/>
        </w:numPr>
        <w:tabs>
          <w:tab w:val="left" w:pos="0"/>
        </w:tabs>
        <w:ind w:left="0"/>
        <w:rPr>
          <w:sz w:val="28"/>
          <w:szCs w:val="28"/>
        </w:rPr>
      </w:pPr>
      <w:r w:rsidRPr="00CA56AD">
        <w:rPr>
          <w:sz w:val="28"/>
          <w:szCs w:val="28"/>
        </w:rPr>
        <w:t xml:space="preserve">The appeal before us is with the </w:t>
      </w:r>
      <w:r w:rsidR="00366093" w:rsidRPr="00CA56AD">
        <w:rPr>
          <w:sz w:val="28"/>
          <w:szCs w:val="28"/>
        </w:rPr>
        <w:t xml:space="preserve">special </w:t>
      </w:r>
      <w:r w:rsidRPr="00CA56AD">
        <w:rPr>
          <w:sz w:val="28"/>
          <w:szCs w:val="28"/>
        </w:rPr>
        <w:t>leave of this Court.</w:t>
      </w:r>
      <w:r w:rsidR="008A39D5" w:rsidRPr="00CA56AD">
        <w:rPr>
          <w:sz w:val="28"/>
          <w:szCs w:val="28"/>
        </w:rPr>
        <w:t xml:space="preserve"> </w:t>
      </w:r>
      <w:r w:rsidR="00F04DC1" w:rsidRPr="00CA56AD">
        <w:rPr>
          <w:sz w:val="28"/>
          <w:szCs w:val="28"/>
        </w:rPr>
        <w:t>KeyHealth</w:t>
      </w:r>
      <w:r w:rsidR="00EB53FC" w:rsidRPr="00CA56AD">
        <w:rPr>
          <w:sz w:val="28"/>
          <w:szCs w:val="28"/>
        </w:rPr>
        <w:t xml:space="preserve"> contend</w:t>
      </w:r>
      <w:r w:rsidR="007223E4" w:rsidRPr="00CA56AD">
        <w:rPr>
          <w:sz w:val="28"/>
          <w:szCs w:val="28"/>
        </w:rPr>
        <w:t>s t</w:t>
      </w:r>
      <w:r w:rsidR="00EB53FC" w:rsidRPr="00CA56AD">
        <w:rPr>
          <w:sz w:val="28"/>
          <w:szCs w:val="28"/>
        </w:rPr>
        <w:t>hat the agreement between the parties amount</w:t>
      </w:r>
      <w:r w:rsidRPr="00CA56AD">
        <w:rPr>
          <w:sz w:val="28"/>
          <w:szCs w:val="28"/>
        </w:rPr>
        <w:t>ed</w:t>
      </w:r>
      <w:r w:rsidR="00EB53FC" w:rsidRPr="00CA56AD">
        <w:rPr>
          <w:sz w:val="28"/>
          <w:szCs w:val="28"/>
        </w:rPr>
        <w:t xml:space="preserve"> to a contract of mandate and</w:t>
      </w:r>
      <w:r w:rsidR="00946E7D" w:rsidRPr="00CA56AD">
        <w:rPr>
          <w:sz w:val="28"/>
          <w:szCs w:val="28"/>
        </w:rPr>
        <w:t>,</w:t>
      </w:r>
      <w:r w:rsidR="00EB53FC" w:rsidRPr="00CA56AD">
        <w:rPr>
          <w:sz w:val="28"/>
          <w:szCs w:val="28"/>
        </w:rPr>
        <w:t xml:space="preserve"> as a </w:t>
      </w:r>
      <w:r w:rsidRPr="00CA56AD">
        <w:rPr>
          <w:sz w:val="28"/>
          <w:szCs w:val="28"/>
        </w:rPr>
        <w:t>result,</w:t>
      </w:r>
      <w:r w:rsidR="00EB53FC" w:rsidRPr="00CA56AD">
        <w:rPr>
          <w:sz w:val="28"/>
          <w:szCs w:val="28"/>
        </w:rPr>
        <w:t xml:space="preserve"> </w:t>
      </w:r>
      <w:r w:rsidRPr="00CA56AD">
        <w:rPr>
          <w:sz w:val="28"/>
          <w:szCs w:val="28"/>
        </w:rPr>
        <w:t xml:space="preserve">either party </w:t>
      </w:r>
      <w:r w:rsidR="00FF57DE" w:rsidRPr="00CA56AD">
        <w:rPr>
          <w:sz w:val="28"/>
          <w:szCs w:val="28"/>
        </w:rPr>
        <w:t xml:space="preserve">was free to revoke </w:t>
      </w:r>
      <w:r w:rsidRPr="00CA56AD">
        <w:rPr>
          <w:sz w:val="28"/>
          <w:szCs w:val="28"/>
        </w:rPr>
        <w:t>it at any time</w:t>
      </w:r>
      <w:r w:rsidR="00EB53FC" w:rsidRPr="00CA56AD">
        <w:rPr>
          <w:sz w:val="28"/>
          <w:szCs w:val="28"/>
        </w:rPr>
        <w:t xml:space="preserve">. </w:t>
      </w:r>
      <w:r w:rsidRPr="00CA56AD">
        <w:rPr>
          <w:sz w:val="28"/>
          <w:szCs w:val="28"/>
        </w:rPr>
        <w:t>Therefore</w:t>
      </w:r>
      <w:r w:rsidR="00EB53FC" w:rsidRPr="00CA56AD">
        <w:rPr>
          <w:sz w:val="28"/>
          <w:szCs w:val="28"/>
        </w:rPr>
        <w:t>, it was entitled to revoke Glopin’s mandate as it did on 31</w:t>
      </w:r>
      <w:r w:rsidR="0027362B" w:rsidRPr="00CA56AD">
        <w:rPr>
          <w:sz w:val="28"/>
          <w:szCs w:val="28"/>
        </w:rPr>
        <w:t xml:space="preserve"> </w:t>
      </w:r>
      <w:r w:rsidR="00EB53FC" w:rsidRPr="00CA56AD">
        <w:rPr>
          <w:sz w:val="28"/>
          <w:szCs w:val="28"/>
        </w:rPr>
        <w:t>March 2017. To advance this argument</w:t>
      </w:r>
      <w:r w:rsidR="00EE1A69" w:rsidRPr="00CA56AD">
        <w:rPr>
          <w:sz w:val="28"/>
          <w:szCs w:val="28"/>
        </w:rPr>
        <w:t>,</w:t>
      </w:r>
      <w:r w:rsidR="00EB53FC" w:rsidRPr="00CA56AD">
        <w:rPr>
          <w:sz w:val="28"/>
          <w:szCs w:val="28"/>
        </w:rPr>
        <w:t xml:space="preserve"> </w:t>
      </w:r>
      <w:r w:rsidR="00F04DC1" w:rsidRPr="00CA56AD">
        <w:rPr>
          <w:sz w:val="28"/>
          <w:szCs w:val="28"/>
        </w:rPr>
        <w:t>KeyHealth</w:t>
      </w:r>
      <w:r w:rsidR="00EB53FC" w:rsidRPr="00CA56AD">
        <w:rPr>
          <w:sz w:val="28"/>
          <w:szCs w:val="28"/>
        </w:rPr>
        <w:t xml:space="preserve"> contend</w:t>
      </w:r>
      <w:r w:rsidR="007223E4" w:rsidRPr="00CA56AD">
        <w:rPr>
          <w:sz w:val="28"/>
          <w:szCs w:val="28"/>
        </w:rPr>
        <w:t>s</w:t>
      </w:r>
      <w:r w:rsidR="00EB53FC" w:rsidRPr="00CA56AD">
        <w:rPr>
          <w:sz w:val="28"/>
          <w:szCs w:val="28"/>
        </w:rPr>
        <w:t xml:space="preserve"> that the services provided for in the </w:t>
      </w:r>
      <w:r w:rsidRPr="00CA56AD">
        <w:rPr>
          <w:sz w:val="28"/>
          <w:szCs w:val="28"/>
        </w:rPr>
        <w:t>S</w:t>
      </w:r>
      <w:r w:rsidR="00EB53FC" w:rsidRPr="00CA56AD">
        <w:rPr>
          <w:sz w:val="28"/>
          <w:szCs w:val="28"/>
        </w:rPr>
        <w:t xml:space="preserve">ervice </w:t>
      </w:r>
      <w:r w:rsidRPr="00CA56AD">
        <w:rPr>
          <w:sz w:val="28"/>
          <w:szCs w:val="28"/>
        </w:rPr>
        <w:t>L</w:t>
      </w:r>
      <w:r w:rsidR="00EB53FC" w:rsidRPr="00CA56AD">
        <w:rPr>
          <w:sz w:val="28"/>
          <w:szCs w:val="28"/>
        </w:rPr>
        <w:t xml:space="preserve">evel </w:t>
      </w:r>
      <w:r w:rsidRPr="00CA56AD">
        <w:rPr>
          <w:sz w:val="28"/>
          <w:szCs w:val="28"/>
        </w:rPr>
        <w:t>A</w:t>
      </w:r>
      <w:r w:rsidR="00EB53FC" w:rsidRPr="00CA56AD">
        <w:rPr>
          <w:sz w:val="28"/>
          <w:szCs w:val="28"/>
        </w:rPr>
        <w:t xml:space="preserve">greement (SLA) </w:t>
      </w:r>
      <w:r w:rsidRPr="00CA56AD">
        <w:rPr>
          <w:sz w:val="28"/>
          <w:szCs w:val="28"/>
        </w:rPr>
        <w:t>were</w:t>
      </w:r>
      <w:r w:rsidR="007223E4" w:rsidRPr="00CA56AD">
        <w:rPr>
          <w:sz w:val="28"/>
          <w:szCs w:val="28"/>
        </w:rPr>
        <w:t xml:space="preserve"> </w:t>
      </w:r>
      <w:r w:rsidR="0027362B" w:rsidRPr="00CA56AD">
        <w:rPr>
          <w:sz w:val="28"/>
          <w:szCs w:val="28"/>
        </w:rPr>
        <w:t xml:space="preserve">provided </w:t>
      </w:r>
      <w:r w:rsidR="00EB53FC" w:rsidRPr="00CA56AD">
        <w:rPr>
          <w:sz w:val="28"/>
          <w:szCs w:val="28"/>
        </w:rPr>
        <w:t xml:space="preserve">on </w:t>
      </w:r>
      <w:r w:rsidR="00F04DC1" w:rsidRPr="00CA56AD">
        <w:rPr>
          <w:sz w:val="28"/>
          <w:szCs w:val="28"/>
        </w:rPr>
        <w:t>KeyHealth</w:t>
      </w:r>
      <w:r w:rsidR="00EB53FC" w:rsidRPr="00CA56AD">
        <w:rPr>
          <w:sz w:val="28"/>
          <w:szCs w:val="28"/>
        </w:rPr>
        <w:t>’s behalf and not on behalf of the members</w:t>
      </w:r>
      <w:r w:rsidR="00946E7D" w:rsidRPr="00CA56AD">
        <w:rPr>
          <w:sz w:val="28"/>
          <w:szCs w:val="28"/>
        </w:rPr>
        <w:t xml:space="preserve"> of the medical scheme</w:t>
      </w:r>
      <w:r w:rsidR="00EB53FC" w:rsidRPr="00CA56AD">
        <w:rPr>
          <w:sz w:val="28"/>
          <w:szCs w:val="28"/>
        </w:rPr>
        <w:t xml:space="preserve"> per se</w:t>
      </w:r>
      <w:r w:rsidR="007223E4" w:rsidRPr="00CA56AD">
        <w:rPr>
          <w:sz w:val="28"/>
          <w:szCs w:val="28"/>
        </w:rPr>
        <w:t xml:space="preserve">. </w:t>
      </w:r>
    </w:p>
    <w:p w14:paraId="6BB003F6" w14:textId="77777777" w:rsidR="007223E4" w:rsidRPr="00CA56AD" w:rsidRDefault="007223E4" w:rsidP="008E064A">
      <w:pPr>
        <w:pStyle w:val="ListParagraph"/>
        <w:rPr>
          <w:sz w:val="28"/>
          <w:szCs w:val="28"/>
        </w:rPr>
      </w:pPr>
    </w:p>
    <w:p w14:paraId="5A94D446" w14:textId="0393BF87" w:rsidR="007223E4" w:rsidRPr="00CA56AD" w:rsidRDefault="007223E4" w:rsidP="008E064A">
      <w:pPr>
        <w:numPr>
          <w:ilvl w:val="0"/>
          <w:numId w:val="1"/>
        </w:numPr>
        <w:tabs>
          <w:tab w:val="left" w:pos="0"/>
        </w:tabs>
        <w:ind w:left="0"/>
        <w:rPr>
          <w:sz w:val="28"/>
          <w:szCs w:val="28"/>
        </w:rPr>
      </w:pPr>
      <w:r w:rsidRPr="00CA56AD">
        <w:rPr>
          <w:sz w:val="28"/>
          <w:szCs w:val="28"/>
        </w:rPr>
        <w:t xml:space="preserve">Furthermore, </w:t>
      </w:r>
      <w:r w:rsidR="00830914" w:rsidRPr="00CA56AD">
        <w:rPr>
          <w:sz w:val="28"/>
          <w:szCs w:val="28"/>
        </w:rPr>
        <w:t>Key</w:t>
      </w:r>
      <w:r w:rsidR="00DC29D8">
        <w:rPr>
          <w:sz w:val="28"/>
          <w:szCs w:val="28"/>
        </w:rPr>
        <w:t>H</w:t>
      </w:r>
      <w:r w:rsidR="00830914" w:rsidRPr="00CA56AD">
        <w:rPr>
          <w:sz w:val="28"/>
          <w:szCs w:val="28"/>
        </w:rPr>
        <w:t>ealth assert</w:t>
      </w:r>
      <w:r w:rsidR="003C306A" w:rsidRPr="00CA56AD">
        <w:rPr>
          <w:sz w:val="28"/>
          <w:szCs w:val="28"/>
        </w:rPr>
        <w:t>s</w:t>
      </w:r>
      <w:r w:rsidR="00830914" w:rsidRPr="00CA56AD">
        <w:rPr>
          <w:sz w:val="28"/>
          <w:szCs w:val="28"/>
        </w:rPr>
        <w:t xml:space="preserve"> that </w:t>
      </w:r>
      <w:r w:rsidRPr="00CA56AD">
        <w:rPr>
          <w:sz w:val="28"/>
          <w:szCs w:val="28"/>
        </w:rPr>
        <w:t>any</w:t>
      </w:r>
      <w:r w:rsidR="00EB53FC" w:rsidRPr="00CA56AD">
        <w:rPr>
          <w:sz w:val="28"/>
          <w:szCs w:val="28"/>
        </w:rPr>
        <w:t xml:space="preserve"> services provided by Glopin to the members </w:t>
      </w:r>
      <w:r w:rsidR="001463DD" w:rsidRPr="00CA56AD">
        <w:rPr>
          <w:sz w:val="28"/>
          <w:szCs w:val="28"/>
        </w:rPr>
        <w:t xml:space="preserve">were </w:t>
      </w:r>
      <w:r w:rsidR="00EB53FC" w:rsidRPr="00CA56AD">
        <w:rPr>
          <w:sz w:val="28"/>
          <w:szCs w:val="28"/>
        </w:rPr>
        <w:t>based on their relationship with the medical scheme</w:t>
      </w:r>
      <w:r w:rsidR="001463DD" w:rsidRPr="00CA56AD">
        <w:rPr>
          <w:sz w:val="28"/>
          <w:szCs w:val="28"/>
        </w:rPr>
        <w:t xml:space="preserve"> and </w:t>
      </w:r>
      <w:r w:rsidR="001463DD" w:rsidRPr="00CA56AD">
        <w:rPr>
          <w:sz w:val="28"/>
          <w:szCs w:val="28"/>
        </w:rPr>
        <w:lastRenderedPageBreak/>
        <w:t xml:space="preserve">not </w:t>
      </w:r>
      <w:r w:rsidRPr="00CA56AD">
        <w:rPr>
          <w:sz w:val="28"/>
          <w:szCs w:val="28"/>
        </w:rPr>
        <w:t xml:space="preserve">with </w:t>
      </w:r>
      <w:r w:rsidR="001463DD" w:rsidRPr="00CA56AD">
        <w:rPr>
          <w:sz w:val="28"/>
          <w:szCs w:val="28"/>
        </w:rPr>
        <w:t>Glopin</w:t>
      </w:r>
      <w:r w:rsidR="0027362B" w:rsidRPr="00CA56AD">
        <w:rPr>
          <w:sz w:val="28"/>
          <w:szCs w:val="28"/>
        </w:rPr>
        <w:t>.</w:t>
      </w:r>
      <w:r w:rsidR="001463DD" w:rsidRPr="00CA56AD">
        <w:rPr>
          <w:sz w:val="28"/>
          <w:szCs w:val="28"/>
        </w:rPr>
        <w:t xml:space="preserve"> </w:t>
      </w:r>
      <w:r w:rsidR="0027362B" w:rsidRPr="00CA56AD">
        <w:rPr>
          <w:sz w:val="28"/>
          <w:szCs w:val="28"/>
        </w:rPr>
        <w:t>T</w:t>
      </w:r>
      <w:r w:rsidRPr="00CA56AD">
        <w:rPr>
          <w:sz w:val="28"/>
          <w:szCs w:val="28"/>
        </w:rPr>
        <w:t>herefore</w:t>
      </w:r>
      <w:r w:rsidR="0027362B" w:rsidRPr="00CA56AD">
        <w:rPr>
          <w:sz w:val="28"/>
          <w:szCs w:val="28"/>
        </w:rPr>
        <w:t>, so the argument goes,</w:t>
      </w:r>
      <w:r w:rsidRPr="00CA56AD">
        <w:rPr>
          <w:sz w:val="28"/>
          <w:szCs w:val="28"/>
        </w:rPr>
        <w:t xml:space="preserve"> </w:t>
      </w:r>
      <w:r w:rsidR="001463DD" w:rsidRPr="00CA56AD">
        <w:rPr>
          <w:sz w:val="28"/>
          <w:szCs w:val="28"/>
        </w:rPr>
        <w:t>an</w:t>
      </w:r>
      <w:r w:rsidR="00EB53FC" w:rsidRPr="00CA56AD">
        <w:rPr>
          <w:sz w:val="28"/>
          <w:szCs w:val="28"/>
        </w:rPr>
        <w:t xml:space="preserve">y private services between Glopin and its members would have </w:t>
      </w:r>
      <w:r w:rsidR="001463DD" w:rsidRPr="00CA56AD">
        <w:rPr>
          <w:sz w:val="28"/>
          <w:szCs w:val="28"/>
        </w:rPr>
        <w:t xml:space="preserve">had </w:t>
      </w:r>
      <w:r w:rsidR="00EB53FC" w:rsidRPr="00CA56AD">
        <w:rPr>
          <w:sz w:val="28"/>
          <w:szCs w:val="28"/>
        </w:rPr>
        <w:t xml:space="preserve">to be </w:t>
      </w:r>
      <w:r w:rsidRPr="00CA56AD">
        <w:rPr>
          <w:sz w:val="28"/>
          <w:szCs w:val="28"/>
        </w:rPr>
        <w:t>accommodated</w:t>
      </w:r>
      <w:r w:rsidR="00EB53FC" w:rsidRPr="00CA56AD">
        <w:rPr>
          <w:sz w:val="28"/>
          <w:szCs w:val="28"/>
        </w:rPr>
        <w:t xml:space="preserve"> outside the SLA. This is because s 65 of the </w:t>
      </w:r>
      <w:r w:rsidR="00B153D8" w:rsidRPr="00CA56AD">
        <w:rPr>
          <w:sz w:val="28"/>
          <w:szCs w:val="28"/>
        </w:rPr>
        <w:t>MSA</w:t>
      </w:r>
      <w:r w:rsidR="00EB53FC" w:rsidRPr="00CA56AD">
        <w:rPr>
          <w:sz w:val="28"/>
          <w:szCs w:val="28"/>
        </w:rPr>
        <w:t xml:space="preserve"> read with </w:t>
      </w:r>
      <w:r w:rsidRPr="00CA56AD">
        <w:rPr>
          <w:sz w:val="28"/>
          <w:szCs w:val="28"/>
        </w:rPr>
        <w:t>r</w:t>
      </w:r>
      <w:r w:rsidR="00EB53FC" w:rsidRPr="00CA56AD">
        <w:rPr>
          <w:sz w:val="28"/>
          <w:szCs w:val="28"/>
        </w:rPr>
        <w:t>egulation 28, from which compensation in the SLA is derived</w:t>
      </w:r>
      <w:r w:rsidR="00B153D8" w:rsidRPr="00CA56AD">
        <w:rPr>
          <w:sz w:val="28"/>
          <w:szCs w:val="28"/>
        </w:rPr>
        <w:t>,</w:t>
      </w:r>
      <w:r w:rsidR="00EB53FC" w:rsidRPr="00CA56AD">
        <w:rPr>
          <w:sz w:val="28"/>
          <w:szCs w:val="28"/>
        </w:rPr>
        <w:t xml:space="preserve"> </w:t>
      </w:r>
      <w:r w:rsidR="00E263F2" w:rsidRPr="00CA56AD">
        <w:rPr>
          <w:sz w:val="28"/>
          <w:szCs w:val="28"/>
        </w:rPr>
        <w:t>would not allow payment for services other than those performed on behalf of the medical scheme directly.</w:t>
      </w:r>
      <w:r w:rsidRPr="00CA56AD">
        <w:rPr>
          <w:sz w:val="28"/>
          <w:szCs w:val="28"/>
        </w:rPr>
        <w:t xml:space="preserve"> In this regard, </w:t>
      </w:r>
      <w:r w:rsidR="00F04DC1" w:rsidRPr="00CA56AD">
        <w:rPr>
          <w:sz w:val="28"/>
          <w:szCs w:val="28"/>
        </w:rPr>
        <w:t>KeyHealth</w:t>
      </w:r>
      <w:r w:rsidRPr="00CA56AD">
        <w:rPr>
          <w:sz w:val="28"/>
          <w:szCs w:val="28"/>
        </w:rPr>
        <w:t xml:space="preserve">’s counsel contends that the full court, firstly, </w:t>
      </w:r>
      <w:r w:rsidR="0027362B" w:rsidRPr="00CA56AD">
        <w:rPr>
          <w:sz w:val="28"/>
          <w:szCs w:val="28"/>
        </w:rPr>
        <w:t xml:space="preserve">failed </w:t>
      </w:r>
      <w:r w:rsidRPr="00CA56AD">
        <w:rPr>
          <w:sz w:val="28"/>
          <w:szCs w:val="28"/>
        </w:rPr>
        <w:t>to take into consideration the effect and the obligations in the SLA in reaching its decision</w:t>
      </w:r>
      <w:r w:rsidR="00522ECA" w:rsidRPr="00CA56AD">
        <w:rPr>
          <w:sz w:val="28"/>
          <w:szCs w:val="28"/>
        </w:rPr>
        <w:t>; and, s</w:t>
      </w:r>
      <w:r w:rsidRPr="00CA56AD">
        <w:rPr>
          <w:sz w:val="28"/>
          <w:szCs w:val="28"/>
        </w:rPr>
        <w:t xml:space="preserve">econdly, </w:t>
      </w:r>
      <w:r w:rsidR="00522ECA" w:rsidRPr="00CA56AD">
        <w:rPr>
          <w:sz w:val="28"/>
          <w:szCs w:val="28"/>
        </w:rPr>
        <w:t xml:space="preserve">that </w:t>
      </w:r>
      <w:r w:rsidRPr="00CA56AD">
        <w:rPr>
          <w:sz w:val="28"/>
          <w:szCs w:val="28"/>
        </w:rPr>
        <w:t xml:space="preserve">it did not take cognisance of s 65 of the MSA. </w:t>
      </w:r>
    </w:p>
    <w:p w14:paraId="1AA06E74" w14:textId="77777777" w:rsidR="007223E4" w:rsidRPr="00CA56AD" w:rsidRDefault="007223E4" w:rsidP="008E064A">
      <w:pPr>
        <w:pStyle w:val="ListParagraph"/>
        <w:rPr>
          <w:sz w:val="28"/>
          <w:szCs w:val="28"/>
        </w:rPr>
      </w:pPr>
    </w:p>
    <w:p w14:paraId="17BA16A2" w14:textId="77777777" w:rsidR="00EC3E32" w:rsidRPr="00CA56AD" w:rsidRDefault="00B153D8" w:rsidP="00522ECA">
      <w:pPr>
        <w:numPr>
          <w:ilvl w:val="0"/>
          <w:numId w:val="1"/>
        </w:numPr>
        <w:ind w:left="0"/>
        <w:rPr>
          <w:sz w:val="28"/>
          <w:szCs w:val="28"/>
        </w:rPr>
      </w:pPr>
      <w:r w:rsidRPr="00CA56AD">
        <w:rPr>
          <w:sz w:val="28"/>
          <w:szCs w:val="28"/>
        </w:rPr>
        <w:t>C</w:t>
      </w:r>
      <w:r w:rsidR="00EB53FC" w:rsidRPr="00CA56AD">
        <w:rPr>
          <w:sz w:val="28"/>
          <w:szCs w:val="28"/>
        </w:rPr>
        <w:t>ompensation</w:t>
      </w:r>
      <w:r w:rsidRPr="00CA56AD">
        <w:rPr>
          <w:sz w:val="28"/>
          <w:szCs w:val="28"/>
        </w:rPr>
        <w:t xml:space="preserve"> in the SLA </w:t>
      </w:r>
      <w:r w:rsidR="0027362B" w:rsidRPr="00CA56AD">
        <w:rPr>
          <w:sz w:val="28"/>
          <w:szCs w:val="28"/>
        </w:rPr>
        <w:t xml:space="preserve">means </w:t>
      </w:r>
      <w:r w:rsidRPr="00CA56AD">
        <w:rPr>
          <w:sz w:val="28"/>
          <w:szCs w:val="28"/>
        </w:rPr>
        <w:t>‘</w:t>
      </w:r>
      <w:r w:rsidR="00EC3E32" w:rsidRPr="00CA56AD">
        <w:rPr>
          <w:sz w:val="28"/>
          <w:szCs w:val="28"/>
        </w:rPr>
        <w:t xml:space="preserve">the compensation payable by Munimed to GLOPIN in terms of </w:t>
      </w:r>
      <w:r w:rsidR="007223E4" w:rsidRPr="00CA56AD">
        <w:rPr>
          <w:sz w:val="28"/>
          <w:szCs w:val="28"/>
        </w:rPr>
        <w:t>[s]</w:t>
      </w:r>
      <w:r w:rsidR="00EC3E32" w:rsidRPr="00CA56AD">
        <w:rPr>
          <w:sz w:val="28"/>
          <w:szCs w:val="28"/>
        </w:rPr>
        <w:t>ection 65 of the</w:t>
      </w:r>
      <w:r w:rsidRPr="00CA56AD">
        <w:rPr>
          <w:sz w:val="28"/>
          <w:szCs w:val="28"/>
        </w:rPr>
        <w:t xml:space="preserve"> [MSA]</w:t>
      </w:r>
      <w:r w:rsidR="00EC3E32" w:rsidRPr="00CA56AD">
        <w:rPr>
          <w:sz w:val="28"/>
          <w:szCs w:val="28"/>
        </w:rPr>
        <w:t xml:space="preserve"> and Regulation 28 thereto’</w:t>
      </w:r>
      <w:r w:rsidR="00522ECA" w:rsidRPr="00CA56AD">
        <w:rPr>
          <w:sz w:val="28"/>
          <w:szCs w:val="28"/>
        </w:rPr>
        <w:t>.</w:t>
      </w:r>
      <w:r w:rsidR="00EC3E32" w:rsidRPr="00CA56AD">
        <w:rPr>
          <w:sz w:val="28"/>
          <w:szCs w:val="28"/>
        </w:rPr>
        <w:t xml:space="preserve"> Section 65</w:t>
      </w:r>
      <w:r w:rsidR="00FF141C" w:rsidRPr="00CA56AD">
        <w:rPr>
          <w:sz w:val="28"/>
          <w:szCs w:val="28"/>
        </w:rPr>
        <w:t xml:space="preserve"> of the MSA</w:t>
      </w:r>
      <w:r w:rsidR="00EC3E32" w:rsidRPr="00CA56AD">
        <w:rPr>
          <w:sz w:val="28"/>
          <w:szCs w:val="28"/>
        </w:rPr>
        <w:t xml:space="preserve"> provides:</w:t>
      </w:r>
    </w:p>
    <w:p w14:paraId="59030B0F" w14:textId="77777777" w:rsidR="00EC3E32" w:rsidRPr="00CA56AD" w:rsidRDefault="00EC3E32" w:rsidP="00522ECA">
      <w:pPr>
        <w:pStyle w:val="ListParagraph"/>
        <w:ind w:left="0"/>
      </w:pPr>
      <w:r w:rsidRPr="00CA56AD">
        <w:t xml:space="preserve">‘65. </w:t>
      </w:r>
      <w:r w:rsidR="00522ECA" w:rsidRPr="00CA56AD">
        <w:tab/>
      </w:r>
      <w:r w:rsidRPr="00CA56AD">
        <w:t xml:space="preserve">Broker </w:t>
      </w:r>
      <w:r w:rsidR="00522ECA" w:rsidRPr="00CA56AD">
        <w:t>s</w:t>
      </w:r>
      <w:r w:rsidRPr="00CA56AD">
        <w:t xml:space="preserve">ervices and </w:t>
      </w:r>
      <w:r w:rsidR="00522ECA" w:rsidRPr="00CA56AD">
        <w:t>c</w:t>
      </w:r>
      <w:r w:rsidR="00EE1A69" w:rsidRPr="00CA56AD">
        <w:t>ommission -</w:t>
      </w:r>
    </w:p>
    <w:p w14:paraId="64CC1FDB" w14:textId="77777777" w:rsidR="00B04BA2" w:rsidRPr="00CA56AD" w:rsidRDefault="00EC3E32" w:rsidP="00522ECA">
      <w:pPr>
        <w:pStyle w:val="ListParagraph"/>
        <w:numPr>
          <w:ilvl w:val="0"/>
          <w:numId w:val="3"/>
        </w:numPr>
        <w:ind w:left="0" w:firstLine="0"/>
      </w:pPr>
      <w:r w:rsidRPr="00CA56AD">
        <w:t>No person</w:t>
      </w:r>
      <w:r w:rsidR="00A24185" w:rsidRPr="00CA56AD">
        <w:t xml:space="preserve"> may act or offer to act as a broker unless the Council has granted accreditation</w:t>
      </w:r>
      <w:r w:rsidR="00B04BA2" w:rsidRPr="00CA56AD">
        <w:t xml:space="preserve"> to such a person on payment of such fees as may be prescribed.</w:t>
      </w:r>
    </w:p>
    <w:p w14:paraId="05EEF37F" w14:textId="77777777" w:rsidR="00B04BA2" w:rsidRPr="00CA56AD" w:rsidRDefault="00B04BA2" w:rsidP="00522ECA">
      <w:pPr>
        <w:pStyle w:val="ListParagraph"/>
        <w:numPr>
          <w:ilvl w:val="0"/>
          <w:numId w:val="3"/>
        </w:numPr>
        <w:ind w:left="0" w:firstLine="0"/>
      </w:pPr>
      <w:r w:rsidRPr="00CA56AD">
        <w:t>The Minister may prescribe the amount of the compensation which, the category of brokers to whom, the conditions upon which, and any other circumstances under which, a medical scheme may compensate any broker.</w:t>
      </w:r>
    </w:p>
    <w:p w14:paraId="3B0007EF" w14:textId="77777777" w:rsidR="00C91FDA" w:rsidRPr="00CA56AD" w:rsidRDefault="00B04BA2" w:rsidP="00522ECA">
      <w:pPr>
        <w:pStyle w:val="ListParagraph"/>
        <w:numPr>
          <w:ilvl w:val="0"/>
          <w:numId w:val="3"/>
        </w:numPr>
        <w:ind w:left="0" w:firstLine="0"/>
      </w:pPr>
      <w:r w:rsidRPr="00CA56AD">
        <w:t>No broker shall be compensated for providing broker services unless the Council has granted accreditation to such broker in terms of subsection (1)</w:t>
      </w:r>
      <w:r w:rsidR="00C91FDA" w:rsidRPr="00CA56AD">
        <w:t>.</w:t>
      </w:r>
    </w:p>
    <w:p w14:paraId="0B3D2987" w14:textId="77777777" w:rsidR="00C91FDA" w:rsidRPr="00CA56AD" w:rsidRDefault="00C91FDA" w:rsidP="00522ECA">
      <w:pPr>
        <w:pStyle w:val="ListParagraph"/>
        <w:numPr>
          <w:ilvl w:val="0"/>
          <w:numId w:val="3"/>
        </w:numPr>
        <w:ind w:left="0" w:firstLine="0"/>
      </w:pPr>
      <w:r w:rsidRPr="00CA56AD">
        <w:t xml:space="preserve">. . . </w:t>
      </w:r>
    </w:p>
    <w:p w14:paraId="446EE161" w14:textId="77777777" w:rsidR="00C91FDA" w:rsidRPr="00CA56AD" w:rsidRDefault="00C91FDA" w:rsidP="00522ECA">
      <w:pPr>
        <w:pStyle w:val="ListParagraph"/>
        <w:numPr>
          <w:ilvl w:val="0"/>
          <w:numId w:val="3"/>
        </w:numPr>
        <w:ind w:left="0" w:firstLine="0"/>
      </w:pPr>
      <w:r w:rsidRPr="00CA56AD">
        <w:t xml:space="preserve">A medical scheme may not directly or indirectly compensate a broker other than in terms of </w:t>
      </w:r>
      <w:r w:rsidR="00522ECA" w:rsidRPr="00CA56AD">
        <w:t>this</w:t>
      </w:r>
      <w:r w:rsidRPr="00CA56AD">
        <w:t xml:space="preserve"> section.</w:t>
      </w:r>
    </w:p>
    <w:p w14:paraId="6CC92F10" w14:textId="77777777" w:rsidR="00C91FDA" w:rsidRPr="00CA56AD" w:rsidRDefault="00C91FDA" w:rsidP="00522ECA">
      <w:pPr>
        <w:pStyle w:val="ListParagraph"/>
        <w:numPr>
          <w:ilvl w:val="0"/>
          <w:numId w:val="3"/>
        </w:numPr>
        <w:ind w:left="0" w:firstLine="0"/>
      </w:pPr>
      <w:r w:rsidRPr="00CA56AD">
        <w:t>A broker may not be directly or indirectly compensated for providing broker services by any person other than</w:t>
      </w:r>
      <w:r w:rsidR="00522ECA" w:rsidRPr="00CA56AD">
        <w:t xml:space="preserve"> </w:t>
      </w:r>
      <w:r w:rsidRPr="00CA56AD">
        <w:t xml:space="preserve">- </w:t>
      </w:r>
    </w:p>
    <w:p w14:paraId="7D1F5712" w14:textId="77777777" w:rsidR="00C91FDA" w:rsidRPr="00CA56AD" w:rsidRDefault="00522ECA" w:rsidP="00522ECA">
      <w:pPr>
        <w:pStyle w:val="ListParagraph"/>
        <w:numPr>
          <w:ilvl w:val="0"/>
          <w:numId w:val="4"/>
        </w:numPr>
        <w:ind w:left="0" w:firstLine="0"/>
      </w:pPr>
      <w:r w:rsidRPr="00CA56AD">
        <w:t>a</w:t>
      </w:r>
      <w:r w:rsidR="00C91FDA" w:rsidRPr="00CA56AD">
        <w:t xml:space="preserve"> medical scheme;</w:t>
      </w:r>
    </w:p>
    <w:p w14:paraId="365C3ADC" w14:textId="77777777" w:rsidR="00C91FDA" w:rsidRPr="00CA56AD" w:rsidRDefault="00C91FDA" w:rsidP="00522ECA">
      <w:pPr>
        <w:pStyle w:val="ListParagraph"/>
        <w:numPr>
          <w:ilvl w:val="0"/>
          <w:numId w:val="4"/>
        </w:numPr>
        <w:ind w:left="0" w:firstLine="0"/>
      </w:pPr>
      <w:r w:rsidRPr="00CA56AD">
        <w:t>a member or prospective member, or the employer of such member</w:t>
      </w:r>
      <w:r w:rsidR="00522ECA" w:rsidRPr="00CA56AD">
        <w:t xml:space="preserve"> or</w:t>
      </w:r>
      <w:r w:rsidRPr="00CA56AD">
        <w:t xml:space="preserve"> prospective member, in respect of whom such broker services are provided; or </w:t>
      </w:r>
    </w:p>
    <w:p w14:paraId="0B4AE45D" w14:textId="77777777" w:rsidR="00C91FDA" w:rsidRPr="00CA56AD" w:rsidRDefault="00C91FDA" w:rsidP="00522ECA">
      <w:pPr>
        <w:pStyle w:val="ListParagraph"/>
        <w:numPr>
          <w:ilvl w:val="0"/>
          <w:numId w:val="4"/>
        </w:numPr>
        <w:ind w:left="0" w:firstLine="0"/>
      </w:pPr>
      <w:r w:rsidRPr="00CA56AD">
        <w:t>a broker employing such broker</w:t>
      </w:r>
      <w:r w:rsidR="00235E00" w:rsidRPr="00CA56AD">
        <w:t xml:space="preserve">.’  </w:t>
      </w:r>
    </w:p>
    <w:p w14:paraId="5327807A" w14:textId="77777777" w:rsidR="00235E00" w:rsidRPr="00CA56AD" w:rsidRDefault="00235E00" w:rsidP="008E064A">
      <w:pPr>
        <w:tabs>
          <w:tab w:val="left" w:pos="450"/>
        </w:tabs>
        <w:rPr>
          <w:sz w:val="28"/>
          <w:szCs w:val="28"/>
        </w:rPr>
      </w:pPr>
    </w:p>
    <w:p w14:paraId="2D78A71B" w14:textId="77777777" w:rsidR="00235E00" w:rsidRPr="00CA56AD" w:rsidRDefault="00235E00" w:rsidP="008E064A">
      <w:pPr>
        <w:numPr>
          <w:ilvl w:val="0"/>
          <w:numId w:val="1"/>
        </w:numPr>
        <w:tabs>
          <w:tab w:val="left" w:pos="0"/>
        </w:tabs>
        <w:ind w:left="0"/>
        <w:rPr>
          <w:sz w:val="28"/>
          <w:szCs w:val="28"/>
        </w:rPr>
      </w:pPr>
      <w:r w:rsidRPr="00CA56AD">
        <w:rPr>
          <w:sz w:val="28"/>
          <w:szCs w:val="28"/>
        </w:rPr>
        <w:t xml:space="preserve">Regulation 28 </w:t>
      </w:r>
      <w:r w:rsidR="004876B2" w:rsidRPr="00CA56AD">
        <w:rPr>
          <w:sz w:val="28"/>
          <w:szCs w:val="28"/>
        </w:rPr>
        <w:t>in turn stipulates</w:t>
      </w:r>
      <w:r w:rsidRPr="00CA56AD">
        <w:rPr>
          <w:sz w:val="28"/>
          <w:szCs w:val="28"/>
        </w:rPr>
        <w:t>:</w:t>
      </w:r>
    </w:p>
    <w:p w14:paraId="08AF8809" w14:textId="77777777" w:rsidR="00235E00" w:rsidRPr="00CA56AD" w:rsidRDefault="00235E00" w:rsidP="000D0301">
      <w:r w:rsidRPr="00CA56AD">
        <w:t xml:space="preserve">‘Compensation of </w:t>
      </w:r>
      <w:r w:rsidR="00EE1A69" w:rsidRPr="00CA56AD">
        <w:t>brokers -</w:t>
      </w:r>
      <w:r w:rsidRPr="00CA56AD">
        <w:t xml:space="preserve"> </w:t>
      </w:r>
    </w:p>
    <w:p w14:paraId="510270D9" w14:textId="77777777" w:rsidR="00235E00" w:rsidRPr="00CA56AD" w:rsidRDefault="00235E00" w:rsidP="000D0301">
      <w:pPr>
        <w:pStyle w:val="ListParagraph"/>
        <w:numPr>
          <w:ilvl w:val="0"/>
          <w:numId w:val="5"/>
        </w:numPr>
        <w:ind w:left="0" w:firstLine="0"/>
      </w:pPr>
      <w:r w:rsidRPr="00CA56AD">
        <w:t>No person may be compensated by a medical scheme in terms of section 65 for acting as a broker unless such person enters into a prior written agreement with the medical scheme concerned.</w:t>
      </w:r>
    </w:p>
    <w:p w14:paraId="65B01BC8" w14:textId="77777777" w:rsidR="00235E00" w:rsidRPr="00CA56AD" w:rsidRDefault="00235E00" w:rsidP="000D0301">
      <w:pPr>
        <w:pStyle w:val="ListParagraph"/>
        <w:numPr>
          <w:ilvl w:val="0"/>
          <w:numId w:val="5"/>
        </w:numPr>
        <w:ind w:left="0" w:firstLine="0"/>
      </w:pPr>
      <w:r w:rsidRPr="00CA56AD">
        <w:t xml:space="preserve">Subject to subregulation (3), the maximum amount payable to a broker by a medical scheme in respect of </w:t>
      </w:r>
      <w:r w:rsidRPr="00CA56AD">
        <w:rPr>
          <w:i/>
        </w:rPr>
        <w:t>the introduction of a member to a medical scheme</w:t>
      </w:r>
      <w:r w:rsidRPr="00CA56AD">
        <w:t xml:space="preserve"> by that broker and the provision of ongoing service or advice </w:t>
      </w:r>
      <w:r w:rsidRPr="00CA56AD">
        <w:rPr>
          <w:i/>
        </w:rPr>
        <w:t>to that member</w:t>
      </w:r>
      <w:r w:rsidRPr="00CA56AD">
        <w:t xml:space="preserve">, shall not exceed – </w:t>
      </w:r>
    </w:p>
    <w:p w14:paraId="3026B787" w14:textId="77777777" w:rsidR="00235E00" w:rsidRPr="00CA56AD" w:rsidRDefault="00235E00" w:rsidP="000D0301">
      <w:pPr>
        <w:pStyle w:val="ListParagraph"/>
        <w:numPr>
          <w:ilvl w:val="0"/>
          <w:numId w:val="7"/>
        </w:numPr>
        <w:ind w:left="0" w:firstLine="0"/>
      </w:pPr>
      <w:r w:rsidRPr="00CA56AD">
        <w:t xml:space="preserve">R50, plus value added tax (VAT), per month, or such other monthly amount as the Minister shall determine annually in the </w:t>
      </w:r>
      <w:r w:rsidRPr="00CA56AD">
        <w:rPr>
          <w:i/>
        </w:rPr>
        <w:t>Government Gazette</w:t>
      </w:r>
      <w:r w:rsidRPr="00CA56AD">
        <w:t>, taking into consideration the rate of normal inflation; or</w:t>
      </w:r>
    </w:p>
    <w:p w14:paraId="585B70C9" w14:textId="77777777" w:rsidR="001E6E18" w:rsidRPr="00CA56AD" w:rsidRDefault="00E93BF1" w:rsidP="000D0301">
      <w:pPr>
        <w:pStyle w:val="ListParagraph"/>
        <w:numPr>
          <w:ilvl w:val="0"/>
          <w:numId w:val="7"/>
        </w:numPr>
        <w:ind w:left="0" w:firstLine="0"/>
      </w:pPr>
      <w:r w:rsidRPr="00CA56AD">
        <w:t>3% plus value added tax (VAT) of the contributions payable in respect of that member</w:t>
      </w:r>
      <w:r w:rsidR="001E6E18" w:rsidRPr="00CA56AD">
        <w:t>,</w:t>
      </w:r>
    </w:p>
    <w:p w14:paraId="4702B872" w14:textId="77777777" w:rsidR="00E93BF1" w:rsidRPr="00CA56AD" w:rsidRDefault="001E6E18" w:rsidP="00F504AD">
      <w:pPr>
        <w:pStyle w:val="ListParagraph"/>
        <w:ind w:left="0"/>
      </w:pPr>
      <w:r w:rsidRPr="00CA56AD">
        <w:t>whichever is the lesser.</w:t>
      </w:r>
    </w:p>
    <w:p w14:paraId="4E6AB6B2" w14:textId="77777777" w:rsidR="00E7044C" w:rsidRPr="00CA56AD" w:rsidRDefault="00E7044C" w:rsidP="000D0301">
      <w:pPr>
        <w:pStyle w:val="ListParagraph"/>
        <w:numPr>
          <w:ilvl w:val="0"/>
          <w:numId w:val="5"/>
        </w:numPr>
        <w:ind w:left="0" w:firstLine="0"/>
      </w:pPr>
      <w:r w:rsidRPr="00CA56AD">
        <w:t xml:space="preserve">. . </w:t>
      </w:r>
      <w:r w:rsidR="00A82EC5" w:rsidRPr="00CA56AD">
        <w:t>.</w:t>
      </w:r>
      <w:r w:rsidRPr="00CA56AD">
        <w:t xml:space="preserve"> </w:t>
      </w:r>
    </w:p>
    <w:p w14:paraId="6EEF96DD" w14:textId="77777777" w:rsidR="00E7044C" w:rsidRPr="00CA56AD" w:rsidRDefault="00E7044C" w:rsidP="000D0301">
      <w:pPr>
        <w:pStyle w:val="ListParagraph"/>
        <w:numPr>
          <w:ilvl w:val="0"/>
          <w:numId w:val="5"/>
        </w:numPr>
        <w:ind w:left="0" w:firstLine="0"/>
      </w:pPr>
      <w:r w:rsidRPr="00CA56AD">
        <w:t>. . .</w:t>
      </w:r>
    </w:p>
    <w:p w14:paraId="787B9212" w14:textId="77777777" w:rsidR="00E7044C" w:rsidRPr="00CA56AD" w:rsidRDefault="00E7044C" w:rsidP="000D0301">
      <w:pPr>
        <w:pStyle w:val="ListParagraph"/>
        <w:numPr>
          <w:ilvl w:val="0"/>
          <w:numId w:val="5"/>
        </w:numPr>
        <w:ind w:left="0" w:firstLine="0"/>
      </w:pPr>
      <w:r w:rsidRPr="00CA56AD">
        <w:t xml:space="preserve">Payment by a medical scheme to </w:t>
      </w:r>
      <w:r w:rsidR="001E6E18" w:rsidRPr="00CA56AD">
        <w:t xml:space="preserve">a </w:t>
      </w:r>
      <w:r w:rsidRPr="00CA56AD">
        <w:t xml:space="preserve">broker in terms of subregulation (2) shall be made on a monthly basis and upon receipt by the scheme of the relevant </w:t>
      </w:r>
      <w:r w:rsidRPr="00CA56AD">
        <w:rPr>
          <w:i/>
        </w:rPr>
        <w:t>monthly contribution in respect of that member</w:t>
      </w:r>
      <w:r w:rsidRPr="00CA56AD">
        <w:t>.</w:t>
      </w:r>
    </w:p>
    <w:p w14:paraId="379FAB0F" w14:textId="77777777" w:rsidR="00E7044C" w:rsidRPr="00CA56AD" w:rsidRDefault="00E7044C" w:rsidP="000D0301">
      <w:pPr>
        <w:pStyle w:val="ListParagraph"/>
        <w:numPr>
          <w:ilvl w:val="0"/>
          <w:numId w:val="5"/>
        </w:numPr>
        <w:ind w:left="0" w:firstLine="0"/>
      </w:pPr>
      <w:r w:rsidRPr="00CA56AD">
        <w:t xml:space="preserve">The ongoing payment by </w:t>
      </w:r>
      <w:r w:rsidR="001E6E18" w:rsidRPr="00CA56AD">
        <w:t xml:space="preserve">a </w:t>
      </w:r>
      <w:r w:rsidRPr="00CA56AD">
        <w:t xml:space="preserve">medical scheme to a broker in terms of this regulation is conditional upon the broker – </w:t>
      </w:r>
    </w:p>
    <w:p w14:paraId="0372354C" w14:textId="77777777" w:rsidR="00E7044C" w:rsidRPr="00CA56AD" w:rsidRDefault="007739E0" w:rsidP="000D0301">
      <w:pPr>
        <w:pStyle w:val="ListParagraph"/>
        <w:numPr>
          <w:ilvl w:val="0"/>
          <w:numId w:val="8"/>
        </w:numPr>
        <w:ind w:left="0" w:firstLine="0"/>
      </w:pPr>
      <w:r w:rsidRPr="00CA56AD">
        <w:t>continuing to meet service levels agreed to</w:t>
      </w:r>
      <w:r w:rsidR="00826844" w:rsidRPr="00CA56AD">
        <w:t xml:space="preserve"> between the broker and </w:t>
      </w:r>
      <w:r w:rsidR="001E6E18" w:rsidRPr="00CA56AD">
        <w:t xml:space="preserve">the </w:t>
      </w:r>
      <w:r w:rsidR="00826844" w:rsidRPr="00CA56AD">
        <w:t>medical scheme in terms of the written agreement between them; and</w:t>
      </w:r>
    </w:p>
    <w:p w14:paraId="4F7345BA" w14:textId="77777777" w:rsidR="00826844" w:rsidRPr="00CA56AD" w:rsidRDefault="00826844" w:rsidP="000D0301">
      <w:pPr>
        <w:pStyle w:val="ListParagraph"/>
        <w:numPr>
          <w:ilvl w:val="0"/>
          <w:numId w:val="8"/>
        </w:numPr>
        <w:ind w:left="0" w:firstLine="0"/>
      </w:pPr>
      <w:r w:rsidRPr="00CA56AD">
        <w:t xml:space="preserve">receiving no other direct or indirect compensation in respect of broker services from any source, </w:t>
      </w:r>
      <w:r w:rsidRPr="00CA56AD">
        <w:rPr>
          <w:i/>
        </w:rPr>
        <w:t>other than a possible direct payment to the broker of a negotiated professional fee from the member himself or herself (or the relevant employer, in the case of an employer group</w:t>
      </w:r>
      <w:r w:rsidRPr="00CA56AD">
        <w:t>).</w:t>
      </w:r>
    </w:p>
    <w:p w14:paraId="1446D55A" w14:textId="77777777" w:rsidR="00224430" w:rsidRPr="00CA56AD" w:rsidRDefault="00A72988" w:rsidP="000D0301">
      <w:pPr>
        <w:pStyle w:val="ListParagraph"/>
        <w:numPr>
          <w:ilvl w:val="0"/>
          <w:numId w:val="5"/>
        </w:numPr>
        <w:ind w:left="0" w:firstLine="0"/>
      </w:pPr>
      <w:r w:rsidRPr="00CA56AD">
        <w:t xml:space="preserve">A medical scheme shall immediately discontinue payment to </w:t>
      </w:r>
      <w:r w:rsidR="001E6E18" w:rsidRPr="00CA56AD">
        <w:t xml:space="preserve">a </w:t>
      </w:r>
      <w:r w:rsidRPr="00CA56AD">
        <w:t>broker</w:t>
      </w:r>
      <w:r w:rsidR="00224430" w:rsidRPr="00CA56AD">
        <w:t xml:space="preserve"> in respect of services rendered to a particular member if the medical scheme receives notice from that </w:t>
      </w:r>
      <w:r w:rsidR="00224430" w:rsidRPr="00CA56AD">
        <w:lastRenderedPageBreak/>
        <w:t xml:space="preserve">member (or the relevant employer, in the case of an employer group), that the member or employer no longer requires the services of </w:t>
      </w:r>
      <w:r w:rsidR="004F6BB7" w:rsidRPr="00CA56AD">
        <w:t>that</w:t>
      </w:r>
      <w:r w:rsidR="00224430" w:rsidRPr="00CA56AD">
        <w:t xml:space="preserve"> broker.</w:t>
      </w:r>
    </w:p>
    <w:p w14:paraId="7C739CEE" w14:textId="77777777" w:rsidR="00224430" w:rsidRPr="00CA56AD" w:rsidRDefault="00224430" w:rsidP="000D0301">
      <w:pPr>
        <w:pStyle w:val="ListParagraph"/>
        <w:numPr>
          <w:ilvl w:val="0"/>
          <w:numId w:val="5"/>
        </w:numPr>
        <w:ind w:left="0" w:firstLine="0"/>
      </w:pPr>
      <w:r w:rsidRPr="00CA56AD">
        <w:t>. . .</w:t>
      </w:r>
    </w:p>
    <w:p w14:paraId="7A586259" w14:textId="77777777" w:rsidR="00EB53FC" w:rsidRPr="00CA56AD" w:rsidRDefault="00224430" w:rsidP="000D0301">
      <w:pPr>
        <w:pStyle w:val="ListParagraph"/>
        <w:numPr>
          <w:ilvl w:val="0"/>
          <w:numId w:val="5"/>
        </w:numPr>
        <w:ind w:left="0" w:firstLine="0"/>
      </w:pPr>
      <w:r w:rsidRPr="00CA56AD">
        <w:t>. . .’</w:t>
      </w:r>
      <w:r w:rsidR="00E520E9" w:rsidRPr="00CA56AD">
        <w:t xml:space="preserve"> (My emphasis.)</w:t>
      </w:r>
      <w:r w:rsidRPr="00CA56AD">
        <w:t xml:space="preserve">  </w:t>
      </w:r>
      <w:r w:rsidR="00EE1A69" w:rsidRPr="00CA56AD">
        <w:t xml:space="preserve"> </w:t>
      </w:r>
    </w:p>
    <w:p w14:paraId="2BC1F555" w14:textId="77777777" w:rsidR="00FF57DE" w:rsidRPr="00A866EC" w:rsidRDefault="00FF57DE" w:rsidP="00FF57DE">
      <w:pPr>
        <w:rPr>
          <w:sz w:val="28"/>
          <w:szCs w:val="28"/>
        </w:rPr>
      </w:pPr>
    </w:p>
    <w:p w14:paraId="4AED813D" w14:textId="77777777" w:rsidR="00E520E9" w:rsidRPr="00CA56AD" w:rsidRDefault="00B7228F" w:rsidP="008E064A">
      <w:pPr>
        <w:numPr>
          <w:ilvl w:val="0"/>
          <w:numId w:val="1"/>
        </w:numPr>
        <w:tabs>
          <w:tab w:val="left" w:pos="0"/>
        </w:tabs>
        <w:ind w:left="0"/>
        <w:rPr>
          <w:sz w:val="28"/>
          <w:szCs w:val="28"/>
        </w:rPr>
      </w:pPr>
      <w:r w:rsidRPr="00CA56AD">
        <w:rPr>
          <w:sz w:val="28"/>
          <w:szCs w:val="28"/>
        </w:rPr>
        <w:t xml:space="preserve">The trial court </w:t>
      </w:r>
      <w:r w:rsidR="002F6260" w:rsidRPr="00CA56AD">
        <w:rPr>
          <w:sz w:val="28"/>
          <w:szCs w:val="28"/>
        </w:rPr>
        <w:t xml:space="preserve">referred to </w:t>
      </w:r>
      <w:r w:rsidRPr="00CA56AD">
        <w:rPr>
          <w:i/>
          <w:sz w:val="28"/>
          <w:szCs w:val="28"/>
        </w:rPr>
        <w:t>Firs Investment</w:t>
      </w:r>
      <w:r w:rsidR="00D542AB" w:rsidRPr="00CA56AD">
        <w:rPr>
          <w:sz w:val="28"/>
          <w:szCs w:val="28"/>
        </w:rPr>
        <w:t>,</w:t>
      </w:r>
      <w:r w:rsidRPr="00CA56AD">
        <w:rPr>
          <w:rStyle w:val="FootnoteReference"/>
          <w:sz w:val="28"/>
          <w:szCs w:val="28"/>
        </w:rPr>
        <w:footnoteReference w:id="4"/>
      </w:r>
      <w:r w:rsidRPr="00CA56AD">
        <w:rPr>
          <w:sz w:val="28"/>
          <w:szCs w:val="28"/>
        </w:rPr>
        <w:t xml:space="preserve"> which pointed to the controversy that surrounds the question </w:t>
      </w:r>
      <w:r w:rsidR="00D542AB" w:rsidRPr="00CA56AD">
        <w:rPr>
          <w:sz w:val="28"/>
          <w:szCs w:val="28"/>
        </w:rPr>
        <w:t xml:space="preserve">of </w:t>
      </w:r>
      <w:r w:rsidRPr="00CA56AD">
        <w:rPr>
          <w:sz w:val="28"/>
          <w:szCs w:val="28"/>
        </w:rPr>
        <w:t xml:space="preserve">whether an authority to conclude juristic acts on behalf of a principal can be granted irrevocably. According </w:t>
      </w:r>
      <w:r w:rsidR="00EC1A9D" w:rsidRPr="00CA56AD">
        <w:rPr>
          <w:sz w:val="28"/>
          <w:szCs w:val="28"/>
        </w:rPr>
        <w:t xml:space="preserve">to </w:t>
      </w:r>
      <w:r w:rsidR="00EC1A9D" w:rsidRPr="00CA56AD">
        <w:rPr>
          <w:i/>
          <w:sz w:val="28"/>
          <w:szCs w:val="28"/>
        </w:rPr>
        <w:t>L</w:t>
      </w:r>
      <w:r w:rsidR="00D542AB" w:rsidRPr="00CA56AD">
        <w:rPr>
          <w:i/>
          <w:sz w:val="28"/>
          <w:szCs w:val="28"/>
        </w:rPr>
        <w:t>awsa</w:t>
      </w:r>
      <w:r w:rsidR="00D542AB" w:rsidRPr="00CA56AD">
        <w:rPr>
          <w:sz w:val="28"/>
          <w:szCs w:val="28"/>
        </w:rPr>
        <w:t>,</w:t>
      </w:r>
      <w:r w:rsidR="00EC1A9D" w:rsidRPr="00CA56AD">
        <w:rPr>
          <w:rStyle w:val="FootnoteReference"/>
          <w:sz w:val="28"/>
          <w:szCs w:val="28"/>
        </w:rPr>
        <w:footnoteReference w:id="5"/>
      </w:r>
      <w:r w:rsidR="00EC1A9D" w:rsidRPr="00CA56AD">
        <w:rPr>
          <w:sz w:val="28"/>
          <w:szCs w:val="28"/>
        </w:rPr>
        <w:t xml:space="preserve"> the uncertainty that exists stems partly from the fact that the distinction is sometimes not made between revocation of authority and termination arising out of contracts of mandate. </w:t>
      </w:r>
      <w:r w:rsidR="0008053F" w:rsidRPr="00CA56AD">
        <w:rPr>
          <w:sz w:val="28"/>
          <w:szCs w:val="28"/>
        </w:rPr>
        <w:t xml:space="preserve">These </w:t>
      </w:r>
      <w:r w:rsidR="00EC1A9D" w:rsidRPr="00CA56AD">
        <w:rPr>
          <w:sz w:val="28"/>
          <w:szCs w:val="28"/>
        </w:rPr>
        <w:t>are two distinct terms with different rules. The appreciation that a contract of mandate cannot be terminated at will by one of the parties, does not mean</w:t>
      </w:r>
      <w:r w:rsidR="00CD2220" w:rsidRPr="00CA56AD">
        <w:rPr>
          <w:sz w:val="28"/>
          <w:szCs w:val="28"/>
        </w:rPr>
        <w:t xml:space="preserve"> that</w:t>
      </w:r>
      <w:r w:rsidR="00EC1A9D" w:rsidRPr="00CA56AD">
        <w:rPr>
          <w:sz w:val="28"/>
          <w:szCs w:val="28"/>
        </w:rPr>
        <w:t xml:space="preserve"> </w:t>
      </w:r>
      <w:r w:rsidR="00CD2220" w:rsidRPr="00CA56AD">
        <w:rPr>
          <w:sz w:val="28"/>
          <w:szCs w:val="28"/>
        </w:rPr>
        <w:t>‘a mandat</w:t>
      </w:r>
      <w:r w:rsidR="000E3189" w:rsidRPr="00CA56AD">
        <w:rPr>
          <w:sz w:val="28"/>
          <w:szCs w:val="28"/>
        </w:rPr>
        <w:t>a</w:t>
      </w:r>
      <w:r w:rsidR="00CD2220" w:rsidRPr="00CA56AD">
        <w:rPr>
          <w:sz w:val="28"/>
          <w:szCs w:val="28"/>
        </w:rPr>
        <w:t>ry</w:t>
      </w:r>
      <w:r w:rsidR="000E3189" w:rsidRPr="00CA56AD">
        <w:rPr>
          <w:sz w:val="28"/>
          <w:szCs w:val="28"/>
        </w:rPr>
        <w:t>’s</w:t>
      </w:r>
      <w:r w:rsidR="00CD2220" w:rsidRPr="00CA56AD">
        <w:rPr>
          <w:sz w:val="28"/>
          <w:szCs w:val="28"/>
        </w:rPr>
        <w:t xml:space="preserve"> authority to conclude </w:t>
      </w:r>
      <w:r w:rsidR="00CD2220" w:rsidRPr="00CA56AD">
        <w:rPr>
          <w:i/>
          <w:sz w:val="28"/>
          <w:szCs w:val="28"/>
        </w:rPr>
        <w:t>juristic acts</w:t>
      </w:r>
      <w:r w:rsidR="00CD2220" w:rsidRPr="00CA56AD">
        <w:rPr>
          <w:sz w:val="28"/>
          <w:szCs w:val="28"/>
        </w:rPr>
        <w:t xml:space="preserve"> on behalf of [a] principal can be irrevocable. Even if the</w:t>
      </w:r>
      <w:r w:rsidR="00EC1A9D" w:rsidRPr="00CA56AD">
        <w:rPr>
          <w:sz w:val="28"/>
          <w:szCs w:val="28"/>
        </w:rPr>
        <w:t xml:space="preserve"> </w:t>
      </w:r>
      <w:r w:rsidR="00CD2220" w:rsidRPr="00CA56AD">
        <w:rPr>
          <w:sz w:val="28"/>
          <w:szCs w:val="28"/>
        </w:rPr>
        <w:t>r</w:t>
      </w:r>
      <w:r w:rsidR="00EC1A9D" w:rsidRPr="00CA56AD">
        <w:rPr>
          <w:sz w:val="28"/>
          <w:szCs w:val="28"/>
        </w:rPr>
        <w:t>epresentative’s authority</w:t>
      </w:r>
      <w:r w:rsidR="00CD2220" w:rsidRPr="00CA56AD">
        <w:rPr>
          <w:sz w:val="28"/>
          <w:szCs w:val="28"/>
        </w:rPr>
        <w:t xml:space="preserve"> is</w:t>
      </w:r>
      <w:r w:rsidR="00EC1A9D" w:rsidRPr="00CA56AD">
        <w:rPr>
          <w:sz w:val="28"/>
          <w:szCs w:val="28"/>
        </w:rPr>
        <w:t xml:space="preserve"> linked</w:t>
      </w:r>
      <w:r w:rsidR="00CD2220" w:rsidRPr="00CA56AD">
        <w:rPr>
          <w:sz w:val="28"/>
          <w:szCs w:val="28"/>
        </w:rPr>
        <w:t xml:space="preserve"> with</w:t>
      </w:r>
      <w:r w:rsidR="00EC1A9D" w:rsidRPr="00CA56AD">
        <w:rPr>
          <w:sz w:val="28"/>
          <w:szCs w:val="28"/>
        </w:rPr>
        <w:t xml:space="preserve"> a contract of mandate which</w:t>
      </w:r>
      <w:r w:rsidR="00CD2220" w:rsidRPr="00CA56AD">
        <w:rPr>
          <w:sz w:val="28"/>
          <w:szCs w:val="28"/>
        </w:rPr>
        <w:t xml:space="preserve"> cannot be terminated unilaterally by </w:t>
      </w:r>
      <w:r w:rsidR="000E3189" w:rsidRPr="00CA56AD">
        <w:rPr>
          <w:sz w:val="28"/>
          <w:szCs w:val="28"/>
        </w:rPr>
        <w:t>the</w:t>
      </w:r>
      <w:r w:rsidR="00CD2220" w:rsidRPr="00CA56AD">
        <w:rPr>
          <w:sz w:val="28"/>
          <w:szCs w:val="28"/>
        </w:rPr>
        <w:t xml:space="preserve"> mandator, the authority is revocable</w:t>
      </w:r>
      <w:r w:rsidR="00EC1A9D" w:rsidRPr="00CA56AD">
        <w:rPr>
          <w:sz w:val="28"/>
          <w:szCs w:val="28"/>
        </w:rPr>
        <w:t>.</w:t>
      </w:r>
      <w:r w:rsidR="00CD2220" w:rsidRPr="00CA56AD">
        <w:rPr>
          <w:sz w:val="28"/>
          <w:szCs w:val="28"/>
        </w:rPr>
        <w:t xml:space="preserve"> The mandator is liable in damages for breach of </w:t>
      </w:r>
      <w:r w:rsidR="000E3189" w:rsidRPr="00CA56AD">
        <w:rPr>
          <w:sz w:val="28"/>
          <w:szCs w:val="28"/>
        </w:rPr>
        <w:t xml:space="preserve">the </w:t>
      </w:r>
      <w:r w:rsidR="00CD2220" w:rsidRPr="00CA56AD">
        <w:rPr>
          <w:sz w:val="28"/>
          <w:szCs w:val="28"/>
        </w:rPr>
        <w:t>contract of mandate, but the mandat</w:t>
      </w:r>
      <w:r w:rsidR="000E3189" w:rsidRPr="00CA56AD">
        <w:rPr>
          <w:sz w:val="28"/>
          <w:szCs w:val="28"/>
        </w:rPr>
        <w:t>a</w:t>
      </w:r>
      <w:r w:rsidR="00CD2220" w:rsidRPr="00CA56AD">
        <w:rPr>
          <w:sz w:val="28"/>
          <w:szCs w:val="28"/>
        </w:rPr>
        <w:t xml:space="preserve">ry can no longer conclude </w:t>
      </w:r>
      <w:r w:rsidR="00CD2220" w:rsidRPr="00CA56AD">
        <w:rPr>
          <w:i/>
          <w:sz w:val="28"/>
          <w:szCs w:val="28"/>
        </w:rPr>
        <w:t>juristic acts</w:t>
      </w:r>
      <w:r w:rsidR="00CD2220" w:rsidRPr="00CA56AD">
        <w:rPr>
          <w:sz w:val="28"/>
          <w:szCs w:val="28"/>
        </w:rPr>
        <w:t xml:space="preserve"> on behalf of the mandator</w:t>
      </w:r>
      <w:r w:rsidR="0091309E" w:rsidRPr="00CA56AD">
        <w:rPr>
          <w:sz w:val="28"/>
          <w:szCs w:val="28"/>
        </w:rPr>
        <w:t>’</w:t>
      </w:r>
      <w:r w:rsidR="00CD2220" w:rsidRPr="00CA56AD">
        <w:rPr>
          <w:sz w:val="28"/>
          <w:szCs w:val="28"/>
        </w:rPr>
        <w:t xml:space="preserve">. </w:t>
      </w:r>
      <w:bookmarkStart w:id="1" w:name="_Hlk116653308"/>
      <w:r w:rsidR="00CD2220" w:rsidRPr="00CA56AD">
        <w:rPr>
          <w:sz w:val="28"/>
          <w:szCs w:val="28"/>
        </w:rPr>
        <w:t>(My emphasis.)</w:t>
      </w:r>
      <w:bookmarkEnd w:id="1"/>
    </w:p>
    <w:p w14:paraId="1483E651" w14:textId="77777777" w:rsidR="00E520E9" w:rsidRPr="00CA56AD" w:rsidRDefault="00E520E9" w:rsidP="008E064A">
      <w:pPr>
        <w:tabs>
          <w:tab w:val="left" w:pos="0"/>
        </w:tabs>
        <w:rPr>
          <w:sz w:val="28"/>
          <w:szCs w:val="28"/>
        </w:rPr>
      </w:pPr>
    </w:p>
    <w:p w14:paraId="23276D25" w14:textId="77777777" w:rsidR="002F6260" w:rsidRPr="00CA56AD" w:rsidRDefault="002F6260" w:rsidP="008E064A">
      <w:pPr>
        <w:numPr>
          <w:ilvl w:val="0"/>
          <w:numId w:val="1"/>
        </w:numPr>
        <w:shd w:val="clear" w:color="auto" w:fill="FFFFFF"/>
        <w:tabs>
          <w:tab w:val="left" w:pos="0"/>
        </w:tabs>
        <w:ind w:left="0"/>
        <w:rPr>
          <w:sz w:val="28"/>
          <w:szCs w:val="28"/>
        </w:rPr>
      </w:pPr>
      <w:r w:rsidRPr="00CA56AD">
        <w:rPr>
          <w:sz w:val="28"/>
          <w:szCs w:val="28"/>
        </w:rPr>
        <w:t xml:space="preserve">This </w:t>
      </w:r>
      <w:r w:rsidR="00137049" w:rsidRPr="00CA56AD">
        <w:rPr>
          <w:sz w:val="28"/>
          <w:szCs w:val="28"/>
        </w:rPr>
        <w:t>distinction is</w:t>
      </w:r>
      <w:r w:rsidRPr="00CA56AD">
        <w:rPr>
          <w:sz w:val="28"/>
          <w:szCs w:val="28"/>
        </w:rPr>
        <w:t xml:space="preserve"> important</w:t>
      </w:r>
      <w:r w:rsidR="00F82AE5" w:rsidRPr="00CA56AD">
        <w:rPr>
          <w:sz w:val="28"/>
          <w:szCs w:val="28"/>
        </w:rPr>
        <w:t>,</w:t>
      </w:r>
      <w:r w:rsidRPr="00CA56AD">
        <w:rPr>
          <w:sz w:val="28"/>
          <w:szCs w:val="28"/>
        </w:rPr>
        <w:t xml:space="preserve"> because the general rule that </w:t>
      </w:r>
      <w:r w:rsidR="00F82AE5" w:rsidRPr="00CA56AD">
        <w:rPr>
          <w:sz w:val="28"/>
          <w:szCs w:val="28"/>
        </w:rPr>
        <w:t xml:space="preserve">an </w:t>
      </w:r>
      <w:r w:rsidRPr="00CA56AD">
        <w:rPr>
          <w:sz w:val="28"/>
          <w:szCs w:val="28"/>
        </w:rPr>
        <w:t xml:space="preserve">agent’s authority may be terminated at will seems to relate </w:t>
      </w:r>
      <w:r w:rsidR="0027362B" w:rsidRPr="00CA56AD">
        <w:rPr>
          <w:sz w:val="28"/>
          <w:szCs w:val="28"/>
        </w:rPr>
        <w:t>to certain</w:t>
      </w:r>
      <w:r w:rsidRPr="00CA56AD">
        <w:rPr>
          <w:sz w:val="28"/>
          <w:szCs w:val="28"/>
        </w:rPr>
        <w:t xml:space="preserve"> types of mandates. In </w:t>
      </w:r>
      <w:r w:rsidRPr="00CA56AD">
        <w:rPr>
          <w:i/>
          <w:sz w:val="28"/>
          <w:szCs w:val="28"/>
        </w:rPr>
        <w:t>Eileen</w:t>
      </w:r>
      <w:r w:rsidR="00F35125" w:rsidRPr="00CA56AD">
        <w:rPr>
          <w:i/>
          <w:iCs/>
          <w:sz w:val="28"/>
          <w:szCs w:val="28"/>
        </w:rPr>
        <w:t xml:space="preserve"> Louvet</w:t>
      </w:r>
      <w:r w:rsidRPr="00CA56AD">
        <w:rPr>
          <w:i/>
          <w:sz w:val="28"/>
          <w:szCs w:val="28"/>
        </w:rPr>
        <w:t xml:space="preserve"> Real Estate (Pty) Ltd</w:t>
      </w:r>
      <w:r w:rsidR="00F82AE5" w:rsidRPr="00CA56AD">
        <w:rPr>
          <w:sz w:val="28"/>
          <w:szCs w:val="28"/>
        </w:rPr>
        <w:t>,</w:t>
      </w:r>
      <w:r w:rsidRPr="00CA56AD">
        <w:rPr>
          <w:rStyle w:val="FootnoteReference"/>
          <w:iCs/>
          <w:sz w:val="28"/>
          <w:szCs w:val="28"/>
        </w:rPr>
        <w:footnoteReference w:id="6"/>
      </w:r>
      <w:r w:rsidRPr="00CA56AD">
        <w:rPr>
          <w:iCs/>
          <w:sz w:val="28"/>
          <w:szCs w:val="28"/>
        </w:rPr>
        <w:t xml:space="preserve"> </w:t>
      </w:r>
      <w:r w:rsidR="0027362B" w:rsidRPr="00CA56AD">
        <w:rPr>
          <w:sz w:val="28"/>
          <w:szCs w:val="28"/>
        </w:rPr>
        <w:t xml:space="preserve">in </w:t>
      </w:r>
      <w:r w:rsidRPr="00CA56AD">
        <w:rPr>
          <w:sz w:val="28"/>
          <w:szCs w:val="28"/>
        </w:rPr>
        <w:t xml:space="preserve">a matter that dealt with </w:t>
      </w:r>
      <w:r w:rsidRPr="00CA56AD">
        <w:rPr>
          <w:sz w:val="28"/>
          <w:szCs w:val="28"/>
        </w:rPr>
        <w:lastRenderedPageBreak/>
        <w:t>a sole and exclusive mandate to sell property given to an agent, this Court observed:</w:t>
      </w:r>
      <w:r w:rsidRPr="00CA56AD">
        <w:rPr>
          <w:i/>
          <w:sz w:val="28"/>
          <w:szCs w:val="28"/>
        </w:rPr>
        <w:t xml:space="preserve"> </w:t>
      </w:r>
    </w:p>
    <w:p w14:paraId="3A92F55D" w14:textId="77777777" w:rsidR="002F6260" w:rsidRPr="00CA56AD" w:rsidRDefault="002F6260" w:rsidP="008E064A">
      <w:pPr>
        <w:tabs>
          <w:tab w:val="left" w:pos="0"/>
        </w:tabs>
      </w:pPr>
      <w:r w:rsidRPr="00CA56AD">
        <w:t xml:space="preserve">‘It has, of course, often been held that, save for certain exceptions, an agent’s mandate may be summarily revoked by the principal, even if it is expressed to be irrevocable. </w:t>
      </w:r>
      <w:r w:rsidRPr="00CA56AD">
        <w:rPr>
          <w:i/>
        </w:rPr>
        <w:t xml:space="preserve">A mandate in this sense is an authority, derived from an agreement of agency, to perform a juristic act </w:t>
      </w:r>
      <w:r w:rsidR="0091309E" w:rsidRPr="00CA56AD">
        <w:rPr>
          <w:i/>
        </w:rPr>
        <w:t>on behalf</w:t>
      </w:r>
      <w:r w:rsidRPr="00CA56AD">
        <w:rPr>
          <w:i/>
        </w:rPr>
        <w:t xml:space="preserve"> of the principal.</w:t>
      </w:r>
      <w:r w:rsidRPr="00CA56AD">
        <w:t xml:space="preserve"> But in law an ordinary estate agent (to whom, for convenience, I shall refer as a realtor) is not appointed by virtue of such an agreement. </w:t>
      </w:r>
      <w:r w:rsidRPr="00CA56AD">
        <w:rPr>
          <w:i/>
        </w:rPr>
        <w:t>He cannot sell the property on behalf of the owner, nor can he perform any juristic act binding the owner.</w:t>
      </w:r>
      <w:r w:rsidRPr="00CA56AD">
        <w:t xml:space="preserve"> The latter merely undertakes to compensate him should a certain eventuality occur; usually if he introduces a willing and able purchaser as a result </w:t>
      </w:r>
      <w:r w:rsidR="00C65626" w:rsidRPr="00CA56AD">
        <w:t xml:space="preserve">of </w:t>
      </w:r>
      <w:r w:rsidRPr="00CA56AD">
        <w:t>which the property is sold to the person thus introduced. The contract between the owner and the realtor is therefore also not an agreement of mandate; the realtor is not obliged to perform his mandate. Hence the contract is </w:t>
      </w:r>
      <w:r w:rsidRPr="00CA56AD">
        <w:rPr>
          <w:i/>
          <w:iCs/>
        </w:rPr>
        <w:t>sui generis</w:t>
      </w:r>
      <w:r w:rsidRPr="00CA56AD">
        <w:t> (cf </w:t>
      </w:r>
      <w:r w:rsidRPr="00CA56AD">
        <w:rPr>
          <w:i/>
          <w:iCs/>
        </w:rPr>
        <w:t>Gluckman v Landau &amp; Co</w:t>
      </w:r>
      <w:r w:rsidRPr="00CA56AD">
        <w:t> 1944 TPD 261 at 274-5). For the sake of convenience I shall, nevertheless, use the word mandate to denote the realtor's authority.’</w:t>
      </w:r>
      <w:r w:rsidR="006E275B" w:rsidRPr="00CA56AD">
        <w:rPr>
          <w:rStyle w:val="FootnoteReference"/>
        </w:rPr>
        <w:footnoteReference w:id="7"/>
      </w:r>
      <w:r w:rsidR="00E520E9" w:rsidRPr="00CA56AD">
        <w:t xml:space="preserve"> (My emphasis.) </w:t>
      </w:r>
    </w:p>
    <w:p w14:paraId="32DBD138" w14:textId="77777777" w:rsidR="00E43153" w:rsidRPr="00CA56AD" w:rsidRDefault="00E43153" w:rsidP="008E064A">
      <w:pPr>
        <w:pStyle w:val="ListParagraph"/>
        <w:rPr>
          <w:sz w:val="28"/>
          <w:szCs w:val="28"/>
        </w:rPr>
      </w:pPr>
    </w:p>
    <w:p w14:paraId="35F6226B" w14:textId="77777777" w:rsidR="00E77054" w:rsidRPr="00CA56AD" w:rsidRDefault="00E77054" w:rsidP="008E064A">
      <w:pPr>
        <w:numPr>
          <w:ilvl w:val="0"/>
          <w:numId w:val="1"/>
        </w:numPr>
        <w:tabs>
          <w:tab w:val="left" w:pos="0"/>
        </w:tabs>
        <w:ind w:left="0"/>
        <w:rPr>
          <w:sz w:val="28"/>
          <w:szCs w:val="28"/>
        </w:rPr>
      </w:pPr>
      <w:r w:rsidRPr="00CA56AD">
        <w:rPr>
          <w:sz w:val="28"/>
          <w:szCs w:val="28"/>
        </w:rPr>
        <w:t xml:space="preserve">In this case, by its own admission, Glopin is not an empowered agent. This is confirmed by the express term of the </w:t>
      </w:r>
      <w:r w:rsidR="00CD2220" w:rsidRPr="00CA56AD">
        <w:rPr>
          <w:sz w:val="28"/>
          <w:szCs w:val="28"/>
        </w:rPr>
        <w:t>agreement</w:t>
      </w:r>
      <w:r w:rsidRPr="00CA56AD">
        <w:rPr>
          <w:sz w:val="28"/>
          <w:szCs w:val="28"/>
        </w:rPr>
        <w:t xml:space="preserve">, clause 3.2, which says: ‘GLOPIN is not appointed as agent or representative of Munimed and is not authorised to or </w:t>
      </w:r>
      <w:r w:rsidR="004C3DCB" w:rsidRPr="00CA56AD">
        <w:rPr>
          <w:sz w:val="28"/>
          <w:szCs w:val="28"/>
        </w:rPr>
        <w:t xml:space="preserve">to </w:t>
      </w:r>
      <w:r w:rsidRPr="00CA56AD">
        <w:rPr>
          <w:sz w:val="28"/>
          <w:szCs w:val="28"/>
        </w:rPr>
        <w:t>purport to</w:t>
      </w:r>
      <w:r w:rsidR="004C3DCB" w:rsidRPr="00CA56AD">
        <w:rPr>
          <w:sz w:val="28"/>
          <w:szCs w:val="28"/>
        </w:rPr>
        <w:t>’</w:t>
      </w:r>
      <w:r w:rsidRPr="00CA56AD">
        <w:rPr>
          <w:sz w:val="28"/>
          <w:szCs w:val="28"/>
        </w:rPr>
        <w:t xml:space="preserve">, inter alia, </w:t>
      </w:r>
      <w:r w:rsidR="004C3DCB" w:rsidRPr="00CA56AD">
        <w:rPr>
          <w:sz w:val="28"/>
          <w:szCs w:val="28"/>
        </w:rPr>
        <w:t>‘</w:t>
      </w:r>
      <w:r w:rsidRPr="00CA56AD">
        <w:rPr>
          <w:sz w:val="28"/>
          <w:szCs w:val="28"/>
        </w:rPr>
        <w:t>contract on behalf of or in any way bind Munimed’</w:t>
      </w:r>
      <w:r w:rsidR="004C3DCB" w:rsidRPr="00CA56AD">
        <w:rPr>
          <w:sz w:val="28"/>
          <w:szCs w:val="28"/>
        </w:rPr>
        <w:t>.</w:t>
      </w:r>
      <w:r w:rsidRPr="00CA56AD">
        <w:rPr>
          <w:sz w:val="28"/>
          <w:szCs w:val="28"/>
        </w:rPr>
        <w:t xml:space="preserve"> The agreement only authorised or permitted Glopin to submit applications to </w:t>
      </w:r>
      <w:r w:rsidR="00F04DC1" w:rsidRPr="00CA56AD">
        <w:rPr>
          <w:sz w:val="28"/>
          <w:szCs w:val="28"/>
        </w:rPr>
        <w:t>KeyHealth</w:t>
      </w:r>
      <w:r w:rsidRPr="00CA56AD">
        <w:rPr>
          <w:sz w:val="28"/>
          <w:szCs w:val="28"/>
        </w:rPr>
        <w:t xml:space="preserve"> for the benefit of Glopin’s clients and to provide ongoing broker services. In those dealings, it could not represent </w:t>
      </w:r>
      <w:r w:rsidR="00F04DC1" w:rsidRPr="00CA56AD">
        <w:rPr>
          <w:sz w:val="28"/>
          <w:szCs w:val="28"/>
        </w:rPr>
        <w:t>KeyHealth</w:t>
      </w:r>
      <w:r w:rsidRPr="00CA56AD">
        <w:rPr>
          <w:sz w:val="28"/>
          <w:szCs w:val="28"/>
        </w:rPr>
        <w:t xml:space="preserve">. </w:t>
      </w:r>
    </w:p>
    <w:p w14:paraId="3E932AE1" w14:textId="77777777" w:rsidR="00E77054" w:rsidRPr="00CA56AD" w:rsidRDefault="00E77054" w:rsidP="008E064A">
      <w:pPr>
        <w:tabs>
          <w:tab w:val="left" w:pos="0"/>
        </w:tabs>
        <w:rPr>
          <w:sz w:val="28"/>
          <w:szCs w:val="28"/>
        </w:rPr>
      </w:pPr>
    </w:p>
    <w:p w14:paraId="2EE0C292" w14:textId="5AC5B3B7" w:rsidR="00E43153" w:rsidRPr="00CA56AD" w:rsidRDefault="00E43153" w:rsidP="008E064A">
      <w:pPr>
        <w:numPr>
          <w:ilvl w:val="0"/>
          <w:numId w:val="1"/>
        </w:numPr>
        <w:tabs>
          <w:tab w:val="left" w:pos="0"/>
        </w:tabs>
        <w:ind w:left="0"/>
        <w:rPr>
          <w:sz w:val="28"/>
          <w:szCs w:val="28"/>
        </w:rPr>
      </w:pPr>
      <w:r w:rsidRPr="00CA56AD">
        <w:rPr>
          <w:sz w:val="28"/>
          <w:szCs w:val="28"/>
        </w:rPr>
        <w:t xml:space="preserve">Apart from aligning itself with the trial court’s findings, </w:t>
      </w:r>
      <w:r w:rsidR="00F04DC1" w:rsidRPr="00CA56AD">
        <w:rPr>
          <w:sz w:val="28"/>
          <w:szCs w:val="28"/>
        </w:rPr>
        <w:t>KeyHealth</w:t>
      </w:r>
      <w:r w:rsidRPr="00CA56AD">
        <w:rPr>
          <w:sz w:val="28"/>
          <w:szCs w:val="28"/>
        </w:rPr>
        <w:t xml:space="preserve"> has not attempted to show whether the mandate </w:t>
      </w:r>
      <w:r w:rsidR="00E77054" w:rsidRPr="00CA56AD">
        <w:rPr>
          <w:sz w:val="28"/>
          <w:szCs w:val="28"/>
        </w:rPr>
        <w:t xml:space="preserve">it </w:t>
      </w:r>
      <w:r w:rsidRPr="00CA56AD">
        <w:rPr>
          <w:sz w:val="28"/>
          <w:szCs w:val="28"/>
        </w:rPr>
        <w:t xml:space="preserve">contends for is the kind </w:t>
      </w:r>
      <w:r w:rsidR="00B92A3F" w:rsidRPr="00CA56AD">
        <w:rPr>
          <w:sz w:val="28"/>
          <w:szCs w:val="28"/>
        </w:rPr>
        <w:t xml:space="preserve">of </w:t>
      </w:r>
      <w:r w:rsidR="00CE743B" w:rsidRPr="00CA56AD">
        <w:rPr>
          <w:sz w:val="28"/>
          <w:szCs w:val="28"/>
        </w:rPr>
        <w:lastRenderedPageBreak/>
        <w:t xml:space="preserve">mandatary’s </w:t>
      </w:r>
      <w:r w:rsidR="00B92A3F" w:rsidRPr="00CA56AD">
        <w:rPr>
          <w:sz w:val="28"/>
          <w:szCs w:val="28"/>
        </w:rPr>
        <w:t>authority</w:t>
      </w:r>
      <w:r w:rsidRPr="00CA56AD">
        <w:rPr>
          <w:sz w:val="28"/>
          <w:szCs w:val="28"/>
        </w:rPr>
        <w:t xml:space="preserve"> </w:t>
      </w:r>
      <w:r w:rsidR="00FA380A" w:rsidRPr="00CA56AD">
        <w:rPr>
          <w:sz w:val="28"/>
          <w:szCs w:val="28"/>
        </w:rPr>
        <w:t xml:space="preserve">in respect of </w:t>
      </w:r>
      <w:r w:rsidRPr="00CA56AD">
        <w:rPr>
          <w:sz w:val="28"/>
          <w:szCs w:val="28"/>
        </w:rPr>
        <w:t xml:space="preserve">which the irrevocability clause </w:t>
      </w:r>
      <w:r w:rsidR="0051321F" w:rsidRPr="00CA56AD">
        <w:rPr>
          <w:sz w:val="28"/>
          <w:szCs w:val="28"/>
        </w:rPr>
        <w:t xml:space="preserve">cannot be </w:t>
      </w:r>
      <w:r w:rsidRPr="00CA56AD">
        <w:rPr>
          <w:sz w:val="28"/>
          <w:szCs w:val="28"/>
        </w:rPr>
        <w:t xml:space="preserve">applicable. </w:t>
      </w:r>
      <w:r w:rsidR="00F04DC1" w:rsidRPr="00CA56AD">
        <w:rPr>
          <w:sz w:val="28"/>
          <w:szCs w:val="28"/>
        </w:rPr>
        <w:t>KeyHealth</w:t>
      </w:r>
      <w:r w:rsidRPr="00CA56AD">
        <w:rPr>
          <w:sz w:val="28"/>
          <w:szCs w:val="28"/>
        </w:rPr>
        <w:t xml:space="preserve"> seems to base its argument purely </w:t>
      </w:r>
      <w:r w:rsidR="00897D9F" w:rsidRPr="00CA56AD">
        <w:rPr>
          <w:sz w:val="28"/>
          <w:szCs w:val="28"/>
        </w:rPr>
        <w:t xml:space="preserve">on </w:t>
      </w:r>
      <w:r w:rsidRPr="00CA56AD">
        <w:rPr>
          <w:sz w:val="28"/>
          <w:szCs w:val="28"/>
        </w:rPr>
        <w:t xml:space="preserve">the use of the word </w:t>
      </w:r>
      <w:r w:rsidR="00E77054" w:rsidRPr="00CA56AD">
        <w:rPr>
          <w:sz w:val="28"/>
          <w:szCs w:val="28"/>
        </w:rPr>
        <w:t>‘</w:t>
      </w:r>
      <w:r w:rsidRPr="00CA56AD">
        <w:rPr>
          <w:sz w:val="28"/>
          <w:szCs w:val="28"/>
        </w:rPr>
        <w:t>authority</w:t>
      </w:r>
      <w:r w:rsidR="00E77054" w:rsidRPr="00CA56AD">
        <w:rPr>
          <w:sz w:val="28"/>
          <w:szCs w:val="28"/>
        </w:rPr>
        <w:t>’</w:t>
      </w:r>
      <w:r w:rsidRPr="00CA56AD">
        <w:rPr>
          <w:sz w:val="28"/>
          <w:szCs w:val="28"/>
        </w:rPr>
        <w:t xml:space="preserve"> in the agreement and ignoring other clauses which give rise to the context of the use of the expression. </w:t>
      </w:r>
    </w:p>
    <w:p w14:paraId="7F9523CA" w14:textId="77777777" w:rsidR="006C5E36" w:rsidRPr="00CA56AD" w:rsidRDefault="006C5E36" w:rsidP="008E064A">
      <w:pPr>
        <w:pStyle w:val="ListParagraph"/>
        <w:rPr>
          <w:sz w:val="28"/>
          <w:szCs w:val="28"/>
        </w:rPr>
      </w:pPr>
    </w:p>
    <w:p w14:paraId="178B0AE6" w14:textId="77777777" w:rsidR="00E77054" w:rsidRPr="00CA56AD" w:rsidRDefault="006C5E36" w:rsidP="008E064A">
      <w:pPr>
        <w:pStyle w:val="ListParagraph"/>
        <w:numPr>
          <w:ilvl w:val="0"/>
          <w:numId w:val="1"/>
        </w:numPr>
        <w:tabs>
          <w:tab w:val="left" w:pos="0"/>
        </w:tabs>
        <w:ind w:left="0"/>
        <w:rPr>
          <w:sz w:val="28"/>
          <w:szCs w:val="28"/>
        </w:rPr>
      </w:pPr>
      <w:r w:rsidRPr="00CA56AD">
        <w:rPr>
          <w:sz w:val="28"/>
          <w:szCs w:val="28"/>
        </w:rPr>
        <w:t xml:space="preserve">Reliance on s 65 </w:t>
      </w:r>
      <w:r w:rsidR="004C3DCB" w:rsidRPr="00CA56AD">
        <w:rPr>
          <w:sz w:val="28"/>
          <w:szCs w:val="28"/>
        </w:rPr>
        <w:t xml:space="preserve">of the MSA </w:t>
      </w:r>
      <w:r w:rsidRPr="00CA56AD">
        <w:rPr>
          <w:sz w:val="28"/>
          <w:szCs w:val="28"/>
        </w:rPr>
        <w:t xml:space="preserve">read with </w:t>
      </w:r>
      <w:r w:rsidR="004C3DCB" w:rsidRPr="00CA56AD">
        <w:rPr>
          <w:sz w:val="28"/>
          <w:szCs w:val="28"/>
        </w:rPr>
        <w:t>r</w:t>
      </w:r>
      <w:r w:rsidRPr="00CA56AD">
        <w:rPr>
          <w:sz w:val="28"/>
          <w:szCs w:val="28"/>
        </w:rPr>
        <w:t>eg 28 do</w:t>
      </w:r>
      <w:r w:rsidR="004C3DCB" w:rsidRPr="00CA56AD">
        <w:rPr>
          <w:sz w:val="28"/>
          <w:szCs w:val="28"/>
        </w:rPr>
        <w:t>es</w:t>
      </w:r>
      <w:r w:rsidRPr="00CA56AD">
        <w:rPr>
          <w:sz w:val="28"/>
          <w:szCs w:val="28"/>
        </w:rPr>
        <w:t xml:space="preserve"> not </w:t>
      </w:r>
      <w:r w:rsidR="00E77054" w:rsidRPr="00CA56AD">
        <w:rPr>
          <w:sz w:val="28"/>
          <w:szCs w:val="28"/>
        </w:rPr>
        <w:t xml:space="preserve">assist </w:t>
      </w:r>
      <w:r w:rsidR="00F04DC1" w:rsidRPr="00CA56AD">
        <w:rPr>
          <w:sz w:val="28"/>
          <w:szCs w:val="28"/>
        </w:rPr>
        <w:t>KeyHealth</w:t>
      </w:r>
      <w:r w:rsidRPr="00CA56AD">
        <w:rPr>
          <w:sz w:val="28"/>
          <w:szCs w:val="28"/>
        </w:rPr>
        <w:t>’s</w:t>
      </w:r>
      <w:r w:rsidR="00E77054" w:rsidRPr="00CA56AD">
        <w:rPr>
          <w:sz w:val="28"/>
          <w:szCs w:val="28"/>
        </w:rPr>
        <w:t xml:space="preserve"> case at all</w:t>
      </w:r>
      <w:r w:rsidRPr="00CA56AD">
        <w:rPr>
          <w:sz w:val="28"/>
          <w:szCs w:val="28"/>
        </w:rPr>
        <w:t>.</w:t>
      </w:r>
      <w:r w:rsidR="005A042D" w:rsidRPr="00CA56AD">
        <w:rPr>
          <w:sz w:val="28"/>
          <w:szCs w:val="28"/>
        </w:rPr>
        <w:t xml:space="preserve"> Th</w:t>
      </w:r>
      <w:r w:rsidR="00E77054" w:rsidRPr="00CA56AD">
        <w:rPr>
          <w:sz w:val="28"/>
          <w:szCs w:val="28"/>
        </w:rPr>
        <w:t>ose</w:t>
      </w:r>
      <w:r w:rsidR="005A042D" w:rsidRPr="00CA56AD">
        <w:rPr>
          <w:sz w:val="28"/>
          <w:szCs w:val="28"/>
        </w:rPr>
        <w:t xml:space="preserve"> provisions simply deal with how the brokers are to be appointed, compensated and for which services.</w:t>
      </w:r>
      <w:r w:rsidR="004C3DCB" w:rsidRPr="00CA56AD">
        <w:rPr>
          <w:sz w:val="28"/>
          <w:szCs w:val="28"/>
        </w:rPr>
        <w:t xml:space="preserve"> Moreover, t</w:t>
      </w:r>
      <w:r w:rsidR="005A042D" w:rsidRPr="00CA56AD">
        <w:rPr>
          <w:sz w:val="28"/>
          <w:szCs w:val="28"/>
        </w:rPr>
        <w:t xml:space="preserve">he SLA effectively mirrors what is intended </w:t>
      </w:r>
      <w:r w:rsidR="00E77054" w:rsidRPr="00CA56AD">
        <w:rPr>
          <w:sz w:val="28"/>
          <w:szCs w:val="28"/>
        </w:rPr>
        <w:t xml:space="preserve">in </w:t>
      </w:r>
      <w:r w:rsidR="005A042D" w:rsidRPr="00CA56AD">
        <w:rPr>
          <w:sz w:val="28"/>
          <w:szCs w:val="28"/>
        </w:rPr>
        <w:t xml:space="preserve">those provisions. What is clear in both the SLA and those </w:t>
      </w:r>
      <w:r w:rsidR="004C3DCB" w:rsidRPr="00CA56AD">
        <w:rPr>
          <w:sz w:val="28"/>
          <w:szCs w:val="28"/>
        </w:rPr>
        <w:t xml:space="preserve">legislative </w:t>
      </w:r>
      <w:r w:rsidR="005A042D" w:rsidRPr="00CA56AD">
        <w:rPr>
          <w:sz w:val="28"/>
          <w:szCs w:val="28"/>
        </w:rPr>
        <w:t>provisions is</w:t>
      </w:r>
      <w:r w:rsidR="00E77054" w:rsidRPr="00CA56AD">
        <w:rPr>
          <w:sz w:val="28"/>
          <w:szCs w:val="28"/>
        </w:rPr>
        <w:t xml:space="preserve"> their appreciation </w:t>
      </w:r>
      <w:r w:rsidR="005A042D" w:rsidRPr="00CA56AD">
        <w:rPr>
          <w:sz w:val="28"/>
          <w:szCs w:val="28"/>
        </w:rPr>
        <w:t xml:space="preserve">of a </w:t>
      </w:r>
      <w:r w:rsidR="0027362B" w:rsidRPr="00CA56AD">
        <w:rPr>
          <w:sz w:val="28"/>
          <w:szCs w:val="28"/>
        </w:rPr>
        <w:t xml:space="preserve">triangular </w:t>
      </w:r>
      <w:r w:rsidR="005A042D" w:rsidRPr="00CA56AD">
        <w:rPr>
          <w:sz w:val="28"/>
          <w:szCs w:val="28"/>
        </w:rPr>
        <w:t xml:space="preserve">relationship between the medical scheme, the broker, and the members of the medical scheme. </w:t>
      </w:r>
      <w:r w:rsidR="00CD2220" w:rsidRPr="00CA56AD">
        <w:rPr>
          <w:sz w:val="28"/>
          <w:szCs w:val="28"/>
        </w:rPr>
        <w:t xml:space="preserve">The duties described in the SLA are not services solely rendered on behalf of </w:t>
      </w:r>
      <w:r w:rsidR="00F04DC1" w:rsidRPr="00CA56AD">
        <w:rPr>
          <w:sz w:val="28"/>
          <w:szCs w:val="28"/>
        </w:rPr>
        <w:t>KeyHealth</w:t>
      </w:r>
      <w:r w:rsidR="004C1069" w:rsidRPr="00CA56AD">
        <w:rPr>
          <w:sz w:val="28"/>
          <w:szCs w:val="28"/>
        </w:rPr>
        <w:t xml:space="preserve">. Glopin provides services to </w:t>
      </w:r>
      <w:r w:rsidR="00F04DC1" w:rsidRPr="00CA56AD">
        <w:rPr>
          <w:sz w:val="28"/>
          <w:szCs w:val="28"/>
        </w:rPr>
        <w:t>KeyHealth</w:t>
      </w:r>
      <w:r w:rsidR="004C1069" w:rsidRPr="00CA56AD">
        <w:rPr>
          <w:sz w:val="28"/>
          <w:szCs w:val="28"/>
        </w:rPr>
        <w:t xml:space="preserve"> and to the members of </w:t>
      </w:r>
      <w:r w:rsidR="00F04DC1" w:rsidRPr="00CA56AD">
        <w:rPr>
          <w:sz w:val="28"/>
          <w:szCs w:val="28"/>
        </w:rPr>
        <w:t>KeyHealth</w:t>
      </w:r>
      <w:r w:rsidR="004C1069" w:rsidRPr="00CA56AD">
        <w:rPr>
          <w:sz w:val="28"/>
          <w:szCs w:val="28"/>
        </w:rPr>
        <w:t xml:space="preserve"> who are also its clients as regards</w:t>
      </w:r>
      <w:r w:rsidR="0091309E" w:rsidRPr="00CA56AD">
        <w:rPr>
          <w:sz w:val="28"/>
          <w:szCs w:val="28"/>
        </w:rPr>
        <w:t xml:space="preserve"> to</w:t>
      </w:r>
      <w:r w:rsidR="004C1069" w:rsidRPr="00CA56AD">
        <w:rPr>
          <w:sz w:val="28"/>
          <w:szCs w:val="28"/>
        </w:rPr>
        <w:t xml:space="preserve"> the products of the medical scheme.</w:t>
      </w:r>
      <w:r w:rsidR="00CD2220" w:rsidRPr="00CA56AD">
        <w:rPr>
          <w:sz w:val="28"/>
          <w:szCs w:val="28"/>
        </w:rPr>
        <w:t xml:space="preserve"> </w:t>
      </w:r>
    </w:p>
    <w:p w14:paraId="4C2DDF9D" w14:textId="77777777" w:rsidR="00E77054" w:rsidRPr="00CA56AD" w:rsidRDefault="00E77054" w:rsidP="008E064A">
      <w:pPr>
        <w:pStyle w:val="ListParagraph"/>
        <w:rPr>
          <w:sz w:val="28"/>
          <w:szCs w:val="28"/>
        </w:rPr>
      </w:pPr>
    </w:p>
    <w:p w14:paraId="16E85D82" w14:textId="77777777" w:rsidR="00E9790D" w:rsidRPr="00CA56AD" w:rsidRDefault="00765793" w:rsidP="008E064A">
      <w:pPr>
        <w:pStyle w:val="ListParagraph"/>
        <w:numPr>
          <w:ilvl w:val="0"/>
          <w:numId w:val="1"/>
        </w:numPr>
        <w:tabs>
          <w:tab w:val="left" w:pos="0"/>
        </w:tabs>
        <w:ind w:left="0"/>
        <w:rPr>
          <w:sz w:val="28"/>
          <w:szCs w:val="28"/>
        </w:rPr>
      </w:pPr>
      <w:r w:rsidRPr="00CA56AD">
        <w:rPr>
          <w:sz w:val="28"/>
          <w:szCs w:val="28"/>
        </w:rPr>
        <w:t>Subr</w:t>
      </w:r>
      <w:r w:rsidR="005A042D" w:rsidRPr="00CA56AD">
        <w:rPr>
          <w:sz w:val="28"/>
          <w:szCs w:val="28"/>
        </w:rPr>
        <w:t>eg</w:t>
      </w:r>
      <w:r w:rsidR="000B586D" w:rsidRPr="00CA56AD">
        <w:rPr>
          <w:sz w:val="28"/>
          <w:szCs w:val="28"/>
        </w:rPr>
        <w:t>ulation</w:t>
      </w:r>
      <w:r w:rsidR="005A042D" w:rsidRPr="00CA56AD">
        <w:rPr>
          <w:sz w:val="28"/>
          <w:szCs w:val="28"/>
        </w:rPr>
        <w:t xml:space="preserve"> </w:t>
      </w:r>
      <w:r w:rsidRPr="00CA56AD">
        <w:rPr>
          <w:sz w:val="28"/>
          <w:szCs w:val="28"/>
        </w:rPr>
        <w:t>28(</w:t>
      </w:r>
      <w:r w:rsidR="005A042D" w:rsidRPr="00CA56AD">
        <w:rPr>
          <w:sz w:val="28"/>
          <w:szCs w:val="28"/>
        </w:rPr>
        <w:t>6</w:t>
      </w:r>
      <w:r w:rsidRPr="00CA56AD">
        <w:rPr>
          <w:sz w:val="28"/>
          <w:szCs w:val="28"/>
        </w:rPr>
        <w:t>)</w:t>
      </w:r>
      <w:r w:rsidR="005A042D" w:rsidRPr="00CA56AD">
        <w:rPr>
          <w:i/>
          <w:sz w:val="28"/>
          <w:szCs w:val="28"/>
        </w:rPr>
        <w:t>(b)</w:t>
      </w:r>
      <w:r w:rsidR="005A042D" w:rsidRPr="00CA56AD">
        <w:rPr>
          <w:sz w:val="28"/>
          <w:szCs w:val="28"/>
        </w:rPr>
        <w:t xml:space="preserve"> is </w:t>
      </w:r>
      <w:r w:rsidR="00E77054" w:rsidRPr="00CA56AD">
        <w:rPr>
          <w:sz w:val="28"/>
          <w:szCs w:val="28"/>
        </w:rPr>
        <w:t>instructive</w:t>
      </w:r>
      <w:r w:rsidR="005A042D" w:rsidRPr="00CA56AD">
        <w:rPr>
          <w:sz w:val="28"/>
          <w:szCs w:val="28"/>
        </w:rPr>
        <w:t xml:space="preserve">. </w:t>
      </w:r>
      <w:r w:rsidR="00FA380A" w:rsidRPr="00CA56AD">
        <w:rPr>
          <w:sz w:val="28"/>
          <w:szCs w:val="28"/>
        </w:rPr>
        <w:t xml:space="preserve">It provides that </w:t>
      </w:r>
      <w:r w:rsidR="005A042D" w:rsidRPr="00CA56AD">
        <w:rPr>
          <w:sz w:val="28"/>
          <w:szCs w:val="28"/>
        </w:rPr>
        <w:t xml:space="preserve">the broker may not receive compensation from any source other than the medical scheme, except </w:t>
      </w:r>
      <w:r w:rsidR="00E9790D" w:rsidRPr="00CA56AD">
        <w:rPr>
          <w:sz w:val="28"/>
          <w:szCs w:val="28"/>
        </w:rPr>
        <w:t>‘</w:t>
      </w:r>
      <w:r w:rsidR="005A042D" w:rsidRPr="00CA56AD">
        <w:rPr>
          <w:sz w:val="28"/>
          <w:szCs w:val="28"/>
        </w:rPr>
        <w:t>other than a possible direct payment</w:t>
      </w:r>
      <w:r w:rsidR="00E9790D" w:rsidRPr="00CA56AD">
        <w:rPr>
          <w:sz w:val="28"/>
          <w:szCs w:val="28"/>
        </w:rPr>
        <w:t xml:space="preserve"> to the broker</w:t>
      </w:r>
      <w:r w:rsidR="005A042D" w:rsidRPr="00CA56AD">
        <w:rPr>
          <w:sz w:val="28"/>
          <w:szCs w:val="28"/>
        </w:rPr>
        <w:t xml:space="preserve"> of a negotiated professional fee from the member himself </w:t>
      </w:r>
      <w:r w:rsidR="00E9790D" w:rsidRPr="00CA56AD">
        <w:rPr>
          <w:sz w:val="28"/>
          <w:szCs w:val="28"/>
        </w:rPr>
        <w:t>or herself (or the relevant</w:t>
      </w:r>
      <w:r w:rsidR="005A042D" w:rsidRPr="00CA56AD">
        <w:rPr>
          <w:sz w:val="28"/>
          <w:szCs w:val="28"/>
        </w:rPr>
        <w:t xml:space="preserve"> employer</w:t>
      </w:r>
      <w:r w:rsidR="00E9790D" w:rsidRPr="00CA56AD">
        <w:rPr>
          <w:sz w:val="28"/>
          <w:szCs w:val="28"/>
        </w:rPr>
        <w:t>)</w:t>
      </w:r>
      <w:r w:rsidR="00C73692" w:rsidRPr="00CA56AD">
        <w:rPr>
          <w:sz w:val="28"/>
          <w:szCs w:val="28"/>
        </w:rPr>
        <w:t>’</w:t>
      </w:r>
      <w:r w:rsidR="005A042D" w:rsidRPr="00CA56AD">
        <w:rPr>
          <w:sz w:val="28"/>
          <w:szCs w:val="28"/>
        </w:rPr>
        <w:t xml:space="preserve">. The use of the words ‘direct payment’ </w:t>
      </w:r>
      <w:r w:rsidR="00A65F37" w:rsidRPr="00CA56AD">
        <w:rPr>
          <w:sz w:val="28"/>
          <w:szCs w:val="28"/>
        </w:rPr>
        <w:t xml:space="preserve">seems to be a recognition </w:t>
      </w:r>
      <w:r w:rsidR="005A042D" w:rsidRPr="00CA56AD">
        <w:rPr>
          <w:sz w:val="28"/>
          <w:szCs w:val="28"/>
        </w:rPr>
        <w:t>that services provided by the broker to the member</w:t>
      </w:r>
      <w:r w:rsidR="00A65F37" w:rsidRPr="00CA56AD">
        <w:rPr>
          <w:sz w:val="28"/>
          <w:szCs w:val="28"/>
        </w:rPr>
        <w:t xml:space="preserve"> are ordinarily </w:t>
      </w:r>
      <w:r w:rsidR="005A042D" w:rsidRPr="00CA56AD">
        <w:rPr>
          <w:sz w:val="28"/>
          <w:szCs w:val="28"/>
        </w:rPr>
        <w:t xml:space="preserve">paid for ‘indirectly’ through the medical scheme. </w:t>
      </w:r>
    </w:p>
    <w:p w14:paraId="6B58050A" w14:textId="77777777" w:rsidR="00E9790D" w:rsidRPr="00CA56AD" w:rsidRDefault="00E9790D" w:rsidP="00F504AD">
      <w:pPr>
        <w:pStyle w:val="ListParagraph"/>
        <w:rPr>
          <w:sz w:val="28"/>
          <w:szCs w:val="28"/>
        </w:rPr>
      </w:pPr>
    </w:p>
    <w:p w14:paraId="2AC62F0B" w14:textId="03161CBA" w:rsidR="00D3633D" w:rsidRPr="00CA56AD" w:rsidRDefault="005A042D" w:rsidP="008E064A">
      <w:pPr>
        <w:pStyle w:val="ListParagraph"/>
        <w:numPr>
          <w:ilvl w:val="0"/>
          <w:numId w:val="1"/>
        </w:numPr>
        <w:tabs>
          <w:tab w:val="left" w:pos="0"/>
        </w:tabs>
        <w:ind w:left="0"/>
        <w:rPr>
          <w:sz w:val="28"/>
          <w:szCs w:val="28"/>
        </w:rPr>
      </w:pPr>
      <w:r w:rsidRPr="00CA56AD">
        <w:rPr>
          <w:sz w:val="28"/>
          <w:szCs w:val="28"/>
        </w:rPr>
        <w:t>The suggestion</w:t>
      </w:r>
      <w:r w:rsidR="00E9790D" w:rsidRPr="00CA56AD">
        <w:rPr>
          <w:sz w:val="28"/>
          <w:szCs w:val="28"/>
        </w:rPr>
        <w:t xml:space="preserve">, therefore, </w:t>
      </w:r>
      <w:r w:rsidRPr="00CA56AD">
        <w:rPr>
          <w:sz w:val="28"/>
          <w:szCs w:val="28"/>
        </w:rPr>
        <w:t>that</w:t>
      </w:r>
      <w:r w:rsidR="000B586D" w:rsidRPr="00CA56AD">
        <w:rPr>
          <w:sz w:val="28"/>
          <w:szCs w:val="28"/>
        </w:rPr>
        <w:t xml:space="preserve"> s 65 and </w:t>
      </w:r>
      <w:r w:rsidR="00E9790D" w:rsidRPr="00CA56AD">
        <w:rPr>
          <w:sz w:val="28"/>
          <w:szCs w:val="28"/>
        </w:rPr>
        <w:t>r</w:t>
      </w:r>
      <w:r w:rsidR="000B586D" w:rsidRPr="00CA56AD">
        <w:rPr>
          <w:sz w:val="28"/>
          <w:szCs w:val="28"/>
        </w:rPr>
        <w:t>eg 28</w:t>
      </w:r>
      <w:r w:rsidR="00D3633D" w:rsidRPr="00CA56AD">
        <w:rPr>
          <w:sz w:val="28"/>
          <w:szCs w:val="28"/>
        </w:rPr>
        <w:t xml:space="preserve"> </w:t>
      </w:r>
      <w:r w:rsidR="00A65F37" w:rsidRPr="00CA56AD">
        <w:rPr>
          <w:sz w:val="28"/>
          <w:szCs w:val="28"/>
        </w:rPr>
        <w:t xml:space="preserve">are </w:t>
      </w:r>
      <w:r w:rsidR="00D3633D" w:rsidRPr="00CA56AD">
        <w:rPr>
          <w:sz w:val="28"/>
          <w:szCs w:val="28"/>
        </w:rPr>
        <w:t>support</w:t>
      </w:r>
      <w:r w:rsidR="00C73692" w:rsidRPr="00CA56AD">
        <w:rPr>
          <w:sz w:val="28"/>
          <w:szCs w:val="28"/>
        </w:rPr>
        <w:t>ing</w:t>
      </w:r>
      <w:r w:rsidR="00D3633D" w:rsidRPr="00CA56AD">
        <w:rPr>
          <w:sz w:val="28"/>
          <w:szCs w:val="28"/>
        </w:rPr>
        <w:t xml:space="preserve"> the contention that the agreement is a mandate on the basis that it provides for </w:t>
      </w:r>
      <w:r w:rsidR="00D3633D" w:rsidRPr="00CA56AD">
        <w:rPr>
          <w:sz w:val="28"/>
          <w:szCs w:val="28"/>
        </w:rPr>
        <w:lastRenderedPageBreak/>
        <w:t xml:space="preserve">services to be performed only on </w:t>
      </w:r>
      <w:r w:rsidR="00F04DC1" w:rsidRPr="00CA56AD">
        <w:rPr>
          <w:sz w:val="28"/>
          <w:szCs w:val="28"/>
        </w:rPr>
        <w:t>KeyHealth</w:t>
      </w:r>
      <w:r w:rsidR="00D3633D" w:rsidRPr="00CA56AD">
        <w:rPr>
          <w:sz w:val="28"/>
          <w:szCs w:val="28"/>
        </w:rPr>
        <w:t xml:space="preserve">’s behalf, </w:t>
      </w:r>
      <w:r w:rsidR="00A65F37" w:rsidRPr="00CA56AD">
        <w:rPr>
          <w:sz w:val="28"/>
          <w:szCs w:val="28"/>
        </w:rPr>
        <w:t>does not seem correct.</w:t>
      </w:r>
      <w:r w:rsidR="00D3633D" w:rsidRPr="00CA56AD">
        <w:rPr>
          <w:sz w:val="28"/>
          <w:szCs w:val="28"/>
        </w:rPr>
        <w:t xml:space="preserve"> In light of that</w:t>
      </w:r>
      <w:r w:rsidR="00E9790D" w:rsidRPr="00CA56AD">
        <w:rPr>
          <w:sz w:val="28"/>
          <w:szCs w:val="28"/>
        </w:rPr>
        <w:t>,</w:t>
      </w:r>
      <w:r w:rsidR="00A65F37" w:rsidRPr="00CA56AD">
        <w:rPr>
          <w:sz w:val="28"/>
          <w:szCs w:val="28"/>
        </w:rPr>
        <w:t xml:space="preserve"> and based on the principles articulated above, it is not clear on what basis </w:t>
      </w:r>
      <w:r w:rsidR="00D3633D" w:rsidRPr="00CA56AD">
        <w:rPr>
          <w:sz w:val="28"/>
          <w:szCs w:val="28"/>
        </w:rPr>
        <w:t>the agreement can be said to constitute authority to</w:t>
      </w:r>
      <w:r w:rsidR="00A65F37" w:rsidRPr="00CA56AD">
        <w:rPr>
          <w:sz w:val="28"/>
          <w:szCs w:val="28"/>
        </w:rPr>
        <w:t xml:space="preserve"> Glopin to</w:t>
      </w:r>
      <w:r w:rsidR="00D3633D" w:rsidRPr="00CA56AD">
        <w:rPr>
          <w:sz w:val="28"/>
          <w:szCs w:val="28"/>
        </w:rPr>
        <w:t xml:space="preserve"> conclude juristic acts on </w:t>
      </w:r>
      <w:r w:rsidR="00E9790D" w:rsidRPr="00CA56AD">
        <w:rPr>
          <w:sz w:val="28"/>
          <w:szCs w:val="28"/>
        </w:rPr>
        <w:t xml:space="preserve">behalf of </w:t>
      </w:r>
      <w:r w:rsidR="00F04DC1" w:rsidRPr="00CA56AD">
        <w:rPr>
          <w:sz w:val="28"/>
          <w:szCs w:val="28"/>
        </w:rPr>
        <w:t>KeyHealth</w:t>
      </w:r>
      <w:r w:rsidR="00D3633D" w:rsidRPr="00CA56AD">
        <w:rPr>
          <w:sz w:val="28"/>
          <w:szCs w:val="28"/>
        </w:rPr>
        <w:t>.</w:t>
      </w:r>
    </w:p>
    <w:p w14:paraId="10078DBE" w14:textId="77777777" w:rsidR="00D3633D" w:rsidRPr="00CA56AD" w:rsidRDefault="00D3633D" w:rsidP="008E064A">
      <w:pPr>
        <w:tabs>
          <w:tab w:val="left" w:pos="0"/>
        </w:tabs>
        <w:rPr>
          <w:sz w:val="28"/>
          <w:szCs w:val="28"/>
        </w:rPr>
      </w:pPr>
    </w:p>
    <w:p w14:paraId="0CD57636" w14:textId="77777777" w:rsidR="005F07B1" w:rsidRPr="00CA56AD" w:rsidRDefault="00D3633D" w:rsidP="008E064A">
      <w:pPr>
        <w:pStyle w:val="ListParagraph"/>
        <w:numPr>
          <w:ilvl w:val="0"/>
          <w:numId w:val="1"/>
        </w:numPr>
        <w:tabs>
          <w:tab w:val="left" w:pos="0"/>
        </w:tabs>
        <w:ind w:left="0"/>
        <w:rPr>
          <w:sz w:val="28"/>
          <w:szCs w:val="28"/>
        </w:rPr>
      </w:pPr>
      <w:r w:rsidRPr="00CA56AD">
        <w:rPr>
          <w:sz w:val="28"/>
          <w:szCs w:val="28"/>
        </w:rPr>
        <w:t xml:space="preserve">Even assuming that the agreement is </w:t>
      </w:r>
      <w:r w:rsidR="00137049" w:rsidRPr="00CA56AD">
        <w:rPr>
          <w:sz w:val="28"/>
          <w:szCs w:val="28"/>
        </w:rPr>
        <w:t>a</w:t>
      </w:r>
      <w:r w:rsidRPr="00CA56AD">
        <w:rPr>
          <w:sz w:val="28"/>
          <w:szCs w:val="28"/>
        </w:rPr>
        <w:t xml:space="preserve"> con</w:t>
      </w:r>
      <w:r w:rsidR="00A65F37" w:rsidRPr="00CA56AD">
        <w:rPr>
          <w:sz w:val="28"/>
          <w:szCs w:val="28"/>
        </w:rPr>
        <w:t>tract</w:t>
      </w:r>
      <w:r w:rsidRPr="00CA56AD">
        <w:rPr>
          <w:sz w:val="28"/>
          <w:szCs w:val="28"/>
        </w:rPr>
        <w:t xml:space="preserve"> of mandate, parties can validly agree that it may not be terminable at the pleasure of any of them.</w:t>
      </w:r>
      <w:r w:rsidRPr="00CA56AD">
        <w:rPr>
          <w:rStyle w:val="FootnoteReference"/>
          <w:sz w:val="28"/>
          <w:szCs w:val="28"/>
        </w:rPr>
        <w:footnoteReference w:id="8"/>
      </w:r>
      <w:r w:rsidR="00A64859" w:rsidRPr="00CA56AD">
        <w:rPr>
          <w:sz w:val="28"/>
          <w:szCs w:val="28"/>
        </w:rPr>
        <w:t xml:space="preserve"> </w:t>
      </w:r>
      <w:r w:rsidR="005F07B1" w:rsidRPr="00CA56AD">
        <w:rPr>
          <w:sz w:val="28"/>
          <w:szCs w:val="28"/>
        </w:rPr>
        <w:t>A</w:t>
      </w:r>
      <w:r w:rsidR="00A64859" w:rsidRPr="00CA56AD">
        <w:rPr>
          <w:sz w:val="28"/>
          <w:szCs w:val="28"/>
        </w:rPr>
        <w:t xml:space="preserve">s pointed out in </w:t>
      </w:r>
      <w:r w:rsidR="00A64859" w:rsidRPr="00CA56AD">
        <w:rPr>
          <w:i/>
          <w:sz w:val="28"/>
          <w:szCs w:val="28"/>
        </w:rPr>
        <w:t>Ward v Barret</w:t>
      </w:r>
      <w:r w:rsidR="006C618F" w:rsidRPr="00CA56AD">
        <w:rPr>
          <w:sz w:val="28"/>
          <w:szCs w:val="28"/>
        </w:rPr>
        <w:t>,</w:t>
      </w:r>
      <w:r w:rsidR="00A64859" w:rsidRPr="00CA56AD">
        <w:rPr>
          <w:rStyle w:val="FootnoteReference"/>
          <w:sz w:val="28"/>
          <w:szCs w:val="28"/>
        </w:rPr>
        <w:footnoteReference w:id="9"/>
      </w:r>
      <w:r w:rsidR="00901497" w:rsidRPr="00CA56AD">
        <w:rPr>
          <w:sz w:val="28"/>
          <w:szCs w:val="28"/>
        </w:rPr>
        <w:t xml:space="preserve"> it is important to examine the terms of the agreement</w:t>
      </w:r>
      <w:r w:rsidR="006C618F" w:rsidRPr="00CA56AD">
        <w:rPr>
          <w:sz w:val="28"/>
          <w:szCs w:val="28"/>
        </w:rPr>
        <w:t>,</w:t>
      </w:r>
      <w:r w:rsidR="00901497" w:rsidRPr="00CA56AD">
        <w:rPr>
          <w:sz w:val="28"/>
          <w:szCs w:val="28"/>
        </w:rPr>
        <w:t xml:space="preserve"> because the principal might have bound himself or herself to the agent in terms of the expressed or implied terms of the agreement. </w:t>
      </w:r>
    </w:p>
    <w:p w14:paraId="7424B454" w14:textId="77777777" w:rsidR="00A65F37" w:rsidRPr="00CA56AD" w:rsidRDefault="00A65F37" w:rsidP="008E064A">
      <w:pPr>
        <w:pStyle w:val="ListParagraph"/>
        <w:rPr>
          <w:sz w:val="28"/>
          <w:szCs w:val="28"/>
        </w:rPr>
      </w:pPr>
    </w:p>
    <w:p w14:paraId="3F26FBFE" w14:textId="77777777" w:rsidR="00A65F37" w:rsidRPr="00CA56AD" w:rsidRDefault="00A65F37" w:rsidP="008E064A">
      <w:pPr>
        <w:pStyle w:val="ListParagraph"/>
        <w:numPr>
          <w:ilvl w:val="0"/>
          <w:numId w:val="1"/>
        </w:numPr>
        <w:tabs>
          <w:tab w:val="left" w:pos="0"/>
        </w:tabs>
        <w:ind w:left="0"/>
        <w:rPr>
          <w:sz w:val="28"/>
          <w:szCs w:val="28"/>
        </w:rPr>
      </w:pPr>
      <w:r w:rsidRPr="00CA56AD">
        <w:rPr>
          <w:sz w:val="28"/>
          <w:szCs w:val="28"/>
        </w:rPr>
        <w:t xml:space="preserve">The Court in </w:t>
      </w:r>
      <w:r w:rsidR="00517AA0" w:rsidRPr="00CA56AD">
        <w:rPr>
          <w:i/>
          <w:sz w:val="28"/>
          <w:szCs w:val="28"/>
        </w:rPr>
        <w:t>Eileen</w:t>
      </w:r>
      <w:r w:rsidR="00517AA0" w:rsidRPr="00CA56AD">
        <w:rPr>
          <w:sz w:val="28"/>
          <w:szCs w:val="28"/>
        </w:rPr>
        <w:t xml:space="preserve"> made</w:t>
      </w:r>
      <w:r w:rsidR="00517AA0" w:rsidRPr="00CA56AD">
        <w:rPr>
          <w:i/>
          <w:sz w:val="28"/>
          <w:szCs w:val="28"/>
        </w:rPr>
        <w:t xml:space="preserve"> </w:t>
      </w:r>
      <w:r w:rsidR="00517AA0" w:rsidRPr="00CA56AD">
        <w:rPr>
          <w:sz w:val="28"/>
          <w:szCs w:val="28"/>
        </w:rPr>
        <w:t>these further important observations:</w:t>
      </w:r>
    </w:p>
    <w:p w14:paraId="559E1451" w14:textId="77777777" w:rsidR="00A65F37" w:rsidRPr="00CA56AD" w:rsidRDefault="00517AA0" w:rsidP="008E064A">
      <w:pPr>
        <w:rPr>
          <w:lang w:val="en-US"/>
        </w:rPr>
      </w:pPr>
      <w:r w:rsidRPr="00CA56AD">
        <w:rPr>
          <w:lang w:val="en-US"/>
        </w:rPr>
        <w:t>‘</w:t>
      </w:r>
      <w:r w:rsidR="00A65F37" w:rsidRPr="00CA56AD">
        <w:rPr>
          <w:lang w:val="en-US"/>
        </w:rPr>
        <w:t>I agree, however, with the submission of counsel for the appellant that the answer to the above question depends on the terms of the contract of mandate. If the mandate was conferred for a specific period, the agreement of mandate may obviously not be terminated during its currency. Should the owner in such a case purport to revoke the mandate, the agreement will not be terminated, and should the agent perform the agreed services, or show that, but for an act of the owner </w:t>
      </w:r>
      <w:r w:rsidRPr="00CA56AD">
        <w:rPr>
          <w:lang w:val="en-US"/>
        </w:rPr>
        <w:t>f</w:t>
      </w:r>
      <w:r w:rsidR="00A65F37" w:rsidRPr="00CA56AD">
        <w:rPr>
          <w:lang w:val="en-US"/>
        </w:rPr>
        <w:t>rustrating the performance of the services entitling him to payment of commission, he would have earned the same, the realtor will be entitled to commission or damages as the case may be. Of course, the mere conferment of a sole </w:t>
      </w:r>
      <w:r w:rsidR="00A65F37" w:rsidRPr="00CA56AD">
        <w:rPr>
          <w:i/>
          <w:iCs/>
          <w:lang w:val="en-US"/>
        </w:rPr>
        <w:t>agency</w:t>
      </w:r>
      <w:r w:rsidR="00A65F37" w:rsidRPr="00CA56AD">
        <w:rPr>
          <w:lang w:val="en-US"/>
        </w:rPr>
        <w:t> does not give rise to such a claim should the owner sell the property without the intervention of any agent. The position may be different if a sole authority is created: </w:t>
      </w:r>
      <w:r w:rsidR="00A65F37" w:rsidRPr="00CA56AD">
        <w:rPr>
          <w:i/>
          <w:iCs/>
          <w:lang w:val="en-US"/>
        </w:rPr>
        <w:t>The Firs Investment Ltd v Levy Bros Estates (Pty) Ltd</w:t>
      </w:r>
      <w:r w:rsidRPr="00CA56AD">
        <w:rPr>
          <w:i/>
          <w:iCs/>
          <w:lang w:val="en-US"/>
        </w:rPr>
        <w:t xml:space="preserve"> </w:t>
      </w:r>
      <w:r w:rsidR="002B286E" w:rsidRPr="00CA56AD">
        <w:rPr>
          <w:lang w:val="en-US"/>
        </w:rPr>
        <w:t>1984 (2) SA 881 (A)</w:t>
      </w:r>
      <w:r w:rsidR="00A65F37" w:rsidRPr="00CA56AD">
        <w:rPr>
          <w:lang w:val="en-US"/>
        </w:rPr>
        <w:t> at 886.</w:t>
      </w:r>
    </w:p>
    <w:p w14:paraId="2C7E477C" w14:textId="16EF606C" w:rsidR="00A65F37" w:rsidRPr="00CA56AD" w:rsidRDefault="00A65F37" w:rsidP="008E064A">
      <w:pPr>
        <w:rPr>
          <w:sz w:val="28"/>
          <w:szCs w:val="28"/>
          <w:lang w:val="en-US"/>
        </w:rPr>
      </w:pPr>
      <w:r w:rsidRPr="00CA56AD">
        <w:rPr>
          <w:lang w:val="en-US"/>
        </w:rPr>
        <w:t>Although the appellant was authorised to</w:t>
      </w:r>
      <w:r w:rsidR="00517AA0" w:rsidRPr="00CA56AD">
        <w:rPr>
          <w:lang w:val="en-US"/>
        </w:rPr>
        <w:t xml:space="preserve"> </w:t>
      </w:r>
      <w:r w:rsidR="002B286E" w:rsidRPr="00CA56AD">
        <w:rPr>
          <w:lang w:val="en-US"/>
        </w:rPr>
        <w:t>“</w:t>
      </w:r>
      <w:r w:rsidRPr="00CA56AD">
        <w:rPr>
          <w:lang w:val="en-US"/>
        </w:rPr>
        <w:t>sell</w:t>
      </w:r>
      <w:r w:rsidR="002B286E" w:rsidRPr="00CA56AD">
        <w:rPr>
          <w:lang w:val="en-US"/>
        </w:rPr>
        <w:t>”</w:t>
      </w:r>
      <w:r w:rsidRPr="00CA56AD">
        <w:rPr>
          <w:lang w:val="en-US"/>
        </w:rPr>
        <w:t xml:space="preserve"> the property, it was rightly common cause that it was not an agent with authority to sell on behalf of the respondent; </w:t>
      </w:r>
      <w:r w:rsidRPr="00CA56AD">
        <w:rPr>
          <w:i/>
          <w:lang w:val="en-US"/>
        </w:rPr>
        <w:t xml:space="preserve">on the contrary, the appellant's </w:t>
      </w:r>
      <w:r w:rsidR="002B286E" w:rsidRPr="00CA56AD">
        <w:rPr>
          <w:i/>
          <w:lang w:val="en-US"/>
        </w:rPr>
        <w:t>“</w:t>
      </w:r>
      <w:r w:rsidRPr="00CA56AD">
        <w:rPr>
          <w:i/>
          <w:lang w:val="en-US"/>
        </w:rPr>
        <w:t>right to sell</w:t>
      </w:r>
      <w:r w:rsidR="002B286E" w:rsidRPr="00CA56AD">
        <w:rPr>
          <w:i/>
          <w:lang w:val="en-US"/>
        </w:rPr>
        <w:t>”</w:t>
      </w:r>
      <w:r w:rsidRPr="00CA56AD">
        <w:rPr>
          <w:i/>
          <w:lang w:val="en-US"/>
        </w:rPr>
        <w:t xml:space="preserve"> was intended to confer a </w:t>
      </w:r>
      <w:r w:rsidR="002B286E" w:rsidRPr="00CA56AD">
        <w:rPr>
          <w:i/>
          <w:lang w:val="en-US"/>
        </w:rPr>
        <w:t>“</w:t>
      </w:r>
      <w:r w:rsidRPr="00CA56AD">
        <w:rPr>
          <w:i/>
          <w:lang w:val="en-US"/>
        </w:rPr>
        <w:t>right</w:t>
      </w:r>
      <w:r w:rsidR="002B286E" w:rsidRPr="00CA56AD">
        <w:rPr>
          <w:i/>
          <w:lang w:val="en-US"/>
        </w:rPr>
        <w:t>”</w:t>
      </w:r>
      <w:r w:rsidRPr="00CA56AD">
        <w:rPr>
          <w:i/>
          <w:lang w:val="en-US"/>
        </w:rPr>
        <w:t xml:space="preserve"> to introduce prospective purchasers. The written agreement was consequently not a contract</w:t>
      </w:r>
      <w:r w:rsidR="00517AA0" w:rsidRPr="00CA56AD">
        <w:rPr>
          <w:i/>
          <w:lang w:val="en-US"/>
        </w:rPr>
        <w:t xml:space="preserve"> </w:t>
      </w:r>
      <w:r w:rsidRPr="00CA56AD">
        <w:rPr>
          <w:i/>
          <w:lang w:val="en-US"/>
        </w:rPr>
        <w:t xml:space="preserve">of agency but of </w:t>
      </w:r>
      <w:r w:rsidRPr="00CA56AD">
        <w:rPr>
          <w:i/>
          <w:lang w:val="en-US"/>
        </w:rPr>
        <w:lastRenderedPageBreak/>
        <w:t xml:space="preserve">mandate in the sense outlined above. </w:t>
      </w:r>
      <w:r w:rsidRPr="00CA56AD">
        <w:rPr>
          <w:lang w:val="en-US"/>
        </w:rPr>
        <w:t xml:space="preserve">That mandate was not granted for a specific period. The agreement did, however, confer upon the appellant </w:t>
      </w:r>
      <w:r w:rsidR="002B286E" w:rsidRPr="00CA56AD">
        <w:rPr>
          <w:lang w:val="en-US"/>
        </w:rPr>
        <w:t>“</w:t>
      </w:r>
      <w:r w:rsidRPr="00CA56AD">
        <w:rPr>
          <w:lang w:val="en-US"/>
        </w:rPr>
        <w:t>the sole and exclusive right</w:t>
      </w:r>
      <w:r w:rsidR="002B286E" w:rsidRPr="00CA56AD">
        <w:rPr>
          <w:lang w:val="en-US"/>
        </w:rPr>
        <w:t>”</w:t>
      </w:r>
      <w:r w:rsidRPr="00CA56AD">
        <w:rPr>
          <w:lang w:val="en-US"/>
        </w:rPr>
        <w:t xml:space="preserve"> to sell the properties, and furthermore provided that </w:t>
      </w:r>
      <w:r w:rsidR="002B286E" w:rsidRPr="00CA56AD">
        <w:rPr>
          <w:lang w:val="en-US"/>
        </w:rPr>
        <w:t>“</w:t>
      </w:r>
      <w:r w:rsidRPr="00CA56AD">
        <w:rPr>
          <w:lang w:val="en-US"/>
        </w:rPr>
        <w:t>if during the period of this sole mandate</w:t>
      </w:r>
      <w:r w:rsidR="002B286E" w:rsidRPr="00CA56AD">
        <w:rPr>
          <w:lang w:val="en-US"/>
        </w:rPr>
        <w:t>”</w:t>
      </w:r>
      <w:r w:rsidRPr="00CA56AD">
        <w:rPr>
          <w:lang w:val="en-US"/>
        </w:rPr>
        <w:t xml:space="preserve"> the properties were to be sold by the respondent or any</w:t>
      </w:r>
      <w:r w:rsidR="00517AA0" w:rsidRPr="00CA56AD">
        <w:rPr>
          <w:lang w:val="en-US"/>
        </w:rPr>
        <w:t xml:space="preserve"> </w:t>
      </w:r>
      <w:r w:rsidRPr="00CA56AD">
        <w:rPr>
          <w:lang w:val="en-US"/>
        </w:rPr>
        <w:t xml:space="preserve">other person the appellant would be entitled to commission calculated with reference to the purchase price. </w:t>
      </w:r>
      <w:r w:rsidRPr="00CA56AD">
        <w:rPr>
          <w:i/>
          <w:lang w:val="en-US"/>
        </w:rPr>
        <w:t>If the agreement is construed as entitling the respondent to terminate it summarily, it would be, practically speaking, virtually worthless.</w:t>
      </w:r>
      <w:r w:rsidRPr="00CA56AD">
        <w:rPr>
          <w:lang w:val="en-US"/>
        </w:rPr>
        <w:t xml:space="preserve"> </w:t>
      </w:r>
      <w:r w:rsidRPr="00CA56AD">
        <w:rPr>
          <w:i/>
          <w:lang w:val="en-US"/>
        </w:rPr>
        <w:t>The right to commission preserved in the last paragraph could be frustrated by unilateral termination on the part of respondent before the conclusion of a sale.</w:t>
      </w:r>
      <w:r w:rsidRPr="00CA56AD">
        <w:rPr>
          <w:lang w:val="en-US"/>
        </w:rPr>
        <w:t> This it would be entitled to do even if appellant had gone to</w:t>
      </w:r>
      <w:r w:rsidR="00517AA0" w:rsidRPr="00CA56AD">
        <w:rPr>
          <w:lang w:val="en-US"/>
        </w:rPr>
        <w:t xml:space="preserve"> </w:t>
      </w:r>
      <w:r w:rsidRPr="00CA56AD">
        <w:rPr>
          <w:lang w:val="en-US"/>
        </w:rPr>
        <w:t>considerable expense in procuring the prospective purchaser, and even if the appellant was on the point of introducing such a purchaser. It therefore appears to me that in accordance with the general rule applicable to agreements having efficacy for an unspecified period, the agreement under consideration could only have been terminated by the respondent on reasonable notice.</w:t>
      </w:r>
      <w:r w:rsidR="002E4309" w:rsidRPr="00CA56AD">
        <w:rPr>
          <w:lang w:val="en-US"/>
        </w:rPr>
        <w:t>’</w:t>
      </w:r>
      <w:r w:rsidR="00E520E9" w:rsidRPr="00CA56AD">
        <w:t xml:space="preserve"> (My emphasis.)</w:t>
      </w:r>
    </w:p>
    <w:p w14:paraId="038934A5" w14:textId="77777777" w:rsidR="005F07B1" w:rsidRPr="00CA56AD" w:rsidRDefault="005F07B1" w:rsidP="008E064A">
      <w:pPr>
        <w:pStyle w:val="ListParagraph"/>
        <w:rPr>
          <w:sz w:val="28"/>
          <w:szCs w:val="28"/>
        </w:rPr>
      </w:pPr>
    </w:p>
    <w:p w14:paraId="41B55431" w14:textId="562752DE" w:rsidR="005F07B1" w:rsidRPr="00CA56AD" w:rsidRDefault="005F07B1" w:rsidP="008E064A">
      <w:pPr>
        <w:pStyle w:val="ListParagraph"/>
        <w:numPr>
          <w:ilvl w:val="0"/>
          <w:numId w:val="1"/>
        </w:numPr>
        <w:tabs>
          <w:tab w:val="left" w:pos="0"/>
        </w:tabs>
        <w:ind w:left="0"/>
        <w:rPr>
          <w:sz w:val="28"/>
          <w:szCs w:val="28"/>
        </w:rPr>
      </w:pPr>
      <w:r w:rsidRPr="00CA56AD">
        <w:rPr>
          <w:sz w:val="28"/>
          <w:szCs w:val="28"/>
        </w:rPr>
        <w:t xml:space="preserve">In this </w:t>
      </w:r>
      <w:r w:rsidR="00137049" w:rsidRPr="00CA56AD">
        <w:rPr>
          <w:sz w:val="28"/>
          <w:szCs w:val="28"/>
        </w:rPr>
        <w:t>case,</w:t>
      </w:r>
      <w:r w:rsidRPr="00CA56AD">
        <w:rPr>
          <w:sz w:val="28"/>
          <w:szCs w:val="28"/>
        </w:rPr>
        <w:t xml:space="preserve"> </w:t>
      </w:r>
      <w:r w:rsidR="002B286E" w:rsidRPr="00CA56AD">
        <w:rPr>
          <w:sz w:val="28"/>
          <w:szCs w:val="28"/>
        </w:rPr>
        <w:t xml:space="preserve">the </w:t>
      </w:r>
      <w:r w:rsidRPr="00CA56AD">
        <w:rPr>
          <w:sz w:val="28"/>
          <w:szCs w:val="28"/>
        </w:rPr>
        <w:t xml:space="preserve">parties agreed </w:t>
      </w:r>
      <w:r w:rsidR="003E778C" w:rsidRPr="00CA56AD">
        <w:rPr>
          <w:sz w:val="28"/>
          <w:szCs w:val="28"/>
        </w:rPr>
        <w:t xml:space="preserve">on </w:t>
      </w:r>
      <w:r w:rsidRPr="00CA56AD">
        <w:rPr>
          <w:sz w:val="28"/>
          <w:szCs w:val="28"/>
        </w:rPr>
        <w:t xml:space="preserve">the duration </w:t>
      </w:r>
      <w:r w:rsidR="002B286E" w:rsidRPr="00CA56AD">
        <w:rPr>
          <w:sz w:val="28"/>
          <w:szCs w:val="28"/>
        </w:rPr>
        <w:t xml:space="preserve">and </w:t>
      </w:r>
      <w:r w:rsidRPr="00CA56AD">
        <w:rPr>
          <w:sz w:val="28"/>
          <w:szCs w:val="28"/>
        </w:rPr>
        <w:t xml:space="preserve">the termination of the agreement. </w:t>
      </w:r>
      <w:r w:rsidR="004F617C" w:rsidRPr="00CA56AD">
        <w:rPr>
          <w:sz w:val="28"/>
          <w:szCs w:val="28"/>
        </w:rPr>
        <w:t xml:space="preserve">In terms of clause 4.1, a peremptory expression </w:t>
      </w:r>
      <w:r w:rsidR="000472BB" w:rsidRPr="00CA56AD">
        <w:rPr>
          <w:sz w:val="28"/>
          <w:szCs w:val="28"/>
        </w:rPr>
        <w:t>‘</w:t>
      </w:r>
      <w:r w:rsidR="004F617C" w:rsidRPr="00CA56AD">
        <w:rPr>
          <w:sz w:val="28"/>
          <w:szCs w:val="28"/>
        </w:rPr>
        <w:t>shall</w:t>
      </w:r>
      <w:r w:rsidR="000472BB" w:rsidRPr="00CA56AD">
        <w:rPr>
          <w:sz w:val="28"/>
          <w:szCs w:val="28"/>
        </w:rPr>
        <w:t>’</w:t>
      </w:r>
      <w:r w:rsidR="004F617C" w:rsidRPr="00CA56AD">
        <w:rPr>
          <w:sz w:val="28"/>
          <w:szCs w:val="28"/>
        </w:rPr>
        <w:t xml:space="preserve"> is used</w:t>
      </w:r>
      <w:r w:rsidR="002B286E" w:rsidRPr="00CA56AD">
        <w:rPr>
          <w:sz w:val="28"/>
          <w:szCs w:val="28"/>
        </w:rPr>
        <w:t>. It states that</w:t>
      </w:r>
      <w:r w:rsidR="004F617C" w:rsidRPr="00CA56AD">
        <w:rPr>
          <w:sz w:val="28"/>
          <w:szCs w:val="28"/>
        </w:rPr>
        <w:t xml:space="preserve"> ‘</w:t>
      </w:r>
      <w:r w:rsidR="000472BB" w:rsidRPr="00CA56AD">
        <w:rPr>
          <w:sz w:val="28"/>
          <w:szCs w:val="28"/>
        </w:rPr>
        <w:t>[</w:t>
      </w:r>
      <w:r w:rsidR="004F617C" w:rsidRPr="00CA56AD">
        <w:rPr>
          <w:sz w:val="28"/>
          <w:szCs w:val="28"/>
        </w:rPr>
        <w:t>t</w:t>
      </w:r>
      <w:r w:rsidR="000472BB" w:rsidRPr="00CA56AD">
        <w:rPr>
          <w:sz w:val="28"/>
          <w:szCs w:val="28"/>
        </w:rPr>
        <w:t>]</w:t>
      </w:r>
      <w:r w:rsidR="004F617C" w:rsidRPr="00CA56AD">
        <w:rPr>
          <w:sz w:val="28"/>
          <w:szCs w:val="28"/>
        </w:rPr>
        <w:t>his</w:t>
      </w:r>
      <w:r w:rsidRPr="00CA56AD">
        <w:rPr>
          <w:sz w:val="28"/>
          <w:szCs w:val="28"/>
        </w:rPr>
        <w:t xml:space="preserve"> agreement</w:t>
      </w:r>
      <w:r w:rsidR="002B286E" w:rsidRPr="00CA56AD">
        <w:rPr>
          <w:sz w:val="28"/>
          <w:szCs w:val="28"/>
        </w:rPr>
        <w:t xml:space="preserve"> . . .</w:t>
      </w:r>
      <w:r w:rsidR="004F617C" w:rsidRPr="00CA56AD">
        <w:rPr>
          <w:sz w:val="28"/>
          <w:szCs w:val="28"/>
        </w:rPr>
        <w:t xml:space="preserve"> </w:t>
      </w:r>
      <w:r w:rsidR="004F617C" w:rsidRPr="00CA56AD">
        <w:rPr>
          <w:i/>
          <w:sz w:val="28"/>
          <w:szCs w:val="28"/>
        </w:rPr>
        <w:t>shall</w:t>
      </w:r>
      <w:r w:rsidRPr="00CA56AD">
        <w:rPr>
          <w:sz w:val="28"/>
          <w:szCs w:val="28"/>
        </w:rPr>
        <w:t xml:space="preserve"> continue for </w:t>
      </w:r>
      <w:r w:rsidR="002B286E" w:rsidRPr="00CA56AD">
        <w:rPr>
          <w:sz w:val="28"/>
          <w:szCs w:val="28"/>
        </w:rPr>
        <w:t>the</w:t>
      </w:r>
      <w:r w:rsidRPr="00CA56AD">
        <w:rPr>
          <w:sz w:val="28"/>
          <w:szCs w:val="28"/>
        </w:rPr>
        <w:t xml:space="preserve"> period of </w:t>
      </w:r>
      <w:r w:rsidR="00137049" w:rsidRPr="00CA56AD">
        <w:rPr>
          <w:sz w:val="28"/>
          <w:szCs w:val="28"/>
        </w:rPr>
        <w:t>accreditation</w:t>
      </w:r>
      <w:r w:rsidR="004F617C" w:rsidRPr="00CA56AD">
        <w:rPr>
          <w:sz w:val="28"/>
          <w:szCs w:val="28"/>
        </w:rPr>
        <w:t xml:space="preserve"> of </w:t>
      </w:r>
      <w:r w:rsidR="00DE6E0E" w:rsidRPr="00CA56AD">
        <w:rPr>
          <w:sz w:val="28"/>
          <w:szCs w:val="28"/>
        </w:rPr>
        <w:t>GLOP</w:t>
      </w:r>
      <w:r w:rsidR="00FF57DE" w:rsidRPr="00CA56AD">
        <w:rPr>
          <w:sz w:val="28"/>
          <w:szCs w:val="28"/>
        </w:rPr>
        <w:t>I</w:t>
      </w:r>
      <w:r w:rsidR="00DE6E0E" w:rsidRPr="00CA56AD">
        <w:rPr>
          <w:sz w:val="28"/>
          <w:szCs w:val="28"/>
        </w:rPr>
        <w:t>N</w:t>
      </w:r>
      <w:r w:rsidR="004F617C" w:rsidRPr="00CA56AD">
        <w:rPr>
          <w:sz w:val="28"/>
          <w:szCs w:val="28"/>
        </w:rPr>
        <w:t xml:space="preserve"> by the Council for [M]edical Schemes</w:t>
      </w:r>
      <w:r w:rsidR="00DE6E0E" w:rsidRPr="00CA56AD">
        <w:rPr>
          <w:sz w:val="28"/>
          <w:szCs w:val="28"/>
        </w:rPr>
        <w:t>’</w:t>
      </w:r>
      <w:r w:rsidR="004F617C" w:rsidRPr="00CA56AD">
        <w:rPr>
          <w:sz w:val="28"/>
          <w:szCs w:val="28"/>
        </w:rPr>
        <w:t xml:space="preserve">. </w:t>
      </w:r>
      <w:r w:rsidR="00DE6E0E" w:rsidRPr="00CA56AD">
        <w:rPr>
          <w:sz w:val="28"/>
          <w:szCs w:val="28"/>
        </w:rPr>
        <w:t xml:space="preserve">And in terms of clause 4.2, it states that ‘[t]his agreement </w:t>
      </w:r>
      <w:r w:rsidR="00137049" w:rsidRPr="00CA56AD">
        <w:rPr>
          <w:sz w:val="28"/>
          <w:szCs w:val="28"/>
        </w:rPr>
        <w:t xml:space="preserve">may be terminated </w:t>
      </w:r>
      <w:r w:rsidR="00DE6E0E" w:rsidRPr="00CA56AD">
        <w:rPr>
          <w:sz w:val="28"/>
          <w:szCs w:val="28"/>
        </w:rPr>
        <w:t xml:space="preserve">by either party </w:t>
      </w:r>
      <w:r w:rsidR="00137049" w:rsidRPr="00CA56AD">
        <w:rPr>
          <w:sz w:val="28"/>
          <w:szCs w:val="28"/>
        </w:rPr>
        <w:t>in terms of ruling legislation</w:t>
      </w:r>
      <w:r w:rsidR="00DE6E0E" w:rsidRPr="00CA56AD">
        <w:rPr>
          <w:sz w:val="28"/>
          <w:szCs w:val="28"/>
        </w:rPr>
        <w:t>’</w:t>
      </w:r>
      <w:r w:rsidR="004D16F2" w:rsidRPr="00CA56AD">
        <w:rPr>
          <w:sz w:val="28"/>
          <w:szCs w:val="28"/>
        </w:rPr>
        <w:t>;</w:t>
      </w:r>
      <w:r w:rsidRPr="00CA56AD">
        <w:rPr>
          <w:sz w:val="28"/>
          <w:szCs w:val="28"/>
        </w:rPr>
        <w:t xml:space="preserve"> and </w:t>
      </w:r>
      <w:r w:rsidR="00DE6E0E" w:rsidRPr="00CA56AD">
        <w:rPr>
          <w:sz w:val="28"/>
          <w:szCs w:val="28"/>
        </w:rPr>
        <w:t>in terms of clause 4.3</w:t>
      </w:r>
      <w:r w:rsidR="00DC29D8">
        <w:rPr>
          <w:sz w:val="28"/>
          <w:szCs w:val="28"/>
        </w:rPr>
        <w:t>,</w:t>
      </w:r>
      <w:r w:rsidR="00DE6E0E" w:rsidRPr="00CA56AD">
        <w:rPr>
          <w:sz w:val="28"/>
          <w:szCs w:val="28"/>
        </w:rPr>
        <w:t xml:space="preserve"> it ‘shall</w:t>
      </w:r>
      <w:r w:rsidRPr="00CA56AD">
        <w:rPr>
          <w:sz w:val="28"/>
          <w:szCs w:val="28"/>
        </w:rPr>
        <w:t xml:space="preserve"> automatically terminate</w:t>
      </w:r>
      <w:r w:rsidR="00DE6E0E" w:rsidRPr="00CA56AD">
        <w:rPr>
          <w:sz w:val="28"/>
          <w:szCs w:val="28"/>
        </w:rPr>
        <w:t>’</w:t>
      </w:r>
      <w:r w:rsidRPr="00CA56AD">
        <w:rPr>
          <w:sz w:val="28"/>
          <w:szCs w:val="28"/>
        </w:rPr>
        <w:t xml:space="preserve"> if any of the events stipulated </w:t>
      </w:r>
      <w:r w:rsidR="00137049" w:rsidRPr="00CA56AD">
        <w:rPr>
          <w:sz w:val="28"/>
          <w:szCs w:val="28"/>
        </w:rPr>
        <w:t>therein occur</w:t>
      </w:r>
      <w:r w:rsidRPr="00CA56AD">
        <w:rPr>
          <w:sz w:val="28"/>
          <w:szCs w:val="28"/>
        </w:rPr>
        <w:t>.</w:t>
      </w:r>
    </w:p>
    <w:p w14:paraId="646BA2C2" w14:textId="77777777" w:rsidR="005F07B1" w:rsidRPr="00CA56AD" w:rsidRDefault="005F07B1" w:rsidP="008E064A">
      <w:pPr>
        <w:pStyle w:val="ListParagraph"/>
        <w:rPr>
          <w:sz w:val="28"/>
          <w:szCs w:val="28"/>
        </w:rPr>
      </w:pPr>
    </w:p>
    <w:p w14:paraId="104FC6D8" w14:textId="5C9629FB" w:rsidR="005F07B1" w:rsidRPr="00CA56AD" w:rsidRDefault="005F07B1" w:rsidP="008E064A">
      <w:pPr>
        <w:pStyle w:val="ListParagraph"/>
        <w:numPr>
          <w:ilvl w:val="0"/>
          <w:numId w:val="1"/>
        </w:numPr>
        <w:tabs>
          <w:tab w:val="left" w:pos="0"/>
        </w:tabs>
        <w:ind w:left="0"/>
        <w:rPr>
          <w:sz w:val="28"/>
          <w:szCs w:val="28"/>
        </w:rPr>
      </w:pPr>
      <w:r w:rsidRPr="00CA56AD">
        <w:rPr>
          <w:sz w:val="28"/>
          <w:szCs w:val="28"/>
        </w:rPr>
        <w:t xml:space="preserve">None of </w:t>
      </w:r>
      <w:r w:rsidR="00DA05D7" w:rsidRPr="00CA56AD">
        <w:rPr>
          <w:sz w:val="28"/>
          <w:szCs w:val="28"/>
        </w:rPr>
        <w:t xml:space="preserve">the events stipulated in </w:t>
      </w:r>
      <w:r w:rsidR="00C80402" w:rsidRPr="00CA56AD">
        <w:rPr>
          <w:sz w:val="28"/>
          <w:szCs w:val="28"/>
        </w:rPr>
        <w:t xml:space="preserve">clause </w:t>
      </w:r>
      <w:r w:rsidR="00B92A3F" w:rsidRPr="00CA56AD">
        <w:rPr>
          <w:sz w:val="28"/>
          <w:szCs w:val="28"/>
        </w:rPr>
        <w:t>4 for</w:t>
      </w:r>
      <w:r w:rsidR="00F77171" w:rsidRPr="00CA56AD">
        <w:rPr>
          <w:sz w:val="28"/>
          <w:szCs w:val="28"/>
        </w:rPr>
        <w:t xml:space="preserve"> </w:t>
      </w:r>
      <w:r w:rsidR="004F617C" w:rsidRPr="00CA56AD">
        <w:rPr>
          <w:sz w:val="28"/>
          <w:szCs w:val="28"/>
        </w:rPr>
        <w:t>trigger</w:t>
      </w:r>
      <w:r w:rsidR="00F77171" w:rsidRPr="00CA56AD">
        <w:rPr>
          <w:sz w:val="28"/>
          <w:szCs w:val="28"/>
        </w:rPr>
        <w:t>ing</w:t>
      </w:r>
      <w:r w:rsidR="004F617C" w:rsidRPr="00CA56AD">
        <w:rPr>
          <w:sz w:val="28"/>
          <w:szCs w:val="28"/>
        </w:rPr>
        <w:t xml:space="preserve"> termination has taken place</w:t>
      </w:r>
      <w:r w:rsidR="00C80402" w:rsidRPr="00CA56AD">
        <w:rPr>
          <w:sz w:val="28"/>
          <w:szCs w:val="28"/>
        </w:rPr>
        <w:t>.</w:t>
      </w:r>
      <w:r w:rsidR="004F617C" w:rsidRPr="00CA56AD">
        <w:rPr>
          <w:sz w:val="28"/>
          <w:szCs w:val="28"/>
        </w:rPr>
        <w:t xml:space="preserve"> </w:t>
      </w:r>
      <w:r w:rsidR="00F04DC1" w:rsidRPr="00CA56AD">
        <w:rPr>
          <w:sz w:val="28"/>
          <w:szCs w:val="28"/>
        </w:rPr>
        <w:t>KeyHealth</w:t>
      </w:r>
      <w:r w:rsidRPr="00CA56AD">
        <w:rPr>
          <w:sz w:val="28"/>
          <w:szCs w:val="28"/>
        </w:rPr>
        <w:t xml:space="preserve"> </w:t>
      </w:r>
      <w:r w:rsidR="00DA05D7" w:rsidRPr="00CA56AD">
        <w:rPr>
          <w:sz w:val="28"/>
          <w:szCs w:val="28"/>
        </w:rPr>
        <w:t>was</w:t>
      </w:r>
      <w:r w:rsidR="00723F57" w:rsidRPr="00CA56AD">
        <w:rPr>
          <w:sz w:val="28"/>
          <w:szCs w:val="28"/>
        </w:rPr>
        <w:t>,</w:t>
      </w:r>
      <w:r w:rsidR="00DA05D7" w:rsidRPr="00CA56AD">
        <w:rPr>
          <w:sz w:val="28"/>
          <w:szCs w:val="28"/>
        </w:rPr>
        <w:t xml:space="preserve"> </w:t>
      </w:r>
      <w:r w:rsidRPr="00CA56AD">
        <w:rPr>
          <w:sz w:val="28"/>
          <w:szCs w:val="28"/>
        </w:rPr>
        <w:t>therefore</w:t>
      </w:r>
      <w:r w:rsidR="00C80402" w:rsidRPr="00CA56AD">
        <w:rPr>
          <w:sz w:val="28"/>
          <w:szCs w:val="28"/>
        </w:rPr>
        <w:t>,</w:t>
      </w:r>
      <w:r w:rsidRPr="00CA56AD">
        <w:rPr>
          <w:sz w:val="28"/>
          <w:szCs w:val="28"/>
        </w:rPr>
        <w:t xml:space="preserve"> not permitted to revoke the contract at will. Its predecessor</w:t>
      </w:r>
      <w:r w:rsidR="00723F57" w:rsidRPr="00CA56AD">
        <w:rPr>
          <w:sz w:val="28"/>
          <w:szCs w:val="28"/>
        </w:rPr>
        <w:t>,</w:t>
      </w:r>
      <w:r w:rsidRPr="00CA56AD">
        <w:rPr>
          <w:sz w:val="28"/>
          <w:szCs w:val="28"/>
        </w:rPr>
        <w:t xml:space="preserve"> Munimed</w:t>
      </w:r>
      <w:r w:rsidR="00723F57" w:rsidRPr="00CA56AD">
        <w:rPr>
          <w:sz w:val="28"/>
          <w:szCs w:val="28"/>
        </w:rPr>
        <w:t>,</w:t>
      </w:r>
      <w:r w:rsidRPr="00CA56AD">
        <w:rPr>
          <w:sz w:val="28"/>
          <w:szCs w:val="28"/>
        </w:rPr>
        <w:t xml:space="preserve"> bound itself in terms of clause 4 as to</w:t>
      </w:r>
      <w:r w:rsidR="004F617C" w:rsidRPr="00CA56AD">
        <w:rPr>
          <w:sz w:val="28"/>
          <w:szCs w:val="28"/>
        </w:rPr>
        <w:t xml:space="preserve"> the duration of the agreement and how</w:t>
      </w:r>
      <w:r w:rsidRPr="00CA56AD">
        <w:rPr>
          <w:sz w:val="28"/>
          <w:szCs w:val="28"/>
        </w:rPr>
        <w:t xml:space="preserve"> the agreement </w:t>
      </w:r>
      <w:r w:rsidR="00DA05D7" w:rsidRPr="00CA56AD">
        <w:rPr>
          <w:sz w:val="28"/>
          <w:szCs w:val="28"/>
        </w:rPr>
        <w:t xml:space="preserve">may </w:t>
      </w:r>
      <w:r w:rsidRPr="00CA56AD">
        <w:rPr>
          <w:sz w:val="28"/>
          <w:szCs w:val="28"/>
        </w:rPr>
        <w:t>be</w:t>
      </w:r>
      <w:r w:rsidR="00C80402" w:rsidRPr="00CA56AD">
        <w:rPr>
          <w:sz w:val="28"/>
          <w:szCs w:val="28"/>
        </w:rPr>
        <w:t xml:space="preserve"> terminated.</w:t>
      </w:r>
      <w:r w:rsidR="00366093" w:rsidRPr="00CA56AD">
        <w:rPr>
          <w:sz w:val="28"/>
          <w:szCs w:val="28"/>
        </w:rPr>
        <w:t xml:space="preserve"> </w:t>
      </w:r>
      <w:r w:rsidR="00723F57" w:rsidRPr="00CA56AD">
        <w:rPr>
          <w:sz w:val="28"/>
          <w:szCs w:val="28"/>
        </w:rPr>
        <w:lastRenderedPageBreak/>
        <w:t>Accordingly, t</w:t>
      </w:r>
      <w:r w:rsidR="00366093" w:rsidRPr="00CA56AD">
        <w:rPr>
          <w:sz w:val="28"/>
          <w:szCs w:val="28"/>
        </w:rPr>
        <w:t xml:space="preserve">here are no grounds to interfere with the </w:t>
      </w:r>
      <w:r w:rsidR="00DA05D7" w:rsidRPr="00CA56AD">
        <w:rPr>
          <w:sz w:val="28"/>
          <w:szCs w:val="28"/>
        </w:rPr>
        <w:t xml:space="preserve">decision </w:t>
      </w:r>
      <w:r w:rsidR="00366093" w:rsidRPr="00CA56AD">
        <w:rPr>
          <w:sz w:val="28"/>
          <w:szCs w:val="28"/>
        </w:rPr>
        <w:t>of the full court.</w:t>
      </w:r>
    </w:p>
    <w:p w14:paraId="5F8C0231" w14:textId="77777777" w:rsidR="00C80402" w:rsidRPr="00CA56AD" w:rsidRDefault="00C80402" w:rsidP="008E064A">
      <w:pPr>
        <w:pStyle w:val="ListParagraph"/>
        <w:rPr>
          <w:sz w:val="28"/>
          <w:szCs w:val="28"/>
        </w:rPr>
      </w:pPr>
    </w:p>
    <w:p w14:paraId="193CF4B5" w14:textId="77777777" w:rsidR="00C80402" w:rsidRPr="00CA56AD" w:rsidRDefault="00C80402" w:rsidP="008E064A">
      <w:pPr>
        <w:pStyle w:val="ListParagraph"/>
        <w:numPr>
          <w:ilvl w:val="0"/>
          <w:numId w:val="1"/>
        </w:numPr>
        <w:tabs>
          <w:tab w:val="left" w:pos="0"/>
        </w:tabs>
        <w:ind w:left="0"/>
        <w:rPr>
          <w:sz w:val="28"/>
          <w:szCs w:val="28"/>
        </w:rPr>
      </w:pPr>
      <w:r w:rsidRPr="00CA56AD">
        <w:rPr>
          <w:sz w:val="28"/>
          <w:szCs w:val="28"/>
        </w:rPr>
        <w:t>In the result, the appeal is dismissed with costs</w:t>
      </w:r>
      <w:r w:rsidR="000C6A26" w:rsidRPr="00CA56AD">
        <w:rPr>
          <w:sz w:val="28"/>
          <w:szCs w:val="28"/>
        </w:rPr>
        <w:t>,</w:t>
      </w:r>
      <w:r w:rsidRPr="00CA56AD">
        <w:rPr>
          <w:sz w:val="28"/>
          <w:szCs w:val="28"/>
        </w:rPr>
        <w:t xml:space="preserve"> including </w:t>
      </w:r>
      <w:r w:rsidR="00301B03" w:rsidRPr="00CA56AD">
        <w:rPr>
          <w:sz w:val="28"/>
          <w:szCs w:val="28"/>
        </w:rPr>
        <w:t xml:space="preserve">the </w:t>
      </w:r>
      <w:r w:rsidRPr="00CA56AD">
        <w:rPr>
          <w:sz w:val="28"/>
          <w:szCs w:val="28"/>
        </w:rPr>
        <w:t>costs of two counsel</w:t>
      </w:r>
      <w:r w:rsidR="00301B03" w:rsidRPr="00CA56AD">
        <w:rPr>
          <w:sz w:val="28"/>
          <w:szCs w:val="28"/>
        </w:rPr>
        <w:t>.</w:t>
      </w:r>
    </w:p>
    <w:p w14:paraId="5284949A" w14:textId="77777777" w:rsidR="00E520E9" w:rsidRPr="00CA56AD" w:rsidRDefault="00E520E9" w:rsidP="008E064A">
      <w:pPr>
        <w:rPr>
          <w:sz w:val="28"/>
          <w:szCs w:val="28"/>
        </w:rPr>
      </w:pPr>
    </w:p>
    <w:p w14:paraId="4345B169" w14:textId="77777777" w:rsidR="008E180F" w:rsidRPr="00CA56AD" w:rsidRDefault="008E180F" w:rsidP="008E064A">
      <w:pPr>
        <w:ind w:firstLine="4860"/>
        <w:jc w:val="right"/>
        <w:rPr>
          <w:sz w:val="28"/>
          <w:szCs w:val="28"/>
        </w:rPr>
      </w:pPr>
    </w:p>
    <w:p w14:paraId="63B3DE56" w14:textId="77777777" w:rsidR="008E180F" w:rsidRPr="00CA56AD" w:rsidRDefault="008E180F" w:rsidP="008E064A">
      <w:pPr>
        <w:ind w:firstLine="4860"/>
        <w:jc w:val="right"/>
        <w:rPr>
          <w:sz w:val="28"/>
          <w:szCs w:val="28"/>
        </w:rPr>
      </w:pPr>
    </w:p>
    <w:p w14:paraId="0665773E" w14:textId="77777777" w:rsidR="00AC1913" w:rsidRPr="00CA56AD" w:rsidRDefault="00AC1913" w:rsidP="008E064A">
      <w:pPr>
        <w:ind w:firstLine="4860"/>
        <w:jc w:val="right"/>
        <w:rPr>
          <w:sz w:val="28"/>
          <w:szCs w:val="28"/>
        </w:rPr>
      </w:pPr>
      <w:r w:rsidRPr="00CA56AD">
        <w:rPr>
          <w:sz w:val="28"/>
          <w:szCs w:val="28"/>
        </w:rPr>
        <w:t>________________________</w:t>
      </w:r>
      <w:r w:rsidR="000C6A26" w:rsidRPr="00CA56AD">
        <w:rPr>
          <w:sz w:val="28"/>
          <w:szCs w:val="28"/>
        </w:rPr>
        <w:t>_</w:t>
      </w:r>
      <w:r w:rsidRPr="00CA56AD">
        <w:rPr>
          <w:sz w:val="28"/>
          <w:szCs w:val="28"/>
        </w:rPr>
        <w:t>_</w:t>
      </w:r>
    </w:p>
    <w:p w14:paraId="7D9C2B82" w14:textId="77777777" w:rsidR="00AC1913" w:rsidRPr="00CA56AD" w:rsidRDefault="00AC1913" w:rsidP="008E064A">
      <w:pPr>
        <w:ind w:firstLine="4860"/>
        <w:jc w:val="right"/>
        <w:rPr>
          <w:sz w:val="28"/>
          <w:szCs w:val="28"/>
        </w:rPr>
      </w:pPr>
      <w:r w:rsidRPr="00CA56AD">
        <w:rPr>
          <w:sz w:val="28"/>
          <w:szCs w:val="28"/>
        </w:rPr>
        <w:t>N P MABINDLA-BOQWANA</w:t>
      </w:r>
    </w:p>
    <w:p w14:paraId="6B3E1DF3" w14:textId="77777777" w:rsidR="00AC1913" w:rsidRPr="00CA56AD" w:rsidRDefault="00AC1913" w:rsidP="008E064A">
      <w:pPr>
        <w:ind w:firstLine="4860"/>
        <w:jc w:val="right"/>
        <w:rPr>
          <w:sz w:val="28"/>
          <w:szCs w:val="28"/>
        </w:rPr>
      </w:pPr>
      <w:r w:rsidRPr="00CA56AD">
        <w:rPr>
          <w:sz w:val="28"/>
          <w:szCs w:val="28"/>
        </w:rPr>
        <w:t>JUDGE OF APPEAL</w:t>
      </w:r>
    </w:p>
    <w:p w14:paraId="490FD9B4" w14:textId="77777777" w:rsidR="000C6A26" w:rsidRPr="00CA56AD" w:rsidRDefault="000C6A26" w:rsidP="008E064A">
      <w:pPr>
        <w:rPr>
          <w:sz w:val="28"/>
          <w:szCs w:val="28"/>
        </w:rPr>
      </w:pPr>
    </w:p>
    <w:p w14:paraId="001FB3EC" w14:textId="77777777" w:rsidR="000C6A26" w:rsidRPr="00CA56AD" w:rsidRDefault="000C6A26" w:rsidP="008E064A">
      <w:pPr>
        <w:rPr>
          <w:sz w:val="28"/>
          <w:szCs w:val="28"/>
        </w:rPr>
      </w:pPr>
    </w:p>
    <w:p w14:paraId="5B461CEE" w14:textId="77777777" w:rsidR="000C6A26" w:rsidRPr="00CA56AD" w:rsidRDefault="000C6A26" w:rsidP="008E064A">
      <w:pPr>
        <w:rPr>
          <w:sz w:val="28"/>
          <w:szCs w:val="28"/>
        </w:rPr>
      </w:pPr>
    </w:p>
    <w:p w14:paraId="2BD0B925" w14:textId="77777777" w:rsidR="00723F57" w:rsidRPr="00CA56AD" w:rsidRDefault="00723F57" w:rsidP="008E064A">
      <w:pPr>
        <w:rPr>
          <w:sz w:val="28"/>
          <w:szCs w:val="28"/>
        </w:rPr>
      </w:pPr>
    </w:p>
    <w:p w14:paraId="015B8AC6" w14:textId="77777777" w:rsidR="00723F57" w:rsidRPr="00CA56AD" w:rsidRDefault="00723F57" w:rsidP="008E064A">
      <w:pPr>
        <w:rPr>
          <w:sz w:val="28"/>
          <w:szCs w:val="28"/>
        </w:rPr>
      </w:pPr>
    </w:p>
    <w:p w14:paraId="2FE7889A" w14:textId="77777777" w:rsidR="00723F57" w:rsidRPr="00CA56AD" w:rsidRDefault="00723F57" w:rsidP="008E064A">
      <w:pPr>
        <w:rPr>
          <w:sz w:val="28"/>
          <w:szCs w:val="28"/>
        </w:rPr>
      </w:pPr>
    </w:p>
    <w:p w14:paraId="6070380A" w14:textId="77777777" w:rsidR="00723F57" w:rsidRPr="00CA56AD" w:rsidRDefault="00723F57" w:rsidP="008E064A">
      <w:pPr>
        <w:rPr>
          <w:sz w:val="28"/>
          <w:szCs w:val="28"/>
        </w:rPr>
      </w:pPr>
    </w:p>
    <w:p w14:paraId="4C22B089" w14:textId="77777777" w:rsidR="00723F57" w:rsidRPr="00CA56AD" w:rsidRDefault="00723F57" w:rsidP="008E064A">
      <w:pPr>
        <w:rPr>
          <w:sz w:val="28"/>
          <w:szCs w:val="28"/>
        </w:rPr>
      </w:pPr>
    </w:p>
    <w:p w14:paraId="69DB5248" w14:textId="77777777" w:rsidR="00723F57" w:rsidRPr="00CA56AD" w:rsidRDefault="00723F57" w:rsidP="008E064A">
      <w:pPr>
        <w:rPr>
          <w:sz w:val="28"/>
          <w:szCs w:val="28"/>
        </w:rPr>
      </w:pPr>
    </w:p>
    <w:p w14:paraId="1DF07E2F" w14:textId="77777777" w:rsidR="00723F57" w:rsidRPr="00CA56AD" w:rsidRDefault="00723F57" w:rsidP="008E064A">
      <w:pPr>
        <w:rPr>
          <w:sz w:val="28"/>
          <w:szCs w:val="28"/>
        </w:rPr>
      </w:pPr>
    </w:p>
    <w:p w14:paraId="2E258560" w14:textId="77777777" w:rsidR="00723F57" w:rsidRPr="00CA56AD" w:rsidRDefault="00723F57" w:rsidP="008E064A">
      <w:pPr>
        <w:rPr>
          <w:sz w:val="28"/>
          <w:szCs w:val="28"/>
        </w:rPr>
      </w:pPr>
    </w:p>
    <w:p w14:paraId="2FB46802" w14:textId="77777777" w:rsidR="00A866EC" w:rsidRDefault="00A866EC" w:rsidP="008E064A">
      <w:pPr>
        <w:rPr>
          <w:sz w:val="28"/>
          <w:szCs w:val="28"/>
        </w:rPr>
      </w:pPr>
    </w:p>
    <w:p w14:paraId="1D464185" w14:textId="77777777" w:rsidR="00A866EC" w:rsidRDefault="00A866EC" w:rsidP="008E064A">
      <w:pPr>
        <w:rPr>
          <w:sz w:val="28"/>
          <w:szCs w:val="28"/>
        </w:rPr>
      </w:pPr>
    </w:p>
    <w:p w14:paraId="265CAB91" w14:textId="77777777" w:rsidR="00A866EC" w:rsidRDefault="00A866EC" w:rsidP="008E064A">
      <w:pPr>
        <w:rPr>
          <w:sz w:val="28"/>
          <w:szCs w:val="28"/>
        </w:rPr>
      </w:pPr>
    </w:p>
    <w:p w14:paraId="354250CB" w14:textId="77777777" w:rsidR="00A866EC" w:rsidRDefault="00A866EC" w:rsidP="008E064A">
      <w:pPr>
        <w:rPr>
          <w:sz w:val="28"/>
          <w:szCs w:val="28"/>
        </w:rPr>
      </w:pPr>
    </w:p>
    <w:p w14:paraId="4C17FE20" w14:textId="4C223F2E" w:rsidR="00AC1913" w:rsidRPr="00CA56AD" w:rsidRDefault="002E4309" w:rsidP="008E064A">
      <w:pPr>
        <w:rPr>
          <w:sz w:val="28"/>
          <w:szCs w:val="28"/>
        </w:rPr>
      </w:pPr>
      <w:r w:rsidRPr="00CA56AD">
        <w:rPr>
          <w:sz w:val="28"/>
          <w:szCs w:val="28"/>
        </w:rPr>
        <w:lastRenderedPageBreak/>
        <w:t>A</w:t>
      </w:r>
      <w:r w:rsidR="00E520E9" w:rsidRPr="00CA56AD">
        <w:rPr>
          <w:sz w:val="28"/>
          <w:szCs w:val="28"/>
        </w:rPr>
        <w:t>ppearances</w:t>
      </w:r>
    </w:p>
    <w:p w14:paraId="4F7CF8E0" w14:textId="77777777" w:rsidR="00AC1913" w:rsidRPr="00CA56AD" w:rsidRDefault="00AC1913" w:rsidP="008E064A">
      <w:pPr>
        <w:rPr>
          <w:sz w:val="28"/>
          <w:szCs w:val="28"/>
        </w:rPr>
      </w:pPr>
    </w:p>
    <w:p w14:paraId="08648EC2" w14:textId="77777777" w:rsidR="00AC1913" w:rsidRPr="00CA56AD" w:rsidRDefault="00AC1913" w:rsidP="008E064A">
      <w:pPr>
        <w:tabs>
          <w:tab w:val="left" w:pos="2835"/>
        </w:tabs>
        <w:rPr>
          <w:sz w:val="28"/>
          <w:szCs w:val="28"/>
        </w:rPr>
      </w:pPr>
      <w:r w:rsidRPr="00CA56AD">
        <w:rPr>
          <w:sz w:val="28"/>
          <w:szCs w:val="28"/>
        </w:rPr>
        <w:t xml:space="preserve">For </w:t>
      </w:r>
      <w:r w:rsidR="00D61430" w:rsidRPr="00CA56AD">
        <w:rPr>
          <w:sz w:val="28"/>
          <w:szCs w:val="28"/>
        </w:rPr>
        <w:t>appellant</w:t>
      </w:r>
      <w:r w:rsidR="000C6A26" w:rsidRPr="00CA56AD">
        <w:rPr>
          <w:sz w:val="28"/>
          <w:szCs w:val="28"/>
        </w:rPr>
        <w:t>:</w:t>
      </w:r>
      <w:r w:rsidR="000C6A26" w:rsidRPr="00CA56AD">
        <w:rPr>
          <w:sz w:val="28"/>
          <w:szCs w:val="28"/>
        </w:rPr>
        <w:tab/>
      </w:r>
      <w:r w:rsidR="000C6A26" w:rsidRPr="00CA56AD">
        <w:rPr>
          <w:sz w:val="28"/>
          <w:szCs w:val="28"/>
        </w:rPr>
        <w:tab/>
      </w:r>
      <w:r w:rsidR="00D61430" w:rsidRPr="00CA56AD">
        <w:rPr>
          <w:sz w:val="28"/>
          <w:szCs w:val="28"/>
        </w:rPr>
        <w:t>M</w:t>
      </w:r>
      <w:r w:rsidR="000C6A26" w:rsidRPr="00CA56AD">
        <w:rPr>
          <w:sz w:val="28"/>
          <w:szCs w:val="28"/>
        </w:rPr>
        <w:t xml:space="preserve"> </w:t>
      </w:r>
      <w:r w:rsidR="00D61430" w:rsidRPr="00CA56AD">
        <w:rPr>
          <w:sz w:val="28"/>
          <w:szCs w:val="28"/>
        </w:rPr>
        <w:t xml:space="preserve">M Rip </w:t>
      </w:r>
      <w:r w:rsidRPr="00CA56AD">
        <w:rPr>
          <w:sz w:val="28"/>
          <w:szCs w:val="28"/>
        </w:rPr>
        <w:t>SC</w:t>
      </w:r>
      <w:r w:rsidR="00D61430" w:rsidRPr="00CA56AD">
        <w:rPr>
          <w:sz w:val="28"/>
          <w:szCs w:val="28"/>
        </w:rPr>
        <w:t xml:space="preserve"> </w:t>
      </w:r>
      <w:r w:rsidR="000C6A26" w:rsidRPr="00CA56AD">
        <w:rPr>
          <w:sz w:val="28"/>
          <w:szCs w:val="28"/>
        </w:rPr>
        <w:t>(</w:t>
      </w:r>
      <w:r w:rsidR="00D61430" w:rsidRPr="00CA56AD">
        <w:rPr>
          <w:sz w:val="28"/>
          <w:szCs w:val="28"/>
        </w:rPr>
        <w:t>with C</w:t>
      </w:r>
      <w:r w:rsidR="000C6A26" w:rsidRPr="00CA56AD">
        <w:rPr>
          <w:sz w:val="28"/>
          <w:szCs w:val="28"/>
        </w:rPr>
        <w:t xml:space="preserve"> </w:t>
      </w:r>
      <w:r w:rsidR="00D61430" w:rsidRPr="00CA56AD">
        <w:rPr>
          <w:sz w:val="28"/>
          <w:szCs w:val="28"/>
        </w:rPr>
        <w:t>M Rip</w:t>
      </w:r>
      <w:r w:rsidR="000C6A26" w:rsidRPr="00CA56AD">
        <w:rPr>
          <w:sz w:val="28"/>
          <w:szCs w:val="28"/>
        </w:rPr>
        <w:t>)</w:t>
      </w:r>
    </w:p>
    <w:p w14:paraId="14C552BD" w14:textId="77777777" w:rsidR="000C6A26" w:rsidRPr="00CA56AD" w:rsidRDefault="000C6A26" w:rsidP="008E064A">
      <w:pPr>
        <w:tabs>
          <w:tab w:val="left" w:pos="2835"/>
        </w:tabs>
        <w:rPr>
          <w:bCs/>
          <w:sz w:val="28"/>
          <w:szCs w:val="28"/>
        </w:rPr>
      </w:pPr>
      <w:r w:rsidRPr="00CA56AD">
        <w:rPr>
          <w:bCs/>
          <w:sz w:val="28"/>
          <w:szCs w:val="28"/>
        </w:rPr>
        <w:t>Instructed by:</w:t>
      </w:r>
      <w:r w:rsidRPr="00CA56AD">
        <w:rPr>
          <w:bCs/>
          <w:sz w:val="28"/>
          <w:szCs w:val="28"/>
        </w:rPr>
        <w:tab/>
      </w:r>
      <w:r w:rsidRPr="00CA56AD">
        <w:rPr>
          <w:bCs/>
          <w:sz w:val="28"/>
          <w:szCs w:val="28"/>
        </w:rPr>
        <w:tab/>
      </w:r>
      <w:r w:rsidR="00EB306B" w:rsidRPr="00CA56AD">
        <w:rPr>
          <w:bCs/>
          <w:sz w:val="28"/>
          <w:szCs w:val="28"/>
        </w:rPr>
        <w:t>Kotz</w:t>
      </w:r>
      <w:r w:rsidR="00F770D0" w:rsidRPr="00CA56AD">
        <w:rPr>
          <w:bCs/>
          <w:sz w:val="28"/>
          <w:szCs w:val="28"/>
        </w:rPr>
        <w:t>é</w:t>
      </w:r>
      <w:r w:rsidR="00EB306B" w:rsidRPr="00CA56AD">
        <w:rPr>
          <w:bCs/>
          <w:sz w:val="28"/>
          <w:szCs w:val="28"/>
        </w:rPr>
        <w:t xml:space="preserve"> and Roux Attorneys Inc</w:t>
      </w:r>
      <w:r w:rsidRPr="00CA56AD">
        <w:rPr>
          <w:bCs/>
          <w:sz w:val="28"/>
          <w:szCs w:val="28"/>
        </w:rPr>
        <w:t>orporated</w:t>
      </w:r>
      <w:r w:rsidR="00EB306B" w:rsidRPr="00CA56AD">
        <w:rPr>
          <w:bCs/>
          <w:sz w:val="28"/>
          <w:szCs w:val="28"/>
        </w:rPr>
        <w:t>, Pretoria</w:t>
      </w:r>
      <w:r w:rsidRPr="00CA56AD">
        <w:rPr>
          <w:bCs/>
          <w:sz w:val="28"/>
          <w:szCs w:val="28"/>
        </w:rPr>
        <w:t xml:space="preserve"> </w:t>
      </w:r>
    </w:p>
    <w:p w14:paraId="7103E138" w14:textId="4E7631FA" w:rsidR="00EB306B" w:rsidRPr="00CA56AD" w:rsidRDefault="000C6A26" w:rsidP="008E064A">
      <w:pPr>
        <w:tabs>
          <w:tab w:val="left" w:pos="2835"/>
        </w:tabs>
        <w:rPr>
          <w:bCs/>
          <w:sz w:val="28"/>
          <w:szCs w:val="28"/>
        </w:rPr>
      </w:pPr>
      <w:r w:rsidRPr="00CA56AD">
        <w:rPr>
          <w:bCs/>
          <w:sz w:val="28"/>
          <w:szCs w:val="28"/>
        </w:rPr>
        <w:tab/>
      </w:r>
      <w:r w:rsidR="00EB306B" w:rsidRPr="00CA56AD">
        <w:rPr>
          <w:bCs/>
          <w:sz w:val="28"/>
          <w:szCs w:val="28"/>
        </w:rPr>
        <w:t>EDJ Attorneys Inc</w:t>
      </w:r>
      <w:r w:rsidRPr="00CA56AD">
        <w:rPr>
          <w:bCs/>
          <w:sz w:val="28"/>
          <w:szCs w:val="28"/>
        </w:rPr>
        <w:t>orp</w:t>
      </w:r>
      <w:r w:rsidR="00602234" w:rsidRPr="00CA56AD">
        <w:rPr>
          <w:bCs/>
          <w:sz w:val="28"/>
          <w:szCs w:val="28"/>
        </w:rPr>
        <w:t>o</w:t>
      </w:r>
      <w:r w:rsidRPr="00CA56AD">
        <w:rPr>
          <w:bCs/>
          <w:sz w:val="28"/>
          <w:szCs w:val="28"/>
        </w:rPr>
        <w:t>rated</w:t>
      </w:r>
      <w:r w:rsidR="00EB306B" w:rsidRPr="00CA56AD">
        <w:rPr>
          <w:bCs/>
          <w:sz w:val="28"/>
          <w:szCs w:val="28"/>
        </w:rPr>
        <w:t>, Bloemfontein</w:t>
      </w:r>
      <w:r w:rsidR="000F1CD2">
        <w:rPr>
          <w:bCs/>
          <w:sz w:val="28"/>
          <w:szCs w:val="28"/>
        </w:rPr>
        <w:t>.</w:t>
      </w:r>
      <w:r w:rsidR="00EB306B" w:rsidRPr="00CA56AD">
        <w:rPr>
          <w:bCs/>
          <w:sz w:val="28"/>
          <w:szCs w:val="28"/>
        </w:rPr>
        <w:t xml:space="preserve"> </w:t>
      </w:r>
    </w:p>
    <w:p w14:paraId="3CE402E7" w14:textId="77777777" w:rsidR="00AC1913" w:rsidRPr="00CA56AD" w:rsidRDefault="00AC1913" w:rsidP="008E064A">
      <w:pPr>
        <w:rPr>
          <w:bCs/>
          <w:sz w:val="28"/>
          <w:szCs w:val="28"/>
        </w:rPr>
      </w:pPr>
    </w:p>
    <w:p w14:paraId="12501E94" w14:textId="77777777" w:rsidR="00AC1913" w:rsidRPr="00CA56AD" w:rsidRDefault="000C6A26" w:rsidP="008E064A">
      <w:pPr>
        <w:tabs>
          <w:tab w:val="left" w:pos="2835"/>
        </w:tabs>
        <w:rPr>
          <w:sz w:val="28"/>
          <w:szCs w:val="28"/>
        </w:rPr>
      </w:pPr>
      <w:r w:rsidRPr="00CA56AD">
        <w:rPr>
          <w:sz w:val="28"/>
          <w:szCs w:val="28"/>
        </w:rPr>
        <w:t>For respondent:</w:t>
      </w:r>
      <w:r w:rsidRPr="00CA56AD">
        <w:rPr>
          <w:sz w:val="28"/>
          <w:szCs w:val="28"/>
        </w:rPr>
        <w:tab/>
      </w:r>
      <w:r w:rsidR="00D61430" w:rsidRPr="00CA56AD">
        <w:rPr>
          <w:sz w:val="28"/>
          <w:szCs w:val="28"/>
        </w:rPr>
        <w:t xml:space="preserve">P </w:t>
      </w:r>
      <w:r w:rsidR="00602234" w:rsidRPr="00CA56AD">
        <w:rPr>
          <w:sz w:val="28"/>
          <w:szCs w:val="28"/>
        </w:rPr>
        <w:t>F</w:t>
      </w:r>
      <w:r w:rsidR="00D61430" w:rsidRPr="00CA56AD">
        <w:rPr>
          <w:sz w:val="28"/>
          <w:szCs w:val="28"/>
        </w:rPr>
        <w:t xml:space="preserve"> Louw SC</w:t>
      </w:r>
      <w:r w:rsidR="00AC1913" w:rsidRPr="00CA56AD">
        <w:rPr>
          <w:sz w:val="28"/>
          <w:szCs w:val="28"/>
        </w:rPr>
        <w:t xml:space="preserve"> </w:t>
      </w:r>
      <w:r w:rsidRPr="00CA56AD">
        <w:rPr>
          <w:sz w:val="28"/>
          <w:szCs w:val="28"/>
        </w:rPr>
        <w:t>(</w:t>
      </w:r>
      <w:r w:rsidR="00D61430" w:rsidRPr="00CA56AD">
        <w:rPr>
          <w:sz w:val="28"/>
          <w:szCs w:val="28"/>
        </w:rPr>
        <w:t>with D</w:t>
      </w:r>
      <w:r w:rsidR="00602234" w:rsidRPr="00CA56AD">
        <w:rPr>
          <w:sz w:val="28"/>
          <w:szCs w:val="28"/>
        </w:rPr>
        <w:t xml:space="preserve"> </w:t>
      </w:r>
      <w:r w:rsidR="00D61430" w:rsidRPr="00CA56AD">
        <w:rPr>
          <w:sz w:val="28"/>
          <w:szCs w:val="28"/>
        </w:rPr>
        <w:t>J Vetten</w:t>
      </w:r>
      <w:r w:rsidRPr="00CA56AD">
        <w:rPr>
          <w:sz w:val="28"/>
          <w:szCs w:val="28"/>
        </w:rPr>
        <w:t>)</w:t>
      </w:r>
    </w:p>
    <w:p w14:paraId="26B1D242" w14:textId="77777777" w:rsidR="000C6A26" w:rsidRPr="00CA56AD" w:rsidRDefault="000C6A26" w:rsidP="008E064A">
      <w:pPr>
        <w:tabs>
          <w:tab w:val="left" w:pos="2835"/>
        </w:tabs>
        <w:rPr>
          <w:bCs/>
          <w:sz w:val="28"/>
          <w:szCs w:val="28"/>
        </w:rPr>
      </w:pPr>
      <w:r w:rsidRPr="00CA56AD">
        <w:rPr>
          <w:bCs/>
          <w:sz w:val="28"/>
          <w:szCs w:val="28"/>
        </w:rPr>
        <w:t>Instructed by:</w:t>
      </w:r>
      <w:r w:rsidRPr="00CA56AD">
        <w:rPr>
          <w:bCs/>
          <w:sz w:val="28"/>
          <w:szCs w:val="28"/>
        </w:rPr>
        <w:tab/>
      </w:r>
      <w:r w:rsidR="00EB306B" w:rsidRPr="00CA56AD">
        <w:rPr>
          <w:bCs/>
          <w:sz w:val="28"/>
          <w:szCs w:val="28"/>
        </w:rPr>
        <w:t>Edward</w:t>
      </w:r>
      <w:r w:rsidR="004C1AB7" w:rsidRPr="00CA56AD">
        <w:rPr>
          <w:bCs/>
          <w:sz w:val="28"/>
          <w:szCs w:val="28"/>
        </w:rPr>
        <w:t xml:space="preserve"> </w:t>
      </w:r>
      <w:r w:rsidR="00602234" w:rsidRPr="00CA56AD">
        <w:rPr>
          <w:bCs/>
          <w:sz w:val="28"/>
          <w:szCs w:val="28"/>
        </w:rPr>
        <w:t xml:space="preserve">S </w:t>
      </w:r>
      <w:r w:rsidR="00EB306B" w:rsidRPr="00CA56AD">
        <w:rPr>
          <w:bCs/>
          <w:sz w:val="28"/>
          <w:szCs w:val="28"/>
        </w:rPr>
        <w:t xml:space="preserve">Classen &amp; Kaka, </w:t>
      </w:r>
      <w:r w:rsidR="004C1AB7" w:rsidRPr="00CA56AD">
        <w:rPr>
          <w:bCs/>
          <w:sz w:val="28"/>
          <w:szCs w:val="28"/>
        </w:rPr>
        <w:t>Johannesburg</w:t>
      </w:r>
    </w:p>
    <w:p w14:paraId="0EDBF430" w14:textId="27681ABD" w:rsidR="00EB306B" w:rsidRPr="008E064A" w:rsidRDefault="000C6A26" w:rsidP="008E064A">
      <w:pPr>
        <w:tabs>
          <w:tab w:val="left" w:pos="2835"/>
        </w:tabs>
        <w:rPr>
          <w:bCs/>
          <w:sz w:val="28"/>
          <w:szCs w:val="28"/>
        </w:rPr>
      </w:pPr>
      <w:r w:rsidRPr="00CA56AD">
        <w:rPr>
          <w:bCs/>
          <w:sz w:val="28"/>
          <w:szCs w:val="28"/>
        </w:rPr>
        <w:tab/>
      </w:r>
      <w:r w:rsidR="00EB306B" w:rsidRPr="00CA56AD">
        <w:rPr>
          <w:bCs/>
          <w:sz w:val="28"/>
          <w:szCs w:val="28"/>
        </w:rPr>
        <w:t xml:space="preserve">Van Wyk </w:t>
      </w:r>
      <w:r w:rsidR="00602234" w:rsidRPr="00CA56AD">
        <w:rPr>
          <w:bCs/>
          <w:sz w:val="28"/>
          <w:szCs w:val="28"/>
        </w:rPr>
        <w:t xml:space="preserve">&amp; </w:t>
      </w:r>
      <w:r w:rsidR="00EB306B" w:rsidRPr="00CA56AD">
        <w:rPr>
          <w:bCs/>
          <w:sz w:val="28"/>
          <w:szCs w:val="28"/>
        </w:rPr>
        <w:t>Preller Attorneys, Bloemfontein</w:t>
      </w:r>
      <w:r w:rsidR="000F1CD2">
        <w:rPr>
          <w:bCs/>
          <w:sz w:val="28"/>
          <w:szCs w:val="28"/>
        </w:rPr>
        <w:t>.</w:t>
      </w:r>
    </w:p>
    <w:p w14:paraId="2733907C" w14:textId="77777777" w:rsidR="00D87785" w:rsidRPr="008E064A" w:rsidRDefault="00D87785" w:rsidP="008E064A">
      <w:pPr>
        <w:rPr>
          <w:bCs/>
          <w:sz w:val="28"/>
          <w:szCs w:val="28"/>
        </w:rPr>
      </w:pPr>
    </w:p>
    <w:sectPr w:rsidR="00D87785" w:rsidRPr="008E064A" w:rsidSect="00E43153">
      <w:headerReference w:type="even" r:id="rId9"/>
      <w:headerReference w:type="default" r:id="rId10"/>
      <w:headerReference w:type="first" r:id="rId11"/>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791D1" w14:textId="77777777" w:rsidR="00E2782F" w:rsidRDefault="00E2782F" w:rsidP="00AC1913">
      <w:pPr>
        <w:spacing w:line="240" w:lineRule="auto"/>
      </w:pPr>
      <w:r>
        <w:separator/>
      </w:r>
    </w:p>
  </w:endnote>
  <w:endnote w:type="continuationSeparator" w:id="0">
    <w:p w14:paraId="2140BAA3" w14:textId="77777777" w:rsidR="00E2782F" w:rsidRDefault="00E2782F" w:rsidP="00AC19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C8415" w14:textId="77777777" w:rsidR="00E2782F" w:rsidRDefault="00E2782F" w:rsidP="00AC1913">
      <w:pPr>
        <w:spacing w:line="240" w:lineRule="auto"/>
      </w:pPr>
      <w:r>
        <w:separator/>
      </w:r>
    </w:p>
  </w:footnote>
  <w:footnote w:type="continuationSeparator" w:id="0">
    <w:p w14:paraId="2A9178ED" w14:textId="77777777" w:rsidR="00E2782F" w:rsidRDefault="00E2782F" w:rsidP="00AC1913">
      <w:pPr>
        <w:spacing w:line="240" w:lineRule="auto"/>
      </w:pPr>
      <w:r>
        <w:continuationSeparator/>
      </w:r>
    </w:p>
  </w:footnote>
  <w:footnote w:id="1">
    <w:p w14:paraId="394409C4" w14:textId="77777777" w:rsidR="0027362B" w:rsidRPr="00E631D2" w:rsidRDefault="0027362B" w:rsidP="00CA56AD">
      <w:pPr>
        <w:pStyle w:val="FootnoteText"/>
        <w:spacing w:line="240" w:lineRule="auto"/>
        <w:rPr>
          <w:lang w:val="en-US"/>
        </w:rPr>
      </w:pPr>
      <w:r>
        <w:rPr>
          <w:rStyle w:val="FootnoteReference"/>
        </w:rPr>
        <w:footnoteRef/>
      </w:r>
      <w:r w:rsidR="00344F62">
        <w:t xml:space="preserve"> </w:t>
      </w:r>
      <w:r>
        <w:t xml:space="preserve">As defined in the agreement. </w:t>
      </w:r>
    </w:p>
  </w:footnote>
  <w:footnote w:id="2">
    <w:p w14:paraId="0237816B" w14:textId="77777777" w:rsidR="0027362B" w:rsidRPr="00286FB4" w:rsidRDefault="0027362B" w:rsidP="00CA56AD">
      <w:pPr>
        <w:pStyle w:val="FootnoteText"/>
        <w:spacing w:line="240" w:lineRule="auto"/>
        <w:rPr>
          <w:lang w:val="en-US"/>
        </w:rPr>
      </w:pPr>
      <w:r>
        <w:rPr>
          <w:rStyle w:val="FootnoteReference"/>
        </w:rPr>
        <w:footnoteRef/>
      </w:r>
      <w:r>
        <w:t xml:space="preserve"> </w:t>
      </w:r>
      <w:r w:rsidR="00010FE7">
        <w:t xml:space="preserve">17(1) </w:t>
      </w:r>
      <w:r w:rsidRPr="00F504AD">
        <w:rPr>
          <w:i/>
          <w:lang w:val="en-US"/>
        </w:rPr>
        <w:t>L</w:t>
      </w:r>
      <w:r w:rsidR="00010FE7">
        <w:rPr>
          <w:i/>
          <w:lang w:val="en-US"/>
        </w:rPr>
        <w:t>awsa</w:t>
      </w:r>
      <w:r>
        <w:rPr>
          <w:lang w:val="en-US"/>
        </w:rPr>
        <w:t xml:space="preserve"> 2</w:t>
      </w:r>
      <w:r w:rsidR="00010FE7">
        <w:rPr>
          <w:lang w:val="en-US"/>
        </w:rPr>
        <w:t xml:space="preserve"> </w:t>
      </w:r>
      <w:r>
        <w:rPr>
          <w:lang w:val="en-US"/>
        </w:rPr>
        <w:t>ed</w:t>
      </w:r>
      <w:r w:rsidR="00010FE7">
        <w:rPr>
          <w:lang w:val="en-US"/>
        </w:rPr>
        <w:t xml:space="preserve"> para 2</w:t>
      </w:r>
      <w:r>
        <w:rPr>
          <w:lang w:val="en-US"/>
        </w:rPr>
        <w:t xml:space="preserve">. </w:t>
      </w:r>
    </w:p>
  </w:footnote>
  <w:footnote w:id="3">
    <w:p w14:paraId="266C97DA" w14:textId="77777777" w:rsidR="0027362B" w:rsidRPr="00A3457C" w:rsidRDefault="0027362B" w:rsidP="00CA56AD">
      <w:pPr>
        <w:pStyle w:val="FootnoteText"/>
        <w:spacing w:line="240" w:lineRule="auto"/>
        <w:rPr>
          <w:lang w:val="en-US"/>
        </w:rPr>
      </w:pPr>
      <w:r>
        <w:rPr>
          <w:rStyle w:val="FootnoteReference"/>
        </w:rPr>
        <w:footnoteRef/>
      </w:r>
      <w:r>
        <w:t xml:space="preserve"> </w:t>
      </w:r>
      <w:r w:rsidR="00D63867">
        <w:t>The trial court</w:t>
      </w:r>
      <w:r>
        <w:t xml:space="preserve"> relied on </w:t>
      </w:r>
      <w:r w:rsidRPr="00C32095">
        <w:rPr>
          <w:i/>
        </w:rPr>
        <w:t>Firs Investment Ltd v Levy Bros Estates (Pty) Ltd</w:t>
      </w:r>
      <w:r w:rsidRPr="00C32095">
        <w:t xml:space="preserve"> 1984 (2) SA 881</w:t>
      </w:r>
      <w:r>
        <w:t xml:space="preserve"> (A) at 886F-H</w:t>
      </w:r>
      <w:r w:rsidR="00D63867">
        <w:t>, and</w:t>
      </w:r>
      <w:r w:rsidRPr="001D7158">
        <w:rPr>
          <w:i/>
        </w:rPr>
        <w:t xml:space="preserve"> Consolidated Frame Cotton Corporation Ltd v Sithole and Others</w:t>
      </w:r>
      <w:r w:rsidRPr="001D7158">
        <w:t xml:space="preserve"> 1985 (2) SA 18 (N) at 22H-I</w:t>
      </w:r>
      <w:r>
        <w:t>.</w:t>
      </w:r>
    </w:p>
  </w:footnote>
  <w:footnote w:id="4">
    <w:p w14:paraId="2F0A3F98" w14:textId="77777777" w:rsidR="0027362B" w:rsidRPr="00F504AD" w:rsidRDefault="0027362B" w:rsidP="00CA56AD">
      <w:pPr>
        <w:pStyle w:val="FootnoteText"/>
        <w:spacing w:line="240" w:lineRule="auto"/>
      </w:pPr>
      <w:r>
        <w:rPr>
          <w:rStyle w:val="FootnoteReference"/>
        </w:rPr>
        <w:footnoteRef/>
      </w:r>
      <w:r>
        <w:t xml:space="preserve"> </w:t>
      </w:r>
      <w:r w:rsidR="00D542AB" w:rsidRPr="00F504AD">
        <w:rPr>
          <w:i/>
        </w:rPr>
        <w:t>Firs Investment Ltd (The) v Levy Brothers Estates (Pty) Ltd</w:t>
      </w:r>
      <w:r w:rsidR="00D542AB">
        <w:t xml:space="preserve"> [1984] 2 All SA 211 (A); 1984 (2) SA 881 (A).</w:t>
      </w:r>
      <w:r w:rsidR="00D542AB" w:rsidDel="00D542AB">
        <w:t xml:space="preserve"> </w:t>
      </w:r>
    </w:p>
  </w:footnote>
  <w:footnote w:id="5">
    <w:p w14:paraId="373679F1" w14:textId="77777777" w:rsidR="0027362B" w:rsidRPr="00E8522C" w:rsidRDefault="0027362B" w:rsidP="00CA56AD">
      <w:pPr>
        <w:pStyle w:val="FootnoteText"/>
        <w:spacing w:line="240" w:lineRule="auto"/>
        <w:rPr>
          <w:lang w:val="en-US"/>
        </w:rPr>
      </w:pPr>
      <w:r w:rsidRPr="00E8522C">
        <w:rPr>
          <w:rStyle w:val="FootnoteReference"/>
        </w:rPr>
        <w:footnoteRef/>
      </w:r>
      <w:r>
        <w:t xml:space="preserve"> </w:t>
      </w:r>
      <w:r w:rsidR="00D542AB">
        <w:t xml:space="preserve">1 </w:t>
      </w:r>
      <w:r w:rsidRPr="00F504AD">
        <w:rPr>
          <w:i/>
        </w:rPr>
        <w:t>L</w:t>
      </w:r>
      <w:r w:rsidR="00D542AB" w:rsidRPr="00F504AD">
        <w:rPr>
          <w:i/>
        </w:rPr>
        <w:t>awsa</w:t>
      </w:r>
      <w:r w:rsidR="00D542AB">
        <w:t xml:space="preserve"> 3 ed para</w:t>
      </w:r>
      <w:r>
        <w:t xml:space="preserve"> 149</w:t>
      </w:r>
      <w:r w:rsidRPr="00E8522C">
        <w:t xml:space="preserve">. </w:t>
      </w:r>
    </w:p>
  </w:footnote>
  <w:footnote w:id="6">
    <w:p w14:paraId="3FF0F695" w14:textId="77777777" w:rsidR="0027362B" w:rsidRPr="00BE0B8C" w:rsidRDefault="0027362B" w:rsidP="00CA56AD">
      <w:pPr>
        <w:pStyle w:val="FootnoteText"/>
        <w:spacing w:line="240" w:lineRule="auto"/>
        <w:rPr>
          <w:lang w:val="en-US"/>
        </w:rPr>
      </w:pPr>
      <w:r>
        <w:rPr>
          <w:rStyle w:val="FootnoteReference"/>
        </w:rPr>
        <w:footnoteRef/>
      </w:r>
      <w:r>
        <w:t xml:space="preserve"> </w:t>
      </w:r>
      <w:r w:rsidR="00E520E9" w:rsidRPr="00A502AE">
        <w:rPr>
          <w:i/>
          <w:iCs/>
        </w:rPr>
        <w:t xml:space="preserve">Eileen </w:t>
      </w:r>
      <w:bookmarkStart w:id="2" w:name="_Hlk116654240"/>
      <w:r w:rsidR="00E520E9" w:rsidRPr="00A502AE">
        <w:rPr>
          <w:i/>
          <w:iCs/>
        </w:rPr>
        <w:t>Louvet</w:t>
      </w:r>
      <w:bookmarkEnd w:id="2"/>
      <w:r w:rsidR="00E520E9" w:rsidRPr="00A502AE">
        <w:rPr>
          <w:i/>
          <w:iCs/>
        </w:rPr>
        <w:t xml:space="preserve"> Real Estate (Pty) Ltd </w:t>
      </w:r>
      <w:r w:rsidR="00E520E9">
        <w:rPr>
          <w:i/>
          <w:iCs/>
        </w:rPr>
        <w:t>v</w:t>
      </w:r>
      <w:r w:rsidR="00E520E9" w:rsidRPr="00A502AE">
        <w:rPr>
          <w:i/>
          <w:iCs/>
        </w:rPr>
        <w:t xml:space="preserve"> </w:t>
      </w:r>
      <w:r w:rsidR="00E520E9" w:rsidRPr="00E520E9">
        <w:rPr>
          <w:i/>
          <w:iCs/>
        </w:rPr>
        <w:t>AFC</w:t>
      </w:r>
      <w:r w:rsidR="00E520E9" w:rsidRPr="00A502AE">
        <w:rPr>
          <w:i/>
          <w:iCs/>
        </w:rPr>
        <w:t xml:space="preserve"> Property Development Co (Pty) Ltd</w:t>
      </w:r>
      <w:r w:rsidR="00C65626">
        <w:rPr>
          <w:i/>
          <w:iCs/>
        </w:rPr>
        <w:t xml:space="preserve"> </w:t>
      </w:r>
      <w:r w:rsidR="00C65626" w:rsidRPr="00F504AD">
        <w:rPr>
          <w:iCs/>
        </w:rPr>
        <w:t>[1989] 2 All SA 290 (A)</w:t>
      </w:r>
      <w:r w:rsidR="00C65626">
        <w:rPr>
          <w:iCs/>
        </w:rPr>
        <w:t>;</w:t>
      </w:r>
      <w:r w:rsidR="00C65626" w:rsidRPr="00F504AD">
        <w:rPr>
          <w:iCs/>
        </w:rPr>
        <w:t xml:space="preserve"> </w:t>
      </w:r>
      <w:r w:rsidR="00E520E9" w:rsidRPr="00E520E9">
        <w:rPr>
          <w:iCs/>
        </w:rPr>
        <w:t xml:space="preserve">1989 </w:t>
      </w:r>
      <w:r w:rsidRPr="00A502AE">
        <w:rPr>
          <w:iCs/>
        </w:rPr>
        <w:t>(3) SA 26 (A)</w:t>
      </w:r>
      <w:r w:rsidR="004C1AB7">
        <w:rPr>
          <w:iCs/>
        </w:rPr>
        <w:t>.</w:t>
      </w:r>
    </w:p>
  </w:footnote>
  <w:footnote w:id="7">
    <w:p w14:paraId="1A30786A" w14:textId="77777777" w:rsidR="006E275B" w:rsidRPr="00F504AD" w:rsidRDefault="006E275B" w:rsidP="00CA56AD">
      <w:pPr>
        <w:pStyle w:val="FootnoteText"/>
        <w:spacing w:line="240" w:lineRule="auto"/>
        <w:rPr>
          <w:lang w:val="en-ZA"/>
        </w:rPr>
      </w:pPr>
      <w:r>
        <w:rPr>
          <w:rStyle w:val="FootnoteReference"/>
        </w:rPr>
        <w:footnoteRef/>
      </w:r>
      <w:r>
        <w:t xml:space="preserve"> </w:t>
      </w:r>
      <w:r w:rsidRPr="005F609A">
        <w:rPr>
          <w:i/>
        </w:rPr>
        <w:t>Firs Investment</w:t>
      </w:r>
      <w:r>
        <w:t xml:space="preserve"> at 292.</w:t>
      </w:r>
    </w:p>
  </w:footnote>
  <w:footnote w:id="8">
    <w:p w14:paraId="50883C85" w14:textId="77777777" w:rsidR="0027362B" w:rsidRPr="00D3633D" w:rsidRDefault="0027362B" w:rsidP="00CA56AD">
      <w:pPr>
        <w:pStyle w:val="FootnoteText"/>
        <w:spacing w:line="240" w:lineRule="auto"/>
        <w:rPr>
          <w:lang w:val="en-US"/>
        </w:rPr>
      </w:pPr>
      <w:r w:rsidRPr="00F504AD">
        <w:rPr>
          <w:rStyle w:val="FootnoteReference"/>
        </w:rPr>
        <w:footnoteRef/>
      </w:r>
      <w:r w:rsidRPr="00F504AD">
        <w:t xml:space="preserve"> </w:t>
      </w:r>
      <w:r w:rsidR="006E275B">
        <w:t xml:space="preserve">1 </w:t>
      </w:r>
      <w:r w:rsidR="006E275B" w:rsidRPr="005F609A">
        <w:rPr>
          <w:i/>
        </w:rPr>
        <w:t>Lawsa</w:t>
      </w:r>
      <w:r w:rsidR="006E275B">
        <w:t xml:space="preserve"> 3 ed para 149</w:t>
      </w:r>
      <w:r w:rsidR="006E275B" w:rsidRPr="00E8522C">
        <w:t xml:space="preserve">. </w:t>
      </w:r>
    </w:p>
  </w:footnote>
  <w:footnote w:id="9">
    <w:p w14:paraId="15869522" w14:textId="77777777" w:rsidR="0027362B" w:rsidRPr="00A64859" w:rsidRDefault="0027362B" w:rsidP="00CA56AD">
      <w:pPr>
        <w:pStyle w:val="FootnoteText"/>
        <w:spacing w:line="240" w:lineRule="auto"/>
        <w:rPr>
          <w:lang w:val="en-US"/>
        </w:rPr>
      </w:pPr>
      <w:r w:rsidRPr="00A65F37">
        <w:rPr>
          <w:rStyle w:val="FootnoteReference"/>
        </w:rPr>
        <w:footnoteRef/>
      </w:r>
      <w:r w:rsidRPr="00A65F37">
        <w:t xml:space="preserve"> </w:t>
      </w:r>
      <w:r w:rsidRPr="00A65F37">
        <w:rPr>
          <w:i/>
          <w:iCs/>
        </w:rPr>
        <w:t>Ward </w:t>
      </w:r>
      <w:r w:rsidRPr="00A65F37">
        <w:t>v </w:t>
      </w:r>
      <w:r w:rsidRPr="00A65F37">
        <w:rPr>
          <w:i/>
          <w:iCs/>
        </w:rPr>
        <w:t xml:space="preserve">Barrett </w:t>
      </w:r>
      <w:r w:rsidRPr="00B7228F">
        <w:rPr>
          <w:i/>
          <w:iCs/>
          <w:color w:val="000000"/>
        </w:rPr>
        <w:t>N</w:t>
      </w:r>
      <w:r w:rsidR="006E275B">
        <w:rPr>
          <w:i/>
          <w:iCs/>
          <w:color w:val="000000"/>
        </w:rPr>
        <w:t xml:space="preserve"> </w:t>
      </w:r>
      <w:r w:rsidRPr="00B7228F">
        <w:rPr>
          <w:i/>
          <w:iCs/>
          <w:color w:val="000000"/>
        </w:rPr>
        <w:t>O and Another </w:t>
      </w:r>
      <w:r w:rsidR="006E275B" w:rsidRPr="00F504AD">
        <w:rPr>
          <w:iCs/>
          <w:color w:val="000000"/>
        </w:rPr>
        <w:t>[1962] 4 All SA 557 (N)</w:t>
      </w:r>
      <w:r w:rsidR="006E275B">
        <w:rPr>
          <w:color w:val="000000"/>
        </w:rPr>
        <w:t xml:space="preserve">; </w:t>
      </w:r>
      <w:r w:rsidRPr="00B7228F">
        <w:rPr>
          <w:color w:val="000000"/>
        </w:rPr>
        <w:t>1962 (4) SA 732 (N) at 737D-F</w:t>
      </w:r>
      <w:r>
        <w:rPr>
          <w:color w:val="00000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252F0" w14:textId="77777777" w:rsidR="0027362B" w:rsidRDefault="002736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D4A3A4" w14:textId="77777777" w:rsidR="0027362B" w:rsidRDefault="0027362B">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924425"/>
      <w:docPartObj>
        <w:docPartGallery w:val="Page Numbers (Top of Page)"/>
        <w:docPartUnique/>
      </w:docPartObj>
    </w:sdtPr>
    <w:sdtEndPr>
      <w:rPr>
        <w:noProof/>
      </w:rPr>
    </w:sdtEndPr>
    <w:sdtContent>
      <w:p w14:paraId="601101CB" w14:textId="21466C5C" w:rsidR="0027362B" w:rsidRDefault="0027362B">
        <w:pPr>
          <w:pStyle w:val="Header"/>
          <w:jc w:val="right"/>
        </w:pPr>
        <w:r>
          <w:fldChar w:fldCharType="begin"/>
        </w:r>
        <w:r>
          <w:instrText xml:space="preserve"> PAGE   \* MERGEFORMAT </w:instrText>
        </w:r>
        <w:r>
          <w:fldChar w:fldCharType="separate"/>
        </w:r>
        <w:r w:rsidR="007F7B40">
          <w:rPr>
            <w:noProof/>
          </w:rPr>
          <w:t>2</w:t>
        </w:r>
        <w:r>
          <w:rPr>
            <w:noProof/>
          </w:rPr>
          <w:fldChar w:fldCharType="end"/>
        </w:r>
      </w:p>
    </w:sdtContent>
  </w:sdt>
  <w:p w14:paraId="077EC20F" w14:textId="77777777" w:rsidR="0027362B" w:rsidRDefault="0027362B">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735714"/>
      <w:docPartObj>
        <w:docPartGallery w:val="Page Numbers (Top of Page)"/>
        <w:docPartUnique/>
      </w:docPartObj>
    </w:sdtPr>
    <w:sdtEndPr>
      <w:rPr>
        <w:noProof/>
      </w:rPr>
    </w:sdtEndPr>
    <w:sdtContent>
      <w:p w14:paraId="5DBAACB9" w14:textId="77777777" w:rsidR="0027362B" w:rsidRDefault="00E2782F">
        <w:pPr>
          <w:pStyle w:val="Header"/>
          <w:jc w:val="right"/>
        </w:pPr>
      </w:p>
    </w:sdtContent>
  </w:sdt>
  <w:p w14:paraId="5D812DB1" w14:textId="77777777" w:rsidR="0027362B" w:rsidRDefault="002736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0F4F"/>
    <w:multiLevelType w:val="hybridMultilevel"/>
    <w:tmpl w:val="9C96C128"/>
    <w:lvl w:ilvl="0" w:tplc="AB56B1C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E7929"/>
    <w:multiLevelType w:val="hybridMultilevel"/>
    <w:tmpl w:val="CDACD8AE"/>
    <w:lvl w:ilvl="0" w:tplc="4A448992">
      <w:start w:val="1"/>
      <w:numFmt w:val="decimal"/>
      <w:lvlText w:val="[%1]"/>
      <w:lvlJc w:val="left"/>
      <w:pPr>
        <w:ind w:left="450" w:firstLine="0"/>
      </w:pPr>
      <w:rPr>
        <w:rFonts w:ascii="Times New Roman" w:hAnsi="Times New Roman" w:hint="default"/>
        <w:b w:val="0"/>
        <w:bCs w:val="0"/>
        <w:i w:val="0"/>
        <w:i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66B2B"/>
    <w:multiLevelType w:val="hybridMultilevel"/>
    <w:tmpl w:val="350A4342"/>
    <w:lvl w:ilvl="0" w:tplc="FF10B9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3797A"/>
    <w:multiLevelType w:val="hybridMultilevel"/>
    <w:tmpl w:val="166A2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227E3"/>
    <w:multiLevelType w:val="hybridMultilevel"/>
    <w:tmpl w:val="4558C078"/>
    <w:lvl w:ilvl="0" w:tplc="6332EB3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6B39D9"/>
    <w:multiLevelType w:val="hybridMultilevel"/>
    <w:tmpl w:val="D390DAB8"/>
    <w:lvl w:ilvl="0" w:tplc="F20E85A0">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D20783"/>
    <w:multiLevelType w:val="hybridMultilevel"/>
    <w:tmpl w:val="9F7C05B0"/>
    <w:lvl w:ilvl="0" w:tplc="96C4834A">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7936C4"/>
    <w:multiLevelType w:val="hybridMultilevel"/>
    <w:tmpl w:val="5C04755A"/>
    <w:lvl w:ilvl="0" w:tplc="D2BE7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FE5B29"/>
    <w:multiLevelType w:val="hybridMultilevel"/>
    <w:tmpl w:val="8296164C"/>
    <w:lvl w:ilvl="0" w:tplc="41246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8"/>
  </w:num>
  <w:num w:numId="6">
    <w:abstractNumId w:val="2"/>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A47C628-5DCD-4F3F-896C-022595D6CF5E}"/>
    <w:docVar w:name="dgnword-eventsink" w:val="1577211957040"/>
  </w:docVars>
  <w:rsids>
    <w:rsidRoot w:val="00AC1913"/>
    <w:rsid w:val="00010FE7"/>
    <w:rsid w:val="0001301A"/>
    <w:rsid w:val="00023D2B"/>
    <w:rsid w:val="000319F6"/>
    <w:rsid w:val="000344D6"/>
    <w:rsid w:val="000472BB"/>
    <w:rsid w:val="00056410"/>
    <w:rsid w:val="0008053F"/>
    <w:rsid w:val="000B586D"/>
    <w:rsid w:val="000C6A26"/>
    <w:rsid w:val="000D0301"/>
    <w:rsid w:val="000D3C1E"/>
    <w:rsid w:val="000E3189"/>
    <w:rsid w:val="000F1CD2"/>
    <w:rsid w:val="000F1EBD"/>
    <w:rsid w:val="000F6028"/>
    <w:rsid w:val="000F6634"/>
    <w:rsid w:val="0013116A"/>
    <w:rsid w:val="00136A69"/>
    <w:rsid w:val="00137049"/>
    <w:rsid w:val="0014317D"/>
    <w:rsid w:val="001463DD"/>
    <w:rsid w:val="00161F94"/>
    <w:rsid w:val="001847B0"/>
    <w:rsid w:val="0019637D"/>
    <w:rsid w:val="001A1C74"/>
    <w:rsid w:val="001B7169"/>
    <w:rsid w:val="001D7158"/>
    <w:rsid w:val="001E6E18"/>
    <w:rsid w:val="00224430"/>
    <w:rsid w:val="00235E00"/>
    <w:rsid w:val="0025569A"/>
    <w:rsid w:val="00257467"/>
    <w:rsid w:val="0027362B"/>
    <w:rsid w:val="002833D7"/>
    <w:rsid w:val="00286FB4"/>
    <w:rsid w:val="002B286E"/>
    <w:rsid w:val="002C5D1E"/>
    <w:rsid w:val="002E4309"/>
    <w:rsid w:val="002F6260"/>
    <w:rsid w:val="00301B03"/>
    <w:rsid w:val="00344F62"/>
    <w:rsid w:val="00355ECA"/>
    <w:rsid w:val="00366093"/>
    <w:rsid w:val="003702FD"/>
    <w:rsid w:val="003770E3"/>
    <w:rsid w:val="00396C04"/>
    <w:rsid w:val="003C19FF"/>
    <w:rsid w:val="003C306A"/>
    <w:rsid w:val="003D632C"/>
    <w:rsid w:val="003E778C"/>
    <w:rsid w:val="00405689"/>
    <w:rsid w:val="00405F3B"/>
    <w:rsid w:val="004236FA"/>
    <w:rsid w:val="00423DDF"/>
    <w:rsid w:val="00443123"/>
    <w:rsid w:val="00466414"/>
    <w:rsid w:val="004871E0"/>
    <w:rsid w:val="004876B2"/>
    <w:rsid w:val="004928C9"/>
    <w:rsid w:val="004932A4"/>
    <w:rsid w:val="004B02C0"/>
    <w:rsid w:val="004C1069"/>
    <w:rsid w:val="004C1AB7"/>
    <w:rsid w:val="004C3DCB"/>
    <w:rsid w:val="004D16F2"/>
    <w:rsid w:val="004D42E5"/>
    <w:rsid w:val="004D5884"/>
    <w:rsid w:val="004E03FD"/>
    <w:rsid w:val="004F617C"/>
    <w:rsid w:val="004F6BB7"/>
    <w:rsid w:val="005031EF"/>
    <w:rsid w:val="0051321F"/>
    <w:rsid w:val="00517AA0"/>
    <w:rsid w:val="00522ECA"/>
    <w:rsid w:val="0053167F"/>
    <w:rsid w:val="00552406"/>
    <w:rsid w:val="00561040"/>
    <w:rsid w:val="00562699"/>
    <w:rsid w:val="00574AD4"/>
    <w:rsid w:val="00597639"/>
    <w:rsid w:val="005A042D"/>
    <w:rsid w:val="005F07B1"/>
    <w:rsid w:val="00602234"/>
    <w:rsid w:val="006066B6"/>
    <w:rsid w:val="00621FF5"/>
    <w:rsid w:val="006266CC"/>
    <w:rsid w:val="006316AF"/>
    <w:rsid w:val="006328D2"/>
    <w:rsid w:val="006342A3"/>
    <w:rsid w:val="00686A83"/>
    <w:rsid w:val="006C5E36"/>
    <w:rsid w:val="006C618F"/>
    <w:rsid w:val="006D0C08"/>
    <w:rsid w:val="006D5F64"/>
    <w:rsid w:val="006E275B"/>
    <w:rsid w:val="00701534"/>
    <w:rsid w:val="00704ACB"/>
    <w:rsid w:val="007223E4"/>
    <w:rsid w:val="00723F57"/>
    <w:rsid w:val="0073034F"/>
    <w:rsid w:val="007553B1"/>
    <w:rsid w:val="00765793"/>
    <w:rsid w:val="007739E0"/>
    <w:rsid w:val="00774BA0"/>
    <w:rsid w:val="0079047F"/>
    <w:rsid w:val="007D216C"/>
    <w:rsid w:val="007E7E3B"/>
    <w:rsid w:val="007F0CF2"/>
    <w:rsid w:val="007F6AA6"/>
    <w:rsid w:val="007F7B40"/>
    <w:rsid w:val="00826844"/>
    <w:rsid w:val="00830914"/>
    <w:rsid w:val="008402EA"/>
    <w:rsid w:val="00841289"/>
    <w:rsid w:val="0084383D"/>
    <w:rsid w:val="00852F81"/>
    <w:rsid w:val="00853188"/>
    <w:rsid w:val="00862A17"/>
    <w:rsid w:val="00867F31"/>
    <w:rsid w:val="0089469C"/>
    <w:rsid w:val="00897AD6"/>
    <w:rsid w:val="00897D9F"/>
    <w:rsid w:val="008A39D5"/>
    <w:rsid w:val="008B7730"/>
    <w:rsid w:val="008B7B09"/>
    <w:rsid w:val="008C1A7B"/>
    <w:rsid w:val="008E064A"/>
    <w:rsid w:val="008E180F"/>
    <w:rsid w:val="008F6C92"/>
    <w:rsid w:val="00900F51"/>
    <w:rsid w:val="00901497"/>
    <w:rsid w:val="0091309E"/>
    <w:rsid w:val="00921DCB"/>
    <w:rsid w:val="0093750C"/>
    <w:rsid w:val="00946E7D"/>
    <w:rsid w:val="0094724F"/>
    <w:rsid w:val="009958E1"/>
    <w:rsid w:val="009966C0"/>
    <w:rsid w:val="009A32FC"/>
    <w:rsid w:val="00A04D39"/>
    <w:rsid w:val="00A209CE"/>
    <w:rsid w:val="00A24185"/>
    <w:rsid w:val="00A3457C"/>
    <w:rsid w:val="00A502AE"/>
    <w:rsid w:val="00A64859"/>
    <w:rsid w:val="00A65F37"/>
    <w:rsid w:val="00A72988"/>
    <w:rsid w:val="00A752B1"/>
    <w:rsid w:val="00A82EC5"/>
    <w:rsid w:val="00A866EC"/>
    <w:rsid w:val="00A86730"/>
    <w:rsid w:val="00AB41EF"/>
    <w:rsid w:val="00AC1913"/>
    <w:rsid w:val="00B04BA2"/>
    <w:rsid w:val="00B153D8"/>
    <w:rsid w:val="00B7228F"/>
    <w:rsid w:val="00B7656B"/>
    <w:rsid w:val="00B92A3F"/>
    <w:rsid w:val="00B94F0B"/>
    <w:rsid w:val="00BA4A98"/>
    <w:rsid w:val="00BA7B2F"/>
    <w:rsid w:val="00BB1775"/>
    <w:rsid w:val="00BE0B8C"/>
    <w:rsid w:val="00C1038C"/>
    <w:rsid w:val="00C211ED"/>
    <w:rsid w:val="00C23587"/>
    <w:rsid w:val="00C32095"/>
    <w:rsid w:val="00C54A4F"/>
    <w:rsid w:val="00C563DD"/>
    <w:rsid w:val="00C572D4"/>
    <w:rsid w:val="00C65626"/>
    <w:rsid w:val="00C65DD3"/>
    <w:rsid w:val="00C73692"/>
    <w:rsid w:val="00C80402"/>
    <w:rsid w:val="00C91595"/>
    <w:rsid w:val="00C91FDA"/>
    <w:rsid w:val="00C9523B"/>
    <w:rsid w:val="00CA56AD"/>
    <w:rsid w:val="00CA6D8D"/>
    <w:rsid w:val="00CC224C"/>
    <w:rsid w:val="00CD2220"/>
    <w:rsid w:val="00CE743B"/>
    <w:rsid w:val="00CE7B19"/>
    <w:rsid w:val="00D31581"/>
    <w:rsid w:val="00D3633D"/>
    <w:rsid w:val="00D4119D"/>
    <w:rsid w:val="00D47007"/>
    <w:rsid w:val="00D542AB"/>
    <w:rsid w:val="00D61430"/>
    <w:rsid w:val="00D63867"/>
    <w:rsid w:val="00D87785"/>
    <w:rsid w:val="00DA05D7"/>
    <w:rsid w:val="00DB4C45"/>
    <w:rsid w:val="00DC29D8"/>
    <w:rsid w:val="00DC5B47"/>
    <w:rsid w:val="00DE5C2D"/>
    <w:rsid w:val="00DE6E0E"/>
    <w:rsid w:val="00E0452A"/>
    <w:rsid w:val="00E14B26"/>
    <w:rsid w:val="00E263F2"/>
    <w:rsid w:val="00E2782F"/>
    <w:rsid w:val="00E43153"/>
    <w:rsid w:val="00E45665"/>
    <w:rsid w:val="00E520E9"/>
    <w:rsid w:val="00E60AF8"/>
    <w:rsid w:val="00E631D2"/>
    <w:rsid w:val="00E7044C"/>
    <w:rsid w:val="00E77054"/>
    <w:rsid w:val="00E8522C"/>
    <w:rsid w:val="00E93BF1"/>
    <w:rsid w:val="00E9790D"/>
    <w:rsid w:val="00EB306B"/>
    <w:rsid w:val="00EB53FC"/>
    <w:rsid w:val="00EC1A9D"/>
    <w:rsid w:val="00EC21E1"/>
    <w:rsid w:val="00EC3E32"/>
    <w:rsid w:val="00ED584F"/>
    <w:rsid w:val="00EE1A69"/>
    <w:rsid w:val="00F04DC1"/>
    <w:rsid w:val="00F06874"/>
    <w:rsid w:val="00F35125"/>
    <w:rsid w:val="00F504AD"/>
    <w:rsid w:val="00F53C1B"/>
    <w:rsid w:val="00F65C38"/>
    <w:rsid w:val="00F770D0"/>
    <w:rsid w:val="00F77171"/>
    <w:rsid w:val="00F82AE5"/>
    <w:rsid w:val="00FA380A"/>
    <w:rsid w:val="00FD1D46"/>
    <w:rsid w:val="00FE1376"/>
    <w:rsid w:val="00FF141C"/>
    <w:rsid w:val="00FF408C"/>
    <w:rsid w:val="00FF57DE"/>
    <w:rsid w:val="00FF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7305"/>
  <w15:chartTrackingRefBased/>
  <w15:docId w15:val="{BB4F880C-740B-448F-8641-8A9421C1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913"/>
    <w:pPr>
      <w:spacing w:after="0" w:line="360" w:lineRule="auto"/>
      <w:jc w:val="both"/>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AC1913"/>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1913"/>
    <w:rPr>
      <w:rFonts w:ascii="Arial" w:eastAsia="Times New Roman" w:hAnsi="Arial" w:cs="Arial"/>
      <w:i/>
      <w:iCs/>
      <w:sz w:val="28"/>
      <w:szCs w:val="24"/>
      <w:lang w:val="en-GB"/>
    </w:rPr>
  </w:style>
  <w:style w:type="paragraph" w:styleId="Header">
    <w:name w:val="header"/>
    <w:basedOn w:val="Normal"/>
    <w:link w:val="HeaderChar"/>
    <w:uiPriority w:val="99"/>
    <w:rsid w:val="00AC1913"/>
    <w:pPr>
      <w:tabs>
        <w:tab w:val="center" w:pos="4153"/>
        <w:tab w:val="right" w:pos="8306"/>
      </w:tabs>
    </w:pPr>
  </w:style>
  <w:style w:type="character" w:customStyle="1" w:styleId="HeaderChar">
    <w:name w:val="Header Char"/>
    <w:basedOn w:val="DefaultParagraphFont"/>
    <w:link w:val="Header"/>
    <w:uiPriority w:val="99"/>
    <w:rsid w:val="00AC1913"/>
    <w:rPr>
      <w:rFonts w:ascii="Times New Roman" w:eastAsia="Times New Roman" w:hAnsi="Times New Roman" w:cs="Times New Roman"/>
      <w:sz w:val="24"/>
      <w:szCs w:val="24"/>
      <w:lang w:val="en-GB"/>
    </w:rPr>
  </w:style>
  <w:style w:type="character" w:styleId="PageNumber">
    <w:name w:val="page number"/>
    <w:basedOn w:val="DefaultParagraphFont"/>
    <w:rsid w:val="00AC1913"/>
    <w:rPr>
      <w:rFonts w:cs="Times New Roman"/>
    </w:rPr>
  </w:style>
  <w:style w:type="paragraph" w:styleId="FootnoteText">
    <w:name w:val="footnote text"/>
    <w:basedOn w:val="Normal"/>
    <w:link w:val="FootnoteTextChar"/>
    <w:uiPriority w:val="99"/>
    <w:rsid w:val="00AC1913"/>
    <w:rPr>
      <w:sz w:val="20"/>
      <w:szCs w:val="20"/>
    </w:rPr>
  </w:style>
  <w:style w:type="character" w:customStyle="1" w:styleId="FootnoteTextChar">
    <w:name w:val="Footnote Text Char"/>
    <w:basedOn w:val="DefaultParagraphFont"/>
    <w:link w:val="FootnoteText"/>
    <w:uiPriority w:val="99"/>
    <w:rsid w:val="00AC1913"/>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AC1913"/>
    <w:pPr>
      <w:ind w:left="720"/>
      <w:contextualSpacing/>
    </w:pPr>
  </w:style>
  <w:style w:type="character" w:styleId="FootnoteReference">
    <w:name w:val="footnote reference"/>
    <w:basedOn w:val="DefaultParagraphFont"/>
    <w:uiPriority w:val="99"/>
    <w:semiHidden/>
    <w:unhideWhenUsed/>
    <w:rsid w:val="00AC1913"/>
    <w:rPr>
      <w:vertAlign w:val="superscript"/>
    </w:rPr>
  </w:style>
  <w:style w:type="paragraph" w:styleId="BalloonText">
    <w:name w:val="Balloon Text"/>
    <w:basedOn w:val="Normal"/>
    <w:link w:val="BalloonTextChar"/>
    <w:uiPriority w:val="99"/>
    <w:semiHidden/>
    <w:unhideWhenUsed/>
    <w:rsid w:val="008B77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30"/>
    <w:rPr>
      <w:rFonts w:ascii="Segoe UI" w:eastAsia="Times New Roman" w:hAnsi="Segoe UI" w:cs="Segoe UI"/>
      <w:sz w:val="18"/>
      <w:szCs w:val="18"/>
      <w:lang w:val="en-GB"/>
    </w:rPr>
  </w:style>
  <w:style w:type="paragraph" w:customStyle="1" w:styleId="bodytext">
    <w:name w:val="bodytext"/>
    <w:basedOn w:val="Normal"/>
    <w:rsid w:val="00A82EC5"/>
    <w:pPr>
      <w:spacing w:before="100" w:beforeAutospacing="1" w:after="100" w:afterAutospacing="1" w:line="240" w:lineRule="auto"/>
      <w:jc w:val="left"/>
    </w:pPr>
    <w:rPr>
      <w:lang w:val="en-US"/>
    </w:rPr>
  </w:style>
  <w:style w:type="paragraph" w:customStyle="1" w:styleId="qt-1">
    <w:name w:val="qt-1"/>
    <w:basedOn w:val="Normal"/>
    <w:rsid w:val="00A82EC5"/>
    <w:pPr>
      <w:spacing w:before="100" w:beforeAutospacing="1" w:after="100" w:afterAutospacing="1" w:line="240" w:lineRule="auto"/>
      <w:jc w:val="left"/>
    </w:pPr>
    <w:rPr>
      <w:lang w:val="en-US"/>
    </w:rPr>
  </w:style>
  <w:style w:type="character" w:customStyle="1" w:styleId="mc">
    <w:name w:val="mc"/>
    <w:basedOn w:val="DefaultParagraphFont"/>
    <w:rsid w:val="00A752B1"/>
  </w:style>
  <w:style w:type="character" w:styleId="Hyperlink">
    <w:name w:val="Hyperlink"/>
    <w:basedOn w:val="DefaultParagraphFont"/>
    <w:uiPriority w:val="99"/>
    <w:semiHidden/>
    <w:unhideWhenUsed/>
    <w:rsid w:val="00A65F37"/>
    <w:rPr>
      <w:color w:val="0000FF"/>
      <w:u w:val="single"/>
    </w:rPr>
  </w:style>
  <w:style w:type="paragraph" w:styleId="Revision">
    <w:name w:val="Revision"/>
    <w:hidden/>
    <w:uiPriority w:val="99"/>
    <w:semiHidden/>
    <w:rsid w:val="000D3C1E"/>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6493">
      <w:bodyDiv w:val="1"/>
      <w:marLeft w:val="0"/>
      <w:marRight w:val="0"/>
      <w:marTop w:val="0"/>
      <w:marBottom w:val="0"/>
      <w:divBdr>
        <w:top w:val="none" w:sz="0" w:space="0" w:color="auto"/>
        <w:left w:val="none" w:sz="0" w:space="0" w:color="auto"/>
        <w:bottom w:val="none" w:sz="0" w:space="0" w:color="auto"/>
        <w:right w:val="none" w:sz="0" w:space="0" w:color="auto"/>
      </w:divBdr>
    </w:div>
    <w:div w:id="1285696382">
      <w:bodyDiv w:val="1"/>
      <w:marLeft w:val="0"/>
      <w:marRight w:val="0"/>
      <w:marTop w:val="0"/>
      <w:marBottom w:val="0"/>
      <w:divBdr>
        <w:top w:val="none" w:sz="0" w:space="0" w:color="auto"/>
        <w:left w:val="none" w:sz="0" w:space="0" w:color="auto"/>
        <w:bottom w:val="none" w:sz="0" w:space="0" w:color="auto"/>
        <w:right w:val="none" w:sz="0" w:space="0" w:color="auto"/>
      </w:divBdr>
      <w:divsChild>
        <w:div w:id="1608467300">
          <w:marLeft w:val="0"/>
          <w:marRight w:val="0"/>
          <w:marTop w:val="120"/>
          <w:marBottom w:val="0"/>
          <w:divBdr>
            <w:top w:val="none" w:sz="0" w:space="0" w:color="auto"/>
            <w:left w:val="none" w:sz="0" w:space="0" w:color="auto"/>
            <w:bottom w:val="none" w:sz="0" w:space="0" w:color="auto"/>
            <w:right w:val="none" w:sz="0" w:space="0" w:color="auto"/>
          </w:divBdr>
        </w:div>
        <w:div w:id="7491985">
          <w:marLeft w:val="0"/>
          <w:marRight w:val="0"/>
          <w:marTop w:val="120"/>
          <w:marBottom w:val="0"/>
          <w:divBdr>
            <w:top w:val="none" w:sz="0" w:space="0" w:color="auto"/>
            <w:left w:val="none" w:sz="0" w:space="0" w:color="auto"/>
            <w:bottom w:val="none" w:sz="0" w:space="0" w:color="auto"/>
            <w:right w:val="none" w:sz="0" w:space="0" w:color="auto"/>
          </w:divBdr>
        </w:div>
        <w:div w:id="1212956597">
          <w:marLeft w:val="0"/>
          <w:marRight w:val="0"/>
          <w:marTop w:val="240"/>
          <w:marBottom w:val="24"/>
          <w:divBdr>
            <w:top w:val="single" w:sz="8" w:space="2" w:color="808080"/>
            <w:left w:val="none" w:sz="0" w:space="0" w:color="auto"/>
            <w:bottom w:val="none" w:sz="0" w:space="0" w:color="auto"/>
            <w:right w:val="none" w:sz="0" w:space="0" w:color="auto"/>
          </w:divBdr>
        </w:div>
        <w:div w:id="346491361">
          <w:marLeft w:val="0"/>
          <w:marRight w:val="0"/>
          <w:marTop w:val="120"/>
          <w:marBottom w:val="0"/>
          <w:divBdr>
            <w:top w:val="none" w:sz="0" w:space="0" w:color="auto"/>
            <w:left w:val="none" w:sz="0" w:space="0" w:color="auto"/>
            <w:bottom w:val="none" w:sz="0" w:space="0" w:color="auto"/>
            <w:right w:val="none" w:sz="0" w:space="0" w:color="auto"/>
          </w:divBdr>
        </w:div>
        <w:div w:id="15330132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6FFE3-4C92-44B0-89BA-BBF88F49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3756</Words>
  <Characters>21414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Nolwazi Mabindla-Boqwana</dc:creator>
  <cp:keywords/>
  <dc:description/>
  <cp:lastModifiedBy>Ayanda Mdletshe</cp:lastModifiedBy>
  <cp:revision>2</cp:revision>
  <cp:lastPrinted>2022-10-28T07:21:00Z</cp:lastPrinted>
  <dcterms:created xsi:type="dcterms:W3CDTF">2022-10-28T08:10:00Z</dcterms:created>
  <dcterms:modified xsi:type="dcterms:W3CDTF">2022-10-28T08:10:00Z</dcterms:modified>
</cp:coreProperties>
</file>