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66DD" w14:textId="77777777" w:rsidR="006E1142" w:rsidRPr="004C4D70" w:rsidRDefault="006E1142" w:rsidP="00384061">
      <w:pPr>
        <w:jc w:val="center"/>
        <w:rPr>
          <w:rFonts w:ascii="Arial" w:eastAsiaTheme="minorEastAsia" w:hAnsi="Arial" w:cs="Arial"/>
          <w:b/>
          <w:bCs/>
          <w:color w:val="221E1F"/>
          <w:sz w:val="24"/>
          <w:szCs w:val="24"/>
          <w:lang w:val="en-US"/>
        </w:rPr>
      </w:pPr>
      <w:bookmarkStart w:id="0" w:name="_GoBack"/>
      <w:bookmarkEnd w:id="0"/>
      <w:r w:rsidRPr="0091476C">
        <w:rPr>
          <w:rFonts w:ascii="Arial" w:eastAsia="MS Mincho" w:hAnsi="Arial" w:cs="Arial"/>
          <w:noProof/>
          <w:sz w:val="24"/>
          <w:szCs w:val="24"/>
          <w:lang w:eastAsia="en-ZA"/>
        </w:rPr>
        <w:drawing>
          <wp:anchor distT="0" distB="0" distL="114300" distR="114300" simplePos="0" relativeHeight="251659264" behindDoc="0" locked="0" layoutInCell="1" allowOverlap="1" wp14:anchorId="15F24101" wp14:editId="09B47C16">
            <wp:simplePos x="0" y="0"/>
            <wp:positionH relativeFrom="column">
              <wp:posOffset>2533650</wp:posOffset>
            </wp:positionH>
            <wp:positionV relativeFrom="paragraph">
              <wp:posOffset>76200</wp:posOffset>
            </wp:positionV>
            <wp:extent cx="740410" cy="923925"/>
            <wp:effectExtent l="0" t="0" r="2540" b="952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923925"/>
                    </a:xfrm>
                    <a:prstGeom prst="rect">
                      <a:avLst/>
                    </a:prstGeom>
                    <a:noFill/>
                  </pic:spPr>
                </pic:pic>
              </a:graphicData>
            </a:graphic>
          </wp:anchor>
        </w:drawing>
      </w:r>
      <w:r w:rsidRPr="004C4D70">
        <w:rPr>
          <w:rFonts w:ascii="Arial" w:eastAsiaTheme="minorEastAsia" w:hAnsi="Arial" w:cs="Arial"/>
          <w:b/>
          <w:bCs/>
          <w:color w:val="221E1F"/>
          <w:sz w:val="24"/>
          <w:szCs w:val="24"/>
          <w:lang w:val="en-US"/>
        </w:rPr>
        <w:t>THE SUPREME COURT OF APPEAL OF SOUTH AFRICA</w:t>
      </w:r>
    </w:p>
    <w:p w14:paraId="67F1061F" w14:textId="77777777" w:rsidR="006E1142" w:rsidRPr="004C4D70" w:rsidRDefault="006E1142" w:rsidP="00384061">
      <w:pPr>
        <w:spacing w:after="120"/>
        <w:jc w:val="center"/>
        <w:outlineLvl w:val="0"/>
        <w:rPr>
          <w:rFonts w:ascii="Arial" w:eastAsiaTheme="minorEastAsia" w:hAnsi="Arial" w:cs="Arial"/>
          <w:b/>
          <w:sz w:val="24"/>
          <w:szCs w:val="24"/>
          <w:lang w:val="en-US"/>
        </w:rPr>
      </w:pPr>
      <w:r w:rsidRPr="004C4D70">
        <w:rPr>
          <w:rFonts w:ascii="Arial" w:eastAsiaTheme="minorEastAsia" w:hAnsi="Arial" w:cs="Arial"/>
          <w:b/>
          <w:sz w:val="24"/>
          <w:szCs w:val="24"/>
          <w:lang w:val="en-US"/>
        </w:rPr>
        <w:t>JUDGMENT</w:t>
      </w:r>
    </w:p>
    <w:p w14:paraId="2484CB4D" w14:textId="77777777" w:rsidR="006E1142" w:rsidRPr="004C4D70" w:rsidRDefault="006E1142" w:rsidP="00384061">
      <w:pPr>
        <w:jc w:val="right"/>
        <w:outlineLvl w:val="0"/>
        <w:rPr>
          <w:rFonts w:ascii="Arial" w:eastAsiaTheme="minorEastAsia" w:hAnsi="Arial" w:cs="Arial"/>
          <w:sz w:val="24"/>
          <w:szCs w:val="24"/>
          <w:lang w:val="en-US"/>
        </w:rPr>
      </w:pPr>
    </w:p>
    <w:p w14:paraId="1577FC00" w14:textId="77777777" w:rsidR="006E1142" w:rsidRPr="004C4D70" w:rsidRDefault="006E1142" w:rsidP="00384061">
      <w:pPr>
        <w:ind w:left="720" w:firstLine="720"/>
        <w:jc w:val="right"/>
        <w:outlineLvl w:val="0"/>
        <w:rPr>
          <w:rFonts w:ascii="Arial" w:eastAsiaTheme="minorEastAsia" w:hAnsi="Arial" w:cs="Arial"/>
          <w:b/>
          <w:sz w:val="24"/>
          <w:szCs w:val="24"/>
          <w:lang w:val="en-US"/>
        </w:rPr>
      </w:pPr>
      <w:r w:rsidRPr="004C4D70">
        <w:rPr>
          <w:rFonts w:ascii="Arial" w:eastAsiaTheme="minorEastAsia" w:hAnsi="Arial" w:cs="Arial"/>
          <w:b/>
          <w:sz w:val="24"/>
          <w:szCs w:val="24"/>
          <w:lang w:val="en-US"/>
        </w:rPr>
        <w:t xml:space="preserve">                  </w:t>
      </w:r>
      <w:r w:rsidRPr="004C4D70">
        <w:rPr>
          <w:rFonts w:ascii="Arial" w:eastAsiaTheme="minorEastAsia" w:hAnsi="Arial" w:cs="Arial"/>
          <w:b/>
          <w:sz w:val="24"/>
          <w:szCs w:val="24"/>
          <w:lang w:val="en-US"/>
        </w:rPr>
        <w:tab/>
        <w:t xml:space="preserve">        </w:t>
      </w:r>
      <w:r w:rsidR="007D4ED3">
        <w:rPr>
          <w:rFonts w:ascii="Arial" w:eastAsiaTheme="minorEastAsia" w:hAnsi="Arial" w:cs="Arial"/>
          <w:b/>
          <w:sz w:val="24"/>
          <w:szCs w:val="24"/>
          <w:lang w:val="en-US"/>
        </w:rPr>
        <w:t xml:space="preserve">   </w:t>
      </w:r>
      <w:r w:rsidR="00384061">
        <w:rPr>
          <w:rFonts w:ascii="Arial" w:eastAsiaTheme="minorEastAsia" w:hAnsi="Arial" w:cs="Arial"/>
          <w:b/>
          <w:sz w:val="24"/>
          <w:szCs w:val="24"/>
          <w:lang w:val="en-US"/>
        </w:rPr>
        <w:t xml:space="preserve">                              </w:t>
      </w:r>
      <w:r w:rsidR="00E728DC">
        <w:rPr>
          <w:rFonts w:ascii="Arial" w:eastAsiaTheme="minorEastAsia" w:hAnsi="Arial" w:cs="Arial"/>
          <w:b/>
          <w:sz w:val="24"/>
          <w:szCs w:val="24"/>
          <w:lang w:val="en-US"/>
        </w:rPr>
        <w:t>Reportable</w:t>
      </w:r>
    </w:p>
    <w:p w14:paraId="370B5A3A" w14:textId="77777777" w:rsidR="0091476C" w:rsidRDefault="0091476C" w:rsidP="00384061">
      <w:pPr>
        <w:jc w:val="right"/>
        <w:outlineLvl w:val="0"/>
        <w:rPr>
          <w:rFonts w:ascii="Arial" w:eastAsiaTheme="minorEastAsia" w:hAnsi="Arial" w:cs="Arial"/>
          <w:sz w:val="24"/>
          <w:szCs w:val="24"/>
          <w:lang w:val="en-US"/>
        </w:rPr>
      </w:pPr>
      <w:r w:rsidRPr="004C4D70">
        <w:rPr>
          <w:rFonts w:ascii="Arial" w:eastAsiaTheme="minorEastAsia" w:hAnsi="Arial" w:cs="Arial"/>
          <w:sz w:val="24"/>
          <w:szCs w:val="24"/>
          <w:lang w:val="en-US"/>
        </w:rPr>
        <w:t xml:space="preserve">Case No: </w:t>
      </w:r>
      <w:r w:rsidR="00E80603">
        <w:rPr>
          <w:rFonts w:ascii="Arial" w:eastAsiaTheme="minorEastAsia" w:hAnsi="Arial" w:cs="Arial"/>
          <w:sz w:val="24"/>
          <w:szCs w:val="24"/>
          <w:lang w:val="en-US"/>
        </w:rPr>
        <w:t>5</w:t>
      </w:r>
      <w:r w:rsidR="003461A5">
        <w:rPr>
          <w:rFonts w:ascii="Arial" w:eastAsiaTheme="minorEastAsia" w:hAnsi="Arial" w:cs="Arial"/>
          <w:sz w:val="24"/>
          <w:szCs w:val="24"/>
          <w:lang w:val="en-US"/>
        </w:rPr>
        <w:t>16/2021</w:t>
      </w:r>
    </w:p>
    <w:p w14:paraId="49912ED3" w14:textId="77777777" w:rsidR="00FB6577" w:rsidRPr="004C4D70" w:rsidRDefault="00FB6577" w:rsidP="00384061">
      <w:pPr>
        <w:jc w:val="right"/>
        <w:outlineLvl w:val="0"/>
        <w:rPr>
          <w:rFonts w:ascii="Arial" w:eastAsiaTheme="minorEastAsia" w:hAnsi="Arial" w:cs="Arial"/>
          <w:sz w:val="24"/>
          <w:szCs w:val="24"/>
          <w:lang w:val="en-US"/>
        </w:rPr>
      </w:pPr>
    </w:p>
    <w:p w14:paraId="61BE20A1" w14:textId="77777777" w:rsidR="006E1142" w:rsidRPr="004C4D70" w:rsidRDefault="006E1142" w:rsidP="00384061">
      <w:pPr>
        <w:spacing w:after="240"/>
        <w:outlineLvl w:val="0"/>
        <w:rPr>
          <w:rFonts w:ascii="Arial" w:eastAsiaTheme="minorEastAsia" w:hAnsi="Arial" w:cs="Arial"/>
          <w:sz w:val="24"/>
          <w:szCs w:val="24"/>
          <w:lang w:val="en-US"/>
        </w:rPr>
      </w:pPr>
      <w:r w:rsidRPr="004C4D70">
        <w:rPr>
          <w:rFonts w:ascii="Arial" w:eastAsiaTheme="minorEastAsia" w:hAnsi="Arial" w:cs="Arial"/>
          <w:sz w:val="24"/>
          <w:szCs w:val="24"/>
          <w:lang w:val="en-US"/>
        </w:rPr>
        <w:t>In the matter between:</w:t>
      </w:r>
    </w:p>
    <w:p w14:paraId="55F6A15F" w14:textId="77777777" w:rsidR="008F1FAC" w:rsidRDefault="003461A5" w:rsidP="008F1FAC">
      <w:pPr>
        <w:outlineLvl w:val="0"/>
        <w:rPr>
          <w:rFonts w:ascii="Arial" w:eastAsiaTheme="minorEastAsia" w:hAnsi="Arial" w:cs="Arial"/>
          <w:b/>
          <w:sz w:val="24"/>
          <w:szCs w:val="24"/>
          <w:lang w:val="en-US"/>
        </w:rPr>
      </w:pPr>
      <w:r>
        <w:rPr>
          <w:rFonts w:ascii="Arial" w:eastAsiaTheme="minorEastAsia" w:hAnsi="Arial" w:cs="Arial"/>
          <w:b/>
          <w:sz w:val="24"/>
          <w:szCs w:val="24"/>
          <w:lang w:val="en-US"/>
        </w:rPr>
        <w:t>THE COMMISSIONER FOR THE</w:t>
      </w:r>
      <w:r w:rsidR="008F1FAC">
        <w:rPr>
          <w:rFonts w:ascii="Arial" w:eastAsiaTheme="minorEastAsia" w:hAnsi="Arial" w:cs="Arial"/>
          <w:b/>
          <w:sz w:val="24"/>
          <w:szCs w:val="24"/>
          <w:lang w:val="en-US"/>
        </w:rPr>
        <w:t xml:space="preserve"> </w:t>
      </w:r>
      <w:r>
        <w:rPr>
          <w:rFonts w:ascii="Arial" w:eastAsiaTheme="minorEastAsia" w:hAnsi="Arial" w:cs="Arial"/>
          <w:b/>
          <w:sz w:val="24"/>
          <w:szCs w:val="24"/>
          <w:lang w:val="en-US"/>
        </w:rPr>
        <w:t xml:space="preserve">SOUTH AFRICAN </w:t>
      </w:r>
    </w:p>
    <w:p w14:paraId="2AEA9E8D" w14:textId="70515647" w:rsidR="00FB6577" w:rsidRPr="004C4D70" w:rsidRDefault="003461A5" w:rsidP="00FB6577">
      <w:pPr>
        <w:outlineLvl w:val="0"/>
        <w:rPr>
          <w:rFonts w:ascii="Arial" w:eastAsiaTheme="minorEastAsia" w:hAnsi="Arial" w:cs="Arial"/>
          <w:b/>
          <w:sz w:val="24"/>
          <w:szCs w:val="24"/>
          <w:lang w:val="en-US"/>
        </w:rPr>
      </w:pPr>
      <w:r>
        <w:rPr>
          <w:rFonts w:ascii="Arial" w:eastAsiaTheme="minorEastAsia" w:hAnsi="Arial" w:cs="Arial"/>
          <w:b/>
          <w:sz w:val="24"/>
          <w:szCs w:val="24"/>
          <w:lang w:val="en-US"/>
        </w:rPr>
        <w:t>REVENUE SERVICE</w:t>
      </w:r>
      <w:r w:rsidRPr="004C4D70">
        <w:rPr>
          <w:rFonts w:ascii="Arial" w:eastAsiaTheme="minorEastAsia" w:hAnsi="Arial" w:cs="Arial"/>
          <w:b/>
          <w:sz w:val="24"/>
          <w:szCs w:val="24"/>
          <w:lang w:val="en-US"/>
        </w:rPr>
        <w:t xml:space="preserve"> </w:t>
      </w:r>
      <w:r>
        <w:rPr>
          <w:rFonts w:ascii="Arial" w:eastAsiaTheme="minorEastAsia" w:hAnsi="Arial" w:cs="Arial"/>
          <w:b/>
          <w:sz w:val="24"/>
          <w:szCs w:val="24"/>
          <w:lang w:val="en-US"/>
        </w:rPr>
        <w:t xml:space="preserve">                                     </w:t>
      </w:r>
      <w:r w:rsidR="00384061">
        <w:rPr>
          <w:rFonts w:ascii="Arial" w:eastAsiaTheme="minorEastAsia" w:hAnsi="Arial" w:cs="Arial"/>
          <w:b/>
          <w:sz w:val="24"/>
          <w:szCs w:val="24"/>
          <w:lang w:val="en-US"/>
        </w:rPr>
        <w:t xml:space="preserve">         </w:t>
      </w:r>
      <w:r w:rsidR="008F1FAC">
        <w:rPr>
          <w:rFonts w:ascii="Arial" w:eastAsiaTheme="minorEastAsia" w:hAnsi="Arial" w:cs="Arial"/>
          <w:b/>
          <w:sz w:val="24"/>
          <w:szCs w:val="24"/>
          <w:lang w:val="en-US"/>
        </w:rPr>
        <w:t xml:space="preserve">                              </w:t>
      </w:r>
      <w:r w:rsidR="00E80603" w:rsidRPr="004C4D70">
        <w:rPr>
          <w:rFonts w:ascii="Arial" w:eastAsiaTheme="minorEastAsia" w:hAnsi="Arial" w:cs="Arial"/>
          <w:b/>
          <w:sz w:val="24"/>
          <w:szCs w:val="24"/>
          <w:lang w:val="en-US"/>
        </w:rPr>
        <w:t>APPELLANT</w:t>
      </w:r>
    </w:p>
    <w:p w14:paraId="4A520DD5" w14:textId="558B689A" w:rsidR="00FB6577" w:rsidRPr="004C4D70" w:rsidRDefault="00FB6577" w:rsidP="00285EBE">
      <w:pPr>
        <w:spacing w:after="240"/>
        <w:outlineLvl w:val="0"/>
        <w:rPr>
          <w:rFonts w:ascii="Arial" w:eastAsiaTheme="minorEastAsia" w:hAnsi="Arial" w:cs="Arial"/>
          <w:sz w:val="24"/>
          <w:szCs w:val="24"/>
          <w:lang w:val="en-US"/>
        </w:rPr>
      </w:pPr>
      <w:r>
        <w:rPr>
          <w:rFonts w:ascii="Arial" w:eastAsiaTheme="minorEastAsia" w:hAnsi="Arial" w:cs="Arial"/>
          <w:sz w:val="24"/>
          <w:szCs w:val="24"/>
          <w:lang w:val="en-US"/>
        </w:rPr>
        <w:t>a</w:t>
      </w:r>
      <w:r w:rsidR="006E1142" w:rsidRPr="004C4D70">
        <w:rPr>
          <w:rFonts w:ascii="Arial" w:eastAsiaTheme="minorEastAsia" w:hAnsi="Arial" w:cs="Arial"/>
          <w:sz w:val="24"/>
          <w:szCs w:val="24"/>
          <w:lang w:val="en-US"/>
        </w:rPr>
        <w:t>nd</w:t>
      </w:r>
    </w:p>
    <w:p w14:paraId="48E97FDE" w14:textId="77777777" w:rsidR="00692255" w:rsidRDefault="003461A5" w:rsidP="00384061">
      <w:pPr>
        <w:outlineLvl w:val="0"/>
        <w:rPr>
          <w:rFonts w:ascii="Arial" w:eastAsiaTheme="minorEastAsia" w:hAnsi="Arial" w:cs="Arial"/>
          <w:b/>
          <w:sz w:val="24"/>
          <w:szCs w:val="24"/>
          <w:lang w:val="en-US"/>
        </w:rPr>
      </w:pPr>
      <w:r>
        <w:rPr>
          <w:rFonts w:ascii="Arial" w:eastAsiaTheme="minorEastAsia" w:hAnsi="Arial" w:cs="Arial"/>
          <w:b/>
          <w:sz w:val="24"/>
          <w:szCs w:val="24"/>
          <w:lang w:val="en-US"/>
        </w:rPr>
        <w:t xml:space="preserve">THE THISTLE TRUST       </w:t>
      </w:r>
      <w:r w:rsidR="00E80603">
        <w:rPr>
          <w:rFonts w:ascii="Arial" w:eastAsiaTheme="minorEastAsia" w:hAnsi="Arial" w:cs="Arial"/>
          <w:b/>
          <w:sz w:val="24"/>
          <w:szCs w:val="24"/>
          <w:lang w:val="en-US"/>
        </w:rPr>
        <w:t xml:space="preserve"> </w:t>
      </w:r>
      <w:r w:rsidR="00904ACB" w:rsidRPr="004C4D70">
        <w:rPr>
          <w:rFonts w:ascii="Arial" w:eastAsiaTheme="minorEastAsia" w:hAnsi="Arial" w:cs="Arial"/>
          <w:b/>
          <w:sz w:val="24"/>
          <w:szCs w:val="24"/>
          <w:lang w:val="en-US"/>
        </w:rPr>
        <w:tab/>
      </w:r>
      <w:r w:rsidR="00764471" w:rsidRPr="004C4D70">
        <w:rPr>
          <w:rFonts w:ascii="Arial" w:eastAsiaTheme="minorEastAsia" w:hAnsi="Arial" w:cs="Arial"/>
          <w:b/>
          <w:sz w:val="24"/>
          <w:szCs w:val="24"/>
          <w:lang w:val="en-US"/>
        </w:rPr>
        <w:t xml:space="preserve"> </w:t>
      </w:r>
      <w:r w:rsidR="00B415DC" w:rsidRPr="004C4D70">
        <w:rPr>
          <w:rFonts w:ascii="Arial" w:eastAsiaTheme="minorEastAsia" w:hAnsi="Arial" w:cs="Arial"/>
          <w:b/>
          <w:sz w:val="24"/>
          <w:szCs w:val="24"/>
          <w:lang w:val="en-US"/>
        </w:rPr>
        <w:tab/>
      </w:r>
      <w:r w:rsidR="00B415DC" w:rsidRPr="004C4D70">
        <w:rPr>
          <w:rFonts w:ascii="Arial" w:eastAsiaTheme="minorEastAsia" w:hAnsi="Arial" w:cs="Arial"/>
          <w:b/>
          <w:sz w:val="24"/>
          <w:szCs w:val="24"/>
          <w:lang w:val="en-US"/>
        </w:rPr>
        <w:tab/>
      </w:r>
      <w:r w:rsidR="00B415DC" w:rsidRPr="004C4D70">
        <w:rPr>
          <w:rFonts w:ascii="Arial" w:eastAsiaTheme="minorEastAsia" w:hAnsi="Arial" w:cs="Arial"/>
          <w:b/>
          <w:sz w:val="24"/>
          <w:szCs w:val="24"/>
          <w:lang w:val="en-US"/>
        </w:rPr>
        <w:tab/>
      </w:r>
      <w:r w:rsidR="00B415DC" w:rsidRPr="004C4D70">
        <w:rPr>
          <w:rFonts w:ascii="Arial" w:eastAsiaTheme="minorEastAsia" w:hAnsi="Arial" w:cs="Arial"/>
          <w:b/>
          <w:sz w:val="24"/>
          <w:szCs w:val="24"/>
          <w:lang w:val="en-US"/>
        </w:rPr>
        <w:tab/>
      </w:r>
      <w:r w:rsidR="00E80603">
        <w:rPr>
          <w:rFonts w:ascii="Arial" w:eastAsiaTheme="minorEastAsia" w:hAnsi="Arial" w:cs="Arial"/>
          <w:b/>
          <w:sz w:val="24"/>
          <w:szCs w:val="24"/>
          <w:lang w:val="en-US"/>
        </w:rPr>
        <w:t xml:space="preserve">     </w:t>
      </w:r>
      <w:r w:rsidR="00384061">
        <w:rPr>
          <w:rFonts w:ascii="Arial" w:eastAsiaTheme="minorEastAsia" w:hAnsi="Arial" w:cs="Arial"/>
          <w:b/>
          <w:sz w:val="24"/>
          <w:szCs w:val="24"/>
          <w:lang w:val="en-US"/>
        </w:rPr>
        <w:t xml:space="preserve">        </w:t>
      </w:r>
      <w:r w:rsidR="003B3CD4" w:rsidRPr="004C4D70">
        <w:rPr>
          <w:rFonts w:ascii="Arial" w:eastAsiaTheme="minorEastAsia" w:hAnsi="Arial" w:cs="Arial"/>
          <w:b/>
          <w:sz w:val="24"/>
          <w:szCs w:val="24"/>
          <w:lang w:val="en-US"/>
        </w:rPr>
        <w:t>RESPONDENT</w:t>
      </w:r>
    </w:p>
    <w:p w14:paraId="40DB392C" w14:textId="77777777" w:rsidR="008F1FAC" w:rsidRPr="004C4D70" w:rsidRDefault="008F1FAC" w:rsidP="00384061">
      <w:pPr>
        <w:outlineLvl w:val="0"/>
        <w:rPr>
          <w:rFonts w:ascii="Arial" w:eastAsiaTheme="minorEastAsia" w:hAnsi="Arial" w:cs="Arial"/>
          <w:b/>
          <w:sz w:val="24"/>
          <w:szCs w:val="24"/>
          <w:lang w:val="en-US"/>
        </w:rPr>
      </w:pPr>
    </w:p>
    <w:p w14:paraId="1E0F5728" w14:textId="0324AE2E" w:rsidR="00384061" w:rsidRDefault="00B65CEA" w:rsidP="00285EBE">
      <w:pPr>
        <w:ind w:left="2160" w:hanging="2160"/>
        <w:outlineLvl w:val="0"/>
        <w:rPr>
          <w:rFonts w:ascii="Arial" w:eastAsiaTheme="minorEastAsia" w:hAnsi="Arial" w:cs="Arial"/>
          <w:b/>
          <w:sz w:val="24"/>
          <w:szCs w:val="24"/>
          <w:lang w:val="en-US"/>
        </w:rPr>
      </w:pPr>
      <w:r w:rsidRPr="004C4D70">
        <w:rPr>
          <w:rFonts w:ascii="Arial" w:eastAsiaTheme="minorEastAsia" w:hAnsi="Arial" w:cs="Arial"/>
          <w:b/>
          <w:sz w:val="24"/>
          <w:szCs w:val="24"/>
          <w:lang w:val="en-US"/>
        </w:rPr>
        <w:t>Neutral c</w:t>
      </w:r>
      <w:r w:rsidR="006E1142" w:rsidRPr="004C4D70">
        <w:rPr>
          <w:rFonts w:ascii="Arial" w:eastAsiaTheme="minorEastAsia" w:hAnsi="Arial" w:cs="Arial"/>
          <w:b/>
          <w:sz w:val="24"/>
          <w:szCs w:val="24"/>
          <w:lang w:val="en-US"/>
        </w:rPr>
        <w:t xml:space="preserve">itation: </w:t>
      </w:r>
      <w:r w:rsidR="00FB6577">
        <w:rPr>
          <w:rFonts w:ascii="Arial" w:eastAsiaTheme="minorEastAsia" w:hAnsi="Arial" w:cs="Arial"/>
          <w:b/>
          <w:sz w:val="24"/>
          <w:szCs w:val="24"/>
          <w:lang w:val="en-US"/>
        </w:rPr>
        <w:tab/>
      </w:r>
      <w:r w:rsidR="003461A5" w:rsidRPr="003461A5">
        <w:rPr>
          <w:rFonts w:ascii="Arial" w:eastAsiaTheme="minorEastAsia" w:hAnsi="Arial" w:cs="Arial"/>
          <w:i/>
          <w:sz w:val="24"/>
          <w:szCs w:val="24"/>
          <w:lang w:val="en-US"/>
        </w:rPr>
        <w:t xml:space="preserve">CSARS </w:t>
      </w:r>
      <w:r w:rsidR="00904ACB" w:rsidRPr="004C4D70">
        <w:rPr>
          <w:rFonts w:ascii="Arial" w:eastAsiaTheme="minorEastAsia" w:hAnsi="Arial" w:cs="Arial"/>
          <w:i/>
          <w:sz w:val="24"/>
          <w:szCs w:val="24"/>
          <w:lang w:val="en-US"/>
        </w:rPr>
        <w:t xml:space="preserve">v </w:t>
      </w:r>
      <w:r w:rsidR="003461A5">
        <w:rPr>
          <w:rFonts w:ascii="Arial" w:eastAsiaTheme="minorEastAsia" w:hAnsi="Arial" w:cs="Arial"/>
          <w:i/>
          <w:sz w:val="24"/>
          <w:szCs w:val="24"/>
          <w:lang w:val="en-US"/>
        </w:rPr>
        <w:t>The Thistle Trust</w:t>
      </w:r>
      <w:r w:rsidR="006E1142" w:rsidRPr="004C4D70">
        <w:rPr>
          <w:rFonts w:ascii="Arial" w:eastAsiaTheme="minorEastAsia" w:hAnsi="Arial" w:cs="Arial"/>
          <w:b/>
          <w:sz w:val="24"/>
          <w:szCs w:val="24"/>
          <w:lang w:val="en-US"/>
        </w:rPr>
        <w:t xml:space="preserve"> </w:t>
      </w:r>
      <w:r w:rsidR="0091476C" w:rsidRPr="004C4D70">
        <w:rPr>
          <w:rFonts w:ascii="Arial" w:eastAsiaTheme="minorEastAsia" w:hAnsi="Arial" w:cs="Arial"/>
          <w:sz w:val="24"/>
          <w:szCs w:val="24"/>
          <w:lang w:val="en-US"/>
        </w:rPr>
        <w:t>(</w:t>
      </w:r>
      <w:r w:rsidR="00E80603">
        <w:rPr>
          <w:rFonts w:ascii="Arial" w:eastAsiaTheme="minorEastAsia" w:hAnsi="Arial" w:cs="Arial"/>
          <w:sz w:val="24"/>
          <w:szCs w:val="24"/>
          <w:lang w:val="en-US"/>
        </w:rPr>
        <w:t>5</w:t>
      </w:r>
      <w:r w:rsidR="003461A5">
        <w:rPr>
          <w:rFonts w:ascii="Arial" w:eastAsiaTheme="minorEastAsia" w:hAnsi="Arial" w:cs="Arial"/>
          <w:sz w:val="24"/>
          <w:szCs w:val="24"/>
          <w:lang w:val="en-US"/>
        </w:rPr>
        <w:t>16/2021</w:t>
      </w:r>
      <w:r w:rsidR="0091476C" w:rsidRPr="004C4D70">
        <w:rPr>
          <w:rFonts w:ascii="Arial" w:eastAsiaTheme="minorEastAsia" w:hAnsi="Arial" w:cs="Arial"/>
          <w:sz w:val="24"/>
          <w:szCs w:val="24"/>
          <w:lang w:val="en-US"/>
        </w:rPr>
        <w:t>)</w:t>
      </w:r>
      <w:r w:rsidR="003461A5">
        <w:rPr>
          <w:rFonts w:ascii="Arial" w:eastAsiaTheme="minorEastAsia" w:hAnsi="Arial" w:cs="Arial"/>
          <w:sz w:val="24"/>
          <w:szCs w:val="24"/>
          <w:lang w:val="en-US"/>
        </w:rPr>
        <w:t xml:space="preserve"> [2022</w:t>
      </w:r>
      <w:r w:rsidR="000121A3" w:rsidRPr="004C4D70">
        <w:rPr>
          <w:rFonts w:ascii="Arial" w:eastAsiaTheme="minorEastAsia" w:hAnsi="Arial" w:cs="Arial"/>
          <w:sz w:val="24"/>
          <w:szCs w:val="24"/>
          <w:lang w:val="en-US"/>
        </w:rPr>
        <w:t xml:space="preserve">] </w:t>
      </w:r>
      <w:r w:rsidR="002255DF" w:rsidRPr="004C4D70">
        <w:rPr>
          <w:rFonts w:ascii="Arial" w:eastAsiaTheme="minorEastAsia" w:hAnsi="Arial" w:cs="Arial"/>
          <w:sz w:val="24"/>
          <w:szCs w:val="24"/>
          <w:lang w:val="en-US"/>
        </w:rPr>
        <w:t>ZASCA</w:t>
      </w:r>
      <w:r w:rsidR="0093210D">
        <w:rPr>
          <w:rFonts w:ascii="Arial" w:eastAsiaTheme="minorEastAsia" w:hAnsi="Arial" w:cs="Arial"/>
          <w:sz w:val="24"/>
          <w:szCs w:val="24"/>
          <w:lang w:val="en-US"/>
        </w:rPr>
        <w:t xml:space="preserve"> </w:t>
      </w:r>
      <w:r w:rsidR="00437B78" w:rsidRPr="00285EBE">
        <w:rPr>
          <w:rFonts w:ascii="Arial" w:eastAsiaTheme="minorEastAsia" w:hAnsi="Arial" w:cs="Arial"/>
          <w:sz w:val="24"/>
          <w:szCs w:val="24"/>
          <w:lang w:val="en-US"/>
        </w:rPr>
        <w:t>153</w:t>
      </w:r>
      <w:r w:rsidR="00437B78">
        <w:rPr>
          <w:rFonts w:ascii="Arial" w:eastAsiaTheme="minorEastAsia" w:hAnsi="Arial" w:cs="Arial"/>
          <w:sz w:val="24"/>
          <w:szCs w:val="24"/>
          <w:lang w:val="en-US"/>
        </w:rPr>
        <w:t xml:space="preserve"> </w:t>
      </w:r>
      <w:r w:rsidR="0093210D">
        <w:rPr>
          <w:rFonts w:ascii="Arial" w:eastAsiaTheme="minorEastAsia" w:hAnsi="Arial" w:cs="Arial"/>
          <w:sz w:val="24"/>
          <w:szCs w:val="24"/>
          <w:lang w:val="en-US"/>
        </w:rPr>
        <w:t xml:space="preserve">(7 </w:t>
      </w:r>
      <w:r w:rsidR="00681CB4">
        <w:rPr>
          <w:rFonts w:ascii="Arial" w:eastAsiaTheme="minorEastAsia" w:hAnsi="Arial" w:cs="Arial"/>
          <w:sz w:val="24"/>
          <w:szCs w:val="24"/>
          <w:lang w:val="en-US"/>
        </w:rPr>
        <w:t>November</w:t>
      </w:r>
      <w:r w:rsidR="003461A5">
        <w:rPr>
          <w:rFonts w:ascii="Arial" w:eastAsiaTheme="minorEastAsia" w:hAnsi="Arial" w:cs="Arial"/>
          <w:sz w:val="24"/>
          <w:szCs w:val="24"/>
          <w:lang w:val="en-US"/>
        </w:rPr>
        <w:t xml:space="preserve"> 2022</w:t>
      </w:r>
      <w:r w:rsidR="0091476C" w:rsidRPr="004C4D70">
        <w:rPr>
          <w:rFonts w:ascii="Arial" w:eastAsiaTheme="minorEastAsia" w:hAnsi="Arial" w:cs="Arial"/>
          <w:sz w:val="24"/>
          <w:szCs w:val="24"/>
          <w:lang w:val="en-US"/>
        </w:rPr>
        <w:t>)</w:t>
      </w:r>
      <w:r w:rsidR="006E1142" w:rsidRPr="004C4D70">
        <w:rPr>
          <w:rFonts w:ascii="Arial" w:eastAsiaTheme="minorEastAsia" w:hAnsi="Arial" w:cs="Arial"/>
          <w:sz w:val="24"/>
          <w:szCs w:val="24"/>
          <w:lang w:val="en-US"/>
        </w:rPr>
        <w:t xml:space="preserve"> </w:t>
      </w:r>
    </w:p>
    <w:p w14:paraId="1110AECB" w14:textId="5581ED08" w:rsidR="00384061" w:rsidRDefault="00B65CEA" w:rsidP="00285EBE">
      <w:pPr>
        <w:ind w:left="1440" w:hanging="1440"/>
        <w:outlineLvl w:val="0"/>
        <w:rPr>
          <w:rFonts w:ascii="Arial" w:eastAsiaTheme="minorEastAsia" w:hAnsi="Arial" w:cs="Arial"/>
          <w:b/>
          <w:sz w:val="24"/>
          <w:szCs w:val="24"/>
          <w:lang w:val="en-US"/>
        </w:rPr>
      </w:pPr>
      <w:r w:rsidRPr="004C4D70">
        <w:rPr>
          <w:rFonts w:ascii="Arial" w:eastAsiaTheme="minorEastAsia" w:hAnsi="Arial" w:cs="Arial"/>
          <w:b/>
          <w:sz w:val="24"/>
          <w:szCs w:val="24"/>
          <w:lang w:val="en-US"/>
        </w:rPr>
        <w:t>Coram</w:t>
      </w:r>
      <w:r w:rsidR="008C17DD" w:rsidRPr="004C4D70">
        <w:rPr>
          <w:rFonts w:ascii="Arial" w:eastAsiaTheme="minorEastAsia" w:hAnsi="Arial" w:cs="Arial"/>
          <w:b/>
          <w:sz w:val="24"/>
          <w:szCs w:val="24"/>
          <w:lang w:val="en-US"/>
        </w:rPr>
        <w:t>:</w:t>
      </w:r>
      <w:r w:rsidR="008C17DD" w:rsidRPr="004C4D70">
        <w:rPr>
          <w:rFonts w:ascii="Arial" w:eastAsiaTheme="minorEastAsia" w:hAnsi="Arial" w:cs="Arial"/>
          <w:b/>
          <w:sz w:val="24"/>
          <w:szCs w:val="24"/>
          <w:lang w:val="en-US"/>
        </w:rPr>
        <w:tab/>
      </w:r>
      <w:r w:rsidR="00F6204E">
        <w:rPr>
          <w:rFonts w:ascii="Arial" w:eastAsiaTheme="minorEastAsia" w:hAnsi="Arial" w:cs="Arial"/>
          <w:sz w:val="24"/>
          <w:szCs w:val="24"/>
          <w:lang w:val="en-US"/>
        </w:rPr>
        <w:t>DAMBUZA</w:t>
      </w:r>
      <w:r w:rsidR="00860869">
        <w:rPr>
          <w:rFonts w:ascii="Arial" w:eastAsiaTheme="minorEastAsia" w:hAnsi="Arial" w:cs="Arial"/>
          <w:sz w:val="24"/>
          <w:szCs w:val="24"/>
          <w:lang w:val="en-US"/>
        </w:rPr>
        <w:t xml:space="preserve"> ADP</w:t>
      </w:r>
      <w:r w:rsidR="00384061">
        <w:rPr>
          <w:rFonts w:ascii="Arial" w:eastAsiaTheme="minorEastAsia" w:hAnsi="Arial" w:cs="Arial"/>
          <w:sz w:val="24"/>
          <w:szCs w:val="24"/>
          <w:lang w:val="en-US"/>
        </w:rPr>
        <w:t xml:space="preserve"> and</w:t>
      </w:r>
      <w:r w:rsidR="00860869">
        <w:rPr>
          <w:rFonts w:ascii="Arial" w:eastAsiaTheme="minorEastAsia" w:hAnsi="Arial" w:cs="Arial"/>
          <w:sz w:val="24"/>
          <w:szCs w:val="24"/>
          <w:lang w:val="en-US"/>
        </w:rPr>
        <w:t xml:space="preserve"> </w:t>
      </w:r>
      <w:r w:rsidR="00F6204E">
        <w:rPr>
          <w:rFonts w:ascii="Arial" w:eastAsiaTheme="minorEastAsia" w:hAnsi="Arial" w:cs="Arial"/>
          <w:sz w:val="24"/>
          <w:szCs w:val="24"/>
          <w:lang w:val="en-US"/>
        </w:rPr>
        <w:t xml:space="preserve">VAN DER MERWE </w:t>
      </w:r>
      <w:r w:rsidR="003461A5">
        <w:rPr>
          <w:rFonts w:ascii="Arial" w:eastAsiaTheme="minorEastAsia" w:hAnsi="Arial" w:cs="Arial"/>
          <w:sz w:val="24"/>
          <w:szCs w:val="24"/>
          <w:lang w:val="en-US"/>
        </w:rPr>
        <w:t xml:space="preserve">and </w:t>
      </w:r>
      <w:r w:rsidR="00F6204E">
        <w:rPr>
          <w:rFonts w:ascii="Arial" w:eastAsiaTheme="minorEastAsia" w:hAnsi="Arial" w:cs="Arial"/>
          <w:sz w:val="24"/>
          <w:szCs w:val="24"/>
          <w:lang w:val="en-US"/>
        </w:rPr>
        <w:t>HUGHES</w:t>
      </w:r>
      <w:r w:rsidR="003461A5">
        <w:rPr>
          <w:rFonts w:ascii="Arial" w:eastAsiaTheme="minorEastAsia" w:hAnsi="Arial" w:cs="Arial"/>
          <w:sz w:val="24"/>
          <w:szCs w:val="24"/>
          <w:lang w:val="en-US"/>
        </w:rPr>
        <w:t xml:space="preserve"> JJA and </w:t>
      </w:r>
      <w:r w:rsidR="00F6204E">
        <w:rPr>
          <w:rFonts w:ascii="Arial" w:eastAsiaTheme="minorEastAsia" w:hAnsi="Arial" w:cs="Arial"/>
          <w:sz w:val="24"/>
          <w:szCs w:val="24"/>
          <w:lang w:val="en-US"/>
        </w:rPr>
        <w:t>GOOSEN</w:t>
      </w:r>
      <w:r w:rsidR="003461A5">
        <w:rPr>
          <w:rFonts w:ascii="Arial" w:eastAsiaTheme="minorEastAsia" w:hAnsi="Arial" w:cs="Arial"/>
          <w:sz w:val="24"/>
          <w:szCs w:val="24"/>
          <w:lang w:val="en-US"/>
        </w:rPr>
        <w:t xml:space="preserve"> and </w:t>
      </w:r>
      <w:r w:rsidR="00F6204E">
        <w:rPr>
          <w:rFonts w:ascii="Arial" w:eastAsiaTheme="minorEastAsia" w:hAnsi="Arial" w:cs="Arial"/>
          <w:sz w:val="24"/>
          <w:szCs w:val="24"/>
          <w:lang w:val="en-US"/>
        </w:rPr>
        <w:t xml:space="preserve">DAFFUE </w:t>
      </w:r>
      <w:r w:rsidR="003461A5">
        <w:rPr>
          <w:rFonts w:ascii="Arial" w:eastAsiaTheme="minorEastAsia" w:hAnsi="Arial" w:cs="Arial"/>
          <w:sz w:val="24"/>
          <w:szCs w:val="24"/>
          <w:lang w:val="en-US"/>
        </w:rPr>
        <w:t>AJJA</w:t>
      </w:r>
    </w:p>
    <w:p w14:paraId="6A63AC4E" w14:textId="0549396E" w:rsidR="00384061" w:rsidRDefault="006E1142" w:rsidP="00384061">
      <w:pPr>
        <w:outlineLvl w:val="0"/>
        <w:rPr>
          <w:rFonts w:ascii="Arial" w:eastAsiaTheme="minorEastAsia" w:hAnsi="Arial" w:cs="Arial"/>
          <w:b/>
          <w:sz w:val="24"/>
          <w:szCs w:val="24"/>
          <w:lang w:val="en-US"/>
        </w:rPr>
      </w:pPr>
      <w:r w:rsidRPr="004C4D70">
        <w:rPr>
          <w:rFonts w:ascii="Arial" w:eastAsiaTheme="minorEastAsia" w:hAnsi="Arial" w:cs="Arial"/>
          <w:b/>
          <w:sz w:val="24"/>
          <w:szCs w:val="24"/>
          <w:lang w:val="en-US"/>
        </w:rPr>
        <w:t>Heard:</w:t>
      </w:r>
      <w:r w:rsidR="00384061">
        <w:rPr>
          <w:rFonts w:ascii="Arial" w:eastAsiaTheme="minorEastAsia" w:hAnsi="Arial" w:cs="Arial"/>
          <w:b/>
          <w:sz w:val="24"/>
          <w:szCs w:val="24"/>
          <w:lang w:val="en-US"/>
        </w:rPr>
        <w:tab/>
      </w:r>
      <w:r w:rsidR="003461A5">
        <w:rPr>
          <w:rFonts w:ascii="Arial" w:eastAsiaTheme="minorEastAsia" w:hAnsi="Arial" w:cs="Arial"/>
          <w:sz w:val="24"/>
          <w:szCs w:val="24"/>
          <w:lang w:val="en-US"/>
        </w:rPr>
        <w:t>2 September 2022</w:t>
      </w:r>
    </w:p>
    <w:p w14:paraId="0E5DC87B" w14:textId="60DA2E89" w:rsidR="00384061" w:rsidRDefault="006E1142" w:rsidP="00384061">
      <w:pPr>
        <w:outlineLvl w:val="0"/>
        <w:rPr>
          <w:rFonts w:ascii="Arial" w:eastAsiaTheme="minorEastAsia" w:hAnsi="Arial" w:cs="Arial"/>
          <w:b/>
          <w:sz w:val="24"/>
          <w:szCs w:val="24"/>
          <w:lang w:val="en-US"/>
        </w:rPr>
      </w:pPr>
      <w:r w:rsidRPr="004C4D70">
        <w:rPr>
          <w:rFonts w:ascii="Arial" w:eastAsiaTheme="minorEastAsia" w:hAnsi="Arial" w:cs="Arial"/>
          <w:b/>
          <w:sz w:val="24"/>
          <w:szCs w:val="24"/>
          <w:lang w:val="en-US"/>
        </w:rPr>
        <w:t>Delivered</w:t>
      </w:r>
      <w:r w:rsidR="003461A5" w:rsidRPr="004C4D70">
        <w:rPr>
          <w:rFonts w:ascii="Arial" w:eastAsiaTheme="minorEastAsia" w:hAnsi="Arial" w:cs="Arial"/>
          <w:b/>
          <w:sz w:val="24"/>
          <w:szCs w:val="24"/>
          <w:lang w:val="en-US"/>
        </w:rPr>
        <w:t>:</w:t>
      </w:r>
      <w:r w:rsidR="00384061">
        <w:rPr>
          <w:rFonts w:ascii="Arial" w:eastAsiaTheme="minorEastAsia" w:hAnsi="Arial" w:cs="Arial"/>
          <w:b/>
          <w:sz w:val="24"/>
          <w:szCs w:val="24"/>
          <w:lang w:val="en-US"/>
        </w:rPr>
        <w:tab/>
      </w:r>
      <w:r w:rsidR="006C0DB3" w:rsidRPr="00285EBE">
        <w:rPr>
          <w:rFonts w:ascii="Arial" w:eastAsiaTheme="minorEastAsia" w:hAnsi="Arial" w:cs="Arial"/>
          <w:sz w:val="24"/>
          <w:szCs w:val="24"/>
          <w:lang w:val="en-US"/>
        </w:rPr>
        <w:t>7</w:t>
      </w:r>
      <w:r w:rsidR="0045474C">
        <w:rPr>
          <w:rFonts w:ascii="Arial" w:eastAsiaTheme="minorEastAsia" w:hAnsi="Arial" w:cs="Arial"/>
          <w:sz w:val="24"/>
          <w:szCs w:val="24"/>
          <w:lang w:val="en-US"/>
        </w:rPr>
        <w:t xml:space="preserve"> November</w:t>
      </w:r>
      <w:r w:rsidR="00E14400">
        <w:rPr>
          <w:rFonts w:ascii="Arial" w:eastAsiaTheme="minorEastAsia" w:hAnsi="Arial" w:cs="Arial"/>
          <w:sz w:val="24"/>
          <w:szCs w:val="24"/>
          <w:lang w:val="en-US"/>
        </w:rPr>
        <w:t xml:space="preserve"> </w:t>
      </w:r>
      <w:r w:rsidR="008C1694" w:rsidRPr="004C4D70">
        <w:rPr>
          <w:rFonts w:ascii="Arial" w:eastAsiaTheme="minorEastAsia" w:hAnsi="Arial" w:cs="Arial"/>
          <w:sz w:val="24"/>
          <w:szCs w:val="24"/>
          <w:lang w:val="en-US"/>
        </w:rPr>
        <w:t>20</w:t>
      </w:r>
      <w:r w:rsidR="003461A5">
        <w:rPr>
          <w:rFonts w:ascii="Arial" w:eastAsiaTheme="minorEastAsia" w:hAnsi="Arial" w:cs="Arial"/>
          <w:sz w:val="24"/>
          <w:szCs w:val="24"/>
          <w:lang w:val="en-US"/>
        </w:rPr>
        <w:t>22</w:t>
      </w:r>
    </w:p>
    <w:p w14:paraId="3EE0DDF1" w14:textId="36FF3DB8" w:rsidR="00C221C6" w:rsidRDefault="006E1142" w:rsidP="00384061">
      <w:pPr>
        <w:outlineLvl w:val="0"/>
        <w:rPr>
          <w:rFonts w:ascii="Arial" w:eastAsiaTheme="minorEastAsia" w:hAnsi="Arial" w:cs="Arial"/>
          <w:sz w:val="24"/>
          <w:szCs w:val="24"/>
          <w:lang w:val="en-US"/>
        </w:rPr>
      </w:pPr>
      <w:r w:rsidRPr="004C4D70">
        <w:rPr>
          <w:rFonts w:ascii="Arial" w:eastAsiaTheme="minorEastAsia" w:hAnsi="Arial" w:cs="Arial"/>
          <w:b/>
          <w:sz w:val="24"/>
          <w:szCs w:val="24"/>
          <w:lang w:val="en-US"/>
        </w:rPr>
        <w:t>Summary:</w:t>
      </w:r>
      <w:r w:rsidR="0077629E" w:rsidRPr="004C4D70">
        <w:rPr>
          <w:rFonts w:ascii="Arial" w:eastAsiaTheme="minorEastAsia" w:hAnsi="Arial" w:cs="Arial"/>
          <w:sz w:val="24"/>
          <w:szCs w:val="24"/>
          <w:lang w:val="en-US"/>
        </w:rPr>
        <w:t xml:space="preserve"> </w:t>
      </w:r>
      <w:r w:rsidR="0073288C" w:rsidRPr="003C1876">
        <w:rPr>
          <w:rFonts w:ascii="Arial" w:eastAsiaTheme="minorEastAsia" w:hAnsi="Arial" w:cs="Arial"/>
          <w:sz w:val="24"/>
          <w:szCs w:val="24"/>
          <w:lang w:val="en-US"/>
        </w:rPr>
        <w:t xml:space="preserve">Revenue – </w:t>
      </w:r>
      <w:r w:rsidR="00EB7CDC" w:rsidRPr="003C1876">
        <w:rPr>
          <w:rFonts w:ascii="Arial" w:eastAsiaTheme="minorEastAsia" w:hAnsi="Arial" w:cs="Arial"/>
          <w:sz w:val="24"/>
          <w:szCs w:val="24"/>
          <w:lang w:val="en-US"/>
        </w:rPr>
        <w:t>c</w:t>
      </w:r>
      <w:r w:rsidR="00234DB3" w:rsidRPr="003C1876">
        <w:rPr>
          <w:rFonts w:ascii="Arial" w:eastAsiaTheme="minorEastAsia" w:hAnsi="Arial" w:cs="Arial"/>
          <w:sz w:val="24"/>
          <w:szCs w:val="24"/>
          <w:lang w:val="en-US"/>
        </w:rPr>
        <w:t xml:space="preserve">apital </w:t>
      </w:r>
      <w:r w:rsidR="00EB7CDC" w:rsidRPr="003C1876">
        <w:rPr>
          <w:rFonts w:ascii="Arial" w:eastAsiaTheme="minorEastAsia" w:hAnsi="Arial" w:cs="Arial"/>
          <w:sz w:val="24"/>
          <w:szCs w:val="24"/>
          <w:lang w:val="en-US"/>
        </w:rPr>
        <w:t>g</w:t>
      </w:r>
      <w:r w:rsidR="00234DB3" w:rsidRPr="003C1876">
        <w:rPr>
          <w:rFonts w:ascii="Arial" w:eastAsiaTheme="minorEastAsia" w:hAnsi="Arial" w:cs="Arial"/>
          <w:sz w:val="24"/>
          <w:szCs w:val="24"/>
          <w:lang w:val="en-US"/>
        </w:rPr>
        <w:t xml:space="preserve">ains </w:t>
      </w:r>
      <w:r w:rsidR="00EB7CDC" w:rsidRPr="003C1876">
        <w:rPr>
          <w:rFonts w:ascii="Arial" w:eastAsiaTheme="minorEastAsia" w:hAnsi="Arial" w:cs="Arial"/>
          <w:sz w:val="24"/>
          <w:szCs w:val="24"/>
          <w:lang w:val="en-US"/>
        </w:rPr>
        <w:t>t</w:t>
      </w:r>
      <w:r w:rsidR="00234DB3" w:rsidRPr="003C1876">
        <w:rPr>
          <w:rFonts w:ascii="Arial" w:eastAsiaTheme="minorEastAsia" w:hAnsi="Arial" w:cs="Arial"/>
          <w:sz w:val="24"/>
          <w:szCs w:val="24"/>
          <w:lang w:val="en-US"/>
        </w:rPr>
        <w:t>ax</w:t>
      </w:r>
      <w:r w:rsidR="00745674" w:rsidRPr="003C1876">
        <w:rPr>
          <w:rFonts w:ascii="Arial" w:eastAsiaTheme="minorEastAsia" w:hAnsi="Arial" w:cs="Arial"/>
          <w:sz w:val="24"/>
          <w:szCs w:val="24"/>
          <w:lang w:val="en-US"/>
        </w:rPr>
        <w:t xml:space="preserve"> –</w:t>
      </w:r>
      <w:r w:rsidR="00234DB3" w:rsidRPr="003C1876">
        <w:rPr>
          <w:rFonts w:ascii="Arial" w:eastAsiaTheme="minorEastAsia" w:hAnsi="Arial" w:cs="Arial"/>
          <w:sz w:val="24"/>
          <w:szCs w:val="24"/>
          <w:lang w:val="en-US"/>
        </w:rPr>
        <w:t xml:space="preserve"> Income Tax Act 58 of 1962</w:t>
      </w:r>
      <w:r w:rsidR="00745674" w:rsidRPr="003C1876">
        <w:rPr>
          <w:rFonts w:ascii="Arial" w:eastAsiaTheme="minorEastAsia" w:hAnsi="Arial" w:cs="Arial"/>
          <w:sz w:val="24"/>
          <w:szCs w:val="24"/>
          <w:lang w:val="en-US"/>
        </w:rPr>
        <w:t xml:space="preserve"> –</w:t>
      </w:r>
      <w:r w:rsidR="007146C7" w:rsidRPr="003C1876">
        <w:rPr>
          <w:rFonts w:ascii="Arial" w:eastAsiaTheme="minorEastAsia" w:hAnsi="Arial" w:cs="Arial"/>
          <w:sz w:val="24"/>
          <w:szCs w:val="24"/>
          <w:lang w:val="en-US"/>
        </w:rPr>
        <w:t xml:space="preserve"> capital gains determined in respect of </w:t>
      </w:r>
      <w:r w:rsidR="00CC09BD" w:rsidRPr="003C1876">
        <w:rPr>
          <w:rFonts w:ascii="Arial" w:eastAsiaTheme="minorEastAsia" w:hAnsi="Arial" w:cs="Arial"/>
          <w:sz w:val="24"/>
          <w:szCs w:val="24"/>
          <w:lang w:val="en-US"/>
        </w:rPr>
        <w:t>t</w:t>
      </w:r>
      <w:r w:rsidR="007146C7" w:rsidRPr="003C1876">
        <w:rPr>
          <w:rFonts w:ascii="Arial" w:eastAsiaTheme="minorEastAsia" w:hAnsi="Arial" w:cs="Arial"/>
          <w:sz w:val="24"/>
          <w:szCs w:val="24"/>
          <w:lang w:val="en-US"/>
        </w:rPr>
        <w:t>rust</w:t>
      </w:r>
      <w:r w:rsidR="00042306" w:rsidRPr="003C1876">
        <w:rPr>
          <w:rFonts w:ascii="Arial" w:eastAsiaTheme="minorEastAsia" w:hAnsi="Arial" w:cs="Arial"/>
          <w:sz w:val="24"/>
          <w:szCs w:val="24"/>
          <w:lang w:val="en-US"/>
        </w:rPr>
        <w:t>s</w:t>
      </w:r>
      <w:r w:rsidR="007146C7" w:rsidRPr="003C1876">
        <w:rPr>
          <w:rFonts w:ascii="Arial" w:eastAsiaTheme="minorEastAsia" w:hAnsi="Arial" w:cs="Arial"/>
          <w:sz w:val="24"/>
          <w:szCs w:val="24"/>
          <w:lang w:val="en-US"/>
        </w:rPr>
        <w:t>’</w:t>
      </w:r>
      <w:r w:rsidR="00042306" w:rsidRPr="003C1876">
        <w:rPr>
          <w:rFonts w:ascii="Arial" w:eastAsiaTheme="minorEastAsia" w:hAnsi="Arial" w:cs="Arial"/>
          <w:sz w:val="24"/>
          <w:szCs w:val="24"/>
          <w:lang w:val="en-US"/>
        </w:rPr>
        <w:t xml:space="preserve"> </w:t>
      </w:r>
      <w:r w:rsidR="00862E82" w:rsidRPr="003C1876">
        <w:rPr>
          <w:rFonts w:ascii="Arial" w:eastAsiaTheme="minorEastAsia" w:hAnsi="Arial" w:cs="Arial"/>
          <w:sz w:val="24"/>
          <w:szCs w:val="24"/>
          <w:lang w:val="en-US"/>
        </w:rPr>
        <w:t xml:space="preserve">disposal </w:t>
      </w:r>
      <w:r w:rsidR="007146C7" w:rsidRPr="003C1876">
        <w:rPr>
          <w:rFonts w:ascii="Arial" w:eastAsiaTheme="minorEastAsia" w:hAnsi="Arial" w:cs="Arial"/>
          <w:sz w:val="24"/>
          <w:szCs w:val="24"/>
          <w:lang w:val="en-US"/>
        </w:rPr>
        <w:t xml:space="preserve">of </w:t>
      </w:r>
      <w:r w:rsidR="00042306" w:rsidRPr="003C1876">
        <w:rPr>
          <w:rFonts w:ascii="Arial" w:eastAsiaTheme="minorEastAsia" w:hAnsi="Arial" w:cs="Arial"/>
          <w:sz w:val="24"/>
          <w:szCs w:val="24"/>
          <w:lang w:val="en-US"/>
        </w:rPr>
        <w:t>asset</w:t>
      </w:r>
      <w:r w:rsidR="0045474C">
        <w:rPr>
          <w:rFonts w:ascii="Arial" w:eastAsiaTheme="minorEastAsia" w:hAnsi="Arial" w:cs="Arial"/>
          <w:sz w:val="24"/>
          <w:szCs w:val="24"/>
          <w:lang w:val="en-US"/>
        </w:rPr>
        <w:t>s</w:t>
      </w:r>
      <w:r w:rsidR="00042306" w:rsidRPr="003C1876">
        <w:rPr>
          <w:rFonts w:ascii="Arial" w:eastAsiaTheme="minorEastAsia" w:hAnsi="Arial" w:cs="Arial"/>
          <w:sz w:val="24"/>
          <w:szCs w:val="24"/>
          <w:lang w:val="en-US"/>
        </w:rPr>
        <w:t xml:space="preserve"> </w:t>
      </w:r>
      <w:r w:rsidR="003A620B" w:rsidRPr="003C1876">
        <w:rPr>
          <w:rFonts w:ascii="Arial" w:eastAsiaTheme="minorEastAsia" w:hAnsi="Arial" w:cs="Arial"/>
          <w:sz w:val="24"/>
          <w:szCs w:val="24"/>
          <w:lang w:val="en-US"/>
        </w:rPr>
        <w:t>vest</w:t>
      </w:r>
      <w:r w:rsidR="007146C7" w:rsidRPr="003C1876">
        <w:rPr>
          <w:rFonts w:ascii="Arial" w:eastAsiaTheme="minorEastAsia" w:hAnsi="Arial" w:cs="Arial"/>
          <w:sz w:val="24"/>
          <w:szCs w:val="24"/>
          <w:lang w:val="en-US"/>
        </w:rPr>
        <w:t xml:space="preserve">ed </w:t>
      </w:r>
      <w:r w:rsidR="003A620B" w:rsidRPr="003C1876">
        <w:rPr>
          <w:rFonts w:ascii="Arial" w:eastAsiaTheme="minorEastAsia" w:hAnsi="Arial" w:cs="Arial"/>
          <w:sz w:val="24"/>
          <w:szCs w:val="24"/>
          <w:lang w:val="en-US"/>
        </w:rPr>
        <w:t>in</w:t>
      </w:r>
      <w:r w:rsidR="00042306" w:rsidRPr="003C1876">
        <w:rPr>
          <w:rFonts w:ascii="Arial" w:eastAsiaTheme="minorEastAsia" w:hAnsi="Arial" w:cs="Arial"/>
          <w:sz w:val="24"/>
          <w:szCs w:val="24"/>
          <w:lang w:val="en-US"/>
        </w:rPr>
        <w:t xml:space="preserve"> </w:t>
      </w:r>
      <w:r w:rsidR="007E4048" w:rsidRPr="003C1876">
        <w:rPr>
          <w:rFonts w:ascii="Arial" w:eastAsiaTheme="minorEastAsia" w:hAnsi="Arial" w:cs="Arial"/>
          <w:sz w:val="24"/>
          <w:szCs w:val="24"/>
          <w:lang w:val="en-US"/>
        </w:rPr>
        <w:t xml:space="preserve">a </w:t>
      </w:r>
      <w:r w:rsidR="00042306" w:rsidRPr="003C1876">
        <w:rPr>
          <w:rFonts w:ascii="Arial" w:eastAsiaTheme="minorEastAsia" w:hAnsi="Arial" w:cs="Arial"/>
          <w:sz w:val="24"/>
          <w:szCs w:val="24"/>
          <w:lang w:val="en-US"/>
        </w:rPr>
        <w:t xml:space="preserve">resident </w:t>
      </w:r>
      <w:r w:rsidR="00CC09BD" w:rsidRPr="003C1876">
        <w:rPr>
          <w:rFonts w:ascii="Arial" w:eastAsiaTheme="minorEastAsia" w:hAnsi="Arial" w:cs="Arial"/>
          <w:sz w:val="24"/>
          <w:szCs w:val="24"/>
          <w:lang w:val="en-US"/>
        </w:rPr>
        <w:t>t</w:t>
      </w:r>
      <w:r w:rsidR="00030BC8" w:rsidRPr="003C1876">
        <w:rPr>
          <w:rFonts w:ascii="Arial" w:eastAsiaTheme="minorEastAsia" w:hAnsi="Arial" w:cs="Arial"/>
          <w:sz w:val="24"/>
          <w:szCs w:val="24"/>
          <w:lang w:val="en-US"/>
        </w:rPr>
        <w:t>rust</w:t>
      </w:r>
      <w:r w:rsidR="007E4048" w:rsidRPr="003C1876">
        <w:rPr>
          <w:rFonts w:ascii="Arial" w:eastAsiaTheme="minorEastAsia" w:hAnsi="Arial" w:cs="Arial"/>
          <w:sz w:val="24"/>
          <w:szCs w:val="24"/>
          <w:lang w:val="en-US"/>
        </w:rPr>
        <w:t xml:space="preserve"> </w:t>
      </w:r>
      <w:r w:rsidR="00042306" w:rsidRPr="003C1876">
        <w:rPr>
          <w:rFonts w:ascii="Arial" w:eastAsiaTheme="minorEastAsia" w:hAnsi="Arial" w:cs="Arial"/>
          <w:sz w:val="24"/>
          <w:szCs w:val="24"/>
          <w:lang w:val="en-US"/>
        </w:rPr>
        <w:t xml:space="preserve">beneficiary, who </w:t>
      </w:r>
      <w:r w:rsidR="003A620B" w:rsidRPr="003C1876">
        <w:rPr>
          <w:rFonts w:ascii="Arial" w:eastAsiaTheme="minorEastAsia" w:hAnsi="Arial" w:cs="Arial"/>
          <w:sz w:val="24"/>
          <w:szCs w:val="24"/>
          <w:lang w:val="en-US"/>
        </w:rPr>
        <w:t xml:space="preserve">in </w:t>
      </w:r>
      <w:r w:rsidR="00042306" w:rsidRPr="003C1876">
        <w:rPr>
          <w:rFonts w:ascii="Arial" w:eastAsiaTheme="minorEastAsia" w:hAnsi="Arial" w:cs="Arial"/>
          <w:sz w:val="24"/>
          <w:szCs w:val="24"/>
          <w:lang w:val="en-US"/>
        </w:rPr>
        <w:t xml:space="preserve">turn </w:t>
      </w:r>
      <w:r w:rsidR="007146C7" w:rsidRPr="003C1876">
        <w:rPr>
          <w:rFonts w:ascii="Arial" w:eastAsiaTheme="minorEastAsia" w:hAnsi="Arial" w:cs="Arial"/>
          <w:sz w:val="24"/>
          <w:szCs w:val="24"/>
          <w:lang w:val="en-US"/>
        </w:rPr>
        <w:t>mad</w:t>
      </w:r>
      <w:r w:rsidR="00042306" w:rsidRPr="003C1876">
        <w:rPr>
          <w:rFonts w:ascii="Arial" w:eastAsiaTheme="minorEastAsia" w:hAnsi="Arial" w:cs="Arial"/>
          <w:sz w:val="24"/>
          <w:szCs w:val="24"/>
          <w:lang w:val="en-US"/>
        </w:rPr>
        <w:t>e a distribut</w:t>
      </w:r>
      <w:r w:rsidR="002E7742" w:rsidRPr="003C1876">
        <w:rPr>
          <w:rFonts w:ascii="Arial" w:eastAsiaTheme="minorEastAsia" w:hAnsi="Arial" w:cs="Arial"/>
          <w:sz w:val="24"/>
          <w:szCs w:val="24"/>
          <w:lang w:val="en-US"/>
        </w:rPr>
        <w:t>ion to its</w:t>
      </w:r>
      <w:r w:rsidR="00042306" w:rsidRPr="003C1876">
        <w:rPr>
          <w:rFonts w:ascii="Arial" w:eastAsiaTheme="minorEastAsia" w:hAnsi="Arial" w:cs="Arial"/>
          <w:sz w:val="24"/>
          <w:szCs w:val="24"/>
          <w:lang w:val="en-US"/>
        </w:rPr>
        <w:t xml:space="preserve"> beneficiaries</w:t>
      </w:r>
      <w:r w:rsidR="00030BC8" w:rsidRPr="003C1876">
        <w:rPr>
          <w:rFonts w:ascii="Arial" w:eastAsiaTheme="minorEastAsia" w:hAnsi="Arial" w:cs="Arial"/>
          <w:sz w:val="24"/>
          <w:szCs w:val="24"/>
          <w:lang w:val="en-US"/>
        </w:rPr>
        <w:t xml:space="preserve"> </w:t>
      </w:r>
      <w:r w:rsidR="003A620B" w:rsidRPr="003C1876">
        <w:rPr>
          <w:rFonts w:ascii="Arial" w:eastAsiaTheme="minorEastAsia" w:hAnsi="Arial" w:cs="Arial"/>
          <w:sz w:val="24"/>
          <w:szCs w:val="24"/>
          <w:lang w:val="en-US"/>
        </w:rPr>
        <w:t xml:space="preserve">in the same year </w:t>
      </w:r>
      <w:r w:rsidR="00DD762F" w:rsidRPr="003C1876">
        <w:rPr>
          <w:rFonts w:ascii="Arial" w:eastAsiaTheme="minorEastAsia" w:hAnsi="Arial" w:cs="Arial"/>
          <w:sz w:val="24"/>
          <w:szCs w:val="24"/>
          <w:lang w:val="en-US"/>
        </w:rPr>
        <w:t xml:space="preserve">of assessment </w:t>
      </w:r>
      <w:r w:rsidR="00745674" w:rsidRPr="003C1876">
        <w:rPr>
          <w:rFonts w:ascii="Arial" w:eastAsiaTheme="minorEastAsia" w:hAnsi="Arial" w:cs="Arial"/>
          <w:sz w:val="24"/>
          <w:szCs w:val="24"/>
          <w:lang w:val="en-US"/>
        </w:rPr>
        <w:t>–</w:t>
      </w:r>
      <w:r w:rsidR="00DD762F" w:rsidRPr="003C1876">
        <w:rPr>
          <w:rFonts w:ascii="Arial" w:eastAsiaTheme="minorEastAsia" w:hAnsi="Arial" w:cs="Arial"/>
          <w:sz w:val="24"/>
          <w:szCs w:val="24"/>
          <w:lang w:val="en-US"/>
        </w:rPr>
        <w:t xml:space="preserve"> whether</w:t>
      </w:r>
      <w:r w:rsidR="00931540" w:rsidRPr="003C1876">
        <w:rPr>
          <w:rFonts w:ascii="Arial" w:eastAsiaTheme="minorEastAsia" w:hAnsi="Arial" w:cs="Arial"/>
          <w:sz w:val="24"/>
          <w:szCs w:val="24"/>
          <w:lang w:val="en-US"/>
        </w:rPr>
        <w:t xml:space="preserve"> </w:t>
      </w:r>
      <w:r w:rsidR="00030BC8" w:rsidRPr="003C1876">
        <w:rPr>
          <w:rFonts w:ascii="Arial" w:eastAsiaTheme="minorEastAsia" w:hAnsi="Arial" w:cs="Arial"/>
          <w:sz w:val="24"/>
          <w:szCs w:val="24"/>
          <w:lang w:val="en-US"/>
        </w:rPr>
        <w:t>s</w:t>
      </w:r>
      <w:r w:rsidR="007E4048" w:rsidRPr="003C1876">
        <w:rPr>
          <w:rFonts w:ascii="Arial" w:eastAsiaTheme="minorEastAsia" w:hAnsi="Arial" w:cs="Arial"/>
          <w:sz w:val="24"/>
          <w:szCs w:val="24"/>
          <w:lang w:val="en-US"/>
        </w:rPr>
        <w:t xml:space="preserve"> </w:t>
      </w:r>
      <w:r w:rsidR="00030BC8" w:rsidRPr="003C1876">
        <w:rPr>
          <w:rFonts w:ascii="Arial" w:eastAsiaTheme="minorEastAsia" w:hAnsi="Arial" w:cs="Arial"/>
          <w:sz w:val="24"/>
          <w:szCs w:val="24"/>
          <w:lang w:val="en-US"/>
        </w:rPr>
        <w:t>25B or</w:t>
      </w:r>
      <w:r w:rsidR="0073288C" w:rsidRPr="003C1876">
        <w:rPr>
          <w:rFonts w:ascii="Arial" w:eastAsiaTheme="minorEastAsia" w:hAnsi="Arial" w:cs="Arial"/>
          <w:sz w:val="24"/>
          <w:szCs w:val="24"/>
          <w:lang w:val="en-US"/>
        </w:rPr>
        <w:t xml:space="preserve"> para</w:t>
      </w:r>
      <w:r w:rsidR="00030BC8" w:rsidRPr="003C1876">
        <w:rPr>
          <w:rFonts w:ascii="Arial" w:eastAsiaTheme="minorEastAsia" w:hAnsi="Arial" w:cs="Arial"/>
          <w:sz w:val="24"/>
          <w:szCs w:val="24"/>
          <w:lang w:val="en-US"/>
        </w:rPr>
        <w:t xml:space="preserve"> 80(2)</w:t>
      </w:r>
      <w:r w:rsidR="0073288C" w:rsidRPr="003C1876">
        <w:rPr>
          <w:rFonts w:ascii="Arial" w:eastAsiaTheme="minorEastAsia" w:hAnsi="Arial" w:cs="Arial"/>
          <w:sz w:val="24"/>
          <w:szCs w:val="24"/>
          <w:lang w:val="en-US"/>
        </w:rPr>
        <w:t xml:space="preserve"> of</w:t>
      </w:r>
      <w:r w:rsidR="00181B45" w:rsidRPr="003C1876">
        <w:rPr>
          <w:rFonts w:ascii="Arial" w:eastAsiaTheme="minorEastAsia" w:hAnsi="Arial" w:cs="Arial"/>
          <w:sz w:val="24"/>
          <w:szCs w:val="24"/>
          <w:lang w:val="en-US"/>
        </w:rPr>
        <w:t xml:space="preserve"> S</w:t>
      </w:r>
      <w:r w:rsidR="00030BC8" w:rsidRPr="003C1876">
        <w:rPr>
          <w:rFonts w:ascii="Arial" w:eastAsiaTheme="minorEastAsia" w:hAnsi="Arial" w:cs="Arial"/>
          <w:sz w:val="24"/>
          <w:szCs w:val="24"/>
          <w:lang w:val="en-US"/>
        </w:rPr>
        <w:t xml:space="preserve">chedule </w:t>
      </w:r>
      <w:r w:rsidR="0073288C" w:rsidRPr="003C1876">
        <w:rPr>
          <w:rFonts w:ascii="Arial" w:eastAsiaTheme="minorEastAsia" w:hAnsi="Arial" w:cs="Arial"/>
          <w:sz w:val="24"/>
          <w:szCs w:val="24"/>
          <w:lang w:val="en-US"/>
        </w:rPr>
        <w:t xml:space="preserve">8 </w:t>
      </w:r>
      <w:r w:rsidR="00DD762F" w:rsidRPr="003C1876">
        <w:rPr>
          <w:rFonts w:ascii="Arial" w:eastAsiaTheme="minorEastAsia" w:hAnsi="Arial" w:cs="Arial"/>
          <w:sz w:val="24"/>
          <w:szCs w:val="24"/>
          <w:lang w:val="en-US"/>
        </w:rPr>
        <w:t xml:space="preserve">is applicable </w:t>
      </w:r>
      <w:r w:rsidR="00745674" w:rsidRPr="003C1876">
        <w:rPr>
          <w:rFonts w:ascii="Arial" w:eastAsiaTheme="minorEastAsia" w:hAnsi="Arial" w:cs="Arial"/>
          <w:sz w:val="24"/>
          <w:szCs w:val="24"/>
          <w:lang w:val="en-US"/>
        </w:rPr>
        <w:t xml:space="preserve">– </w:t>
      </w:r>
      <w:r w:rsidR="003A620B" w:rsidRPr="003C1876">
        <w:rPr>
          <w:rFonts w:ascii="Arial" w:eastAsiaTheme="minorEastAsia" w:hAnsi="Arial" w:cs="Arial"/>
          <w:sz w:val="24"/>
          <w:szCs w:val="24"/>
          <w:lang w:val="en-US"/>
        </w:rPr>
        <w:t>whether the appellant was correct in imposing an u</w:t>
      </w:r>
      <w:r w:rsidR="007E4048" w:rsidRPr="003C1876">
        <w:rPr>
          <w:rFonts w:ascii="Arial" w:eastAsiaTheme="minorEastAsia" w:hAnsi="Arial" w:cs="Arial"/>
          <w:sz w:val="24"/>
          <w:szCs w:val="24"/>
          <w:lang w:val="en-US"/>
        </w:rPr>
        <w:t xml:space="preserve">nderstatement </w:t>
      </w:r>
      <w:r w:rsidR="003A620B" w:rsidRPr="003C1876">
        <w:rPr>
          <w:rFonts w:ascii="Arial" w:eastAsiaTheme="minorEastAsia" w:hAnsi="Arial" w:cs="Arial"/>
          <w:sz w:val="24"/>
          <w:szCs w:val="24"/>
          <w:lang w:val="en-US"/>
        </w:rPr>
        <w:t>p</w:t>
      </w:r>
      <w:r w:rsidR="007E4048" w:rsidRPr="003C1876">
        <w:rPr>
          <w:rFonts w:ascii="Arial" w:eastAsiaTheme="minorEastAsia" w:hAnsi="Arial" w:cs="Arial"/>
          <w:sz w:val="24"/>
          <w:szCs w:val="24"/>
          <w:lang w:val="en-US"/>
        </w:rPr>
        <w:t xml:space="preserve">enalty </w:t>
      </w:r>
      <w:r w:rsidR="003A620B" w:rsidRPr="003C1876">
        <w:rPr>
          <w:rFonts w:ascii="Arial" w:eastAsiaTheme="minorEastAsia" w:hAnsi="Arial" w:cs="Arial"/>
          <w:sz w:val="24"/>
          <w:szCs w:val="24"/>
          <w:lang w:val="en-US"/>
        </w:rPr>
        <w:t xml:space="preserve">of 50% </w:t>
      </w:r>
      <w:r w:rsidR="00042306" w:rsidRPr="003C1876">
        <w:rPr>
          <w:rFonts w:ascii="Arial" w:eastAsiaTheme="minorEastAsia" w:hAnsi="Arial" w:cs="Arial"/>
          <w:sz w:val="24"/>
          <w:szCs w:val="24"/>
          <w:lang w:val="en-US"/>
        </w:rPr>
        <w:t xml:space="preserve">and </w:t>
      </w:r>
      <w:r w:rsidR="00DD762F" w:rsidRPr="003C1876">
        <w:rPr>
          <w:rFonts w:ascii="Arial" w:eastAsiaTheme="minorEastAsia" w:hAnsi="Arial" w:cs="Arial"/>
          <w:sz w:val="24"/>
          <w:szCs w:val="24"/>
          <w:lang w:val="en-US"/>
        </w:rPr>
        <w:t>interest.</w:t>
      </w:r>
    </w:p>
    <w:p w14:paraId="53AF366C" w14:textId="77777777" w:rsidR="00F6318B" w:rsidRDefault="00F6318B" w:rsidP="00384061">
      <w:pPr>
        <w:outlineLvl w:val="0"/>
        <w:rPr>
          <w:rFonts w:ascii="Arial" w:eastAsiaTheme="minorEastAsia" w:hAnsi="Arial" w:cs="Arial"/>
          <w:sz w:val="24"/>
          <w:szCs w:val="24"/>
          <w:lang w:val="en-US"/>
        </w:rPr>
      </w:pPr>
    </w:p>
    <w:p w14:paraId="03C7BF34" w14:textId="77777777" w:rsidR="008F1FAC" w:rsidRDefault="008F1FAC" w:rsidP="00384061">
      <w:pPr>
        <w:outlineLvl w:val="0"/>
        <w:rPr>
          <w:rFonts w:ascii="Arial" w:eastAsiaTheme="minorEastAsia" w:hAnsi="Arial" w:cs="Arial"/>
          <w:sz w:val="24"/>
          <w:szCs w:val="24"/>
          <w:lang w:val="en-US"/>
        </w:rPr>
      </w:pPr>
    </w:p>
    <w:p w14:paraId="20FEEBEF" w14:textId="77777777" w:rsidR="008F1FAC" w:rsidRDefault="00F6204E" w:rsidP="00285EBE">
      <w:pPr>
        <w:spacing w:after="200" w:line="276" w:lineRule="auto"/>
        <w:jc w:val="left"/>
        <w:rPr>
          <w:rFonts w:ascii="Arial" w:eastAsiaTheme="minorEastAsia" w:hAnsi="Arial" w:cs="Arial"/>
          <w:sz w:val="24"/>
          <w:szCs w:val="24"/>
          <w:lang w:val="en-US"/>
        </w:rPr>
      </w:pPr>
      <w:r>
        <w:rPr>
          <w:rFonts w:ascii="Arial" w:eastAsiaTheme="minorEastAsia" w:hAnsi="Arial" w:cs="Arial"/>
          <w:sz w:val="24"/>
          <w:szCs w:val="24"/>
          <w:lang w:val="en-US"/>
        </w:rPr>
        <w:br w:type="page"/>
      </w:r>
    </w:p>
    <w:p w14:paraId="6EADF295" w14:textId="77777777" w:rsidR="0091476C" w:rsidRPr="004C4D70" w:rsidRDefault="0091476C" w:rsidP="00B65CEA">
      <w:pPr>
        <w:rPr>
          <w:rFonts w:ascii="Arial" w:eastAsiaTheme="minorEastAsia" w:hAnsi="Arial" w:cs="Arial"/>
          <w:sz w:val="24"/>
          <w:szCs w:val="24"/>
          <w:lang w:val="en-US"/>
        </w:rPr>
      </w:pPr>
      <w:r w:rsidRPr="004C4D70">
        <w:rPr>
          <w:rFonts w:ascii="Arial" w:eastAsiaTheme="minorEastAsia" w:hAnsi="Arial" w:cs="Arial"/>
          <w:sz w:val="24"/>
          <w:szCs w:val="24"/>
          <w:lang w:val="en-US"/>
        </w:rPr>
        <w:lastRenderedPageBreak/>
        <w:t>___________________________________________________________________</w:t>
      </w:r>
    </w:p>
    <w:p w14:paraId="22403844" w14:textId="77777777" w:rsidR="0091476C" w:rsidRPr="004C4D70" w:rsidRDefault="0091476C" w:rsidP="00FB6577">
      <w:pPr>
        <w:spacing w:line="240" w:lineRule="auto"/>
        <w:jc w:val="center"/>
        <w:rPr>
          <w:rFonts w:ascii="Arial" w:eastAsiaTheme="minorEastAsia" w:hAnsi="Arial" w:cs="Arial"/>
          <w:b/>
          <w:sz w:val="24"/>
          <w:szCs w:val="24"/>
          <w:lang w:val="en-US"/>
        </w:rPr>
      </w:pPr>
    </w:p>
    <w:p w14:paraId="14BB3F2E" w14:textId="77777777" w:rsidR="006E1142" w:rsidRPr="004C4D70" w:rsidRDefault="006E1142" w:rsidP="00B65CEA">
      <w:pPr>
        <w:jc w:val="center"/>
        <w:rPr>
          <w:rFonts w:ascii="Arial" w:eastAsiaTheme="minorEastAsia" w:hAnsi="Arial" w:cs="Arial"/>
          <w:b/>
          <w:sz w:val="24"/>
          <w:szCs w:val="24"/>
          <w:lang w:val="en-US"/>
        </w:rPr>
      </w:pPr>
      <w:r w:rsidRPr="004C4D70">
        <w:rPr>
          <w:rFonts w:ascii="Arial" w:eastAsiaTheme="minorEastAsia" w:hAnsi="Arial" w:cs="Arial"/>
          <w:b/>
          <w:sz w:val="24"/>
          <w:szCs w:val="24"/>
          <w:lang w:val="en-US"/>
        </w:rPr>
        <w:t xml:space="preserve">ORDER </w:t>
      </w:r>
    </w:p>
    <w:p w14:paraId="5F974E9E" w14:textId="5FCF3A7D" w:rsidR="00846687" w:rsidRPr="004C4D70" w:rsidRDefault="0091476C" w:rsidP="00B65CEA">
      <w:pPr>
        <w:rPr>
          <w:rFonts w:ascii="Arial" w:eastAsiaTheme="minorEastAsia" w:hAnsi="Arial" w:cs="Arial"/>
          <w:b/>
          <w:sz w:val="24"/>
          <w:szCs w:val="24"/>
          <w:lang w:val="en-US"/>
        </w:rPr>
      </w:pPr>
      <w:r w:rsidRPr="004C4D70">
        <w:rPr>
          <w:rFonts w:ascii="Arial" w:eastAsiaTheme="minorEastAsia" w:hAnsi="Arial" w:cs="Arial"/>
          <w:sz w:val="24"/>
          <w:szCs w:val="24"/>
          <w:lang w:val="en-US"/>
        </w:rPr>
        <w:t>___________________________________________________________________</w:t>
      </w:r>
    </w:p>
    <w:p w14:paraId="4AAFE0AF" w14:textId="77777777" w:rsidR="0070398D" w:rsidRDefault="00846687" w:rsidP="00B65CEA">
      <w:pPr>
        <w:rPr>
          <w:rFonts w:ascii="Arial" w:eastAsiaTheme="minorEastAsia" w:hAnsi="Arial" w:cs="Arial"/>
          <w:sz w:val="24"/>
          <w:szCs w:val="24"/>
          <w:lang w:val="en-US"/>
        </w:rPr>
      </w:pPr>
      <w:r w:rsidRPr="004C4D70">
        <w:rPr>
          <w:rFonts w:ascii="Arial" w:eastAsiaTheme="minorEastAsia" w:hAnsi="Arial" w:cs="Arial"/>
          <w:b/>
          <w:sz w:val="24"/>
          <w:szCs w:val="24"/>
          <w:lang w:val="en-US"/>
        </w:rPr>
        <w:t>On appeal from:</w:t>
      </w:r>
      <w:r w:rsidRPr="004C4D70">
        <w:rPr>
          <w:rFonts w:ascii="Arial" w:eastAsiaTheme="minorEastAsia" w:hAnsi="Arial" w:cs="Arial"/>
          <w:sz w:val="24"/>
          <w:szCs w:val="24"/>
          <w:lang w:val="en-US"/>
        </w:rPr>
        <w:t xml:space="preserve"> </w:t>
      </w:r>
      <w:r w:rsidR="0073288C">
        <w:rPr>
          <w:rFonts w:ascii="Arial" w:eastAsiaTheme="minorEastAsia" w:hAnsi="Arial" w:cs="Arial"/>
          <w:sz w:val="24"/>
          <w:szCs w:val="24"/>
          <w:lang w:val="en-US"/>
        </w:rPr>
        <w:t xml:space="preserve">The </w:t>
      </w:r>
      <w:r w:rsidR="00E125EF">
        <w:rPr>
          <w:rFonts w:ascii="Arial" w:eastAsiaTheme="minorEastAsia" w:hAnsi="Arial" w:cs="Arial"/>
          <w:sz w:val="24"/>
          <w:szCs w:val="24"/>
          <w:lang w:val="en-US"/>
        </w:rPr>
        <w:t>Tax Court</w:t>
      </w:r>
      <w:r w:rsidR="00A72487">
        <w:rPr>
          <w:rFonts w:ascii="Arial" w:eastAsiaTheme="minorEastAsia" w:hAnsi="Arial" w:cs="Arial"/>
          <w:sz w:val="24"/>
          <w:szCs w:val="24"/>
          <w:lang w:val="en-US"/>
        </w:rPr>
        <w:t>,</w:t>
      </w:r>
      <w:r w:rsidR="0073288C">
        <w:rPr>
          <w:rFonts w:ascii="Arial" w:eastAsiaTheme="minorEastAsia" w:hAnsi="Arial" w:cs="Arial"/>
          <w:sz w:val="24"/>
          <w:szCs w:val="24"/>
          <w:lang w:val="en-US"/>
        </w:rPr>
        <w:t xml:space="preserve"> Gauteng </w:t>
      </w:r>
      <w:r w:rsidR="00904ACB" w:rsidRPr="004C4D70">
        <w:rPr>
          <w:rFonts w:ascii="Arial" w:eastAsiaTheme="minorEastAsia" w:hAnsi="Arial" w:cs="Arial"/>
          <w:sz w:val="24"/>
          <w:szCs w:val="24"/>
          <w:lang w:val="en-US"/>
        </w:rPr>
        <w:t>(</w:t>
      </w:r>
      <w:r w:rsidR="00042306">
        <w:rPr>
          <w:rFonts w:ascii="Arial" w:eastAsiaTheme="minorEastAsia" w:hAnsi="Arial" w:cs="Arial"/>
          <w:sz w:val="24"/>
          <w:szCs w:val="24"/>
          <w:lang w:val="en-US"/>
        </w:rPr>
        <w:t xml:space="preserve">Wright </w:t>
      </w:r>
      <w:r w:rsidR="0073288C">
        <w:rPr>
          <w:rFonts w:ascii="Arial" w:eastAsiaTheme="minorEastAsia" w:hAnsi="Arial" w:cs="Arial"/>
          <w:sz w:val="24"/>
          <w:szCs w:val="24"/>
          <w:lang w:val="en-US"/>
        </w:rPr>
        <w:t>J sitting as a court of appeal</w:t>
      </w:r>
      <w:r w:rsidRPr="004C4D70">
        <w:rPr>
          <w:rFonts w:ascii="Arial" w:eastAsiaTheme="minorEastAsia" w:hAnsi="Arial" w:cs="Arial"/>
          <w:sz w:val="24"/>
          <w:szCs w:val="24"/>
          <w:lang w:val="en-US"/>
        </w:rPr>
        <w:t>):</w:t>
      </w:r>
    </w:p>
    <w:p w14:paraId="584B78E2" w14:textId="3EED4C44" w:rsidR="00E47602" w:rsidRDefault="00E47602" w:rsidP="00FB6577">
      <w:pPr>
        <w:pStyle w:val="ListParagraph"/>
        <w:ind w:left="0"/>
        <w:rPr>
          <w:rFonts w:ascii="Arial" w:hAnsi="Arial" w:cs="Arial"/>
          <w:sz w:val="24"/>
          <w:szCs w:val="24"/>
        </w:rPr>
      </w:pPr>
      <w:r>
        <w:rPr>
          <w:rFonts w:ascii="Arial" w:hAnsi="Arial" w:cs="Arial"/>
          <w:sz w:val="24"/>
          <w:szCs w:val="24"/>
        </w:rPr>
        <w:t>1</w:t>
      </w:r>
      <w:r w:rsidR="00F6204E">
        <w:rPr>
          <w:rFonts w:ascii="Arial" w:hAnsi="Arial" w:cs="Arial"/>
          <w:sz w:val="24"/>
          <w:szCs w:val="24"/>
        </w:rPr>
        <w:t xml:space="preserve"> </w:t>
      </w:r>
      <w:r w:rsidR="00DC505B">
        <w:rPr>
          <w:rFonts w:ascii="Arial" w:hAnsi="Arial" w:cs="Arial"/>
          <w:sz w:val="24"/>
          <w:szCs w:val="24"/>
        </w:rPr>
        <w:t xml:space="preserve">The appeal succeeds with costs. </w:t>
      </w:r>
    </w:p>
    <w:p w14:paraId="626951BD" w14:textId="749FC17B" w:rsidR="00FB6577" w:rsidRPr="003C1876" w:rsidRDefault="00E47602" w:rsidP="00FB6577">
      <w:pPr>
        <w:pStyle w:val="ListParagraph"/>
        <w:ind w:left="0"/>
        <w:rPr>
          <w:rFonts w:ascii="Arial" w:eastAsiaTheme="minorEastAsia" w:hAnsi="Arial" w:cs="Arial"/>
          <w:sz w:val="24"/>
          <w:szCs w:val="24"/>
          <w:lang w:val="en-US"/>
        </w:rPr>
      </w:pPr>
      <w:r>
        <w:rPr>
          <w:rFonts w:ascii="Arial" w:hAnsi="Arial" w:cs="Arial"/>
          <w:sz w:val="24"/>
          <w:szCs w:val="24"/>
        </w:rPr>
        <w:t>2</w:t>
      </w:r>
      <w:r w:rsidR="00F6204E">
        <w:rPr>
          <w:rFonts w:ascii="Arial" w:hAnsi="Arial" w:cs="Arial"/>
          <w:sz w:val="24"/>
          <w:szCs w:val="24"/>
        </w:rPr>
        <w:t xml:space="preserve"> </w:t>
      </w:r>
      <w:r w:rsidR="00DC505B" w:rsidRPr="00DC505B">
        <w:rPr>
          <w:rFonts w:ascii="Arial" w:eastAsiaTheme="minorEastAsia" w:hAnsi="Arial" w:cs="Arial"/>
          <w:sz w:val="24"/>
          <w:szCs w:val="24"/>
          <w:lang w:val="en-US"/>
        </w:rPr>
        <w:t>The order of the Tax Court</w:t>
      </w:r>
      <w:r w:rsidR="00A72487">
        <w:rPr>
          <w:rFonts w:ascii="Arial" w:eastAsiaTheme="minorEastAsia" w:hAnsi="Arial" w:cs="Arial"/>
          <w:sz w:val="24"/>
          <w:szCs w:val="24"/>
          <w:lang w:val="en-US"/>
        </w:rPr>
        <w:t>,</w:t>
      </w:r>
      <w:r w:rsidR="00DC505B" w:rsidRPr="00DC505B">
        <w:rPr>
          <w:rFonts w:ascii="Arial" w:eastAsiaTheme="minorEastAsia" w:hAnsi="Arial" w:cs="Arial"/>
          <w:sz w:val="24"/>
          <w:szCs w:val="24"/>
          <w:lang w:val="en-US"/>
        </w:rPr>
        <w:t xml:space="preserve"> Gauteng</w:t>
      </w:r>
      <w:r w:rsidR="00A72487">
        <w:rPr>
          <w:rFonts w:ascii="Arial" w:eastAsiaTheme="minorEastAsia" w:hAnsi="Arial" w:cs="Arial"/>
          <w:sz w:val="24"/>
          <w:szCs w:val="24"/>
          <w:lang w:val="en-US"/>
        </w:rPr>
        <w:t>,</w:t>
      </w:r>
      <w:r w:rsidR="00DC505B" w:rsidRPr="00DC505B">
        <w:rPr>
          <w:rFonts w:ascii="Arial" w:eastAsiaTheme="minorEastAsia" w:hAnsi="Arial" w:cs="Arial"/>
          <w:sz w:val="24"/>
          <w:szCs w:val="24"/>
          <w:lang w:val="en-US"/>
        </w:rPr>
        <w:t xml:space="preserve"> is </w:t>
      </w:r>
      <w:r w:rsidR="007309D7">
        <w:rPr>
          <w:rFonts w:ascii="Arial" w:eastAsiaTheme="minorEastAsia" w:hAnsi="Arial" w:cs="Arial"/>
          <w:sz w:val="24"/>
          <w:szCs w:val="24"/>
          <w:lang w:val="en-US"/>
        </w:rPr>
        <w:t xml:space="preserve">set aside and </w:t>
      </w:r>
      <w:r w:rsidR="00DC505B" w:rsidRPr="00DC505B">
        <w:rPr>
          <w:rFonts w:ascii="Arial" w:eastAsiaTheme="minorEastAsia" w:hAnsi="Arial" w:cs="Arial"/>
          <w:sz w:val="24"/>
          <w:szCs w:val="24"/>
          <w:lang w:val="en-US"/>
        </w:rPr>
        <w:t xml:space="preserve">replaced with </w:t>
      </w:r>
      <w:r w:rsidR="00DC505B" w:rsidRPr="00A72487">
        <w:rPr>
          <w:rFonts w:ascii="Arial" w:eastAsiaTheme="minorEastAsia" w:hAnsi="Arial" w:cs="Arial"/>
          <w:sz w:val="24"/>
          <w:szCs w:val="24"/>
          <w:lang w:val="en-US"/>
        </w:rPr>
        <w:t xml:space="preserve">the following </w:t>
      </w:r>
      <w:r w:rsidR="00DC505B" w:rsidRPr="003C1876">
        <w:rPr>
          <w:rFonts w:ascii="Arial" w:eastAsiaTheme="minorEastAsia" w:hAnsi="Arial" w:cs="Arial"/>
          <w:sz w:val="24"/>
          <w:szCs w:val="24"/>
          <w:lang w:val="en-US"/>
        </w:rPr>
        <w:t>order:</w:t>
      </w:r>
    </w:p>
    <w:p w14:paraId="7D719F1E" w14:textId="313ABB88" w:rsidR="00FB6577" w:rsidRPr="003C1876" w:rsidRDefault="0093210D" w:rsidP="00285EBE">
      <w:pPr>
        <w:pStyle w:val="ListParagraph"/>
        <w:rPr>
          <w:rFonts w:ascii="Arial" w:eastAsiaTheme="minorEastAsia" w:hAnsi="Arial" w:cs="Arial"/>
          <w:sz w:val="24"/>
          <w:szCs w:val="24"/>
          <w:lang w:val="en-US"/>
        </w:rPr>
      </w:pPr>
      <w:r>
        <w:rPr>
          <w:rFonts w:ascii="Arial" w:eastAsiaTheme="minorEastAsia" w:hAnsi="Arial" w:cs="Arial"/>
          <w:sz w:val="24"/>
          <w:szCs w:val="24"/>
          <w:lang w:val="en-US"/>
        </w:rPr>
        <w:t>(</w:t>
      </w:r>
      <w:r w:rsidR="007146C7" w:rsidRPr="003C1876">
        <w:rPr>
          <w:rFonts w:ascii="Arial" w:eastAsiaTheme="minorEastAsia" w:hAnsi="Arial" w:cs="Arial"/>
          <w:sz w:val="24"/>
          <w:szCs w:val="24"/>
          <w:lang w:val="en-US"/>
        </w:rPr>
        <w:t>a</w:t>
      </w:r>
      <w:r>
        <w:rPr>
          <w:rFonts w:ascii="Arial" w:eastAsiaTheme="minorEastAsia" w:hAnsi="Arial" w:cs="Arial"/>
          <w:sz w:val="24"/>
          <w:szCs w:val="24"/>
          <w:lang w:val="en-US"/>
        </w:rPr>
        <w:t>)</w:t>
      </w:r>
      <w:r w:rsidR="007146C7" w:rsidRPr="003C1876">
        <w:rPr>
          <w:rFonts w:ascii="Arial" w:eastAsiaTheme="minorEastAsia" w:hAnsi="Arial" w:cs="Arial"/>
          <w:sz w:val="24"/>
          <w:szCs w:val="24"/>
          <w:lang w:val="en-US"/>
        </w:rPr>
        <w:t xml:space="preserve"> </w:t>
      </w:r>
      <w:r w:rsidR="00DC505B" w:rsidRPr="003C1876">
        <w:rPr>
          <w:rFonts w:ascii="Arial" w:eastAsiaTheme="minorEastAsia" w:hAnsi="Arial" w:cs="Arial"/>
          <w:sz w:val="24"/>
          <w:szCs w:val="24"/>
          <w:lang w:val="en-US"/>
        </w:rPr>
        <w:t xml:space="preserve">The appeal is upheld </w:t>
      </w:r>
      <w:r w:rsidR="007146C7" w:rsidRPr="003C1876">
        <w:rPr>
          <w:rFonts w:ascii="Arial" w:eastAsiaTheme="minorEastAsia" w:hAnsi="Arial" w:cs="Arial"/>
          <w:sz w:val="24"/>
          <w:szCs w:val="24"/>
          <w:lang w:val="en-US"/>
        </w:rPr>
        <w:t xml:space="preserve">only to the extent that the understatement penalty </w:t>
      </w:r>
      <w:r w:rsidR="0045474C">
        <w:rPr>
          <w:rFonts w:ascii="Arial" w:eastAsiaTheme="minorEastAsia" w:hAnsi="Arial" w:cs="Arial"/>
          <w:sz w:val="24"/>
          <w:szCs w:val="24"/>
          <w:lang w:val="en-US"/>
        </w:rPr>
        <w:t>is set aside</w:t>
      </w:r>
      <w:r w:rsidR="00A60252" w:rsidRPr="003C1876">
        <w:rPr>
          <w:rFonts w:ascii="Arial" w:eastAsiaTheme="minorEastAsia" w:hAnsi="Arial" w:cs="Arial"/>
          <w:sz w:val="24"/>
          <w:szCs w:val="24"/>
          <w:lang w:val="en-US"/>
        </w:rPr>
        <w:t>.</w:t>
      </w:r>
    </w:p>
    <w:p w14:paraId="0AF22B7A" w14:textId="09CE3E08" w:rsidR="00DC505B" w:rsidRPr="00F630BC" w:rsidRDefault="0093210D" w:rsidP="00285EBE">
      <w:pPr>
        <w:ind w:firstLine="720"/>
        <w:rPr>
          <w:rFonts w:ascii="Arial" w:eastAsiaTheme="minorEastAsia" w:hAnsi="Arial" w:cs="Arial"/>
          <w:sz w:val="24"/>
          <w:szCs w:val="24"/>
          <w:lang w:val="en-US"/>
        </w:rPr>
      </w:pPr>
      <w:r>
        <w:rPr>
          <w:rFonts w:ascii="Arial" w:eastAsiaTheme="minorEastAsia" w:hAnsi="Arial" w:cs="Arial"/>
          <w:sz w:val="24"/>
          <w:szCs w:val="24"/>
          <w:lang w:val="en-US"/>
        </w:rPr>
        <w:t>(</w:t>
      </w:r>
      <w:r w:rsidR="007146C7" w:rsidRPr="003C1876">
        <w:rPr>
          <w:rFonts w:ascii="Arial" w:eastAsiaTheme="minorEastAsia" w:hAnsi="Arial" w:cs="Arial"/>
          <w:sz w:val="24"/>
          <w:szCs w:val="24"/>
          <w:lang w:val="en-US"/>
        </w:rPr>
        <w:t>b</w:t>
      </w:r>
      <w:r>
        <w:rPr>
          <w:rFonts w:ascii="Arial" w:eastAsiaTheme="minorEastAsia" w:hAnsi="Arial" w:cs="Arial"/>
          <w:sz w:val="24"/>
          <w:szCs w:val="24"/>
          <w:lang w:val="en-US"/>
        </w:rPr>
        <w:t>)</w:t>
      </w:r>
      <w:r w:rsidR="007146C7" w:rsidRPr="003C1876">
        <w:rPr>
          <w:rFonts w:ascii="Arial" w:eastAsiaTheme="minorEastAsia" w:hAnsi="Arial" w:cs="Arial"/>
          <w:sz w:val="24"/>
          <w:szCs w:val="24"/>
          <w:lang w:val="en-US"/>
        </w:rPr>
        <w:t xml:space="preserve"> </w:t>
      </w:r>
      <w:r w:rsidR="00DC505B" w:rsidRPr="003C1876">
        <w:rPr>
          <w:rFonts w:ascii="Arial" w:eastAsiaTheme="minorEastAsia" w:hAnsi="Arial" w:cs="Arial"/>
          <w:sz w:val="24"/>
          <w:szCs w:val="24"/>
          <w:lang w:val="en-US"/>
        </w:rPr>
        <w:t>The</w:t>
      </w:r>
      <w:r w:rsidR="007146C7" w:rsidRPr="003C1876">
        <w:rPr>
          <w:rFonts w:ascii="Arial" w:eastAsiaTheme="minorEastAsia" w:hAnsi="Arial" w:cs="Arial"/>
          <w:sz w:val="24"/>
          <w:szCs w:val="24"/>
          <w:lang w:val="en-US"/>
        </w:rPr>
        <w:t>re is no order as to costs.</w:t>
      </w:r>
      <w:r w:rsidR="00DC505B" w:rsidRPr="003C1876">
        <w:rPr>
          <w:rFonts w:ascii="Arial" w:eastAsiaTheme="minorEastAsia" w:hAnsi="Arial" w:cs="Arial"/>
          <w:sz w:val="24"/>
          <w:szCs w:val="24"/>
          <w:lang w:val="en-US"/>
        </w:rPr>
        <w:t>’</w:t>
      </w:r>
    </w:p>
    <w:p w14:paraId="077A9841" w14:textId="77777777" w:rsidR="00DC505B" w:rsidRPr="004C4D70" w:rsidRDefault="00DC505B" w:rsidP="00FB6577">
      <w:pPr>
        <w:spacing w:line="240" w:lineRule="auto"/>
        <w:rPr>
          <w:rFonts w:ascii="Arial" w:eastAsiaTheme="minorEastAsia" w:hAnsi="Arial" w:cs="Arial"/>
          <w:sz w:val="24"/>
          <w:szCs w:val="24"/>
          <w:lang w:val="en-US"/>
        </w:rPr>
      </w:pPr>
    </w:p>
    <w:p w14:paraId="052F9A2F" w14:textId="77777777" w:rsidR="0091476C" w:rsidRPr="004C4D70" w:rsidRDefault="006E3019" w:rsidP="00FB6577">
      <w:pPr>
        <w:rPr>
          <w:rFonts w:ascii="Arial" w:eastAsiaTheme="minorEastAsia" w:hAnsi="Arial" w:cs="Arial"/>
          <w:sz w:val="24"/>
          <w:szCs w:val="24"/>
          <w:lang w:val="en-US"/>
        </w:rPr>
      </w:pPr>
      <w:r w:rsidRPr="004C4D70">
        <w:rPr>
          <w:rFonts w:ascii="Arial" w:eastAsiaTheme="minorEastAsia" w:hAnsi="Arial" w:cs="Arial"/>
          <w:sz w:val="24"/>
          <w:szCs w:val="24"/>
          <w:lang w:val="en-US"/>
        </w:rPr>
        <w:t>_____________</w:t>
      </w:r>
      <w:r w:rsidR="0091476C" w:rsidRPr="004C4D70">
        <w:rPr>
          <w:rFonts w:ascii="Arial" w:eastAsiaTheme="minorEastAsia" w:hAnsi="Arial" w:cs="Arial"/>
          <w:sz w:val="24"/>
          <w:szCs w:val="24"/>
          <w:lang w:val="en-US"/>
        </w:rPr>
        <w:t>___________________________________________________</w:t>
      </w:r>
      <w:r w:rsidR="00901805" w:rsidRPr="004C4D70">
        <w:rPr>
          <w:rFonts w:ascii="Arial" w:eastAsiaTheme="minorEastAsia" w:hAnsi="Arial" w:cs="Arial"/>
          <w:sz w:val="24"/>
          <w:szCs w:val="24"/>
          <w:lang w:val="en-US"/>
        </w:rPr>
        <w:t>___</w:t>
      </w:r>
    </w:p>
    <w:p w14:paraId="0E3AA2C4" w14:textId="77777777" w:rsidR="0091476C" w:rsidRPr="004C4D70" w:rsidRDefault="0091476C" w:rsidP="00FB6577">
      <w:pPr>
        <w:spacing w:line="240" w:lineRule="auto"/>
        <w:jc w:val="center"/>
        <w:rPr>
          <w:rFonts w:ascii="Arial" w:hAnsi="Arial" w:cs="Arial"/>
          <w:b/>
          <w:sz w:val="24"/>
          <w:szCs w:val="24"/>
        </w:rPr>
      </w:pPr>
    </w:p>
    <w:p w14:paraId="7A82FAB0" w14:textId="77777777" w:rsidR="006E1142" w:rsidRPr="004C4D70" w:rsidRDefault="006E1142" w:rsidP="00FB6577">
      <w:pPr>
        <w:jc w:val="center"/>
        <w:rPr>
          <w:rFonts w:ascii="Arial" w:hAnsi="Arial" w:cs="Arial"/>
          <w:b/>
          <w:sz w:val="24"/>
          <w:szCs w:val="24"/>
        </w:rPr>
      </w:pPr>
      <w:r w:rsidRPr="004C4D70">
        <w:rPr>
          <w:rFonts w:ascii="Arial" w:hAnsi="Arial" w:cs="Arial"/>
          <w:b/>
          <w:sz w:val="24"/>
          <w:szCs w:val="24"/>
        </w:rPr>
        <w:t>JUDGMENT</w:t>
      </w:r>
    </w:p>
    <w:p w14:paraId="0DD828B4" w14:textId="77777777" w:rsidR="0091476C" w:rsidRPr="004C4D70" w:rsidRDefault="0091476C" w:rsidP="00FB6577">
      <w:pPr>
        <w:rPr>
          <w:rFonts w:ascii="Arial" w:eastAsiaTheme="minorEastAsia" w:hAnsi="Arial" w:cs="Arial"/>
          <w:sz w:val="24"/>
          <w:szCs w:val="24"/>
          <w:lang w:val="en-US"/>
        </w:rPr>
      </w:pPr>
      <w:r w:rsidRPr="004C4D70">
        <w:rPr>
          <w:rFonts w:ascii="Arial" w:eastAsiaTheme="minorEastAsia" w:hAnsi="Arial" w:cs="Arial"/>
          <w:sz w:val="24"/>
          <w:szCs w:val="24"/>
          <w:lang w:val="en-US"/>
        </w:rPr>
        <w:t>___________________________________________________________________</w:t>
      </w:r>
    </w:p>
    <w:p w14:paraId="54F546A5" w14:textId="5E302F20" w:rsidR="007B2AD1" w:rsidRPr="004C4D70" w:rsidRDefault="000A2BF1" w:rsidP="00285EBE">
      <w:pPr>
        <w:spacing w:before="240" w:after="240" w:line="240" w:lineRule="auto"/>
        <w:rPr>
          <w:rFonts w:ascii="Arial" w:hAnsi="Arial" w:cs="Arial"/>
          <w:b/>
          <w:sz w:val="24"/>
          <w:szCs w:val="24"/>
        </w:rPr>
      </w:pPr>
      <w:r>
        <w:rPr>
          <w:rFonts w:ascii="Arial" w:hAnsi="Arial" w:cs="Arial"/>
          <w:b/>
          <w:sz w:val="24"/>
          <w:szCs w:val="24"/>
        </w:rPr>
        <w:t>Hughes JA (</w:t>
      </w:r>
      <w:r w:rsidR="000A36B0" w:rsidRPr="000A36B0">
        <w:rPr>
          <w:rFonts w:ascii="Arial" w:eastAsiaTheme="minorEastAsia" w:hAnsi="Arial" w:cs="Arial"/>
          <w:b/>
          <w:sz w:val="24"/>
          <w:szCs w:val="24"/>
          <w:lang w:val="en-US"/>
        </w:rPr>
        <w:t>Dambuza ADP and Van der Merwe JA and Goosen and Daffue AJJA</w:t>
      </w:r>
      <w:r w:rsidR="00F6204E">
        <w:rPr>
          <w:rFonts w:ascii="Arial" w:eastAsiaTheme="minorEastAsia" w:hAnsi="Arial" w:cs="Arial"/>
          <w:b/>
          <w:sz w:val="24"/>
          <w:szCs w:val="24"/>
          <w:lang w:val="en-US"/>
        </w:rPr>
        <w:t xml:space="preserve"> </w:t>
      </w:r>
      <w:r>
        <w:rPr>
          <w:rFonts w:ascii="Arial" w:hAnsi="Arial" w:cs="Arial"/>
          <w:b/>
          <w:sz w:val="24"/>
          <w:szCs w:val="24"/>
        </w:rPr>
        <w:t>concurring</w:t>
      </w:r>
      <w:r w:rsidR="000A1F27">
        <w:rPr>
          <w:rFonts w:ascii="Arial" w:hAnsi="Arial" w:cs="Arial"/>
          <w:b/>
          <w:sz w:val="24"/>
          <w:szCs w:val="24"/>
        </w:rPr>
        <w:t>)</w:t>
      </w:r>
      <w:r w:rsidR="0091476C" w:rsidRPr="004C4D70">
        <w:rPr>
          <w:rFonts w:ascii="Arial" w:hAnsi="Arial" w:cs="Arial"/>
          <w:b/>
          <w:sz w:val="24"/>
          <w:szCs w:val="24"/>
        </w:rPr>
        <w:t>:</w:t>
      </w:r>
    </w:p>
    <w:p w14:paraId="60A409CC" w14:textId="15C5AE4D" w:rsidR="0097392D" w:rsidRPr="006D1F6B" w:rsidRDefault="006D1F6B" w:rsidP="006D1F6B">
      <w:pPr>
        <w:spacing w:after="240"/>
        <w:rPr>
          <w:rFonts w:ascii="Arial" w:hAnsi="Arial" w:cs="Arial"/>
          <w:sz w:val="24"/>
          <w:szCs w:val="24"/>
        </w:rPr>
      </w:pPr>
      <w:r>
        <w:rPr>
          <w:rFonts w:ascii="Arial" w:hAnsi="Arial" w:cs="Arial"/>
          <w:sz w:val="24"/>
          <w:szCs w:val="24"/>
        </w:rPr>
        <w:t>[1]</w:t>
      </w:r>
      <w:r>
        <w:rPr>
          <w:rFonts w:ascii="Arial" w:hAnsi="Arial" w:cs="Arial"/>
          <w:sz w:val="24"/>
          <w:szCs w:val="24"/>
        </w:rPr>
        <w:tab/>
      </w:r>
      <w:r w:rsidR="00904ACB" w:rsidRPr="006D1F6B">
        <w:rPr>
          <w:rFonts w:ascii="Arial" w:hAnsi="Arial" w:cs="Arial"/>
          <w:sz w:val="24"/>
          <w:szCs w:val="24"/>
        </w:rPr>
        <w:t xml:space="preserve">This </w:t>
      </w:r>
      <w:r w:rsidR="00A60252" w:rsidRPr="006D1F6B">
        <w:rPr>
          <w:rFonts w:ascii="Arial" w:hAnsi="Arial" w:cs="Arial"/>
          <w:sz w:val="24"/>
          <w:szCs w:val="24"/>
        </w:rPr>
        <w:t xml:space="preserve">is an </w:t>
      </w:r>
      <w:r w:rsidR="00904ACB" w:rsidRPr="006D1F6B">
        <w:rPr>
          <w:rFonts w:ascii="Arial" w:hAnsi="Arial" w:cs="Arial"/>
          <w:sz w:val="24"/>
          <w:szCs w:val="24"/>
        </w:rPr>
        <w:t xml:space="preserve">appeal </w:t>
      </w:r>
      <w:r w:rsidR="00110135" w:rsidRPr="006D1F6B">
        <w:rPr>
          <w:rFonts w:ascii="Arial" w:hAnsi="Arial" w:cs="Arial"/>
          <w:sz w:val="24"/>
          <w:szCs w:val="24"/>
        </w:rPr>
        <w:t xml:space="preserve">against </w:t>
      </w:r>
      <w:r w:rsidR="00F6318B" w:rsidRPr="006D1F6B">
        <w:rPr>
          <w:rFonts w:ascii="Arial" w:hAnsi="Arial" w:cs="Arial"/>
          <w:sz w:val="24"/>
          <w:szCs w:val="24"/>
        </w:rPr>
        <w:t xml:space="preserve">the </w:t>
      </w:r>
      <w:r w:rsidR="00F6204E" w:rsidRPr="006D1F6B">
        <w:rPr>
          <w:rFonts w:ascii="Arial" w:hAnsi="Arial" w:cs="Arial"/>
          <w:sz w:val="24"/>
          <w:szCs w:val="24"/>
        </w:rPr>
        <w:t xml:space="preserve">decision of the </w:t>
      </w:r>
      <w:r w:rsidR="00F6318B" w:rsidRPr="006D1F6B">
        <w:rPr>
          <w:rFonts w:ascii="Arial" w:hAnsi="Arial" w:cs="Arial"/>
          <w:sz w:val="24"/>
          <w:szCs w:val="24"/>
        </w:rPr>
        <w:t xml:space="preserve">Gauteng Tax Court </w:t>
      </w:r>
      <w:r w:rsidR="004F6DCA" w:rsidRPr="006D1F6B">
        <w:rPr>
          <w:rFonts w:ascii="Arial" w:hAnsi="Arial" w:cs="Arial"/>
          <w:sz w:val="24"/>
          <w:szCs w:val="24"/>
        </w:rPr>
        <w:t xml:space="preserve">(the tax court) </w:t>
      </w:r>
      <w:r w:rsidR="00110135" w:rsidRPr="006D1F6B">
        <w:rPr>
          <w:rFonts w:ascii="Arial" w:hAnsi="Arial" w:cs="Arial"/>
          <w:sz w:val="24"/>
          <w:szCs w:val="24"/>
        </w:rPr>
        <w:t>upholding</w:t>
      </w:r>
      <w:r w:rsidR="007A0E97" w:rsidRPr="006D1F6B">
        <w:rPr>
          <w:rFonts w:ascii="Arial" w:hAnsi="Arial" w:cs="Arial"/>
          <w:sz w:val="24"/>
          <w:szCs w:val="24"/>
        </w:rPr>
        <w:t xml:space="preserve"> </w:t>
      </w:r>
      <w:r w:rsidR="00A60252" w:rsidRPr="006D1F6B">
        <w:rPr>
          <w:rFonts w:ascii="Arial" w:hAnsi="Arial" w:cs="Arial"/>
          <w:sz w:val="24"/>
          <w:szCs w:val="24"/>
        </w:rPr>
        <w:t>an appeal agai</w:t>
      </w:r>
      <w:r w:rsidR="0097392D" w:rsidRPr="006D1F6B">
        <w:rPr>
          <w:rFonts w:ascii="Arial" w:hAnsi="Arial" w:cs="Arial"/>
          <w:sz w:val="24"/>
          <w:szCs w:val="24"/>
        </w:rPr>
        <w:t>nst an additional assessment raised by the appellant (SARS) against the respondent (t</w:t>
      </w:r>
      <w:r w:rsidR="00862E82" w:rsidRPr="006D1F6B">
        <w:rPr>
          <w:rFonts w:ascii="Arial" w:hAnsi="Arial" w:cs="Arial"/>
          <w:sz w:val="24"/>
          <w:szCs w:val="24"/>
        </w:rPr>
        <w:t>he Thistle Trust</w:t>
      </w:r>
      <w:r w:rsidR="0097392D" w:rsidRPr="006D1F6B">
        <w:rPr>
          <w:rFonts w:ascii="Arial" w:hAnsi="Arial" w:cs="Arial"/>
          <w:sz w:val="24"/>
          <w:szCs w:val="24"/>
        </w:rPr>
        <w:t xml:space="preserve">). The appeal is with the leave of the </w:t>
      </w:r>
      <w:r w:rsidR="004F6DCA" w:rsidRPr="006D1F6B">
        <w:rPr>
          <w:rFonts w:ascii="Arial" w:hAnsi="Arial" w:cs="Arial"/>
          <w:sz w:val="24"/>
          <w:szCs w:val="24"/>
        </w:rPr>
        <w:t>t</w:t>
      </w:r>
      <w:r w:rsidR="0097392D" w:rsidRPr="006D1F6B">
        <w:rPr>
          <w:rFonts w:ascii="Arial" w:hAnsi="Arial" w:cs="Arial"/>
          <w:sz w:val="24"/>
          <w:szCs w:val="24"/>
        </w:rPr>
        <w:t xml:space="preserve">ax </w:t>
      </w:r>
      <w:r w:rsidR="004F6DCA" w:rsidRPr="006D1F6B">
        <w:rPr>
          <w:rFonts w:ascii="Arial" w:hAnsi="Arial" w:cs="Arial"/>
          <w:sz w:val="24"/>
          <w:szCs w:val="24"/>
        </w:rPr>
        <w:t>c</w:t>
      </w:r>
      <w:r w:rsidR="0097392D" w:rsidRPr="006D1F6B">
        <w:rPr>
          <w:rFonts w:ascii="Arial" w:hAnsi="Arial" w:cs="Arial"/>
          <w:sz w:val="24"/>
          <w:szCs w:val="24"/>
        </w:rPr>
        <w:t xml:space="preserve">ourt. </w:t>
      </w:r>
    </w:p>
    <w:p w14:paraId="1018B97E" w14:textId="77777777" w:rsidR="00A71D50" w:rsidRDefault="00A71D50">
      <w:pPr>
        <w:pStyle w:val="ListParagraph"/>
        <w:ind w:left="0"/>
        <w:rPr>
          <w:rFonts w:ascii="Arial" w:hAnsi="Arial" w:cs="Arial"/>
          <w:sz w:val="24"/>
          <w:szCs w:val="24"/>
        </w:rPr>
      </w:pPr>
    </w:p>
    <w:p w14:paraId="1F90DD35" w14:textId="66E8D22B" w:rsidR="0097392D" w:rsidRPr="006D1F6B" w:rsidRDefault="006D1F6B" w:rsidP="006D1F6B">
      <w:pPr>
        <w:rPr>
          <w:rFonts w:ascii="Arial" w:hAnsi="Arial" w:cs="Arial"/>
          <w:sz w:val="24"/>
          <w:szCs w:val="24"/>
        </w:rPr>
      </w:pPr>
      <w:r>
        <w:rPr>
          <w:rFonts w:ascii="Arial" w:hAnsi="Arial" w:cs="Arial"/>
          <w:sz w:val="24"/>
          <w:szCs w:val="24"/>
        </w:rPr>
        <w:t>[2]</w:t>
      </w:r>
      <w:r>
        <w:rPr>
          <w:rFonts w:ascii="Arial" w:hAnsi="Arial" w:cs="Arial"/>
          <w:sz w:val="24"/>
          <w:szCs w:val="24"/>
        </w:rPr>
        <w:tab/>
      </w:r>
      <w:r w:rsidR="0097392D" w:rsidRPr="006D1F6B">
        <w:rPr>
          <w:rFonts w:ascii="Arial" w:hAnsi="Arial" w:cs="Arial"/>
          <w:sz w:val="24"/>
          <w:szCs w:val="24"/>
        </w:rPr>
        <w:t xml:space="preserve">The circumstances giving rise to the additional assessments are as follows. The Thistle Trust is a beneficiary of various trusts </w:t>
      </w:r>
      <w:r w:rsidR="00F6318B" w:rsidRPr="006D1F6B">
        <w:rPr>
          <w:rFonts w:ascii="Arial" w:hAnsi="Arial" w:cs="Arial"/>
          <w:sz w:val="24"/>
          <w:szCs w:val="24"/>
        </w:rPr>
        <w:t>that comprise</w:t>
      </w:r>
      <w:r w:rsidR="000A36B0" w:rsidRPr="006D1F6B">
        <w:rPr>
          <w:rFonts w:ascii="Arial" w:hAnsi="Arial" w:cs="Arial"/>
          <w:sz w:val="24"/>
          <w:szCs w:val="24"/>
        </w:rPr>
        <w:t>d</w:t>
      </w:r>
      <w:r w:rsidR="0097392D" w:rsidRPr="006D1F6B">
        <w:rPr>
          <w:rFonts w:ascii="Arial" w:hAnsi="Arial" w:cs="Arial"/>
          <w:sz w:val="24"/>
          <w:szCs w:val="24"/>
        </w:rPr>
        <w:t xml:space="preserve"> the Zenprop Group. The trusts, referred to as Tier 1 Trusts comprise</w:t>
      </w:r>
      <w:r w:rsidR="0045474C" w:rsidRPr="006D1F6B">
        <w:rPr>
          <w:rFonts w:ascii="Arial" w:hAnsi="Arial" w:cs="Arial"/>
          <w:sz w:val="24"/>
          <w:szCs w:val="24"/>
        </w:rPr>
        <w:t>d</w:t>
      </w:r>
      <w:r w:rsidR="0097392D" w:rsidRPr="006D1F6B">
        <w:rPr>
          <w:rFonts w:ascii="Arial" w:hAnsi="Arial" w:cs="Arial"/>
          <w:sz w:val="24"/>
          <w:szCs w:val="24"/>
        </w:rPr>
        <w:t xml:space="preserve"> a </w:t>
      </w:r>
      <w:r w:rsidR="00C243A9" w:rsidRPr="006D1F6B">
        <w:rPr>
          <w:rFonts w:ascii="Arial" w:hAnsi="Arial" w:cs="Arial"/>
          <w:sz w:val="24"/>
          <w:szCs w:val="24"/>
        </w:rPr>
        <w:t>group</w:t>
      </w:r>
      <w:r w:rsidR="0097392D" w:rsidRPr="006D1F6B">
        <w:rPr>
          <w:rFonts w:ascii="Arial" w:hAnsi="Arial" w:cs="Arial"/>
          <w:sz w:val="24"/>
          <w:szCs w:val="24"/>
        </w:rPr>
        <w:t xml:space="preserve"> of ten vesting trusts </w:t>
      </w:r>
      <w:r w:rsidR="00FB4526" w:rsidRPr="006D1F6B">
        <w:rPr>
          <w:rFonts w:ascii="Arial" w:hAnsi="Arial" w:cs="Arial"/>
          <w:sz w:val="24"/>
          <w:szCs w:val="24"/>
        </w:rPr>
        <w:t>that</w:t>
      </w:r>
      <w:r w:rsidR="0097392D" w:rsidRPr="006D1F6B">
        <w:rPr>
          <w:rFonts w:ascii="Arial" w:hAnsi="Arial" w:cs="Arial"/>
          <w:sz w:val="24"/>
          <w:szCs w:val="24"/>
        </w:rPr>
        <w:t xml:space="preserve"> conduct the business of the Zenprop Group, a group of property owners and developers. In</w:t>
      </w:r>
      <w:r w:rsidR="00F6318B" w:rsidRPr="006D1F6B">
        <w:rPr>
          <w:rFonts w:ascii="Arial" w:hAnsi="Arial" w:cs="Arial"/>
          <w:sz w:val="24"/>
          <w:szCs w:val="24"/>
        </w:rPr>
        <w:t xml:space="preserve"> the</w:t>
      </w:r>
      <w:r w:rsidR="0097392D" w:rsidRPr="006D1F6B">
        <w:rPr>
          <w:rFonts w:ascii="Arial" w:hAnsi="Arial" w:cs="Arial"/>
          <w:sz w:val="24"/>
          <w:szCs w:val="24"/>
        </w:rPr>
        <w:t xml:space="preserve"> 2014, 2015 and 2016 tax periods</w:t>
      </w:r>
      <w:r w:rsidR="00F6318B" w:rsidRPr="006D1F6B">
        <w:rPr>
          <w:rFonts w:ascii="Arial" w:hAnsi="Arial" w:cs="Arial"/>
          <w:sz w:val="24"/>
          <w:szCs w:val="24"/>
        </w:rPr>
        <w:t>,</w:t>
      </w:r>
      <w:r w:rsidR="0097392D" w:rsidRPr="006D1F6B">
        <w:rPr>
          <w:rFonts w:ascii="Arial" w:hAnsi="Arial" w:cs="Arial"/>
          <w:sz w:val="24"/>
          <w:szCs w:val="24"/>
        </w:rPr>
        <w:t xml:space="preserve"> the Tier 1 Trusts disposed of certain capital assets. The capital gains so realised were distributed</w:t>
      </w:r>
      <w:r w:rsidR="0075250E" w:rsidRPr="006D1F6B">
        <w:rPr>
          <w:rFonts w:ascii="Arial" w:hAnsi="Arial" w:cs="Arial"/>
          <w:sz w:val="24"/>
          <w:szCs w:val="24"/>
        </w:rPr>
        <w:t xml:space="preserve">, </w:t>
      </w:r>
      <w:r w:rsidR="0075250E" w:rsidRPr="006D1F6B">
        <w:rPr>
          <w:rFonts w:ascii="Arial" w:hAnsi="Arial" w:cs="Arial"/>
          <w:i/>
          <w:sz w:val="24"/>
          <w:szCs w:val="24"/>
        </w:rPr>
        <w:t>inter alia</w:t>
      </w:r>
      <w:r w:rsidR="0075250E" w:rsidRPr="006D1F6B">
        <w:rPr>
          <w:rFonts w:ascii="Arial" w:hAnsi="Arial" w:cs="Arial"/>
          <w:sz w:val="24"/>
          <w:szCs w:val="24"/>
        </w:rPr>
        <w:t>, to the Thistle Trust in the same tax period. The Thist</w:t>
      </w:r>
      <w:r w:rsidR="00C243A9" w:rsidRPr="006D1F6B">
        <w:rPr>
          <w:rFonts w:ascii="Arial" w:hAnsi="Arial" w:cs="Arial"/>
          <w:sz w:val="24"/>
          <w:szCs w:val="24"/>
        </w:rPr>
        <w:t>le Trust</w:t>
      </w:r>
      <w:r w:rsidR="00F6318B" w:rsidRPr="006D1F6B">
        <w:rPr>
          <w:rFonts w:ascii="Arial" w:hAnsi="Arial" w:cs="Arial"/>
          <w:sz w:val="24"/>
          <w:szCs w:val="24"/>
        </w:rPr>
        <w:t>,</w:t>
      </w:r>
      <w:r w:rsidR="00C243A9" w:rsidRPr="006D1F6B">
        <w:rPr>
          <w:rFonts w:ascii="Arial" w:hAnsi="Arial" w:cs="Arial"/>
          <w:sz w:val="24"/>
          <w:szCs w:val="24"/>
        </w:rPr>
        <w:t xml:space="preserve"> in turn, in the same tax periods, distributed the amounts it received to its beneficiaries. It treated the proceeds received as taxable in the hands of its beneficiaries.</w:t>
      </w:r>
    </w:p>
    <w:p w14:paraId="13830A35" w14:textId="77777777" w:rsidR="00A71D50" w:rsidRDefault="00A71D50">
      <w:pPr>
        <w:pStyle w:val="ListParagraph"/>
        <w:ind w:left="0"/>
        <w:rPr>
          <w:rFonts w:ascii="Arial" w:hAnsi="Arial" w:cs="Arial"/>
          <w:sz w:val="24"/>
          <w:szCs w:val="24"/>
        </w:rPr>
      </w:pPr>
    </w:p>
    <w:p w14:paraId="252B3F77" w14:textId="7CF32FA9" w:rsidR="00C243A9" w:rsidRPr="006D1F6B" w:rsidRDefault="006D1F6B" w:rsidP="006D1F6B">
      <w:pPr>
        <w:rPr>
          <w:rFonts w:ascii="Arial" w:hAnsi="Arial" w:cs="Arial"/>
          <w:sz w:val="24"/>
          <w:szCs w:val="24"/>
        </w:rPr>
      </w:pPr>
      <w:r>
        <w:rPr>
          <w:rFonts w:ascii="Arial" w:hAnsi="Arial" w:cs="Arial"/>
          <w:sz w:val="24"/>
          <w:szCs w:val="24"/>
        </w:rPr>
        <w:t>[3]</w:t>
      </w:r>
      <w:r>
        <w:rPr>
          <w:rFonts w:ascii="Arial" w:hAnsi="Arial" w:cs="Arial"/>
          <w:sz w:val="24"/>
          <w:szCs w:val="24"/>
        </w:rPr>
        <w:tab/>
      </w:r>
      <w:r w:rsidR="00C243A9" w:rsidRPr="006D1F6B">
        <w:rPr>
          <w:rFonts w:ascii="Arial" w:hAnsi="Arial" w:cs="Arial"/>
          <w:sz w:val="24"/>
          <w:szCs w:val="24"/>
        </w:rPr>
        <w:t>SARS raised an a</w:t>
      </w:r>
      <w:r w:rsidR="00110135" w:rsidRPr="006D1F6B">
        <w:rPr>
          <w:rFonts w:ascii="Arial" w:hAnsi="Arial" w:cs="Arial"/>
          <w:sz w:val="24"/>
          <w:szCs w:val="24"/>
        </w:rPr>
        <w:t xml:space="preserve">dditional </w:t>
      </w:r>
      <w:r w:rsidR="00C243A9" w:rsidRPr="006D1F6B">
        <w:rPr>
          <w:rFonts w:ascii="Arial" w:hAnsi="Arial" w:cs="Arial"/>
          <w:sz w:val="24"/>
          <w:szCs w:val="24"/>
        </w:rPr>
        <w:t>assessment</w:t>
      </w:r>
      <w:r w:rsidR="007A0E97" w:rsidRPr="006D1F6B">
        <w:rPr>
          <w:rFonts w:ascii="Arial" w:hAnsi="Arial" w:cs="Arial"/>
          <w:sz w:val="24"/>
          <w:szCs w:val="24"/>
        </w:rPr>
        <w:t xml:space="preserve"> dated 21 September 2018</w:t>
      </w:r>
      <w:r w:rsidR="00110135" w:rsidRPr="006D1F6B">
        <w:rPr>
          <w:rFonts w:ascii="Arial" w:hAnsi="Arial" w:cs="Arial"/>
          <w:sz w:val="24"/>
          <w:szCs w:val="24"/>
        </w:rPr>
        <w:t xml:space="preserve"> for </w:t>
      </w:r>
      <w:r w:rsidR="007A0E97" w:rsidRPr="006D1F6B">
        <w:rPr>
          <w:rFonts w:ascii="Arial" w:hAnsi="Arial" w:cs="Arial"/>
          <w:sz w:val="24"/>
          <w:szCs w:val="24"/>
        </w:rPr>
        <w:t xml:space="preserve">the period </w:t>
      </w:r>
      <w:r w:rsidR="00110135" w:rsidRPr="006D1F6B">
        <w:rPr>
          <w:rFonts w:ascii="Arial" w:hAnsi="Arial" w:cs="Arial"/>
          <w:sz w:val="24"/>
          <w:szCs w:val="24"/>
        </w:rPr>
        <w:t>2014, 2015 and 2016</w:t>
      </w:r>
      <w:r w:rsidR="00C243A9" w:rsidRPr="006D1F6B">
        <w:rPr>
          <w:rFonts w:ascii="Arial" w:hAnsi="Arial" w:cs="Arial"/>
          <w:sz w:val="24"/>
          <w:szCs w:val="24"/>
        </w:rPr>
        <w:t>, taxing the amounts received by</w:t>
      </w:r>
      <w:r w:rsidR="00E728DC" w:rsidRPr="006D1F6B">
        <w:rPr>
          <w:rFonts w:ascii="Arial" w:hAnsi="Arial" w:cs="Arial"/>
          <w:sz w:val="24"/>
          <w:szCs w:val="24"/>
        </w:rPr>
        <w:t xml:space="preserve"> the</w:t>
      </w:r>
      <w:r w:rsidR="00C243A9" w:rsidRPr="006D1F6B">
        <w:rPr>
          <w:rFonts w:ascii="Arial" w:hAnsi="Arial" w:cs="Arial"/>
          <w:sz w:val="24"/>
          <w:szCs w:val="24"/>
        </w:rPr>
        <w:t xml:space="preserve"> Thistle Trust as taxable in </w:t>
      </w:r>
      <w:r w:rsidR="00C243A9" w:rsidRPr="006D1F6B">
        <w:rPr>
          <w:rFonts w:ascii="Arial" w:hAnsi="Arial" w:cs="Arial"/>
          <w:sz w:val="24"/>
          <w:szCs w:val="24"/>
        </w:rPr>
        <w:lastRenderedPageBreak/>
        <w:t xml:space="preserve">its hands. SARS also imposed an understatement penalty against </w:t>
      </w:r>
      <w:r w:rsidR="00E728DC" w:rsidRPr="006D1F6B">
        <w:rPr>
          <w:rFonts w:ascii="Arial" w:hAnsi="Arial" w:cs="Arial"/>
          <w:sz w:val="24"/>
          <w:szCs w:val="24"/>
        </w:rPr>
        <w:t xml:space="preserve">the </w:t>
      </w:r>
      <w:r w:rsidR="00C243A9" w:rsidRPr="006D1F6B">
        <w:rPr>
          <w:rFonts w:ascii="Arial" w:hAnsi="Arial" w:cs="Arial"/>
          <w:sz w:val="24"/>
          <w:szCs w:val="24"/>
        </w:rPr>
        <w:t>Thistle</w:t>
      </w:r>
      <w:r w:rsidR="00E728DC" w:rsidRPr="006D1F6B">
        <w:rPr>
          <w:rFonts w:ascii="Arial" w:hAnsi="Arial" w:cs="Arial"/>
          <w:sz w:val="24"/>
          <w:szCs w:val="24"/>
        </w:rPr>
        <w:t xml:space="preserve"> Trust</w:t>
      </w:r>
      <w:r w:rsidR="00C243A9" w:rsidRPr="006D1F6B">
        <w:rPr>
          <w:rFonts w:ascii="Arial" w:hAnsi="Arial" w:cs="Arial"/>
          <w:sz w:val="24"/>
          <w:szCs w:val="24"/>
        </w:rPr>
        <w:t xml:space="preserve"> and required it to pay interest on the assessed liability.  </w:t>
      </w:r>
    </w:p>
    <w:p w14:paraId="072E7227" w14:textId="77777777" w:rsidR="00A71D50" w:rsidRPr="004F6DCA" w:rsidRDefault="00A71D50" w:rsidP="009006C4">
      <w:pPr>
        <w:pStyle w:val="ListParagraph"/>
        <w:ind w:left="0"/>
        <w:rPr>
          <w:rFonts w:ascii="Arial" w:hAnsi="Arial" w:cs="Arial"/>
          <w:sz w:val="24"/>
          <w:szCs w:val="24"/>
        </w:rPr>
      </w:pPr>
    </w:p>
    <w:p w14:paraId="1BDE054E" w14:textId="6E2AC89F" w:rsidR="00F6318B" w:rsidRPr="006D1F6B" w:rsidRDefault="006D1F6B" w:rsidP="006D1F6B">
      <w:pPr>
        <w:rPr>
          <w:rFonts w:ascii="Arial" w:hAnsi="Arial" w:cs="Arial"/>
          <w:sz w:val="24"/>
          <w:szCs w:val="24"/>
        </w:rPr>
      </w:pPr>
      <w:r>
        <w:rPr>
          <w:rFonts w:ascii="Arial" w:hAnsi="Arial" w:cs="Arial"/>
          <w:sz w:val="24"/>
          <w:szCs w:val="24"/>
        </w:rPr>
        <w:t>[4]</w:t>
      </w:r>
      <w:r>
        <w:rPr>
          <w:rFonts w:ascii="Arial" w:hAnsi="Arial" w:cs="Arial"/>
          <w:sz w:val="24"/>
          <w:szCs w:val="24"/>
        </w:rPr>
        <w:tab/>
      </w:r>
      <w:r w:rsidR="00C243A9" w:rsidRPr="006D1F6B">
        <w:rPr>
          <w:rFonts w:ascii="Arial" w:hAnsi="Arial" w:cs="Arial"/>
          <w:sz w:val="24"/>
          <w:szCs w:val="24"/>
        </w:rPr>
        <w:t>The Thistle Trust filed an objection to the additional assessment. The main thrust of the objection was</w:t>
      </w:r>
      <w:r w:rsidR="00CA3E55" w:rsidRPr="006D1F6B">
        <w:rPr>
          <w:rFonts w:ascii="Arial" w:hAnsi="Arial" w:cs="Arial"/>
          <w:sz w:val="24"/>
          <w:szCs w:val="24"/>
        </w:rPr>
        <w:t xml:space="preserve"> that</w:t>
      </w:r>
      <w:r w:rsidR="00F6318B" w:rsidRPr="006D1F6B">
        <w:rPr>
          <w:rFonts w:ascii="Arial" w:hAnsi="Arial" w:cs="Arial"/>
          <w:sz w:val="24"/>
          <w:szCs w:val="24"/>
        </w:rPr>
        <w:t>:</w:t>
      </w:r>
    </w:p>
    <w:p w14:paraId="2F7E5196" w14:textId="77777777" w:rsidR="00C243A9" w:rsidRPr="00327000" w:rsidRDefault="00C243A9" w:rsidP="00327000">
      <w:pPr>
        <w:pStyle w:val="ListParagraph"/>
        <w:ind w:left="0"/>
        <w:rPr>
          <w:rFonts w:ascii="Arial" w:hAnsi="Arial" w:cs="Arial"/>
        </w:rPr>
      </w:pPr>
      <w:r w:rsidRPr="00327000">
        <w:rPr>
          <w:rFonts w:ascii="Arial" w:hAnsi="Arial" w:cs="Arial"/>
        </w:rPr>
        <w:t>‘having regard to the provisions of s</w:t>
      </w:r>
      <w:r w:rsidR="00CA3E55">
        <w:rPr>
          <w:rFonts w:ascii="Arial" w:hAnsi="Arial" w:cs="Arial"/>
        </w:rPr>
        <w:t>ection</w:t>
      </w:r>
      <w:r w:rsidRPr="00327000">
        <w:rPr>
          <w:rFonts w:ascii="Arial" w:hAnsi="Arial" w:cs="Arial"/>
        </w:rPr>
        <w:t xml:space="preserve"> 25B of the ITA and paragraph 80(2) of the Eighth Schedule to the ITA (</w:t>
      </w:r>
      <w:r w:rsidR="00CA3E55">
        <w:rPr>
          <w:rFonts w:ascii="Arial" w:hAnsi="Arial" w:cs="Arial"/>
        </w:rPr>
        <w:t>“</w:t>
      </w:r>
      <w:r w:rsidRPr="00327000">
        <w:rPr>
          <w:rFonts w:ascii="Arial" w:hAnsi="Arial" w:cs="Arial"/>
        </w:rPr>
        <w:t>the Eighth Schedule</w:t>
      </w:r>
      <w:r w:rsidR="00CA3E55">
        <w:rPr>
          <w:rFonts w:ascii="Arial" w:hAnsi="Arial" w:cs="Arial"/>
        </w:rPr>
        <w:t>”</w:t>
      </w:r>
      <w:r w:rsidRPr="00327000">
        <w:rPr>
          <w:rFonts w:ascii="Arial" w:hAnsi="Arial" w:cs="Arial"/>
        </w:rPr>
        <w:t>), the capital gains . . . ought not to have been taxed as our client derived no taxable income in this regard, and such gains were properly taxable in the hands of our client’s beneficiaries under those provisions of the ITA</w:t>
      </w:r>
      <w:r w:rsidR="00F92D34">
        <w:rPr>
          <w:rFonts w:ascii="Arial" w:hAnsi="Arial" w:cs="Arial"/>
        </w:rPr>
        <w:t>.</w:t>
      </w:r>
      <w:r w:rsidR="00E3708D">
        <w:rPr>
          <w:rFonts w:ascii="Arial" w:hAnsi="Arial" w:cs="Arial"/>
        </w:rPr>
        <w:t>’</w:t>
      </w:r>
      <w:r w:rsidR="00CA3E55" w:rsidRPr="00475688" w:rsidDel="00CA3E55">
        <w:rPr>
          <w:rStyle w:val="FootnoteReference"/>
          <w:rFonts w:ascii="Arial" w:hAnsi="Arial" w:cs="Arial"/>
        </w:rPr>
        <w:t xml:space="preserve"> </w:t>
      </w:r>
    </w:p>
    <w:p w14:paraId="1C0CAF93" w14:textId="77777777" w:rsidR="00A71D50" w:rsidRDefault="00A71D50">
      <w:pPr>
        <w:pStyle w:val="ListParagraph"/>
        <w:ind w:left="0"/>
        <w:rPr>
          <w:rFonts w:ascii="Arial" w:hAnsi="Arial" w:cs="Arial"/>
          <w:sz w:val="24"/>
          <w:szCs w:val="24"/>
        </w:rPr>
      </w:pPr>
    </w:p>
    <w:p w14:paraId="2DB86A34" w14:textId="64D58267" w:rsidR="00C243A9" w:rsidRPr="006D1F6B" w:rsidRDefault="006D1F6B" w:rsidP="006D1F6B">
      <w:pPr>
        <w:rPr>
          <w:rFonts w:ascii="Arial" w:hAnsi="Arial" w:cs="Arial"/>
          <w:sz w:val="24"/>
          <w:szCs w:val="24"/>
        </w:rPr>
      </w:pPr>
      <w:r w:rsidRPr="003C1876">
        <w:rPr>
          <w:rFonts w:ascii="Arial" w:hAnsi="Arial" w:cs="Arial"/>
          <w:sz w:val="24"/>
          <w:szCs w:val="24"/>
        </w:rPr>
        <w:t>[5]</w:t>
      </w:r>
      <w:r w:rsidRPr="003C1876">
        <w:rPr>
          <w:rFonts w:ascii="Arial" w:hAnsi="Arial" w:cs="Arial"/>
          <w:sz w:val="24"/>
          <w:szCs w:val="24"/>
        </w:rPr>
        <w:tab/>
      </w:r>
      <w:r w:rsidR="00E728DC" w:rsidRPr="006D1F6B">
        <w:rPr>
          <w:rFonts w:ascii="Arial" w:hAnsi="Arial" w:cs="Arial"/>
          <w:sz w:val="24"/>
          <w:szCs w:val="24"/>
        </w:rPr>
        <w:t xml:space="preserve">SARS disallowed the </w:t>
      </w:r>
      <w:r w:rsidR="00EE6E5A" w:rsidRPr="006D1F6B">
        <w:rPr>
          <w:rFonts w:ascii="Arial" w:hAnsi="Arial" w:cs="Arial"/>
          <w:sz w:val="24"/>
          <w:szCs w:val="24"/>
        </w:rPr>
        <w:t>objection</w:t>
      </w:r>
      <w:r w:rsidR="00C243A9" w:rsidRPr="006D1F6B">
        <w:rPr>
          <w:rFonts w:ascii="Arial" w:hAnsi="Arial" w:cs="Arial"/>
          <w:sz w:val="24"/>
          <w:szCs w:val="24"/>
        </w:rPr>
        <w:t>. In March 2021</w:t>
      </w:r>
      <w:r w:rsidR="00E132D1" w:rsidRPr="006D1F6B">
        <w:rPr>
          <w:rFonts w:ascii="Arial" w:hAnsi="Arial" w:cs="Arial"/>
          <w:sz w:val="24"/>
          <w:szCs w:val="24"/>
        </w:rPr>
        <w:t>,</w:t>
      </w:r>
      <w:r w:rsidR="00C243A9" w:rsidRPr="006D1F6B">
        <w:rPr>
          <w:rFonts w:ascii="Arial" w:hAnsi="Arial" w:cs="Arial"/>
          <w:sz w:val="24"/>
          <w:szCs w:val="24"/>
        </w:rPr>
        <w:t xml:space="preserve"> </w:t>
      </w:r>
      <w:r w:rsidR="00E728DC" w:rsidRPr="006D1F6B">
        <w:rPr>
          <w:rFonts w:ascii="Arial" w:hAnsi="Arial" w:cs="Arial"/>
          <w:sz w:val="24"/>
          <w:szCs w:val="24"/>
        </w:rPr>
        <w:t xml:space="preserve">the </w:t>
      </w:r>
      <w:r w:rsidR="00C243A9" w:rsidRPr="006D1F6B">
        <w:rPr>
          <w:rFonts w:ascii="Arial" w:hAnsi="Arial" w:cs="Arial"/>
          <w:sz w:val="24"/>
          <w:szCs w:val="24"/>
        </w:rPr>
        <w:t>Thistle Trust appealed</w:t>
      </w:r>
      <w:r w:rsidR="00C23E0F" w:rsidRPr="006D1F6B">
        <w:rPr>
          <w:rFonts w:ascii="Arial" w:hAnsi="Arial" w:cs="Arial"/>
          <w:sz w:val="24"/>
          <w:szCs w:val="24"/>
        </w:rPr>
        <w:t xml:space="preserve"> to the </w:t>
      </w:r>
      <w:r w:rsidR="004F6DCA" w:rsidRPr="006D1F6B">
        <w:rPr>
          <w:rFonts w:ascii="Arial" w:hAnsi="Arial" w:cs="Arial"/>
          <w:sz w:val="24"/>
          <w:szCs w:val="24"/>
        </w:rPr>
        <w:t>t</w:t>
      </w:r>
      <w:r w:rsidR="00C243A9" w:rsidRPr="006D1F6B">
        <w:rPr>
          <w:rFonts w:ascii="Arial" w:hAnsi="Arial" w:cs="Arial"/>
          <w:sz w:val="24"/>
          <w:szCs w:val="24"/>
        </w:rPr>
        <w:t xml:space="preserve">ax </w:t>
      </w:r>
      <w:r w:rsidR="004F6DCA" w:rsidRPr="006D1F6B">
        <w:rPr>
          <w:rFonts w:ascii="Arial" w:hAnsi="Arial" w:cs="Arial"/>
          <w:sz w:val="24"/>
          <w:szCs w:val="24"/>
        </w:rPr>
        <w:t>c</w:t>
      </w:r>
      <w:r w:rsidR="00C243A9" w:rsidRPr="006D1F6B">
        <w:rPr>
          <w:rFonts w:ascii="Arial" w:hAnsi="Arial" w:cs="Arial"/>
          <w:sz w:val="24"/>
          <w:szCs w:val="24"/>
        </w:rPr>
        <w:t>ourt</w:t>
      </w:r>
      <w:r w:rsidR="00C23E0F" w:rsidRPr="006D1F6B">
        <w:rPr>
          <w:rFonts w:ascii="Arial" w:hAnsi="Arial" w:cs="Arial"/>
          <w:sz w:val="24"/>
          <w:szCs w:val="24"/>
        </w:rPr>
        <w:t xml:space="preserve">. </w:t>
      </w:r>
      <w:r w:rsidR="00C243A9" w:rsidRPr="006D1F6B">
        <w:rPr>
          <w:rFonts w:ascii="Arial" w:hAnsi="Arial" w:cs="Arial"/>
          <w:sz w:val="24"/>
          <w:szCs w:val="24"/>
        </w:rPr>
        <w:t xml:space="preserve">The </w:t>
      </w:r>
      <w:r w:rsidR="004F6DCA" w:rsidRPr="006D1F6B">
        <w:rPr>
          <w:rFonts w:ascii="Arial" w:hAnsi="Arial" w:cs="Arial"/>
          <w:sz w:val="24"/>
          <w:szCs w:val="24"/>
        </w:rPr>
        <w:t>t</w:t>
      </w:r>
      <w:r w:rsidR="00C243A9" w:rsidRPr="006D1F6B">
        <w:rPr>
          <w:rFonts w:ascii="Arial" w:hAnsi="Arial" w:cs="Arial"/>
          <w:sz w:val="24"/>
          <w:szCs w:val="24"/>
        </w:rPr>
        <w:t xml:space="preserve">ax </w:t>
      </w:r>
      <w:r w:rsidR="004F6DCA" w:rsidRPr="006D1F6B">
        <w:rPr>
          <w:rFonts w:ascii="Arial" w:hAnsi="Arial" w:cs="Arial"/>
          <w:sz w:val="24"/>
          <w:szCs w:val="24"/>
        </w:rPr>
        <w:t>c</w:t>
      </w:r>
      <w:r w:rsidR="00C243A9" w:rsidRPr="006D1F6B">
        <w:rPr>
          <w:rFonts w:ascii="Arial" w:hAnsi="Arial" w:cs="Arial"/>
          <w:sz w:val="24"/>
          <w:szCs w:val="24"/>
        </w:rPr>
        <w:t xml:space="preserve">ourt </w:t>
      </w:r>
      <w:r w:rsidR="00C23E0F" w:rsidRPr="006D1F6B">
        <w:rPr>
          <w:rFonts w:ascii="Arial" w:hAnsi="Arial" w:cs="Arial"/>
          <w:sz w:val="24"/>
          <w:szCs w:val="24"/>
        </w:rPr>
        <w:t>found that the vesting trusts (ie</w:t>
      </w:r>
      <w:r w:rsidR="00E132D1" w:rsidRPr="006D1F6B">
        <w:rPr>
          <w:rFonts w:ascii="Arial" w:hAnsi="Arial" w:cs="Arial"/>
          <w:sz w:val="24"/>
          <w:szCs w:val="24"/>
        </w:rPr>
        <w:t>,</w:t>
      </w:r>
      <w:r w:rsidR="00C23E0F" w:rsidRPr="006D1F6B">
        <w:rPr>
          <w:rFonts w:ascii="Arial" w:hAnsi="Arial" w:cs="Arial"/>
          <w:sz w:val="24"/>
          <w:szCs w:val="24"/>
        </w:rPr>
        <w:t xml:space="preserve"> the Tier</w:t>
      </w:r>
      <w:r w:rsidR="00327000" w:rsidRPr="006D1F6B">
        <w:rPr>
          <w:rFonts w:ascii="Arial" w:hAnsi="Arial" w:cs="Arial"/>
          <w:sz w:val="24"/>
          <w:szCs w:val="24"/>
        </w:rPr>
        <w:t xml:space="preserve"> 1</w:t>
      </w:r>
      <w:r w:rsidR="00C23E0F" w:rsidRPr="006D1F6B">
        <w:rPr>
          <w:rFonts w:ascii="Arial" w:hAnsi="Arial" w:cs="Arial"/>
          <w:sz w:val="24"/>
          <w:szCs w:val="24"/>
        </w:rPr>
        <w:t xml:space="preserve"> Trusts) had disposed of capital assets </w:t>
      </w:r>
      <w:r w:rsidR="00E132D1" w:rsidRPr="006D1F6B">
        <w:rPr>
          <w:rFonts w:ascii="Arial" w:hAnsi="Arial" w:cs="Arial"/>
          <w:sz w:val="24"/>
          <w:szCs w:val="24"/>
        </w:rPr>
        <w:t xml:space="preserve">and </w:t>
      </w:r>
      <w:r w:rsidR="00C23E0F" w:rsidRPr="006D1F6B">
        <w:rPr>
          <w:rFonts w:ascii="Arial" w:hAnsi="Arial" w:cs="Arial"/>
          <w:sz w:val="24"/>
          <w:szCs w:val="24"/>
        </w:rPr>
        <w:t xml:space="preserve">made capital gains. </w:t>
      </w:r>
      <w:r w:rsidR="007146C7" w:rsidRPr="006D1F6B">
        <w:rPr>
          <w:rFonts w:ascii="Arial" w:hAnsi="Arial" w:cs="Arial"/>
          <w:sz w:val="24"/>
          <w:szCs w:val="24"/>
        </w:rPr>
        <w:t>It held that t</w:t>
      </w:r>
      <w:r w:rsidR="00C23E0F" w:rsidRPr="006D1F6B">
        <w:rPr>
          <w:rFonts w:ascii="Arial" w:hAnsi="Arial" w:cs="Arial"/>
          <w:sz w:val="24"/>
          <w:szCs w:val="24"/>
        </w:rPr>
        <w:t xml:space="preserve">he </w:t>
      </w:r>
      <w:r w:rsidR="00C232D7" w:rsidRPr="006D1F6B">
        <w:rPr>
          <w:rFonts w:ascii="Arial" w:hAnsi="Arial" w:cs="Arial"/>
          <w:sz w:val="24"/>
          <w:szCs w:val="24"/>
        </w:rPr>
        <w:t>capital gains</w:t>
      </w:r>
      <w:r w:rsidR="00C23E0F" w:rsidRPr="006D1F6B">
        <w:rPr>
          <w:rFonts w:ascii="Arial" w:hAnsi="Arial" w:cs="Arial"/>
          <w:sz w:val="24"/>
          <w:szCs w:val="24"/>
        </w:rPr>
        <w:t xml:space="preserve"> distributed to the Thistle Trust </w:t>
      </w:r>
      <w:r w:rsidR="00C232D7" w:rsidRPr="006D1F6B">
        <w:rPr>
          <w:rFonts w:ascii="Arial" w:hAnsi="Arial" w:cs="Arial"/>
          <w:sz w:val="24"/>
          <w:szCs w:val="24"/>
        </w:rPr>
        <w:t xml:space="preserve">and subsequently passed on to its beneficiaries, </w:t>
      </w:r>
      <w:r w:rsidR="00C23E0F" w:rsidRPr="006D1F6B">
        <w:rPr>
          <w:rFonts w:ascii="Arial" w:hAnsi="Arial" w:cs="Arial"/>
          <w:sz w:val="24"/>
          <w:szCs w:val="24"/>
        </w:rPr>
        <w:t xml:space="preserve">constituted ‘amounts’ </w:t>
      </w:r>
      <w:r w:rsidR="00C232D7" w:rsidRPr="006D1F6B">
        <w:rPr>
          <w:rFonts w:ascii="Arial" w:hAnsi="Arial" w:cs="Arial"/>
          <w:sz w:val="24"/>
          <w:szCs w:val="24"/>
        </w:rPr>
        <w:t>that</w:t>
      </w:r>
      <w:r w:rsidR="00C23E0F" w:rsidRPr="006D1F6B">
        <w:rPr>
          <w:rFonts w:ascii="Arial" w:hAnsi="Arial" w:cs="Arial"/>
          <w:sz w:val="24"/>
          <w:szCs w:val="24"/>
        </w:rPr>
        <w:t xml:space="preserve"> fell within the</w:t>
      </w:r>
      <w:r w:rsidR="00C243A9" w:rsidRPr="006D1F6B">
        <w:rPr>
          <w:rFonts w:ascii="Arial" w:hAnsi="Arial" w:cs="Arial"/>
          <w:sz w:val="24"/>
          <w:szCs w:val="24"/>
        </w:rPr>
        <w:t xml:space="preserve"> purview of s</w:t>
      </w:r>
      <w:r w:rsidR="004F6DCA" w:rsidRPr="006D1F6B">
        <w:rPr>
          <w:rFonts w:ascii="Arial" w:hAnsi="Arial" w:cs="Arial"/>
          <w:sz w:val="24"/>
          <w:szCs w:val="24"/>
        </w:rPr>
        <w:t>s</w:t>
      </w:r>
      <w:r w:rsidR="00C243A9" w:rsidRPr="006D1F6B">
        <w:rPr>
          <w:rFonts w:ascii="Arial" w:hAnsi="Arial" w:cs="Arial"/>
          <w:sz w:val="24"/>
          <w:szCs w:val="24"/>
        </w:rPr>
        <w:t xml:space="preserve"> 25B(1), 25B(2)</w:t>
      </w:r>
      <w:r w:rsidR="00E132D1" w:rsidRPr="006D1F6B">
        <w:rPr>
          <w:rFonts w:ascii="Arial" w:hAnsi="Arial" w:cs="Arial"/>
          <w:sz w:val="24"/>
          <w:szCs w:val="24"/>
        </w:rPr>
        <w:t>,</w:t>
      </w:r>
      <w:r w:rsidR="00C243A9" w:rsidRPr="006D1F6B">
        <w:rPr>
          <w:rFonts w:ascii="Arial" w:hAnsi="Arial" w:cs="Arial"/>
          <w:sz w:val="24"/>
          <w:szCs w:val="24"/>
        </w:rPr>
        <w:t xml:space="preserve"> and paragraph 80(2) of the Eight</w:t>
      </w:r>
      <w:r w:rsidR="00E132D1" w:rsidRPr="006D1F6B">
        <w:rPr>
          <w:rFonts w:ascii="Arial" w:hAnsi="Arial" w:cs="Arial"/>
          <w:sz w:val="24"/>
          <w:szCs w:val="24"/>
        </w:rPr>
        <w:t>h</w:t>
      </w:r>
      <w:r w:rsidR="00C243A9" w:rsidRPr="006D1F6B">
        <w:rPr>
          <w:rFonts w:ascii="Arial" w:hAnsi="Arial" w:cs="Arial"/>
          <w:sz w:val="24"/>
          <w:szCs w:val="24"/>
        </w:rPr>
        <w:t xml:space="preserve"> </w:t>
      </w:r>
      <w:r w:rsidR="00887F58" w:rsidRPr="006D1F6B">
        <w:rPr>
          <w:rFonts w:ascii="Arial" w:hAnsi="Arial" w:cs="Arial"/>
          <w:sz w:val="24"/>
          <w:szCs w:val="24"/>
        </w:rPr>
        <w:t>S</w:t>
      </w:r>
      <w:r w:rsidR="00C243A9" w:rsidRPr="006D1F6B">
        <w:rPr>
          <w:rFonts w:ascii="Arial" w:hAnsi="Arial" w:cs="Arial"/>
          <w:sz w:val="24"/>
          <w:szCs w:val="24"/>
        </w:rPr>
        <w:t xml:space="preserve">chedule of the </w:t>
      </w:r>
      <w:r w:rsidR="004D69E2" w:rsidRPr="006D1F6B">
        <w:rPr>
          <w:rFonts w:ascii="Arial" w:hAnsi="Arial" w:cs="Arial"/>
          <w:sz w:val="24"/>
          <w:szCs w:val="24"/>
        </w:rPr>
        <w:t xml:space="preserve">Income Tax Act </w:t>
      </w:r>
      <w:r w:rsidR="00C23E0F" w:rsidRPr="006D1F6B">
        <w:rPr>
          <w:rFonts w:ascii="Arial" w:hAnsi="Arial" w:cs="Arial"/>
          <w:sz w:val="24"/>
          <w:szCs w:val="24"/>
        </w:rPr>
        <w:t>58 of 1962 (the ITA). Accordingly</w:t>
      </w:r>
      <w:r w:rsidR="00E132D1" w:rsidRPr="006D1F6B">
        <w:rPr>
          <w:rFonts w:ascii="Arial" w:hAnsi="Arial" w:cs="Arial"/>
          <w:sz w:val="24"/>
          <w:szCs w:val="24"/>
        </w:rPr>
        <w:t>,</w:t>
      </w:r>
      <w:r w:rsidR="00C23E0F" w:rsidRPr="006D1F6B">
        <w:rPr>
          <w:rFonts w:ascii="Arial" w:hAnsi="Arial" w:cs="Arial"/>
          <w:sz w:val="24"/>
          <w:szCs w:val="24"/>
        </w:rPr>
        <w:t xml:space="preserve"> the distribution to the beneficiaries of the Thistle Trust was a distribution of capital gains </w:t>
      </w:r>
      <w:r w:rsidR="00C232D7" w:rsidRPr="006D1F6B">
        <w:rPr>
          <w:rFonts w:ascii="Arial" w:hAnsi="Arial" w:cs="Arial"/>
          <w:sz w:val="24"/>
          <w:szCs w:val="24"/>
        </w:rPr>
        <w:t>taxable in the hands of its</w:t>
      </w:r>
      <w:r w:rsidR="00C23E0F" w:rsidRPr="006D1F6B">
        <w:rPr>
          <w:rFonts w:ascii="Arial" w:hAnsi="Arial" w:cs="Arial"/>
          <w:sz w:val="24"/>
          <w:szCs w:val="24"/>
        </w:rPr>
        <w:t xml:space="preserve"> beneficiaries. The </w:t>
      </w:r>
      <w:r w:rsidR="004F6DCA" w:rsidRPr="006D1F6B">
        <w:rPr>
          <w:rFonts w:ascii="Arial" w:hAnsi="Arial" w:cs="Arial"/>
          <w:sz w:val="24"/>
          <w:szCs w:val="24"/>
        </w:rPr>
        <w:t>t</w:t>
      </w:r>
      <w:r w:rsidR="00C23E0F" w:rsidRPr="006D1F6B">
        <w:rPr>
          <w:rFonts w:ascii="Arial" w:hAnsi="Arial" w:cs="Arial"/>
          <w:sz w:val="24"/>
          <w:szCs w:val="24"/>
        </w:rPr>
        <w:t xml:space="preserve">ax </w:t>
      </w:r>
      <w:r w:rsidR="004F6DCA" w:rsidRPr="006D1F6B">
        <w:rPr>
          <w:rFonts w:ascii="Arial" w:hAnsi="Arial" w:cs="Arial"/>
          <w:sz w:val="24"/>
          <w:szCs w:val="24"/>
        </w:rPr>
        <w:t>c</w:t>
      </w:r>
      <w:r w:rsidR="00C23E0F" w:rsidRPr="006D1F6B">
        <w:rPr>
          <w:rFonts w:ascii="Arial" w:hAnsi="Arial" w:cs="Arial"/>
          <w:sz w:val="24"/>
          <w:szCs w:val="24"/>
        </w:rPr>
        <w:t>ourt</w:t>
      </w:r>
      <w:r w:rsidR="00E132D1" w:rsidRPr="006D1F6B">
        <w:rPr>
          <w:rFonts w:ascii="Arial" w:hAnsi="Arial" w:cs="Arial"/>
          <w:sz w:val="24"/>
          <w:szCs w:val="24"/>
        </w:rPr>
        <w:t>, therefore,</w:t>
      </w:r>
      <w:r w:rsidR="00C23E0F" w:rsidRPr="006D1F6B">
        <w:rPr>
          <w:rFonts w:ascii="Arial" w:hAnsi="Arial" w:cs="Arial"/>
          <w:sz w:val="24"/>
          <w:szCs w:val="24"/>
        </w:rPr>
        <w:t xml:space="preserve"> set aside the additional assessments. </w:t>
      </w:r>
    </w:p>
    <w:p w14:paraId="16CF1187" w14:textId="77777777" w:rsidR="007A0E97" w:rsidRDefault="007A0E97" w:rsidP="00887F58">
      <w:pPr>
        <w:pStyle w:val="ListParagraph"/>
        <w:ind w:left="0"/>
        <w:rPr>
          <w:rFonts w:ascii="Arial" w:hAnsi="Arial" w:cs="Arial"/>
          <w:sz w:val="24"/>
          <w:szCs w:val="24"/>
        </w:rPr>
      </w:pPr>
    </w:p>
    <w:p w14:paraId="20E02A35" w14:textId="77777777" w:rsidR="009B786E" w:rsidRPr="00B857BA" w:rsidRDefault="009B786E" w:rsidP="00887F58">
      <w:pPr>
        <w:rPr>
          <w:rFonts w:ascii="Arial" w:hAnsi="Arial" w:cs="Arial"/>
          <w:b/>
          <w:sz w:val="24"/>
          <w:szCs w:val="24"/>
        </w:rPr>
      </w:pPr>
      <w:r w:rsidRPr="00B857BA">
        <w:rPr>
          <w:rFonts w:ascii="Arial" w:hAnsi="Arial" w:cs="Arial"/>
          <w:b/>
          <w:sz w:val="24"/>
          <w:szCs w:val="24"/>
        </w:rPr>
        <w:t xml:space="preserve">The </w:t>
      </w:r>
      <w:r w:rsidR="00766553" w:rsidRPr="00B857BA">
        <w:rPr>
          <w:rFonts w:ascii="Arial" w:hAnsi="Arial" w:cs="Arial"/>
          <w:b/>
          <w:sz w:val="24"/>
          <w:szCs w:val="24"/>
        </w:rPr>
        <w:t>issue</w:t>
      </w:r>
      <w:r w:rsidR="00A71D50">
        <w:rPr>
          <w:rFonts w:ascii="Arial" w:hAnsi="Arial" w:cs="Arial"/>
          <w:b/>
          <w:sz w:val="24"/>
          <w:szCs w:val="24"/>
        </w:rPr>
        <w:t>s</w:t>
      </w:r>
    </w:p>
    <w:p w14:paraId="52BFF5A4" w14:textId="4344D48F" w:rsidR="00FA060E" w:rsidRPr="006D1F6B" w:rsidRDefault="006D1F6B" w:rsidP="006D1F6B">
      <w:pPr>
        <w:rPr>
          <w:rFonts w:ascii="Arial" w:hAnsi="Arial" w:cs="Arial"/>
          <w:sz w:val="24"/>
          <w:szCs w:val="24"/>
        </w:rPr>
      </w:pPr>
      <w:r w:rsidRPr="00E132D1">
        <w:rPr>
          <w:rFonts w:ascii="Arial" w:hAnsi="Arial" w:cs="Arial"/>
          <w:sz w:val="24"/>
          <w:szCs w:val="24"/>
        </w:rPr>
        <w:t>[6]</w:t>
      </w:r>
      <w:r w:rsidRPr="00E132D1">
        <w:rPr>
          <w:rFonts w:ascii="Arial" w:hAnsi="Arial" w:cs="Arial"/>
          <w:sz w:val="24"/>
          <w:szCs w:val="24"/>
        </w:rPr>
        <w:tab/>
      </w:r>
      <w:r w:rsidR="00A71D50" w:rsidRPr="006D1F6B">
        <w:rPr>
          <w:rFonts w:ascii="Arial" w:hAnsi="Arial" w:cs="Arial"/>
          <w:sz w:val="24"/>
          <w:szCs w:val="24"/>
        </w:rPr>
        <w:t>Two crisp issues arise. The first is whether the capital gains accrued as a result of the disposal of capital assets by the Tier 1 Trusts are taxable in the hands of the Thistle Trust or in the hands of the beneficiaries of the Thistle Trust to whom those gains were distributed. The second concerns the imposition of an understatement penalty. It arises conditionally in the event that it is found that the gains are taxable in the hands of the Thistle Trust. In that event</w:t>
      </w:r>
      <w:r w:rsidR="00E132D1" w:rsidRPr="006D1F6B">
        <w:rPr>
          <w:rFonts w:ascii="Arial" w:hAnsi="Arial" w:cs="Arial"/>
          <w:sz w:val="24"/>
          <w:szCs w:val="24"/>
        </w:rPr>
        <w:t>,</w:t>
      </w:r>
      <w:r w:rsidR="00A71D50" w:rsidRPr="006D1F6B">
        <w:rPr>
          <w:rFonts w:ascii="Arial" w:hAnsi="Arial" w:cs="Arial"/>
          <w:sz w:val="24"/>
          <w:szCs w:val="24"/>
        </w:rPr>
        <w:t xml:space="preserve"> the question is whether the circumstances giving rise to the tax treatment by </w:t>
      </w:r>
      <w:r w:rsidR="00E728DC" w:rsidRPr="006D1F6B">
        <w:rPr>
          <w:rFonts w:ascii="Arial" w:hAnsi="Arial" w:cs="Arial"/>
          <w:sz w:val="24"/>
          <w:szCs w:val="24"/>
        </w:rPr>
        <w:t xml:space="preserve">the </w:t>
      </w:r>
      <w:r w:rsidR="00A71D50" w:rsidRPr="006D1F6B">
        <w:rPr>
          <w:rFonts w:ascii="Arial" w:hAnsi="Arial" w:cs="Arial"/>
          <w:sz w:val="24"/>
          <w:szCs w:val="24"/>
        </w:rPr>
        <w:t>Thistle Trust of the further distribution to its beneficiaries</w:t>
      </w:r>
      <w:r w:rsidR="00E728DC" w:rsidRPr="006D1F6B">
        <w:rPr>
          <w:rFonts w:ascii="Arial" w:hAnsi="Arial" w:cs="Arial"/>
          <w:sz w:val="24"/>
          <w:szCs w:val="24"/>
        </w:rPr>
        <w:t>,</w:t>
      </w:r>
      <w:r w:rsidR="00A71D50" w:rsidRPr="006D1F6B">
        <w:rPr>
          <w:rFonts w:ascii="Arial" w:hAnsi="Arial" w:cs="Arial"/>
          <w:sz w:val="24"/>
          <w:szCs w:val="24"/>
        </w:rPr>
        <w:t xml:space="preserve"> warrants the imposition of an understatement penalty.</w:t>
      </w:r>
    </w:p>
    <w:p w14:paraId="293F6BDF" w14:textId="77777777" w:rsidR="009006C4" w:rsidRPr="009747AE" w:rsidRDefault="009006C4" w:rsidP="00887F58">
      <w:pPr>
        <w:pStyle w:val="ListParagraph"/>
        <w:ind w:left="0"/>
        <w:rPr>
          <w:rFonts w:ascii="Arial" w:hAnsi="Arial" w:cs="Arial"/>
          <w:sz w:val="24"/>
          <w:szCs w:val="24"/>
        </w:rPr>
      </w:pPr>
    </w:p>
    <w:p w14:paraId="011A14F2" w14:textId="77777777" w:rsidR="00394F05" w:rsidRPr="00F14E1F" w:rsidRDefault="002374AB">
      <w:pPr>
        <w:pStyle w:val="ListParagraph"/>
        <w:ind w:left="0"/>
        <w:rPr>
          <w:rFonts w:ascii="Arial" w:hAnsi="Arial" w:cs="Arial"/>
          <w:sz w:val="20"/>
          <w:szCs w:val="20"/>
        </w:rPr>
      </w:pPr>
      <w:r>
        <w:rPr>
          <w:rFonts w:ascii="Arial" w:hAnsi="Arial" w:cs="Arial"/>
          <w:b/>
          <w:sz w:val="24"/>
          <w:szCs w:val="24"/>
        </w:rPr>
        <w:t>The statutory framework</w:t>
      </w:r>
    </w:p>
    <w:p w14:paraId="60A22D9A" w14:textId="67D3FB6E" w:rsidR="002374AB" w:rsidRPr="006D1F6B" w:rsidRDefault="006D1F6B" w:rsidP="006D1F6B">
      <w:pPr>
        <w:rPr>
          <w:rFonts w:ascii="Arial" w:hAnsi="Arial" w:cs="Arial"/>
          <w:sz w:val="24"/>
          <w:szCs w:val="24"/>
        </w:rPr>
      </w:pPr>
      <w:r w:rsidRPr="003C1876">
        <w:rPr>
          <w:rFonts w:ascii="Arial" w:hAnsi="Arial" w:cs="Arial"/>
          <w:sz w:val="24"/>
          <w:szCs w:val="24"/>
        </w:rPr>
        <w:t>[7]</w:t>
      </w:r>
      <w:r w:rsidRPr="003C1876">
        <w:rPr>
          <w:rFonts w:ascii="Arial" w:hAnsi="Arial" w:cs="Arial"/>
          <w:sz w:val="24"/>
          <w:szCs w:val="24"/>
        </w:rPr>
        <w:tab/>
      </w:r>
      <w:r w:rsidR="002374AB" w:rsidRPr="006D1F6B">
        <w:rPr>
          <w:rFonts w:ascii="Arial" w:hAnsi="Arial" w:cs="Arial"/>
          <w:sz w:val="24"/>
          <w:szCs w:val="24"/>
        </w:rPr>
        <w:t xml:space="preserve">The taxation of trusts came about as a result of the decision of </w:t>
      </w:r>
      <w:r w:rsidR="002374AB" w:rsidRPr="006D1F6B">
        <w:rPr>
          <w:rFonts w:ascii="Arial" w:hAnsi="Arial" w:cs="Arial"/>
          <w:i/>
          <w:sz w:val="24"/>
          <w:szCs w:val="24"/>
        </w:rPr>
        <w:t>CIR v Friedman (Friedman</w:t>
      </w:r>
      <w:r w:rsidR="002374AB" w:rsidRPr="006D1F6B">
        <w:rPr>
          <w:rFonts w:ascii="Arial" w:hAnsi="Arial" w:cs="Arial"/>
          <w:sz w:val="24"/>
          <w:szCs w:val="24"/>
        </w:rPr>
        <w:t>).</w:t>
      </w:r>
      <w:r w:rsidR="00C232D7">
        <w:rPr>
          <w:rStyle w:val="FootnoteReference"/>
          <w:rFonts w:ascii="Arial" w:hAnsi="Arial" w:cs="Arial"/>
          <w:sz w:val="24"/>
          <w:szCs w:val="24"/>
        </w:rPr>
        <w:footnoteReference w:id="1"/>
      </w:r>
      <w:r w:rsidR="002374AB" w:rsidRPr="006D1F6B">
        <w:rPr>
          <w:rFonts w:ascii="Arial" w:hAnsi="Arial" w:cs="Arial"/>
          <w:sz w:val="24"/>
          <w:szCs w:val="24"/>
        </w:rPr>
        <w:t xml:space="preserve"> In </w:t>
      </w:r>
      <w:r w:rsidR="002374AB" w:rsidRPr="006D1F6B">
        <w:rPr>
          <w:rFonts w:ascii="Arial" w:hAnsi="Arial" w:cs="Arial"/>
          <w:i/>
          <w:sz w:val="24"/>
          <w:szCs w:val="24"/>
        </w:rPr>
        <w:t>Friedman</w:t>
      </w:r>
      <w:r w:rsidR="00E132D1" w:rsidRPr="006D1F6B">
        <w:rPr>
          <w:rFonts w:ascii="Arial" w:hAnsi="Arial" w:cs="Arial"/>
          <w:i/>
          <w:sz w:val="24"/>
          <w:szCs w:val="24"/>
        </w:rPr>
        <w:t>,</w:t>
      </w:r>
      <w:r w:rsidR="002374AB" w:rsidRPr="006D1F6B">
        <w:rPr>
          <w:rFonts w:ascii="Arial" w:hAnsi="Arial" w:cs="Arial"/>
          <w:sz w:val="24"/>
          <w:szCs w:val="24"/>
        </w:rPr>
        <w:t xml:space="preserve"> the court held that a trust was not a legal persona </w:t>
      </w:r>
      <w:r w:rsidR="00F92D34" w:rsidRPr="006D1F6B">
        <w:rPr>
          <w:rFonts w:ascii="Arial" w:hAnsi="Arial" w:cs="Arial"/>
          <w:sz w:val="24"/>
          <w:szCs w:val="24"/>
        </w:rPr>
        <w:t>nor</w:t>
      </w:r>
      <w:r w:rsidR="00E728DC" w:rsidRPr="006D1F6B">
        <w:rPr>
          <w:rFonts w:ascii="Arial" w:hAnsi="Arial" w:cs="Arial"/>
          <w:sz w:val="24"/>
          <w:szCs w:val="24"/>
        </w:rPr>
        <w:t xml:space="preserve"> a taxable entity. The practic</w:t>
      </w:r>
      <w:r w:rsidR="002374AB" w:rsidRPr="006D1F6B">
        <w:rPr>
          <w:rFonts w:ascii="Arial" w:hAnsi="Arial" w:cs="Arial"/>
          <w:sz w:val="24"/>
          <w:szCs w:val="24"/>
        </w:rPr>
        <w:t xml:space="preserve">e had been that the trustees, as representative taxpayers, </w:t>
      </w:r>
      <w:r w:rsidR="002374AB" w:rsidRPr="006D1F6B">
        <w:rPr>
          <w:rFonts w:ascii="Arial" w:hAnsi="Arial" w:cs="Arial"/>
          <w:sz w:val="24"/>
          <w:szCs w:val="24"/>
        </w:rPr>
        <w:lastRenderedPageBreak/>
        <w:t xml:space="preserve">were subject to the tax imposed on trust income that accrued to the trust. The court found that since a trust was not a legal person and not a taxpayer, the trustee could not be a representative taxpayer of the trust. </w:t>
      </w:r>
      <w:r w:rsidR="009747AE" w:rsidRPr="006D1F6B">
        <w:rPr>
          <w:rFonts w:ascii="Arial" w:hAnsi="Arial" w:cs="Arial"/>
          <w:sz w:val="24"/>
          <w:szCs w:val="24"/>
        </w:rPr>
        <w:t>Following this judgment,</w:t>
      </w:r>
      <w:r w:rsidR="002374AB" w:rsidRPr="006D1F6B">
        <w:rPr>
          <w:rFonts w:ascii="Arial" w:hAnsi="Arial" w:cs="Arial"/>
          <w:sz w:val="24"/>
          <w:szCs w:val="24"/>
        </w:rPr>
        <w:t xml:space="preserve"> the ITA was amended to include a trust in the definition of a ‘person’ in s 1 of the ITA.</w:t>
      </w:r>
    </w:p>
    <w:p w14:paraId="48BC54CC" w14:textId="77777777" w:rsidR="002374AB" w:rsidRPr="003C1876" w:rsidRDefault="002374AB" w:rsidP="00887F58">
      <w:pPr>
        <w:rPr>
          <w:rFonts w:ascii="Arial" w:hAnsi="Arial" w:cs="Arial"/>
          <w:sz w:val="24"/>
          <w:szCs w:val="24"/>
        </w:rPr>
      </w:pPr>
    </w:p>
    <w:p w14:paraId="7C0DF1F8" w14:textId="6C2E2ABB" w:rsidR="00E132D1" w:rsidRPr="006D1F6B" w:rsidRDefault="006D1F6B" w:rsidP="006D1F6B">
      <w:pPr>
        <w:rPr>
          <w:rFonts w:ascii="Arial" w:hAnsi="Arial" w:cs="Arial"/>
          <w:sz w:val="24"/>
          <w:szCs w:val="24"/>
        </w:rPr>
      </w:pPr>
      <w:r w:rsidRPr="003C1876">
        <w:rPr>
          <w:rFonts w:ascii="Arial" w:hAnsi="Arial" w:cs="Arial"/>
          <w:sz w:val="24"/>
          <w:szCs w:val="24"/>
        </w:rPr>
        <w:t>[8]</w:t>
      </w:r>
      <w:r w:rsidRPr="003C1876">
        <w:rPr>
          <w:rFonts w:ascii="Arial" w:hAnsi="Arial" w:cs="Arial"/>
          <w:sz w:val="24"/>
          <w:szCs w:val="24"/>
        </w:rPr>
        <w:tab/>
      </w:r>
      <w:r w:rsidR="002374AB" w:rsidRPr="006D1F6B">
        <w:rPr>
          <w:rFonts w:ascii="Arial" w:hAnsi="Arial" w:cs="Arial"/>
          <w:sz w:val="24"/>
          <w:szCs w:val="24"/>
        </w:rPr>
        <w:t>Subsequently</w:t>
      </w:r>
      <w:r w:rsidR="009747AE" w:rsidRPr="006D1F6B">
        <w:rPr>
          <w:rFonts w:ascii="Arial" w:hAnsi="Arial" w:cs="Arial"/>
          <w:sz w:val="24"/>
          <w:szCs w:val="24"/>
        </w:rPr>
        <w:t xml:space="preserve">, s 25B was included in the ITA. </w:t>
      </w:r>
      <w:r w:rsidR="003C1876" w:rsidRPr="006D1F6B">
        <w:rPr>
          <w:rFonts w:ascii="Arial" w:hAnsi="Arial" w:cs="Arial"/>
          <w:sz w:val="24"/>
          <w:szCs w:val="24"/>
        </w:rPr>
        <w:t>The introduction of the</w:t>
      </w:r>
      <w:r w:rsidR="002374AB" w:rsidRPr="006D1F6B">
        <w:rPr>
          <w:rFonts w:ascii="Arial" w:hAnsi="Arial" w:cs="Arial"/>
          <w:sz w:val="24"/>
          <w:szCs w:val="24"/>
        </w:rPr>
        <w:t xml:space="preserve"> section was to provide for the taxation of income </w:t>
      </w:r>
      <w:r w:rsidR="009747AE" w:rsidRPr="006D1F6B">
        <w:rPr>
          <w:rFonts w:ascii="Arial" w:hAnsi="Arial" w:cs="Arial"/>
          <w:sz w:val="24"/>
          <w:szCs w:val="24"/>
        </w:rPr>
        <w:t xml:space="preserve">accrued to </w:t>
      </w:r>
      <w:r w:rsidR="002374AB" w:rsidRPr="006D1F6B">
        <w:rPr>
          <w:rFonts w:ascii="Arial" w:hAnsi="Arial" w:cs="Arial"/>
          <w:sz w:val="24"/>
          <w:szCs w:val="24"/>
        </w:rPr>
        <w:t xml:space="preserve">trusts and </w:t>
      </w:r>
      <w:r w:rsidR="009747AE" w:rsidRPr="006D1F6B">
        <w:rPr>
          <w:rFonts w:ascii="Arial" w:hAnsi="Arial" w:cs="Arial"/>
          <w:sz w:val="24"/>
          <w:szCs w:val="24"/>
        </w:rPr>
        <w:t>their beneficiaries.</w:t>
      </w:r>
      <w:r w:rsidR="002374AB" w:rsidRPr="006D1F6B">
        <w:rPr>
          <w:rFonts w:ascii="Arial" w:hAnsi="Arial" w:cs="Arial"/>
          <w:sz w:val="24"/>
          <w:szCs w:val="24"/>
        </w:rPr>
        <w:t xml:space="preserve"> The qualifier was that the trust or beneficiary concerned would only be taxed if it had a vested right in the ‘amount’ received or accrued. Put differently, </w:t>
      </w:r>
      <w:r w:rsidR="00E132D1" w:rsidRPr="006D1F6B">
        <w:rPr>
          <w:rFonts w:ascii="Arial" w:hAnsi="Arial" w:cs="Arial"/>
          <w:sz w:val="24"/>
          <w:szCs w:val="24"/>
        </w:rPr>
        <w:t>in terms of s 25B, the</w:t>
      </w:r>
      <w:r w:rsidR="00466563" w:rsidRPr="006D1F6B">
        <w:rPr>
          <w:rFonts w:ascii="Arial" w:hAnsi="Arial" w:cs="Arial"/>
          <w:sz w:val="24"/>
          <w:szCs w:val="24"/>
        </w:rPr>
        <w:t xml:space="preserve"> </w:t>
      </w:r>
      <w:r w:rsidR="0093210D" w:rsidRPr="006D1F6B">
        <w:rPr>
          <w:rFonts w:ascii="Arial" w:hAnsi="Arial" w:cs="Arial"/>
          <w:sz w:val="24"/>
          <w:szCs w:val="24"/>
        </w:rPr>
        <w:t xml:space="preserve">trust or </w:t>
      </w:r>
      <w:r w:rsidR="00E132D1" w:rsidRPr="006D1F6B">
        <w:rPr>
          <w:rFonts w:ascii="Arial" w:hAnsi="Arial" w:cs="Arial"/>
          <w:sz w:val="24"/>
          <w:szCs w:val="24"/>
        </w:rPr>
        <w:t>beneficiary</w:t>
      </w:r>
      <w:r w:rsidR="002374AB" w:rsidRPr="006D1F6B">
        <w:rPr>
          <w:rFonts w:ascii="Arial" w:hAnsi="Arial" w:cs="Arial"/>
          <w:sz w:val="24"/>
          <w:szCs w:val="24"/>
        </w:rPr>
        <w:t xml:space="preserve"> had to have a vested right </w:t>
      </w:r>
      <w:r w:rsidR="00E3708D" w:rsidRPr="006D1F6B">
        <w:rPr>
          <w:rFonts w:ascii="Arial" w:hAnsi="Arial" w:cs="Arial"/>
          <w:sz w:val="24"/>
          <w:szCs w:val="24"/>
        </w:rPr>
        <w:t>in</w:t>
      </w:r>
      <w:r w:rsidR="002374AB" w:rsidRPr="006D1F6B">
        <w:rPr>
          <w:rFonts w:ascii="Arial" w:hAnsi="Arial" w:cs="Arial"/>
          <w:sz w:val="24"/>
          <w:szCs w:val="24"/>
        </w:rPr>
        <w:t xml:space="preserve"> the ‘amount’ received or acquired</w:t>
      </w:r>
      <w:r w:rsidR="00E3708D" w:rsidRPr="006D1F6B">
        <w:rPr>
          <w:rFonts w:ascii="Arial" w:hAnsi="Arial" w:cs="Arial"/>
          <w:sz w:val="24"/>
          <w:szCs w:val="24"/>
        </w:rPr>
        <w:t>, otherwise the amount would be taxable in the hands of the trust</w:t>
      </w:r>
      <w:r w:rsidR="002374AB" w:rsidRPr="006D1F6B">
        <w:rPr>
          <w:rFonts w:ascii="Arial" w:hAnsi="Arial" w:cs="Arial"/>
          <w:sz w:val="24"/>
          <w:szCs w:val="24"/>
        </w:rPr>
        <w:t>.</w:t>
      </w:r>
    </w:p>
    <w:p w14:paraId="3E08AB75" w14:textId="77777777" w:rsidR="00E132D1" w:rsidRPr="00887F58" w:rsidRDefault="00E132D1" w:rsidP="00887F58">
      <w:pPr>
        <w:pStyle w:val="ListParagraph"/>
        <w:ind w:left="0"/>
        <w:rPr>
          <w:rFonts w:ascii="Arial" w:hAnsi="Arial" w:cs="Arial"/>
          <w:sz w:val="24"/>
          <w:szCs w:val="24"/>
        </w:rPr>
      </w:pPr>
    </w:p>
    <w:p w14:paraId="6DA684CA" w14:textId="56E259AC" w:rsidR="009747AE" w:rsidRPr="006D1F6B" w:rsidRDefault="006D1F6B" w:rsidP="006D1F6B">
      <w:pPr>
        <w:rPr>
          <w:rFonts w:ascii="Arial" w:hAnsi="Arial" w:cs="Arial"/>
          <w:sz w:val="24"/>
          <w:szCs w:val="24"/>
        </w:rPr>
      </w:pPr>
      <w:r w:rsidRPr="00887F58">
        <w:rPr>
          <w:rFonts w:ascii="Arial" w:hAnsi="Arial" w:cs="Arial"/>
          <w:sz w:val="24"/>
          <w:szCs w:val="24"/>
        </w:rPr>
        <w:t>[9]</w:t>
      </w:r>
      <w:r w:rsidRPr="00887F58">
        <w:rPr>
          <w:rFonts w:ascii="Arial" w:hAnsi="Arial" w:cs="Arial"/>
          <w:sz w:val="24"/>
          <w:szCs w:val="24"/>
        </w:rPr>
        <w:tab/>
      </w:r>
      <w:r w:rsidR="009747AE" w:rsidRPr="006D1F6B">
        <w:rPr>
          <w:rFonts w:ascii="Arial" w:hAnsi="Arial" w:cs="Arial"/>
          <w:sz w:val="24"/>
          <w:szCs w:val="24"/>
        </w:rPr>
        <w:t>Section 25B of the ITA reads:</w:t>
      </w:r>
    </w:p>
    <w:p w14:paraId="284118B2" w14:textId="77777777" w:rsidR="009747AE" w:rsidRPr="009747AE" w:rsidRDefault="009747AE" w:rsidP="00F92D34">
      <w:pPr>
        <w:rPr>
          <w:rFonts w:ascii="Arial" w:hAnsi="Arial" w:cs="Arial"/>
        </w:rPr>
      </w:pPr>
      <w:r>
        <w:rPr>
          <w:rFonts w:ascii="Arial" w:hAnsi="Arial" w:cs="Arial"/>
          <w:sz w:val="24"/>
          <w:szCs w:val="24"/>
        </w:rPr>
        <w:t>‘</w:t>
      </w:r>
      <w:r w:rsidRPr="009747AE">
        <w:rPr>
          <w:rFonts w:ascii="Arial" w:hAnsi="Arial" w:cs="Arial"/>
        </w:rPr>
        <w:t>(1)</w:t>
      </w:r>
      <w:r w:rsidR="00F92D34">
        <w:rPr>
          <w:rFonts w:ascii="Arial" w:hAnsi="Arial" w:cs="Arial"/>
        </w:rPr>
        <w:t xml:space="preserve"> </w:t>
      </w:r>
      <w:r w:rsidRPr="009747AE">
        <w:rPr>
          <w:rFonts w:ascii="Arial" w:hAnsi="Arial" w:cs="Arial"/>
        </w:rPr>
        <w:t xml:space="preserve">Any amount (other than an amount of a capital nature which is not included in gross income or an amount contemplated in paragraph 3B of the Second Schedule) received by or accrued to or in favour of any person during any year of assessment in his or her capacity as the trustee of a trust, shall, subject to the provisions of section 7, to the extent to which that amount has been derived for the immediate or future benefit of any ascertained beneficiary who has a vested right to that amount during that year, be deemed to be an amount which has accrued to that beneficiary, and to the extent to which that amount is not so derived, be deemed to be an amount which has accrued to that trust. </w:t>
      </w:r>
    </w:p>
    <w:p w14:paraId="645D19F0" w14:textId="77777777" w:rsidR="009747AE" w:rsidRPr="009747AE" w:rsidRDefault="009747AE" w:rsidP="00F92D34">
      <w:pPr>
        <w:rPr>
          <w:rFonts w:ascii="Arial" w:hAnsi="Arial" w:cs="Arial"/>
        </w:rPr>
      </w:pPr>
      <w:r w:rsidRPr="009747AE">
        <w:rPr>
          <w:rFonts w:ascii="Arial" w:hAnsi="Arial" w:cs="Arial"/>
        </w:rPr>
        <w:t>(2)</w:t>
      </w:r>
      <w:r w:rsidR="00F92D34">
        <w:rPr>
          <w:rFonts w:ascii="Arial" w:hAnsi="Arial" w:cs="Arial"/>
        </w:rPr>
        <w:t xml:space="preserve"> </w:t>
      </w:r>
      <w:r w:rsidRPr="009747AE">
        <w:rPr>
          <w:rFonts w:ascii="Arial" w:hAnsi="Arial" w:cs="Arial"/>
        </w:rPr>
        <w:t>Where a beneficiary has acquired a vested right to any amount referred to in subsection (1) in consequence of the exercise by the trustee of a discretion vested in him or her in terms of the relevant deed of trust, agreement or will of a deceased person, that amount shall for the purposes of that subsection be deemed to have been derived for the benefit of that beneficiary.’</w:t>
      </w:r>
    </w:p>
    <w:p w14:paraId="62B8EBA5" w14:textId="77777777" w:rsidR="00FA060E" w:rsidRDefault="00FA060E" w:rsidP="00887F58">
      <w:pPr>
        <w:pStyle w:val="ListParagraph"/>
        <w:ind w:left="0"/>
        <w:rPr>
          <w:rFonts w:ascii="Arial" w:hAnsi="Arial" w:cs="Arial"/>
          <w:sz w:val="24"/>
          <w:szCs w:val="24"/>
        </w:rPr>
      </w:pPr>
    </w:p>
    <w:p w14:paraId="6B350283" w14:textId="6AD03AFD" w:rsidR="002374AB" w:rsidRPr="006D1F6B" w:rsidRDefault="006D1F6B" w:rsidP="006D1F6B">
      <w:pPr>
        <w:rPr>
          <w:rFonts w:ascii="Arial" w:hAnsi="Arial" w:cs="Arial"/>
          <w:sz w:val="24"/>
          <w:szCs w:val="24"/>
        </w:rPr>
      </w:pPr>
      <w:r>
        <w:rPr>
          <w:rFonts w:ascii="Arial" w:hAnsi="Arial" w:cs="Arial"/>
          <w:sz w:val="24"/>
          <w:szCs w:val="24"/>
        </w:rPr>
        <w:t>[10]</w:t>
      </w:r>
      <w:r>
        <w:rPr>
          <w:rFonts w:ascii="Arial" w:hAnsi="Arial" w:cs="Arial"/>
          <w:sz w:val="24"/>
          <w:szCs w:val="24"/>
        </w:rPr>
        <w:tab/>
      </w:r>
      <w:r w:rsidR="002374AB" w:rsidRPr="006D1F6B">
        <w:rPr>
          <w:rFonts w:ascii="Arial" w:hAnsi="Arial" w:cs="Arial"/>
          <w:sz w:val="24"/>
          <w:szCs w:val="24"/>
        </w:rPr>
        <w:t>Capital gains tax was first introduced by s 26A of the ITA.</w:t>
      </w:r>
      <w:r w:rsidR="002374AB">
        <w:rPr>
          <w:rStyle w:val="FootnoteReference"/>
          <w:rFonts w:ascii="Arial" w:hAnsi="Arial" w:cs="Arial"/>
          <w:sz w:val="24"/>
          <w:szCs w:val="24"/>
        </w:rPr>
        <w:footnoteReference w:id="2"/>
      </w:r>
      <w:r w:rsidR="002374AB" w:rsidRPr="006D1F6B">
        <w:rPr>
          <w:rFonts w:ascii="Arial" w:hAnsi="Arial" w:cs="Arial"/>
          <w:sz w:val="24"/>
          <w:szCs w:val="24"/>
        </w:rPr>
        <w:t xml:space="preserve"> Th</w:t>
      </w:r>
      <w:r w:rsidR="00466563" w:rsidRPr="006D1F6B">
        <w:rPr>
          <w:rFonts w:ascii="Arial" w:hAnsi="Arial" w:cs="Arial"/>
          <w:sz w:val="24"/>
          <w:szCs w:val="24"/>
        </w:rPr>
        <w:t>e</w:t>
      </w:r>
      <w:r w:rsidR="002374AB" w:rsidRPr="006D1F6B">
        <w:rPr>
          <w:rFonts w:ascii="Arial" w:hAnsi="Arial" w:cs="Arial"/>
          <w:sz w:val="24"/>
          <w:szCs w:val="24"/>
        </w:rPr>
        <w:t xml:space="preserve"> section provided that taxable capital gains were to be determined in terms of the Eighth Schedule.</w:t>
      </w:r>
      <w:r w:rsidR="002374AB">
        <w:rPr>
          <w:rStyle w:val="FootnoteReference"/>
          <w:rFonts w:ascii="Arial" w:hAnsi="Arial" w:cs="Arial"/>
          <w:sz w:val="24"/>
          <w:szCs w:val="24"/>
        </w:rPr>
        <w:footnoteReference w:id="3"/>
      </w:r>
      <w:r w:rsidR="002374AB" w:rsidRPr="006D1F6B">
        <w:rPr>
          <w:rFonts w:ascii="Arial" w:hAnsi="Arial" w:cs="Arial"/>
          <w:sz w:val="24"/>
          <w:szCs w:val="24"/>
        </w:rPr>
        <w:t xml:space="preserve"> A capital gain is determined when the proceeds derived from the disposal of an asset exceed that of its base cost.</w:t>
      </w:r>
      <w:r w:rsidR="002374AB">
        <w:rPr>
          <w:rStyle w:val="FootnoteReference"/>
          <w:rFonts w:ascii="Arial" w:hAnsi="Arial" w:cs="Arial"/>
          <w:sz w:val="24"/>
          <w:szCs w:val="24"/>
        </w:rPr>
        <w:footnoteReference w:id="4"/>
      </w:r>
      <w:r w:rsidR="002374AB" w:rsidRPr="006D1F6B">
        <w:rPr>
          <w:rFonts w:ascii="Arial" w:hAnsi="Arial" w:cs="Arial"/>
          <w:sz w:val="24"/>
          <w:szCs w:val="24"/>
        </w:rPr>
        <w:t xml:space="preserve"> </w:t>
      </w:r>
    </w:p>
    <w:p w14:paraId="6BAE592B" w14:textId="77777777" w:rsidR="002374AB" w:rsidRPr="00A71E32" w:rsidRDefault="002374AB">
      <w:pPr>
        <w:pStyle w:val="ListParagraph"/>
        <w:ind w:left="0"/>
        <w:rPr>
          <w:rFonts w:ascii="Arial" w:hAnsi="Arial" w:cs="Arial"/>
          <w:sz w:val="20"/>
          <w:szCs w:val="20"/>
        </w:rPr>
      </w:pPr>
    </w:p>
    <w:p w14:paraId="1A9FB0F2" w14:textId="46E2031C" w:rsidR="002374AB" w:rsidRPr="006D1F6B" w:rsidRDefault="006D1F6B" w:rsidP="006D1F6B">
      <w:pPr>
        <w:tabs>
          <w:tab w:val="left" w:pos="0"/>
        </w:tabs>
        <w:rPr>
          <w:rFonts w:ascii="Arial" w:hAnsi="Arial" w:cs="Arial"/>
          <w:sz w:val="20"/>
          <w:szCs w:val="20"/>
        </w:rPr>
      </w:pPr>
      <w:r w:rsidRPr="00A71E32">
        <w:rPr>
          <w:rFonts w:ascii="Arial" w:hAnsi="Arial" w:cs="Arial"/>
          <w:sz w:val="24"/>
          <w:szCs w:val="24"/>
        </w:rPr>
        <w:lastRenderedPageBreak/>
        <w:t>[11]</w:t>
      </w:r>
      <w:r w:rsidRPr="00A71E32">
        <w:rPr>
          <w:rFonts w:ascii="Arial" w:hAnsi="Arial" w:cs="Arial"/>
          <w:sz w:val="24"/>
          <w:szCs w:val="24"/>
        </w:rPr>
        <w:tab/>
      </w:r>
      <w:r w:rsidR="002374AB" w:rsidRPr="006D1F6B">
        <w:rPr>
          <w:rFonts w:ascii="Arial" w:hAnsi="Arial" w:cs="Arial"/>
          <w:sz w:val="24"/>
          <w:szCs w:val="24"/>
        </w:rPr>
        <w:t xml:space="preserve">Paragraph 80 of the Eighth Schedule provides </w:t>
      </w:r>
      <w:r w:rsidR="000079CB" w:rsidRPr="006D1F6B">
        <w:rPr>
          <w:rFonts w:ascii="Arial" w:hAnsi="Arial" w:cs="Arial"/>
          <w:sz w:val="24"/>
          <w:szCs w:val="24"/>
        </w:rPr>
        <w:t xml:space="preserve">for capital gain attributed to a beneficiary </w:t>
      </w:r>
      <w:r w:rsidR="002374AB" w:rsidRPr="006D1F6B">
        <w:rPr>
          <w:rFonts w:ascii="Arial" w:hAnsi="Arial" w:cs="Arial"/>
          <w:sz w:val="24"/>
          <w:szCs w:val="24"/>
        </w:rPr>
        <w:t>as follows:</w:t>
      </w:r>
    </w:p>
    <w:p w14:paraId="7B540429" w14:textId="77777777" w:rsidR="00765FBD" w:rsidRPr="000E4663" w:rsidRDefault="00765FBD" w:rsidP="00765FBD">
      <w:pPr>
        <w:rPr>
          <w:rFonts w:ascii="Arial" w:eastAsia="Calibri" w:hAnsi="Arial" w:cs="Arial"/>
        </w:rPr>
      </w:pPr>
      <w:r>
        <w:rPr>
          <w:rFonts w:ascii="Arial" w:hAnsi="Arial" w:cs="Arial"/>
        </w:rPr>
        <w:t>‘8</w:t>
      </w:r>
      <w:r w:rsidRPr="00765FBD">
        <w:rPr>
          <w:rFonts w:ascii="Arial" w:eastAsia="Calibri" w:hAnsi="Arial" w:cs="Arial"/>
        </w:rPr>
        <w:t>0</w:t>
      </w:r>
      <w:r w:rsidRPr="00B03CC2">
        <w:rPr>
          <w:rFonts w:ascii="Arial" w:eastAsia="Calibri" w:hAnsi="Arial" w:cs="Arial"/>
        </w:rPr>
        <w:t xml:space="preserve">(1) Subject to paragraphs 68, 69 and 71, where a trust vests an asset in a beneficiary of that trust </w:t>
      </w:r>
      <w:r w:rsidRPr="00765FBD">
        <w:rPr>
          <w:rFonts w:ascii="Arial" w:eastAsia="Calibri" w:hAnsi="Arial" w:cs="Arial"/>
        </w:rPr>
        <w:t xml:space="preserve">. . </w:t>
      </w:r>
      <w:r w:rsidRPr="000E4663">
        <w:rPr>
          <w:rFonts w:ascii="Arial" w:eastAsia="Calibri" w:hAnsi="Arial" w:cs="Arial"/>
        </w:rPr>
        <w:t xml:space="preserve">. </w:t>
      </w:r>
      <w:r w:rsidRPr="000E4663">
        <w:rPr>
          <w:rFonts w:ascii="Arial" w:eastAsia="Calibri" w:hAnsi="Arial" w:cs="Arial"/>
          <w:i/>
        </w:rPr>
        <w:t>who is a resident</w:t>
      </w:r>
      <w:r w:rsidRPr="000E4663">
        <w:rPr>
          <w:rFonts w:ascii="Arial" w:eastAsia="Calibri" w:hAnsi="Arial" w:cs="Arial"/>
        </w:rPr>
        <w:t>, and determines a capital gain in respect of that disposal or, if that trust is not a resident, would have determined a capital gain in respect of that disposal had it been a resident—</w:t>
      </w:r>
    </w:p>
    <w:p w14:paraId="61308756" w14:textId="77777777" w:rsidR="00765FBD" w:rsidRPr="000E4663" w:rsidRDefault="00765FBD" w:rsidP="00765FBD">
      <w:pPr>
        <w:rPr>
          <w:rFonts w:ascii="Arial" w:eastAsia="Calibri" w:hAnsi="Arial" w:cs="Arial"/>
        </w:rPr>
      </w:pPr>
      <w:r w:rsidRPr="000E4663">
        <w:rPr>
          <w:rFonts w:ascii="Arial" w:eastAsia="Calibri" w:hAnsi="Arial" w:cs="Arial"/>
          <w:i/>
        </w:rPr>
        <w:t>(a)</w:t>
      </w:r>
      <w:r w:rsidRPr="000E4663">
        <w:rPr>
          <w:rFonts w:ascii="Arial" w:eastAsia="Calibri" w:hAnsi="Arial" w:cs="Arial"/>
        </w:rPr>
        <w:t xml:space="preserve"> that capital gain </w:t>
      </w:r>
      <w:r w:rsidRPr="000E4663">
        <w:rPr>
          <w:rFonts w:ascii="Arial" w:eastAsia="Calibri" w:hAnsi="Arial" w:cs="Arial"/>
          <w:i/>
        </w:rPr>
        <w:t>must be disregarded for the purpose of calculating the aggregate capital gain or aggregate capital loss of the trust; and</w:t>
      </w:r>
    </w:p>
    <w:p w14:paraId="1DC4E48E" w14:textId="77777777" w:rsidR="00765FBD" w:rsidRPr="000E4663" w:rsidRDefault="00765FBD" w:rsidP="00765FBD">
      <w:pPr>
        <w:rPr>
          <w:rFonts w:ascii="Arial" w:eastAsia="Calibri" w:hAnsi="Arial" w:cs="Arial"/>
        </w:rPr>
      </w:pPr>
      <w:r w:rsidRPr="000E4663">
        <w:rPr>
          <w:rFonts w:ascii="Arial" w:eastAsia="Calibri" w:hAnsi="Arial" w:cs="Arial"/>
          <w:i/>
        </w:rPr>
        <w:t>(b)</w:t>
      </w:r>
      <w:r w:rsidRPr="000E4663">
        <w:rPr>
          <w:rFonts w:ascii="Arial" w:eastAsia="Calibri" w:hAnsi="Arial" w:cs="Arial"/>
        </w:rPr>
        <w:t xml:space="preserve"> that capital gain or the amount that would have been determined as a capital gain </w:t>
      </w:r>
      <w:r w:rsidRPr="000E4663">
        <w:rPr>
          <w:rFonts w:ascii="Arial" w:eastAsia="Calibri" w:hAnsi="Arial" w:cs="Arial"/>
          <w:i/>
        </w:rPr>
        <w:t>must be taken into account</w:t>
      </w:r>
      <w:r w:rsidRPr="000E4663">
        <w:rPr>
          <w:rFonts w:ascii="Arial" w:eastAsia="Calibri" w:hAnsi="Arial" w:cs="Arial"/>
        </w:rPr>
        <w:t xml:space="preserve"> as a capital gain </w:t>
      </w:r>
      <w:r w:rsidRPr="000E4663">
        <w:rPr>
          <w:rFonts w:ascii="Arial" w:eastAsia="Calibri" w:hAnsi="Arial" w:cs="Arial"/>
          <w:i/>
        </w:rPr>
        <w:t>for the purpose of calculating the aggregate capital gain or aggregate capital loss of the beneficiary to whom that asset was so disposed of</w:t>
      </w:r>
      <w:r w:rsidRPr="000E4663">
        <w:rPr>
          <w:rFonts w:ascii="Arial" w:eastAsia="Calibri" w:hAnsi="Arial" w:cs="Arial"/>
        </w:rPr>
        <w:t>.</w:t>
      </w:r>
    </w:p>
    <w:p w14:paraId="2580EE29" w14:textId="1A1882FF" w:rsidR="00765FBD" w:rsidRPr="000E4663" w:rsidRDefault="00765FBD" w:rsidP="00765FBD">
      <w:pPr>
        <w:rPr>
          <w:rFonts w:ascii="Arial" w:eastAsia="Calibri" w:hAnsi="Arial" w:cs="Arial"/>
        </w:rPr>
      </w:pPr>
      <w:r w:rsidRPr="000E4663">
        <w:rPr>
          <w:rFonts w:ascii="Arial" w:eastAsia="Calibri" w:hAnsi="Arial" w:cs="Arial"/>
        </w:rPr>
        <w:t xml:space="preserve">(2) Subject to paragraphs 64E, 68, 69 and 71, where a trust determines a capital gain in respect of the disposal of an asset in a year of assessment during which a beneficiary of that trust (other than any person contemplated in paragraph 62 (a) to (e)) </w:t>
      </w:r>
      <w:r w:rsidRPr="000E4663">
        <w:rPr>
          <w:rFonts w:ascii="Arial" w:eastAsia="Calibri" w:hAnsi="Arial" w:cs="Arial"/>
          <w:i/>
        </w:rPr>
        <w:t>who is a resident has a vested right or acquires a vested right</w:t>
      </w:r>
      <w:r w:rsidRPr="000E4663">
        <w:rPr>
          <w:rFonts w:ascii="Arial" w:eastAsia="Calibri" w:hAnsi="Arial" w:cs="Arial"/>
        </w:rPr>
        <w:t xml:space="preserve"> (including a right created by the exercise of a discretion) to an amount derived from that capital gain but not to the asset disposed of, an amount that is equal to so much of the amount to which that beneficiary of that trust is entitled in terms of that right—</w:t>
      </w:r>
    </w:p>
    <w:p w14:paraId="5E3D54D0" w14:textId="77777777" w:rsidR="00765FBD" w:rsidRPr="000E4663" w:rsidRDefault="00765FBD" w:rsidP="00765FBD">
      <w:pPr>
        <w:rPr>
          <w:rFonts w:ascii="Arial" w:eastAsia="Calibri" w:hAnsi="Arial" w:cs="Arial"/>
          <w:i/>
        </w:rPr>
      </w:pPr>
      <w:r w:rsidRPr="000E4663">
        <w:rPr>
          <w:rFonts w:ascii="Arial" w:eastAsia="Calibri" w:hAnsi="Arial" w:cs="Arial"/>
          <w:i/>
        </w:rPr>
        <w:t>(a) must be disregarded for the purpose of calculating the aggregate capital gain or aggregate capital loss of the trust; and</w:t>
      </w:r>
    </w:p>
    <w:p w14:paraId="71EB990F" w14:textId="77777777" w:rsidR="00765FBD" w:rsidRPr="00765FBD" w:rsidRDefault="00765FBD" w:rsidP="00765FBD">
      <w:pPr>
        <w:rPr>
          <w:rFonts w:ascii="Arial" w:eastAsia="Calibri" w:hAnsi="Arial" w:cs="Arial"/>
        </w:rPr>
      </w:pPr>
      <w:r w:rsidRPr="000E4663">
        <w:rPr>
          <w:rFonts w:ascii="Arial" w:eastAsia="Calibri" w:hAnsi="Arial" w:cs="Arial"/>
          <w:i/>
        </w:rPr>
        <w:t>(b) must be taken into account as a capital gain for the purpose of calculating the aggregate capital gain or aggregate capital loss of that beneficiary.</w:t>
      </w:r>
      <w:r w:rsidRPr="000E4663">
        <w:rPr>
          <w:rFonts w:ascii="Arial" w:eastAsia="Calibri" w:hAnsi="Arial" w:cs="Arial"/>
        </w:rPr>
        <w:t>’ (Emphasis added.)</w:t>
      </w:r>
    </w:p>
    <w:p w14:paraId="765BCB0F" w14:textId="77777777" w:rsidR="002374AB" w:rsidRDefault="002374AB">
      <w:pPr>
        <w:pStyle w:val="ListParagraph"/>
        <w:ind w:left="0"/>
        <w:rPr>
          <w:rFonts w:ascii="Arial" w:hAnsi="Arial" w:cs="Arial"/>
          <w:sz w:val="24"/>
          <w:szCs w:val="24"/>
        </w:rPr>
      </w:pPr>
    </w:p>
    <w:p w14:paraId="3A89ECF8" w14:textId="77777777" w:rsidR="00A10681" w:rsidRPr="00A10681" w:rsidRDefault="00A10681">
      <w:pPr>
        <w:pStyle w:val="ListParagraph"/>
        <w:ind w:left="0"/>
        <w:rPr>
          <w:rFonts w:ascii="Arial" w:hAnsi="Arial" w:cs="Arial"/>
          <w:sz w:val="24"/>
          <w:szCs w:val="24"/>
        </w:rPr>
      </w:pPr>
      <w:r>
        <w:rPr>
          <w:rFonts w:ascii="Arial" w:hAnsi="Arial" w:cs="Arial"/>
          <w:b/>
          <w:sz w:val="24"/>
          <w:szCs w:val="24"/>
        </w:rPr>
        <w:t>Submissions</w:t>
      </w:r>
    </w:p>
    <w:p w14:paraId="5854BCEF" w14:textId="640BA4D8" w:rsidR="0049195C" w:rsidRPr="006D1F6B" w:rsidRDefault="006D1F6B" w:rsidP="006D1F6B">
      <w:pPr>
        <w:rPr>
          <w:rFonts w:ascii="Arial" w:hAnsi="Arial" w:cs="Arial"/>
          <w:sz w:val="24"/>
          <w:szCs w:val="24"/>
        </w:rPr>
      </w:pPr>
      <w:r>
        <w:rPr>
          <w:rFonts w:ascii="Arial" w:hAnsi="Arial" w:cs="Arial"/>
          <w:sz w:val="24"/>
          <w:szCs w:val="24"/>
        </w:rPr>
        <w:t>[12]</w:t>
      </w:r>
      <w:r>
        <w:rPr>
          <w:rFonts w:ascii="Arial" w:hAnsi="Arial" w:cs="Arial"/>
          <w:sz w:val="24"/>
          <w:szCs w:val="24"/>
        </w:rPr>
        <w:tab/>
      </w:r>
      <w:r w:rsidR="00A10681" w:rsidRPr="006D1F6B">
        <w:rPr>
          <w:rFonts w:ascii="Arial" w:hAnsi="Arial" w:cs="Arial"/>
          <w:sz w:val="24"/>
          <w:szCs w:val="24"/>
        </w:rPr>
        <w:t xml:space="preserve">SARS </w:t>
      </w:r>
      <w:r w:rsidR="0049195C" w:rsidRPr="006D1F6B">
        <w:rPr>
          <w:rFonts w:ascii="Arial" w:hAnsi="Arial" w:cs="Arial"/>
          <w:sz w:val="24"/>
          <w:szCs w:val="24"/>
        </w:rPr>
        <w:t xml:space="preserve">argued that </w:t>
      </w:r>
      <w:r w:rsidR="00A10681" w:rsidRPr="006D1F6B">
        <w:rPr>
          <w:rFonts w:ascii="Arial" w:hAnsi="Arial" w:cs="Arial"/>
          <w:sz w:val="24"/>
          <w:szCs w:val="24"/>
        </w:rPr>
        <w:t xml:space="preserve">paragraph 80(2) </w:t>
      </w:r>
      <w:r w:rsidR="0049195C" w:rsidRPr="006D1F6B">
        <w:rPr>
          <w:rFonts w:ascii="Arial" w:hAnsi="Arial" w:cs="Arial"/>
          <w:sz w:val="24"/>
          <w:szCs w:val="24"/>
        </w:rPr>
        <w:t xml:space="preserve">of the Eighth Schedule applies exclusively and that s 25B of the ITA does not apply. </w:t>
      </w:r>
      <w:r w:rsidR="00A10681" w:rsidRPr="006D1F6B">
        <w:rPr>
          <w:rFonts w:ascii="Arial" w:hAnsi="Arial" w:cs="Arial"/>
          <w:sz w:val="24"/>
          <w:szCs w:val="24"/>
        </w:rPr>
        <w:t xml:space="preserve">SARS </w:t>
      </w:r>
      <w:r w:rsidR="0049195C" w:rsidRPr="006D1F6B">
        <w:rPr>
          <w:rFonts w:ascii="Arial" w:hAnsi="Arial" w:cs="Arial"/>
          <w:sz w:val="24"/>
          <w:szCs w:val="24"/>
        </w:rPr>
        <w:t xml:space="preserve">argued </w:t>
      </w:r>
      <w:r w:rsidR="00A10681" w:rsidRPr="006D1F6B">
        <w:rPr>
          <w:rFonts w:ascii="Arial" w:hAnsi="Arial" w:cs="Arial"/>
          <w:sz w:val="24"/>
          <w:szCs w:val="24"/>
        </w:rPr>
        <w:t>that capital gains tax is expressly de</w:t>
      </w:r>
      <w:r w:rsidR="0049195C" w:rsidRPr="006D1F6B">
        <w:rPr>
          <w:rFonts w:ascii="Arial" w:hAnsi="Arial" w:cs="Arial"/>
          <w:sz w:val="24"/>
          <w:szCs w:val="24"/>
        </w:rPr>
        <w:t xml:space="preserve">alt with in the Eighth Schedule. These provisions were introduced subsequent to the amendments providing for the taxation of income accrued by trusts or their </w:t>
      </w:r>
      <w:r w:rsidR="00BB26D8" w:rsidRPr="006D1F6B">
        <w:rPr>
          <w:rFonts w:ascii="Arial" w:hAnsi="Arial" w:cs="Arial"/>
          <w:sz w:val="24"/>
          <w:szCs w:val="24"/>
        </w:rPr>
        <w:t>beneficiaries</w:t>
      </w:r>
      <w:r w:rsidR="0049195C" w:rsidRPr="006D1F6B">
        <w:rPr>
          <w:rFonts w:ascii="Arial" w:hAnsi="Arial" w:cs="Arial"/>
          <w:sz w:val="24"/>
          <w:szCs w:val="24"/>
        </w:rPr>
        <w:t>. Section 26A</w:t>
      </w:r>
      <w:r w:rsidR="00E132D1" w:rsidRPr="006D1F6B">
        <w:rPr>
          <w:rFonts w:ascii="Arial" w:hAnsi="Arial" w:cs="Arial"/>
          <w:sz w:val="24"/>
          <w:szCs w:val="24"/>
        </w:rPr>
        <w:t>,</w:t>
      </w:r>
      <w:r w:rsidR="0049195C" w:rsidRPr="006D1F6B">
        <w:rPr>
          <w:rFonts w:ascii="Arial" w:hAnsi="Arial" w:cs="Arial"/>
          <w:sz w:val="24"/>
          <w:szCs w:val="24"/>
        </w:rPr>
        <w:t xml:space="preserve"> read with the Eighth Schedule</w:t>
      </w:r>
      <w:r w:rsidR="00E132D1" w:rsidRPr="006D1F6B">
        <w:rPr>
          <w:rFonts w:ascii="Arial" w:hAnsi="Arial" w:cs="Arial"/>
          <w:sz w:val="24"/>
          <w:szCs w:val="24"/>
        </w:rPr>
        <w:t>,</w:t>
      </w:r>
      <w:r w:rsidR="0049195C" w:rsidRPr="006D1F6B">
        <w:rPr>
          <w:rFonts w:ascii="Arial" w:hAnsi="Arial" w:cs="Arial"/>
          <w:sz w:val="24"/>
          <w:szCs w:val="24"/>
        </w:rPr>
        <w:t xml:space="preserve"> provides for a specific form of tax and for </w:t>
      </w:r>
      <w:r w:rsidR="00BB26D8" w:rsidRPr="006D1F6B">
        <w:rPr>
          <w:rFonts w:ascii="Arial" w:hAnsi="Arial" w:cs="Arial"/>
          <w:sz w:val="24"/>
          <w:szCs w:val="24"/>
        </w:rPr>
        <w:t>the</w:t>
      </w:r>
      <w:r w:rsidR="0049195C" w:rsidRPr="006D1F6B">
        <w:rPr>
          <w:rFonts w:ascii="Arial" w:hAnsi="Arial" w:cs="Arial"/>
          <w:sz w:val="24"/>
          <w:szCs w:val="24"/>
        </w:rPr>
        <w:t xml:space="preserve"> effect of the vesting of such capital gains as are realised in the hands of successive trusts. </w:t>
      </w:r>
    </w:p>
    <w:p w14:paraId="45E10AAB" w14:textId="77777777" w:rsidR="00BB26D8" w:rsidRDefault="00BB26D8">
      <w:pPr>
        <w:pStyle w:val="ListParagraph"/>
        <w:ind w:left="0"/>
        <w:rPr>
          <w:rFonts w:ascii="Arial" w:hAnsi="Arial" w:cs="Arial"/>
          <w:sz w:val="24"/>
          <w:szCs w:val="24"/>
        </w:rPr>
      </w:pPr>
    </w:p>
    <w:p w14:paraId="656326E6" w14:textId="47F79150" w:rsidR="00BB26D8" w:rsidRPr="006D1F6B" w:rsidRDefault="006D1F6B" w:rsidP="006D1F6B">
      <w:pPr>
        <w:rPr>
          <w:rFonts w:ascii="Arial" w:hAnsi="Arial" w:cs="Arial"/>
          <w:sz w:val="24"/>
          <w:szCs w:val="24"/>
        </w:rPr>
      </w:pPr>
      <w:r w:rsidRPr="003C1876">
        <w:rPr>
          <w:rFonts w:ascii="Arial" w:hAnsi="Arial" w:cs="Arial"/>
          <w:sz w:val="24"/>
          <w:szCs w:val="24"/>
        </w:rPr>
        <w:t>[13]</w:t>
      </w:r>
      <w:r w:rsidRPr="003C1876">
        <w:rPr>
          <w:rFonts w:ascii="Arial" w:hAnsi="Arial" w:cs="Arial"/>
          <w:sz w:val="24"/>
          <w:szCs w:val="24"/>
        </w:rPr>
        <w:tab/>
      </w:r>
      <w:r w:rsidR="0049195C" w:rsidRPr="006D1F6B">
        <w:rPr>
          <w:rFonts w:ascii="Arial" w:hAnsi="Arial" w:cs="Arial"/>
          <w:sz w:val="24"/>
          <w:szCs w:val="24"/>
        </w:rPr>
        <w:t xml:space="preserve">SARS further argued that </w:t>
      </w:r>
      <w:r w:rsidR="00E13651" w:rsidRPr="006D1F6B">
        <w:rPr>
          <w:rFonts w:ascii="Arial" w:hAnsi="Arial" w:cs="Arial"/>
          <w:sz w:val="24"/>
          <w:szCs w:val="24"/>
        </w:rPr>
        <w:t>the proceeds of the disposal of capital assets by the Tier 1 Trusts constitute</w:t>
      </w:r>
      <w:r w:rsidR="00E3708D" w:rsidRPr="006D1F6B">
        <w:rPr>
          <w:rFonts w:ascii="Arial" w:hAnsi="Arial" w:cs="Arial"/>
          <w:sz w:val="24"/>
          <w:szCs w:val="24"/>
        </w:rPr>
        <w:t>d</w:t>
      </w:r>
      <w:r w:rsidR="00E13651" w:rsidRPr="006D1F6B">
        <w:rPr>
          <w:rFonts w:ascii="Arial" w:hAnsi="Arial" w:cs="Arial"/>
          <w:sz w:val="24"/>
          <w:szCs w:val="24"/>
        </w:rPr>
        <w:t xml:space="preserve"> capital gain</w:t>
      </w:r>
      <w:r w:rsidR="00E3708D" w:rsidRPr="006D1F6B">
        <w:rPr>
          <w:rFonts w:ascii="Arial" w:hAnsi="Arial" w:cs="Arial"/>
          <w:sz w:val="24"/>
          <w:szCs w:val="24"/>
        </w:rPr>
        <w:t>s</w:t>
      </w:r>
      <w:r w:rsidR="00E13651" w:rsidRPr="006D1F6B">
        <w:rPr>
          <w:rFonts w:ascii="Arial" w:hAnsi="Arial" w:cs="Arial"/>
          <w:sz w:val="24"/>
          <w:szCs w:val="24"/>
        </w:rPr>
        <w:t xml:space="preserve"> in the hands of the Tier 1 Trusts. Those trusts, however, distributed the </w:t>
      </w:r>
      <w:r w:rsidR="00E3708D" w:rsidRPr="006D1F6B">
        <w:rPr>
          <w:rFonts w:ascii="Arial" w:hAnsi="Arial" w:cs="Arial"/>
          <w:sz w:val="24"/>
          <w:szCs w:val="24"/>
        </w:rPr>
        <w:t xml:space="preserve">capital gains to </w:t>
      </w:r>
      <w:r w:rsidR="00E13651" w:rsidRPr="006D1F6B">
        <w:rPr>
          <w:rFonts w:ascii="Arial" w:hAnsi="Arial" w:cs="Arial"/>
          <w:sz w:val="24"/>
          <w:szCs w:val="24"/>
        </w:rPr>
        <w:t>the Thistle Trust. P</w:t>
      </w:r>
      <w:r w:rsidR="00A10681" w:rsidRPr="006D1F6B">
        <w:rPr>
          <w:rFonts w:ascii="Arial" w:hAnsi="Arial" w:cs="Arial"/>
          <w:sz w:val="24"/>
          <w:szCs w:val="24"/>
        </w:rPr>
        <w:t>aragraph 80(2)</w:t>
      </w:r>
      <w:r w:rsidR="00E132D1" w:rsidRPr="006D1F6B">
        <w:rPr>
          <w:rFonts w:ascii="Arial" w:hAnsi="Arial" w:cs="Arial"/>
          <w:sz w:val="24"/>
          <w:szCs w:val="24"/>
        </w:rPr>
        <w:t>,</w:t>
      </w:r>
      <w:r w:rsidR="00A10681" w:rsidRPr="006D1F6B">
        <w:rPr>
          <w:rFonts w:ascii="Arial" w:hAnsi="Arial" w:cs="Arial"/>
          <w:sz w:val="24"/>
          <w:szCs w:val="24"/>
        </w:rPr>
        <w:t xml:space="preserve"> </w:t>
      </w:r>
      <w:r w:rsidR="00E13651" w:rsidRPr="006D1F6B">
        <w:rPr>
          <w:rFonts w:ascii="Arial" w:hAnsi="Arial" w:cs="Arial"/>
          <w:sz w:val="24"/>
          <w:szCs w:val="24"/>
        </w:rPr>
        <w:t>therefore</w:t>
      </w:r>
      <w:r w:rsidR="00E132D1" w:rsidRPr="006D1F6B">
        <w:rPr>
          <w:rFonts w:ascii="Arial" w:hAnsi="Arial" w:cs="Arial"/>
          <w:sz w:val="24"/>
          <w:szCs w:val="24"/>
        </w:rPr>
        <w:t>,</w:t>
      </w:r>
      <w:r w:rsidR="00E13651" w:rsidRPr="006D1F6B">
        <w:rPr>
          <w:rFonts w:ascii="Arial" w:hAnsi="Arial" w:cs="Arial"/>
          <w:sz w:val="24"/>
          <w:szCs w:val="24"/>
        </w:rPr>
        <w:t xml:space="preserve"> applies. The </w:t>
      </w:r>
      <w:r w:rsidR="00A10681" w:rsidRPr="006D1F6B">
        <w:rPr>
          <w:rFonts w:ascii="Arial" w:hAnsi="Arial" w:cs="Arial"/>
          <w:sz w:val="24"/>
          <w:szCs w:val="24"/>
        </w:rPr>
        <w:t>Thistle</w:t>
      </w:r>
      <w:r w:rsidR="00E13651" w:rsidRPr="006D1F6B">
        <w:rPr>
          <w:rFonts w:ascii="Arial" w:hAnsi="Arial" w:cs="Arial"/>
          <w:sz w:val="24"/>
          <w:szCs w:val="24"/>
        </w:rPr>
        <w:t xml:space="preserve"> Trust acquired a vested right to the</w:t>
      </w:r>
      <w:r w:rsidR="00E3708D" w:rsidRPr="006D1F6B">
        <w:rPr>
          <w:rFonts w:ascii="Arial" w:hAnsi="Arial" w:cs="Arial"/>
          <w:sz w:val="24"/>
          <w:szCs w:val="24"/>
        </w:rPr>
        <w:t xml:space="preserve"> capital gains</w:t>
      </w:r>
      <w:r w:rsidR="00E13651" w:rsidRPr="006D1F6B">
        <w:rPr>
          <w:rFonts w:ascii="Arial" w:hAnsi="Arial" w:cs="Arial"/>
          <w:sz w:val="24"/>
          <w:szCs w:val="24"/>
        </w:rPr>
        <w:t xml:space="preserve"> distributed to it but acquired no </w:t>
      </w:r>
      <w:r w:rsidR="000E4663" w:rsidRPr="006D1F6B">
        <w:rPr>
          <w:rFonts w:ascii="Arial" w:hAnsi="Arial" w:cs="Arial"/>
          <w:sz w:val="24"/>
          <w:szCs w:val="24"/>
        </w:rPr>
        <w:t xml:space="preserve">vested </w:t>
      </w:r>
      <w:r w:rsidR="00E132D1" w:rsidRPr="006D1F6B">
        <w:rPr>
          <w:rFonts w:ascii="Arial" w:hAnsi="Arial" w:cs="Arial"/>
          <w:sz w:val="24"/>
          <w:szCs w:val="24"/>
        </w:rPr>
        <w:t>right to the disposed capital assets</w:t>
      </w:r>
      <w:r w:rsidR="00E13651" w:rsidRPr="006D1F6B">
        <w:rPr>
          <w:rFonts w:ascii="Arial" w:hAnsi="Arial" w:cs="Arial"/>
          <w:sz w:val="24"/>
          <w:szCs w:val="24"/>
        </w:rPr>
        <w:t xml:space="preserve">. The Thistle Trust distributed the </w:t>
      </w:r>
      <w:r w:rsidR="00E3708D" w:rsidRPr="006D1F6B">
        <w:rPr>
          <w:rFonts w:ascii="Arial" w:hAnsi="Arial" w:cs="Arial"/>
          <w:sz w:val="24"/>
          <w:szCs w:val="24"/>
        </w:rPr>
        <w:t>amount</w:t>
      </w:r>
      <w:r w:rsidR="00E13651" w:rsidRPr="006D1F6B">
        <w:rPr>
          <w:rFonts w:ascii="Arial" w:hAnsi="Arial" w:cs="Arial"/>
          <w:sz w:val="24"/>
          <w:szCs w:val="24"/>
        </w:rPr>
        <w:t xml:space="preserve"> it received to its beneficiaries. In doing so</w:t>
      </w:r>
      <w:r w:rsidR="00E132D1" w:rsidRPr="006D1F6B">
        <w:rPr>
          <w:rFonts w:ascii="Arial" w:hAnsi="Arial" w:cs="Arial"/>
          <w:sz w:val="24"/>
          <w:szCs w:val="24"/>
        </w:rPr>
        <w:t>,</w:t>
      </w:r>
      <w:r w:rsidR="00E13651" w:rsidRPr="006D1F6B">
        <w:rPr>
          <w:rFonts w:ascii="Arial" w:hAnsi="Arial" w:cs="Arial"/>
          <w:sz w:val="24"/>
          <w:szCs w:val="24"/>
        </w:rPr>
        <w:t xml:space="preserve"> it did not </w:t>
      </w:r>
      <w:r w:rsidR="00E3708D" w:rsidRPr="006D1F6B">
        <w:rPr>
          <w:rFonts w:ascii="Arial" w:hAnsi="Arial" w:cs="Arial"/>
          <w:sz w:val="24"/>
          <w:szCs w:val="24"/>
        </w:rPr>
        <w:t xml:space="preserve">determine a capital </w:t>
      </w:r>
      <w:r w:rsidR="00E3708D" w:rsidRPr="006D1F6B">
        <w:rPr>
          <w:rFonts w:ascii="Arial" w:hAnsi="Arial" w:cs="Arial"/>
          <w:sz w:val="24"/>
          <w:szCs w:val="24"/>
        </w:rPr>
        <w:lastRenderedPageBreak/>
        <w:t>gain in respect of the disposal</w:t>
      </w:r>
      <w:r w:rsidR="00E13651" w:rsidRPr="006D1F6B">
        <w:rPr>
          <w:rFonts w:ascii="Arial" w:hAnsi="Arial" w:cs="Arial"/>
          <w:sz w:val="24"/>
          <w:szCs w:val="24"/>
        </w:rPr>
        <w:t xml:space="preserve"> of a capital asset as is required by paragraph 80(2) of the Schedule. Thus, insofar as the benef</w:t>
      </w:r>
      <w:r w:rsidR="00BB26D8" w:rsidRPr="006D1F6B">
        <w:rPr>
          <w:rFonts w:ascii="Arial" w:hAnsi="Arial" w:cs="Arial"/>
          <w:sz w:val="24"/>
          <w:szCs w:val="24"/>
        </w:rPr>
        <w:t>iciaries of the Thistle Trust are concerned</w:t>
      </w:r>
      <w:r w:rsidR="00E132D1" w:rsidRPr="006D1F6B">
        <w:rPr>
          <w:rFonts w:ascii="Arial" w:hAnsi="Arial" w:cs="Arial"/>
          <w:sz w:val="24"/>
          <w:szCs w:val="24"/>
        </w:rPr>
        <w:t>,</w:t>
      </w:r>
      <w:r w:rsidR="00BB26D8" w:rsidRPr="006D1F6B">
        <w:rPr>
          <w:rFonts w:ascii="Arial" w:hAnsi="Arial" w:cs="Arial"/>
          <w:sz w:val="24"/>
          <w:szCs w:val="24"/>
        </w:rPr>
        <w:t xml:space="preserve"> the provisions of 80(2) do not apply. Section 80(2) determines the tax position of the Thistle Trust. The capital gains accrued upon the disposal of capital assets by the Tier 1 Trusts are</w:t>
      </w:r>
      <w:r w:rsidR="00E132D1" w:rsidRPr="006D1F6B">
        <w:rPr>
          <w:rFonts w:ascii="Arial" w:hAnsi="Arial" w:cs="Arial"/>
          <w:sz w:val="24"/>
          <w:szCs w:val="24"/>
        </w:rPr>
        <w:t>,</w:t>
      </w:r>
      <w:r w:rsidR="00BB26D8" w:rsidRPr="006D1F6B">
        <w:rPr>
          <w:rFonts w:ascii="Arial" w:hAnsi="Arial" w:cs="Arial"/>
          <w:sz w:val="24"/>
          <w:szCs w:val="24"/>
        </w:rPr>
        <w:t xml:space="preserve"> therefore</w:t>
      </w:r>
      <w:r w:rsidR="00E132D1" w:rsidRPr="006D1F6B">
        <w:rPr>
          <w:rFonts w:ascii="Arial" w:hAnsi="Arial" w:cs="Arial"/>
          <w:sz w:val="24"/>
          <w:szCs w:val="24"/>
        </w:rPr>
        <w:t>,</w:t>
      </w:r>
      <w:r w:rsidR="00BB26D8" w:rsidRPr="006D1F6B">
        <w:rPr>
          <w:rFonts w:ascii="Arial" w:hAnsi="Arial" w:cs="Arial"/>
          <w:sz w:val="24"/>
          <w:szCs w:val="24"/>
        </w:rPr>
        <w:t xml:space="preserve"> taxable in the hands of the Thistle Trust.</w:t>
      </w:r>
    </w:p>
    <w:p w14:paraId="27D82B29" w14:textId="77777777" w:rsidR="00BB26D8" w:rsidRDefault="00BB26D8">
      <w:pPr>
        <w:pStyle w:val="ListParagraph"/>
        <w:ind w:left="0"/>
        <w:rPr>
          <w:rFonts w:ascii="Arial" w:hAnsi="Arial" w:cs="Arial"/>
          <w:sz w:val="24"/>
          <w:szCs w:val="24"/>
        </w:rPr>
      </w:pPr>
    </w:p>
    <w:p w14:paraId="2AFC8310" w14:textId="24B79762" w:rsidR="00BB26D8" w:rsidRPr="006D1F6B" w:rsidRDefault="006D1F6B" w:rsidP="006D1F6B">
      <w:pPr>
        <w:rPr>
          <w:rFonts w:ascii="Arial" w:hAnsi="Arial" w:cs="Arial"/>
          <w:sz w:val="24"/>
          <w:szCs w:val="24"/>
        </w:rPr>
      </w:pPr>
      <w:r w:rsidRPr="003C1876">
        <w:rPr>
          <w:rFonts w:ascii="Arial" w:hAnsi="Arial" w:cs="Arial"/>
          <w:sz w:val="24"/>
          <w:szCs w:val="24"/>
        </w:rPr>
        <w:t>[14]</w:t>
      </w:r>
      <w:r w:rsidRPr="003C1876">
        <w:rPr>
          <w:rFonts w:ascii="Arial" w:hAnsi="Arial" w:cs="Arial"/>
          <w:sz w:val="24"/>
          <w:szCs w:val="24"/>
        </w:rPr>
        <w:tab/>
      </w:r>
      <w:r w:rsidR="00BB26D8" w:rsidRPr="006D1F6B">
        <w:rPr>
          <w:rFonts w:ascii="Arial" w:hAnsi="Arial" w:cs="Arial"/>
          <w:sz w:val="24"/>
          <w:szCs w:val="24"/>
        </w:rPr>
        <w:t>In so far as s 25B of the ITA is concerned, SARS argued that the section does not apply</w:t>
      </w:r>
      <w:r w:rsidR="000E4663" w:rsidRPr="006D1F6B">
        <w:rPr>
          <w:rFonts w:ascii="Arial" w:hAnsi="Arial" w:cs="Arial"/>
          <w:sz w:val="24"/>
          <w:szCs w:val="24"/>
        </w:rPr>
        <w:t xml:space="preserve"> as </w:t>
      </w:r>
      <w:r w:rsidR="00BE2AD9" w:rsidRPr="006D1F6B">
        <w:rPr>
          <w:rFonts w:ascii="Arial" w:hAnsi="Arial" w:cs="Arial"/>
          <w:sz w:val="24"/>
          <w:szCs w:val="24"/>
        </w:rPr>
        <w:t>its provision</w:t>
      </w:r>
      <w:r w:rsidR="00E728DC" w:rsidRPr="006D1F6B">
        <w:rPr>
          <w:rFonts w:ascii="Arial" w:hAnsi="Arial" w:cs="Arial"/>
          <w:sz w:val="24"/>
          <w:szCs w:val="24"/>
        </w:rPr>
        <w:t>s</w:t>
      </w:r>
      <w:r w:rsidR="00BB26D8" w:rsidRPr="006D1F6B">
        <w:rPr>
          <w:rFonts w:ascii="Arial" w:hAnsi="Arial" w:cs="Arial"/>
          <w:sz w:val="24"/>
          <w:szCs w:val="24"/>
        </w:rPr>
        <w:t xml:space="preserve"> </w:t>
      </w:r>
      <w:r w:rsidR="00E132D1" w:rsidRPr="006D1F6B">
        <w:rPr>
          <w:rFonts w:ascii="Arial" w:hAnsi="Arial" w:cs="Arial"/>
          <w:sz w:val="24"/>
          <w:szCs w:val="24"/>
        </w:rPr>
        <w:t>concern</w:t>
      </w:r>
      <w:r w:rsidR="00BB26D8" w:rsidRPr="006D1F6B">
        <w:rPr>
          <w:rFonts w:ascii="Arial" w:hAnsi="Arial" w:cs="Arial"/>
          <w:sz w:val="24"/>
          <w:szCs w:val="24"/>
        </w:rPr>
        <w:t xml:space="preserve"> the taxation of income </w:t>
      </w:r>
      <w:r w:rsidR="00E132D1" w:rsidRPr="006D1F6B">
        <w:rPr>
          <w:rFonts w:ascii="Arial" w:hAnsi="Arial" w:cs="Arial"/>
          <w:sz w:val="24"/>
          <w:szCs w:val="24"/>
        </w:rPr>
        <w:t xml:space="preserve">that </w:t>
      </w:r>
      <w:r w:rsidR="00BB26D8" w:rsidRPr="006D1F6B">
        <w:rPr>
          <w:rFonts w:ascii="Arial" w:hAnsi="Arial" w:cs="Arial"/>
          <w:sz w:val="24"/>
          <w:szCs w:val="24"/>
        </w:rPr>
        <w:t>accrues to trusts and their beneficiaries. It was argued that the reference to ‘amounts’ which accrues to trusts does not include amounts o</w:t>
      </w:r>
      <w:r w:rsidR="003C1876" w:rsidRPr="006D1F6B">
        <w:rPr>
          <w:rFonts w:ascii="Arial" w:hAnsi="Arial" w:cs="Arial"/>
          <w:sz w:val="24"/>
          <w:szCs w:val="24"/>
        </w:rPr>
        <w:t xml:space="preserve">r proceeds of a capital nature. </w:t>
      </w:r>
      <w:r w:rsidR="004D69E2" w:rsidRPr="006D1F6B">
        <w:rPr>
          <w:rFonts w:ascii="Arial" w:hAnsi="Arial" w:cs="Arial"/>
          <w:sz w:val="24"/>
          <w:szCs w:val="24"/>
        </w:rPr>
        <w:t>Those are dealt with in the Eighth Schedule.</w:t>
      </w:r>
    </w:p>
    <w:p w14:paraId="343CB503" w14:textId="77777777" w:rsidR="00BB26D8" w:rsidRDefault="00BB26D8">
      <w:pPr>
        <w:pStyle w:val="ListParagraph"/>
        <w:ind w:left="0"/>
        <w:rPr>
          <w:rFonts w:ascii="Arial" w:hAnsi="Arial" w:cs="Arial"/>
          <w:sz w:val="24"/>
          <w:szCs w:val="24"/>
        </w:rPr>
      </w:pPr>
    </w:p>
    <w:p w14:paraId="17F8F069" w14:textId="6BF2AEBC" w:rsidR="00BB26D8" w:rsidRPr="006D1F6B" w:rsidRDefault="006D1F6B" w:rsidP="006D1F6B">
      <w:pPr>
        <w:rPr>
          <w:rFonts w:ascii="Arial" w:hAnsi="Arial" w:cs="Arial"/>
          <w:sz w:val="24"/>
          <w:szCs w:val="24"/>
        </w:rPr>
      </w:pPr>
      <w:r w:rsidRPr="003C1876">
        <w:rPr>
          <w:rFonts w:ascii="Arial" w:hAnsi="Arial" w:cs="Arial"/>
          <w:sz w:val="24"/>
          <w:szCs w:val="24"/>
        </w:rPr>
        <w:t>[15]</w:t>
      </w:r>
      <w:r w:rsidRPr="003C1876">
        <w:rPr>
          <w:rFonts w:ascii="Arial" w:hAnsi="Arial" w:cs="Arial"/>
          <w:sz w:val="24"/>
          <w:szCs w:val="24"/>
        </w:rPr>
        <w:tab/>
      </w:r>
      <w:r w:rsidR="00BB26D8" w:rsidRPr="006D1F6B">
        <w:rPr>
          <w:rFonts w:ascii="Arial" w:hAnsi="Arial" w:cs="Arial"/>
          <w:sz w:val="24"/>
          <w:szCs w:val="24"/>
        </w:rPr>
        <w:t>It was argued that the Tax Court had erred in finding that s 25B</w:t>
      </w:r>
      <w:r w:rsidR="00F92D34" w:rsidRPr="006D1F6B">
        <w:rPr>
          <w:rFonts w:ascii="Arial" w:hAnsi="Arial" w:cs="Arial"/>
          <w:sz w:val="24"/>
          <w:szCs w:val="24"/>
        </w:rPr>
        <w:t>,</w:t>
      </w:r>
      <w:r w:rsidR="00BB26D8" w:rsidRPr="006D1F6B">
        <w:rPr>
          <w:rFonts w:ascii="Arial" w:hAnsi="Arial" w:cs="Arial"/>
          <w:sz w:val="24"/>
          <w:szCs w:val="24"/>
        </w:rPr>
        <w:t xml:space="preserve"> when read in conjunction with paragraph 80(2) of the Schedule</w:t>
      </w:r>
      <w:r w:rsidR="00E132D1" w:rsidRPr="006D1F6B">
        <w:rPr>
          <w:rFonts w:ascii="Arial" w:hAnsi="Arial" w:cs="Arial"/>
          <w:sz w:val="24"/>
          <w:szCs w:val="24"/>
        </w:rPr>
        <w:t>,</w:t>
      </w:r>
      <w:r w:rsidR="00BB26D8" w:rsidRPr="006D1F6B">
        <w:rPr>
          <w:rFonts w:ascii="Arial" w:hAnsi="Arial" w:cs="Arial"/>
          <w:sz w:val="24"/>
          <w:szCs w:val="24"/>
        </w:rPr>
        <w:t xml:space="preserve"> had the effect that the distributions to the beneficiaries of the Thistle Trust were taxable in their hands.</w:t>
      </w:r>
    </w:p>
    <w:p w14:paraId="442BA816" w14:textId="77777777" w:rsidR="00A10681" w:rsidRPr="003C1876" w:rsidRDefault="00A10681" w:rsidP="000E4663">
      <w:pPr>
        <w:pStyle w:val="ListParagraph"/>
        <w:ind w:left="0"/>
        <w:rPr>
          <w:rFonts w:ascii="Arial" w:hAnsi="Arial" w:cs="Arial"/>
          <w:sz w:val="24"/>
          <w:szCs w:val="24"/>
        </w:rPr>
      </w:pPr>
    </w:p>
    <w:p w14:paraId="59DC39D2" w14:textId="1C671F97" w:rsidR="00A10681" w:rsidRPr="006D1F6B" w:rsidRDefault="006D1F6B" w:rsidP="006D1F6B">
      <w:pPr>
        <w:rPr>
          <w:rFonts w:ascii="Arial" w:hAnsi="Arial" w:cs="Arial"/>
          <w:sz w:val="24"/>
          <w:szCs w:val="24"/>
        </w:rPr>
      </w:pPr>
      <w:r w:rsidRPr="005C08DE">
        <w:rPr>
          <w:rFonts w:ascii="Arial" w:hAnsi="Arial" w:cs="Arial"/>
          <w:sz w:val="24"/>
          <w:szCs w:val="24"/>
        </w:rPr>
        <w:t>[16]</w:t>
      </w:r>
      <w:r w:rsidRPr="005C08DE">
        <w:rPr>
          <w:rFonts w:ascii="Arial" w:hAnsi="Arial" w:cs="Arial"/>
          <w:sz w:val="24"/>
          <w:szCs w:val="24"/>
        </w:rPr>
        <w:tab/>
      </w:r>
      <w:r w:rsidR="00BE2AD9" w:rsidRPr="006D1F6B">
        <w:rPr>
          <w:rFonts w:ascii="Arial" w:hAnsi="Arial" w:cs="Arial"/>
          <w:sz w:val="24"/>
          <w:szCs w:val="24"/>
        </w:rPr>
        <w:t xml:space="preserve">The </w:t>
      </w:r>
      <w:r w:rsidR="00A10681" w:rsidRPr="006D1F6B">
        <w:rPr>
          <w:rFonts w:ascii="Arial" w:hAnsi="Arial" w:cs="Arial"/>
          <w:sz w:val="24"/>
          <w:szCs w:val="24"/>
        </w:rPr>
        <w:t>Thistle</w:t>
      </w:r>
      <w:r w:rsidR="005A0DCD" w:rsidRPr="006D1F6B">
        <w:rPr>
          <w:rFonts w:ascii="Arial" w:hAnsi="Arial" w:cs="Arial"/>
          <w:sz w:val="24"/>
          <w:szCs w:val="24"/>
        </w:rPr>
        <w:t xml:space="preserve"> Trust contended</w:t>
      </w:r>
      <w:r w:rsidR="00A10681" w:rsidRPr="006D1F6B">
        <w:rPr>
          <w:rFonts w:ascii="Arial" w:hAnsi="Arial" w:cs="Arial"/>
          <w:sz w:val="24"/>
          <w:szCs w:val="24"/>
        </w:rPr>
        <w:t xml:space="preserve"> that both paragraphs 80(1) and 80(2) are applicable</w:t>
      </w:r>
      <w:r w:rsidR="005A0DCD" w:rsidRPr="006D1F6B">
        <w:rPr>
          <w:rFonts w:ascii="Arial" w:hAnsi="Arial" w:cs="Arial"/>
          <w:sz w:val="24"/>
          <w:szCs w:val="24"/>
        </w:rPr>
        <w:t>. Both</w:t>
      </w:r>
      <w:r w:rsidR="00A10681" w:rsidRPr="006D1F6B">
        <w:rPr>
          <w:rFonts w:ascii="Arial" w:hAnsi="Arial" w:cs="Arial"/>
          <w:sz w:val="24"/>
          <w:szCs w:val="24"/>
        </w:rPr>
        <w:t xml:space="preserve"> support a ‘see-through’ approach when dealing with the taxation of capital gains which arises from the disposal of assets by a trust to or for the benefit of the resident beneficiaries. </w:t>
      </w:r>
      <w:r w:rsidR="005A0DCD" w:rsidRPr="006D1F6B">
        <w:rPr>
          <w:rFonts w:ascii="Arial" w:hAnsi="Arial" w:cs="Arial"/>
          <w:sz w:val="24"/>
          <w:szCs w:val="24"/>
        </w:rPr>
        <w:t>T</w:t>
      </w:r>
      <w:r w:rsidR="00A10681" w:rsidRPr="006D1F6B">
        <w:rPr>
          <w:rFonts w:ascii="Arial" w:hAnsi="Arial" w:cs="Arial"/>
          <w:sz w:val="24"/>
          <w:szCs w:val="24"/>
        </w:rPr>
        <w:t xml:space="preserve">he gains attained are taxable in the hands of the resident beneficiaries. </w:t>
      </w:r>
      <w:r w:rsidR="005A0DCD" w:rsidRPr="006D1F6B">
        <w:rPr>
          <w:rFonts w:ascii="Arial" w:hAnsi="Arial" w:cs="Arial"/>
          <w:sz w:val="24"/>
          <w:szCs w:val="24"/>
        </w:rPr>
        <w:t xml:space="preserve">In making the </w:t>
      </w:r>
      <w:r w:rsidR="00A10681" w:rsidRPr="006D1F6B">
        <w:rPr>
          <w:rFonts w:ascii="Arial" w:hAnsi="Arial" w:cs="Arial"/>
          <w:sz w:val="24"/>
          <w:szCs w:val="24"/>
        </w:rPr>
        <w:t xml:space="preserve">argument, </w:t>
      </w:r>
      <w:r w:rsidR="005A0DCD" w:rsidRPr="006D1F6B">
        <w:rPr>
          <w:rFonts w:ascii="Arial" w:hAnsi="Arial" w:cs="Arial"/>
          <w:sz w:val="24"/>
          <w:szCs w:val="24"/>
        </w:rPr>
        <w:t xml:space="preserve">counsel for </w:t>
      </w:r>
      <w:r w:rsidR="00BE2AD9" w:rsidRPr="006D1F6B">
        <w:rPr>
          <w:rFonts w:ascii="Arial" w:hAnsi="Arial" w:cs="Arial"/>
          <w:sz w:val="24"/>
          <w:szCs w:val="24"/>
        </w:rPr>
        <w:t xml:space="preserve">the </w:t>
      </w:r>
      <w:r w:rsidR="005A0DCD" w:rsidRPr="006D1F6B">
        <w:rPr>
          <w:rFonts w:ascii="Arial" w:hAnsi="Arial" w:cs="Arial"/>
          <w:sz w:val="24"/>
          <w:szCs w:val="24"/>
        </w:rPr>
        <w:t>Thistle Trust submitted</w:t>
      </w:r>
      <w:r w:rsidR="00A10681" w:rsidRPr="006D1F6B">
        <w:rPr>
          <w:rFonts w:ascii="Arial" w:hAnsi="Arial" w:cs="Arial"/>
          <w:sz w:val="24"/>
          <w:szCs w:val="24"/>
        </w:rPr>
        <w:t xml:space="preserve"> that this is evident on a reading of paragraph 11(1)</w:t>
      </w:r>
      <w:r w:rsidR="00A10681" w:rsidRPr="006D1F6B">
        <w:rPr>
          <w:rFonts w:ascii="Arial" w:hAnsi="Arial" w:cs="Arial"/>
          <w:i/>
          <w:iCs/>
          <w:sz w:val="24"/>
          <w:szCs w:val="24"/>
        </w:rPr>
        <w:t>(d)</w:t>
      </w:r>
      <w:r w:rsidR="00A10681" w:rsidRPr="006D1F6B">
        <w:rPr>
          <w:rFonts w:ascii="Arial" w:hAnsi="Arial" w:cs="Arial"/>
          <w:sz w:val="24"/>
          <w:szCs w:val="24"/>
        </w:rPr>
        <w:t xml:space="preserve">, </w:t>
      </w:r>
      <w:r w:rsidR="005A0DCD" w:rsidRPr="006D1F6B">
        <w:rPr>
          <w:rFonts w:ascii="Arial" w:hAnsi="Arial" w:cs="Arial"/>
          <w:sz w:val="24"/>
          <w:szCs w:val="24"/>
        </w:rPr>
        <w:t>which</w:t>
      </w:r>
      <w:r w:rsidR="00A10681" w:rsidRPr="006D1F6B">
        <w:rPr>
          <w:rFonts w:ascii="Arial" w:hAnsi="Arial" w:cs="Arial"/>
          <w:sz w:val="24"/>
          <w:szCs w:val="24"/>
        </w:rPr>
        <w:t xml:space="preserve"> provides that a disposal for capital gains tax purposes include</w:t>
      </w:r>
      <w:r w:rsidR="005A0DCD" w:rsidRPr="006D1F6B">
        <w:rPr>
          <w:rFonts w:ascii="Arial" w:hAnsi="Arial" w:cs="Arial"/>
          <w:sz w:val="24"/>
          <w:szCs w:val="24"/>
        </w:rPr>
        <w:t>s</w:t>
      </w:r>
      <w:r w:rsidR="00A10681" w:rsidRPr="006D1F6B">
        <w:rPr>
          <w:rFonts w:ascii="Arial" w:hAnsi="Arial" w:cs="Arial"/>
          <w:sz w:val="24"/>
          <w:szCs w:val="24"/>
        </w:rPr>
        <w:t xml:space="preserve"> the vesting of an interest in an asset of a trust in a beneficiary. </w:t>
      </w:r>
    </w:p>
    <w:p w14:paraId="70A3015B" w14:textId="77777777" w:rsidR="00A10681" w:rsidRPr="00CE3EB2" w:rsidRDefault="00A10681" w:rsidP="000E4663">
      <w:pPr>
        <w:pStyle w:val="ListParagraph"/>
        <w:ind w:left="0"/>
        <w:rPr>
          <w:rFonts w:ascii="Arial" w:hAnsi="Arial" w:cs="Arial"/>
          <w:sz w:val="24"/>
          <w:szCs w:val="24"/>
        </w:rPr>
      </w:pPr>
    </w:p>
    <w:p w14:paraId="3877F89E" w14:textId="75FFA6A6" w:rsidR="00A10681" w:rsidRPr="006D1F6B" w:rsidRDefault="006D1F6B" w:rsidP="006D1F6B">
      <w:pPr>
        <w:rPr>
          <w:rFonts w:ascii="Arial" w:hAnsi="Arial" w:cs="Arial"/>
          <w:sz w:val="24"/>
          <w:szCs w:val="24"/>
        </w:rPr>
      </w:pPr>
      <w:r w:rsidRPr="003C1876">
        <w:rPr>
          <w:rFonts w:ascii="Arial" w:hAnsi="Arial" w:cs="Arial"/>
          <w:sz w:val="24"/>
          <w:szCs w:val="24"/>
        </w:rPr>
        <w:t>[17]</w:t>
      </w:r>
      <w:r w:rsidRPr="003C1876">
        <w:rPr>
          <w:rFonts w:ascii="Arial" w:hAnsi="Arial" w:cs="Arial"/>
          <w:sz w:val="24"/>
          <w:szCs w:val="24"/>
        </w:rPr>
        <w:tab/>
      </w:r>
      <w:r w:rsidR="00BE2AD9" w:rsidRPr="006D1F6B">
        <w:rPr>
          <w:rFonts w:ascii="Arial" w:hAnsi="Arial" w:cs="Arial"/>
          <w:sz w:val="24"/>
          <w:szCs w:val="24"/>
        </w:rPr>
        <w:t xml:space="preserve">The </w:t>
      </w:r>
      <w:r w:rsidR="00A10681" w:rsidRPr="006D1F6B">
        <w:rPr>
          <w:rFonts w:ascii="Arial" w:hAnsi="Arial" w:cs="Arial"/>
          <w:sz w:val="24"/>
          <w:szCs w:val="24"/>
        </w:rPr>
        <w:t xml:space="preserve">Thistle </w:t>
      </w:r>
      <w:r w:rsidR="005A0DCD" w:rsidRPr="006D1F6B">
        <w:rPr>
          <w:rFonts w:ascii="Arial" w:hAnsi="Arial" w:cs="Arial"/>
          <w:sz w:val="24"/>
          <w:szCs w:val="24"/>
        </w:rPr>
        <w:t>Trust argued that paragraph 80(2)</w:t>
      </w:r>
      <w:r w:rsidR="00A10681" w:rsidRPr="006D1F6B">
        <w:rPr>
          <w:rFonts w:ascii="Arial" w:hAnsi="Arial" w:cs="Arial"/>
          <w:sz w:val="24"/>
          <w:szCs w:val="24"/>
        </w:rPr>
        <w:t xml:space="preserve"> ought to be read with s 25B. </w:t>
      </w:r>
      <w:r w:rsidR="005A0DCD" w:rsidRPr="006D1F6B">
        <w:rPr>
          <w:rFonts w:ascii="Arial" w:hAnsi="Arial" w:cs="Arial"/>
          <w:sz w:val="24"/>
          <w:szCs w:val="24"/>
        </w:rPr>
        <w:t>It submitted</w:t>
      </w:r>
      <w:r w:rsidR="00A10681" w:rsidRPr="006D1F6B">
        <w:rPr>
          <w:rFonts w:ascii="Arial" w:hAnsi="Arial" w:cs="Arial"/>
          <w:sz w:val="24"/>
          <w:szCs w:val="24"/>
        </w:rPr>
        <w:t xml:space="preserve"> that ‘an amount’ in the said section </w:t>
      </w:r>
      <w:r w:rsidR="00BE2AD9" w:rsidRPr="006D1F6B">
        <w:rPr>
          <w:rFonts w:ascii="Arial" w:hAnsi="Arial" w:cs="Arial"/>
          <w:sz w:val="24"/>
          <w:szCs w:val="24"/>
        </w:rPr>
        <w:t>is inclu</w:t>
      </w:r>
      <w:r w:rsidR="003055FB" w:rsidRPr="006D1F6B">
        <w:rPr>
          <w:rFonts w:ascii="Arial" w:hAnsi="Arial" w:cs="Arial"/>
          <w:sz w:val="24"/>
          <w:szCs w:val="24"/>
        </w:rPr>
        <w:t>s</w:t>
      </w:r>
      <w:r w:rsidR="00BE2AD9" w:rsidRPr="006D1F6B">
        <w:rPr>
          <w:rFonts w:ascii="Arial" w:hAnsi="Arial" w:cs="Arial"/>
          <w:sz w:val="24"/>
          <w:szCs w:val="24"/>
        </w:rPr>
        <w:t xml:space="preserve">ive of </w:t>
      </w:r>
      <w:r w:rsidR="00A10681" w:rsidRPr="006D1F6B">
        <w:rPr>
          <w:rFonts w:ascii="Arial" w:hAnsi="Arial" w:cs="Arial"/>
          <w:sz w:val="24"/>
          <w:szCs w:val="24"/>
        </w:rPr>
        <w:t>capital gains</w:t>
      </w:r>
      <w:r w:rsidR="003C1876" w:rsidRPr="006D1F6B">
        <w:rPr>
          <w:rFonts w:ascii="Arial" w:hAnsi="Arial" w:cs="Arial"/>
          <w:sz w:val="24"/>
          <w:szCs w:val="24"/>
        </w:rPr>
        <w:t>.</w:t>
      </w:r>
      <w:r w:rsidR="00A10681" w:rsidRPr="006D1F6B">
        <w:rPr>
          <w:rFonts w:ascii="Arial" w:hAnsi="Arial" w:cs="Arial"/>
          <w:sz w:val="24"/>
          <w:szCs w:val="24"/>
        </w:rPr>
        <w:t xml:space="preserve"> </w:t>
      </w:r>
    </w:p>
    <w:p w14:paraId="6D89A947" w14:textId="77777777" w:rsidR="00A10681" w:rsidRPr="00732921" w:rsidRDefault="00A10681" w:rsidP="00F67624">
      <w:pPr>
        <w:pStyle w:val="ListParagraph"/>
        <w:ind w:left="0"/>
        <w:rPr>
          <w:rFonts w:ascii="Arial" w:hAnsi="Arial" w:cs="Arial"/>
          <w:sz w:val="24"/>
          <w:szCs w:val="24"/>
        </w:rPr>
      </w:pPr>
    </w:p>
    <w:p w14:paraId="552FE780" w14:textId="77777777" w:rsidR="00A10681" w:rsidRPr="005A0DCD" w:rsidRDefault="005A0DCD">
      <w:pPr>
        <w:pStyle w:val="ListParagraph"/>
        <w:ind w:left="0"/>
        <w:rPr>
          <w:rFonts w:ascii="Arial" w:hAnsi="Arial" w:cs="Arial"/>
          <w:b/>
          <w:sz w:val="24"/>
          <w:szCs w:val="24"/>
        </w:rPr>
      </w:pPr>
      <w:r>
        <w:rPr>
          <w:rFonts w:ascii="Arial" w:hAnsi="Arial" w:cs="Arial"/>
          <w:b/>
          <w:sz w:val="24"/>
          <w:szCs w:val="24"/>
        </w:rPr>
        <w:t>Discussion</w:t>
      </w:r>
    </w:p>
    <w:p w14:paraId="29D10A1E" w14:textId="4207E208" w:rsidR="002374AB" w:rsidRPr="006D1F6B" w:rsidRDefault="006D1F6B" w:rsidP="006D1F6B">
      <w:pPr>
        <w:rPr>
          <w:rFonts w:ascii="Arial" w:hAnsi="Arial" w:cs="Arial"/>
          <w:sz w:val="24"/>
          <w:szCs w:val="24"/>
        </w:rPr>
      </w:pPr>
      <w:r w:rsidRPr="00371830">
        <w:rPr>
          <w:rFonts w:ascii="Arial" w:hAnsi="Arial" w:cs="Arial"/>
          <w:sz w:val="24"/>
          <w:szCs w:val="24"/>
        </w:rPr>
        <w:t>[18]</w:t>
      </w:r>
      <w:r w:rsidRPr="00371830">
        <w:rPr>
          <w:rFonts w:ascii="Arial" w:hAnsi="Arial" w:cs="Arial"/>
          <w:sz w:val="24"/>
          <w:szCs w:val="24"/>
        </w:rPr>
        <w:tab/>
      </w:r>
      <w:r w:rsidR="002374AB" w:rsidRPr="006D1F6B">
        <w:rPr>
          <w:rFonts w:ascii="Arial" w:hAnsi="Arial" w:cs="Arial"/>
          <w:sz w:val="24"/>
          <w:szCs w:val="24"/>
        </w:rPr>
        <w:t xml:space="preserve">The first question involves the interpretation and application of the relevant provisions of the ITA and the Eighth Schedule to the ITA. Insofar as the interpretation exercise is concerned, it is apposite to call to mind </w:t>
      </w:r>
      <w:r w:rsidR="00354ACD" w:rsidRPr="006D1F6B">
        <w:rPr>
          <w:rFonts w:ascii="Arial" w:hAnsi="Arial" w:cs="Arial"/>
          <w:sz w:val="24"/>
          <w:szCs w:val="24"/>
        </w:rPr>
        <w:t xml:space="preserve">what this Court said in </w:t>
      </w:r>
      <w:r w:rsidR="00354ACD" w:rsidRPr="006D1F6B">
        <w:rPr>
          <w:rFonts w:ascii="Arial" w:hAnsi="Arial" w:cs="Arial"/>
          <w:i/>
          <w:sz w:val="24"/>
          <w:szCs w:val="24"/>
        </w:rPr>
        <w:lastRenderedPageBreak/>
        <w:t xml:space="preserve">Commissioner, South African Revenue Service </w:t>
      </w:r>
      <w:r w:rsidR="00505D1C" w:rsidRPr="006D1F6B">
        <w:rPr>
          <w:rFonts w:ascii="Arial" w:hAnsi="Arial" w:cs="Arial"/>
          <w:i/>
          <w:sz w:val="24"/>
          <w:szCs w:val="24"/>
        </w:rPr>
        <w:t>v</w:t>
      </w:r>
      <w:r w:rsidR="00354ACD" w:rsidRPr="006D1F6B">
        <w:rPr>
          <w:rFonts w:ascii="Arial" w:hAnsi="Arial" w:cs="Arial"/>
          <w:i/>
          <w:sz w:val="24"/>
          <w:szCs w:val="24"/>
        </w:rPr>
        <w:t xml:space="preserve"> United Manganese of Kalahari (Pty) </w:t>
      </w:r>
      <w:r w:rsidR="00A47470" w:rsidRPr="006D1F6B">
        <w:rPr>
          <w:rFonts w:ascii="Arial" w:hAnsi="Arial" w:cs="Arial"/>
          <w:i/>
          <w:sz w:val="24"/>
          <w:szCs w:val="24"/>
        </w:rPr>
        <w:t>Ltd</w:t>
      </w:r>
      <w:r w:rsidR="002374AB" w:rsidRPr="006D1F6B">
        <w:rPr>
          <w:rFonts w:ascii="Arial" w:hAnsi="Arial" w:cs="Arial"/>
          <w:sz w:val="24"/>
          <w:szCs w:val="24"/>
        </w:rPr>
        <w:t>:</w:t>
      </w:r>
      <w:r w:rsidR="00354ACD">
        <w:rPr>
          <w:rStyle w:val="FootnoteReference"/>
          <w:rFonts w:ascii="Arial" w:hAnsi="Arial" w:cs="Arial"/>
          <w:sz w:val="24"/>
          <w:szCs w:val="24"/>
        </w:rPr>
        <w:footnoteReference w:id="5"/>
      </w:r>
      <w:r w:rsidR="002374AB" w:rsidRPr="006D1F6B">
        <w:rPr>
          <w:rFonts w:ascii="Arial" w:hAnsi="Arial" w:cs="Arial"/>
          <w:sz w:val="24"/>
          <w:szCs w:val="24"/>
        </w:rPr>
        <w:t xml:space="preserve"> </w:t>
      </w:r>
    </w:p>
    <w:p w14:paraId="537DFAF6" w14:textId="77777777" w:rsidR="002374AB" w:rsidRPr="00CB71BD" w:rsidRDefault="002374AB">
      <w:pPr>
        <w:pStyle w:val="ListParagraph"/>
        <w:ind w:left="0"/>
        <w:rPr>
          <w:rFonts w:ascii="Arial" w:hAnsi="Arial" w:cs="Arial"/>
        </w:rPr>
      </w:pPr>
      <w:r w:rsidRPr="00CB71BD">
        <w:rPr>
          <w:rFonts w:ascii="Arial" w:hAnsi="Arial" w:cs="Arial"/>
        </w:rPr>
        <w:t>‘</w:t>
      </w:r>
      <w:r w:rsidRPr="00CB71BD">
        <w:rPr>
          <w:rFonts w:ascii="Arial" w:hAnsi="Arial" w:cs="Arial"/>
          <w:color w:val="242121"/>
          <w:shd w:val="clear" w:color="auto" w:fill="FFFFFF"/>
        </w:rPr>
        <w:t>It is unnecessary to rehearse the established approach to the interpretation of statutes set out in </w:t>
      </w:r>
      <w:r>
        <w:rPr>
          <w:rFonts w:ascii="Arial" w:hAnsi="Arial" w:cs="Arial"/>
          <w:i/>
          <w:iCs/>
          <w:shd w:val="clear" w:color="auto" w:fill="FFFFFF"/>
        </w:rPr>
        <w:t>Endumeni</w:t>
      </w:r>
      <w:r>
        <w:rPr>
          <w:rFonts w:ascii="Arial" w:hAnsi="Arial" w:cs="Arial"/>
          <w:iCs/>
          <w:shd w:val="clear" w:color="auto" w:fill="FFFFFF"/>
        </w:rPr>
        <w:t xml:space="preserve"> </w:t>
      </w:r>
      <w:r w:rsidRPr="00CB71BD">
        <w:rPr>
          <w:rFonts w:ascii="Arial" w:hAnsi="Arial" w:cs="Arial"/>
          <w:shd w:val="clear" w:color="auto" w:fill="FFFFFF"/>
        </w:rPr>
        <w:t xml:space="preserve">and </w:t>
      </w:r>
      <w:r w:rsidRPr="00CB71BD">
        <w:rPr>
          <w:rFonts w:ascii="Arial" w:hAnsi="Arial" w:cs="Arial"/>
          <w:color w:val="242121"/>
          <w:shd w:val="clear" w:color="auto" w:fill="FFFFFF"/>
        </w:rPr>
        <w:t>approved by the Constitutional Court in </w:t>
      </w:r>
      <w:r w:rsidRPr="00CB71BD">
        <w:rPr>
          <w:rFonts w:ascii="Arial" w:hAnsi="Arial" w:cs="Arial"/>
          <w:i/>
          <w:iCs/>
          <w:color w:val="242121"/>
          <w:shd w:val="clear" w:color="auto" w:fill="FFFFFF"/>
        </w:rPr>
        <w:t>Big Five Duty Free</w:t>
      </w:r>
      <w:r w:rsidRPr="00CB71BD">
        <w:rPr>
          <w:rFonts w:ascii="Arial" w:hAnsi="Arial" w:cs="Arial"/>
          <w:shd w:val="clear" w:color="auto" w:fill="FFFFFF"/>
        </w:rPr>
        <w:t>.</w:t>
      </w:r>
      <w:r>
        <w:rPr>
          <w:rFonts w:ascii="Arial" w:hAnsi="Arial" w:cs="Arial"/>
          <w:shd w:val="clear" w:color="auto" w:fill="FFFFFF"/>
        </w:rPr>
        <w:t xml:space="preserve"> </w:t>
      </w:r>
      <w:r w:rsidRPr="00CB71BD">
        <w:rPr>
          <w:rFonts w:ascii="Arial" w:hAnsi="Arial" w:cs="Arial"/>
          <w:shd w:val="clear" w:color="auto" w:fill="FFFFFF"/>
        </w:rPr>
        <w:t>It is an objective unitary process where consideration must be given to the language used in the light of the ordinary rules of grammar and syntax; the context in which the provision appears; the apparent purpose to which it is directed and the material known to those responsible for its production. The approach is as applicable to taxing statutes as to any other statute.</w:t>
      </w:r>
      <w:r>
        <w:rPr>
          <w:rFonts w:ascii="Arial" w:hAnsi="Arial" w:cs="Arial"/>
          <w:shd w:val="clear" w:color="auto" w:fill="FFFFFF"/>
        </w:rPr>
        <w:t xml:space="preserve"> </w:t>
      </w:r>
      <w:r w:rsidRPr="00CB71BD">
        <w:rPr>
          <w:rFonts w:ascii="Arial" w:hAnsi="Arial" w:cs="Arial"/>
          <w:shd w:val="clear" w:color="auto" w:fill="FFFFFF"/>
        </w:rPr>
        <w:t xml:space="preserve">The </w:t>
      </w:r>
      <w:r w:rsidRPr="00CB71BD">
        <w:rPr>
          <w:rFonts w:ascii="Arial" w:hAnsi="Arial" w:cs="Arial"/>
          <w:color w:val="0D0D0D"/>
          <w:shd w:val="clear" w:color="auto" w:fill="FFFFFF"/>
        </w:rPr>
        <w:t>inevitable point of departure is the language used in the provision under consideration.’</w:t>
      </w:r>
      <w:r w:rsidR="00354ACD">
        <w:rPr>
          <w:rFonts w:ascii="Arial" w:hAnsi="Arial" w:cs="Arial"/>
        </w:rPr>
        <w:t>(Footnotes Omitted.)</w:t>
      </w:r>
    </w:p>
    <w:p w14:paraId="231195F2" w14:textId="77777777" w:rsidR="002374AB" w:rsidRPr="00397EBC" w:rsidRDefault="002374AB" w:rsidP="00F67624">
      <w:pPr>
        <w:pStyle w:val="ListParagraph"/>
        <w:ind w:left="0"/>
        <w:rPr>
          <w:rFonts w:ascii="Arial" w:hAnsi="Arial" w:cs="Arial"/>
          <w:sz w:val="24"/>
          <w:szCs w:val="24"/>
        </w:rPr>
      </w:pPr>
    </w:p>
    <w:p w14:paraId="74B231F0" w14:textId="0A0B6883" w:rsidR="007079C2" w:rsidRPr="006D1F6B" w:rsidRDefault="006D1F6B" w:rsidP="006D1F6B">
      <w:pPr>
        <w:rPr>
          <w:rFonts w:ascii="Arial" w:hAnsi="Arial" w:cs="Arial"/>
          <w:sz w:val="24"/>
          <w:szCs w:val="24"/>
        </w:rPr>
      </w:pPr>
      <w:r>
        <w:rPr>
          <w:rFonts w:ascii="Arial" w:hAnsi="Arial" w:cs="Arial"/>
          <w:sz w:val="24"/>
          <w:szCs w:val="24"/>
        </w:rPr>
        <w:t>[19]</w:t>
      </w:r>
      <w:r>
        <w:rPr>
          <w:rFonts w:ascii="Arial" w:hAnsi="Arial" w:cs="Arial"/>
          <w:sz w:val="24"/>
          <w:szCs w:val="24"/>
        </w:rPr>
        <w:tab/>
      </w:r>
      <w:r w:rsidR="005A0DCD" w:rsidRPr="006D1F6B">
        <w:rPr>
          <w:rFonts w:ascii="Arial" w:hAnsi="Arial" w:cs="Arial"/>
          <w:sz w:val="24"/>
          <w:szCs w:val="24"/>
        </w:rPr>
        <w:t>W</w:t>
      </w:r>
      <w:r w:rsidR="009747AE" w:rsidRPr="006D1F6B">
        <w:rPr>
          <w:rFonts w:ascii="Arial" w:hAnsi="Arial" w:cs="Arial"/>
          <w:sz w:val="24"/>
          <w:szCs w:val="24"/>
        </w:rPr>
        <w:t xml:space="preserve">hen examining ss 25B(1) and 25B(2) to determine what ‘any amount’ constitutes, </w:t>
      </w:r>
      <w:r w:rsidR="005A0DCD" w:rsidRPr="006D1F6B">
        <w:rPr>
          <w:rFonts w:ascii="Arial" w:hAnsi="Arial" w:cs="Arial"/>
          <w:sz w:val="24"/>
          <w:szCs w:val="24"/>
        </w:rPr>
        <w:t>the sections must be read</w:t>
      </w:r>
      <w:r w:rsidR="009747AE" w:rsidRPr="006D1F6B">
        <w:rPr>
          <w:rFonts w:ascii="Arial" w:hAnsi="Arial" w:cs="Arial"/>
          <w:sz w:val="24"/>
          <w:szCs w:val="24"/>
        </w:rPr>
        <w:t xml:space="preserve"> as a whole. </w:t>
      </w:r>
      <w:r w:rsidR="007079C2" w:rsidRPr="006D1F6B">
        <w:rPr>
          <w:rFonts w:ascii="Arial" w:hAnsi="Arial" w:cs="Arial"/>
          <w:sz w:val="24"/>
          <w:szCs w:val="24"/>
        </w:rPr>
        <w:t>Section</w:t>
      </w:r>
      <w:r w:rsidR="009747AE" w:rsidRPr="006D1F6B">
        <w:rPr>
          <w:rFonts w:ascii="Arial" w:hAnsi="Arial" w:cs="Arial"/>
          <w:sz w:val="24"/>
          <w:szCs w:val="24"/>
        </w:rPr>
        <w:t xml:space="preserve"> 25B(3) provides </w:t>
      </w:r>
      <w:r w:rsidR="007079C2" w:rsidRPr="006D1F6B">
        <w:rPr>
          <w:rFonts w:ascii="Arial" w:hAnsi="Arial" w:cs="Arial"/>
          <w:sz w:val="24"/>
          <w:szCs w:val="24"/>
        </w:rPr>
        <w:t>insight into</w:t>
      </w:r>
      <w:r w:rsidR="009747AE" w:rsidRPr="006D1F6B">
        <w:rPr>
          <w:rFonts w:ascii="Arial" w:hAnsi="Arial" w:cs="Arial"/>
          <w:sz w:val="24"/>
          <w:szCs w:val="24"/>
        </w:rPr>
        <w:t xml:space="preserve"> the amount that the legislator was concern</w:t>
      </w:r>
      <w:r w:rsidR="007079C2" w:rsidRPr="006D1F6B">
        <w:rPr>
          <w:rFonts w:ascii="Arial" w:hAnsi="Arial" w:cs="Arial"/>
          <w:sz w:val="24"/>
          <w:szCs w:val="24"/>
        </w:rPr>
        <w:t>ed</w:t>
      </w:r>
      <w:r w:rsidR="009747AE" w:rsidRPr="006D1F6B">
        <w:rPr>
          <w:rFonts w:ascii="Arial" w:hAnsi="Arial" w:cs="Arial"/>
          <w:sz w:val="24"/>
          <w:szCs w:val="24"/>
        </w:rPr>
        <w:t xml:space="preserve"> with</w:t>
      </w:r>
      <w:r w:rsidR="00643D79" w:rsidRPr="006D1F6B">
        <w:rPr>
          <w:rFonts w:ascii="Arial" w:hAnsi="Arial" w:cs="Arial"/>
          <w:sz w:val="24"/>
          <w:szCs w:val="24"/>
        </w:rPr>
        <w:t xml:space="preserve"> </w:t>
      </w:r>
      <w:r w:rsidR="009747AE" w:rsidRPr="006D1F6B">
        <w:rPr>
          <w:rFonts w:ascii="Arial" w:hAnsi="Arial" w:cs="Arial"/>
          <w:sz w:val="24"/>
          <w:szCs w:val="24"/>
        </w:rPr>
        <w:t>in the application of this section. That amount was the ‘taxable income derived by way of any amount’. Section 25B</w:t>
      </w:r>
      <w:r w:rsidR="00E132D1" w:rsidRPr="006D1F6B">
        <w:rPr>
          <w:rFonts w:ascii="Arial" w:hAnsi="Arial" w:cs="Arial"/>
          <w:sz w:val="24"/>
          <w:szCs w:val="24"/>
        </w:rPr>
        <w:t>,</w:t>
      </w:r>
      <w:r w:rsidR="009747AE" w:rsidRPr="006D1F6B">
        <w:rPr>
          <w:rFonts w:ascii="Arial" w:hAnsi="Arial" w:cs="Arial"/>
          <w:sz w:val="24"/>
          <w:szCs w:val="24"/>
        </w:rPr>
        <w:t xml:space="preserve"> read in its enti</w:t>
      </w:r>
      <w:r w:rsidR="00643D79" w:rsidRPr="006D1F6B">
        <w:rPr>
          <w:rFonts w:ascii="Arial" w:hAnsi="Arial" w:cs="Arial"/>
          <w:sz w:val="24"/>
          <w:szCs w:val="24"/>
        </w:rPr>
        <w:t>ret</w:t>
      </w:r>
      <w:r w:rsidR="009747AE" w:rsidRPr="006D1F6B">
        <w:rPr>
          <w:rFonts w:ascii="Arial" w:hAnsi="Arial" w:cs="Arial"/>
          <w:sz w:val="24"/>
          <w:szCs w:val="24"/>
        </w:rPr>
        <w:t>y</w:t>
      </w:r>
      <w:r w:rsidR="00E132D1" w:rsidRPr="006D1F6B">
        <w:rPr>
          <w:rFonts w:ascii="Arial" w:hAnsi="Arial" w:cs="Arial"/>
          <w:sz w:val="24"/>
          <w:szCs w:val="24"/>
        </w:rPr>
        <w:t>,</w:t>
      </w:r>
      <w:r w:rsidR="009747AE" w:rsidRPr="006D1F6B">
        <w:rPr>
          <w:rFonts w:ascii="Arial" w:hAnsi="Arial" w:cs="Arial"/>
          <w:sz w:val="24"/>
          <w:szCs w:val="24"/>
        </w:rPr>
        <w:t xml:space="preserve"> demonstrates that the amount is of a taxable income nature and not of a capital gains nature – ‘any amount’ will thus not include capital gains. </w:t>
      </w:r>
    </w:p>
    <w:p w14:paraId="7332B9E6" w14:textId="77777777" w:rsidR="007079C2" w:rsidRDefault="007079C2">
      <w:pPr>
        <w:pStyle w:val="ListParagraph"/>
        <w:ind w:left="0"/>
        <w:rPr>
          <w:rFonts w:ascii="Arial" w:hAnsi="Arial" w:cs="Arial"/>
          <w:sz w:val="24"/>
          <w:szCs w:val="24"/>
        </w:rPr>
      </w:pPr>
    </w:p>
    <w:p w14:paraId="7C12942D" w14:textId="59BD0672" w:rsidR="009747AE" w:rsidRPr="006D1F6B" w:rsidRDefault="006D1F6B" w:rsidP="006D1F6B">
      <w:pPr>
        <w:rPr>
          <w:rFonts w:ascii="Arial" w:hAnsi="Arial" w:cs="Arial"/>
          <w:sz w:val="24"/>
          <w:szCs w:val="24"/>
        </w:rPr>
      </w:pPr>
      <w:r w:rsidRPr="003C1876">
        <w:rPr>
          <w:rFonts w:ascii="Arial" w:hAnsi="Arial" w:cs="Arial"/>
          <w:sz w:val="24"/>
          <w:szCs w:val="24"/>
        </w:rPr>
        <w:t>[20]</w:t>
      </w:r>
      <w:r w:rsidRPr="003C1876">
        <w:rPr>
          <w:rFonts w:ascii="Arial" w:hAnsi="Arial" w:cs="Arial"/>
          <w:sz w:val="24"/>
          <w:szCs w:val="24"/>
        </w:rPr>
        <w:tab/>
      </w:r>
      <w:r w:rsidR="009747AE" w:rsidRPr="006D1F6B">
        <w:rPr>
          <w:rFonts w:ascii="Arial" w:hAnsi="Arial" w:cs="Arial"/>
          <w:sz w:val="24"/>
          <w:szCs w:val="24"/>
        </w:rPr>
        <w:t xml:space="preserve">It bears mentioning that s 25B was introduced by the legislature in 1991, </w:t>
      </w:r>
      <w:r w:rsidR="00E132D1" w:rsidRPr="006D1F6B">
        <w:rPr>
          <w:rFonts w:ascii="Arial" w:hAnsi="Arial" w:cs="Arial"/>
          <w:sz w:val="24"/>
          <w:szCs w:val="24"/>
        </w:rPr>
        <w:t xml:space="preserve">while </w:t>
      </w:r>
      <w:r w:rsidR="009747AE" w:rsidRPr="006D1F6B">
        <w:rPr>
          <w:rFonts w:ascii="Arial" w:hAnsi="Arial" w:cs="Arial"/>
          <w:sz w:val="24"/>
          <w:szCs w:val="24"/>
        </w:rPr>
        <w:t xml:space="preserve">capital gains tax came into existence in 2001. Logically, if capital gains did not exist, </w:t>
      </w:r>
      <w:r w:rsidR="00643D79" w:rsidRPr="006D1F6B">
        <w:rPr>
          <w:rFonts w:ascii="Arial" w:hAnsi="Arial" w:cs="Arial"/>
          <w:sz w:val="24"/>
          <w:szCs w:val="24"/>
        </w:rPr>
        <w:t>s  25B</w:t>
      </w:r>
      <w:r w:rsidR="009747AE" w:rsidRPr="006D1F6B">
        <w:rPr>
          <w:rFonts w:ascii="Arial" w:hAnsi="Arial" w:cs="Arial"/>
          <w:sz w:val="24"/>
          <w:szCs w:val="24"/>
        </w:rPr>
        <w:t xml:space="preserve"> could not have been intended to apply to capital gains. Further, the insertion of ‘other than an amount of a capital nature</w:t>
      </w:r>
      <w:r w:rsidR="00BE2AD9" w:rsidRPr="006D1F6B">
        <w:rPr>
          <w:rFonts w:ascii="Arial" w:hAnsi="Arial" w:cs="Arial"/>
          <w:sz w:val="24"/>
          <w:szCs w:val="24"/>
        </w:rPr>
        <w:t xml:space="preserve"> which is not included in gross income</w:t>
      </w:r>
      <w:r w:rsidR="009747AE" w:rsidRPr="006D1F6B">
        <w:rPr>
          <w:rFonts w:ascii="Arial" w:hAnsi="Arial" w:cs="Arial"/>
          <w:sz w:val="24"/>
          <w:szCs w:val="24"/>
        </w:rPr>
        <w:t xml:space="preserve">’ in the section after any amount, which came about after capital gains </w:t>
      </w:r>
      <w:r w:rsidR="00E132D1" w:rsidRPr="006D1F6B">
        <w:rPr>
          <w:rFonts w:ascii="Arial" w:hAnsi="Arial" w:cs="Arial"/>
          <w:sz w:val="24"/>
          <w:szCs w:val="24"/>
        </w:rPr>
        <w:t>w</w:t>
      </w:r>
      <w:r w:rsidR="00F67624" w:rsidRPr="006D1F6B">
        <w:rPr>
          <w:rFonts w:ascii="Arial" w:hAnsi="Arial" w:cs="Arial"/>
          <w:sz w:val="24"/>
          <w:szCs w:val="24"/>
        </w:rPr>
        <w:t>as</w:t>
      </w:r>
      <w:r w:rsidR="00E132D1" w:rsidRPr="006D1F6B">
        <w:rPr>
          <w:rFonts w:ascii="Arial" w:hAnsi="Arial" w:cs="Arial"/>
          <w:sz w:val="24"/>
          <w:szCs w:val="24"/>
        </w:rPr>
        <w:t xml:space="preserve"> </w:t>
      </w:r>
      <w:r w:rsidR="009747AE" w:rsidRPr="006D1F6B">
        <w:rPr>
          <w:rFonts w:ascii="Arial" w:hAnsi="Arial" w:cs="Arial"/>
          <w:sz w:val="24"/>
          <w:szCs w:val="24"/>
        </w:rPr>
        <w:t xml:space="preserve">introduced, is yet another indicator that this section </w:t>
      </w:r>
      <w:r w:rsidR="00E132D1" w:rsidRPr="006D1F6B">
        <w:rPr>
          <w:rFonts w:ascii="Arial" w:hAnsi="Arial" w:cs="Arial"/>
          <w:sz w:val="24"/>
          <w:szCs w:val="24"/>
        </w:rPr>
        <w:t>does not apply</w:t>
      </w:r>
      <w:r w:rsidR="009747AE" w:rsidRPr="006D1F6B">
        <w:rPr>
          <w:rFonts w:ascii="Arial" w:hAnsi="Arial" w:cs="Arial"/>
          <w:sz w:val="24"/>
          <w:szCs w:val="24"/>
        </w:rPr>
        <w:t xml:space="preserve"> to an amount of the nature of </w:t>
      </w:r>
      <w:r w:rsidR="00BE2AD9" w:rsidRPr="006D1F6B">
        <w:rPr>
          <w:rFonts w:ascii="Arial" w:hAnsi="Arial" w:cs="Arial"/>
          <w:sz w:val="24"/>
          <w:szCs w:val="24"/>
        </w:rPr>
        <w:t xml:space="preserve">a </w:t>
      </w:r>
      <w:r w:rsidR="009747AE" w:rsidRPr="006D1F6B">
        <w:rPr>
          <w:rFonts w:ascii="Arial" w:hAnsi="Arial" w:cs="Arial"/>
          <w:sz w:val="24"/>
          <w:szCs w:val="24"/>
        </w:rPr>
        <w:t xml:space="preserve">capital gains. </w:t>
      </w:r>
    </w:p>
    <w:p w14:paraId="6FCB8AA4" w14:textId="77777777" w:rsidR="001F5BD0" w:rsidRDefault="001F5BD0">
      <w:pPr>
        <w:pStyle w:val="ListParagraph"/>
        <w:ind w:left="0"/>
        <w:rPr>
          <w:rFonts w:ascii="Arial" w:hAnsi="Arial" w:cs="Arial"/>
          <w:sz w:val="24"/>
          <w:szCs w:val="24"/>
        </w:rPr>
      </w:pPr>
    </w:p>
    <w:p w14:paraId="6E929F00" w14:textId="239E7F58" w:rsidR="00E63387" w:rsidRPr="006D1F6B" w:rsidRDefault="006D1F6B" w:rsidP="006D1F6B">
      <w:pPr>
        <w:rPr>
          <w:rFonts w:ascii="Arial" w:hAnsi="Arial" w:cs="Arial"/>
          <w:sz w:val="24"/>
          <w:szCs w:val="24"/>
        </w:rPr>
      </w:pPr>
      <w:r w:rsidRPr="00F67624">
        <w:rPr>
          <w:rFonts w:ascii="Arial" w:hAnsi="Arial" w:cs="Arial"/>
          <w:sz w:val="24"/>
          <w:szCs w:val="24"/>
        </w:rPr>
        <w:t>[21]</w:t>
      </w:r>
      <w:r w:rsidRPr="00F67624">
        <w:rPr>
          <w:rFonts w:ascii="Arial" w:hAnsi="Arial" w:cs="Arial"/>
          <w:sz w:val="24"/>
          <w:szCs w:val="24"/>
        </w:rPr>
        <w:tab/>
      </w:r>
      <w:r w:rsidR="001F5BD0" w:rsidRPr="006D1F6B">
        <w:rPr>
          <w:rFonts w:ascii="Arial" w:hAnsi="Arial" w:cs="Arial"/>
          <w:sz w:val="24"/>
          <w:szCs w:val="24"/>
        </w:rPr>
        <w:t xml:space="preserve">Recently this Court in </w:t>
      </w:r>
      <w:r w:rsidR="001F5BD0" w:rsidRPr="006D1F6B">
        <w:rPr>
          <w:rFonts w:ascii="Arial" w:hAnsi="Arial" w:cs="Arial"/>
          <w:i/>
          <w:sz w:val="24"/>
          <w:szCs w:val="24"/>
        </w:rPr>
        <w:t>Milnerton Estate Ltd v CSARS</w:t>
      </w:r>
      <w:r w:rsidR="001F5BD0" w:rsidRPr="006D1F6B">
        <w:rPr>
          <w:rFonts w:ascii="Arial" w:hAnsi="Arial" w:cs="Arial"/>
          <w:sz w:val="24"/>
          <w:szCs w:val="24"/>
        </w:rPr>
        <w:t xml:space="preserve"> stated that</w:t>
      </w:r>
      <w:r w:rsidR="00E63387" w:rsidRPr="006D1F6B">
        <w:rPr>
          <w:rFonts w:ascii="Arial" w:hAnsi="Arial" w:cs="Arial"/>
          <w:sz w:val="24"/>
          <w:szCs w:val="24"/>
        </w:rPr>
        <w:t>:</w:t>
      </w:r>
      <w:r w:rsidR="00FC36BA" w:rsidRPr="00CA587E">
        <w:rPr>
          <w:rStyle w:val="FootnoteReference"/>
          <w:rFonts w:ascii="Arial" w:hAnsi="Arial" w:cs="Arial"/>
        </w:rPr>
        <w:footnoteReference w:id="6"/>
      </w:r>
    </w:p>
    <w:p w14:paraId="09EAB2B9" w14:textId="77777777" w:rsidR="001F5BD0" w:rsidRPr="00F67624" w:rsidRDefault="001F5BD0" w:rsidP="00F67624">
      <w:pPr>
        <w:pStyle w:val="ListParagraph"/>
        <w:ind w:left="0"/>
        <w:rPr>
          <w:rFonts w:ascii="Arial" w:hAnsi="Arial" w:cs="Arial"/>
        </w:rPr>
      </w:pPr>
      <w:r w:rsidRPr="00F67624">
        <w:rPr>
          <w:rFonts w:ascii="Arial" w:hAnsi="Arial" w:cs="Arial"/>
        </w:rPr>
        <w:t>‘. . .</w:t>
      </w:r>
      <w:r w:rsidR="00E63387">
        <w:rPr>
          <w:rFonts w:ascii="Arial" w:hAnsi="Arial" w:cs="Arial"/>
        </w:rPr>
        <w:t xml:space="preserve"> </w:t>
      </w:r>
      <w:r w:rsidRPr="00F67624">
        <w:rPr>
          <w:rFonts w:ascii="Arial" w:hAnsi="Arial" w:cs="Arial"/>
        </w:rPr>
        <w:t>capital gains, the determination of the amount of any capital gain falling to be included in the taxpayer’s taxable income is a matter dealt with in the Eighth Schedule to the Act . . . and on its face the Schedule seems to provide a self-contained method for determining whether a capital gain or loss has arisen.’</w:t>
      </w:r>
    </w:p>
    <w:p w14:paraId="0BD71018" w14:textId="77777777" w:rsidR="001F5BD0" w:rsidRDefault="001F5BD0">
      <w:pPr>
        <w:pStyle w:val="ListParagraph"/>
        <w:ind w:left="0"/>
        <w:rPr>
          <w:rFonts w:ascii="Arial" w:hAnsi="Arial" w:cs="Arial"/>
          <w:sz w:val="24"/>
          <w:szCs w:val="24"/>
        </w:rPr>
      </w:pPr>
    </w:p>
    <w:p w14:paraId="549114A0" w14:textId="38F1D5EC" w:rsidR="007079C2" w:rsidRPr="006D1F6B" w:rsidRDefault="006D1F6B" w:rsidP="006D1F6B">
      <w:pPr>
        <w:rPr>
          <w:rFonts w:ascii="Arial" w:hAnsi="Arial" w:cs="Arial"/>
          <w:sz w:val="24"/>
          <w:szCs w:val="24"/>
        </w:rPr>
      </w:pPr>
      <w:r w:rsidRPr="009006C4">
        <w:rPr>
          <w:rFonts w:ascii="Arial" w:hAnsi="Arial" w:cs="Arial"/>
          <w:sz w:val="24"/>
          <w:szCs w:val="24"/>
        </w:rPr>
        <w:lastRenderedPageBreak/>
        <w:t>[22]</w:t>
      </w:r>
      <w:r w:rsidRPr="009006C4">
        <w:rPr>
          <w:rFonts w:ascii="Arial" w:hAnsi="Arial" w:cs="Arial"/>
          <w:sz w:val="24"/>
          <w:szCs w:val="24"/>
        </w:rPr>
        <w:tab/>
      </w:r>
      <w:r w:rsidR="007079C2" w:rsidRPr="006D1F6B">
        <w:rPr>
          <w:rFonts w:ascii="Arial" w:hAnsi="Arial" w:cs="Arial"/>
          <w:sz w:val="24"/>
          <w:szCs w:val="24"/>
        </w:rPr>
        <w:t>W</w:t>
      </w:r>
      <w:r w:rsidR="001F5BD0" w:rsidRPr="006D1F6B">
        <w:rPr>
          <w:rFonts w:ascii="Arial" w:hAnsi="Arial" w:cs="Arial"/>
          <w:sz w:val="24"/>
          <w:szCs w:val="24"/>
        </w:rPr>
        <w:t xml:space="preserve">hen the </w:t>
      </w:r>
      <w:r w:rsidR="007079C2" w:rsidRPr="006D1F6B">
        <w:rPr>
          <w:rFonts w:ascii="Arial" w:hAnsi="Arial" w:cs="Arial"/>
          <w:sz w:val="24"/>
          <w:szCs w:val="24"/>
        </w:rPr>
        <w:t>provisions are read as a</w:t>
      </w:r>
      <w:r w:rsidR="002C59C7" w:rsidRPr="006D1F6B">
        <w:rPr>
          <w:rFonts w:ascii="Arial" w:hAnsi="Arial" w:cs="Arial"/>
          <w:sz w:val="24"/>
          <w:szCs w:val="24"/>
        </w:rPr>
        <w:t xml:space="preserve"> </w:t>
      </w:r>
      <w:r w:rsidR="007079C2" w:rsidRPr="006D1F6B">
        <w:rPr>
          <w:rFonts w:ascii="Arial" w:hAnsi="Arial" w:cs="Arial"/>
          <w:sz w:val="24"/>
          <w:szCs w:val="24"/>
        </w:rPr>
        <w:t>whole and in context, it is apparent that the legislature intended that s 25B be applied to the taxation of income that accrues to a trust or its beneficiaries</w:t>
      </w:r>
      <w:r w:rsidR="006A282C" w:rsidRPr="006D1F6B">
        <w:rPr>
          <w:rFonts w:ascii="Arial" w:hAnsi="Arial" w:cs="Arial"/>
          <w:sz w:val="24"/>
          <w:szCs w:val="24"/>
        </w:rPr>
        <w:t>. In contrast,</w:t>
      </w:r>
      <w:r w:rsidR="007079C2" w:rsidRPr="006D1F6B">
        <w:rPr>
          <w:rFonts w:ascii="Arial" w:hAnsi="Arial" w:cs="Arial"/>
          <w:sz w:val="24"/>
          <w:szCs w:val="24"/>
        </w:rPr>
        <w:t xml:space="preserve"> the </w:t>
      </w:r>
      <w:r w:rsidR="00F67624" w:rsidRPr="006D1F6B">
        <w:rPr>
          <w:rFonts w:ascii="Arial" w:hAnsi="Arial" w:cs="Arial"/>
          <w:sz w:val="24"/>
          <w:szCs w:val="24"/>
        </w:rPr>
        <w:t>E</w:t>
      </w:r>
      <w:r w:rsidR="007079C2" w:rsidRPr="006D1F6B">
        <w:rPr>
          <w:rFonts w:ascii="Arial" w:hAnsi="Arial" w:cs="Arial"/>
          <w:sz w:val="24"/>
          <w:szCs w:val="24"/>
        </w:rPr>
        <w:t xml:space="preserve">ighth </w:t>
      </w:r>
      <w:r w:rsidR="00F67624" w:rsidRPr="006D1F6B">
        <w:rPr>
          <w:rFonts w:ascii="Arial" w:hAnsi="Arial" w:cs="Arial"/>
          <w:sz w:val="24"/>
          <w:szCs w:val="24"/>
        </w:rPr>
        <w:t>S</w:t>
      </w:r>
      <w:r w:rsidR="007079C2" w:rsidRPr="006D1F6B">
        <w:rPr>
          <w:rFonts w:ascii="Arial" w:hAnsi="Arial" w:cs="Arial"/>
          <w:sz w:val="24"/>
          <w:szCs w:val="24"/>
        </w:rPr>
        <w:t>chedule is to be applied to the taxation of capital gains that accrue to trust</w:t>
      </w:r>
      <w:r w:rsidR="006A282C" w:rsidRPr="006D1F6B">
        <w:rPr>
          <w:rFonts w:ascii="Arial" w:hAnsi="Arial" w:cs="Arial"/>
          <w:sz w:val="24"/>
          <w:szCs w:val="24"/>
        </w:rPr>
        <w:t>s</w:t>
      </w:r>
      <w:r w:rsidR="007079C2" w:rsidRPr="006D1F6B">
        <w:rPr>
          <w:rFonts w:ascii="Arial" w:hAnsi="Arial" w:cs="Arial"/>
          <w:sz w:val="24"/>
          <w:szCs w:val="24"/>
        </w:rPr>
        <w:t xml:space="preserve"> or their beneficiaries. The </w:t>
      </w:r>
      <w:r w:rsidR="009006C4" w:rsidRPr="006D1F6B">
        <w:rPr>
          <w:rFonts w:ascii="Arial" w:hAnsi="Arial" w:cs="Arial"/>
          <w:sz w:val="24"/>
          <w:szCs w:val="24"/>
        </w:rPr>
        <w:t>t</w:t>
      </w:r>
      <w:r w:rsidR="007079C2" w:rsidRPr="006D1F6B">
        <w:rPr>
          <w:rFonts w:ascii="Arial" w:hAnsi="Arial" w:cs="Arial"/>
          <w:sz w:val="24"/>
          <w:szCs w:val="24"/>
        </w:rPr>
        <w:t xml:space="preserve">ax </w:t>
      </w:r>
      <w:r w:rsidR="009006C4" w:rsidRPr="006D1F6B">
        <w:rPr>
          <w:rFonts w:ascii="Arial" w:hAnsi="Arial" w:cs="Arial"/>
          <w:sz w:val="24"/>
          <w:szCs w:val="24"/>
        </w:rPr>
        <w:t>c</w:t>
      </w:r>
      <w:r w:rsidR="007079C2" w:rsidRPr="006D1F6B">
        <w:rPr>
          <w:rFonts w:ascii="Arial" w:hAnsi="Arial" w:cs="Arial"/>
          <w:sz w:val="24"/>
          <w:szCs w:val="24"/>
        </w:rPr>
        <w:t>ourt accordingly erred in finding that s 25B applied in this instance.</w:t>
      </w:r>
    </w:p>
    <w:p w14:paraId="5CD128E5" w14:textId="77777777" w:rsidR="007079C2" w:rsidRPr="007079C2" w:rsidRDefault="007079C2">
      <w:pPr>
        <w:pStyle w:val="ListParagraph"/>
        <w:ind w:left="0"/>
        <w:rPr>
          <w:rFonts w:ascii="Arial" w:hAnsi="Arial" w:cs="Arial"/>
          <w:sz w:val="24"/>
          <w:szCs w:val="24"/>
        </w:rPr>
      </w:pPr>
    </w:p>
    <w:p w14:paraId="5F1AD32C" w14:textId="64736234" w:rsidR="00582FD9" w:rsidRPr="006D1F6B" w:rsidRDefault="006D1F6B" w:rsidP="006D1F6B">
      <w:pPr>
        <w:rPr>
          <w:rFonts w:ascii="Arial" w:hAnsi="Arial" w:cs="Arial"/>
          <w:sz w:val="24"/>
          <w:szCs w:val="24"/>
        </w:rPr>
      </w:pPr>
      <w:r w:rsidRPr="003C1876">
        <w:rPr>
          <w:rFonts w:ascii="Arial" w:hAnsi="Arial" w:cs="Arial"/>
          <w:sz w:val="24"/>
          <w:szCs w:val="24"/>
        </w:rPr>
        <w:t>[23]</w:t>
      </w:r>
      <w:r w:rsidRPr="003C1876">
        <w:rPr>
          <w:rFonts w:ascii="Arial" w:hAnsi="Arial" w:cs="Arial"/>
          <w:sz w:val="24"/>
          <w:szCs w:val="24"/>
        </w:rPr>
        <w:tab/>
      </w:r>
      <w:r w:rsidR="002C59C7" w:rsidRPr="006D1F6B">
        <w:rPr>
          <w:rFonts w:ascii="Arial" w:hAnsi="Arial" w:cs="Arial"/>
          <w:sz w:val="24"/>
          <w:szCs w:val="24"/>
        </w:rPr>
        <w:t xml:space="preserve">Counsel for </w:t>
      </w:r>
      <w:r w:rsidR="00BE2AD9" w:rsidRPr="006D1F6B">
        <w:rPr>
          <w:rFonts w:ascii="Arial" w:hAnsi="Arial" w:cs="Arial"/>
          <w:sz w:val="24"/>
          <w:szCs w:val="24"/>
        </w:rPr>
        <w:t xml:space="preserve">the </w:t>
      </w:r>
      <w:r w:rsidR="00BC0D2A" w:rsidRPr="006D1F6B">
        <w:rPr>
          <w:rFonts w:ascii="Arial" w:hAnsi="Arial" w:cs="Arial"/>
          <w:sz w:val="24"/>
          <w:szCs w:val="24"/>
        </w:rPr>
        <w:t>Th</w:t>
      </w:r>
      <w:r w:rsidR="00303460" w:rsidRPr="006D1F6B">
        <w:rPr>
          <w:rFonts w:ascii="Arial" w:hAnsi="Arial" w:cs="Arial"/>
          <w:sz w:val="24"/>
          <w:szCs w:val="24"/>
        </w:rPr>
        <w:t>istle</w:t>
      </w:r>
      <w:r w:rsidR="002C59C7" w:rsidRPr="006D1F6B">
        <w:rPr>
          <w:rFonts w:ascii="Arial" w:hAnsi="Arial" w:cs="Arial"/>
          <w:sz w:val="24"/>
          <w:szCs w:val="24"/>
        </w:rPr>
        <w:t xml:space="preserve"> Trust</w:t>
      </w:r>
      <w:r w:rsidR="00BC0D2A" w:rsidRPr="006D1F6B">
        <w:rPr>
          <w:rFonts w:ascii="Arial" w:hAnsi="Arial" w:cs="Arial"/>
          <w:sz w:val="24"/>
          <w:szCs w:val="24"/>
        </w:rPr>
        <w:t xml:space="preserve"> </w:t>
      </w:r>
      <w:r w:rsidR="002C59C7" w:rsidRPr="006D1F6B">
        <w:rPr>
          <w:rFonts w:ascii="Arial" w:hAnsi="Arial" w:cs="Arial"/>
          <w:sz w:val="24"/>
          <w:szCs w:val="24"/>
        </w:rPr>
        <w:t>argued</w:t>
      </w:r>
      <w:r w:rsidR="00310B47" w:rsidRPr="006D1F6B">
        <w:rPr>
          <w:rFonts w:ascii="Arial" w:hAnsi="Arial" w:cs="Arial"/>
          <w:sz w:val="24"/>
          <w:szCs w:val="24"/>
        </w:rPr>
        <w:t xml:space="preserve"> that the ‘conduit-pipe principle’ was applicable in this case. </w:t>
      </w:r>
      <w:r w:rsidR="004D69E2" w:rsidRPr="006D1F6B">
        <w:rPr>
          <w:rFonts w:ascii="Arial" w:hAnsi="Arial" w:cs="Arial"/>
          <w:sz w:val="24"/>
          <w:szCs w:val="24"/>
        </w:rPr>
        <w:t xml:space="preserve">He </w:t>
      </w:r>
      <w:r w:rsidR="00310B47" w:rsidRPr="006D1F6B">
        <w:rPr>
          <w:rFonts w:ascii="Arial" w:hAnsi="Arial" w:cs="Arial"/>
          <w:sz w:val="24"/>
          <w:szCs w:val="24"/>
        </w:rPr>
        <w:t>argued from the premise that the capital gain</w:t>
      </w:r>
      <w:r w:rsidR="00BE2AD9" w:rsidRPr="006D1F6B">
        <w:rPr>
          <w:rFonts w:ascii="Arial" w:hAnsi="Arial" w:cs="Arial"/>
          <w:sz w:val="24"/>
          <w:szCs w:val="24"/>
        </w:rPr>
        <w:t>s</w:t>
      </w:r>
      <w:r w:rsidR="00310B47" w:rsidRPr="006D1F6B">
        <w:rPr>
          <w:rFonts w:ascii="Arial" w:hAnsi="Arial" w:cs="Arial"/>
          <w:sz w:val="24"/>
          <w:szCs w:val="24"/>
        </w:rPr>
        <w:t xml:space="preserve"> that </w:t>
      </w:r>
      <w:r w:rsidR="00944BA9" w:rsidRPr="006D1F6B">
        <w:rPr>
          <w:rFonts w:ascii="Arial" w:hAnsi="Arial" w:cs="Arial"/>
          <w:sz w:val="24"/>
          <w:szCs w:val="24"/>
        </w:rPr>
        <w:t xml:space="preserve">the </w:t>
      </w:r>
      <w:r w:rsidR="00310B47" w:rsidRPr="006D1F6B">
        <w:rPr>
          <w:rFonts w:ascii="Arial" w:hAnsi="Arial" w:cs="Arial"/>
          <w:sz w:val="24"/>
          <w:szCs w:val="24"/>
        </w:rPr>
        <w:t>Tier 1 Trust</w:t>
      </w:r>
      <w:r w:rsidR="001020CE" w:rsidRPr="006D1F6B">
        <w:rPr>
          <w:rFonts w:ascii="Arial" w:hAnsi="Arial" w:cs="Arial"/>
          <w:sz w:val="24"/>
          <w:szCs w:val="24"/>
        </w:rPr>
        <w:t>s</w:t>
      </w:r>
      <w:r w:rsidR="00310B47" w:rsidRPr="006D1F6B">
        <w:rPr>
          <w:rFonts w:ascii="Arial" w:hAnsi="Arial" w:cs="Arial"/>
          <w:sz w:val="24"/>
          <w:szCs w:val="24"/>
        </w:rPr>
        <w:t xml:space="preserve"> distributed to </w:t>
      </w:r>
      <w:r w:rsidR="00BE2AD9" w:rsidRPr="006D1F6B">
        <w:rPr>
          <w:rFonts w:ascii="Arial" w:hAnsi="Arial" w:cs="Arial"/>
          <w:sz w:val="24"/>
          <w:szCs w:val="24"/>
        </w:rPr>
        <w:t xml:space="preserve">the </w:t>
      </w:r>
      <w:r w:rsidR="00310B47" w:rsidRPr="006D1F6B">
        <w:rPr>
          <w:rFonts w:ascii="Arial" w:hAnsi="Arial" w:cs="Arial"/>
          <w:sz w:val="24"/>
          <w:szCs w:val="24"/>
        </w:rPr>
        <w:t>Thistle</w:t>
      </w:r>
      <w:r w:rsidR="00BE2AD9" w:rsidRPr="006D1F6B">
        <w:rPr>
          <w:rFonts w:ascii="Arial" w:hAnsi="Arial" w:cs="Arial"/>
          <w:sz w:val="24"/>
          <w:szCs w:val="24"/>
        </w:rPr>
        <w:t xml:space="preserve"> Trust</w:t>
      </w:r>
      <w:r w:rsidR="00310B47" w:rsidRPr="006D1F6B">
        <w:rPr>
          <w:rFonts w:ascii="Arial" w:hAnsi="Arial" w:cs="Arial"/>
          <w:sz w:val="24"/>
          <w:szCs w:val="24"/>
        </w:rPr>
        <w:t xml:space="preserve"> amounted to an asset which</w:t>
      </w:r>
      <w:r w:rsidR="007E20F8" w:rsidRPr="006D1F6B">
        <w:rPr>
          <w:rFonts w:ascii="Arial" w:hAnsi="Arial" w:cs="Arial"/>
          <w:sz w:val="24"/>
          <w:szCs w:val="24"/>
        </w:rPr>
        <w:t>,</w:t>
      </w:r>
      <w:r w:rsidR="00310B47" w:rsidRPr="006D1F6B">
        <w:rPr>
          <w:rFonts w:ascii="Arial" w:hAnsi="Arial" w:cs="Arial"/>
          <w:sz w:val="24"/>
          <w:szCs w:val="24"/>
        </w:rPr>
        <w:t xml:space="preserve"> in fact</w:t>
      </w:r>
      <w:r w:rsidR="007E20F8" w:rsidRPr="006D1F6B">
        <w:rPr>
          <w:rFonts w:ascii="Arial" w:hAnsi="Arial" w:cs="Arial"/>
          <w:sz w:val="24"/>
          <w:szCs w:val="24"/>
        </w:rPr>
        <w:t>,</w:t>
      </w:r>
      <w:r w:rsidR="00310B47" w:rsidRPr="006D1F6B">
        <w:rPr>
          <w:rFonts w:ascii="Arial" w:hAnsi="Arial" w:cs="Arial"/>
          <w:sz w:val="24"/>
          <w:szCs w:val="24"/>
        </w:rPr>
        <w:t xml:space="preserve"> vested in its beneficiaries. </w:t>
      </w:r>
      <w:r w:rsidR="002C59C7" w:rsidRPr="006D1F6B">
        <w:rPr>
          <w:rFonts w:ascii="Arial" w:hAnsi="Arial" w:cs="Arial"/>
          <w:sz w:val="24"/>
          <w:szCs w:val="24"/>
        </w:rPr>
        <w:t>Therefore</w:t>
      </w:r>
      <w:r w:rsidR="004F65BC" w:rsidRPr="006D1F6B">
        <w:rPr>
          <w:rFonts w:ascii="Arial" w:hAnsi="Arial" w:cs="Arial"/>
          <w:sz w:val="24"/>
          <w:szCs w:val="24"/>
        </w:rPr>
        <w:t>, so it was contended,</w:t>
      </w:r>
      <w:r w:rsidR="00310B47" w:rsidRPr="006D1F6B">
        <w:rPr>
          <w:rFonts w:ascii="Arial" w:hAnsi="Arial" w:cs="Arial"/>
          <w:sz w:val="24"/>
          <w:szCs w:val="24"/>
        </w:rPr>
        <w:t xml:space="preserve"> </w:t>
      </w:r>
      <w:r w:rsidR="00BE2AD9" w:rsidRPr="006D1F6B">
        <w:rPr>
          <w:rFonts w:ascii="Arial" w:hAnsi="Arial" w:cs="Arial"/>
          <w:sz w:val="24"/>
          <w:szCs w:val="24"/>
        </w:rPr>
        <w:t xml:space="preserve">the </w:t>
      </w:r>
      <w:r w:rsidR="00CF2732" w:rsidRPr="006D1F6B">
        <w:rPr>
          <w:rFonts w:ascii="Arial" w:hAnsi="Arial" w:cs="Arial"/>
          <w:sz w:val="24"/>
          <w:szCs w:val="24"/>
        </w:rPr>
        <w:t>Thistle</w:t>
      </w:r>
      <w:r w:rsidR="002C59C7" w:rsidRPr="006D1F6B">
        <w:rPr>
          <w:rFonts w:ascii="Arial" w:hAnsi="Arial" w:cs="Arial"/>
          <w:sz w:val="24"/>
          <w:szCs w:val="24"/>
        </w:rPr>
        <w:t xml:space="preserve"> Trust</w:t>
      </w:r>
      <w:r w:rsidR="00CF2732" w:rsidRPr="006D1F6B">
        <w:rPr>
          <w:rFonts w:ascii="Arial" w:hAnsi="Arial" w:cs="Arial"/>
          <w:sz w:val="24"/>
          <w:szCs w:val="24"/>
        </w:rPr>
        <w:t xml:space="preserve"> </w:t>
      </w:r>
      <w:r w:rsidR="004F65BC" w:rsidRPr="006D1F6B">
        <w:rPr>
          <w:rFonts w:ascii="Arial" w:hAnsi="Arial" w:cs="Arial"/>
          <w:sz w:val="24"/>
          <w:szCs w:val="24"/>
        </w:rPr>
        <w:t>wa</w:t>
      </w:r>
      <w:r w:rsidR="002A455D" w:rsidRPr="006D1F6B">
        <w:rPr>
          <w:rFonts w:ascii="Arial" w:hAnsi="Arial" w:cs="Arial"/>
          <w:sz w:val="24"/>
          <w:szCs w:val="24"/>
        </w:rPr>
        <w:t xml:space="preserve">s </w:t>
      </w:r>
      <w:r w:rsidR="00435D7C" w:rsidRPr="006D1F6B">
        <w:rPr>
          <w:rFonts w:ascii="Arial" w:hAnsi="Arial" w:cs="Arial"/>
          <w:sz w:val="24"/>
          <w:szCs w:val="24"/>
        </w:rPr>
        <w:t xml:space="preserve">no more than a conduit for the </w:t>
      </w:r>
      <w:r w:rsidR="002C59C7" w:rsidRPr="006D1F6B">
        <w:rPr>
          <w:rFonts w:ascii="Arial" w:hAnsi="Arial" w:cs="Arial"/>
          <w:sz w:val="24"/>
          <w:szCs w:val="24"/>
        </w:rPr>
        <w:t xml:space="preserve">gain </w:t>
      </w:r>
      <w:r w:rsidR="00435D7C" w:rsidRPr="006D1F6B">
        <w:rPr>
          <w:rFonts w:ascii="Arial" w:hAnsi="Arial" w:cs="Arial"/>
          <w:sz w:val="24"/>
          <w:szCs w:val="24"/>
        </w:rPr>
        <w:t xml:space="preserve">that flowed through it and is accordingly not subject to be taxed on the </w:t>
      </w:r>
      <w:r w:rsidR="002C59C7" w:rsidRPr="006D1F6B">
        <w:rPr>
          <w:rFonts w:ascii="Arial" w:hAnsi="Arial" w:cs="Arial"/>
          <w:sz w:val="24"/>
          <w:szCs w:val="24"/>
        </w:rPr>
        <w:t>gain.</w:t>
      </w:r>
    </w:p>
    <w:p w14:paraId="23243419" w14:textId="77777777" w:rsidR="009746BF" w:rsidRPr="009746BF" w:rsidRDefault="009746BF" w:rsidP="00F67624">
      <w:pPr>
        <w:pStyle w:val="ListParagraph"/>
        <w:ind w:left="0"/>
        <w:rPr>
          <w:rFonts w:ascii="Arial" w:hAnsi="Arial" w:cs="Arial"/>
          <w:sz w:val="24"/>
          <w:szCs w:val="24"/>
        </w:rPr>
      </w:pPr>
    </w:p>
    <w:p w14:paraId="3EEF7940" w14:textId="6A0A4F08" w:rsidR="009746BF" w:rsidRPr="006D1F6B" w:rsidRDefault="006D1F6B" w:rsidP="006D1F6B">
      <w:pPr>
        <w:rPr>
          <w:rFonts w:ascii="Arial" w:hAnsi="Arial" w:cs="Arial"/>
          <w:sz w:val="24"/>
          <w:szCs w:val="24"/>
        </w:rPr>
      </w:pPr>
      <w:r>
        <w:rPr>
          <w:rFonts w:ascii="Arial" w:hAnsi="Arial" w:cs="Arial"/>
          <w:sz w:val="24"/>
          <w:szCs w:val="24"/>
        </w:rPr>
        <w:t>[24]</w:t>
      </w:r>
      <w:r>
        <w:rPr>
          <w:rFonts w:ascii="Arial" w:hAnsi="Arial" w:cs="Arial"/>
          <w:sz w:val="24"/>
          <w:szCs w:val="24"/>
        </w:rPr>
        <w:tab/>
      </w:r>
      <w:r w:rsidR="00F16F11" w:rsidRPr="006D1F6B">
        <w:rPr>
          <w:rFonts w:ascii="Arial" w:hAnsi="Arial" w:cs="Arial"/>
          <w:sz w:val="24"/>
          <w:szCs w:val="24"/>
        </w:rPr>
        <w:t xml:space="preserve">In </w:t>
      </w:r>
      <w:r w:rsidR="00F16F11" w:rsidRPr="006D1F6B">
        <w:rPr>
          <w:rFonts w:ascii="Arial" w:hAnsi="Arial" w:cs="Arial"/>
          <w:i/>
          <w:sz w:val="24"/>
          <w:szCs w:val="24"/>
        </w:rPr>
        <w:t>Armstrong v the Commissioner of Inland Revenue</w:t>
      </w:r>
      <w:r w:rsidR="002A455D" w:rsidRPr="006D1F6B">
        <w:rPr>
          <w:rFonts w:ascii="Arial" w:hAnsi="Arial" w:cs="Arial"/>
          <w:i/>
          <w:sz w:val="24"/>
          <w:szCs w:val="24"/>
        </w:rPr>
        <w:t>,</w:t>
      </w:r>
      <w:r w:rsidR="00F16F11" w:rsidRPr="00CF2732">
        <w:rPr>
          <w:rStyle w:val="FootnoteReference"/>
          <w:rFonts w:ascii="Arial" w:hAnsi="Arial" w:cs="Arial"/>
          <w:sz w:val="24"/>
          <w:szCs w:val="24"/>
        </w:rPr>
        <w:footnoteReference w:id="7"/>
      </w:r>
      <w:r w:rsidR="00F16F11" w:rsidRPr="006D1F6B">
        <w:rPr>
          <w:rFonts w:ascii="Arial" w:hAnsi="Arial" w:cs="Arial"/>
          <w:sz w:val="24"/>
          <w:szCs w:val="24"/>
        </w:rPr>
        <w:t xml:space="preserve"> the conduit-pipe principle was discussed for the first time</w:t>
      </w:r>
      <w:r w:rsidR="009746BF" w:rsidRPr="006D1F6B">
        <w:rPr>
          <w:rFonts w:ascii="Arial" w:hAnsi="Arial" w:cs="Arial"/>
          <w:sz w:val="24"/>
          <w:szCs w:val="24"/>
        </w:rPr>
        <w:t>.</w:t>
      </w:r>
      <w:r w:rsidR="00F16F11" w:rsidRPr="006D1F6B">
        <w:rPr>
          <w:rFonts w:ascii="Arial" w:hAnsi="Arial" w:cs="Arial"/>
          <w:sz w:val="24"/>
          <w:szCs w:val="24"/>
        </w:rPr>
        <w:t xml:space="preserve"> The principle became entrenched </w:t>
      </w:r>
      <w:r w:rsidR="006B37DC" w:rsidRPr="006D1F6B">
        <w:rPr>
          <w:rFonts w:ascii="Arial" w:hAnsi="Arial" w:cs="Arial"/>
          <w:sz w:val="24"/>
          <w:szCs w:val="24"/>
        </w:rPr>
        <w:t xml:space="preserve">in our law </w:t>
      </w:r>
      <w:r w:rsidR="00F16F11" w:rsidRPr="006D1F6B">
        <w:rPr>
          <w:rFonts w:ascii="Arial" w:hAnsi="Arial" w:cs="Arial"/>
          <w:sz w:val="24"/>
          <w:szCs w:val="24"/>
        </w:rPr>
        <w:t xml:space="preserve">in </w:t>
      </w:r>
      <w:r w:rsidR="00F16F11" w:rsidRPr="006D1F6B">
        <w:rPr>
          <w:rFonts w:ascii="Arial" w:hAnsi="Arial" w:cs="Arial"/>
          <w:i/>
          <w:sz w:val="24"/>
          <w:szCs w:val="24"/>
        </w:rPr>
        <w:t>Secretary for Inland Revenue v Rosen</w:t>
      </w:r>
      <w:r w:rsidR="00804193" w:rsidRPr="006D1F6B">
        <w:rPr>
          <w:rFonts w:ascii="Arial" w:hAnsi="Arial" w:cs="Arial"/>
          <w:i/>
          <w:sz w:val="24"/>
          <w:szCs w:val="24"/>
        </w:rPr>
        <w:t xml:space="preserve"> </w:t>
      </w:r>
      <w:r w:rsidR="00804193" w:rsidRPr="006D1F6B">
        <w:rPr>
          <w:rFonts w:ascii="Arial" w:hAnsi="Arial" w:cs="Arial"/>
          <w:iCs/>
          <w:sz w:val="24"/>
          <w:szCs w:val="24"/>
        </w:rPr>
        <w:t>(</w:t>
      </w:r>
      <w:r w:rsidR="00804193" w:rsidRPr="006D1F6B">
        <w:rPr>
          <w:rFonts w:ascii="Arial" w:hAnsi="Arial" w:cs="Arial"/>
          <w:i/>
          <w:sz w:val="24"/>
          <w:szCs w:val="24"/>
        </w:rPr>
        <w:t>Rosen</w:t>
      </w:r>
      <w:r w:rsidR="00804193" w:rsidRPr="006D1F6B">
        <w:rPr>
          <w:rFonts w:ascii="Arial" w:hAnsi="Arial" w:cs="Arial"/>
          <w:iCs/>
          <w:sz w:val="24"/>
          <w:szCs w:val="24"/>
        </w:rPr>
        <w:t>)</w:t>
      </w:r>
      <w:r w:rsidR="002C59C7" w:rsidRPr="006D1F6B">
        <w:rPr>
          <w:rFonts w:ascii="Arial" w:hAnsi="Arial" w:cs="Arial"/>
          <w:iCs/>
          <w:sz w:val="24"/>
          <w:szCs w:val="24"/>
        </w:rPr>
        <w:t>.</w:t>
      </w:r>
      <w:r w:rsidR="00F24342" w:rsidRPr="00CF2732">
        <w:rPr>
          <w:rStyle w:val="FootnoteReference"/>
          <w:rFonts w:ascii="Arial" w:hAnsi="Arial" w:cs="Arial"/>
          <w:sz w:val="24"/>
          <w:szCs w:val="24"/>
        </w:rPr>
        <w:footnoteReference w:id="8"/>
      </w:r>
      <w:r w:rsidR="00F16F11" w:rsidRPr="006D1F6B">
        <w:rPr>
          <w:rFonts w:ascii="Arial" w:hAnsi="Arial" w:cs="Arial"/>
          <w:sz w:val="24"/>
          <w:szCs w:val="24"/>
        </w:rPr>
        <w:t xml:space="preserve"> </w:t>
      </w:r>
      <w:r w:rsidR="002C59C7" w:rsidRPr="006D1F6B">
        <w:rPr>
          <w:rFonts w:ascii="Arial" w:hAnsi="Arial" w:cs="Arial"/>
          <w:i/>
          <w:sz w:val="24"/>
          <w:szCs w:val="24"/>
        </w:rPr>
        <w:t xml:space="preserve">Rosen </w:t>
      </w:r>
      <w:r w:rsidR="00653370" w:rsidRPr="006D1F6B">
        <w:rPr>
          <w:rFonts w:ascii="Arial" w:hAnsi="Arial" w:cs="Arial"/>
          <w:sz w:val="24"/>
          <w:szCs w:val="24"/>
        </w:rPr>
        <w:t xml:space="preserve">established </w:t>
      </w:r>
      <w:r w:rsidR="00F16F11" w:rsidRPr="006D1F6B">
        <w:rPr>
          <w:rFonts w:ascii="Arial" w:hAnsi="Arial" w:cs="Arial"/>
          <w:sz w:val="24"/>
          <w:szCs w:val="24"/>
        </w:rPr>
        <w:t>that</w:t>
      </w:r>
      <w:r w:rsidR="00653370" w:rsidRPr="006D1F6B">
        <w:rPr>
          <w:rFonts w:ascii="Arial" w:hAnsi="Arial" w:cs="Arial"/>
          <w:sz w:val="24"/>
          <w:szCs w:val="24"/>
        </w:rPr>
        <w:t xml:space="preserve"> an</w:t>
      </w:r>
      <w:r w:rsidR="006B37DC" w:rsidRPr="006D1F6B">
        <w:rPr>
          <w:rFonts w:ascii="Arial" w:hAnsi="Arial" w:cs="Arial"/>
          <w:sz w:val="24"/>
          <w:szCs w:val="24"/>
        </w:rPr>
        <w:t xml:space="preserve"> amount</w:t>
      </w:r>
      <w:r w:rsidR="00653370" w:rsidRPr="006D1F6B">
        <w:rPr>
          <w:rFonts w:ascii="Arial" w:hAnsi="Arial" w:cs="Arial"/>
          <w:sz w:val="24"/>
          <w:szCs w:val="24"/>
        </w:rPr>
        <w:t xml:space="preserve"> or </w:t>
      </w:r>
      <w:r w:rsidR="006B37DC" w:rsidRPr="006D1F6B">
        <w:rPr>
          <w:rFonts w:ascii="Arial" w:hAnsi="Arial" w:cs="Arial"/>
          <w:sz w:val="24"/>
          <w:szCs w:val="24"/>
        </w:rPr>
        <w:t xml:space="preserve">dividend received by a trust and immediately passed on to a beneficiary in the same year in which it was received </w:t>
      </w:r>
      <w:r w:rsidR="002A455D" w:rsidRPr="006D1F6B">
        <w:rPr>
          <w:rFonts w:ascii="Arial" w:hAnsi="Arial" w:cs="Arial"/>
          <w:sz w:val="24"/>
          <w:szCs w:val="24"/>
        </w:rPr>
        <w:t xml:space="preserve">would </w:t>
      </w:r>
      <w:r w:rsidR="006B37DC" w:rsidRPr="006D1F6B">
        <w:rPr>
          <w:rFonts w:ascii="Arial" w:hAnsi="Arial" w:cs="Arial"/>
          <w:sz w:val="24"/>
          <w:szCs w:val="24"/>
        </w:rPr>
        <w:t xml:space="preserve">be regarded as having accrued to such </w:t>
      </w:r>
      <w:r w:rsidR="00F24342" w:rsidRPr="006D1F6B">
        <w:rPr>
          <w:rFonts w:ascii="Arial" w:hAnsi="Arial" w:cs="Arial"/>
          <w:sz w:val="24"/>
          <w:szCs w:val="24"/>
        </w:rPr>
        <w:t xml:space="preserve">beneficiary as opposed to the trust </w:t>
      </w:r>
      <w:r w:rsidR="00944BA9" w:rsidRPr="006D1F6B">
        <w:rPr>
          <w:rFonts w:ascii="Arial" w:hAnsi="Arial" w:cs="Arial"/>
          <w:sz w:val="24"/>
          <w:szCs w:val="24"/>
        </w:rPr>
        <w:t>that</w:t>
      </w:r>
      <w:r w:rsidR="004D69E2" w:rsidRPr="006D1F6B">
        <w:rPr>
          <w:rFonts w:ascii="Arial" w:hAnsi="Arial" w:cs="Arial"/>
          <w:sz w:val="24"/>
          <w:szCs w:val="24"/>
        </w:rPr>
        <w:t xml:space="preserve"> </w:t>
      </w:r>
      <w:r w:rsidR="00F24342" w:rsidRPr="006D1F6B">
        <w:rPr>
          <w:rFonts w:ascii="Arial" w:hAnsi="Arial" w:cs="Arial"/>
          <w:sz w:val="24"/>
          <w:szCs w:val="24"/>
        </w:rPr>
        <w:t>received it. The conduit-pipe would thus be open</w:t>
      </w:r>
      <w:r w:rsidR="00480A15" w:rsidRPr="006D1F6B">
        <w:rPr>
          <w:rFonts w:ascii="Arial" w:hAnsi="Arial" w:cs="Arial"/>
          <w:sz w:val="24"/>
          <w:szCs w:val="24"/>
        </w:rPr>
        <w:t>,</w:t>
      </w:r>
      <w:r w:rsidR="00F24342" w:rsidRPr="006D1F6B">
        <w:rPr>
          <w:rFonts w:ascii="Arial" w:hAnsi="Arial" w:cs="Arial"/>
          <w:sz w:val="24"/>
          <w:szCs w:val="24"/>
        </w:rPr>
        <w:t xml:space="preserve"> and the trust would be no more than a conduit for the amount</w:t>
      </w:r>
      <w:r w:rsidR="00804193" w:rsidRPr="006D1F6B">
        <w:rPr>
          <w:rFonts w:ascii="Arial" w:hAnsi="Arial" w:cs="Arial"/>
          <w:sz w:val="24"/>
          <w:szCs w:val="24"/>
        </w:rPr>
        <w:t xml:space="preserve"> or </w:t>
      </w:r>
      <w:r w:rsidR="00F24342" w:rsidRPr="006D1F6B">
        <w:rPr>
          <w:rFonts w:ascii="Arial" w:hAnsi="Arial" w:cs="Arial"/>
          <w:sz w:val="24"/>
          <w:szCs w:val="24"/>
        </w:rPr>
        <w:t xml:space="preserve">dividend to flow through. Trollip JA cautioned </w:t>
      </w:r>
      <w:r w:rsidR="002C59C7" w:rsidRPr="006D1F6B">
        <w:rPr>
          <w:rFonts w:ascii="Arial" w:hAnsi="Arial" w:cs="Arial"/>
          <w:sz w:val="24"/>
          <w:szCs w:val="24"/>
        </w:rPr>
        <w:t xml:space="preserve">in </w:t>
      </w:r>
      <w:r w:rsidR="002C59C7" w:rsidRPr="006D1F6B">
        <w:rPr>
          <w:rFonts w:ascii="Arial" w:hAnsi="Arial" w:cs="Arial"/>
          <w:i/>
          <w:sz w:val="24"/>
          <w:szCs w:val="24"/>
        </w:rPr>
        <w:t>Rosen</w:t>
      </w:r>
      <w:r w:rsidR="002C59C7" w:rsidRPr="006D1F6B">
        <w:rPr>
          <w:rFonts w:ascii="Arial" w:hAnsi="Arial" w:cs="Arial"/>
          <w:sz w:val="24"/>
          <w:szCs w:val="24"/>
        </w:rPr>
        <w:t xml:space="preserve"> </w:t>
      </w:r>
      <w:r w:rsidR="00F24342" w:rsidRPr="006D1F6B">
        <w:rPr>
          <w:rFonts w:ascii="Arial" w:hAnsi="Arial" w:cs="Arial"/>
          <w:sz w:val="24"/>
          <w:szCs w:val="24"/>
        </w:rPr>
        <w:t xml:space="preserve">that </w:t>
      </w:r>
      <w:r w:rsidR="002C59C7" w:rsidRPr="006D1F6B">
        <w:rPr>
          <w:rFonts w:ascii="Arial" w:hAnsi="Arial" w:cs="Arial"/>
          <w:sz w:val="24"/>
          <w:szCs w:val="24"/>
        </w:rPr>
        <w:t>while</w:t>
      </w:r>
      <w:r w:rsidR="00F24342" w:rsidRPr="006D1F6B">
        <w:rPr>
          <w:rFonts w:ascii="Arial" w:hAnsi="Arial" w:cs="Arial"/>
          <w:sz w:val="24"/>
          <w:szCs w:val="24"/>
        </w:rPr>
        <w:t xml:space="preserve"> the principle was applicable for general application in our tax system, it </w:t>
      </w:r>
      <w:r w:rsidR="002C59C7" w:rsidRPr="006D1F6B">
        <w:rPr>
          <w:rFonts w:ascii="Arial" w:hAnsi="Arial" w:cs="Arial"/>
          <w:sz w:val="24"/>
          <w:szCs w:val="24"/>
        </w:rPr>
        <w:t>ought</w:t>
      </w:r>
      <w:r w:rsidR="00F24342" w:rsidRPr="006D1F6B">
        <w:rPr>
          <w:rFonts w:ascii="Arial" w:hAnsi="Arial" w:cs="Arial"/>
          <w:sz w:val="24"/>
          <w:szCs w:val="24"/>
        </w:rPr>
        <w:t xml:space="preserve"> only </w:t>
      </w:r>
      <w:r w:rsidR="002C59C7" w:rsidRPr="006D1F6B">
        <w:rPr>
          <w:rFonts w:ascii="Arial" w:hAnsi="Arial" w:cs="Arial"/>
          <w:sz w:val="24"/>
          <w:szCs w:val="24"/>
        </w:rPr>
        <w:t xml:space="preserve">to be </w:t>
      </w:r>
      <w:r w:rsidR="00F24342" w:rsidRPr="006D1F6B">
        <w:rPr>
          <w:rFonts w:ascii="Arial" w:hAnsi="Arial" w:cs="Arial"/>
          <w:sz w:val="24"/>
          <w:szCs w:val="24"/>
        </w:rPr>
        <w:t>appli</w:t>
      </w:r>
      <w:r w:rsidR="002C59C7" w:rsidRPr="006D1F6B">
        <w:rPr>
          <w:rFonts w:ascii="Arial" w:hAnsi="Arial" w:cs="Arial"/>
          <w:sz w:val="24"/>
          <w:szCs w:val="24"/>
        </w:rPr>
        <w:t xml:space="preserve">ed in appropriate circumstances to be determined </w:t>
      </w:r>
      <w:r w:rsidR="00F24342" w:rsidRPr="006D1F6B">
        <w:rPr>
          <w:rFonts w:ascii="Arial" w:hAnsi="Arial" w:cs="Arial"/>
          <w:sz w:val="24"/>
          <w:szCs w:val="24"/>
        </w:rPr>
        <w:t>on a case</w:t>
      </w:r>
      <w:r w:rsidR="00B7412D" w:rsidRPr="006D1F6B">
        <w:rPr>
          <w:rFonts w:ascii="Arial" w:hAnsi="Arial" w:cs="Arial"/>
          <w:sz w:val="24"/>
          <w:szCs w:val="24"/>
        </w:rPr>
        <w:t>-</w:t>
      </w:r>
      <w:r w:rsidR="00F24342" w:rsidRPr="006D1F6B">
        <w:rPr>
          <w:rFonts w:ascii="Arial" w:hAnsi="Arial" w:cs="Arial"/>
          <w:sz w:val="24"/>
          <w:szCs w:val="24"/>
        </w:rPr>
        <w:t>by</w:t>
      </w:r>
      <w:r w:rsidR="00B7412D" w:rsidRPr="006D1F6B">
        <w:rPr>
          <w:rFonts w:ascii="Arial" w:hAnsi="Arial" w:cs="Arial"/>
          <w:sz w:val="24"/>
          <w:szCs w:val="24"/>
        </w:rPr>
        <w:t>-</w:t>
      </w:r>
      <w:r w:rsidR="00F24342" w:rsidRPr="006D1F6B">
        <w:rPr>
          <w:rFonts w:ascii="Arial" w:hAnsi="Arial" w:cs="Arial"/>
          <w:sz w:val="24"/>
          <w:szCs w:val="24"/>
        </w:rPr>
        <w:t xml:space="preserve">case basis. </w:t>
      </w:r>
    </w:p>
    <w:p w14:paraId="040B61BF" w14:textId="77777777" w:rsidR="009746BF" w:rsidRPr="009746BF" w:rsidRDefault="009746BF" w:rsidP="007A4CFC">
      <w:pPr>
        <w:pStyle w:val="ListParagraph"/>
        <w:ind w:left="0"/>
        <w:rPr>
          <w:rFonts w:ascii="Arial" w:hAnsi="Arial" w:cs="Arial"/>
          <w:sz w:val="24"/>
          <w:szCs w:val="24"/>
        </w:rPr>
      </w:pPr>
    </w:p>
    <w:p w14:paraId="43B19987" w14:textId="2B671AD5" w:rsidR="004746F6" w:rsidRPr="006D1F6B" w:rsidRDefault="006D1F6B" w:rsidP="006D1F6B">
      <w:pPr>
        <w:rPr>
          <w:rFonts w:ascii="Arial" w:hAnsi="Arial" w:cs="Arial"/>
          <w:sz w:val="24"/>
          <w:szCs w:val="24"/>
        </w:rPr>
      </w:pPr>
      <w:r>
        <w:rPr>
          <w:rFonts w:ascii="Arial" w:hAnsi="Arial" w:cs="Arial"/>
          <w:sz w:val="24"/>
          <w:szCs w:val="24"/>
        </w:rPr>
        <w:t>[25]</w:t>
      </w:r>
      <w:r>
        <w:rPr>
          <w:rFonts w:ascii="Arial" w:hAnsi="Arial" w:cs="Arial"/>
          <w:sz w:val="24"/>
          <w:szCs w:val="24"/>
        </w:rPr>
        <w:tab/>
      </w:r>
      <w:r w:rsidR="0064658C" w:rsidRPr="006D1F6B">
        <w:rPr>
          <w:rFonts w:ascii="Arial" w:hAnsi="Arial" w:cs="Arial"/>
          <w:sz w:val="24"/>
          <w:szCs w:val="24"/>
        </w:rPr>
        <w:t xml:space="preserve">The facts of this case do not support the application of the ‘conduit pipe principle’. </w:t>
      </w:r>
      <w:r w:rsidR="004F65BC" w:rsidRPr="006D1F6B">
        <w:rPr>
          <w:rFonts w:ascii="Arial" w:hAnsi="Arial" w:cs="Arial"/>
          <w:sz w:val="24"/>
          <w:szCs w:val="24"/>
        </w:rPr>
        <w:t>The Tier 1 Trusts</w:t>
      </w:r>
      <w:r w:rsidR="002A7723" w:rsidRPr="006D1F6B">
        <w:rPr>
          <w:rFonts w:ascii="Arial" w:hAnsi="Arial" w:cs="Arial"/>
          <w:sz w:val="24"/>
          <w:szCs w:val="24"/>
        </w:rPr>
        <w:t xml:space="preserve"> vested </w:t>
      </w:r>
      <w:r w:rsidR="004F65BC" w:rsidRPr="006D1F6B">
        <w:rPr>
          <w:rFonts w:ascii="Arial" w:hAnsi="Arial" w:cs="Arial"/>
          <w:sz w:val="24"/>
          <w:szCs w:val="24"/>
        </w:rPr>
        <w:t xml:space="preserve">the capital gains in the </w:t>
      </w:r>
      <w:r w:rsidR="002A7723" w:rsidRPr="006D1F6B">
        <w:rPr>
          <w:rFonts w:ascii="Arial" w:hAnsi="Arial" w:cs="Arial"/>
          <w:sz w:val="24"/>
          <w:szCs w:val="24"/>
        </w:rPr>
        <w:t>Thistle Trust</w:t>
      </w:r>
      <w:r w:rsidR="004F65BC" w:rsidRPr="006D1F6B">
        <w:rPr>
          <w:rFonts w:ascii="Arial" w:hAnsi="Arial" w:cs="Arial"/>
          <w:sz w:val="24"/>
          <w:szCs w:val="24"/>
        </w:rPr>
        <w:t xml:space="preserve"> which accordingly</w:t>
      </w:r>
      <w:r w:rsidR="002A7723" w:rsidRPr="006D1F6B">
        <w:rPr>
          <w:rFonts w:ascii="Arial" w:hAnsi="Arial" w:cs="Arial"/>
          <w:sz w:val="24"/>
          <w:szCs w:val="24"/>
        </w:rPr>
        <w:t xml:space="preserve"> held a vested right </w:t>
      </w:r>
      <w:r w:rsidR="004F65BC" w:rsidRPr="006D1F6B">
        <w:rPr>
          <w:rFonts w:ascii="Arial" w:hAnsi="Arial" w:cs="Arial"/>
          <w:sz w:val="24"/>
          <w:szCs w:val="24"/>
        </w:rPr>
        <w:t>therein.</w:t>
      </w:r>
      <w:r w:rsidR="003C1876" w:rsidRPr="006D1F6B">
        <w:rPr>
          <w:rFonts w:ascii="Arial" w:hAnsi="Arial" w:cs="Arial"/>
          <w:sz w:val="24"/>
          <w:szCs w:val="24"/>
        </w:rPr>
        <w:t xml:space="preserve"> </w:t>
      </w:r>
      <w:r w:rsidR="002A7723" w:rsidRPr="006D1F6B">
        <w:rPr>
          <w:rFonts w:ascii="Arial" w:hAnsi="Arial" w:cs="Arial"/>
          <w:sz w:val="24"/>
          <w:szCs w:val="24"/>
        </w:rPr>
        <w:t xml:space="preserve">The distribution to it of the accrued gains resulted in it receiving </w:t>
      </w:r>
      <w:r w:rsidR="004746F6" w:rsidRPr="006D1F6B">
        <w:rPr>
          <w:rFonts w:ascii="Arial" w:hAnsi="Arial" w:cs="Arial"/>
          <w:sz w:val="24"/>
          <w:szCs w:val="24"/>
        </w:rPr>
        <w:t>those</w:t>
      </w:r>
      <w:r w:rsidR="002A7723" w:rsidRPr="006D1F6B">
        <w:rPr>
          <w:rFonts w:ascii="Arial" w:hAnsi="Arial" w:cs="Arial"/>
          <w:sz w:val="24"/>
          <w:szCs w:val="24"/>
        </w:rPr>
        <w:t xml:space="preserve"> gains as of right. The Thistle Trust did not</w:t>
      </w:r>
      <w:r w:rsidR="004746F6" w:rsidRPr="006D1F6B">
        <w:rPr>
          <w:rFonts w:ascii="Arial" w:hAnsi="Arial" w:cs="Arial"/>
          <w:sz w:val="24"/>
          <w:szCs w:val="24"/>
        </w:rPr>
        <w:t xml:space="preserve"> dispose of any capital asset nor determine a capital gain </w:t>
      </w:r>
      <w:r w:rsidR="00480A15" w:rsidRPr="006D1F6B">
        <w:rPr>
          <w:rFonts w:ascii="Arial" w:hAnsi="Arial" w:cs="Arial"/>
          <w:sz w:val="24"/>
          <w:szCs w:val="24"/>
        </w:rPr>
        <w:t xml:space="preserve">that </w:t>
      </w:r>
      <w:r w:rsidR="004746F6" w:rsidRPr="006D1F6B">
        <w:rPr>
          <w:rFonts w:ascii="Arial" w:hAnsi="Arial" w:cs="Arial"/>
          <w:sz w:val="24"/>
          <w:szCs w:val="24"/>
        </w:rPr>
        <w:t>was distributed to its beneficiaries. Instead</w:t>
      </w:r>
      <w:r w:rsidR="00480A15" w:rsidRPr="006D1F6B">
        <w:rPr>
          <w:rFonts w:ascii="Arial" w:hAnsi="Arial" w:cs="Arial"/>
          <w:sz w:val="24"/>
          <w:szCs w:val="24"/>
        </w:rPr>
        <w:t>,</w:t>
      </w:r>
      <w:r w:rsidR="004746F6" w:rsidRPr="006D1F6B">
        <w:rPr>
          <w:rFonts w:ascii="Arial" w:hAnsi="Arial" w:cs="Arial"/>
          <w:sz w:val="24"/>
          <w:szCs w:val="24"/>
        </w:rPr>
        <w:t xml:space="preserve"> it distributed </w:t>
      </w:r>
      <w:r w:rsidR="004F65BC" w:rsidRPr="006D1F6B">
        <w:rPr>
          <w:rFonts w:ascii="Arial" w:hAnsi="Arial" w:cs="Arial"/>
          <w:sz w:val="24"/>
          <w:szCs w:val="24"/>
        </w:rPr>
        <w:t>monies</w:t>
      </w:r>
      <w:r w:rsidR="004746F6" w:rsidRPr="006D1F6B">
        <w:rPr>
          <w:rFonts w:ascii="Arial" w:hAnsi="Arial" w:cs="Arial"/>
          <w:sz w:val="24"/>
          <w:szCs w:val="24"/>
        </w:rPr>
        <w:t xml:space="preserve"> </w:t>
      </w:r>
      <w:r w:rsidR="00480A15" w:rsidRPr="006D1F6B">
        <w:rPr>
          <w:rFonts w:ascii="Arial" w:hAnsi="Arial" w:cs="Arial"/>
          <w:sz w:val="24"/>
          <w:szCs w:val="24"/>
        </w:rPr>
        <w:t xml:space="preserve">that </w:t>
      </w:r>
      <w:r w:rsidR="004746F6" w:rsidRPr="006D1F6B">
        <w:rPr>
          <w:rFonts w:ascii="Arial" w:hAnsi="Arial" w:cs="Arial"/>
          <w:sz w:val="24"/>
          <w:szCs w:val="24"/>
        </w:rPr>
        <w:t>vested in it as of right. In these circumstances</w:t>
      </w:r>
      <w:r w:rsidR="00480A15" w:rsidRPr="006D1F6B">
        <w:rPr>
          <w:rFonts w:ascii="Arial" w:hAnsi="Arial" w:cs="Arial"/>
          <w:sz w:val="24"/>
          <w:szCs w:val="24"/>
        </w:rPr>
        <w:t>,</w:t>
      </w:r>
      <w:r w:rsidR="004746F6" w:rsidRPr="006D1F6B">
        <w:rPr>
          <w:rFonts w:ascii="Arial" w:hAnsi="Arial" w:cs="Arial"/>
          <w:sz w:val="24"/>
          <w:szCs w:val="24"/>
        </w:rPr>
        <w:t xml:space="preserve"> the ‘conduit principle’ does not apply.</w:t>
      </w:r>
    </w:p>
    <w:p w14:paraId="0F5BB247" w14:textId="77777777" w:rsidR="004746F6" w:rsidRDefault="004746F6">
      <w:pPr>
        <w:pStyle w:val="ListParagraph"/>
        <w:ind w:left="0"/>
        <w:rPr>
          <w:rFonts w:ascii="Arial" w:hAnsi="Arial" w:cs="Arial"/>
          <w:sz w:val="24"/>
          <w:szCs w:val="24"/>
        </w:rPr>
      </w:pPr>
    </w:p>
    <w:p w14:paraId="4BD3064A" w14:textId="57EA7826" w:rsidR="002B748B" w:rsidRPr="006D1F6B" w:rsidRDefault="006D1F6B" w:rsidP="006D1F6B">
      <w:pPr>
        <w:rPr>
          <w:rFonts w:ascii="Arial" w:hAnsi="Arial" w:cs="Arial"/>
          <w:sz w:val="24"/>
          <w:szCs w:val="24"/>
        </w:rPr>
      </w:pPr>
      <w:r w:rsidRPr="009006C4">
        <w:rPr>
          <w:rFonts w:ascii="Arial" w:hAnsi="Arial" w:cs="Arial"/>
          <w:sz w:val="24"/>
          <w:szCs w:val="24"/>
        </w:rPr>
        <w:lastRenderedPageBreak/>
        <w:t>[26]</w:t>
      </w:r>
      <w:r w:rsidRPr="009006C4">
        <w:rPr>
          <w:rFonts w:ascii="Arial" w:hAnsi="Arial" w:cs="Arial"/>
          <w:sz w:val="24"/>
          <w:szCs w:val="24"/>
        </w:rPr>
        <w:tab/>
      </w:r>
      <w:r w:rsidR="004746F6" w:rsidRPr="006D1F6B">
        <w:rPr>
          <w:rFonts w:ascii="Arial" w:hAnsi="Arial" w:cs="Arial"/>
          <w:sz w:val="24"/>
          <w:szCs w:val="24"/>
        </w:rPr>
        <w:t>Parag</w:t>
      </w:r>
      <w:r w:rsidR="00F3296B" w:rsidRPr="006D1F6B">
        <w:rPr>
          <w:rFonts w:ascii="Arial" w:hAnsi="Arial" w:cs="Arial"/>
          <w:sz w:val="24"/>
          <w:szCs w:val="24"/>
        </w:rPr>
        <w:t>ra</w:t>
      </w:r>
      <w:r w:rsidR="004746F6" w:rsidRPr="006D1F6B">
        <w:rPr>
          <w:rFonts w:ascii="Arial" w:hAnsi="Arial" w:cs="Arial"/>
          <w:sz w:val="24"/>
          <w:szCs w:val="24"/>
        </w:rPr>
        <w:t>ph 80 (2) of the Schedule, properly interpreted and applied</w:t>
      </w:r>
      <w:r w:rsidR="00480A15" w:rsidRPr="006D1F6B">
        <w:rPr>
          <w:rFonts w:ascii="Arial" w:hAnsi="Arial" w:cs="Arial"/>
          <w:sz w:val="24"/>
          <w:szCs w:val="24"/>
        </w:rPr>
        <w:t>,</w:t>
      </w:r>
      <w:r w:rsidR="004746F6" w:rsidRPr="006D1F6B">
        <w:rPr>
          <w:rFonts w:ascii="Arial" w:hAnsi="Arial" w:cs="Arial"/>
          <w:sz w:val="24"/>
          <w:szCs w:val="24"/>
        </w:rPr>
        <w:t xml:space="preserve"> requires that the capital gains accrued upon the disposal of assets by the Tier 1 Trusts are to be taxed in the hands of the Thistle Trust and not its beneficiaries to whom it distributed those gains. </w:t>
      </w:r>
      <w:r w:rsidR="00281668" w:rsidRPr="006D1F6B">
        <w:rPr>
          <w:rFonts w:ascii="Arial" w:hAnsi="Arial" w:cs="Arial"/>
          <w:sz w:val="24"/>
          <w:szCs w:val="24"/>
        </w:rPr>
        <w:t xml:space="preserve">In the circumstances, SARS was correct to raise the additional assessment for the relevant tax periods. </w:t>
      </w:r>
    </w:p>
    <w:p w14:paraId="79A51D12" w14:textId="77777777" w:rsidR="0049510B" w:rsidRDefault="0049510B" w:rsidP="007A4CFC">
      <w:pPr>
        <w:pStyle w:val="ListParagraph"/>
        <w:ind w:left="0"/>
        <w:rPr>
          <w:rFonts w:ascii="Arial" w:hAnsi="Arial" w:cs="Arial"/>
          <w:sz w:val="24"/>
          <w:szCs w:val="24"/>
        </w:rPr>
      </w:pPr>
    </w:p>
    <w:p w14:paraId="55520E14" w14:textId="77777777" w:rsidR="00180CB3" w:rsidRDefault="00180CB3" w:rsidP="007A4CFC">
      <w:pPr>
        <w:pStyle w:val="ListParagraph"/>
        <w:ind w:left="0"/>
        <w:rPr>
          <w:rFonts w:ascii="Arial" w:hAnsi="Arial" w:cs="Arial"/>
          <w:sz w:val="24"/>
          <w:szCs w:val="24"/>
        </w:rPr>
      </w:pPr>
    </w:p>
    <w:p w14:paraId="4E5933B9" w14:textId="77777777" w:rsidR="002B748B" w:rsidRPr="000328CD" w:rsidRDefault="002B748B" w:rsidP="007A4CFC">
      <w:pPr>
        <w:rPr>
          <w:rFonts w:ascii="Arial" w:hAnsi="Arial" w:cs="Arial"/>
          <w:b/>
          <w:sz w:val="24"/>
          <w:szCs w:val="24"/>
        </w:rPr>
      </w:pPr>
      <w:r w:rsidRPr="002B748B">
        <w:rPr>
          <w:rFonts w:ascii="Arial" w:hAnsi="Arial" w:cs="Arial"/>
          <w:b/>
          <w:sz w:val="24"/>
          <w:szCs w:val="24"/>
        </w:rPr>
        <w:t>Understatement of penalties</w:t>
      </w:r>
    </w:p>
    <w:p w14:paraId="4F222788" w14:textId="52A02D80" w:rsidR="002B748B" w:rsidRPr="006D1F6B" w:rsidRDefault="006D1F6B" w:rsidP="006D1F6B">
      <w:pPr>
        <w:rPr>
          <w:rFonts w:ascii="Arial" w:hAnsi="Arial" w:cs="Arial"/>
          <w:sz w:val="24"/>
          <w:szCs w:val="24"/>
        </w:rPr>
      </w:pPr>
      <w:r>
        <w:rPr>
          <w:rFonts w:ascii="Arial" w:hAnsi="Arial" w:cs="Arial"/>
          <w:sz w:val="24"/>
          <w:szCs w:val="24"/>
        </w:rPr>
        <w:t>[27]</w:t>
      </w:r>
      <w:r>
        <w:rPr>
          <w:rFonts w:ascii="Arial" w:hAnsi="Arial" w:cs="Arial"/>
          <w:sz w:val="24"/>
          <w:szCs w:val="24"/>
        </w:rPr>
        <w:tab/>
      </w:r>
      <w:r w:rsidR="00281668" w:rsidRPr="006D1F6B">
        <w:rPr>
          <w:rFonts w:ascii="Arial" w:hAnsi="Arial" w:cs="Arial"/>
          <w:sz w:val="24"/>
          <w:szCs w:val="24"/>
        </w:rPr>
        <w:t>As indicated earlier in this judgment, the second question arises in the event that it is found that the assessment was correctly raised. The imposition of a</w:t>
      </w:r>
      <w:r w:rsidR="00DB240C" w:rsidRPr="006D1F6B">
        <w:rPr>
          <w:rFonts w:ascii="Arial" w:hAnsi="Arial" w:cs="Arial"/>
          <w:sz w:val="24"/>
          <w:szCs w:val="24"/>
        </w:rPr>
        <w:t xml:space="preserve">n understatement </w:t>
      </w:r>
      <w:r w:rsidR="00281668" w:rsidRPr="006D1F6B">
        <w:rPr>
          <w:rFonts w:ascii="Arial" w:hAnsi="Arial" w:cs="Arial"/>
          <w:sz w:val="24"/>
          <w:szCs w:val="24"/>
        </w:rPr>
        <w:t xml:space="preserve">penalty arises when a </w:t>
      </w:r>
      <w:r w:rsidR="00DB240C" w:rsidRPr="006D1F6B">
        <w:rPr>
          <w:rFonts w:ascii="Arial" w:hAnsi="Arial" w:cs="Arial"/>
          <w:sz w:val="24"/>
          <w:szCs w:val="24"/>
        </w:rPr>
        <w:t xml:space="preserve">taxpayer submits </w:t>
      </w:r>
      <w:r w:rsidR="00281668" w:rsidRPr="006D1F6B">
        <w:rPr>
          <w:rFonts w:ascii="Arial" w:hAnsi="Arial" w:cs="Arial"/>
          <w:sz w:val="24"/>
          <w:szCs w:val="24"/>
        </w:rPr>
        <w:t xml:space="preserve">a tax return </w:t>
      </w:r>
      <w:r w:rsidR="00480A15" w:rsidRPr="006D1F6B">
        <w:rPr>
          <w:rFonts w:ascii="Arial" w:hAnsi="Arial" w:cs="Arial"/>
          <w:sz w:val="24"/>
          <w:szCs w:val="24"/>
        </w:rPr>
        <w:t>that understates its taxabl</w:t>
      </w:r>
      <w:r w:rsidR="00281668" w:rsidRPr="006D1F6B">
        <w:rPr>
          <w:rFonts w:ascii="Arial" w:hAnsi="Arial" w:cs="Arial"/>
          <w:sz w:val="24"/>
          <w:szCs w:val="24"/>
        </w:rPr>
        <w:t>e or deemed taxable income. In such circumstances</w:t>
      </w:r>
      <w:r w:rsidR="00480A15" w:rsidRPr="006D1F6B">
        <w:rPr>
          <w:rFonts w:ascii="Arial" w:hAnsi="Arial" w:cs="Arial"/>
          <w:sz w:val="24"/>
          <w:szCs w:val="24"/>
        </w:rPr>
        <w:t>,</w:t>
      </w:r>
      <w:r w:rsidR="00281668" w:rsidRPr="006D1F6B">
        <w:rPr>
          <w:rFonts w:ascii="Arial" w:hAnsi="Arial" w:cs="Arial"/>
          <w:sz w:val="24"/>
          <w:szCs w:val="24"/>
        </w:rPr>
        <w:t xml:space="preserve"> SARS is entitled to levy a penalty based upon the circumstances giving rise to the understatement. The Tax Administration Act 28 of 2011 (the TAA) provides that the penalty, as</w:t>
      </w:r>
      <w:r w:rsidR="00FA23C0" w:rsidRPr="006D1F6B">
        <w:rPr>
          <w:rFonts w:ascii="Arial" w:hAnsi="Arial" w:cs="Arial"/>
          <w:sz w:val="24"/>
          <w:szCs w:val="24"/>
        </w:rPr>
        <w:t xml:space="preserve"> determined by the TAA,</w:t>
      </w:r>
      <w:r w:rsidR="00281668" w:rsidRPr="006D1F6B">
        <w:rPr>
          <w:rFonts w:ascii="Arial" w:hAnsi="Arial" w:cs="Arial"/>
          <w:sz w:val="24"/>
          <w:szCs w:val="24"/>
        </w:rPr>
        <w:t xml:space="preserve"> is payable</w:t>
      </w:r>
      <w:r w:rsidR="00FA23C0" w:rsidRPr="006D1F6B">
        <w:rPr>
          <w:rFonts w:ascii="Arial" w:hAnsi="Arial" w:cs="Arial"/>
          <w:sz w:val="24"/>
          <w:szCs w:val="24"/>
        </w:rPr>
        <w:t xml:space="preserve"> unless the understatement arises from a </w:t>
      </w:r>
      <w:r w:rsidR="00FA23C0" w:rsidRPr="006D1F6B">
        <w:rPr>
          <w:rFonts w:ascii="Arial" w:hAnsi="Arial" w:cs="Arial"/>
          <w:i/>
          <w:sz w:val="24"/>
          <w:szCs w:val="24"/>
        </w:rPr>
        <w:t>bona fide</w:t>
      </w:r>
      <w:r w:rsidR="00FA23C0" w:rsidRPr="006D1F6B">
        <w:rPr>
          <w:rFonts w:ascii="Arial" w:hAnsi="Arial" w:cs="Arial"/>
          <w:sz w:val="24"/>
          <w:szCs w:val="24"/>
        </w:rPr>
        <w:t xml:space="preserve"> inadvertent error.</w:t>
      </w:r>
      <w:r w:rsidR="00EB4DD6">
        <w:rPr>
          <w:rStyle w:val="FootnoteReference"/>
          <w:rFonts w:ascii="Arial" w:hAnsi="Arial" w:cs="Arial"/>
          <w:sz w:val="24"/>
          <w:szCs w:val="24"/>
        </w:rPr>
        <w:footnoteReference w:id="9"/>
      </w:r>
      <w:r w:rsidR="00B569D5" w:rsidRPr="006D1F6B">
        <w:rPr>
          <w:rFonts w:ascii="Arial" w:hAnsi="Arial" w:cs="Arial"/>
          <w:sz w:val="24"/>
          <w:szCs w:val="24"/>
        </w:rPr>
        <w:t xml:space="preserve"> </w:t>
      </w:r>
      <w:r w:rsidR="00FA23C0" w:rsidRPr="006D1F6B">
        <w:rPr>
          <w:rFonts w:ascii="Arial" w:hAnsi="Arial" w:cs="Arial"/>
          <w:sz w:val="24"/>
          <w:szCs w:val="24"/>
        </w:rPr>
        <w:t>Section</w:t>
      </w:r>
      <w:r w:rsidR="00113748" w:rsidRPr="006D1F6B">
        <w:rPr>
          <w:rFonts w:ascii="Arial" w:hAnsi="Arial" w:cs="Arial"/>
          <w:sz w:val="24"/>
          <w:szCs w:val="24"/>
        </w:rPr>
        <w:t xml:space="preserve"> 223 of the TAA</w:t>
      </w:r>
      <w:r w:rsidR="00431E68" w:rsidRPr="006D1F6B">
        <w:rPr>
          <w:rFonts w:ascii="Arial" w:hAnsi="Arial" w:cs="Arial"/>
          <w:sz w:val="24"/>
          <w:szCs w:val="24"/>
        </w:rPr>
        <w:t xml:space="preserve"> </w:t>
      </w:r>
      <w:r w:rsidR="00FA23C0" w:rsidRPr="006D1F6B">
        <w:rPr>
          <w:rFonts w:ascii="Arial" w:hAnsi="Arial" w:cs="Arial"/>
          <w:sz w:val="24"/>
          <w:szCs w:val="24"/>
        </w:rPr>
        <w:t xml:space="preserve">sets </w:t>
      </w:r>
      <w:r w:rsidR="00480A15" w:rsidRPr="006D1F6B">
        <w:rPr>
          <w:rFonts w:ascii="Arial" w:hAnsi="Arial" w:cs="Arial"/>
          <w:sz w:val="24"/>
          <w:szCs w:val="24"/>
        </w:rPr>
        <w:t>the relevant percentages</w:t>
      </w:r>
      <w:r w:rsidR="0049510B" w:rsidRPr="006D1F6B">
        <w:rPr>
          <w:rFonts w:ascii="Arial" w:hAnsi="Arial" w:cs="Arial"/>
          <w:sz w:val="24"/>
          <w:szCs w:val="24"/>
        </w:rPr>
        <w:t>,</w:t>
      </w:r>
      <w:r w:rsidR="00480A15" w:rsidRPr="006D1F6B">
        <w:rPr>
          <w:rFonts w:ascii="Arial" w:hAnsi="Arial" w:cs="Arial"/>
          <w:sz w:val="24"/>
          <w:szCs w:val="24"/>
        </w:rPr>
        <w:t xml:space="preserve"> in a table format</w:t>
      </w:r>
      <w:r w:rsidR="0049510B" w:rsidRPr="006D1F6B">
        <w:rPr>
          <w:rFonts w:ascii="Arial" w:hAnsi="Arial" w:cs="Arial"/>
          <w:sz w:val="24"/>
          <w:szCs w:val="24"/>
        </w:rPr>
        <w:t>,</w:t>
      </w:r>
      <w:r w:rsidR="0087676C" w:rsidRPr="006D1F6B">
        <w:rPr>
          <w:rFonts w:ascii="Arial" w:hAnsi="Arial" w:cs="Arial"/>
          <w:sz w:val="24"/>
          <w:szCs w:val="24"/>
        </w:rPr>
        <w:t xml:space="preserve"> </w:t>
      </w:r>
      <w:r w:rsidR="008079B9" w:rsidRPr="006D1F6B">
        <w:rPr>
          <w:rFonts w:ascii="Arial" w:hAnsi="Arial" w:cs="Arial"/>
          <w:sz w:val="24"/>
          <w:szCs w:val="24"/>
        </w:rPr>
        <w:t xml:space="preserve">to be </w:t>
      </w:r>
      <w:r w:rsidR="0087676C" w:rsidRPr="006D1F6B">
        <w:rPr>
          <w:rFonts w:ascii="Arial" w:hAnsi="Arial" w:cs="Arial"/>
          <w:sz w:val="24"/>
          <w:szCs w:val="24"/>
        </w:rPr>
        <w:t xml:space="preserve">allocated for </w:t>
      </w:r>
      <w:r w:rsidR="00431E68" w:rsidRPr="006D1F6B">
        <w:rPr>
          <w:rFonts w:ascii="Arial" w:hAnsi="Arial" w:cs="Arial"/>
          <w:sz w:val="24"/>
          <w:szCs w:val="24"/>
        </w:rPr>
        <w:t xml:space="preserve">the </w:t>
      </w:r>
      <w:r w:rsidR="0087676C" w:rsidRPr="006D1F6B">
        <w:rPr>
          <w:rFonts w:ascii="Arial" w:hAnsi="Arial" w:cs="Arial"/>
          <w:sz w:val="24"/>
          <w:szCs w:val="24"/>
        </w:rPr>
        <w:t>different behaviour</w:t>
      </w:r>
      <w:r w:rsidR="008079B9" w:rsidRPr="006D1F6B">
        <w:rPr>
          <w:rFonts w:ascii="Arial" w:hAnsi="Arial" w:cs="Arial"/>
          <w:sz w:val="24"/>
          <w:szCs w:val="24"/>
        </w:rPr>
        <w:t>al</w:t>
      </w:r>
      <w:r w:rsidR="0087676C" w:rsidRPr="006D1F6B">
        <w:rPr>
          <w:rFonts w:ascii="Arial" w:hAnsi="Arial" w:cs="Arial"/>
          <w:sz w:val="24"/>
          <w:szCs w:val="24"/>
        </w:rPr>
        <w:t xml:space="preserve"> </w:t>
      </w:r>
      <w:r w:rsidR="008079B9" w:rsidRPr="006D1F6B">
        <w:rPr>
          <w:rFonts w:ascii="Arial" w:hAnsi="Arial" w:cs="Arial"/>
          <w:sz w:val="24"/>
          <w:szCs w:val="24"/>
        </w:rPr>
        <w:t>concerns of</w:t>
      </w:r>
      <w:r w:rsidR="002B748B" w:rsidRPr="006D1F6B">
        <w:rPr>
          <w:rFonts w:ascii="Arial" w:hAnsi="Arial" w:cs="Arial"/>
          <w:sz w:val="24"/>
          <w:szCs w:val="24"/>
        </w:rPr>
        <w:t xml:space="preserve"> a taxpayer. </w:t>
      </w:r>
      <w:r w:rsidR="007002D1" w:rsidRPr="006D1F6B">
        <w:rPr>
          <w:rFonts w:ascii="Arial" w:hAnsi="Arial" w:cs="Arial"/>
          <w:sz w:val="24"/>
          <w:szCs w:val="24"/>
        </w:rPr>
        <w:t xml:space="preserve">These </w:t>
      </w:r>
      <w:r w:rsidR="00FA23C0" w:rsidRPr="006D1F6B">
        <w:rPr>
          <w:rFonts w:ascii="Arial" w:hAnsi="Arial" w:cs="Arial"/>
          <w:sz w:val="24"/>
          <w:szCs w:val="24"/>
        </w:rPr>
        <w:t>cover instances ranging from</w:t>
      </w:r>
      <w:r w:rsidR="002B748B" w:rsidRPr="006D1F6B">
        <w:rPr>
          <w:rFonts w:ascii="Arial" w:hAnsi="Arial" w:cs="Arial"/>
          <w:sz w:val="24"/>
          <w:szCs w:val="24"/>
        </w:rPr>
        <w:t xml:space="preserve"> a taxpayer failing to take reasonable care to </w:t>
      </w:r>
      <w:r w:rsidR="00FA23C0" w:rsidRPr="006D1F6B">
        <w:rPr>
          <w:rFonts w:ascii="Arial" w:hAnsi="Arial" w:cs="Arial"/>
          <w:sz w:val="24"/>
          <w:szCs w:val="24"/>
        </w:rPr>
        <w:t>instances where the</w:t>
      </w:r>
      <w:r w:rsidR="002B748B" w:rsidRPr="006D1F6B">
        <w:rPr>
          <w:rFonts w:ascii="Arial" w:hAnsi="Arial" w:cs="Arial"/>
          <w:sz w:val="24"/>
          <w:szCs w:val="24"/>
        </w:rPr>
        <w:t xml:space="preserve"> taxpayer </w:t>
      </w:r>
      <w:r w:rsidR="00FA23C0" w:rsidRPr="006D1F6B">
        <w:rPr>
          <w:rFonts w:ascii="Arial" w:hAnsi="Arial" w:cs="Arial"/>
          <w:sz w:val="24"/>
          <w:szCs w:val="24"/>
        </w:rPr>
        <w:t>is</w:t>
      </w:r>
      <w:r w:rsidR="002B748B" w:rsidRPr="006D1F6B">
        <w:rPr>
          <w:rFonts w:ascii="Arial" w:hAnsi="Arial" w:cs="Arial"/>
          <w:sz w:val="24"/>
          <w:szCs w:val="24"/>
        </w:rPr>
        <w:t xml:space="preserve"> grossly negligent. </w:t>
      </w:r>
    </w:p>
    <w:p w14:paraId="6C5378C0" w14:textId="77777777" w:rsidR="002B748B" w:rsidRPr="002B748B" w:rsidRDefault="002B748B" w:rsidP="007A4CFC">
      <w:pPr>
        <w:pStyle w:val="ListParagraph"/>
        <w:ind w:left="0"/>
        <w:rPr>
          <w:rFonts w:ascii="Arial" w:hAnsi="Arial" w:cs="Arial"/>
          <w:sz w:val="24"/>
          <w:szCs w:val="24"/>
        </w:rPr>
      </w:pPr>
    </w:p>
    <w:p w14:paraId="594C509D" w14:textId="0CF32318" w:rsidR="00FA23C0" w:rsidRPr="006D1F6B" w:rsidRDefault="006D1F6B" w:rsidP="006D1F6B">
      <w:pPr>
        <w:rPr>
          <w:rFonts w:ascii="Arial" w:hAnsi="Arial" w:cs="Arial"/>
          <w:sz w:val="24"/>
          <w:szCs w:val="24"/>
        </w:rPr>
      </w:pPr>
      <w:r w:rsidRPr="003C1876">
        <w:rPr>
          <w:rFonts w:ascii="Arial" w:hAnsi="Arial" w:cs="Arial"/>
          <w:sz w:val="24"/>
          <w:szCs w:val="24"/>
        </w:rPr>
        <w:t>[28]</w:t>
      </w:r>
      <w:r w:rsidRPr="003C1876">
        <w:rPr>
          <w:rFonts w:ascii="Arial" w:hAnsi="Arial" w:cs="Arial"/>
          <w:sz w:val="24"/>
          <w:szCs w:val="24"/>
        </w:rPr>
        <w:tab/>
      </w:r>
      <w:r w:rsidR="00113748" w:rsidRPr="006D1F6B">
        <w:rPr>
          <w:rFonts w:ascii="Arial" w:hAnsi="Arial" w:cs="Arial"/>
          <w:sz w:val="24"/>
          <w:szCs w:val="24"/>
        </w:rPr>
        <w:t xml:space="preserve">In this </w:t>
      </w:r>
      <w:r w:rsidR="008079B9" w:rsidRPr="006D1F6B">
        <w:rPr>
          <w:rFonts w:ascii="Arial" w:hAnsi="Arial" w:cs="Arial"/>
          <w:sz w:val="24"/>
          <w:szCs w:val="24"/>
        </w:rPr>
        <w:t>matter</w:t>
      </w:r>
      <w:r w:rsidR="00113748" w:rsidRPr="006D1F6B">
        <w:rPr>
          <w:rFonts w:ascii="Arial" w:hAnsi="Arial" w:cs="Arial"/>
          <w:sz w:val="24"/>
          <w:szCs w:val="24"/>
        </w:rPr>
        <w:t xml:space="preserve">, </w:t>
      </w:r>
      <w:r w:rsidR="001A2BAC" w:rsidRPr="006D1F6B">
        <w:rPr>
          <w:rFonts w:ascii="Arial" w:hAnsi="Arial" w:cs="Arial"/>
          <w:sz w:val="24"/>
          <w:szCs w:val="24"/>
        </w:rPr>
        <w:t>SARS</w:t>
      </w:r>
      <w:r w:rsidR="008E3369" w:rsidRPr="006D1F6B">
        <w:rPr>
          <w:rFonts w:ascii="Arial" w:hAnsi="Arial" w:cs="Arial"/>
          <w:sz w:val="24"/>
          <w:szCs w:val="24"/>
        </w:rPr>
        <w:t xml:space="preserve"> imposed an understatement penalty of R1 460</w:t>
      </w:r>
      <w:r w:rsidR="0087676C" w:rsidRPr="006D1F6B">
        <w:rPr>
          <w:rFonts w:ascii="Arial" w:hAnsi="Arial" w:cs="Arial"/>
          <w:sz w:val="24"/>
          <w:szCs w:val="24"/>
        </w:rPr>
        <w:t> </w:t>
      </w:r>
      <w:r w:rsidR="008E3369" w:rsidRPr="006D1F6B">
        <w:rPr>
          <w:rFonts w:ascii="Arial" w:hAnsi="Arial" w:cs="Arial"/>
          <w:sz w:val="24"/>
          <w:szCs w:val="24"/>
        </w:rPr>
        <w:t>092</w:t>
      </w:r>
      <w:r w:rsidR="0087676C" w:rsidRPr="006D1F6B">
        <w:rPr>
          <w:rFonts w:ascii="Arial" w:hAnsi="Arial" w:cs="Arial"/>
          <w:sz w:val="24"/>
          <w:szCs w:val="24"/>
        </w:rPr>
        <w:t>,</w:t>
      </w:r>
      <w:r w:rsidR="008E3369" w:rsidRPr="006D1F6B">
        <w:rPr>
          <w:rFonts w:ascii="Arial" w:hAnsi="Arial" w:cs="Arial"/>
          <w:sz w:val="24"/>
          <w:szCs w:val="24"/>
        </w:rPr>
        <w:t xml:space="preserve"> </w:t>
      </w:r>
      <w:r w:rsidR="0087676C" w:rsidRPr="006D1F6B">
        <w:rPr>
          <w:rFonts w:ascii="Arial" w:hAnsi="Arial" w:cs="Arial"/>
          <w:sz w:val="24"/>
          <w:szCs w:val="24"/>
        </w:rPr>
        <w:t xml:space="preserve">which translated to a penalty of 50% levied against </w:t>
      </w:r>
      <w:r w:rsidR="004F65BC" w:rsidRPr="006D1F6B">
        <w:rPr>
          <w:rFonts w:ascii="Arial" w:hAnsi="Arial" w:cs="Arial"/>
          <w:sz w:val="24"/>
          <w:szCs w:val="24"/>
        </w:rPr>
        <w:t xml:space="preserve">the </w:t>
      </w:r>
      <w:r w:rsidR="001A2BAC" w:rsidRPr="006D1F6B">
        <w:rPr>
          <w:rFonts w:ascii="Arial" w:hAnsi="Arial" w:cs="Arial"/>
          <w:sz w:val="24"/>
          <w:szCs w:val="24"/>
        </w:rPr>
        <w:t>Thistle</w:t>
      </w:r>
      <w:r w:rsidR="00FA23C0" w:rsidRPr="006D1F6B">
        <w:rPr>
          <w:rFonts w:ascii="Arial" w:hAnsi="Arial" w:cs="Arial"/>
          <w:sz w:val="24"/>
          <w:szCs w:val="24"/>
        </w:rPr>
        <w:t xml:space="preserve"> Trust</w:t>
      </w:r>
      <w:r w:rsidR="00113748" w:rsidRPr="006D1F6B">
        <w:rPr>
          <w:rFonts w:ascii="Arial" w:hAnsi="Arial" w:cs="Arial"/>
          <w:sz w:val="24"/>
          <w:szCs w:val="24"/>
        </w:rPr>
        <w:t>.</w:t>
      </w:r>
      <w:r w:rsidR="008F712E" w:rsidRPr="006D1F6B">
        <w:rPr>
          <w:rFonts w:ascii="Arial" w:hAnsi="Arial" w:cs="Arial"/>
          <w:sz w:val="24"/>
          <w:szCs w:val="24"/>
        </w:rPr>
        <w:t xml:space="preserve"> </w:t>
      </w:r>
      <w:r w:rsidR="00FA23C0" w:rsidRPr="006D1F6B">
        <w:rPr>
          <w:rFonts w:ascii="Arial" w:hAnsi="Arial" w:cs="Arial"/>
          <w:sz w:val="24"/>
          <w:szCs w:val="24"/>
        </w:rPr>
        <w:t xml:space="preserve">As set out in </w:t>
      </w:r>
      <w:r w:rsidR="008079B9" w:rsidRPr="006D1F6B">
        <w:rPr>
          <w:rFonts w:ascii="Arial" w:hAnsi="Arial" w:cs="Arial"/>
          <w:sz w:val="24"/>
          <w:szCs w:val="24"/>
        </w:rPr>
        <w:t>the table, a</w:t>
      </w:r>
      <w:r w:rsidR="008F712E" w:rsidRPr="006D1F6B">
        <w:rPr>
          <w:rFonts w:ascii="Arial" w:hAnsi="Arial" w:cs="Arial"/>
          <w:sz w:val="24"/>
          <w:szCs w:val="24"/>
        </w:rPr>
        <w:t xml:space="preserve"> penalty of 50% for </w:t>
      </w:r>
      <w:r w:rsidR="002B748B" w:rsidRPr="006D1F6B">
        <w:rPr>
          <w:rFonts w:ascii="Arial" w:hAnsi="Arial" w:cs="Arial"/>
          <w:sz w:val="24"/>
          <w:szCs w:val="24"/>
        </w:rPr>
        <w:t>a</w:t>
      </w:r>
      <w:r w:rsidR="008F712E" w:rsidRPr="006D1F6B">
        <w:rPr>
          <w:rFonts w:ascii="Arial" w:hAnsi="Arial" w:cs="Arial"/>
          <w:sz w:val="24"/>
          <w:szCs w:val="24"/>
        </w:rPr>
        <w:t xml:space="preserve"> </w:t>
      </w:r>
      <w:r w:rsidR="002B748B" w:rsidRPr="006D1F6B">
        <w:rPr>
          <w:rFonts w:ascii="Arial" w:hAnsi="Arial" w:cs="Arial"/>
          <w:sz w:val="24"/>
          <w:szCs w:val="24"/>
        </w:rPr>
        <w:t xml:space="preserve">standard </w:t>
      </w:r>
      <w:r w:rsidR="008F712E" w:rsidRPr="006D1F6B">
        <w:rPr>
          <w:rFonts w:ascii="Arial" w:hAnsi="Arial" w:cs="Arial"/>
          <w:sz w:val="24"/>
          <w:szCs w:val="24"/>
        </w:rPr>
        <w:t>case</w:t>
      </w:r>
      <w:r w:rsidR="008079B9" w:rsidRPr="006D1F6B">
        <w:rPr>
          <w:rFonts w:ascii="Arial" w:hAnsi="Arial" w:cs="Arial"/>
          <w:sz w:val="24"/>
          <w:szCs w:val="24"/>
        </w:rPr>
        <w:t xml:space="preserve"> relates to a taxpayer having </w:t>
      </w:r>
      <w:r w:rsidR="008F712E" w:rsidRPr="006D1F6B">
        <w:rPr>
          <w:rFonts w:ascii="Arial" w:hAnsi="Arial" w:cs="Arial"/>
          <w:sz w:val="24"/>
          <w:szCs w:val="24"/>
        </w:rPr>
        <w:t xml:space="preserve">‘no reasonable grounds for the </w:t>
      </w:r>
      <w:r w:rsidR="00B7412D" w:rsidRPr="006D1F6B">
        <w:rPr>
          <w:rFonts w:ascii="Arial" w:hAnsi="Arial" w:cs="Arial"/>
          <w:sz w:val="24"/>
          <w:szCs w:val="24"/>
        </w:rPr>
        <w:t>“</w:t>
      </w:r>
      <w:r w:rsidR="008F712E" w:rsidRPr="006D1F6B">
        <w:rPr>
          <w:rFonts w:ascii="Arial" w:hAnsi="Arial" w:cs="Arial"/>
          <w:sz w:val="24"/>
          <w:szCs w:val="24"/>
        </w:rPr>
        <w:t>tax position</w:t>
      </w:r>
      <w:r w:rsidR="00B7412D" w:rsidRPr="006D1F6B">
        <w:rPr>
          <w:rFonts w:ascii="Arial" w:hAnsi="Arial" w:cs="Arial"/>
          <w:sz w:val="24"/>
          <w:szCs w:val="24"/>
        </w:rPr>
        <w:t>”</w:t>
      </w:r>
      <w:r w:rsidR="008F712E" w:rsidRPr="006D1F6B">
        <w:rPr>
          <w:rFonts w:ascii="Arial" w:hAnsi="Arial" w:cs="Arial"/>
          <w:sz w:val="24"/>
          <w:szCs w:val="24"/>
        </w:rPr>
        <w:t xml:space="preserve"> taken by the taxpayer</w:t>
      </w:r>
      <w:r w:rsidR="008079B9" w:rsidRPr="006D1F6B">
        <w:rPr>
          <w:rFonts w:ascii="Arial" w:hAnsi="Arial" w:cs="Arial"/>
          <w:sz w:val="24"/>
          <w:szCs w:val="24"/>
        </w:rPr>
        <w:t>’</w:t>
      </w:r>
      <w:r w:rsidR="008F712E" w:rsidRPr="006D1F6B">
        <w:rPr>
          <w:rFonts w:ascii="Arial" w:hAnsi="Arial" w:cs="Arial"/>
          <w:sz w:val="24"/>
          <w:szCs w:val="24"/>
        </w:rPr>
        <w:t xml:space="preserve">. </w:t>
      </w:r>
      <w:r w:rsidR="00FA23C0" w:rsidRPr="006D1F6B">
        <w:rPr>
          <w:rFonts w:ascii="Arial" w:hAnsi="Arial" w:cs="Arial"/>
          <w:sz w:val="24"/>
          <w:szCs w:val="24"/>
        </w:rPr>
        <w:t xml:space="preserve">It is common cause that </w:t>
      </w:r>
      <w:r w:rsidR="004F65BC" w:rsidRPr="006D1F6B">
        <w:rPr>
          <w:rFonts w:ascii="Arial" w:hAnsi="Arial" w:cs="Arial"/>
          <w:sz w:val="24"/>
          <w:szCs w:val="24"/>
        </w:rPr>
        <w:t xml:space="preserve">the </w:t>
      </w:r>
      <w:r w:rsidR="00FA23C0" w:rsidRPr="006D1F6B">
        <w:rPr>
          <w:rFonts w:ascii="Arial" w:hAnsi="Arial" w:cs="Arial"/>
          <w:sz w:val="24"/>
          <w:szCs w:val="24"/>
        </w:rPr>
        <w:t xml:space="preserve">Thistle Trust had obtained a legal opinion which </w:t>
      </w:r>
      <w:r w:rsidR="00480A15" w:rsidRPr="006D1F6B">
        <w:rPr>
          <w:rFonts w:ascii="Arial" w:hAnsi="Arial" w:cs="Arial"/>
          <w:sz w:val="24"/>
          <w:szCs w:val="24"/>
        </w:rPr>
        <w:t>another entity within the Zenprop Group had sought</w:t>
      </w:r>
      <w:r w:rsidR="00FA23C0" w:rsidRPr="006D1F6B">
        <w:rPr>
          <w:rFonts w:ascii="Arial" w:hAnsi="Arial" w:cs="Arial"/>
          <w:sz w:val="24"/>
          <w:szCs w:val="24"/>
        </w:rPr>
        <w:t xml:space="preserve">. </w:t>
      </w:r>
    </w:p>
    <w:p w14:paraId="5FBD8268" w14:textId="77777777" w:rsidR="00FA23C0" w:rsidRPr="003C1876" w:rsidRDefault="00FA23C0">
      <w:pPr>
        <w:pStyle w:val="ListParagraph"/>
        <w:ind w:left="0"/>
        <w:rPr>
          <w:rFonts w:ascii="Arial" w:hAnsi="Arial" w:cs="Arial"/>
          <w:sz w:val="24"/>
          <w:szCs w:val="24"/>
        </w:rPr>
      </w:pPr>
    </w:p>
    <w:p w14:paraId="0440B4CA" w14:textId="61BAF4A4" w:rsidR="005E6A47" w:rsidRPr="006D1F6B" w:rsidRDefault="006D1F6B" w:rsidP="006D1F6B">
      <w:pPr>
        <w:rPr>
          <w:rFonts w:ascii="Arial" w:hAnsi="Arial" w:cs="Arial"/>
          <w:sz w:val="24"/>
          <w:szCs w:val="24"/>
        </w:rPr>
      </w:pPr>
      <w:r w:rsidRPr="009006C4">
        <w:rPr>
          <w:rFonts w:ascii="Arial" w:hAnsi="Arial" w:cs="Arial"/>
          <w:sz w:val="24"/>
          <w:szCs w:val="24"/>
        </w:rPr>
        <w:t>[29]</w:t>
      </w:r>
      <w:r w:rsidRPr="009006C4">
        <w:rPr>
          <w:rFonts w:ascii="Arial" w:hAnsi="Arial" w:cs="Arial"/>
          <w:sz w:val="24"/>
          <w:szCs w:val="24"/>
        </w:rPr>
        <w:tab/>
      </w:r>
      <w:r w:rsidR="00FA23C0" w:rsidRPr="006D1F6B">
        <w:rPr>
          <w:rFonts w:ascii="Arial" w:hAnsi="Arial" w:cs="Arial"/>
          <w:sz w:val="24"/>
          <w:szCs w:val="24"/>
        </w:rPr>
        <w:t xml:space="preserve">SARS initially adopted the position that, in the light of the legal opinion, it should be concluded that </w:t>
      </w:r>
      <w:r w:rsidR="004F65BC" w:rsidRPr="006D1F6B">
        <w:rPr>
          <w:rFonts w:ascii="Arial" w:hAnsi="Arial" w:cs="Arial"/>
          <w:sz w:val="24"/>
          <w:szCs w:val="24"/>
        </w:rPr>
        <w:t xml:space="preserve">the </w:t>
      </w:r>
      <w:r w:rsidR="00FA23C0" w:rsidRPr="006D1F6B">
        <w:rPr>
          <w:rFonts w:ascii="Arial" w:hAnsi="Arial" w:cs="Arial"/>
          <w:sz w:val="24"/>
          <w:szCs w:val="24"/>
        </w:rPr>
        <w:t xml:space="preserve">Thistle Trust had </w:t>
      </w:r>
      <w:r w:rsidR="006D2A3E" w:rsidRPr="006D1F6B">
        <w:rPr>
          <w:rFonts w:ascii="Arial" w:hAnsi="Arial" w:cs="Arial"/>
          <w:sz w:val="24"/>
          <w:szCs w:val="24"/>
        </w:rPr>
        <w:t xml:space="preserve">consciously and deliberately adopted the position it took when it elected to distribute the amounts of the capital gains as it did. </w:t>
      </w:r>
      <w:r w:rsidR="00A91455" w:rsidRPr="006D1F6B">
        <w:rPr>
          <w:rFonts w:ascii="Arial" w:hAnsi="Arial" w:cs="Arial"/>
          <w:sz w:val="24"/>
          <w:szCs w:val="24"/>
        </w:rPr>
        <w:t xml:space="preserve">However, during the </w:t>
      </w:r>
      <w:r w:rsidR="00480A15" w:rsidRPr="006D1F6B">
        <w:rPr>
          <w:rFonts w:ascii="Arial" w:hAnsi="Arial" w:cs="Arial"/>
          <w:sz w:val="24"/>
          <w:szCs w:val="24"/>
        </w:rPr>
        <w:t xml:space="preserve">argument before us, counsel for SARS conceded, correctly, that the understatement by </w:t>
      </w:r>
      <w:r w:rsidR="004F65BC" w:rsidRPr="006D1F6B">
        <w:rPr>
          <w:rFonts w:ascii="Arial" w:hAnsi="Arial" w:cs="Arial"/>
          <w:sz w:val="24"/>
          <w:szCs w:val="24"/>
        </w:rPr>
        <w:t xml:space="preserve">the </w:t>
      </w:r>
      <w:r w:rsidR="00480A15" w:rsidRPr="006D1F6B">
        <w:rPr>
          <w:rFonts w:ascii="Arial" w:hAnsi="Arial" w:cs="Arial"/>
          <w:sz w:val="24"/>
          <w:szCs w:val="24"/>
        </w:rPr>
        <w:t>Thistle Trust was</w:t>
      </w:r>
      <w:r w:rsidR="00A91455" w:rsidRPr="006D1F6B">
        <w:rPr>
          <w:rFonts w:ascii="Arial" w:hAnsi="Arial" w:cs="Arial"/>
          <w:sz w:val="24"/>
          <w:szCs w:val="24"/>
        </w:rPr>
        <w:t xml:space="preserve"> </w:t>
      </w:r>
      <w:r w:rsidR="00A97D86" w:rsidRPr="006D1F6B">
        <w:rPr>
          <w:rFonts w:ascii="Arial" w:hAnsi="Arial" w:cs="Arial"/>
          <w:sz w:val="24"/>
          <w:szCs w:val="24"/>
        </w:rPr>
        <w:t xml:space="preserve">a </w:t>
      </w:r>
      <w:r w:rsidR="00A97D86" w:rsidRPr="006D1F6B">
        <w:rPr>
          <w:rFonts w:ascii="Arial" w:hAnsi="Arial" w:cs="Arial"/>
          <w:i/>
          <w:sz w:val="24"/>
          <w:szCs w:val="24"/>
        </w:rPr>
        <w:t xml:space="preserve">bona </w:t>
      </w:r>
      <w:r w:rsidR="000018B1" w:rsidRPr="006D1F6B">
        <w:rPr>
          <w:rFonts w:ascii="Arial" w:hAnsi="Arial" w:cs="Arial"/>
          <w:i/>
          <w:sz w:val="24"/>
          <w:szCs w:val="24"/>
        </w:rPr>
        <w:t>fide</w:t>
      </w:r>
      <w:r w:rsidR="000018B1" w:rsidRPr="006D1F6B">
        <w:rPr>
          <w:rFonts w:ascii="Arial" w:hAnsi="Arial" w:cs="Arial"/>
          <w:sz w:val="24"/>
          <w:szCs w:val="24"/>
        </w:rPr>
        <w:t xml:space="preserve"> and </w:t>
      </w:r>
      <w:r w:rsidR="00A97D86" w:rsidRPr="006D1F6B">
        <w:rPr>
          <w:rFonts w:ascii="Arial" w:hAnsi="Arial" w:cs="Arial"/>
          <w:sz w:val="24"/>
          <w:szCs w:val="24"/>
        </w:rPr>
        <w:t>inadv</w:t>
      </w:r>
      <w:r w:rsidR="00E14400" w:rsidRPr="006D1F6B">
        <w:rPr>
          <w:rFonts w:ascii="Arial" w:hAnsi="Arial" w:cs="Arial"/>
          <w:sz w:val="24"/>
          <w:szCs w:val="24"/>
        </w:rPr>
        <w:t xml:space="preserve">ertent error </w:t>
      </w:r>
      <w:r w:rsidR="00A91455" w:rsidRPr="006D1F6B">
        <w:rPr>
          <w:rFonts w:ascii="Arial" w:hAnsi="Arial" w:cs="Arial"/>
          <w:sz w:val="24"/>
          <w:szCs w:val="24"/>
        </w:rPr>
        <w:t xml:space="preserve">as </w:t>
      </w:r>
      <w:r w:rsidR="00E14400" w:rsidRPr="006D1F6B">
        <w:rPr>
          <w:rFonts w:ascii="Arial" w:hAnsi="Arial" w:cs="Arial"/>
          <w:sz w:val="24"/>
          <w:szCs w:val="24"/>
        </w:rPr>
        <w:t>it had</w:t>
      </w:r>
      <w:r w:rsidR="00D57731" w:rsidRPr="006D1F6B">
        <w:rPr>
          <w:rFonts w:ascii="Arial" w:hAnsi="Arial" w:cs="Arial"/>
          <w:sz w:val="24"/>
          <w:szCs w:val="24"/>
        </w:rPr>
        <w:t xml:space="preserve"> </w:t>
      </w:r>
      <w:r w:rsidR="000018B1" w:rsidRPr="006D1F6B">
        <w:rPr>
          <w:rFonts w:ascii="Arial" w:hAnsi="Arial" w:cs="Arial"/>
          <w:sz w:val="24"/>
          <w:szCs w:val="24"/>
        </w:rPr>
        <w:lastRenderedPageBreak/>
        <w:t>believed that s 25B was applicable to its case</w:t>
      </w:r>
      <w:r w:rsidR="00A97D86" w:rsidRPr="006D1F6B">
        <w:rPr>
          <w:rFonts w:ascii="Arial" w:hAnsi="Arial" w:cs="Arial"/>
          <w:sz w:val="24"/>
          <w:szCs w:val="24"/>
        </w:rPr>
        <w:t>.</w:t>
      </w:r>
      <w:r w:rsidR="00A91455" w:rsidRPr="006D1F6B">
        <w:rPr>
          <w:rFonts w:ascii="Arial" w:hAnsi="Arial" w:cs="Arial"/>
          <w:sz w:val="24"/>
          <w:szCs w:val="24"/>
        </w:rPr>
        <w:t xml:space="preserve"> T</w:t>
      </w:r>
      <w:r w:rsidR="00FB09C1" w:rsidRPr="006D1F6B">
        <w:rPr>
          <w:rFonts w:ascii="Arial" w:hAnsi="Arial" w:cs="Arial"/>
          <w:sz w:val="24"/>
          <w:szCs w:val="24"/>
        </w:rPr>
        <w:t>hough</w:t>
      </w:r>
      <w:r w:rsidR="00A91455" w:rsidRPr="006D1F6B">
        <w:rPr>
          <w:rFonts w:ascii="Arial" w:hAnsi="Arial" w:cs="Arial"/>
          <w:sz w:val="24"/>
          <w:szCs w:val="24"/>
        </w:rPr>
        <w:t xml:space="preserve"> </w:t>
      </w:r>
      <w:r w:rsidR="004F65BC" w:rsidRPr="006D1F6B">
        <w:rPr>
          <w:rFonts w:ascii="Arial" w:hAnsi="Arial" w:cs="Arial"/>
          <w:sz w:val="24"/>
          <w:szCs w:val="24"/>
        </w:rPr>
        <w:t xml:space="preserve">the </w:t>
      </w:r>
      <w:r w:rsidR="00D57731" w:rsidRPr="006D1F6B">
        <w:rPr>
          <w:rFonts w:ascii="Arial" w:hAnsi="Arial" w:cs="Arial"/>
          <w:sz w:val="24"/>
          <w:szCs w:val="24"/>
        </w:rPr>
        <w:t>Thistle</w:t>
      </w:r>
      <w:r w:rsidR="00FB09C1" w:rsidRPr="006D1F6B">
        <w:rPr>
          <w:rFonts w:ascii="Arial" w:hAnsi="Arial" w:cs="Arial"/>
          <w:sz w:val="24"/>
          <w:szCs w:val="24"/>
        </w:rPr>
        <w:t xml:space="preserve"> </w:t>
      </w:r>
      <w:r w:rsidR="004F65BC" w:rsidRPr="006D1F6B">
        <w:rPr>
          <w:rFonts w:ascii="Arial" w:hAnsi="Arial" w:cs="Arial"/>
          <w:sz w:val="24"/>
          <w:szCs w:val="24"/>
        </w:rPr>
        <w:t xml:space="preserve">Trust </w:t>
      </w:r>
      <w:r w:rsidR="00FB09C1" w:rsidRPr="006D1F6B">
        <w:rPr>
          <w:rFonts w:ascii="Arial" w:hAnsi="Arial" w:cs="Arial"/>
          <w:sz w:val="24"/>
          <w:szCs w:val="24"/>
        </w:rPr>
        <w:t>erred, it did so in good faith and</w:t>
      </w:r>
      <w:r w:rsidR="00D57731" w:rsidRPr="006D1F6B">
        <w:rPr>
          <w:rFonts w:ascii="Arial" w:hAnsi="Arial" w:cs="Arial"/>
          <w:sz w:val="24"/>
          <w:szCs w:val="24"/>
        </w:rPr>
        <w:t xml:space="preserve"> acted</w:t>
      </w:r>
      <w:r w:rsidR="00FB09C1" w:rsidRPr="006D1F6B">
        <w:rPr>
          <w:rFonts w:ascii="Arial" w:hAnsi="Arial" w:cs="Arial"/>
          <w:sz w:val="24"/>
          <w:szCs w:val="24"/>
        </w:rPr>
        <w:t xml:space="preserve"> unintentionally.</w:t>
      </w:r>
      <w:r w:rsidR="00A91455" w:rsidRPr="006D1F6B">
        <w:rPr>
          <w:rFonts w:ascii="Arial" w:hAnsi="Arial" w:cs="Arial"/>
          <w:sz w:val="24"/>
          <w:szCs w:val="24"/>
        </w:rPr>
        <w:t xml:space="preserve"> </w:t>
      </w:r>
      <w:r w:rsidR="00DC505B" w:rsidRPr="006D1F6B">
        <w:rPr>
          <w:rFonts w:ascii="Arial" w:hAnsi="Arial" w:cs="Arial"/>
          <w:sz w:val="24"/>
          <w:szCs w:val="24"/>
        </w:rPr>
        <w:t xml:space="preserve">In the circumstances, </w:t>
      </w:r>
      <w:r w:rsidR="00E14400" w:rsidRPr="006D1F6B">
        <w:rPr>
          <w:rFonts w:ascii="Arial" w:hAnsi="Arial" w:cs="Arial"/>
          <w:sz w:val="24"/>
          <w:szCs w:val="24"/>
        </w:rPr>
        <w:t xml:space="preserve">it was conceded that </w:t>
      </w:r>
      <w:r w:rsidR="00D57731" w:rsidRPr="006D1F6B">
        <w:rPr>
          <w:rFonts w:ascii="Arial" w:hAnsi="Arial" w:cs="Arial"/>
          <w:sz w:val="24"/>
          <w:szCs w:val="24"/>
        </w:rPr>
        <w:t>SARS</w:t>
      </w:r>
      <w:r w:rsidR="00DC505B" w:rsidRPr="006D1F6B">
        <w:rPr>
          <w:rFonts w:ascii="Arial" w:hAnsi="Arial" w:cs="Arial"/>
          <w:sz w:val="24"/>
          <w:szCs w:val="24"/>
        </w:rPr>
        <w:t xml:space="preserve"> </w:t>
      </w:r>
      <w:r w:rsidR="00E14400" w:rsidRPr="006D1F6B">
        <w:rPr>
          <w:rFonts w:ascii="Arial" w:hAnsi="Arial" w:cs="Arial"/>
          <w:sz w:val="24"/>
          <w:szCs w:val="24"/>
        </w:rPr>
        <w:t xml:space="preserve">was </w:t>
      </w:r>
      <w:r w:rsidR="00DC505B" w:rsidRPr="006D1F6B">
        <w:rPr>
          <w:rFonts w:ascii="Arial" w:hAnsi="Arial" w:cs="Arial"/>
          <w:sz w:val="24"/>
          <w:szCs w:val="24"/>
        </w:rPr>
        <w:t xml:space="preserve">not entitled to </w:t>
      </w:r>
      <w:r w:rsidR="00FB09C1" w:rsidRPr="006D1F6B">
        <w:rPr>
          <w:rFonts w:ascii="Arial" w:hAnsi="Arial" w:cs="Arial"/>
          <w:sz w:val="24"/>
          <w:szCs w:val="24"/>
        </w:rPr>
        <w:t xml:space="preserve">levy the </w:t>
      </w:r>
      <w:r w:rsidR="00DC505B" w:rsidRPr="006D1F6B">
        <w:rPr>
          <w:rFonts w:ascii="Arial" w:hAnsi="Arial" w:cs="Arial"/>
          <w:sz w:val="24"/>
          <w:szCs w:val="24"/>
        </w:rPr>
        <w:t xml:space="preserve">understatement </w:t>
      </w:r>
      <w:r w:rsidR="00FB09C1" w:rsidRPr="006D1F6B">
        <w:rPr>
          <w:rFonts w:ascii="Arial" w:hAnsi="Arial" w:cs="Arial"/>
          <w:sz w:val="24"/>
          <w:szCs w:val="24"/>
        </w:rPr>
        <w:t>penalty</w:t>
      </w:r>
      <w:r w:rsidR="00E14400" w:rsidRPr="006D1F6B">
        <w:rPr>
          <w:rFonts w:ascii="Arial" w:hAnsi="Arial" w:cs="Arial"/>
          <w:sz w:val="24"/>
          <w:szCs w:val="24"/>
        </w:rPr>
        <w:t>.</w:t>
      </w:r>
      <w:r w:rsidR="00FB09C1" w:rsidRPr="006D1F6B">
        <w:rPr>
          <w:rFonts w:ascii="Arial" w:hAnsi="Arial" w:cs="Arial"/>
          <w:sz w:val="24"/>
          <w:szCs w:val="24"/>
        </w:rPr>
        <w:t xml:space="preserve"> </w:t>
      </w:r>
    </w:p>
    <w:p w14:paraId="4164572A" w14:textId="77777777" w:rsidR="008F1FAC" w:rsidRDefault="008F1FAC" w:rsidP="007A4CFC">
      <w:pPr>
        <w:pStyle w:val="ListParagraph"/>
        <w:ind w:left="0"/>
        <w:rPr>
          <w:rFonts w:ascii="Arial" w:hAnsi="Arial" w:cs="Arial"/>
          <w:sz w:val="24"/>
          <w:szCs w:val="24"/>
        </w:rPr>
      </w:pPr>
    </w:p>
    <w:p w14:paraId="4170BF6C" w14:textId="77777777" w:rsidR="004D1496" w:rsidRPr="00330B97" w:rsidRDefault="005E6A47">
      <w:pPr>
        <w:pStyle w:val="ListParagraph"/>
        <w:ind w:left="0"/>
        <w:rPr>
          <w:rFonts w:ascii="Arial" w:hAnsi="Arial" w:cs="Arial"/>
          <w:b/>
          <w:sz w:val="24"/>
          <w:szCs w:val="24"/>
        </w:rPr>
      </w:pPr>
      <w:r w:rsidRPr="00330B97">
        <w:rPr>
          <w:rFonts w:ascii="Arial" w:hAnsi="Arial" w:cs="Arial"/>
          <w:b/>
          <w:sz w:val="24"/>
          <w:szCs w:val="24"/>
        </w:rPr>
        <w:t xml:space="preserve">Interest </w:t>
      </w:r>
    </w:p>
    <w:p w14:paraId="55A1D377" w14:textId="49E06D27" w:rsidR="0093210D" w:rsidRPr="006D1F6B" w:rsidRDefault="006D1F6B" w:rsidP="006D1F6B">
      <w:pPr>
        <w:rPr>
          <w:rFonts w:ascii="Arial" w:hAnsi="Arial" w:cs="Arial"/>
          <w:sz w:val="24"/>
          <w:szCs w:val="24"/>
        </w:rPr>
      </w:pPr>
      <w:r>
        <w:rPr>
          <w:rFonts w:ascii="Arial" w:hAnsi="Arial" w:cs="Arial"/>
          <w:sz w:val="24"/>
          <w:szCs w:val="24"/>
        </w:rPr>
        <w:t>[30]</w:t>
      </w:r>
      <w:r>
        <w:rPr>
          <w:rFonts w:ascii="Arial" w:hAnsi="Arial" w:cs="Arial"/>
          <w:sz w:val="24"/>
          <w:szCs w:val="24"/>
        </w:rPr>
        <w:tab/>
      </w:r>
      <w:r w:rsidR="000F2C53" w:rsidRPr="006D1F6B">
        <w:rPr>
          <w:rFonts w:ascii="Arial" w:hAnsi="Arial" w:cs="Arial"/>
          <w:sz w:val="24"/>
          <w:szCs w:val="24"/>
        </w:rPr>
        <w:t xml:space="preserve">Lastly, turning to the matter of interest, </w:t>
      </w:r>
      <w:r w:rsidR="004F65BC" w:rsidRPr="006D1F6B">
        <w:rPr>
          <w:rFonts w:ascii="Arial" w:hAnsi="Arial" w:cs="Arial"/>
          <w:sz w:val="24"/>
          <w:szCs w:val="24"/>
        </w:rPr>
        <w:t xml:space="preserve">as </w:t>
      </w:r>
      <w:r w:rsidR="000F2C53" w:rsidRPr="006D1F6B">
        <w:rPr>
          <w:rFonts w:ascii="Arial" w:hAnsi="Arial" w:cs="Arial"/>
          <w:sz w:val="24"/>
          <w:szCs w:val="24"/>
        </w:rPr>
        <w:t xml:space="preserve">the capital gains </w:t>
      </w:r>
      <w:r w:rsidR="004F65BC" w:rsidRPr="006D1F6B">
        <w:rPr>
          <w:rFonts w:ascii="Arial" w:hAnsi="Arial" w:cs="Arial"/>
          <w:sz w:val="24"/>
          <w:szCs w:val="24"/>
        </w:rPr>
        <w:t xml:space="preserve">tax </w:t>
      </w:r>
      <w:r w:rsidR="000F2C53" w:rsidRPr="006D1F6B">
        <w:rPr>
          <w:rFonts w:ascii="Arial" w:hAnsi="Arial" w:cs="Arial"/>
          <w:sz w:val="24"/>
          <w:szCs w:val="24"/>
        </w:rPr>
        <w:t xml:space="preserve">assessment favours </w:t>
      </w:r>
      <w:r w:rsidR="00D57731" w:rsidRPr="006D1F6B">
        <w:rPr>
          <w:rFonts w:ascii="Arial" w:hAnsi="Arial" w:cs="Arial"/>
          <w:sz w:val="24"/>
          <w:szCs w:val="24"/>
        </w:rPr>
        <w:t>SARS</w:t>
      </w:r>
      <w:r w:rsidR="000F2C53" w:rsidRPr="006D1F6B">
        <w:rPr>
          <w:rFonts w:ascii="Arial" w:hAnsi="Arial" w:cs="Arial"/>
          <w:sz w:val="24"/>
          <w:szCs w:val="24"/>
        </w:rPr>
        <w:t xml:space="preserve">, </w:t>
      </w:r>
      <w:r w:rsidR="004F65BC" w:rsidRPr="006D1F6B">
        <w:rPr>
          <w:rFonts w:ascii="Arial" w:hAnsi="Arial" w:cs="Arial"/>
          <w:sz w:val="24"/>
          <w:szCs w:val="24"/>
        </w:rPr>
        <w:t xml:space="preserve">the </w:t>
      </w:r>
      <w:r w:rsidR="00D57731" w:rsidRPr="006D1F6B">
        <w:rPr>
          <w:rFonts w:ascii="Arial" w:hAnsi="Arial" w:cs="Arial"/>
          <w:sz w:val="24"/>
          <w:szCs w:val="24"/>
        </w:rPr>
        <w:t>Thistle</w:t>
      </w:r>
      <w:r w:rsidR="00E14400" w:rsidRPr="006D1F6B">
        <w:rPr>
          <w:rFonts w:ascii="Arial" w:hAnsi="Arial" w:cs="Arial"/>
          <w:sz w:val="24"/>
          <w:szCs w:val="24"/>
        </w:rPr>
        <w:t xml:space="preserve"> Trust</w:t>
      </w:r>
      <w:r w:rsidR="000F2C53" w:rsidRPr="006D1F6B">
        <w:rPr>
          <w:rFonts w:ascii="Arial" w:hAnsi="Arial" w:cs="Arial"/>
          <w:sz w:val="24"/>
          <w:szCs w:val="24"/>
        </w:rPr>
        <w:t xml:space="preserve"> would be liable for interest accrued</w:t>
      </w:r>
      <w:r w:rsidR="003C1876" w:rsidRPr="006D1F6B">
        <w:rPr>
          <w:rFonts w:ascii="Arial" w:hAnsi="Arial" w:cs="Arial"/>
          <w:sz w:val="24"/>
          <w:szCs w:val="24"/>
        </w:rPr>
        <w:t xml:space="preserve">, </w:t>
      </w:r>
      <w:r w:rsidR="00385DE3" w:rsidRPr="006D1F6B">
        <w:rPr>
          <w:rFonts w:ascii="Arial" w:hAnsi="Arial" w:cs="Arial"/>
          <w:sz w:val="24"/>
          <w:szCs w:val="24"/>
        </w:rPr>
        <w:t>i</w:t>
      </w:r>
      <w:r w:rsidR="000F2C53" w:rsidRPr="006D1F6B">
        <w:rPr>
          <w:rFonts w:ascii="Arial" w:hAnsi="Arial" w:cs="Arial"/>
          <w:sz w:val="24"/>
          <w:szCs w:val="24"/>
        </w:rPr>
        <w:t xml:space="preserve">n terms of </w:t>
      </w:r>
      <w:r w:rsidR="0093210D" w:rsidRPr="006D1F6B">
        <w:rPr>
          <w:rFonts w:ascii="Arial" w:hAnsi="Arial" w:cs="Arial"/>
          <w:sz w:val="24"/>
          <w:szCs w:val="24"/>
        </w:rPr>
        <w:t xml:space="preserve">  </w:t>
      </w:r>
    </w:p>
    <w:p w14:paraId="1D6C71EC" w14:textId="6A8CF8C9" w:rsidR="00560843" w:rsidRPr="009F7711" w:rsidRDefault="0093210D" w:rsidP="00E41608">
      <w:pPr>
        <w:pStyle w:val="ListParagraph"/>
        <w:ind w:left="0"/>
        <w:rPr>
          <w:rFonts w:ascii="Arial" w:hAnsi="Arial" w:cs="Arial"/>
          <w:sz w:val="24"/>
          <w:szCs w:val="24"/>
        </w:rPr>
      </w:pPr>
      <w:r>
        <w:rPr>
          <w:rFonts w:ascii="Arial" w:hAnsi="Arial" w:cs="Arial"/>
          <w:sz w:val="24"/>
          <w:szCs w:val="24"/>
        </w:rPr>
        <w:t xml:space="preserve">s </w:t>
      </w:r>
      <w:r w:rsidR="00C96AE0" w:rsidRPr="003C1876">
        <w:rPr>
          <w:rFonts w:ascii="Arial" w:hAnsi="Arial" w:cs="Arial"/>
          <w:sz w:val="24"/>
          <w:szCs w:val="24"/>
        </w:rPr>
        <w:t>89</w:t>
      </w:r>
      <w:r w:rsidR="00C96AE0" w:rsidRPr="003C1876">
        <w:rPr>
          <w:rFonts w:ascii="Arial" w:hAnsi="Arial" w:cs="Arial"/>
          <w:i/>
          <w:iCs/>
          <w:sz w:val="24"/>
          <w:szCs w:val="24"/>
        </w:rPr>
        <w:t>quat</w:t>
      </w:r>
      <w:r w:rsidR="00C96AE0" w:rsidRPr="003C1876">
        <w:rPr>
          <w:rFonts w:ascii="Arial" w:hAnsi="Arial" w:cs="Arial"/>
          <w:sz w:val="24"/>
          <w:szCs w:val="24"/>
        </w:rPr>
        <w:t>(</w:t>
      </w:r>
      <w:r w:rsidR="00EC56AE" w:rsidRPr="003C1876">
        <w:rPr>
          <w:rFonts w:ascii="Arial" w:hAnsi="Arial" w:cs="Arial"/>
          <w:sz w:val="24"/>
          <w:szCs w:val="24"/>
        </w:rPr>
        <w:t>2)</w:t>
      </w:r>
      <w:r w:rsidR="00385DE3" w:rsidRPr="003C1876">
        <w:rPr>
          <w:rFonts w:ascii="Arial" w:hAnsi="Arial" w:cs="Arial"/>
          <w:sz w:val="24"/>
          <w:szCs w:val="24"/>
        </w:rPr>
        <w:t xml:space="preserve"> of the ITA. If the taxable income exceed</w:t>
      </w:r>
      <w:r w:rsidR="001E4707" w:rsidRPr="003C1876">
        <w:rPr>
          <w:rFonts w:ascii="Arial" w:hAnsi="Arial" w:cs="Arial"/>
          <w:sz w:val="24"/>
          <w:szCs w:val="24"/>
        </w:rPr>
        <w:t>ed,</w:t>
      </w:r>
      <w:r w:rsidR="00385DE3" w:rsidRPr="003C1876">
        <w:rPr>
          <w:rFonts w:ascii="Arial" w:hAnsi="Arial" w:cs="Arial"/>
          <w:sz w:val="24"/>
          <w:szCs w:val="24"/>
        </w:rPr>
        <w:t xml:space="preserve"> at the m</w:t>
      </w:r>
      <w:r w:rsidR="00385DE3">
        <w:rPr>
          <w:rFonts w:ascii="Arial" w:hAnsi="Arial" w:cs="Arial"/>
          <w:sz w:val="24"/>
          <w:szCs w:val="24"/>
        </w:rPr>
        <w:t>ost</w:t>
      </w:r>
      <w:r w:rsidR="00480A15">
        <w:rPr>
          <w:rFonts w:ascii="Arial" w:hAnsi="Arial" w:cs="Arial"/>
          <w:sz w:val="24"/>
          <w:szCs w:val="24"/>
        </w:rPr>
        <w:t>,</w:t>
      </w:r>
      <w:r w:rsidR="00385DE3">
        <w:rPr>
          <w:rFonts w:ascii="Arial" w:hAnsi="Arial" w:cs="Arial"/>
          <w:sz w:val="24"/>
          <w:szCs w:val="24"/>
        </w:rPr>
        <w:t xml:space="preserve"> R50</w:t>
      </w:r>
      <w:r w:rsidR="001E4707">
        <w:rPr>
          <w:rFonts w:ascii="Arial" w:hAnsi="Arial" w:cs="Arial"/>
          <w:sz w:val="24"/>
          <w:szCs w:val="24"/>
        </w:rPr>
        <w:t> </w:t>
      </w:r>
      <w:r w:rsidR="00385DE3">
        <w:rPr>
          <w:rFonts w:ascii="Arial" w:hAnsi="Arial" w:cs="Arial"/>
          <w:sz w:val="24"/>
          <w:szCs w:val="24"/>
        </w:rPr>
        <w:t>000</w:t>
      </w:r>
      <w:r w:rsidR="001E4707">
        <w:rPr>
          <w:rFonts w:ascii="Arial" w:hAnsi="Arial" w:cs="Arial"/>
          <w:sz w:val="24"/>
          <w:szCs w:val="24"/>
        </w:rPr>
        <w:t>,</w:t>
      </w:r>
      <w:r w:rsidR="00385DE3">
        <w:rPr>
          <w:rFonts w:ascii="Arial" w:hAnsi="Arial" w:cs="Arial"/>
          <w:sz w:val="24"/>
          <w:szCs w:val="24"/>
        </w:rPr>
        <w:t xml:space="preserve"> and the normal tax payable exceeds the credit amount in that year,</w:t>
      </w:r>
      <w:r w:rsidR="00EC56AE">
        <w:rPr>
          <w:rFonts w:ascii="Arial" w:hAnsi="Arial" w:cs="Arial"/>
          <w:sz w:val="24"/>
          <w:szCs w:val="24"/>
        </w:rPr>
        <w:t xml:space="preserve"> </w:t>
      </w:r>
      <w:r w:rsidR="001028B6">
        <w:rPr>
          <w:rFonts w:ascii="Arial" w:hAnsi="Arial" w:cs="Arial"/>
          <w:sz w:val="24"/>
          <w:szCs w:val="24"/>
        </w:rPr>
        <w:t xml:space="preserve">interest </w:t>
      </w:r>
      <w:r w:rsidR="000F2C53">
        <w:rPr>
          <w:rFonts w:ascii="Arial" w:hAnsi="Arial" w:cs="Arial"/>
          <w:sz w:val="24"/>
          <w:szCs w:val="24"/>
        </w:rPr>
        <w:t xml:space="preserve">would be </w:t>
      </w:r>
      <w:r w:rsidR="001028B6">
        <w:rPr>
          <w:rFonts w:ascii="Arial" w:hAnsi="Arial" w:cs="Arial"/>
          <w:sz w:val="24"/>
          <w:szCs w:val="24"/>
        </w:rPr>
        <w:t>payable by the taxpayer at the prescribed rate on the amount by which normal tax exceeds the credit amount.</w:t>
      </w:r>
      <w:r w:rsidR="001028B6">
        <w:rPr>
          <w:rStyle w:val="FootnoteReference"/>
          <w:rFonts w:ascii="Arial" w:hAnsi="Arial" w:cs="Arial"/>
          <w:sz w:val="24"/>
          <w:szCs w:val="24"/>
        </w:rPr>
        <w:footnoteReference w:id="10"/>
      </w:r>
      <w:r w:rsidR="009F7711">
        <w:rPr>
          <w:rFonts w:ascii="Arial" w:hAnsi="Arial" w:cs="Arial"/>
          <w:sz w:val="24"/>
          <w:szCs w:val="24"/>
        </w:rPr>
        <w:t xml:space="preserve"> </w:t>
      </w:r>
      <w:r w:rsidR="00914BBC">
        <w:rPr>
          <w:rFonts w:ascii="Arial" w:hAnsi="Arial" w:cs="Arial"/>
          <w:sz w:val="24"/>
          <w:szCs w:val="24"/>
        </w:rPr>
        <w:t xml:space="preserve">In argument before us, </w:t>
      </w:r>
      <w:r w:rsidR="00E14400">
        <w:rPr>
          <w:rFonts w:ascii="Arial" w:hAnsi="Arial" w:cs="Arial"/>
          <w:sz w:val="24"/>
          <w:szCs w:val="24"/>
        </w:rPr>
        <w:t xml:space="preserve">counsel for </w:t>
      </w:r>
      <w:r w:rsidR="00E728DC">
        <w:rPr>
          <w:rFonts w:ascii="Arial" w:hAnsi="Arial" w:cs="Arial"/>
          <w:sz w:val="24"/>
          <w:szCs w:val="24"/>
        </w:rPr>
        <w:t xml:space="preserve">the </w:t>
      </w:r>
      <w:r w:rsidR="00E14400">
        <w:rPr>
          <w:rFonts w:ascii="Arial" w:hAnsi="Arial" w:cs="Arial"/>
          <w:sz w:val="24"/>
          <w:szCs w:val="24"/>
        </w:rPr>
        <w:t>Thistle Trust</w:t>
      </w:r>
      <w:r w:rsidR="001028B6" w:rsidRPr="009F7711">
        <w:rPr>
          <w:rFonts w:ascii="Arial" w:hAnsi="Arial" w:cs="Arial"/>
          <w:sz w:val="24"/>
          <w:szCs w:val="24"/>
        </w:rPr>
        <w:t xml:space="preserve"> </w:t>
      </w:r>
      <w:r w:rsidR="00914BBC">
        <w:rPr>
          <w:rFonts w:ascii="Arial" w:hAnsi="Arial" w:cs="Arial"/>
          <w:sz w:val="24"/>
          <w:szCs w:val="24"/>
        </w:rPr>
        <w:t xml:space="preserve">correctly conceded </w:t>
      </w:r>
      <w:r w:rsidR="001028B6" w:rsidRPr="009F7711">
        <w:rPr>
          <w:rFonts w:ascii="Arial" w:hAnsi="Arial" w:cs="Arial"/>
          <w:sz w:val="24"/>
          <w:szCs w:val="24"/>
        </w:rPr>
        <w:t xml:space="preserve">that </w:t>
      </w:r>
      <w:r w:rsidR="001E4707">
        <w:rPr>
          <w:rFonts w:ascii="Arial" w:hAnsi="Arial" w:cs="Arial"/>
          <w:sz w:val="24"/>
          <w:szCs w:val="24"/>
        </w:rPr>
        <w:t>SARS</w:t>
      </w:r>
      <w:r w:rsidR="00423FDF" w:rsidRPr="009F7711">
        <w:rPr>
          <w:rFonts w:ascii="Arial" w:hAnsi="Arial" w:cs="Arial"/>
          <w:sz w:val="24"/>
          <w:szCs w:val="24"/>
        </w:rPr>
        <w:t>,</w:t>
      </w:r>
      <w:r w:rsidR="001028B6" w:rsidRPr="009F7711">
        <w:rPr>
          <w:rFonts w:ascii="Arial" w:hAnsi="Arial" w:cs="Arial"/>
          <w:sz w:val="24"/>
          <w:szCs w:val="24"/>
        </w:rPr>
        <w:t xml:space="preserve"> if su</w:t>
      </w:r>
      <w:r w:rsidR="00E32E1F" w:rsidRPr="009F7711">
        <w:rPr>
          <w:rFonts w:ascii="Arial" w:hAnsi="Arial" w:cs="Arial"/>
          <w:sz w:val="24"/>
          <w:szCs w:val="24"/>
        </w:rPr>
        <w:t>ccessful</w:t>
      </w:r>
      <w:r w:rsidR="00423FDF" w:rsidRPr="009F7711">
        <w:rPr>
          <w:rFonts w:ascii="Arial" w:hAnsi="Arial" w:cs="Arial"/>
          <w:sz w:val="24"/>
          <w:szCs w:val="24"/>
        </w:rPr>
        <w:t>,</w:t>
      </w:r>
      <w:r w:rsidR="00E32E1F" w:rsidRPr="009F7711">
        <w:rPr>
          <w:rFonts w:ascii="Arial" w:hAnsi="Arial" w:cs="Arial"/>
          <w:sz w:val="24"/>
          <w:szCs w:val="24"/>
        </w:rPr>
        <w:t xml:space="preserve"> </w:t>
      </w:r>
      <w:r w:rsidR="00E14400">
        <w:rPr>
          <w:rFonts w:ascii="Arial" w:hAnsi="Arial" w:cs="Arial"/>
          <w:sz w:val="24"/>
          <w:szCs w:val="24"/>
        </w:rPr>
        <w:t>would</w:t>
      </w:r>
      <w:r w:rsidR="00E32E1F" w:rsidRPr="009F7711">
        <w:rPr>
          <w:rFonts w:ascii="Arial" w:hAnsi="Arial" w:cs="Arial"/>
          <w:sz w:val="24"/>
          <w:szCs w:val="24"/>
        </w:rPr>
        <w:t xml:space="preserve"> be entitled to the</w:t>
      </w:r>
      <w:r w:rsidR="001028B6" w:rsidRPr="009F7711">
        <w:rPr>
          <w:rFonts w:ascii="Arial" w:hAnsi="Arial" w:cs="Arial"/>
          <w:sz w:val="24"/>
          <w:szCs w:val="24"/>
        </w:rPr>
        <w:t xml:space="preserve"> interest claim</w:t>
      </w:r>
      <w:r w:rsidR="00E32E1F" w:rsidRPr="009F7711">
        <w:rPr>
          <w:rFonts w:ascii="Arial" w:hAnsi="Arial" w:cs="Arial"/>
          <w:sz w:val="24"/>
          <w:szCs w:val="24"/>
        </w:rPr>
        <w:t>ed</w:t>
      </w:r>
      <w:r w:rsidR="001028B6" w:rsidRPr="009F7711">
        <w:rPr>
          <w:rFonts w:ascii="Arial" w:hAnsi="Arial" w:cs="Arial"/>
          <w:sz w:val="24"/>
          <w:szCs w:val="24"/>
        </w:rPr>
        <w:t xml:space="preserve">. </w:t>
      </w:r>
    </w:p>
    <w:p w14:paraId="645B1C7C" w14:textId="77777777" w:rsidR="00C460E1" w:rsidRPr="00C460E1" w:rsidRDefault="00C460E1" w:rsidP="007A4CFC">
      <w:pPr>
        <w:pStyle w:val="ListParagraph"/>
        <w:ind w:left="0"/>
        <w:rPr>
          <w:rFonts w:ascii="Arial" w:hAnsi="Arial" w:cs="Arial"/>
          <w:sz w:val="24"/>
          <w:szCs w:val="24"/>
        </w:rPr>
      </w:pPr>
    </w:p>
    <w:p w14:paraId="1660B244" w14:textId="462D0902" w:rsidR="00E14400" w:rsidRPr="006D1F6B" w:rsidRDefault="006D1F6B" w:rsidP="006D1F6B">
      <w:pPr>
        <w:rPr>
          <w:rFonts w:ascii="Arial" w:hAnsi="Arial" w:cs="Arial"/>
          <w:sz w:val="24"/>
          <w:szCs w:val="24"/>
        </w:rPr>
      </w:pPr>
      <w:r>
        <w:rPr>
          <w:rFonts w:ascii="Arial" w:hAnsi="Arial" w:cs="Arial"/>
          <w:sz w:val="24"/>
          <w:szCs w:val="24"/>
        </w:rPr>
        <w:t>[31]</w:t>
      </w:r>
      <w:r>
        <w:rPr>
          <w:rFonts w:ascii="Arial" w:hAnsi="Arial" w:cs="Arial"/>
          <w:sz w:val="24"/>
          <w:szCs w:val="24"/>
        </w:rPr>
        <w:tab/>
      </w:r>
      <w:r w:rsidR="00480A15" w:rsidRPr="006D1F6B">
        <w:rPr>
          <w:rFonts w:ascii="Arial" w:hAnsi="Arial" w:cs="Arial"/>
          <w:sz w:val="24"/>
          <w:szCs w:val="24"/>
        </w:rPr>
        <w:t>As a</w:t>
      </w:r>
      <w:r w:rsidR="00E14400" w:rsidRPr="006D1F6B">
        <w:rPr>
          <w:rFonts w:ascii="Arial" w:hAnsi="Arial" w:cs="Arial"/>
          <w:sz w:val="24"/>
          <w:szCs w:val="24"/>
        </w:rPr>
        <w:t xml:space="preserve"> result</w:t>
      </w:r>
      <w:r w:rsidR="00480A15" w:rsidRPr="006D1F6B">
        <w:rPr>
          <w:rFonts w:ascii="Arial" w:hAnsi="Arial" w:cs="Arial"/>
          <w:sz w:val="24"/>
          <w:szCs w:val="24"/>
        </w:rPr>
        <w:t>,</w:t>
      </w:r>
      <w:r w:rsidR="00E14400" w:rsidRPr="006D1F6B">
        <w:rPr>
          <w:rFonts w:ascii="Arial" w:hAnsi="Arial" w:cs="Arial"/>
          <w:sz w:val="24"/>
          <w:szCs w:val="24"/>
        </w:rPr>
        <w:t xml:space="preserve"> I make the following order:</w:t>
      </w:r>
    </w:p>
    <w:p w14:paraId="16A39FCA" w14:textId="5B6C4491" w:rsidR="00E14400" w:rsidRPr="00E14400" w:rsidRDefault="00E14400">
      <w:pPr>
        <w:rPr>
          <w:rFonts w:ascii="Arial" w:hAnsi="Arial" w:cs="Arial"/>
          <w:sz w:val="24"/>
          <w:szCs w:val="24"/>
        </w:rPr>
      </w:pPr>
      <w:r w:rsidRPr="00E14400">
        <w:rPr>
          <w:rFonts w:ascii="Arial" w:hAnsi="Arial" w:cs="Arial"/>
          <w:sz w:val="24"/>
          <w:szCs w:val="24"/>
        </w:rPr>
        <w:t>1</w:t>
      </w:r>
      <w:r w:rsidR="0049510B">
        <w:rPr>
          <w:rFonts w:ascii="Arial" w:hAnsi="Arial" w:cs="Arial"/>
          <w:sz w:val="24"/>
          <w:szCs w:val="24"/>
        </w:rPr>
        <w:t xml:space="preserve"> </w:t>
      </w:r>
      <w:r w:rsidRPr="00E14400">
        <w:rPr>
          <w:rFonts w:ascii="Arial" w:hAnsi="Arial" w:cs="Arial"/>
          <w:sz w:val="24"/>
          <w:szCs w:val="24"/>
        </w:rPr>
        <w:t xml:space="preserve">The appeal succeeds with costs. </w:t>
      </w:r>
    </w:p>
    <w:p w14:paraId="1E35CDFE" w14:textId="131BF5A0" w:rsidR="00E14400" w:rsidRPr="003C1876" w:rsidRDefault="00E14400">
      <w:pPr>
        <w:rPr>
          <w:rFonts w:ascii="Arial" w:eastAsiaTheme="minorEastAsia" w:hAnsi="Arial" w:cs="Arial"/>
          <w:sz w:val="24"/>
          <w:szCs w:val="24"/>
          <w:lang w:val="en-US"/>
        </w:rPr>
      </w:pPr>
      <w:r w:rsidRPr="00E14400">
        <w:rPr>
          <w:rFonts w:ascii="Arial" w:hAnsi="Arial" w:cs="Arial"/>
          <w:sz w:val="24"/>
          <w:szCs w:val="24"/>
        </w:rPr>
        <w:t>2</w:t>
      </w:r>
      <w:r w:rsidR="0049510B">
        <w:rPr>
          <w:rFonts w:ascii="Arial" w:hAnsi="Arial" w:cs="Arial"/>
          <w:sz w:val="24"/>
          <w:szCs w:val="24"/>
        </w:rPr>
        <w:t xml:space="preserve"> </w:t>
      </w:r>
      <w:r w:rsidRPr="00E14400">
        <w:rPr>
          <w:rFonts w:ascii="Arial" w:eastAsiaTheme="minorEastAsia" w:hAnsi="Arial" w:cs="Arial"/>
          <w:sz w:val="24"/>
          <w:szCs w:val="24"/>
          <w:lang w:val="en-US"/>
        </w:rPr>
        <w:t xml:space="preserve">The order of the Tax Court, Gauteng, is set aside and replaced with the following </w:t>
      </w:r>
      <w:r w:rsidRPr="003C1876">
        <w:rPr>
          <w:rFonts w:ascii="Arial" w:eastAsiaTheme="minorEastAsia" w:hAnsi="Arial" w:cs="Arial"/>
          <w:sz w:val="24"/>
          <w:szCs w:val="24"/>
          <w:lang w:val="en-US"/>
        </w:rPr>
        <w:t>order:</w:t>
      </w:r>
    </w:p>
    <w:p w14:paraId="6D6A9225" w14:textId="3D313859" w:rsidR="00932622" w:rsidRPr="003C1876" w:rsidRDefault="0093210D" w:rsidP="00932622">
      <w:pPr>
        <w:pStyle w:val="ListParagraph"/>
        <w:ind w:left="0"/>
        <w:rPr>
          <w:rFonts w:ascii="Arial" w:eastAsiaTheme="minorEastAsia" w:hAnsi="Arial" w:cs="Arial"/>
          <w:sz w:val="24"/>
          <w:szCs w:val="24"/>
          <w:lang w:val="en-US"/>
        </w:rPr>
      </w:pPr>
      <w:r>
        <w:rPr>
          <w:rFonts w:ascii="Arial" w:eastAsiaTheme="minorEastAsia" w:hAnsi="Arial" w:cs="Arial"/>
          <w:sz w:val="24"/>
          <w:szCs w:val="24"/>
          <w:lang w:val="en-US"/>
        </w:rPr>
        <w:t>(</w:t>
      </w:r>
      <w:r w:rsidR="00932622" w:rsidRPr="003C1876">
        <w:rPr>
          <w:rFonts w:ascii="Arial" w:eastAsiaTheme="minorEastAsia" w:hAnsi="Arial" w:cs="Arial"/>
          <w:sz w:val="24"/>
          <w:szCs w:val="24"/>
          <w:lang w:val="en-US"/>
        </w:rPr>
        <w:t>a</w:t>
      </w:r>
      <w:r>
        <w:rPr>
          <w:rFonts w:ascii="Arial" w:eastAsiaTheme="minorEastAsia" w:hAnsi="Arial" w:cs="Arial"/>
          <w:sz w:val="24"/>
          <w:szCs w:val="24"/>
          <w:lang w:val="en-US"/>
        </w:rPr>
        <w:t>)</w:t>
      </w:r>
      <w:r w:rsidR="00932622" w:rsidRPr="003C1876">
        <w:rPr>
          <w:rFonts w:ascii="Arial" w:eastAsiaTheme="minorEastAsia" w:hAnsi="Arial" w:cs="Arial"/>
          <w:sz w:val="24"/>
          <w:szCs w:val="24"/>
          <w:lang w:val="en-US"/>
        </w:rPr>
        <w:t xml:space="preserve"> The appeal is upheld only to the extent that the understatement penalty raised is </w:t>
      </w:r>
      <w:r w:rsidR="00E728DC">
        <w:rPr>
          <w:rFonts w:ascii="Arial" w:eastAsiaTheme="minorEastAsia" w:hAnsi="Arial" w:cs="Arial"/>
          <w:sz w:val="24"/>
          <w:szCs w:val="24"/>
          <w:lang w:val="en-US"/>
        </w:rPr>
        <w:t>set aside</w:t>
      </w:r>
      <w:r w:rsidR="00932622" w:rsidRPr="003C1876">
        <w:rPr>
          <w:rFonts w:ascii="Arial" w:eastAsiaTheme="minorEastAsia" w:hAnsi="Arial" w:cs="Arial"/>
          <w:sz w:val="24"/>
          <w:szCs w:val="24"/>
          <w:lang w:val="en-US"/>
        </w:rPr>
        <w:t>.</w:t>
      </w:r>
    </w:p>
    <w:p w14:paraId="2C7597F8" w14:textId="24496AB6" w:rsidR="00932622" w:rsidRPr="00F630BC" w:rsidRDefault="0093210D" w:rsidP="00932622">
      <w:pPr>
        <w:rPr>
          <w:rFonts w:ascii="Arial" w:eastAsiaTheme="minorEastAsia" w:hAnsi="Arial" w:cs="Arial"/>
          <w:sz w:val="24"/>
          <w:szCs w:val="24"/>
          <w:lang w:val="en-US"/>
        </w:rPr>
      </w:pPr>
      <w:r>
        <w:rPr>
          <w:rFonts w:ascii="Arial" w:eastAsiaTheme="minorEastAsia" w:hAnsi="Arial" w:cs="Arial"/>
          <w:sz w:val="24"/>
          <w:szCs w:val="24"/>
          <w:lang w:val="en-US"/>
        </w:rPr>
        <w:t>(</w:t>
      </w:r>
      <w:r w:rsidR="00932622" w:rsidRPr="003C1876">
        <w:rPr>
          <w:rFonts w:ascii="Arial" w:eastAsiaTheme="minorEastAsia" w:hAnsi="Arial" w:cs="Arial"/>
          <w:sz w:val="24"/>
          <w:szCs w:val="24"/>
          <w:lang w:val="en-US"/>
        </w:rPr>
        <w:t>b</w:t>
      </w:r>
      <w:r>
        <w:rPr>
          <w:rFonts w:ascii="Arial" w:eastAsiaTheme="minorEastAsia" w:hAnsi="Arial" w:cs="Arial"/>
          <w:sz w:val="24"/>
          <w:szCs w:val="24"/>
          <w:lang w:val="en-US"/>
        </w:rPr>
        <w:t>)</w:t>
      </w:r>
      <w:r w:rsidR="00932622" w:rsidRPr="003C1876">
        <w:rPr>
          <w:rFonts w:ascii="Arial" w:eastAsiaTheme="minorEastAsia" w:hAnsi="Arial" w:cs="Arial"/>
          <w:sz w:val="24"/>
          <w:szCs w:val="24"/>
          <w:lang w:val="en-US"/>
        </w:rPr>
        <w:t xml:space="preserve"> There is no order as to costs.’</w:t>
      </w:r>
    </w:p>
    <w:p w14:paraId="3653C8C1" w14:textId="77777777" w:rsidR="00932622" w:rsidRPr="00E14400" w:rsidRDefault="00932622" w:rsidP="00932622">
      <w:pPr>
        <w:rPr>
          <w:rFonts w:ascii="Arial" w:eastAsiaTheme="minorEastAsia" w:hAnsi="Arial" w:cs="Arial"/>
          <w:sz w:val="24"/>
          <w:szCs w:val="24"/>
          <w:lang w:val="en-US"/>
        </w:rPr>
      </w:pPr>
    </w:p>
    <w:p w14:paraId="47496EC7" w14:textId="77777777" w:rsidR="00AC4085" w:rsidRDefault="00AC4085" w:rsidP="007A4CFC">
      <w:pPr>
        <w:rPr>
          <w:rFonts w:ascii="Arial" w:hAnsi="Arial" w:cs="Arial"/>
          <w:b/>
          <w:sz w:val="24"/>
          <w:szCs w:val="24"/>
        </w:rPr>
      </w:pPr>
    </w:p>
    <w:p w14:paraId="672B99E3" w14:textId="77777777" w:rsidR="00932622" w:rsidRPr="00E21383" w:rsidRDefault="00932622" w:rsidP="007A4CFC">
      <w:pPr>
        <w:rPr>
          <w:rFonts w:ascii="Arial" w:hAnsi="Arial" w:cs="Arial"/>
          <w:b/>
          <w:sz w:val="24"/>
          <w:szCs w:val="24"/>
        </w:rPr>
      </w:pPr>
    </w:p>
    <w:p w14:paraId="0EBB9241" w14:textId="77777777" w:rsidR="006E1142" w:rsidRPr="00E21383" w:rsidRDefault="006E1142" w:rsidP="00AC4085">
      <w:pPr>
        <w:jc w:val="right"/>
        <w:rPr>
          <w:rFonts w:ascii="Arial" w:hAnsi="Arial" w:cs="Arial"/>
          <w:sz w:val="24"/>
          <w:szCs w:val="24"/>
          <w:lang w:val="en-US"/>
        </w:rPr>
      </w:pPr>
      <w:r w:rsidRPr="00E21383">
        <w:rPr>
          <w:rFonts w:ascii="Arial" w:hAnsi="Arial" w:cs="Arial"/>
          <w:sz w:val="24"/>
          <w:szCs w:val="24"/>
          <w:lang w:val="en-US"/>
        </w:rPr>
        <w:t>___________________</w:t>
      </w:r>
    </w:p>
    <w:p w14:paraId="4CE67399" w14:textId="77777777" w:rsidR="006E1142" w:rsidRPr="00E21383" w:rsidRDefault="00B37088" w:rsidP="00AC4085">
      <w:pPr>
        <w:jc w:val="right"/>
        <w:rPr>
          <w:rFonts w:ascii="Arial" w:hAnsi="Arial" w:cs="Arial"/>
          <w:sz w:val="24"/>
          <w:szCs w:val="24"/>
          <w:lang w:val="en-US"/>
        </w:rPr>
      </w:pPr>
      <w:r>
        <w:rPr>
          <w:rFonts w:ascii="Arial" w:hAnsi="Arial" w:cs="Arial"/>
          <w:sz w:val="24"/>
          <w:szCs w:val="24"/>
          <w:lang w:val="en-US"/>
        </w:rPr>
        <w:t>W H</w:t>
      </w:r>
      <w:r w:rsidR="006424AC">
        <w:rPr>
          <w:rFonts w:ascii="Arial" w:hAnsi="Arial" w:cs="Arial"/>
          <w:sz w:val="24"/>
          <w:szCs w:val="24"/>
          <w:lang w:val="en-US"/>
        </w:rPr>
        <w:t>UGHES</w:t>
      </w:r>
    </w:p>
    <w:p w14:paraId="3FED7FF6" w14:textId="77777777" w:rsidR="00F92D34" w:rsidRPr="00E21383" w:rsidRDefault="006E1142" w:rsidP="00AC4085">
      <w:pPr>
        <w:jc w:val="right"/>
        <w:rPr>
          <w:rFonts w:ascii="Arial" w:hAnsi="Arial" w:cs="Arial"/>
          <w:sz w:val="24"/>
          <w:szCs w:val="24"/>
          <w:lang w:val="en-US"/>
        </w:rPr>
      </w:pPr>
      <w:r w:rsidRPr="00E21383">
        <w:rPr>
          <w:rFonts w:ascii="Arial" w:hAnsi="Arial" w:cs="Arial"/>
          <w:sz w:val="24"/>
          <w:szCs w:val="24"/>
          <w:lang w:val="en-US"/>
        </w:rPr>
        <w:t>J</w:t>
      </w:r>
      <w:r w:rsidR="006424AC">
        <w:rPr>
          <w:rFonts w:ascii="Arial" w:hAnsi="Arial" w:cs="Arial"/>
          <w:sz w:val="24"/>
          <w:szCs w:val="24"/>
          <w:lang w:val="en-US"/>
        </w:rPr>
        <w:t>UDGE OF APPEAL</w:t>
      </w:r>
    </w:p>
    <w:p w14:paraId="252FAE0C" w14:textId="77777777" w:rsidR="008A6244" w:rsidRDefault="008A6244" w:rsidP="00AC4085">
      <w:pPr>
        <w:rPr>
          <w:rFonts w:ascii="Arial" w:eastAsiaTheme="minorEastAsia" w:hAnsi="Arial" w:cs="Arial"/>
          <w:sz w:val="24"/>
          <w:szCs w:val="24"/>
          <w:lang w:val="en-US"/>
        </w:rPr>
      </w:pPr>
    </w:p>
    <w:p w14:paraId="3134D2FC" w14:textId="77777777" w:rsidR="00FA060E" w:rsidRDefault="0049510B" w:rsidP="00285EBE">
      <w:pPr>
        <w:spacing w:after="200" w:line="276" w:lineRule="auto"/>
        <w:rPr>
          <w:rFonts w:ascii="Arial" w:eastAsiaTheme="minorEastAsia" w:hAnsi="Arial" w:cs="Arial"/>
          <w:sz w:val="24"/>
          <w:szCs w:val="24"/>
          <w:lang w:val="en-US"/>
        </w:rPr>
      </w:pPr>
      <w:r>
        <w:rPr>
          <w:rFonts w:ascii="Arial" w:eastAsiaTheme="minorEastAsia" w:hAnsi="Arial" w:cs="Arial"/>
          <w:sz w:val="24"/>
          <w:szCs w:val="24"/>
          <w:lang w:val="en-US"/>
        </w:rPr>
        <w:br w:type="page"/>
      </w:r>
    </w:p>
    <w:p w14:paraId="528ED21B" w14:textId="77777777" w:rsidR="006E1142" w:rsidRPr="00E21383" w:rsidRDefault="006E1142" w:rsidP="00AC4085">
      <w:pPr>
        <w:rPr>
          <w:rFonts w:ascii="Arial" w:eastAsiaTheme="minorEastAsia" w:hAnsi="Arial" w:cs="Arial"/>
          <w:sz w:val="24"/>
          <w:szCs w:val="24"/>
          <w:lang w:val="en-US"/>
        </w:rPr>
      </w:pPr>
      <w:r w:rsidRPr="00E21383">
        <w:rPr>
          <w:rFonts w:ascii="Arial" w:eastAsiaTheme="minorEastAsia" w:hAnsi="Arial" w:cs="Arial"/>
          <w:sz w:val="24"/>
          <w:szCs w:val="24"/>
          <w:lang w:val="en-US"/>
        </w:rPr>
        <w:lastRenderedPageBreak/>
        <w:t>APPEARANCES</w:t>
      </w:r>
    </w:p>
    <w:p w14:paraId="4C1F375D" w14:textId="77777777" w:rsidR="006E3019" w:rsidRPr="00E21383" w:rsidRDefault="006E3019" w:rsidP="00AC4085">
      <w:pPr>
        <w:rPr>
          <w:rFonts w:ascii="Arial" w:hAnsi="Arial" w:cs="Arial"/>
          <w:sz w:val="24"/>
          <w:szCs w:val="24"/>
          <w:lang w:val="en-US"/>
        </w:rPr>
      </w:pPr>
    </w:p>
    <w:p w14:paraId="649BD7A7" w14:textId="7598922E" w:rsidR="006E1142" w:rsidRPr="00E21383" w:rsidRDefault="006E1142" w:rsidP="00192CA2">
      <w:pPr>
        <w:rPr>
          <w:rFonts w:ascii="Arial" w:eastAsiaTheme="minorEastAsia" w:hAnsi="Arial" w:cs="Arial"/>
          <w:sz w:val="24"/>
          <w:szCs w:val="24"/>
          <w:lang w:val="en-US"/>
        </w:rPr>
      </w:pPr>
      <w:r w:rsidRPr="00E21383">
        <w:rPr>
          <w:rFonts w:ascii="Arial" w:eastAsiaTheme="minorEastAsia" w:hAnsi="Arial" w:cs="Arial"/>
          <w:sz w:val="24"/>
          <w:szCs w:val="24"/>
          <w:lang w:val="en-US"/>
        </w:rPr>
        <w:t xml:space="preserve">For </w:t>
      </w:r>
      <w:r w:rsidR="00E14400">
        <w:rPr>
          <w:rFonts w:ascii="Arial" w:eastAsiaTheme="minorEastAsia" w:hAnsi="Arial" w:cs="Arial"/>
          <w:sz w:val="24"/>
          <w:szCs w:val="24"/>
          <w:lang w:val="en-US"/>
        </w:rPr>
        <w:t>appellant:</w:t>
      </w:r>
      <w:r w:rsidR="00E14400">
        <w:rPr>
          <w:rFonts w:ascii="Arial" w:eastAsiaTheme="minorEastAsia" w:hAnsi="Arial" w:cs="Arial"/>
          <w:sz w:val="24"/>
          <w:szCs w:val="24"/>
          <w:lang w:val="en-US"/>
        </w:rPr>
        <w:tab/>
      </w:r>
      <w:r w:rsidR="00E14400">
        <w:rPr>
          <w:rFonts w:ascii="Arial" w:eastAsiaTheme="minorEastAsia" w:hAnsi="Arial" w:cs="Arial"/>
          <w:sz w:val="24"/>
          <w:szCs w:val="24"/>
          <w:lang w:val="en-US"/>
        </w:rPr>
        <w:tab/>
      </w:r>
      <w:r w:rsidR="00192CA2">
        <w:rPr>
          <w:rFonts w:ascii="Arial" w:eastAsiaTheme="minorEastAsia" w:hAnsi="Arial" w:cs="Arial"/>
          <w:sz w:val="24"/>
          <w:szCs w:val="24"/>
          <w:lang w:val="en-US"/>
        </w:rPr>
        <w:t>M</w:t>
      </w:r>
      <w:r w:rsidR="00E14400">
        <w:rPr>
          <w:rFonts w:ascii="Arial" w:eastAsiaTheme="minorEastAsia" w:hAnsi="Arial" w:cs="Arial"/>
          <w:sz w:val="24"/>
          <w:szCs w:val="24"/>
          <w:lang w:val="en-US"/>
        </w:rPr>
        <w:t xml:space="preserve"> </w:t>
      </w:r>
      <w:r w:rsidR="00192CA2">
        <w:rPr>
          <w:rFonts w:ascii="Arial" w:eastAsiaTheme="minorEastAsia" w:hAnsi="Arial" w:cs="Arial"/>
          <w:sz w:val="24"/>
          <w:szCs w:val="24"/>
          <w:lang w:val="en-US"/>
        </w:rPr>
        <w:t>A Chohan SC</w:t>
      </w:r>
    </w:p>
    <w:p w14:paraId="49AD1EF3" w14:textId="5F783AB0" w:rsidR="006E1142" w:rsidRDefault="006E1142" w:rsidP="00192CA2">
      <w:pPr>
        <w:rPr>
          <w:rFonts w:ascii="Arial" w:eastAsiaTheme="minorEastAsia" w:hAnsi="Arial" w:cs="Arial"/>
          <w:sz w:val="24"/>
          <w:szCs w:val="24"/>
          <w:lang w:val="en-US"/>
        </w:rPr>
      </w:pPr>
      <w:r w:rsidRPr="00E21383">
        <w:rPr>
          <w:rFonts w:ascii="Arial" w:eastAsiaTheme="minorEastAsia" w:hAnsi="Arial" w:cs="Arial"/>
          <w:sz w:val="24"/>
          <w:szCs w:val="24"/>
          <w:lang w:val="en-US"/>
        </w:rPr>
        <w:t>Instructed by:</w:t>
      </w:r>
      <w:r w:rsidR="00192CA2">
        <w:rPr>
          <w:rFonts w:ascii="Arial" w:eastAsiaTheme="minorEastAsia" w:hAnsi="Arial" w:cs="Arial"/>
          <w:sz w:val="24"/>
          <w:szCs w:val="24"/>
          <w:lang w:val="en-US"/>
        </w:rPr>
        <w:tab/>
      </w:r>
      <w:r w:rsidR="00192CA2">
        <w:rPr>
          <w:rFonts w:ascii="Arial" w:eastAsiaTheme="minorEastAsia" w:hAnsi="Arial" w:cs="Arial"/>
          <w:sz w:val="24"/>
          <w:szCs w:val="24"/>
          <w:lang w:val="en-US"/>
        </w:rPr>
        <w:tab/>
        <w:t>Madiba Motsai Masitenyane &amp; Githiri Inc</w:t>
      </w:r>
      <w:r w:rsidR="00F33E2F">
        <w:rPr>
          <w:rFonts w:ascii="Arial" w:eastAsiaTheme="minorEastAsia" w:hAnsi="Arial" w:cs="Arial"/>
          <w:sz w:val="24"/>
          <w:szCs w:val="24"/>
          <w:lang w:val="en-US"/>
        </w:rPr>
        <w:t>.</w:t>
      </w:r>
      <w:r w:rsidR="00192CA2">
        <w:rPr>
          <w:rFonts w:ascii="Arial" w:eastAsiaTheme="minorEastAsia" w:hAnsi="Arial" w:cs="Arial"/>
          <w:sz w:val="24"/>
          <w:szCs w:val="24"/>
          <w:lang w:val="en-US"/>
        </w:rPr>
        <w:t>, Johannesburg</w:t>
      </w:r>
    </w:p>
    <w:p w14:paraId="11891EBB" w14:textId="77777777" w:rsidR="00192CA2" w:rsidRPr="00E21383" w:rsidRDefault="00192CA2" w:rsidP="00192CA2">
      <w:pPr>
        <w:rPr>
          <w:rFonts w:ascii="Arial" w:eastAsiaTheme="minorEastAsia" w:hAnsi="Arial" w:cs="Arial"/>
          <w:sz w:val="24"/>
          <w:szCs w:val="24"/>
          <w:lang w:val="en-US"/>
        </w:rPr>
      </w:pPr>
      <w:r>
        <w:rPr>
          <w:rFonts w:ascii="Arial" w:eastAsiaTheme="minorEastAsia" w:hAnsi="Arial" w:cs="Arial"/>
          <w:sz w:val="24"/>
          <w:szCs w:val="24"/>
          <w:lang w:val="en-US"/>
        </w:rPr>
        <w:tab/>
      </w:r>
      <w:r>
        <w:rPr>
          <w:rFonts w:ascii="Arial" w:eastAsiaTheme="minorEastAsia" w:hAnsi="Arial" w:cs="Arial"/>
          <w:sz w:val="24"/>
          <w:szCs w:val="24"/>
          <w:lang w:val="en-US"/>
        </w:rPr>
        <w:tab/>
      </w:r>
      <w:r>
        <w:rPr>
          <w:rFonts w:ascii="Arial" w:eastAsiaTheme="minorEastAsia" w:hAnsi="Arial" w:cs="Arial"/>
          <w:sz w:val="24"/>
          <w:szCs w:val="24"/>
          <w:lang w:val="en-US"/>
        </w:rPr>
        <w:tab/>
      </w:r>
      <w:r>
        <w:rPr>
          <w:rFonts w:ascii="Arial" w:eastAsiaTheme="minorEastAsia" w:hAnsi="Arial" w:cs="Arial"/>
          <w:sz w:val="24"/>
          <w:szCs w:val="24"/>
          <w:lang w:val="en-US"/>
        </w:rPr>
        <w:tab/>
        <w:t>P</w:t>
      </w:r>
      <w:r w:rsidR="00F3296B">
        <w:rPr>
          <w:rFonts w:ascii="Arial" w:eastAsiaTheme="minorEastAsia" w:hAnsi="Arial" w:cs="Arial"/>
          <w:sz w:val="24"/>
          <w:szCs w:val="24"/>
          <w:lang w:val="en-US"/>
        </w:rPr>
        <w:t>hatshoane Henney Attorneys, Bloe</w:t>
      </w:r>
      <w:r>
        <w:rPr>
          <w:rFonts w:ascii="Arial" w:eastAsiaTheme="minorEastAsia" w:hAnsi="Arial" w:cs="Arial"/>
          <w:sz w:val="24"/>
          <w:szCs w:val="24"/>
          <w:lang w:val="en-US"/>
        </w:rPr>
        <w:t>mfontein</w:t>
      </w:r>
      <w:r w:rsidR="00E14400">
        <w:rPr>
          <w:rFonts w:ascii="Arial" w:eastAsiaTheme="minorEastAsia" w:hAnsi="Arial" w:cs="Arial"/>
          <w:sz w:val="24"/>
          <w:szCs w:val="24"/>
          <w:lang w:val="en-US"/>
        </w:rPr>
        <w:t>.</w:t>
      </w:r>
    </w:p>
    <w:p w14:paraId="546CA63A" w14:textId="77777777" w:rsidR="006E1142" w:rsidRPr="00E21383" w:rsidRDefault="006E1142" w:rsidP="00AC4085">
      <w:pPr>
        <w:tabs>
          <w:tab w:val="left" w:pos="3686"/>
        </w:tabs>
        <w:rPr>
          <w:rFonts w:ascii="Arial" w:eastAsiaTheme="minorEastAsia" w:hAnsi="Arial" w:cs="Arial"/>
          <w:sz w:val="24"/>
          <w:szCs w:val="24"/>
          <w:lang w:val="en-US"/>
        </w:rPr>
      </w:pPr>
    </w:p>
    <w:p w14:paraId="6731E50C" w14:textId="0861FF94" w:rsidR="001B18F6" w:rsidRPr="00E21383" w:rsidRDefault="006E1142" w:rsidP="00192CA2">
      <w:pPr>
        <w:rPr>
          <w:rFonts w:ascii="Arial" w:eastAsiaTheme="minorEastAsia" w:hAnsi="Arial" w:cs="Arial"/>
          <w:sz w:val="24"/>
          <w:szCs w:val="24"/>
          <w:lang w:val="en-US"/>
        </w:rPr>
      </w:pPr>
      <w:r w:rsidRPr="00E21383">
        <w:rPr>
          <w:rFonts w:ascii="Arial" w:eastAsiaTheme="minorEastAsia" w:hAnsi="Arial" w:cs="Arial"/>
          <w:sz w:val="24"/>
          <w:szCs w:val="24"/>
          <w:lang w:val="en-US"/>
        </w:rPr>
        <w:t xml:space="preserve">For </w:t>
      </w:r>
      <w:r w:rsidR="00E14400">
        <w:rPr>
          <w:rFonts w:ascii="Arial" w:eastAsiaTheme="minorEastAsia" w:hAnsi="Arial" w:cs="Arial"/>
          <w:sz w:val="24"/>
          <w:szCs w:val="24"/>
          <w:lang w:val="en-US"/>
        </w:rPr>
        <w:t>r</w:t>
      </w:r>
      <w:r w:rsidR="00BD0620" w:rsidRPr="00E21383">
        <w:rPr>
          <w:rFonts w:ascii="Arial" w:eastAsiaTheme="minorEastAsia" w:hAnsi="Arial" w:cs="Arial"/>
          <w:sz w:val="24"/>
          <w:szCs w:val="24"/>
          <w:lang w:val="en-US"/>
        </w:rPr>
        <w:t>espondent:</w:t>
      </w:r>
      <w:r w:rsidR="00E14400">
        <w:rPr>
          <w:rFonts w:ascii="Arial" w:eastAsiaTheme="minorEastAsia" w:hAnsi="Arial" w:cs="Arial"/>
          <w:sz w:val="24"/>
          <w:szCs w:val="24"/>
          <w:lang w:val="en-US"/>
        </w:rPr>
        <w:tab/>
      </w:r>
      <w:r w:rsidR="0049510B">
        <w:rPr>
          <w:rFonts w:ascii="Arial" w:eastAsiaTheme="minorEastAsia" w:hAnsi="Arial" w:cs="Arial"/>
          <w:sz w:val="24"/>
          <w:szCs w:val="24"/>
          <w:lang w:val="en-US"/>
        </w:rPr>
        <w:tab/>
      </w:r>
      <w:r w:rsidR="00192CA2">
        <w:rPr>
          <w:rFonts w:ascii="Arial" w:eastAsiaTheme="minorEastAsia" w:hAnsi="Arial" w:cs="Arial"/>
          <w:sz w:val="24"/>
          <w:szCs w:val="24"/>
          <w:lang w:val="en-US"/>
        </w:rPr>
        <w:t>T</w:t>
      </w:r>
      <w:r w:rsidR="00F33E2F">
        <w:rPr>
          <w:rFonts w:ascii="Arial" w:eastAsiaTheme="minorEastAsia" w:hAnsi="Arial" w:cs="Arial"/>
          <w:sz w:val="24"/>
          <w:szCs w:val="24"/>
          <w:lang w:val="en-US"/>
        </w:rPr>
        <w:t xml:space="preserve"> S</w:t>
      </w:r>
      <w:r w:rsidR="00192CA2">
        <w:rPr>
          <w:rFonts w:ascii="Arial" w:eastAsiaTheme="minorEastAsia" w:hAnsi="Arial" w:cs="Arial"/>
          <w:sz w:val="24"/>
          <w:szCs w:val="24"/>
          <w:lang w:val="en-US"/>
        </w:rPr>
        <w:t xml:space="preserve"> Emslie SC</w:t>
      </w:r>
    </w:p>
    <w:p w14:paraId="002CDF5F" w14:textId="32E05D0E" w:rsidR="00152C00" w:rsidRDefault="009020B7" w:rsidP="00192CA2">
      <w:pPr>
        <w:rPr>
          <w:rFonts w:ascii="Arial" w:eastAsiaTheme="minorEastAsia" w:hAnsi="Arial" w:cs="Arial"/>
          <w:sz w:val="24"/>
          <w:szCs w:val="24"/>
          <w:lang w:val="en-US"/>
        </w:rPr>
      </w:pPr>
      <w:r w:rsidRPr="00E21383">
        <w:rPr>
          <w:rFonts w:ascii="Arial" w:eastAsiaTheme="minorEastAsia" w:hAnsi="Arial" w:cs="Arial"/>
          <w:sz w:val="24"/>
          <w:szCs w:val="24"/>
          <w:lang w:val="en-US"/>
        </w:rPr>
        <w:t>Instructed by:</w:t>
      </w:r>
      <w:r w:rsidR="00192CA2">
        <w:rPr>
          <w:rFonts w:ascii="Arial" w:eastAsiaTheme="minorEastAsia" w:hAnsi="Arial" w:cs="Arial"/>
          <w:sz w:val="24"/>
          <w:szCs w:val="24"/>
          <w:lang w:val="en-US"/>
        </w:rPr>
        <w:tab/>
      </w:r>
      <w:r w:rsidR="00192CA2">
        <w:rPr>
          <w:rFonts w:ascii="Arial" w:eastAsiaTheme="minorEastAsia" w:hAnsi="Arial" w:cs="Arial"/>
          <w:sz w:val="24"/>
          <w:szCs w:val="24"/>
          <w:lang w:val="en-US"/>
        </w:rPr>
        <w:tab/>
        <w:t>Werksmans Attorneys, Johannesburg</w:t>
      </w:r>
    </w:p>
    <w:p w14:paraId="5481E31A" w14:textId="77777777" w:rsidR="00E34186" w:rsidRPr="009020B7" w:rsidRDefault="00192CA2" w:rsidP="007A4CFC">
      <w:pPr>
        <w:rPr>
          <w:rFonts w:ascii="Arial" w:eastAsiaTheme="minorEastAsia" w:hAnsi="Arial" w:cs="Arial"/>
          <w:sz w:val="24"/>
          <w:szCs w:val="24"/>
          <w:lang w:val="en-US"/>
        </w:rPr>
      </w:pPr>
      <w:r>
        <w:rPr>
          <w:rFonts w:ascii="Arial" w:eastAsiaTheme="minorEastAsia" w:hAnsi="Arial" w:cs="Arial"/>
          <w:sz w:val="24"/>
          <w:szCs w:val="24"/>
          <w:lang w:val="en-US"/>
        </w:rPr>
        <w:tab/>
      </w:r>
      <w:r>
        <w:rPr>
          <w:rFonts w:ascii="Arial" w:eastAsiaTheme="minorEastAsia" w:hAnsi="Arial" w:cs="Arial"/>
          <w:sz w:val="24"/>
          <w:szCs w:val="24"/>
          <w:lang w:val="en-US"/>
        </w:rPr>
        <w:tab/>
      </w:r>
      <w:r>
        <w:rPr>
          <w:rFonts w:ascii="Arial" w:eastAsiaTheme="minorEastAsia" w:hAnsi="Arial" w:cs="Arial"/>
          <w:sz w:val="24"/>
          <w:szCs w:val="24"/>
          <w:lang w:val="en-US"/>
        </w:rPr>
        <w:tab/>
      </w:r>
      <w:r>
        <w:rPr>
          <w:rFonts w:ascii="Arial" w:eastAsiaTheme="minorEastAsia" w:hAnsi="Arial" w:cs="Arial"/>
          <w:sz w:val="24"/>
          <w:szCs w:val="24"/>
          <w:lang w:val="en-US"/>
        </w:rPr>
        <w:tab/>
        <w:t>Symington &amp; De Kok, Bloemfontein</w:t>
      </w:r>
      <w:r w:rsidR="00E14400">
        <w:rPr>
          <w:rFonts w:ascii="Arial" w:eastAsiaTheme="minorEastAsia" w:hAnsi="Arial" w:cs="Arial"/>
          <w:sz w:val="24"/>
          <w:szCs w:val="24"/>
          <w:lang w:val="en-US"/>
        </w:rPr>
        <w:t>.</w:t>
      </w:r>
    </w:p>
    <w:sectPr w:rsidR="00E34186" w:rsidRPr="009020B7" w:rsidSect="008F1FAC">
      <w:headerReference w:type="default" r:id="rId9"/>
      <w:pgSz w:w="11906" w:h="16838"/>
      <w:pgMar w:top="426" w:right="1274" w:bottom="993"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D12" w16cex:dateUtc="2022-09-29T10:24:00Z"/>
  <w16cex:commentExtensible w16cex:durableId="26E03D8A" w16cex:dateUtc="2022-09-29T13:51:00Z"/>
  <w16cex:commentExtensible w16cex:durableId="26E042B1" w16cex:dateUtc="2022-09-29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238A3" w16cid:durableId="26E00D12"/>
  <w16cid:commentId w16cid:paraId="0AF8ECB2" w16cid:durableId="26E03D8A"/>
  <w16cid:commentId w16cid:paraId="499E54EE" w16cid:durableId="26E042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E371" w14:textId="77777777" w:rsidR="009F2160" w:rsidRDefault="009F2160" w:rsidP="00BC0511">
      <w:pPr>
        <w:spacing w:line="240" w:lineRule="auto"/>
      </w:pPr>
      <w:r>
        <w:separator/>
      </w:r>
    </w:p>
  </w:endnote>
  <w:endnote w:type="continuationSeparator" w:id="0">
    <w:p w14:paraId="0D34D0D9" w14:textId="77777777" w:rsidR="009F2160" w:rsidRDefault="009F2160" w:rsidP="00BC0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7431" w14:textId="77777777" w:rsidR="009F2160" w:rsidRDefault="009F2160" w:rsidP="00BC0511">
      <w:pPr>
        <w:spacing w:line="240" w:lineRule="auto"/>
      </w:pPr>
      <w:r>
        <w:separator/>
      </w:r>
    </w:p>
  </w:footnote>
  <w:footnote w:type="continuationSeparator" w:id="0">
    <w:p w14:paraId="792FC7BE" w14:textId="77777777" w:rsidR="009F2160" w:rsidRDefault="009F2160" w:rsidP="00BC0511">
      <w:pPr>
        <w:spacing w:line="240" w:lineRule="auto"/>
      </w:pPr>
      <w:r>
        <w:continuationSeparator/>
      </w:r>
    </w:p>
  </w:footnote>
  <w:footnote w:id="1">
    <w:p w14:paraId="6F0734CF" w14:textId="77777777" w:rsidR="00C232D7" w:rsidRPr="00C232D7" w:rsidRDefault="00C232D7">
      <w:pPr>
        <w:pStyle w:val="FootnoteText"/>
        <w:rPr>
          <w:rFonts w:ascii="Arial" w:hAnsi="Arial" w:cs="Arial"/>
        </w:rPr>
      </w:pPr>
      <w:r w:rsidRPr="003C1876">
        <w:rPr>
          <w:rStyle w:val="FootnoteReference"/>
          <w:rFonts w:ascii="Arial" w:hAnsi="Arial" w:cs="Arial"/>
        </w:rPr>
        <w:footnoteRef/>
      </w:r>
      <w:r w:rsidRPr="003C1876">
        <w:rPr>
          <w:rFonts w:ascii="Arial" w:hAnsi="Arial" w:cs="Arial"/>
        </w:rPr>
        <w:t xml:space="preserve"> </w:t>
      </w:r>
      <w:r w:rsidRPr="003C1876">
        <w:rPr>
          <w:rFonts w:ascii="Arial" w:hAnsi="Arial" w:cs="Arial"/>
          <w:i/>
        </w:rPr>
        <w:t>CIR v Friedman and Others NNO</w:t>
      </w:r>
      <w:r w:rsidRPr="003C1876">
        <w:rPr>
          <w:rFonts w:ascii="Arial" w:hAnsi="Arial" w:cs="Arial"/>
        </w:rPr>
        <w:t xml:space="preserve"> 1993 (1) SA 353 (A) at 371D-F.</w:t>
      </w:r>
    </w:p>
  </w:footnote>
  <w:footnote w:id="2">
    <w:p w14:paraId="0281ED01" w14:textId="77777777" w:rsidR="000A6114" w:rsidRPr="00887F58" w:rsidRDefault="000A6114" w:rsidP="00887F58">
      <w:pPr>
        <w:pStyle w:val="FootnoteText"/>
        <w:rPr>
          <w:rFonts w:ascii="Arial" w:hAnsi="Arial" w:cs="Arial"/>
          <w:lang w:val="en-US"/>
        </w:rPr>
      </w:pPr>
      <w:r w:rsidRPr="000E4663">
        <w:rPr>
          <w:rStyle w:val="FootnoteReference"/>
          <w:rFonts w:ascii="Arial" w:hAnsi="Arial" w:cs="Arial"/>
        </w:rPr>
        <w:footnoteRef/>
      </w:r>
      <w:r w:rsidRPr="000E4663">
        <w:rPr>
          <w:rFonts w:ascii="Arial" w:hAnsi="Arial" w:cs="Arial"/>
        </w:rPr>
        <w:t xml:space="preserve"> </w:t>
      </w:r>
      <w:r w:rsidRPr="000E4663">
        <w:rPr>
          <w:rFonts w:ascii="Arial" w:hAnsi="Arial" w:cs="Arial"/>
          <w:lang w:val="en-US"/>
        </w:rPr>
        <w:t xml:space="preserve">S 26A was inserted by </w:t>
      </w:r>
      <w:r w:rsidR="002631E0" w:rsidRPr="000E4663">
        <w:rPr>
          <w:rFonts w:ascii="Arial" w:hAnsi="Arial" w:cs="Arial"/>
          <w:lang w:val="en-US"/>
        </w:rPr>
        <w:t xml:space="preserve">s 14 of the </w:t>
      </w:r>
      <w:r w:rsidR="002631E0" w:rsidRPr="00354ACD">
        <w:rPr>
          <w:rFonts w:ascii="Arial" w:hAnsi="Arial" w:cs="Arial"/>
          <w:lang w:val="en-US"/>
        </w:rPr>
        <w:t>Taxation Laws Amendment Act 5 of 2001</w:t>
      </w:r>
      <w:r w:rsidRPr="00887F58">
        <w:rPr>
          <w:rFonts w:ascii="Arial" w:hAnsi="Arial" w:cs="Arial"/>
          <w:lang w:val="en-US"/>
        </w:rPr>
        <w:t xml:space="preserve">. </w:t>
      </w:r>
    </w:p>
  </w:footnote>
  <w:footnote w:id="3">
    <w:p w14:paraId="4D6DDFF5" w14:textId="77777777" w:rsidR="000A6114" w:rsidRPr="00354ACD" w:rsidRDefault="000A6114" w:rsidP="00354ACD">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Section 26A provides</w:t>
      </w:r>
      <w:r w:rsidR="002631E0" w:rsidRPr="00354ACD">
        <w:rPr>
          <w:rFonts w:ascii="Arial" w:hAnsi="Arial" w:cs="Arial"/>
        </w:rPr>
        <w:t xml:space="preserve"> that</w:t>
      </w:r>
      <w:r w:rsidRPr="00354ACD">
        <w:rPr>
          <w:rFonts w:ascii="Arial" w:hAnsi="Arial" w:cs="Arial"/>
        </w:rPr>
        <w:t xml:space="preserve">: </w:t>
      </w:r>
    </w:p>
    <w:p w14:paraId="0B359460" w14:textId="77777777" w:rsidR="000A6114" w:rsidRPr="00354ACD" w:rsidRDefault="000A6114" w:rsidP="00354ACD">
      <w:pPr>
        <w:pStyle w:val="FootnoteText"/>
        <w:rPr>
          <w:rFonts w:ascii="Arial" w:hAnsi="Arial" w:cs="Arial"/>
        </w:rPr>
      </w:pPr>
      <w:r w:rsidRPr="00354ACD">
        <w:rPr>
          <w:rFonts w:ascii="Arial" w:hAnsi="Arial" w:cs="Arial"/>
        </w:rPr>
        <w:t>‘There shall be included in the taxable income of a person for a year of assessment the taxable capital gain of that person for that year of assessment, as determined in terms of the Eighth Schedule.’</w:t>
      </w:r>
    </w:p>
  </w:footnote>
  <w:footnote w:id="4">
    <w:p w14:paraId="2189CD3E" w14:textId="77777777" w:rsidR="000A6114" w:rsidRPr="00354ACD" w:rsidRDefault="000A6114" w:rsidP="00354ACD">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Paragraph 3</w:t>
      </w:r>
      <w:r w:rsidRPr="00354ACD">
        <w:rPr>
          <w:rFonts w:ascii="Arial" w:hAnsi="Arial" w:cs="Arial"/>
          <w:i/>
          <w:iCs/>
        </w:rPr>
        <w:t>(a)</w:t>
      </w:r>
      <w:r w:rsidRPr="00354ACD">
        <w:rPr>
          <w:rFonts w:ascii="Arial" w:hAnsi="Arial" w:cs="Arial"/>
        </w:rPr>
        <w:t xml:space="preserve"> of the Eighth Schedule.</w:t>
      </w:r>
    </w:p>
  </w:footnote>
  <w:footnote w:id="5">
    <w:p w14:paraId="3E937700" w14:textId="39E1327A" w:rsidR="00354ACD" w:rsidRPr="00887F58" w:rsidRDefault="00354ACD" w:rsidP="00887F58">
      <w:pPr>
        <w:spacing w:line="240" w:lineRule="auto"/>
        <w:rPr>
          <w:rFonts w:ascii="Arial" w:eastAsia="Calibri" w:hAnsi="Arial" w:cs="Arial"/>
          <w:lang w:val="en-US"/>
        </w:rPr>
      </w:pPr>
      <w:r w:rsidRPr="00887F58">
        <w:rPr>
          <w:rStyle w:val="FootnoteReference"/>
          <w:rFonts w:ascii="Arial" w:hAnsi="Arial" w:cs="Arial"/>
          <w:sz w:val="20"/>
          <w:szCs w:val="20"/>
        </w:rPr>
        <w:footnoteRef/>
      </w:r>
      <w:r w:rsidRPr="00887F58">
        <w:rPr>
          <w:rFonts w:ascii="Arial" w:hAnsi="Arial" w:cs="Arial"/>
          <w:sz w:val="20"/>
          <w:szCs w:val="20"/>
        </w:rPr>
        <w:t xml:space="preserve"> </w:t>
      </w:r>
      <w:r w:rsidR="00A47470">
        <w:rPr>
          <w:rFonts w:ascii="Arial" w:hAnsi="Arial" w:cs="Arial"/>
          <w:sz w:val="20"/>
          <w:szCs w:val="20"/>
        </w:rPr>
        <w:t xml:space="preserve">See </w:t>
      </w:r>
      <w:r w:rsidR="00A47470" w:rsidRPr="00354ACD">
        <w:rPr>
          <w:rFonts w:ascii="Arial" w:hAnsi="Arial" w:cs="Arial"/>
          <w:i/>
          <w:iCs/>
          <w:sz w:val="20"/>
          <w:szCs w:val="20"/>
          <w:shd w:val="clear" w:color="auto" w:fill="FFFFFF"/>
        </w:rPr>
        <w:t>C:SARS v United Manganese of Kalahari (Pty) Ltd </w:t>
      </w:r>
      <w:hyperlink r:id="rId1" w:tooltip="View LawCiteRecord" w:history="1">
        <w:r w:rsidR="00A47470" w:rsidRPr="00354ACD">
          <w:rPr>
            <w:rStyle w:val="Hyperlink"/>
            <w:rFonts w:ascii="Arial" w:hAnsi="Arial" w:cs="Arial"/>
            <w:bCs/>
            <w:color w:val="auto"/>
            <w:sz w:val="20"/>
            <w:szCs w:val="20"/>
            <w:u w:val="none"/>
            <w:shd w:val="clear" w:color="auto" w:fill="FFFFFF"/>
          </w:rPr>
          <w:t>[2020] ZASCA 16</w:t>
        </w:r>
      </w:hyperlink>
      <w:r w:rsidR="00A47470" w:rsidRPr="00354ACD">
        <w:rPr>
          <w:rStyle w:val="Hyperlink"/>
          <w:rFonts w:ascii="Arial" w:hAnsi="Arial" w:cs="Arial"/>
          <w:bCs/>
          <w:color w:val="auto"/>
          <w:sz w:val="20"/>
          <w:szCs w:val="20"/>
          <w:u w:val="none"/>
          <w:shd w:val="clear" w:color="auto" w:fill="FFFFFF"/>
        </w:rPr>
        <w:t>; 2020 (4) SA 428 (SCA</w:t>
      </w:r>
      <w:r w:rsidR="00A47470">
        <w:rPr>
          <w:rStyle w:val="Hyperlink"/>
          <w:rFonts w:ascii="Arial" w:hAnsi="Arial" w:cs="Arial"/>
          <w:bCs/>
          <w:color w:val="auto"/>
          <w:sz w:val="20"/>
          <w:szCs w:val="20"/>
          <w:u w:val="none"/>
          <w:shd w:val="clear" w:color="auto" w:fill="FFFFFF"/>
        </w:rPr>
        <w:t>) para 8.</w:t>
      </w:r>
      <w:r w:rsidR="00A47470" w:rsidRPr="00A47470">
        <w:rPr>
          <w:rFonts w:ascii="Arial" w:hAnsi="Arial" w:cs="Arial"/>
          <w:sz w:val="20"/>
          <w:szCs w:val="20"/>
          <w:lang w:val="en-GB"/>
        </w:rPr>
        <w:t xml:space="preserve"> </w:t>
      </w:r>
      <w:r w:rsidRPr="00887F58">
        <w:rPr>
          <w:rFonts w:ascii="Arial" w:hAnsi="Arial" w:cs="Arial"/>
          <w:sz w:val="20"/>
          <w:szCs w:val="20"/>
          <w:lang w:val="en-GB"/>
        </w:rPr>
        <w:t>See also</w:t>
      </w:r>
      <w:r w:rsidRPr="00354ACD">
        <w:rPr>
          <w:rFonts w:ascii="Arial" w:eastAsia="Calibri" w:hAnsi="Arial" w:cs="Arial"/>
          <w:i/>
          <w:sz w:val="20"/>
          <w:szCs w:val="20"/>
          <w:lang w:val="en-US"/>
        </w:rPr>
        <w:t xml:space="preserve"> Natal Joint Municipal Pension Fund v Endumeni Municipality</w:t>
      </w:r>
      <w:r w:rsidRPr="00354ACD">
        <w:rPr>
          <w:rFonts w:ascii="Arial" w:eastAsia="Calibri" w:hAnsi="Arial" w:cs="Arial"/>
          <w:sz w:val="20"/>
          <w:szCs w:val="20"/>
          <w:lang w:val="en-US"/>
        </w:rPr>
        <w:t xml:space="preserve"> </w:t>
      </w:r>
      <w:r w:rsidR="00505D1C" w:rsidRPr="00354ACD">
        <w:rPr>
          <w:rFonts w:ascii="Arial" w:eastAsia="Calibri" w:hAnsi="Arial" w:cs="Arial"/>
          <w:sz w:val="20"/>
          <w:szCs w:val="20"/>
          <w:lang w:val="en-US"/>
        </w:rPr>
        <w:t>[2012] ZASCA 13</w:t>
      </w:r>
      <w:r w:rsidR="00505D1C">
        <w:rPr>
          <w:rFonts w:ascii="Arial" w:eastAsia="Calibri" w:hAnsi="Arial" w:cs="Arial"/>
          <w:sz w:val="20"/>
          <w:szCs w:val="20"/>
          <w:lang w:val="en-US"/>
        </w:rPr>
        <w:t xml:space="preserve">; </w:t>
      </w:r>
      <w:r w:rsidRPr="00354ACD">
        <w:rPr>
          <w:rFonts w:ascii="Arial" w:eastAsia="Calibri" w:hAnsi="Arial" w:cs="Arial"/>
          <w:sz w:val="20"/>
          <w:szCs w:val="20"/>
          <w:lang w:val="en-US"/>
        </w:rPr>
        <w:t>2012 (4) SA 593 (SCA)</w:t>
      </w:r>
      <w:r w:rsidR="00505D1C">
        <w:rPr>
          <w:rFonts w:ascii="Arial" w:eastAsia="Calibri" w:hAnsi="Arial" w:cs="Arial"/>
          <w:sz w:val="20"/>
          <w:szCs w:val="20"/>
          <w:lang w:val="en-US"/>
        </w:rPr>
        <w:t xml:space="preserve">; </w:t>
      </w:r>
      <w:r w:rsidRPr="00354ACD">
        <w:rPr>
          <w:rFonts w:ascii="Arial" w:eastAsia="Calibri" w:hAnsi="Arial" w:cs="Arial"/>
          <w:sz w:val="20"/>
          <w:szCs w:val="20"/>
          <w:lang w:val="en-US"/>
        </w:rPr>
        <w:t xml:space="preserve">[2012] 2 All SA 262 para 18; </w:t>
      </w:r>
      <w:r w:rsidRPr="00354ACD">
        <w:rPr>
          <w:rFonts w:ascii="Arial" w:eastAsia="Calibri" w:hAnsi="Arial" w:cs="Arial"/>
          <w:i/>
          <w:sz w:val="20"/>
          <w:szCs w:val="20"/>
          <w:lang w:val="en-US"/>
        </w:rPr>
        <w:t>Airports Company South Africa v Big Five Duty Free (Pty) Ltd and Others</w:t>
      </w:r>
      <w:r w:rsidRPr="00354ACD">
        <w:rPr>
          <w:rFonts w:ascii="Arial" w:eastAsia="Calibri" w:hAnsi="Arial" w:cs="Arial"/>
          <w:sz w:val="20"/>
          <w:szCs w:val="20"/>
          <w:lang w:val="en-US"/>
        </w:rPr>
        <w:t xml:space="preserve"> </w:t>
      </w:r>
      <w:r w:rsidR="00643D79" w:rsidRPr="00354ACD">
        <w:rPr>
          <w:rFonts w:ascii="Arial" w:eastAsia="Calibri" w:hAnsi="Arial" w:cs="Arial"/>
          <w:sz w:val="20"/>
          <w:szCs w:val="20"/>
          <w:lang w:val="en-US"/>
        </w:rPr>
        <w:t>[2018] ZACC 33</w:t>
      </w:r>
      <w:r w:rsidR="00643D79">
        <w:rPr>
          <w:rFonts w:ascii="Arial" w:eastAsia="Calibri" w:hAnsi="Arial" w:cs="Arial"/>
          <w:sz w:val="20"/>
          <w:szCs w:val="20"/>
          <w:lang w:val="en-US"/>
        </w:rPr>
        <w:t xml:space="preserve">; </w:t>
      </w:r>
      <w:r w:rsidRPr="00354ACD">
        <w:rPr>
          <w:rFonts w:ascii="Arial" w:eastAsia="Calibri" w:hAnsi="Arial" w:cs="Arial"/>
          <w:sz w:val="20"/>
          <w:szCs w:val="20"/>
          <w:lang w:val="en-US"/>
        </w:rPr>
        <w:t>2019 (5) SA 1 (CC) para 29</w:t>
      </w:r>
      <w:r w:rsidR="0049510B">
        <w:rPr>
          <w:rFonts w:ascii="Arial" w:eastAsia="Calibri" w:hAnsi="Arial" w:cs="Arial"/>
          <w:sz w:val="20"/>
          <w:szCs w:val="20"/>
          <w:lang w:val="en-US"/>
        </w:rPr>
        <w:t xml:space="preserve">; </w:t>
      </w:r>
      <w:r w:rsidRPr="00354ACD">
        <w:rPr>
          <w:rFonts w:ascii="Arial" w:eastAsia="Calibri" w:hAnsi="Arial" w:cs="Arial"/>
          <w:i/>
          <w:sz w:val="20"/>
          <w:szCs w:val="20"/>
          <w:lang w:val="en-US"/>
        </w:rPr>
        <w:t xml:space="preserve">Commissioner, South African Revenue Service v Bosch and Another </w:t>
      </w:r>
      <w:r w:rsidR="00643D79" w:rsidRPr="00A47470">
        <w:rPr>
          <w:rFonts w:ascii="Arial" w:eastAsia="Calibri" w:hAnsi="Arial" w:cs="Arial"/>
          <w:sz w:val="20"/>
          <w:szCs w:val="20"/>
          <w:lang w:val="en-US"/>
        </w:rPr>
        <w:t>[2014] ZASCA 171</w:t>
      </w:r>
      <w:r w:rsidR="00643D79">
        <w:rPr>
          <w:rFonts w:ascii="Arial" w:eastAsia="Calibri" w:hAnsi="Arial" w:cs="Arial"/>
          <w:sz w:val="20"/>
          <w:szCs w:val="20"/>
          <w:lang w:val="en-US"/>
        </w:rPr>
        <w:t xml:space="preserve">; </w:t>
      </w:r>
      <w:r w:rsidRPr="00354ACD">
        <w:rPr>
          <w:rFonts w:ascii="Arial" w:eastAsia="Calibri" w:hAnsi="Arial" w:cs="Arial"/>
          <w:sz w:val="20"/>
          <w:szCs w:val="20"/>
          <w:lang w:val="en-US"/>
        </w:rPr>
        <w:t xml:space="preserve">2015 (2) SA 174 </w:t>
      </w:r>
      <w:r w:rsidR="00A47470" w:rsidRPr="00A47470">
        <w:rPr>
          <w:rFonts w:ascii="Arial" w:eastAsia="Calibri" w:hAnsi="Arial" w:cs="Arial"/>
          <w:sz w:val="20"/>
          <w:szCs w:val="20"/>
          <w:lang w:val="en-US"/>
        </w:rPr>
        <w:t>(SCA) para 9</w:t>
      </w:r>
      <w:r w:rsidRPr="00887F58">
        <w:rPr>
          <w:rFonts w:ascii="Arial" w:hAnsi="Arial" w:cs="Arial"/>
          <w:sz w:val="20"/>
          <w:szCs w:val="20"/>
          <w:lang w:val="en-GB"/>
        </w:rPr>
        <w:t xml:space="preserve">. </w:t>
      </w:r>
    </w:p>
  </w:footnote>
  <w:footnote w:id="6">
    <w:p w14:paraId="3A490CAC" w14:textId="77777777" w:rsidR="00FC36BA" w:rsidRPr="00354ACD" w:rsidRDefault="00FC36BA" w:rsidP="00FC36BA">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w:t>
      </w:r>
      <w:r w:rsidRPr="00354ACD">
        <w:rPr>
          <w:rFonts w:ascii="Arial" w:hAnsi="Arial" w:cs="Arial"/>
          <w:i/>
        </w:rPr>
        <w:t>Milnerton Estates Ltd v CSARS</w:t>
      </w:r>
      <w:r w:rsidRPr="00354ACD">
        <w:rPr>
          <w:rFonts w:ascii="Arial" w:hAnsi="Arial" w:cs="Arial"/>
        </w:rPr>
        <w:t xml:space="preserve"> [2018] ZASCA 155; 2019 (2) SA 386 (SCA) para 22.</w:t>
      </w:r>
    </w:p>
  </w:footnote>
  <w:footnote w:id="7">
    <w:p w14:paraId="1F77FBE0" w14:textId="77777777" w:rsidR="000A6114" w:rsidRPr="00354ACD" w:rsidRDefault="000A6114" w:rsidP="00354ACD">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w:t>
      </w:r>
      <w:r w:rsidRPr="00354ACD">
        <w:rPr>
          <w:rFonts w:ascii="Arial" w:hAnsi="Arial" w:cs="Arial"/>
          <w:i/>
        </w:rPr>
        <w:t>Armstrong v Commissioner of Inland Revenue</w:t>
      </w:r>
      <w:r w:rsidRPr="00354ACD">
        <w:rPr>
          <w:rFonts w:ascii="Arial" w:hAnsi="Arial" w:cs="Arial"/>
        </w:rPr>
        <w:t xml:space="preserve"> 1938 AD 343 at 348-</w:t>
      </w:r>
      <w:r w:rsidR="0049510B">
        <w:rPr>
          <w:rFonts w:ascii="Arial" w:hAnsi="Arial" w:cs="Arial"/>
        </w:rPr>
        <w:t>34</w:t>
      </w:r>
      <w:r w:rsidRPr="00354ACD">
        <w:rPr>
          <w:rFonts w:ascii="Arial" w:hAnsi="Arial" w:cs="Arial"/>
        </w:rPr>
        <w:t>9.</w:t>
      </w:r>
    </w:p>
  </w:footnote>
  <w:footnote w:id="8">
    <w:p w14:paraId="59068E99" w14:textId="77777777" w:rsidR="000A6114" w:rsidRPr="00354ACD" w:rsidRDefault="000A6114" w:rsidP="00354ACD">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w:t>
      </w:r>
      <w:r w:rsidRPr="00354ACD">
        <w:rPr>
          <w:rFonts w:ascii="Arial" w:hAnsi="Arial" w:cs="Arial"/>
          <w:i/>
        </w:rPr>
        <w:t>Secretary for Inland Revenue v Rosen</w:t>
      </w:r>
      <w:r w:rsidRPr="00354ACD">
        <w:rPr>
          <w:rFonts w:ascii="Arial" w:hAnsi="Arial" w:cs="Arial"/>
        </w:rPr>
        <w:t xml:space="preserve"> 1971 (1) SA 172 (A) at 190H-191A.</w:t>
      </w:r>
    </w:p>
  </w:footnote>
  <w:footnote w:id="9">
    <w:p w14:paraId="6B9975B2" w14:textId="77777777" w:rsidR="000A6114" w:rsidRPr="00354ACD" w:rsidRDefault="000A6114" w:rsidP="00354ACD">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Section 222 (1) of the TAA provides:</w:t>
      </w:r>
    </w:p>
    <w:p w14:paraId="79452000" w14:textId="6C1C3D49" w:rsidR="000A6114" w:rsidRPr="00354ACD" w:rsidRDefault="000A6114" w:rsidP="00354ACD">
      <w:pPr>
        <w:pStyle w:val="FootnoteText"/>
        <w:rPr>
          <w:rFonts w:ascii="Arial" w:hAnsi="Arial" w:cs="Arial"/>
        </w:rPr>
      </w:pPr>
      <w:r w:rsidRPr="00354ACD">
        <w:rPr>
          <w:rFonts w:ascii="Arial" w:hAnsi="Arial" w:cs="Arial"/>
        </w:rPr>
        <w:t xml:space="preserve">‘In the event of an “understatement” by the taxpayer, the taxpayer must pay, in addition to the “tax” payable for the relevant tax period, the understatement penalty determined under subsection (2) unless the “understatement” results from a </w:t>
      </w:r>
      <w:r w:rsidRPr="00354ACD">
        <w:rPr>
          <w:rFonts w:ascii="Arial" w:hAnsi="Arial" w:cs="Arial"/>
          <w:i/>
        </w:rPr>
        <w:t>bona fide</w:t>
      </w:r>
      <w:r w:rsidRPr="00354ACD">
        <w:rPr>
          <w:rFonts w:ascii="Arial" w:hAnsi="Arial" w:cs="Arial"/>
        </w:rPr>
        <w:t xml:space="preserve"> inadvertent error.’</w:t>
      </w:r>
    </w:p>
  </w:footnote>
  <w:footnote w:id="10">
    <w:p w14:paraId="6BE9A765" w14:textId="77777777" w:rsidR="000A6114" w:rsidRPr="00422D06" w:rsidRDefault="000A6114" w:rsidP="00354ACD">
      <w:pPr>
        <w:pStyle w:val="FootnoteText"/>
        <w:rPr>
          <w:rFonts w:ascii="Arial" w:hAnsi="Arial" w:cs="Arial"/>
        </w:rPr>
      </w:pPr>
      <w:r w:rsidRPr="00354ACD">
        <w:rPr>
          <w:rStyle w:val="FootnoteReference"/>
          <w:rFonts w:ascii="Arial" w:hAnsi="Arial" w:cs="Arial"/>
        </w:rPr>
        <w:footnoteRef/>
      </w:r>
      <w:r w:rsidRPr="00354ACD">
        <w:rPr>
          <w:rFonts w:ascii="Arial" w:hAnsi="Arial" w:cs="Arial"/>
        </w:rPr>
        <w:t xml:space="preserve"> </w:t>
      </w:r>
      <w:r w:rsidRPr="00422D06">
        <w:rPr>
          <w:rFonts w:ascii="Arial" w:hAnsi="Arial" w:cs="Arial"/>
        </w:rPr>
        <w:t>Section 89</w:t>
      </w:r>
      <w:r w:rsidRPr="00422D06">
        <w:rPr>
          <w:rFonts w:ascii="Arial" w:hAnsi="Arial" w:cs="Arial"/>
          <w:i/>
          <w:iCs/>
        </w:rPr>
        <w:t>quat</w:t>
      </w:r>
      <w:r w:rsidRPr="00422D06">
        <w:rPr>
          <w:rFonts w:ascii="Arial" w:hAnsi="Arial" w:cs="Arial"/>
        </w:rPr>
        <w:t xml:space="preserve">(2): </w:t>
      </w:r>
    </w:p>
    <w:p w14:paraId="7DC7B038" w14:textId="029B126A" w:rsidR="000A6114" w:rsidRPr="00354ACD" w:rsidRDefault="000A6114" w:rsidP="00354ACD">
      <w:pPr>
        <w:pStyle w:val="FootnoteText"/>
        <w:rPr>
          <w:rFonts w:ascii="Arial" w:hAnsi="Arial" w:cs="Arial"/>
        </w:rPr>
      </w:pPr>
      <w:r w:rsidRPr="00EF664B">
        <w:rPr>
          <w:rFonts w:ascii="Arial" w:hAnsi="Arial" w:cs="Arial"/>
        </w:rPr>
        <w:t>‘(2) If the taxable income</w:t>
      </w:r>
      <w:r w:rsidRPr="00354ACD">
        <w:rPr>
          <w:rFonts w:ascii="Arial" w:hAnsi="Arial" w:cs="Arial"/>
        </w:rPr>
        <w:t xml:space="preserve"> of any provisional taxpayer as finally determined for any year of assessment exceeds –</w:t>
      </w:r>
      <w:r w:rsidR="00180CB3">
        <w:rPr>
          <w:rFonts w:ascii="Arial" w:hAnsi="Arial" w:cs="Arial"/>
        </w:rPr>
        <w:t xml:space="preserve"> </w:t>
      </w:r>
    </w:p>
    <w:p w14:paraId="70C04F26" w14:textId="58E970D4" w:rsidR="000A6114" w:rsidRPr="00354ACD" w:rsidRDefault="000A6114" w:rsidP="00354ACD">
      <w:pPr>
        <w:pStyle w:val="FootnoteText"/>
        <w:tabs>
          <w:tab w:val="left" w:pos="392"/>
        </w:tabs>
        <w:rPr>
          <w:rFonts w:ascii="Arial" w:hAnsi="Arial" w:cs="Arial"/>
        </w:rPr>
      </w:pPr>
      <w:r w:rsidRPr="00354ACD">
        <w:rPr>
          <w:rFonts w:ascii="Arial" w:hAnsi="Arial" w:cs="Arial"/>
        </w:rPr>
        <w:t>(a) R20 000 in the case of a company; or</w:t>
      </w:r>
    </w:p>
    <w:p w14:paraId="1CA959EC" w14:textId="77777777" w:rsidR="000A6114" w:rsidRPr="00354ACD" w:rsidRDefault="000A6114" w:rsidP="00354ACD">
      <w:pPr>
        <w:pStyle w:val="FootnoteText"/>
        <w:tabs>
          <w:tab w:val="left" w:pos="392"/>
        </w:tabs>
        <w:rPr>
          <w:rFonts w:ascii="Arial" w:hAnsi="Arial" w:cs="Arial"/>
        </w:rPr>
      </w:pPr>
      <w:r w:rsidRPr="00354ACD">
        <w:rPr>
          <w:rFonts w:ascii="Arial" w:hAnsi="Arial" w:cs="Arial"/>
        </w:rPr>
        <w:t>(b) R50 000 in the case of any person other than a company, and the normal tax payable by him in respect of such taxable income exceeds the credit amount in relation to such year, interest shall, subject to the provisions of subsection (3), be payable by the taxpayer at the prescribed rate on the amount by which such normal tax exceeds the credit amount, such interest being calculated from the effective date in relation to the said year until the date of assessment of such normal tax.’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269"/>
      <w:docPartObj>
        <w:docPartGallery w:val="Page Numbers (Top of Page)"/>
        <w:docPartUnique/>
      </w:docPartObj>
    </w:sdtPr>
    <w:sdtEndPr>
      <w:rPr>
        <w:rFonts w:ascii="Arial" w:hAnsi="Arial" w:cs="Arial"/>
        <w:noProof/>
      </w:rPr>
    </w:sdtEndPr>
    <w:sdtContent>
      <w:p w14:paraId="3B5A3B00" w14:textId="50E24338" w:rsidR="000A6114" w:rsidRPr="008F1DAB" w:rsidRDefault="000A6114">
        <w:pPr>
          <w:pStyle w:val="Header"/>
          <w:jc w:val="right"/>
          <w:rPr>
            <w:rFonts w:ascii="Arial" w:hAnsi="Arial" w:cs="Arial"/>
          </w:rPr>
        </w:pPr>
        <w:r w:rsidRPr="008F1DAB">
          <w:rPr>
            <w:rFonts w:ascii="Arial" w:hAnsi="Arial" w:cs="Arial"/>
          </w:rPr>
          <w:fldChar w:fldCharType="begin"/>
        </w:r>
        <w:r w:rsidRPr="008F1DAB">
          <w:rPr>
            <w:rFonts w:ascii="Arial" w:hAnsi="Arial" w:cs="Arial"/>
          </w:rPr>
          <w:instrText xml:space="preserve"> PAGE   \* MERGEFORMAT </w:instrText>
        </w:r>
        <w:r w:rsidRPr="008F1DAB">
          <w:rPr>
            <w:rFonts w:ascii="Arial" w:hAnsi="Arial" w:cs="Arial"/>
          </w:rPr>
          <w:fldChar w:fldCharType="separate"/>
        </w:r>
        <w:r w:rsidR="006D1F6B">
          <w:rPr>
            <w:rFonts w:ascii="Arial" w:hAnsi="Arial" w:cs="Arial"/>
            <w:noProof/>
          </w:rPr>
          <w:t>11</w:t>
        </w:r>
        <w:r w:rsidRPr="008F1DAB">
          <w:rPr>
            <w:rFonts w:ascii="Arial" w:hAnsi="Arial" w:cs="Arial"/>
            <w:noProof/>
          </w:rPr>
          <w:fldChar w:fldCharType="end"/>
        </w:r>
      </w:p>
    </w:sdtContent>
  </w:sdt>
  <w:p w14:paraId="0F9638F5" w14:textId="77777777" w:rsidR="000A6114" w:rsidRDefault="000A61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2D"/>
    <w:multiLevelType w:val="hybridMultilevel"/>
    <w:tmpl w:val="9EEEA326"/>
    <w:lvl w:ilvl="0" w:tplc="013CBD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2914C8"/>
    <w:multiLevelType w:val="hybridMultilevel"/>
    <w:tmpl w:val="A54E54C4"/>
    <w:lvl w:ilvl="0" w:tplc="C8FE42E8">
      <w:start w:val="1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FF3FA4"/>
    <w:multiLevelType w:val="hybridMultilevel"/>
    <w:tmpl w:val="9036C920"/>
    <w:lvl w:ilvl="0" w:tplc="C1AEB92C">
      <w:start w:val="1"/>
      <w:numFmt w:val="decimal"/>
      <w:lvlText w:val="[%1]"/>
      <w:lvlJc w:val="left"/>
      <w:pPr>
        <w:ind w:left="502" w:hanging="360"/>
      </w:pPr>
      <w:rPr>
        <w:rFonts w:hint="default"/>
        <w:sz w:val="24"/>
        <w:szCs w:val="24"/>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 w15:restartNumberingAfterBreak="0">
    <w:nsid w:val="126A1680"/>
    <w:multiLevelType w:val="hybridMultilevel"/>
    <w:tmpl w:val="C072612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4F71F0"/>
    <w:multiLevelType w:val="hybridMultilevel"/>
    <w:tmpl w:val="423A17B2"/>
    <w:lvl w:ilvl="0" w:tplc="B3847A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1838B0"/>
    <w:multiLevelType w:val="hybridMultilevel"/>
    <w:tmpl w:val="519C1DBA"/>
    <w:lvl w:ilvl="0" w:tplc="26968F9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2D250DA"/>
    <w:multiLevelType w:val="hybridMultilevel"/>
    <w:tmpl w:val="BCC8BA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AF5ADE"/>
    <w:multiLevelType w:val="hybridMultilevel"/>
    <w:tmpl w:val="ECF40A7A"/>
    <w:lvl w:ilvl="0" w:tplc="A328AE5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61D13BD"/>
    <w:multiLevelType w:val="multilevel"/>
    <w:tmpl w:val="1B9A4CA6"/>
    <w:lvl w:ilvl="0">
      <w:start w:val="1"/>
      <w:numFmt w:val="decimal"/>
      <w:pStyle w:val="JUGMENTNUMBERED"/>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6"/>
        <w:szCs w:val="2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B04F03"/>
    <w:multiLevelType w:val="hybridMultilevel"/>
    <w:tmpl w:val="F4C6EF9A"/>
    <w:lvl w:ilvl="0" w:tplc="7724007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78354C"/>
    <w:multiLevelType w:val="hybridMultilevel"/>
    <w:tmpl w:val="98F699B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CFA5999"/>
    <w:multiLevelType w:val="hybridMultilevel"/>
    <w:tmpl w:val="47A03D2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4045358"/>
    <w:multiLevelType w:val="hybridMultilevel"/>
    <w:tmpl w:val="D25CC0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5605A4"/>
    <w:multiLevelType w:val="multilevel"/>
    <w:tmpl w:val="4AC6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86F39"/>
    <w:multiLevelType w:val="hybridMultilevel"/>
    <w:tmpl w:val="5D9CAAEA"/>
    <w:lvl w:ilvl="0" w:tplc="7C2E7540">
      <w:start w:val="15"/>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3C5BC1"/>
    <w:multiLevelType w:val="hybridMultilevel"/>
    <w:tmpl w:val="894CB4AE"/>
    <w:lvl w:ilvl="0" w:tplc="E96A1D84">
      <w:start w:val="1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FB333BB"/>
    <w:multiLevelType w:val="hybridMultilevel"/>
    <w:tmpl w:val="F3A22E2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8BA046F"/>
    <w:multiLevelType w:val="hybridMultilevel"/>
    <w:tmpl w:val="5C3E36D0"/>
    <w:lvl w:ilvl="0" w:tplc="D2BC01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C812C88"/>
    <w:multiLevelType w:val="hybridMultilevel"/>
    <w:tmpl w:val="7CF40FA0"/>
    <w:lvl w:ilvl="0" w:tplc="08249E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11"/>
  </w:num>
  <w:num w:numId="5">
    <w:abstractNumId w:val="5"/>
  </w:num>
  <w:num w:numId="6">
    <w:abstractNumId w:val="1"/>
  </w:num>
  <w:num w:numId="7">
    <w:abstractNumId w:val="9"/>
  </w:num>
  <w:num w:numId="8">
    <w:abstractNumId w:val="14"/>
  </w:num>
  <w:num w:numId="9">
    <w:abstractNumId w:val="15"/>
  </w:num>
  <w:num w:numId="10">
    <w:abstractNumId w:val="2"/>
  </w:num>
  <w:num w:numId="11">
    <w:abstractNumId w:val="12"/>
  </w:num>
  <w:num w:numId="12">
    <w:abstractNumId w:val="3"/>
  </w:num>
  <w:num w:numId="13">
    <w:abstractNumId w:val="7"/>
  </w:num>
  <w:num w:numId="14">
    <w:abstractNumId w:val="6"/>
  </w:num>
  <w:num w:numId="15">
    <w:abstractNumId w:val="13"/>
    <w:lvlOverride w:ilvl="0">
      <w:startOverride w:val="18"/>
    </w:lvlOverride>
  </w:num>
  <w:num w:numId="16">
    <w:abstractNumId w:val="17"/>
  </w:num>
  <w:num w:numId="17">
    <w:abstractNumId w:val="4"/>
  </w:num>
  <w:num w:numId="18">
    <w:abstractNumId w:val="0"/>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NTW2tDSzMDIxMTJS0lEKTi0uzszPAykwrgUAU+BZcSwAAAA="/>
  </w:docVars>
  <w:rsids>
    <w:rsidRoot w:val="000B5766"/>
    <w:rsid w:val="000018B1"/>
    <w:rsid w:val="00003305"/>
    <w:rsid w:val="00003355"/>
    <w:rsid w:val="00007811"/>
    <w:rsid w:val="000079CB"/>
    <w:rsid w:val="000121A3"/>
    <w:rsid w:val="00012393"/>
    <w:rsid w:val="00013554"/>
    <w:rsid w:val="00013C7F"/>
    <w:rsid w:val="0001456A"/>
    <w:rsid w:val="000176C2"/>
    <w:rsid w:val="00017C43"/>
    <w:rsid w:val="00020805"/>
    <w:rsid w:val="00021385"/>
    <w:rsid w:val="000269B0"/>
    <w:rsid w:val="00030BC8"/>
    <w:rsid w:val="00031946"/>
    <w:rsid w:val="000328CD"/>
    <w:rsid w:val="000338FD"/>
    <w:rsid w:val="00036897"/>
    <w:rsid w:val="0004110D"/>
    <w:rsid w:val="00042306"/>
    <w:rsid w:val="0004481B"/>
    <w:rsid w:val="00051A05"/>
    <w:rsid w:val="0005499B"/>
    <w:rsid w:val="00055577"/>
    <w:rsid w:val="0005667F"/>
    <w:rsid w:val="000571D5"/>
    <w:rsid w:val="00062D73"/>
    <w:rsid w:val="000652A0"/>
    <w:rsid w:val="00067322"/>
    <w:rsid w:val="00070553"/>
    <w:rsid w:val="00070758"/>
    <w:rsid w:val="0007089B"/>
    <w:rsid w:val="00074D00"/>
    <w:rsid w:val="000806D9"/>
    <w:rsid w:val="00081412"/>
    <w:rsid w:val="0008238C"/>
    <w:rsid w:val="00082E5F"/>
    <w:rsid w:val="000904D8"/>
    <w:rsid w:val="00093B21"/>
    <w:rsid w:val="00097534"/>
    <w:rsid w:val="00097852"/>
    <w:rsid w:val="000A19D1"/>
    <w:rsid w:val="000A1C83"/>
    <w:rsid w:val="000A1F27"/>
    <w:rsid w:val="000A221A"/>
    <w:rsid w:val="000A2BF1"/>
    <w:rsid w:val="000A36B0"/>
    <w:rsid w:val="000A36C5"/>
    <w:rsid w:val="000A604F"/>
    <w:rsid w:val="000A6114"/>
    <w:rsid w:val="000B10B0"/>
    <w:rsid w:val="000B5766"/>
    <w:rsid w:val="000B5D7E"/>
    <w:rsid w:val="000B6CEC"/>
    <w:rsid w:val="000C1117"/>
    <w:rsid w:val="000C1701"/>
    <w:rsid w:val="000C1B67"/>
    <w:rsid w:val="000C61D7"/>
    <w:rsid w:val="000C6706"/>
    <w:rsid w:val="000C7FE6"/>
    <w:rsid w:val="000D18B3"/>
    <w:rsid w:val="000D2649"/>
    <w:rsid w:val="000D42AA"/>
    <w:rsid w:val="000D671C"/>
    <w:rsid w:val="000D6F36"/>
    <w:rsid w:val="000E0A13"/>
    <w:rsid w:val="000E4663"/>
    <w:rsid w:val="000F051F"/>
    <w:rsid w:val="000F0717"/>
    <w:rsid w:val="000F2C53"/>
    <w:rsid w:val="000F33DC"/>
    <w:rsid w:val="000F4E7A"/>
    <w:rsid w:val="000F53C4"/>
    <w:rsid w:val="000F6198"/>
    <w:rsid w:val="000F6490"/>
    <w:rsid w:val="001020CE"/>
    <w:rsid w:val="001028B6"/>
    <w:rsid w:val="00106B20"/>
    <w:rsid w:val="00110135"/>
    <w:rsid w:val="00111406"/>
    <w:rsid w:val="00113748"/>
    <w:rsid w:val="00113C2F"/>
    <w:rsid w:val="00114CD1"/>
    <w:rsid w:val="00116036"/>
    <w:rsid w:val="0012061F"/>
    <w:rsid w:val="00120D2D"/>
    <w:rsid w:val="00124E09"/>
    <w:rsid w:val="00124ED5"/>
    <w:rsid w:val="0012611B"/>
    <w:rsid w:val="00130155"/>
    <w:rsid w:val="0013172C"/>
    <w:rsid w:val="00131F41"/>
    <w:rsid w:val="0013325A"/>
    <w:rsid w:val="00134552"/>
    <w:rsid w:val="00134EAE"/>
    <w:rsid w:val="00135D4C"/>
    <w:rsid w:val="00136515"/>
    <w:rsid w:val="0013701E"/>
    <w:rsid w:val="00142441"/>
    <w:rsid w:val="001426D6"/>
    <w:rsid w:val="00142A64"/>
    <w:rsid w:val="0014402F"/>
    <w:rsid w:val="00144656"/>
    <w:rsid w:val="001468C5"/>
    <w:rsid w:val="00151018"/>
    <w:rsid w:val="00152C00"/>
    <w:rsid w:val="00152E8E"/>
    <w:rsid w:val="001542D9"/>
    <w:rsid w:val="001544E8"/>
    <w:rsid w:val="00154C0A"/>
    <w:rsid w:val="00154EDC"/>
    <w:rsid w:val="00156628"/>
    <w:rsid w:val="0015725F"/>
    <w:rsid w:val="00160D0B"/>
    <w:rsid w:val="0016160D"/>
    <w:rsid w:val="00162FB9"/>
    <w:rsid w:val="0016367C"/>
    <w:rsid w:val="0016548D"/>
    <w:rsid w:val="00165B3D"/>
    <w:rsid w:val="001709C7"/>
    <w:rsid w:val="00170C05"/>
    <w:rsid w:val="00170E43"/>
    <w:rsid w:val="00171076"/>
    <w:rsid w:val="00172436"/>
    <w:rsid w:val="00172A3D"/>
    <w:rsid w:val="00172B4D"/>
    <w:rsid w:val="00175F3C"/>
    <w:rsid w:val="00180CB3"/>
    <w:rsid w:val="00181B45"/>
    <w:rsid w:val="00182B34"/>
    <w:rsid w:val="00184C75"/>
    <w:rsid w:val="00186189"/>
    <w:rsid w:val="00186DDF"/>
    <w:rsid w:val="0018770D"/>
    <w:rsid w:val="00187B7E"/>
    <w:rsid w:val="00190476"/>
    <w:rsid w:val="00191BD1"/>
    <w:rsid w:val="00192CA2"/>
    <w:rsid w:val="00194370"/>
    <w:rsid w:val="001944BF"/>
    <w:rsid w:val="00195F21"/>
    <w:rsid w:val="001960F5"/>
    <w:rsid w:val="001973D0"/>
    <w:rsid w:val="001973F4"/>
    <w:rsid w:val="001A053C"/>
    <w:rsid w:val="001A084A"/>
    <w:rsid w:val="001A2773"/>
    <w:rsid w:val="001A2BAC"/>
    <w:rsid w:val="001A3E4D"/>
    <w:rsid w:val="001A425F"/>
    <w:rsid w:val="001A6908"/>
    <w:rsid w:val="001A76EA"/>
    <w:rsid w:val="001B0703"/>
    <w:rsid w:val="001B18F6"/>
    <w:rsid w:val="001B1C81"/>
    <w:rsid w:val="001B2E80"/>
    <w:rsid w:val="001B3B7C"/>
    <w:rsid w:val="001B40DF"/>
    <w:rsid w:val="001B66AE"/>
    <w:rsid w:val="001C4EBC"/>
    <w:rsid w:val="001C7CFF"/>
    <w:rsid w:val="001D02CB"/>
    <w:rsid w:val="001D0AF4"/>
    <w:rsid w:val="001D1747"/>
    <w:rsid w:val="001D1C13"/>
    <w:rsid w:val="001D55A7"/>
    <w:rsid w:val="001D5E9D"/>
    <w:rsid w:val="001D64A8"/>
    <w:rsid w:val="001E0834"/>
    <w:rsid w:val="001E4707"/>
    <w:rsid w:val="001E4D16"/>
    <w:rsid w:val="001E5812"/>
    <w:rsid w:val="001E6D04"/>
    <w:rsid w:val="001F3367"/>
    <w:rsid w:val="001F5BD0"/>
    <w:rsid w:val="00203A9E"/>
    <w:rsid w:val="00207374"/>
    <w:rsid w:val="00207C40"/>
    <w:rsid w:val="0021184A"/>
    <w:rsid w:val="002119C2"/>
    <w:rsid w:val="00212856"/>
    <w:rsid w:val="002162C1"/>
    <w:rsid w:val="0022130A"/>
    <w:rsid w:val="002228DF"/>
    <w:rsid w:val="002255DF"/>
    <w:rsid w:val="00233266"/>
    <w:rsid w:val="00234DB3"/>
    <w:rsid w:val="002374AB"/>
    <w:rsid w:val="00240D8B"/>
    <w:rsid w:val="00240ED1"/>
    <w:rsid w:val="00243B9F"/>
    <w:rsid w:val="00244315"/>
    <w:rsid w:val="002511D9"/>
    <w:rsid w:val="00254258"/>
    <w:rsid w:val="002548A3"/>
    <w:rsid w:val="002631E0"/>
    <w:rsid w:val="00272B5E"/>
    <w:rsid w:val="00276EA6"/>
    <w:rsid w:val="00280780"/>
    <w:rsid w:val="00281668"/>
    <w:rsid w:val="00283E49"/>
    <w:rsid w:val="00284708"/>
    <w:rsid w:val="00284B39"/>
    <w:rsid w:val="00285EBE"/>
    <w:rsid w:val="00290AD8"/>
    <w:rsid w:val="0029288A"/>
    <w:rsid w:val="00292A4C"/>
    <w:rsid w:val="0029333B"/>
    <w:rsid w:val="00293F51"/>
    <w:rsid w:val="00294FB6"/>
    <w:rsid w:val="002A008A"/>
    <w:rsid w:val="002A0C19"/>
    <w:rsid w:val="002A1B04"/>
    <w:rsid w:val="002A1FE5"/>
    <w:rsid w:val="002A2D74"/>
    <w:rsid w:val="002A455D"/>
    <w:rsid w:val="002A4FEB"/>
    <w:rsid w:val="002A50B6"/>
    <w:rsid w:val="002A520F"/>
    <w:rsid w:val="002A54A2"/>
    <w:rsid w:val="002A54BC"/>
    <w:rsid w:val="002A7723"/>
    <w:rsid w:val="002A7BE1"/>
    <w:rsid w:val="002B01B5"/>
    <w:rsid w:val="002B65A7"/>
    <w:rsid w:val="002B671D"/>
    <w:rsid w:val="002B748B"/>
    <w:rsid w:val="002C0921"/>
    <w:rsid w:val="002C3D16"/>
    <w:rsid w:val="002C59C7"/>
    <w:rsid w:val="002C5C22"/>
    <w:rsid w:val="002D0C85"/>
    <w:rsid w:val="002D0D9A"/>
    <w:rsid w:val="002D132F"/>
    <w:rsid w:val="002D2D8A"/>
    <w:rsid w:val="002D3BFE"/>
    <w:rsid w:val="002D4977"/>
    <w:rsid w:val="002D5C73"/>
    <w:rsid w:val="002E038A"/>
    <w:rsid w:val="002E04AE"/>
    <w:rsid w:val="002E3010"/>
    <w:rsid w:val="002E5C2C"/>
    <w:rsid w:val="002E7742"/>
    <w:rsid w:val="002F1D55"/>
    <w:rsid w:val="002F30B3"/>
    <w:rsid w:val="002F4B46"/>
    <w:rsid w:val="002F582D"/>
    <w:rsid w:val="002F7362"/>
    <w:rsid w:val="00302389"/>
    <w:rsid w:val="00302DA9"/>
    <w:rsid w:val="00303460"/>
    <w:rsid w:val="003051F6"/>
    <w:rsid w:val="003055FB"/>
    <w:rsid w:val="003104E7"/>
    <w:rsid w:val="00310B47"/>
    <w:rsid w:val="0031238F"/>
    <w:rsid w:val="0031268B"/>
    <w:rsid w:val="00313252"/>
    <w:rsid w:val="003134F4"/>
    <w:rsid w:val="00314D21"/>
    <w:rsid w:val="0031662C"/>
    <w:rsid w:val="00323509"/>
    <w:rsid w:val="00324AF0"/>
    <w:rsid w:val="003266C2"/>
    <w:rsid w:val="003267D8"/>
    <w:rsid w:val="00327000"/>
    <w:rsid w:val="0032758A"/>
    <w:rsid w:val="00330B97"/>
    <w:rsid w:val="0033234E"/>
    <w:rsid w:val="00332D4B"/>
    <w:rsid w:val="003342A0"/>
    <w:rsid w:val="00336E4B"/>
    <w:rsid w:val="0033719C"/>
    <w:rsid w:val="003400B5"/>
    <w:rsid w:val="00341482"/>
    <w:rsid w:val="00341566"/>
    <w:rsid w:val="003422CF"/>
    <w:rsid w:val="00343D48"/>
    <w:rsid w:val="00344305"/>
    <w:rsid w:val="003461A5"/>
    <w:rsid w:val="00351E50"/>
    <w:rsid w:val="00354ACD"/>
    <w:rsid w:val="00355A58"/>
    <w:rsid w:val="00360D1D"/>
    <w:rsid w:val="00361670"/>
    <w:rsid w:val="00361EF6"/>
    <w:rsid w:val="003636B3"/>
    <w:rsid w:val="00363F6A"/>
    <w:rsid w:val="003654D4"/>
    <w:rsid w:val="00365F63"/>
    <w:rsid w:val="00366D0C"/>
    <w:rsid w:val="0036719E"/>
    <w:rsid w:val="0037067C"/>
    <w:rsid w:val="00371830"/>
    <w:rsid w:val="00372062"/>
    <w:rsid w:val="00372FAA"/>
    <w:rsid w:val="00374720"/>
    <w:rsid w:val="003755C9"/>
    <w:rsid w:val="00380930"/>
    <w:rsid w:val="00380AEF"/>
    <w:rsid w:val="00380E93"/>
    <w:rsid w:val="00381A87"/>
    <w:rsid w:val="00384061"/>
    <w:rsid w:val="0038477E"/>
    <w:rsid w:val="003848FD"/>
    <w:rsid w:val="00385DE3"/>
    <w:rsid w:val="003868CF"/>
    <w:rsid w:val="003906C2"/>
    <w:rsid w:val="00390A0B"/>
    <w:rsid w:val="003919BB"/>
    <w:rsid w:val="00393992"/>
    <w:rsid w:val="00394F05"/>
    <w:rsid w:val="00397597"/>
    <w:rsid w:val="00397EBC"/>
    <w:rsid w:val="003A0EDA"/>
    <w:rsid w:val="003A1C9A"/>
    <w:rsid w:val="003A620B"/>
    <w:rsid w:val="003B226B"/>
    <w:rsid w:val="003B3CD4"/>
    <w:rsid w:val="003B48F9"/>
    <w:rsid w:val="003B5424"/>
    <w:rsid w:val="003C0102"/>
    <w:rsid w:val="003C01FA"/>
    <w:rsid w:val="003C1876"/>
    <w:rsid w:val="003C2606"/>
    <w:rsid w:val="003C4247"/>
    <w:rsid w:val="003C44EE"/>
    <w:rsid w:val="003C6647"/>
    <w:rsid w:val="003D0393"/>
    <w:rsid w:val="003D3816"/>
    <w:rsid w:val="003E3FA6"/>
    <w:rsid w:val="003E4B95"/>
    <w:rsid w:val="003F1E49"/>
    <w:rsid w:val="003F55CC"/>
    <w:rsid w:val="00400552"/>
    <w:rsid w:val="00401099"/>
    <w:rsid w:val="00402D22"/>
    <w:rsid w:val="00403D61"/>
    <w:rsid w:val="00406CBF"/>
    <w:rsid w:val="004105AF"/>
    <w:rsid w:val="00410EC4"/>
    <w:rsid w:val="00413CEB"/>
    <w:rsid w:val="00415E71"/>
    <w:rsid w:val="004172EC"/>
    <w:rsid w:val="0042060F"/>
    <w:rsid w:val="00420670"/>
    <w:rsid w:val="0042176D"/>
    <w:rsid w:val="004220BE"/>
    <w:rsid w:val="00422D06"/>
    <w:rsid w:val="00422D4E"/>
    <w:rsid w:val="00423FDF"/>
    <w:rsid w:val="00424294"/>
    <w:rsid w:val="00425CA0"/>
    <w:rsid w:val="0042650E"/>
    <w:rsid w:val="0043063A"/>
    <w:rsid w:val="00431E68"/>
    <w:rsid w:val="004336EE"/>
    <w:rsid w:val="0043516D"/>
    <w:rsid w:val="00435D7C"/>
    <w:rsid w:val="004377D5"/>
    <w:rsid w:val="00437B78"/>
    <w:rsid w:val="0044103E"/>
    <w:rsid w:val="00441A1F"/>
    <w:rsid w:val="00443053"/>
    <w:rsid w:val="004455AE"/>
    <w:rsid w:val="004523C6"/>
    <w:rsid w:val="004528F6"/>
    <w:rsid w:val="0045474C"/>
    <w:rsid w:val="00456991"/>
    <w:rsid w:val="00457A97"/>
    <w:rsid w:val="00461730"/>
    <w:rsid w:val="0046296D"/>
    <w:rsid w:val="00465648"/>
    <w:rsid w:val="00466514"/>
    <w:rsid w:val="00466563"/>
    <w:rsid w:val="00466B58"/>
    <w:rsid w:val="00467685"/>
    <w:rsid w:val="004702D7"/>
    <w:rsid w:val="004727BD"/>
    <w:rsid w:val="004746F6"/>
    <w:rsid w:val="004752CD"/>
    <w:rsid w:val="00475688"/>
    <w:rsid w:val="004757D5"/>
    <w:rsid w:val="004758F9"/>
    <w:rsid w:val="00476030"/>
    <w:rsid w:val="00476837"/>
    <w:rsid w:val="004809BD"/>
    <w:rsid w:val="00480A15"/>
    <w:rsid w:val="00483080"/>
    <w:rsid w:val="00483841"/>
    <w:rsid w:val="00483D3D"/>
    <w:rsid w:val="004855AB"/>
    <w:rsid w:val="00485A05"/>
    <w:rsid w:val="004862AC"/>
    <w:rsid w:val="00487678"/>
    <w:rsid w:val="00487BB8"/>
    <w:rsid w:val="0049039F"/>
    <w:rsid w:val="0049195C"/>
    <w:rsid w:val="00491C0D"/>
    <w:rsid w:val="00492393"/>
    <w:rsid w:val="00494CE7"/>
    <w:rsid w:val="0049510B"/>
    <w:rsid w:val="00495DC7"/>
    <w:rsid w:val="004A067F"/>
    <w:rsid w:val="004A0989"/>
    <w:rsid w:val="004A11D3"/>
    <w:rsid w:val="004A1BF4"/>
    <w:rsid w:val="004A6AFA"/>
    <w:rsid w:val="004A6EA8"/>
    <w:rsid w:val="004A70D1"/>
    <w:rsid w:val="004B0C59"/>
    <w:rsid w:val="004B0DC6"/>
    <w:rsid w:val="004B2CEE"/>
    <w:rsid w:val="004C09CB"/>
    <w:rsid w:val="004C0D85"/>
    <w:rsid w:val="004C3E09"/>
    <w:rsid w:val="004C4348"/>
    <w:rsid w:val="004C4D70"/>
    <w:rsid w:val="004C5745"/>
    <w:rsid w:val="004C5E9B"/>
    <w:rsid w:val="004D1496"/>
    <w:rsid w:val="004D513F"/>
    <w:rsid w:val="004D673B"/>
    <w:rsid w:val="004D69E2"/>
    <w:rsid w:val="004E6A38"/>
    <w:rsid w:val="004F0F11"/>
    <w:rsid w:val="004F1240"/>
    <w:rsid w:val="004F1C2D"/>
    <w:rsid w:val="004F1F05"/>
    <w:rsid w:val="004F2864"/>
    <w:rsid w:val="004F2E73"/>
    <w:rsid w:val="004F44BD"/>
    <w:rsid w:val="004F50B1"/>
    <w:rsid w:val="004F65BC"/>
    <w:rsid w:val="004F6DCA"/>
    <w:rsid w:val="0050111C"/>
    <w:rsid w:val="00502C1C"/>
    <w:rsid w:val="005041CC"/>
    <w:rsid w:val="00505D1C"/>
    <w:rsid w:val="00506C99"/>
    <w:rsid w:val="00506ED0"/>
    <w:rsid w:val="005101F9"/>
    <w:rsid w:val="00515E42"/>
    <w:rsid w:val="0051608C"/>
    <w:rsid w:val="005170EB"/>
    <w:rsid w:val="005172D9"/>
    <w:rsid w:val="005201FD"/>
    <w:rsid w:val="00522496"/>
    <w:rsid w:val="0052512E"/>
    <w:rsid w:val="00527F8C"/>
    <w:rsid w:val="0053011F"/>
    <w:rsid w:val="0053472D"/>
    <w:rsid w:val="00537123"/>
    <w:rsid w:val="005439D2"/>
    <w:rsid w:val="00545824"/>
    <w:rsid w:val="005477A0"/>
    <w:rsid w:val="005511FF"/>
    <w:rsid w:val="00551383"/>
    <w:rsid w:val="005531D4"/>
    <w:rsid w:val="0055622F"/>
    <w:rsid w:val="005571E5"/>
    <w:rsid w:val="00557921"/>
    <w:rsid w:val="00560843"/>
    <w:rsid w:val="00562ED6"/>
    <w:rsid w:val="00562F11"/>
    <w:rsid w:val="005649E3"/>
    <w:rsid w:val="0056597D"/>
    <w:rsid w:val="00567B3B"/>
    <w:rsid w:val="00567F1D"/>
    <w:rsid w:val="005736D2"/>
    <w:rsid w:val="005811E1"/>
    <w:rsid w:val="0058170E"/>
    <w:rsid w:val="00581769"/>
    <w:rsid w:val="00582FD9"/>
    <w:rsid w:val="00583F60"/>
    <w:rsid w:val="005848D2"/>
    <w:rsid w:val="00587482"/>
    <w:rsid w:val="00590EB0"/>
    <w:rsid w:val="00592814"/>
    <w:rsid w:val="005A043E"/>
    <w:rsid w:val="005A0DCD"/>
    <w:rsid w:val="005A2311"/>
    <w:rsid w:val="005A3A70"/>
    <w:rsid w:val="005B1153"/>
    <w:rsid w:val="005B14F3"/>
    <w:rsid w:val="005B2B9F"/>
    <w:rsid w:val="005B30FB"/>
    <w:rsid w:val="005B516A"/>
    <w:rsid w:val="005B6ECA"/>
    <w:rsid w:val="005B7FDC"/>
    <w:rsid w:val="005C08DE"/>
    <w:rsid w:val="005C477E"/>
    <w:rsid w:val="005C4DE8"/>
    <w:rsid w:val="005D6FC6"/>
    <w:rsid w:val="005E09CE"/>
    <w:rsid w:val="005E2561"/>
    <w:rsid w:val="005E2EBA"/>
    <w:rsid w:val="005E4AC0"/>
    <w:rsid w:val="005E4E1F"/>
    <w:rsid w:val="005E6A47"/>
    <w:rsid w:val="005E707B"/>
    <w:rsid w:val="005F3921"/>
    <w:rsid w:val="005F4433"/>
    <w:rsid w:val="005F7D63"/>
    <w:rsid w:val="00600238"/>
    <w:rsid w:val="006033F4"/>
    <w:rsid w:val="0060427E"/>
    <w:rsid w:val="00604CF0"/>
    <w:rsid w:val="006062C8"/>
    <w:rsid w:val="00606E55"/>
    <w:rsid w:val="00611D65"/>
    <w:rsid w:val="006128B0"/>
    <w:rsid w:val="00612D0D"/>
    <w:rsid w:val="00613938"/>
    <w:rsid w:val="00613D47"/>
    <w:rsid w:val="00614E1A"/>
    <w:rsid w:val="006200A5"/>
    <w:rsid w:val="00621C44"/>
    <w:rsid w:val="0062471B"/>
    <w:rsid w:val="006256DB"/>
    <w:rsid w:val="00625B41"/>
    <w:rsid w:val="0063057B"/>
    <w:rsid w:val="00631F5D"/>
    <w:rsid w:val="00634CFE"/>
    <w:rsid w:val="00635594"/>
    <w:rsid w:val="006424AC"/>
    <w:rsid w:val="00643D79"/>
    <w:rsid w:val="00644E64"/>
    <w:rsid w:val="0064658C"/>
    <w:rsid w:val="00646DD9"/>
    <w:rsid w:val="00650E62"/>
    <w:rsid w:val="00653370"/>
    <w:rsid w:val="0065471F"/>
    <w:rsid w:val="006554D1"/>
    <w:rsid w:val="00665747"/>
    <w:rsid w:val="0066592B"/>
    <w:rsid w:val="00673681"/>
    <w:rsid w:val="00681CB4"/>
    <w:rsid w:val="00681FA2"/>
    <w:rsid w:val="0068227F"/>
    <w:rsid w:val="00682813"/>
    <w:rsid w:val="00682A83"/>
    <w:rsid w:val="006865D5"/>
    <w:rsid w:val="00686BBA"/>
    <w:rsid w:val="00691001"/>
    <w:rsid w:val="00692255"/>
    <w:rsid w:val="00693035"/>
    <w:rsid w:val="00693C60"/>
    <w:rsid w:val="006942E2"/>
    <w:rsid w:val="006950EA"/>
    <w:rsid w:val="00695E6A"/>
    <w:rsid w:val="00696449"/>
    <w:rsid w:val="006968EA"/>
    <w:rsid w:val="006A282C"/>
    <w:rsid w:val="006A36AB"/>
    <w:rsid w:val="006A775E"/>
    <w:rsid w:val="006B3435"/>
    <w:rsid w:val="006B3607"/>
    <w:rsid w:val="006B37DC"/>
    <w:rsid w:val="006C0BF9"/>
    <w:rsid w:val="006C0DB3"/>
    <w:rsid w:val="006C27AC"/>
    <w:rsid w:val="006C446D"/>
    <w:rsid w:val="006C4B62"/>
    <w:rsid w:val="006C710E"/>
    <w:rsid w:val="006D1F6B"/>
    <w:rsid w:val="006D2A3E"/>
    <w:rsid w:val="006D32FA"/>
    <w:rsid w:val="006D52A0"/>
    <w:rsid w:val="006E1142"/>
    <w:rsid w:val="006E1C7B"/>
    <w:rsid w:val="006E3019"/>
    <w:rsid w:val="006E422A"/>
    <w:rsid w:val="006E7E5A"/>
    <w:rsid w:val="006E7E67"/>
    <w:rsid w:val="006F0B81"/>
    <w:rsid w:val="006F177B"/>
    <w:rsid w:val="006F1D46"/>
    <w:rsid w:val="006F27D3"/>
    <w:rsid w:val="006F33B1"/>
    <w:rsid w:val="006F4446"/>
    <w:rsid w:val="006F5E6E"/>
    <w:rsid w:val="006F6368"/>
    <w:rsid w:val="007002D1"/>
    <w:rsid w:val="0070077D"/>
    <w:rsid w:val="0070398D"/>
    <w:rsid w:val="00704E30"/>
    <w:rsid w:val="007057EE"/>
    <w:rsid w:val="00706018"/>
    <w:rsid w:val="00706B05"/>
    <w:rsid w:val="007079C2"/>
    <w:rsid w:val="00707CED"/>
    <w:rsid w:val="00710EBB"/>
    <w:rsid w:val="00713629"/>
    <w:rsid w:val="007146C7"/>
    <w:rsid w:val="00715DAE"/>
    <w:rsid w:val="00717073"/>
    <w:rsid w:val="00720738"/>
    <w:rsid w:val="00721046"/>
    <w:rsid w:val="00725004"/>
    <w:rsid w:val="0073017A"/>
    <w:rsid w:val="007309D7"/>
    <w:rsid w:val="0073288C"/>
    <w:rsid w:val="00732921"/>
    <w:rsid w:val="0073445E"/>
    <w:rsid w:val="00734C74"/>
    <w:rsid w:val="0073537B"/>
    <w:rsid w:val="0073680F"/>
    <w:rsid w:val="00737918"/>
    <w:rsid w:val="0074320F"/>
    <w:rsid w:val="00745674"/>
    <w:rsid w:val="007466D3"/>
    <w:rsid w:val="0075250E"/>
    <w:rsid w:val="007532B3"/>
    <w:rsid w:val="00754B42"/>
    <w:rsid w:val="00754F8B"/>
    <w:rsid w:val="00762A43"/>
    <w:rsid w:val="00763AD4"/>
    <w:rsid w:val="007642BF"/>
    <w:rsid w:val="00764471"/>
    <w:rsid w:val="00765FBD"/>
    <w:rsid w:val="0076642B"/>
    <w:rsid w:val="00766553"/>
    <w:rsid w:val="00766DF2"/>
    <w:rsid w:val="00767C62"/>
    <w:rsid w:val="00770371"/>
    <w:rsid w:val="00775842"/>
    <w:rsid w:val="007760B9"/>
    <w:rsid w:val="0077629E"/>
    <w:rsid w:val="00776ABF"/>
    <w:rsid w:val="00777E40"/>
    <w:rsid w:val="0078013A"/>
    <w:rsid w:val="00782E1D"/>
    <w:rsid w:val="0078318C"/>
    <w:rsid w:val="007834A5"/>
    <w:rsid w:val="00786919"/>
    <w:rsid w:val="00791C21"/>
    <w:rsid w:val="00794691"/>
    <w:rsid w:val="00794C63"/>
    <w:rsid w:val="007A01F0"/>
    <w:rsid w:val="007A0E97"/>
    <w:rsid w:val="007A1A8D"/>
    <w:rsid w:val="007A1E8C"/>
    <w:rsid w:val="007A4CFC"/>
    <w:rsid w:val="007B2AD1"/>
    <w:rsid w:val="007B300F"/>
    <w:rsid w:val="007B4CB7"/>
    <w:rsid w:val="007B63B0"/>
    <w:rsid w:val="007B7E0D"/>
    <w:rsid w:val="007C003F"/>
    <w:rsid w:val="007C5D55"/>
    <w:rsid w:val="007C7D23"/>
    <w:rsid w:val="007D02F5"/>
    <w:rsid w:val="007D3EB4"/>
    <w:rsid w:val="007D4ED3"/>
    <w:rsid w:val="007E00EA"/>
    <w:rsid w:val="007E1147"/>
    <w:rsid w:val="007E19F0"/>
    <w:rsid w:val="007E20F8"/>
    <w:rsid w:val="007E4048"/>
    <w:rsid w:val="007E7BBD"/>
    <w:rsid w:val="007F0432"/>
    <w:rsid w:val="007F0ABC"/>
    <w:rsid w:val="007F1153"/>
    <w:rsid w:val="007F59BC"/>
    <w:rsid w:val="007F652F"/>
    <w:rsid w:val="007F6AD3"/>
    <w:rsid w:val="007F735B"/>
    <w:rsid w:val="008007CC"/>
    <w:rsid w:val="0080309D"/>
    <w:rsid w:val="00803599"/>
    <w:rsid w:val="00804193"/>
    <w:rsid w:val="008079B9"/>
    <w:rsid w:val="00807A03"/>
    <w:rsid w:val="008138AB"/>
    <w:rsid w:val="008205E6"/>
    <w:rsid w:val="0082397A"/>
    <w:rsid w:val="00830306"/>
    <w:rsid w:val="00830B3B"/>
    <w:rsid w:val="008336A6"/>
    <w:rsid w:val="00834D15"/>
    <w:rsid w:val="008364BB"/>
    <w:rsid w:val="00837608"/>
    <w:rsid w:val="00841A85"/>
    <w:rsid w:val="00842A02"/>
    <w:rsid w:val="008444F0"/>
    <w:rsid w:val="00846687"/>
    <w:rsid w:val="00847CF4"/>
    <w:rsid w:val="00851268"/>
    <w:rsid w:val="00852918"/>
    <w:rsid w:val="00857B17"/>
    <w:rsid w:val="0086011C"/>
    <w:rsid w:val="008601E4"/>
    <w:rsid w:val="00860869"/>
    <w:rsid w:val="008621D3"/>
    <w:rsid w:val="00862E82"/>
    <w:rsid w:val="00866EF6"/>
    <w:rsid w:val="00866F10"/>
    <w:rsid w:val="00873FF1"/>
    <w:rsid w:val="008758B2"/>
    <w:rsid w:val="0087676C"/>
    <w:rsid w:val="0087728F"/>
    <w:rsid w:val="00880177"/>
    <w:rsid w:val="00881A06"/>
    <w:rsid w:val="00887EB9"/>
    <w:rsid w:val="00887F58"/>
    <w:rsid w:val="00890221"/>
    <w:rsid w:val="00890627"/>
    <w:rsid w:val="00890687"/>
    <w:rsid w:val="00893ADB"/>
    <w:rsid w:val="008958DD"/>
    <w:rsid w:val="008A0633"/>
    <w:rsid w:val="008A0683"/>
    <w:rsid w:val="008A0B52"/>
    <w:rsid w:val="008A0C6A"/>
    <w:rsid w:val="008A1193"/>
    <w:rsid w:val="008A3FE6"/>
    <w:rsid w:val="008A5266"/>
    <w:rsid w:val="008A6180"/>
    <w:rsid w:val="008A6244"/>
    <w:rsid w:val="008A64B7"/>
    <w:rsid w:val="008A6C87"/>
    <w:rsid w:val="008A71B0"/>
    <w:rsid w:val="008A724D"/>
    <w:rsid w:val="008B1031"/>
    <w:rsid w:val="008B1033"/>
    <w:rsid w:val="008B50A6"/>
    <w:rsid w:val="008B584C"/>
    <w:rsid w:val="008B6BFB"/>
    <w:rsid w:val="008B764D"/>
    <w:rsid w:val="008B7818"/>
    <w:rsid w:val="008C1694"/>
    <w:rsid w:val="008C17DD"/>
    <w:rsid w:val="008C3950"/>
    <w:rsid w:val="008C54D7"/>
    <w:rsid w:val="008C7BDF"/>
    <w:rsid w:val="008C7F6E"/>
    <w:rsid w:val="008D0A7E"/>
    <w:rsid w:val="008D252B"/>
    <w:rsid w:val="008D4932"/>
    <w:rsid w:val="008D645F"/>
    <w:rsid w:val="008E0245"/>
    <w:rsid w:val="008E2E38"/>
    <w:rsid w:val="008E3369"/>
    <w:rsid w:val="008E3D5C"/>
    <w:rsid w:val="008F0988"/>
    <w:rsid w:val="008F1A4F"/>
    <w:rsid w:val="008F1DAB"/>
    <w:rsid w:val="008F1FAC"/>
    <w:rsid w:val="008F712E"/>
    <w:rsid w:val="008F73C7"/>
    <w:rsid w:val="008F7643"/>
    <w:rsid w:val="008F7BB4"/>
    <w:rsid w:val="009006C4"/>
    <w:rsid w:val="00901702"/>
    <w:rsid w:val="00901805"/>
    <w:rsid w:val="009020B7"/>
    <w:rsid w:val="00902AFA"/>
    <w:rsid w:val="00903A98"/>
    <w:rsid w:val="00903E32"/>
    <w:rsid w:val="00904ACB"/>
    <w:rsid w:val="00905156"/>
    <w:rsid w:val="0090560D"/>
    <w:rsid w:val="00910DC5"/>
    <w:rsid w:val="00911075"/>
    <w:rsid w:val="009122C3"/>
    <w:rsid w:val="009125A7"/>
    <w:rsid w:val="00912A6D"/>
    <w:rsid w:val="0091476C"/>
    <w:rsid w:val="00914BBC"/>
    <w:rsid w:val="00914BE3"/>
    <w:rsid w:val="009169F0"/>
    <w:rsid w:val="00916E9A"/>
    <w:rsid w:val="0092134A"/>
    <w:rsid w:val="00926EF7"/>
    <w:rsid w:val="00930749"/>
    <w:rsid w:val="00930EE4"/>
    <w:rsid w:val="009313C9"/>
    <w:rsid w:val="00931540"/>
    <w:rsid w:val="0093210D"/>
    <w:rsid w:val="00932283"/>
    <w:rsid w:val="00932622"/>
    <w:rsid w:val="0093624A"/>
    <w:rsid w:val="00937C9C"/>
    <w:rsid w:val="0094127C"/>
    <w:rsid w:val="00942134"/>
    <w:rsid w:val="00944BA9"/>
    <w:rsid w:val="0094770B"/>
    <w:rsid w:val="00950624"/>
    <w:rsid w:val="009543A8"/>
    <w:rsid w:val="00955D5E"/>
    <w:rsid w:val="0096374B"/>
    <w:rsid w:val="009656BC"/>
    <w:rsid w:val="00965921"/>
    <w:rsid w:val="00966B49"/>
    <w:rsid w:val="009675A9"/>
    <w:rsid w:val="00970D8A"/>
    <w:rsid w:val="00972048"/>
    <w:rsid w:val="0097379D"/>
    <w:rsid w:val="0097392D"/>
    <w:rsid w:val="009744A4"/>
    <w:rsid w:val="009746BF"/>
    <w:rsid w:val="009747AE"/>
    <w:rsid w:val="00974FE4"/>
    <w:rsid w:val="00975328"/>
    <w:rsid w:val="00977EAF"/>
    <w:rsid w:val="00982F4D"/>
    <w:rsid w:val="00984F9B"/>
    <w:rsid w:val="00986C54"/>
    <w:rsid w:val="009901B6"/>
    <w:rsid w:val="0099112A"/>
    <w:rsid w:val="009942D1"/>
    <w:rsid w:val="009944E6"/>
    <w:rsid w:val="00994C17"/>
    <w:rsid w:val="0099617A"/>
    <w:rsid w:val="009967E3"/>
    <w:rsid w:val="00996A3F"/>
    <w:rsid w:val="009A08E7"/>
    <w:rsid w:val="009A24D9"/>
    <w:rsid w:val="009A2CB0"/>
    <w:rsid w:val="009A4ADE"/>
    <w:rsid w:val="009A7C69"/>
    <w:rsid w:val="009B1236"/>
    <w:rsid w:val="009B1C6A"/>
    <w:rsid w:val="009B57E4"/>
    <w:rsid w:val="009B5FFC"/>
    <w:rsid w:val="009B786E"/>
    <w:rsid w:val="009C0172"/>
    <w:rsid w:val="009C2AB0"/>
    <w:rsid w:val="009C2D60"/>
    <w:rsid w:val="009C597E"/>
    <w:rsid w:val="009D0A64"/>
    <w:rsid w:val="009D12A8"/>
    <w:rsid w:val="009D247D"/>
    <w:rsid w:val="009D3B86"/>
    <w:rsid w:val="009D4824"/>
    <w:rsid w:val="009D5843"/>
    <w:rsid w:val="009D6AD4"/>
    <w:rsid w:val="009D765F"/>
    <w:rsid w:val="009D7895"/>
    <w:rsid w:val="009D7E40"/>
    <w:rsid w:val="009F0385"/>
    <w:rsid w:val="009F04DA"/>
    <w:rsid w:val="009F069C"/>
    <w:rsid w:val="009F0CDD"/>
    <w:rsid w:val="009F2160"/>
    <w:rsid w:val="009F2CEB"/>
    <w:rsid w:val="009F63FC"/>
    <w:rsid w:val="009F7711"/>
    <w:rsid w:val="00A00CDA"/>
    <w:rsid w:val="00A02625"/>
    <w:rsid w:val="00A030F3"/>
    <w:rsid w:val="00A077BB"/>
    <w:rsid w:val="00A07ECB"/>
    <w:rsid w:val="00A10681"/>
    <w:rsid w:val="00A109DF"/>
    <w:rsid w:val="00A111A5"/>
    <w:rsid w:val="00A112FD"/>
    <w:rsid w:val="00A13DB8"/>
    <w:rsid w:val="00A15C4C"/>
    <w:rsid w:val="00A17D3E"/>
    <w:rsid w:val="00A239E4"/>
    <w:rsid w:val="00A244FA"/>
    <w:rsid w:val="00A30B48"/>
    <w:rsid w:val="00A34135"/>
    <w:rsid w:val="00A428B0"/>
    <w:rsid w:val="00A44743"/>
    <w:rsid w:val="00A461E6"/>
    <w:rsid w:val="00A469DE"/>
    <w:rsid w:val="00A46B6C"/>
    <w:rsid w:val="00A46D17"/>
    <w:rsid w:val="00A47470"/>
    <w:rsid w:val="00A52CCA"/>
    <w:rsid w:val="00A54459"/>
    <w:rsid w:val="00A60252"/>
    <w:rsid w:val="00A60EE8"/>
    <w:rsid w:val="00A61277"/>
    <w:rsid w:val="00A61F3B"/>
    <w:rsid w:val="00A61F84"/>
    <w:rsid w:val="00A657F4"/>
    <w:rsid w:val="00A65B54"/>
    <w:rsid w:val="00A6602B"/>
    <w:rsid w:val="00A66729"/>
    <w:rsid w:val="00A70011"/>
    <w:rsid w:val="00A71B69"/>
    <w:rsid w:val="00A71D50"/>
    <w:rsid w:val="00A71E32"/>
    <w:rsid w:val="00A7221B"/>
    <w:rsid w:val="00A72487"/>
    <w:rsid w:val="00A75086"/>
    <w:rsid w:val="00A75B61"/>
    <w:rsid w:val="00A76746"/>
    <w:rsid w:val="00A76D77"/>
    <w:rsid w:val="00A825CB"/>
    <w:rsid w:val="00A8511F"/>
    <w:rsid w:val="00A87051"/>
    <w:rsid w:val="00A87A28"/>
    <w:rsid w:val="00A906A5"/>
    <w:rsid w:val="00A91455"/>
    <w:rsid w:val="00A92E42"/>
    <w:rsid w:val="00A977E7"/>
    <w:rsid w:val="00A97D86"/>
    <w:rsid w:val="00AA1BB3"/>
    <w:rsid w:val="00AA41C7"/>
    <w:rsid w:val="00AA4314"/>
    <w:rsid w:val="00AA5E2A"/>
    <w:rsid w:val="00AA64A6"/>
    <w:rsid w:val="00AB11B1"/>
    <w:rsid w:val="00AB1BB8"/>
    <w:rsid w:val="00AB2C7B"/>
    <w:rsid w:val="00AB3A74"/>
    <w:rsid w:val="00AB4C95"/>
    <w:rsid w:val="00AB56B0"/>
    <w:rsid w:val="00AB7E82"/>
    <w:rsid w:val="00AC26F8"/>
    <w:rsid w:val="00AC375D"/>
    <w:rsid w:val="00AC4085"/>
    <w:rsid w:val="00AC581E"/>
    <w:rsid w:val="00AC5C17"/>
    <w:rsid w:val="00AC7609"/>
    <w:rsid w:val="00AC7D0D"/>
    <w:rsid w:val="00AD1058"/>
    <w:rsid w:val="00AD12B4"/>
    <w:rsid w:val="00AD185D"/>
    <w:rsid w:val="00AD1DC4"/>
    <w:rsid w:val="00AD2121"/>
    <w:rsid w:val="00AD5EE6"/>
    <w:rsid w:val="00AE00B3"/>
    <w:rsid w:val="00AE2743"/>
    <w:rsid w:val="00AE7016"/>
    <w:rsid w:val="00AF12B8"/>
    <w:rsid w:val="00AF1765"/>
    <w:rsid w:val="00AF220C"/>
    <w:rsid w:val="00AF6B4C"/>
    <w:rsid w:val="00AF7855"/>
    <w:rsid w:val="00B02D21"/>
    <w:rsid w:val="00B03822"/>
    <w:rsid w:val="00B05BB2"/>
    <w:rsid w:val="00B07869"/>
    <w:rsid w:val="00B07C2C"/>
    <w:rsid w:val="00B12733"/>
    <w:rsid w:val="00B13101"/>
    <w:rsid w:val="00B152A8"/>
    <w:rsid w:val="00B21F7C"/>
    <w:rsid w:val="00B22464"/>
    <w:rsid w:val="00B23032"/>
    <w:rsid w:val="00B230EB"/>
    <w:rsid w:val="00B23D2F"/>
    <w:rsid w:val="00B25655"/>
    <w:rsid w:val="00B30E47"/>
    <w:rsid w:val="00B324F6"/>
    <w:rsid w:val="00B33E9A"/>
    <w:rsid w:val="00B3418F"/>
    <w:rsid w:val="00B36A56"/>
    <w:rsid w:val="00B37088"/>
    <w:rsid w:val="00B415DC"/>
    <w:rsid w:val="00B421D5"/>
    <w:rsid w:val="00B444FC"/>
    <w:rsid w:val="00B476FF"/>
    <w:rsid w:val="00B47C55"/>
    <w:rsid w:val="00B5471C"/>
    <w:rsid w:val="00B55D7D"/>
    <w:rsid w:val="00B5609C"/>
    <w:rsid w:val="00B56177"/>
    <w:rsid w:val="00B569D5"/>
    <w:rsid w:val="00B57B26"/>
    <w:rsid w:val="00B651D8"/>
    <w:rsid w:val="00B65478"/>
    <w:rsid w:val="00B65CEA"/>
    <w:rsid w:val="00B66374"/>
    <w:rsid w:val="00B67361"/>
    <w:rsid w:val="00B677BE"/>
    <w:rsid w:val="00B70CCA"/>
    <w:rsid w:val="00B7264E"/>
    <w:rsid w:val="00B7412D"/>
    <w:rsid w:val="00B775BC"/>
    <w:rsid w:val="00B8172D"/>
    <w:rsid w:val="00B83E11"/>
    <w:rsid w:val="00B84C2C"/>
    <w:rsid w:val="00B84D95"/>
    <w:rsid w:val="00B84F7E"/>
    <w:rsid w:val="00B857BA"/>
    <w:rsid w:val="00B863FF"/>
    <w:rsid w:val="00B916FF"/>
    <w:rsid w:val="00B93913"/>
    <w:rsid w:val="00B97CA3"/>
    <w:rsid w:val="00BA2518"/>
    <w:rsid w:val="00BA2A69"/>
    <w:rsid w:val="00BA3620"/>
    <w:rsid w:val="00BB0DCE"/>
    <w:rsid w:val="00BB1251"/>
    <w:rsid w:val="00BB1C74"/>
    <w:rsid w:val="00BB2351"/>
    <w:rsid w:val="00BB26D8"/>
    <w:rsid w:val="00BB2778"/>
    <w:rsid w:val="00BB4392"/>
    <w:rsid w:val="00BB49F6"/>
    <w:rsid w:val="00BB4B1D"/>
    <w:rsid w:val="00BB5C3B"/>
    <w:rsid w:val="00BB647F"/>
    <w:rsid w:val="00BB6757"/>
    <w:rsid w:val="00BB69C1"/>
    <w:rsid w:val="00BC0511"/>
    <w:rsid w:val="00BC0D2A"/>
    <w:rsid w:val="00BC1076"/>
    <w:rsid w:val="00BC2C93"/>
    <w:rsid w:val="00BC3701"/>
    <w:rsid w:val="00BC6CDF"/>
    <w:rsid w:val="00BD0620"/>
    <w:rsid w:val="00BD11E2"/>
    <w:rsid w:val="00BD31D8"/>
    <w:rsid w:val="00BD714C"/>
    <w:rsid w:val="00BE111B"/>
    <w:rsid w:val="00BE2AD9"/>
    <w:rsid w:val="00BE4062"/>
    <w:rsid w:val="00BE4706"/>
    <w:rsid w:val="00BF0AF3"/>
    <w:rsid w:val="00BF1CBF"/>
    <w:rsid w:val="00BF3B1F"/>
    <w:rsid w:val="00BF4843"/>
    <w:rsid w:val="00C002DC"/>
    <w:rsid w:val="00C0054B"/>
    <w:rsid w:val="00C017C7"/>
    <w:rsid w:val="00C01A17"/>
    <w:rsid w:val="00C05B48"/>
    <w:rsid w:val="00C10E26"/>
    <w:rsid w:val="00C139BF"/>
    <w:rsid w:val="00C13F1E"/>
    <w:rsid w:val="00C1418D"/>
    <w:rsid w:val="00C149A8"/>
    <w:rsid w:val="00C14AAE"/>
    <w:rsid w:val="00C2044C"/>
    <w:rsid w:val="00C217E5"/>
    <w:rsid w:val="00C221C6"/>
    <w:rsid w:val="00C232D7"/>
    <w:rsid w:val="00C23B34"/>
    <w:rsid w:val="00C23E0F"/>
    <w:rsid w:val="00C243A9"/>
    <w:rsid w:val="00C25372"/>
    <w:rsid w:val="00C268CF"/>
    <w:rsid w:val="00C26C61"/>
    <w:rsid w:val="00C305AA"/>
    <w:rsid w:val="00C30DE9"/>
    <w:rsid w:val="00C328C6"/>
    <w:rsid w:val="00C34041"/>
    <w:rsid w:val="00C35951"/>
    <w:rsid w:val="00C37A8E"/>
    <w:rsid w:val="00C407E9"/>
    <w:rsid w:val="00C436B4"/>
    <w:rsid w:val="00C43763"/>
    <w:rsid w:val="00C460E1"/>
    <w:rsid w:val="00C526ED"/>
    <w:rsid w:val="00C53B28"/>
    <w:rsid w:val="00C56824"/>
    <w:rsid w:val="00C63ABC"/>
    <w:rsid w:val="00C64405"/>
    <w:rsid w:val="00C65F2C"/>
    <w:rsid w:val="00C66B98"/>
    <w:rsid w:val="00C66D0B"/>
    <w:rsid w:val="00C700D5"/>
    <w:rsid w:val="00C71909"/>
    <w:rsid w:val="00C75354"/>
    <w:rsid w:val="00C7732A"/>
    <w:rsid w:val="00C834B2"/>
    <w:rsid w:val="00C8381C"/>
    <w:rsid w:val="00C85B5E"/>
    <w:rsid w:val="00C869A7"/>
    <w:rsid w:val="00C90C7D"/>
    <w:rsid w:val="00C910BD"/>
    <w:rsid w:val="00C91E93"/>
    <w:rsid w:val="00C92EF5"/>
    <w:rsid w:val="00C95501"/>
    <w:rsid w:val="00C96AE0"/>
    <w:rsid w:val="00CA0E1C"/>
    <w:rsid w:val="00CA1917"/>
    <w:rsid w:val="00CA2C5F"/>
    <w:rsid w:val="00CA315C"/>
    <w:rsid w:val="00CA3E55"/>
    <w:rsid w:val="00CB1BF3"/>
    <w:rsid w:val="00CB3D45"/>
    <w:rsid w:val="00CB4851"/>
    <w:rsid w:val="00CB4905"/>
    <w:rsid w:val="00CB5086"/>
    <w:rsid w:val="00CB6ECF"/>
    <w:rsid w:val="00CB71BD"/>
    <w:rsid w:val="00CB7968"/>
    <w:rsid w:val="00CC09BD"/>
    <w:rsid w:val="00CC33F7"/>
    <w:rsid w:val="00CC4190"/>
    <w:rsid w:val="00CC44C7"/>
    <w:rsid w:val="00CC498C"/>
    <w:rsid w:val="00CD60C5"/>
    <w:rsid w:val="00CD6A65"/>
    <w:rsid w:val="00CD7685"/>
    <w:rsid w:val="00CE0128"/>
    <w:rsid w:val="00CE0599"/>
    <w:rsid w:val="00CE3B07"/>
    <w:rsid w:val="00CE3BFB"/>
    <w:rsid w:val="00CE3EB2"/>
    <w:rsid w:val="00CE4742"/>
    <w:rsid w:val="00CE4836"/>
    <w:rsid w:val="00CE5AB4"/>
    <w:rsid w:val="00CE7619"/>
    <w:rsid w:val="00CE7C15"/>
    <w:rsid w:val="00CF0809"/>
    <w:rsid w:val="00CF2732"/>
    <w:rsid w:val="00CF29A8"/>
    <w:rsid w:val="00CF29C3"/>
    <w:rsid w:val="00CF302B"/>
    <w:rsid w:val="00CF3905"/>
    <w:rsid w:val="00CF4D03"/>
    <w:rsid w:val="00CF50D0"/>
    <w:rsid w:val="00CF567C"/>
    <w:rsid w:val="00CF70E3"/>
    <w:rsid w:val="00D000A9"/>
    <w:rsid w:val="00D002B8"/>
    <w:rsid w:val="00D06F35"/>
    <w:rsid w:val="00D11858"/>
    <w:rsid w:val="00D12E6D"/>
    <w:rsid w:val="00D1444A"/>
    <w:rsid w:val="00D17754"/>
    <w:rsid w:val="00D21E61"/>
    <w:rsid w:val="00D2591B"/>
    <w:rsid w:val="00D3478A"/>
    <w:rsid w:val="00D3599D"/>
    <w:rsid w:val="00D377E7"/>
    <w:rsid w:val="00D37916"/>
    <w:rsid w:val="00D40023"/>
    <w:rsid w:val="00D448E0"/>
    <w:rsid w:val="00D45BDA"/>
    <w:rsid w:val="00D45FC8"/>
    <w:rsid w:val="00D47EB0"/>
    <w:rsid w:val="00D57731"/>
    <w:rsid w:val="00D60AA8"/>
    <w:rsid w:val="00D66FAD"/>
    <w:rsid w:val="00D67C34"/>
    <w:rsid w:val="00D71C29"/>
    <w:rsid w:val="00D72B7C"/>
    <w:rsid w:val="00D7335D"/>
    <w:rsid w:val="00D73D6B"/>
    <w:rsid w:val="00D85001"/>
    <w:rsid w:val="00D87767"/>
    <w:rsid w:val="00D9048B"/>
    <w:rsid w:val="00D90975"/>
    <w:rsid w:val="00D944EC"/>
    <w:rsid w:val="00D9545C"/>
    <w:rsid w:val="00D96712"/>
    <w:rsid w:val="00D97451"/>
    <w:rsid w:val="00DA310C"/>
    <w:rsid w:val="00DA361B"/>
    <w:rsid w:val="00DA6C12"/>
    <w:rsid w:val="00DA79A0"/>
    <w:rsid w:val="00DA79F9"/>
    <w:rsid w:val="00DB1670"/>
    <w:rsid w:val="00DB240C"/>
    <w:rsid w:val="00DB32EA"/>
    <w:rsid w:val="00DB359B"/>
    <w:rsid w:val="00DB5419"/>
    <w:rsid w:val="00DB54BE"/>
    <w:rsid w:val="00DB6944"/>
    <w:rsid w:val="00DB6A14"/>
    <w:rsid w:val="00DB7756"/>
    <w:rsid w:val="00DC0926"/>
    <w:rsid w:val="00DC14C4"/>
    <w:rsid w:val="00DC351B"/>
    <w:rsid w:val="00DC3A28"/>
    <w:rsid w:val="00DC3C71"/>
    <w:rsid w:val="00DC505B"/>
    <w:rsid w:val="00DC670E"/>
    <w:rsid w:val="00DD12CD"/>
    <w:rsid w:val="00DD2394"/>
    <w:rsid w:val="00DD69B0"/>
    <w:rsid w:val="00DD762F"/>
    <w:rsid w:val="00DE1E24"/>
    <w:rsid w:val="00DE456F"/>
    <w:rsid w:val="00DE4E9E"/>
    <w:rsid w:val="00DE628B"/>
    <w:rsid w:val="00DE7082"/>
    <w:rsid w:val="00DF0C82"/>
    <w:rsid w:val="00DF4B1C"/>
    <w:rsid w:val="00DF6333"/>
    <w:rsid w:val="00E01BE9"/>
    <w:rsid w:val="00E031AE"/>
    <w:rsid w:val="00E031CE"/>
    <w:rsid w:val="00E047DA"/>
    <w:rsid w:val="00E04CBB"/>
    <w:rsid w:val="00E07100"/>
    <w:rsid w:val="00E125EF"/>
    <w:rsid w:val="00E132D1"/>
    <w:rsid w:val="00E13651"/>
    <w:rsid w:val="00E13A63"/>
    <w:rsid w:val="00E14400"/>
    <w:rsid w:val="00E16B55"/>
    <w:rsid w:val="00E16F49"/>
    <w:rsid w:val="00E21383"/>
    <w:rsid w:val="00E214F2"/>
    <w:rsid w:val="00E229B6"/>
    <w:rsid w:val="00E24A52"/>
    <w:rsid w:val="00E259F4"/>
    <w:rsid w:val="00E2610A"/>
    <w:rsid w:val="00E26444"/>
    <w:rsid w:val="00E26FF2"/>
    <w:rsid w:val="00E31012"/>
    <w:rsid w:val="00E3170E"/>
    <w:rsid w:val="00E32B82"/>
    <w:rsid w:val="00E32E1F"/>
    <w:rsid w:val="00E33449"/>
    <w:rsid w:val="00E33EC0"/>
    <w:rsid w:val="00E33EE8"/>
    <w:rsid w:val="00E34186"/>
    <w:rsid w:val="00E3708D"/>
    <w:rsid w:val="00E37354"/>
    <w:rsid w:val="00E414A8"/>
    <w:rsid w:val="00E41608"/>
    <w:rsid w:val="00E44BE6"/>
    <w:rsid w:val="00E47602"/>
    <w:rsid w:val="00E51B8C"/>
    <w:rsid w:val="00E53483"/>
    <w:rsid w:val="00E54359"/>
    <w:rsid w:val="00E545D1"/>
    <w:rsid w:val="00E54625"/>
    <w:rsid w:val="00E55926"/>
    <w:rsid w:val="00E56695"/>
    <w:rsid w:val="00E5710A"/>
    <w:rsid w:val="00E57BBD"/>
    <w:rsid w:val="00E60423"/>
    <w:rsid w:val="00E61B3D"/>
    <w:rsid w:val="00E63387"/>
    <w:rsid w:val="00E67D47"/>
    <w:rsid w:val="00E702AC"/>
    <w:rsid w:val="00E718C1"/>
    <w:rsid w:val="00E728DC"/>
    <w:rsid w:val="00E743CD"/>
    <w:rsid w:val="00E75C3B"/>
    <w:rsid w:val="00E770B1"/>
    <w:rsid w:val="00E80603"/>
    <w:rsid w:val="00E828D4"/>
    <w:rsid w:val="00E845B5"/>
    <w:rsid w:val="00E85F1A"/>
    <w:rsid w:val="00E87B03"/>
    <w:rsid w:val="00E945EC"/>
    <w:rsid w:val="00E9545C"/>
    <w:rsid w:val="00E96642"/>
    <w:rsid w:val="00E974CE"/>
    <w:rsid w:val="00EA18A7"/>
    <w:rsid w:val="00EA1F6A"/>
    <w:rsid w:val="00EA30B3"/>
    <w:rsid w:val="00EA40C2"/>
    <w:rsid w:val="00EA46C0"/>
    <w:rsid w:val="00EA7C33"/>
    <w:rsid w:val="00EB0D90"/>
    <w:rsid w:val="00EB4DAC"/>
    <w:rsid w:val="00EB4DD6"/>
    <w:rsid w:val="00EB5920"/>
    <w:rsid w:val="00EB7BF3"/>
    <w:rsid w:val="00EB7CDC"/>
    <w:rsid w:val="00EC0848"/>
    <w:rsid w:val="00EC1AE2"/>
    <w:rsid w:val="00EC3BE7"/>
    <w:rsid w:val="00EC56AE"/>
    <w:rsid w:val="00EC678F"/>
    <w:rsid w:val="00EC790E"/>
    <w:rsid w:val="00EC7CD6"/>
    <w:rsid w:val="00ED062E"/>
    <w:rsid w:val="00ED1793"/>
    <w:rsid w:val="00ED182D"/>
    <w:rsid w:val="00ED26EF"/>
    <w:rsid w:val="00ED57AB"/>
    <w:rsid w:val="00ED5C66"/>
    <w:rsid w:val="00ED6B28"/>
    <w:rsid w:val="00EE1595"/>
    <w:rsid w:val="00EE28F3"/>
    <w:rsid w:val="00EE2A1B"/>
    <w:rsid w:val="00EE6E5A"/>
    <w:rsid w:val="00EE77AF"/>
    <w:rsid w:val="00EF664B"/>
    <w:rsid w:val="00F02D54"/>
    <w:rsid w:val="00F03E1A"/>
    <w:rsid w:val="00F04010"/>
    <w:rsid w:val="00F04D96"/>
    <w:rsid w:val="00F059D8"/>
    <w:rsid w:val="00F07EFC"/>
    <w:rsid w:val="00F100DB"/>
    <w:rsid w:val="00F1467B"/>
    <w:rsid w:val="00F14E1F"/>
    <w:rsid w:val="00F1521B"/>
    <w:rsid w:val="00F15429"/>
    <w:rsid w:val="00F15D7E"/>
    <w:rsid w:val="00F16F11"/>
    <w:rsid w:val="00F16FD5"/>
    <w:rsid w:val="00F2136C"/>
    <w:rsid w:val="00F227D2"/>
    <w:rsid w:val="00F230B6"/>
    <w:rsid w:val="00F24342"/>
    <w:rsid w:val="00F24454"/>
    <w:rsid w:val="00F2524A"/>
    <w:rsid w:val="00F257EB"/>
    <w:rsid w:val="00F30235"/>
    <w:rsid w:val="00F30CCD"/>
    <w:rsid w:val="00F3296B"/>
    <w:rsid w:val="00F32D8C"/>
    <w:rsid w:val="00F33E2F"/>
    <w:rsid w:val="00F341C0"/>
    <w:rsid w:val="00F37B12"/>
    <w:rsid w:val="00F40232"/>
    <w:rsid w:val="00F4102B"/>
    <w:rsid w:val="00F41F8B"/>
    <w:rsid w:val="00F43BCB"/>
    <w:rsid w:val="00F444BB"/>
    <w:rsid w:val="00F453B8"/>
    <w:rsid w:val="00F45645"/>
    <w:rsid w:val="00F466C3"/>
    <w:rsid w:val="00F476CE"/>
    <w:rsid w:val="00F50B7D"/>
    <w:rsid w:val="00F50BAA"/>
    <w:rsid w:val="00F53881"/>
    <w:rsid w:val="00F564FC"/>
    <w:rsid w:val="00F600A0"/>
    <w:rsid w:val="00F6137B"/>
    <w:rsid w:val="00F6204E"/>
    <w:rsid w:val="00F630BC"/>
    <w:rsid w:val="00F6318B"/>
    <w:rsid w:val="00F6551A"/>
    <w:rsid w:val="00F67624"/>
    <w:rsid w:val="00F71F5B"/>
    <w:rsid w:val="00F727FF"/>
    <w:rsid w:val="00F72F71"/>
    <w:rsid w:val="00F73778"/>
    <w:rsid w:val="00F74604"/>
    <w:rsid w:val="00F74F04"/>
    <w:rsid w:val="00F7663F"/>
    <w:rsid w:val="00F825C8"/>
    <w:rsid w:val="00F829F3"/>
    <w:rsid w:val="00F83A43"/>
    <w:rsid w:val="00F84A38"/>
    <w:rsid w:val="00F90840"/>
    <w:rsid w:val="00F91E95"/>
    <w:rsid w:val="00F92D34"/>
    <w:rsid w:val="00FA060E"/>
    <w:rsid w:val="00FA090D"/>
    <w:rsid w:val="00FA23C0"/>
    <w:rsid w:val="00FA2D8C"/>
    <w:rsid w:val="00FA31E3"/>
    <w:rsid w:val="00FA4674"/>
    <w:rsid w:val="00FA76C3"/>
    <w:rsid w:val="00FB09C1"/>
    <w:rsid w:val="00FB1238"/>
    <w:rsid w:val="00FB2EF9"/>
    <w:rsid w:val="00FB4526"/>
    <w:rsid w:val="00FB462F"/>
    <w:rsid w:val="00FB469A"/>
    <w:rsid w:val="00FB4B92"/>
    <w:rsid w:val="00FB6526"/>
    <w:rsid w:val="00FB6577"/>
    <w:rsid w:val="00FC0886"/>
    <w:rsid w:val="00FC36BA"/>
    <w:rsid w:val="00FD0101"/>
    <w:rsid w:val="00FD4088"/>
    <w:rsid w:val="00FD6876"/>
    <w:rsid w:val="00FE01CE"/>
    <w:rsid w:val="00FE1576"/>
    <w:rsid w:val="00FE30D3"/>
    <w:rsid w:val="00FE62C6"/>
    <w:rsid w:val="00FE66E3"/>
    <w:rsid w:val="00FE69AA"/>
    <w:rsid w:val="00FE6C6A"/>
    <w:rsid w:val="00FE7319"/>
    <w:rsid w:val="00FE7C6E"/>
    <w:rsid w:val="00FF51D5"/>
    <w:rsid w:val="00FF61A1"/>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086"/>
  <w15:docId w15:val="{00BF14C3-45CF-49C2-82A8-44E8CFF4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semiHidden/>
    <w:unhideWhenUsed/>
    <w:rsid w:val="00BC0511"/>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BC0511"/>
    <w:rPr>
      <w:sz w:val="20"/>
      <w:szCs w:val="20"/>
    </w:rPr>
  </w:style>
  <w:style w:type="character" w:styleId="FootnoteReference">
    <w:name w:val="footnote reference"/>
    <w:basedOn w:val="DefaultParagraphFont"/>
    <w:uiPriority w:val="99"/>
    <w:semiHidden/>
    <w:unhideWhenUsed/>
    <w:rsid w:val="00BC0511"/>
    <w:rPr>
      <w:vertAlign w:val="superscript"/>
    </w:rPr>
  </w:style>
  <w:style w:type="paragraph" w:customStyle="1" w:styleId="JUGMENTNUMBERED">
    <w:name w:val="JUGMENT NUMBERED"/>
    <w:basedOn w:val="Normal"/>
    <w:link w:val="JUGMENTNUMBEREDChar"/>
    <w:rsid w:val="002D132F"/>
    <w:pPr>
      <w:numPr>
        <w:numId w:val="1"/>
      </w:numPr>
      <w:spacing w:line="480" w:lineRule="auto"/>
    </w:pPr>
    <w:rPr>
      <w:rFonts w:ascii="Times New Roman" w:eastAsia="Times New Roman" w:hAnsi="Times New Roman" w:cs="Times New Roman"/>
      <w:sz w:val="26"/>
      <w:szCs w:val="26"/>
      <w:lang w:eastAsia="en-ZA"/>
    </w:rPr>
  </w:style>
  <w:style w:type="paragraph" w:customStyle="1" w:styleId="QUOTEINFOOTNOTE">
    <w:name w:val="QUOTE IN FOOTNOTE"/>
    <w:basedOn w:val="FootnoteText"/>
    <w:link w:val="QUOTEINFOOTNOTEChar"/>
    <w:rsid w:val="002D132F"/>
    <w:pPr>
      <w:ind w:left="720" w:right="720"/>
    </w:pPr>
    <w:rPr>
      <w:rFonts w:ascii="Times New Roman" w:eastAsia="Times New Roman" w:hAnsi="Times New Roman" w:cs="Times New Roman"/>
      <w:iCs/>
      <w:lang w:val="en-US" w:eastAsia="en-ZA"/>
    </w:rPr>
  </w:style>
  <w:style w:type="character" w:customStyle="1" w:styleId="QUOTEINFOOTNOTEChar">
    <w:name w:val="QUOTE IN FOOTNOTE Char"/>
    <w:basedOn w:val="FootnoteTextChar"/>
    <w:link w:val="QUOTEINFOOTNOTE"/>
    <w:rsid w:val="002D132F"/>
    <w:rPr>
      <w:rFonts w:ascii="Times New Roman" w:eastAsia="Times New Roman" w:hAnsi="Times New Roman" w:cs="Times New Roman"/>
      <w:iCs/>
      <w:sz w:val="20"/>
      <w:szCs w:val="20"/>
      <w:lang w:val="en-US" w:eastAsia="en-ZA"/>
    </w:rPr>
  </w:style>
  <w:style w:type="character" w:customStyle="1" w:styleId="JUGMENTNUMBEREDChar">
    <w:name w:val="JUGMENT NUMBERED Char"/>
    <w:basedOn w:val="DefaultParagraphFont"/>
    <w:link w:val="JUGMENTNUMBERED"/>
    <w:locked/>
    <w:rsid w:val="002D132F"/>
    <w:rPr>
      <w:rFonts w:ascii="Times New Roman" w:eastAsia="Times New Roman" w:hAnsi="Times New Roman" w:cs="Times New Roman"/>
      <w:sz w:val="26"/>
      <w:szCs w:val="26"/>
      <w:lang w:eastAsia="en-ZA"/>
    </w:rPr>
  </w:style>
  <w:style w:type="paragraph" w:customStyle="1" w:styleId="QUOTATION">
    <w:name w:val="QUOTATION"/>
    <w:basedOn w:val="Normal"/>
    <w:link w:val="QUOTATIONChar"/>
    <w:rsid w:val="002D132F"/>
    <w:pPr>
      <w:ind w:left="720" w:right="720"/>
    </w:pPr>
    <w:rPr>
      <w:rFonts w:ascii="Times New Roman" w:eastAsia="Times New Roman" w:hAnsi="Times New Roman" w:cs="Times New Roman"/>
      <w:lang w:eastAsia="en-ZA"/>
    </w:rPr>
  </w:style>
  <w:style w:type="character" w:customStyle="1" w:styleId="QUOTATIONChar">
    <w:name w:val="QUOTATION Char"/>
    <w:basedOn w:val="DefaultParagraphFont"/>
    <w:link w:val="QUOTATION"/>
    <w:rsid w:val="002D132F"/>
    <w:rPr>
      <w:rFonts w:ascii="Times New Roman" w:eastAsia="Times New Roman" w:hAnsi="Times New Roman" w:cs="Times New Roman"/>
      <w:lang w:eastAsia="en-ZA"/>
    </w:rPr>
  </w:style>
  <w:style w:type="paragraph" w:styleId="ListParagraph">
    <w:name w:val="List Paragraph"/>
    <w:basedOn w:val="Normal"/>
    <w:uiPriority w:val="34"/>
    <w:qFormat/>
    <w:rsid w:val="00A54459"/>
    <w:pPr>
      <w:ind w:left="720"/>
      <w:contextualSpacing/>
    </w:pPr>
  </w:style>
  <w:style w:type="paragraph" w:styleId="BalloonText">
    <w:name w:val="Balloon Text"/>
    <w:basedOn w:val="Normal"/>
    <w:link w:val="BalloonTextChar"/>
    <w:uiPriority w:val="99"/>
    <w:semiHidden/>
    <w:unhideWhenUsed/>
    <w:rsid w:val="00C01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C7"/>
    <w:rPr>
      <w:rFonts w:ascii="Tahoma" w:hAnsi="Tahoma" w:cs="Tahoma"/>
      <w:sz w:val="16"/>
      <w:szCs w:val="16"/>
    </w:rPr>
  </w:style>
  <w:style w:type="paragraph" w:styleId="Header">
    <w:name w:val="header"/>
    <w:basedOn w:val="Normal"/>
    <w:link w:val="HeaderChar"/>
    <w:uiPriority w:val="99"/>
    <w:unhideWhenUsed/>
    <w:rsid w:val="0093624A"/>
    <w:pPr>
      <w:tabs>
        <w:tab w:val="center" w:pos="4513"/>
        <w:tab w:val="right" w:pos="9026"/>
      </w:tabs>
      <w:spacing w:line="240" w:lineRule="auto"/>
    </w:pPr>
  </w:style>
  <w:style w:type="character" w:customStyle="1" w:styleId="HeaderChar">
    <w:name w:val="Header Char"/>
    <w:basedOn w:val="DefaultParagraphFont"/>
    <w:link w:val="Header"/>
    <w:uiPriority w:val="99"/>
    <w:rsid w:val="0093624A"/>
  </w:style>
  <w:style w:type="paragraph" w:styleId="Footer">
    <w:name w:val="footer"/>
    <w:basedOn w:val="Normal"/>
    <w:link w:val="FooterChar"/>
    <w:uiPriority w:val="99"/>
    <w:unhideWhenUsed/>
    <w:rsid w:val="0093624A"/>
    <w:pPr>
      <w:tabs>
        <w:tab w:val="center" w:pos="4513"/>
        <w:tab w:val="right" w:pos="9026"/>
      </w:tabs>
      <w:spacing w:line="240" w:lineRule="auto"/>
    </w:pPr>
  </w:style>
  <w:style w:type="character" w:customStyle="1" w:styleId="FooterChar">
    <w:name w:val="Footer Char"/>
    <w:basedOn w:val="DefaultParagraphFont"/>
    <w:link w:val="Footer"/>
    <w:uiPriority w:val="99"/>
    <w:rsid w:val="0093624A"/>
  </w:style>
  <w:style w:type="character" w:styleId="Hyperlink">
    <w:name w:val="Hyperlink"/>
    <w:basedOn w:val="DefaultParagraphFont"/>
    <w:uiPriority w:val="99"/>
    <w:unhideWhenUsed/>
    <w:rsid w:val="006942E2"/>
    <w:rPr>
      <w:color w:val="0000FF" w:themeColor="hyperlink"/>
      <w:u w:val="single"/>
    </w:rPr>
  </w:style>
  <w:style w:type="paragraph" w:styleId="NormalWeb">
    <w:name w:val="Normal (Web)"/>
    <w:basedOn w:val="Normal"/>
    <w:uiPriority w:val="99"/>
    <w:semiHidden/>
    <w:unhideWhenUsed/>
    <w:rsid w:val="00E13A6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A72487"/>
    <w:pPr>
      <w:spacing w:line="240" w:lineRule="auto"/>
    </w:pPr>
  </w:style>
  <w:style w:type="character" w:styleId="CommentReference">
    <w:name w:val="annotation reference"/>
    <w:basedOn w:val="DefaultParagraphFont"/>
    <w:uiPriority w:val="99"/>
    <w:semiHidden/>
    <w:unhideWhenUsed/>
    <w:rsid w:val="00175F3C"/>
    <w:rPr>
      <w:sz w:val="16"/>
      <w:szCs w:val="16"/>
    </w:rPr>
  </w:style>
  <w:style w:type="paragraph" w:styleId="CommentText">
    <w:name w:val="annotation text"/>
    <w:basedOn w:val="Normal"/>
    <w:link w:val="CommentTextChar"/>
    <w:uiPriority w:val="99"/>
    <w:unhideWhenUsed/>
    <w:rsid w:val="00175F3C"/>
    <w:pPr>
      <w:spacing w:line="240" w:lineRule="auto"/>
    </w:pPr>
    <w:rPr>
      <w:sz w:val="20"/>
      <w:szCs w:val="20"/>
    </w:rPr>
  </w:style>
  <w:style w:type="character" w:customStyle="1" w:styleId="CommentTextChar">
    <w:name w:val="Comment Text Char"/>
    <w:basedOn w:val="DefaultParagraphFont"/>
    <w:link w:val="CommentText"/>
    <w:uiPriority w:val="99"/>
    <w:rsid w:val="00175F3C"/>
    <w:rPr>
      <w:sz w:val="20"/>
      <w:szCs w:val="20"/>
    </w:rPr>
  </w:style>
  <w:style w:type="paragraph" w:styleId="CommentSubject">
    <w:name w:val="annotation subject"/>
    <w:basedOn w:val="CommentText"/>
    <w:next w:val="CommentText"/>
    <w:link w:val="CommentSubjectChar"/>
    <w:uiPriority w:val="99"/>
    <w:semiHidden/>
    <w:unhideWhenUsed/>
    <w:rsid w:val="00175F3C"/>
    <w:rPr>
      <w:b/>
      <w:bCs/>
    </w:rPr>
  </w:style>
  <w:style w:type="character" w:customStyle="1" w:styleId="CommentSubjectChar">
    <w:name w:val="Comment Subject Char"/>
    <w:basedOn w:val="CommentTextChar"/>
    <w:link w:val="CommentSubject"/>
    <w:uiPriority w:val="99"/>
    <w:semiHidden/>
    <w:rsid w:val="00175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5050">
      <w:bodyDiv w:val="1"/>
      <w:marLeft w:val="0"/>
      <w:marRight w:val="0"/>
      <w:marTop w:val="0"/>
      <w:marBottom w:val="0"/>
      <w:divBdr>
        <w:top w:val="none" w:sz="0" w:space="0" w:color="auto"/>
        <w:left w:val="none" w:sz="0" w:space="0" w:color="auto"/>
        <w:bottom w:val="none" w:sz="0" w:space="0" w:color="auto"/>
        <w:right w:val="none" w:sz="0" w:space="0" w:color="auto"/>
      </w:divBdr>
    </w:div>
    <w:div w:id="424615081">
      <w:bodyDiv w:val="1"/>
      <w:marLeft w:val="0"/>
      <w:marRight w:val="0"/>
      <w:marTop w:val="0"/>
      <w:marBottom w:val="0"/>
      <w:divBdr>
        <w:top w:val="none" w:sz="0" w:space="0" w:color="auto"/>
        <w:left w:val="none" w:sz="0" w:space="0" w:color="auto"/>
        <w:bottom w:val="none" w:sz="0" w:space="0" w:color="auto"/>
        <w:right w:val="none" w:sz="0" w:space="0" w:color="auto"/>
      </w:divBdr>
      <w:divsChild>
        <w:div w:id="1390150057">
          <w:marLeft w:val="851"/>
          <w:marRight w:val="0"/>
          <w:marTop w:val="60"/>
          <w:marBottom w:val="0"/>
          <w:divBdr>
            <w:top w:val="none" w:sz="0" w:space="0" w:color="auto"/>
            <w:left w:val="none" w:sz="0" w:space="0" w:color="auto"/>
            <w:bottom w:val="none" w:sz="0" w:space="0" w:color="auto"/>
            <w:right w:val="none" w:sz="0" w:space="0" w:color="auto"/>
          </w:divBdr>
        </w:div>
        <w:div w:id="1160779246">
          <w:marLeft w:val="1418"/>
          <w:marRight w:val="0"/>
          <w:marTop w:val="60"/>
          <w:marBottom w:val="0"/>
          <w:divBdr>
            <w:top w:val="none" w:sz="0" w:space="0" w:color="auto"/>
            <w:left w:val="none" w:sz="0" w:space="0" w:color="auto"/>
            <w:bottom w:val="none" w:sz="0" w:space="0" w:color="auto"/>
            <w:right w:val="none" w:sz="0" w:space="0" w:color="auto"/>
          </w:divBdr>
        </w:div>
        <w:div w:id="1313170334">
          <w:marLeft w:val="2155"/>
          <w:marRight w:val="0"/>
          <w:marTop w:val="60"/>
          <w:marBottom w:val="0"/>
          <w:divBdr>
            <w:top w:val="none" w:sz="0" w:space="0" w:color="auto"/>
            <w:left w:val="none" w:sz="0" w:space="0" w:color="auto"/>
            <w:bottom w:val="none" w:sz="0" w:space="0" w:color="auto"/>
            <w:right w:val="none" w:sz="0" w:space="0" w:color="auto"/>
          </w:divBdr>
        </w:div>
        <w:div w:id="1564830619">
          <w:marLeft w:val="2155"/>
          <w:marRight w:val="0"/>
          <w:marTop w:val="60"/>
          <w:marBottom w:val="0"/>
          <w:divBdr>
            <w:top w:val="none" w:sz="0" w:space="0" w:color="auto"/>
            <w:left w:val="none" w:sz="0" w:space="0" w:color="auto"/>
            <w:bottom w:val="none" w:sz="0" w:space="0" w:color="auto"/>
            <w:right w:val="none" w:sz="0" w:space="0" w:color="auto"/>
          </w:divBdr>
        </w:div>
        <w:div w:id="1398434903">
          <w:marLeft w:val="2835"/>
          <w:marRight w:val="0"/>
          <w:marTop w:val="60"/>
          <w:marBottom w:val="0"/>
          <w:divBdr>
            <w:top w:val="none" w:sz="0" w:space="0" w:color="auto"/>
            <w:left w:val="none" w:sz="0" w:space="0" w:color="auto"/>
            <w:bottom w:val="none" w:sz="0" w:space="0" w:color="auto"/>
            <w:right w:val="none" w:sz="0" w:space="0" w:color="auto"/>
          </w:divBdr>
        </w:div>
        <w:div w:id="1550610249">
          <w:marLeft w:val="0"/>
          <w:marRight w:val="0"/>
          <w:marTop w:val="20"/>
          <w:marBottom w:val="20"/>
          <w:divBdr>
            <w:top w:val="none" w:sz="0" w:space="0" w:color="auto"/>
            <w:left w:val="none" w:sz="0" w:space="0" w:color="auto"/>
            <w:bottom w:val="none" w:sz="0" w:space="0" w:color="auto"/>
            <w:right w:val="none" w:sz="0" w:space="0" w:color="auto"/>
          </w:divBdr>
        </w:div>
        <w:div w:id="1684941150">
          <w:marLeft w:val="2835"/>
          <w:marRight w:val="0"/>
          <w:marTop w:val="60"/>
          <w:marBottom w:val="0"/>
          <w:divBdr>
            <w:top w:val="none" w:sz="0" w:space="0" w:color="auto"/>
            <w:left w:val="none" w:sz="0" w:space="0" w:color="auto"/>
            <w:bottom w:val="none" w:sz="0" w:space="0" w:color="auto"/>
            <w:right w:val="none" w:sz="0" w:space="0" w:color="auto"/>
          </w:divBdr>
        </w:div>
        <w:div w:id="12145886">
          <w:marLeft w:val="0"/>
          <w:marRight w:val="0"/>
          <w:marTop w:val="20"/>
          <w:marBottom w:val="20"/>
          <w:divBdr>
            <w:top w:val="none" w:sz="0" w:space="0" w:color="auto"/>
            <w:left w:val="none" w:sz="0" w:space="0" w:color="auto"/>
            <w:bottom w:val="none" w:sz="0" w:space="0" w:color="auto"/>
            <w:right w:val="none" w:sz="0" w:space="0" w:color="auto"/>
          </w:divBdr>
        </w:div>
        <w:div w:id="1822382356">
          <w:marLeft w:val="2155"/>
          <w:marRight w:val="0"/>
          <w:marTop w:val="60"/>
          <w:marBottom w:val="0"/>
          <w:divBdr>
            <w:top w:val="none" w:sz="0" w:space="0" w:color="auto"/>
            <w:left w:val="none" w:sz="0" w:space="0" w:color="auto"/>
            <w:bottom w:val="none" w:sz="0" w:space="0" w:color="auto"/>
            <w:right w:val="none" w:sz="0" w:space="0" w:color="auto"/>
          </w:divBdr>
        </w:div>
        <w:div w:id="2046323911">
          <w:marLeft w:val="2155"/>
          <w:marRight w:val="0"/>
          <w:marTop w:val="60"/>
          <w:marBottom w:val="0"/>
          <w:divBdr>
            <w:top w:val="none" w:sz="0" w:space="0" w:color="auto"/>
            <w:left w:val="none" w:sz="0" w:space="0" w:color="auto"/>
            <w:bottom w:val="none" w:sz="0" w:space="0" w:color="auto"/>
            <w:right w:val="none" w:sz="0" w:space="0" w:color="auto"/>
          </w:divBdr>
        </w:div>
        <w:div w:id="1044716645">
          <w:marLeft w:val="2835"/>
          <w:marRight w:val="0"/>
          <w:marTop w:val="60"/>
          <w:marBottom w:val="0"/>
          <w:divBdr>
            <w:top w:val="none" w:sz="0" w:space="0" w:color="auto"/>
            <w:left w:val="none" w:sz="0" w:space="0" w:color="auto"/>
            <w:bottom w:val="none" w:sz="0" w:space="0" w:color="auto"/>
            <w:right w:val="none" w:sz="0" w:space="0" w:color="auto"/>
          </w:divBdr>
        </w:div>
        <w:div w:id="1339044263">
          <w:marLeft w:val="0"/>
          <w:marRight w:val="0"/>
          <w:marTop w:val="20"/>
          <w:marBottom w:val="20"/>
          <w:divBdr>
            <w:top w:val="none" w:sz="0" w:space="0" w:color="auto"/>
            <w:left w:val="none" w:sz="0" w:space="0" w:color="auto"/>
            <w:bottom w:val="none" w:sz="0" w:space="0" w:color="auto"/>
            <w:right w:val="none" w:sz="0" w:space="0" w:color="auto"/>
          </w:divBdr>
        </w:div>
        <w:div w:id="1776096781">
          <w:marLeft w:val="2835"/>
          <w:marRight w:val="0"/>
          <w:marTop w:val="60"/>
          <w:marBottom w:val="0"/>
          <w:divBdr>
            <w:top w:val="none" w:sz="0" w:space="0" w:color="auto"/>
            <w:left w:val="none" w:sz="0" w:space="0" w:color="auto"/>
            <w:bottom w:val="none" w:sz="0" w:space="0" w:color="auto"/>
            <w:right w:val="none" w:sz="0" w:space="0" w:color="auto"/>
          </w:divBdr>
        </w:div>
        <w:div w:id="128937972">
          <w:marLeft w:val="0"/>
          <w:marRight w:val="0"/>
          <w:marTop w:val="20"/>
          <w:marBottom w:val="20"/>
          <w:divBdr>
            <w:top w:val="none" w:sz="0" w:space="0" w:color="auto"/>
            <w:left w:val="none" w:sz="0" w:space="0" w:color="auto"/>
            <w:bottom w:val="none" w:sz="0" w:space="0" w:color="auto"/>
            <w:right w:val="none" w:sz="0" w:space="0" w:color="auto"/>
          </w:divBdr>
        </w:div>
        <w:div w:id="55445645">
          <w:marLeft w:val="1418"/>
          <w:marRight w:val="0"/>
          <w:marTop w:val="60"/>
          <w:marBottom w:val="0"/>
          <w:divBdr>
            <w:top w:val="none" w:sz="0" w:space="0" w:color="auto"/>
            <w:left w:val="none" w:sz="0" w:space="0" w:color="auto"/>
            <w:bottom w:val="none" w:sz="0" w:space="0" w:color="auto"/>
            <w:right w:val="none" w:sz="0" w:space="0" w:color="auto"/>
          </w:divBdr>
        </w:div>
        <w:div w:id="203372578">
          <w:marLeft w:val="0"/>
          <w:marRight w:val="0"/>
          <w:marTop w:val="20"/>
          <w:marBottom w:val="20"/>
          <w:divBdr>
            <w:top w:val="none" w:sz="0" w:space="0" w:color="auto"/>
            <w:left w:val="none" w:sz="0" w:space="0" w:color="auto"/>
            <w:bottom w:val="none" w:sz="0" w:space="0" w:color="auto"/>
            <w:right w:val="none" w:sz="0" w:space="0" w:color="auto"/>
          </w:divBdr>
        </w:div>
        <w:div w:id="130246815">
          <w:marLeft w:val="0"/>
          <w:marRight w:val="0"/>
          <w:marTop w:val="180"/>
          <w:marBottom w:val="60"/>
          <w:divBdr>
            <w:top w:val="single" w:sz="8" w:space="1" w:color="808080"/>
            <w:left w:val="none" w:sz="0" w:space="0" w:color="auto"/>
            <w:bottom w:val="none" w:sz="0" w:space="0" w:color="auto"/>
            <w:right w:val="none" w:sz="0" w:space="0" w:color="auto"/>
          </w:divBdr>
        </w:div>
        <w:div w:id="842934050">
          <w:marLeft w:val="851"/>
          <w:marRight w:val="0"/>
          <w:marTop w:val="60"/>
          <w:marBottom w:val="0"/>
          <w:divBdr>
            <w:top w:val="none" w:sz="0" w:space="0" w:color="auto"/>
            <w:left w:val="none" w:sz="0" w:space="0" w:color="auto"/>
            <w:bottom w:val="none" w:sz="0" w:space="0" w:color="auto"/>
            <w:right w:val="none" w:sz="0" w:space="0" w:color="auto"/>
          </w:divBdr>
        </w:div>
        <w:div w:id="1482386453">
          <w:marLeft w:val="0"/>
          <w:marRight w:val="0"/>
          <w:marTop w:val="20"/>
          <w:marBottom w:val="20"/>
          <w:divBdr>
            <w:top w:val="none" w:sz="0" w:space="0" w:color="auto"/>
            <w:left w:val="none" w:sz="0" w:space="0" w:color="auto"/>
            <w:bottom w:val="none" w:sz="0" w:space="0" w:color="auto"/>
            <w:right w:val="none" w:sz="0" w:space="0" w:color="auto"/>
          </w:divBdr>
        </w:div>
        <w:div w:id="362757233">
          <w:marLeft w:val="851"/>
          <w:marRight w:val="0"/>
          <w:marTop w:val="60"/>
          <w:marBottom w:val="0"/>
          <w:divBdr>
            <w:top w:val="none" w:sz="0" w:space="0" w:color="auto"/>
            <w:left w:val="none" w:sz="0" w:space="0" w:color="auto"/>
            <w:bottom w:val="none" w:sz="0" w:space="0" w:color="auto"/>
            <w:right w:val="none" w:sz="0" w:space="0" w:color="auto"/>
          </w:divBdr>
        </w:div>
        <w:div w:id="1122655952">
          <w:marLeft w:val="1418"/>
          <w:marRight w:val="0"/>
          <w:marTop w:val="60"/>
          <w:marBottom w:val="0"/>
          <w:divBdr>
            <w:top w:val="none" w:sz="0" w:space="0" w:color="auto"/>
            <w:left w:val="none" w:sz="0" w:space="0" w:color="auto"/>
            <w:bottom w:val="none" w:sz="0" w:space="0" w:color="auto"/>
            <w:right w:val="none" w:sz="0" w:space="0" w:color="auto"/>
          </w:divBdr>
        </w:div>
        <w:div w:id="1998146312">
          <w:marLeft w:val="2155"/>
          <w:marRight w:val="0"/>
          <w:marTop w:val="60"/>
          <w:marBottom w:val="0"/>
          <w:divBdr>
            <w:top w:val="none" w:sz="0" w:space="0" w:color="auto"/>
            <w:left w:val="none" w:sz="0" w:space="0" w:color="auto"/>
            <w:bottom w:val="none" w:sz="0" w:space="0" w:color="auto"/>
            <w:right w:val="none" w:sz="0" w:space="0" w:color="auto"/>
          </w:divBdr>
        </w:div>
        <w:div w:id="533689785">
          <w:marLeft w:val="2155"/>
          <w:marRight w:val="0"/>
          <w:marTop w:val="60"/>
          <w:marBottom w:val="0"/>
          <w:divBdr>
            <w:top w:val="none" w:sz="0" w:space="0" w:color="auto"/>
            <w:left w:val="none" w:sz="0" w:space="0" w:color="auto"/>
            <w:bottom w:val="none" w:sz="0" w:space="0" w:color="auto"/>
            <w:right w:val="none" w:sz="0" w:space="0" w:color="auto"/>
          </w:divBdr>
        </w:div>
        <w:div w:id="1834683814">
          <w:marLeft w:val="1418"/>
          <w:marRight w:val="0"/>
          <w:marTop w:val="60"/>
          <w:marBottom w:val="0"/>
          <w:divBdr>
            <w:top w:val="none" w:sz="0" w:space="0" w:color="auto"/>
            <w:left w:val="none" w:sz="0" w:space="0" w:color="auto"/>
            <w:bottom w:val="none" w:sz="0" w:space="0" w:color="auto"/>
            <w:right w:val="none" w:sz="0" w:space="0" w:color="auto"/>
          </w:divBdr>
        </w:div>
        <w:div w:id="713845113">
          <w:marLeft w:val="0"/>
          <w:marRight w:val="0"/>
          <w:marTop w:val="20"/>
          <w:marBottom w:val="20"/>
          <w:divBdr>
            <w:top w:val="none" w:sz="0" w:space="0" w:color="auto"/>
            <w:left w:val="none" w:sz="0" w:space="0" w:color="auto"/>
            <w:bottom w:val="none" w:sz="0" w:space="0" w:color="auto"/>
            <w:right w:val="none" w:sz="0" w:space="0" w:color="auto"/>
          </w:divBdr>
        </w:div>
        <w:div w:id="1674454012">
          <w:marLeft w:val="0"/>
          <w:marRight w:val="0"/>
          <w:marTop w:val="20"/>
          <w:marBottom w:val="20"/>
          <w:divBdr>
            <w:top w:val="none" w:sz="0" w:space="0" w:color="auto"/>
            <w:left w:val="none" w:sz="0" w:space="0" w:color="auto"/>
            <w:bottom w:val="none" w:sz="0" w:space="0" w:color="auto"/>
            <w:right w:val="none" w:sz="0" w:space="0" w:color="auto"/>
          </w:divBdr>
        </w:div>
        <w:div w:id="2095396298">
          <w:marLeft w:val="0"/>
          <w:marRight w:val="0"/>
          <w:marTop w:val="20"/>
          <w:marBottom w:val="20"/>
          <w:divBdr>
            <w:top w:val="none" w:sz="0" w:space="0" w:color="auto"/>
            <w:left w:val="none" w:sz="0" w:space="0" w:color="auto"/>
            <w:bottom w:val="none" w:sz="0" w:space="0" w:color="auto"/>
            <w:right w:val="none" w:sz="0" w:space="0" w:color="auto"/>
          </w:divBdr>
        </w:div>
      </w:divsChild>
    </w:div>
    <w:div w:id="924610081">
      <w:bodyDiv w:val="1"/>
      <w:marLeft w:val="360"/>
      <w:marRight w:val="360"/>
      <w:marTop w:val="0"/>
      <w:marBottom w:val="0"/>
      <w:divBdr>
        <w:top w:val="none" w:sz="0" w:space="0" w:color="auto"/>
        <w:left w:val="none" w:sz="0" w:space="0" w:color="auto"/>
        <w:bottom w:val="none" w:sz="0" w:space="0" w:color="auto"/>
        <w:right w:val="none" w:sz="0" w:space="0" w:color="auto"/>
      </w:divBdr>
      <w:divsChild>
        <w:div w:id="143158428">
          <w:marLeft w:val="0"/>
          <w:marRight w:val="0"/>
          <w:marTop w:val="120"/>
          <w:marBottom w:val="0"/>
          <w:divBdr>
            <w:top w:val="none" w:sz="0" w:space="0" w:color="auto"/>
            <w:left w:val="none" w:sz="0" w:space="0" w:color="auto"/>
            <w:bottom w:val="none" w:sz="0" w:space="0" w:color="auto"/>
            <w:right w:val="none" w:sz="0" w:space="0" w:color="auto"/>
          </w:divBdr>
        </w:div>
      </w:divsChild>
    </w:div>
    <w:div w:id="9299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20%5d%20ZASCA%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09CD-1CF2-41E5-9D8A-834EC717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Tshiqi ZLL - Judge</dc:creator>
  <cp:lastModifiedBy>Mary Bruce</cp:lastModifiedBy>
  <cp:revision>3</cp:revision>
  <cp:lastPrinted>2022-11-07T09:20:00Z</cp:lastPrinted>
  <dcterms:created xsi:type="dcterms:W3CDTF">2022-11-07T09:56:00Z</dcterms:created>
  <dcterms:modified xsi:type="dcterms:W3CDTF">2022-11-07T12:36:00Z</dcterms:modified>
</cp:coreProperties>
</file>