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65D18" w14:textId="77777777" w:rsidR="00E061E8" w:rsidRPr="00DC0CF6" w:rsidRDefault="00E061E8" w:rsidP="00E061E8">
      <w:pPr>
        <w:jc w:val="center"/>
        <w:rPr>
          <w:b/>
          <w:bCs/>
          <w:sz w:val="28"/>
          <w:szCs w:val="28"/>
        </w:rPr>
      </w:pPr>
      <w:bookmarkStart w:id="0" w:name="_GoBack"/>
      <w:bookmarkEnd w:id="0"/>
    </w:p>
    <w:p w14:paraId="54DE1F75" w14:textId="77777777" w:rsidR="00E061E8" w:rsidRPr="00DC0CF6" w:rsidRDefault="00E061E8" w:rsidP="00E061E8">
      <w:pPr>
        <w:jc w:val="center"/>
        <w:rPr>
          <w:b/>
          <w:bCs/>
          <w:sz w:val="28"/>
          <w:szCs w:val="28"/>
        </w:rPr>
      </w:pPr>
    </w:p>
    <w:p w14:paraId="6869BF1E" w14:textId="77777777" w:rsidR="00E061E8" w:rsidRPr="00FE2D31" w:rsidRDefault="00E061E8" w:rsidP="00E061E8">
      <w:pPr>
        <w:jc w:val="center"/>
        <w:rPr>
          <w:b/>
          <w:bCs/>
          <w:sz w:val="28"/>
          <w:szCs w:val="28"/>
        </w:rPr>
      </w:pPr>
      <w:r w:rsidRPr="00FE2D31">
        <w:rPr>
          <w:noProof/>
          <w:sz w:val="28"/>
          <w:szCs w:val="28"/>
          <w:lang w:val="en-ZA" w:eastAsia="en-ZA"/>
        </w:rPr>
        <w:drawing>
          <wp:anchor distT="0" distB="0" distL="114300" distR="114300" simplePos="0" relativeHeight="251659264" behindDoc="0" locked="0" layoutInCell="1" allowOverlap="1" wp14:anchorId="6985FAAA" wp14:editId="53EE3FF8">
            <wp:simplePos x="0" y="0"/>
            <wp:positionH relativeFrom="margi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BD5C627" w14:textId="77777777" w:rsidR="00E061E8" w:rsidRPr="00FE2D31" w:rsidRDefault="00E061E8" w:rsidP="00E061E8">
      <w:pPr>
        <w:jc w:val="center"/>
        <w:rPr>
          <w:b/>
          <w:bCs/>
          <w:sz w:val="28"/>
          <w:szCs w:val="28"/>
        </w:rPr>
      </w:pPr>
    </w:p>
    <w:p w14:paraId="131FA15C" w14:textId="77777777" w:rsidR="00E061E8" w:rsidRPr="00FE2D31" w:rsidRDefault="00E061E8" w:rsidP="00E061E8">
      <w:pPr>
        <w:jc w:val="center"/>
        <w:rPr>
          <w:b/>
          <w:bCs/>
          <w:sz w:val="28"/>
          <w:szCs w:val="28"/>
        </w:rPr>
      </w:pPr>
    </w:p>
    <w:p w14:paraId="3F7DFC12" w14:textId="77777777" w:rsidR="00E061E8" w:rsidRPr="00FE2D31" w:rsidRDefault="00E061E8" w:rsidP="00E061E8">
      <w:pPr>
        <w:jc w:val="center"/>
        <w:rPr>
          <w:b/>
          <w:bCs/>
          <w:sz w:val="28"/>
          <w:szCs w:val="28"/>
        </w:rPr>
      </w:pPr>
      <w:r w:rsidRPr="00FE2D31">
        <w:rPr>
          <w:b/>
          <w:bCs/>
          <w:sz w:val="28"/>
          <w:szCs w:val="28"/>
        </w:rPr>
        <w:t>THE SUPREME COURT OF APPEAL OF SOUTH AFRICA</w:t>
      </w:r>
    </w:p>
    <w:p w14:paraId="5F3C1A79" w14:textId="77777777" w:rsidR="00E061E8" w:rsidRPr="00FE2D31" w:rsidRDefault="00E061E8" w:rsidP="00E061E8">
      <w:pPr>
        <w:pStyle w:val="Heading3"/>
        <w:jc w:val="center"/>
        <w:rPr>
          <w:rFonts w:ascii="Times New Roman" w:hAnsi="Times New Roman" w:cs="Times New Roman"/>
          <w:b/>
          <w:i w:val="0"/>
          <w:szCs w:val="28"/>
        </w:rPr>
      </w:pPr>
      <w:r w:rsidRPr="00FE2D31">
        <w:rPr>
          <w:rFonts w:ascii="Times New Roman" w:hAnsi="Times New Roman" w:cs="Times New Roman"/>
          <w:b/>
          <w:i w:val="0"/>
          <w:szCs w:val="28"/>
        </w:rPr>
        <w:t>JUDGMENT</w:t>
      </w:r>
    </w:p>
    <w:p w14:paraId="1FD08F4B" w14:textId="04536AA6" w:rsidR="00E061E8" w:rsidRPr="00FE2D31" w:rsidRDefault="00E061E8" w:rsidP="00E061E8">
      <w:pPr>
        <w:spacing w:before="120"/>
        <w:jc w:val="right"/>
        <w:rPr>
          <w:b/>
          <w:sz w:val="28"/>
          <w:szCs w:val="28"/>
        </w:rPr>
      </w:pPr>
      <w:r w:rsidRPr="00FE2D31">
        <w:rPr>
          <w:b/>
          <w:sz w:val="28"/>
          <w:szCs w:val="28"/>
        </w:rPr>
        <w:t>Not Reportable</w:t>
      </w:r>
    </w:p>
    <w:p w14:paraId="1F15E2FA" w14:textId="77777777" w:rsidR="00E061E8" w:rsidRPr="00FE2D31" w:rsidRDefault="00E061E8" w:rsidP="00E061E8">
      <w:pPr>
        <w:jc w:val="right"/>
        <w:rPr>
          <w:sz w:val="28"/>
          <w:szCs w:val="28"/>
        </w:rPr>
      </w:pPr>
      <w:r w:rsidRPr="00FE2D31">
        <w:rPr>
          <w:sz w:val="28"/>
          <w:szCs w:val="28"/>
        </w:rPr>
        <w:t xml:space="preserve">Case no: </w:t>
      </w:r>
      <w:r w:rsidR="00803F46" w:rsidRPr="00FE2D31">
        <w:rPr>
          <w:sz w:val="28"/>
          <w:szCs w:val="28"/>
        </w:rPr>
        <w:t>159</w:t>
      </w:r>
      <w:r w:rsidRPr="00FE2D31">
        <w:rPr>
          <w:sz w:val="28"/>
          <w:szCs w:val="28"/>
        </w:rPr>
        <w:t>/21</w:t>
      </w:r>
    </w:p>
    <w:p w14:paraId="25B1432D" w14:textId="77777777" w:rsidR="00E061E8" w:rsidRPr="00FE2D31" w:rsidRDefault="00E061E8" w:rsidP="00E061E8">
      <w:pPr>
        <w:jc w:val="right"/>
        <w:rPr>
          <w:sz w:val="28"/>
          <w:szCs w:val="28"/>
        </w:rPr>
      </w:pPr>
    </w:p>
    <w:p w14:paraId="1C6ACB39" w14:textId="77777777" w:rsidR="00E061E8" w:rsidRPr="00FE2D31" w:rsidRDefault="00E061E8" w:rsidP="00E061E8">
      <w:pPr>
        <w:spacing w:after="120"/>
        <w:rPr>
          <w:sz w:val="28"/>
          <w:szCs w:val="28"/>
        </w:rPr>
      </w:pPr>
      <w:r w:rsidRPr="00FE2D31">
        <w:rPr>
          <w:sz w:val="28"/>
          <w:szCs w:val="28"/>
        </w:rPr>
        <w:t>In the matter between:</w:t>
      </w:r>
    </w:p>
    <w:p w14:paraId="48031430" w14:textId="77777777" w:rsidR="00E061E8" w:rsidRPr="00FE2D31" w:rsidRDefault="00803F46" w:rsidP="00E061E8">
      <w:pPr>
        <w:tabs>
          <w:tab w:val="right" w:pos="8640"/>
        </w:tabs>
        <w:spacing w:line="276" w:lineRule="auto"/>
        <w:rPr>
          <w:bCs/>
          <w:sz w:val="28"/>
          <w:szCs w:val="28"/>
        </w:rPr>
      </w:pPr>
      <w:r w:rsidRPr="00FE2D31">
        <w:rPr>
          <w:b/>
          <w:bCs/>
          <w:sz w:val="28"/>
          <w:szCs w:val="28"/>
        </w:rPr>
        <w:t>SAMANCOR CHROME LIMITED</w:t>
      </w:r>
      <w:r w:rsidR="00E061E8" w:rsidRPr="00FE2D31">
        <w:rPr>
          <w:b/>
          <w:bCs/>
          <w:sz w:val="28"/>
          <w:szCs w:val="28"/>
        </w:rPr>
        <w:t xml:space="preserve">                                           APPELLANT </w:t>
      </w:r>
    </w:p>
    <w:p w14:paraId="392A3E0B" w14:textId="77777777" w:rsidR="00E061E8" w:rsidRPr="00FE2D31" w:rsidRDefault="00E061E8" w:rsidP="00E061E8">
      <w:pPr>
        <w:tabs>
          <w:tab w:val="right" w:pos="8640"/>
        </w:tabs>
        <w:spacing w:line="276" w:lineRule="auto"/>
        <w:rPr>
          <w:b/>
          <w:sz w:val="28"/>
          <w:szCs w:val="28"/>
        </w:rPr>
      </w:pPr>
    </w:p>
    <w:p w14:paraId="249B0636" w14:textId="77777777" w:rsidR="00E061E8" w:rsidRPr="00FE2D31" w:rsidRDefault="00E061E8" w:rsidP="00E061E8">
      <w:pPr>
        <w:tabs>
          <w:tab w:val="right" w:pos="8640"/>
        </w:tabs>
        <w:spacing w:line="276" w:lineRule="auto"/>
        <w:rPr>
          <w:bCs/>
          <w:sz w:val="28"/>
          <w:szCs w:val="28"/>
        </w:rPr>
      </w:pPr>
      <w:r w:rsidRPr="00FE2D31">
        <w:rPr>
          <w:bCs/>
          <w:sz w:val="28"/>
          <w:szCs w:val="28"/>
        </w:rPr>
        <w:t>and</w:t>
      </w:r>
    </w:p>
    <w:p w14:paraId="6A4A13C4" w14:textId="77777777" w:rsidR="00E061E8" w:rsidRPr="00FE2D31" w:rsidRDefault="00E061E8" w:rsidP="00E061E8">
      <w:pPr>
        <w:tabs>
          <w:tab w:val="right" w:pos="8640"/>
        </w:tabs>
        <w:spacing w:line="276" w:lineRule="auto"/>
        <w:rPr>
          <w:bCs/>
          <w:sz w:val="28"/>
          <w:szCs w:val="28"/>
        </w:rPr>
      </w:pPr>
    </w:p>
    <w:p w14:paraId="36E5315A" w14:textId="77777777" w:rsidR="001D6598" w:rsidRPr="00FE2D31" w:rsidRDefault="001D6598" w:rsidP="00E061E8">
      <w:pPr>
        <w:spacing w:line="276" w:lineRule="auto"/>
        <w:rPr>
          <w:b/>
          <w:sz w:val="28"/>
          <w:szCs w:val="28"/>
        </w:rPr>
      </w:pPr>
      <w:r w:rsidRPr="00FE2D31">
        <w:rPr>
          <w:b/>
          <w:sz w:val="28"/>
          <w:szCs w:val="28"/>
        </w:rPr>
        <w:t>BILA CIVIL CONTRACTORS (PTY) LTD          FIRST RESPONDENT</w:t>
      </w:r>
    </w:p>
    <w:p w14:paraId="11A319CC" w14:textId="77777777" w:rsidR="001D6598" w:rsidRPr="00FE2D31" w:rsidRDefault="001D6598" w:rsidP="00E061E8">
      <w:pPr>
        <w:spacing w:line="276" w:lineRule="auto"/>
        <w:rPr>
          <w:b/>
          <w:sz w:val="28"/>
          <w:szCs w:val="28"/>
        </w:rPr>
      </w:pPr>
    </w:p>
    <w:p w14:paraId="39216141" w14:textId="77777777" w:rsidR="001D6598" w:rsidRPr="00FE2D31" w:rsidRDefault="001D6598" w:rsidP="00E061E8">
      <w:pPr>
        <w:spacing w:line="276" w:lineRule="auto"/>
        <w:rPr>
          <w:b/>
          <w:sz w:val="28"/>
          <w:szCs w:val="28"/>
        </w:rPr>
      </w:pPr>
      <w:r w:rsidRPr="00FE2D31">
        <w:rPr>
          <w:b/>
          <w:sz w:val="28"/>
          <w:szCs w:val="28"/>
        </w:rPr>
        <w:t xml:space="preserve">RICHARD FANI BILA                                      </w:t>
      </w:r>
      <w:r w:rsidR="00866D0A" w:rsidRPr="00FE2D31">
        <w:rPr>
          <w:b/>
          <w:sz w:val="28"/>
          <w:szCs w:val="28"/>
        </w:rPr>
        <w:t xml:space="preserve">  </w:t>
      </w:r>
      <w:r w:rsidRPr="00FE2D31">
        <w:rPr>
          <w:b/>
          <w:sz w:val="28"/>
          <w:szCs w:val="28"/>
        </w:rPr>
        <w:t>SECOND RESPONDENT</w:t>
      </w:r>
    </w:p>
    <w:p w14:paraId="509CD2A7" w14:textId="77777777" w:rsidR="001D6598" w:rsidRPr="00FE2D31" w:rsidRDefault="001D6598" w:rsidP="00E061E8">
      <w:pPr>
        <w:spacing w:line="276" w:lineRule="auto"/>
        <w:rPr>
          <w:b/>
          <w:sz w:val="28"/>
          <w:szCs w:val="28"/>
        </w:rPr>
      </w:pPr>
    </w:p>
    <w:p w14:paraId="2B4A3AEB" w14:textId="77777777" w:rsidR="001D6598" w:rsidRPr="00FE2D31" w:rsidRDefault="001D6598" w:rsidP="00E061E8">
      <w:pPr>
        <w:spacing w:line="276" w:lineRule="auto"/>
        <w:rPr>
          <w:b/>
          <w:sz w:val="28"/>
          <w:szCs w:val="28"/>
        </w:rPr>
      </w:pPr>
      <w:r w:rsidRPr="00FE2D31">
        <w:rPr>
          <w:b/>
          <w:sz w:val="28"/>
          <w:szCs w:val="28"/>
        </w:rPr>
        <w:t xml:space="preserve">THOMAS TIME BILA                                          </w:t>
      </w:r>
      <w:r w:rsidR="00866D0A" w:rsidRPr="00FE2D31">
        <w:rPr>
          <w:b/>
          <w:sz w:val="28"/>
          <w:szCs w:val="28"/>
        </w:rPr>
        <w:t xml:space="preserve"> </w:t>
      </w:r>
      <w:r w:rsidRPr="00FE2D31">
        <w:rPr>
          <w:b/>
          <w:sz w:val="28"/>
          <w:szCs w:val="28"/>
        </w:rPr>
        <w:t>THIRD RESPONDENT</w:t>
      </w:r>
    </w:p>
    <w:p w14:paraId="59C31293" w14:textId="77777777" w:rsidR="001D6598" w:rsidRPr="00FE2D31" w:rsidRDefault="001D6598" w:rsidP="00E061E8">
      <w:pPr>
        <w:spacing w:line="276" w:lineRule="auto"/>
        <w:rPr>
          <w:b/>
          <w:sz w:val="28"/>
          <w:szCs w:val="28"/>
        </w:rPr>
      </w:pPr>
    </w:p>
    <w:p w14:paraId="2BAC7D00" w14:textId="77777777" w:rsidR="00866D0A" w:rsidRPr="00FE2D31" w:rsidRDefault="00866D0A" w:rsidP="00E061E8">
      <w:pPr>
        <w:spacing w:line="276" w:lineRule="auto"/>
        <w:rPr>
          <w:b/>
          <w:sz w:val="28"/>
          <w:szCs w:val="28"/>
        </w:rPr>
      </w:pPr>
      <w:r w:rsidRPr="00FE2D31">
        <w:rPr>
          <w:b/>
          <w:sz w:val="28"/>
          <w:szCs w:val="28"/>
        </w:rPr>
        <w:t>PHINDILE PRECIOUS KHUMALO                 FOURTH RESPONDENT</w:t>
      </w:r>
    </w:p>
    <w:p w14:paraId="13443C8C" w14:textId="77777777" w:rsidR="00866D0A" w:rsidRPr="00FE2D31" w:rsidRDefault="00866D0A" w:rsidP="00E061E8">
      <w:pPr>
        <w:spacing w:line="276" w:lineRule="auto"/>
        <w:rPr>
          <w:b/>
          <w:sz w:val="28"/>
          <w:szCs w:val="28"/>
        </w:rPr>
      </w:pPr>
    </w:p>
    <w:p w14:paraId="3BD38EA4" w14:textId="77777777" w:rsidR="00E061E8" w:rsidRPr="00FE2D31" w:rsidRDefault="00866D0A" w:rsidP="00E061E8">
      <w:pPr>
        <w:spacing w:line="276" w:lineRule="auto"/>
        <w:rPr>
          <w:b/>
          <w:sz w:val="28"/>
          <w:szCs w:val="28"/>
        </w:rPr>
      </w:pPr>
      <w:r w:rsidRPr="00FE2D31">
        <w:rPr>
          <w:b/>
          <w:sz w:val="28"/>
          <w:szCs w:val="28"/>
        </w:rPr>
        <w:t>ELISAMINA SIBIYA                                              FIFTH RESPONDENT</w:t>
      </w:r>
      <w:r w:rsidR="001D6598" w:rsidRPr="00FE2D31">
        <w:rPr>
          <w:b/>
          <w:sz w:val="28"/>
          <w:szCs w:val="28"/>
        </w:rPr>
        <w:t xml:space="preserve">  </w:t>
      </w:r>
    </w:p>
    <w:p w14:paraId="3E1403DE" w14:textId="77777777" w:rsidR="00E061E8" w:rsidRPr="00FE2D31" w:rsidRDefault="00E061E8" w:rsidP="00E061E8">
      <w:pPr>
        <w:spacing w:line="276" w:lineRule="auto"/>
        <w:rPr>
          <w:b/>
          <w:sz w:val="28"/>
          <w:szCs w:val="28"/>
        </w:rPr>
      </w:pPr>
    </w:p>
    <w:p w14:paraId="20E530C5" w14:textId="77777777" w:rsidR="00E061E8" w:rsidRPr="00FE2D31" w:rsidRDefault="00E061E8" w:rsidP="00E061E8">
      <w:pPr>
        <w:tabs>
          <w:tab w:val="right" w:pos="8640"/>
        </w:tabs>
        <w:rPr>
          <w:b/>
          <w:sz w:val="28"/>
          <w:szCs w:val="28"/>
        </w:rPr>
      </w:pPr>
    </w:p>
    <w:p w14:paraId="138CB63C" w14:textId="77DE6534" w:rsidR="00E061E8" w:rsidRPr="00FE2D31" w:rsidRDefault="00E061E8" w:rsidP="00E061E8">
      <w:pPr>
        <w:ind w:left="2160" w:hanging="2160"/>
        <w:contextualSpacing/>
        <w:rPr>
          <w:bCs/>
          <w:sz w:val="28"/>
          <w:szCs w:val="28"/>
        </w:rPr>
      </w:pPr>
      <w:r w:rsidRPr="00FE2D31">
        <w:rPr>
          <w:b/>
          <w:bCs/>
          <w:sz w:val="28"/>
          <w:szCs w:val="28"/>
        </w:rPr>
        <w:t>Neutral citation:</w:t>
      </w:r>
      <w:r w:rsidRPr="00FE2D31">
        <w:rPr>
          <w:bCs/>
          <w:i/>
          <w:sz w:val="28"/>
          <w:szCs w:val="28"/>
        </w:rPr>
        <w:tab/>
      </w:r>
      <w:r w:rsidR="001D2654" w:rsidRPr="00FE2D31">
        <w:rPr>
          <w:bCs/>
          <w:i/>
          <w:sz w:val="28"/>
          <w:szCs w:val="28"/>
        </w:rPr>
        <w:t xml:space="preserve">Samancor Chrome Limited v Bila Civil Contractors (Pty) Ltd </w:t>
      </w:r>
      <w:r w:rsidR="000B6781" w:rsidRPr="00FE2D31">
        <w:rPr>
          <w:bCs/>
          <w:i/>
          <w:sz w:val="28"/>
          <w:szCs w:val="28"/>
        </w:rPr>
        <w:t>and</w:t>
      </w:r>
      <w:r w:rsidR="001D2654" w:rsidRPr="00FE2D31">
        <w:rPr>
          <w:bCs/>
          <w:i/>
          <w:sz w:val="28"/>
          <w:szCs w:val="28"/>
        </w:rPr>
        <w:t xml:space="preserve"> Others</w:t>
      </w:r>
      <w:r w:rsidRPr="00FE2D31">
        <w:rPr>
          <w:bCs/>
          <w:i/>
          <w:sz w:val="28"/>
          <w:szCs w:val="28"/>
        </w:rPr>
        <w:t xml:space="preserve"> </w:t>
      </w:r>
      <w:r w:rsidRPr="008F56B8">
        <w:rPr>
          <w:sz w:val="28"/>
          <w:szCs w:val="28"/>
        </w:rPr>
        <w:t>(</w:t>
      </w:r>
      <w:r w:rsidRPr="00FE2D31">
        <w:rPr>
          <w:bCs/>
          <w:sz w:val="28"/>
          <w:szCs w:val="28"/>
        </w:rPr>
        <w:t xml:space="preserve">Case no </w:t>
      </w:r>
      <w:r w:rsidR="001D2654" w:rsidRPr="00FE2D31">
        <w:rPr>
          <w:bCs/>
          <w:sz w:val="28"/>
          <w:szCs w:val="28"/>
        </w:rPr>
        <w:t>159</w:t>
      </w:r>
      <w:r w:rsidRPr="00FE2D31">
        <w:rPr>
          <w:bCs/>
          <w:sz w:val="28"/>
          <w:szCs w:val="28"/>
        </w:rPr>
        <w:t>/2021) [2022] ZASCA</w:t>
      </w:r>
      <w:r w:rsidR="008F56B8">
        <w:rPr>
          <w:bCs/>
          <w:sz w:val="28"/>
          <w:szCs w:val="28"/>
        </w:rPr>
        <w:t xml:space="preserve"> 154</w:t>
      </w:r>
      <w:r w:rsidRPr="00FE2D31">
        <w:rPr>
          <w:bCs/>
          <w:sz w:val="28"/>
          <w:szCs w:val="28"/>
        </w:rPr>
        <w:t xml:space="preserve"> (</w:t>
      </w:r>
      <w:r w:rsidR="008F56B8">
        <w:rPr>
          <w:bCs/>
          <w:sz w:val="28"/>
          <w:szCs w:val="28"/>
        </w:rPr>
        <w:t>7 November 2022</w:t>
      </w:r>
      <w:r w:rsidRPr="00FE2D31">
        <w:rPr>
          <w:bCs/>
          <w:sz w:val="28"/>
          <w:szCs w:val="28"/>
        </w:rPr>
        <w:t>)</w:t>
      </w:r>
    </w:p>
    <w:p w14:paraId="14721162" w14:textId="77777777" w:rsidR="0071408F" w:rsidRDefault="00E061E8" w:rsidP="008F56B8">
      <w:pPr>
        <w:ind w:left="1440" w:hanging="1440"/>
        <w:contextualSpacing/>
        <w:rPr>
          <w:sz w:val="28"/>
          <w:szCs w:val="28"/>
        </w:rPr>
      </w:pPr>
      <w:r w:rsidRPr="00FE2D31">
        <w:rPr>
          <w:b/>
          <w:bCs/>
          <w:sz w:val="28"/>
          <w:szCs w:val="28"/>
        </w:rPr>
        <w:lastRenderedPageBreak/>
        <w:t>Coram:</w:t>
      </w:r>
      <w:r w:rsidRPr="00FE2D31">
        <w:rPr>
          <w:sz w:val="28"/>
          <w:szCs w:val="28"/>
        </w:rPr>
        <w:tab/>
      </w:r>
      <w:r w:rsidR="00832992" w:rsidRPr="00FE2D31">
        <w:rPr>
          <w:sz w:val="28"/>
          <w:szCs w:val="28"/>
        </w:rPr>
        <w:t>PETSE</w:t>
      </w:r>
      <w:r w:rsidR="00F23BA9" w:rsidRPr="00FE2D31">
        <w:rPr>
          <w:sz w:val="28"/>
          <w:szCs w:val="28"/>
        </w:rPr>
        <w:t xml:space="preserve"> </w:t>
      </w:r>
      <w:r w:rsidR="00832992" w:rsidRPr="00FE2D31">
        <w:rPr>
          <w:sz w:val="28"/>
          <w:szCs w:val="28"/>
        </w:rPr>
        <w:t>DP</w:t>
      </w:r>
      <w:r w:rsidR="00F23BA9" w:rsidRPr="00FE2D31">
        <w:rPr>
          <w:sz w:val="28"/>
          <w:szCs w:val="28"/>
        </w:rPr>
        <w:t xml:space="preserve"> </w:t>
      </w:r>
      <w:r w:rsidR="00832992" w:rsidRPr="00FE2D31">
        <w:rPr>
          <w:sz w:val="28"/>
          <w:szCs w:val="28"/>
        </w:rPr>
        <w:t>and</w:t>
      </w:r>
      <w:r w:rsidR="00F23BA9" w:rsidRPr="00FE2D31">
        <w:rPr>
          <w:sz w:val="28"/>
          <w:szCs w:val="28"/>
        </w:rPr>
        <w:t xml:space="preserve"> </w:t>
      </w:r>
      <w:r w:rsidR="00832992" w:rsidRPr="00FE2D31">
        <w:rPr>
          <w:sz w:val="28"/>
          <w:szCs w:val="28"/>
        </w:rPr>
        <w:t>ZONDI,</w:t>
      </w:r>
      <w:r w:rsidR="00F23BA9" w:rsidRPr="00FE2D31">
        <w:rPr>
          <w:sz w:val="28"/>
          <w:szCs w:val="28"/>
        </w:rPr>
        <w:t xml:space="preserve"> </w:t>
      </w:r>
      <w:r w:rsidR="00832992" w:rsidRPr="00FE2D31">
        <w:rPr>
          <w:sz w:val="28"/>
          <w:szCs w:val="28"/>
        </w:rPr>
        <w:t>HUGHES</w:t>
      </w:r>
      <w:r w:rsidR="00F23BA9" w:rsidRPr="00FE2D31">
        <w:rPr>
          <w:sz w:val="28"/>
          <w:szCs w:val="28"/>
        </w:rPr>
        <w:t xml:space="preserve"> </w:t>
      </w:r>
      <w:r w:rsidR="00C30C72" w:rsidRPr="00FE2D31">
        <w:rPr>
          <w:sz w:val="28"/>
          <w:szCs w:val="28"/>
        </w:rPr>
        <w:t>and</w:t>
      </w:r>
      <w:r w:rsidR="00F23BA9" w:rsidRPr="00FE2D31">
        <w:rPr>
          <w:sz w:val="28"/>
          <w:szCs w:val="28"/>
        </w:rPr>
        <w:t xml:space="preserve"> </w:t>
      </w:r>
    </w:p>
    <w:p w14:paraId="1837C5E9" w14:textId="550DFB64" w:rsidR="00E061E8" w:rsidRPr="00FE2D31" w:rsidRDefault="00832992" w:rsidP="0071408F">
      <w:pPr>
        <w:ind w:left="1440"/>
        <w:contextualSpacing/>
        <w:rPr>
          <w:b/>
          <w:bCs/>
          <w:i/>
          <w:iCs/>
          <w:sz w:val="28"/>
          <w:szCs w:val="28"/>
        </w:rPr>
      </w:pPr>
      <w:r w:rsidRPr="00FE2D31">
        <w:rPr>
          <w:sz w:val="28"/>
          <w:szCs w:val="28"/>
        </w:rPr>
        <w:t>M</w:t>
      </w:r>
      <w:r w:rsidR="00E061E8" w:rsidRPr="00FE2D31">
        <w:rPr>
          <w:sz w:val="28"/>
          <w:szCs w:val="28"/>
        </w:rPr>
        <w:t>ABINDLA</w:t>
      </w:r>
      <w:r w:rsidR="008F56B8">
        <w:rPr>
          <w:sz w:val="28"/>
          <w:szCs w:val="28"/>
        </w:rPr>
        <w:t>-</w:t>
      </w:r>
      <w:r w:rsidR="00E061E8" w:rsidRPr="00FE2D31">
        <w:rPr>
          <w:sz w:val="28"/>
          <w:szCs w:val="28"/>
        </w:rPr>
        <w:t xml:space="preserve">BOQWANA JJA and </w:t>
      </w:r>
      <w:r w:rsidR="00C30C72" w:rsidRPr="00FE2D31">
        <w:rPr>
          <w:sz w:val="28"/>
          <w:szCs w:val="28"/>
        </w:rPr>
        <w:t xml:space="preserve">DAFFUE </w:t>
      </w:r>
      <w:r w:rsidR="00E061E8" w:rsidRPr="00FE2D31">
        <w:rPr>
          <w:sz w:val="28"/>
          <w:szCs w:val="28"/>
        </w:rPr>
        <w:t>AJA</w:t>
      </w:r>
    </w:p>
    <w:p w14:paraId="2EB03245" w14:textId="77777777" w:rsidR="00E061E8" w:rsidRPr="00FE2D31" w:rsidRDefault="00E061E8" w:rsidP="00E061E8">
      <w:pPr>
        <w:contextualSpacing/>
        <w:rPr>
          <w:b/>
          <w:bCs/>
          <w:sz w:val="28"/>
          <w:szCs w:val="28"/>
        </w:rPr>
      </w:pPr>
      <w:r w:rsidRPr="00FE2D31">
        <w:rPr>
          <w:b/>
          <w:bCs/>
          <w:sz w:val="28"/>
          <w:szCs w:val="28"/>
        </w:rPr>
        <w:t>Heard</w:t>
      </w:r>
      <w:r w:rsidRPr="00FE2D31">
        <w:rPr>
          <w:b/>
          <w:sz w:val="28"/>
          <w:szCs w:val="28"/>
        </w:rPr>
        <w:t>:</w:t>
      </w:r>
      <w:r w:rsidRPr="00FE2D31">
        <w:rPr>
          <w:sz w:val="28"/>
          <w:szCs w:val="28"/>
        </w:rPr>
        <w:tab/>
      </w:r>
      <w:r w:rsidR="00C30C72" w:rsidRPr="00FE2D31">
        <w:rPr>
          <w:sz w:val="28"/>
          <w:szCs w:val="28"/>
        </w:rPr>
        <w:t xml:space="preserve">29 August </w:t>
      </w:r>
      <w:r w:rsidRPr="00FE2D31">
        <w:rPr>
          <w:sz w:val="28"/>
          <w:szCs w:val="28"/>
        </w:rPr>
        <w:t>2022</w:t>
      </w:r>
    </w:p>
    <w:p w14:paraId="38854481" w14:textId="0000D78F" w:rsidR="00E061E8" w:rsidRPr="00FE2D31" w:rsidRDefault="00E061E8" w:rsidP="00E061E8">
      <w:pPr>
        <w:contextualSpacing/>
        <w:rPr>
          <w:sz w:val="28"/>
          <w:szCs w:val="28"/>
        </w:rPr>
      </w:pPr>
      <w:r w:rsidRPr="00FE2D31">
        <w:rPr>
          <w:b/>
          <w:bCs/>
          <w:sz w:val="28"/>
          <w:szCs w:val="28"/>
        </w:rPr>
        <w:t>Delivered</w:t>
      </w:r>
      <w:r w:rsidRPr="00FE2D31">
        <w:rPr>
          <w:b/>
          <w:sz w:val="28"/>
          <w:szCs w:val="28"/>
        </w:rPr>
        <w:t>:</w:t>
      </w:r>
      <w:r w:rsidRPr="00FE2D31">
        <w:rPr>
          <w:sz w:val="28"/>
          <w:szCs w:val="28"/>
        </w:rPr>
        <w:tab/>
      </w:r>
      <w:r w:rsidR="0071408F">
        <w:rPr>
          <w:sz w:val="28"/>
          <w:szCs w:val="28"/>
        </w:rPr>
        <w:t>7</w:t>
      </w:r>
      <w:r w:rsidRPr="00FE2D31">
        <w:rPr>
          <w:sz w:val="28"/>
          <w:szCs w:val="28"/>
        </w:rPr>
        <w:t xml:space="preserve"> </w:t>
      </w:r>
      <w:r w:rsidR="00D61039" w:rsidRPr="00FE2D31">
        <w:rPr>
          <w:sz w:val="28"/>
          <w:szCs w:val="28"/>
        </w:rPr>
        <w:t xml:space="preserve">November </w:t>
      </w:r>
      <w:r w:rsidRPr="00FE2D31">
        <w:rPr>
          <w:sz w:val="28"/>
          <w:szCs w:val="28"/>
        </w:rPr>
        <w:t>2022</w:t>
      </w:r>
    </w:p>
    <w:p w14:paraId="581CF6B9" w14:textId="2F44E159" w:rsidR="00705573" w:rsidRPr="00FE2D31" w:rsidRDefault="00E061E8" w:rsidP="00705573">
      <w:pPr>
        <w:contextualSpacing/>
        <w:rPr>
          <w:bCs/>
          <w:sz w:val="28"/>
          <w:szCs w:val="28"/>
        </w:rPr>
      </w:pPr>
      <w:r w:rsidRPr="00FE2D31">
        <w:rPr>
          <w:b/>
          <w:bCs/>
          <w:sz w:val="28"/>
          <w:szCs w:val="28"/>
        </w:rPr>
        <w:t>Summary:</w:t>
      </w:r>
      <w:r w:rsidR="00BC598E">
        <w:rPr>
          <w:b/>
          <w:bCs/>
          <w:sz w:val="28"/>
          <w:szCs w:val="28"/>
        </w:rPr>
        <w:tab/>
      </w:r>
      <w:r w:rsidR="00AB7A06" w:rsidRPr="00FE2D31">
        <w:rPr>
          <w:bCs/>
          <w:sz w:val="28"/>
          <w:szCs w:val="28"/>
        </w:rPr>
        <w:t xml:space="preserve">Contempt of court order </w:t>
      </w:r>
      <w:r w:rsidR="001C52D7" w:rsidRPr="00FE2D31">
        <w:rPr>
          <w:bCs/>
          <w:sz w:val="28"/>
          <w:szCs w:val="28"/>
        </w:rPr>
        <w:t>–</w:t>
      </w:r>
      <w:r w:rsidR="00AB7A06" w:rsidRPr="00FE2D31">
        <w:rPr>
          <w:bCs/>
          <w:sz w:val="28"/>
          <w:szCs w:val="28"/>
        </w:rPr>
        <w:t xml:space="preserve"> joinder of directors and contempt relief sought </w:t>
      </w:r>
      <w:r w:rsidR="00260FE8" w:rsidRPr="00FE2D31">
        <w:rPr>
          <w:bCs/>
          <w:sz w:val="28"/>
          <w:szCs w:val="28"/>
        </w:rPr>
        <w:t xml:space="preserve">in the same application </w:t>
      </w:r>
      <w:r w:rsidR="001C52D7" w:rsidRPr="00FE2D31">
        <w:rPr>
          <w:bCs/>
          <w:sz w:val="28"/>
          <w:szCs w:val="28"/>
        </w:rPr>
        <w:t>–</w:t>
      </w:r>
      <w:r w:rsidR="00AB7A06" w:rsidRPr="00FE2D31">
        <w:rPr>
          <w:bCs/>
          <w:sz w:val="28"/>
          <w:szCs w:val="28"/>
        </w:rPr>
        <w:t xml:space="preserve"> directors aware of the relief sought</w:t>
      </w:r>
      <w:r w:rsidR="00260FE8" w:rsidRPr="00FE2D31">
        <w:rPr>
          <w:bCs/>
          <w:sz w:val="28"/>
          <w:szCs w:val="28"/>
        </w:rPr>
        <w:t xml:space="preserve"> against them</w:t>
      </w:r>
      <w:r w:rsidR="00AB7A06" w:rsidRPr="00FE2D31">
        <w:rPr>
          <w:bCs/>
          <w:sz w:val="28"/>
          <w:szCs w:val="28"/>
        </w:rPr>
        <w:t xml:space="preserve"> </w:t>
      </w:r>
      <w:r w:rsidR="001C52D7" w:rsidRPr="00FE2D31">
        <w:rPr>
          <w:bCs/>
          <w:sz w:val="28"/>
          <w:szCs w:val="28"/>
        </w:rPr>
        <w:t>–</w:t>
      </w:r>
      <w:r w:rsidR="00260FE8" w:rsidRPr="00FE2D31">
        <w:rPr>
          <w:bCs/>
          <w:sz w:val="28"/>
          <w:szCs w:val="28"/>
        </w:rPr>
        <w:t xml:space="preserve"> </w:t>
      </w:r>
      <w:r w:rsidR="00AB7A06" w:rsidRPr="00FE2D31">
        <w:rPr>
          <w:bCs/>
          <w:sz w:val="28"/>
          <w:szCs w:val="28"/>
        </w:rPr>
        <w:t xml:space="preserve">contempt of court established beyond </w:t>
      </w:r>
      <w:r w:rsidR="003604BB" w:rsidRPr="00FE2D31">
        <w:rPr>
          <w:bCs/>
          <w:sz w:val="28"/>
          <w:szCs w:val="28"/>
        </w:rPr>
        <w:t xml:space="preserve">a </w:t>
      </w:r>
      <w:r w:rsidR="00AB7A06" w:rsidRPr="00FE2D31">
        <w:rPr>
          <w:bCs/>
          <w:sz w:val="28"/>
          <w:szCs w:val="28"/>
        </w:rPr>
        <w:t>reasonable doubt.</w:t>
      </w:r>
    </w:p>
    <w:p w14:paraId="2CF99970" w14:textId="77777777" w:rsidR="008F56B8" w:rsidRDefault="008F56B8">
      <w:pPr>
        <w:rPr>
          <w:bCs/>
          <w:sz w:val="28"/>
          <w:szCs w:val="28"/>
        </w:rPr>
      </w:pPr>
      <w:r>
        <w:rPr>
          <w:bCs/>
          <w:sz w:val="28"/>
          <w:szCs w:val="28"/>
        </w:rPr>
        <w:br w:type="page"/>
      </w:r>
    </w:p>
    <w:p w14:paraId="698E27A7" w14:textId="0579CEA7" w:rsidR="00E061E8" w:rsidRPr="00FE2D31" w:rsidRDefault="00E061E8" w:rsidP="00083EB9">
      <w:pPr>
        <w:pBdr>
          <w:bottom w:val="single" w:sz="12" w:space="1" w:color="auto"/>
        </w:pBdr>
        <w:rPr>
          <w:b/>
          <w:i/>
          <w:szCs w:val="28"/>
        </w:rPr>
      </w:pPr>
      <w:r w:rsidRPr="00FE2D31">
        <w:rPr>
          <w:noProof/>
          <w:lang w:val="en-ZA" w:eastAsia="en-ZA"/>
        </w:rPr>
        <w:lastRenderedPageBreak/>
        <mc:AlternateContent>
          <mc:Choice Requires="wps">
            <w:drawing>
              <wp:anchor distT="0" distB="0" distL="114300" distR="114300" simplePos="0" relativeHeight="251660288" behindDoc="0" locked="0" layoutInCell="1" allowOverlap="1" wp14:anchorId="761902BA" wp14:editId="388AA084">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2995B7"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47F65033" w14:textId="77777777" w:rsidR="00705573" w:rsidRPr="00FE2D31" w:rsidRDefault="00705573" w:rsidP="00E061E8">
      <w:pPr>
        <w:pStyle w:val="Heading3"/>
        <w:pBdr>
          <w:bottom w:val="single" w:sz="12" w:space="12" w:color="auto"/>
        </w:pBdr>
        <w:jc w:val="center"/>
        <w:rPr>
          <w:rFonts w:ascii="Times New Roman" w:hAnsi="Times New Roman" w:cs="Times New Roman"/>
          <w:b/>
          <w:i w:val="0"/>
          <w:szCs w:val="28"/>
        </w:rPr>
      </w:pPr>
    </w:p>
    <w:p w14:paraId="05E5F0BE" w14:textId="2230DF61" w:rsidR="00E061E8" w:rsidRPr="00FE2D31" w:rsidRDefault="00E061E8" w:rsidP="00E061E8">
      <w:pPr>
        <w:pStyle w:val="Heading3"/>
        <w:pBdr>
          <w:bottom w:val="single" w:sz="12" w:space="12" w:color="auto"/>
        </w:pBdr>
        <w:jc w:val="center"/>
        <w:rPr>
          <w:rFonts w:ascii="Times New Roman" w:hAnsi="Times New Roman" w:cs="Times New Roman"/>
          <w:b/>
          <w:i w:val="0"/>
          <w:szCs w:val="28"/>
        </w:rPr>
      </w:pPr>
      <w:r w:rsidRPr="00FE2D31">
        <w:rPr>
          <w:rFonts w:ascii="Times New Roman" w:hAnsi="Times New Roman" w:cs="Times New Roman"/>
          <w:b/>
          <w:i w:val="0"/>
          <w:szCs w:val="28"/>
        </w:rPr>
        <w:t>ORDER</w:t>
      </w:r>
    </w:p>
    <w:p w14:paraId="4C2FD212" w14:textId="77777777" w:rsidR="00E32EEA" w:rsidRPr="00FE2D31" w:rsidRDefault="00E32EEA" w:rsidP="00E061E8">
      <w:pPr>
        <w:rPr>
          <w:b/>
          <w:bCs/>
          <w:sz w:val="28"/>
          <w:szCs w:val="28"/>
        </w:rPr>
      </w:pPr>
    </w:p>
    <w:p w14:paraId="0BCECFB9" w14:textId="234A4B9B" w:rsidR="00E061E8" w:rsidRPr="00FE2D31" w:rsidRDefault="00E061E8" w:rsidP="00E061E8">
      <w:pPr>
        <w:rPr>
          <w:bCs/>
          <w:sz w:val="28"/>
          <w:szCs w:val="28"/>
        </w:rPr>
      </w:pPr>
      <w:r w:rsidRPr="00FE2D31">
        <w:rPr>
          <w:b/>
          <w:bCs/>
          <w:sz w:val="28"/>
          <w:szCs w:val="28"/>
        </w:rPr>
        <w:t xml:space="preserve">On appeal from: </w:t>
      </w:r>
      <w:r w:rsidRPr="00FE2D31">
        <w:rPr>
          <w:bCs/>
          <w:sz w:val="28"/>
          <w:szCs w:val="28"/>
        </w:rPr>
        <w:t>Gauteng Division of the High Court, Pretoria (</w:t>
      </w:r>
      <w:r w:rsidR="00C30C72" w:rsidRPr="00FE2D31">
        <w:rPr>
          <w:bCs/>
          <w:sz w:val="28"/>
          <w:szCs w:val="28"/>
        </w:rPr>
        <w:t>Van der Westhuizen J,</w:t>
      </w:r>
      <w:r w:rsidRPr="00FE2D31">
        <w:rPr>
          <w:bCs/>
          <w:sz w:val="28"/>
          <w:szCs w:val="28"/>
        </w:rPr>
        <w:t> sitting as</w:t>
      </w:r>
      <w:r w:rsidR="0007078C" w:rsidRPr="00FE2D31">
        <w:rPr>
          <w:bCs/>
          <w:sz w:val="28"/>
          <w:szCs w:val="28"/>
        </w:rPr>
        <w:t xml:space="preserve"> </w:t>
      </w:r>
      <w:r w:rsidRPr="00FE2D31">
        <w:rPr>
          <w:bCs/>
          <w:sz w:val="28"/>
          <w:szCs w:val="28"/>
        </w:rPr>
        <w:t xml:space="preserve">court of first instance): </w:t>
      </w:r>
    </w:p>
    <w:p w14:paraId="1803AD53" w14:textId="54AFADA6" w:rsidR="00083EB9" w:rsidRPr="00FE2D31" w:rsidRDefault="00083EB9" w:rsidP="00083EB9">
      <w:pPr>
        <w:rPr>
          <w:bCs/>
          <w:sz w:val="28"/>
          <w:szCs w:val="28"/>
        </w:rPr>
      </w:pPr>
      <w:r w:rsidRPr="00FE2D31">
        <w:rPr>
          <w:bCs/>
          <w:sz w:val="28"/>
          <w:szCs w:val="28"/>
        </w:rPr>
        <w:t>1</w:t>
      </w:r>
      <w:r w:rsidR="00A25E01" w:rsidRPr="00FE2D31">
        <w:rPr>
          <w:bCs/>
          <w:sz w:val="28"/>
          <w:szCs w:val="28"/>
        </w:rPr>
        <w:tab/>
      </w:r>
      <w:r w:rsidRPr="00FE2D31">
        <w:rPr>
          <w:bCs/>
          <w:sz w:val="28"/>
          <w:szCs w:val="28"/>
        </w:rPr>
        <w:t xml:space="preserve">The appeal succeeds </w:t>
      </w:r>
      <w:r w:rsidR="00AE0EE6" w:rsidRPr="00FE2D31">
        <w:rPr>
          <w:bCs/>
          <w:sz w:val="28"/>
          <w:szCs w:val="28"/>
        </w:rPr>
        <w:t xml:space="preserve">with </w:t>
      </w:r>
      <w:r w:rsidRPr="00FE2D31">
        <w:rPr>
          <w:bCs/>
          <w:sz w:val="28"/>
          <w:szCs w:val="28"/>
        </w:rPr>
        <w:t>costs.</w:t>
      </w:r>
    </w:p>
    <w:p w14:paraId="601CF6B5" w14:textId="7C7CEE61" w:rsidR="00083EB9" w:rsidRPr="00FE2D31" w:rsidRDefault="00083EB9" w:rsidP="00083EB9">
      <w:pPr>
        <w:rPr>
          <w:bCs/>
          <w:sz w:val="28"/>
          <w:szCs w:val="28"/>
        </w:rPr>
      </w:pPr>
      <w:r w:rsidRPr="00FE2D31">
        <w:rPr>
          <w:bCs/>
          <w:sz w:val="28"/>
          <w:szCs w:val="28"/>
        </w:rPr>
        <w:t>2</w:t>
      </w:r>
      <w:r w:rsidR="00A25E01" w:rsidRPr="00FE2D31">
        <w:rPr>
          <w:bCs/>
          <w:sz w:val="28"/>
          <w:szCs w:val="28"/>
        </w:rPr>
        <w:tab/>
      </w:r>
      <w:r w:rsidR="00D17564" w:rsidRPr="00FE2D31">
        <w:rPr>
          <w:bCs/>
          <w:sz w:val="28"/>
          <w:szCs w:val="28"/>
        </w:rPr>
        <w:t>Para</w:t>
      </w:r>
      <w:r w:rsidR="0016116E" w:rsidRPr="00FE2D31">
        <w:rPr>
          <w:bCs/>
          <w:sz w:val="28"/>
          <w:szCs w:val="28"/>
        </w:rPr>
        <w:t>graph</w:t>
      </w:r>
      <w:r w:rsidR="00C244A0" w:rsidRPr="00FE2D31">
        <w:rPr>
          <w:bCs/>
          <w:sz w:val="28"/>
          <w:szCs w:val="28"/>
        </w:rPr>
        <w:t xml:space="preserve"> </w:t>
      </w:r>
      <w:r w:rsidR="00D17564" w:rsidRPr="00FE2D31">
        <w:rPr>
          <w:bCs/>
          <w:sz w:val="28"/>
          <w:szCs w:val="28"/>
        </w:rPr>
        <w:t>(</w:t>
      </w:r>
      <w:r w:rsidR="00BF797A" w:rsidRPr="00FE2D31">
        <w:rPr>
          <w:bCs/>
          <w:sz w:val="28"/>
          <w:szCs w:val="28"/>
        </w:rPr>
        <w:t>b</w:t>
      </w:r>
      <w:r w:rsidR="00D17564" w:rsidRPr="00FE2D31">
        <w:rPr>
          <w:bCs/>
          <w:sz w:val="28"/>
          <w:szCs w:val="28"/>
        </w:rPr>
        <w:t>)</w:t>
      </w:r>
      <w:r w:rsidRPr="00FE2D31">
        <w:rPr>
          <w:bCs/>
          <w:sz w:val="28"/>
          <w:szCs w:val="28"/>
        </w:rPr>
        <w:t xml:space="preserve"> of the high court</w:t>
      </w:r>
      <w:r w:rsidR="00D17564" w:rsidRPr="00FE2D31">
        <w:rPr>
          <w:bCs/>
          <w:sz w:val="28"/>
          <w:szCs w:val="28"/>
        </w:rPr>
        <w:t xml:space="preserve"> order</w:t>
      </w:r>
      <w:r w:rsidRPr="00FE2D31">
        <w:rPr>
          <w:bCs/>
          <w:sz w:val="28"/>
          <w:szCs w:val="28"/>
        </w:rPr>
        <w:t xml:space="preserve"> </w:t>
      </w:r>
      <w:r w:rsidR="0046600B" w:rsidRPr="00FE2D31">
        <w:rPr>
          <w:bCs/>
          <w:sz w:val="28"/>
          <w:szCs w:val="28"/>
        </w:rPr>
        <w:t xml:space="preserve">is </w:t>
      </w:r>
      <w:r w:rsidRPr="00FE2D31">
        <w:rPr>
          <w:bCs/>
          <w:sz w:val="28"/>
          <w:szCs w:val="28"/>
        </w:rPr>
        <w:t>set aside and replaced with the following:</w:t>
      </w:r>
    </w:p>
    <w:p w14:paraId="1257A100" w14:textId="77777777" w:rsidR="00AA0DE9" w:rsidRPr="00FE2D31" w:rsidRDefault="00AA0DE9" w:rsidP="00AA0DE9">
      <w:pPr>
        <w:rPr>
          <w:bCs/>
          <w:sz w:val="28"/>
          <w:szCs w:val="28"/>
        </w:rPr>
      </w:pPr>
      <w:r w:rsidRPr="00FE2D31">
        <w:rPr>
          <w:bCs/>
          <w:sz w:val="28"/>
          <w:szCs w:val="28"/>
        </w:rPr>
        <w:t>‘(b) It is declared that the respondents are in contempt of the order granted by Neukircher J on 1 July 2019.</w:t>
      </w:r>
    </w:p>
    <w:p w14:paraId="46C82E01" w14:textId="59153359" w:rsidR="00AA0DE9" w:rsidRPr="00FE2D31" w:rsidRDefault="00AA0DE9" w:rsidP="00AA0DE9">
      <w:pPr>
        <w:rPr>
          <w:bCs/>
          <w:sz w:val="28"/>
          <w:szCs w:val="28"/>
        </w:rPr>
      </w:pPr>
      <w:r w:rsidRPr="00FE2D31">
        <w:rPr>
          <w:bCs/>
          <w:sz w:val="28"/>
          <w:szCs w:val="28"/>
        </w:rPr>
        <w:t>(i) The first respondent is to pay a fine of R100 000, while the second to fifth respondents are to pay a fine of R50 000 each, to the Registrar of this Court</w:t>
      </w:r>
      <w:r w:rsidR="00E95EBF" w:rsidRPr="00FE2D31">
        <w:rPr>
          <w:bCs/>
          <w:sz w:val="28"/>
          <w:szCs w:val="28"/>
        </w:rPr>
        <w:t>,</w:t>
      </w:r>
      <w:r w:rsidRPr="00FE2D31">
        <w:rPr>
          <w:bCs/>
          <w:sz w:val="28"/>
          <w:szCs w:val="28"/>
        </w:rPr>
        <w:t xml:space="preserve"> within 30 days of this order.</w:t>
      </w:r>
    </w:p>
    <w:p w14:paraId="0899AE43" w14:textId="268D331D" w:rsidR="00AA0DE9" w:rsidRPr="00FE2D31" w:rsidRDefault="00AA0DE9" w:rsidP="00AA0DE9">
      <w:pPr>
        <w:rPr>
          <w:bCs/>
          <w:sz w:val="28"/>
          <w:szCs w:val="28"/>
        </w:rPr>
      </w:pPr>
      <w:r w:rsidRPr="00FE2D31">
        <w:rPr>
          <w:bCs/>
          <w:sz w:val="28"/>
          <w:szCs w:val="28"/>
        </w:rPr>
        <w:t xml:space="preserve">(ii) The respondents shall notify the applicant in writing of their compliance with the order in </w:t>
      </w:r>
      <w:r w:rsidR="002B5BE4" w:rsidRPr="00FE2D31">
        <w:rPr>
          <w:bCs/>
          <w:sz w:val="28"/>
          <w:szCs w:val="28"/>
        </w:rPr>
        <w:t>sub</w:t>
      </w:r>
      <w:r w:rsidRPr="00FE2D31">
        <w:rPr>
          <w:bCs/>
          <w:sz w:val="28"/>
          <w:szCs w:val="28"/>
        </w:rPr>
        <w:t>para</w:t>
      </w:r>
      <w:r w:rsidR="00E95EBF" w:rsidRPr="00FE2D31">
        <w:rPr>
          <w:bCs/>
          <w:sz w:val="28"/>
          <w:szCs w:val="28"/>
        </w:rPr>
        <w:t>graph</w:t>
      </w:r>
      <w:r w:rsidRPr="00FE2D31">
        <w:rPr>
          <w:bCs/>
          <w:sz w:val="28"/>
          <w:szCs w:val="28"/>
        </w:rPr>
        <w:t xml:space="preserve"> (i) above </w:t>
      </w:r>
      <w:r w:rsidR="00FB27CC" w:rsidRPr="00FE2D31">
        <w:rPr>
          <w:bCs/>
          <w:sz w:val="28"/>
          <w:szCs w:val="28"/>
        </w:rPr>
        <w:t>within 5 days of the payment</w:t>
      </w:r>
      <w:r w:rsidR="002B073A" w:rsidRPr="00FE2D31">
        <w:rPr>
          <w:bCs/>
          <w:sz w:val="28"/>
          <w:szCs w:val="28"/>
        </w:rPr>
        <w:t xml:space="preserve"> of the </w:t>
      </w:r>
      <w:r w:rsidR="00A81CB7" w:rsidRPr="00FE2D31">
        <w:rPr>
          <w:bCs/>
          <w:sz w:val="28"/>
          <w:szCs w:val="28"/>
        </w:rPr>
        <w:t xml:space="preserve">amounts referred to in </w:t>
      </w:r>
      <w:r w:rsidR="002B5BE4" w:rsidRPr="00FE2D31">
        <w:rPr>
          <w:bCs/>
          <w:sz w:val="28"/>
          <w:szCs w:val="28"/>
        </w:rPr>
        <w:t>sub</w:t>
      </w:r>
      <w:r w:rsidR="00A81CB7" w:rsidRPr="00FE2D31">
        <w:rPr>
          <w:bCs/>
          <w:sz w:val="28"/>
          <w:szCs w:val="28"/>
        </w:rPr>
        <w:t>paragraph (i) hereof</w:t>
      </w:r>
      <w:r w:rsidR="00FB27CC" w:rsidRPr="00FE2D31">
        <w:rPr>
          <w:bCs/>
          <w:sz w:val="28"/>
          <w:szCs w:val="28"/>
        </w:rPr>
        <w:t xml:space="preserve"> </w:t>
      </w:r>
      <w:r w:rsidRPr="00FE2D31">
        <w:rPr>
          <w:bCs/>
          <w:sz w:val="28"/>
          <w:szCs w:val="28"/>
        </w:rPr>
        <w:t>after they have</w:t>
      </w:r>
      <w:r w:rsidR="00A820B4" w:rsidRPr="00FE2D31">
        <w:rPr>
          <w:bCs/>
          <w:sz w:val="28"/>
          <w:szCs w:val="28"/>
        </w:rPr>
        <w:t xml:space="preserve"> done</w:t>
      </w:r>
      <w:r w:rsidRPr="00FE2D31">
        <w:rPr>
          <w:bCs/>
          <w:sz w:val="28"/>
          <w:szCs w:val="28"/>
        </w:rPr>
        <w:t xml:space="preserve"> so</w:t>
      </w:r>
      <w:r w:rsidR="00A820B4" w:rsidRPr="00FE2D31">
        <w:rPr>
          <w:bCs/>
          <w:sz w:val="28"/>
          <w:szCs w:val="28"/>
        </w:rPr>
        <w:t>.</w:t>
      </w:r>
      <w:r w:rsidRPr="00FE2D31">
        <w:rPr>
          <w:bCs/>
          <w:sz w:val="28"/>
          <w:szCs w:val="28"/>
        </w:rPr>
        <w:t xml:space="preserve"> </w:t>
      </w:r>
    </w:p>
    <w:p w14:paraId="0ABF0846" w14:textId="44E375B6" w:rsidR="00AA0DE9" w:rsidRPr="00FE2D31" w:rsidRDefault="00AA0DE9" w:rsidP="00AA0DE9">
      <w:pPr>
        <w:rPr>
          <w:bCs/>
          <w:sz w:val="28"/>
          <w:szCs w:val="28"/>
        </w:rPr>
      </w:pPr>
      <w:r w:rsidRPr="00FE2D31">
        <w:rPr>
          <w:bCs/>
          <w:sz w:val="28"/>
          <w:szCs w:val="28"/>
        </w:rPr>
        <w:t>(iii) The respondents are to pay the costs in respect of the declaratory order in para</w:t>
      </w:r>
      <w:r w:rsidR="00E95EBF" w:rsidRPr="00FE2D31">
        <w:rPr>
          <w:bCs/>
          <w:sz w:val="28"/>
          <w:szCs w:val="28"/>
        </w:rPr>
        <w:t>graph</w:t>
      </w:r>
      <w:r w:rsidRPr="00FE2D31">
        <w:rPr>
          <w:bCs/>
          <w:sz w:val="28"/>
          <w:szCs w:val="28"/>
        </w:rPr>
        <w:t xml:space="preserve"> (b) above jointly and severally, the one paying the other to be absolved, such costs to include the costs occasioned by the employment of two counsel where applicable.’ </w:t>
      </w:r>
    </w:p>
    <w:p w14:paraId="6527A23A" w14:textId="04DCC2B7" w:rsidR="002B5BE4" w:rsidRPr="00FE2D31" w:rsidRDefault="002B5BE4" w:rsidP="00AA0DE9">
      <w:pPr>
        <w:rPr>
          <w:bCs/>
          <w:sz w:val="28"/>
          <w:szCs w:val="28"/>
        </w:rPr>
      </w:pPr>
    </w:p>
    <w:p w14:paraId="2426AAD1" w14:textId="618E92C2" w:rsidR="002B5BE4" w:rsidRPr="00FE2D31" w:rsidRDefault="002B5BE4" w:rsidP="00AA0DE9">
      <w:pPr>
        <w:rPr>
          <w:bCs/>
          <w:sz w:val="28"/>
          <w:szCs w:val="28"/>
        </w:rPr>
      </w:pPr>
    </w:p>
    <w:p w14:paraId="35A1048E" w14:textId="14573C63" w:rsidR="002B5BE4" w:rsidRPr="00FE2D31" w:rsidRDefault="002B5BE4" w:rsidP="00AA0DE9">
      <w:pPr>
        <w:rPr>
          <w:bCs/>
          <w:sz w:val="28"/>
          <w:szCs w:val="28"/>
        </w:rPr>
      </w:pPr>
    </w:p>
    <w:p w14:paraId="71B45271" w14:textId="53DE06E5" w:rsidR="002B5BE4" w:rsidRPr="00FE2D31" w:rsidRDefault="002B5BE4" w:rsidP="00AA0DE9">
      <w:pPr>
        <w:rPr>
          <w:bCs/>
          <w:sz w:val="28"/>
          <w:szCs w:val="28"/>
        </w:rPr>
      </w:pPr>
    </w:p>
    <w:p w14:paraId="24DCF71D" w14:textId="77777777" w:rsidR="008F56B8" w:rsidRDefault="008F56B8" w:rsidP="00083EB9">
      <w:pPr>
        <w:pBdr>
          <w:bottom w:val="single" w:sz="12" w:space="1" w:color="auto"/>
        </w:pBdr>
        <w:rPr>
          <w:b/>
          <w:i/>
          <w:szCs w:val="28"/>
        </w:rPr>
      </w:pPr>
    </w:p>
    <w:p w14:paraId="1C4232BB" w14:textId="26FBCC65" w:rsidR="00E061E8" w:rsidRPr="00FE2D31" w:rsidRDefault="00E061E8" w:rsidP="00083EB9">
      <w:pPr>
        <w:pBdr>
          <w:bottom w:val="single" w:sz="12" w:space="1" w:color="auto"/>
        </w:pBdr>
        <w:rPr>
          <w:b/>
          <w:i/>
          <w:szCs w:val="28"/>
        </w:rPr>
      </w:pPr>
      <w:r w:rsidRPr="00FE2D31">
        <w:rPr>
          <w:noProof/>
          <w:sz w:val="28"/>
          <w:szCs w:val="28"/>
          <w:lang w:val="en-ZA" w:eastAsia="en-ZA"/>
        </w:rPr>
        <w:lastRenderedPageBreak/>
        <mc:AlternateContent>
          <mc:Choice Requires="wps">
            <w:drawing>
              <wp:anchor distT="0" distB="0" distL="114300" distR="114300" simplePos="0" relativeHeight="251661312" behindDoc="0" locked="0" layoutInCell="1" allowOverlap="1" wp14:anchorId="393CC70A" wp14:editId="6BAC915D">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7587B4"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C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1V/WK/wEAAAwEAAAOAAAAAAAAAAAAAAAAAC4C&#10;AABkcnMvZTJvRG9jLnhtbFBLAQItABQABgAIAAAAIQBUInSH1wAAAAMBAAAPAAAAAAAAAAAAAAAA&#10;AFkEAABkcnMvZG93bnJldi54bWxQSwUGAAAAAAQABADzAAAAXQUAAAAA&#10;">
                <o:lock v:ext="edit" shapetype="f"/>
              </v:line>
            </w:pict>
          </mc:Fallback>
        </mc:AlternateContent>
      </w:r>
    </w:p>
    <w:p w14:paraId="32A0DEFD" w14:textId="77777777" w:rsidR="001C52D7" w:rsidRPr="00FE2D31" w:rsidRDefault="001C52D7" w:rsidP="00E061E8">
      <w:pPr>
        <w:pStyle w:val="Heading3"/>
        <w:pBdr>
          <w:bottom w:val="single" w:sz="12" w:space="12" w:color="auto"/>
        </w:pBdr>
        <w:jc w:val="center"/>
        <w:rPr>
          <w:rFonts w:ascii="Times New Roman" w:hAnsi="Times New Roman" w:cs="Times New Roman"/>
          <w:b/>
          <w:i w:val="0"/>
          <w:szCs w:val="28"/>
        </w:rPr>
      </w:pPr>
    </w:p>
    <w:p w14:paraId="60976C72" w14:textId="77777777" w:rsidR="001C52D7" w:rsidRPr="00FE2D31" w:rsidRDefault="00E061E8" w:rsidP="006A0110">
      <w:pPr>
        <w:pStyle w:val="Heading3"/>
        <w:pBdr>
          <w:bottom w:val="single" w:sz="12" w:space="12" w:color="auto"/>
        </w:pBdr>
        <w:jc w:val="center"/>
        <w:rPr>
          <w:rFonts w:ascii="Times New Roman" w:hAnsi="Times New Roman" w:cs="Times New Roman"/>
          <w:b/>
          <w:i w:val="0"/>
          <w:szCs w:val="28"/>
        </w:rPr>
      </w:pPr>
      <w:r w:rsidRPr="00FE2D31">
        <w:rPr>
          <w:rFonts w:ascii="Times New Roman" w:hAnsi="Times New Roman" w:cs="Times New Roman"/>
          <w:b/>
          <w:i w:val="0"/>
          <w:szCs w:val="28"/>
        </w:rPr>
        <w:t>JUDGMENT</w:t>
      </w:r>
    </w:p>
    <w:p w14:paraId="2C2837C5" w14:textId="30CFD1EC" w:rsidR="00E061E8" w:rsidRPr="00FE2D31" w:rsidRDefault="00E061E8" w:rsidP="00E061E8">
      <w:pPr>
        <w:spacing w:before="240"/>
        <w:rPr>
          <w:b/>
          <w:sz w:val="28"/>
          <w:szCs w:val="28"/>
        </w:rPr>
      </w:pPr>
      <w:r w:rsidRPr="00FE2D31">
        <w:rPr>
          <w:b/>
          <w:sz w:val="28"/>
          <w:szCs w:val="28"/>
        </w:rPr>
        <w:t>Mabindla-Boqwana JA (</w:t>
      </w:r>
      <w:r w:rsidR="00A44338" w:rsidRPr="00FE2D31">
        <w:rPr>
          <w:b/>
          <w:sz w:val="28"/>
          <w:szCs w:val="28"/>
        </w:rPr>
        <w:t xml:space="preserve">Petse </w:t>
      </w:r>
      <w:r w:rsidR="00537E68" w:rsidRPr="00FE2D31">
        <w:rPr>
          <w:b/>
          <w:sz w:val="28"/>
          <w:szCs w:val="28"/>
        </w:rPr>
        <w:t>DP and Zondi</w:t>
      </w:r>
      <w:r w:rsidR="002A60C0">
        <w:rPr>
          <w:b/>
          <w:sz w:val="28"/>
          <w:szCs w:val="28"/>
        </w:rPr>
        <w:t xml:space="preserve"> and</w:t>
      </w:r>
      <w:r w:rsidR="00537E68" w:rsidRPr="00FE2D31">
        <w:rPr>
          <w:b/>
          <w:sz w:val="28"/>
          <w:szCs w:val="28"/>
        </w:rPr>
        <w:t xml:space="preserve"> Hughes JJA</w:t>
      </w:r>
      <w:r w:rsidR="00A44338" w:rsidRPr="00FE2D31">
        <w:rPr>
          <w:b/>
          <w:sz w:val="28"/>
          <w:szCs w:val="28"/>
        </w:rPr>
        <w:t xml:space="preserve"> and Daffue AJA </w:t>
      </w:r>
      <w:r w:rsidRPr="00FE2D31">
        <w:rPr>
          <w:b/>
          <w:sz w:val="28"/>
          <w:szCs w:val="28"/>
        </w:rPr>
        <w:t>concurring)</w:t>
      </w:r>
    </w:p>
    <w:p w14:paraId="1DF038B1" w14:textId="77777777" w:rsidR="00C90668" w:rsidRPr="00FE2D31" w:rsidRDefault="00201532" w:rsidP="00E061E8">
      <w:pPr>
        <w:spacing w:before="240"/>
        <w:rPr>
          <w:b/>
          <w:sz w:val="28"/>
          <w:szCs w:val="28"/>
        </w:rPr>
      </w:pPr>
      <w:r w:rsidRPr="00FE2D31">
        <w:rPr>
          <w:b/>
          <w:sz w:val="28"/>
          <w:szCs w:val="28"/>
        </w:rPr>
        <w:t xml:space="preserve">Introduction </w:t>
      </w:r>
    </w:p>
    <w:p w14:paraId="6E1C2DBB" w14:textId="0BE2CE0C" w:rsidR="00373EE9" w:rsidRPr="00FE2D31" w:rsidRDefault="00042474" w:rsidP="00042474">
      <w:pPr>
        <w:tabs>
          <w:tab w:val="left" w:pos="0"/>
        </w:tabs>
        <w:rPr>
          <w:sz w:val="28"/>
          <w:szCs w:val="28"/>
        </w:rPr>
      </w:pPr>
      <w:r w:rsidRPr="00FE2D31">
        <w:rPr>
          <w:sz w:val="28"/>
          <w:szCs w:val="28"/>
        </w:rPr>
        <w:t>[1]</w:t>
      </w:r>
      <w:r w:rsidRPr="00FE2D31">
        <w:rPr>
          <w:sz w:val="28"/>
          <w:szCs w:val="28"/>
        </w:rPr>
        <w:tab/>
      </w:r>
      <w:r w:rsidR="007029B6" w:rsidRPr="00FE2D31">
        <w:rPr>
          <w:sz w:val="28"/>
          <w:szCs w:val="28"/>
        </w:rPr>
        <w:t>The appellant, Samancor Chrome Limited (</w:t>
      </w:r>
      <w:r w:rsidR="00081E7D" w:rsidRPr="00FE2D31">
        <w:rPr>
          <w:sz w:val="28"/>
          <w:szCs w:val="28"/>
        </w:rPr>
        <w:t>Samancor</w:t>
      </w:r>
      <w:r w:rsidR="007029B6" w:rsidRPr="00FE2D31">
        <w:rPr>
          <w:sz w:val="28"/>
          <w:szCs w:val="28"/>
        </w:rPr>
        <w:t>)</w:t>
      </w:r>
      <w:r w:rsidR="00936DD7" w:rsidRPr="00FE2D31">
        <w:rPr>
          <w:sz w:val="28"/>
          <w:szCs w:val="28"/>
        </w:rPr>
        <w:t>,</w:t>
      </w:r>
      <w:r w:rsidR="00081E7D" w:rsidRPr="00FE2D31">
        <w:rPr>
          <w:sz w:val="28"/>
          <w:szCs w:val="28"/>
        </w:rPr>
        <w:t xml:space="preserve"> is</w:t>
      </w:r>
      <w:r w:rsidR="00832992" w:rsidRPr="00FE2D31">
        <w:rPr>
          <w:sz w:val="28"/>
          <w:szCs w:val="28"/>
        </w:rPr>
        <w:t xml:space="preserve"> </w:t>
      </w:r>
      <w:r w:rsidR="00FE6DBD" w:rsidRPr="00FE2D31">
        <w:rPr>
          <w:sz w:val="28"/>
          <w:szCs w:val="28"/>
        </w:rPr>
        <w:t>the</w:t>
      </w:r>
      <w:r w:rsidR="00832992" w:rsidRPr="00FE2D31">
        <w:rPr>
          <w:sz w:val="28"/>
          <w:szCs w:val="28"/>
        </w:rPr>
        <w:t xml:space="preserve"> co-owner </w:t>
      </w:r>
      <w:r w:rsidR="00FE6DBD" w:rsidRPr="00FE2D31">
        <w:rPr>
          <w:sz w:val="28"/>
          <w:szCs w:val="28"/>
        </w:rPr>
        <w:t xml:space="preserve">of </w:t>
      </w:r>
      <w:r w:rsidR="00604F95" w:rsidRPr="00FE2D31">
        <w:rPr>
          <w:sz w:val="28"/>
          <w:szCs w:val="28"/>
        </w:rPr>
        <w:t xml:space="preserve">the </w:t>
      </w:r>
      <w:r w:rsidR="00FE6DBD" w:rsidRPr="00FE2D31">
        <w:rPr>
          <w:sz w:val="28"/>
          <w:szCs w:val="28"/>
        </w:rPr>
        <w:t xml:space="preserve">Remaining Extent of Portion 2 of the farm Elandskraal 469 JQ (RE Portion 2) </w:t>
      </w:r>
      <w:r w:rsidR="00832992" w:rsidRPr="00FE2D31">
        <w:rPr>
          <w:sz w:val="28"/>
          <w:szCs w:val="28"/>
        </w:rPr>
        <w:t xml:space="preserve">and </w:t>
      </w:r>
      <w:r w:rsidR="00F23BA9" w:rsidRPr="00FE2D31">
        <w:rPr>
          <w:sz w:val="28"/>
          <w:szCs w:val="28"/>
        </w:rPr>
        <w:t>the owner</w:t>
      </w:r>
      <w:r w:rsidR="00FE6DBD" w:rsidRPr="00FE2D31">
        <w:rPr>
          <w:sz w:val="28"/>
          <w:szCs w:val="28"/>
        </w:rPr>
        <w:t xml:space="preserve"> of Portion 154 of the farm Elandskraal 469 JQ (Portion 154)</w:t>
      </w:r>
      <w:r w:rsidR="008E7BC2" w:rsidRPr="00FE2D31">
        <w:rPr>
          <w:sz w:val="28"/>
          <w:szCs w:val="28"/>
        </w:rPr>
        <w:t xml:space="preserve"> (the properties)</w:t>
      </w:r>
      <w:r w:rsidR="003F10B2" w:rsidRPr="00FE2D31">
        <w:rPr>
          <w:sz w:val="28"/>
          <w:szCs w:val="28"/>
        </w:rPr>
        <w:t xml:space="preserve"> in the</w:t>
      </w:r>
      <w:r w:rsidR="00FE6DBD" w:rsidRPr="00FE2D31">
        <w:rPr>
          <w:sz w:val="28"/>
          <w:szCs w:val="28"/>
        </w:rPr>
        <w:t xml:space="preserve"> North West Province. </w:t>
      </w:r>
    </w:p>
    <w:p w14:paraId="59CFCD7E" w14:textId="77777777" w:rsidR="00FE6DBD" w:rsidRPr="00FE2D31" w:rsidRDefault="00FE6DBD" w:rsidP="00FE6DBD">
      <w:pPr>
        <w:tabs>
          <w:tab w:val="left" w:pos="0"/>
        </w:tabs>
        <w:rPr>
          <w:sz w:val="28"/>
          <w:szCs w:val="28"/>
        </w:rPr>
      </w:pPr>
    </w:p>
    <w:p w14:paraId="4A134463" w14:textId="056B9940" w:rsidR="00373EE9" w:rsidRPr="00FE2D31" w:rsidRDefault="00042474" w:rsidP="00042474">
      <w:pPr>
        <w:tabs>
          <w:tab w:val="left" w:pos="0"/>
        </w:tabs>
        <w:rPr>
          <w:sz w:val="28"/>
          <w:szCs w:val="28"/>
        </w:rPr>
      </w:pPr>
      <w:r w:rsidRPr="00FE2D31">
        <w:rPr>
          <w:sz w:val="28"/>
          <w:szCs w:val="28"/>
        </w:rPr>
        <w:t>[2]</w:t>
      </w:r>
      <w:r w:rsidRPr="00FE2D31">
        <w:rPr>
          <w:sz w:val="28"/>
          <w:szCs w:val="28"/>
        </w:rPr>
        <w:tab/>
      </w:r>
      <w:r w:rsidR="00705573" w:rsidRPr="00FE2D31">
        <w:rPr>
          <w:bCs/>
          <w:sz w:val="28"/>
          <w:szCs w:val="28"/>
        </w:rPr>
        <w:t xml:space="preserve">It </w:t>
      </w:r>
      <w:r w:rsidR="00373EE9" w:rsidRPr="00FE2D31">
        <w:rPr>
          <w:bCs/>
          <w:sz w:val="28"/>
          <w:szCs w:val="28"/>
        </w:rPr>
        <w:t xml:space="preserve">has </w:t>
      </w:r>
      <w:r w:rsidR="00BF797A" w:rsidRPr="00FE2D31">
        <w:rPr>
          <w:bCs/>
          <w:sz w:val="28"/>
          <w:szCs w:val="28"/>
        </w:rPr>
        <w:t>the sole</w:t>
      </w:r>
      <w:r w:rsidR="00373EE9" w:rsidRPr="00FE2D31">
        <w:rPr>
          <w:bCs/>
          <w:sz w:val="28"/>
          <w:szCs w:val="28"/>
        </w:rPr>
        <w:t xml:space="preserve"> and exclusive right to mine</w:t>
      </w:r>
      <w:r w:rsidR="00B91572" w:rsidRPr="00FE2D31">
        <w:rPr>
          <w:rStyle w:val="FootnoteReference"/>
          <w:bCs/>
          <w:sz w:val="28"/>
          <w:szCs w:val="28"/>
        </w:rPr>
        <w:footnoteReference w:id="1"/>
      </w:r>
      <w:r w:rsidR="00373EE9" w:rsidRPr="00FE2D31">
        <w:rPr>
          <w:bCs/>
          <w:sz w:val="28"/>
          <w:szCs w:val="28"/>
        </w:rPr>
        <w:t xml:space="preserve"> and recover chrome </w:t>
      </w:r>
      <w:r w:rsidR="00260FE8" w:rsidRPr="00FE2D31">
        <w:rPr>
          <w:bCs/>
          <w:sz w:val="28"/>
          <w:szCs w:val="28"/>
        </w:rPr>
        <w:t xml:space="preserve">ore </w:t>
      </w:r>
      <w:r w:rsidR="00373EE9" w:rsidRPr="00FE2D31">
        <w:rPr>
          <w:bCs/>
          <w:sz w:val="28"/>
          <w:szCs w:val="28"/>
        </w:rPr>
        <w:t>in the properties in terms of</w:t>
      </w:r>
      <w:r w:rsidR="00BC598E">
        <w:rPr>
          <w:bCs/>
          <w:sz w:val="28"/>
          <w:szCs w:val="28"/>
        </w:rPr>
        <w:t xml:space="preserve"> </w:t>
      </w:r>
      <w:r w:rsidR="00373EE9" w:rsidRPr="00FE2D31">
        <w:rPr>
          <w:bCs/>
          <w:sz w:val="28"/>
          <w:szCs w:val="28"/>
        </w:rPr>
        <w:t>converted mining right</w:t>
      </w:r>
      <w:r w:rsidR="00BC598E">
        <w:rPr>
          <w:bCs/>
          <w:sz w:val="28"/>
          <w:szCs w:val="28"/>
        </w:rPr>
        <w:t>s</w:t>
      </w:r>
      <w:r w:rsidR="003F10B2" w:rsidRPr="00FE2D31">
        <w:rPr>
          <w:bCs/>
          <w:sz w:val="28"/>
          <w:szCs w:val="28"/>
        </w:rPr>
        <w:t xml:space="preserve">. </w:t>
      </w:r>
      <w:r w:rsidR="00260FE8" w:rsidRPr="00FE2D31">
        <w:rPr>
          <w:bCs/>
          <w:sz w:val="28"/>
          <w:szCs w:val="28"/>
        </w:rPr>
        <w:t>In terms of th</w:t>
      </w:r>
      <w:r w:rsidR="00123BDB">
        <w:rPr>
          <w:bCs/>
          <w:sz w:val="28"/>
          <w:szCs w:val="28"/>
        </w:rPr>
        <w:t>ese</w:t>
      </w:r>
      <w:r w:rsidR="00260FE8" w:rsidRPr="00FE2D31">
        <w:rPr>
          <w:bCs/>
          <w:sz w:val="28"/>
          <w:szCs w:val="28"/>
        </w:rPr>
        <w:t xml:space="preserve"> right</w:t>
      </w:r>
      <w:r w:rsidR="00123BDB">
        <w:rPr>
          <w:bCs/>
          <w:sz w:val="28"/>
          <w:szCs w:val="28"/>
        </w:rPr>
        <w:t>s</w:t>
      </w:r>
      <w:r w:rsidR="00260FE8" w:rsidRPr="00FE2D31">
        <w:rPr>
          <w:bCs/>
          <w:sz w:val="28"/>
          <w:szCs w:val="28"/>
        </w:rPr>
        <w:t>, i</w:t>
      </w:r>
      <w:r w:rsidR="003F10B2" w:rsidRPr="00FE2D31">
        <w:rPr>
          <w:bCs/>
          <w:sz w:val="28"/>
          <w:szCs w:val="28"/>
        </w:rPr>
        <w:t xml:space="preserve">t </w:t>
      </w:r>
      <w:r w:rsidR="00373EE9" w:rsidRPr="00FE2D31">
        <w:rPr>
          <w:bCs/>
          <w:sz w:val="28"/>
          <w:szCs w:val="28"/>
        </w:rPr>
        <w:t xml:space="preserve">is obliged to take all such necessary steps to adequately safeguard and protect the environment and the mining area from any possible damage. It </w:t>
      </w:r>
      <w:r w:rsidR="003F10B2" w:rsidRPr="00FE2D31">
        <w:rPr>
          <w:bCs/>
          <w:sz w:val="28"/>
          <w:szCs w:val="28"/>
        </w:rPr>
        <w:t xml:space="preserve">also has to safeguard </w:t>
      </w:r>
      <w:r w:rsidR="00373EE9" w:rsidRPr="00FE2D31">
        <w:rPr>
          <w:bCs/>
          <w:sz w:val="28"/>
          <w:szCs w:val="28"/>
        </w:rPr>
        <w:t xml:space="preserve">any persons using or entitled to use the </w:t>
      </w:r>
      <w:r w:rsidR="003F10B2" w:rsidRPr="00FE2D31">
        <w:rPr>
          <w:bCs/>
          <w:sz w:val="28"/>
          <w:szCs w:val="28"/>
        </w:rPr>
        <w:t xml:space="preserve">surface </w:t>
      </w:r>
      <w:r w:rsidR="00373EE9" w:rsidRPr="00FE2D31">
        <w:rPr>
          <w:bCs/>
          <w:sz w:val="28"/>
          <w:szCs w:val="28"/>
        </w:rPr>
        <w:t>mining area</w:t>
      </w:r>
      <w:r w:rsidR="0097701F" w:rsidRPr="00FE2D31">
        <w:rPr>
          <w:bCs/>
          <w:sz w:val="28"/>
          <w:szCs w:val="28"/>
        </w:rPr>
        <w:t>,</w:t>
      </w:r>
      <w:r w:rsidR="00373EE9" w:rsidRPr="00FE2D31">
        <w:rPr>
          <w:bCs/>
          <w:sz w:val="28"/>
          <w:szCs w:val="28"/>
        </w:rPr>
        <w:t xml:space="preserve"> from injury associated with any activities on the mining area. </w:t>
      </w:r>
      <w:r w:rsidR="00464F0C" w:rsidRPr="00FE2D31">
        <w:rPr>
          <w:bCs/>
          <w:sz w:val="28"/>
          <w:szCs w:val="28"/>
        </w:rPr>
        <w:t>Further</w:t>
      </w:r>
      <w:r w:rsidR="00260FE8" w:rsidRPr="00FE2D31">
        <w:rPr>
          <w:bCs/>
          <w:sz w:val="28"/>
          <w:szCs w:val="28"/>
        </w:rPr>
        <w:t xml:space="preserve">more, it </w:t>
      </w:r>
      <w:r w:rsidR="003C3A4E" w:rsidRPr="00FE2D31">
        <w:rPr>
          <w:bCs/>
          <w:sz w:val="28"/>
          <w:szCs w:val="28"/>
        </w:rPr>
        <w:t xml:space="preserve">bears </w:t>
      </w:r>
      <w:r w:rsidR="00BF797A" w:rsidRPr="00FE2D31">
        <w:rPr>
          <w:bCs/>
          <w:sz w:val="28"/>
          <w:szCs w:val="28"/>
        </w:rPr>
        <w:t>certain safety</w:t>
      </w:r>
      <w:r w:rsidR="00464F0C" w:rsidRPr="00FE2D31">
        <w:rPr>
          <w:bCs/>
          <w:sz w:val="28"/>
          <w:szCs w:val="28"/>
        </w:rPr>
        <w:t xml:space="preserve"> obligations </w:t>
      </w:r>
      <w:r w:rsidR="00BF797A" w:rsidRPr="00FE2D31">
        <w:rPr>
          <w:bCs/>
          <w:sz w:val="28"/>
          <w:szCs w:val="28"/>
        </w:rPr>
        <w:t>imposed on</w:t>
      </w:r>
      <w:r w:rsidR="00464F0C" w:rsidRPr="00FE2D31">
        <w:rPr>
          <w:bCs/>
          <w:sz w:val="28"/>
          <w:szCs w:val="28"/>
        </w:rPr>
        <w:t xml:space="preserve"> it by</w:t>
      </w:r>
      <w:r w:rsidR="00373EE9" w:rsidRPr="00FE2D31">
        <w:rPr>
          <w:bCs/>
          <w:sz w:val="28"/>
          <w:szCs w:val="28"/>
        </w:rPr>
        <w:t xml:space="preserve"> the Mine Health and Safety Act 29 of 1996</w:t>
      </w:r>
      <w:r w:rsidR="00464F0C" w:rsidRPr="00FE2D31">
        <w:rPr>
          <w:bCs/>
          <w:sz w:val="28"/>
          <w:szCs w:val="28"/>
        </w:rPr>
        <w:t xml:space="preserve"> (the MHSA).</w:t>
      </w:r>
    </w:p>
    <w:p w14:paraId="245279A2" w14:textId="77777777" w:rsidR="006A00F2" w:rsidRPr="00FE2D31" w:rsidRDefault="006A00F2" w:rsidP="006A00F2">
      <w:pPr>
        <w:pStyle w:val="ListParagraph"/>
        <w:rPr>
          <w:sz w:val="28"/>
          <w:szCs w:val="28"/>
        </w:rPr>
      </w:pPr>
    </w:p>
    <w:p w14:paraId="2E382B21" w14:textId="18836FFA" w:rsidR="00464F0C" w:rsidRPr="00FE2D31" w:rsidRDefault="00042474" w:rsidP="00042474">
      <w:pPr>
        <w:tabs>
          <w:tab w:val="left" w:pos="0"/>
        </w:tabs>
        <w:rPr>
          <w:sz w:val="28"/>
          <w:szCs w:val="28"/>
        </w:rPr>
      </w:pPr>
      <w:r w:rsidRPr="00FE2D31">
        <w:rPr>
          <w:sz w:val="28"/>
          <w:szCs w:val="28"/>
        </w:rPr>
        <w:t>[3]</w:t>
      </w:r>
      <w:r w:rsidRPr="00FE2D31">
        <w:rPr>
          <w:sz w:val="28"/>
          <w:szCs w:val="28"/>
        </w:rPr>
        <w:tab/>
      </w:r>
      <w:r w:rsidR="003F10B2" w:rsidRPr="00FE2D31">
        <w:rPr>
          <w:sz w:val="28"/>
          <w:szCs w:val="28"/>
        </w:rPr>
        <w:t>The first respondent, Bila Civil Contractors (Pty) Ltd (Bila</w:t>
      </w:r>
      <w:r w:rsidR="00260FE8" w:rsidRPr="00FE2D31">
        <w:rPr>
          <w:sz w:val="28"/>
          <w:szCs w:val="28"/>
        </w:rPr>
        <w:t>)</w:t>
      </w:r>
      <w:r w:rsidR="005C0E98" w:rsidRPr="00FE2D31">
        <w:rPr>
          <w:sz w:val="28"/>
          <w:szCs w:val="28"/>
        </w:rPr>
        <w:t>,</w:t>
      </w:r>
      <w:r w:rsidR="00260FE8" w:rsidRPr="00FE2D31">
        <w:rPr>
          <w:sz w:val="28"/>
          <w:szCs w:val="28"/>
        </w:rPr>
        <w:t xml:space="preserve"> </w:t>
      </w:r>
      <w:r w:rsidR="00464F0C" w:rsidRPr="00FE2D31">
        <w:rPr>
          <w:sz w:val="28"/>
          <w:szCs w:val="28"/>
        </w:rPr>
        <w:t>holds a prospecting</w:t>
      </w:r>
      <w:r w:rsidR="00464F0C" w:rsidRPr="00FE2D31">
        <w:rPr>
          <w:rStyle w:val="FootnoteReference"/>
          <w:sz w:val="28"/>
          <w:szCs w:val="28"/>
        </w:rPr>
        <w:footnoteReference w:id="2"/>
      </w:r>
      <w:r w:rsidR="00464F0C" w:rsidRPr="00FE2D31">
        <w:rPr>
          <w:sz w:val="28"/>
          <w:szCs w:val="28"/>
        </w:rPr>
        <w:t xml:space="preserve"> right over RE Portion 2.</w:t>
      </w:r>
      <w:r w:rsidR="00250241" w:rsidRPr="00FE2D31">
        <w:rPr>
          <w:sz w:val="28"/>
          <w:szCs w:val="28"/>
        </w:rPr>
        <w:t xml:space="preserve"> </w:t>
      </w:r>
      <w:r w:rsidR="005C0E98" w:rsidRPr="00FE2D31">
        <w:rPr>
          <w:sz w:val="28"/>
          <w:szCs w:val="28"/>
        </w:rPr>
        <w:t>T</w:t>
      </w:r>
      <w:r w:rsidR="00250241" w:rsidRPr="00FE2D31">
        <w:rPr>
          <w:sz w:val="28"/>
          <w:szCs w:val="28"/>
        </w:rPr>
        <w:t>he prospecting right</w:t>
      </w:r>
      <w:r w:rsidR="00373EE9" w:rsidRPr="00FE2D31">
        <w:rPr>
          <w:sz w:val="28"/>
          <w:szCs w:val="28"/>
        </w:rPr>
        <w:t xml:space="preserve"> </w:t>
      </w:r>
      <w:r w:rsidR="00250241" w:rsidRPr="00FE2D31">
        <w:rPr>
          <w:sz w:val="28"/>
          <w:szCs w:val="28"/>
        </w:rPr>
        <w:t>entitle</w:t>
      </w:r>
      <w:r w:rsidR="005C0E98" w:rsidRPr="00FE2D31">
        <w:rPr>
          <w:sz w:val="28"/>
          <w:szCs w:val="28"/>
        </w:rPr>
        <w:t xml:space="preserve">s Bila </w:t>
      </w:r>
      <w:r w:rsidR="00250241" w:rsidRPr="00FE2D31">
        <w:rPr>
          <w:sz w:val="28"/>
          <w:szCs w:val="28"/>
        </w:rPr>
        <w:t xml:space="preserve">to </w:t>
      </w:r>
      <w:r w:rsidR="00250241" w:rsidRPr="00FE2D31">
        <w:rPr>
          <w:sz w:val="28"/>
          <w:szCs w:val="28"/>
        </w:rPr>
        <w:lastRenderedPageBreak/>
        <w:t xml:space="preserve">remove and dispose </w:t>
      </w:r>
      <w:r w:rsidR="00356EAF" w:rsidRPr="00FE2D31">
        <w:rPr>
          <w:sz w:val="28"/>
          <w:szCs w:val="28"/>
        </w:rPr>
        <w:t xml:space="preserve">of </w:t>
      </w:r>
      <w:r w:rsidR="00250241" w:rsidRPr="00FE2D31">
        <w:rPr>
          <w:sz w:val="28"/>
          <w:szCs w:val="28"/>
        </w:rPr>
        <w:t xml:space="preserve">chrome ore and other minerals found during the prospecting operations in terms of s 20 of </w:t>
      </w:r>
      <w:r w:rsidR="006F64B1" w:rsidRPr="00FE2D31">
        <w:rPr>
          <w:sz w:val="28"/>
          <w:szCs w:val="28"/>
        </w:rPr>
        <w:t>the Mineral</w:t>
      </w:r>
      <w:r w:rsidR="00250241" w:rsidRPr="00FE2D31">
        <w:rPr>
          <w:sz w:val="28"/>
          <w:szCs w:val="28"/>
        </w:rPr>
        <w:t xml:space="preserve"> and Petroleum Resources Development Act</w:t>
      </w:r>
      <w:r w:rsidR="006F64B1" w:rsidRPr="00FE2D31">
        <w:rPr>
          <w:sz w:val="28"/>
          <w:szCs w:val="28"/>
        </w:rPr>
        <w:t xml:space="preserve"> 28 of 2002 (the M</w:t>
      </w:r>
      <w:r w:rsidR="003604BB" w:rsidRPr="00FE2D31">
        <w:rPr>
          <w:sz w:val="28"/>
          <w:szCs w:val="28"/>
        </w:rPr>
        <w:t>PRDA)</w:t>
      </w:r>
      <w:r w:rsidR="006F64B1" w:rsidRPr="00FE2D31">
        <w:rPr>
          <w:sz w:val="28"/>
          <w:szCs w:val="28"/>
        </w:rPr>
        <w:t>.</w:t>
      </w:r>
      <w:r w:rsidR="00A148E7" w:rsidRPr="00FE2D31">
        <w:rPr>
          <w:sz w:val="28"/>
          <w:szCs w:val="28"/>
        </w:rPr>
        <w:t xml:space="preserve"> </w:t>
      </w:r>
      <w:r w:rsidR="00464F0C" w:rsidRPr="00FE2D31">
        <w:rPr>
          <w:sz w:val="28"/>
          <w:szCs w:val="28"/>
          <w:lang w:val="en-US"/>
        </w:rPr>
        <w:t xml:space="preserve">Section 20 stipulates: </w:t>
      </w:r>
    </w:p>
    <w:p w14:paraId="3BDB6AAE" w14:textId="64638E2A" w:rsidR="00464F0C" w:rsidRPr="00FE2D31" w:rsidRDefault="00464F0C" w:rsidP="00464F0C">
      <w:pPr>
        <w:tabs>
          <w:tab w:val="left" w:pos="0"/>
        </w:tabs>
        <w:rPr>
          <w:lang w:val="en-US"/>
        </w:rPr>
      </w:pPr>
      <w:r w:rsidRPr="00FE2D31">
        <w:rPr>
          <w:sz w:val="28"/>
          <w:szCs w:val="28"/>
          <w:lang w:val="en-US"/>
        </w:rPr>
        <w:t>‘</w:t>
      </w:r>
      <w:r w:rsidRPr="00FE2D31">
        <w:rPr>
          <w:lang w:val="en-US"/>
        </w:rPr>
        <w:t xml:space="preserve">(1) Subject to subsection (2), the holder of </w:t>
      </w:r>
      <w:r w:rsidR="00FC13E9" w:rsidRPr="00FE2D31">
        <w:rPr>
          <w:lang w:val="en-US"/>
        </w:rPr>
        <w:t xml:space="preserve">a </w:t>
      </w:r>
      <w:r w:rsidRPr="00FE2D31">
        <w:rPr>
          <w:lang w:val="en-US"/>
        </w:rPr>
        <w:t>prospecting right may only remove and dispose for his or her own account any mineral found by such holder in the course of prospecting operations conducted pursuant to such prospecting right in such quantities as may be required to conduct tests on it or to identify or analyse it.</w:t>
      </w:r>
    </w:p>
    <w:p w14:paraId="6B9858F2" w14:textId="6EFAA85D" w:rsidR="00464F0C" w:rsidRPr="00FE2D31" w:rsidRDefault="00464F0C" w:rsidP="00464F0C">
      <w:pPr>
        <w:tabs>
          <w:tab w:val="left" w:pos="0"/>
        </w:tabs>
      </w:pPr>
      <w:r w:rsidRPr="00FE2D31">
        <w:t xml:space="preserve">(2) The holder of a prospecting right must obtain the Minister’s written permission to remove and dispose for such holder’s own account </w:t>
      </w:r>
      <w:r w:rsidR="0043623A" w:rsidRPr="00FE2D31">
        <w:t xml:space="preserve">of </w:t>
      </w:r>
      <w:r w:rsidR="00237572" w:rsidRPr="00FE2D31">
        <w:t xml:space="preserve">diamonds and </w:t>
      </w:r>
      <w:r w:rsidRPr="00FE2D31">
        <w:t>bulk samples of any minerals found by such holder in the course of prospecting operations.</w:t>
      </w:r>
      <w:r w:rsidR="00EA1AFF" w:rsidRPr="00FE2D31">
        <w:t>’</w:t>
      </w:r>
    </w:p>
    <w:p w14:paraId="4E991D8C" w14:textId="77777777" w:rsidR="00464F0C" w:rsidRPr="00FE2D31" w:rsidRDefault="00464F0C" w:rsidP="00DC0CF6">
      <w:pPr>
        <w:rPr>
          <w:sz w:val="28"/>
          <w:szCs w:val="28"/>
        </w:rPr>
      </w:pPr>
    </w:p>
    <w:p w14:paraId="3EA4E857" w14:textId="20F2AA7E" w:rsidR="00C4659F" w:rsidRPr="00FE2D31" w:rsidRDefault="00042474" w:rsidP="00042474">
      <w:pPr>
        <w:tabs>
          <w:tab w:val="left" w:pos="0"/>
        </w:tabs>
        <w:rPr>
          <w:sz w:val="28"/>
          <w:szCs w:val="28"/>
        </w:rPr>
      </w:pPr>
      <w:r w:rsidRPr="00FE2D31">
        <w:rPr>
          <w:sz w:val="28"/>
          <w:szCs w:val="28"/>
        </w:rPr>
        <w:t>[4]</w:t>
      </w:r>
      <w:r w:rsidRPr="00FE2D31">
        <w:rPr>
          <w:sz w:val="28"/>
          <w:szCs w:val="28"/>
        </w:rPr>
        <w:tab/>
      </w:r>
      <w:r w:rsidR="001A4ECC" w:rsidRPr="00FE2D31">
        <w:rPr>
          <w:sz w:val="28"/>
          <w:szCs w:val="28"/>
        </w:rPr>
        <w:t xml:space="preserve">The planned prospecting activities </w:t>
      </w:r>
      <w:r w:rsidR="00356EAF" w:rsidRPr="00FE2D31">
        <w:rPr>
          <w:sz w:val="28"/>
          <w:szCs w:val="28"/>
        </w:rPr>
        <w:t>required</w:t>
      </w:r>
      <w:r w:rsidR="009E0EAC" w:rsidRPr="00FE2D31">
        <w:rPr>
          <w:sz w:val="28"/>
          <w:szCs w:val="28"/>
        </w:rPr>
        <w:t>,</w:t>
      </w:r>
      <w:r w:rsidR="00356EAF" w:rsidRPr="00FE2D31">
        <w:rPr>
          <w:sz w:val="28"/>
          <w:szCs w:val="28"/>
        </w:rPr>
        <w:t xml:space="preserve"> in terms of </w:t>
      </w:r>
      <w:r w:rsidR="00C91A02" w:rsidRPr="00FE2D31">
        <w:rPr>
          <w:sz w:val="28"/>
          <w:szCs w:val="28"/>
        </w:rPr>
        <w:t xml:space="preserve">s 20 </w:t>
      </w:r>
      <w:r w:rsidR="00356EAF" w:rsidRPr="00FE2D31">
        <w:rPr>
          <w:sz w:val="28"/>
          <w:szCs w:val="28"/>
        </w:rPr>
        <w:t>of the MPRDA</w:t>
      </w:r>
      <w:r w:rsidR="00F2122C" w:rsidRPr="00FE2D31">
        <w:rPr>
          <w:sz w:val="28"/>
          <w:szCs w:val="28"/>
        </w:rPr>
        <w:t xml:space="preserve">, </w:t>
      </w:r>
      <w:r w:rsidR="00373EE9" w:rsidRPr="00FE2D31">
        <w:rPr>
          <w:sz w:val="28"/>
          <w:szCs w:val="28"/>
        </w:rPr>
        <w:t xml:space="preserve">consisted of </w:t>
      </w:r>
      <w:r w:rsidR="001A4ECC" w:rsidRPr="00FE2D31">
        <w:rPr>
          <w:sz w:val="28"/>
          <w:szCs w:val="28"/>
        </w:rPr>
        <w:t xml:space="preserve">three phases. Phase 1 would last for </w:t>
      </w:r>
      <w:r w:rsidR="00965F4E" w:rsidRPr="00FE2D31">
        <w:rPr>
          <w:sz w:val="28"/>
          <w:szCs w:val="28"/>
        </w:rPr>
        <w:t xml:space="preserve">a period of </w:t>
      </w:r>
      <w:r w:rsidR="001A4ECC" w:rsidRPr="00FE2D31">
        <w:rPr>
          <w:sz w:val="28"/>
          <w:szCs w:val="28"/>
        </w:rPr>
        <w:t xml:space="preserve">six months from June 2018 to December 2018. It </w:t>
      </w:r>
      <w:r w:rsidR="006E108A" w:rsidRPr="00FE2D31">
        <w:rPr>
          <w:sz w:val="28"/>
          <w:szCs w:val="28"/>
        </w:rPr>
        <w:t xml:space="preserve">entailed </w:t>
      </w:r>
      <w:r w:rsidR="001A4ECC" w:rsidRPr="00FE2D31">
        <w:rPr>
          <w:sz w:val="28"/>
          <w:szCs w:val="28"/>
        </w:rPr>
        <w:t>activities that did not disturb the land such a</w:t>
      </w:r>
      <w:r w:rsidR="009E03F8" w:rsidRPr="00FE2D31">
        <w:rPr>
          <w:sz w:val="28"/>
          <w:szCs w:val="28"/>
        </w:rPr>
        <w:t>s</w:t>
      </w:r>
      <w:r w:rsidR="001A4ECC" w:rsidRPr="00FE2D31">
        <w:rPr>
          <w:sz w:val="28"/>
          <w:szCs w:val="28"/>
        </w:rPr>
        <w:t xml:space="preserve"> collation of data and aero</w:t>
      </w:r>
      <w:r w:rsidR="00C037C9" w:rsidRPr="00FE2D31">
        <w:rPr>
          <w:sz w:val="28"/>
          <w:szCs w:val="28"/>
        </w:rPr>
        <w:t xml:space="preserve">magnetic </w:t>
      </w:r>
      <w:r w:rsidR="001A4ECC" w:rsidRPr="00FE2D31">
        <w:rPr>
          <w:sz w:val="28"/>
          <w:szCs w:val="28"/>
        </w:rPr>
        <w:t xml:space="preserve">surveys. Phase 2 </w:t>
      </w:r>
      <w:r w:rsidR="00220C30" w:rsidRPr="00FE2D31">
        <w:rPr>
          <w:sz w:val="28"/>
          <w:szCs w:val="28"/>
        </w:rPr>
        <w:t xml:space="preserve">would take place over </w:t>
      </w:r>
      <w:r w:rsidR="001A4ECC" w:rsidRPr="00FE2D31">
        <w:rPr>
          <w:sz w:val="28"/>
          <w:szCs w:val="28"/>
        </w:rPr>
        <w:t xml:space="preserve">12 months from January 2019 to December 2019. It </w:t>
      </w:r>
      <w:r w:rsidR="00965F4E" w:rsidRPr="00FE2D31">
        <w:rPr>
          <w:sz w:val="28"/>
          <w:szCs w:val="28"/>
        </w:rPr>
        <w:t>involved</w:t>
      </w:r>
      <w:r w:rsidR="00C4659F" w:rsidRPr="00FE2D31">
        <w:rPr>
          <w:sz w:val="28"/>
          <w:szCs w:val="28"/>
        </w:rPr>
        <w:t xml:space="preserve"> </w:t>
      </w:r>
      <w:r w:rsidR="001A4ECC" w:rsidRPr="00FE2D31">
        <w:rPr>
          <w:sz w:val="28"/>
          <w:szCs w:val="28"/>
        </w:rPr>
        <w:t>some sampling, trenching and limited drilling. In terms of this phase</w:t>
      </w:r>
      <w:r w:rsidR="00EA1AFF" w:rsidRPr="00FE2D31">
        <w:rPr>
          <w:sz w:val="28"/>
          <w:szCs w:val="28"/>
        </w:rPr>
        <w:t>,</w:t>
      </w:r>
      <w:r w:rsidR="001A4ECC" w:rsidRPr="00FE2D31">
        <w:rPr>
          <w:sz w:val="28"/>
          <w:szCs w:val="28"/>
        </w:rPr>
        <w:t xml:space="preserve"> Bila could drill</w:t>
      </w:r>
      <w:r w:rsidR="00965F4E" w:rsidRPr="00FE2D31">
        <w:rPr>
          <w:sz w:val="28"/>
          <w:szCs w:val="28"/>
        </w:rPr>
        <w:t xml:space="preserve"> up to</w:t>
      </w:r>
      <w:r w:rsidR="001A4ECC" w:rsidRPr="00FE2D31">
        <w:rPr>
          <w:sz w:val="28"/>
          <w:szCs w:val="28"/>
        </w:rPr>
        <w:t xml:space="preserve"> </w:t>
      </w:r>
      <w:r w:rsidR="00965F4E" w:rsidRPr="00FE2D31">
        <w:rPr>
          <w:sz w:val="28"/>
          <w:szCs w:val="28"/>
        </w:rPr>
        <w:t>six</w:t>
      </w:r>
      <w:r w:rsidR="001A4ECC" w:rsidRPr="00FE2D31">
        <w:rPr>
          <w:sz w:val="28"/>
          <w:szCs w:val="28"/>
        </w:rPr>
        <w:t xml:space="preserve"> </w:t>
      </w:r>
      <w:r w:rsidR="00965F4E" w:rsidRPr="00FE2D31">
        <w:rPr>
          <w:sz w:val="28"/>
          <w:szCs w:val="28"/>
        </w:rPr>
        <w:t>holes, which</w:t>
      </w:r>
      <w:r w:rsidR="001A4ECC" w:rsidRPr="00FE2D31">
        <w:rPr>
          <w:sz w:val="28"/>
          <w:szCs w:val="28"/>
        </w:rPr>
        <w:t xml:space="preserve"> would be approximately 30 metres deep. </w:t>
      </w:r>
      <w:r w:rsidR="00F2122C" w:rsidRPr="00FE2D31">
        <w:rPr>
          <w:sz w:val="28"/>
          <w:szCs w:val="28"/>
        </w:rPr>
        <w:t xml:space="preserve">It was obligatory </w:t>
      </w:r>
      <w:r w:rsidR="00BF797A" w:rsidRPr="00FE2D31">
        <w:rPr>
          <w:sz w:val="28"/>
          <w:szCs w:val="28"/>
        </w:rPr>
        <w:t xml:space="preserve">that </w:t>
      </w:r>
      <w:r w:rsidR="00F2122C" w:rsidRPr="00FE2D31">
        <w:rPr>
          <w:sz w:val="28"/>
          <w:szCs w:val="28"/>
        </w:rPr>
        <w:t xml:space="preserve">the </w:t>
      </w:r>
      <w:r w:rsidR="001A4ECC" w:rsidRPr="00FE2D31">
        <w:rPr>
          <w:sz w:val="28"/>
          <w:szCs w:val="28"/>
        </w:rPr>
        <w:t>pits be closed before the excavator moved to the next one.</w:t>
      </w:r>
    </w:p>
    <w:p w14:paraId="6EB17EE0" w14:textId="77777777" w:rsidR="00C4659F" w:rsidRPr="00FE2D31" w:rsidRDefault="00C4659F" w:rsidP="00C4659F">
      <w:pPr>
        <w:tabs>
          <w:tab w:val="left" w:pos="0"/>
        </w:tabs>
        <w:rPr>
          <w:sz w:val="28"/>
          <w:szCs w:val="28"/>
        </w:rPr>
      </w:pPr>
    </w:p>
    <w:p w14:paraId="630F5169" w14:textId="0AE226AE" w:rsidR="00250241" w:rsidRPr="00FE2D31" w:rsidRDefault="00042474" w:rsidP="00042474">
      <w:pPr>
        <w:tabs>
          <w:tab w:val="left" w:pos="0"/>
        </w:tabs>
        <w:rPr>
          <w:sz w:val="28"/>
          <w:szCs w:val="28"/>
        </w:rPr>
      </w:pPr>
      <w:r w:rsidRPr="00FE2D31">
        <w:rPr>
          <w:sz w:val="28"/>
          <w:szCs w:val="28"/>
        </w:rPr>
        <w:t>[5]</w:t>
      </w:r>
      <w:r w:rsidRPr="00FE2D31">
        <w:rPr>
          <w:sz w:val="28"/>
          <w:szCs w:val="28"/>
        </w:rPr>
        <w:tab/>
      </w:r>
      <w:r w:rsidR="001A4ECC" w:rsidRPr="00FE2D31">
        <w:rPr>
          <w:sz w:val="28"/>
          <w:szCs w:val="28"/>
        </w:rPr>
        <w:t>Phase 3 would be from January 2020 to 29 May 2023. This phase allowed for excavation, drilling, blastin</w:t>
      </w:r>
      <w:r w:rsidR="00C06E69" w:rsidRPr="00FE2D31">
        <w:rPr>
          <w:sz w:val="28"/>
          <w:szCs w:val="28"/>
        </w:rPr>
        <w:t xml:space="preserve">g and bulk sampling. It was anticipated that </w:t>
      </w:r>
      <w:r w:rsidR="00373EE9" w:rsidRPr="00FE2D31">
        <w:rPr>
          <w:sz w:val="28"/>
          <w:szCs w:val="28"/>
        </w:rPr>
        <w:t>50</w:t>
      </w:r>
      <w:r w:rsidR="00C06E69" w:rsidRPr="00FE2D31">
        <w:rPr>
          <w:sz w:val="28"/>
          <w:szCs w:val="28"/>
        </w:rPr>
        <w:t xml:space="preserve"> 000 m</w:t>
      </w:r>
      <w:r w:rsidR="009E0EAC" w:rsidRPr="00FE2D31">
        <w:rPr>
          <w:sz w:val="28"/>
          <w:szCs w:val="28"/>
        </w:rPr>
        <w:t>³</w:t>
      </w:r>
      <w:r w:rsidR="00C06E69" w:rsidRPr="00FE2D31">
        <w:rPr>
          <w:sz w:val="28"/>
          <w:szCs w:val="28"/>
        </w:rPr>
        <w:t xml:space="preserve"> (100 000 ton) w</w:t>
      </w:r>
      <w:r w:rsidR="00C037C9" w:rsidRPr="00FE2D31">
        <w:rPr>
          <w:sz w:val="28"/>
          <w:szCs w:val="28"/>
        </w:rPr>
        <w:t>ould</w:t>
      </w:r>
      <w:r w:rsidR="00C06E69" w:rsidRPr="00FE2D31">
        <w:rPr>
          <w:sz w:val="28"/>
          <w:szCs w:val="28"/>
        </w:rPr>
        <w:t xml:space="preserve"> be tested by making trenches </w:t>
      </w:r>
      <w:r w:rsidR="00221770" w:rsidRPr="00FE2D31">
        <w:rPr>
          <w:sz w:val="28"/>
          <w:szCs w:val="28"/>
        </w:rPr>
        <w:t>at different</w:t>
      </w:r>
      <w:r w:rsidR="00C06E69" w:rsidRPr="00FE2D31">
        <w:rPr>
          <w:sz w:val="28"/>
          <w:szCs w:val="28"/>
        </w:rPr>
        <w:t xml:space="preserve"> </w:t>
      </w:r>
      <w:r w:rsidR="00C06E69" w:rsidRPr="00FE2D31">
        <w:rPr>
          <w:sz w:val="28"/>
          <w:szCs w:val="28"/>
        </w:rPr>
        <w:lastRenderedPageBreak/>
        <w:t xml:space="preserve">locations over the whole prospecting area, where the possibility of ore was identified with test </w:t>
      </w:r>
      <w:r w:rsidR="009F31B7" w:rsidRPr="00FE2D31">
        <w:rPr>
          <w:sz w:val="28"/>
          <w:szCs w:val="28"/>
        </w:rPr>
        <w:t>pits</w:t>
      </w:r>
      <w:r w:rsidR="00C06E69" w:rsidRPr="00FE2D31">
        <w:rPr>
          <w:sz w:val="28"/>
          <w:szCs w:val="28"/>
        </w:rPr>
        <w:t xml:space="preserve">. </w:t>
      </w:r>
      <w:r w:rsidR="00C4659F" w:rsidRPr="00FE2D31">
        <w:rPr>
          <w:sz w:val="28"/>
          <w:szCs w:val="28"/>
        </w:rPr>
        <w:t>T</w:t>
      </w:r>
      <w:r w:rsidR="00303532" w:rsidRPr="00FE2D31">
        <w:rPr>
          <w:sz w:val="28"/>
          <w:szCs w:val="28"/>
        </w:rPr>
        <w:t>he amount</w:t>
      </w:r>
      <w:r w:rsidR="00C4659F" w:rsidRPr="00FE2D31">
        <w:rPr>
          <w:sz w:val="28"/>
          <w:szCs w:val="28"/>
        </w:rPr>
        <w:t xml:space="preserve"> required to</w:t>
      </w:r>
      <w:r w:rsidR="00303532" w:rsidRPr="00FE2D31">
        <w:rPr>
          <w:sz w:val="28"/>
          <w:szCs w:val="28"/>
        </w:rPr>
        <w:t xml:space="preserve"> finance the </w:t>
      </w:r>
      <w:r w:rsidR="00C4659F" w:rsidRPr="00FE2D31">
        <w:rPr>
          <w:sz w:val="28"/>
          <w:szCs w:val="28"/>
        </w:rPr>
        <w:t>three</w:t>
      </w:r>
      <w:r w:rsidR="00303532" w:rsidRPr="00FE2D31">
        <w:rPr>
          <w:sz w:val="28"/>
          <w:szCs w:val="28"/>
        </w:rPr>
        <w:t xml:space="preserve"> phases </w:t>
      </w:r>
      <w:r w:rsidR="00944763" w:rsidRPr="00FE2D31">
        <w:rPr>
          <w:sz w:val="28"/>
          <w:szCs w:val="28"/>
        </w:rPr>
        <w:t xml:space="preserve">was </w:t>
      </w:r>
      <w:r w:rsidR="00C4659F" w:rsidRPr="00FE2D31">
        <w:rPr>
          <w:sz w:val="28"/>
          <w:szCs w:val="28"/>
        </w:rPr>
        <w:t xml:space="preserve">said to be </w:t>
      </w:r>
      <w:r w:rsidR="00303532" w:rsidRPr="00FE2D31">
        <w:rPr>
          <w:sz w:val="28"/>
          <w:szCs w:val="28"/>
        </w:rPr>
        <w:t xml:space="preserve">R1 248 122. </w:t>
      </w:r>
    </w:p>
    <w:p w14:paraId="5DB302E8" w14:textId="2E1C4761" w:rsidR="00081E7D" w:rsidRPr="00FE2D31" w:rsidRDefault="00081E7D" w:rsidP="00250241">
      <w:pPr>
        <w:tabs>
          <w:tab w:val="left" w:pos="0"/>
        </w:tabs>
        <w:rPr>
          <w:sz w:val="28"/>
          <w:szCs w:val="28"/>
        </w:rPr>
      </w:pPr>
    </w:p>
    <w:p w14:paraId="37836F59" w14:textId="0615BC36" w:rsidR="003325C8" w:rsidRPr="00FE2D31" w:rsidRDefault="00042474" w:rsidP="00042474">
      <w:pPr>
        <w:tabs>
          <w:tab w:val="left" w:pos="0"/>
        </w:tabs>
        <w:rPr>
          <w:sz w:val="28"/>
          <w:szCs w:val="28"/>
        </w:rPr>
      </w:pPr>
      <w:r w:rsidRPr="00FE2D31">
        <w:rPr>
          <w:sz w:val="28"/>
          <w:szCs w:val="28"/>
        </w:rPr>
        <w:t>[6]</w:t>
      </w:r>
      <w:r w:rsidRPr="00FE2D31">
        <w:rPr>
          <w:sz w:val="28"/>
          <w:szCs w:val="28"/>
        </w:rPr>
        <w:tab/>
      </w:r>
      <w:r w:rsidR="00F63EDE" w:rsidRPr="00FE2D31">
        <w:rPr>
          <w:sz w:val="28"/>
          <w:szCs w:val="28"/>
        </w:rPr>
        <w:t>On 12 June 2019, Samancor l</w:t>
      </w:r>
      <w:r w:rsidR="00C4659F" w:rsidRPr="00FE2D31">
        <w:rPr>
          <w:sz w:val="28"/>
          <w:szCs w:val="28"/>
        </w:rPr>
        <w:t>odged</w:t>
      </w:r>
      <w:r w:rsidR="00F63EDE" w:rsidRPr="00FE2D31">
        <w:rPr>
          <w:sz w:val="28"/>
          <w:szCs w:val="28"/>
        </w:rPr>
        <w:t xml:space="preserve"> an urgent application before the </w:t>
      </w:r>
      <w:r w:rsidR="00373EE9" w:rsidRPr="00FE2D31">
        <w:rPr>
          <w:sz w:val="28"/>
          <w:szCs w:val="28"/>
        </w:rPr>
        <w:t>Gauteng Division of the High Court, Pretoria (</w:t>
      </w:r>
      <w:r w:rsidR="00F63EDE" w:rsidRPr="00FE2D31">
        <w:rPr>
          <w:bCs/>
          <w:sz w:val="28"/>
          <w:szCs w:val="28"/>
        </w:rPr>
        <w:t xml:space="preserve">high </w:t>
      </w:r>
      <w:r w:rsidR="00373EE9" w:rsidRPr="00FE2D31">
        <w:rPr>
          <w:bCs/>
          <w:sz w:val="28"/>
          <w:szCs w:val="28"/>
        </w:rPr>
        <w:t>court), seeking</w:t>
      </w:r>
      <w:r w:rsidR="00F63EDE" w:rsidRPr="00FE2D31">
        <w:rPr>
          <w:bCs/>
          <w:sz w:val="28"/>
          <w:szCs w:val="28"/>
        </w:rPr>
        <w:t xml:space="preserve"> an order interdicting</w:t>
      </w:r>
      <w:r w:rsidR="00081E7D" w:rsidRPr="00FE2D31">
        <w:rPr>
          <w:bCs/>
          <w:sz w:val="28"/>
          <w:szCs w:val="28"/>
        </w:rPr>
        <w:t xml:space="preserve"> Bila, </w:t>
      </w:r>
      <w:r w:rsidR="00F63EDE" w:rsidRPr="00FE2D31">
        <w:rPr>
          <w:bCs/>
          <w:sz w:val="28"/>
          <w:szCs w:val="28"/>
        </w:rPr>
        <w:t>its employees and contractors</w:t>
      </w:r>
      <w:r w:rsidR="003325C8" w:rsidRPr="00FE2D31">
        <w:rPr>
          <w:bCs/>
          <w:sz w:val="28"/>
          <w:szCs w:val="28"/>
        </w:rPr>
        <w:t>,</w:t>
      </w:r>
      <w:r w:rsidR="000C6A25" w:rsidRPr="00FE2D31">
        <w:rPr>
          <w:bCs/>
          <w:sz w:val="28"/>
          <w:szCs w:val="28"/>
        </w:rPr>
        <w:t xml:space="preserve"> from conducting unlawful </w:t>
      </w:r>
      <w:r w:rsidR="001A5B77" w:rsidRPr="00FE2D31">
        <w:rPr>
          <w:bCs/>
          <w:sz w:val="28"/>
          <w:szCs w:val="28"/>
        </w:rPr>
        <w:t xml:space="preserve">mining operations on </w:t>
      </w:r>
      <w:r w:rsidR="00373EE9" w:rsidRPr="00FE2D31">
        <w:rPr>
          <w:bCs/>
          <w:sz w:val="28"/>
          <w:szCs w:val="28"/>
        </w:rPr>
        <w:t xml:space="preserve">RE </w:t>
      </w:r>
      <w:r w:rsidR="001A5B77" w:rsidRPr="00FE2D31">
        <w:rPr>
          <w:bCs/>
          <w:sz w:val="28"/>
          <w:szCs w:val="28"/>
        </w:rPr>
        <w:t>Portion 2 and Portion 154</w:t>
      </w:r>
      <w:r w:rsidR="003325C8" w:rsidRPr="00FE2D31">
        <w:rPr>
          <w:bCs/>
          <w:sz w:val="28"/>
          <w:szCs w:val="28"/>
        </w:rPr>
        <w:t xml:space="preserve">. </w:t>
      </w:r>
      <w:r w:rsidR="00221770" w:rsidRPr="00FE2D31">
        <w:rPr>
          <w:bCs/>
          <w:sz w:val="28"/>
          <w:szCs w:val="28"/>
        </w:rPr>
        <w:t>Samancor alleged</w:t>
      </w:r>
      <w:r w:rsidR="00C36081" w:rsidRPr="00FE2D31">
        <w:rPr>
          <w:bCs/>
          <w:sz w:val="28"/>
          <w:szCs w:val="28"/>
        </w:rPr>
        <w:t xml:space="preserve"> </w:t>
      </w:r>
      <w:r w:rsidR="00373EE9" w:rsidRPr="00FE2D31">
        <w:rPr>
          <w:bCs/>
          <w:sz w:val="28"/>
          <w:szCs w:val="28"/>
        </w:rPr>
        <w:t xml:space="preserve">that in May 2019, </w:t>
      </w:r>
      <w:r w:rsidR="00C36081" w:rsidRPr="00FE2D31">
        <w:rPr>
          <w:bCs/>
          <w:sz w:val="28"/>
          <w:szCs w:val="28"/>
        </w:rPr>
        <w:t xml:space="preserve">its mineral resources manager, </w:t>
      </w:r>
      <w:r w:rsidR="00EA1AFF" w:rsidRPr="00FE2D31">
        <w:rPr>
          <w:bCs/>
          <w:sz w:val="28"/>
          <w:szCs w:val="28"/>
        </w:rPr>
        <w:t xml:space="preserve">Mr Kabelo </w:t>
      </w:r>
      <w:r w:rsidR="00C36081" w:rsidRPr="00FE2D31">
        <w:rPr>
          <w:bCs/>
          <w:sz w:val="28"/>
          <w:szCs w:val="28"/>
        </w:rPr>
        <w:t>Dube</w:t>
      </w:r>
      <w:r w:rsidR="00FE5D6E" w:rsidRPr="00FE2D31">
        <w:rPr>
          <w:bCs/>
          <w:sz w:val="28"/>
          <w:szCs w:val="28"/>
        </w:rPr>
        <w:t>,</w:t>
      </w:r>
      <w:r w:rsidR="00C36081" w:rsidRPr="00FE2D31">
        <w:rPr>
          <w:bCs/>
          <w:sz w:val="28"/>
          <w:szCs w:val="28"/>
        </w:rPr>
        <w:t xml:space="preserve"> </w:t>
      </w:r>
      <w:r w:rsidR="00373EE9" w:rsidRPr="00FE2D31">
        <w:rPr>
          <w:bCs/>
          <w:sz w:val="28"/>
          <w:szCs w:val="28"/>
        </w:rPr>
        <w:t xml:space="preserve">had </w:t>
      </w:r>
      <w:r w:rsidR="00C36081" w:rsidRPr="00FE2D31">
        <w:rPr>
          <w:bCs/>
          <w:sz w:val="28"/>
          <w:szCs w:val="28"/>
        </w:rPr>
        <w:t xml:space="preserve">observed </w:t>
      </w:r>
      <w:r w:rsidR="00221770" w:rsidRPr="00FE2D31">
        <w:rPr>
          <w:bCs/>
          <w:sz w:val="28"/>
          <w:szCs w:val="28"/>
        </w:rPr>
        <w:t>extensive open</w:t>
      </w:r>
      <w:r w:rsidR="00C36081" w:rsidRPr="00FE2D31">
        <w:rPr>
          <w:bCs/>
          <w:sz w:val="28"/>
          <w:szCs w:val="28"/>
        </w:rPr>
        <w:t xml:space="preserve"> cast mining operations, substantial blasting and other activities</w:t>
      </w:r>
      <w:r w:rsidR="00373EE9" w:rsidRPr="00FE2D31">
        <w:rPr>
          <w:bCs/>
          <w:sz w:val="28"/>
          <w:szCs w:val="28"/>
        </w:rPr>
        <w:t xml:space="preserve"> conducted by Bila, which</w:t>
      </w:r>
      <w:r w:rsidR="00C36081" w:rsidRPr="00FE2D31">
        <w:rPr>
          <w:bCs/>
          <w:sz w:val="28"/>
          <w:szCs w:val="28"/>
        </w:rPr>
        <w:t xml:space="preserve"> </w:t>
      </w:r>
      <w:r w:rsidR="00965F4E" w:rsidRPr="00FE2D31">
        <w:rPr>
          <w:bCs/>
          <w:sz w:val="28"/>
          <w:szCs w:val="28"/>
        </w:rPr>
        <w:t xml:space="preserve">were an indication that </w:t>
      </w:r>
      <w:r w:rsidR="00C36081" w:rsidRPr="00FE2D31">
        <w:rPr>
          <w:bCs/>
          <w:sz w:val="28"/>
          <w:szCs w:val="28"/>
        </w:rPr>
        <w:t>mining</w:t>
      </w:r>
      <w:r w:rsidR="00373EE9" w:rsidRPr="00FE2D31">
        <w:rPr>
          <w:bCs/>
          <w:sz w:val="28"/>
          <w:szCs w:val="28"/>
        </w:rPr>
        <w:t xml:space="preserve"> operations</w:t>
      </w:r>
      <w:r w:rsidR="00965F4E" w:rsidRPr="00FE2D31">
        <w:rPr>
          <w:bCs/>
          <w:sz w:val="28"/>
          <w:szCs w:val="28"/>
        </w:rPr>
        <w:t xml:space="preserve"> were taking place</w:t>
      </w:r>
      <w:r w:rsidR="00C36081" w:rsidRPr="00FE2D31">
        <w:rPr>
          <w:bCs/>
          <w:sz w:val="28"/>
          <w:szCs w:val="28"/>
        </w:rPr>
        <w:t>. Bila denied</w:t>
      </w:r>
      <w:r w:rsidR="00373EE9" w:rsidRPr="00FE2D31">
        <w:rPr>
          <w:bCs/>
          <w:sz w:val="28"/>
          <w:szCs w:val="28"/>
        </w:rPr>
        <w:t xml:space="preserve"> that it was </w:t>
      </w:r>
      <w:r w:rsidR="00C36081" w:rsidRPr="00FE2D31">
        <w:rPr>
          <w:bCs/>
          <w:sz w:val="28"/>
          <w:szCs w:val="28"/>
        </w:rPr>
        <w:t>mining</w:t>
      </w:r>
      <w:r w:rsidR="008A614E" w:rsidRPr="00FE2D31">
        <w:rPr>
          <w:bCs/>
          <w:sz w:val="28"/>
          <w:szCs w:val="28"/>
        </w:rPr>
        <w:t xml:space="preserve">, </w:t>
      </w:r>
      <w:r w:rsidR="00C4659F" w:rsidRPr="00FE2D31">
        <w:rPr>
          <w:bCs/>
          <w:sz w:val="28"/>
          <w:szCs w:val="28"/>
        </w:rPr>
        <w:t xml:space="preserve">emphasising that </w:t>
      </w:r>
      <w:r w:rsidR="00681581" w:rsidRPr="00FE2D31">
        <w:rPr>
          <w:bCs/>
          <w:sz w:val="28"/>
          <w:szCs w:val="28"/>
        </w:rPr>
        <w:t xml:space="preserve">although </w:t>
      </w:r>
      <w:r w:rsidR="00C4659F" w:rsidRPr="00FE2D31">
        <w:rPr>
          <w:bCs/>
          <w:sz w:val="28"/>
          <w:szCs w:val="28"/>
        </w:rPr>
        <w:t>it had</w:t>
      </w:r>
      <w:r w:rsidR="00D57E6F" w:rsidRPr="00FE2D31">
        <w:rPr>
          <w:bCs/>
          <w:sz w:val="28"/>
          <w:szCs w:val="28"/>
        </w:rPr>
        <w:t xml:space="preserve"> invested </w:t>
      </w:r>
      <w:r w:rsidR="00221770" w:rsidRPr="00FE2D31">
        <w:rPr>
          <w:bCs/>
          <w:sz w:val="28"/>
          <w:szCs w:val="28"/>
        </w:rPr>
        <w:t>heavily in</w:t>
      </w:r>
      <w:r w:rsidR="00C4659F" w:rsidRPr="00FE2D31">
        <w:rPr>
          <w:bCs/>
          <w:sz w:val="28"/>
          <w:szCs w:val="28"/>
        </w:rPr>
        <w:t xml:space="preserve"> </w:t>
      </w:r>
      <w:r w:rsidR="00D57E6F" w:rsidRPr="00FE2D31">
        <w:rPr>
          <w:bCs/>
          <w:sz w:val="28"/>
          <w:szCs w:val="28"/>
        </w:rPr>
        <w:t xml:space="preserve">its </w:t>
      </w:r>
      <w:r w:rsidR="008A614E" w:rsidRPr="00FE2D31">
        <w:rPr>
          <w:bCs/>
          <w:sz w:val="28"/>
          <w:szCs w:val="28"/>
        </w:rPr>
        <w:t>operations</w:t>
      </w:r>
      <w:r w:rsidR="00C4659F" w:rsidRPr="00FE2D31">
        <w:rPr>
          <w:bCs/>
          <w:sz w:val="28"/>
          <w:szCs w:val="28"/>
        </w:rPr>
        <w:t xml:space="preserve">, </w:t>
      </w:r>
      <w:r w:rsidR="00221770" w:rsidRPr="00FE2D31">
        <w:rPr>
          <w:bCs/>
          <w:sz w:val="28"/>
          <w:szCs w:val="28"/>
        </w:rPr>
        <w:t>these were</w:t>
      </w:r>
      <w:r w:rsidR="00C4659F" w:rsidRPr="00FE2D31">
        <w:rPr>
          <w:bCs/>
          <w:sz w:val="28"/>
          <w:szCs w:val="28"/>
        </w:rPr>
        <w:t xml:space="preserve"> </w:t>
      </w:r>
      <w:r w:rsidR="008A614E" w:rsidRPr="00FE2D31">
        <w:rPr>
          <w:bCs/>
          <w:sz w:val="28"/>
          <w:szCs w:val="28"/>
        </w:rPr>
        <w:t>only for</w:t>
      </w:r>
      <w:r w:rsidR="00C36081" w:rsidRPr="00FE2D31">
        <w:rPr>
          <w:bCs/>
          <w:sz w:val="28"/>
          <w:szCs w:val="28"/>
        </w:rPr>
        <w:t xml:space="preserve"> prospecting</w:t>
      </w:r>
      <w:r w:rsidR="008A614E" w:rsidRPr="00FE2D31">
        <w:rPr>
          <w:bCs/>
          <w:sz w:val="28"/>
          <w:szCs w:val="28"/>
        </w:rPr>
        <w:t xml:space="preserve"> purposes</w:t>
      </w:r>
      <w:r w:rsidR="00C36081" w:rsidRPr="00FE2D31">
        <w:rPr>
          <w:bCs/>
          <w:sz w:val="28"/>
          <w:szCs w:val="28"/>
        </w:rPr>
        <w:t>.</w:t>
      </w:r>
      <w:r w:rsidR="00820816" w:rsidRPr="00FE2D31">
        <w:rPr>
          <w:bCs/>
          <w:sz w:val="28"/>
          <w:szCs w:val="28"/>
        </w:rPr>
        <w:t xml:space="preserve"> To this end, it alleged that it had employed 85 people and had invested in excess of R100 million in such prospecting activities.</w:t>
      </w:r>
      <w:r w:rsidR="00C36081" w:rsidRPr="00FE2D31">
        <w:rPr>
          <w:bCs/>
          <w:sz w:val="28"/>
          <w:szCs w:val="28"/>
        </w:rPr>
        <w:t xml:space="preserve"> </w:t>
      </w:r>
    </w:p>
    <w:p w14:paraId="485386D8" w14:textId="77777777" w:rsidR="00F90A1D" w:rsidRPr="00FE2D31" w:rsidRDefault="00F90A1D" w:rsidP="00DC0CF6">
      <w:pPr>
        <w:rPr>
          <w:sz w:val="28"/>
          <w:szCs w:val="28"/>
        </w:rPr>
      </w:pPr>
    </w:p>
    <w:p w14:paraId="4768DA52" w14:textId="147921E3" w:rsidR="001775A1" w:rsidRPr="00FE2D31" w:rsidRDefault="00042474" w:rsidP="00042474">
      <w:pPr>
        <w:tabs>
          <w:tab w:val="left" w:pos="0"/>
        </w:tabs>
        <w:rPr>
          <w:sz w:val="28"/>
          <w:szCs w:val="28"/>
        </w:rPr>
      </w:pPr>
      <w:r w:rsidRPr="00FE2D31">
        <w:rPr>
          <w:sz w:val="28"/>
          <w:szCs w:val="28"/>
        </w:rPr>
        <w:t>[7]</w:t>
      </w:r>
      <w:r w:rsidRPr="00FE2D31">
        <w:rPr>
          <w:sz w:val="28"/>
          <w:szCs w:val="28"/>
        </w:rPr>
        <w:tab/>
      </w:r>
      <w:r w:rsidR="001775A1" w:rsidRPr="00FE2D31">
        <w:rPr>
          <w:sz w:val="28"/>
          <w:szCs w:val="28"/>
        </w:rPr>
        <w:t>Th</w:t>
      </w:r>
      <w:r w:rsidR="00C4659F" w:rsidRPr="00FE2D31">
        <w:rPr>
          <w:sz w:val="28"/>
          <w:szCs w:val="28"/>
        </w:rPr>
        <w:t>e application</w:t>
      </w:r>
      <w:r w:rsidR="001775A1" w:rsidRPr="00FE2D31">
        <w:rPr>
          <w:sz w:val="28"/>
          <w:szCs w:val="28"/>
        </w:rPr>
        <w:t xml:space="preserve"> served before Neukircher J who</w:t>
      </w:r>
      <w:r w:rsidR="0025454C" w:rsidRPr="00FE2D31">
        <w:rPr>
          <w:sz w:val="28"/>
          <w:szCs w:val="28"/>
        </w:rPr>
        <w:t xml:space="preserve"> </w:t>
      </w:r>
      <w:r w:rsidR="00C4659F" w:rsidRPr="00FE2D31">
        <w:rPr>
          <w:sz w:val="28"/>
          <w:szCs w:val="28"/>
        </w:rPr>
        <w:t xml:space="preserve">on 1 July 2019, having </w:t>
      </w:r>
      <w:r w:rsidR="00820816" w:rsidRPr="00FE2D31">
        <w:rPr>
          <w:sz w:val="28"/>
          <w:szCs w:val="28"/>
        </w:rPr>
        <w:t xml:space="preserve">found </w:t>
      </w:r>
      <w:r w:rsidR="0025454C" w:rsidRPr="00FE2D31">
        <w:rPr>
          <w:sz w:val="28"/>
          <w:szCs w:val="28"/>
        </w:rPr>
        <w:t>in Samancor</w:t>
      </w:r>
      <w:r w:rsidR="00C4659F" w:rsidRPr="00FE2D31">
        <w:rPr>
          <w:sz w:val="28"/>
          <w:szCs w:val="28"/>
        </w:rPr>
        <w:t>’s</w:t>
      </w:r>
      <w:r w:rsidR="0025454C" w:rsidRPr="00FE2D31">
        <w:rPr>
          <w:sz w:val="28"/>
          <w:szCs w:val="28"/>
        </w:rPr>
        <w:t xml:space="preserve"> favour,</w:t>
      </w:r>
      <w:r w:rsidR="001775A1" w:rsidRPr="00FE2D31">
        <w:rPr>
          <w:sz w:val="28"/>
          <w:szCs w:val="28"/>
        </w:rPr>
        <w:t xml:space="preserve"> </w:t>
      </w:r>
      <w:r w:rsidR="00C4659F" w:rsidRPr="00FE2D31">
        <w:rPr>
          <w:sz w:val="28"/>
          <w:szCs w:val="28"/>
        </w:rPr>
        <w:t>granted the following order</w:t>
      </w:r>
      <w:r w:rsidR="001775A1" w:rsidRPr="00FE2D31">
        <w:rPr>
          <w:sz w:val="28"/>
          <w:szCs w:val="28"/>
        </w:rPr>
        <w:t>:</w:t>
      </w:r>
    </w:p>
    <w:p w14:paraId="1C8C4B11" w14:textId="77777777" w:rsidR="001775A1" w:rsidRPr="00FE2D31" w:rsidRDefault="001775A1" w:rsidP="001775A1">
      <w:pPr>
        <w:pStyle w:val="ListParagraph"/>
        <w:ind w:left="0"/>
      </w:pPr>
      <w:r w:rsidRPr="00FE2D31">
        <w:rPr>
          <w:sz w:val="28"/>
          <w:szCs w:val="28"/>
        </w:rPr>
        <w:t>‘</w:t>
      </w:r>
      <w:r w:rsidRPr="00FE2D31">
        <w:t>1. In respect of the remaining extent of Portion 2 of the farm Elandskraal 469 JQ North West Province:</w:t>
      </w:r>
      <w:r w:rsidR="00CC42F2" w:rsidRPr="00FE2D31">
        <w:t xml:space="preserve"> </w:t>
      </w:r>
    </w:p>
    <w:p w14:paraId="4D288565" w14:textId="5D3D51D4" w:rsidR="00CC42F2" w:rsidRPr="00FE2D31" w:rsidRDefault="00042474" w:rsidP="00042474">
      <w:pPr>
        <w:ind w:left="370" w:hanging="370"/>
      </w:pPr>
      <w:r w:rsidRPr="00FE2D31">
        <w:t>1.1</w:t>
      </w:r>
      <w:r w:rsidRPr="00FE2D31">
        <w:tab/>
      </w:r>
      <w:r w:rsidR="006B2DFE" w:rsidRPr="00FE2D31">
        <w:t xml:space="preserve"> [Bila]</w:t>
      </w:r>
      <w:r w:rsidR="00CC42F2" w:rsidRPr="00FE2D31">
        <w:t>, its employees and contractors are interdicted and restrained from conducting, facilitating or being involved in any manner whatsoever in mining operations on this property;</w:t>
      </w:r>
    </w:p>
    <w:p w14:paraId="269252B4" w14:textId="263872C9" w:rsidR="0058207A" w:rsidRPr="00FE2D31" w:rsidRDefault="00042474" w:rsidP="00042474">
      <w:pPr>
        <w:ind w:left="370" w:hanging="370"/>
      </w:pPr>
      <w:r w:rsidRPr="00FE2D31">
        <w:t>1.2</w:t>
      </w:r>
      <w:r w:rsidRPr="00FE2D31">
        <w:tab/>
      </w:r>
      <w:r w:rsidR="006B2DFE" w:rsidRPr="00FE2D31">
        <w:t>[Bila]</w:t>
      </w:r>
      <w:r w:rsidR="0058207A" w:rsidRPr="00FE2D31">
        <w:t>, its employees and contractors are interdicted and restrained from the removal of any material containing chrome or chrome ore or other minerals from this property outside of that allowed by its prospecting right.</w:t>
      </w:r>
    </w:p>
    <w:p w14:paraId="567B8327" w14:textId="77777777" w:rsidR="0058207A" w:rsidRPr="00FE2D31" w:rsidRDefault="005F2B36" w:rsidP="00DC0CF6">
      <w:r w:rsidRPr="00FE2D31">
        <w:t xml:space="preserve">2. </w:t>
      </w:r>
      <w:r w:rsidR="0058207A" w:rsidRPr="00FE2D31">
        <w:t>In respect of Portion 154</w:t>
      </w:r>
      <w:r w:rsidR="00E7768C" w:rsidRPr="00FE2D31">
        <w:t xml:space="preserve"> of the Farm Elandskraal 469 JQ North West Province:</w:t>
      </w:r>
    </w:p>
    <w:p w14:paraId="5B635F1C" w14:textId="0DFCFF92" w:rsidR="00E7768C" w:rsidRPr="00FE2D31" w:rsidRDefault="00042474" w:rsidP="00042474">
      <w:pPr>
        <w:tabs>
          <w:tab w:val="left" w:pos="0"/>
        </w:tabs>
        <w:ind w:left="360" w:hanging="360"/>
      </w:pPr>
      <w:r w:rsidRPr="00FE2D31">
        <w:lastRenderedPageBreak/>
        <w:t>2.1</w:t>
      </w:r>
      <w:r w:rsidRPr="00FE2D31">
        <w:tab/>
      </w:r>
      <w:r w:rsidR="006B2DFE" w:rsidRPr="00FE2D31">
        <w:t>[Bila]</w:t>
      </w:r>
      <w:r w:rsidR="00E7768C" w:rsidRPr="00FE2D31">
        <w:t xml:space="preserve">, its employees and contractors are interdicted and restrained from conducting, facilitating or being involved in any manner whatsoever in mining operations, including blasting activities, or the removal of any material containing chrome or chrom[e] ore or other minerals from </w:t>
      </w:r>
      <w:r w:rsidR="006B2DFE" w:rsidRPr="00FE2D31">
        <w:t>[Samancor</w:t>
      </w:r>
      <w:r w:rsidR="005F2B36" w:rsidRPr="00FE2D31">
        <w:t>’s</w:t>
      </w:r>
      <w:r w:rsidR="006B2DFE" w:rsidRPr="00FE2D31">
        <w:t>]</w:t>
      </w:r>
      <w:r w:rsidR="00E7768C" w:rsidRPr="00FE2D31">
        <w:t xml:space="preserve"> mining area on this property;</w:t>
      </w:r>
    </w:p>
    <w:p w14:paraId="0E449D40" w14:textId="147E5ADC" w:rsidR="00E7768C" w:rsidRPr="00FE2D31" w:rsidRDefault="00042474" w:rsidP="00042474">
      <w:pPr>
        <w:ind w:left="360" w:hanging="360"/>
      </w:pPr>
      <w:r w:rsidRPr="00FE2D31">
        <w:t>2.2</w:t>
      </w:r>
      <w:r w:rsidRPr="00FE2D31">
        <w:tab/>
      </w:r>
      <w:r w:rsidR="006B2DFE" w:rsidRPr="00FE2D31">
        <w:t xml:space="preserve">[Bila] </w:t>
      </w:r>
      <w:r w:rsidR="00E7768C" w:rsidRPr="00FE2D31">
        <w:t xml:space="preserve">is ordered to vacate this property together with its employees, contractors, equipment and machinery within </w:t>
      </w:r>
      <w:r w:rsidR="00C6178C" w:rsidRPr="00FE2D31">
        <w:t xml:space="preserve">5 </w:t>
      </w:r>
      <w:r w:rsidR="00E7768C" w:rsidRPr="00FE2D31">
        <w:t>days</w:t>
      </w:r>
      <w:r w:rsidR="00C6178C" w:rsidRPr="00FE2D31">
        <w:t xml:space="preserve"> of the date on which this order is served [o]n it;</w:t>
      </w:r>
    </w:p>
    <w:p w14:paraId="79515F30" w14:textId="29C92A57" w:rsidR="00C6178C" w:rsidRPr="00FE2D31" w:rsidRDefault="00042474" w:rsidP="00042474">
      <w:pPr>
        <w:ind w:left="360" w:hanging="360"/>
      </w:pPr>
      <w:r w:rsidRPr="00FE2D31">
        <w:t>2.3</w:t>
      </w:r>
      <w:r w:rsidRPr="00FE2D31">
        <w:tab/>
      </w:r>
      <w:r w:rsidR="00452BE5" w:rsidRPr="00FE2D31">
        <w:t>[</w:t>
      </w:r>
      <w:r w:rsidR="006B2DFE" w:rsidRPr="00FE2D31">
        <w:t xml:space="preserve">Bila] </w:t>
      </w:r>
      <w:r w:rsidR="00C6178C" w:rsidRPr="00FE2D31">
        <w:t>is interdicted and restrained from entering onto this property;</w:t>
      </w:r>
    </w:p>
    <w:p w14:paraId="41BDA475" w14:textId="43BB5A83" w:rsidR="00C6178C" w:rsidRPr="00FE2D31" w:rsidRDefault="00042474" w:rsidP="00042474">
      <w:pPr>
        <w:ind w:left="360" w:hanging="360"/>
      </w:pPr>
      <w:r w:rsidRPr="00FE2D31">
        <w:t>2.4</w:t>
      </w:r>
      <w:r w:rsidRPr="00FE2D31">
        <w:tab/>
      </w:r>
      <w:r w:rsidR="006B2DFE" w:rsidRPr="00FE2D31">
        <w:t xml:space="preserve">[Bila] </w:t>
      </w:r>
      <w:r w:rsidR="00C6178C" w:rsidRPr="00FE2D31">
        <w:t>is directed to return to</w:t>
      </w:r>
      <w:r w:rsidR="006B2DFE" w:rsidRPr="00FE2D31">
        <w:t xml:space="preserve"> [Samancor]</w:t>
      </w:r>
      <w:r w:rsidR="00C6178C" w:rsidRPr="00FE2D31">
        <w:t xml:space="preserve">, within 10 days of service of this order on it, any mineral and/or material containing chrome or chrome ore which it </w:t>
      </w:r>
      <w:r w:rsidR="00647E46" w:rsidRPr="00FE2D31">
        <w:t>has</w:t>
      </w:r>
      <w:r w:rsidR="00C6178C" w:rsidRPr="00FE2D31">
        <w:t xml:space="preserve"> removed from this property;</w:t>
      </w:r>
    </w:p>
    <w:p w14:paraId="235AE543" w14:textId="0E9C50DC" w:rsidR="00C6178C" w:rsidRPr="00FE2D31" w:rsidRDefault="00042474" w:rsidP="00042474">
      <w:r w:rsidRPr="00FE2D31">
        <w:t>2.5</w:t>
      </w:r>
      <w:r w:rsidRPr="00FE2D31">
        <w:tab/>
      </w:r>
      <w:r w:rsidR="00C6178C" w:rsidRPr="00FE2D31">
        <w:t>the second respondent</w:t>
      </w:r>
      <w:r w:rsidR="006B2DFE" w:rsidRPr="00FE2D31">
        <w:t xml:space="preserve"> [the Sheriff]</w:t>
      </w:r>
      <w:r w:rsidR="00C6178C" w:rsidRPr="00FE2D31">
        <w:t xml:space="preserve"> is authorised and directed to give effect to the order set out in paragraph 2 by:</w:t>
      </w:r>
    </w:p>
    <w:p w14:paraId="7119FD20" w14:textId="32D7AE96" w:rsidR="00C6178C" w:rsidRPr="00FE2D31" w:rsidRDefault="00647E46" w:rsidP="00DC0CF6">
      <w:pPr>
        <w:ind w:left="720" w:hanging="720"/>
      </w:pPr>
      <w:r w:rsidRPr="00FE2D31">
        <w:t>i</w:t>
      </w:r>
      <w:r w:rsidRPr="00FE2D31">
        <w:tab/>
      </w:r>
      <w:r w:rsidR="00C6178C" w:rsidRPr="00FE2D31">
        <w:t>removing</w:t>
      </w:r>
      <w:r w:rsidR="006B2DFE" w:rsidRPr="00FE2D31">
        <w:t xml:space="preserve"> [Bila]</w:t>
      </w:r>
      <w:r w:rsidR="00C6178C" w:rsidRPr="00FE2D31">
        <w:t xml:space="preserve">, its employees and contractors and any trucks, vehicles, mining equipment or any other equipment reasonably suspected of being used </w:t>
      </w:r>
      <w:r w:rsidRPr="00FE2D31">
        <w:t xml:space="preserve">or intended to be used </w:t>
      </w:r>
      <w:r w:rsidR="00C6178C" w:rsidRPr="00FE2D31">
        <w:t>for conducting, facilitating or being involved in any man[n]er whatsoever in mining or blasting activities or the unlawful removal of any chrome or chrom[e] ore on this property;</w:t>
      </w:r>
    </w:p>
    <w:p w14:paraId="0D10A0E6" w14:textId="1751713C" w:rsidR="00C6178C" w:rsidRPr="00FE2D31" w:rsidRDefault="00C6178C" w:rsidP="00DC0CF6">
      <w:pPr>
        <w:ind w:left="720" w:hanging="720"/>
      </w:pPr>
      <w:r w:rsidRPr="00FE2D31">
        <w:t>ii</w:t>
      </w:r>
      <w:r w:rsidR="00647E46" w:rsidRPr="00FE2D31">
        <w:tab/>
      </w:r>
      <w:r w:rsidRPr="00FE2D31">
        <w:t xml:space="preserve">preventing all trucks and other vehicles reasonably suspected of being used or intended to be used for conducting, facilitating or being involved in any manner whatsoever in the unlawful removal of any chrome </w:t>
      </w:r>
      <w:r w:rsidR="00647E46" w:rsidRPr="00FE2D31">
        <w:t xml:space="preserve">or </w:t>
      </w:r>
      <w:r w:rsidRPr="00FE2D31">
        <w:t>chrome ore from this property, from entering this property;</w:t>
      </w:r>
    </w:p>
    <w:p w14:paraId="51F95D2A" w14:textId="2A71BBE0" w:rsidR="00141E25" w:rsidRPr="00FE2D31" w:rsidRDefault="00C6178C" w:rsidP="00DC0CF6">
      <w:pPr>
        <w:ind w:left="720" w:hanging="720"/>
      </w:pPr>
      <w:r w:rsidRPr="00FE2D31">
        <w:t>iii</w:t>
      </w:r>
      <w:r w:rsidR="00647E46" w:rsidRPr="00FE2D31">
        <w:tab/>
      </w:r>
      <w:r w:rsidRPr="00FE2D31">
        <w:t xml:space="preserve">preventing </w:t>
      </w:r>
      <w:r w:rsidR="006B2DFE" w:rsidRPr="00FE2D31">
        <w:t xml:space="preserve">[Bila] </w:t>
      </w:r>
      <w:r w:rsidR="00141E25" w:rsidRPr="00FE2D31">
        <w:t xml:space="preserve">from conducting any mining operations including blasting activities on, or the removal of any material containing chrome or chrome ore or any other minerals from </w:t>
      </w:r>
      <w:r w:rsidR="006B2DFE" w:rsidRPr="00FE2D31">
        <w:t xml:space="preserve">[Samancor’s] </w:t>
      </w:r>
      <w:r w:rsidR="00141E25" w:rsidRPr="00FE2D31">
        <w:t>mining areas situated on this property;</w:t>
      </w:r>
    </w:p>
    <w:p w14:paraId="6677E447" w14:textId="6841593D" w:rsidR="00141E25" w:rsidRPr="00FE2D31" w:rsidRDefault="00141E25" w:rsidP="003E691F">
      <w:r w:rsidRPr="00FE2D31">
        <w:t>iv</w:t>
      </w:r>
      <w:r w:rsidR="00647E46" w:rsidRPr="00FE2D31">
        <w:tab/>
      </w:r>
      <w:r w:rsidRPr="00FE2D31">
        <w:t xml:space="preserve">preventing </w:t>
      </w:r>
      <w:r w:rsidR="006B2DFE" w:rsidRPr="00FE2D31">
        <w:t xml:space="preserve">[Bila] </w:t>
      </w:r>
      <w:r w:rsidRPr="00FE2D31">
        <w:t>from entering this property.</w:t>
      </w:r>
    </w:p>
    <w:p w14:paraId="0865C3D4" w14:textId="2A6BFB60" w:rsidR="001775A1" w:rsidRPr="00FE2D31" w:rsidRDefault="00141E25" w:rsidP="00DC0CF6">
      <w:pPr>
        <w:rPr>
          <w:sz w:val="28"/>
          <w:szCs w:val="28"/>
        </w:rPr>
      </w:pPr>
      <w:r w:rsidRPr="00FE2D31">
        <w:t xml:space="preserve">3. </w:t>
      </w:r>
      <w:r w:rsidR="006B2DFE" w:rsidRPr="00FE2D31">
        <w:t xml:space="preserve">[Bila] </w:t>
      </w:r>
      <w:r w:rsidRPr="00FE2D31">
        <w:t>is ordered to pay the costs of this application.</w:t>
      </w:r>
      <w:r w:rsidR="00452BE5" w:rsidRPr="00FE2D31">
        <w:t>’</w:t>
      </w:r>
      <w:r w:rsidR="00452BE5" w:rsidRPr="00FE2D31">
        <w:rPr>
          <w:sz w:val="28"/>
          <w:szCs w:val="28"/>
        </w:rPr>
        <w:t xml:space="preserve"> </w:t>
      </w:r>
    </w:p>
    <w:p w14:paraId="0B9762CD" w14:textId="77777777" w:rsidR="007C5094" w:rsidRPr="00FE2D31" w:rsidRDefault="007C5094" w:rsidP="00DC0CF6">
      <w:pPr>
        <w:rPr>
          <w:sz w:val="28"/>
          <w:szCs w:val="28"/>
        </w:rPr>
      </w:pPr>
    </w:p>
    <w:p w14:paraId="5374FC23" w14:textId="0244526B" w:rsidR="00BC744A" w:rsidRPr="00FE2D31" w:rsidRDefault="00042474" w:rsidP="00042474">
      <w:pPr>
        <w:tabs>
          <w:tab w:val="left" w:pos="0"/>
        </w:tabs>
        <w:rPr>
          <w:sz w:val="28"/>
          <w:szCs w:val="28"/>
        </w:rPr>
      </w:pPr>
      <w:r w:rsidRPr="00FE2D31">
        <w:rPr>
          <w:sz w:val="28"/>
          <w:szCs w:val="28"/>
        </w:rPr>
        <w:t>[8]</w:t>
      </w:r>
      <w:r w:rsidRPr="00FE2D31">
        <w:rPr>
          <w:sz w:val="28"/>
          <w:szCs w:val="28"/>
        </w:rPr>
        <w:tab/>
      </w:r>
      <w:r w:rsidR="007029B6" w:rsidRPr="00FE2D31">
        <w:rPr>
          <w:bCs/>
          <w:sz w:val="28"/>
          <w:szCs w:val="28"/>
        </w:rPr>
        <w:t>Subsequent to this order</w:t>
      </w:r>
      <w:r w:rsidR="00C91A02" w:rsidRPr="00FE2D31">
        <w:rPr>
          <w:bCs/>
          <w:sz w:val="28"/>
          <w:szCs w:val="28"/>
        </w:rPr>
        <w:t>, on</w:t>
      </w:r>
      <w:r w:rsidR="007029B6" w:rsidRPr="00FE2D31">
        <w:rPr>
          <w:sz w:val="28"/>
          <w:szCs w:val="28"/>
        </w:rPr>
        <w:t xml:space="preserve"> </w:t>
      </w:r>
      <w:r w:rsidR="00237B29" w:rsidRPr="00FE2D31">
        <w:rPr>
          <w:sz w:val="28"/>
          <w:szCs w:val="28"/>
        </w:rPr>
        <w:t xml:space="preserve">8 </w:t>
      </w:r>
      <w:r w:rsidR="007029B6" w:rsidRPr="00FE2D31">
        <w:rPr>
          <w:sz w:val="28"/>
          <w:szCs w:val="28"/>
        </w:rPr>
        <w:t xml:space="preserve">September 2019, Samancor launched an urgent application before the </w:t>
      </w:r>
      <w:r w:rsidR="007029B6" w:rsidRPr="00FE2D31">
        <w:rPr>
          <w:bCs/>
          <w:sz w:val="28"/>
          <w:szCs w:val="28"/>
        </w:rPr>
        <w:t>high court</w:t>
      </w:r>
      <w:r w:rsidR="00001536" w:rsidRPr="00FE2D31">
        <w:rPr>
          <w:bCs/>
          <w:sz w:val="28"/>
          <w:szCs w:val="28"/>
        </w:rPr>
        <w:t xml:space="preserve"> against Bila and its directors, </w:t>
      </w:r>
      <w:r w:rsidR="00BC744A" w:rsidRPr="00FE2D31">
        <w:rPr>
          <w:bCs/>
          <w:sz w:val="28"/>
          <w:szCs w:val="28"/>
        </w:rPr>
        <w:t xml:space="preserve">ie </w:t>
      </w:r>
      <w:r w:rsidR="00001536" w:rsidRPr="00FE2D31">
        <w:rPr>
          <w:bCs/>
          <w:sz w:val="28"/>
          <w:szCs w:val="28"/>
        </w:rPr>
        <w:t xml:space="preserve">the </w:t>
      </w:r>
      <w:r w:rsidR="00001536" w:rsidRPr="00FE2D31">
        <w:rPr>
          <w:bCs/>
          <w:sz w:val="28"/>
          <w:szCs w:val="28"/>
        </w:rPr>
        <w:lastRenderedPageBreak/>
        <w:t>second to fifth respondents, who were not parties before Neukircher J</w:t>
      </w:r>
      <w:r w:rsidR="00BC744A" w:rsidRPr="00FE2D31">
        <w:rPr>
          <w:bCs/>
          <w:sz w:val="28"/>
          <w:szCs w:val="28"/>
        </w:rPr>
        <w:t xml:space="preserve">. It sought </w:t>
      </w:r>
      <w:r w:rsidR="007029B6" w:rsidRPr="00FE2D31">
        <w:rPr>
          <w:bCs/>
          <w:sz w:val="28"/>
          <w:szCs w:val="28"/>
        </w:rPr>
        <w:t>an order: (a) joining th</w:t>
      </w:r>
      <w:r w:rsidR="00965F4E" w:rsidRPr="00FE2D31">
        <w:rPr>
          <w:bCs/>
          <w:sz w:val="28"/>
          <w:szCs w:val="28"/>
        </w:rPr>
        <w:t>e</w:t>
      </w:r>
      <w:r w:rsidR="00475D86" w:rsidRPr="00FE2D31">
        <w:rPr>
          <w:bCs/>
          <w:sz w:val="28"/>
          <w:szCs w:val="28"/>
        </w:rPr>
        <w:t xml:space="preserve"> second to fifth</w:t>
      </w:r>
      <w:r w:rsidR="00001536" w:rsidRPr="00FE2D31">
        <w:rPr>
          <w:bCs/>
          <w:sz w:val="28"/>
          <w:szCs w:val="28"/>
        </w:rPr>
        <w:t xml:space="preserve"> respondents as parties </w:t>
      </w:r>
      <w:r w:rsidR="007029B6" w:rsidRPr="00FE2D31">
        <w:rPr>
          <w:bCs/>
          <w:sz w:val="28"/>
          <w:szCs w:val="28"/>
        </w:rPr>
        <w:t>in th</w:t>
      </w:r>
      <w:r w:rsidR="00001536" w:rsidRPr="00FE2D31">
        <w:rPr>
          <w:bCs/>
          <w:sz w:val="28"/>
          <w:szCs w:val="28"/>
        </w:rPr>
        <w:t>e</w:t>
      </w:r>
      <w:r w:rsidR="007029B6" w:rsidRPr="00FE2D31">
        <w:rPr>
          <w:bCs/>
          <w:sz w:val="28"/>
          <w:szCs w:val="28"/>
        </w:rPr>
        <w:t xml:space="preserve"> application; (b) declaring </w:t>
      </w:r>
      <w:r w:rsidR="00001536" w:rsidRPr="00FE2D31">
        <w:rPr>
          <w:bCs/>
          <w:sz w:val="28"/>
          <w:szCs w:val="28"/>
        </w:rPr>
        <w:t xml:space="preserve">that </w:t>
      </w:r>
      <w:r w:rsidR="007029B6" w:rsidRPr="00FE2D31">
        <w:rPr>
          <w:bCs/>
          <w:sz w:val="28"/>
          <w:szCs w:val="28"/>
        </w:rPr>
        <w:t xml:space="preserve">the respondents </w:t>
      </w:r>
      <w:r w:rsidR="00001536" w:rsidRPr="00FE2D31">
        <w:rPr>
          <w:bCs/>
          <w:sz w:val="28"/>
          <w:szCs w:val="28"/>
        </w:rPr>
        <w:t xml:space="preserve">were </w:t>
      </w:r>
      <w:r w:rsidR="007029B6" w:rsidRPr="00FE2D31">
        <w:rPr>
          <w:bCs/>
          <w:sz w:val="28"/>
          <w:szCs w:val="28"/>
        </w:rPr>
        <w:t xml:space="preserve">in contempt of the judgment and order granted by Neukircher J on 1 July 2019; (c) directing </w:t>
      </w:r>
      <w:r w:rsidR="00001536" w:rsidRPr="00FE2D31">
        <w:rPr>
          <w:bCs/>
          <w:sz w:val="28"/>
          <w:szCs w:val="28"/>
        </w:rPr>
        <w:t xml:space="preserve">that </w:t>
      </w:r>
      <w:r w:rsidR="00BC744A" w:rsidRPr="00FE2D31">
        <w:rPr>
          <w:bCs/>
          <w:sz w:val="28"/>
          <w:szCs w:val="28"/>
        </w:rPr>
        <w:t xml:space="preserve">each of </w:t>
      </w:r>
      <w:r w:rsidR="007029B6" w:rsidRPr="00FE2D31">
        <w:rPr>
          <w:bCs/>
          <w:sz w:val="28"/>
          <w:szCs w:val="28"/>
        </w:rPr>
        <w:t xml:space="preserve">the respondents pay a fine of R100 000, alternatively such other sum as the court considered appropriate and; (d) </w:t>
      </w:r>
      <w:r w:rsidR="00001536" w:rsidRPr="00FE2D31">
        <w:rPr>
          <w:bCs/>
          <w:sz w:val="28"/>
          <w:szCs w:val="28"/>
        </w:rPr>
        <w:t xml:space="preserve">that </w:t>
      </w:r>
      <w:r w:rsidR="007029B6" w:rsidRPr="00FE2D31">
        <w:rPr>
          <w:bCs/>
          <w:sz w:val="28"/>
          <w:szCs w:val="28"/>
        </w:rPr>
        <w:t>in the event</w:t>
      </w:r>
      <w:r w:rsidR="00001536" w:rsidRPr="00FE2D31">
        <w:rPr>
          <w:bCs/>
          <w:sz w:val="28"/>
          <w:szCs w:val="28"/>
        </w:rPr>
        <w:t xml:space="preserve"> that </w:t>
      </w:r>
      <w:r w:rsidR="007029B6" w:rsidRPr="00FE2D31">
        <w:rPr>
          <w:bCs/>
          <w:sz w:val="28"/>
          <w:szCs w:val="28"/>
        </w:rPr>
        <w:t>any of the respondents fail</w:t>
      </w:r>
      <w:r w:rsidR="00001536" w:rsidRPr="00FE2D31">
        <w:rPr>
          <w:bCs/>
          <w:sz w:val="28"/>
          <w:szCs w:val="28"/>
        </w:rPr>
        <w:t>ed</w:t>
      </w:r>
      <w:r w:rsidR="007029B6" w:rsidRPr="00FE2D31">
        <w:rPr>
          <w:bCs/>
          <w:sz w:val="28"/>
          <w:szCs w:val="28"/>
        </w:rPr>
        <w:t xml:space="preserve"> to comply with the order sought or continue</w:t>
      </w:r>
      <w:r w:rsidR="00001536" w:rsidRPr="00FE2D31">
        <w:rPr>
          <w:bCs/>
          <w:sz w:val="28"/>
          <w:szCs w:val="28"/>
        </w:rPr>
        <w:t>d</w:t>
      </w:r>
      <w:r w:rsidR="007029B6" w:rsidRPr="00FE2D31">
        <w:rPr>
          <w:bCs/>
          <w:sz w:val="28"/>
          <w:szCs w:val="28"/>
        </w:rPr>
        <w:t xml:space="preserve"> to act in breach of the order, that such respondent be committed to prison for a period of 90 days</w:t>
      </w:r>
      <w:r w:rsidR="00001536" w:rsidRPr="00FE2D31">
        <w:rPr>
          <w:bCs/>
          <w:sz w:val="28"/>
          <w:szCs w:val="28"/>
        </w:rPr>
        <w:t>,</w:t>
      </w:r>
      <w:r w:rsidR="007029B6" w:rsidRPr="00FE2D31">
        <w:rPr>
          <w:bCs/>
          <w:sz w:val="28"/>
          <w:szCs w:val="28"/>
        </w:rPr>
        <w:t xml:space="preserve"> alternatively such other period as the court deemed appropriate.</w:t>
      </w:r>
    </w:p>
    <w:p w14:paraId="2704E59D" w14:textId="77777777" w:rsidR="00BC744A" w:rsidRPr="00FE2D31" w:rsidRDefault="00BC744A" w:rsidP="00BC744A">
      <w:pPr>
        <w:tabs>
          <w:tab w:val="left" w:pos="0"/>
        </w:tabs>
        <w:rPr>
          <w:sz w:val="28"/>
          <w:szCs w:val="28"/>
        </w:rPr>
      </w:pPr>
    </w:p>
    <w:p w14:paraId="43165F87" w14:textId="166A2CC6" w:rsidR="007029B6" w:rsidRPr="00FE2D31" w:rsidRDefault="00042474" w:rsidP="00042474">
      <w:pPr>
        <w:tabs>
          <w:tab w:val="left" w:pos="0"/>
        </w:tabs>
        <w:rPr>
          <w:sz w:val="28"/>
          <w:szCs w:val="28"/>
        </w:rPr>
      </w:pPr>
      <w:r w:rsidRPr="00FE2D31">
        <w:rPr>
          <w:sz w:val="28"/>
          <w:szCs w:val="28"/>
        </w:rPr>
        <w:t>[9]</w:t>
      </w:r>
      <w:r w:rsidRPr="00FE2D31">
        <w:rPr>
          <w:sz w:val="28"/>
          <w:szCs w:val="28"/>
        </w:rPr>
        <w:tab/>
      </w:r>
      <w:r w:rsidR="007029B6" w:rsidRPr="00FE2D31">
        <w:rPr>
          <w:bCs/>
          <w:sz w:val="28"/>
          <w:szCs w:val="28"/>
        </w:rPr>
        <w:t xml:space="preserve">A further order, which is not relevant </w:t>
      </w:r>
      <w:r w:rsidR="00001536" w:rsidRPr="00FE2D31">
        <w:rPr>
          <w:bCs/>
          <w:sz w:val="28"/>
          <w:szCs w:val="28"/>
        </w:rPr>
        <w:t xml:space="preserve">to </w:t>
      </w:r>
      <w:r w:rsidR="007029B6" w:rsidRPr="00FE2D31">
        <w:rPr>
          <w:bCs/>
          <w:sz w:val="28"/>
          <w:szCs w:val="28"/>
        </w:rPr>
        <w:t>this appeal</w:t>
      </w:r>
      <w:r w:rsidR="00001536" w:rsidRPr="00FE2D31">
        <w:rPr>
          <w:bCs/>
          <w:sz w:val="28"/>
          <w:szCs w:val="28"/>
        </w:rPr>
        <w:t xml:space="preserve"> was </w:t>
      </w:r>
      <w:r w:rsidR="009A3853" w:rsidRPr="00FE2D31">
        <w:rPr>
          <w:bCs/>
          <w:sz w:val="28"/>
          <w:szCs w:val="28"/>
        </w:rPr>
        <w:t xml:space="preserve">also </w:t>
      </w:r>
      <w:r w:rsidR="00001536" w:rsidRPr="00FE2D31">
        <w:rPr>
          <w:bCs/>
          <w:sz w:val="28"/>
          <w:szCs w:val="28"/>
        </w:rPr>
        <w:t>sought</w:t>
      </w:r>
      <w:r w:rsidR="007029B6" w:rsidRPr="00FE2D31">
        <w:rPr>
          <w:bCs/>
          <w:sz w:val="28"/>
          <w:szCs w:val="28"/>
        </w:rPr>
        <w:t xml:space="preserve"> in terms of s 18(1) of the Superior Courts Act 10 of 2013</w:t>
      </w:r>
      <w:r w:rsidR="009A3853" w:rsidRPr="00FE2D31">
        <w:rPr>
          <w:bCs/>
          <w:sz w:val="28"/>
          <w:szCs w:val="28"/>
        </w:rPr>
        <w:t xml:space="preserve"> (Superior Courts Act)</w:t>
      </w:r>
      <w:r w:rsidR="00001536" w:rsidRPr="00FE2D31">
        <w:rPr>
          <w:bCs/>
          <w:sz w:val="28"/>
          <w:szCs w:val="28"/>
        </w:rPr>
        <w:t xml:space="preserve">, for the immediate enforcement and operation of the relevant parts of Neukircher J’s order. </w:t>
      </w:r>
    </w:p>
    <w:p w14:paraId="4C5B8AC5" w14:textId="77777777" w:rsidR="007029B6" w:rsidRPr="00FE2D31" w:rsidRDefault="007029B6" w:rsidP="007029B6">
      <w:pPr>
        <w:tabs>
          <w:tab w:val="left" w:pos="0"/>
        </w:tabs>
        <w:rPr>
          <w:sz w:val="28"/>
          <w:szCs w:val="28"/>
        </w:rPr>
      </w:pPr>
    </w:p>
    <w:p w14:paraId="6EE78167" w14:textId="2B487982" w:rsidR="007029B6" w:rsidRPr="00FE2D31" w:rsidRDefault="00042474" w:rsidP="00042474">
      <w:pPr>
        <w:tabs>
          <w:tab w:val="left" w:pos="0"/>
        </w:tabs>
        <w:rPr>
          <w:sz w:val="28"/>
          <w:szCs w:val="28"/>
        </w:rPr>
      </w:pPr>
      <w:r w:rsidRPr="00FE2D31">
        <w:rPr>
          <w:sz w:val="28"/>
          <w:szCs w:val="28"/>
        </w:rPr>
        <w:t>[10]</w:t>
      </w:r>
      <w:r w:rsidRPr="00FE2D31">
        <w:rPr>
          <w:sz w:val="28"/>
          <w:szCs w:val="28"/>
        </w:rPr>
        <w:tab/>
      </w:r>
      <w:r w:rsidR="009A3853" w:rsidRPr="00FE2D31">
        <w:rPr>
          <w:sz w:val="28"/>
          <w:szCs w:val="28"/>
        </w:rPr>
        <w:t>In response</w:t>
      </w:r>
      <w:r w:rsidR="00965F4E" w:rsidRPr="00FE2D31">
        <w:rPr>
          <w:sz w:val="28"/>
          <w:szCs w:val="28"/>
        </w:rPr>
        <w:t xml:space="preserve"> to this application</w:t>
      </w:r>
      <w:r w:rsidR="00BC744A" w:rsidRPr="00FE2D31">
        <w:rPr>
          <w:sz w:val="28"/>
          <w:szCs w:val="28"/>
        </w:rPr>
        <w:t>,</w:t>
      </w:r>
      <w:r w:rsidR="009A3853" w:rsidRPr="00FE2D31">
        <w:rPr>
          <w:sz w:val="28"/>
          <w:szCs w:val="28"/>
        </w:rPr>
        <w:t xml:space="preserve"> a</w:t>
      </w:r>
      <w:r w:rsidR="00001536" w:rsidRPr="00FE2D31">
        <w:rPr>
          <w:sz w:val="28"/>
          <w:szCs w:val="28"/>
        </w:rPr>
        <w:t xml:space="preserve"> counter-application was filed together with </w:t>
      </w:r>
      <w:r w:rsidR="00BC744A" w:rsidRPr="00FE2D31">
        <w:rPr>
          <w:sz w:val="28"/>
          <w:szCs w:val="28"/>
        </w:rPr>
        <w:t xml:space="preserve">an </w:t>
      </w:r>
      <w:r w:rsidR="007029B6" w:rsidRPr="00FE2D31">
        <w:rPr>
          <w:sz w:val="28"/>
          <w:szCs w:val="28"/>
        </w:rPr>
        <w:t xml:space="preserve">answering </w:t>
      </w:r>
      <w:r w:rsidR="009A3853" w:rsidRPr="00FE2D31">
        <w:rPr>
          <w:sz w:val="28"/>
          <w:szCs w:val="28"/>
        </w:rPr>
        <w:t>affidavit for</w:t>
      </w:r>
      <w:r w:rsidR="00215233" w:rsidRPr="00FE2D31">
        <w:rPr>
          <w:sz w:val="28"/>
          <w:szCs w:val="28"/>
        </w:rPr>
        <w:t xml:space="preserve"> </w:t>
      </w:r>
      <w:r w:rsidR="007029B6" w:rsidRPr="00FE2D31">
        <w:rPr>
          <w:sz w:val="28"/>
          <w:szCs w:val="28"/>
        </w:rPr>
        <w:t xml:space="preserve">an order interdicting Samancor from conducting any mining operations on </w:t>
      </w:r>
      <w:r w:rsidR="00215233" w:rsidRPr="00FE2D31">
        <w:rPr>
          <w:sz w:val="28"/>
          <w:szCs w:val="28"/>
        </w:rPr>
        <w:t xml:space="preserve">RE </w:t>
      </w:r>
      <w:r w:rsidR="007029B6" w:rsidRPr="00FE2D31">
        <w:rPr>
          <w:sz w:val="28"/>
          <w:szCs w:val="28"/>
        </w:rPr>
        <w:t xml:space="preserve">Portion 2 pending </w:t>
      </w:r>
      <w:r w:rsidR="004556C6" w:rsidRPr="00FE2D31">
        <w:rPr>
          <w:sz w:val="28"/>
          <w:szCs w:val="28"/>
        </w:rPr>
        <w:t>the</w:t>
      </w:r>
      <w:r w:rsidR="00215233" w:rsidRPr="00FE2D31">
        <w:rPr>
          <w:sz w:val="28"/>
          <w:szCs w:val="28"/>
        </w:rPr>
        <w:t xml:space="preserve"> </w:t>
      </w:r>
      <w:r w:rsidR="007029B6" w:rsidRPr="00FE2D31">
        <w:rPr>
          <w:sz w:val="28"/>
          <w:szCs w:val="28"/>
        </w:rPr>
        <w:t xml:space="preserve">outcome </w:t>
      </w:r>
      <w:r w:rsidR="009A3853" w:rsidRPr="00FE2D31">
        <w:rPr>
          <w:sz w:val="28"/>
          <w:szCs w:val="28"/>
        </w:rPr>
        <w:t>of an appeal process that</w:t>
      </w:r>
      <w:r w:rsidR="007029B6" w:rsidRPr="00FE2D31">
        <w:rPr>
          <w:sz w:val="28"/>
          <w:szCs w:val="28"/>
        </w:rPr>
        <w:t xml:space="preserve"> </w:t>
      </w:r>
      <w:r w:rsidR="009A3853" w:rsidRPr="00FE2D31">
        <w:rPr>
          <w:sz w:val="28"/>
          <w:szCs w:val="28"/>
        </w:rPr>
        <w:t>Samancor</w:t>
      </w:r>
      <w:r w:rsidR="007029B6" w:rsidRPr="00FE2D31">
        <w:rPr>
          <w:sz w:val="28"/>
          <w:szCs w:val="28"/>
        </w:rPr>
        <w:t xml:space="preserve"> had lodged with the Department of Mineral Resources (the</w:t>
      </w:r>
      <w:r w:rsidR="00D73968" w:rsidRPr="00FE2D31">
        <w:rPr>
          <w:sz w:val="28"/>
          <w:szCs w:val="28"/>
        </w:rPr>
        <w:t xml:space="preserve"> DMR</w:t>
      </w:r>
      <w:r w:rsidR="007029B6" w:rsidRPr="00FE2D31">
        <w:rPr>
          <w:sz w:val="28"/>
          <w:szCs w:val="28"/>
        </w:rPr>
        <w:t xml:space="preserve">) regarding its decision to grant </w:t>
      </w:r>
      <w:r w:rsidR="00BC744A" w:rsidRPr="00FE2D31">
        <w:rPr>
          <w:sz w:val="28"/>
          <w:szCs w:val="28"/>
        </w:rPr>
        <w:t xml:space="preserve">a </w:t>
      </w:r>
      <w:r w:rsidR="007029B6" w:rsidRPr="00FE2D31">
        <w:rPr>
          <w:sz w:val="28"/>
          <w:szCs w:val="28"/>
        </w:rPr>
        <w:t>prospecting right to Bila.</w:t>
      </w:r>
    </w:p>
    <w:p w14:paraId="425C4474" w14:textId="77777777" w:rsidR="007029B6" w:rsidRPr="00FE2D31" w:rsidRDefault="007029B6" w:rsidP="007029B6">
      <w:pPr>
        <w:tabs>
          <w:tab w:val="left" w:pos="0"/>
        </w:tabs>
        <w:rPr>
          <w:sz w:val="28"/>
          <w:szCs w:val="28"/>
        </w:rPr>
      </w:pPr>
    </w:p>
    <w:p w14:paraId="68BAEFAE" w14:textId="0BFE0668" w:rsidR="007029B6" w:rsidRPr="00FE2D31" w:rsidRDefault="00042474" w:rsidP="00042474">
      <w:pPr>
        <w:tabs>
          <w:tab w:val="left" w:pos="0"/>
        </w:tabs>
        <w:rPr>
          <w:sz w:val="28"/>
          <w:szCs w:val="28"/>
        </w:rPr>
      </w:pPr>
      <w:r w:rsidRPr="00FE2D31">
        <w:rPr>
          <w:sz w:val="28"/>
          <w:szCs w:val="28"/>
        </w:rPr>
        <w:t>[11]</w:t>
      </w:r>
      <w:r w:rsidRPr="00FE2D31">
        <w:rPr>
          <w:sz w:val="28"/>
          <w:szCs w:val="28"/>
        </w:rPr>
        <w:tab/>
      </w:r>
      <w:r w:rsidR="00215233" w:rsidRPr="00FE2D31">
        <w:rPr>
          <w:bCs/>
          <w:sz w:val="28"/>
          <w:szCs w:val="28"/>
        </w:rPr>
        <w:t>Both applications</w:t>
      </w:r>
      <w:r w:rsidR="004912FE" w:rsidRPr="00FE2D31">
        <w:rPr>
          <w:bCs/>
          <w:sz w:val="28"/>
          <w:szCs w:val="28"/>
        </w:rPr>
        <w:t xml:space="preserve"> were argued</w:t>
      </w:r>
      <w:r w:rsidR="007029B6" w:rsidRPr="00FE2D31">
        <w:rPr>
          <w:bCs/>
          <w:sz w:val="28"/>
          <w:szCs w:val="28"/>
        </w:rPr>
        <w:t xml:space="preserve"> before Van der Westhuizen J</w:t>
      </w:r>
      <w:r w:rsidR="008B0A30" w:rsidRPr="00FE2D31">
        <w:rPr>
          <w:bCs/>
          <w:sz w:val="28"/>
          <w:szCs w:val="28"/>
        </w:rPr>
        <w:t>,</w:t>
      </w:r>
      <w:r w:rsidR="007029B6" w:rsidRPr="00FE2D31">
        <w:rPr>
          <w:bCs/>
          <w:sz w:val="28"/>
          <w:szCs w:val="28"/>
        </w:rPr>
        <w:t xml:space="preserve"> who</w:t>
      </w:r>
      <w:r w:rsidR="00237B29" w:rsidRPr="00FE2D31">
        <w:rPr>
          <w:bCs/>
          <w:sz w:val="28"/>
          <w:szCs w:val="28"/>
        </w:rPr>
        <w:t>, on 30 September 2019,</w:t>
      </w:r>
      <w:r w:rsidR="007029B6" w:rsidRPr="00FE2D31">
        <w:rPr>
          <w:bCs/>
          <w:sz w:val="28"/>
          <w:szCs w:val="28"/>
        </w:rPr>
        <w:t xml:space="preserve"> granted an order joining the second </w:t>
      </w:r>
      <w:r w:rsidR="00215233" w:rsidRPr="00FE2D31">
        <w:rPr>
          <w:bCs/>
          <w:sz w:val="28"/>
          <w:szCs w:val="28"/>
        </w:rPr>
        <w:t xml:space="preserve">to </w:t>
      </w:r>
      <w:r w:rsidR="007029B6" w:rsidRPr="00FE2D31">
        <w:rPr>
          <w:bCs/>
          <w:sz w:val="28"/>
          <w:szCs w:val="28"/>
        </w:rPr>
        <w:t>fifth respondents as parties to the application but dismiss</w:t>
      </w:r>
      <w:r w:rsidR="008B0A30" w:rsidRPr="00FE2D31">
        <w:rPr>
          <w:bCs/>
          <w:sz w:val="28"/>
          <w:szCs w:val="28"/>
        </w:rPr>
        <w:t>ed, with costs,</w:t>
      </w:r>
      <w:r w:rsidR="007029B6" w:rsidRPr="00FE2D31">
        <w:rPr>
          <w:bCs/>
          <w:sz w:val="28"/>
          <w:szCs w:val="28"/>
        </w:rPr>
        <w:t xml:space="preserve"> the application for </w:t>
      </w:r>
      <w:r w:rsidR="007029B6" w:rsidRPr="00FE2D31">
        <w:rPr>
          <w:bCs/>
          <w:sz w:val="28"/>
          <w:szCs w:val="28"/>
        </w:rPr>
        <w:lastRenderedPageBreak/>
        <w:t>contempt</w:t>
      </w:r>
      <w:r w:rsidR="00215233" w:rsidRPr="00FE2D31">
        <w:rPr>
          <w:bCs/>
          <w:sz w:val="28"/>
          <w:szCs w:val="28"/>
        </w:rPr>
        <w:t xml:space="preserve">. </w:t>
      </w:r>
      <w:r w:rsidR="004912FE" w:rsidRPr="00FE2D31">
        <w:rPr>
          <w:bCs/>
          <w:sz w:val="28"/>
          <w:szCs w:val="28"/>
        </w:rPr>
        <w:t>He</w:t>
      </w:r>
      <w:r w:rsidR="00BC744A" w:rsidRPr="00FE2D31">
        <w:rPr>
          <w:bCs/>
          <w:sz w:val="28"/>
          <w:szCs w:val="28"/>
        </w:rPr>
        <w:t xml:space="preserve"> further</w:t>
      </w:r>
      <w:r w:rsidR="004912FE" w:rsidRPr="00FE2D31">
        <w:rPr>
          <w:bCs/>
          <w:sz w:val="28"/>
          <w:szCs w:val="28"/>
        </w:rPr>
        <w:t xml:space="preserve"> struck t</w:t>
      </w:r>
      <w:r w:rsidR="00215233" w:rsidRPr="00FE2D31">
        <w:rPr>
          <w:bCs/>
          <w:sz w:val="28"/>
          <w:szCs w:val="28"/>
        </w:rPr>
        <w:t xml:space="preserve">he </w:t>
      </w:r>
      <w:r w:rsidR="007029B6" w:rsidRPr="00FE2D31">
        <w:rPr>
          <w:bCs/>
          <w:sz w:val="28"/>
          <w:szCs w:val="28"/>
        </w:rPr>
        <w:t>counter</w:t>
      </w:r>
      <w:r w:rsidR="008B0A30" w:rsidRPr="00FE2D31">
        <w:rPr>
          <w:bCs/>
          <w:sz w:val="28"/>
          <w:szCs w:val="28"/>
        </w:rPr>
        <w:t>-</w:t>
      </w:r>
      <w:r w:rsidR="007029B6" w:rsidRPr="00FE2D31">
        <w:rPr>
          <w:bCs/>
          <w:sz w:val="28"/>
          <w:szCs w:val="28"/>
        </w:rPr>
        <w:t>application from the rol</w:t>
      </w:r>
      <w:r w:rsidR="00215233" w:rsidRPr="00FE2D31">
        <w:rPr>
          <w:bCs/>
          <w:sz w:val="28"/>
          <w:szCs w:val="28"/>
        </w:rPr>
        <w:t>l</w:t>
      </w:r>
      <w:r w:rsidR="007029B6" w:rsidRPr="00FE2D31">
        <w:rPr>
          <w:bCs/>
          <w:sz w:val="28"/>
          <w:szCs w:val="28"/>
        </w:rPr>
        <w:t xml:space="preserve"> for want of urgency.</w:t>
      </w:r>
      <w:r w:rsidR="00E9793F" w:rsidRPr="00FE2D31">
        <w:rPr>
          <w:bCs/>
          <w:sz w:val="28"/>
          <w:szCs w:val="28"/>
        </w:rPr>
        <w:t xml:space="preserve"> </w:t>
      </w:r>
    </w:p>
    <w:p w14:paraId="2A6E84A1" w14:textId="77777777" w:rsidR="00BD52BC" w:rsidRPr="00FE2D31" w:rsidRDefault="00BD52BC" w:rsidP="00BD52BC">
      <w:pPr>
        <w:pStyle w:val="ListParagraph"/>
        <w:rPr>
          <w:sz w:val="28"/>
          <w:szCs w:val="28"/>
        </w:rPr>
      </w:pPr>
    </w:p>
    <w:p w14:paraId="4DF2A063" w14:textId="3C9DC792" w:rsidR="00B256FD" w:rsidRPr="00FE2D31" w:rsidRDefault="00042474" w:rsidP="00042474">
      <w:pPr>
        <w:tabs>
          <w:tab w:val="left" w:pos="0"/>
        </w:tabs>
        <w:rPr>
          <w:bCs/>
          <w:sz w:val="28"/>
          <w:szCs w:val="28"/>
        </w:rPr>
      </w:pPr>
      <w:r w:rsidRPr="00FE2D31">
        <w:rPr>
          <w:sz w:val="28"/>
          <w:szCs w:val="28"/>
        </w:rPr>
        <w:t>[12]</w:t>
      </w:r>
      <w:r w:rsidRPr="00FE2D31">
        <w:rPr>
          <w:sz w:val="28"/>
          <w:szCs w:val="28"/>
        </w:rPr>
        <w:tab/>
      </w:r>
      <w:r w:rsidR="00215233" w:rsidRPr="00FE2D31">
        <w:rPr>
          <w:bCs/>
          <w:sz w:val="28"/>
          <w:szCs w:val="28"/>
        </w:rPr>
        <w:t xml:space="preserve">In dismissing the contempt application, </w:t>
      </w:r>
      <w:r w:rsidR="00834AC4" w:rsidRPr="00FE2D31">
        <w:rPr>
          <w:bCs/>
          <w:sz w:val="28"/>
          <w:szCs w:val="28"/>
        </w:rPr>
        <w:t xml:space="preserve">Van der Westhuizen </w:t>
      </w:r>
      <w:r w:rsidR="00BC744A" w:rsidRPr="00FE2D31">
        <w:rPr>
          <w:bCs/>
          <w:sz w:val="28"/>
          <w:szCs w:val="28"/>
        </w:rPr>
        <w:t xml:space="preserve">J </w:t>
      </w:r>
      <w:r w:rsidR="00215233" w:rsidRPr="00FE2D31">
        <w:rPr>
          <w:bCs/>
          <w:sz w:val="28"/>
          <w:szCs w:val="28"/>
        </w:rPr>
        <w:t xml:space="preserve">relied on </w:t>
      </w:r>
      <w:r w:rsidR="00834AC4" w:rsidRPr="00FE2D31">
        <w:rPr>
          <w:bCs/>
          <w:sz w:val="28"/>
          <w:szCs w:val="28"/>
        </w:rPr>
        <w:t xml:space="preserve">the decision of </w:t>
      </w:r>
      <w:r w:rsidR="00215233" w:rsidRPr="00FE2D31">
        <w:rPr>
          <w:bCs/>
          <w:i/>
          <w:sz w:val="28"/>
          <w:szCs w:val="28"/>
        </w:rPr>
        <w:t>R v Keyser</w:t>
      </w:r>
      <w:r w:rsidR="00215233" w:rsidRPr="00FE2D31">
        <w:rPr>
          <w:rStyle w:val="FootnoteReference"/>
          <w:bCs/>
          <w:i/>
          <w:sz w:val="28"/>
          <w:szCs w:val="28"/>
        </w:rPr>
        <w:footnoteReference w:id="3"/>
      </w:r>
      <w:r w:rsidR="00215233" w:rsidRPr="00FE2D31">
        <w:rPr>
          <w:bCs/>
          <w:sz w:val="28"/>
          <w:szCs w:val="28"/>
        </w:rPr>
        <w:t xml:space="preserve"> endorse</w:t>
      </w:r>
      <w:r w:rsidR="00E56318" w:rsidRPr="00FE2D31">
        <w:rPr>
          <w:bCs/>
          <w:sz w:val="28"/>
          <w:szCs w:val="28"/>
        </w:rPr>
        <w:t>d</w:t>
      </w:r>
      <w:r w:rsidR="00215233" w:rsidRPr="00FE2D31">
        <w:rPr>
          <w:bCs/>
          <w:sz w:val="28"/>
          <w:szCs w:val="28"/>
        </w:rPr>
        <w:t xml:space="preserve"> in </w:t>
      </w:r>
      <w:r w:rsidR="00215233" w:rsidRPr="00FE2D31">
        <w:rPr>
          <w:bCs/>
          <w:i/>
          <w:sz w:val="28"/>
          <w:szCs w:val="28"/>
        </w:rPr>
        <w:t xml:space="preserve">Matjhabeng </w:t>
      </w:r>
      <w:r w:rsidR="008B0A30" w:rsidRPr="00FE2D31">
        <w:rPr>
          <w:bCs/>
          <w:i/>
          <w:sz w:val="28"/>
          <w:szCs w:val="28"/>
        </w:rPr>
        <w:t xml:space="preserve">Local </w:t>
      </w:r>
      <w:r w:rsidR="00215233" w:rsidRPr="00FE2D31">
        <w:rPr>
          <w:bCs/>
          <w:i/>
          <w:sz w:val="28"/>
          <w:szCs w:val="28"/>
        </w:rPr>
        <w:t>Municipality v Eskom</w:t>
      </w:r>
      <w:r w:rsidR="00A1462A" w:rsidRPr="00FE2D31">
        <w:rPr>
          <w:bCs/>
          <w:i/>
          <w:sz w:val="28"/>
          <w:szCs w:val="28"/>
        </w:rPr>
        <w:t xml:space="preserve"> Holdings Limited and Others;</w:t>
      </w:r>
      <w:r w:rsidR="00A1462A" w:rsidRPr="00FE2D31">
        <w:rPr>
          <w:bCs/>
          <w:sz w:val="28"/>
          <w:szCs w:val="28"/>
        </w:rPr>
        <w:t xml:space="preserve"> </w:t>
      </w:r>
      <w:r w:rsidR="00B256FD" w:rsidRPr="00FE2D31">
        <w:rPr>
          <w:bCs/>
          <w:i/>
          <w:sz w:val="28"/>
          <w:szCs w:val="28"/>
        </w:rPr>
        <w:t>Mkhonto and Others v Compensation Solutions (Pty) Ltd</w:t>
      </w:r>
      <w:r w:rsidR="009C34A4" w:rsidRPr="00FE2D31">
        <w:rPr>
          <w:bCs/>
          <w:i/>
          <w:sz w:val="28"/>
          <w:szCs w:val="28"/>
        </w:rPr>
        <w:t>.</w:t>
      </w:r>
      <w:r w:rsidR="00B256FD" w:rsidRPr="00FE2D31">
        <w:rPr>
          <w:rStyle w:val="FootnoteReference"/>
          <w:bCs/>
          <w:i/>
          <w:sz w:val="28"/>
          <w:szCs w:val="28"/>
        </w:rPr>
        <w:footnoteReference w:id="4"/>
      </w:r>
      <w:r w:rsidR="00834AC4" w:rsidRPr="00FE2D31">
        <w:rPr>
          <w:bCs/>
          <w:i/>
          <w:sz w:val="28"/>
          <w:szCs w:val="28"/>
        </w:rPr>
        <w:t xml:space="preserve"> </w:t>
      </w:r>
      <w:r w:rsidR="00834AC4" w:rsidRPr="00FE2D31">
        <w:rPr>
          <w:bCs/>
          <w:sz w:val="28"/>
          <w:szCs w:val="28"/>
        </w:rPr>
        <w:t xml:space="preserve">He held that </w:t>
      </w:r>
      <w:r w:rsidR="00B256FD" w:rsidRPr="00FE2D31">
        <w:rPr>
          <w:bCs/>
          <w:sz w:val="28"/>
          <w:szCs w:val="28"/>
        </w:rPr>
        <w:t>the principles pro</w:t>
      </w:r>
      <w:r w:rsidR="00E56318" w:rsidRPr="00FE2D31">
        <w:rPr>
          <w:bCs/>
          <w:sz w:val="28"/>
          <w:szCs w:val="28"/>
        </w:rPr>
        <w:t>pou</w:t>
      </w:r>
      <w:r w:rsidR="00E35E8B" w:rsidRPr="00FE2D31">
        <w:rPr>
          <w:bCs/>
          <w:sz w:val="28"/>
          <w:szCs w:val="28"/>
        </w:rPr>
        <w:t>nd</w:t>
      </w:r>
      <w:r w:rsidR="00B256FD" w:rsidRPr="00FE2D31">
        <w:rPr>
          <w:bCs/>
          <w:sz w:val="28"/>
          <w:szCs w:val="28"/>
        </w:rPr>
        <w:t xml:space="preserve">ed </w:t>
      </w:r>
      <w:r w:rsidR="009F431D" w:rsidRPr="00FE2D31">
        <w:rPr>
          <w:bCs/>
          <w:sz w:val="28"/>
          <w:szCs w:val="28"/>
        </w:rPr>
        <w:t xml:space="preserve">in those </w:t>
      </w:r>
      <w:r w:rsidR="00834AC4" w:rsidRPr="00FE2D31">
        <w:rPr>
          <w:bCs/>
          <w:sz w:val="28"/>
          <w:szCs w:val="28"/>
        </w:rPr>
        <w:t xml:space="preserve">judgments </w:t>
      </w:r>
      <w:r w:rsidR="00B256FD" w:rsidRPr="00FE2D31">
        <w:rPr>
          <w:bCs/>
          <w:sz w:val="28"/>
          <w:szCs w:val="28"/>
        </w:rPr>
        <w:t>were not followed</w:t>
      </w:r>
      <w:r w:rsidR="00834AC4" w:rsidRPr="00FE2D31">
        <w:rPr>
          <w:bCs/>
          <w:sz w:val="28"/>
          <w:szCs w:val="28"/>
        </w:rPr>
        <w:t xml:space="preserve"> by Samancor</w:t>
      </w:r>
      <w:r w:rsidR="00BC744A" w:rsidRPr="00FE2D31">
        <w:rPr>
          <w:bCs/>
          <w:sz w:val="28"/>
          <w:szCs w:val="28"/>
        </w:rPr>
        <w:t xml:space="preserve"> and</w:t>
      </w:r>
      <w:r w:rsidR="00834AC4" w:rsidRPr="00FE2D31">
        <w:rPr>
          <w:bCs/>
          <w:sz w:val="28"/>
          <w:szCs w:val="28"/>
        </w:rPr>
        <w:t xml:space="preserve"> reasoned as follows:</w:t>
      </w:r>
    </w:p>
    <w:p w14:paraId="6FFFC2B0" w14:textId="2D646B3E" w:rsidR="00B256FD" w:rsidRPr="00FE2D31" w:rsidRDefault="00B256FD" w:rsidP="00EB532D">
      <w:pPr>
        <w:pStyle w:val="ListParagraph"/>
        <w:ind w:left="0"/>
        <w:rPr>
          <w:bCs/>
          <w:sz w:val="28"/>
          <w:szCs w:val="28"/>
        </w:rPr>
      </w:pPr>
      <w:r w:rsidRPr="00FE2D31">
        <w:rPr>
          <w:bCs/>
          <w:sz w:val="28"/>
          <w:szCs w:val="28"/>
        </w:rPr>
        <w:t>‘</w:t>
      </w:r>
      <w:r w:rsidRPr="00FE2D31">
        <w:rPr>
          <w:bCs/>
        </w:rPr>
        <w:t>The</w:t>
      </w:r>
      <w:r w:rsidR="009F431D" w:rsidRPr="00FE2D31">
        <w:rPr>
          <w:bCs/>
        </w:rPr>
        <w:t xml:space="preserve"> applicant seeks that the contempt</w:t>
      </w:r>
      <w:r w:rsidR="00EB532D" w:rsidRPr="00FE2D31">
        <w:rPr>
          <w:bCs/>
        </w:rPr>
        <w:t xml:space="preserve"> order</w:t>
      </w:r>
      <w:r w:rsidR="009F431D" w:rsidRPr="00FE2D31">
        <w:rPr>
          <w:bCs/>
        </w:rPr>
        <w:t xml:space="preserve"> be granted</w:t>
      </w:r>
      <w:r w:rsidR="00EB532D" w:rsidRPr="00FE2D31">
        <w:rPr>
          <w:bCs/>
        </w:rPr>
        <w:t xml:space="preserve"> immediately following on the order for joinder</w:t>
      </w:r>
      <w:r w:rsidR="00F43088" w:rsidRPr="00FE2D31">
        <w:rPr>
          <w:bCs/>
        </w:rPr>
        <w:t xml:space="preserve">: </w:t>
      </w:r>
      <w:r w:rsidR="00F43088" w:rsidRPr="00FE2D31">
        <w:rPr>
          <w:bCs/>
          <w:i/>
        </w:rPr>
        <w:t>Non constat</w:t>
      </w:r>
      <w:r w:rsidR="00F43088" w:rsidRPr="00FE2D31">
        <w:rPr>
          <w:bCs/>
        </w:rPr>
        <w:t xml:space="preserve"> that such consent to be joined </w:t>
      </w:r>
      <w:r w:rsidR="009C34A4" w:rsidRPr="00FE2D31">
        <w:rPr>
          <w:bCs/>
        </w:rPr>
        <w:t>and</w:t>
      </w:r>
      <w:r w:rsidR="00F43088" w:rsidRPr="00FE2D31">
        <w:rPr>
          <w:bCs/>
        </w:rPr>
        <w:t xml:space="preserve"> such joinder be</w:t>
      </w:r>
      <w:r w:rsidR="009C34A4" w:rsidRPr="00FE2D31">
        <w:rPr>
          <w:bCs/>
        </w:rPr>
        <w:t>ing</w:t>
      </w:r>
      <w:r w:rsidR="00F43088" w:rsidRPr="00FE2D31">
        <w:rPr>
          <w:bCs/>
        </w:rPr>
        <w:t xml:space="preserve"> granted, implies that a contempt order can be summarily granted against them. Such approach by the applicant ignores the basic right</w:t>
      </w:r>
      <w:r w:rsidR="007D298E" w:rsidRPr="00FE2D31">
        <w:rPr>
          <w:bCs/>
        </w:rPr>
        <w:t xml:space="preserve"> that a party has, namely that it is entitled to be heard before an order is granted against him or her or it. In my view it constitutes</w:t>
      </w:r>
      <w:r w:rsidR="00186574" w:rsidRPr="00FE2D31">
        <w:rPr>
          <w:bCs/>
        </w:rPr>
        <w:t xml:space="preserve"> a summarily find</w:t>
      </w:r>
      <w:r w:rsidR="005370A1" w:rsidRPr="00FE2D31">
        <w:rPr>
          <w:bCs/>
        </w:rPr>
        <w:t>[</w:t>
      </w:r>
      <w:r w:rsidR="00E35E8B" w:rsidRPr="00FE2D31">
        <w:rPr>
          <w:bCs/>
        </w:rPr>
        <w:t>ing</w:t>
      </w:r>
      <w:r w:rsidR="005370A1" w:rsidRPr="00FE2D31">
        <w:rPr>
          <w:bCs/>
        </w:rPr>
        <w:t>]</w:t>
      </w:r>
      <w:r w:rsidR="00965F4E" w:rsidRPr="00FE2D31">
        <w:rPr>
          <w:bCs/>
        </w:rPr>
        <w:t xml:space="preserve"> </w:t>
      </w:r>
      <w:r w:rsidR="00186574" w:rsidRPr="00FE2D31">
        <w:rPr>
          <w:bCs/>
        </w:rPr>
        <w:t>of contempt without the respondents having the opportunity of being heard. The issue of urgency impacts upon the unfairness of the procedure followed</w:t>
      </w:r>
      <w:r w:rsidR="001D5A18" w:rsidRPr="00FE2D31">
        <w:rPr>
          <w:bCs/>
        </w:rPr>
        <w:t xml:space="preserve">. . . </w:t>
      </w:r>
      <w:r w:rsidR="00186574" w:rsidRPr="00FE2D31">
        <w:rPr>
          <w:bCs/>
        </w:rPr>
        <w:t>.’</w:t>
      </w:r>
      <w:r w:rsidR="007D298E" w:rsidRPr="00FE2D31">
        <w:rPr>
          <w:bCs/>
          <w:sz w:val="28"/>
          <w:szCs w:val="28"/>
        </w:rPr>
        <w:t xml:space="preserve"> </w:t>
      </w:r>
    </w:p>
    <w:p w14:paraId="41DCDA24" w14:textId="77777777" w:rsidR="00B256FD" w:rsidRPr="00FE2D31" w:rsidRDefault="00B256FD" w:rsidP="00B256FD">
      <w:pPr>
        <w:pStyle w:val="ListParagraph"/>
        <w:rPr>
          <w:bCs/>
          <w:sz w:val="28"/>
          <w:szCs w:val="28"/>
        </w:rPr>
      </w:pPr>
    </w:p>
    <w:p w14:paraId="50A968D3" w14:textId="3E4A1F41" w:rsidR="00B256FD" w:rsidRPr="00FE2D31" w:rsidRDefault="00042474" w:rsidP="00042474">
      <w:pPr>
        <w:tabs>
          <w:tab w:val="left" w:pos="0"/>
        </w:tabs>
        <w:rPr>
          <w:bCs/>
          <w:sz w:val="28"/>
          <w:szCs w:val="28"/>
        </w:rPr>
      </w:pPr>
      <w:r w:rsidRPr="00FE2D31">
        <w:rPr>
          <w:sz w:val="28"/>
          <w:szCs w:val="28"/>
        </w:rPr>
        <w:t>[13]</w:t>
      </w:r>
      <w:r w:rsidRPr="00FE2D31">
        <w:rPr>
          <w:sz w:val="28"/>
          <w:szCs w:val="28"/>
        </w:rPr>
        <w:tab/>
      </w:r>
      <w:r w:rsidR="00186574" w:rsidRPr="00FE2D31">
        <w:rPr>
          <w:bCs/>
          <w:sz w:val="28"/>
          <w:szCs w:val="28"/>
        </w:rPr>
        <w:t xml:space="preserve">The passage </w:t>
      </w:r>
      <w:r w:rsidR="006E108A" w:rsidRPr="00FE2D31">
        <w:rPr>
          <w:bCs/>
          <w:sz w:val="28"/>
          <w:szCs w:val="28"/>
        </w:rPr>
        <w:t xml:space="preserve">in </w:t>
      </w:r>
      <w:r w:rsidR="006E108A" w:rsidRPr="00FE2D31">
        <w:rPr>
          <w:bCs/>
          <w:i/>
          <w:sz w:val="28"/>
          <w:szCs w:val="28"/>
        </w:rPr>
        <w:t>Keyser</w:t>
      </w:r>
      <w:r w:rsidR="006E108A" w:rsidRPr="00FE2D31">
        <w:rPr>
          <w:bCs/>
          <w:sz w:val="28"/>
          <w:szCs w:val="28"/>
        </w:rPr>
        <w:t xml:space="preserve"> upon which </w:t>
      </w:r>
      <w:r w:rsidR="00965F4E" w:rsidRPr="00FE2D31">
        <w:rPr>
          <w:bCs/>
          <w:sz w:val="28"/>
          <w:szCs w:val="28"/>
        </w:rPr>
        <w:t>Van der Westhuizen J</w:t>
      </w:r>
      <w:r w:rsidR="00834AC4" w:rsidRPr="00FE2D31">
        <w:rPr>
          <w:bCs/>
          <w:sz w:val="28"/>
          <w:szCs w:val="28"/>
        </w:rPr>
        <w:t xml:space="preserve"> </w:t>
      </w:r>
      <w:r w:rsidR="00186574" w:rsidRPr="00FE2D31">
        <w:rPr>
          <w:bCs/>
          <w:sz w:val="28"/>
          <w:szCs w:val="28"/>
        </w:rPr>
        <w:t>relied</w:t>
      </w:r>
      <w:r w:rsidR="006E108A" w:rsidRPr="00FE2D31">
        <w:rPr>
          <w:bCs/>
          <w:sz w:val="28"/>
          <w:szCs w:val="28"/>
        </w:rPr>
        <w:t>,</w:t>
      </w:r>
      <w:r w:rsidR="00186574" w:rsidRPr="00FE2D31">
        <w:rPr>
          <w:bCs/>
          <w:sz w:val="28"/>
          <w:szCs w:val="28"/>
        </w:rPr>
        <w:t xml:space="preserve"> states as follows:</w:t>
      </w:r>
    </w:p>
    <w:p w14:paraId="0E274703" w14:textId="77B664FA" w:rsidR="00186574" w:rsidRPr="00FE2D31" w:rsidRDefault="00186574" w:rsidP="00186574">
      <w:pPr>
        <w:tabs>
          <w:tab w:val="left" w:pos="0"/>
        </w:tabs>
        <w:rPr>
          <w:bCs/>
          <w:sz w:val="28"/>
          <w:szCs w:val="28"/>
        </w:rPr>
      </w:pPr>
      <w:r w:rsidRPr="00FE2D31">
        <w:rPr>
          <w:bCs/>
          <w:sz w:val="28"/>
          <w:szCs w:val="28"/>
        </w:rPr>
        <w:t>‘</w:t>
      </w:r>
      <w:r w:rsidRPr="00FE2D31">
        <w:rPr>
          <w:bCs/>
        </w:rPr>
        <w:t>But counsel for the Crown</w:t>
      </w:r>
      <w:r w:rsidR="00D00549" w:rsidRPr="00FE2D31">
        <w:rPr>
          <w:bCs/>
        </w:rPr>
        <w:t xml:space="preserve"> fairly and properly admitted that in every case of contempt </w:t>
      </w:r>
      <w:r w:rsidR="00D00549" w:rsidRPr="00FE2D31">
        <w:rPr>
          <w:bCs/>
          <w:i/>
        </w:rPr>
        <w:t>ex facie curi</w:t>
      </w:r>
      <w:r w:rsidR="000378DA" w:rsidRPr="00FE2D31">
        <w:rPr>
          <w:bCs/>
          <w:i/>
        </w:rPr>
        <w:t>a</w:t>
      </w:r>
      <w:r w:rsidR="00D00549" w:rsidRPr="00FE2D31">
        <w:rPr>
          <w:bCs/>
          <w:i/>
        </w:rPr>
        <w:t xml:space="preserve">e </w:t>
      </w:r>
      <w:r w:rsidR="00D00549" w:rsidRPr="00FE2D31">
        <w:rPr>
          <w:bCs/>
        </w:rPr>
        <w:t>dealt with by our courts</w:t>
      </w:r>
      <w:r w:rsidR="00E9793F" w:rsidRPr="00FE2D31">
        <w:rPr>
          <w:bCs/>
        </w:rPr>
        <w:t xml:space="preserve"> without a criminal trial, the proceedings were commenced by an order, served upon the offender, containing particulars of the conduct alleged to constitute the contempt of court complained of, and calling upon the offender to appear before the court and show cause why he should not be punished summarily for the alleged contempt of court.</w:t>
      </w:r>
      <w:r w:rsidR="00E9793F" w:rsidRPr="00FE2D31">
        <w:rPr>
          <w:bCs/>
          <w:sz w:val="28"/>
          <w:szCs w:val="28"/>
        </w:rPr>
        <w:t>’</w:t>
      </w:r>
      <w:r w:rsidR="000378DA" w:rsidRPr="00FE2D31">
        <w:rPr>
          <w:rStyle w:val="FootnoteReference"/>
          <w:bCs/>
          <w:sz w:val="28"/>
          <w:szCs w:val="28"/>
        </w:rPr>
        <w:footnoteReference w:id="5"/>
      </w:r>
      <w:r w:rsidR="00E9793F" w:rsidRPr="00FE2D31">
        <w:rPr>
          <w:bCs/>
          <w:sz w:val="28"/>
          <w:szCs w:val="28"/>
        </w:rPr>
        <w:t xml:space="preserve"> </w:t>
      </w:r>
    </w:p>
    <w:p w14:paraId="13DC0832" w14:textId="242BC0C2" w:rsidR="00B256FD" w:rsidRPr="00FE2D31" w:rsidRDefault="00B256FD" w:rsidP="009D1A4B">
      <w:pPr>
        <w:pStyle w:val="ListParagraph"/>
        <w:ind w:hanging="810"/>
        <w:rPr>
          <w:bCs/>
          <w:sz w:val="28"/>
          <w:szCs w:val="28"/>
        </w:rPr>
      </w:pPr>
    </w:p>
    <w:p w14:paraId="7B33324A" w14:textId="3C9DDADA" w:rsidR="009D1A4B" w:rsidRPr="00FE2D31" w:rsidRDefault="00F93E48" w:rsidP="009D1A4B">
      <w:pPr>
        <w:pStyle w:val="ListParagraph"/>
        <w:ind w:hanging="810"/>
        <w:rPr>
          <w:b/>
          <w:bCs/>
          <w:sz w:val="28"/>
          <w:szCs w:val="28"/>
        </w:rPr>
      </w:pPr>
      <w:r w:rsidRPr="00FE2D31">
        <w:rPr>
          <w:b/>
          <w:bCs/>
          <w:sz w:val="28"/>
          <w:szCs w:val="28"/>
        </w:rPr>
        <w:lastRenderedPageBreak/>
        <w:t xml:space="preserve">The </w:t>
      </w:r>
      <w:r w:rsidR="001B5287" w:rsidRPr="00FE2D31">
        <w:rPr>
          <w:b/>
          <w:bCs/>
          <w:sz w:val="28"/>
          <w:szCs w:val="28"/>
        </w:rPr>
        <w:t>i</w:t>
      </w:r>
      <w:r w:rsidRPr="00FE2D31">
        <w:rPr>
          <w:b/>
          <w:bCs/>
          <w:sz w:val="28"/>
          <w:szCs w:val="28"/>
        </w:rPr>
        <w:t>ssue</w:t>
      </w:r>
      <w:r w:rsidR="00C55408" w:rsidRPr="00FE2D31">
        <w:rPr>
          <w:b/>
          <w:bCs/>
          <w:sz w:val="28"/>
          <w:szCs w:val="28"/>
        </w:rPr>
        <w:t>s</w:t>
      </w:r>
      <w:r w:rsidRPr="00FE2D31">
        <w:rPr>
          <w:b/>
          <w:bCs/>
          <w:sz w:val="28"/>
          <w:szCs w:val="28"/>
        </w:rPr>
        <w:t xml:space="preserve"> </w:t>
      </w:r>
    </w:p>
    <w:p w14:paraId="761D2FB3" w14:textId="5A4C5AF4" w:rsidR="00D77CE7" w:rsidRPr="00FE2D31" w:rsidRDefault="00042474" w:rsidP="00042474">
      <w:pPr>
        <w:tabs>
          <w:tab w:val="left" w:pos="0"/>
        </w:tabs>
        <w:rPr>
          <w:bCs/>
          <w:sz w:val="28"/>
          <w:szCs w:val="28"/>
        </w:rPr>
      </w:pPr>
      <w:r w:rsidRPr="00FE2D31">
        <w:rPr>
          <w:sz w:val="28"/>
          <w:szCs w:val="28"/>
        </w:rPr>
        <w:t>[14]</w:t>
      </w:r>
      <w:r w:rsidRPr="00FE2D31">
        <w:rPr>
          <w:sz w:val="28"/>
          <w:szCs w:val="28"/>
        </w:rPr>
        <w:tab/>
      </w:r>
      <w:r w:rsidR="00834AC4" w:rsidRPr="00FE2D31">
        <w:rPr>
          <w:bCs/>
          <w:sz w:val="28"/>
          <w:szCs w:val="28"/>
        </w:rPr>
        <w:t xml:space="preserve">The appeal by </w:t>
      </w:r>
      <w:r w:rsidR="009D1A4B" w:rsidRPr="00FE2D31">
        <w:rPr>
          <w:bCs/>
          <w:sz w:val="28"/>
          <w:szCs w:val="28"/>
        </w:rPr>
        <w:t xml:space="preserve">Samancor </w:t>
      </w:r>
      <w:r w:rsidR="00834AC4" w:rsidRPr="00FE2D31">
        <w:rPr>
          <w:bCs/>
          <w:sz w:val="28"/>
          <w:szCs w:val="28"/>
        </w:rPr>
        <w:t xml:space="preserve">is </w:t>
      </w:r>
      <w:r w:rsidR="009D1A4B" w:rsidRPr="00FE2D31">
        <w:rPr>
          <w:bCs/>
          <w:sz w:val="28"/>
          <w:szCs w:val="28"/>
        </w:rPr>
        <w:t>against th</w:t>
      </w:r>
      <w:r w:rsidR="00F93E48" w:rsidRPr="00FE2D31">
        <w:rPr>
          <w:bCs/>
          <w:sz w:val="28"/>
          <w:szCs w:val="28"/>
        </w:rPr>
        <w:t>ose</w:t>
      </w:r>
      <w:r w:rsidR="009D1A4B" w:rsidRPr="00FE2D31">
        <w:rPr>
          <w:bCs/>
          <w:sz w:val="28"/>
          <w:szCs w:val="28"/>
        </w:rPr>
        <w:t xml:space="preserve"> portions of Van der Westhuizen J’s order dismissing the contempt application</w:t>
      </w:r>
      <w:r w:rsidR="00D77CE7" w:rsidRPr="00FE2D31">
        <w:rPr>
          <w:bCs/>
          <w:sz w:val="28"/>
          <w:szCs w:val="28"/>
        </w:rPr>
        <w:t xml:space="preserve"> and it is </w:t>
      </w:r>
      <w:r w:rsidR="009D1A4B" w:rsidRPr="00FE2D31">
        <w:rPr>
          <w:bCs/>
          <w:sz w:val="28"/>
          <w:szCs w:val="28"/>
        </w:rPr>
        <w:t xml:space="preserve">with the leave of this Court. </w:t>
      </w:r>
    </w:p>
    <w:p w14:paraId="273DF7A0" w14:textId="77777777" w:rsidR="00965F4E" w:rsidRPr="00FE2D31" w:rsidRDefault="00965F4E" w:rsidP="00965F4E">
      <w:pPr>
        <w:tabs>
          <w:tab w:val="left" w:pos="0"/>
        </w:tabs>
        <w:rPr>
          <w:bCs/>
          <w:sz w:val="28"/>
          <w:szCs w:val="28"/>
        </w:rPr>
      </w:pPr>
    </w:p>
    <w:p w14:paraId="3976CE76" w14:textId="49A5020C" w:rsidR="00D77CE7" w:rsidRPr="00FE2D31" w:rsidRDefault="00042474" w:rsidP="00042474">
      <w:pPr>
        <w:tabs>
          <w:tab w:val="left" w:pos="0"/>
        </w:tabs>
        <w:rPr>
          <w:b/>
          <w:bCs/>
          <w:sz w:val="28"/>
          <w:szCs w:val="28"/>
        </w:rPr>
      </w:pPr>
      <w:r w:rsidRPr="00FE2D31">
        <w:rPr>
          <w:sz w:val="28"/>
          <w:szCs w:val="28"/>
        </w:rPr>
        <w:t>[15]</w:t>
      </w:r>
      <w:r w:rsidRPr="00FE2D31">
        <w:rPr>
          <w:sz w:val="28"/>
          <w:szCs w:val="28"/>
        </w:rPr>
        <w:tab/>
      </w:r>
      <w:r w:rsidR="009D1A4B" w:rsidRPr="00FE2D31">
        <w:rPr>
          <w:bCs/>
          <w:sz w:val="28"/>
          <w:szCs w:val="28"/>
        </w:rPr>
        <w:t xml:space="preserve">The </w:t>
      </w:r>
      <w:r w:rsidR="00C55408" w:rsidRPr="00FE2D31">
        <w:rPr>
          <w:bCs/>
          <w:sz w:val="28"/>
          <w:szCs w:val="28"/>
        </w:rPr>
        <w:t xml:space="preserve">first </w:t>
      </w:r>
      <w:r w:rsidR="009D1A4B" w:rsidRPr="00FE2D31">
        <w:rPr>
          <w:bCs/>
          <w:sz w:val="28"/>
          <w:szCs w:val="28"/>
        </w:rPr>
        <w:t>issue</w:t>
      </w:r>
      <w:r w:rsidR="00C55408" w:rsidRPr="00FE2D31">
        <w:rPr>
          <w:bCs/>
          <w:sz w:val="28"/>
          <w:szCs w:val="28"/>
        </w:rPr>
        <w:t xml:space="preserve"> is</w:t>
      </w:r>
      <w:r w:rsidR="004A6F90" w:rsidRPr="00FE2D31">
        <w:rPr>
          <w:bCs/>
          <w:sz w:val="28"/>
          <w:szCs w:val="28"/>
        </w:rPr>
        <w:t xml:space="preserve"> whether the high court was correct </w:t>
      </w:r>
      <w:r w:rsidR="00D77CE7" w:rsidRPr="00FE2D31">
        <w:rPr>
          <w:bCs/>
          <w:sz w:val="28"/>
          <w:szCs w:val="28"/>
        </w:rPr>
        <w:t xml:space="preserve">in </w:t>
      </w:r>
      <w:r w:rsidR="00F93E48" w:rsidRPr="00FE2D31">
        <w:rPr>
          <w:bCs/>
          <w:sz w:val="28"/>
          <w:szCs w:val="28"/>
        </w:rPr>
        <w:t xml:space="preserve">holding </w:t>
      </w:r>
      <w:r w:rsidR="003A6AEB" w:rsidRPr="00FE2D31">
        <w:rPr>
          <w:bCs/>
          <w:sz w:val="28"/>
          <w:szCs w:val="28"/>
        </w:rPr>
        <w:t xml:space="preserve">that the </w:t>
      </w:r>
      <w:r w:rsidR="004A6F90" w:rsidRPr="00FE2D31">
        <w:rPr>
          <w:bCs/>
          <w:sz w:val="28"/>
          <w:szCs w:val="28"/>
        </w:rPr>
        <w:t xml:space="preserve">contempt order could not </w:t>
      </w:r>
      <w:r w:rsidR="003A6AEB" w:rsidRPr="00FE2D31">
        <w:rPr>
          <w:bCs/>
          <w:sz w:val="28"/>
          <w:szCs w:val="28"/>
        </w:rPr>
        <w:t xml:space="preserve">be granted </w:t>
      </w:r>
      <w:r w:rsidR="00EB4594" w:rsidRPr="00FE2D31">
        <w:rPr>
          <w:bCs/>
          <w:sz w:val="28"/>
          <w:szCs w:val="28"/>
        </w:rPr>
        <w:t xml:space="preserve">simultaneously </w:t>
      </w:r>
      <w:r w:rsidR="003A6AEB" w:rsidRPr="00FE2D31">
        <w:rPr>
          <w:bCs/>
          <w:sz w:val="28"/>
          <w:szCs w:val="28"/>
        </w:rPr>
        <w:t xml:space="preserve">with </w:t>
      </w:r>
      <w:r w:rsidR="002B4B45" w:rsidRPr="00FE2D31">
        <w:rPr>
          <w:bCs/>
          <w:sz w:val="28"/>
          <w:szCs w:val="28"/>
        </w:rPr>
        <w:t>the joinder of the directors. If it was correct, that is the end of the matter</w:t>
      </w:r>
      <w:r w:rsidR="000378DA" w:rsidRPr="00FE2D31">
        <w:rPr>
          <w:bCs/>
          <w:sz w:val="28"/>
          <w:szCs w:val="28"/>
        </w:rPr>
        <w:t>.</w:t>
      </w:r>
      <w:r w:rsidR="002B4B45" w:rsidRPr="00FE2D31">
        <w:rPr>
          <w:bCs/>
          <w:sz w:val="28"/>
          <w:szCs w:val="28"/>
        </w:rPr>
        <w:t xml:space="preserve"> </w:t>
      </w:r>
      <w:r w:rsidR="00D77CE7" w:rsidRPr="00FE2D31">
        <w:rPr>
          <w:bCs/>
          <w:sz w:val="28"/>
          <w:szCs w:val="28"/>
        </w:rPr>
        <w:t>I</w:t>
      </w:r>
      <w:r w:rsidR="002B4B45" w:rsidRPr="00FE2D31">
        <w:rPr>
          <w:bCs/>
          <w:sz w:val="28"/>
          <w:szCs w:val="28"/>
        </w:rPr>
        <w:t xml:space="preserve">f not, </w:t>
      </w:r>
      <w:r w:rsidR="00D77CE7" w:rsidRPr="00FE2D31">
        <w:rPr>
          <w:bCs/>
          <w:sz w:val="28"/>
          <w:szCs w:val="28"/>
        </w:rPr>
        <w:t xml:space="preserve">the second question is </w:t>
      </w:r>
      <w:r w:rsidR="002B4B45" w:rsidRPr="00FE2D31">
        <w:rPr>
          <w:bCs/>
          <w:sz w:val="28"/>
          <w:szCs w:val="28"/>
        </w:rPr>
        <w:t xml:space="preserve">whether this </w:t>
      </w:r>
      <w:r w:rsidR="000378DA" w:rsidRPr="00FE2D31">
        <w:rPr>
          <w:bCs/>
          <w:sz w:val="28"/>
          <w:szCs w:val="28"/>
        </w:rPr>
        <w:t>C</w:t>
      </w:r>
      <w:r w:rsidR="002B4B45" w:rsidRPr="00FE2D31">
        <w:rPr>
          <w:bCs/>
          <w:sz w:val="28"/>
          <w:szCs w:val="28"/>
        </w:rPr>
        <w:t>ourt should determine the merits of the contempt application or send the matter back to the high court as submitted by counsel appearing for Bila.</w:t>
      </w:r>
      <w:r w:rsidR="00D77CE7" w:rsidRPr="00FE2D31">
        <w:rPr>
          <w:bCs/>
          <w:sz w:val="28"/>
          <w:szCs w:val="28"/>
        </w:rPr>
        <w:t xml:space="preserve"> If this Court </w:t>
      </w:r>
      <w:r w:rsidR="008F2546" w:rsidRPr="00FE2D31">
        <w:rPr>
          <w:bCs/>
          <w:sz w:val="28"/>
          <w:szCs w:val="28"/>
        </w:rPr>
        <w:t xml:space="preserve">adopts </w:t>
      </w:r>
      <w:r w:rsidR="00D77CE7" w:rsidRPr="00FE2D31">
        <w:rPr>
          <w:bCs/>
          <w:sz w:val="28"/>
          <w:szCs w:val="28"/>
        </w:rPr>
        <w:t>the former, then it will determine whether Samancor is entitled to the contempt relief it sought before Van der Westhuizen J.</w:t>
      </w:r>
      <w:r w:rsidR="00FB1D8A" w:rsidRPr="00FE2D31">
        <w:rPr>
          <w:bCs/>
          <w:sz w:val="28"/>
          <w:szCs w:val="28"/>
        </w:rPr>
        <w:t xml:space="preserve"> </w:t>
      </w:r>
    </w:p>
    <w:p w14:paraId="1DDB4BC0" w14:textId="77777777" w:rsidR="00AB57A1" w:rsidRPr="00FE2D31" w:rsidRDefault="00AB57A1" w:rsidP="004358EB">
      <w:pPr>
        <w:rPr>
          <w:b/>
          <w:bCs/>
          <w:sz w:val="28"/>
          <w:szCs w:val="28"/>
        </w:rPr>
      </w:pPr>
    </w:p>
    <w:p w14:paraId="00F5D826" w14:textId="77777777" w:rsidR="002B4B45" w:rsidRPr="00FE2D31" w:rsidRDefault="002B4B45" w:rsidP="002B4B45">
      <w:pPr>
        <w:tabs>
          <w:tab w:val="left" w:pos="0"/>
        </w:tabs>
        <w:rPr>
          <w:b/>
          <w:bCs/>
          <w:sz w:val="28"/>
          <w:szCs w:val="28"/>
        </w:rPr>
      </w:pPr>
      <w:r w:rsidRPr="00FE2D31">
        <w:rPr>
          <w:b/>
          <w:bCs/>
          <w:sz w:val="28"/>
          <w:szCs w:val="28"/>
        </w:rPr>
        <w:t xml:space="preserve">Joinder and summary </w:t>
      </w:r>
      <w:r w:rsidR="007D5985" w:rsidRPr="00FE2D31">
        <w:rPr>
          <w:b/>
          <w:bCs/>
          <w:sz w:val="28"/>
          <w:szCs w:val="28"/>
        </w:rPr>
        <w:t>process</w:t>
      </w:r>
    </w:p>
    <w:p w14:paraId="7271E3A6" w14:textId="534CF021" w:rsidR="00AB57A1" w:rsidRPr="00FE2D31" w:rsidRDefault="00042474" w:rsidP="00042474">
      <w:pPr>
        <w:tabs>
          <w:tab w:val="left" w:pos="0"/>
        </w:tabs>
        <w:rPr>
          <w:bCs/>
          <w:sz w:val="28"/>
          <w:szCs w:val="28"/>
        </w:rPr>
      </w:pPr>
      <w:r w:rsidRPr="00FE2D31">
        <w:rPr>
          <w:sz w:val="28"/>
          <w:szCs w:val="28"/>
        </w:rPr>
        <w:t>[16]</w:t>
      </w:r>
      <w:r w:rsidRPr="00FE2D31">
        <w:rPr>
          <w:sz w:val="28"/>
          <w:szCs w:val="28"/>
        </w:rPr>
        <w:tab/>
      </w:r>
      <w:r w:rsidR="00AB57A1" w:rsidRPr="00FE2D31">
        <w:rPr>
          <w:bCs/>
          <w:i/>
          <w:sz w:val="28"/>
          <w:szCs w:val="28"/>
        </w:rPr>
        <w:t xml:space="preserve">Keyser </w:t>
      </w:r>
      <w:r w:rsidR="00AB57A1" w:rsidRPr="00FE2D31">
        <w:rPr>
          <w:bCs/>
          <w:sz w:val="28"/>
          <w:szCs w:val="28"/>
        </w:rPr>
        <w:t xml:space="preserve">and </w:t>
      </w:r>
      <w:r w:rsidR="00AB57A1" w:rsidRPr="00FE2D31">
        <w:rPr>
          <w:bCs/>
          <w:i/>
          <w:sz w:val="28"/>
          <w:szCs w:val="28"/>
        </w:rPr>
        <w:t>Matjhabeng</w:t>
      </w:r>
      <w:r w:rsidR="00AB57A1" w:rsidRPr="00FE2D31">
        <w:rPr>
          <w:bCs/>
          <w:sz w:val="28"/>
          <w:szCs w:val="28"/>
        </w:rPr>
        <w:t xml:space="preserve"> are in my view both distinguishable from the facts of this case. In </w:t>
      </w:r>
      <w:r w:rsidR="00AB57A1" w:rsidRPr="00FE2D31">
        <w:rPr>
          <w:bCs/>
          <w:i/>
          <w:sz w:val="28"/>
          <w:szCs w:val="28"/>
        </w:rPr>
        <w:t>Keyser</w:t>
      </w:r>
      <w:r w:rsidR="00AB57A1" w:rsidRPr="00FE2D31">
        <w:rPr>
          <w:bCs/>
          <w:sz w:val="28"/>
          <w:szCs w:val="28"/>
        </w:rPr>
        <w:t xml:space="preserve"> the appellant was admonished and sentenced to a fine without knowing that he was an accused</w:t>
      </w:r>
      <w:r w:rsidR="000378DA" w:rsidRPr="00FE2D31">
        <w:rPr>
          <w:bCs/>
          <w:sz w:val="28"/>
          <w:szCs w:val="28"/>
        </w:rPr>
        <w:t xml:space="preserve">. As a result, </w:t>
      </w:r>
      <w:r w:rsidR="00237572" w:rsidRPr="00FE2D31">
        <w:rPr>
          <w:bCs/>
          <w:sz w:val="28"/>
          <w:szCs w:val="28"/>
        </w:rPr>
        <w:t xml:space="preserve">he </w:t>
      </w:r>
      <w:r w:rsidR="000378DA" w:rsidRPr="00FE2D31">
        <w:rPr>
          <w:bCs/>
          <w:sz w:val="28"/>
          <w:szCs w:val="28"/>
        </w:rPr>
        <w:t>had no knowledge of</w:t>
      </w:r>
      <w:r w:rsidR="00AB57A1" w:rsidRPr="00FE2D31">
        <w:rPr>
          <w:bCs/>
          <w:sz w:val="28"/>
          <w:szCs w:val="28"/>
        </w:rPr>
        <w:t xml:space="preserve"> the exact charges against him</w:t>
      </w:r>
      <w:r w:rsidR="006A0110" w:rsidRPr="00FE2D31">
        <w:rPr>
          <w:bCs/>
          <w:sz w:val="28"/>
          <w:szCs w:val="28"/>
        </w:rPr>
        <w:t xml:space="preserve">. He </w:t>
      </w:r>
      <w:r w:rsidR="000378DA" w:rsidRPr="00FE2D31">
        <w:rPr>
          <w:bCs/>
          <w:sz w:val="28"/>
          <w:szCs w:val="28"/>
        </w:rPr>
        <w:t xml:space="preserve">was </w:t>
      </w:r>
      <w:r w:rsidR="006A0110" w:rsidRPr="00FE2D31">
        <w:rPr>
          <w:bCs/>
          <w:sz w:val="28"/>
          <w:szCs w:val="28"/>
        </w:rPr>
        <w:t xml:space="preserve">not </w:t>
      </w:r>
      <w:r w:rsidR="000378DA" w:rsidRPr="00FE2D31">
        <w:rPr>
          <w:bCs/>
          <w:sz w:val="28"/>
          <w:szCs w:val="28"/>
        </w:rPr>
        <w:t xml:space="preserve">given an </w:t>
      </w:r>
      <w:r w:rsidR="00AB57A1" w:rsidRPr="00FE2D31">
        <w:rPr>
          <w:bCs/>
          <w:sz w:val="28"/>
          <w:szCs w:val="28"/>
        </w:rPr>
        <w:t>opportunity</w:t>
      </w:r>
      <w:r w:rsidR="000378DA" w:rsidRPr="00FE2D31">
        <w:rPr>
          <w:bCs/>
          <w:sz w:val="28"/>
          <w:szCs w:val="28"/>
        </w:rPr>
        <w:t xml:space="preserve"> to</w:t>
      </w:r>
      <w:r w:rsidR="00AB57A1" w:rsidRPr="00FE2D31">
        <w:rPr>
          <w:bCs/>
          <w:sz w:val="28"/>
          <w:szCs w:val="28"/>
        </w:rPr>
        <w:t xml:space="preserve"> consul</w:t>
      </w:r>
      <w:r w:rsidR="000378DA" w:rsidRPr="00FE2D31">
        <w:rPr>
          <w:bCs/>
          <w:sz w:val="28"/>
          <w:szCs w:val="28"/>
        </w:rPr>
        <w:t>t</w:t>
      </w:r>
      <w:r w:rsidR="00AB57A1" w:rsidRPr="00FE2D31">
        <w:rPr>
          <w:bCs/>
          <w:sz w:val="28"/>
          <w:szCs w:val="28"/>
        </w:rPr>
        <w:t xml:space="preserve"> counsel, prep</w:t>
      </w:r>
      <w:r w:rsidR="00073A5D" w:rsidRPr="00FE2D31">
        <w:rPr>
          <w:bCs/>
          <w:sz w:val="28"/>
          <w:szCs w:val="28"/>
        </w:rPr>
        <w:t>ar</w:t>
      </w:r>
      <w:r w:rsidR="004358EB" w:rsidRPr="00FE2D31">
        <w:rPr>
          <w:bCs/>
          <w:sz w:val="28"/>
          <w:szCs w:val="28"/>
        </w:rPr>
        <w:t>e</w:t>
      </w:r>
      <w:r w:rsidR="00AB57A1" w:rsidRPr="00FE2D31">
        <w:rPr>
          <w:bCs/>
          <w:sz w:val="28"/>
          <w:szCs w:val="28"/>
        </w:rPr>
        <w:t xml:space="preserve"> his defence </w:t>
      </w:r>
      <w:r w:rsidR="006A0110" w:rsidRPr="00FE2D31">
        <w:rPr>
          <w:bCs/>
          <w:sz w:val="28"/>
          <w:szCs w:val="28"/>
        </w:rPr>
        <w:t>nor was he</w:t>
      </w:r>
      <w:r w:rsidR="00AB57A1" w:rsidRPr="00FE2D31">
        <w:rPr>
          <w:bCs/>
          <w:sz w:val="28"/>
          <w:szCs w:val="28"/>
        </w:rPr>
        <w:t xml:space="preserve"> advised </w:t>
      </w:r>
      <w:r w:rsidR="003076B7" w:rsidRPr="00FE2D31">
        <w:rPr>
          <w:bCs/>
          <w:sz w:val="28"/>
          <w:szCs w:val="28"/>
        </w:rPr>
        <w:t xml:space="preserve">of his right not to </w:t>
      </w:r>
      <w:r w:rsidR="00AB57A1" w:rsidRPr="00FE2D31">
        <w:rPr>
          <w:bCs/>
          <w:sz w:val="28"/>
          <w:szCs w:val="28"/>
        </w:rPr>
        <w:t>make a statement at all.</w:t>
      </w:r>
      <w:r w:rsidR="00AB57A1" w:rsidRPr="00FE2D31">
        <w:rPr>
          <w:rStyle w:val="FootnoteReference"/>
          <w:bCs/>
          <w:sz w:val="28"/>
          <w:szCs w:val="28"/>
        </w:rPr>
        <w:footnoteReference w:id="6"/>
      </w:r>
      <w:r w:rsidR="00AB57A1" w:rsidRPr="00FE2D31">
        <w:rPr>
          <w:bCs/>
          <w:sz w:val="28"/>
          <w:szCs w:val="28"/>
        </w:rPr>
        <w:t xml:space="preserve"> </w:t>
      </w:r>
    </w:p>
    <w:p w14:paraId="163739D7" w14:textId="77777777" w:rsidR="00AB57A1" w:rsidRPr="00FE2D31" w:rsidRDefault="00AB57A1" w:rsidP="00DC0CF6">
      <w:pPr>
        <w:rPr>
          <w:bCs/>
          <w:sz w:val="28"/>
          <w:szCs w:val="28"/>
        </w:rPr>
      </w:pPr>
    </w:p>
    <w:p w14:paraId="5FB2A6B9" w14:textId="1D11EA0F" w:rsidR="00AB57A1" w:rsidRPr="00FE2D31" w:rsidRDefault="00042474" w:rsidP="00042474">
      <w:pPr>
        <w:tabs>
          <w:tab w:val="left" w:pos="0"/>
        </w:tabs>
        <w:rPr>
          <w:bCs/>
          <w:sz w:val="28"/>
          <w:szCs w:val="28"/>
        </w:rPr>
      </w:pPr>
      <w:r w:rsidRPr="00FE2D31">
        <w:rPr>
          <w:sz w:val="28"/>
          <w:szCs w:val="28"/>
        </w:rPr>
        <w:t>[17]</w:t>
      </w:r>
      <w:r w:rsidRPr="00FE2D31">
        <w:rPr>
          <w:sz w:val="28"/>
          <w:szCs w:val="28"/>
        </w:rPr>
        <w:tab/>
      </w:r>
      <w:r w:rsidR="00073A5D" w:rsidRPr="00FE2D31">
        <w:rPr>
          <w:bCs/>
          <w:sz w:val="28"/>
          <w:szCs w:val="28"/>
        </w:rPr>
        <w:t>Similarly</w:t>
      </w:r>
      <w:r w:rsidR="00BA4906" w:rsidRPr="00FE2D31">
        <w:rPr>
          <w:bCs/>
          <w:sz w:val="28"/>
          <w:szCs w:val="28"/>
        </w:rPr>
        <w:t>,</w:t>
      </w:r>
      <w:r w:rsidR="00073A5D" w:rsidRPr="00FE2D31">
        <w:rPr>
          <w:bCs/>
          <w:sz w:val="28"/>
          <w:szCs w:val="28"/>
        </w:rPr>
        <w:t xml:space="preserve"> in</w:t>
      </w:r>
      <w:r w:rsidR="00073A5D" w:rsidRPr="00FE2D31">
        <w:rPr>
          <w:bCs/>
          <w:i/>
          <w:sz w:val="28"/>
          <w:szCs w:val="28"/>
        </w:rPr>
        <w:t xml:space="preserve"> </w:t>
      </w:r>
      <w:r w:rsidR="00AB57A1" w:rsidRPr="00FE2D31">
        <w:rPr>
          <w:bCs/>
          <w:i/>
          <w:sz w:val="28"/>
          <w:szCs w:val="28"/>
        </w:rPr>
        <w:t xml:space="preserve">Matjhabeng, </w:t>
      </w:r>
      <w:r w:rsidR="00AB57A1" w:rsidRPr="00FE2D31">
        <w:rPr>
          <w:bCs/>
          <w:sz w:val="28"/>
          <w:szCs w:val="28"/>
        </w:rPr>
        <w:t xml:space="preserve">a </w:t>
      </w:r>
      <w:r w:rsidR="00AB57A1" w:rsidRPr="00FE2D31">
        <w:rPr>
          <w:bCs/>
          <w:i/>
          <w:sz w:val="28"/>
          <w:szCs w:val="28"/>
        </w:rPr>
        <w:t>rule nisi</w:t>
      </w:r>
      <w:r w:rsidR="00AB57A1" w:rsidRPr="00FE2D31">
        <w:rPr>
          <w:bCs/>
          <w:sz w:val="28"/>
          <w:szCs w:val="28"/>
        </w:rPr>
        <w:t xml:space="preserve"> was granted </w:t>
      </w:r>
      <w:r w:rsidR="00AB57A1" w:rsidRPr="00FE2D31">
        <w:rPr>
          <w:bCs/>
          <w:i/>
          <w:sz w:val="28"/>
          <w:szCs w:val="28"/>
        </w:rPr>
        <w:t>ex parte</w:t>
      </w:r>
      <w:r w:rsidR="00AB57A1" w:rsidRPr="00FE2D31">
        <w:rPr>
          <w:bCs/>
          <w:sz w:val="28"/>
          <w:szCs w:val="28"/>
        </w:rPr>
        <w:t xml:space="preserve"> calling upon the municipal manager to appear before court. He had neither been cited nor joined in his personal capacity as a party to the proceedings. He was </w:t>
      </w:r>
      <w:r w:rsidR="00AB57A1" w:rsidRPr="00FE2D31">
        <w:rPr>
          <w:bCs/>
          <w:sz w:val="28"/>
          <w:szCs w:val="28"/>
        </w:rPr>
        <w:lastRenderedPageBreak/>
        <w:t>cross-</w:t>
      </w:r>
      <w:r w:rsidR="006A0110" w:rsidRPr="00FE2D31">
        <w:rPr>
          <w:bCs/>
          <w:sz w:val="28"/>
          <w:szCs w:val="28"/>
        </w:rPr>
        <w:t> </w:t>
      </w:r>
      <w:r w:rsidR="00AB57A1" w:rsidRPr="00FE2D31">
        <w:rPr>
          <w:bCs/>
          <w:sz w:val="28"/>
          <w:szCs w:val="28"/>
        </w:rPr>
        <w:t xml:space="preserve">examined by the judge and Eskom’s counsel with no evidence being led and was not given an opportunity to comment on the allegations before being cross-examined. He was not </w:t>
      </w:r>
      <w:r w:rsidR="005370A1" w:rsidRPr="00FE2D31">
        <w:rPr>
          <w:bCs/>
          <w:sz w:val="28"/>
          <w:szCs w:val="28"/>
        </w:rPr>
        <w:t>legally represented</w:t>
      </w:r>
      <w:r w:rsidR="00AB57A1" w:rsidRPr="00FE2D31">
        <w:rPr>
          <w:bCs/>
          <w:sz w:val="28"/>
          <w:szCs w:val="28"/>
        </w:rPr>
        <w:t xml:space="preserve"> or forewarned that committal to prison could be imposed. Had he known</w:t>
      </w:r>
      <w:r w:rsidR="00AB57A1" w:rsidRPr="00FE2D31">
        <w:rPr>
          <w:b/>
          <w:bCs/>
          <w:sz w:val="28"/>
          <w:szCs w:val="28"/>
        </w:rPr>
        <w:t xml:space="preserve"> </w:t>
      </w:r>
      <w:r w:rsidR="00AB57A1" w:rsidRPr="00FE2D31">
        <w:rPr>
          <w:bCs/>
          <w:sz w:val="28"/>
          <w:szCs w:val="28"/>
        </w:rPr>
        <w:t xml:space="preserve">all </w:t>
      </w:r>
      <w:r w:rsidR="00C500C5" w:rsidRPr="00FE2D31">
        <w:rPr>
          <w:bCs/>
          <w:sz w:val="28"/>
          <w:szCs w:val="28"/>
        </w:rPr>
        <w:t xml:space="preserve">of </w:t>
      </w:r>
      <w:r w:rsidR="00AB57A1" w:rsidRPr="00FE2D31">
        <w:rPr>
          <w:bCs/>
          <w:sz w:val="28"/>
          <w:szCs w:val="28"/>
        </w:rPr>
        <w:t>this</w:t>
      </w:r>
      <w:r w:rsidR="00C500C5" w:rsidRPr="00FE2D31">
        <w:rPr>
          <w:bCs/>
          <w:sz w:val="28"/>
          <w:szCs w:val="28"/>
        </w:rPr>
        <w:t>,</w:t>
      </w:r>
      <w:r w:rsidR="00AB57A1" w:rsidRPr="00FE2D31">
        <w:rPr>
          <w:bCs/>
          <w:sz w:val="28"/>
          <w:szCs w:val="28"/>
        </w:rPr>
        <w:t xml:space="preserve"> he might have asked for </w:t>
      </w:r>
      <w:r w:rsidR="005370A1" w:rsidRPr="00FE2D31">
        <w:rPr>
          <w:bCs/>
          <w:sz w:val="28"/>
          <w:szCs w:val="28"/>
        </w:rPr>
        <w:t>a postponement</w:t>
      </w:r>
      <w:r w:rsidR="00AB57A1" w:rsidRPr="00FE2D31">
        <w:rPr>
          <w:bCs/>
          <w:sz w:val="28"/>
          <w:szCs w:val="28"/>
        </w:rPr>
        <w:t xml:space="preserve"> in order to consult with counsel and consider his position.</w:t>
      </w:r>
      <w:r w:rsidR="00AB57A1" w:rsidRPr="00FE2D31">
        <w:rPr>
          <w:rStyle w:val="FootnoteReference"/>
          <w:bCs/>
          <w:sz w:val="28"/>
          <w:szCs w:val="28"/>
        </w:rPr>
        <w:footnoteReference w:id="7"/>
      </w:r>
      <w:r w:rsidR="00AB57A1" w:rsidRPr="00FE2D31">
        <w:rPr>
          <w:bCs/>
          <w:sz w:val="28"/>
          <w:szCs w:val="28"/>
        </w:rPr>
        <w:t xml:space="preserve"> </w:t>
      </w:r>
    </w:p>
    <w:p w14:paraId="63B2FB32" w14:textId="77777777" w:rsidR="00AB57A1" w:rsidRPr="00FE2D31" w:rsidRDefault="00AB57A1" w:rsidP="00DC0CF6">
      <w:pPr>
        <w:rPr>
          <w:bCs/>
          <w:sz w:val="28"/>
          <w:szCs w:val="28"/>
        </w:rPr>
      </w:pPr>
    </w:p>
    <w:p w14:paraId="645B8DE5" w14:textId="118E59A6" w:rsidR="002F6025" w:rsidRPr="00FE2D31" w:rsidRDefault="00042474" w:rsidP="00042474">
      <w:pPr>
        <w:tabs>
          <w:tab w:val="left" w:pos="0"/>
        </w:tabs>
        <w:rPr>
          <w:bCs/>
          <w:sz w:val="28"/>
          <w:szCs w:val="28"/>
        </w:rPr>
      </w:pPr>
      <w:r w:rsidRPr="00FE2D31">
        <w:rPr>
          <w:sz w:val="28"/>
          <w:szCs w:val="28"/>
        </w:rPr>
        <w:t>[18]</w:t>
      </w:r>
      <w:r w:rsidRPr="00FE2D31">
        <w:rPr>
          <w:sz w:val="28"/>
          <w:szCs w:val="28"/>
        </w:rPr>
        <w:tab/>
      </w:r>
      <w:r w:rsidR="00AB57A1" w:rsidRPr="00FE2D31">
        <w:rPr>
          <w:bCs/>
          <w:sz w:val="28"/>
          <w:szCs w:val="28"/>
        </w:rPr>
        <w:t>In th</w:t>
      </w:r>
      <w:r w:rsidR="0053206C" w:rsidRPr="00FE2D31">
        <w:rPr>
          <w:bCs/>
          <w:sz w:val="28"/>
          <w:szCs w:val="28"/>
        </w:rPr>
        <w:t>e present matter</w:t>
      </w:r>
      <w:r w:rsidR="00AB57A1" w:rsidRPr="00FE2D31">
        <w:rPr>
          <w:bCs/>
          <w:sz w:val="28"/>
          <w:szCs w:val="28"/>
        </w:rPr>
        <w:t>, the directors were cited as respondents in the</w:t>
      </w:r>
      <w:r w:rsidR="00D01953" w:rsidRPr="00FE2D31">
        <w:rPr>
          <w:bCs/>
          <w:sz w:val="28"/>
          <w:szCs w:val="28"/>
        </w:rPr>
        <w:t xml:space="preserve"> joinder a</w:t>
      </w:r>
      <w:r w:rsidR="005370A1" w:rsidRPr="00FE2D31">
        <w:rPr>
          <w:bCs/>
          <w:sz w:val="28"/>
          <w:szCs w:val="28"/>
        </w:rPr>
        <w:t>nd</w:t>
      </w:r>
      <w:r w:rsidR="00AB57A1" w:rsidRPr="00FE2D31">
        <w:rPr>
          <w:bCs/>
          <w:sz w:val="28"/>
          <w:szCs w:val="28"/>
        </w:rPr>
        <w:t xml:space="preserve"> contempt application. They received the notice of motion</w:t>
      </w:r>
      <w:r w:rsidR="00C56BAA" w:rsidRPr="00FE2D31">
        <w:rPr>
          <w:bCs/>
          <w:sz w:val="28"/>
          <w:szCs w:val="28"/>
        </w:rPr>
        <w:t>,</w:t>
      </w:r>
      <w:r w:rsidR="00AB57A1" w:rsidRPr="00FE2D31">
        <w:rPr>
          <w:bCs/>
          <w:sz w:val="28"/>
          <w:szCs w:val="28"/>
        </w:rPr>
        <w:t xml:space="preserve"> which clearly </w:t>
      </w:r>
      <w:r w:rsidR="00D01953" w:rsidRPr="00FE2D31">
        <w:rPr>
          <w:bCs/>
          <w:sz w:val="28"/>
          <w:szCs w:val="28"/>
        </w:rPr>
        <w:t xml:space="preserve">set </w:t>
      </w:r>
      <w:r w:rsidR="005370A1" w:rsidRPr="00FE2D31">
        <w:rPr>
          <w:bCs/>
          <w:sz w:val="28"/>
          <w:szCs w:val="28"/>
        </w:rPr>
        <w:t>out the</w:t>
      </w:r>
      <w:r w:rsidR="00AB57A1" w:rsidRPr="00FE2D31">
        <w:rPr>
          <w:bCs/>
          <w:sz w:val="28"/>
          <w:szCs w:val="28"/>
        </w:rPr>
        <w:t xml:space="preserve"> relief </w:t>
      </w:r>
      <w:r w:rsidR="00C56BAA" w:rsidRPr="00FE2D31">
        <w:rPr>
          <w:bCs/>
          <w:sz w:val="28"/>
          <w:szCs w:val="28"/>
        </w:rPr>
        <w:t xml:space="preserve">sought </w:t>
      </w:r>
      <w:r w:rsidR="00AB57A1" w:rsidRPr="00FE2D31">
        <w:rPr>
          <w:bCs/>
          <w:sz w:val="28"/>
          <w:szCs w:val="28"/>
        </w:rPr>
        <w:t>against them. They had time to seek legal counsel, to consider the application and the</w:t>
      </w:r>
      <w:r w:rsidR="00271D8A" w:rsidRPr="00FE2D31">
        <w:rPr>
          <w:bCs/>
          <w:sz w:val="28"/>
          <w:szCs w:val="28"/>
        </w:rPr>
        <w:t>ir</w:t>
      </w:r>
      <w:r w:rsidR="00AB57A1" w:rsidRPr="00FE2D31">
        <w:rPr>
          <w:bCs/>
          <w:sz w:val="28"/>
          <w:szCs w:val="28"/>
        </w:rPr>
        <w:t xml:space="preserve"> position in regard thereto. They clearly knew what the case was against them</w:t>
      </w:r>
      <w:r w:rsidR="00144C3D" w:rsidRPr="00FE2D31">
        <w:rPr>
          <w:bCs/>
          <w:sz w:val="28"/>
          <w:szCs w:val="28"/>
        </w:rPr>
        <w:t>. Specifically,</w:t>
      </w:r>
      <w:r w:rsidR="00AB57A1" w:rsidRPr="00FE2D31">
        <w:rPr>
          <w:bCs/>
          <w:sz w:val="28"/>
          <w:szCs w:val="28"/>
        </w:rPr>
        <w:t xml:space="preserve"> </w:t>
      </w:r>
      <w:r w:rsidR="00144C3D" w:rsidRPr="00FE2D31">
        <w:rPr>
          <w:bCs/>
          <w:sz w:val="28"/>
          <w:szCs w:val="28"/>
        </w:rPr>
        <w:t xml:space="preserve">they were aware </w:t>
      </w:r>
      <w:r w:rsidR="00AB57A1" w:rsidRPr="00FE2D31">
        <w:rPr>
          <w:bCs/>
          <w:sz w:val="28"/>
          <w:szCs w:val="28"/>
        </w:rPr>
        <w:t xml:space="preserve">that not only </w:t>
      </w:r>
      <w:r w:rsidR="004358EB" w:rsidRPr="00FE2D31">
        <w:rPr>
          <w:bCs/>
          <w:sz w:val="28"/>
          <w:szCs w:val="28"/>
        </w:rPr>
        <w:t>was joinder</w:t>
      </w:r>
      <w:r w:rsidR="00AB57A1" w:rsidRPr="00FE2D31">
        <w:rPr>
          <w:bCs/>
          <w:sz w:val="28"/>
          <w:szCs w:val="28"/>
        </w:rPr>
        <w:t xml:space="preserve"> sought</w:t>
      </w:r>
      <w:r w:rsidR="00C56BAA" w:rsidRPr="00FE2D31">
        <w:rPr>
          <w:bCs/>
          <w:sz w:val="28"/>
          <w:szCs w:val="28"/>
        </w:rPr>
        <w:t xml:space="preserve">, </w:t>
      </w:r>
      <w:r w:rsidR="005D1FF9" w:rsidRPr="00FE2D31">
        <w:rPr>
          <w:bCs/>
          <w:sz w:val="28"/>
          <w:szCs w:val="28"/>
        </w:rPr>
        <w:t xml:space="preserve">but equally aware that </w:t>
      </w:r>
      <w:r w:rsidR="004358EB" w:rsidRPr="00FE2D31">
        <w:rPr>
          <w:bCs/>
          <w:sz w:val="28"/>
          <w:szCs w:val="28"/>
        </w:rPr>
        <w:t>the court</w:t>
      </w:r>
      <w:r w:rsidR="00AB57A1" w:rsidRPr="00FE2D31">
        <w:rPr>
          <w:bCs/>
          <w:sz w:val="28"/>
          <w:szCs w:val="28"/>
        </w:rPr>
        <w:t xml:space="preserve"> was also </w:t>
      </w:r>
      <w:r w:rsidR="00C56BAA" w:rsidRPr="00FE2D31">
        <w:rPr>
          <w:bCs/>
          <w:sz w:val="28"/>
          <w:szCs w:val="28"/>
        </w:rPr>
        <w:t xml:space="preserve">asked to </w:t>
      </w:r>
      <w:r w:rsidR="00AB57A1" w:rsidRPr="00FE2D31">
        <w:rPr>
          <w:bCs/>
          <w:sz w:val="28"/>
          <w:szCs w:val="28"/>
        </w:rPr>
        <w:t>find them in contempt of court and impose a penalty, should it find</w:t>
      </w:r>
      <w:r w:rsidR="00144C3D" w:rsidRPr="00FE2D31">
        <w:rPr>
          <w:bCs/>
          <w:sz w:val="28"/>
          <w:szCs w:val="28"/>
        </w:rPr>
        <w:t xml:space="preserve"> them guilty of contempt</w:t>
      </w:r>
      <w:r w:rsidR="00AB57A1" w:rsidRPr="00FE2D31">
        <w:rPr>
          <w:bCs/>
          <w:sz w:val="28"/>
          <w:szCs w:val="28"/>
        </w:rPr>
        <w:t xml:space="preserve">. </w:t>
      </w:r>
      <w:r w:rsidR="002F6025" w:rsidRPr="00FE2D31">
        <w:rPr>
          <w:bCs/>
          <w:sz w:val="28"/>
          <w:szCs w:val="28"/>
        </w:rPr>
        <w:t xml:space="preserve">There </w:t>
      </w:r>
      <w:r w:rsidR="00C56BAA" w:rsidRPr="00FE2D31">
        <w:rPr>
          <w:bCs/>
          <w:sz w:val="28"/>
          <w:szCs w:val="28"/>
        </w:rPr>
        <w:t xml:space="preserve">was no </w:t>
      </w:r>
      <w:r w:rsidR="002F6025" w:rsidRPr="00FE2D31">
        <w:rPr>
          <w:bCs/>
          <w:sz w:val="28"/>
          <w:szCs w:val="28"/>
        </w:rPr>
        <w:t xml:space="preserve">suggestion </w:t>
      </w:r>
      <w:r w:rsidR="006B1C2C" w:rsidRPr="00FE2D31">
        <w:rPr>
          <w:bCs/>
          <w:sz w:val="28"/>
          <w:szCs w:val="28"/>
        </w:rPr>
        <w:t xml:space="preserve">either </w:t>
      </w:r>
      <w:r w:rsidR="002F6025" w:rsidRPr="00FE2D31">
        <w:rPr>
          <w:bCs/>
          <w:sz w:val="28"/>
          <w:szCs w:val="28"/>
        </w:rPr>
        <w:t xml:space="preserve">in the papers </w:t>
      </w:r>
      <w:r w:rsidR="00C56BAA" w:rsidRPr="00FE2D31">
        <w:rPr>
          <w:bCs/>
          <w:sz w:val="28"/>
          <w:szCs w:val="28"/>
        </w:rPr>
        <w:t xml:space="preserve">or </w:t>
      </w:r>
      <w:r w:rsidR="002F6025" w:rsidRPr="00FE2D31">
        <w:rPr>
          <w:bCs/>
          <w:sz w:val="28"/>
          <w:szCs w:val="28"/>
        </w:rPr>
        <w:t xml:space="preserve">in argument that the directors were not aware of the allegations against them and </w:t>
      </w:r>
      <w:r w:rsidR="00C56BAA" w:rsidRPr="00FE2D31">
        <w:rPr>
          <w:bCs/>
          <w:sz w:val="28"/>
          <w:szCs w:val="28"/>
        </w:rPr>
        <w:t xml:space="preserve">that they </w:t>
      </w:r>
      <w:r w:rsidR="002F6025" w:rsidRPr="00FE2D31">
        <w:rPr>
          <w:bCs/>
          <w:sz w:val="28"/>
          <w:szCs w:val="28"/>
        </w:rPr>
        <w:t>needed time to consult with counsel and prepare their case.</w:t>
      </w:r>
    </w:p>
    <w:p w14:paraId="275F7724" w14:textId="77777777" w:rsidR="002F6025" w:rsidRPr="00FE2D31" w:rsidRDefault="002F6025" w:rsidP="00DC0CF6">
      <w:pPr>
        <w:rPr>
          <w:bCs/>
          <w:sz w:val="28"/>
          <w:szCs w:val="28"/>
        </w:rPr>
      </w:pPr>
    </w:p>
    <w:p w14:paraId="4E60F08C" w14:textId="21F6BBC6" w:rsidR="00776F0E" w:rsidRPr="00FE2D31" w:rsidRDefault="00042474" w:rsidP="00042474">
      <w:pPr>
        <w:tabs>
          <w:tab w:val="left" w:pos="0"/>
        </w:tabs>
        <w:rPr>
          <w:bCs/>
          <w:sz w:val="28"/>
          <w:szCs w:val="28"/>
        </w:rPr>
      </w:pPr>
      <w:r w:rsidRPr="00FE2D31">
        <w:rPr>
          <w:sz w:val="28"/>
          <w:szCs w:val="28"/>
        </w:rPr>
        <w:t>[19]</w:t>
      </w:r>
      <w:r w:rsidRPr="00FE2D31">
        <w:rPr>
          <w:sz w:val="28"/>
          <w:szCs w:val="28"/>
        </w:rPr>
        <w:tab/>
      </w:r>
      <w:r w:rsidR="00AB57A1" w:rsidRPr="00FE2D31">
        <w:rPr>
          <w:bCs/>
          <w:sz w:val="28"/>
          <w:szCs w:val="28"/>
        </w:rPr>
        <w:t>The resolution authorising the second respondent to depose to an affidavit was signed by each of the directors, which is a clear indication that they knew about the application. They also each filed confirmatory affidavits to the answering affidavit</w:t>
      </w:r>
      <w:r w:rsidR="00B73C05" w:rsidRPr="00FE2D31">
        <w:rPr>
          <w:bCs/>
          <w:sz w:val="28"/>
          <w:szCs w:val="28"/>
        </w:rPr>
        <w:t xml:space="preserve"> depose</w:t>
      </w:r>
      <w:r w:rsidR="00D67385" w:rsidRPr="00FE2D31">
        <w:rPr>
          <w:bCs/>
          <w:sz w:val="28"/>
          <w:szCs w:val="28"/>
        </w:rPr>
        <w:t>d to by one of them</w:t>
      </w:r>
      <w:r w:rsidR="00AB57A1" w:rsidRPr="00FE2D31">
        <w:rPr>
          <w:bCs/>
          <w:sz w:val="28"/>
          <w:szCs w:val="28"/>
        </w:rPr>
        <w:t>.</w:t>
      </w:r>
      <w:r w:rsidR="002F6025" w:rsidRPr="00FE2D31">
        <w:rPr>
          <w:bCs/>
          <w:sz w:val="28"/>
          <w:szCs w:val="28"/>
        </w:rPr>
        <w:t xml:space="preserve"> </w:t>
      </w:r>
    </w:p>
    <w:p w14:paraId="695A6F58" w14:textId="77777777" w:rsidR="00776F0E" w:rsidRPr="00FE2D31" w:rsidRDefault="00776F0E" w:rsidP="00776F0E">
      <w:pPr>
        <w:pStyle w:val="ListParagraph"/>
        <w:rPr>
          <w:bCs/>
          <w:sz w:val="28"/>
          <w:szCs w:val="28"/>
        </w:rPr>
      </w:pPr>
    </w:p>
    <w:p w14:paraId="3CCC5376" w14:textId="557C708D" w:rsidR="00144C3D" w:rsidRPr="00FE2D31" w:rsidRDefault="00042474" w:rsidP="00042474">
      <w:pPr>
        <w:tabs>
          <w:tab w:val="left" w:pos="0"/>
        </w:tabs>
        <w:rPr>
          <w:bCs/>
          <w:sz w:val="28"/>
          <w:szCs w:val="28"/>
        </w:rPr>
      </w:pPr>
      <w:r w:rsidRPr="00FE2D31">
        <w:rPr>
          <w:sz w:val="28"/>
          <w:szCs w:val="28"/>
        </w:rPr>
        <w:t>[20]</w:t>
      </w:r>
      <w:r w:rsidRPr="00FE2D31">
        <w:rPr>
          <w:sz w:val="28"/>
          <w:szCs w:val="28"/>
        </w:rPr>
        <w:tab/>
      </w:r>
      <w:r w:rsidR="00AB57A1" w:rsidRPr="00FE2D31">
        <w:rPr>
          <w:bCs/>
          <w:sz w:val="28"/>
          <w:szCs w:val="28"/>
        </w:rPr>
        <w:t>Furthermore, in the answering affidavit it was expressly stated</w:t>
      </w:r>
      <w:r w:rsidR="00144C3D" w:rsidRPr="00FE2D31">
        <w:rPr>
          <w:bCs/>
          <w:sz w:val="28"/>
          <w:szCs w:val="28"/>
        </w:rPr>
        <w:t>:</w:t>
      </w:r>
    </w:p>
    <w:p w14:paraId="05AAB854" w14:textId="41DC1DB4" w:rsidR="00144C3D" w:rsidRPr="00FE2D31" w:rsidRDefault="00144C3D" w:rsidP="00144C3D">
      <w:pPr>
        <w:tabs>
          <w:tab w:val="left" w:pos="0"/>
        </w:tabs>
        <w:rPr>
          <w:bCs/>
          <w:sz w:val="28"/>
          <w:szCs w:val="28"/>
        </w:rPr>
      </w:pPr>
      <w:r w:rsidRPr="00FE2D31">
        <w:rPr>
          <w:bCs/>
          <w:sz w:val="28"/>
          <w:szCs w:val="28"/>
        </w:rPr>
        <w:lastRenderedPageBreak/>
        <w:t>‘</w:t>
      </w:r>
      <w:r w:rsidRPr="00FE2D31">
        <w:rPr>
          <w:bCs/>
        </w:rPr>
        <w:t>7. While I dispute the liability of [Bila’s] directors for contempt of court, for the reasons</w:t>
      </w:r>
      <w:r w:rsidR="00237572" w:rsidRPr="00FE2D31">
        <w:rPr>
          <w:bCs/>
        </w:rPr>
        <w:t xml:space="preserve"> dealt</w:t>
      </w:r>
      <w:r w:rsidRPr="00FE2D31">
        <w:rPr>
          <w:bCs/>
        </w:rPr>
        <w:t xml:space="preserve"> with in the rest of this affidavit, I am advised that the joinder of the directors as respondents will not be opposed.</w:t>
      </w:r>
      <w:r w:rsidRPr="00FE2D31">
        <w:rPr>
          <w:bCs/>
          <w:sz w:val="28"/>
          <w:szCs w:val="28"/>
        </w:rPr>
        <w:t xml:space="preserve">’ </w:t>
      </w:r>
    </w:p>
    <w:p w14:paraId="016E158F" w14:textId="77777777" w:rsidR="00144C3D" w:rsidRPr="00FE2D31" w:rsidRDefault="00144C3D" w:rsidP="00DC0CF6">
      <w:pPr>
        <w:rPr>
          <w:bCs/>
          <w:sz w:val="28"/>
          <w:szCs w:val="28"/>
        </w:rPr>
      </w:pPr>
    </w:p>
    <w:p w14:paraId="153F1975" w14:textId="5440D01B" w:rsidR="001A6D2F" w:rsidRPr="00FE2D31" w:rsidRDefault="00042474" w:rsidP="00042474">
      <w:pPr>
        <w:tabs>
          <w:tab w:val="left" w:pos="0"/>
        </w:tabs>
        <w:rPr>
          <w:bCs/>
          <w:sz w:val="28"/>
          <w:szCs w:val="28"/>
        </w:rPr>
      </w:pPr>
      <w:r w:rsidRPr="00FE2D31">
        <w:rPr>
          <w:sz w:val="28"/>
          <w:szCs w:val="28"/>
        </w:rPr>
        <w:t>[21]</w:t>
      </w:r>
      <w:r w:rsidRPr="00FE2D31">
        <w:rPr>
          <w:sz w:val="28"/>
          <w:szCs w:val="28"/>
        </w:rPr>
        <w:tab/>
      </w:r>
      <w:r w:rsidR="00AB57A1" w:rsidRPr="00FE2D31">
        <w:rPr>
          <w:bCs/>
          <w:sz w:val="28"/>
          <w:szCs w:val="28"/>
        </w:rPr>
        <w:t xml:space="preserve">Indeed, none of the respondents opposed the joinder. To the extent </w:t>
      </w:r>
      <w:r w:rsidR="00AE1BCB" w:rsidRPr="00FE2D31">
        <w:rPr>
          <w:bCs/>
          <w:sz w:val="28"/>
          <w:szCs w:val="28"/>
        </w:rPr>
        <w:t xml:space="preserve">that </w:t>
      </w:r>
      <w:r w:rsidR="00AB57A1" w:rsidRPr="00FE2D31">
        <w:rPr>
          <w:bCs/>
          <w:sz w:val="28"/>
          <w:szCs w:val="28"/>
        </w:rPr>
        <w:t xml:space="preserve">it is suggested that the answering affidavit did not represent </w:t>
      </w:r>
      <w:r w:rsidR="00776F0E" w:rsidRPr="00FE2D31">
        <w:rPr>
          <w:bCs/>
          <w:sz w:val="28"/>
          <w:szCs w:val="28"/>
        </w:rPr>
        <w:t>an answer f</w:t>
      </w:r>
      <w:r w:rsidR="00850E16" w:rsidRPr="00FE2D31">
        <w:rPr>
          <w:bCs/>
          <w:sz w:val="28"/>
          <w:szCs w:val="28"/>
        </w:rPr>
        <w:t>or</w:t>
      </w:r>
      <w:r w:rsidR="00776F0E" w:rsidRPr="00FE2D31">
        <w:rPr>
          <w:bCs/>
          <w:sz w:val="28"/>
          <w:szCs w:val="28"/>
        </w:rPr>
        <w:t xml:space="preserve"> all the </w:t>
      </w:r>
      <w:r w:rsidR="00AB57A1" w:rsidRPr="00FE2D31">
        <w:rPr>
          <w:bCs/>
          <w:sz w:val="28"/>
          <w:szCs w:val="28"/>
        </w:rPr>
        <w:t>directors,</w:t>
      </w:r>
      <w:r w:rsidR="00776F0E" w:rsidRPr="00FE2D31">
        <w:rPr>
          <w:bCs/>
          <w:sz w:val="28"/>
          <w:szCs w:val="28"/>
        </w:rPr>
        <w:t xml:space="preserve"> then they would have </w:t>
      </w:r>
      <w:r w:rsidR="00AB57A1" w:rsidRPr="00FE2D31">
        <w:rPr>
          <w:bCs/>
          <w:sz w:val="28"/>
          <w:szCs w:val="28"/>
        </w:rPr>
        <w:t xml:space="preserve">elected not to oppose </w:t>
      </w:r>
      <w:r w:rsidR="00144C3D" w:rsidRPr="00FE2D31">
        <w:rPr>
          <w:bCs/>
          <w:sz w:val="28"/>
          <w:szCs w:val="28"/>
        </w:rPr>
        <w:t>the application seeking their</w:t>
      </w:r>
      <w:r w:rsidR="00AB57A1" w:rsidRPr="00FE2D31">
        <w:rPr>
          <w:bCs/>
          <w:sz w:val="28"/>
          <w:szCs w:val="28"/>
        </w:rPr>
        <w:t xml:space="preserve"> joinder and </w:t>
      </w:r>
      <w:r w:rsidR="00144C3D" w:rsidRPr="00FE2D31">
        <w:rPr>
          <w:bCs/>
          <w:sz w:val="28"/>
          <w:szCs w:val="28"/>
        </w:rPr>
        <w:t xml:space="preserve">to hold them </w:t>
      </w:r>
      <w:r w:rsidR="00AE1BCB" w:rsidRPr="00FE2D31">
        <w:rPr>
          <w:bCs/>
          <w:sz w:val="28"/>
          <w:szCs w:val="28"/>
        </w:rPr>
        <w:t xml:space="preserve">in </w:t>
      </w:r>
      <w:r w:rsidR="00AB57A1" w:rsidRPr="00FE2D31">
        <w:rPr>
          <w:bCs/>
          <w:sz w:val="28"/>
          <w:szCs w:val="28"/>
        </w:rPr>
        <w:t xml:space="preserve">contempt </w:t>
      </w:r>
      <w:r w:rsidR="0092427D" w:rsidRPr="00FE2D31">
        <w:rPr>
          <w:bCs/>
          <w:sz w:val="28"/>
          <w:szCs w:val="28"/>
        </w:rPr>
        <w:t>of which they were aware</w:t>
      </w:r>
      <w:r w:rsidR="005370A1" w:rsidRPr="00FE2D31">
        <w:rPr>
          <w:bCs/>
          <w:sz w:val="28"/>
          <w:szCs w:val="28"/>
        </w:rPr>
        <w:t>.</w:t>
      </w:r>
      <w:r w:rsidR="0092427D" w:rsidRPr="00FE2D31">
        <w:rPr>
          <w:bCs/>
          <w:sz w:val="28"/>
          <w:szCs w:val="28"/>
        </w:rPr>
        <w:t xml:space="preserve"> </w:t>
      </w:r>
    </w:p>
    <w:p w14:paraId="0C34CA55" w14:textId="77777777" w:rsidR="00965F4E" w:rsidRPr="00FE2D31" w:rsidRDefault="00965F4E" w:rsidP="00965F4E">
      <w:pPr>
        <w:tabs>
          <w:tab w:val="left" w:pos="0"/>
        </w:tabs>
        <w:rPr>
          <w:bCs/>
          <w:sz w:val="28"/>
          <w:szCs w:val="28"/>
        </w:rPr>
      </w:pPr>
    </w:p>
    <w:p w14:paraId="30C05F84" w14:textId="39CEF95A" w:rsidR="00D141B2" w:rsidRPr="00FE2D31" w:rsidRDefault="00042474" w:rsidP="00042474">
      <w:pPr>
        <w:tabs>
          <w:tab w:val="left" w:pos="0"/>
        </w:tabs>
        <w:rPr>
          <w:bCs/>
          <w:sz w:val="28"/>
          <w:szCs w:val="28"/>
        </w:rPr>
      </w:pPr>
      <w:r w:rsidRPr="00FE2D31">
        <w:rPr>
          <w:sz w:val="28"/>
          <w:szCs w:val="28"/>
        </w:rPr>
        <w:t>[22]</w:t>
      </w:r>
      <w:r w:rsidRPr="00FE2D31">
        <w:rPr>
          <w:sz w:val="28"/>
          <w:szCs w:val="28"/>
        </w:rPr>
        <w:tab/>
      </w:r>
      <w:r w:rsidR="00A83F3A" w:rsidRPr="00FE2D31">
        <w:rPr>
          <w:bCs/>
          <w:sz w:val="28"/>
          <w:szCs w:val="28"/>
        </w:rPr>
        <w:t xml:space="preserve">Counsel </w:t>
      </w:r>
      <w:r w:rsidR="00144C3D" w:rsidRPr="00FE2D31">
        <w:rPr>
          <w:bCs/>
          <w:sz w:val="28"/>
          <w:szCs w:val="28"/>
        </w:rPr>
        <w:t>for the respondents argued</w:t>
      </w:r>
      <w:r w:rsidR="00A83F3A" w:rsidRPr="00FE2D31">
        <w:rPr>
          <w:bCs/>
          <w:sz w:val="28"/>
          <w:szCs w:val="28"/>
        </w:rPr>
        <w:t xml:space="preserve"> that </w:t>
      </w:r>
      <w:r w:rsidR="00144C3D" w:rsidRPr="00FE2D31">
        <w:rPr>
          <w:bCs/>
          <w:sz w:val="28"/>
          <w:szCs w:val="28"/>
        </w:rPr>
        <w:t xml:space="preserve">a </w:t>
      </w:r>
      <w:r w:rsidR="00A83F3A" w:rsidRPr="00FE2D31">
        <w:rPr>
          <w:bCs/>
          <w:sz w:val="28"/>
          <w:szCs w:val="28"/>
        </w:rPr>
        <w:t xml:space="preserve">contempt </w:t>
      </w:r>
      <w:r w:rsidR="00144C3D" w:rsidRPr="00FE2D31">
        <w:rPr>
          <w:bCs/>
          <w:sz w:val="28"/>
          <w:szCs w:val="28"/>
        </w:rPr>
        <w:t xml:space="preserve">order </w:t>
      </w:r>
      <w:r w:rsidR="00A83F3A" w:rsidRPr="00FE2D31">
        <w:rPr>
          <w:bCs/>
          <w:sz w:val="28"/>
          <w:szCs w:val="28"/>
        </w:rPr>
        <w:t xml:space="preserve">could not be summarily granted </w:t>
      </w:r>
      <w:r w:rsidR="00C44DAE" w:rsidRPr="00FE2D31">
        <w:rPr>
          <w:bCs/>
          <w:sz w:val="28"/>
          <w:szCs w:val="28"/>
        </w:rPr>
        <w:t>after t</w:t>
      </w:r>
      <w:r w:rsidR="00A83F3A" w:rsidRPr="00FE2D31">
        <w:rPr>
          <w:bCs/>
          <w:sz w:val="28"/>
          <w:szCs w:val="28"/>
        </w:rPr>
        <w:t xml:space="preserve">he joinder </w:t>
      </w:r>
      <w:r w:rsidR="007A58B4" w:rsidRPr="00FE2D31">
        <w:rPr>
          <w:bCs/>
          <w:sz w:val="28"/>
          <w:szCs w:val="28"/>
        </w:rPr>
        <w:t xml:space="preserve">because the </w:t>
      </w:r>
      <w:r w:rsidR="00A83F3A" w:rsidRPr="00FE2D31">
        <w:rPr>
          <w:bCs/>
          <w:sz w:val="28"/>
          <w:szCs w:val="28"/>
        </w:rPr>
        <w:t xml:space="preserve">directors </w:t>
      </w:r>
      <w:r w:rsidR="007A58B4" w:rsidRPr="00FE2D31">
        <w:rPr>
          <w:bCs/>
          <w:sz w:val="28"/>
          <w:szCs w:val="28"/>
        </w:rPr>
        <w:t xml:space="preserve">could not </w:t>
      </w:r>
      <w:r w:rsidR="00A83F3A" w:rsidRPr="00FE2D31">
        <w:rPr>
          <w:bCs/>
          <w:sz w:val="28"/>
          <w:szCs w:val="28"/>
        </w:rPr>
        <w:t>provid</w:t>
      </w:r>
      <w:r w:rsidR="007A58B4" w:rsidRPr="00FE2D31">
        <w:rPr>
          <w:bCs/>
          <w:sz w:val="28"/>
          <w:szCs w:val="28"/>
        </w:rPr>
        <w:t xml:space="preserve">e </w:t>
      </w:r>
      <w:r w:rsidR="00A83F3A" w:rsidRPr="00FE2D31">
        <w:rPr>
          <w:bCs/>
          <w:sz w:val="28"/>
          <w:szCs w:val="28"/>
        </w:rPr>
        <w:t>answer</w:t>
      </w:r>
      <w:r w:rsidR="007A58B4" w:rsidRPr="00FE2D31">
        <w:rPr>
          <w:bCs/>
          <w:sz w:val="28"/>
          <w:szCs w:val="28"/>
        </w:rPr>
        <w:t>s</w:t>
      </w:r>
      <w:r w:rsidR="00A83F3A" w:rsidRPr="00FE2D31">
        <w:rPr>
          <w:bCs/>
          <w:sz w:val="28"/>
          <w:szCs w:val="28"/>
        </w:rPr>
        <w:t xml:space="preserve"> to the founding affidavit as they were not yet parties to the application and therefore were not obliged to file a response.</w:t>
      </w:r>
      <w:r w:rsidR="00144C3D" w:rsidRPr="00FE2D31">
        <w:rPr>
          <w:bCs/>
          <w:sz w:val="28"/>
          <w:szCs w:val="28"/>
        </w:rPr>
        <w:t xml:space="preserve"> He submitted that</w:t>
      </w:r>
      <w:r w:rsidR="00A83F3A" w:rsidRPr="00FE2D31">
        <w:rPr>
          <w:bCs/>
          <w:sz w:val="28"/>
          <w:szCs w:val="28"/>
        </w:rPr>
        <w:t xml:space="preserve"> the answering affidavit was only filed on behalf of Bila and deposed to by the second respondent</w:t>
      </w:r>
      <w:r w:rsidR="001A6D2F" w:rsidRPr="00FE2D31">
        <w:rPr>
          <w:bCs/>
          <w:sz w:val="28"/>
          <w:szCs w:val="28"/>
        </w:rPr>
        <w:t xml:space="preserve"> as indicated </w:t>
      </w:r>
      <w:r w:rsidR="005370A1" w:rsidRPr="00FE2D31">
        <w:rPr>
          <w:bCs/>
          <w:sz w:val="28"/>
          <w:szCs w:val="28"/>
        </w:rPr>
        <w:t>in the</w:t>
      </w:r>
      <w:r w:rsidR="001A6D2F" w:rsidRPr="00FE2D31">
        <w:rPr>
          <w:bCs/>
          <w:sz w:val="28"/>
          <w:szCs w:val="28"/>
        </w:rPr>
        <w:t xml:space="preserve"> answering affidavit</w:t>
      </w:r>
      <w:r w:rsidR="005370A1" w:rsidRPr="00FE2D31">
        <w:rPr>
          <w:bCs/>
          <w:sz w:val="28"/>
          <w:szCs w:val="28"/>
        </w:rPr>
        <w:t>.</w:t>
      </w:r>
      <w:r w:rsidR="001A6D2F" w:rsidRPr="00FE2D31">
        <w:rPr>
          <w:bCs/>
          <w:sz w:val="28"/>
          <w:szCs w:val="28"/>
        </w:rPr>
        <w:t xml:space="preserve"> </w:t>
      </w:r>
    </w:p>
    <w:p w14:paraId="5F1D25C4" w14:textId="77777777" w:rsidR="00114C48" w:rsidRPr="00FE2D31" w:rsidRDefault="00114C48" w:rsidP="00DC0CF6">
      <w:pPr>
        <w:rPr>
          <w:bCs/>
          <w:sz w:val="28"/>
          <w:szCs w:val="28"/>
        </w:rPr>
      </w:pPr>
    </w:p>
    <w:p w14:paraId="6F225948" w14:textId="09F93E12" w:rsidR="00965F4E" w:rsidRPr="00FE2D31" w:rsidRDefault="00042474" w:rsidP="00042474">
      <w:pPr>
        <w:tabs>
          <w:tab w:val="left" w:pos="0"/>
        </w:tabs>
        <w:rPr>
          <w:bCs/>
          <w:sz w:val="28"/>
          <w:szCs w:val="28"/>
        </w:rPr>
      </w:pPr>
      <w:r w:rsidRPr="00FE2D31">
        <w:rPr>
          <w:sz w:val="28"/>
          <w:szCs w:val="28"/>
        </w:rPr>
        <w:t>[23]</w:t>
      </w:r>
      <w:r w:rsidRPr="00FE2D31">
        <w:rPr>
          <w:sz w:val="28"/>
          <w:szCs w:val="28"/>
        </w:rPr>
        <w:tab/>
      </w:r>
      <w:r w:rsidR="0016737B" w:rsidRPr="00FE2D31">
        <w:rPr>
          <w:bCs/>
          <w:sz w:val="28"/>
          <w:szCs w:val="28"/>
        </w:rPr>
        <w:t>The answering affidavit</w:t>
      </w:r>
      <w:r w:rsidR="007A58B4" w:rsidRPr="00FE2D31">
        <w:rPr>
          <w:bCs/>
          <w:sz w:val="28"/>
          <w:szCs w:val="28"/>
        </w:rPr>
        <w:t>,</w:t>
      </w:r>
      <w:r w:rsidR="00952065" w:rsidRPr="00FE2D31">
        <w:rPr>
          <w:bCs/>
          <w:sz w:val="28"/>
          <w:szCs w:val="28"/>
        </w:rPr>
        <w:t xml:space="preserve"> which </w:t>
      </w:r>
      <w:r w:rsidR="00C44DAE" w:rsidRPr="00FE2D31">
        <w:rPr>
          <w:bCs/>
          <w:sz w:val="28"/>
          <w:szCs w:val="28"/>
        </w:rPr>
        <w:t xml:space="preserve">is </w:t>
      </w:r>
      <w:r w:rsidR="0016737B" w:rsidRPr="00FE2D31">
        <w:rPr>
          <w:bCs/>
          <w:sz w:val="28"/>
          <w:szCs w:val="28"/>
        </w:rPr>
        <w:t>attribute</w:t>
      </w:r>
      <w:r w:rsidR="00C44DAE" w:rsidRPr="00FE2D31">
        <w:rPr>
          <w:bCs/>
          <w:sz w:val="28"/>
          <w:szCs w:val="28"/>
        </w:rPr>
        <w:t>d solely</w:t>
      </w:r>
      <w:r w:rsidR="0016737B" w:rsidRPr="00FE2D31">
        <w:rPr>
          <w:bCs/>
          <w:sz w:val="28"/>
          <w:szCs w:val="28"/>
        </w:rPr>
        <w:t xml:space="preserve"> to Bila</w:t>
      </w:r>
      <w:r w:rsidR="00C44DAE" w:rsidRPr="00FE2D31">
        <w:rPr>
          <w:bCs/>
          <w:sz w:val="28"/>
          <w:szCs w:val="28"/>
        </w:rPr>
        <w:t>,</w:t>
      </w:r>
      <w:r w:rsidR="0016737B" w:rsidRPr="00FE2D31">
        <w:rPr>
          <w:bCs/>
          <w:sz w:val="28"/>
          <w:szCs w:val="28"/>
        </w:rPr>
        <w:t xml:space="preserve"> did not raise any issue with the contempt order being sought simultaneously with the joinder of the directors. </w:t>
      </w:r>
      <w:r w:rsidR="00114C48" w:rsidRPr="00FE2D31">
        <w:rPr>
          <w:bCs/>
          <w:sz w:val="28"/>
          <w:szCs w:val="28"/>
        </w:rPr>
        <w:t xml:space="preserve">It went ahead to address the merits of the contempt case. </w:t>
      </w:r>
      <w:r w:rsidR="00A947F8" w:rsidRPr="00FE2D31">
        <w:rPr>
          <w:bCs/>
          <w:sz w:val="28"/>
          <w:szCs w:val="28"/>
        </w:rPr>
        <w:t xml:space="preserve">In several </w:t>
      </w:r>
      <w:r w:rsidR="00114C48" w:rsidRPr="00FE2D31">
        <w:rPr>
          <w:bCs/>
          <w:sz w:val="28"/>
          <w:szCs w:val="28"/>
        </w:rPr>
        <w:t>paragraphs of the answering affidavit</w:t>
      </w:r>
      <w:r w:rsidR="006B1C2C" w:rsidRPr="00FE2D31">
        <w:rPr>
          <w:bCs/>
          <w:sz w:val="28"/>
          <w:szCs w:val="28"/>
        </w:rPr>
        <w:t>,</w:t>
      </w:r>
      <w:r w:rsidR="00114C48" w:rsidRPr="00FE2D31">
        <w:rPr>
          <w:bCs/>
          <w:sz w:val="28"/>
          <w:szCs w:val="28"/>
        </w:rPr>
        <w:t xml:space="preserve"> </w:t>
      </w:r>
      <w:r w:rsidR="003400DF" w:rsidRPr="00FE2D31">
        <w:rPr>
          <w:bCs/>
          <w:sz w:val="28"/>
          <w:szCs w:val="28"/>
        </w:rPr>
        <w:t>allegations, which</w:t>
      </w:r>
      <w:r w:rsidR="00114C48" w:rsidRPr="00FE2D31">
        <w:rPr>
          <w:bCs/>
          <w:sz w:val="28"/>
          <w:szCs w:val="28"/>
        </w:rPr>
        <w:t xml:space="preserve"> referred to the respondents in </w:t>
      </w:r>
      <w:r w:rsidR="00C44DAE" w:rsidRPr="00FE2D31">
        <w:rPr>
          <w:bCs/>
          <w:sz w:val="28"/>
          <w:szCs w:val="28"/>
        </w:rPr>
        <w:t>plural, are made. The answering affidavit</w:t>
      </w:r>
      <w:r w:rsidR="00114C48" w:rsidRPr="00FE2D31">
        <w:rPr>
          <w:bCs/>
          <w:sz w:val="28"/>
          <w:szCs w:val="28"/>
        </w:rPr>
        <w:t xml:space="preserve"> also ventured allegations and responses on behalf of all the respondents. </w:t>
      </w:r>
      <w:r w:rsidR="00C44DAE" w:rsidRPr="00FE2D31">
        <w:rPr>
          <w:bCs/>
          <w:sz w:val="28"/>
          <w:szCs w:val="28"/>
        </w:rPr>
        <w:t>In this regard</w:t>
      </w:r>
      <w:r w:rsidR="007004D7" w:rsidRPr="00FE2D31">
        <w:rPr>
          <w:bCs/>
          <w:sz w:val="28"/>
          <w:szCs w:val="28"/>
        </w:rPr>
        <w:t>,</w:t>
      </w:r>
      <w:r w:rsidR="00C44DAE" w:rsidRPr="00FE2D31">
        <w:rPr>
          <w:bCs/>
          <w:sz w:val="28"/>
          <w:szCs w:val="28"/>
        </w:rPr>
        <w:t xml:space="preserve"> r</w:t>
      </w:r>
      <w:r w:rsidR="003400DF" w:rsidRPr="00FE2D31">
        <w:rPr>
          <w:bCs/>
          <w:sz w:val="28"/>
          <w:szCs w:val="28"/>
        </w:rPr>
        <w:t xml:space="preserve">easons </w:t>
      </w:r>
      <w:r w:rsidR="00776F0E" w:rsidRPr="00FE2D31">
        <w:rPr>
          <w:bCs/>
          <w:sz w:val="28"/>
          <w:szCs w:val="28"/>
        </w:rPr>
        <w:t>were</w:t>
      </w:r>
      <w:r w:rsidR="003400DF" w:rsidRPr="00FE2D31">
        <w:rPr>
          <w:bCs/>
          <w:sz w:val="28"/>
          <w:szCs w:val="28"/>
        </w:rPr>
        <w:t xml:space="preserve"> </w:t>
      </w:r>
      <w:r w:rsidR="00C44DAE" w:rsidRPr="00FE2D31">
        <w:rPr>
          <w:bCs/>
          <w:sz w:val="28"/>
          <w:szCs w:val="28"/>
        </w:rPr>
        <w:t xml:space="preserve">offered </w:t>
      </w:r>
      <w:r w:rsidR="003400DF" w:rsidRPr="00FE2D31">
        <w:rPr>
          <w:bCs/>
          <w:sz w:val="28"/>
          <w:szCs w:val="28"/>
        </w:rPr>
        <w:t>as to why the respondents could not be found guilty of contempt.</w:t>
      </w:r>
      <w:r w:rsidR="00C44DAE" w:rsidRPr="00FE2D31">
        <w:rPr>
          <w:bCs/>
          <w:sz w:val="28"/>
          <w:szCs w:val="28"/>
        </w:rPr>
        <w:t xml:space="preserve"> The respondents did not distance themselves from these allegations.</w:t>
      </w:r>
      <w:r w:rsidR="00776F0E" w:rsidRPr="00FE2D31">
        <w:rPr>
          <w:bCs/>
          <w:sz w:val="28"/>
          <w:szCs w:val="28"/>
        </w:rPr>
        <w:t xml:space="preserve"> </w:t>
      </w:r>
      <w:r w:rsidR="000D689C" w:rsidRPr="00FE2D31">
        <w:rPr>
          <w:bCs/>
          <w:sz w:val="28"/>
          <w:szCs w:val="28"/>
        </w:rPr>
        <w:t>A</w:t>
      </w:r>
      <w:r w:rsidR="00A76975" w:rsidRPr="00FE2D31">
        <w:rPr>
          <w:bCs/>
          <w:sz w:val="28"/>
          <w:szCs w:val="28"/>
        </w:rPr>
        <w:t xml:space="preserve">nd </w:t>
      </w:r>
      <w:r w:rsidR="005370A1" w:rsidRPr="00FE2D31">
        <w:rPr>
          <w:bCs/>
          <w:sz w:val="28"/>
          <w:szCs w:val="28"/>
        </w:rPr>
        <w:t>no purpose</w:t>
      </w:r>
      <w:r w:rsidR="00965F4E" w:rsidRPr="00FE2D31">
        <w:rPr>
          <w:bCs/>
          <w:sz w:val="28"/>
          <w:szCs w:val="28"/>
        </w:rPr>
        <w:t xml:space="preserve"> would have been served in bringing a </w:t>
      </w:r>
      <w:r w:rsidR="005370A1" w:rsidRPr="00FE2D31">
        <w:rPr>
          <w:bCs/>
          <w:sz w:val="28"/>
          <w:szCs w:val="28"/>
        </w:rPr>
        <w:t>separate contempt</w:t>
      </w:r>
      <w:r w:rsidR="00965F4E" w:rsidRPr="00FE2D31">
        <w:rPr>
          <w:bCs/>
          <w:sz w:val="28"/>
          <w:szCs w:val="28"/>
        </w:rPr>
        <w:t xml:space="preserve"> application from the joinder in these circumstances.</w:t>
      </w:r>
    </w:p>
    <w:p w14:paraId="7C3EAFBC" w14:textId="5A0BA75A" w:rsidR="0016737B" w:rsidRPr="00FE2D31" w:rsidRDefault="0016737B" w:rsidP="00965F4E">
      <w:pPr>
        <w:tabs>
          <w:tab w:val="left" w:pos="0"/>
        </w:tabs>
        <w:rPr>
          <w:bCs/>
          <w:sz w:val="28"/>
          <w:szCs w:val="28"/>
        </w:rPr>
      </w:pPr>
    </w:p>
    <w:p w14:paraId="78AE9E59" w14:textId="0BC1196E" w:rsidR="000613FA" w:rsidRPr="00FE2D31" w:rsidRDefault="00042474" w:rsidP="00042474">
      <w:pPr>
        <w:tabs>
          <w:tab w:val="left" w:pos="0"/>
        </w:tabs>
        <w:rPr>
          <w:bCs/>
          <w:sz w:val="28"/>
          <w:szCs w:val="28"/>
        </w:rPr>
      </w:pPr>
      <w:r w:rsidRPr="00FE2D31">
        <w:rPr>
          <w:sz w:val="28"/>
          <w:szCs w:val="28"/>
        </w:rPr>
        <w:lastRenderedPageBreak/>
        <w:t>[24]</w:t>
      </w:r>
      <w:r w:rsidRPr="00FE2D31">
        <w:rPr>
          <w:sz w:val="28"/>
          <w:szCs w:val="28"/>
        </w:rPr>
        <w:tab/>
      </w:r>
      <w:r w:rsidR="00776F0E" w:rsidRPr="00FE2D31">
        <w:rPr>
          <w:bCs/>
          <w:sz w:val="28"/>
          <w:szCs w:val="28"/>
        </w:rPr>
        <w:t>In c</w:t>
      </w:r>
      <w:r w:rsidR="005C6A1F" w:rsidRPr="00FE2D31">
        <w:rPr>
          <w:bCs/>
          <w:sz w:val="28"/>
          <w:szCs w:val="28"/>
        </w:rPr>
        <w:t xml:space="preserve">hallenging the question of urgency, </w:t>
      </w:r>
      <w:r w:rsidR="00965F4E" w:rsidRPr="00FE2D31">
        <w:rPr>
          <w:bCs/>
          <w:sz w:val="28"/>
          <w:szCs w:val="28"/>
        </w:rPr>
        <w:t xml:space="preserve">it was alleged in the </w:t>
      </w:r>
      <w:r w:rsidR="005C6A1F" w:rsidRPr="00FE2D31">
        <w:rPr>
          <w:bCs/>
          <w:sz w:val="28"/>
          <w:szCs w:val="28"/>
        </w:rPr>
        <w:t xml:space="preserve">answering affidavit that the matter should have been brought by way of </w:t>
      </w:r>
      <w:r w:rsidR="00776F0E" w:rsidRPr="00FE2D31">
        <w:rPr>
          <w:bCs/>
          <w:sz w:val="28"/>
          <w:szCs w:val="28"/>
        </w:rPr>
        <w:t xml:space="preserve">a </w:t>
      </w:r>
      <w:r w:rsidR="005C6A1F" w:rsidRPr="00FE2D31">
        <w:rPr>
          <w:bCs/>
          <w:i/>
          <w:sz w:val="28"/>
          <w:szCs w:val="28"/>
        </w:rPr>
        <w:t>rule nisi</w:t>
      </w:r>
      <w:r w:rsidR="005C6A1F" w:rsidRPr="00FE2D31">
        <w:rPr>
          <w:bCs/>
          <w:sz w:val="28"/>
          <w:szCs w:val="28"/>
        </w:rPr>
        <w:t xml:space="preserve">. Apart from stating that an order should have been sought on terms akin to </w:t>
      </w:r>
      <w:r w:rsidR="005C6A1F" w:rsidRPr="00FE2D31">
        <w:rPr>
          <w:bCs/>
          <w:i/>
          <w:sz w:val="28"/>
          <w:szCs w:val="28"/>
        </w:rPr>
        <w:t>rule nisi</w:t>
      </w:r>
      <w:r w:rsidR="005C6A1F" w:rsidRPr="00FE2D31">
        <w:rPr>
          <w:bCs/>
          <w:sz w:val="28"/>
          <w:szCs w:val="28"/>
        </w:rPr>
        <w:t xml:space="preserve"> proceedings, it is not clear how that is related to the directors’ joinder and summary contempt process. The summary process defence, as already stated, was not pertinently raised as </w:t>
      </w:r>
      <w:r w:rsidR="007004D7" w:rsidRPr="00FE2D31">
        <w:rPr>
          <w:bCs/>
          <w:sz w:val="28"/>
          <w:szCs w:val="28"/>
        </w:rPr>
        <w:t xml:space="preserve">an </w:t>
      </w:r>
      <w:r w:rsidR="005C6A1F" w:rsidRPr="00FE2D31">
        <w:rPr>
          <w:bCs/>
          <w:sz w:val="28"/>
          <w:szCs w:val="28"/>
        </w:rPr>
        <w:t xml:space="preserve">issue in the papers. </w:t>
      </w:r>
      <w:r w:rsidR="00C9092D" w:rsidRPr="00FE2D31">
        <w:rPr>
          <w:bCs/>
          <w:sz w:val="28"/>
          <w:szCs w:val="28"/>
        </w:rPr>
        <w:t xml:space="preserve">Van der Westhuizen J </w:t>
      </w:r>
      <w:r w:rsidR="008272A0" w:rsidRPr="00FE2D31">
        <w:rPr>
          <w:bCs/>
          <w:sz w:val="28"/>
          <w:szCs w:val="28"/>
        </w:rPr>
        <w:t>erred in dismissing the contempt of court application on this basis</w:t>
      </w:r>
      <w:r w:rsidR="005C6A1F" w:rsidRPr="00FE2D31">
        <w:rPr>
          <w:bCs/>
          <w:sz w:val="28"/>
          <w:szCs w:val="28"/>
        </w:rPr>
        <w:t xml:space="preserve">. </w:t>
      </w:r>
      <w:r w:rsidR="00C9092D" w:rsidRPr="00FE2D31">
        <w:rPr>
          <w:bCs/>
          <w:sz w:val="28"/>
          <w:szCs w:val="28"/>
        </w:rPr>
        <w:t xml:space="preserve">He </w:t>
      </w:r>
      <w:r w:rsidR="008272A0" w:rsidRPr="00FE2D31">
        <w:rPr>
          <w:bCs/>
          <w:sz w:val="28"/>
          <w:szCs w:val="28"/>
        </w:rPr>
        <w:t xml:space="preserve">should </w:t>
      </w:r>
      <w:r w:rsidR="000D689C" w:rsidRPr="00FE2D31">
        <w:rPr>
          <w:bCs/>
          <w:sz w:val="28"/>
          <w:szCs w:val="28"/>
        </w:rPr>
        <w:t xml:space="preserve">instead </w:t>
      </w:r>
      <w:r w:rsidR="008272A0" w:rsidRPr="00FE2D31">
        <w:rPr>
          <w:bCs/>
          <w:sz w:val="28"/>
          <w:szCs w:val="28"/>
        </w:rPr>
        <w:t xml:space="preserve">have proceeded to consider the merits in this matter. </w:t>
      </w:r>
    </w:p>
    <w:p w14:paraId="5DFDB4F7" w14:textId="77777777" w:rsidR="000613FA" w:rsidRPr="00FE2D31" w:rsidRDefault="000613FA" w:rsidP="005C6A1F">
      <w:pPr>
        <w:pStyle w:val="ListParagraph"/>
        <w:ind w:left="0"/>
        <w:rPr>
          <w:bCs/>
          <w:sz w:val="28"/>
          <w:szCs w:val="28"/>
        </w:rPr>
      </w:pPr>
    </w:p>
    <w:p w14:paraId="691452A7" w14:textId="77777777" w:rsidR="00B26B97" w:rsidRPr="00FE2D31" w:rsidRDefault="00B26B97" w:rsidP="005C6A1F">
      <w:pPr>
        <w:pStyle w:val="ListParagraph"/>
        <w:ind w:left="0"/>
        <w:rPr>
          <w:b/>
          <w:bCs/>
          <w:sz w:val="28"/>
          <w:szCs w:val="28"/>
        </w:rPr>
      </w:pPr>
      <w:r w:rsidRPr="00FE2D31">
        <w:rPr>
          <w:b/>
          <w:bCs/>
          <w:sz w:val="28"/>
          <w:szCs w:val="28"/>
        </w:rPr>
        <w:t xml:space="preserve">Further conduct of the </w:t>
      </w:r>
      <w:r w:rsidR="00694372" w:rsidRPr="00FE2D31">
        <w:rPr>
          <w:b/>
          <w:bCs/>
          <w:sz w:val="28"/>
          <w:szCs w:val="28"/>
        </w:rPr>
        <w:t>matter</w:t>
      </w:r>
    </w:p>
    <w:p w14:paraId="4BB3B239" w14:textId="4829EEF5" w:rsidR="00C9092D" w:rsidRPr="00FE2D31" w:rsidRDefault="00042474" w:rsidP="00042474">
      <w:pPr>
        <w:tabs>
          <w:tab w:val="left" w:pos="0"/>
        </w:tabs>
        <w:rPr>
          <w:bCs/>
          <w:sz w:val="28"/>
          <w:szCs w:val="28"/>
        </w:rPr>
      </w:pPr>
      <w:r w:rsidRPr="00FE2D31">
        <w:rPr>
          <w:sz w:val="28"/>
          <w:szCs w:val="28"/>
        </w:rPr>
        <w:t>[25]</w:t>
      </w:r>
      <w:r w:rsidRPr="00FE2D31">
        <w:rPr>
          <w:sz w:val="28"/>
          <w:szCs w:val="28"/>
        </w:rPr>
        <w:tab/>
      </w:r>
      <w:r w:rsidR="000613FA" w:rsidRPr="00FE2D31">
        <w:rPr>
          <w:bCs/>
          <w:sz w:val="28"/>
          <w:szCs w:val="28"/>
        </w:rPr>
        <w:t xml:space="preserve">Counsel for </w:t>
      </w:r>
      <w:r w:rsidR="00C9092D" w:rsidRPr="00FE2D31">
        <w:rPr>
          <w:bCs/>
          <w:sz w:val="28"/>
          <w:szCs w:val="28"/>
        </w:rPr>
        <w:t xml:space="preserve">the respondents </w:t>
      </w:r>
      <w:r w:rsidR="000613FA" w:rsidRPr="00FE2D31">
        <w:rPr>
          <w:bCs/>
          <w:sz w:val="28"/>
          <w:szCs w:val="28"/>
        </w:rPr>
        <w:t xml:space="preserve">submitted that, should this Court find that the high court erred in dismissing the contempt relief, then it should remit the matter </w:t>
      </w:r>
      <w:r w:rsidR="006E2EC7" w:rsidRPr="00FE2D31">
        <w:rPr>
          <w:bCs/>
          <w:sz w:val="28"/>
          <w:szCs w:val="28"/>
        </w:rPr>
        <w:t xml:space="preserve">to the high court </w:t>
      </w:r>
      <w:r w:rsidR="000613FA" w:rsidRPr="00FE2D31">
        <w:rPr>
          <w:bCs/>
          <w:sz w:val="28"/>
          <w:szCs w:val="28"/>
        </w:rPr>
        <w:t>for the determination of the merits.</w:t>
      </w:r>
    </w:p>
    <w:p w14:paraId="47C92194" w14:textId="77777777" w:rsidR="00C9092D" w:rsidRPr="00FE2D31" w:rsidRDefault="00C9092D" w:rsidP="00C9092D">
      <w:pPr>
        <w:tabs>
          <w:tab w:val="left" w:pos="0"/>
        </w:tabs>
        <w:rPr>
          <w:bCs/>
          <w:sz w:val="28"/>
          <w:szCs w:val="28"/>
        </w:rPr>
      </w:pPr>
    </w:p>
    <w:p w14:paraId="36DD9301" w14:textId="1AEB18FA" w:rsidR="004B0B7A" w:rsidRPr="00FE2D31" w:rsidRDefault="00042474" w:rsidP="00042474">
      <w:pPr>
        <w:tabs>
          <w:tab w:val="left" w:pos="0"/>
        </w:tabs>
        <w:rPr>
          <w:bCs/>
          <w:sz w:val="28"/>
          <w:szCs w:val="28"/>
        </w:rPr>
      </w:pPr>
      <w:r w:rsidRPr="00FE2D31">
        <w:rPr>
          <w:sz w:val="28"/>
          <w:szCs w:val="28"/>
        </w:rPr>
        <w:t>[26]</w:t>
      </w:r>
      <w:r w:rsidRPr="00FE2D31">
        <w:rPr>
          <w:sz w:val="28"/>
          <w:szCs w:val="28"/>
        </w:rPr>
        <w:tab/>
      </w:r>
      <w:r w:rsidR="00911698" w:rsidRPr="00FE2D31">
        <w:rPr>
          <w:bCs/>
          <w:sz w:val="28"/>
          <w:szCs w:val="28"/>
        </w:rPr>
        <w:t>The difficulty is that</w:t>
      </w:r>
      <w:r w:rsidR="00CE33DB" w:rsidRPr="00FE2D31">
        <w:rPr>
          <w:bCs/>
          <w:sz w:val="28"/>
          <w:szCs w:val="28"/>
        </w:rPr>
        <w:t xml:space="preserve"> while </w:t>
      </w:r>
      <w:r w:rsidR="00C9092D" w:rsidRPr="00FE2D31">
        <w:rPr>
          <w:bCs/>
          <w:sz w:val="28"/>
          <w:szCs w:val="28"/>
        </w:rPr>
        <w:t xml:space="preserve">Van der Westhuizen J </w:t>
      </w:r>
      <w:r w:rsidR="00CE33DB" w:rsidRPr="00FE2D31">
        <w:rPr>
          <w:bCs/>
          <w:sz w:val="28"/>
          <w:szCs w:val="28"/>
        </w:rPr>
        <w:t xml:space="preserve">did not delve into the merits of the contempt matter, </w:t>
      </w:r>
      <w:r w:rsidR="00E94D7F" w:rsidRPr="00FE2D31">
        <w:rPr>
          <w:bCs/>
          <w:sz w:val="28"/>
          <w:szCs w:val="28"/>
        </w:rPr>
        <w:t>he neve</w:t>
      </w:r>
      <w:r w:rsidR="00A87629" w:rsidRPr="00FE2D31">
        <w:rPr>
          <w:bCs/>
          <w:sz w:val="28"/>
          <w:szCs w:val="28"/>
        </w:rPr>
        <w:t>rtheless expressed himself thus</w:t>
      </w:r>
      <w:r w:rsidR="004B0B7A" w:rsidRPr="00FE2D31">
        <w:rPr>
          <w:bCs/>
          <w:sz w:val="28"/>
          <w:szCs w:val="28"/>
        </w:rPr>
        <w:t>:</w:t>
      </w:r>
      <w:r w:rsidR="00776750" w:rsidRPr="00FE2D31">
        <w:rPr>
          <w:bCs/>
          <w:sz w:val="28"/>
          <w:szCs w:val="28"/>
        </w:rPr>
        <w:t xml:space="preserve"> </w:t>
      </w:r>
    </w:p>
    <w:p w14:paraId="3321A838" w14:textId="6D5D663A" w:rsidR="00850E16" w:rsidRPr="00FE2D31" w:rsidRDefault="00850E16" w:rsidP="00464DA6">
      <w:pPr>
        <w:tabs>
          <w:tab w:val="left" w:pos="0"/>
        </w:tabs>
        <w:rPr>
          <w:bCs/>
          <w:sz w:val="28"/>
          <w:szCs w:val="28"/>
        </w:rPr>
      </w:pPr>
      <w:r w:rsidRPr="00FE2D31">
        <w:rPr>
          <w:bCs/>
          <w:sz w:val="28"/>
          <w:szCs w:val="28"/>
        </w:rPr>
        <w:t>‘</w:t>
      </w:r>
      <w:r w:rsidRPr="00FE2D31">
        <w:rPr>
          <w:bCs/>
        </w:rPr>
        <w:t>In my view, the applicant [Samancor] has further shown that:</w:t>
      </w:r>
    </w:p>
    <w:p w14:paraId="2D3F44B0" w14:textId="5D0B7096" w:rsidR="00850E16" w:rsidRPr="00042474" w:rsidRDefault="00042474" w:rsidP="00042474">
      <w:pPr>
        <w:rPr>
          <w:bCs/>
        </w:rPr>
      </w:pPr>
      <w:r w:rsidRPr="00FE2D31">
        <w:rPr>
          <w:bCs/>
        </w:rPr>
        <w:t>(a)</w:t>
      </w:r>
      <w:r w:rsidRPr="00FE2D31">
        <w:rPr>
          <w:bCs/>
        </w:rPr>
        <w:tab/>
      </w:r>
      <w:r w:rsidR="00850E16" w:rsidRPr="00042474">
        <w:rPr>
          <w:bCs/>
        </w:rPr>
        <w:t>the first respondent’s conduct complained of constitutes mining operations, despite the first respondent’s protestations in that regard;</w:t>
      </w:r>
    </w:p>
    <w:p w14:paraId="6F3ACD54" w14:textId="5F492F1B" w:rsidR="00850E16" w:rsidRPr="00042474" w:rsidRDefault="00042474" w:rsidP="00042474">
      <w:pPr>
        <w:rPr>
          <w:bCs/>
          <w:sz w:val="28"/>
          <w:szCs w:val="28"/>
        </w:rPr>
      </w:pPr>
      <w:r w:rsidRPr="00FE2D31">
        <w:rPr>
          <w:bCs/>
        </w:rPr>
        <w:t>(b)</w:t>
      </w:r>
      <w:r w:rsidRPr="00FE2D31">
        <w:rPr>
          <w:bCs/>
        </w:rPr>
        <w:tab/>
      </w:r>
      <w:r w:rsidR="00850E16" w:rsidRPr="00042474">
        <w:rPr>
          <w:bCs/>
        </w:rPr>
        <w:t>the first respondent holds the information to gainsay any allegation by the applicant in that regard, but has decidedly chosen not to inform the court in that instance</w:t>
      </w:r>
      <w:r w:rsidR="00850E16" w:rsidRPr="00042474">
        <w:rPr>
          <w:bCs/>
          <w:sz w:val="28"/>
          <w:szCs w:val="28"/>
        </w:rPr>
        <w:t>;</w:t>
      </w:r>
    </w:p>
    <w:p w14:paraId="3DE414F7" w14:textId="3EF850C8" w:rsidR="00850E16" w:rsidRPr="00042474" w:rsidRDefault="00042474" w:rsidP="00042474">
      <w:pPr>
        <w:rPr>
          <w:bCs/>
        </w:rPr>
      </w:pPr>
      <w:r w:rsidRPr="00FE2D31">
        <w:rPr>
          <w:bCs/>
        </w:rPr>
        <w:t>(c)</w:t>
      </w:r>
      <w:r w:rsidRPr="00FE2D31">
        <w:rPr>
          <w:bCs/>
        </w:rPr>
        <w:tab/>
      </w:r>
      <w:r w:rsidR="00850E16" w:rsidRPr="00042474">
        <w:rPr>
          <w:bCs/>
        </w:rPr>
        <w:t>accordingly, the only inference to be drawn in that respect is that the first respondent is in fact conducting mining operations over the said property as shown by the applicant’s uncontroverted evidence;</w:t>
      </w:r>
    </w:p>
    <w:p w14:paraId="72050E89" w14:textId="49EAD9AD" w:rsidR="00850E16" w:rsidRPr="00042474" w:rsidRDefault="00042474" w:rsidP="00042474">
      <w:pPr>
        <w:rPr>
          <w:bCs/>
        </w:rPr>
      </w:pPr>
      <w:r w:rsidRPr="00FE2D31">
        <w:rPr>
          <w:bCs/>
        </w:rPr>
        <w:t>(d)</w:t>
      </w:r>
      <w:r w:rsidRPr="00FE2D31">
        <w:rPr>
          <w:bCs/>
        </w:rPr>
        <w:tab/>
      </w:r>
      <w:r w:rsidR="00850E16" w:rsidRPr="00042474">
        <w:rPr>
          <w:bCs/>
        </w:rPr>
        <w:t xml:space="preserve">the evidence placed before the court by the applicant at least </w:t>
      </w:r>
      <w:r w:rsidR="00850E16" w:rsidRPr="00042474">
        <w:rPr>
          <w:bCs/>
          <w:i/>
        </w:rPr>
        <w:t xml:space="preserve">prima facie </w:t>
      </w:r>
      <w:r w:rsidR="00850E16" w:rsidRPr="00042474">
        <w:rPr>
          <w:bCs/>
        </w:rPr>
        <w:t>shows the first respondent’s conduct complained of requires an answer that is not met by the first respondent, its protestations to the contrary nevertheless. The respondents hold the required information as demonstrated by the applicant;</w:t>
      </w:r>
    </w:p>
    <w:p w14:paraId="470B908F" w14:textId="0EE30155" w:rsidR="00850E16" w:rsidRPr="00042474" w:rsidRDefault="00042474" w:rsidP="00042474">
      <w:pPr>
        <w:rPr>
          <w:bCs/>
        </w:rPr>
      </w:pPr>
      <w:r w:rsidRPr="00FE2D31">
        <w:rPr>
          <w:bCs/>
        </w:rPr>
        <w:lastRenderedPageBreak/>
        <w:t>(e)</w:t>
      </w:r>
      <w:r w:rsidRPr="00FE2D31">
        <w:rPr>
          <w:bCs/>
        </w:rPr>
        <w:tab/>
      </w:r>
      <w:r w:rsidR="00850E16" w:rsidRPr="00042474">
        <w:rPr>
          <w:bCs/>
        </w:rPr>
        <w:t xml:space="preserve">the applicant would suffer irreparable harm should the order of Neukircher J, not be made operational and enforceable pending any possible application for leave to appeal and any appeal following thereon.’ </w:t>
      </w:r>
    </w:p>
    <w:p w14:paraId="68610FF5" w14:textId="77777777" w:rsidR="00850E16" w:rsidRPr="00FE2D31" w:rsidRDefault="00850E16" w:rsidP="00850E16">
      <w:pPr>
        <w:pStyle w:val="ListParagraph"/>
        <w:rPr>
          <w:bCs/>
          <w:sz w:val="28"/>
          <w:szCs w:val="28"/>
        </w:rPr>
      </w:pPr>
    </w:p>
    <w:p w14:paraId="157B9B6D" w14:textId="65E7CD20" w:rsidR="00850E16" w:rsidRPr="00FE2D31" w:rsidRDefault="00042474" w:rsidP="00042474">
      <w:pPr>
        <w:tabs>
          <w:tab w:val="left" w:pos="0"/>
        </w:tabs>
        <w:rPr>
          <w:bCs/>
          <w:sz w:val="28"/>
          <w:szCs w:val="28"/>
        </w:rPr>
      </w:pPr>
      <w:r w:rsidRPr="00FE2D31">
        <w:rPr>
          <w:sz w:val="28"/>
          <w:szCs w:val="28"/>
        </w:rPr>
        <w:t>[27]</w:t>
      </w:r>
      <w:r w:rsidRPr="00FE2D31">
        <w:rPr>
          <w:sz w:val="28"/>
          <w:szCs w:val="28"/>
        </w:rPr>
        <w:tab/>
      </w:r>
      <w:r w:rsidR="00850E16" w:rsidRPr="00FE2D31">
        <w:rPr>
          <w:bCs/>
          <w:sz w:val="28"/>
          <w:szCs w:val="28"/>
        </w:rPr>
        <w:t xml:space="preserve">Van der Westhuizen J went on to state that Bila was less than candid with the court by choosing to raise a technical point and deliberately deciding ‘to ignore the pertinent facts raised in the founding affidavit, where it [was] in a position to gainsay such allegations, </w:t>
      </w:r>
      <w:r w:rsidR="00FE2D31" w:rsidRPr="00FE2D31">
        <w:rPr>
          <w:bCs/>
          <w:sz w:val="28"/>
          <w:szCs w:val="28"/>
        </w:rPr>
        <w:t xml:space="preserve">[whilst in possession of] </w:t>
      </w:r>
      <w:r w:rsidR="00850E16" w:rsidRPr="00FE2D31">
        <w:rPr>
          <w:bCs/>
          <w:sz w:val="28"/>
          <w:szCs w:val="28"/>
        </w:rPr>
        <w:t>all the relevant detail of its conduct complained of.</w:t>
      </w:r>
      <w:r w:rsidR="00A44338" w:rsidRPr="00FE2D31">
        <w:rPr>
          <w:bCs/>
          <w:sz w:val="28"/>
          <w:szCs w:val="28"/>
        </w:rPr>
        <w:t>’</w:t>
      </w:r>
    </w:p>
    <w:p w14:paraId="29A752A9" w14:textId="77777777" w:rsidR="00850E16" w:rsidRPr="00FE2D31" w:rsidRDefault="00850E16" w:rsidP="00850E16">
      <w:pPr>
        <w:tabs>
          <w:tab w:val="left" w:pos="0"/>
        </w:tabs>
        <w:rPr>
          <w:bCs/>
          <w:sz w:val="28"/>
          <w:szCs w:val="28"/>
        </w:rPr>
      </w:pPr>
    </w:p>
    <w:p w14:paraId="214A44EC" w14:textId="1A55BAB1" w:rsidR="00850E16" w:rsidRPr="00FE2D31" w:rsidRDefault="00042474" w:rsidP="00042474">
      <w:pPr>
        <w:tabs>
          <w:tab w:val="left" w:pos="0"/>
        </w:tabs>
        <w:rPr>
          <w:bCs/>
          <w:sz w:val="28"/>
          <w:szCs w:val="28"/>
        </w:rPr>
      </w:pPr>
      <w:r w:rsidRPr="00FE2D31">
        <w:rPr>
          <w:sz w:val="28"/>
          <w:szCs w:val="28"/>
        </w:rPr>
        <w:t>[28]</w:t>
      </w:r>
      <w:r w:rsidRPr="00FE2D31">
        <w:rPr>
          <w:sz w:val="28"/>
          <w:szCs w:val="28"/>
        </w:rPr>
        <w:tab/>
      </w:r>
      <w:r w:rsidR="00285084" w:rsidRPr="00FE2D31">
        <w:rPr>
          <w:bCs/>
          <w:sz w:val="28"/>
          <w:szCs w:val="28"/>
        </w:rPr>
        <w:t xml:space="preserve">Although these findings were made in the context of the determination of the </w:t>
      </w:r>
      <w:r w:rsidR="00233996" w:rsidRPr="00FE2D31">
        <w:rPr>
          <w:bCs/>
          <w:sz w:val="28"/>
          <w:szCs w:val="28"/>
        </w:rPr>
        <w:t xml:space="preserve">application in terms of </w:t>
      </w:r>
      <w:r w:rsidR="00285084" w:rsidRPr="00FE2D31">
        <w:rPr>
          <w:bCs/>
          <w:sz w:val="28"/>
          <w:szCs w:val="28"/>
        </w:rPr>
        <w:t xml:space="preserve">s 18(1) of the Superior Courts Act, which formed part of the relief sought, the facts relied upon by Samancor in respect of that relief were the same as those for the contempt application. It seems to me the horse has left the barn and the high court appears to be </w:t>
      </w:r>
      <w:r w:rsidR="00285084" w:rsidRPr="00FE2D31">
        <w:rPr>
          <w:bCs/>
          <w:i/>
          <w:sz w:val="28"/>
          <w:szCs w:val="28"/>
        </w:rPr>
        <w:t>functus</w:t>
      </w:r>
      <w:r w:rsidR="00285084" w:rsidRPr="00FE2D31">
        <w:rPr>
          <w:bCs/>
          <w:sz w:val="28"/>
          <w:szCs w:val="28"/>
        </w:rPr>
        <w:t xml:space="preserve"> insofar as at least one aspect of the contempt enquiry is concerned. Accordingly, it is proper for this Court to decide whether the requirements to hold the respondents in contempt have been met.</w:t>
      </w:r>
    </w:p>
    <w:p w14:paraId="34B8F248" w14:textId="77777777" w:rsidR="00285084" w:rsidRPr="00FE2D31" w:rsidRDefault="00285084" w:rsidP="005768AB">
      <w:pPr>
        <w:tabs>
          <w:tab w:val="left" w:pos="0"/>
        </w:tabs>
        <w:rPr>
          <w:b/>
          <w:bCs/>
          <w:sz w:val="28"/>
          <w:szCs w:val="28"/>
        </w:rPr>
      </w:pPr>
    </w:p>
    <w:p w14:paraId="169C7B96" w14:textId="67153C58" w:rsidR="005768AB" w:rsidRPr="00FE2D31" w:rsidRDefault="006E54C4" w:rsidP="005768AB">
      <w:pPr>
        <w:tabs>
          <w:tab w:val="left" w:pos="0"/>
        </w:tabs>
        <w:rPr>
          <w:b/>
          <w:bCs/>
          <w:sz w:val="28"/>
          <w:szCs w:val="28"/>
        </w:rPr>
      </w:pPr>
      <w:r w:rsidRPr="00FE2D31">
        <w:rPr>
          <w:b/>
          <w:bCs/>
          <w:sz w:val="28"/>
          <w:szCs w:val="28"/>
        </w:rPr>
        <w:t xml:space="preserve">Contempt application </w:t>
      </w:r>
    </w:p>
    <w:p w14:paraId="0C3DDFD2" w14:textId="26620B3C" w:rsidR="00476ABF" w:rsidRPr="00FE2D31" w:rsidRDefault="00042474" w:rsidP="00042474">
      <w:pPr>
        <w:tabs>
          <w:tab w:val="left" w:pos="0"/>
        </w:tabs>
        <w:rPr>
          <w:bCs/>
          <w:sz w:val="28"/>
          <w:szCs w:val="28"/>
        </w:rPr>
      </w:pPr>
      <w:r w:rsidRPr="00FE2D31">
        <w:rPr>
          <w:sz w:val="28"/>
          <w:szCs w:val="28"/>
        </w:rPr>
        <w:t>[29]</w:t>
      </w:r>
      <w:r w:rsidRPr="00FE2D31">
        <w:rPr>
          <w:sz w:val="28"/>
          <w:szCs w:val="28"/>
        </w:rPr>
        <w:tab/>
      </w:r>
      <w:r w:rsidR="006E54C4" w:rsidRPr="00FE2D31">
        <w:rPr>
          <w:bCs/>
          <w:sz w:val="28"/>
          <w:szCs w:val="28"/>
        </w:rPr>
        <w:t xml:space="preserve">The requisites to be fulfilled to hold a party in contempt of </w:t>
      </w:r>
      <w:r w:rsidR="00476ABF" w:rsidRPr="00FE2D31">
        <w:rPr>
          <w:bCs/>
          <w:sz w:val="28"/>
          <w:szCs w:val="28"/>
        </w:rPr>
        <w:t xml:space="preserve">a </w:t>
      </w:r>
      <w:r w:rsidR="006E54C4" w:rsidRPr="00FE2D31">
        <w:rPr>
          <w:bCs/>
          <w:sz w:val="28"/>
          <w:szCs w:val="28"/>
        </w:rPr>
        <w:t>court</w:t>
      </w:r>
      <w:r w:rsidR="00476ABF" w:rsidRPr="00FE2D31">
        <w:rPr>
          <w:bCs/>
          <w:sz w:val="28"/>
          <w:szCs w:val="28"/>
        </w:rPr>
        <w:t xml:space="preserve"> order are: (a) the existence of the order; (b</w:t>
      </w:r>
      <w:r w:rsidR="00285084" w:rsidRPr="00FE2D31">
        <w:rPr>
          <w:bCs/>
          <w:sz w:val="28"/>
          <w:szCs w:val="28"/>
        </w:rPr>
        <w:t>) service</w:t>
      </w:r>
      <w:r w:rsidR="00476ABF" w:rsidRPr="00FE2D31">
        <w:rPr>
          <w:bCs/>
          <w:sz w:val="28"/>
          <w:szCs w:val="28"/>
        </w:rPr>
        <w:t xml:space="preserve"> or notice of that order to the respondent; (c) non-compliance with the order by the respondent; and (d) wilfulness and </w:t>
      </w:r>
      <w:r w:rsidR="00476ABF" w:rsidRPr="00FE2D31">
        <w:rPr>
          <w:bCs/>
          <w:i/>
          <w:sz w:val="28"/>
          <w:szCs w:val="28"/>
        </w:rPr>
        <w:t>mala fides</w:t>
      </w:r>
      <w:r w:rsidR="001039D7" w:rsidRPr="00FE2D31">
        <w:rPr>
          <w:bCs/>
          <w:i/>
          <w:sz w:val="28"/>
          <w:szCs w:val="28"/>
        </w:rPr>
        <w:t>.</w:t>
      </w:r>
      <w:r w:rsidR="00476ABF" w:rsidRPr="00FE2D31">
        <w:rPr>
          <w:bCs/>
          <w:i/>
          <w:sz w:val="28"/>
          <w:szCs w:val="28"/>
        </w:rPr>
        <w:t xml:space="preserve"> </w:t>
      </w:r>
      <w:r w:rsidR="001039D7" w:rsidRPr="00FE2D31">
        <w:rPr>
          <w:bCs/>
          <w:sz w:val="28"/>
          <w:szCs w:val="28"/>
        </w:rPr>
        <w:t xml:space="preserve">The onus is on the applicant to prove all these requirements beyond </w:t>
      </w:r>
      <w:r w:rsidR="009864CB" w:rsidRPr="00FE2D31">
        <w:rPr>
          <w:bCs/>
          <w:sz w:val="28"/>
          <w:szCs w:val="28"/>
        </w:rPr>
        <w:t xml:space="preserve">a </w:t>
      </w:r>
      <w:r w:rsidR="001039D7" w:rsidRPr="00FE2D31">
        <w:rPr>
          <w:bCs/>
          <w:sz w:val="28"/>
          <w:szCs w:val="28"/>
        </w:rPr>
        <w:t xml:space="preserve">reasonable doubt. However, once the applicant has established the existence of the order, service or notice and non-compliance, the respondent bears the evidential burden in relation to wilfulness and </w:t>
      </w:r>
      <w:r w:rsidR="001039D7" w:rsidRPr="00FE2D31">
        <w:rPr>
          <w:bCs/>
          <w:i/>
          <w:sz w:val="28"/>
          <w:szCs w:val="28"/>
        </w:rPr>
        <w:t xml:space="preserve">mala </w:t>
      </w:r>
      <w:r w:rsidR="001039D7" w:rsidRPr="00FE2D31">
        <w:rPr>
          <w:bCs/>
          <w:i/>
          <w:sz w:val="28"/>
          <w:szCs w:val="28"/>
        </w:rPr>
        <w:lastRenderedPageBreak/>
        <w:t>fides</w:t>
      </w:r>
      <w:r w:rsidR="001039D7" w:rsidRPr="00FE2D31">
        <w:rPr>
          <w:bCs/>
          <w:sz w:val="28"/>
          <w:szCs w:val="28"/>
        </w:rPr>
        <w:t>.</w:t>
      </w:r>
      <w:r w:rsidR="00190012" w:rsidRPr="00FE2D31">
        <w:rPr>
          <w:bCs/>
          <w:sz w:val="28"/>
          <w:szCs w:val="28"/>
        </w:rPr>
        <w:t xml:space="preserve"> </w:t>
      </w:r>
      <w:r w:rsidR="009864CB" w:rsidRPr="00FE2D31">
        <w:rPr>
          <w:bCs/>
          <w:sz w:val="28"/>
          <w:szCs w:val="28"/>
        </w:rPr>
        <w:t>I</w:t>
      </w:r>
      <w:r w:rsidR="00190012" w:rsidRPr="00FE2D31">
        <w:rPr>
          <w:bCs/>
          <w:sz w:val="28"/>
          <w:szCs w:val="28"/>
        </w:rPr>
        <w:t xml:space="preserve">f the respondent fails to provide evidence that will establish reasonable doubt as to whether non-compliance was wilful and mala fide, contempt of the court order will have been established beyond </w:t>
      </w:r>
      <w:r w:rsidR="009864CB" w:rsidRPr="00FE2D31">
        <w:rPr>
          <w:bCs/>
          <w:sz w:val="28"/>
          <w:szCs w:val="28"/>
        </w:rPr>
        <w:t xml:space="preserve">a </w:t>
      </w:r>
      <w:r w:rsidR="00190012" w:rsidRPr="00FE2D31">
        <w:rPr>
          <w:bCs/>
          <w:sz w:val="28"/>
          <w:szCs w:val="28"/>
        </w:rPr>
        <w:t>reasonable doubt.</w:t>
      </w:r>
      <w:r w:rsidR="001039D7" w:rsidRPr="00FE2D31">
        <w:rPr>
          <w:rStyle w:val="FootnoteReference"/>
          <w:bCs/>
          <w:sz w:val="28"/>
          <w:szCs w:val="28"/>
        </w:rPr>
        <w:footnoteReference w:id="8"/>
      </w:r>
    </w:p>
    <w:p w14:paraId="12CF85E3" w14:textId="77777777" w:rsidR="009864CB" w:rsidRPr="00FE2D31" w:rsidRDefault="009864CB" w:rsidP="00476ABF">
      <w:pPr>
        <w:tabs>
          <w:tab w:val="left" w:pos="0"/>
        </w:tabs>
        <w:rPr>
          <w:bCs/>
          <w:sz w:val="28"/>
          <w:szCs w:val="28"/>
        </w:rPr>
      </w:pPr>
    </w:p>
    <w:p w14:paraId="3205DB70" w14:textId="77777777" w:rsidR="00190012" w:rsidRPr="00FE2D31" w:rsidRDefault="00190012" w:rsidP="00476ABF">
      <w:pPr>
        <w:tabs>
          <w:tab w:val="left" w:pos="0"/>
        </w:tabs>
        <w:rPr>
          <w:b/>
          <w:bCs/>
          <w:sz w:val="28"/>
          <w:szCs w:val="28"/>
        </w:rPr>
      </w:pPr>
      <w:r w:rsidRPr="00FE2D31">
        <w:rPr>
          <w:b/>
          <w:bCs/>
          <w:sz w:val="28"/>
          <w:szCs w:val="28"/>
        </w:rPr>
        <w:t>Existence of the order and service or notice</w:t>
      </w:r>
    </w:p>
    <w:p w14:paraId="25C03427" w14:textId="49B10037" w:rsidR="005768AB" w:rsidRPr="00FE2D31" w:rsidRDefault="00042474" w:rsidP="00042474">
      <w:pPr>
        <w:tabs>
          <w:tab w:val="left" w:pos="0"/>
        </w:tabs>
        <w:rPr>
          <w:bCs/>
          <w:sz w:val="28"/>
          <w:szCs w:val="28"/>
        </w:rPr>
      </w:pPr>
      <w:r w:rsidRPr="00FE2D31">
        <w:rPr>
          <w:sz w:val="28"/>
          <w:szCs w:val="28"/>
        </w:rPr>
        <w:t>[30]</w:t>
      </w:r>
      <w:r w:rsidRPr="00FE2D31">
        <w:rPr>
          <w:sz w:val="28"/>
          <w:szCs w:val="28"/>
        </w:rPr>
        <w:tab/>
      </w:r>
      <w:r w:rsidR="005E2220" w:rsidRPr="00FE2D31">
        <w:rPr>
          <w:bCs/>
          <w:sz w:val="28"/>
          <w:szCs w:val="28"/>
        </w:rPr>
        <w:t xml:space="preserve">In the answering affidavit </w:t>
      </w:r>
      <w:r w:rsidR="003C63EB" w:rsidRPr="00FE2D31">
        <w:rPr>
          <w:bCs/>
          <w:sz w:val="28"/>
          <w:szCs w:val="28"/>
        </w:rPr>
        <w:t xml:space="preserve">it is </w:t>
      </w:r>
      <w:r w:rsidR="005768AB" w:rsidRPr="00FE2D31">
        <w:rPr>
          <w:bCs/>
          <w:sz w:val="28"/>
          <w:szCs w:val="28"/>
        </w:rPr>
        <w:t xml:space="preserve">conceded that Neukircher J’s order </w:t>
      </w:r>
      <w:r w:rsidR="00190012" w:rsidRPr="00FE2D31">
        <w:rPr>
          <w:bCs/>
          <w:sz w:val="28"/>
          <w:szCs w:val="28"/>
        </w:rPr>
        <w:t>‘</w:t>
      </w:r>
      <w:r w:rsidR="005768AB" w:rsidRPr="00FE2D31">
        <w:rPr>
          <w:bCs/>
          <w:sz w:val="28"/>
          <w:szCs w:val="28"/>
        </w:rPr>
        <w:t xml:space="preserve">exists and it was served upon the respondents subsequent to its issue on 23 August 2019 and hence the respondents are aware of </w:t>
      </w:r>
      <w:r w:rsidR="005E2220" w:rsidRPr="00FE2D31">
        <w:rPr>
          <w:bCs/>
          <w:sz w:val="28"/>
          <w:szCs w:val="28"/>
        </w:rPr>
        <w:t>the order</w:t>
      </w:r>
      <w:r w:rsidR="005768AB" w:rsidRPr="00FE2D31">
        <w:rPr>
          <w:bCs/>
          <w:sz w:val="28"/>
          <w:szCs w:val="28"/>
        </w:rPr>
        <w:t xml:space="preserve">. </w:t>
      </w:r>
      <w:r w:rsidR="00190012" w:rsidRPr="00FE2D31">
        <w:rPr>
          <w:bCs/>
          <w:sz w:val="28"/>
          <w:szCs w:val="28"/>
        </w:rPr>
        <w:t>The first two legal requirements have accordingly been met’</w:t>
      </w:r>
      <w:r w:rsidR="005E2220" w:rsidRPr="00FE2D31">
        <w:rPr>
          <w:bCs/>
          <w:sz w:val="28"/>
          <w:szCs w:val="28"/>
        </w:rPr>
        <w:t>.</w:t>
      </w:r>
      <w:r w:rsidR="00190012" w:rsidRPr="00FE2D31">
        <w:rPr>
          <w:bCs/>
          <w:sz w:val="28"/>
          <w:szCs w:val="28"/>
        </w:rPr>
        <w:t xml:space="preserve"> </w:t>
      </w:r>
      <w:r w:rsidR="005768AB" w:rsidRPr="00FE2D31">
        <w:rPr>
          <w:bCs/>
          <w:sz w:val="28"/>
          <w:szCs w:val="28"/>
        </w:rPr>
        <w:t>The next step of the enquiry is whether the respondents breached th</w:t>
      </w:r>
      <w:r w:rsidR="00190012" w:rsidRPr="00FE2D31">
        <w:rPr>
          <w:bCs/>
          <w:sz w:val="28"/>
          <w:szCs w:val="28"/>
        </w:rPr>
        <w:t>at</w:t>
      </w:r>
      <w:r w:rsidR="005768AB" w:rsidRPr="00FE2D31">
        <w:rPr>
          <w:bCs/>
          <w:sz w:val="28"/>
          <w:szCs w:val="28"/>
        </w:rPr>
        <w:t xml:space="preserve"> order.</w:t>
      </w:r>
    </w:p>
    <w:p w14:paraId="599D7530" w14:textId="77777777" w:rsidR="00D761E5" w:rsidRPr="00FE2D31" w:rsidRDefault="00D761E5" w:rsidP="00DC0CF6">
      <w:pPr>
        <w:rPr>
          <w:bCs/>
          <w:sz w:val="28"/>
          <w:szCs w:val="28"/>
        </w:rPr>
      </w:pPr>
    </w:p>
    <w:p w14:paraId="08A5950C" w14:textId="6A1CD15A" w:rsidR="00162CF3" w:rsidRPr="00FE2D31" w:rsidRDefault="00D761E5" w:rsidP="00D761E5">
      <w:pPr>
        <w:pStyle w:val="ListParagraph"/>
        <w:ind w:left="0"/>
        <w:rPr>
          <w:b/>
          <w:bCs/>
          <w:sz w:val="28"/>
          <w:szCs w:val="28"/>
        </w:rPr>
      </w:pPr>
      <w:r w:rsidRPr="00FE2D31">
        <w:rPr>
          <w:b/>
          <w:bCs/>
          <w:sz w:val="28"/>
          <w:szCs w:val="28"/>
        </w:rPr>
        <w:t xml:space="preserve">Non–compliance with Neukircher J’s order </w:t>
      </w:r>
    </w:p>
    <w:p w14:paraId="5353A255" w14:textId="74C521DD" w:rsidR="00190012" w:rsidRPr="00FE2D31" w:rsidRDefault="00042474" w:rsidP="00042474">
      <w:pPr>
        <w:tabs>
          <w:tab w:val="left" w:pos="0"/>
        </w:tabs>
        <w:rPr>
          <w:bCs/>
          <w:sz w:val="28"/>
          <w:szCs w:val="28"/>
        </w:rPr>
      </w:pPr>
      <w:r w:rsidRPr="00FE2D31">
        <w:rPr>
          <w:sz w:val="28"/>
          <w:szCs w:val="28"/>
        </w:rPr>
        <w:t>[31]</w:t>
      </w:r>
      <w:r w:rsidRPr="00FE2D31">
        <w:rPr>
          <w:sz w:val="28"/>
          <w:szCs w:val="28"/>
        </w:rPr>
        <w:tab/>
      </w:r>
      <w:r w:rsidR="00190012" w:rsidRPr="00FE2D31">
        <w:rPr>
          <w:bCs/>
          <w:sz w:val="28"/>
          <w:szCs w:val="28"/>
        </w:rPr>
        <w:t xml:space="preserve">The </w:t>
      </w:r>
      <w:r w:rsidR="00162CF3" w:rsidRPr="00FE2D31">
        <w:rPr>
          <w:bCs/>
          <w:sz w:val="28"/>
          <w:szCs w:val="28"/>
        </w:rPr>
        <w:t>facts relied upon by Samancor</w:t>
      </w:r>
      <w:r w:rsidR="00C01776" w:rsidRPr="00FE2D31">
        <w:rPr>
          <w:bCs/>
          <w:sz w:val="28"/>
          <w:szCs w:val="28"/>
        </w:rPr>
        <w:t xml:space="preserve"> </w:t>
      </w:r>
      <w:r w:rsidR="00190012" w:rsidRPr="00FE2D31">
        <w:rPr>
          <w:bCs/>
          <w:sz w:val="28"/>
          <w:szCs w:val="28"/>
        </w:rPr>
        <w:t>are as follows. O</w:t>
      </w:r>
      <w:r w:rsidR="00C01776" w:rsidRPr="00FE2D31">
        <w:rPr>
          <w:bCs/>
          <w:sz w:val="28"/>
          <w:szCs w:val="28"/>
        </w:rPr>
        <w:t>n 2 July 2019</w:t>
      </w:r>
      <w:r w:rsidR="005E2220" w:rsidRPr="00FE2D31">
        <w:rPr>
          <w:bCs/>
          <w:sz w:val="28"/>
          <w:szCs w:val="28"/>
        </w:rPr>
        <w:t>,</w:t>
      </w:r>
      <w:r w:rsidR="00C01776" w:rsidRPr="00FE2D31">
        <w:rPr>
          <w:bCs/>
          <w:sz w:val="28"/>
          <w:szCs w:val="28"/>
        </w:rPr>
        <w:t xml:space="preserve"> Bila </w:t>
      </w:r>
      <w:r w:rsidR="00190012" w:rsidRPr="00FE2D31">
        <w:rPr>
          <w:bCs/>
          <w:sz w:val="28"/>
          <w:szCs w:val="28"/>
        </w:rPr>
        <w:t xml:space="preserve">applied </w:t>
      </w:r>
      <w:r w:rsidR="00C01776" w:rsidRPr="00FE2D31">
        <w:rPr>
          <w:bCs/>
          <w:sz w:val="28"/>
          <w:szCs w:val="28"/>
        </w:rPr>
        <w:t>for leave to appeal Neukircher J’s order. That application was dismissed on 12 August 2019. This meant</w:t>
      </w:r>
      <w:r w:rsidR="00190012" w:rsidRPr="00FE2D31">
        <w:rPr>
          <w:bCs/>
          <w:sz w:val="28"/>
          <w:szCs w:val="28"/>
        </w:rPr>
        <w:t xml:space="preserve"> that</w:t>
      </w:r>
      <w:r w:rsidR="00C01776" w:rsidRPr="00FE2D31">
        <w:rPr>
          <w:bCs/>
          <w:sz w:val="28"/>
          <w:szCs w:val="28"/>
        </w:rPr>
        <w:t xml:space="preserve"> the order was no longer suspended</w:t>
      </w:r>
      <w:r w:rsidR="00190012" w:rsidRPr="00FE2D31">
        <w:rPr>
          <w:bCs/>
          <w:sz w:val="28"/>
          <w:szCs w:val="28"/>
        </w:rPr>
        <w:t xml:space="preserve"> and</w:t>
      </w:r>
      <w:r w:rsidR="00C01776" w:rsidRPr="00FE2D31">
        <w:rPr>
          <w:bCs/>
          <w:sz w:val="28"/>
          <w:szCs w:val="28"/>
        </w:rPr>
        <w:t xml:space="preserve"> had to be obeyed. On 19 August 2019, Bila’s attorney</w:t>
      </w:r>
      <w:r w:rsidR="00F020D1" w:rsidRPr="00FE2D31">
        <w:rPr>
          <w:bCs/>
          <w:sz w:val="28"/>
          <w:szCs w:val="28"/>
        </w:rPr>
        <w:t>s</w:t>
      </w:r>
      <w:r w:rsidR="00C01776" w:rsidRPr="00FE2D31">
        <w:rPr>
          <w:bCs/>
          <w:sz w:val="28"/>
          <w:szCs w:val="28"/>
        </w:rPr>
        <w:t xml:space="preserve"> informed </w:t>
      </w:r>
      <w:r w:rsidR="00F020D1" w:rsidRPr="00FE2D31">
        <w:rPr>
          <w:bCs/>
          <w:sz w:val="28"/>
          <w:szCs w:val="28"/>
        </w:rPr>
        <w:t xml:space="preserve">Samancor’s attorneys that they had been instructed to petition </w:t>
      </w:r>
      <w:r w:rsidR="003C63EB" w:rsidRPr="00FE2D31">
        <w:rPr>
          <w:bCs/>
          <w:sz w:val="28"/>
          <w:szCs w:val="28"/>
        </w:rPr>
        <w:t>this Court</w:t>
      </w:r>
      <w:r w:rsidR="00F020D1" w:rsidRPr="00FE2D31">
        <w:rPr>
          <w:bCs/>
          <w:sz w:val="28"/>
          <w:szCs w:val="28"/>
        </w:rPr>
        <w:t xml:space="preserve"> for leave to appeal.</w:t>
      </w:r>
    </w:p>
    <w:p w14:paraId="4A8780D4" w14:textId="77777777" w:rsidR="00190012" w:rsidRPr="00FE2D31" w:rsidRDefault="00190012" w:rsidP="00190012">
      <w:pPr>
        <w:tabs>
          <w:tab w:val="left" w:pos="0"/>
        </w:tabs>
        <w:rPr>
          <w:bCs/>
          <w:sz w:val="28"/>
          <w:szCs w:val="28"/>
        </w:rPr>
      </w:pPr>
    </w:p>
    <w:p w14:paraId="4B6618B6" w14:textId="7FEAFBA7" w:rsidR="00162CF3" w:rsidRPr="00FE2D31" w:rsidRDefault="00042474" w:rsidP="00042474">
      <w:pPr>
        <w:tabs>
          <w:tab w:val="left" w:pos="0"/>
        </w:tabs>
        <w:rPr>
          <w:bCs/>
          <w:sz w:val="28"/>
          <w:szCs w:val="28"/>
        </w:rPr>
      </w:pPr>
      <w:r w:rsidRPr="00FE2D31">
        <w:rPr>
          <w:sz w:val="28"/>
          <w:szCs w:val="28"/>
        </w:rPr>
        <w:t>[32]</w:t>
      </w:r>
      <w:r w:rsidRPr="00FE2D31">
        <w:rPr>
          <w:sz w:val="28"/>
          <w:szCs w:val="28"/>
        </w:rPr>
        <w:tab/>
      </w:r>
      <w:r w:rsidR="00DB2E34" w:rsidRPr="00FE2D31">
        <w:rPr>
          <w:bCs/>
          <w:sz w:val="28"/>
          <w:szCs w:val="28"/>
        </w:rPr>
        <w:t>On 23 August 2019, Samancor’s attorney</w:t>
      </w:r>
      <w:r w:rsidR="003C63EB" w:rsidRPr="00FE2D31">
        <w:rPr>
          <w:bCs/>
          <w:sz w:val="28"/>
          <w:szCs w:val="28"/>
        </w:rPr>
        <w:t>s</w:t>
      </w:r>
      <w:r w:rsidR="00DB2E34" w:rsidRPr="00FE2D31">
        <w:rPr>
          <w:bCs/>
          <w:sz w:val="28"/>
          <w:szCs w:val="28"/>
        </w:rPr>
        <w:t xml:space="preserve"> served a copy of the order </w:t>
      </w:r>
      <w:r w:rsidR="0034788A" w:rsidRPr="00FE2D31">
        <w:rPr>
          <w:bCs/>
          <w:sz w:val="28"/>
          <w:szCs w:val="28"/>
        </w:rPr>
        <w:t>by Neuki</w:t>
      </w:r>
      <w:r w:rsidR="00A940E5" w:rsidRPr="00FE2D31">
        <w:rPr>
          <w:bCs/>
          <w:sz w:val="28"/>
          <w:szCs w:val="28"/>
        </w:rPr>
        <w:t>r</w:t>
      </w:r>
      <w:r w:rsidR="0034788A" w:rsidRPr="00FE2D31">
        <w:rPr>
          <w:bCs/>
          <w:sz w:val="28"/>
          <w:szCs w:val="28"/>
        </w:rPr>
        <w:t xml:space="preserve">cher J </w:t>
      </w:r>
      <w:r w:rsidR="00DB2E34" w:rsidRPr="00FE2D31">
        <w:rPr>
          <w:bCs/>
          <w:sz w:val="28"/>
          <w:szCs w:val="28"/>
        </w:rPr>
        <w:t>dismissing the application for leave to appeal</w:t>
      </w:r>
      <w:r w:rsidR="003C63EB" w:rsidRPr="00FE2D31">
        <w:rPr>
          <w:bCs/>
          <w:sz w:val="28"/>
          <w:szCs w:val="28"/>
        </w:rPr>
        <w:t>,</w:t>
      </w:r>
      <w:r w:rsidR="00DB2E34" w:rsidRPr="00FE2D31">
        <w:rPr>
          <w:bCs/>
          <w:sz w:val="28"/>
          <w:szCs w:val="28"/>
        </w:rPr>
        <w:t xml:space="preserve"> </w:t>
      </w:r>
      <w:r w:rsidR="005B0525" w:rsidRPr="00FE2D31">
        <w:rPr>
          <w:bCs/>
          <w:sz w:val="28"/>
          <w:szCs w:val="28"/>
        </w:rPr>
        <w:t xml:space="preserve">on </w:t>
      </w:r>
      <w:r w:rsidR="00DB2E34" w:rsidRPr="00FE2D31">
        <w:rPr>
          <w:bCs/>
          <w:sz w:val="28"/>
          <w:szCs w:val="28"/>
        </w:rPr>
        <w:t>Bila’s attorneys, even though Bila would have been aware of that order</w:t>
      </w:r>
      <w:r w:rsidR="0034788A" w:rsidRPr="00FE2D31">
        <w:rPr>
          <w:bCs/>
          <w:sz w:val="28"/>
          <w:szCs w:val="28"/>
        </w:rPr>
        <w:t xml:space="preserve"> by then</w:t>
      </w:r>
      <w:r w:rsidR="003C63EB" w:rsidRPr="00FE2D31">
        <w:rPr>
          <w:bCs/>
          <w:sz w:val="28"/>
          <w:szCs w:val="28"/>
        </w:rPr>
        <w:t>, since</w:t>
      </w:r>
      <w:r w:rsidR="0034788A" w:rsidRPr="00FE2D31">
        <w:rPr>
          <w:bCs/>
          <w:sz w:val="28"/>
          <w:szCs w:val="28"/>
        </w:rPr>
        <w:t xml:space="preserve"> they were represented in court when it was issued</w:t>
      </w:r>
      <w:r w:rsidR="00DB2E34" w:rsidRPr="00FE2D31">
        <w:rPr>
          <w:bCs/>
          <w:sz w:val="28"/>
          <w:szCs w:val="28"/>
        </w:rPr>
        <w:t>. It is common cause that at the time of the hearing of the application</w:t>
      </w:r>
      <w:r w:rsidR="000A6B99" w:rsidRPr="00FE2D31">
        <w:rPr>
          <w:bCs/>
          <w:sz w:val="28"/>
          <w:szCs w:val="28"/>
        </w:rPr>
        <w:t>,</w:t>
      </w:r>
      <w:r w:rsidR="003C63EB" w:rsidRPr="00FE2D31">
        <w:rPr>
          <w:bCs/>
          <w:sz w:val="28"/>
          <w:szCs w:val="28"/>
        </w:rPr>
        <w:t xml:space="preserve"> which is the subject of this appeal</w:t>
      </w:r>
      <w:r w:rsidR="00DB2E34" w:rsidRPr="00FE2D31">
        <w:rPr>
          <w:bCs/>
          <w:sz w:val="28"/>
          <w:szCs w:val="28"/>
        </w:rPr>
        <w:t xml:space="preserve">, </w:t>
      </w:r>
      <w:r w:rsidR="00DB2E34" w:rsidRPr="00FE2D31">
        <w:rPr>
          <w:bCs/>
          <w:sz w:val="28"/>
          <w:szCs w:val="28"/>
        </w:rPr>
        <w:lastRenderedPageBreak/>
        <w:t>th</w:t>
      </w:r>
      <w:r w:rsidR="003C63EB" w:rsidRPr="00FE2D31">
        <w:rPr>
          <w:bCs/>
          <w:sz w:val="28"/>
          <w:szCs w:val="28"/>
        </w:rPr>
        <w:t>is Court</w:t>
      </w:r>
      <w:r w:rsidR="00DB2E34" w:rsidRPr="00FE2D31">
        <w:rPr>
          <w:bCs/>
          <w:sz w:val="28"/>
          <w:szCs w:val="28"/>
        </w:rPr>
        <w:t xml:space="preserve"> </w:t>
      </w:r>
      <w:r w:rsidR="003B59A7" w:rsidRPr="00FE2D31">
        <w:rPr>
          <w:bCs/>
          <w:sz w:val="28"/>
          <w:szCs w:val="28"/>
        </w:rPr>
        <w:t>was yet to be</w:t>
      </w:r>
      <w:r w:rsidR="00DB2E34" w:rsidRPr="00FE2D31">
        <w:rPr>
          <w:bCs/>
          <w:sz w:val="28"/>
          <w:szCs w:val="28"/>
        </w:rPr>
        <w:t xml:space="preserve"> petitioned. </w:t>
      </w:r>
      <w:r w:rsidR="003C63EB" w:rsidRPr="00FE2D31">
        <w:rPr>
          <w:bCs/>
          <w:sz w:val="28"/>
          <w:szCs w:val="28"/>
        </w:rPr>
        <w:t>Accordingly,</w:t>
      </w:r>
      <w:r w:rsidR="00DB2E34" w:rsidRPr="00FE2D31">
        <w:rPr>
          <w:bCs/>
          <w:sz w:val="28"/>
          <w:szCs w:val="28"/>
        </w:rPr>
        <w:t xml:space="preserve"> </w:t>
      </w:r>
      <w:r w:rsidR="00351967" w:rsidRPr="00FE2D31">
        <w:rPr>
          <w:bCs/>
          <w:sz w:val="28"/>
          <w:szCs w:val="28"/>
        </w:rPr>
        <w:t xml:space="preserve">from 12 August 2019 </w:t>
      </w:r>
      <w:r w:rsidR="00DB2E34" w:rsidRPr="00FE2D31">
        <w:rPr>
          <w:bCs/>
          <w:sz w:val="28"/>
          <w:szCs w:val="28"/>
        </w:rPr>
        <w:t>Neukircher J’s order remained operational and unsuspended.</w:t>
      </w:r>
    </w:p>
    <w:p w14:paraId="26CED3D6" w14:textId="6E9866E6" w:rsidR="003400DF" w:rsidRPr="00FE2D31" w:rsidRDefault="003400DF" w:rsidP="000613FA">
      <w:pPr>
        <w:tabs>
          <w:tab w:val="left" w:pos="0"/>
        </w:tabs>
        <w:rPr>
          <w:bCs/>
          <w:sz w:val="28"/>
          <w:szCs w:val="28"/>
        </w:rPr>
      </w:pPr>
    </w:p>
    <w:p w14:paraId="67A18AC9" w14:textId="13961687" w:rsidR="00BD631C" w:rsidRPr="00FE2D31" w:rsidRDefault="00042474" w:rsidP="00042474">
      <w:pPr>
        <w:tabs>
          <w:tab w:val="left" w:pos="0"/>
        </w:tabs>
        <w:rPr>
          <w:bCs/>
          <w:sz w:val="28"/>
          <w:szCs w:val="28"/>
        </w:rPr>
      </w:pPr>
      <w:r w:rsidRPr="00FE2D31">
        <w:rPr>
          <w:sz w:val="28"/>
          <w:szCs w:val="28"/>
        </w:rPr>
        <w:t>[33]</w:t>
      </w:r>
      <w:r w:rsidRPr="00FE2D31">
        <w:rPr>
          <w:sz w:val="28"/>
          <w:szCs w:val="28"/>
        </w:rPr>
        <w:tab/>
      </w:r>
      <w:r w:rsidR="003C63EB" w:rsidRPr="00FE2D31">
        <w:rPr>
          <w:bCs/>
          <w:sz w:val="28"/>
          <w:szCs w:val="28"/>
        </w:rPr>
        <w:t xml:space="preserve">As </w:t>
      </w:r>
      <w:r w:rsidR="00965F4E" w:rsidRPr="00FE2D31">
        <w:rPr>
          <w:bCs/>
          <w:sz w:val="28"/>
          <w:szCs w:val="28"/>
        </w:rPr>
        <w:t xml:space="preserve">to </w:t>
      </w:r>
      <w:r w:rsidR="003C63EB" w:rsidRPr="00FE2D31">
        <w:rPr>
          <w:bCs/>
          <w:sz w:val="28"/>
          <w:szCs w:val="28"/>
        </w:rPr>
        <w:t xml:space="preserve">allegations of contempt, </w:t>
      </w:r>
      <w:r w:rsidR="00351967" w:rsidRPr="00FE2D31">
        <w:rPr>
          <w:bCs/>
          <w:sz w:val="28"/>
          <w:szCs w:val="28"/>
        </w:rPr>
        <w:t>Samancor allege</w:t>
      </w:r>
      <w:r w:rsidR="003C63EB" w:rsidRPr="00FE2D31">
        <w:rPr>
          <w:bCs/>
          <w:sz w:val="28"/>
          <w:szCs w:val="28"/>
        </w:rPr>
        <w:t>s</w:t>
      </w:r>
      <w:r w:rsidR="00351967" w:rsidRPr="00FE2D31">
        <w:rPr>
          <w:bCs/>
          <w:sz w:val="28"/>
          <w:szCs w:val="28"/>
        </w:rPr>
        <w:t xml:space="preserve"> that on 19 August 2019, </w:t>
      </w:r>
      <w:r w:rsidR="0034788A" w:rsidRPr="00FE2D31">
        <w:rPr>
          <w:bCs/>
          <w:sz w:val="28"/>
          <w:szCs w:val="28"/>
        </w:rPr>
        <w:t>an employee of its security company</w:t>
      </w:r>
      <w:r w:rsidR="003B59A7" w:rsidRPr="00FE2D31">
        <w:rPr>
          <w:bCs/>
          <w:sz w:val="28"/>
          <w:szCs w:val="28"/>
        </w:rPr>
        <w:t>,</w:t>
      </w:r>
      <w:r w:rsidR="0034788A" w:rsidRPr="00FE2D31">
        <w:rPr>
          <w:bCs/>
          <w:sz w:val="28"/>
          <w:szCs w:val="28"/>
        </w:rPr>
        <w:t xml:space="preserve"> Mr </w:t>
      </w:r>
      <w:r w:rsidR="00351967" w:rsidRPr="00FE2D31">
        <w:rPr>
          <w:bCs/>
          <w:sz w:val="28"/>
          <w:szCs w:val="28"/>
        </w:rPr>
        <w:t>Dolf Labuschagne</w:t>
      </w:r>
      <w:r w:rsidR="003B59A7" w:rsidRPr="00FE2D31">
        <w:rPr>
          <w:bCs/>
          <w:sz w:val="28"/>
          <w:szCs w:val="28"/>
        </w:rPr>
        <w:t>,</w:t>
      </w:r>
      <w:r w:rsidR="00351967" w:rsidRPr="00FE2D31">
        <w:rPr>
          <w:bCs/>
          <w:sz w:val="28"/>
          <w:szCs w:val="28"/>
        </w:rPr>
        <w:t xml:space="preserve"> </w:t>
      </w:r>
      <w:r w:rsidR="00945D85" w:rsidRPr="00FE2D31">
        <w:rPr>
          <w:bCs/>
          <w:sz w:val="28"/>
          <w:szCs w:val="28"/>
        </w:rPr>
        <w:t>observed continued mining operations taking place on RE Portion 2. He took aerial photographs of the pit being mined by Bila.</w:t>
      </w:r>
      <w:r w:rsidR="00BD631C" w:rsidRPr="00FE2D31">
        <w:rPr>
          <w:bCs/>
          <w:sz w:val="28"/>
          <w:szCs w:val="28"/>
        </w:rPr>
        <w:t xml:space="preserve"> A mine wall as depicted in the photographs</w:t>
      </w:r>
      <w:r w:rsidR="003C63EB" w:rsidRPr="00FE2D31">
        <w:rPr>
          <w:bCs/>
          <w:sz w:val="28"/>
          <w:szCs w:val="28"/>
        </w:rPr>
        <w:t xml:space="preserve"> was an</w:t>
      </w:r>
      <w:r w:rsidR="00BD631C" w:rsidRPr="00FE2D31">
        <w:rPr>
          <w:bCs/>
          <w:sz w:val="28"/>
          <w:szCs w:val="28"/>
        </w:rPr>
        <w:t xml:space="preserve"> indicat</w:t>
      </w:r>
      <w:r w:rsidR="003C63EB" w:rsidRPr="00FE2D31">
        <w:rPr>
          <w:bCs/>
          <w:sz w:val="28"/>
          <w:szCs w:val="28"/>
        </w:rPr>
        <w:t>ion</w:t>
      </w:r>
      <w:r w:rsidR="00BD631C" w:rsidRPr="00FE2D31">
        <w:rPr>
          <w:bCs/>
          <w:sz w:val="28"/>
          <w:szCs w:val="28"/>
        </w:rPr>
        <w:t xml:space="preserve"> that substantial blasting had</w:t>
      </w:r>
      <w:r w:rsidR="003C63EB" w:rsidRPr="00FE2D31">
        <w:rPr>
          <w:bCs/>
          <w:sz w:val="28"/>
          <w:szCs w:val="28"/>
        </w:rPr>
        <w:t xml:space="preserve"> </w:t>
      </w:r>
      <w:r w:rsidR="00BD631C" w:rsidRPr="00FE2D31">
        <w:rPr>
          <w:bCs/>
          <w:sz w:val="28"/>
          <w:szCs w:val="28"/>
        </w:rPr>
        <w:t>tak</w:t>
      </w:r>
      <w:r w:rsidR="003C63EB" w:rsidRPr="00FE2D31">
        <w:rPr>
          <w:bCs/>
          <w:sz w:val="28"/>
          <w:szCs w:val="28"/>
        </w:rPr>
        <w:t>en</w:t>
      </w:r>
      <w:r w:rsidR="00BD631C" w:rsidRPr="00FE2D31">
        <w:rPr>
          <w:bCs/>
          <w:sz w:val="28"/>
          <w:szCs w:val="28"/>
        </w:rPr>
        <w:t xml:space="preserve"> place</w:t>
      </w:r>
      <w:r w:rsidR="0034788A" w:rsidRPr="00FE2D31">
        <w:rPr>
          <w:bCs/>
          <w:sz w:val="28"/>
          <w:szCs w:val="28"/>
        </w:rPr>
        <w:t>. T</w:t>
      </w:r>
      <w:r w:rsidR="00BD631C" w:rsidRPr="00FE2D31">
        <w:rPr>
          <w:bCs/>
          <w:sz w:val="28"/>
          <w:szCs w:val="28"/>
        </w:rPr>
        <w:t xml:space="preserve">here were, among others, vehicles loaded with material mined from Bila’s </w:t>
      </w:r>
      <w:r w:rsidR="006B1C2C" w:rsidRPr="00FE2D31">
        <w:rPr>
          <w:bCs/>
          <w:sz w:val="28"/>
          <w:szCs w:val="28"/>
        </w:rPr>
        <w:t>mining area</w:t>
      </w:r>
      <w:r w:rsidR="00C91A02" w:rsidRPr="00FE2D31">
        <w:rPr>
          <w:bCs/>
          <w:sz w:val="28"/>
          <w:szCs w:val="28"/>
        </w:rPr>
        <w:t>,</w:t>
      </w:r>
      <w:r w:rsidR="00BD631C" w:rsidRPr="00FE2D31">
        <w:rPr>
          <w:bCs/>
          <w:sz w:val="28"/>
          <w:szCs w:val="28"/>
        </w:rPr>
        <w:t xml:space="preserve"> large crushing plants, numerous loading trucks and material</w:t>
      </w:r>
      <w:r w:rsidR="003B59A7" w:rsidRPr="00FE2D31">
        <w:rPr>
          <w:bCs/>
          <w:sz w:val="28"/>
          <w:szCs w:val="28"/>
        </w:rPr>
        <w:t>,</w:t>
      </w:r>
      <w:r w:rsidR="00BD631C" w:rsidRPr="00FE2D31">
        <w:rPr>
          <w:bCs/>
          <w:sz w:val="28"/>
          <w:szCs w:val="28"/>
        </w:rPr>
        <w:t xml:space="preserve"> which had been crushed </w:t>
      </w:r>
      <w:r w:rsidR="00965F4E" w:rsidRPr="00FE2D31">
        <w:rPr>
          <w:bCs/>
          <w:sz w:val="28"/>
          <w:szCs w:val="28"/>
        </w:rPr>
        <w:t xml:space="preserve">and </w:t>
      </w:r>
      <w:r w:rsidR="00BD631C" w:rsidRPr="00FE2D31">
        <w:rPr>
          <w:bCs/>
          <w:sz w:val="28"/>
          <w:szCs w:val="28"/>
        </w:rPr>
        <w:t xml:space="preserve">stockpiled on Bila’s mining site. </w:t>
      </w:r>
    </w:p>
    <w:p w14:paraId="3B563D40" w14:textId="77777777" w:rsidR="00BD631C" w:rsidRPr="00FE2D31" w:rsidRDefault="00BD631C" w:rsidP="00BD631C">
      <w:pPr>
        <w:pStyle w:val="ListParagraph"/>
        <w:rPr>
          <w:bCs/>
          <w:sz w:val="28"/>
          <w:szCs w:val="28"/>
        </w:rPr>
      </w:pPr>
    </w:p>
    <w:p w14:paraId="3F618388" w14:textId="7C52E7DD" w:rsidR="00F20545" w:rsidRPr="00FE2D31" w:rsidRDefault="00042474" w:rsidP="00042474">
      <w:pPr>
        <w:tabs>
          <w:tab w:val="left" w:pos="0"/>
        </w:tabs>
        <w:rPr>
          <w:bCs/>
          <w:sz w:val="28"/>
          <w:szCs w:val="28"/>
        </w:rPr>
      </w:pPr>
      <w:r w:rsidRPr="00FE2D31">
        <w:rPr>
          <w:sz w:val="28"/>
          <w:szCs w:val="28"/>
        </w:rPr>
        <w:t>[34]</w:t>
      </w:r>
      <w:r w:rsidRPr="00FE2D31">
        <w:rPr>
          <w:sz w:val="28"/>
          <w:szCs w:val="28"/>
        </w:rPr>
        <w:tab/>
      </w:r>
      <w:r w:rsidR="0034788A" w:rsidRPr="00FE2D31">
        <w:rPr>
          <w:bCs/>
          <w:sz w:val="28"/>
          <w:szCs w:val="28"/>
        </w:rPr>
        <w:t xml:space="preserve">Mr </w:t>
      </w:r>
      <w:r w:rsidR="00BD631C" w:rsidRPr="00FE2D31">
        <w:rPr>
          <w:bCs/>
          <w:sz w:val="28"/>
          <w:szCs w:val="28"/>
        </w:rPr>
        <w:t>Dube</w:t>
      </w:r>
      <w:r w:rsidR="003B59A7" w:rsidRPr="00FE2D31">
        <w:rPr>
          <w:bCs/>
          <w:sz w:val="28"/>
          <w:szCs w:val="28"/>
        </w:rPr>
        <w:t>,</w:t>
      </w:r>
      <w:r w:rsidR="0034788A" w:rsidRPr="00FE2D31">
        <w:rPr>
          <w:bCs/>
          <w:sz w:val="28"/>
          <w:szCs w:val="28"/>
        </w:rPr>
        <w:t xml:space="preserve"> who is</w:t>
      </w:r>
      <w:r w:rsidR="00BD631C" w:rsidRPr="00FE2D31">
        <w:rPr>
          <w:bCs/>
          <w:sz w:val="28"/>
          <w:szCs w:val="28"/>
        </w:rPr>
        <w:t xml:space="preserve"> </w:t>
      </w:r>
      <w:r w:rsidR="0034788A" w:rsidRPr="00FE2D31">
        <w:rPr>
          <w:bCs/>
          <w:sz w:val="28"/>
          <w:szCs w:val="28"/>
        </w:rPr>
        <w:t xml:space="preserve">a </w:t>
      </w:r>
      <w:r w:rsidR="00BD631C" w:rsidRPr="00FE2D31">
        <w:rPr>
          <w:bCs/>
          <w:sz w:val="28"/>
          <w:szCs w:val="28"/>
        </w:rPr>
        <w:t>qualified</w:t>
      </w:r>
      <w:r w:rsidR="0034788A" w:rsidRPr="00FE2D31">
        <w:rPr>
          <w:bCs/>
          <w:sz w:val="28"/>
          <w:szCs w:val="28"/>
        </w:rPr>
        <w:t xml:space="preserve"> </w:t>
      </w:r>
      <w:r w:rsidR="00BD631C" w:rsidRPr="00FE2D31">
        <w:rPr>
          <w:bCs/>
          <w:sz w:val="28"/>
          <w:szCs w:val="28"/>
        </w:rPr>
        <w:t>mine surveyor</w:t>
      </w:r>
      <w:r w:rsidR="003B59A7" w:rsidRPr="00FE2D31">
        <w:rPr>
          <w:bCs/>
          <w:sz w:val="28"/>
          <w:szCs w:val="28"/>
        </w:rPr>
        <w:t>,</w:t>
      </w:r>
      <w:r w:rsidR="00BD631C" w:rsidRPr="00FE2D31">
        <w:rPr>
          <w:bCs/>
          <w:sz w:val="28"/>
          <w:szCs w:val="28"/>
        </w:rPr>
        <w:t xml:space="preserve"> studied the photographs and confirmed that they indicated full-scale mining operation</w:t>
      </w:r>
      <w:r w:rsidR="00192328" w:rsidRPr="00FE2D31">
        <w:rPr>
          <w:bCs/>
          <w:sz w:val="28"/>
          <w:szCs w:val="28"/>
        </w:rPr>
        <w:t>s</w:t>
      </w:r>
      <w:r w:rsidR="00BD631C" w:rsidRPr="00FE2D31">
        <w:rPr>
          <w:bCs/>
          <w:sz w:val="28"/>
          <w:szCs w:val="28"/>
        </w:rPr>
        <w:t xml:space="preserve"> being conducted by Bila as opposed to prospecting operations.</w:t>
      </w:r>
      <w:r w:rsidR="00396D28" w:rsidRPr="00FE2D31">
        <w:rPr>
          <w:bCs/>
          <w:sz w:val="28"/>
          <w:szCs w:val="28"/>
        </w:rPr>
        <w:t xml:space="preserve"> </w:t>
      </w:r>
      <w:r w:rsidR="0034788A" w:rsidRPr="00FE2D31">
        <w:rPr>
          <w:bCs/>
          <w:sz w:val="28"/>
          <w:szCs w:val="28"/>
        </w:rPr>
        <w:t xml:space="preserve">Samancor’s survey specialist, </w:t>
      </w:r>
      <w:r w:rsidR="00300123" w:rsidRPr="00FE2D31">
        <w:rPr>
          <w:bCs/>
          <w:sz w:val="28"/>
          <w:szCs w:val="28"/>
        </w:rPr>
        <w:t xml:space="preserve">Mr </w:t>
      </w:r>
      <w:r w:rsidR="00396D28" w:rsidRPr="00FE2D31">
        <w:rPr>
          <w:bCs/>
          <w:sz w:val="28"/>
          <w:szCs w:val="28"/>
        </w:rPr>
        <w:t>Vusumzi Vilakazi</w:t>
      </w:r>
      <w:r w:rsidR="00192328" w:rsidRPr="00FE2D31">
        <w:rPr>
          <w:bCs/>
          <w:sz w:val="28"/>
          <w:szCs w:val="28"/>
        </w:rPr>
        <w:t>,</w:t>
      </w:r>
      <w:r w:rsidR="003B59A7" w:rsidRPr="00FE2D31">
        <w:rPr>
          <w:bCs/>
          <w:sz w:val="28"/>
          <w:szCs w:val="28"/>
        </w:rPr>
        <w:t xml:space="preserve"> </w:t>
      </w:r>
      <w:r w:rsidR="00396D28" w:rsidRPr="00FE2D31">
        <w:rPr>
          <w:bCs/>
          <w:sz w:val="28"/>
          <w:szCs w:val="28"/>
        </w:rPr>
        <w:t xml:space="preserve">and </w:t>
      </w:r>
      <w:r w:rsidR="00300123" w:rsidRPr="00FE2D31">
        <w:rPr>
          <w:bCs/>
          <w:sz w:val="28"/>
          <w:szCs w:val="28"/>
        </w:rPr>
        <w:t xml:space="preserve">Mr </w:t>
      </w:r>
      <w:r w:rsidR="00396D28" w:rsidRPr="00FE2D31">
        <w:rPr>
          <w:bCs/>
          <w:sz w:val="28"/>
          <w:szCs w:val="28"/>
        </w:rPr>
        <w:t>Dube conducted an analysis of the pit where unlawful mining activities were allegedly being conducted, using the industry</w:t>
      </w:r>
      <w:r w:rsidR="003B59A7" w:rsidRPr="00FE2D31">
        <w:rPr>
          <w:bCs/>
          <w:sz w:val="28"/>
          <w:szCs w:val="28"/>
        </w:rPr>
        <w:t>-</w:t>
      </w:r>
      <w:r w:rsidR="00396D28" w:rsidRPr="00FE2D31">
        <w:rPr>
          <w:bCs/>
          <w:sz w:val="28"/>
          <w:szCs w:val="28"/>
        </w:rPr>
        <w:t>standard digital terrain modelling and surveying software</w:t>
      </w:r>
      <w:r w:rsidR="003D5189" w:rsidRPr="00FE2D31">
        <w:rPr>
          <w:bCs/>
          <w:sz w:val="28"/>
          <w:szCs w:val="28"/>
        </w:rPr>
        <w:t xml:space="preserve"> </w:t>
      </w:r>
      <w:r w:rsidR="00396D28" w:rsidRPr="00FE2D31">
        <w:rPr>
          <w:bCs/>
          <w:sz w:val="28"/>
          <w:szCs w:val="28"/>
        </w:rPr>
        <w:t xml:space="preserve">known as ‘model-maker’. </w:t>
      </w:r>
    </w:p>
    <w:p w14:paraId="6BD589B5" w14:textId="77777777" w:rsidR="00F20545" w:rsidRPr="00FE2D31" w:rsidRDefault="00F20545" w:rsidP="00F20545">
      <w:pPr>
        <w:pStyle w:val="ListParagraph"/>
        <w:rPr>
          <w:bCs/>
          <w:sz w:val="28"/>
          <w:szCs w:val="28"/>
        </w:rPr>
      </w:pPr>
    </w:p>
    <w:p w14:paraId="7678A03B" w14:textId="0AABCFE3" w:rsidR="00742D7F" w:rsidRPr="00FE2D31" w:rsidRDefault="00042474" w:rsidP="00042474">
      <w:pPr>
        <w:tabs>
          <w:tab w:val="left" w:pos="0"/>
        </w:tabs>
        <w:rPr>
          <w:bCs/>
          <w:sz w:val="28"/>
          <w:szCs w:val="28"/>
        </w:rPr>
      </w:pPr>
      <w:r w:rsidRPr="00FE2D31">
        <w:rPr>
          <w:sz w:val="28"/>
          <w:szCs w:val="28"/>
        </w:rPr>
        <w:t>[35]</w:t>
      </w:r>
      <w:r w:rsidRPr="00FE2D31">
        <w:rPr>
          <w:sz w:val="28"/>
          <w:szCs w:val="28"/>
        </w:rPr>
        <w:tab/>
      </w:r>
      <w:r w:rsidR="00396D28" w:rsidRPr="00FE2D31">
        <w:rPr>
          <w:bCs/>
          <w:sz w:val="28"/>
          <w:szCs w:val="28"/>
        </w:rPr>
        <w:t xml:space="preserve">They calculated that by 22 August 2019, Bila </w:t>
      </w:r>
      <w:r w:rsidR="0034788A" w:rsidRPr="00FE2D31">
        <w:rPr>
          <w:bCs/>
          <w:sz w:val="28"/>
          <w:szCs w:val="28"/>
        </w:rPr>
        <w:t xml:space="preserve">had </w:t>
      </w:r>
      <w:r w:rsidR="00396D28" w:rsidRPr="00FE2D31">
        <w:rPr>
          <w:bCs/>
          <w:sz w:val="28"/>
          <w:szCs w:val="28"/>
        </w:rPr>
        <w:t xml:space="preserve">mined and removed an estimated 174 382.23 </w:t>
      </w:r>
      <w:r w:rsidR="00192328" w:rsidRPr="00FE2D31">
        <w:rPr>
          <w:bCs/>
          <w:sz w:val="28"/>
          <w:szCs w:val="28"/>
        </w:rPr>
        <w:t xml:space="preserve">tons </w:t>
      </w:r>
      <w:r w:rsidR="00396D28" w:rsidRPr="00FE2D31">
        <w:rPr>
          <w:bCs/>
          <w:sz w:val="28"/>
          <w:szCs w:val="28"/>
        </w:rPr>
        <w:t xml:space="preserve">of chrome ore from MG4 </w:t>
      </w:r>
      <w:r w:rsidR="003D5189" w:rsidRPr="00FE2D31">
        <w:rPr>
          <w:bCs/>
          <w:sz w:val="28"/>
          <w:szCs w:val="28"/>
        </w:rPr>
        <w:t>r</w:t>
      </w:r>
      <w:r w:rsidR="00396D28" w:rsidRPr="00FE2D31">
        <w:rPr>
          <w:bCs/>
          <w:sz w:val="28"/>
          <w:szCs w:val="28"/>
        </w:rPr>
        <w:t xml:space="preserve">eef and </w:t>
      </w:r>
      <w:r w:rsidR="00F20545" w:rsidRPr="00FE2D31">
        <w:rPr>
          <w:bCs/>
          <w:sz w:val="28"/>
          <w:szCs w:val="28"/>
        </w:rPr>
        <w:t>75 441.37</w:t>
      </w:r>
      <w:r w:rsidR="00396D28" w:rsidRPr="00FE2D31">
        <w:rPr>
          <w:bCs/>
          <w:sz w:val="28"/>
          <w:szCs w:val="28"/>
        </w:rPr>
        <w:t xml:space="preserve"> tons from the MG4A reef from the pit on RE Portion 2</w:t>
      </w:r>
      <w:r w:rsidR="009C1D95" w:rsidRPr="00FE2D31">
        <w:rPr>
          <w:bCs/>
          <w:sz w:val="28"/>
          <w:szCs w:val="28"/>
        </w:rPr>
        <w:t>.</w:t>
      </w:r>
      <w:r w:rsidR="0034788A" w:rsidRPr="00FE2D31">
        <w:rPr>
          <w:bCs/>
          <w:sz w:val="28"/>
          <w:szCs w:val="28"/>
        </w:rPr>
        <w:t xml:space="preserve"> They </w:t>
      </w:r>
      <w:r w:rsidR="009C1D95" w:rsidRPr="00FE2D31">
        <w:rPr>
          <w:bCs/>
          <w:sz w:val="28"/>
          <w:szCs w:val="28"/>
        </w:rPr>
        <w:t>also measured the dimensions of the pits that had been excavated</w:t>
      </w:r>
      <w:r w:rsidR="00742D7F" w:rsidRPr="00FE2D31">
        <w:rPr>
          <w:bCs/>
          <w:sz w:val="28"/>
          <w:szCs w:val="28"/>
        </w:rPr>
        <w:t xml:space="preserve"> and found them to be larger than what was anticipated by Bila in the prospecting work programme (PWP). </w:t>
      </w:r>
      <w:r w:rsidR="00742D7F" w:rsidRPr="00FE2D31">
        <w:rPr>
          <w:bCs/>
          <w:sz w:val="28"/>
          <w:szCs w:val="28"/>
        </w:rPr>
        <w:lastRenderedPageBreak/>
        <w:t xml:space="preserve">Bila </w:t>
      </w:r>
      <w:r w:rsidR="0034788A" w:rsidRPr="00FE2D31">
        <w:rPr>
          <w:bCs/>
          <w:sz w:val="28"/>
          <w:szCs w:val="28"/>
        </w:rPr>
        <w:t xml:space="preserve">had </w:t>
      </w:r>
      <w:r w:rsidR="00742D7F" w:rsidRPr="00FE2D31">
        <w:rPr>
          <w:bCs/>
          <w:sz w:val="28"/>
          <w:szCs w:val="28"/>
        </w:rPr>
        <w:t>also not closed or rehabilitated any of the mine excavations conducted in an old pit on RE Portion 2.</w:t>
      </w:r>
    </w:p>
    <w:p w14:paraId="0CA7EB6D" w14:textId="77777777" w:rsidR="00742D7F" w:rsidRPr="00FE2D31" w:rsidRDefault="00742D7F" w:rsidP="00742D7F">
      <w:pPr>
        <w:pStyle w:val="ListParagraph"/>
        <w:rPr>
          <w:bCs/>
          <w:sz w:val="28"/>
          <w:szCs w:val="28"/>
        </w:rPr>
      </w:pPr>
    </w:p>
    <w:p w14:paraId="20FF6EF8" w14:textId="3557F702" w:rsidR="00742D7F" w:rsidRPr="00FE2D31" w:rsidRDefault="00042474" w:rsidP="00042474">
      <w:pPr>
        <w:tabs>
          <w:tab w:val="left" w:pos="0"/>
        </w:tabs>
        <w:rPr>
          <w:bCs/>
          <w:sz w:val="28"/>
          <w:szCs w:val="28"/>
        </w:rPr>
      </w:pPr>
      <w:r w:rsidRPr="00FE2D31">
        <w:rPr>
          <w:sz w:val="28"/>
          <w:szCs w:val="28"/>
        </w:rPr>
        <w:t>[36]</w:t>
      </w:r>
      <w:r w:rsidRPr="00FE2D31">
        <w:rPr>
          <w:sz w:val="28"/>
          <w:szCs w:val="28"/>
        </w:rPr>
        <w:tab/>
      </w:r>
      <w:r w:rsidR="00742D7F" w:rsidRPr="00FE2D31">
        <w:rPr>
          <w:bCs/>
          <w:sz w:val="28"/>
          <w:szCs w:val="28"/>
        </w:rPr>
        <w:t xml:space="preserve">Bila was only permitted to remove 80 000 tons of ore over a period of 42 months for purposes of conducting tests and analysis in terms of the prospecting right and PWP. </w:t>
      </w:r>
      <w:r w:rsidR="0034788A" w:rsidRPr="00FE2D31">
        <w:rPr>
          <w:bCs/>
          <w:sz w:val="28"/>
          <w:szCs w:val="28"/>
        </w:rPr>
        <w:t xml:space="preserve">It </w:t>
      </w:r>
      <w:r w:rsidR="00742D7F" w:rsidRPr="00FE2D31">
        <w:rPr>
          <w:bCs/>
          <w:sz w:val="28"/>
          <w:szCs w:val="28"/>
        </w:rPr>
        <w:t>had as at 21 August 2019 removed a total amount of 642 607.04 tons of chrome ore from the MG4 reef and 278 005.09 tons of chrome ore from the MG4</w:t>
      </w:r>
      <w:r w:rsidR="005B2075" w:rsidRPr="00FE2D31">
        <w:rPr>
          <w:bCs/>
          <w:sz w:val="28"/>
          <w:szCs w:val="28"/>
        </w:rPr>
        <w:t>A</w:t>
      </w:r>
      <w:r w:rsidR="00742D7F" w:rsidRPr="00FE2D31">
        <w:rPr>
          <w:bCs/>
          <w:sz w:val="28"/>
          <w:szCs w:val="28"/>
        </w:rPr>
        <w:t xml:space="preserve"> reef on RE Portion 2 and Portion 154.</w:t>
      </w:r>
    </w:p>
    <w:p w14:paraId="0250E6AE" w14:textId="77777777" w:rsidR="00742D7F" w:rsidRPr="00FE2D31" w:rsidRDefault="00742D7F" w:rsidP="00742D7F">
      <w:pPr>
        <w:pStyle w:val="ListParagraph"/>
        <w:rPr>
          <w:bCs/>
          <w:sz w:val="28"/>
          <w:szCs w:val="28"/>
        </w:rPr>
      </w:pPr>
    </w:p>
    <w:p w14:paraId="74AE58BB" w14:textId="240D8299" w:rsidR="00F670E9" w:rsidRPr="00FE2D31" w:rsidRDefault="00042474" w:rsidP="00042474">
      <w:pPr>
        <w:tabs>
          <w:tab w:val="left" w:pos="0"/>
        </w:tabs>
        <w:rPr>
          <w:bCs/>
          <w:sz w:val="28"/>
          <w:szCs w:val="28"/>
        </w:rPr>
      </w:pPr>
      <w:r w:rsidRPr="00FE2D31">
        <w:rPr>
          <w:sz w:val="28"/>
          <w:szCs w:val="28"/>
        </w:rPr>
        <w:t>[37]</w:t>
      </w:r>
      <w:r w:rsidRPr="00FE2D31">
        <w:rPr>
          <w:sz w:val="28"/>
          <w:szCs w:val="28"/>
        </w:rPr>
        <w:tab/>
      </w:r>
      <w:r w:rsidR="00742D7F" w:rsidRPr="00FE2D31">
        <w:rPr>
          <w:bCs/>
          <w:sz w:val="28"/>
          <w:szCs w:val="28"/>
        </w:rPr>
        <w:t xml:space="preserve">On 4 September 2019, </w:t>
      </w:r>
      <w:r w:rsidR="00300123" w:rsidRPr="00FE2D31">
        <w:rPr>
          <w:bCs/>
          <w:sz w:val="28"/>
          <w:szCs w:val="28"/>
        </w:rPr>
        <w:t xml:space="preserve">Mr </w:t>
      </w:r>
      <w:r w:rsidR="00742D7F" w:rsidRPr="00FE2D31">
        <w:rPr>
          <w:bCs/>
          <w:sz w:val="28"/>
          <w:szCs w:val="28"/>
        </w:rPr>
        <w:t>Labuschagne</w:t>
      </w:r>
      <w:r w:rsidR="00444D96" w:rsidRPr="00FE2D31">
        <w:rPr>
          <w:bCs/>
          <w:sz w:val="28"/>
          <w:szCs w:val="28"/>
        </w:rPr>
        <w:t xml:space="preserve"> observed that Bila was continuing its mining operations on RE Portion 2 and </w:t>
      </w:r>
      <w:r w:rsidR="0034788A" w:rsidRPr="00FE2D31">
        <w:rPr>
          <w:bCs/>
          <w:sz w:val="28"/>
          <w:szCs w:val="28"/>
        </w:rPr>
        <w:t xml:space="preserve">it </w:t>
      </w:r>
      <w:r w:rsidR="00444D96" w:rsidRPr="00FE2D31">
        <w:rPr>
          <w:bCs/>
          <w:sz w:val="28"/>
          <w:szCs w:val="28"/>
        </w:rPr>
        <w:t>had escalated its operations since he had last observed on 19 August 2019. He took video footage of these</w:t>
      </w:r>
      <w:r w:rsidR="0034788A" w:rsidRPr="00FE2D31">
        <w:rPr>
          <w:bCs/>
          <w:sz w:val="28"/>
          <w:szCs w:val="28"/>
        </w:rPr>
        <w:t xml:space="preserve"> activities</w:t>
      </w:r>
      <w:r w:rsidR="00444D96" w:rsidRPr="00FE2D31">
        <w:rPr>
          <w:bCs/>
          <w:sz w:val="28"/>
          <w:szCs w:val="28"/>
        </w:rPr>
        <w:t xml:space="preserve">. </w:t>
      </w:r>
      <w:r w:rsidR="0034788A" w:rsidRPr="00FE2D31">
        <w:rPr>
          <w:bCs/>
          <w:sz w:val="28"/>
          <w:szCs w:val="28"/>
        </w:rPr>
        <w:t xml:space="preserve">Mr </w:t>
      </w:r>
      <w:r w:rsidR="00444D96" w:rsidRPr="00FE2D31">
        <w:rPr>
          <w:bCs/>
          <w:sz w:val="28"/>
          <w:szCs w:val="28"/>
        </w:rPr>
        <w:t xml:space="preserve">Dube reviewed the video and confirmed that full-scale mining operations were taking place. </w:t>
      </w:r>
      <w:r w:rsidR="0034788A" w:rsidRPr="00FE2D31">
        <w:rPr>
          <w:bCs/>
          <w:sz w:val="28"/>
          <w:szCs w:val="28"/>
        </w:rPr>
        <w:t xml:space="preserve">Also, </w:t>
      </w:r>
      <w:r w:rsidR="00444D96" w:rsidRPr="00FE2D31">
        <w:rPr>
          <w:bCs/>
          <w:sz w:val="28"/>
          <w:szCs w:val="28"/>
        </w:rPr>
        <w:t xml:space="preserve">on 4 September 2019, Samancor’s safety, health, environment and quality specialist for explosives, </w:t>
      </w:r>
      <w:r w:rsidR="00300123" w:rsidRPr="00FE2D31">
        <w:rPr>
          <w:bCs/>
          <w:sz w:val="28"/>
          <w:szCs w:val="28"/>
        </w:rPr>
        <w:t xml:space="preserve">Mr </w:t>
      </w:r>
      <w:r w:rsidR="00444D96" w:rsidRPr="00FE2D31">
        <w:rPr>
          <w:bCs/>
          <w:sz w:val="28"/>
          <w:szCs w:val="28"/>
        </w:rPr>
        <w:t>Tshepo Mog</w:t>
      </w:r>
      <w:r w:rsidR="003D5189" w:rsidRPr="00FE2D31">
        <w:rPr>
          <w:bCs/>
          <w:sz w:val="28"/>
          <w:szCs w:val="28"/>
        </w:rPr>
        <w:t>o</w:t>
      </w:r>
      <w:r w:rsidR="00444D96" w:rsidRPr="00FE2D31">
        <w:rPr>
          <w:bCs/>
          <w:sz w:val="28"/>
          <w:szCs w:val="28"/>
        </w:rPr>
        <w:t>ai</w:t>
      </w:r>
      <w:r w:rsidR="00300123" w:rsidRPr="00FE2D31">
        <w:rPr>
          <w:bCs/>
          <w:sz w:val="28"/>
          <w:szCs w:val="28"/>
        </w:rPr>
        <w:t xml:space="preserve"> received a </w:t>
      </w:r>
      <w:r w:rsidR="0034788A" w:rsidRPr="00FE2D31">
        <w:rPr>
          <w:bCs/>
          <w:sz w:val="28"/>
          <w:szCs w:val="28"/>
        </w:rPr>
        <w:t xml:space="preserve">telephone </w:t>
      </w:r>
      <w:r w:rsidR="00300123" w:rsidRPr="00FE2D31">
        <w:rPr>
          <w:bCs/>
          <w:sz w:val="28"/>
          <w:szCs w:val="28"/>
        </w:rPr>
        <w:t>call from one Mr Kenny Wha</w:t>
      </w:r>
      <w:r w:rsidR="003D5189" w:rsidRPr="00FE2D31">
        <w:rPr>
          <w:bCs/>
          <w:sz w:val="28"/>
          <w:szCs w:val="28"/>
        </w:rPr>
        <w:t>l</w:t>
      </w:r>
      <w:r w:rsidR="00D73968" w:rsidRPr="00FE2D31">
        <w:rPr>
          <w:bCs/>
          <w:sz w:val="28"/>
          <w:szCs w:val="28"/>
        </w:rPr>
        <w:t xml:space="preserve"> </w:t>
      </w:r>
      <w:r w:rsidR="00300123" w:rsidRPr="00FE2D31">
        <w:rPr>
          <w:bCs/>
          <w:sz w:val="28"/>
          <w:szCs w:val="28"/>
        </w:rPr>
        <w:t>from Bila</w:t>
      </w:r>
      <w:r w:rsidR="003D5189" w:rsidRPr="00FE2D31">
        <w:rPr>
          <w:bCs/>
          <w:sz w:val="28"/>
          <w:szCs w:val="28"/>
        </w:rPr>
        <w:t>,</w:t>
      </w:r>
      <w:r w:rsidR="00300123" w:rsidRPr="00FE2D31">
        <w:rPr>
          <w:bCs/>
          <w:sz w:val="28"/>
          <w:szCs w:val="28"/>
        </w:rPr>
        <w:t xml:space="preserve"> who informed him that Bila would be conducting blasting on 4 and 5 September 2019 consisting of 110 (explosive filled) holes</w:t>
      </w:r>
      <w:r w:rsidR="00180CE0" w:rsidRPr="00FE2D31">
        <w:rPr>
          <w:bCs/>
          <w:sz w:val="28"/>
          <w:szCs w:val="28"/>
        </w:rPr>
        <w:t xml:space="preserve"> – </w:t>
      </w:r>
      <w:r w:rsidR="0034788A" w:rsidRPr="00FE2D31">
        <w:rPr>
          <w:bCs/>
          <w:sz w:val="28"/>
          <w:szCs w:val="28"/>
        </w:rPr>
        <w:t>a ‘big blast’</w:t>
      </w:r>
      <w:r w:rsidR="00300123" w:rsidRPr="00FE2D31">
        <w:rPr>
          <w:bCs/>
          <w:sz w:val="28"/>
          <w:szCs w:val="28"/>
        </w:rPr>
        <w:t xml:space="preserve">. </w:t>
      </w:r>
    </w:p>
    <w:p w14:paraId="5F8EEEA0" w14:textId="77777777" w:rsidR="00F670E9" w:rsidRPr="00FE2D31" w:rsidRDefault="00F670E9" w:rsidP="00F670E9">
      <w:pPr>
        <w:pStyle w:val="ListParagraph"/>
        <w:rPr>
          <w:bCs/>
          <w:sz w:val="28"/>
          <w:szCs w:val="28"/>
        </w:rPr>
      </w:pPr>
    </w:p>
    <w:p w14:paraId="0965683D" w14:textId="48E8BFA9" w:rsidR="005B2075" w:rsidRPr="00FE2D31" w:rsidRDefault="00042474" w:rsidP="00042474">
      <w:pPr>
        <w:tabs>
          <w:tab w:val="left" w:pos="0"/>
        </w:tabs>
        <w:rPr>
          <w:bCs/>
          <w:sz w:val="28"/>
          <w:szCs w:val="28"/>
        </w:rPr>
      </w:pPr>
      <w:r w:rsidRPr="00FE2D31">
        <w:rPr>
          <w:sz w:val="28"/>
          <w:szCs w:val="28"/>
        </w:rPr>
        <w:t>[38]</w:t>
      </w:r>
      <w:r w:rsidRPr="00FE2D31">
        <w:rPr>
          <w:sz w:val="28"/>
          <w:szCs w:val="28"/>
        </w:rPr>
        <w:tab/>
      </w:r>
      <w:r w:rsidR="00F670E9" w:rsidRPr="00FE2D31">
        <w:rPr>
          <w:bCs/>
          <w:sz w:val="28"/>
          <w:szCs w:val="28"/>
        </w:rPr>
        <w:t>Prior to the hearing of the matter before Neukircher J</w:t>
      </w:r>
      <w:r w:rsidR="00CD48CD" w:rsidRPr="00FE2D31">
        <w:rPr>
          <w:bCs/>
          <w:sz w:val="28"/>
          <w:szCs w:val="28"/>
        </w:rPr>
        <w:t>,</w:t>
      </w:r>
      <w:r w:rsidR="00F670E9" w:rsidRPr="00FE2D31">
        <w:rPr>
          <w:bCs/>
          <w:sz w:val="28"/>
          <w:szCs w:val="28"/>
        </w:rPr>
        <w:t xml:space="preserve"> Bila had been issued with a </w:t>
      </w:r>
      <w:r w:rsidR="004C31A8" w:rsidRPr="00FE2D31">
        <w:rPr>
          <w:bCs/>
          <w:sz w:val="28"/>
          <w:szCs w:val="28"/>
        </w:rPr>
        <w:t xml:space="preserve">notice in terms of </w:t>
      </w:r>
      <w:r w:rsidR="00F670E9" w:rsidRPr="00FE2D31">
        <w:rPr>
          <w:bCs/>
          <w:sz w:val="28"/>
          <w:szCs w:val="28"/>
        </w:rPr>
        <w:t>s 54</w:t>
      </w:r>
      <w:r w:rsidR="004C31A8" w:rsidRPr="00FE2D31">
        <w:rPr>
          <w:bCs/>
          <w:sz w:val="28"/>
          <w:szCs w:val="28"/>
        </w:rPr>
        <w:t xml:space="preserve"> of the MHSA (s 54 notice)</w:t>
      </w:r>
      <w:r w:rsidR="00CD48CD" w:rsidRPr="00FE2D31">
        <w:rPr>
          <w:rStyle w:val="FootnoteReference"/>
          <w:bCs/>
          <w:sz w:val="28"/>
          <w:szCs w:val="28"/>
        </w:rPr>
        <w:footnoteReference w:id="9"/>
      </w:r>
      <w:r w:rsidR="00F670E9" w:rsidRPr="00FE2D31">
        <w:rPr>
          <w:bCs/>
          <w:sz w:val="28"/>
          <w:szCs w:val="28"/>
        </w:rPr>
        <w:t xml:space="preserve"> by the</w:t>
      </w:r>
      <w:r w:rsidR="00CD48CD" w:rsidRPr="00FE2D31">
        <w:rPr>
          <w:bCs/>
          <w:sz w:val="28"/>
          <w:szCs w:val="28"/>
        </w:rPr>
        <w:t xml:space="preserve"> </w:t>
      </w:r>
      <w:r w:rsidR="004C31A8" w:rsidRPr="00FE2D31">
        <w:rPr>
          <w:bCs/>
          <w:sz w:val="28"/>
          <w:szCs w:val="28"/>
        </w:rPr>
        <w:t>DMR</w:t>
      </w:r>
      <w:r w:rsidR="00CD48CD" w:rsidRPr="00FE2D31">
        <w:rPr>
          <w:bCs/>
          <w:sz w:val="28"/>
          <w:szCs w:val="28"/>
        </w:rPr>
        <w:t xml:space="preserve"> </w:t>
      </w:r>
      <w:r w:rsidR="00F670E9" w:rsidRPr="00FE2D31">
        <w:rPr>
          <w:bCs/>
          <w:sz w:val="28"/>
          <w:szCs w:val="28"/>
        </w:rPr>
        <w:lastRenderedPageBreak/>
        <w:t xml:space="preserve">highlighting safety transgressions </w:t>
      </w:r>
      <w:r w:rsidR="003D5189" w:rsidRPr="00FE2D31">
        <w:rPr>
          <w:bCs/>
          <w:sz w:val="28"/>
          <w:szCs w:val="28"/>
        </w:rPr>
        <w:t>that</w:t>
      </w:r>
      <w:r w:rsidR="00F670E9" w:rsidRPr="00FE2D31">
        <w:rPr>
          <w:bCs/>
          <w:sz w:val="28"/>
          <w:szCs w:val="28"/>
        </w:rPr>
        <w:t xml:space="preserve"> had been found</w:t>
      </w:r>
      <w:r w:rsidR="00CD48CD" w:rsidRPr="00FE2D31">
        <w:rPr>
          <w:bCs/>
          <w:sz w:val="28"/>
          <w:szCs w:val="28"/>
        </w:rPr>
        <w:t>,</w:t>
      </w:r>
      <w:r w:rsidR="00F670E9" w:rsidRPr="00FE2D31">
        <w:rPr>
          <w:bCs/>
          <w:sz w:val="28"/>
          <w:szCs w:val="28"/>
        </w:rPr>
        <w:t xml:space="preserve"> including Bila ‘blasting at a place that is above another underground mine without any risk assessment and exemption </w:t>
      </w:r>
      <w:r w:rsidR="003D5189" w:rsidRPr="00FE2D31">
        <w:rPr>
          <w:bCs/>
          <w:sz w:val="28"/>
          <w:szCs w:val="28"/>
        </w:rPr>
        <w:t xml:space="preserve">in </w:t>
      </w:r>
      <w:r w:rsidR="00F670E9" w:rsidRPr="00FE2D31">
        <w:rPr>
          <w:bCs/>
          <w:sz w:val="28"/>
          <w:szCs w:val="28"/>
        </w:rPr>
        <w:t>place</w:t>
      </w:r>
      <w:r w:rsidR="000928B7">
        <w:rPr>
          <w:bCs/>
          <w:sz w:val="28"/>
          <w:szCs w:val="28"/>
        </w:rPr>
        <w:t>’</w:t>
      </w:r>
      <w:r w:rsidR="00F670E9" w:rsidRPr="00FE2D31">
        <w:rPr>
          <w:bCs/>
          <w:sz w:val="28"/>
          <w:szCs w:val="28"/>
        </w:rPr>
        <w:t>. In terms of this notice, Bila was</w:t>
      </w:r>
      <w:r w:rsidR="007571CE" w:rsidRPr="00FE2D31">
        <w:rPr>
          <w:bCs/>
          <w:sz w:val="28"/>
          <w:szCs w:val="28"/>
        </w:rPr>
        <w:t>,</w:t>
      </w:r>
      <w:r w:rsidR="00F670E9" w:rsidRPr="00FE2D31">
        <w:rPr>
          <w:bCs/>
          <w:sz w:val="28"/>
          <w:szCs w:val="28"/>
        </w:rPr>
        <w:t xml:space="preserve"> among others, required to provide </w:t>
      </w:r>
      <w:r w:rsidR="00A0627C" w:rsidRPr="00FE2D31">
        <w:rPr>
          <w:bCs/>
          <w:sz w:val="28"/>
          <w:szCs w:val="28"/>
        </w:rPr>
        <w:t xml:space="preserve">a </w:t>
      </w:r>
      <w:r w:rsidR="00F670E9" w:rsidRPr="00FE2D31">
        <w:rPr>
          <w:bCs/>
          <w:sz w:val="28"/>
          <w:szCs w:val="28"/>
        </w:rPr>
        <w:t>risk assessment prepared jointly with Samancor.</w:t>
      </w:r>
      <w:r w:rsidR="004A1FBC" w:rsidRPr="00FE2D31">
        <w:rPr>
          <w:bCs/>
          <w:sz w:val="28"/>
          <w:szCs w:val="28"/>
        </w:rPr>
        <w:t xml:space="preserve"> The notice was</w:t>
      </w:r>
      <w:r w:rsidR="007D276D" w:rsidRPr="00FE2D31">
        <w:rPr>
          <w:bCs/>
          <w:sz w:val="28"/>
          <w:szCs w:val="28"/>
        </w:rPr>
        <w:t>,</w:t>
      </w:r>
      <w:r w:rsidR="004A1FBC" w:rsidRPr="00FE2D31">
        <w:rPr>
          <w:bCs/>
          <w:sz w:val="28"/>
          <w:szCs w:val="28"/>
        </w:rPr>
        <w:t xml:space="preserve"> however</w:t>
      </w:r>
      <w:r w:rsidR="007D276D" w:rsidRPr="00FE2D31">
        <w:rPr>
          <w:bCs/>
          <w:sz w:val="28"/>
          <w:szCs w:val="28"/>
        </w:rPr>
        <w:t>,</w:t>
      </w:r>
      <w:r w:rsidR="004A1FBC" w:rsidRPr="00FE2D31">
        <w:rPr>
          <w:bCs/>
          <w:sz w:val="28"/>
          <w:szCs w:val="28"/>
        </w:rPr>
        <w:t xml:space="preserve"> uplifted notwithstanding the safety concerns still outstanding.</w:t>
      </w:r>
      <w:r w:rsidR="00492A4B" w:rsidRPr="00FE2D31">
        <w:rPr>
          <w:bCs/>
          <w:sz w:val="28"/>
          <w:szCs w:val="28"/>
        </w:rPr>
        <w:t xml:space="preserve"> The mine surveyors of the two parties, nevertheless met </w:t>
      </w:r>
      <w:r w:rsidR="007571CE" w:rsidRPr="00FE2D31">
        <w:rPr>
          <w:bCs/>
          <w:sz w:val="28"/>
          <w:szCs w:val="28"/>
        </w:rPr>
        <w:t xml:space="preserve">and </w:t>
      </w:r>
      <w:r w:rsidR="005B2075" w:rsidRPr="00FE2D31">
        <w:rPr>
          <w:bCs/>
          <w:sz w:val="28"/>
          <w:szCs w:val="28"/>
        </w:rPr>
        <w:t xml:space="preserve">Bila’s mine surveyor agreed </w:t>
      </w:r>
      <w:r w:rsidR="007571CE" w:rsidRPr="00FE2D31">
        <w:rPr>
          <w:bCs/>
          <w:sz w:val="28"/>
          <w:szCs w:val="28"/>
        </w:rPr>
        <w:t xml:space="preserve">with </w:t>
      </w:r>
      <w:r w:rsidR="005B2075" w:rsidRPr="00FE2D31">
        <w:rPr>
          <w:bCs/>
          <w:sz w:val="28"/>
          <w:szCs w:val="28"/>
        </w:rPr>
        <w:t>Samancor’s mine surveyor</w:t>
      </w:r>
      <w:r w:rsidR="007571CE" w:rsidRPr="00FE2D31">
        <w:rPr>
          <w:bCs/>
          <w:sz w:val="28"/>
          <w:szCs w:val="28"/>
        </w:rPr>
        <w:t>,</w:t>
      </w:r>
      <w:r w:rsidR="005B2075" w:rsidRPr="00FE2D31">
        <w:rPr>
          <w:bCs/>
          <w:sz w:val="28"/>
          <w:szCs w:val="28"/>
        </w:rPr>
        <w:t xml:space="preserve"> Mr Johnny </w:t>
      </w:r>
      <w:r w:rsidR="007571CE" w:rsidRPr="00FE2D31">
        <w:rPr>
          <w:bCs/>
          <w:sz w:val="28"/>
          <w:szCs w:val="28"/>
        </w:rPr>
        <w:t>Maleka, that</w:t>
      </w:r>
      <w:r w:rsidR="005B2075" w:rsidRPr="00FE2D31">
        <w:rPr>
          <w:bCs/>
          <w:sz w:val="28"/>
          <w:szCs w:val="28"/>
        </w:rPr>
        <w:t xml:space="preserve"> the parties were mining in the same area. </w:t>
      </w:r>
    </w:p>
    <w:p w14:paraId="3F737EFA" w14:textId="77777777" w:rsidR="00BC2A1A" w:rsidRPr="00FE2D31" w:rsidRDefault="00BC2A1A" w:rsidP="00BC2A1A">
      <w:pPr>
        <w:pStyle w:val="ListParagraph"/>
        <w:rPr>
          <w:bCs/>
          <w:sz w:val="28"/>
          <w:szCs w:val="28"/>
        </w:rPr>
      </w:pPr>
    </w:p>
    <w:p w14:paraId="6A304C95" w14:textId="457587D5" w:rsidR="00BC2A1A" w:rsidRPr="00FE2D31" w:rsidRDefault="00042474" w:rsidP="00042474">
      <w:pPr>
        <w:tabs>
          <w:tab w:val="left" w:pos="0"/>
        </w:tabs>
        <w:rPr>
          <w:bCs/>
          <w:sz w:val="28"/>
          <w:szCs w:val="28"/>
        </w:rPr>
      </w:pPr>
      <w:r w:rsidRPr="00FE2D31">
        <w:rPr>
          <w:sz w:val="28"/>
          <w:szCs w:val="28"/>
        </w:rPr>
        <w:t>[39]</w:t>
      </w:r>
      <w:r w:rsidRPr="00FE2D31">
        <w:rPr>
          <w:sz w:val="28"/>
          <w:szCs w:val="28"/>
        </w:rPr>
        <w:tab/>
      </w:r>
      <w:r w:rsidR="00BC2A1A" w:rsidRPr="00FE2D31">
        <w:rPr>
          <w:bCs/>
          <w:sz w:val="28"/>
          <w:szCs w:val="28"/>
        </w:rPr>
        <w:t>In that meeting, Samancor advised Bila of the mine health and safety concerns, which included loss of ventilation in Samancor’s shafts, possible influx of material flooding and blasting that would affect the integrity of Samancor’s underground workings and causing the surface of the land to cave and the pillars underground to collapse. The joint risk assessment was completed</w:t>
      </w:r>
      <w:r w:rsidR="00583BF5" w:rsidRPr="00FE2D31">
        <w:rPr>
          <w:bCs/>
          <w:sz w:val="28"/>
          <w:szCs w:val="28"/>
        </w:rPr>
        <w:t>.</w:t>
      </w:r>
      <w:r w:rsidR="00BC2A1A" w:rsidRPr="00FE2D31">
        <w:rPr>
          <w:bCs/>
          <w:sz w:val="28"/>
          <w:szCs w:val="28"/>
        </w:rPr>
        <w:t xml:space="preserve"> </w:t>
      </w:r>
      <w:r w:rsidR="00583BF5" w:rsidRPr="00FE2D31">
        <w:rPr>
          <w:bCs/>
          <w:sz w:val="28"/>
          <w:szCs w:val="28"/>
        </w:rPr>
        <w:t>H</w:t>
      </w:r>
      <w:r w:rsidR="00BC2A1A" w:rsidRPr="00FE2D31">
        <w:rPr>
          <w:bCs/>
          <w:sz w:val="28"/>
          <w:szCs w:val="28"/>
        </w:rPr>
        <w:t>owever, Bila did not take steps to mitigate the risks identified in this assessment.</w:t>
      </w:r>
    </w:p>
    <w:p w14:paraId="65F43757" w14:textId="77777777" w:rsidR="0061651E" w:rsidRPr="00FE2D31" w:rsidRDefault="0061651E" w:rsidP="00DC0CF6">
      <w:pPr>
        <w:tabs>
          <w:tab w:val="left" w:pos="0"/>
        </w:tabs>
        <w:rPr>
          <w:bCs/>
          <w:sz w:val="28"/>
          <w:szCs w:val="28"/>
        </w:rPr>
      </w:pPr>
    </w:p>
    <w:p w14:paraId="64FBF36C" w14:textId="58476188" w:rsidR="00C858B6" w:rsidRPr="00FE2D31" w:rsidRDefault="00042474" w:rsidP="00042474">
      <w:pPr>
        <w:tabs>
          <w:tab w:val="left" w:pos="0"/>
        </w:tabs>
        <w:rPr>
          <w:bCs/>
          <w:sz w:val="28"/>
          <w:szCs w:val="28"/>
        </w:rPr>
      </w:pPr>
      <w:r w:rsidRPr="00FE2D31">
        <w:rPr>
          <w:sz w:val="28"/>
          <w:szCs w:val="28"/>
        </w:rPr>
        <w:t>[40]</w:t>
      </w:r>
      <w:r w:rsidRPr="00FE2D31">
        <w:rPr>
          <w:sz w:val="28"/>
          <w:szCs w:val="28"/>
        </w:rPr>
        <w:tab/>
      </w:r>
      <w:r w:rsidR="0059210D" w:rsidRPr="00FE2D31">
        <w:rPr>
          <w:bCs/>
          <w:sz w:val="28"/>
          <w:szCs w:val="28"/>
        </w:rPr>
        <w:t>Continued</w:t>
      </w:r>
      <w:r w:rsidR="00C858B6" w:rsidRPr="00FE2D31">
        <w:rPr>
          <w:bCs/>
          <w:sz w:val="28"/>
          <w:szCs w:val="28"/>
        </w:rPr>
        <w:t xml:space="preserve"> mining operations by Bila in RE Portion 2 would sterilise the MG2 reef, which would shorten the life of </w:t>
      </w:r>
      <w:r w:rsidR="00583BF5" w:rsidRPr="00FE2D31">
        <w:rPr>
          <w:bCs/>
          <w:sz w:val="28"/>
          <w:szCs w:val="28"/>
        </w:rPr>
        <w:t xml:space="preserve">the </w:t>
      </w:r>
      <w:r w:rsidR="00C858B6" w:rsidRPr="00FE2D31">
        <w:rPr>
          <w:bCs/>
          <w:sz w:val="28"/>
          <w:szCs w:val="28"/>
        </w:rPr>
        <w:t xml:space="preserve">mine causing financial harm to Samancor. It </w:t>
      </w:r>
      <w:r w:rsidR="0061651E" w:rsidRPr="00FE2D31">
        <w:rPr>
          <w:bCs/>
          <w:sz w:val="28"/>
          <w:szCs w:val="28"/>
        </w:rPr>
        <w:t xml:space="preserve">was also </w:t>
      </w:r>
      <w:r w:rsidR="00C858B6" w:rsidRPr="00FE2D31">
        <w:rPr>
          <w:bCs/>
          <w:sz w:val="28"/>
          <w:szCs w:val="28"/>
        </w:rPr>
        <w:t xml:space="preserve">causing an </w:t>
      </w:r>
      <w:r w:rsidR="0061651E" w:rsidRPr="00FE2D31">
        <w:rPr>
          <w:bCs/>
          <w:sz w:val="28"/>
          <w:szCs w:val="28"/>
        </w:rPr>
        <w:t>un</w:t>
      </w:r>
      <w:r w:rsidR="00C858B6" w:rsidRPr="00FE2D31">
        <w:rPr>
          <w:bCs/>
          <w:sz w:val="28"/>
          <w:szCs w:val="28"/>
        </w:rPr>
        <w:t xml:space="preserve">acceptable </w:t>
      </w:r>
      <w:r w:rsidR="0061651E" w:rsidRPr="00FE2D31">
        <w:rPr>
          <w:bCs/>
          <w:sz w:val="28"/>
          <w:szCs w:val="28"/>
        </w:rPr>
        <w:t xml:space="preserve">degradation </w:t>
      </w:r>
      <w:r w:rsidR="00C858B6" w:rsidRPr="00FE2D31">
        <w:rPr>
          <w:bCs/>
          <w:sz w:val="28"/>
          <w:szCs w:val="28"/>
        </w:rPr>
        <w:t>to the environment, which exposed Samancor to liability in terms of the National Environmental Management Act 107 of 1998. In addition, removal of tons of chrome</w:t>
      </w:r>
      <w:r w:rsidR="007571CE" w:rsidRPr="00FE2D31">
        <w:rPr>
          <w:bCs/>
          <w:sz w:val="28"/>
          <w:szCs w:val="28"/>
        </w:rPr>
        <w:t xml:space="preserve">, which was </w:t>
      </w:r>
      <w:r w:rsidR="00C858B6" w:rsidRPr="00FE2D31">
        <w:rPr>
          <w:bCs/>
          <w:sz w:val="28"/>
          <w:szCs w:val="28"/>
        </w:rPr>
        <w:t>done between the period of 24 May 2019 and 22 August 2019</w:t>
      </w:r>
      <w:r w:rsidR="007571CE" w:rsidRPr="00FE2D31">
        <w:rPr>
          <w:bCs/>
          <w:sz w:val="28"/>
          <w:szCs w:val="28"/>
        </w:rPr>
        <w:t>,</w:t>
      </w:r>
      <w:r w:rsidR="00C858B6" w:rsidRPr="00FE2D31">
        <w:rPr>
          <w:bCs/>
          <w:sz w:val="28"/>
          <w:szCs w:val="28"/>
        </w:rPr>
        <w:t xml:space="preserve"> would result in the depletion of chrome resources. </w:t>
      </w:r>
      <w:r w:rsidR="0061651E" w:rsidRPr="00FE2D31">
        <w:rPr>
          <w:bCs/>
          <w:sz w:val="28"/>
          <w:szCs w:val="28"/>
        </w:rPr>
        <w:t xml:space="preserve">In that period, Bila had removed 249 823.60 tons of chrome from RE Portion 2. If it continued </w:t>
      </w:r>
      <w:r w:rsidR="0061651E" w:rsidRPr="00FE2D31">
        <w:rPr>
          <w:bCs/>
          <w:sz w:val="28"/>
          <w:szCs w:val="28"/>
        </w:rPr>
        <w:lastRenderedPageBreak/>
        <w:t xml:space="preserve">that would mean approximately 83 274.53 tons of chrome resource will be removed per month. </w:t>
      </w:r>
    </w:p>
    <w:p w14:paraId="30B668E0" w14:textId="77777777" w:rsidR="00C858B6" w:rsidRPr="00FE2D31" w:rsidRDefault="00C858B6" w:rsidP="00C858B6">
      <w:pPr>
        <w:tabs>
          <w:tab w:val="left" w:pos="0"/>
        </w:tabs>
        <w:rPr>
          <w:bCs/>
          <w:sz w:val="28"/>
          <w:szCs w:val="28"/>
        </w:rPr>
      </w:pPr>
    </w:p>
    <w:p w14:paraId="5C3028E2" w14:textId="50A80151" w:rsidR="00BC2A1A" w:rsidRPr="00FE2D31" w:rsidRDefault="00042474" w:rsidP="00042474">
      <w:pPr>
        <w:tabs>
          <w:tab w:val="left" w:pos="0"/>
        </w:tabs>
        <w:rPr>
          <w:bCs/>
          <w:sz w:val="28"/>
          <w:szCs w:val="28"/>
        </w:rPr>
      </w:pPr>
      <w:r w:rsidRPr="00FE2D31">
        <w:rPr>
          <w:sz w:val="28"/>
          <w:szCs w:val="28"/>
        </w:rPr>
        <w:t>[41]</w:t>
      </w:r>
      <w:r w:rsidRPr="00FE2D31">
        <w:rPr>
          <w:sz w:val="28"/>
          <w:szCs w:val="28"/>
        </w:rPr>
        <w:tab/>
      </w:r>
      <w:r w:rsidR="00C858B6" w:rsidRPr="00FE2D31">
        <w:rPr>
          <w:bCs/>
          <w:sz w:val="28"/>
          <w:szCs w:val="28"/>
        </w:rPr>
        <w:t>Bila denie</w:t>
      </w:r>
      <w:r w:rsidR="00404781" w:rsidRPr="00FE2D31">
        <w:rPr>
          <w:bCs/>
          <w:sz w:val="28"/>
          <w:szCs w:val="28"/>
        </w:rPr>
        <w:t>d</w:t>
      </w:r>
      <w:r w:rsidR="00F70E14" w:rsidRPr="00FE2D31">
        <w:rPr>
          <w:bCs/>
          <w:sz w:val="28"/>
          <w:szCs w:val="28"/>
        </w:rPr>
        <w:t xml:space="preserve"> that it </w:t>
      </w:r>
      <w:r w:rsidR="00BC2A1A" w:rsidRPr="00FE2D31">
        <w:rPr>
          <w:bCs/>
          <w:sz w:val="28"/>
          <w:szCs w:val="28"/>
        </w:rPr>
        <w:t xml:space="preserve">was </w:t>
      </w:r>
      <w:r w:rsidR="00F70E14" w:rsidRPr="00FE2D31">
        <w:rPr>
          <w:bCs/>
          <w:sz w:val="28"/>
          <w:szCs w:val="28"/>
        </w:rPr>
        <w:t>conducting mining operations</w:t>
      </w:r>
      <w:r w:rsidR="00404781" w:rsidRPr="00FE2D31">
        <w:rPr>
          <w:bCs/>
          <w:sz w:val="28"/>
          <w:szCs w:val="28"/>
        </w:rPr>
        <w:t xml:space="preserve">. It claimed that it </w:t>
      </w:r>
      <w:r w:rsidR="00BC2A1A" w:rsidRPr="00FE2D31">
        <w:rPr>
          <w:bCs/>
          <w:sz w:val="28"/>
          <w:szCs w:val="28"/>
        </w:rPr>
        <w:t xml:space="preserve">was </w:t>
      </w:r>
      <w:r w:rsidR="00404781" w:rsidRPr="00FE2D31">
        <w:rPr>
          <w:bCs/>
          <w:sz w:val="28"/>
          <w:szCs w:val="28"/>
        </w:rPr>
        <w:t xml:space="preserve">merely conducting </w:t>
      </w:r>
      <w:r w:rsidR="00F70E14" w:rsidRPr="00FE2D31">
        <w:rPr>
          <w:bCs/>
          <w:sz w:val="28"/>
          <w:szCs w:val="28"/>
        </w:rPr>
        <w:t>prospecting operations in terms of its prospecting licence, the purpose of which</w:t>
      </w:r>
      <w:r w:rsidR="00882B89" w:rsidRPr="00FE2D31">
        <w:rPr>
          <w:bCs/>
          <w:sz w:val="28"/>
          <w:szCs w:val="28"/>
        </w:rPr>
        <w:t xml:space="preserve"> </w:t>
      </w:r>
      <w:r w:rsidR="00BC2A1A" w:rsidRPr="00FE2D31">
        <w:rPr>
          <w:bCs/>
          <w:sz w:val="28"/>
          <w:szCs w:val="28"/>
        </w:rPr>
        <w:t>was</w:t>
      </w:r>
      <w:r w:rsidR="00882B89" w:rsidRPr="00FE2D31">
        <w:rPr>
          <w:bCs/>
          <w:sz w:val="28"/>
          <w:szCs w:val="28"/>
        </w:rPr>
        <w:t xml:space="preserve"> to establish whether there </w:t>
      </w:r>
      <w:r w:rsidR="00BC2A1A" w:rsidRPr="00FE2D31">
        <w:rPr>
          <w:bCs/>
          <w:sz w:val="28"/>
          <w:szCs w:val="28"/>
        </w:rPr>
        <w:t xml:space="preserve">were </w:t>
      </w:r>
      <w:r w:rsidR="00882B89" w:rsidRPr="00FE2D31">
        <w:rPr>
          <w:bCs/>
          <w:sz w:val="28"/>
          <w:szCs w:val="28"/>
        </w:rPr>
        <w:t>sufficient viable minerals over RE Portion 2 for Bila to undertake a full-scale mining operation. It did not dispute that the</w:t>
      </w:r>
      <w:r w:rsidR="0061651E" w:rsidRPr="00FE2D31">
        <w:rPr>
          <w:bCs/>
          <w:sz w:val="28"/>
          <w:szCs w:val="28"/>
        </w:rPr>
        <w:t>re</w:t>
      </w:r>
      <w:r w:rsidR="00882B89" w:rsidRPr="00FE2D31">
        <w:rPr>
          <w:bCs/>
          <w:sz w:val="28"/>
          <w:szCs w:val="28"/>
        </w:rPr>
        <w:t xml:space="preserve"> could be sterilisation of MG2 reef.</w:t>
      </w:r>
    </w:p>
    <w:p w14:paraId="39F87AB0" w14:textId="77777777" w:rsidR="00BC2A1A" w:rsidRPr="00FE2D31" w:rsidRDefault="00BC2A1A" w:rsidP="00BC2A1A">
      <w:pPr>
        <w:pStyle w:val="ListParagraph"/>
        <w:rPr>
          <w:bCs/>
          <w:sz w:val="28"/>
          <w:szCs w:val="28"/>
        </w:rPr>
      </w:pPr>
    </w:p>
    <w:p w14:paraId="60E22FC4" w14:textId="4A8AFA0F" w:rsidR="00AB31AE" w:rsidRPr="00FE2D31" w:rsidRDefault="00042474" w:rsidP="00042474">
      <w:pPr>
        <w:tabs>
          <w:tab w:val="left" w:pos="0"/>
        </w:tabs>
        <w:rPr>
          <w:bCs/>
          <w:sz w:val="28"/>
          <w:szCs w:val="28"/>
        </w:rPr>
      </w:pPr>
      <w:r w:rsidRPr="00FE2D31">
        <w:rPr>
          <w:sz w:val="28"/>
          <w:szCs w:val="28"/>
        </w:rPr>
        <w:t>[42]</w:t>
      </w:r>
      <w:r w:rsidRPr="00FE2D31">
        <w:rPr>
          <w:sz w:val="28"/>
          <w:szCs w:val="28"/>
        </w:rPr>
        <w:tab/>
      </w:r>
      <w:r w:rsidR="00882B89" w:rsidRPr="00FE2D31">
        <w:rPr>
          <w:bCs/>
          <w:sz w:val="28"/>
          <w:szCs w:val="28"/>
        </w:rPr>
        <w:t>Bila, however, d</w:t>
      </w:r>
      <w:r w:rsidR="00404781" w:rsidRPr="00FE2D31">
        <w:rPr>
          <w:bCs/>
          <w:sz w:val="28"/>
          <w:szCs w:val="28"/>
        </w:rPr>
        <w:t>id</w:t>
      </w:r>
      <w:r w:rsidR="00882B89" w:rsidRPr="00FE2D31">
        <w:rPr>
          <w:bCs/>
          <w:sz w:val="28"/>
          <w:szCs w:val="28"/>
        </w:rPr>
        <w:t xml:space="preserve"> not deal with the evidence </w:t>
      </w:r>
      <w:r w:rsidR="0061651E" w:rsidRPr="00FE2D31">
        <w:rPr>
          <w:bCs/>
          <w:sz w:val="28"/>
          <w:szCs w:val="28"/>
        </w:rPr>
        <w:t>of Mr</w:t>
      </w:r>
      <w:r w:rsidR="00882B89" w:rsidRPr="00FE2D31">
        <w:rPr>
          <w:bCs/>
          <w:sz w:val="28"/>
          <w:szCs w:val="28"/>
        </w:rPr>
        <w:t xml:space="preserve"> Dube and Mr </w:t>
      </w:r>
      <w:r w:rsidR="0061651E" w:rsidRPr="00FE2D31">
        <w:rPr>
          <w:bCs/>
          <w:sz w:val="28"/>
          <w:szCs w:val="28"/>
        </w:rPr>
        <w:t>Vilakazi, which</w:t>
      </w:r>
      <w:r w:rsidR="003E3BAB" w:rsidRPr="00FE2D31">
        <w:rPr>
          <w:bCs/>
          <w:sz w:val="28"/>
          <w:szCs w:val="28"/>
        </w:rPr>
        <w:t xml:space="preserve"> indicate</w:t>
      </w:r>
      <w:r w:rsidR="00404781" w:rsidRPr="00FE2D31">
        <w:rPr>
          <w:bCs/>
          <w:sz w:val="28"/>
          <w:szCs w:val="28"/>
        </w:rPr>
        <w:t>d</w:t>
      </w:r>
      <w:r w:rsidR="003E3BAB" w:rsidRPr="00FE2D31">
        <w:rPr>
          <w:bCs/>
          <w:sz w:val="28"/>
          <w:szCs w:val="28"/>
        </w:rPr>
        <w:t xml:space="preserve"> that Bila’s operations were at the scale beyond what was allowed by the prospecting </w:t>
      </w:r>
      <w:r w:rsidR="00965F4E" w:rsidRPr="00FE2D31">
        <w:rPr>
          <w:bCs/>
          <w:sz w:val="28"/>
          <w:szCs w:val="28"/>
        </w:rPr>
        <w:t xml:space="preserve">right </w:t>
      </w:r>
      <w:r w:rsidR="003E3BAB" w:rsidRPr="00FE2D31">
        <w:rPr>
          <w:bCs/>
          <w:sz w:val="28"/>
          <w:szCs w:val="28"/>
        </w:rPr>
        <w:t>and</w:t>
      </w:r>
      <w:r w:rsidR="0061651E" w:rsidRPr="00FE2D31">
        <w:rPr>
          <w:bCs/>
          <w:sz w:val="28"/>
          <w:szCs w:val="28"/>
        </w:rPr>
        <w:t xml:space="preserve"> </w:t>
      </w:r>
      <w:r w:rsidR="00180CE0" w:rsidRPr="00FE2D31">
        <w:rPr>
          <w:bCs/>
          <w:sz w:val="28"/>
          <w:szCs w:val="28"/>
        </w:rPr>
        <w:t>as indicated</w:t>
      </w:r>
      <w:r w:rsidR="003E3BAB" w:rsidRPr="00FE2D31">
        <w:rPr>
          <w:bCs/>
          <w:sz w:val="28"/>
          <w:szCs w:val="28"/>
        </w:rPr>
        <w:t xml:space="preserve"> in its PWP. While</w:t>
      </w:r>
      <w:r w:rsidR="0061651E" w:rsidRPr="00FE2D31">
        <w:rPr>
          <w:bCs/>
          <w:sz w:val="28"/>
          <w:szCs w:val="28"/>
        </w:rPr>
        <w:t xml:space="preserve"> it</w:t>
      </w:r>
      <w:r w:rsidR="003E3BAB" w:rsidRPr="00FE2D31">
        <w:rPr>
          <w:bCs/>
          <w:sz w:val="28"/>
          <w:szCs w:val="28"/>
        </w:rPr>
        <w:t xml:space="preserve"> denie</w:t>
      </w:r>
      <w:r w:rsidR="00404781" w:rsidRPr="00FE2D31">
        <w:rPr>
          <w:bCs/>
          <w:sz w:val="28"/>
          <w:szCs w:val="28"/>
        </w:rPr>
        <w:t>d</w:t>
      </w:r>
      <w:r w:rsidR="003E3BAB" w:rsidRPr="00FE2D31">
        <w:rPr>
          <w:bCs/>
          <w:sz w:val="28"/>
          <w:szCs w:val="28"/>
        </w:rPr>
        <w:t xml:space="preserve"> the calculations made by the former</w:t>
      </w:r>
      <w:r w:rsidR="0061651E" w:rsidRPr="00FE2D31">
        <w:rPr>
          <w:bCs/>
          <w:sz w:val="28"/>
          <w:szCs w:val="28"/>
        </w:rPr>
        <w:t>, dismissing them as being g</w:t>
      </w:r>
      <w:r w:rsidR="00DD5B48" w:rsidRPr="00FE2D31">
        <w:rPr>
          <w:bCs/>
          <w:sz w:val="28"/>
          <w:szCs w:val="28"/>
        </w:rPr>
        <w:t>u</w:t>
      </w:r>
      <w:r w:rsidR="0061651E" w:rsidRPr="00FE2D31">
        <w:rPr>
          <w:bCs/>
          <w:sz w:val="28"/>
          <w:szCs w:val="28"/>
        </w:rPr>
        <w:t>es</w:t>
      </w:r>
      <w:r w:rsidR="00AB31AE" w:rsidRPr="00FE2D31">
        <w:rPr>
          <w:bCs/>
          <w:sz w:val="28"/>
          <w:szCs w:val="28"/>
        </w:rPr>
        <w:t>s</w:t>
      </w:r>
      <w:r w:rsidR="0061651E" w:rsidRPr="00FE2D31">
        <w:rPr>
          <w:bCs/>
          <w:sz w:val="28"/>
          <w:szCs w:val="28"/>
        </w:rPr>
        <w:t>timate</w:t>
      </w:r>
      <w:r w:rsidR="00DD5B48" w:rsidRPr="00FE2D31">
        <w:rPr>
          <w:bCs/>
          <w:sz w:val="28"/>
          <w:szCs w:val="28"/>
        </w:rPr>
        <w:t>s</w:t>
      </w:r>
      <w:r w:rsidR="003E3BAB" w:rsidRPr="00FE2D31">
        <w:rPr>
          <w:bCs/>
          <w:sz w:val="28"/>
          <w:szCs w:val="28"/>
        </w:rPr>
        <w:t xml:space="preserve">, </w:t>
      </w:r>
      <w:r w:rsidR="00AB31AE" w:rsidRPr="00FE2D31">
        <w:rPr>
          <w:bCs/>
          <w:sz w:val="28"/>
          <w:szCs w:val="28"/>
        </w:rPr>
        <w:t xml:space="preserve">it </w:t>
      </w:r>
      <w:r w:rsidR="003E3BAB" w:rsidRPr="00FE2D31">
        <w:rPr>
          <w:bCs/>
          <w:sz w:val="28"/>
          <w:szCs w:val="28"/>
        </w:rPr>
        <w:t>d</w:t>
      </w:r>
      <w:r w:rsidR="00404781" w:rsidRPr="00FE2D31">
        <w:rPr>
          <w:bCs/>
          <w:sz w:val="28"/>
          <w:szCs w:val="28"/>
        </w:rPr>
        <w:t>id</w:t>
      </w:r>
      <w:r w:rsidR="003E3BAB" w:rsidRPr="00FE2D31">
        <w:rPr>
          <w:bCs/>
          <w:sz w:val="28"/>
          <w:szCs w:val="28"/>
        </w:rPr>
        <w:t xml:space="preserve"> not disclose the actual quantities that it removed during the period in issue. </w:t>
      </w:r>
    </w:p>
    <w:p w14:paraId="604F5C9A" w14:textId="77777777" w:rsidR="001C7B18" w:rsidRPr="00FE2D31" w:rsidRDefault="001C7B18" w:rsidP="00DC0CF6">
      <w:pPr>
        <w:rPr>
          <w:bCs/>
          <w:sz w:val="28"/>
          <w:szCs w:val="28"/>
        </w:rPr>
      </w:pPr>
    </w:p>
    <w:p w14:paraId="5FA05716" w14:textId="29C375CD" w:rsidR="00D84F47" w:rsidRPr="00FE2D31" w:rsidRDefault="00042474" w:rsidP="00042474">
      <w:pPr>
        <w:tabs>
          <w:tab w:val="left" w:pos="0"/>
        </w:tabs>
        <w:rPr>
          <w:bCs/>
          <w:sz w:val="28"/>
          <w:szCs w:val="28"/>
        </w:rPr>
      </w:pPr>
      <w:r w:rsidRPr="00FE2D31">
        <w:rPr>
          <w:sz w:val="28"/>
          <w:szCs w:val="28"/>
        </w:rPr>
        <w:t>[43]</w:t>
      </w:r>
      <w:r w:rsidRPr="00FE2D31">
        <w:rPr>
          <w:sz w:val="28"/>
          <w:szCs w:val="28"/>
        </w:rPr>
        <w:tab/>
      </w:r>
      <w:r w:rsidR="00BC2A1A" w:rsidRPr="00FE2D31">
        <w:rPr>
          <w:bCs/>
          <w:sz w:val="28"/>
          <w:szCs w:val="28"/>
        </w:rPr>
        <w:t>I</w:t>
      </w:r>
      <w:r w:rsidR="003E3BAB" w:rsidRPr="00FE2D31">
        <w:rPr>
          <w:bCs/>
          <w:sz w:val="28"/>
          <w:szCs w:val="28"/>
        </w:rPr>
        <w:t xml:space="preserve">t may be so that the physical operation equipment required for prospecting and mining is identical, the volumes </w:t>
      </w:r>
      <w:r w:rsidR="00BC2A1A" w:rsidRPr="00FE2D31">
        <w:rPr>
          <w:bCs/>
          <w:sz w:val="28"/>
          <w:szCs w:val="28"/>
        </w:rPr>
        <w:t xml:space="preserve">of chrome ore </w:t>
      </w:r>
      <w:r w:rsidR="003E3BAB" w:rsidRPr="00FE2D31">
        <w:rPr>
          <w:bCs/>
          <w:sz w:val="28"/>
          <w:szCs w:val="28"/>
        </w:rPr>
        <w:t>allowed</w:t>
      </w:r>
      <w:r w:rsidR="000A4FC7" w:rsidRPr="00FE2D31">
        <w:rPr>
          <w:bCs/>
          <w:sz w:val="28"/>
          <w:szCs w:val="28"/>
        </w:rPr>
        <w:t xml:space="preserve"> by the prospecting </w:t>
      </w:r>
      <w:r w:rsidR="00965F4E" w:rsidRPr="00FE2D31">
        <w:rPr>
          <w:bCs/>
          <w:sz w:val="28"/>
          <w:szCs w:val="28"/>
        </w:rPr>
        <w:t xml:space="preserve">right </w:t>
      </w:r>
      <w:r w:rsidR="000A4FC7" w:rsidRPr="00FE2D31">
        <w:rPr>
          <w:bCs/>
          <w:sz w:val="28"/>
          <w:szCs w:val="28"/>
        </w:rPr>
        <w:t xml:space="preserve">and the mining </w:t>
      </w:r>
      <w:r w:rsidR="00965F4E" w:rsidRPr="00FE2D31">
        <w:rPr>
          <w:bCs/>
          <w:sz w:val="28"/>
          <w:szCs w:val="28"/>
        </w:rPr>
        <w:t xml:space="preserve">right </w:t>
      </w:r>
      <w:r w:rsidR="000A4FC7" w:rsidRPr="00FE2D31">
        <w:rPr>
          <w:bCs/>
          <w:sz w:val="28"/>
          <w:szCs w:val="28"/>
        </w:rPr>
        <w:t xml:space="preserve">are not the same. </w:t>
      </w:r>
      <w:r w:rsidR="00DD5B48" w:rsidRPr="00FE2D31">
        <w:rPr>
          <w:bCs/>
          <w:sz w:val="28"/>
          <w:szCs w:val="28"/>
        </w:rPr>
        <w:t>Mr Dube</w:t>
      </w:r>
      <w:r w:rsidR="00965F4E" w:rsidRPr="00FE2D31">
        <w:rPr>
          <w:bCs/>
          <w:sz w:val="28"/>
          <w:szCs w:val="28"/>
        </w:rPr>
        <w:t>’s</w:t>
      </w:r>
      <w:r w:rsidR="00DD5B48" w:rsidRPr="00FE2D31">
        <w:rPr>
          <w:bCs/>
          <w:sz w:val="28"/>
          <w:szCs w:val="28"/>
        </w:rPr>
        <w:t xml:space="preserve"> and Mr Vilakazi’s analysis brought t</w:t>
      </w:r>
      <w:r w:rsidR="000A4FC7" w:rsidRPr="00FE2D31">
        <w:rPr>
          <w:bCs/>
          <w:sz w:val="28"/>
          <w:szCs w:val="28"/>
        </w:rPr>
        <w:t xml:space="preserve">his evidence into focus </w:t>
      </w:r>
      <w:r w:rsidR="00DD5B48" w:rsidRPr="00FE2D31">
        <w:rPr>
          <w:bCs/>
          <w:sz w:val="28"/>
          <w:szCs w:val="28"/>
        </w:rPr>
        <w:t xml:space="preserve">but </w:t>
      </w:r>
      <w:r w:rsidR="000A4FC7" w:rsidRPr="00FE2D31">
        <w:rPr>
          <w:bCs/>
          <w:sz w:val="28"/>
          <w:szCs w:val="28"/>
        </w:rPr>
        <w:t>Bila did not directly engage with</w:t>
      </w:r>
      <w:r w:rsidR="00DD5B48" w:rsidRPr="00FE2D31">
        <w:rPr>
          <w:bCs/>
          <w:sz w:val="28"/>
          <w:szCs w:val="28"/>
        </w:rPr>
        <w:t xml:space="preserve"> it</w:t>
      </w:r>
      <w:r w:rsidR="000A4FC7" w:rsidRPr="00FE2D31">
        <w:rPr>
          <w:bCs/>
          <w:sz w:val="28"/>
          <w:szCs w:val="28"/>
        </w:rPr>
        <w:t>.</w:t>
      </w:r>
    </w:p>
    <w:p w14:paraId="2539CA59" w14:textId="77777777" w:rsidR="000A4FC7" w:rsidRPr="00FE2D31" w:rsidRDefault="000A4FC7" w:rsidP="00DC0CF6">
      <w:pPr>
        <w:rPr>
          <w:bCs/>
          <w:sz w:val="28"/>
          <w:szCs w:val="28"/>
        </w:rPr>
      </w:pPr>
    </w:p>
    <w:p w14:paraId="35148CA1" w14:textId="3D420B97" w:rsidR="00A83F3A" w:rsidRPr="00FE2D31" w:rsidRDefault="00042474" w:rsidP="00042474">
      <w:pPr>
        <w:tabs>
          <w:tab w:val="left" w:pos="0"/>
        </w:tabs>
        <w:rPr>
          <w:bCs/>
          <w:sz w:val="28"/>
          <w:szCs w:val="28"/>
        </w:rPr>
      </w:pPr>
      <w:r w:rsidRPr="00FE2D31">
        <w:rPr>
          <w:sz w:val="28"/>
          <w:szCs w:val="28"/>
        </w:rPr>
        <w:t>[44]</w:t>
      </w:r>
      <w:r w:rsidRPr="00FE2D31">
        <w:rPr>
          <w:sz w:val="28"/>
          <w:szCs w:val="28"/>
        </w:rPr>
        <w:tab/>
      </w:r>
      <w:r w:rsidR="009E6723" w:rsidRPr="00FE2D31">
        <w:rPr>
          <w:bCs/>
          <w:sz w:val="28"/>
          <w:szCs w:val="28"/>
        </w:rPr>
        <w:t xml:space="preserve">Bila simply noted allegations regarding </w:t>
      </w:r>
      <w:r w:rsidR="00C35D4D" w:rsidRPr="00FE2D31">
        <w:rPr>
          <w:bCs/>
          <w:sz w:val="28"/>
          <w:szCs w:val="28"/>
        </w:rPr>
        <w:t xml:space="preserve">a </w:t>
      </w:r>
      <w:r w:rsidR="009E6723" w:rsidRPr="00FE2D31">
        <w:rPr>
          <w:bCs/>
          <w:sz w:val="28"/>
          <w:szCs w:val="28"/>
        </w:rPr>
        <w:t>call from its Mr Wha</w:t>
      </w:r>
      <w:r w:rsidR="00404781" w:rsidRPr="00FE2D31">
        <w:rPr>
          <w:bCs/>
          <w:sz w:val="28"/>
          <w:szCs w:val="28"/>
        </w:rPr>
        <w:t>l</w:t>
      </w:r>
      <w:r w:rsidR="00D73968" w:rsidRPr="00FE2D31">
        <w:rPr>
          <w:bCs/>
          <w:sz w:val="28"/>
          <w:szCs w:val="28"/>
        </w:rPr>
        <w:t>,</w:t>
      </w:r>
      <w:r w:rsidR="009E6723" w:rsidRPr="00FE2D31">
        <w:rPr>
          <w:bCs/>
          <w:sz w:val="28"/>
          <w:szCs w:val="28"/>
        </w:rPr>
        <w:t xml:space="preserve"> </w:t>
      </w:r>
      <w:r w:rsidR="00D84F47" w:rsidRPr="00FE2D31">
        <w:rPr>
          <w:bCs/>
          <w:sz w:val="28"/>
          <w:szCs w:val="28"/>
        </w:rPr>
        <w:t xml:space="preserve">who had </w:t>
      </w:r>
      <w:r w:rsidR="009E6723" w:rsidRPr="00FE2D31">
        <w:rPr>
          <w:bCs/>
          <w:sz w:val="28"/>
          <w:szCs w:val="28"/>
        </w:rPr>
        <w:t>advis</w:t>
      </w:r>
      <w:r w:rsidR="00D84F47" w:rsidRPr="00FE2D31">
        <w:rPr>
          <w:bCs/>
          <w:sz w:val="28"/>
          <w:szCs w:val="28"/>
        </w:rPr>
        <w:t>ed</w:t>
      </w:r>
      <w:r w:rsidR="009E6723" w:rsidRPr="00FE2D31">
        <w:rPr>
          <w:bCs/>
          <w:sz w:val="28"/>
          <w:szCs w:val="28"/>
        </w:rPr>
        <w:t xml:space="preserve"> Mr Mogoai that Bila would be conducting a ‘big blast’</w:t>
      </w:r>
      <w:r w:rsidR="00D84F47" w:rsidRPr="00FE2D31">
        <w:rPr>
          <w:bCs/>
          <w:sz w:val="28"/>
          <w:szCs w:val="28"/>
        </w:rPr>
        <w:t xml:space="preserve"> </w:t>
      </w:r>
      <w:r w:rsidR="009E6723" w:rsidRPr="00FE2D31">
        <w:rPr>
          <w:bCs/>
          <w:sz w:val="28"/>
          <w:szCs w:val="28"/>
        </w:rPr>
        <w:t xml:space="preserve">on </w:t>
      </w:r>
      <w:r w:rsidR="00D84F47" w:rsidRPr="00FE2D31">
        <w:rPr>
          <w:bCs/>
          <w:sz w:val="28"/>
          <w:szCs w:val="28"/>
        </w:rPr>
        <w:t xml:space="preserve">4 </w:t>
      </w:r>
      <w:r w:rsidR="009E6723" w:rsidRPr="00FE2D31">
        <w:rPr>
          <w:bCs/>
          <w:sz w:val="28"/>
          <w:szCs w:val="28"/>
        </w:rPr>
        <w:t xml:space="preserve">and 5 September 2019. </w:t>
      </w:r>
      <w:r w:rsidR="00AB31AE" w:rsidRPr="00FE2D31">
        <w:rPr>
          <w:bCs/>
          <w:sz w:val="28"/>
          <w:szCs w:val="28"/>
        </w:rPr>
        <w:t xml:space="preserve">It denied that its mine surveyor </w:t>
      </w:r>
      <w:r w:rsidR="00D84F47" w:rsidRPr="00FE2D31">
        <w:rPr>
          <w:bCs/>
          <w:sz w:val="28"/>
          <w:szCs w:val="28"/>
        </w:rPr>
        <w:t xml:space="preserve">had </w:t>
      </w:r>
      <w:r w:rsidR="00AB31AE" w:rsidRPr="00FE2D31">
        <w:rPr>
          <w:bCs/>
          <w:sz w:val="28"/>
          <w:szCs w:val="28"/>
        </w:rPr>
        <w:t xml:space="preserve">admitted that the parties were mining in the same area but attached no confirmatory affidavit to </w:t>
      </w:r>
      <w:r w:rsidR="00AB31AE" w:rsidRPr="00FE2D31">
        <w:rPr>
          <w:bCs/>
          <w:sz w:val="28"/>
          <w:szCs w:val="28"/>
        </w:rPr>
        <w:lastRenderedPageBreak/>
        <w:t xml:space="preserve">that effect. </w:t>
      </w:r>
      <w:r w:rsidR="009E6723" w:rsidRPr="00FE2D31">
        <w:rPr>
          <w:bCs/>
          <w:sz w:val="28"/>
          <w:szCs w:val="28"/>
        </w:rPr>
        <w:t>According to Bila, the uplift</w:t>
      </w:r>
      <w:r w:rsidR="00D73968" w:rsidRPr="00FE2D31">
        <w:rPr>
          <w:bCs/>
          <w:sz w:val="28"/>
          <w:szCs w:val="28"/>
        </w:rPr>
        <w:t>ing</w:t>
      </w:r>
      <w:r w:rsidR="009E6723" w:rsidRPr="00FE2D31">
        <w:rPr>
          <w:bCs/>
          <w:sz w:val="28"/>
          <w:szCs w:val="28"/>
        </w:rPr>
        <w:t xml:space="preserve"> of the s 54 notice was an indication that it had</w:t>
      </w:r>
      <w:r w:rsidR="00D36946" w:rsidRPr="00FE2D31">
        <w:rPr>
          <w:bCs/>
          <w:sz w:val="28"/>
          <w:szCs w:val="28"/>
        </w:rPr>
        <w:t xml:space="preserve"> remedied</w:t>
      </w:r>
      <w:r w:rsidR="009E6723" w:rsidRPr="00FE2D31">
        <w:rPr>
          <w:bCs/>
          <w:sz w:val="28"/>
          <w:szCs w:val="28"/>
        </w:rPr>
        <w:t xml:space="preserve"> the issues identified by the DMR in the s 54 notice. </w:t>
      </w:r>
    </w:p>
    <w:p w14:paraId="7063BD39" w14:textId="77777777" w:rsidR="00D36946" w:rsidRPr="00FE2D31" w:rsidRDefault="00D36946" w:rsidP="00DC0CF6">
      <w:pPr>
        <w:rPr>
          <w:bCs/>
          <w:sz w:val="28"/>
          <w:szCs w:val="28"/>
        </w:rPr>
      </w:pPr>
    </w:p>
    <w:p w14:paraId="3D5F3183" w14:textId="76F201F5" w:rsidR="00D84F47" w:rsidRPr="00FE2D31" w:rsidRDefault="00042474" w:rsidP="00042474">
      <w:pPr>
        <w:tabs>
          <w:tab w:val="left" w:pos="0"/>
        </w:tabs>
        <w:rPr>
          <w:bCs/>
          <w:sz w:val="28"/>
          <w:szCs w:val="28"/>
        </w:rPr>
      </w:pPr>
      <w:r w:rsidRPr="00FE2D31">
        <w:rPr>
          <w:sz w:val="28"/>
          <w:szCs w:val="28"/>
        </w:rPr>
        <w:t>[45]</w:t>
      </w:r>
      <w:r w:rsidRPr="00FE2D31">
        <w:rPr>
          <w:sz w:val="28"/>
          <w:szCs w:val="28"/>
        </w:rPr>
        <w:tab/>
      </w:r>
      <w:r w:rsidR="00DD5B48" w:rsidRPr="00FE2D31">
        <w:rPr>
          <w:bCs/>
          <w:sz w:val="28"/>
          <w:szCs w:val="28"/>
        </w:rPr>
        <w:t>The unco</w:t>
      </w:r>
      <w:r w:rsidR="00D84F47" w:rsidRPr="00FE2D31">
        <w:rPr>
          <w:bCs/>
          <w:sz w:val="28"/>
          <w:szCs w:val="28"/>
        </w:rPr>
        <w:t>ntro</w:t>
      </w:r>
      <w:r w:rsidR="00DD5B48" w:rsidRPr="00FE2D31">
        <w:rPr>
          <w:bCs/>
          <w:sz w:val="28"/>
          <w:szCs w:val="28"/>
        </w:rPr>
        <w:t>verted evidence brought by Samancor showed that f</w:t>
      </w:r>
      <w:r w:rsidR="002E3D96" w:rsidRPr="00FE2D31">
        <w:rPr>
          <w:bCs/>
          <w:sz w:val="28"/>
          <w:szCs w:val="28"/>
        </w:rPr>
        <w:t xml:space="preserve">ull scale blasting </w:t>
      </w:r>
      <w:r w:rsidR="00614164" w:rsidRPr="00FE2D31">
        <w:rPr>
          <w:bCs/>
          <w:sz w:val="28"/>
          <w:szCs w:val="28"/>
        </w:rPr>
        <w:t xml:space="preserve">took </w:t>
      </w:r>
      <w:r w:rsidR="002E3D96" w:rsidRPr="00FE2D31">
        <w:rPr>
          <w:bCs/>
          <w:sz w:val="28"/>
          <w:szCs w:val="28"/>
        </w:rPr>
        <w:t xml:space="preserve">place at the </w:t>
      </w:r>
      <w:r w:rsidR="00DD5B48" w:rsidRPr="00FE2D31">
        <w:rPr>
          <w:bCs/>
          <w:sz w:val="28"/>
          <w:szCs w:val="28"/>
        </w:rPr>
        <w:t xml:space="preserve">level </w:t>
      </w:r>
      <w:r w:rsidR="00614164" w:rsidRPr="00FE2D31">
        <w:rPr>
          <w:bCs/>
          <w:sz w:val="28"/>
          <w:szCs w:val="28"/>
        </w:rPr>
        <w:t xml:space="preserve">beyond that which was </w:t>
      </w:r>
      <w:r w:rsidR="002E3D96" w:rsidRPr="00FE2D31">
        <w:rPr>
          <w:bCs/>
          <w:sz w:val="28"/>
          <w:szCs w:val="28"/>
        </w:rPr>
        <w:t xml:space="preserve">allowed </w:t>
      </w:r>
      <w:r w:rsidR="00614164" w:rsidRPr="00FE2D31">
        <w:rPr>
          <w:bCs/>
          <w:sz w:val="28"/>
          <w:szCs w:val="28"/>
        </w:rPr>
        <w:t xml:space="preserve">for </w:t>
      </w:r>
      <w:r w:rsidR="002E3D96" w:rsidRPr="00FE2D31">
        <w:rPr>
          <w:bCs/>
          <w:sz w:val="28"/>
          <w:szCs w:val="28"/>
        </w:rPr>
        <w:t xml:space="preserve">phase 2. Bila </w:t>
      </w:r>
      <w:r w:rsidR="00D84F47" w:rsidRPr="00FE2D31">
        <w:rPr>
          <w:bCs/>
          <w:sz w:val="28"/>
          <w:szCs w:val="28"/>
        </w:rPr>
        <w:t xml:space="preserve">did </w:t>
      </w:r>
      <w:r w:rsidR="002E3D96" w:rsidRPr="00FE2D31">
        <w:rPr>
          <w:bCs/>
          <w:sz w:val="28"/>
          <w:szCs w:val="28"/>
        </w:rPr>
        <w:t>not suggest that it only drilled six holes as permitted in phase 2. It seemed to suggest that the level of operation it undertook</w:t>
      </w:r>
      <w:r w:rsidR="00D84F47" w:rsidRPr="00FE2D31">
        <w:rPr>
          <w:bCs/>
          <w:sz w:val="28"/>
          <w:szCs w:val="28"/>
        </w:rPr>
        <w:t xml:space="preserve"> (which it did not reveal)</w:t>
      </w:r>
      <w:r w:rsidR="002E3D96" w:rsidRPr="00FE2D31">
        <w:rPr>
          <w:bCs/>
          <w:sz w:val="28"/>
          <w:szCs w:val="28"/>
        </w:rPr>
        <w:t xml:space="preserve"> was necessary to fulfil</w:t>
      </w:r>
      <w:r w:rsidR="00614164" w:rsidRPr="00FE2D31">
        <w:rPr>
          <w:bCs/>
          <w:sz w:val="28"/>
          <w:szCs w:val="28"/>
        </w:rPr>
        <w:t xml:space="preserve"> its</w:t>
      </w:r>
      <w:r w:rsidR="002E3D96" w:rsidRPr="00FE2D31">
        <w:rPr>
          <w:bCs/>
          <w:sz w:val="28"/>
          <w:szCs w:val="28"/>
        </w:rPr>
        <w:t xml:space="preserve"> prospecting</w:t>
      </w:r>
      <w:r w:rsidR="00614164" w:rsidRPr="00FE2D31">
        <w:rPr>
          <w:bCs/>
          <w:sz w:val="28"/>
          <w:szCs w:val="28"/>
        </w:rPr>
        <w:t xml:space="preserve"> objectives</w:t>
      </w:r>
      <w:r w:rsidR="002E3D96" w:rsidRPr="00FE2D31">
        <w:rPr>
          <w:bCs/>
          <w:sz w:val="28"/>
          <w:szCs w:val="28"/>
        </w:rPr>
        <w:t xml:space="preserve">. The </w:t>
      </w:r>
      <w:r w:rsidR="00614164" w:rsidRPr="00FE2D31">
        <w:rPr>
          <w:bCs/>
          <w:sz w:val="28"/>
          <w:szCs w:val="28"/>
        </w:rPr>
        <w:t xml:space="preserve">allegation made by Samancor as to the </w:t>
      </w:r>
      <w:r w:rsidR="002E3D96" w:rsidRPr="00FE2D31">
        <w:rPr>
          <w:bCs/>
          <w:sz w:val="28"/>
          <w:szCs w:val="28"/>
        </w:rPr>
        <w:t xml:space="preserve">scale at which the operation was conducted did not seem to be challenged </w:t>
      </w:r>
      <w:r w:rsidR="00614164" w:rsidRPr="00FE2D31">
        <w:rPr>
          <w:bCs/>
          <w:sz w:val="28"/>
          <w:szCs w:val="28"/>
        </w:rPr>
        <w:t xml:space="preserve">by Bila </w:t>
      </w:r>
      <w:r w:rsidR="002E3D96" w:rsidRPr="00FE2D31">
        <w:rPr>
          <w:bCs/>
          <w:sz w:val="28"/>
          <w:szCs w:val="28"/>
        </w:rPr>
        <w:t xml:space="preserve">but </w:t>
      </w:r>
      <w:r w:rsidR="00D84F47" w:rsidRPr="00FE2D31">
        <w:rPr>
          <w:bCs/>
          <w:sz w:val="28"/>
          <w:szCs w:val="28"/>
        </w:rPr>
        <w:t>somewhat</w:t>
      </w:r>
      <w:r w:rsidR="00C35D4D" w:rsidRPr="00FE2D31">
        <w:rPr>
          <w:bCs/>
          <w:sz w:val="28"/>
          <w:szCs w:val="28"/>
        </w:rPr>
        <w:t xml:space="preserve"> </w:t>
      </w:r>
      <w:r w:rsidR="00965F4E" w:rsidRPr="00FE2D31">
        <w:rPr>
          <w:bCs/>
          <w:sz w:val="28"/>
          <w:szCs w:val="28"/>
        </w:rPr>
        <w:t xml:space="preserve">was </w:t>
      </w:r>
      <w:r w:rsidR="002E3D96" w:rsidRPr="00FE2D31">
        <w:rPr>
          <w:bCs/>
          <w:sz w:val="28"/>
          <w:szCs w:val="28"/>
        </w:rPr>
        <w:t xml:space="preserve">justified.  </w:t>
      </w:r>
    </w:p>
    <w:p w14:paraId="07FB4789" w14:textId="77777777" w:rsidR="00D84F47" w:rsidRPr="00FE2D31" w:rsidRDefault="00D84F47" w:rsidP="00DC0CF6">
      <w:pPr>
        <w:rPr>
          <w:bCs/>
          <w:sz w:val="28"/>
          <w:szCs w:val="28"/>
        </w:rPr>
      </w:pPr>
    </w:p>
    <w:p w14:paraId="4DF3F72F" w14:textId="43358311" w:rsidR="00D36946" w:rsidRPr="00FE2D31" w:rsidRDefault="00042474" w:rsidP="00042474">
      <w:pPr>
        <w:tabs>
          <w:tab w:val="left" w:pos="0"/>
        </w:tabs>
        <w:rPr>
          <w:bCs/>
          <w:sz w:val="28"/>
          <w:szCs w:val="28"/>
        </w:rPr>
      </w:pPr>
      <w:r w:rsidRPr="00FE2D31">
        <w:rPr>
          <w:sz w:val="28"/>
          <w:szCs w:val="28"/>
        </w:rPr>
        <w:t>[46]</w:t>
      </w:r>
      <w:r w:rsidRPr="00FE2D31">
        <w:rPr>
          <w:sz w:val="28"/>
          <w:szCs w:val="28"/>
        </w:rPr>
        <w:tab/>
      </w:r>
      <w:r w:rsidR="002E3D96" w:rsidRPr="00FE2D31">
        <w:rPr>
          <w:bCs/>
          <w:sz w:val="28"/>
          <w:szCs w:val="28"/>
        </w:rPr>
        <w:t>Bila, did not</w:t>
      </w:r>
      <w:r w:rsidR="000E6171" w:rsidRPr="00FE2D31">
        <w:rPr>
          <w:bCs/>
          <w:sz w:val="28"/>
          <w:szCs w:val="28"/>
        </w:rPr>
        <w:t xml:space="preserve"> produce evidence to challenge allegations regarding, </w:t>
      </w:r>
      <w:r w:rsidR="000E6171" w:rsidRPr="00FE2D31">
        <w:rPr>
          <w:bCs/>
          <w:i/>
          <w:sz w:val="28"/>
          <w:szCs w:val="28"/>
        </w:rPr>
        <w:t>inter alia,</w:t>
      </w:r>
      <w:r w:rsidR="000E6171" w:rsidRPr="00FE2D31">
        <w:rPr>
          <w:bCs/>
          <w:sz w:val="28"/>
          <w:szCs w:val="28"/>
        </w:rPr>
        <w:t xml:space="preserve"> the size of the pits, </w:t>
      </w:r>
      <w:r w:rsidR="00614164" w:rsidRPr="00FE2D31">
        <w:rPr>
          <w:bCs/>
          <w:sz w:val="28"/>
          <w:szCs w:val="28"/>
        </w:rPr>
        <w:t xml:space="preserve">how much blasting it had done, </w:t>
      </w:r>
      <w:r w:rsidR="000E6171" w:rsidRPr="00FE2D31">
        <w:rPr>
          <w:bCs/>
          <w:sz w:val="28"/>
          <w:szCs w:val="28"/>
        </w:rPr>
        <w:t>the calculations regarding the amount of chrome ore that was removed</w:t>
      </w:r>
      <w:r w:rsidR="00EB5B37" w:rsidRPr="00FE2D31">
        <w:rPr>
          <w:bCs/>
          <w:sz w:val="28"/>
          <w:szCs w:val="28"/>
        </w:rPr>
        <w:t xml:space="preserve"> and where</w:t>
      </w:r>
      <w:r w:rsidR="00D84F47" w:rsidRPr="00FE2D31">
        <w:rPr>
          <w:bCs/>
          <w:sz w:val="28"/>
          <w:szCs w:val="28"/>
        </w:rPr>
        <w:t xml:space="preserve"> the material was</w:t>
      </w:r>
      <w:r w:rsidR="00EB5B37" w:rsidRPr="00FE2D31">
        <w:rPr>
          <w:bCs/>
          <w:sz w:val="28"/>
          <w:szCs w:val="28"/>
        </w:rPr>
        <w:t xml:space="preserve"> taken </w:t>
      </w:r>
      <w:r w:rsidR="00776750" w:rsidRPr="00FE2D31">
        <w:rPr>
          <w:bCs/>
          <w:sz w:val="28"/>
          <w:szCs w:val="28"/>
        </w:rPr>
        <w:t>and stock</w:t>
      </w:r>
      <w:r w:rsidR="000E6171" w:rsidRPr="00FE2D31">
        <w:rPr>
          <w:bCs/>
          <w:sz w:val="28"/>
          <w:szCs w:val="28"/>
        </w:rPr>
        <w:t>piled</w:t>
      </w:r>
      <w:r w:rsidR="00EB5B37" w:rsidRPr="00FE2D31">
        <w:rPr>
          <w:bCs/>
          <w:sz w:val="28"/>
          <w:szCs w:val="28"/>
        </w:rPr>
        <w:t>. This</w:t>
      </w:r>
      <w:r w:rsidR="00D84F47" w:rsidRPr="00FE2D31">
        <w:rPr>
          <w:bCs/>
          <w:sz w:val="28"/>
          <w:szCs w:val="28"/>
        </w:rPr>
        <w:t xml:space="preserve"> information was necessary </w:t>
      </w:r>
      <w:r w:rsidR="000E6171" w:rsidRPr="00FE2D31">
        <w:rPr>
          <w:bCs/>
          <w:sz w:val="28"/>
          <w:szCs w:val="28"/>
        </w:rPr>
        <w:t>to</w:t>
      </w:r>
      <w:r w:rsidR="00287779" w:rsidRPr="00FE2D31">
        <w:rPr>
          <w:bCs/>
          <w:sz w:val="28"/>
          <w:szCs w:val="28"/>
        </w:rPr>
        <w:t xml:space="preserve"> bring</w:t>
      </w:r>
      <w:r w:rsidR="00EB5B37" w:rsidRPr="00FE2D31">
        <w:rPr>
          <w:bCs/>
          <w:sz w:val="28"/>
          <w:szCs w:val="28"/>
        </w:rPr>
        <w:t xml:space="preserve"> the level of operations</w:t>
      </w:r>
      <w:r w:rsidR="00287779" w:rsidRPr="00FE2D31">
        <w:rPr>
          <w:bCs/>
          <w:sz w:val="28"/>
          <w:szCs w:val="28"/>
        </w:rPr>
        <w:t xml:space="preserve"> within the </w:t>
      </w:r>
      <w:r w:rsidR="00EB5B37" w:rsidRPr="00FE2D31">
        <w:rPr>
          <w:bCs/>
          <w:sz w:val="28"/>
          <w:szCs w:val="28"/>
        </w:rPr>
        <w:t xml:space="preserve">ambit of </w:t>
      </w:r>
      <w:r w:rsidR="00287779" w:rsidRPr="00FE2D31">
        <w:rPr>
          <w:bCs/>
          <w:sz w:val="28"/>
          <w:szCs w:val="28"/>
        </w:rPr>
        <w:t>the prospecting licence</w:t>
      </w:r>
      <w:r w:rsidR="000E6171" w:rsidRPr="00FE2D31">
        <w:rPr>
          <w:bCs/>
          <w:sz w:val="28"/>
          <w:szCs w:val="28"/>
        </w:rPr>
        <w:t>.</w:t>
      </w:r>
      <w:r w:rsidR="002E3D96" w:rsidRPr="00FE2D31">
        <w:rPr>
          <w:bCs/>
          <w:sz w:val="28"/>
          <w:szCs w:val="28"/>
        </w:rPr>
        <w:t xml:space="preserve"> </w:t>
      </w:r>
      <w:r w:rsidR="007C1B61" w:rsidRPr="00FE2D31">
        <w:rPr>
          <w:bCs/>
          <w:sz w:val="28"/>
          <w:szCs w:val="28"/>
        </w:rPr>
        <w:t>Importantly, there was no evidence as to how Bila had changed its operations after Neukircher</w:t>
      </w:r>
      <w:r w:rsidR="00FD0D79">
        <w:rPr>
          <w:bCs/>
          <w:sz w:val="28"/>
          <w:szCs w:val="28"/>
        </w:rPr>
        <w:t> </w:t>
      </w:r>
      <w:r w:rsidR="007C1B61" w:rsidRPr="00FE2D31">
        <w:rPr>
          <w:bCs/>
          <w:sz w:val="28"/>
          <w:szCs w:val="28"/>
        </w:rPr>
        <w:t xml:space="preserve">J’s order </w:t>
      </w:r>
      <w:r w:rsidR="00E4508E" w:rsidRPr="00FE2D31">
        <w:rPr>
          <w:bCs/>
          <w:sz w:val="28"/>
          <w:szCs w:val="28"/>
        </w:rPr>
        <w:t xml:space="preserve">in order </w:t>
      </w:r>
      <w:r w:rsidR="007C1B61" w:rsidRPr="00FE2D31">
        <w:rPr>
          <w:bCs/>
          <w:sz w:val="28"/>
          <w:szCs w:val="28"/>
        </w:rPr>
        <w:t xml:space="preserve">to counter the allegations </w:t>
      </w:r>
      <w:r w:rsidR="00E4508E" w:rsidRPr="00FE2D31">
        <w:rPr>
          <w:bCs/>
          <w:sz w:val="28"/>
          <w:szCs w:val="28"/>
        </w:rPr>
        <w:t xml:space="preserve">that </w:t>
      </w:r>
      <w:r w:rsidR="007C1B61" w:rsidRPr="00FE2D31">
        <w:rPr>
          <w:bCs/>
          <w:sz w:val="28"/>
          <w:szCs w:val="28"/>
        </w:rPr>
        <w:t xml:space="preserve">nothing had </w:t>
      </w:r>
      <w:r w:rsidR="00D84F47" w:rsidRPr="00FE2D31">
        <w:rPr>
          <w:bCs/>
          <w:sz w:val="28"/>
          <w:szCs w:val="28"/>
        </w:rPr>
        <w:t>changed;</w:t>
      </w:r>
      <w:r w:rsidR="007C1B61" w:rsidRPr="00FE2D31">
        <w:rPr>
          <w:bCs/>
          <w:sz w:val="28"/>
          <w:szCs w:val="28"/>
        </w:rPr>
        <w:t xml:space="preserve"> </w:t>
      </w:r>
      <w:r w:rsidR="00D84F47" w:rsidRPr="00FE2D31">
        <w:rPr>
          <w:bCs/>
          <w:sz w:val="28"/>
          <w:szCs w:val="28"/>
        </w:rPr>
        <w:t>instead,</w:t>
      </w:r>
      <w:r w:rsidR="007C1B61" w:rsidRPr="00FE2D31">
        <w:rPr>
          <w:bCs/>
          <w:sz w:val="28"/>
          <w:szCs w:val="28"/>
        </w:rPr>
        <w:t xml:space="preserve"> mining operations </w:t>
      </w:r>
      <w:r w:rsidR="00D84F47" w:rsidRPr="00FE2D31">
        <w:rPr>
          <w:bCs/>
          <w:sz w:val="28"/>
          <w:szCs w:val="28"/>
        </w:rPr>
        <w:t xml:space="preserve">allegedly </w:t>
      </w:r>
      <w:r w:rsidR="007C1B61" w:rsidRPr="00FE2D31">
        <w:rPr>
          <w:bCs/>
          <w:sz w:val="28"/>
          <w:szCs w:val="28"/>
        </w:rPr>
        <w:t>escalat</w:t>
      </w:r>
      <w:r w:rsidR="00D84F47" w:rsidRPr="00FE2D31">
        <w:rPr>
          <w:bCs/>
          <w:sz w:val="28"/>
          <w:szCs w:val="28"/>
        </w:rPr>
        <w:t>ed</w:t>
      </w:r>
      <w:r w:rsidR="007C1B61" w:rsidRPr="00FE2D31">
        <w:rPr>
          <w:bCs/>
          <w:sz w:val="28"/>
          <w:szCs w:val="28"/>
        </w:rPr>
        <w:t xml:space="preserve">. </w:t>
      </w:r>
    </w:p>
    <w:p w14:paraId="235EAA8E" w14:textId="77777777" w:rsidR="00287779" w:rsidRPr="00FE2D31" w:rsidRDefault="00287779" w:rsidP="00DC0CF6">
      <w:pPr>
        <w:rPr>
          <w:bCs/>
          <w:sz w:val="28"/>
          <w:szCs w:val="28"/>
        </w:rPr>
      </w:pPr>
    </w:p>
    <w:p w14:paraId="4E728F63" w14:textId="797CC8EF" w:rsidR="00C35D4D" w:rsidRPr="00FE2D31" w:rsidRDefault="00042474" w:rsidP="00042474">
      <w:pPr>
        <w:tabs>
          <w:tab w:val="left" w:pos="0"/>
        </w:tabs>
        <w:rPr>
          <w:bCs/>
          <w:sz w:val="28"/>
          <w:szCs w:val="28"/>
        </w:rPr>
      </w:pPr>
      <w:r w:rsidRPr="00FE2D31">
        <w:rPr>
          <w:sz w:val="28"/>
          <w:szCs w:val="28"/>
        </w:rPr>
        <w:t>[47]</w:t>
      </w:r>
      <w:r w:rsidRPr="00FE2D31">
        <w:rPr>
          <w:sz w:val="28"/>
          <w:szCs w:val="28"/>
        </w:rPr>
        <w:tab/>
      </w:r>
      <w:r w:rsidR="002104C8" w:rsidRPr="00FE2D31">
        <w:rPr>
          <w:bCs/>
          <w:sz w:val="28"/>
          <w:szCs w:val="28"/>
        </w:rPr>
        <w:t>The submission that Bila could not produce the necessary evidence because of the urgency of the matter</w:t>
      </w:r>
      <w:r w:rsidR="00614164" w:rsidRPr="00FE2D31">
        <w:rPr>
          <w:bCs/>
          <w:sz w:val="28"/>
          <w:szCs w:val="28"/>
        </w:rPr>
        <w:t>,</w:t>
      </w:r>
      <w:r w:rsidR="00C35D4D" w:rsidRPr="00FE2D31">
        <w:rPr>
          <w:bCs/>
          <w:sz w:val="28"/>
          <w:szCs w:val="28"/>
        </w:rPr>
        <w:t xml:space="preserve"> does not </w:t>
      </w:r>
      <w:r w:rsidR="00965F4E" w:rsidRPr="00FE2D31">
        <w:rPr>
          <w:bCs/>
          <w:sz w:val="28"/>
          <w:szCs w:val="28"/>
        </w:rPr>
        <w:t>come to its a</w:t>
      </w:r>
      <w:r w:rsidR="00C35D4D" w:rsidRPr="00FE2D31">
        <w:rPr>
          <w:bCs/>
          <w:sz w:val="28"/>
          <w:szCs w:val="28"/>
        </w:rPr>
        <w:t>ssist</w:t>
      </w:r>
      <w:r w:rsidR="00965F4E" w:rsidRPr="00FE2D31">
        <w:rPr>
          <w:bCs/>
          <w:sz w:val="28"/>
          <w:szCs w:val="28"/>
        </w:rPr>
        <w:t>ance</w:t>
      </w:r>
      <w:r w:rsidR="00614164" w:rsidRPr="00FE2D31">
        <w:rPr>
          <w:bCs/>
          <w:sz w:val="28"/>
          <w:szCs w:val="28"/>
        </w:rPr>
        <w:t xml:space="preserve">. It could </w:t>
      </w:r>
      <w:r w:rsidR="00965F4E" w:rsidRPr="00FE2D31">
        <w:rPr>
          <w:bCs/>
          <w:sz w:val="28"/>
          <w:szCs w:val="28"/>
        </w:rPr>
        <w:t xml:space="preserve">have </w:t>
      </w:r>
      <w:r w:rsidR="00614164" w:rsidRPr="00FE2D31">
        <w:rPr>
          <w:bCs/>
          <w:sz w:val="28"/>
          <w:szCs w:val="28"/>
        </w:rPr>
        <w:t>produce</w:t>
      </w:r>
      <w:r w:rsidR="00965F4E" w:rsidRPr="00FE2D31">
        <w:rPr>
          <w:bCs/>
          <w:sz w:val="28"/>
          <w:szCs w:val="28"/>
        </w:rPr>
        <w:t>d</w:t>
      </w:r>
      <w:r w:rsidR="00614164" w:rsidRPr="00FE2D31">
        <w:rPr>
          <w:bCs/>
          <w:sz w:val="28"/>
          <w:szCs w:val="28"/>
        </w:rPr>
        <w:t xml:space="preserve"> information that it was expected to readily </w:t>
      </w:r>
      <w:r w:rsidR="00C35D4D" w:rsidRPr="00FE2D31">
        <w:rPr>
          <w:bCs/>
          <w:sz w:val="28"/>
          <w:szCs w:val="28"/>
        </w:rPr>
        <w:t xml:space="preserve">have in its </w:t>
      </w:r>
      <w:r w:rsidR="00614164" w:rsidRPr="00FE2D31">
        <w:rPr>
          <w:bCs/>
          <w:sz w:val="28"/>
          <w:szCs w:val="28"/>
        </w:rPr>
        <w:t>possess</w:t>
      </w:r>
      <w:r w:rsidR="00C35D4D" w:rsidRPr="00FE2D31">
        <w:rPr>
          <w:bCs/>
          <w:sz w:val="28"/>
          <w:szCs w:val="28"/>
        </w:rPr>
        <w:t>ion</w:t>
      </w:r>
      <w:r w:rsidR="000B3E08" w:rsidRPr="00FE2D31">
        <w:rPr>
          <w:bCs/>
          <w:sz w:val="28"/>
          <w:szCs w:val="28"/>
        </w:rPr>
        <w:t xml:space="preserve"> in terms of its prospecting right</w:t>
      </w:r>
      <w:r w:rsidR="00614164" w:rsidRPr="00FE2D31">
        <w:rPr>
          <w:bCs/>
          <w:sz w:val="28"/>
          <w:szCs w:val="28"/>
        </w:rPr>
        <w:t xml:space="preserve">. </w:t>
      </w:r>
      <w:r w:rsidR="00C35D4D" w:rsidRPr="00FE2D31">
        <w:rPr>
          <w:bCs/>
          <w:sz w:val="28"/>
          <w:szCs w:val="28"/>
        </w:rPr>
        <w:t xml:space="preserve">It </w:t>
      </w:r>
      <w:r w:rsidR="00D84F47" w:rsidRPr="00FE2D31">
        <w:rPr>
          <w:bCs/>
          <w:sz w:val="28"/>
          <w:szCs w:val="28"/>
        </w:rPr>
        <w:t xml:space="preserve">could </w:t>
      </w:r>
      <w:r w:rsidR="00C35D4D" w:rsidRPr="00FE2D31">
        <w:rPr>
          <w:bCs/>
          <w:sz w:val="28"/>
          <w:szCs w:val="28"/>
        </w:rPr>
        <w:t xml:space="preserve">also </w:t>
      </w:r>
      <w:r w:rsidR="00D84F47" w:rsidRPr="00FE2D31">
        <w:rPr>
          <w:bCs/>
          <w:sz w:val="28"/>
          <w:szCs w:val="28"/>
        </w:rPr>
        <w:t xml:space="preserve">have gathered and brought evidence </w:t>
      </w:r>
      <w:r w:rsidR="00C35D4D" w:rsidRPr="00FE2D31">
        <w:rPr>
          <w:bCs/>
          <w:sz w:val="28"/>
          <w:szCs w:val="28"/>
        </w:rPr>
        <w:t>from</w:t>
      </w:r>
      <w:r w:rsidR="00D84F47" w:rsidRPr="00FE2D31">
        <w:rPr>
          <w:bCs/>
          <w:sz w:val="28"/>
          <w:szCs w:val="28"/>
        </w:rPr>
        <w:t xml:space="preserve"> those who were involved in these operations. No attempt was made, at the very least, to present any information that it had or </w:t>
      </w:r>
      <w:r w:rsidR="00D84F47" w:rsidRPr="00FE2D31">
        <w:rPr>
          <w:bCs/>
          <w:sz w:val="28"/>
          <w:szCs w:val="28"/>
        </w:rPr>
        <w:lastRenderedPageBreak/>
        <w:t xml:space="preserve">could be obtained within the limited time available before delivering its answering affidavit. </w:t>
      </w:r>
      <w:r w:rsidR="00C35D4D" w:rsidRPr="00FE2D31">
        <w:rPr>
          <w:bCs/>
          <w:sz w:val="28"/>
          <w:szCs w:val="28"/>
        </w:rPr>
        <w:t xml:space="preserve">The second respondent ventured into giving opinions on matters he had no expertise on, such as deducing why the expansive operation was observed by the Samancor personnel, without any substantiation. </w:t>
      </w:r>
    </w:p>
    <w:p w14:paraId="03D49A14" w14:textId="77777777" w:rsidR="00D84F47" w:rsidRPr="00FE2D31" w:rsidRDefault="00D84F47" w:rsidP="00DC0CF6">
      <w:pPr>
        <w:rPr>
          <w:bCs/>
          <w:sz w:val="28"/>
          <w:szCs w:val="28"/>
        </w:rPr>
      </w:pPr>
    </w:p>
    <w:p w14:paraId="0E27A7F8" w14:textId="23511AC5" w:rsidR="002104C8" w:rsidRPr="00FE2D31" w:rsidRDefault="00042474" w:rsidP="00042474">
      <w:pPr>
        <w:tabs>
          <w:tab w:val="left" w:pos="0"/>
        </w:tabs>
        <w:rPr>
          <w:bCs/>
          <w:sz w:val="28"/>
          <w:szCs w:val="28"/>
        </w:rPr>
      </w:pPr>
      <w:r w:rsidRPr="00FE2D31">
        <w:rPr>
          <w:sz w:val="28"/>
          <w:szCs w:val="28"/>
        </w:rPr>
        <w:t>[48]</w:t>
      </w:r>
      <w:r w:rsidRPr="00FE2D31">
        <w:rPr>
          <w:sz w:val="28"/>
          <w:szCs w:val="28"/>
        </w:rPr>
        <w:tab/>
      </w:r>
      <w:r w:rsidR="00C35D4D" w:rsidRPr="00FE2D31">
        <w:rPr>
          <w:bCs/>
          <w:sz w:val="28"/>
          <w:szCs w:val="28"/>
        </w:rPr>
        <w:t>In addition</w:t>
      </w:r>
      <w:r w:rsidR="00D84F47" w:rsidRPr="00FE2D31">
        <w:rPr>
          <w:bCs/>
          <w:sz w:val="28"/>
          <w:szCs w:val="28"/>
        </w:rPr>
        <w:t>, c</w:t>
      </w:r>
      <w:r w:rsidR="002104C8" w:rsidRPr="00FE2D31">
        <w:rPr>
          <w:bCs/>
          <w:sz w:val="28"/>
          <w:szCs w:val="28"/>
        </w:rPr>
        <w:t xml:space="preserve">lause 13.1 of its prospecting right obliged </w:t>
      </w:r>
      <w:r w:rsidR="00C35D4D" w:rsidRPr="00FE2D31">
        <w:rPr>
          <w:bCs/>
          <w:sz w:val="28"/>
          <w:szCs w:val="28"/>
        </w:rPr>
        <w:t>Bila</w:t>
      </w:r>
      <w:r w:rsidR="00D84F47" w:rsidRPr="00FE2D31">
        <w:rPr>
          <w:bCs/>
          <w:sz w:val="28"/>
          <w:szCs w:val="28"/>
        </w:rPr>
        <w:t xml:space="preserve"> </w:t>
      </w:r>
      <w:r w:rsidR="002104C8" w:rsidRPr="00FE2D31">
        <w:rPr>
          <w:bCs/>
          <w:sz w:val="28"/>
          <w:szCs w:val="28"/>
        </w:rPr>
        <w:t xml:space="preserve">to maintain all such books, plans and reports regarding prospecting operations in terms of clause 13.2. It was further obliged to furnish the </w:t>
      </w:r>
      <w:r w:rsidR="00965F4E" w:rsidRPr="00FE2D31">
        <w:rPr>
          <w:bCs/>
          <w:sz w:val="28"/>
          <w:szCs w:val="28"/>
        </w:rPr>
        <w:t>R</w:t>
      </w:r>
      <w:r w:rsidR="002104C8" w:rsidRPr="00FE2D31">
        <w:rPr>
          <w:bCs/>
          <w:sz w:val="28"/>
          <w:szCs w:val="28"/>
        </w:rPr>
        <w:t xml:space="preserve">egional </w:t>
      </w:r>
      <w:r w:rsidR="00965F4E" w:rsidRPr="00FE2D31">
        <w:rPr>
          <w:bCs/>
          <w:sz w:val="28"/>
          <w:szCs w:val="28"/>
        </w:rPr>
        <w:t>M</w:t>
      </w:r>
      <w:r w:rsidR="002104C8" w:rsidRPr="00FE2D31">
        <w:rPr>
          <w:bCs/>
          <w:sz w:val="28"/>
          <w:szCs w:val="28"/>
        </w:rPr>
        <w:t>anager</w:t>
      </w:r>
      <w:r w:rsidR="00D84F47" w:rsidRPr="00FE2D31">
        <w:rPr>
          <w:rStyle w:val="FootnoteReference"/>
          <w:bCs/>
          <w:sz w:val="28"/>
          <w:szCs w:val="28"/>
        </w:rPr>
        <w:footnoteReference w:id="10"/>
      </w:r>
      <w:r w:rsidR="00D84F47" w:rsidRPr="00FE2D31">
        <w:rPr>
          <w:bCs/>
          <w:sz w:val="28"/>
          <w:szCs w:val="28"/>
        </w:rPr>
        <w:t xml:space="preserve"> </w:t>
      </w:r>
      <w:r w:rsidR="002104C8" w:rsidRPr="00FE2D31">
        <w:rPr>
          <w:bCs/>
          <w:sz w:val="28"/>
          <w:szCs w:val="28"/>
        </w:rPr>
        <w:t>with progress report</w:t>
      </w:r>
      <w:r w:rsidR="00872008" w:rsidRPr="00FE2D31">
        <w:rPr>
          <w:bCs/>
          <w:sz w:val="28"/>
          <w:szCs w:val="28"/>
        </w:rPr>
        <w:t>s. Furthermore,</w:t>
      </w:r>
      <w:r w:rsidR="002104C8" w:rsidRPr="00FE2D31">
        <w:rPr>
          <w:bCs/>
          <w:sz w:val="28"/>
          <w:szCs w:val="28"/>
        </w:rPr>
        <w:t xml:space="preserve"> in terms of clause 13.3, it was required to inform the </w:t>
      </w:r>
      <w:r w:rsidR="00965F4E" w:rsidRPr="00FE2D31">
        <w:rPr>
          <w:bCs/>
          <w:sz w:val="28"/>
          <w:szCs w:val="28"/>
        </w:rPr>
        <w:t>R</w:t>
      </w:r>
      <w:r w:rsidR="002104C8" w:rsidRPr="00FE2D31">
        <w:rPr>
          <w:bCs/>
          <w:sz w:val="28"/>
          <w:szCs w:val="28"/>
        </w:rPr>
        <w:t xml:space="preserve">egional </w:t>
      </w:r>
      <w:r w:rsidR="00965F4E" w:rsidRPr="00FE2D31">
        <w:rPr>
          <w:bCs/>
          <w:sz w:val="28"/>
          <w:szCs w:val="28"/>
        </w:rPr>
        <w:t>M</w:t>
      </w:r>
      <w:r w:rsidR="002104C8" w:rsidRPr="00FE2D31">
        <w:rPr>
          <w:bCs/>
          <w:sz w:val="28"/>
          <w:szCs w:val="28"/>
        </w:rPr>
        <w:t>anager of any new developments and of any future prospecting activities, and was required to keep records of prospecting operations</w:t>
      </w:r>
      <w:r w:rsidR="00872008" w:rsidRPr="00FE2D31">
        <w:rPr>
          <w:bCs/>
          <w:sz w:val="28"/>
          <w:szCs w:val="28"/>
        </w:rPr>
        <w:t>,</w:t>
      </w:r>
      <w:r w:rsidR="002104C8" w:rsidRPr="00FE2D31">
        <w:rPr>
          <w:bCs/>
          <w:sz w:val="28"/>
          <w:szCs w:val="28"/>
        </w:rPr>
        <w:t xml:space="preserve"> results, and expenditure connected therewith. </w:t>
      </w:r>
    </w:p>
    <w:p w14:paraId="22639021" w14:textId="77777777" w:rsidR="002104C8" w:rsidRPr="00FE2D31" w:rsidRDefault="002104C8" w:rsidP="002104C8">
      <w:pPr>
        <w:pStyle w:val="ListParagraph"/>
        <w:rPr>
          <w:bCs/>
          <w:sz w:val="28"/>
          <w:szCs w:val="28"/>
        </w:rPr>
      </w:pPr>
    </w:p>
    <w:p w14:paraId="609D11AC" w14:textId="03E5D60B" w:rsidR="00A70E96" w:rsidRPr="00FE2D31" w:rsidRDefault="00042474" w:rsidP="00042474">
      <w:pPr>
        <w:tabs>
          <w:tab w:val="left" w:pos="0"/>
        </w:tabs>
        <w:rPr>
          <w:bCs/>
          <w:sz w:val="28"/>
          <w:szCs w:val="28"/>
        </w:rPr>
      </w:pPr>
      <w:r w:rsidRPr="00FE2D31">
        <w:rPr>
          <w:sz w:val="28"/>
          <w:szCs w:val="28"/>
        </w:rPr>
        <w:t>[49]</w:t>
      </w:r>
      <w:r w:rsidRPr="00FE2D31">
        <w:rPr>
          <w:sz w:val="28"/>
          <w:szCs w:val="28"/>
        </w:rPr>
        <w:tab/>
      </w:r>
      <w:r w:rsidR="002104C8" w:rsidRPr="00FE2D31">
        <w:rPr>
          <w:bCs/>
          <w:sz w:val="28"/>
          <w:szCs w:val="28"/>
        </w:rPr>
        <w:t xml:space="preserve">Bila did not seriously and </w:t>
      </w:r>
      <w:r w:rsidR="00C35D4D" w:rsidRPr="00FE2D31">
        <w:rPr>
          <w:bCs/>
          <w:sz w:val="28"/>
          <w:szCs w:val="28"/>
        </w:rPr>
        <w:t>explicitly</w:t>
      </w:r>
      <w:r w:rsidR="001249EB" w:rsidRPr="00FE2D31">
        <w:rPr>
          <w:bCs/>
          <w:sz w:val="28"/>
          <w:szCs w:val="28"/>
        </w:rPr>
        <w:t xml:space="preserve"> engage with the extensive facts and evidence presented by Samancor in its founding affidavit</w:t>
      </w:r>
      <w:r w:rsidR="007F6321" w:rsidRPr="00FE2D31">
        <w:rPr>
          <w:bCs/>
          <w:sz w:val="28"/>
          <w:szCs w:val="28"/>
        </w:rPr>
        <w:t xml:space="preserve">. </w:t>
      </w:r>
      <w:r w:rsidR="002104C8" w:rsidRPr="00FE2D31">
        <w:rPr>
          <w:bCs/>
          <w:sz w:val="28"/>
          <w:szCs w:val="28"/>
        </w:rPr>
        <w:t>Information as to what it was allowed to do</w:t>
      </w:r>
      <w:r w:rsidR="00C35D4D" w:rsidRPr="00FE2D31">
        <w:rPr>
          <w:bCs/>
          <w:sz w:val="28"/>
          <w:szCs w:val="28"/>
        </w:rPr>
        <w:t xml:space="preserve"> in terms of the prospecting right</w:t>
      </w:r>
      <w:r w:rsidR="00D84F47" w:rsidRPr="00FE2D31">
        <w:rPr>
          <w:bCs/>
          <w:sz w:val="28"/>
          <w:szCs w:val="28"/>
        </w:rPr>
        <w:t xml:space="preserve"> and what it did</w:t>
      </w:r>
      <w:r w:rsidR="00965F4E" w:rsidRPr="00FE2D31">
        <w:rPr>
          <w:bCs/>
          <w:sz w:val="28"/>
          <w:szCs w:val="28"/>
        </w:rPr>
        <w:t>,</w:t>
      </w:r>
      <w:r w:rsidR="002104C8" w:rsidRPr="00FE2D31">
        <w:rPr>
          <w:bCs/>
          <w:sz w:val="28"/>
          <w:szCs w:val="28"/>
        </w:rPr>
        <w:t xml:space="preserve"> was within its knowledge and ought to have been presented.</w:t>
      </w:r>
      <w:r w:rsidR="001249EB" w:rsidRPr="00FE2D31">
        <w:rPr>
          <w:rStyle w:val="FootnoteReference"/>
          <w:bCs/>
          <w:sz w:val="28"/>
          <w:szCs w:val="28"/>
        </w:rPr>
        <w:footnoteReference w:id="11"/>
      </w:r>
      <w:r w:rsidR="002104C8" w:rsidRPr="00FE2D31">
        <w:rPr>
          <w:bCs/>
          <w:sz w:val="28"/>
          <w:szCs w:val="28"/>
        </w:rPr>
        <w:t xml:space="preserve"> </w:t>
      </w:r>
      <w:r w:rsidR="00A70E96" w:rsidRPr="00FE2D31">
        <w:rPr>
          <w:bCs/>
          <w:sz w:val="28"/>
          <w:szCs w:val="28"/>
        </w:rPr>
        <w:t xml:space="preserve">As Wallis JA noted in </w:t>
      </w:r>
      <w:r w:rsidR="00A70E96" w:rsidRPr="00FE2D31">
        <w:rPr>
          <w:bCs/>
          <w:i/>
          <w:sz w:val="28"/>
          <w:szCs w:val="28"/>
        </w:rPr>
        <w:t>Strydom v Engen Petroleum Ltd</w:t>
      </w:r>
      <w:r w:rsidR="007F1291" w:rsidRPr="00FE2D31">
        <w:rPr>
          <w:bCs/>
          <w:i/>
          <w:sz w:val="28"/>
          <w:szCs w:val="28"/>
        </w:rPr>
        <w:t>:</w:t>
      </w:r>
    </w:p>
    <w:p w14:paraId="37A1DE2E" w14:textId="417B19AD" w:rsidR="007C1B61" w:rsidRDefault="00A70E96" w:rsidP="00197338">
      <w:pPr>
        <w:pStyle w:val="ListParagraph"/>
        <w:ind w:left="0"/>
        <w:rPr>
          <w:bCs/>
          <w:sz w:val="28"/>
          <w:szCs w:val="28"/>
        </w:rPr>
      </w:pPr>
      <w:r w:rsidRPr="00FE2D31">
        <w:rPr>
          <w:bCs/>
          <w:sz w:val="28"/>
          <w:szCs w:val="28"/>
        </w:rPr>
        <w:t>‘</w:t>
      </w:r>
      <w:r w:rsidRPr="00FE2D31">
        <w:rPr>
          <w:bCs/>
        </w:rPr>
        <w:t xml:space="preserve">Where matters are within the exclusive knowledge of one party less evidence is required to be adduced by the other party to discharge the onus of proof on a point. And sometimes the silence of the witness on a vital point within that person’s knowledge is as telling as anything that may be </w:t>
      </w:r>
      <w:r w:rsidR="00A40C64" w:rsidRPr="00FE2D31">
        <w:rPr>
          <w:bCs/>
        </w:rPr>
        <w:t xml:space="preserve">said </w:t>
      </w:r>
      <w:r w:rsidRPr="00FE2D31">
        <w:rPr>
          <w:bCs/>
        </w:rPr>
        <w:t>from the other side.</w:t>
      </w:r>
      <w:r w:rsidRPr="00FE2D31">
        <w:rPr>
          <w:bCs/>
          <w:sz w:val="28"/>
          <w:szCs w:val="28"/>
        </w:rPr>
        <w:t>’</w:t>
      </w:r>
      <w:r w:rsidR="007F1291" w:rsidRPr="00FE2D31">
        <w:rPr>
          <w:rStyle w:val="FootnoteReference"/>
          <w:bCs/>
          <w:sz w:val="28"/>
          <w:szCs w:val="28"/>
        </w:rPr>
        <w:footnoteReference w:id="12"/>
      </w:r>
      <w:r w:rsidRPr="00FE2D31">
        <w:rPr>
          <w:bCs/>
          <w:sz w:val="28"/>
          <w:szCs w:val="28"/>
        </w:rPr>
        <w:t xml:space="preserve"> </w:t>
      </w:r>
    </w:p>
    <w:p w14:paraId="2A94DD69" w14:textId="77777777" w:rsidR="00FD0D79" w:rsidRPr="00FE2D31" w:rsidRDefault="00FD0D79" w:rsidP="00197338">
      <w:pPr>
        <w:pStyle w:val="ListParagraph"/>
        <w:ind w:left="0"/>
        <w:rPr>
          <w:bCs/>
          <w:sz w:val="28"/>
          <w:szCs w:val="28"/>
        </w:rPr>
      </w:pPr>
    </w:p>
    <w:p w14:paraId="57D56333" w14:textId="5F4562A2" w:rsidR="00D761E5" w:rsidRPr="00FE2D31" w:rsidRDefault="00042474" w:rsidP="00042474">
      <w:pPr>
        <w:tabs>
          <w:tab w:val="left" w:pos="0"/>
        </w:tabs>
        <w:rPr>
          <w:bCs/>
          <w:sz w:val="28"/>
          <w:szCs w:val="28"/>
        </w:rPr>
      </w:pPr>
      <w:r w:rsidRPr="00FE2D31">
        <w:rPr>
          <w:sz w:val="28"/>
          <w:szCs w:val="28"/>
        </w:rPr>
        <w:t>[50]</w:t>
      </w:r>
      <w:r w:rsidRPr="00FE2D31">
        <w:rPr>
          <w:sz w:val="28"/>
          <w:szCs w:val="28"/>
        </w:rPr>
        <w:tab/>
      </w:r>
      <w:r w:rsidR="00C35D4D" w:rsidRPr="00FE2D31">
        <w:rPr>
          <w:bCs/>
          <w:sz w:val="28"/>
          <w:szCs w:val="28"/>
        </w:rPr>
        <w:t>From these facts</w:t>
      </w:r>
      <w:r w:rsidR="007C1B61" w:rsidRPr="00FE2D31">
        <w:rPr>
          <w:bCs/>
          <w:sz w:val="28"/>
          <w:szCs w:val="28"/>
        </w:rPr>
        <w:t xml:space="preserve">, </w:t>
      </w:r>
      <w:r w:rsidR="00D761E5" w:rsidRPr="00FE2D31">
        <w:rPr>
          <w:bCs/>
          <w:sz w:val="28"/>
          <w:szCs w:val="28"/>
        </w:rPr>
        <w:t>Samancor</w:t>
      </w:r>
      <w:r w:rsidR="0075550C" w:rsidRPr="00FE2D31">
        <w:rPr>
          <w:bCs/>
          <w:sz w:val="28"/>
          <w:szCs w:val="28"/>
        </w:rPr>
        <w:t>, in my view,</w:t>
      </w:r>
      <w:r w:rsidR="00D761E5" w:rsidRPr="00FE2D31">
        <w:rPr>
          <w:bCs/>
          <w:sz w:val="28"/>
          <w:szCs w:val="28"/>
        </w:rPr>
        <w:t xml:space="preserve"> has establish</w:t>
      </w:r>
      <w:r w:rsidR="00D303E2" w:rsidRPr="00FE2D31">
        <w:rPr>
          <w:bCs/>
          <w:sz w:val="28"/>
          <w:szCs w:val="28"/>
        </w:rPr>
        <w:t>ed</w:t>
      </w:r>
      <w:r w:rsidR="00D761E5" w:rsidRPr="00FE2D31">
        <w:rPr>
          <w:bCs/>
          <w:sz w:val="28"/>
          <w:szCs w:val="28"/>
        </w:rPr>
        <w:t xml:space="preserve"> non-compliance with Neukircher J’s order</w:t>
      </w:r>
      <w:r w:rsidR="0075550C" w:rsidRPr="00FE2D31">
        <w:rPr>
          <w:bCs/>
          <w:sz w:val="28"/>
          <w:szCs w:val="28"/>
        </w:rPr>
        <w:t>. A</w:t>
      </w:r>
      <w:r w:rsidR="005E3E17" w:rsidRPr="00FE2D31">
        <w:rPr>
          <w:bCs/>
          <w:sz w:val="28"/>
          <w:szCs w:val="28"/>
        </w:rPr>
        <w:t>s a result</w:t>
      </w:r>
      <w:r w:rsidR="00776750" w:rsidRPr="00FE2D31">
        <w:rPr>
          <w:bCs/>
          <w:sz w:val="28"/>
          <w:szCs w:val="28"/>
        </w:rPr>
        <w:t>, Bila</w:t>
      </w:r>
      <w:r w:rsidR="007F6321" w:rsidRPr="00FE2D31">
        <w:rPr>
          <w:bCs/>
          <w:sz w:val="28"/>
          <w:szCs w:val="28"/>
        </w:rPr>
        <w:t xml:space="preserve"> bears the evidential burden of rebuttal </w:t>
      </w:r>
      <w:r w:rsidR="00D303E2" w:rsidRPr="00FE2D31">
        <w:rPr>
          <w:bCs/>
          <w:sz w:val="28"/>
          <w:szCs w:val="28"/>
        </w:rPr>
        <w:t xml:space="preserve">to </w:t>
      </w:r>
      <w:r w:rsidR="007F6321" w:rsidRPr="00FE2D31">
        <w:rPr>
          <w:bCs/>
          <w:sz w:val="28"/>
          <w:szCs w:val="28"/>
        </w:rPr>
        <w:t>produc</w:t>
      </w:r>
      <w:r w:rsidR="00D303E2" w:rsidRPr="00FE2D31">
        <w:rPr>
          <w:bCs/>
          <w:sz w:val="28"/>
          <w:szCs w:val="28"/>
        </w:rPr>
        <w:t>e</w:t>
      </w:r>
      <w:r w:rsidR="007F6321" w:rsidRPr="00FE2D31">
        <w:rPr>
          <w:bCs/>
          <w:sz w:val="28"/>
          <w:szCs w:val="28"/>
        </w:rPr>
        <w:t xml:space="preserve"> evidence that </w:t>
      </w:r>
      <w:r w:rsidR="00BC07C5" w:rsidRPr="00FE2D31">
        <w:rPr>
          <w:bCs/>
          <w:sz w:val="28"/>
          <w:szCs w:val="28"/>
        </w:rPr>
        <w:t xml:space="preserve">gives rise to a </w:t>
      </w:r>
      <w:r w:rsidR="007F6321" w:rsidRPr="00FE2D31">
        <w:rPr>
          <w:bCs/>
          <w:sz w:val="28"/>
          <w:szCs w:val="28"/>
        </w:rPr>
        <w:t xml:space="preserve">reasonable doubt that such non-compliance was wilful and </w:t>
      </w:r>
      <w:r w:rsidR="007F6321" w:rsidRPr="00FE2D31">
        <w:rPr>
          <w:bCs/>
          <w:i/>
          <w:sz w:val="28"/>
          <w:szCs w:val="28"/>
        </w:rPr>
        <w:t>mala fide</w:t>
      </w:r>
      <w:r w:rsidR="007F6321" w:rsidRPr="00FE2D31">
        <w:rPr>
          <w:bCs/>
          <w:sz w:val="28"/>
          <w:szCs w:val="28"/>
        </w:rPr>
        <w:t>.</w:t>
      </w:r>
    </w:p>
    <w:p w14:paraId="304B8939" w14:textId="77777777" w:rsidR="007F6321" w:rsidRPr="00FE2D31" w:rsidRDefault="007F6321" w:rsidP="007F6321">
      <w:pPr>
        <w:tabs>
          <w:tab w:val="left" w:pos="0"/>
        </w:tabs>
        <w:rPr>
          <w:bCs/>
          <w:sz w:val="28"/>
          <w:szCs w:val="28"/>
        </w:rPr>
      </w:pPr>
    </w:p>
    <w:p w14:paraId="5CDC268C" w14:textId="6F4460C6" w:rsidR="00D761E5" w:rsidRPr="00FE2D31" w:rsidRDefault="00D761E5" w:rsidP="00D761E5">
      <w:pPr>
        <w:pStyle w:val="ListParagraph"/>
        <w:ind w:hanging="720"/>
        <w:rPr>
          <w:b/>
          <w:bCs/>
          <w:i/>
          <w:sz w:val="28"/>
          <w:szCs w:val="28"/>
        </w:rPr>
      </w:pPr>
      <w:r w:rsidRPr="00FE2D31">
        <w:rPr>
          <w:b/>
          <w:bCs/>
          <w:sz w:val="28"/>
          <w:szCs w:val="28"/>
        </w:rPr>
        <w:t xml:space="preserve">Wilfulness and </w:t>
      </w:r>
      <w:r w:rsidR="001816D4" w:rsidRPr="00FE2D31">
        <w:rPr>
          <w:b/>
          <w:bCs/>
          <w:i/>
          <w:sz w:val="28"/>
          <w:szCs w:val="28"/>
        </w:rPr>
        <w:t>m</w:t>
      </w:r>
      <w:r w:rsidRPr="00FE2D31">
        <w:rPr>
          <w:b/>
          <w:bCs/>
          <w:i/>
          <w:sz w:val="28"/>
          <w:szCs w:val="28"/>
        </w:rPr>
        <w:t>ala fides</w:t>
      </w:r>
    </w:p>
    <w:p w14:paraId="04BFB6B5" w14:textId="3F4543C3" w:rsidR="008B1908" w:rsidRPr="00FE2D31" w:rsidRDefault="00042474" w:rsidP="00042474">
      <w:pPr>
        <w:tabs>
          <w:tab w:val="left" w:pos="0"/>
        </w:tabs>
        <w:rPr>
          <w:bCs/>
          <w:sz w:val="28"/>
          <w:szCs w:val="28"/>
        </w:rPr>
      </w:pPr>
      <w:r w:rsidRPr="00FE2D31">
        <w:rPr>
          <w:sz w:val="28"/>
          <w:szCs w:val="28"/>
        </w:rPr>
        <w:t>[51]</w:t>
      </w:r>
      <w:r w:rsidRPr="00FE2D31">
        <w:rPr>
          <w:sz w:val="28"/>
          <w:szCs w:val="28"/>
        </w:rPr>
        <w:tab/>
      </w:r>
      <w:r w:rsidR="00D761E5" w:rsidRPr="00FE2D31">
        <w:rPr>
          <w:bCs/>
          <w:sz w:val="28"/>
          <w:szCs w:val="28"/>
        </w:rPr>
        <w:t xml:space="preserve">The defence given by </w:t>
      </w:r>
      <w:r w:rsidR="00A44118" w:rsidRPr="00FE2D31">
        <w:rPr>
          <w:bCs/>
          <w:sz w:val="28"/>
          <w:szCs w:val="28"/>
        </w:rPr>
        <w:t xml:space="preserve">the respondents </w:t>
      </w:r>
      <w:r w:rsidR="00D761E5" w:rsidRPr="00FE2D31">
        <w:rPr>
          <w:bCs/>
          <w:sz w:val="28"/>
          <w:szCs w:val="28"/>
        </w:rPr>
        <w:t>for non-compliance with the order</w:t>
      </w:r>
      <w:r w:rsidR="00A44118" w:rsidRPr="00FE2D31">
        <w:rPr>
          <w:bCs/>
          <w:sz w:val="28"/>
          <w:szCs w:val="28"/>
        </w:rPr>
        <w:t xml:space="preserve"> (</w:t>
      </w:r>
      <w:r w:rsidR="00D761E5" w:rsidRPr="00FE2D31">
        <w:rPr>
          <w:bCs/>
          <w:sz w:val="28"/>
          <w:szCs w:val="28"/>
        </w:rPr>
        <w:t>in the event that disobedience was proven</w:t>
      </w:r>
      <w:r w:rsidR="00A44118" w:rsidRPr="00FE2D31">
        <w:rPr>
          <w:bCs/>
          <w:sz w:val="28"/>
          <w:szCs w:val="28"/>
        </w:rPr>
        <w:t>)</w:t>
      </w:r>
      <w:r w:rsidR="008B1908" w:rsidRPr="00FE2D31">
        <w:rPr>
          <w:bCs/>
          <w:sz w:val="28"/>
          <w:szCs w:val="28"/>
        </w:rPr>
        <w:t xml:space="preserve"> is that the order</w:t>
      </w:r>
      <w:r w:rsidR="001816D4" w:rsidRPr="00FE2D31">
        <w:rPr>
          <w:bCs/>
          <w:sz w:val="28"/>
          <w:szCs w:val="28"/>
        </w:rPr>
        <w:t xml:space="preserve"> </w:t>
      </w:r>
      <w:r w:rsidR="00A44118" w:rsidRPr="00FE2D31">
        <w:rPr>
          <w:bCs/>
          <w:sz w:val="28"/>
          <w:szCs w:val="28"/>
        </w:rPr>
        <w:t>was not</w:t>
      </w:r>
      <w:r w:rsidR="008B1908" w:rsidRPr="00FE2D31">
        <w:rPr>
          <w:bCs/>
          <w:sz w:val="28"/>
          <w:szCs w:val="28"/>
        </w:rPr>
        <w:t xml:space="preserve"> even</w:t>
      </w:r>
      <w:r w:rsidR="00A44118" w:rsidRPr="00FE2D31">
        <w:rPr>
          <w:bCs/>
          <w:sz w:val="28"/>
          <w:szCs w:val="28"/>
        </w:rPr>
        <w:t xml:space="preserve"> capable of being breached</w:t>
      </w:r>
      <w:r w:rsidR="008B1908" w:rsidRPr="00FE2D31">
        <w:rPr>
          <w:bCs/>
          <w:sz w:val="28"/>
          <w:szCs w:val="28"/>
        </w:rPr>
        <w:t xml:space="preserve"> since it </w:t>
      </w:r>
      <w:r w:rsidR="005E3E17" w:rsidRPr="00FE2D31">
        <w:rPr>
          <w:bCs/>
          <w:sz w:val="28"/>
          <w:szCs w:val="28"/>
        </w:rPr>
        <w:t xml:space="preserve">was </w:t>
      </w:r>
      <w:r w:rsidR="008B1908" w:rsidRPr="00FE2D31">
        <w:rPr>
          <w:bCs/>
          <w:sz w:val="28"/>
          <w:szCs w:val="28"/>
        </w:rPr>
        <w:t xml:space="preserve">automatically suspended, according to the legal advice which </w:t>
      </w:r>
      <w:r w:rsidR="005E3E17" w:rsidRPr="00FE2D31">
        <w:rPr>
          <w:bCs/>
          <w:sz w:val="28"/>
          <w:szCs w:val="28"/>
        </w:rPr>
        <w:t xml:space="preserve">the second respondent </w:t>
      </w:r>
      <w:r w:rsidR="008B1908" w:rsidRPr="00FE2D31">
        <w:rPr>
          <w:bCs/>
          <w:sz w:val="28"/>
          <w:szCs w:val="28"/>
        </w:rPr>
        <w:t xml:space="preserve">received and the </w:t>
      </w:r>
      <w:r w:rsidR="00BC07C5" w:rsidRPr="00FE2D31">
        <w:rPr>
          <w:bCs/>
          <w:sz w:val="28"/>
          <w:szCs w:val="28"/>
        </w:rPr>
        <w:t xml:space="preserve">correctness </w:t>
      </w:r>
      <w:r w:rsidR="008B1908" w:rsidRPr="00FE2D31">
        <w:rPr>
          <w:bCs/>
          <w:sz w:val="28"/>
          <w:szCs w:val="28"/>
        </w:rPr>
        <w:t xml:space="preserve">of which </w:t>
      </w:r>
      <w:r w:rsidR="005E3E17" w:rsidRPr="00FE2D31">
        <w:rPr>
          <w:bCs/>
          <w:sz w:val="28"/>
          <w:szCs w:val="28"/>
        </w:rPr>
        <w:t>he</w:t>
      </w:r>
      <w:r w:rsidR="008B1908" w:rsidRPr="00FE2D31">
        <w:rPr>
          <w:bCs/>
          <w:sz w:val="28"/>
          <w:szCs w:val="28"/>
        </w:rPr>
        <w:t xml:space="preserve"> ha</w:t>
      </w:r>
      <w:r w:rsidR="005E3E17" w:rsidRPr="00FE2D31">
        <w:rPr>
          <w:bCs/>
          <w:sz w:val="28"/>
          <w:szCs w:val="28"/>
        </w:rPr>
        <w:t>d</w:t>
      </w:r>
      <w:r w:rsidR="008B1908" w:rsidRPr="00FE2D31">
        <w:rPr>
          <w:bCs/>
          <w:sz w:val="28"/>
          <w:szCs w:val="28"/>
        </w:rPr>
        <w:t xml:space="preserve"> no reason to doubt</w:t>
      </w:r>
      <w:r w:rsidR="005E3E17" w:rsidRPr="00FE2D31">
        <w:rPr>
          <w:bCs/>
          <w:sz w:val="28"/>
          <w:szCs w:val="28"/>
        </w:rPr>
        <w:t>.</w:t>
      </w:r>
    </w:p>
    <w:p w14:paraId="49D0FC2B" w14:textId="77777777" w:rsidR="008B1908" w:rsidRPr="00FE2D31" w:rsidRDefault="008B1908" w:rsidP="008B1908">
      <w:pPr>
        <w:tabs>
          <w:tab w:val="left" w:pos="0"/>
        </w:tabs>
        <w:rPr>
          <w:bCs/>
          <w:sz w:val="28"/>
          <w:szCs w:val="28"/>
        </w:rPr>
      </w:pPr>
    </w:p>
    <w:p w14:paraId="7166E339" w14:textId="094F38DE" w:rsidR="003266D0" w:rsidRPr="00FE2D31" w:rsidRDefault="00042474" w:rsidP="00042474">
      <w:pPr>
        <w:tabs>
          <w:tab w:val="left" w:pos="0"/>
        </w:tabs>
        <w:rPr>
          <w:bCs/>
          <w:sz w:val="28"/>
          <w:szCs w:val="28"/>
        </w:rPr>
      </w:pPr>
      <w:r w:rsidRPr="00FE2D31">
        <w:rPr>
          <w:sz w:val="28"/>
          <w:szCs w:val="28"/>
        </w:rPr>
        <w:t>[52]</w:t>
      </w:r>
      <w:r w:rsidRPr="00FE2D31">
        <w:rPr>
          <w:sz w:val="28"/>
          <w:szCs w:val="28"/>
        </w:rPr>
        <w:tab/>
      </w:r>
      <w:r w:rsidR="008B1908" w:rsidRPr="00FE2D31">
        <w:rPr>
          <w:bCs/>
          <w:sz w:val="28"/>
          <w:szCs w:val="28"/>
        </w:rPr>
        <w:t>Further</w:t>
      </w:r>
      <w:r w:rsidR="004709F3" w:rsidRPr="00FE2D31">
        <w:rPr>
          <w:bCs/>
          <w:sz w:val="28"/>
          <w:szCs w:val="28"/>
        </w:rPr>
        <w:t>,</w:t>
      </w:r>
      <w:r w:rsidR="008B1908" w:rsidRPr="00FE2D31">
        <w:rPr>
          <w:bCs/>
          <w:sz w:val="28"/>
          <w:szCs w:val="28"/>
        </w:rPr>
        <w:t xml:space="preserve"> that the respondents</w:t>
      </w:r>
      <w:r w:rsidR="00A40C64" w:rsidRPr="00FE2D31">
        <w:rPr>
          <w:bCs/>
          <w:sz w:val="28"/>
          <w:szCs w:val="28"/>
        </w:rPr>
        <w:t>,</w:t>
      </w:r>
      <w:r w:rsidR="008B1908" w:rsidRPr="00FE2D31">
        <w:rPr>
          <w:bCs/>
          <w:sz w:val="28"/>
          <w:szCs w:val="28"/>
        </w:rPr>
        <w:t xml:space="preserve"> </w:t>
      </w:r>
      <w:r w:rsidR="00164CBA" w:rsidRPr="00FE2D31">
        <w:rPr>
          <w:bCs/>
          <w:sz w:val="28"/>
          <w:szCs w:val="28"/>
        </w:rPr>
        <w:t xml:space="preserve">relying on </w:t>
      </w:r>
      <w:r w:rsidR="008B1908" w:rsidRPr="00FE2D31">
        <w:rPr>
          <w:bCs/>
          <w:sz w:val="28"/>
          <w:szCs w:val="28"/>
        </w:rPr>
        <w:t>the legal advice they</w:t>
      </w:r>
      <w:r w:rsidR="00166EF1" w:rsidRPr="00FE2D31">
        <w:rPr>
          <w:bCs/>
          <w:sz w:val="28"/>
          <w:szCs w:val="28"/>
        </w:rPr>
        <w:t xml:space="preserve"> </w:t>
      </w:r>
      <w:r w:rsidR="005E3E17" w:rsidRPr="00FE2D31">
        <w:rPr>
          <w:bCs/>
          <w:sz w:val="28"/>
          <w:szCs w:val="28"/>
        </w:rPr>
        <w:t xml:space="preserve">had </w:t>
      </w:r>
      <w:r w:rsidR="00166EF1" w:rsidRPr="00FE2D31">
        <w:rPr>
          <w:bCs/>
          <w:sz w:val="28"/>
          <w:szCs w:val="28"/>
        </w:rPr>
        <w:t>obtained from their attorneys, which was confirmed by the current senior and junior counsel</w:t>
      </w:r>
      <w:r w:rsidR="00C37E3E" w:rsidRPr="00FE2D31">
        <w:rPr>
          <w:bCs/>
          <w:sz w:val="28"/>
          <w:szCs w:val="28"/>
        </w:rPr>
        <w:t xml:space="preserve">, acted </w:t>
      </w:r>
      <w:r w:rsidR="00C37E3E" w:rsidRPr="00FE2D31">
        <w:rPr>
          <w:bCs/>
          <w:i/>
          <w:sz w:val="28"/>
          <w:szCs w:val="28"/>
        </w:rPr>
        <w:t>bona fide</w:t>
      </w:r>
      <w:r w:rsidR="008B1908" w:rsidRPr="00FE2D31">
        <w:rPr>
          <w:bCs/>
          <w:sz w:val="28"/>
          <w:szCs w:val="28"/>
        </w:rPr>
        <w:t xml:space="preserve">. </w:t>
      </w:r>
      <w:r w:rsidR="00166EF1" w:rsidRPr="00FE2D31">
        <w:rPr>
          <w:bCs/>
          <w:sz w:val="28"/>
          <w:szCs w:val="28"/>
        </w:rPr>
        <w:t xml:space="preserve">It </w:t>
      </w:r>
      <w:r w:rsidR="00736A5A" w:rsidRPr="00FE2D31">
        <w:rPr>
          <w:bCs/>
          <w:sz w:val="28"/>
          <w:szCs w:val="28"/>
        </w:rPr>
        <w:t>was</w:t>
      </w:r>
      <w:r w:rsidR="008B1908" w:rsidRPr="00FE2D31">
        <w:rPr>
          <w:bCs/>
          <w:sz w:val="28"/>
          <w:szCs w:val="28"/>
        </w:rPr>
        <w:t xml:space="preserve"> </w:t>
      </w:r>
      <w:r w:rsidR="00166EF1" w:rsidRPr="00FE2D31">
        <w:rPr>
          <w:bCs/>
          <w:sz w:val="28"/>
          <w:szCs w:val="28"/>
        </w:rPr>
        <w:t>further allege</w:t>
      </w:r>
      <w:r w:rsidR="008B1908" w:rsidRPr="00FE2D31">
        <w:rPr>
          <w:bCs/>
          <w:sz w:val="28"/>
          <w:szCs w:val="28"/>
        </w:rPr>
        <w:t>d</w:t>
      </w:r>
      <w:r w:rsidR="004709F3" w:rsidRPr="00FE2D31">
        <w:rPr>
          <w:bCs/>
          <w:sz w:val="28"/>
          <w:szCs w:val="28"/>
        </w:rPr>
        <w:t xml:space="preserve"> in the answering affidavit </w:t>
      </w:r>
      <w:r w:rsidR="008E4D98" w:rsidRPr="00FE2D31">
        <w:rPr>
          <w:bCs/>
          <w:sz w:val="28"/>
          <w:szCs w:val="28"/>
        </w:rPr>
        <w:t>that</w:t>
      </w:r>
      <w:r w:rsidR="00166EF1" w:rsidRPr="00FE2D31">
        <w:rPr>
          <w:bCs/>
          <w:sz w:val="28"/>
          <w:szCs w:val="28"/>
        </w:rPr>
        <w:t xml:space="preserve"> the advice was obtained verbally but that it could </w:t>
      </w:r>
      <w:r w:rsidR="007118C2" w:rsidRPr="00FE2D31">
        <w:rPr>
          <w:bCs/>
          <w:sz w:val="28"/>
          <w:szCs w:val="28"/>
        </w:rPr>
        <w:t>‘</w:t>
      </w:r>
      <w:r w:rsidR="00166EF1" w:rsidRPr="00FE2D31">
        <w:rPr>
          <w:bCs/>
          <w:sz w:val="28"/>
          <w:szCs w:val="28"/>
        </w:rPr>
        <w:t>be gleaned from the version of the respondents,</w:t>
      </w:r>
      <w:r w:rsidR="007118C2" w:rsidRPr="00FE2D31">
        <w:rPr>
          <w:bCs/>
          <w:sz w:val="28"/>
          <w:szCs w:val="28"/>
        </w:rPr>
        <w:t xml:space="preserve"> which ha</w:t>
      </w:r>
      <w:r w:rsidR="005E3E17" w:rsidRPr="00FE2D31">
        <w:rPr>
          <w:bCs/>
          <w:sz w:val="28"/>
          <w:szCs w:val="28"/>
        </w:rPr>
        <w:t>[d]</w:t>
      </w:r>
      <w:r w:rsidR="007118C2" w:rsidRPr="00FE2D31">
        <w:rPr>
          <w:bCs/>
          <w:sz w:val="28"/>
          <w:szCs w:val="28"/>
        </w:rPr>
        <w:t xml:space="preserve"> been consistently articulated in writing </w:t>
      </w:r>
      <w:r w:rsidR="001B5606" w:rsidRPr="00FE2D31">
        <w:rPr>
          <w:bCs/>
          <w:sz w:val="28"/>
          <w:szCs w:val="28"/>
        </w:rPr>
        <w:t xml:space="preserve">in </w:t>
      </w:r>
      <w:r w:rsidR="007118C2" w:rsidRPr="00FE2D31">
        <w:rPr>
          <w:bCs/>
          <w:sz w:val="28"/>
          <w:szCs w:val="28"/>
        </w:rPr>
        <w:t>all the papers pertaining to this matter. If necessary, it will be re-articulated by counsel</w:t>
      </w:r>
      <w:r w:rsidR="003266D0" w:rsidRPr="00FE2D31">
        <w:rPr>
          <w:bCs/>
          <w:sz w:val="28"/>
          <w:szCs w:val="28"/>
        </w:rPr>
        <w:t xml:space="preserve"> during the hearing.</w:t>
      </w:r>
      <w:r w:rsidR="00A40C64" w:rsidRPr="00FE2D31">
        <w:rPr>
          <w:bCs/>
          <w:sz w:val="28"/>
          <w:szCs w:val="28"/>
        </w:rPr>
        <w:t>’</w:t>
      </w:r>
    </w:p>
    <w:p w14:paraId="1327E73D" w14:textId="77777777" w:rsidR="008B1908" w:rsidRPr="00FE2D31" w:rsidRDefault="008B1908" w:rsidP="008B1908">
      <w:pPr>
        <w:pStyle w:val="ListParagraph"/>
        <w:rPr>
          <w:bCs/>
          <w:sz w:val="28"/>
          <w:szCs w:val="28"/>
        </w:rPr>
      </w:pPr>
    </w:p>
    <w:p w14:paraId="7CDEC76E" w14:textId="16A66A78" w:rsidR="00973446" w:rsidRPr="00FE2D31" w:rsidRDefault="00042474" w:rsidP="00042474">
      <w:pPr>
        <w:tabs>
          <w:tab w:val="left" w:pos="0"/>
        </w:tabs>
        <w:rPr>
          <w:bCs/>
          <w:sz w:val="28"/>
          <w:szCs w:val="28"/>
        </w:rPr>
      </w:pPr>
      <w:r w:rsidRPr="00FE2D31">
        <w:rPr>
          <w:sz w:val="28"/>
          <w:szCs w:val="28"/>
        </w:rPr>
        <w:t>[53]</w:t>
      </w:r>
      <w:r w:rsidRPr="00FE2D31">
        <w:rPr>
          <w:sz w:val="28"/>
          <w:szCs w:val="28"/>
        </w:rPr>
        <w:tab/>
      </w:r>
      <w:r w:rsidR="00D42439" w:rsidRPr="00FE2D31">
        <w:rPr>
          <w:bCs/>
          <w:sz w:val="28"/>
          <w:szCs w:val="28"/>
        </w:rPr>
        <w:t xml:space="preserve">The respondents were </w:t>
      </w:r>
      <w:r w:rsidR="00782720" w:rsidRPr="00FE2D31">
        <w:rPr>
          <w:bCs/>
          <w:sz w:val="28"/>
          <w:szCs w:val="28"/>
        </w:rPr>
        <w:t xml:space="preserve">obliged to </w:t>
      </w:r>
      <w:r w:rsidR="00464DA6" w:rsidRPr="00FE2D31">
        <w:rPr>
          <w:bCs/>
          <w:sz w:val="28"/>
          <w:szCs w:val="28"/>
        </w:rPr>
        <w:t xml:space="preserve">state the </w:t>
      </w:r>
      <w:r w:rsidR="00782720" w:rsidRPr="00FE2D31">
        <w:rPr>
          <w:bCs/>
          <w:sz w:val="28"/>
          <w:szCs w:val="28"/>
        </w:rPr>
        <w:t>full details of the alleged advice</w:t>
      </w:r>
      <w:r w:rsidR="00D42439" w:rsidRPr="00FE2D31">
        <w:rPr>
          <w:bCs/>
          <w:sz w:val="28"/>
          <w:szCs w:val="28"/>
        </w:rPr>
        <w:t>, because they had raised it as a defence.</w:t>
      </w:r>
      <w:r w:rsidR="00782720" w:rsidRPr="00FE2D31">
        <w:rPr>
          <w:bCs/>
          <w:sz w:val="28"/>
          <w:szCs w:val="28"/>
        </w:rPr>
        <w:t xml:space="preserve"> </w:t>
      </w:r>
      <w:r w:rsidR="00C37E3E" w:rsidRPr="00FE2D31">
        <w:rPr>
          <w:bCs/>
          <w:sz w:val="28"/>
          <w:szCs w:val="28"/>
        </w:rPr>
        <w:t>In the ordinary</w:t>
      </w:r>
      <w:r w:rsidR="00B62AAB" w:rsidRPr="00FE2D31">
        <w:rPr>
          <w:bCs/>
          <w:sz w:val="28"/>
          <w:szCs w:val="28"/>
        </w:rPr>
        <w:t xml:space="preserve"> course, t</w:t>
      </w:r>
      <w:r w:rsidR="00D42439" w:rsidRPr="00FE2D31">
        <w:rPr>
          <w:bCs/>
          <w:sz w:val="28"/>
          <w:szCs w:val="28"/>
        </w:rPr>
        <w:t xml:space="preserve">he facts to be detailed would include the nature of the </w:t>
      </w:r>
      <w:r w:rsidR="00782720" w:rsidRPr="00FE2D31">
        <w:rPr>
          <w:bCs/>
          <w:sz w:val="28"/>
          <w:szCs w:val="28"/>
        </w:rPr>
        <w:t>advice, when and by whom it was given</w:t>
      </w:r>
      <w:r w:rsidR="00D42439" w:rsidRPr="00FE2D31">
        <w:rPr>
          <w:bCs/>
          <w:sz w:val="28"/>
          <w:szCs w:val="28"/>
        </w:rPr>
        <w:t>.</w:t>
      </w:r>
      <w:r w:rsidR="00782720" w:rsidRPr="00FE2D31">
        <w:rPr>
          <w:bCs/>
          <w:sz w:val="28"/>
          <w:szCs w:val="28"/>
        </w:rPr>
        <w:t xml:space="preserve"> In </w:t>
      </w:r>
      <w:r w:rsidR="00782720" w:rsidRPr="00FE2D31">
        <w:rPr>
          <w:bCs/>
          <w:i/>
          <w:sz w:val="28"/>
          <w:szCs w:val="28"/>
        </w:rPr>
        <w:t>S v Abrahams</w:t>
      </w:r>
      <w:r w:rsidR="006B38BB" w:rsidRPr="00FE2D31">
        <w:rPr>
          <w:bCs/>
          <w:i/>
          <w:sz w:val="28"/>
          <w:szCs w:val="28"/>
        </w:rPr>
        <w:t>,</w:t>
      </w:r>
      <w:r w:rsidR="003266D0" w:rsidRPr="00FE2D31">
        <w:rPr>
          <w:bCs/>
          <w:sz w:val="28"/>
          <w:szCs w:val="28"/>
        </w:rPr>
        <w:t xml:space="preserve"> </w:t>
      </w:r>
      <w:r w:rsidR="00973446" w:rsidRPr="00FE2D31">
        <w:rPr>
          <w:bCs/>
          <w:sz w:val="28"/>
          <w:szCs w:val="28"/>
        </w:rPr>
        <w:t>th</w:t>
      </w:r>
      <w:r w:rsidR="00D42439" w:rsidRPr="00FE2D31">
        <w:rPr>
          <w:bCs/>
          <w:sz w:val="28"/>
          <w:szCs w:val="28"/>
        </w:rPr>
        <w:t>is</w:t>
      </w:r>
      <w:r w:rsidR="00973446" w:rsidRPr="00FE2D31">
        <w:rPr>
          <w:bCs/>
          <w:sz w:val="28"/>
          <w:szCs w:val="28"/>
        </w:rPr>
        <w:t xml:space="preserve"> Court said:</w:t>
      </w:r>
    </w:p>
    <w:p w14:paraId="0995B09D" w14:textId="723F8CC2" w:rsidR="00973446" w:rsidRPr="00FE2D31" w:rsidRDefault="00973446" w:rsidP="00C22B3D">
      <w:pPr>
        <w:pStyle w:val="ListParagraph"/>
        <w:ind w:left="0"/>
        <w:rPr>
          <w:bCs/>
        </w:rPr>
      </w:pPr>
      <w:r w:rsidRPr="00FE2D31">
        <w:rPr>
          <w:bCs/>
        </w:rPr>
        <w:t>‘</w:t>
      </w:r>
      <w:r w:rsidR="001B5606" w:rsidRPr="00FE2D31">
        <w:rPr>
          <w:bCs/>
        </w:rPr>
        <w:t>[I]</w:t>
      </w:r>
      <w:r w:rsidR="00C22B3D" w:rsidRPr="00FE2D31">
        <w:rPr>
          <w:bCs/>
        </w:rPr>
        <w:t xml:space="preserve">f </w:t>
      </w:r>
      <w:r w:rsidR="00C22B3D" w:rsidRPr="00FE2D31">
        <w:t xml:space="preserve">an accused wished the Court to have regard to this advice as a mitigating factor, then it could be expected of him to produce the advice if it was in writing. In addition the Court </w:t>
      </w:r>
      <w:r w:rsidR="00C22B3D" w:rsidRPr="00FE2D31">
        <w:lastRenderedPageBreak/>
        <w:t xml:space="preserve">would require to be satisfied that the advice was given on a full and true statement of the facts. In the absence of such safeguards the fact of the advice having been given was held to be of no avail as a mitigating factor. These remarks </w:t>
      </w:r>
      <w:r w:rsidR="00694372" w:rsidRPr="00FE2D31">
        <w:t>are pertinent</w:t>
      </w:r>
      <w:r w:rsidR="00C22B3D" w:rsidRPr="00FE2D31">
        <w:t xml:space="preserve"> to the present enquiry, more particularly as the attorney on whose advice the appellant claimed to have relied was not called to testify in regard to all the circumstances relevant to the giving of such advice.’</w:t>
      </w:r>
      <w:r w:rsidR="00C22B3D" w:rsidRPr="00FE2D31">
        <w:rPr>
          <w:rStyle w:val="FootnoteReference"/>
        </w:rPr>
        <w:footnoteReference w:id="13"/>
      </w:r>
    </w:p>
    <w:p w14:paraId="4EA52F02" w14:textId="77777777" w:rsidR="00973446" w:rsidRPr="00FE2D31" w:rsidRDefault="00973446" w:rsidP="00973446">
      <w:pPr>
        <w:tabs>
          <w:tab w:val="left" w:pos="0"/>
        </w:tabs>
        <w:rPr>
          <w:bCs/>
          <w:sz w:val="28"/>
          <w:szCs w:val="28"/>
        </w:rPr>
      </w:pPr>
    </w:p>
    <w:p w14:paraId="32092D81" w14:textId="2E36E0C4" w:rsidR="00271A63" w:rsidRPr="00FE2D31" w:rsidRDefault="00042474" w:rsidP="00042474">
      <w:pPr>
        <w:tabs>
          <w:tab w:val="left" w:pos="0"/>
        </w:tabs>
        <w:rPr>
          <w:bCs/>
          <w:sz w:val="28"/>
          <w:szCs w:val="28"/>
        </w:rPr>
      </w:pPr>
      <w:r w:rsidRPr="00FE2D31">
        <w:rPr>
          <w:sz w:val="28"/>
          <w:szCs w:val="28"/>
        </w:rPr>
        <w:t>[54]</w:t>
      </w:r>
      <w:r w:rsidRPr="00FE2D31">
        <w:rPr>
          <w:sz w:val="28"/>
          <w:szCs w:val="28"/>
        </w:rPr>
        <w:tab/>
      </w:r>
      <w:r w:rsidR="00C22B3D" w:rsidRPr="00FE2D31">
        <w:rPr>
          <w:bCs/>
          <w:sz w:val="28"/>
          <w:szCs w:val="28"/>
        </w:rPr>
        <w:t xml:space="preserve">I am </w:t>
      </w:r>
      <w:r w:rsidR="00D77EEE" w:rsidRPr="00FE2D31">
        <w:rPr>
          <w:bCs/>
          <w:sz w:val="28"/>
          <w:szCs w:val="28"/>
        </w:rPr>
        <w:t xml:space="preserve">willing </w:t>
      </w:r>
      <w:r w:rsidR="00C22B3D" w:rsidRPr="00FE2D31">
        <w:rPr>
          <w:bCs/>
          <w:sz w:val="28"/>
          <w:szCs w:val="28"/>
        </w:rPr>
        <w:t>to assume</w:t>
      </w:r>
      <w:r w:rsidR="00AB18C1" w:rsidRPr="00FE2D31">
        <w:rPr>
          <w:bCs/>
          <w:sz w:val="28"/>
          <w:szCs w:val="28"/>
        </w:rPr>
        <w:t xml:space="preserve"> in</w:t>
      </w:r>
      <w:r w:rsidR="00D77EEE" w:rsidRPr="00FE2D31">
        <w:rPr>
          <w:bCs/>
          <w:sz w:val="28"/>
          <w:szCs w:val="28"/>
        </w:rPr>
        <w:t xml:space="preserve"> the respondents’</w:t>
      </w:r>
      <w:r w:rsidR="00AB18C1" w:rsidRPr="00FE2D31">
        <w:rPr>
          <w:bCs/>
          <w:sz w:val="28"/>
          <w:szCs w:val="28"/>
        </w:rPr>
        <w:t xml:space="preserve"> favour</w:t>
      </w:r>
      <w:r w:rsidR="00C22B3D" w:rsidRPr="00FE2D31">
        <w:rPr>
          <w:bCs/>
          <w:sz w:val="28"/>
          <w:szCs w:val="28"/>
        </w:rPr>
        <w:t xml:space="preserve"> that the advice</w:t>
      </w:r>
      <w:r w:rsidR="00AB18C1" w:rsidRPr="00FE2D31">
        <w:rPr>
          <w:bCs/>
          <w:sz w:val="28"/>
          <w:szCs w:val="28"/>
        </w:rPr>
        <w:t xml:space="preserve"> </w:t>
      </w:r>
      <w:r w:rsidR="00D77EEE" w:rsidRPr="00FE2D31">
        <w:rPr>
          <w:bCs/>
          <w:sz w:val="28"/>
          <w:szCs w:val="28"/>
        </w:rPr>
        <w:t>they</w:t>
      </w:r>
      <w:r w:rsidR="00C22B3D" w:rsidRPr="00FE2D31">
        <w:rPr>
          <w:bCs/>
          <w:sz w:val="28"/>
          <w:szCs w:val="28"/>
        </w:rPr>
        <w:t xml:space="preserve"> alleged</w:t>
      </w:r>
      <w:r w:rsidR="00AB18C1" w:rsidRPr="00FE2D31">
        <w:rPr>
          <w:bCs/>
          <w:sz w:val="28"/>
          <w:szCs w:val="28"/>
        </w:rPr>
        <w:t>ly received w</w:t>
      </w:r>
      <w:r w:rsidR="00C22B3D" w:rsidRPr="00FE2D31">
        <w:rPr>
          <w:bCs/>
          <w:sz w:val="28"/>
          <w:szCs w:val="28"/>
        </w:rPr>
        <w:t xml:space="preserve">as given by </w:t>
      </w:r>
      <w:r w:rsidR="00AB18C1" w:rsidRPr="00FE2D31">
        <w:rPr>
          <w:bCs/>
          <w:sz w:val="28"/>
          <w:szCs w:val="28"/>
        </w:rPr>
        <w:t>its</w:t>
      </w:r>
      <w:r w:rsidR="00271A63" w:rsidRPr="00FE2D31">
        <w:rPr>
          <w:bCs/>
          <w:sz w:val="28"/>
          <w:szCs w:val="28"/>
        </w:rPr>
        <w:t xml:space="preserve"> current</w:t>
      </w:r>
      <w:r w:rsidR="00AB18C1" w:rsidRPr="00FE2D31">
        <w:rPr>
          <w:bCs/>
          <w:sz w:val="28"/>
          <w:szCs w:val="28"/>
        </w:rPr>
        <w:t xml:space="preserve"> </w:t>
      </w:r>
      <w:r w:rsidR="00C22B3D" w:rsidRPr="00FE2D31">
        <w:rPr>
          <w:bCs/>
          <w:sz w:val="28"/>
          <w:szCs w:val="28"/>
        </w:rPr>
        <w:t xml:space="preserve">attorneys of record and counsel who had represented </w:t>
      </w:r>
      <w:r w:rsidR="00D77EEE" w:rsidRPr="00FE2D31">
        <w:rPr>
          <w:bCs/>
          <w:sz w:val="28"/>
          <w:szCs w:val="28"/>
        </w:rPr>
        <w:t xml:space="preserve">Bila </w:t>
      </w:r>
      <w:r w:rsidR="00C22B3D" w:rsidRPr="00FE2D31">
        <w:rPr>
          <w:bCs/>
          <w:sz w:val="28"/>
          <w:szCs w:val="28"/>
        </w:rPr>
        <w:t>in the urgent application before Neukircher</w:t>
      </w:r>
      <w:r w:rsidR="00AB18C1" w:rsidRPr="00FE2D31">
        <w:rPr>
          <w:bCs/>
          <w:sz w:val="28"/>
          <w:szCs w:val="28"/>
        </w:rPr>
        <w:t xml:space="preserve"> J and who remained on record in the subsequent proceedings relating to this matter, even though no confirmatory affidavits have been filed.</w:t>
      </w:r>
      <w:r w:rsidR="00271A63" w:rsidRPr="00FE2D31">
        <w:rPr>
          <w:bCs/>
          <w:sz w:val="28"/>
          <w:szCs w:val="28"/>
        </w:rPr>
        <w:t xml:space="preserve"> </w:t>
      </w:r>
      <w:r w:rsidR="00AB18C1" w:rsidRPr="00FE2D31">
        <w:rPr>
          <w:bCs/>
          <w:sz w:val="28"/>
          <w:szCs w:val="28"/>
        </w:rPr>
        <w:t>The</w:t>
      </w:r>
      <w:r w:rsidR="0075550C" w:rsidRPr="00FE2D31">
        <w:rPr>
          <w:bCs/>
          <w:sz w:val="28"/>
          <w:szCs w:val="28"/>
        </w:rPr>
        <w:t>re is</w:t>
      </w:r>
      <w:r w:rsidR="00271A63" w:rsidRPr="00FE2D31">
        <w:rPr>
          <w:bCs/>
          <w:sz w:val="28"/>
          <w:szCs w:val="28"/>
        </w:rPr>
        <w:t>, however</w:t>
      </w:r>
      <w:r w:rsidR="00246333" w:rsidRPr="00FE2D31">
        <w:rPr>
          <w:bCs/>
          <w:sz w:val="28"/>
          <w:szCs w:val="28"/>
        </w:rPr>
        <w:t>,</w:t>
      </w:r>
      <w:r w:rsidR="00AB18C1" w:rsidRPr="00FE2D31">
        <w:rPr>
          <w:bCs/>
          <w:sz w:val="28"/>
          <w:szCs w:val="28"/>
        </w:rPr>
        <w:t xml:space="preserve"> </w:t>
      </w:r>
      <w:r w:rsidR="00271A63" w:rsidRPr="00FE2D31">
        <w:rPr>
          <w:bCs/>
          <w:sz w:val="28"/>
          <w:szCs w:val="28"/>
        </w:rPr>
        <w:t xml:space="preserve">lack of </w:t>
      </w:r>
      <w:r w:rsidR="00AB18C1" w:rsidRPr="00FE2D31">
        <w:rPr>
          <w:bCs/>
          <w:sz w:val="28"/>
          <w:szCs w:val="28"/>
        </w:rPr>
        <w:t>detail</w:t>
      </w:r>
      <w:r w:rsidR="00246333" w:rsidRPr="00FE2D31">
        <w:rPr>
          <w:bCs/>
          <w:sz w:val="28"/>
          <w:szCs w:val="28"/>
        </w:rPr>
        <w:t>, even at the bare minimum,</w:t>
      </w:r>
      <w:r w:rsidR="00AB18C1" w:rsidRPr="00FE2D31">
        <w:rPr>
          <w:bCs/>
          <w:sz w:val="28"/>
          <w:szCs w:val="28"/>
        </w:rPr>
        <w:t xml:space="preserve"> of the alleged advice </w:t>
      </w:r>
      <w:r w:rsidR="00271A63" w:rsidRPr="00FE2D31">
        <w:rPr>
          <w:bCs/>
          <w:sz w:val="28"/>
          <w:szCs w:val="28"/>
        </w:rPr>
        <w:t xml:space="preserve">so as to assess whether it was given on full and true statement of facts as postulated in </w:t>
      </w:r>
      <w:r w:rsidR="00271A63" w:rsidRPr="00FE2D31">
        <w:rPr>
          <w:bCs/>
          <w:i/>
          <w:sz w:val="28"/>
          <w:szCs w:val="28"/>
        </w:rPr>
        <w:t>Abrahams</w:t>
      </w:r>
      <w:r w:rsidR="00271A63" w:rsidRPr="00FE2D31">
        <w:rPr>
          <w:bCs/>
          <w:sz w:val="28"/>
          <w:szCs w:val="28"/>
        </w:rPr>
        <w:t xml:space="preserve">. </w:t>
      </w:r>
      <w:r w:rsidR="00B62AAB" w:rsidRPr="00FE2D31">
        <w:rPr>
          <w:bCs/>
          <w:sz w:val="28"/>
          <w:szCs w:val="28"/>
        </w:rPr>
        <w:t>Moreover</w:t>
      </w:r>
      <w:r w:rsidR="006B38BB" w:rsidRPr="00FE2D31">
        <w:rPr>
          <w:bCs/>
          <w:sz w:val="28"/>
          <w:szCs w:val="28"/>
        </w:rPr>
        <w:t>,</w:t>
      </w:r>
      <w:r w:rsidR="00271A63" w:rsidRPr="00FE2D31">
        <w:rPr>
          <w:bCs/>
          <w:sz w:val="28"/>
          <w:szCs w:val="28"/>
        </w:rPr>
        <w:t xml:space="preserve"> Samancor was entitled to know what the defence proffered as a rebuttal for non-compliance </w:t>
      </w:r>
      <w:r w:rsidR="004709F3" w:rsidRPr="00FE2D31">
        <w:rPr>
          <w:bCs/>
          <w:sz w:val="28"/>
          <w:szCs w:val="28"/>
        </w:rPr>
        <w:t>was</w:t>
      </w:r>
      <w:r w:rsidR="00271A63" w:rsidRPr="00FE2D31">
        <w:rPr>
          <w:bCs/>
          <w:sz w:val="28"/>
          <w:szCs w:val="28"/>
        </w:rPr>
        <w:t>, so as to properly deal with it in reply.</w:t>
      </w:r>
    </w:p>
    <w:p w14:paraId="68E5C330" w14:textId="77777777" w:rsidR="007C5094" w:rsidRPr="00FE2D31" w:rsidRDefault="007C5094" w:rsidP="007C5094">
      <w:pPr>
        <w:tabs>
          <w:tab w:val="left" w:pos="0"/>
        </w:tabs>
        <w:rPr>
          <w:bCs/>
          <w:sz w:val="28"/>
          <w:szCs w:val="28"/>
        </w:rPr>
      </w:pPr>
    </w:p>
    <w:p w14:paraId="5C793453" w14:textId="0E09EF88" w:rsidR="001C1150" w:rsidRPr="00FE2D31" w:rsidRDefault="00042474" w:rsidP="00042474">
      <w:pPr>
        <w:tabs>
          <w:tab w:val="left" w:pos="0"/>
        </w:tabs>
        <w:rPr>
          <w:bCs/>
          <w:sz w:val="28"/>
          <w:szCs w:val="28"/>
        </w:rPr>
      </w:pPr>
      <w:r w:rsidRPr="00FE2D31">
        <w:rPr>
          <w:sz w:val="28"/>
          <w:szCs w:val="28"/>
        </w:rPr>
        <w:t>[55]</w:t>
      </w:r>
      <w:r w:rsidRPr="00FE2D31">
        <w:rPr>
          <w:sz w:val="28"/>
          <w:szCs w:val="28"/>
        </w:rPr>
        <w:tab/>
      </w:r>
      <w:r w:rsidR="00D77EEE" w:rsidRPr="00FE2D31">
        <w:rPr>
          <w:bCs/>
          <w:sz w:val="28"/>
          <w:szCs w:val="28"/>
        </w:rPr>
        <w:t xml:space="preserve">The respondents </w:t>
      </w:r>
      <w:r w:rsidR="00271A63" w:rsidRPr="00FE2D31">
        <w:rPr>
          <w:bCs/>
          <w:sz w:val="28"/>
          <w:szCs w:val="28"/>
        </w:rPr>
        <w:t>submit</w:t>
      </w:r>
      <w:r w:rsidR="00246333" w:rsidRPr="00FE2D31">
        <w:rPr>
          <w:bCs/>
          <w:sz w:val="28"/>
          <w:szCs w:val="28"/>
        </w:rPr>
        <w:t>ted</w:t>
      </w:r>
      <w:r w:rsidR="00271A63" w:rsidRPr="00FE2D31">
        <w:rPr>
          <w:bCs/>
          <w:sz w:val="28"/>
          <w:szCs w:val="28"/>
        </w:rPr>
        <w:t xml:space="preserve"> that the advice should be </w:t>
      </w:r>
      <w:r w:rsidR="00AB18C1" w:rsidRPr="00FE2D31">
        <w:rPr>
          <w:bCs/>
          <w:sz w:val="28"/>
          <w:szCs w:val="28"/>
        </w:rPr>
        <w:t>glean</w:t>
      </w:r>
      <w:r w:rsidR="00271A63" w:rsidRPr="00FE2D31">
        <w:rPr>
          <w:bCs/>
          <w:sz w:val="28"/>
          <w:szCs w:val="28"/>
        </w:rPr>
        <w:t>ed</w:t>
      </w:r>
      <w:r w:rsidR="00AB18C1" w:rsidRPr="00FE2D31">
        <w:rPr>
          <w:bCs/>
          <w:sz w:val="28"/>
          <w:szCs w:val="28"/>
        </w:rPr>
        <w:t xml:space="preserve"> from the correspondence</w:t>
      </w:r>
      <w:r w:rsidR="00271A63" w:rsidRPr="00FE2D31">
        <w:rPr>
          <w:bCs/>
          <w:sz w:val="28"/>
          <w:szCs w:val="28"/>
        </w:rPr>
        <w:t xml:space="preserve"> </w:t>
      </w:r>
      <w:r w:rsidR="00B06802" w:rsidRPr="00FE2D31">
        <w:rPr>
          <w:bCs/>
          <w:sz w:val="28"/>
          <w:szCs w:val="28"/>
        </w:rPr>
        <w:t xml:space="preserve">substantiating </w:t>
      </w:r>
      <w:r w:rsidR="00AB18C1" w:rsidRPr="00FE2D31">
        <w:rPr>
          <w:bCs/>
          <w:sz w:val="28"/>
          <w:szCs w:val="28"/>
        </w:rPr>
        <w:t>the</w:t>
      </w:r>
      <w:r w:rsidR="00D77EEE" w:rsidRPr="00FE2D31">
        <w:rPr>
          <w:bCs/>
          <w:sz w:val="28"/>
          <w:szCs w:val="28"/>
        </w:rPr>
        <w:t>ir</w:t>
      </w:r>
      <w:r w:rsidR="00AB18C1" w:rsidRPr="00FE2D31">
        <w:rPr>
          <w:bCs/>
          <w:sz w:val="28"/>
          <w:szCs w:val="28"/>
        </w:rPr>
        <w:t xml:space="preserve"> versio</w:t>
      </w:r>
      <w:r w:rsidR="00271A63" w:rsidRPr="00FE2D31">
        <w:rPr>
          <w:bCs/>
          <w:sz w:val="28"/>
          <w:szCs w:val="28"/>
        </w:rPr>
        <w:t>n</w:t>
      </w:r>
      <w:r w:rsidR="00FD013F" w:rsidRPr="00FE2D31">
        <w:rPr>
          <w:bCs/>
          <w:sz w:val="28"/>
          <w:szCs w:val="28"/>
        </w:rPr>
        <w:t>,</w:t>
      </w:r>
      <w:r w:rsidR="00AB18C1" w:rsidRPr="00FE2D31">
        <w:rPr>
          <w:bCs/>
          <w:sz w:val="28"/>
          <w:szCs w:val="28"/>
        </w:rPr>
        <w:t xml:space="preserve"> </w:t>
      </w:r>
      <w:r w:rsidR="00FD013F" w:rsidRPr="00FE2D31">
        <w:rPr>
          <w:bCs/>
          <w:sz w:val="28"/>
          <w:szCs w:val="28"/>
        </w:rPr>
        <w:t xml:space="preserve">and yet </w:t>
      </w:r>
      <w:r w:rsidR="00271A63" w:rsidRPr="00FE2D31">
        <w:rPr>
          <w:bCs/>
          <w:sz w:val="28"/>
          <w:szCs w:val="28"/>
        </w:rPr>
        <w:t xml:space="preserve">they </w:t>
      </w:r>
      <w:r w:rsidR="00AB18C1" w:rsidRPr="00FE2D31">
        <w:rPr>
          <w:bCs/>
          <w:sz w:val="28"/>
          <w:szCs w:val="28"/>
        </w:rPr>
        <w:t>d</w:t>
      </w:r>
      <w:r w:rsidR="00246333" w:rsidRPr="00FE2D31">
        <w:rPr>
          <w:bCs/>
          <w:sz w:val="28"/>
          <w:szCs w:val="28"/>
        </w:rPr>
        <w:t>id</w:t>
      </w:r>
      <w:r w:rsidR="00AB18C1" w:rsidRPr="00FE2D31">
        <w:rPr>
          <w:bCs/>
          <w:sz w:val="28"/>
          <w:szCs w:val="28"/>
        </w:rPr>
        <w:t xml:space="preserve"> not point to a particular </w:t>
      </w:r>
      <w:r w:rsidR="00FD013F" w:rsidRPr="00FE2D31">
        <w:rPr>
          <w:bCs/>
          <w:sz w:val="28"/>
          <w:szCs w:val="28"/>
        </w:rPr>
        <w:t xml:space="preserve">document </w:t>
      </w:r>
      <w:r w:rsidR="00D77EEE" w:rsidRPr="00FE2D31">
        <w:rPr>
          <w:bCs/>
          <w:sz w:val="28"/>
          <w:szCs w:val="28"/>
        </w:rPr>
        <w:t>where th</w:t>
      </w:r>
      <w:r w:rsidR="00C23B73" w:rsidRPr="00FE2D31">
        <w:rPr>
          <w:bCs/>
          <w:sz w:val="28"/>
          <w:szCs w:val="28"/>
        </w:rPr>
        <w:t>e</w:t>
      </w:r>
      <w:r w:rsidR="00D77EEE" w:rsidRPr="00FE2D31">
        <w:rPr>
          <w:bCs/>
          <w:sz w:val="28"/>
          <w:szCs w:val="28"/>
        </w:rPr>
        <w:t xml:space="preserve"> </w:t>
      </w:r>
      <w:r w:rsidR="00C23B73" w:rsidRPr="00FE2D31">
        <w:rPr>
          <w:bCs/>
          <w:sz w:val="28"/>
          <w:szCs w:val="28"/>
        </w:rPr>
        <w:t xml:space="preserve">alleged </w:t>
      </w:r>
      <w:r w:rsidR="00D77EEE" w:rsidRPr="00FE2D31">
        <w:rPr>
          <w:bCs/>
          <w:sz w:val="28"/>
          <w:szCs w:val="28"/>
        </w:rPr>
        <w:t xml:space="preserve">advice </w:t>
      </w:r>
      <w:r w:rsidR="00246333" w:rsidRPr="00FE2D31">
        <w:rPr>
          <w:bCs/>
          <w:sz w:val="28"/>
          <w:szCs w:val="28"/>
        </w:rPr>
        <w:t xml:space="preserve">was </w:t>
      </w:r>
      <w:r w:rsidR="00D77EEE" w:rsidRPr="00FE2D31">
        <w:rPr>
          <w:bCs/>
          <w:sz w:val="28"/>
          <w:szCs w:val="28"/>
        </w:rPr>
        <w:t>contained</w:t>
      </w:r>
      <w:r w:rsidR="00C1160D" w:rsidRPr="00FE2D31">
        <w:rPr>
          <w:bCs/>
          <w:sz w:val="28"/>
          <w:szCs w:val="28"/>
        </w:rPr>
        <w:t xml:space="preserve"> in their answering affidavit</w:t>
      </w:r>
      <w:r w:rsidR="00AB18C1" w:rsidRPr="00FE2D31">
        <w:rPr>
          <w:bCs/>
          <w:sz w:val="28"/>
          <w:szCs w:val="28"/>
        </w:rPr>
        <w:t>.</w:t>
      </w:r>
    </w:p>
    <w:p w14:paraId="30D932CA" w14:textId="77777777" w:rsidR="00AF6E73" w:rsidRPr="00FE2D31" w:rsidRDefault="00AF6E73" w:rsidP="00AF6E73">
      <w:pPr>
        <w:tabs>
          <w:tab w:val="left" w:pos="0"/>
        </w:tabs>
        <w:rPr>
          <w:bCs/>
          <w:sz w:val="28"/>
          <w:szCs w:val="28"/>
        </w:rPr>
      </w:pPr>
    </w:p>
    <w:p w14:paraId="177E32AC" w14:textId="13E9DE82" w:rsidR="001C1150" w:rsidRPr="00FE2D31" w:rsidRDefault="00042474" w:rsidP="00042474">
      <w:pPr>
        <w:tabs>
          <w:tab w:val="left" w:pos="0"/>
        </w:tabs>
        <w:rPr>
          <w:bCs/>
          <w:sz w:val="28"/>
          <w:szCs w:val="28"/>
        </w:rPr>
      </w:pPr>
      <w:r w:rsidRPr="00FE2D31">
        <w:rPr>
          <w:sz w:val="28"/>
          <w:szCs w:val="28"/>
        </w:rPr>
        <w:t>[56]</w:t>
      </w:r>
      <w:r w:rsidRPr="00FE2D31">
        <w:rPr>
          <w:sz w:val="28"/>
          <w:szCs w:val="28"/>
        </w:rPr>
        <w:tab/>
      </w:r>
      <w:r w:rsidR="00C23B73" w:rsidRPr="00FE2D31">
        <w:rPr>
          <w:bCs/>
          <w:sz w:val="28"/>
          <w:szCs w:val="28"/>
        </w:rPr>
        <w:t xml:space="preserve">We were referred by counsel </w:t>
      </w:r>
      <w:r w:rsidR="001C1150" w:rsidRPr="00FE2D31">
        <w:rPr>
          <w:bCs/>
          <w:sz w:val="28"/>
          <w:szCs w:val="28"/>
        </w:rPr>
        <w:t xml:space="preserve">for the respondents </w:t>
      </w:r>
      <w:r w:rsidR="00A40C64" w:rsidRPr="00FE2D31">
        <w:rPr>
          <w:bCs/>
          <w:sz w:val="28"/>
          <w:szCs w:val="28"/>
        </w:rPr>
        <w:t xml:space="preserve">to the paragraphs </w:t>
      </w:r>
      <w:r w:rsidR="001C1150" w:rsidRPr="00FE2D31">
        <w:rPr>
          <w:bCs/>
          <w:sz w:val="28"/>
          <w:szCs w:val="28"/>
        </w:rPr>
        <w:t>of the answering affidavit</w:t>
      </w:r>
      <w:r w:rsidR="0041286C" w:rsidRPr="00FE2D31">
        <w:rPr>
          <w:bCs/>
          <w:sz w:val="28"/>
          <w:szCs w:val="28"/>
        </w:rPr>
        <w:t xml:space="preserve">, which deal with </w:t>
      </w:r>
      <w:r w:rsidR="008D65FE" w:rsidRPr="00FE2D31">
        <w:rPr>
          <w:bCs/>
          <w:sz w:val="28"/>
          <w:szCs w:val="28"/>
        </w:rPr>
        <w:t xml:space="preserve">the </w:t>
      </w:r>
      <w:r w:rsidR="0041286C" w:rsidRPr="00FE2D31">
        <w:rPr>
          <w:bCs/>
          <w:sz w:val="28"/>
          <w:szCs w:val="28"/>
        </w:rPr>
        <w:t xml:space="preserve">point </w:t>
      </w:r>
      <w:r w:rsidR="0041286C" w:rsidRPr="00FE2D31">
        <w:rPr>
          <w:bCs/>
          <w:i/>
          <w:sz w:val="28"/>
          <w:szCs w:val="28"/>
        </w:rPr>
        <w:t>in limine</w:t>
      </w:r>
      <w:r w:rsidR="0041286C" w:rsidRPr="00FE2D31">
        <w:rPr>
          <w:bCs/>
          <w:sz w:val="28"/>
          <w:szCs w:val="28"/>
        </w:rPr>
        <w:t xml:space="preserve"> of prematurity, </w:t>
      </w:r>
      <w:r w:rsidR="00D95ACB" w:rsidRPr="00FE2D31">
        <w:rPr>
          <w:bCs/>
          <w:sz w:val="28"/>
          <w:szCs w:val="28"/>
        </w:rPr>
        <w:t xml:space="preserve">in </w:t>
      </w:r>
      <w:r w:rsidR="001C1150" w:rsidRPr="00FE2D31">
        <w:rPr>
          <w:bCs/>
          <w:sz w:val="28"/>
          <w:szCs w:val="28"/>
        </w:rPr>
        <w:t>which the following</w:t>
      </w:r>
      <w:r w:rsidR="00776750" w:rsidRPr="00FE2D31">
        <w:rPr>
          <w:bCs/>
          <w:sz w:val="28"/>
          <w:szCs w:val="28"/>
        </w:rPr>
        <w:t xml:space="preserve"> is</w:t>
      </w:r>
      <w:r w:rsidR="00D95ACB" w:rsidRPr="00FE2D31">
        <w:rPr>
          <w:bCs/>
          <w:sz w:val="28"/>
          <w:szCs w:val="28"/>
        </w:rPr>
        <w:t xml:space="preserve"> stated</w:t>
      </w:r>
      <w:r w:rsidR="003B5462" w:rsidRPr="00FE2D31">
        <w:rPr>
          <w:bCs/>
          <w:sz w:val="28"/>
          <w:szCs w:val="28"/>
        </w:rPr>
        <w:t>:</w:t>
      </w:r>
    </w:p>
    <w:p w14:paraId="5F6AA84E" w14:textId="77777777" w:rsidR="002557CD" w:rsidRPr="00FE2D31" w:rsidRDefault="002557CD" w:rsidP="002557CD">
      <w:pPr>
        <w:pStyle w:val="ListParagraph"/>
        <w:ind w:hanging="720"/>
        <w:rPr>
          <w:bCs/>
        </w:rPr>
      </w:pPr>
      <w:r w:rsidRPr="00FE2D31">
        <w:rPr>
          <w:bCs/>
          <w:sz w:val="28"/>
          <w:szCs w:val="28"/>
        </w:rPr>
        <w:lastRenderedPageBreak/>
        <w:t>‘</w:t>
      </w:r>
      <w:r w:rsidRPr="00FE2D31">
        <w:rPr>
          <w:bCs/>
        </w:rPr>
        <w:t>16. . . . It is either the applicant’s case that:</w:t>
      </w:r>
    </w:p>
    <w:p w14:paraId="19C79E8A" w14:textId="77777777" w:rsidR="002557CD" w:rsidRPr="00FE2D31" w:rsidRDefault="002557CD" w:rsidP="002557CD">
      <w:pPr>
        <w:pStyle w:val="ListParagraph"/>
        <w:ind w:hanging="720"/>
        <w:rPr>
          <w:bCs/>
        </w:rPr>
      </w:pPr>
      <w:r w:rsidRPr="00FE2D31">
        <w:rPr>
          <w:bCs/>
        </w:rPr>
        <w:t xml:space="preserve">. . . </w:t>
      </w:r>
    </w:p>
    <w:p w14:paraId="1A19E4AF" w14:textId="0B07E1CB" w:rsidR="00D77EEE" w:rsidRPr="00FE2D31" w:rsidRDefault="002557CD" w:rsidP="00D77EEE">
      <w:pPr>
        <w:pStyle w:val="ListParagraph"/>
        <w:ind w:left="0"/>
        <w:rPr>
          <w:bCs/>
        </w:rPr>
      </w:pPr>
      <w:r w:rsidRPr="00FE2D31">
        <w:rPr>
          <w:bCs/>
        </w:rPr>
        <w:t>16.2</w:t>
      </w:r>
      <w:r w:rsidR="00D77EEE" w:rsidRPr="00FE2D31">
        <w:rPr>
          <w:bCs/>
        </w:rPr>
        <w:t xml:space="preserve"> </w:t>
      </w:r>
      <w:r w:rsidR="00E74417" w:rsidRPr="00FE2D31">
        <w:rPr>
          <w:bCs/>
        </w:rPr>
        <w:t xml:space="preserve">the notification of the </w:t>
      </w:r>
      <w:r w:rsidR="00E74417" w:rsidRPr="00FE2D31">
        <w:rPr>
          <w:bCs/>
          <w:i/>
        </w:rPr>
        <w:t>respondents’ intention</w:t>
      </w:r>
      <w:r w:rsidR="00E74417" w:rsidRPr="00FE2D31">
        <w:rPr>
          <w:bCs/>
        </w:rPr>
        <w:t xml:space="preserve"> to institute section 17(2)(b) proceedings for an application for leave to appeal to the Supreme Court of Appeal (by way of a so-called petition) is sufficient to overcome the jurisdictional challenge, </w:t>
      </w:r>
      <w:r w:rsidR="00E74417" w:rsidRPr="00FE2D31">
        <w:rPr>
          <w:bCs/>
          <w:i/>
        </w:rPr>
        <w:t>and the first respondent must be deemed to have initiated leave to appeal proceedings</w:t>
      </w:r>
      <w:r w:rsidR="00E74417" w:rsidRPr="00FE2D31">
        <w:rPr>
          <w:bCs/>
        </w:rPr>
        <w:t>, in which case the contempt of court proceedings</w:t>
      </w:r>
      <w:r w:rsidR="00D77EEE" w:rsidRPr="00FE2D31">
        <w:rPr>
          <w:bCs/>
        </w:rPr>
        <w:t xml:space="preserve"> must fail, because the order is thereby automatically suspended until otherwise determined by the court upon the granting of the relief sought in prayer 6 of the present application. </w:t>
      </w:r>
    </w:p>
    <w:p w14:paraId="6E66CB2A" w14:textId="3CCB242B" w:rsidR="001C1150" w:rsidRPr="00FE2D31" w:rsidRDefault="00D77EEE" w:rsidP="00D77EEE">
      <w:pPr>
        <w:pStyle w:val="ListParagraph"/>
        <w:ind w:left="0"/>
        <w:rPr>
          <w:bCs/>
        </w:rPr>
      </w:pPr>
      <w:r w:rsidRPr="00FE2D31">
        <w:rPr>
          <w:bCs/>
        </w:rPr>
        <w:t>17. I am advised that it will be argued that the better view is the one articulated in paragraph 16.2 above.</w:t>
      </w:r>
      <w:r w:rsidR="00427CF6" w:rsidRPr="00031157">
        <w:rPr>
          <w:bCs/>
        </w:rPr>
        <w:t>’</w:t>
      </w:r>
      <w:r w:rsidRPr="00031157">
        <w:rPr>
          <w:bCs/>
        </w:rPr>
        <w:t xml:space="preserve"> </w:t>
      </w:r>
      <w:r w:rsidR="00546D88" w:rsidRPr="00031157">
        <w:rPr>
          <w:bCs/>
        </w:rPr>
        <w:t>(My emphasis.)</w:t>
      </w:r>
    </w:p>
    <w:p w14:paraId="788CEFEF" w14:textId="77777777" w:rsidR="001C1150" w:rsidRPr="00FE2D31" w:rsidRDefault="001C1150" w:rsidP="001C1150">
      <w:pPr>
        <w:pStyle w:val="ListParagraph"/>
        <w:rPr>
          <w:bCs/>
          <w:sz w:val="28"/>
          <w:szCs w:val="28"/>
        </w:rPr>
      </w:pPr>
    </w:p>
    <w:p w14:paraId="51DD9065" w14:textId="5578BCA5" w:rsidR="0041286C" w:rsidRPr="00FE2D31" w:rsidRDefault="00042474" w:rsidP="00042474">
      <w:pPr>
        <w:tabs>
          <w:tab w:val="left" w:pos="0"/>
        </w:tabs>
        <w:rPr>
          <w:bCs/>
          <w:sz w:val="28"/>
          <w:szCs w:val="28"/>
        </w:rPr>
      </w:pPr>
      <w:r w:rsidRPr="00FE2D31">
        <w:rPr>
          <w:sz w:val="28"/>
          <w:szCs w:val="28"/>
        </w:rPr>
        <w:t>[57]</w:t>
      </w:r>
      <w:r w:rsidRPr="00FE2D31">
        <w:rPr>
          <w:sz w:val="28"/>
          <w:szCs w:val="28"/>
        </w:rPr>
        <w:tab/>
      </w:r>
      <w:r w:rsidR="00546D88" w:rsidRPr="00FE2D31">
        <w:rPr>
          <w:bCs/>
          <w:sz w:val="28"/>
          <w:szCs w:val="28"/>
        </w:rPr>
        <w:t>C</w:t>
      </w:r>
      <w:r w:rsidR="002576EA" w:rsidRPr="00FE2D31">
        <w:rPr>
          <w:bCs/>
          <w:sz w:val="28"/>
          <w:szCs w:val="28"/>
        </w:rPr>
        <w:t>ounsel</w:t>
      </w:r>
      <w:r w:rsidR="00546D88" w:rsidRPr="00FE2D31">
        <w:rPr>
          <w:bCs/>
          <w:sz w:val="28"/>
          <w:szCs w:val="28"/>
        </w:rPr>
        <w:t xml:space="preserve"> </w:t>
      </w:r>
      <w:r w:rsidR="00246333" w:rsidRPr="00FE2D31">
        <w:rPr>
          <w:bCs/>
          <w:sz w:val="28"/>
          <w:szCs w:val="28"/>
        </w:rPr>
        <w:t xml:space="preserve">further </w:t>
      </w:r>
      <w:r w:rsidR="00546D88" w:rsidRPr="00FE2D31">
        <w:rPr>
          <w:bCs/>
          <w:sz w:val="28"/>
          <w:szCs w:val="28"/>
        </w:rPr>
        <w:t xml:space="preserve">directed </w:t>
      </w:r>
      <w:r w:rsidR="003B5462" w:rsidRPr="00FE2D31">
        <w:rPr>
          <w:bCs/>
          <w:sz w:val="28"/>
          <w:szCs w:val="28"/>
        </w:rPr>
        <w:t xml:space="preserve">us </w:t>
      </w:r>
      <w:r w:rsidR="00546D88" w:rsidRPr="00FE2D31">
        <w:rPr>
          <w:bCs/>
          <w:sz w:val="28"/>
          <w:szCs w:val="28"/>
        </w:rPr>
        <w:t>to</w:t>
      </w:r>
      <w:r w:rsidR="002576EA" w:rsidRPr="00FE2D31">
        <w:rPr>
          <w:bCs/>
          <w:sz w:val="28"/>
          <w:szCs w:val="28"/>
        </w:rPr>
        <w:t xml:space="preserve"> </w:t>
      </w:r>
      <w:r w:rsidR="00246333" w:rsidRPr="00FE2D31">
        <w:rPr>
          <w:bCs/>
          <w:sz w:val="28"/>
          <w:szCs w:val="28"/>
        </w:rPr>
        <w:t>a</w:t>
      </w:r>
      <w:r w:rsidR="002576EA" w:rsidRPr="00FE2D31">
        <w:rPr>
          <w:bCs/>
          <w:sz w:val="28"/>
          <w:szCs w:val="28"/>
        </w:rPr>
        <w:t xml:space="preserve"> letter dated 11 September 2019</w:t>
      </w:r>
      <w:r w:rsidR="00246333" w:rsidRPr="00FE2D31">
        <w:rPr>
          <w:bCs/>
          <w:sz w:val="28"/>
          <w:szCs w:val="28"/>
        </w:rPr>
        <w:t>,</w:t>
      </w:r>
      <w:r w:rsidR="002576EA" w:rsidRPr="00FE2D31">
        <w:rPr>
          <w:bCs/>
          <w:sz w:val="28"/>
          <w:szCs w:val="28"/>
        </w:rPr>
        <w:t xml:space="preserve"> sent by </w:t>
      </w:r>
      <w:r w:rsidR="0041286C" w:rsidRPr="00FE2D31">
        <w:rPr>
          <w:bCs/>
          <w:sz w:val="28"/>
          <w:szCs w:val="28"/>
        </w:rPr>
        <w:t xml:space="preserve">Bila’s </w:t>
      </w:r>
      <w:r w:rsidR="002576EA" w:rsidRPr="00FE2D31">
        <w:rPr>
          <w:bCs/>
          <w:sz w:val="28"/>
          <w:szCs w:val="28"/>
        </w:rPr>
        <w:t>attorneys of record to Samancor’s attorneys</w:t>
      </w:r>
      <w:r w:rsidR="0041286C" w:rsidRPr="00FE2D31">
        <w:rPr>
          <w:bCs/>
          <w:sz w:val="28"/>
          <w:szCs w:val="28"/>
        </w:rPr>
        <w:t>. This</w:t>
      </w:r>
      <w:r w:rsidR="002576EA" w:rsidRPr="00FE2D31">
        <w:rPr>
          <w:bCs/>
          <w:sz w:val="28"/>
          <w:szCs w:val="28"/>
        </w:rPr>
        <w:t xml:space="preserve"> </w:t>
      </w:r>
      <w:r w:rsidR="00FB075C" w:rsidRPr="00FE2D31">
        <w:rPr>
          <w:bCs/>
          <w:sz w:val="28"/>
          <w:szCs w:val="28"/>
        </w:rPr>
        <w:t xml:space="preserve">letter </w:t>
      </w:r>
      <w:r w:rsidR="002576EA" w:rsidRPr="00FE2D31">
        <w:rPr>
          <w:bCs/>
          <w:sz w:val="28"/>
          <w:szCs w:val="28"/>
        </w:rPr>
        <w:t xml:space="preserve">records that </w:t>
      </w:r>
      <w:r w:rsidR="003B5462" w:rsidRPr="00FE2D31">
        <w:rPr>
          <w:bCs/>
          <w:sz w:val="28"/>
          <w:szCs w:val="28"/>
        </w:rPr>
        <w:t>Samancor’</w:t>
      </w:r>
      <w:r w:rsidR="00625547" w:rsidRPr="00FE2D31">
        <w:rPr>
          <w:bCs/>
          <w:sz w:val="28"/>
          <w:szCs w:val="28"/>
        </w:rPr>
        <w:t xml:space="preserve">s </w:t>
      </w:r>
      <w:r w:rsidR="002576EA" w:rsidRPr="00FE2D31">
        <w:rPr>
          <w:bCs/>
          <w:sz w:val="28"/>
          <w:szCs w:val="28"/>
        </w:rPr>
        <w:t>application for contempt of court</w:t>
      </w:r>
      <w:r w:rsidR="00C2266B" w:rsidRPr="00FE2D31">
        <w:rPr>
          <w:bCs/>
          <w:sz w:val="28"/>
          <w:szCs w:val="28"/>
        </w:rPr>
        <w:t xml:space="preserve"> was premature because the deadline to petition this Court </w:t>
      </w:r>
      <w:r w:rsidR="00625547" w:rsidRPr="00FE2D31">
        <w:rPr>
          <w:bCs/>
          <w:sz w:val="28"/>
          <w:szCs w:val="28"/>
        </w:rPr>
        <w:t xml:space="preserve">for leave to appeal </w:t>
      </w:r>
      <w:r w:rsidR="00C2266B" w:rsidRPr="00FE2D31">
        <w:rPr>
          <w:bCs/>
          <w:sz w:val="28"/>
          <w:szCs w:val="28"/>
        </w:rPr>
        <w:t>was 29 September 2019</w:t>
      </w:r>
      <w:r w:rsidR="00FB075C" w:rsidRPr="00FE2D31">
        <w:rPr>
          <w:bCs/>
          <w:sz w:val="28"/>
          <w:szCs w:val="28"/>
        </w:rPr>
        <w:t>.</w:t>
      </w:r>
      <w:r w:rsidR="00546D88" w:rsidRPr="00FE2D31">
        <w:rPr>
          <w:bCs/>
          <w:sz w:val="28"/>
          <w:szCs w:val="28"/>
        </w:rPr>
        <w:t xml:space="preserve"> This</w:t>
      </w:r>
      <w:r w:rsidR="007A4440" w:rsidRPr="00FE2D31">
        <w:rPr>
          <w:bCs/>
          <w:sz w:val="28"/>
          <w:szCs w:val="28"/>
        </w:rPr>
        <w:t>, the respondents asserted,</w:t>
      </w:r>
      <w:r w:rsidR="00546D88" w:rsidRPr="00FE2D31">
        <w:rPr>
          <w:bCs/>
          <w:sz w:val="28"/>
          <w:szCs w:val="28"/>
        </w:rPr>
        <w:t xml:space="preserve"> was further exacerbated by </w:t>
      </w:r>
      <w:r w:rsidR="00C2266B" w:rsidRPr="00FE2D31">
        <w:rPr>
          <w:bCs/>
          <w:sz w:val="28"/>
          <w:szCs w:val="28"/>
        </w:rPr>
        <w:t>Samancor</w:t>
      </w:r>
      <w:r w:rsidR="00546D88" w:rsidRPr="00FE2D31">
        <w:rPr>
          <w:bCs/>
          <w:sz w:val="28"/>
          <w:szCs w:val="28"/>
        </w:rPr>
        <w:t xml:space="preserve">’s failure to </w:t>
      </w:r>
      <w:r w:rsidR="00C2266B" w:rsidRPr="00FE2D31">
        <w:rPr>
          <w:bCs/>
          <w:sz w:val="28"/>
          <w:szCs w:val="28"/>
        </w:rPr>
        <w:t xml:space="preserve">obtain an order in terms of s 18(1) of the Superior Courts Act. </w:t>
      </w:r>
    </w:p>
    <w:p w14:paraId="3BF9542C" w14:textId="77777777" w:rsidR="0041286C" w:rsidRPr="00FE2D31" w:rsidRDefault="0041286C" w:rsidP="0041286C">
      <w:pPr>
        <w:tabs>
          <w:tab w:val="left" w:pos="0"/>
        </w:tabs>
        <w:rPr>
          <w:bCs/>
          <w:sz w:val="28"/>
          <w:szCs w:val="28"/>
        </w:rPr>
      </w:pPr>
    </w:p>
    <w:p w14:paraId="671F01E3" w14:textId="502C7B08" w:rsidR="0041286C" w:rsidRPr="00FE2D31" w:rsidRDefault="00042474" w:rsidP="00042474">
      <w:pPr>
        <w:tabs>
          <w:tab w:val="left" w:pos="0"/>
        </w:tabs>
        <w:rPr>
          <w:bCs/>
          <w:sz w:val="28"/>
          <w:szCs w:val="28"/>
        </w:rPr>
      </w:pPr>
      <w:r w:rsidRPr="00FE2D31">
        <w:rPr>
          <w:sz w:val="28"/>
          <w:szCs w:val="28"/>
        </w:rPr>
        <w:t>[58]</w:t>
      </w:r>
      <w:r w:rsidRPr="00FE2D31">
        <w:rPr>
          <w:sz w:val="28"/>
          <w:szCs w:val="28"/>
        </w:rPr>
        <w:tab/>
      </w:r>
      <w:r w:rsidR="00FB075C" w:rsidRPr="00FE2D31">
        <w:rPr>
          <w:bCs/>
          <w:sz w:val="28"/>
          <w:szCs w:val="28"/>
        </w:rPr>
        <w:t xml:space="preserve">The </w:t>
      </w:r>
      <w:r w:rsidR="00B105E9" w:rsidRPr="00FE2D31">
        <w:rPr>
          <w:bCs/>
          <w:sz w:val="28"/>
          <w:szCs w:val="28"/>
        </w:rPr>
        <w:t xml:space="preserve">intimation </w:t>
      </w:r>
      <w:r w:rsidR="00FB075C" w:rsidRPr="00FE2D31">
        <w:rPr>
          <w:bCs/>
          <w:sz w:val="28"/>
          <w:szCs w:val="28"/>
        </w:rPr>
        <w:t xml:space="preserve">in the letter is that </w:t>
      </w:r>
      <w:r w:rsidR="008F23BB" w:rsidRPr="00FE2D31">
        <w:rPr>
          <w:bCs/>
          <w:sz w:val="28"/>
          <w:szCs w:val="28"/>
        </w:rPr>
        <w:t xml:space="preserve">Neukircher J’s order was suspended until 29 September 2019, which was the </w:t>
      </w:r>
      <w:r w:rsidR="006E717D" w:rsidRPr="00FE2D31">
        <w:rPr>
          <w:bCs/>
          <w:sz w:val="28"/>
          <w:szCs w:val="28"/>
        </w:rPr>
        <w:t xml:space="preserve">final </w:t>
      </w:r>
      <w:r w:rsidR="008F23BB" w:rsidRPr="00FE2D31">
        <w:rPr>
          <w:bCs/>
          <w:sz w:val="28"/>
          <w:szCs w:val="28"/>
        </w:rPr>
        <w:t xml:space="preserve">date </w:t>
      </w:r>
      <w:r w:rsidR="001E442E" w:rsidRPr="00FE2D31">
        <w:rPr>
          <w:bCs/>
          <w:sz w:val="28"/>
          <w:szCs w:val="28"/>
        </w:rPr>
        <w:t xml:space="preserve">of the period within </w:t>
      </w:r>
      <w:r w:rsidR="008F23BB" w:rsidRPr="00FE2D31">
        <w:rPr>
          <w:bCs/>
          <w:sz w:val="28"/>
          <w:szCs w:val="28"/>
        </w:rPr>
        <w:t xml:space="preserve">which </w:t>
      </w:r>
      <w:r w:rsidR="000151FC" w:rsidRPr="00FE2D31">
        <w:rPr>
          <w:bCs/>
          <w:sz w:val="28"/>
          <w:szCs w:val="28"/>
        </w:rPr>
        <w:t xml:space="preserve">an </w:t>
      </w:r>
      <w:r w:rsidR="008F23BB" w:rsidRPr="00FE2D31">
        <w:rPr>
          <w:bCs/>
          <w:sz w:val="28"/>
          <w:szCs w:val="28"/>
        </w:rPr>
        <w:t xml:space="preserve">application for leave to appeal to this Court </w:t>
      </w:r>
      <w:r w:rsidR="000151FC" w:rsidRPr="00FE2D31">
        <w:rPr>
          <w:bCs/>
          <w:sz w:val="28"/>
          <w:szCs w:val="28"/>
        </w:rPr>
        <w:t>could still be made</w:t>
      </w:r>
      <w:r w:rsidR="001E442E" w:rsidRPr="00FE2D31">
        <w:rPr>
          <w:bCs/>
          <w:sz w:val="28"/>
          <w:szCs w:val="28"/>
        </w:rPr>
        <w:t>.</w:t>
      </w:r>
      <w:r w:rsidR="0041286C" w:rsidRPr="00FE2D31">
        <w:rPr>
          <w:bCs/>
          <w:sz w:val="28"/>
          <w:szCs w:val="28"/>
        </w:rPr>
        <w:t xml:space="preserve"> </w:t>
      </w:r>
      <w:r w:rsidR="001E442E" w:rsidRPr="00FE2D31">
        <w:rPr>
          <w:bCs/>
          <w:sz w:val="28"/>
          <w:szCs w:val="28"/>
        </w:rPr>
        <w:t xml:space="preserve">However, this </w:t>
      </w:r>
      <w:r w:rsidR="00C2266B" w:rsidRPr="00FE2D31">
        <w:rPr>
          <w:bCs/>
          <w:sz w:val="28"/>
          <w:szCs w:val="28"/>
        </w:rPr>
        <w:t>letter</w:t>
      </w:r>
      <w:r w:rsidR="00C1160D" w:rsidRPr="00FE2D31">
        <w:rPr>
          <w:bCs/>
          <w:sz w:val="28"/>
          <w:szCs w:val="28"/>
        </w:rPr>
        <w:t xml:space="preserve"> is not </w:t>
      </w:r>
      <w:r w:rsidR="009509E3" w:rsidRPr="00FE2D31">
        <w:rPr>
          <w:bCs/>
          <w:sz w:val="28"/>
          <w:szCs w:val="28"/>
        </w:rPr>
        <w:t xml:space="preserve">by any stretch of the imagination </w:t>
      </w:r>
      <w:r w:rsidR="00C1160D" w:rsidRPr="00FE2D31">
        <w:rPr>
          <w:bCs/>
          <w:sz w:val="28"/>
          <w:szCs w:val="28"/>
        </w:rPr>
        <w:t>legal</w:t>
      </w:r>
      <w:r w:rsidR="00C2266B" w:rsidRPr="00FE2D31">
        <w:rPr>
          <w:bCs/>
          <w:sz w:val="28"/>
          <w:szCs w:val="28"/>
        </w:rPr>
        <w:t xml:space="preserve"> advice to the respondents </w:t>
      </w:r>
      <w:r w:rsidR="009509E3" w:rsidRPr="00FE2D31">
        <w:rPr>
          <w:bCs/>
          <w:sz w:val="28"/>
          <w:szCs w:val="28"/>
        </w:rPr>
        <w:t xml:space="preserve">as it </w:t>
      </w:r>
      <w:r w:rsidR="00CD043E" w:rsidRPr="00FE2D31">
        <w:rPr>
          <w:bCs/>
          <w:sz w:val="28"/>
          <w:szCs w:val="28"/>
        </w:rPr>
        <w:t>was addressed</w:t>
      </w:r>
      <w:r w:rsidR="00C2266B" w:rsidRPr="00FE2D31">
        <w:rPr>
          <w:bCs/>
          <w:sz w:val="28"/>
          <w:szCs w:val="28"/>
        </w:rPr>
        <w:t xml:space="preserve"> to </w:t>
      </w:r>
      <w:r w:rsidR="00B61A5C" w:rsidRPr="00FE2D31">
        <w:rPr>
          <w:bCs/>
          <w:sz w:val="28"/>
          <w:szCs w:val="28"/>
        </w:rPr>
        <w:t>Samancor’s attorneys</w:t>
      </w:r>
      <w:r w:rsidR="00C1160D" w:rsidRPr="00FE2D31">
        <w:rPr>
          <w:bCs/>
          <w:sz w:val="28"/>
          <w:szCs w:val="28"/>
        </w:rPr>
        <w:t xml:space="preserve">. </w:t>
      </w:r>
    </w:p>
    <w:p w14:paraId="2B983C81" w14:textId="77777777" w:rsidR="0041286C" w:rsidRPr="00FE2D31" w:rsidRDefault="0041286C" w:rsidP="00DC0CF6">
      <w:pPr>
        <w:rPr>
          <w:bCs/>
          <w:sz w:val="28"/>
          <w:szCs w:val="28"/>
        </w:rPr>
      </w:pPr>
    </w:p>
    <w:p w14:paraId="7CF3D6C9" w14:textId="4F3F7306" w:rsidR="00FB075C" w:rsidRPr="00FE2D31" w:rsidRDefault="00042474" w:rsidP="00042474">
      <w:pPr>
        <w:tabs>
          <w:tab w:val="left" w:pos="0"/>
        </w:tabs>
        <w:rPr>
          <w:bCs/>
          <w:sz w:val="28"/>
          <w:szCs w:val="28"/>
        </w:rPr>
      </w:pPr>
      <w:r w:rsidRPr="00FE2D31">
        <w:rPr>
          <w:sz w:val="28"/>
          <w:szCs w:val="28"/>
        </w:rPr>
        <w:t>[59]</w:t>
      </w:r>
      <w:r w:rsidRPr="00FE2D31">
        <w:rPr>
          <w:sz w:val="28"/>
          <w:szCs w:val="28"/>
        </w:rPr>
        <w:tab/>
      </w:r>
      <w:r w:rsidR="00C1160D" w:rsidRPr="00FE2D31">
        <w:rPr>
          <w:bCs/>
          <w:sz w:val="28"/>
          <w:szCs w:val="28"/>
        </w:rPr>
        <w:t xml:space="preserve">Even if </w:t>
      </w:r>
      <w:r w:rsidR="00B105E9" w:rsidRPr="00FE2D31">
        <w:rPr>
          <w:bCs/>
          <w:sz w:val="28"/>
          <w:szCs w:val="28"/>
        </w:rPr>
        <w:t xml:space="preserve">I </w:t>
      </w:r>
      <w:r w:rsidR="00C1160D" w:rsidRPr="00FE2D31">
        <w:rPr>
          <w:bCs/>
          <w:sz w:val="28"/>
          <w:szCs w:val="28"/>
        </w:rPr>
        <w:t xml:space="preserve">were </w:t>
      </w:r>
      <w:r w:rsidR="0041286C" w:rsidRPr="00FE2D31">
        <w:rPr>
          <w:bCs/>
          <w:sz w:val="28"/>
          <w:szCs w:val="28"/>
        </w:rPr>
        <w:t xml:space="preserve">to </w:t>
      </w:r>
      <w:r w:rsidR="00C1160D" w:rsidRPr="00FE2D31">
        <w:rPr>
          <w:bCs/>
          <w:sz w:val="28"/>
          <w:szCs w:val="28"/>
        </w:rPr>
        <w:t>assume on behalf of the respondents</w:t>
      </w:r>
      <w:r w:rsidR="00B105E9" w:rsidRPr="00FE2D31">
        <w:rPr>
          <w:bCs/>
          <w:sz w:val="28"/>
          <w:szCs w:val="28"/>
        </w:rPr>
        <w:t xml:space="preserve"> (</w:t>
      </w:r>
      <w:r w:rsidR="009844B8" w:rsidRPr="00FE2D31">
        <w:rPr>
          <w:bCs/>
          <w:sz w:val="28"/>
          <w:szCs w:val="28"/>
        </w:rPr>
        <w:t xml:space="preserve">and not </w:t>
      </w:r>
      <w:r w:rsidR="00B105E9" w:rsidRPr="00FE2D31">
        <w:rPr>
          <w:bCs/>
          <w:sz w:val="28"/>
          <w:szCs w:val="28"/>
        </w:rPr>
        <w:t xml:space="preserve">be </w:t>
      </w:r>
      <w:r w:rsidR="009844B8" w:rsidRPr="00FE2D31">
        <w:rPr>
          <w:bCs/>
          <w:sz w:val="28"/>
          <w:szCs w:val="28"/>
        </w:rPr>
        <w:t xml:space="preserve">seen to be </w:t>
      </w:r>
      <w:r w:rsidR="00CD043E" w:rsidRPr="00FE2D31">
        <w:rPr>
          <w:bCs/>
          <w:sz w:val="28"/>
          <w:szCs w:val="28"/>
        </w:rPr>
        <w:t>pedantically</w:t>
      </w:r>
      <w:r w:rsidR="006340A1" w:rsidRPr="00FE2D31">
        <w:rPr>
          <w:bCs/>
          <w:sz w:val="28"/>
          <w:szCs w:val="28"/>
        </w:rPr>
        <w:t xml:space="preserve"> </w:t>
      </w:r>
      <w:r w:rsidR="00B105E9" w:rsidRPr="00FE2D31">
        <w:rPr>
          <w:bCs/>
          <w:sz w:val="28"/>
          <w:szCs w:val="28"/>
        </w:rPr>
        <w:t>putting form over substance)</w:t>
      </w:r>
      <w:r w:rsidR="00C1160D" w:rsidRPr="00FE2D31">
        <w:rPr>
          <w:bCs/>
          <w:sz w:val="28"/>
          <w:szCs w:val="28"/>
        </w:rPr>
        <w:t xml:space="preserve"> that the </w:t>
      </w:r>
      <w:r w:rsidR="00C2266B" w:rsidRPr="00FE2D31">
        <w:rPr>
          <w:bCs/>
          <w:sz w:val="28"/>
          <w:szCs w:val="28"/>
        </w:rPr>
        <w:t>content</w:t>
      </w:r>
      <w:r w:rsidR="00C1160D" w:rsidRPr="00FE2D31">
        <w:rPr>
          <w:bCs/>
          <w:sz w:val="28"/>
          <w:szCs w:val="28"/>
        </w:rPr>
        <w:t xml:space="preserve"> of the letter </w:t>
      </w:r>
      <w:r w:rsidR="00C1160D" w:rsidRPr="00FE2D31">
        <w:rPr>
          <w:bCs/>
          <w:sz w:val="28"/>
          <w:szCs w:val="28"/>
        </w:rPr>
        <w:lastRenderedPageBreak/>
        <w:t>amounts to legal advice, the nature of it</w:t>
      </w:r>
      <w:r w:rsidR="00C2266B" w:rsidRPr="00FE2D31">
        <w:rPr>
          <w:bCs/>
          <w:sz w:val="28"/>
          <w:szCs w:val="28"/>
        </w:rPr>
        <w:t xml:space="preserve"> does not assist the respondents.</w:t>
      </w:r>
      <w:r w:rsidR="00B61A5C" w:rsidRPr="00FE2D31">
        <w:rPr>
          <w:bCs/>
          <w:sz w:val="28"/>
          <w:szCs w:val="28"/>
        </w:rPr>
        <w:t xml:space="preserve"> Section 18</w:t>
      </w:r>
      <w:r w:rsidR="0041286C" w:rsidRPr="00FE2D31">
        <w:rPr>
          <w:bCs/>
          <w:sz w:val="28"/>
          <w:szCs w:val="28"/>
        </w:rPr>
        <w:t>(5) of the Superior Courts Act</w:t>
      </w:r>
      <w:r w:rsidR="00B61A5C" w:rsidRPr="00FE2D31">
        <w:rPr>
          <w:bCs/>
          <w:sz w:val="28"/>
          <w:szCs w:val="28"/>
        </w:rPr>
        <w:t xml:space="preserve"> is</w:t>
      </w:r>
      <w:r w:rsidR="0041286C" w:rsidRPr="00FE2D31">
        <w:rPr>
          <w:bCs/>
          <w:sz w:val="28"/>
          <w:szCs w:val="28"/>
        </w:rPr>
        <w:t xml:space="preserve"> clear and</w:t>
      </w:r>
      <w:r w:rsidR="00B61A5C" w:rsidRPr="00FE2D31">
        <w:rPr>
          <w:bCs/>
          <w:sz w:val="28"/>
          <w:szCs w:val="28"/>
        </w:rPr>
        <w:t xml:space="preserve"> categoric</w:t>
      </w:r>
      <w:r w:rsidR="000C6151" w:rsidRPr="00FE2D31">
        <w:rPr>
          <w:bCs/>
          <w:sz w:val="28"/>
          <w:szCs w:val="28"/>
        </w:rPr>
        <w:t>al</w:t>
      </w:r>
      <w:r w:rsidR="00B61A5C" w:rsidRPr="00FE2D31">
        <w:rPr>
          <w:bCs/>
          <w:sz w:val="28"/>
          <w:szCs w:val="28"/>
        </w:rPr>
        <w:t xml:space="preserve"> that</w:t>
      </w:r>
      <w:r w:rsidR="00FB075C" w:rsidRPr="00FE2D31">
        <w:rPr>
          <w:bCs/>
          <w:sz w:val="28"/>
          <w:szCs w:val="28"/>
        </w:rPr>
        <w:t>:</w:t>
      </w:r>
    </w:p>
    <w:p w14:paraId="18E8A5A9" w14:textId="763F3BD5" w:rsidR="00FB075C" w:rsidRPr="00FE2D31" w:rsidRDefault="00B61A5C" w:rsidP="00FB075C">
      <w:pPr>
        <w:tabs>
          <w:tab w:val="left" w:pos="0"/>
        </w:tabs>
        <w:rPr>
          <w:bCs/>
        </w:rPr>
      </w:pPr>
      <w:r w:rsidRPr="00FE2D31">
        <w:rPr>
          <w:bCs/>
        </w:rPr>
        <w:t>‘</w:t>
      </w:r>
      <w:r w:rsidR="000C6151" w:rsidRPr="00FE2D31">
        <w:rPr>
          <w:bCs/>
        </w:rPr>
        <w:t>[</w:t>
      </w:r>
      <w:r w:rsidRPr="00FE2D31">
        <w:rPr>
          <w:bCs/>
        </w:rPr>
        <w:t>f</w:t>
      </w:r>
      <w:r w:rsidR="000C6151" w:rsidRPr="00FE2D31">
        <w:rPr>
          <w:bCs/>
        </w:rPr>
        <w:t>]</w:t>
      </w:r>
      <w:r w:rsidRPr="00FE2D31">
        <w:rPr>
          <w:bCs/>
        </w:rPr>
        <w:t xml:space="preserve">or the purposes of subsections (1) and (2), a decision becomes the subject of an application for leave to appeal </w:t>
      </w:r>
      <w:r w:rsidR="000C6151" w:rsidRPr="00FE2D31">
        <w:rPr>
          <w:bCs/>
        </w:rPr>
        <w:t xml:space="preserve">or of </w:t>
      </w:r>
      <w:r w:rsidRPr="00FE2D31">
        <w:rPr>
          <w:bCs/>
        </w:rPr>
        <w:t xml:space="preserve">an appeal, as soon as an application for leave to appeal or notice of appeal </w:t>
      </w:r>
      <w:r w:rsidRPr="00FE2D31">
        <w:rPr>
          <w:bCs/>
          <w:i/>
        </w:rPr>
        <w:t xml:space="preserve">is lodged </w:t>
      </w:r>
      <w:r w:rsidRPr="00FE2D31">
        <w:rPr>
          <w:bCs/>
        </w:rPr>
        <w:t>with the registrar in terms of the rules</w:t>
      </w:r>
      <w:r w:rsidR="00031157" w:rsidRPr="00FE2D31">
        <w:rPr>
          <w:bCs/>
        </w:rPr>
        <w:t>’. (</w:t>
      </w:r>
      <w:r w:rsidR="000C6151" w:rsidRPr="00FE2D31">
        <w:rPr>
          <w:bCs/>
        </w:rPr>
        <w:t>M</w:t>
      </w:r>
      <w:r w:rsidR="00FB075C" w:rsidRPr="00FE2D31">
        <w:rPr>
          <w:bCs/>
        </w:rPr>
        <w:t>y</w:t>
      </w:r>
      <w:r w:rsidR="000C6151" w:rsidRPr="00FE2D31">
        <w:rPr>
          <w:bCs/>
        </w:rPr>
        <w:t xml:space="preserve"> emphasis.)</w:t>
      </w:r>
      <w:r w:rsidR="0041286C" w:rsidRPr="00FE2D31">
        <w:rPr>
          <w:bCs/>
          <w:sz w:val="28"/>
          <w:szCs w:val="28"/>
        </w:rPr>
        <w:t xml:space="preserve"> </w:t>
      </w:r>
    </w:p>
    <w:p w14:paraId="0A55EEF1" w14:textId="7E826BA3" w:rsidR="0041286C" w:rsidRPr="00FE2D31" w:rsidRDefault="00FB075C" w:rsidP="00FB075C">
      <w:pPr>
        <w:tabs>
          <w:tab w:val="left" w:pos="0"/>
        </w:tabs>
        <w:rPr>
          <w:bCs/>
          <w:sz w:val="28"/>
          <w:szCs w:val="28"/>
        </w:rPr>
      </w:pPr>
      <w:r w:rsidRPr="00FE2D31">
        <w:rPr>
          <w:bCs/>
          <w:sz w:val="28"/>
          <w:szCs w:val="28"/>
        </w:rPr>
        <w:t>I</w:t>
      </w:r>
      <w:r w:rsidR="0041286C" w:rsidRPr="00FE2D31">
        <w:rPr>
          <w:bCs/>
          <w:sz w:val="28"/>
          <w:szCs w:val="28"/>
        </w:rPr>
        <w:t xml:space="preserve">t is not clear whether the advice was based on the full statement of facts as suggested in </w:t>
      </w:r>
      <w:r w:rsidR="0041286C" w:rsidRPr="00FE2D31">
        <w:rPr>
          <w:bCs/>
          <w:i/>
          <w:sz w:val="28"/>
          <w:szCs w:val="28"/>
        </w:rPr>
        <w:t>Abrahams</w:t>
      </w:r>
      <w:r w:rsidR="003609EE" w:rsidRPr="00FE2D31">
        <w:rPr>
          <w:bCs/>
          <w:sz w:val="28"/>
          <w:szCs w:val="28"/>
        </w:rPr>
        <w:t xml:space="preserve"> as the </w:t>
      </w:r>
      <w:r w:rsidR="0041286C" w:rsidRPr="00FE2D31">
        <w:rPr>
          <w:bCs/>
          <w:sz w:val="28"/>
          <w:szCs w:val="28"/>
        </w:rPr>
        <w:t xml:space="preserve">answering affidavit is </w:t>
      </w:r>
      <w:r w:rsidR="00C02FD9" w:rsidRPr="00FE2D31">
        <w:rPr>
          <w:bCs/>
          <w:sz w:val="28"/>
          <w:szCs w:val="28"/>
        </w:rPr>
        <w:t>bereft of details</w:t>
      </w:r>
      <w:r w:rsidR="0041286C" w:rsidRPr="00FE2D31">
        <w:rPr>
          <w:bCs/>
          <w:sz w:val="28"/>
          <w:szCs w:val="28"/>
        </w:rPr>
        <w:t>.</w:t>
      </w:r>
    </w:p>
    <w:p w14:paraId="1DBC515E" w14:textId="77777777" w:rsidR="0041286C" w:rsidRPr="00FE2D31" w:rsidRDefault="0041286C" w:rsidP="0041286C">
      <w:pPr>
        <w:pStyle w:val="ListParagraph"/>
        <w:rPr>
          <w:bCs/>
          <w:sz w:val="28"/>
          <w:szCs w:val="28"/>
        </w:rPr>
      </w:pPr>
    </w:p>
    <w:p w14:paraId="4E719C56" w14:textId="009E2D60" w:rsidR="000C3120" w:rsidRPr="00FE2D31" w:rsidRDefault="00042474" w:rsidP="00042474">
      <w:pPr>
        <w:tabs>
          <w:tab w:val="left" w:pos="0"/>
        </w:tabs>
        <w:rPr>
          <w:bCs/>
          <w:sz w:val="28"/>
          <w:szCs w:val="28"/>
        </w:rPr>
      </w:pPr>
      <w:r w:rsidRPr="00FE2D31">
        <w:rPr>
          <w:sz w:val="28"/>
          <w:szCs w:val="28"/>
        </w:rPr>
        <w:t>[60]</w:t>
      </w:r>
      <w:r w:rsidRPr="00FE2D31">
        <w:rPr>
          <w:sz w:val="28"/>
          <w:szCs w:val="28"/>
        </w:rPr>
        <w:tab/>
      </w:r>
      <w:r w:rsidR="00FB075C" w:rsidRPr="00FE2D31">
        <w:rPr>
          <w:bCs/>
          <w:sz w:val="28"/>
          <w:szCs w:val="28"/>
        </w:rPr>
        <w:t>Be that as it may, f</w:t>
      </w:r>
      <w:r w:rsidR="00B61A5C" w:rsidRPr="00FE2D31">
        <w:rPr>
          <w:bCs/>
          <w:sz w:val="28"/>
          <w:szCs w:val="28"/>
        </w:rPr>
        <w:t xml:space="preserve">or the respondents to labour under the impression that only the intention of </w:t>
      </w:r>
      <w:r w:rsidR="00D73892" w:rsidRPr="00FE2D31">
        <w:rPr>
          <w:bCs/>
          <w:sz w:val="28"/>
          <w:szCs w:val="28"/>
        </w:rPr>
        <w:t xml:space="preserve">a </w:t>
      </w:r>
      <w:r w:rsidR="00B61A5C" w:rsidRPr="00FE2D31">
        <w:rPr>
          <w:bCs/>
          <w:sz w:val="28"/>
          <w:szCs w:val="28"/>
        </w:rPr>
        <w:t>party,</w:t>
      </w:r>
      <w:r w:rsidR="00D73892" w:rsidRPr="00FE2D31">
        <w:rPr>
          <w:bCs/>
          <w:sz w:val="28"/>
          <w:szCs w:val="28"/>
        </w:rPr>
        <w:t xml:space="preserve"> which is effectively the mental state of a party</w:t>
      </w:r>
      <w:r w:rsidR="000C6151" w:rsidRPr="00FE2D31">
        <w:rPr>
          <w:bCs/>
          <w:sz w:val="28"/>
          <w:szCs w:val="28"/>
        </w:rPr>
        <w:t>,</w:t>
      </w:r>
      <w:r w:rsidR="00D73892" w:rsidRPr="00FE2D31">
        <w:rPr>
          <w:bCs/>
          <w:sz w:val="28"/>
          <w:szCs w:val="28"/>
        </w:rPr>
        <w:t xml:space="preserve"> without any action,</w:t>
      </w:r>
      <w:r w:rsidR="00B61A5C" w:rsidRPr="00FE2D31">
        <w:rPr>
          <w:bCs/>
          <w:sz w:val="28"/>
          <w:szCs w:val="28"/>
        </w:rPr>
        <w:t xml:space="preserve"> </w:t>
      </w:r>
      <w:r w:rsidR="00D73892" w:rsidRPr="00FE2D31">
        <w:rPr>
          <w:bCs/>
          <w:sz w:val="28"/>
          <w:szCs w:val="28"/>
        </w:rPr>
        <w:t xml:space="preserve">could </w:t>
      </w:r>
      <w:r w:rsidR="00622C8D" w:rsidRPr="00FE2D31">
        <w:rPr>
          <w:bCs/>
          <w:sz w:val="28"/>
          <w:szCs w:val="28"/>
        </w:rPr>
        <w:t xml:space="preserve">automatically </w:t>
      </w:r>
      <w:r w:rsidR="00D73892" w:rsidRPr="00FE2D31">
        <w:rPr>
          <w:bCs/>
          <w:sz w:val="28"/>
          <w:szCs w:val="28"/>
        </w:rPr>
        <w:t>suspend a</w:t>
      </w:r>
      <w:r w:rsidR="00B61A5C" w:rsidRPr="00FE2D31">
        <w:rPr>
          <w:bCs/>
          <w:sz w:val="28"/>
          <w:szCs w:val="28"/>
        </w:rPr>
        <w:t>n order is</w:t>
      </w:r>
      <w:r w:rsidR="00622C8D" w:rsidRPr="00FE2D31">
        <w:rPr>
          <w:bCs/>
          <w:sz w:val="28"/>
          <w:szCs w:val="28"/>
        </w:rPr>
        <w:t xml:space="preserve"> not only untenable but is far-fetched</w:t>
      </w:r>
      <w:r w:rsidR="00B61A5C" w:rsidRPr="00FE2D31">
        <w:rPr>
          <w:bCs/>
          <w:sz w:val="28"/>
          <w:szCs w:val="28"/>
        </w:rPr>
        <w:t xml:space="preserve">. </w:t>
      </w:r>
      <w:r w:rsidR="003A551E" w:rsidRPr="00FE2D31">
        <w:rPr>
          <w:bCs/>
          <w:sz w:val="28"/>
          <w:szCs w:val="28"/>
        </w:rPr>
        <w:t xml:space="preserve">Taken to its logical conclusion, it is no </w:t>
      </w:r>
      <w:r w:rsidR="00CD043E" w:rsidRPr="00FE2D31">
        <w:rPr>
          <w:bCs/>
          <w:sz w:val="28"/>
          <w:szCs w:val="28"/>
        </w:rPr>
        <w:t>different to</w:t>
      </w:r>
      <w:r w:rsidR="004B18D7" w:rsidRPr="00FE2D31">
        <w:rPr>
          <w:bCs/>
          <w:sz w:val="28"/>
          <w:szCs w:val="28"/>
        </w:rPr>
        <w:t xml:space="preserve"> </w:t>
      </w:r>
      <w:r w:rsidR="000C6151" w:rsidRPr="00FE2D31">
        <w:rPr>
          <w:bCs/>
          <w:sz w:val="28"/>
          <w:szCs w:val="28"/>
        </w:rPr>
        <w:t>a contention</w:t>
      </w:r>
      <w:r w:rsidR="007374B8" w:rsidRPr="00FE2D31">
        <w:rPr>
          <w:bCs/>
          <w:sz w:val="28"/>
          <w:szCs w:val="28"/>
        </w:rPr>
        <w:t xml:space="preserve"> </w:t>
      </w:r>
      <w:r w:rsidR="004B18D7" w:rsidRPr="00FE2D31">
        <w:rPr>
          <w:bCs/>
          <w:sz w:val="28"/>
          <w:szCs w:val="28"/>
        </w:rPr>
        <w:t xml:space="preserve">that </w:t>
      </w:r>
      <w:r w:rsidR="00622C8D" w:rsidRPr="00FE2D31">
        <w:rPr>
          <w:bCs/>
          <w:sz w:val="28"/>
          <w:szCs w:val="28"/>
        </w:rPr>
        <w:t xml:space="preserve">an </w:t>
      </w:r>
      <w:r w:rsidR="004B18D7" w:rsidRPr="00FE2D31">
        <w:rPr>
          <w:bCs/>
          <w:sz w:val="28"/>
          <w:szCs w:val="28"/>
        </w:rPr>
        <w:t>inten</w:t>
      </w:r>
      <w:r w:rsidR="00622C8D" w:rsidRPr="00FE2D31">
        <w:rPr>
          <w:bCs/>
          <w:sz w:val="28"/>
          <w:szCs w:val="28"/>
        </w:rPr>
        <w:t>tion</w:t>
      </w:r>
      <w:r w:rsidR="004B18D7" w:rsidRPr="00FE2D31">
        <w:rPr>
          <w:bCs/>
          <w:sz w:val="28"/>
          <w:szCs w:val="28"/>
        </w:rPr>
        <w:t xml:space="preserve"> to institute summons without actually doing so interrupts prescription.</w:t>
      </w:r>
      <w:r w:rsidR="00622C8D" w:rsidRPr="00FE2D31">
        <w:rPr>
          <w:bCs/>
          <w:sz w:val="28"/>
          <w:szCs w:val="28"/>
        </w:rPr>
        <w:t xml:space="preserve"> </w:t>
      </w:r>
    </w:p>
    <w:p w14:paraId="4762724B" w14:textId="77777777" w:rsidR="002020F5" w:rsidRPr="00FE2D31" w:rsidRDefault="002020F5" w:rsidP="00197338">
      <w:pPr>
        <w:tabs>
          <w:tab w:val="left" w:pos="0"/>
        </w:tabs>
        <w:rPr>
          <w:bCs/>
          <w:sz w:val="28"/>
          <w:szCs w:val="28"/>
        </w:rPr>
      </w:pPr>
    </w:p>
    <w:p w14:paraId="6D4AACBA" w14:textId="5F9C0CA6" w:rsidR="000C3120" w:rsidRPr="00FE2D31" w:rsidRDefault="00042474" w:rsidP="00042474">
      <w:pPr>
        <w:tabs>
          <w:tab w:val="left" w:pos="0"/>
        </w:tabs>
        <w:rPr>
          <w:bCs/>
          <w:sz w:val="28"/>
          <w:szCs w:val="28"/>
        </w:rPr>
      </w:pPr>
      <w:r w:rsidRPr="00FE2D31">
        <w:rPr>
          <w:sz w:val="28"/>
          <w:szCs w:val="28"/>
        </w:rPr>
        <w:t>[61]</w:t>
      </w:r>
      <w:r w:rsidRPr="00FE2D31">
        <w:rPr>
          <w:sz w:val="28"/>
          <w:szCs w:val="28"/>
        </w:rPr>
        <w:tab/>
      </w:r>
      <w:r w:rsidR="00622C8D" w:rsidRPr="00FE2D31">
        <w:rPr>
          <w:bCs/>
          <w:sz w:val="28"/>
          <w:szCs w:val="28"/>
        </w:rPr>
        <w:t>This</w:t>
      </w:r>
      <w:r w:rsidR="00B105E9" w:rsidRPr="00FE2D31">
        <w:rPr>
          <w:bCs/>
          <w:sz w:val="28"/>
          <w:szCs w:val="28"/>
        </w:rPr>
        <w:t xml:space="preserve"> statement</w:t>
      </w:r>
      <w:r w:rsidR="000C3120" w:rsidRPr="00FE2D31">
        <w:rPr>
          <w:bCs/>
          <w:sz w:val="28"/>
          <w:szCs w:val="28"/>
        </w:rPr>
        <w:t>,</w:t>
      </w:r>
      <w:r w:rsidR="00FB075C" w:rsidRPr="00FE2D31">
        <w:rPr>
          <w:bCs/>
          <w:sz w:val="28"/>
          <w:szCs w:val="28"/>
        </w:rPr>
        <w:t xml:space="preserve"> must be</w:t>
      </w:r>
      <w:r w:rsidR="00622C8D" w:rsidRPr="00FE2D31">
        <w:rPr>
          <w:bCs/>
          <w:sz w:val="28"/>
          <w:szCs w:val="28"/>
        </w:rPr>
        <w:t xml:space="preserve"> viewed </w:t>
      </w:r>
      <w:r w:rsidR="00C354C3" w:rsidRPr="00FE2D31">
        <w:rPr>
          <w:bCs/>
          <w:sz w:val="28"/>
          <w:szCs w:val="28"/>
        </w:rPr>
        <w:t xml:space="preserve">against the backdrop that </w:t>
      </w:r>
      <w:r w:rsidR="00622C8D" w:rsidRPr="00FE2D31">
        <w:rPr>
          <w:bCs/>
          <w:sz w:val="28"/>
          <w:szCs w:val="28"/>
        </w:rPr>
        <w:t>the</w:t>
      </w:r>
      <w:r w:rsidR="00FB075C" w:rsidRPr="00FE2D31">
        <w:rPr>
          <w:bCs/>
          <w:sz w:val="28"/>
          <w:szCs w:val="28"/>
        </w:rPr>
        <w:t xml:space="preserve"> respondent</w:t>
      </w:r>
      <w:r w:rsidR="000C3120" w:rsidRPr="00FE2D31">
        <w:rPr>
          <w:bCs/>
          <w:sz w:val="28"/>
          <w:szCs w:val="28"/>
        </w:rPr>
        <w:t>s</w:t>
      </w:r>
      <w:r w:rsidR="00622C8D" w:rsidRPr="00FE2D31">
        <w:rPr>
          <w:bCs/>
          <w:sz w:val="28"/>
          <w:szCs w:val="28"/>
        </w:rPr>
        <w:t xml:space="preserve"> deliberately and intentionally </w:t>
      </w:r>
      <w:r w:rsidR="000C3120" w:rsidRPr="00FE2D31">
        <w:rPr>
          <w:bCs/>
          <w:sz w:val="28"/>
          <w:szCs w:val="28"/>
        </w:rPr>
        <w:t xml:space="preserve">caused Bila to continue acting </w:t>
      </w:r>
      <w:r w:rsidR="00622C8D" w:rsidRPr="00FE2D31">
        <w:rPr>
          <w:bCs/>
          <w:sz w:val="28"/>
          <w:szCs w:val="28"/>
        </w:rPr>
        <w:t xml:space="preserve">against Neukircher J’s order, whilst contending that </w:t>
      </w:r>
      <w:r w:rsidR="000C3120" w:rsidRPr="00FE2D31">
        <w:rPr>
          <w:bCs/>
          <w:sz w:val="28"/>
          <w:szCs w:val="28"/>
        </w:rPr>
        <w:t xml:space="preserve">it </w:t>
      </w:r>
      <w:r w:rsidR="00622C8D" w:rsidRPr="00FE2D31">
        <w:rPr>
          <w:bCs/>
          <w:sz w:val="28"/>
          <w:szCs w:val="28"/>
        </w:rPr>
        <w:t xml:space="preserve">was not mining but prospecting. </w:t>
      </w:r>
      <w:r w:rsidR="000C3120" w:rsidRPr="00FE2D31">
        <w:rPr>
          <w:bCs/>
          <w:sz w:val="28"/>
          <w:szCs w:val="28"/>
        </w:rPr>
        <w:t>In addition, the respondents’ failure to disclose what the true nature and scale of the operations undertaken were</w:t>
      </w:r>
      <w:r w:rsidR="00B105E9" w:rsidRPr="00FE2D31">
        <w:rPr>
          <w:bCs/>
          <w:sz w:val="28"/>
          <w:szCs w:val="28"/>
        </w:rPr>
        <w:t>,</w:t>
      </w:r>
      <w:r w:rsidR="000C3120" w:rsidRPr="00FE2D31">
        <w:rPr>
          <w:bCs/>
          <w:sz w:val="28"/>
          <w:szCs w:val="28"/>
        </w:rPr>
        <w:t xml:space="preserve"> impels me to find that the defence of legal advice </w:t>
      </w:r>
      <w:r w:rsidR="008A3A6C" w:rsidRPr="00FE2D31">
        <w:rPr>
          <w:bCs/>
          <w:sz w:val="28"/>
          <w:szCs w:val="28"/>
        </w:rPr>
        <w:t xml:space="preserve">is contrived and therefore </w:t>
      </w:r>
      <w:r w:rsidR="000C3120" w:rsidRPr="00FE2D31">
        <w:rPr>
          <w:bCs/>
          <w:sz w:val="28"/>
          <w:szCs w:val="28"/>
        </w:rPr>
        <w:t xml:space="preserve">does not give rise to </w:t>
      </w:r>
      <w:r w:rsidR="008A3A6C" w:rsidRPr="00FE2D31">
        <w:rPr>
          <w:bCs/>
          <w:sz w:val="28"/>
          <w:szCs w:val="28"/>
        </w:rPr>
        <w:t xml:space="preserve">a </w:t>
      </w:r>
      <w:r w:rsidR="000C3120" w:rsidRPr="00FE2D31">
        <w:rPr>
          <w:bCs/>
          <w:sz w:val="28"/>
          <w:szCs w:val="28"/>
        </w:rPr>
        <w:t xml:space="preserve">reasonable doubt </w:t>
      </w:r>
      <w:r w:rsidR="008A3A6C" w:rsidRPr="00FE2D31">
        <w:rPr>
          <w:bCs/>
          <w:sz w:val="28"/>
          <w:szCs w:val="28"/>
        </w:rPr>
        <w:t xml:space="preserve">so as to </w:t>
      </w:r>
      <w:r w:rsidR="00CD043E" w:rsidRPr="00FE2D31">
        <w:rPr>
          <w:bCs/>
          <w:sz w:val="28"/>
          <w:szCs w:val="28"/>
        </w:rPr>
        <w:t>rebut</w:t>
      </w:r>
      <w:r w:rsidR="000C3120" w:rsidRPr="00FE2D31">
        <w:rPr>
          <w:bCs/>
          <w:sz w:val="28"/>
          <w:szCs w:val="28"/>
        </w:rPr>
        <w:t xml:space="preserve"> the inference of wilfulness and </w:t>
      </w:r>
      <w:r w:rsidR="000C3120" w:rsidRPr="00FE2D31">
        <w:rPr>
          <w:bCs/>
          <w:i/>
          <w:sz w:val="28"/>
          <w:szCs w:val="28"/>
        </w:rPr>
        <w:t>mala fides</w:t>
      </w:r>
      <w:r w:rsidR="000C3120" w:rsidRPr="00FE2D31">
        <w:rPr>
          <w:bCs/>
          <w:sz w:val="28"/>
          <w:szCs w:val="28"/>
        </w:rPr>
        <w:t>.</w:t>
      </w:r>
    </w:p>
    <w:p w14:paraId="37149F15" w14:textId="77777777" w:rsidR="000C3120" w:rsidRPr="00FE2D31" w:rsidRDefault="000C3120" w:rsidP="00197338">
      <w:pPr>
        <w:rPr>
          <w:bCs/>
          <w:sz w:val="28"/>
          <w:szCs w:val="28"/>
        </w:rPr>
      </w:pPr>
    </w:p>
    <w:p w14:paraId="3DB4EB93" w14:textId="6B52B94F" w:rsidR="00B31A4F" w:rsidRPr="00FE2D31" w:rsidRDefault="00042474" w:rsidP="00042474">
      <w:pPr>
        <w:tabs>
          <w:tab w:val="left" w:pos="0"/>
        </w:tabs>
        <w:rPr>
          <w:bCs/>
          <w:sz w:val="28"/>
          <w:szCs w:val="28"/>
        </w:rPr>
      </w:pPr>
      <w:r w:rsidRPr="00FE2D31">
        <w:rPr>
          <w:sz w:val="28"/>
          <w:szCs w:val="28"/>
        </w:rPr>
        <w:t>[62]</w:t>
      </w:r>
      <w:r w:rsidRPr="00FE2D31">
        <w:rPr>
          <w:sz w:val="28"/>
          <w:szCs w:val="28"/>
        </w:rPr>
        <w:tab/>
      </w:r>
      <w:r w:rsidR="00B31A4F" w:rsidRPr="00FE2D31">
        <w:rPr>
          <w:bCs/>
          <w:sz w:val="28"/>
          <w:szCs w:val="28"/>
        </w:rPr>
        <w:t xml:space="preserve">As regards removal of material at Portion 154, the defence </w:t>
      </w:r>
      <w:r w:rsidR="00730DA6" w:rsidRPr="00FE2D31">
        <w:rPr>
          <w:bCs/>
          <w:sz w:val="28"/>
          <w:szCs w:val="28"/>
        </w:rPr>
        <w:t xml:space="preserve">advanced by </w:t>
      </w:r>
      <w:r w:rsidR="00B31A4F" w:rsidRPr="00FE2D31">
        <w:rPr>
          <w:bCs/>
          <w:sz w:val="28"/>
          <w:szCs w:val="28"/>
        </w:rPr>
        <w:t>the</w:t>
      </w:r>
      <w:r w:rsidR="00730DA6" w:rsidRPr="00FE2D31">
        <w:rPr>
          <w:bCs/>
          <w:sz w:val="28"/>
          <w:szCs w:val="28"/>
        </w:rPr>
        <w:t xml:space="preserve"> respondents</w:t>
      </w:r>
      <w:r w:rsidR="00B31A4F" w:rsidRPr="00FE2D31">
        <w:rPr>
          <w:bCs/>
          <w:sz w:val="28"/>
          <w:szCs w:val="28"/>
        </w:rPr>
        <w:t xml:space="preserve">, is that it was impossible to comply with this part of the order because Bila ‘did not remove any materials from Portion 154 immediately prior to or subsequent to the granting of the court order. Such materials as </w:t>
      </w:r>
      <w:r w:rsidR="00B31A4F" w:rsidRPr="00FE2D31">
        <w:rPr>
          <w:bCs/>
          <w:sz w:val="28"/>
          <w:szCs w:val="28"/>
        </w:rPr>
        <w:lastRenderedPageBreak/>
        <w:t>have been previously removed have long been sold</w:t>
      </w:r>
      <w:r w:rsidR="00427CF6" w:rsidRPr="00FE2D31">
        <w:rPr>
          <w:bCs/>
          <w:sz w:val="28"/>
          <w:szCs w:val="28"/>
        </w:rPr>
        <w:t>’</w:t>
      </w:r>
      <w:r w:rsidR="00B31A4F" w:rsidRPr="00FE2D31">
        <w:rPr>
          <w:bCs/>
          <w:sz w:val="28"/>
          <w:szCs w:val="28"/>
        </w:rPr>
        <w:t xml:space="preserve">. </w:t>
      </w:r>
      <w:r w:rsidR="003C6B75" w:rsidRPr="00FE2D31">
        <w:rPr>
          <w:bCs/>
          <w:sz w:val="28"/>
          <w:szCs w:val="28"/>
        </w:rPr>
        <w:t>In</w:t>
      </w:r>
      <w:r w:rsidR="00B31A4F" w:rsidRPr="00FE2D31">
        <w:rPr>
          <w:bCs/>
          <w:sz w:val="28"/>
          <w:szCs w:val="28"/>
        </w:rPr>
        <w:t xml:space="preserve"> the same breath, the second respondent denies</w:t>
      </w:r>
      <w:r w:rsidR="003C6B75" w:rsidRPr="00FE2D31">
        <w:rPr>
          <w:bCs/>
          <w:sz w:val="28"/>
          <w:szCs w:val="28"/>
        </w:rPr>
        <w:t>,</w:t>
      </w:r>
      <w:r w:rsidR="00B31A4F" w:rsidRPr="00FE2D31">
        <w:rPr>
          <w:bCs/>
          <w:sz w:val="28"/>
          <w:szCs w:val="28"/>
        </w:rPr>
        <w:t xml:space="preserve"> </w:t>
      </w:r>
      <w:r w:rsidR="00CD043E" w:rsidRPr="00FE2D31">
        <w:rPr>
          <w:bCs/>
          <w:sz w:val="28"/>
          <w:szCs w:val="28"/>
        </w:rPr>
        <w:t>in the</w:t>
      </w:r>
      <w:r w:rsidR="000C3120" w:rsidRPr="00FE2D31">
        <w:rPr>
          <w:bCs/>
          <w:sz w:val="28"/>
          <w:szCs w:val="28"/>
        </w:rPr>
        <w:t xml:space="preserve"> </w:t>
      </w:r>
      <w:r w:rsidR="00B31A4F" w:rsidRPr="00FE2D31">
        <w:rPr>
          <w:bCs/>
          <w:sz w:val="28"/>
          <w:szCs w:val="28"/>
        </w:rPr>
        <w:t>answering affidavit</w:t>
      </w:r>
      <w:r w:rsidR="003C6B75" w:rsidRPr="00FE2D31">
        <w:rPr>
          <w:bCs/>
          <w:sz w:val="28"/>
          <w:szCs w:val="28"/>
        </w:rPr>
        <w:t>,</w:t>
      </w:r>
      <w:r w:rsidR="00B31A4F" w:rsidRPr="00FE2D31">
        <w:rPr>
          <w:bCs/>
          <w:sz w:val="28"/>
          <w:szCs w:val="28"/>
        </w:rPr>
        <w:t xml:space="preserve"> that Bila removed any minerals and/or chrome materials. The question then </w:t>
      </w:r>
      <w:r w:rsidR="00776EFA" w:rsidRPr="00FE2D31">
        <w:rPr>
          <w:bCs/>
          <w:sz w:val="28"/>
          <w:szCs w:val="28"/>
        </w:rPr>
        <w:t>is</w:t>
      </w:r>
      <w:r w:rsidR="003C6B75" w:rsidRPr="00FE2D31">
        <w:rPr>
          <w:bCs/>
          <w:sz w:val="28"/>
          <w:szCs w:val="28"/>
        </w:rPr>
        <w:t>:</w:t>
      </w:r>
      <w:r w:rsidR="00776EFA" w:rsidRPr="00FE2D31">
        <w:rPr>
          <w:bCs/>
          <w:sz w:val="28"/>
          <w:szCs w:val="28"/>
        </w:rPr>
        <w:t xml:space="preserve"> </w:t>
      </w:r>
      <w:r w:rsidR="00B31A4F" w:rsidRPr="00FE2D31">
        <w:rPr>
          <w:bCs/>
          <w:sz w:val="28"/>
          <w:szCs w:val="28"/>
        </w:rPr>
        <w:t xml:space="preserve">what material </w:t>
      </w:r>
      <w:r w:rsidR="008414AC" w:rsidRPr="00FE2D31">
        <w:rPr>
          <w:bCs/>
          <w:sz w:val="28"/>
          <w:szCs w:val="28"/>
        </w:rPr>
        <w:t xml:space="preserve">was </w:t>
      </w:r>
      <w:r w:rsidR="00776EFA" w:rsidRPr="00FE2D31">
        <w:rPr>
          <w:bCs/>
          <w:sz w:val="28"/>
          <w:szCs w:val="28"/>
        </w:rPr>
        <w:t xml:space="preserve">long </w:t>
      </w:r>
      <w:r w:rsidR="00B31A4F" w:rsidRPr="00FE2D31">
        <w:rPr>
          <w:bCs/>
          <w:sz w:val="28"/>
          <w:szCs w:val="28"/>
        </w:rPr>
        <w:t>sold</w:t>
      </w:r>
      <w:r w:rsidR="00776EFA" w:rsidRPr="00FE2D31">
        <w:rPr>
          <w:bCs/>
          <w:sz w:val="28"/>
          <w:szCs w:val="28"/>
        </w:rPr>
        <w:t>?</w:t>
      </w:r>
    </w:p>
    <w:p w14:paraId="60BE3D3E" w14:textId="77777777" w:rsidR="00B31A4F" w:rsidRPr="00FE2D31" w:rsidRDefault="00B31A4F" w:rsidP="00DC0CF6">
      <w:pPr>
        <w:rPr>
          <w:bCs/>
          <w:sz w:val="28"/>
          <w:szCs w:val="28"/>
        </w:rPr>
      </w:pPr>
    </w:p>
    <w:p w14:paraId="7D40615D" w14:textId="7E7861F4" w:rsidR="00786565" w:rsidRPr="00FE2D31" w:rsidRDefault="00042474" w:rsidP="00042474">
      <w:pPr>
        <w:tabs>
          <w:tab w:val="left" w:pos="0"/>
        </w:tabs>
        <w:rPr>
          <w:bCs/>
          <w:sz w:val="28"/>
          <w:szCs w:val="28"/>
        </w:rPr>
      </w:pPr>
      <w:r w:rsidRPr="00FE2D31">
        <w:rPr>
          <w:sz w:val="28"/>
          <w:szCs w:val="28"/>
        </w:rPr>
        <w:t>[63]</w:t>
      </w:r>
      <w:r w:rsidRPr="00FE2D31">
        <w:rPr>
          <w:sz w:val="28"/>
          <w:szCs w:val="28"/>
        </w:rPr>
        <w:tab/>
      </w:r>
      <w:r w:rsidR="00B31A4F" w:rsidRPr="00FE2D31">
        <w:rPr>
          <w:bCs/>
          <w:sz w:val="28"/>
          <w:szCs w:val="28"/>
        </w:rPr>
        <w:t>D</w:t>
      </w:r>
      <w:r w:rsidR="00C454A0" w:rsidRPr="00FE2D31">
        <w:rPr>
          <w:bCs/>
          <w:sz w:val="28"/>
          <w:szCs w:val="28"/>
        </w:rPr>
        <w:t xml:space="preserve">etails </w:t>
      </w:r>
      <w:r w:rsidR="00776EFA" w:rsidRPr="00FE2D31">
        <w:rPr>
          <w:bCs/>
          <w:sz w:val="28"/>
          <w:szCs w:val="28"/>
        </w:rPr>
        <w:t xml:space="preserve">once again </w:t>
      </w:r>
      <w:r w:rsidR="00B31A4F" w:rsidRPr="00FE2D31">
        <w:rPr>
          <w:bCs/>
          <w:sz w:val="28"/>
          <w:szCs w:val="28"/>
        </w:rPr>
        <w:t xml:space="preserve">are </w:t>
      </w:r>
      <w:r w:rsidR="00C454A0" w:rsidRPr="00FE2D31">
        <w:rPr>
          <w:bCs/>
          <w:sz w:val="28"/>
          <w:szCs w:val="28"/>
        </w:rPr>
        <w:t xml:space="preserve">not provided </w:t>
      </w:r>
      <w:r w:rsidR="00B31A4F" w:rsidRPr="00FE2D31">
        <w:rPr>
          <w:bCs/>
          <w:sz w:val="28"/>
          <w:szCs w:val="28"/>
        </w:rPr>
        <w:t xml:space="preserve">as </w:t>
      </w:r>
      <w:r w:rsidR="0012371F" w:rsidRPr="00FE2D31">
        <w:rPr>
          <w:bCs/>
          <w:sz w:val="28"/>
          <w:szCs w:val="28"/>
        </w:rPr>
        <w:t xml:space="preserve">to </w:t>
      </w:r>
      <w:r w:rsidR="00C61072" w:rsidRPr="00FE2D31">
        <w:rPr>
          <w:bCs/>
          <w:sz w:val="28"/>
          <w:szCs w:val="28"/>
        </w:rPr>
        <w:t xml:space="preserve">when and why </w:t>
      </w:r>
      <w:r w:rsidR="00B31A4F" w:rsidRPr="00FE2D31">
        <w:rPr>
          <w:bCs/>
          <w:sz w:val="28"/>
          <w:szCs w:val="28"/>
        </w:rPr>
        <w:t xml:space="preserve">Bila </w:t>
      </w:r>
      <w:r w:rsidR="00C61072" w:rsidRPr="00FE2D31">
        <w:rPr>
          <w:bCs/>
          <w:sz w:val="28"/>
          <w:szCs w:val="28"/>
        </w:rPr>
        <w:t xml:space="preserve">sold any minerals from </w:t>
      </w:r>
      <w:r w:rsidR="0012371F" w:rsidRPr="00FE2D31">
        <w:rPr>
          <w:bCs/>
          <w:sz w:val="28"/>
          <w:szCs w:val="28"/>
        </w:rPr>
        <w:t>P</w:t>
      </w:r>
      <w:r w:rsidR="00C61072" w:rsidRPr="00FE2D31">
        <w:rPr>
          <w:bCs/>
          <w:sz w:val="28"/>
          <w:szCs w:val="28"/>
        </w:rPr>
        <w:t>ortion 154</w:t>
      </w:r>
      <w:r w:rsidR="000C3120" w:rsidRPr="00FE2D31">
        <w:rPr>
          <w:bCs/>
          <w:sz w:val="28"/>
          <w:szCs w:val="28"/>
        </w:rPr>
        <w:t>,</w:t>
      </w:r>
      <w:r w:rsidR="00C61072" w:rsidRPr="00FE2D31">
        <w:rPr>
          <w:bCs/>
          <w:sz w:val="28"/>
          <w:szCs w:val="28"/>
        </w:rPr>
        <w:t xml:space="preserve"> when it was not permitted to do so. </w:t>
      </w:r>
      <w:r w:rsidR="00EC2C65" w:rsidRPr="00FE2D31">
        <w:rPr>
          <w:bCs/>
          <w:sz w:val="28"/>
          <w:szCs w:val="28"/>
        </w:rPr>
        <w:t xml:space="preserve">It is not stated whether the material was sold under the mistaken belief that Bila was entitled to </w:t>
      </w:r>
      <w:r w:rsidR="00786565" w:rsidRPr="00FE2D31">
        <w:rPr>
          <w:bCs/>
          <w:sz w:val="28"/>
          <w:szCs w:val="28"/>
        </w:rPr>
        <w:t xml:space="preserve">sell </w:t>
      </w:r>
      <w:r w:rsidR="00EC2C65" w:rsidRPr="00FE2D31">
        <w:rPr>
          <w:bCs/>
          <w:sz w:val="28"/>
          <w:szCs w:val="28"/>
        </w:rPr>
        <w:t>it</w:t>
      </w:r>
      <w:r w:rsidR="00EC671B" w:rsidRPr="00FE2D31">
        <w:rPr>
          <w:bCs/>
          <w:sz w:val="28"/>
          <w:szCs w:val="28"/>
        </w:rPr>
        <w:t xml:space="preserve"> or not</w:t>
      </w:r>
      <w:r w:rsidR="00786565" w:rsidRPr="00FE2D31">
        <w:rPr>
          <w:bCs/>
          <w:sz w:val="28"/>
          <w:szCs w:val="28"/>
        </w:rPr>
        <w:t>.</w:t>
      </w:r>
      <w:r w:rsidR="00EC2C65" w:rsidRPr="00FE2D31">
        <w:rPr>
          <w:bCs/>
          <w:sz w:val="28"/>
          <w:szCs w:val="28"/>
        </w:rPr>
        <w:t xml:space="preserve"> </w:t>
      </w:r>
      <w:r w:rsidR="00C61072" w:rsidRPr="00FE2D31">
        <w:rPr>
          <w:bCs/>
          <w:sz w:val="28"/>
          <w:szCs w:val="28"/>
        </w:rPr>
        <w:t>The timeline</w:t>
      </w:r>
      <w:r w:rsidR="000C3120" w:rsidRPr="00FE2D31">
        <w:rPr>
          <w:bCs/>
          <w:sz w:val="28"/>
          <w:szCs w:val="28"/>
        </w:rPr>
        <w:t xml:space="preserve"> should have been provided</w:t>
      </w:r>
      <w:r w:rsidR="00786565" w:rsidRPr="00FE2D31">
        <w:rPr>
          <w:bCs/>
          <w:sz w:val="28"/>
          <w:szCs w:val="28"/>
        </w:rPr>
        <w:t>. I</w:t>
      </w:r>
      <w:r w:rsidR="00C61072" w:rsidRPr="00FE2D31">
        <w:rPr>
          <w:bCs/>
          <w:sz w:val="28"/>
          <w:szCs w:val="28"/>
        </w:rPr>
        <w:t xml:space="preserve">t is not </w:t>
      </w:r>
      <w:r w:rsidR="00EC671B" w:rsidRPr="00FE2D31">
        <w:rPr>
          <w:bCs/>
          <w:sz w:val="28"/>
          <w:szCs w:val="28"/>
        </w:rPr>
        <w:t>sufficient</w:t>
      </w:r>
      <w:r w:rsidR="00C61072" w:rsidRPr="00FE2D31">
        <w:rPr>
          <w:bCs/>
          <w:sz w:val="28"/>
          <w:szCs w:val="28"/>
        </w:rPr>
        <w:t xml:space="preserve"> to </w:t>
      </w:r>
      <w:r w:rsidR="00EC671B" w:rsidRPr="00FE2D31">
        <w:rPr>
          <w:bCs/>
          <w:sz w:val="28"/>
          <w:szCs w:val="28"/>
        </w:rPr>
        <w:t xml:space="preserve">state the </w:t>
      </w:r>
      <w:r w:rsidR="00C61072" w:rsidRPr="00FE2D31">
        <w:rPr>
          <w:bCs/>
          <w:sz w:val="28"/>
          <w:szCs w:val="28"/>
        </w:rPr>
        <w:t>impossi</w:t>
      </w:r>
      <w:r w:rsidR="00EC671B" w:rsidRPr="00FE2D31">
        <w:rPr>
          <w:bCs/>
          <w:sz w:val="28"/>
          <w:szCs w:val="28"/>
        </w:rPr>
        <w:t>bility</w:t>
      </w:r>
      <w:r w:rsidR="00C61072" w:rsidRPr="00FE2D31">
        <w:rPr>
          <w:bCs/>
          <w:sz w:val="28"/>
          <w:szCs w:val="28"/>
        </w:rPr>
        <w:t xml:space="preserve"> to comply with the order</w:t>
      </w:r>
      <w:r w:rsidR="00EC671B" w:rsidRPr="00FE2D31">
        <w:rPr>
          <w:bCs/>
          <w:sz w:val="28"/>
          <w:szCs w:val="28"/>
        </w:rPr>
        <w:t xml:space="preserve"> owing to the sale of the material without providing information including documentation in that regard</w:t>
      </w:r>
      <w:r w:rsidR="00B91D3D" w:rsidRPr="00FE2D31">
        <w:rPr>
          <w:bCs/>
          <w:sz w:val="28"/>
          <w:szCs w:val="28"/>
        </w:rPr>
        <w:t xml:space="preserve">. </w:t>
      </w:r>
    </w:p>
    <w:p w14:paraId="29E437EE" w14:textId="77777777" w:rsidR="00786565" w:rsidRPr="00FE2D31" w:rsidRDefault="00786565" w:rsidP="00197338">
      <w:pPr>
        <w:rPr>
          <w:bCs/>
          <w:sz w:val="28"/>
          <w:szCs w:val="28"/>
        </w:rPr>
      </w:pPr>
    </w:p>
    <w:p w14:paraId="334264C7" w14:textId="2CC0E0AF" w:rsidR="0012371F" w:rsidRPr="00FE2D31" w:rsidRDefault="00042474" w:rsidP="00042474">
      <w:pPr>
        <w:tabs>
          <w:tab w:val="left" w:pos="0"/>
        </w:tabs>
        <w:rPr>
          <w:bCs/>
          <w:sz w:val="28"/>
          <w:szCs w:val="28"/>
        </w:rPr>
      </w:pPr>
      <w:r w:rsidRPr="00FE2D31">
        <w:rPr>
          <w:sz w:val="28"/>
          <w:szCs w:val="28"/>
        </w:rPr>
        <w:t>[64]</w:t>
      </w:r>
      <w:r w:rsidRPr="00FE2D31">
        <w:rPr>
          <w:sz w:val="28"/>
          <w:szCs w:val="28"/>
        </w:rPr>
        <w:tab/>
      </w:r>
      <w:r w:rsidR="00AC69B0" w:rsidRPr="00FE2D31">
        <w:rPr>
          <w:bCs/>
          <w:sz w:val="28"/>
          <w:szCs w:val="28"/>
        </w:rPr>
        <w:t>In the context of th</w:t>
      </w:r>
      <w:r w:rsidR="00252031" w:rsidRPr="00FE2D31">
        <w:rPr>
          <w:bCs/>
          <w:sz w:val="28"/>
          <w:szCs w:val="28"/>
        </w:rPr>
        <w:t xml:space="preserve">e facts of this case, it is improbable </w:t>
      </w:r>
      <w:r w:rsidR="0012371F" w:rsidRPr="00FE2D31">
        <w:rPr>
          <w:bCs/>
          <w:sz w:val="28"/>
          <w:szCs w:val="28"/>
        </w:rPr>
        <w:t>that Neukircher</w:t>
      </w:r>
      <w:r w:rsidR="00031157">
        <w:rPr>
          <w:bCs/>
          <w:sz w:val="28"/>
          <w:szCs w:val="28"/>
        </w:rPr>
        <w:t> </w:t>
      </w:r>
      <w:r w:rsidR="0012371F" w:rsidRPr="00FE2D31">
        <w:rPr>
          <w:bCs/>
          <w:sz w:val="28"/>
          <w:szCs w:val="28"/>
        </w:rPr>
        <w:t xml:space="preserve">J would make </w:t>
      </w:r>
      <w:r w:rsidR="003C6B75" w:rsidRPr="00FE2D31">
        <w:rPr>
          <w:bCs/>
          <w:sz w:val="28"/>
          <w:szCs w:val="28"/>
        </w:rPr>
        <w:t xml:space="preserve">such </w:t>
      </w:r>
      <w:r w:rsidR="0012371F" w:rsidRPr="00FE2D31">
        <w:rPr>
          <w:bCs/>
          <w:sz w:val="28"/>
          <w:szCs w:val="28"/>
        </w:rPr>
        <w:t>an order</w:t>
      </w:r>
      <w:r w:rsidR="00EC671B" w:rsidRPr="00FE2D31">
        <w:rPr>
          <w:bCs/>
          <w:sz w:val="28"/>
          <w:szCs w:val="28"/>
        </w:rPr>
        <w:t xml:space="preserve"> </w:t>
      </w:r>
      <w:r w:rsidR="003C6B75" w:rsidRPr="00FE2D31">
        <w:rPr>
          <w:bCs/>
          <w:sz w:val="28"/>
          <w:szCs w:val="28"/>
        </w:rPr>
        <w:t xml:space="preserve">with the knowledge </w:t>
      </w:r>
      <w:r w:rsidR="0012371F" w:rsidRPr="00FE2D31">
        <w:rPr>
          <w:bCs/>
          <w:sz w:val="28"/>
          <w:szCs w:val="28"/>
        </w:rPr>
        <w:t>that the material removed</w:t>
      </w:r>
      <w:r w:rsidR="005662AD" w:rsidRPr="00FE2D31">
        <w:rPr>
          <w:bCs/>
          <w:sz w:val="28"/>
          <w:szCs w:val="28"/>
        </w:rPr>
        <w:t xml:space="preserve"> </w:t>
      </w:r>
      <w:r w:rsidR="00B91D3D" w:rsidRPr="00FE2D31">
        <w:rPr>
          <w:bCs/>
          <w:sz w:val="28"/>
          <w:szCs w:val="28"/>
        </w:rPr>
        <w:t xml:space="preserve">by Bila </w:t>
      </w:r>
      <w:r w:rsidR="005662AD" w:rsidRPr="00FE2D31">
        <w:rPr>
          <w:bCs/>
          <w:sz w:val="28"/>
          <w:szCs w:val="28"/>
        </w:rPr>
        <w:t xml:space="preserve">could not </w:t>
      </w:r>
      <w:r w:rsidR="00151B4A" w:rsidRPr="00FE2D31">
        <w:rPr>
          <w:bCs/>
          <w:sz w:val="28"/>
          <w:szCs w:val="28"/>
        </w:rPr>
        <w:t xml:space="preserve">be </w:t>
      </w:r>
      <w:r w:rsidR="00173458" w:rsidRPr="00FE2D31">
        <w:rPr>
          <w:bCs/>
          <w:sz w:val="28"/>
          <w:szCs w:val="28"/>
        </w:rPr>
        <w:t>returned because</w:t>
      </w:r>
      <w:r w:rsidR="005662AD" w:rsidRPr="00FE2D31">
        <w:rPr>
          <w:bCs/>
          <w:sz w:val="28"/>
          <w:szCs w:val="28"/>
        </w:rPr>
        <w:t xml:space="preserve"> it </w:t>
      </w:r>
      <w:r w:rsidR="0012371F" w:rsidRPr="00FE2D31">
        <w:rPr>
          <w:bCs/>
          <w:sz w:val="28"/>
          <w:szCs w:val="28"/>
        </w:rPr>
        <w:t>had long been sold.</w:t>
      </w:r>
      <w:r w:rsidR="00CD043E" w:rsidRPr="00FE2D31">
        <w:rPr>
          <w:bCs/>
          <w:sz w:val="28"/>
          <w:szCs w:val="28"/>
        </w:rPr>
        <w:t xml:space="preserve"> </w:t>
      </w:r>
      <w:r w:rsidR="000C3120" w:rsidRPr="00FE2D31">
        <w:rPr>
          <w:bCs/>
          <w:sz w:val="28"/>
          <w:szCs w:val="28"/>
        </w:rPr>
        <w:t>I</w:t>
      </w:r>
      <w:r w:rsidR="00EC671B" w:rsidRPr="00FE2D31">
        <w:rPr>
          <w:bCs/>
          <w:sz w:val="28"/>
          <w:szCs w:val="28"/>
        </w:rPr>
        <w:t xml:space="preserve">n my view, the respondents have not advanced </w:t>
      </w:r>
      <w:r w:rsidR="00DC7D7C" w:rsidRPr="00FE2D31">
        <w:rPr>
          <w:bCs/>
          <w:sz w:val="28"/>
          <w:szCs w:val="28"/>
        </w:rPr>
        <w:t xml:space="preserve">credible </w:t>
      </w:r>
      <w:r w:rsidR="00EC671B" w:rsidRPr="00FE2D31">
        <w:rPr>
          <w:bCs/>
          <w:sz w:val="28"/>
          <w:szCs w:val="28"/>
        </w:rPr>
        <w:t xml:space="preserve">evidence in rebuttal to </w:t>
      </w:r>
      <w:r w:rsidR="00DC7D7C" w:rsidRPr="00FE2D31">
        <w:rPr>
          <w:bCs/>
          <w:sz w:val="28"/>
          <w:szCs w:val="28"/>
        </w:rPr>
        <w:t xml:space="preserve">give rise to a </w:t>
      </w:r>
      <w:r w:rsidR="00EC671B" w:rsidRPr="00FE2D31">
        <w:rPr>
          <w:bCs/>
          <w:sz w:val="28"/>
          <w:szCs w:val="28"/>
        </w:rPr>
        <w:t>reasonable doubt</w:t>
      </w:r>
      <w:r w:rsidR="000C3120" w:rsidRPr="00FE2D31">
        <w:rPr>
          <w:bCs/>
          <w:sz w:val="28"/>
          <w:szCs w:val="28"/>
        </w:rPr>
        <w:t xml:space="preserve"> in this regard too</w:t>
      </w:r>
      <w:r w:rsidR="003C6B75" w:rsidRPr="00FE2D31">
        <w:rPr>
          <w:bCs/>
          <w:sz w:val="28"/>
          <w:szCs w:val="28"/>
        </w:rPr>
        <w:t xml:space="preserve">. Therefore, </w:t>
      </w:r>
      <w:r w:rsidR="00EC671B" w:rsidRPr="00FE2D31">
        <w:rPr>
          <w:bCs/>
          <w:sz w:val="28"/>
          <w:szCs w:val="28"/>
        </w:rPr>
        <w:t xml:space="preserve">non-compliance on this aspect must also be found to have been wilful and </w:t>
      </w:r>
      <w:r w:rsidR="00EC671B" w:rsidRPr="00FE2D31">
        <w:rPr>
          <w:bCs/>
          <w:i/>
          <w:sz w:val="28"/>
          <w:szCs w:val="28"/>
        </w:rPr>
        <w:t>mala fide</w:t>
      </w:r>
      <w:r w:rsidR="00EC671B" w:rsidRPr="00FE2D31">
        <w:rPr>
          <w:bCs/>
          <w:sz w:val="28"/>
          <w:szCs w:val="28"/>
        </w:rPr>
        <w:t>.</w:t>
      </w:r>
    </w:p>
    <w:p w14:paraId="1520EC6E" w14:textId="77777777" w:rsidR="00681D31" w:rsidRPr="00FE2D31" w:rsidRDefault="00681D31" w:rsidP="00681D31">
      <w:pPr>
        <w:tabs>
          <w:tab w:val="left" w:pos="0"/>
        </w:tabs>
        <w:rPr>
          <w:bCs/>
          <w:sz w:val="28"/>
          <w:szCs w:val="28"/>
        </w:rPr>
      </w:pPr>
    </w:p>
    <w:p w14:paraId="2B1AEC0A" w14:textId="5EBA50F6" w:rsidR="00776EFA" w:rsidRPr="00FE2D31" w:rsidRDefault="00042474" w:rsidP="00042474">
      <w:pPr>
        <w:tabs>
          <w:tab w:val="left" w:pos="0"/>
        </w:tabs>
        <w:rPr>
          <w:bCs/>
          <w:sz w:val="28"/>
          <w:szCs w:val="28"/>
        </w:rPr>
      </w:pPr>
      <w:r w:rsidRPr="00FE2D31">
        <w:rPr>
          <w:sz w:val="28"/>
          <w:szCs w:val="28"/>
        </w:rPr>
        <w:t>[65]</w:t>
      </w:r>
      <w:r w:rsidRPr="00FE2D31">
        <w:rPr>
          <w:sz w:val="28"/>
          <w:szCs w:val="28"/>
        </w:rPr>
        <w:tab/>
      </w:r>
      <w:r w:rsidR="00776EFA" w:rsidRPr="00FE2D31">
        <w:rPr>
          <w:bCs/>
          <w:sz w:val="28"/>
          <w:szCs w:val="28"/>
        </w:rPr>
        <w:t>The second respondent submit</w:t>
      </w:r>
      <w:r w:rsidR="000C3120" w:rsidRPr="00FE2D31">
        <w:rPr>
          <w:bCs/>
          <w:sz w:val="28"/>
          <w:szCs w:val="28"/>
        </w:rPr>
        <w:t>ted</w:t>
      </w:r>
      <w:r w:rsidR="00776EFA" w:rsidRPr="00FE2D31">
        <w:rPr>
          <w:bCs/>
          <w:sz w:val="28"/>
          <w:szCs w:val="28"/>
        </w:rPr>
        <w:t xml:space="preserve"> that the contempt order sought against all the directors is an intimidation tactic. He allege</w:t>
      </w:r>
      <w:r w:rsidR="000C3120" w:rsidRPr="00FE2D31">
        <w:rPr>
          <w:bCs/>
          <w:sz w:val="28"/>
          <w:szCs w:val="28"/>
        </w:rPr>
        <w:t>d</w:t>
      </w:r>
      <w:r w:rsidR="00776EFA" w:rsidRPr="00FE2D31">
        <w:rPr>
          <w:bCs/>
          <w:sz w:val="28"/>
          <w:szCs w:val="28"/>
        </w:rPr>
        <w:t xml:space="preserve"> that he </w:t>
      </w:r>
      <w:r w:rsidR="000C3120" w:rsidRPr="00FE2D31">
        <w:rPr>
          <w:bCs/>
          <w:sz w:val="28"/>
          <w:szCs w:val="28"/>
        </w:rPr>
        <w:t>was</w:t>
      </w:r>
      <w:r w:rsidR="00776EFA" w:rsidRPr="00FE2D31">
        <w:rPr>
          <w:bCs/>
          <w:sz w:val="28"/>
          <w:szCs w:val="28"/>
        </w:rPr>
        <w:t xml:space="preserve"> the responsible director who ha</w:t>
      </w:r>
      <w:r w:rsidR="000C3120" w:rsidRPr="00FE2D31">
        <w:rPr>
          <w:bCs/>
          <w:sz w:val="28"/>
          <w:szCs w:val="28"/>
        </w:rPr>
        <w:t>d</w:t>
      </w:r>
      <w:r w:rsidR="00776EFA" w:rsidRPr="00FE2D31">
        <w:rPr>
          <w:bCs/>
          <w:sz w:val="28"/>
          <w:szCs w:val="28"/>
        </w:rPr>
        <w:t xml:space="preserve"> been given authority to make decisions. He therefore d</w:t>
      </w:r>
      <w:r w:rsidR="000C3120" w:rsidRPr="00FE2D31">
        <w:rPr>
          <w:bCs/>
          <w:sz w:val="28"/>
          <w:szCs w:val="28"/>
        </w:rPr>
        <w:t>id</w:t>
      </w:r>
      <w:r w:rsidR="00776EFA" w:rsidRPr="00FE2D31">
        <w:rPr>
          <w:bCs/>
          <w:sz w:val="28"/>
          <w:szCs w:val="28"/>
        </w:rPr>
        <w:t xml:space="preserve"> not consult other directors on every single operational matter, and it therefore c</w:t>
      </w:r>
      <w:r w:rsidR="000C3120" w:rsidRPr="00FE2D31">
        <w:rPr>
          <w:bCs/>
          <w:sz w:val="28"/>
          <w:szCs w:val="28"/>
        </w:rPr>
        <w:t>ould not</w:t>
      </w:r>
      <w:r w:rsidR="00776EFA" w:rsidRPr="00FE2D31">
        <w:rPr>
          <w:bCs/>
          <w:sz w:val="28"/>
          <w:szCs w:val="28"/>
        </w:rPr>
        <w:t xml:space="preserve"> be said that the other directors ha</w:t>
      </w:r>
      <w:r w:rsidR="000C3120" w:rsidRPr="00FE2D31">
        <w:rPr>
          <w:bCs/>
          <w:sz w:val="28"/>
          <w:szCs w:val="28"/>
        </w:rPr>
        <w:t>d</w:t>
      </w:r>
      <w:r w:rsidR="00776EFA" w:rsidRPr="00FE2D31">
        <w:rPr>
          <w:bCs/>
          <w:sz w:val="28"/>
          <w:szCs w:val="28"/>
        </w:rPr>
        <w:t xml:space="preserve"> also caused Bila to be in contempt of Neurkicher J’s order. </w:t>
      </w:r>
    </w:p>
    <w:p w14:paraId="42DDF853" w14:textId="77777777" w:rsidR="00776EFA" w:rsidRPr="00FE2D31" w:rsidRDefault="00776EFA" w:rsidP="00776EFA">
      <w:pPr>
        <w:tabs>
          <w:tab w:val="left" w:pos="0"/>
        </w:tabs>
        <w:rPr>
          <w:bCs/>
          <w:sz w:val="28"/>
          <w:szCs w:val="28"/>
        </w:rPr>
      </w:pPr>
    </w:p>
    <w:p w14:paraId="64B9867D" w14:textId="70A756D0" w:rsidR="00A40C64" w:rsidRPr="00FE2D31" w:rsidRDefault="00042474" w:rsidP="00042474">
      <w:pPr>
        <w:tabs>
          <w:tab w:val="left" w:pos="0"/>
        </w:tabs>
        <w:rPr>
          <w:bCs/>
          <w:sz w:val="28"/>
          <w:szCs w:val="28"/>
        </w:rPr>
      </w:pPr>
      <w:r w:rsidRPr="00FE2D31">
        <w:rPr>
          <w:sz w:val="28"/>
          <w:szCs w:val="28"/>
        </w:rPr>
        <w:t>[66]</w:t>
      </w:r>
      <w:r w:rsidRPr="00FE2D31">
        <w:rPr>
          <w:sz w:val="28"/>
          <w:szCs w:val="28"/>
        </w:rPr>
        <w:tab/>
      </w:r>
      <w:r w:rsidR="00776EFA" w:rsidRPr="00FE2D31">
        <w:rPr>
          <w:bCs/>
          <w:sz w:val="28"/>
          <w:szCs w:val="28"/>
        </w:rPr>
        <w:t>Th</w:t>
      </w:r>
      <w:r w:rsidR="00F1786D" w:rsidRPr="00FE2D31">
        <w:rPr>
          <w:bCs/>
          <w:sz w:val="28"/>
          <w:szCs w:val="28"/>
        </w:rPr>
        <w:t>is claim</w:t>
      </w:r>
      <w:r w:rsidR="00776EFA" w:rsidRPr="00FE2D31">
        <w:rPr>
          <w:bCs/>
          <w:sz w:val="28"/>
          <w:szCs w:val="28"/>
        </w:rPr>
        <w:t xml:space="preserve"> cannot shield the third to fifth</w:t>
      </w:r>
      <w:r w:rsidR="00EC671B" w:rsidRPr="00FE2D31">
        <w:rPr>
          <w:bCs/>
          <w:sz w:val="28"/>
          <w:szCs w:val="28"/>
        </w:rPr>
        <w:t xml:space="preserve"> respondents from responsibility</w:t>
      </w:r>
      <w:r w:rsidR="00776EFA" w:rsidRPr="00FE2D31">
        <w:rPr>
          <w:bCs/>
          <w:sz w:val="28"/>
          <w:szCs w:val="28"/>
        </w:rPr>
        <w:t xml:space="preserve">. </w:t>
      </w:r>
      <w:r w:rsidR="00EC671B" w:rsidRPr="00FE2D31">
        <w:rPr>
          <w:bCs/>
          <w:sz w:val="28"/>
          <w:szCs w:val="28"/>
        </w:rPr>
        <w:t>E</w:t>
      </w:r>
      <w:r w:rsidR="00776EFA" w:rsidRPr="00FE2D31">
        <w:rPr>
          <w:bCs/>
          <w:sz w:val="28"/>
          <w:szCs w:val="28"/>
        </w:rPr>
        <w:t xml:space="preserve">ven if they had given the second respondent </w:t>
      </w:r>
      <w:r w:rsidR="000C3120" w:rsidRPr="00FE2D31">
        <w:rPr>
          <w:bCs/>
          <w:sz w:val="28"/>
          <w:szCs w:val="28"/>
        </w:rPr>
        <w:t xml:space="preserve">powers </w:t>
      </w:r>
      <w:r w:rsidR="00776EFA" w:rsidRPr="00FE2D31">
        <w:rPr>
          <w:bCs/>
          <w:sz w:val="28"/>
          <w:szCs w:val="28"/>
        </w:rPr>
        <w:t>to make decisions</w:t>
      </w:r>
      <w:r w:rsidR="00EC671B" w:rsidRPr="00FE2D31">
        <w:rPr>
          <w:bCs/>
          <w:sz w:val="28"/>
          <w:szCs w:val="28"/>
        </w:rPr>
        <w:t xml:space="preserve"> in operational matters</w:t>
      </w:r>
      <w:r w:rsidR="00E0341D" w:rsidRPr="00FE2D31">
        <w:rPr>
          <w:bCs/>
          <w:sz w:val="28"/>
          <w:szCs w:val="28"/>
        </w:rPr>
        <w:t>, a court order is a serious matter requiring the board’s attention. The third to fifth respondents had</w:t>
      </w:r>
      <w:r w:rsidR="00776EFA" w:rsidRPr="00FE2D31">
        <w:rPr>
          <w:bCs/>
          <w:sz w:val="28"/>
          <w:szCs w:val="28"/>
        </w:rPr>
        <w:t xml:space="preserve"> a duty to ensure that once </w:t>
      </w:r>
      <w:r w:rsidR="000C3120" w:rsidRPr="00FE2D31">
        <w:rPr>
          <w:bCs/>
          <w:sz w:val="28"/>
          <w:szCs w:val="28"/>
        </w:rPr>
        <w:t xml:space="preserve">they received </w:t>
      </w:r>
      <w:r w:rsidR="00BA5682" w:rsidRPr="00FE2D31">
        <w:rPr>
          <w:bCs/>
          <w:sz w:val="28"/>
          <w:szCs w:val="28"/>
        </w:rPr>
        <w:t xml:space="preserve">the </w:t>
      </w:r>
      <w:r w:rsidR="00E0341D" w:rsidRPr="00FE2D31">
        <w:rPr>
          <w:bCs/>
          <w:sz w:val="28"/>
          <w:szCs w:val="28"/>
        </w:rPr>
        <w:t>court</w:t>
      </w:r>
      <w:r w:rsidR="00776EFA" w:rsidRPr="00FE2D31">
        <w:rPr>
          <w:bCs/>
          <w:sz w:val="28"/>
          <w:szCs w:val="28"/>
        </w:rPr>
        <w:t xml:space="preserve"> order </w:t>
      </w:r>
      <w:r w:rsidR="00E0341D" w:rsidRPr="00FE2D31">
        <w:rPr>
          <w:bCs/>
          <w:sz w:val="28"/>
          <w:szCs w:val="28"/>
        </w:rPr>
        <w:t xml:space="preserve">stating </w:t>
      </w:r>
      <w:r w:rsidR="00776EFA" w:rsidRPr="00FE2D31">
        <w:rPr>
          <w:bCs/>
          <w:sz w:val="28"/>
          <w:szCs w:val="28"/>
        </w:rPr>
        <w:t>that Bila</w:t>
      </w:r>
      <w:r w:rsidR="000C3120" w:rsidRPr="00FE2D31">
        <w:rPr>
          <w:bCs/>
          <w:sz w:val="28"/>
          <w:szCs w:val="28"/>
        </w:rPr>
        <w:t xml:space="preserve"> had acted unlawfully,</w:t>
      </w:r>
      <w:r w:rsidR="00E0341D" w:rsidRPr="00FE2D31">
        <w:rPr>
          <w:bCs/>
          <w:sz w:val="28"/>
          <w:szCs w:val="28"/>
        </w:rPr>
        <w:t xml:space="preserve"> that court order </w:t>
      </w:r>
      <w:r w:rsidR="00776EFA" w:rsidRPr="00FE2D31">
        <w:rPr>
          <w:bCs/>
          <w:sz w:val="28"/>
          <w:szCs w:val="28"/>
        </w:rPr>
        <w:t xml:space="preserve">was obeyed. </w:t>
      </w:r>
      <w:r w:rsidR="00E0341D" w:rsidRPr="00FE2D31">
        <w:rPr>
          <w:bCs/>
          <w:sz w:val="28"/>
          <w:szCs w:val="28"/>
        </w:rPr>
        <w:t xml:space="preserve">They could not simply wash their hands and walk away from </w:t>
      </w:r>
      <w:r w:rsidR="000C3120" w:rsidRPr="00FE2D31">
        <w:rPr>
          <w:bCs/>
          <w:sz w:val="28"/>
          <w:szCs w:val="28"/>
        </w:rPr>
        <w:t>accountability</w:t>
      </w:r>
      <w:r w:rsidR="00E0341D" w:rsidRPr="00FE2D31">
        <w:rPr>
          <w:bCs/>
          <w:sz w:val="28"/>
          <w:szCs w:val="28"/>
        </w:rPr>
        <w:t xml:space="preserve">. </w:t>
      </w:r>
      <w:r w:rsidR="000C3120" w:rsidRPr="00FE2D31">
        <w:rPr>
          <w:bCs/>
          <w:sz w:val="28"/>
          <w:szCs w:val="28"/>
        </w:rPr>
        <w:t>Moreover</w:t>
      </w:r>
      <w:r w:rsidR="00E0341D" w:rsidRPr="00FE2D31">
        <w:rPr>
          <w:bCs/>
          <w:sz w:val="28"/>
          <w:szCs w:val="28"/>
        </w:rPr>
        <w:t>, they have not explain</w:t>
      </w:r>
      <w:r w:rsidR="00A40C64" w:rsidRPr="00FE2D31">
        <w:rPr>
          <w:bCs/>
          <w:sz w:val="28"/>
          <w:szCs w:val="28"/>
        </w:rPr>
        <w:t>ed</w:t>
      </w:r>
      <w:r w:rsidR="00E0341D" w:rsidRPr="00FE2D31">
        <w:rPr>
          <w:bCs/>
          <w:sz w:val="28"/>
          <w:szCs w:val="28"/>
        </w:rPr>
        <w:t xml:space="preserve"> what steps they had taken to ensure that the court order was complied with. Consequently, all the directors </w:t>
      </w:r>
      <w:r w:rsidR="00A40C64" w:rsidRPr="00FE2D31">
        <w:rPr>
          <w:bCs/>
          <w:sz w:val="28"/>
          <w:szCs w:val="28"/>
        </w:rPr>
        <w:t xml:space="preserve">must be held </w:t>
      </w:r>
      <w:r w:rsidR="00E0341D" w:rsidRPr="00FE2D31">
        <w:rPr>
          <w:bCs/>
          <w:sz w:val="28"/>
          <w:szCs w:val="28"/>
        </w:rPr>
        <w:t xml:space="preserve">responsible </w:t>
      </w:r>
      <w:r w:rsidR="00A40C64" w:rsidRPr="00FE2D31">
        <w:rPr>
          <w:bCs/>
          <w:sz w:val="28"/>
          <w:szCs w:val="28"/>
        </w:rPr>
        <w:t xml:space="preserve">jointly </w:t>
      </w:r>
      <w:r w:rsidR="00E0341D" w:rsidRPr="00FE2D31">
        <w:rPr>
          <w:bCs/>
          <w:sz w:val="28"/>
          <w:szCs w:val="28"/>
        </w:rPr>
        <w:t>with Bila</w:t>
      </w:r>
      <w:r w:rsidR="00A40C64" w:rsidRPr="00FE2D31">
        <w:rPr>
          <w:bCs/>
          <w:sz w:val="28"/>
          <w:szCs w:val="28"/>
        </w:rPr>
        <w:t>.</w:t>
      </w:r>
    </w:p>
    <w:p w14:paraId="5DE5681C" w14:textId="77777777" w:rsidR="00A40C64" w:rsidRPr="00FE2D31" w:rsidRDefault="00A40C64" w:rsidP="00A40C64">
      <w:pPr>
        <w:pStyle w:val="ListParagraph"/>
        <w:rPr>
          <w:bCs/>
          <w:sz w:val="28"/>
          <w:szCs w:val="28"/>
        </w:rPr>
      </w:pPr>
    </w:p>
    <w:p w14:paraId="010F5017" w14:textId="32187E05" w:rsidR="00B91D3D" w:rsidRPr="00FE2D31" w:rsidRDefault="00042474" w:rsidP="00042474">
      <w:pPr>
        <w:tabs>
          <w:tab w:val="left" w:pos="0"/>
        </w:tabs>
        <w:rPr>
          <w:bCs/>
          <w:sz w:val="28"/>
          <w:szCs w:val="28"/>
        </w:rPr>
      </w:pPr>
      <w:r w:rsidRPr="00FE2D31">
        <w:rPr>
          <w:sz w:val="28"/>
          <w:szCs w:val="28"/>
        </w:rPr>
        <w:t>[67]</w:t>
      </w:r>
      <w:r w:rsidRPr="00FE2D31">
        <w:rPr>
          <w:sz w:val="28"/>
          <w:szCs w:val="28"/>
        </w:rPr>
        <w:tab/>
      </w:r>
      <w:r w:rsidR="00BA5682" w:rsidRPr="00FE2D31">
        <w:rPr>
          <w:bCs/>
          <w:sz w:val="28"/>
          <w:szCs w:val="28"/>
        </w:rPr>
        <w:t>In these circumstances</w:t>
      </w:r>
      <w:r w:rsidR="00A93763" w:rsidRPr="00FE2D31">
        <w:rPr>
          <w:bCs/>
          <w:sz w:val="28"/>
          <w:szCs w:val="28"/>
        </w:rPr>
        <w:t xml:space="preserve">, </w:t>
      </w:r>
      <w:r w:rsidR="00B91D3D" w:rsidRPr="00FE2D31">
        <w:rPr>
          <w:bCs/>
          <w:sz w:val="28"/>
          <w:szCs w:val="28"/>
        </w:rPr>
        <w:t>Samancor has</w:t>
      </w:r>
      <w:r w:rsidR="00DC0CF6" w:rsidRPr="00FE2D31">
        <w:rPr>
          <w:bCs/>
          <w:sz w:val="28"/>
          <w:szCs w:val="28"/>
        </w:rPr>
        <w:t>, in my view,</w:t>
      </w:r>
      <w:r w:rsidR="00B91D3D" w:rsidRPr="00FE2D31">
        <w:rPr>
          <w:bCs/>
          <w:sz w:val="28"/>
          <w:szCs w:val="28"/>
        </w:rPr>
        <w:t xml:space="preserve"> </w:t>
      </w:r>
      <w:r w:rsidR="00CD043E" w:rsidRPr="00FE2D31">
        <w:rPr>
          <w:bCs/>
          <w:sz w:val="28"/>
          <w:szCs w:val="28"/>
        </w:rPr>
        <w:t>established that</w:t>
      </w:r>
      <w:r w:rsidR="00B91D3D" w:rsidRPr="00FE2D31">
        <w:rPr>
          <w:bCs/>
          <w:sz w:val="28"/>
          <w:szCs w:val="28"/>
        </w:rPr>
        <w:t xml:space="preserve"> the respondents were in contempt of Neuki</w:t>
      </w:r>
      <w:r w:rsidR="00A940E5" w:rsidRPr="00FE2D31">
        <w:rPr>
          <w:bCs/>
          <w:sz w:val="28"/>
          <w:szCs w:val="28"/>
        </w:rPr>
        <w:t>r</w:t>
      </w:r>
      <w:r w:rsidR="00B91D3D" w:rsidRPr="00FE2D31">
        <w:rPr>
          <w:bCs/>
          <w:sz w:val="28"/>
          <w:szCs w:val="28"/>
        </w:rPr>
        <w:t xml:space="preserve">cher J’s order </w:t>
      </w:r>
      <w:r w:rsidR="00E0341D" w:rsidRPr="00FE2D31">
        <w:rPr>
          <w:bCs/>
          <w:sz w:val="28"/>
          <w:szCs w:val="28"/>
        </w:rPr>
        <w:t xml:space="preserve">beyond </w:t>
      </w:r>
      <w:r w:rsidR="00DC0CF6" w:rsidRPr="00FE2D31">
        <w:rPr>
          <w:bCs/>
          <w:sz w:val="28"/>
          <w:szCs w:val="28"/>
        </w:rPr>
        <w:t xml:space="preserve">a </w:t>
      </w:r>
      <w:r w:rsidR="00E0341D" w:rsidRPr="00FE2D31">
        <w:rPr>
          <w:bCs/>
          <w:sz w:val="28"/>
          <w:szCs w:val="28"/>
        </w:rPr>
        <w:t>reasonable doubt</w:t>
      </w:r>
      <w:r w:rsidR="00DC0CF6" w:rsidRPr="00FE2D31">
        <w:rPr>
          <w:bCs/>
          <w:sz w:val="28"/>
          <w:szCs w:val="28"/>
        </w:rPr>
        <w:t>. It is accordingly</w:t>
      </w:r>
      <w:r w:rsidR="00B91D3D" w:rsidRPr="00FE2D31">
        <w:rPr>
          <w:bCs/>
          <w:sz w:val="28"/>
          <w:szCs w:val="28"/>
        </w:rPr>
        <w:t xml:space="preserve"> entitled to the relief </w:t>
      </w:r>
      <w:r w:rsidR="00E0341D" w:rsidRPr="00FE2D31">
        <w:rPr>
          <w:bCs/>
          <w:sz w:val="28"/>
          <w:szCs w:val="28"/>
        </w:rPr>
        <w:t xml:space="preserve">it </w:t>
      </w:r>
      <w:r w:rsidR="00B91D3D" w:rsidRPr="00FE2D31">
        <w:rPr>
          <w:bCs/>
          <w:sz w:val="28"/>
          <w:szCs w:val="28"/>
        </w:rPr>
        <w:t>sought</w:t>
      </w:r>
      <w:r w:rsidR="00DC0CF6" w:rsidRPr="00FE2D31">
        <w:rPr>
          <w:bCs/>
          <w:sz w:val="28"/>
          <w:szCs w:val="28"/>
        </w:rPr>
        <w:t xml:space="preserve"> before Van der Westhuizen J</w:t>
      </w:r>
      <w:r w:rsidR="00B91D3D" w:rsidRPr="00FE2D31">
        <w:rPr>
          <w:bCs/>
          <w:sz w:val="28"/>
          <w:szCs w:val="28"/>
        </w:rPr>
        <w:t>.</w:t>
      </w:r>
    </w:p>
    <w:p w14:paraId="438042F2" w14:textId="77777777" w:rsidR="00B91D3D" w:rsidRPr="00FE2D31" w:rsidRDefault="00B91D3D" w:rsidP="00197338">
      <w:pPr>
        <w:rPr>
          <w:bCs/>
          <w:sz w:val="28"/>
          <w:szCs w:val="28"/>
        </w:rPr>
      </w:pPr>
    </w:p>
    <w:p w14:paraId="2A95076C" w14:textId="14D45DA0" w:rsidR="00AF6737" w:rsidRPr="00FE2D31" w:rsidRDefault="00042474" w:rsidP="00042474">
      <w:pPr>
        <w:tabs>
          <w:tab w:val="left" w:pos="0"/>
        </w:tabs>
        <w:rPr>
          <w:bCs/>
          <w:sz w:val="28"/>
          <w:szCs w:val="28"/>
        </w:rPr>
      </w:pPr>
      <w:r w:rsidRPr="00FE2D31">
        <w:rPr>
          <w:sz w:val="28"/>
          <w:szCs w:val="28"/>
        </w:rPr>
        <w:t>[68]</w:t>
      </w:r>
      <w:r w:rsidRPr="00FE2D31">
        <w:rPr>
          <w:sz w:val="28"/>
          <w:szCs w:val="28"/>
        </w:rPr>
        <w:tab/>
      </w:r>
      <w:r w:rsidR="00B91D3D" w:rsidRPr="00FE2D31">
        <w:rPr>
          <w:bCs/>
          <w:sz w:val="28"/>
          <w:szCs w:val="28"/>
        </w:rPr>
        <w:t>The next issue to determine is</w:t>
      </w:r>
      <w:r w:rsidR="00576A03" w:rsidRPr="00FE2D31">
        <w:rPr>
          <w:bCs/>
          <w:sz w:val="28"/>
          <w:szCs w:val="28"/>
        </w:rPr>
        <w:t xml:space="preserve"> the </w:t>
      </w:r>
      <w:r w:rsidR="00E0341D" w:rsidRPr="00FE2D31">
        <w:rPr>
          <w:bCs/>
          <w:sz w:val="28"/>
          <w:szCs w:val="28"/>
        </w:rPr>
        <w:t xml:space="preserve">penalty </w:t>
      </w:r>
      <w:r w:rsidR="00576A03" w:rsidRPr="00FE2D31">
        <w:rPr>
          <w:bCs/>
          <w:sz w:val="28"/>
          <w:szCs w:val="28"/>
        </w:rPr>
        <w:t>to be imposed against the respondents. Samancor sought an order directing each of the respondents to pay a fine of R100 000</w:t>
      </w:r>
      <w:r w:rsidR="00AF6737" w:rsidRPr="00FE2D31">
        <w:rPr>
          <w:bCs/>
          <w:sz w:val="28"/>
          <w:szCs w:val="28"/>
        </w:rPr>
        <w:t xml:space="preserve"> or any other sum the Court would deem appropriate</w:t>
      </w:r>
      <w:r w:rsidR="00A04DEC" w:rsidRPr="00FE2D31">
        <w:rPr>
          <w:bCs/>
          <w:sz w:val="28"/>
          <w:szCs w:val="28"/>
        </w:rPr>
        <w:t>.</w:t>
      </w:r>
      <w:r w:rsidR="00AF6737" w:rsidRPr="00FE2D31">
        <w:rPr>
          <w:bCs/>
          <w:sz w:val="28"/>
          <w:szCs w:val="28"/>
        </w:rPr>
        <w:t xml:space="preserve"> </w:t>
      </w:r>
      <w:r w:rsidR="00A40C64" w:rsidRPr="00FE2D31">
        <w:rPr>
          <w:bCs/>
          <w:sz w:val="28"/>
          <w:szCs w:val="28"/>
        </w:rPr>
        <w:t>Further, counsel for Samancor submitted that, i</w:t>
      </w:r>
      <w:r w:rsidR="00CD043E" w:rsidRPr="00FE2D31">
        <w:rPr>
          <w:bCs/>
          <w:sz w:val="28"/>
          <w:szCs w:val="28"/>
        </w:rPr>
        <w:t>n</w:t>
      </w:r>
      <w:r w:rsidR="00AF6737" w:rsidRPr="00FE2D31">
        <w:rPr>
          <w:bCs/>
          <w:sz w:val="28"/>
          <w:szCs w:val="28"/>
        </w:rPr>
        <w:t xml:space="preserve"> the event that any of the respondents failed to pay the fine</w:t>
      </w:r>
      <w:r w:rsidR="00F1786D" w:rsidRPr="00FE2D31">
        <w:rPr>
          <w:bCs/>
          <w:sz w:val="28"/>
          <w:szCs w:val="28"/>
        </w:rPr>
        <w:t xml:space="preserve"> or continued to breach Neuki</w:t>
      </w:r>
      <w:r w:rsidR="006404E9" w:rsidRPr="00FE2D31">
        <w:rPr>
          <w:bCs/>
          <w:sz w:val="28"/>
          <w:szCs w:val="28"/>
        </w:rPr>
        <w:t>r</w:t>
      </w:r>
      <w:r w:rsidR="00F1786D" w:rsidRPr="00FE2D31">
        <w:rPr>
          <w:bCs/>
          <w:sz w:val="28"/>
          <w:szCs w:val="28"/>
        </w:rPr>
        <w:t xml:space="preserve">cher J’s order, they be committed to imprisonment. </w:t>
      </w:r>
    </w:p>
    <w:p w14:paraId="324A8071" w14:textId="77777777" w:rsidR="00AF6737" w:rsidRPr="00FE2D31" w:rsidRDefault="00AF6737" w:rsidP="00AF6737">
      <w:pPr>
        <w:pStyle w:val="ListParagraph"/>
        <w:rPr>
          <w:bCs/>
          <w:sz w:val="28"/>
          <w:szCs w:val="28"/>
        </w:rPr>
      </w:pPr>
    </w:p>
    <w:p w14:paraId="5ED17770" w14:textId="05908895" w:rsidR="00AF6737" w:rsidRPr="00FE2D31" w:rsidRDefault="00042474" w:rsidP="00042474">
      <w:pPr>
        <w:tabs>
          <w:tab w:val="left" w:pos="0"/>
        </w:tabs>
        <w:rPr>
          <w:bCs/>
          <w:sz w:val="28"/>
          <w:szCs w:val="28"/>
        </w:rPr>
      </w:pPr>
      <w:r w:rsidRPr="00FE2D31">
        <w:rPr>
          <w:sz w:val="28"/>
          <w:szCs w:val="28"/>
        </w:rPr>
        <w:t>[69]</w:t>
      </w:r>
      <w:r w:rsidRPr="00FE2D31">
        <w:rPr>
          <w:sz w:val="28"/>
          <w:szCs w:val="28"/>
        </w:rPr>
        <w:tab/>
      </w:r>
      <w:r w:rsidR="00A40C64" w:rsidRPr="00FE2D31">
        <w:rPr>
          <w:bCs/>
          <w:sz w:val="28"/>
          <w:szCs w:val="28"/>
        </w:rPr>
        <w:t>However</w:t>
      </w:r>
      <w:r w:rsidR="00EA4F4B" w:rsidRPr="00FE2D31">
        <w:rPr>
          <w:bCs/>
          <w:sz w:val="28"/>
          <w:szCs w:val="28"/>
        </w:rPr>
        <w:t>,</w:t>
      </w:r>
      <w:r w:rsidR="00A40C64" w:rsidRPr="00FE2D31">
        <w:rPr>
          <w:bCs/>
          <w:sz w:val="28"/>
          <w:szCs w:val="28"/>
        </w:rPr>
        <w:t xml:space="preserve"> when pressed, c</w:t>
      </w:r>
      <w:r w:rsidR="00AF6737" w:rsidRPr="00FE2D31">
        <w:rPr>
          <w:bCs/>
          <w:sz w:val="28"/>
          <w:szCs w:val="28"/>
        </w:rPr>
        <w:t xml:space="preserve">ounsel conceded that </w:t>
      </w:r>
      <w:r w:rsidR="00A40C64" w:rsidRPr="00FE2D31">
        <w:rPr>
          <w:bCs/>
          <w:sz w:val="28"/>
          <w:szCs w:val="28"/>
        </w:rPr>
        <w:t xml:space="preserve">an order for committal </w:t>
      </w:r>
      <w:r w:rsidR="00AF6737" w:rsidRPr="00FE2D31">
        <w:rPr>
          <w:bCs/>
          <w:sz w:val="28"/>
          <w:szCs w:val="28"/>
        </w:rPr>
        <w:t xml:space="preserve">would be </w:t>
      </w:r>
      <w:r w:rsidR="00E0341D" w:rsidRPr="00FE2D31">
        <w:rPr>
          <w:bCs/>
          <w:sz w:val="28"/>
          <w:szCs w:val="28"/>
        </w:rPr>
        <w:t>in</w:t>
      </w:r>
      <w:r w:rsidR="00AF6737" w:rsidRPr="00FE2D31">
        <w:rPr>
          <w:bCs/>
          <w:sz w:val="28"/>
          <w:szCs w:val="28"/>
        </w:rPr>
        <w:t>appropriate</w:t>
      </w:r>
      <w:r w:rsidR="00E0341D" w:rsidRPr="00FE2D31">
        <w:rPr>
          <w:bCs/>
          <w:sz w:val="28"/>
          <w:szCs w:val="28"/>
        </w:rPr>
        <w:t xml:space="preserve"> at this </w:t>
      </w:r>
      <w:r w:rsidR="00DC0CF6" w:rsidRPr="00FE2D31">
        <w:rPr>
          <w:bCs/>
          <w:sz w:val="28"/>
          <w:szCs w:val="28"/>
        </w:rPr>
        <w:t>stage</w:t>
      </w:r>
      <w:r w:rsidR="00A40C64" w:rsidRPr="00FE2D31">
        <w:rPr>
          <w:bCs/>
          <w:sz w:val="28"/>
          <w:szCs w:val="28"/>
        </w:rPr>
        <w:t xml:space="preserve">. </w:t>
      </w:r>
      <w:r w:rsidR="00E0341D" w:rsidRPr="00FE2D31">
        <w:rPr>
          <w:bCs/>
          <w:sz w:val="28"/>
          <w:szCs w:val="28"/>
        </w:rPr>
        <w:t xml:space="preserve">The </w:t>
      </w:r>
      <w:r w:rsidR="00DC0CF6" w:rsidRPr="00FE2D31">
        <w:rPr>
          <w:bCs/>
          <w:sz w:val="28"/>
          <w:szCs w:val="28"/>
        </w:rPr>
        <w:t>im</w:t>
      </w:r>
      <w:r w:rsidR="00E0341D" w:rsidRPr="00FE2D31">
        <w:rPr>
          <w:bCs/>
          <w:sz w:val="28"/>
          <w:szCs w:val="28"/>
        </w:rPr>
        <w:t xml:space="preserve">position of </w:t>
      </w:r>
      <w:r w:rsidR="00DC0CF6" w:rsidRPr="00FE2D31">
        <w:rPr>
          <w:bCs/>
          <w:sz w:val="28"/>
          <w:szCs w:val="28"/>
        </w:rPr>
        <w:t>a</w:t>
      </w:r>
      <w:r w:rsidR="00E0341D" w:rsidRPr="00FE2D31">
        <w:rPr>
          <w:bCs/>
          <w:sz w:val="28"/>
          <w:szCs w:val="28"/>
        </w:rPr>
        <w:t xml:space="preserve"> fine in respect of each </w:t>
      </w:r>
      <w:r w:rsidR="00DC0CF6" w:rsidRPr="00FE2D31">
        <w:rPr>
          <w:bCs/>
          <w:sz w:val="28"/>
          <w:szCs w:val="28"/>
        </w:rPr>
        <w:t xml:space="preserve">of the </w:t>
      </w:r>
      <w:r w:rsidR="00E0341D" w:rsidRPr="00FE2D31">
        <w:rPr>
          <w:bCs/>
          <w:sz w:val="28"/>
          <w:szCs w:val="28"/>
        </w:rPr>
        <w:t>respondent</w:t>
      </w:r>
      <w:r w:rsidR="00DC0CF6" w:rsidRPr="00FE2D31">
        <w:rPr>
          <w:bCs/>
          <w:sz w:val="28"/>
          <w:szCs w:val="28"/>
        </w:rPr>
        <w:t>s</w:t>
      </w:r>
      <w:r w:rsidR="00E0341D" w:rsidRPr="00FE2D31">
        <w:rPr>
          <w:bCs/>
          <w:sz w:val="28"/>
          <w:szCs w:val="28"/>
        </w:rPr>
        <w:t xml:space="preserve"> is</w:t>
      </w:r>
      <w:r w:rsidR="00B105E9" w:rsidRPr="00FE2D31">
        <w:rPr>
          <w:bCs/>
          <w:sz w:val="28"/>
          <w:szCs w:val="28"/>
        </w:rPr>
        <w:t xml:space="preserve">, thus, </w:t>
      </w:r>
      <w:r w:rsidR="00E0341D" w:rsidRPr="00FE2D31">
        <w:rPr>
          <w:bCs/>
          <w:sz w:val="28"/>
          <w:szCs w:val="28"/>
        </w:rPr>
        <w:t>the most appropriate penalty</w:t>
      </w:r>
      <w:r w:rsidR="00B105E9" w:rsidRPr="00FE2D31">
        <w:rPr>
          <w:bCs/>
          <w:sz w:val="28"/>
          <w:szCs w:val="28"/>
        </w:rPr>
        <w:t xml:space="preserve"> in the </w:t>
      </w:r>
      <w:r w:rsidR="00B105E9" w:rsidRPr="00FE2D31">
        <w:rPr>
          <w:bCs/>
          <w:sz w:val="28"/>
          <w:szCs w:val="28"/>
        </w:rPr>
        <w:lastRenderedPageBreak/>
        <w:t>circumstances</w:t>
      </w:r>
      <w:r w:rsidR="00E0341D" w:rsidRPr="00FE2D31">
        <w:rPr>
          <w:bCs/>
          <w:sz w:val="28"/>
          <w:szCs w:val="28"/>
        </w:rPr>
        <w:t>. I am</w:t>
      </w:r>
      <w:r w:rsidR="00B105E9" w:rsidRPr="00FE2D31">
        <w:rPr>
          <w:bCs/>
          <w:sz w:val="28"/>
          <w:szCs w:val="28"/>
        </w:rPr>
        <w:t xml:space="preserve"> further</w:t>
      </w:r>
      <w:r w:rsidR="00E0341D" w:rsidRPr="00FE2D31">
        <w:rPr>
          <w:bCs/>
          <w:sz w:val="28"/>
          <w:szCs w:val="28"/>
        </w:rPr>
        <w:t xml:space="preserve"> of the view that the directors should be ordered to </w:t>
      </w:r>
      <w:r w:rsidR="00DC0CF6" w:rsidRPr="00FE2D31">
        <w:rPr>
          <w:bCs/>
          <w:sz w:val="28"/>
          <w:szCs w:val="28"/>
        </w:rPr>
        <w:t xml:space="preserve">each </w:t>
      </w:r>
      <w:r w:rsidR="00E0341D" w:rsidRPr="00FE2D31">
        <w:rPr>
          <w:bCs/>
          <w:sz w:val="28"/>
          <w:szCs w:val="28"/>
        </w:rPr>
        <w:t xml:space="preserve">pay </w:t>
      </w:r>
      <w:r w:rsidR="00DC0CF6" w:rsidRPr="00FE2D31">
        <w:rPr>
          <w:bCs/>
          <w:sz w:val="28"/>
          <w:szCs w:val="28"/>
        </w:rPr>
        <w:t>half of the fine</w:t>
      </w:r>
      <w:r w:rsidR="00B105E9" w:rsidRPr="00FE2D31">
        <w:rPr>
          <w:bCs/>
          <w:sz w:val="28"/>
          <w:szCs w:val="28"/>
        </w:rPr>
        <w:t xml:space="preserve"> that would be</w:t>
      </w:r>
      <w:r w:rsidR="00DC0CF6" w:rsidRPr="00FE2D31">
        <w:rPr>
          <w:bCs/>
          <w:sz w:val="28"/>
          <w:szCs w:val="28"/>
        </w:rPr>
        <w:t xml:space="preserve"> paid by</w:t>
      </w:r>
      <w:r w:rsidR="00B105E9" w:rsidRPr="00FE2D31">
        <w:rPr>
          <w:bCs/>
          <w:sz w:val="28"/>
          <w:szCs w:val="28"/>
        </w:rPr>
        <w:t xml:space="preserve"> Bila</w:t>
      </w:r>
      <w:r w:rsidR="00DC0CF6" w:rsidRPr="00FE2D31">
        <w:rPr>
          <w:bCs/>
          <w:sz w:val="28"/>
          <w:szCs w:val="28"/>
        </w:rPr>
        <w:t xml:space="preserve">. Costs should follow the result. </w:t>
      </w:r>
    </w:p>
    <w:p w14:paraId="2494BEFB" w14:textId="77777777" w:rsidR="00DC0CF6" w:rsidRPr="00FE2D31" w:rsidRDefault="00DC0CF6" w:rsidP="00DC0CF6">
      <w:pPr>
        <w:pStyle w:val="ListParagraph"/>
        <w:rPr>
          <w:bCs/>
          <w:sz w:val="28"/>
          <w:szCs w:val="28"/>
        </w:rPr>
      </w:pPr>
    </w:p>
    <w:p w14:paraId="24DFE2EC" w14:textId="7A861996" w:rsidR="00B91D3D" w:rsidRPr="00FE2D31" w:rsidRDefault="00042474" w:rsidP="00042474">
      <w:pPr>
        <w:tabs>
          <w:tab w:val="left" w:pos="0"/>
        </w:tabs>
        <w:rPr>
          <w:bCs/>
          <w:sz w:val="28"/>
          <w:szCs w:val="28"/>
        </w:rPr>
      </w:pPr>
      <w:r w:rsidRPr="00FE2D31">
        <w:rPr>
          <w:sz w:val="28"/>
          <w:szCs w:val="28"/>
        </w:rPr>
        <w:t>[70]</w:t>
      </w:r>
      <w:r w:rsidRPr="00FE2D31">
        <w:rPr>
          <w:sz w:val="28"/>
          <w:szCs w:val="28"/>
        </w:rPr>
        <w:tab/>
      </w:r>
      <w:r w:rsidR="00AF6737" w:rsidRPr="00FE2D31">
        <w:rPr>
          <w:bCs/>
          <w:sz w:val="28"/>
          <w:szCs w:val="28"/>
        </w:rPr>
        <w:t>In the circumstances</w:t>
      </w:r>
      <w:r w:rsidR="00AE0EE6" w:rsidRPr="00FE2D31">
        <w:rPr>
          <w:bCs/>
          <w:sz w:val="28"/>
          <w:szCs w:val="28"/>
        </w:rPr>
        <w:t>,</w:t>
      </w:r>
      <w:r w:rsidR="00AF6737" w:rsidRPr="00FE2D31">
        <w:rPr>
          <w:bCs/>
          <w:sz w:val="28"/>
          <w:szCs w:val="28"/>
        </w:rPr>
        <w:t xml:space="preserve"> the following order is made:</w:t>
      </w:r>
    </w:p>
    <w:p w14:paraId="3C114C67" w14:textId="72A59D08" w:rsidR="00AF6737" w:rsidRPr="00FE2D31" w:rsidRDefault="00083EB9" w:rsidP="00083EB9">
      <w:pPr>
        <w:rPr>
          <w:bCs/>
          <w:sz w:val="28"/>
          <w:szCs w:val="28"/>
        </w:rPr>
      </w:pPr>
      <w:r w:rsidRPr="00FE2D31">
        <w:rPr>
          <w:bCs/>
          <w:sz w:val="28"/>
          <w:szCs w:val="28"/>
        </w:rPr>
        <w:t>1</w:t>
      </w:r>
      <w:r w:rsidR="00AF6E73" w:rsidRPr="00FE2D31">
        <w:rPr>
          <w:bCs/>
          <w:sz w:val="28"/>
          <w:szCs w:val="28"/>
        </w:rPr>
        <w:tab/>
      </w:r>
      <w:r w:rsidR="00AF6737" w:rsidRPr="00FE2D31">
        <w:rPr>
          <w:bCs/>
          <w:sz w:val="28"/>
          <w:szCs w:val="28"/>
        </w:rPr>
        <w:t xml:space="preserve">The appeal succeeds </w:t>
      </w:r>
      <w:r w:rsidR="00AE0EE6" w:rsidRPr="00FE2D31">
        <w:rPr>
          <w:bCs/>
          <w:sz w:val="28"/>
          <w:szCs w:val="28"/>
        </w:rPr>
        <w:t xml:space="preserve">with </w:t>
      </w:r>
      <w:r w:rsidR="00AF6737" w:rsidRPr="00FE2D31">
        <w:rPr>
          <w:bCs/>
          <w:sz w:val="28"/>
          <w:szCs w:val="28"/>
        </w:rPr>
        <w:t>costs.</w:t>
      </w:r>
    </w:p>
    <w:p w14:paraId="7EACEEFF" w14:textId="24923025" w:rsidR="00AF6737" w:rsidRPr="00FE2D31" w:rsidRDefault="00083EB9" w:rsidP="00083EB9">
      <w:pPr>
        <w:rPr>
          <w:bCs/>
          <w:sz w:val="28"/>
          <w:szCs w:val="28"/>
        </w:rPr>
      </w:pPr>
      <w:r w:rsidRPr="00FE2D31">
        <w:rPr>
          <w:bCs/>
          <w:sz w:val="28"/>
          <w:szCs w:val="28"/>
        </w:rPr>
        <w:t>2</w:t>
      </w:r>
      <w:r w:rsidR="00AF6E73" w:rsidRPr="00FE2D31">
        <w:rPr>
          <w:bCs/>
          <w:sz w:val="28"/>
          <w:szCs w:val="28"/>
        </w:rPr>
        <w:tab/>
      </w:r>
      <w:r w:rsidR="0015748B" w:rsidRPr="00FE2D31">
        <w:rPr>
          <w:bCs/>
          <w:sz w:val="28"/>
          <w:szCs w:val="28"/>
        </w:rPr>
        <w:t>Paragraph (</w:t>
      </w:r>
      <w:r w:rsidR="00CD043E" w:rsidRPr="00FE2D31">
        <w:rPr>
          <w:bCs/>
          <w:sz w:val="28"/>
          <w:szCs w:val="28"/>
        </w:rPr>
        <w:t>b</w:t>
      </w:r>
      <w:r w:rsidR="0015748B" w:rsidRPr="00FE2D31">
        <w:rPr>
          <w:bCs/>
          <w:sz w:val="28"/>
          <w:szCs w:val="28"/>
        </w:rPr>
        <w:t xml:space="preserve">) </w:t>
      </w:r>
      <w:r w:rsidR="00995096" w:rsidRPr="00FE2D31">
        <w:rPr>
          <w:bCs/>
          <w:sz w:val="28"/>
          <w:szCs w:val="28"/>
        </w:rPr>
        <w:t>of the high court</w:t>
      </w:r>
      <w:r w:rsidR="00801CD3" w:rsidRPr="00FE2D31">
        <w:rPr>
          <w:bCs/>
          <w:sz w:val="28"/>
          <w:szCs w:val="28"/>
        </w:rPr>
        <w:t xml:space="preserve"> order</w:t>
      </w:r>
      <w:r w:rsidR="00995096" w:rsidRPr="00FE2D31">
        <w:rPr>
          <w:bCs/>
          <w:sz w:val="28"/>
          <w:szCs w:val="28"/>
        </w:rPr>
        <w:t xml:space="preserve"> is set aside and replaced with the following:</w:t>
      </w:r>
    </w:p>
    <w:p w14:paraId="2EEC074D" w14:textId="09395B19" w:rsidR="003E4190" w:rsidRPr="00FE2D31" w:rsidRDefault="003E4190" w:rsidP="003E4190">
      <w:pPr>
        <w:rPr>
          <w:bCs/>
          <w:sz w:val="28"/>
          <w:szCs w:val="28"/>
        </w:rPr>
      </w:pPr>
      <w:r w:rsidRPr="00FE2D31">
        <w:rPr>
          <w:bCs/>
          <w:sz w:val="28"/>
          <w:szCs w:val="28"/>
        </w:rPr>
        <w:t>‘(b) It is declared that the respondents are in contempt of the order granted by Neukircher J on 1 July 2019.</w:t>
      </w:r>
    </w:p>
    <w:p w14:paraId="2FE0D1BE" w14:textId="2EF1090F" w:rsidR="003E4190" w:rsidRPr="00FE2D31" w:rsidRDefault="003E4190" w:rsidP="003E4190">
      <w:pPr>
        <w:rPr>
          <w:bCs/>
          <w:sz w:val="28"/>
          <w:szCs w:val="28"/>
        </w:rPr>
      </w:pPr>
      <w:r w:rsidRPr="00FE2D31">
        <w:rPr>
          <w:bCs/>
          <w:sz w:val="28"/>
          <w:szCs w:val="28"/>
        </w:rPr>
        <w:t>(i) The first respondent is to pay a fine of R100 000, while the second to fifth respondents are to pay a fine of R50 000</w:t>
      </w:r>
      <w:r w:rsidR="00933C74" w:rsidRPr="00FE2D31">
        <w:rPr>
          <w:bCs/>
          <w:sz w:val="28"/>
          <w:szCs w:val="28"/>
        </w:rPr>
        <w:t xml:space="preserve"> each</w:t>
      </w:r>
      <w:r w:rsidR="00EA4F4B" w:rsidRPr="00FE2D31">
        <w:rPr>
          <w:bCs/>
          <w:sz w:val="28"/>
          <w:szCs w:val="28"/>
        </w:rPr>
        <w:t>,</w:t>
      </w:r>
      <w:r w:rsidRPr="00FE2D31">
        <w:rPr>
          <w:bCs/>
          <w:sz w:val="28"/>
          <w:szCs w:val="28"/>
        </w:rPr>
        <w:t xml:space="preserve"> to the Registrar of this Court, within 30 days of this order.</w:t>
      </w:r>
    </w:p>
    <w:p w14:paraId="5EDB2569" w14:textId="61A2A7E1" w:rsidR="003E4190" w:rsidRPr="00FE2D31" w:rsidRDefault="003E4190" w:rsidP="003E4190">
      <w:pPr>
        <w:rPr>
          <w:bCs/>
          <w:sz w:val="28"/>
          <w:szCs w:val="28"/>
        </w:rPr>
      </w:pPr>
      <w:r w:rsidRPr="00FE2D31">
        <w:rPr>
          <w:bCs/>
          <w:sz w:val="28"/>
          <w:szCs w:val="28"/>
        </w:rPr>
        <w:t xml:space="preserve">(ii) The respondents shall notify the applicant in writing of their compliance with the order in </w:t>
      </w:r>
      <w:r w:rsidR="00EA4F4B" w:rsidRPr="00FE2D31">
        <w:rPr>
          <w:bCs/>
          <w:sz w:val="28"/>
          <w:szCs w:val="28"/>
        </w:rPr>
        <w:t>sub</w:t>
      </w:r>
      <w:r w:rsidRPr="00FE2D31">
        <w:rPr>
          <w:bCs/>
          <w:sz w:val="28"/>
          <w:szCs w:val="28"/>
        </w:rPr>
        <w:t>para</w:t>
      </w:r>
      <w:r w:rsidR="00E95EBF" w:rsidRPr="00FE2D31">
        <w:rPr>
          <w:bCs/>
          <w:sz w:val="28"/>
          <w:szCs w:val="28"/>
        </w:rPr>
        <w:t xml:space="preserve">graph </w:t>
      </w:r>
      <w:r w:rsidRPr="00FE2D31">
        <w:rPr>
          <w:bCs/>
          <w:sz w:val="28"/>
          <w:szCs w:val="28"/>
        </w:rPr>
        <w:t xml:space="preserve">(i) above </w:t>
      </w:r>
      <w:r w:rsidR="00D8493F" w:rsidRPr="00FE2D31">
        <w:rPr>
          <w:bCs/>
          <w:sz w:val="28"/>
          <w:szCs w:val="28"/>
        </w:rPr>
        <w:t xml:space="preserve">within 5 days of the payment of the amounts referred to in </w:t>
      </w:r>
      <w:r w:rsidR="00EA4F4B" w:rsidRPr="00FE2D31">
        <w:rPr>
          <w:bCs/>
          <w:sz w:val="28"/>
          <w:szCs w:val="28"/>
        </w:rPr>
        <w:t>sub</w:t>
      </w:r>
      <w:r w:rsidR="00D8493F" w:rsidRPr="00FE2D31">
        <w:rPr>
          <w:bCs/>
          <w:sz w:val="28"/>
          <w:szCs w:val="28"/>
        </w:rPr>
        <w:t>paragraph (i)</w:t>
      </w:r>
      <w:r w:rsidR="0070660F" w:rsidRPr="00FE2D31">
        <w:rPr>
          <w:bCs/>
          <w:sz w:val="28"/>
          <w:szCs w:val="28"/>
        </w:rPr>
        <w:t xml:space="preserve"> hereof</w:t>
      </w:r>
      <w:r w:rsidRPr="00FE2D31">
        <w:rPr>
          <w:bCs/>
          <w:sz w:val="28"/>
          <w:szCs w:val="28"/>
        </w:rPr>
        <w:t xml:space="preserve"> after they have</w:t>
      </w:r>
      <w:r w:rsidR="00396235" w:rsidRPr="00FE2D31">
        <w:rPr>
          <w:bCs/>
          <w:sz w:val="28"/>
          <w:szCs w:val="28"/>
        </w:rPr>
        <w:t xml:space="preserve"> done</w:t>
      </w:r>
      <w:r w:rsidRPr="00FE2D31">
        <w:rPr>
          <w:bCs/>
          <w:sz w:val="28"/>
          <w:szCs w:val="28"/>
        </w:rPr>
        <w:t xml:space="preserve"> so. </w:t>
      </w:r>
    </w:p>
    <w:p w14:paraId="1837209D" w14:textId="0138CFA3" w:rsidR="003E4190" w:rsidRPr="00FE2D31" w:rsidRDefault="003E4190" w:rsidP="003E4190">
      <w:pPr>
        <w:rPr>
          <w:bCs/>
          <w:sz w:val="28"/>
          <w:szCs w:val="28"/>
        </w:rPr>
      </w:pPr>
      <w:r w:rsidRPr="00FE2D31">
        <w:rPr>
          <w:bCs/>
          <w:sz w:val="28"/>
          <w:szCs w:val="28"/>
        </w:rPr>
        <w:t>(i</w:t>
      </w:r>
      <w:r w:rsidR="00AA0DE9" w:rsidRPr="00FE2D31">
        <w:rPr>
          <w:bCs/>
          <w:sz w:val="28"/>
          <w:szCs w:val="28"/>
        </w:rPr>
        <w:t>ii</w:t>
      </w:r>
      <w:r w:rsidRPr="00FE2D31">
        <w:rPr>
          <w:bCs/>
          <w:sz w:val="28"/>
          <w:szCs w:val="28"/>
        </w:rPr>
        <w:t>) The respondents are to pay the costs in respect of the declaratory order in para</w:t>
      </w:r>
      <w:r w:rsidR="00E95EBF" w:rsidRPr="00FE2D31">
        <w:rPr>
          <w:bCs/>
          <w:sz w:val="28"/>
          <w:szCs w:val="28"/>
        </w:rPr>
        <w:t>graph</w:t>
      </w:r>
      <w:r w:rsidRPr="00FE2D31">
        <w:rPr>
          <w:bCs/>
          <w:sz w:val="28"/>
          <w:szCs w:val="28"/>
        </w:rPr>
        <w:t xml:space="preserve"> (b) above jointly and severally, the one paying the other to be absolved, such costs to include the costs occasioned by the employment of two counsel where applicable.’ </w:t>
      </w:r>
    </w:p>
    <w:p w14:paraId="206F8956" w14:textId="77777777" w:rsidR="00DF0E11" w:rsidRPr="00FE2D31" w:rsidRDefault="00DF0E11" w:rsidP="00DF0E11">
      <w:pPr>
        <w:pStyle w:val="ListParagraph"/>
        <w:rPr>
          <w:bCs/>
          <w:sz w:val="28"/>
          <w:szCs w:val="28"/>
        </w:rPr>
      </w:pPr>
    </w:p>
    <w:p w14:paraId="7492A4F1" w14:textId="77777777" w:rsidR="00E061E8" w:rsidRPr="00FE2D31" w:rsidRDefault="00FF5C18" w:rsidP="00FF5C18">
      <w:pPr>
        <w:ind w:firstLine="4410"/>
        <w:jc w:val="right"/>
        <w:rPr>
          <w:sz w:val="28"/>
          <w:szCs w:val="28"/>
        </w:rPr>
      </w:pPr>
      <w:r w:rsidRPr="00FE2D31">
        <w:rPr>
          <w:sz w:val="28"/>
          <w:szCs w:val="28"/>
        </w:rPr>
        <w:t>__</w:t>
      </w:r>
      <w:r w:rsidR="00E061E8" w:rsidRPr="00FE2D31">
        <w:rPr>
          <w:sz w:val="28"/>
          <w:szCs w:val="28"/>
        </w:rPr>
        <w:t>________________________</w:t>
      </w:r>
    </w:p>
    <w:p w14:paraId="38CE9FC5" w14:textId="77777777" w:rsidR="00E061E8" w:rsidRPr="00FE2D31" w:rsidRDefault="00E061E8" w:rsidP="00E061E8">
      <w:pPr>
        <w:ind w:firstLine="4860"/>
        <w:jc w:val="right"/>
        <w:rPr>
          <w:sz w:val="28"/>
          <w:szCs w:val="28"/>
        </w:rPr>
      </w:pPr>
      <w:r w:rsidRPr="00FE2D31">
        <w:rPr>
          <w:sz w:val="28"/>
          <w:szCs w:val="28"/>
        </w:rPr>
        <w:t>N P MABINDLA-BOQWANA</w:t>
      </w:r>
    </w:p>
    <w:p w14:paraId="69D429E5" w14:textId="77777777" w:rsidR="00E061E8" w:rsidRPr="00FE2D31" w:rsidRDefault="00E061E8" w:rsidP="00E061E8">
      <w:pPr>
        <w:ind w:firstLine="4860"/>
        <w:jc w:val="right"/>
        <w:rPr>
          <w:sz w:val="28"/>
          <w:szCs w:val="28"/>
        </w:rPr>
      </w:pPr>
      <w:r w:rsidRPr="00FE2D31">
        <w:rPr>
          <w:sz w:val="28"/>
          <w:szCs w:val="28"/>
        </w:rPr>
        <w:t>JUDGE OF APPEAL</w:t>
      </w:r>
    </w:p>
    <w:p w14:paraId="0B583486" w14:textId="2E35D136" w:rsidR="00AE0EE6" w:rsidRPr="00FE2D31" w:rsidRDefault="00AE0EE6">
      <w:pPr>
        <w:rPr>
          <w:sz w:val="28"/>
          <w:szCs w:val="28"/>
        </w:rPr>
      </w:pPr>
      <w:r w:rsidRPr="00FE2D31">
        <w:rPr>
          <w:sz w:val="28"/>
          <w:szCs w:val="28"/>
        </w:rPr>
        <w:br w:type="page"/>
      </w:r>
    </w:p>
    <w:p w14:paraId="1A4262FF" w14:textId="21A33D34" w:rsidR="00AE0EE6" w:rsidRPr="00FE2D31" w:rsidRDefault="00AE0EE6" w:rsidP="00E061E8">
      <w:pPr>
        <w:rPr>
          <w:sz w:val="28"/>
          <w:szCs w:val="28"/>
        </w:rPr>
      </w:pPr>
      <w:r w:rsidRPr="00FE2D31">
        <w:rPr>
          <w:sz w:val="28"/>
          <w:szCs w:val="28"/>
        </w:rPr>
        <w:lastRenderedPageBreak/>
        <w:t>A</w:t>
      </w:r>
      <w:r w:rsidR="00962642" w:rsidRPr="00FE2D31">
        <w:rPr>
          <w:sz w:val="28"/>
          <w:szCs w:val="28"/>
        </w:rPr>
        <w:t>ppearances</w:t>
      </w:r>
    </w:p>
    <w:p w14:paraId="2F6FE5C2" w14:textId="77777777" w:rsidR="00705573" w:rsidRPr="00FE2D31" w:rsidRDefault="00705573" w:rsidP="00E061E8">
      <w:pPr>
        <w:rPr>
          <w:sz w:val="28"/>
          <w:szCs w:val="28"/>
        </w:rPr>
      </w:pPr>
    </w:p>
    <w:p w14:paraId="615DD750" w14:textId="681DF0B1" w:rsidR="00E061E8" w:rsidRPr="00FE2D31" w:rsidRDefault="00E061E8" w:rsidP="00E061E8">
      <w:pPr>
        <w:rPr>
          <w:sz w:val="28"/>
          <w:szCs w:val="28"/>
        </w:rPr>
      </w:pPr>
      <w:r w:rsidRPr="00FE2D31">
        <w:rPr>
          <w:sz w:val="28"/>
          <w:szCs w:val="28"/>
        </w:rPr>
        <w:t>For appellant:</w:t>
      </w:r>
      <w:r w:rsidRPr="00FE2D31">
        <w:rPr>
          <w:sz w:val="28"/>
          <w:szCs w:val="28"/>
        </w:rPr>
        <w:tab/>
      </w:r>
      <w:r w:rsidRPr="00FE2D31">
        <w:rPr>
          <w:sz w:val="28"/>
          <w:szCs w:val="28"/>
        </w:rPr>
        <w:tab/>
      </w:r>
      <w:r w:rsidRPr="00FE2D31">
        <w:rPr>
          <w:sz w:val="28"/>
          <w:szCs w:val="28"/>
        </w:rPr>
        <w:tab/>
      </w:r>
      <w:r w:rsidR="000B78F8" w:rsidRPr="00FE2D31">
        <w:rPr>
          <w:sz w:val="28"/>
          <w:szCs w:val="28"/>
        </w:rPr>
        <w:t>G D Wi</w:t>
      </w:r>
      <w:r w:rsidR="00705573" w:rsidRPr="00FE2D31">
        <w:rPr>
          <w:sz w:val="28"/>
          <w:szCs w:val="28"/>
        </w:rPr>
        <w:t>c</w:t>
      </w:r>
      <w:r w:rsidR="000B78F8" w:rsidRPr="00FE2D31">
        <w:rPr>
          <w:sz w:val="28"/>
          <w:szCs w:val="28"/>
        </w:rPr>
        <w:t>kins SC</w:t>
      </w:r>
    </w:p>
    <w:p w14:paraId="6819FD4A" w14:textId="4961939C" w:rsidR="00E061E8" w:rsidRPr="00FE2D31" w:rsidRDefault="00E061E8" w:rsidP="000B78F8">
      <w:pPr>
        <w:rPr>
          <w:bCs/>
          <w:sz w:val="28"/>
          <w:szCs w:val="28"/>
        </w:rPr>
      </w:pPr>
      <w:r w:rsidRPr="00FE2D31">
        <w:rPr>
          <w:bCs/>
          <w:sz w:val="28"/>
          <w:szCs w:val="28"/>
        </w:rPr>
        <w:t>Instructed by:</w:t>
      </w:r>
      <w:r w:rsidRPr="00FE2D31">
        <w:rPr>
          <w:bCs/>
          <w:sz w:val="28"/>
          <w:szCs w:val="28"/>
        </w:rPr>
        <w:tab/>
      </w:r>
      <w:r w:rsidRPr="00FE2D31">
        <w:rPr>
          <w:bCs/>
          <w:sz w:val="28"/>
          <w:szCs w:val="28"/>
        </w:rPr>
        <w:tab/>
      </w:r>
      <w:r w:rsidRPr="00FE2D31">
        <w:rPr>
          <w:bCs/>
          <w:sz w:val="28"/>
          <w:szCs w:val="28"/>
        </w:rPr>
        <w:tab/>
      </w:r>
      <w:r w:rsidR="00BC7B5E" w:rsidRPr="00FE2D31">
        <w:rPr>
          <w:bCs/>
          <w:sz w:val="28"/>
          <w:szCs w:val="28"/>
        </w:rPr>
        <w:t>Malan Scholes Inc, Johannesburg</w:t>
      </w:r>
    </w:p>
    <w:p w14:paraId="4816E8EF" w14:textId="39BDAC17" w:rsidR="00BC7B5E" w:rsidRPr="00FE2D31" w:rsidRDefault="00BC7B5E" w:rsidP="00DC0CF6">
      <w:pPr>
        <w:ind w:left="2880" w:firstLine="720"/>
        <w:rPr>
          <w:bCs/>
          <w:sz w:val="28"/>
          <w:szCs w:val="28"/>
        </w:rPr>
      </w:pPr>
      <w:r w:rsidRPr="00FE2D31">
        <w:rPr>
          <w:bCs/>
          <w:sz w:val="28"/>
          <w:szCs w:val="28"/>
        </w:rPr>
        <w:t>Claude Reid Attorneys, Bloemfontein</w:t>
      </w:r>
      <w:r w:rsidR="00621EA6">
        <w:rPr>
          <w:bCs/>
          <w:sz w:val="28"/>
          <w:szCs w:val="28"/>
        </w:rPr>
        <w:t>.</w:t>
      </w:r>
    </w:p>
    <w:p w14:paraId="31F2E5A0" w14:textId="66D3903A" w:rsidR="00E061E8" w:rsidRPr="00FE2D31" w:rsidRDefault="00E061E8" w:rsidP="00E061E8">
      <w:pPr>
        <w:rPr>
          <w:bCs/>
          <w:sz w:val="28"/>
          <w:szCs w:val="28"/>
        </w:rPr>
      </w:pPr>
    </w:p>
    <w:p w14:paraId="4E600BEF" w14:textId="528C4A28" w:rsidR="00E061E8" w:rsidRPr="00FE2D31" w:rsidRDefault="00E061E8" w:rsidP="00E061E8">
      <w:pPr>
        <w:rPr>
          <w:sz w:val="28"/>
          <w:szCs w:val="28"/>
        </w:rPr>
      </w:pPr>
      <w:r w:rsidRPr="00FE2D31">
        <w:rPr>
          <w:sz w:val="28"/>
          <w:szCs w:val="28"/>
        </w:rPr>
        <w:t>For respondent</w:t>
      </w:r>
      <w:r w:rsidR="00A40C64" w:rsidRPr="00FE2D31">
        <w:rPr>
          <w:sz w:val="28"/>
          <w:szCs w:val="28"/>
        </w:rPr>
        <w:t>s</w:t>
      </w:r>
      <w:r w:rsidRPr="00FE2D31">
        <w:rPr>
          <w:sz w:val="28"/>
          <w:szCs w:val="28"/>
        </w:rPr>
        <w:t>:</w:t>
      </w:r>
      <w:r w:rsidRPr="00FE2D31">
        <w:rPr>
          <w:sz w:val="28"/>
          <w:szCs w:val="28"/>
        </w:rPr>
        <w:tab/>
      </w:r>
      <w:r w:rsidRPr="00FE2D31">
        <w:rPr>
          <w:sz w:val="28"/>
          <w:szCs w:val="28"/>
        </w:rPr>
        <w:tab/>
      </w:r>
      <w:r w:rsidR="00AE0EE6" w:rsidRPr="00FE2D31">
        <w:rPr>
          <w:sz w:val="28"/>
          <w:szCs w:val="28"/>
        </w:rPr>
        <w:tab/>
      </w:r>
      <w:r w:rsidR="000B78F8" w:rsidRPr="00FE2D31">
        <w:rPr>
          <w:sz w:val="28"/>
          <w:szCs w:val="28"/>
        </w:rPr>
        <w:t xml:space="preserve">D </w:t>
      </w:r>
      <w:r w:rsidR="00BC7B5E" w:rsidRPr="00FE2D31">
        <w:rPr>
          <w:sz w:val="28"/>
          <w:szCs w:val="28"/>
        </w:rPr>
        <w:t>C Mpofu</w:t>
      </w:r>
      <w:r w:rsidR="000B78F8" w:rsidRPr="00FE2D31">
        <w:rPr>
          <w:sz w:val="28"/>
          <w:szCs w:val="28"/>
        </w:rPr>
        <w:t xml:space="preserve"> SC </w:t>
      </w:r>
      <w:r w:rsidR="00A9060C" w:rsidRPr="00FE2D31">
        <w:rPr>
          <w:sz w:val="28"/>
          <w:szCs w:val="28"/>
        </w:rPr>
        <w:t>(</w:t>
      </w:r>
      <w:r w:rsidR="000B78F8" w:rsidRPr="00FE2D31">
        <w:rPr>
          <w:sz w:val="28"/>
          <w:szCs w:val="28"/>
        </w:rPr>
        <w:t>with T Modise</w:t>
      </w:r>
      <w:r w:rsidR="00A9060C" w:rsidRPr="00FE2D31">
        <w:rPr>
          <w:sz w:val="28"/>
          <w:szCs w:val="28"/>
        </w:rPr>
        <w:t>)</w:t>
      </w:r>
    </w:p>
    <w:p w14:paraId="55B69D60" w14:textId="77777777" w:rsidR="00E061E8" w:rsidRPr="00FE2D31" w:rsidRDefault="00E061E8" w:rsidP="000B78F8">
      <w:pPr>
        <w:rPr>
          <w:bCs/>
          <w:sz w:val="28"/>
          <w:szCs w:val="28"/>
        </w:rPr>
      </w:pPr>
      <w:r w:rsidRPr="00FE2D31">
        <w:rPr>
          <w:bCs/>
          <w:sz w:val="28"/>
          <w:szCs w:val="28"/>
        </w:rPr>
        <w:t>Instructed by:</w:t>
      </w:r>
      <w:r w:rsidRPr="00FE2D31">
        <w:rPr>
          <w:bCs/>
          <w:sz w:val="28"/>
          <w:szCs w:val="28"/>
        </w:rPr>
        <w:tab/>
      </w:r>
      <w:r w:rsidRPr="00FE2D31">
        <w:rPr>
          <w:bCs/>
          <w:sz w:val="28"/>
          <w:szCs w:val="28"/>
        </w:rPr>
        <w:tab/>
      </w:r>
      <w:r w:rsidRPr="00FE2D31">
        <w:rPr>
          <w:bCs/>
          <w:sz w:val="28"/>
          <w:szCs w:val="28"/>
        </w:rPr>
        <w:tab/>
      </w:r>
      <w:r w:rsidR="00BC7B5E" w:rsidRPr="00FE2D31">
        <w:rPr>
          <w:bCs/>
          <w:sz w:val="28"/>
          <w:szCs w:val="28"/>
        </w:rPr>
        <w:t>Mabuza Attorneys,</w:t>
      </w:r>
      <w:r w:rsidR="00D53EA8" w:rsidRPr="00FE2D31">
        <w:rPr>
          <w:bCs/>
          <w:sz w:val="28"/>
          <w:szCs w:val="28"/>
        </w:rPr>
        <w:t xml:space="preserve"> Johannesburg</w:t>
      </w:r>
    </w:p>
    <w:p w14:paraId="59C045A3" w14:textId="1F9BDEC3" w:rsidR="00BC7B5E" w:rsidRPr="00DC0CF6" w:rsidRDefault="00AE0EE6" w:rsidP="00BC7B5E">
      <w:pPr>
        <w:tabs>
          <w:tab w:val="left" w:pos="3600"/>
        </w:tabs>
        <w:rPr>
          <w:bCs/>
          <w:sz w:val="28"/>
          <w:szCs w:val="28"/>
        </w:rPr>
      </w:pPr>
      <w:r w:rsidRPr="00FE2D31">
        <w:rPr>
          <w:bCs/>
          <w:sz w:val="28"/>
          <w:szCs w:val="28"/>
        </w:rPr>
        <w:tab/>
      </w:r>
      <w:r w:rsidR="00BC7B5E" w:rsidRPr="00FE2D31">
        <w:rPr>
          <w:bCs/>
          <w:sz w:val="28"/>
          <w:szCs w:val="28"/>
        </w:rPr>
        <w:t>Matsepes Inc, Bloemfontein</w:t>
      </w:r>
      <w:r w:rsidR="00621EA6">
        <w:rPr>
          <w:bCs/>
          <w:sz w:val="28"/>
          <w:szCs w:val="28"/>
        </w:rPr>
        <w:t>.</w:t>
      </w:r>
    </w:p>
    <w:p w14:paraId="403C6F48" w14:textId="77777777" w:rsidR="00B7572A" w:rsidRPr="00DC0CF6" w:rsidRDefault="00B7572A" w:rsidP="00E061E8"/>
    <w:sectPr w:rsidR="00B7572A" w:rsidRPr="00DC0CF6" w:rsidSect="00D00E71">
      <w:headerReference w:type="even" r:id="rId9"/>
      <w:headerReference w:type="default" r:id="rId10"/>
      <w:head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6606E" w14:textId="77777777" w:rsidR="00D72742" w:rsidRDefault="00D72742" w:rsidP="00E061E8">
      <w:pPr>
        <w:spacing w:line="240" w:lineRule="auto"/>
      </w:pPr>
      <w:r>
        <w:separator/>
      </w:r>
    </w:p>
  </w:endnote>
  <w:endnote w:type="continuationSeparator" w:id="0">
    <w:p w14:paraId="78C1F197" w14:textId="77777777" w:rsidR="00D72742" w:rsidRDefault="00D72742" w:rsidP="00E06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383D0" w14:textId="77777777" w:rsidR="00D72742" w:rsidRDefault="00D72742" w:rsidP="00E061E8">
      <w:pPr>
        <w:spacing w:line="240" w:lineRule="auto"/>
      </w:pPr>
      <w:r>
        <w:separator/>
      </w:r>
    </w:p>
  </w:footnote>
  <w:footnote w:type="continuationSeparator" w:id="0">
    <w:p w14:paraId="7499824C" w14:textId="77777777" w:rsidR="00D72742" w:rsidRDefault="00D72742" w:rsidP="00E061E8">
      <w:pPr>
        <w:spacing w:line="240" w:lineRule="auto"/>
      </w:pPr>
      <w:r>
        <w:continuationSeparator/>
      </w:r>
    </w:p>
  </w:footnote>
  <w:footnote w:id="1">
    <w:p w14:paraId="07C2076C" w14:textId="1A217D00" w:rsidR="00C91A02" w:rsidRPr="00B91572" w:rsidRDefault="00C91A02" w:rsidP="00E85EE3">
      <w:pPr>
        <w:pStyle w:val="FootnoteText"/>
        <w:spacing w:line="240" w:lineRule="auto"/>
        <w:rPr>
          <w:lang w:val="en-US"/>
        </w:rPr>
      </w:pPr>
      <w:r>
        <w:rPr>
          <w:rStyle w:val="FootnoteReference"/>
        </w:rPr>
        <w:footnoteRef/>
      </w:r>
      <w:r>
        <w:t xml:space="preserve"> ‘m</w:t>
      </w:r>
      <w:r>
        <w:rPr>
          <w:lang w:val="en-US"/>
        </w:rPr>
        <w:t xml:space="preserve">ine’ when </w:t>
      </w:r>
      <w:r w:rsidRPr="00962642">
        <w:rPr>
          <w:lang w:val="en-US"/>
        </w:rPr>
        <w:t>used as a verb is defined</w:t>
      </w:r>
      <w:r>
        <w:rPr>
          <w:lang w:val="en-US"/>
        </w:rPr>
        <w:t xml:space="preserve"> in the</w:t>
      </w:r>
      <w:r w:rsidR="00604F95">
        <w:rPr>
          <w:lang w:val="en-US"/>
        </w:rPr>
        <w:t xml:space="preserve"> Mineral and Petroleum Resources Development Act 28 of 2002</w:t>
      </w:r>
      <w:r>
        <w:rPr>
          <w:lang w:val="en-US"/>
        </w:rPr>
        <w:t xml:space="preserve"> </w:t>
      </w:r>
      <w:r w:rsidR="00604F95">
        <w:rPr>
          <w:lang w:val="en-US"/>
        </w:rPr>
        <w:t xml:space="preserve">(the </w:t>
      </w:r>
      <w:r>
        <w:rPr>
          <w:lang w:val="en-US"/>
        </w:rPr>
        <w:t>MPRDA</w:t>
      </w:r>
      <w:r w:rsidR="00604F95">
        <w:rPr>
          <w:lang w:val="en-US"/>
        </w:rPr>
        <w:t>)</w:t>
      </w:r>
      <w:r>
        <w:rPr>
          <w:lang w:val="en-US"/>
        </w:rPr>
        <w:t xml:space="preserve"> as ‘any operation or activity incidental thereto, in, on or under the relevant mining area.</w:t>
      </w:r>
      <w:r w:rsidR="00F67A2A">
        <w:rPr>
          <w:lang w:val="en-US"/>
        </w:rPr>
        <w:t>’</w:t>
      </w:r>
    </w:p>
  </w:footnote>
  <w:footnote w:id="2">
    <w:p w14:paraId="39A37C06" w14:textId="0EA893CC" w:rsidR="00C91A02" w:rsidRDefault="00C91A02" w:rsidP="00E85EE3">
      <w:pPr>
        <w:pStyle w:val="FootnoteText"/>
        <w:spacing w:line="240" w:lineRule="auto"/>
      </w:pPr>
      <w:r>
        <w:rPr>
          <w:rStyle w:val="FootnoteReference"/>
        </w:rPr>
        <w:footnoteRef/>
      </w:r>
      <w:r>
        <w:t xml:space="preserve"> ‘prospecting’ – ‘means intentionally searching for any mineral by means of any method – </w:t>
      </w:r>
    </w:p>
    <w:p w14:paraId="5F6DEBB8" w14:textId="743AC516" w:rsidR="00C91A02" w:rsidRDefault="00C91A02" w:rsidP="00E85EE3">
      <w:pPr>
        <w:pStyle w:val="FootnoteText"/>
        <w:spacing w:line="240" w:lineRule="auto"/>
      </w:pPr>
      <w:r>
        <w:rPr>
          <w:i/>
        </w:rPr>
        <w:t xml:space="preserve">(a) </w:t>
      </w:r>
      <w:r>
        <w:t>which disturbs the surface or subsurface of the earth, including any portion of the earth that is under the sea or under other water; or</w:t>
      </w:r>
    </w:p>
    <w:p w14:paraId="6E780FE3" w14:textId="7075CE23" w:rsidR="00C91A02" w:rsidRDefault="00C91A02" w:rsidP="003F10B2">
      <w:pPr>
        <w:pStyle w:val="FootnoteText"/>
        <w:spacing w:line="240" w:lineRule="auto"/>
      </w:pPr>
      <w:r>
        <w:rPr>
          <w:i/>
        </w:rPr>
        <w:t xml:space="preserve">(b) </w:t>
      </w:r>
      <w:r>
        <w:t>in or on any residue stockpile or residue deposit, in order to establish the existence of any mineral and to determine the extent and econom</w:t>
      </w:r>
      <w:r w:rsidR="0043623A">
        <w:t>ic</w:t>
      </w:r>
      <w:r>
        <w:t xml:space="preserve"> value thereof; or</w:t>
      </w:r>
    </w:p>
    <w:p w14:paraId="0F0666E3" w14:textId="7EA5C6CB" w:rsidR="00C91A02" w:rsidRDefault="00C91A02" w:rsidP="003F10B2">
      <w:pPr>
        <w:pStyle w:val="FootnoteText"/>
        <w:spacing w:line="240" w:lineRule="auto"/>
      </w:pPr>
      <w:r>
        <w:rPr>
          <w:i/>
        </w:rPr>
        <w:t xml:space="preserve">(c) </w:t>
      </w:r>
      <w:r>
        <w:t>in the sea or other water on land.</w:t>
      </w:r>
      <w:r w:rsidR="00A44338">
        <w:t>’</w:t>
      </w:r>
    </w:p>
    <w:p w14:paraId="03A5C9D7" w14:textId="77777777" w:rsidR="00C91A02" w:rsidRPr="00464F0C" w:rsidRDefault="00C91A02">
      <w:pPr>
        <w:pStyle w:val="FootnoteText"/>
        <w:rPr>
          <w:lang w:val="en-US"/>
        </w:rPr>
      </w:pPr>
    </w:p>
  </w:footnote>
  <w:footnote w:id="3">
    <w:p w14:paraId="0A3CF980" w14:textId="7784BEEC" w:rsidR="00C91A02" w:rsidRPr="00215233" w:rsidRDefault="00C91A02" w:rsidP="00425BF8">
      <w:pPr>
        <w:pStyle w:val="FootnoteText"/>
        <w:spacing w:line="240" w:lineRule="auto"/>
        <w:rPr>
          <w:lang w:val="en-US"/>
        </w:rPr>
      </w:pPr>
      <w:r>
        <w:rPr>
          <w:rStyle w:val="FootnoteReference"/>
        </w:rPr>
        <w:footnoteRef/>
      </w:r>
      <w:r>
        <w:t xml:space="preserve"> </w:t>
      </w:r>
      <w:r w:rsidRPr="00B256FD">
        <w:rPr>
          <w:i/>
          <w:lang w:val="en-US"/>
        </w:rPr>
        <w:t>R v Keyser</w:t>
      </w:r>
      <w:r>
        <w:rPr>
          <w:lang w:val="en-US"/>
        </w:rPr>
        <w:t xml:space="preserve"> 1951 (1) SA 512 (A) at 518E-F</w:t>
      </w:r>
      <w:r w:rsidR="006E108A">
        <w:rPr>
          <w:lang w:val="en-US"/>
        </w:rPr>
        <w:t xml:space="preserve"> </w:t>
      </w:r>
      <w:r w:rsidR="006E108A" w:rsidRPr="006E108A">
        <w:rPr>
          <w:lang w:val="en-US"/>
        </w:rPr>
        <w:t>(</w:t>
      </w:r>
      <w:r w:rsidR="006E108A" w:rsidRPr="00B256FD">
        <w:rPr>
          <w:i/>
          <w:lang w:val="en-US"/>
        </w:rPr>
        <w:t>Keyser</w:t>
      </w:r>
      <w:r w:rsidR="006E108A" w:rsidRPr="006E108A">
        <w:rPr>
          <w:lang w:val="en-US"/>
        </w:rPr>
        <w:t>)</w:t>
      </w:r>
      <w:r>
        <w:rPr>
          <w:lang w:val="en-US"/>
        </w:rPr>
        <w:t>.</w:t>
      </w:r>
    </w:p>
  </w:footnote>
  <w:footnote w:id="4">
    <w:p w14:paraId="603C6669" w14:textId="3CE36557" w:rsidR="00C91A02" w:rsidRPr="00B256FD" w:rsidRDefault="00C91A02" w:rsidP="00425BF8">
      <w:pPr>
        <w:pStyle w:val="FootnoteText"/>
        <w:spacing w:line="240" w:lineRule="auto"/>
        <w:rPr>
          <w:lang w:val="en-US"/>
        </w:rPr>
      </w:pPr>
      <w:r>
        <w:rPr>
          <w:rStyle w:val="FootnoteReference"/>
        </w:rPr>
        <w:footnoteRef/>
      </w:r>
      <w:r>
        <w:t xml:space="preserve"> </w:t>
      </w:r>
      <w:r w:rsidRPr="00B256FD">
        <w:rPr>
          <w:bCs/>
          <w:i/>
        </w:rPr>
        <w:t>Matjhabeng Municipality v Eskom Holdings Limited and Others;</w:t>
      </w:r>
      <w:r w:rsidRPr="00B256FD">
        <w:rPr>
          <w:bCs/>
        </w:rPr>
        <w:t xml:space="preserve"> </w:t>
      </w:r>
      <w:r w:rsidRPr="00B256FD">
        <w:rPr>
          <w:bCs/>
          <w:i/>
        </w:rPr>
        <w:t>Mkhonto and Others v Compensation Solutions (Pty)</w:t>
      </w:r>
      <w:r>
        <w:rPr>
          <w:bCs/>
          <w:i/>
        </w:rPr>
        <w:t xml:space="preserve"> Ltd </w:t>
      </w:r>
      <w:r>
        <w:rPr>
          <w:bCs/>
        </w:rPr>
        <w:t>[2017] ZACC 35; 2017 (11) BCLR 1408 (CC);</w:t>
      </w:r>
      <w:r>
        <w:rPr>
          <w:bCs/>
          <w:i/>
        </w:rPr>
        <w:t xml:space="preserve"> </w:t>
      </w:r>
      <w:r w:rsidRPr="00DC0CF6">
        <w:rPr>
          <w:bCs/>
        </w:rPr>
        <w:t>2018 (1) SA 1 (CC)</w:t>
      </w:r>
      <w:r>
        <w:rPr>
          <w:bCs/>
          <w:i/>
        </w:rPr>
        <w:t xml:space="preserve"> </w:t>
      </w:r>
      <w:r w:rsidRPr="00B256FD">
        <w:rPr>
          <w:bCs/>
        </w:rPr>
        <w:t>para</w:t>
      </w:r>
      <w:r>
        <w:rPr>
          <w:bCs/>
        </w:rPr>
        <w:t xml:space="preserve"> </w:t>
      </w:r>
      <w:r w:rsidRPr="00B256FD">
        <w:rPr>
          <w:bCs/>
        </w:rPr>
        <w:t>79</w:t>
      </w:r>
      <w:r w:rsidR="00EB4594">
        <w:rPr>
          <w:bCs/>
        </w:rPr>
        <w:t xml:space="preserve"> (</w:t>
      </w:r>
      <w:r w:rsidR="00EB4594" w:rsidRPr="00EB4594">
        <w:rPr>
          <w:bCs/>
          <w:i/>
        </w:rPr>
        <w:t>Matjhabeng</w:t>
      </w:r>
      <w:r w:rsidR="00EB4594">
        <w:rPr>
          <w:bCs/>
        </w:rPr>
        <w:t>)</w:t>
      </w:r>
      <w:r>
        <w:rPr>
          <w:bCs/>
          <w:i/>
        </w:rPr>
        <w:t>.</w:t>
      </w:r>
    </w:p>
  </w:footnote>
  <w:footnote w:id="5">
    <w:p w14:paraId="0831ABDB" w14:textId="19F9FFA1" w:rsidR="00C91A02" w:rsidRPr="00DC0CF6" w:rsidRDefault="00C91A02">
      <w:pPr>
        <w:pStyle w:val="FootnoteText"/>
        <w:rPr>
          <w:lang w:val="en-ZA"/>
        </w:rPr>
      </w:pPr>
      <w:r>
        <w:rPr>
          <w:rStyle w:val="FootnoteReference"/>
        </w:rPr>
        <w:footnoteRef/>
      </w:r>
      <w:r>
        <w:t xml:space="preserve"> </w:t>
      </w:r>
      <w:r>
        <w:rPr>
          <w:i/>
          <w:lang w:val="en-ZA"/>
        </w:rPr>
        <w:t xml:space="preserve">Keyser </w:t>
      </w:r>
      <w:r w:rsidRPr="00C91A02">
        <w:rPr>
          <w:lang w:val="en-ZA"/>
        </w:rPr>
        <w:t>f</w:t>
      </w:r>
      <w:r>
        <w:rPr>
          <w:lang w:val="en-ZA"/>
        </w:rPr>
        <w:t>n 3 above at 518E-G.</w:t>
      </w:r>
    </w:p>
  </w:footnote>
  <w:footnote w:id="6">
    <w:p w14:paraId="749A9EA3" w14:textId="5A43784F" w:rsidR="00C91A02" w:rsidRPr="00FA33A3" w:rsidRDefault="00C91A02" w:rsidP="00425BF8">
      <w:pPr>
        <w:pStyle w:val="FootnoteText"/>
        <w:spacing w:line="240" w:lineRule="auto"/>
        <w:rPr>
          <w:lang w:val="en-US"/>
        </w:rPr>
      </w:pPr>
      <w:r>
        <w:rPr>
          <w:rStyle w:val="FootnoteReference"/>
        </w:rPr>
        <w:footnoteRef/>
      </w:r>
      <w:r>
        <w:t xml:space="preserve"> </w:t>
      </w:r>
      <w:r w:rsidRPr="00AA13E1">
        <w:rPr>
          <w:i/>
          <w:lang w:val="en-US"/>
        </w:rPr>
        <w:t>Keyser</w:t>
      </w:r>
      <w:r>
        <w:rPr>
          <w:lang w:val="en-US"/>
        </w:rPr>
        <w:t xml:space="preserve"> fn 3 above at 518B-D.</w:t>
      </w:r>
    </w:p>
  </w:footnote>
  <w:footnote w:id="7">
    <w:p w14:paraId="6AC4C840" w14:textId="2DBB181A" w:rsidR="00C91A02" w:rsidRPr="00AA13E1" w:rsidRDefault="00C91A02" w:rsidP="00425BF8">
      <w:pPr>
        <w:pStyle w:val="FootnoteText"/>
        <w:spacing w:line="240" w:lineRule="auto"/>
        <w:rPr>
          <w:lang w:val="en-US"/>
        </w:rPr>
      </w:pPr>
      <w:r>
        <w:rPr>
          <w:rStyle w:val="FootnoteReference"/>
        </w:rPr>
        <w:footnoteRef/>
      </w:r>
      <w:r>
        <w:t xml:space="preserve"> </w:t>
      </w:r>
      <w:r w:rsidRPr="00AA13E1">
        <w:rPr>
          <w:i/>
          <w:lang w:val="en-US"/>
        </w:rPr>
        <w:t>Matjhabeng</w:t>
      </w:r>
      <w:r>
        <w:rPr>
          <w:lang w:val="en-US"/>
        </w:rPr>
        <w:t xml:space="preserve"> fn 4 above para 80.</w:t>
      </w:r>
    </w:p>
  </w:footnote>
  <w:footnote w:id="8">
    <w:p w14:paraId="1A4334F7" w14:textId="3C3650DA" w:rsidR="00C91A02" w:rsidRPr="001039D7" w:rsidRDefault="00C91A02" w:rsidP="000928B7">
      <w:pPr>
        <w:pStyle w:val="FootnoteText"/>
        <w:spacing w:line="240" w:lineRule="auto"/>
        <w:rPr>
          <w:lang w:val="en-US"/>
        </w:rPr>
      </w:pPr>
      <w:r>
        <w:rPr>
          <w:rStyle w:val="FootnoteReference"/>
        </w:rPr>
        <w:footnoteRef/>
      </w:r>
      <w:r>
        <w:t xml:space="preserve"> </w:t>
      </w:r>
      <w:r w:rsidRPr="001039D7">
        <w:rPr>
          <w:i/>
          <w:lang w:val="en-US"/>
        </w:rPr>
        <w:t>Fakie N</w:t>
      </w:r>
      <w:r>
        <w:rPr>
          <w:i/>
          <w:lang w:val="en-US"/>
        </w:rPr>
        <w:t xml:space="preserve"> </w:t>
      </w:r>
      <w:r w:rsidRPr="001039D7">
        <w:rPr>
          <w:i/>
          <w:lang w:val="en-US"/>
        </w:rPr>
        <w:t>O v CCII Systems (Pty) Ltd</w:t>
      </w:r>
      <w:r>
        <w:rPr>
          <w:lang w:val="en-US"/>
        </w:rPr>
        <w:t xml:space="preserve"> 2006 (4) SA 326 (SCA) para 42. </w:t>
      </w:r>
    </w:p>
  </w:footnote>
  <w:footnote w:id="9">
    <w:p w14:paraId="2C6AF6F9" w14:textId="232CDF11" w:rsidR="00C91A02" w:rsidRDefault="00C91A02" w:rsidP="00F20545">
      <w:pPr>
        <w:pStyle w:val="FootnoteText"/>
        <w:spacing w:line="240" w:lineRule="auto"/>
      </w:pPr>
      <w:r>
        <w:rPr>
          <w:rStyle w:val="FootnoteReference"/>
        </w:rPr>
        <w:footnoteRef/>
      </w:r>
      <w:r>
        <w:t xml:space="preserve"> Section 54(1) of the Mine Health and Safety Act provides as follows:</w:t>
      </w:r>
    </w:p>
    <w:p w14:paraId="3BEC02E9" w14:textId="3F78F7D6" w:rsidR="00C91A02" w:rsidRPr="004C31A8" w:rsidRDefault="00C91A02" w:rsidP="00F20545">
      <w:pPr>
        <w:pStyle w:val="FootnoteText"/>
        <w:spacing w:line="240" w:lineRule="auto"/>
        <w:rPr>
          <w:lang w:val="en-ZA"/>
        </w:rPr>
      </w:pPr>
      <w:r w:rsidRPr="00BC2A1A">
        <w:rPr>
          <w:bCs/>
          <w:lang w:val="en-ZA"/>
        </w:rPr>
        <w:t>‘</w:t>
      </w:r>
      <w:r w:rsidRPr="004C31A8">
        <w:rPr>
          <w:b/>
          <w:bCs/>
          <w:lang w:val="en-ZA"/>
        </w:rPr>
        <w:t xml:space="preserve">54. Inspector’s power to deal with dangerous </w:t>
      </w:r>
      <w:r w:rsidR="000928B7" w:rsidRPr="004C31A8">
        <w:rPr>
          <w:b/>
          <w:bCs/>
          <w:lang w:val="en-ZA"/>
        </w:rPr>
        <w:t>conditions.</w:t>
      </w:r>
      <w:r w:rsidR="000928B7">
        <w:rPr>
          <w:lang w:val="en-ZA"/>
        </w:rPr>
        <w:t xml:space="preserve"> — (</w:t>
      </w:r>
      <w:r>
        <w:rPr>
          <w:lang w:val="en-ZA"/>
        </w:rPr>
        <w:t xml:space="preserve">1) If an </w:t>
      </w:r>
      <w:r>
        <w:rPr>
          <w:i/>
          <w:iCs/>
          <w:lang w:val="en-ZA"/>
        </w:rPr>
        <w:t xml:space="preserve">inspector </w:t>
      </w:r>
      <w:r w:rsidRPr="004C31A8">
        <w:rPr>
          <w:lang w:val="en-ZA"/>
        </w:rPr>
        <w:t>has reason to believe that any occurre</w:t>
      </w:r>
      <w:r>
        <w:rPr>
          <w:lang w:val="en-ZA"/>
        </w:rPr>
        <w:t xml:space="preserve">nce, practice or condition at a </w:t>
      </w:r>
      <w:r>
        <w:rPr>
          <w:i/>
          <w:iCs/>
          <w:lang w:val="en-ZA"/>
        </w:rPr>
        <w:t xml:space="preserve">mine </w:t>
      </w:r>
      <w:r>
        <w:rPr>
          <w:lang w:val="en-ZA"/>
        </w:rPr>
        <w:t xml:space="preserve">endangers or may endanger the </w:t>
      </w:r>
      <w:r>
        <w:rPr>
          <w:i/>
          <w:iCs/>
          <w:lang w:val="en-ZA"/>
        </w:rPr>
        <w:t xml:space="preserve">health </w:t>
      </w:r>
      <w:r>
        <w:rPr>
          <w:lang w:val="en-ZA"/>
        </w:rPr>
        <w:t xml:space="preserve">or </w:t>
      </w:r>
      <w:r>
        <w:rPr>
          <w:i/>
          <w:iCs/>
          <w:lang w:val="en-ZA"/>
        </w:rPr>
        <w:t xml:space="preserve">safety </w:t>
      </w:r>
      <w:r w:rsidRPr="004C31A8">
        <w:rPr>
          <w:lang w:val="en-ZA"/>
        </w:rPr>
        <w:t>of a</w:t>
      </w:r>
      <w:r>
        <w:rPr>
          <w:lang w:val="en-ZA"/>
        </w:rPr>
        <w:t xml:space="preserve">ny person at the </w:t>
      </w:r>
      <w:r w:rsidRPr="004C31A8">
        <w:rPr>
          <w:i/>
          <w:iCs/>
          <w:lang w:val="en-ZA"/>
        </w:rPr>
        <w:t>mine</w:t>
      </w:r>
      <w:r>
        <w:rPr>
          <w:lang w:val="en-ZA"/>
        </w:rPr>
        <w:t xml:space="preserve">, the </w:t>
      </w:r>
      <w:r>
        <w:rPr>
          <w:i/>
          <w:iCs/>
          <w:lang w:val="en-ZA"/>
        </w:rPr>
        <w:t xml:space="preserve">inspector </w:t>
      </w:r>
      <w:r w:rsidRPr="004C31A8">
        <w:rPr>
          <w:lang w:val="en-ZA"/>
        </w:rPr>
        <w:t>may give any instr</w:t>
      </w:r>
      <w:r>
        <w:rPr>
          <w:lang w:val="en-ZA"/>
        </w:rPr>
        <w:t xml:space="preserve">uction necessary to protect the </w:t>
      </w:r>
      <w:r>
        <w:rPr>
          <w:i/>
          <w:iCs/>
          <w:lang w:val="en-ZA"/>
        </w:rPr>
        <w:t xml:space="preserve">health </w:t>
      </w:r>
      <w:r>
        <w:rPr>
          <w:lang w:val="en-ZA"/>
        </w:rPr>
        <w:t xml:space="preserve">or </w:t>
      </w:r>
      <w:r>
        <w:rPr>
          <w:i/>
          <w:iCs/>
          <w:lang w:val="en-ZA"/>
        </w:rPr>
        <w:t xml:space="preserve">safety </w:t>
      </w:r>
      <w:r>
        <w:rPr>
          <w:lang w:val="en-ZA"/>
        </w:rPr>
        <w:t xml:space="preserve">of persons at the </w:t>
      </w:r>
      <w:r w:rsidRPr="004C31A8">
        <w:rPr>
          <w:i/>
          <w:iCs/>
          <w:lang w:val="en-ZA"/>
        </w:rPr>
        <w:t>mine</w:t>
      </w:r>
      <w:r w:rsidRPr="004C31A8">
        <w:rPr>
          <w:lang w:val="en-ZA"/>
        </w:rPr>
        <w:t>, including but not limited to an instruction that—</w:t>
      </w:r>
    </w:p>
    <w:p w14:paraId="581A4695" w14:textId="16059774" w:rsidR="00C91A02" w:rsidRPr="004C31A8" w:rsidRDefault="00C91A02" w:rsidP="00F20545">
      <w:pPr>
        <w:pStyle w:val="FootnoteText"/>
        <w:spacing w:line="240" w:lineRule="auto"/>
        <w:rPr>
          <w:lang w:val="en-ZA"/>
        </w:rPr>
      </w:pPr>
      <w:r w:rsidRPr="004C31A8">
        <w:rPr>
          <w:lang w:val="en-ZA"/>
        </w:rPr>
        <w:t>(</w:t>
      </w:r>
      <w:r w:rsidRPr="004C31A8">
        <w:rPr>
          <w:i/>
          <w:iCs/>
          <w:lang w:val="en-ZA"/>
        </w:rPr>
        <w:t>a</w:t>
      </w:r>
      <w:r w:rsidRPr="004C31A8">
        <w:rPr>
          <w:lang w:val="en-ZA"/>
        </w:rPr>
        <w:t>)</w:t>
      </w:r>
      <w:r>
        <w:rPr>
          <w:lang w:val="en-ZA"/>
        </w:rPr>
        <w:t xml:space="preserve"> </w:t>
      </w:r>
      <w:r w:rsidRPr="004C31A8">
        <w:rPr>
          <w:lang w:val="en-ZA"/>
        </w:rPr>
        <w:t>operations at the </w:t>
      </w:r>
      <w:r w:rsidRPr="004C31A8">
        <w:rPr>
          <w:i/>
          <w:iCs/>
          <w:lang w:val="en-ZA"/>
        </w:rPr>
        <w:t>mine </w:t>
      </w:r>
      <w:r w:rsidRPr="004C31A8">
        <w:rPr>
          <w:lang w:val="en-ZA"/>
        </w:rPr>
        <w:t>or a part of the </w:t>
      </w:r>
      <w:r w:rsidRPr="004C31A8">
        <w:rPr>
          <w:i/>
          <w:iCs/>
          <w:lang w:val="en-ZA"/>
        </w:rPr>
        <w:t>mine </w:t>
      </w:r>
      <w:r w:rsidRPr="004C31A8">
        <w:rPr>
          <w:lang w:val="en-ZA"/>
        </w:rPr>
        <w:t>be halted;</w:t>
      </w:r>
    </w:p>
    <w:p w14:paraId="7EADEB77" w14:textId="1EC8A456" w:rsidR="00C91A02" w:rsidRPr="004C31A8" w:rsidRDefault="00C91A02" w:rsidP="00BC2A1A">
      <w:pPr>
        <w:pStyle w:val="FootnoteText"/>
        <w:spacing w:line="240" w:lineRule="auto"/>
        <w:rPr>
          <w:lang w:val="en-ZA"/>
        </w:rPr>
      </w:pPr>
      <w:r w:rsidRPr="004C31A8">
        <w:rPr>
          <w:lang w:val="en-ZA"/>
        </w:rPr>
        <w:t>(</w:t>
      </w:r>
      <w:r w:rsidRPr="004C31A8">
        <w:rPr>
          <w:i/>
          <w:iCs/>
          <w:lang w:val="en-ZA"/>
        </w:rPr>
        <w:t>b</w:t>
      </w:r>
      <w:r w:rsidRPr="004C31A8">
        <w:rPr>
          <w:lang w:val="en-ZA"/>
        </w:rPr>
        <w:t>)</w:t>
      </w:r>
      <w:r>
        <w:rPr>
          <w:lang w:val="en-ZA"/>
        </w:rPr>
        <w:t xml:space="preserve"> </w:t>
      </w:r>
      <w:r w:rsidRPr="004C31A8">
        <w:rPr>
          <w:lang w:val="en-ZA"/>
        </w:rPr>
        <w:t>the performance of any act or practice at the </w:t>
      </w:r>
      <w:r w:rsidRPr="004C31A8">
        <w:rPr>
          <w:i/>
          <w:iCs/>
          <w:lang w:val="en-ZA"/>
        </w:rPr>
        <w:t>mine </w:t>
      </w:r>
      <w:r w:rsidRPr="004C31A8">
        <w:rPr>
          <w:lang w:val="en-ZA"/>
        </w:rPr>
        <w:t>or a part of the </w:t>
      </w:r>
      <w:r w:rsidRPr="004C31A8">
        <w:rPr>
          <w:i/>
          <w:iCs/>
          <w:lang w:val="en-ZA"/>
        </w:rPr>
        <w:t>mine </w:t>
      </w:r>
      <w:r w:rsidRPr="004C31A8">
        <w:rPr>
          <w:lang w:val="en-ZA"/>
        </w:rPr>
        <w:t>be suspended or halted, and may place conditions on the performance of that act or practice;</w:t>
      </w:r>
    </w:p>
    <w:p w14:paraId="3AEFEF84" w14:textId="43F33F63" w:rsidR="00C91A02" w:rsidRPr="004C31A8" w:rsidRDefault="00C91A02" w:rsidP="00BC2A1A">
      <w:pPr>
        <w:pStyle w:val="FootnoteText"/>
        <w:spacing w:line="240" w:lineRule="auto"/>
        <w:rPr>
          <w:lang w:val="en-ZA"/>
        </w:rPr>
      </w:pPr>
      <w:r w:rsidRPr="004C31A8">
        <w:rPr>
          <w:lang w:val="en-ZA"/>
        </w:rPr>
        <w:t>(</w:t>
      </w:r>
      <w:r w:rsidRPr="004C31A8">
        <w:rPr>
          <w:i/>
          <w:iCs/>
          <w:lang w:val="en-ZA"/>
        </w:rPr>
        <w:t>c</w:t>
      </w:r>
      <w:r w:rsidRPr="004C31A8">
        <w:rPr>
          <w:lang w:val="en-ZA"/>
        </w:rPr>
        <w:t>)</w:t>
      </w:r>
      <w:r>
        <w:rPr>
          <w:lang w:val="en-ZA"/>
        </w:rPr>
        <w:t xml:space="preserve"> </w:t>
      </w:r>
      <w:r w:rsidRPr="004C31A8">
        <w:rPr>
          <w:lang w:val="en-ZA"/>
        </w:rPr>
        <w:t>the </w:t>
      </w:r>
      <w:r w:rsidRPr="004C31A8">
        <w:rPr>
          <w:i/>
          <w:iCs/>
          <w:lang w:val="en-ZA"/>
        </w:rPr>
        <w:t>employer </w:t>
      </w:r>
      <w:r w:rsidRPr="004C31A8">
        <w:rPr>
          <w:lang w:val="en-ZA"/>
        </w:rPr>
        <w:t>must take the steps set out in the instruction, within the specified period, to rectify the occurrence, practice or condition; or</w:t>
      </w:r>
    </w:p>
    <w:p w14:paraId="0B9950F3" w14:textId="29C38D20" w:rsidR="00C91A02" w:rsidRPr="004F72D6" w:rsidRDefault="00C91A02" w:rsidP="00425BF8">
      <w:pPr>
        <w:pStyle w:val="FootnoteText"/>
        <w:spacing w:line="240" w:lineRule="auto"/>
        <w:rPr>
          <w:lang w:val="en-ZA"/>
        </w:rPr>
      </w:pPr>
      <w:r w:rsidRPr="004C31A8">
        <w:rPr>
          <w:lang w:val="en-ZA"/>
        </w:rPr>
        <w:t>(</w:t>
      </w:r>
      <w:r w:rsidRPr="004C31A8">
        <w:rPr>
          <w:i/>
          <w:iCs/>
          <w:lang w:val="en-ZA"/>
        </w:rPr>
        <w:t>d</w:t>
      </w:r>
      <w:r w:rsidRPr="004C31A8">
        <w:rPr>
          <w:lang w:val="en-ZA"/>
        </w:rPr>
        <w:t>)</w:t>
      </w:r>
      <w:r>
        <w:rPr>
          <w:lang w:val="en-ZA"/>
        </w:rPr>
        <w:t xml:space="preserve"> </w:t>
      </w:r>
      <w:r w:rsidRPr="004C31A8">
        <w:rPr>
          <w:lang w:val="en-ZA"/>
        </w:rPr>
        <w:t>all affected persons, other than those who are required to assist in taking steps referred to in </w:t>
      </w:r>
      <w:hyperlink r:id="rId1" w:anchor="g4" w:history="1">
        <w:r w:rsidRPr="00DC0CF6">
          <w:rPr>
            <w:rStyle w:val="Hyperlink"/>
            <w:color w:val="auto"/>
            <w:u w:val="none"/>
            <w:lang w:val="en-ZA"/>
          </w:rPr>
          <w:t>paragraph (</w:t>
        </w:r>
        <w:r w:rsidRPr="00DC0CF6">
          <w:rPr>
            <w:rStyle w:val="Hyperlink"/>
            <w:i/>
            <w:iCs/>
            <w:color w:val="auto"/>
            <w:u w:val="none"/>
            <w:lang w:val="en-ZA"/>
          </w:rPr>
          <w:t>c</w:t>
        </w:r>
        <w:r w:rsidRPr="00DC0CF6">
          <w:rPr>
            <w:rStyle w:val="Hyperlink"/>
            <w:color w:val="auto"/>
            <w:u w:val="none"/>
            <w:lang w:val="en-ZA"/>
          </w:rPr>
          <w:t>)</w:t>
        </w:r>
      </w:hyperlink>
      <w:r w:rsidRPr="004C31A8">
        <w:rPr>
          <w:lang w:val="en-ZA"/>
        </w:rPr>
        <w:t>, be moved to </w:t>
      </w:r>
      <w:r w:rsidRPr="004C31A8">
        <w:rPr>
          <w:i/>
          <w:iCs/>
          <w:lang w:val="en-ZA"/>
        </w:rPr>
        <w:t>safety.</w:t>
      </w:r>
      <w:r w:rsidRPr="00DC0CF6">
        <w:rPr>
          <w:iCs/>
          <w:lang w:val="en-ZA"/>
        </w:rPr>
        <w:t>’</w:t>
      </w:r>
    </w:p>
  </w:footnote>
  <w:footnote w:id="10">
    <w:p w14:paraId="13C323DE" w14:textId="1FA8A8EA" w:rsidR="00C91A02" w:rsidRPr="00A05A15" w:rsidRDefault="00C91A02" w:rsidP="00FD0D79">
      <w:pPr>
        <w:pStyle w:val="FootnoteText"/>
        <w:spacing w:line="240" w:lineRule="auto"/>
      </w:pPr>
      <w:r w:rsidRPr="00C35D4D">
        <w:rPr>
          <w:rStyle w:val="FootnoteReference"/>
        </w:rPr>
        <w:footnoteRef/>
      </w:r>
      <w:r w:rsidRPr="00C35D4D">
        <w:t xml:space="preserve"> Section 1 of the MPRDA defines ‘Regional Manager’ as ‘the officer designated by the Director-General in term</w:t>
      </w:r>
      <w:r>
        <w:t>s</w:t>
      </w:r>
      <w:r w:rsidRPr="00C35D4D">
        <w:t xml:space="preserve"> of section 8 as regional manager for </w:t>
      </w:r>
      <w:r w:rsidRPr="00A05A15">
        <w:t>a specific region.</w:t>
      </w:r>
      <w:r w:rsidR="00A0627C" w:rsidRPr="00A05A15">
        <w:t>’</w:t>
      </w:r>
      <w:r w:rsidRPr="00A05A15">
        <w:t xml:space="preserve"> </w:t>
      </w:r>
    </w:p>
  </w:footnote>
  <w:footnote w:id="11">
    <w:p w14:paraId="4043A7DB" w14:textId="382B3EC7" w:rsidR="00C91A02" w:rsidRPr="001249EB" w:rsidRDefault="00C91A02" w:rsidP="00FD0D79">
      <w:pPr>
        <w:pStyle w:val="FootnoteText"/>
        <w:spacing w:line="240" w:lineRule="auto"/>
        <w:rPr>
          <w:lang w:val="en-US"/>
        </w:rPr>
      </w:pPr>
      <w:r>
        <w:rPr>
          <w:rStyle w:val="FootnoteReference"/>
        </w:rPr>
        <w:footnoteRef/>
      </w:r>
      <w:r>
        <w:t xml:space="preserve"> </w:t>
      </w:r>
      <w:r w:rsidRPr="001249EB">
        <w:rPr>
          <w:i/>
          <w:lang w:val="en-US"/>
        </w:rPr>
        <w:t>Wightman t/a JW Construction v Headfour (</w:t>
      </w:r>
      <w:r w:rsidR="00A0627C">
        <w:rPr>
          <w:i/>
          <w:lang w:val="en-US"/>
        </w:rPr>
        <w:t>P</w:t>
      </w:r>
      <w:r w:rsidRPr="001249EB">
        <w:rPr>
          <w:i/>
          <w:lang w:val="en-US"/>
        </w:rPr>
        <w:t>ty) L</w:t>
      </w:r>
      <w:r w:rsidR="00A0627C">
        <w:rPr>
          <w:i/>
          <w:lang w:val="en-US"/>
        </w:rPr>
        <w:t>t</w:t>
      </w:r>
      <w:r w:rsidRPr="001249EB">
        <w:rPr>
          <w:i/>
          <w:lang w:val="en-US"/>
        </w:rPr>
        <w:t>d and Another</w:t>
      </w:r>
      <w:r>
        <w:rPr>
          <w:lang w:val="en-US"/>
        </w:rPr>
        <w:t xml:space="preserve"> [2008] ZASCA 6; [2008] 2 All SA 512 (SCA); 2008 (3) SA 371 (SCA) para 13. </w:t>
      </w:r>
    </w:p>
  </w:footnote>
  <w:footnote w:id="12">
    <w:p w14:paraId="47594233" w14:textId="7981E851" w:rsidR="00C91A02" w:rsidRPr="00A70E96" w:rsidRDefault="00C91A02" w:rsidP="00FD0D79">
      <w:pPr>
        <w:pStyle w:val="FootnoteText"/>
        <w:spacing w:line="240" w:lineRule="auto"/>
        <w:rPr>
          <w:lang w:val="en-US"/>
        </w:rPr>
      </w:pPr>
      <w:r>
        <w:rPr>
          <w:rStyle w:val="FootnoteReference"/>
        </w:rPr>
        <w:footnoteRef/>
      </w:r>
      <w:r>
        <w:t xml:space="preserve"> </w:t>
      </w:r>
      <w:r w:rsidRPr="00A70E96">
        <w:rPr>
          <w:bCs/>
          <w:i/>
        </w:rPr>
        <w:t>Strydom v Engen Petroleum Ltd</w:t>
      </w:r>
      <w:r w:rsidRPr="00A70E96">
        <w:rPr>
          <w:bCs/>
        </w:rPr>
        <w:t xml:space="preserve"> </w:t>
      </w:r>
      <w:r>
        <w:rPr>
          <w:bCs/>
        </w:rPr>
        <w:t xml:space="preserve">[2012] ZASCA 187; </w:t>
      </w:r>
      <w:r w:rsidRPr="00A70E96">
        <w:rPr>
          <w:bCs/>
        </w:rPr>
        <w:t>2013 (2) SA 187 (SCA)</w:t>
      </w:r>
      <w:r>
        <w:rPr>
          <w:bCs/>
        </w:rPr>
        <w:t>; [2013] 1 All SA 563 (SCA)</w:t>
      </w:r>
      <w:r w:rsidRPr="00A70E96">
        <w:rPr>
          <w:bCs/>
        </w:rPr>
        <w:t xml:space="preserve"> para 19</w:t>
      </w:r>
      <w:r>
        <w:rPr>
          <w:bCs/>
        </w:rPr>
        <w:t>.</w:t>
      </w:r>
    </w:p>
    <w:p w14:paraId="0B00587D" w14:textId="2CC61D28" w:rsidR="00C91A02" w:rsidRPr="00DC0CF6" w:rsidRDefault="00C91A02">
      <w:pPr>
        <w:pStyle w:val="FootnoteText"/>
        <w:rPr>
          <w:lang w:val="en-ZA"/>
        </w:rPr>
      </w:pPr>
    </w:p>
  </w:footnote>
  <w:footnote w:id="13">
    <w:p w14:paraId="0FC6438F" w14:textId="781688B9" w:rsidR="00C91A02" w:rsidRPr="00C22B3D" w:rsidRDefault="00C91A02" w:rsidP="00031157">
      <w:pPr>
        <w:pStyle w:val="FootnoteText"/>
        <w:spacing w:line="240" w:lineRule="auto"/>
        <w:rPr>
          <w:lang w:val="en-US"/>
        </w:rPr>
      </w:pPr>
      <w:r>
        <w:rPr>
          <w:rStyle w:val="FootnoteReference"/>
        </w:rPr>
        <w:footnoteRef/>
      </w:r>
      <w:r>
        <w:t xml:space="preserve"> </w:t>
      </w:r>
      <w:r w:rsidRPr="006B38BB">
        <w:rPr>
          <w:bCs/>
          <w:i/>
        </w:rPr>
        <w:t>S v Abrahams</w:t>
      </w:r>
      <w:r w:rsidRPr="006B38BB">
        <w:rPr>
          <w:bCs/>
        </w:rPr>
        <w:t xml:space="preserve"> </w:t>
      </w:r>
      <w:r>
        <w:rPr>
          <w:bCs/>
        </w:rPr>
        <w:t>1983 (1) SA 137 (A) 146F-H.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F94F" w14:textId="77777777" w:rsidR="00C91A02" w:rsidRDefault="00C91A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8489B" w14:textId="77777777" w:rsidR="00C91A02" w:rsidRDefault="00C91A0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14:paraId="6B607D0E" w14:textId="2DDE69D8" w:rsidR="00C91A02" w:rsidRDefault="00C91A02">
        <w:pPr>
          <w:pStyle w:val="Header"/>
          <w:jc w:val="right"/>
        </w:pPr>
        <w:r>
          <w:fldChar w:fldCharType="begin"/>
        </w:r>
        <w:r>
          <w:instrText xml:space="preserve"> PAGE   \* MERGEFORMAT </w:instrText>
        </w:r>
        <w:r>
          <w:fldChar w:fldCharType="separate"/>
        </w:r>
        <w:r w:rsidR="00042474">
          <w:rPr>
            <w:noProof/>
          </w:rPr>
          <w:t>29</w:t>
        </w:r>
        <w:r>
          <w:rPr>
            <w:noProof/>
          </w:rPr>
          <w:fldChar w:fldCharType="end"/>
        </w:r>
      </w:p>
    </w:sdtContent>
  </w:sdt>
  <w:p w14:paraId="6FAA6630" w14:textId="77777777" w:rsidR="00C91A02" w:rsidRDefault="00C91A02">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02F65E0E" w14:textId="77777777" w:rsidR="00C91A02" w:rsidRDefault="00D72742">
        <w:pPr>
          <w:pStyle w:val="Header"/>
          <w:jc w:val="right"/>
        </w:pPr>
      </w:p>
    </w:sdtContent>
  </w:sdt>
  <w:p w14:paraId="4082FAF4" w14:textId="77777777" w:rsidR="00C91A02" w:rsidRDefault="00C91A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B63"/>
    <w:multiLevelType w:val="multilevel"/>
    <w:tmpl w:val="BF84C24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771682"/>
    <w:multiLevelType w:val="hybridMultilevel"/>
    <w:tmpl w:val="084CCEAC"/>
    <w:lvl w:ilvl="0" w:tplc="1D84925C">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50F4F"/>
    <w:multiLevelType w:val="hybridMultilevel"/>
    <w:tmpl w:val="1890BEDE"/>
    <w:lvl w:ilvl="0" w:tplc="980EE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7929"/>
    <w:multiLevelType w:val="hybridMultilevel"/>
    <w:tmpl w:val="CDACD8AE"/>
    <w:lvl w:ilvl="0" w:tplc="4A448992">
      <w:start w:val="1"/>
      <w:numFmt w:val="decimal"/>
      <w:lvlText w:val="[%1]"/>
      <w:lvlJc w:val="left"/>
      <w:pPr>
        <w:ind w:left="9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74EFE"/>
    <w:multiLevelType w:val="hybridMultilevel"/>
    <w:tmpl w:val="CFF43E00"/>
    <w:lvl w:ilvl="0" w:tplc="58D8E0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2227E3"/>
    <w:multiLevelType w:val="hybridMultilevel"/>
    <w:tmpl w:val="C546BFFA"/>
    <w:lvl w:ilvl="0" w:tplc="D51E8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B39D9"/>
    <w:multiLevelType w:val="hybridMultilevel"/>
    <w:tmpl w:val="D390DAB8"/>
    <w:lvl w:ilvl="0" w:tplc="F20E85A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53093"/>
    <w:multiLevelType w:val="hybridMultilevel"/>
    <w:tmpl w:val="C19C0414"/>
    <w:lvl w:ilvl="0" w:tplc="939C5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20783"/>
    <w:multiLevelType w:val="hybridMultilevel"/>
    <w:tmpl w:val="327AF2D6"/>
    <w:lvl w:ilvl="0" w:tplc="F2E4B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527"/>
    <w:multiLevelType w:val="multilevel"/>
    <w:tmpl w:val="B80E75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7936C4"/>
    <w:multiLevelType w:val="hybridMultilevel"/>
    <w:tmpl w:val="5C04755A"/>
    <w:lvl w:ilvl="0" w:tplc="D2BE7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FE40C4"/>
    <w:multiLevelType w:val="hybridMultilevel"/>
    <w:tmpl w:val="2A6E3930"/>
    <w:lvl w:ilvl="0" w:tplc="E2F0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99538E"/>
    <w:multiLevelType w:val="hybridMultilevel"/>
    <w:tmpl w:val="488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E5B29"/>
    <w:multiLevelType w:val="hybridMultilevel"/>
    <w:tmpl w:val="8296164C"/>
    <w:lvl w:ilvl="0" w:tplc="41246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3"/>
  </w:num>
  <w:num w:numId="5">
    <w:abstractNumId w:val="5"/>
  </w:num>
  <w:num w:numId="6">
    <w:abstractNumId w:val="2"/>
  </w:num>
  <w:num w:numId="7">
    <w:abstractNumId w:val="10"/>
  </w:num>
  <w:num w:numId="8">
    <w:abstractNumId w:val="0"/>
  </w:num>
  <w:num w:numId="9">
    <w:abstractNumId w:val="1"/>
  </w:num>
  <w:num w:numId="10">
    <w:abstractNumId w:val="11"/>
  </w:num>
  <w:num w:numId="11">
    <w:abstractNumId w:val="4"/>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CE928E-E116-4AD7-90C9-B152DDD9593A}"/>
    <w:docVar w:name="dgnword-eventsink" w:val="1862375019248"/>
  </w:docVars>
  <w:rsids>
    <w:rsidRoot w:val="00E061E8"/>
    <w:rsid w:val="00001536"/>
    <w:rsid w:val="000151FC"/>
    <w:rsid w:val="000255D1"/>
    <w:rsid w:val="00025B8C"/>
    <w:rsid w:val="00025D9D"/>
    <w:rsid w:val="00031157"/>
    <w:rsid w:val="000378DA"/>
    <w:rsid w:val="00042474"/>
    <w:rsid w:val="0005173A"/>
    <w:rsid w:val="0005193C"/>
    <w:rsid w:val="00054D5B"/>
    <w:rsid w:val="000613FA"/>
    <w:rsid w:val="0007078C"/>
    <w:rsid w:val="00073A5D"/>
    <w:rsid w:val="00081E7D"/>
    <w:rsid w:val="000832CB"/>
    <w:rsid w:val="00083EB9"/>
    <w:rsid w:val="000928B7"/>
    <w:rsid w:val="000A4FC7"/>
    <w:rsid w:val="000A6B99"/>
    <w:rsid w:val="000B3E08"/>
    <w:rsid w:val="000B5444"/>
    <w:rsid w:val="000B6781"/>
    <w:rsid w:val="000B76B0"/>
    <w:rsid w:val="000B78F8"/>
    <w:rsid w:val="000C3120"/>
    <w:rsid w:val="000C56BC"/>
    <w:rsid w:val="000C6151"/>
    <w:rsid w:val="000C6A25"/>
    <w:rsid w:val="000D689C"/>
    <w:rsid w:val="000E3D22"/>
    <w:rsid w:val="000E6171"/>
    <w:rsid w:val="000E63C8"/>
    <w:rsid w:val="001039D7"/>
    <w:rsid w:val="00114C48"/>
    <w:rsid w:val="001206AA"/>
    <w:rsid w:val="001217F2"/>
    <w:rsid w:val="0012371F"/>
    <w:rsid w:val="00123BDB"/>
    <w:rsid w:val="001249EB"/>
    <w:rsid w:val="0012754B"/>
    <w:rsid w:val="00132FB8"/>
    <w:rsid w:val="001331F7"/>
    <w:rsid w:val="00141E25"/>
    <w:rsid w:val="00143193"/>
    <w:rsid w:val="00144C3D"/>
    <w:rsid w:val="001466A1"/>
    <w:rsid w:val="00150D66"/>
    <w:rsid w:val="00151B4A"/>
    <w:rsid w:val="00152A01"/>
    <w:rsid w:val="001550C2"/>
    <w:rsid w:val="0015748B"/>
    <w:rsid w:val="0016116E"/>
    <w:rsid w:val="00162CF3"/>
    <w:rsid w:val="00164CBA"/>
    <w:rsid w:val="00166EF1"/>
    <w:rsid w:val="0016737B"/>
    <w:rsid w:val="00173458"/>
    <w:rsid w:val="001759A7"/>
    <w:rsid w:val="001775A1"/>
    <w:rsid w:val="00180CE0"/>
    <w:rsid w:val="001816D4"/>
    <w:rsid w:val="00183D2B"/>
    <w:rsid w:val="00184466"/>
    <w:rsid w:val="00186574"/>
    <w:rsid w:val="00190012"/>
    <w:rsid w:val="00192328"/>
    <w:rsid w:val="00197338"/>
    <w:rsid w:val="001A4ECC"/>
    <w:rsid w:val="001A5B77"/>
    <w:rsid w:val="001A6D2F"/>
    <w:rsid w:val="001A7685"/>
    <w:rsid w:val="001B5287"/>
    <w:rsid w:val="001B5606"/>
    <w:rsid w:val="001C1150"/>
    <w:rsid w:val="001C52D7"/>
    <w:rsid w:val="001C7B18"/>
    <w:rsid w:val="001D2654"/>
    <w:rsid w:val="001D5A18"/>
    <w:rsid w:val="001D6598"/>
    <w:rsid w:val="001D6FD1"/>
    <w:rsid w:val="001E442E"/>
    <w:rsid w:val="00201532"/>
    <w:rsid w:val="002020F5"/>
    <w:rsid w:val="002104C8"/>
    <w:rsid w:val="00215233"/>
    <w:rsid w:val="00220C30"/>
    <w:rsid w:val="00221770"/>
    <w:rsid w:val="00233996"/>
    <w:rsid w:val="00237572"/>
    <w:rsid w:val="00237A1C"/>
    <w:rsid w:val="00237B29"/>
    <w:rsid w:val="00246333"/>
    <w:rsid w:val="00250241"/>
    <w:rsid w:val="00250336"/>
    <w:rsid w:val="00251A99"/>
    <w:rsid w:val="00252031"/>
    <w:rsid w:val="0025454C"/>
    <w:rsid w:val="002557CD"/>
    <w:rsid w:val="002576EA"/>
    <w:rsid w:val="00260FE8"/>
    <w:rsid w:val="00262323"/>
    <w:rsid w:val="00263027"/>
    <w:rsid w:val="00271A63"/>
    <w:rsid w:val="00271D8A"/>
    <w:rsid w:val="0027314E"/>
    <w:rsid w:val="00285084"/>
    <w:rsid w:val="00287779"/>
    <w:rsid w:val="002A60C0"/>
    <w:rsid w:val="002B073A"/>
    <w:rsid w:val="002B4700"/>
    <w:rsid w:val="002B4B45"/>
    <w:rsid w:val="002B5BE4"/>
    <w:rsid w:val="002B66E8"/>
    <w:rsid w:val="002D0DE9"/>
    <w:rsid w:val="002E3D32"/>
    <w:rsid w:val="002E3D96"/>
    <w:rsid w:val="002F2E6B"/>
    <w:rsid w:val="002F6025"/>
    <w:rsid w:val="00300123"/>
    <w:rsid w:val="00303532"/>
    <w:rsid w:val="003076B7"/>
    <w:rsid w:val="0031479D"/>
    <w:rsid w:val="003266D0"/>
    <w:rsid w:val="003325C8"/>
    <w:rsid w:val="00335203"/>
    <w:rsid w:val="003400DF"/>
    <w:rsid w:val="00340806"/>
    <w:rsid w:val="00345831"/>
    <w:rsid w:val="0034788A"/>
    <w:rsid w:val="00351967"/>
    <w:rsid w:val="00356EAF"/>
    <w:rsid w:val="003604BB"/>
    <w:rsid w:val="003609EE"/>
    <w:rsid w:val="00366334"/>
    <w:rsid w:val="003669CF"/>
    <w:rsid w:val="00373EE9"/>
    <w:rsid w:val="00396235"/>
    <w:rsid w:val="00396D28"/>
    <w:rsid w:val="003A15DD"/>
    <w:rsid w:val="003A482A"/>
    <w:rsid w:val="003A551E"/>
    <w:rsid w:val="003A6AEB"/>
    <w:rsid w:val="003B5462"/>
    <w:rsid w:val="003B55CD"/>
    <w:rsid w:val="003B59A7"/>
    <w:rsid w:val="003C3A4E"/>
    <w:rsid w:val="003C63EB"/>
    <w:rsid w:val="003C6B75"/>
    <w:rsid w:val="003D5189"/>
    <w:rsid w:val="003D5773"/>
    <w:rsid w:val="003E102E"/>
    <w:rsid w:val="003E3BAB"/>
    <w:rsid w:val="003E4190"/>
    <w:rsid w:val="003E691F"/>
    <w:rsid w:val="003E6AFC"/>
    <w:rsid w:val="003F10B2"/>
    <w:rsid w:val="004007A3"/>
    <w:rsid w:val="00404781"/>
    <w:rsid w:val="0041286C"/>
    <w:rsid w:val="00425BF8"/>
    <w:rsid w:val="00427CF6"/>
    <w:rsid w:val="004358EB"/>
    <w:rsid w:val="0043623A"/>
    <w:rsid w:val="004379D0"/>
    <w:rsid w:val="00444D96"/>
    <w:rsid w:val="00452BE5"/>
    <w:rsid w:val="004556C6"/>
    <w:rsid w:val="00464DA6"/>
    <w:rsid w:val="00464F0C"/>
    <w:rsid w:val="0046600B"/>
    <w:rsid w:val="004709F3"/>
    <w:rsid w:val="00475D86"/>
    <w:rsid w:val="00476ABF"/>
    <w:rsid w:val="00486DE0"/>
    <w:rsid w:val="00490038"/>
    <w:rsid w:val="004912FE"/>
    <w:rsid w:val="00492A4B"/>
    <w:rsid w:val="004A1FBC"/>
    <w:rsid w:val="004A6F90"/>
    <w:rsid w:val="004B09A2"/>
    <w:rsid w:val="004B0B7A"/>
    <w:rsid w:val="004B18D7"/>
    <w:rsid w:val="004B26BA"/>
    <w:rsid w:val="004B5DEF"/>
    <w:rsid w:val="004C31A8"/>
    <w:rsid w:val="004D1594"/>
    <w:rsid w:val="004E5812"/>
    <w:rsid w:val="004F72D6"/>
    <w:rsid w:val="005153C4"/>
    <w:rsid w:val="005214D5"/>
    <w:rsid w:val="0053206C"/>
    <w:rsid w:val="005347C5"/>
    <w:rsid w:val="005370A1"/>
    <w:rsid w:val="00537E68"/>
    <w:rsid w:val="00546D88"/>
    <w:rsid w:val="0055018A"/>
    <w:rsid w:val="00565D8C"/>
    <w:rsid w:val="005662AD"/>
    <w:rsid w:val="005768AB"/>
    <w:rsid w:val="00576A03"/>
    <w:rsid w:val="0058207A"/>
    <w:rsid w:val="00583BF5"/>
    <w:rsid w:val="00583F7C"/>
    <w:rsid w:val="00590440"/>
    <w:rsid w:val="005917E8"/>
    <w:rsid w:val="0059210D"/>
    <w:rsid w:val="00596944"/>
    <w:rsid w:val="005B0525"/>
    <w:rsid w:val="005B2075"/>
    <w:rsid w:val="005B7BD0"/>
    <w:rsid w:val="005C0E98"/>
    <w:rsid w:val="005C6A1F"/>
    <w:rsid w:val="005D1FF9"/>
    <w:rsid w:val="005D22FD"/>
    <w:rsid w:val="005E2220"/>
    <w:rsid w:val="005E2AF1"/>
    <w:rsid w:val="005E3E17"/>
    <w:rsid w:val="005E466F"/>
    <w:rsid w:val="005F2B36"/>
    <w:rsid w:val="005F43C4"/>
    <w:rsid w:val="0060354A"/>
    <w:rsid w:val="00604F95"/>
    <w:rsid w:val="006119CF"/>
    <w:rsid w:val="00614164"/>
    <w:rsid w:val="00614D28"/>
    <w:rsid w:val="0061651E"/>
    <w:rsid w:val="00621EA6"/>
    <w:rsid w:val="00622C8D"/>
    <w:rsid w:val="00625547"/>
    <w:rsid w:val="0063135D"/>
    <w:rsid w:val="006340A1"/>
    <w:rsid w:val="00635346"/>
    <w:rsid w:val="006404E9"/>
    <w:rsid w:val="00647E46"/>
    <w:rsid w:val="00651399"/>
    <w:rsid w:val="00652136"/>
    <w:rsid w:val="006736EE"/>
    <w:rsid w:val="00681581"/>
    <w:rsid w:val="00681D31"/>
    <w:rsid w:val="006871C4"/>
    <w:rsid w:val="006874E2"/>
    <w:rsid w:val="00694372"/>
    <w:rsid w:val="00697177"/>
    <w:rsid w:val="006A00F2"/>
    <w:rsid w:val="006A0110"/>
    <w:rsid w:val="006B1C2C"/>
    <w:rsid w:val="006B2DFE"/>
    <w:rsid w:val="006B38BB"/>
    <w:rsid w:val="006D63E3"/>
    <w:rsid w:val="006E108A"/>
    <w:rsid w:val="006E2EC7"/>
    <w:rsid w:val="006E54C4"/>
    <w:rsid w:val="006E717D"/>
    <w:rsid w:val="006F64B1"/>
    <w:rsid w:val="007004D7"/>
    <w:rsid w:val="007029B6"/>
    <w:rsid w:val="00702A05"/>
    <w:rsid w:val="00705573"/>
    <w:rsid w:val="0070660F"/>
    <w:rsid w:val="007118C2"/>
    <w:rsid w:val="0071408F"/>
    <w:rsid w:val="00726858"/>
    <w:rsid w:val="00730DA6"/>
    <w:rsid w:val="00732FDD"/>
    <w:rsid w:val="00736A5A"/>
    <w:rsid w:val="007374B8"/>
    <w:rsid w:val="00740A16"/>
    <w:rsid w:val="0074106E"/>
    <w:rsid w:val="00742D7F"/>
    <w:rsid w:val="0074508D"/>
    <w:rsid w:val="0075042E"/>
    <w:rsid w:val="0075550C"/>
    <w:rsid w:val="007571CE"/>
    <w:rsid w:val="00776750"/>
    <w:rsid w:val="00776EFA"/>
    <w:rsid w:val="00776F0E"/>
    <w:rsid w:val="00782720"/>
    <w:rsid w:val="00786565"/>
    <w:rsid w:val="007867D2"/>
    <w:rsid w:val="007900E2"/>
    <w:rsid w:val="007A4440"/>
    <w:rsid w:val="007A58B4"/>
    <w:rsid w:val="007B43DC"/>
    <w:rsid w:val="007B581E"/>
    <w:rsid w:val="007C1B61"/>
    <w:rsid w:val="007C5094"/>
    <w:rsid w:val="007D276D"/>
    <w:rsid w:val="007D298E"/>
    <w:rsid w:val="007D5985"/>
    <w:rsid w:val="007E2D71"/>
    <w:rsid w:val="007F1291"/>
    <w:rsid w:val="007F245F"/>
    <w:rsid w:val="007F6321"/>
    <w:rsid w:val="00801CD3"/>
    <w:rsid w:val="00803F46"/>
    <w:rsid w:val="00820816"/>
    <w:rsid w:val="008272A0"/>
    <w:rsid w:val="00832992"/>
    <w:rsid w:val="00834AC4"/>
    <w:rsid w:val="008414AC"/>
    <w:rsid w:val="008476ED"/>
    <w:rsid w:val="00850E16"/>
    <w:rsid w:val="00857859"/>
    <w:rsid w:val="00866D0A"/>
    <w:rsid w:val="00872008"/>
    <w:rsid w:val="00882B89"/>
    <w:rsid w:val="00896D97"/>
    <w:rsid w:val="008A3A6C"/>
    <w:rsid w:val="008A614E"/>
    <w:rsid w:val="008B0A30"/>
    <w:rsid w:val="008B1908"/>
    <w:rsid w:val="008B2276"/>
    <w:rsid w:val="008C57CA"/>
    <w:rsid w:val="008D65FE"/>
    <w:rsid w:val="008D7BF8"/>
    <w:rsid w:val="008E4D98"/>
    <w:rsid w:val="008E7BC2"/>
    <w:rsid w:val="008F23BB"/>
    <w:rsid w:val="008F2546"/>
    <w:rsid w:val="008F56B8"/>
    <w:rsid w:val="00911698"/>
    <w:rsid w:val="00923B1D"/>
    <w:rsid w:val="0092427D"/>
    <w:rsid w:val="00933C74"/>
    <w:rsid w:val="00936DD7"/>
    <w:rsid w:val="00944763"/>
    <w:rsid w:val="00945D85"/>
    <w:rsid w:val="00946FB1"/>
    <w:rsid w:val="009509E3"/>
    <w:rsid w:val="00952065"/>
    <w:rsid w:val="00953E0F"/>
    <w:rsid w:val="00962642"/>
    <w:rsid w:val="00965F4E"/>
    <w:rsid w:val="00973378"/>
    <w:rsid w:val="00973446"/>
    <w:rsid w:val="00973CF3"/>
    <w:rsid w:val="00973FE5"/>
    <w:rsid w:val="0097701F"/>
    <w:rsid w:val="00981E7F"/>
    <w:rsid w:val="00983879"/>
    <w:rsid w:val="009844B8"/>
    <w:rsid w:val="009864CB"/>
    <w:rsid w:val="009922F9"/>
    <w:rsid w:val="00995096"/>
    <w:rsid w:val="009A3853"/>
    <w:rsid w:val="009B5B11"/>
    <w:rsid w:val="009C1D95"/>
    <w:rsid w:val="009C34A4"/>
    <w:rsid w:val="009D1A4B"/>
    <w:rsid w:val="009E03F8"/>
    <w:rsid w:val="009E0EAC"/>
    <w:rsid w:val="009E632C"/>
    <w:rsid w:val="009E6723"/>
    <w:rsid w:val="009F31B7"/>
    <w:rsid w:val="009F431D"/>
    <w:rsid w:val="009F7EC8"/>
    <w:rsid w:val="00A04DEC"/>
    <w:rsid w:val="00A05A15"/>
    <w:rsid w:val="00A0627C"/>
    <w:rsid w:val="00A1462A"/>
    <w:rsid w:val="00A148E7"/>
    <w:rsid w:val="00A25E01"/>
    <w:rsid w:val="00A35E5F"/>
    <w:rsid w:val="00A40C64"/>
    <w:rsid w:val="00A44118"/>
    <w:rsid w:val="00A44338"/>
    <w:rsid w:val="00A45544"/>
    <w:rsid w:val="00A70E96"/>
    <w:rsid w:val="00A72287"/>
    <w:rsid w:val="00A76975"/>
    <w:rsid w:val="00A81CB7"/>
    <w:rsid w:val="00A820B4"/>
    <w:rsid w:val="00A82B9E"/>
    <w:rsid w:val="00A83F3A"/>
    <w:rsid w:val="00A87629"/>
    <w:rsid w:val="00A9060C"/>
    <w:rsid w:val="00A93763"/>
    <w:rsid w:val="00A940E5"/>
    <w:rsid w:val="00A947F8"/>
    <w:rsid w:val="00AA0DE9"/>
    <w:rsid w:val="00AA13E1"/>
    <w:rsid w:val="00AA330C"/>
    <w:rsid w:val="00AB18C1"/>
    <w:rsid w:val="00AB2639"/>
    <w:rsid w:val="00AB31AE"/>
    <w:rsid w:val="00AB3FCC"/>
    <w:rsid w:val="00AB57A1"/>
    <w:rsid w:val="00AB7A06"/>
    <w:rsid w:val="00AC69B0"/>
    <w:rsid w:val="00AD4553"/>
    <w:rsid w:val="00AD76C4"/>
    <w:rsid w:val="00AE0EE6"/>
    <w:rsid w:val="00AE1BCB"/>
    <w:rsid w:val="00AF0CE8"/>
    <w:rsid w:val="00AF6737"/>
    <w:rsid w:val="00AF6E73"/>
    <w:rsid w:val="00B0063E"/>
    <w:rsid w:val="00B02919"/>
    <w:rsid w:val="00B06802"/>
    <w:rsid w:val="00B105E9"/>
    <w:rsid w:val="00B1398D"/>
    <w:rsid w:val="00B256FD"/>
    <w:rsid w:val="00B26B97"/>
    <w:rsid w:val="00B31A4F"/>
    <w:rsid w:val="00B43BD4"/>
    <w:rsid w:val="00B61A5C"/>
    <w:rsid w:val="00B62AAB"/>
    <w:rsid w:val="00B73C05"/>
    <w:rsid w:val="00B7572A"/>
    <w:rsid w:val="00B91572"/>
    <w:rsid w:val="00B91D3D"/>
    <w:rsid w:val="00BA1BC6"/>
    <w:rsid w:val="00BA4906"/>
    <w:rsid w:val="00BA5682"/>
    <w:rsid w:val="00BC07C5"/>
    <w:rsid w:val="00BC15CC"/>
    <w:rsid w:val="00BC2A1A"/>
    <w:rsid w:val="00BC598E"/>
    <w:rsid w:val="00BC744A"/>
    <w:rsid w:val="00BC7B5E"/>
    <w:rsid w:val="00BD52BC"/>
    <w:rsid w:val="00BD631C"/>
    <w:rsid w:val="00BF09DA"/>
    <w:rsid w:val="00BF797A"/>
    <w:rsid w:val="00C01776"/>
    <w:rsid w:val="00C02FD9"/>
    <w:rsid w:val="00C037C9"/>
    <w:rsid w:val="00C06E69"/>
    <w:rsid w:val="00C1160D"/>
    <w:rsid w:val="00C13FBF"/>
    <w:rsid w:val="00C2266B"/>
    <w:rsid w:val="00C22B3D"/>
    <w:rsid w:val="00C23B73"/>
    <w:rsid w:val="00C244A0"/>
    <w:rsid w:val="00C274B6"/>
    <w:rsid w:val="00C30C72"/>
    <w:rsid w:val="00C354C3"/>
    <w:rsid w:val="00C35D4D"/>
    <w:rsid w:val="00C36081"/>
    <w:rsid w:val="00C37E3E"/>
    <w:rsid w:val="00C44DAE"/>
    <w:rsid w:val="00C454A0"/>
    <w:rsid w:val="00C4659F"/>
    <w:rsid w:val="00C500C5"/>
    <w:rsid w:val="00C55408"/>
    <w:rsid w:val="00C56BAA"/>
    <w:rsid w:val="00C61072"/>
    <w:rsid w:val="00C6178C"/>
    <w:rsid w:val="00C742AD"/>
    <w:rsid w:val="00C81B40"/>
    <w:rsid w:val="00C858B6"/>
    <w:rsid w:val="00C8775B"/>
    <w:rsid w:val="00C90668"/>
    <w:rsid w:val="00C9092D"/>
    <w:rsid w:val="00C91A02"/>
    <w:rsid w:val="00CC2A83"/>
    <w:rsid w:val="00CC42F2"/>
    <w:rsid w:val="00CD043E"/>
    <w:rsid w:val="00CD48CD"/>
    <w:rsid w:val="00CE33DB"/>
    <w:rsid w:val="00CF1C83"/>
    <w:rsid w:val="00D00549"/>
    <w:rsid w:val="00D00E71"/>
    <w:rsid w:val="00D01953"/>
    <w:rsid w:val="00D0236C"/>
    <w:rsid w:val="00D0788C"/>
    <w:rsid w:val="00D10481"/>
    <w:rsid w:val="00D12355"/>
    <w:rsid w:val="00D141B2"/>
    <w:rsid w:val="00D17564"/>
    <w:rsid w:val="00D303E2"/>
    <w:rsid w:val="00D36946"/>
    <w:rsid w:val="00D40731"/>
    <w:rsid w:val="00D42439"/>
    <w:rsid w:val="00D50019"/>
    <w:rsid w:val="00D5188C"/>
    <w:rsid w:val="00D51C47"/>
    <w:rsid w:val="00D529CE"/>
    <w:rsid w:val="00D53EA8"/>
    <w:rsid w:val="00D57E6F"/>
    <w:rsid w:val="00D61039"/>
    <w:rsid w:val="00D649EC"/>
    <w:rsid w:val="00D67385"/>
    <w:rsid w:val="00D72742"/>
    <w:rsid w:val="00D73892"/>
    <w:rsid w:val="00D73968"/>
    <w:rsid w:val="00D761E5"/>
    <w:rsid w:val="00D77CE7"/>
    <w:rsid w:val="00D77EEE"/>
    <w:rsid w:val="00D8493F"/>
    <w:rsid w:val="00D84F47"/>
    <w:rsid w:val="00D93B67"/>
    <w:rsid w:val="00D95ACB"/>
    <w:rsid w:val="00DA4B96"/>
    <w:rsid w:val="00DA7B11"/>
    <w:rsid w:val="00DB2E34"/>
    <w:rsid w:val="00DC0CF6"/>
    <w:rsid w:val="00DC3AF0"/>
    <w:rsid w:val="00DC7D7C"/>
    <w:rsid w:val="00DD2D16"/>
    <w:rsid w:val="00DD51C8"/>
    <w:rsid w:val="00DD5B48"/>
    <w:rsid w:val="00DE5894"/>
    <w:rsid w:val="00DF0C7B"/>
    <w:rsid w:val="00DF0E11"/>
    <w:rsid w:val="00E0341D"/>
    <w:rsid w:val="00E061E8"/>
    <w:rsid w:val="00E2009F"/>
    <w:rsid w:val="00E32EEA"/>
    <w:rsid w:val="00E35E8B"/>
    <w:rsid w:val="00E44128"/>
    <w:rsid w:val="00E4508E"/>
    <w:rsid w:val="00E56318"/>
    <w:rsid w:val="00E57371"/>
    <w:rsid w:val="00E74417"/>
    <w:rsid w:val="00E7768C"/>
    <w:rsid w:val="00E85EE3"/>
    <w:rsid w:val="00E9090C"/>
    <w:rsid w:val="00E94D7F"/>
    <w:rsid w:val="00E95EBF"/>
    <w:rsid w:val="00E9793F"/>
    <w:rsid w:val="00EA1AFF"/>
    <w:rsid w:val="00EA4F4B"/>
    <w:rsid w:val="00EB2A51"/>
    <w:rsid w:val="00EB4594"/>
    <w:rsid w:val="00EB532D"/>
    <w:rsid w:val="00EB5B37"/>
    <w:rsid w:val="00EC2C65"/>
    <w:rsid w:val="00EC671B"/>
    <w:rsid w:val="00ED5BE8"/>
    <w:rsid w:val="00F01A00"/>
    <w:rsid w:val="00F020D1"/>
    <w:rsid w:val="00F128DF"/>
    <w:rsid w:val="00F1786D"/>
    <w:rsid w:val="00F20545"/>
    <w:rsid w:val="00F2122C"/>
    <w:rsid w:val="00F23BA9"/>
    <w:rsid w:val="00F27684"/>
    <w:rsid w:val="00F352ED"/>
    <w:rsid w:val="00F43088"/>
    <w:rsid w:val="00F45FA3"/>
    <w:rsid w:val="00F51A0E"/>
    <w:rsid w:val="00F633A4"/>
    <w:rsid w:val="00F63EDE"/>
    <w:rsid w:val="00F6695B"/>
    <w:rsid w:val="00F670E9"/>
    <w:rsid w:val="00F67A2A"/>
    <w:rsid w:val="00F70E14"/>
    <w:rsid w:val="00F753D0"/>
    <w:rsid w:val="00F753DD"/>
    <w:rsid w:val="00F90A1D"/>
    <w:rsid w:val="00F93E48"/>
    <w:rsid w:val="00FA33A3"/>
    <w:rsid w:val="00FA588A"/>
    <w:rsid w:val="00FB075C"/>
    <w:rsid w:val="00FB1D8A"/>
    <w:rsid w:val="00FB27CC"/>
    <w:rsid w:val="00FC13E9"/>
    <w:rsid w:val="00FC28B9"/>
    <w:rsid w:val="00FD013F"/>
    <w:rsid w:val="00FD0D79"/>
    <w:rsid w:val="00FD51D2"/>
    <w:rsid w:val="00FE15DF"/>
    <w:rsid w:val="00FE2D31"/>
    <w:rsid w:val="00FE5D6E"/>
    <w:rsid w:val="00FE6DBD"/>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24DB"/>
  <w15:chartTrackingRefBased/>
  <w15:docId w15:val="{82AE6BB7-C323-4DAC-B5C0-4C39E170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E8"/>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E061E8"/>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61E8"/>
    <w:rPr>
      <w:rFonts w:ascii="Arial" w:eastAsia="Times New Roman" w:hAnsi="Arial" w:cs="Arial"/>
      <w:i/>
      <w:iCs/>
      <w:sz w:val="28"/>
      <w:szCs w:val="24"/>
      <w:lang w:val="en-GB"/>
    </w:rPr>
  </w:style>
  <w:style w:type="paragraph" w:styleId="Header">
    <w:name w:val="header"/>
    <w:basedOn w:val="Normal"/>
    <w:link w:val="HeaderChar"/>
    <w:uiPriority w:val="99"/>
    <w:rsid w:val="00E061E8"/>
    <w:pPr>
      <w:tabs>
        <w:tab w:val="center" w:pos="4153"/>
        <w:tab w:val="right" w:pos="8306"/>
      </w:tabs>
    </w:pPr>
  </w:style>
  <w:style w:type="character" w:customStyle="1" w:styleId="HeaderChar">
    <w:name w:val="Header Char"/>
    <w:basedOn w:val="DefaultParagraphFont"/>
    <w:link w:val="Header"/>
    <w:uiPriority w:val="99"/>
    <w:rsid w:val="00E061E8"/>
    <w:rPr>
      <w:rFonts w:ascii="Times New Roman" w:eastAsia="Times New Roman" w:hAnsi="Times New Roman" w:cs="Times New Roman"/>
      <w:sz w:val="24"/>
      <w:szCs w:val="24"/>
      <w:lang w:val="en-GB"/>
    </w:rPr>
  </w:style>
  <w:style w:type="character" w:styleId="PageNumber">
    <w:name w:val="page number"/>
    <w:basedOn w:val="DefaultParagraphFont"/>
    <w:rsid w:val="00E061E8"/>
    <w:rPr>
      <w:rFonts w:cs="Times New Roman"/>
    </w:rPr>
  </w:style>
  <w:style w:type="paragraph" w:styleId="FootnoteText">
    <w:name w:val="footnote text"/>
    <w:basedOn w:val="Normal"/>
    <w:link w:val="FootnoteTextChar"/>
    <w:uiPriority w:val="99"/>
    <w:rsid w:val="00E061E8"/>
    <w:rPr>
      <w:sz w:val="20"/>
      <w:szCs w:val="20"/>
    </w:rPr>
  </w:style>
  <w:style w:type="character" w:customStyle="1" w:styleId="FootnoteTextChar">
    <w:name w:val="Footnote Text Char"/>
    <w:basedOn w:val="DefaultParagraphFont"/>
    <w:link w:val="FootnoteText"/>
    <w:uiPriority w:val="99"/>
    <w:rsid w:val="00E061E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061E8"/>
    <w:pPr>
      <w:ind w:left="720"/>
      <w:contextualSpacing/>
    </w:pPr>
  </w:style>
  <w:style w:type="character" w:styleId="FootnoteReference">
    <w:name w:val="footnote reference"/>
    <w:basedOn w:val="DefaultParagraphFont"/>
    <w:uiPriority w:val="99"/>
    <w:semiHidden/>
    <w:unhideWhenUsed/>
    <w:rsid w:val="00E061E8"/>
    <w:rPr>
      <w:vertAlign w:val="superscript"/>
    </w:rPr>
  </w:style>
  <w:style w:type="character" w:styleId="CommentReference">
    <w:name w:val="annotation reference"/>
    <w:basedOn w:val="DefaultParagraphFont"/>
    <w:uiPriority w:val="99"/>
    <w:semiHidden/>
    <w:unhideWhenUsed/>
    <w:rsid w:val="00923B1D"/>
    <w:rPr>
      <w:sz w:val="16"/>
      <w:szCs w:val="16"/>
    </w:rPr>
  </w:style>
  <w:style w:type="paragraph" w:styleId="CommentText">
    <w:name w:val="annotation text"/>
    <w:basedOn w:val="Normal"/>
    <w:link w:val="CommentTextChar"/>
    <w:uiPriority w:val="99"/>
    <w:semiHidden/>
    <w:unhideWhenUsed/>
    <w:rsid w:val="00923B1D"/>
    <w:pPr>
      <w:spacing w:line="240" w:lineRule="auto"/>
    </w:pPr>
    <w:rPr>
      <w:sz w:val="20"/>
      <w:szCs w:val="20"/>
    </w:rPr>
  </w:style>
  <w:style w:type="character" w:customStyle="1" w:styleId="CommentTextChar">
    <w:name w:val="Comment Text Char"/>
    <w:basedOn w:val="DefaultParagraphFont"/>
    <w:link w:val="CommentText"/>
    <w:uiPriority w:val="99"/>
    <w:semiHidden/>
    <w:rsid w:val="00923B1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23B1D"/>
    <w:rPr>
      <w:b/>
      <w:bCs/>
    </w:rPr>
  </w:style>
  <w:style w:type="character" w:customStyle="1" w:styleId="CommentSubjectChar">
    <w:name w:val="Comment Subject Char"/>
    <w:basedOn w:val="CommentTextChar"/>
    <w:link w:val="CommentSubject"/>
    <w:uiPriority w:val="99"/>
    <w:semiHidden/>
    <w:rsid w:val="00923B1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23B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1D"/>
    <w:rPr>
      <w:rFonts w:ascii="Segoe UI" w:eastAsia="Times New Roman" w:hAnsi="Segoe UI" w:cs="Segoe UI"/>
      <w:sz w:val="18"/>
      <w:szCs w:val="18"/>
      <w:lang w:val="en-GB"/>
    </w:rPr>
  </w:style>
  <w:style w:type="character" w:styleId="PlaceholderText">
    <w:name w:val="Placeholder Text"/>
    <w:basedOn w:val="DefaultParagraphFont"/>
    <w:uiPriority w:val="99"/>
    <w:semiHidden/>
    <w:rsid w:val="00C06E69"/>
    <w:rPr>
      <w:color w:val="808080"/>
    </w:rPr>
  </w:style>
  <w:style w:type="paragraph" w:styleId="NormalWeb">
    <w:name w:val="Normal (Web)"/>
    <w:basedOn w:val="Normal"/>
    <w:uiPriority w:val="99"/>
    <w:semiHidden/>
    <w:unhideWhenUsed/>
    <w:rsid w:val="00B0063E"/>
    <w:pPr>
      <w:spacing w:before="100" w:beforeAutospacing="1" w:after="100" w:afterAutospacing="1" w:line="240" w:lineRule="auto"/>
      <w:jc w:val="left"/>
    </w:pPr>
    <w:rPr>
      <w:lang w:val="en-US"/>
    </w:rPr>
  </w:style>
  <w:style w:type="character" w:customStyle="1" w:styleId="mc">
    <w:name w:val="mc"/>
    <w:basedOn w:val="DefaultParagraphFont"/>
    <w:rsid w:val="00C22B3D"/>
  </w:style>
  <w:style w:type="character" w:styleId="Hyperlink">
    <w:name w:val="Hyperlink"/>
    <w:basedOn w:val="DefaultParagraphFont"/>
    <w:uiPriority w:val="99"/>
    <w:unhideWhenUsed/>
    <w:rsid w:val="00132FB8"/>
    <w:rPr>
      <w:color w:val="0563C1" w:themeColor="hyperlink"/>
      <w:u w:val="single"/>
    </w:rPr>
  </w:style>
  <w:style w:type="character" w:customStyle="1" w:styleId="UnresolvedMention1">
    <w:name w:val="Unresolved Mention1"/>
    <w:basedOn w:val="DefaultParagraphFont"/>
    <w:uiPriority w:val="99"/>
    <w:semiHidden/>
    <w:unhideWhenUsed/>
    <w:rsid w:val="00132FB8"/>
    <w:rPr>
      <w:color w:val="605E5C"/>
      <w:shd w:val="clear" w:color="auto" w:fill="E1DFDD"/>
    </w:rPr>
  </w:style>
  <w:style w:type="paragraph" w:styleId="Footer">
    <w:name w:val="footer"/>
    <w:basedOn w:val="Normal"/>
    <w:link w:val="FooterChar"/>
    <w:uiPriority w:val="99"/>
    <w:unhideWhenUsed/>
    <w:rsid w:val="001C52D7"/>
    <w:pPr>
      <w:tabs>
        <w:tab w:val="center" w:pos="4513"/>
        <w:tab w:val="right" w:pos="9026"/>
      </w:tabs>
      <w:spacing w:line="240" w:lineRule="auto"/>
    </w:pPr>
  </w:style>
  <w:style w:type="character" w:customStyle="1" w:styleId="FooterChar">
    <w:name w:val="Footer Char"/>
    <w:basedOn w:val="DefaultParagraphFont"/>
    <w:link w:val="Footer"/>
    <w:uiPriority w:val="99"/>
    <w:rsid w:val="001C52D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54142">
      <w:bodyDiv w:val="1"/>
      <w:marLeft w:val="0"/>
      <w:marRight w:val="0"/>
      <w:marTop w:val="0"/>
      <w:marBottom w:val="0"/>
      <w:divBdr>
        <w:top w:val="none" w:sz="0" w:space="0" w:color="auto"/>
        <w:left w:val="none" w:sz="0" w:space="0" w:color="auto"/>
        <w:bottom w:val="none" w:sz="0" w:space="0" w:color="auto"/>
        <w:right w:val="none" w:sz="0" w:space="0" w:color="auto"/>
      </w:divBdr>
    </w:div>
    <w:div w:id="791631026">
      <w:bodyDiv w:val="1"/>
      <w:marLeft w:val="0"/>
      <w:marRight w:val="0"/>
      <w:marTop w:val="0"/>
      <w:marBottom w:val="0"/>
      <w:divBdr>
        <w:top w:val="none" w:sz="0" w:space="0" w:color="auto"/>
        <w:left w:val="none" w:sz="0" w:space="0" w:color="auto"/>
        <w:bottom w:val="none" w:sz="0" w:space="0" w:color="auto"/>
        <w:right w:val="none" w:sz="0" w:space="0" w:color="auto"/>
      </w:divBdr>
    </w:div>
    <w:div w:id="1086422234">
      <w:bodyDiv w:val="1"/>
      <w:marLeft w:val="0"/>
      <w:marRight w:val="0"/>
      <w:marTop w:val="0"/>
      <w:marBottom w:val="0"/>
      <w:divBdr>
        <w:top w:val="none" w:sz="0" w:space="0" w:color="auto"/>
        <w:left w:val="none" w:sz="0" w:space="0" w:color="auto"/>
        <w:bottom w:val="none" w:sz="0" w:space="0" w:color="auto"/>
        <w:right w:val="none" w:sz="0" w:space="0" w:color="auto"/>
      </w:divBdr>
    </w:div>
    <w:div w:id="14638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ezproxy.uct.ac.za/Library/IframeContent.aspx?dpath=zb/jilc/kilc/ezrg/88rg/98rg/wprh&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98F0-2F55-4123-ABD9-4969BFBE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6240</Words>
  <Characters>35572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3</cp:revision>
  <cp:lastPrinted>2022-11-04T14:52:00Z</cp:lastPrinted>
  <dcterms:created xsi:type="dcterms:W3CDTF">2022-11-07T08:14:00Z</dcterms:created>
  <dcterms:modified xsi:type="dcterms:W3CDTF">2022-11-07T15:20:00Z</dcterms:modified>
</cp:coreProperties>
</file>