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8A" w:rsidRPr="00E53B53" w:rsidRDefault="001246FF" w:rsidP="00083A3D">
      <w:pPr>
        <w:pStyle w:val="Pa3"/>
        <w:spacing w:line="360" w:lineRule="auto"/>
        <w:rPr>
          <w:rStyle w:val="A0"/>
          <w:b w:val="0"/>
          <w:sz w:val="24"/>
        </w:rPr>
      </w:pPr>
      <w:bookmarkStart w:id="0" w:name="OLE_LINK1"/>
      <w:bookmarkStart w:id="1" w:name="_GoBack"/>
      <w:bookmarkEnd w:id="1"/>
      <w:r w:rsidRPr="00E53B53">
        <w:rPr>
          <w:noProof/>
          <w:lang w:val="en-ZA" w:eastAsia="en-ZA"/>
        </w:rPr>
        <w:drawing>
          <wp:anchor distT="0" distB="0" distL="114300" distR="114300" simplePos="0" relativeHeight="251657728" behindDoc="0" locked="0" layoutInCell="1" allowOverlap="1" wp14:anchorId="580AF497" wp14:editId="37561C99">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5E5E8A" w:rsidRPr="00E53B53" w:rsidRDefault="005E5E8A" w:rsidP="003714EC">
      <w:pPr>
        <w:pStyle w:val="Pa3"/>
        <w:spacing w:line="360" w:lineRule="auto"/>
        <w:rPr>
          <w:rStyle w:val="A0"/>
          <w:b w:val="0"/>
          <w:sz w:val="24"/>
        </w:rPr>
      </w:pPr>
    </w:p>
    <w:p w:rsidR="00E3021E" w:rsidRPr="00E53B53" w:rsidRDefault="00E3021E">
      <w:pPr>
        <w:rPr>
          <w:lang w:val="en-US" w:eastAsia="en-US"/>
        </w:rPr>
      </w:pPr>
    </w:p>
    <w:p w:rsidR="00E3021E" w:rsidRPr="00E53B53" w:rsidRDefault="00E3021E">
      <w:pPr>
        <w:rPr>
          <w:lang w:val="en-US" w:eastAsia="en-US"/>
        </w:rPr>
      </w:pPr>
    </w:p>
    <w:p w:rsidR="001D575E" w:rsidRPr="00E53B53" w:rsidRDefault="001D575E" w:rsidP="00807075">
      <w:pPr>
        <w:pStyle w:val="Pa3"/>
        <w:spacing w:line="360" w:lineRule="auto"/>
        <w:jc w:val="both"/>
        <w:rPr>
          <w:b/>
          <w:bCs/>
        </w:rPr>
      </w:pPr>
    </w:p>
    <w:p w:rsidR="006374C4" w:rsidRPr="00E53B53" w:rsidRDefault="00E3021E" w:rsidP="003714EC">
      <w:pPr>
        <w:pStyle w:val="Pa3"/>
        <w:spacing w:line="360" w:lineRule="auto"/>
        <w:jc w:val="center"/>
      </w:pPr>
      <w:r w:rsidRPr="00E53B53">
        <w:rPr>
          <w:b/>
          <w:bCs/>
        </w:rPr>
        <w:t>THE SUPREME COURT OF APPEAL OF SOUTH AFRICA</w:t>
      </w:r>
    </w:p>
    <w:p w:rsidR="00E3021E" w:rsidRPr="00E53B53" w:rsidRDefault="00E3021E" w:rsidP="00807075">
      <w:pPr>
        <w:jc w:val="center"/>
        <w:rPr>
          <w:b/>
          <w:bCs/>
        </w:rPr>
      </w:pPr>
      <w:r w:rsidRPr="00E53B53">
        <w:rPr>
          <w:b/>
          <w:bCs/>
        </w:rPr>
        <w:t>JUDGMENT</w:t>
      </w:r>
    </w:p>
    <w:p w:rsidR="00E3021E" w:rsidRPr="00E53B53" w:rsidRDefault="00E3021E" w:rsidP="00807075">
      <w:pPr>
        <w:rPr>
          <w:b/>
          <w:bCs/>
          <w:lang w:val="en-US" w:eastAsia="en-US"/>
        </w:rPr>
      </w:pPr>
    </w:p>
    <w:p w:rsidR="00E3021E" w:rsidRPr="00E53B53" w:rsidRDefault="00076BE6" w:rsidP="00807075">
      <w:pPr>
        <w:jc w:val="right"/>
        <w:rPr>
          <w:b/>
        </w:rPr>
      </w:pPr>
      <w:r w:rsidRPr="00E53B53">
        <w:rPr>
          <w:b/>
          <w:lang w:val="en-US" w:eastAsia="en-US"/>
        </w:rPr>
        <w:t>Not Reportable</w:t>
      </w:r>
    </w:p>
    <w:p w:rsidR="00E3021E" w:rsidRPr="00E53B53" w:rsidRDefault="00FA099C" w:rsidP="00807075">
      <w:pPr>
        <w:jc w:val="right"/>
      </w:pPr>
      <w:r w:rsidRPr="00E53B53">
        <w:t>Case N</w:t>
      </w:r>
      <w:r w:rsidR="005F108F" w:rsidRPr="00E53B53">
        <w:t xml:space="preserve">o: </w:t>
      </w:r>
      <w:r w:rsidR="006445C1" w:rsidRPr="00E53B53">
        <w:t>428</w:t>
      </w:r>
      <w:r w:rsidR="00D728BD" w:rsidRPr="00E53B53">
        <w:t>/</w:t>
      </w:r>
      <w:r w:rsidR="001D575E" w:rsidRPr="00E53B53">
        <w:t>202</w:t>
      </w:r>
      <w:r w:rsidR="006445C1" w:rsidRPr="00E53B53">
        <w:t>1</w:t>
      </w:r>
    </w:p>
    <w:p w:rsidR="00E3021E" w:rsidRPr="00E53B53" w:rsidRDefault="00E3021E" w:rsidP="00807075"/>
    <w:p w:rsidR="00E3021E" w:rsidRPr="00E53B53" w:rsidRDefault="00E3021E" w:rsidP="00807075">
      <w:r w:rsidRPr="00E53B53">
        <w:t>In the matter between:</w:t>
      </w:r>
    </w:p>
    <w:p w:rsidR="00E3021E" w:rsidRPr="00E53B53" w:rsidRDefault="006445C1" w:rsidP="00807075">
      <w:pPr>
        <w:tabs>
          <w:tab w:val="right" w:pos="9360"/>
        </w:tabs>
        <w:rPr>
          <w:b/>
        </w:rPr>
      </w:pPr>
      <w:r w:rsidRPr="00E53B53">
        <w:rPr>
          <w:b/>
        </w:rPr>
        <w:t>GREATER TZANEEN MUNICIPALITY</w:t>
      </w:r>
      <w:r w:rsidR="005F108F" w:rsidRPr="00E53B53">
        <w:rPr>
          <w:b/>
        </w:rPr>
        <w:tab/>
      </w:r>
      <w:r w:rsidR="00076BE6" w:rsidRPr="00E53B53">
        <w:rPr>
          <w:b/>
        </w:rPr>
        <w:t xml:space="preserve"> </w:t>
      </w:r>
      <w:r w:rsidR="00BB46B7" w:rsidRPr="00E53B53">
        <w:rPr>
          <w:b/>
        </w:rPr>
        <w:t>APPELLANT</w:t>
      </w:r>
    </w:p>
    <w:p w:rsidR="00A37BA8" w:rsidRPr="00E53B53" w:rsidRDefault="00A37BA8" w:rsidP="00807075">
      <w:pPr>
        <w:tabs>
          <w:tab w:val="right" w:pos="9480"/>
        </w:tabs>
        <w:rPr>
          <w:b/>
        </w:rPr>
      </w:pPr>
    </w:p>
    <w:p w:rsidR="00E3021E" w:rsidRPr="00E53B53" w:rsidRDefault="00CC743F" w:rsidP="00807075">
      <w:r w:rsidRPr="00E53B53">
        <w:t xml:space="preserve">and </w:t>
      </w:r>
    </w:p>
    <w:p w:rsidR="00E3021E" w:rsidRPr="00E53B53" w:rsidRDefault="00E3021E" w:rsidP="00807075">
      <w:pPr>
        <w:rPr>
          <w:b/>
          <w:bCs/>
        </w:rPr>
      </w:pPr>
    </w:p>
    <w:p w:rsidR="00E3021E" w:rsidRPr="00E53B53" w:rsidRDefault="006445C1" w:rsidP="00807075">
      <w:pPr>
        <w:tabs>
          <w:tab w:val="left" w:pos="720"/>
          <w:tab w:val="right" w:pos="9360"/>
        </w:tabs>
        <w:rPr>
          <w:b/>
        </w:rPr>
      </w:pPr>
      <w:r w:rsidRPr="00E53B53">
        <w:rPr>
          <w:b/>
        </w:rPr>
        <w:t>BRAVOSPAN 252 CC</w:t>
      </w:r>
      <w:r w:rsidR="00E3021E" w:rsidRPr="00E53B53">
        <w:rPr>
          <w:b/>
        </w:rPr>
        <w:tab/>
      </w:r>
      <w:r w:rsidR="005F108F" w:rsidRPr="00E53B53">
        <w:rPr>
          <w:b/>
        </w:rPr>
        <w:t xml:space="preserve"> </w:t>
      </w:r>
      <w:r w:rsidR="00E3021E" w:rsidRPr="00E53B53">
        <w:rPr>
          <w:b/>
        </w:rPr>
        <w:t>RESPONDENT</w:t>
      </w:r>
    </w:p>
    <w:p w:rsidR="00F872EE" w:rsidRPr="00E53B53" w:rsidRDefault="00F872EE" w:rsidP="00807075">
      <w:pPr>
        <w:tabs>
          <w:tab w:val="left" w:pos="720"/>
          <w:tab w:val="right" w:pos="9498"/>
        </w:tabs>
        <w:rPr>
          <w:b/>
        </w:rPr>
      </w:pPr>
    </w:p>
    <w:p w:rsidR="00E3021E" w:rsidRPr="00E53B53" w:rsidRDefault="00E3021E" w:rsidP="0082367E">
      <w:pPr>
        <w:ind w:left="2160" w:hanging="2160"/>
        <w:rPr>
          <w:b/>
          <w:bCs/>
          <w:u w:val="single"/>
        </w:rPr>
      </w:pPr>
      <w:r w:rsidRPr="00E53B53">
        <w:rPr>
          <w:b/>
          <w:bCs/>
        </w:rPr>
        <w:t>Neutral citation:</w:t>
      </w:r>
      <w:r w:rsidRPr="00E53B53">
        <w:rPr>
          <w:b/>
          <w:bCs/>
        </w:rPr>
        <w:tab/>
      </w:r>
      <w:bookmarkStart w:id="2" w:name="_Hlk86863190"/>
      <w:r w:rsidR="006445C1" w:rsidRPr="00E53B53">
        <w:rPr>
          <w:bCs/>
          <w:i/>
          <w:iCs/>
        </w:rPr>
        <w:t xml:space="preserve">Greater Tzaneen Municipality </w:t>
      </w:r>
      <w:r w:rsidR="00076BE6" w:rsidRPr="00E53B53">
        <w:rPr>
          <w:bCs/>
          <w:i/>
          <w:iCs/>
        </w:rPr>
        <w:t xml:space="preserve">v </w:t>
      </w:r>
      <w:r w:rsidR="006445C1" w:rsidRPr="00E53B53">
        <w:rPr>
          <w:bCs/>
          <w:i/>
          <w:iCs/>
        </w:rPr>
        <w:t>Bravospan 252 CC</w:t>
      </w:r>
      <w:r w:rsidR="00163931" w:rsidRPr="00E53B53">
        <w:rPr>
          <w:bCs/>
          <w:i/>
          <w:iCs/>
        </w:rPr>
        <w:t xml:space="preserve"> </w:t>
      </w:r>
      <w:r w:rsidR="005F108F" w:rsidRPr="00E53B53">
        <w:rPr>
          <w:bCs/>
          <w:iCs/>
        </w:rPr>
        <w:t>(</w:t>
      </w:r>
      <w:r w:rsidR="00340874" w:rsidRPr="00E53B53">
        <w:rPr>
          <w:bCs/>
          <w:iCs/>
        </w:rPr>
        <w:t xml:space="preserve">Case no. </w:t>
      </w:r>
      <w:r w:rsidR="006445C1" w:rsidRPr="00E53B53">
        <w:rPr>
          <w:bCs/>
          <w:iCs/>
        </w:rPr>
        <w:t>428/2021</w:t>
      </w:r>
      <w:r w:rsidR="00F57925" w:rsidRPr="00E53B53">
        <w:rPr>
          <w:bCs/>
          <w:iCs/>
        </w:rPr>
        <w:t>)</w:t>
      </w:r>
      <w:r w:rsidR="00076BE6" w:rsidRPr="00E53B53">
        <w:rPr>
          <w:bCs/>
          <w:iCs/>
        </w:rPr>
        <w:t xml:space="preserve"> </w:t>
      </w:r>
      <w:r w:rsidR="00D36EBD" w:rsidRPr="00E53B53">
        <w:rPr>
          <w:bCs/>
          <w:iCs/>
        </w:rPr>
        <w:t>[20</w:t>
      </w:r>
      <w:r w:rsidR="001D575E" w:rsidRPr="00E53B53">
        <w:rPr>
          <w:bCs/>
          <w:iCs/>
        </w:rPr>
        <w:t>2</w:t>
      </w:r>
      <w:r w:rsidR="006445C1" w:rsidRPr="00E53B53">
        <w:rPr>
          <w:bCs/>
          <w:iCs/>
        </w:rPr>
        <w:t>2</w:t>
      </w:r>
      <w:r w:rsidR="00D36EBD" w:rsidRPr="00E53B53">
        <w:rPr>
          <w:bCs/>
          <w:iCs/>
        </w:rPr>
        <w:t xml:space="preserve">] </w:t>
      </w:r>
      <w:r w:rsidR="00076BE6" w:rsidRPr="00E53B53">
        <w:rPr>
          <w:bCs/>
          <w:iCs/>
        </w:rPr>
        <w:t xml:space="preserve">ZASCA </w:t>
      </w:r>
      <w:r w:rsidR="00A70E54">
        <w:rPr>
          <w:bCs/>
          <w:iCs/>
        </w:rPr>
        <w:t>155</w:t>
      </w:r>
      <w:r w:rsidR="002F7071" w:rsidRPr="00E53B53">
        <w:rPr>
          <w:bCs/>
          <w:iCs/>
        </w:rPr>
        <w:t xml:space="preserve"> (</w:t>
      </w:r>
      <w:r w:rsidR="00A70E54">
        <w:rPr>
          <w:bCs/>
          <w:iCs/>
        </w:rPr>
        <w:t>7</w:t>
      </w:r>
      <w:r w:rsidR="006445C1" w:rsidRPr="00E53B53">
        <w:rPr>
          <w:bCs/>
          <w:iCs/>
        </w:rPr>
        <w:t xml:space="preserve"> </w:t>
      </w:r>
      <w:r w:rsidR="00761CD5" w:rsidRPr="00E53B53">
        <w:rPr>
          <w:bCs/>
          <w:iCs/>
        </w:rPr>
        <w:t>November</w:t>
      </w:r>
      <w:r w:rsidR="006445C1" w:rsidRPr="00E53B53">
        <w:rPr>
          <w:bCs/>
          <w:iCs/>
        </w:rPr>
        <w:t xml:space="preserve"> 2022</w:t>
      </w:r>
      <w:r w:rsidR="005F108F" w:rsidRPr="00E53B53">
        <w:rPr>
          <w:bCs/>
          <w:iCs/>
        </w:rPr>
        <w:t>)</w:t>
      </w:r>
      <w:bookmarkEnd w:id="2"/>
    </w:p>
    <w:p w:rsidR="00E3021E" w:rsidRPr="00E53B53" w:rsidRDefault="00E3021E" w:rsidP="0082367E">
      <w:pPr>
        <w:ind w:left="2160" w:hanging="2160"/>
        <w:rPr>
          <w:bCs/>
        </w:rPr>
      </w:pPr>
      <w:r w:rsidRPr="00E53B53">
        <w:rPr>
          <w:b/>
          <w:bCs/>
        </w:rPr>
        <w:t>Coram:</w:t>
      </w:r>
      <w:r w:rsidRPr="00E53B53">
        <w:rPr>
          <w:b/>
          <w:bCs/>
        </w:rPr>
        <w:tab/>
      </w:r>
      <w:r w:rsidR="006445C1" w:rsidRPr="00E53B53">
        <w:rPr>
          <w:bCs/>
        </w:rPr>
        <w:t>ZONDI, VAN DER MERWE and HUGHES</w:t>
      </w:r>
      <w:r w:rsidR="001D575E" w:rsidRPr="00E53B53">
        <w:rPr>
          <w:bCs/>
        </w:rPr>
        <w:t xml:space="preserve"> JJA and </w:t>
      </w:r>
      <w:r w:rsidR="006445C1" w:rsidRPr="00E53B53">
        <w:rPr>
          <w:bCs/>
        </w:rPr>
        <w:t xml:space="preserve">MOLEFE </w:t>
      </w:r>
      <w:r w:rsidR="00C3197B" w:rsidRPr="00E53B53">
        <w:rPr>
          <w:bCs/>
        </w:rPr>
        <w:t>and</w:t>
      </w:r>
      <w:r w:rsidR="006445C1" w:rsidRPr="00E53B53">
        <w:rPr>
          <w:bCs/>
        </w:rPr>
        <w:t xml:space="preserve"> CHETTY AJJA</w:t>
      </w:r>
    </w:p>
    <w:p w:rsidR="00E3021E" w:rsidRPr="00E53B53" w:rsidRDefault="00E3021E" w:rsidP="00807075">
      <w:pPr>
        <w:rPr>
          <w:b/>
          <w:bCs/>
        </w:rPr>
      </w:pPr>
      <w:r w:rsidRPr="00E53B53">
        <w:rPr>
          <w:b/>
          <w:bCs/>
        </w:rPr>
        <w:t>Heard:</w:t>
      </w:r>
      <w:r w:rsidRPr="00E53B53">
        <w:rPr>
          <w:b/>
          <w:bCs/>
        </w:rPr>
        <w:tab/>
      </w:r>
      <w:r w:rsidRPr="00E53B53">
        <w:rPr>
          <w:b/>
          <w:bCs/>
        </w:rPr>
        <w:tab/>
      </w:r>
      <w:r w:rsidR="006445C1" w:rsidRPr="00E53B53">
        <w:rPr>
          <w:bCs/>
        </w:rPr>
        <w:t>1 September 2022</w:t>
      </w:r>
    </w:p>
    <w:p w:rsidR="003F0E03" w:rsidRPr="00E53B53" w:rsidRDefault="00294DE0" w:rsidP="00807075">
      <w:pPr>
        <w:rPr>
          <w:b/>
          <w:bCs/>
        </w:rPr>
      </w:pPr>
      <w:r w:rsidRPr="00E53B53">
        <w:rPr>
          <w:b/>
          <w:bCs/>
        </w:rPr>
        <w:t>Delivered:</w:t>
      </w:r>
      <w:r w:rsidRPr="00E53B53">
        <w:rPr>
          <w:b/>
          <w:bCs/>
        </w:rPr>
        <w:tab/>
      </w:r>
      <w:r w:rsidRPr="00E53B53">
        <w:rPr>
          <w:b/>
          <w:bCs/>
        </w:rPr>
        <w:tab/>
      </w:r>
      <w:r w:rsidR="00A70E54">
        <w:rPr>
          <w:bCs/>
        </w:rPr>
        <w:t>7</w:t>
      </w:r>
      <w:r w:rsidR="006445C1" w:rsidRPr="00E53B53">
        <w:rPr>
          <w:bCs/>
        </w:rPr>
        <w:t xml:space="preserve"> </w:t>
      </w:r>
      <w:r w:rsidR="00761CD5" w:rsidRPr="00E53B53">
        <w:rPr>
          <w:bCs/>
        </w:rPr>
        <w:t>November</w:t>
      </w:r>
      <w:r w:rsidR="00361038" w:rsidRPr="00E53B53">
        <w:rPr>
          <w:bCs/>
        </w:rPr>
        <w:t xml:space="preserve"> </w:t>
      </w:r>
      <w:r w:rsidR="006445C1" w:rsidRPr="00E53B53">
        <w:rPr>
          <w:bCs/>
        </w:rPr>
        <w:t>2022</w:t>
      </w:r>
    </w:p>
    <w:p w:rsidR="00B07857" w:rsidRPr="00E53B53" w:rsidRDefault="00E3021E" w:rsidP="00807075">
      <w:r w:rsidRPr="00E53B53">
        <w:rPr>
          <w:b/>
        </w:rPr>
        <w:t>Summary</w:t>
      </w:r>
      <w:r w:rsidRPr="00E53B53">
        <w:t>:</w:t>
      </w:r>
      <w:r w:rsidR="002B7D5F" w:rsidRPr="00E53B53">
        <w:tab/>
      </w:r>
      <w:r w:rsidR="00FA2D73" w:rsidRPr="00E53B53">
        <w:t>Constitutional</w:t>
      </w:r>
      <w:r w:rsidR="006445C1" w:rsidRPr="00E53B53">
        <w:t xml:space="preserve"> </w:t>
      </w:r>
      <w:r w:rsidR="00EA2532" w:rsidRPr="00E53B53">
        <w:t>law –</w:t>
      </w:r>
      <w:r w:rsidR="006445C1" w:rsidRPr="00E53B53">
        <w:t xml:space="preserve"> </w:t>
      </w:r>
      <w:r w:rsidR="00FA2D73" w:rsidRPr="00E53B53">
        <w:t xml:space="preserve">enrichment claim </w:t>
      </w:r>
      <w:r w:rsidR="00EA2532" w:rsidRPr="00E53B53">
        <w:t>not ‘</w:t>
      </w:r>
      <w:r w:rsidR="00FA2D73" w:rsidRPr="00E53B53">
        <w:t>debt’ as defined in</w:t>
      </w:r>
      <w:r w:rsidR="006445C1" w:rsidRPr="00E53B53">
        <w:t xml:space="preserve"> Institution of Legal Proceedings against Certain Organs of the State Act 40 of 2002 – </w:t>
      </w:r>
      <w:r w:rsidR="00FA2D73" w:rsidRPr="00E53B53">
        <w:t>no notice in terms thereof required</w:t>
      </w:r>
      <w:r w:rsidR="005D3215" w:rsidRPr="00E53B53">
        <w:t xml:space="preserve"> – </w:t>
      </w:r>
      <w:r w:rsidR="00FA2D73" w:rsidRPr="00E53B53">
        <w:t>no</w:t>
      </w:r>
      <w:r w:rsidR="005D3215" w:rsidRPr="00E53B53">
        <w:t xml:space="preserve"> </w:t>
      </w:r>
      <w:r w:rsidR="00FA2D73" w:rsidRPr="00E53B53">
        <w:t>general enrichment action recognised in our law</w:t>
      </w:r>
      <w:r w:rsidR="005D3215" w:rsidRPr="00E53B53">
        <w:t xml:space="preserve"> – </w:t>
      </w:r>
      <w:r w:rsidR="00594BD8" w:rsidRPr="00E53B53">
        <w:t>appropriate remedy available to the respondent</w:t>
      </w:r>
      <w:r w:rsidR="004457AC" w:rsidRPr="00E53B53">
        <w:t xml:space="preserve"> – court</w:t>
      </w:r>
      <w:r w:rsidR="005D3215" w:rsidRPr="00E53B53">
        <w:t>’</w:t>
      </w:r>
      <w:r w:rsidR="004457AC" w:rsidRPr="00E53B53">
        <w:t>s discretionary power in terms of s 172(1)</w:t>
      </w:r>
      <w:r w:rsidR="004457AC" w:rsidRPr="00E53B53">
        <w:rPr>
          <w:i/>
        </w:rPr>
        <w:t xml:space="preserve">(b) </w:t>
      </w:r>
      <w:r w:rsidR="004457AC" w:rsidRPr="00E53B53">
        <w:t>of the Constitution to grant a just and equitable remedy.</w:t>
      </w:r>
    </w:p>
    <w:p w:rsidR="003A78CE" w:rsidRPr="00E53B53" w:rsidRDefault="00F360B3" w:rsidP="00807075">
      <w:r w:rsidRPr="00E53B53">
        <w:br w:type="page"/>
      </w:r>
    </w:p>
    <w:p w:rsidR="0049291A" w:rsidRPr="00E53B53" w:rsidRDefault="0049291A" w:rsidP="00807075">
      <w:pPr>
        <w:spacing w:line="240" w:lineRule="auto"/>
        <w:rPr>
          <w:b/>
        </w:rPr>
      </w:pPr>
      <w:r w:rsidRPr="00E53B53">
        <w:rPr>
          <w:b/>
        </w:rPr>
        <w:lastRenderedPageBreak/>
        <w:t>__________________________________________________________________</w:t>
      </w:r>
      <w:r w:rsidR="00C41864" w:rsidRPr="00E53B53">
        <w:rPr>
          <w:b/>
        </w:rPr>
        <w:softHyphen/>
      </w:r>
      <w:r w:rsidR="00C41864" w:rsidRPr="00E53B53">
        <w:rPr>
          <w:b/>
        </w:rPr>
        <w:softHyphen/>
        <w:t>____</w:t>
      </w:r>
    </w:p>
    <w:p w:rsidR="009D520E" w:rsidRPr="00E53B53" w:rsidRDefault="009D520E" w:rsidP="00807075">
      <w:pPr>
        <w:spacing w:line="240" w:lineRule="auto"/>
        <w:jc w:val="center"/>
        <w:rPr>
          <w:b/>
          <w:bCs/>
        </w:rPr>
      </w:pPr>
    </w:p>
    <w:p w:rsidR="0049291A" w:rsidRPr="00E53B53" w:rsidRDefault="0049291A" w:rsidP="00807075">
      <w:pPr>
        <w:spacing w:line="240" w:lineRule="auto"/>
        <w:jc w:val="center"/>
        <w:rPr>
          <w:b/>
          <w:bCs/>
        </w:rPr>
      </w:pPr>
      <w:r w:rsidRPr="00E53B53">
        <w:rPr>
          <w:b/>
          <w:bCs/>
        </w:rPr>
        <w:t>ORDER</w:t>
      </w:r>
    </w:p>
    <w:p w:rsidR="00761CD5" w:rsidRPr="00E53B53" w:rsidRDefault="00761CD5" w:rsidP="00807075">
      <w:pPr>
        <w:spacing w:line="240" w:lineRule="auto"/>
        <w:jc w:val="center"/>
        <w:rPr>
          <w:b/>
          <w:bCs/>
        </w:rPr>
      </w:pPr>
    </w:p>
    <w:p w:rsidR="00C615C9" w:rsidRPr="00E53B53" w:rsidRDefault="0049291A" w:rsidP="003714EC">
      <w:pPr>
        <w:spacing w:line="240" w:lineRule="auto"/>
        <w:rPr>
          <w:b/>
          <w:bCs/>
        </w:rPr>
      </w:pPr>
      <w:r w:rsidRPr="00E53B53">
        <w:rPr>
          <w:b/>
        </w:rPr>
        <w:t>__________________________________________________________________</w:t>
      </w:r>
      <w:r w:rsidR="00C41864" w:rsidRPr="00E53B53">
        <w:rPr>
          <w:b/>
        </w:rPr>
        <w:t>____</w:t>
      </w:r>
    </w:p>
    <w:p w:rsidR="002B7D5F" w:rsidRPr="00E53B53" w:rsidRDefault="00DB1F4D" w:rsidP="0082367E">
      <w:pPr>
        <w:rPr>
          <w:bCs/>
        </w:rPr>
      </w:pPr>
      <w:r w:rsidRPr="00E53B53">
        <w:rPr>
          <w:b/>
          <w:bCs/>
        </w:rPr>
        <w:t>On appeal from:</w:t>
      </w:r>
      <w:r w:rsidR="002A688D" w:rsidRPr="00E53B53">
        <w:rPr>
          <w:b/>
          <w:bCs/>
        </w:rPr>
        <w:t xml:space="preserve"> </w:t>
      </w:r>
      <w:r w:rsidR="00D11F64" w:rsidRPr="00E53B53">
        <w:rPr>
          <w:bCs/>
        </w:rPr>
        <w:t>Limpopo</w:t>
      </w:r>
      <w:r w:rsidR="001D575E" w:rsidRPr="00E53B53">
        <w:rPr>
          <w:bCs/>
        </w:rPr>
        <w:t xml:space="preserve"> </w:t>
      </w:r>
      <w:r w:rsidR="002A688D" w:rsidRPr="00E53B53">
        <w:rPr>
          <w:bCs/>
        </w:rPr>
        <w:t>Division</w:t>
      </w:r>
      <w:r w:rsidR="005F370D" w:rsidRPr="00E53B53">
        <w:rPr>
          <w:bCs/>
        </w:rPr>
        <w:t xml:space="preserve"> of the High Court, </w:t>
      </w:r>
      <w:r w:rsidR="00D11F64" w:rsidRPr="00E53B53">
        <w:rPr>
          <w:bCs/>
        </w:rPr>
        <w:t>Polokwane</w:t>
      </w:r>
      <w:r w:rsidR="001D575E" w:rsidRPr="00E53B53">
        <w:rPr>
          <w:bCs/>
        </w:rPr>
        <w:t xml:space="preserve"> </w:t>
      </w:r>
      <w:r w:rsidR="005F370D" w:rsidRPr="00E53B53">
        <w:rPr>
          <w:bCs/>
        </w:rPr>
        <w:t>(</w:t>
      </w:r>
      <w:r w:rsidR="00D11F64" w:rsidRPr="00E53B53">
        <w:rPr>
          <w:bCs/>
        </w:rPr>
        <w:t>Makgoba JP</w:t>
      </w:r>
      <w:r w:rsidR="009D520E" w:rsidRPr="00E53B53">
        <w:rPr>
          <w:bCs/>
        </w:rPr>
        <w:t>,</w:t>
      </w:r>
      <w:r w:rsidR="00D11F64" w:rsidRPr="00E53B53">
        <w:rPr>
          <w:bCs/>
        </w:rPr>
        <w:t xml:space="preserve"> </w:t>
      </w:r>
      <w:r w:rsidR="002A688D" w:rsidRPr="00E53B53">
        <w:rPr>
          <w:bCs/>
        </w:rPr>
        <w:t xml:space="preserve">sitting as court of </w:t>
      </w:r>
      <w:r w:rsidR="005634D2" w:rsidRPr="00E53B53">
        <w:rPr>
          <w:bCs/>
        </w:rPr>
        <w:t>first instance</w:t>
      </w:r>
      <w:r w:rsidR="005F370D" w:rsidRPr="00E53B53">
        <w:rPr>
          <w:bCs/>
        </w:rPr>
        <w:t>)</w:t>
      </w:r>
      <w:r w:rsidR="0021630E" w:rsidRPr="00E53B53">
        <w:rPr>
          <w:bCs/>
        </w:rPr>
        <w:t>:</w:t>
      </w:r>
    </w:p>
    <w:p w:rsidR="0099181D" w:rsidRPr="00E53B53" w:rsidRDefault="0099181D" w:rsidP="0082367E">
      <w:pPr>
        <w:tabs>
          <w:tab w:val="left" w:pos="426"/>
          <w:tab w:val="left" w:pos="1134"/>
        </w:tabs>
        <w:rPr>
          <w:lang w:val="en-ZA"/>
        </w:rPr>
      </w:pPr>
      <w:r w:rsidRPr="00E53B53">
        <w:rPr>
          <w:lang w:val="en-ZA"/>
        </w:rPr>
        <w:t>1</w:t>
      </w:r>
      <w:r w:rsidR="00F360B3" w:rsidRPr="00E53B53">
        <w:rPr>
          <w:lang w:val="en-ZA"/>
        </w:rPr>
        <w:t xml:space="preserve"> </w:t>
      </w:r>
      <w:r w:rsidRPr="00E53B53">
        <w:rPr>
          <w:lang w:val="en-ZA"/>
        </w:rPr>
        <w:t xml:space="preserve">The appeal </w:t>
      </w:r>
      <w:r w:rsidR="00424701" w:rsidRPr="00E53B53">
        <w:rPr>
          <w:lang w:val="en-ZA"/>
        </w:rPr>
        <w:t>is</w:t>
      </w:r>
      <w:r w:rsidR="0025183A" w:rsidRPr="00E53B53">
        <w:rPr>
          <w:lang w:val="en-ZA"/>
        </w:rPr>
        <w:t xml:space="preserve"> </w:t>
      </w:r>
      <w:r w:rsidR="00424701" w:rsidRPr="00E53B53">
        <w:rPr>
          <w:lang w:val="en-ZA"/>
        </w:rPr>
        <w:t>upheld with no order as to costs.</w:t>
      </w:r>
    </w:p>
    <w:p w:rsidR="00FA2D73" w:rsidRPr="00E53B53" w:rsidRDefault="0099181D" w:rsidP="0082367E">
      <w:pPr>
        <w:tabs>
          <w:tab w:val="left" w:pos="426"/>
          <w:tab w:val="left" w:pos="1134"/>
        </w:tabs>
        <w:rPr>
          <w:lang w:val="en-ZA"/>
        </w:rPr>
      </w:pPr>
      <w:r w:rsidRPr="00E53B53">
        <w:rPr>
          <w:lang w:val="en-ZA"/>
        </w:rPr>
        <w:t>2</w:t>
      </w:r>
      <w:r w:rsidR="00F360B3" w:rsidRPr="00E53B53">
        <w:rPr>
          <w:lang w:val="en-ZA"/>
        </w:rPr>
        <w:t xml:space="preserve"> </w:t>
      </w:r>
      <w:r w:rsidR="00A3360D" w:rsidRPr="00E53B53">
        <w:rPr>
          <w:lang w:val="en-ZA"/>
        </w:rPr>
        <w:t xml:space="preserve">The </w:t>
      </w:r>
      <w:r w:rsidR="00424701" w:rsidRPr="00E53B53">
        <w:rPr>
          <w:lang w:val="en-ZA"/>
        </w:rPr>
        <w:t xml:space="preserve">order of the </w:t>
      </w:r>
      <w:r w:rsidR="00361038" w:rsidRPr="00E53B53">
        <w:rPr>
          <w:lang w:val="en-ZA"/>
        </w:rPr>
        <w:t>high court</w:t>
      </w:r>
      <w:r w:rsidR="00424701" w:rsidRPr="00E53B53">
        <w:rPr>
          <w:lang w:val="en-ZA"/>
        </w:rPr>
        <w:t xml:space="preserve"> is set aside</w:t>
      </w:r>
      <w:r w:rsidR="00FA2D73" w:rsidRPr="00E53B53">
        <w:rPr>
          <w:lang w:val="en-ZA"/>
        </w:rPr>
        <w:t xml:space="preserve"> and replaced with the following:</w:t>
      </w:r>
    </w:p>
    <w:p w:rsidR="00044AA1" w:rsidRPr="00E53B53" w:rsidRDefault="00044AA1" w:rsidP="003714EC">
      <w:pPr>
        <w:tabs>
          <w:tab w:val="left" w:pos="426"/>
          <w:tab w:val="left" w:pos="1134"/>
        </w:tabs>
        <w:ind w:left="426"/>
        <w:rPr>
          <w:lang w:val="en-ZA"/>
        </w:rPr>
      </w:pPr>
      <w:r w:rsidRPr="00E53B53">
        <w:rPr>
          <w:lang w:val="en-ZA"/>
        </w:rPr>
        <w:t>‘</w:t>
      </w:r>
      <w:r w:rsidR="00FA2D73" w:rsidRPr="00E53B53">
        <w:rPr>
          <w:lang w:val="en-ZA"/>
        </w:rPr>
        <w:t>(a)</w:t>
      </w:r>
      <w:r w:rsidR="00F360B3" w:rsidRPr="00E53B53">
        <w:rPr>
          <w:lang w:val="en-ZA"/>
        </w:rPr>
        <w:t xml:space="preserve"> </w:t>
      </w:r>
      <w:r w:rsidR="00FA2D73" w:rsidRPr="00E53B53">
        <w:rPr>
          <w:lang w:val="en-ZA"/>
        </w:rPr>
        <w:t>It is declared that the plaintiff is entitled</w:t>
      </w:r>
      <w:r w:rsidR="005F2E20" w:rsidRPr="00E53B53">
        <w:rPr>
          <w:lang w:val="en-ZA"/>
        </w:rPr>
        <w:t xml:space="preserve"> to compensation for the services rendered to the defendant during the period from 1 November 2014 to 31 October 2016 as a just and equitable</w:t>
      </w:r>
      <w:r w:rsidRPr="00E53B53">
        <w:rPr>
          <w:lang w:val="en-ZA"/>
        </w:rPr>
        <w:t xml:space="preserve"> remedy under s 172(1)</w:t>
      </w:r>
      <w:r w:rsidRPr="00E53B53">
        <w:rPr>
          <w:i/>
          <w:lang w:val="en-ZA"/>
        </w:rPr>
        <w:t>(b)</w:t>
      </w:r>
      <w:r w:rsidRPr="00E53B53">
        <w:rPr>
          <w:lang w:val="en-ZA"/>
        </w:rPr>
        <w:t xml:space="preserve"> of the Constitution;</w:t>
      </w:r>
    </w:p>
    <w:p w:rsidR="002B7D5F" w:rsidRPr="00E53B53" w:rsidRDefault="00F360B3" w:rsidP="0082367E">
      <w:pPr>
        <w:tabs>
          <w:tab w:val="left" w:pos="426"/>
          <w:tab w:val="left" w:pos="1134"/>
        </w:tabs>
        <w:rPr>
          <w:lang w:val="en-ZA"/>
        </w:rPr>
      </w:pPr>
      <w:r w:rsidRPr="00E53B53">
        <w:rPr>
          <w:lang w:val="en-ZA"/>
        </w:rPr>
        <w:tab/>
      </w:r>
      <w:r w:rsidR="00044AA1" w:rsidRPr="00E53B53">
        <w:rPr>
          <w:lang w:val="en-ZA"/>
        </w:rPr>
        <w:t>(b)</w:t>
      </w:r>
      <w:r w:rsidRPr="00E53B53">
        <w:rPr>
          <w:lang w:val="en-ZA"/>
        </w:rPr>
        <w:t xml:space="preserve"> </w:t>
      </w:r>
      <w:r w:rsidR="00044AA1" w:rsidRPr="00E53B53">
        <w:rPr>
          <w:lang w:val="en-ZA"/>
        </w:rPr>
        <w:t>Costs of the hearing on the merits are reserved</w:t>
      </w:r>
      <w:r w:rsidR="00A411BC" w:rsidRPr="00E53B53">
        <w:rPr>
          <w:lang w:val="en-ZA"/>
        </w:rPr>
        <w:t>.</w:t>
      </w:r>
      <w:r w:rsidR="00044AA1" w:rsidRPr="00E53B53">
        <w:rPr>
          <w:lang w:val="en-ZA"/>
        </w:rPr>
        <w:t>’</w:t>
      </w:r>
      <w:r w:rsidR="005F2E20" w:rsidRPr="00E53B53">
        <w:rPr>
          <w:lang w:val="en-ZA"/>
        </w:rPr>
        <w:t xml:space="preserve"> </w:t>
      </w:r>
    </w:p>
    <w:p w:rsidR="00424701" w:rsidRPr="00E53B53" w:rsidRDefault="00424701" w:rsidP="0082367E">
      <w:pPr>
        <w:tabs>
          <w:tab w:val="left" w:pos="426"/>
          <w:tab w:val="left" w:pos="1134"/>
        </w:tabs>
        <w:rPr>
          <w:lang w:val="en-ZA"/>
        </w:rPr>
      </w:pPr>
      <w:r w:rsidRPr="00E53B53">
        <w:rPr>
          <w:lang w:val="en-ZA"/>
        </w:rPr>
        <w:t>3</w:t>
      </w:r>
      <w:r w:rsidR="00F360B3" w:rsidRPr="00E53B53">
        <w:rPr>
          <w:lang w:val="en-ZA"/>
        </w:rPr>
        <w:t xml:space="preserve"> </w:t>
      </w:r>
      <w:r w:rsidRPr="00E53B53">
        <w:rPr>
          <w:lang w:val="en-ZA"/>
        </w:rPr>
        <w:t>The matter is</w:t>
      </w:r>
      <w:r w:rsidR="0025183A" w:rsidRPr="00E53B53">
        <w:rPr>
          <w:lang w:val="en-ZA"/>
        </w:rPr>
        <w:t xml:space="preserve"> </w:t>
      </w:r>
      <w:r w:rsidRPr="00E53B53">
        <w:rPr>
          <w:lang w:val="en-ZA"/>
        </w:rPr>
        <w:t xml:space="preserve">referred back to the </w:t>
      </w:r>
      <w:r w:rsidR="00D63A7A" w:rsidRPr="00E53B53">
        <w:rPr>
          <w:lang w:val="en-ZA"/>
        </w:rPr>
        <w:t xml:space="preserve">high court </w:t>
      </w:r>
      <w:r w:rsidRPr="00E53B53">
        <w:rPr>
          <w:lang w:val="en-ZA"/>
        </w:rPr>
        <w:t xml:space="preserve">to </w:t>
      </w:r>
      <w:r w:rsidR="00762D36" w:rsidRPr="00E53B53">
        <w:rPr>
          <w:lang w:val="en-ZA"/>
        </w:rPr>
        <w:t>determine the quantum of that compensation in accordance with the applicable law</w:t>
      </w:r>
      <w:r w:rsidR="00044AA1" w:rsidRPr="00E53B53">
        <w:rPr>
          <w:lang w:val="en-ZA"/>
        </w:rPr>
        <w:t>.</w:t>
      </w:r>
    </w:p>
    <w:p w:rsidR="00761CD5" w:rsidRPr="00E53B53" w:rsidRDefault="00761CD5" w:rsidP="0082367E">
      <w:pPr>
        <w:tabs>
          <w:tab w:val="left" w:pos="426"/>
          <w:tab w:val="left" w:pos="1134"/>
        </w:tabs>
        <w:rPr>
          <w:lang w:val="en-ZA"/>
        </w:rPr>
      </w:pPr>
    </w:p>
    <w:p w:rsidR="00E3021E" w:rsidRPr="00E53B53" w:rsidRDefault="00DB1F4D" w:rsidP="00807075">
      <w:pPr>
        <w:spacing w:line="240" w:lineRule="auto"/>
      </w:pPr>
      <w:r w:rsidRPr="00E53B53">
        <w:rPr>
          <w:b/>
        </w:rPr>
        <w:t>__</w:t>
      </w:r>
      <w:r w:rsidR="00E3021E" w:rsidRPr="00E53B53">
        <w:rPr>
          <w:b/>
        </w:rPr>
        <w:t>___________________________________________________________________</w:t>
      </w:r>
      <w:r w:rsidR="00E86255" w:rsidRPr="00E53B53">
        <w:rPr>
          <w:b/>
        </w:rPr>
        <w:t>_</w:t>
      </w:r>
    </w:p>
    <w:p w:rsidR="009D520E" w:rsidRPr="00E53B53" w:rsidRDefault="009D520E" w:rsidP="00807075">
      <w:pPr>
        <w:spacing w:line="240" w:lineRule="auto"/>
        <w:jc w:val="center"/>
        <w:rPr>
          <w:b/>
          <w:bCs/>
        </w:rPr>
      </w:pPr>
    </w:p>
    <w:p w:rsidR="009D520E" w:rsidRPr="00E53B53" w:rsidRDefault="00E3021E" w:rsidP="00807075">
      <w:pPr>
        <w:spacing w:line="240" w:lineRule="auto"/>
        <w:jc w:val="center"/>
        <w:rPr>
          <w:b/>
          <w:bCs/>
        </w:rPr>
      </w:pPr>
      <w:r w:rsidRPr="00E53B53">
        <w:rPr>
          <w:b/>
          <w:bCs/>
        </w:rPr>
        <w:t>JUDGMENT</w:t>
      </w:r>
    </w:p>
    <w:p w:rsidR="00761CD5" w:rsidRPr="00E53B53" w:rsidRDefault="00761CD5" w:rsidP="00807075">
      <w:pPr>
        <w:spacing w:line="240" w:lineRule="auto"/>
        <w:jc w:val="center"/>
        <w:rPr>
          <w:b/>
          <w:bCs/>
        </w:rPr>
      </w:pPr>
    </w:p>
    <w:p w:rsidR="004C221C" w:rsidRPr="00E53B53" w:rsidRDefault="00E3021E" w:rsidP="008954DE">
      <w:pPr>
        <w:spacing w:line="240" w:lineRule="auto"/>
        <w:rPr>
          <w:b/>
        </w:rPr>
      </w:pPr>
      <w:r w:rsidRPr="00E53B53">
        <w:rPr>
          <w:b/>
        </w:rPr>
        <w:t>_</w:t>
      </w:r>
      <w:r w:rsidR="00DB1F4D" w:rsidRPr="00E53B53">
        <w:rPr>
          <w:b/>
        </w:rPr>
        <w:t>__</w:t>
      </w:r>
      <w:r w:rsidRPr="00E53B53">
        <w:rPr>
          <w:b/>
        </w:rPr>
        <w:t>___________________________________________________________________</w:t>
      </w:r>
    </w:p>
    <w:p w:rsidR="00E3021E" w:rsidRPr="00E53B53" w:rsidRDefault="00A3360D" w:rsidP="00F21A2D">
      <w:pPr>
        <w:spacing w:before="240"/>
        <w:rPr>
          <w:b/>
        </w:rPr>
      </w:pPr>
      <w:r w:rsidRPr="00E53B53">
        <w:rPr>
          <w:b/>
        </w:rPr>
        <w:t>Molefe A</w:t>
      </w:r>
      <w:r w:rsidR="00E86255" w:rsidRPr="00E53B53">
        <w:rPr>
          <w:b/>
        </w:rPr>
        <w:t>JA</w:t>
      </w:r>
      <w:r w:rsidR="00E3021E" w:rsidRPr="00E53B53">
        <w:rPr>
          <w:b/>
        </w:rPr>
        <w:t xml:space="preserve"> (</w:t>
      </w:r>
      <w:r w:rsidR="00AD512E" w:rsidRPr="00E53B53">
        <w:rPr>
          <w:b/>
        </w:rPr>
        <w:t>Zondi, Van der Merwe and Hughes JJA and Chetty AJA</w:t>
      </w:r>
      <w:r w:rsidR="00370345" w:rsidRPr="00E53B53">
        <w:rPr>
          <w:b/>
        </w:rPr>
        <w:t xml:space="preserve"> </w:t>
      </w:r>
      <w:r w:rsidR="00E3021E" w:rsidRPr="00E53B53">
        <w:rPr>
          <w:b/>
          <w:bCs/>
        </w:rPr>
        <w:t>concurring</w:t>
      </w:r>
      <w:r w:rsidR="00E3021E" w:rsidRPr="00E53B53">
        <w:rPr>
          <w:b/>
        </w:rPr>
        <w:t>):</w:t>
      </w:r>
    </w:p>
    <w:p w:rsidR="00D11F64" w:rsidRPr="00E53B53" w:rsidRDefault="00433466" w:rsidP="00F21A2D">
      <w:pPr>
        <w:spacing w:before="240"/>
      </w:pPr>
      <w:r w:rsidRPr="00E53B53">
        <w:t>[</w:t>
      </w:r>
      <w:r w:rsidR="00796DFE" w:rsidRPr="00E53B53">
        <w:t>1</w:t>
      </w:r>
      <w:r w:rsidR="00FA37B5" w:rsidRPr="00E53B53">
        <w:t>]</w:t>
      </w:r>
      <w:r w:rsidR="00D11F64" w:rsidRPr="00E53B53">
        <w:tab/>
        <w:t xml:space="preserve">This is an appeal against the judgment of the </w:t>
      </w:r>
      <w:r w:rsidR="009D520E" w:rsidRPr="00E53B53">
        <w:t xml:space="preserve">Limpopo Division of the </w:t>
      </w:r>
      <w:r w:rsidR="00D11F64" w:rsidRPr="00E53B53">
        <w:t xml:space="preserve">High Court, </w:t>
      </w:r>
      <w:r w:rsidR="009D520E" w:rsidRPr="00E53B53">
        <w:t>Polokwane</w:t>
      </w:r>
      <w:r w:rsidR="00D11F64" w:rsidRPr="00E53B53">
        <w:t xml:space="preserve"> (the high court) granting the respondent’</w:t>
      </w:r>
      <w:r w:rsidR="005D732D" w:rsidRPr="00E53B53">
        <w:t>s</w:t>
      </w:r>
      <w:r w:rsidR="00F21A2D" w:rsidRPr="00E53B53">
        <w:t xml:space="preserve"> </w:t>
      </w:r>
      <w:r w:rsidR="00D11F64" w:rsidRPr="00E53B53">
        <w:t xml:space="preserve">enrichment claim </w:t>
      </w:r>
      <w:r w:rsidR="00025FEE" w:rsidRPr="00E53B53">
        <w:t>against</w:t>
      </w:r>
      <w:r w:rsidR="00D11F64" w:rsidRPr="00E53B53">
        <w:t xml:space="preserve"> the appellant </w:t>
      </w:r>
      <w:r w:rsidR="005D732D" w:rsidRPr="00E53B53">
        <w:t>in an</w:t>
      </w:r>
      <w:r w:rsidR="00D11F64" w:rsidRPr="00E53B53">
        <w:t xml:space="preserve"> amount </w:t>
      </w:r>
      <w:r w:rsidR="005D732D" w:rsidRPr="00E53B53">
        <w:t xml:space="preserve">to be </w:t>
      </w:r>
      <w:r w:rsidR="00D11F64" w:rsidRPr="00E53B53">
        <w:t xml:space="preserve">determined. The appeal is with </w:t>
      </w:r>
      <w:r w:rsidR="00C17A80" w:rsidRPr="00E53B53">
        <w:t xml:space="preserve">the </w:t>
      </w:r>
      <w:r w:rsidR="00D11F64" w:rsidRPr="00E53B53">
        <w:t xml:space="preserve">leave of the high court. </w:t>
      </w:r>
    </w:p>
    <w:p w:rsidR="00D11F64" w:rsidRPr="00E53B53" w:rsidRDefault="00D11F64" w:rsidP="00807075"/>
    <w:p w:rsidR="00C615C9" w:rsidRPr="00E53B53" w:rsidRDefault="00D11F64" w:rsidP="00807075">
      <w:r w:rsidRPr="00E53B53">
        <w:t>[2]</w:t>
      </w:r>
      <w:r w:rsidRPr="00E53B53">
        <w:tab/>
        <w:t>The appellant, Greater Tzaneen Municipality</w:t>
      </w:r>
      <w:r w:rsidR="009D520E" w:rsidRPr="00E53B53">
        <w:t xml:space="preserve"> (the municipality)</w:t>
      </w:r>
      <w:r w:rsidRPr="00E53B53">
        <w:t>, a municipality established in terms of s 1 of the Local Government</w:t>
      </w:r>
      <w:r w:rsidR="009D520E" w:rsidRPr="00E53B53">
        <w:t>:</w:t>
      </w:r>
      <w:r w:rsidRPr="00E53B53">
        <w:t xml:space="preserve"> Municipality Structures Act 117 of 1998, and the respondent</w:t>
      </w:r>
      <w:r w:rsidR="00284F4D" w:rsidRPr="00E53B53">
        <w:t>,</w:t>
      </w:r>
      <w:r w:rsidR="009D520E" w:rsidRPr="00E53B53">
        <w:t xml:space="preserve"> </w:t>
      </w:r>
      <w:r w:rsidRPr="00E53B53">
        <w:t>Bravospan 252 CC (Bravospan</w:t>
      </w:r>
      <w:r w:rsidR="001F5992" w:rsidRPr="00E53B53">
        <w:t xml:space="preserve">) concluded a Service Level Agreement (SLA) on 20 November 2013, pursuant to a competitive tender process. In terms of the SLA, Bravospan would render security services to the </w:t>
      </w:r>
      <w:r w:rsidR="009D520E" w:rsidRPr="00E53B53">
        <w:t>m</w:t>
      </w:r>
      <w:r w:rsidR="001F5992" w:rsidRPr="00E53B53">
        <w:t xml:space="preserve">unicipality for a period of 12 months from 1 November </w:t>
      </w:r>
      <w:r w:rsidR="009D520E" w:rsidRPr="00E53B53">
        <w:t xml:space="preserve">2013 </w:t>
      </w:r>
      <w:r w:rsidR="001F5992" w:rsidRPr="00E53B53">
        <w:t xml:space="preserve">to 31 October 2014. </w:t>
      </w:r>
    </w:p>
    <w:p w:rsidR="00D11F64" w:rsidRPr="00E53B53" w:rsidRDefault="001F5992" w:rsidP="00807075">
      <w:r w:rsidRPr="00E53B53">
        <w:lastRenderedPageBreak/>
        <w:t>[3]</w:t>
      </w:r>
      <w:r w:rsidRPr="00E53B53">
        <w:tab/>
      </w:r>
      <w:r w:rsidR="005D732D" w:rsidRPr="00E53B53">
        <w:t>Towards</w:t>
      </w:r>
      <w:r w:rsidR="009D520E" w:rsidRPr="00E53B53">
        <w:t xml:space="preserve"> </w:t>
      </w:r>
      <w:r w:rsidR="003A78CE" w:rsidRPr="00E53B53">
        <w:t xml:space="preserve">the </w:t>
      </w:r>
      <w:r w:rsidR="009D520E" w:rsidRPr="00E53B53">
        <w:t xml:space="preserve">end of the </w:t>
      </w:r>
      <w:r w:rsidR="005D732D" w:rsidRPr="00E53B53">
        <w:t>term of the SLA</w:t>
      </w:r>
      <w:r w:rsidRPr="00E53B53">
        <w:t xml:space="preserve">, and without any tender process, the </w:t>
      </w:r>
      <w:r w:rsidR="009D520E" w:rsidRPr="00E53B53">
        <w:t>m</w:t>
      </w:r>
      <w:r w:rsidR="009E2B7B" w:rsidRPr="00E53B53">
        <w:t>unicipality</w:t>
      </w:r>
      <w:r w:rsidRPr="00E53B53">
        <w:t xml:space="preserve"> and Bravospan concluded an addendum to the SLA (the extension agreement) in terms of which it was agreed that the SLA would be extended for a further 24</w:t>
      </w:r>
      <w:r w:rsidR="001F4B33" w:rsidRPr="00E53B53">
        <w:t xml:space="preserve"> </w:t>
      </w:r>
      <w:r w:rsidRPr="00E53B53">
        <w:t xml:space="preserve">months from 1 November 2014 to 31 October 2016. </w:t>
      </w:r>
      <w:r w:rsidR="005D732D" w:rsidRPr="00E53B53">
        <w:t>P</w:t>
      </w:r>
      <w:r w:rsidRPr="00E53B53">
        <w:t xml:space="preserve">rior to the signing of the extension agreement, Bravospan </w:t>
      </w:r>
      <w:r w:rsidR="005D732D" w:rsidRPr="00E53B53">
        <w:t>enquired from</w:t>
      </w:r>
      <w:r w:rsidRPr="00E53B53">
        <w:t xml:space="preserve"> the </w:t>
      </w:r>
      <w:r w:rsidR="001F4B33" w:rsidRPr="00E53B53">
        <w:t>m</w:t>
      </w:r>
      <w:r w:rsidRPr="00E53B53">
        <w:t xml:space="preserve">unicipality as to the validity of </w:t>
      </w:r>
      <w:r w:rsidR="001F4B33" w:rsidRPr="00E53B53">
        <w:t xml:space="preserve">an </w:t>
      </w:r>
      <w:r w:rsidR="00F21A2D" w:rsidRPr="00E53B53">
        <w:t>extension agreement without</w:t>
      </w:r>
      <w:r w:rsidRPr="00E53B53">
        <w:t xml:space="preserve"> a bidding process. The </w:t>
      </w:r>
      <w:r w:rsidR="001F4B33" w:rsidRPr="00E53B53">
        <w:t>m</w:t>
      </w:r>
      <w:r w:rsidRPr="00E53B53">
        <w:t xml:space="preserve">unicipality assured Bravospan that it had </w:t>
      </w:r>
      <w:r w:rsidR="009E2B7B" w:rsidRPr="00E53B53">
        <w:t>obtained a legal opinion</w:t>
      </w:r>
      <w:r w:rsidR="001F4B33" w:rsidRPr="00E53B53">
        <w:t xml:space="preserve"> that</w:t>
      </w:r>
      <w:r w:rsidR="009E2B7B" w:rsidRPr="00E53B53">
        <w:t xml:space="preserve"> confirmed that the parties could legally enter into</w:t>
      </w:r>
      <w:r w:rsidR="0099181D" w:rsidRPr="00E53B53">
        <w:t xml:space="preserve"> the</w:t>
      </w:r>
      <w:r w:rsidR="009E2B7B" w:rsidRPr="00E53B53">
        <w:t xml:space="preserve"> extension agreement</w:t>
      </w:r>
      <w:r w:rsidR="001F4B33" w:rsidRPr="00E53B53">
        <w:t xml:space="preserve"> without an additional tender process. </w:t>
      </w:r>
    </w:p>
    <w:p w:rsidR="009E2B7B" w:rsidRPr="00E53B53" w:rsidRDefault="009E2B7B" w:rsidP="00D11F64"/>
    <w:p w:rsidR="009E2B7B" w:rsidRPr="00E53B53" w:rsidRDefault="009E2B7B" w:rsidP="00D11F64">
      <w:r w:rsidRPr="00E53B53">
        <w:t>[4]</w:t>
      </w:r>
      <w:r w:rsidRPr="00E53B53">
        <w:tab/>
        <w:t xml:space="preserve">The extension agreement had the effect that the SLA became a </w:t>
      </w:r>
      <w:r w:rsidR="00C615C9" w:rsidRPr="00E53B53">
        <w:t>long-term</w:t>
      </w:r>
      <w:r w:rsidRPr="00E53B53">
        <w:t xml:space="preserve"> contract as defined in the Municipal Supply Chain Management Regulations</w:t>
      </w:r>
      <w:r w:rsidR="00FE7B58" w:rsidRPr="00E53B53">
        <w:t xml:space="preserve"> (the </w:t>
      </w:r>
      <w:r w:rsidR="00275C9A" w:rsidRPr="00E53B53">
        <w:t>r</w:t>
      </w:r>
      <w:r w:rsidR="00FE7B58" w:rsidRPr="00E53B53">
        <w:t>egulations)</w:t>
      </w:r>
      <w:r w:rsidRPr="00E53B53">
        <w:t>.</w:t>
      </w:r>
      <w:r w:rsidRPr="00E53B53">
        <w:rPr>
          <w:rStyle w:val="FootnoteReference"/>
        </w:rPr>
        <w:footnoteReference w:id="1"/>
      </w:r>
      <w:r w:rsidR="005634D2" w:rsidRPr="00E53B53">
        <w:t xml:space="preserve"> </w:t>
      </w:r>
      <w:r w:rsidRPr="00E53B53">
        <w:t xml:space="preserve">One of the significant differences between a long term contract and a contract with a duration of one year or less is that a long term contract has to be advertised for a period of not less than 30 days and the agreement of a period of one year or less can be advertised for </w:t>
      </w:r>
      <w:r w:rsidR="0099181D" w:rsidRPr="00E53B53">
        <w:t xml:space="preserve">a period of </w:t>
      </w:r>
      <w:r w:rsidRPr="00E53B53">
        <w:t>14 days.</w:t>
      </w:r>
      <w:r w:rsidRPr="00E53B53">
        <w:rPr>
          <w:rStyle w:val="FootnoteReference"/>
        </w:rPr>
        <w:footnoteReference w:id="2"/>
      </w:r>
      <w:r w:rsidRPr="00E53B53">
        <w:t xml:space="preserve"> </w:t>
      </w:r>
    </w:p>
    <w:p w:rsidR="00423A22" w:rsidRPr="00E53B53" w:rsidRDefault="00423A22" w:rsidP="00D11F64"/>
    <w:p w:rsidR="00423A22" w:rsidRPr="00E53B53" w:rsidRDefault="00423A22" w:rsidP="00D11F64">
      <w:r w:rsidRPr="00E53B53">
        <w:t>[5]</w:t>
      </w:r>
      <w:r w:rsidRPr="00E53B53">
        <w:tab/>
        <w:t xml:space="preserve">On 9 February 2015, the </w:t>
      </w:r>
      <w:r w:rsidR="00275C9A" w:rsidRPr="00E53B53">
        <w:t>m</w:t>
      </w:r>
      <w:r w:rsidRPr="00E53B53">
        <w:t xml:space="preserve">unicipality launched an application </w:t>
      </w:r>
      <w:r w:rsidR="005D3215" w:rsidRPr="00E53B53">
        <w:t>in which</w:t>
      </w:r>
      <w:r w:rsidRPr="00E53B53">
        <w:t xml:space="preserve"> it sought a declaratory</w:t>
      </w:r>
      <w:r w:rsidR="0099181D" w:rsidRPr="00E53B53">
        <w:t xml:space="preserve"> order </w:t>
      </w:r>
      <w:r w:rsidRPr="00E53B53">
        <w:t>that</w:t>
      </w:r>
      <w:r w:rsidR="005260EF" w:rsidRPr="00E53B53">
        <w:t xml:space="preserve"> </w:t>
      </w:r>
      <w:r w:rsidR="00D90A4B" w:rsidRPr="00E53B53">
        <w:t xml:space="preserve">the </w:t>
      </w:r>
      <w:r w:rsidR="005260EF" w:rsidRPr="00E53B53">
        <w:t>extension agreement be declared null and void, alternatively that the extension agreement be reviewed and set aside. Bravospan launched a counter</w:t>
      </w:r>
      <w:r w:rsidR="00275C9A" w:rsidRPr="00E53B53">
        <w:t>-</w:t>
      </w:r>
      <w:r w:rsidR="005260EF" w:rsidRPr="00E53B53">
        <w:t xml:space="preserve">application for payment of R2 005 000 for the security services rendered for the period November 2014 to March 2015. Even after the </w:t>
      </w:r>
      <w:r w:rsidR="00275C9A" w:rsidRPr="00E53B53">
        <w:t>m</w:t>
      </w:r>
      <w:r w:rsidR="005260EF" w:rsidRPr="00E53B53">
        <w:t xml:space="preserve">unicipality had commenced with litigation </w:t>
      </w:r>
      <w:r w:rsidR="0099181D" w:rsidRPr="00E53B53">
        <w:t xml:space="preserve">it </w:t>
      </w:r>
      <w:r w:rsidR="005260EF" w:rsidRPr="00E53B53">
        <w:t xml:space="preserve">requested Bravospan to continue rendering services </w:t>
      </w:r>
      <w:r w:rsidR="00C73E8B" w:rsidRPr="00E53B53">
        <w:t xml:space="preserve">‘until such a time that a new service </w:t>
      </w:r>
      <w:r w:rsidR="00023EDE" w:rsidRPr="00E53B53">
        <w:lastRenderedPageBreak/>
        <w:t>provider was</w:t>
      </w:r>
      <w:r w:rsidR="00C73E8B" w:rsidRPr="00E53B53">
        <w:t xml:space="preserve"> secured</w:t>
      </w:r>
      <w:r w:rsidR="005260EF" w:rsidRPr="00E53B53">
        <w:t xml:space="preserve">’. The </w:t>
      </w:r>
      <w:r w:rsidR="00275C9A" w:rsidRPr="00E53B53">
        <w:t>m</w:t>
      </w:r>
      <w:r w:rsidR="005260EF" w:rsidRPr="00E53B53">
        <w:t>unicipality continued to accept and enjoy</w:t>
      </w:r>
      <w:r w:rsidR="005D732D" w:rsidRPr="00E53B53">
        <w:t>ed the benefit of</w:t>
      </w:r>
      <w:r w:rsidR="005260EF" w:rsidRPr="00E53B53">
        <w:t xml:space="preserve"> the services without any payment to Bravospan. </w:t>
      </w:r>
    </w:p>
    <w:p w:rsidR="005260EF" w:rsidRPr="00E53B53" w:rsidRDefault="005260EF" w:rsidP="00D11F64"/>
    <w:p w:rsidR="005260EF" w:rsidRPr="00E53B53" w:rsidRDefault="005260EF" w:rsidP="00807075">
      <w:r w:rsidRPr="00E53B53">
        <w:t>[6]</w:t>
      </w:r>
      <w:r w:rsidRPr="00E53B53">
        <w:tab/>
        <w:t xml:space="preserve">The </w:t>
      </w:r>
      <w:r w:rsidR="00C73E8B" w:rsidRPr="00E53B53">
        <w:t xml:space="preserve">municipality’s </w:t>
      </w:r>
      <w:r w:rsidRPr="00E53B53">
        <w:t>application and counter</w:t>
      </w:r>
      <w:r w:rsidR="00C73E8B" w:rsidRPr="00E53B53">
        <w:t>-</w:t>
      </w:r>
      <w:r w:rsidRPr="00E53B53">
        <w:t>application were</w:t>
      </w:r>
      <w:r w:rsidR="00A70E54">
        <w:t xml:space="preserve"> </w:t>
      </w:r>
      <w:r w:rsidRPr="00E53B53">
        <w:t>argued before Mokgohloa DJP</w:t>
      </w:r>
      <w:r w:rsidR="0099181D" w:rsidRPr="00E53B53">
        <w:t xml:space="preserve">, </w:t>
      </w:r>
      <w:r w:rsidRPr="00E53B53">
        <w:t xml:space="preserve">and the extension agreement was declared null and void for want of </w:t>
      </w:r>
      <w:r w:rsidR="002A7D53" w:rsidRPr="00E53B53">
        <w:t xml:space="preserve">constitutionality </w:t>
      </w:r>
      <w:r w:rsidR="00F72FB5" w:rsidRPr="00E53B53">
        <w:t>a</w:t>
      </w:r>
      <w:r w:rsidRPr="00E53B53">
        <w:t>nd the counter</w:t>
      </w:r>
      <w:r w:rsidR="00C73E8B" w:rsidRPr="00E53B53">
        <w:t>-</w:t>
      </w:r>
      <w:r w:rsidR="005D3215" w:rsidRPr="00E53B53">
        <w:t>application</w:t>
      </w:r>
      <w:r w:rsidRPr="00E53B53">
        <w:t xml:space="preserve"> was dismissed with costs. In her judgment</w:t>
      </w:r>
      <w:r w:rsidR="00C73E8B" w:rsidRPr="00E53B53">
        <w:t>,</w:t>
      </w:r>
      <w:r w:rsidRPr="00E53B53">
        <w:t xml:space="preserve"> Mokgohloa DJP concluded:</w:t>
      </w:r>
    </w:p>
    <w:p w:rsidR="00D326DD" w:rsidRPr="00E53B53" w:rsidRDefault="005260EF" w:rsidP="00807075">
      <w:pPr>
        <w:rPr>
          <w:sz w:val="22"/>
          <w:szCs w:val="22"/>
        </w:rPr>
      </w:pPr>
      <w:r w:rsidRPr="00E53B53">
        <w:rPr>
          <w:sz w:val="22"/>
          <w:szCs w:val="22"/>
        </w:rPr>
        <w:t xml:space="preserve">‘The present case falls into the first category for the simple reasons that the applicant’s authority to extend the Service Level Agreement must be sought in the provisions of the Statute. Section 217 of the Constitution requires contract for goods or services by an organ of </w:t>
      </w:r>
      <w:r w:rsidR="00D326DD" w:rsidRPr="00E53B53">
        <w:rPr>
          <w:sz w:val="22"/>
          <w:szCs w:val="22"/>
        </w:rPr>
        <w:t>State such as the applicant, to be in accordance with a system which is fair, equitable, transparent, competitive and cost effective. Therefore, failure by the applicant to comply with s 217 renders the extension of the Service Level Agreement unlawful. Consequently, an unlawful transaction cannot be remedied by estoppel because that would give validity to a transaction which is unlawful and therefore ultra vires.’</w:t>
      </w:r>
    </w:p>
    <w:p w:rsidR="00D326DD" w:rsidRPr="00E53B53" w:rsidRDefault="00D326DD" w:rsidP="00807075">
      <w:pPr>
        <w:rPr>
          <w:sz w:val="22"/>
          <w:szCs w:val="22"/>
        </w:rPr>
      </w:pPr>
    </w:p>
    <w:p w:rsidR="005260EF" w:rsidRPr="00E53B53" w:rsidRDefault="00D326DD" w:rsidP="00807075">
      <w:r w:rsidRPr="00E53B53">
        <w:t>[7]</w:t>
      </w:r>
      <w:r w:rsidRPr="00E53B53">
        <w:tab/>
        <w:t xml:space="preserve">Bravospan unsuccessfully applied for leave to appeal Mokgohloa DJP’s judgment and </w:t>
      </w:r>
      <w:r w:rsidR="00C73E8B" w:rsidRPr="00E53B53">
        <w:t xml:space="preserve">its </w:t>
      </w:r>
      <w:r w:rsidRPr="00E53B53">
        <w:t xml:space="preserve">subsequent application for leave to appeal in this </w:t>
      </w:r>
      <w:r w:rsidR="00A70E54" w:rsidRPr="00E53B53">
        <w:t>Court</w:t>
      </w:r>
      <w:r w:rsidRPr="00E53B53">
        <w:t xml:space="preserve"> failed. It is undisputed that throughout the 24 </w:t>
      </w:r>
      <w:r w:rsidR="00DA4366" w:rsidRPr="00E53B53">
        <w:t>months’</w:t>
      </w:r>
      <w:r w:rsidRPr="00E53B53">
        <w:t xml:space="preserve"> period </w:t>
      </w:r>
      <w:r w:rsidR="00D90A4B" w:rsidRPr="00E53B53">
        <w:t xml:space="preserve">after the extension agreement was declared null and void, </w:t>
      </w:r>
      <w:r w:rsidRPr="00E53B53">
        <w:t xml:space="preserve">the </w:t>
      </w:r>
      <w:r w:rsidR="00C73E8B" w:rsidRPr="00E53B53">
        <w:t>m</w:t>
      </w:r>
      <w:r w:rsidRPr="00E53B53">
        <w:t>unicipality, at its request</w:t>
      </w:r>
      <w:r w:rsidR="003A78CE" w:rsidRPr="00E53B53">
        <w:t>,</w:t>
      </w:r>
      <w:r w:rsidRPr="00E53B53">
        <w:t xml:space="preserve"> enjoyed the benefit of security services provided by Bravospan without payment and without engaging another service provider. During January 2018</w:t>
      </w:r>
      <w:r w:rsidR="006C26A5" w:rsidRPr="00E53B53">
        <w:t>,</w:t>
      </w:r>
      <w:r w:rsidRPr="00E53B53">
        <w:t xml:space="preserve"> Bravospan instituted</w:t>
      </w:r>
      <w:r w:rsidR="00D63A7A" w:rsidRPr="00E53B53">
        <w:t xml:space="preserve"> an </w:t>
      </w:r>
      <w:r w:rsidRPr="00E53B53">
        <w:t xml:space="preserve">action against the </w:t>
      </w:r>
      <w:r w:rsidR="008E3587" w:rsidRPr="00E53B53">
        <w:t>m</w:t>
      </w:r>
      <w:r w:rsidRPr="00E53B53">
        <w:t>unicipality for payment of R9 624</w:t>
      </w:r>
      <w:r w:rsidR="003F0E03" w:rsidRPr="00E53B53">
        <w:t> </w:t>
      </w:r>
      <w:r w:rsidRPr="00E53B53">
        <w:t>000</w:t>
      </w:r>
      <w:r w:rsidR="003F0E03" w:rsidRPr="00E53B53">
        <w:t>,</w:t>
      </w:r>
      <w:r w:rsidRPr="00E53B53">
        <w:t xml:space="preserve"> </w:t>
      </w:r>
      <w:r w:rsidR="006C26A5" w:rsidRPr="00E53B53">
        <w:t xml:space="preserve">which amount was the sum total of invoices submitted to the </w:t>
      </w:r>
      <w:r w:rsidR="003F0E03" w:rsidRPr="00E53B53">
        <w:t>m</w:t>
      </w:r>
      <w:r w:rsidR="006C26A5" w:rsidRPr="00E53B53">
        <w:t>unicipality for the duration of</w:t>
      </w:r>
      <w:r w:rsidRPr="00E53B53">
        <w:rPr>
          <w:sz w:val="22"/>
          <w:szCs w:val="22"/>
        </w:rPr>
        <w:t xml:space="preserve"> </w:t>
      </w:r>
      <w:r w:rsidR="006C26A5" w:rsidRPr="00E53B53">
        <w:t>the extension agreement.</w:t>
      </w:r>
      <w:r w:rsidR="00406F93" w:rsidRPr="00E53B53">
        <w:t xml:space="preserve"> It relied on four alternative causes of action, namely delict, fraud, constitutional damages</w:t>
      </w:r>
      <w:r w:rsidR="006C26A5" w:rsidRPr="00E53B53">
        <w:t xml:space="preserve"> </w:t>
      </w:r>
      <w:r w:rsidR="00406F93" w:rsidRPr="00E53B53">
        <w:t>and unjust enrichment. The issues were</w:t>
      </w:r>
      <w:r w:rsidR="00F4041A" w:rsidRPr="00E53B53">
        <w:t xml:space="preserve"> </w:t>
      </w:r>
      <w:r w:rsidR="00406F93" w:rsidRPr="00E53B53">
        <w:t xml:space="preserve">separated and quantum stood over for later determination. </w:t>
      </w:r>
      <w:r w:rsidR="00023EDE" w:rsidRPr="00E53B53">
        <w:t xml:space="preserve">On </w:t>
      </w:r>
      <w:r w:rsidR="00361038" w:rsidRPr="00E53B53">
        <w:t>2 February 2021</w:t>
      </w:r>
      <w:r w:rsidR="00F4041A" w:rsidRPr="00E53B53">
        <w:t>,</w:t>
      </w:r>
      <w:r w:rsidR="00361038" w:rsidRPr="00E53B53">
        <w:t xml:space="preserve"> Ma</w:t>
      </w:r>
      <w:r w:rsidR="006C26A5" w:rsidRPr="00E53B53">
        <w:t xml:space="preserve">kgoba JP </w:t>
      </w:r>
      <w:r w:rsidR="00023EDE" w:rsidRPr="00E53B53">
        <w:t>ruled</w:t>
      </w:r>
      <w:r w:rsidR="006C26A5" w:rsidRPr="00E53B53">
        <w:t xml:space="preserve"> that Bravospan had made out a case against the </w:t>
      </w:r>
      <w:r w:rsidR="008E3587" w:rsidRPr="00E53B53">
        <w:t>m</w:t>
      </w:r>
      <w:r w:rsidR="006C26A5" w:rsidRPr="00E53B53">
        <w:t>unicipality based on unjust enrichment</w:t>
      </w:r>
      <w:r w:rsidR="008E3587" w:rsidRPr="00E53B53">
        <w:t xml:space="preserve">. He </w:t>
      </w:r>
      <w:r w:rsidR="00406F93" w:rsidRPr="00E53B53">
        <w:t>declared</w:t>
      </w:r>
      <w:r w:rsidR="008E3587" w:rsidRPr="00E53B53">
        <w:t xml:space="preserve"> the m</w:t>
      </w:r>
      <w:r w:rsidR="006C26A5" w:rsidRPr="00E53B53">
        <w:t>unicipality</w:t>
      </w:r>
      <w:r w:rsidR="00406F93" w:rsidRPr="00E53B53">
        <w:t xml:space="preserve"> liable</w:t>
      </w:r>
      <w:r w:rsidR="006C26A5" w:rsidRPr="00E53B53">
        <w:t xml:space="preserve"> to pay an amount </w:t>
      </w:r>
      <w:r w:rsidR="00406F93" w:rsidRPr="00E53B53">
        <w:t xml:space="preserve">to be </w:t>
      </w:r>
      <w:r w:rsidR="00DA4366" w:rsidRPr="00E53B53">
        <w:t>determined.</w:t>
      </w:r>
    </w:p>
    <w:p w:rsidR="006C26A5" w:rsidRPr="00E53B53" w:rsidRDefault="006C26A5" w:rsidP="00807075">
      <w:pPr>
        <w:rPr>
          <w:sz w:val="22"/>
          <w:szCs w:val="22"/>
        </w:rPr>
      </w:pPr>
    </w:p>
    <w:p w:rsidR="006C26A5" w:rsidRPr="00E53B53" w:rsidRDefault="006C26A5" w:rsidP="00807075">
      <w:r w:rsidRPr="00E53B53">
        <w:t>[8]</w:t>
      </w:r>
      <w:r w:rsidRPr="00E53B53">
        <w:tab/>
        <w:t xml:space="preserve">The </w:t>
      </w:r>
      <w:r w:rsidR="008E3587" w:rsidRPr="00E53B53">
        <w:t>m</w:t>
      </w:r>
      <w:r w:rsidRPr="00E53B53">
        <w:t>unicipality</w:t>
      </w:r>
      <w:r w:rsidR="00F21A2D" w:rsidRPr="00E53B53">
        <w:t xml:space="preserve"> </w:t>
      </w:r>
      <w:r w:rsidR="00406F93" w:rsidRPr="00E53B53">
        <w:t xml:space="preserve">raised only two issues on </w:t>
      </w:r>
      <w:r w:rsidRPr="00E53B53">
        <w:t>appeal</w:t>
      </w:r>
      <w:r w:rsidR="00406F93" w:rsidRPr="00E53B53">
        <w:t>, namely</w:t>
      </w:r>
      <w:r w:rsidRPr="00E53B53">
        <w:t>:</w:t>
      </w:r>
    </w:p>
    <w:p w:rsidR="006631B2" w:rsidRPr="00E53B53" w:rsidRDefault="008E3587" w:rsidP="00807075">
      <w:r w:rsidRPr="00E53B53">
        <w:t>(</w:t>
      </w:r>
      <w:r w:rsidR="006631B2" w:rsidRPr="00E53B53">
        <w:t>a</w:t>
      </w:r>
      <w:r w:rsidRPr="00E53B53">
        <w:t>)</w:t>
      </w:r>
      <w:r w:rsidR="0094684B" w:rsidRPr="00E53B53">
        <w:t xml:space="preserve"> </w:t>
      </w:r>
      <w:r w:rsidR="006C26A5" w:rsidRPr="00E53B53">
        <w:t xml:space="preserve">Bravospan failed to comply with the provisions of </w:t>
      </w:r>
      <w:r w:rsidR="00D34A64" w:rsidRPr="00E53B53">
        <w:t xml:space="preserve">s 3(2) of </w:t>
      </w:r>
      <w:r w:rsidR="00CD21A0" w:rsidRPr="00E53B53">
        <w:t>the In</w:t>
      </w:r>
      <w:r w:rsidR="0054471B" w:rsidRPr="00E53B53">
        <w:t>stitution of Legal Proceedings a</w:t>
      </w:r>
      <w:r w:rsidR="00CD21A0" w:rsidRPr="00E53B53">
        <w:t>gainst Certain Organs of</w:t>
      </w:r>
      <w:r w:rsidR="00C615C9" w:rsidRPr="00E53B53">
        <w:t xml:space="preserve"> </w:t>
      </w:r>
      <w:r w:rsidR="00CD21A0" w:rsidRPr="00E53B53">
        <w:t xml:space="preserve">State </w:t>
      </w:r>
      <w:r w:rsidR="00D34A64" w:rsidRPr="00E53B53">
        <w:t>Act 40 of 2002</w:t>
      </w:r>
      <w:r w:rsidR="0094684B" w:rsidRPr="00E53B53">
        <w:t>; and</w:t>
      </w:r>
      <w:r w:rsidR="0080318F" w:rsidRPr="00E53B53">
        <w:t xml:space="preserve"> </w:t>
      </w:r>
    </w:p>
    <w:p w:rsidR="007E1909" w:rsidRPr="00E53B53" w:rsidRDefault="007E1909" w:rsidP="00807075">
      <w:r w:rsidRPr="00E53B53">
        <w:lastRenderedPageBreak/>
        <w:t>(</w:t>
      </w:r>
      <w:r w:rsidR="006631B2" w:rsidRPr="00E53B53">
        <w:t>b</w:t>
      </w:r>
      <w:r w:rsidRPr="00E53B53">
        <w:t>)</w:t>
      </w:r>
      <w:r w:rsidR="0094684B" w:rsidRPr="00E53B53">
        <w:t xml:space="preserve"> </w:t>
      </w:r>
      <w:r w:rsidR="00406F93" w:rsidRPr="00E53B53">
        <w:t xml:space="preserve">Alternatively, a portion of </w:t>
      </w:r>
      <w:r w:rsidRPr="00E53B53">
        <w:t>Bravospan’s enrichment claim had prescribed.</w:t>
      </w:r>
    </w:p>
    <w:p w:rsidR="00D34A64" w:rsidRPr="00E53B53" w:rsidRDefault="00D34A64" w:rsidP="00807075"/>
    <w:p w:rsidR="00732F49" w:rsidRPr="00E53B53" w:rsidRDefault="00732F49" w:rsidP="00732F49">
      <w:pPr>
        <w:autoSpaceDE w:val="0"/>
        <w:autoSpaceDN w:val="0"/>
        <w:adjustRightInd w:val="0"/>
        <w:rPr>
          <w:b/>
          <w:color w:val="242121"/>
          <w:shd w:val="clear" w:color="auto" w:fill="FFFFFF"/>
        </w:rPr>
      </w:pPr>
      <w:r w:rsidRPr="00E53B53">
        <w:rPr>
          <w:b/>
        </w:rPr>
        <w:t xml:space="preserve">Failure to comply with section (3)2 </w:t>
      </w:r>
      <w:r w:rsidR="0080318F" w:rsidRPr="00E53B53">
        <w:rPr>
          <w:b/>
        </w:rPr>
        <w:t>of</w:t>
      </w:r>
      <w:r w:rsidR="0054471B" w:rsidRPr="00E53B53">
        <w:rPr>
          <w:b/>
        </w:rPr>
        <w:t xml:space="preserve"> the</w:t>
      </w:r>
      <w:r w:rsidR="0080318F" w:rsidRPr="00E53B53">
        <w:rPr>
          <w:b/>
        </w:rPr>
        <w:t xml:space="preserve"> Institution of Legal Proceedings against Cer</w:t>
      </w:r>
      <w:r w:rsidR="0054471B" w:rsidRPr="00E53B53">
        <w:rPr>
          <w:b/>
        </w:rPr>
        <w:t xml:space="preserve">tain Organs of State Act </w:t>
      </w:r>
      <w:r w:rsidR="0080318F" w:rsidRPr="00E53B53">
        <w:rPr>
          <w:b/>
        </w:rPr>
        <w:t>40 of 2002 (the Act)</w:t>
      </w:r>
    </w:p>
    <w:p w:rsidR="00732F49" w:rsidRPr="00E53B53" w:rsidRDefault="00732F49" w:rsidP="00732F49">
      <w:pPr>
        <w:autoSpaceDE w:val="0"/>
        <w:autoSpaceDN w:val="0"/>
        <w:adjustRightInd w:val="0"/>
      </w:pPr>
      <w:r w:rsidRPr="00E53B53">
        <w:rPr>
          <w:color w:val="242121"/>
          <w:shd w:val="clear" w:color="auto" w:fill="FFFFFF"/>
        </w:rPr>
        <w:t>[</w:t>
      </w:r>
      <w:r w:rsidR="00F21A2D" w:rsidRPr="00E53B53">
        <w:rPr>
          <w:color w:val="242121"/>
          <w:shd w:val="clear" w:color="auto" w:fill="FFFFFF"/>
        </w:rPr>
        <w:t>9</w:t>
      </w:r>
      <w:r w:rsidRPr="00E53B53">
        <w:rPr>
          <w:color w:val="242121"/>
          <w:shd w:val="clear" w:color="auto" w:fill="FFFFFF"/>
        </w:rPr>
        <w:t>]</w:t>
      </w:r>
      <w:r w:rsidRPr="00E53B53">
        <w:rPr>
          <w:color w:val="242121"/>
          <w:shd w:val="clear" w:color="auto" w:fill="FFFFFF"/>
        </w:rPr>
        <w:tab/>
      </w:r>
      <w:r w:rsidRPr="00E53B53">
        <w:t xml:space="preserve">The </w:t>
      </w:r>
      <w:r w:rsidR="0080318F" w:rsidRPr="00E53B53">
        <w:t>m</w:t>
      </w:r>
      <w:r w:rsidRPr="00E53B53">
        <w:t>unicipality contended that Bravospan’s notice in terms of s 3(2) of the Act does not comply with all the requirement</w:t>
      </w:r>
      <w:r w:rsidR="005D3215" w:rsidRPr="00E53B53">
        <w:t>s</w:t>
      </w:r>
      <w:r w:rsidRPr="00E53B53">
        <w:t xml:space="preserve"> set out in the Act</w:t>
      </w:r>
      <w:r w:rsidR="00304493" w:rsidRPr="00E53B53">
        <w:t>,</w:t>
      </w:r>
      <w:r w:rsidRPr="00E53B53">
        <w:t xml:space="preserve"> in that</w:t>
      </w:r>
      <w:r w:rsidR="00304493" w:rsidRPr="00E53B53">
        <w:t>,</w:t>
      </w:r>
      <w:r w:rsidRPr="00E53B53">
        <w:t xml:space="preserve"> the said notice was not served on the </w:t>
      </w:r>
      <w:r w:rsidR="0080318F" w:rsidRPr="00E53B53">
        <w:t>m</w:t>
      </w:r>
      <w:r w:rsidRPr="00E53B53">
        <w:t xml:space="preserve">unicipality within a period of </w:t>
      </w:r>
      <w:r w:rsidR="003C0AEA" w:rsidRPr="00E53B53">
        <w:t>6</w:t>
      </w:r>
      <w:r w:rsidR="00425C57" w:rsidRPr="00E53B53">
        <w:t xml:space="preserve"> </w:t>
      </w:r>
      <w:r w:rsidRPr="00E53B53">
        <w:t>months from the date on which the debt became due in accordance with s 4(1) of the Act</w:t>
      </w:r>
      <w:r w:rsidR="003C0AEA" w:rsidRPr="00E53B53">
        <w:t>.</w:t>
      </w:r>
      <w:r w:rsidR="00425C57" w:rsidRPr="00E53B53">
        <w:t xml:space="preserve"> </w:t>
      </w:r>
      <w:r w:rsidR="00E90572" w:rsidRPr="00E53B53">
        <w:t>The notice that was served on 8 September 2017 was late</w:t>
      </w:r>
      <w:r w:rsidR="003A78CE" w:rsidRPr="00E53B53">
        <w:t>;</w:t>
      </w:r>
      <w:r w:rsidR="00E90572" w:rsidRPr="00E53B53">
        <w:t xml:space="preserve"> that the municipality </w:t>
      </w:r>
      <w:r w:rsidR="0063790A" w:rsidRPr="00E53B53">
        <w:t xml:space="preserve">had not consented </w:t>
      </w:r>
      <w:r w:rsidR="00E90572" w:rsidRPr="00E53B53">
        <w:t>to the late service</w:t>
      </w:r>
      <w:r w:rsidR="0063790A" w:rsidRPr="00E53B53">
        <w:t xml:space="preserve"> of the notice</w:t>
      </w:r>
      <w:r w:rsidR="003A78CE" w:rsidRPr="00E53B53">
        <w:t>;</w:t>
      </w:r>
      <w:r w:rsidR="00E90572" w:rsidRPr="00E53B53">
        <w:t xml:space="preserve"> and that there was no </w:t>
      </w:r>
      <w:r w:rsidR="0063790A" w:rsidRPr="00E53B53">
        <w:t xml:space="preserve">condonation </w:t>
      </w:r>
      <w:r w:rsidR="007F1AF2" w:rsidRPr="00E53B53">
        <w:t xml:space="preserve">application </w:t>
      </w:r>
      <w:r w:rsidR="006A75AC" w:rsidRPr="00E53B53">
        <w:t>for</w:t>
      </w:r>
      <w:r w:rsidR="007F1AF2" w:rsidRPr="00E53B53">
        <w:t xml:space="preserve"> </w:t>
      </w:r>
      <w:r w:rsidR="006A75AC" w:rsidRPr="00E53B53">
        <w:t>the late</w:t>
      </w:r>
      <w:r w:rsidR="0063790A" w:rsidRPr="00E53B53">
        <w:t xml:space="preserve"> service.</w:t>
      </w:r>
      <w:r w:rsidR="006A5CBE" w:rsidRPr="00E53B53">
        <w:t xml:space="preserve"> </w:t>
      </w:r>
      <w:r w:rsidR="007F1AF2" w:rsidRPr="00E53B53">
        <w:t xml:space="preserve">It was argued that </w:t>
      </w:r>
      <w:r w:rsidRPr="00E53B53">
        <w:t>the debt became due at the latest on 1 November 2016</w:t>
      </w:r>
      <w:r w:rsidR="003D7F5B" w:rsidRPr="00E53B53">
        <w:t xml:space="preserve"> therefore, the</w:t>
      </w:r>
      <w:r w:rsidRPr="00E53B53">
        <w:t xml:space="preserve"> </w:t>
      </w:r>
      <w:r w:rsidR="00DA4366" w:rsidRPr="00E53B53">
        <w:t>6-month</w:t>
      </w:r>
      <w:r w:rsidRPr="00E53B53">
        <w:t xml:space="preserve"> period consequently expired on 1 May 2017.</w:t>
      </w:r>
    </w:p>
    <w:p w:rsidR="00D728BD" w:rsidRPr="00E53B53" w:rsidRDefault="00D728BD" w:rsidP="00732F49">
      <w:pPr>
        <w:autoSpaceDE w:val="0"/>
        <w:autoSpaceDN w:val="0"/>
        <w:adjustRightInd w:val="0"/>
      </w:pPr>
    </w:p>
    <w:p w:rsidR="007F1AF2" w:rsidRPr="00E53B53" w:rsidRDefault="00732F49" w:rsidP="007F1AF2">
      <w:pPr>
        <w:autoSpaceDE w:val="0"/>
        <w:autoSpaceDN w:val="0"/>
        <w:adjustRightInd w:val="0"/>
      </w:pPr>
      <w:r w:rsidRPr="00E53B53">
        <w:t>[1</w:t>
      </w:r>
      <w:r w:rsidR="00F21A2D" w:rsidRPr="00E53B53">
        <w:t>0</w:t>
      </w:r>
      <w:r w:rsidRPr="00E53B53">
        <w:t>]</w:t>
      </w:r>
      <w:r w:rsidRPr="00E53B53">
        <w:tab/>
      </w:r>
      <w:r w:rsidR="002110DD" w:rsidRPr="00E53B53">
        <w:t xml:space="preserve">The question is whether compensation for unjust enrichment is damages within the definition of ‘debt’ in s 1 of the Act. </w:t>
      </w:r>
      <w:r w:rsidR="005D3215" w:rsidRPr="00E53B53">
        <w:t xml:space="preserve">In this section </w:t>
      </w:r>
      <w:r w:rsidR="002110DD" w:rsidRPr="00E53B53">
        <w:t>‘</w:t>
      </w:r>
      <w:r w:rsidR="0025183A" w:rsidRPr="00E53B53">
        <w:t>d</w:t>
      </w:r>
      <w:r w:rsidR="002110DD" w:rsidRPr="00E53B53">
        <w:t>ebt’ is</w:t>
      </w:r>
      <w:r w:rsidR="005D3215" w:rsidRPr="00E53B53">
        <w:t xml:space="preserve"> defined as</w:t>
      </w:r>
      <w:r w:rsidR="002110DD" w:rsidRPr="00E53B53">
        <w:t xml:space="preserve"> any debt arising </w:t>
      </w:r>
      <w:r w:rsidR="00A24CCB" w:rsidRPr="00E53B53">
        <w:t>from</w:t>
      </w:r>
      <w:r w:rsidR="002110DD" w:rsidRPr="00E53B53">
        <w:t xml:space="preserve"> delictual</w:t>
      </w:r>
      <w:r w:rsidR="00A24CCB" w:rsidRPr="00E53B53">
        <w:t>,</w:t>
      </w:r>
      <w:r w:rsidR="002110DD" w:rsidRPr="00E53B53">
        <w:t xml:space="preserve"> contractual or other act or omission under any law, for which an organ of the state is liable to pay damages whether the debt became due before or after the fixed date. </w:t>
      </w:r>
    </w:p>
    <w:p w:rsidR="007F1AF2" w:rsidRPr="00E53B53" w:rsidRDefault="007F1AF2" w:rsidP="007F1AF2">
      <w:pPr>
        <w:autoSpaceDE w:val="0"/>
        <w:autoSpaceDN w:val="0"/>
        <w:adjustRightInd w:val="0"/>
      </w:pPr>
    </w:p>
    <w:p w:rsidR="00732F49" w:rsidRPr="00E53B53" w:rsidRDefault="007F1AF2" w:rsidP="007F1AF2">
      <w:pPr>
        <w:autoSpaceDE w:val="0"/>
        <w:autoSpaceDN w:val="0"/>
        <w:adjustRightInd w:val="0"/>
      </w:pPr>
      <w:r w:rsidRPr="00E53B53">
        <w:t>[11]</w:t>
      </w:r>
      <w:r w:rsidR="002110DD" w:rsidRPr="00E53B53">
        <w:tab/>
        <w:t xml:space="preserve">At the hearing of this matter, counsel for the municipality conceded that </w:t>
      </w:r>
      <w:r w:rsidR="00B6360B" w:rsidRPr="00E53B53">
        <w:t xml:space="preserve">the </w:t>
      </w:r>
      <w:r w:rsidR="002110DD" w:rsidRPr="00E53B53">
        <w:t>claim for unjust enrichment was n</w:t>
      </w:r>
      <w:r w:rsidR="00DA4366" w:rsidRPr="00E53B53">
        <w:t>ot a ‘debt’ as defined in s (1)</w:t>
      </w:r>
      <w:r w:rsidR="002110DD" w:rsidRPr="00E53B53">
        <w:t xml:space="preserve"> of the Act and/or at least because it was not a claim for damages. Thus, it was rightly conceded by the municipality that the Act was not applicable to the enrichment claim, and the absence of a notice in terms of the Act did not therefore bar the enrichment claim. This defence therefore has to fail</w:t>
      </w:r>
      <w:r w:rsidR="00A411BC" w:rsidRPr="00E53B53">
        <w:t>.</w:t>
      </w:r>
    </w:p>
    <w:p w:rsidR="00EE2B90" w:rsidRPr="00E53B53" w:rsidRDefault="00EE2B90" w:rsidP="00732F49">
      <w:pPr>
        <w:autoSpaceDE w:val="0"/>
        <w:autoSpaceDN w:val="0"/>
        <w:adjustRightInd w:val="0"/>
      </w:pPr>
    </w:p>
    <w:p w:rsidR="001E5370" w:rsidRPr="00E53B53" w:rsidRDefault="00DA53C9" w:rsidP="008954DE">
      <w:pPr>
        <w:rPr>
          <w:b/>
        </w:rPr>
      </w:pPr>
      <w:r w:rsidRPr="00E53B53">
        <w:rPr>
          <w:b/>
        </w:rPr>
        <w:t xml:space="preserve">Whether </w:t>
      </w:r>
      <w:r w:rsidR="00FD517E" w:rsidRPr="00E53B53">
        <w:rPr>
          <w:b/>
        </w:rPr>
        <w:t xml:space="preserve">a portion of </w:t>
      </w:r>
      <w:r w:rsidRPr="00E53B53">
        <w:rPr>
          <w:b/>
        </w:rPr>
        <w:t>Bravospan</w:t>
      </w:r>
      <w:r w:rsidR="006843A0" w:rsidRPr="00E53B53">
        <w:rPr>
          <w:b/>
        </w:rPr>
        <w:t>’s</w:t>
      </w:r>
      <w:r w:rsidRPr="00E53B53">
        <w:rPr>
          <w:b/>
        </w:rPr>
        <w:t xml:space="preserve"> claim for unjust enrichment </w:t>
      </w:r>
      <w:r w:rsidR="000B70D0" w:rsidRPr="00E53B53">
        <w:rPr>
          <w:b/>
        </w:rPr>
        <w:t>has</w:t>
      </w:r>
      <w:r w:rsidRPr="00E53B53">
        <w:rPr>
          <w:b/>
        </w:rPr>
        <w:t xml:space="preserve"> prescribed</w:t>
      </w:r>
    </w:p>
    <w:p w:rsidR="00165915" w:rsidRPr="00E53B53" w:rsidRDefault="00EC317C" w:rsidP="00165915">
      <w:r w:rsidRPr="00E53B53">
        <w:t>[</w:t>
      </w:r>
      <w:r w:rsidR="00F21A2D" w:rsidRPr="00E53B53">
        <w:t>12</w:t>
      </w:r>
      <w:r w:rsidRPr="00E53B53">
        <w:t>]</w:t>
      </w:r>
      <w:r w:rsidR="0052261E" w:rsidRPr="00E53B53">
        <w:tab/>
      </w:r>
      <w:r w:rsidR="00165915" w:rsidRPr="00E53B53">
        <w:t xml:space="preserve">It is trite that the party who raises a plea of prescription bears the onus of proof. Rule 22 of the Uniform Rules of Court, provides that a party who raises a plea shall, in his plea, ‘clearly and concisely state all material facts upon which he relies’. In </w:t>
      </w:r>
      <w:r w:rsidR="00165915" w:rsidRPr="00E53B53">
        <w:rPr>
          <w:bCs/>
          <w:i/>
        </w:rPr>
        <w:t xml:space="preserve">Hurst, </w:t>
      </w:r>
      <w:r w:rsidR="00165915" w:rsidRPr="00E53B53">
        <w:rPr>
          <w:bCs/>
          <w:i/>
        </w:rPr>
        <w:lastRenderedPageBreak/>
        <w:t>Gunson, Cooper, Taber Ltd v Agricultural Supply Association (Pty) Ltd</w:t>
      </w:r>
      <w:r w:rsidR="00165915" w:rsidRPr="00E53B53">
        <w:rPr>
          <w:i/>
        </w:rPr>
        <w:t>,</w:t>
      </w:r>
      <w:r w:rsidR="00165915" w:rsidRPr="00E53B53">
        <w:rPr>
          <w:rStyle w:val="FootnoteReference"/>
        </w:rPr>
        <w:footnoteReference w:id="3"/>
      </w:r>
      <w:r w:rsidR="00165915" w:rsidRPr="00E53B53">
        <w:rPr>
          <w:i/>
        </w:rPr>
        <w:t xml:space="preserve"> </w:t>
      </w:r>
      <w:r w:rsidR="00165915" w:rsidRPr="00E53B53">
        <w:t>the court held that in order to found a plea of prescription based on a 3-year period, it is essential and material to expressly allege the facts on which the plea is based.</w:t>
      </w:r>
      <w:r w:rsidR="00165915" w:rsidRPr="00E53B53">
        <w:rPr>
          <w:rStyle w:val="FootnoteReference"/>
        </w:rPr>
        <w:footnoteReference w:id="4"/>
      </w:r>
      <w:r w:rsidR="00165915" w:rsidRPr="00E53B53">
        <w:t xml:space="preserve"> The defendant must prove the facts that the </w:t>
      </w:r>
      <w:r w:rsidR="005D3215" w:rsidRPr="00E53B53">
        <w:t>plaintiff</w:t>
      </w:r>
      <w:r w:rsidR="00165915" w:rsidRPr="00E53B53">
        <w:t xml:space="preserve"> was required to know before prescription could commence and must allege that the plaintiff had knowledge of those facts on or before the date upon prescription is alleged to commence.</w:t>
      </w:r>
      <w:r w:rsidR="00165915" w:rsidRPr="00E53B53">
        <w:rPr>
          <w:rStyle w:val="FootnoteReference"/>
        </w:rPr>
        <w:footnoteReference w:id="5"/>
      </w:r>
      <w:r w:rsidR="00165915" w:rsidRPr="00E53B53">
        <w:t xml:space="preserve"> In </w:t>
      </w:r>
      <w:r w:rsidR="00165915" w:rsidRPr="00E53B53">
        <w:rPr>
          <w:i/>
        </w:rPr>
        <w:t xml:space="preserve">MEC for Health, Western Cape v Coboza, </w:t>
      </w:r>
      <w:r w:rsidR="00165915" w:rsidRPr="00E53B53">
        <w:t xml:space="preserve">Van der Merwe JA held that the appellant in that case failed to allege the facts that were necessary to determine when the respondent knew </w:t>
      </w:r>
      <w:r w:rsidR="00E846C4" w:rsidRPr="00E53B53">
        <w:t xml:space="preserve">of </w:t>
      </w:r>
      <w:r w:rsidR="00165915" w:rsidRPr="00E53B53">
        <w:t>the primary facts or should have reasonably have known</w:t>
      </w:r>
      <w:r w:rsidR="005D3215" w:rsidRPr="00E53B53">
        <w:t xml:space="preserve"> them</w:t>
      </w:r>
      <w:r w:rsidR="00165915" w:rsidRPr="00E53B53">
        <w:t>. Therefore, the court held that the determination of the ‘plea of prescription was an exercise in futility’.</w:t>
      </w:r>
      <w:r w:rsidR="00165915" w:rsidRPr="00E53B53">
        <w:rPr>
          <w:rStyle w:val="FootnoteReference"/>
        </w:rPr>
        <w:footnoteReference w:id="6"/>
      </w:r>
    </w:p>
    <w:p w:rsidR="00DA53C9" w:rsidRPr="00E53B53" w:rsidRDefault="00DA53C9" w:rsidP="000D1E33">
      <w:pPr>
        <w:rPr>
          <w:color w:val="242121"/>
          <w:shd w:val="clear" w:color="auto" w:fill="FFFFFF"/>
        </w:rPr>
      </w:pPr>
    </w:p>
    <w:p w:rsidR="007E1909" w:rsidRPr="00E53B53" w:rsidRDefault="007E1909" w:rsidP="000D1E33">
      <w:pPr>
        <w:rPr>
          <w:color w:val="242121"/>
          <w:shd w:val="clear" w:color="auto" w:fill="FFFFFF"/>
        </w:rPr>
      </w:pPr>
      <w:r w:rsidRPr="00E53B53">
        <w:rPr>
          <w:color w:val="242121"/>
          <w:shd w:val="clear" w:color="auto" w:fill="FFFFFF"/>
        </w:rPr>
        <w:t>[</w:t>
      </w:r>
      <w:r w:rsidR="00F21A2D" w:rsidRPr="00E53B53">
        <w:rPr>
          <w:color w:val="242121"/>
          <w:shd w:val="clear" w:color="auto" w:fill="FFFFFF"/>
        </w:rPr>
        <w:t>13</w:t>
      </w:r>
      <w:r w:rsidRPr="00E53B53">
        <w:rPr>
          <w:color w:val="242121"/>
          <w:shd w:val="clear" w:color="auto" w:fill="FFFFFF"/>
        </w:rPr>
        <w:t>]</w:t>
      </w:r>
      <w:r w:rsidRPr="00E53B53">
        <w:rPr>
          <w:color w:val="242121"/>
          <w:shd w:val="clear" w:color="auto" w:fill="FFFFFF"/>
        </w:rPr>
        <w:tab/>
      </w:r>
      <w:r w:rsidR="00D76090" w:rsidRPr="00E53B53">
        <w:rPr>
          <w:color w:val="242121"/>
          <w:shd w:val="clear" w:color="auto" w:fill="FFFFFF"/>
        </w:rPr>
        <w:t>Th</w:t>
      </w:r>
      <w:r w:rsidR="00165915" w:rsidRPr="00E53B53">
        <w:rPr>
          <w:color w:val="242121"/>
          <w:shd w:val="clear" w:color="auto" w:fill="FFFFFF"/>
        </w:rPr>
        <w:t>is Court</w:t>
      </w:r>
      <w:r w:rsidR="00D76090" w:rsidRPr="00E53B53">
        <w:rPr>
          <w:color w:val="242121"/>
          <w:shd w:val="clear" w:color="auto" w:fill="FFFFFF"/>
        </w:rPr>
        <w:t xml:space="preserve"> in </w:t>
      </w:r>
      <w:r w:rsidR="009D7B6E" w:rsidRPr="00E53B53">
        <w:rPr>
          <w:i/>
          <w:color w:val="242121"/>
          <w:shd w:val="clear" w:color="auto" w:fill="FFFFFF"/>
        </w:rPr>
        <w:t>Gericke v Sack</w:t>
      </w:r>
      <w:r w:rsidR="00D76090" w:rsidRPr="00E53B53">
        <w:rPr>
          <w:rStyle w:val="FootnoteReference"/>
          <w:i/>
          <w:color w:val="242121"/>
          <w:shd w:val="clear" w:color="auto" w:fill="FFFFFF"/>
        </w:rPr>
        <w:footnoteReference w:id="7"/>
      </w:r>
      <w:r w:rsidR="00F6035D" w:rsidRPr="00E53B53">
        <w:rPr>
          <w:i/>
          <w:color w:val="242121"/>
          <w:shd w:val="clear" w:color="auto" w:fill="FFFFFF"/>
        </w:rPr>
        <w:t xml:space="preserve"> </w:t>
      </w:r>
      <w:r w:rsidRPr="00E53B53">
        <w:rPr>
          <w:color w:val="242121"/>
          <w:shd w:val="clear" w:color="auto" w:fill="FFFFFF"/>
        </w:rPr>
        <w:t>held that</w:t>
      </w:r>
      <w:r w:rsidR="00F65F2F" w:rsidRPr="00E53B53">
        <w:rPr>
          <w:color w:val="242121"/>
          <w:shd w:val="clear" w:color="auto" w:fill="FFFFFF"/>
        </w:rPr>
        <w:t>:</w:t>
      </w:r>
    </w:p>
    <w:p w:rsidR="007E1909" w:rsidRPr="00E53B53" w:rsidRDefault="007E1909" w:rsidP="000D1E33">
      <w:pPr>
        <w:rPr>
          <w:color w:val="242121"/>
          <w:sz w:val="22"/>
          <w:szCs w:val="22"/>
          <w:shd w:val="clear" w:color="auto" w:fill="FFFFFF"/>
        </w:rPr>
      </w:pPr>
      <w:r w:rsidRPr="00E53B53">
        <w:rPr>
          <w:color w:val="242121"/>
          <w:sz w:val="22"/>
          <w:szCs w:val="22"/>
          <w:shd w:val="clear" w:color="auto" w:fill="FFFFFF"/>
        </w:rPr>
        <w:t>‘It</w:t>
      </w:r>
      <w:r w:rsidR="009D7B6E" w:rsidRPr="00E53B53">
        <w:rPr>
          <w:color w:val="242121"/>
          <w:sz w:val="22"/>
          <w:szCs w:val="22"/>
          <w:shd w:val="clear" w:color="auto" w:fill="FFFFFF"/>
        </w:rPr>
        <w:t xml:space="preserve"> was the respondent who challenged the appellant on the issue that the claim of damages was prescribed</w:t>
      </w:r>
      <w:r w:rsidR="00F6035D" w:rsidRPr="00E53B53">
        <w:rPr>
          <w:color w:val="242121"/>
          <w:sz w:val="22"/>
          <w:szCs w:val="22"/>
          <w:shd w:val="clear" w:color="auto" w:fill="FFFFFF"/>
        </w:rPr>
        <w:t xml:space="preserve"> - t</w:t>
      </w:r>
      <w:r w:rsidRPr="00E53B53">
        <w:rPr>
          <w:color w:val="242121"/>
          <w:sz w:val="22"/>
          <w:szCs w:val="22"/>
          <w:shd w:val="clear" w:color="auto" w:fill="FFFFFF"/>
        </w:rPr>
        <w:t xml:space="preserve">his he did by way of special plea five months after the plea on the merits had been filed. </w:t>
      </w:r>
      <w:r w:rsidR="009D7B6E" w:rsidRPr="00E53B53">
        <w:rPr>
          <w:color w:val="242121"/>
          <w:sz w:val="22"/>
          <w:szCs w:val="22"/>
          <w:shd w:val="clear" w:color="auto" w:fill="FFFFFF"/>
        </w:rPr>
        <w:t>The onus was clearly on the respondent to establish this defence. He could not succeed if he could not prove both the date of the inception and the date of completion of the period of prescription.</w:t>
      </w:r>
      <w:r w:rsidR="00D76090" w:rsidRPr="00E53B53">
        <w:rPr>
          <w:color w:val="242121"/>
          <w:sz w:val="22"/>
          <w:szCs w:val="22"/>
          <w:shd w:val="clear" w:color="auto" w:fill="FFFFFF"/>
        </w:rPr>
        <w:t xml:space="preserve"> </w:t>
      </w:r>
      <w:r w:rsidRPr="00E53B53">
        <w:rPr>
          <w:color w:val="242121"/>
          <w:sz w:val="22"/>
          <w:szCs w:val="22"/>
          <w:shd w:val="clear" w:color="auto" w:fill="FFFFFF"/>
        </w:rPr>
        <w:t xml:space="preserve">. . . It follows that if the debtor is to succeed in proving </w:t>
      </w:r>
      <w:r w:rsidR="00F6035D" w:rsidRPr="00E53B53">
        <w:rPr>
          <w:color w:val="242121"/>
          <w:sz w:val="22"/>
          <w:szCs w:val="22"/>
          <w:shd w:val="clear" w:color="auto" w:fill="FFFFFF"/>
        </w:rPr>
        <w:t xml:space="preserve">the date on which prescription begins to run he must allege and prove that the creditor had the requisite knowledge on that date’. </w:t>
      </w:r>
    </w:p>
    <w:p w:rsidR="00F6035D" w:rsidRPr="00E53B53" w:rsidRDefault="00F6035D" w:rsidP="000D1E33">
      <w:pPr>
        <w:rPr>
          <w:color w:val="242121"/>
          <w:sz w:val="22"/>
          <w:szCs w:val="22"/>
          <w:shd w:val="clear" w:color="auto" w:fill="FFFFFF"/>
        </w:rPr>
      </w:pPr>
    </w:p>
    <w:p w:rsidR="005B042D" w:rsidRPr="00E53B53" w:rsidRDefault="00F72D82" w:rsidP="005B042D">
      <w:r w:rsidRPr="00E53B53">
        <w:t>[</w:t>
      </w:r>
      <w:r w:rsidR="00F21A2D" w:rsidRPr="00E53B53">
        <w:t>14</w:t>
      </w:r>
      <w:r w:rsidRPr="00E53B53">
        <w:t>]</w:t>
      </w:r>
      <w:r w:rsidRPr="00E53B53">
        <w:tab/>
      </w:r>
      <w:r w:rsidR="00165915" w:rsidRPr="00E53B53">
        <w:t>T</w:t>
      </w:r>
      <w:r w:rsidR="00F6035D" w:rsidRPr="00E53B53">
        <w:t xml:space="preserve">he summons was issued on 19 January 2018 and the municipality </w:t>
      </w:r>
      <w:r w:rsidR="00165915" w:rsidRPr="00E53B53">
        <w:t>accepted for purposes of argument that it was served on that date.</w:t>
      </w:r>
      <w:r w:rsidR="00F6035D" w:rsidRPr="00E53B53">
        <w:t xml:space="preserve"> </w:t>
      </w:r>
      <w:r w:rsidR="00165915" w:rsidRPr="00E53B53">
        <w:t>In this Court</w:t>
      </w:r>
      <w:r w:rsidR="00304493" w:rsidRPr="00E53B53">
        <w:t>,</w:t>
      </w:r>
      <w:r w:rsidR="00165915" w:rsidRPr="00E53B53">
        <w:t xml:space="preserve"> the municipality argued th</w:t>
      </w:r>
      <w:r w:rsidR="003D70A7" w:rsidRPr="00E53B53">
        <w:t xml:space="preserve">at the debt became due on a </w:t>
      </w:r>
      <w:r w:rsidR="00304493" w:rsidRPr="00E53B53">
        <w:t>month-to-month</w:t>
      </w:r>
      <w:r w:rsidR="003D70A7" w:rsidRPr="00E53B53">
        <w:t xml:space="preserve"> basis from</w:t>
      </w:r>
      <w:r w:rsidR="008B3998" w:rsidRPr="00E53B53">
        <w:t xml:space="preserve"> </w:t>
      </w:r>
      <w:r w:rsidR="003D70A7" w:rsidRPr="00E53B53">
        <w:t xml:space="preserve">the end of November 2014. </w:t>
      </w:r>
      <w:r w:rsidR="00F6035D" w:rsidRPr="00E53B53">
        <w:t xml:space="preserve">Therefore, </w:t>
      </w:r>
      <w:r w:rsidR="008B3998" w:rsidRPr="00E53B53">
        <w:t>so it contended,</w:t>
      </w:r>
      <w:r w:rsidR="00F6035D" w:rsidRPr="00E53B53">
        <w:t xml:space="preserve"> the portion of Bravospan</w:t>
      </w:r>
      <w:r w:rsidR="00D76090" w:rsidRPr="00E53B53">
        <w:t>’s claim</w:t>
      </w:r>
      <w:r w:rsidR="00F6035D" w:rsidRPr="00E53B53">
        <w:t xml:space="preserve"> that arose before 19 </w:t>
      </w:r>
      <w:r w:rsidR="0046430A" w:rsidRPr="00E53B53">
        <w:t>January</w:t>
      </w:r>
      <w:r w:rsidR="00F6035D" w:rsidRPr="00E53B53">
        <w:t xml:space="preserve"> 201</w:t>
      </w:r>
      <w:r w:rsidR="0046430A" w:rsidRPr="00E53B53">
        <w:t>5</w:t>
      </w:r>
      <w:r w:rsidR="003D70A7" w:rsidRPr="00E53B53">
        <w:t xml:space="preserve"> </w:t>
      </w:r>
      <w:r w:rsidR="00DA4366" w:rsidRPr="00E53B53">
        <w:t>(</w:t>
      </w:r>
      <w:r w:rsidR="00466CE9" w:rsidRPr="00E53B53">
        <w:t xml:space="preserve">for </w:t>
      </w:r>
      <w:r w:rsidR="003D70A7" w:rsidRPr="00E53B53">
        <w:t>services rendered during November and December 2014)</w:t>
      </w:r>
      <w:r w:rsidR="0046430A" w:rsidRPr="00E53B53">
        <w:t xml:space="preserve"> </w:t>
      </w:r>
      <w:r w:rsidR="00D76090" w:rsidRPr="00E53B53">
        <w:t xml:space="preserve">had </w:t>
      </w:r>
      <w:r w:rsidR="0046430A" w:rsidRPr="00E53B53">
        <w:t xml:space="preserve">prescribed. </w:t>
      </w:r>
      <w:r w:rsidR="00304493" w:rsidRPr="00E53B53">
        <w:t>However,</w:t>
      </w:r>
      <w:r w:rsidR="008B3998" w:rsidRPr="00E53B53">
        <w:t xml:space="preserve"> that was not what it pleaded. It pleaded that prescription had commenced on 9 February 2015, being the date on which the application to invalidate the </w:t>
      </w:r>
      <w:r w:rsidR="008B3998" w:rsidRPr="00E53B53">
        <w:lastRenderedPageBreak/>
        <w:t xml:space="preserve">extension agreement had been launched. </w:t>
      </w:r>
      <w:r w:rsidR="006A5CBE" w:rsidRPr="00E53B53">
        <w:t>At the hearing b</w:t>
      </w:r>
      <w:r w:rsidR="005B042D" w:rsidRPr="00E53B53">
        <w:t xml:space="preserve">efore </w:t>
      </w:r>
      <w:r w:rsidR="003949FD" w:rsidRPr="00E53B53">
        <w:t>this Court</w:t>
      </w:r>
      <w:r w:rsidR="005B042D" w:rsidRPr="00E53B53">
        <w:t xml:space="preserve">, the </w:t>
      </w:r>
      <w:r w:rsidR="00900A68" w:rsidRPr="00E53B53">
        <w:t>municipality</w:t>
      </w:r>
      <w:r w:rsidR="008B3998" w:rsidRPr="00E53B53">
        <w:t xml:space="preserve"> correctly</w:t>
      </w:r>
      <w:r w:rsidR="00900A68" w:rsidRPr="00E53B53">
        <w:t xml:space="preserve"> </w:t>
      </w:r>
      <w:r w:rsidR="005B042D" w:rsidRPr="00E53B53">
        <w:t xml:space="preserve">conceded that it failed to prove </w:t>
      </w:r>
      <w:r w:rsidR="008B3998" w:rsidRPr="00E53B53">
        <w:t>that prescrip</w:t>
      </w:r>
      <w:r w:rsidR="005B042D" w:rsidRPr="00E53B53">
        <w:t>t</w:t>
      </w:r>
      <w:r w:rsidR="008B3998" w:rsidRPr="00E53B53">
        <w:t>ion had commenced on that</w:t>
      </w:r>
      <w:r w:rsidR="005B042D" w:rsidRPr="00E53B53">
        <w:t xml:space="preserve"> date</w:t>
      </w:r>
      <w:r w:rsidR="008B3998" w:rsidRPr="00E53B53">
        <w:t>. On the principles that I have referred to</w:t>
      </w:r>
      <w:r w:rsidR="007D1DF5" w:rsidRPr="00E53B53">
        <w:t>,</w:t>
      </w:r>
      <w:r w:rsidR="008B3998" w:rsidRPr="00E53B53">
        <w:t xml:space="preserve"> the municipality could not be</w:t>
      </w:r>
      <w:r w:rsidR="00E53B53" w:rsidRPr="00E53B53">
        <w:t xml:space="preserve"> </w:t>
      </w:r>
      <w:r w:rsidR="008B3998" w:rsidRPr="00E53B53">
        <w:t>permitted</w:t>
      </w:r>
      <w:r w:rsidR="003D70A7" w:rsidRPr="00E53B53">
        <w:t xml:space="preserve"> to advance a different case on appeal. The altern</w:t>
      </w:r>
      <w:r w:rsidR="007D1DF5" w:rsidRPr="00E53B53">
        <w:t>a</w:t>
      </w:r>
      <w:r w:rsidR="003D70A7" w:rsidRPr="00E53B53">
        <w:t>tive reliance on prescription of a (small)</w:t>
      </w:r>
      <w:r w:rsidR="007D1DF5" w:rsidRPr="00E53B53">
        <w:t xml:space="preserve"> part of the debt</w:t>
      </w:r>
      <w:r w:rsidR="003D70A7" w:rsidRPr="00E53B53">
        <w:t xml:space="preserve"> therefore had to fail.</w:t>
      </w:r>
      <w:r w:rsidR="005B042D" w:rsidRPr="00E53B53">
        <w:t xml:space="preserve"> </w:t>
      </w:r>
    </w:p>
    <w:p w:rsidR="00466CE9" w:rsidRPr="00E53B53" w:rsidRDefault="00466CE9" w:rsidP="005B042D"/>
    <w:p w:rsidR="00466CE9" w:rsidRPr="00E53B53" w:rsidRDefault="00466CE9" w:rsidP="00466CE9">
      <w:r w:rsidRPr="00E53B53">
        <w:t>[15]</w:t>
      </w:r>
      <w:r w:rsidRPr="00E53B53">
        <w:tab/>
        <w:t xml:space="preserve">This, however, is not the end of the matter. South Africa is yet to recognise a general claim for unjustified enrichment. In </w:t>
      </w:r>
      <w:r w:rsidRPr="00E53B53">
        <w:rPr>
          <w:i/>
        </w:rPr>
        <w:t>Nortje en ‘n Ander v Pool, NO,</w:t>
      </w:r>
      <w:r w:rsidRPr="00E53B53">
        <w:rPr>
          <w:rStyle w:val="FootnoteReference"/>
        </w:rPr>
        <w:footnoteReference w:id="8"/>
      </w:r>
      <w:r w:rsidRPr="00E53B53">
        <w:rPr>
          <w:i/>
        </w:rPr>
        <w:t xml:space="preserve"> </w:t>
      </w:r>
      <w:r w:rsidRPr="00E53B53">
        <w:t>Botha JA, writing on behalf of the majority, held that ‘there is nowhere in what we have shown an express recognition of the existence in our law of a general enrichment action.’</w:t>
      </w:r>
      <w:r w:rsidRPr="00E53B53">
        <w:rPr>
          <w:rStyle w:val="FootnoteReference"/>
        </w:rPr>
        <w:footnoteReference w:id="9"/>
      </w:r>
      <w:r w:rsidRPr="00E53B53">
        <w:t xml:space="preserve"> The judgment of Botha JA is described as having delivered the final deathblow to a general unjustified enrichment action in South Africa. However, Botha JA did note that there might be instances where an unjustified enrichment claim may be available to a party in order to counteract unfairness and to come to the rescue of an impoverished person.</w:t>
      </w:r>
      <w:r w:rsidRPr="00E53B53">
        <w:rPr>
          <w:rStyle w:val="FootnoteReference"/>
        </w:rPr>
        <w:footnoteReference w:id="10"/>
      </w:r>
      <w:r w:rsidRPr="00E53B53">
        <w:t xml:space="preserve"> More than 30 years after </w:t>
      </w:r>
      <w:r w:rsidRPr="00E53B53">
        <w:rPr>
          <w:i/>
        </w:rPr>
        <w:t>Nortje</w:t>
      </w:r>
      <w:r w:rsidRPr="00E53B53">
        <w:t xml:space="preserve">, this Court in </w:t>
      </w:r>
      <w:r w:rsidRPr="00E53B53">
        <w:rPr>
          <w:i/>
        </w:rPr>
        <w:t>McCarthy Retail Ltd</w:t>
      </w:r>
      <w:r w:rsidRPr="00E53B53">
        <w:rPr>
          <w:lang w:val="en-ZA" w:eastAsia="en-ZA"/>
        </w:rPr>
        <w:t xml:space="preserve"> </w:t>
      </w:r>
      <w:r w:rsidRPr="00E53B53">
        <w:rPr>
          <w:i/>
          <w:lang w:val="en-ZA" w:eastAsia="en-ZA"/>
        </w:rPr>
        <w:t>v Shortdistance Carriers CC,</w:t>
      </w:r>
      <w:r w:rsidRPr="00E53B53">
        <w:rPr>
          <w:rStyle w:val="FootnoteReference"/>
          <w:lang w:val="en-ZA" w:eastAsia="en-ZA"/>
        </w:rPr>
        <w:footnoteReference w:id="11"/>
      </w:r>
      <w:r w:rsidRPr="00E53B53">
        <w:rPr>
          <w:i/>
          <w:lang w:val="en-ZA" w:eastAsia="en-ZA"/>
        </w:rPr>
        <w:t xml:space="preserve"> </w:t>
      </w:r>
      <w:r w:rsidRPr="00E53B53">
        <w:t xml:space="preserve">reiterated that our law had yet to recognise a general enrichment action. The court explained that this non-recognition stems from the fact that the Roman law also did not make provision for a general enrichment action. Makgoba DJP’s order granting Bravospan’s claim for unjust enrichment was therefore not sustainable in law. </w:t>
      </w:r>
    </w:p>
    <w:p w:rsidR="00497179" w:rsidRPr="00E53B53" w:rsidRDefault="00497179" w:rsidP="005B042D"/>
    <w:p w:rsidR="00926369" w:rsidRPr="00E53B53" w:rsidRDefault="005B042D" w:rsidP="003714EC">
      <w:pPr>
        <w:autoSpaceDE w:val="0"/>
        <w:autoSpaceDN w:val="0"/>
        <w:adjustRightInd w:val="0"/>
      </w:pPr>
      <w:r w:rsidRPr="00E53B53">
        <w:rPr>
          <w:b/>
        </w:rPr>
        <w:t xml:space="preserve">Section 172 of the Constitution </w:t>
      </w:r>
      <w:r w:rsidR="00D520E2" w:rsidRPr="00E53B53">
        <w:rPr>
          <w:b/>
        </w:rPr>
        <w:t>- appropriate</w:t>
      </w:r>
      <w:r w:rsidR="006A5CBE" w:rsidRPr="00E53B53">
        <w:rPr>
          <w:b/>
        </w:rPr>
        <w:t xml:space="preserve"> remedy</w:t>
      </w:r>
    </w:p>
    <w:p w:rsidR="007449AC" w:rsidRPr="00E53B53" w:rsidRDefault="00926369" w:rsidP="009F4303">
      <w:r w:rsidRPr="00E53B53">
        <w:t>[</w:t>
      </w:r>
      <w:r w:rsidR="00F21A2D" w:rsidRPr="00E53B53">
        <w:t>16</w:t>
      </w:r>
      <w:r w:rsidRPr="00E53B53">
        <w:t>]</w:t>
      </w:r>
      <w:r w:rsidR="00072BCD" w:rsidRPr="00E53B53">
        <w:tab/>
      </w:r>
      <w:r w:rsidRPr="00E53B53">
        <w:t xml:space="preserve">On the facts, however, it </w:t>
      </w:r>
      <w:r w:rsidR="000A03E4" w:rsidRPr="00E53B53">
        <w:t xml:space="preserve">would be manifestly unjust for </w:t>
      </w:r>
      <w:r w:rsidRPr="00E53B53">
        <w:t xml:space="preserve">Bravospan </w:t>
      </w:r>
      <w:r w:rsidR="000A03E4" w:rsidRPr="00E53B53">
        <w:t>to be afforded no compensation</w:t>
      </w:r>
      <w:r w:rsidRPr="00E53B53">
        <w:t xml:space="preserve"> for the services that it had rendered</w:t>
      </w:r>
      <w:r w:rsidR="000A03E4" w:rsidRPr="00E53B53">
        <w:t xml:space="preserve"> to the municipality. </w:t>
      </w:r>
      <w:r w:rsidR="00A7530C" w:rsidRPr="00E53B53">
        <w:t>For the reasons that follow, Bravospan should in the exceptional</w:t>
      </w:r>
      <w:r w:rsidRPr="00E53B53">
        <w:t xml:space="preserve"> </w:t>
      </w:r>
      <w:r w:rsidR="00A7530C" w:rsidRPr="00E53B53">
        <w:t>circumstances of this case be afforded compensation</w:t>
      </w:r>
      <w:r w:rsidR="00220DD0" w:rsidRPr="00E53B53">
        <w:t xml:space="preserve"> for the services rendered under the extension agreement</w:t>
      </w:r>
      <w:r w:rsidR="00A7530C" w:rsidRPr="00E53B53">
        <w:t xml:space="preserve"> as a just and equitable remedy under</w:t>
      </w:r>
      <w:r w:rsidR="0046430A" w:rsidRPr="00E53B53">
        <w:t xml:space="preserve"> s 172(1)</w:t>
      </w:r>
      <w:r w:rsidR="0046430A" w:rsidRPr="00E53B53">
        <w:rPr>
          <w:i/>
        </w:rPr>
        <w:t xml:space="preserve">(b) </w:t>
      </w:r>
      <w:r w:rsidR="0046430A" w:rsidRPr="00E53B53">
        <w:t xml:space="preserve">of the Constitution. </w:t>
      </w:r>
    </w:p>
    <w:p w:rsidR="00220DD0" w:rsidRPr="00E53B53" w:rsidRDefault="007449AC" w:rsidP="00220DD0">
      <w:r w:rsidRPr="00E53B53">
        <w:lastRenderedPageBreak/>
        <w:t>[</w:t>
      </w:r>
      <w:r w:rsidR="00F21A2D" w:rsidRPr="00E53B53">
        <w:t>17</w:t>
      </w:r>
      <w:r w:rsidRPr="00E53B53">
        <w:t>]</w:t>
      </w:r>
      <w:r w:rsidRPr="00E53B53">
        <w:tab/>
      </w:r>
      <w:r w:rsidR="0046430A" w:rsidRPr="00E53B53">
        <w:t>Section 172(1)</w:t>
      </w:r>
      <w:r w:rsidR="0046430A" w:rsidRPr="00E53B53">
        <w:rPr>
          <w:i/>
          <w:iCs/>
        </w:rPr>
        <w:t>(a)</w:t>
      </w:r>
      <w:r w:rsidR="0046430A" w:rsidRPr="00E53B53">
        <w:t xml:space="preserve"> of the Constitution provides that when deciding a constitutional matter, a court must declare any law or act that is inconsistent with the Constitution invalid. Section 172(1)</w:t>
      </w:r>
      <w:r w:rsidR="0046430A" w:rsidRPr="00E53B53">
        <w:rPr>
          <w:i/>
          <w:iCs/>
        </w:rPr>
        <w:t>(b)</w:t>
      </w:r>
      <w:r w:rsidR="0046430A" w:rsidRPr="00E53B53">
        <w:t xml:space="preserve"> </w:t>
      </w:r>
      <w:r w:rsidR="0054471B" w:rsidRPr="00E53B53">
        <w:t xml:space="preserve">of the Constitution </w:t>
      </w:r>
      <w:r w:rsidR="0046430A" w:rsidRPr="00E53B53">
        <w:t xml:space="preserve">empowers the court, in respect of an order of invalidity, to make any order that is just and equitable. In </w:t>
      </w:r>
      <w:r w:rsidR="0046430A" w:rsidRPr="00E53B53">
        <w:rPr>
          <w:i/>
        </w:rPr>
        <w:t>Central Energy Fund SOC Ltd and Another v Venus Rays Trade (Pty) Ltd and Others,</w:t>
      </w:r>
      <w:r w:rsidR="0046430A" w:rsidRPr="00E53B53">
        <w:rPr>
          <w:rStyle w:val="FootnoteReference"/>
        </w:rPr>
        <w:footnoteReference w:id="12"/>
      </w:r>
      <w:r w:rsidR="0046430A" w:rsidRPr="00E53B53">
        <w:rPr>
          <w:i/>
        </w:rPr>
        <w:t xml:space="preserve"> </w:t>
      </w:r>
      <w:r w:rsidR="0046430A" w:rsidRPr="00E53B53">
        <w:t>this Court held that the power to grant an appropriate remedy applies in review proceedings, whether under the principle of legality or in terms of the provisions of Promotion of Administrative Justice Act 3 of 2000 (PAJA).</w:t>
      </w:r>
      <w:r w:rsidR="0046430A" w:rsidRPr="00E53B53">
        <w:rPr>
          <w:rStyle w:val="FootnoteReference"/>
        </w:rPr>
        <w:footnoteReference w:id="13"/>
      </w:r>
      <w:r w:rsidR="0046430A" w:rsidRPr="00E53B53">
        <w:t xml:space="preserve"> This is a wide discretionary power granted to the court to make </w:t>
      </w:r>
      <w:r w:rsidR="0046430A" w:rsidRPr="00E53B53">
        <w:rPr>
          <w:i/>
          <w:iCs/>
        </w:rPr>
        <w:t xml:space="preserve">any </w:t>
      </w:r>
      <w:r w:rsidR="0046430A" w:rsidRPr="00E53B53">
        <w:t>order.</w:t>
      </w:r>
      <w:r w:rsidR="0046430A" w:rsidRPr="00E53B53">
        <w:rPr>
          <w:rStyle w:val="FootnoteReference"/>
        </w:rPr>
        <w:footnoteReference w:id="14"/>
      </w:r>
      <w:r w:rsidR="0046430A" w:rsidRPr="00E53B53">
        <w:t xml:space="preserve"> </w:t>
      </w:r>
      <w:r w:rsidR="00220DD0" w:rsidRPr="00E53B53">
        <w:t xml:space="preserve">In </w:t>
      </w:r>
      <w:r w:rsidR="00220DD0" w:rsidRPr="00E53B53">
        <w:rPr>
          <w:i/>
        </w:rPr>
        <w:t xml:space="preserve">Bengwenyama Minerals (Pty) Ltd and Others v Genorah Resources (Pty) Ltd and Others, </w:t>
      </w:r>
      <w:r w:rsidR="00220DD0" w:rsidRPr="00E53B53">
        <w:t>Froneman J held that this discretionary power follows upon an order of invalidity in terms of PAJA or the principle of legality.</w:t>
      </w:r>
      <w:r w:rsidR="00220DD0" w:rsidRPr="00E53B53">
        <w:rPr>
          <w:rStyle w:val="FootnoteReference"/>
        </w:rPr>
        <w:footnoteReference w:id="15"/>
      </w:r>
      <w:r w:rsidR="00220DD0" w:rsidRPr="00E53B53">
        <w:t xml:space="preserve"> It is normally triggered under circumstances where parties have altered their position on the basis that the administrative action was valid and would be prejudiced if the administrative action is set aside.</w:t>
      </w:r>
      <w:r w:rsidR="00220DD0" w:rsidRPr="00E53B53">
        <w:rPr>
          <w:rStyle w:val="FootnoteReference"/>
        </w:rPr>
        <w:footnoteReference w:id="16"/>
      </w:r>
      <w:r w:rsidR="00220DD0" w:rsidRPr="00E53B53">
        <w:t xml:space="preserve"> This power must be exercised judicially; the court must be convinced to either exercise its discretion to grant a remedy or to refuse it. </w:t>
      </w:r>
    </w:p>
    <w:p w:rsidR="00F21A2D" w:rsidRPr="00E53B53" w:rsidRDefault="00F21A2D" w:rsidP="00F21A2D">
      <w:pPr>
        <w:contextualSpacing/>
        <w:mirrorIndents/>
      </w:pPr>
    </w:p>
    <w:p w:rsidR="00062041" w:rsidRPr="00E53B53" w:rsidRDefault="0046430A" w:rsidP="00F21A2D">
      <w:pPr>
        <w:contextualSpacing/>
        <w:mirrorIndents/>
      </w:pPr>
      <w:r w:rsidRPr="00E53B53">
        <w:t>[</w:t>
      </w:r>
      <w:r w:rsidR="00F21A2D" w:rsidRPr="00E53B53">
        <w:t>18</w:t>
      </w:r>
      <w:r w:rsidRPr="00E53B53">
        <w:t>]</w:t>
      </w:r>
      <w:r w:rsidRPr="00E53B53">
        <w:tab/>
      </w:r>
      <w:r w:rsidR="00062041" w:rsidRPr="00E53B53">
        <w:t xml:space="preserve">In </w:t>
      </w:r>
      <w:r w:rsidR="00062041" w:rsidRPr="00E53B53">
        <w:rPr>
          <w:i/>
        </w:rPr>
        <w:t>Steenkamp N</w:t>
      </w:r>
      <w:r w:rsidR="007449AC" w:rsidRPr="00E53B53">
        <w:rPr>
          <w:i/>
        </w:rPr>
        <w:t xml:space="preserve"> </w:t>
      </w:r>
      <w:r w:rsidR="00062041" w:rsidRPr="00E53B53">
        <w:rPr>
          <w:i/>
        </w:rPr>
        <w:t xml:space="preserve">O v Provincial Tender Board, Eastern Cape, </w:t>
      </w:r>
      <w:r w:rsidR="00062041" w:rsidRPr="00E53B53">
        <w:t xml:space="preserve">Moseneke </w:t>
      </w:r>
      <w:r w:rsidR="004F479E" w:rsidRPr="00E53B53">
        <w:t>DC</w:t>
      </w:r>
      <w:r w:rsidR="00062041" w:rsidRPr="00E53B53">
        <w:t xml:space="preserve">J held: </w:t>
      </w:r>
    </w:p>
    <w:p w:rsidR="00062041" w:rsidRPr="00E53B53" w:rsidRDefault="00062041" w:rsidP="00062041">
      <w:pPr>
        <w:rPr>
          <w:sz w:val="22"/>
          <w:szCs w:val="22"/>
        </w:rPr>
      </w:pPr>
      <w:r w:rsidRPr="00E53B53">
        <w:t>‘</w:t>
      </w:r>
      <w:r w:rsidRPr="00E53B53">
        <w:rPr>
          <w:sz w:val="22"/>
          <w:szCs w:val="22"/>
        </w:rPr>
        <w:t xml:space="preserve">It goes without saying that </w:t>
      </w:r>
      <w:r w:rsidRPr="00E53B53">
        <w:rPr>
          <w:i/>
          <w:sz w:val="22"/>
          <w:szCs w:val="22"/>
        </w:rPr>
        <w:t>every improper performance of an administrative function would implicate the Constitution and entitle the aggrieved party to appropriate relief.</w:t>
      </w:r>
      <w:r w:rsidRPr="00E53B53">
        <w:rPr>
          <w:sz w:val="22"/>
          <w:szCs w:val="22"/>
        </w:rPr>
        <w:t xml:space="preserve"> In each case the remedy must fit the injury. The remedy must be fair to those affected by it and yet vindicate effectively the right violated. It must be just and equitable in the light of the facts, the implicated constitutional principles, if any, and the controlling law. </w:t>
      </w:r>
      <w:r w:rsidRPr="00E53B53">
        <w:rPr>
          <w:i/>
          <w:sz w:val="22"/>
          <w:szCs w:val="22"/>
        </w:rPr>
        <w:t>It is nonetheless appropriate to note that ordinarily a breach of administrative justice attracts public law remedies and not private law remedies.</w:t>
      </w:r>
      <w:r w:rsidRPr="00E53B53">
        <w:rPr>
          <w:sz w:val="22"/>
          <w:szCs w:val="22"/>
        </w:rPr>
        <w:t xml:space="preserve"> The purpose of a public law remedy is to pre-empt or correct or reverse an improper administrative function. . . Ultimately the purpose of a public remedy is to afford the prejudiced </w:t>
      </w:r>
      <w:r w:rsidRPr="00E53B53">
        <w:rPr>
          <w:sz w:val="22"/>
          <w:szCs w:val="22"/>
        </w:rPr>
        <w:lastRenderedPageBreak/>
        <w:t>party administrative justice, to advance efficient and effective public administration compelled by constitutional precepts and at a broader level, to entrench the rule of law.’</w:t>
      </w:r>
      <w:r w:rsidRPr="00E53B53">
        <w:rPr>
          <w:rStyle w:val="FootnoteReference"/>
          <w:sz w:val="22"/>
          <w:szCs w:val="22"/>
        </w:rPr>
        <w:footnoteReference w:id="17"/>
      </w:r>
      <w:r w:rsidRPr="00E53B53">
        <w:rPr>
          <w:sz w:val="22"/>
          <w:szCs w:val="22"/>
        </w:rPr>
        <w:t xml:space="preserve"> (My emphasis</w:t>
      </w:r>
      <w:r w:rsidR="007449AC" w:rsidRPr="00E53B53">
        <w:rPr>
          <w:sz w:val="22"/>
          <w:szCs w:val="22"/>
        </w:rPr>
        <w:t>.</w:t>
      </w:r>
      <w:r w:rsidRPr="00E53B53">
        <w:rPr>
          <w:sz w:val="22"/>
          <w:szCs w:val="22"/>
        </w:rPr>
        <w:t>)</w:t>
      </w:r>
    </w:p>
    <w:p w:rsidR="00220DD0" w:rsidRPr="00E53B53" w:rsidRDefault="00220DD0" w:rsidP="00062041">
      <w:pPr>
        <w:rPr>
          <w:sz w:val="22"/>
          <w:szCs w:val="22"/>
        </w:rPr>
      </w:pPr>
    </w:p>
    <w:p w:rsidR="00220DD0" w:rsidRPr="00E53B53" w:rsidRDefault="00220DD0" w:rsidP="00220DD0">
      <w:r w:rsidRPr="00E53B53">
        <w:t>[</w:t>
      </w:r>
      <w:r w:rsidR="00F21A2D" w:rsidRPr="00E53B53">
        <w:t>19]</w:t>
      </w:r>
      <w:r w:rsidR="00F21A2D" w:rsidRPr="00E53B53">
        <w:tab/>
      </w:r>
      <w:r w:rsidRPr="00E53B53">
        <w:t xml:space="preserve">In </w:t>
      </w:r>
      <w:r w:rsidRPr="00E53B53">
        <w:rPr>
          <w:i/>
        </w:rPr>
        <w:t>Electoral Commission v Mhlope &amp; Others</w:t>
      </w:r>
      <w:r w:rsidRPr="00E53B53">
        <w:t xml:space="preserve"> the Constitutional</w:t>
      </w:r>
      <w:r w:rsidR="00C3470D" w:rsidRPr="00E53B53">
        <w:t xml:space="preserve"> Court</w:t>
      </w:r>
      <w:r w:rsidRPr="00E53B53">
        <w:t xml:space="preserve"> held:</w:t>
      </w:r>
    </w:p>
    <w:p w:rsidR="00220DD0" w:rsidRPr="00E53B53" w:rsidRDefault="00220DD0" w:rsidP="00220DD0">
      <w:pPr>
        <w:rPr>
          <w:sz w:val="22"/>
          <w:szCs w:val="22"/>
        </w:rPr>
      </w:pPr>
      <w:r w:rsidRPr="00E53B53">
        <w:t>‘</w:t>
      </w:r>
      <w:r w:rsidRPr="00E53B53">
        <w:rPr>
          <w:sz w:val="22"/>
          <w:szCs w:val="22"/>
        </w:rPr>
        <w:t>Section 172(1)</w:t>
      </w:r>
      <w:r w:rsidRPr="00E53B53">
        <w:rPr>
          <w:i/>
          <w:sz w:val="22"/>
          <w:szCs w:val="22"/>
        </w:rPr>
        <w:t>(b)</w:t>
      </w:r>
      <w:r w:rsidRPr="00E53B53">
        <w:rPr>
          <w:sz w:val="22"/>
          <w:szCs w:val="22"/>
        </w:rPr>
        <w:t xml:space="preserve"> clothes our courts with remedial powers so extensive that they ought to be able to craft an appropriate or just remedy, even for exceptional, complex or apparently irresoluble situations. And the operative words in the section are “any order that is just and equitable”. </w:t>
      </w:r>
      <w:r w:rsidRPr="00E53B53">
        <w:rPr>
          <w:i/>
          <w:sz w:val="22"/>
          <w:szCs w:val="22"/>
        </w:rPr>
        <w:t>This means that whatever considerations of justice and equity point to as the appropriate solution for a particular problem, may justifiably be used to remedy that problem.</w:t>
      </w:r>
      <w:r w:rsidRPr="00E53B53">
        <w:rPr>
          <w:sz w:val="22"/>
          <w:szCs w:val="22"/>
        </w:rPr>
        <w:t xml:space="preserve"> If justice and equity would best be served or advanced by that remedy, then it ought to prevail as a constitutionally sanctioned order contemplated in section 172(1)</w:t>
      </w:r>
      <w:r w:rsidRPr="00E53B53">
        <w:rPr>
          <w:i/>
          <w:sz w:val="22"/>
          <w:szCs w:val="22"/>
        </w:rPr>
        <w:t>(b).</w:t>
      </w:r>
      <w:r w:rsidRPr="00E53B53">
        <w:rPr>
          <w:sz w:val="22"/>
          <w:szCs w:val="22"/>
        </w:rPr>
        <w:t>’</w:t>
      </w:r>
      <w:r w:rsidRPr="00E53B53">
        <w:rPr>
          <w:rStyle w:val="FootnoteReference"/>
          <w:sz w:val="22"/>
          <w:szCs w:val="22"/>
        </w:rPr>
        <w:footnoteReference w:id="18"/>
      </w:r>
      <w:r w:rsidRPr="00E53B53">
        <w:rPr>
          <w:sz w:val="22"/>
          <w:szCs w:val="22"/>
        </w:rPr>
        <w:t xml:space="preserve"> (My emphasis.)</w:t>
      </w:r>
    </w:p>
    <w:p w:rsidR="006A5CBE" w:rsidRPr="00E53B53" w:rsidRDefault="006A5CBE" w:rsidP="00062041"/>
    <w:p w:rsidR="00062041" w:rsidRPr="00E53B53" w:rsidRDefault="00062041" w:rsidP="00062041">
      <w:pPr>
        <w:rPr>
          <w:iCs/>
        </w:rPr>
      </w:pPr>
      <w:r w:rsidRPr="00E53B53">
        <w:t>[</w:t>
      </w:r>
      <w:r w:rsidR="006631B2" w:rsidRPr="00E53B53">
        <w:t>2</w:t>
      </w:r>
      <w:r w:rsidR="00F21A2D" w:rsidRPr="00E53B53">
        <w:t>0</w:t>
      </w:r>
      <w:r w:rsidRPr="00E53B53">
        <w:t>]</w:t>
      </w:r>
      <w:r w:rsidRPr="00E53B53">
        <w:tab/>
        <w:t xml:space="preserve">In </w:t>
      </w:r>
      <w:r w:rsidRPr="00E53B53">
        <w:rPr>
          <w:i/>
          <w:iCs/>
        </w:rPr>
        <w:t xml:space="preserve">AllPay Consolidated Investment Holdings (Pty) Ltd and others v Chief Executive Officer of the South African Social Security Agency and others (Corruption Watch and another as amici curiae) (Allpay 2), </w:t>
      </w:r>
      <w:r w:rsidRPr="00E53B53">
        <w:rPr>
          <w:iCs/>
        </w:rPr>
        <w:t>the Constitutional Court developed two guiding principles to assist courts in crafting an appropriate remedy. These are the corrective and ‘no-profit-no-loss’ principle. It explained the corrective principle as thus:</w:t>
      </w:r>
    </w:p>
    <w:p w:rsidR="00062041" w:rsidRPr="00E53B53" w:rsidRDefault="00062041" w:rsidP="00062041">
      <w:pPr>
        <w:autoSpaceDE w:val="0"/>
        <w:autoSpaceDN w:val="0"/>
        <w:adjustRightInd w:val="0"/>
        <w:rPr>
          <w:iCs/>
          <w:sz w:val="22"/>
          <w:szCs w:val="22"/>
        </w:rPr>
      </w:pPr>
      <w:r w:rsidRPr="00E53B53">
        <w:rPr>
          <w:iCs/>
          <w:sz w:val="22"/>
          <w:szCs w:val="22"/>
        </w:rPr>
        <w:t>‘This corrective principle operates at different levels. First, it must be applied to correct the wrongs that led to the declaration of invalidity in the particular case. This must be done by having due regard to the constitutional principles governing public procurement, as well as the more specific purposes of the Agency Act. Second, in the context of public procurement matters generally, priority should be given to the public good. This means that the public interest must be assessed not only in relation to the immediate consequences of invalidity – in this case the setting aside of the contract between SASSA and Cash Paymaster – but also in relation to the effect of the order on future procurement and social security matters.’</w:t>
      </w:r>
      <w:r w:rsidRPr="00E53B53">
        <w:rPr>
          <w:rStyle w:val="FootnoteReference"/>
          <w:iCs/>
          <w:sz w:val="22"/>
          <w:szCs w:val="22"/>
        </w:rPr>
        <w:footnoteReference w:id="19"/>
      </w:r>
    </w:p>
    <w:p w:rsidR="00062041" w:rsidRPr="00E53B53" w:rsidRDefault="00062041" w:rsidP="00062041">
      <w:pPr>
        <w:autoSpaceDE w:val="0"/>
        <w:autoSpaceDN w:val="0"/>
        <w:adjustRightInd w:val="0"/>
        <w:rPr>
          <w:iCs/>
        </w:rPr>
      </w:pPr>
      <w:r w:rsidRPr="00E53B53">
        <w:rPr>
          <w:iCs/>
        </w:rPr>
        <w:t xml:space="preserve">In respect of the ‘no-profit-no-loss’ </w:t>
      </w:r>
      <w:r w:rsidR="00357A42" w:rsidRPr="00E53B53">
        <w:rPr>
          <w:iCs/>
        </w:rPr>
        <w:t>principle,</w:t>
      </w:r>
      <w:r w:rsidRPr="00E53B53">
        <w:rPr>
          <w:iCs/>
        </w:rPr>
        <w:t xml:space="preserve"> it held: </w:t>
      </w:r>
    </w:p>
    <w:p w:rsidR="00062041" w:rsidRPr="00E53B53" w:rsidRDefault="00062041" w:rsidP="00062041">
      <w:pPr>
        <w:autoSpaceDE w:val="0"/>
        <w:autoSpaceDN w:val="0"/>
        <w:adjustRightInd w:val="0"/>
        <w:rPr>
          <w:iCs/>
          <w:sz w:val="22"/>
          <w:szCs w:val="22"/>
        </w:rPr>
      </w:pPr>
      <w:r w:rsidRPr="00E53B53">
        <w:rPr>
          <w:iCs/>
          <w:sz w:val="22"/>
          <w:szCs w:val="22"/>
        </w:rPr>
        <w:lastRenderedPageBreak/>
        <w:t>‘It is true that any invalidation of the existing contract as a result of the invalid tender should not result in any loss to Cash Paymaster. The converse, however, is also true. It has no right to benefit from an unlawful contract.’</w:t>
      </w:r>
      <w:r w:rsidRPr="00E53B53">
        <w:rPr>
          <w:rStyle w:val="FootnoteReference"/>
          <w:iCs/>
          <w:sz w:val="22"/>
          <w:szCs w:val="22"/>
        </w:rPr>
        <w:footnoteReference w:id="20"/>
      </w:r>
    </w:p>
    <w:p w:rsidR="00062041" w:rsidRPr="00E53B53" w:rsidRDefault="00062041" w:rsidP="001F30A3"/>
    <w:p w:rsidR="00D520E2" w:rsidRPr="00E53B53" w:rsidRDefault="00D520E2" w:rsidP="00220DD0">
      <w:pPr>
        <w:rPr>
          <w:sz w:val="22"/>
          <w:szCs w:val="22"/>
        </w:rPr>
      </w:pPr>
      <w:r w:rsidRPr="00E53B53">
        <w:rPr>
          <w:iCs/>
        </w:rPr>
        <w:t>[</w:t>
      </w:r>
      <w:r w:rsidR="00F21A2D" w:rsidRPr="00E53B53">
        <w:rPr>
          <w:iCs/>
        </w:rPr>
        <w:t>21</w:t>
      </w:r>
      <w:r w:rsidRPr="00E53B53">
        <w:rPr>
          <w:iCs/>
        </w:rPr>
        <w:t>]</w:t>
      </w:r>
      <w:r w:rsidRPr="00E53B53">
        <w:rPr>
          <w:iCs/>
        </w:rPr>
        <w:tab/>
      </w:r>
      <w:r w:rsidRPr="00E53B53">
        <w:t xml:space="preserve">The effect </w:t>
      </w:r>
      <w:r w:rsidR="003F0E03" w:rsidRPr="00E53B53">
        <w:t xml:space="preserve">of </w:t>
      </w:r>
      <w:r w:rsidRPr="00E53B53">
        <w:t xml:space="preserve">Mokgohloa DJP’s order was to declare the extension agreement </w:t>
      </w:r>
      <w:r w:rsidR="00E104FB" w:rsidRPr="00E53B53">
        <w:t>unconstitutional under s 172(1)</w:t>
      </w:r>
      <w:r w:rsidR="00E104FB" w:rsidRPr="00E53B53">
        <w:rPr>
          <w:i/>
        </w:rPr>
        <w:t>(a)</w:t>
      </w:r>
      <w:r w:rsidR="00E104FB" w:rsidRPr="00E53B53">
        <w:t xml:space="preserve"> of the Constitution</w:t>
      </w:r>
      <w:r w:rsidR="007171EA" w:rsidRPr="00E53B53">
        <w:t xml:space="preserve"> because proper procurement processes had not been followed in respect thereof. That court was not called upon to determine a just and equitable remedy under s</w:t>
      </w:r>
      <w:r w:rsidR="00F21A2D" w:rsidRPr="00E53B53">
        <w:t xml:space="preserve"> </w:t>
      </w:r>
      <w:r w:rsidR="007171EA" w:rsidRPr="00E53B53">
        <w:t>172(1)</w:t>
      </w:r>
      <w:r w:rsidR="007171EA" w:rsidRPr="00E53B53">
        <w:rPr>
          <w:i/>
        </w:rPr>
        <w:t>(b)</w:t>
      </w:r>
      <w:r w:rsidR="007171EA" w:rsidRPr="00E53B53">
        <w:t>.</w:t>
      </w:r>
      <w:r w:rsidR="00177062" w:rsidRPr="00E53B53">
        <w:t xml:space="preserve"> Ordinarily a declaration of unconstitutionality and</w:t>
      </w:r>
      <w:r w:rsidR="009907B6" w:rsidRPr="00E53B53">
        <w:t xml:space="preserve"> a</w:t>
      </w:r>
      <w:r w:rsidR="00177062" w:rsidRPr="00E53B53">
        <w:t xml:space="preserve"> just and equitable remedy would be claimed in the same proceedings, but</w:t>
      </w:r>
      <w:r w:rsidR="007171EA" w:rsidRPr="00E53B53">
        <w:t xml:space="preserve"> I can see no reason in principle why relief under s 172(1)</w:t>
      </w:r>
      <w:r w:rsidR="007171EA" w:rsidRPr="00E53B53">
        <w:rPr>
          <w:i/>
        </w:rPr>
        <w:t>(a)</w:t>
      </w:r>
      <w:r w:rsidR="007171EA" w:rsidRPr="00E53B53">
        <w:t xml:space="preserve"> and s 172(1)</w:t>
      </w:r>
      <w:r w:rsidR="007171EA" w:rsidRPr="00E53B53">
        <w:rPr>
          <w:i/>
        </w:rPr>
        <w:t>(b)</w:t>
      </w:r>
      <w:r w:rsidR="007171EA" w:rsidRPr="00E53B53">
        <w:t xml:space="preserve"> may not be claimed in separate consecutive legal proceedings. One can, for example, envisage a case where a declaration of unconstitutionality may be obtained on motion</w:t>
      </w:r>
      <w:r w:rsidR="002E3E50" w:rsidRPr="00E53B53">
        <w:t xml:space="preserve"> because of the absence of factual disputes in respect thereof</w:t>
      </w:r>
      <w:r w:rsidR="007171EA" w:rsidRPr="00E53B53">
        <w:t>,</w:t>
      </w:r>
      <w:r w:rsidR="002E3E50" w:rsidRPr="00E53B53">
        <w:t xml:space="preserve"> </w:t>
      </w:r>
      <w:r w:rsidR="007171EA" w:rsidRPr="00E53B53">
        <w:t>but where the nature of the disputes in respect of remedy would re</w:t>
      </w:r>
      <w:r w:rsidR="002E3E50" w:rsidRPr="00E53B53">
        <w:t>quire their determination at a</w:t>
      </w:r>
      <w:r w:rsidR="00177062" w:rsidRPr="00E53B53">
        <w:t xml:space="preserve"> </w:t>
      </w:r>
      <w:r w:rsidR="002E3E50" w:rsidRPr="00E53B53">
        <w:t>trial. Counsel for the municipality conceded that all the facts relevant to whether Bravospan should in principle be compensated under s 172(1)</w:t>
      </w:r>
      <w:r w:rsidR="002E3E50" w:rsidRPr="00E53B53">
        <w:rPr>
          <w:i/>
        </w:rPr>
        <w:t>(b)</w:t>
      </w:r>
      <w:r w:rsidR="002E3E50" w:rsidRPr="00E53B53">
        <w:t xml:space="preserve"> are before us and that the municipality would not be prejudiced by an order refer</w:t>
      </w:r>
      <w:r w:rsidR="00177062" w:rsidRPr="00E53B53">
        <w:t>ring the matter back to the court a quo for the determination of the quantum of just and equitable compensation.</w:t>
      </w:r>
    </w:p>
    <w:p w:rsidR="00D520E2" w:rsidRPr="00E53B53" w:rsidRDefault="00D520E2" w:rsidP="00807075">
      <w:pPr>
        <w:rPr>
          <w:iCs/>
        </w:rPr>
      </w:pPr>
    </w:p>
    <w:p w:rsidR="004457AC" w:rsidRPr="00E53B53" w:rsidRDefault="00807075" w:rsidP="00807075">
      <w:r w:rsidRPr="00E53B53">
        <w:rPr>
          <w:iCs/>
        </w:rPr>
        <w:t>[</w:t>
      </w:r>
      <w:r w:rsidR="00F21A2D" w:rsidRPr="00E53B53">
        <w:rPr>
          <w:iCs/>
        </w:rPr>
        <w:t>22</w:t>
      </w:r>
      <w:r w:rsidRPr="00E53B53">
        <w:rPr>
          <w:iCs/>
        </w:rPr>
        <w:t>]</w:t>
      </w:r>
      <w:r w:rsidR="00C3470D" w:rsidRPr="00E53B53">
        <w:rPr>
          <w:iCs/>
        </w:rPr>
        <w:tab/>
      </w:r>
      <w:r w:rsidR="0089515B" w:rsidRPr="00E53B53">
        <w:t xml:space="preserve">Bravospan was not responsible for the unconstitutionality of the extension agreement. On the contrary, </w:t>
      </w:r>
      <w:r w:rsidR="00357A42" w:rsidRPr="00E53B53">
        <w:t>the municipality in this regard allayed its concerns</w:t>
      </w:r>
      <w:r w:rsidR="0089515B" w:rsidRPr="00E53B53">
        <w:t xml:space="preserve">. The municipality had the benefit of Bravospan’s services for the full period from 1 November 2014 to 31 October 2016. Even </w:t>
      </w:r>
      <w:r w:rsidR="006F5FB9" w:rsidRPr="00E53B53">
        <w:t>a</w:t>
      </w:r>
      <w:r w:rsidRPr="00E53B53">
        <w:t xml:space="preserve">fter the </w:t>
      </w:r>
      <w:r w:rsidR="007B1021" w:rsidRPr="00E53B53">
        <w:t>m</w:t>
      </w:r>
      <w:r w:rsidR="00DB6D01" w:rsidRPr="00E53B53">
        <w:t>unicipality</w:t>
      </w:r>
      <w:r w:rsidRPr="00E53B53">
        <w:t xml:space="preserve"> </w:t>
      </w:r>
      <w:r w:rsidR="003F0E03" w:rsidRPr="00E53B53">
        <w:t xml:space="preserve">had </w:t>
      </w:r>
      <w:r w:rsidRPr="00E53B53">
        <w:t xml:space="preserve">launched its review application on 9 February 2015, it persuaded </w:t>
      </w:r>
      <w:r w:rsidR="00DB6D01" w:rsidRPr="00E53B53">
        <w:t>Bravospan</w:t>
      </w:r>
      <w:r w:rsidRPr="00E53B53">
        <w:t xml:space="preserve"> to continue to perform </w:t>
      </w:r>
      <w:r w:rsidR="006F5FB9" w:rsidRPr="00E53B53">
        <w:t>services</w:t>
      </w:r>
      <w:r w:rsidRPr="00E53B53">
        <w:t xml:space="preserve"> in terms of the extension agreement. At some stage, </w:t>
      </w:r>
      <w:r w:rsidR="008D5AA6" w:rsidRPr="00E53B53">
        <w:t>Bravospan</w:t>
      </w:r>
      <w:r w:rsidRPr="00E53B53">
        <w:t xml:space="preserve"> sent invoices to the </w:t>
      </w:r>
      <w:r w:rsidR="008D5AA6" w:rsidRPr="00E53B53">
        <w:t>municipality</w:t>
      </w:r>
      <w:r w:rsidRPr="00E53B53">
        <w:t xml:space="preserve"> for services rendered</w:t>
      </w:r>
      <w:r w:rsidR="004457AC" w:rsidRPr="00E53B53">
        <w:t>,</w:t>
      </w:r>
      <w:r w:rsidRPr="00E53B53">
        <w:t xml:space="preserve"> and the</w:t>
      </w:r>
      <w:r w:rsidR="008D5AA6" w:rsidRPr="00E53B53">
        <w:t xml:space="preserve"> municipality</w:t>
      </w:r>
      <w:r w:rsidRPr="00E53B53">
        <w:t>, in a letter dated 8 July 2015, undertook to make payment of those invoices. Th</w:t>
      </w:r>
      <w:r w:rsidR="008D5AA6" w:rsidRPr="00E53B53">
        <w:t>e municipality</w:t>
      </w:r>
      <w:r w:rsidRPr="00E53B53">
        <w:t xml:space="preserve"> also</w:t>
      </w:r>
      <w:r w:rsidR="008D5AA6" w:rsidRPr="00E53B53">
        <w:t xml:space="preserve"> sought and</w:t>
      </w:r>
      <w:r w:rsidRPr="00E53B53">
        <w:t xml:space="preserve"> obtained a legal opinion from its own attorneys that stated that the </w:t>
      </w:r>
      <w:r w:rsidR="008D5AA6" w:rsidRPr="00E53B53">
        <w:t>municipality</w:t>
      </w:r>
      <w:r w:rsidRPr="00E53B53">
        <w:t xml:space="preserve"> had been enriched at the expense of </w:t>
      </w:r>
      <w:r w:rsidR="008D5AA6" w:rsidRPr="00E53B53">
        <w:t>Bravospan</w:t>
      </w:r>
      <w:r w:rsidRPr="00E53B53">
        <w:t xml:space="preserve"> and that the </w:t>
      </w:r>
      <w:r w:rsidR="008D5AA6" w:rsidRPr="00E53B53">
        <w:t>municipality</w:t>
      </w:r>
      <w:r w:rsidRPr="00E53B53">
        <w:t xml:space="preserve"> should pay. </w:t>
      </w:r>
      <w:r w:rsidR="008D5AA6" w:rsidRPr="00E53B53">
        <w:t xml:space="preserve">Given the role played by the </w:t>
      </w:r>
      <w:r w:rsidR="008D5AA6" w:rsidRPr="00E53B53">
        <w:lastRenderedPageBreak/>
        <w:t xml:space="preserve">municipality in </w:t>
      </w:r>
      <w:r w:rsidR="00F83641" w:rsidRPr="00E53B53">
        <w:t>t</w:t>
      </w:r>
      <w:r w:rsidR="009A16A0" w:rsidRPr="00E53B53">
        <w:t>h</w:t>
      </w:r>
      <w:r w:rsidR="00F83641" w:rsidRPr="00E53B53">
        <w:t xml:space="preserve">e breach of the Constitution, Bravospan </w:t>
      </w:r>
      <w:r w:rsidR="006F5FB9" w:rsidRPr="00E53B53">
        <w:t xml:space="preserve">should be afforded compensation </w:t>
      </w:r>
      <w:r w:rsidR="00F83641" w:rsidRPr="00E53B53">
        <w:t>for the</w:t>
      </w:r>
      <w:r w:rsidRPr="00E53B53">
        <w:t xml:space="preserve"> services</w:t>
      </w:r>
      <w:r w:rsidR="00F83641" w:rsidRPr="00E53B53">
        <w:t xml:space="preserve"> it </w:t>
      </w:r>
      <w:r w:rsidR="006F5FB9" w:rsidRPr="00E53B53">
        <w:t>rendered as a just and equi</w:t>
      </w:r>
      <w:r w:rsidR="004B4E53" w:rsidRPr="00E53B53">
        <w:t>table remedy under s 172(1)(</w:t>
      </w:r>
      <w:r w:rsidR="004B4E53" w:rsidRPr="00E53B53">
        <w:rPr>
          <w:i/>
        </w:rPr>
        <w:t>b</w:t>
      </w:r>
      <w:r w:rsidR="004B4E53" w:rsidRPr="00E53B53">
        <w:t>).</w:t>
      </w:r>
      <w:r w:rsidR="003930CC" w:rsidRPr="00E53B53">
        <w:t xml:space="preserve"> </w:t>
      </w:r>
    </w:p>
    <w:p w:rsidR="00900A68" w:rsidRPr="00E53B53" w:rsidRDefault="00900A68" w:rsidP="00807075"/>
    <w:p w:rsidR="001360EB" w:rsidRPr="00E53B53" w:rsidRDefault="001360EB" w:rsidP="00807075">
      <w:r w:rsidRPr="00E53B53">
        <w:t>[</w:t>
      </w:r>
      <w:r w:rsidR="00F21A2D" w:rsidRPr="00E53B53">
        <w:t>23</w:t>
      </w:r>
      <w:r w:rsidRPr="00E53B53">
        <w:t>]</w:t>
      </w:r>
      <w:r w:rsidRPr="00E53B53">
        <w:tab/>
      </w:r>
      <w:r w:rsidR="006F5FB9" w:rsidRPr="00E53B53">
        <w:t>In the particular circumstances of the case, the order of the court a quo must be set aside and replaced with an order declaring that Bravospan is entitled to compen</w:t>
      </w:r>
      <w:r w:rsidR="006C27FD" w:rsidRPr="00E53B53">
        <w:t xml:space="preserve">sation for the services rendered </w:t>
      </w:r>
      <w:r w:rsidR="006F5FB9" w:rsidRPr="00E53B53">
        <w:t xml:space="preserve">to the </w:t>
      </w:r>
      <w:r w:rsidR="00F21A2D" w:rsidRPr="00E53B53">
        <w:t>municipality</w:t>
      </w:r>
      <w:r w:rsidR="006C27FD" w:rsidRPr="00E53B53">
        <w:t xml:space="preserve"> from 1 November 2014 to 31 October 2016, as a just and equitable remedy under s 172(1)</w:t>
      </w:r>
      <w:r w:rsidR="006C27FD" w:rsidRPr="00E53B53">
        <w:rPr>
          <w:i/>
        </w:rPr>
        <w:t>(b)</w:t>
      </w:r>
      <w:r w:rsidR="006C27FD" w:rsidRPr="00E53B53">
        <w:t xml:space="preserve"> of the Constitution. The matter must be referred back to the </w:t>
      </w:r>
      <w:r w:rsidR="004B4E53" w:rsidRPr="00E53B53">
        <w:t>high court</w:t>
      </w:r>
      <w:r w:rsidR="006C27FD" w:rsidRPr="00E53B53">
        <w:t xml:space="preserve"> to determine the quantum of that compensation in accordance with the applicable law.</w:t>
      </w:r>
      <w:r w:rsidR="006E585C" w:rsidRPr="00E53B53">
        <w:t xml:space="preserve"> </w:t>
      </w:r>
    </w:p>
    <w:p w:rsidR="004457AC" w:rsidRPr="00E53B53" w:rsidRDefault="004457AC" w:rsidP="00807075"/>
    <w:p w:rsidR="00C3197B" w:rsidRPr="00E53B53" w:rsidRDefault="00C3197B" w:rsidP="00807075">
      <w:r w:rsidRPr="00E53B53">
        <w:t>[</w:t>
      </w:r>
      <w:r w:rsidR="00F21A2D" w:rsidRPr="00E53B53">
        <w:t>24</w:t>
      </w:r>
      <w:r w:rsidRPr="00E53B53">
        <w:t>]</w:t>
      </w:r>
      <w:r w:rsidRPr="00E53B53">
        <w:tab/>
      </w:r>
      <w:r w:rsidR="00D22B98" w:rsidRPr="00E53B53">
        <w:t>T</w:t>
      </w:r>
      <w:r w:rsidR="005C417D" w:rsidRPr="00E53B53">
        <w:t xml:space="preserve">he following order is made: </w:t>
      </w:r>
    </w:p>
    <w:p w:rsidR="00F21A2D" w:rsidRPr="00E53B53" w:rsidRDefault="00F21A2D" w:rsidP="00F21A2D">
      <w:pPr>
        <w:tabs>
          <w:tab w:val="left" w:pos="426"/>
          <w:tab w:val="left" w:pos="1134"/>
        </w:tabs>
        <w:rPr>
          <w:lang w:val="en-ZA"/>
        </w:rPr>
      </w:pPr>
      <w:r w:rsidRPr="00E53B53">
        <w:rPr>
          <w:lang w:val="en-ZA"/>
        </w:rPr>
        <w:t>1</w:t>
      </w:r>
      <w:r w:rsidR="00350AEC" w:rsidRPr="00E53B53">
        <w:rPr>
          <w:lang w:val="en-ZA"/>
        </w:rPr>
        <w:t xml:space="preserve"> </w:t>
      </w:r>
      <w:r w:rsidRPr="00E53B53">
        <w:rPr>
          <w:lang w:val="en-ZA"/>
        </w:rPr>
        <w:t>The appeal is upheld with no order as to costs.</w:t>
      </w:r>
    </w:p>
    <w:p w:rsidR="00F21A2D" w:rsidRPr="00E53B53" w:rsidRDefault="00F21A2D" w:rsidP="00F21A2D">
      <w:pPr>
        <w:tabs>
          <w:tab w:val="left" w:pos="426"/>
          <w:tab w:val="left" w:pos="1134"/>
        </w:tabs>
        <w:rPr>
          <w:lang w:val="en-ZA"/>
        </w:rPr>
      </w:pPr>
      <w:r w:rsidRPr="00E53B53">
        <w:rPr>
          <w:lang w:val="en-ZA"/>
        </w:rPr>
        <w:t>2</w:t>
      </w:r>
      <w:r w:rsidR="00350AEC" w:rsidRPr="00E53B53">
        <w:rPr>
          <w:lang w:val="en-ZA"/>
        </w:rPr>
        <w:t xml:space="preserve"> </w:t>
      </w:r>
      <w:r w:rsidRPr="00E53B53">
        <w:rPr>
          <w:lang w:val="en-ZA"/>
        </w:rPr>
        <w:t xml:space="preserve">The order of the </w:t>
      </w:r>
      <w:r w:rsidR="007F1AF2" w:rsidRPr="00E53B53">
        <w:rPr>
          <w:lang w:val="en-ZA"/>
        </w:rPr>
        <w:t>high court</w:t>
      </w:r>
      <w:r w:rsidRPr="00E53B53">
        <w:rPr>
          <w:lang w:val="en-ZA"/>
        </w:rPr>
        <w:t xml:space="preserve"> is set aside and replaced with the following:</w:t>
      </w:r>
    </w:p>
    <w:p w:rsidR="00F21A2D" w:rsidRPr="00E53B53" w:rsidRDefault="00F21A2D" w:rsidP="00A411BC">
      <w:pPr>
        <w:tabs>
          <w:tab w:val="left" w:pos="426"/>
          <w:tab w:val="left" w:pos="1134"/>
        </w:tabs>
        <w:rPr>
          <w:lang w:val="en-ZA"/>
        </w:rPr>
      </w:pPr>
      <w:r w:rsidRPr="00E53B53">
        <w:rPr>
          <w:lang w:val="en-ZA"/>
        </w:rPr>
        <w:t>‘(a)</w:t>
      </w:r>
      <w:r w:rsidR="00350AEC" w:rsidRPr="00E53B53">
        <w:rPr>
          <w:lang w:val="en-ZA"/>
        </w:rPr>
        <w:t xml:space="preserve"> </w:t>
      </w:r>
      <w:r w:rsidRPr="00E53B53">
        <w:rPr>
          <w:lang w:val="en-ZA"/>
        </w:rPr>
        <w:t>It is declared that the plaintiff is entitled to compensation for the services rendered to the defendant during the period from 1 November 2014 to 31 October 2016 as a just and equitable remedy under s 172(1)</w:t>
      </w:r>
      <w:r w:rsidRPr="00E53B53">
        <w:rPr>
          <w:i/>
          <w:lang w:val="en-ZA"/>
        </w:rPr>
        <w:t>(b)</w:t>
      </w:r>
      <w:r w:rsidRPr="00E53B53">
        <w:rPr>
          <w:lang w:val="en-ZA"/>
        </w:rPr>
        <w:t xml:space="preserve"> of the Constitution;</w:t>
      </w:r>
    </w:p>
    <w:p w:rsidR="00F21A2D" w:rsidRPr="00E53B53" w:rsidRDefault="00F21A2D" w:rsidP="00F21A2D">
      <w:pPr>
        <w:tabs>
          <w:tab w:val="left" w:pos="426"/>
          <w:tab w:val="left" w:pos="1134"/>
        </w:tabs>
        <w:rPr>
          <w:lang w:val="en-ZA"/>
        </w:rPr>
      </w:pPr>
      <w:r w:rsidRPr="00E53B53">
        <w:rPr>
          <w:lang w:val="en-ZA"/>
        </w:rPr>
        <w:t>(b)</w:t>
      </w:r>
      <w:r w:rsidR="00350AEC" w:rsidRPr="00E53B53">
        <w:rPr>
          <w:lang w:val="en-ZA"/>
        </w:rPr>
        <w:t xml:space="preserve"> </w:t>
      </w:r>
      <w:r w:rsidRPr="00E53B53">
        <w:rPr>
          <w:lang w:val="en-ZA"/>
        </w:rPr>
        <w:t>Costs of the hearing on the merits are reserved</w:t>
      </w:r>
      <w:r w:rsidR="00350AEC" w:rsidRPr="00E53B53">
        <w:rPr>
          <w:lang w:val="en-ZA"/>
        </w:rPr>
        <w:t>.</w:t>
      </w:r>
      <w:r w:rsidRPr="00E53B53">
        <w:rPr>
          <w:lang w:val="en-ZA"/>
        </w:rPr>
        <w:t xml:space="preserve">’ </w:t>
      </w:r>
    </w:p>
    <w:p w:rsidR="00F21A2D" w:rsidRPr="00E53B53" w:rsidRDefault="00F21A2D" w:rsidP="00F21A2D">
      <w:pPr>
        <w:tabs>
          <w:tab w:val="left" w:pos="426"/>
          <w:tab w:val="left" w:pos="1134"/>
        </w:tabs>
        <w:rPr>
          <w:lang w:val="en-ZA"/>
        </w:rPr>
      </w:pPr>
      <w:r w:rsidRPr="00E53B53">
        <w:rPr>
          <w:lang w:val="en-ZA"/>
        </w:rPr>
        <w:t>3</w:t>
      </w:r>
      <w:r w:rsidR="00350AEC" w:rsidRPr="00E53B53">
        <w:rPr>
          <w:lang w:val="en-ZA"/>
        </w:rPr>
        <w:t xml:space="preserve"> </w:t>
      </w:r>
      <w:r w:rsidRPr="00E53B53">
        <w:rPr>
          <w:lang w:val="en-ZA"/>
        </w:rPr>
        <w:t>The matter is referred back to the high court to determine the quantum of that compensation in accordance with the applicable law.</w:t>
      </w:r>
    </w:p>
    <w:p w:rsidR="001F30A3" w:rsidRPr="00E53B53" w:rsidRDefault="001F30A3" w:rsidP="00424701"/>
    <w:p w:rsidR="000D1E33" w:rsidRPr="00E53B53" w:rsidRDefault="000D1E33" w:rsidP="00083A3D">
      <w:pPr>
        <w:jc w:val="right"/>
        <w:rPr>
          <w:lang w:eastAsia="en-ZA"/>
        </w:rPr>
      </w:pPr>
      <w:r w:rsidRPr="00E53B53">
        <w:rPr>
          <w:lang w:eastAsia="en-ZA"/>
        </w:rPr>
        <w:t>_______________________</w:t>
      </w:r>
    </w:p>
    <w:p w:rsidR="00947573" w:rsidRPr="00E53B53" w:rsidRDefault="00BE075D" w:rsidP="00083A3D">
      <w:pPr>
        <w:jc w:val="right"/>
        <w:rPr>
          <w:lang w:eastAsia="en-ZA"/>
        </w:rPr>
      </w:pPr>
      <w:r w:rsidRPr="00E53B53">
        <w:rPr>
          <w:lang w:eastAsia="en-ZA"/>
        </w:rPr>
        <w:t>D S M</w:t>
      </w:r>
      <w:r w:rsidR="00C50360" w:rsidRPr="00E53B53">
        <w:rPr>
          <w:lang w:eastAsia="en-ZA"/>
        </w:rPr>
        <w:t>OLEFE</w:t>
      </w:r>
    </w:p>
    <w:p w:rsidR="008827D3" w:rsidRPr="00E53B53" w:rsidRDefault="00BE075D" w:rsidP="00083A3D">
      <w:pPr>
        <w:jc w:val="right"/>
        <w:rPr>
          <w:lang w:eastAsia="en-ZA"/>
        </w:rPr>
      </w:pPr>
      <w:r w:rsidRPr="00E53B53">
        <w:rPr>
          <w:lang w:eastAsia="en-ZA"/>
        </w:rPr>
        <w:t>A</w:t>
      </w:r>
      <w:r w:rsidR="00C50360" w:rsidRPr="00E53B53">
        <w:rPr>
          <w:lang w:eastAsia="en-ZA"/>
        </w:rPr>
        <w:t>CTING JUDGE OF APPEAL</w:t>
      </w:r>
    </w:p>
    <w:p w:rsidR="00466CE9" w:rsidRPr="00E53B53" w:rsidRDefault="00466CE9">
      <w:r w:rsidRPr="00E53B53">
        <w:br w:type="page"/>
      </w:r>
    </w:p>
    <w:p w:rsidR="00A411BC" w:rsidRPr="00E53B53" w:rsidRDefault="00A411BC"/>
    <w:p w:rsidR="008827D3" w:rsidRPr="00E53B53" w:rsidRDefault="008827D3">
      <w:r w:rsidRPr="00E53B53">
        <w:t>APPEARANCES</w:t>
      </w:r>
    </w:p>
    <w:p w:rsidR="008827D3" w:rsidRPr="00E53B53" w:rsidRDefault="008827D3">
      <w:pPr>
        <w:tabs>
          <w:tab w:val="left" w:pos="0"/>
          <w:tab w:val="left" w:pos="720"/>
          <w:tab w:val="left" w:pos="1440"/>
          <w:tab w:val="left" w:pos="2160"/>
        </w:tabs>
      </w:pPr>
    </w:p>
    <w:p w:rsidR="008827D3" w:rsidRPr="00E53B53" w:rsidRDefault="008827D3" w:rsidP="00D92391">
      <w:pPr>
        <w:tabs>
          <w:tab w:val="left" w:pos="0"/>
          <w:tab w:val="left" w:pos="720"/>
          <w:tab w:val="left" w:pos="1440"/>
          <w:tab w:val="left" w:pos="2160"/>
        </w:tabs>
      </w:pPr>
      <w:r w:rsidRPr="00E53B53">
        <w:t xml:space="preserve">For </w:t>
      </w:r>
      <w:r w:rsidR="002B5250" w:rsidRPr="00E53B53">
        <w:t>a</w:t>
      </w:r>
      <w:r w:rsidRPr="00E53B53">
        <w:t>ppellant</w:t>
      </w:r>
      <w:r w:rsidR="00AF5250" w:rsidRPr="00E53B53">
        <w:t>:</w:t>
      </w:r>
      <w:r w:rsidR="00AF5250" w:rsidRPr="00E53B53">
        <w:tab/>
      </w:r>
      <w:r w:rsidR="00AF5250" w:rsidRPr="00E53B53">
        <w:tab/>
      </w:r>
      <w:r w:rsidR="00AF5250" w:rsidRPr="00E53B53">
        <w:tab/>
      </w:r>
      <w:r w:rsidR="00A012A3" w:rsidRPr="00E53B53">
        <w:tab/>
      </w:r>
      <w:r w:rsidR="000B2A68" w:rsidRPr="00E53B53">
        <w:t>A</w:t>
      </w:r>
      <w:r w:rsidR="00F2357C" w:rsidRPr="00E53B53">
        <w:t xml:space="preserve"> </w:t>
      </w:r>
      <w:r w:rsidR="000B2A68" w:rsidRPr="00E53B53">
        <w:t>P</w:t>
      </w:r>
      <w:r w:rsidR="00F2357C" w:rsidRPr="00E53B53">
        <w:t xml:space="preserve"> </w:t>
      </w:r>
      <w:r w:rsidR="000B2A68" w:rsidRPr="00E53B53">
        <w:t>J Els</w:t>
      </w:r>
    </w:p>
    <w:p w:rsidR="008827D3" w:rsidRPr="00E53B53" w:rsidRDefault="008827D3" w:rsidP="004344FA">
      <w:pPr>
        <w:tabs>
          <w:tab w:val="left" w:pos="0"/>
          <w:tab w:val="left" w:pos="720"/>
          <w:tab w:val="left" w:pos="1440"/>
          <w:tab w:val="left" w:pos="2160"/>
        </w:tabs>
      </w:pPr>
      <w:r w:rsidRPr="00E53B53">
        <w:t>Instructed by:</w:t>
      </w:r>
      <w:r w:rsidRPr="00E53B53">
        <w:tab/>
      </w:r>
      <w:r w:rsidRPr="00E53B53">
        <w:tab/>
      </w:r>
      <w:r w:rsidRPr="00E53B53">
        <w:tab/>
      </w:r>
      <w:r w:rsidR="00A012A3" w:rsidRPr="00E53B53">
        <w:tab/>
      </w:r>
      <w:r w:rsidR="000B2A68" w:rsidRPr="00E53B53">
        <w:t>Maloka Sebola Attorneys Inc</w:t>
      </w:r>
      <w:r w:rsidRPr="00E53B53">
        <w:t>,</w:t>
      </w:r>
      <w:r w:rsidR="00E56768" w:rsidRPr="00E53B53">
        <w:t xml:space="preserve"> </w:t>
      </w:r>
      <w:r w:rsidR="000B2A68" w:rsidRPr="00E53B53">
        <w:t>Tzaneen</w:t>
      </w:r>
    </w:p>
    <w:p w:rsidR="008827D3" w:rsidRPr="00E53B53" w:rsidRDefault="008827D3" w:rsidP="009473B1">
      <w:pPr>
        <w:tabs>
          <w:tab w:val="left" w:pos="0"/>
          <w:tab w:val="left" w:pos="720"/>
          <w:tab w:val="left" w:pos="1440"/>
          <w:tab w:val="left" w:pos="2160"/>
        </w:tabs>
      </w:pPr>
      <w:r w:rsidRPr="00E53B53">
        <w:tab/>
      </w:r>
      <w:r w:rsidRPr="00E53B53">
        <w:tab/>
      </w:r>
      <w:r w:rsidRPr="00E53B53">
        <w:tab/>
      </w:r>
      <w:r w:rsidRPr="00E53B53">
        <w:tab/>
      </w:r>
      <w:r w:rsidRPr="00E53B53">
        <w:tab/>
      </w:r>
      <w:r w:rsidR="00A012A3" w:rsidRPr="00E53B53">
        <w:tab/>
      </w:r>
      <w:r w:rsidR="000B2A68" w:rsidRPr="00E53B53">
        <w:t>Phatshoane Henny Attorneys</w:t>
      </w:r>
      <w:r w:rsidRPr="00E53B53">
        <w:t>, Bloemfontein</w:t>
      </w:r>
    </w:p>
    <w:p w:rsidR="008827D3" w:rsidRPr="00E53B53" w:rsidRDefault="008827D3" w:rsidP="00CA600F">
      <w:pPr>
        <w:tabs>
          <w:tab w:val="left" w:pos="0"/>
          <w:tab w:val="left" w:pos="720"/>
          <w:tab w:val="left" w:pos="1440"/>
          <w:tab w:val="left" w:pos="2160"/>
        </w:tabs>
      </w:pPr>
    </w:p>
    <w:p w:rsidR="008827D3" w:rsidRPr="00E53B53" w:rsidRDefault="003E29C8">
      <w:pPr>
        <w:tabs>
          <w:tab w:val="left" w:pos="0"/>
          <w:tab w:val="left" w:pos="720"/>
          <w:tab w:val="left" w:pos="1440"/>
          <w:tab w:val="left" w:pos="2160"/>
        </w:tabs>
      </w:pPr>
      <w:r w:rsidRPr="00E53B53">
        <w:t xml:space="preserve">For </w:t>
      </w:r>
      <w:r w:rsidR="00FD28B6" w:rsidRPr="00E53B53">
        <w:t>r</w:t>
      </w:r>
      <w:r w:rsidRPr="00E53B53">
        <w:t>espondent</w:t>
      </w:r>
      <w:r w:rsidR="008827D3" w:rsidRPr="00E53B53">
        <w:t>:</w:t>
      </w:r>
      <w:r w:rsidR="008827D3" w:rsidRPr="00E53B53">
        <w:tab/>
      </w:r>
      <w:r w:rsidR="000D06F5" w:rsidRPr="00E53B53">
        <w:tab/>
      </w:r>
      <w:r w:rsidR="00EE1EFB" w:rsidRPr="00E53B53">
        <w:tab/>
      </w:r>
      <w:r w:rsidR="00A012A3" w:rsidRPr="00E53B53">
        <w:tab/>
      </w:r>
      <w:r w:rsidR="000B2A68" w:rsidRPr="00E53B53">
        <w:t>I Hussain SC</w:t>
      </w:r>
      <w:r w:rsidR="00D728BD" w:rsidRPr="00E53B53">
        <w:t xml:space="preserve"> with N J Tee</w:t>
      </w:r>
    </w:p>
    <w:p w:rsidR="008827D3" w:rsidRPr="00E53B53" w:rsidRDefault="008827D3">
      <w:pPr>
        <w:tabs>
          <w:tab w:val="left" w:pos="0"/>
          <w:tab w:val="left" w:pos="720"/>
          <w:tab w:val="left" w:pos="1440"/>
          <w:tab w:val="left" w:pos="2160"/>
        </w:tabs>
      </w:pPr>
      <w:r w:rsidRPr="00E53B53">
        <w:t>Instructed by:</w:t>
      </w:r>
      <w:r w:rsidRPr="00E53B53">
        <w:tab/>
      </w:r>
      <w:r w:rsidRPr="00E53B53">
        <w:tab/>
      </w:r>
      <w:r w:rsidRPr="00E53B53">
        <w:tab/>
      </w:r>
      <w:r w:rsidR="00A012A3" w:rsidRPr="00E53B53">
        <w:tab/>
      </w:r>
      <w:r w:rsidR="00BA153B" w:rsidRPr="00E53B53">
        <w:t>MED</w:t>
      </w:r>
      <w:r w:rsidR="000B2A68" w:rsidRPr="00E53B53">
        <w:t xml:space="preserve"> Attorneys</w:t>
      </w:r>
      <w:r w:rsidRPr="00E53B53">
        <w:t xml:space="preserve">, </w:t>
      </w:r>
      <w:r w:rsidR="000B2A68" w:rsidRPr="00E53B53">
        <w:t xml:space="preserve">Bedfordview </w:t>
      </w:r>
    </w:p>
    <w:p w:rsidR="008827D3" w:rsidRPr="00807075" w:rsidRDefault="00A012A3">
      <w:pPr>
        <w:tabs>
          <w:tab w:val="left" w:pos="0"/>
          <w:tab w:val="left" w:pos="720"/>
          <w:tab w:val="left" w:pos="1440"/>
          <w:tab w:val="left" w:pos="2160"/>
        </w:tabs>
        <w:ind w:left="3600"/>
      </w:pPr>
      <w:r w:rsidRPr="00E53B53">
        <w:tab/>
      </w:r>
      <w:r w:rsidR="00D728BD" w:rsidRPr="00E53B53">
        <w:t>McIntyre van der Post Attorneys</w:t>
      </w:r>
      <w:r w:rsidR="007F31C9" w:rsidRPr="00E53B53">
        <w:t>,</w:t>
      </w:r>
      <w:r w:rsidR="008827D3" w:rsidRPr="00E53B53">
        <w:t xml:space="preserve"> Bloemfontein</w:t>
      </w:r>
      <w:r w:rsidR="009614C0" w:rsidRPr="00E53B53">
        <w:t>.</w:t>
      </w:r>
    </w:p>
    <w:p w:rsidR="008827D3" w:rsidRPr="00807075" w:rsidRDefault="008827D3">
      <w:pPr>
        <w:rPr>
          <w:b/>
          <w:bCs/>
        </w:rPr>
      </w:pPr>
    </w:p>
    <w:p w:rsidR="00F322A0" w:rsidRPr="00807075" w:rsidRDefault="00F322A0" w:rsidP="00D92391">
      <w:pPr>
        <w:tabs>
          <w:tab w:val="left" w:pos="0"/>
          <w:tab w:val="left" w:pos="720"/>
          <w:tab w:val="left" w:pos="1440"/>
          <w:tab w:val="left" w:pos="2160"/>
        </w:tabs>
      </w:pPr>
    </w:p>
    <w:p w:rsidR="00F322A0" w:rsidRPr="00807075" w:rsidRDefault="00F322A0" w:rsidP="004344FA">
      <w:pPr>
        <w:tabs>
          <w:tab w:val="left" w:pos="0"/>
          <w:tab w:val="left" w:pos="720"/>
          <w:tab w:val="left" w:pos="1440"/>
          <w:tab w:val="left" w:pos="2160"/>
        </w:tabs>
      </w:pPr>
    </w:p>
    <w:p w:rsidR="00F322A0" w:rsidRPr="00807075" w:rsidRDefault="00F322A0" w:rsidP="009473B1">
      <w:pPr>
        <w:tabs>
          <w:tab w:val="left" w:pos="0"/>
          <w:tab w:val="left" w:pos="720"/>
          <w:tab w:val="left" w:pos="1440"/>
          <w:tab w:val="left" w:pos="2160"/>
        </w:tabs>
      </w:pPr>
    </w:p>
    <w:p w:rsidR="00F322A0" w:rsidRPr="00807075" w:rsidRDefault="00F322A0" w:rsidP="00CA600F">
      <w:pPr>
        <w:tabs>
          <w:tab w:val="left" w:pos="0"/>
          <w:tab w:val="left" w:pos="720"/>
          <w:tab w:val="left" w:pos="1440"/>
          <w:tab w:val="left" w:pos="2160"/>
        </w:tabs>
      </w:pPr>
    </w:p>
    <w:p w:rsidR="00F322A0" w:rsidRPr="00807075" w:rsidRDefault="00F322A0" w:rsidP="00E10253">
      <w:pPr>
        <w:tabs>
          <w:tab w:val="left" w:pos="0"/>
          <w:tab w:val="left" w:pos="720"/>
          <w:tab w:val="left" w:pos="1440"/>
          <w:tab w:val="left" w:pos="2160"/>
        </w:tabs>
      </w:pPr>
    </w:p>
    <w:p w:rsidR="00F322A0" w:rsidRPr="00807075" w:rsidRDefault="00F322A0">
      <w:pPr>
        <w:tabs>
          <w:tab w:val="left" w:pos="0"/>
          <w:tab w:val="left" w:pos="720"/>
          <w:tab w:val="left" w:pos="1440"/>
          <w:tab w:val="left" w:pos="2160"/>
        </w:tabs>
      </w:pPr>
    </w:p>
    <w:p w:rsidR="00F322A0" w:rsidRPr="00807075" w:rsidRDefault="00F322A0">
      <w:pPr>
        <w:tabs>
          <w:tab w:val="left" w:pos="0"/>
          <w:tab w:val="left" w:pos="720"/>
          <w:tab w:val="left" w:pos="1440"/>
          <w:tab w:val="left" w:pos="2160"/>
        </w:tabs>
      </w:pPr>
    </w:p>
    <w:bookmarkEnd w:id="0"/>
    <w:p w:rsidR="005E5E8A" w:rsidRPr="00807075" w:rsidRDefault="005E5E8A">
      <w:pPr>
        <w:rPr>
          <w:lang w:val="en-US" w:eastAsia="en-US"/>
        </w:rPr>
      </w:pPr>
    </w:p>
    <w:sectPr w:rsidR="005E5E8A" w:rsidRPr="00807075" w:rsidSect="00807075">
      <w:headerReference w:type="default" r:id="rId9"/>
      <w:pgSz w:w="12240" w:h="15840"/>
      <w:pgMar w:top="993"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7816" w16cex:dateUtc="2022-09-28T23:49:00Z"/>
  <w16cex:commentExtensible w16cex:durableId="26DF8234" w16cex:dateUtc="2022-09-29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18470" w16cid:durableId="26DF7816"/>
  <w16cid:commentId w16cid:paraId="1AA1A492" w16cid:durableId="26DF82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C7" w:rsidRDefault="00595EC7" w:rsidP="008B1580">
      <w:r>
        <w:separator/>
      </w:r>
    </w:p>
  </w:endnote>
  <w:endnote w:type="continuationSeparator" w:id="0">
    <w:p w:rsidR="00595EC7" w:rsidRDefault="00595EC7"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C7" w:rsidRDefault="00595EC7" w:rsidP="008B1580">
      <w:r>
        <w:separator/>
      </w:r>
    </w:p>
  </w:footnote>
  <w:footnote w:type="continuationSeparator" w:id="0">
    <w:p w:rsidR="00595EC7" w:rsidRDefault="00595EC7" w:rsidP="008B1580">
      <w:r>
        <w:continuationSeparator/>
      </w:r>
    </w:p>
  </w:footnote>
  <w:footnote w:id="1">
    <w:p w:rsidR="00177062" w:rsidRPr="009E2B7B" w:rsidRDefault="00177062" w:rsidP="0082367E">
      <w:pPr>
        <w:pStyle w:val="FootnoteText"/>
        <w:spacing w:line="240" w:lineRule="auto"/>
        <w:rPr>
          <w:lang w:val="en-ZA"/>
        </w:rPr>
      </w:pPr>
      <w:r>
        <w:rPr>
          <w:rStyle w:val="FootnoteReference"/>
        </w:rPr>
        <w:footnoteRef/>
      </w:r>
      <w:r>
        <w:t xml:space="preserve"> ‘</w:t>
      </w:r>
      <w:r w:rsidRPr="00DB6D01">
        <w:t>Municipal Supply Chain Management Regulations</w:t>
      </w:r>
      <w:r>
        <w:t xml:space="preserve">, GN R868, </w:t>
      </w:r>
      <w:r>
        <w:rPr>
          <w:i/>
        </w:rPr>
        <w:t xml:space="preserve">GG </w:t>
      </w:r>
      <w:r>
        <w:t>40553, 20 January 2017’.</w:t>
      </w:r>
      <w:r>
        <w:rPr>
          <w:lang w:val="en-ZA"/>
        </w:rPr>
        <w:t xml:space="preserve"> The Regulations Supply defines a ‘Long term contract’ defined as ‘a contract with a duration period exceeding one year.’ </w:t>
      </w:r>
    </w:p>
  </w:footnote>
  <w:footnote w:id="2">
    <w:p w:rsidR="00177062" w:rsidRDefault="00177062" w:rsidP="0082367E">
      <w:pPr>
        <w:pStyle w:val="FootnoteText"/>
        <w:spacing w:line="240" w:lineRule="auto"/>
        <w:rPr>
          <w:lang w:val="en-ZA"/>
        </w:rPr>
      </w:pPr>
      <w:r>
        <w:rPr>
          <w:rStyle w:val="FootnoteReference"/>
        </w:rPr>
        <w:footnoteRef/>
      </w:r>
      <w:r>
        <w:t xml:space="preserve"> </w:t>
      </w:r>
      <w:r>
        <w:rPr>
          <w:lang w:val="en-ZA"/>
        </w:rPr>
        <w:t>Regulation 22 provide as follows:</w:t>
      </w:r>
    </w:p>
    <w:p w:rsidR="00177062" w:rsidRDefault="00177062" w:rsidP="0082367E">
      <w:pPr>
        <w:pStyle w:val="FootnoteText"/>
        <w:spacing w:line="240" w:lineRule="auto"/>
        <w:rPr>
          <w:lang w:val="en-ZA"/>
        </w:rPr>
      </w:pPr>
      <w:r>
        <w:rPr>
          <w:lang w:val="en-ZA"/>
        </w:rPr>
        <w:t xml:space="preserve">‘(1) A supply chain management policy must determine the procedure for the invitation of competitive bids, and must stipulate – </w:t>
      </w:r>
    </w:p>
    <w:p w:rsidR="00177062" w:rsidRPr="00BA153B" w:rsidRDefault="00177062" w:rsidP="0082367E">
      <w:pPr>
        <w:pStyle w:val="FootnoteText"/>
        <w:spacing w:line="240" w:lineRule="auto"/>
        <w:rPr>
          <w:lang w:val="en-ZA"/>
        </w:rPr>
      </w:pPr>
      <w:r w:rsidRPr="00BA153B">
        <w:rPr>
          <w:i/>
          <w:lang w:val="en-ZA"/>
        </w:rPr>
        <w:t>(a)</w:t>
      </w:r>
      <w:r w:rsidR="00F2357C" w:rsidRPr="00BA153B">
        <w:rPr>
          <w:i/>
          <w:lang w:val="en-ZA"/>
        </w:rPr>
        <w:tab/>
      </w:r>
      <w:r w:rsidRPr="00BA153B">
        <w:rPr>
          <w:lang w:val="en-ZA"/>
        </w:rPr>
        <w:t xml:space="preserve">. . . </w:t>
      </w:r>
    </w:p>
    <w:p w:rsidR="00177062" w:rsidRDefault="00177062" w:rsidP="0082367E">
      <w:pPr>
        <w:pStyle w:val="FootnoteText"/>
        <w:spacing w:line="240" w:lineRule="auto"/>
        <w:rPr>
          <w:lang w:val="en-ZA"/>
        </w:rPr>
      </w:pPr>
      <w:r w:rsidRPr="00BA153B">
        <w:rPr>
          <w:i/>
          <w:lang w:val="en-ZA"/>
        </w:rPr>
        <w:t>(b)</w:t>
      </w:r>
      <w:r w:rsidR="00F2357C" w:rsidRPr="00BA153B">
        <w:rPr>
          <w:i/>
          <w:lang w:val="en-ZA"/>
        </w:rPr>
        <w:tab/>
      </w:r>
      <w:r w:rsidRPr="00BA153B">
        <w:rPr>
          <w:lang w:val="en-ZA"/>
        </w:rPr>
        <w:t>the</w:t>
      </w:r>
      <w:r>
        <w:rPr>
          <w:lang w:val="en-ZA"/>
        </w:rPr>
        <w:t xml:space="preserve"> information a public advertisement must contain, which must include – </w:t>
      </w:r>
    </w:p>
    <w:p w:rsidR="00177062" w:rsidRPr="009E2B7B" w:rsidRDefault="00177062" w:rsidP="00F2357C">
      <w:pPr>
        <w:pStyle w:val="FootnoteText"/>
        <w:spacing w:line="240" w:lineRule="auto"/>
        <w:rPr>
          <w:lang w:val="en-ZA"/>
        </w:rPr>
      </w:pPr>
      <w:r>
        <w:rPr>
          <w:lang w:val="en-ZA"/>
        </w:rPr>
        <w:t>(i)</w:t>
      </w:r>
      <w:r w:rsidR="00F2357C">
        <w:rPr>
          <w:lang w:val="en-ZA"/>
        </w:rPr>
        <w:tab/>
      </w:r>
      <w:r>
        <w:rPr>
          <w:lang w:val="en-ZA"/>
        </w:rPr>
        <w:t>the closure date for the submission of bids, which may not be less than 30 days in the case of transactions over R10 million (VAT) included), or which are of a long term nature, or 14 days in any other case, from the date on which the advertisement is placed in the newspaper, subject to a sub-regulation (3).’</w:t>
      </w:r>
    </w:p>
  </w:footnote>
  <w:footnote w:id="3">
    <w:p w:rsidR="00177062" w:rsidRPr="00383445" w:rsidRDefault="00177062" w:rsidP="00165915">
      <w:pPr>
        <w:pStyle w:val="FootnoteText"/>
        <w:spacing w:line="240" w:lineRule="auto"/>
      </w:pPr>
      <w:r>
        <w:rPr>
          <w:rStyle w:val="FootnoteReference"/>
        </w:rPr>
        <w:footnoteRef/>
      </w:r>
      <w:r>
        <w:t xml:space="preserve"> </w:t>
      </w:r>
      <w:r w:rsidRPr="00272DAB">
        <w:rPr>
          <w:bCs/>
          <w:i/>
        </w:rPr>
        <w:t>Hurst, Gunson, Cooper, Taber Ltd v Agricultural Supply Association (Pty) Ltd</w:t>
      </w:r>
      <w:r>
        <w:rPr>
          <w:bCs/>
        </w:rPr>
        <w:t xml:space="preserve"> 1965 (1) SA </w:t>
      </w:r>
      <w:r w:rsidRPr="00383445">
        <w:rPr>
          <w:bCs/>
        </w:rPr>
        <w:t>48 (W)</w:t>
      </w:r>
      <w:r>
        <w:rPr>
          <w:bCs/>
        </w:rPr>
        <w:t xml:space="preserve"> at 52.</w:t>
      </w:r>
    </w:p>
  </w:footnote>
  <w:footnote w:id="4">
    <w:p w:rsidR="00177062" w:rsidRDefault="00177062" w:rsidP="00165915">
      <w:pPr>
        <w:pStyle w:val="FootnoteText"/>
        <w:spacing w:line="240" w:lineRule="auto"/>
      </w:pPr>
      <w:r>
        <w:rPr>
          <w:rStyle w:val="FootnoteReference"/>
        </w:rPr>
        <w:footnoteRef/>
      </w:r>
      <w:r>
        <w:t xml:space="preserve"> </w:t>
      </w:r>
      <w:r>
        <w:rPr>
          <w:i/>
        </w:rPr>
        <w:t xml:space="preserve">Hurst </w:t>
      </w:r>
      <w:r>
        <w:t xml:space="preserve">ibid. </w:t>
      </w:r>
    </w:p>
  </w:footnote>
  <w:footnote w:id="5">
    <w:p w:rsidR="00177062" w:rsidRPr="006A2D43" w:rsidRDefault="00177062" w:rsidP="00165915">
      <w:pPr>
        <w:pStyle w:val="FootnoteText"/>
        <w:spacing w:line="240" w:lineRule="auto"/>
        <w:rPr>
          <w:i/>
        </w:rPr>
      </w:pPr>
      <w:r>
        <w:rPr>
          <w:rStyle w:val="FootnoteReference"/>
        </w:rPr>
        <w:footnoteRef/>
      </w:r>
      <w:r>
        <w:t xml:space="preserve"> See </w:t>
      </w:r>
      <w:r>
        <w:rPr>
          <w:i/>
        </w:rPr>
        <w:t xml:space="preserve">Links v Member of the Executive Council, Department of Health, Northern Cape Province </w:t>
      </w:r>
      <w:r>
        <w:t>[2016] ZACC 10; 2016 (4) SA 414 (CC); 2016 (5) BCLR 656 (CC)</w:t>
      </w:r>
      <w:r>
        <w:rPr>
          <w:i/>
        </w:rPr>
        <w:t xml:space="preserve"> </w:t>
      </w:r>
      <w:r>
        <w:t xml:space="preserve">para 24. </w:t>
      </w:r>
    </w:p>
  </w:footnote>
  <w:footnote w:id="6">
    <w:p w:rsidR="00177062" w:rsidRPr="00732F49" w:rsidRDefault="00177062" w:rsidP="00165915">
      <w:pPr>
        <w:pStyle w:val="FootnoteText"/>
        <w:spacing w:line="240" w:lineRule="auto"/>
        <w:rPr>
          <w:lang w:val="en-ZA"/>
        </w:rPr>
      </w:pPr>
      <w:r>
        <w:rPr>
          <w:rStyle w:val="FootnoteReference"/>
        </w:rPr>
        <w:footnoteRef/>
      </w:r>
      <w:r>
        <w:t xml:space="preserve"> </w:t>
      </w:r>
      <w:r>
        <w:rPr>
          <w:i/>
        </w:rPr>
        <w:t xml:space="preserve">MEC for Health, Western Cape v Coboza </w:t>
      </w:r>
      <w:r>
        <w:t xml:space="preserve">2020 ZASCA 165 </w:t>
      </w:r>
      <w:r w:rsidRPr="00272DAB">
        <w:t>para 13.</w:t>
      </w:r>
      <w:r>
        <w:rPr>
          <w:i/>
        </w:rPr>
        <w:t xml:space="preserve"> </w:t>
      </w:r>
    </w:p>
  </w:footnote>
  <w:footnote w:id="7">
    <w:p w:rsidR="00177062" w:rsidRPr="00F6035D" w:rsidRDefault="00177062" w:rsidP="00D76090">
      <w:pPr>
        <w:pStyle w:val="FootnoteText"/>
        <w:rPr>
          <w:lang w:val="en-ZA"/>
        </w:rPr>
      </w:pPr>
      <w:r>
        <w:rPr>
          <w:rStyle w:val="FootnoteReference"/>
        </w:rPr>
        <w:footnoteRef/>
      </w:r>
      <w:r>
        <w:t xml:space="preserve"> </w:t>
      </w:r>
      <w:r w:rsidRPr="00E53B53">
        <w:rPr>
          <w:i/>
          <w:lang w:val="en-ZA"/>
        </w:rPr>
        <w:t>Gericke v Sack</w:t>
      </w:r>
      <w:r>
        <w:rPr>
          <w:lang w:val="en-ZA"/>
        </w:rPr>
        <w:t xml:space="preserve"> 1978 (1</w:t>
      </w:r>
      <w:r w:rsidRPr="00BA153B">
        <w:rPr>
          <w:lang w:val="en-ZA"/>
        </w:rPr>
        <w:t>)</w:t>
      </w:r>
      <w:r w:rsidR="005D3215" w:rsidRPr="00BA153B">
        <w:rPr>
          <w:lang w:val="en-ZA"/>
        </w:rPr>
        <w:t xml:space="preserve"> SA</w:t>
      </w:r>
      <w:r w:rsidR="004B4E53" w:rsidRPr="00BA153B">
        <w:rPr>
          <w:lang w:val="en-ZA"/>
        </w:rPr>
        <w:t xml:space="preserve"> </w:t>
      </w:r>
      <w:r w:rsidRPr="00BA153B">
        <w:rPr>
          <w:lang w:val="en-ZA"/>
        </w:rPr>
        <w:t>821</w:t>
      </w:r>
      <w:r w:rsidR="00F90A7A" w:rsidRPr="00BA153B">
        <w:rPr>
          <w:lang w:val="en-ZA"/>
        </w:rPr>
        <w:t xml:space="preserve"> (A) </w:t>
      </w:r>
      <w:r w:rsidRPr="00BA153B">
        <w:rPr>
          <w:lang w:val="en-ZA"/>
        </w:rPr>
        <w:t>at 827</w:t>
      </w:r>
      <w:r w:rsidR="00F90A7A" w:rsidRPr="00BA153B">
        <w:rPr>
          <w:lang w:val="en-ZA"/>
        </w:rPr>
        <w:t>H</w:t>
      </w:r>
      <w:r w:rsidRPr="00BA153B">
        <w:rPr>
          <w:lang w:val="en-ZA"/>
        </w:rPr>
        <w:t>–828</w:t>
      </w:r>
      <w:r w:rsidR="00F90A7A" w:rsidRPr="00BA153B">
        <w:rPr>
          <w:lang w:val="en-ZA"/>
        </w:rPr>
        <w:t>B</w:t>
      </w:r>
      <w:r w:rsidRPr="00BA153B">
        <w:rPr>
          <w:lang w:val="en-ZA"/>
        </w:rPr>
        <w:t>.</w:t>
      </w:r>
      <w:r>
        <w:rPr>
          <w:lang w:val="en-ZA"/>
        </w:rPr>
        <w:t xml:space="preserve"> </w:t>
      </w:r>
    </w:p>
    <w:p w:rsidR="00177062" w:rsidRPr="00D76090" w:rsidRDefault="00177062">
      <w:pPr>
        <w:pStyle w:val="FootnoteText"/>
        <w:rPr>
          <w:lang w:val="en-ZA"/>
        </w:rPr>
      </w:pPr>
    </w:p>
  </w:footnote>
  <w:footnote w:id="8">
    <w:p w:rsidR="00466CE9" w:rsidRPr="00E53B53" w:rsidRDefault="00466CE9" w:rsidP="00466CE9">
      <w:pPr>
        <w:pStyle w:val="FootnoteText"/>
        <w:spacing w:line="240" w:lineRule="auto"/>
        <w:rPr>
          <w:rFonts w:cs="Arial"/>
          <w:lang w:val="en-ZA"/>
        </w:rPr>
      </w:pPr>
      <w:r w:rsidRPr="00E53B53">
        <w:rPr>
          <w:rStyle w:val="FootnoteReference"/>
          <w:rFonts w:cs="Arial"/>
        </w:rPr>
        <w:footnoteRef/>
      </w:r>
      <w:r w:rsidRPr="00E53B53">
        <w:rPr>
          <w:rFonts w:cs="Arial"/>
        </w:rPr>
        <w:t xml:space="preserve"> </w:t>
      </w:r>
      <w:r w:rsidRPr="00E53B53">
        <w:rPr>
          <w:rFonts w:cs="Arial"/>
          <w:i/>
        </w:rPr>
        <w:t xml:space="preserve">Nortje en ‘n Ander v Pool, NO </w:t>
      </w:r>
      <w:r w:rsidRPr="00E53B53">
        <w:rPr>
          <w:rFonts w:cs="Arial"/>
        </w:rPr>
        <w:t>[1966] 3 ALL SA 359 (A).</w:t>
      </w:r>
    </w:p>
  </w:footnote>
  <w:footnote w:id="9">
    <w:p w:rsidR="00466CE9" w:rsidRPr="00E53B53" w:rsidRDefault="00466CE9" w:rsidP="00466CE9">
      <w:pPr>
        <w:pStyle w:val="FootnoteText"/>
        <w:spacing w:line="240" w:lineRule="auto"/>
        <w:rPr>
          <w:rFonts w:cs="Arial"/>
        </w:rPr>
      </w:pPr>
      <w:r w:rsidRPr="00E53B53">
        <w:rPr>
          <w:rStyle w:val="FootnoteReference"/>
          <w:rFonts w:cs="Arial"/>
        </w:rPr>
        <w:footnoteRef/>
      </w:r>
      <w:r w:rsidRPr="00E53B53">
        <w:rPr>
          <w:rFonts w:cs="Arial"/>
        </w:rPr>
        <w:t xml:space="preserve"> </w:t>
      </w:r>
      <w:r w:rsidRPr="00E53B53">
        <w:rPr>
          <w:rFonts w:cs="Arial"/>
          <w:i/>
        </w:rPr>
        <w:t xml:space="preserve">Nortje </w:t>
      </w:r>
      <w:r w:rsidRPr="00E53B53">
        <w:rPr>
          <w:rFonts w:cs="Arial"/>
        </w:rPr>
        <w:t>at 394.</w:t>
      </w:r>
    </w:p>
  </w:footnote>
  <w:footnote w:id="10">
    <w:p w:rsidR="00466CE9" w:rsidRPr="00E53B53" w:rsidRDefault="00466CE9" w:rsidP="00466CE9">
      <w:pPr>
        <w:pStyle w:val="FootnoteText"/>
        <w:spacing w:line="240" w:lineRule="auto"/>
        <w:rPr>
          <w:rFonts w:cs="Arial"/>
          <w:i/>
        </w:rPr>
      </w:pPr>
      <w:r w:rsidRPr="00E53B53">
        <w:rPr>
          <w:rStyle w:val="FootnoteReference"/>
          <w:rFonts w:cs="Arial"/>
        </w:rPr>
        <w:footnoteRef/>
      </w:r>
      <w:r w:rsidRPr="00E53B53">
        <w:rPr>
          <w:rFonts w:cs="Arial"/>
        </w:rPr>
        <w:t xml:space="preserve"> </w:t>
      </w:r>
      <w:r w:rsidRPr="00E53B53">
        <w:rPr>
          <w:rFonts w:cs="Arial"/>
          <w:i/>
        </w:rPr>
        <w:t xml:space="preserve">Nortje </w:t>
      </w:r>
      <w:r w:rsidRPr="00E53B53">
        <w:rPr>
          <w:rFonts w:cs="Arial"/>
        </w:rPr>
        <w:t>at 395.</w:t>
      </w:r>
    </w:p>
  </w:footnote>
  <w:footnote w:id="11">
    <w:p w:rsidR="00466CE9" w:rsidRPr="003714EC" w:rsidRDefault="00466CE9" w:rsidP="00466CE9">
      <w:pPr>
        <w:pStyle w:val="FootnoteText"/>
        <w:spacing w:line="240" w:lineRule="auto"/>
        <w:rPr>
          <w:highlight w:val="yellow"/>
          <w:lang w:val="en-ZA"/>
        </w:rPr>
      </w:pPr>
      <w:r w:rsidRPr="00E53B53">
        <w:rPr>
          <w:rStyle w:val="FootnoteReference"/>
          <w:rFonts w:cs="Arial"/>
        </w:rPr>
        <w:footnoteRef/>
      </w:r>
      <w:r w:rsidRPr="00E53B53">
        <w:rPr>
          <w:rFonts w:cs="Arial"/>
        </w:rPr>
        <w:t xml:space="preserve"> </w:t>
      </w:r>
      <w:r w:rsidRPr="00E53B53">
        <w:rPr>
          <w:rFonts w:cs="Arial"/>
          <w:i/>
        </w:rPr>
        <w:t>McCarthy</w:t>
      </w:r>
      <w:r w:rsidRPr="00E53B53">
        <w:rPr>
          <w:rFonts w:cs="Arial"/>
          <w:lang w:val="en-ZA" w:eastAsia="en-ZA"/>
        </w:rPr>
        <w:t xml:space="preserve"> </w:t>
      </w:r>
      <w:r w:rsidR="00F23324" w:rsidRPr="00E53B53">
        <w:rPr>
          <w:rFonts w:cs="Arial"/>
          <w:i/>
          <w:lang w:val="en-ZA" w:eastAsia="en-ZA"/>
        </w:rPr>
        <w:t>v Shortdistance Carriers CC</w:t>
      </w:r>
      <w:r w:rsidRPr="00E53B53">
        <w:rPr>
          <w:rFonts w:cs="Arial"/>
          <w:lang w:val="en-ZA" w:eastAsia="en-ZA"/>
        </w:rPr>
        <w:t xml:space="preserve"> [2001] ZASCA 14; [2001] 3 All SA 236 (A).</w:t>
      </w:r>
    </w:p>
  </w:footnote>
  <w:footnote w:id="12">
    <w:p w:rsidR="00177062" w:rsidRPr="000D1E33" w:rsidRDefault="00177062" w:rsidP="0046430A">
      <w:pPr>
        <w:pStyle w:val="FootnoteText"/>
        <w:spacing w:line="240" w:lineRule="auto"/>
        <w:rPr>
          <w:rFonts w:cs="Arial"/>
        </w:rPr>
      </w:pPr>
      <w:r w:rsidRPr="000D1E33">
        <w:rPr>
          <w:rStyle w:val="FootnoteReference"/>
          <w:rFonts w:cs="Arial"/>
        </w:rPr>
        <w:footnoteRef/>
      </w:r>
      <w:r w:rsidRPr="000D1E33">
        <w:rPr>
          <w:rFonts w:cs="Arial"/>
        </w:rPr>
        <w:t xml:space="preserve"> </w:t>
      </w:r>
      <w:r w:rsidRPr="000D1E33">
        <w:rPr>
          <w:rFonts w:cs="Arial"/>
          <w:i/>
        </w:rPr>
        <w:t xml:space="preserve">Central Energy Fund SOC Ltd and Another v Venus Rays Trade (Pty) Ltd and Others </w:t>
      </w:r>
      <w:r w:rsidRPr="000D1E33">
        <w:rPr>
          <w:rFonts w:cs="Arial"/>
        </w:rPr>
        <w:t xml:space="preserve">[2022] ZASCA 54. </w:t>
      </w:r>
    </w:p>
  </w:footnote>
  <w:footnote w:id="13">
    <w:p w:rsidR="00177062" w:rsidRPr="000D1E33" w:rsidRDefault="00177062" w:rsidP="0046430A">
      <w:pPr>
        <w:pStyle w:val="FootnoteText"/>
        <w:spacing w:line="240" w:lineRule="auto"/>
        <w:rPr>
          <w:rFonts w:cs="Arial"/>
        </w:rPr>
      </w:pPr>
      <w:r w:rsidRPr="000D1E33">
        <w:rPr>
          <w:rStyle w:val="FootnoteReference"/>
          <w:rFonts w:cs="Arial"/>
        </w:rPr>
        <w:footnoteRef/>
      </w:r>
      <w:r w:rsidRPr="000D1E33">
        <w:rPr>
          <w:rFonts w:cs="Arial"/>
        </w:rPr>
        <w:t xml:space="preserve"> </w:t>
      </w:r>
      <w:r>
        <w:rPr>
          <w:rFonts w:cs="Arial"/>
        </w:rPr>
        <w:t xml:space="preserve">Ibid </w:t>
      </w:r>
      <w:r w:rsidRPr="000D1E33">
        <w:rPr>
          <w:rFonts w:cs="Arial"/>
        </w:rPr>
        <w:t>para 36</w:t>
      </w:r>
      <w:r>
        <w:rPr>
          <w:rFonts w:cs="Arial"/>
        </w:rPr>
        <w:t>.</w:t>
      </w:r>
    </w:p>
  </w:footnote>
  <w:footnote w:id="14">
    <w:p w:rsidR="00177062" w:rsidRPr="000B2A68" w:rsidRDefault="00177062" w:rsidP="0046430A">
      <w:pPr>
        <w:pStyle w:val="FootnoteText"/>
        <w:spacing w:line="240" w:lineRule="auto"/>
        <w:rPr>
          <w:rFonts w:cs="Arial"/>
        </w:rPr>
      </w:pPr>
      <w:r w:rsidRPr="000D1E33">
        <w:rPr>
          <w:rStyle w:val="FootnoteReference"/>
          <w:rFonts w:cs="Arial"/>
        </w:rPr>
        <w:footnoteRef/>
      </w:r>
      <w:r w:rsidRPr="000D1E33">
        <w:rPr>
          <w:rFonts w:cs="Arial"/>
        </w:rPr>
        <w:t xml:space="preserve"> </w:t>
      </w:r>
      <w:r>
        <w:rPr>
          <w:rFonts w:cs="Arial"/>
        </w:rPr>
        <w:t xml:space="preserve">Ibid. </w:t>
      </w:r>
    </w:p>
  </w:footnote>
  <w:footnote w:id="15">
    <w:p w:rsidR="00177062" w:rsidRPr="0082367E" w:rsidRDefault="00177062" w:rsidP="00220DD0">
      <w:pPr>
        <w:pStyle w:val="FootnoteText"/>
        <w:spacing w:line="240" w:lineRule="auto"/>
        <w:rPr>
          <w:lang w:val="en-ZA"/>
        </w:rPr>
      </w:pPr>
      <w:r>
        <w:rPr>
          <w:rStyle w:val="FootnoteReference"/>
        </w:rPr>
        <w:footnoteRef/>
      </w:r>
      <w:r>
        <w:t xml:space="preserve"> </w:t>
      </w:r>
      <w:r>
        <w:rPr>
          <w:i/>
        </w:rPr>
        <w:t xml:space="preserve">Bengwenyama Minerals (Pty) Ltd and Others v Genorah Resources (Pty) Ltd and Others </w:t>
      </w:r>
      <w:r>
        <w:t xml:space="preserve">[2010] ZACC 26; 2011 (4) SA 113 (CC) </w:t>
      </w:r>
      <w:r w:rsidRPr="007B1390">
        <w:t>para 84</w:t>
      </w:r>
      <w:r>
        <w:t>.</w:t>
      </w:r>
    </w:p>
  </w:footnote>
  <w:footnote w:id="16">
    <w:p w:rsidR="00177062" w:rsidRPr="008F767C" w:rsidRDefault="00177062" w:rsidP="00220DD0">
      <w:pPr>
        <w:pStyle w:val="FootnoteText"/>
        <w:spacing w:line="240" w:lineRule="auto"/>
        <w:rPr>
          <w:i/>
        </w:rPr>
      </w:pPr>
      <w:r w:rsidRPr="00BA153B">
        <w:rPr>
          <w:rStyle w:val="FootnoteReference"/>
        </w:rPr>
        <w:footnoteRef/>
      </w:r>
      <w:r w:rsidRPr="00BA153B">
        <w:t xml:space="preserve"> </w:t>
      </w:r>
      <w:r w:rsidR="004B4E53" w:rsidRPr="00BA153B">
        <w:t>I</w:t>
      </w:r>
      <w:r w:rsidRPr="00BA153B">
        <w:t>bid</w:t>
      </w:r>
      <w:r w:rsidR="004B4E53" w:rsidRPr="00BA153B">
        <w:t xml:space="preserve"> para 84</w:t>
      </w:r>
      <w:r w:rsidRPr="00BA153B">
        <w:rPr>
          <w:i/>
        </w:rPr>
        <w:t>.</w:t>
      </w:r>
      <w:r>
        <w:rPr>
          <w:i/>
        </w:rPr>
        <w:t xml:space="preserve"> </w:t>
      </w:r>
    </w:p>
  </w:footnote>
  <w:footnote w:id="17">
    <w:p w:rsidR="00177062" w:rsidRDefault="00177062" w:rsidP="00462574">
      <w:pPr>
        <w:pStyle w:val="FootnoteText"/>
        <w:spacing w:line="240" w:lineRule="auto"/>
      </w:pPr>
      <w:r w:rsidRPr="006631B2">
        <w:rPr>
          <w:rStyle w:val="FootnoteReference"/>
        </w:rPr>
        <w:footnoteRef/>
      </w:r>
      <w:r w:rsidRPr="006631B2">
        <w:t xml:space="preserve"> </w:t>
      </w:r>
      <w:r w:rsidRPr="006631B2">
        <w:rPr>
          <w:i/>
        </w:rPr>
        <w:t>Steenkamp N O v Provincial Tender Board, Eastern Cape</w:t>
      </w:r>
      <w:r w:rsidRPr="006631B2">
        <w:t xml:space="preserve"> 2007 (3)</w:t>
      </w:r>
      <w:r>
        <w:t xml:space="preserve"> BCLR 300; 2007 (3) SA 121 (CC) para 29.</w:t>
      </w:r>
    </w:p>
  </w:footnote>
  <w:footnote w:id="18">
    <w:p w:rsidR="00177062" w:rsidRPr="00BA153B" w:rsidRDefault="00177062" w:rsidP="00220DD0">
      <w:pPr>
        <w:pStyle w:val="FootnoteText"/>
        <w:spacing w:line="240" w:lineRule="auto"/>
      </w:pPr>
      <w:r>
        <w:rPr>
          <w:rStyle w:val="FootnoteReference"/>
        </w:rPr>
        <w:footnoteRef/>
      </w:r>
      <w:r>
        <w:t xml:space="preserve"> </w:t>
      </w:r>
      <w:r w:rsidRPr="00851C5E">
        <w:rPr>
          <w:i/>
        </w:rPr>
        <w:t xml:space="preserve">Electoral Commission v </w:t>
      </w:r>
      <w:r w:rsidRPr="00BA153B">
        <w:rPr>
          <w:i/>
        </w:rPr>
        <w:t xml:space="preserve">Mhlope </w:t>
      </w:r>
      <w:r w:rsidR="0054471B" w:rsidRPr="00BA153B">
        <w:rPr>
          <w:i/>
        </w:rPr>
        <w:t>and</w:t>
      </w:r>
      <w:r w:rsidRPr="00BA153B">
        <w:rPr>
          <w:i/>
        </w:rPr>
        <w:t xml:space="preserve"> Others </w:t>
      </w:r>
      <w:r w:rsidRPr="00BA153B">
        <w:t xml:space="preserve">[2016] ZACC 15; 2016 (8) BCLR 987 (CC) para 132. </w:t>
      </w:r>
    </w:p>
  </w:footnote>
  <w:footnote w:id="19">
    <w:p w:rsidR="00177062" w:rsidRPr="003949FD" w:rsidRDefault="00177062" w:rsidP="0082367E">
      <w:pPr>
        <w:pStyle w:val="FootnoteText"/>
        <w:spacing w:line="240" w:lineRule="auto"/>
        <w:rPr>
          <w:rFonts w:cs="Arial"/>
        </w:rPr>
      </w:pPr>
      <w:r w:rsidRPr="00BA153B">
        <w:rPr>
          <w:rStyle w:val="FootnoteReference"/>
          <w:rFonts w:cs="Arial"/>
        </w:rPr>
        <w:footnoteRef/>
      </w:r>
      <w:r w:rsidRPr="00BA153B">
        <w:rPr>
          <w:rFonts w:cs="Arial"/>
        </w:rPr>
        <w:t xml:space="preserve"> </w:t>
      </w:r>
      <w:r w:rsidRPr="00BA153B">
        <w:rPr>
          <w:rFonts w:cs="Arial"/>
          <w:i/>
          <w:iCs/>
        </w:rPr>
        <w:t>AllPay Consolidated Inv</w:t>
      </w:r>
      <w:r w:rsidR="005078FF" w:rsidRPr="00BA153B">
        <w:rPr>
          <w:rFonts w:cs="Arial"/>
          <w:i/>
          <w:iCs/>
        </w:rPr>
        <w:t>estment Holdings (Pty) Ltd and O</w:t>
      </w:r>
      <w:r w:rsidRPr="00BA153B">
        <w:rPr>
          <w:rFonts w:cs="Arial"/>
          <w:i/>
          <w:iCs/>
        </w:rPr>
        <w:t>thers v Chief Executive Officer of the South Afri</w:t>
      </w:r>
      <w:r w:rsidR="005078FF" w:rsidRPr="00BA153B">
        <w:rPr>
          <w:rFonts w:cs="Arial"/>
          <w:i/>
          <w:iCs/>
        </w:rPr>
        <w:t>can Social Security Agency and Others (Corruption Watch and A</w:t>
      </w:r>
      <w:r w:rsidRPr="00BA153B">
        <w:rPr>
          <w:rFonts w:cs="Arial"/>
          <w:i/>
          <w:iCs/>
        </w:rPr>
        <w:t>nother as amici curiae) (Allpay 2)</w:t>
      </w:r>
      <w:r w:rsidRPr="00BA153B">
        <w:rPr>
          <w:rFonts w:cs="Arial"/>
        </w:rPr>
        <w:t xml:space="preserve"> para 32.</w:t>
      </w:r>
    </w:p>
  </w:footnote>
  <w:footnote w:id="20">
    <w:p w:rsidR="00177062" w:rsidRPr="003949FD" w:rsidRDefault="00177062" w:rsidP="0082367E">
      <w:pPr>
        <w:pStyle w:val="FootnoteText"/>
        <w:spacing w:line="240" w:lineRule="auto"/>
        <w:rPr>
          <w:rFonts w:cs="Arial"/>
        </w:rPr>
      </w:pPr>
      <w:r w:rsidRPr="00BA153B">
        <w:rPr>
          <w:rStyle w:val="FootnoteReference"/>
          <w:rFonts w:cs="Arial"/>
        </w:rPr>
        <w:footnoteRef/>
      </w:r>
      <w:r w:rsidRPr="00BA153B">
        <w:rPr>
          <w:rFonts w:cs="Arial"/>
        </w:rPr>
        <w:t xml:space="preserve"> </w:t>
      </w:r>
      <w:r w:rsidR="004B4E53" w:rsidRPr="00BA153B">
        <w:rPr>
          <w:rFonts w:cs="Arial"/>
        </w:rPr>
        <w:t>I</w:t>
      </w:r>
      <w:r w:rsidRPr="00BA153B">
        <w:rPr>
          <w:rFonts w:cs="Arial"/>
          <w:iCs/>
        </w:rPr>
        <w:t xml:space="preserve">bid </w:t>
      </w:r>
      <w:r w:rsidRPr="00BA153B">
        <w:rPr>
          <w:rFonts w:cs="Arial"/>
        </w:rPr>
        <w:t>para</w:t>
      </w:r>
      <w:r w:rsidRPr="003949FD">
        <w:rPr>
          <w:rFonts w:cs="Arial"/>
        </w:rPr>
        <w:t xml:space="preserve"> 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62" w:rsidRDefault="00177062"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7C7163">
      <w:rPr>
        <w:noProof/>
      </w:rPr>
      <w:t>4</w:t>
    </w:r>
    <w:r>
      <w:rPr>
        <w:noProof/>
      </w:rPr>
      <w:fldChar w:fldCharType="end"/>
    </w:r>
  </w:p>
  <w:p w:rsidR="00177062" w:rsidRDefault="001770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65"/>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5636B6"/>
    <w:multiLevelType w:val="hybridMultilevel"/>
    <w:tmpl w:val="EA32024E"/>
    <w:lvl w:ilvl="0" w:tplc="3F2287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D4637C"/>
    <w:multiLevelType w:val="hybridMultilevel"/>
    <w:tmpl w:val="598A6B64"/>
    <w:lvl w:ilvl="0" w:tplc="611CECA6">
      <w:start w:val="1"/>
      <w:numFmt w:val="lowerLetter"/>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5D04389"/>
    <w:multiLevelType w:val="hybridMultilevel"/>
    <w:tmpl w:val="1B6A16D2"/>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3EFC13BF"/>
    <w:multiLevelType w:val="hybridMultilevel"/>
    <w:tmpl w:val="1812B360"/>
    <w:lvl w:ilvl="0" w:tplc="D5582E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60114"/>
    <w:multiLevelType w:val="hybridMultilevel"/>
    <w:tmpl w:val="E5FEC8CC"/>
    <w:lvl w:ilvl="0" w:tplc="54B40C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160524"/>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15"/>
    <w:lvlOverride w:ilvl="0">
      <w:startOverride w:val="12"/>
    </w:lvlOverride>
  </w:num>
  <w:num w:numId="4">
    <w:abstractNumId w:val="7"/>
  </w:num>
  <w:num w:numId="5">
    <w:abstractNumId w:val="8"/>
  </w:num>
  <w:num w:numId="6">
    <w:abstractNumId w:val="2"/>
  </w:num>
  <w:num w:numId="7">
    <w:abstractNumId w:val="9"/>
  </w:num>
  <w:num w:numId="8">
    <w:abstractNumId w:val="1"/>
  </w:num>
  <w:num w:numId="9">
    <w:abstractNumId w:val="12"/>
  </w:num>
  <w:num w:numId="10">
    <w:abstractNumId w:val="14"/>
  </w:num>
  <w:num w:numId="11">
    <w:abstractNumId w:val="11"/>
  </w:num>
  <w:num w:numId="12">
    <w:abstractNumId w:val="3"/>
  </w:num>
  <w:num w:numId="13">
    <w:abstractNumId w:val="0"/>
  </w:num>
  <w:num w:numId="14">
    <w:abstractNumId w:val="13"/>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MzQzM7cwNjEyNrJU0lEKTi0uzszPAykwqQUA4PYd7SwAAAA="/>
  </w:docVars>
  <w:rsids>
    <w:rsidRoot w:val="008B1580"/>
    <w:rsid w:val="00001262"/>
    <w:rsid w:val="00003699"/>
    <w:rsid w:val="00004490"/>
    <w:rsid w:val="00006E74"/>
    <w:rsid w:val="00007F20"/>
    <w:rsid w:val="00010A25"/>
    <w:rsid w:val="00012564"/>
    <w:rsid w:val="00013521"/>
    <w:rsid w:val="0001555E"/>
    <w:rsid w:val="00015D4B"/>
    <w:rsid w:val="000206E7"/>
    <w:rsid w:val="00020CC7"/>
    <w:rsid w:val="00021C55"/>
    <w:rsid w:val="00021CBA"/>
    <w:rsid w:val="00023097"/>
    <w:rsid w:val="000231FE"/>
    <w:rsid w:val="00023C3F"/>
    <w:rsid w:val="00023CD4"/>
    <w:rsid w:val="00023EDE"/>
    <w:rsid w:val="00024ADF"/>
    <w:rsid w:val="00024F76"/>
    <w:rsid w:val="00025EC2"/>
    <w:rsid w:val="00025FEE"/>
    <w:rsid w:val="000265B8"/>
    <w:rsid w:val="00031DAB"/>
    <w:rsid w:val="00032717"/>
    <w:rsid w:val="00033501"/>
    <w:rsid w:val="0003447C"/>
    <w:rsid w:val="00034BB4"/>
    <w:rsid w:val="00034E38"/>
    <w:rsid w:val="000355E3"/>
    <w:rsid w:val="0003561F"/>
    <w:rsid w:val="000359D0"/>
    <w:rsid w:val="000362C6"/>
    <w:rsid w:val="000376E8"/>
    <w:rsid w:val="00041BF0"/>
    <w:rsid w:val="00042543"/>
    <w:rsid w:val="00044AA1"/>
    <w:rsid w:val="00045422"/>
    <w:rsid w:val="0004570A"/>
    <w:rsid w:val="00045B2D"/>
    <w:rsid w:val="0005272D"/>
    <w:rsid w:val="000527C5"/>
    <w:rsid w:val="00052F48"/>
    <w:rsid w:val="00053087"/>
    <w:rsid w:val="00053328"/>
    <w:rsid w:val="000539F5"/>
    <w:rsid w:val="00053DDE"/>
    <w:rsid w:val="000555AD"/>
    <w:rsid w:val="000564D4"/>
    <w:rsid w:val="00057D48"/>
    <w:rsid w:val="00060B81"/>
    <w:rsid w:val="00060DB1"/>
    <w:rsid w:val="00062041"/>
    <w:rsid w:val="00062652"/>
    <w:rsid w:val="00064671"/>
    <w:rsid w:val="00064741"/>
    <w:rsid w:val="00064F83"/>
    <w:rsid w:val="000665C8"/>
    <w:rsid w:val="0006693E"/>
    <w:rsid w:val="00067529"/>
    <w:rsid w:val="00067E4F"/>
    <w:rsid w:val="000705AE"/>
    <w:rsid w:val="0007075B"/>
    <w:rsid w:val="00070C43"/>
    <w:rsid w:val="00070F40"/>
    <w:rsid w:val="00071EFF"/>
    <w:rsid w:val="00072BCD"/>
    <w:rsid w:val="0007359D"/>
    <w:rsid w:val="00073B48"/>
    <w:rsid w:val="00074949"/>
    <w:rsid w:val="00074BDA"/>
    <w:rsid w:val="0007588B"/>
    <w:rsid w:val="000765CD"/>
    <w:rsid w:val="00076A07"/>
    <w:rsid w:val="00076BE6"/>
    <w:rsid w:val="000808BF"/>
    <w:rsid w:val="00081772"/>
    <w:rsid w:val="00081A5E"/>
    <w:rsid w:val="0008254F"/>
    <w:rsid w:val="000826BA"/>
    <w:rsid w:val="00083A3D"/>
    <w:rsid w:val="00084256"/>
    <w:rsid w:val="00085979"/>
    <w:rsid w:val="00090914"/>
    <w:rsid w:val="00090921"/>
    <w:rsid w:val="00091CDA"/>
    <w:rsid w:val="00091F96"/>
    <w:rsid w:val="0009236E"/>
    <w:rsid w:val="00092767"/>
    <w:rsid w:val="00092EB3"/>
    <w:rsid w:val="00094928"/>
    <w:rsid w:val="00094F90"/>
    <w:rsid w:val="00096A39"/>
    <w:rsid w:val="000974D8"/>
    <w:rsid w:val="0009783E"/>
    <w:rsid w:val="000A03E4"/>
    <w:rsid w:val="000A11D8"/>
    <w:rsid w:val="000A1357"/>
    <w:rsid w:val="000A13B4"/>
    <w:rsid w:val="000A1683"/>
    <w:rsid w:val="000A35D4"/>
    <w:rsid w:val="000A4850"/>
    <w:rsid w:val="000A5143"/>
    <w:rsid w:val="000A5194"/>
    <w:rsid w:val="000A5197"/>
    <w:rsid w:val="000A54F4"/>
    <w:rsid w:val="000A5715"/>
    <w:rsid w:val="000A5B84"/>
    <w:rsid w:val="000A6AA2"/>
    <w:rsid w:val="000A6D45"/>
    <w:rsid w:val="000A7DDA"/>
    <w:rsid w:val="000B036F"/>
    <w:rsid w:val="000B085F"/>
    <w:rsid w:val="000B08E4"/>
    <w:rsid w:val="000B0DAB"/>
    <w:rsid w:val="000B103F"/>
    <w:rsid w:val="000B16AD"/>
    <w:rsid w:val="000B1898"/>
    <w:rsid w:val="000B2A68"/>
    <w:rsid w:val="000B3331"/>
    <w:rsid w:val="000B3A83"/>
    <w:rsid w:val="000B47AA"/>
    <w:rsid w:val="000B70D0"/>
    <w:rsid w:val="000C015C"/>
    <w:rsid w:val="000C0A30"/>
    <w:rsid w:val="000C0F2D"/>
    <w:rsid w:val="000C21F5"/>
    <w:rsid w:val="000C3B90"/>
    <w:rsid w:val="000C66C0"/>
    <w:rsid w:val="000C6C56"/>
    <w:rsid w:val="000C6ED8"/>
    <w:rsid w:val="000D06F5"/>
    <w:rsid w:val="000D07EB"/>
    <w:rsid w:val="000D1924"/>
    <w:rsid w:val="000D1E33"/>
    <w:rsid w:val="000D294E"/>
    <w:rsid w:val="000D5CC5"/>
    <w:rsid w:val="000D7030"/>
    <w:rsid w:val="000D7270"/>
    <w:rsid w:val="000D767A"/>
    <w:rsid w:val="000E061F"/>
    <w:rsid w:val="000E0DDA"/>
    <w:rsid w:val="000E1134"/>
    <w:rsid w:val="000E2282"/>
    <w:rsid w:val="000E2361"/>
    <w:rsid w:val="000E45B0"/>
    <w:rsid w:val="000E46A5"/>
    <w:rsid w:val="000E48CB"/>
    <w:rsid w:val="000E5EDD"/>
    <w:rsid w:val="000E6BED"/>
    <w:rsid w:val="000E790D"/>
    <w:rsid w:val="000F33E7"/>
    <w:rsid w:val="000F4C7B"/>
    <w:rsid w:val="000F4FC4"/>
    <w:rsid w:val="000F51EB"/>
    <w:rsid w:val="000F53D3"/>
    <w:rsid w:val="000F573A"/>
    <w:rsid w:val="000F5786"/>
    <w:rsid w:val="000F7375"/>
    <w:rsid w:val="001002D0"/>
    <w:rsid w:val="00101CB6"/>
    <w:rsid w:val="00102A92"/>
    <w:rsid w:val="00102BD7"/>
    <w:rsid w:val="00102CFD"/>
    <w:rsid w:val="00102E7A"/>
    <w:rsid w:val="0010304F"/>
    <w:rsid w:val="00103B8B"/>
    <w:rsid w:val="00105E52"/>
    <w:rsid w:val="00107ECF"/>
    <w:rsid w:val="00110143"/>
    <w:rsid w:val="001113D7"/>
    <w:rsid w:val="00113DBF"/>
    <w:rsid w:val="00114DF5"/>
    <w:rsid w:val="00116076"/>
    <w:rsid w:val="00116D37"/>
    <w:rsid w:val="001171F4"/>
    <w:rsid w:val="0011740A"/>
    <w:rsid w:val="00117A2A"/>
    <w:rsid w:val="00120E2B"/>
    <w:rsid w:val="0012171A"/>
    <w:rsid w:val="001217DA"/>
    <w:rsid w:val="00121F6E"/>
    <w:rsid w:val="0012324B"/>
    <w:rsid w:val="001235E2"/>
    <w:rsid w:val="00124590"/>
    <w:rsid w:val="001246FF"/>
    <w:rsid w:val="00124CD8"/>
    <w:rsid w:val="00125807"/>
    <w:rsid w:val="00125AAF"/>
    <w:rsid w:val="00126996"/>
    <w:rsid w:val="001270F1"/>
    <w:rsid w:val="00127152"/>
    <w:rsid w:val="00127387"/>
    <w:rsid w:val="00130C2C"/>
    <w:rsid w:val="001317BD"/>
    <w:rsid w:val="0013207E"/>
    <w:rsid w:val="001328EE"/>
    <w:rsid w:val="00134EF5"/>
    <w:rsid w:val="001360EB"/>
    <w:rsid w:val="00136D06"/>
    <w:rsid w:val="00142DEA"/>
    <w:rsid w:val="00143001"/>
    <w:rsid w:val="00143131"/>
    <w:rsid w:val="001453A2"/>
    <w:rsid w:val="0014704D"/>
    <w:rsid w:val="00147677"/>
    <w:rsid w:val="00150368"/>
    <w:rsid w:val="00151B64"/>
    <w:rsid w:val="00151DAA"/>
    <w:rsid w:val="00151E52"/>
    <w:rsid w:val="00154907"/>
    <w:rsid w:val="00154A9A"/>
    <w:rsid w:val="00156093"/>
    <w:rsid w:val="00157DE8"/>
    <w:rsid w:val="00161E18"/>
    <w:rsid w:val="001634C6"/>
    <w:rsid w:val="00163931"/>
    <w:rsid w:val="00164944"/>
    <w:rsid w:val="00165915"/>
    <w:rsid w:val="00166497"/>
    <w:rsid w:val="001666B2"/>
    <w:rsid w:val="00167827"/>
    <w:rsid w:val="0017047E"/>
    <w:rsid w:val="001706A6"/>
    <w:rsid w:val="00170C02"/>
    <w:rsid w:val="00172072"/>
    <w:rsid w:val="001726F1"/>
    <w:rsid w:val="0017291C"/>
    <w:rsid w:val="00173874"/>
    <w:rsid w:val="00174EE8"/>
    <w:rsid w:val="00176B33"/>
    <w:rsid w:val="00177062"/>
    <w:rsid w:val="00180983"/>
    <w:rsid w:val="001825C1"/>
    <w:rsid w:val="00182BAE"/>
    <w:rsid w:val="0018313A"/>
    <w:rsid w:val="00184728"/>
    <w:rsid w:val="00185972"/>
    <w:rsid w:val="001859A6"/>
    <w:rsid w:val="001861B8"/>
    <w:rsid w:val="00186ABF"/>
    <w:rsid w:val="00190B0C"/>
    <w:rsid w:val="00192709"/>
    <w:rsid w:val="001943E3"/>
    <w:rsid w:val="0019442A"/>
    <w:rsid w:val="00195D17"/>
    <w:rsid w:val="00196209"/>
    <w:rsid w:val="0019621F"/>
    <w:rsid w:val="00197051"/>
    <w:rsid w:val="001A072E"/>
    <w:rsid w:val="001A0A6A"/>
    <w:rsid w:val="001A0A70"/>
    <w:rsid w:val="001A1BEE"/>
    <w:rsid w:val="001A3DAD"/>
    <w:rsid w:val="001A4D36"/>
    <w:rsid w:val="001A5B07"/>
    <w:rsid w:val="001A5F3A"/>
    <w:rsid w:val="001A7651"/>
    <w:rsid w:val="001B1BEF"/>
    <w:rsid w:val="001B2E73"/>
    <w:rsid w:val="001B3079"/>
    <w:rsid w:val="001B32E0"/>
    <w:rsid w:val="001B3B0B"/>
    <w:rsid w:val="001B48AA"/>
    <w:rsid w:val="001B5685"/>
    <w:rsid w:val="001B5AA8"/>
    <w:rsid w:val="001B7741"/>
    <w:rsid w:val="001C0156"/>
    <w:rsid w:val="001C09BF"/>
    <w:rsid w:val="001C0F00"/>
    <w:rsid w:val="001C1500"/>
    <w:rsid w:val="001C285B"/>
    <w:rsid w:val="001C2DB9"/>
    <w:rsid w:val="001C3EFE"/>
    <w:rsid w:val="001C4918"/>
    <w:rsid w:val="001C6A1E"/>
    <w:rsid w:val="001C6F44"/>
    <w:rsid w:val="001C709D"/>
    <w:rsid w:val="001C7B52"/>
    <w:rsid w:val="001D0B4B"/>
    <w:rsid w:val="001D0CE7"/>
    <w:rsid w:val="001D10F6"/>
    <w:rsid w:val="001D1552"/>
    <w:rsid w:val="001D1684"/>
    <w:rsid w:val="001D1D41"/>
    <w:rsid w:val="001D1E26"/>
    <w:rsid w:val="001D2D6A"/>
    <w:rsid w:val="001D3975"/>
    <w:rsid w:val="001D3B0E"/>
    <w:rsid w:val="001D575E"/>
    <w:rsid w:val="001D725E"/>
    <w:rsid w:val="001D7A1C"/>
    <w:rsid w:val="001D7BF3"/>
    <w:rsid w:val="001D7DD0"/>
    <w:rsid w:val="001E2249"/>
    <w:rsid w:val="001E406B"/>
    <w:rsid w:val="001E4831"/>
    <w:rsid w:val="001E5370"/>
    <w:rsid w:val="001E5D72"/>
    <w:rsid w:val="001E66A9"/>
    <w:rsid w:val="001E66DC"/>
    <w:rsid w:val="001E7E92"/>
    <w:rsid w:val="001F0BDF"/>
    <w:rsid w:val="001F2030"/>
    <w:rsid w:val="001F2DAD"/>
    <w:rsid w:val="001F30A3"/>
    <w:rsid w:val="001F385E"/>
    <w:rsid w:val="001F4B33"/>
    <w:rsid w:val="001F4E35"/>
    <w:rsid w:val="001F4F7C"/>
    <w:rsid w:val="001F513F"/>
    <w:rsid w:val="001F5992"/>
    <w:rsid w:val="001F6764"/>
    <w:rsid w:val="00200DCE"/>
    <w:rsid w:val="0020195B"/>
    <w:rsid w:val="00203BC0"/>
    <w:rsid w:val="00204E63"/>
    <w:rsid w:val="0020630F"/>
    <w:rsid w:val="002066D2"/>
    <w:rsid w:val="00206A15"/>
    <w:rsid w:val="00210584"/>
    <w:rsid w:val="002110DD"/>
    <w:rsid w:val="00211562"/>
    <w:rsid w:val="00211D77"/>
    <w:rsid w:val="00215767"/>
    <w:rsid w:val="00215C85"/>
    <w:rsid w:val="0021630E"/>
    <w:rsid w:val="0021796C"/>
    <w:rsid w:val="002205D1"/>
    <w:rsid w:val="00220DD0"/>
    <w:rsid w:val="00221520"/>
    <w:rsid w:val="00222B8C"/>
    <w:rsid w:val="00222E33"/>
    <w:rsid w:val="0022422F"/>
    <w:rsid w:val="00224840"/>
    <w:rsid w:val="00224AB9"/>
    <w:rsid w:val="00224F9A"/>
    <w:rsid w:val="002256FC"/>
    <w:rsid w:val="00225A84"/>
    <w:rsid w:val="00226451"/>
    <w:rsid w:val="0022713F"/>
    <w:rsid w:val="00227532"/>
    <w:rsid w:val="00230E57"/>
    <w:rsid w:val="00231777"/>
    <w:rsid w:val="002324F3"/>
    <w:rsid w:val="00237343"/>
    <w:rsid w:val="00237BA2"/>
    <w:rsid w:val="00240699"/>
    <w:rsid w:val="002417DE"/>
    <w:rsid w:val="002422F0"/>
    <w:rsid w:val="00243865"/>
    <w:rsid w:val="00244582"/>
    <w:rsid w:val="00244F82"/>
    <w:rsid w:val="00245452"/>
    <w:rsid w:val="00245A40"/>
    <w:rsid w:val="00246A76"/>
    <w:rsid w:val="002509B3"/>
    <w:rsid w:val="00250B45"/>
    <w:rsid w:val="0025183A"/>
    <w:rsid w:val="00252065"/>
    <w:rsid w:val="002539BD"/>
    <w:rsid w:val="00253BB3"/>
    <w:rsid w:val="00253C77"/>
    <w:rsid w:val="00255C36"/>
    <w:rsid w:val="00255DC1"/>
    <w:rsid w:val="00256C46"/>
    <w:rsid w:val="00256FDE"/>
    <w:rsid w:val="00262186"/>
    <w:rsid w:val="00262C02"/>
    <w:rsid w:val="00262EB5"/>
    <w:rsid w:val="002647C4"/>
    <w:rsid w:val="0026680D"/>
    <w:rsid w:val="00271DE4"/>
    <w:rsid w:val="0027231E"/>
    <w:rsid w:val="00272FD5"/>
    <w:rsid w:val="0027332E"/>
    <w:rsid w:val="00275C9A"/>
    <w:rsid w:val="00275DBB"/>
    <w:rsid w:val="002767AA"/>
    <w:rsid w:val="00276A29"/>
    <w:rsid w:val="00276E1E"/>
    <w:rsid w:val="00277553"/>
    <w:rsid w:val="0027761B"/>
    <w:rsid w:val="0027774B"/>
    <w:rsid w:val="002802FD"/>
    <w:rsid w:val="00282365"/>
    <w:rsid w:val="00282C04"/>
    <w:rsid w:val="00284827"/>
    <w:rsid w:val="00284F4D"/>
    <w:rsid w:val="00285D7D"/>
    <w:rsid w:val="00286095"/>
    <w:rsid w:val="00287FAE"/>
    <w:rsid w:val="00290F98"/>
    <w:rsid w:val="00290FF9"/>
    <w:rsid w:val="00291489"/>
    <w:rsid w:val="00294DE0"/>
    <w:rsid w:val="00295285"/>
    <w:rsid w:val="00295687"/>
    <w:rsid w:val="002A0AA0"/>
    <w:rsid w:val="002A152C"/>
    <w:rsid w:val="002A1981"/>
    <w:rsid w:val="002A22EB"/>
    <w:rsid w:val="002A2DAB"/>
    <w:rsid w:val="002A32D2"/>
    <w:rsid w:val="002A3E57"/>
    <w:rsid w:val="002A5D3B"/>
    <w:rsid w:val="002A5FB5"/>
    <w:rsid w:val="002A688D"/>
    <w:rsid w:val="002A7B50"/>
    <w:rsid w:val="002A7D53"/>
    <w:rsid w:val="002B078D"/>
    <w:rsid w:val="002B0F19"/>
    <w:rsid w:val="002B11E5"/>
    <w:rsid w:val="002B3E41"/>
    <w:rsid w:val="002B439B"/>
    <w:rsid w:val="002B4D16"/>
    <w:rsid w:val="002B5250"/>
    <w:rsid w:val="002B65C2"/>
    <w:rsid w:val="002B671E"/>
    <w:rsid w:val="002B7D5F"/>
    <w:rsid w:val="002B7DDB"/>
    <w:rsid w:val="002C0308"/>
    <w:rsid w:val="002C144B"/>
    <w:rsid w:val="002C1D95"/>
    <w:rsid w:val="002C2201"/>
    <w:rsid w:val="002C406B"/>
    <w:rsid w:val="002C4988"/>
    <w:rsid w:val="002C51E8"/>
    <w:rsid w:val="002C5C1A"/>
    <w:rsid w:val="002C6183"/>
    <w:rsid w:val="002C67F9"/>
    <w:rsid w:val="002C77C4"/>
    <w:rsid w:val="002C7FD5"/>
    <w:rsid w:val="002D0B8D"/>
    <w:rsid w:val="002D26B6"/>
    <w:rsid w:val="002D2CF0"/>
    <w:rsid w:val="002D3CEF"/>
    <w:rsid w:val="002D3EB0"/>
    <w:rsid w:val="002D4370"/>
    <w:rsid w:val="002D5473"/>
    <w:rsid w:val="002D695B"/>
    <w:rsid w:val="002E203F"/>
    <w:rsid w:val="002E2A42"/>
    <w:rsid w:val="002E2F48"/>
    <w:rsid w:val="002E38B4"/>
    <w:rsid w:val="002E3E50"/>
    <w:rsid w:val="002E57CD"/>
    <w:rsid w:val="002E7190"/>
    <w:rsid w:val="002E7339"/>
    <w:rsid w:val="002E7A5A"/>
    <w:rsid w:val="002F081A"/>
    <w:rsid w:val="002F0995"/>
    <w:rsid w:val="002F1525"/>
    <w:rsid w:val="002F19B4"/>
    <w:rsid w:val="002F1D62"/>
    <w:rsid w:val="002F277C"/>
    <w:rsid w:val="002F2B21"/>
    <w:rsid w:val="002F3B15"/>
    <w:rsid w:val="002F440D"/>
    <w:rsid w:val="002F7071"/>
    <w:rsid w:val="002F7096"/>
    <w:rsid w:val="002F710F"/>
    <w:rsid w:val="002F7479"/>
    <w:rsid w:val="0030013D"/>
    <w:rsid w:val="00300353"/>
    <w:rsid w:val="003003D5"/>
    <w:rsid w:val="00300787"/>
    <w:rsid w:val="00300D07"/>
    <w:rsid w:val="0030104E"/>
    <w:rsid w:val="003025A5"/>
    <w:rsid w:val="00302959"/>
    <w:rsid w:val="003031B0"/>
    <w:rsid w:val="00304493"/>
    <w:rsid w:val="003044F3"/>
    <w:rsid w:val="003047B7"/>
    <w:rsid w:val="00304F1E"/>
    <w:rsid w:val="003058F5"/>
    <w:rsid w:val="00305FBA"/>
    <w:rsid w:val="0031007F"/>
    <w:rsid w:val="00311E42"/>
    <w:rsid w:val="00312058"/>
    <w:rsid w:val="00312790"/>
    <w:rsid w:val="00312F8F"/>
    <w:rsid w:val="00313D86"/>
    <w:rsid w:val="00313E52"/>
    <w:rsid w:val="003148AB"/>
    <w:rsid w:val="00315CE4"/>
    <w:rsid w:val="0031729E"/>
    <w:rsid w:val="00317348"/>
    <w:rsid w:val="00321A71"/>
    <w:rsid w:val="003225EF"/>
    <w:rsid w:val="003226F9"/>
    <w:rsid w:val="0032368A"/>
    <w:rsid w:val="00324478"/>
    <w:rsid w:val="00325D19"/>
    <w:rsid w:val="003262D3"/>
    <w:rsid w:val="0032677B"/>
    <w:rsid w:val="00326D4F"/>
    <w:rsid w:val="00330F85"/>
    <w:rsid w:val="00331089"/>
    <w:rsid w:val="003311AE"/>
    <w:rsid w:val="0033299D"/>
    <w:rsid w:val="00332A09"/>
    <w:rsid w:val="0033473C"/>
    <w:rsid w:val="00337037"/>
    <w:rsid w:val="003370E5"/>
    <w:rsid w:val="00337DA1"/>
    <w:rsid w:val="00337FA3"/>
    <w:rsid w:val="00340874"/>
    <w:rsid w:val="00340B29"/>
    <w:rsid w:val="00340EC7"/>
    <w:rsid w:val="00342721"/>
    <w:rsid w:val="00343243"/>
    <w:rsid w:val="00343F06"/>
    <w:rsid w:val="00344135"/>
    <w:rsid w:val="00345921"/>
    <w:rsid w:val="0034746E"/>
    <w:rsid w:val="00347CBF"/>
    <w:rsid w:val="00350AEC"/>
    <w:rsid w:val="00351AA6"/>
    <w:rsid w:val="00353ED0"/>
    <w:rsid w:val="00354D0B"/>
    <w:rsid w:val="003554FC"/>
    <w:rsid w:val="0035562B"/>
    <w:rsid w:val="00356DDC"/>
    <w:rsid w:val="00357A42"/>
    <w:rsid w:val="00361038"/>
    <w:rsid w:val="003614E7"/>
    <w:rsid w:val="0036277A"/>
    <w:rsid w:val="00363B9D"/>
    <w:rsid w:val="00364639"/>
    <w:rsid w:val="00366386"/>
    <w:rsid w:val="00366C72"/>
    <w:rsid w:val="00366F18"/>
    <w:rsid w:val="0036794C"/>
    <w:rsid w:val="00370345"/>
    <w:rsid w:val="003714EC"/>
    <w:rsid w:val="00372FED"/>
    <w:rsid w:val="00374C6F"/>
    <w:rsid w:val="0037506C"/>
    <w:rsid w:val="003757D2"/>
    <w:rsid w:val="00376298"/>
    <w:rsid w:val="003775B0"/>
    <w:rsid w:val="003809F2"/>
    <w:rsid w:val="003831C3"/>
    <w:rsid w:val="00383A5E"/>
    <w:rsid w:val="0038448F"/>
    <w:rsid w:val="00384AB0"/>
    <w:rsid w:val="00385DA3"/>
    <w:rsid w:val="00391D93"/>
    <w:rsid w:val="003929DC"/>
    <w:rsid w:val="003930CC"/>
    <w:rsid w:val="003932AA"/>
    <w:rsid w:val="00393370"/>
    <w:rsid w:val="00393A4B"/>
    <w:rsid w:val="003949FD"/>
    <w:rsid w:val="003956FC"/>
    <w:rsid w:val="003A1BA5"/>
    <w:rsid w:val="003A2850"/>
    <w:rsid w:val="003A3060"/>
    <w:rsid w:val="003A6521"/>
    <w:rsid w:val="003A6A0C"/>
    <w:rsid w:val="003A769D"/>
    <w:rsid w:val="003A78CE"/>
    <w:rsid w:val="003A7CE1"/>
    <w:rsid w:val="003B1DDC"/>
    <w:rsid w:val="003B2A76"/>
    <w:rsid w:val="003B5267"/>
    <w:rsid w:val="003B66BD"/>
    <w:rsid w:val="003B6C36"/>
    <w:rsid w:val="003C025C"/>
    <w:rsid w:val="003C057A"/>
    <w:rsid w:val="003C0AEA"/>
    <w:rsid w:val="003C2327"/>
    <w:rsid w:val="003C2AF8"/>
    <w:rsid w:val="003C2EC2"/>
    <w:rsid w:val="003C3312"/>
    <w:rsid w:val="003C4931"/>
    <w:rsid w:val="003C4E05"/>
    <w:rsid w:val="003C52BE"/>
    <w:rsid w:val="003C589E"/>
    <w:rsid w:val="003C5F80"/>
    <w:rsid w:val="003C6231"/>
    <w:rsid w:val="003C6873"/>
    <w:rsid w:val="003C6B7C"/>
    <w:rsid w:val="003C7839"/>
    <w:rsid w:val="003D05C5"/>
    <w:rsid w:val="003D1468"/>
    <w:rsid w:val="003D2548"/>
    <w:rsid w:val="003D2C47"/>
    <w:rsid w:val="003D3CDF"/>
    <w:rsid w:val="003D4CF5"/>
    <w:rsid w:val="003D70A7"/>
    <w:rsid w:val="003D7F5B"/>
    <w:rsid w:val="003E0C6C"/>
    <w:rsid w:val="003E1A02"/>
    <w:rsid w:val="003E2031"/>
    <w:rsid w:val="003E23DD"/>
    <w:rsid w:val="003E29C8"/>
    <w:rsid w:val="003E4B82"/>
    <w:rsid w:val="003E5184"/>
    <w:rsid w:val="003E5536"/>
    <w:rsid w:val="003E6B01"/>
    <w:rsid w:val="003E736A"/>
    <w:rsid w:val="003F0E03"/>
    <w:rsid w:val="003F124E"/>
    <w:rsid w:val="003F22DD"/>
    <w:rsid w:val="003F2E90"/>
    <w:rsid w:val="003F37AC"/>
    <w:rsid w:val="003F4977"/>
    <w:rsid w:val="003F4A06"/>
    <w:rsid w:val="003F5519"/>
    <w:rsid w:val="003F610A"/>
    <w:rsid w:val="003F67E9"/>
    <w:rsid w:val="003F7E94"/>
    <w:rsid w:val="003F7E99"/>
    <w:rsid w:val="00400AFC"/>
    <w:rsid w:val="004014A9"/>
    <w:rsid w:val="0040168E"/>
    <w:rsid w:val="00401C27"/>
    <w:rsid w:val="00402A22"/>
    <w:rsid w:val="0040487D"/>
    <w:rsid w:val="00405F25"/>
    <w:rsid w:val="00406F93"/>
    <w:rsid w:val="00407C61"/>
    <w:rsid w:val="00410A14"/>
    <w:rsid w:val="00414539"/>
    <w:rsid w:val="004148A2"/>
    <w:rsid w:val="0041668E"/>
    <w:rsid w:val="00416786"/>
    <w:rsid w:val="00416A66"/>
    <w:rsid w:val="00420086"/>
    <w:rsid w:val="004204F8"/>
    <w:rsid w:val="0042163B"/>
    <w:rsid w:val="004216C6"/>
    <w:rsid w:val="00422CFF"/>
    <w:rsid w:val="00423A22"/>
    <w:rsid w:val="00423E62"/>
    <w:rsid w:val="00424701"/>
    <w:rsid w:val="00425C57"/>
    <w:rsid w:val="00426D2F"/>
    <w:rsid w:val="00426DEA"/>
    <w:rsid w:val="0042774E"/>
    <w:rsid w:val="004304A0"/>
    <w:rsid w:val="00430D60"/>
    <w:rsid w:val="00431321"/>
    <w:rsid w:val="004314F2"/>
    <w:rsid w:val="00431B58"/>
    <w:rsid w:val="0043342F"/>
    <w:rsid w:val="00433466"/>
    <w:rsid w:val="004344FA"/>
    <w:rsid w:val="00434984"/>
    <w:rsid w:val="004368C0"/>
    <w:rsid w:val="00436B1F"/>
    <w:rsid w:val="004405BB"/>
    <w:rsid w:val="00440613"/>
    <w:rsid w:val="00441C3A"/>
    <w:rsid w:val="00442888"/>
    <w:rsid w:val="00443762"/>
    <w:rsid w:val="00443DB8"/>
    <w:rsid w:val="004444AD"/>
    <w:rsid w:val="004457AC"/>
    <w:rsid w:val="0044585F"/>
    <w:rsid w:val="00445FCD"/>
    <w:rsid w:val="0044647F"/>
    <w:rsid w:val="004464A5"/>
    <w:rsid w:val="00447E58"/>
    <w:rsid w:val="00450B48"/>
    <w:rsid w:val="0045181C"/>
    <w:rsid w:val="00452B3D"/>
    <w:rsid w:val="004533E1"/>
    <w:rsid w:val="00453AB2"/>
    <w:rsid w:val="00453DFB"/>
    <w:rsid w:val="004566AA"/>
    <w:rsid w:val="00457AA5"/>
    <w:rsid w:val="0046044A"/>
    <w:rsid w:val="00461056"/>
    <w:rsid w:val="00461429"/>
    <w:rsid w:val="00461B69"/>
    <w:rsid w:val="00462574"/>
    <w:rsid w:val="00462B4C"/>
    <w:rsid w:val="00462D88"/>
    <w:rsid w:val="0046430A"/>
    <w:rsid w:val="004656E1"/>
    <w:rsid w:val="00466CE9"/>
    <w:rsid w:val="00466F8B"/>
    <w:rsid w:val="00467089"/>
    <w:rsid w:val="004672F0"/>
    <w:rsid w:val="0046740E"/>
    <w:rsid w:val="00470C37"/>
    <w:rsid w:val="004726A6"/>
    <w:rsid w:val="00472A3C"/>
    <w:rsid w:val="004748AB"/>
    <w:rsid w:val="004766AB"/>
    <w:rsid w:val="004767E7"/>
    <w:rsid w:val="00476EBE"/>
    <w:rsid w:val="00480D73"/>
    <w:rsid w:val="00480FC7"/>
    <w:rsid w:val="0048339A"/>
    <w:rsid w:val="0048397A"/>
    <w:rsid w:val="004848EE"/>
    <w:rsid w:val="00486FC1"/>
    <w:rsid w:val="00487A12"/>
    <w:rsid w:val="00487B88"/>
    <w:rsid w:val="00487FE9"/>
    <w:rsid w:val="00490183"/>
    <w:rsid w:val="00490325"/>
    <w:rsid w:val="00490C1F"/>
    <w:rsid w:val="0049291A"/>
    <w:rsid w:val="00493E24"/>
    <w:rsid w:val="00493FE8"/>
    <w:rsid w:val="00495BD3"/>
    <w:rsid w:val="00495C25"/>
    <w:rsid w:val="00496016"/>
    <w:rsid w:val="004969CF"/>
    <w:rsid w:val="00497179"/>
    <w:rsid w:val="0049720C"/>
    <w:rsid w:val="00497BBB"/>
    <w:rsid w:val="004A0100"/>
    <w:rsid w:val="004A0533"/>
    <w:rsid w:val="004A14C8"/>
    <w:rsid w:val="004A1AE9"/>
    <w:rsid w:val="004A254F"/>
    <w:rsid w:val="004A2813"/>
    <w:rsid w:val="004A3D0A"/>
    <w:rsid w:val="004A435F"/>
    <w:rsid w:val="004A43FB"/>
    <w:rsid w:val="004A4DA8"/>
    <w:rsid w:val="004A5D94"/>
    <w:rsid w:val="004A5DD5"/>
    <w:rsid w:val="004A6974"/>
    <w:rsid w:val="004A69BF"/>
    <w:rsid w:val="004A6DB2"/>
    <w:rsid w:val="004A774F"/>
    <w:rsid w:val="004B0933"/>
    <w:rsid w:val="004B1A84"/>
    <w:rsid w:val="004B1CF8"/>
    <w:rsid w:val="004B2863"/>
    <w:rsid w:val="004B2A0E"/>
    <w:rsid w:val="004B3711"/>
    <w:rsid w:val="004B3BDC"/>
    <w:rsid w:val="004B4E53"/>
    <w:rsid w:val="004B6E30"/>
    <w:rsid w:val="004C017E"/>
    <w:rsid w:val="004C0BB6"/>
    <w:rsid w:val="004C1041"/>
    <w:rsid w:val="004C169E"/>
    <w:rsid w:val="004C1906"/>
    <w:rsid w:val="004C221C"/>
    <w:rsid w:val="004C24D0"/>
    <w:rsid w:val="004C51F4"/>
    <w:rsid w:val="004C527E"/>
    <w:rsid w:val="004C5BC0"/>
    <w:rsid w:val="004C75FC"/>
    <w:rsid w:val="004D1638"/>
    <w:rsid w:val="004D18FD"/>
    <w:rsid w:val="004D299F"/>
    <w:rsid w:val="004D3454"/>
    <w:rsid w:val="004D4149"/>
    <w:rsid w:val="004D47D0"/>
    <w:rsid w:val="004D5FE9"/>
    <w:rsid w:val="004E1223"/>
    <w:rsid w:val="004E12E7"/>
    <w:rsid w:val="004E142C"/>
    <w:rsid w:val="004E2E8D"/>
    <w:rsid w:val="004E352A"/>
    <w:rsid w:val="004E399C"/>
    <w:rsid w:val="004E4146"/>
    <w:rsid w:val="004E4A0D"/>
    <w:rsid w:val="004E4BF0"/>
    <w:rsid w:val="004E4DBB"/>
    <w:rsid w:val="004E5A16"/>
    <w:rsid w:val="004E65E7"/>
    <w:rsid w:val="004E7EF4"/>
    <w:rsid w:val="004F2320"/>
    <w:rsid w:val="004F293C"/>
    <w:rsid w:val="004F43AE"/>
    <w:rsid w:val="004F4498"/>
    <w:rsid w:val="004F4638"/>
    <w:rsid w:val="004F479E"/>
    <w:rsid w:val="004F4C5E"/>
    <w:rsid w:val="004F5DAB"/>
    <w:rsid w:val="004F6D6A"/>
    <w:rsid w:val="004F6DDB"/>
    <w:rsid w:val="00501469"/>
    <w:rsid w:val="0050158B"/>
    <w:rsid w:val="00503328"/>
    <w:rsid w:val="005033BD"/>
    <w:rsid w:val="00505ED6"/>
    <w:rsid w:val="00506A89"/>
    <w:rsid w:val="00507646"/>
    <w:rsid w:val="005078FF"/>
    <w:rsid w:val="00507A84"/>
    <w:rsid w:val="00511A54"/>
    <w:rsid w:val="00511C5B"/>
    <w:rsid w:val="00512EA1"/>
    <w:rsid w:val="0051385E"/>
    <w:rsid w:val="00513ABC"/>
    <w:rsid w:val="00514FBA"/>
    <w:rsid w:val="00515961"/>
    <w:rsid w:val="00515CE0"/>
    <w:rsid w:val="005161D6"/>
    <w:rsid w:val="005174B4"/>
    <w:rsid w:val="00517894"/>
    <w:rsid w:val="00517966"/>
    <w:rsid w:val="00517A18"/>
    <w:rsid w:val="00517B04"/>
    <w:rsid w:val="0052261E"/>
    <w:rsid w:val="00524095"/>
    <w:rsid w:val="0052417B"/>
    <w:rsid w:val="00524ACF"/>
    <w:rsid w:val="00524F94"/>
    <w:rsid w:val="00525221"/>
    <w:rsid w:val="005253FB"/>
    <w:rsid w:val="00525C61"/>
    <w:rsid w:val="00525E5B"/>
    <w:rsid w:val="00526082"/>
    <w:rsid w:val="005260EF"/>
    <w:rsid w:val="005303AE"/>
    <w:rsid w:val="0053112E"/>
    <w:rsid w:val="0053226F"/>
    <w:rsid w:val="00532A55"/>
    <w:rsid w:val="005330C0"/>
    <w:rsid w:val="005334BF"/>
    <w:rsid w:val="00534A70"/>
    <w:rsid w:val="00534ADA"/>
    <w:rsid w:val="00535B9F"/>
    <w:rsid w:val="00535D36"/>
    <w:rsid w:val="00536686"/>
    <w:rsid w:val="005370ED"/>
    <w:rsid w:val="00537C5C"/>
    <w:rsid w:val="00537E43"/>
    <w:rsid w:val="00541976"/>
    <w:rsid w:val="00541AB5"/>
    <w:rsid w:val="00541D4C"/>
    <w:rsid w:val="00541F21"/>
    <w:rsid w:val="0054212E"/>
    <w:rsid w:val="00542BD6"/>
    <w:rsid w:val="005435E2"/>
    <w:rsid w:val="00544701"/>
    <w:rsid w:val="0054471B"/>
    <w:rsid w:val="00545B18"/>
    <w:rsid w:val="00545C91"/>
    <w:rsid w:val="005465A4"/>
    <w:rsid w:val="0054783B"/>
    <w:rsid w:val="00547ED5"/>
    <w:rsid w:val="00550EA3"/>
    <w:rsid w:val="0055166A"/>
    <w:rsid w:val="00551734"/>
    <w:rsid w:val="005527CB"/>
    <w:rsid w:val="005534D0"/>
    <w:rsid w:val="005537E5"/>
    <w:rsid w:val="00553D48"/>
    <w:rsid w:val="00554415"/>
    <w:rsid w:val="005546AC"/>
    <w:rsid w:val="005576D3"/>
    <w:rsid w:val="00557769"/>
    <w:rsid w:val="00560CAF"/>
    <w:rsid w:val="00561782"/>
    <w:rsid w:val="00561E83"/>
    <w:rsid w:val="005622B2"/>
    <w:rsid w:val="005634D2"/>
    <w:rsid w:val="005635DE"/>
    <w:rsid w:val="00564347"/>
    <w:rsid w:val="00564A3A"/>
    <w:rsid w:val="0056644F"/>
    <w:rsid w:val="00570166"/>
    <w:rsid w:val="005707A0"/>
    <w:rsid w:val="00570B7C"/>
    <w:rsid w:val="00570C44"/>
    <w:rsid w:val="00570F9F"/>
    <w:rsid w:val="005716B0"/>
    <w:rsid w:val="005728E0"/>
    <w:rsid w:val="00572F0F"/>
    <w:rsid w:val="005735C1"/>
    <w:rsid w:val="005741DB"/>
    <w:rsid w:val="00574922"/>
    <w:rsid w:val="00577175"/>
    <w:rsid w:val="005779DF"/>
    <w:rsid w:val="00580301"/>
    <w:rsid w:val="00581394"/>
    <w:rsid w:val="00581FA4"/>
    <w:rsid w:val="00583C04"/>
    <w:rsid w:val="00583E56"/>
    <w:rsid w:val="0058416D"/>
    <w:rsid w:val="00584F6A"/>
    <w:rsid w:val="00585891"/>
    <w:rsid w:val="00586953"/>
    <w:rsid w:val="00587D61"/>
    <w:rsid w:val="005936D3"/>
    <w:rsid w:val="00594BD8"/>
    <w:rsid w:val="00595AA6"/>
    <w:rsid w:val="00595EC7"/>
    <w:rsid w:val="0059614C"/>
    <w:rsid w:val="005970EF"/>
    <w:rsid w:val="00597B41"/>
    <w:rsid w:val="005A1325"/>
    <w:rsid w:val="005A371B"/>
    <w:rsid w:val="005A3D14"/>
    <w:rsid w:val="005A4B8D"/>
    <w:rsid w:val="005A4DCE"/>
    <w:rsid w:val="005A5F06"/>
    <w:rsid w:val="005A737C"/>
    <w:rsid w:val="005B030C"/>
    <w:rsid w:val="005B042D"/>
    <w:rsid w:val="005B09AE"/>
    <w:rsid w:val="005B176A"/>
    <w:rsid w:val="005B25E7"/>
    <w:rsid w:val="005B2651"/>
    <w:rsid w:val="005B2779"/>
    <w:rsid w:val="005B3300"/>
    <w:rsid w:val="005B38D3"/>
    <w:rsid w:val="005B43ED"/>
    <w:rsid w:val="005B5F77"/>
    <w:rsid w:val="005C04F5"/>
    <w:rsid w:val="005C0FE1"/>
    <w:rsid w:val="005C187A"/>
    <w:rsid w:val="005C18E4"/>
    <w:rsid w:val="005C417D"/>
    <w:rsid w:val="005C55CC"/>
    <w:rsid w:val="005C676C"/>
    <w:rsid w:val="005C6FEA"/>
    <w:rsid w:val="005C73C6"/>
    <w:rsid w:val="005C77DA"/>
    <w:rsid w:val="005D01C6"/>
    <w:rsid w:val="005D04A7"/>
    <w:rsid w:val="005D0924"/>
    <w:rsid w:val="005D11F9"/>
    <w:rsid w:val="005D2596"/>
    <w:rsid w:val="005D2674"/>
    <w:rsid w:val="005D3215"/>
    <w:rsid w:val="005D4CF7"/>
    <w:rsid w:val="005D5608"/>
    <w:rsid w:val="005D622B"/>
    <w:rsid w:val="005D71E6"/>
    <w:rsid w:val="005D732D"/>
    <w:rsid w:val="005D74DD"/>
    <w:rsid w:val="005E111E"/>
    <w:rsid w:val="005E206D"/>
    <w:rsid w:val="005E2EA7"/>
    <w:rsid w:val="005E3D91"/>
    <w:rsid w:val="005E4B25"/>
    <w:rsid w:val="005E5320"/>
    <w:rsid w:val="005E550C"/>
    <w:rsid w:val="005E59A2"/>
    <w:rsid w:val="005E5E8A"/>
    <w:rsid w:val="005F05D8"/>
    <w:rsid w:val="005F108F"/>
    <w:rsid w:val="005F25DC"/>
    <w:rsid w:val="005F2D5D"/>
    <w:rsid w:val="005F2E20"/>
    <w:rsid w:val="005F370D"/>
    <w:rsid w:val="005F3A61"/>
    <w:rsid w:val="005F425F"/>
    <w:rsid w:val="005F4BCA"/>
    <w:rsid w:val="005F503C"/>
    <w:rsid w:val="005F7951"/>
    <w:rsid w:val="00600941"/>
    <w:rsid w:val="0060133E"/>
    <w:rsid w:val="006013B7"/>
    <w:rsid w:val="00601413"/>
    <w:rsid w:val="006029BC"/>
    <w:rsid w:val="00602C7B"/>
    <w:rsid w:val="00602D2C"/>
    <w:rsid w:val="0060306F"/>
    <w:rsid w:val="00603E86"/>
    <w:rsid w:val="00606349"/>
    <w:rsid w:val="00606713"/>
    <w:rsid w:val="00606718"/>
    <w:rsid w:val="00606833"/>
    <w:rsid w:val="00607993"/>
    <w:rsid w:val="006102EF"/>
    <w:rsid w:val="00610C7C"/>
    <w:rsid w:val="00610E0D"/>
    <w:rsid w:val="00611004"/>
    <w:rsid w:val="0061161C"/>
    <w:rsid w:val="00611C74"/>
    <w:rsid w:val="00611CD1"/>
    <w:rsid w:val="0061208B"/>
    <w:rsid w:val="00612C9D"/>
    <w:rsid w:val="00613C53"/>
    <w:rsid w:val="006161AE"/>
    <w:rsid w:val="00616B27"/>
    <w:rsid w:val="00620375"/>
    <w:rsid w:val="00620ABC"/>
    <w:rsid w:val="00620BA3"/>
    <w:rsid w:val="00621240"/>
    <w:rsid w:val="00621D4C"/>
    <w:rsid w:val="0062209A"/>
    <w:rsid w:val="0062298A"/>
    <w:rsid w:val="0062399F"/>
    <w:rsid w:val="0062449D"/>
    <w:rsid w:val="0062453A"/>
    <w:rsid w:val="00625000"/>
    <w:rsid w:val="006255FF"/>
    <w:rsid w:val="00626216"/>
    <w:rsid w:val="00630102"/>
    <w:rsid w:val="006303A9"/>
    <w:rsid w:val="0063050E"/>
    <w:rsid w:val="00630ABC"/>
    <w:rsid w:val="00630E81"/>
    <w:rsid w:val="00631270"/>
    <w:rsid w:val="006312A9"/>
    <w:rsid w:val="00631C56"/>
    <w:rsid w:val="00633189"/>
    <w:rsid w:val="00633DCC"/>
    <w:rsid w:val="0063412C"/>
    <w:rsid w:val="00634B5E"/>
    <w:rsid w:val="006356EF"/>
    <w:rsid w:val="00636C49"/>
    <w:rsid w:val="006374C4"/>
    <w:rsid w:val="0063790A"/>
    <w:rsid w:val="00640271"/>
    <w:rsid w:val="0064041A"/>
    <w:rsid w:val="006408A7"/>
    <w:rsid w:val="006445C1"/>
    <w:rsid w:val="006458D8"/>
    <w:rsid w:val="00646C73"/>
    <w:rsid w:val="0064715F"/>
    <w:rsid w:val="006471BC"/>
    <w:rsid w:val="0065083A"/>
    <w:rsid w:val="00650B9D"/>
    <w:rsid w:val="00651CDE"/>
    <w:rsid w:val="00652790"/>
    <w:rsid w:val="00654397"/>
    <w:rsid w:val="006565A5"/>
    <w:rsid w:val="006566E6"/>
    <w:rsid w:val="006568CA"/>
    <w:rsid w:val="006578E9"/>
    <w:rsid w:val="00657FD8"/>
    <w:rsid w:val="0066078A"/>
    <w:rsid w:val="006631B2"/>
    <w:rsid w:val="00663321"/>
    <w:rsid w:val="00664174"/>
    <w:rsid w:val="00664E3C"/>
    <w:rsid w:val="0066638D"/>
    <w:rsid w:val="00666734"/>
    <w:rsid w:val="00667EFD"/>
    <w:rsid w:val="00671136"/>
    <w:rsid w:val="0067193C"/>
    <w:rsid w:val="00672E0C"/>
    <w:rsid w:val="00673B8D"/>
    <w:rsid w:val="006745C0"/>
    <w:rsid w:val="00675544"/>
    <w:rsid w:val="006759C7"/>
    <w:rsid w:val="00676712"/>
    <w:rsid w:val="00676789"/>
    <w:rsid w:val="006801D6"/>
    <w:rsid w:val="0068263D"/>
    <w:rsid w:val="00682675"/>
    <w:rsid w:val="006835F9"/>
    <w:rsid w:val="00683AFC"/>
    <w:rsid w:val="006843A0"/>
    <w:rsid w:val="00684C86"/>
    <w:rsid w:val="00685C08"/>
    <w:rsid w:val="00685EC8"/>
    <w:rsid w:val="006866E8"/>
    <w:rsid w:val="00686DB7"/>
    <w:rsid w:val="00686E38"/>
    <w:rsid w:val="00687035"/>
    <w:rsid w:val="00690FF5"/>
    <w:rsid w:val="0069110A"/>
    <w:rsid w:val="006915A7"/>
    <w:rsid w:val="00691696"/>
    <w:rsid w:val="0069220C"/>
    <w:rsid w:val="00692CE8"/>
    <w:rsid w:val="00694FFC"/>
    <w:rsid w:val="006A040A"/>
    <w:rsid w:val="006A065B"/>
    <w:rsid w:val="006A0BC8"/>
    <w:rsid w:val="006A0EEA"/>
    <w:rsid w:val="006A224C"/>
    <w:rsid w:val="006A39F0"/>
    <w:rsid w:val="006A45E2"/>
    <w:rsid w:val="006A5CBE"/>
    <w:rsid w:val="006A6D08"/>
    <w:rsid w:val="006A6FA3"/>
    <w:rsid w:val="006A729F"/>
    <w:rsid w:val="006A75AC"/>
    <w:rsid w:val="006B010C"/>
    <w:rsid w:val="006B12C6"/>
    <w:rsid w:val="006B1393"/>
    <w:rsid w:val="006B1F31"/>
    <w:rsid w:val="006B31BF"/>
    <w:rsid w:val="006B6E28"/>
    <w:rsid w:val="006C1B86"/>
    <w:rsid w:val="006C1C7C"/>
    <w:rsid w:val="006C2019"/>
    <w:rsid w:val="006C26A5"/>
    <w:rsid w:val="006C27FD"/>
    <w:rsid w:val="006C33A6"/>
    <w:rsid w:val="006C394A"/>
    <w:rsid w:val="006C4491"/>
    <w:rsid w:val="006C5AB6"/>
    <w:rsid w:val="006C5D91"/>
    <w:rsid w:val="006C628F"/>
    <w:rsid w:val="006C7818"/>
    <w:rsid w:val="006C7DA0"/>
    <w:rsid w:val="006C7DF0"/>
    <w:rsid w:val="006D03F4"/>
    <w:rsid w:val="006D384A"/>
    <w:rsid w:val="006D42E6"/>
    <w:rsid w:val="006D45F8"/>
    <w:rsid w:val="006D55FB"/>
    <w:rsid w:val="006D58E9"/>
    <w:rsid w:val="006D5C21"/>
    <w:rsid w:val="006D6EC8"/>
    <w:rsid w:val="006D6FD6"/>
    <w:rsid w:val="006D7309"/>
    <w:rsid w:val="006D7720"/>
    <w:rsid w:val="006D7CE3"/>
    <w:rsid w:val="006D7D28"/>
    <w:rsid w:val="006E06DD"/>
    <w:rsid w:val="006E0E2B"/>
    <w:rsid w:val="006E23B9"/>
    <w:rsid w:val="006E28C2"/>
    <w:rsid w:val="006E39F6"/>
    <w:rsid w:val="006E3C13"/>
    <w:rsid w:val="006E4C2A"/>
    <w:rsid w:val="006E5087"/>
    <w:rsid w:val="006E585C"/>
    <w:rsid w:val="006E605D"/>
    <w:rsid w:val="006E720D"/>
    <w:rsid w:val="006E72E0"/>
    <w:rsid w:val="006E7625"/>
    <w:rsid w:val="006E7893"/>
    <w:rsid w:val="006E7CF6"/>
    <w:rsid w:val="006E7EEB"/>
    <w:rsid w:val="006F0064"/>
    <w:rsid w:val="006F0225"/>
    <w:rsid w:val="006F1B0D"/>
    <w:rsid w:val="006F350E"/>
    <w:rsid w:val="006F5015"/>
    <w:rsid w:val="006F5F4F"/>
    <w:rsid w:val="006F5FB9"/>
    <w:rsid w:val="006F6538"/>
    <w:rsid w:val="006F6A8A"/>
    <w:rsid w:val="006F71D3"/>
    <w:rsid w:val="006F7924"/>
    <w:rsid w:val="0070191B"/>
    <w:rsid w:val="00701ABB"/>
    <w:rsid w:val="00703B5C"/>
    <w:rsid w:val="007118D0"/>
    <w:rsid w:val="00712849"/>
    <w:rsid w:val="00715326"/>
    <w:rsid w:val="00715BA6"/>
    <w:rsid w:val="007160A1"/>
    <w:rsid w:val="0071615A"/>
    <w:rsid w:val="007164B5"/>
    <w:rsid w:val="00716B4E"/>
    <w:rsid w:val="007171EA"/>
    <w:rsid w:val="007176D4"/>
    <w:rsid w:val="007204D0"/>
    <w:rsid w:val="00720732"/>
    <w:rsid w:val="007207C8"/>
    <w:rsid w:val="00720894"/>
    <w:rsid w:val="00721277"/>
    <w:rsid w:val="007218EE"/>
    <w:rsid w:val="00721AFD"/>
    <w:rsid w:val="00721D04"/>
    <w:rsid w:val="00721D82"/>
    <w:rsid w:val="00722035"/>
    <w:rsid w:val="00724046"/>
    <w:rsid w:val="0072501D"/>
    <w:rsid w:val="007272BD"/>
    <w:rsid w:val="00727A5B"/>
    <w:rsid w:val="00727C53"/>
    <w:rsid w:val="007300B0"/>
    <w:rsid w:val="00730724"/>
    <w:rsid w:val="00731B68"/>
    <w:rsid w:val="00731DBC"/>
    <w:rsid w:val="00732F49"/>
    <w:rsid w:val="00734941"/>
    <w:rsid w:val="007359EB"/>
    <w:rsid w:val="00735DAA"/>
    <w:rsid w:val="0073693F"/>
    <w:rsid w:val="00736997"/>
    <w:rsid w:val="00737557"/>
    <w:rsid w:val="007415B5"/>
    <w:rsid w:val="0074192F"/>
    <w:rsid w:val="00741F27"/>
    <w:rsid w:val="007425F7"/>
    <w:rsid w:val="00743A88"/>
    <w:rsid w:val="0074408B"/>
    <w:rsid w:val="007449AC"/>
    <w:rsid w:val="007449FF"/>
    <w:rsid w:val="00745DAC"/>
    <w:rsid w:val="00747D43"/>
    <w:rsid w:val="00747FE3"/>
    <w:rsid w:val="007509CD"/>
    <w:rsid w:val="007516CA"/>
    <w:rsid w:val="007534EE"/>
    <w:rsid w:val="00755CEC"/>
    <w:rsid w:val="00755F06"/>
    <w:rsid w:val="00755FAF"/>
    <w:rsid w:val="00756BEB"/>
    <w:rsid w:val="00757969"/>
    <w:rsid w:val="00757CD6"/>
    <w:rsid w:val="00760669"/>
    <w:rsid w:val="00761CD5"/>
    <w:rsid w:val="00762072"/>
    <w:rsid w:val="00762D36"/>
    <w:rsid w:val="00763718"/>
    <w:rsid w:val="00764591"/>
    <w:rsid w:val="00764661"/>
    <w:rsid w:val="00764885"/>
    <w:rsid w:val="007659BF"/>
    <w:rsid w:val="00765F09"/>
    <w:rsid w:val="007665C1"/>
    <w:rsid w:val="00767FB8"/>
    <w:rsid w:val="00772532"/>
    <w:rsid w:val="007729EC"/>
    <w:rsid w:val="0077487D"/>
    <w:rsid w:val="007777F2"/>
    <w:rsid w:val="007819A5"/>
    <w:rsid w:val="00781FEF"/>
    <w:rsid w:val="00782BC3"/>
    <w:rsid w:val="00782E03"/>
    <w:rsid w:val="00783AE4"/>
    <w:rsid w:val="00787FAF"/>
    <w:rsid w:val="00790CC2"/>
    <w:rsid w:val="00791733"/>
    <w:rsid w:val="007921E9"/>
    <w:rsid w:val="00792C6E"/>
    <w:rsid w:val="00793C50"/>
    <w:rsid w:val="00796DFE"/>
    <w:rsid w:val="00797E0D"/>
    <w:rsid w:val="007A044A"/>
    <w:rsid w:val="007A05F9"/>
    <w:rsid w:val="007A08EE"/>
    <w:rsid w:val="007A1307"/>
    <w:rsid w:val="007A329F"/>
    <w:rsid w:val="007A40E0"/>
    <w:rsid w:val="007A4605"/>
    <w:rsid w:val="007A4EEF"/>
    <w:rsid w:val="007A7033"/>
    <w:rsid w:val="007A7759"/>
    <w:rsid w:val="007B08F5"/>
    <w:rsid w:val="007B1021"/>
    <w:rsid w:val="007B1C1B"/>
    <w:rsid w:val="007B1E77"/>
    <w:rsid w:val="007B2A2E"/>
    <w:rsid w:val="007B4F9D"/>
    <w:rsid w:val="007B54F7"/>
    <w:rsid w:val="007B7430"/>
    <w:rsid w:val="007B758B"/>
    <w:rsid w:val="007C17BB"/>
    <w:rsid w:val="007C1C26"/>
    <w:rsid w:val="007C2F95"/>
    <w:rsid w:val="007C3539"/>
    <w:rsid w:val="007C5163"/>
    <w:rsid w:val="007C52E5"/>
    <w:rsid w:val="007C5EDF"/>
    <w:rsid w:val="007C654D"/>
    <w:rsid w:val="007C7163"/>
    <w:rsid w:val="007C7600"/>
    <w:rsid w:val="007C7C08"/>
    <w:rsid w:val="007D0748"/>
    <w:rsid w:val="007D1DF5"/>
    <w:rsid w:val="007D2110"/>
    <w:rsid w:val="007D296E"/>
    <w:rsid w:val="007D3388"/>
    <w:rsid w:val="007D4EB0"/>
    <w:rsid w:val="007D52C9"/>
    <w:rsid w:val="007D5BA6"/>
    <w:rsid w:val="007D6515"/>
    <w:rsid w:val="007D725A"/>
    <w:rsid w:val="007D7B38"/>
    <w:rsid w:val="007E009B"/>
    <w:rsid w:val="007E1909"/>
    <w:rsid w:val="007E1BC1"/>
    <w:rsid w:val="007E1C9F"/>
    <w:rsid w:val="007E1F0B"/>
    <w:rsid w:val="007E24C8"/>
    <w:rsid w:val="007E4AC8"/>
    <w:rsid w:val="007E4B8D"/>
    <w:rsid w:val="007E4BCF"/>
    <w:rsid w:val="007E5702"/>
    <w:rsid w:val="007E5F8E"/>
    <w:rsid w:val="007E6559"/>
    <w:rsid w:val="007F0630"/>
    <w:rsid w:val="007F1318"/>
    <w:rsid w:val="007F1AF2"/>
    <w:rsid w:val="007F2168"/>
    <w:rsid w:val="007F297E"/>
    <w:rsid w:val="007F31C9"/>
    <w:rsid w:val="007F4F81"/>
    <w:rsid w:val="007F558F"/>
    <w:rsid w:val="007F5B0C"/>
    <w:rsid w:val="007F6661"/>
    <w:rsid w:val="007F68CF"/>
    <w:rsid w:val="007F6BF3"/>
    <w:rsid w:val="007F71C5"/>
    <w:rsid w:val="007F79D7"/>
    <w:rsid w:val="007F7D76"/>
    <w:rsid w:val="008005D9"/>
    <w:rsid w:val="00800B0F"/>
    <w:rsid w:val="0080175C"/>
    <w:rsid w:val="0080245E"/>
    <w:rsid w:val="0080318F"/>
    <w:rsid w:val="00803892"/>
    <w:rsid w:val="0080560F"/>
    <w:rsid w:val="00805F12"/>
    <w:rsid w:val="00807075"/>
    <w:rsid w:val="00807478"/>
    <w:rsid w:val="00810649"/>
    <w:rsid w:val="0081405D"/>
    <w:rsid w:val="008144AF"/>
    <w:rsid w:val="008144F4"/>
    <w:rsid w:val="008145DE"/>
    <w:rsid w:val="0081650E"/>
    <w:rsid w:val="00820F98"/>
    <w:rsid w:val="008217C8"/>
    <w:rsid w:val="0082181C"/>
    <w:rsid w:val="00822351"/>
    <w:rsid w:val="0082256D"/>
    <w:rsid w:val="008231DC"/>
    <w:rsid w:val="008232B7"/>
    <w:rsid w:val="0082367E"/>
    <w:rsid w:val="00823850"/>
    <w:rsid w:val="00827682"/>
    <w:rsid w:val="00827B3D"/>
    <w:rsid w:val="008305DF"/>
    <w:rsid w:val="00830909"/>
    <w:rsid w:val="00831772"/>
    <w:rsid w:val="00831F07"/>
    <w:rsid w:val="008325F2"/>
    <w:rsid w:val="008327D6"/>
    <w:rsid w:val="00832FBB"/>
    <w:rsid w:val="008334B8"/>
    <w:rsid w:val="00833524"/>
    <w:rsid w:val="00833E1D"/>
    <w:rsid w:val="0083419A"/>
    <w:rsid w:val="00834326"/>
    <w:rsid w:val="00834BA0"/>
    <w:rsid w:val="008359A4"/>
    <w:rsid w:val="0083605F"/>
    <w:rsid w:val="00836206"/>
    <w:rsid w:val="0083667D"/>
    <w:rsid w:val="00836F86"/>
    <w:rsid w:val="008372D7"/>
    <w:rsid w:val="008374BC"/>
    <w:rsid w:val="00837C28"/>
    <w:rsid w:val="00841895"/>
    <w:rsid w:val="00843296"/>
    <w:rsid w:val="008443F8"/>
    <w:rsid w:val="008453DA"/>
    <w:rsid w:val="00845E13"/>
    <w:rsid w:val="008476BB"/>
    <w:rsid w:val="008476CF"/>
    <w:rsid w:val="0085090E"/>
    <w:rsid w:val="00850975"/>
    <w:rsid w:val="00851031"/>
    <w:rsid w:val="00852176"/>
    <w:rsid w:val="008525C3"/>
    <w:rsid w:val="00852668"/>
    <w:rsid w:val="008536A1"/>
    <w:rsid w:val="00853A96"/>
    <w:rsid w:val="00853DB0"/>
    <w:rsid w:val="008544BC"/>
    <w:rsid w:val="00855D31"/>
    <w:rsid w:val="008578D0"/>
    <w:rsid w:val="00857E24"/>
    <w:rsid w:val="00860EE7"/>
    <w:rsid w:val="00861A36"/>
    <w:rsid w:val="00861BD6"/>
    <w:rsid w:val="008628E0"/>
    <w:rsid w:val="00862A79"/>
    <w:rsid w:val="00862F78"/>
    <w:rsid w:val="00863132"/>
    <w:rsid w:val="00863612"/>
    <w:rsid w:val="00865396"/>
    <w:rsid w:val="00865B6E"/>
    <w:rsid w:val="00867831"/>
    <w:rsid w:val="008702C8"/>
    <w:rsid w:val="008715BA"/>
    <w:rsid w:val="00872511"/>
    <w:rsid w:val="0087385A"/>
    <w:rsid w:val="008742D7"/>
    <w:rsid w:val="00875B11"/>
    <w:rsid w:val="00876903"/>
    <w:rsid w:val="0087700A"/>
    <w:rsid w:val="00877161"/>
    <w:rsid w:val="00877E9B"/>
    <w:rsid w:val="00880452"/>
    <w:rsid w:val="008827D3"/>
    <w:rsid w:val="0088297E"/>
    <w:rsid w:val="008843DC"/>
    <w:rsid w:val="00884B5B"/>
    <w:rsid w:val="00885D7F"/>
    <w:rsid w:val="00886445"/>
    <w:rsid w:val="0088768E"/>
    <w:rsid w:val="00887B7D"/>
    <w:rsid w:val="0089008A"/>
    <w:rsid w:val="0089070F"/>
    <w:rsid w:val="00890AE0"/>
    <w:rsid w:val="00890F11"/>
    <w:rsid w:val="00890FC1"/>
    <w:rsid w:val="00891610"/>
    <w:rsid w:val="0089515B"/>
    <w:rsid w:val="00895462"/>
    <w:rsid w:val="008954DE"/>
    <w:rsid w:val="00895ADC"/>
    <w:rsid w:val="00895AFF"/>
    <w:rsid w:val="008960A8"/>
    <w:rsid w:val="00896E2D"/>
    <w:rsid w:val="008971C0"/>
    <w:rsid w:val="00897C1D"/>
    <w:rsid w:val="008A16AF"/>
    <w:rsid w:val="008A1E16"/>
    <w:rsid w:val="008A20E4"/>
    <w:rsid w:val="008A2601"/>
    <w:rsid w:val="008A261E"/>
    <w:rsid w:val="008A2A28"/>
    <w:rsid w:val="008A4F57"/>
    <w:rsid w:val="008A53EA"/>
    <w:rsid w:val="008A6083"/>
    <w:rsid w:val="008A72AC"/>
    <w:rsid w:val="008A765E"/>
    <w:rsid w:val="008B0150"/>
    <w:rsid w:val="008B05B8"/>
    <w:rsid w:val="008B1580"/>
    <w:rsid w:val="008B239C"/>
    <w:rsid w:val="008B2743"/>
    <w:rsid w:val="008B3998"/>
    <w:rsid w:val="008B4A4A"/>
    <w:rsid w:val="008B5371"/>
    <w:rsid w:val="008B5C5F"/>
    <w:rsid w:val="008B768D"/>
    <w:rsid w:val="008C1949"/>
    <w:rsid w:val="008C25A1"/>
    <w:rsid w:val="008C2D04"/>
    <w:rsid w:val="008C2E6E"/>
    <w:rsid w:val="008C49F5"/>
    <w:rsid w:val="008C5856"/>
    <w:rsid w:val="008C5CEC"/>
    <w:rsid w:val="008C6112"/>
    <w:rsid w:val="008C6A2E"/>
    <w:rsid w:val="008C778B"/>
    <w:rsid w:val="008C7BE3"/>
    <w:rsid w:val="008D1718"/>
    <w:rsid w:val="008D1E8D"/>
    <w:rsid w:val="008D33C1"/>
    <w:rsid w:val="008D3BDA"/>
    <w:rsid w:val="008D4C2E"/>
    <w:rsid w:val="008D4F23"/>
    <w:rsid w:val="008D56B6"/>
    <w:rsid w:val="008D5AA6"/>
    <w:rsid w:val="008D6707"/>
    <w:rsid w:val="008D7874"/>
    <w:rsid w:val="008E01BF"/>
    <w:rsid w:val="008E05B7"/>
    <w:rsid w:val="008E0678"/>
    <w:rsid w:val="008E0A9D"/>
    <w:rsid w:val="008E0F40"/>
    <w:rsid w:val="008E1E6F"/>
    <w:rsid w:val="008E2F59"/>
    <w:rsid w:val="008E3587"/>
    <w:rsid w:val="008E4A1C"/>
    <w:rsid w:val="008E5B8E"/>
    <w:rsid w:val="008E5EEE"/>
    <w:rsid w:val="008E636E"/>
    <w:rsid w:val="008E65FD"/>
    <w:rsid w:val="008E6DF9"/>
    <w:rsid w:val="008E73CD"/>
    <w:rsid w:val="008E7A6D"/>
    <w:rsid w:val="008F0648"/>
    <w:rsid w:val="008F08D2"/>
    <w:rsid w:val="008F09F2"/>
    <w:rsid w:val="008F16FF"/>
    <w:rsid w:val="008F30A8"/>
    <w:rsid w:val="008F30AC"/>
    <w:rsid w:val="008F4B5D"/>
    <w:rsid w:val="008F76F0"/>
    <w:rsid w:val="008F7E15"/>
    <w:rsid w:val="008F7E21"/>
    <w:rsid w:val="00900A68"/>
    <w:rsid w:val="00901354"/>
    <w:rsid w:val="00903568"/>
    <w:rsid w:val="009039DD"/>
    <w:rsid w:val="00903B21"/>
    <w:rsid w:val="00905C85"/>
    <w:rsid w:val="00906890"/>
    <w:rsid w:val="00911467"/>
    <w:rsid w:val="009123D2"/>
    <w:rsid w:val="00912637"/>
    <w:rsid w:val="00914035"/>
    <w:rsid w:val="00914A0F"/>
    <w:rsid w:val="0091610E"/>
    <w:rsid w:val="00916FA2"/>
    <w:rsid w:val="00920515"/>
    <w:rsid w:val="00922E9F"/>
    <w:rsid w:val="009233C9"/>
    <w:rsid w:val="009237F1"/>
    <w:rsid w:val="00924EF9"/>
    <w:rsid w:val="00925194"/>
    <w:rsid w:val="009259A0"/>
    <w:rsid w:val="00926369"/>
    <w:rsid w:val="009278CE"/>
    <w:rsid w:val="00927B23"/>
    <w:rsid w:val="00927C5E"/>
    <w:rsid w:val="00927DF3"/>
    <w:rsid w:val="00930DF5"/>
    <w:rsid w:val="00933132"/>
    <w:rsid w:val="00933789"/>
    <w:rsid w:val="0093378A"/>
    <w:rsid w:val="00934D3E"/>
    <w:rsid w:val="00935029"/>
    <w:rsid w:val="00935F2E"/>
    <w:rsid w:val="0093673F"/>
    <w:rsid w:val="00936B8C"/>
    <w:rsid w:val="00936B9C"/>
    <w:rsid w:val="009400DD"/>
    <w:rsid w:val="00940A0E"/>
    <w:rsid w:val="0094248E"/>
    <w:rsid w:val="00942DFE"/>
    <w:rsid w:val="00943C79"/>
    <w:rsid w:val="00943E47"/>
    <w:rsid w:val="00943FEF"/>
    <w:rsid w:val="00944B42"/>
    <w:rsid w:val="0094684B"/>
    <w:rsid w:val="009473B1"/>
    <w:rsid w:val="0094746D"/>
    <w:rsid w:val="00947573"/>
    <w:rsid w:val="00947F85"/>
    <w:rsid w:val="00950EC3"/>
    <w:rsid w:val="0095181E"/>
    <w:rsid w:val="00951FE4"/>
    <w:rsid w:val="00952002"/>
    <w:rsid w:val="009525EF"/>
    <w:rsid w:val="00952B18"/>
    <w:rsid w:val="00954795"/>
    <w:rsid w:val="00954DAF"/>
    <w:rsid w:val="00955C60"/>
    <w:rsid w:val="009562CD"/>
    <w:rsid w:val="009564EF"/>
    <w:rsid w:val="00956601"/>
    <w:rsid w:val="009566CD"/>
    <w:rsid w:val="009614C0"/>
    <w:rsid w:val="00961A8D"/>
    <w:rsid w:val="009628DD"/>
    <w:rsid w:val="00962B86"/>
    <w:rsid w:val="00962F57"/>
    <w:rsid w:val="00963009"/>
    <w:rsid w:val="00964244"/>
    <w:rsid w:val="00964FD2"/>
    <w:rsid w:val="0097017F"/>
    <w:rsid w:val="009705B0"/>
    <w:rsid w:val="00970F5A"/>
    <w:rsid w:val="00971382"/>
    <w:rsid w:val="00971CB1"/>
    <w:rsid w:val="0097218A"/>
    <w:rsid w:val="00972DDE"/>
    <w:rsid w:val="00975C89"/>
    <w:rsid w:val="00977F69"/>
    <w:rsid w:val="009807A8"/>
    <w:rsid w:val="0098284B"/>
    <w:rsid w:val="009829A9"/>
    <w:rsid w:val="00982AFE"/>
    <w:rsid w:val="00982F49"/>
    <w:rsid w:val="009831EB"/>
    <w:rsid w:val="00983EEA"/>
    <w:rsid w:val="0098402C"/>
    <w:rsid w:val="009865B9"/>
    <w:rsid w:val="00986C1A"/>
    <w:rsid w:val="00986D2B"/>
    <w:rsid w:val="00987466"/>
    <w:rsid w:val="009907B6"/>
    <w:rsid w:val="0099181D"/>
    <w:rsid w:val="00991B82"/>
    <w:rsid w:val="00991D52"/>
    <w:rsid w:val="00991F11"/>
    <w:rsid w:val="0099202C"/>
    <w:rsid w:val="00992C1D"/>
    <w:rsid w:val="0099338B"/>
    <w:rsid w:val="00993B4D"/>
    <w:rsid w:val="009943D9"/>
    <w:rsid w:val="00995506"/>
    <w:rsid w:val="009969EF"/>
    <w:rsid w:val="00997E84"/>
    <w:rsid w:val="009A0B7D"/>
    <w:rsid w:val="009A16A0"/>
    <w:rsid w:val="009A2F84"/>
    <w:rsid w:val="009A31B7"/>
    <w:rsid w:val="009A3DEE"/>
    <w:rsid w:val="009A3F5E"/>
    <w:rsid w:val="009A49EF"/>
    <w:rsid w:val="009A65E1"/>
    <w:rsid w:val="009A780C"/>
    <w:rsid w:val="009A7B3D"/>
    <w:rsid w:val="009B2256"/>
    <w:rsid w:val="009B2CE0"/>
    <w:rsid w:val="009B4522"/>
    <w:rsid w:val="009B4535"/>
    <w:rsid w:val="009B4A1C"/>
    <w:rsid w:val="009B5A9E"/>
    <w:rsid w:val="009B64BB"/>
    <w:rsid w:val="009B6CC4"/>
    <w:rsid w:val="009C2751"/>
    <w:rsid w:val="009C2C9D"/>
    <w:rsid w:val="009C2D95"/>
    <w:rsid w:val="009C43EC"/>
    <w:rsid w:val="009C4551"/>
    <w:rsid w:val="009C4891"/>
    <w:rsid w:val="009C4FC2"/>
    <w:rsid w:val="009C5618"/>
    <w:rsid w:val="009C7122"/>
    <w:rsid w:val="009C7CC7"/>
    <w:rsid w:val="009D0824"/>
    <w:rsid w:val="009D235A"/>
    <w:rsid w:val="009D3246"/>
    <w:rsid w:val="009D3FE1"/>
    <w:rsid w:val="009D4B45"/>
    <w:rsid w:val="009D520E"/>
    <w:rsid w:val="009D7292"/>
    <w:rsid w:val="009D7ADE"/>
    <w:rsid w:val="009D7B6E"/>
    <w:rsid w:val="009E05D1"/>
    <w:rsid w:val="009E121F"/>
    <w:rsid w:val="009E1333"/>
    <w:rsid w:val="009E17EE"/>
    <w:rsid w:val="009E2200"/>
    <w:rsid w:val="009E222B"/>
    <w:rsid w:val="009E2367"/>
    <w:rsid w:val="009E275B"/>
    <w:rsid w:val="009E2B7B"/>
    <w:rsid w:val="009E2D7C"/>
    <w:rsid w:val="009E3A97"/>
    <w:rsid w:val="009E4058"/>
    <w:rsid w:val="009E630B"/>
    <w:rsid w:val="009E741D"/>
    <w:rsid w:val="009E7696"/>
    <w:rsid w:val="009F09FC"/>
    <w:rsid w:val="009F0A92"/>
    <w:rsid w:val="009F2412"/>
    <w:rsid w:val="009F384B"/>
    <w:rsid w:val="009F38DE"/>
    <w:rsid w:val="009F3D9F"/>
    <w:rsid w:val="009F41D7"/>
    <w:rsid w:val="009F42AB"/>
    <w:rsid w:val="009F4303"/>
    <w:rsid w:val="009F4732"/>
    <w:rsid w:val="009F50CC"/>
    <w:rsid w:val="009F6AC0"/>
    <w:rsid w:val="009F6C60"/>
    <w:rsid w:val="009F7217"/>
    <w:rsid w:val="00A010F1"/>
    <w:rsid w:val="00A012A3"/>
    <w:rsid w:val="00A015AF"/>
    <w:rsid w:val="00A02D78"/>
    <w:rsid w:val="00A044EF"/>
    <w:rsid w:val="00A047FA"/>
    <w:rsid w:val="00A0632D"/>
    <w:rsid w:val="00A065B5"/>
    <w:rsid w:val="00A07BED"/>
    <w:rsid w:val="00A10425"/>
    <w:rsid w:val="00A14AAB"/>
    <w:rsid w:val="00A150B8"/>
    <w:rsid w:val="00A1656E"/>
    <w:rsid w:val="00A16909"/>
    <w:rsid w:val="00A17428"/>
    <w:rsid w:val="00A20943"/>
    <w:rsid w:val="00A21B30"/>
    <w:rsid w:val="00A22432"/>
    <w:rsid w:val="00A228DB"/>
    <w:rsid w:val="00A22D16"/>
    <w:rsid w:val="00A23EE0"/>
    <w:rsid w:val="00A240E1"/>
    <w:rsid w:val="00A24CCB"/>
    <w:rsid w:val="00A25D4D"/>
    <w:rsid w:val="00A26374"/>
    <w:rsid w:val="00A27231"/>
    <w:rsid w:val="00A2728E"/>
    <w:rsid w:val="00A277BA"/>
    <w:rsid w:val="00A27A22"/>
    <w:rsid w:val="00A27E90"/>
    <w:rsid w:val="00A30484"/>
    <w:rsid w:val="00A30EEC"/>
    <w:rsid w:val="00A31C9F"/>
    <w:rsid w:val="00A31DCC"/>
    <w:rsid w:val="00A328D4"/>
    <w:rsid w:val="00A3360D"/>
    <w:rsid w:val="00A339FF"/>
    <w:rsid w:val="00A33EA6"/>
    <w:rsid w:val="00A34E7A"/>
    <w:rsid w:val="00A35E74"/>
    <w:rsid w:val="00A36389"/>
    <w:rsid w:val="00A36582"/>
    <w:rsid w:val="00A36F0A"/>
    <w:rsid w:val="00A37276"/>
    <w:rsid w:val="00A37BA8"/>
    <w:rsid w:val="00A40138"/>
    <w:rsid w:val="00A411BC"/>
    <w:rsid w:val="00A42903"/>
    <w:rsid w:val="00A4319F"/>
    <w:rsid w:val="00A43D25"/>
    <w:rsid w:val="00A444AB"/>
    <w:rsid w:val="00A45D64"/>
    <w:rsid w:val="00A4646F"/>
    <w:rsid w:val="00A46A6D"/>
    <w:rsid w:val="00A46DA7"/>
    <w:rsid w:val="00A4783F"/>
    <w:rsid w:val="00A501A3"/>
    <w:rsid w:val="00A51515"/>
    <w:rsid w:val="00A51A8B"/>
    <w:rsid w:val="00A51AF2"/>
    <w:rsid w:val="00A52A3A"/>
    <w:rsid w:val="00A52CD9"/>
    <w:rsid w:val="00A52ED5"/>
    <w:rsid w:val="00A53495"/>
    <w:rsid w:val="00A53882"/>
    <w:rsid w:val="00A57AB8"/>
    <w:rsid w:val="00A611A6"/>
    <w:rsid w:val="00A6205F"/>
    <w:rsid w:val="00A621D9"/>
    <w:rsid w:val="00A631AF"/>
    <w:rsid w:val="00A63BA5"/>
    <w:rsid w:val="00A63E62"/>
    <w:rsid w:val="00A642CA"/>
    <w:rsid w:val="00A649F3"/>
    <w:rsid w:val="00A64BC1"/>
    <w:rsid w:val="00A64BC4"/>
    <w:rsid w:val="00A660C7"/>
    <w:rsid w:val="00A660E6"/>
    <w:rsid w:val="00A66574"/>
    <w:rsid w:val="00A66697"/>
    <w:rsid w:val="00A66EBE"/>
    <w:rsid w:val="00A6757D"/>
    <w:rsid w:val="00A70E54"/>
    <w:rsid w:val="00A73478"/>
    <w:rsid w:val="00A7350A"/>
    <w:rsid w:val="00A7358D"/>
    <w:rsid w:val="00A74E38"/>
    <w:rsid w:val="00A7530C"/>
    <w:rsid w:val="00A8119A"/>
    <w:rsid w:val="00A820A7"/>
    <w:rsid w:val="00A8286C"/>
    <w:rsid w:val="00A82AB6"/>
    <w:rsid w:val="00A83186"/>
    <w:rsid w:val="00A85B8F"/>
    <w:rsid w:val="00A917E5"/>
    <w:rsid w:val="00A94C2B"/>
    <w:rsid w:val="00A9543C"/>
    <w:rsid w:val="00AA04F7"/>
    <w:rsid w:val="00AA2BB8"/>
    <w:rsid w:val="00AA56D9"/>
    <w:rsid w:val="00AA5B1C"/>
    <w:rsid w:val="00AA61B8"/>
    <w:rsid w:val="00AA6858"/>
    <w:rsid w:val="00AA6FDA"/>
    <w:rsid w:val="00AA753B"/>
    <w:rsid w:val="00AA7E96"/>
    <w:rsid w:val="00AB07DD"/>
    <w:rsid w:val="00AB0AAE"/>
    <w:rsid w:val="00AB2192"/>
    <w:rsid w:val="00AB2291"/>
    <w:rsid w:val="00AB26E9"/>
    <w:rsid w:val="00AB2C48"/>
    <w:rsid w:val="00AB3167"/>
    <w:rsid w:val="00AB3320"/>
    <w:rsid w:val="00AB39C4"/>
    <w:rsid w:val="00AB47D3"/>
    <w:rsid w:val="00AB4CB4"/>
    <w:rsid w:val="00AB5478"/>
    <w:rsid w:val="00AB7B55"/>
    <w:rsid w:val="00AC09F5"/>
    <w:rsid w:val="00AC0C79"/>
    <w:rsid w:val="00AC3959"/>
    <w:rsid w:val="00AC3CE6"/>
    <w:rsid w:val="00AC6F25"/>
    <w:rsid w:val="00AD1078"/>
    <w:rsid w:val="00AD12BF"/>
    <w:rsid w:val="00AD1E46"/>
    <w:rsid w:val="00AD23D1"/>
    <w:rsid w:val="00AD32C7"/>
    <w:rsid w:val="00AD391B"/>
    <w:rsid w:val="00AD512E"/>
    <w:rsid w:val="00AD7B97"/>
    <w:rsid w:val="00AD7DAA"/>
    <w:rsid w:val="00AE023F"/>
    <w:rsid w:val="00AE056D"/>
    <w:rsid w:val="00AE06CB"/>
    <w:rsid w:val="00AE0B45"/>
    <w:rsid w:val="00AE0E5D"/>
    <w:rsid w:val="00AE3748"/>
    <w:rsid w:val="00AE4656"/>
    <w:rsid w:val="00AE6C5A"/>
    <w:rsid w:val="00AE703D"/>
    <w:rsid w:val="00AE797F"/>
    <w:rsid w:val="00AF0872"/>
    <w:rsid w:val="00AF0C67"/>
    <w:rsid w:val="00AF1565"/>
    <w:rsid w:val="00AF339D"/>
    <w:rsid w:val="00AF3736"/>
    <w:rsid w:val="00AF3823"/>
    <w:rsid w:val="00AF505E"/>
    <w:rsid w:val="00AF5250"/>
    <w:rsid w:val="00AF6014"/>
    <w:rsid w:val="00AF6117"/>
    <w:rsid w:val="00AF613F"/>
    <w:rsid w:val="00AF6303"/>
    <w:rsid w:val="00B0153F"/>
    <w:rsid w:val="00B0161B"/>
    <w:rsid w:val="00B0293B"/>
    <w:rsid w:val="00B06244"/>
    <w:rsid w:val="00B064C0"/>
    <w:rsid w:val="00B064D4"/>
    <w:rsid w:val="00B0671B"/>
    <w:rsid w:val="00B0768C"/>
    <w:rsid w:val="00B07857"/>
    <w:rsid w:val="00B12572"/>
    <w:rsid w:val="00B145AD"/>
    <w:rsid w:val="00B1505E"/>
    <w:rsid w:val="00B15066"/>
    <w:rsid w:val="00B1720D"/>
    <w:rsid w:val="00B17F03"/>
    <w:rsid w:val="00B206DF"/>
    <w:rsid w:val="00B21382"/>
    <w:rsid w:val="00B21E34"/>
    <w:rsid w:val="00B21E44"/>
    <w:rsid w:val="00B224B1"/>
    <w:rsid w:val="00B23A66"/>
    <w:rsid w:val="00B24066"/>
    <w:rsid w:val="00B2463C"/>
    <w:rsid w:val="00B24742"/>
    <w:rsid w:val="00B24AE2"/>
    <w:rsid w:val="00B254A3"/>
    <w:rsid w:val="00B26647"/>
    <w:rsid w:val="00B27B3C"/>
    <w:rsid w:val="00B30304"/>
    <w:rsid w:val="00B3067C"/>
    <w:rsid w:val="00B30C53"/>
    <w:rsid w:val="00B3140E"/>
    <w:rsid w:val="00B315C1"/>
    <w:rsid w:val="00B33857"/>
    <w:rsid w:val="00B33890"/>
    <w:rsid w:val="00B35806"/>
    <w:rsid w:val="00B36E61"/>
    <w:rsid w:val="00B40811"/>
    <w:rsid w:val="00B41347"/>
    <w:rsid w:val="00B4156D"/>
    <w:rsid w:val="00B41DC7"/>
    <w:rsid w:val="00B42285"/>
    <w:rsid w:val="00B44602"/>
    <w:rsid w:val="00B447A2"/>
    <w:rsid w:val="00B44FFC"/>
    <w:rsid w:val="00B45EAF"/>
    <w:rsid w:val="00B47F8D"/>
    <w:rsid w:val="00B5015C"/>
    <w:rsid w:val="00B50943"/>
    <w:rsid w:val="00B515E7"/>
    <w:rsid w:val="00B548BE"/>
    <w:rsid w:val="00B5493F"/>
    <w:rsid w:val="00B55036"/>
    <w:rsid w:val="00B5792A"/>
    <w:rsid w:val="00B6360B"/>
    <w:rsid w:val="00B650BC"/>
    <w:rsid w:val="00B661CC"/>
    <w:rsid w:val="00B6624B"/>
    <w:rsid w:val="00B667A2"/>
    <w:rsid w:val="00B66942"/>
    <w:rsid w:val="00B66E51"/>
    <w:rsid w:val="00B67B76"/>
    <w:rsid w:val="00B70953"/>
    <w:rsid w:val="00B7167D"/>
    <w:rsid w:val="00B7167E"/>
    <w:rsid w:val="00B71844"/>
    <w:rsid w:val="00B71EDE"/>
    <w:rsid w:val="00B72958"/>
    <w:rsid w:val="00B75244"/>
    <w:rsid w:val="00B76072"/>
    <w:rsid w:val="00B7794F"/>
    <w:rsid w:val="00B77A6D"/>
    <w:rsid w:val="00B77B4C"/>
    <w:rsid w:val="00B801A0"/>
    <w:rsid w:val="00B814FF"/>
    <w:rsid w:val="00B84F73"/>
    <w:rsid w:val="00B85CEE"/>
    <w:rsid w:val="00B866B8"/>
    <w:rsid w:val="00B9022D"/>
    <w:rsid w:val="00B90B37"/>
    <w:rsid w:val="00B918C1"/>
    <w:rsid w:val="00B91AF3"/>
    <w:rsid w:val="00B91C56"/>
    <w:rsid w:val="00B92585"/>
    <w:rsid w:val="00B92705"/>
    <w:rsid w:val="00B92BDD"/>
    <w:rsid w:val="00B93FFC"/>
    <w:rsid w:val="00B95970"/>
    <w:rsid w:val="00B95F0A"/>
    <w:rsid w:val="00B9785F"/>
    <w:rsid w:val="00BA1032"/>
    <w:rsid w:val="00BA153B"/>
    <w:rsid w:val="00BA25BB"/>
    <w:rsid w:val="00BA25EE"/>
    <w:rsid w:val="00BA392F"/>
    <w:rsid w:val="00BA4443"/>
    <w:rsid w:val="00BA5179"/>
    <w:rsid w:val="00BA69F8"/>
    <w:rsid w:val="00BA76B3"/>
    <w:rsid w:val="00BB0FC3"/>
    <w:rsid w:val="00BB21EC"/>
    <w:rsid w:val="00BB24D0"/>
    <w:rsid w:val="00BB2DF4"/>
    <w:rsid w:val="00BB46B7"/>
    <w:rsid w:val="00BB5A8A"/>
    <w:rsid w:val="00BC029F"/>
    <w:rsid w:val="00BC2C2E"/>
    <w:rsid w:val="00BC46E4"/>
    <w:rsid w:val="00BC5BE8"/>
    <w:rsid w:val="00BC731F"/>
    <w:rsid w:val="00BD1134"/>
    <w:rsid w:val="00BD2338"/>
    <w:rsid w:val="00BD3A0A"/>
    <w:rsid w:val="00BD3BF9"/>
    <w:rsid w:val="00BD414D"/>
    <w:rsid w:val="00BD4B16"/>
    <w:rsid w:val="00BD5880"/>
    <w:rsid w:val="00BD75CD"/>
    <w:rsid w:val="00BD7CE9"/>
    <w:rsid w:val="00BE075D"/>
    <w:rsid w:val="00BE07D8"/>
    <w:rsid w:val="00BE1AE8"/>
    <w:rsid w:val="00BE209A"/>
    <w:rsid w:val="00BE48F9"/>
    <w:rsid w:val="00BE495C"/>
    <w:rsid w:val="00BE5314"/>
    <w:rsid w:val="00BE5DD1"/>
    <w:rsid w:val="00BE743E"/>
    <w:rsid w:val="00BF0CFC"/>
    <w:rsid w:val="00BF1070"/>
    <w:rsid w:val="00BF1716"/>
    <w:rsid w:val="00BF1AC1"/>
    <w:rsid w:val="00BF1D22"/>
    <w:rsid w:val="00BF2D85"/>
    <w:rsid w:val="00BF341C"/>
    <w:rsid w:val="00BF51E2"/>
    <w:rsid w:val="00BF579E"/>
    <w:rsid w:val="00BF6789"/>
    <w:rsid w:val="00BF7EFF"/>
    <w:rsid w:val="00C00469"/>
    <w:rsid w:val="00C00A0B"/>
    <w:rsid w:val="00C0107C"/>
    <w:rsid w:val="00C01255"/>
    <w:rsid w:val="00C01966"/>
    <w:rsid w:val="00C01A4D"/>
    <w:rsid w:val="00C0261B"/>
    <w:rsid w:val="00C02AD0"/>
    <w:rsid w:val="00C04233"/>
    <w:rsid w:val="00C04F94"/>
    <w:rsid w:val="00C05E0F"/>
    <w:rsid w:val="00C07456"/>
    <w:rsid w:val="00C0768C"/>
    <w:rsid w:val="00C10453"/>
    <w:rsid w:val="00C10C64"/>
    <w:rsid w:val="00C119EB"/>
    <w:rsid w:val="00C1382C"/>
    <w:rsid w:val="00C140A2"/>
    <w:rsid w:val="00C155B3"/>
    <w:rsid w:val="00C15A21"/>
    <w:rsid w:val="00C15D10"/>
    <w:rsid w:val="00C1615C"/>
    <w:rsid w:val="00C16415"/>
    <w:rsid w:val="00C17A80"/>
    <w:rsid w:val="00C203D3"/>
    <w:rsid w:val="00C21296"/>
    <w:rsid w:val="00C21300"/>
    <w:rsid w:val="00C215F3"/>
    <w:rsid w:val="00C21898"/>
    <w:rsid w:val="00C22E68"/>
    <w:rsid w:val="00C22FC8"/>
    <w:rsid w:val="00C2303F"/>
    <w:rsid w:val="00C2543F"/>
    <w:rsid w:val="00C26EF4"/>
    <w:rsid w:val="00C27435"/>
    <w:rsid w:val="00C30042"/>
    <w:rsid w:val="00C3057F"/>
    <w:rsid w:val="00C30D72"/>
    <w:rsid w:val="00C3197B"/>
    <w:rsid w:val="00C31F05"/>
    <w:rsid w:val="00C326AE"/>
    <w:rsid w:val="00C32A50"/>
    <w:rsid w:val="00C334AD"/>
    <w:rsid w:val="00C3457E"/>
    <w:rsid w:val="00C3470D"/>
    <w:rsid w:val="00C356E3"/>
    <w:rsid w:val="00C35BD4"/>
    <w:rsid w:val="00C37C1B"/>
    <w:rsid w:val="00C41864"/>
    <w:rsid w:val="00C42913"/>
    <w:rsid w:val="00C43088"/>
    <w:rsid w:val="00C43913"/>
    <w:rsid w:val="00C44C9C"/>
    <w:rsid w:val="00C44CE1"/>
    <w:rsid w:val="00C46077"/>
    <w:rsid w:val="00C46595"/>
    <w:rsid w:val="00C46846"/>
    <w:rsid w:val="00C4735B"/>
    <w:rsid w:val="00C47C6B"/>
    <w:rsid w:val="00C50083"/>
    <w:rsid w:val="00C50360"/>
    <w:rsid w:val="00C50D3F"/>
    <w:rsid w:val="00C52074"/>
    <w:rsid w:val="00C60BFF"/>
    <w:rsid w:val="00C60E21"/>
    <w:rsid w:val="00C615C9"/>
    <w:rsid w:val="00C62E6B"/>
    <w:rsid w:val="00C64F61"/>
    <w:rsid w:val="00C6502B"/>
    <w:rsid w:val="00C70CBF"/>
    <w:rsid w:val="00C71688"/>
    <w:rsid w:val="00C71A8F"/>
    <w:rsid w:val="00C73C46"/>
    <w:rsid w:val="00C73E8B"/>
    <w:rsid w:val="00C75354"/>
    <w:rsid w:val="00C755AB"/>
    <w:rsid w:val="00C76885"/>
    <w:rsid w:val="00C76897"/>
    <w:rsid w:val="00C76E29"/>
    <w:rsid w:val="00C77D2D"/>
    <w:rsid w:val="00C806F4"/>
    <w:rsid w:val="00C81990"/>
    <w:rsid w:val="00C828CD"/>
    <w:rsid w:val="00C82EC2"/>
    <w:rsid w:val="00C857B3"/>
    <w:rsid w:val="00C86D39"/>
    <w:rsid w:val="00C87AA6"/>
    <w:rsid w:val="00C906C2"/>
    <w:rsid w:val="00C90A45"/>
    <w:rsid w:val="00C91802"/>
    <w:rsid w:val="00C91828"/>
    <w:rsid w:val="00C928D7"/>
    <w:rsid w:val="00C93316"/>
    <w:rsid w:val="00C93508"/>
    <w:rsid w:val="00C95528"/>
    <w:rsid w:val="00C95E50"/>
    <w:rsid w:val="00C96721"/>
    <w:rsid w:val="00C97C39"/>
    <w:rsid w:val="00CA0BC8"/>
    <w:rsid w:val="00CA4F4F"/>
    <w:rsid w:val="00CA527D"/>
    <w:rsid w:val="00CA5D8E"/>
    <w:rsid w:val="00CA600F"/>
    <w:rsid w:val="00CA6201"/>
    <w:rsid w:val="00CB08C4"/>
    <w:rsid w:val="00CB5B5B"/>
    <w:rsid w:val="00CB7D41"/>
    <w:rsid w:val="00CB7E71"/>
    <w:rsid w:val="00CC03DD"/>
    <w:rsid w:val="00CC0404"/>
    <w:rsid w:val="00CC093F"/>
    <w:rsid w:val="00CC10EF"/>
    <w:rsid w:val="00CC3DC1"/>
    <w:rsid w:val="00CC41E0"/>
    <w:rsid w:val="00CC4933"/>
    <w:rsid w:val="00CC5917"/>
    <w:rsid w:val="00CC699C"/>
    <w:rsid w:val="00CC6CE5"/>
    <w:rsid w:val="00CC723D"/>
    <w:rsid w:val="00CC7253"/>
    <w:rsid w:val="00CC73D3"/>
    <w:rsid w:val="00CC743F"/>
    <w:rsid w:val="00CD0CBE"/>
    <w:rsid w:val="00CD1D66"/>
    <w:rsid w:val="00CD218F"/>
    <w:rsid w:val="00CD21A0"/>
    <w:rsid w:val="00CD2B60"/>
    <w:rsid w:val="00CD31CD"/>
    <w:rsid w:val="00CD38B7"/>
    <w:rsid w:val="00CD3DB3"/>
    <w:rsid w:val="00CD73B0"/>
    <w:rsid w:val="00CE009D"/>
    <w:rsid w:val="00CE1389"/>
    <w:rsid w:val="00CE1F61"/>
    <w:rsid w:val="00CE20E3"/>
    <w:rsid w:val="00CE4AF4"/>
    <w:rsid w:val="00CE5BAC"/>
    <w:rsid w:val="00CE603E"/>
    <w:rsid w:val="00CE7D77"/>
    <w:rsid w:val="00CF0426"/>
    <w:rsid w:val="00CF0D21"/>
    <w:rsid w:val="00CF1A76"/>
    <w:rsid w:val="00CF24AF"/>
    <w:rsid w:val="00CF2CA5"/>
    <w:rsid w:val="00CF2FC5"/>
    <w:rsid w:val="00CF6C15"/>
    <w:rsid w:val="00CF75AE"/>
    <w:rsid w:val="00CF7789"/>
    <w:rsid w:val="00D006B2"/>
    <w:rsid w:val="00D01467"/>
    <w:rsid w:val="00D02F3D"/>
    <w:rsid w:val="00D034A5"/>
    <w:rsid w:val="00D03EFD"/>
    <w:rsid w:val="00D058F1"/>
    <w:rsid w:val="00D07AE2"/>
    <w:rsid w:val="00D11F64"/>
    <w:rsid w:val="00D12F23"/>
    <w:rsid w:val="00D1337D"/>
    <w:rsid w:val="00D1346F"/>
    <w:rsid w:val="00D13CA4"/>
    <w:rsid w:val="00D13D5C"/>
    <w:rsid w:val="00D152C6"/>
    <w:rsid w:val="00D16F0D"/>
    <w:rsid w:val="00D17062"/>
    <w:rsid w:val="00D17C93"/>
    <w:rsid w:val="00D21246"/>
    <w:rsid w:val="00D22517"/>
    <w:rsid w:val="00D22B98"/>
    <w:rsid w:val="00D2340A"/>
    <w:rsid w:val="00D245E6"/>
    <w:rsid w:val="00D2546F"/>
    <w:rsid w:val="00D25472"/>
    <w:rsid w:val="00D2597A"/>
    <w:rsid w:val="00D25E69"/>
    <w:rsid w:val="00D27E1F"/>
    <w:rsid w:val="00D314F5"/>
    <w:rsid w:val="00D326DD"/>
    <w:rsid w:val="00D32DB4"/>
    <w:rsid w:val="00D3318E"/>
    <w:rsid w:val="00D34799"/>
    <w:rsid w:val="00D34A64"/>
    <w:rsid w:val="00D36A4B"/>
    <w:rsid w:val="00D36EBD"/>
    <w:rsid w:val="00D4088E"/>
    <w:rsid w:val="00D41983"/>
    <w:rsid w:val="00D4272C"/>
    <w:rsid w:val="00D4312C"/>
    <w:rsid w:val="00D43848"/>
    <w:rsid w:val="00D4576F"/>
    <w:rsid w:val="00D45DB7"/>
    <w:rsid w:val="00D46DE8"/>
    <w:rsid w:val="00D501B0"/>
    <w:rsid w:val="00D520E2"/>
    <w:rsid w:val="00D52570"/>
    <w:rsid w:val="00D53507"/>
    <w:rsid w:val="00D53C09"/>
    <w:rsid w:val="00D54026"/>
    <w:rsid w:val="00D543C8"/>
    <w:rsid w:val="00D5479D"/>
    <w:rsid w:val="00D55438"/>
    <w:rsid w:val="00D556A3"/>
    <w:rsid w:val="00D5604E"/>
    <w:rsid w:val="00D572E1"/>
    <w:rsid w:val="00D5738B"/>
    <w:rsid w:val="00D574C6"/>
    <w:rsid w:val="00D606E2"/>
    <w:rsid w:val="00D60DB9"/>
    <w:rsid w:val="00D621B3"/>
    <w:rsid w:val="00D625C8"/>
    <w:rsid w:val="00D625E0"/>
    <w:rsid w:val="00D62E32"/>
    <w:rsid w:val="00D63712"/>
    <w:rsid w:val="00D63A7A"/>
    <w:rsid w:val="00D65D33"/>
    <w:rsid w:val="00D66B35"/>
    <w:rsid w:val="00D66DD0"/>
    <w:rsid w:val="00D672D2"/>
    <w:rsid w:val="00D7160F"/>
    <w:rsid w:val="00D7194B"/>
    <w:rsid w:val="00D728BD"/>
    <w:rsid w:val="00D72B52"/>
    <w:rsid w:val="00D7386D"/>
    <w:rsid w:val="00D74A16"/>
    <w:rsid w:val="00D75A4E"/>
    <w:rsid w:val="00D76090"/>
    <w:rsid w:val="00D77503"/>
    <w:rsid w:val="00D77AD8"/>
    <w:rsid w:val="00D77D62"/>
    <w:rsid w:val="00D80823"/>
    <w:rsid w:val="00D80B4A"/>
    <w:rsid w:val="00D80C55"/>
    <w:rsid w:val="00D80F13"/>
    <w:rsid w:val="00D82308"/>
    <w:rsid w:val="00D82710"/>
    <w:rsid w:val="00D8399B"/>
    <w:rsid w:val="00D84049"/>
    <w:rsid w:val="00D844B9"/>
    <w:rsid w:val="00D84D7B"/>
    <w:rsid w:val="00D875FB"/>
    <w:rsid w:val="00D90A4B"/>
    <w:rsid w:val="00D92391"/>
    <w:rsid w:val="00D928C9"/>
    <w:rsid w:val="00D9292E"/>
    <w:rsid w:val="00D92EB8"/>
    <w:rsid w:val="00D93CDF"/>
    <w:rsid w:val="00D94736"/>
    <w:rsid w:val="00D96DF7"/>
    <w:rsid w:val="00D9712C"/>
    <w:rsid w:val="00DA06D0"/>
    <w:rsid w:val="00DA1F0F"/>
    <w:rsid w:val="00DA2067"/>
    <w:rsid w:val="00DA277C"/>
    <w:rsid w:val="00DA2A47"/>
    <w:rsid w:val="00DA2EEA"/>
    <w:rsid w:val="00DA3641"/>
    <w:rsid w:val="00DA3C0E"/>
    <w:rsid w:val="00DA414E"/>
    <w:rsid w:val="00DA4366"/>
    <w:rsid w:val="00DA46B6"/>
    <w:rsid w:val="00DA47E8"/>
    <w:rsid w:val="00DA4CE1"/>
    <w:rsid w:val="00DA4E0A"/>
    <w:rsid w:val="00DA4E12"/>
    <w:rsid w:val="00DA52F7"/>
    <w:rsid w:val="00DA53C9"/>
    <w:rsid w:val="00DA5C46"/>
    <w:rsid w:val="00DA72CC"/>
    <w:rsid w:val="00DB1C3B"/>
    <w:rsid w:val="00DB1F4D"/>
    <w:rsid w:val="00DB3FFC"/>
    <w:rsid w:val="00DB444D"/>
    <w:rsid w:val="00DB515B"/>
    <w:rsid w:val="00DB5805"/>
    <w:rsid w:val="00DB5BAB"/>
    <w:rsid w:val="00DB6D01"/>
    <w:rsid w:val="00DB789F"/>
    <w:rsid w:val="00DC30F9"/>
    <w:rsid w:val="00DC4F02"/>
    <w:rsid w:val="00DC606C"/>
    <w:rsid w:val="00DC65C4"/>
    <w:rsid w:val="00DD0A6D"/>
    <w:rsid w:val="00DD3382"/>
    <w:rsid w:val="00DD3FD5"/>
    <w:rsid w:val="00DD531E"/>
    <w:rsid w:val="00DD57CF"/>
    <w:rsid w:val="00DD5A72"/>
    <w:rsid w:val="00DD7AD7"/>
    <w:rsid w:val="00DE15B4"/>
    <w:rsid w:val="00DE1D26"/>
    <w:rsid w:val="00DE40BD"/>
    <w:rsid w:val="00DE5216"/>
    <w:rsid w:val="00DE57F8"/>
    <w:rsid w:val="00DE58C5"/>
    <w:rsid w:val="00DE68BB"/>
    <w:rsid w:val="00DE7EE3"/>
    <w:rsid w:val="00DF1FE9"/>
    <w:rsid w:val="00DF29C8"/>
    <w:rsid w:val="00DF3976"/>
    <w:rsid w:val="00DF531A"/>
    <w:rsid w:val="00DF5901"/>
    <w:rsid w:val="00DF5CF9"/>
    <w:rsid w:val="00DF607F"/>
    <w:rsid w:val="00DF67A9"/>
    <w:rsid w:val="00DF75EE"/>
    <w:rsid w:val="00DF7747"/>
    <w:rsid w:val="00DF7F3B"/>
    <w:rsid w:val="00E0041D"/>
    <w:rsid w:val="00E00455"/>
    <w:rsid w:val="00E00729"/>
    <w:rsid w:val="00E00B26"/>
    <w:rsid w:val="00E0112D"/>
    <w:rsid w:val="00E01A5E"/>
    <w:rsid w:val="00E033A9"/>
    <w:rsid w:val="00E03B6C"/>
    <w:rsid w:val="00E03EF0"/>
    <w:rsid w:val="00E0454E"/>
    <w:rsid w:val="00E04DA2"/>
    <w:rsid w:val="00E10253"/>
    <w:rsid w:val="00E104FB"/>
    <w:rsid w:val="00E10C39"/>
    <w:rsid w:val="00E10E99"/>
    <w:rsid w:val="00E1105A"/>
    <w:rsid w:val="00E11534"/>
    <w:rsid w:val="00E126F3"/>
    <w:rsid w:val="00E13166"/>
    <w:rsid w:val="00E13EDE"/>
    <w:rsid w:val="00E14FA2"/>
    <w:rsid w:val="00E150E6"/>
    <w:rsid w:val="00E151FB"/>
    <w:rsid w:val="00E153D4"/>
    <w:rsid w:val="00E16A5A"/>
    <w:rsid w:val="00E20089"/>
    <w:rsid w:val="00E20620"/>
    <w:rsid w:val="00E20A4B"/>
    <w:rsid w:val="00E220C8"/>
    <w:rsid w:val="00E2255C"/>
    <w:rsid w:val="00E22708"/>
    <w:rsid w:val="00E22CE8"/>
    <w:rsid w:val="00E23A52"/>
    <w:rsid w:val="00E25ABA"/>
    <w:rsid w:val="00E26ADA"/>
    <w:rsid w:val="00E27713"/>
    <w:rsid w:val="00E27EB0"/>
    <w:rsid w:val="00E3021E"/>
    <w:rsid w:val="00E30B06"/>
    <w:rsid w:val="00E32187"/>
    <w:rsid w:val="00E331A5"/>
    <w:rsid w:val="00E34424"/>
    <w:rsid w:val="00E35047"/>
    <w:rsid w:val="00E35D97"/>
    <w:rsid w:val="00E36F4B"/>
    <w:rsid w:val="00E370CE"/>
    <w:rsid w:val="00E40579"/>
    <w:rsid w:val="00E40740"/>
    <w:rsid w:val="00E40FB9"/>
    <w:rsid w:val="00E4102D"/>
    <w:rsid w:val="00E418C0"/>
    <w:rsid w:val="00E41B0A"/>
    <w:rsid w:val="00E43345"/>
    <w:rsid w:val="00E43BEA"/>
    <w:rsid w:val="00E44010"/>
    <w:rsid w:val="00E4454A"/>
    <w:rsid w:val="00E449B7"/>
    <w:rsid w:val="00E4764A"/>
    <w:rsid w:val="00E500B8"/>
    <w:rsid w:val="00E52088"/>
    <w:rsid w:val="00E53B53"/>
    <w:rsid w:val="00E562AE"/>
    <w:rsid w:val="00E56768"/>
    <w:rsid w:val="00E56812"/>
    <w:rsid w:val="00E570D8"/>
    <w:rsid w:val="00E5738B"/>
    <w:rsid w:val="00E5786B"/>
    <w:rsid w:val="00E6009D"/>
    <w:rsid w:val="00E601E0"/>
    <w:rsid w:val="00E63C39"/>
    <w:rsid w:val="00E6453C"/>
    <w:rsid w:val="00E67722"/>
    <w:rsid w:val="00E67B29"/>
    <w:rsid w:val="00E72176"/>
    <w:rsid w:val="00E72C66"/>
    <w:rsid w:val="00E73812"/>
    <w:rsid w:val="00E74360"/>
    <w:rsid w:val="00E759A9"/>
    <w:rsid w:val="00E759EB"/>
    <w:rsid w:val="00E7675B"/>
    <w:rsid w:val="00E76D18"/>
    <w:rsid w:val="00E771DF"/>
    <w:rsid w:val="00E8241F"/>
    <w:rsid w:val="00E827F9"/>
    <w:rsid w:val="00E82BEB"/>
    <w:rsid w:val="00E83DD2"/>
    <w:rsid w:val="00E846C4"/>
    <w:rsid w:val="00E85A3E"/>
    <w:rsid w:val="00E86255"/>
    <w:rsid w:val="00E90572"/>
    <w:rsid w:val="00E90783"/>
    <w:rsid w:val="00E9106B"/>
    <w:rsid w:val="00E91D35"/>
    <w:rsid w:val="00E92154"/>
    <w:rsid w:val="00E92A14"/>
    <w:rsid w:val="00E93217"/>
    <w:rsid w:val="00E93F5B"/>
    <w:rsid w:val="00E94E1A"/>
    <w:rsid w:val="00E968A3"/>
    <w:rsid w:val="00E97878"/>
    <w:rsid w:val="00EA0221"/>
    <w:rsid w:val="00EA0251"/>
    <w:rsid w:val="00EA2532"/>
    <w:rsid w:val="00EA5602"/>
    <w:rsid w:val="00EA575B"/>
    <w:rsid w:val="00EB0C10"/>
    <w:rsid w:val="00EB142D"/>
    <w:rsid w:val="00EB5AD5"/>
    <w:rsid w:val="00EB6414"/>
    <w:rsid w:val="00EB6881"/>
    <w:rsid w:val="00EB7712"/>
    <w:rsid w:val="00EB7ADD"/>
    <w:rsid w:val="00EB7FED"/>
    <w:rsid w:val="00EC030E"/>
    <w:rsid w:val="00EC187A"/>
    <w:rsid w:val="00EC250E"/>
    <w:rsid w:val="00EC2B4F"/>
    <w:rsid w:val="00EC317C"/>
    <w:rsid w:val="00EC37DE"/>
    <w:rsid w:val="00EC4B00"/>
    <w:rsid w:val="00EC6317"/>
    <w:rsid w:val="00EC6D71"/>
    <w:rsid w:val="00EC7E3C"/>
    <w:rsid w:val="00ED0400"/>
    <w:rsid w:val="00ED0D3E"/>
    <w:rsid w:val="00ED0EB4"/>
    <w:rsid w:val="00ED2069"/>
    <w:rsid w:val="00ED2558"/>
    <w:rsid w:val="00ED26E9"/>
    <w:rsid w:val="00ED30CE"/>
    <w:rsid w:val="00ED355C"/>
    <w:rsid w:val="00ED375B"/>
    <w:rsid w:val="00ED41ED"/>
    <w:rsid w:val="00ED4FC3"/>
    <w:rsid w:val="00ED52BE"/>
    <w:rsid w:val="00ED5F4B"/>
    <w:rsid w:val="00ED6E86"/>
    <w:rsid w:val="00ED7DC2"/>
    <w:rsid w:val="00EE0E95"/>
    <w:rsid w:val="00EE0EE4"/>
    <w:rsid w:val="00EE1EFB"/>
    <w:rsid w:val="00EE2B90"/>
    <w:rsid w:val="00EE2B97"/>
    <w:rsid w:val="00EE46F8"/>
    <w:rsid w:val="00EE4DD7"/>
    <w:rsid w:val="00EE790A"/>
    <w:rsid w:val="00EF00B4"/>
    <w:rsid w:val="00EF0E76"/>
    <w:rsid w:val="00EF17DD"/>
    <w:rsid w:val="00EF2C13"/>
    <w:rsid w:val="00EF3234"/>
    <w:rsid w:val="00EF3CF6"/>
    <w:rsid w:val="00EF4193"/>
    <w:rsid w:val="00EF453F"/>
    <w:rsid w:val="00EF517E"/>
    <w:rsid w:val="00EF5204"/>
    <w:rsid w:val="00EF7063"/>
    <w:rsid w:val="00EF79E1"/>
    <w:rsid w:val="00F00139"/>
    <w:rsid w:val="00F002A8"/>
    <w:rsid w:val="00F00962"/>
    <w:rsid w:val="00F009C3"/>
    <w:rsid w:val="00F01070"/>
    <w:rsid w:val="00F02177"/>
    <w:rsid w:val="00F0270E"/>
    <w:rsid w:val="00F0305B"/>
    <w:rsid w:val="00F03726"/>
    <w:rsid w:val="00F03EBF"/>
    <w:rsid w:val="00F04089"/>
    <w:rsid w:val="00F04335"/>
    <w:rsid w:val="00F047E6"/>
    <w:rsid w:val="00F04EF6"/>
    <w:rsid w:val="00F05772"/>
    <w:rsid w:val="00F05E0A"/>
    <w:rsid w:val="00F05EA7"/>
    <w:rsid w:val="00F06488"/>
    <w:rsid w:val="00F0685A"/>
    <w:rsid w:val="00F07881"/>
    <w:rsid w:val="00F10A24"/>
    <w:rsid w:val="00F13616"/>
    <w:rsid w:val="00F14077"/>
    <w:rsid w:val="00F145A8"/>
    <w:rsid w:val="00F14790"/>
    <w:rsid w:val="00F14A05"/>
    <w:rsid w:val="00F14BA1"/>
    <w:rsid w:val="00F17E69"/>
    <w:rsid w:val="00F20674"/>
    <w:rsid w:val="00F20F4B"/>
    <w:rsid w:val="00F21A2D"/>
    <w:rsid w:val="00F2270C"/>
    <w:rsid w:val="00F23324"/>
    <w:rsid w:val="00F2357C"/>
    <w:rsid w:val="00F23ACD"/>
    <w:rsid w:val="00F24132"/>
    <w:rsid w:val="00F24F44"/>
    <w:rsid w:val="00F253A7"/>
    <w:rsid w:val="00F25DDA"/>
    <w:rsid w:val="00F264D9"/>
    <w:rsid w:val="00F26B95"/>
    <w:rsid w:val="00F26BE0"/>
    <w:rsid w:val="00F26C24"/>
    <w:rsid w:val="00F27CD8"/>
    <w:rsid w:val="00F308BF"/>
    <w:rsid w:val="00F30CB5"/>
    <w:rsid w:val="00F31576"/>
    <w:rsid w:val="00F31AED"/>
    <w:rsid w:val="00F322A0"/>
    <w:rsid w:val="00F3235D"/>
    <w:rsid w:val="00F34DB7"/>
    <w:rsid w:val="00F350C2"/>
    <w:rsid w:val="00F352EC"/>
    <w:rsid w:val="00F360B3"/>
    <w:rsid w:val="00F37F15"/>
    <w:rsid w:val="00F40018"/>
    <w:rsid w:val="00F4041A"/>
    <w:rsid w:val="00F41538"/>
    <w:rsid w:val="00F4174B"/>
    <w:rsid w:val="00F42545"/>
    <w:rsid w:val="00F429F4"/>
    <w:rsid w:val="00F43717"/>
    <w:rsid w:val="00F447F3"/>
    <w:rsid w:val="00F44C98"/>
    <w:rsid w:val="00F45E6E"/>
    <w:rsid w:val="00F4619C"/>
    <w:rsid w:val="00F46464"/>
    <w:rsid w:val="00F50653"/>
    <w:rsid w:val="00F5095A"/>
    <w:rsid w:val="00F50BBD"/>
    <w:rsid w:val="00F50F0A"/>
    <w:rsid w:val="00F51154"/>
    <w:rsid w:val="00F52EEC"/>
    <w:rsid w:val="00F5350A"/>
    <w:rsid w:val="00F53752"/>
    <w:rsid w:val="00F5414B"/>
    <w:rsid w:val="00F54925"/>
    <w:rsid w:val="00F56BBC"/>
    <w:rsid w:val="00F57925"/>
    <w:rsid w:val="00F6035D"/>
    <w:rsid w:val="00F61601"/>
    <w:rsid w:val="00F61968"/>
    <w:rsid w:val="00F61CE8"/>
    <w:rsid w:val="00F62BBE"/>
    <w:rsid w:val="00F648FC"/>
    <w:rsid w:val="00F6537E"/>
    <w:rsid w:val="00F65F2F"/>
    <w:rsid w:val="00F665BD"/>
    <w:rsid w:val="00F668CE"/>
    <w:rsid w:val="00F66B2E"/>
    <w:rsid w:val="00F66F00"/>
    <w:rsid w:val="00F67EAA"/>
    <w:rsid w:val="00F71679"/>
    <w:rsid w:val="00F71CFD"/>
    <w:rsid w:val="00F72D82"/>
    <w:rsid w:val="00F72FB5"/>
    <w:rsid w:val="00F731AF"/>
    <w:rsid w:val="00F74276"/>
    <w:rsid w:val="00F74436"/>
    <w:rsid w:val="00F745A4"/>
    <w:rsid w:val="00F7639E"/>
    <w:rsid w:val="00F80340"/>
    <w:rsid w:val="00F822E2"/>
    <w:rsid w:val="00F82DBA"/>
    <w:rsid w:val="00F83641"/>
    <w:rsid w:val="00F8470D"/>
    <w:rsid w:val="00F84806"/>
    <w:rsid w:val="00F85AB2"/>
    <w:rsid w:val="00F85DE2"/>
    <w:rsid w:val="00F872EE"/>
    <w:rsid w:val="00F873C8"/>
    <w:rsid w:val="00F87B39"/>
    <w:rsid w:val="00F90A7A"/>
    <w:rsid w:val="00F91335"/>
    <w:rsid w:val="00F9335B"/>
    <w:rsid w:val="00F935DB"/>
    <w:rsid w:val="00F936C0"/>
    <w:rsid w:val="00F947E5"/>
    <w:rsid w:val="00F94C63"/>
    <w:rsid w:val="00F95039"/>
    <w:rsid w:val="00FA099C"/>
    <w:rsid w:val="00FA1821"/>
    <w:rsid w:val="00FA2D73"/>
    <w:rsid w:val="00FA37B5"/>
    <w:rsid w:val="00FA49FF"/>
    <w:rsid w:val="00FA4F06"/>
    <w:rsid w:val="00FA5248"/>
    <w:rsid w:val="00FA5A4B"/>
    <w:rsid w:val="00FA5DDF"/>
    <w:rsid w:val="00FA6DBB"/>
    <w:rsid w:val="00FA7F66"/>
    <w:rsid w:val="00FB2C5C"/>
    <w:rsid w:val="00FB2E98"/>
    <w:rsid w:val="00FB3456"/>
    <w:rsid w:val="00FB46C6"/>
    <w:rsid w:val="00FB552E"/>
    <w:rsid w:val="00FB5BC6"/>
    <w:rsid w:val="00FB5C02"/>
    <w:rsid w:val="00FB65E5"/>
    <w:rsid w:val="00FB6A1C"/>
    <w:rsid w:val="00FC0B2C"/>
    <w:rsid w:val="00FC0D4B"/>
    <w:rsid w:val="00FC112D"/>
    <w:rsid w:val="00FC1E90"/>
    <w:rsid w:val="00FC38A8"/>
    <w:rsid w:val="00FC593C"/>
    <w:rsid w:val="00FC6255"/>
    <w:rsid w:val="00FC6D74"/>
    <w:rsid w:val="00FC7896"/>
    <w:rsid w:val="00FD0116"/>
    <w:rsid w:val="00FD034A"/>
    <w:rsid w:val="00FD0C15"/>
    <w:rsid w:val="00FD108E"/>
    <w:rsid w:val="00FD13AD"/>
    <w:rsid w:val="00FD1E38"/>
    <w:rsid w:val="00FD2159"/>
    <w:rsid w:val="00FD28B6"/>
    <w:rsid w:val="00FD517E"/>
    <w:rsid w:val="00FD5403"/>
    <w:rsid w:val="00FD5815"/>
    <w:rsid w:val="00FD6266"/>
    <w:rsid w:val="00FD7B77"/>
    <w:rsid w:val="00FE04BA"/>
    <w:rsid w:val="00FE05E5"/>
    <w:rsid w:val="00FE1F2C"/>
    <w:rsid w:val="00FE25C4"/>
    <w:rsid w:val="00FE2F15"/>
    <w:rsid w:val="00FE31E4"/>
    <w:rsid w:val="00FE3832"/>
    <w:rsid w:val="00FE38BE"/>
    <w:rsid w:val="00FE500C"/>
    <w:rsid w:val="00FE6835"/>
    <w:rsid w:val="00FE6DD5"/>
    <w:rsid w:val="00FE707F"/>
    <w:rsid w:val="00FE7B3A"/>
    <w:rsid w:val="00FE7B58"/>
    <w:rsid w:val="00FE7D31"/>
    <w:rsid w:val="00FF0BA6"/>
    <w:rsid w:val="00FF0CF6"/>
    <w:rsid w:val="00FF1074"/>
    <w:rsid w:val="00FF2565"/>
    <w:rsid w:val="00FF275C"/>
    <w:rsid w:val="00FF3870"/>
    <w:rsid w:val="00FF3D18"/>
    <w:rsid w:val="00FF527F"/>
    <w:rsid w:val="00FF6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322FA-DA92-4D3A-A6CD-54DAD193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1360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semiHidden/>
    <w:unhideWhenUsed/>
    <w:rsid w:val="008B1580"/>
    <w:rPr>
      <w:rFonts w:cs="Times New Roman"/>
      <w:sz w:val="20"/>
      <w:szCs w:val="20"/>
    </w:rPr>
  </w:style>
  <w:style w:type="character" w:customStyle="1" w:styleId="FootnoteTextChar">
    <w:name w:val="Footnote Text Char"/>
    <w:link w:val="FootnoteText"/>
    <w:uiPriority w:val="99"/>
    <w:semiHidden/>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semiHidden/>
    <w:unhideWhenUsed/>
    <w:rsid w:val="00200DCE"/>
    <w:rPr>
      <w:sz w:val="20"/>
      <w:szCs w:val="20"/>
    </w:rPr>
  </w:style>
  <w:style w:type="character" w:customStyle="1" w:styleId="CommentTextChar">
    <w:name w:val="Comment Text Char"/>
    <w:link w:val="CommentText"/>
    <w:uiPriority w:val="99"/>
    <w:semiHidden/>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paragraph" w:styleId="Revision">
    <w:name w:val="Revision"/>
    <w:hidden/>
    <w:uiPriority w:val="99"/>
    <w:semiHidden/>
    <w:rsid w:val="00D728BD"/>
    <w:pPr>
      <w:spacing w:line="240" w:lineRule="auto"/>
      <w:jc w:val="left"/>
    </w:pPr>
    <w:rPr>
      <w:rFonts w:ascii="Arial" w:eastAsia="Times New Roman" w:hAnsi="Arial" w:cs="Arial"/>
      <w:sz w:val="24"/>
      <w:szCs w:val="24"/>
    </w:rPr>
  </w:style>
  <w:style w:type="character" w:customStyle="1" w:styleId="Heading2Char">
    <w:name w:val="Heading 2 Char"/>
    <w:basedOn w:val="DefaultParagraphFont"/>
    <w:link w:val="Heading2"/>
    <w:uiPriority w:val="9"/>
    <w:rsid w:val="001360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0459">
      <w:bodyDiv w:val="1"/>
      <w:marLeft w:val="0"/>
      <w:marRight w:val="0"/>
      <w:marTop w:val="0"/>
      <w:marBottom w:val="0"/>
      <w:divBdr>
        <w:top w:val="none" w:sz="0" w:space="0" w:color="auto"/>
        <w:left w:val="none" w:sz="0" w:space="0" w:color="auto"/>
        <w:bottom w:val="none" w:sz="0" w:space="0" w:color="auto"/>
        <w:right w:val="none" w:sz="0" w:space="0" w:color="auto"/>
      </w:divBdr>
    </w:div>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261F-2539-48E4-98A3-36195994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Mbha HM - Judge</dc:creator>
  <cp:lastModifiedBy>Ayanda Mdletshe</cp:lastModifiedBy>
  <cp:revision>2</cp:revision>
  <cp:lastPrinted>2022-11-04T13:19:00Z</cp:lastPrinted>
  <dcterms:created xsi:type="dcterms:W3CDTF">2022-11-07T08:43:00Z</dcterms:created>
  <dcterms:modified xsi:type="dcterms:W3CDTF">2022-11-07T08:43:00Z</dcterms:modified>
</cp:coreProperties>
</file>