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DAC5" w14:textId="77777777" w:rsidR="005B577A" w:rsidRPr="00147C93" w:rsidRDefault="005B577A" w:rsidP="005B577A">
      <w:pPr>
        <w:jc w:val="center"/>
        <w:rPr>
          <w:b/>
          <w:bCs/>
          <w:sz w:val="28"/>
          <w:szCs w:val="28"/>
        </w:rPr>
      </w:pPr>
      <w:bookmarkStart w:id="0" w:name="_GoBack"/>
      <w:bookmarkEnd w:id="0"/>
    </w:p>
    <w:p w14:paraId="5F8798D2" w14:textId="77777777" w:rsidR="005B577A" w:rsidRPr="006D7AD6" w:rsidRDefault="005B577A" w:rsidP="005B577A">
      <w:pPr>
        <w:jc w:val="center"/>
        <w:rPr>
          <w:b/>
          <w:bCs/>
          <w:sz w:val="28"/>
          <w:szCs w:val="28"/>
        </w:rPr>
      </w:pPr>
    </w:p>
    <w:p w14:paraId="6FFEA7A6" w14:textId="77777777" w:rsidR="005B577A" w:rsidRPr="00CA2751" w:rsidRDefault="005B577A" w:rsidP="005B577A">
      <w:pPr>
        <w:jc w:val="center"/>
        <w:rPr>
          <w:b/>
          <w:bCs/>
          <w:sz w:val="28"/>
          <w:szCs w:val="28"/>
        </w:rPr>
      </w:pPr>
      <w:r w:rsidRPr="00CA2751">
        <w:rPr>
          <w:noProof/>
          <w:sz w:val="28"/>
          <w:szCs w:val="28"/>
          <w:lang w:val="en-ZA" w:eastAsia="en-ZA"/>
        </w:rPr>
        <w:drawing>
          <wp:anchor distT="0" distB="0" distL="114300" distR="114300" simplePos="0" relativeHeight="251659264" behindDoc="0" locked="0" layoutInCell="1" allowOverlap="1" wp14:anchorId="418482CF" wp14:editId="139B094E">
            <wp:simplePos x="0" y="0"/>
            <wp:positionH relativeFrom="margi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77272B5" w14:textId="77777777" w:rsidR="005B577A" w:rsidRPr="00CA2751" w:rsidRDefault="005B577A" w:rsidP="007D3DBE">
      <w:pPr>
        <w:rPr>
          <w:b/>
          <w:bCs/>
          <w:sz w:val="28"/>
          <w:szCs w:val="28"/>
        </w:rPr>
      </w:pPr>
    </w:p>
    <w:p w14:paraId="1CA756B5" w14:textId="77777777" w:rsidR="005B577A" w:rsidRPr="00CA2751" w:rsidRDefault="005B577A" w:rsidP="005B577A">
      <w:pPr>
        <w:jc w:val="center"/>
        <w:rPr>
          <w:b/>
          <w:bCs/>
          <w:sz w:val="28"/>
          <w:szCs w:val="28"/>
        </w:rPr>
      </w:pPr>
      <w:r w:rsidRPr="00CA2751">
        <w:rPr>
          <w:b/>
          <w:bCs/>
          <w:sz w:val="28"/>
          <w:szCs w:val="28"/>
        </w:rPr>
        <w:t>THE SUPREME COURT OF APPEAL OF SOUTH AFRICA</w:t>
      </w:r>
    </w:p>
    <w:p w14:paraId="5AB62622" w14:textId="77777777" w:rsidR="005B577A" w:rsidRPr="00CA2751" w:rsidRDefault="005B577A" w:rsidP="005B577A">
      <w:pPr>
        <w:pStyle w:val="Heading3"/>
        <w:jc w:val="center"/>
        <w:rPr>
          <w:rFonts w:ascii="Times New Roman" w:hAnsi="Times New Roman" w:cs="Times New Roman"/>
          <w:b/>
          <w:i w:val="0"/>
          <w:szCs w:val="28"/>
        </w:rPr>
      </w:pPr>
      <w:r w:rsidRPr="00CA2751">
        <w:rPr>
          <w:rFonts w:ascii="Times New Roman" w:hAnsi="Times New Roman" w:cs="Times New Roman"/>
          <w:b/>
          <w:i w:val="0"/>
          <w:szCs w:val="28"/>
        </w:rPr>
        <w:t>JUDGMENT</w:t>
      </w:r>
    </w:p>
    <w:p w14:paraId="18E1D207" w14:textId="2B71B151" w:rsidR="005B577A" w:rsidRPr="00CA2751" w:rsidRDefault="005B577A" w:rsidP="005B577A">
      <w:pPr>
        <w:spacing w:before="120"/>
        <w:jc w:val="right"/>
        <w:rPr>
          <w:b/>
          <w:sz w:val="28"/>
          <w:szCs w:val="28"/>
        </w:rPr>
      </w:pPr>
      <w:r w:rsidRPr="00CA2751">
        <w:rPr>
          <w:b/>
          <w:sz w:val="28"/>
          <w:szCs w:val="28"/>
        </w:rPr>
        <w:t>Not Reportable</w:t>
      </w:r>
    </w:p>
    <w:p w14:paraId="2A430AB2" w14:textId="77777777" w:rsidR="005B577A" w:rsidRPr="00CA2751" w:rsidRDefault="005B577A" w:rsidP="005B577A">
      <w:pPr>
        <w:jc w:val="right"/>
        <w:rPr>
          <w:sz w:val="28"/>
          <w:szCs w:val="28"/>
        </w:rPr>
      </w:pPr>
      <w:r w:rsidRPr="00CA2751">
        <w:rPr>
          <w:sz w:val="28"/>
          <w:szCs w:val="28"/>
        </w:rPr>
        <w:t>Case no: 810/21</w:t>
      </w:r>
    </w:p>
    <w:p w14:paraId="68FE1252" w14:textId="77777777" w:rsidR="005B577A" w:rsidRPr="00CA2751" w:rsidRDefault="005B577A" w:rsidP="005B577A">
      <w:pPr>
        <w:jc w:val="right"/>
        <w:rPr>
          <w:sz w:val="28"/>
          <w:szCs w:val="28"/>
        </w:rPr>
      </w:pPr>
    </w:p>
    <w:p w14:paraId="7611D4D0" w14:textId="77777777" w:rsidR="005B577A" w:rsidRPr="00CA2751" w:rsidRDefault="005B577A" w:rsidP="00067807">
      <w:pPr>
        <w:spacing w:after="120"/>
        <w:rPr>
          <w:sz w:val="28"/>
          <w:szCs w:val="28"/>
        </w:rPr>
      </w:pPr>
      <w:r w:rsidRPr="00CA2751">
        <w:rPr>
          <w:sz w:val="28"/>
          <w:szCs w:val="28"/>
        </w:rPr>
        <w:t>In the matter between:</w:t>
      </w:r>
    </w:p>
    <w:p w14:paraId="251E2786" w14:textId="36F18165" w:rsidR="005B577A" w:rsidRPr="00CA2751" w:rsidRDefault="005B577A" w:rsidP="007D3DBE">
      <w:pPr>
        <w:tabs>
          <w:tab w:val="right" w:pos="8640"/>
        </w:tabs>
        <w:rPr>
          <w:bCs/>
          <w:sz w:val="28"/>
          <w:szCs w:val="28"/>
        </w:rPr>
      </w:pPr>
      <w:r w:rsidRPr="00CA2751">
        <w:rPr>
          <w:b/>
          <w:bCs/>
          <w:sz w:val="28"/>
          <w:szCs w:val="28"/>
        </w:rPr>
        <w:t xml:space="preserve">SAMANCOR CHROME LIMITED                                          </w:t>
      </w:r>
      <w:r w:rsidR="00DB466F" w:rsidRPr="00CA2751">
        <w:rPr>
          <w:b/>
          <w:bCs/>
          <w:sz w:val="28"/>
          <w:szCs w:val="28"/>
        </w:rPr>
        <w:t xml:space="preserve">     </w:t>
      </w:r>
      <w:r w:rsidRPr="00CA2751">
        <w:rPr>
          <w:b/>
          <w:bCs/>
          <w:sz w:val="28"/>
          <w:szCs w:val="28"/>
        </w:rPr>
        <w:t xml:space="preserve"> APPELLANT</w:t>
      </w:r>
    </w:p>
    <w:p w14:paraId="10DF122E" w14:textId="77777777" w:rsidR="005B577A" w:rsidRPr="00CA2751" w:rsidRDefault="005B577A" w:rsidP="007D3DBE">
      <w:pPr>
        <w:tabs>
          <w:tab w:val="right" w:pos="8640"/>
        </w:tabs>
        <w:rPr>
          <w:bCs/>
          <w:sz w:val="28"/>
          <w:szCs w:val="28"/>
        </w:rPr>
      </w:pPr>
      <w:r w:rsidRPr="00CA2751">
        <w:rPr>
          <w:bCs/>
          <w:sz w:val="28"/>
          <w:szCs w:val="28"/>
        </w:rPr>
        <w:t>and</w:t>
      </w:r>
    </w:p>
    <w:p w14:paraId="58C921A9" w14:textId="77777777" w:rsidR="005B577A" w:rsidRPr="00CA2751" w:rsidRDefault="005B577A" w:rsidP="007D3DBE">
      <w:pPr>
        <w:rPr>
          <w:b/>
          <w:sz w:val="28"/>
          <w:szCs w:val="28"/>
        </w:rPr>
      </w:pPr>
      <w:r w:rsidRPr="00CA2751">
        <w:rPr>
          <w:b/>
          <w:sz w:val="28"/>
          <w:szCs w:val="28"/>
        </w:rPr>
        <w:t xml:space="preserve">BILA CIVIL CONTRACTORS (PTY) LTD          </w:t>
      </w:r>
      <w:r w:rsidR="00DC6330" w:rsidRPr="00CA2751">
        <w:rPr>
          <w:b/>
          <w:sz w:val="28"/>
          <w:szCs w:val="28"/>
        </w:rPr>
        <w:t xml:space="preserve">             </w:t>
      </w:r>
      <w:r w:rsidRPr="00CA2751">
        <w:rPr>
          <w:b/>
          <w:sz w:val="28"/>
          <w:szCs w:val="28"/>
        </w:rPr>
        <w:t>RESPONDENT</w:t>
      </w:r>
    </w:p>
    <w:p w14:paraId="371D3E04" w14:textId="77777777" w:rsidR="005B577A" w:rsidRPr="00CA2751" w:rsidRDefault="005B577A" w:rsidP="005B577A">
      <w:pPr>
        <w:tabs>
          <w:tab w:val="right" w:pos="8640"/>
        </w:tabs>
        <w:rPr>
          <w:b/>
          <w:sz w:val="28"/>
          <w:szCs w:val="28"/>
        </w:rPr>
      </w:pPr>
    </w:p>
    <w:p w14:paraId="77E0EF53" w14:textId="6CC4098D" w:rsidR="005B577A" w:rsidRPr="00803022" w:rsidRDefault="005B577A" w:rsidP="005B577A">
      <w:pPr>
        <w:ind w:left="2160" w:hanging="2160"/>
        <w:contextualSpacing/>
        <w:rPr>
          <w:bCs/>
          <w:sz w:val="28"/>
          <w:szCs w:val="28"/>
        </w:rPr>
      </w:pPr>
      <w:r w:rsidRPr="00CA2751">
        <w:rPr>
          <w:b/>
          <w:bCs/>
          <w:sz w:val="28"/>
          <w:szCs w:val="28"/>
        </w:rPr>
        <w:t>Neutral citation:</w:t>
      </w:r>
      <w:r w:rsidRPr="00CA2751">
        <w:rPr>
          <w:bCs/>
          <w:i/>
          <w:sz w:val="28"/>
          <w:szCs w:val="28"/>
        </w:rPr>
        <w:tab/>
        <w:t xml:space="preserve">Samancor </w:t>
      </w:r>
      <w:r w:rsidRPr="00803022">
        <w:rPr>
          <w:bCs/>
          <w:i/>
          <w:sz w:val="28"/>
          <w:szCs w:val="28"/>
        </w:rPr>
        <w:t xml:space="preserve">Chrome Limited v Bila Civil Contractors (Pty) </w:t>
      </w:r>
      <w:r w:rsidR="009A30C9" w:rsidRPr="00177FAE">
        <w:rPr>
          <w:bCs/>
          <w:i/>
          <w:sz w:val="28"/>
          <w:szCs w:val="28"/>
        </w:rPr>
        <w:t>Ltd</w:t>
      </w:r>
      <w:r w:rsidR="009A30C9" w:rsidRPr="00177FAE">
        <w:rPr>
          <w:bCs/>
          <w:sz w:val="28"/>
          <w:szCs w:val="28"/>
        </w:rPr>
        <w:t xml:space="preserve"> (</w:t>
      </w:r>
      <w:r w:rsidR="00177FAE" w:rsidRPr="00177FAE">
        <w:rPr>
          <w:bCs/>
          <w:sz w:val="28"/>
          <w:szCs w:val="28"/>
        </w:rPr>
        <w:t xml:space="preserve">Case no </w:t>
      </w:r>
      <w:r w:rsidRPr="00177FAE">
        <w:rPr>
          <w:bCs/>
          <w:sz w:val="28"/>
          <w:szCs w:val="28"/>
        </w:rPr>
        <w:t>810/2021</w:t>
      </w:r>
      <w:r w:rsidRPr="00803022">
        <w:rPr>
          <w:bCs/>
          <w:sz w:val="28"/>
          <w:szCs w:val="28"/>
        </w:rPr>
        <w:t>) [2022] ZASCA</w:t>
      </w:r>
      <w:r w:rsidR="00082E32">
        <w:rPr>
          <w:bCs/>
          <w:sz w:val="28"/>
          <w:szCs w:val="28"/>
        </w:rPr>
        <w:t xml:space="preserve"> 163</w:t>
      </w:r>
      <w:r w:rsidRPr="00803022">
        <w:rPr>
          <w:bCs/>
          <w:sz w:val="28"/>
          <w:szCs w:val="28"/>
        </w:rPr>
        <w:t xml:space="preserve"> (</w:t>
      </w:r>
      <w:r w:rsidR="00082E32">
        <w:rPr>
          <w:bCs/>
          <w:sz w:val="28"/>
          <w:szCs w:val="28"/>
        </w:rPr>
        <w:t>28</w:t>
      </w:r>
      <w:r w:rsidR="004F1DD6">
        <w:rPr>
          <w:bCs/>
          <w:sz w:val="28"/>
          <w:szCs w:val="28"/>
        </w:rPr>
        <w:t> </w:t>
      </w:r>
      <w:r w:rsidR="000D6683" w:rsidRPr="00803022">
        <w:rPr>
          <w:bCs/>
          <w:sz w:val="28"/>
          <w:szCs w:val="28"/>
        </w:rPr>
        <w:t xml:space="preserve">November </w:t>
      </w:r>
      <w:r w:rsidR="00571FB4" w:rsidRPr="00803022">
        <w:rPr>
          <w:bCs/>
          <w:sz w:val="28"/>
          <w:szCs w:val="28"/>
        </w:rPr>
        <w:t>2022</w:t>
      </w:r>
      <w:r w:rsidRPr="00803022">
        <w:rPr>
          <w:bCs/>
          <w:sz w:val="28"/>
          <w:szCs w:val="28"/>
        </w:rPr>
        <w:t>)</w:t>
      </w:r>
    </w:p>
    <w:p w14:paraId="53CAB2A6" w14:textId="2B472419" w:rsidR="00AD7B0E" w:rsidRPr="00AD7B0E" w:rsidRDefault="00AD7B0E" w:rsidP="00AD7B0E">
      <w:pPr>
        <w:ind w:left="1440" w:hanging="1440"/>
        <w:rPr>
          <w:b/>
          <w:bCs/>
          <w:i/>
          <w:iCs/>
          <w:sz w:val="28"/>
          <w:szCs w:val="28"/>
        </w:rPr>
      </w:pPr>
      <w:r w:rsidRPr="00AD7B0E">
        <w:rPr>
          <w:b/>
          <w:bCs/>
          <w:sz w:val="28"/>
          <w:szCs w:val="28"/>
        </w:rPr>
        <w:t>Coram:</w:t>
      </w:r>
      <w:r w:rsidRPr="00AD7B0E">
        <w:rPr>
          <w:sz w:val="28"/>
          <w:szCs w:val="28"/>
        </w:rPr>
        <w:tab/>
      </w:r>
      <w:r w:rsidRPr="00803022">
        <w:rPr>
          <w:sz w:val="28"/>
          <w:szCs w:val="28"/>
        </w:rPr>
        <w:t xml:space="preserve">PETSE DP and ZONDI </w:t>
      </w:r>
      <w:r w:rsidRPr="00CA2751">
        <w:rPr>
          <w:sz w:val="28"/>
          <w:szCs w:val="28"/>
        </w:rPr>
        <w:t>and MABINDLA-BOQWANA JJA and DAFFUE and SALIE-HLOPHE AJJA</w:t>
      </w:r>
    </w:p>
    <w:p w14:paraId="223462CC" w14:textId="2EE562E9" w:rsidR="00AD7B0E" w:rsidRPr="00AD7B0E" w:rsidRDefault="00AD7B0E" w:rsidP="00AD7B0E">
      <w:pPr>
        <w:jc w:val="left"/>
        <w:rPr>
          <w:b/>
          <w:bCs/>
          <w:sz w:val="28"/>
          <w:szCs w:val="28"/>
        </w:rPr>
      </w:pPr>
      <w:r w:rsidRPr="00AD7B0E">
        <w:rPr>
          <w:b/>
          <w:bCs/>
          <w:sz w:val="28"/>
          <w:szCs w:val="28"/>
        </w:rPr>
        <w:t>Heard</w:t>
      </w:r>
      <w:r w:rsidRPr="00AD7B0E">
        <w:rPr>
          <w:sz w:val="28"/>
          <w:szCs w:val="28"/>
        </w:rPr>
        <w:t>:</w:t>
      </w:r>
      <w:r w:rsidRPr="00AD7B0E">
        <w:rPr>
          <w:sz w:val="28"/>
          <w:szCs w:val="28"/>
        </w:rPr>
        <w:tab/>
      </w:r>
      <w:r w:rsidRPr="00CA2751">
        <w:rPr>
          <w:sz w:val="28"/>
          <w:szCs w:val="28"/>
        </w:rPr>
        <w:t>30 August 2022</w:t>
      </w:r>
    </w:p>
    <w:p w14:paraId="4EBEF371" w14:textId="42AE4A5A" w:rsidR="00AD7B0E" w:rsidRPr="00AD7B0E" w:rsidRDefault="00AD7B0E" w:rsidP="00AD7B0E">
      <w:pPr>
        <w:jc w:val="left"/>
        <w:rPr>
          <w:b/>
          <w:bCs/>
          <w:sz w:val="28"/>
          <w:szCs w:val="28"/>
        </w:rPr>
      </w:pPr>
      <w:r w:rsidRPr="00AD7B0E">
        <w:rPr>
          <w:b/>
          <w:bCs/>
          <w:sz w:val="28"/>
          <w:szCs w:val="28"/>
        </w:rPr>
        <w:t>Delivered</w:t>
      </w:r>
      <w:r w:rsidRPr="00AD7B0E">
        <w:rPr>
          <w:sz w:val="28"/>
          <w:szCs w:val="28"/>
        </w:rPr>
        <w:t>:</w:t>
      </w:r>
      <w:r w:rsidRPr="00AD7B0E">
        <w:rPr>
          <w:sz w:val="28"/>
          <w:szCs w:val="28"/>
        </w:rPr>
        <w:tab/>
      </w:r>
      <w:r>
        <w:rPr>
          <w:sz w:val="28"/>
          <w:szCs w:val="28"/>
        </w:rPr>
        <w:t>28</w:t>
      </w:r>
      <w:r w:rsidRPr="00CA2751">
        <w:rPr>
          <w:sz w:val="28"/>
          <w:szCs w:val="28"/>
        </w:rPr>
        <w:t xml:space="preserve"> November 2022</w:t>
      </w:r>
    </w:p>
    <w:p w14:paraId="56E387BE" w14:textId="4B273AFE" w:rsidR="00407299" w:rsidRPr="00CA2751" w:rsidRDefault="00AD7B0E" w:rsidP="00AD7B0E">
      <w:pPr>
        <w:contextualSpacing/>
        <w:rPr>
          <w:bCs/>
          <w:sz w:val="28"/>
          <w:szCs w:val="28"/>
        </w:rPr>
      </w:pPr>
      <w:r w:rsidRPr="00AD7B0E">
        <w:rPr>
          <w:b/>
          <w:bCs/>
          <w:sz w:val="28"/>
          <w:szCs w:val="28"/>
        </w:rPr>
        <w:t>Summary:</w:t>
      </w:r>
      <w:r>
        <w:rPr>
          <w:b/>
          <w:bCs/>
          <w:sz w:val="28"/>
          <w:szCs w:val="28"/>
        </w:rPr>
        <w:tab/>
      </w:r>
      <w:r w:rsidR="005B577A" w:rsidRPr="00CA2751">
        <w:rPr>
          <w:bCs/>
          <w:sz w:val="28"/>
          <w:szCs w:val="28"/>
        </w:rPr>
        <w:t xml:space="preserve">Contempt of court </w:t>
      </w:r>
      <w:r w:rsidR="008B6177" w:rsidRPr="00CA2751">
        <w:rPr>
          <w:bCs/>
          <w:sz w:val="28"/>
          <w:szCs w:val="28"/>
        </w:rPr>
        <w:t xml:space="preserve">– </w:t>
      </w:r>
      <w:r w:rsidR="005E4C40" w:rsidRPr="00CA2751">
        <w:rPr>
          <w:bCs/>
          <w:sz w:val="28"/>
          <w:szCs w:val="28"/>
        </w:rPr>
        <w:t xml:space="preserve">non-compliance </w:t>
      </w:r>
      <w:r w:rsidR="00C767C2" w:rsidRPr="00CA2751">
        <w:rPr>
          <w:bCs/>
          <w:sz w:val="28"/>
          <w:szCs w:val="28"/>
        </w:rPr>
        <w:t xml:space="preserve">with </w:t>
      </w:r>
      <w:r w:rsidR="00337A0A" w:rsidRPr="00CA2751">
        <w:rPr>
          <w:bCs/>
          <w:sz w:val="28"/>
          <w:szCs w:val="28"/>
        </w:rPr>
        <w:t xml:space="preserve">court </w:t>
      </w:r>
      <w:r w:rsidR="005E4C40" w:rsidRPr="00CA2751">
        <w:rPr>
          <w:bCs/>
          <w:sz w:val="28"/>
          <w:szCs w:val="28"/>
        </w:rPr>
        <w:t xml:space="preserve">orders </w:t>
      </w:r>
      <w:r w:rsidR="00394569">
        <w:rPr>
          <w:bCs/>
          <w:sz w:val="28"/>
          <w:szCs w:val="28"/>
        </w:rPr>
        <w:t>to be</w:t>
      </w:r>
      <w:r w:rsidR="004718AA">
        <w:rPr>
          <w:bCs/>
          <w:sz w:val="28"/>
          <w:szCs w:val="28"/>
        </w:rPr>
        <w:t xml:space="preserve"> </w:t>
      </w:r>
      <w:r w:rsidR="00C767C2" w:rsidRPr="00CA2751">
        <w:rPr>
          <w:bCs/>
          <w:sz w:val="28"/>
          <w:szCs w:val="28"/>
        </w:rPr>
        <w:t>established</w:t>
      </w:r>
      <w:r w:rsidR="00271E85" w:rsidRPr="00CA2751">
        <w:rPr>
          <w:bCs/>
          <w:sz w:val="28"/>
          <w:szCs w:val="28"/>
        </w:rPr>
        <w:t xml:space="preserve"> beyond reasonable doubt</w:t>
      </w:r>
      <w:r w:rsidR="00C767C2" w:rsidRPr="00CA2751">
        <w:rPr>
          <w:bCs/>
          <w:sz w:val="28"/>
          <w:szCs w:val="28"/>
        </w:rPr>
        <w:t xml:space="preserve"> –</w:t>
      </w:r>
      <w:r w:rsidR="005E4C40" w:rsidRPr="00CA2751">
        <w:rPr>
          <w:bCs/>
          <w:sz w:val="28"/>
          <w:szCs w:val="28"/>
        </w:rPr>
        <w:t xml:space="preserve"> </w:t>
      </w:r>
      <w:r w:rsidR="004718AA">
        <w:rPr>
          <w:bCs/>
          <w:sz w:val="28"/>
          <w:szCs w:val="28"/>
        </w:rPr>
        <w:t xml:space="preserve">elements of </w:t>
      </w:r>
      <w:r w:rsidR="004718AA" w:rsidRPr="00CA2751">
        <w:rPr>
          <w:bCs/>
          <w:sz w:val="28"/>
          <w:szCs w:val="28"/>
        </w:rPr>
        <w:t xml:space="preserve">wilfulness and </w:t>
      </w:r>
      <w:r w:rsidR="004718AA" w:rsidRPr="00CA2751">
        <w:rPr>
          <w:bCs/>
          <w:i/>
          <w:sz w:val="28"/>
          <w:szCs w:val="28"/>
        </w:rPr>
        <w:t>mala fides</w:t>
      </w:r>
      <w:r w:rsidR="004718AA" w:rsidRPr="00CA2751">
        <w:rPr>
          <w:bCs/>
          <w:sz w:val="28"/>
          <w:szCs w:val="28"/>
        </w:rPr>
        <w:t xml:space="preserve"> </w:t>
      </w:r>
      <w:r w:rsidR="004718AA">
        <w:rPr>
          <w:bCs/>
          <w:sz w:val="28"/>
          <w:szCs w:val="28"/>
        </w:rPr>
        <w:t xml:space="preserve">not </w:t>
      </w:r>
      <w:r w:rsidR="005E4C40" w:rsidRPr="00CA2751">
        <w:rPr>
          <w:bCs/>
          <w:sz w:val="28"/>
          <w:szCs w:val="28"/>
        </w:rPr>
        <w:t>establish</w:t>
      </w:r>
      <w:r w:rsidR="004718AA">
        <w:rPr>
          <w:bCs/>
          <w:sz w:val="28"/>
          <w:szCs w:val="28"/>
        </w:rPr>
        <w:t>ed – appeal dismissed</w:t>
      </w:r>
      <w:r w:rsidR="00C767C2" w:rsidRPr="00CA2751">
        <w:rPr>
          <w:bCs/>
          <w:sz w:val="28"/>
          <w:szCs w:val="28"/>
        </w:rPr>
        <w:t>.</w:t>
      </w:r>
    </w:p>
    <w:p w14:paraId="71DB6115" w14:textId="77777777" w:rsidR="007D3DBE" w:rsidRPr="00CA2751" w:rsidRDefault="00407299" w:rsidP="005B577A">
      <w:pPr>
        <w:pBdr>
          <w:bottom w:val="single" w:sz="12" w:space="1" w:color="auto"/>
        </w:pBdr>
        <w:rPr>
          <w:bCs/>
          <w:sz w:val="28"/>
          <w:szCs w:val="28"/>
        </w:rPr>
      </w:pPr>
      <w:r w:rsidRPr="00CA2751">
        <w:rPr>
          <w:bCs/>
          <w:sz w:val="28"/>
          <w:szCs w:val="28"/>
        </w:rPr>
        <w:br w:type="page"/>
      </w:r>
    </w:p>
    <w:p w14:paraId="08285366" w14:textId="77777777" w:rsidR="005B577A" w:rsidRPr="00CA2751" w:rsidRDefault="005B577A" w:rsidP="005B577A">
      <w:pPr>
        <w:pBdr>
          <w:bottom w:val="single" w:sz="12" w:space="1" w:color="auto"/>
        </w:pBdr>
        <w:rPr>
          <w:b/>
          <w:i/>
          <w:szCs w:val="28"/>
        </w:rPr>
      </w:pPr>
      <w:r w:rsidRPr="00CA2751">
        <w:rPr>
          <w:noProof/>
          <w:lang w:val="en-ZA" w:eastAsia="en-ZA"/>
        </w:rPr>
        <w:lastRenderedPageBreak/>
        <mc:AlternateContent>
          <mc:Choice Requires="wps">
            <w:drawing>
              <wp:anchor distT="0" distB="0" distL="114300" distR="114300" simplePos="0" relativeHeight="251660288" behindDoc="0" locked="0" layoutInCell="1" allowOverlap="1" wp14:anchorId="704DDDA5" wp14:editId="763CF667">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4B1E4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0E1431C5" w14:textId="77777777" w:rsidR="00A52E01" w:rsidRPr="00CA2751" w:rsidRDefault="00A52E01" w:rsidP="005B577A">
      <w:pPr>
        <w:pStyle w:val="Heading3"/>
        <w:pBdr>
          <w:bottom w:val="single" w:sz="12" w:space="12" w:color="auto"/>
        </w:pBdr>
        <w:jc w:val="center"/>
        <w:rPr>
          <w:rFonts w:ascii="Times New Roman" w:hAnsi="Times New Roman" w:cs="Times New Roman"/>
          <w:b/>
          <w:i w:val="0"/>
          <w:szCs w:val="28"/>
        </w:rPr>
      </w:pPr>
    </w:p>
    <w:p w14:paraId="37C61182" w14:textId="77777777" w:rsidR="005B577A" w:rsidRPr="00CA2751" w:rsidRDefault="005B577A" w:rsidP="005B577A">
      <w:pPr>
        <w:pStyle w:val="Heading3"/>
        <w:pBdr>
          <w:bottom w:val="single" w:sz="12" w:space="12" w:color="auto"/>
        </w:pBdr>
        <w:jc w:val="center"/>
        <w:rPr>
          <w:rFonts w:ascii="Times New Roman" w:hAnsi="Times New Roman" w:cs="Times New Roman"/>
          <w:b/>
          <w:i w:val="0"/>
          <w:szCs w:val="28"/>
        </w:rPr>
      </w:pPr>
      <w:r w:rsidRPr="00CA2751">
        <w:rPr>
          <w:rFonts w:ascii="Times New Roman" w:hAnsi="Times New Roman" w:cs="Times New Roman"/>
          <w:b/>
          <w:i w:val="0"/>
          <w:szCs w:val="28"/>
        </w:rPr>
        <w:t>ORDER</w:t>
      </w:r>
    </w:p>
    <w:p w14:paraId="449A71E2" w14:textId="77777777" w:rsidR="007072B5" w:rsidRPr="00CA2751" w:rsidRDefault="007072B5" w:rsidP="00A737FD">
      <w:pPr>
        <w:spacing w:line="240" w:lineRule="auto"/>
        <w:rPr>
          <w:b/>
          <w:bCs/>
          <w:sz w:val="28"/>
          <w:szCs w:val="28"/>
        </w:rPr>
      </w:pPr>
    </w:p>
    <w:p w14:paraId="740FB3C7" w14:textId="77777777" w:rsidR="005B577A" w:rsidRPr="00CA2751" w:rsidRDefault="005B577A" w:rsidP="005B577A">
      <w:pPr>
        <w:rPr>
          <w:bCs/>
          <w:sz w:val="28"/>
          <w:szCs w:val="28"/>
        </w:rPr>
      </w:pPr>
      <w:r w:rsidRPr="00CA2751">
        <w:rPr>
          <w:b/>
          <w:bCs/>
          <w:sz w:val="28"/>
          <w:szCs w:val="28"/>
        </w:rPr>
        <w:t xml:space="preserve">On appeal from: </w:t>
      </w:r>
      <w:r w:rsidRPr="00CA2751">
        <w:rPr>
          <w:bCs/>
          <w:sz w:val="28"/>
          <w:szCs w:val="28"/>
        </w:rPr>
        <w:t>Gauteng Division of the High Court, Pretoria (</w:t>
      </w:r>
      <w:r w:rsidR="00DC6330" w:rsidRPr="00CA2751">
        <w:rPr>
          <w:bCs/>
          <w:sz w:val="28"/>
          <w:szCs w:val="28"/>
        </w:rPr>
        <w:t xml:space="preserve">Fourie </w:t>
      </w:r>
      <w:r w:rsidRPr="00CA2751">
        <w:rPr>
          <w:bCs/>
          <w:sz w:val="28"/>
          <w:szCs w:val="28"/>
        </w:rPr>
        <w:t>J,</w:t>
      </w:r>
      <w:r w:rsidR="00000A41" w:rsidRPr="00CA2751">
        <w:rPr>
          <w:bCs/>
          <w:sz w:val="28"/>
          <w:szCs w:val="28"/>
        </w:rPr>
        <w:t xml:space="preserve"> </w:t>
      </w:r>
      <w:r w:rsidRPr="00CA2751">
        <w:rPr>
          <w:bCs/>
          <w:sz w:val="28"/>
          <w:szCs w:val="28"/>
        </w:rPr>
        <w:t xml:space="preserve">sitting as court of first instance): </w:t>
      </w:r>
    </w:p>
    <w:p w14:paraId="1970E0D7" w14:textId="4BD3C556" w:rsidR="00A52E01" w:rsidRPr="00CA2751" w:rsidRDefault="00BF2BBD" w:rsidP="00C767C2">
      <w:pPr>
        <w:tabs>
          <w:tab w:val="left" w:pos="0"/>
        </w:tabs>
        <w:rPr>
          <w:sz w:val="28"/>
          <w:szCs w:val="28"/>
        </w:rPr>
      </w:pPr>
      <w:r w:rsidRPr="00CA2751">
        <w:rPr>
          <w:bCs/>
          <w:sz w:val="28"/>
          <w:szCs w:val="28"/>
        </w:rPr>
        <w:t>The appeal is dismissed with costs</w:t>
      </w:r>
      <w:r w:rsidR="00CE0E80" w:rsidRPr="00CA2751">
        <w:rPr>
          <w:bCs/>
          <w:sz w:val="28"/>
          <w:szCs w:val="28"/>
        </w:rPr>
        <w:t>.</w:t>
      </w:r>
    </w:p>
    <w:p w14:paraId="1A6E6236" w14:textId="77777777" w:rsidR="005B577A" w:rsidRPr="00CA2751" w:rsidRDefault="005B577A" w:rsidP="005B577A">
      <w:pPr>
        <w:pBdr>
          <w:bottom w:val="single" w:sz="12" w:space="1" w:color="auto"/>
        </w:pBdr>
        <w:rPr>
          <w:b/>
          <w:i/>
          <w:szCs w:val="28"/>
        </w:rPr>
      </w:pPr>
      <w:r w:rsidRPr="00CA2751">
        <w:rPr>
          <w:noProof/>
          <w:sz w:val="28"/>
          <w:szCs w:val="28"/>
          <w:lang w:val="en-ZA" w:eastAsia="en-ZA"/>
        </w:rPr>
        <mc:AlternateContent>
          <mc:Choice Requires="wps">
            <w:drawing>
              <wp:anchor distT="0" distB="0" distL="114300" distR="114300" simplePos="0" relativeHeight="251661312" behindDoc="0" locked="0" layoutInCell="1" allowOverlap="1" wp14:anchorId="4A68BE37" wp14:editId="2F561A60">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2037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17BA7DBF" w14:textId="77777777" w:rsidR="009A30C9" w:rsidRPr="00CA2751" w:rsidRDefault="009A30C9" w:rsidP="005B577A">
      <w:pPr>
        <w:pStyle w:val="Heading3"/>
        <w:pBdr>
          <w:bottom w:val="single" w:sz="12" w:space="12" w:color="auto"/>
        </w:pBdr>
        <w:jc w:val="center"/>
        <w:rPr>
          <w:rFonts w:ascii="Times New Roman" w:hAnsi="Times New Roman" w:cs="Times New Roman"/>
          <w:b/>
          <w:i w:val="0"/>
          <w:szCs w:val="28"/>
        </w:rPr>
      </w:pPr>
    </w:p>
    <w:p w14:paraId="6876D0D7" w14:textId="77777777" w:rsidR="005B577A" w:rsidRPr="00CA2751" w:rsidRDefault="005B577A" w:rsidP="005B577A">
      <w:pPr>
        <w:pStyle w:val="Heading3"/>
        <w:pBdr>
          <w:bottom w:val="single" w:sz="12" w:space="12" w:color="auto"/>
        </w:pBdr>
        <w:jc w:val="center"/>
      </w:pPr>
      <w:r w:rsidRPr="00CA2751">
        <w:rPr>
          <w:rFonts w:ascii="Times New Roman" w:hAnsi="Times New Roman" w:cs="Times New Roman"/>
          <w:b/>
          <w:i w:val="0"/>
          <w:szCs w:val="28"/>
        </w:rPr>
        <w:t>JUDGMENT</w:t>
      </w:r>
    </w:p>
    <w:p w14:paraId="212E6CF0" w14:textId="77777777" w:rsidR="009049D1" w:rsidRDefault="009049D1" w:rsidP="009049D1">
      <w:pPr>
        <w:spacing w:line="240" w:lineRule="auto"/>
        <w:rPr>
          <w:b/>
          <w:sz w:val="28"/>
          <w:szCs w:val="28"/>
        </w:rPr>
      </w:pPr>
    </w:p>
    <w:p w14:paraId="3136BABF" w14:textId="16ADB611" w:rsidR="00BF2BBD" w:rsidRPr="00CA2751" w:rsidRDefault="005B577A" w:rsidP="009049D1">
      <w:pPr>
        <w:rPr>
          <w:b/>
          <w:sz w:val="28"/>
          <w:szCs w:val="28"/>
        </w:rPr>
      </w:pPr>
      <w:r w:rsidRPr="00CA2751">
        <w:rPr>
          <w:b/>
          <w:sz w:val="28"/>
          <w:szCs w:val="28"/>
        </w:rPr>
        <w:t>Mabindla-Boqwana JA (</w:t>
      </w:r>
      <w:r w:rsidR="00394569">
        <w:rPr>
          <w:b/>
          <w:sz w:val="28"/>
          <w:szCs w:val="28"/>
        </w:rPr>
        <w:t xml:space="preserve">Petse </w:t>
      </w:r>
      <w:r w:rsidR="00803022">
        <w:rPr>
          <w:b/>
          <w:sz w:val="28"/>
          <w:szCs w:val="28"/>
        </w:rPr>
        <w:t>DP</w:t>
      </w:r>
      <w:r w:rsidR="00394569">
        <w:rPr>
          <w:b/>
          <w:sz w:val="28"/>
          <w:szCs w:val="28"/>
        </w:rPr>
        <w:t xml:space="preserve"> and Zondi </w:t>
      </w:r>
      <w:r w:rsidR="007E36AB">
        <w:rPr>
          <w:b/>
          <w:sz w:val="28"/>
          <w:szCs w:val="28"/>
        </w:rPr>
        <w:t xml:space="preserve">JA </w:t>
      </w:r>
      <w:r w:rsidR="00394569">
        <w:rPr>
          <w:b/>
          <w:sz w:val="28"/>
          <w:szCs w:val="28"/>
        </w:rPr>
        <w:t xml:space="preserve">and Daffue and Salie-Hlophe AJJA </w:t>
      </w:r>
      <w:r w:rsidRPr="00CA2751">
        <w:rPr>
          <w:b/>
          <w:sz w:val="28"/>
          <w:szCs w:val="28"/>
        </w:rPr>
        <w:t>concurring)</w:t>
      </w:r>
    </w:p>
    <w:p w14:paraId="1BA707C8" w14:textId="77777777" w:rsidR="00050B7A" w:rsidRPr="00CA2751" w:rsidRDefault="00050B7A" w:rsidP="00337A0A">
      <w:pPr>
        <w:rPr>
          <w:b/>
          <w:sz w:val="28"/>
          <w:szCs w:val="28"/>
        </w:rPr>
      </w:pPr>
    </w:p>
    <w:p w14:paraId="71E247B0" w14:textId="52D17319" w:rsidR="002D715B" w:rsidRPr="00CA2751" w:rsidRDefault="004E5F34" w:rsidP="004E5F34">
      <w:pPr>
        <w:tabs>
          <w:tab w:val="left" w:pos="0"/>
        </w:tabs>
        <w:rPr>
          <w:sz w:val="28"/>
          <w:szCs w:val="28"/>
        </w:rPr>
      </w:pPr>
      <w:r w:rsidRPr="00CA2751">
        <w:rPr>
          <w:sz w:val="28"/>
          <w:szCs w:val="28"/>
        </w:rPr>
        <w:t>[1]</w:t>
      </w:r>
      <w:r w:rsidRPr="00CA2751">
        <w:rPr>
          <w:sz w:val="28"/>
          <w:szCs w:val="28"/>
        </w:rPr>
        <w:tab/>
      </w:r>
      <w:r w:rsidR="002D715B" w:rsidRPr="00CA2751">
        <w:rPr>
          <w:sz w:val="28"/>
          <w:szCs w:val="28"/>
        </w:rPr>
        <w:t xml:space="preserve">This appeal concerns </w:t>
      </w:r>
      <w:r w:rsidR="0032606A" w:rsidRPr="00CA2751">
        <w:rPr>
          <w:sz w:val="28"/>
          <w:szCs w:val="28"/>
        </w:rPr>
        <w:t xml:space="preserve">the </w:t>
      </w:r>
      <w:r w:rsidR="002D715B" w:rsidRPr="00CA2751">
        <w:rPr>
          <w:sz w:val="28"/>
          <w:szCs w:val="28"/>
        </w:rPr>
        <w:t>question whether the respondent, Bila Civil Contractors (Pty) Ltd (Bila)</w:t>
      </w:r>
      <w:r w:rsidR="00512FF4">
        <w:rPr>
          <w:sz w:val="28"/>
          <w:szCs w:val="28"/>
        </w:rPr>
        <w:t>,</w:t>
      </w:r>
      <w:r w:rsidR="002D715B" w:rsidRPr="00CA2751">
        <w:rPr>
          <w:sz w:val="28"/>
          <w:szCs w:val="28"/>
        </w:rPr>
        <w:t xml:space="preserve"> is in contempt of two court orders granted by </w:t>
      </w:r>
      <w:r w:rsidR="002113FA" w:rsidRPr="00CA2751">
        <w:rPr>
          <w:sz w:val="28"/>
          <w:szCs w:val="28"/>
        </w:rPr>
        <w:t xml:space="preserve">the Gauteng Division of the High Court, Pretoria (high court), per </w:t>
      </w:r>
      <w:r w:rsidR="002D715B" w:rsidRPr="00CA2751">
        <w:rPr>
          <w:sz w:val="28"/>
          <w:szCs w:val="28"/>
        </w:rPr>
        <w:t xml:space="preserve">Neukircher J on 1 July 2019 and Janse </w:t>
      </w:r>
      <w:r w:rsidR="005A405D" w:rsidRPr="00CA2751">
        <w:rPr>
          <w:sz w:val="28"/>
          <w:szCs w:val="28"/>
        </w:rPr>
        <w:t xml:space="preserve">van </w:t>
      </w:r>
      <w:r w:rsidR="002D715B" w:rsidRPr="00CA2751">
        <w:rPr>
          <w:sz w:val="28"/>
          <w:szCs w:val="28"/>
        </w:rPr>
        <w:t>Niewe</w:t>
      </w:r>
      <w:r w:rsidR="00922D0B">
        <w:rPr>
          <w:sz w:val="28"/>
          <w:szCs w:val="28"/>
        </w:rPr>
        <w:t>n</w:t>
      </w:r>
      <w:r w:rsidR="002D715B" w:rsidRPr="00CA2751">
        <w:rPr>
          <w:sz w:val="28"/>
          <w:szCs w:val="28"/>
        </w:rPr>
        <w:t>huizen J on 10 December 2019 respectively</w:t>
      </w:r>
      <w:r w:rsidR="002113FA" w:rsidRPr="00CA2751">
        <w:rPr>
          <w:sz w:val="28"/>
          <w:szCs w:val="28"/>
        </w:rPr>
        <w:t>.</w:t>
      </w:r>
      <w:r w:rsidR="002D715B" w:rsidRPr="00CA2751">
        <w:rPr>
          <w:sz w:val="28"/>
          <w:szCs w:val="28"/>
        </w:rPr>
        <w:t xml:space="preserve"> The appellant, Samancor Chrome Limited (Samancor)</w:t>
      </w:r>
      <w:r w:rsidR="00320553" w:rsidRPr="00CA2751">
        <w:rPr>
          <w:sz w:val="28"/>
          <w:szCs w:val="28"/>
        </w:rPr>
        <w:t>,</w:t>
      </w:r>
      <w:r w:rsidR="002D715B" w:rsidRPr="00CA2751">
        <w:rPr>
          <w:sz w:val="28"/>
          <w:szCs w:val="28"/>
        </w:rPr>
        <w:t xml:space="preserve"> </w:t>
      </w:r>
      <w:r w:rsidR="002113FA" w:rsidRPr="00CA2751">
        <w:rPr>
          <w:sz w:val="28"/>
          <w:szCs w:val="28"/>
        </w:rPr>
        <w:t xml:space="preserve">which brought the </w:t>
      </w:r>
      <w:r w:rsidR="00337A0A" w:rsidRPr="00CA2751">
        <w:rPr>
          <w:sz w:val="28"/>
          <w:szCs w:val="28"/>
        </w:rPr>
        <w:t xml:space="preserve">contempt </w:t>
      </w:r>
      <w:r w:rsidR="002D715B" w:rsidRPr="00CA2751">
        <w:rPr>
          <w:sz w:val="28"/>
          <w:szCs w:val="28"/>
        </w:rPr>
        <w:t>application</w:t>
      </w:r>
      <w:r w:rsidR="005C3179" w:rsidRPr="00CA2751">
        <w:rPr>
          <w:sz w:val="28"/>
          <w:szCs w:val="28"/>
        </w:rPr>
        <w:t xml:space="preserve"> before the high court</w:t>
      </w:r>
      <w:r w:rsidR="00320553" w:rsidRPr="00CA2751">
        <w:rPr>
          <w:sz w:val="28"/>
          <w:szCs w:val="28"/>
        </w:rPr>
        <w:t>,</w:t>
      </w:r>
      <w:r w:rsidR="005C3179" w:rsidRPr="00CA2751">
        <w:rPr>
          <w:sz w:val="28"/>
          <w:szCs w:val="28"/>
        </w:rPr>
        <w:t xml:space="preserve"> contend</w:t>
      </w:r>
      <w:r w:rsidR="002113FA" w:rsidRPr="00CA2751">
        <w:rPr>
          <w:sz w:val="28"/>
          <w:szCs w:val="28"/>
        </w:rPr>
        <w:t>ed for that question to be answered affirmative</w:t>
      </w:r>
      <w:r w:rsidR="00B67F3C" w:rsidRPr="00CA2751">
        <w:rPr>
          <w:sz w:val="28"/>
          <w:szCs w:val="28"/>
        </w:rPr>
        <w:t>ly</w:t>
      </w:r>
      <w:r w:rsidR="002D715B" w:rsidRPr="00CA2751">
        <w:rPr>
          <w:sz w:val="28"/>
          <w:szCs w:val="28"/>
        </w:rPr>
        <w:t xml:space="preserve">. </w:t>
      </w:r>
      <w:r w:rsidR="005C3179" w:rsidRPr="00CA2751">
        <w:rPr>
          <w:sz w:val="28"/>
          <w:szCs w:val="28"/>
        </w:rPr>
        <w:t xml:space="preserve">The high court </w:t>
      </w:r>
      <w:r w:rsidR="002113FA" w:rsidRPr="00CA2751">
        <w:rPr>
          <w:sz w:val="28"/>
          <w:szCs w:val="28"/>
        </w:rPr>
        <w:t xml:space="preserve">disagreed with Samancor in respect of both orders, albeit for different reasons, </w:t>
      </w:r>
      <w:r w:rsidR="005C3179" w:rsidRPr="00CA2751">
        <w:rPr>
          <w:sz w:val="28"/>
          <w:szCs w:val="28"/>
        </w:rPr>
        <w:t xml:space="preserve">and </w:t>
      </w:r>
      <w:r w:rsidR="002113FA" w:rsidRPr="00CA2751">
        <w:rPr>
          <w:sz w:val="28"/>
          <w:szCs w:val="28"/>
        </w:rPr>
        <w:t>dismissed the application. It also</w:t>
      </w:r>
      <w:r w:rsidR="005C3179" w:rsidRPr="00CA2751">
        <w:rPr>
          <w:sz w:val="28"/>
          <w:szCs w:val="28"/>
        </w:rPr>
        <w:t xml:space="preserve"> dismissed the application for leave to appeal</w:t>
      </w:r>
      <w:r w:rsidR="002113FA" w:rsidRPr="00CA2751">
        <w:rPr>
          <w:sz w:val="28"/>
          <w:szCs w:val="28"/>
        </w:rPr>
        <w:t>. This</w:t>
      </w:r>
      <w:r w:rsidR="005C3179" w:rsidRPr="00CA2751">
        <w:rPr>
          <w:sz w:val="28"/>
          <w:szCs w:val="28"/>
        </w:rPr>
        <w:t xml:space="preserve"> appeal is</w:t>
      </w:r>
      <w:r w:rsidR="00434E76" w:rsidRPr="00CA2751">
        <w:rPr>
          <w:sz w:val="28"/>
          <w:szCs w:val="28"/>
        </w:rPr>
        <w:t xml:space="preserve"> therefore </w:t>
      </w:r>
      <w:r w:rsidR="005C3179" w:rsidRPr="00CA2751">
        <w:rPr>
          <w:sz w:val="28"/>
          <w:szCs w:val="28"/>
        </w:rPr>
        <w:t xml:space="preserve">with the leave of this Court. </w:t>
      </w:r>
    </w:p>
    <w:p w14:paraId="10E52872" w14:textId="77777777" w:rsidR="005C3179" w:rsidRPr="00CA2751" w:rsidRDefault="005C3179" w:rsidP="008134D7">
      <w:pPr>
        <w:tabs>
          <w:tab w:val="left" w:pos="0"/>
        </w:tabs>
        <w:rPr>
          <w:sz w:val="28"/>
          <w:szCs w:val="28"/>
        </w:rPr>
      </w:pPr>
    </w:p>
    <w:p w14:paraId="424D5A7B" w14:textId="2684E1A6" w:rsidR="002D715B" w:rsidRPr="00CA2751" w:rsidRDefault="004E5F34" w:rsidP="004E5F34">
      <w:pPr>
        <w:tabs>
          <w:tab w:val="left" w:pos="0"/>
        </w:tabs>
        <w:rPr>
          <w:sz w:val="28"/>
          <w:szCs w:val="28"/>
        </w:rPr>
      </w:pPr>
      <w:r w:rsidRPr="00CA2751">
        <w:rPr>
          <w:sz w:val="28"/>
          <w:szCs w:val="28"/>
        </w:rPr>
        <w:lastRenderedPageBreak/>
        <w:t>[2]</w:t>
      </w:r>
      <w:r w:rsidRPr="00CA2751">
        <w:rPr>
          <w:sz w:val="28"/>
          <w:szCs w:val="28"/>
        </w:rPr>
        <w:tab/>
      </w:r>
      <w:r w:rsidR="005C3179" w:rsidRPr="00CA2751">
        <w:rPr>
          <w:sz w:val="28"/>
          <w:szCs w:val="28"/>
        </w:rPr>
        <w:t xml:space="preserve">Samancor is the co-owner and the holder of </w:t>
      </w:r>
      <w:r w:rsidR="00337A0A" w:rsidRPr="00CA2751">
        <w:rPr>
          <w:sz w:val="28"/>
          <w:szCs w:val="28"/>
        </w:rPr>
        <w:t xml:space="preserve">a </w:t>
      </w:r>
      <w:r w:rsidR="005C3179" w:rsidRPr="00CA2751">
        <w:rPr>
          <w:sz w:val="28"/>
          <w:szCs w:val="28"/>
        </w:rPr>
        <w:t xml:space="preserve">converted mining right </w:t>
      </w:r>
      <w:r w:rsidR="00337A0A" w:rsidRPr="00CA2751">
        <w:rPr>
          <w:sz w:val="28"/>
          <w:szCs w:val="28"/>
        </w:rPr>
        <w:t xml:space="preserve">in respect </w:t>
      </w:r>
      <w:r w:rsidR="005C3179" w:rsidRPr="00CA2751">
        <w:rPr>
          <w:sz w:val="28"/>
          <w:szCs w:val="28"/>
        </w:rPr>
        <w:t xml:space="preserve">of the Remaining Extent Portion 2 of the farm, Elandskraal 469 JQ (RE Portion 2). It </w:t>
      </w:r>
      <w:r w:rsidR="00992097" w:rsidRPr="00CA2751">
        <w:rPr>
          <w:sz w:val="28"/>
          <w:szCs w:val="28"/>
        </w:rPr>
        <w:t>has the sole</w:t>
      </w:r>
      <w:r w:rsidR="005C3179" w:rsidRPr="00CA2751">
        <w:rPr>
          <w:sz w:val="28"/>
          <w:szCs w:val="28"/>
        </w:rPr>
        <w:t xml:space="preserve"> and exclusive right </w:t>
      </w:r>
      <w:r w:rsidR="00BC5938" w:rsidRPr="00CA2751">
        <w:rPr>
          <w:sz w:val="28"/>
          <w:szCs w:val="28"/>
        </w:rPr>
        <w:t xml:space="preserve">to </w:t>
      </w:r>
      <w:r w:rsidR="005C3179" w:rsidRPr="00CA2751">
        <w:rPr>
          <w:sz w:val="28"/>
          <w:szCs w:val="28"/>
        </w:rPr>
        <w:t>mine</w:t>
      </w:r>
      <w:r w:rsidR="00BC5938" w:rsidRPr="00CA2751">
        <w:rPr>
          <w:rStyle w:val="FootnoteReference"/>
          <w:sz w:val="28"/>
          <w:szCs w:val="28"/>
        </w:rPr>
        <w:footnoteReference w:id="1"/>
      </w:r>
      <w:r w:rsidR="00BC5938" w:rsidRPr="00CA2751">
        <w:rPr>
          <w:sz w:val="28"/>
          <w:szCs w:val="28"/>
        </w:rPr>
        <w:t xml:space="preserve"> </w:t>
      </w:r>
      <w:r w:rsidR="005C3179" w:rsidRPr="00CA2751">
        <w:rPr>
          <w:sz w:val="28"/>
          <w:szCs w:val="28"/>
        </w:rPr>
        <w:t xml:space="preserve">and </w:t>
      </w:r>
      <w:r w:rsidR="002113FA" w:rsidRPr="00CA2751">
        <w:rPr>
          <w:sz w:val="28"/>
          <w:szCs w:val="28"/>
        </w:rPr>
        <w:t>re</w:t>
      </w:r>
      <w:r w:rsidR="005C3179" w:rsidRPr="00CA2751">
        <w:rPr>
          <w:sz w:val="28"/>
          <w:szCs w:val="28"/>
        </w:rPr>
        <w:t>cover chrome in, on and under RE Portion 2</w:t>
      </w:r>
      <w:r w:rsidR="002113FA" w:rsidRPr="00CA2751">
        <w:rPr>
          <w:sz w:val="28"/>
          <w:szCs w:val="28"/>
        </w:rPr>
        <w:t>,</w:t>
      </w:r>
      <w:r w:rsidR="005C3179" w:rsidRPr="00CA2751">
        <w:rPr>
          <w:sz w:val="28"/>
          <w:szCs w:val="28"/>
        </w:rPr>
        <w:t xml:space="preserve"> among other</w:t>
      </w:r>
      <w:r w:rsidR="002113FA" w:rsidRPr="00CA2751">
        <w:rPr>
          <w:sz w:val="28"/>
          <w:szCs w:val="28"/>
        </w:rPr>
        <w:t xml:space="preserve"> areas</w:t>
      </w:r>
      <w:r w:rsidR="005C3179" w:rsidRPr="00CA2751">
        <w:rPr>
          <w:sz w:val="28"/>
          <w:szCs w:val="28"/>
        </w:rPr>
        <w:t>.</w:t>
      </w:r>
      <w:r w:rsidR="00425B6F" w:rsidRPr="00CA2751">
        <w:rPr>
          <w:sz w:val="28"/>
          <w:szCs w:val="28"/>
        </w:rPr>
        <w:t xml:space="preserve"> It also has obligations to safeguard and protect the environment, the area</w:t>
      </w:r>
      <w:r w:rsidR="00320553" w:rsidRPr="00CA2751">
        <w:rPr>
          <w:sz w:val="28"/>
          <w:szCs w:val="28"/>
        </w:rPr>
        <w:t xml:space="preserve"> </w:t>
      </w:r>
      <w:r w:rsidR="00425B6F" w:rsidRPr="00CA2751">
        <w:rPr>
          <w:sz w:val="28"/>
          <w:szCs w:val="28"/>
        </w:rPr>
        <w:t>and persons using it</w:t>
      </w:r>
      <w:r w:rsidR="00320553" w:rsidRPr="00CA2751">
        <w:rPr>
          <w:sz w:val="28"/>
          <w:szCs w:val="28"/>
        </w:rPr>
        <w:t>,</w:t>
      </w:r>
      <w:r w:rsidR="00425B6F" w:rsidRPr="00CA2751">
        <w:rPr>
          <w:sz w:val="28"/>
          <w:szCs w:val="28"/>
        </w:rPr>
        <w:t xml:space="preserve"> from damage or injury. </w:t>
      </w:r>
      <w:r w:rsidR="008C3257" w:rsidRPr="00CA2751">
        <w:rPr>
          <w:sz w:val="28"/>
          <w:szCs w:val="28"/>
        </w:rPr>
        <w:t>The Mine Health and Safety Act 29 of 1996 (the MHSA) also impose</w:t>
      </w:r>
      <w:r w:rsidR="002113FA" w:rsidRPr="00CA2751">
        <w:rPr>
          <w:sz w:val="28"/>
          <w:szCs w:val="28"/>
        </w:rPr>
        <w:t>s</w:t>
      </w:r>
      <w:r w:rsidR="008C3257" w:rsidRPr="00CA2751">
        <w:rPr>
          <w:sz w:val="28"/>
          <w:szCs w:val="28"/>
        </w:rPr>
        <w:t xml:space="preserve"> safety obligations on </w:t>
      </w:r>
      <w:r w:rsidR="00320553" w:rsidRPr="00CA2751">
        <w:rPr>
          <w:sz w:val="28"/>
          <w:szCs w:val="28"/>
        </w:rPr>
        <w:t>Samancor</w:t>
      </w:r>
      <w:r w:rsidR="00425B6F" w:rsidRPr="00CA2751">
        <w:rPr>
          <w:sz w:val="28"/>
          <w:szCs w:val="28"/>
        </w:rPr>
        <w:t xml:space="preserve">. </w:t>
      </w:r>
    </w:p>
    <w:p w14:paraId="0AF60A03" w14:textId="77777777" w:rsidR="005C3179" w:rsidRPr="00CA2751" w:rsidRDefault="005C3179" w:rsidP="004E2FA2">
      <w:pPr>
        <w:tabs>
          <w:tab w:val="left" w:pos="0"/>
        </w:tabs>
        <w:rPr>
          <w:sz w:val="28"/>
          <w:szCs w:val="28"/>
        </w:rPr>
      </w:pPr>
    </w:p>
    <w:p w14:paraId="59A77489" w14:textId="208EEF73" w:rsidR="00384602" w:rsidRDefault="004E5F34" w:rsidP="004E5F34">
      <w:pPr>
        <w:tabs>
          <w:tab w:val="left" w:pos="0"/>
        </w:tabs>
        <w:rPr>
          <w:sz w:val="28"/>
          <w:szCs w:val="28"/>
        </w:rPr>
      </w:pPr>
      <w:r>
        <w:rPr>
          <w:sz w:val="28"/>
          <w:szCs w:val="28"/>
        </w:rPr>
        <w:t>[3]</w:t>
      </w:r>
      <w:r>
        <w:rPr>
          <w:sz w:val="28"/>
          <w:szCs w:val="28"/>
        </w:rPr>
        <w:tab/>
      </w:r>
      <w:r w:rsidR="00EB255F" w:rsidRPr="00CA2751">
        <w:rPr>
          <w:sz w:val="28"/>
          <w:szCs w:val="28"/>
        </w:rPr>
        <w:t>Bila has</w:t>
      </w:r>
      <w:r w:rsidR="002113FA" w:rsidRPr="00CA2751">
        <w:rPr>
          <w:sz w:val="28"/>
          <w:szCs w:val="28"/>
        </w:rPr>
        <w:t xml:space="preserve"> a</w:t>
      </w:r>
      <w:r w:rsidR="00EB255F" w:rsidRPr="00CA2751">
        <w:rPr>
          <w:sz w:val="28"/>
          <w:szCs w:val="28"/>
        </w:rPr>
        <w:t xml:space="preserve"> prospecting</w:t>
      </w:r>
      <w:r w:rsidR="00BC5938" w:rsidRPr="00CA2751">
        <w:rPr>
          <w:rStyle w:val="FootnoteReference"/>
          <w:sz w:val="28"/>
          <w:szCs w:val="28"/>
        </w:rPr>
        <w:footnoteReference w:id="2"/>
      </w:r>
      <w:r w:rsidR="00EB255F" w:rsidRPr="00CA2751">
        <w:rPr>
          <w:sz w:val="28"/>
          <w:szCs w:val="28"/>
        </w:rPr>
        <w:t xml:space="preserve"> right for chrome ore over RE Portion 2</w:t>
      </w:r>
      <w:r w:rsidR="000C6133" w:rsidRPr="00CA2751">
        <w:rPr>
          <w:sz w:val="28"/>
          <w:szCs w:val="28"/>
        </w:rPr>
        <w:t>. In terms of this right, it is entitled to remove and dispose</w:t>
      </w:r>
      <w:r w:rsidR="00320553" w:rsidRPr="00CA2751">
        <w:rPr>
          <w:sz w:val="28"/>
          <w:szCs w:val="28"/>
        </w:rPr>
        <w:t>, for its benefit,</w:t>
      </w:r>
      <w:r w:rsidR="0032606A" w:rsidRPr="00CA2751">
        <w:rPr>
          <w:sz w:val="28"/>
          <w:szCs w:val="28"/>
        </w:rPr>
        <w:t xml:space="preserve"> </w:t>
      </w:r>
      <w:r w:rsidR="000C6133" w:rsidRPr="00CA2751">
        <w:rPr>
          <w:sz w:val="28"/>
          <w:szCs w:val="28"/>
        </w:rPr>
        <w:t>chrome ore</w:t>
      </w:r>
      <w:r w:rsidR="00320553" w:rsidRPr="00CA2751">
        <w:rPr>
          <w:sz w:val="28"/>
          <w:szCs w:val="28"/>
        </w:rPr>
        <w:t xml:space="preserve"> and</w:t>
      </w:r>
      <w:r w:rsidR="000C6133" w:rsidRPr="00CA2751">
        <w:rPr>
          <w:sz w:val="28"/>
          <w:szCs w:val="28"/>
        </w:rPr>
        <w:t xml:space="preserve"> other</w:t>
      </w:r>
      <w:r w:rsidR="007F3920" w:rsidRPr="00CA2751">
        <w:rPr>
          <w:sz w:val="28"/>
          <w:szCs w:val="28"/>
        </w:rPr>
        <w:t xml:space="preserve"> minerals</w:t>
      </w:r>
      <w:r w:rsidR="000C6133" w:rsidRPr="00CA2751">
        <w:rPr>
          <w:sz w:val="28"/>
          <w:szCs w:val="28"/>
        </w:rPr>
        <w:t xml:space="preserve"> found during prospecting operations on RE Portion 2</w:t>
      </w:r>
      <w:r w:rsidR="00320553" w:rsidRPr="00CA2751">
        <w:rPr>
          <w:sz w:val="28"/>
          <w:szCs w:val="28"/>
        </w:rPr>
        <w:t xml:space="preserve">, </w:t>
      </w:r>
      <w:r w:rsidR="007A4D96" w:rsidRPr="00CA2751">
        <w:rPr>
          <w:sz w:val="28"/>
          <w:szCs w:val="28"/>
        </w:rPr>
        <w:t>as contemplated in s 20 of the Mineral and Petroleum Resources Development Act 28 of 2002 (</w:t>
      </w:r>
      <w:r w:rsidR="00337A0A" w:rsidRPr="00CA2751">
        <w:rPr>
          <w:sz w:val="28"/>
          <w:szCs w:val="28"/>
        </w:rPr>
        <w:t xml:space="preserve">the </w:t>
      </w:r>
      <w:r w:rsidR="007A4D96" w:rsidRPr="00CA2751">
        <w:rPr>
          <w:sz w:val="28"/>
          <w:szCs w:val="28"/>
        </w:rPr>
        <w:t>MPRD</w:t>
      </w:r>
      <w:r w:rsidR="0032606A" w:rsidRPr="00CA2751">
        <w:rPr>
          <w:sz w:val="28"/>
          <w:szCs w:val="28"/>
        </w:rPr>
        <w:t>A</w:t>
      </w:r>
      <w:r w:rsidR="007A4D96" w:rsidRPr="00CA2751">
        <w:rPr>
          <w:sz w:val="28"/>
          <w:szCs w:val="28"/>
        </w:rPr>
        <w:t>)</w:t>
      </w:r>
      <w:r w:rsidR="00320553" w:rsidRPr="00CA2751">
        <w:rPr>
          <w:sz w:val="28"/>
          <w:szCs w:val="28"/>
        </w:rPr>
        <w:t>.</w:t>
      </w:r>
      <w:r w:rsidR="00337A0A" w:rsidRPr="00CA2751">
        <w:rPr>
          <w:rStyle w:val="FootnoteReference"/>
          <w:sz w:val="28"/>
          <w:szCs w:val="28"/>
        </w:rPr>
        <w:footnoteReference w:id="3"/>
      </w:r>
      <w:r w:rsidR="00320553" w:rsidRPr="00CA2751">
        <w:rPr>
          <w:sz w:val="28"/>
          <w:szCs w:val="28"/>
        </w:rPr>
        <w:t xml:space="preserve"> </w:t>
      </w:r>
      <w:r w:rsidR="00772D70" w:rsidRPr="00CA2751">
        <w:rPr>
          <w:sz w:val="28"/>
          <w:szCs w:val="28"/>
        </w:rPr>
        <w:t xml:space="preserve">Bila is permitted to </w:t>
      </w:r>
      <w:r w:rsidR="00992097" w:rsidRPr="00CA2751">
        <w:rPr>
          <w:sz w:val="28"/>
          <w:szCs w:val="28"/>
        </w:rPr>
        <w:t xml:space="preserve">remove </w:t>
      </w:r>
      <w:r w:rsidR="007C74D1" w:rsidRPr="00CA2751">
        <w:rPr>
          <w:sz w:val="28"/>
          <w:szCs w:val="28"/>
        </w:rPr>
        <w:t xml:space="preserve">only </w:t>
      </w:r>
      <w:r w:rsidR="00833F23" w:rsidRPr="00CA2751">
        <w:rPr>
          <w:sz w:val="28"/>
          <w:szCs w:val="28"/>
        </w:rPr>
        <w:t xml:space="preserve">authorised </w:t>
      </w:r>
      <w:r w:rsidR="00992097" w:rsidRPr="00CA2751">
        <w:rPr>
          <w:sz w:val="28"/>
          <w:szCs w:val="28"/>
        </w:rPr>
        <w:t>quantities of</w:t>
      </w:r>
      <w:r w:rsidR="00772D70" w:rsidRPr="00CA2751">
        <w:rPr>
          <w:sz w:val="28"/>
          <w:szCs w:val="28"/>
        </w:rPr>
        <w:t xml:space="preserve"> chrome </w:t>
      </w:r>
      <w:r w:rsidR="00992097" w:rsidRPr="00CA2751">
        <w:rPr>
          <w:sz w:val="28"/>
          <w:szCs w:val="28"/>
        </w:rPr>
        <w:t>ore as</w:t>
      </w:r>
      <w:r w:rsidR="00C25ECC" w:rsidRPr="00CA2751">
        <w:rPr>
          <w:sz w:val="28"/>
          <w:szCs w:val="28"/>
        </w:rPr>
        <w:t xml:space="preserve"> may be </w:t>
      </w:r>
      <w:r w:rsidR="00992097" w:rsidRPr="00CA2751">
        <w:rPr>
          <w:sz w:val="28"/>
          <w:szCs w:val="28"/>
        </w:rPr>
        <w:t>required in</w:t>
      </w:r>
      <w:r w:rsidR="00772D70" w:rsidRPr="00CA2751">
        <w:rPr>
          <w:sz w:val="28"/>
          <w:szCs w:val="28"/>
        </w:rPr>
        <w:t xml:space="preserve"> order to </w:t>
      </w:r>
      <w:r w:rsidR="000C6133" w:rsidRPr="00CA2751">
        <w:rPr>
          <w:sz w:val="28"/>
          <w:szCs w:val="28"/>
        </w:rPr>
        <w:t>conduct tests on it or to identify or analyse</w:t>
      </w:r>
      <w:r w:rsidR="00000A41" w:rsidRPr="00CA2751">
        <w:rPr>
          <w:sz w:val="28"/>
          <w:szCs w:val="28"/>
        </w:rPr>
        <w:t xml:space="preserve"> it</w:t>
      </w:r>
      <w:r w:rsidR="000C6133" w:rsidRPr="00CA2751">
        <w:rPr>
          <w:sz w:val="28"/>
          <w:szCs w:val="28"/>
        </w:rPr>
        <w:t xml:space="preserve">, </w:t>
      </w:r>
      <w:r w:rsidR="00DB3DDA" w:rsidRPr="00CA2751">
        <w:rPr>
          <w:sz w:val="28"/>
          <w:szCs w:val="28"/>
        </w:rPr>
        <w:t>as</w:t>
      </w:r>
      <w:r w:rsidR="00C25ECC" w:rsidRPr="00CA2751">
        <w:rPr>
          <w:sz w:val="28"/>
          <w:szCs w:val="28"/>
        </w:rPr>
        <w:t xml:space="preserve"> permitted </w:t>
      </w:r>
      <w:r w:rsidR="000C6133" w:rsidRPr="00CA2751">
        <w:rPr>
          <w:sz w:val="28"/>
          <w:szCs w:val="28"/>
        </w:rPr>
        <w:t>in terms of s 20(2) of the</w:t>
      </w:r>
      <w:r w:rsidR="007A4D96" w:rsidRPr="00CA2751">
        <w:rPr>
          <w:sz w:val="28"/>
          <w:szCs w:val="28"/>
        </w:rPr>
        <w:t xml:space="preserve"> MPRD</w:t>
      </w:r>
      <w:r w:rsidR="0032606A" w:rsidRPr="00CA2751">
        <w:rPr>
          <w:sz w:val="28"/>
          <w:szCs w:val="28"/>
        </w:rPr>
        <w:t>A</w:t>
      </w:r>
      <w:r w:rsidR="000C6133" w:rsidRPr="00CA2751">
        <w:rPr>
          <w:sz w:val="28"/>
          <w:szCs w:val="28"/>
        </w:rPr>
        <w:t>.</w:t>
      </w:r>
    </w:p>
    <w:p w14:paraId="609BED77" w14:textId="77777777" w:rsidR="00384602" w:rsidRPr="00384602" w:rsidRDefault="00384602" w:rsidP="00384602">
      <w:pPr>
        <w:tabs>
          <w:tab w:val="left" w:pos="0"/>
        </w:tabs>
        <w:rPr>
          <w:sz w:val="28"/>
          <w:szCs w:val="28"/>
        </w:rPr>
      </w:pPr>
    </w:p>
    <w:p w14:paraId="46A1E9F0" w14:textId="56E1693B" w:rsidR="00DB3DDA" w:rsidRPr="00CA2751" w:rsidRDefault="004E5F34" w:rsidP="004E5F34">
      <w:pPr>
        <w:tabs>
          <w:tab w:val="left" w:pos="0"/>
        </w:tabs>
        <w:rPr>
          <w:sz w:val="28"/>
          <w:szCs w:val="28"/>
        </w:rPr>
      </w:pPr>
      <w:r w:rsidRPr="00CA2751">
        <w:rPr>
          <w:sz w:val="28"/>
          <w:szCs w:val="28"/>
        </w:rPr>
        <w:lastRenderedPageBreak/>
        <w:t>[4]</w:t>
      </w:r>
      <w:r w:rsidRPr="00CA2751">
        <w:rPr>
          <w:sz w:val="28"/>
          <w:szCs w:val="28"/>
        </w:rPr>
        <w:tab/>
      </w:r>
      <w:r w:rsidR="00992097" w:rsidRPr="00CA2751">
        <w:rPr>
          <w:sz w:val="28"/>
          <w:szCs w:val="28"/>
        </w:rPr>
        <w:t>Bila’s prospecting</w:t>
      </w:r>
      <w:r w:rsidR="006F7986" w:rsidRPr="00CA2751">
        <w:rPr>
          <w:sz w:val="28"/>
          <w:szCs w:val="28"/>
        </w:rPr>
        <w:t xml:space="preserve"> right is for five years commencing on 13 May 2018 and ending on 29 May 2023. All planned prospecting </w:t>
      </w:r>
      <w:r w:rsidR="00DB3DDA" w:rsidRPr="00CA2751">
        <w:rPr>
          <w:sz w:val="28"/>
          <w:szCs w:val="28"/>
        </w:rPr>
        <w:t xml:space="preserve">activities were </w:t>
      </w:r>
      <w:r w:rsidR="006F7986" w:rsidRPr="00CA2751">
        <w:rPr>
          <w:sz w:val="28"/>
          <w:szCs w:val="28"/>
        </w:rPr>
        <w:t xml:space="preserve">to be </w:t>
      </w:r>
      <w:r w:rsidR="00DB3DDA" w:rsidRPr="00CA2751">
        <w:rPr>
          <w:sz w:val="28"/>
          <w:szCs w:val="28"/>
        </w:rPr>
        <w:t>conducted in</w:t>
      </w:r>
      <w:r w:rsidR="006F7986" w:rsidRPr="00CA2751">
        <w:rPr>
          <w:sz w:val="28"/>
          <w:szCs w:val="28"/>
        </w:rPr>
        <w:t xml:space="preserve"> three phases and within specific timeframes</w:t>
      </w:r>
      <w:r w:rsidR="00557BA0" w:rsidRPr="00CA2751">
        <w:rPr>
          <w:sz w:val="28"/>
          <w:szCs w:val="28"/>
        </w:rPr>
        <w:t xml:space="preserve">. </w:t>
      </w:r>
      <w:r w:rsidR="00DB3DDA" w:rsidRPr="00CA2751">
        <w:rPr>
          <w:sz w:val="28"/>
          <w:szCs w:val="28"/>
        </w:rPr>
        <w:t>P</w:t>
      </w:r>
      <w:r w:rsidR="00557BA0" w:rsidRPr="00CA2751">
        <w:rPr>
          <w:sz w:val="28"/>
          <w:szCs w:val="28"/>
        </w:rPr>
        <w:t>hase 1 would</w:t>
      </w:r>
      <w:r w:rsidR="00DB3DDA" w:rsidRPr="00CA2751">
        <w:rPr>
          <w:sz w:val="28"/>
          <w:szCs w:val="28"/>
        </w:rPr>
        <w:t xml:space="preserve"> consist of </w:t>
      </w:r>
      <w:r w:rsidR="00557BA0" w:rsidRPr="00CA2751">
        <w:rPr>
          <w:sz w:val="28"/>
          <w:szCs w:val="28"/>
        </w:rPr>
        <w:t xml:space="preserve">non-invasive prospecting activities, which included collation of data and literature surveys. These activities </w:t>
      </w:r>
      <w:r w:rsidR="00DB3DDA" w:rsidRPr="00CA2751">
        <w:rPr>
          <w:sz w:val="28"/>
          <w:szCs w:val="28"/>
        </w:rPr>
        <w:t xml:space="preserve">would </w:t>
      </w:r>
      <w:r w:rsidR="00557BA0" w:rsidRPr="00CA2751">
        <w:rPr>
          <w:sz w:val="28"/>
          <w:szCs w:val="28"/>
        </w:rPr>
        <w:t>not disturb the land where prospecting would take place.</w:t>
      </w:r>
      <w:r w:rsidR="008F0155" w:rsidRPr="00CA2751">
        <w:rPr>
          <w:sz w:val="28"/>
          <w:szCs w:val="28"/>
        </w:rPr>
        <w:t xml:space="preserve"> This phase </w:t>
      </w:r>
      <w:r w:rsidR="00DB3DDA" w:rsidRPr="00CA2751">
        <w:rPr>
          <w:sz w:val="28"/>
          <w:szCs w:val="28"/>
        </w:rPr>
        <w:t xml:space="preserve">was to </w:t>
      </w:r>
      <w:r w:rsidR="008F0155" w:rsidRPr="00CA2751">
        <w:rPr>
          <w:sz w:val="28"/>
          <w:szCs w:val="28"/>
        </w:rPr>
        <w:t>last</w:t>
      </w:r>
      <w:r w:rsidR="000F17A0" w:rsidRPr="00CA2751">
        <w:rPr>
          <w:sz w:val="28"/>
          <w:szCs w:val="28"/>
        </w:rPr>
        <w:t xml:space="preserve"> for a period of six months, </w:t>
      </w:r>
      <w:r w:rsidR="00772D70" w:rsidRPr="00CA2751">
        <w:rPr>
          <w:sz w:val="28"/>
          <w:szCs w:val="28"/>
        </w:rPr>
        <w:t xml:space="preserve">from </w:t>
      </w:r>
      <w:r w:rsidR="000F17A0" w:rsidRPr="00CA2751">
        <w:rPr>
          <w:sz w:val="28"/>
          <w:szCs w:val="28"/>
        </w:rPr>
        <w:t>June 2018 to December 2018.</w:t>
      </w:r>
      <w:r w:rsidR="005D23DF" w:rsidRPr="00CA2751">
        <w:rPr>
          <w:sz w:val="28"/>
          <w:szCs w:val="28"/>
        </w:rPr>
        <w:t xml:space="preserve"> </w:t>
      </w:r>
    </w:p>
    <w:p w14:paraId="4C9870DB" w14:textId="77777777" w:rsidR="00DB3DDA" w:rsidRPr="00CA2751" w:rsidRDefault="00DB3DDA" w:rsidP="00FE329C">
      <w:pPr>
        <w:rPr>
          <w:sz w:val="28"/>
          <w:szCs w:val="28"/>
        </w:rPr>
      </w:pPr>
    </w:p>
    <w:p w14:paraId="0F2E6524" w14:textId="55025E1D" w:rsidR="00DB3DDA" w:rsidRPr="00CA2751" w:rsidRDefault="004E5F34" w:rsidP="004E5F34">
      <w:pPr>
        <w:tabs>
          <w:tab w:val="left" w:pos="0"/>
        </w:tabs>
        <w:rPr>
          <w:sz w:val="28"/>
          <w:szCs w:val="28"/>
        </w:rPr>
      </w:pPr>
      <w:r w:rsidRPr="00CA2751">
        <w:rPr>
          <w:sz w:val="28"/>
          <w:szCs w:val="28"/>
        </w:rPr>
        <w:t>[5]</w:t>
      </w:r>
      <w:r w:rsidRPr="00CA2751">
        <w:rPr>
          <w:sz w:val="28"/>
          <w:szCs w:val="28"/>
        </w:rPr>
        <w:tab/>
      </w:r>
      <w:r w:rsidR="005D23DF" w:rsidRPr="00CA2751">
        <w:rPr>
          <w:sz w:val="28"/>
          <w:szCs w:val="28"/>
        </w:rPr>
        <w:t xml:space="preserve">Phase 2 would last for a period of 12 months, </w:t>
      </w:r>
      <w:r w:rsidR="00772D70" w:rsidRPr="00CA2751">
        <w:rPr>
          <w:sz w:val="28"/>
          <w:szCs w:val="28"/>
        </w:rPr>
        <w:t xml:space="preserve">from </w:t>
      </w:r>
      <w:r w:rsidR="005D23DF" w:rsidRPr="00CA2751">
        <w:rPr>
          <w:sz w:val="28"/>
          <w:szCs w:val="28"/>
        </w:rPr>
        <w:t>January 2019 to December 2019.</w:t>
      </w:r>
      <w:r w:rsidR="00DB3DDA" w:rsidRPr="00CA2751">
        <w:rPr>
          <w:sz w:val="28"/>
          <w:szCs w:val="28"/>
        </w:rPr>
        <w:t xml:space="preserve"> The activities planned for this phase would be invasive and result in land disturbance, for example, sampling, drilling, trenching, and bulk sampling. The proposed drilling programme consisted of six holes, approximately 30m deep, depending on local depth to bedrock. The pits would be 3m x 3m x+/</w:t>
      </w:r>
      <w:r w:rsidR="00547DE7" w:rsidRPr="00CA2751">
        <w:rPr>
          <w:sz w:val="28"/>
          <w:szCs w:val="28"/>
        </w:rPr>
        <w:t>-</w:t>
      </w:r>
      <w:r w:rsidR="00DB3DDA" w:rsidRPr="00CA2751">
        <w:rPr>
          <w:sz w:val="28"/>
          <w:szCs w:val="28"/>
        </w:rPr>
        <w:t xml:space="preserve"> 10m deep on a grid of 100 x 100 metres and </w:t>
      </w:r>
      <w:r w:rsidR="00000A41" w:rsidRPr="00CA2751">
        <w:rPr>
          <w:sz w:val="28"/>
          <w:szCs w:val="28"/>
        </w:rPr>
        <w:t>50 x 50 metres when necessary</w:t>
      </w:r>
      <w:r w:rsidR="00DB3DDA" w:rsidRPr="00CA2751">
        <w:rPr>
          <w:sz w:val="28"/>
          <w:szCs w:val="28"/>
        </w:rPr>
        <w:t xml:space="preserve">. These test pits had to be closed </w:t>
      </w:r>
      <w:r w:rsidR="00000A41" w:rsidRPr="00CA2751">
        <w:rPr>
          <w:sz w:val="28"/>
          <w:szCs w:val="28"/>
        </w:rPr>
        <w:t>immediately before the excavator moved to the next</w:t>
      </w:r>
      <w:r w:rsidR="00DB3DDA" w:rsidRPr="00CA2751">
        <w:rPr>
          <w:sz w:val="28"/>
          <w:szCs w:val="28"/>
        </w:rPr>
        <w:t xml:space="preserve">. It was envisaged that at least 100 test pits would be excavated. </w:t>
      </w:r>
    </w:p>
    <w:p w14:paraId="01EAD8EB" w14:textId="77777777" w:rsidR="00C91C4F" w:rsidRPr="00CA2751" w:rsidRDefault="00C91C4F" w:rsidP="004E2FA2">
      <w:pPr>
        <w:tabs>
          <w:tab w:val="left" w:pos="0"/>
        </w:tabs>
        <w:rPr>
          <w:sz w:val="28"/>
          <w:szCs w:val="28"/>
        </w:rPr>
      </w:pPr>
    </w:p>
    <w:p w14:paraId="299063BF" w14:textId="3F665CC9" w:rsidR="0045031F" w:rsidRPr="00CA2751" w:rsidRDefault="004E5F34" w:rsidP="004E5F34">
      <w:pPr>
        <w:tabs>
          <w:tab w:val="left" w:pos="0"/>
        </w:tabs>
        <w:rPr>
          <w:sz w:val="28"/>
          <w:szCs w:val="28"/>
        </w:rPr>
      </w:pPr>
      <w:r w:rsidRPr="00CA2751">
        <w:rPr>
          <w:sz w:val="28"/>
          <w:szCs w:val="28"/>
        </w:rPr>
        <w:t>[6]</w:t>
      </w:r>
      <w:r w:rsidRPr="00CA2751">
        <w:rPr>
          <w:sz w:val="28"/>
          <w:szCs w:val="28"/>
        </w:rPr>
        <w:tab/>
      </w:r>
      <w:r w:rsidR="0073616C" w:rsidRPr="00CA2751">
        <w:rPr>
          <w:sz w:val="28"/>
          <w:szCs w:val="28"/>
        </w:rPr>
        <w:t>Phase 3 would cover the remainder of the period from January 202</w:t>
      </w:r>
      <w:r w:rsidR="007C74D1" w:rsidRPr="00CA2751">
        <w:rPr>
          <w:sz w:val="28"/>
          <w:szCs w:val="28"/>
        </w:rPr>
        <w:t>0</w:t>
      </w:r>
      <w:r w:rsidR="0073616C" w:rsidRPr="00CA2751">
        <w:rPr>
          <w:sz w:val="28"/>
          <w:szCs w:val="28"/>
        </w:rPr>
        <w:t xml:space="preserve"> to 29 </w:t>
      </w:r>
      <w:r w:rsidR="00F47EA1" w:rsidRPr="00CA2751">
        <w:rPr>
          <w:sz w:val="28"/>
          <w:szCs w:val="28"/>
        </w:rPr>
        <w:t>May</w:t>
      </w:r>
      <w:r w:rsidR="0073616C" w:rsidRPr="00CA2751">
        <w:rPr>
          <w:sz w:val="28"/>
          <w:szCs w:val="28"/>
        </w:rPr>
        <w:t xml:space="preserve"> 2023. </w:t>
      </w:r>
      <w:r w:rsidR="004359D8" w:rsidRPr="004359D8">
        <w:rPr>
          <w:sz w:val="28"/>
          <w:szCs w:val="28"/>
        </w:rPr>
        <w:t>During this period, invasive prospecting activities such as sampling, excavation, drilling, blasting, and bulk sampling would take place. The prospecting area is described as 434 hectares, and it was anticipated that a total of 50 000m³ (100 000 ton) would be tested by making trenches on different locations over the whole prospecting area, where the possibility of ore was identified with the test pits.</w:t>
      </w:r>
      <w:r w:rsidR="004359D8">
        <w:rPr>
          <w:sz w:val="28"/>
          <w:szCs w:val="28"/>
        </w:rPr>
        <w:t xml:space="preserve"> </w:t>
      </w:r>
      <w:r w:rsidR="0045031F" w:rsidRPr="00CA2751">
        <w:rPr>
          <w:sz w:val="28"/>
          <w:szCs w:val="28"/>
        </w:rPr>
        <w:t>Bila would be able to process 960m</w:t>
      </w:r>
      <w:r w:rsidR="00945342" w:rsidRPr="00CA2751">
        <w:rPr>
          <w:sz w:val="28"/>
          <w:szCs w:val="28"/>
        </w:rPr>
        <w:t>³</w:t>
      </w:r>
      <w:r w:rsidR="0045031F" w:rsidRPr="00CA2751">
        <w:rPr>
          <w:sz w:val="28"/>
          <w:szCs w:val="28"/>
        </w:rPr>
        <w:t xml:space="preserve"> a month</w:t>
      </w:r>
      <w:r w:rsidR="007C74D1" w:rsidRPr="00CA2751">
        <w:rPr>
          <w:sz w:val="28"/>
          <w:szCs w:val="28"/>
        </w:rPr>
        <w:t xml:space="preserve"> and</w:t>
      </w:r>
      <w:r w:rsidR="0045031F" w:rsidRPr="00CA2751">
        <w:rPr>
          <w:sz w:val="28"/>
          <w:szCs w:val="28"/>
        </w:rPr>
        <w:t xml:space="preserve"> the processing of 50 000m</w:t>
      </w:r>
      <w:r w:rsidR="00945342" w:rsidRPr="00CA2751">
        <w:rPr>
          <w:sz w:val="28"/>
          <w:szCs w:val="28"/>
        </w:rPr>
        <w:t>³</w:t>
      </w:r>
      <w:r w:rsidR="0045031F" w:rsidRPr="00CA2751">
        <w:rPr>
          <w:sz w:val="28"/>
          <w:szCs w:val="28"/>
        </w:rPr>
        <w:t xml:space="preserve"> would take about 42 months </w:t>
      </w:r>
      <w:r w:rsidR="00992097" w:rsidRPr="00CA2751">
        <w:rPr>
          <w:sz w:val="28"/>
          <w:szCs w:val="28"/>
        </w:rPr>
        <w:t xml:space="preserve">overall. </w:t>
      </w:r>
      <w:r w:rsidR="00DF0341" w:rsidRPr="00CA2751">
        <w:rPr>
          <w:sz w:val="28"/>
          <w:szCs w:val="28"/>
        </w:rPr>
        <w:lastRenderedPageBreak/>
        <w:t>The total budget to complete the work</w:t>
      </w:r>
      <w:r w:rsidR="006C18DD" w:rsidRPr="00CA2751">
        <w:rPr>
          <w:sz w:val="28"/>
          <w:szCs w:val="28"/>
        </w:rPr>
        <w:t xml:space="preserve"> for the duration of the prospecting right</w:t>
      </w:r>
      <w:r w:rsidR="00DF0341" w:rsidRPr="00CA2751">
        <w:rPr>
          <w:sz w:val="28"/>
          <w:szCs w:val="28"/>
        </w:rPr>
        <w:t xml:space="preserve"> was stated as R1 248 122. </w:t>
      </w:r>
    </w:p>
    <w:p w14:paraId="20DFE3CE" w14:textId="77777777" w:rsidR="00EF275E" w:rsidRPr="00CA2751" w:rsidRDefault="00EF275E" w:rsidP="00CA2751">
      <w:pPr>
        <w:tabs>
          <w:tab w:val="left" w:pos="0"/>
        </w:tabs>
        <w:rPr>
          <w:sz w:val="28"/>
          <w:szCs w:val="28"/>
        </w:rPr>
      </w:pPr>
    </w:p>
    <w:p w14:paraId="234F6EF5" w14:textId="38841D57" w:rsidR="00591954" w:rsidRPr="00CA2751" w:rsidRDefault="004E5F34" w:rsidP="004E5F34">
      <w:pPr>
        <w:tabs>
          <w:tab w:val="left" w:pos="0"/>
        </w:tabs>
        <w:rPr>
          <w:sz w:val="28"/>
          <w:szCs w:val="28"/>
        </w:rPr>
      </w:pPr>
      <w:r w:rsidRPr="00CA2751">
        <w:rPr>
          <w:sz w:val="28"/>
          <w:szCs w:val="28"/>
        </w:rPr>
        <w:t>[7]</w:t>
      </w:r>
      <w:r w:rsidRPr="00CA2751">
        <w:rPr>
          <w:sz w:val="28"/>
          <w:szCs w:val="28"/>
        </w:rPr>
        <w:tab/>
      </w:r>
      <w:r w:rsidR="00591954" w:rsidRPr="00CA2751">
        <w:rPr>
          <w:sz w:val="28"/>
          <w:szCs w:val="28"/>
        </w:rPr>
        <w:t>On 12 June 2019, Samancor lodged an urgent application in the high court</w:t>
      </w:r>
      <w:r w:rsidR="00DF0341" w:rsidRPr="00CA2751">
        <w:rPr>
          <w:sz w:val="28"/>
          <w:szCs w:val="28"/>
        </w:rPr>
        <w:t xml:space="preserve"> for an order interdicting Bila, its employees</w:t>
      </w:r>
      <w:r w:rsidR="00000A41" w:rsidRPr="00CA2751">
        <w:rPr>
          <w:sz w:val="28"/>
          <w:szCs w:val="28"/>
        </w:rPr>
        <w:t>,</w:t>
      </w:r>
      <w:r w:rsidR="00DF0341" w:rsidRPr="00CA2751">
        <w:rPr>
          <w:sz w:val="28"/>
          <w:szCs w:val="28"/>
        </w:rPr>
        <w:t xml:space="preserve"> and contractors from conducting unlawful mining operations on RE Portion 2 (and Portion 154, which is not relevant </w:t>
      </w:r>
      <w:r w:rsidR="00270252" w:rsidRPr="00CA2751">
        <w:rPr>
          <w:sz w:val="28"/>
          <w:szCs w:val="28"/>
        </w:rPr>
        <w:t xml:space="preserve">for </w:t>
      </w:r>
      <w:r w:rsidR="00DF0341" w:rsidRPr="00CA2751">
        <w:rPr>
          <w:sz w:val="28"/>
          <w:szCs w:val="28"/>
        </w:rPr>
        <w:t xml:space="preserve">this particular appeal). Samancor alleged that these unlawful activities infringed upon its rights as a co-owner and the </w:t>
      </w:r>
      <w:r w:rsidR="00F47EA1" w:rsidRPr="00CA2751">
        <w:rPr>
          <w:sz w:val="28"/>
          <w:szCs w:val="28"/>
        </w:rPr>
        <w:t>holder of converted mining right</w:t>
      </w:r>
      <w:r w:rsidR="00DF0341" w:rsidRPr="00CA2751">
        <w:rPr>
          <w:sz w:val="28"/>
          <w:szCs w:val="28"/>
        </w:rPr>
        <w:t xml:space="preserve">s and </w:t>
      </w:r>
      <w:r w:rsidR="00992097" w:rsidRPr="00CA2751">
        <w:rPr>
          <w:sz w:val="28"/>
          <w:szCs w:val="28"/>
        </w:rPr>
        <w:t>posed health</w:t>
      </w:r>
      <w:r w:rsidR="00DF0341" w:rsidRPr="00CA2751">
        <w:rPr>
          <w:sz w:val="28"/>
          <w:szCs w:val="28"/>
        </w:rPr>
        <w:t xml:space="preserve">, </w:t>
      </w:r>
      <w:r w:rsidR="008A65E0" w:rsidRPr="00CA2751">
        <w:rPr>
          <w:sz w:val="28"/>
          <w:szCs w:val="28"/>
        </w:rPr>
        <w:t>safety,</w:t>
      </w:r>
      <w:r w:rsidR="00DF0341" w:rsidRPr="00CA2751">
        <w:rPr>
          <w:sz w:val="28"/>
          <w:szCs w:val="28"/>
        </w:rPr>
        <w:t xml:space="preserve"> and environmental risks.</w:t>
      </w:r>
    </w:p>
    <w:p w14:paraId="39606BF2" w14:textId="77777777" w:rsidR="00462209" w:rsidRPr="00CA2751" w:rsidRDefault="00462209" w:rsidP="007D3DBE">
      <w:pPr>
        <w:pStyle w:val="ListParagraph"/>
        <w:ind w:left="0"/>
        <w:rPr>
          <w:sz w:val="28"/>
          <w:szCs w:val="28"/>
        </w:rPr>
      </w:pPr>
    </w:p>
    <w:p w14:paraId="4319EC92" w14:textId="3F86FC26" w:rsidR="00462209" w:rsidRPr="00CA2751" w:rsidRDefault="004E5F34" w:rsidP="004E5F34">
      <w:pPr>
        <w:tabs>
          <w:tab w:val="left" w:pos="0"/>
        </w:tabs>
        <w:rPr>
          <w:sz w:val="28"/>
          <w:szCs w:val="28"/>
        </w:rPr>
      </w:pPr>
      <w:r w:rsidRPr="00CA2751">
        <w:rPr>
          <w:sz w:val="28"/>
          <w:szCs w:val="28"/>
        </w:rPr>
        <w:t>[8]</w:t>
      </w:r>
      <w:r w:rsidRPr="00CA2751">
        <w:rPr>
          <w:sz w:val="28"/>
          <w:szCs w:val="28"/>
        </w:rPr>
        <w:tab/>
      </w:r>
      <w:r w:rsidR="00462209" w:rsidRPr="00CA2751">
        <w:rPr>
          <w:sz w:val="28"/>
          <w:szCs w:val="28"/>
        </w:rPr>
        <w:t xml:space="preserve">In </w:t>
      </w:r>
      <w:r w:rsidR="00A4241A" w:rsidRPr="00CA2751">
        <w:rPr>
          <w:sz w:val="28"/>
          <w:szCs w:val="28"/>
        </w:rPr>
        <w:t xml:space="preserve">resisting Samancor’s </w:t>
      </w:r>
      <w:r w:rsidR="00992097" w:rsidRPr="00CA2751">
        <w:rPr>
          <w:sz w:val="28"/>
          <w:szCs w:val="28"/>
        </w:rPr>
        <w:t>application,</w:t>
      </w:r>
      <w:r w:rsidR="00462209" w:rsidRPr="00CA2751">
        <w:rPr>
          <w:sz w:val="28"/>
          <w:szCs w:val="28"/>
        </w:rPr>
        <w:t xml:space="preserve"> Bila denied that it was conducting unlawful mining activities. It alleged that it employed 85 people and had invested in excess of R100 million in its </w:t>
      </w:r>
      <w:r w:rsidR="004A6AE4" w:rsidRPr="00CA2751">
        <w:rPr>
          <w:sz w:val="28"/>
          <w:szCs w:val="28"/>
        </w:rPr>
        <w:t xml:space="preserve">authorised </w:t>
      </w:r>
      <w:r w:rsidR="00462209" w:rsidRPr="00CA2751">
        <w:rPr>
          <w:sz w:val="28"/>
          <w:szCs w:val="28"/>
        </w:rPr>
        <w:t>prospecting operations and activities.</w:t>
      </w:r>
    </w:p>
    <w:p w14:paraId="549565B8" w14:textId="77777777" w:rsidR="00462209" w:rsidRPr="00CA2751" w:rsidRDefault="00462209" w:rsidP="007D3DBE">
      <w:pPr>
        <w:pStyle w:val="ListParagraph"/>
        <w:ind w:left="0"/>
        <w:rPr>
          <w:sz w:val="28"/>
          <w:szCs w:val="28"/>
        </w:rPr>
      </w:pPr>
    </w:p>
    <w:p w14:paraId="026C2508" w14:textId="063F254F" w:rsidR="00462209" w:rsidRPr="00CA2751" w:rsidRDefault="004E5F34" w:rsidP="004E5F34">
      <w:pPr>
        <w:tabs>
          <w:tab w:val="left" w:pos="0"/>
        </w:tabs>
        <w:rPr>
          <w:sz w:val="28"/>
          <w:szCs w:val="28"/>
        </w:rPr>
      </w:pPr>
      <w:r w:rsidRPr="00CA2751">
        <w:rPr>
          <w:sz w:val="28"/>
          <w:szCs w:val="28"/>
        </w:rPr>
        <w:t>[9]</w:t>
      </w:r>
      <w:r w:rsidRPr="00CA2751">
        <w:rPr>
          <w:sz w:val="28"/>
          <w:szCs w:val="28"/>
        </w:rPr>
        <w:tab/>
      </w:r>
      <w:r w:rsidR="00462209" w:rsidRPr="00CA2751">
        <w:rPr>
          <w:sz w:val="28"/>
          <w:szCs w:val="28"/>
        </w:rPr>
        <w:t>The matter served before Neuki</w:t>
      </w:r>
      <w:r w:rsidR="007C74D1" w:rsidRPr="00CA2751">
        <w:rPr>
          <w:sz w:val="28"/>
          <w:szCs w:val="28"/>
        </w:rPr>
        <w:t>r</w:t>
      </w:r>
      <w:r w:rsidR="00462209" w:rsidRPr="00CA2751">
        <w:rPr>
          <w:sz w:val="28"/>
          <w:szCs w:val="28"/>
        </w:rPr>
        <w:t>cher J</w:t>
      </w:r>
      <w:r w:rsidR="008A65E0" w:rsidRPr="00CA2751">
        <w:rPr>
          <w:sz w:val="28"/>
          <w:szCs w:val="28"/>
        </w:rPr>
        <w:t>,</w:t>
      </w:r>
      <w:r w:rsidR="00462209" w:rsidRPr="00CA2751">
        <w:rPr>
          <w:sz w:val="28"/>
          <w:szCs w:val="28"/>
        </w:rPr>
        <w:t xml:space="preserve"> who </w:t>
      </w:r>
      <w:r w:rsidR="00803022">
        <w:rPr>
          <w:sz w:val="28"/>
          <w:szCs w:val="28"/>
        </w:rPr>
        <w:t xml:space="preserve">in her </w:t>
      </w:r>
      <w:r w:rsidR="00462209" w:rsidRPr="00CA2751">
        <w:rPr>
          <w:sz w:val="28"/>
          <w:szCs w:val="28"/>
        </w:rPr>
        <w:t>comprehensive judgment</w:t>
      </w:r>
      <w:r w:rsidR="00803022">
        <w:rPr>
          <w:sz w:val="28"/>
          <w:szCs w:val="28"/>
        </w:rPr>
        <w:t>,</w:t>
      </w:r>
      <w:r w:rsidR="008A65E0" w:rsidRPr="00CA2751">
        <w:rPr>
          <w:sz w:val="28"/>
          <w:szCs w:val="28"/>
        </w:rPr>
        <w:t xml:space="preserve"> </w:t>
      </w:r>
      <w:r w:rsidR="00462209" w:rsidRPr="00CA2751">
        <w:rPr>
          <w:sz w:val="28"/>
          <w:szCs w:val="28"/>
        </w:rPr>
        <w:t>f</w:t>
      </w:r>
      <w:r w:rsidR="008A65E0" w:rsidRPr="00CA2751">
        <w:rPr>
          <w:sz w:val="28"/>
          <w:szCs w:val="28"/>
        </w:rPr>
        <w:t>ound</w:t>
      </w:r>
      <w:r w:rsidR="00462209" w:rsidRPr="00CA2751">
        <w:rPr>
          <w:sz w:val="28"/>
          <w:szCs w:val="28"/>
        </w:rPr>
        <w:t xml:space="preserve"> in favour of Samancor </w:t>
      </w:r>
      <w:r w:rsidR="0000000C" w:rsidRPr="00CA2751">
        <w:rPr>
          <w:sz w:val="28"/>
          <w:szCs w:val="28"/>
        </w:rPr>
        <w:t>on 1 July 2019</w:t>
      </w:r>
      <w:r w:rsidR="00AF0114" w:rsidRPr="00CA2751">
        <w:rPr>
          <w:sz w:val="28"/>
          <w:szCs w:val="28"/>
        </w:rPr>
        <w:t>. She granted,</w:t>
      </w:r>
      <w:r w:rsidR="0000000C" w:rsidRPr="00CA2751">
        <w:rPr>
          <w:sz w:val="28"/>
          <w:szCs w:val="28"/>
        </w:rPr>
        <w:t xml:space="preserve"> </w:t>
      </w:r>
      <w:r w:rsidR="0000000C" w:rsidRPr="00CA2751">
        <w:rPr>
          <w:iCs/>
          <w:sz w:val="28"/>
          <w:szCs w:val="28"/>
        </w:rPr>
        <w:t>inter alia</w:t>
      </w:r>
      <w:r w:rsidR="0000000C" w:rsidRPr="00CA2751">
        <w:rPr>
          <w:sz w:val="28"/>
          <w:szCs w:val="28"/>
        </w:rPr>
        <w:t>,</w:t>
      </w:r>
      <w:r w:rsidR="00462209" w:rsidRPr="00CA2751">
        <w:rPr>
          <w:sz w:val="28"/>
          <w:szCs w:val="28"/>
        </w:rPr>
        <w:t xml:space="preserve"> the following order:</w:t>
      </w:r>
    </w:p>
    <w:p w14:paraId="09D54793" w14:textId="77777777" w:rsidR="0000000C" w:rsidRPr="00CA2751" w:rsidRDefault="0000000C" w:rsidP="007D3DBE">
      <w:pPr>
        <w:pStyle w:val="ListParagraph"/>
        <w:ind w:left="0"/>
        <w:jc w:val="left"/>
      </w:pPr>
      <w:r w:rsidRPr="00CA2751">
        <w:rPr>
          <w:sz w:val="28"/>
          <w:szCs w:val="28"/>
        </w:rPr>
        <w:t>‘</w:t>
      </w:r>
      <w:r w:rsidRPr="00CA2751">
        <w:t xml:space="preserve">1. In respect of the remaining extent of Portion 2 of the farm Elandskraal 469 JQ North West Province: </w:t>
      </w:r>
    </w:p>
    <w:p w14:paraId="56279790" w14:textId="2CDBC5C7" w:rsidR="0000000C" w:rsidRPr="00CA2751" w:rsidRDefault="004E5F34" w:rsidP="004E5F34">
      <w:r w:rsidRPr="00CA2751">
        <w:t>1.1</w:t>
      </w:r>
      <w:r w:rsidRPr="00CA2751">
        <w:tab/>
      </w:r>
      <w:r w:rsidR="0000000C" w:rsidRPr="00CA2751">
        <w:t>[Bila], its employees and contractors are interdicted and restrained from conducting, facilitating or being involved in any manner whatsoever in mining operations on this property;</w:t>
      </w:r>
    </w:p>
    <w:p w14:paraId="47EE52E2" w14:textId="24E7B92B" w:rsidR="0000000C" w:rsidRPr="00CA2751" w:rsidRDefault="004E5F34" w:rsidP="004E5F34">
      <w:r w:rsidRPr="00CA2751">
        <w:t>1.2</w:t>
      </w:r>
      <w:r w:rsidRPr="00CA2751">
        <w:tab/>
      </w:r>
      <w:r w:rsidR="0000000C" w:rsidRPr="00CA2751">
        <w:t>[Bila], its employees and contractors are interdicted and restrained from the removal of any material containing chrome or chrome ore or other minerals from this property outside of that allowed by its prospecting right.’</w:t>
      </w:r>
    </w:p>
    <w:p w14:paraId="1CEE8205" w14:textId="77777777" w:rsidR="00462209" w:rsidRPr="00CA2751" w:rsidRDefault="00462209" w:rsidP="004E2FA2">
      <w:pPr>
        <w:pStyle w:val="ListParagraph"/>
        <w:ind w:left="0"/>
        <w:rPr>
          <w:sz w:val="28"/>
          <w:szCs w:val="28"/>
        </w:rPr>
      </w:pPr>
    </w:p>
    <w:p w14:paraId="04FEAC19" w14:textId="6ED28006" w:rsidR="0000000C" w:rsidRPr="00CA2751" w:rsidRDefault="004E5F34" w:rsidP="004E5F34">
      <w:pPr>
        <w:tabs>
          <w:tab w:val="left" w:pos="0"/>
        </w:tabs>
        <w:rPr>
          <w:sz w:val="28"/>
          <w:szCs w:val="28"/>
        </w:rPr>
      </w:pPr>
      <w:r w:rsidRPr="00CA2751">
        <w:rPr>
          <w:sz w:val="28"/>
          <w:szCs w:val="28"/>
        </w:rPr>
        <w:lastRenderedPageBreak/>
        <w:t>[10]</w:t>
      </w:r>
      <w:r w:rsidRPr="00CA2751">
        <w:rPr>
          <w:sz w:val="28"/>
          <w:szCs w:val="28"/>
        </w:rPr>
        <w:tab/>
      </w:r>
      <w:r w:rsidR="0000000C" w:rsidRPr="00CA2751">
        <w:rPr>
          <w:sz w:val="28"/>
          <w:szCs w:val="28"/>
        </w:rPr>
        <w:t xml:space="preserve">Bila </w:t>
      </w:r>
      <w:r w:rsidR="00000A41" w:rsidRPr="00CA2751">
        <w:rPr>
          <w:sz w:val="28"/>
          <w:szCs w:val="28"/>
        </w:rPr>
        <w:t>applied</w:t>
      </w:r>
      <w:r w:rsidR="0000000C" w:rsidRPr="00CA2751">
        <w:rPr>
          <w:sz w:val="28"/>
          <w:szCs w:val="28"/>
        </w:rPr>
        <w:t xml:space="preserve"> for leave to appeal against Neukircher J’s </w:t>
      </w:r>
      <w:r w:rsidR="00AF0114" w:rsidRPr="00CA2751">
        <w:rPr>
          <w:sz w:val="28"/>
          <w:szCs w:val="28"/>
        </w:rPr>
        <w:t>order, which</w:t>
      </w:r>
      <w:r w:rsidR="0000000C" w:rsidRPr="00CA2751">
        <w:rPr>
          <w:sz w:val="28"/>
          <w:szCs w:val="28"/>
        </w:rPr>
        <w:t xml:space="preserve"> was dismissed on 12 August 2019. On 8 September 2019</w:t>
      </w:r>
      <w:r w:rsidR="00AF0114" w:rsidRPr="00CA2751">
        <w:rPr>
          <w:sz w:val="28"/>
          <w:szCs w:val="28"/>
        </w:rPr>
        <w:t>,</w:t>
      </w:r>
      <w:r w:rsidR="0000000C" w:rsidRPr="00CA2751">
        <w:rPr>
          <w:sz w:val="28"/>
          <w:szCs w:val="28"/>
        </w:rPr>
        <w:t xml:space="preserve"> Samancor lodged an</w:t>
      </w:r>
      <w:r w:rsidR="000C1849" w:rsidRPr="00CA2751">
        <w:rPr>
          <w:sz w:val="28"/>
          <w:szCs w:val="28"/>
        </w:rPr>
        <w:t>other</w:t>
      </w:r>
      <w:r w:rsidR="0000000C" w:rsidRPr="00CA2751">
        <w:rPr>
          <w:sz w:val="28"/>
          <w:szCs w:val="28"/>
        </w:rPr>
        <w:t xml:space="preserve"> application in the high court for an order joining Bila’s directors as </w:t>
      </w:r>
      <w:r w:rsidR="00956882" w:rsidRPr="00CA2751">
        <w:rPr>
          <w:sz w:val="28"/>
          <w:szCs w:val="28"/>
        </w:rPr>
        <w:t>respondents,</w:t>
      </w:r>
      <w:r w:rsidR="0000000C" w:rsidRPr="00CA2751">
        <w:rPr>
          <w:sz w:val="28"/>
          <w:szCs w:val="28"/>
        </w:rPr>
        <w:t xml:space="preserve"> and for Bila and its directors to be </w:t>
      </w:r>
      <w:r w:rsidR="00992097" w:rsidRPr="00CA2751">
        <w:rPr>
          <w:sz w:val="28"/>
          <w:szCs w:val="28"/>
        </w:rPr>
        <w:t>held in</w:t>
      </w:r>
      <w:r w:rsidR="0000000C" w:rsidRPr="00CA2751">
        <w:rPr>
          <w:sz w:val="28"/>
          <w:szCs w:val="28"/>
        </w:rPr>
        <w:t xml:space="preserve"> contempt of the order granted by Neukircher J on 1 July 2019. </w:t>
      </w:r>
    </w:p>
    <w:p w14:paraId="391CE9FD" w14:textId="77777777" w:rsidR="0000000C" w:rsidRPr="00CA2751" w:rsidRDefault="0000000C" w:rsidP="004E2FA2">
      <w:pPr>
        <w:tabs>
          <w:tab w:val="left" w:pos="0"/>
        </w:tabs>
        <w:rPr>
          <w:sz w:val="28"/>
          <w:szCs w:val="28"/>
        </w:rPr>
      </w:pPr>
    </w:p>
    <w:p w14:paraId="25495D83" w14:textId="3A306D01" w:rsidR="0000000C" w:rsidRPr="00CA2751" w:rsidRDefault="004E5F34" w:rsidP="004E5F34">
      <w:pPr>
        <w:tabs>
          <w:tab w:val="left" w:pos="0"/>
        </w:tabs>
        <w:rPr>
          <w:sz w:val="28"/>
          <w:szCs w:val="28"/>
        </w:rPr>
      </w:pPr>
      <w:r w:rsidRPr="00CA2751">
        <w:rPr>
          <w:sz w:val="28"/>
          <w:szCs w:val="28"/>
        </w:rPr>
        <w:t>[11]</w:t>
      </w:r>
      <w:r w:rsidRPr="00CA2751">
        <w:rPr>
          <w:sz w:val="28"/>
          <w:szCs w:val="28"/>
        </w:rPr>
        <w:tab/>
      </w:r>
      <w:r w:rsidR="0000000C" w:rsidRPr="00CA2751">
        <w:rPr>
          <w:sz w:val="28"/>
          <w:szCs w:val="28"/>
        </w:rPr>
        <w:t>In that application, Samancor alleged</w:t>
      </w:r>
      <w:r w:rsidR="001D7573" w:rsidRPr="00CA2751">
        <w:rPr>
          <w:sz w:val="28"/>
          <w:szCs w:val="28"/>
        </w:rPr>
        <w:t xml:space="preserve">, </w:t>
      </w:r>
      <w:r w:rsidR="001D7573" w:rsidRPr="00CA2751">
        <w:rPr>
          <w:iCs/>
          <w:sz w:val="28"/>
          <w:szCs w:val="28"/>
        </w:rPr>
        <w:t>inter alia</w:t>
      </w:r>
      <w:r w:rsidR="001D7573" w:rsidRPr="00CA2751">
        <w:rPr>
          <w:sz w:val="28"/>
          <w:szCs w:val="28"/>
        </w:rPr>
        <w:t>,</w:t>
      </w:r>
      <w:r w:rsidR="00AF0114" w:rsidRPr="00CA2751">
        <w:rPr>
          <w:sz w:val="28"/>
          <w:szCs w:val="28"/>
        </w:rPr>
        <w:t xml:space="preserve"> that</w:t>
      </w:r>
      <w:r w:rsidR="001D7573" w:rsidRPr="00CA2751">
        <w:rPr>
          <w:sz w:val="28"/>
          <w:szCs w:val="28"/>
        </w:rPr>
        <w:t xml:space="preserve"> </w:t>
      </w:r>
      <w:r w:rsidR="00AF0114" w:rsidRPr="00CA2751">
        <w:rPr>
          <w:sz w:val="28"/>
          <w:szCs w:val="28"/>
        </w:rPr>
        <w:t>various people from Samancor</w:t>
      </w:r>
      <w:r w:rsidR="00D232F4" w:rsidRPr="00CA2751">
        <w:rPr>
          <w:sz w:val="28"/>
          <w:szCs w:val="28"/>
        </w:rPr>
        <w:t xml:space="preserve"> –</w:t>
      </w:r>
      <w:r w:rsidR="00AF0114" w:rsidRPr="00CA2751">
        <w:rPr>
          <w:sz w:val="28"/>
          <w:szCs w:val="28"/>
        </w:rPr>
        <w:t xml:space="preserve"> including its service specialist, Mr Vusumzi Vilakazi, its mineral resources manager, Mr Kabelo Dube and an official from a security company it employs, Mr Dolf Labuschagne</w:t>
      </w:r>
      <w:r w:rsidR="00D232F4" w:rsidRPr="00CA2751">
        <w:rPr>
          <w:sz w:val="28"/>
          <w:szCs w:val="28"/>
        </w:rPr>
        <w:t xml:space="preserve"> – </w:t>
      </w:r>
      <w:r w:rsidR="00CE40D7" w:rsidRPr="00CA2751">
        <w:rPr>
          <w:sz w:val="28"/>
          <w:szCs w:val="28"/>
        </w:rPr>
        <w:t>observ</w:t>
      </w:r>
      <w:r w:rsidR="00AF0114" w:rsidRPr="00CA2751">
        <w:rPr>
          <w:sz w:val="28"/>
          <w:szCs w:val="28"/>
        </w:rPr>
        <w:t>ed</w:t>
      </w:r>
      <w:r w:rsidR="00147929" w:rsidRPr="00CA2751">
        <w:rPr>
          <w:sz w:val="28"/>
          <w:szCs w:val="28"/>
        </w:rPr>
        <w:t xml:space="preserve"> Bila conducting mining activities</w:t>
      </w:r>
      <w:r w:rsidR="00AF0114" w:rsidRPr="00CA2751">
        <w:rPr>
          <w:sz w:val="28"/>
          <w:szCs w:val="28"/>
        </w:rPr>
        <w:t xml:space="preserve"> on RE Portion 2 and Portion 154</w:t>
      </w:r>
      <w:r w:rsidR="00147929" w:rsidRPr="00CA2751">
        <w:rPr>
          <w:sz w:val="28"/>
          <w:szCs w:val="28"/>
        </w:rPr>
        <w:t>. Mr Vilakazi and Mr Dube conducted an analysis of the pit</w:t>
      </w:r>
      <w:r w:rsidR="00AF0114" w:rsidRPr="00CA2751">
        <w:rPr>
          <w:sz w:val="28"/>
          <w:szCs w:val="28"/>
        </w:rPr>
        <w:t>s</w:t>
      </w:r>
      <w:r w:rsidR="00147929" w:rsidRPr="00CA2751">
        <w:rPr>
          <w:sz w:val="28"/>
          <w:szCs w:val="28"/>
        </w:rPr>
        <w:t xml:space="preserve"> where the alleged activities </w:t>
      </w:r>
      <w:r w:rsidR="00AF0114" w:rsidRPr="00CA2751">
        <w:rPr>
          <w:sz w:val="28"/>
          <w:szCs w:val="28"/>
        </w:rPr>
        <w:t xml:space="preserve">had taken </w:t>
      </w:r>
      <w:r w:rsidR="00147929" w:rsidRPr="00CA2751">
        <w:rPr>
          <w:sz w:val="28"/>
          <w:szCs w:val="28"/>
        </w:rPr>
        <w:t>place and found that</w:t>
      </w:r>
      <w:r w:rsidR="00D23288" w:rsidRPr="00CA2751">
        <w:rPr>
          <w:sz w:val="28"/>
          <w:szCs w:val="28"/>
        </w:rPr>
        <w:t xml:space="preserve"> </w:t>
      </w:r>
      <w:r w:rsidR="00147929" w:rsidRPr="00CA2751">
        <w:rPr>
          <w:sz w:val="28"/>
          <w:szCs w:val="28"/>
        </w:rPr>
        <w:t xml:space="preserve">Bila </w:t>
      </w:r>
      <w:r w:rsidR="00D23288" w:rsidRPr="00CA2751">
        <w:rPr>
          <w:sz w:val="28"/>
          <w:szCs w:val="28"/>
        </w:rPr>
        <w:t>had</w:t>
      </w:r>
      <w:r w:rsidR="00000A41" w:rsidRPr="00CA2751">
        <w:rPr>
          <w:sz w:val="28"/>
          <w:szCs w:val="28"/>
        </w:rPr>
        <w:t>,</w:t>
      </w:r>
      <w:r w:rsidR="00D23288" w:rsidRPr="00CA2751">
        <w:rPr>
          <w:sz w:val="28"/>
          <w:szCs w:val="28"/>
        </w:rPr>
        <w:t xml:space="preserve"> by 22 August 2019</w:t>
      </w:r>
      <w:r w:rsidR="00000A41" w:rsidRPr="00CA2751">
        <w:rPr>
          <w:sz w:val="28"/>
          <w:szCs w:val="28"/>
        </w:rPr>
        <w:t>,</w:t>
      </w:r>
      <w:r w:rsidR="00D23288" w:rsidRPr="00CA2751">
        <w:rPr>
          <w:sz w:val="28"/>
          <w:szCs w:val="28"/>
        </w:rPr>
        <w:t xml:space="preserve"> removed an estimated amount of 174 382.23 tons of chrome ore</w:t>
      </w:r>
      <w:r w:rsidR="001D7573" w:rsidRPr="00CA2751">
        <w:rPr>
          <w:sz w:val="28"/>
          <w:szCs w:val="28"/>
        </w:rPr>
        <w:t xml:space="preserve"> from MG4 Reef and </w:t>
      </w:r>
      <w:r w:rsidR="00D23288" w:rsidRPr="00CA2751">
        <w:rPr>
          <w:sz w:val="28"/>
          <w:szCs w:val="28"/>
        </w:rPr>
        <w:t xml:space="preserve">75 441.37 </w:t>
      </w:r>
      <w:r w:rsidR="001D7573" w:rsidRPr="00CA2751">
        <w:rPr>
          <w:sz w:val="28"/>
          <w:szCs w:val="28"/>
        </w:rPr>
        <w:t xml:space="preserve">tons </w:t>
      </w:r>
      <w:r w:rsidR="00D23288" w:rsidRPr="00CA2751">
        <w:rPr>
          <w:sz w:val="28"/>
          <w:szCs w:val="28"/>
        </w:rPr>
        <w:t>of chrome ore from</w:t>
      </w:r>
      <w:r w:rsidR="001D7573" w:rsidRPr="00CA2751">
        <w:rPr>
          <w:sz w:val="28"/>
          <w:szCs w:val="28"/>
        </w:rPr>
        <w:t xml:space="preserve"> MG4A on RE Portion 2. The dimensions of the pits excavated </w:t>
      </w:r>
      <w:r w:rsidR="00AF0114" w:rsidRPr="00CA2751">
        <w:rPr>
          <w:sz w:val="28"/>
          <w:szCs w:val="28"/>
        </w:rPr>
        <w:t xml:space="preserve">were </w:t>
      </w:r>
      <w:r w:rsidR="00B864C5" w:rsidRPr="00CA2751">
        <w:rPr>
          <w:sz w:val="28"/>
          <w:szCs w:val="28"/>
        </w:rPr>
        <w:t>in size</w:t>
      </w:r>
      <w:r w:rsidR="00B152D7" w:rsidRPr="00CA2751">
        <w:rPr>
          <w:sz w:val="28"/>
          <w:szCs w:val="28"/>
        </w:rPr>
        <w:t>s</w:t>
      </w:r>
      <w:r w:rsidR="00B864C5" w:rsidRPr="00CA2751">
        <w:rPr>
          <w:sz w:val="28"/>
          <w:szCs w:val="28"/>
        </w:rPr>
        <w:t xml:space="preserve"> that were </w:t>
      </w:r>
      <w:r w:rsidR="001D7573" w:rsidRPr="00CA2751">
        <w:rPr>
          <w:sz w:val="28"/>
          <w:szCs w:val="28"/>
        </w:rPr>
        <w:t xml:space="preserve">more than </w:t>
      </w:r>
      <w:r w:rsidR="00B864C5" w:rsidRPr="00CA2751">
        <w:rPr>
          <w:sz w:val="28"/>
          <w:szCs w:val="28"/>
        </w:rPr>
        <w:t xml:space="preserve">those </w:t>
      </w:r>
      <w:r w:rsidR="001D7573" w:rsidRPr="00CA2751">
        <w:rPr>
          <w:sz w:val="28"/>
          <w:szCs w:val="28"/>
        </w:rPr>
        <w:t xml:space="preserve">allowed </w:t>
      </w:r>
      <w:r w:rsidR="00B864C5" w:rsidRPr="00CA2751">
        <w:rPr>
          <w:sz w:val="28"/>
          <w:szCs w:val="28"/>
        </w:rPr>
        <w:t xml:space="preserve">in </w:t>
      </w:r>
      <w:r w:rsidR="001D7573" w:rsidRPr="00CA2751">
        <w:rPr>
          <w:sz w:val="28"/>
          <w:szCs w:val="28"/>
        </w:rPr>
        <w:t>Bi</w:t>
      </w:r>
      <w:r w:rsidR="00AF0114" w:rsidRPr="00CA2751">
        <w:rPr>
          <w:sz w:val="28"/>
          <w:szCs w:val="28"/>
        </w:rPr>
        <w:t>l</w:t>
      </w:r>
      <w:r w:rsidR="001D7573" w:rsidRPr="00CA2751">
        <w:rPr>
          <w:sz w:val="28"/>
          <w:szCs w:val="28"/>
        </w:rPr>
        <w:t>a</w:t>
      </w:r>
      <w:r w:rsidR="00B864C5" w:rsidRPr="00CA2751">
        <w:rPr>
          <w:sz w:val="28"/>
          <w:szCs w:val="28"/>
        </w:rPr>
        <w:t>’s</w:t>
      </w:r>
      <w:r w:rsidR="001D7573" w:rsidRPr="00CA2751">
        <w:rPr>
          <w:sz w:val="28"/>
          <w:szCs w:val="28"/>
        </w:rPr>
        <w:t xml:space="preserve"> Prospecting Work Programme (PWP). </w:t>
      </w:r>
      <w:r w:rsidR="00D23288" w:rsidRPr="00CA2751">
        <w:rPr>
          <w:sz w:val="28"/>
          <w:szCs w:val="28"/>
        </w:rPr>
        <w:t>Bila denied th</w:t>
      </w:r>
      <w:r w:rsidR="00AF0114" w:rsidRPr="00CA2751">
        <w:rPr>
          <w:sz w:val="28"/>
          <w:szCs w:val="28"/>
        </w:rPr>
        <w:t xml:space="preserve">ese allegations, while </w:t>
      </w:r>
      <w:r w:rsidR="00B864C5" w:rsidRPr="00CA2751">
        <w:rPr>
          <w:sz w:val="28"/>
          <w:szCs w:val="28"/>
        </w:rPr>
        <w:t>offering no</w:t>
      </w:r>
      <w:r w:rsidR="00D23288" w:rsidRPr="00CA2751">
        <w:rPr>
          <w:sz w:val="28"/>
          <w:szCs w:val="28"/>
        </w:rPr>
        <w:t xml:space="preserve"> evidence to refute</w:t>
      </w:r>
      <w:r w:rsidR="00E73A5A">
        <w:rPr>
          <w:sz w:val="28"/>
          <w:szCs w:val="28"/>
        </w:rPr>
        <w:t xml:space="preserve"> them</w:t>
      </w:r>
      <w:r w:rsidR="00B864C5" w:rsidRPr="00CA2751">
        <w:rPr>
          <w:sz w:val="28"/>
          <w:szCs w:val="28"/>
        </w:rPr>
        <w:t>, allegedly because</w:t>
      </w:r>
      <w:r w:rsidR="00D23288" w:rsidRPr="00CA2751">
        <w:rPr>
          <w:sz w:val="28"/>
          <w:szCs w:val="28"/>
        </w:rPr>
        <w:t xml:space="preserve"> of the urgency </w:t>
      </w:r>
      <w:r w:rsidR="00E73A5A">
        <w:rPr>
          <w:sz w:val="28"/>
          <w:szCs w:val="28"/>
        </w:rPr>
        <w:t>with w</w:t>
      </w:r>
      <w:r w:rsidR="00B864C5" w:rsidRPr="00CA2751">
        <w:rPr>
          <w:sz w:val="28"/>
          <w:szCs w:val="28"/>
        </w:rPr>
        <w:t>hich the application had been brought</w:t>
      </w:r>
      <w:r w:rsidR="00D23288" w:rsidRPr="00CA2751">
        <w:rPr>
          <w:sz w:val="28"/>
          <w:szCs w:val="28"/>
        </w:rPr>
        <w:t>.</w:t>
      </w:r>
    </w:p>
    <w:p w14:paraId="0A9532D3" w14:textId="77777777" w:rsidR="00D23288" w:rsidRPr="00CA2751" w:rsidRDefault="00D23288" w:rsidP="00956882">
      <w:pPr>
        <w:pStyle w:val="ListParagraph"/>
        <w:ind w:left="0"/>
        <w:rPr>
          <w:sz w:val="28"/>
          <w:szCs w:val="28"/>
        </w:rPr>
      </w:pPr>
    </w:p>
    <w:p w14:paraId="18CB8007" w14:textId="4AD0754A" w:rsidR="0093079A" w:rsidRDefault="004E5F34" w:rsidP="004E5F34">
      <w:pPr>
        <w:tabs>
          <w:tab w:val="left" w:pos="0"/>
        </w:tabs>
        <w:rPr>
          <w:sz w:val="28"/>
          <w:szCs w:val="28"/>
        </w:rPr>
      </w:pPr>
      <w:r>
        <w:rPr>
          <w:sz w:val="28"/>
          <w:szCs w:val="28"/>
        </w:rPr>
        <w:t>[12]</w:t>
      </w:r>
      <w:r>
        <w:rPr>
          <w:sz w:val="28"/>
          <w:szCs w:val="28"/>
        </w:rPr>
        <w:tab/>
      </w:r>
      <w:r w:rsidR="00BF16FC" w:rsidRPr="00CA2751">
        <w:rPr>
          <w:sz w:val="28"/>
          <w:szCs w:val="28"/>
        </w:rPr>
        <w:t xml:space="preserve">Samancor’s </w:t>
      </w:r>
      <w:r w:rsidR="00656DF3" w:rsidRPr="00CA2751">
        <w:rPr>
          <w:sz w:val="28"/>
          <w:szCs w:val="28"/>
        </w:rPr>
        <w:t>second application</w:t>
      </w:r>
      <w:r w:rsidR="00D23288" w:rsidRPr="00CA2751">
        <w:rPr>
          <w:sz w:val="28"/>
          <w:szCs w:val="28"/>
        </w:rPr>
        <w:t xml:space="preserve"> </w:t>
      </w:r>
      <w:r w:rsidR="00B864C5" w:rsidRPr="00CA2751">
        <w:rPr>
          <w:sz w:val="28"/>
          <w:szCs w:val="28"/>
        </w:rPr>
        <w:t xml:space="preserve">was heard by </w:t>
      </w:r>
      <w:r w:rsidR="00D23288" w:rsidRPr="00CA2751">
        <w:rPr>
          <w:sz w:val="28"/>
          <w:szCs w:val="28"/>
        </w:rPr>
        <w:t>Van der Westhuizen J</w:t>
      </w:r>
      <w:r w:rsidR="00000A41" w:rsidRPr="00CA2751">
        <w:rPr>
          <w:sz w:val="28"/>
          <w:szCs w:val="28"/>
        </w:rPr>
        <w:t>,</w:t>
      </w:r>
      <w:r w:rsidR="00D23288" w:rsidRPr="00CA2751">
        <w:rPr>
          <w:sz w:val="28"/>
          <w:szCs w:val="28"/>
        </w:rPr>
        <w:t xml:space="preserve"> who</w:t>
      </w:r>
      <w:r w:rsidR="0093079A" w:rsidRPr="00CA2751">
        <w:rPr>
          <w:sz w:val="28"/>
          <w:szCs w:val="28"/>
        </w:rPr>
        <w:t xml:space="preserve"> dismissed it on 30 September 2019 </w:t>
      </w:r>
      <w:r w:rsidR="00D23288" w:rsidRPr="00CA2751">
        <w:rPr>
          <w:sz w:val="28"/>
          <w:szCs w:val="28"/>
        </w:rPr>
        <w:t>on the basis that Samancor could not obtain an order for contempt ‘summarily against the respondents [Bila’s directors] without them being granted a need to be heard</w:t>
      </w:r>
      <w:r w:rsidR="00D232F4" w:rsidRPr="00CA2751">
        <w:rPr>
          <w:sz w:val="28"/>
          <w:szCs w:val="28"/>
        </w:rPr>
        <w:t>.</w:t>
      </w:r>
      <w:r w:rsidR="00E73A5A">
        <w:rPr>
          <w:sz w:val="28"/>
          <w:szCs w:val="28"/>
        </w:rPr>
        <w:t>’</w:t>
      </w:r>
      <w:r w:rsidR="00D23288" w:rsidRPr="00CA2751">
        <w:rPr>
          <w:rStyle w:val="FootnoteReference"/>
          <w:sz w:val="28"/>
          <w:szCs w:val="28"/>
        </w:rPr>
        <w:footnoteReference w:id="4"/>
      </w:r>
      <w:r w:rsidR="00B864C5" w:rsidRPr="00CA2751">
        <w:rPr>
          <w:sz w:val="28"/>
          <w:szCs w:val="28"/>
        </w:rPr>
        <w:t xml:space="preserve"> This Court granted </w:t>
      </w:r>
      <w:r w:rsidR="00D23288" w:rsidRPr="00CA2751">
        <w:rPr>
          <w:sz w:val="28"/>
          <w:szCs w:val="28"/>
        </w:rPr>
        <w:lastRenderedPageBreak/>
        <w:t>Samancor leave to appeal Van der Westhuizen J’s order</w:t>
      </w:r>
      <w:r w:rsidR="00C7680F" w:rsidRPr="00CA2751">
        <w:rPr>
          <w:sz w:val="28"/>
          <w:szCs w:val="28"/>
        </w:rPr>
        <w:t xml:space="preserve"> after </w:t>
      </w:r>
      <w:r w:rsidR="00E73A5A">
        <w:rPr>
          <w:sz w:val="28"/>
          <w:szCs w:val="28"/>
        </w:rPr>
        <w:t xml:space="preserve">he </w:t>
      </w:r>
      <w:r w:rsidR="00C7680F" w:rsidRPr="00CA2751">
        <w:rPr>
          <w:sz w:val="28"/>
          <w:szCs w:val="28"/>
        </w:rPr>
        <w:t>had refused leave</w:t>
      </w:r>
      <w:r w:rsidR="00D23288" w:rsidRPr="00CA2751">
        <w:rPr>
          <w:sz w:val="28"/>
          <w:szCs w:val="28"/>
        </w:rPr>
        <w:t xml:space="preserve">. </w:t>
      </w:r>
    </w:p>
    <w:p w14:paraId="3BC99B4C" w14:textId="77777777" w:rsidR="00E73A5A" w:rsidRDefault="00E73A5A" w:rsidP="00E73A5A">
      <w:pPr>
        <w:pStyle w:val="ListParagraph"/>
        <w:rPr>
          <w:sz w:val="28"/>
          <w:szCs w:val="28"/>
        </w:rPr>
      </w:pPr>
    </w:p>
    <w:p w14:paraId="3029E21A" w14:textId="4E025700" w:rsidR="00D23288" w:rsidRPr="00CA2751" w:rsidRDefault="004E5F34" w:rsidP="004E5F34">
      <w:pPr>
        <w:tabs>
          <w:tab w:val="left" w:pos="0"/>
        </w:tabs>
        <w:rPr>
          <w:sz w:val="28"/>
          <w:szCs w:val="28"/>
        </w:rPr>
      </w:pPr>
      <w:r w:rsidRPr="00CA2751">
        <w:rPr>
          <w:sz w:val="28"/>
          <w:szCs w:val="28"/>
        </w:rPr>
        <w:t>[13]</w:t>
      </w:r>
      <w:r w:rsidRPr="00CA2751">
        <w:rPr>
          <w:sz w:val="28"/>
          <w:szCs w:val="28"/>
        </w:rPr>
        <w:tab/>
      </w:r>
      <w:r w:rsidR="0093079A" w:rsidRPr="00CA2751">
        <w:rPr>
          <w:sz w:val="28"/>
          <w:szCs w:val="28"/>
        </w:rPr>
        <w:t xml:space="preserve">On 7 October 2019, Bila </w:t>
      </w:r>
      <w:r w:rsidR="00000A41" w:rsidRPr="00CA2751">
        <w:rPr>
          <w:sz w:val="28"/>
          <w:szCs w:val="28"/>
        </w:rPr>
        <w:t>applied</w:t>
      </w:r>
      <w:r w:rsidR="0093079A" w:rsidRPr="00CA2751">
        <w:rPr>
          <w:sz w:val="28"/>
          <w:szCs w:val="28"/>
        </w:rPr>
        <w:t xml:space="preserve"> for leave to appeal</w:t>
      </w:r>
      <w:r w:rsidR="00ED64A2" w:rsidRPr="00CA2751">
        <w:rPr>
          <w:sz w:val="28"/>
          <w:szCs w:val="28"/>
        </w:rPr>
        <w:t xml:space="preserve"> Neukircher J’s order to this </w:t>
      </w:r>
      <w:r w:rsidR="003908A3" w:rsidRPr="00CA2751">
        <w:rPr>
          <w:sz w:val="28"/>
          <w:szCs w:val="28"/>
        </w:rPr>
        <w:t>Court, which</w:t>
      </w:r>
      <w:r w:rsidR="00ED64A2" w:rsidRPr="00CA2751">
        <w:rPr>
          <w:sz w:val="28"/>
          <w:szCs w:val="28"/>
        </w:rPr>
        <w:t xml:space="preserve"> was dismissed</w:t>
      </w:r>
      <w:r w:rsidR="00511CE8" w:rsidRPr="00CA2751">
        <w:rPr>
          <w:sz w:val="28"/>
          <w:szCs w:val="28"/>
        </w:rPr>
        <w:t xml:space="preserve"> on 30 November 2019.</w:t>
      </w:r>
      <w:r w:rsidR="00B4058E" w:rsidRPr="00CA2751">
        <w:rPr>
          <w:sz w:val="28"/>
          <w:szCs w:val="28"/>
        </w:rPr>
        <w:t xml:space="preserve"> </w:t>
      </w:r>
      <w:r w:rsidR="007C74D1" w:rsidRPr="00CA2751">
        <w:rPr>
          <w:sz w:val="28"/>
          <w:szCs w:val="28"/>
        </w:rPr>
        <w:t>Nearly eight months later</w:t>
      </w:r>
      <w:r w:rsidR="00E73A5A">
        <w:rPr>
          <w:sz w:val="28"/>
          <w:szCs w:val="28"/>
        </w:rPr>
        <w:t>, on 22 July 2020,</w:t>
      </w:r>
      <w:r w:rsidR="007C74D1" w:rsidRPr="00CA2751">
        <w:rPr>
          <w:sz w:val="28"/>
          <w:szCs w:val="28"/>
        </w:rPr>
        <w:t xml:space="preserve"> it applied for</w:t>
      </w:r>
      <w:r w:rsidR="00B4058E" w:rsidRPr="00CA2751">
        <w:rPr>
          <w:sz w:val="28"/>
          <w:szCs w:val="28"/>
        </w:rPr>
        <w:t xml:space="preserve"> leave to appeal to the Constitutional Court</w:t>
      </w:r>
      <w:r w:rsidR="00E73A5A">
        <w:rPr>
          <w:sz w:val="28"/>
          <w:szCs w:val="28"/>
        </w:rPr>
        <w:t>,</w:t>
      </w:r>
      <w:r w:rsidR="003908A3" w:rsidRPr="00CA2751">
        <w:rPr>
          <w:sz w:val="28"/>
          <w:szCs w:val="28"/>
        </w:rPr>
        <w:t xml:space="preserve"> which</w:t>
      </w:r>
      <w:r w:rsidR="00B4058E" w:rsidRPr="00CA2751">
        <w:rPr>
          <w:sz w:val="28"/>
          <w:szCs w:val="28"/>
        </w:rPr>
        <w:t xml:space="preserve"> </w:t>
      </w:r>
      <w:r w:rsidR="003908A3" w:rsidRPr="00CA2751">
        <w:rPr>
          <w:sz w:val="28"/>
          <w:szCs w:val="28"/>
        </w:rPr>
        <w:t xml:space="preserve">was </w:t>
      </w:r>
      <w:r w:rsidR="00B4058E" w:rsidRPr="00CA2751">
        <w:rPr>
          <w:sz w:val="28"/>
          <w:szCs w:val="28"/>
        </w:rPr>
        <w:t>dismissed on 13 November 2020.</w:t>
      </w:r>
      <w:r w:rsidR="00D23288" w:rsidRPr="00CA2751">
        <w:rPr>
          <w:sz w:val="28"/>
          <w:szCs w:val="28"/>
        </w:rPr>
        <w:t xml:space="preserve"> </w:t>
      </w:r>
    </w:p>
    <w:p w14:paraId="51D3BACA" w14:textId="77777777" w:rsidR="003908A3" w:rsidRPr="00CA2751" w:rsidRDefault="003908A3" w:rsidP="007D3DBE">
      <w:pPr>
        <w:pStyle w:val="ListParagraph"/>
        <w:ind w:left="0"/>
        <w:rPr>
          <w:sz w:val="28"/>
          <w:szCs w:val="28"/>
        </w:rPr>
      </w:pPr>
    </w:p>
    <w:p w14:paraId="42B1ABD4" w14:textId="1E917A02" w:rsidR="00256403" w:rsidRPr="00CA2751" w:rsidRDefault="004E5F34" w:rsidP="004E5F34">
      <w:pPr>
        <w:tabs>
          <w:tab w:val="left" w:pos="0"/>
        </w:tabs>
        <w:rPr>
          <w:sz w:val="28"/>
          <w:szCs w:val="28"/>
        </w:rPr>
      </w:pPr>
      <w:r w:rsidRPr="00CA2751">
        <w:rPr>
          <w:sz w:val="28"/>
          <w:szCs w:val="28"/>
        </w:rPr>
        <w:t>[14]</w:t>
      </w:r>
      <w:r w:rsidRPr="00CA2751">
        <w:rPr>
          <w:sz w:val="28"/>
          <w:szCs w:val="28"/>
        </w:rPr>
        <w:tab/>
      </w:r>
      <w:r w:rsidR="003908A3" w:rsidRPr="00CA2751">
        <w:rPr>
          <w:sz w:val="28"/>
          <w:szCs w:val="28"/>
        </w:rPr>
        <w:t xml:space="preserve">The dismissal of the application </w:t>
      </w:r>
      <w:r w:rsidR="00956882" w:rsidRPr="00CA2751">
        <w:rPr>
          <w:sz w:val="28"/>
          <w:szCs w:val="28"/>
        </w:rPr>
        <w:t xml:space="preserve">for leave </w:t>
      </w:r>
      <w:r w:rsidR="003908A3" w:rsidRPr="00CA2751">
        <w:rPr>
          <w:sz w:val="28"/>
          <w:szCs w:val="28"/>
        </w:rPr>
        <w:t>to appeal by this Court on 30 November 2019</w:t>
      </w:r>
      <w:r w:rsidR="00956882" w:rsidRPr="00CA2751">
        <w:rPr>
          <w:sz w:val="28"/>
          <w:szCs w:val="28"/>
        </w:rPr>
        <w:t>,</w:t>
      </w:r>
      <w:r w:rsidR="0096667D" w:rsidRPr="00CA2751">
        <w:rPr>
          <w:sz w:val="28"/>
          <w:szCs w:val="28"/>
        </w:rPr>
        <w:t xml:space="preserve"> </w:t>
      </w:r>
      <w:r w:rsidR="00956882" w:rsidRPr="00CA2751">
        <w:rPr>
          <w:sz w:val="28"/>
          <w:szCs w:val="28"/>
        </w:rPr>
        <w:t xml:space="preserve">made </w:t>
      </w:r>
      <w:r w:rsidR="0096667D" w:rsidRPr="00CA2751">
        <w:rPr>
          <w:sz w:val="28"/>
          <w:szCs w:val="28"/>
        </w:rPr>
        <w:t>Neukircher J’s order operative and enforceable until 22 July 2020</w:t>
      </w:r>
      <w:r w:rsidR="00000A41" w:rsidRPr="00CA2751">
        <w:rPr>
          <w:sz w:val="28"/>
          <w:szCs w:val="28"/>
        </w:rPr>
        <w:t>,</w:t>
      </w:r>
      <w:r w:rsidR="0096667D" w:rsidRPr="00CA2751">
        <w:rPr>
          <w:sz w:val="28"/>
          <w:szCs w:val="28"/>
        </w:rPr>
        <w:t xml:space="preserve"> when an application for leave to appeal was lodged </w:t>
      </w:r>
      <w:r w:rsidR="00E73A5A">
        <w:rPr>
          <w:sz w:val="28"/>
          <w:szCs w:val="28"/>
        </w:rPr>
        <w:t xml:space="preserve">with </w:t>
      </w:r>
      <w:r w:rsidR="0096667D" w:rsidRPr="00CA2751">
        <w:rPr>
          <w:sz w:val="28"/>
          <w:szCs w:val="28"/>
        </w:rPr>
        <w:t xml:space="preserve">the Constitutional </w:t>
      </w:r>
      <w:r w:rsidR="00256403" w:rsidRPr="00CA2751">
        <w:rPr>
          <w:sz w:val="28"/>
          <w:szCs w:val="28"/>
        </w:rPr>
        <w:t>C</w:t>
      </w:r>
      <w:r w:rsidR="0096667D" w:rsidRPr="00CA2751">
        <w:rPr>
          <w:sz w:val="28"/>
          <w:szCs w:val="28"/>
        </w:rPr>
        <w:t>ourt.</w:t>
      </w:r>
    </w:p>
    <w:p w14:paraId="3519B2B1" w14:textId="77777777" w:rsidR="00256403" w:rsidRPr="00CA2751" w:rsidRDefault="00256403" w:rsidP="007D3DBE">
      <w:pPr>
        <w:pStyle w:val="ListParagraph"/>
        <w:ind w:left="0"/>
        <w:rPr>
          <w:sz w:val="28"/>
          <w:szCs w:val="28"/>
        </w:rPr>
      </w:pPr>
    </w:p>
    <w:p w14:paraId="35E8FF80" w14:textId="02735BB2" w:rsidR="00D77B92" w:rsidRPr="00CA2751" w:rsidRDefault="004E5F34" w:rsidP="004E5F34">
      <w:pPr>
        <w:tabs>
          <w:tab w:val="left" w:pos="0"/>
        </w:tabs>
        <w:rPr>
          <w:sz w:val="28"/>
          <w:szCs w:val="28"/>
        </w:rPr>
      </w:pPr>
      <w:r w:rsidRPr="00CA2751">
        <w:rPr>
          <w:sz w:val="28"/>
          <w:szCs w:val="28"/>
        </w:rPr>
        <w:t>[15]</w:t>
      </w:r>
      <w:r w:rsidRPr="00CA2751">
        <w:rPr>
          <w:sz w:val="28"/>
          <w:szCs w:val="28"/>
        </w:rPr>
        <w:tab/>
      </w:r>
      <w:r w:rsidR="00D77B92" w:rsidRPr="00CA2751">
        <w:rPr>
          <w:sz w:val="28"/>
          <w:szCs w:val="28"/>
        </w:rPr>
        <w:t xml:space="preserve">On 13 July 2020, Samancor lodged another application, which is the subject of this appeal, for an order holding Bila in contempt of the orders granted by Neukircher J on 1 July 2019 and Janse </w:t>
      </w:r>
      <w:r w:rsidR="005A405D" w:rsidRPr="00CA2751">
        <w:rPr>
          <w:sz w:val="28"/>
          <w:szCs w:val="28"/>
        </w:rPr>
        <w:t xml:space="preserve">van </w:t>
      </w:r>
      <w:r w:rsidR="00D77B92" w:rsidRPr="00CA2751">
        <w:rPr>
          <w:sz w:val="28"/>
          <w:szCs w:val="28"/>
        </w:rPr>
        <w:t>Niewenhuizen J on 10 December 2019, as mentioned</w:t>
      </w:r>
      <w:r w:rsidR="00E73A5A" w:rsidRPr="00E73A5A">
        <w:rPr>
          <w:sz w:val="28"/>
          <w:szCs w:val="28"/>
        </w:rPr>
        <w:t xml:space="preserve"> </w:t>
      </w:r>
      <w:r w:rsidR="00E73A5A" w:rsidRPr="00CA2751">
        <w:rPr>
          <w:sz w:val="28"/>
          <w:szCs w:val="28"/>
        </w:rPr>
        <w:t>earlier</w:t>
      </w:r>
      <w:r w:rsidR="00D77B92" w:rsidRPr="00CA2751">
        <w:rPr>
          <w:sz w:val="28"/>
          <w:szCs w:val="28"/>
        </w:rPr>
        <w:t xml:space="preserve">. Fourie J heard that application. </w:t>
      </w:r>
      <w:r w:rsidR="00B864C5" w:rsidRPr="00CA2751">
        <w:rPr>
          <w:sz w:val="28"/>
          <w:szCs w:val="28"/>
        </w:rPr>
        <w:t xml:space="preserve">Counsel for </w:t>
      </w:r>
      <w:r w:rsidR="00256403" w:rsidRPr="00CA2751">
        <w:rPr>
          <w:sz w:val="28"/>
          <w:szCs w:val="28"/>
        </w:rPr>
        <w:t>Samancor</w:t>
      </w:r>
      <w:r w:rsidR="00D77B92" w:rsidRPr="00CA2751">
        <w:rPr>
          <w:sz w:val="28"/>
          <w:szCs w:val="28"/>
        </w:rPr>
        <w:t xml:space="preserve"> submitted </w:t>
      </w:r>
      <w:r w:rsidR="00256403" w:rsidRPr="00CA2751">
        <w:rPr>
          <w:sz w:val="28"/>
          <w:szCs w:val="28"/>
        </w:rPr>
        <w:t xml:space="preserve">that the difference between the </w:t>
      </w:r>
      <w:r w:rsidR="00D77B92" w:rsidRPr="00CA2751">
        <w:rPr>
          <w:sz w:val="28"/>
          <w:szCs w:val="28"/>
        </w:rPr>
        <w:t xml:space="preserve">application </w:t>
      </w:r>
      <w:r w:rsidR="00D232F4" w:rsidRPr="00CA2751">
        <w:rPr>
          <w:sz w:val="28"/>
          <w:szCs w:val="28"/>
        </w:rPr>
        <w:t>that</w:t>
      </w:r>
      <w:r w:rsidR="00D77B92" w:rsidRPr="00CA2751">
        <w:rPr>
          <w:sz w:val="28"/>
          <w:szCs w:val="28"/>
        </w:rPr>
        <w:t xml:space="preserve"> served before Van der Westhuizen J in respect of Neukircher J’s order</w:t>
      </w:r>
      <w:r w:rsidR="00256403" w:rsidRPr="00CA2751">
        <w:rPr>
          <w:sz w:val="28"/>
          <w:szCs w:val="28"/>
        </w:rPr>
        <w:t xml:space="preserve"> and the one heard by Fourie J</w:t>
      </w:r>
      <w:r w:rsidR="00D77B92" w:rsidRPr="00CA2751">
        <w:rPr>
          <w:sz w:val="28"/>
          <w:szCs w:val="28"/>
        </w:rPr>
        <w:t xml:space="preserve"> was</w:t>
      </w:r>
      <w:r w:rsidR="00256403" w:rsidRPr="00CA2751">
        <w:rPr>
          <w:sz w:val="28"/>
          <w:szCs w:val="28"/>
        </w:rPr>
        <w:t xml:space="preserve"> th</w:t>
      </w:r>
      <w:r w:rsidR="001A1E29" w:rsidRPr="00CA2751">
        <w:rPr>
          <w:sz w:val="28"/>
          <w:szCs w:val="28"/>
        </w:rPr>
        <w:t xml:space="preserve">e </w:t>
      </w:r>
      <w:r w:rsidR="00956882" w:rsidRPr="00CA2751">
        <w:rPr>
          <w:sz w:val="28"/>
          <w:szCs w:val="28"/>
        </w:rPr>
        <w:t xml:space="preserve">applicable </w:t>
      </w:r>
      <w:r w:rsidR="001A1E29" w:rsidRPr="00CA2751">
        <w:rPr>
          <w:sz w:val="28"/>
          <w:szCs w:val="28"/>
        </w:rPr>
        <w:t xml:space="preserve">contempt period. </w:t>
      </w:r>
    </w:p>
    <w:p w14:paraId="469EAB1D" w14:textId="77777777" w:rsidR="00D77B92" w:rsidRPr="00CA2751" w:rsidRDefault="00D77B92" w:rsidP="007D3DBE">
      <w:pPr>
        <w:pStyle w:val="ListParagraph"/>
        <w:ind w:left="0"/>
        <w:rPr>
          <w:sz w:val="28"/>
          <w:szCs w:val="28"/>
        </w:rPr>
      </w:pPr>
    </w:p>
    <w:p w14:paraId="50175AAA" w14:textId="256A84BF" w:rsidR="00256403" w:rsidRPr="00CA2751" w:rsidRDefault="004E5F34" w:rsidP="004E5F34">
      <w:pPr>
        <w:tabs>
          <w:tab w:val="left" w:pos="0"/>
        </w:tabs>
        <w:rPr>
          <w:sz w:val="28"/>
          <w:szCs w:val="28"/>
        </w:rPr>
      </w:pPr>
      <w:r w:rsidRPr="00CA2751">
        <w:rPr>
          <w:sz w:val="28"/>
          <w:szCs w:val="28"/>
        </w:rPr>
        <w:t>[16]</w:t>
      </w:r>
      <w:r w:rsidRPr="00CA2751">
        <w:rPr>
          <w:sz w:val="28"/>
          <w:szCs w:val="28"/>
        </w:rPr>
        <w:tab/>
      </w:r>
      <w:r w:rsidR="00D77B92" w:rsidRPr="00CA2751">
        <w:rPr>
          <w:sz w:val="28"/>
          <w:szCs w:val="28"/>
        </w:rPr>
        <w:t>He contended that t</w:t>
      </w:r>
      <w:r w:rsidR="00256403" w:rsidRPr="00CA2751">
        <w:rPr>
          <w:sz w:val="28"/>
          <w:szCs w:val="28"/>
        </w:rPr>
        <w:t>he application before Van der Westhuizen J dealt with the contempt period between 12 August 2019</w:t>
      </w:r>
      <w:r w:rsidR="00D77B92" w:rsidRPr="00CA2751">
        <w:rPr>
          <w:sz w:val="28"/>
          <w:szCs w:val="28"/>
        </w:rPr>
        <w:t>, w</w:t>
      </w:r>
      <w:r w:rsidR="00256403" w:rsidRPr="00CA2751">
        <w:rPr>
          <w:sz w:val="28"/>
          <w:szCs w:val="28"/>
        </w:rPr>
        <w:t>hich is when Neukircher J dismissed the application for leave to appeal</w:t>
      </w:r>
      <w:r w:rsidR="00D77B92" w:rsidRPr="00CA2751">
        <w:rPr>
          <w:sz w:val="28"/>
          <w:szCs w:val="28"/>
        </w:rPr>
        <w:t>,</w:t>
      </w:r>
      <w:r w:rsidR="00256403" w:rsidRPr="00CA2751">
        <w:rPr>
          <w:sz w:val="28"/>
          <w:szCs w:val="28"/>
        </w:rPr>
        <w:t xml:space="preserve"> </w:t>
      </w:r>
      <w:r w:rsidR="00B864C5" w:rsidRPr="00CA2751">
        <w:rPr>
          <w:sz w:val="28"/>
          <w:szCs w:val="28"/>
        </w:rPr>
        <w:t xml:space="preserve">and 8 September </w:t>
      </w:r>
      <w:r w:rsidR="00D77B92" w:rsidRPr="00CA2751">
        <w:rPr>
          <w:sz w:val="28"/>
          <w:szCs w:val="28"/>
        </w:rPr>
        <w:t xml:space="preserve">2019, </w:t>
      </w:r>
      <w:r w:rsidR="00256403" w:rsidRPr="00CA2751">
        <w:rPr>
          <w:sz w:val="28"/>
          <w:szCs w:val="28"/>
        </w:rPr>
        <w:t>when the application before Van der Westhuizen J was</w:t>
      </w:r>
      <w:r w:rsidR="00D77B92" w:rsidRPr="00CA2751">
        <w:rPr>
          <w:sz w:val="28"/>
          <w:szCs w:val="28"/>
        </w:rPr>
        <w:t xml:space="preserve"> brought</w:t>
      </w:r>
      <w:r w:rsidR="00256403" w:rsidRPr="00CA2751">
        <w:rPr>
          <w:sz w:val="28"/>
          <w:szCs w:val="28"/>
        </w:rPr>
        <w:t>.</w:t>
      </w:r>
      <w:r w:rsidR="001A1E29" w:rsidRPr="00CA2751">
        <w:rPr>
          <w:sz w:val="28"/>
          <w:szCs w:val="28"/>
        </w:rPr>
        <w:t xml:space="preserve"> </w:t>
      </w:r>
      <w:r w:rsidR="00E73A5A">
        <w:rPr>
          <w:sz w:val="28"/>
          <w:szCs w:val="28"/>
        </w:rPr>
        <w:t>In contrast, t</w:t>
      </w:r>
      <w:r w:rsidR="001A1E29" w:rsidRPr="00CA2751">
        <w:rPr>
          <w:sz w:val="28"/>
          <w:szCs w:val="28"/>
        </w:rPr>
        <w:t>he matter heard by Fourie J</w:t>
      </w:r>
      <w:r w:rsidR="00956882" w:rsidRPr="00CA2751">
        <w:rPr>
          <w:sz w:val="28"/>
          <w:szCs w:val="28"/>
        </w:rPr>
        <w:t>,</w:t>
      </w:r>
      <w:r w:rsidR="00D77B92" w:rsidRPr="00CA2751">
        <w:rPr>
          <w:sz w:val="28"/>
          <w:szCs w:val="28"/>
        </w:rPr>
        <w:t xml:space="preserve"> </w:t>
      </w:r>
      <w:r w:rsidR="001A1E29" w:rsidRPr="00CA2751">
        <w:rPr>
          <w:sz w:val="28"/>
          <w:szCs w:val="28"/>
        </w:rPr>
        <w:t xml:space="preserve">dealt with the period between the dismissal of the </w:t>
      </w:r>
      <w:r w:rsidR="001A1E29" w:rsidRPr="00CA2751">
        <w:rPr>
          <w:sz w:val="28"/>
          <w:szCs w:val="28"/>
        </w:rPr>
        <w:lastRenderedPageBreak/>
        <w:t xml:space="preserve">petition by this </w:t>
      </w:r>
      <w:r w:rsidR="00956882" w:rsidRPr="00CA2751">
        <w:rPr>
          <w:sz w:val="28"/>
          <w:szCs w:val="28"/>
        </w:rPr>
        <w:t>C</w:t>
      </w:r>
      <w:r w:rsidR="001A1E29" w:rsidRPr="00CA2751">
        <w:rPr>
          <w:sz w:val="28"/>
          <w:szCs w:val="28"/>
        </w:rPr>
        <w:t>ourt</w:t>
      </w:r>
      <w:r w:rsidR="00D77B92" w:rsidRPr="00CA2751">
        <w:rPr>
          <w:sz w:val="28"/>
          <w:szCs w:val="28"/>
        </w:rPr>
        <w:t xml:space="preserve"> on</w:t>
      </w:r>
      <w:r w:rsidR="001A1E29" w:rsidRPr="00CA2751">
        <w:rPr>
          <w:sz w:val="28"/>
          <w:szCs w:val="28"/>
        </w:rPr>
        <w:t xml:space="preserve"> 30 November 2019 and the lodgement of the application for leave to appeal to the Constitutional Court</w:t>
      </w:r>
      <w:r w:rsidR="00D77B92" w:rsidRPr="00CA2751">
        <w:rPr>
          <w:sz w:val="28"/>
          <w:szCs w:val="28"/>
        </w:rPr>
        <w:t xml:space="preserve"> on</w:t>
      </w:r>
      <w:r w:rsidR="001A1E29" w:rsidRPr="00CA2751">
        <w:rPr>
          <w:sz w:val="28"/>
          <w:szCs w:val="28"/>
        </w:rPr>
        <w:t xml:space="preserve"> 22 July 2020. </w:t>
      </w:r>
    </w:p>
    <w:p w14:paraId="2AFE1183" w14:textId="77777777" w:rsidR="001A1E29" w:rsidRPr="00CA2751" w:rsidRDefault="001A1E29" w:rsidP="007D3DBE">
      <w:pPr>
        <w:pStyle w:val="ListParagraph"/>
        <w:ind w:left="0"/>
        <w:rPr>
          <w:sz w:val="28"/>
          <w:szCs w:val="28"/>
        </w:rPr>
      </w:pPr>
    </w:p>
    <w:p w14:paraId="494BAB9E" w14:textId="0A9C3359" w:rsidR="00004D37" w:rsidRDefault="004E5F34" w:rsidP="004E5F34">
      <w:pPr>
        <w:tabs>
          <w:tab w:val="left" w:pos="0"/>
        </w:tabs>
        <w:rPr>
          <w:sz w:val="28"/>
          <w:szCs w:val="28"/>
        </w:rPr>
      </w:pPr>
      <w:r>
        <w:rPr>
          <w:sz w:val="28"/>
          <w:szCs w:val="28"/>
        </w:rPr>
        <w:t>[17]</w:t>
      </w:r>
      <w:r>
        <w:rPr>
          <w:sz w:val="28"/>
          <w:szCs w:val="28"/>
        </w:rPr>
        <w:tab/>
      </w:r>
      <w:r w:rsidR="00870997" w:rsidRPr="00E73A5A">
        <w:rPr>
          <w:sz w:val="28"/>
          <w:szCs w:val="28"/>
        </w:rPr>
        <w:t xml:space="preserve">As regards </w:t>
      </w:r>
      <w:r w:rsidR="00E73A5A" w:rsidRPr="00E73A5A">
        <w:rPr>
          <w:sz w:val="28"/>
          <w:szCs w:val="28"/>
        </w:rPr>
        <w:t xml:space="preserve">the </w:t>
      </w:r>
      <w:r w:rsidR="00956882" w:rsidRPr="00E73A5A">
        <w:rPr>
          <w:sz w:val="28"/>
          <w:szCs w:val="28"/>
        </w:rPr>
        <w:t xml:space="preserve">facts relating to </w:t>
      </w:r>
      <w:r w:rsidR="00870997" w:rsidRPr="00E73A5A">
        <w:rPr>
          <w:sz w:val="28"/>
          <w:szCs w:val="28"/>
        </w:rPr>
        <w:t>Janse van Niewenhuizen J’s order, Samancor allege</w:t>
      </w:r>
      <w:r w:rsidR="00956882" w:rsidRPr="00E73A5A">
        <w:rPr>
          <w:sz w:val="28"/>
          <w:szCs w:val="28"/>
        </w:rPr>
        <w:t>d</w:t>
      </w:r>
      <w:r w:rsidR="00870997" w:rsidRPr="00E73A5A">
        <w:rPr>
          <w:sz w:val="28"/>
          <w:szCs w:val="28"/>
        </w:rPr>
        <w:t xml:space="preserve"> that o</w:t>
      </w:r>
      <w:r w:rsidR="00E07050" w:rsidRPr="00E73A5A">
        <w:rPr>
          <w:sz w:val="28"/>
          <w:szCs w:val="28"/>
        </w:rPr>
        <w:t xml:space="preserve">n 3 October 2019, </w:t>
      </w:r>
      <w:r w:rsidR="004A3920" w:rsidRPr="00E73A5A">
        <w:rPr>
          <w:sz w:val="28"/>
          <w:szCs w:val="28"/>
        </w:rPr>
        <w:t xml:space="preserve">it had </w:t>
      </w:r>
      <w:r w:rsidR="008C1D88" w:rsidRPr="00E73A5A">
        <w:rPr>
          <w:sz w:val="28"/>
          <w:szCs w:val="28"/>
        </w:rPr>
        <w:t>lodged an internal appeal with the Department of Environment, Forestry and Fisheries</w:t>
      </w:r>
      <w:r w:rsidR="004429F9">
        <w:rPr>
          <w:sz w:val="28"/>
          <w:szCs w:val="28"/>
        </w:rPr>
        <w:t xml:space="preserve"> (</w:t>
      </w:r>
      <w:r w:rsidR="001700B9">
        <w:rPr>
          <w:sz w:val="28"/>
          <w:szCs w:val="28"/>
        </w:rPr>
        <w:t>the Department</w:t>
      </w:r>
      <w:r w:rsidR="004429F9">
        <w:rPr>
          <w:sz w:val="28"/>
          <w:szCs w:val="28"/>
        </w:rPr>
        <w:t>)</w:t>
      </w:r>
      <w:r w:rsidR="004429F9">
        <w:rPr>
          <w:rStyle w:val="FootnoteReference"/>
          <w:sz w:val="28"/>
          <w:szCs w:val="28"/>
        </w:rPr>
        <w:footnoteReference w:id="5"/>
      </w:r>
      <w:r w:rsidR="008C1D88" w:rsidRPr="00E73A5A">
        <w:rPr>
          <w:sz w:val="28"/>
          <w:szCs w:val="28"/>
        </w:rPr>
        <w:t xml:space="preserve"> in terms </w:t>
      </w:r>
      <w:r w:rsidR="00004D37" w:rsidRPr="00E73A5A">
        <w:rPr>
          <w:sz w:val="28"/>
          <w:szCs w:val="28"/>
        </w:rPr>
        <w:t>of</w:t>
      </w:r>
      <w:r w:rsidR="008C1D88" w:rsidRPr="00E73A5A">
        <w:rPr>
          <w:sz w:val="28"/>
          <w:szCs w:val="28"/>
        </w:rPr>
        <w:t xml:space="preserve"> the National Environmental Management Act 107 of 1998 (NEMA) against the decision to grant Bila an environmental authorisation</w:t>
      </w:r>
      <w:r w:rsidR="00897322" w:rsidRPr="00E73A5A">
        <w:rPr>
          <w:sz w:val="28"/>
          <w:szCs w:val="28"/>
        </w:rPr>
        <w:t>,</w:t>
      </w:r>
      <w:r w:rsidR="008C1D88" w:rsidRPr="00E73A5A">
        <w:rPr>
          <w:sz w:val="28"/>
          <w:szCs w:val="28"/>
        </w:rPr>
        <w:t xml:space="preserve"> in respect of a prospecting right that had been granted to it over RE Portion 2</w:t>
      </w:r>
      <w:r w:rsidR="00E73A5A">
        <w:rPr>
          <w:sz w:val="28"/>
          <w:szCs w:val="28"/>
        </w:rPr>
        <w:t>.</w:t>
      </w:r>
    </w:p>
    <w:p w14:paraId="1B872E8E" w14:textId="77777777" w:rsidR="00E73A5A" w:rsidRDefault="00E73A5A" w:rsidP="00E73A5A">
      <w:pPr>
        <w:pStyle w:val="ListParagraph"/>
        <w:rPr>
          <w:sz w:val="28"/>
          <w:szCs w:val="28"/>
        </w:rPr>
      </w:pPr>
    </w:p>
    <w:p w14:paraId="7703AFD3" w14:textId="5D5114EA" w:rsidR="00E07050" w:rsidRPr="00CA2751" w:rsidRDefault="004E5F34" w:rsidP="004E5F34">
      <w:pPr>
        <w:tabs>
          <w:tab w:val="left" w:pos="0"/>
        </w:tabs>
        <w:rPr>
          <w:sz w:val="28"/>
          <w:szCs w:val="28"/>
        </w:rPr>
      </w:pPr>
      <w:r w:rsidRPr="00CA2751">
        <w:rPr>
          <w:sz w:val="28"/>
          <w:szCs w:val="28"/>
        </w:rPr>
        <w:t>[18]</w:t>
      </w:r>
      <w:r w:rsidRPr="00CA2751">
        <w:rPr>
          <w:sz w:val="28"/>
          <w:szCs w:val="28"/>
        </w:rPr>
        <w:tab/>
      </w:r>
      <w:r w:rsidR="004A3920" w:rsidRPr="00CA2751">
        <w:rPr>
          <w:sz w:val="28"/>
          <w:szCs w:val="28"/>
        </w:rPr>
        <w:t xml:space="preserve">In terms of s 43(7) </w:t>
      </w:r>
      <w:r w:rsidR="00897322" w:rsidRPr="00CA2751">
        <w:rPr>
          <w:sz w:val="28"/>
          <w:szCs w:val="28"/>
        </w:rPr>
        <w:t>of NEMA</w:t>
      </w:r>
      <w:r w:rsidR="00000A41" w:rsidRPr="00CA2751">
        <w:rPr>
          <w:sz w:val="28"/>
          <w:szCs w:val="28"/>
        </w:rPr>
        <w:t>,</w:t>
      </w:r>
      <w:r w:rsidR="00897322" w:rsidRPr="00CA2751">
        <w:rPr>
          <w:sz w:val="28"/>
          <w:szCs w:val="28"/>
        </w:rPr>
        <w:t xml:space="preserve"> </w:t>
      </w:r>
      <w:r w:rsidR="004A3920" w:rsidRPr="00CA2751">
        <w:rPr>
          <w:sz w:val="28"/>
          <w:szCs w:val="28"/>
        </w:rPr>
        <w:t>a</w:t>
      </w:r>
      <w:r w:rsidR="00D87306" w:rsidRPr="00CA2751">
        <w:rPr>
          <w:sz w:val="28"/>
          <w:szCs w:val="28"/>
        </w:rPr>
        <w:t>n appeal suspends an environmental authorisation, exemption, directive, or any other decision made in terms of that Act or any other specific environmental management Act or any provision or condition attached thereto.</w:t>
      </w:r>
      <w:r w:rsidR="00897322" w:rsidRPr="00CA2751">
        <w:rPr>
          <w:sz w:val="28"/>
          <w:szCs w:val="28"/>
        </w:rPr>
        <w:t xml:space="preserve"> Samancor’s internal appeal</w:t>
      </w:r>
      <w:r w:rsidR="00D87306" w:rsidRPr="00CA2751">
        <w:rPr>
          <w:sz w:val="28"/>
          <w:szCs w:val="28"/>
        </w:rPr>
        <w:t xml:space="preserve"> </w:t>
      </w:r>
      <w:r w:rsidR="00897322" w:rsidRPr="00CA2751">
        <w:rPr>
          <w:sz w:val="28"/>
          <w:szCs w:val="28"/>
        </w:rPr>
        <w:t xml:space="preserve">accordingly </w:t>
      </w:r>
      <w:r w:rsidR="00D87306" w:rsidRPr="00CA2751">
        <w:rPr>
          <w:sz w:val="28"/>
          <w:szCs w:val="28"/>
        </w:rPr>
        <w:t>suspend</w:t>
      </w:r>
      <w:r w:rsidR="00897322" w:rsidRPr="00CA2751">
        <w:rPr>
          <w:sz w:val="28"/>
          <w:szCs w:val="28"/>
        </w:rPr>
        <w:t>ed</w:t>
      </w:r>
      <w:r w:rsidR="00D87306" w:rsidRPr="00CA2751">
        <w:rPr>
          <w:sz w:val="28"/>
          <w:szCs w:val="28"/>
        </w:rPr>
        <w:t xml:space="preserve"> any activities by Bila on RE Portion 2.</w:t>
      </w:r>
    </w:p>
    <w:p w14:paraId="637D3347" w14:textId="77777777" w:rsidR="00D87306" w:rsidRPr="00CA2751" w:rsidRDefault="00D87306" w:rsidP="004E2FA2">
      <w:pPr>
        <w:tabs>
          <w:tab w:val="left" w:pos="0"/>
        </w:tabs>
        <w:rPr>
          <w:sz w:val="28"/>
          <w:szCs w:val="28"/>
        </w:rPr>
      </w:pPr>
    </w:p>
    <w:p w14:paraId="55250DEC" w14:textId="7A850D03" w:rsidR="00897322" w:rsidRPr="00CA2751" w:rsidRDefault="004E5F34" w:rsidP="004E5F34">
      <w:pPr>
        <w:tabs>
          <w:tab w:val="left" w:pos="0"/>
        </w:tabs>
        <w:rPr>
          <w:sz w:val="28"/>
          <w:szCs w:val="28"/>
        </w:rPr>
      </w:pPr>
      <w:r w:rsidRPr="00CA2751">
        <w:rPr>
          <w:sz w:val="28"/>
          <w:szCs w:val="28"/>
        </w:rPr>
        <w:t>[19]</w:t>
      </w:r>
      <w:r w:rsidRPr="00CA2751">
        <w:rPr>
          <w:sz w:val="28"/>
          <w:szCs w:val="28"/>
        </w:rPr>
        <w:tab/>
      </w:r>
      <w:r w:rsidR="00D67697" w:rsidRPr="00CA2751">
        <w:rPr>
          <w:sz w:val="28"/>
          <w:szCs w:val="28"/>
        </w:rPr>
        <w:t>According to Samancor</w:t>
      </w:r>
      <w:r w:rsidR="00222914" w:rsidRPr="00CA2751">
        <w:rPr>
          <w:sz w:val="28"/>
          <w:szCs w:val="28"/>
        </w:rPr>
        <w:t xml:space="preserve">, Bila continued to conduct mining and prospecting activities on RE Portion 2 despite the lodgement of the internal appeal. </w:t>
      </w:r>
      <w:r w:rsidR="004A3920" w:rsidRPr="00CA2751">
        <w:rPr>
          <w:sz w:val="28"/>
          <w:szCs w:val="28"/>
        </w:rPr>
        <w:t>Because</w:t>
      </w:r>
      <w:r w:rsidR="00222914" w:rsidRPr="00CA2751">
        <w:rPr>
          <w:sz w:val="28"/>
          <w:szCs w:val="28"/>
        </w:rPr>
        <w:t xml:space="preserve"> of this conduct, Samancor lodged an urgent application </w:t>
      </w:r>
      <w:r w:rsidR="00E73A5A">
        <w:rPr>
          <w:sz w:val="28"/>
          <w:szCs w:val="28"/>
        </w:rPr>
        <w:t xml:space="preserve">in </w:t>
      </w:r>
      <w:r w:rsidR="00222914" w:rsidRPr="00CA2751">
        <w:rPr>
          <w:sz w:val="28"/>
          <w:szCs w:val="28"/>
        </w:rPr>
        <w:t>the high court seeking an order interdicting Bila from conducting any activities on RE Portion 2 until the internal appeal had been determined.</w:t>
      </w:r>
      <w:r w:rsidR="00897322" w:rsidRPr="00CA2751">
        <w:rPr>
          <w:sz w:val="28"/>
          <w:szCs w:val="28"/>
        </w:rPr>
        <w:t xml:space="preserve"> On 10 December 2019, Janse van Niewenhuizen J granted an order interdicting Bila from being involved in any manner whatsoever, in any activities</w:t>
      </w:r>
      <w:r w:rsidR="00000A41" w:rsidRPr="00CA2751">
        <w:rPr>
          <w:sz w:val="28"/>
          <w:szCs w:val="28"/>
        </w:rPr>
        <w:t>,</w:t>
      </w:r>
      <w:r w:rsidR="00897322" w:rsidRPr="00CA2751">
        <w:rPr>
          <w:sz w:val="28"/>
          <w:szCs w:val="28"/>
        </w:rPr>
        <w:t xml:space="preserve"> including prospecting operations on RE Portion 2, pending the outcome of the appeal.</w:t>
      </w:r>
    </w:p>
    <w:p w14:paraId="0993FC7E" w14:textId="77777777" w:rsidR="00D87306" w:rsidRPr="00CA2751" w:rsidRDefault="00D87306" w:rsidP="004E2FA2">
      <w:pPr>
        <w:tabs>
          <w:tab w:val="left" w:pos="0"/>
        </w:tabs>
        <w:rPr>
          <w:sz w:val="28"/>
          <w:szCs w:val="28"/>
        </w:rPr>
      </w:pPr>
    </w:p>
    <w:p w14:paraId="0D4A1484" w14:textId="5181C590" w:rsidR="00E07050" w:rsidRPr="00CA2751" w:rsidRDefault="004E5F34" w:rsidP="004E5F34">
      <w:pPr>
        <w:tabs>
          <w:tab w:val="left" w:pos="0"/>
        </w:tabs>
        <w:rPr>
          <w:sz w:val="28"/>
          <w:szCs w:val="28"/>
        </w:rPr>
      </w:pPr>
      <w:r w:rsidRPr="00CA2751">
        <w:rPr>
          <w:sz w:val="28"/>
          <w:szCs w:val="28"/>
        </w:rPr>
        <w:t>[20]</w:t>
      </w:r>
      <w:r w:rsidRPr="00CA2751">
        <w:rPr>
          <w:sz w:val="28"/>
          <w:szCs w:val="28"/>
        </w:rPr>
        <w:tab/>
      </w:r>
      <w:r w:rsidR="00BE2813" w:rsidRPr="00CA2751">
        <w:rPr>
          <w:sz w:val="28"/>
          <w:szCs w:val="28"/>
        </w:rPr>
        <w:t>On 13 December 2019, Bila applied for leave to appeal against Janse van Niewenhuizen J’s order.</w:t>
      </w:r>
      <w:r w:rsidR="00C174D9" w:rsidRPr="00CA2751">
        <w:rPr>
          <w:sz w:val="28"/>
          <w:szCs w:val="28"/>
        </w:rPr>
        <w:t xml:space="preserve"> </w:t>
      </w:r>
      <w:r w:rsidR="004A3920" w:rsidRPr="00CA2751">
        <w:rPr>
          <w:sz w:val="28"/>
          <w:szCs w:val="28"/>
        </w:rPr>
        <w:t xml:space="preserve">This prompted Samancor’s attorneys to write a letter to Bila’s attorneys </w:t>
      </w:r>
      <w:r w:rsidR="00940C0A" w:rsidRPr="00CA2751">
        <w:rPr>
          <w:sz w:val="28"/>
          <w:szCs w:val="28"/>
        </w:rPr>
        <w:t xml:space="preserve">on 19 December 2019 </w:t>
      </w:r>
      <w:r w:rsidR="004A3920" w:rsidRPr="00CA2751">
        <w:rPr>
          <w:sz w:val="28"/>
          <w:szCs w:val="28"/>
        </w:rPr>
        <w:t xml:space="preserve">advising them that </w:t>
      </w:r>
      <w:r w:rsidR="00FA0DE3" w:rsidRPr="00CA2751">
        <w:rPr>
          <w:sz w:val="28"/>
          <w:szCs w:val="28"/>
        </w:rPr>
        <w:t xml:space="preserve">Janse van </w:t>
      </w:r>
      <w:r w:rsidR="00922D0B">
        <w:rPr>
          <w:sz w:val="28"/>
          <w:szCs w:val="28"/>
        </w:rPr>
        <w:t>Niewenhuizen</w:t>
      </w:r>
      <w:r w:rsidR="00FA0DE3" w:rsidRPr="00CA2751">
        <w:rPr>
          <w:sz w:val="28"/>
          <w:szCs w:val="28"/>
        </w:rPr>
        <w:t xml:space="preserve"> J’s </w:t>
      </w:r>
      <w:r w:rsidR="004A3920" w:rsidRPr="00CA2751">
        <w:rPr>
          <w:sz w:val="28"/>
          <w:szCs w:val="28"/>
        </w:rPr>
        <w:t xml:space="preserve">order was interlocutory and </w:t>
      </w:r>
      <w:r w:rsidR="00E73A5A">
        <w:rPr>
          <w:sz w:val="28"/>
          <w:szCs w:val="28"/>
        </w:rPr>
        <w:t xml:space="preserve">consequently </w:t>
      </w:r>
      <w:r w:rsidR="004A3920" w:rsidRPr="00CA2751">
        <w:rPr>
          <w:sz w:val="28"/>
          <w:szCs w:val="28"/>
        </w:rPr>
        <w:t>did not have the effect of a final judgment</w:t>
      </w:r>
      <w:r w:rsidR="00C174D9" w:rsidRPr="00CA2751">
        <w:rPr>
          <w:sz w:val="28"/>
          <w:szCs w:val="28"/>
        </w:rPr>
        <w:t>.</w:t>
      </w:r>
      <w:r w:rsidR="00667F44" w:rsidRPr="00CA2751">
        <w:rPr>
          <w:sz w:val="28"/>
          <w:szCs w:val="28"/>
        </w:rPr>
        <w:t xml:space="preserve"> </w:t>
      </w:r>
      <w:r w:rsidR="009E6838" w:rsidRPr="00CA2751">
        <w:rPr>
          <w:sz w:val="28"/>
          <w:szCs w:val="28"/>
        </w:rPr>
        <w:t xml:space="preserve">Unfazed, </w:t>
      </w:r>
      <w:r w:rsidR="00667F44" w:rsidRPr="00CA2751">
        <w:rPr>
          <w:sz w:val="28"/>
          <w:szCs w:val="28"/>
        </w:rPr>
        <w:t xml:space="preserve">Bila </w:t>
      </w:r>
      <w:r w:rsidR="008E10BC" w:rsidRPr="00CA2751">
        <w:rPr>
          <w:sz w:val="28"/>
          <w:szCs w:val="28"/>
        </w:rPr>
        <w:t xml:space="preserve">did not withdraw </w:t>
      </w:r>
      <w:r w:rsidR="00B76AC2" w:rsidRPr="00CA2751">
        <w:rPr>
          <w:sz w:val="28"/>
          <w:szCs w:val="28"/>
        </w:rPr>
        <w:t>its application</w:t>
      </w:r>
      <w:r w:rsidR="00667F44" w:rsidRPr="00CA2751">
        <w:rPr>
          <w:sz w:val="28"/>
          <w:szCs w:val="28"/>
        </w:rPr>
        <w:t xml:space="preserve"> for leave to appeal</w:t>
      </w:r>
      <w:r w:rsidR="00D53EDC" w:rsidRPr="00CA2751">
        <w:rPr>
          <w:sz w:val="28"/>
          <w:szCs w:val="28"/>
        </w:rPr>
        <w:t xml:space="preserve"> Janse van </w:t>
      </w:r>
      <w:r w:rsidR="00922D0B">
        <w:rPr>
          <w:sz w:val="28"/>
          <w:szCs w:val="28"/>
        </w:rPr>
        <w:t>Niewenhuizen</w:t>
      </w:r>
      <w:r w:rsidR="00D53EDC" w:rsidRPr="00CA2751">
        <w:rPr>
          <w:sz w:val="28"/>
          <w:szCs w:val="28"/>
        </w:rPr>
        <w:t xml:space="preserve"> J’s</w:t>
      </w:r>
      <w:r w:rsidR="00667F44" w:rsidRPr="00CA2751">
        <w:rPr>
          <w:sz w:val="28"/>
          <w:szCs w:val="28"/>
        </w:rPr>
        <w:t xml:space="preserve"> order</w:t>
      </w:r>
      <w:r w:rsidR="00D53EDC" w:rsidRPr="00CA2751">
        <w:rPr>
          <w:sz w:val="28"/>
          <w:szCs w:val="28"/>
        </w:rPr>
        <w:t xml:space="preserve">. </w:t>
      </w:r>
      <w:r w:rsidR="00FA0DE3" w:rsidRPr="00CA2751">
        <w:rPr>
          <w:sz w:val="28"/>
          <w:szCs w:val="28"/>
        </w:rPr>
        <w:t>It</w:t>
      </w:r>
      <w:r w:rsidR="00000A41" w:rsidRPr="00CA2751">
        <w:rPr>
          <w:sz w:val="28"/>
          <w:szCs w:val="28"/>
        </w:rPr>
        <w:t>,</w:t>
      </w:r>
      <w:r w:rsidR="00FA0DE3" w:rsidRPr="00CA2751">
        <w:rPr>
          <w:sz w:val="28"/>
          <w:szCs w:val="28"/>
        </w:rPr>
        <w:t xml:space="preserve"> </w:t>
      </w:r>
      <w:r w:rsidR="00F03165" w:rsidRPr="00CA2751">
        <w:rPr>
          <w:sz w:val="28"/>
          <w:szCs w:val="28"/>
        </w:rPr>
        <w:t>however,</w:t>
      </w:r>
      <w:r w:rsidR="00FA0DE3" w:rsidRPr="00CA2751">
        <w:rPr>
          <w:sz w:val="28"/>
          <w:szCs w:val="28"/>
        </w:rPr>
        <w:t xml:space="preserve"> n</w:t>
      </w:r>
      <w:r w:rsidR="00D53EDC" w:rsidRPr="00CA2751">
        <w:rPr>
          <w:sz w:val="28"/>
          <w:szCs w:val="28"/>
        </w:rPr>
        <w:t xml:space="preserve">ever </w:t>
      </w:r>
      <w:r w:rsidR="00B76AC2" w:rsidRPr="00CA2751">
        <w:rPr>
          <w:sz w:val="28"/>
          <w:szCs w:val="28"/>
        </w:rPr>
        <w:t>prosecuted that</w:t>
      </w:r>
      <w:r w:rsidR="00FA0DE3" w:rsidRPr="00CA2751">
        <w:rPr>
          <w:sz w:val="28"/>
          <w:szCs w:val="28"/>
        </w:rPr>
        <w:t xml:space="preserve"> application</w:t>
      </w:r>
      <w:r w:rsidR="00D53EDC" w:rsidRPr="00CA2751">
        <w:rPr>
          <w:sz w:val="28"/>
          <w:szCs w:val="28"/>
        </w:rPr>
        <w:t xml:space="preserve">. </w:t>
      </w:r>
    </w:p>
    <w:p w14:paraId="6E01BBE8" w14:textId="77777777" w:rsidR="00FA0DE3" w:rsidRPr="00CA2751" w:rsidRDefault="00FA0DE3" w:rsidP="007D3DBE">
      <w:pPr>
        <w:pStyle w:val="ListParagraph"/>
        <w:ind w:left="0"/>
        <w:rPr>
          <w:sz w:val="28"/>
          <w:szCs w:val="28"/>
        </w:rPr>
      </w:pPr>
    </w:p>
    <w:p w14:paraId="539296B6" w14:textId="1827FF81" w:rsidR="00D53EDC" w:rsidRPr="00CA2751" w:rsidRDefault="004E5F34" w:rsidP="004E5F34">
      <w:pPr>
        <w:tabs>
          <w:tab w:val="left" w:pos="0"/>
        </w:tabs>
        <w:rPr>
          <w:sz w:val="28"/>
          <w:szCs w:val="28"/>
        </w:rPr>
      </w:pPr>
      <w:r w:rsidRPr="00CA2751">
        <w:rPr>
          <w:sz w:val="28"/>
          <w:szCs w:val="28"/>
        </w:rPr>
        <w:t>[21]</w:t>
      </w:r>
      <w:r w:rsidRPr="00CA2751">
        <w:rPr>
          <w:sz w:val="28"/>
          <w:szCs w:val="28"/>
        </w:rPr>
        <w:tab/>
      </w:r>
      <w:r w:rsidR="00FA0DE3" w:rsidRPr="00CA2751">
        <w:rPr>
          <w:sz w:val="28"/>
          <w:szCs w:val="28"/>
        </w:rPr>
        <w:t xml:space="preserve">In advancing a case of non-compliance with </w:t>
      </w:r>
      <w:r w:rsidR="00AD6376" w:rsidRPr="00CA2751">
        <w:rPr>
          <w:sz w:val="28"/>
          <w:szCs w:val="28"/>
        </w:rPr>
        <w:t xml:space="preserve">the </w:t>
      </w:r>
      <w:r w:rsidR="00FA0DE3" w:rsidRPr="00CA2751">
        <w:rPr>
          <w:sz w:val="28"/>
          <w:szCs w:val="28"/>
        </w:rPr>
        <w:t xml:space="preserve">Neukircher J and Janse </w:t>
      </w:r>
      <w:r w:rsidR="001C0ED2" w:rsidRPr="00CA2751">
        <w:rPr>
          <w:sz w:val="28"/>
          <w:szCs w:val="28"/>
        </w:rPr>
        <w:t xml:space="preserve">van </w:t>
      </w:r>
      <w:r w:rsidR="00FA0DE3" w:rsidRPr="00CA2751">
        <w:rPr>
          <w:sz w:val="28"/>
          <w:szCs w:val="28"/>
        </w:rPr>
        <w:t xml:space="preserve">Niewenhuizen J’s orders, </w:t>
      </w:r>
      <w:r w:rsidR="00D53EDC" w:rsidRPr="00CA2751">
        <w:rPr>
          <w:sz w:val="28"/>
          <w:szCs w:val="28"/>
        </w:rPr>
        <w:t xml:space="preserve">Samancor alleged that </w:t>
      </w:r>
      <w:r w:rsidR="001207CA" w:rsidRPr="00CA2751">
        <w:rPr>
          <w:sz w:val="28"/>
          <w:szCs w:val="28"/>
        </w:rPr>
        <w:t xml:space="preserve">on 10 June 2020, </w:t>
      </w:r>
      <w:r w:rsidR="00D53EDC" w:rsidRPr="00CA2751">
        <w:rPr>
          <w:sz w:val="28"/>
          <w:szCs w:val="28"/>
        </w:rPr>
        <w:t xml:space="preserve">one </w:t>
      </w:r>
      <w:r w:rsidR="00FA0DE3" w:rsidRPr="00CA2751">
        <w:rPr>
          <w:sz w:val="28"/>
          <w:szCs w:val="28"/>
        </w:rPr>
        <w:t>Mr Riaan</w:t>
      </w:r>
      <w:r w:rsidR="001207CA" w:rsidRPr="00CA2751">
        <w:rPr>
          <w:sz w:val="28"/>
          <w:szCs w:val="28"/>
        </w:rPr>
        <w:t xml:space="preserve"> Greef</w:t>
      </w:r>
      <w:r w:rsidR="00B76AC2" w:rsidRPr="00CA2751">
        <w:rPr>
          <w:sz w:val="28"/>
          <w:szCs w:val="28"/>
        </w:rPr>
        <w:t>f</w:t>
      </w:r>
      <w:r w:rsidR="001207CA" w:rsidRPr="00CA2751">
        <w:rPr>
          <w:sz w:val="28"/>
          <w:szCs w:val="28"/>
        </w:rPr>
        <w:t xml:space="preserve">, of a security company </w:t>
      </w:r>
      <w:r w:rsidR="00FA0DE3" w:rsidRPr="00CA2751">
        <w:rPr>
          <w:sz w:val="28"/>
          <w:szCs w:val="28"/>
        </w:rPr>
        <w:t>it employed</w:t>
      </w:r>
      <w:r w:rsidR="00F03165" w:rsidRPr="00CA2751">
        <w:rPr>
          <w:sz w:val="28"/>
          <w:szCs w:val="28"/>
        </w:rPr>
        <w:t xml:space="preserve">, </w:t>
      </w:r>
      <w:r w:rsidR="001207CA" w:rsidRPr="00CA2751">
        <w:rPr>
          <w:sz w:val="28"/>
          <w:szCs w:val="28"/>
        </w:rPr>
        <w:t>reported that he</w:t>
      </w:r>
      <w:r w:rsidR="00D53EDC" w:rsidRPr="00CA2751">
        <w:rPr>
          <w:sz w:val="28"/>
          <w:szCs w:val="28"/>
        </w:rPr>
        <w:t xml:space="preserve"> had</w:t>
      </w:r>
      <w:r w:rsidR="001207CA" w:rsidRPr="00CA2751">
        <w:rPr>
          <w:sz w:val="28"/>
          <w:szCs w:val="28"/>
        </w:rPr>
        <w:t xml:space="preserve"> noticed Bila’s trucks operating on Bila’s prospecting area and</w:t>
      </w:r>
      <w:r w:rsidR="000F3E04" w:rsidRPr="00CA2751">
        <w:rPr>
          <w:sz w:val="28"/>
          <w:szCs w:val="28"/>
        </w:rPr>
        <w:t xml:space="preserve"> </w:t>
      </w:r>
      <w:r w:rsidR="001207CA" w:rsidRPr="00CA2751">
        <w:rPr>
          <w:sz w:val="28"/>
          <w:szCs w:val="28"/>
        </w:rPr>
        <w:t xml:space="preserve">RE Portion 2. </w:t>
      </w:r>
      <w:r w:rsidR="00D53EDC" w:rsidRPr="00CA2751">
        <w:rPr>
          <w:sz w:val="28"/>
          <w:szCs w:val="28"/>
        </w:rPr>
        <w:t xml:space="preserve">On 11 June 2020, </w:t>
      </w:r>
      <w:r w:rsidR="00E73A5A">
        <w:rPr>
          <w:sz w:val="28"/>
          <w:szCs w:val="28"/>
        </w:rPr>
        <w:t xml:space="preserve">with a view </w:t>
      </w:r>
      <w:r w:rsidR="001207CA" w:rsidRPr="00CA2751">
        <w:rPr>
          <w:sz w:val="28"/>
          <w:szCs w:val="28"/>
        </w:rPr>
        <w:t>to ascertain</w:t>
      </w:r>
      <w:r w:rsidR="00E73A5A">
        <w:rPr>
          <w:sz w:val="28"/>
          <w:szCs w:val="28"/>
        </w:rPr>
        <w:t>ing</w:t>
      </w:r>
      <w:r w:rsidR="001207CA" w:rsidRPr="00CA2751">
        <w:rPr>
          <w:sz w:val="28"/>
          <w:szCs w:val="28"/>
        </w:rPr>
        <w:t xml:space="preserve"> the nature and extent of these activities</w:t>
      </w:r>
      <w:r w:rsidR="00D53EDC" w:rsidRPr="00CA2751">
        <w:rPr>
          <w:sz w:val="28"/>
          <w:szCs w:val="28"/>
        </w:rPr>
        <w:t>,</w:t>
      </w:r>
      <w:r w:rsidR="0003193E" w:rsidRPr="00CA2751">
        <w:rPr>
          <w:sz w:val="28"/>
          <w:szCs w:val="28"/>
        </w:rPr>
        <w:t xml:space="preserve"> </w:t>
      </w:r>
      <w:r w:rsidR="00D53EDC" w:rsidRPr="00CA2751">
        <w:rPr>
          <w:sz w:val="28"/>
          <w:szCs w:val="28"/>
        </w:rPr>
        <w:t xml:space="preserve">Samancor’s finance and administration </w:t>
      </w:r>
      <w:r w:rsidR="000F3E04" w:rsidRPr="00CA2751">
        <w:rPr>
          <w:sz w:val="28"/>
          <w:szCs w:val="28"/>
        </w:rPr>
        <w:t xml:space="preserve">security </w:t>
      </w:r>
      <w:r w:rsidR="00D53EDC" w:rsidRPr="00CA2751">
        <w:rPr>
          <w:sz w:val="28"/>
          <w:szCs w:val="28"/>
        </w:rPr>
        <w:t>specialist</w:t>
      </w:r>
      <w:r w:rsidR="000F3E04" w:rsidRPr="00CA2751">
        <w:rPr>
          <w:sz w:val="28"/>
          <w:szCs w:val="28"/>
        </w:rPr>
        <w:t>,</w:t>
      </w:r>
      <w:r w:rsidR="00D53EDC" w:rsidRPr="00CA2751">
        <w:rPr>
          <w:sz w:val="28"/>
          <w:szCs w:val="28"/>
        </w:rPr>
        <w:t xml:space="preserve"> </w:t>
      </w:r>
      <w:r w:rsidR="00D71B96" w:rsidRPr="00CA2751">
        <w:rPr>
          <w:sz w:val="28"/>
          <w:szCs w:val="28"/>
        </w:rPr>
        <w:t>Mr Nel, took</w:t>
      </w:r>
      <w:r w:rsidR="00AD6376" w:rsidRPr="00CA2751">
        <w:rPr>
          <w:sz w:val="28"/>
          <w:szCs w:val="28"/>
        </w:rPr>
        <w:t xml:space="preserve"> aerial</w:t>
      </w:r>
      <w:r w:rsidR="00D71B96" w:rsidRPr="00CA2751">
        <w:rPr>
          <w:sz w:val="28"/>
          <w:szCs w:val="28"/>
        </w:rPr>
        <w:t xml:space="preserve"> photographs</w:t>
      </w:r>
      <w:r w:rsidR="00F03165" w:rsidRPr="00CA2751">
        <w:rPr>
          <w:sz w:val="28"/>
          <w:szCs w:val="28"/>
        </w:rPr>
        <w:t>,</w:t>
      </w:r>
      <w:r w:rsidR="00D71B96" w:rsidRPr="00CA2751">
        <w:rPr>
          <w:sz w:val="28"/>
          <w:szCs w:val="28"/>
        </w:rPr>
        <w:t xml:space="preserve"> from </w:t>
      </w:r>
      <w:r w:rsidR="00F03165" w:rsidRPr="00CA2751">
        <w:rPr>
          <w:sz w:val="28"/>
          <w:szCs w:val="28"/>
        </w:rPr>
        <w:t xml:space="preserve">a </w:t>
      </w:r>
      <w:r w:rsidR="00D71B96" w:rsidRPr="00CA2751">
        <w:rPr>
          <w:sz w:val="28"/>
          <w:szCs w:val="28"/>
        </w:rPr>
        <w:t>drone</w:t>
      </w:r>
      <w:r w:rsidR="00F03165" w:rsidRPr="00CA2751">
        <w:rPr>
          <w:sz w:val="28"/>
          <w:szCs w:val="28"/>
        </w:rPr>
        <w:t>,</w:t>
      </w:r>
      <w:r w:rsidR="00D71B96" w:rsidRPr="00CA2751">
        <w:rPr>
          <w:sz w:val="28"/>
          <w:szCs w:val="28"/>
        </w:rPr>
        <w:t xml:space="preserve"> of the prospecting area and RE Portion 2</w:t>
      </w:r>
      <w:r w:rsidR="0003193E" w:rsidRPr="00CA2751">
        <w:rPr>
          <w:sz w:val="28"/>
          <w:szCs w:val="28"/>
        </w:rPr>
        <w:t xml:space="preserve">. </w:t>
      </w:r>
    </w:p>
    <w:p w14:paraId="39AC9F75" w14:textId="77777777" w:rsidR="00D53EDC" w:rsidRPr="00CA2751" w:rsidRDefault="00D53EDC" w:rsidP="008134D7">
      <w:pPr>
        <w:tabs>
          <w:tab w:val="left" w:pos="0"/>
        </w:tabs>
        <w:rPr>
          <w:sz w:val="28"/>
          <w:szCs w:val="28"/>
        </w:rPr>
      </w:pPr>
    </w:p>
    <w:p w14:paraId="2E6E0F17" w14:textId="1B39EC39" w:rsidR="001207CA" w:rsidRPr="00CA2751" w:rsidRDefault="004E5F34" w:rsidP="004E5F34">
      <w:pPr>
        <w:tabs>
          <w:tab w:val="left" w:pos="0"/>
        </w:tabs>
        <w:rPr>
          <w:sz w:val="28"/>
          <w:szCs w:val="28"/>
        </w:rPr>
      </w:pPr>
      <w:r w:rsidRPr="00CA2751">
        <w:rPr>
          <w:sz w:val="28"/>
          <w:szCs w:val="28"/>
        </w:rPr>
        <w:t>[22]</w:t>
      </w:r>
      <w:r w:rsidRPr="00CA2751">
        <w:rPr>
          <w:sz w:val="28"/>
          <w:szCs w:val="28"/>
        </w:rPr>
        <w:tab/>
      </w:r>
      <w:r w:rsidR="000F3E04" w:rsidRPr="00CA2751">
        <w:rPr>
          <w:sz w:val="28"/>
          <w:szCs w:val="28"/>
        </w:rPr>
        <w:t>This was followed by a letter sent to Bila by Samancor’s attorneys on</w:t>
      </w:r>
      <w:r w:rsidR="0003193E" w:rsidRPr="00CA2751">
        <w:rPr>
          <w:sz w:val="28"/>
          <w:szCs w:val="28"/>
        </w:rPr>
        <w:t xml:space="preserve"> 15 June 2020, </w:t>
      </w:r>
      <w:r w:rsidR="000F3E04" w:rsidRPr="00CA2751">
        <w:rPr>
          <w:sz w:val="28"/>
          <w:szCs w:val="28"/>
        </w:rPr>
        <w:t xml:space="preserve">advising </w:t>
      </w:r>
      <w:r w:rsidR="0003193E" w:rsidRPr="00CA2751">
        <w:rPr>
          <w:sz w:val="28"/>
          <w:szCs w:val="28"/>
        </w:rPr>
        <w:t xml:space="preserve">that Bila had again commenced with illegal mining and prospecting operations in contempt </w:t>
      </w:r>
      <w:r w:rsidR="000F3E04" w:rsidRPr="00CA2751">
        <w:rPr>
          <w:sz w:val="28"/>
          <w:szCs w:val="28"/>
        </w:rPr>
        <w:t>of Janse</w:t>
      </w:r>
      <w:r w:rsidR="0003193E" w:rsidRPr="00CA2751">
        <w:rPr>
          <w:sz w:val="28"/>
          <w:szCs w:val="28"/>
        </w:rPr>
        <w:t xml:space="preserve"> </w:t>
      </w:r>
      <w:r w:rsidR="005A405D" w:rsidRPr="00CA2751">
        <w:rPr>
          <w:sz w:val="28"/>
          <w:szCs w:val="28"/>
        </w:rPr>
        <w:t xml:space="preserve">van </w:t>
      </w:r>
      <w:r w:rsidR="00922D0B">
        <w:rPr>
          <w:sz w:val="28"/>
          <w:szCs w:val="28"/>
        </w:rPr>
        <w:t>Niewenhuizen</w:t>
      </w:r>
      <w:r w:rsidR="00D53EDC" w:rsidRPr="00CA2751">
        <w:rPr>
          <w:sz w:val="28"/>
          <w:szCs w:val="28"/>
        </w:rPr>
        <w:t xml:space="preserve"> J</w:t>
      </w:r>
      <w:r w:rsidR="0003193E" w:rsidRPr="00CA2751">
        <w:rPr>
          <w:sz w:val="28"/>
          <w:szCs w:val="28"/>
        </w:rPr>
        <w:t xml:space="preserve"> and Neukircher J’s orders</w:t>
      </w:r>
      <w:r w:rsidR="000F3E04" w:rsidRPr="00CA2751">
        <w:rPr>
          <w:sz w:val="28"/>
          <w:szCs w:val="28"/>
        </w:rPr>
        <w:t xml:space="preserve">. The letter </w:t>
      </w:r>
      <w:r w:rsidR="002A2255" w:rsidRPr="00CA2751">
        <w:rPr>
          <w:sz w:val="28"/>
          <w:szCs w:val="28"/>
        </w:rPr>
        <w:t>demand</w:t>
      </w:r>
      <w:r w:rsidR="00D53EDC" w:rsidRPr="00CA2751">
        <w:rPr>
          <w:sz w:val="28"/>
          <w:szCs w:val="28"/>
        </w:rPr>
        <w:t>ed</w:t>
      </w:r>
      <w:r w:rsidR="002A2255" w:rsidRPr="00CA2751">
        <w:rPr>
          <w:sz w:val="28"/>
          <w:szCs w:val="28"/>
        </w:rPr>
        <w:t xml:space="preserve"> </w:t>
      </w:r>
      <w:r w:rsidR="000F3E04" w:rsidRPr="00CA2751">
        <w:rPr>
          <w:sz w:val="28"/>
          <w:szCs w:val="28"/>
        </w:rPr>
        <w:t xml:space="preserve">an </w:t>
      </w:r>
      <w:r w:rsidR="002A2255" w:rsidRPr="00CA2751">
        <w:rPr>
          <w:sz w:val="28"/>
          <w:szCs w:val="28"/>
        </w:rPr>
        <w:t xml:space="preserve">immediate </w:t>
      </w:r>
      <w:r w:rsidR="00992097" w:rsidRPr="00CA2751">
        <w:rPr>
          <w:sz w:val="28"/>
          <w:szCs w:val="28"/>
        </w:rPr>
        <w:t>cessation of</w:t>
      </w:r>
      <w:r w:rsidR="000F3E04" w:rsidRPr="00CA2751">
        <w:rPr>
          <w:sz w:val="28"/>
          <w:szCs w:val="28"/>
        </w:rPr>
        <w:t xml:space="preserve"> the alleged </w:t>
      </w:r>
      <w:r w:rsidR="002A2255" w:rsidRPr="00CA2751">
        <w:rPr>
          <w:sz w:val="28"/>
          <w:szCs w:val="28"/>
        </w:rPr>
        <w:t>illegal mining and prospecting operations failing which Samancor</w:t>
      </w:r>
      <w:r w:rsidR="004117EA" w:rsidRPr="00CA2751">
        <w:rPr>
          <w:sz w:val="28"/>
          <w:szCs w:val="28"/>
        </w:rPr>
        <w:t xml:space="preserve"> would apply to court to hold Bila in contempt of the orders</w:t>
      </w:r>
      <w:r w:rsidR="0003193E" w:rsidRPr="00CA2751">
        <w:rPr>
          <w:sz w:val="28"/>
          <w:szCs w:val="28"/>
        </w:rPr>
        <w:t xml:space="preserve">. </w:t>
      </w:r>
    </w:p>
    <w:p w14:paraId="4F45B90D" w14:textId="77777777" w:rsidR="00F66D68" w:rsidRPr="00CA2751" w:rsidRDefault="00F66D68" w:rsidP="007D3DBE">
      <w:pPr>
        <w:pStyle w:val="ListParagraph"/>
        <w:ind w:left="0"/>
        <w:rPr>
          <w:sz w:val="28"/>
          <w:szCs w:val="28"/>
        </w:rPr>
      </w:pPr>
    </w:p>
    <w:p w14:paraId="40D8FD71" w14:textId="67BEBBDD" w:rsidR="00F66D68" w:rsidRPr="00CA2751" w:rsidRDefault="004E5F34" w:rsidP="004E5F34">
      <w:pPr>
        <w:tabs>
          <w:tab w:val="left" w:pos="0"/>
        </w:tabs>
        <w:rPr>
          <w:sz w:val="28"/>
          <w:szCs w:val="28"/>
        </w:rPr>
      </w:pPr>
      <w:r w:rsidRPr="00CA2751">
        <w:rPr>
          <w:sz w:val="28"/>
          <w:szCs w:val="28"/>
        </w:rPr>
        <w:t>[23]</w:t>
      </w:r>
      <w:r w:rsidRPr="00CA2751">
        <w:rPr>
          <w:sz w:val="28"/>
          <w:szCs w:val="28"/>
        </w:rPr>
        <w:tab/>
      </w:r>
      <w:r w:rsidR="00F66D68" w:rsidRPr="00CA2751">
        <w:rPr>
          <w:sz w:val="28"/>
          <w:szCs w:val="28"/>
        </w:rPr>
        <w:t>On 25 and 26 June 2020, Mr Nel took aerial videos of</w:t>
      </w:r>
      <w:r w:rsidR="00501D80" w:rsidRPr="00CA2751">
        <w:rPr>
          <w:sz w:val="28"/>
          <w:szCs w:val="28"/>
        </w:rPr>
        <w:t xml:space="preserve"> the</w:t>
      </w:r>
      <w:r w:rsidR="00F66D68" w:rsidRPr="00CA2751">
        <w:rPr>
          <w:sz w:val="28"/>
          <w:szCs w:val="28"/>
        </w:rPr>
        <w:t xml:space="preserve"> activities on RE Portion 2</w:t>
      </w:r>
      <w:r w:rsidR="009A66DD" w:rsidRPr="00CA2751">
        <w:rPr>
          <w:sz w:val="28"/>
          <w:szCs w:val="28"/>
        </w:rPr>
        <w:t xml:space="preserve">. The video footage and photographs taken by Mr Nel were </w:t>
      </w:r>
      <w:r w:rsidR="009A66DD" w:rsidRPr="00CA2751">
        <w:rPr>
          <w:sz w:val="28"/>
          <w:szCs w:val="28"/>
        </w:rPr>
        <w:lastRenderedPageBreak/>
        <w:t xml:space="preserve">studied by </w:t>
      </w:r>
      <w:r w:rsidR="00D53EDC" w:rsidRPr="00CA2751">
        <w:rPr>
          <w:sz w:val="28"/>
          <w:szCs w:val="28"/>
        </w:rPr>
        <w:t xml:space="preserve">Mr </w:t>
      </w:r>
      <w:r w:rsidR="009A66DD" w:rsidRPr="00CA2751">
        <w:rPr>
          <w:sz w:val="28"/>
          <w:szCs w:val="28"/>
        </w:rPr>
        <w:t>Dube, Samancor’s mineral resources manager and qualified mine surveyor.</w:t>
      </w:r>
      <w:r w:rsidR="00992097" w:rsidRPr="00CA2751">
        <w:rPr>
          <w:sz w:val="28"/>
          <w:szCs w:val="28"/>
        </w:rPr>
        <w:t xml:space="preserve"> </w:t>
      </w:r>
      <w:r w:rsidR="009A66DD" w:rsidRPr="00CA2751">
        <w:rPr>
          <w:sz w:val="28"/>
          <w:szCs w:val="28"/>
        </w:rPr>
        <w:t>Mr Dube confirmed that the</w:t>
      </w:r>
      <w:r w:rsidR="000F3E04" w:rsidRPr="00CA2751">
        <w:rPr>
          <w:sz w:val="28"/>
          <w:szCs w:val="28"/>
        </w:rPr>
        <w:t xml:space="preserve"> photographs and footage </w:t>
      </w:r>
      <w:r w:rsidR="009A66DD" w:rsidRPr="00CA2751">
        <w:rPr>
          <w:sz w:val="28"/>
          <w:szCs w:val="28"/>
        </w:rPr>
        <w:t>depicted mining and/or prospecting operations.</w:t>
      </w:r>
      <w:r w:rsidR="003F49DC" w:rsidRPr="00CA2751">
        <w:rPr>
          <w:sz w:val="28"/>
          <w:szCs w:val="28"/>
        </w:rPr>
        <w:t xml:space="preserve"> </w:t>
      </w:r>
    </w:p>
    <w:p w14:paraId="5F7FAA18" w14:textId="77777777" w:rsidR="008C687D" w:rsidRPr="00CA2751" w:rsidRDefault="008C687D" w:rsidP="007D3DBE">
      <w:pPr>
        <w:pStyle w:val="ListParagraph"/>
        <w:ind w:left="0"/>
        <w:rPr>
          <w:sz w:val="28"/>
          <w:szCs w:val="28"/>
        </w:rPr>
      </w:pPr>
    </w:p>
    <w:p w14:paraId="3FAD56F3" w14:textId="5FA212F9" w:rsidR="000F3E04" w:rsidRPr="00CA2751" w:rsidRDefault="004E5F34" w:rsidP="004E5F34">
      <w:pPr>
        <w:tabs>
          <w:tab w:val="left" w:pos="0"/>
        </w:tabs>
        <w:rPr>
          <w:sz w:val="28"/>
          <w:szCs w:val="28"/>
        </w:rPr>
      </w:pPr>
      <w:r w:rsidRPr="00CA2751">
        <w:rPr>
          <w:sz w:val="28"/>
          <w:szCs w:val="28"/>
        </w:rPr>
        <w:t>[24]</w:t>
      </w:r>
      <w:r w:rsidRPr="00CA2751">
        <w:rPr>
          <w:sz w:val="28"/>
          <w:szCs w:val="28"/>
        </w:rPr>
        <w:tab/>
      </w:r>
      <w:r w:rsidR="000F3E04" w:rsidRPr="00CA2751">
        <w:rPr>
          <w:sz w:val="28"/>
          <w:szCs w:val="28"/>
        </w:rPr>
        <w:t>O</w:t>
      </w:r>
      <w:r w:rsidR="008C687D" w:rsidRPr="00CA2751">
        <w:rPr>
          <w:sz w:val="28"/>
          <w:szCs w:val="28"/>
        </w:rPr>
        <w:t xml:space="preserve">n 3 July 2020, Samancor employed the services of Directional </w:t>
      </w:r>
      <w:r w:rsidR="00365843" w:rsidRPr="00CA2751">
        <w:rPr>
          <w:sz w:val="28"/>
          <w:szCs w:val="28"/>
        </w:rPr>
        <w:t>S</w:t>
      </w:r>
      <w:r w:rsidR="008C687D" w:rsidRPr="00CA2751">
        <w:rPr>
          <w:sz w:val="28"/>
          <w:szCs w:val="28"/>
        </w:rPr>
        <w:t xml:space="preserve">urvey and </w:t>
      </w:r>
      <w:r w:rsidR="00365843" w:rsidRPr="00CA2751">
        <w:rPr>
          <w:sz w:val="28"/>
          <w:szCs w:val="28"/>
        </w:rPr>
        <w:t>M</w:t>
      </w:r>
      <w:r w:rsidR="008C687D" w:rsidRPr="00CA2751">
        <w:rPr>
          <w:sz w:val="28"/>
          <w:szCs w:val="28"/>
        </w:rPr>
        <w:t>apping</w:t>
      </w:r>
      <w:r w:rsidR="000F3E04" w:rsidRPr="00CA2751">
        <w:rPr>
          <w:sz w:val="28"/>
          <w:szCs w:val="28"/>
        </w:rPr>
        <w:t xml:space="preserve"> (DSM) </w:t>
      </w:r>
      <w:r w:rsidR="00365843" w:rsidRPr="00CA2751">
        <w:rPr>
          <w:sz w:val="28"/>
          <w:szCs w:val="28"/>
        </w:rPr>
        <w:t xml:space="preserve">to conduct a drone survey on RE Portion 2. </w:t>
      </w:r>
      <w:r w:rsidR="000F3E04" w:rsidRPr="00CA2751">
        <w:rPr>
          <w:sz w:val="28"/>
          <w:szCs w:val="28"/>
        </w:rPr>
        <w:t>DSM processed the data and provided it</w:t>
      </w:r>
      <w:r w:rsidR="0001233F" w:rsidRPr="00CA2751">
        <w:rPr>
          <w:sz w:val="28"/>
          <w:szCs w:val="28"/>
        </w:rPr>
        <w:t xml:space="preserve"> to</w:t>
      </w:r>
      <w:r w:rsidR="000F3E04" w:rsidRPr="00CA2751">
        <w:rPr>
          <w:sz w:val="28"/>
          <w:szCs w:val="28"/>
        </w:rPr>
        <w:t xml:space="preserve"> Samancor. </w:t>
      </w:r>
      <w:r w:rsidR="00D4121E" w:rsidRPr="00CA2751">
        <w:rPr>
          <w:sz w:val="28"/>
          <w:szCs w:val="28"/>
        </w:rPr>
        <w:t>Mr William Jele, Samancor’s survey practitioner</w:t>
      </w:r>
      <w:r w:rsidR="00BC4194">
        <w:rPr>
          <w:sz w:val="28"/>
          <w:szCs w:val="28"/>
        </w:rPr>
        <w:t>,</w:t>
      </w:r>
      <w:r w:rsidR="00D4121E" w:rsidRPr="00CA2751">
        <w:rPr>
          <w:sz w:val="28"/>
          <w:szCs w:val="28"/>
        </w:rPr>
        <w:t xml:space="preserve"> </w:t>
      </w:r>
      <w:r w:rsidR="00365843" w:rsidRPr="00CA2751">
        <w:rPr>
          <w:sz w:val="28"/>
          <w:szCs w:val="28"/>
        </w:rPr>
        <w:t>analysed</w:t>
      </w:r>
      <w:r w:rsidR="00D4121E" w:rsidRPr="00CA2751">
        <w:rPr>
          <w:sz w:val="28"/>
          <w:szCs w:val="28"/>
        </w:rPr>
        <w:t xml:space="preserve"> this</w:t>
      </w:r>
      <w:r w:rsidR="00BC4194">
        <w:rPr>
          <w:sz w:val="28"/>
          <w:szCs w:val="28"/>
        </w:rPr>
        <w:t xml:space="preserve"> data</w:t>
      </w:r>
      <w:r w:rsidR="00365843" w:rsidRPr="00CA2751">
        <w:rPr>
          <w:sz w:val="28"/>
          <w:szCs w:val="28"/>
        </w:rPr>
        <w:t xml:space="preserve"> by using industry</w:t>
      </w:r>
      <w:r w:rsidR="00D4121E" w:rsidRPr="00CA2751">
        <w:rPr>
          <w:sz w:val="28"/>
          <w:szCs w:val="28"/>
        </w:rPr>
        <w:t>-</w:t>
      </w:r>
      <w:r w:rsidR="00365843" w:rsidRPr="00CA2751">
        <w:rPr>
          <w:sz w:val="28"/>
          <w:szCs w:val="28"/>
        </w:rPr>
        <w:t>standard digital terrain modelling in surveying software, ‘model</w:t>
      </w:r>
      <w:r w:rsidR="00D4121E" w:rsidRPr="00CA2751">
        <w:rPr>
          <w:sz w:val="28"/>
          <w:szCs w:val="28"/>
        </w:rPr>
        <w:t>-</w:t>
      </w:r>
      <w:r w:rsidR="00365843" w:rsidRPr="00CA2751">
        <w:rPr>
          <w:sz w:val="28"/>
          <w:szCs w:val="28"/>
        </w:rPr>
        <w:t>maker</w:t>
      </w:r>
      <w:r w:rsidR="0001233F" w:rsidRPr="00CA2751">
        <w:rPr>
          <w:sz w:val="28"/>
          <w:szCs w:val="28"/>
        </w:rPr>
        <w:t>’</w:t>
      </w:r>
      <w:r w:rsidR="00365843" w:rsidRPr="00CA2751">
        <w:rPr>
          <w:sz w:val="28"/>
          <w:szCs w:val="28"/>
        </w:rPr>
        <w:t>.</w:t>
      </w:r>
      <w:r w:rsidR="00DD1CFD" w:rsidRPr="00CA2751">
        <w:rPr>
          <w:sz w:val="28"/>
          <w:szCs w:val="28"/>
        </w:rPr>
        <w:t xml:space="preserve"> </w:t>
      </w:r>
    </w:p>
    <w:p w14:paraId="77ED8842" w14:textId="77777777" w:rsidR="000F3E04" w:rsidRPr="00CA2751" w:rsidRDefault="000F3E04" w:rsidP="007D3DBE">
      <w:pPr>
        <w:pStyle w:val="ListParagraph"/>
        <w:ind w:left="0"/>
        <w:rPr>
          <w:sz w:val="28"/>
          <w:szCs w:val="28"/>
        </w:rPr>
      </w:pPr>
    </w:p>
    <w:p w14:paraId="6E913FF7" w14:textId="0A6BAB94" w:rsidR="00713FE1" w:rsidRPr="00CA2751" w:rsidRDefault="004E5F34" w:rsidP="004E5F34">
      <w:pPr>
        <w:tabs>
          <w:tab w:val="left" w:pos="0"/>
        </w:tabs>
        <w:rPr>
          <w:sz w:val="28"/>
          <w:szCs w:val="28"/>
        </w:rPr>
      </w:pPr>
      <w:r w:rsidRPr="00CA2751">
        <w:rPr>
          <w:sz w:val="28"/>
          <w:szCs w:val="28"/>
        </w:rPr>
        <w:t>[25]</w:t>
      </w:r>
      <w:r w:rsidRPr="00CA2751">
        <w:rPr>
          <w:sz w:val="28"/>
          <w:szCs w:val="28"/>
        </w:rPr>
        <w:tab/>
      </w:r>
      <w:r w:rsidR="000F3E04" w:rsidRPr="00CA2751">
        <w:rPr>
          <w:sz w:val="28"/>
          <w:szCs w:val="28"/>
        </w:rPr>
        <w:t>As pointed out in the founding affidavit</w:t>
      </w:r>
      <w:r w:rsidR="00713FE1" w:rsidRPr="00CA2751">
        <w:rPr>
          <w:sz w:val="28"/>
          <w:szCs w:val="28"/>
        </w:rPr>
        <w:t>:</w:t>
      </w:r>
    </w:p>
    <w:p w14:paraId="554FC776" w14:textId="77777777" w:rsidR="0003193E" w:rsidRPr="00CA2751" w:rsidRDefault="00713FE1" w:rsidP="008134D7">
      <w:pPr>
        <w:tabs>
          <w:tab w:val="left" w:pos="0"/>
        </w:tabs>
        <w:rPr>
          <w:sz w:val="28"/>
          <w:szCs w:val="28"/>
        </w:rPr>
      </w:pPr>
      <w:r w:rsidRPr="00CA2751">
        <w:rPr>
          <w:sz w:val="28"/>
          <w:szCs w:val="28"/>
        </w:rPr>
        <w:t>‘</w:t>
      </w:r>
      <w:r w:rsidR="00DD1CFD" w:rsidRPr="00CA2751">
        <w:t xml:space="preserve">Mr Jele calculated that </w:t>
      </w:r>
      <w:r w:rsidR="00DD1CFD" w:rsidRPr="00CA2751">
        <w:rPr>
          <w:i/>
        </w:rPr>
        <w:t>by</w:t>
      </w:r>
      <w:r w:rsidR="003117DB" w:rsidRPr="00CA2751">
        <w:rPr>
          <w:i/>
        </w:rPr>
        <w:t xml:space="preserve"> 3 July 2020</w:t>
      </w:r>
      <w:r w:rsidR="003117DB" w:rsidRPr="00CA2751">
        <w:t xml:space="preserve">, </w:t>
      </w:r>
      <w:r w:rsidRPr="00CA2751">
        <w:t>[</w:t>
      </w:r>
      <w:r w:rsidR="003117DB" w:rsidRPr="00CA2751">
        <w:t>Bila</w:t>
      </w:r>
      <w:r w:rsidRPr="00CA2751">
        <w:t>]</w:t>
      </w:r>
      <w:r w:rsidR="003117DB" w:rsidRPr="00CA2751">
        <w:t xml:space="preserve"> ha</w:t>
      </w:r>
      <w:r w:rsidRPr="00CA2751">
        <w:t>s</w:t>
      </w:r>
      <w:r w:rsidR="003117DB" w:rsidRPr="00CA2751">
        <w:t xml:space="preserve"> mined additional volumes of chrome ore of 258</w:t>
      </w:r>
      <w:r w:rsidR="00346FBB" w:rsidRPr="00CA2751">
        <w:t>,</w:t>
      </w:r>
      <w:r w:rsidR="003117DB" w:rsidRPr="00CA2751">
        <w:t xml:space="preserve"> 117 cubic metres from the MG4 </w:t>
      </w:r>
      <w:r w:rsidRPr="00CA2751">
        <w:t>Reef and 114</w:t>
      </w:r>
      <w:r w:rsidR="00346FBB" w:rsidRPr="00CA2751">
        <w:t>,</w:t>
      </w:r>
      <w:r w:rsidRPr="00CA2751">
        <w:t xml:space="preserve"> 211 cubic metres from MG4A Reef </w:t>
      </w:r>
      <w:r w:rsidR="003D3B0C" w:rsidRPr="00CA2751">
        <w:t>on RE Portion 2.</w:t>
      </w:r>
      <w:r w:rsidR="009725C9" w:rsidRPr="00CA2751">
        <w:t xml:space="preserve"> [</w:t>
      </w:r>
      <w:r w:rsidR="003F49DC" w:rsidRPr="00CA2751">
        <w:t>Samancor’s chief surveyor, Mr Eddie Maleka</w:t>
      </w:r>
      <w:r w:rsidR="009725C9" w:rsidRPr="00CA2751">
        <w:t>]</w:t>
      </w:r>
      <w:r w:rsidR="003F49DC" w:rsidRPr="00CA2751">
        <w:t xml:space="preserve"> converted t</w:t>
      </w:r>
      <w:r w:rsidR="00997992" w:rsidRPr="00CA2751">
        <w:t xml:space="preserve">hese volumes </w:t>
      </w:r>
      <w:r w:rsidR="009725C9" w:rsidRPr="00CA2751">
        <w:t xml:space="preserve">to tons </w:t>
      </w:r>
      <w:r w:rsidR="00997992" w:rsidRPr="00CA2751">
        <w:t>by multiplying the amount of the volumes with the density of the ore (being 4.04</w:t>
      </w:r>
      <w:r w:rsidR="005F7470" w:rsidRPr="00CA2751">
        <w:t xml:space="preserve"> tons per cubic metre for the MG4 Reef and 3.95 tons per cubic metre for the MG4A Reef). </w:t>
      </w:r>
      <w:r w:rsidR="005F7470" w:rsidRPr="00CA2751">
        <w:rPr>
          <w:i/>
        </w:rPr>
        <w:t>This resulted in an additional 1</w:t>
      </w:r>
      <w:r w:rsidR="00346FBB" w:rsidRPr="00CA2751">
        <w:rPr>
          <w:i/>
        </w:rPr>
        <w:t>,</w:t>
      </w:r>
      <w:r w:rsidR="005F7470" w:rsidRPr="00CA2751">
        <w:rPr>
          <w:i/>
        </w:rPr>
        <w:t>493</w:t>
      </w:r>
      <w:r w:rsidR="00346FBB" w:rsidRPr="00CA2751">
        <w:rPr>
          <w:i/>
        </w:rPr>
        <w:t>,</w:t>
      </w:r>
      <w:r w:rsidR="005F7470" w:rsidRPr="00CA2751">
        <w:rPr>
          <w:i/>
        </w:rPr>
        <w:t>92</w:t>
      </w:r>
      <w:r w:rsidR="00346FBB" w:rsidRPr="00CA2751">
        <w:rPr>
          <w:i/>
        </w:rPr>
        <w:t>6</w:t>
      </w:r>
      <w:r w:rsidR="005F7470" w:rsidRPr="00CA2751">
        <w:rPr>
          <w:i/>
        </w:rPr>
        <w:t xml:space="preserve"> tons of chrome ore removed by </w:t>
      </w:r>
      <w:r w:rsidR="00D014E2" w:rsidRPr="00CA2751">
        <w:rPr>
          <w:i/>
        </w:rPr>
        <w:t>[</w:t>
      </w:r>
      <w:r w:rsidR="005F7470" w:rsidRPr="00CA2751">
        <w:rPr>
          <w:i/>
        </w:rPr>
        <w:t>BILA</w:t>
      </w:r>
      <w:r w:rsidR="00D014E2" w:rsidRPr="00CA2751">
        <w:rPr>
          <w:i/>
        </w:rPr>
        <w:t>]</w:t>
      </w:r>
      <w:r w:rsidR="005F7470" w:rsidRPr="00CA2751">
        <w:rPr>
          <w:i/>
        </w:rPr>
        <w:t xml:space="preserve"> from the MG4 Reef and MG4A Reef on</w:t>
      </w:r>
      <w:r w:rsidR="00346FBB" w:rsidRPr="00CA2751">
        <w:rPr>
          <w:i/>
        </w:rPr>
        <w:t xml:space="preserve"> RE</w:t>
      </w:r>
      <w:r w:rsidR="005F7470" w:rsidRPr="00CA2751">
        <w:rPr>
          <w:i/>
        </w:rPr>
        <w:t xml:space="preserve"> Portion 2 </w:t>
      </w:r>
      <w:r w:rsidR="003F49DC" w:rsidRPr="00CA2751">
        <w:rPr>
          <w:i/>
        </w:rPr>
        <w:t xml:space="preserve">i.e. </w:t>
      </w:r>
      <w:r w:rsidR="005F7470" w:rsidRPr="00CA2751">
        <w:rPr>
          <w:i/>
        </w:rPr>
        <w:t>in excess of the 920</w:t>
      </w:r>
      <w:r w:rsidR="00346FBB" w:rsidRPr="00CA2751">
        <w:rPr>
          <w:i/>
        </w:rPr>
        <w:t>,</w:t>
      </w:r>
      <w:r w:rsidR="005F7470" w:rsidRPr="00CA2751">
        <w:rPr>
          <w:i/>
        </w:rPr>
        <w:t>611 tons of chrome mined in 2019</w:t>
      </w:r>
      <w:r w:rsidR="001C64AB" w:rsidRPr="00CA2751">
        <w:t>.</w:t>
      </w:r>
      <w:r w:rsidR="003F49DC" w:rsidRPr="00CA2751">
        <w:rPr>
          <w:sz w:val="28"/>
          <w:szCs w:val="28"/>
        </w:rPr>
        <w:t xml:space="preserve">’ </w:t>
      </w:r>
      <w:r w:rsidR="0001233F" w:rsidRPr="00CA2751">
        <w:t>(</w:t>
      </w:r>
      <w:r w:rsidR="00D014E2" w:rsidRPr="00CA2751">
        <w:t>My emphasis.</w:t>
      </w:r>
      <w:r w:rsidR="0001233F" w:rsidRPr="00CA2751">
        <w:t>)</w:t>
      </w:r>
    </w:p>
    <w:p w14:paraId="70A3E6E3" w14:textId="77777777" w:rsidR="00870997" w:rsidRPr="00CA2751" w:rsidRDefault="00870997" w:rsidP="007D3DBE">
      <w:pPr>
        <w:pStyle w:val="ListParagraph"/>
        <w:ind w:left="0"/>
        <w:rPr>
          <w:sz w:val="28"/>
          <w:szCs w:val="28"/>
        </w:rPr>
      </w:pPr>
    </w:p>
    <w:p w14:paraId="5ADD7751" w14:textId="0ADAE40E" w:rsidR="002A2D45" w:rsidRPr="00CA2751" w:rsidRDefault="004E5F34" w:rsidP="004E5F34">
      <w:pPr>
        <w:tabs>
          <w:tab w:val="left" w:pos="0"/>
        </w:tabs>
        <w:rPr>
          <w:sz w:val="28"/>
          <w:szCs w:val="28"/>
        </w:rPr>
      </w:pPr>
      <w:r w:rsidRPr="00CA2751">
        <w:rPr>
          <w:sz w:val="28"/>
          <w:szCs w:val="28"/>
        </w:rPr>
        <w:t>[26]</w:t>
      </w:r>
      <w:r w:rsidRPr="00CA2751">
        <w:rPr>
          <w:sz w:val="28"/>
          <w:szCs w:val="28"/>
        </w:rPr>
        <w:tab/>
      </w:r>
      <w:r w:rsidR="00870997" w:rsidRPr="00CA2751">
        <w:rPr>
          <w:sz w:val="28"/>
          <w:szCs w:val="28"/>
        </w:rPr>
        <w:t xml:space="preserve">Samancor </w:t>
      </w:r>
      <w:r w:rsidR="001C64AB" w:rsidRPr="00CA2751">
        <w:rPr>
          <w:sz w:val="28"/>
          <w:szCs w:val="28"/>
        </w:rPr>
        <w:t xml:space="preserve">submitted </w:t>
      </w:r>
      <w:r w:rsidR="00870997" w:rsidRPr="00CA2751">
        <w:rPr>
          <w:sz w:val="28"/>
          <w:szCs w:val="28"/>
        </w:rPr>
        <w:t>that Bila</w:t>
      </w:r>
      <w:r w:rsidR="003B1BE3" w:rsidRPr="00CA2751">
        <w:rPr>
          <w:sz w:val="28"/>
          <w:szCs w:val="28"/>
        </w:rPr>
        <w:t>’s</w:t>
      </w:r>
      <w:r w:rsidR="00870997" w:rsidRPr="00CA2751">
        <w:rPr>
          <w:sz w:val="28"/>
          <w:szCs w:val="28"/>
        </w:rPr>
        <w:t xml:space="preserve"> unlawful operations</w:t>
      </w:r>
      <w:r w:rsidR="00BC4194">
        <w:rPr>
          <w:sz w:val="28"/>
          <w:szCs w:val="28"/>
        </w:rPr>
        <w:t xml:space="preserve"> adversely</w:t>
      </w:r>
      <w:r w:rsidR="00870997" w:rsidRPr="00CA2751">
        <w:rPr>
          <w:sz w:val="28"/>
          <w:szCs w:val="28"/>
        </w:rPr>
        <w:t xml:space="preserve"> </w:t>
      </w:r>
      <w:r w:rsidR="00B51E2C" w:rsidRPr="00CA2751">
        <w:rPr>
          <w:sz w:val="28"/>
          <w:szCs w:val="28"/>
        </w:rPr>
        <w:t>affected</w:t>
      </w:r>
      <w:r w:rsidR="00870997" w:rsidRPr="00CA2751">
        <w:rPr>
          <w:sz w:val="28"/>
          <w:szCs w:val="28"/>
        </w:rPr>
        <w:t xml:space="preserve"> Samancor’s obligations imposed on it by the </w:t>
      </w:r>
      <w:r w:rsidR="005A405D" w:rsidRPr="00CA2751">
        <w:rPr>
          <w:sz w:val="28"/>
          <w:szCs w:val="28"/>
        </w:rPr>
        <w:t>MHSA</w:t>
      </w:r>
      <w:r w:rsidR="00560912" w:rsidRPr="00CA2751">
        <w:rPr>
          <w:sz w:val="28"/>
          <w:szCs w:val="28"/>
        </w:rPr>
        <w:t xml:space="preserve">. </w:t>
      </w:r>
      <w:r w:rsidR="009156FB" w:rsidRPr="00CA2751">
        <w:rPr>
          <w:sz w:val="28"/>
          <w:szCs w:val="28"/>
        </w:rPr>
        <w:t>Bila</w:t>
      </w:r>
      <w:r w:rsidR="00FE329C" w:rsidRPr="00CA2751">
        <w:rPr>
          <w:sz w:val="28"/>
          <w:szCs w:val="28"/>
        </w:rPr>
        <w:t>’s actions</w:t>
      </w:r>
      <w:r w:rsidR="00561018">
        <w:rPr>
          <w:sz w:val="28"/>
          <w:szCs w:val="28"/>
        </w:rPr>
        <w:t>, it was contended,</w:t>
      </w:r>
      <w:r w:rsidR="00560912" w:rsidRPr="00CA2751">
        <w:rPr>
          <w:sz w:val="28"/>
          <w:szCs w:val="28"/>
        </w:rPr>
        <w:t xml:space="preserve"> also</w:t>
      </w:r>
      <w:r w:rsidR="00B51E2C" w:rsidRPr="00CA2751">
        <w:rPr>
          <w:sz w:val="28"/>
          <w:szCs w:val="28"/>
        </w:rPr>
        <w:t xml:space="preserve"> posed environmental, health and safety risks and placed the integrity of the underground mined out </w:t>
      </w:r>
      <w:r w:rsidR="00FE329C" w:rsidRPr="00CA2751">
        <w:rPr>
          <w:sz w:val="28"/>
          <w:szCs w:val="28"/>
        </w:rPr>
        <w:t xml:space="preserve">area </w:t>
      </w:r>
      <w:r w:rsidR="00B51E2C" w:rsidRPr="00CA2751">
        <w:rPr>
          <w:sz w:val="28"/>
          <w:szCs w:val="28"/>
        </w:rPr>
        <w:t>at risk.</w:t>
      </w:r>
    </w:p>
    <w:p w14:paraId="7D374B25" w14:textId="77777777" w:rsidR="002A2D45" w:rsidRPr="00CA2751" w:rsidRDefault="002A2D45" w:rsidP="007D3DBE">
      <w:pPr>
        <w:pStyle w:val="ListParagraph"/>
        <w:ind w:left="0"/>
        <w:rPr>
          <w:sz w:val="28"/>
          <w:szCs w:val="28"/>
        </w:rPr>
      </w:pPr>
    </w:p>
    <w:p w14:paraId="4D4AB9C9" w14:textId="046752AA" w:rsidR="00113822" w:rsidRPr="00CA2751" w:rsidRDefault="004E5F34" w:rsidP="004E5F34">
      <w:pPr>
        <w:tabs>
          <w:tab w:val="left" w:pos="0"/>
        </w:tabs>
        <w:rPr>
          <w:sz w:val="28"/>
          <w:szCs w:val="28"/>
        </w:rPr>
      </w:pPr>
      <w:r w:rsidRPr="00CA2751">
        <w:rPr>
          <w:sz w:val="28"/>
          <w:szCs w:val="28"/>
        </w:rPr>
        <w:t>[27]</w:t>
      </w:r>
      <w:r w:rsidRPr="00CA2751">
        <w:rPr>
          <w:sz w:val="28"/>
          <w:szCs w:val="28"/>
        </w:rPr>
        <w:tab/>
      </w:r>
      <w:r w:rsidR="006406BA" w:rsidRPr="00CA2751">
        <w:rPr>
          <w:sz w:val="28"/>
          <w:szCs w:val="28"/>
        </w:rPr>
        <w:t xml:space="preserve">In its defence, </w:t>
      </w:r>
      <w:r w:rsidR="002A2D45" w:rsidRPr="00CA2751">
        <w:rPr>
          <w:sz w:val="28"/>
          <w:szCs w:val="28"/>
        </w:rPr>
        <w:t>Bila</w:t>
      </w:r>
      <w:r w:rsidR="001C64AB" w:rsidRPr="00CA2751">
        <w:rPr>
          <w:sz w:val="28"/>
          <w:szCs w:val="28"/>
        </w:rPr>
        <w:t xml:space="preserve"> contended</w:t>
      </w:r>
      <w:r w:rsidR="002A2D45" w:rsidRPr="00CA2751">
        <w:rPr>
          <w:sz w:val="28"/>
          <w:szCs w:val="28"/>
        </w:rPr>
        <w:t xml:space="preserve"> that the orders were not capable of being </w:t>
      </w:r>
      <w:r w:rsidR="001C64AB" w:rsidRPr="00CA2751">
        <w:rPr>
          <w:sz w:val="28"/>
          <w:szCs w:val="28"/>
        </w:rPr>
        <w:t>breached,</w:t>
      </w:r>
      <w:r w:rsidR="002A2D45" w:rsidRPr="00CA2751">
        <w:rPr>
          <w:sz w:val="28"/>
          <w:szCs w:val="28"/>
        </w:rPr>
        <w:t xml:space="preserve"> as they were not operational. Neukircher J’s order</w:t>
      </w:r>
      <w:r w:rsidR="001C64AB" w:rsidRPr="00CA2751">
        <w:rPr>
          <w:sz w:val="28"/>
          <w:szCs w:val="28"/>
        </w:rPr>
        <w:t>, so it contended,</w:t>
      </w:r>
      <w:r w:rsidR="002A2D45" w:rsidRPr="00CA2751">
        <w:rPr>
          <w:sz w:val="28"/>
          <w:szCs w:val="28"/>
        </w:rPr>
        <w:t xml:space="preserve"> </w:t>
      </w:r>
      <w:r w:rsidR="002A2D45" w:rsidRPr="00CA2751">
        <w:rPr>
          <w:sz w:val="28"/>
          <w:szCs w:val="28"/>
        </w:rPr>
        <w:lastRenderedPageBreak/>
        <w:t>was automatically suspended by virtue of the provisions of s</w:t>
      </w:r>
      <w:r w:rsidR="00C36C4B" w:rsidRPr="00CA2751">
        <w:rPr>
          <w:sz w:val="28"/>
          <w:szCs w:val="28"/>
        </w:rPr>
        <w:t xml:space="preserve"> </w:t>
      </w:r>
      <w:r w:rsidR="002A2D45" w:rsidRPr="00CA2751">
        <w:rPr>
          <w:sz w:val="28"/>
          <w:szCs w:val="28"/>
        </w:rPr>
        <w:t>18</w:t>
      </w:r>
      <w:r w:rsidR="00C36C4B" w:rsidRPr="00CA2751">
        <w:rPr>
          <w:sz w:val="28"/>
          <w:szCs w:val="28"/>
        </w:rPr>
        <w:t>(1) of the Superior Courts Act 10 of 2013 (the Superior Courts Act)</w:t>
      </w:r>
      <w:r w:rsidR="009A05BF" w:rsidRPr="00CA2751">
        <w:rPr>
          <w:sz w:val="28"/>
          <w:szCs w:val="28"/>
        </w:rPr>
        <w:t xml:space="preserve"> as the papers seeking leave to appeal to the Constitutional Court had then been filed. </w:t>
      </w:r>
      <w:r w:rsidR="00113822" w:rsidRPr="00CA2751">
        <w:rPr>
          <w:sz w:val="28"/>
          <w:szCs w:val="28"/>
        </w:rPr>
        <w:t xml:space="preserve">In respect of Janse van Niewenhuizen J’s order, </w:t>
      </w:r>
      <w:r w:rsidR="001C64AB" w:rsidRPr="00CA2751">
        <w:rPr>
          <w:sz w:val="28"/>
          <w:szCs w:val="28"/>
        </w:rPr>
        <w:t xml:space="preserve">Bila alleged </w:t>
      </w:r>
      <w:r w:rsidR="00113822" w:rsidRPr="00CA2751">
        <w:rPr>
          <w:sz w:val="28"/>
          <w:szCs w:val="28"/>
        </w:rPr>
        <w:t>that</w:t>
      </w:r>
      <w:r w:rsidR="001C64AB" w:rsidRPr="00CA2751">
        <w:rPr>
          <w:sz w:val="28"/>
          <w:szCs w:val="28"/>
        </w:rPr>
        <w:t>,</w:t>
      </w:r>
      <w:r w:rsidR="00113822" w:rsidRPr="00CA2751">
        <w:rPr>
          <w:sz w:val="28"/>
          <w:szCs w:val="28"/>
        </w:rPr>
        <w:t xml:space="preserve"> </w:t>
      </w:r>
      <w:r w:rsidR="00B76AC2" w:rsidRPr="00CA2751">
        <w:rPr>
          <w:sz w:val="28"/>
          <w:szCs w:val="28"/>
        </w:rPr>
        <w:t>although the</w:t>
      </w:r>
      <w:r w:rsidR="004E2FA2" w:rsidRPr="00CA2751">
        <w:rPr>
          <w:sz w:val="28"/>
          <w:szCs w:val="28"/>
        </w:rPr>
        <w:t xml:space="preserve"> </w:t>
      </w:r>
      <w:r w:rsidR="00113822" w:rsidRPr="00CA2751">
        <w:rPr>
          <w:sz w:val="28"/>
          <w:szCs w:val="28"/>
        </w:rPr>
        <w:t xml:space="preserve">order was </w:t>
      </w:r>
      <w:r w:rsidR="00561018">
        <w:rPr>
          <w:sz w:val="28"/>
          <w:szCs w:val="28"/>
        </w:rPr>
        <w:t xml:space="preserve">of an interim nature, it was </w:t>
      </w:r>
      <w:r w:rsidR="00113822" w:rsidRPr="00CA2751">
        <w:rPr>
          <w:sz w:val="28"/>
          <w:szCs w:val="28"/>
        </w:rPr>
        <w:t>final in effect</w:t>
      </w:r>
      <w:r w:rsidR="00561018">
        <w:rPr>
          <w:sz w:val="28"/>
          <w:szCs w:val="28"/>
        </w:rPr>
        <w:t xml:space="preserve"> and therefore</w:t>
      </w:r>
      <w:r w:rsidR="006406BA" w:rsidRPr="00CA2751">
        <w:rPr>
          <w:sz w:val="28"/>
          <w:szCs w:val="28"/>
        </w:rPr>
        <w:t xml:space="preserve"> </w:t>
      </w:r>
      <w:r w:rsidR="00C63F79" w:rsidRPr="00CA2751">
        <w:rPr>
          <w:sz w:val="28"/>
          <w:szCs w:val="28"/>
        </w:rPr>
        <w:t xml:space="preserve">its operation was </w:t>
      </w:r>
      <w:r w:rsidR="00B76AC2" w:rsidRPr="00CA2751">
        <w:rPr>
          <w:sz w:val="28"/>
          <w:szCs w:val="28"/>
        </w:rPr>
        <w:t>suspended upon</w:t>
      </w:r>
      <w:r w:rsidR="006406BA" w:rsidRPr="00CA2751">
        <w:rPr>
          <w:sz w:val="28"/>
          <w:szCs w:val="28"/>
        </w:rPr>
        <w:t xml:space="preserve"> the lodging of the application for leave to appeal against it</w:t>
      </w:r>
      <w:r w:rsidR="00113822" w:rsidRPr="00CA2751">
        <w:rPr>
          <w:sz w:val="28"/>
          <w:szCs w:val="28"/>
        </w:rPr>
        <w:t>.</w:t>
      </w:r>
    </w:p>
    <w:p w14:paraId="46C62ADD" w14:textId="77777777" w:rsidR="00113822" w:rsidRPr="00CA2751" w:rsidRDefault="00113822" w:rsidP="007D3DBE">
      <w:pPr>
        <w:pStyle w:val="ListParagraph"/>
        <w:ind w:left="0"/>
        <w:rPr>
          <w:sz w:val="28"/>
          <w:szCs w:val="28"/>
        </w:rPr>
      </w:pPr>
    </w:p>
    <w:p w14:paraId="3B6727C4" w14:textId="035F91C1" w:rsidR="004E7AD3" w:rsidRPr="00CA2751" w:rsidRDefault="004E5F34" w:rsidP="004E5F34">
      <w:pPr>
        <w:tabs>
          <w:tab w:val="left" w:pos="0"/>
        </w:tabs>
        <w:rPr>
          <w:sz w:val="28"/>
          <w:szCs w:val="28"/>
        </w:rPr>
      </w:pPr>
      <w:r w:rsidRPr="00CA2751">
        <w:rPr>
          <w:sz w:val="28"/>
          <w:szCs w:val="28"/>
        </w:rPr>
        <w:t>[28]</w:t>
      </w:r>
      <w:r w:rsidRPr="00CA2751">
        <w:rPr>
          <w:sz w:val="28"/>
          <w:szCs w:val="28"/>
        </w:rPr>
        <w:tab/>
      </w:r>
      <w:r w:rsidR="00306FB4" w:rsidRPr="00CA2751">
        <w:rPr>
          <w:sz w:val="28"/>
          <w:szCs w:val="28"/>
        </w:rPr>
        <w:t>C</w:t>
      </w:r>
      <w:r w:rsidR="005B6DAD" w:rsidRPr="00CA2751">
        <w:rPr>
          <w:sz w:val="28"/>
          <w:szCs w:val="28"/>
        </w:rPr>
        <w:t xml:space="preserve">onsequently, </w:t>
      </w:r>
      <w:r w:rsidR="00113822" w:rsidRPr="00CA2751">
        <w:rPr>
          <w:sz w:val="28"/>
          <w:szCs w:val="28"/>
        </w:rPr>
        <w:t>Fourie J</w:t>
      </w:r>
      <w:r w:rsidR="001C64AB" w:rsidRPr="00CA2751">
        <w:rPr>
          <w:sz w:val="28"/>
          <w:szCs w:val="28"/>
        </w:rPr>
        <w:t xml:space="preserve"> </w:t>
      </w:r>
      <w:r w:rsidR="005B6DAD" w:rsidRPr="00CA2751">
        <w:rPr>
          <w:sz w:val="28"/>
          <w:szCs w:val="28"/>
        </w:rPr>
        <w:t xml:space="preserve">was required to </w:t>
      </w:r>
      <w:r w:rsidR="001E5CCD" w:rsidRPr="00CA2751">
        <w:rPr>
          <w:sz w:val="28"/>
          <w:szCs w:val="28"/>
        </w:rPr>
        <w:t>determine whether</w:t>
      </w:r>
      <w:r w:rsidR="001C64AB" w:rsidRPr="00CA2751">
        <w:rPr>
          <w:sz w:val="28"/>
          <w:szCs w:val="28"/>
        </w:rPr>
        <w:t xml:space="preserve"> contempt had </w:t>
      </w:r>
      <w:r w:rsidR="005B6DAD" w:rsidRPr="00CA2751">
        <w:rPr>
          <w:sz w:val="28"/>
          <w:szCs w:val="28"/>
        </w:rPr>
        <w:t xml:space="preserve">been established on the </w:t>
      </w:r>
      <w:r w:rsidR="001E5CCD" w:rsidRPr="00CA2751">
        <w:rPr>
          <w:sz w:val="28"/>
          <w:szCs w:val="28"/>
        </w:rPr>
        <w:t xml:space="preserve">papers. </w:t>
      </w:r>
      <w:r w:rsidR="001C64AB" w:rsidRPr="00CA2751">
        <w:rPr>
          <w:sz w:val="28"/>
          <w:szCs w:val="28"/>
        </w:rPr>
        <w:t xml:space="preserve">He </w:t>
      </w:r>
      <w:r w:rsidR="002E3D4D" w:rsidRPr="00CA2751">
        <w:rPr>
          <w:sz w:val="28"/>
          <w:szCs w:val="28"/>
        </w:rPr>
        <w:t>found</w:t>
      </w:r>
      <w:r w:rsidR="004E7AD3" w:rsidRPr="00CA2751">
        <w:rPr>
          <w:sz w:val="28"/>
          <w:szCs w:val="28"/>
        </w:rPr>
        <w:t xml:space="preserve"> that </w:t>
      </w:r>
      <w:r w:rsidR="007818EA" w:rsidRPr="00CA2751">
        <w:rPr>
          <w:sz w:val="28"/>
          <w:szCs w:val="28"/>
        </w:rPr>
        <w:t>Samancor’s</w:t>
      </w:r>
      <w:r w:rsidR="004E7AD3" w:rsidRPr="00CA2751">
        <w:rPr>
          <w:sz w:val="28"/>
          <w:szCs w:val="28"/>
        </w:rPr>
        <w:t xml:space="preserve"> application was based on Bila’s </w:t>
      </w:r>
      <w:r w:rsidR="007818EA" w:rsidRPr="00CA2751">
        <w:rPr>
          <w:sz w:val="28"/>
          <w:szCs w:val="28"/>
        </w:rPr>
        <w:t xml:space="preserve">conduct, which occurred </w:t>
      </w:r>
      <w:r w:rsidR="004E7AD3" w:rsidRPr="00CA2751">
        <w:rPr>
          <w:sz w:val="28"/>
          <w:szCs w:val="28"/>
        </w:rPr>
        <w:t>after 10 June 2020</w:t>
      </w:r>
      <w:r w:rsidR="007818EA" w:rsidRPr="00CA2751">
        <w:rPr>
          <w:sz w:val="28"/>
          <w:szCs w:val="28"/>
        </w:rPr>
        <w:t>. He held</w:t>
      </w:r>
      <w:r w:rsidR="004E7AD3" w:rsidRPr="00CA2751">
        <w:rPr>
          <w:sz w:val="28"/>
          <w:szCs w:val="28"/>
        </w:rPr>
        <w:t xml:space="preserve"> that </w:t>
      </w:r>
      <w:r w:rsidR="005710B0" w:rsidRPr="00CA2751">
        <w:rPr>
          <w:sz w:val="28"/>
          <w:szCs w:val="28"/>
        </w:rPr>
        <w:t>‘</w:t>
      </w:r>
      <w:r w:rsidR="005A405D" w:rsidRPr="00CA2751">
        <w:rPr>
          <w:sz w:val="28"/>
          <w:szCs w:val="28"/>
        </w:rPr>
        <w:t>[</w:t>
      </w:r>
      <w:r w:rsidR="004E7AD3" w:rsidRPr="00CA2751">
        <w:rPr>
          <w:sz w:val="28"/>
          <w:szCs w:val="28"/>
        </w:rPr>
        <w:t>t</w:t>
      </w:r>
      <w:r w:rsidR="005A405D" w:rsidRPr="00CA2751">
        <w:rPr>
          <w:sz w:val="28"/>
          <w:szCs w:val="28"/>
        </w:rPr>
        <w:t>]</w:t>
      </w:r>
      <w:r w:rsidR="004E7AD3" w:rsidRPr="00CA2751">
        <w:rPr>
          <w:sz w:val="28"/>
          <w:szCs w:val="28"/>
        </w:rPr>
        <w:t>he relevant period applicable for the order granted by Neuki</w:t>
      </w:r>
      <w:r w:rsidR="005710B0" w:rsidRPr="00CA2751">
        <w:rPr>
          <w:sz w:val="28"/>
          <w:szCs w:val="28"/>
        </w:rPr>
        <w:t>r</w:t>
      </w:r>
      <w:r w:rsidR="004E7AD3" w:rsidRPr="00CA2751">
        <w:rPr>
          <w:sz w:val="28"/>
          <w:szCs w:val="28"/>
        </w:rPr>
        <w:t>cher J</w:t>
      </w:r>
      <w:r w:rsidR="005710B0" w:rsidRPr="00CA2751">
        <w:rPr>
          <w:sz w:val="28"/>
          <w:szCs w:val="28"/>
        </w:rPr>
        <w:t xml:space="preserve"> [was]</w:t>
      </w:r>
      <w:r w:rsidR="000B1993" w:rsidRPr="00CA2751">
        <w:rPr>
          <w:sz w:val="28"/>
          <w:szCs w:val="28"/>
        </w:rPr>
        <w:t xml:space="preserve"> therefore between</w:t>
      </w:r>
      <w:r w:rsidR="005710B0" w:rsidRPr="00CA2751">
        <w:rPr>
          <w:sz w:val="28"/>
          <w:szCs w:val="28"/>
        </w:rPr>
        <w:t xml:space="preserve"> 10 June 2020</w:t>
      </w:r>
      <w:r w:rsidR="004E7AD3" w:rsidRPr="00CA2751">
        <w:rPr>
          <w:sz w:val="28"/>
          <w:szCs w:val="28"/>
        </w:rPr>
        <w:t xml:space="preserve"> </w:t>
      </w:r>
      <w:r w:rsidR="000B1993" w:rsidRPr="00CA2751">
        <w:rPr>
          <w:sz w:val="28"/>
          <w:szCs w:val="28"/>
        </w:rPr>
        <w:t>(the effective date) and 22 July 2020 when the application for leave to appeal to the Constitutional Court was filed</w:t>
      </w:r>
      <w:r w:rsidR="006829D5" w:rsidRPr="00CA2751">
        <w:rPr>
          <w:sz w:val="28"/>
          <w:szCs w:val="28"/>
        </w:rPr>
        <w:t>.</w:t>
      </w:r>
      <w:r w:rsidR="003F2E4F">
        <w:rPr>
          <w:sz w:val="28"/>
          <w:szCs w:val="28"/>
        </w:rPr>
        <w:t>’</w:t>
      </w:r>
      <w:r w:rsidR="000B1993" w:rsidRPr="00CA2751">
        <w:rPr>
          <w:sz w:val="28"/>
          <w:szCs w:val="28"/>
        </w:rPr>
        <w:t xml:space="preserve"> </w:t>
      </w:r>
      <w:r w:rsidR="00676777" w:rsidRPr="00CA2751">
        <w:rPr>
          <w:sz w:val="28"/>
          <w:szCs w:val="28"/>
        </w:rPr>
        <w:t xml:space="preserve">The </w:t>
      </w:r>
      <w:r w:rsidR="000B1993" w:rsidRPr="00CA2751">
        <w:rPr>
          <w:sz w:val="28"/>
          <w:szCs w:val="28"/>
        </w:rPr>
        <w:t xml:space="preserve">effective date </w:t>
      </w:r>
      <w:r w:rsidR="00676777" w:rsidRPr="00CA2751">
        <w:rPr>
          <w:sz w:val="28"/>
          <w:szCs w:val="28"/>
        </w:rPr>
        <w:t xml:space="preserve">was based </w:t>
      </w:r>
      <w:r w:rsidR="000B1993" w:rsidRPr="00CA2751">
        <w:rPr>
          <w:sz w:val="28"/>
          <w:szCs w:val="28"/>
        </w:rPr>
        <w:t>on Samancor’s allegation that Mr Greef</w:t>
      </w:r>
      <w:r w:rsidR="00B76AC2" w:rsidRPr="00CA2751">
        <w:rPr>
          <w:sz w:val="28"/>
          <w:szCs w:val="28"/>
        </w:rPr>
        <w:t>f</w:t>
      </w:r>
      <w:r w:rsidR="000B1993" w:rsidRPr="00CA2751">
        <w:rPr>
          <w:sz w:val="28"/>
          <w:szCs w:val="28"/>
        </w:rPr>
        <w:t xml:space="preserve"> </w:t>
      </w:r>
      <w:r w:rsidR="00561018">
        <w:rPr>
          <w:sz w:val="28"/>
          <w:szCs w:val="28"/>
        </w:rPr>
        <w:t xml:space="preserve">had </w:t>
      </w:r>
      <w:r w:rsidR="000B1993" w:rsidRPr="00CA2751">
        <w:rPr>
          <w:sz w:val="28"/>
          <w:szCs w:val="28"/>
        </w:rPr>
        <w:t xml:space="preserve">noticed </w:t>
      </w:r>
      <w:r w:rsidR="00561018">
        <w:rPr>
          <w:sz w:val="28"/>
          <w:szCs w:val="28"/>
        </w:rPr>
        <w:t>Bila</w:t>
      </w:r>
      <w:r w:rsidR="000B1993" w:rsidRPr="00CA2751">
        <w:rPr>
          <w:sz w:val="28"/>
          <w:szCs w:val="28"/>
        </w:rPr>
        <w:t>’s trucks operating on the prospecting area</w:t>
      </w:r>
      <w:r w:rsidR="00B76AC2" w:rsidRPr="00CA2751">
        <w:rPr>
          <w:sz w:val="28"/>
          <w:szCs w:val="28"/>
        </w:rPr>
        <w:t xml:space="preserve"> on</w:t>
      </w:r>
      <w:r w:rsidR="000B1993" w:rsidRPr="00CA2751">
        <w:rPr>
          <w:sz w:val="28"/>
          <w:szCs w:val="28"/>
        </w:rPr>
        <w:t xml:space="preserve"> RE Portion 2</w:t>
      </w:r>
      <w:r w:rsidR="00676777" w:rsidRPr="00CA2751">
        <w:rPr>
          <w:sz w:val="28"/>
          <w:szCs w:val="28"/>
        </w:rPr>
        <w:t xml:space="preserve"> on 10 June 2020</w:t>
      </w:r>
      <w:r w:rsidR="000B1993" w:rsidRPr="00CA2751">
        <w:rPr>
          <w:sz w:val="28"/>
          <w:szCs w:val="28"/>
        </w:rPr>
        <w:t xml:space="preserve">. </w:t>
      </w:r>
      <w:r w:rsidR="00560912" w:rsidRPr="00CA2751">
        <w:rPr>
          <w:sz w:val="28"/>
          <w:szCs w:val="28"/>
        </w:rPr>
        <w:t xml:space="preserve">He </w:t>
      </w:r>
      <w:r w:rsidR="000B1993" w:rsidRPr="00CA2751">
        <w:rPr>
          <w:sz w:val="28"/>
          <w:szCs w:val="28"/>
        </w:rPr>
        <w:t xml:space="preserve">made the following key </w:t>
      </w:r>
      <w:r w:rsidR="00676777" w:rsidRPr="00CA2751">
        <w:rPr>
          <w:sz w:val="28"/>
          <w:szCs w:val="28"/>
        </w:rPr>
        <w:t>findings</w:t>
      </w:r>
      <w:r w:rsidR="000B1993" w:rsidRPr="00CA2751">
        <w:rPr>
          <w:sz w:val="28"/>
          <w:szCs w:val="28"/>
        </w:rPr>
        <w:t>:</w:t>
      </w:r>
    </w:p>
    <w:p w14:paraId="7F6D6EFA" w14:textId="77777777" w:rsidR="006829D5" w:rsidRPr="00CA2751" w:rsidRDefault="000B1993" w:rsidP="00560912">
      <w:pPr>
        <w:pStyle w:val="ListParagraph"/>
        <w:ind w:left="0"/>
      </w:pPr>
      <w:r w:rsidRPr="00CA2751">
        <w:t>‘</w:t>
      </w:r>
      <w:r w:rsidR="00346FBB" w:rsidRPr="00CA2751">
        <w:t xml:space="preserve">[40] </w:t>
      </w:r>
      <w:r w:rsidRPr="00CA2751">
        <w:t>Taking into account the period during which the order granted by Neukircher J is operative for purposes of this application (between 10 June, the effective date, and 21 July 2020)</w:t>
      </w:r>
      <w:r w:rsidR="00C42E27" w:rsidRPr="00CA2751">
        <w:t>, the question to be considered is whether the responden</w:t>
      </w:r>
      <w:r w:rsidR="00676777" w:rsidRPr="00CA2751">
        <w:t>t, by</w:t>
      </w:r>
      <w:r w:rsidR="00C42E27" w:rsidRPr="00CA2751">
        <w:t xml:space="preserve"> conducting these activities, was conducting mining operations as opposed to prospecting activities, by removing material or other minerals from this property “</w:t>
      </w:r>
      <w:r w:rsidR="00C42E27" w:rsidRPr="00CA2751">
        <w:rPr>
          <w:i/>
        </w:rPr>
        <w:t>outside of that allowed by its prospecting rights</w:t>
      </w:r>
      <w:r w:rsidR="00C42E27" w:rsidRPr="00CA2751">
        <w:t>”</w:t>
      </w:r>
      <w:r w:rsidR="00676777" w:rsidRPr="00CA2751">
        <w:t>.</w:t>
      </w:r>
      <w:r w:rsidR="00560912" w:rsidRPr="00CA2751">
        <w:t>’</w:t>
      </w:r>
    </w:p>
    <w:p w14:paraId="244778CA" w14:textId="214FC6D6" w:rsidR="00560912" w:rsidRDefault="00346FBB" w:rsidP="00560912">
      <w:pPr>
        <w:pStyle w:val="ListParagraph"/>
        <w:ind w:left="0"/>
      </w:pPr>
      <w:r w:rsidRPr="00CA2751">
        <w:t xml:space="preserve">[41] </w:t>
      </w:r>
      <w:r w:rsidR="00560912" w:rsidRPr="00CA2751">
        <w:t>The founding affidavit still refers to “</w:t>
      </w:r>
      <w:r w:rsidR="00560912" w:rsidRPr="00CA2751">
        <w:rPr>
          <w:i/>
        </w:rPr>
        <w:t xml:space="preserve">unlawful mining </w:t>
      </w:r>
      <w:r w:rsidR="00560912" w:rsidRPr="00CA2751">
        <w:rPr>
          <w:i/>
          <w:u w:val="single"/>
        </w:rPr>
        <w:t>and/or</w:t>
      </w:r>
      <w:r w:rsidR="00560912" w:rsidRPr="00CA2751">
        <w:rPr>
          <w:i/>
        </w:rPr>
        <w:t xml:space="preserve"> prospecting activities</w:t>
      </w:r>
      <w:r w:rsidR="00560912" w:rsidRPr="00CA2751">
        <w:t>”, even after Jele’s calculations. The explanation given in the founding affidavit “</w:t>
      </w:r>
      <w:r w:rsidR="00560912" w:rsidRPr="00CA2751">
        <w:rPr>
          <w:i/>
        </w:rPr>
        <w:t>that by</w:t>
      </w:r>
      <w:r w:rsidR="00560912" w:rsidRPr="00CA2751">
        <w:t xml:space="preserve"> </w:t>
      </w:r>
      <w:r w:rsidR="00560912" w:rsidRPr="00CA2751">
        <w:rPr>
          <w:i/>
        </w:rPr>
        <w:t>3 July 2020 the respondent has mined additional volumes of chrome ore”</w:t>
      </w:r>
      <w:r w:rsidR="00560912" w:rsidRPr="00CA2751">
        <w:t xml:space="preserve"> in the quantities as mentioned, also does not take the matter any further as it is not explained during what period </w:t>
      </w:r>
      <w:r w:rsidR="00460FAD" w:rsidRPr="00CA2751">
        <w:t>these</w:t>
      </w:r>
      <w:r w:rsidR="00560912" w:rsidRPr="00CA2751">
        <w:t xml:space="preserve"> quantities of material had been mined and/or removed outside of that allowed </w:t>
      </w:r>
      <w:r w:rsidR="00560912" w:rsidRPr="00CA2751">
        <w:lastRenderedPageBreak/>
        <w:t xml:space="preserve">in terms of the prospecting rights. Put differently, had it been illegally mined or was the respondent conducting prospecting activities? Furthermore, had the material been removed between 10 June (the effective date) and 3 July 2020 (when the calculation was apparently made) or had the activities and removal already started prior to 10 June 2020? If the activities had already started </w:t>
      </w:r>
      <w:r w:rsidR="00560912" w:rsidRPr="00561018">
        <w:rPr>
          <w:i/>
        </w:rPr>
        <w:t>prior</w:t>
      </w:r>
      <w:r w:rsidR="00560912" w:rsidRPr="00CA2751">
        <w:t xml:space="preserve"> to 10 June 2020, what is the amount of material that was removed </w:t>
      </w:r>
      <w:r w:rsidR="00560912" w:rsidRPr="00CA2751">
        <w:rPr>
          <w:i/>
        </w:rPr>
        <w:t>after</w:t>
      </w:r>
      <w:r w:rsidR="00560912" w:rsidRPr="00CA2751">
        <w:t xml:space="preserve"> the effective date?’</w:t>
      </w:r>
      <w:r w:rsidR="00561018">
        <w:t xml:space="preserve"> (Emphasis in the original text.)</w:t>
      </w:r>
    </w:p>
    <w:p w14:paraId="286FE2E0" w14:textId="77777777" w:rsidR="00561018" w:rsidRPr="00CA2751" w:rsidRDefault="00561018" w:rsidP="00560912">
      <w:pPr>
        <w:pStyle w:val="ListParagraph"/>
        <w:ind w:left="0"/>
        <w:rPr>
          <w:u w:val="single"/>
        </w:rPr>
      </w:pPr>
    </w:p>
    <w:p w14:paraId="64F19C8C" w14:textId="07D7F85C" w:rsidR="000B1993" w:rsidRPr="00CA2751" w:rsidRDefault="004E5F34" w:rsidP="004E5F34">
      <w:pPr>
        <w:tabs>
          <w:tab w:val="left" w:pos="0"/>
        </w:tabs>
        <w:rPr>
          <w:sz w:val="28"/>
          <w:szCs w:val="28"/>
        </w:rPr>
      </w:pPr>
      <w:r w:rsidRPr="00CA2751">
        <w:rPr>
          <w:sz w:val="28"/>
          <w:szCs w:val="28"/>
        </w:rPr>
        <w:t>[29]</w:t>
      </w:r>
      <w:r w:rsidRPr="00CA2751">
        <w:rPr>
          <w:sz w:val="28"/>
          <w:szCs w:val="28"/>
        </w:rPr>
        <w:tab/>
      </w:r>
      <w:r w:rsidR="00B71B56" w:rsidRPr="00CA2751">
        <w:rPr>
          <w:sz w:val="28"/>
          <w:szCs w:val="28"/>
        </w:rPr>
        <w:t>Fourie J further noted the concession made in the replying affidavit that</w:t>
      </w:r>
      <w:r w:rsidR="001B1D83" w:rsidRPr="00CA2751">
        <w:rPr>
          <w:sz w:val="28"/>
          <w:szCs w:val="28"/>
        </w:rPr>
        <w:t xml:space="preserve"> Samancor became aware of these activities on 10 June 2020. For completeness, </w:t>
      </w:r>
      <w:r w:rsidR="00BD6EC7" w:rsidRPr="00CA2751">
        <w:rPr>
          <w:sz w:val="28"/>
          <w:szCs w:val="28"/>
        </w:rPr>
        <w:t xml:space="preserve">the </w:t>
      </w:r>
      <w:r w:rsidR="001B1D83" w:rsidRPr="00CA2751">
        <w:rPr>
          <w:sz w:val="28"/>
          <w:szCs w:val="28"/>
        </w:rPr>
        <w:t>replying affidavit</w:t>
      </w:r>
      <w:r w:rsidR="00676777" w:rsidRPr="00CA2751">
        <w:rPr>
          <w:sz w:val="28"/>
          <w:szCs w:val="28"/>
        </w:rPr>
        <w:t xml:space="preserve"> records</w:t>
      </w:r>
      <w:r w:rsidR="00FA35CE" w:rsidRPr="00CA2751">
        <w:rPr>
          <w:sz w:val="28"/>
          <w:szCs w:val="28"/>
        </w:rPr>
        <w:t xml:space="preserve"> that</w:t>
      </w:r>
      <w:r w:rsidR="001B1D83" w:rsidRPr="00CA2751">
        <w:rPr>
          <w:sz w:val="28"/>
          <w:szCs w:val="28"/>
        </w:rPr>
        <w:t xml:space="preserve"> ‘</w:t>
      </w:r>
      <w:r w:rsidR="00547DE7" w:rsidRPr="00CA2751">
        <w:rPr>
          <w:sz w:val="28"/>
          <w:szCs w:val="28"/>
        </w:rPr>
        <w:t>[</w:t>
      </w:r>
      <w:r w:rsidR="001B1D83" w:rsidRPr="00CA2751">
        <w:rPr>
          <w:sz w:val="28"/>
          <w:szCs w:val="28"/>
        </w:rPr>
        <w:t>t</w:t>
      </w:r>
      <w:r w:rsidR="00547DE7" w:rsidRPr="00CA2751">
        <w:rPr>
          <w:sz w:val="28"/>
          <w:szCs w:val="28"/>
        </w:rPr>
        <w:t>]</w:t>
      </w:r>
      <w:r w:rsidR="001B1D83" w:rsidRPr="00CA2751">
        <w:rPr>
          <w:sz w:val="28"/>
          <w:szCs w:val="28"/>
        </w:rPr>
        <w:t>he difference between this contempt application and the one before Van der Westhuizen J is that this application is based on the [Bila’s] conduct</w:t>
      </w:r>
      <w:r w:rsidR="00AE483D" w:rsidRPr="00CA2751">
        <w:rPr>
          <w:sz w:val="28"/>
          <w:szCs w:val="28"/>
        </w:rPr>
        <w:t xml:space="preserve"> after 10 June 2020, whereas the application before Van der Westhuizen J was based on conduct up to 8 September 2019</w:t>
      </w:r>
      <w:r w:rsidR="006829D5" w:rsidRPr="00CA2751">
        <w:rPr>
          <w:sz w:val="28"/>
          <w:szCs w:val="28"/>
        </w:rPr>
        <w:t>.</w:t>
      </w:r>
      <w:r w:rsidR="00561018">
        <w:rPr>
          <w:sz w:val="28"/>
          <w:szCs w:val="28"/>
        </w:rPr>
        <w:t>’</w:t>
      </w:r>
    </w:p>
    <w:p w14:paraId="240F856C" w14:textId="77777777" w:rsidR="00676777" w:rsidRPr="00CA2751" w:rsidRDefault="00676777" w:rsidP="004E2FA2">
      <w:pPr>
        <w:tabs>
          <w:tab w:val="left" w:pos="0"/>
        </w:tabs>
        <w:rPr>
          <w:sz w:val="28"/>
          <w:szCs w:val="28"/>
        </w:rPr>
      </w:pPr>
    </w:p>
    <w:p w14:paraId="027E3C8E" w14:textId="49BA36DF" w:rsidR="00BE0170" w:rsidRPr="00CA2751" w:rsidRDefault="004E5F34" w:rsidP="004E5F34">
      <w:pPr>
        <w:tabs>
          <w:tab w:val="left" w:pos="0"/>
        </w:tabs>
        <w:rPr>
          <w:sz w:val="28"/>
          <w:szCs w:val="28"/>
        </w:rPr>
      </w:pPr>
      <w:r w:rsidRPr="00CA2751">
        <w:rPr>
          <w:sz w:val="28"/>
          <w:szCs w:val="28"/>
        </w:rPr>
        <w:t>[30]</w:t>
      </w:r>
      <w:r w:rsidRPr="00CA2751">
        <w:rPr>
          <w:sz w:val="28"/>
          <w:szCs w:val="28"/>
        </w:rPr>
        <w:tab/>
      </w:r>
      <w:r w:rsidR="00ED681F" w:rsidRPr="00CA2751">
        <w:rPr>
          <w:sz w:val="28"/>
          <w:szCs w:val="28"/>
        </w:rPr>
        <w:t xml:space="preserve">Fourie </w:t>
      </w:r>
      <w:r w:rsidR="00BE0170" w:rsidRPr="00CA2751">
        <w:rPr>
          <w:sz w:val="28"/>
          <w:szCs w:val="28"/>
        </w:rPr>
        <w:t>J accordingly found that ‘there [was] no sufficient evidence to indicate, beyond reasonable doubt (or even on a balance of probabilities), that [Bila] has disobeyed</w:t>
      </w:r>
      <w:r w:rsidR="00802A81" w:rsidRPr="00CA2751">
        <w:rPr>
          <w:sz w:val="28"/>
          <w:szCs w:val="28"/>
        </w:rPr>
        <w:t xml:space="preserve"> the order granted by Neukircher J by conducting mining operations, as opposed to prospecting activities, and by removing material outside of that allowed by its prospecting right during the period referred to above</w:t>
      </w:r>
      <w:r w:rsidR="006829D5" w:rsidRPr="00CA2751">
        <w:rPr>
          <w:sz w:val="28"/>
          <w:szCs w:val="28"/>
        </w:rPr>
        <w:t>.</w:t>
      </w:r>
      <w:r w:rsidR="00561018">
        <w:rPr>
          <w:sz w:val="28"/>
          <w:szCs w:val="28"/>
        </w:rPr>
        <w:t>’</w:t>
      </w:r>
    </w:p>
    <w:p w14:paraId="3FE5CF87" w14:textId="77777777" w:rsidR="00ED681F" w:rsidRPr="00CA2751" w:rsidRDefault="00ED681F" w:rsidP="004E2FA2">
      <w:pPr>
        <w:tabs>
          <w:tab w:val="left" w:pos="0"/>
        </w:tabs>
        <w:rPr>
          <w:sz w:val="28"/>
          <w:szCs w:val="28"/>
        </w:rPr>
      </w:pPr>
    </w:p>
    <w:p w14:paraId="6E5753DF" w14:textId="1622A254" w:rsidR="00D0019E" w:rsidRPr="00CA2751" w:rsidRDefault="004E5F34" w:rsidP="004E5F34">
      <w:pPr>
        <w:tabs>
          <w:tab w:val="left" w:pos="0"/>
        </w:tabs>
        <w:rPr>
          <w:sz w:val="28"/>
          <w:szCs w:val="28"/>
        </w:rPr>
      </w:pPr>
      <w:r w:rsidRPr="00CA2751">
        <w:rPr>
          <w:sz w:val="28"/>
          <w:szCs w:val="28"/>
        </w:rPr>
        <w:t>[31]</w:t>
      </w:r>
      <w:r w:rsidRPr="00CA2751">
        <w:rPr>
          <w:sz w:val="28"/>
          <w:szCs w:val="28"/>
        </w:rPr>
        <w:tab/>
      </w:r>
      <w:r w:rsidR="00ED681F" w:rsidRPr="00CA2751">
        <w:rPr>
          <w:sz w:val="28"/>
          <w:szCs w:val="28"/>
        </w:rPr>
        <w:t xml:space="preserve">As to the order granted by Janse van Niewenhuizen J, Fourie J found that, that order which prohibited all activities, including prospecting operations, was operational from when it was granted on 10 December 2019 and was not suspended by the application for leave to appeal. </w:t>
      </w:r>
      <w:r w:rsidR="00D0019E" w:rsidRPr="00CA2751">
        <w:rPr>
          <w:sz w:val="28"/>
          <w:szCs w:val="28"/>
        </w:rPr>
        <w:t xml:space="preserve">It was an interlocutory order not having the effect of </w:t>
      </w:r>
      <w:r w:rsidR="00561018">
        <w:rPr>
          <w:sz w:val="28"/>
          <w:szCs w:val="28"/>
        </w:rPr>
        <w:t xml:space="preserve">a </w:t>
      </w:r>
      <w:r w:rsidR="00D0019E" w:rsidRPr="00CA2751">
        <w:rPr>
          <w:sz w:val="28"/>
          <w:szCs w:val="28"/>
        </w:rPr>
        <w:t xml:space="preserve">final judgment, as contemplated </w:t>
      </w:r>
      <w:r w:rsidR="00D0019E" w:rsidRPr="00CA2751">
        <w:rPr>
          <w:sz w:val="28"/>
          <w:szCs w:val="28"/>
        </w:rPr>
        <w:lastRenderedPageBreak/>
        <w:t xml:space="preserve">in s 18(2) of the Superior Courts Act. </w:t>
      </w:r>
      <w:r w:rsidR="00ED681F" w:rsidRPr="00CA2751">
        <w:rPr>
          <w:sz w:val="28"/>
          <w:szCs w:val="28"/>
        </w:rPr>
        <w:t xml:space="preserve">It was therefore effective and enforceable </w:t>
      </w:r>
      <w:r w:rsidR="00561018">
        <w:rPr>
          <w:sz w:val="28"/>
          <w:szCs w:val="28"/>
        </w:rPr>
        <w:t xml:space="preserve">also </w:t>
      </w:r>
      <w:r w:rsidR="00ED681F" w:rsidRPr="00CA2751">
        <w:rPr>
          <w:sz w:val="28"/>
          <w:szCs w:val="28"/>
        </w:rPr>
        <w:t xml:space="preserve">from 10 June 2020. </w:t>
      </w:r>
    </w:p>
    <w:p w14:paraId="3F9A925B" w14:textId="77777777" w:rsidR="001940D8" w:rsidRPr="00CA2751" w:rsidRDefault="001940D8" w:rsidP="00CA2751">
      <w:pPr>
        <w:tabs>
          <w:tab w:val="left" w:pos="0"/>
        </w:tabs>
        <w:rPr>
          <w:sz w:val="28"/>
          <w:szCs w:val="28"/>
        </w:rPr>
      </w:pPr>
    </w:p>
    <w:p w14:paraId="27397D16" w14:textId="190CABAC" w:rsidR="00ED681F" w:rsidRPr="00CA2751" w:rsidRDefault="004E5F34" w:rsidP="004E5F34">
      <w:pPr>
        <w:tabs>
          <w:tab w:val="left" w:pos="0"/>
        </w:tabs>
        <w:rPr>
          <w:sz w:val="28"/>
          <w:szCs w:val="28"/>
        </w:rPr>
      </w:pPr>
      <w:r w:rsidRPr="00CA2751">
        <w:rPr>
          <w:sz w:val="28"/>
          <w:szCs w:val="28"/>
        </w:rPr>
        <w:t>[32]</w:t>
      </w:r>
      <w:r w:rsidRPr="00CA2751">
        <w:rPr>
          <w:sz w:val="28"/>
          <w:szCs w:val="28"/>
        </w:rPr>
        <w:tab/>
      </w:r>
      <w:r w:rsidR="00D0019E" w:rsidRPr="00CA2751">
        <w:rPr>
          <w:sz w:val="28"/>
          <w:szCs w:val="28"/>
        </w:rPr>
        <w:t xml:space="preserve">He further found that, </w:t>
      </w:r>
      <w:r w:rsidR="00ED681F" w:rsidRPr="00CA2751">
        <w:rPr>
          <w:sz w:val="28"/>
          <w:szCs w:val="28"/>
        </w:rPr>
        <w:t xml:space="preserve">Bila had admitted that it was carrying out prospecting activities even during the </w:t>
      </w:r>
      <w:r w:rsidR="00D0019E" w:rsidRPr="00CA2751">
        <w:rPr>
          <w:sz w:val="28"/>
          <w:szCs w:val="28"/>
        </w:rPr>
        <w:t xml:space="preserve">relevant </w:t>
      </w:r>
      <w:r w:rsidR="00ED681F" w:rsidRPr="00CA2751">
        <w:rPr>
          <w:sz w:val="28"/>
          <w:szCs w:val="28"/>
        </w:rPr>
        <w:t xml:space="preserve">period. The uncertainty about the removal of the material outside of that allowed by the prospecting right during the relevant period, while relevant, was of less importance when </w:t>
      </w:r>
      <w:r w:rsidR="00561018">
        <w:rPr>
          <w:sz w:val="28"/>
          <w:szCs w:val="28"/>
        </w:rPr>
        <w:t xml:space="preserve">regard is had to the terms </w:t>
      </w:r>
      <w:r w:rsidR="00ED681F" w:rsidRPr="00CA2751">
        <w:rPr>
          <w:sz w:val="28"/>
          <w:szCs w:val="28"/>
        </w:rPr>
        <w:t xml:space="preserve">of Janse van </w:t>
      </w:r>
      <w:r w:rsidR="00922D0B">
        <w:rPr>
          <w:sz w:val="28"/>
          <w:szCs w:val="28"/>
        </w:rPr>
        <w:t>Niewenhuizen</w:t>
      </w:r>
      <w:r w:rsidR="00ED681F" w:rsidRPr="00CA2751">
        <w:rPr>
          <w:sz w:val="28"/>
          <w:szCs w:val="28"/>
        </w:rPr>
        <w:t xml:space="preserve"> J’s order. He therefore concluded that Bila had failed to comply with the order granted by Janse van Niewenhuizen J.</w:t>
      </w:r>
    </w:p>
    <w:p w14:paraId="63807E32" w14:textId="77777777" w:rsidR="00ED681F" w:rsidRPr="00CA2751" w:rsidRDefault="00ED681F" w:rsidP="007D3DBE">
      <w:pPr>
        <w:pStyle w:val="ListParagraph"/>
        <w:ind w:left="0"/>
        <w:rPr>
          <w:sz w:val="28"/>
          <w:szCs w:val="28"/>
        </w:rPr>
      </w:pPr>
    </w:p>
    <w:p w14:paraId="53762FC3" w14:textId="39A20E55" w:rsidR="00CF0180" w:rsidRPr="00CA2751" w:rsidRDefault="004E5F34" w:rsidP="004E5F34">
      <w:pPr>
        <w:tabs>
          <w:tab w:val="left" w:pos="0"/>
        </w:tabs>
        <w:rPr>
          <w:sz w:val="28"/>
          <w:szCs w:val="28"/>
        </w:rPr>
      </w:pPr>
      <w:r w:rsidRPr="00CA2751">
        <w:rPr>
          <w:sz w:val="28"/>
          <w:szCs w:val="28"/>
        </w:rPr>
        <w:t>[33]</w:t>
      </w:r>
      <w:r w:rsidRPr="00CA2751">
        <w:rPr>
          <w:sz w:val="28"/>
          <w:szCs w:val="28"/>
        </w:rPr>
        <w:tab/>
      </w:r>
      <w:r w:rsidR="002E2144" w:rsidRPr="00CA2751">
        <w:rPr>
          <w:sz w:val="28"/>
          <w:szCs w:val="28"/>
        </w:rPr>
        <w:t xml:space="preserve">As to wilfulness and </w:t>
      </w:r>
      <w:r w:rsidR="002E2144" w:rsidRPr="00CA2751">
        <w:rPr>
          <w:i/>
          <w:sz w:val="28"/>
          <w:szCs w:val="28"/>
        </w:rPr>
        <w:t>mala fide</w:t>
      </w:r>
      <w:r w:rsidR="00676777" w:rsidRPr="00CA2751">
        <w:rPr>
          <w:i/>
          <w:sz w:val="28"/>
          <w:szCs w:val="28"/>
        </w:rPr>
        <w:t>s</w:t>
      </w:r>
      <w:r w:rsidR="00D0019E" w:rsidRPr="00CA2751">
        <w:rPr>
          <w:sz w:val="28"/>
          <w:szCs w:val="28"/>
        </w:rPr>
        <w:t xml:space="preserve"> in</w:t>
      </w:r>
      <w:r w:rsidR="002E2144" w:rsidRPr="00CA2751">
        <w:rPr>
          <w:sz w:val="28"/>
          <w:szCs w:val="28"/>
        </w:rPr>
        <w:t xml:space="preserve"> respect of this order, </w:t>
      </w:r>
      <w:r w:rsidR="00676777" w:rsidRPr="00CA2751">
        <w:rPr>
          <w:sz w:val="28"/>
          <w:szCs w:val="28"/>
        </w:rPr>
        <w:t xml:space="preserve">Fourie J </w:t>
      </w:r>
      <w:r w:rsidR="002E2144" w:rsidRPr="00CA2751">
        <w:rPr>
          <w:sz w:val="28"/>
          <w:szCs w:val="28"/>
        </w:rPr>
        <w:t>accepted</w:t>
      </w:r>
      <w:r w:rsidR="00D0019E" w:rsidRPr="00CA2751">
        <w:rPr>
          <w:sz w:val="28"/>
          <w:szCs w:val="28"/>
        </w:rPr>
        <w:t xml:space="preserve"> the explanation given by Bila that it had received legal </w:t>
      </w:r>
      <w:r w:rsidR="00113225" w:rsidRPr="00CA2751">
        <w:rPr>
          <w:sz w:val="28"/>
          <w:szCs w:val="28"/>
        </w:rPr>
        <w:t>advice</w:t>
      </w:r>
      <w:r w:rsidR="006829D5" w:rsidRPr="00CA2751">
        <w:rPr>
          <w:sz w:val="28"/>
          <w:szCs w:val="28"/>
        </w:rPr>
        <w:t xml:space="preserve"> to the effect that the order was suspended and it could therefore continue with its prospecting activities</w:t>
      </w:r>
      <w:r w:rsidR="00113225" w:rsidRPr="00CA2751">
        <w:rPr>
          <w:sz w:val="28"/>
          <w:szCs w:val="28"/>
        </w:rPr>
        <w:t>, which</w:t>
      </w:r>
      <w:r w:rsidR="00D0019E" w:rsidRPr="00CA2751">
        <w:rPr>
          <w:sz w:val="28"/>
          <w:szCs w:val="28"/>
        </w:rPr>
        <w:t xml:space="preserve"> it </w:t>
      </w:r>
      <w:r w:rsidR="00D0019E" w:rsidRPr="00CA2751">
        <w:rPr>
          <w:i/>
          <w:iCs/>
          <w:sz w:val="28"/>
          <w:szCs w:val="28"/>
        </w:rPr>
        <w:t>bona fide</w:t>
      </w:r>
      <w:r w:rsidR="00D0019E" w:rsidRPr="00CA2751">
        <w:rPr>
          <w:sz w:val="28"/>
          <w:szCs w:val="28"/>
        </w:rPr>
        <w:t xml:space="preserve"> accepted. In this regard</w:t>
      </w:r>
      <w:r w:rsidR="00CF79D3" w:rsidRPr="00CA2751">
        <w:rPr>
          <w:sz w:val="28"/>
          <w:szCs w:val="28"/>
        </w:rPr>
        <w:t>,</w:t>
      </w:r>
      <w:r w:rsidR="00D0019E" w:rsidRPr="00CA2751">
        <w:rPr>
          <w:sz w:val="28"/>
          <w:szCs w:val="28"/>
        </w:rPr>
        <w:t xml:space="preserve"> he was satisfied that Bila had </w:t>
      </w:r>
      <w:r w:rsidR="00547DE7" w:rsidRPr="00CA2751">
        <w:rPr>
          <w:sz w:val="28"/>
          <w:szCs w:val="28"/>
        </w:rPr>
        <w:t>‘</w:t>
      </w:r>
      <w:r w:rsidR="00D0019E" w:rsidRPr="00CA2751">
        <w:rPr>
          <w:sz w:val="28"/>
          <w:szCs w:val="28"/>
        </w:rPr>
        <w:t xml:space="preserve">advanced sufficient evidence to establish a reasonable doubt (even on a balance of probabilities) as to whether the non-compliance was wilful and </w:t>
      </w:r>
      <w:r w:rsidR="00D0019E" w:rsidRPr="00CA2751">
        <w:rPr>
          <w:i/>
          <w:sz w:val="28"/>
          <w:szCs w:val="28"/>
        </w:rPr>
        <w:t>mala fide</w:t>
      </w:r>
      <w:r w:rsidR="00D0019E" w:rsidRPr="00CA2751">
        <w:rPr>
          <w:sz w:val="28"/>
          <w:szCs w:val="28"/>
        </w:rPr>
        <w:t xml:space="preserve">, notwithstanding the fact that [Bila] was </w:t>
      </w:r>
      <w:r w:rsidR="00547DE7" w:rsidRPr="00CA2751">
        <w:rPr>
          <w:sz w:val="28"/>
          <w:szCs w:val="28"/>
        </w:rPr>
        <w:t xml:space="preserve">later </w:t>
      </w:r>
      <w:r w:rsidR="00D0019E" w:rsidRPr="00CA2751">
        <w:rPr>
          <w:sz w:val="28"/>
          <w:szCs w:val="28"/>
        </w:rPr>
        <w:t>found to be wrong about the supposed suspension</w:t>
      </w:r>
      <w:r w:rsidR="006829D5" w:rsidRPr="00CA2751">
        <w:rPr>
          <w:sz w:val="28"/>
          <w:szCs w:val="28"/>
        </w:rPr>
        <w:t>.</w:t>
      </w:r>
      <w:r w:rsidR="003F2E4F">
        <w:rPr>
          <w:sz w:val="28"/>
          <w:szCs w:val="28"/>
        </w:rPr>
        <w:t>’</w:t>
      </w:r>
      <w:r w:rsidR="00D0019E" w:rsidRPr="00CA2751">
        <w:rPr>
          <w:sz w:val="28"/>
          <w:szCs w:val="28"/>
        </w:rPr>
        <w:t xml:space="preserve"> He accordingly dismissed the application with no order as to costs.</w:t>
      </w:r>
    </w:p>
    <w:p w14:paraId="78131F62" w14:textId="77777777" w:rsidR="00CF0180" w:rsidRPr="00CA2751" w:rsidRDefault="00CF0180" w:rsidP="007D3DBE">
      <w:pPr>
        <w:pStyle w:val="ListParagraph"/>
        <w:ind w:left="0"/>
        <w:rPr>
          <w:sz w:val="28"/>
          <w:szCs w:val="28"/>
        </w:rPr>
      </w:pPr>
    </w:p>
    <w:p w14:paraId="10A7E0C0" w14:textId="79407A55" w:rsidR="006853F7" w:rsidRPr="00CA2751" w:rsidRDefault="004E5F34" w:rsidP="004E5F34">
      <w:pPr>
        <w:tabs>
          <w:tab w:val="left" w:pos="0"/>
        </w:tabs>
        <w:rPr>
          <w:sz w:val="28"/>
          <w:szCs w:val="28"/>
        </w:rPr>
      </w:pPr>
      <w:r w:rsidRPr="00CA2751">
        <w:rPr>
          <w:sz w:val="28"/>
          <w:szCs w:val="28"/>
        </w:rPr>
        <w:t>[34]</w:t>
      </w:r>
      <w:r w:rsidRPr="00CA2751">
        <w:rPr>
          <w:sz w:val="28"/>
          <w:szCs w:val="28"/>
        </w:rPr>
        <w:tab/>
      </w:r>
      <w:r w:rsidR="00113225" w:rsidRPr="00CA2751">
        <w:rPr>
          <w:sz w:val="28"/>
          <w:szCs w:val="28"/>
        </w:rPr>
        <w:t>B</w:t>
      </w:r>
      <w:r w:rsidR="00CF0180" w:rsidRPr="00CA2751">
        <w:rPr>
          <w:sz w:val="28"/>
          <w:szCs w:val="28"/>
        </w:rPr>
        <w:t>efore</w:t>
      </w:r>
      <w:r w:rsidR="00113225" w:rsidRPr="00CA2751">
        <w:rPr>
          <w:sz w:val="28"/>
          <w:szCs w:val="28"/>
        </w:rPr>
        <w:t xml:space="preserve"> us</w:t>
      </w:r>
      <w:r w:rsidR="00CF79D3" w:rsidRPr="00CA2751">
        <w:rPr>
          <w:sz w:val="28"/>
          <w:szCs w:val="28"/>
        </w:rPr>
        <w:t>,</w:t>
      </w:r>
      <w:r w:rsidR="00CF0180" w:rsidRPr="00CA2751">
        <w:rPr>
          <w:sz w:val="28"/>
          <w:szCs w:val="28"/>
        </w:rPr>
        <w:t xml:space="preserve"> </w:t>
      </w:r>
      <w:r w:rsidR="00CF79D3" w:rsidRPr="00CA2751">
        <w:rPr>
          <w:sz w:val="28"/>
          <w:szCs w:val="28"/>
        </w:rPr>
        <w:t>c</w:t>
      </w:r>
      <w:r w:rsidR="00113225" w:rsidRPr="00CA2751">
        <w:rPr>
          <w:sz w:val="28"/>
          <w:szCs w:val="28"/>
        </w:rPr>
        <w:t xml:space="preserve">ounsel for </w:t>
      </w:r>
      <w:r w:rsidR="00016D79" w:rsidRPr="00CA2751">
        <w:rPr>
          <w:sz w:val="28"/>
          <w:szCs w:val="28"/>
        </w:rPr>
        <w:t>Samancor</w:t>
      </w:r>
      <w:r w:rsidR="00113225" w:rsidRPr="00CA2751">
        <w:rPr>
          <w:sz w:val="28"/>
          <w:szCs w:val="28"/>
        </w:rPr>
        <w:t xml:space="preserve"> submitted</w:t>
      </w:r>
      <w:r w:rsidR="00016D79" w:rsidRPr="00CA2751">
        <w:rPr>
          <w:sz w:val="28"/>
          <w:szCs w:val="28"/>
        </w:rPr>
        <w:t xml:space="preserve"> </w:t>
      </w:r>
      <w:r w:rsidR="00CF0180" w:rsidRPr="00CA2751">
        <w:rPr>
          <w:sz w:val="28"/>
          <w:szCs w:val="28"/>
        </w:rPr>
        <w:t xml:space="preserve">that </w:t>
      </w:r>
      <w:r w:rsidR="00016D79" w:rsidRPr="00CA2751">
        <w:rPr>
          <w:sz w:val="28"/>
          <w:szCs w:val="28"/>
        </w:rPr>
        <w:t>Fourie J</w:t>
      </w:r>
      <w:r w:rsidR="00BA13EB" w:rsidRPr="00CA2751">
        <w:rPr>
          <w:sz w:val="28"/>
          <w:szCs w:val="28"/>
        </w:rPr>
        <w:t xml:space="preserve"> erred </w:t>
      </w:r>
      <w:r w:rsidR="00016D79" w:rsidRPr="00CA2751">
        <w:rPr>
          <w:sz w:val="28"/>
          <w:szCs w:val="28"/>
        </w:rPr>
        <w:t xml:space="preserve">by </w:t>
      </w:r>
      <w:r w:rsidR="001E5CCD" w:rsidRPr="00CA2751">
        <w:rPr>
          <w:sz w:val="28"/>
          <w:szCs w:val="28"/>
        </w:rPr>
        <w:t>conceiving 10</w:t>
      </w:r>
      <w:r w:rsidR="00016D79" w:rsidRPr="00CA2751">
        <w:rPr>
          <w:sz w:val="28"/>
          <w:szCs w:val="28"/>
        </w:rPr>
        <w:t xml:space="preserve"> June 2020 as the </w:t>
      </w:r>
      <w:r w:rsidR="00420BA5" w:rsidRPr="00CA2751">
        <w:rPr>
          <w:sz w:val="28"/>
          <w:szCs w:val="28"/>
        </w:rPr>
        <w:t xml:space="preserve">effective </w:t>
      </w:r>
      <w:r w:rsidR="00016D79" w:rsidRPr="00CA2751">
        <w:rPr>
          <w:sz w:val="28"/>
          <w:szCs w:val="28"/>
        </w:rPr>
        <w:t>date on which the contempt</w:t>
      </w:r>
      <w:r w:rsidR="00326DA2" w:rsidRPr="00CA2751">
        <w:rPr>
          <w:sz w:val="28"/>
          <w:szCs w:val="28"/>
        </w:rPr>
        <w:t xml:space="preserve"> </w:t>
      </w:r>
      <w:r w:rsidR="001E5CCD" w:rsidRPr="00CA2751">
        <w:rPr>
          <w:sz w:val="28"/>
          <w:szCs w:val="28"/>
        </w:rPr>
        <w:t xml:space="preserve">commenced. </w:t>
      </w:r>
      <w:r w:rsidR="00E85E31" w:rsidRPr="00CA2751">
        <w:rPr>
          <w:sz w:val="28"/>
          <w:szCs w:val="28"/>
        </w:rPr>
        <w:t>T</w:t>
      </w:r>
      <w:r w:rsidR="00B7508F" w:rsidRPr="00CA2751">
        <w:rPr>
          <w:sz w:val="28"/>
          <w:szCs w:val="28"/>
        </w:rPr>
        <w:t>h</w:t>
      </w:r>
      <w:r w:rsidR="00D269C6" w:rsidRPr="00CA2751">
        <w:rPr>
          <w:sz w:val="28"/>
          <w:szCs w:val="28"/>
        </w:rPr>
        <w:t>at</w:t>
      </w:r>
      <w:r w:rsidR="00B7508F" w:rsidRPr="00CA2751">
        <w:rPr>
          <w:sz w:val="28"/>
          <w:szCs w:val="28"/>
        </w:rPr>
        <w:t xml:space="preserve"> date</w:t>
      </w:r>
      <w:r w:rsidR="005D0877" w:rsidRPr="00CA2751">
        <w:rPr>
          <w:sz w:val="28"/>
          <w:szCs w:val="28"/>
        </w:rPr>
        <w:t xml:space="preserve">, </w:t>
      </w:r>
      <w:r w:rsidR="0084769C" w:rsidRPr="00CA2751">
        <w:rPr>
          <w:sz w:val="28"/>
          <w:szCs w:val="28"/>
        </w:rPr>
        <w:t>counsel emphasised,</w:t>
      </w:r>
      <w:r w:rsidR="00B7508F" w:rsidRPr="00CA2751">
        <w:rPr>
          <w:sz w:val="28"/>
          <w:szCs w:val="28"/>
        </w:rPr>
        <w:t xml:space="preserve"> was </w:t>
      </w:r>
      <w:r w:rsidR="00D269C6" w:rsidRPr="00CA2751">
        <w:rPr>
          <w:sz w:val="28"/>
          <w:szCs w:val="28"/>
        </w:rPr>
        <w:t xml:space="preserve">simply </w:t>
      </w:r>
      <w:r w:rsidR="00B7508F" w:rsidRPr="00CA2751">
        <w:rPr>
          <w:sz w:val="28"/>
          <w:szCs w:val="28"/>
        </w:rPr>
        <w:t>the date on which Samancor became aware of Bila’s continu</w:t>
      </w:r>
      <w:r w:rsidR="00DB7C7F" w:rsidRPr="00CA2751">
        <w:rPr>
          <w:sz w:val="28"/>
          <w:szCs w:val="28"/>
        </w:rPr>
        <w:t>ed</w:t>
      </w:r>
      <w:r w:rsidR="00B7508F" w:rsidRPr="00CA2751">
        <w:rPr>
          <w:sz w:val="28"/>
          <w:szCs w:val="28"/>
        </w:rPr>
        <w:t xml:space="preserve"> unlawful activities</w:t>
      </w:r>
      <w:r w:rsidR="00113225" w:rsidRPr="00CA2751">
        <w:rPr>
          <w:sz w:val="28"/>
          <w:szCs w:val="28"/>
        </w:rPr>
        <w:t xml:space="preserve"> and not</w:t>
      </w:r>
      <w:r w:rsidR="006853F7" w:rsidRPr="00CA2751">
        <w:rPr>
          <w:sz w:val="28"/>
          <w:szCs w:val="28"/>
        </w:rPr>
        <w:t xml:space="preserve"> the date from when non-compliance with the order</w:t>
      </w:r>
      <w:r w:rsidR="00113225" w:rsidRPr="00CA2751">
        <w:rPr>
          <w:sz w:val="28"/>
          <w:szCs w:val="28"/>
        </w:rPr>
        <w:t>s</w:t>
      </w:r>
      <w:r w:rsidR="006853F7" w:rsidRPr="00CA2751">
        <w:rPr>
          <w:sz w:val="28"/>
          <w:szCs w:val="28"/>
        </w:rPr>
        <w:t xml:space="preserve"> began</w:t>
      </w:r>
      <w:r w:rsidR="00B7508F" w:rsidRPr="00CA2751">
        <w:rPr>
          <w:sz w:val="28"/>
          <w:szCs w:val="28"/>
        </w:rPr>
        <w:t>.</w:t>
      </w:r>
      <w:r w:rsidR="006853F7" w:rsidRPr="00CA2751">
        <w:rPr>
          <w:sz w:val="28"/>
          <w:szCs w:val="28"/>
        </w:rPr>
        <w:t xml:space="preserve"> According to </w:t>
      </w:r>
      <w:r w:rsidR="006853F7" w:rsidRPr="00CA2751">
        <w:rPr>
          <w:sz w:val="28"/>
          <w:szCs w:val="28"/>
        </w:rPr>
        <w:lastRenderedPageBreak/>
        <w:t xml:space="preserve">Samancor’s counsel, Samancor had expressly stated </w:t>
      </w:r>
      <w:r w:rsidR="001940D8" w:rsidRPr="00CA2751">
        <w:rPr>
          <w:sz w:val="28"/>
          <w:szCs w:val="28"/>
        </w:rPr>
        <w:t xml:space="preserve">in </w:t>
      </w:r>
      <w:r w:rsidR="001E5CCD" w:rsidRPr="00CA2751">
        <w:rPr>
          <w:sz w:val="28"/>
          <w:szCs w:val="28"/>
        </w:rPr>
        <w:t>its replying</w:t>
      </w:r>
      <w:r w:rsidR="006853F7" w:rsidRPr="00CA2751">
        <w:rPr>
          <w:sz w:val="28"/>
          <w:szCs w:val="28"/>
        </w:rPr>
        <w:t xml:space="preserve"> affidavit</w:t>
      </w:r>
      <w:r w:rsidR="00B76AC2" w:rsidRPr="00CA2751">
        <w:rPr>
          <w:sz w:val="28"/>
          <w:szCs w:val="28"/>
        </w:rPr>
        <w:t xml:space="preserve"> </w:t>
      </w:r>
      <w:r w:rsidR="006853F7" w:rsidRPr="00CA2751">
        <w:rPr>
          <w:sz w:val="28"/>
          <w:szCs w:val="28"/>
        </w:rPr>
        <w:t xml:space="preserve">that the conduct for which it sought to hold Bila in contempt </w:t>
      </w:r>
      <w:r w:rsidR="00B76AC2" w:rsidRPr="00CA2751">
        <w:rPr>
          <w:sz w:val="28"/>
          <w:szCs w:val="28"/>
        </w:rPr>
        <w:t>began from</w:t>
      </w:r>
      <w:r w:rsidR="006853F7" w:rsidRPr="00CA2751">
        <w:rPr>
          <w:sz w:val="28"/>
          <w:szCs w:val="28"/>
        </w:rPr>
        <w:t xml:space="preserve"> 30 November 2019 to 22 July 2020. </w:t>
      </w:r>
    </w:p>
    <w:p w14:paraId="1365D9D4" w14:textId="77777777" w:rsidR="006853F7" w:rsidRPr="00CA2751" w:rsidRDefault="006853F7" w:rsidP="007D3DBE">
      <w:pPr>
        <w:pStyle w:val="ListParagraph"/>
        <w:ind w:left="0"/>
        <w:rPr>
          <w:sz w:val="28"/>
          <w:szCs w:val="28"/>
        </w:rPr>
      </w:pPr>
    </w:p>
    <w:p w14:paraId="456256B5" w14:textId="6BA37806" w:rsidR="0055146C" w:rsidRPr="00CA2751" w:rsidRDefault="004E5F34" w:rsidP="004E5F34">
      <w:pPr>
        <w:tabs>
          <w:tab w:val="left" w:pos="0"/>
        </w:tabs>
        <w:rPr>
          <w:sz w:val="28"/>
          <w:szCs w:val="28"/>
        </w:rPr>
      </w:pPr>
      <w:r w:rsidRPr="00CA2751">
        <w:rPr>
          <w:sz w:val="28"/>
          <w:szCs w:val="28"/>
        </w:rPr>
        <w:t>[35]</w:t>
      </w:r>
      <w:r w:rsidRPr="00CA2751">
        <w:rPr>
          <w:sz w:val="28"/>
          <w:szCs w:val="28"/>
        </w:rPr>
        <w:tab/>
      </w:r>
      <w:r w:rsidR="00113225" w:rsidRPr="00CA2751">
        <w:rPr>
          <w:sz w:val="28"/>
          <w:szCs w:val="28"/>
        </w:rPr>
        <w:t>Counsel</w:t>
      </w:r>
      <w:r w:rsidR="000530CE" w:rsidRPr="00CA2751">
        <w:rPr>
          <w:sz w:val="28"/>
          <w:szCs w:val="28"/>
        </w:rPr>
        <w:t xml:space="preserve"> expressed regret that Samancor </w:t>
      </w:r>
      <w:r w:rsidR="0055146C" w:rsidRPr="00CA2751">
        <w:rPr>
          <w:sz w:val="28"/>
          <w:szCs w:val="28"/>
        </w:rPr>
        <w:t xml:space="preserve">had also stated </w:t>
      </w:r>
      <w:r w:rsidR="001E5CCD" w:rsidRPr="00CA2751">
        <w:rPr>
          <w:sz w:val="28"/>
          <w:szCs w:val="28"/>
        </w:rPr>
        <w:t>in the</w:t>
      </w:r>
      <w:r w:rsidR="00BD6EC7" w:rsidRPr="00CA2751">
        <w:rPr>
          <w:sz w:val="28"/>
          <w:szCs w:val="28"/>
        </w:rPr>
        <w:t xml:space="preserve"> </w:t>
      </w:r>
      <w:r w:rsidR="0055146C" w:rsidRPr="00CA2751">
        <w:rPr>
          <w:sz w:val="28"/>
          <w:szCs w:val="28"/>
        </w:rPr>
        <w:t>replying affidavi</w:t>
      </w:r>
      <w:r w:rsidR="00B76AC2" w:rsidRPr="00CA2751">
        <w:rPr>
          <w:sz w:val="28"/>
          <w:szCs w:val="28"/>
        </w:rPr>
        <w:t>t</w:t>
      </w:r>
      <w:r w:rsidR="0055146C" w:rsidRPr="00CA2751">
        <w:rPr>
          <w:sz w:val="28"/>
          <w:szCs w:val="28"/>
        </w:rPr>
        <w:t xml:space="preserve"> that </w:t>
      </w:r>
      <w:r w:rsidR="00113225" w:rsidRPr="00CA2751">
        <w:rPr>
          <w:sz w:val="28"/>
          <w:szCs w:val="28"/>
        </w:rPr>
        <w:t xml:space="preserve">the </w:t>
      </w:r>
      <w:r w:rsidR="0055146C" w:rsidRPr="00CA2751">
        <w:rPr>
          <w:sz w:val="28"/>
          <w:szCs w:val="28"/>
        </w:rPr>
        <w:t>application</w:t>
      </w:r>
      <w:r w:rsidR="00113225" w:rsidRPr="00CA2751">
        <w:rPr>
          <w:sz w:val="28"/>
          <w:szCs w:val="28"/>
        </w:rPr>
        <w:t xml:space="preserve"> was based on Bila’s conduct after 10 June 2020</w:t>
      </w:r>
      <w:r w:rsidR="0055146C" w:rsidRPr="00CA2751">
        <w:rPr>
          <w:sz w:val="28"/>
          <w:szCs w:val="28"/>
        </w:rPr>
        <w:t xml:space="preserve">. </w:t>
      </w:r>
      <w:r w:rsidR="000530CE" w:rsidRPr="00CA2751">
        <w:rPr>
          <w:sz w:val="28"/>
          <w:szCs w:val="28"/>
        </w:rPr>
        <w:t xml:space="preserve">He </w:t>
      </w:r>
      <w:r w:rsidR="00113225" w:rsidRPr="00CA2751">
        <w:rPr>
          <w:sz w:val="28"/>
          <w:szCs w:val="28"/>
        </w:rPr>
        <w:t xml:space="preserve">emphasised that, despite that assertion, </w:t>
      </w:r>
      <w:r w:rsidR="001249F3" w:rsidRPr="00CA2751">
        <w:rPr>
          <w:sz w:val="28"/>
          <w:szCs w:val="28"/>
        </w:rPr>
        <w:t xml:space="preserve">Samancor’s </w:t>
      </w:r>
      <w:r w:rsidR="000530CE" w:rsidRPr="00CA2751">
        <w:rPr>
          <w:sz w:val="28"/>
          <w:szCs w:val="28"/>
        </w:rPr>
        <w:t>case</w:t>
      </w:r>
      <w:r w:rsidR="00542B34" w:rsidRPr="00CA2751">
        <w:rPr>
          <w:sz w:val="28"/>
          <w:szCs w:val="28"/>
        </w:rPr>
        <w:t>,</w:t>
      </w:r>
      <w:r w:rsidR="000530CE" w:rsidRPr="00CA2751">
        <w:rPr>
          <w:sz w:val="28"/>
          <w:szCs w:val="28"/>
        </w:rPr>
        <w:t xml:space="preserve"> clearly showed </w:t>
      </w:r>
      <w:r w:rsidR="0055146C" w:rsidRPr="00CA2751">
        <w:rPr>
          <w:sz w:val="28"/>
          <w:szCs w:val="28"/>
        </w:rPr>
        <w:t xml:space="preserve">that </w:t>
      </w:r>
      <w:r w:rsidR="000530CE" w:rsidRPr="00CA2751">
        <w:rPr>
          <w:sz w:val="28"/>
          <w:szCs w:val="28"/>
        </w:rPr>
        <w:t xml:space="preserve">Bila’s </w:t>
      </w:r>
      <w:r w:rsidR="0055146C" w:rsidRPr="00CA2751">
        <w:rPr>
          <w:sz w:val="28"/>
          <w:szCs w:val="28"/>
        </w:rPr>
        <w:t>unlawful conduct</w:t>
      </w:r>
      <w:r w:rsidR="00680DF8" w:rsidRPr="00CA2751">
        <w:rPr>
          <w:sz w:val="28"/>
          <w:szCs w:val="28"/>
        </w:rPr>
        <w:t>, apparent from a holistic reading</w:t>
      </w:r>
      <w:r w:rsidR="00B04074" w:rsidRPr="00CA2751">
        <w:rPr>
          <w:sz w:val="28"/>
          <w:szCs w:val="28"/>
        </w:rPr>
        <w:t xml:space="preserve"> of its affidavits,</w:t>
      </w:r>
      <w:r w:rsidR="0055146C" w:rsidRPr="00CA2751">
        <w:rPr>
          <w:sz w:val="28"/>
          <w:szCs w:val="28"/>
        </w:rPr>
        <w:t xml:space="preserve"> </w:t>
      </w:r>
      <w:r w:rsidR="00B04074" w:rsidRPr="00CA2751">
        <w:rPr>
          <w:sz w:val="28"/>
          <w:szCs w:val="28"/>
        </w:rPr>
        <w:t xml:space="preserve">at the earliest, </w:t>
      </w:r>
      <w:r w:rsidR="001E5CCD" w:rsidRPr="00CA2751">
        <w:rPr>
          <w:sz w:val="28"/>
          <w:szCs w:val="28"/>
        </w:rPr>
        <w:t>commenced from</w:t>
      </w:r>
      <w:r w:rsidR="0055146C" w:rsidRPr="00CA2751">
        <w:rPr>
          <w:sz w:val="28"/>
          <w:szCs w:val="28"/>
        </w:rPr>
        <w:t xml:space="preserve"> when this Court refused Bila’s application for leave to appeal</w:t>
      </w:r>
      <w:r w:rsidR="000530CE" w:rsidRPr="00CA2751">
        <w:rPr>
          <w:sz w:val="28"/>
          <w:szCs w:val="28"/>
        </w:rPr>
        <w:t xml:space="preserve"> to when the application for leave to appeal was filed in the Constitutional Court</w:t>
      </w:r>
      <w:r w:rsidR="0055146C" w:rsidRPr="00CA2751">
        <w:rPr>
          <w:sz w:val="28"/>
          <w:szCs w:val="28"/>
        </w:rPr>
        <w:t xml:space="preserve">. </w:t>
      </w:r>
      <w:r w:rsidR="001249F3" w:rsidRPr="00CA2751">
        <w:rPr>
          <w:sz w:val="28"/>
          <w:szCs w:val="28"/>
        </w:rPr>
        <w:t xml:space="preserve">That meant </w:t>
      </w:r>
      <w:r w:rsidR="00173DA8" w:rsidRPr="00CA2751">
        <w:rPr>
          <w:sz w:val="28"/>
          <w:szCs w:val="28"/>
        </w:rPr>
        <w:t xml:space="preserve">that </w:t>
      </w:r>
      <w:r w:rsidR="0055146C" w:rsidRPr="00CA2751">
        <w:rPr>
          <w:sz w:val="28"/>
          <w:szCs w:val="28"/>
        </w:rPr>
        <w:t>Neukircher J’s order remained operati</w:t>
      </w:r>
      <w:r w:rsidR="00AB7E97">
        <w:rPr>
          <w:sz w:val="28"/>
          <w:szCs w:val="28"/>
        </w:rPr>
        <w:t>ve</w:t>
      </w:r>
      <w:r w:rsidR="0055146C" w:rsidRPr="00CA2751">
        <w:rPr>
          <w:sz w:val="28"/>
          <w:szCs w:val="28"/>
        </w:rPr>
        <w:t xml:space="preserve"> until Bila’s belated filing of </w:t>
      </w:r>
      <w:r w:rsidR="00AB7E97">
        <w:rPr>
          <w:sz w:val="28"/>
          <w:szCs w:val="28"/>
        </w:rPr>
        <w:t>its</w:t>
      </w:r>
      <w:r w:rsidR="0055146C" w:rsidRPr="00CA2751">
        <w:rPr>
          <w:sz w:val="28"/>
          <w:szCs w:val="28"/>
        </w:rPr>
        <w:t xml:space="preserve"> application</w:t>
      </w:r>
      <w:r w:rsidR="00AB7E97">
        <w:rPr>
          <w:sz w:val="28"/>
          <w:szCs w:val="28"/>
        </w:rPr>
        <w:t xml:space="preserve"> for leave</w:t>
      </w:r>
      <w:r w:rsidR="0055146C" w:rsidRPr="00CA2751">
        <w:rPr>
          <w:sz w:val="28"/>
          <w:szCs w:val="28"/>
        </w:rPr>
        <w:t xml:space="preserve"> to appeal</w:t>
      </w:r>
      <w:r w:rsidR="00AB7E97">
        <w:rPr>
          <w:sz w:val="28"/>
          <w:szCs w:val="28"/>
        </w:rPr>
        <w:t xml:space="preserve"> to the Constitutional Court</w:t>
      </w:r>
      <w:r w:rsidR="0055146C" w:rsidRPr="00CA2751">
        <w:rPr>
          <w:sz w:val="28"/>
          <w:szCs w:val="28"/>
        </w:rPr>
        <w:t>.</w:t>
      </w:r>
    </w:p>
    <w:p w14:paraId="68A53C89" w14:textId="77777777" w:rsidR="00DB7C7F" w:rsidRPr="00CA2751" w:rsidRDefault="00DB7C7F" w:rsidP="00FE329C">
      <w:pPr>
        <w:rPr>
          <w:sz w:val="28"/>
          <w:szCs w:val="28"/>
        </w:rPr>
      </w:pPr>
    </w:p>
    <w:p w14:paraId="26104B5B" w14:textId="4CE79748" w:rsidR="00DB7C7F" w:rsidRPr="00CA2751" w:rsidRDefault="004E5F34" w:rsidP="004E5F34">
      <w:pPr>
        <w:tabs>
          <w:tab w:val="left" w:pos="0"/>
        </w:tabs>
        <w:rPr>
          <w:sz w:val="28"/>
          <w:szCs w:val="28"/>
        </w:rPr>
      </w:pPr>
      <w:r w:rsidRPr="00CA2751">
        <w:rPr>
          <w:sz w:val="28"/>
          <w:szCs w:val="28"/>
        </w:rPr>
        <w:t>[36]</w:t>
      </w:r>
      <w:r w:rsidRPr="00CA2751">
        <w:rPr>
          <w:sz w:val="28"/>
          <w:szCs w:val="28"/>
        </w:rPr>
        <w:tab/>
      </w:r>
      <w:r w:rsidR="00DB7C7F" w:rsidRPr="00CA2751">
        <w:rPr>
          <w:sz w:val="28"/>
          <w:szCs w:val="28"/>
        </w:rPr>
        <w:t xml:space="preserve">He further argued that Fourie J erred in finding that Samancor did not present sufficient evidence to establish contravention of Neukircher J’s order and </w:t>
      </w:r>
      <w:r w:rsidR="001E5CCD" w:rsidRPr="00CA2751">
        <w:rPr>
          <w:sz w:val="28"/>
          <w:szCs w:val="28"/>
        </w:rPr>
        <w:t>further contended</w:t>
      </w:r>
      <w:r w:rsidR="00DB7C7F" w:rsidRPr="00CA2751">
        <w:rPr>
          <w:sz w:val="28"/>
          <w:szCs w:val="28"/>
        </w:rPr>
        <w:t xml:space="preserve"> that the </w:t>
      </w:r>
      <w:r w:rsidR="00173DA8" w:rsidRPr="00CA2751">
        <w:rPr>
          <w:sz w:val="28"/>
          <w:szCs w:val="28"/>
        </w:rPr>
        <w:t xml:space="preserve">high </w:t>
      </w:r>
      <w:r w:rsidR="00DB7C7F" w:rsidRPr="00CA2751">
        <w:rPr>
          <w:sz w:val="28"/>
          <w:szCs w:val="28"/>
        </w:rPr>
        <w:t>court failed to analyse the evidence that was presented before it.</w:t>
      </w:r>
    </w:p>
    <w:p w14:paraId="5A27B800" w14:textId="77777777" w:rsidR="00DB7C7F" w:rsidRPr="00CA2751" w:rsidRDefault="00DB7C7F" w:rsidP="00FE329C">
      <w:pPr>
        <w:rPr>
          <w:sz w:val="28"/>
          <w:szCs w:val="28"/>
        </w:rPr>
      </w:pPr>
    </w:p>
    <w:p w14:paraId="40CABEF4" w14:textId="61D1E914" w:rsidR="00DB7C7F" w:rsidRPr="00CA2751" w:rsidRDefault="004E5F34" w:rsidP="004E5F34">
      <w:pPr>
        <w:tabs>
          <w:tab w:val="left" w:pos="0"/>
        </w:tabs>
        <w:rPr>
          <w:sz w:val="28"/>
          <w:szCs w:val="28"/>
        </w:rPr>
      </w:pPr>
      <w:r w:rsidRPr="00CA2751">
        <w:rPr>
          <w:sz w:val="28"/>
          <w:szCs w:val="28"/>
        </w:rPr>
        <w:t>[37]</w:t>
      </w:r>
      <w:r w:rsidRPr="00CA2751">
        <w:rPr>
          <w:sz w:val="28"/>
          <w:szCs w:val="28"/>
        </w:rPr>
        <w:tab/>
      </w:r>
      <w:r w:rsidR="00DB7C7F" w:rsidRPr="00CA2751">
        <w:rPr>
          <w:sz w:val="28"/>
          <w:szCs w:val="28"/>
        </w:rPr>
        <w:t xml:space="preserve">As to the finding that non-compliance with Janse van Niewenhuizen J’s order was not proved to be wilful and </w:t>
      </w:r>
      <w:r w:rsidR="00DB7C7F" w:rsidRPr="00CA2751">
        <w:rPr>
          <w:i/>
          <w:sz w:val="28"/>
          <w:szCs w:val="28"/>
        </w:rPr>
        <w:t>mala fide</w:t>
      </w:r>
      <w:r w:rsidR="00DB7C7F" w:rsidRPr="00CA2751">
        <w:rPr>
          <w:sz w:val="28"/>
          <w:szCs w:val="28"/>
        </w:rPr>
        <w:t xml:space="preserve">, counsel for Samancor submitted that Bila had been informed by Samancor’s attorneys on 19 December 2019 that the order was </w:t>
      </w:r>
      <w:r w:rsidR="006829D5" w:rsidRPr="00CA2751">
        <w:rPr>
          <w:sz w:val="28"/>
          <w:szCs w:val="28"/>
        </w:rPr>
        <w:t>operative,</w:t>
      </w:r>
      <w:r w:rsidR="00DB7C7F" w:rsidRPr="00CA2751">
        <w:rPr>
          <w:sz w:val="28"/>
          <w:szCs w:val="28"/>
        </w:rPr>
        <w:t xml:space="preserve"> and it had to adhere to it despite its application for leave to appeal. Relying on </w:t>
      </w:r>
      <w:r w:rsidR="00DB7C7F" w:rsidRPr="00CA2751">
        <w:rPr>
          <w:i/>
          <w:sz w:val="28"/>
          <w:szCs w:val="28"/>
        </w:rPr>
        <w:t>S v Abrahams</w:t>
      </w:r>
      <w:r w:rsidR="00A1492A" w:rsidRPr="00AB7E97">
        <w:rPr>
          <w:sz w:val="28"/>
          <w:szCs w:val="28"/>
        </w:rPr>
        <w:t>,</w:t>
      </w:r>
      <w:r w:rsidR="00DB7C7F" w:rsidRPr="00CA2751">
        <w:rPr>
          <w:rStyle w:val="FootnoteReference"/>
          <w:iCs/>
          <w:sz w:val="28"/>
          <w:szCs w:val="28"/>
        </w:rPr>
        <w:footnoteReference w:id="6"/>
      </w:r>
      <w:r w:rsidR="00DB7C7F" w:rsidRPr="00CA2751">
        <w:rPr>
          <w:i/>
          <w:sz w:val="28"/>
          <w:szCs w:val="28"/>
        </w:rPr>
        <w:t xml:space="preserve"> </w:t>
      </w:r>
      <w:r w:rsidR="00DB7C7F" w:rsidRPr="00CA2751">
        <w:rPr>
          <w:sz w:val="28"/>
          <w:szCs w:val="28"/>
        </w:rPr>
        <w:t>Samancor contended that Bila had failed to provide</w:t>
      </w:r>
      <w:r w:rsidR="00E97839" w:rsidRPr="00CA2751">
        <w:rPr>
          <w:sz w:val="28"/>
          <w:szCs w:val="28"/>
        </w:rPr>
        <w:t>, in its answering affidavit,</w:t>
      </w:r>
      <w:r w:rsidR="00DB7C7F" w:rsidRPr="00CA2751">
        <w:rPr>
          <w:sz w:val="28"/>
          <w:szCs w:val="28"/>
        </w:rPr>
        <w:t xml:space="preserve"> any details </w:t>
      </w:r>
      <w:r w:rsidR="00DB7C7F" w:rsidRPr="00CA2751">
        <w:rPr>
          <w:sz w:val="28"/>
          <w:szCs w:val="28"/>
        </w:rPr>
        <w:lastRenderedPageBreak/>
        <w:t xml:space="preserve">of the advice it had allegedly received, including what the advice </w:t>
      </w:r>
      <w:r w:rsidR="00AB7E97">
        <w:rPr>
          <w:sz w:val="28"/>
          <w:szCs w:val="28"/>
        </w:rPr>
        <w:t xml:space="preserve">entailed, </w:t>
      </w:r>
      <w:r w:rsidR="00DB7C7F" w:rsidRPr="00CA2751">
        <w:rPr>
          <w:sz w:val="28"/>
          <w:szCs w:val="28"/>
        </w:rPr>
        <w:t>when and by whom it was given.</w:t>
      </w:r>
    </w:p>
    <w:p w14:paraId="1ED14C8D" w14:textId="77777777" w:rsidR="004C098E" w:rsidRPr="00CA2751" w:rsidRDefault="004C098E" w:rsidP="00CF79D3">
      <w:pPr>
        <w:tabs>
          <w:tab w:val="left" w:pos="0"/>
        </w:tabs>
        <w:rPr>
          <w:sz w:val="28"/>
          <w:szCs w:val="28"/>
        </w:rPr>
      </w:pPr>
    </w:p>
    <w:p w14:paraId="5E728048" w14:textId="24440DCB" w:rsidR="000E349F" w:rsidRPr="00CA2751" w:rsidRDefault="004E5F34" w:rsidP="004E5F34">
      <w:pPr>
        <w:tabs>
          <w:tab w:val="left" w:pos="0"/>
        </w:tabs>
        <w:rPr>
          <w:sz w:val="28"/>
          <w:szCs w:val="28"/>
        </w:rPr>
      </w:pPr>
      <w:r w:rsidRPr="00CA2751">
        <w:rPr>
          <w:sz w:val="28"/>
          <w:szCs w:val="28"/>
        </w:rPr>
        <w:t>[38]</w:t>
      </w:r>
      <w:r w:rsidRPr="00CA2751">
        <w:rPr>
          <w:sz w:val="28"/>
          <w:szCs w:val="28"/>
        </w:rPr>
        <w:tab/>
      </w:r>
      <w:r w:rsidR="00F42649" w:rsidRPr="00CA2751">
        <w:rPr>
          <w:sz w:val="28"/>
          <w:szCs w:val="28"/>
        </w:rPr>
        <w:t>Bila readily concede</w:t>
      </w:r>
      <w:r w:rsidR="001249F3" w:rsidRPr="00CA2751">
        <w:rPr>
          <w:sz w:val="28"/>
          <w:szCs w:val="28"/>
        </w:rPr>
        <w:t>d</w:t>
      </w:r>
      <w:r w:rsidR="00F42649" w:rsidRPr="00CA2751">
        <w:rPr>
          <w:sz w:val="28"/>
          <w:szCs w:val="28"/>
        </w:rPr>
        <w:t xml:space="preserve"> in its answering affidavit that</w:t>
      </w:r>
      <w:r w:rsidR="00817103" w:rsidRPr="00CA2751">
        <w:rPr>
          <w:sz w:val="28"/>
          <w:szCs w:val="28"/>
        </w:rPr>
        <w:t xml:space="preserve"> both the Neukircher J and </w:t>
      </w:r>
      <w:r w:rsidR="00F739C1" w:rsidRPr="00CA2751">
        <w:rPr>
          <w:sz w:val="28"/>
          <w:szCs w:val="28"/>
        </w:rPr>
        <w:t xml:space="preserve">Janse </w:t>
      </w:r>
      <w:r w:rsidR="005A405D" w:rsidRPr="00CA2751">
        <w:rPr>
          <w:sz w:val="28"/>
          <w:szCs w:val="28"/>
        </w:rPr>
        <w:t xml:space="preserve">van </w:t>
      </w:r>
      <w:r w:rsidR="00F739C1" w:rsidRPr="00CA2751">
        <w:rPr>
          <w:sz w:val="28"/>
          <w:szCs w:val="28"/>
        </w:rPr>
        <w:t>Niewenhuizen</w:t>
      </w:r>
      <w:r w:rsidR="009D6784" w:rsidRPr="00CA2751">
        <w:rPr>
          <w:sz w:val="28"/>
          <w:szCs w:val="28"/>
        </w:rPr>
        <w:t xml:space="preserve"> J </w:t>
      </w:r>
      <w:r w:rsidR="00817103" w:rsidRPr="00CA2751">
        <w:rPr>
          <w:sz w:val="28"/>
          <w:szCs w:val="28"/>
        </w:rPr>
        <w:t>orders exi</w:t>
      </w:r>
      <w:r w:rsidR="00530630" w:rsidRPr="00CA2751">
        <w:rPr>
          <w:sz w:val="28"/>
          <w:szCs w:val="28"/>
        </w:rPr>
        <w:t>sted</w:t>
      </w:r>
      <w:r w:rsidR="00817103" w:rsidRPr="00CA2751">
        <w:rPr>
          <w:sz w:val="28"/>
          <w:szCs w:val="28"/>
        </w:rPr>
        <w:t xml:space="preserve"> and</w:t>
      </w:r>
      <w:r w:rsidR="001249F3" w:rsidRPr="00CA2751">
        <w:rPr>
          <w:sz w:val="28"/>
          <w:szCs w:val="28"/>
        </w:rPr>
        <w:t xml:space="preserve"> </w:t>
      </w:r>
      <w:r w:rsidR="00817103" w:rsidRPr="00CA2751">
        <w:rPr>
          <w:sz w:val="28"/>
          <w:szCs w:val="28"/>
        </w:rPr>
        <w:t>were served upon it.</w:t>
      </w:r>
      <w:r w:rsidR="009D6784" w:rsidRPr="00CA2751">
        <w:rPr>
          <w:sz w:val="28"/>
          <w:szCs w:val="28"/>
        </w:rPr>
        <w:t xml:space="preserve"> </w:t>
      </w:r>
      <w:r w:rsidR="001249F3" w:rsidRPr="00CA2751">
        <w:rPr>
          <w:sz w:val="28"/>
          <w:szCs w:val="28"/>
        </w:rPr>
        <w:t>Consequently</w:t>
      </w:r>
      <w:r w:rsidR="009D6784" w:rsidRPr="00CA2751">
        <w:rPr>
          <w:sz w:val="28"/>
          <w:szCs w:val="28"/>
        </w:rPr>
        <w:t>, the firs</w:t>
      </w:r>
      <w:r w:rsidR="00530630" w:rsidRPr="00CA2751">
        <w:rPr>
          <w:sz w:val="28"/>
          <w:szCs w:val="28"/>
        </w:rPr>
        <w:t>t two</w:t>
      </w:r>
      <w:r w:rsidR="009D6784" w:rsidRPr="00CA2751">
        <w:rPr>
          <w:sz w:val="28"/>
          <w:szCs w:val="28"/>
        </w:rPr>
        <w:t xml:space="preserve"> requirements to establish contempt </w:t>
      </w:r>
      <w:r w:rsidR="001249F3" w:rsidRPr="00CA2751">
        <w:rPr>
          <w:sz w:val="28"/>
          <w:szCs w:val="28"/>
        </w:rPr>
        <w:t xml:space="preserve">were </w:t>
      </w:r>
      <w:r w:rsidR="009D6784" w:rsidRPr="00CA2751">
        <w:rPr>
          <w:sz w:val="28"/>
          <w:szCs w:val="28"/>
        </w:rPr>
        <w:t>met.</w:t>
      </w:r>
      <w:r w:rsidR="002C7584" w:rsidRPr="00CA2751">
        <w:rPr>
          <w:sz w:val="28"/>
          <w:szCs w:val="28"/>
        </w:rPr>
        <w:t xml:space="preserve"> </w:t>
      </w:r>
    </w:p>
    <w:p w14:paraId="69B039CC" w14:textId="77777777" w:rsidR="008540E0" w:rsidRPr="00CA2751" w:rsidRDefault="008540E0" w:rsidP="007D3DBE">
      <w:pPr>
        <w:tabs>
          <w:tab w:val="left" w:pos="0"/>
        </w:tabs>
        <w:rPr>
          <w:sz w:val="28"/>
          <w:szCs w:val="28"/>
        </w:rPr>
      </w:pPr>
    </w:p>
    <w:p w14:paraId="28A639AD" w14:textId="4BF8D65A" w:rsidR="00F86F79" w:rsidRPr="00CA2751" w:rsidRDefault="004E5F34" w:rsidP="004E5F34">
      <w:pPr>
        <w:tabs>
          <w:tab w:val="left" w:pos="0"/>
        </w:tabs>
        <w:rPr>
          <w:sz w:val="28"/>
          <w:szCs w:val="28"/>
        </w:rPr>
      </w:pPr>
      <w:r w:rsidRPr="00CA2751">
        <w:rPr>
          <w:sz w:val="28"/>
          <w:szCs w:val="28"/>
        </w:rPr>
        <w:t>[39]</w:t>
      </w:r>
      <w:r w:rsidRPr="00CA2751">
        <w:rPr>
          <w:sz w:val="28"/>
          <w:szCs w:val="28"/>
        </w:rPr>
        <w:tab/>
      </w:r>
      <w:r w:rsidR="00F86F79" w:rsidRPr="00CA2751">
        <w:rPr>
          <w:sz w:val="28"/>
          <w:szCs w:val="28"/>
        </w:rPr>
        <w:t xml:space="preserve">The main defence in respect of </w:t>
      </w:r>
      <w:r w:rsidR="00E97839" w:rsidRPr="00CA2751">
        <w:rPr>
          <w:sz w:val="28"/>
          <w:szCs w:val="28"/>
        </w:rPr>
        <w:t xml:space="preserve">these two </w:t>
      </w:r>
      <w:r w:rsidR="00F86F79" w:rsidRPr="00CA2751">
        <w:rPr>
          <w:sz w:val="28"/>
          <w:szCs w:val="28"/>
        </w:rPr>
        <w:t>orders was that the</w:t>
      </w:r>
      <w:r w:rsidR="00530630" w:rsidRPr="00CA2751">
        <w:rPr>
          <w:sz w:val="28"/>
          <w:szCs w:val="28"/>
        </w:rPr>
        <w:t>y</w:t>
      </w:r>
      <w:r w:rsidR="00F86F79" w:rsidRPr="00CA2751">
        <w:rPr>
          <w:sz w:val="28"/>
          <w:szCs w:val="28"/>
        </w:rPr>
        <w:t xml:space="preserve"> </w:t>
      </w:r>
      <w:r w:rsidR="00AB7E97">
        <w:rPr>
          <w:sz w:val="28"/>
          <w:szCs w:val="28"/>
        </w:rPr>
        <w:t xml:space="preserve">were </w:t>
      </w:r>
      <w:r w:rsidR="00CF79D3" w:rsidRPr="00CA2751">
        <w:rPr>
          <w:sz w:val="28"/>
          <w:szCs w:val="28"/>
        </w:rPr>
        <w:t xml:space="preserve">not </w:t>
      </w:r>
      <w:r w:rsidR="00F86F79" w:rsidRPr="00CA2751">
        <w:rPr>
          <w:sz w:val="28"/>
          <w:szCs w:val="28"/>
        </w:rPr>
        <w:t>breached because they were not operati</w:t>
      </w:r>
      <w:r w:rsidR="00AB7E97">
        <w:rPr>
          <w:sz w:val="28"/>
          <w:szCs w:val="28"/>
        </w:rPr>
        <w:t>ve</w:t>
      </w:r>
      <w:r w:rsidR="00F86F79" w:rsidRPr="00CA2751">
        <w:rPr>
          <w:sz w:val="28"/>
          <w:szCs w:val="28"/>
        </w:rPr>
        <w:t xml:space="preserve">. </w:t>
      </w:r>
      <w:r w:rsidR="001249F3" w:rsidRPr="00CA2751">
        <w:rPr>
          <w:sz w:val="28"/>
          <w:szCs w:val="28"/>
        </w:rPr>
        <w:t xml:space="preserve">In my view, </w:t>
      </w:r>
      <w:r w:rsidR="00F86F79" w:rsidRPr="00CA2751">
        <w:rPr>
          <w:sz w:val="28"/>
          <w:szCs w:val="28"/>
        </w:rPr>
        <w:t xml:space="preserve">Fourie J was correct in dismissing this defence because </w:t>
      </w:r>
      <w:r w:rsidR="009D6784" w:rsidRPr="00CA2751">
        <w:rPr>
          <w:sz w:val="28"/>
          <w:szCs w:val="28"/>
        </w:rPr>
        <w:t xml:space="preserve">Janse </w:t>
      </w:r>
      <w:r w:rsidR="005A405D" w:rsidRPr="00CA2751">
        <w:rPr>
          <w:sz w:val="28"/>
          <w:szCs w:val="28"/>
        </w:rPr>
        <w:t xml:space="preserve">van </w:t>
      </w:r>
      <w:r w:rsidR="009D6784" w:rsidRPr="00CA2751">
        <w:rPr>
          <w:sz w:val="28"/>
          <w:szCs w:val="28"/>
        </w:rPr>
        <w:t>Niewenhuizen J</w:t>
      </w:r>
      <w:r w:rsidR="00F86F79" w:rsidRPr="00CA2751">
        <w:rPr>
          <w:sz w:val="28"/>
          <w:szCs w:val="28"/>
        </w:rPr>
        <w:t>’s order was</w:t>
      </w:r>
      <w:r w:rsidR="001249F3" w:rsidRPr="00CA2751">
        <w:rPr>
          <w:sz w:val="28"/>
          <w:szCs w:val="28"/>
        </w:rPr>
        <w:t xml:space="preserve"> i</w:t>
      </w:r>
      <w:r w:rsidR="00F86F79" w:rsidRPr="00CA2751">
        <w:rPr>
          <w:sz w:val="28"/>
          <w:szCs w:val="28"/>
        </w:rPr>
        <w:t>nterlocutory</w:t>
      </w:r>
      <w:r w:rsidR="001249F3" w:rsidRPr="00CA2751">
        <w:rPr>
          <w:sz w:val="28"/>
          <w:szCs w:val="28"/>
        </w:rPr>
        <w:t xml:space="preserve"> in nature</w:t>
      </w:r>
      <w:r w:rsidR="00F86F79" w:rsidRPr="00CA2751">
        <w:rPr>
          <w:sz w:val="28"/>
          <w:szCs w:val="28"/>
        </w:rPr>
        <w:t xml:space="preserve"> and therefore not suspended as </w:t>
      </w:r>
      <w:r w:rsidR="001249F3" w:rsidRPr="00CA2751">
        <w:rPr>
          <w:sz w:val="28"/>
          <w:szCs w:val="28"/>
        </w:rPr>
        <w:t xml:space="preserve">s </w:t>
      </w:r>
      <w:r w:rsidR="00F86F79" w:rsidRPr="00CA2751">
        <w:rPr>
          <w:sz w:val="28"/>
          <w:szCs w:val="28"/>
        </w:rPr>
        <w:t>18(2) of the Superior Courts Act</w:t>
      </w:r>
      <w:r w:rsidR="001249F3" w:rsidRPr="00CA2751">
        <w:rPr>
          <w:sz w:val="28"/>
          <w:szCs w:val="28"/>
        </w:rPr>
        <w:t xml:space="preserve"> </w:t>
      </w:r>
      <w:r w:rsidR="00A861CA" w:rsidRPr="00CA2751">
        <w:rPr>
          <w:sz w:val="28"/>
          <w:szCs w:val="28"/>
        </w:rPr>
        <w:t xml:space="preserve">explicitly </w:t>
      </w:r>
      <w:r w:rsidR="001249F3" w:rsidRPr="00CA2751">
        <w:rPr>
          <w:sz w:val="28"/>
          <w:szCs w:val="28"/>
        </w:rPr>
        <w:t>provides</w:t>
      </w:r>
      <w:r w:rsidR="00F86F79" w:rsidRPr="00CA2751">
        <w:rPr>
          <w:sz w:val="28"/>
          <w:szCs w:val="28"/>
        </w:rPr>
        <w:t>. Neukircher J’s order remained operati</w:t>
      </w:r>
      <w:r w:rsidR="00AB7E97">
        <w:rPr>
          <w:sz w:val="28"/>
          <w:szCs w:val="28"/>
        </w:rPr>
        <w:t>ve</w:t>
      </w:r>
      <w:r w:rsidR="00F86F79" w:rsidRPr="00CA2751">
        <w:rPr>
          <w:sz w:val="28"/>
          <w:szCs w:val="28"/>
        </w:rPr>
        <w:t xml:space="preserve"> during the period of 30 </w:t>
      </w:r>
      <w:r w:rsidR="00AB7E97">
        <w:rPr>
          <w:sz w:val="28"/>
          <w:szCs w:val="28"/>
        </w:rPr>
        <w:t xml:space="preserve">November </w:t>
      </w:r>
      <w:r w:rsidR="00F86F79" w:rsidRPr="00CA2751">
        <w:rPr>
          <w:sz w:val="28"/>
          <w:szCs w:val="28"/>
        </w:rPr>
        <w:t>2019 and 22 July 2020</w:t>
      </w:r>
      <w:r w:rsidR="00CF79D3" w:rsidRPr="00CA2751">
        <w:rPr>
          <w:sz w:val="28"/>
          <w:szCs w:val="28"/>
        </w:rPr>
        <w:t>,</w:t>
      </w:r>
      <w:r w:rsidR="001249F3" w:rsidRPr="00CA2751">
        <w:rPr>
          <w:sz w:val="28"/>
          <w:szCs w:val="28"/>
        </w:rPr>
        <w:t xml:space="preserve"> as already stated</w:t>
      </w:r>
      <w:r w:rsidR="00F86F79" w:rsidRPr="00CA2751">
        <w:rPr>
          <w:sz w:val="28"/>
          <w:szCs w:val="28"/>
        </w:rPr>
        <w:t xml:space="preserve">. It </w:t>
      </w:r>
      <w:r w:rsidR="001249F3" w:rsidRPr="00CA2751">
        <w:rPr>
          <w:sz w:val="28"/>
          <w:szCs w:val="28"/>
        </w:rPr>
        <w:t xml:space="preserve">was </w:t>
      </w:r>
      <w:r w:rsidR="00530630" w:rsidRPr="00CA2751">
        <w:rPr>
          <w:sz w:val="28"/>
          <w:szCs w:val="28"/>
        </w:rPr>
        <w:t>similarly</w:t>
      </w:r>
      <w:r w:rsidR="00F86F79" w:rsidRPr="00CA2751">
        <w:rPr>
          <w:sz w:val="28"/>
          <w:szCs w:val="28"/>
        </w:rPr>
        <w:t xml:space="preserve"> </w:t>
      </w:r>
      <w:r w:rsidR="001249F3" w:rsidRPr="00CA2751">
        <w:rPr>
          <w:sz w:val="28"/>
          <w:szCs w:val="28"/>
        </w:rPr>
        <w:t xml:space="preserve">not </w:t>
      </w:r>
      <w:r w:rsidR="00F86F79" w:rsidRPr="00CA2751">
        <w:rPr>
          <w:sz w:val="28"/>
          <w:szCs w:val="28"/>
        </w:rPr>
        <w:t>suspended during the period in which Samancor claims</w:t>
      </w:r>
      <w:r w:rsidR="001249F3" w:rsidRPr="00CA2751">
        <w:rPr>
          <w:sz w:val="28"/>
          <w:szCs w:val="28"/>
        </w:rPr>
        <w:t xml:space="preserve"> the</w:t>
      </w:r>
      <w:r w:rsidR="00F86F79" w:rsidRPr="00CA2751">
        <w:rPr>
          <w:sz w:val="28"/>
          <w:szCs w:val="28"/>
        </w:rPr>
        <w:t xml:space="preserve"> unlawful activities were taking place.</w:t>
      </w:r>
    </w:p>
    <w:p w14:paraId="0BFF7146" w14:textId="77777777" w:rsidR="001249F3" w:rsidRPr="00CA2751" w:rsidRDefault="001249F3" w:rsidP="00CF79D3">
      <w:pPr>
        <w:tabs>
          <w:tab w:val="left" w:pos="0"/>
        </w:tabs>
        <w:rPr>
          <w:sz w:val="28"/>
          <w:szCs w:val="28"/>
        </w:rPr>
      </w:pPr>
    </w:p>
    <w:p w14:paraId="61A95295" w14:textId="0F15A21C" w:rsidR="00F86F79" w:rsidRPr="00CA2751" w:rsidRDefault="004E5F34" w:rsidP="004E5F34">
      <w:pPr>
        <w:tabs>
          <w:tab w:val="left" w:pos="0"/>
        </w:tabs>
        <w:rPr>
          <w:i/>
          <w:iCs/>
          <w:sz w:val="28"/>
          <w:szCs w:val="28"/>
        </w:rPr>
      </w:pPr>
      <w:r w:rsidRPr="00CA2751">
        <w:rPr>
          <w:sz w:val="28"/>
          <w:szCs w:val="28"/>
        </w:rPr>
        <w:t>[40]</w:t>
      </w:r>
      <w:r w:rsidRPr="00CA2751">
        <w:rPr>
          <w:sz w:val="28"/>
          <w:szCs w:val="28"/>
        </w:rPr>
        <w:tab/>
      </w:r>
      <w:r w:rsidR="00050148" w:rsidRPr="00CA2751">
        <w:rPr>
          <w:sz w:val="28"/>
          <w:szCs w:val="28"/>
        </w:rPr>
        <w:t xml:space="preserve">I do not need to </w:t>
      </w:r>
      <w:r w:rsidR="00F3748B" w:rsidRPr="00CA2751">
        <w:rPr>
          <w:sz w:val="28"/>
          <w:szCs w:val="28"/>
        </w:rPr>
        <w:t>delve in</w:t>
      </w:r>
      <w:r w:rsidR="001E5CCD" w:rsidRPr="00CA2751">
        <w:rPr>
          <w:sz w:val="28"/>
          <w:szCs w:val="28"/>
        </w:rPr>
        <w:t>t</w:t>
      </w:r>
      <w:r w:rsidR="00F3748B" w:rsidRPr="00CA2751">
        <w:rPr>
          <w:sz w:val="28"/>
          <w:szCs w:val="28"/>
        </w:rPr>
        <w:t xml:space="preserve">o </w:t>
      </w:r>
      <w:r w:rsidR="001E5CCD" w:rsidRPr="00CA2751">
        <w:rPr>
          <w:sz w:val="28"/>
          <w:szCs w:val="28"/>
        </w:rPr>
        <w:t>the non</w:t>
      </w:r>
      <w:r w:rsidR="00F86F79" w:rsidRPr="00CA2751">
        <w:rPr>
          <w:sz w:val="28"/>
          <w:szCs w:val="28"/>
        </w:rPr>
        <w:t xml:space="preserve">-compliance </w:t>
      </w:r>
      <w:r w:rsidR="00050148" w:rsidRPr="00CA2751">
        <w:rPr>
          <w:sz w:val="28"/>
          <w:szCs w:val="28"/>
        </w:rPr>
        <w:t xml:space="preserve">with </w:t>
      </w:r>
      <w:r w:rsidR="00F86F79" w:rsidRPr="00CA2751">
        <w:rPr>
          <w:sz w:val="28"/>
          <w:szCs w:val="28"/>
        </w:rPr>
        <w:t xml:space="preserve">Janse </w:t>
      </w:r>
      <w:r w:rsidR="005A405D" w:rsidRPr="00CA2751">
        <w:rPr>
          <w:sz w:val="28"/>
          <w:szCs w:val="28"/>
        </w:rPr>
        <w:t xml:space="preserve">van </w:t>
      </w:r>
      <w:r w:rsidR="00F86F79" w:rsidRPr="00CA2751">
        <w:rPr>
          <w:sz w:val="28"/>
          <w:szCs w:val="28"/>
        </w:rPr>
        <w:t>Niewenhuizen J’s order</w:t>
      </w:r>
      <w:r w:rsidR="00050148" w:rsidRPr="00CA2751">
        <w:rPr>
          <w:sz w:val="28"/>
          <w:szCs w:val="28"/>
        </w:rPr>
        <w:t xml:space="preserve"> as</w:t>
      </w:r>
      <w:r w:rsidR="00013092" w:rsidRPr="00CA2751">
        <w:rPr>
          <w:sz w:val="28"/>
          <w:szCs w:val="28"/>
        </w:rPr>
        <w:t xml:space="preserve"> Bila </w:t>
      </w:r>
      <w:r w:rsidR="00050148" w:rsidRPr="00CA2751">
        <w:rPr>
          <w:sz w:val="28"/>
          <w:szCs w:val="28"/>
        </w:rPr>
        <w:t xml:space="preserve">admitted conducting </w:t>
      </w:r>
      <w:r w:rsidR="00013092" w:rsidRPr="00CA2751">
        <w:rPr>
          <w:sz w:val="28"/>
          <w:szCs w:val="28"/>
        </w:rPr>
        <w:t>prospecting operation</w:t>
      </w:r>
      <w:r w:rsidR="00141A3C" w:rsidRPr="00CA2751">
        <w:rPr>
          <w:sz w:val="28"/>
          <w:szCs w:val="28"/>
        </w:rPr>
        <w:t>s</w:t>
      </w:r>
      <w:r w:rsidR="00184788" w:rsidRPr="00CA2751">
        <w:rPr>
          <w:sz w:val="28"/>
          <w:szCs w:val="28"/>
        </w:rPr>
        <w:t>,</w:t>
      </w:r>
      <w:r w:rsidR="00050148" w:rsidRPr="00CA2751">
        <w:rPr>
          <w:sz w:val="28"/>
          <w:szCs w:val="28"/>
        </w:rPr>
        <w:t xml:space="preserve"> which the order ha</w:t>
      </w:r>
      <w:r w:rsidR="00184788" w:rsidRPr="00CA2751">
        <w:rPr>
          <w:sz w:val="28"/>
          <w:szCs w:val="28"/>
        </w:rPr>
        <w:t>d</w:t>
      </w:r>
      <w:r w:rsidR="00050148" w:rsidRPr="00CA2751">
        <w:rPr>
          <w:sz w:val="28"/>
          <w:szCs w:val="28"/>
        </w:rPr>
        <w:t xml:space="preserve"> interdicted</w:t>
      </w:r>
      <w:r w:rsidR="00013092" w:rsidRPr="00CA2751">
        <w:rPr>
          <w:sz w:val="28"/>
          <w:szCs w:val="28"/>
        </w:rPr>
        <w:t>.</w:t>
      </w:r>
      <w:r w:rsidR="000712E2" w:rsidRPr="00CA2751">
        <w:rPr>
          <w:sz w:val="28"/>
          <w:szCs w:val="28"/>
        </w:rPr>
        <w:t xml:space="preserve"> </w:t>
      </w:r>
      <w:r w:rsidR="00141A3C" w:rsidRPr="00CA2751">
        <w:rPr>
          <w:sz w:val="28"/>
          <w:szCs w:val="28"/>
        </w:rPr>
        <w:t>Fourie J was correct</w:t>
      </w:r>
      <w:r w:rsidR="00184788" w:rsidRPr="00CA2751">
        <w:rPr>
          <w:sz w:val="28"/>
          <w:szCs w:val="28"/>
        </w:rPr>
        <w:t xml:space="preserve"> on this score</w:t>
      </w:r>
      <w:r w:rsidR="00CF79D3" w:rsidRPr="00CA2751">
        <w:rPr>
          <w:sz w:val="28"/>
          <w:szCs w:val="28"/>
        </w:rPr>
        <w:t>,</w:t>
      </w:r>
      <w:r w:rsidR="00184788" w:rsidRPr="00CA2751">
        <w:rPr>
          <w:sz w:val="28"/>
          <w:szCs w:val="28"/>
        </w:rPr>
        <w:t xml:space="preserve"> and</w:t>
      </w:r>
      <w:r w:rsidR="00141A3C" w:rsidRPr="00CA2751">
        <w:rPr>
          <w:sz w:val="28"/>
          <w:szCs w:val="28"/>
        </w:rPr>
        <w:t xml:space="preserve"> </w:t>
      </w:r>
      <w:r w:rsidR="001E5CCD" w:rsidRPr="00CA2751">
        <w:rPr>
          <w:sz w:val="28"/>
          <w:szCs w:val="28"/>
        </w:rPr>
        <w:t>Bila mounted no challenge</w:t>
      </w:r>
      <w:r w:rsidR="00141A3C" w:rsidRPr="00CA2751">
        <w:rPr>
          <w:sz w:val="28"/>
          <w:szCs w:val="28"/>
        </w:rPr>
        <w:t xml:space="preserve"> on appeal. </w:t>
      </w:r>
      <w:r w:rsidR="00184788" w:rsidRPr="00CA2751">
        <w:rPr>
          <w:sz w:val="28"/>
          <w:szCs w:val="28"/>
        </w:rPr>
        <w:t>In respect of that order, t</w:t>
      </w:r>
      <w:r w:rsidR="00141A3C" w:rsidRPr="00CA2751">
        <w:rPr>
          <w:sz w:val="28"/>
          <w:szCs w:val="28"/>
        </w:rPr>
        <w:t>he issue that remain</w:t>
      </w:r>
      <w:r w:rsidR="00184788" w:rsidRPr="00CA2751">
        <w:rPr>
          <w:sz w:val="28"/>
          <w:szCs w:val="28"/>
        </w:rPr>
        <w:t>s to be determined is</w:t>
      </w:r>
      <w:r w:rsidR="00141A3C" w:rsidRPr="00CA2751">
        <w:rPr>
          <w:sz w:val="28"/>
          <w:szCs w:val="28"/>
        </w:rPr>
        <w:t xml:space="preserve"> whether</w:t>
      </w:r>
      <w:r w:rsidR="00184788" w:rsidRPr="00CA2751">
        <w:rPr>
          <w:sz w:val="28"/>
          <w:szCs w:val="28"/>
        </w:rPr>
        <w:t xml:space="preserve"> Bila advanced evidence that established a reasonable doubt as to whether the breach was wilful and </w:t>
      </w:r>
      <w:r w:rsidR="00184788" w:rsidRPr="00CA2751">
        <w:rPr>
          <w:i/>
          <w:iCs/>
          <w:sz w:val="28"/>
          <w:szCs w:val="28"/>
        </w:rPr>
        <w:t xml:space="preserve">mala fide. </w:t>
      </w:r>
    </w:p>
    <w:p w14:paraId="37D21B43" w14:textId="77777777" w:rsidR="00021CAB" w:rsidRPr="00CA2751" w:rsidRDefault="00021CAB" w:rsidP="007D3DBE">
      <w:pPr>
        <w:pStyle w:val="ListParagraph"/>
        <w:ind w:left="0"/>
        <w:rPr>
          <w:sz w:val="28"/>
          <w:szCs w:val="28"/>
        </w:rPr>
      </w:pPr>
    </w:p>
    <w:p w14:paraId="126C99DB" w14:textId="488E1DAF" w:rsidR="00184788" w:rsidRPr="00CA2751" w:rsidRDefault="004E5F34" w:rsidP="004E5F34">
      <w:pPr>
        <w:tabs>
          <w:tab w:val="left" w:pos="0"/>
        </w:tabs>
        <w:rPr>
          <w:sz w:val="28"/>
          <w:szCs w:val="28"/>
        </w:rPr>
      </w:pPr>
      <w:r w:rsidRPr="00CA2751">
        <w:rPr>
          <w:sz w:val="28"/>
          <w:szCs w:val="28"/>
        </w:rPr>
        <w:lastRenderedPageBreak/>
        <w:t>[41]</w:t>
      </w:r>
      <w:r w:rsidRPr="00CA2751">
        <w:rPr>
          <w:sz w:val="28"/>
          <w:szCs w:val="28"/>
        </w:rPr>
        <w:tab/>
      </w:r>
      <w:r w:rsidR="00184788" w:rsidRPr="00CA2751">
        <w:rPr>
          <w:sz w:val="28"/>
          <w:szCs w:val="28"/>
        </w:rPr>
        <w:t xml:space="preserve">I deal </w:t>
      </w:r>
      <w:r w:rsidR="00F3748B" w:rsidRPr="00CA2751">
        <w:rPr>
          <w:sz w:val="28"/>
          <w:szCs w:val="28"/>
        </w:rPr>
        <w:t xml:space="preserve">next </w:t>
      </w:r>
      <w:r w:rsidR="00184788" w:rsidRPr="00CA2751">
        <w:rPr>
          <w:sz w:val="28"/>
          <w:szCs w:val="28"/>
        </w:rPr>
        <w:t xml:space="preserve">with </w:t>
      </w:r>
      <w:r w:rsidR="000712E2" w:rsidRPr="00CA2751">
        <w:rPr>
          <w:sz w:val="28"/>
          <w:szCs w:val="28"/>
        </w:rPr>
        <w:t>Neukircher J’s order</w:t>
      </w:r>
      <w:r w:rsidR="00184788" w:rsidRPr="00CA2751">
        <w:rPr>
          <w:sz w:val="28"/>
          <w:szCs w:val="28"/>
        </w:rPr>
        <w:t xml:space="preserve">. The first question is whether Samancor </w:t>
      </w:r>
      <w:r w:rsidR="001E5CCD" w:rsidRPr="00CA2751">
        <w:rPr>
          <w:sz w:val="28"/>
          <w:szCs w:val="28"/>
        </w:rPr>
        <w:t>established breach</w:t>
      </w:r>
      <w:r w:rsidR="00184788" w:rsidRPr="00CA2751">
        <w:rPr>
          <w:sz w:val="28"/>
          <w:szCs w:val="28"/>
        </w:rPr>
        <w:t xml:space="preserve"> of that order </w:t>
      </w:r>
      <w:r w:rsidR="00141A3C" w:rsidRPr="00CA2751">
        <w:rPr>
          <w:sz w:val="28"/>
          <w:szCs w:val="28"/>
        </w:rPr>
        <w:t>beyond reasonable doubt</w:t>
      </w:r>
      <w:r w:rsidR="0017114C" w:rsidRPr="00CA2751">
        <w:rPr>
          <w:sz w:val="28"/>
          <w:szCs w:val="28"/>
        </w:rPr>
        <w:t>.</w:t>
      </w:r>
      <w:r w:rsidR="00184788" w:rsidRPr="00CA2751">
        <w:rPr>
          <w:rStyle w:val="FootnoteReference"/>
          <w:sz w:val="28"/>
          <w:szCs w:val="28"/>
        </w:rPr>
        <w:footnoteReference w:id="7"/>
      </w:r>
      <w:r w:rsidR="00184788" w:rsidRPr="00CA2751">
        <w:rPr>
          <w:sz w:val="28"/>
          <w:szCs w:val="28"/>
        </w:rPr>
        <w:t xml:space="preserve"> </w:t>
      </w:r>
      <w:r w:rsidR="003D2FBF" w:rsidRPr="00CA2751">
        <w:rPr>
          <w:sz w:val="28"/>
          <w:szCs w:val="28"/>
        </w:rPr>
        <w:t xml:space="preserve">I am willing to accept the argument made on Samancor’s behalf that </w:t>
      </w:r>
      <w:r w:rsidR="00184788" w:rsidRPr="00CA2751">
        <w:rPr>
          <w:sz w:val="28"/>
          <w:szCs w:val="28"/>
        </w:rPr>
        <w:t>on</w:t>
      </w:r>
      <w:r w:rsidR="003D2FBF" w:rsidRPr="00CA2751">
        <w:rPr>
          <w:sz w:val="28"/>
          <w:szCs w:val="28"/>
        </w:rPr>
        <w:t xml:space="preserve"> </w:t>
      </w:r>
      <w:r w:rsidR="00227DA4" w:rsidRPr="00CA2751">
        <w:rPr>
          <w:sz w:val="28"/>
          <w:szCs w:val="28"/>
        </w:rPr>
        <w:t xml:space="preserve">a </w:t>
      </w:r>
      <w:r w:rsidR="003D2FBF" w:rsidRPr="00CA2751">
        <w:rPr>
          <w:sz w:val="28"/>
          <w:szCs w:val="28"/>
        </w:rPr>
        <w:t>proper reading of the papers, 10 June 2020 was the date</w:t>
      </w:r>
      <w:r w:rsidR="00184788" w:rsidRPr="00CA2751">
        <w:rPr>
          <w:sz w:val="28"/>
          <w:szCs w:val="28"/>
        </w:rPr>
        <w:t xml:space="preserve"> its ‘officials’ observed the operations and</w:t>
      </w:r>
      <w:r w:rsidR="00B22077" w:rsidRPr="00CA2751">
        <w:rPr>
          <w:sz w:val="28"/>
          <w:szCs w:val="28"/>
        </w:rPr>
        <w:t xml:space="preserve"> the</w:t>
      </w:r>
      <w:r w:rsidR="003D2FBF" w:rsidRPr="00CA2751">
        <w:rPr>
          <w:sz w:val="28"/>
          <w:szCs w:val="28"/>
        </w:rPr>
        <w:t xml:space="preserve"> contempt complain</w:t>
      </w:r>
      <w:r w:rsidR="00B22077" w:rsidRPr="00CA2751">
        <w:rPr>
          <w:sz w:val="28"/>
          <w:szCs w:val="28"/>
        </w:rPr>
        <w:t>ed of</w:t>
      </w:r>
      <w:r w:rsidR="003D2FBF" w:rsidRPr="00CA2751">
        <w:rPr>
          <w:sz w:val="28"/>
          <w:szCs w:val="28"/>
        </w:rPr>
        <w:t xml:space="preserve"> started</w:t>
      </w:r>
      <w:r w:rsidR="00184788" w:rsidRPr="00CA2751">
        <w:rPr>
          <w:sz w:val="28"/>
          <w:szCs w:val="28"/>
        </w:rPr>
        <w:t xml:space="preserve"> on 30 November 2019 to 22 July 2020,</w:t>
      </w:r>
      <w:r w:rsidR="003D2FBF" w:rsidRPr="00CA2751">
        <w:rPr>
          <w:sz w:val="28"/>
          <w:szCs w:val="28"/>
        </w:rPr>
        <w:t xml:space="preserve"> despite the assertion made in </w:t>
      </w:r>
      <w:r w:rsidR="00B22077" w:rsidRPr="00CA2751">
        <w:rPr>
          <w:sz w:val="28"/>
          <w:szCs w:val="28"/>
        </w:rPr>
        <w:t xml:space="preserve">its </w:t>
      </w:r>
      <w:r w:rsidR="003D2FBF" w:rsidRPr="00CA2751">
        <w:rPr>
          <w:sz w:val="28"/>
          <w:szCs w:val="28"/>
        </w:rPr>
        <w:t>replying affidavit</w:t>
      </w:r>
      <w:r w:rsidR="0055576F" w:rsidRPr="00CA2751">
        <w:rPr>
          <w:sz w:val="28"/>
          <w:szCs w:val="28"/>
        </w:rPr>
        <w:t xml:space="preserve"> </w:t>
      </w:r>
      <w:r w:rsidR="00684A5A" w:rsidRPr="00CA2751">
        <w:rPr>
          <w:sz w:val="28"/>
          <w:szCs w:val="28"/>
        </w:rPr>
        <w:t>s</w:t>
      </w:r>
      <w:r w:rsidR="004606E5" w:rsidRPr="00CA2751">
        <w:rPr>
          <w:sz w:val="28"/>
          <w:szCs w:val="28"/>
        </w:rPr>
        <w:t>uggesting otherwise.</w:t>
      </w:r>
    </w:p>
    <w:p w14:paraId="09D062F3" w14:textId="77777777" w:rsidR="00184788" w:rsidRPr="00CA2751" w:rsidRDefault="00184788" w:rsidP="007D3DBE">
      <w:pPr>
        <w:pStyle w:val="ListParagraph"/>
        <w:ind w:left="0"/>
        <w:rPr>
          <w:sz w:val="28"/>
          <w:szCs w:val="28"/>
        </w:rPr>
      </w:pPr>
    </w:p>
    <w:p w14:paraId="1A70C70B" w14:textId="701AA08C" w:rsidR="0002765A" w:rsidRPr="00CA2751" w:rsidRDefault="004E5F34" w:rsidP="004E5F34">
      <w:pPr>
        <w:tabs>
          <w:tab w:val="left" w:pos="0"/>
        </w:tabs>
        <w:rPr>
          <w:sz w:val="28"/>
          <w:szCs w:val="28"/>
        </w:rPr>
      </w:pPr>
      <w:r w:rsidRPr="00CA2751">
        <w:rPr>
          <w:sz w:val="28"/>
          <w:szCs w:val="28"/>
        </w:rPr>
        <w:t>[42]</w:t>
      </w:r>
      <w:r w:rsidRPr="00CA2751">
        <w:rPr>
          <w:sz w:val="28"/>
          <w:szCs w:val="28"/>
        </w:rPr>
        <w:tab/>
      </w:r>
      <w:r w:rsidR="0055576F" w:rsidRPr="00CA2751">
        <w:rPr>
          <w:sz w:val="28"/>
          <w:szCs w:val="28"/>
        </w:rPr>
        <w:t xml:space="preserve">Therefore, the period that should be assessed as to whether Bila was conducting mining operations in contempt of Neukircher J’s order is 30 November 2019 to 22 July 2020. </w:t>
      </w:r>
      <w:r w:rsidR="00E834C7" w:rsidRPr="00CA2751">
        <w:rPr>
          <w:sz w:val="28"/>
          <w:szCs w:val="28"/>
        </w:rPr>
        <w:t xml:space="preserve">It is important to carefully </w:t>
      </w:r>
      <w:r w:rsidR="0002765A" w:rsidRPr="00CA2751">
        <w:rPr>
          <w:sz w:val="28"/>
          <w:szCs w:val="28"/>
        </w:rPr>
        <w:t>examine</w:t>
      </w:r>
      <w:r w:rsidR="00E834C7" w:rsidRPr="00CA2751">
        <w:rPr>
          <w:sz w:val="28"/>
          <w:szCs w:val="28"/>
        </w:rPr>
        <w:t xml:space="preserve"> the allegations relating to th</w:t>
      </w:r>
      <w:r w:rsidR="0002765A" w:rsidRPr="00CA2751">
        <w:rPr>
          <w:sz w:val="28"/>
          <w:szCs w:val="28"/>
        </w:rPr>
        <w:t>at</w:t>
      </w:r>
      <w:r w:rsidR="00E834C7" w:rsidRPr="00CA2751">
        <w:rPr>
          <w:sz w:val="28"/>
          <w:szCs w:val="28"/>
        </w:rPr>
        <w:t xml:space="preserve"> period</w:t>
      </w:r>
      <w:r w:rsidR="0002765A" w:rsidRPr="00CA2751">
        <w:rPr>
          <w:sz w:val="28"/>
          <w:szCs w:val="28"/>
        </w:rPr>
        <w:t xml:space="preserve">. This is so because a lot of background precedes it and touches on the </w:t>
      </w:r>
      <w:r w:rsidR="00E834C7" w:rsidRPr="00CA2751">
        <w:rPr>
          <w:sz w:val="28"/>
          <w:szCs w:val="28"/>
        </w:rPr>
        <w:t xml:space="preserve">application </w:t>
      </w:r>
      <w:r w:rsidR="0002765A" w:rsidRPr="00CA2751">
        <w:rPr>
          <w:sz w:val="28"/>
          <w:szCs w:val="28"/>
        </w:rPr>
        <w:t>brought for contempt of Neukircher J</w:t>
      </w:r>
      <w:r w:rsidR="00DA544B" w:rsidRPr="00CA2751">
        <w:rPr>
          <w:sz w:val="28"/>
          <w:szCs w:val="28"/>
        </w:rPr>
        <w:t>’s order</w:t>
      </w:r>
      <w:r w:rsidR="0002765A" w:rsidRPr="00CA2751">
        <w:rPr>
          <w:sz w:val="28"/>
          <w:szCs w:val="28"/>
        </w:rPr>
        <w:t xml:space="preserve"> </w:t>
      </w:r>
      <w:r w:rsidR="00E834C7" w:rsidRPr="00CA2751">
        <w:rPr>
          <w:sz w:val="28"/>
          <w:szCs w:val="28"/>
        </w:rPr>
        <w:t>in relation to conduct from 12 August 2019 to 8 September 2019</w:t>
      </w:r>
      <w:r w:rsidR="0002765A" w:rsidRPr="00CA2751">
        <w:rPr>
          <w:sz w:val="28"/>
          <w:szCs w:val="28"/>
        </w:rPr>
        <w:t xml:space="preserve">. </w:t>
      </w:r>
    </w:p>
    <w:p w14:paraId="73909E66" w14:textId="77777777" w:rsidR="0002765A" w:rsidRPr="00CA2751" w:rsidRDefault="0002765A" w:rsidP="007D3DBE">
      <w:pPr>
        <w:pStyle w:val="ListParagraph"/>
        <w:ind w:left="0"/>
        <w:rPr>
          <w:sz w:val="28"/>
          <w:szCs w:val="28"/>
        </w:rPr>
      </w:pPr>
    </w:p>
    <w:p w14:paraId="0E19B21C" w14:textId="3A47D09B" w:rsidR="00403508" w:rsidRPr="00CA2751" w:rsidRDefault="004E5F34" w:rsidP="004E5F34">
      <w:pPr>
        <w:tabs>
          <w:tab w:val="left" w:pos="0"/>
        </w:tabs>
        <w:rPr>
          <w:sz w:val="28"/>
          <w:szCs w:val="28"/>
        </w:rPr>
      </w:pPr>
      <w:r w:rsidRPr="00CA2751">
        <w:rPr>
          <w:sz w:val="28"/>
          <w:szCs w:val="28"/>
        </w:rPr>
        <w:t>[43]</w:t>
      </w:r>
      <w:r w:rsidRPr="00CA2751">
        <w:rPr>
          <w:sz w:val="28"/>
          <w:szCs w:val="28"/>
        </w:rPr>
        <w:tab/>
      </w:r>
      <w:r w:rsidR="0002765A" w:rsidRPr="00CA2751">
        <w:rPr>
          <w:sz w:val="28"/>
          <w:szCs w:val="28"/>
        </w:rPr>
        <w:t>In my assessment</w:t>
      </w:r>
      <w:r w:rsidR="00227DA4" w:rsidRPr="00CA2751">
        <w:rPr>
          <w:sz w:val="28"/>
          <w:szCs w:val="28"/>
        </w:rPr>
        <w:t>,</w:t>
      </w:r>
      <w:r w:rsidR="0002765A" w:rsidRPr="00CA2751">
        <w:rPr>
          <w:sz w:val="28"/>
          <w:szCs w:val="28"/>
        </w:rPr>
        <w:t xml:space="preserve"> </w:t>
      </w:r>
      <w:r w:rsidR="00E834C7" w:rsidRPr="00CA2751">
        <w:rPr>
          <w:sz w:val="28"/>
          <w:szCs w:val="28"/>
        </w:rPr>
        <w:t>the</w:t>
      </w:r>
      <w:r w:rsidR="0002765A" w:rsidRPr="00CA2751">
        <w:rPr>
          <w:sz w:val="28"/>
          <w:szCs w:val="28"/>
        </w:rPr>
        <w:t>re are</w:t>
      </w:r>
      <w:r w:rsidR="00E834C7" w:rsidRPr="00CA2751">
        <w:rPr>
          <w:sz w:val="28"/>
          <w:szCs w:val="28"/>
        </w:rPr>
        <w:t xml:space="preserve"> two main paragraphs </w:t>
      </w:r>
      <w:r w:rsidR="0029702F" w:rsidRPr="00CA2751">
        <w:rPr>
          <w:sz w:val="28"/>
          <w:szCs w:val="28"/>
        </w:rPr>
        <w:t xml:space="preserve">of the founding affidavit </w:t>
      </w:r>
      <w:r w:rsidR="00227DA4" w:rsidRPr="00CA2751">
        <w:rPr>
          <w:sz w:val="28"/>
          <w:szCs w:val="28"/>
        </w:rPr>
        <w:t xml:space="preserve">that </w:t>
      </w:r>
      <w:r w:rsidR="0002765A" w:rsidRPr="00CA2751">
        <w:rPr>
          <w:sz w:val="28"/>
          <w:szCs w:val="28"/>
        </w:rPr>
        <w:t xml:space="preserve">pointed </w:t>
      </w:r>
      <w:r w:rsidR="00E834C7" w:rsidRPr="00CA2751">
        <w:rPr>
          <w:sz w:val="28"/>
          <w:szCs w:val="28"/>
        </w:rPr>
        <w:t xml:space="preserve">to whether Samancor showed that </w:t>
      </w:r>
      <w:r w:rsidR="0002765A" w:rsidRPr="00CA2751">
        <w:rPr>
          <w:sz w:val="28"/>
          <w:szCs w:val="28"/>
        </w:rPr>
        <w:t xml:space="preserve">Bila </w:t>
      </w:r>
      <w:r w:rsidR="00E834C7" w:rsidRPr="00CA2751">
        <w:rPr>
          <w:sz w:val="28"/>
          <w:szCs w:val="28"/>
        </w:rPr>
        <w:t xml:space="preserve">conducted mining </w:t>
      </w:r>
      <w:r w:rsidR="00903297" w:rsidRPr="00CA2751">
        <w:rPr>
          <w:sz w:val="28"/>
          <w:szCs w:val="28"/>
        </w:rPr>
        <w:t>activities</w:t>
      </w:r>
      <w:r w:rsidR="00B76AC2" w:rsidRPr="00CA2751">
        <w:rPr>
          <w:sz w:val="28"/>
          <w:szCs w:val="28"/>
        </w:rPr>
        <w:t xml:space="preserve">. </w:t>
      </w:r>
      <w:r w:rsidR="0029702F" w:rsidRPr="00CA2751">
        <w:rPr>
          <w:sz w:val="28"/>
          <w:szCs w:val="28"/>
        </w:rPr>
        <w:t>Mr Greef</w:t>
      </w:r>
      <w:r w:rsidR="00B76AC2" w:rsidRPr="00CA2751">
        <w:rPr>
          <w:sz w:val="28"/>
          <w:szCs w:val="28"/>
        </w:rPr>
        <w:t>f</w:t>
      </w:r>
      <w:r w:rsidR="0029702F" w:rsidRPr="00CA2751">
        <w:rPr>
          <w:sz w:val="28"/>
          <w:szCs w:val="28"/>
        </w:rPr>
        <w:t xml:space="preserve"> noticed Bila’s trucks operati</w:t>
      </w:r>
      <w:r w:rsidR="00AF0BCE" w:rsidRPr="00CA2751">
        <w:rPr>
          <w:sz w:val="28"/>
          <w:szCs w:val="28"/>
        </w:rPr>
        <w:t>ng</w:t>
      </w:r>
      <w:r w:rsidR="0029702F" w:rsidRPr="00CA2751">
        <w:rPr>
          <w:sz w:val="28"/>
          <w:szCs w:val="28"/>
        </w:rPr>
        <w:t xml:space="preserve"> on the site and reported them. Mr Nel followed that up by taking photographs and making a video</w:t>
      </w:r>
      <w:r w:rsidR="00244893" w:rsidRPr="00CA2751">
        <w:rPr>
          <w:sz w:val="28"/>
          <w:szCs w:val="28"/>
        </w:rPr>
        <w:t xml:space="preserve"> of their activities</w:t>
      </w:r>
      <w:r w:rsidR="0029702F" w:rsidRPr="00CA2751">
        <w:rPr>
          <w:sz w:val="28"/>
          <w:szCs w:val="28"/>
        </w:rPr>
        <w:t xml:space="preserve">. So far, the two witnesses’ observations on their own were not vouching </w:t>
      </w:r>
      <w:r w:rsidR="00227DA4" w:rsidRPr="00CA2751">
        <w:rPr>
          <w:sz w:val="28"/>
          <w:szCs w:val="28"/>
        </w:rPr>
        <w:t xml:space="preserve">for </w:t>
      </w:r>
      <w:r w:rsidR="0029702F" w:rsidRPr="00CA2751">
        <w:rPr>
          <w:sz w:val="28"/>
          <w:szCs w:val="28"/>
        </w:rPr>
        <w:t xml:space="preserve">whether mining or prospecting was taking place. The person who could do that and indeed </w:t>
      </w:r>
      <w:r w:rsidR="00903297" w:rsidRPr="00CA2751">
        <w:rPr>
          <w:sz w:val="28"/>
          <w:szCs w:val="28"/>
        </w:rPr>
        <w:t xml:space="preserve">who </w:t>
      </w:r>
      <w:r w:rsidR="0029702F" w:rsidRPr="00CA2751">
        <w:rPr>
          <w:sz w:val="28"/>
          <w:szCs w:val="28"/>
        </w:rPr>
        <w:t xml:space="preserve">studied the </w:t>
      </w:r>
      <w:r w:rsidR="00DA544B" w:rsidRPr="00CA2751">
        <w:rPr>
          <w:sz w:val="28"/>
          <w:szCs w:val="28"/>
        </w:rPr>
        <w:t>photos</w:t>
      </w:r>
      <w:r w:rsidR="0029702F" w:rsidRPr="00CA2751">
        <w:rPr>
          <w:sz w:val="28"/>
          <w:szCs w:val="28"/>
        </w:rPr>
        <w:t xml:space="preserve"> and the video was </w:t>
      </w:r>
      <w:r w:rsidR="00AF0BCE" w:rsidRPr="00CA2751">
        <w:rPr>
          <w:sz w:val="28"/>
          <w:szCs w:val="28"/>
        </w:rPr>
        <w:t>Mr Dube</w:t>
      </w:r>
      <w:r w:rsidR="00227DA4" w:rsidRPr="00CA2751">
        <w:rPr>
          <w:sz w:val="28"/>
          <w:szCs w:val="28"/>
        </w:rPr>
        <w:t>,</w:t>
      </w:r>
      <w:r w:rsidR="00AF0BCE" w:rsidRPr="00CA2751">
        <w:rPr>
          <w:sz w:val="28"/>
          <w:szCs w:val="28"/>
        </w:rPr>
        <w:t xml:space="preserve"> who was an expert</w:t>
      </w:r>
      <w:r w:rsidR="00903297" w:rsidRPr="00CA2751">
        <w:rPr>
          <w:sz w:val="28"/>
          <w:szCs w:val="28"/>
        </w:rPr>
        <w:t xml:space="preserve"> in this regard</w:t>
      </w:r>
      <w:r w:rsidR="00AF0BCE" w:rsidRPr="00CA2751">
        <w:rPr>
          <w:sz w:val="28"/>
          <w:szCs w:val="28"/>
        </w:rPr>
        <w:t xml:space="preserve">. </w:t>
      </w:r>
      <w:r w:rsidR="00903297" w:rsidRPr="00CA2751">
        <w:rPr>
          <w:sz w:val="28"/>
          <w:szCs w:val="28"/>
        </w:rPr>
        <w:t>On scrutiny, t</w:t>
      </w:r>
      <w:r w:rsidR="00AF0BCE" w:rsidRPr="00CA2751">
        <w:rPr>
          <w:sz w:val="28"/>
          <w:szCs w:val="28"/>
        </w:rPr>
        <w:t>he allegation relating to what Mr Dube studied is not helpful either. It is</w:t>
      </w:r>
      <w:r w:rsidR="006A7CD1" w:rsidRPr="00CA2751">
        <w:rPr>
          <w:sz w:val="28"/>
          <w:szCs w:val="28"/>
        </w:rPr>
        <w:t xml:space="preserve">, at best for </w:t>
      </w:r>
      <w:r w:rsidR="006A7CD1" w:rsidRPr="00CA2751">
        <w:rPr>
          <w:sz w:val="28"/>
          <w:szCs w:val="28"/>
        </w:rPr>
        <w:lastRenderedPageBreak/>
        <w:t>Samancor,</w:t>
      </w:r>
      <w:r w:rsidR="00AF0BCE" w:rsidRPr="00CA2751">
        <w:rPr>
          <w:sz w:val="28"/>
          <w:szCs w:val="28"/>
        </w:rPr>
        <w:t xml:space="preserve"> ambivalent. It </w:t>
      </w:r>
      <w:r w:rsidR="00AB7E97">
        <w:rPr>
          <w:sz w:val="28"/>
          <w:szCs w:val="28"/>
        </w:rPr>
        <w:t xml:space="preserve">is stated, </w:t>
      </w:r>
      <w:r w:rsidR="00A00985" w:rsidRPr="00CA2751">
        <w:rPr>
          <w:sz w:val="28"/>
          <w:szCs w:val="28"/>
        </w:rPr>
        <w:t>he confirmed that ‘they show mining</w:t>
      </w:r>
      <w:r w:rsidR="00A00985" w:rsidRPr="00CA2751">
        <w:rPr>
          <w:i/>
          <w:sz w:val="28"/>
          <w:szCs w:val="28"/>
        </w:rPr>
        <w:t xml:space="preserve"> and/or </w:t>
      </w:r>
      <w:r w:rsidR="00A00985" w:rsidRPr="00CA2751">
        <w:rPr>
          <w:sz w:val="28"/>
          <w:szCs w:val="28"/>
        </w:rPr>
        <w:t>prospecting operations</w:t>
      </w:r>
      <w:r w:rsidR="00DA544B" w:rsidRPr="00CA2751">
        <w:rPr>
          <w:sz w:val="28"/>
          <w:szCs w:val="28"/>
        </w:rPr>
        <w:t>.</w:t>
      </w:r>
      <w:r w:rsidR="00177FAE">
        <w:rPr>
          <w:sz w:val="28"/>
          <w:szCs w:val="28"/>
        </w:rPr>
        <w:t>’</w:t>
      </w:r>
      <w:r w:rsidR="00A00985" w:rsidRPr="00CA2751">
        <w:rPr>
          <w:sz w:val="28"/>
          <w:szCs w:val="28"/>
        </w:rPr>
        <w:t xml:space="preserve"> </w:t>
      </w:r>
      <w:r w:rsidR="00807874" w:rsidRPr="00CA2751">
        <w:rPr>
          <w:sz w:val="28"/>
          <w:szCs w:val="28"/>
        </w:rPr>
        <w:t>(</w:t>
      </w:r>
      <w:r w:rsidR="00403508" w:rsidRPr="00CA2751">
        <w:rPr>
          <w:sz w:val="28"/>
          <w:szCs w:val="28"/>
        </w:rPr>
        <w:t>My emphasis</w:t>
      </w:r>
      <w:r w:rsidR="00227DA4" w:rsidRPr="00CA2751">
        <w:rPr>
          <w:sz w:val="28"/>
          <w:szCs w:val="28"/>
        </w:rPr>
        <w:t>.</w:t>
      </w:r>
      <w:r w:rsidR="00807874" w:rsidRPr="00CA2751">
        <w:rPr>
          <w:sz w:val="28"/>
          <w:szCs w:val="28"/>
        </w:rPr>
        <w:t>)</w:t>
      </w:r>
    </w:p>
    <w:p w14:paraId="0AD283D0" w14:textId="77777777" w:rsidR="00403508" w:rsidRPr="00CA2751" w:rsidRDefault="00403508" w:rsidP="007D3DBE">
      <w:pPr>
        <w:pStyle w:val="ListParagraph"/>
        <w:ind w:left="0"/>
        <w:rPr>
          <w:sz w:val="28"/>
          <w:szCs w:val="28"/>
        </w:rPr>
      </w:pPr>
    </w:p>
    <w:p w14:paraId="49177969" w14:textId="768DD596" w:rsidR="00DB63D7" w:rsidRPr="00CA2751" w:rsidRDefault="004E5F34" w:rsidP="004E5F34">
      <w:pPr>
        <w:tabs>
          <w:tab w:val="left" w:pos="0"/>
        </w:tabs>
        <w:rPr>
          <w:sz w:val="28"/>
          <w:szCs w:val="28"/>
        </w:rPr>
      </w:pPr>
      <w:r w:rsidRPr="00CA2751">
        <w:rPr>
          <w:sz w:val="28"/>
          <w:szCs w:val="28"/>
        </w:rPr>
        <w:t>[44]</w:t>
      </w:r>
      <w:r w:rsidRPr="00CA2751">
        <w:rPr>
          <w:sz w:val="28"/>
          <w:szCs w:val="28"/>
        </w:rPr>
        <w:tab/>
      </w:r>
      <w:r w:rsidR="00403508" w:rsidRPr="00CA2751">
        <w:rPr>
          <w:sz w:val="28"/>
          <w:szCs w:val="28"/>
        </w:rPr>
        <w:t xml:space="preserve">The key allegation that remains is that which states that as at 3 July 2020 </w:t>
      </w:r>
      <w:r w:rsidR="00903297" w:rsidRPr="00CA2751">
        <w:rPr>
          <w:sz w:val="28"/>
          <w:szCs w:val="28"/>
        </w:rPr>
        <w:t xml:space="preserve">there was </w:t>
      </w:r>
      <w:r w:rsidR="00403508" w:rsidRPr="00CA2751">
        <w:rPr>
          <w:sz w:val="28"/>
          <w:szCs w:val="28"/>
        </w:rPr>
        <w:t>‘. . . an additional 1</w:t>
      </w:r>
      <w:r w:rsidR="00DB63D7" w:rsidRPr="00CA2751">
        <w:rPr>
          <w:sz w:val="28"/>
          <w:szCs w:val="28"/>
        </w:rPr>
        <w:t>,</w:t>
      </w:r>
      <w:r w:rsidR="00403508" w:rsidRPr="00CA2751">
        <w:rPr>
          <w:sz w:val="28"/>
          <w:szCs w:val="28"/>
        </w:rPr>
        <w:t>493</w:t>
      </w:r>
      <w:r w:rsidR="00DB63D7" w:rsidRPr="00CA2751">
        <w:rPr>
          <w:sz w:val="28"/>
          <w:szCs w:val="28"/>
        </w:rPr>
        <w:t>,</w:t>
      </w:r>
      <w:r w:rsidR="00403508" w:rsidRPr="00CA2751">
        <w:rPr>
          <w:sz w:val="28"/>
          <w:szCs w:val="28"/>
        </w:rPr>
        <w:t xml:space="preserve">926 tons of chrome ore removed by [Bila] from the MG4 Reef and the MG4A Reef </w:t>
      </w:r>
      <w:r w:rsidR="00DB63D7" w:rsidRPr="00CA2751">
        <w:rPr>
          <w:sz w:val="28"/>
          <w:szCs w:val="28"/>
        </w:rPr>
        <w:t>on RE Portion 2 i.e. in excess of the 920, 611 tons of chrome ore that it had already mined in 2019</w:t>
      </w:r>
      <w:r w:rsidR="00DA544B" w:rsidRPr="00CA2751">
        <w:rPr>
          <w:sz w:val="28"/>
          <w:szCs w:val="28"/>
        </w:rPr>
        <w:t>.</w:t>
      </w:r>
      <w:r w:rsidR="00177FAE">
        <w:rPr>
          <w:sz w:val="28"/>
          <w:szCs w:val="28"/>
        </w:rPr>
        <w:t>’</w:t>
      </w:r>
    </w:p>
    <w:p w14:paraId="2499897D" w14:textId="77777777" w:rsidR="00DB63D7" w:rsidRPr="00CA2751" w:rsidRDefault="00DB63D7" w:rsidP="007D3DBE">
      <w:pPr>
        <w:pStyle w:val="ListParagraph"/>
        <w:ind w:left="0"/>
        <w:rPr>
          <w:sz w:val="28"/>
          <w:szCs w:val="28"/>
        </w:rPr>
      </w:pPr>
    </w:p>
    <w:p w14:paraId="313C39CE" w14:textId="1421FA59" w:rsidR="002712C1" w:rsidRPr="00CA2751" w:rsidRDefault="004E5F34" w:rsidP="004E5F34">
      <w:pPr>
        <w:tabs>
          <w:tab w:val="left" w:pos="0"/>
        </w:tabs>
        <w:rPr>
          <w:sz w:val="28"/>
          <w:szCs w:val="28"/>
        </w:rPr>
      </w:pPr>
      <w:r w:rsidRPr="00CA2751">
        <w:rPr>
          <w:sz w:val="28"/>
          <w:szCs w:val="28"/>
        </w:rPr>
        <w:t>[45]</w:t>
      </w:r>
      <w:r w:rsidRPr="00CA2751">
        <w:rPr>
          <w:sz w:val="28"/>
          <w:szCs w:val="28"/>
        </w:rPr>
        <w:tab/>
      </w:r>
      <w:r w:rsidR="00DB63D7" w:rsidRPr="00CA2751">
        <w:rPr>
          <w:sz w:val="28"/>
          <w:szCs w:val="28"/>
        </w:rPr>
        <w:t>The question is whether th</w:t>
      </w:r>
      <w:r w:rsidR="00903297" w:rsidRPr="00CA2751">
        <w:rPr>
          <w:sz w:val="28"/>
          <w:szCs w:val="28"/>
        </w:rPr>
        <w:t>e</w:t>
      </w:r>
      <w:r w:rsidR="00DB63D7" w:rsidRPr="00CA2751">
        <w:rPr>
          <w:sz w:val="28"/>
          <w:szCs w:val="28"/>
        </w:rPr>
        <w:t xml:space="preserve"> </w:t>
      </w:r>
      <w:r w:rsidR="00903297" w:rsidRPr="00CA2751">
        <w:rPr>
          <w:sz w:val="28"/>
          <w:szCs w:val="28"/>
        </w:rPr>
        <w:t xml:space="preserve">allegation </w:t>
      </w:r>
      <w:r w:rsidR="003B337C" w:rsidRPr="00CA2751">
        <w:rPr>
          <w:sz w:val="28"/>
          <w:szCs w:val="28"/>
        </w:rPr>
        <w:t xml:space="preserve">quoted in the </w:t>
      </w:r>
      <w:r w:rsidR="001E5CCD" w:rsidRPr="00CA2751">
        <w:rPr>
          <w:sz w:val="28"/>
          <w:szCs w:val="28"/>
        </w:rPr>
        <w:t>preceding</w:t>
      </w:r>
      <w:r w:rsidR="003B337C" w:rsidRPr="00CA2751">
        <w:rPr>
          <w:sz w:val="28"/>
          <w:szCs w:val="28"/>
        </w:rPr>
        <w:t xml:space="preserve"> </w:t>
      </w:r>
      <w:r w:rsidR="001E5CCD" w:rsidRPr="00CA2751">
        <w:rPr>
          <w:sz w:val="28"/>
          <w:szCs w:val="28"/>
        </w:rPr>
        <w:t>paragraph is</w:t>
      </w:r>
      <w:r w:rsidR="00DB63D7" w:rsidRPr="00CA2751">
        <w:rPr>
          <w:sz w:val="28"/>
          <w:szCs w:val="28"/>
        </w:rPr>
        <w:t xml:space="preserve"> sufficient to hold Bila </w:t>
      </w:r>
      <w:r w:rsidR="003B337C" w:rsidRPr="00CA2751">
        <w:rPr>
          <w:sz w:val="28"/>
          <w:szCs w:val="28"/>
        </w:rPr>
        <w:t xml:space="preserve">in </w:t>
      </w:r>
      <w:r w:rsidR="001E5CCD" w:rsidRPr="00CA2751">
        <w:rPr>
          <w:sz w:val="28"/>
          <w:szCs w:val="28"/>
        </w:rPr>
        <w:t>breach of</w:t>
      </w:r>
      <w:r w:rsidR="00DB63D7" w:rsidRPr="00CA2751">
        <w:rPr>
          <w:sz w:val="28"/>
          <w:szCs w:val="28"/>
        </w:rPr>
        <w:t xml:space="preserve"> the order beyond reasonable doubt. The difficulty I have with this allegation is </w:t>
      </w:r>
      <w:r w:rsidR="00903297" w:rsidRPr="00CA2751">
        <w:rPr>
          <w:sz w:val="28"/>
          <w:szCs w:val="28"/>
        </w:rPr>
        <w:t xml:space="preserve">its </w:t>
      </w:r>
      <w:r w:rsidR="00DB63D7" w:rsidRPr="00CA2751">
        <w:rPr>
          <w:sz w:val="28"/>
          <w:szCs w:val="28"/>
        </w:rPr>
        <w:t xml:space="preserve">lack of particularity. First, it must be accepted that by this stage, Bila was in phase 3 of the prospecting activities in terms of the PWP. It is not alleged by how much </w:t>
      </w:r>
      <w:r w:rsidR="00DA544B" w:rsidRPr="00CA2751">
        <w:rPr>
          <w:sz w:val="28"/>
          <w:szCs w:val="28"/>
        </w:rPr>
        <w:t>it exceeded</w:t>
      </w:r>
      <w:r w:rsidR="00DB63D7" w:rsidRPr="00CA2751">
        <w:rPr>
          <w:sz w:val="28"/>
          <w:szCs w:val="28"/>
        </w:rPr>
        <w:t xml:space="preserve"> its allowable extraction for this period. </w:t>
      </w:r>
    </w:p>
    <w:p w14:paraId="6E8272EB" w14:textId="77777777" w:rsidR="002712C1" w:rsidRPr="00CA2751" w:rsidRDefault="002712C1" w:rsidP="007D3DBE">
      <w:pPr>
        <w:pStyle w:val="ListParagraph"/>
        <w:ind w:left="0"/>
        <w:rPr>
          <w:sz w:val="28"/>
          <w:szCs w:val="28"/>
        </w:rPr>
      </w:pPr>
    </w:p>
    <w:p w14:paraId="1D7F8E78" w14:textId="14EAF0BB" w:rsidR="002712C1" w:rsidRPr="00CA2751" w:rsidRDefault="004E5F34" w:rsidP="004E5F34">
      <w:pPr>
        <w:tabs>
          <w:tab w:val="left" w:pos="0"/>
        </w:tabs>
        <w:rPr>
          <w:sz w:val="28"/>
          <w:szCs w:val="28"/>
        </w:rPr>
      </w:pPr>
      <w:r w:rsidRPr="00CA2751">
        <w:rPr>
          <w:sz w:val="28"/>
          <w:szCs w:val="28"/>
        </w:rPr>
        <w:t>[46]</w:t>
      </w:r>
      <w:r w:rsidRPr="00CA2751">
        <w:rPr>
          <w:sz w:val="28"/>
          <w:szCs w:val="28"/>
        </w:rPr>
        <w:tab/>
      </w:r>
      <w:r w:rsidR="00DB63D7" w:rsidRPr="00CA2751">
        <w:rPr>
          <w:sz w:val="28"/>
          <w:szCs w:val="28"/>
        </w:rPr>
        <w:t xml:space="preserve">No allegations are made </w:t>
      </w:r>
      <w:r w:rsidR="00AB7E97">
        <w:rPr>
          <w:sz w:val="28"/>
          <w:szCs w:val="28"/>
        </w:rPr>
        <w:t xml:space="preserve">as to whether it had </w:t>
      </w:r>
      <w:r w:rsidR="00DB63D7" w:rsidRPr="00CA2751">
        <w:rPr>
          <w:sz w:val="28"/>
          <w:szCs w:val="28"/>
        </w:rPr>
        <w:t>exceed</w:t>
      </w:r>
      <w:r w:rsidR="00AB7E97">
        <w:rPr>
          <w:sz w:val="28"/>
          <w:szCs w:val="28"/>
        </w:rPr>
        <w:t>ed</w:t>
      </w:r>
      <w:r w:rsidR="00DB63D7" w:rsidRPr="00CA2751">
        <w:rPr>
          <w:sz w:val="28"/>
          <w:szCs w:val="28"/>
        </w:rPr>
        <w:t xml:space="preserve"> the </w:t>
      </w:r>
      <w:r w:rsidR="00AB7E97">
        <w:rPr>
          <w:sz w:val="28"/>
          <w:szCs w:val="28"/>
        </w:rPr>
        <w:t xml:space="preserve">permissible </w:t>
      </w:r>
      <w:r w:rsidR="00DB63D7" w:rsidRPr="00CA2751">
        <w:rPr>
          <w:sz w:val="28"/>
          <w:szCs w:val="28"/>
        </w:rPr>
        <w:t>amount of chrome ore. It is left to the court to make its own deductions that the additional tons of chrome</w:t>
      </w:r>
      <w:r w:rsidR="00137EA5" w:rsidRPr="00CA2751">
        <w:rPr>
          <w:sz w:val="28"/>
          <w:szCs w:val="28"/>
        </w:rPr>
        <w:t xml:space="preserve"> referred to in the quoted part of </w:t>
      </w:r>
      <w:r w:rsidR="00B57C3B" w:rsidRPr="00CA2751">
        <w:rPr>
          <w:sz w:val="28"/>
          <w:szCs w:val="28"/>
        </w:rPr>
        <w:t xml:space="preserve">the relevant paragraph </w:t>
      </w:r>
      <w:r w:rsidR="00137EA5" w:rsidRPr="00CA2751">
        <w:rPr>
          <w:sz w:val="28"/>
          <w:szCs w:val="28"/>
        </w:rPr>
        <w:t xml:space="preserve">meant that Bila had exceeded what it was allowed to extract. </w:t>
      </w:r>
    </w:p>
    <w:p w14:paraId="4189570D" w14:textId="77777777" w:rsidR="002712C1" w:rsidRPr="00CA2751" w:rsidRDefault="002712C1" w:rsidP="007D3DBE">
      <w:pPr>
        <w:pStyle w:val="ListParagraph"/>
        <w:ind w:left="0"/>
        <w:rPr>
          <w:sz w:val="28"/>
          <w:szCs w:val="28"/>
        </w:rPr>
      </w:pPr>
    </w:p>
    <w:p w14:paraId="4CDD762C" w14:textId="15B326FA" w:rsidR="00503277" w:rsidRPr="00CA2751" w:rsidRDefault="004E5F34" w:rsidP="004E5F34">
      <w:pPr>
        <w:tabs>
          <w:tab w:val="left" w:pos="0"/>
        </w:tabs>
        <w:rPr>
          <w:sz w:val="28"/>
          <w:szCs w:val="28"/>
        </w:rPr>
      </w:pPr>
      <w:r w:rsidRPr="00CA2751">
        <w:rPr>
          <w:sz w:val="28"/>
          <w:szCs w:val="28"/>
        </w:rPr>
        <w:t>[47]</w:t>
      </w:r>
      <w:r w:rsidRPr="00CA2751">
        <w:rPr>
          <w:sz w:val="28"/>
          <w:szCs w:val="28"/>
        </w:rPr>
        <w:tab/>
      </w:r>
      <w:r w:rsidR="00137EA5" w:rsidRPr="00CA2751">
        <w:rPr>
          <w:sz w:val="28"/>
          <w:szCs w:val="28"/>
        </w:rPr>
        <w:t>If regard</w:t>
      </w:r>
      <w:r w:rsidR="00503277" w:rsidRPr="00CA2751">
        <w:rPr>
          <w:sz w:val="28"/>
          <w:szCs w:val="28"/>
        </w:rPr>
        <w:t xml:space="preserve"> is had</w:t>
      </w:r>
      <w:r w:rsidR="00137EA5" w:rsidRPr="00CA2751">
        <w:rPr>
          <w:sz w:val="28"/>
          <w:szCs w:val="28"/>
        </w:rPr>
        <w:t xml:space="preserve"> to the slides provided in support of the measurements for 2019 and 2020, it appears that the measurements for 2019 were done on 24 May 2019, which leaves the possibility that the measurements done on 3 July 2020 included the six months </w:t>
      </w:r>
      <w:r w:rsidR="00503277" w:rsidRPr="00CA2751">
        <w:rPr>
          <w:sz w:val="28"/>
          <w:szCs w:val="28"/>
        </w:rPr>
        <w:t xml:space="preserve">period </w:t>
      </w:r>
      <w:r w:rsidR="00137EA5" w:rsidRPr="00CA2751">
        <w:rPr>
          <w:sz w:val="28"/>
          <w:szCs w:val="28"/>
        </w:rPr>
        <w:t>from May 2019 to November 2019 (which is a period not forming part of the complaint).</w:t>
      </w:r>
      <w:r w:rsidR="005F2D18" w:rsidRPr="00CA2751">
        <w:rPr>
          <w:sz w:val="28"/>
          <w:szCs w:val="28"/>
        </w:rPr>
        <w:t xml:space="preserve"> </w:t>
      </w:r>
    </w:p>
    <w:p w14:paraId="670B57C4" w14:textId="77777777" w:rsidR="00503277" w:rsidRPr="00CA2751" w:rsidRDefault="00503277" w:rsidP="00503277">
      <w:pPr>
        <w:pStyle w:val="ListParagraph"/>
        <w:rPr>
          <w:sz w:val="28"/>
          <w:szCs w:val="28"/>
        </w:rPr>
      </w:pPr>
    </w:p>
    <w:p w14:paraId="3932D59E" w14:textId="5BEFB301" w:rsidR="00503277" w:rsidRPr="00CA2751" w:rsidRDefault="004E5F34" w:rsidP="004E5F34">
      <w:pPr>
        <w:tabs>
          <w:tab w:val="left" w:pos="0"/>
        </w:tabs>
        <w:rPr>
          <w:sz w:val="28"/>
          <w:szCs w:val="28"/>
        </w:rPr>
      </w:pPr>
      <w:r w:rsidRPr="00CA2751">
        <w:rPr>
          <w:sz w:val="28"/>
          <w:szCs w:val="28"/>
        </w:rPr>
        <w:lastRenderedPageBreak/>
        <w:t>[48]</w:t>
      </w:r>
      <w:r w:rsidRPr="00CA2751">
        <w:rPr>
          <w:sz w:val="28"/>
          <w:szCs w:val="28"/>
        </w:rPr>
        <w:tab/>
      </w:r>
      <w:r w:rsidR="00137EA5" w:rsidRPr="00CA2751">
        <w:rPr>
          <w:sz w:val="28"/>
          <w:szCs w:val="28"/>
        </w:rPr>
        <w:t>It is n</w:t>
      </w:r>
      <w:r w:rsidR="00503277" w:rsidRPr="00CA2751">
        <w:rPr>
          <w:sz w:val="28"/>
          <w:szCs w:val="28"/>
        </w:rPr>
        <w:t>either</w:t>
      </w:r>
      <w:r w:rsidR="00137EA5" w:rsidRPr="00CA2751">
        <w:rPr>
          <w:sz w:val="28"/>
          <w:szCs w:val="28"/>
        </w:rPr>
        <w:t xml:space="preserve"> </w:t>
      </w:r>
      <w:r w:rsidR="001E5CCD" w:rsidRPr="00CA2751">
        <w:rPr>
          <w:sz w:val="28"/>
          <w:szCs w:val="28"/>
        </w:rPr>
        <w:t>conclusive nor</w:t>
      </w:r>
      <w:r w:rsidR="00636C75" w:rsidRPr="00CA2751">
        <w:rPr>
          <w:sz w:val="28"/>
          <w:szCs w:val="28"/>
        </w:rPr>
        <w:t xml:space="preserve"> </w:t>
      </w:r>
      <w:r w:rsidR="001E5CCD" w:rsidRPr="00CA2751">
        <w:rPr>
          <w:sz w:val="28"/>
          <w:szCs w:val="28"/>
        </w:rPr>
        <w:t>clear whether</w:t>
      </w:r>
      <w:r w:rsidR="00137EA5" w:rsidRPr="00CA2751">
        <w:rPr>
          <w:sz w:val="28"/>
          <w:szCs w:val="28"/>
        </w:rPr>
        <w:t xml:space="preserve"> any extractions took place after November 2019 to 3 July 2020. This is because calculations</w:t>
      </w:r>
      <w:r w:rsidR="00503277" w:rsidRPr="00CA2751">
        <w:rPr>
          <w:sz w:val="28"/>
          <w:szCs w:val="28"/>
        </w:rPr>
        <w:t xml:space="preserve"> presented</w:t>
      </w:r>
      <w:r w:rsidR="00137EA5" w:rsidRPr="00CA2751">
        <w:rPr>
          <w:sz w:val="28"/>
          <w:szCs w:val="28"/>
        </w:rPr>
        <w:t xml:space="preserve"> for 2019 stopped on 24 May 2019</w:t>
      </w:r>
      <w:r w:rsidR="00503277" w:rsidRPr="00CA2751">
        <w:rPr>
          <w:sz w:val="28"/>
          <w:szCs w:val="28"/>
        </w:rPr>
        <w:t>, which could mean</w:t>
      </w:r>
      <w:r w:rsidR="00137EA5" w:rsidRPr="00CA2751">
        <w:rPr>
          <w:sz w:val="28"/>
          <w:szCs w:val="28"/>
        </w:rPr>
        <w:t xml:space="preserve"> calculations for 2020 include</w:t>
      </w:r>
      <w:r w:rsidR="00503277" w:rsidRPr="00CA2751">
        <w:rPr>
          <w:sz w:val="28"/>
          <w:szCs w:val="28"/>
        </w:rPr>
        <w:t xml:space="preserve">d those from </w:t>
      </w:r>
      <w:r w:rsidR="00137EA5" w:rsidRPr="00CA2751">
        <w:rPr>
          <w:sz w:val="28"/>
          <w:szCs w:val="28"/>
        </w:rPr>
        <w:t>25 May 2019.</w:t>
      </w:r>
      <w:r w:rsidR="00503277" w:rsidRPr="00CA2751">
        <w:rPr>
          <w:sz w:val="28"/>
          <w:szCs w:val="28"/>
        </w:rPr>
        <w:t xml:space="preserve"> It may be surmised, according to Samancor’s counsel, that part of the volumes removed should be between 30 November 2019 and 3 July 2020</w:t>
      </w:r>
      <w:r w:rsidR="00F939E5" w:rsidRPr="00CA2751">
        <w:rPr>
          <w:sz w:val="28"/>
          <w:szCs w:val="28"/>
        </w:rPr>
        <w:t>.</w:t>
      </w:r>
      <w:r w:rsidR="00503277" w:rsidRPr="00CA2751">
        <w:rPr>
          <w:sz w:val="28"/>
          <w:szCs w:val="28"/>
        </w:rPr>
        <w:t xml:space="preserve"> </w:t>
      </w:r>
      <w:r w:rsidR="00F939E5" w:rsidRPr="00CA2751">
        <w:rPr>
          <w:sz w:val="28"/>
          <w:szCs w:val="28"/>
        </w:rPr>
        <w:t>T</w:t>
      </w:r>
      <w:r w:rsidR="00503277" w:rsidRPr="00CA2751">
        <w:rPr>
          <w:sz w:val="28"/>
          <w:szCs w:val="28"/>
        </w:rPr>
        <w:t xml:space="preserve">his, </w:t>
      </w:r>
      <w:r w:rsidR="00DA544B" w:rsidRPr="00CA2751">
        <w:rPr>
          <w:sz w:val="28"/>
          <w:szCs w:val="28"/>
        </w:rPr>
        <w:t>however,</w:t>
      </w:r>
      <w:r w:rsidR="00503277" w:rsidRPr="00CA2751">
        <w:rPr>
          <w:sz w:val="28"/>
          <w:szCs w:val="28"/>
        </w:rPr>
        <w:t xml:space="preserve"> may be lending us </w:t>
      </w:r>
      <w:r w:rsidR="004D5EEB" w:rsidRPr="00CA2751">
        <w:rPr>
          <w:sz w:val="28"/>
          <w:szCs w:val="28"/>
        </w:rPr>
        <w:t>in</w:t>
      </w:r>
      <w:r w:rsidR="00503277" w:rsidRPr="00CA2751">
        <w:rPr>
          <w:sz w:val="28"/>
          <w:szCs w:val="28"/>
        </w:rPr>
        <w:t>to the realm of supposition.</w:t>
      </w:r>
    </w:p>
    <w:p w14:paraId="6E39D8F3" w14:textId="77777777" w:rsidR="002712C1" w:rsidRPr="00CA2751" w:rsidRDefault="002712C1" w:rsidP="00503277">
      <w:pPr>
        <w:pStyle w:val="ListParagraph"/>
        <w:ind w:left="0"/>
        <w:rPr>
          <w:sz w:val="28"/>
          <w:szCs w:val="28"/>
        </w:rPr>
      </w:pPr>
    </w:p>
    <w:p w14:paraId="3C44D837" w14:textId="20CFB8C2" w:rsidR="005B1A82" w:rsidRPr="00CA2751" w:rsidRDefault="004E5F34" w:rsidP="004E5F34">
      <w:pPr>
        <w:tabs>
          <w:tab w:val="left" w:pos="0"/>
        </w:tabs>
        <w:rPr>
          <w:sz w:val="28"/>
          <w:szCs w:val="28"/>
        </w:rPr>
      </w:pPr>
      <w:r w:rsidRPr="00CA2751">
        <w:rPr>
          <w:sz w:val="28"/>
          <w:szCs w:val="28"/>
        </w:rPr>
        <w:t>[49]</w:t>
      </w:r>
      <w:r w:rsidRPr="00CA2751">
        <w:rPr>
          <w:sz w:val="28"/>
          <w:szCs w:val="28"/>
        </w:rPr>
        <w:tab/>
      </w:r>
      <w:r w:rsidR="00A4607F" w:rsidRPr="00CA2751">
        <w:rPr>
          <w:sz w:val="28"/>
          <w:szCs w:val="28"/>
        </w:rPr>
        <w:t>The difficulty</w:t>
      </w:r>
      <w:r w:rsidR="00DA544B" w:rsidRPr="00CA2751">
        <w:rPr>
          <w:sz w:val="28"/>
          <w:szCs w:val="28"/>
        </w:rPr>
        <w:t xml:space="preserve"> is</w:t>
      </w:r>
      <w:r w:rsidR="002712C1" w:rsidRPr="00CA2751">
        <w:rPr>
          <w:sz w:val="28"/>
          <w:szCs w:val="28"/>
        </w:rPr>
        <w:t xml:space="preserve"> that the allegations made by Samancor are too wide and difficult to devise into the particular period. This may be because of the manner in which the allegations are</w:t>
      </w:r>
      <w:r w:rsidR="005B1A82" w:rsidRPr="00CA2751">
        <w:rPr>
          <w:sz w:val="28"/>
          <w:szCs w:val="28"/>
        </w:rPr>
        <w:t xml:space="preserve"> made</w:t>
      </w:r>
      <w:r w:rsidR="002712C1" w:rsidRPr="00CA2751">
        <w:rPr>
          <w:sz w:val="28"/>
          <w:szCs w:val="28"/>
        </w:rPr>
        <w:t>, which leave</w:t>
      </w:r>
      <w:r w:rsidR="004D5EEB" w:rsidRPr="00CA2751">
        <w:rPr>
          <w:sz w:val="28"/>
          <w:szCs w:val="28"/>
        </w:rPr>
        <w:t>s</w:t>
      </w:r>
      <w:r w:rsidR="002712C1" w:rsidRPr="00CA2751">
        <w:rPr>
          <w:sz w:val="28"/>
          <w:szCs w:val="28"/>
        </w:rPr>
        <w:t xml:space="preserve"> gaps and require</w:t>
      </w:r>
      <w:r w:rsidR="004D5EEB" w:rsidRPr="00CA2751">
        <w:rPr>
          <w:sz w:val="28"/>
          <w:szCs w:val="28"/>
        </w:rPr>
        <w:t>s</w:t>
      </w:r>
      <w:r w:rsidR="002712C1" w:rsidRPr="00CA2751">
        <w:rPr>
          <w:sz w:val="28"/>
          <w:szCs w:val="28"/>
        </w:rPr>
        <w:t xml:space="preserve"> the court to put pieces together </w:t>
      </w:r>
      <w:r w:rsidR="004D5EEB" w:rsidRPr="00CA2751">
        <w:rPr>
          <w:sz w:val="28"/>
          <w:szCs w:val="28"/>
        </w:rPr>
        <w:t xml:space="preserve">for it </w:t>
      </w:r>
      <w:r w:rsidR="002712C1" w:rsidRPr="00CA2751">
        <w:rPr>
          <w:sz w:val="28"/>
          <w:szCs w:val="28"/>
        </w:rPr>
        <w:t xml:space="preserve">to understand how the infringement </w:t>
      </w:r>
      <w:r w:rsidR="005B1A82" w:rsidRPr="00CA2751">
        <w:rPr>
          <w:sz w:val="28"/>
          <w:szCs w:val="28"/>
        </w:rPr>
        <w:t xml:space="preserve">could be </w:t>
      </w:r>
      <w:r w:rsidR="002712C1" w:rsidRPr="00CA2751">
        <w:rPr>
          <w:sz w:val="28"/>
          <w:szCs w:val="28"/>
        </w:rPr>
        <w:t xml:space="preserve">attributed to that period. </w:t>
      </w:r>
    </w:p>
    <w:p w14:paraId="38278C39" w14:textId="77777777" w:rsidR="005B1A82" w:rsidRPr="00CA2751" w:rsidRDefault="005B1A82" w:rsidP="005B1A82">
      <w:pPr>
        <w:pStyle w:val="ListParagraph"/>
        <w:rPr>
          <w:sz w:val="28"/>
          <w:szCs w:val="28"/>
        </w:rPr>
      </w:pPr>
    </w:p>
    <w:p w14:paraId="603B432B" w14:textId="197E6404" w:rsidR="00DB63D7" w:rsidRPr="00CA2751" w:rsidRDefault="004E5F34" w:rsidP="004E5F34">
      <w:pPr>
        <w:tabs>
          <w:tab w:val="left" w:pos="0"/>
        </w:tabs>
        <w:rPr>
          <w:sz w:val="28"/>
          <w:szCs w:val="28"/>
        </w:rPr>
      </w:pPr>
      <w:r w:rsidRPr="00CA2751">
        <w:rPr>
          <w:sz w:val="28"/>
          <w:szCs w:val="28"/>
        </w:rPr>
        <w:t>[50]</w:t>
      </w:r>
      <w:r w:rsidRPr="00CA2751">
        <w:rPr>
          <w:sz w:val="28"/>
          <w:szCs w:val="28"/>
        </w:rPr>
        <w:tab/>
      </w:r>
      <w:r w:rsidR="002712C1" w:rsidRPr="00CA2751">
        <w:rPr>
          <w:sz w:val="28"/>
          <w:szCs w:val="28"/>
        </w:rPr>
        <w:t>While it may be easy to say number</w:t>
      </w:r>
      <w:r w:rsidR="004D5EEB" w:rsidRPr="00CA2751">
        <w:rPr>
          <w:sz w:val="28"/>
          <w:szCs w:val="28"/>
        </w:rPr>
        <w:t>s</w:t>
      </w:r>
      <w:r w:rsidR="005B1A82" w:rsidRPr="00CA2751">
        <w:rPr>
          <w:sz w:val="28"/>
          <w:szCs w:val="28"/>
        </w:rPr>
        <w:t xml:space="preserve"> </w:t>
      </w:r>
      <w:r w:rsidR="002712C1" w:rsidRPr="00CA2751">
        <w:rPr>
          <w:sz w:val="28"/>
          <w:szCs w:val="28"/>
        </w:rPr>
        <w:t xml:space="preserve">speak for themselves, one must be careful that such numbers indicate </w:t>
      </w:r>
      <w:r w:rsidR="008134D7" w:rsidRPr="00CA2751">
        <w:rPr>
          <w:sz w:val="28"/>
          <w:szCs w:val="28"/>
        </w:rPr>
        <w:t xml:space="preserve">a </w:t>
      </w:r>
      <w:r w:rsidR="002712C1" w:rsidRPr="00CA2751">
        <w:rPr>
          <w:sz w:val="28"/>
          <w:szCs w:val="28"/>
        </w:rPr>
        <w:t xml:space="preserve">breach during the period concerned. I am not sure that it is fair to have to undertake the analysis </w:t>
      </w:r>
      <w:r w:rsidR="004D5EEB" w:rsidRPr="00CA2751">
        <w:rPr>
          <w:sz w:val="28"/>
          <w:szCs w:val="28"/>
        </w:rPr>
        <w:t xml:space="preserve">of assembling pieces together, </w:t>
      </w:r>
      <w:r w:rsidR="002712C1" w:rsidRPr="00CA2751">
        <w:rPr>
          <w:sz w:val="28"/>
          <w:szCs w:val="28"/>
        </w:rPr>
        <w:t>that counsel sought to make in argument. This is so because the party having to respond to the allegations must be clear as to</w:t>
      </w:r>
      <w:r w:rsidR="00413303" w:rsidRPr="00CA2751">
        <w:rPr>
          <w:sz w:val="28"/>
          <w:szCs w:val="28"/>
        </w:rPr>
        <w:t xml:space="preserve"> the exact infringement</w:t>
      </w:r>
      <w:r w:rsidR="00423903" w:rsidRPr="00CA2751">
        <w:rPr>
          <w:sz w:val="28"/>
          <w:szCs w:val="28"/>
        </w:rPr>
        <w:t xml:space="preserve"> and not have to wait for the </w:t>
      </w:r>
      <w:r w:rsidR="004D5EEB" w:rsidRPr="00CA2751">
        <w:rPr>
          <w:sz w:val="28"/>
          <w:szCs w:val="28"/>
        </w:rPr>
        <w:t xml:space="preserve">hearing </w:t>
      </w:r>
      <w:r w:rsidR="00423903" w:rsidRPr="00CA2751">
        <w:rPr>
          <w:sz w:val="28"/>
          <w:szCs w:val="28"/>
        </w:rPr>
        <w:t xml:space="preserve">to take place </w:t>
      </w:r>
      <w:r w:rsidR="005B1A82" w:rsidRPr="00CA2751">
        <w:rPr>
          <w:sz w:val="28"/>
          <w:szCs w:val="28"/>
        </w:rPr>
        <w:t xml:space="preserve">in order </w:t>
      </w:r>
      <w:r w:rsidR="00423903" w:rsidRPr="00CA2751">
        <w:rPr>
          <w:sz w:val="28"/>
          <w:szCs w:val="28"/>
        </w:rPr>
        <w:t>to understand what the actual breach</w:t>
      </w:r>
      <w:r w:rsidR="002712C1" w:rsidRPr="00CA2751">
        <w:rPr>
          <w:sz w:val="28"/>
          <w:szCs w:val="28"/>
        </w:rPr>
        <w:t xml:space="preserve"> </w:t>
      </w:r>
      <w:r w:rsidR="00423903" w:rsidRPr="00CA2751">
        <w:rPr>
          <w:sz w:val="28"/>
          <w:szCs w:val="28"/>
        </w:rPr>
        <w:t>is, ie the analysis of the quantities and comparisons</w:t>
      </w:r>
      <w:r w:rsidR="004D5EEB" w:rsidRPr="00CA2751">
        <w:rPr>
          <w:sz w:val="28"/>
          <w:szCs w:val="28"/>
        </w:rPr>
        <w:t xml:space="preserve"> is,</w:t>
      </w:r>
      <w:r w:rsidR="00423903" w:rsidRPr="00CA2751">
        <w:rPr>
          <w:sz w:val="28"/>
          <w:szCs w:val="28"/>
        </w:rPr>
        <w:t xml:space="preserve"> as show</w:t>
      </w:r>
      <w:r w:rsidR="008134D7" w:rsidRPr="00CA2751">
        <w:rPr>
          <w:sz w:val="28"/>
          <w:szCs w:val="28"/>
        </w:rPr>
        <w:t>n</w:t>
      </w:r>
      <w:r w:rsidR="00423903" w:rsidRPr="00CA2751">
        <w:rPr>
          <w:sz w:val="28"/>
          <w:szCs w:val="28"/>
        </w:rPr>
        <w:t xml:space="preserve"> in the slides.</w:t>
      </w:r>
    </w:p>
    <w:p w14:paraId="5C8CA801" w14:textId="77777777" w:rsidR="00423903" w:rsidRPr="00CA2751" w:rsidRDefault="00423903" w:rsidP="007D3DBE">
      <w:pPr>
        <w:pStyle w:val="ListParagraph"/>
        <w:ind w:left="0"/>
        <w:rPr>
          <w:sz w:val="28"/>
          <w:szCs w:val="28"/>
        </w:rPr>
      </w:pPr>
    </w:p>
    <w:p w14:paraId="1B1610F9" w14:textId="629216B7" w:rsidR="005B1A82" w:rsidRPr="00CA2751" w:rsidRDefault="004E5F34" w:rsidP="004E5F34">
      <w:pPr>
        <w:tabs>
          <w:tab w:val="left" w:pos="0"/>
        </w:tabs>
        <w:rPr>
          <w:sz w:val="28"/>
          <w:szCs w:val="28"/>
        </w:rPr>
      </w:pPr>
      <w:r w:rsidRPr="00CA2751">
        <w:rPr>
          <w:sz w:val="28"/>
          <w:szCs w:val="28"/>
        </w:rPr>
        <w:t>[51]</w:t>
      </w:r>
      <w:r w:rsidRPr="00CA2751">
        <w:rPr>
          <w:sz w:val="28"/>
          <w:szCs w:val="28"/>
        </w:rPr>
        <w:tab/>
      </w:r>
      <w:r w:rsidR="00423903" w:rsidRPr="00CA2751">
        <w:rPr>
          <w:sz w:val="28"/>
          <w:szCs w:val="28"/>
        </w:rPr>
        <w:t xml:space="preserve">In my view, the hurdle that Samancor has to overcome is to show non-compliance beyond </w:t>
      </w:r>
      <w:r w:rsidR="004D5EEB" w:rsidRPr="00CA2751">
        <w:rPr>
          <w:sz w:val="28"/>
          <w:szCs w:val="28"/>
        </w:rPr>
        <w:t xml:space="preserve">a </w:t>
      </w:r>
      <w:r w:rsidR="00423903" w:rsidRPr="00CA2751">
        <w:rPr>
          <w:sz w:val="28"/>
          <w:szCs w:val="28"/>
        </w:rPr>
        <w:t>reasonable doubt</w:t>
      </w:r>
      <w:r w:rsidR="008134D7" w:rsidRPr="00CA2751">
        <w:rPr>
          <w:sz w:val="28"/>
          <w:szCs w:val="28"/>
        </w:rPr>
        <w:t>,</w:t>
      </w:r>
      <w:r w:rsidR="00423903" w:rsidRPr="00CA2751">
        <w:rPr>
          <w:sz w:val="28"/>
          <w:szCs w:val="28"/>
        </w:rPr>
        <w:t xml:space="preserve"> and that requires a clearly pleaded case. </w:t>
      </w:r>
      <w:r w:rsidR="004D5EEB" w:rsidRPr="00CA2751">
        <w:rPr>
          <w:sz w:val="28"/>
          <w:szCs w:val="28"/>
        </w:rPr>
        <w:t>L</w:t>
      </w:r>
      <w:r w:rsidR="00423903" w:rsidRPr="00CA2751">
        <w:rPr>
          <w:sz w:val="28"/>
          <w:szCs w:val="28"/>
        </w:rPr>
        <w:t xml:space="preserve">ack of clarity </w:t>
      </w:r>
      <w:r w:rsidR="005B1A82" w:rsidRPr="00CA2751">
        <w:rPr>
          <w:sz w:val="28"/>
          <w:szCs w:val="28"/>
        </w:rPr>
        <w:t xml:space="preserve">regarding </w:t>
      </w:r>
      <w:r w:rsidR="00423903" w:rsidRPr="00CA2751">
        <w:rPr>
          <w:sz w:val="28"/>
          <w:szCs w:val="28"/>
        </w:rPr>
        <w:t xml:space="preserve">the breach of Neukircher J’s order could have </w:t>
      </w:r>
      <w:r w:rsidR="00423903" w:rsidRPr="00CA2751">
        <w:rPr>
          <w:sz w:val="28"/>
          <w:szCs w:val="28"/>
        </w:rPr>
        <w:lastRenderedPageBreak/>
        <w:t xml:space="preserve">been brought about </w:t>
      </w:r>
      <w:r w:rsidR="004D5EEB" w:rsidRPr="00CA2751">
        <w:rPr>
          <w:sz w:val="28"/>
          <w:szCs w:val="28"/>
        </w:rPr>
        <w:t xml:space="preserve">by the clumping together of </w:t>
      </w:r>
      <w:r w:rsidR="00423903" w:rsidRPr="00CA2751">
        <w:rPr>
          <w:sz w:val="28"/>
          <w:szCs w:val="28"/>
        </w:rPr>
        <w:t xml:space="preserve">allegations </w:t>
      </w:r>
      <w:r w:rsidR="004D5EEB" w:rsidRPr="00CA2751">
        <w:rPr>
          <w:sz w:val="28"/>
          <w:szCs w:val="28"/>
        </w:rPr>
        <w:t xml:space="preserve">dealing with the </w:t>
      </w:r>
      <w:r w:rsidR="00423903" w:rsidRPr="00CA2751">
        <w:rPr>
          <w:sz w:val="28"/>
          <w:szCs w:val="28"/>
        </w:rPr>
        <w:t>orders of Janse van Niewenhuizen J and Neukircher J</w:t>
      </w:r>
      <w:r w:rsidR="004D5EEB" w:rsidRPr="00CA2751">
        <w:rPr>
          <w:sz w:val="28"/>
          <w:szCs w:val="28"/>
        </w:rPr>
        <w:t>.</w:t>
      </w:r>
      <w:r w:rsidR="00423903" w:rsidRPr="00CA2751">
        <w:rPr>
          <w:sz w:val="28"/>
          <w:szCs w:val="28"/>
        </w:rPr>
        <w:t xml:space="preserve"> </w:t>
      </w:r>
    </w:p>
    <w:p w14:paraId="3895D56F" w14:textId="77777777" w:rsidR="005B1A82" w:rsidRPr="00CA2751" w:rsidRDefault="005B1A82" w:rsidP="005B1A82">
      <w:pPr>
        <w:pStyle w:val="ListParagraph"/>
        <w:rPr>
          <w:sz w:val="28"/>
          <w:szCs w:val="28"/>
        </w:rPr>
      </w:pPr>
    </w:p>
    <w:p w14:paraId="6729C6E8" w14:textId="2C195301" w:rsidR="007B43EB" w:rsidRPr="00CA2751" w:rsidRDefault="004E5F34" w:rsidP="004E5F34">
      <w:pPr>
        <w:tabs>
          <w:tab w:val="left" w:pos="0"/>
        </w:tabs>
        <w:rPr>
          <w:sz w:val="28"/>
          <w:szCs w:val="28"/>
        </w:rPr>
      </w:pPr>
      <w:r w:rsidRPr="00CA2751">
        <w:rPr>
          <w:sz w:val="28"/>
          <w:szCs w:val="28"/>
        </w:rPr>
        <w:t>[52]</w:t>
      </w:r>
      <w:r w:rsidRPr="00CA2751">
        <w:rPr>
          <w:sz w:val="28"/>
          <w:szCs w:val="28"/>
        </w:rPr>
        <w:tab/>
      </w:r>
      <w:r w:rsidR="007B43EB" w:rsidRPr="00CA2751">
        <w:rPr>
          <w:sz w:val="28"/>
          <w:szCs w:val="28"/>
        </w:rPr>
        <w:t xml:space="preserve">The problem with that approach </w:t>
      </w:r>
      <w:r w:rsidR="004D5EEB" w:rsidRPr="00CA2751">
        <w:rPr>
          <w:sz w:val="28"/>
          <w:szCs w:val="28"/>
        </w:rPr>
        <w:t>is</w:t>
      </w:r>
      <w:r w:rsidR="007B43EB" w:rsidRPr="00CA2751">
        <w:rPr>
          <w:sz w:val="28"/>
          <w:szCs w:val="28"/>
        </w:rPr>
        <w:t xml:space="preserve"> that all that was required to be shown in respect of Janse </w:t>
      </w:r>
      <w:r w:rsidR="005A405D" w:rsidRPr="00CA2751">
        <w:rPr>
          <w:sz w:val="28"/>
          <w:szCs w:val="28"/>
        </w:rPr>
        <w:t xml:space="preserve">van </w:t>
      </w:r>
      <w:r w:rsidR="007B43EB" w:rsidRPr="00CA2751">
        <w:rPr>
          <w:sz w:val="28"/>
          <w:szCs w:val="28"/>
        </w:rPr>
        <w:t>Niewenhuizen</w:t>
      </w:r>
      <w:r w:rsidR="00A4607F" w:rsidRPr="00CA2751">
        <w:rPr>
          <w:sz w:val="28"/>
          <w:szCs w:val="28"/>
        </w:rPr>
        <w:t xml:space="preserve"> J</w:t>
      </w:r>
      <w:r w:rsidR="007B43EB" w:rsidRPr="00CA2751">
        <w:rPr>
          <w:sz w:val="28"/>
          <w:szCs w:val="28"/>
        </w:rPr>
        <w:t xml:space="preserve">’s order was that Bila </w:t>
      </w:r>
      <w:r w:rsidR="004D5EEB" w:rsidRPr="00CA2751">
        <w:rPr>
          <w:sz w:val="28"/>
          <w:szCs w:val="28"/>
        </w:rPr>
        <w:t xml:space="preserve">had </w:t>
      </w:r>
      <w:r w:rsidR="007B43EB" w:rsidRPr="00CA2751">
        <w:rPr>
          <w:sz w:val="28"/>
          <w:szCs w:val="28"/>
        </w:rPr>
        <w:t xml:space="preserve">conducted prospecting operations after the granting of the order. </w:t>
      </w:r>
      <w:r w:rsidR="00CF1FF9" w:rsidRPr="00CA2751">
        <w:rPr>
          <w:sz w:val="28"/>
          <w:szCs w:val="28"/>
        </w:rPr>
        <w:t xml:space="preserve">In contrast, insofar </w:t>
      </w:r>
      <w:r w:rsidR="001E5CCD" w:rsidRPr="00CA2751">
        <w:rPr>
          <w:sz w:val="28"/>
          <w:szCs w:val="28"/>
        </w:rPr>
        <w:t>as Neukircher</w:t>
      </w:r>
      <w:r w:rsidR="007B43EB" w:rsidRPr="00CA2751">
        <w:rPr>
          <w:sz w:val="28"/>
          <w:szCs w:val="28"/>
        </w:rPr>
        <w:t xml:space="preserve"> J’s order</w:t>
      </w:r>
      <w:r w:rsidR="00CF1FF9" w:rsidRPr="00CA2751">
        <w:rPr>
          <w:sz w:val="28"/>
          <w:szCs w:val="28"/>
        </w:rPr>
        <w:t xml:space="preserve"> is concerned</w:t>
      </w:r>
      <w:r w:rsidR="008134D7" w:rsidRPr="00CA2751">
        <w:rPr>
          <w:sz w:val="28"/>
          <w:szCs w:val="28"/>
        </w:rPr>
        <w:t>,</w:t>
      </w:r>
      <w:r w:rsidR="007B43EB" w:rsidRPr="00CA2751">
        <w:rPr>
          <w:sz w:val="28"/>
          <w:szCs w:val="28"/>
        </w:rPr>
        <w:t xml:space="preserve"> Samancor had to show </w:t>
      </w:r>
      <w:r w:rsidR="00AD1A18" w:rsidRPr="00CA2751">
        <w:rPr>
          <w:sz w:val="28"/>
          <w:szCs w:val="28"/>
        </w:rPr>
        <w:t xml:space="preserve">that </w:t>
      </w:r>
      <w:r w:rsidR="007B43EB" w:rsidRPr="00CA2751">
        <w:rPr>
          <w:sz w:val="28"/>
          <w:szCs w:val="28"/>
        </w:rPr>
        <w:t xml:space="preserve">Bila was mining after 30 November 2019 to 22 July 2020. </w:t>
      </w:r>
    </w:p>
    <w:p w14:paraId="48C0AC57" w14:textId="77777777" w:rsidR="007B43EB" w:rsidRPr="00CA2751" w:rsidRDefault="007B43EB" w:rsidP="007D3DBE">
      <w:pPr>
        <w:pStyle w:val="ListParagraph"/>
        <w:ind w:left="0"/>
        <w:rPr>
          <w:sz w:val="28"/>
          <w:szCs w:val="28"/>
        </w:rPr>
      </w:pPr>
    </w:p>
    <w:p w14:paraId="22A05B53" w14:textId="46F7D0FD" w:rsidR="00423903" w:rsidRPr="00CA2751" w:rsidRDefault="004E5F34" w:rsidP="004E5F34">
      <w:pPr>
        <w:tabs>
          <w:tab w:val="left" w:pos="0"/>
        </w:tabs>
        <w:rPr>
          <w:sz w:val="28"/>
          <w:szCs w:val="28"/>
        </w:rPr>
      </w:pPr>
      <w:r w:rsidRPr="00CA2751">
        <w:rPr>
          <w:sz w:val="28"/>
          <w:szCs w:val="28"/>
        </w:rPr>
        <w:t>[53]</w:t>
      </w:r>
      <w:r w:rsidRPr="00CA2751">
        <w:rPr>
          <w:sz w:val="28"/>
          <w:szCs w:val="28"/>
        </w:rPr>
        <w:tab/>
      </w:r>
      <w:r w:rsidR="007B43EB" w:rsidRPr="00CA2751">
        <w:rPr>
          <w:sz w:val="28"/>
          <w:szCs w:val="28"/>
        </w:rPr>
        <w:t>The theme of mixing allegations in respect of the two orders unfortunately show</w:t>
      </w:r>
      <w:r w:rsidR="005B1A82" w:rsidRPr="00CA2751">
        <w:rPr>
          <w:sz w:val="28"/>
          <w:szCs w:val="28"/>
        </w:rPr>
        <w:t>ed</w:t>
      </w:r>
      <w:r w:rsidR="007B43EB" w:rsidRPr="00CA2751">
        <w:rPr>
          <w:sz w:val="28"/>
          <w:szCs w:val="28"/>
        </w:rPr>
        <w:t xml:space="preserve"> equivocation, even if not intended</w:t>
      </w:r>
      <w:r w:rsidR="008D7D66">
        <w:rPr>
          <w:sz w:val="28"/>
          <w:szCs w:val="28"/>
        </w:rPr>
        <w:t>,</w:t>
      </w:r>
      <w:r w:rsidR="005B1A82" w:rsidRPr="00CA2751">
        <w:rPr>
          <w:sz w:val="28"/>
          <w:szCs w:val="28"/>
        </w:rPr>
        <w:t xml:space="preserve"> </w:t>
      </w:r>
      <w:r w:rsidR="008D7D66">
        <w:rPr>
          <w:sz w:val="28"/>
          <w:szCs w:val="28"/>
        </w:rPr>
        <w:t xml:space="preserve">that permeated </w:t>
      </w:r>
      <w:r w:rsidR="007B43EB" w:rsidRPr="00CA2751">
        <w:rPr>
          <w:sz w:val="28"/>
          <w:szCs w:val="28"/>
        </w:rPr>
        <w:t>the</w:t>
      </w:r>
      <w:r w:rsidR="005B1A82" w:rsidRPr="00CA2751">
        <w:rPr>
          <w:sz w:val="28"/>
          <w:szCs w:val="28"/>
        </w:rPr>
        <w:t xml:space="preserve"> entire</w:t>
      </w:r>
      <w:r w:rsidR="007B43EB" w:rsidRPr="00CA2751">
        <w:rPr>
          <w:sz w:val="28"/>
          <w:szCs w:val="28"/>
        </w:rPr>
        <w:t xml:space="preserve"> founding affidavit. </w:t>
      </w:r>
      <w:r w:rsidR="005B1A82" w:rsidRPr="00CA2751">
        <w:rPr>
          <w:sz w:val="28"/>
          <w:szCs w:val="28"/>
        </w:rPr>
        <w:t>For example</w:t>
      </w:r>
      <w:r w:rsidR="00A65DEE" w:rsidRPr="00CA2751">
        <w:rPr>
          <w:sz w:val="28"/>
          <w:szCs w:val="28"/>
        </w:rPr>
        <w:t>,</w:t>
      </w:r>
      <w:r w:rsidR="005B1A82" w:rsidRPr="00CA2751">
        <w:rPr>
          <w:sz w:val="28"/>
          <w:szCs w:val="28"/>
        </w:rPr>
        <w:t xml:space="preserve"> another </w:t>
      </w:r>
      <w:r w:rsidR="008D7D66">
        <w:rPr>
          <w:sz w:val="28"/>
          <w:szCs w:val="28"/>
        </w:rPr>
        <w:t xml:space="preserve">averment </w:t>
      </w:r>
      <w:r w:rsidR="005B1A82" w:rsidRPr="00CA2751">
        <w:rPr>
          <w:sz w:val="28"/>
          <w:szCs w:val="28"/>
        </w:rPr>
        <w:t>is made</w:t>
      </w:r>
      <w:r w:rsidR="00423903" w:rsidRPr="00CA2751">
        <w:rPr>
          <w:sz w:val="28"/>
          <w:szCs w:val="28"/>
        </w:rPr>
        <w:t xml:space="preserve"> </w:t>
      </w:r>
      <w:r w:rsidR="00B76AC2" w:rsidRPr="00CA2751">
        <w:rPr>
          <w:sz w:val="28"/>
          <w:szCs w:val="28"/>
        </w:rPr>
        <w:t>in the</w:t>
      </w:r>
      <w:r w:rsidR="00423903" w:rsidRPr="00CA2751">
        <w:rPr>
          <w:sz w:val="28"/>
          <w:szCs w:val="28"/>
        </w:rPr>
        <w:t xml:space="preserve"> founding affidavit</w:t>
      </w:r>
      <w:r w:rsidR="00B76AC2" w:rsidRPr="00CA2751">
        <w:rPr>
          <w:sz w:val="28"/>
          <w:szCs w:val="28"/>
        </w:rPr>
        <w:t xml:space="preserve"> </w:t>
      </w:r>
      <w:r w:rsidR="004D5EEB" w:rsidRPr="00CA2751">
        <w:rPr>
          <w:sz w:val="28"/>
          <w:szCs w:val="28"/>
        </w:rPr>
        <w:t>t</w:t>
      </w:r>
      <w:r w:rsidR="00423903" w:rsidRPr="00CA2751">
        <w:rPr>
          <w:sz w:val="28"/>
          <w:szCs w:val="28"/>
        </w:rPr>
        <w:t xml:space="preserve">hat Bila was continuing to conduct unlawful mining </w:t>
      </w:r>
      <w:r w:rsidR="00423903" w:rsidRPr="008D7D66">
        <w:rPr>
          <w:sz w:val="28"/>
          <w:szCs w:val="28"/>
        </w:rPr>
        <w:t>and/or</w:t>
      </w:r>
      <w:r w:rsidR="00423903" w:rsidRPr="00CA2751">
        <w:rPr>
          <w:sz w:val="28"/>
          <w:szCs w:val="28"/>
        </w:rPr>
        <w:t xml:space="preserve"> prospecting activities and operations on RE Portion 2.</w:t>
      </w:r>
    </w:p>
    <w:p w14:paraId="7CDC5132" w14:textId="77777777" w:rsidR="005168C8" w:rsidRPr="00CA2751" w:rsidRDefault="005168C8" w:rsidP="0092720F">
      <w:pPr>
        <w:tabs>
          <w:tab w:val="left" w:pos="0"/>
        </w:tabs>
        <w:rPr>
          <w:sz w:val="28"/>
          <w:szCs w:val="28"/>
        </w:rPr>
      </w:pPr>
    </w:p>
    <w:p w14:paraId="2B23E766" w14:textId="02D881CA" w:rsidR="0092720F" w:rsidRPr="00CA2751" w:rsidRDefault="004E5F34" w:rsidP="004E5F34">
      <w:pPr>
        <w:tabs>
          <w:tab w:val="left" w:pos="0"/>
        </w:tabs>
        <w:rPr>
          <w:sz w:val="28"/>
          <w:szCs w:val="28"/>
        </w:rPr>
      </w:pPr>
      <w:r w:rsidRPr="00CA2751">
        <w:rPr>
          <w:sz w:val="28"/>
          <w:szCs w:val="28"/>
        </w:rPr>
        <w:t>[54]</w:t>
      </w:r>
      <w:r w:rsidRPr="00CA2751">
        <w:rPr>
          <w:sz w:val="28"/>
          <w:szCs w:val="28"/>
        </w:rPr>
        <w:tab/>
      </w:r>
      <w:r w:rsidR="004B0FBD" w:rsidRPr="00CA2751">
        <w:rPr>
          <w:sz w:val="28"/>
          <w:szCs w:val="28"/>
        </w:rPr>
        <w:t>In the circumstances, it is difficult to find</w:t>
      </w:r>
      <w:r w:rsidR="009A25E1" w:rsidRPr="00CA2751">
        <w:rPr>
          <w:sz w:val="28"/>
          <w:szCs w:val="28"/>
        </w:rPr>
        <w:t xml:space="preserve"> </w:t>
      </w:r>
      <w:r w:rsidR="0092720F" w:rsidRPr="00CA2751">
        <w:rPr>
          <w:sz w:val="28"/>
          <w:szCs w:val="28"/>
        </w:rPr>
        <w:t xml:space="preserve">that </w:t>
      </w:r>
      <w:r w:rsidR="009A25E1" w:rsidRPr="00CA2751">
        <w:rPr>
          <w:sz w:val="28"/>
          <w:szCs w:val="28"/>
        </w:rPr>
        <w:t xml:space="preserve">non-compliance </w:t>
      </w:r>
      <w:r w:rsidR="008D7D66">
        <w:rPr>
          <w:sz w:val="28"/>
          <w:szCs w:val="28"/>
        </w:rPr>
        <w:t xml:space="preserve">with </w:t>
      </w:r>
      <w:r w:rsidR="009A25E1" w:rsidRPr="00CA2751">
        <w:rPr>
          <w:sz w:val="28"/>
          <w:szCs w:val="28"/>
        </w:rPr>
        <w:t>Neukircher J</w:t>
      </w:r>
      <w:r w:rsidR="008134D7" w:rsidRPr="00CA2751">
        <w:rPr>
          <w:sz w:val="28"/>
          <w:szCs w:val="28"/>
        </w:rPr>
        <w:t>’s</w:t>
      </w:r>
      <w:r w:rsidR="009A25E1" w:rsidRPr="00CA2751">
        <w:rPr>
          <w:sz w:val="28"/>
          <w:szCs w:val="28"/>
        </w:rPr>
        <w:t xml:space="preserve"> order was distinctly and clearly decipherable from allegations dealing with </w:t>
      </w:r>
      <w:r w:rsidR="00785928" w:rsidRPr="00CA2751">
        <w:rPr>
          <w:sz w:val="28"/>
          <w:szCs w:val="28"/>
        </w:rPr>
        <w:t xml:space="preserve">the </w:t>
      </w:r>
      <w:r w:rsidR="009A25E1" w:rsidRPr="00CA2751">
        <w:rPr>
          <w:sz w:val="28"/>
          <w:szCs w:val="28"/>
        </w:rPr>
        <w:t xml:space="preserve">breach of Janse </w:t>
      </w:r>
      <w:r w:rsidR="005A405D" w:rsidRPr="00CA2751">
        <w:rPr>
          <w:sz w:val="28"/>
          <w:szCs w:val="28"/>
        </w:rPr>
        <w:t xml:space="preserve">van </w:t>
      </w:r>
      <w:r w:rsidR="009A25E1" w:rsidRPr="00CA2751">
        <w:rPr>
          <w:sz w:val="28"/>
          <w:szCs w:val="28"/>
        </w:rPr>
        <w:t>Niewenhuizen J’s order</w:t>
      </w:r>
      <w:r w:rsidR="0092720F" w:rsidRPr="00CA2751">
        <w:rPr>
          <w:sz w:val="28"/>
          <w:szCs w:val="28"/>
        </w:rPr>
        <w:t>,</w:t>
      </w:r>
      <w:r w:rsidR="009A25E1" w:rsidRPr="00CA2751">
        <w:rPr>
          <w:sz w:val="28"/>
          <w:szCs w:val="28"/>
        </w:rPr>
        <w:t xml:space="preserve"> without having to apply </w:t>
      </w:r>
      <w:r w:rsidR="0092720F" w:rsidRPr="00CA2751">
        <w:rPr>
          <w:sz w:val="28"/>
          <w:szCs w:val="28"/>
        </w:rPr>
        <w:t xml:space="preserve">a </w:t>
      </w:r>
      <w:r w:rsidR="009A25E1" w:rsidRPr="00CA2751">
        <w:rPr>
          <w:sz w:val="28"/>
          <w:szCs w:val="28"/>
        </w:rPr>
        <w:t xml:space="preserve">strained analysis </w:t>
      </w:r>
      <w:r w:rsidR="004D5EEB" w:rsidRPr="00CA2751">
        <w:rPr>
          <w:sz w:val="28"/>
          <w:szCs w:val="28"/>
        </w:rPr>
        <w:t>to</w:t>
      </w:r>
      <w:r w:rsidR="009A25E1" w:rsidRPr="00CA2751">
        <w:rPr>
          <w:sz w:val="28"/>
          <w:szCs w:val="28"/>
        </w:rPr>
        <w:t xml:space="preserve"> </w:t>
      </w:r>
      <w:r w:rsidR="0092720F" w:rsidRPr="00CA2751">
        <w:rPr>
          <w:sz w:val="28"/>
          <w:szCs w:val="28"/>
        </w:rPr>
        <w:t xml:space="preserve">the </w:t>
      </w:r>
      <w:r w:rsidR="009A25E1" w:rsidRPr="00CA2751">
        <w:rPr>
          <w:sz w:val="28"/>
          <w:szCs w:val="28"/>
        </w:rPr>
        <w:t xml:space="preserve">facts. </w:t>
      </w:r>
      <w:r w:rsidR="0092720F" w:rsidRPr="00CA2751">
        <w:rPr>
          <w:sz w:val="28"/>
          <w:szCs w:val="28"/>
        </w:rPr>
        <w:t xml:space="preserve">Contempt of </w:t>
      </w:r>
      <w:r w:rsidR="004D5EEB" w:rsidRPr="00CA2751">
        <w:rPr>
          <w:sz w:val="28"/>
          <w:szCs w:val="28"/>
        </w:rPr>
        <w:t xml:space="preserve">a </w:t>
      </w:r>
      <w:r w:rsidR="001E5CCD" w:rsidRPr="00CA2751">
        <w:rPr>
          <w:sz w:val="28"/>
          <w:szCs w:val="28"/>
        </w:rPr>
        <w:t>court is</w:t>
      </w:r>
      <w:r w:rsidR="0092720F" w:rsidRPr="00CA2751">
        <w:rPr>
          <w:sz w:val="28"/>
          <w:szCs w:val="28"/>
        </w:rPr>
        <w:t xml:space="preserve"> a serious matter,</w:t>
      </w:r>
      <w:r w:rsidR="004D5EEB" w:rsidRPr="00CA2751">
        <w:rPr>
          <w:sz w:val="28"/>
          <w:szCs w:val="28"/>
        </w:rPr>
        <w:t xml:space="preserve"> with grave consequences;</w:t>
      </w:r>
      <w:r w:rsidR="0092720F" w:rsidRPr="00CA2751">
        <w:rPr>
          <w:sz w:val="28"/>
          <w:szCs w:val="28"/>
        </w:rPr>
        <w:t xml:space="preserve"> </w:t>
      </w:r>
      <w:r w:rsidR="001E5CCD" w:rsidRPr="00CA2751">
        <w:rPr>
          <w:sz w:val="28"/>
          <w:szCs w:val="28"/>
        </w:rPr>
        <w:t>hence,</w:t>
      </w:r>
      <w:r w:rsidR="0092720F" w:rsidRPr="00CA2751">
        <w:rPr>
          <w:sz w:val="28"/>
          <w:szCs w:val="28"/>
        </w:rPr>
        <w:t xml:space="preserve"> the standard </w:t>
      </w:r>
      <w:r w:rsidR="004D5EEB" w:rsidRPr="00CA2751">
        <w:rPr>
          <w:sz w:val="28"/>
          <w:szCs w:val="28"/>
        </w:rPr>
        <w:t xml:space="preserve">that must be met </w:t>
      </w:r>
      <w:r w:rsidR="00AB4BEE" w:rsidRPr="00CA2751">
        <w:rPr>
          <w:sz w:val="28"/>
          <w:szCs w:val="28"/>
        </w:rPr>
        <w:t xml:space="preserve">whenever a criminal sanction is </w:t>
      </w:r>
      <w:r w:rsidR="001E5CCD" w:rsidRPr="00CA2751">
        <w:rPr>
          <w:sz w:val="28"/>
          <w:szCs w:val="28"/>
        </w:rPr>
        <w:t>sought is proof</w:t>
      </w:r>
      <w:r w:rsidR="0092720F" w:rsidRPr="00CA2751">
        <w:rPr>
          <w:sz w:val="28"/>
          <w:szCs w:val="28"/>
        </w:rPr>
        <w:t xml:space="preserve"> beyond reasonable doubt. </w:t>
      </w:r>
    </w:p>
    <w:p w14:paraId="1B70EDD4" w14:textId="77777777" w:rsidR="0092720F" w:rsidRPr="00CA2751" w:rsidRDefault="0092720F" w:rsidP="0092720F">
      <w:pPr>
        <w:pStyle w:val="ListParagraph"/>
        <w:rPr>
          <w:sz w:val="28"/>
          <w:szCs w:val="28"/>
        </w:rPr>
      </w:pPr>
    </w:p>
    <w:p w14:paraId="56609337" w14:textId="42CB0DAD" w:rsidR="004D5EEB" w:rsidRPr="00CA2751" w:rsidRDefault="004E5F34" w:rsidP="004E5F34">
      <w:pPr>
        <w:tabs>
          <w:tab w:val="left" w:pos="0"/>
        </w:tabs>
        <w:rPr>
          <w:sz w:val="28"/>
          <w:szCs w:val="28"/>
        </w:rPr>
      </w:pPr>
      <w:r w:rsidRPr="00CA2751">
        <w:rPr>
          <w:sz w:val="28"/>
          <w:szCs w:val="28"/>
        </w:rPr>
        <w:t>[55]</w:t>
      </w:r>
      <w:r w:rsidRPr="00CA2751">
        <w:rPr>
          <w:sz w:val="28"/>
          <w:szCs w:val="28"/>
        </w:rPr>
        <w:tab/>
      </w:r>
      <w:r w:rsidR="0092720F" w:rsidRPr="00CA2751">
        <w:rPr>
          <w:sz w:val="28"/>
          <w:szCs w:val="28"/>
        </w:rPr>
        <w:t>W</w:t>
      </w:r>
      <w:r w:rsidR="009A25E1" w:rsidRPr="00CA2751">
        <w:rPr>
          <w:sz w:val="28"/>
          <w:szCs w:val="28"/>
        </w:rPr>
        <w:t>hile there may be a general sense that even during the period alleged</w:t>
      </w:r>
      <w:r w:rsidR="008134D7" w:rsidRPr="00CA2751">
        <w:rPr>
          <w:sz w:val="28"/>
          <w:szCs w:val="28"/>
        </w:rPr>
        <w:t>,</w:t>
      </w:r>
      <w:r w:rsidR="009A25E1" w:rsidRPr="00CA2751">
        <w:rPr>
          <w:sz w:val="28"/>
          <w:szCs w:val="28"/>
        </w:rPr>
        <w:t xml:space="preserve"> </w:t>
      </w:r>
      <w:r w:rsidR="00F4305F" w:rsidRPr="00CA2751">
        <w:rPr>
          <w:sz w:val="28"/>
          <w:szCs w:val="28"/>
        </w:rPr>
        <w:t xml:space="preserve">Bila may have been conducting </w:t>
      </w:r>
      <w:r w:rsidR="009A25E1" w:rsidRPr="00CA2751">
        <w:rPr>
          <w:sz w:val="28"/>
          <w:szCs w:val="28"/>
        </w:rPr>
        <w:t>mining operations</w:t>
      </w:r>
      <w:r w:rsidR="00F4305F" w:rsidRPr="00CA2751">
        <w:rPr>
          <w:sz w:val="28"/>
          <w:szCs w:val="28"/>
        </w:rPr>
        <w:t xml:space="preserve">, clear and </w:t>
      </w:r>
      <w:r w:rsidR="008D7D66">
        <w:rPr>
          <w:sz w:val="28"/>
          <w:szCs w:val="28"/>
        </w:rPr>
        <w:t xml:space="preserve">unequivocal </w:t>
      </w:r>
      <w:r w:rsidR="00F4305F" w:rsidRPr="00CA2751">
        <w:rPr>
          <w:sz w:val="28"/>
          <w:szCs w:val="28"/>
        </w:rPr>
        <w:t xml:space="preserve">allegations ought to have been made. </w:t>
      </w:r>
      <w:r w:rsidR="0092720F" w:rsidRPr="00CA2751">
        <w:rPr>
          <w:sz w:val="28"/>
          <w:szCs w:val="28"/>
        </w:rPr>
        <w:t>The facts</w:t>
      </w:r>
      <w:r w:rsidR="00E33043" w:rsidRPr="00CA2751">
        <w:rPr>
          <w:sz w:val="28"/>
          <w:szCs w:val="28"/>
        </w:rPr>
        <w:t xml:space="preserve">, such as they are, </w:t>
      </w:r>
      <w:r w:rsidR="0092720F" w:rsidRPr="00CA2751">
        <w:rPr>
          <w:sz w:val="28"/>
          <w:szCs w:val="28"/>
        </w:rPr>
        <w:t xml:space="preserve">are </w:t>
      </w:r>
      <w:r w:rsidR="0092720F" w:rsidRPr="00CA2751">
        <w:rPr>
          <w:sz w:val="28"/>
          <w:szCs w:val="28"/>
        </w:rPr>
        <w:lastRenderedPageBreak/>
        <w:t xml:space="preserve">insufficient to </w:t>
      </w:r>
      <w:r w:rsidR="00F9033F" w:rsidRPr="00CA2751">
        <w:rPr>
          <w:sz w:val="28"/>
          <w:szCs w:val="28"/>
        </w:rPr>
        <w:t>sustain</w:t>
      </w:r>
      <w:r w:rsidR="0092720F" w:rsidRPr="00CA2751">
        <w:rPr>
          <w:sz w:val="28"/>
          <w:szCs w:val="28"/>
        </w:rPr>
        <w:t xml:space="preserve"> an inference of non-compliance </w:t>
      </w:r>
      <w:r w:rsidR="008D7D66">
        <w:rPr>
          <w:sz w:val="28"/>
          <w:szCs w:val="28"/>
        </w:rPr>
        <w:t xml:space="preserve">during </w:t>
      </w:r>
      <w:r w:rsidR="002B52A0" w:rsidRPr="00CA2751">
        <w:rPr>
          <w:sz w:val="28"/>
          <w:szCs w:val="28"/>
        </w:rPr>
        <w:t>the</w:t>
      </w:r>
      <w:r w:rsidR="0092720F" w:rsidRPr="00CA2751">
        <w:rPr>
          <w:sz w:val="28"/>
          <w:szCs w:val="28"/>
        </w:rPr>
        <w:t xml:space="preserve"> alleged period.</w:t>
      </w:r>
      <w:r w:rsidR="004D5EEB" w:rsidRPr="00CA2751">
        <w:rPr>
          <w:sz w:val="28"/>
          <w:szCs w:val="28"/>
        </w:rPr>
        <w:t xml:space="preserve"> </w:t>
      </w:r>
    </w:p>
    <w:p w14:paraId="51FC7D78" w14:textId="77777777" w:rsidR="004D5EEB" w:rsidRPr="00CA2751" w:rsidRDefault="004D5EEB" w:rsidP="004D5EEB">
      <w:pPr>
        <w:pStyle w:val="ListParagraph"/>
        <w:rPr>
          <w:sz w:val="28"/>
          <w:szCs w:val="28"/>
        </w:rPr>
      </w:pPr>
    </w:p>
    <w:p w14:paraId="5E66524A" w14:textId="7E4F49B1" w:rsidR="0092720F" w:rsidRPr="00CA2751" w:rsidRDefault="004E5F34" w:rsidP="004E5F34">
      <w:pPr>
        <w:tabs>
          <w:tab w:val="left" w:pos="0"/>
        </w:tabs>
        <w:rPr>
          <w:sz w:val="28"/>
          <w:szCs w:val="28"/>
        </w:rPr>
      </w:pPr>
      <w:r w:rsidRPr="00CA2751">
        <w:rPr>
          <w:sz w:val="28"/>
          <w:szCs w:val="28"/>
        </w:rPr>
        <w:t>[56]</w:t>
      </w:r>
      <w:r w:rsidRPr="00CA2751">
        <w:rPr>
          <w:sz w:val="28"/>
          <w:szCs w:val="28"/>
        </w:rPr>
        <w:tab/>
      </w:r>
      <w:r w:rsidR="0092720F" w:rsidRPr="00CA2751">
        <w:rPr>
          <w:sz w:val="28"/>
          <w:szCs w:val="28"/>
        </w:rPr>
        <w:t xml:space="preserve">For those reasons, I am constrained to find that Samancor has not clearly established the breach of Neukircher J’s order beyond a reasonable doubt. </w:t>
      </w:r>
    </w:p>
    <w:p w14:paraId="166FB7BA" w14:textId="77777777" w:rsidR="004D5EEB" w:rsidRPr="00A842AC" w:rsidRDefault="004D5EEB" w:rsidP="00A842AC">
      <w:pPr>
        <w:rPr>
          <w:sz w:val="28"/>
          <w:szCs w:val="28"/>
        </w:rPr>
      </w:pPr>
    </w:p>
    <w:p w14:paraId="56E8220D" w14:textId="1E3BFC6B" w:rsidR="00694614" w:rsidRPr="00CA2751" w:rsidRDefault="004E5F34" w:rsidP="004E5F34">
      <w:pPr>
        <w:tabs>
          <w:tab w:val="left" w:pos="0"/>
        </w:tabs>
        <w:rPr>
          <w:sz w:val="28"/>
          <w:szCs w:val="28"/>
        </w:rPr>
      </w:pPr>
      <w:r w:rsidRPr="00CA2751">
        <w:rPr>
          <w:sz w:val="28"/>
          <w:szCs w:val="28"/>
        </w:rPr>
        <w:t>[57]</w:t>
      </w:r>
      <w:r w:rsidRPr="00CA2751">
        <w:rPr>
          <w:sz w:val="28"/>
          <w:szCs w:val="28"/>
        </w:rPr>
        <w:tab/>
      </w:r>
      <w:r w:rsidR="00694614" w:rsidRPr="00CA2751">
        <w:rPr>
          <w:sz w:val="28"/>
          <w:szCs w:val="28"/>
        </w:rPr>
        <w:t>As regards Janse van Niewenhuizen</w:t>
      </w:r>
      <w:r w:rsidR="00A842AC">
        <w:rPr>
          <w:sz w:val="28"/>
          <w:szCs w:val="28"/>
        </w:rPr>
        <w:t xml:space="preserve"> J’s</w:t>
      </w:r>
      <w:r w:rsidR="00694614" w:rsidRPr="00CA2751">
        <w:rPr>
          <w:sz w:val="28"/>
          <w:szCs w:val="28"/>
        </w:rPr>
        <w:t xml:space="preserve"> order, the issue is whether wilfulness and </w:t>
      </w:r>
      <w:r w:rsidR="00694614" w:rsidRPr="00CA2751">
        <w:rPr>
          <w:i/>
          <w:sz w:val="28"/>
          <w:szCs w:val="28"/>
        </w:rPr>
        <w:t>mala fides</w:t>
      </w:r>
      <w:r w:rsidR="00694614" w:rsidRPr="00CA2751">
        <w:rPr>
          <w:sz w:val="28"/>
          <w:szCs w:val="28"/>
        </w:rPr>
        <w:t xml:space="preserve"> have been established. Bila alleged that it relied on legal advice that the order, although interlocutory, was final in effect. In this regard, a notice of application for leave to appeal was lodged, even though the application was never pursued. </w:t>
      </w:r>
    </w:p>
    <w:p w14:paraId="226F3181" w14:textId="77777777" w:rsidR="00694614" w:rsidRPr="00CA2751" w:rsidRDefault="00694614" w:rsidP="00694614">
      <w:pPr>
        <w:tabs>
          <w:tab w:val="left" w:pos="0"/>
        </w:tabs>
        <w:rPr>
          <w:sz w:val="28"/>
          <w:szCs w:val="28"/>
        </w:rPr>
      </w:pPr>
    </w:p>
    <w:p w14:paraId="1ECAE11B" w14:textId="3AF6843D" w:rsidR="00694614" w:rsidRPr="00CA2751" w:rsidRDefault="004E5F34" w:rsidP="004E5F34">
      <w:pPr>
        <w:tabs>
          <w:tab w:val="left" w:pos="0"/>
        </w:tabs>
        <w:rPr>
          <w:sz w:val="28"/>
          <w:szCs w:val="28"/>
        </w:rPr>
      </w:pPr>
      <w:r w:rsidRPr="00CA2751">
        <w:rPr>
          <w:sz w:val="28"/>
          <w:szCs w:val="28"/>
        </w:rPr>
        <w:t>[58]</w:t>
      </w:r>
      <w:r w:rsidRPr="00CA2751">
        <w:rPr>
          <w:sz w:val="28"/>
          <w:szCs w:val="28"/>
        </w:rPr>
        <w:tab/>
      </w:r>
      <w:r w:rsidR="00694614" w:rsidRPr="00CA2751">
        <w:rPr>
          <w:sz w:val="28"/>
          <w:szCs w:val="28"/>
        </w:rPr>
        <w:t xml:space="preserve">As indicated earlier, counsel for Samancor argued that Bila failed to provide any detail pertaining to the advice, including what the advice was and by whom it was given, as contemplated in </w:t>
      </w:r>
      <w:r w:rsidR="00694614" w:rsidRPr="00CA2751">
        <w:rPr>
          <w:i/>
          <w:sz w:val="28"/>
          <w:szCs w:val="28"/>
        </w:rPr>
        <w:t>Abrahams</w:t>
      </w:r>
      <w:r w:rsidR="00694614" w:rsidRPr="00CA2751">
        <w:rPr>
          <w:sz w:val="28"/>
          <w:szCs w:val="28"/>
        </w:rPr>
        <w:t>.</w:t>
      </w:r>
      <w:r w:rsidR="00694614" w:rsidRPr="00CA2751">
        <w:rPr>
          <w:rStyle w:val="FootnoteReference"/>
          <w:sz w:val="28"/>
          <w:szCs w:val="28"/>
        </w:rPr>
        <w:footnoteReference w:id="8"/>
      </w:r>
      <w:r w:rsidR="00694614" w:rsidRPr="00CA2751">
        <w:rPr>
          <w:sz w:val="28"/>
          <w:szCs w:val="28"/>
        </w:rPr>
        <w:t xml:space="preserve"> Whether sufficient detail has been provided in support of a defence of legal advice, is a question of fact. In </w:t>
      </w:r>
      <w:r w:rsidR="00694614" w:rsidRPr="00CA2751">
        <w:rPr>
          <w:i/>
          <w:sz w:val="28"/>
          <w:szCs w:val="28"/>
        </w:rPr>
        <w:t xml:space="preserve">Abrahams, </w:t>
      </w:r>
      <w:r w:rsidR="00694614" w:rsidRPr="00CA2751">
        <w:rPr>
          <w:sz w:val="28"/>
          <w:szCs w:val="28"/>
        </w:rPr>
        <w:t xml:space="preserve">the appellant had been convicted of contravening the Rent Control Act 80 of 1986, in that he demanded from tenants rental in excess of what was determined by the Rent Board </w:t>
      </w:r>
      <w:r w:rsidR="001700B9">
        <w:rPr>
          <w:sz w:val="28"/>
          <w:szCs w:val="28"/>
        </w:rPr>
        <w:t xml:space="preserve">while </w:t>
      </w:r>
      <w:r w:rsidR="00694614" w:rsidRPr="00CA2751">
        <w:rPr>
          <w:sz w:val="28"/>
          <w:szCs w:val="28"/>
        </w:rPr>
        <w:t>he had received a letter from the Rent Board stating what the controlled rent was. He then consulted an attorney who advised him that he was entitled to increase the rent as he had done. In this regard, the Court held:</w:t>
      </w:r>
    </w:p>
    <w:p w14:paraId="42AF3A04" w14:textId="4175C328" w:rsidR="00694614" w:rsidRPr="00CA2751" w:rsidRDefault="00694614" w:rsidP="00694614">
      <w:r w:rsidRPr="00CA2751">
        <w:t xml:space="preserve">‘At the time he sought the attorney’s advice he knew or at least suspected that the premises were rent-controlled and in addition he had a letter from the Rent Board confirming that </w:t>
      </w:r>
      <w:r w:rsidRPr="00CA2751">
        <w:lastRenderedPageBreak/>
        <w:t xml:space="preserve">fact. In such circumstances it was not sufficient for one burdened by the </w:t>
      </w:r>
      <w:r w:rsidRPr="00CA2751">
        <w:rPr>
          <w:i/>
        </w:rPr>
        <w:t>onus</w:t>
      </w:r>
      <w:r w:rsidRPr="00CA2751">
        <w:t xml:space="preserve"> under s 18 (4) (a) to seek to discharge the </w:t>
      </w:r>
      <w:r w:rsidRPr="00CA2751">
        <w:rPr>
          <w:i/>
        </w:rPr>
        <w:t>onus</w:t>
      </w:r>
      <w:r w:rsidRPr="00CA2751">
        <w:t xml:space="preserve"> by stating </w:t>
      </w:r>
      <w:r w:rsidRPr="00CA2751">
        <w:rPr>
          <w:i/>
        </w:rPr>
        <w:t>in court</w:t>
      </w:r>
      <w:r w:rsidRPr="00CA2751">
        <w:t xml:space="preserve"> that his attorney told him that his action in requiring the payment of an increased rent was in order. In</w:t>
      </w:r>
      <w:r w:rsidR="00F945D8" w:rsidRPr="00CA2751">
        <w:t xml:space="preserve"> the case of</w:t>
      </w:r>
      <w:r w:rsidRPr="00CA2751">
        <w:t xml:space="preserve"> </w:t>
      </w:r>
      <w:r w:rsidRPr="00A842AC">
        <w:rPr>
          <w:i/>
        </w:rPr>
        <w:t>R v Meischke’s</w:t>
      </w:r>
      <w:r w:rsidRPr="00CA2751">
        <w:t xml:space="preserve"> (</w:t>
      </w:r>
      <w:r w:rsidRPr="00CA2751">
        <w:rPr>
          <w:i/>
        </w:rPr>
        <w:t>supra</w:t>
      </w:r>
      <w:r w:rsidRPr="00CA2751">
        <w:t xml:space="preserve">) the accused advanced in mitigation of his sentence the fact that his attorney had advised him that he need not obtain permission of the Rent Board to increase rentals controlled by a determination. In dealing with this plea TINDALL ACJ stated in the course of his judgment in that case at 711 </w:t>
      </w:r>
      <w:r w:rsidR="00A842AC">
        <w:t>that</w:t>
      </w:r>
      <w:r w:rsidRPr="00CA2751">
        <w:t xml:space="preserve"> if an accused wished the Court to have regard to this advice as a mitigating factor, then it could be expected of him to produce the advice if it was in writing. In addition the Court would require to be satisfied that the advice was given on a full and true statement of facts. In the absence of such safeguards the fact of the advice</w:t>
      </w:r>
      <w:r w:rsidR="00FE00A9">
        <w:t xml:space="preserve"> having</w:t>
      </w:r>
      <w:r w:rsidRPr="00CA2751">
        <w:t xml:space="preserve"> been given was held to be of no avail as a mitigating factor. These remarks are pertinent to the </w:t>
      </w:r>
      <w:r w:rsidR="00F945D8" w:rsidRPr="00CA2751">
        <w:t xml:space="preserve">present </w:t>
      </w:r>
      <w:r w:rsidRPr="00CA2751">
        <w:t>enquiry, more particularly as the attorney on whose advice the appellant claimed to have relied was not called to testify in regard to all the circumstances relevant to the giving of such advice.’</w:t>
      </w:r>
      <w:r w:rsidRPr="00CA2751">
        <w:rPr>
          <w:rStyle w:val="FootnoteReference"/>
        </w:rPr>
        <w:footnoteReference w:id="9"/>
      </w:r>
      <w:r w:rsidR="00E41DF9" w:rsidRPr="00CA2751">
        <w:rPr>
          <w:sz w:val="28"/>
          <w:szCs w:val="28"/>
        </w:rPr>
        <w:t xml:space="preserve"> </w:t>
      </w:r>
      <w:r w:rsidR="00E41DF9" w:rsidRPr="001700B9">
        <w:t>(My emphasis.)</w:t>
      </w:r>
    </w:p>
    <w:p w14:paraId="6EC690A8" w14:textId="77777777" w:rsidR="00694614" w:rsidRPr="00CA2751" w:rsidRDefault="00694614" w:rsidP="00694614">
      <w:pPr>
        <w:pStyle w:val="ListParagraph"/>
        <w:rPr>
          <w:sz w:val="28"/>
          <w:szCs w:val="28"/>
        </w:rPr>
      </w:pPr>
    </w:p>
    <w:p w14:paraId="52A862DC" w14:textId="29018921" w:rsidR="00694614" w:rsidRPr="00CA2751" w:rsidRDefault="004E5F34" w:rsidP="004E5F34">
      <w:pPr>
        <w:tabs>
          <w:tab w:val="left" w:pos="0"/>
        </w:tabs>
        <w:rPr>
          <w:sz w:val="28"/>
          <w:szCs w:val="28"/>
        </w:rPr>
      </w:pPr>
      <w:r w:rsidRPr="00CA2751">
        <w:rPr>
          <w:sz w:val="28"/>
          <w:szCs w:val="28"/>
        </w:rPr>
        <w:t>[59]</w:t>
      </w:r>
      <w:r w:rsidRPr="00CA2751">
        <w:rPr>
          <w:sz w:val="28"/>
          <w:szCs w:val="28"/>
        </w:rPr>
        <w:tab/>
      </w:r>
      <w:r w:rsidR="00694614" w:rsidRPr="00CA2751">
        <w:rPr>
          <w:sz w:val="28"/>
          <w:szCs w:val="28"/>
        </w:rPr>
        <w:t xml:space="preserve">In </w:t>
      </w:r>
      <w:r w:rsidR="00694614" w:rsidRPr="00CA2751">
        <w:rPr>
          <w:i/>
          <w:sz w:val="28"/>
          <w:szCs w:val="28"/>
        </w:rPr>
        <w:t>R v M</w:t>
      </w:r>
      <w:r w:rsidR="00246C5E">
        <w:rPr>
          <w:i/>
          <w:sz w:val="28"/>
          <w:szCs w:val="28"/>
        </w:rPr>
        <w:t>e</w:t>
      </w:r>
      <w:r w:rsidR="00694614" w:rsidRPr="00CA2751">
        <w:rPr>
          <w:i/>
          <w:sz w:val="28"/>
          <w:szCs w:val="28"/>
        </w:rPr>
        <w:t>ischke’s</w:t>
      </w:r>
      <w:r w:rsidR="00694614" w:rsidRPr="00CA2751">
        <w:rPr>
          <w:rStyle w:val="FootnoteReference"/>
          <w:i/>
          <w:sz w:val="28"/>
          <w:szCs w:val="28"/>
        </w:rPr>
        <w:footnoteReference w:id="10"/>
      </w:r>
      <w:r w:rsidR="00694614" w:rsidRPr="00CA2751">
        <w:rPr>
          <w:i/>
          <w:sz w:val="28"/>
          <w:szCs w:val="28"/>
        </w:rPr>
        <w:t xml:space="preserve"> </w:t>
      </w:r>
      <w:r w:rsidR="00694614" w:rsidRPr="00CA2751">
        <w:rPr>
          <w:sz w:val="28"/>
          <w:szCs w:val="28"/>
        </w:rPr>
        <w:t>the Court had said the following:</w:t>
      </w:r>
    </w:p>
    <w:p w14:paraId="1B897358" w14:textId="77777777" w:rsidR="00694614" w:rsidRPr="00CA2751" w:rsidRDefault="00694614" w:rsidP="00694614">
      <w:pPr>
        <w:tabs>
          <w:tab w:val="left" w:pos="0"/>
        </w:tabs>
      </w:pPr>
      <w:r w:rsidRPr="00CA2751">
        <w:t xml:space="preserve">‘This, however, must be emphasised, that if the accused wishes to rely on the receipt of such advice as a mitigating factor, he ought to give evidence in mitigation </w:t>
      </w:r>
      <w:r w:rsidRPr="00CA2751">
        <w:rPr>
          <w:i/>
        </w:rPr>
        <w:t xml:space="preserve">so that the court may be in a position to investigate whether in truth he did get such advice, and on what statement of facts by the accused the advice was given. If, as in the present case, the accused merely states in his evidence given before conviction that he took legal advice, he is not likely to be exposed to full interrogation on the matter. But if he gives such evidence after conviction and then pleads in mitigation that he acted on legal advice, he will be asked to produce the advice, if it was in writing, and whether it was written or oral, and the court will require to be satisfied that the advice was given on a full and true statement of facts. In the absence of these safeguards the plea of having acted on legal advice would be liable to abuse. In the present case, owing to the fact that Amoils did not tender evidence in mitigation, these safeguards were absent; the magistrate had no opportunity of verifying </w:t>
      </w:r>
      <w:r w:rsidRPr="00CA2751">
        <w:rPr>
          <w:i/>
        </w:rPr>
        <w:lastRenderedPageBreak/>
        <w:t>whether the accused did get the legal advice in question and, if he did, on what facts such advice was given. In the circumstances the statement made by Amoils under cross examination that his legal adviser had advised him that the permission of the control board was not necessary, is of no value in the assessment of the punishment and can be disregarded.’</w:t>
      </w:r>
      <w:r w:rsidRPr="00CA2751">
        <w:t xml:space="preserve"> </w:t>
      </w:r>
      <w:r w:rsidRPr="001700B9">
        <w:t>(My emphasis</w:t>
      </w:r>
      <w:r w:rsidR="00B572AD" w:rsidRPr="001700B9">
        <w:t>.</w:t>
      </w:r>
      <w:r w:rsidRPr="001700B9">
        <w:t>)</w:t>
      </w:r>
    </w:p>
    <w:p w14:paraId="031AB04B" w14:textId="77777777" w:rsidR="00694614" w:rsidRPr="00CA2751" w:rsidRDefault="00694614" w:rsidP="00694614">
      <w:pPr>
        <w:tabs>
          <w:tab w:val="left" w:pos="0"/>
        </w:tabs>
        <w:rPr>
          <w:sz w:val="28"/>
          <w:szCs w:val="28"/>
        </w:rPr>
      </w:pPr>
    </w:p>
    <w:p w14:paraId="31E9DF00" w14:textId="09DE1CBF" w:rsidR="00694614" w:rsidRPr="00CA2751" w:rsidRDefault="004E5F34" w:rsidP="004E5F34">
      <w:pPr>
        <w:tabs>
          <w:tab w:val="left" w:pos="0"/>
        </w:tabs>
        <w:rPr>
          <w:sz w:val="28"/>
          <w:szCs w:val="28"/>
        </w:rPr>
      </w:pPr>
      <w:r w:rsidRPr="00CA2751">
        <w:rPr>
          <w:sz w:val="28"/>
          <w:szCs w:val="28"/>
        </w:rPr>
        <w:t>[60]</w:t>
      </w:r>
      <w:r w:rsidRPr="00CA2751">
        <w:rPr>
          <w:sz w:val="28"/>
          <w:szCs w:val="28"/>
        </w:rPr>
        <w:tab/>
      </w:r>
      <w:r w:rsidR="00694614" w:rsidRPr="00CA2751">
        <w:rPr>
          <w:sz w:val="28"/>
          <w:szCs w:val="28"/>
        </w:rPr>
        <w:t>As appears from the cases</w:t>
      </w:r>
      <w:r w:rsidR="00A842AC">
        <w:rPr>
          <w:sz w:val="28"/>
          <w:szCs w:val="28"/>
        </w:rPr>
        <w:t xml:space="preserve"> in the preceding two paragraphs</w:t>
      </w:r>
      <w:r w:rsidR="00694614" w:rsidRPr="00CA2751">
        <w:rPr>
          <w:sz w:val="28"/>
          <w:szCs w:val="28"/>
        </w:rPr>
        <w:t>, evidence in support of the plea of legal advice</w:t>
      </w:r>
      <w:r w:rsidR="00B572AD" w:rsidRPr="00CA2751">
        <w:rPr>
          <w:sz w:val="28"/>
          <w:szCs w:val="28"/>
        </w:rPr>
        <w:t xml:space="preserve"> is</w:t>
      </w:r>
      <w:r w:rsidR="00694614" w:rsidRPr="00CA2751">
        <w:rPr>
          <w:sz w:val="28"/>
          <w:szCs w:val="28"/>
        </w:rPr>
        <w:t xml:space="preserve"> required to prevent abuse. In both </w:t>
      </w:r>
      <w:r w:rsidR="00694614" w:rsidRPr="00CA2751">
        <w:rPr>
          <w:i/>
          <w:sz w:val="28"/>
          <w:szCs w:val="28"/>
        </w:rPr>
        <w:t>Abrahams</w:t>
      </w:r>
      <w:r w:rsidR="00694614" w:rsidRPr="00CA2751">
        <w:rPr>
          <w:sz w:val="28"/>
          <w:szCs w:val="28"/>
        </w:rPr>
        <w:t xml:space="preserve"> and </w:t>
      </w:r>
      <w:r w:rsidR="00694614" w:rsidRPr="00CA2751">
        <w:rPr>
          <w:i/>
          <w:sz w:val="28"/>
          <w:szCs w:val="28"/>
        </w:rPr>
        <w:t>M</w:t>
      </w:r>
      <w:r w:rsidR="00246C5E">
        <w:rPr>
          <w:i/>
          <w:sz w:val="28"/>
          <w:szCs w:val="28"/>
        </w:rPr>
        <w:t>e</w:t>
      </w:r>
      <w:r w:rsidR="00694614" w:rsidRPr="00CA2751">
        <w:rPr>
          <w:i/>
          <w:sz w:val="28"/>
          <w:szCs w:val="28"/>
        </w:rPr>
        <w:t>isckhe</w:t>
      </w:r>
      <w:r w:rsidR="00246C5E">
        <w:rPr>
          <w:i/>
          <w:sz w:val="28"/>
          <w:szCs w:val="28"/>
        </w:rPr>
        <w:t>’</w:t>
      </w:r>
      <w:r w:rsidR="00694614" w:rsidRPr="00CA2751">
        <w:rPr>
          <w:i/>
          <w:sz w:val="28"/>
          <w:szCs w:val="28"/>
        </w:rPr>
        <w:t>s</w:t>
      </w:r>
      <w:r w:rsidR="00694614" w:rsidRPr="00CA2751">
        <w:rPr>
          <w:sz w:val="28"/>
          <w:szCs w:val="28"/>
        </w:rPr>
        <w:t>, the accused simply mentioned in court that they had relied on legal advice without providing evidence in support of such claims. Consequently, it was held that the respective courts could not verify whether the alleged legal advice was given and, i</w:t>
      </w:r>
      <w:r w:rsidR="00B572AD" w:rsidRPr="00CA2751">
        <w:rPr>
          <w:sz w:val="28"/>
          <w:szCs w:val="28"/>
        </w:rPr>
        <w:t>f</w:t>
      </w:r>
      <w:r w:rsidR="00694614" w:rsidRPr="00CA2751">
        <w:rPr>
          <w:sz w:val="28"/>
          <w:szCs w:val="28"/>
        </w:rPr>
        <w:t xml:space="preserve"> so</w:t>
      </w:r>
      <w:r w:rsidR="00E54A89">
        <w:rPr>
          <w:sz w:val="28"/>
          <w:szCs w:val="28"/>
        </w:rPr>
        <w:t>,</w:t>
      </w:r>
      <w:r w:rsidR="00694614" w:rsidRPr="00CA2751">
        <w:rPr>
          <w:sz w:val="28"/>
          <w:szCs w:val="28"/>
        </w:rPr>
        <w:t xml:space="preserve"> on what facts. There </w:t>
      </w:r>
      <w:r w:rsidR="00A842AC">
        <w:rPr>
          <w:sz w:val="28"/>
          <w:szCs w:val="28"/>
        </w:rPr>
        <w:t xml:space="preserve">are </w:t>
      </w:r>
      <w:r w:rsidR="00694614" w:rsidRPr="00CA2751">
        <w:rPr>
          <w:sz w:val="28"/>
          <w:szCs w:val="28"/>
        </w:rPr>
        <w:t xml:space="preserve">additional factors though, that distinguish those cases from the present one. In </w:t>
      </w:r>
      <w:r w:rsidR="00694614" w:rsidRPr="00CA2751">
        <w:rPr>
          <w:i/>
          <w:sz w:val="28"/>
          <w:szCs w:val="28"/>
        </w:rPr>
        <w:t>M</w:t>
      </w:r>
      <w:r w:rsidR="00246C5E">
        <w:rPr>
          <w:i/>
          <w:sz w:val="28"/>
          <w:szCs w:val="28"/>
        </w:rPr>
        <w:t>e</w:t>
      </w:r>
      <w:r w:rsidR="00694614" w:rsidRPr="00CA2751">
        <w:rPr>
          <w:i/>
          <w:sz w:val="28"/>
          <w:szCs w:val="28"/>
        </w:rPr>
        <w:t>ischke’s</w:t>
      </w:r>
      <w:r w:rsidR="00694614" w:rsidRPr="00CA2751">
        <w:rPr>
          <w:sz w:val="28"/>
          <w:szCs w:val="28"/>
        </w:rPr>
        <w:t xml:space="preserve"> the accused appears to have </w:t>
      </w:r>
      <w:r w:rsidR="00B572AD" w:rsidRPr="00CA2751">
        <w:rPr>
          <w:sz w:val="28"/>
          <w:szCs w:val="28"/>
        </w:rPr>
        <w:t xml:space="preserve">relied </w:t>
      </w:r>
      <w:r w:rsidR="00694614" w:rsidRPr="00CA2751">
        <w:rPr>
          <w:sz w:val="28"/>
          <w:szCs w:val="28"/>
        </w:rPr>
        <w:t xml:space="preserve">on legal advice during cross-examination. In </w:t>
      </w:r>
      <w:r w:rsidR="00694614" w:rsidRPr="00CA2751">
        <w:rPr>
          <w:i/>
          <w:sz w:val="28"/>
          <w:szCs w:val="28"/>
        </w:rPr>
        <w:t xml:space="preserve">Abrahams </w:t>
      </w:r>
      <w:r w:rsidR="00694614" w:rsidRPr="00CA2751">
        <w:rPr>
          <w:sz w:val="28"/>
          <w:szCs w:val="28"/>
        </w:rPr>
        <w:t>the accused ‘was well aware of the fact that he was acting in conflict with the requirements of the Act</w:t>
      </w:r>
      <w:r w:rsidR="00E54A89">
        <w:rPr>
          <w:sz w:val="28"/>
          <w:szCs w:val="28"/>
        </w:rPr>
        <w:t>.</w:t>
      </w:r>
      <w:r w:rsidR="00177FAE">
        <w:rPr>
          <w:sz w:val="28"/>
          <w:szCs w:val="28"/>
        </w:rPr>
        <w:t>’</w:t>
      </w:r>
      <w:r w:rsidR="00694614" w:rsidRPr="00CA2751">
        <w:rPr>
          <w:rStyle w:val="FootnoteReference"/>
          <w:sz w:val="28"/>
          <w:szCs w:val="28"/>
        </w:rPr>
        <w:footnoteReference w:id="11"/>
      </w:r>
      <w:r w:rsidR="00694614" w:rsidRPr="00CA2751">
        <w:rPr>
          <w:sz w:val="28"/>
          <w:szCs w:val="28"/>
        </w:rPr>
        <w:t xml:space="preserve"> </w:t>
      </w:r>
    </w:p>
    <w:p w14:paraId="101226A6" w14:textId="3C5E1A8F" w:rsidR="00694614" w:rsidRPr="00CA2751" w:rsidRDefault="00694614" w:rsidP="00694614">
      <w:pPr>
        <w:tabs>
          <w:tab w:val="left" w:pos="0"/>
        </w:tabs>
        <w:rPr>
          <w:sz w:val="28"/>
          <w:szCs w:val="28"/>
        </w:rPr>
      </w:pPr>
    </w:p>
    <w:p w14:paraId="23616AEC" w14:textId="315AF7B8" w:rsidR="00694614" w:rsidRPr="00CA2751" w:rsidRDefault="004E5F34" w:rsidP="004E5F34">
      <w:pPr>
        <w:tabs>
          <w:tab w:val="left" w:pos="0"/>
        </w:tabs>
        <w:rPr>
          <w:sz w:val="28"/>
          <w:szCs w:val="28"/>
        </w:rPr>
      </w:pPr>
      <w:r w:rsidRPr="00CA2751">
        <w:rPr>
          <w:sz w:val="28"/>
          <w:szCs w:val="28"/>
        </w:rPr>
        <w:t>[61]</w:t>
      </w:r>
      <w:r w:rsidRPr="00CA2751">
        <w:rPr>
          <w:sz w:val="28"/>
          <w:szCs w:val="28"/>
        </w:rPr>
        <w:tab/>
      </w:r>
      <w:r w:rsidR="00694614" w:rsidRPr="00CA2751">
        <w:rPr>
          <w:sz w:val="28"/>
          <w:szCs w:val="28"/>
        </w:rPr>
        <w:t>In the present case, throughout the answering affidavit, the theme that carried through Bila’s defence was that the two court orders were automatically suspended</w:t>
      </w:r>
      <w:r w:rsidR="00B572AD" w:rsidRPr="00CA2751">
        <w:rPr>
          <w:sz w:val="28"/>
          <w:szCs w:val="28"/>
        </w:rPr>
        <w:t>,</w:t>
      </w:r>
      <w:r w:rsidR="00694614" w:rsidRPr="00CA2751">
        <w:rPr>
          <w:sz w:val="28"/>
          <w:szCs w:val="28"/>
        </w:rPr>
        <w:t xml:space="preserve"> and in particular that </w:t>
      </w:r>
      <w:r w:rsidR="00B572AD" w:rsidRPr="00CA2751">
        <w:rPr>
          <w:sz w:val="28"/>
          <w:szCs w:val="28"/>
        </w:rPr>
        <w:t xml:space="preserve">of </w:t>
      </w:r>
      <w:r w:rsidR="00922D0B">
        <w:rPr>
          <w:sz w:val="28"/>
          <w:szCs w:val="28"/>
        </w:rPr>
        <w:t>Janse van Niewenhuizen J</w:t>
      </w:r>
      <w:r w:rsidR="00B572AD" w:rsidRPr="00CA2751">
        <w:rPr>
          <w:sz w:val="28"/>
          <w:szCs w:val="28"/>
        </w:rPr>
        <w:t>,</w:t>
      </w:r>
      <w:r w:rsidR="00694614" w:rsidRPr="00CA2751">
        <w:rPr>
          <w:sz w:val="28"/>
          <w:szCs w:val="28"/>
        </w:rPr>
        <w:t xml:space="preserve"> due to the lodgement of the application for leave to appeal. For</w:t>
      </w:r>
      <w:r w:rsidR="00A842AC">
        <w:rPr>
          <w:sz w:val="28"/>
          <w:szCs w:val="28"/>
        </w:rPr>
        <w:t xml:space="preserve"> present purposes</w:t>
      </w:r>
      <w:r w:rsidR="00694614" w:rsidRPr="00CA2751">
        <w:rPr>
          <w:sz w:val="28"/>
          <w:szCs w:val="28"/>
        </w:rPr>
        <w:t xml:space="preserve">, the focus is not on the correctness of that defence, but on whether legal advice to that effect was given, by whom, its nature and whether it was </w:t>
      </w:r>
      <w:r w:rsidR="00694614" w:rsidRPr="001700B9">
        <w:rPr>
          <w:i/>
          <w:sz w:val="28"/>
          <w:szCs w:val="28"/>
        </w:rPr>
        <w:t>bona fide</w:t>
      </w:r>
      <w:r w:rsidR="00694614" w:rsidRPr="00CA2751">
        <w:rPr>
          <w:sz w:val="28"/>
          <w:szCs w:val="28"/>
        </w:rPr>
        <w:t xml:space="preserve"> received by Bila. </w:t>
      </w:r>
    </w:p>
    <w:p w14:paraId="6B4FB78C" w14:textId="77777777" w:rsidR="00694614" w:rsidRPr="00CA2751" w:rsidRDefault="00694614" w:rsidP="00694614">
      <w:pPr>
        <w:pStyle w:val="ListParagraph"/>
        <w:rPr>
          <w:sz w:val="28"/>
          <w:szCs w:val="28"/>
        </w:rPr>
      </w:pPr>
    </w:p>
    <w:p w14:paraId="25AE9D52" w14:textId="693F02CA" w:rsidR="00694614" w:rsidRPr="00CA2751" w:rsidRDefault="004E5F34" w:rsidP="004E5F34">
      <w:pPr>
        <w:tabs>
          <w:tab w:val="left" w:pos="0"/>
        </w:tabs>
        <w:rPr>
          <w:sz w:val="28"/>
          <w:szCs w:val="28"/>
        </w:rPr>
      </w:pPr>
      <w:r w:rsidRPr="00CA2751">
        <w:rPr>
          <w:sz w:val="28"/>
          <w:szCs w:val="28"/>
        </w:rPr>
        <w:lastRenderedPageBreak/>
        <w:t>[62]</w:t>
      </w:r>
      <w:r w:rsidRPr="00CA2751">
        <w:rPr>
          <w:sz w:val="28"/>
          <w:szCs w:val="28"/>
        </w:rPr>
        <w:tab/>
      </w:r>
      <w:r w:rsidR="00694614" w:rsidRPr="00CA2751">
        <w:rPr>
          <w:sz w:val="28"/>
          <w:szCs w:val="28"/>
        </w:rPr>
        <w:t xml:space="preserve">It is so, that </w:t>
      </w:r>
      <w:r w:rsidR="00A842AC">
        <w:rPr>
          <w:sz w:val="28"/>
          <w:szCs w:val="28"/>
        </w:rPr>
        <w:t xml:space="preserve">in dealing with the elements </w:t>
      </w:r>
      <w:r w:rsidR="00694614" w:rsidRPr="00CA2751">
        <w:rPr>
          <w:sz w:val="28"/>
          <w:szCs w:val="28"/>
        </w:rPr>
        <w:t xml:space="preserve">of wilfulness and </w:t>
      </w:r>
      <w:r w:rsidR="00694614" w:rsidRPr="00CA2751">
        <w:rPr>
          <w:i/>
          <w:sz w:val="28"/>
          <w:szCs w:val="28"/>
        </w:rPr>
        <w:t>mala fides</w:t>
      </w:r>
      <w:r w:rsidR="00694614" w:rsidRPr="00CA2751">
        <w:rPr>
          <w:sz w:val="28"/>
          <w:szCs w:val="28"/>
        </w:rPr>
        <w:t xml:space="preserve"> all that is recorded is that Bila ‘acted bona fide and on the basis of legal advice to the effect that the two court orders remain suspended, inoperational and non-executable </w:t>
      </w:r>
      <w:r w:rsidR="00694614" w:rsidRPr="00CA2751">
        <w:rPr>
          <w:i/>
          <w:sz w:val="28"/>
          <w:szCs w:val="28"/>
        </w:rPr>
        <w:t>for all the reasons</w:t>
      </w:r>
      <w:r w:rsidR="00694614" w:rsidRPr="00CA2751">
        <w:rPr>
          <w:sz w:val="28"/>
          <w:szCs w:val="28"/>
        </w:rPr>
        <w:t xml:space="preserve"> </w:t>
      </w:r>
      <w:r w:rsidR="00694614" w:rsidRPr="00CA2751">
        <w:rPr>
          <w:i/>
          <w:sz w:val="28"/>
          <w:szCs w:val="28"/>
        </w:rPr>
        <w:t>already canvassed above</w:t>
      </w:r>
      <w:r w:rsidR="009C6603">
        <w:rPr>
          <w:iCs/>
          <w:sz w:val="28"/>
          <w:szCs w:val="28"/>
        </w:rPr>
        <w:t>.</w:t>
      </w:r>
      <w:r w:rsidR="00177FAE">
        <w:rPr>
          <w:iCs/>
          <w:sz w:val="28"/>
          <w:szCs w:val="28"/>
        </w:rPr>
        <w:t>’</w:t>
      </w:r>
      <w:r w:rsidR="00694614" w:rsidRPr="00CA2751">
        <w:rPr>
          <w:sz w:val="28"/>
          <w:szCs w:val="28"/>
        </w:rPr>
        <w:t xml:space="preserve"> (My emphasis.) </w:t>
      </w:r>
    </w:p>
    <w:p w14:paraId="5D05CB5B" w14:textId="77777777" w:rsidR="00CA2751" w:rsidRPr="00CA2751" w:rsidRDefault="00CA2751" w:rsidP="00CA2751">
      <w:pPr>
        <w:pStyle w:val="ListParagraph"/>
        <w:rPr>
          <w:sz w:val="28"/>
          <w:szCs w:val="28"/>
        </w:rPr>
      </w:pPr>
    </w:p>
    <w:p w14:paraId="36D61DF1" w14:textId="4A779940" w:rsidR="00694614" w:rsidRPr="00CA2751" w:rsidRDefault="004E5F34" w:rsidP="004E5F34">
      <w:pPr>
        <w:tabs>
          <w:tab w:val="left" w:pos="0"/>
        </w:tabs>
        <w:rPr>
          <w:sz w:val="28"/>
          <w:szCs w:val="28"/>
        </w:rPr>
      </w:pPr>
      <w:r w:rsidRPr="00CA2751">
        <w:rPr>
          <w:sz w:val="28"/>
          <w:szCs w:val="28"/>
        </w:rPr>
        <w:t>[63]</w:t>
      </w:r>
      <w:r w:rsidRPr="00CA2751">
        <w:rPr>
          <w:sz w:val="28"/>
          <w:szCs w:val="28"/>
        </w:rPr>
        <w:tab/>
      </w:r>
      <w:r w:rsidR="00B572AD" w:rsidRPr="00CA2751">
        <w:rPr>
          <w:sz w:val="28"/>
          <w:szCs w:val="28"/>
        </w:rPr>
        <w:t xml:space="preserve">As is apparent from </w:t>
      </w:r>
      <w:r w:rsidR="00694614" w:rsidRPr="00CA2751">
        <w:rPr>
          <w:sz w:val="28"/>
          <w:szCs w:val="28"/>
        </w:rPr>
        <w:t xml:space="preserve">the answering affidavit, on 10 December 2019 (which is the same day that </w:t>
      </w:r>
      <w:r w:rsidR="00922D0B">
        <w:rPr>
          <w:sz w:val="28"/>
          <w:szCs w:val="28"/>
        </w:rPr>
        <w:t>Janse van Niewenhuizen J’</w:t>
      </w:r>
      <w:r w:rsidR="00694614" w:rsidRPr="00CA2751">
        <w:rPr>
          <w:sz w:val="28"/>
          <w:szCs w:val="28"/>
        </w:rPr>
        <w:t>s order was issued), Bila’s attorneys addressed a letter to Samancor which, inter alia</w:t>
      </w:r>
      <w:r w:rsidR="00B572AD" w:rsidRPr="00CA2751">
        <w:rPr>
          <w:sz w:val="28"/>
          <w:szCs w:val="28"/>
        </w:rPr>
        <w:t>,</w:t>
      </w:r>
      <w:r w:rsidR="00694614" w:rsidRPr="00CA2751">
        <w:rPr>
          <w:sz w:val="28"/>
          <w:szCs w:val="28"/>
        </w:rPr>
        <w:t xml:space="preserve"> stated as follows:</w:t>
      </w:r>
    </w:p>
    <w:p w14:paraId="4F478782" w14:textId="77777777" w:rsidR="00694614" w:rsidRPr="00CA2751" w:rsidRDefault="00694614" w:rsidP="00694614">
      <w:pPr>
        <w:tabs>
          <w:tab w:val="left" w:pos="0"/>
        </w:tabs>
      </w:pPr>
      <w:r w:rsidRPr="00CA2751">
        <w:rPr>
          <w:sz w:val="28"/>
          <w:szCs w:val="28"/>
        </w:rPr>
        <w:t>‘</w:t>
      </w:r>
      <w:r w:rsidRPr="00CA2751">
        <w:t xml:space="preserve">3. </w:t>
      </w:r>
      <w:r w:rsidRPr="00CA2751">
        <w:rPr>
          <w:i/>
        </w:rPr>
        <w:t>Our client has instructed us</w:t>
      </w:r>
      <w:r w:rsidRPr="00CA2751">
        <w:t>:</w:t>
      </w:r>
    </w:p>
    <w:p w14:paraId="097F7B02" w14:textId="3F868352" w:rsidR="00694614" w:rsidRPr="00CA2751" w:rsidRDefault="00694614" w:rsidP="00694614">
      <w:pPr>
        <w:tabs>
          <w:tab w:val="left" w:pos="0"/>
        </w:tabs>
        <w:rPr>
          <w:sz w:val="28"/>
          <w:szCs w:val="28"/>
        </w:rPr>
      </w:pPr>
      <w:r w:rsidRPr="00CA2751">
        <w:t>3.1 to file an application for leave to appeal in respect of the judgment of the Honourable Judge Janse Van Niewenhuizen… .’</w:t>
      </w:r>
      <w:r w:rsidR="00A842AC">
        <w:rPr>
          <w:sz w:val="28"/>
          <w:szCs w:val="28"/>
        </w:rPr>
        <w:t xml:space="preserve"> </w:t>
      </w:r>
      <w:r w:rsidR="00A842AC" w:rsidRPr="00A842AC">
        <w:t>(My emphasis.)</w:t>
      </w:r>
    </w:p>
    <w:p w14:paraId="7A9EA0D0" w14:textId="77777777" w:rsidR="00694614" w:rsidRPr="00CA2751" w:rsidRDefault="00694614" w:rsidP="00694614">
      <w:pPr>
        <w:tabs>
          <w:tab w:val="left" w:pos="0"/>
        </w:tabs>
      </w:pPr>
    </w:p>
    <w:p w14:paraId="328C4865" w14:textId="76021F4C" w:rsidR="00694614" w:rsidRPr="00CA2751" w:rsidRDefault="004E5F34" w:rsidP="004E5F34">
      <w:pPr>
        <w:tabs>
          <w:tab w:val="left" w:pos="0"/>
        </w:tabs>
        <w:rPr>
          <w:sz w:val="28"/>
          <w:szCs w:val="28"/>
        </w:rPr>
      </w:pPr>
      <w:r w:rsidRPr="00CA2751">
        <w:rPr>
          <w:sz w:val="28"/>
          <w:szCs w:val="28"/>
        </w:rPr>
        <w:t>[64]</w:t>
      </w:r>
      <w:r w:rsidRPr="00CA2751">
        <w:rPr>
          <w:sz w:val="28"/>
          <w:szCs w:val="28"/>
        </w:rPr>
        <w:tab/>
      </w:r>
      <w:r w:rsidR="00694614" w:rsidRPr="00CA2751">
        <w:rPr>
          <w:sz w:val="28"/>
          <w:szCs w:val="28"/>
        </w:rPr>
        <w:t xml:space="preserve">On 17 December 2019, Bila indeed lodged that application. As proof of the </w:t>
      </w:r>
      <w:r w:rsidR="00C2074D" w:rsidRPr="00CA2751">
        <w:rPr>
          <w:sz w:val="28"/>
          <w:szCs w:val="28"/>
        </w:rPr>
        <w:t>lodgement,</w:t>
      </w:r>
      <w:r w:rsidR="00694614" w:rsidRPr="00CA2751">
        <w:rPr>
          <w:sz w:val="28"/>
          <w:szCs w:val="28"/>
        </w:rPr>
        <w:t xml:space="preserve"> it annexed a notice of application for leave to appeal. In the notice, it is stated that the application for leave to appeal did not fall to be determined in terms of s 18(2) of the Superior Courts Act as the judgment was final in effect. </w:t>
      </w:r>
    </w:p>
    <w:p w14:paraId="4AC215D8" w14:textId="77777777" w:rsidR="00694614" w:rsidRPr="00CA2751" w:rsidRDefault="00694614" w:rsidP="00694614">
      <w:pPr>
        <w:tabs>
          <w:tab w:val="left" w:pos="0"/>
        </w:tabs>
        <w:rPr>
          <w:sz w:val="28"/>
          <w:szCs w:val="28"/>
        </w:rPr>
      </w:pPr>
    </w:p>
    <w:p w14:paraId="12CCE06E" w14:textId="349C94B8" w:rsidR="00694614" w:rsidRPr="00CA2751" w:rsidRDefault="004E5F34" w:rsidP="004E5F34">
      <w:pPr>
        <w:tabs>
          <w:tab w:val="left" w:pos="0"/>
        </w:tabs>
        <w:rPr>
          <w:sz w:val="28"/>
          <w:szCs w:val="28"/>
        </w:rPr>
      </w:pPr>
      <w:r w:rsidRPr="00CA2751">
        <w:rPr>
          <w:sz w:val="28"/>
          <w:szCs w:val="28"/>
        </w:rPr>
        <w:t>[65]</w:t>
      </w:r>
      <w:r w:rsidRPr="00CA2751">
        <w:rPr>
          <w:sz w:val="28"/>
          <w:szCs w:val="28"/>
        </w:rPr>
        <w:tab/>
      </w:r>
      <w:r w:rsidR="00694614" w:rsidRPr="00CA2751">
        <w:rPr>
          <w:sz w:val="28"/>
          <w:szCs w:val="28"/>
        </w:rPr>
        <w:t xml:space="preserve">In addition, </w:t>
      </w:r>
      <w:r w:rsidR="00B572AD" w:rsidRPr="00CA2751">
        <w:rPr>
          <w:sz w:val="28"/>
          <w:szCs w:val="28"/>
        </w:rPr>
        <w:t xml:space="preserve">still </w:t>
      </w:r>
      <w:r w:rsidR="00694614" w:rsidRPr="00CA2751">
        <w:rPr>
          <w:sz w:val="28"/>
          <w:szCs w:val="28"/>
        </w:rPr>
        <w:t xml:space="preserve">on 17 December 2019, Bila addressed a letter to the </w:t>
      </w:r>
      <w:r w:rsidR="00694614" w:rsidRPr="001700B9">
        <w:rPr>
          <w:sz w:val="28"/>
          <w:szCs w:val="28"/>
        </w:rPr>
        <w:t>D</w:t>
      </w:r>
      <w:r w:rsidR="001700B9">
        <w:rPr>
          <w:sz w:val="28"/>
          <w:szCs w:val="28"/>
        </w:rPr>
        <w:t>epartment</w:t>
      </w:r>
      <w:r w:rsidR="00694614" w:rsidRPr="001700B9">
        <w:rPr>
          <w:sz w:val="28"/>
          <w:szCs w:val="28"/>
        </w:rPr>
        <w:t xml:space="preserve"> requesting </w:t>
      </w:r>
      <w:r w:rsidR="00694614" w:rsidRPr="00CA2751">
        <w:rPr>
          <w:sz w:val="28"/>
          <w:szCs w:val="28"/>
        </w:rPr>
        <w:t xml:space="preserve">it to urgently constitute an independent panel to hear the NEMA administrative appeal including Bila’s objection. </w:t>
      </w:r>
    </w:p>
    <w:p w14:paraId="58CA9115" w14:textId="77777777" w:rsidR="00694614" w:rsidRPr="00CA2751" w:rsidRDefault="00694614" w:rsidP="00694614">
      <w:pPr>
        <w:pStyle w:val="ListParagraph"/>
        <w:rPr>
          <w:sz w:val="28"/>
          <w:szCs w:val="28"/>
        </w:rPr>
      </w:pPr>
    </w:p>
    <w:p w14:paraId="6E2CCA83" w14:textId="587C5382" w:rsidR="00694614" w:rsidRPr="00CA2751" w:rsidRDefault="004E5F34" w:rsidP="004E5F34">
      <w:pPr>
        <w:tabs>
          <w:tab w:val="left" w:pos="0"/>
        </w:tabs>
        <w:rPr>
          <w:sz w:val="28"/>
          <w:szCs w:val="28"/>
        </w:rPr>
      </w:pPr>
      <w:r w:rsidRPr="00CA2751">
        <w:rPr>
          <w:sz w:val="28"/>
          <w:szCs w:val="28"/>
        </w:rPr>
        <w:t>[66]</w:t>
      </w:r>
      <w:r w:rsidRPr="00CA2751">
        <w:rPr>
          <w:sz w:val="28"/>
          <w:szCs w:val="28"/>
        </w:rPr>
        <w:tab/>
      </w:r>
      <w:r w:rsidR="00694614" w:rsidRPr="00CA2751">
        <w:rPr>
          <w:sz w:val="28"/>
          <w:szCs w:val="28"/>
        </w:rPr>
        <w:t xml:space="preserve">Elsewhere in the answering affidavit, Bila stated that the question of whether </w:t>
      </w:r>
      <w:r w:rsidR="00922D0B">
        <w:rPr>
          <w:sz w:val="28"/>
          <w:szCs w:val="28"/>
        </w:rPr>
        <w:t>Janse van Niewenhuizen</w:t>
      </w:r>
      <w:r w:rsidR="00A842AC">
        <w:rPr>
          <w:sz w:val="28"/>
          <w:szCs w:val="28"/>
        </w:rPr>
        <w:t xml:space="preserve"> J</w:t>
      </w:r>
      <w:r w:rsidR="00694614" w:rsidRPr="00CA2751">
        <w:rPr>
          <w:sz w:val="28"/>
          <w:szCs w:val="28"/>
        </w:rPr>
        <w:t>’s order is automatically suspended ‘is totally dependent on the finding in respect of the legal question whether the decision was final in effect</w:t>
      </w:r>
      <w:r w:rsidR="009C6603">
        <w:rPr>
          <w:sz w:val="28"/>
          <w:szCs w:val="28"/>
        </w:rPr>
        <w:t>.</w:t>
      </w:r>
      <w:r w:rsidR="00177FAE">
        <w:rPr>
          <w:sz w:val="28"/>
          <w:szCs w:val="28"/>
        </w:rPr>
        <w:t>’</w:t>
      </w:r>
      <w:r w:rsidR="00694614" w:rsidRPr="00CA2751">
        <w:rPr>
          <w:sz w:val="28"/>
          <w:szCs w:val="28"/>
        </w:rPr>
        <w:t xml:space="preserve"> The deponent went on to allege that he had </w:t>
      </w:r>
      <w:r w:rsidR="00694614" w:rsidRPr="00CA2751">
        <w:rPr>
          <w:sz w:val="28"/>
          <w:szCs w:val="28"/>
        </w:rPr>
        <w:lastRenderedPageBreak/>
        <w:t>‘received legal advice that in view of the aforegoing, the relevant decisions [could] not be breached</w:t>
      </w:r>
      <w:r w:rsidR="009C6603">
        <w:rPr>
          <w:sz w:val="28"/>
          <w:szCs w:val="28"/>
        </w:rPr>
        <w:t>.</w:t>
      </w:r>
      <w:r w:rsidR="00177FAE">
        <w:rPr>
          <w:sz w:val="28"/>
          <w:szCs w:val="28"/>
        </w:rPr>
        <w:t>’</w:t>
      </w:r>
      <w:r w:rsidR="00694614" w:rsidRPr="00CA2751">
        <w:rPr>
          <w:sz w:val="28"/>
          <w:szCs w:val="28"/>
        </w:rPr>
        <w:t xml:space="preserve"> </w:t>
      </w:r>
    </w:p>
    <w:p w14:paraId="4761F568" w14:textId="77777777" w:rsidR="00694614" w:rsidRPr="00CA2751" w:rsidRDefault="00694614" w:rsidP="00694614">
      <w:pPr>
        <w:pStyle w:val="ListParagraph"/>
        <w:rPr>
          <w:sz w:val="28"/>
          <w:szCs w:val="28"/>
        </w:rPr>
      </w:pPr>
    </w:p>
    <w:p w14:paraId="14106D54" w14:textId="11C54888" w:rsidR="00694614" w:rsidRPr="00CA2751" w:rsidRDefault="004E5F34" w:rsidP="004E5F34">
      <w:pPr>
        <w:tabs>
          <w:tab w:val="left" w:pos="0"/>
        </w:tabs>
        <w:rPr>
          <w:sz w:val="28"/>
          <w:szCs w:val="28"/>
        </w:rPr>
      </w:pPr>
      <w:r w:rsidRPr="00CA2751">
        <w:rPr>
          <w:sz w:val="28"/>
          <w:szCs w:val="28"/>
        </w:rPr>
        <w:t>[67]</w:t>
      </w:r>
      <w:r w:rsidRPr="00CA2751">
        <w:rPr>
          <w:sz w:val="28"/>
          <w:szCs w:val="28"/>
        </w:rPr>
        <w:tab/>
      </w:r>
      <w:r w:rsidR="00694614" w:rsidRPr="00CA2751">
        <w:rPr>
          <w:sz w:val="28"/>
          <w:szCs w:val="28"/>
        </w:rPr>
        <w:t xml:space="preserve">Samancor dealt with these allegations in the replying affidavit. Consequently, it could not be argued that it was ambushed during oral argument. Although, the notice of application for leave to appeal was not dealt with under the heading of wilfulness and </w:t>
      </w:r>
      <w:r w:rsidR="00694614" w:rsidRPr="00CA2751">
        <w:rPr>
          <w:i/>
          <w:sz w:val="28"/>
          <w:szCs w:val="28"/>
        </w:rPr>
        <w:t>mala fides</w:t>
      </w:r>
      <w:r w:rsidR="00694614" w:rsidRPr="00CA2751">
        <w:rPr>
          <w:sz w:val="28"/>
          <w:szCs w:val="28"/>
        </w:rPr>
        <w:t xml:space="preserve">, it clearly </w:t>
      </w:r>
      <w:r w:rsidR="00B572AD" w:rsidRPr="00CA2751">
        <w:rPr>
          <w:sz w:val="28"/>
          <w:szCs w:val="28"/>
        </w:rPr>
        <w:t xml:space="preserve">asserted </w:t>
      </w:r>
      <w:r w:rsidR="00694614" w:rsidRPr="00CA2751">
        <w:rPr>
          <w:sz w:val="28"/>
          <w:szCs w:val="28"/>
        </w:rPr>
        <w:t xml:space="preserve">the automatic suspension of the orders. While </w:t>
      </w:r>
      <w:r w:rsidR="00A842AC">
        <w:rPr>
          <w:sz w:val="28"/>
          <w:szCs w:val="28"/>
        </w:rPr>
        <w:t>the</w:t>
      </w:r>
      <w:r w:rsidR="00694614" w:rsidRPr="00CA2751">
        <w:rPr>
          <w:sz w:val="28"/>
          <w:szCs w:val="28"/>
        </w:rPr>
        <w:t xml:space="preserve"> notice does not clearly set out the reasons why Janse </w:t>
      </w:r>
      <w:r w:rsidR="00C2074D" w:rsidRPr="00CA2751">
        <w:rPr>
          <w:sz w:val="28"/>
          <w:szCs w:val="28"/>
        </w:rPr>
        <w:t xml:space="preserve">van </w:t>
      </w:r>
      <w:r w:rsidR="00694614" w:rsidRPr="00CA2751">
        <w:rPr>
          <w:sz w:val="28"/>
          <w:szCs w:val="28"/>
        </w:rPr>
        <w:t xml:space="preserve">Niewenhuizen J’s order is final in effect, in circumstances like these, it is hard to conclude that Bila as a lay litigant did not genuinely accept the advice given by its legal representatives, albeit </w:t>
      </w:r>
      <w:r w:rsidR="002052F2" w:rsidRPr="00CA2751">
        <w:rPr>
          <w:sz w:val="28"/>
          <w:szCs w:val="28"/>
        </w:rPr>
        <w:t xml:space="preserve">uncritically </w:t>
      </w:r>
      <w:r w:rsidR="00694614" w:rsidRPr="00CA2751">
        <w:rPr>
          <w:sz w:val="28"/>
          <w:szCs w:val="28"/>
        </w:rPr>
        <w:t xml:space="preserve">so, that the interim order could be appealed against. </w:t>
      </w:r>
    </w:p>
    <w:p w14:paraId="553EDB1F" w14:textId="77777777" w:rsidR="002052F2" w:rsidRPr="00CA2751" w:rsidRDefault="002052F2" w:rsidP="002052F2">
      <w:pPr>
        <w:pStyle w:val="ListParagraph"/>
        <w:rPr>
          <w:sz w:val="28"/>
          <w:szCs w:val="28"/>
        </w:rPr>
      </w:pPr>
    </w:p>
    <w:p w14:paraId="67692986" w14:textId="7FEBBD2C" w:rsidR="00694614" w:rsidRPr="00CA2751" w:rsidRDefault="004E5F34" w:rsidP="004E5F34">
      <w:pPr>
        <w:tabs>
          <w:tab w:val="left" w:pos="0"/>
        </w:tabs>
        <w:rPr>
          <w:sz w:val="28"/>
          <w:szCs w:val="28"/>
        </w:rPr>
      </w:pPr>
      <w:r w:rsidRPr="00CA2751">
        <w:rPr>
          <w:sz w:val="28"/>
          <w:szCs w:val="28"/>
        </w:rPr>
        <w:t>[68]</w:t>
      </w:r>
      <w:r w:rsidRPr="00CA2751">
        <w:rPr>
          <w:sz w:val="28"/>
          <w:szCs w:val="28"/>
        </w:rPr>
        <w:tab/>
      </w:r>
      <w:r w:rsidR="00694614" w:rsidRPr="00CA2751">
        <w:rPr>
          <w:sz w:val="28"/>
          <w:szCs w:val="28"/>
        </w:rPr>
        <w:t xml:space="preserve">I am therefore of the view that, from the reading of the papers and the context of this case, the legal advice given was clear. The court cannot ignore it. For the purposes of contempt, the question is whether there is sufficient explanation given for the breach, which raises reasonable doubt as to whether the order was disobeyed wilfully and </w:t>
      </w:r>
      <w:r w:rsidR="00694614" w:rsidRPr="00CA2751">
        <w:rPr>
          <w:i/>
          <w:sz w:val="28"/>
          <w:szCs w:val="28"/>
        </w:rPr>
        <w:t>mala fide.</w:t>
      </w:r>
      <w:r w:rsidR="00694614" w:rsidRPr="00CA2751">
        <w:rPr>
          <w:sz w:val="28"/>
          <w:szCs w:val="28"/>
        </w:rPr>
        <w:t xml:space="preserve"> </w:t>
      </w:r>
    </w:p>
    <w:p w14:paraId="486ADDC9" w14:textId="77777777" w:rsidR="00694614" w:rsidRPr="00CA2751" w:rsidRDefault="00694614" w:rsidP="00694614">
      <w:pPr>
        <w:pStyle w:val="ListParagraph"/>
        <w:ind w:left="0"/>
        <w:rPr>
          <w:sz w:val="28"/>
          <w:szCs w:val="28"/>
        </w:rPr>
      </w:pPr>
    </w:p>
    <w:p w14:paraId="46CB3545" w14:textId="1310A08B" w:rsidR="00694614" w:rsidRPr="00CA2751" w:rsidRDefault="004E5F34" w:rsidP="004E5F34">
      <w:pPr>
        <w:tabs>
          <w:tab w:val="left" w:pos="0"/>
        </w:tabs>
        <w:rPr>
          <w:sz w:val="28"/>
          <w:szCs w:val="28"/>
        </w:rPr>
      </w:pPr>
      <w:r w:rsidRPr="00CA2751">
        <w:rPr>
          <w:sz w:val="28"/>
          <w:szCs w:val="28"/>
        </w:rPr>
        <w:t>[69]</w:t>
      </w:r>
      <w:r w:rsidRPr="00CA2751">
        <w:rPr>
          <w:sz w:val="28"/>
          <w:szCs w:val="28"/>
        </w:rPr>
        <w:tab/>
      </w:r>
      <w:r w:rsidR="00694614" w:rsidRPr="00CA2751">
        <w:rPr>
          <w:sz w:val="28"/>
          <w:szCs w:val="28"/>
        </w:rPr>
        <w:t>In my view, as Fourie J found, the alleged legal advice was in respect of an issue that was legal in nature. It depended on the interpretation of the order</w:t>
      </w:r>
      <w:r w:rsidR="002052F2" w:rsidRPr="00CA2751">
        <w:rPr>
          <w:sz w:val="28"/>
          <w:szCs w:val="28"/>
        </w:rPr>
        <w:t>,</w:t>
      </w:r>
      <w:r w:rsidR="00694614" w:rsidRPr="00CA2751">
        <w:rPr>
          <w:sz w:val="28"/>
          <w:szCs w:val="28"/>
        </w:rPr>
        <w:t xml:space="preserve"> its context and </w:t>
      </w:r>
      <w:r w:rsidR="002052F2" w:rsidRPr="00CA2751">
        <w:rPr>
          <w:sz w:val="28"/>
          <w:szCs w:val="28"/>
        </w:rPr>
        <w:t xml:space="preserve">particular </w:t>
      </w:r>
      <w:r w:rsidR="00694614" w:rsidRPr="00CA2751">
        <w:rPr>
          <w:sz w:val="28"/>
          <w:szCs w:val="28"/>
        </w:rPr>
        <w:t>circumstances. Although the legal advice was later found to have been incorrect,</w:t>
      </w:r>
      <w:r w:rsidR="002052F2" w:rsidRPr="00CA2751">
        <w:rPr>
          <w:sz w:val="28"/>
          <w:szCs w:val="28"/>
        </w:rPr>
        <w:t xml:space="preserve"> this does not detract from the fact that it was given and Bila accepted it in good faith.</w:t>
      </w:r>
      <w:r w:rsidR="00694614" w:rsidRPr="00CA2751">
        <w:rPr>
          <w:sz w:val="28"/>
          <w:szCs w:val="28"/>
        </w:rPr>
        <w:t xml:space="preserve"> </w:t>
      </w:r>
    </w:p>
    <w:p w14:paraId="7CC77C51" w14:textId="77777777" w:rsidR="00694614" w:rsidRPr="00CA2751" w:rsidRDefault="00694614" w:rsidP="00694614">
      <w:pPr>
        <w:pStyle w:val="ListParagraph"/>
        <w:rPr>
          <w:sz w:val="28"/>
          <w:szCs w:val="28"/>
        </w:rPr>
      </w:pPr>
    </w:p>
    <w:p w14:paraId="0BF930FB" w14:textId="22B19E3F" w:rsidR="00A52A3C" w:rsidRPr="00CA2751" w:rsidRDefault="004E5F34" w:rsidP="004E5F34">
      <w:pPr>
        <w:tabs>
          <w:tab w:val="left" w:pos="0"/>
        </w:tabs>
        <w:rPr>
          <w:sz w:val="28"/>
          <w:szCs w:val="28"/>
        </w:rPr>
      </w:pPr>
      <w:r w:rsidRPr="00CA2751">
        <w:rPr>
          <w:sz w:val="28"/>
          <w:szCs w:val="28"/>
        </w:rPr>
        <w:lastRenderedPageBreak/>
        <w:t>[70]</w:t>
      </w:r>
      <w:r w:rsidRPr="00CA2751">
        <w:rPr>
          <w:sz w:val="28"/>
          <w:szCs w:val="28"/>
        </w:rPr>
        <w:tab/>
      </w:r>
      <w:r w:rsidR="00694614" w:rsidRPr="00CA2751">
        <w:rPr>
          <w:sz w:val="28"/>
          <w:szCs w:val="28"/>
        </w:rPr>
        <w:t xml:space="preserve">Even if Bila’s acceptance of the advice </w:t>
      </w:r>
      <w:r w:rsidR="001E5252">
        <w:rPr>
          <w:sz w:val="28"/>
          <w:szCs w:val="28"/>
        </w:rPr>
        <w:t xml:space="preserve">could be said to be </w:t>
      </w:r>
      <w:r w:rsidR="00694614" w:rsidRPr="00CA2751">
        <w:rPr>
          <w:sz w:val="28"/>
          <w:szCs w:val="28"/>
        </w:rPr>
        <w:t>unreasonable, if it is</w:t>
      </w:r>
      <w:r w:rsidR="001E5252">
        <w:rPr>
          <w:sz w:val="28"/>
          <w:szCs w:val="28"/>
        </w:rPr>
        <w:t xml:space="preserve"> accepted that it was received</w:t>
      </w:r>
      <w:r w:rsidR="00694614" w:rsidRPr="00CA2751">
        <w:rPr>
          <w:sz w:val="28"/>
          <w:szCs w:val="28"/>
        </w:rPr>
        <w:t xml:space="preserve"> </w:t>
      </w:r>
      <w:r w:rsidR="00694614" w:rsidRPr="00CA2751">
        <w:rPr>
          <w:i/>
          <w:iCs/>
          <w:sz w:val="28"/>
          <w:szCs w:val="28"/>
        </w:rPr>
        <w:t>bona fide</w:t>
      </w:r>
      <w:r w:rsidR="00694614" w:rsidRPr="00CA2751">
        <w:rPr>
          <w:sz w:val="28"/>
          <w:szCs w:val="28"/>
        </w:rPr>
        <w:t xml:space="preserve">, it </w:t>
      </w:r>
      <w:r w:rsidR="001E5252">
        <w:rPr>
          <w:sz w:val="28"/>
          <w:szCs w:val="28"/>
        </w:rPr>
        <w:t xml:space="preserve">would </w:t>
      </w:r>
      <w:r w:rsidR="00694614" w:rsidRPr="00CA2751">
        <w:rPr>
          <w:sz w:val="28"/>
          <w:szCs w:val="28"/>
        </w:rPr>
        <w:t>not amount to contempt.</w:t>
      </w:r>
      <w:r w:rsidR="00694614" w:rsidRPr="00CA2751">
        <w:rPr>
          <w:rStyle w:val="FootnoteReference"/>
          <w:sz w:val="28"/>
          <w:szCs w:val="28"/>
        </w:rPr>
        <w:footnoteReference w:id="12"/>
      </w:r>
      <w:r w:rsidR="00694614" w:rsidRPr="00CA2751">
        <w:rPr>
          <w:sz w:val="28"/>
          <w:szCs w:val="28"/>
        </w:rPr>
        <w:t xml:space="preserve"> In the result, Fourie J</w:t>
      </w:r>
      <w:r w:rsidR="002052F2" w:rsidRPr="00CA2751">
        <w:rPr>
          <w:sz w:val="28"/>
          <w:szCs w:val="28"/>
        </w:rPr>
        <w:t xml:space="preserve">’s conclusion </w:t>
      </w:r>
      <w:r w:rsidR="00694614" w:rsidRPr="00CA2751">
        <w:rPr>
          <w:sz w:val="28"/>
          <w:szCs w:val="28"/>
        </w:rPr>
        <w:t>that sufficient evidence had been provided by Bila</w:t>
      </w:r>
      <w:r w:rsidR="005D55F5">
        <w:rPr>
          <w:sz w:val="28"/>
          <w:szCs w:val="28"/>
        </w:rPr>
        <w:t>,</w:t>
      </w:r>
      <w:r w:rsidR="00694614" w:rsidRPr="00CA2751">
        <w:rPr>
          <w:sz w:val="28"/>
          <w:szCs w:val="28"/>
        </w:rPr>
        <w:t xml:space="preserve"> </w:t>
      </w:r>
      <w:r w:rsidR="001E5252">
        <w:rPr>
          <w:sz w:val="28"/>
          <w:szCs w:val="28"/>
        </w:rPr>
        <w:t xml:space="preserve">creating </w:t>
      </w:r>
      <w:r w:rsidR="00694614" w:rsidRPr="00CA2751">
        <w:rPr>
          <w:sz w:val="28"/>
          <w:szCs w:val="28"/>
        </w:rPr>
        <w:t xml:space="preserve">reasonable doubt </w:t>
      </w:r>
      <w:r w:rsidR="001E5252">
        <w:rPr>
          <w:sz w:val="28"/>
          <w:szCs w:val="28"/>
        </w:rPr>
        <w:t xml:space="preserve">that its </w:t>
      </w:r>
      <w:r w:rsidR="00694614" w:rsidRPr="00CA2751">
        <w:rPr>
          <w:sz w:val="28"/>
          <w:szCs w:val="28"/>
        </w:rPr>
        <w:t xml:space="preserve">non-compliance </w:t>
      </w:r>
      <w:r w:rsidR="001E5252">
        <w:rPr>
          <w:sz w:val="28"/>
          <w:szCs w:val="28"/>
        </w:rPr>
        <w:t xml:space="preserve">with </w:t>
      </w:r>
      <w:r w:rsidR="001E5252" w:rsidRPr="00CA2751">
        <w:rPr>
          <w:sz w:val="28"/>
          <w:szCs w:val="28"/>
        </w:rPr>
        <w:t xml:space="preserve">Janse van Niewenhuizen J’s </w:t>
      </w:r>
      <w:r w:rsidR="00C75493">
        <w:rPr>
          <w:sz w:val="28"/>
          <w:szCs w:val="28"/>
        </w:rPr>
        <w:t xml:space="preserve">order </w:t>
      </w:r>
      <w:r w:rsidR="00694614" w:rsidRPr="00CA2751">
        <w:rPr>
          <w:sz w:val="28"/>
          <w:szCs w:val="28"/>
        </w:rPr>
        <w:t xml:space="preserve">was </w:t>
      </w:r>
      <w:r w:rsidR="001E5252">
        <w:rPr>
          <w:sz w:val="28"/>
          <w:szCs w:val="28"/>
        </w:rPr>
        <w:t xml:space="preserve">not </w:t>
      </w:r>
      <w:r w:rsidR="00694614" w:rsidRPr="00CA2751">
        <w:rPr>
          <w:sz w:val="28"/>
          <w:szCs w:val="28"/>
        </w:rPr>
        <w:t xml:space="preserve">wilful and </w:t>
      </w:r>
      <w:r w:rsidR="00694614" w:rsidRPr="00CA2751">
        <w:rPr>
          <w:i/>
          <w:sz w:val="28"/>
          <w:szCs w:val="28"/>
        </w:rPr>
        <w:t>mala fide</w:t>
      </w:r>
      <w:r w:rsidR="001E5252" w:rsidRPr="001E5252">
        <w:rPr>
          <w:sz w:val="28"/>
          <w:szCs w:val="28"/>
        </w:rPr>
        <w:t>,</w:t>
      </w:r>
      <w:r w:rsidR="00694614" w:rsidRPr="00CA2751">
        <w:rPr>
          <w:i/>
          <w:sz w:val="28"/>
          <w:szCs w:val="28"/>
        </w:rPr>
        <w:t xml:space="preserve"> </w:t>
      </w:r>
      <w:r w:rsidR="00FC3280" w:rsidRPr="00CA2751">
        <w:rPr>
          <w:sz w:val="28"/>
          <w:szCs w:val="28"/>
        </w:rPr>
        <w:t>cannot be faulted</w:t>
      </w:r>
      <w:r w:rsidR="00694614" w:rsidRPr="00CA2751">
        <w:rPr>
          <w:sz w:val="28"/>
          <w:szCs w:val="28"/>
        </w:rPr>
        <w:t xml:space="preserve">. </w:t>
      </w:r>
      <w:r w:rsidR="00A52A3C" w:rsidRPr="00CA2751">
        <w:rPr>
          <w:sz w:val="28"/>
          <w:szCs w:val="28"/>
        </w:rPr>
        <w:t>Accordingly, for all the foregoing reasons the appeal must fail.</w:t>
      </w:r>
    </w:p>
    <w:p w14:paraId="23BA2130" w14:textId="77777777" w:rsidR="007D3DBE" w:rsidRPr="00CA2751" w:rsidRDefault="007D3DBE" w:rsidP="00FE329C">
      <w:pPr>
        <w:rPr>
          <w:sz w:val="28"/>
          <w:szCs w:val="28"/>
        </w:rPr>
      </w:pPr>
    </w:p>
    <w:p w14:paraId="3E557A40" w14:textId="63AC9D95" w:rsidR="001E5252" w:rsidRPr="004429F9" w:rsidRDefault="004E5F34" w:rsidP="004E5F34">
      <w:pPr>
        <w:tabs>
          <w:tab w:val="left" w:pos="0"/>
        </w:tabs>
        <w:rPr>
          <w:sz w:val="28"/>
          <w:szCs w:val="28"/>
        </w:rPr>
      </w:pPr>
      <w:r w:rsidRPr="004429F9">
        <w:rPr>
          <w:sz w:val="28"/>
          <w:szCs w:val="28"/>
        </w:rPr>
        <w:t>[71]</w:t>
      </w:r>
      <w:r w:rsidRPr="004429F9">
        <w:rPr>
          <w:sz w:val="28"/>
          <w:szCs w:val="28"/>
        </w:rPr>
        <w:tab/>
      </w:r>
      <w:r w:rsidR="001E5252" w:rsidRPr="004429F9">
        <w:rPr>
          <w:sz w:val="28"/>
          <w:szCs w:val="28"/>
        </w:rPr>
        <w:t>It remains to address the issue of costs. Bila asked for costs of two counsel</w:t>
      </w:r>
      <w:r w:rsidR="00E751E9" w:rsidRPr="004429F9">
        <w:rPr>
          <w:sz w:val="28"/>
          <w:szCs w:val="28"/>
        </w:rPr>
        <w:t>. T</w:t>
      </w:r>
      <w:r w:rsidR="001E5252" w:rsidRPr="004429F9">
        <w:rPr>
          <w:sz w:val="28"/>
          <w:szCs w:val="28"/>
        </w:rPr>
        <w:t xml:space="preserve">his matter was not complex to warrant such </w:t>
      </w:r>
      <w:r w:rsidR="00E751E9" w:rsidRPr="004429F9">
        <w:rPr>
          <w:sz w:val="28"/>
          <w:szCs w:val="28"/>
        </w:rPr>
        <w:t xml:space="preserve">a </w:t>
      </w:r>
      <w:r w:rsidR="001E5252" w:rsidRPr="004429F9">
        <w:rPr>
          <w:sz w:val="28"/>
          <w:szCs w:val="28"/>
        </w:rPr>
        <w:t>costs</w:t>
      </w:r>
      <w:r w:rsidR="00E751E9" w:rsidRPr="004429F9">
        <w:rPr>
          <w:sz w:val="28"/>
          <w:szCs w:val="28"/>
        </w:rPr>
        <w:t xml:space="preserve"> order</w:t>
      </w:r>
      <w:r w:rsidR="001E5252" w:rsidRPr="004429F9">
        <w:rPr>
          <w:sz w:val="28"/>
          <w:szCs w:val="28"/>
        </w:rPr>
        <w:t xml:space="preserve">. </w:t>
      </w:r>
      <w:r w:rsidR="00E751E9" w:rsidRPr="004429F9">
        <w:rPr>
          <w:sz w:val="28"/>
          <w:szCs w:val="28"/>
        </w:rPr>
        <w:t xml:space="preserve">I would therefore </w:t>
      </w:r>
      <w:r w:rsidR="001E5252" w:rsidRPr="004429F9">
        <w:rPr>
          <w:sz w:val="28"/>
          <w:szCs w:val="28"/>
        </w:rPr>
        <w:t xml:space="preserve">not </w:t>
      </w:r>
      <w:r w:rsidR="00E751E9" w:rsidRPr="004429F9">
        <w:rPr>
          <w:sz w:val="28"/>
          <w:szCs w:val="28"/>
        </w:rPr>
        <w:t>allow costs of two counsel.</w:t>
      </w:r>
    </w:p>
    <w:p w14:paraId="69E667FF" w14:textId="77777777" w:rsidR="001E5252" w:rsidRDefault="001E5252" w:rsidP="001E5252">
      <w:pPr>
        <w:pStyle w:val="ListParagraph"/>
        <w:rPr>
          <w:sz w:val="28"/>
          <w:szCs w:val="28"/>
        </w:rPr>
      </w:pPr>
    </w:p>
    <w:p w14:paraId="00296CFD" w14:textId="49FF56AA" w:rsidR="00BC1235" w:rsidRPr="001E5252" w:rsidRDefault="004E5F34" w:rsidP="004E5F34">
      <w:pPr>
        <w:tabs>
          <w:tab w:val="left" w:pos="0"/>
        </w:tabs>
        <w:rPr>
          <w:sz w:val="28"/>
          <w:szCs w:val="28"/>
        </w:rPr>
      </w:pPr>
      <w:r w:rsidRPr="001E5252">
        <w:rPr>
          <w:sz w:val="28"/>
          <w:szCs w:val="28"/>
        </w:rPr>
        <w:t>[72]</w:t>
      </w:r>
      <w:r w:rsidRPr="001E5252">
        <w:rPr>
          <w:sz w:val="28"/>
          <w:szCs w:val="28"/>
        </w:rPr>
        <w:tab/>
      </w:r>
      <w:r w:rsidR="007D3DBE" w:rsidRPr="001E5252">
        <w:rPr>
          <w:sz w:val="28"/>
          <w:szCs w:val="28"/>
        </w:rPr>
        <w:t xml:space="preserve">In the </w:t>
      </w:r>
      <w:r w:rsidR="00695E9B" w:rsidRPr="001E5252">
        <w:rPr>
          <w:sz w:val="28"/>
          <w:szCs w:val="28"/>
        </w:rPr>
        <w:t>result</w:t>
      </w:r>
      <w:r w:rsidR="007D3DBE" w:rsidRPr="001E5252">
        <w:rPr>
          <w:sz w:val="28"/>
          <w:szCs w:val="28"/>
        </w:rPr>
        <w:t xml:space="preserve">, </w:t>
      </w:r>
      <w:r w:rsidR="00A65DEE" w:rsidRPr="001E5252">
        <w:rPr>
          <w:sz w:val="28"/>
          <w:szCs w:val="28"/>
        </w:rPr>
        <w:t>t</w:t>
      </w:r>
      <w:r w:rsidR="00DA4EB9" w:rsidRPr="001E5252">
        <w:rPr>
          <w:sz w:val="28"/>
          <w:szCs w:val="28"/>
        </w:rPr>
        <w:t>he appeal is</w:t>
      </w:r>
      <w:r w:rsidR="00A5530F" w:rsidRPr="001E5252">
        <w:rPr>
          <w:sz w:val="28"/>
          <w:szCs w:val="28"/>
        </w:rPr>
        <w:t xml:space="preserve"> dismissed with costs</w:t>
      </w:r>
      <w:r w:rsidR="001E5252">
        <w:rPr>
          <w:sz w:val="28"/>
          <w:szCs w:val="28"/>
        </w:rPr>
        <w:t>.</w:t>
      </w:r>
    </w:p>
    <w:p w14:paraId="5046D4BD" w14:textId="25269382" w:rsidR="00BC1235" w:rsidRDefault="00BC1235" w:rsidP="00CF79D3">
      <w:pPr>
        <w:tabs>
          <w:tab w:val="left" w:pos="0"/>
        </w:tabs>
        <w:rPr>
          <w:sz w:val="28"/>
          <w:szCs w:val="28"/>
        </w:rPr>
      </w:pPr>
    </w:p>
    <w:p w14:paraId="53F5B505" w14:textId="77777777" w:rsidR="005D4B8F" w:rsidRPr="00CA2751" w:rsidRDefault="005D4B8F" w:rsidP="00CF79D3">
      <w:pPr>
        <w:tabs>
          <w:tab w:val="left" w:pos="0"/>
        </w:tabs>
        <w:rPr>
          <w:sz w:val="28"/>
          <w:szCs w:val="28"/>
        </w:rPr>
      </w:pPr>
    </w:p>
    <w:p w14:paraId="485C44A8" w14:textId="77777777" w:rsidR="005B577A" w:rsidRPr="00CA2751" w:rsidRDefault="005B577A" w:rsidP="001700B9">
      <w:pPr>
        <w:ind w:firstLine="4410"/>
        <w:jc w:val="right"/>
        <w:rPr>
          <w:sz w:val="28"/>
          <w:szCs w:val="28"/>
        </w:rPr>
      </w:pPr>
      <w:r w:rsidRPr="00CA2751">
        <w:rPr>
          <w:sz w:val="28"/>
          <w:szCs w:val="28"/>
        </w:rPr>
        <w:t>__________________________</w:t>
      </w:r>
      <w:r w:rsidR="005168C8" w:rsidRPr="00CA2751">
        <w:rPr>
          <w:sz w:val="28"/>
          <w:szCs w:val="28"/>
        </w:rPr>
        <w:t>____</w:t>
      </w:r>
    </w:p>
    <w:p w14:paraId="16C2BBC6" w14:textId="77777777" w:rsidR="005B577A" w:rsidRPr="00CA2751" w:rsidRDefault="004878D1" w:rsidP="001700B9">
      <w:pPr>
        <w:ind w:firstLine="4860"/>
        <w:jc w:val="right"/>
        <w:rPr>
          <w:sz w:val="28"/>
          <w:szCs w:val="28"/>
        </w:rPr>
      </w:pPr>
      <w:r w:rsidRPr="00CA2751">
        <w:rPr>
          <w:sz w:val="28"/>
          <w:szCs w:val="28"/>
        </w:rPr>
        <w:tab/>
      </w:r>
      <w:r w:rsidR="005B577A" w:rsidRPr="00CA2751">
        <w:rPr>
          <w:sz w:val="28"/>
          <w:szCs w:val="28"/>
        </w:rPr>
        <w:t>N P MABINDLA-BOQWANA</w:t>
      </w:r>
    </w:p>
    <w:p w14:paraId="47AA4D22" w14:textId="77777777" w:rsidR="005B577A" w:rsidRPr="00CA2751" w:rsidRDefault="004878D1" w:rsidP="000E349F">
      <w:pPr>
        <w:ind w:firstLine="4860"/>
        <w:rPr>
          <w:sz w:val="28"/>
          <w:szCs w:val="28"/>
        </w:rPr>
      </w:pPr>
      <w:r w:rsidRPr="00CA2751">
        <w:rPr>
          <w:sz w:val="28"/>
          <w:szCs w:val="28"/>
        </w:rPr>
        <w:tab/>
      </w:r>
      <w:r w:rsidRPr="00CA2751">
        <w:rPr>
          <w:sz w:val="28"/>
          <w:szCs w:val="28"/>
        </w:rPr>
        <w:tab/>
        <w:t xml:space="preserve">      </w:t>
      </w:r>
      <w:r w:rsidR="005B577A" w:rsidRPr="00CA2751">
        <w:rPr>
          <w:sz w:val="28"/>
          <w:szCs w:val="28"/>
        </w:rPr>
        <w:t>JUDGE OF APPEAL</w:t>
      </w:r>
    </w:p>
    <w:p w14:paraId="6B5DDFA6" w14:textId="77777777" w:rsidR="005B577A" w:rsidRPr="00CA2751" w:rsidRDefault="005B577A" w:rsidP="000E349F">
      <w:pPr>
        <w:rPr>
          <w:sz w:val="28"/>
          <w:szCs w:val="28"/>
        </w:rPr>
      </w:pPr>
    </w:p>
    <w:p w14:paraId="0B59DC64" w14:textId="77777777" w:rsidR="00AB6890" w:rsidRPr="00CA2751" w:rsidRDefault="00AB6890" w:rsidP="005B577A">
      <w:pPr>
        <w:rPr>
          <w:sz w:val="28"/>
          <w:szCs w:val="28"/>
        </w:rPr>
      </w:pPr>
    </w:p>
    <w:p w14:paraId="1168B030" w14:textId="77777777" w:rsidR="00AB6890" w:rsidRPr="00CA2751" w:rsidRDefault="00AB6890" w:rsidP="005B577A">
      <w:pPr>
        <w:rPr>
          <w:sz w:val="28"/>
          <w:szCs w:val="28"/>
        </w:rPr>
      </w:pPr>
    </w:p>
    <w:p w14:paraId="783BDC54" w14:textId="77777777" w:rsidR="00526797" w:rsidRPr="00CA2751" w:rsidRDefault="00526797" w:rsidP="005B577A">
      <w:pPr>
        <w:rPr>
          <w:sz w:val="28"/>
          <w:szCs w:val="28"/>
        </w:rPr>
      </w:pPr>
    </w:p>
    <w:p w14:paraId="2B8079E1" w14:textId="77777777" w:rsidR="00526797" w:rsidRPr="00CA2751" w:rsidRDefault="00526797" w:rsidP="005B577A">
      <w:pPr>
        <w:rPr>
          <w:sz w:val="28"/>
          <w:szCs w:val="28"/>
        </w:rPr>
      </w:pPr>
    </w:p>
    <w:p w14:paraId="7AD06DD9" w14:textId="77777777" w:rsidR="00526797" w:rsidRPr="00CA2751" w:rsidRDefault="00526797" w:rsidP="005B577A">
      <w:pPr>
        <w:rPr>
          <w:sz w:val="28"/>
          <w:szCs w:val="28"/>
        </w:rPr>
      </w:pPr>
    </w:p>
    <w:p w14:paraId="5C90FB28" w14:textId="77777777" w:rsidR="00526797" w:rsidRPr="00CA2751" w:rsidRDefault="00526797" w:rsidP="005B577A">
      <w:pPr>
        <w:rPr>
          <w:sz w:val="28"/>
          <w:szCs w:val="28"/>
        </w:rPr>
      </w:pPr>
    </w:p>
    <w:p w14:paraId="5AE4A4B8" w14:textId="7FB99750" w:rsidR="005B577A" w:rsidRPr="00CA2751" w:rsidRDefault="001E5252" w:rsidP="005B577A">
      <w:pPr>
        <w:rPr>
          <w:sz w:val="28"/>
          <w:szCs w:val="28"/>
        </w:rPr>
      </w:pPr>
      <w:r>
        <w:rPr>
          <w:sz w:val="28"/>
          <w:szCs w:val="28"/>
        </w:rPr>
        <w:lastRenderedPageBreak/>
        <w:t>A</w:t>
      </w:r>
      <w:r w:rsidR="00281621">
        <w:rPr>
          <w:sz w:val="28"/>
          <w:szCs w:val="28"/>
        </w:rPr>
        <w:t>PPEARANCES</w:t>
      </w:r>
    </w:p>
    <w:p w14:paraId="7D784ABB" w14:textId="77777777" w:rsidR="00D91DC2" w:rsidRDefault="00D91DC2" w:rsidP="005B577A">
      <w:pPr>
        <w:rPr>
          <w:sz w:val="28"/>
          <w:szCs w:val="28"/>
        </w:rPr>
      </w:pPr>
    </w:p>
    <w:p w14:paraId="7F51ACEC" w14:textId="439670F5" w:rsidR="005B577A" w:rsidRPr="00CA2751" w:rsidRDefault="005B577A" w:rsidP="005B577A">
      <w:pPr>
        <w:rPr>
          <w:sz w:val="28"/>
          <w:szCs w:val="28"/>
        </w:rPr>
      </w:pPr>
      <w:r w:rsidRPr="00CA2751">
        <w:rPr>
          <w:sz w:val="28"/>
          <w:szCs w:val="28"/>
        </w:rPr>
        <w:t>For appellant:</w:t>
      </w:r>
      <w:r w:rsidRPr="00CA2751">
        <w:rPr>
          <w:sz w:val="28"/>
          <w:szCs w:val="28"/>
        </w:rPr>
        <w:tab/>
      </w:r>
      <w:r w:rsidRPr="00CA2751">
        <w:rPr>
          <w:sz w:val="28"/>
          <w:szCs w:val="28"/>
        </w:rPr>
        <w:tab/>
      </w:r>
      <w:r w:rsidRPr="00CA2751">
        <w:rPr>
          <w:sz w:val="28"/>
          <w:szCs w:val="28"/>
        </w:rPr>
        <w:tab/>
        <w:t>G D Wi</w:t>
      </w:r>
      <w:r w:rsidR="00337A0A" w:rsidRPr="00CA2751">
        <w:rPr>
          <w:sz w:val="28"/>
          <w:szCs w:val="28"/>
        </w:rPr>
        <w:t>c</w:t>
      </w:r>
      <w:r w:rsidRPr="00CA2751">
        <w:rPr>
          <w:sz w:val="28"/>
          <w:szCs w:val="28"/>
        </w:rPr>
        <w:t>kins SC</w:t>
      </w:r>
    </w:p>
    <w:p w14:paraId="7B63E8B2" w14:textId="5A55078F" w:rsidR="005B577A" w:rsidRPr="00CA2751" w:rsidRDefault="005B577A" w:rsidP="005B577A">
      <w:pPr>
        <w:rPr>
          <w:bCs/>
          <w:sz w:val="28"/>
          <w:szCs w:val="28"/>
        </w:rPr>
      </w:pPr>
      <w:r w:rsidRPr="00CA2751">
        <w:rPr>
          <w:bCs/>
          <w:sz w:val="28"/>
          <w:szCs w:val="28"/>
        </w:rPr>
        <w:t>Instructed by:</w:t>
      </w:r>
      <w:r w:rsidRPr="00CA2751">
        <w:rPr>
          <w:bCs/>
          <w:sz w:val="28"/>
          <w:szCs w:val="28"/>
        </w:rPr>
        <w:tab/>
      </w:r>
      <w:r w:rsidRPr="00CA2751">
        <w:rPr>
          <w:bCs/>
          <w:sz w:val="28"/>
          <w:szCs w:val="28"/>
        </w:rPr>
        <w:tab/>
      </w:r>
      <w:r w:rsidRPr="00CA2751">
        <w:rPr>
          <w:bCs/>
          <w:sz w:val="28"/>
          <w:szCs w:val="28"/>
        </w:rPr>
        <w:tab/>
        <w:t xml:space="preserve">Malan Scholes Inc, Johannesburg   </w:t>
      </w:r>
    </w:p>
    <w:p w14:paraId="42E2E462" w14:textId="779E3752" w:rsidR="005B577A" w:rsidRPr="00CA2751" w:rsidRDefault="005B577A" w:rsidP="005B577A">
      <w:pPr>
        <w:rPr>
          <w:bCs/>
          <w:sz w:val="28"/>
          <w:szCs w:val="28"/>
        </w:rPr>
      </w:pPr>
      <w:r w:rsidRPr="00CA2751">
        <w:rPr>
          <w:bCs/>
          <w:sz w:val="28"/>
          <w:szCs w:val="28"/>
        </w:rPr>
        <w:t xml:space="preserve">                                                   Claude Reid Attorneys, Bloemfontein   </w:t>
      </w:r>
    </w:p>
    <w:p w14:paraId="156056DA" w14:textId="77777777" w:rsidR="005B577A" w:rsidRPr="00CA2751" w:rsidRDefault="005B577A" w:rsidP="005B577A">
      <w:pPr>
        <w:rPr>
          <w:bCs/>
          <w:sz w:val="28"/>
          <w:szCs w:val="28"/>
        </w:rPr>
      </w:pPr>
      <w:r w:rsidRPr="00CA2751">
        <w:rPr>
          <w:bCs/>
          <w:sz w:val="28"/>
          <w:szCs w:val="28"/>
        </w:rPr>
        <w:t xml:space="preserve">                </w:t>
      </w:r>
    </w:p>
    <w:p w14:paraId="2BF0951B" w14:textId="77777777" w:rsidR="005B577A" w:rsidRPr="00CA2751" w:rsidRDefault="005B577A" w:rsidP="005B577A">
      <w:pPr>
        <w:rPr>
          <w:sz w:val="28"/>
          <w:szCs w:val="28"/>
        </w:rPr>
      </w:pPr>
      <w:r w:rsidRPr="00CA2751">
        <w:rPr>
          <w:sz w:val="28"/>
          <w:szCs w:val="28"/>
        </w:rPr>
        <w:t>For respondent:</w:t>
      </w:r>
      <w:r w:rsidR="005168C8" w:rsidRPr="00CA2751">
        <w:rPr>
          <w:sz w:val="28"/>
          <w:szCs w:val="28"/>
        </w:rPr>
        <w:tab/>
      </w:r>
      <w:r w:rsidR="005168C8" w:rsidRPr="00CA2751">
        <w:rPr>
          <w:sz w:val="28"/>
          <w:szCs w:val="28"/>
        </w:rPr>
        <w:tab/>
      </w:r>
      <w:r w:rsidR="005168C8" w:rsidRPr="00CA2751">
        <w:rPr>
          <w:sz w:val="28"/>
          <w:szCs w:val="28"/>
        </w:rPr>
        <w:tab/>
      </w:r>
      <w:r w:rsidRPr="00CA2751">
        <w:rPr>
          <w:sz w:val="28"/>
          <w:szCs w:val="28"/>
        </w:rPr>
        <w:t xml:space="preserve">D C Mpofu SC </w:t>
      </w:r>
      <w:r w:rsidR="00347AF6" w:rsidRPr="00CA2751">
        <w:rPr>
          <w:sz w:val="28"/>
          <w:szCs w:val="28"/>
        </w:rPr>
        <w:t>(</w:t>
      </w:r>
      <w:r w:rsidRPr="00CA2751">
        <w:rPr>
          <w:sz w:val="28"/>
          <w:szCs w:val="28"/>
        </w:rPr>
        <w:t xml:space="preserve">with </w:t>
      </w:r>
      <w:r w:rsidR="00DC6330" w:rsidRPr="00CA2751">
        <w:rPr>
          <w:sz w:val="28"/>
          <w:szCs w:val="28"/>
        </w:rPr>
        <w:t>M ka-Siboto</w:t>
      </w:r>
      <w:r w:rsidR="00347AF6" w:rsidRPr="00CA2751">
        <w:rPr>
          <w:sz w:val="28"/>
          <w:szCs w:val="28"/>
        </w:rPr>
        <w:t>)</w:t>
      </w:r>
    </w:p>
    <w:p w14:paraId="4794F138" w14:textId="77777777" w:rsidR="005B577A" w:rsidRPr="00CA2751" w:rsidRDefault="005B577A" w:rsidP="005B577A">
      <w:pPr>
        <w:rPr>
          <w:bCs/>
          <w:sz w:val="28"/>
          <w:szCs w:val="28"/>
        </w:rPr>
      </w:pPr>
      <w:r w:rsidRPr="00CA2751">
        <w:rPr>
          <w:bCs/>
          <w:sz w:val="28"/>
          <w:szCs w:val="28"/>
        </w:rPr>
        <w:t>Instructed by:</w:t>
      </w:r>
      <w:r w:rsidRPr="00CA2751">
        <w:rPr>
          <w:bCs/>
          <w:sz w:val="28"/>
          <w:szCs w:val="28"/>
        </w:rPr>
        <w:tab/>
      </w:r>
      <w:r w:rsidRPr="00CA2751">
        <w:rPr>
          <w:bCs/>
          <w:sz w:val="28"/>
          <w:szCs w:val="28"/>
        </w:rPr>
        <w:tab/>
      </w:r>
      <w:r w:rsidRPr="00CA2751">
        <w:rPr>
          <w:bCs/>
          <w:sz w:val="28"/>
          <w:szCs w:val="28"/>
        </w:rPr>
        <w:tab/>
        <w:t xml:space="preserve">Mabuza Attorneys, </w:t>
      </w:r>
      <w:r w:rsidR="00DC6330" w:rsidRPr="00CA2751">
        <w:rPr>
          <w:bCs/>
          <w:sz w:val="28"/>
          <w:szCs w:val="28"/>
        </w:rPr>
        <w:t>Johannesburg</w:t>
      </w:r>
    </w:p>
    <w:p w14:paraId="37F6C4F7" w14:textId="0B0FE48D" w:rsidR="005B577A" w:rsidRPr="00147C93" w:rsidRDefault="005B577A" w:rsidP="005B577A">
      <w:pPr>
        <w:tabs>
          <w:tab w:val="left" w:pos="3600"/>
        </w:tabs>
        <w:rPr>
          <w:bCs/>
          <w:sz w:val="28"/>
          <w:szCs w:val="28"/>
        </w:rPr>
      </w:pPr>
      <w:r w:rsidRPr="00CA2751">
        <w:rPr>
          <w:bCs/>
          <w:sz w:val="28"/>
          <w:szCs w:val="28"/>
        </w:rPr>
        <w:t xml:space="preserve">                                                   Matsepes Inc, Bloemfontein</w:t>
      </w:r>
    </w:p>
    <w:p w14:paraId="56BAEAB0" w14:textId="77777777" w:rsidR="005B577A" w:rsidRPr="00147C93" w:rsidRDefault="005B577A" w:rsidP="005B577A">
      <w:pPr>
        <w:rPr>
          <w:sz w:val="28"/>
          <w:szCs w:val="28"/>
        </w:rPr>
      </w:pPr>
      <w:r w:rsidRPr="00147C93">
        <w:rPr>
          <w:sz w:val="28"/>
          <w:szCs w:val="28"/>
        </w:rPr>
        <w:tab/>
      </w:r>
    </w:p>
    <w:p w14:paraId="5BCA4571" w14:textId="77777777" w:rsidR="00B7572A" w:rsidRPr="00147C93" w:rsidRDefault="00B7572A"/>
    <w:sectPr w:rsidR="00B7572A" w:rsidRPr="00147C93" w:rsidSect="0003193E">
      <w:headerReference w:type="even" r:id="rId9"/>
      <w:head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BC47" w14:textId="77777777" w:rsidR="0063181A" w:rsidRDefault="0063181A" w:rsidP="005B577A">
      <w:pPr>
        <w:spacing w:line="240" w:lineRule="auto"/>
      </w:pPr>
      <w:r>
        <w:separator/>
      </w:r>
    </w:p>
  </w:endnote>
  <w:endnote w:type="continuationSeparator" w:id="0">
    <w:p w14:paraId="7275CBBB" w14:textId="77777777" w:rsidR="0063181A" w:rsidRDefault="0063181A" w:rsidP="005B5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7EB7" w14:textId="77777777" w:rsidR="0063181A" w:rsidRDefault="0063181A" w:rsidP="005B577A">
      <w:pPr>
        <w:spacing w:line="240" w:lineRule="auto"/>
      </w:pPr>
      <w:r>
        <w:separator/>
      </w:r>
    </w:p>
  </w:footnote>
  <w:footnote w:type="continuationSeparator" w:id="0">
    <w:p w14:paraId="1F11C117" w14:textId="77777777" w:rsidR="0063181A" w:rsidRDefault="0063181A" w:rsidP="005B577A">
      <w:pPr>
        <w:spacing w:line="240" w:lineRule="auto"/>
      </w:pPr>
      <w:r>
        <w:continuationSeparator/>
      </w:r>
    </w:p>
  </w:footnote>
  <w:footnote w:id="1">
    <w:p w14:paraId="67DDCA31" w14:textId="4254B8E4" w:rsidR="00E97839" w:rsidRPr="00BC5938" w:rsidRDefault="00E97839" w:rsidP="00A65DEE">
      <w:pPr>
        <w:pStyle w:val="FootnoteText"/>
        <w:spacing w:line="240" w:lineRule="auto"/>
        <w:rPr>
          <w:lang w:val="en-US"/>
        </w:rPr>
      </w:pPr>
      <w:r>
        <w:rPr>
          <w:rStyle w:val="FootnoteReference"/>
        </w:rPr>
        <w:footnoteRef/>
      </w:r>
      <w:r>
        <w:t xml:space="preserve"> In terms of s 1 of </w:t>
      </w:r>
      <w:r w:rsidR="00DA3E53">
        <w:t xml:space="preserve">the </w:t>
      </w:r>
      <w:r>
        <w:rPr>
          <w:lang w:val="en-US"/>
        </w:rPr>
        <w:t>Mineral and Petroleum Resources Development Act 28 of 2002 (MPRDA)</w:t>
      </w:r>
      <w:r>
        <w:t xml:space="preserve"> the term ‘m</w:t>
      </w:r>
      <w:r>
        <w:rPr>
          <w:lang w:val="en-US"/>
        </w:rPr>
        <w:t>ine’ when used as verb is defined as ‘any operation or activity incidental thereto, in, on or under the relevant mining area’.</w:t>
      </w:r>
    </w:p>
  </w:footnote>
  <w:footnote w:id="2">
    <w:p w14:paraId="42A2AF37" w14:textId="77777777" w:rsidR="00E97839" w:rsidRDefault="00E97839" w:rsidP="00A65DEE">
      <w:pPr>
        <w:pStyle w:val="FootnoteText"/>
        <w:spacing w:line="240" w:lineRule="auto"/>
      </w:pPr>
      <w:r>
        <w:rPr>
          <w:rStyle w:val="FootnoteReference"/>
        </w:rPr>
        <w:footnoteRef/>
      </w:r>
      <w:r>
        <w:t xml:space="preserve"> ‘prospecting’ – ‘means intentionally searching for any mineral by means of any method – </w:t>
      </w:r>
    </w:p>
    <w:p w14:paraId="76289CA8" w14:textId="77777777" w:rsidR="00E97839" w:rsidRDefault="00E97839" w:rsidP="00A65DEE">
      <w:pPr>
        <w:pStyle w:val="FootnoteText"/>
        <w:spacing w:line="240" w:lineRule="auto"/>
      </w:pPr>
      <w:r>
        <w:rPr>
          <w:i/>
        </w:rPr>
        <w:t xml:space="preserve">(a) </w:t>
      </w:r>
      <w:r>
        <w:t>which disturbs the surface or subsurface of the earth, including any portion of the earth that is under the sea or under other water; or</w:t>
      </w:r>
    </w:p>
    <w:p w14:paraId="0F0EC468" w14:textId="77777777" w:rsidR="00E97839" w:rsidRDefault="00E97839" w:rsidP="00A65DEE">
      <w:pPr>
        <w:pStyle w:val="FootnoteText"/>
        <w:spacing w:line="240" w:lineRule="auto"/>
      </w:pPr>
      <w:r>
        <w:rPr>
          <w:i/>
        </w:rPr>
        <w:t xml:space="preserve">(b) </w:t>
      </w:r>
      <w:r>
        <w:t>in or on any residue stockpile or residue deposit, in order to establish the existence of any mineral and to determine the extent and economy value thereof; or</w:t>
      </w:r>
    </w:p>
    <w:p w14:paraId="4491887F" w14:textId="18AF9E6C" w:rsidR="00E97839" w:rsidRPr="00BC5938" w:rsidRDefault="00E97839" w:rsidP="00A65DEE">
      <w:pPr>
        <w:pStyle w:val="FootnoteText"/>
        <w:spacing w:line="240" w:lineRule="auto"/>
        <w:rPr>
          <w:lang w:val="en-US"/>
        </w:rPr>
      </w:pPr>
      <w:r>
        <w:rPr>
          <w:i/>
        </w:rPr>
        <w:t xml:space="preserve">(c) </w:t>
      </w:r>
      <w:r>
        <w:t>in the sea or other water on land.</w:t>
      </w:r>
      <w:r w:rsidR="00DA3E53">
        <w:t>’</w:t>
      </w:r>
      <w:r>
        <w:t xml:space="preserve"> </w:t>
      </w:r>
      <w:r w:rsidRPr="00CA2751">
        <w:t>(s 1 of the MPRDA)</w:t>
      </w:r>
    </w:p>
  </w:footnote>
  <w:footnote w:id="3">
    <w:p w14:paraId="1E2E4B40" w14:textId="77777777" w:rsidR="00E97839" w:rsidRDefault="00E97839" w:rsidP="00A65DEE">
      <w:pPr>
        <w:tabs>
          <w:tab w:val="left" w:pos="0"/>
        </w:tabs>
        <w:spacing w:line="240" w:lineRule="auto"/>
        <w:rPr>
          <w:sz w:val="20"/>
          <w:szCs w:val="20"/>
        </w:rPr>
      </w:pPr>
      <w:r w:rsidRPr="007A4D96">
        <w:rPr>
          <w:rStyle w:val="FootnoteReference"/>
          <w:sz w:val="20"/>
          <w:szCs w:val="20"/>
        </w:rPr>
        <w:footnoteRef/>
      </w:r>
      <w:r w:rsidRPr="007A4D96">
        <w:rPr>
          <w:sz w:val="20"/>
          <w:szCs w:val="20"/>
        </w:rPr>
        <w:t xml:space="preserve"> Section 20 provides</w:t>
      </w:r>
      <w:r>
        <w:rPr>
          <w:sz w:val="20"/>
          <w:szCs w:val="20"/>
        </w:rPr>
        <w:t>:</w:t>
      </w:r>
    </w:p>
    <w:p w14:paraId="7BA3CDED" w14:textId="26E7A228" w:rsidR="00384602" w:rsidRPr="007A4D96" w:rsidRDefault="00E97839" w:rsidP="00A65DEE">
      <w:pPr>
        <w:tabs>
          <w:tab w:val="left" w:pos="0"/>
        </w:tabs>
        <w:spacing w:line="240" w:lineRule="auto"/>
        <w:rPr>
          <w:sz w:val="20"/>
          <w:szCs w:val="20"/>
          <w:lang w:val="en-US"/>
        </w:rPr>
      </w:pPr>
      <w:r>
        <w:rPr>
          <w:sz w:val="20"/>
          <w:szCs w:val="20"/>
        </w:rPr>
        <w:t>‘</w:t>
      </w:r>
      <w:r w:rsidRPr="007A4D96">
        <w:rPr>
          <w:sz w:val="20"/>
          <w:szCs w:val="20"/>
          <w:lang w:val="en-US"/>
        </w:rPr>
        <w:t>(1) Subject to subsection (2), the holder of a prospecting right may only remove and dispose for his or her own account any mineral found by such holder in the course of prospecting operations conducted pursuant to such prospecting right in such quantities as may be required to conduct tests on it or to identify or analyse it.</w:t>
      </w:r>
    </w:p>
    <w:p w14:paraId="1AFD3C4F" w14:textId="270A7908" w:rsidR="00E97839" w:rsidRPr="00BC5938" w:rsidRDefault="00E97839" w:rsidP="00A65DEE">
      <w:pPr>
        <w:pStyle w:val="FootnoteText"/>
        <w:spacing w:line="240" w:lineRule="auto"/>
        <w:rPr>
          <w:lang w:val="en-US"/>
        </w:rPr>
      </w:pPr>
      <w:r w:rsidRPr="00132CF4">
        <w:t xml:space="preserve">(2) The holder of a prospecting right must obtain the Minister’s written permission to remove and dispose for such holder’s own account </w:t>
      </w:r>
      <w:r w:rsidR="00EF275E" w:rsidRPr="00132CF4">
        <w:t xml:space="preserve">of diamonds </w:t>
      </w:r>
      <w:r w:rsidRPr="00132CF4">
        <w:t xml:space="preserve">and bulk samples of any </w:t>
      </w:r>
      <w:r w:rsidR="00543166">
        <w:t xml:space="preserve">other </w:t>
      </w:r>
      <w:r w:rsidRPr="00132CF4">
        <w:t>minerals found by such holder in the course of prospecting operations.’</w:t>
      </w:r>
    </w:p>
  </w:footnote>
  <w:footnote w:id="4">
    <w:p w14:paraId="7FFF5114" w14:textId="55B0F9EC" w:rsidR="00E97839" w:rsidRPr="00C159B7" w:rsidRDefault="00E97839" w:rsidP="00A65DEE">
      <w:pPr>
        <w:pStyle w:val="FootnoteText"/>
        <w:spacing w:line="240" w:lineRule="auto"/>
        <w:rPr>
          <w:lang w:val="en-US"/>
        </w:rPr>
      </w:pPr>
      <w:r>
        <w:rPr>
          <w:rStyle w:val="FootnoteReference"/>
        </w:rPr>
        <w:footnoteRef/>
      </w:r>
      <w:r>
        <w:t xml:space="preserve"> R</w:t>
      </w:r>
      <w:r w:rsidRPr="00C159B7">
        <w:t xml:space="preserve">elying on </w:t>
      </w:r>
      <w:r w:rsidRPr="00C159B7">
        <w:rPr>
          <w:i/>
        </w:rPr>
        <w:t>R</w:t>
      </w:r>
      <w:r>
        <w:rPr>
          <w:i/>
        </w:rPr>
        <w:t xml:space="preserve"> </w:t>
      </w:r>
      <w:r w:rsidRPr="00C159B7">
        <w:rPr>
          <w:i/>
        </w:rPr>
        <w:t>v Keyser</w:t>
      </w:r>
      <w:r>
        <w:rPr>
          <w:i/>
        </w:rPr>
        <w:t xml:space="preserve"> </w:t>
      </w:r>
      <w:r w:rsidRPr="002A04A4">
        <w:t>1951</w:t>
      </w:r>
      <w:r>
        <w:t xml:space="preserve"> (1) SA 512 (A) at 518E-F endorsed in </w:t>
      </w:r>
      <w:r w:rsidRPr="009E5B0B">
        <w:rPr>
          <w:i/>
        </w:rPr>
        <w:t xml:space="preserve">Matjhabeng </w:t>
      </w:r>
      <w:r>
        <w:rPr>
          <w:i/>
        </w:rPr>
        <w:t xml:space="preserve">Local </w:t>
      </w:r>
      <w:r w:rsidRPr="009E5B0B">
        <w:rPr>
          <w:i/>
        </w:rPr>
        <w:t>Municipality v Eskom Holdings Limited and Others; Mkhonto and Others v Compensation Solutions (Pty) L</w:t>
      </w:r>
      <w:r>
        <w:rPr>
          <w:i/>
        </w:rPr>
        <w:t>imi</w:t>
      </w:r>
      <w:r w:rsidRPr="009E5B0B">
        <w:rPr>
          <w:i/>
        </w:rPr>
        <w:t>t</w:t>
      </w:r>
      <w:r>
        <w:rPr>
          <w:i/>
        </w:rPr>
        <w:t>e</w:t>
      </w:r>
      <w:r w:rsidRPr="009E5B0B">
        <w:rPr>
          <w:i/>
        </w:rPr>
        <w:t>d</w:t>
      </w:r>
      <w:r>
        <w:t xml:space="preserve"> </w:t>
      </w:r>
      <w:r w:rsidRPr="006A572F">
        <w:t xml:space="preserve">[2017] ZACC 35; </w:t>
      </w:r>
      <w:r>
        <w:t xml:space="preserve">2018 (1) SA 1 (CC) para 79. </w:t>
      </w:r>
    </w:p>
  </w:footnote>
  <w:footnote w:id="5">
    <w:p w14:paraId="59FFCBCE" w14:textId="525BC702" w:rsidR="004429F9" w:rsidRPr="004429F9" w:rsidRDefault="004429F9" w:rsidP="00132CF4">
      <w:pPr>
        <w:pStyle w:val="FootnoteText"/>
        <w:spacing w:line="240" w:lineRule="auto"/>
        <w:rPr>
          <w:lang w:val="en-US"/>
        </w:rPr>
      </w:pPr>
      <w:r w:rsidRPr="00132CF4">
        <w:rPr>
          <w:rStyle w:val="FootnoteReference"/>
        </w:rPr>
        <w:footnoteRef/>
      </w:r>
      <w:r w:rsidRPr="00132CF4">
        <w:t xml:space="preserve"> </w:t>
      </w:r>
      <w:r w:rsidRPr="00132CF4">
        <w:rPr>
          <w:lang w:val="en-US"/>
        </w:rPr>
        <w:t xml:space="preserve">Currently known as Department of Forestry, Fisheries and the Environment. </w:t>
      </w:r>
    </w:p>
  </w:footnote>
  <w:footnote w:id="6">
    <w:p w14:paraId="00D656D1" w14:textId="53531561" w:rsidR="00E97839" w:rsidRPr="00952C40" w:rsidRDefault="00E97839" w:rsidP="00A65DEE">
      <w:pPr>
        <w:pStyle w:val="FootnoteText"/>
        <w:spacing w:line="240" w:lineRule="auto"/>
        <w:rPr>
          <w:lang w:val="en-US"/>
        </w:rPr>
      </w:pPr>
      <w:r>
        <w:rPr>
          <w:rStyle w:val="FootnoteReference"/>
        </w:rPr>
        <w:footnoteRef/>
      </w:r>
      <w:r>
        <w:t xml:space="preserve"> </w:t>
      </w:r>
      <w:r w:rsidRPr="00952C40">
        <w:rPr>
          <w:i/>
        </w:rPr>
        <w:t>S v Abrahams</w:t>
      </w:r>
      <w:r w:rsidR="000A63A7">
        <w:rPr>
          <w:i/>
        </w:rPr>
        <w:t xml:space="preserve"> </w:t>
      </w:r>
      <w:r w:rsidRPr="00952C40">
        <w:t>1983 (1) SA 137 (A) at 146F-H</w:t>
      </w:r>
      <w:r>
        <w:t>.</w:t>
      </w:r>
    </w:p>
  </w:footnote>
  <w:footnote w:id="7">
    <w:p w14:paraId="39CD4ECB" w14:textId="57616C4B" w:rsidR="00E97839" w:rsidRPr="00184788" w:rsidRDefault="00E97839" w:rsidP="00A65DEE">
      <w:pPr>
        <w:pStyle w:val="FootnoteText"/>
        <w:spacing w:line="240" w:lineRule="auto"/>
        <w:rPr>
          <w:lang w:val="en-US"/>
        </w:rPr>
      </w:pPr>
      <w:r w:rsidRPr="007D3DBE">
        <w:rPr>
          <w:rStyle w:val="FootnoteReference"/>
        </w:rPr>
        <w:footnoteRef/>
      </w:r>
      <w:r w:rsidRPr="007D3DBE">
        <w:t xml:space="preserve"> </w:t>
      </w:r>
      <w:r w:rsidRPr="007D3DBE">
        <w:rPr>
          <w:i/>
          <w:lang w:val="en-ZA"/>
        </w:rPr>
        <w:t>Fakie NO v CCII Systems (Pty) Ltd</w:t>
      </w:r>
      <w:r w:rsidRPr="007D3DBE">
        <w:rPr>
          <w:lang w:val="en-ZA"/>
        </w:rPr>
        <w:t xml:space="preserve"> [2006] ZASCA 52; 2006 (4) SA 326 (SCA)</w:t>
      </w:r>
      <w:r w:rsidRPr="007D3DBE">
        <w:rPr>
          <w:lang w:val="en-US"/>
        </w:rPr>
        <w:t xml:space="preserve"> para 42</w:t>
      </w:r>
      <w:r w:rsidRPr="00281621">
        <w:rPr>
          <w:lang w:val="en-US"/>
        </w:rPr>
        <w:t>.</w:t>
      </w:r>
    </w:p>
  </w:footnote>
  <w:footnote w:id="8">
    <w:p w14:paraId="14548470" w14:textId="5B673902" w:rsidR="00694614" w:rsidRPr="007F7178" w:rsidRDefault="00694614" w:rsidP="00132CF4">
      <w:pPr>
        <w:pStyle w:val="FootnoteText"/>
        <w:spacing w:line="240" w:lineRule="auto"/>
        <w:rPr>
          <w:lang w:val="en-US"/>
        </w:rPr>
      </w:pPr>
      <w:r w:rsidRPr="00853329">
        <w:rPr>
          <w:rStyle w:val="FootnoteReference"/>
        </w:rPr>
        <w:footnoteRef/>
      </w:r>
      <w:r w:rsidRPr="00853329">
        <w:t xml:space="preserve"> </w:t>
      </w:r>
      <w:r w:rsidR="009C6603" w:rsidRPr="00952C40">
        <w:rPr>
          <w:i/>
        </w:rPr>
        <w:t>S v Abrahams</w:t>
      </w:r>
      <w:r w:rsidR="009C6603">
        <w:rPr>
          <w:i/>
        </w:rPr>
        <w:t xml:space="preserve"> </w:t>
      </w:r>
      <w:r w:rsidR="009C6603" w:rsidRPr="00952C40">
        <w:t>1983 (1) SA 137 (A) at 146F-H</w:t>
      </w:r>
      <w:r w:rsidR="009C6603">
        <w:rPr>
          <w:i/>
        </w:rPr>
        <w:t>.</w:t>
      </w:r>
    </w:p>
  </w:footnote>
  <w:footnote w:id="9">
    <w:p w14:paraId="09696E98" w14:textId="4745E2A9" w:rsidR="00694614" w:rsidRPr="00281621" w:rsidRDefault="00694614" w:rsidP="00C75493">
      <w:pPr>
        <w:pStyle w:val="FootnoteText"/>
        <w:spacing w:line="240" w:lineRule="auto"/>
        <w:rPr>
          <w:lang w:val="en-US"/>
        </w:rPr>
      </w:pPr>
      <w:r w:rsidRPr="00281621">
        <w:rPr>
          <w:rStyle w:val="FootnoteReference"/>
        </w:rPr>
        <w:footnoteRef/>
      </w:r>
      <w:r w:rsidRPr="00281621">
        <w:rPr>
          <w:lang w:val="en-US"/>
        </w:rPr>
        <w:t xml:space="preserve"> </w:t>
      </w:r>
      <w:r w:rsidR="00246C5E" w:rsidRPr="00B975C2">
        <w:rPr>
          <w:i/>
        </w:rPr>
        <w:t>A</w:t>
      </w:r>
      <w:r w:rsidR="00246C5E" w:rsidRPr="00281621">
        <w:rPr>
          <w:i/>
        </w:rPr>
        <w:t>brahams</w:t>
      </w:r>
      <w:r w:rsidR="00246C5E">
        <w:rPr>
          <w:lang w:val="en-US"/>
        </w:rPr>
        <w:t xml:space="preserve"> fn </w:t>
      </w:r>
      <w:r w:rsidR="001700B9">
        <w:rPr>
          <w:lang w:val="en-US"/>
        </w:rPr>
        <w:t>8</w:t>
      </w:r>
      <w:r w:rsidR="00246C5E">
        <w:rPr>
          <w:lang w:val="en-US"/>
        </w:rPr>
        <w:t xml:space="preserve"> above</w:t>
      </w:r>
      <w:r w:rsidR="00656DF3" w:rsidRPr="00281621">
        <w:rPr>
          <w:lang w:val="en-US"/>
        </w:rPr>
        <w:t xml:space="preserve"> </w:t>
      </w:r>
      <w:r w:rsidR="00A52A3C" w:rsidRPr="00281621">
        <w:rPr>
          <w:lang w:val="en-US"/>
        </w:rPr>
        <w:t>at 146</w:t>
      </w:r>
      <w:r w:rsidR="00E41DF9" w:rsidRPr="00281621">
        <w:rPr>
          <w:lang w:val="en-US"/>
        </w:rPr>
        <w:t xml:space="preserve"> D</w:t>
      </w:r>
      <w:r w:rsidR="00A52A3C" w:rsidRPr="00281621">
        <w:rPr>
          <w:lang w:val="en-US"/>
        </w:rPr>
        <w:t>-H</w:t>
      </w:r>
      <w:r w:rsidRPr="00281621">
        <w:rPr>
          <w:lang w:val="en-US"/>
        </w:rPr>
        <w:t xml:space="preserve">. </w:t>
      </w:r>
    </w:p>
  </w:footnote>
  <w:footnote w:id="10">
    <w:p w14:paraId="2CC46FA6" w14:textId="562558BF" w:rsidR="00694614" w:rsidRPr="00325BD4" w:rsidRDefault="00694614" w:rsidP="00C75493">
      <w:pPr>
        <w:pStyle w:val="FootnoteText"/>
        <w:spacing w:line="240" w:lineRule="auto"/>
        <w:rPr>
          <w:lang w:val="en-US"/>
        </w:rPr>
      </w:pPr>
      <w:r w:rsidRPr="00281621">
        <w:rPr>
          <w:rStyle w:val="FootnoteReference"/>
        </w:rPr>
        <w:footnoteRef/>
      </w:r>
      <w:r w:rsidRPr="00281621">
        <w:t xml:space="preserve"> </w:t>
      </w:r>
      <w:r w:rsidRPr="00281621">
        <w:rPr>
          <w:i/>
        </w:rPr>
        <w:t>R v M</w:t>
      </w:r>
      <w:r w:rsidR="00246C5E">
        <w:rPr>
          <w:i/>
        </w:rPr>
        <w:t>e</w:t>
      </w:r>
      <w:r w:rsidRPr="00281621">
        <w:rPr>
          <w:i/>
        </w:rPr>
        <w:t>ischke’s (Pty) Ltd and Another</w:t>
      </w:r>
      <w:r w:rsidRPr="00281621">
        <w:t xml:space="preserve"> 1948 (3) SA 704 (A)</w:t>
      </w:r>
      <w:r w:rsidR="00A52A3C" w:rsidRPr="00281621">
        <w:t xml:space="preserve"> at 711</w:t>
      </w:r>
      <w:r w:rsidRPr="00281621">
        <w:t>.</w:t>
      </w:r>
      <w:r>
        <w:t xml:space="preserve"> </w:t>
      </w:r>
    </w:p>
  </w:footnote>
  <w:footnote w:id="11">
    <w:p w14:paraId="06FBF026" w14:textId="18857351" w:rsidR="00694614" w:rsidRPr="000A63A7" w:rsidRDefault="00694614" w:rsidP="00132CF4">
      <w:pPr>
        <w:pStyle w:val="FootnoteText"/>
        <w:spacing w:line="240" w:lineRule="auto"/>
        <w:rPr>
          <w:lang w:val="en-US"/>
        </w:rPr>
      </w:pPr>
      <w:r w:rsidRPr="00B975C2">
        <w:rPr>
          <w:rStyle w:val="FootnoteReference"/>
        </w:rPr>
        <w:footnoteRef/>
      </w:r>
      <w:r w:rsidRPr="00B975C2">
        <w:t xml:space="preserve"> </w:t>
      </w:r>
      <w:r w:rsidRPr="00B975C2">
        <w:rPr>
          <w:i/>
        </w:rPr>
        <w:t>A</w:t>
      </w:r>
      <w:r w:rsidRPr="00281621">
        <w:rPr>
          <w:i/>
        </w:rPr>
        <w:t>brahams</w:t>
      </w:r>
      <w:r w:rsidRPr="00281621">
        <w:t xml:space="preserve"> fn </w:t>
      </w:r>
      <w:r w:rsidR="001700B9">
        <w:t>8</w:t>
      </w:r>
      <w:r w:rsidRPr="00281621">
        <w:t xml:space="preserve"> above at 147G.</w:t>
      </w:r>
    </w:p>
  </w:footnote>
  <w:footnote w:id="12">
    <w:p w14:paraId="0A38A82A" w14:textId="3A65726E" w:rsidR="00694614" w:rsidRPr="00337A0A" w:rsidRDefault="00694614" w:rsidP="00694614">
      <w:pPr>
        <w:pStyle w:val="FootnoteText"/>
        <w:spacing w:line="240" w:lineRule="auto"/>
        <w:rPr>
          <w:lang w:val="en-ZA"/>
        </w:rPr>
      </w:pPr>
      <w:r>
        <w:rPr>
          <w:rStyle w:val="FootnoteReference"/>
        </w:rPr>
        <w:footnoteRef/>
      </w:r>
      <w:r>
        <w:t xml:space="preserve"> </w:t>
      </w:r>
      <w:r w:rsidR="00246C5E" w:rsidRPr="007D3DBE">
        <w:rPr>
          <w:i/>
          <w:lang w:val="en-ZA"/>
        </w:rPr>
        <w:t>Fakie NO v CCII Systems (Pty) Ltd</w:t>
      </w:r>
      <w:r w:rsidR="00246C5E" w:rsidRPr="007D3DBE">
        <w:rPr>
          <w:lang w:val="en-ZA"/>
        </w:rPr>
        <w:t xml:space="preserve"> [2006] ZASCA 52; 2006 (4) SA 326 (SCA)</w:t>
      </w:r>
      <w:r w:rsidR="00246C5E" w:rsidRPr="007D3DBE">
        <w:rPr>
          <w:lang w:val="en-US"/>
        </w:rPr>
        <w:t xml:space="preserve"> </w:t>
      </w:r>
      <w:r w:rsidRPr="00281621">
        <w:rPr>
          <w:lang w:val="en-US"/>
        </w:rPr>
        <w:t>paras 9</w:t>
      </w:r>
      <w:r w:rsidR="001E5252">
        <w:rPr>
          <w:lang w:val="en-US"/>
        </w:rPr>
        <w:t xml:space="preserve"> and 1</w:t>
      </w:r>
      <w:r w:rsidRPr="00281621">
        <w:rPr>
          <w:lang w:val="en-US"/>
        </w:rPr>
        <w:t>0</w:t>
      </w:r>
      <w:r w:rsidRPr="00853329">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C304" w14:textId="77777777" w:rsidR="00E97839" w:rsidRDefault="00E978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D48CB" w14:textId="77777777" w:rsidR="00E97839" w:rsidRDefault="00E9783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5BD1FAF2" w14:textId="0D7908FC" w:rsidR="00E97839" w:rsidRDefault="00E97839">
        <w:pPr>
          <w:pStyle w:val="Header"/>
          <w:jc w:val="right"/>
        </w:pPr>
        <w:r>
          <w:fldChar w:fldCharType="begin"/>
        </w:r>
        <w:r>
          <w:instrText xml:space="preserve"> PAGE   \* MERGEFORMAT </w:instrText>
        </w:r>
        <w:r>
          <w:fldChar w:fldCharType="separate"/>
        </w:r>
        <w:r w:rsidR="004E5F34">
          <w:rPr>
            <w:noProof/>
          </w:rPr>
          <w:t>2</w:t>
        </w:r>
        <w:r>
          <w:rPr>
            <w:noProof/>
          </w:rPr>
          <w:fldChar w:fldCharType="end"/>
        </w:r>
      </w:p>
    </w:sdtContent>
  </w:sdt>
  <w:p w14:paraId="21950303" w14:textId="77777777" w:rsidR="00E97839" w:rsidRDefault="00E97839">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03759650" w14:textId="77777777" w:rsidR="00E97839" w:rsidRDefault="0063181A">
        <w:pPr>
          <w:pStyle w:val="Header"/>
          <w:jc w:val="right"/>
        </w:pPr>
      </w:p>
    </w:sdtContent>
  </w:sdt>
  <w:p w14:paraId="511436A1" w14:textId="77777777" w:rsidR="00E97839" w:rsidRDefault="00E978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B63"/>
    <w:multiLevelType w:val="multilevel"/>
    <w:tmpl w:val="BF84C24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771682"/>
    <w:multiLevelType w:val="hybridMultilevel"/>
    <w:tmpl w:val="084CCEAC"/>
    <w:lvl w:ilvl="0" w:tplc="1D84925C">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E7929"/>
    <w:multiLevelType w:val="hybridMultilevel"/>
    <w:tmpl w:val="CDACD8AE"/>
    <w:lvl w:ilvl="0" w:tplc="4A448992">
      <w:start w:val="1"/>
      <w:numFmt w:val="decimal"/>
      <w:lvlText w:val="[%1]"/>
      <w:lvlJc w:val="left"/>
      <w:pPr>
        <w:ind w:left="99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53093"/>
    <w:multiLevelType w:val="hybridMultilevel"/>
    <w:tmpl w:val="C19C0414"/>
    <w:lvl w:ilvl="0" w:tplc="939C5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2MzMyNrMwsjQzMTJW0lEKTi0uzszPAykwrgUAqJQKLywAAAA="/>
    <w:docVar w:name="dgnword-docGUID" w:val="{B86A240E-A125-4FE5-93BD-32DF5D4C8C23}"/>
    <w:docVar w:name="dgnword-eventsink" w:val="2719237364752"/>
  </w:docVars>
  <w:rsids>
    <w:rsidRoot w:val="005B577A"/>
    <w:rsid w:val="0000000C"/>
    <w:rsid w:val="00000A41"/>
    <w:rsid w:val="00004D37"/>
    <w:rsid w:val="0001233F"/>
    <w:rsid w:val="00013092"/>
    <w:rsid w:val="00014B93"/>
    <w:rsid w:val="000168DE"/>
    <w:rsid w:val="00016D79"/>
    <w:rsid w:val="00021CAB"/>
    <w:rsid w:val="0002765A"/>
    <w:rsid w:val="0003193E"/>
    <w:rsid w:val="00031F27"/>
    <w:rsid w:val="00037FF7"/>
    <w:rsid w:val="00045823"/>
    <w:rsid w:val="00050148"/>
    <w:rsid w:val="00050B7A"/>
    <w:rsid w:val="000530CE"/>
    <w:rsid w:val="000601E0"/>
    <w:rsid w:val="00061154"/>
    <w:rsid w:val="0006607B"/>
    <w:rsid w:val="00067458"/>
    <w:rsid w:val="00067807"/>
    <w:rsid w:val="000712E2"/>
    <w:rsid w:val="00072CD0"/>
    <w:rsid w:val="00082E32"/>
    <w:rsid w:val="000A1694"/>
    <w:rsid w:val="000A63A7"/>
    <w:rsid w:val="000B1993"/>
    <w:rsid w:val="000C1849"/>
    <w:rsid w:val="000C562E"/>
    <w:rsid w:val="000C6133"/>
    <w:rsid w:val="000D6683"/>
    <w:rsid w:val="000E349F"/>
    <w:rsid w:val="000F17A0"/>
    <w:rsid w:val="000F2D23"/>
    <w:rsid w:val="000F3E04"/>
    <w:rsid w:val="000F4353"/>
    <w:rsid w:val="0010572B"/>
    <w:rsid w:val="00110D2B"/>
    <w:rsid w:val="00113225"/>
    <w:rsid w:val="00113822"/>
    <w:rsid w:val="00115F62"/>
    <w:rsid w:val="001207CA"/>
    <w:rsid w:val="00120D98"/>
    <w:rsid w:val="001249F3"/>
    <w:rsid w:val="00132CF4"/>
    <w:rsid w:val="00133D9B"/>
    <w:rsid w:val="001361B8"/>
    <w:rsid w:val="00136AB3"/>
    <w:rsid w:val="00137EA5"/>
    <w:rsid w:val="00141A3C"/>
    <w:rsid w:val="001422CC"/>
    <w:rsid w:val="0014261A"/>
    <w:rsid w:val="00147929"/>
    <w:rsid w:val="00147C93"/>
    <w:rsid w:val="001532C6"/>
    <w:rsid w:val="001700B9"/>
    <w:rsid w:val="0017114C"/>
    <w:rsid w:val="00173DA8"/>
    <w:rsid w:val="00177FAE"/>
    <w:rsid w:val="001806FC"/>
    <w:rsid w:val="00184788"/>
    <w:rsid w:val="001940D8"/>
    <w:rsid w:val="00196FE7"/>
    <w:rsid w:val="001A1E29"/>
    <w:rsid w:val="001A40EF"/>
    <w:rsid w:val="001A5994"/>
    <w:rsid w:val="001B1D83"/>
    <w:rsid w:val="001C0ED2"/>
    <w:rsid w:val="001C64AB"/>
    <w:rsid w:val="001C677E"/>
    <w:rsid w:val="001D11CD"/>
    <w:rsid w:val="001D2E7C"/>
    <w:rsid w:val="001D6316"/>
    <w:rsid w:val="001D7573"/>
    <w:rsid w:val="001E2EC4"/>
    <w:rsid w:val="001E5252"/>
    <w:rsid w:val="001E5CCD"/>
    <w:rsid w:val="001F04D4"/>
    <w:rsid w:val="001F6C8B"/>
    <w:rsid w:val="001F7F9E"/>
    <w:rsid w:val="002001F3"/>
    <w:rsid w:val="00200C6F"/>
    <w:rsid w:val="00203715"/>
    <w:rsid w:val="002052F2"/>
    <w:rsid w:val="002113FA"/>
    <w:rsid w:val="00213291"/>
    <w:rsid w:val="00222914"/>
    <w:rsid w:val="00227DA4"/>
    <w:rsid w:val="00237E6F"/>
    <w:rsid w:val="00244893"/>
    <w:rsid w:val="00246C5E"/>
    <w:rsid w:val="00254955"/>
    <w:rsid w:val="00256403"/>
    <w:rsid w:val="0026461D"/>
    <w:rsid w:val="0026633D"/>
    <w:rsid w:val="00266463"/>
    <w:rsid w:val="002701DD"/>
    <w:rsid w:val="00270252"/>
    <w:rsid w:val="002712C1"/>
    <w:rsid w:val="00271E85"/>
    <w:rsid w:val="00274CEC"/>
    <w:rsid w:val="002757A2"/>
    <w:rsid w:val="00281621"/>
    <w:rsid w:val="00283015"/>
    <w:rsid w:val="0029702F"/>
    <w:rsid w:val="002978A6"/>
    <w:rsid w:val="002A04A4"/>
    <w:rsid w:val="002A194E"/>
    <w:rsid w:val="002A2255"/>
    <w:rsid w:val="002A2D45"/>
    <w:rsid w:val="002A54AA"/>
    <w:rsid w:val="002A62CC"/>
    <w:rsid w:val="002A7C2A"/>
    <w:rsid w:val="002B52A0"/>
    <w:rsid w:val="002C403F"/>
    <w:rsid w:val="002C7045"/>
    <w:rsid w:val="002C7584"/>
    <w:rsid w:val="002D2084"/>
    <w:rsid w:val="002D2EC0"/>
    <w:rsid w:val="002D3C90"/>
    <w:rsid w:val="002D715B"/>
    <w:rsid w:val="002E1949"/>
    <w:rsid w:val="002E1B32"/>
    <w:rsid w:val="002E2144"/>
    <w:rsid w:val="002E3D4D"/>
    <w:rsid w:val="002F604E"/>
    <w:rsid w:val="00306174"/>
    <w:rsid w:val="00306FB4"/>
    <w:rsid w:val="003117DB"/>
    <w:rsid w:val="00311890"/>
    <w:rsid w:val="00317DE7"/>
    <w:rsid w:val="00320553"/>
    <w:rsid w:val="00325BD4"/>
    <w:rsid w:val="0032606A"/>
    <w:rsid w:val="00326DA2"/>
    <w:rsid w:val="003335C7"/>
    <w:rsid w:val="003354B3"/>
    <w:rsid w:val="00337A0A"/>
    <w:rsid w:val="00345018"/>
    <w:rsid w:val="00346FBB"/>
    <w:rsid w:val="00347AF6"/>
    <w:rsid w:val="003557FA"/>
    <w:rsid w:val="003573AE"/>
    <w:rsid w:val="00365843"/>
    <w:rsid w:val="00376BD3"/>
    <w:rsid w:val="00376F6E"/>
    <w:rsid w:val="0038090E"/>
    <w:rsid w:val="0038442F"/>
    <w:rsid w:val="00384602"/>
    <w:rsid w:val="00385270"/>
    <w:rsid w:val="003908A3"/>
    <w:rsid w:val="00392F38"/>
    <w:rsid w:val="00394569"/>
    <w:rsid w:val="00394752"/>
    <w:rsid w:val="0039719B"/>
    <w:rsid w:val="003B1BE3"/>
    <w:rsid w:val="003B337C"/>
    <w:rsid w:val="003B5217"/>
    <w:rsid w:val="003D2FBF"/>
    <w:rsid w:val="003D3B0C"/>
    <w:rsid w:val="003D6538"/>
    <w:rsid w:val="003E388E"/>
    <w:rsid w:val="003E432A"/>
    <w:rsid w:val="003F2E4F"/>
    <w:rsid w:val="003F39F3"/>
    <w:rsid w:val="003F49DC"/>
    <w:rsid w:val="00403508"/>
    <w:rsid w:val="00403D3E"/>
    <w:rsid w:val="00407299"/>
    <w:rsid w:val="004117EA"/>
    <w:rsid w:val="004119C1"/>
    <w:rsid w:val="00413303"/>
    <w:rsid w:val="00420BA5"/>
    <w:rsid w:val="004236E6"/>
    <w:rsid w:val="00423903"/>
    <w:rsid w:val="00425B6F"/>
    <w:rsid w:val="00434E76"/>
    <w:rsid w:val="004359D8"/>
    <w:rsid w:val="00437AB0"/>
    <w:rsid w:val="004429F9"/>
    <w:rsid w:val="00445439"/>
    <w:rsid w:val="0045031F"/>
    <w:rsid w:val="00453A91"/>
    <w:rsid w:val="00454F08"/>
    <w:rsid w:val="00455E3B"/>
    <w:rsid w:val="004606E5"/>
    <w:rsid w:val="00460FAD"/>
    <w:rsid w:val="00462209"/>
    <w:rsid w:val="00466438"/>
    <w:rsid w:val="004718AA"/>
    <w:rsid w:val="00483855"/>
    <w:rsid w:val="004878D1"/>
    <w:rsid w:val="00495359"/>
    <w:rsid w:val="004A0A4D"/>
    <w:rsid w:val="004A20F5"/>
    <w:rsid w:val="004A3920"/>
    <w:rsid w:val="004A6AE4"/>
    <w:rsid w:val="004B0FBD"/>
    <w:rsid w:val="004C098E"/>
    <w:rsid w:val="004C4054"/>
    <w:rsid w:val="004C6461"/>
    <w:rsid w:val="004D5EEB"/>
    <w:rsid w:val="004E291F"/>
    <w:rsid w:val="004E2FA2"/>
    <w:rsid w:val="004E5F34"/>
    <w:rsid w:val="004E7AD3"/>
    <w:rsid w:val="004F1DD6"/>
    <w:rsid w:val="00501D80"/>
    <w:rsid w:val="00503277"/>
    <w:rsid w:val="00507AA2"/>
    <w:rsid w:val="00511CE8"/>
    <w:rsid w:val="00512FF4"/>
    <w:rsid w:val="005168C8"/>
    <w:rsid w:val="00526797"/>
    <w:rsid w:val="00530630"/>
    <w:rsid w:val="00542B34"/>
    <w:rsid w:val="00543166"/>
    <w:rsid w:val="00547C06"/>
    <w:rsid w:val="00547DE7"/>
    <w:rsid w:val="0055146C"/>
    <w:rsid w:val="0055576F"/>
    <w:rsid w:val="00557BA0"/>
    <w:rsid w:val="00557D0A"/>
    <w:rsid w:val="005606F5"/>
    <w:rsid w:val="00560912"/>
    <w:rsid w:val="00561018"/>
    <w:rsid w:val="005710B0"/>
    <w:rsid w:val="00571FB4"/>
    <w:rsid w:val="00584067"/>
    <w:rsid w:val="00591954"/>
    <w:rsid w:val="005A405D"/>
    <w:rsid w:val="005B1A82"/>
    <w:rsid w:val="005B577A"/>
    <w:rsid w:val="005B6DAD"/>
    <w:rsid w:val="005B7C5E"/>
    <w:rsid w:val="005C2FE7"/>
    <w:rsid w:val="005C3179"/>
    <w:rsid w:val="005D00F2"/>
    <w:rsid w:val="005D0877"/>
    <w:rsid w:val="005D23DF"/>
    <w:rsid w:val="005D4B8F"/>
    <w:rsid w:val="005D4D83"/>
    <w:rsid w:val="005D55F5"/>
    <w:rsid w:val="005E4300"/>
    <w:rsid w:val="005E4C40"/>
    <w:rsid w:val="005F06A9"/>
    <w:rsid w:val="005F1BEA"/>
    <w:rsid w:val="005F2D18"/>
    <w:rsid w:val="005F7470"/>
    <w:rsid w:val="005F77B3"/>
    <w:rsid w:val="00602DFC"/>
    <w:rsid w:val="00612434"/>
    <w:rsid w:val="006168C4"/>
    <w:rsid w:val="00620F58"/>
    <w:rsid w:val="00624592"/>
    <w:rsid w:val="0063181A"/>
    <w:rsid w:val="00631F69"/>
    <w:rsid w:val="00634790"/>
    <w:rsid w:val="00636C75"/>
    <w:rsid w:val="006406BA"/>
    <w:rsid w:val="0064706E"/>
    <w:rsid w:val="00647527"/>
    <w:rsid w:val="00652D51"/>
    <w:rsid w:val="0065628B"/>
    <w:rsid w:val="00656DF3"/>
    <w:rsid w:val="00660F83"/>
    <w:rsid w:val="00667F44"/>
    <w:rsid w:val="006746B7"/>
    <w:rsid w:val="00676777"/>
    <w:rsid w:val="00680DF8"/>
    <w:rsid w:val="00681A2E"/>
    <w:rsid w:val="006829D5"/>
    <w:rsid w:val="00684A5A"/>
    <w:rsid w:val="006853F7"/>
    <w:rsid w:val="00690DFE"/>
    <w:rsid w:val="00694614"/>
    <w:rsid w:val="00695E9B"/>
    <w:rsid w:val="006A572F"/>
    <w:rsid w:val="006A5E47"/>
    <w:rsid w:val="006A7CD1"/>
    <w:rsid w:val="006B0EE5"/>
    <w:rsid w:val="006B38D9"/>
    <w:rsid w:val="006C18DD"/>
    <w:rsid w:val="006C4DE6"/>
    <w:rsid w:val="006D7AD6"/>
    <w:rsid w:val="006E2F44"/>
    <w:rsid w:val="006E5AAF"/>
    <w:rsid w:val="006F0F43"/>
    <w:rsid w:val="006F7986"/>
    <w:rsid w:val="00703094"/>
    <w:rsid w:val="007072B5"/>
    <w:rsid w:val="00712776"/>
    <w:rsid w:val="00713FE1"/>
    <w:rsid w:val="00722394"/>
    <w:rsid w:val="007277D8"/>
    <w:rsid w:val="007358D2"/>
    <w:rsid w:val="0073616C"/>
    <w:rsid w:val="00743107"/>
    <w:rsid w:val="0074462E"/>
    <w:rsid w:val="00760023"/>
    <w:rsid w:val="00772D70"/>
    <w:rsid w:val="0077417F"/>
    <w:rsid w:val="007745F4"/>
    <w:rsid w:val="007818EA"/>
    <w:rsid w:val="00785928"/>
    <w:rsid w:val="00790277"/>
    <w:rsid w:val="00790369"/>
    <w:rsid w:val="007A1319"/>
    <w:rsid w:val="007A4D96"/>
    <w:rsid w:val="007B1353"/>
    <w:rsid w:val="007B13C7"/>
    <w:rsid w:val="007B43EB"/>
    <w:rsid w:val="007C6396"/>
    <w:rsid w:val="007C74D1"/>
    <w:rsid w:val="007D3DBE"/>
    <w:rsid w:val="007E36AB"/>
    <w:rsid w:val="007F3408"/>
    <w:rsid w:val="007F3920"/>
    <w:rsid w:val="007F5ACC"/>
    <w:rsid w:val="007F7178"/>
    <w:rsid w:val="00802A81"/>
    <w:rsid w:val="00803022"/>
    <w:rsid w:val="00806125"/>
    <w:rsid w:val="00807874"/>
    <w:rsid w:val="008134D7"/>
    <w:rsid w:val="00817103"/>
    <w:rsid w:val="008226A6"/>
    <w:rsid w:val="0083038C"/>
    <w:rsid w:val="00833F23"/>
    <w:rsid w:val="0084769C"/>
    <w:rsid w:val="008528D1"/>
    <w:rsid w:val="008540E0"/>
    <w:rsid w:val="008661EE"/>
    <w:rsid w:val="00870997"/>
    <w:rsid w:val="008745B6"/>
    <w:rsid w:val="0089150F"/>
    <w:rsid w:val="00897322"/>
    <w:rsid w:val="008A65E0"/>
    <w:rsid w:val="008B08D4"/>
    <w:rsid w:val="008B6177"/>
    <w:rsid w:val="008C1D88"/>
    <w:rsid w:val="008C3257"/>
    <w:rsid w:val="008C4477"/>
    <w:rsid w:val="008C687D"/>
    <w:rsid w:val="008D62E6"/>
    <w:rsid w:val="008D7D66"/>
    <w:rsid w:val="008E10BC"/>
    <w:rsid w:val="008F0155"/>
    <w:rsid w:val="00903297"/>
    <w:rsid w:val="0090407E"/>
    <w:rsid w:val="009049D1"/>
    <w:rsid w:val="00907558"/>
    <w:rsid w:val="00912455"/>
    <w:rsid w:val="009156FB"/>
    <w:rsid w:val="00922D0B"/>
    <w:rsid w:val="0092720F"/>
    <w:rsid w:val="00927E7E"/>
    <w:rsid w:val="0093079A"/>
    <w:rsid w:val="00935629"/>
    <w:rsid w:val="00940C0A"/>
    <w:rsid w:val="00941161"/>
    <w:rsid w:val="00944725"/>
    <w:rsid w:val="00945342"/>
    <w:rsid w:val="00950544"/>
    <w:rsid w:val="00952C40"/>
    <w:rsid w:val="00954F61"/>
    <w:rsid w:val="00956882"/>
    <w:rsid w:val="00960D2A"/>
    <w:rsid w:val="0096457F"/>
    <w:rsid w:val="00964A9A"/>
    <w:rsid w:val="0096667D"/>
    <w:rsid w:val="009725C9"/>
    <w:rsid w:val="00976624"/>
    <w:rsid w:val="00987D64"/>
    <w:rsid w:val="00992097"/>
    <w:rsid w:val="00997992"/>
    <w:rsid w:val="009A05BF"/>
    <w:rsid w:val="009A25E1"/>
    <w:rsid w:val="009A30C9"/>
    <w:rsid w:val="009A330B"/>
    <w:rsid w:val="009A66DD"/>
    <w:rsid w:val="009B1456"/>
    <w:rsid w:val="009B6B99"/>
    <w:rsid w:val="009C6603"/>
    <w:rsid w:val="009C735D"/>
    <w:rsid w:val="009D6784"/>
    <w:rsid w:val="009D6EF5"/>
    <w:rsid w:val="009E5B0B"/>
    <w:rsid w:val="009E6838"/>
    <w:rsid w:val="00A00985"/>
    <w:rsid w:val="00A13177"/>
    <w:rsid w:val="00A1404C"/>
    <w:rsid w:val="00A1492A"/>
    <w:rsid w:val="00A24A7F"/>
    <w:rsid w:val="00A4241A"/>
    <w:rsid w:val="00A45C11"/>
    <w:rsid w:val="00A4607F"/>
    <w:rsid w:val="00A47551"/>
    <w:rsid w:val="00A52A3C"/>
    <w:rsid w:val="00A52E01"/>
    <w:rsid w:val="00A5530F"/>
    <w:rsid w:val="00A643AF"/>
    <w:rsid w:val="00A65DEE"/>
    <w:rsid w:val="00A6749C"/>
    <w:rsid w:val="00A70392"/>
    <w:rsid w:val="00A737FD"/>
    <w:rsid w:val="00A82C31"/>
    <w:rsid w:val="00A83351"/>
    <w:rsid w:val="00A842AC"/>
    <w:rsid w:val="00A861CA"/>
    <w:rsid w:val="00A93E41"/>
    <w:rsid w:val="00AB4BEE"/>
    <w:rsid w:val="00AB6890"/>
    <w:rsid w:val="00AB7E97"/>
    <w:rsid w:val="00AC3529"/>
    <w:rsid w:val="00AC45B2"/>
    <w:rsid w:val="00AD1A18"/>
    <w:rsid w:val="00AD6376"/>
    <w:rsid w:val="00AD7B0E"/>
    <w:rsid w:val="00AE324C"/>
    <w:rsid w:val="00AE483D"/>
    <w:rsid w:val="00AF0114"/>
    <w:rsid w:val="00AF0BCE"/>
    <w:rsid w:val="00B04074"/>
    <w:rsid w:val="00B071CB"/>
    <w:rsid w:val="00B11C12"/>
    <w:rsid w:val="00B152D7"/>
    <w:rsid w:val="00B174B0"/>
    <w:rsid w:val="00B17CE2"/>
    <w:rsid w:val="00B22077"/>
    <w:rsid w:val="00B22DD1"/>
    <w:rsid w:val="00B22F32"/>
    <w:rsid w:val="00B4058E"/>
    <w:rsid w:val="00B4314D"/>
    <w:rsid w:val="00B47C5F"/>
    <w:rsid w:val="00B51E2C"/>
    <w:rsid w:val="00B54CEB"/>
    <w:rsid w:val="00B56416"/>
    <w:rsid w:val="00B572AD"/>
    <w:rsid w:val="00B57C3B"/>
    <w:rsid w:val="00B622F0"/>
    <w:rsid w:val="00B63322"/>
    <w:rsid w:val="00B67F3C"/>
    <w:rsid w:val="00B70752"/>
    <w:rsid w:val="00B71B56"/>
    <w:rsid w:val="00B7508F"/>
    <w:rsid w:val="00B7572A"/>
    <w:rsid w:val="00B75B4B"/>
    <w:rsid w:val="00B76AC2"/>
    <w:rsid w:val="00B76C2B"/>
    <w:rsid w:val="00B864C5"/>
    <w:rsid w:val="00B96493"/>
    <w:rsid w:val="00BA13EB"/>
    <w:rsid w:val="00BA250C"/>
    <w:rsid w:val="00BC1142"/>
    <w:rsid w:val="00BC1235"/>
    <w:rsid w:val="00BC4194"/>
    <w:rsid w:val="00BC5938"/>
    <w:rsid w:val="00BC5DD5"/>
    <w:rsid w:val="00BD6EC7"/>
    <w:rsid w:val="00BE0170"/>
    <w:rsid w:val="00BE2813"/>
    <w:rsid w:val="00BE46FE"/>
    <w:rsid w:val="00BF16FC"/>
    <w:rsid w:val="00BF2BBD"/>
    <w:rsid w:val="00C074AD"/>
    <w:rsid w:val="00C1513E"/>
    <w:rsid w:val="00C159B7"/>
    <w:rsid w:val="00C174D9"/>
    <w:rsid w:val="00C2074D"/>
    <w:rsid w:val="00C25ECC"/>
    <w:rsid w:val="00C3230D"/>
    <w:rsid w:val="00C33A81"/>
    <w:rsid w:val="00C36C4B"/>
    <w:rsid w:val="00C42E27"/>
    <w:rsid w:val="00C47F96"/>
    <w:rsid w:val="00C61EF9"/>
    <w:rsid w:val="00C63F79"/>
    <w:rsid w:val="00C67829"/>
    <w:rsid w:val="00C726BC"/>
    <w:rsid w:val="00C75493"/>
    <w:rsid w:val="00C767C2"/>
    <w:rsid w:val="00C7680F"/>
    <w:rsid w:val="00C85734"/>
    <w:rsid w:val="00C91C4F"/>
    <w:rsid w:val="00CA00CD"/>
    <w:rsid w:val="00CA0943"/>
    <w:rsid w:val="00CA2751"/>
    <w:rsid w:val="00CA5EF9"/>
    <w:rsid w:val="00CC7C9A"/>
    <w:rsid w:val="00CD0373"/>
    <w:rsid w:val="00CD3D1B"/>
    <w:rsid w:val="00CE0C11"/>
    <w:rsid w:val="00CE0E80"/>
    <w:rsid w:val="00CE2F43"/>
    <w:rsid w:val="00CE40D7"/>
    <w:rsid w:val="00CE661E"/>
    <w:rsid w:val="00CF0180"/>
    <w:rsid w:val="00CF03C3"/>
    <w:rsid w:val="00CF07AA"/>
    <w:rsid w:val="00CF1FF9"/>
    <w:rsid w:val="00CF33C0"/>
    <w:rsid w:val="00CF79D3"/>
    <w:rsid w:val="00D0019E"/>
    <w:rsid w:val="00D014E2"/>
    <w:rsid w:val="00D02DBA"/>
    <w:rsid w:val="00D1540A"/>
    <w:rsid w:val="00D23288"/>
    <w:rsid w:val="00D232F4"/>
    <w:rsid w:val="00D254BA"/>
    <w:rsid w:val="00D255EB"/>
    <w:rsid w:val="00D269C6"/>
    <w:rsid w:val="00D4121E"/>
    <w:rsid w:val="00D525F0"/>
    <w:rsid w:val="00D53EDC"/>
    <w:rsid w:val="00D616F8"/>
    <w:rsid w:val="00D67697"/>
    <w:rsid w:val="00D71B96"/>
    <w:rsid w:val="00D77B92"/>
    <w:rsid w:val="00D87306"/>
    <w:rsid w:val="00D91DC2"/>
    <w:rsid w:val="00DA3E53"/>
    <w:rsid w:val="00DA4EB9"/>
    <w:rsid w:val="00DA544B"/>
    <w:rsid w:val="00DB3DDA"/>
    <w:rsid w:val="00DB466F"/>
    <w:rsid w:val="00DB63D7"/>
    <w:rsid w:val="00DB7C7F"/>
    <w:rsid w:val="00DC6330"/>
    <w:rsid w:val="00DD1CE0"/>
    <w:rsid w:val="00DD1CFD"/>
    <w:rsid w:val="00DE22DA"/>
    <w:rsid w:val="00DE753B"/>
    <w:rsid w:val="00DF0341"/>
    <w:rsid w:val="00E02867"/>
    <w:rsid w:val="00E068CD"/>
    <w:rsid w:val="00E07050"/>
    <w:rsid w:val="00E11D3B"/>
    <w:rsid w:val="00E17EAF"/>
    <w:rsid w:val="00E23F47"/>
    <w:rsid w:val="00E27147"/>
    <w:rsid w:val="00E33043"/>
    <w:rsid w:val="00E41DF9"/>
    <w:rsid w:val="00E42C07"/>
    <w:rsid w:val="00E43C3A"/>
    <w:rsid w:val="00E54A89"/>
    <w:rsid w:val="00E6276D"/>
    <w:rsid w:val="00E63275"/>
    <w:rsid w:val="00E6474E"/>
    <w:rsid w:val="00E70F71"/>
    <w:rsid w:val="00E73A5A"/>
    <w:rsid w:val="00E751E9"/>
    <w:rsid w:val="00E834C7"/>
    <w:rsid w:val="00E83F79"/>
    <w:rsid w:val="00E858B1"/>
    <w:rsid w:val="00E85E31"/>
    <w:rsid w:val="00E96C9A"/>
    <w:rsid w:val="00E97839"/>
    <w:rsid w:val="00EA17F1"/>
    <w:rsid w:val="00EB255F"/>
    <w:rsid w:val="00ED1FEB"/>
    <w:rsid w:val="00ED64A2"/>
    <w:rsid w:val="00ED681F"/>
    <w:rsid w:val="00EF0C04"/>
    <w:rsid w:val="00EF275E"/>
    <w:rsid w:val="00EF37FC"/>
    <w:rsid w:val="00EF3B88"/>
    <w:rsid w:val="00F03165"/>
    <w:rsid w:val="00F23BD3"/>
    <w:rsid w:val="00F32F81"/>
    <w:rsid w:val="00F33FBE"/>
    <w:rsid w:val="00F34F82"/>
    <w:rsid w:val="00F36CAC"/>
    <w:rsid w:val="00F3748B"/>
    <w:rsid w:val="00F42649"/>
    <w:rsid w:val="00F4305F"/>
    <w:rsid w:val="00F4335C"/>
    <w:rsid w:val="00F47EA1"/>
    <w:rsid w:val="00F66D68"/>
    <w:rsid w:val="00F71CEC"/>
    <w:rsid w:val="00F739C1"/>
    <w:rsid w:val="00F86F79"/>
    <w:rsid w:val="00F9014B"/>
    <w:rsid w:val="00F9033F"/>
    <w:rsid w:val="00F9231C"/>
    <w:rsid w:val="00F939E5"/>
    <w:rsid w:val="00F94485"/>
    <w:rsid w:val="00F945D8"/>
    <w:rsid w:val="00FA0DE3"/>
    <w:rsid w:val="00FA1B0A"/>
    <w:rsid w:val="00FA1B23"/>
    <w:rsid w:val="00FA35CE"/>
    <w:rsid w:val="00FA79E8"/>
    <w:rsid w:val="00FC0336"/>
    <w:rsid w:val="00FC3280"/>
    <w:rsid w:val="00FC4E65"/>
    <w:rsid w:val="00FE00A9"/>
    <w:rsid w:val="00FE329C"/>
    <w:rsid w:val="00FE38B6"/>
    <w:rsid w:val="00FE3D0C"/>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1E7FC"/>
  <w15:chartTrackingRefBased/>
  <w15:docId w15:val="{FC969E51-9254-4AB1-B28D-14EE7CB0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7A"/>
    <w:pPr>
      <w:spacing w:after="0" w:line="36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B152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B577A"/>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577A"/>
    <w:rPr>
      <w:rFonts w:ascii="Arial" w:eastAsia="Times New Roman" w:hAnsi="Arial" w:cs="Arial"/>
      <w:i/>
      <w:iCs/>
      <w:sz w:val="28"/>
      <w:szCs w:val="24"/>
      <w:lang w:val="en-GB"/>
    </w:rPr>
  </w:style>
  <w:style w:type="paragraph" w:styleId="Header">
    <w:name w:val="header"/>
    <w:basedOn w:val="Normal"/>
    <w:link w:val="HeaderChar"/>
    <w:uiPriority w:val="99"/>
    <w:rsid w:val="005B577A"/>
    <w:pPr>
      <w:tabs>
        <w:tab w:val="center" w:pos="4153"/>
        <w:tab w:val="right" w:pos="8306"/>
      </w:tabs>
    </w:pPr>
  </w:style>
  <w:style w:type="character" w:customStyle="1" w:styleId="HeaderChar">
    <w:name w:val="Header Char"/>
    <w:basedOn w:val="DefaultParagraphFont"/>
    <w:link w:val="Header"/>
    <w:uiPriority w:val="99"/>
    <w:rsid w:val="005B577A"/>
    <w:rPr>
      <w:rFonts w:ascii="Times New Roman" w:eastAsia="Times New Roman" w:hAnsi="Times New Roman" w:cs="Times New Roman"/>
      <w:sz w:val="24"/>
      <w:szCs w:val="24"/>
      <w:lang w:val="en-GB"/>
    </w:rPr>
  </w:style>
  <w:style w:type="character" w:styleId="PageNumber">
    <w:name w:val="page number"/>
    <w:basedOn w:val="DefaultParagraphFont"/>
    <w:rsid w:val="005B577A"/>
    <w:rPr>
      <w:rFonts w:cs="Times New Roman"/>
    </w:rPr>
  </w:style>
  <w:style w:type="paragraph" w:styleId="FootnoteText">
    <w:name w:val="footnote text"/>
    <w:basedOn w:val="Normal"/>
    <w:link w:val="FootnoteTextChar"/>
    <w:uiPriority w:val="99"/>
    <w:rsid w:val="005B577A"/>
    <w:rPr>
      <w:sz w:val="20"/>
      <w:szCs w:val="20"/>
    </w:rPr>
  </w:style>
  <w:style w:type="character" w:customStyle="1" w:styleId="FootnoteTextChar">
    <w:name w:val="Footnote Text Char"/>
    <w:basedOn w:val="DefaultParagraphFont"/>
    <w:link w:val="FootnoteText"/>
    <w:uiPriority w:val="99"/>
    <w:rsid w:val="005B577A"/>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B577A"/>
    <w:pPr>
      <w:ind w:left="720"/>
      <w:contextualSpacing/>
    </w:pPr>
  </w:style>
  <w:style w:type="character" w:styleId="FootnoteReference">
    <w:name w:val="footnote reference"/>
    <w:basedOn w:val="DefaultParagraphFont"/>
    <w:uiPriority w:val="99"/>
    <w:semiHidden/>
    <w:unhideWhenUsed/>
    <w:rsid w:val="005B577A"/>
    <w:rPr>
      <w:vertAlign w:val="superscript"/>
    </w:rPr>
  </w:style>
  <w:style w:type="paragraph" w:styleId="BalloonText">
    <w:name w:val="Balloon Text"/>
    <w:basedOn w:val="Normal"/>
    <w:link w:val="BalloonTextChar"/>
    <w:uiPriority w:val="99"/>
    <w:semiHidden/>
    <w:unhideWhenUsed/>
    <w:rsid w:val="009A33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0B"/>
    <w:rPr>
      <w:rFonts w:ascii="Segoe UI" w:eastAsia="Times New Roman" w:hAnsi="Segoe UI" w:cs="Segoe UI"/>
      <w:sz w:val="18"/>
      <w:szCs w:val="18"/>
      <w:lang w:val="en-GB"/>
    </w:rPr>
  </w:style>
  <w:style w:type="paragraph" w:styleId="Footer">
    <w:name w:val="footer"/>
    <w:basedOn w:val="Normal"/>
    <w:link w:val="FooterChar"/>
    <w:uiPriority w:val="99"/>
    <w:unhideWhenUsed/>
    <w:rsid w:val="000C6133"/>
    <w:pPr>
      <w:tabs>
        <w:tab w:val="center" w:pos="4680"/>
        <w:tab w:val="right" w:pos="9360"/>
      </w:tabs>
      <w:spacing w:line="240" w:lineRule="auto"/>
    </w:pPr>
  </w:style>
  <w:style w:type="character" w:customStyle="1" w:styleId="FooterChar">
    <w:name w:val="Footer Char"/>
    <w:basedOn w:val="DefaultParagraphFont"/>
    <w:link w:val="Footer"/>
    <w:uiPriority w:val="99"/>
    <w:rsid w:val="000C6133"/>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D0019E"/>
    <w:rPr>
      <w:color w:val="808080"/>
    </w:rPr>
  </w:style>
  <w:style w:type="character" w:customStyle="1" w:styleId="Heading2Char">
    <w:name w:val="Heading 2 Char"/>
    <w:basedOn w:val="DefaultParagraphFont"/>
    <w:link w:val="Heading2"/>
    <w:uiPriority w:val="9"/>
    <w:semiHidden/>
    <w:rsid w:val="00B152D7"/>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32606A"/>
    <w:rPr>
      <w:sz w:val="16"/>
      <w:szCs w:val="16"/>
    </w:rPr>
  </w:style>
  <w:style w:type="paragraph" w:styleId="CommentText">
    <w:name w:val="annotation text"/>
    <w:basedOn w:val="Normal"/>
    <w:link w:val="CommentTextChar"/>
    <w:uiPriority w:val="99"/>
    <w:unhideWhenUsed/>
    <w:rsid w:val="0032606A"/>
    <w:pPr>
      <w:spacing w:line="240" w:lineRule="auto"/>
    </w:pPr>
    <w:rPr>
      <w:sz w:val="20"/>
      <w:szCs w:val="20"/>
    </w:rPr>
  </w:style>
  <w:style w:type="character" w:customStyle="1" w:styleId="CommentTextChar">
    <w:name w:val="Comment Text Char"/>
    <w:basedOn w:val="DefaultParagraphFont"/>
    <w:link w:val="CommentText"/>
    <w:uiPriority w:val="99"/>
    <w:rsid w:val="003260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2606A"/>
    <w:rPr>
      <w:b/>
      <w:bCs/>
    </w:rPr>
  </w:style>
  <w:style w:type="character" w:customStyle="1" w:styleId="CommentSubjectChar">
    <w:name w:val="Comment Subject Char"/>
    <w:basedOn w:val="CommentTextChar"/>
    <w:link w:val="CommentSubject"/>
    <w:uiPriority w:val="99"/>
    <w:semiHidden/>
    <w:rsid w:val="0032606A"/>
    <w:rPr>
      <w:rFonts w:ascii="Times New Roman" w:eastAsia="Times New Roman" w:hAnsi="Times New Roman" w:cs="Times New Roman"/>
      <w:b/>
      <w:bCs/>
      <w:sz w:val="20"/>
      <w:szCs w:val="20"/>
      <w:lang w:val="en-GB"/>
    </w:rPr>
  </w:style>
  <w:style w:type="paragraph" w:styleId="Revision">
    <w:name w:val="Revision"/>
    <w:hidden/>
    <w:uiPriority w:val="99"/>
    <w:semiHidden/>
    <w:rsid w:val="00320553"/>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96782">
      <w:bodyDiv w:val="1"/>
      <w:marLeft w:val="0"/>
      <w:marRight w:val="0"/>
      <w:marTop w:val="0"/>
      <w:marBottom w:val="0"/>
      <w:divBdr>
        <w:top w:val="none" w:sz="0" w:space="0" w:color="auto"/>
        <w:left w:val="none" w:sz="0" w:space="0" w:color="auto"/>
        <w:bottom w:val="none" w:sz="0" w:space="0" w:color="auto"/>
        <w:right w:val="none" w:sz="0" w:space="0" w:color="auto"/>
      </w:divBdr>
    </w:div>
    <w:div w:id="14870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E20E-E24A-446E-A22A-F2FB645E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5650</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3</cp:revision>
  <cp:lastPrinted>2022-11-28T07:55:00Z</cp:lastPrinted>
  <dcterms:created xsi:type="dcterms:W3CDTF">2022-11-28T09:45:00Z</dcterms:created>
  <dcterms:modified xsi:type="dcterms:W3CDTF">2022-11-28T14:00:00Z</dcterms:modified>
</cp:coreProperties>
</file>