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60D8593B" w:rsidR="00F17FD3" w:rsidRPr="00A51CBC" w:rsidRDefault="00F17FD3" w:rsidP="00F17FD3">
      <w:pPr>
        <w:rPr>
          <w:rFonts w:ascii="Arial" w:hAnsi="Arial" w:cs="Arial"/>
          <w:bCs/>
          <w:sz w:val="28"/>
          <w:szCs w:val="28"/>
          <w:lang w:val="en-ZA"/>
        </w:rPr>
      </w:pPr>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900482" w:rsidRDefault="00F17FD3" w:rsidP="00F17FD3">
      <w:pPr>
        <w:jc w:val="center"/>
        <w:rPr>
          <w:rFonts w:ascii="Arial" w:hAnsi="Arial" w:cs="Arial"/>
          <w:b/>
          <w:bCs/>
          <w:sz w:val="28"/>
          <w:szCs w:val="28"/>
        </w:rPr>
      </w:pPr>
      <w:r w:rsidRPr="00900482">
        <w:rPr>
          <w:rFonts w:ascii="Arial" w:hAnsi="Arial" w:cs="Arial"/>
          <w:noProof/>
          <w:lang w:val="en-ZA" w:eastAsia="en-ZA"/>
        </w:rPr>
        <w:drawing>
          <wp:anchor distT="0" distB="0" distL="114300" distR="114300" simplePos="0" relativeHeight="251659264" behindDoc="0" locked="0" layoutInCell="1" allowOverlap="1" wp14:anchorId="44B2A350" wp14:editId="142FFC72">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900482" w:rsidRDefault="00F17FD3" w:rsidP="007E0D22">
      <w:pPr>
        <w:rPr>
          <w:rFonts w:ascii="Arial" w:hAnsi="Arial" w:cs="Arial"/>
          <w:b/>
          <w:bCs/>
          <w:sz w:val="28"/>
          <w:szCs w:val="28"/>
        </w:rPr>
      </w:pPr>
    </w:p>
    <w:p w14:paraId="4FB38977" w14:textId="77777777" w:rsidR="00F17FD3" w:rsidRPr="00900482" w:rsidRDefault="00F17FD3" w:rsidP="00F17FD3">
      <w:pPr>
        <w:jc w:val="center"/>
        <w:rPr>
          <w:rFonts w:ascii="Arial" w:hAnsi="Arial" w:cs="Arial"/>
          <w:b/>
          <w:bCs/>
        </w:rPr>
      </w:pPr>
      <w:r w:rsidRPr="00900482">
        <w:rPr>
          <w:rFonts w:ascii="Arial" w:hAnsi="Arial" w:cs="Arial"/>
          <w:b/>
          <w:bCs/>
        </w:rPr>
        <w:t>THE SUPREME COURT OF APPEAL OF SOUTH AFRICA</w:t>
      </w:r>
    </w:p>
    <w:p w14:paraId="35AD6C34" w14:textId="77777777" w:rsidR="00F17FD3" w:rsidRPr="00900482" w:rsidRDefault="00F17FD3" w:rsidP="00F17FD3">
      <w:pPr>
        <w:pStyle w:val="Heading3"/>
        <w:jc w:val="center"/>
        <w:rPr>
          <w:b/>
          <w:i w:val="0"/>
          <w:szCs w:val="28"/>
        </w:rPr>
      </w:pPr>
      <w:r w:rsidRPr="00900482">
        <w:rPr>
          <w:b/>
          <w:i w:val="0"/>
          <w:sz w:val="24"/>
        </w:rPr>
        <w:t>JUDGMENT</w:t>
      </w:r>
    </w:p>
    <w:p w14:paraId="42428A7D" w14:textId="77777777" w:rsidR="000E3AE8" w:rsidRDefault="000E3AE8" w:rsidP="007E0D22">
      <w:pPr>
        <w:rPr>
          <w:rFonts w:ascii="Arial" w:hAnsi="Arial" w:cs="Arial"/>
          <w:b/>
        </w:rPr>
      </w:pPr>
    </w:p>
    <w:p w14:paraId="0DC7AAAA" w14:textId="494055A9" w:rsidR="008159AB" w:rsidRPr="00873BC5" w:rsidRDefault="000E4080" w:rsidP="008159AB">
      <w:pPr>
        <w:jc w:val="right"/>
        <w:rPr>
          <w:rFonts w:ascii="Arial" w:hAnsi="Arial" w:cs="Arial"/>
          <w:b/>
        </w:rPr>
      </w:pPr>
      <w:r w:rsidRPr="00873BC5">
        <w:rPr>
          <w:rFonts w:ascii="Arial" w:hAnsi="Arial" w:cs="Arial"/>
          <w:b/>
        </w:rPr>
        <w:t>Reportable</w:t>
      </w:r>
    </w:p>
    <w:p w14:paraId="3FEAF9A6" w14:textId="0FA02A06" w:rsidR="008159AB" w:rsidRDefault="008159AB" w:rsidP="008159AB">
      <w:pPr>
        <w:jc w:val="right"/>
        <w:rPr>
          <w:rFonts w:ascii="Arial" w:hAnsi="Arial" w:cs="Arial"/>
        </w:rPr>
      </w:pPr>
      <w:r w:rsidRPr="0068463E">
        <w:rPr>
          <w:rFonts w:ascii="Arial" w:hAnsi="Arial" w:cs="Arial"/>
          <w:b/>
        </w:rPr>
        <w:t>Case no</w:t>
      </w:r>
      <w:r w:rsidRPr="00873BC5">
        <w:rPr>
          <w:rFonts w:ascii="Arial" w:hAnsi="Arial" w:cs="Arial"/>
        </w:rPr>
        <w:t xml:space="preserve">: </w:t>
      </w:r>
      <w:r w:rsidR="0042254A" w:rsidRPr="00873BC5">
        <w:rPr>
          <w:rFonts w:ascii="Arial" w:hAnsi="Arial" w:cs="Arial"/>
        </w:rPr>
        <w:t>163</w:t>
      </w:r>
      <w:r w:rsidR="00351B4B" w:rsidRPr="00873BC5">
        <w:rPr>
          <w:rFonts w:ascii="Arial" w:hAnsi="Arial" w:cs="Arial"/>
        </w:rPr>
        <w:t>/20</w:t>
      </w:r>
      <w:r w:rsidR="0075221D" w:rsidRPr="00873BC5">
        <w:rPr>
          <w:rFonts w:ascii="Arial" w:hAnsi="Arial" w:cs="Arial"/>
        </w:rPr>
        <w:t>2</w:t>
      </w:r>
      <w:r w:rsidR="00C76471" w:rsidRPr="00873BC5">
        <w:rPr>
          <w:rFonts w:ascii="Arial" w:hAnsi="Arial" w:cs="Arial"/>
        </w:rPr>
        <w:t>1</w:t>
      </w:r>
    </w:p>
    <w:p w14:paraId="6165FB2F" w14:textId="77777777" w:rsidR="00380F0A" w:rsidRPr="00873BC5" w:rsidRDefault="00380F0A" w:rsidP="008159AB">
      <w:pPr>
        <w:jc w:val="right"/>
        <w:rPr>
          <w:rFonts w:ascii="Arial" w:hAnsi="Arial" w:cs="Arial"/>
        </w:rPr>
      </w:pPr>
    </w:p>
    <w:p w14:paraId="3478307E" w14:textId="77777777" w:rsidR="008159AB" w:rsidRPr="00A61B21" w:rsidRDefault="008159AB" w:rsidP="000E4080">
      <w:pPr>
        <w:rPr>
          <w:rFonts w:ascii="Arial" w:hAnsi="Arial" w:cs="Arial"/>
        </w:rPr>
      </w:pPr>
      <w:r w:rsidRPr="00A61B21">
        <w:rPr>
          <w:rFonts w:ascii="Arial" w:hAnsi="Arial" w:cs="Arial"/>
        </w:rPr>
        <w:t>In the matter between:</w:t>
      </w:r>
    </w:p>
    <w:p w14:paraId="01E92DCA" w14:textId="77777777" w:rsidR="008159AB" w:rsidRPr="00A61B21" w:rsidRDefault="008159AB" w:rsidP="000E4080">
      <w:pPr>
        <w:widowControl w:val="0"/>
        <w:tabs>
          <w:tab w:val="right" w:pos="9360"/>
        </w:tabs>
        <w:autoSpaceDE w:val="0"/>
        <w:autoSpaceDN w:val="0"/>
        <w:adjustRightInd w:val="0"/>
        <w:rPr>
          <w:rFonts w:ascii="Arial" w:hAnsi="Arial" w:cs="Arial"/>
          <w:b/>
          <w:bCs/>
        </w:rPr>
      </w:pPr>
    </w:p>
    <w:p w14:paraId="0D7A4146" w14:textId="75338D20" w:rsidR="000E4080" w:rsidRPr="00A61B21" w:rsidRDefault="0042254A" w:rsidP="007E0D22">
      <w:pPr>
        <w:widowControl w:val="0"/>
        <w:tabs>
          <w:tab w:val="right" w:pos="9360"/>
        </w:tabs>
        <w:autoSpaceDE w:val="0"/>
        <w:autoSpaceDN w:val="0"/>
        <w:adjustRightInd w:val="0"/>
        <w:ind w:right="26"/>
        <w:rPr>
          <w:rFonts w:ascii="Arial" w:hAnsi="Arial" w:cs="Arial"/>
          <w:b/>
          <w:bCs/>
        </w:rPr>
      </w:pPr>
      <w:r w:rsidRPr="00A61B21">
        <w:rPr>
          <w:rFonts w:ascii="Arial" w:hAnsi="Arial" w:cs="Arial"/>
          <w:b/>
          <w:bCs/>
        </w:rPr>
        <w:t>MESHACK MAPHOLISA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00C76471" w:rsidRPr="00A61B21">
        <w:rPr>
          <w:rFonts w:ascii="Arial" w:hAnsi="Arial" w:cs="Arial"/>
          <w:b/>
          <w:bCs/>
        </w:rPr>
        <w:tab/>
        <w:t xml:space="preserve"> </w:t>
      </w:r>
      <w:r w:rsidR="0068463E" w:rsidRPr="00A61B21">
        <w:rPr>
          <w:rFonts w:ascii="Arial" w:hAnsi="Arial" w:cs="Arial"/>
          <w:b/>
          <w:bCs/>
        </w:rPr>
        <w:t>APPLICANT</w:t>
      </w:r>
    </w:p>
    <w:p w14:paraId="0C167488" w14:textId="77777777" w:rsidR="000E4080" w:rsidRPr="00A61B21" w:rsidRDefault="000E4080" w:rsidP="000E4080">
      <w:pPr>
        <w:widowControl w:val="0"/>
        <w:tabs>
          <w:tab w:val="right" w:pos="9360"/>
        </w:tabs>
        <w:autoSpaceDE w:val="0"/>
        <w:autoSpaceDN w:val="0"/>
        <w:adjustRightInd w:val="0"/>
        <w:rPr>
          <w:rFonts w:ascii="Arial" w:hAnsi="Arial" w:cs="Arial"/>
          <w:b/>
          <w:bCs/>
        </w:rPr>
      </w:pPr>
    </w:p>
    <w:p w14:paraId="270B410A" w14:textId="55B9F504" w:rsidR="00351B4B" w:rsidRDefault="00D478D6" w:rsidP="000E4080">
      <w:pPr>
        <w:widowControl w:val="0"/>
        <w:autoSpaceDE w:val="0"/>
        <w:autoSpaceDN w:val="0"/>
        <w:adjustRightInd w:val="0"/>
        <w:rPr>
          <w:rFonts w:ascii="Arial" w:hAnsi="Arial" w:cs="Arial"/>
          <w:bCs/>
          <w:iCs/>
        </w:rPr>
      </w:pPr>
      <w:r>
        <w:rPr>
          <w:rFonts w:ascii="Arial" w:hAnsi="Arial" w:cs="Arial"/>
          <w:bCs/>
          <w:iCs/>
        </w:rPr>
        <w:t>a</w:t>
      </w:r>
      <w:r w:rsidR="00351B4B" w:rsidRPr="00A61B21">
        <w:rPr>
          <w:rFonts w:ascii="Arial" w:hAnsi="Arial" w:cs="Arial"/>
          <w:bCs/>
          <w:iCs/>
        </w:rPr>
        <w:t>nd</w:t>
      </w:r>
    </w:p>
    <w:p w14:paraId="30157726" w14:textId="77777777" w:rsidR="0016168C" w:rsidRPr="00A61B21" w:rsidRDefault="0016168C" w:rsidP="000E4080">
      <w:pPr>
        <w:widowControl w:val="0"/>
        <w:autoSpaceDE w:val="0"/>
        <w:autoSpaceDN w:val="0"/>
        <w:adjustRightInd w:val="0"/>
        <w:rPr>
          <w:rFonts w:ascii="Arial" w:hAnsi="Arial" w:cs="Arial"/>
          <w:bCs/>
          <w:iCs/>
        </w:rPr>
      </w:pPr>
    </w:p>
    <w:p w14:paraId="2F962E67" w14:textId="54959465" w:rsidR="0042254A" w:rsidRPr="00A61B21" w:rsidRDefault="0042254A" w:rsidP="007E0D22">
      <w:pPr>
        <w:widowControl w:val="0"/>
        <w:tabs>
          <w:tab w:val="right" w:pos="9360"/>
        </w:tabs>
        <w:autoSpaceDE w:val="0"/>
        <w:autoSpaceDN w:val="0"/>
        <w:adjustRightInd w:val="0"/>
        <w:ind w:right="26"/>
        <w:rPr>
          <w:rFonts w:ascii="Arial" w:hAnsi="Arial" w:cs="Arial"/>
          <w:b/>
          <w:bCs/>
        </w:rPr>
      </w:pPr>
      <w:r w:rsidRPr="00A61B21">
        <w:rPr>
          <w:rFonts w:ascii="Arial" w:hAnsi="Arial" w:cs="Arial"/>
          <w:b/>
          <w:bCs/>
        </w:rPr>
        <w:t xml:space="preserve">ADV K </w:t>
      </w:r>
      <w:r w:rsidR="0068463E" w:rsidRPr="00A61B21">
        <w:rPr>
          <w:rFonts w:ascii="Arial" w:hAnsi="Arial" w:cs="Arial"/>
          <w:b/>
          <w:bCs/>
        </w:rPr>
        <w:t>I A PHETOE N</w:t>
      </w:r>
      <w:r w:rsidR="00D478D6">
        <w:rPr>
          <w:rFonts w:ascii="Arial" w:hAnsi="Arial" w:cs="Arial"/>
          <w:b/>
          <w:bCs/>
        </w:rPr>
        <w:t xml:space="preserve"> </w:t>
      </w:r>
      <w:r w:rsidR="0068463E" w:rsidRPr="00A61B21">
        <w:rPr>
          <w:rFonts w:ascii="Arial" w:hAnsi="Arial" w:cs="Arial"/>
          <w:b/>
          <w:bCs/>
        </w:rPr>
        <w:t>O</w:t>
      </w:r>
      <w:r w:rsidR="00D478D6">
        <w:rPr>
          <w:rFonts w:ascii="Arial" w:hAnsi="Arial" w:cs="Arial"/>
          <w:b/>
          <w:bCs/>
        </w:rPr>
        <w:t xml:space="preserve"> </w:t>
      </w:r>
      <w:r w:rsidR="0068463E" w:rsidRPr="00A61B21">
        <w:rPr>
          <w:rFonts w:ascii="Arial" w:hAnsi="Arial" w:cs="Arial"/>
          <w:b/>
          <w:bCs/>
        </w:rPr>
        <w:tab/>
        <w:t>FIRST RESPONDENT</w:t>
      </w:r>
    </w:p>
    <w:p w14:paraId="2F7EF093" w14:textId="631208EB" w:rsidR="0042254A" w:rsidRPr="00A61B21" w:rsidRDefault="0042254A" w:rsidP="0042254A">
      <w:pPr>
        <w:widowControl w:val="0"/>
        <w:tabs>
          <w:tab w:val="right" w:pos="9360"/>
        </w:tabs>
        <w:autoSpaceDE w:val="0"/>
        <w:autoSpaceDN w:val="0"/>
        <w:adjustRightInd w:val="0"/>
        <w:rPr>
          <w:rFonts w:ascii="Arial" w:hAnsi="Arial" w:cs="Arial"/>
          <w:bCs/>
          <w:i/>
        </w:rPr>
      </w:pPr>
      <w:r w:rsidRPr="00A61B21">
        <w:rPr>
          <w:rFonts w:ascii="Arial" w:hAnsi="Arial" w:cs="Arial"/>
          <w:b/>
          <w:bCs/>
        </w:rPr>
        <w:t>PROF S M DAWJEE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Pr="00A61B21">
        <w:rPr>
          <w:rFonts w:ascii="Arial" w:hAnsi="Arial" w:cs="Arial"/>
          <w:b/>
          <w:bCs/>
        </w:rPr>
        <w:t xml:space="preserve">                                </w:t>
      </w:r>
      <w:r w:rsidR="0068463E" w:rsidRPr="00A61B21">
        <w:rPr>
          <w:rFonts w:ascii="Arial" w:hAnsi="Arial" w:cs="Arial"/>
          <w:b/>
          <w:bCs/>
        </w:rPr>
        <w:t xml:space="preserve">                   SECOND RESPONDENT</w:t>
      </w:r>
    </w:p>
    <w:p w14:paraId="6FD4545B" w14:textId="2EF3605C" w:rsidR="000E4080" w:rsidRPr="00A61B21" w:rsidRDefault="0042254A" w:rsidP="007E0D22">
      <w:pPr>
        <w:widowControl w:val="0"/>
        <w:tabs>
          <w:tab w:val="right" w:pos="9360"/>
        </w:tabs>
        <w:autoSpaceDE w:val="0"/>
        <w:autoSpaceDN w:val="0"/>
        <w:adjustRightInd w:val="0"/>
        <w:ind w:right="26"/>
        <w:rPr>
          <w:rFonts w:ascii="Arial" w:hAnsi="Arial" w:cs="Arial"/>
          <w:b/>
          <w:bCs/>
        </w:rPr>
      </w:pPr>
      <w:r w:rsidRPr="00A61B21">
        <w:rPr>
          <w:rFonts w:ascii="Arial" w:hAnsi="Arial" w:cs="Arial"/>
          <w:b/>
          <w:bCs/>
        </w:rPr>
        <w:t>DR J BASSON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000E4080" w:rsidRPr="00A61B21">
        <w:rPr>
          <w:rFonts w:ascii="Arial" w:hAnsi="Arial" w:cs="Arial"/>
          <w:b/>
          <w:bCs/>
        </w:rPr>
        <w:tab/>
      </w:r>
      <w:r w:rsidR="0068463E" w:rsidRPr="00A61B21">
        <w:rPr>
          <w:rFonts w:ascii="Arial" w:hAnsi="Arial" w:cs="Arial"/>
          <w:b/>
          <w:bCs/>
        </w:rPr>
        <w:t>THIRD RESPONDENT</w:t>
      </w:r>
    </w:p>
    <w:p w14:paraId="5F3022E9" w14:textId="113D466A" w:rsidR="0042254A" w:rsidRPr="00A61B21" w:rsidRDefault="00834121" w:rsidP="000E4080">
      <w:pPr>
        <w:widowControl w:val="0"/>
        <w:tabs>
          <w:tab w:val="right" w:pos="9360"/>
        </w:tabs>
        <w:autoSpaceDE w:val="0"/>
        <w:autoSpaceDN w:val="0"/>
        <w:adjustRightInd w:val="0"/>
        <w:rPr>
          <w:rFonts w:ascii="Arial" w:hAnsi="Arial" w:cs="Arial"/>
          <w:b/>
          <w:bCs/>
        </w:rPr>
      </w:pPr>
      <w:r w:rsidRPr="00A61B21">
        <w:rPr>
          <w:rFonts w:ascii="Arial" w:hAnsi="Arial" w:cs="Arial"/>
          <w:b/>
          <w:bCs/>
        </w:rPr>
        <w:t>DR M N MABASA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Pr="00A61B21">
        <w:rPr>
          <w:rFonts w:ascii="Arial" w:hAnsi="Arial" w:cs="Arial"/>
          <w:b/>
          <w:bCs/>
        </w:rPr>
        <w:t xml:space="preserve">   </w:t>
      </w:r>
      <w:r w:rsidR="0042254A" w:rsidRPr="00A61B21">
        <w:rPr>
          <w:rFonts w:ascii="Arial" w:hAnsi="Arial" w:cs="Arial"/>
          <w:b/>
          <w:bCs/>
        </w:rPr>
        <w:t xml:space="preserve">                                              </w:t>
      </w:r>
      <w:r w:rsidR="0068463E" w:rsidRPr="00A61B21">
        <w:rPr>
          <w:rFonts w:ascii="Arial" w:hAnsi="Arial" w:cs="Arial"/>
          <w:b/>
          <w:bCs/>
        </w:rPr>
        <w:t xml:space="preserve">       FOURTH RESPONDENT</w:t>
      </w:r>
    </w:p>
    <w:p w14:paraId="5E4B72B4" w14:textId="3312257F" w:rsidR="0042254A" w:rsidRPr="00A61B21" w:rsidRDefault="0068463E" w:rsidP="0042254A">
      <w:pPr>
        <w:widowControl w:val="0"/>
        <w:tabs>
          <w:tab w:val="right" w:pos="9360"/>
        </w:tabs>
        <w:autoSpaceDE w:val="0"/>
        <w:autoSpaceDN w:val="0"/>
        <w:adjustRightInd w:val="0"/>
        <w:rPr>
          <w:rFonts w:ascii="Arial" w:hAnsi="Arial" w:cs="Arial"/>
          <w:b/>
          <w:bCs/>
        </w:rPr>
      </w:pPr>
      <w:r w:rsidRPr="00A61B21">
        <w:rPr>
          <w:rFonts w:ascii="Arial" w:hAnsi="Arial" w:cs="Arial"/>
          <w:b/>
          <w:bCs/>
        </w:rPr>
        <w:t>MS CHOKOE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Pr="00A61B21">
        <w:rPr>
          <w:rFonts w:ascii="Arial" w:hAnsi="Arial" w:cs="Arial"/>
          <w:b/>
          <w:bCs/>
        </w:rPr>
        <w:t xml:space="preserve">                                                                 </w:t>
      </w:r>
      <w:r w:rsidR="00AE259D" w:rsidRPr="00A61B21">
        <w:rPr>
          <w:rFonts w:ascii="Arial" w:hAnsi="Arial" w:cs="Arial"/>
          <w:b/>
          <w:bCs/>
        </w:rPr>
        <w:t xml:space="preserve">   </w:t>
      </w:r>
      <w:r w:rsidRPr="00A61B21">
        <w:rPr>
          <w:rFonts w:ascii="Arial" w:hAnsi="Arial" w:cs="Arial"/>
          <w:b/>
          <w:bCs/>
        </w:rPr>
        <w:t>FIFTH RESPONDENT</w:t>
      </w:r>
    </w:p>
    <w:p w14:paraId="0F7C40FB" w14:textId="475339CF" w:rsidR="0042254A" w:rsidRPr="00A61B21" w:rsidRDefault="0042254A" w:rsidP="0042254A">
      <w:pPr>
        <w:widowControl w:val="0"/>
        <w:tabs>
          <w:tab w:val="right" w:pos="9360"/>
        </w:tabs>
        <w:autoSpaceDE w:val="0"/>
        <w:autoSpaceDN w:val="0"/>
        <w:adjustRightInd w:val="0"/>
        <w:rPr>
          <w:rFonts w:ascii="Arial" w:hAnsi="Arial" w:cs="Arial"/>
          <w:bCs/>
          <w:i/>
        </w:rPr>
      </w:pPr>
      <w:r w:rsidRPr="00A61B21">
        <w:rPr>
          <w:rFonts w:ascii="Arial" w:hAnsi="Arial" w:cs="Arial"/>
          <w:b/>
          <w:bCs/>
        </w:rPr>
        <w:t>MS D P MTHIMUNYE-HLUYO N</w:t>
      </w:r>
      <w:r w:rsidR="00D478D6">
        <w:rPr>
          <w:rFonts w:ascii="Arial" w:hAnsi="Arial" w:cs="Arial"/>
          <w:b/>
          <w:bCs/>
        </w:rPr>
        <w:t xml:space="preserve"> </w:t>
      </w:r>
      <w:r w:rsidRPr="00A61B21">
        <w:rPr>
          <w:rFonts w:ascii="Arial" w:hAnsi="Arial" w:cs="Arial"/>
          <w:b/>
          <w:bCs/>
        </w:rPr>
        <w:t>O</w:t>
      </w:r>
      <w:r w:rsidR="00D478D6">
        <w:rPr>
          <w:rFonts w:ascii="Arial" w:hAnsi="Arial" w:cs="Arial"/>
          <w:b/>
          <w:bCs/>
        </w:rPr>
        <w:t xml:space="preserve"> </w:t>
      </w:r>
      <w:r w:rsidRPr="00A61B21">
        <w:rPr>
          <w:rFonts w:ascii="Arial" w:hAnsi="Arial" w:cs="Arial"/>
          <w:b/>
          <w:bCs/>
        </w:rPr>
        <w:t xml:space="preserve">                               </w:t>
      </w:r>
      <w:r w:rsidR="0068463E" w:rsidRPr="00A61B21">
        <w:rPr>
          <w:rFonts w:ascii="Arial" w:hAnsi="Arial" w:cs="Arial"/>
          <w:b/>
          <w:bCs/>
        </w:rPr>
        <w:t xml:space="preserve">       </w:t>
      </w:r>
      <w:r w:rsidR="00AE259D" w:rsidRPr="00A61B21">
        <w:rPr>
          <w:rFonts w:ascii="Arial" w:hAnsi="Arial" w:cs="Arial"/>
          <w:b/>
          <w:bCs/>
        </w:rPr>
        <w:t xml:space="preserve">   </w:t>
      </w:r>
      <w:r w:rsidR="0068463E" w:rsidRPr="00A61B21">
        <w:rPr>
          <w:rFonts w:ascii="Arial" w:hAnsi="Arial" w:cs="Arial"/>
          <w:b/>
          <w:bCs/>
        </w:rPr>
        <w:t>SIXTH RESPONDENT</w:t>
      </w:r>
    </w:p>
    <w:p w14:paraId="13F92FE5" w14:textId="31296A12" w:rsidR="0042254A" w:rsidRPr="00A61B21" w:rsidRDefault="0068463E" w:rsidP="0042254A">
      <w:pPr>
        <w:widowControl w:val="0"/>
        <w:tabs>
          <w:tab w:val="right" w:pos="9360"/>
        </w:tabs>
        <w:autoSpaceDE w:val="0"/>
        <w:autoSpaceDN w:val="0"/>
        <w:adjustRightInd w:val="0"/>
        <w:rPr>
          <w:rFonts w:ascii="Arial" w:hAnsi="Arial" w:cs="Arial"/>
          <w:b/>
          <w:bCs/>
        </w:rPr>
      </w:pPr>
      <w:r w:rsidRPr="00A61B21">
        <w:rPr>
          <w:rFonts w:ascii="Arial" w:hAnsi="Arial" w:cs="Arial"/>
          <w:b/>
          <w:bCs/>
        </w:rPr>
        <w:t>DR P MILLER</w:t>
      </w:r>
      <w:r w:rsidRPr="00A61B21">
        <w:rPr>
          <w:rFonts w:ascii="Arial" w:hAnsi="Arial" w:cs="Arial"/>
          <w:b/>
          <w:bCs/>
        </w:rPr>
        <w:tab/>
        <w:t>SEVENTH RESPONDENT</w:t>
      </w:r>
    </w:p>
    <w:p w14:paraId="62546255" w14:textId="77777777" w:rsidR="0042254A" w:rsidRPr="00A61B21" w:rsidRDefault="0042254A" w:rsidP="0042254A">
      <w:pPr>
        <w:widowControl w:val="0"/>
        <w:tabs>
          <w:tab w:val="right" w:pos="9360"/>
        </w:tabs>
        <w:autoSpaceDE w:val="0"/>
        <w:autoSpaceDN w:val="0"/>
        <w:adjustRightInd w:val="0"/>
        <w:rPr>
          <w:rFonts w:ascii="Arial" w:hAnsi="Arial" w:cs="Arial"/>
          <w:b/>
          <w:bCs/>
        </w:rPr>
      </w:pPr>
      <w:r w:rsidRPr="00A61B21">
        <w:rPr>
          <w:rFonts w:ascii="Arial" w:hAnsi="Arial" w:cs="Arial"/>
          <w:b/>
          <w:bCs/>
        </w:rPr>
        <w:t>THE HEALTH PROFESSIONS COUNCIL</w:t>
      </w:r>
    </w:p>
    <w:p w14:paraId="59AF1950" w14:textId="3B0B2ED3" w:rsidR="0042254A" w:rsidRPr="00A61B21" w:rsidRDefault="00C11EE6" w:rsidP="0042254A">
      <w:pPr>
        <w:widowControl w:val="0"/>
        <w:tabs>
          <w:tab w:val="right" w:pos="9360"/>
        </w:tabs>
        <w:autoSpaceDE w:val="0"/>
        <w:autoSpaceDN w:val="0"/>
        <w:adjustRightInd w:val="0"/>
        <w:rPr>
          <w:rFonts w:ascii="Arial" w:hAnsi="Arial" w:cs="Arial"/>
          <w:b/>
          <w:bCs/>
        </w:rPr>
      </w:pPr>
      <w:r>
        <w:rPr>
          <w:rFonts w:ascii="Arial" w:hAnsi="Arial" w:cs="Arial"/>
          <w:b/>
          <w:bCs/>
        </w:rPr>
        <w:t xml:space="preserve">OF SOUTH AFRICA                 </w:t>
      </w:r>
      <w:r w:rsidR="0042254A" w:rsidRPr="00A61B21">
        <w:rPr>
          <w:rFonts w:ascii="Arial" w:hAnsi="Arial" w:cs="Arial"/>
          <w:b/>
          <w:bCs/>
        </w:rPr>
        <w:t xml:space="preserve">                                     </w:t>
      </w:r>
      <w:r w:rsidR="0068463E" w:rsidRPr="00A61B21">
        <w:rPr>
          <w:rFonts w:ascii="Arial" w:hAnsi="Arial" w:cs="Arial"/>
          <w:b/>
          <w:bCs/>
        </w:rPr>
        <w:t xml:space="preserve">       </w:t>
      </w:r>
      <w:r w:rsidR="0072301A" w:rsidRPr="00A61B21">
        <w:rPr>
          <w:rFonts w:ascii="Arial" w:hAnsi="Arial" w:cs="Arial"/>
          <w:b/>
          <w:bCs/>
        </w:rPr>
        <w:t xml:space="preserve"> </w:t>
      </w:r>
      <w:r w:rsidR="0068463E" w:rsidRPr="00A61B21">
        <w:rPr>
          <w:rFonts w:ascii="Arial" w:hAnsi="Arial" w:cs="Arial"/>
          <w:b/>
          <w:bCs/>
        </w:rPr>
        <w:t>EIG</w:t>
      </w:r>
      <w:r w:rsidR="0072301A" w:rsidRPr="00A61B21">
        <w:rPr>
          <w:rFonts w:ascii="Arial" w:hAnsi="Arial" w:cs="Arial"/>
          <w:b/>
          <w:bCs/>
        </w:rPr>
        <w:t>H</w:t>
      </w:r>
      <w:r w:rsidR="0068463E" w:rsidRPr="00A61B21">
        <w:rPr>
          <w:rFonts w:ascii="Arial" w:hAnsi="Arial" w:cs="Arial"/>
          <w:b/>
          <w:bCs/>
        </w:rPr>
        <w:t>TH RESPONDENT</w:t>
      </w:r>
    </w:p>
    <w:p w14:paraId="07C0B82A" w14:textId="1C334F95" w:rsidR="0042254A" w:rsidRPr="00A61B21" w:rsidRDefault="0042254A" w:rsidP="0042254A">
      <w:pPr>
        <w:widowControl w:val="0"/>
        <w:tabs>
          <w:tab w:val="right" w:pos="9360"/>
        </w:tabs>
        <w:autoSpaceDE w:val="0"/>
        <w:autoSpaceDN w:val="0"/>
        <w:adjustRightInd w:val="0"/>
        <w:rPr>
          <w:rFonts w:ascii="Arial" w:hAnsi="Arial" w:cs="Arial"/>
          <w:b/>
          <w:bCs/>
        </w:rPr>
      </w:pPr>
      <w:r w:rsidRPr="00A61B21">
        <w:rPr>
          <w:rFonts w:ascii="Arial" w:hAnsi="Arial" w:cs="Arial"/>
          <w:b/>
          <w:bCs/>
        </w:rPr>
        <w:t xml:space="preserve">MALINDA MILLER                                                         </w:t>
      </w:r>
      <w:r w:rsidR="0068463E" w:rsidRPr="00A61B21">
        <w:rPr>
          <w:rFonts w:ascii="Arial" w:hAnsi="Arial" w:cs="Arial"/>
          <w:b/>
          <w:bCs/>
        </w:rPr>
        <w:t xml:space="preserve">       </w:t>
      </w:r>
      <w:r w:rsidR="00AE259D" w:rsidRPr="00A61B21">
        <w:rPr>
          <w:rFonts w:ascii="Arial" w:hAnsi="Arial" w:cs="Arial"/>
          <w:b/>
          <w:bCs/>
        </w:rPr>
        <w:t xml:space="preserve">   </w:t>
      </w:r>
      <w:r w:rsidR="0068463E" w:rsidRPr="00A61B21">
        <w:rPr>
          <w:rFonts w:ascii="Arial" w:hAnsi="Arial" w:cs="Arial"/>
          <w:b/>
          <w:bCs/>
        </w:rPr>
        <w:t>NINTH RESPONDENT</w:t>
      </w:r>
    </w:p>
    <w:p w14:paraId="5054D3D9" w14:textId="1148D734" w:rsidR="0042254A" w:rsidRPr="00A61B21" w:rsidRDefault="0042254A" w:rsidP="0042254A">
      <w:pPr>
        <w:widowControl w:val="0"/>
        <w:tabs>
          <w:tab w:val="right" w:pos="9360"/>
        </w:tabs>
        <w:autoSpaceDE w:val="0"/>
        <w:autoSpaceDN w:val="0"/>
        <w:adjustRightInd w:val="0"/>
        <w:rPr>
          <w:rFonts w:ascii="Arial" w:hAnsi="Arial" w:cs="Arial"/>
          <w:bCs/>
          <w:i/>
        </w:rPr>
      </w:pPr>
      <w:r w:rsidRPr="00A61B21">
        <w:rPr>
          <w:rFonts w:ascii="Arial" w:hAnsi="Arial" w:cs="Arial"/>
          <w:b/>
          <w:bCs/>
        </w:rPr>
        <w:t xml:space="preserve">VIOLET GAOLEBALE SENNA                                     </w:t>
      </w:r>
      <w:r w:rsidR="0068463E" w:rsidRPr="00A61B21">
        <w:rPr>
          <w:rFonts w:ascii="Arial" w:hAnsi="Arial" w:cs="Arial"/>
          <w:b/>
          <w:bCs/>
        </w:rPr>
        <w:t xml:space="preserve">        </w:t>
      </w:r>
      <w:r w:rsidR="00AE259D" w:rsidRPr="00A61B21">
        <w:rPr>
          <w:rFonts w:ascii="Arial" w:hAnsi="Arial" w:cs="Arial"/>
          <w:b/>
          <w:bCs/>
        </w:rPr>
        <w:t xml:space="preserve">  </w:t>
      </w:r>
      <w:r w:rsidR="0068463E" w:rsidRPr="00A61B21">
        <w:rPr>
          <w:rFonts w:ascii="Arial" w:hAnsi="Arial" w:cs="Arial"/>
          <w:b/>
          <w:bCs/>
        </w:rPr>
        <w:t>TENTH RESPONDENT</w:t>
      </w:r>
    </w:p>
    <w:p w14:paraId="733A318A" w14:textId="77777777" w:rsidR="000E4080" w:rsidRPr="00A61B21" w:rsidRDefault="000E4080" w:rsidP="000E4080">
      <w:pPr>
        <w:widowControl w:val="0"/>
        <w:tabs>
          <w:tab w:val="right" w:pos="9360"/>
        </w:tabs>
        <w:autoSpaceDE w:val="0"/>
        <w:autoSpaceDN w:val="0"/>
        <w:adjustRightInd w:val="0"/>
        <w:rPr>
          <w:rFonts w:ascii="Arial" w:hAnsi="Arial" w:cs="Arial"/>
          <w:bCs/>
          <w:i/>
        </w:rPr>
      </w:pPr>
    </w:p>
    <w:p w14:paraId="59A662B5" w14:textId="7025EAF7" w:rsidR="00351B4B" w:rsidRPr="00A61B21" w:rsidRDefault="008159AB" w:rsidP="000E4080">
      <w:pPr>
        <w:ind w:left="2160" w:hanging="2160"/>
        <w:rPr>
          <w:rFonts w:ascii="Arial" w:hAnsi="Arial" w:cs="Arial"/>
        </w:rPr>
      </w:pPr>
      <w:r w:rsidRPr="00A61B21">
        <w:rPr>
          <w:rFonts w:ascii="Arial" w:hAnsi="Arial" w:cs="Arial"/>
          <w:b/>
          <w:bCs/>
        </w:rPr>
        <w:t>Neutral citation:</w:t>
      </w:r>
      <w:r w:rsidRPr="00A61B21">
        <w:rPr>
          <w:rFonts w:ascii="Arial" w:hAnsi="Arial" w:cs="Arial"/>
          <w:b/>
          <w:bCs/>
        </w:rPr>
        <w:tab/>
      </w:r>
      <w:bookmarkStart w:id="0" w:name="_GoBack"/>
      <w:r w:rsidR="005D3E8E" w:rsidRPr="00A61B21">
        <w:rPr>
          <w:rFonts w:ascii="Arial" w:hAnsi="Arial" w:cs="Arial"/>
          <w:bCs/>
          <w:i/>
        </w:rPr>
        <w:t>Mapholisa N</w:t>
      </w:r>
      <w:r w:rsidR="00D478D6">
        <w:rPr>
          <w:rFonts w:ascii="Arial" w:hAnsi="Arial" w:cs="Arial"/>
          <w:bCs/>
          <w:i/>
        </w:rPr>
        <w:t xml:space="preserve"> </w:t>
      </w:r>
      <w:r w:rsidR="005D3E8E" w:rsidRPr="00A61B21">
        <w:rPr>
          <w:rFonts w:ascii="Arial" w:hAnsi="Arial" w:cs="Arial"/>
          <w:bCs/>
          <w:i/>
        </w:rPr>
        <w:t>O</w:t>
      </w:r>
      <w:r w:rsidR="00D478D6">
        <w:rPr>
          <w:rFonts w:ascii="Arial" w:hAnsi="Arial" w:cs="Arial"/>
          <w:bCs/>
          <w:i/>
        </w:rPr>
        <w:t xml:space="preserve"> </w:t>
      </w:r>
      <w:r w:rsidR="00351B4B" w:rsidRPr="00A61B21">
        <w:rPr>
          <w:rFonts w:ascii="Arial" w:hAnsi="Arial" w:cs="Arial"/>
          <w:bCs/>
          <w:i/>
        </w:rPr>
        <w:t xml:space="preserve">v </w:t>
      </w:r>
      <w:r w:rsidR="005D3E8E" w:rsidRPr="00A61B21">
        <w:rPr>
          <w:rFonts w:ascii="Arial" w:hAnsi="Arial" w:cs="Arial"/>
          <w:bCs/>
          <w:i/>
        </w:rPr>
        <w:t>Phetoe N</w:t>
      </w:r>
      <w:r w:rsidR="00D478D6">
        <w:rPr>
          <w:rFonts w:ascii="Arial" w:hAnsi="Arial" w:cs="Arial"/>
          <w:bCs/>
          <w:i/>
        </w:rPr>
        <w:t xml:space="preserve"> </w:t>
      </w:r>
      <w:r w:rsidR="005D3E8E" w:rsidRPr="00A61B21">
        <w:rPr>
          <w:rFonts w:ascii="Arial" w:hAnsi="Arial" w:cs="Arial"/>
          <w:bCs/>
          <w:i/>
        </w:rPr>
        <w:t>O</w:t>
      </w:r>
      <w:r w:rsidR="00D478D6">
        <w:rPr>
          <w:rFonts w:ascii="Arial" w:hAnsi="Arial" w:cs="Arial"/>
          <w:bCs/>
          <w:i/>
        </w:rPr>
        <w:t xml:space="preserve"> </w:t>
      </w:r>
      <w:r w:rsidR="005D3E8E" w:rsidRPr="00A61B21">
        <w:rPr>
          <w:rFonts w:ascii="Arial" w:hAnsi="Arial" w:cs="Arial"/>
          <w:bCs/>
          <w:i/>
        </w:rPr>
        <w:t xml:space="preserve"> and Others</w:t>
      </w:r>
      <w:r w:rsidR="0075221D" w:rsidRPr="00A61B21">
        <w:rPr>
          <w:rFonts w:ascii="Arial" w:hAnsi="Arial" w:cs="Arial"/>
          <w:bCs/>
          <w:i/>
        </w:rPr>
        <w:t xml:space="preserve"> </w:t>
      </w:r>
      <w:r w:rsidR="0075221D" w:rsidRPr="00A61B21">
        <w:rPr>
          <w:rFonts w:ascii="Arial" w:hAnsi="Arial" w:cs="Arial"/>
          <w:bCs/>
        </w:rPr>
        <w:t>(</w:t>
      </w:r>
      <w:r w:rsidR="005D3E8E" w:rsidRPr="00A61B21">
        <w:rPr>
          <w:rFonts w:ascii="Arial" w:hAnsi="Arial" w:cs="Arial"/>
          <w:bCs/>
        </w:rPr>
        <w:t>163</w:t>
      </w:r>
      <w:r w:rsidR="00351B4B" w:rsidRPr="00A61B21">
        <w:rPr>
          <w:rFonts w:ascii="Arial" w:hAnsi="Arial" w:cs="Arial"/>
          <w:bCs/>
        </w:rPr>
        <w:t>/20</w:t>
      </w:r>
      <w:r w:rsidR="0075221D" w:rsidRPr="00A61B21">
        <w:rPr>
          <w:rFonts w:ascii="Arial" w:hAnsi="Arial" w:cs="Arial"/>
          <w:bCs/>
        </w:rPr>
        <w:t>2</w:t>
      </w:r>
      <w:r w:rsidR="00C76471" w:rsidRPr="00A61B21">
        <w:rPr>
          <w:rFonts w:ascii="Arial" w:hAnsi="Arial" w:cs="Arial"/>
          <w:bCs/>
        </w:rPr>
        <w:t>1</w:t>
      </w:r>
      <w:r w:rsidR="00783DBA" w:rsidRPr="00A61B21">
        <w:rPr>
          <w:rFonts w:ascii="Arial" w:hAnsi="Arial" w:cs="Arial"/>
          <w:bCs/>
        </w:rPr>
        <w:t>) [202</w:t>
      </w:r>
      <w:r w:rsidR="00C76471" w:rsidRPr="00A61B21">
        <w:rPr>
          <w:rFonts w:ascii="Arial" w:hAnsi="Arial" w:cs="Arial"/>
          <w:bCs/>
        </w:rPr>
        <w:t>2</w:t>
      </w:r>
      <w:r w:rsidR="00783DBA" w:rsidRPr="00A61B21">
        <w:rPr>
          <w:rFonts w:ascii="Arial" w:hAnsi="Arial" w:cs="Arial"/>
          <w:bCs/>
        </w:rPr>
        <w:t xml:space="preserve">] ZASCA </w:t>
      </w:r>
      <w:r w:rsidR="007E0D22">
        <w:rPr>
          <w:rFonts w:ascii="Arial" w:hAnsi="Arial" w:cs="Arial"/>
          <w:bCs/>
        </w:rPr>
        <w:t>168</w:t>
      </w:r>
      <w:r w:rsidR="001406DB" w:rsidRPr="00A61B21">
        <w:rPr>
          <w:rFonts w:ascii="Arial" w:hAnsi="Arial" w:cs="Arial"/>
          <w:bCs/>
        </w:rPr>
        <w:t xml:space="preserve"> </w:t>
      </w:r>
      <w:r w:rsidR="00351B4B" w:rsidRPr="00A61B21">
        <w:rPr>
          <w:rFonts w:ascii="Arial" w:hAnsi="Arial" w:cs="Arial"/>
          <w:bCs/>
        </w:rPr>
        <w:t>(</w:t>
      </w:r>
      <w:r w:rsidR="007E0D22">
        <w:rPr>
          <w:rFonts w:ascii="Arial" w:hAnsi="Arial" w:cs="Arial"/>
          <w:bCs/>
        </w:rPr>
        <w:t xml:space="preserve">30 November </w:t>
      </w:r>
      <w:r w:rsidR="00351B4B" w:rsidRPr="00A61B21">
        <w:rPr>
          <w:rFonts w:ascii="Arial" w:hAnsi="Arial" w:cs="Arial"/>
          <w:bCs/>
        </w:rPr>
        <w:t>202</w:t>
      </w:r>
      <w:r w:rsidR="00C76471" w:rsidRPr="00A61B21">
        <w:rPr>
          <w:rFonts w:ascii="Arial" w:hAnsi="Arial" w:cs="Arial"/>
          <w:bCs/>
        </w:rPr>
        <w:t>2</w:t>
      </w:r>
      <w:r w:rsidR="00351B4B" w:rsidRPr="00A61B21">
        <w:rPr>
          <w:rFonts w:ascii="Arial" w:hAnsi="Arial" w:cs="Arial"/>
          <w:bCs/>
        </w:rPr>
        <w:t>)</w:t>
      </w:r>
      <w:bookmarkEnd w:id="0"/>
    </w:p>
    <w:p w14:paraId="0E81A9CE" w14:textId="77777777" w:rsidR="008159AB" w:rsidRPr="00A61B21" w:rsidRDefault="008159AB" w:rsidP="000E4080">
      <w:pPr>
        <w:ind w:left="1440" w:hanging="1440"/>
        <w:rPr>
          <w:rFonts w:ascii="Arial" w:hAnsi="Arial" w:cs="Arial"/>
          <w:b/>
          <w:bCs/>
        </w:rPr>
      </w:pPr>
    </w:p>
    <w:p w14:paraId="1F5C022E" w14:textId="255F9974" w:rsidR="008159AB" w:rsidRPr="00A61B21" w:rsidRDefault="008159AB" w:rsidP="000E4080">
      <w:pPr>
        <w:ind w:left="1440" w:hanging="1440"/>
        <w:rPr>
          <w:rFonts w:ascii="Arial" w:hAnsi="Arial" w:cs="Arial"/>
          <w:bCs/>
        </w:rPr>
      </w:pPr>
      <w:r w:rsidRPr="00A61B21">
        <w:rPr>
          <w:rFonts w:ascii="Arial" w:hAnsi="Arial" w:cs="Arial"/>
          <w:b/>
          <w:bCs/>
        </w:rPr>
        <w:lastRenderedPageBreak/>
        <w:t>Coram:</w:t>
      </w:r>
      <w:r w:rsidRPr="00A61B21">
        <w:rPr>
          <w:rFonts w:ascii="Arial" w:hAnsi="Arial" w:cs="Arial"/>
        </w:rPr>
        <w:tab/>
      </w:r>
      <w:r w:rsidR="005D3E8E" w:rsidRPr="00A61B21">
        <w:rPr>
          <w:rFonts w:ascii="Arial" w:hAnsi="Arial" w:cs="Arial"/>
          <w:bCs/>
        </w:rPr>
        <w:t>PLASKET</w:t>
      </w:r>
      <w:r w:rsidR="00BB7BE8" w:rsidRPr="00A61B21">
        <w:rPr>
          <w:rFonts w:ascii="Arial" w:hAnsi="Arial" w:cs="Arial"/>
          <w:bCs/>
        </w:rPr>
        <w:t xml:space="preserve"> and </w:t>
      </w:r>
      <w:r w:rsidR="00783DBA" w:rsidRPr="00A61B21">
        <w:rPr>
          <w:rFonts w:ascii="Arial" w:hAnsi="Arial" w:cs="Arial"/>
          <w:bCs/>
        </w:rPr>
        <w:t>M</w:t>
      </w:r>
      <w:r w:rsidR="005D3E8E" w:rsidRPr="00A61B21">
        <w:rPr>
          <w:rFonts w:ascii="Arial" w:hAnsi="Arial" w:cs="Arial"/>
          <w:bCs/>
        </w:rPr>
        <w:t>ABINDLA-BOQWANA</w:t>
      </w:r>
      <w:r w:rsidR="00783DBA" w:rsidRPr="00A61B21">
        <w:rPr>
          <w:rFonts w:ascii="Arial" w:hAnsi="Arial" w:cs="Arial"/>
          <w:bCs/>
        </w:rPr>
        <w:t xml:space="preserve"> JJA</w:t>
      </w:r>
      <w:r w:rsidR="00BB7BE8" w:rsidRPr="00A61B21">
        <w:rPr>
          <w:rFonts w:ascii="Arial" w:hAnsi="Arial" w:cs="Arial"/>
          <w:bCs/>
        </w:rPr>
        <w:t xml:space="preserve"> and </w:t>
      </w:r>
      <w:r w:rsidR="005D3E8E" w:rsidRPr="00A61B21">
        <w:rPr>
          <w:rFonts w:ascii="Arial" w:hAnsi="Arial" w:cs="Arial"/>
          <w:bCs/>
        </w:rPr>
        <w:t>WINDELL</w:t>
      </w:r>
      <w:r w:rsidR="00C76471" w:rsidRPr="00A61B21">
        <w:rPr>
          <w:rFonts w:ascii="Arial" w:hAnsi="Arial" w:cs="Arial"/>
          <w:bCs/>
        </w:rPr>
        <w:t xml:space="preserve">, </w:t>
      </w:r>
      <w:r w:rsidR="005D3E8E" w:rsidRPr="00A61B21">
        <w:rPr>
          <w:rFonts w:ascii="Arial" w:hAnsi="Arial" w:cs="Arial"/>
          <w:bCs/>
        </w:rPr>
        <w:t>CHETTY</w:t>
      </w:r>
      <w:r w:rsidR="00C76471" w:rsidRPr="00A61B21">
        <w:rPr>
          <w:rFonts w:ascii="Arial" w:hAnsi="Arial" w:cs="Arial"/>
          <w:bCs/>
        </w:rPr>
        <w:t xml:space="preserve"> and MA</w:t>
      </w:r>
      <w:r w:rsidR="005D3E8E" w:rsidRPr="00A61B21">
        <w:rPr>
          <w:rFonts w:ascii="Arial" w:hAnsi="Arial" w:cs="Arial"/>
          <w:bCs/>
        </w:rPr>
        <w:t>LI</w:t>
      </w:r>
      <w:r w:rsidR="00783DBA" w:rsidRPr="00A61B21">
        <w:rPr>
          <w:rFonts w:ascii="Arial" w:hAnsi="Arial" w:cs="Arial"/>
          <w:bCs/>
        </w:rPr>
        <w:t xml:space="preserve"> AJJA</w:t>
      </w:r>
    </w:p>
    <w:p w14:paraId="5F8EBFD2" w14:textId="27310C84" w:rsidR="00DE667A" w:rsidRPr="00A61B21" w:rsidRDefault="00DE667A" w:rsidP="000E4080">
      <w:pPr>
        <w:ind w:left="1440" w:hanging="1440"/>
        <w:rPr>
          <w:rFonts w:ascii="Arial" w:hAnsi="Arial" w:cs="Arial"/>
          <w:bCs/>
          <w:iCs/>
        </w:rPr>
      </w:pPr>
      <w:r w:rsidRPr="00A61B21">
        <w:rPr>
          <w:rFonts w:ascii="Arial" w:hAnsi="Arial" w:cs="Arial"/>
          <w:b/>
          <w:bCs/>
        </w:rPr>
        <w:t>Heard:</w:t>
      </w:r>
      <w:r w:rsidRPr="00A61B21">
        <w:rPr>
          <w:rFonts w:ascii="Arial" w:hAnsi="Arial" w:cs="Arial"/>
          <w:b/>
          <w:bCs/>
          <w:iCs/>
        </w:rPr>
        <w:t xml:space="preserve"> </w:t>
      </w:r>
      <w:r w:rsidR="00AE259D" w:rsidRPr="00A61B21">
        <w:rPr>
          <w:rFonts w:ascii="Arial" w:hAnsi="Arial" w:cs="Arial"/>
          <w:b/>
          <w:bCs/>
          <w:iCs/>
        </w:rPr>
        <w:tab/>
      </w:r>
      <w:r w:rsidRPr="00A61B21">
        <w:rPr>
          <w:rFonts w:ascii="Arial" w:hAnsi="Arial" w:cs="Arial"/>
          <w:bCs/>
          <w:iCs/>
        </w:rPr>
        <w:t>1 November 2022</w:t>
      </w:r>
    </w:p>
    <w:p w14:paraId="19F36D31" w14:textId="79B3F392" w:rsidR="00DE667A" w:rsidRPr="00A61B21" w:rsidRDefault="00DE667A" w:rsidP="00380F0A">
      <w:pPr>
        <w:ind w:left="1440" w:hanging="1440"/>
        <w:rPr>
          <w:rFonts w:ascii="Arial" w:hAnsi="Arial" w:cs="Arial"/>
          <w:bCs/>
          <w:iCs/>
        </w:rPr>
      </w:pPr>
      <w:r w:rsidRPr="00A61B21">
        <w:rPr>
          <w:rFonts w:ascii="Arial" w:hAnsi="Arial" w:cs="Arial"/>
          <w:b/>
          <w:bCs/>
        </w:rPr>
        <w:t>Delivered:</w:t>
      </w:r>
      <w:r w:rsidR="007E0D22">
        <w:rPr>
          <w:rFonts w:ascii="Arial" w:hAnsi="Arial" w:cs="Arial"/>
          <w:b/>
          <w:bCs/>
        </w:rPr>
        <w:tab/>
      </w:r>
      <w:r w:rsidR="007E0D22" w:rsidRPr="007E0D22">
        <w:rPr>
          <w:rFonts w:ascii="Arial" w:hAnsi="Arial" w:cs="Arial"/>
          <w:bCs/>
        </w:rPr>
        <w:t>30 November 2022</w:t>
      </w:r>
    </w:p>
    <w:p w14:paraId="27CC56FC" w14:textId="27D8033E" w:rsidR="008159AB" w:rsidRPr="00A61B21" w:rsidRDefault="00DE667A" w:rsidP="00AE259D">
      <w:pPr>
        <w:rPr>
          <w:rFonts w:ascii="Arial" w:hAnsi="Arial" w:cs="Arial"/>
          <w:bCs/>
          <w:iCs/>
        </w:rPr>
      </w:pPr>
      <w:r w:rsidRPr="00A61B21">
        <w:rPr>
          <w:rFonts w:ascii="Arial" w:hAnsi="Arial" w:cs="Arial"/>
          <w:b/>
          <w:bCs/>
          <w:iCs/>
        </w:rPr>
        <w:t xml:space="preserve">Summary: </w:t>
      </w:r>
      <w:r w:rsidRPr="00A61B21">
        <w:rPr>
          <w:rFonts w:ascii="Arial" w:hAnsi="Arial" w:cs="Arial"/>
          <w:bCs/>
          <w:iCs/>
        </w:rPr>
        <w:t xml:space="preserve">Administrative </w:t>
      </w:r>
      <w:r w:rsidR="006A7E68" w:rsidRPr="00A61B21">
        <w:rPr>
          <w:rFonts w:ascii="Arial" w:hAnsi="Arial" w:cs="Arial"/>
          <w:bCs/>
          <w:iCs/>
        </w:rPr>
        <w:t>l</w:t>
      </w:r>
      <w:r w:rsidRPr="00A61B21">
        <w:rPr>
          <w:rFonts w:ascii="Arial" w:hAnsi="Arial" w:cs="Arial"/>
          <w:bCs/>
          <w:iCs/>
        </w:rPr>
        <w:t>aw</w:t>
      </w:r>
      <w:r w:rsidR="00A24535" w:rsidRPr="00A61B21">
        <w:rPr>
          <w:rFonts w:ascii="Arial" w:hAnsi="Arial" w:cs="Arial"/>
          <w:bCs/>
          <w:iCs/>
        </w:rPr>
        <w:t xml:space="preserve"> </w:t>
      </w:r>
      <w:r w:rsidR="006A7E68" w:rsidRPr="00A61B21">
        <w:rPr>
          <w:rFonts w:ascii="Arial" w:hAnsi="Arial" w:cs="Arial"/>
          <w:bCs/>
          <w:iCs/>
        </w:rPr>
        <w:t>–</w:t>
      </w:r>
      <w:r w:rsidRPr="00A61B21">
        <w:rPr>
          <w:rFonts w:ascii="Arial" w:hAnsi="Arial" w:cs="Arial"/>
          <w:bCs/>
          <w:iCs/>
        </w:rPr>
        <w:t xml:space="preserve"> </w:t>
      </w:r>
      <w:r w:rsidR="006A7E68" w:rsidRPr="00A61B21">
        <w:rPr>
          <w:rFonts w:ascii="Arial" w:hAnsi="Arial" w:cs="Arial"/>
          <w:bCs/>
          <w:iCs/>
        </w:rPr>
        <w:t>r</w:t>
      </w:r>
      <w:r w:rsidRPr="00A61B21">
        <w:rPr>
          <w:rFonts w:ascii="Arial" w:hAnsi="Arial" w:cs="Arial"/>
          <w:bCs/>
          <w:iCs/>
        </w:rPr>
        <w:t>eview of</w:t>
      </w:r>
      <w:r w:rsidR="0040014A" w:rsidRPr="00A61B21">
        <w:rPr>
          <w:rFonts w:ascii="Arial" w:hAnsi="Arial" w:cs="Arial"/>
          <w:bCs/>
          <w:iCs/>
        </w:rPr>
        <w:t xml:space="preserve"> decision of </w:t>
      </w:r>
      <w:r w:rsidRPr="00A61B21">
        <w:rPr>
          <w:rFonts w:ascii="Arial" w:hAnsi="Arial" w:cs="Arial"/>
          <w:bCs/>
          <w:iCs/>
        </w:rPr>
        <w:t>one organ o</w:t>
      </w:r>
      <w:r w:rsidR="00AE259D" w:rsidRPr="00A61B21">
        <w:rPr>
          <w:rFonts w:ascii="Arial" w:hAnsi="Arial" w:cs="Arial"/>
          <w:bCs/>
          <w:iCs/>
        </w:rPr>
        <w:t>f state by another</w:t>
      </w:r>
      <w:r w:rsidR="006A7E68" w:rsidRPr="00A61B21">
        <w:rPr>
          <w:rFonts w:ascii="Arial" w:hAnsi="Arial" w:cs="Arial"/>
          <w:bCs/>
          <w:iCs/>
        </w:rPr>
        <w:t xml:space="preserve"> –</w:t>
      </w:r>
      <w:r w:rsidR="00AE259D" w:rsidRPr="00A61B21">
        <w:rPr>
          <w:rFonts w:ascii="Arial" w:hAnsi="Arial" w:cs="Arial"/>
          <w:bCs/>
          <w:iCs/>
        </w:rPr>
        <w:t xml:space="preserve"> </w:t>
      </w:r>
      <w:r w:rsidR="0040014A" w:rsidRPr="00A61B21">
        <w:rPr>
          <w:rFonts w:ascii="Arial" w:hAnsi="Arial" w:cs="Arial"/>
          <w:bCs/>
          <w:iCs/>
        </w:rPr>
        <w:t>w</w:t>
      </w:r>
      <w:r w:rsidR="00AE259D" w:rsidRPr="00A61B21">
        <w:rPr>
          <w:rFonts w:ascii="Arial" w:hAnsi="Arial" w:cs="Arial"/>
          <w:bCs/>
          <w:iCs/>
        </w:rPr>
        <w:t xml:space="preserve">hether </w:t>
      </w:r>
      <w:r w:rsidRPr="00A61B21">
        <w:rPr>
          <w:rFonts w:ascii="Arial" w:hAnsi="Arial" w:cs="Arial"/>
          <w:bCs/>
          <w:iCs/>
        </w:rPr>
        <w:t xml:space="preserve">review under </w:t>
      </w:r>
      <w:r w:rsidR="0040014A" w:rsidRPr="00A61B21">
        <w:rPr>
          <w:rFonts w:ascii="Arial" w:hAnsi="Arial" w:cs="Arial"/>
          <w:bCs/>
          <w:iCs/>
        </w:rPr>
        <w:t xml:space="preserve">the </w:t>
      </w:r>
      <w:r w:rsidRPr="00A61B21">
        <w:rPr>
          <w:rFonts w:ascii="Arial" w:hAnsi="Arial" w:cs="Arial"/>
          <w:bCs/>
          <w:iCs/>
        </w:rPr>
        <w:t>Promo</w:t>
      </w:r>
      <w:r w:rsidR="00AE259D" w:rsidRPr="00A61B21">
        <w:rPr>
          <w:rFonts w:ascii="Arial" w:hAnsi="Arial" w:cs="Arial"/>
          <w:bCs/>
          <w:iCs/>
        </w:rPr>
        <w:t>tion of Administrative Justice</w:t>
      </w:r>
      <w:r w:rsidRPr="00A61B21">
        <w:rPr>
          <w:rFonts w:ascii="Arial" w:hAnsi="Arial" w:cs="Arial"/>
          <w:bCs/>
          <w:iCs/>
        </w:rPr>
        <w:t xml:space="preserve"> Act 3 of 2000 </w:t>
      </w:r>
      <w:r w:rsidR="00AE259D" w:rsidRPr="00A61B21">
        <w:rPr>
          <w:rFonts w:ascii="Arial" w:hAnsi="Arial" w:cs="Arial"/>
          <w:bCs/>
          <w:iCs/>
        </w:rPr>
        <w:t>(</w:t>
      </w:r>
      <w:r w:rsidRPr="00A61B21">
        <w:rPr>
          <w:rFonts w:ascii="Arial" w:hAnsi="Arial" w:cs="Arial"/>
          <w:bCs/>
          <w:iCs/>
        </w:rPr>
        <w:t xml:space="preserve">PAJA) or </w:t>
      </w:r>
      <w:r w:rsidR="0040014A" w:rsidRPr="00A61B21">
        <w:rPr>
          <w:rFonts w:ascii="Arial" w:hAnsi="Arial" w:cs="Arial"/>
          <w:bCs/>
          <w:iCs/>
        </w:rPr>
        <w:t>p</w:t>
      </w:r>
      <w:r w:rsidRPr="00A61B21">
        <w:rPr>
          <w:rFonts w:ascii="Arial" w:hAnsi="Arial" w:cs="Arial"/>
          <w:bCs/>
          <w:iCs/>
        </w:rPr>
        <w:t xml:space="preserve">rinciple of </w:t>
      </w:r>
      <w:r w:rsidR="0040014A" w:rsidRPr="00A61B21">
        <w:rPr>
          <w:rFonts w:ascii="Arial" w:hAnsi="Arial" w:cs="Arial"/>
          <w:bCs/>
          <w:iCs/>
        </w:rPr>
        <w:t>l</w:t>
      </w:r>
      <w:r w:rsidRPr="00A61B21">
        <w:rPr>
          <w:rFonts w:ascii="Arial" w:hAnsi="Arial" w:cs="Arial"/>
          <w:bCs/>
          <w:iCs/>
        </w:rPr>
        <w:t>egality</w:t>
      </w:r>
      <w:r w:rsidR="006A7E68" w:rsidRPr="00A61B21">
        <w:rPr>
          <w:rFonts w:ascii="Arial" w:hAnsi="Arial" w:cs="Arial"/>
          <w:bCs/>
          <w:iCs/>
        </w:rPr>
        <w:t xml:space="preserve"> –</w:t>
      </w:r>
      <w:r w:rsidRPr="00A61B21">
        <w:rPr>
          <w:rFonts w:ascii="Arial" w:hAnsi="Arial" w:cs="Arial"/>
          <w:bCs/>
          <w:iCs/>
        </w:rPr>
        <w:t xml:space="preserve"> </w:t>
      </w:r>
      <w:r w:rsidR="0040014A" w:rsidRPr="00A61B21">
        <w:rPr>
          <w:rFonts w:ascii="Arial" w:hAnsi="Arial" w:cs="Arial"/>
          <w:bCs/>
          <w:iCs/>
        </w:rPr>
        <w:t>e</w:t>
      </w:r>
      <w:r w:rsidR="00B377FA" w:rsidRPr="00A61B21">
        <w:rPr>
          <w:rFonts w:ascii="Arial" w:hAnsi="Arial" w:cs="Arial"/>
          <w:bCs/>
          <w:iCs/>
        </w:rPr>
        <w:t>xhaustion of</w:t>
      </w:r>
      <w:r w:rsidR="00176803" w:rsidRPr="00A61B21">
        <w:rPr>
          <w:rFonts w:ascii="Arial" w:hAnsi="Arial" w:cs="Arial"/>
          <w:bCs/>
          <w:iCs/>
        </w:rPr>
        <w:t xml:space="preserve"> </w:t>
      </w:r>
      <w:r w:rsidR="0040014A" w:rsidRPr="00A61B21">
        <w:rPr>
          <w:rFonts w:ascii="Arial" w:hAnsi="Arial" w:cs="Arial"/>
          <w:bCs/>
          <w:iCs/>
        </w:rPr>
        <w:t>i</w:t>
      </w:r>
      <w:r w:rsidRPr="00A61B21">
        <w:rPr>
          <w:rFonts w:ascii="Arial" w:hAnsi="Arial" w:cs="Arial"/>
          <w:bCs/>
          <w:iCs/>
        </w:rPr>
        <w:t>nternal remedies</w:t>
      </w:r>
      <w:r w:rsidR="00A24535" w:rsidRPr="00A61B21">
        <w:rPr>
          <w:rFonts w:ascii="Arial" w:hAnsi="Arial" w:cs="Arial"/>
          <w:bCs/>
          <w:iCs/>
        </w:rPr>
        <w:t xml:space="preserve"> </w:t>
      </w:r>
      <w:r w:rsidR="006A7E68" w:rsidRPr="00A61B21">
        <w:rPr>
          <w:rFonts w:ascii="Arial" w:hAnsi="Arial" w:cs="Arial"/>
          <w:bCs/>
          <w:iCs/>
        </w:rPr>
        <w:t>– applicability of s 7(2) of PAJA</w:t>
      </w:r>
      <w:r w:rsidR="00C11EE6">
        <w:rPr>
          <w:rFonts w:ascii="Arial" w:hAnsi="Arial" w:cs="Arial"/>
          <w:bCs/>
          <w:iCs/>
        </w:rPr>
        <w:t xml:space="preserve"> or under pri</w:t>
      </w:r>
      <w:r w:rsidR="00D478D6">
        <w:rPr>
          <w:rFonts w:ascii="Arial" w:hAnsi="Arial" w:cs="Arial"/>
          <w:bCs/>
          <w:iCs/>
        </w:rPr>
        <w:t>n</w:t>
      </w:r>
      <w:r w:rsidR="00C11EE6">
        <w:rPr>
          <w:rFonts w:ascii="Arial" w:hAnsi="Arial" w:cs="Arial"/>
          <w:bCs/>
          <w:iCs/>
        </w:rPr>
        <w:t>ciple</w:t>
      </w:r>
      <w:r w:rsidR="00D478D6">
        <w:rPr>
          <w:rFonts w:ascii="Arial" w:hAnsi="Arial" w:cs="Arial"/>
          <w:bCs/>
          <w:iCs/>
        </w:rPr>
        <w:t xml:space="preserve"> </w:t>
      </w:r>
      <w:r w:rsidR="00C11EE6">
        <w:rPr>
          <w:rFonts w:ascii="Arial" w:hAnsi="Arial" w:cs="Arial"/>
          <w:bCs/>
          <w:iCs/>
        </w:rPr>
        <w:t xml:space="preserve">of </w:t>
      </w:r>
      <w:r w:rsidR="00DB127B" w:rsidRPr="00A61B21">
        <w:rPr>
          <w:rFonts w:ascii="Arial" w:hAnsi="Arial" w:cs="Arial"/>
          <w:bCs/>
          <w:iCs/>
        </w:rPr>
        <w:t>legality</w:t>
      </w:r>
      <w:r w:rsidR="0040014A" w:rsidRPr="00A61B21">
        <w:rPr>
          <w:rFonts w:ascii="Arial" w:hAnsi="Arial" w:cs="Arial"/>
          <w:bCs/>
          <w:iCs/>
        </w:rPr>
        <w:t>.</w:t>
      </w:r>
    </w:p>
    <w:p w14:paraId="36FAF66C" w14:textId="6053DEF7" w:rsidR="00BB1B22" w:rsidRPr="00A61B21" w:rsidRDefault="00E42E5E" w:rsidP="00BB7BE8">
      <w:pPr>
        <w:spacing w:after="160" w:line="259" w:lineRule="auto"/>
        <w:rPr>
          <w:rFonts w:ascii="Arial" w:hAnsi="Arial" w:cs="Arial"/>
          <w:b/>
        </w:rPr>
      </w:pPr>
      <w:r w:rsidRPr="00A61B21">
        <w:rPr>
          <w:rFonts w:ascii="Arial" w:hAnsi="Arial" w:cs="Arial"/>
          <w:bCs/>
        </w:rPr>
        <w:br w:type="page"/>
      </w:r>
      <w:r w:rsidR="005023EF" w:rsidRPr="00A61B21">
        <w:rPr>
          <w:rFonts w:ascii="Arial" w:hAnsi="Arial" w:cs="Arial"/>
          <w:b/>
        </w:rPr>
        <w:lastRenderedPageBreak/>
        <w:t>___________________________________________________________________</w:t>
      </w:r>
    </w:p>
    <w:p w14:paraId="54CC67AC" w14:textId="77777777" w:rsidR="005023EF" w:rsidRPr="00A61B21" w:rsidRDefault="005023EF" w:rsidP="000E3AE8">
      <w:pPr>
        <w:spacing w:line="276" w:lineRule="auto"/>
        <w:rPr>
          <w:rFonts w:ascii="Arial" w:hAnsi="Arial" w:cs="Arial"/>
          <w:b/>
        </w:rPr>
      </w:pPr>
    </w:p>
    <w:p w14:paraId="40B2148A" w14:textId="77777777" w:rsidR="005023EF" w:rsidRPr="00A61B21" w:rsidRDefault="005023EF" w:rsidP="000E3AE8">
      <w:pPr>
        <w:spacing w:line="276" w:lineRule="auto"/>
        <w:jc w:val="center"/>
        <w:rPr>
          <w:rFonts w:ascii="Arial" w:hAnsi="Arial" w:cs="Arial"/>
          <w:b/>
        </w:rPr>
      </w:pPr>
      <w:r w:rsidRPr="00A61B21">
        <w:rPr>
          <w:rFonts w:ascii="Arial" w:hAnsi="Arial" w:cs="Arial"/>
          <w:b/>
        </w:rPr>
        <w:t>ORDER</w:t>
      </w:r>
    </w:p>
    <w:p w14:paraId="21BD9898" w14:textId="25013CB7" w:rsidR="000E3AE8" w:rsidRPr="00A61B21" w:rsidRDefault="005023EF" w:rsidP="007E0D22">
      <w:pPr>
        <w:spacing w:line="276" w:lineRule="auto"/>
        <w:rPr>
          <w:rFonts w:ascii="Arial" w:hAnsi="Arial" w:cs="Arial"/>
          <w:b/>
          <w:bCs/>
        </w:rPr>
      </w:pPr>
      <w:r w:rsidRPr="00A61B21">
        <w:rPr>
          <w:rFonts w:ascii="Arial" w:hAnsi="Arial" w:cs="Arial"/>
          <w:b/>
        </w:rPr>
        <w:t>___________________________________________________________________</w:t>
      </w:r>
    </w:p>
    <w:p w14:paraId="71021D8B" w14:textId="7F1FFA50" w:rsidR="00351B4B" w:rsidRPr="00A61B21" w:rsidRDefault="00E0572D" w:rsidP="00816A00">
      <w:pPr>
        <w:pStyle w:val="ListBullet"/>
        <w:numPr>
          <w:ilvl w:val="0"/>
          <w:numId w:val="0"/>
        </w:numPr>
        <w:spacing w:after="0" w:line="360" w:lineRule="auto"/>
        <w:rPr>
          <w:rFonts w:ascii="Arial" w:hAnsi="Arial" w:cs="Arial"/>
          <w:bCs/>
          <w:sz w:val="24"/>
          <w:szCs w:val="24"/>
        </w:rPr>
      </w:pPr>
      <w:r w:rsidRPr="00A61B21">
        <w:rPr>
          <w:rFonts w:ascii="Arial" w:hAnsi="Arial" w:cs="Arial"/>
          <w:b/>
          <w:bCs/>
          <w:sz w:val="24"/>
          <w:szCs w:val="24"/>
        </w:rPr>
        <w:t>On appeal from</w:t>
      </w:r>
      <w:r w:rsidRPr="00A61B21">
        <w:rPr>
          <w:rFonts w:ascii="Arial" w:hAnsi="Arial" w:cs="Arial"/>
          <w:bCs/>
          <w:sz w:val="24"/>
          <w:szCs w:val="24"/>
        </w:rPr>
        <w:t xml:space="preserve">: </w:t>
      </w:r>
      <w:r w:rsidR="00B35557" w:rsidRPr="00A61B21">
        <w:rPr>
          <w:rFonts w:ascii="Arial" w:hAnsi="Arial" w:cs="Arial"/>
          <w:bCs/>
          <w:sz w:val="24"/>
          <w:szCs w:val="24"/>
        </w:rPr>
        <w:t>Gauteng</w:t>
      </w:r>
      <w:r w:rsidR="00285F3E" w:rsidRPr="00A61B21">
        <w:rPr>
          <w:rFonts w:ascii="Arial" w:hAnsi="Arial" w:cs="Arial"/>
          <w:bCs/>
          <w:sz w:val="24"/>
          <w:szCs w:val="24"/>
        </w:rPr>
        <w:t xml:space="preserve"> Divisio</w:t>
      </w:r>
      <w:r w:rsidR="00B35557" w:rsidRPr="00A61B21">
        <w:rPr>
          <w:rFonts w:ascii="Arial" w:hAnsi="Arial" w:cs="Arial"/>
          <w:bCs/>
          <w:sz w:val="24"/>
          <w:szCs w:val="24"/>
        </w:rPr>
        <w:t xml:space="preserve">n of the </w:t>
      </w:r>
      <w:r w:rsidR="00C707FC">
        <w:rPr>
          <w:rFonts w:ascii="Arial" w:hAnsi="Arial" w:cs="Arial"/>
          <w:bCs/>
          <w:sz w:val="24"/>
          <w:szCs w:val="24"/>
        </w:rPr>
        <w:t>High Court</w:t>
      </w:r>
      <w:r w:rsidR="00B35557" w:rsidRPr="00A61B21">
        <w:rPr>
          <w:rFonts w:ascii="Arial" w:hAnsi="Arial" w:cs="Arial"/>
          <w:bCs/>
          <w:sz w:val="24"/>
          <w:szCs w:val="24"/>
        </w:rPr>
        <w:t>, Pretoria</w:t>
      </w:r>
      <w:r w:rsidR="00BB7BE8" w:rsidRPr="00A61B21">
        <w:rPr>
          <w:rFonts w:ascii="Arial" w:hAnsi="Arial" w:cs="Arial"/>
          <w:bCs/>
          <w:sz w:val="24"/>
          <w:szCs w:val="24"/>
        </w:rPr>
        <w:t xml:space="preserve"> (</w:t>
      </w:r>
      <w:r w:rsidR="005D3E8E" w:rsidRPr="00A61B21">
        <w:rPr>
          <w:rFonts w:ascii="Arial" w:hAnsi="Arial" w:cs="Arial"/>
          <w:bCs/>
          <w:sz w:val="24"/>
          <w:szCs w:val="24"/>
        </w:rPr>
        <w:t xml:space="preserve">Fabricius </w:t>
      </w:r>
      <w:r w:rsidR="00BB7BE8" w:rsidRPr="00A61B21">
        <w:rPr>
          <w:rFonts w:ascii="Arial" w:hAnsi="Arial" w:cs="Arial"/>
          <w:sz w:val="24"/>
          <w:szCs w:val="24"/>
        </w:rPr>
        <w:t>J</w:t>
      </w:r>
      <w:r w:rsidR="00D478D6">
        <w:rPr>
          <w:rFonts w:ascii="Arial" w:hAnsi="Arial" w:cs="Arial"/>
          <w:sz w:val="24"/>
          <w:szCs w:val="24"/>
        </w:rPr>
        <w:t>,</w:t>
      </w:r>
      <w:r w:rsidR="00BB7BE8" w:rsidRPr="00A61B21">
        <w:rPr>
          <w:rFonts w:ascii="Arial" w:hAnsi="Arial" w:cs="Arial"/>
          <w:bCs/>
          <w:sz w:val="24"/>
          <w:szCs w:val="24"/>
        </w:rPr>
        <w:t xml:space="preserve"> sitting as</w:t>
      </w:r>
      <w:r w:rsidR="00B35557" w:rsidRPr="00A61B21">
        <w:rPr>
          <w:rFonts w:ascii="Arial" w:hAnsi="Arial" w:cs="Arial"/>
          <w:bCs/>
          <w:sz w:val="24"/>
          <w:szCs w:val="24"/>
        </w:rPr>
        <w:t xml:space="preserve"> </w:t>
      </w:r>
      <w:r w:rsidR="005D3E8E" w:rsidRPr="00A61B21">
        <w:rPr>
          <w:rFonts w:ascii="Arial" w:hAnsi="Arial" w:cs="Arial"/>
          <w:bCs/>
          <w:sz w:val="24"/>
          <w:szCs w:val="24"/>
        </w:rPr>
        <w:t>court of first instance</w:t>
      </w:r>
      <w:r w:rsidR="00DE667A" w:rsidRPr="00A61B21">
        <w:rPr>
          <w:rFonts w:ascii="Arial" w:hAnsi="Arial" w:cs="Arial"/>
          <w:bCs/>
          <w:sz w:val="24"/>
          <w:szCs w:val="24"/>
        </w:rPr>
        <w:t>)</w:t>
      </w:r>
      <w:r w:rsidR="0068463E" w:rsidRPr="00A61B21">
        <w:rPr>
          <w:rFonts w:ascii="Arial" w:hAnsi="Arial" w:cs="Arial"/>
          <w:bCs/>
          <w:sz w:val="24"/>
          <w:szCs w:val="24"/>
        </w:rPr>
        <w:t xml:space="preserve"> </w:t>
      </w:r>
      <w:r w:rsidR="00DE667A" w:rsidRPr="00A61B21">
        <w:rPr>
          <w:rFonts w:ascii="Arial" w:hAnsi="Arial" w:cs="Arial"/>
          <w:bCs/>
          <w:sz w:val="24"/>
          <w:szCs w:val="24"/>
        </w:rPr>
        <w:t>:</w:t>
      </w:r>
    </w:p>
    <w:p w14:paraId="31D0CE54" w14:textId="3B82EE21" w:rsidR="00966023" w:rsidRPr="00A61B21" w:rsidRDefault="00966023" w:rsidP="00966023">
      <w:pPr>
        <w:rPr>
          <w:rFonts w:ascii="Arial" w:hAnsi="Arial" w:cs="Arial"/>
        </w:rPr>
      </w:pPr>
      <w:r w:rsidRPr="00A61B21">
        <w:rPr>
          <w:rFonts w:ascii="Arial" w:hAnsi="Arial" w:cs="Arial"/>
        </w:rPr>
        <w:t>1</w:t>
      </w:r>
      <w:r w:rsidR="0040014A" w:rsidRPr="00A61B21">
        <w:rPr>
          <w:rFonts w:ascii="Arial" w:hAnsi="Arial" w:cs="Arial"/>
        </w:rPr>
        <w:t xml:space="preserve"> </w:t>
      </w:r>
      <w:r w:rsidRPr="00A61B21">
        <w:rPr>
          <w:rFonts w:ascii="Arial" w:hAnsi="Arial" w:cs="Arial"/>
        </w:rPr>
        <w:t>Leave to appeal is granted with costs</w:t>
      </w:r>
      <w:r w:rsidR="00DB127B" w:rsidRPr="00A61B21">
        <w:rPr>
          <w:rFonts w:ascii="Arial" w:hAnsi="Arial" w:cs="Arial"/>
        </w:rPr>
        <w:t>,</w:t>
      </w:r>
      <w:r w:rsidRPr="00A61B21">
        <w:rPr>
          <w:rFonts w:ascii="Arial" w:hAnsi="Arial" w:cs="Arial"/>
        </w:rPr>
        <w:t xml:space="preserve"> including the costs of two counsel</w:t>
      </w:r>
      <w:r w:rsidR="0040014A" w:rsidRPr="00A61B21">
        <w:rPr>
          <w:rFonts w:ascii="Arial" w:hAnsi="Arial" w:cs="Arial"/>
        </w:rPr>
        <w:t>.</w:t>
      </w:r>
    </w:p>
    <w:p w14:paraId="32883D4A" w14:textId="28F643ED" w:rsidR="00966023" w:rsidRPr="00A61B21" w:rsidRDefault="00966023" w:rsidP="00966023">
      <w:pPr>
        <w:rPr>
          <w:rFonts w:ascii="Arial" w:hAnsi="Arial" w:cs="Arial"/>
        </w:rPr>
      </w:pPr>
      <w:r w:rsidRPr="00A61B21">
        <w:rPr>
          <w:rFonts w:ascii="Arial" w:hAnsi="Arial" w:cs="Arial"/>
        </w:rPr>
        <w:t xml:space="preserve">2 </w:t>
      </w:r>
      <w:r w:rsidR="00AE259D" w:rsidRPr="00A61B21">
        <w:rPr>
          <w:rFonts w:ascii="Arial" w:hAnsi="Arial" w:cs="Arial"/>
        </w:rPr>
        <w:t>The appeal is upheld with costs</w:t>
      </w:r>
      <w:r w:rsidRPr="00A61B21">
        <w:rPr>
          <w:rFonts w:ascii="Arial" w:hAnsi="Arial" w:cs="Arial"/>
        </w:rPr>
        <w:t>, including the costs of two counsel.</w:t>
      </w:r>
    </w:p>
    <w:p w14:paraId="2FA41261" w14:textId="147EEA6C" w:rsidR="00966023" w:rsidRPr="00A61B21" w:rsidRDefault="00966023" w:rsidP="00966023">
      <w:pPr>
        <w:rPr>
          <w:rFonts w:ascii="Arial" w:hAnsi="Arial" w:cs="Arial"/>
        </w:rPr>
      </w:pPr>
      <w:r w:rsidRPr="00A61B21">
        <w:rPr>
          <w:rFonts w:ascii="Arial" w:hAnsi="Arial" w:cs="Arial"/>
        </w:rPr>
        <w:t xml:space="preserve">3 The order of the </w:t>
      </w:r>
      <w:r w:rsidR="00D478D6">
        <w:rPr>
          <w:rFonts w:ascii="Arial" w:hAnsi="Arial" w:cs="Arial"/>
        </w:rPr>
        <w:t>h</w:t>
      </w:r>
      <w:r w:rsidR="00C707FC">
        <w:rPr>
          <w:rFonts w:ascii="Arial" w:hAnsi="Arial" w:cs="Arial"/>
        </w:rPr>
        <w:t xml:space="preserve">igh </w:t>
      </w:r>
      <w:r w:rsidR="00D478D6">
        <w:rPr>
          <w:rFonts w:ascii="Arial" w:hAnsi="Arial" w:cs="Arial"/>
        </w:rPr>
        <w:t>c</w:t>
      </w:r>
      <w:r w:rsidR="00C707FC">
        <w:rPr>
          <w:rFonts w:ascii="Arial" w:hAnsi="Arial" w:cs="Arial"/>
        </w:rPr>
        <w:t>ourt</w:t>
      </w:r>
      <w:r w:rsidR="00AE259D" w:rsidRPr="00A61B21">
        <w:rPr>
          <w:rFonts w:ascii="Arial" w:hAnsi="Arial" w:cs="Arial"/>
        </w:rPr>
        <w:t xml:space="preserve"> is set aside and replaced </w:t>
      </w:r>
      <w:r w:rsidRPr="00A61B21">
        <w:rPr>
          <w:rFonts w:ascii="Arial" w:hAnsi="Arial" w:cs="Arial"/>
        </w:rPr>
        <w:t>with the following order:</w:t>
      </w:r>
    </w:p>
    <w:p w14:paraId="4461EC8E" w14:textId="2A9453A0" w:rsidR="00966023" w:rsidRPr="00A61B21" w:rsidRDefault="00966023" w:rsidP="007E0D22">
      <w:pPr>
        <w:ind w:left="720"/>
        <w:rPr>
          <w:rFonts w:ascii="Arial" w:hAnsi="Arial" w:cs="Arial"/>
        </w:rPr>
      </w:pPr>
      <w:r w:rsidRPr="00A61B21">
        <w:rPr>
          <w:rFonts w:ascii="Arial" w:hAnsi="Arial" w:cs="Arial"/>
        </w:rPr>
        <w:t>‘1 The decision by the Professional C</w:t>
      </w:r>
      <w:r w:rsidR="00AE259D" w:rsidRPr="00A61B21">
        <w:rPr>
          <w:rFonts w:ascii="Arial" w:hAnsi="Arial" w:cs="Arial"/>
        </w:rPr>
        <w:t xml:space="preserve">onduct Committee of </w:t>
      </w:r>
      <w:r w:rsidRPr="00A61B21">
        <w:rPr>
          <w:rFonts w:ascii="Arial" w:hAnsi="Arial" w:cs="Arial"/>
        </w:rPr>
        <w:t>the Medical and Dental Profession</w:t>
      </w:r>
      <w:r w:rsidR="00DB127B" w:rsidRPr="00A61B21">
        <w:rPr>
          <w:rFonts w:ascii="Arial" w:hAnsi="Arial" w:cs="Arial"/>
        </w:rPr>
        <w:t>s</w:t>
      </w:r>
      <w:r w:rsidRPr="00A61B21">
        <w:rPr>
          <w:rFonts w:ascii="Arial" w:hAnsi="Arial" w:cs="Arial"/>
        </w:rPr>
        <w:t xml:space="preserve"> Board, as contemplated in the Health Professions Act 56 of 1974, constituted </w:t>
      </w:r>
      <w:r w:rsidR="0040014A" w:rsidRPr="00A61B21">
        <w:rPr>
          <w:rFonts w:ascii="Arial" w:hAnsi="Arial" w:cs="Arial"/>
        </w:rPr>
        <w:t>of</w:t>
      </w:r>
      <w:r w:rsidR="00AE259D" w:rsidRPr="00A61B21">
        <w:rPr>
          <w:rFonts w:ascii="Arial" w:hAnsi="Arial" w:cs="Arial"/>
        </w:rPr>
        <w:t xml:space="preserve"> the first to sixth respondents</w:t>
      </w:r>
      <w:r w:rsidRPr="00A61B21">
        <w:rPr>
          <w:rFonts w:ascii="Arial" w:hAnsi="Arial" w:cs="Arial"/>
        </w:rPr>
        <w:t xml:space="preserve"> and take</w:t>
      </w:r>
      <w:r w:rsidR="00AE259D" w:rsidRPr="00A61B21">
        <w:rPr>
          <w:rFonts w:ascii="Arial" w:hAnsi="Arial" w:cs="Arial"/>
        </w:rPr>
        <w:t>n on 3 July 2017 (the decision</w:t>
      </w:r>
      <w:r w:rsidRPr="00A61B21">
        <w:rPr>
          <w:rFonts w:ascii="Arial" w:hAnsi="Arial" w:cs="Arial"/>
        </w:rPr>
        <w:t>) is reviewed and set aside.</w:t>
      </w:r>
    </w:p>
    <w:p w14:paraId="7BBCCAD7" w14:textId="1B1FF928" w:rsidR="00966023" w:rsidRPr="00A61B21" w:rsidRDefault="00966023" w:rsidP="007E0D22">
      <w:pPr>
        <w:ind w:firstLine="720"/>
        <w:rPr>
          <w:rFonts w:ascii="Arial" w:hAnsi="Arial" w:cs="Arial"/>
        </w:rPr>
      </w:pPr>
      <w:r w:rsidRPr="00A61B21">
        <w:rPr>
          <w:rFonts w:ascii="Arial" w:hAnsi="Arial" w:cs="Arial"/>
        </w:rPr>
        <w:t>2 The decision is substituted with the following:</w:t>
      </w:r>
    </w:p>
    <w:p w14:paraId="14BE9058" w14:textId="7226BCBB" w:rsidR="00966023" w:rsidRPr="00A61B21" w:rsidRDefault="00AE259D" w:rsidP="007E0D22">
      <w:pPr>
        <w:ind w:firstLine="720"/>
        <w:rPr>
          <w:rFonts w:ascii="Arial" w:hAnsi="Arial" w:cs="Arial"/>
        </w:rPr>
      </w:pPr>
      <w:r w:rsidRPr="00A61B21">
        <w:rPr>
          <w:rFonts w:ascii="Arial" w:hAnsi="Arial" w:cs="Arial"/>
        </w:rPr>
        <w:t>“</w:t>
      </w:r>
      <w:r w:rsidR="00966023" w:rsidRPr="00A61B21">
        <w:rPr>
          <w:rFonts w:ascii="Arial" w:hAnsi="Arial" w:cs="Arial"/>
        </w:rPr>
        <w:t>Th</w:t>
      </w:r>
      <w:r w:rsidRPr="00A61B21">
        <w:rPr>
          <w:rFonts w:ascii="Arial" w:hAnsi="Arial" w:cs="Arial"/>
        </w:rPr>
        <w:t>e point in limine is dismissed.”</w:t>
      </w:r>
    </w:p>
    <w:p w14:paraId="6FA40B27" w14:textId="1554F043" w:rsidR="00E972B9" w:rsidRDefault="0040014A" w:rsidP="007E0D22">
      <w:pPr>
        <w:pBdr>
          <w:bottom w:val="single" w:sz="12" w:space="1" w:color="auto"/>
        </w:pBdr>
        <w:ind w:firstLine="720"/>
        <w:rPr>
          <w:rFonts w:ascii="Arial" w:hAnsi="Arial" w:cs="Arial"/>
        </w:rPr>
      </w:pPr>
      <w:r w:rsidRPr="00A61B21">
        <w:rPr>
          <w:rFonts w:ascii="Arial" w:hAnsi="Arial" w:cs="Arial"/>
        </w:rPr>
        <w:t>3</w:t>
      </w:r>
      <w:r w:rsidR="00966023" w:rsidRPr="00A61B21">
        <w:rPr>
          <w:rFonts w:ascii="Arial" w:hAnsi="Arial" w:cs="Arial"/>
        </w:rPr>
        <w:t xml:space="preserve"> The seventh respondent is directed to pay the </w:t>
      </w:r>
      <w:r w:rsidR="009C25E3" w:rsidRPr="00A61B21">
        <w:rPr>
          <w:rFonts w:ascii="Arial" w:hAnsi="Arial" w:cs="Arial"/>
        </w:rPr>
        <w:t xml:space="preserve">applicant’s </w:t>
      </w:r>
      <w:r w:rsidR="00966023" w:rsidRPr="00A61B21">
        <w:rPr>
          <w:rFonts w:ascii="Arial" w:hAnsi="Arial" w:cs="Arial"/>
        </w:rPr>
        <w:t>costs.’</w:t>
      </w:r>
    </w:p>
    <w:p w14:paraId="5FC40C7D" w14:textId="77777777" w:rsidR="00D478D6" w:rsidRPr="00A61B21" w:rsidRDefault="00D478D6" w:rsidP="00E972B9">
      <w:pPr>
        <w:pBdr>
          <w:bottom w:val="single" w:sz="12" w:space="1" w:color="auto"/>
        </w:pBdr>
        <w:rPr>
          <w:rFonts w:ascii="Arial" w:hAnsi="Arial" w:cs="Arial"/>
        </w:rPr>
      </w:pPr>
    </w:p>
    <w:p w14:paraId="3803351B" w14:textId="77777777" w:rsidR="00AE259D" w:rsidRPr="00A61B21" w:rsidRDefault="00AE259D" w:rsidP="00AE259D">
      <w:pPr>
        <w:pStyle w:val="ListBullet"/>
        <w:numPr>
          <w:ilvl w:val="0"/>
          <w:numId w:val="0"/>
        </w:numPr>
        <w:spacing w:after="0" w:line="276" w:lineRule="auto"/>
        <w:rPr>
          <w:rFonts w:ascii="Arial" w:hAnsi="Arial" w:cs="Arial"/>
          <w:b/>
          <w:sz w:val="24"/>
          <w:szCs w:val="24"/>
        </w:rPr>
      </w:pPr>
    </w:p>
    <w:p w14:paraId="20CB09E8" w14:textId="77777777" w:rsidR="000E3AE8" w:rsidRPr="00A61B21" w:rsidRDefault="000E3AE8" w:rsidP="000E3AE8">
      <w:pPr>
        <w:pStyle w:val="ListBullet"/>
        <w:numPr>
          <w:ilvl w:val="0"/>
          <w:numId w:val="0"/>
        </w:numPr>
        <w:spacing w:after="0" w:line="276" w:lineRule="auto"/>
        <w:jc w:val="center"/>
        <w:rPr>
          <w:rFonts w:ascii="Arial" w:hAnsi="Arial" w:cs="Arial"/>
          <w:b/>
          <w:sz w:val="24"/>
          <w:szCs w:val="24"/>
        </w:rPr>
      </w:pPr>
      <w:r w:rsidRPr="00A61B21">
        <w:rPr>
          <w:rFonts w:ascii="Arial" w:hAnsi="Arial" w:cs="Arial"/>
          <w:b/>
          <w:sz w:val="24"/>
          <w:szCs w:val="24"/>
        </w:rPr>
        <w:t>JUDGMENT</w:t>
      </w:r>
    </w:p>
    <w:p w14:paraId="0348E81C" w14:textId="4791E52B" w:rsidR="00380398" w:rsidRPr="00A61B21" w:rsidRDefault="000E3AE8" w:rsidP="00AE259D">
      <w:pPr>
        <w:pStyle w:val="ListBullet"/>
        <w:numPr>
          <w:ilvl w:val="0"/>
          <w:numId w:val="0"/>
        </w:numPr>
        <w:spacing w:after="0" w:line="360" w:lineRule="auto"/>
        <w:rPr>
          <w:rFonts w:ascii="Arial" w:hAnsi="Arial" w:cs="Arial"/>
          <w:b/>
          <w:sz w:val="24"/>
          <w:szCs w:val="24"/>
        </w:rPr>
      </w:pPr>
      <w:r w:rsidRPr="00A61B21">
        <w:rPr>
          <w:rFonts w:ascii="Arial" w:hAnsi="Arial" w:cs="Arial"/>
          <w:b/>
          <w:sz w:val="24"/>
          <w:szCs w:val="24"/>
        </w:rPr>
        <w:t>___________________________________________________________________</w:t>
      </w:r>
    </w:p>
    <w:p w14:paraId="0B6484DF" w14:textId="0D5F3456" w:rsidR="00380F0A" w:rsidRPr="00A61B21" w:rsidRDefault="004834FD" w:rsidP="000E3AE8">
      <w:pPr>
        <w:rPr>
          <w:rFonts w:ascii="Arial" w:hAnsi="Arial" w:cs="Arial"/>
          <w:b/>
        </w:rPr>
      </w:pPr>
      <w:r w:rsidRPr="00A61B21">
        <w:rPr>
          <w:rFonts w:ascii="Arial" w:hAnsi="Arial" w:cs="Arial"/>
          <w:b/>
        </w:rPr>
        <w:t>Mali</w:t>
      </w:r>
      <w:r w:rsidR="000E3AE8" w:rsidRPr="00A61B21">
        <w:rPr>
          <w:rFonts w:ascii="Arial" w:hAnsi="Arial" w:cs="Arial"/>
          <w:b/>
        </w:rPr>
        <w:t xml:space="preserve"> </w:t>
      </w:r>
      <w:r w:rsidR="00334079" w:rsidRPr="00A61B21">
        <w:rPr>
          <w:rFonts w:ascii="Arial" w:hAnsi="Arial" w:cs="Arial"/>
          <w:b/>
        </w:rPr>
        <w:t>A</w:t>
      </w:r>
      <w:r w:rsidR="000E3AE8" w:rsidRPr="00A61B21">
        <w:rPr>
          <w:rFonts w:ascii="Arial" w:hAnsi="Arial" w:cs="Arial"/>
          <w:b/>
        </w:rPr>
        <w:t>J</w:t>
      </w:r>
      <w:r w:rsidR="00075D7F" w:rsidRPr="00A61B21">
        <w:rPr>
          <w:rFonts w:ascii="Arial" w:hAnsi="Arial" w:cs="Arial"/>
          <w:b/>
        </w:rPr>
        <w:t>A</w:t>
      </w:r>
      <w:r w:rsidR="00FF5A22" w:rsidRPr="00A61B21">
        <w:rPr>
          <w:rFonts w:ascii="Arial" w:hAnsi="Arial" w:cs="Arial"/>
          <w:b/>
        </w:rPr>
        <w:t xml:space="preserve"> (</w:t>
      </w:r>
      <w:r w:rsidR="00844771">
        <w:rPr>
          <w:rFonts w:ascii="Arial" w:hAnsi="Arial" w:cs="Arial"/>
          <w:b/>
        </w:rPr>
        <w:t xml:space="preserve">Plasket and Mabindla-Boqwana JJA and Windell and Chetty AJJA </w:t>
      </w:r>
      <w:r w:rsidR="001D5237" w:rsidRPr="00A61B21">
        <w:rPr>
          <w:rFonts w:ascii="Arial" w:hAnsi="Arial" w:cs="Arial"/>
          <w:b/>
        </w:rPr>
        <w:t>concurring</w:t>
      </w:r>
      <w:r w:rsidR="003D4416" w:rsidRPr="00A61B21">
        <w:rPr>
          <w:rFonts w:ascii="Arial" w:hAnsi="Arial" w:cs="Arial"/>
          <w:b/>
        </w:rPr>
        <w:t>)</w:t>
      </w:r>
      <w:r w:rsidR="0068463E" w:rsidRPr="00A61B21">
        <w:rPr>
          <w:rFonts w:ascii="Arial" w:hAnsi="Arial" w:cs="Arial"/>
          <w:b/>
        </w:rPr>
        <w:t>:</w:t>
      </w:r>
    </w:p>
    <w:p w14:paraId="30DA0EB7" w14:textId="31130DDF" w:rsidR="00BE2447" w:rsidRPr="00A61B21" w:rsidRDefault="00BE2447" w:rsidP="000E3AE8">
      <w:pPr>
        <w:rPr>
          <w:rFonts w:ascii="Arial" w:hAnsi="Arial" w:cs="Arial"/>
          <w:b/>
        </w:rPr>
      </w:pPr>
    </w:p>
    <w:p w14:paraId="430800D9" w14:textId="113E9435" w:rsidR="00BE2447" w:rsidRPr="00A61B21" w:rsidRDefault="00BE2447" w:rsidP="000E3AE8">
      <w:pPr>
        <w:rPr>
          <w:rFonts w:ascii="Arial" w:hAnsi="Arial" w:cs="Arial"/>
          <w:b/>
        </w:rPr>
      </w:pPr>
      <w:r w:rsidRPr="00A61B21">
        <w:rPr>
          <w:rFonts w:ascii="Arial" w:hAnsi="Arial" w:cs="Arial"/>
          <w:b/>
        </w:rPr>
        <w:t xml:space="preserve">Introduction </w:t>
      </w:r>
    </w:p>
    <w:p w14:paraId="5FA0E52B" w14:textId="73A72DCE" w:rsidR="00D11263" w:rsidRPr="00A61B21" w:rsidRDefault="00834121"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[1]</w:t>
      </w:r>
      <w:r w:rsidRPr="00A61B21">
        <w:rPr>
          <w:rFonts w:ascii="Arial" w:hAnsi="Arial" w:cs="Arial"/>
        </w:rPr>
        <w:tab/>
      </w:r>
      <w:r w:rsidR="00A16C3F">
        <w:rPr>
          <w:rFonts w:ascii="Arial" w:hAnsi="Arial" w:cs="Arial"/>
        </w:rPr>
        <w:tab/>
      </w:r>
      <w:r w:rsidR="00AE259D" w:rsidRPr="00A61B21">
        <w:rPr>
          <w:rFonts w:ascii="Arial" w:hAnsi="Arial" w:cs="Arial"/>
        </w:rPr>
        <w:t xml:space="preserve">This </w:t>
      </w:r>
      <w:r w:rsidR="00237C24" w:rsidRPr="00A61B21">
        <w:rPr>
          <w:rFonts w:ascii="Arial" w:hAnsi="Arial" w:cs="Arial"/>
        </w:rPr>
        <w:t xml:space="preserve">is an application for leave to appeal </w:t>
      </w:r>
      <w:r w:rsidR="00DB127B" w:rsidRPr="00A61B21">
        <w:rPr>
          <w:rFonts w:ascii="Arial" w:hAnsi="Arial" w:cs="Arial"/>
        </w:rPr>
        <w:t xml:space="preserve">brought </w:t>
      </w:r>
      <w:r w:rsidR="00237C24" w:rsidRPr="00A61B21">
        <w:rPr>
          <w:rFonts w:ascii="Arial" w:hAnsi="Arial" w:cs="Arial"/>
        </w:rPr>
        <w:t>by the ap</w:t>
      </w:r>
      <w:r w:rsidR="00AE259D" w:rsidRPr="00A61B21">
        <w:rPr>
          <w:rFonts w:ascii="Arial" w:hAnsi="Arial" w:cs="Arial"/>
        </w:rPr>
        <w:t xml:space="preserve">plicant, Mr Meshack Mapholisa </w:t>
      </w:r>
      <w:r w:rsidR="0040014A" w:rsidRPr="00A61B21">
        <w:rPr>
          <w:rFonts w:ascii="Arial" w:hAnsi="Arial" w:cs="Arial"/>
        </w:rPr>
        <w:t>in his official capacity</w:t>
      </w:r>
      <w:r w:rsidR="002264F6" w:rsidRPr="00A61B21">
        <w:rPr>
          <w:rFonts w:ascii="Arial" w:hAnsi="Arial" w:cs="Arial"/>
        </w:rPr>
        <w:t xml:space="preserve"> </w:t>
      </w:r>
      <w:r w:rsidR="00AE259D" w:rsidRPr="00A61B21">
        <w:rPr>
          <w:rFonts w:ascii="Arial" w:hAnsi="Arial" w:cs="Arial"/>
        </w:rPr>
        <w:t>(</w:t>
      </w:r>
      <w:r w:rsidR="00A16C3F">
        <w:rPr>
          <w:rFonts w:ascii="Arial" w:hAnsi="Arial" w:cs="Arial"/>
        </w:rPr>
        <w:t xml:space="preserve">Mr </w:t>
      </w:r>
      <w:r w:rsidR="00AE259D" w:rsidRPr="00575ECE">
        <w:rPr>
          <w:rFonts w:ascii="Arial" w:hAnsi="Arial" w:cs="Arial"/>
        </w:rPr>
        <w:t>Mapholisa)</w:t>
      </w:r>
      <w:r w:rsidR="00900732" w:rsidRPr="00575ECE">
        <w:rPr>
          <w:rFonts w:ascii="Arial" w:hAnsi="Arial" w:cs="Arial"/>
        </w:rPr>
        <w:t>. The application is</w:t>
      </w:r>
      <w:r w:rsidR="00237C24" w:rsidRPr="00575ECE">
        <w:rPr>
          <w:rFonts w:ascii="Arial" w:hAnsi="Arial" w:cs="Arial"/>
        </w:rPr>
        <w:t xml:space="preserve"> against </w:t>
      </w:r>
      <w:r w:rsidR="00DB127B" w:rsidRPr="00575ECE">
        <w:rPr>
          <w:rFonts w:ascii="Arial" w:hAnsi="Arial" w:cs="Arial"/>
        </w:rPr>
        <w:t>an</w:t>
      </w:r>
      <w:r w:rsidR="00237C24" w:rsidRPr="00575ECE">
        <w:rPr>
          <w:rFonts w:ascii="Arial" w:hAnsi="Arial" w:cs="Arial"/>
        </w:rPr>
        <w:t xml:space="preserve"> </w:t>
      </w:r>
      <w:r w:rsidR="00DB127B" w:rsidRPr="00575ECE">
        <w:rPr>
          <w:rFonts w:ascii="Arial" w:hAnsi="Arial" w:cs="Arial"/>
        </w:rPr>
        <w:t>order</w:t>
      </w:r>
      <w:r w:rsidR="00237C24" w:rsidRPr="00575ECE">
        <w:rPr>
          <w:rFonts w:ascii="Arial" w:hAnsi="Arial" w:cs="Arial"/>
        </w:rPr>
        <w:t xml:space="preserve"> of the Ga</w:t>
      </w:r>
      <w:r w:rsidR="00AE259D" w:rsidRPr="00575ECE">
        <w:rPr>
          <w:rFonts w:ascii="Arial" w:hAnsi="Arial" w:cs="Arial"/>
        </w:rPr>
        <w:t xml:space="preserve">uteng Divison of the </w:t>
      </w:r>
      <w:r w:rsidR="00C707FC">
        <w:rPr>
          <w:rFonts w:ascii="Arial" w:hAnsi="Arial" w:cs="Arial"/>
        </w:rPr>
        <w:t>High Court</w:t>
      </w:r>
      <w:r w:rsidR="00AE259D" w:rsidRPr="00575ECE">
        <w:rPr>
          <w:rFonts w:ascii="Arial" w:hAnsi="Arial" w:cs="Arial"/>
        </w:rPr>
        <w:t>, Pretoria (</w:t>
      </w:r>
      <w:r w:rsidR="00237C24" w:rsidRPr="00575ECE">
        <w:rPr>
          <w:rFonts w:ascii="Arial" w:hAnsi="Arial" w:cs="Arial"/>
        </w:rPr>
        <w:t xml:space="preserve">the </w:t>
      </w:r>
      <w:r w:rsidR="00A16C3F">
        <w:rPr>
          <w:rFonts w:ascii="Arial" w:hAnsi="Arial" w:cs="Arial"/>
        </w:rPr>
        <w:t>h</w:t>
      </w:r>
      <w:r w:rsidR="00C707FC">
        <w:rPr>
          <w:rFonts w:ascii="Arial" w:hAnsi="Arial" w:cs="Arial"/>
        </w:rPr>
        <w:t xml:space="preserve">igh </w:t>
      </w:r>
      <w:r w:rsidR="00A16C3F">
        <w:rPr>
          <w:rFonts w:ascii="Arial" w:hAnsi="Arial" w:cs="Arial"/>
        </w:rPr>
        <w:t>c</w:t>
      </w:r>
      <w:r w:rsidR="00C707FC">
        <w:rPr>
          <w:rFonts w:ascii="Arial" w:hAnsi="Arial" w:cs="Arial"/>
        </w:rPr>
        <w:t>ourt</w:t>
      </w:r>
      <w:r w:rsidRPr="00575ECE">
        <w:rPr>
          <w:rFonts w:ascii="Arial" w:hAnsi="Arial" w:cs="Arial"/>
        </w:rPr>
        <w:t xml:space="preserve">) </w:t>
      </w:r>
      <w:r w:rsidR="00DB127B" w:rsidRPr="00575ECE">
        <w:rPr>
          <w:rFonts w:ascii="Arial" w:hAnsi="Arial" w:cs="Arial"/>
        </w:rPr>
        <w:t xml:space="preserve">dismissing an application to review </w:t>
      </w:r>
      <w:r w:rsidR="00900732" w:rsidRPr="00575ECE">
        <w:rPr>
          <w:rFonts w:ascii="Arial" w:hAnsi="Arial" w:cs="Arial"/>
        </w:rPr>
        <w:t>a</w:t>
      </w:r>
      <w:r w:rsidR="00DB127B" w:rsidRPr="00575ECE">
        <w:rPr>
          <w:rFonts w:ascii="Arial" w:hAnsi="Arial" w:cs="Arial"/>
        </w:rPr>
        <w:t xml:space="preserve"> decision</w:t>
      </w:r>
      <w:r w:rsidR="00900732" w:rsidRPr="00575ECE">
        <w:rPr>
          <w:rFonts w:ascii="Arial" w:hAnsi="Arial" w:cs="Arial"/>
        </w:rPr>
        <w:t xml:space="preserve"> of </w:t>
      </w:r>
      <w:r w:rsidR="00B25664" w:rsidRPr="00575ECE">
        <w:rPr>
          <w:rFonts w:ascii="Arial" w:hAnsi="Arial" w:cs="Arial"/>
        </w:rPr>
        <w:t xml:space="preserve">the </w:t>
      </w:r>
      <w:r w:rsidR="00B25664" w:rsidRPr="00D725D8">
        <w:rPr>
          <w:rFonts w:ascii="Arial" w:hAnsi="Arial" w:cs="Arial"/>
        </w:rPr>
        <w:t xml:space="preserve">Professional Conduct </w:t>
      </w:r>
      <w:r w:rsidR="006C426F" w:rsidRPr="007E0D22">
        <w:rPr>
          <w:rFonts w:ascii="Arial" w:hAnsi="Arial" w:cs="Arial"/>
        </w:rPr>
        <w:t>Committee</w:t>
      </w:r>
      <w:r w:rsidR="00B25664" w:rsidRPr="00D725D8">
        <w:rPr>
          <w:rFonts w:ascii="Arial" w:hAnsi="Arial" w:cs="Arial"/>
        </w:rPr>
        <w:t xml:space="preserve"> (the PCC)</w:t>
      </w:r>
      <w:r w:rsidR="00B25664" w:rsidRPr="00575ECE">
        <w:rPr>
          <w:rFonts w:ascii="Arial" w:hAnsi="Arial" w:cs="Arial"/>
        </w:rPr>
        <w:t xml:space="preserve"> of the Health Professions Council of South Africa (the HPCSA)</w:t>
      </w:r>
      <w:r w:rsidR="00DB127B" w:rsidRPr="00575ECE">
        <w:rPr>
          <w:rFonts w:ascii="Arial" w:hAnsi="Arial" w:cs="Arial"/>
        </w:rPr>
        <w:t xml:space="preserve">. After the </w:t>
      </w:r>
      <w:r w:rsidR="002F463F">
        <w:rPr>
          <w:rFonts w:ascii="Arial" w:hAnsi="Arial" w:cs="Arial"/>
        </w:rPr>
        <w:t>h</w:t>
      </w:r>
      <w:r w:rsidR="00C707FC">
        <w:rPr>
          <w:rFonts w:ascii="Arial" w:hAnsi="Arial" w:cs="Arial"/>
        </w:rPr>
        <w:t xml:space="preserve">igh </w:t>
      </w:r>
      <w:r w:rsidR="002F463F">
        <w:rPr>
          <w:rFonts w:ascii="Arial" w:hAnsi="Arial" w:cs="Arial"/>
        </w:rPr>
        <w:t>c</w:t>
      </w:r>
      <w:r w:rsidR="00C707FC">
        <w:rPr>
          <w:rFonts w:ascii="Arial" w:hAnsi="Arial" w:cs="Arial"/>
        </w:rPr>
        <w:t>ourt</w:t>
      </w:r>
      <w:r w:rsidR="00DB127B" w:rsidRPr="00575ECE">
        <w:rPr>
          <w:rFonts w:ascii="Arial" w:hAnsi="Arial" w:cs="Arial"/>
        </w:rPr>
        <w:t xml:space="preserve"> refused leave to appeal, </w:t>
      </w:r>
      <w:r w:rsidR="00A16048">
        <w:rPr>
          <w:rFonts w:ascii="Arial" w:hAnsi="Arial" w:cs="Arial"/>
        </w:rPr>
        <w:t xml:space="preserve">Mr </w:t>
      </w:r>
      <w:r w:rsidR="00DB127B" w:rsidRPr="00575ECE">
        <w:rPr>
          <w:rFonts w:ascii="Arial" w:hAnsi="Arial" w:cs="Arial"/>
        </w:rPr>
        <w:t xml:space="preserve">Mapholisa petitioned this </w:t>
      </w:r>
      <w:r w:rsidR="002F463F">
        <w:rPr>
          <w:rFonts w:ascii="Arial" w:hAnsi="Arial" w:cs="Arial"/>
        </w:rPr>
        <w:t>C</w:t>
      </w:r>
      <w:r w:rsidR="00DB127B" w:rsidRPr="00575ECE">
        <w:rPr>
          <w:rFonts w:ascii="Arial" w:hAnsi="Arial" w:cs="Arial"/>
        </w:rPr>
        <w:t>ourt</w:t>
      </w:r>
      <w:r w:rsidR="00714748" w:rsidRPr="00575ECE">
        <w:rPr>
          <w:rFonts w:ascii="Arial" w:hAnsi="Arial" w:cs="Arial"/>
        </w:rPr>
        <w:t>. It referred</w:t>
      </w:r>
      <w:r w:rsidR="00714748" w:rsidRPr="00A61B21">
        <w:rPr>
          <w:rFonts w:ascii="Arial" w:hAnsi="Arial" w:cs="Arial"/>
        </w:rPr>
        <w:t xml:space="preserve"> his </w:t>
      </w:r>
      <w:r w:rsidR="00237C24" w:rsidRPr="00A61B21">
        <w:rPr>
          <w:rFonts w:ascii="Arial" w:hAnsi="Arial" w:cs="Arial"/>
        </w:rPr>
        <w:t>application</w:t>
      </w:r>
      <w:r w:rsidR="00AE259D" w:rsidRPr="00A61B21">
        <w:rPr>
          <w:rFonts w:ascii="Arial" w:hAnsi="Arial" w:cs="Arial"/>
        </w:rPr>
        <w:t xml:space="preserve"> for oral argument</w:t>
      </w:r>
      <w:r w:rsidR="00237C24" w:rsidRPr="00A61B21">
        <w:rPr>
          <w:rFonts w:ascii="Arial" w:hAnsi="Arial" w:cs="Arial"/>
        </w:rPr>
        <w:t xml:space="preserve"> in terms of s 17(2)</w:t>
      </w:r>
      <w:r w:rsidR="00237C24" w:rsidRPr="00380F0A">
        <w:rPr>
          <w:rFonts w:ascii="Arial" w:hAnsi="Arial" w:cs="Arial"/>
          <w:i/>
        </w:rPr>
        <w:t>(d)</w:t>
      </w:r>
      <w:r w:rsidR="00237C24" w:rsidRPr="00A61B21">
        <w:rPr>
          <w:rFonts w:ascii="Arial" w:hAnsi="Arial" w:cs="Arial"/>
        </w:rPr>
        <w:t xml:space="preserve"> of the Superior Courts Act 10 of 2013</w:t>
      </w:r>
      <w:r w:rsidR="00714748" w:rsidRPr="00A61B21">
        <w:rPr>
          <w:rFonts w:ascii="Arial" w:hAnsi="Arial" w:cs="Arial"/>
        </w:rPr>
        <w:t xml:space="preserve">, </w:t>
      </w:r>
      <w:r w:rsidR="002F463F">
        <w:rPr>
          <w:rFonts w:ascii="Arial" w:hAnsi="Arial" w:cs="Arial"/>
        </w:rPr>
        <w:t xml:space="preserve">and directed </w:t>
      </w:r>
      <w:r w:rsidR="00714748" w:rsidRPr="00A61B21">
        <w:rPr>
          <w:rFonts w:ascii="Arial" w:hAnsi="Arial" w:cs="Arial"/>
        </w:rPr>
        <w:t xml:space="preserve">that </w:t>
      </w:r>
      <w:r w:rsidR="002F463F">
        <w:rPr>
          <w:rFonts w:ascii="Arial" w:hAnsi="Arial" w:cs="Arial"/>
        </w:rPr>
        <w:t xml:space="preserve">the </w:t>
      </w:r>
      <w:r w:rsidR="00714748" w:rsidRPr="00A61B21">
        <w:rPr>
          <w:rFonts w:ascii="Arial" w:hAnsi="Arial" w:cs="Arial"/>
        </w:rPr>
        <w:t>parties be prepared to argue the merits of the appeal if called upon to do so.</w:t>
      </w:r>
    </w:p>
    <w:p w14:paraId="5CBD4A13" w14:textId="77777777" w:rsidR="00380F0A" w:rsidRDefault="00380F0A" w:rsidP="00834121">
      <w:pPr>
        <w:widowControl w:val="0"/>
        <w:tabs>
          <w:tab w:val="right" w:pos="9360"/>
        </w:tabs>
        <w:autoSpaceDE w:val="0"/>
        <w:autoSpaceDN w:val="0"/>
        <w:adjustRightInd w:val="0"/>
        <w:rPr>
          <w:rFonts w:ascii="Arial" w:hAnsi="Arial" w:cs="Arial"/>
          <w:b/>
        </w:rPr>
      </w:pPr>
    </w:p>
    <w:p w14:paraId="64CF9A6F" w14:textId="77777777" w:rsidR="00380F0A" w:rsidRPr="00A61B21" w:rsidRDefault="00380F0A" w:rsidP="00834121">
      <w:pPr>
        <w:widowControl w:val="0"/>
        <w:tabs>
          <w:tab w:val="right" w:pos="9360"/>
        </w:tabs>
        <w:autoSpaceDE w:val="0"/>
        <w:autoSpaceDN w:val="0"/>
        <w:adjustRightInd w:val="0"/>
        <w:rPr>
          <w:rFonts w:ascii="Arial" w:hAnsi="Arial" w:cs="Arial"/>
          <w:b/>
        </w:rPr>
      </w:pPr>
    </w:p>
    <w:p w14:paraId="712275CC" w14:textId="77777777" w:rsidR="001E7F80" w:rsidRDefault="001E7F80" w:rsidP="007E0D22">
      <w:pPr>
        <w:widowControl w:val="0"/>
        <w:tabs>
          <w:tab w:val="right" w:pos="9360"/>
        </w:tabs>
        <w:autoSpaceDE w:val="0"/>
        <w:autoSpaceDN w:val="0"/>
        <w:adjustRightInd w:val="0"/>
        <w:rPr>
          <w:rFonts w:ascii="Arial" w:hAnsi="Arial" w:cs="Arial"/>
          <w:b/>
        </w:rPr>
      </w:pPr>
    </w:p>
    <w:p w14:paraId="32B254B8" w14:textId="2451CC97" w:rsidR="00BE2447" w:rsidRPr="00A61B21" w:rsidRDefault="00BE2447" w:rsidP="00A24535">
      <w:pPr>
        <w:widowControl w:val="0"/>
        <w:tabs>
          <w:tab w:val="right" w:pos="9360"/>
        </w:tabs>
        <w:autoSpaceDE w:val="0"/>
        <w:autoSpaceDN w:val="0"/>
        <w:adjustRightInd w:val="0"/>
        <w:ind w:left="720" w:hanging="720"/>
        <w:rPr>
          <w:rFonts w:ascii="Arial" w:hAnsi="Arial" w:cs="Arial"/>
          <w:b/>
        </w:rPr>
      </w:pPr>
      <w:r w:rsidRPr="00A61B21">
        <w:rPr>
          <w:rFonts w:ascii="Arial" w:hAnsi="Arial" w:cs="Arial"/>
          <w:b/>
        </w:rPr>
        <w:t>Factual background</w:t>
      </w:r>
    </w:p>
    <w:p w14:paraId="4F3F361F" w14:textId="57788EA1" w:rsidR="002264F6" w:rsidRPr="00A61B21" w:rsidRDefault="00AE259D"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[2]</w:t>
      </w:r>
      <w:r w:rsidR="00834121" w:rsidRPr="00A61B21">
        <w:rPr>
          <w:rFonts w:ascii="Arial" w:hAnsi="Arial" w:cs="Arial"/>
        </w:rPr>
        <w:tab/>
      </w:r>
      <w:r w:rsidR="002F463F">
        <w:rPr>
          <w:rFonts w:ascii="Arial" w:hAnsi="Arial" w:cs="Arial"/>
        </w:rPr>
        <w:tab/>
      </w:r>
      <w:r w:rsidR="00A16048">
        <w:rPr>
          <w:rFonts w:ascii="Arial" w:hAnsi="Arial" w:cs="Arial"/>
        </w:rPr>
        <w:t xml:space="preserve">Mr </w:t>
      </w:r>
      <w:r w:rsidR="002264F6" w:rsidRPr="00A61B21">
        <w:rPr>
          <w:rFonts w:ascii="Arial" w:hAnsi="Arial" w:cs="Arial"/>
        </w:rPr>
        <w:t xml:space="preserve">Mapholisa was appointed as a </w:t>
      </w:r>
      <w:r w:rsidR="002264F6" w:rsidRPr="007E0D22">
        <w:rPr>
          <w:rFonts w:ascii="Arial" w:hAnsi="Arial" w:cs="Arial"/>
          <w:i/>
        </w:rPr>
        <w:t>pro forma</w:t>
      </w:r>
      <w:r w:rsidR="002264F6" w:rsidRPr="00A61B21">
        <w:rPr>
          <w:rFonts w:ascii="Arial" w:hAnsi="Arial" w:cs="Arial"/>
        </w:rPr>
        <w:t xml:space="preserve"> complainant by the </w:t>
      </w:r>
      <w:r w:rsidR="00C707FC">
        <w:rPr>
          <w:rFonts w:ascii="Arial" w:hAnsi="Arial" w:cs="Arial"/>
        </w:rPr>
        <w:t>Registrar</w:t>
      </w:r>
      <w:r w:rsidR="002264F6" w:rsidRPr="00A61B21">
        <w:rPr>
          <w:rFonts w:ascii="Arial" w:hAnsi="Arial" w:cs="Arial"/>
        </w:rPr>
        <w:t xml:space="preserve"> of the </w:t>
      </w:r>
      <w:r w:rsidR="00714748" w:rsidRPr="00A61B21">
        <w:rPr>
          <w:rFonts w:ascii="Arial" w:hAnsi="Arial" w:cs="Arial"/>
        </w:rPr>
        <w:t>HPCSA</w:t>
      </w:r>
      <w:r w:rsidR="002264F6" w:rsidRPr="00A61B21">
        <w:rPr>
          <w:rFonts w:ascii="Arial" w:hAnsi="Arial" w:cs="Arial"/>
        </w:rPr>
        <w:t xml:space="preserve">, </w:t>
      </w:r>
      <w:r w:rsidR="00714748" w:rsidRPr="00A61B21">
        <w:rPr>
          <w:rFonts w:ascii="Arial" w:hAnsi="Arial" w:cs="Arial"/>
        </w:rPr>
        <w:t xml:space="preserve">in terms of </w:t>
      </w:r>
      <w:r w:rsidR="002264F6" w:rsidRPr="00A61B21">
        <w:rPr>
          <w:rFonts w:ascii="Arial" w:hAnsi="Arial" w:cs="Arial"/>
        </w:rPr>
        <w:t xml:space="preserve">the Health Professions Act 56 of 1974 (the Act), read with the Regulations Relating to the Conduct of Inquiries into </w:t>
      </w:r>
      <w:r w:rsidR="00714748" w:rsidRPr="00A61B21">
        <w:rPr>
          <w:rFonts w:ascii="Arial" w:hAnsi="Arial" w:cs="Arial"/>
        </w:rPr>
        <w:t>A</w:t>
      </w:r>
      <w:r w:rsidR="002264F6" w:rsidRPr="00A61B21">
        <w:rPr>
          <w:rFonts w:ascii="Arial" w:hAnsi="Arial" w:cs="Arial"/>
        </w:rPr>
        <w:t xml:space="preserve">lleged Unprofessional Conduct under the Act (the </w:t>
      </w:r>
      <w:r w:rsidR="002F463F">
        <w:rPr>
          <w:rFonts w:ascii="Arial" w:hAnsi="Arial" w:cs="Arial"/>
        </w:rPr>
        <w:t>r</w:t>
      </w:r>
      <w:r w:rsidR="002264F6" w:rsidRPr="00A61B21">
        <w:rPr>
          <w:rFonts w:ascii="Arial" w:hAnsi="Arial" w:cs="Arial"/>
        </w:rPr>
        <w:t>egulations).</w:t>
      </w:r>
      <w:r w:rsidR="002F463F">
        <w:rPr>
          <w:rStyle w:val="FootnoteReference"/>
          <w:rFonts w:ascii="Arial" w:hAnsi="Arial" w:cs="Arial"/>
        </w:rPr>
        <w:footnoteReference w:id="1"/>
      </w:r>
      <w:r w:rsidR="002264F6" w:rsidRPr="00A61B21">
        <w:rPr>
          <w:rFonts w:ascii="Arial" w:hAnsi="Arial" w:cs="Arial"/>
        </w:rPr>
        <w:t xml:space="preserve"> </w:t>
      </w:r>
      <w:r w:rsidR="00714748" w:rsidRPr="00A61B21">
        <w:rPr>
          <w:rFonts w:ascii="Arial" w:hAnsi="Arial" w:cs="Arial"/>
        </w:rPr>
        <w:t xml:space="preserve">As </w:t>
      </w:r>
      <w:r w:rsidR="00A16048">
        <w:rPr>
          <w:rFonts w:ascii="Arial" w:hAnsi="Arial" w:cs="Arial"/>
        </w:rPr>
        <w:t xml:space="preserve">Mr </w:t>
      </w:r>
      <w:r w:rsidR="00714748" w:rsidRPr="00A61B21">
        <w:rPr>
          <w:rFonts w:ascii="Arial" w:hAnsi="Arial" w:cs="Arial"/>
        </w:rPr>
        <w:t xml:space="preserve">Mapholisa brought the </w:t>
      </w:r>
      <w:r w:rsidR="00C11EE6">
        <w:rPr>
          <w:rFonts w:ascii="Arial" w:hAnsi="Arial" w:cs="Arial"/>
        </w:rPr>
        <w:t xml:space="preserve">application for review, </w:t>
      </w:r>
      <w:r w:rsidR="002264F6" w:rsidRPr="00A61B21">
        <w:rPr>
          <w:rFonts w:ascii="Arial" w:hAnsi="Arial" w:cs="Arial"/>
        </w:rPr>
        <w:t xml:space="preserve">he </w:t>
      </w:r>
      <w:r w:rsidR="004931AE" w:rsidRPr="00A61B21">
        <w:rPr>
          <w:rFonts w:ascii="Arial" w:hAnsi="Arial" w:cs="Arial"/>
        </w:rPr>
        <w:t>l</w:t>
      </w:r>
      <w:r w:rsidR="002264F6" w:rsidRPr="00A61B21">
        <w:rPr>
          <w:rFonts w:ascii="Arial" w:hAnsi="Arial" w:cs="Arial"/>
        </w:rPr>
        <w:t>i</w:t>
      </w:r>
      <w:r w:rsidR="004931AE" w:rsidRPr="00A61B21">
        <w:rPr>
          <w:rFonts w:ascii="Arial" w:hAnsi="Arial" w:cs="Arial"/>
        </w:rPr>
        <w:t>tigated as</w:t>
      </w:r>
      <w:r w:rsidR="002264F6" w:rsidRPr="00A61B21">
        <w:rPr>
          <w:rFonts w:ascii="Arial" w:hAnsi="Arial" w:cs="Arial"/>
        </w:rPr>
        <w:t xml:space="preserve"> an organ of state.</w:t>
      </w:r>
      <w:r w:rsidR="00207378" w:rsidRPr="00A61B21">
        <w:rPr>
          <w:rFonts w:ascii="Arial" w:hAnsi="Arial" w:cs="Arial"/>
        </w:rPr>
        <w:t xml:space="preserve"> So too is the body that took the decision under challenge.</w:t>
      </w:r>
    </w:p>
    <w:p w14:paraId="6CB5F91A" w14:textId="77777777" w:rsidR="006C14D0" w:rsidRPr="00A61B21" w:rsidRDefault="006C14D0" w:rsidP="00A24535">
      <w:pPr>
        <w:widowControl w:val="0"/>
        <w:tabs>
          <w:tab w:val="right" w:pos="9360"/>
        </w:tabs>
        <w:autoSpaceDE w:val="0"/>
        <w:autoSpaceDN w:val="0"/>
        <w:adjustRightInd w:val="0"/>
        <w:rPr>
          <w:rFonts w:ascii="Arial" w:hAnsi="Arial" w:cs="Arial"/>
        </w:rPr>
      </w:pPr>
    </w:p>
    <w:p w14:paraId="5C670E1E" w14:textId="47049233" w:rsidR="00CB196F" w:rsidRPr="007E0D22" w:rsidRDefault="002264F6" w:rsidP="00CB196F">
      <w:pPr>
        <w:rPr>
          <w:rFonts w:ascii="Arial" w:hAnsi="Arial" w:cs="Arial"/>
        </w:rPr>
      </w:pPr>
      <w:r w:rsidRPr="00A61B21">
        <w:rPr>
          <w:rFonts w:ascii="Arial" w:hAnsi="Arial" w:cs="Arial"/>
        </w:rPr>
        <w:t>[3]</w:t>
      </w:r>
      <w:r w:rsidR="00834121" w:rsidRPr="00A61B21">
        <w:rPr>
          <w:rFonts w:ascii="Arial" w:hAnsi="Arial" w:cs="Arial"/>
        </w:rPr>
        <w:tab/>
      </w:r>
      <w:r w:rsidRPr="00A61B21">
        <w:rPr>
          <w:rFonts w:ascii="Arial" w:hAnsi="Arial" w:cs="Arial"/>
        </w:rPr>
        <w:t>The first to sixth respo</w:t>
      </w:r>
      <w:r w:rsidR="00900732">
        <w:rPr>
          <w:rFonts w:ascii="Arial" w:hAnsi="Arial" w:cs="Arial"/>
        </w:rPr>
        <w:t>n</w:t>
      </w:r>
      <w:r w:rsidRPr="00A61B21">
        <w:rPr>
          <w:rFonts w:ascii="Arial" w:hAnsi="Arial" w:cs="Arial"/>
        </w:rPr>
        <w:t xml:space="preserve">dents are members of the </w:t>
      </w:r>
      <w:r w:rsidR="004931AE" w:rsidRPr="00A61B21">
        <w:rPr>
          <w:rFonts w:ascii="Arial" w:hAnsi="Arial" w:cs="Arial"/>
        </w:rPr>
        <w:t>PCC</w:t>
      </w:r>
      <w:r w:rsidRPr="00A61B21">
        <w:rPr>
          <w:rFonts w:ascii="Arial" w:hAnsi="Arial" w:cs="Arial"/>
        </w:rPr>
        <w:t>, a committee established in terms of s 15</w:t>
      </w:r>
      <w:r w:rsidRPr="00A61B21">
        <w:rPr>
          <w:rFonts w:ascii="Arial" w:hAnsi="Arial" w:cs="Arial"/>
          <w:i/>
        </w:rPr>
        <w:t>(fA)</w:t>
      </w:r>
      <w:r w:rsidRPr="00A61B21">
        <w:rPr>
          <w:rFonts w:ascii="Arial" w:hAnsi="Arial" w:cs="Arial"/>
        </w:rPr>
        <w:t xml:space="preserve"> of the Act, read with regulation 6 of the </w:t>
      </w:r>
      <w:r w:rsidR="002F463F">
        <w:rPr>
          <w:rFonts w:ascii="Arial" w:hAnsi="Arial" w:cs="Arial"/>
        </w:rPr>
        <w:t>r</w:t>
      </w:r>
      <w:r w:rsidRPr="00A61B21">
        <w:rPr>
          <w:rFonts w:ascii="Arial" w:hAnsi="Arial" w:cs="Arial"/>
        </w:rPr>
        <w:t>egulations.</w:t>
      </w:r>
      <w:r w:rsidR="0096442B" w:rsidRPr="00A61B21">
        <w:rPr>
          <w:rFonts w:ascii="Arial" w:hAnsi="Arial" w:cs="Arial"/>
        </w:rPr>
        <w:t xml:space="preserve"> They are cited in their official capacities. </w:t>
      </w:r>
      <w:r w:rsidR="006A7B09" w:rsidRPr="00A61B21">
        <w:rPr>
          <w:rFonts w:ascii="Arial" w:hAnsi="Arial" w:cs="Arial"/>
        </w:rPr>
        <w:t>The seventh respondent, Dr Percy Miller</w:t>
      </w:r>
      <w:r w:rsidR="006C14D0" w:rsidRPr="00A61B21">
        <w:rPr>
          <w:rFonts w:ascii="Arial" w:hAnsi="Arial" w:cs="Arial"/>
        </w:rPr>
        <w:t xml:space="preserve"> (Dr Miller)</w:t>
      </w:r>
      <w:r w:rsidR="006A7B09" w:rsidRPr="00A61B21">
        <w:rPr>
          <w:rFonts w:ascii="Arial" w:hAnsi="Arial" w:cs="Arial"/>
        </w:rPr>
        <w:t xml:space="preserve"> is a registered medical doctor under the Act and practising as such in the private sector</w:t>
      </w:r>
      <w:r w:rsidR="004931AE" w:rsidRPr="00A61B21">
        <w:rPr>
          <w:rFonts w:ascii="Arial" w:hAnsi="Arial" w:cs="Arial"/>
        </w:rPr>
        <w:t>. He was the respondent in a complaint of unprofessional conduct referred to the PCC.</w:t>
      </w:r>
      <w:r w:rsidR="006A7B09" w:rsidRPr="00A61B21">
        <w:rPr>
          <w:rFonts w:ascii="Arial" w:hAnsi="Arial" w:cs="Arial"/>
        </w:rPr>
        <w:t xml:space="preserve"> </w:t>
      </w:r>
      <w:r w:rsidR="004931AE" w:rsidRPr="00A61B21">
        <w:rPr>
          <w:rFonts w:ascii="Arial" w:hAnsi="Arial" w:cs="Arial"/>
        </w:rPr>
        <w:t>T</w:t>
      </w:r>
      <w:r w:rsidR="006A7B09" w:rsidRPr="00A61B21">
        <w:rPr>
          <w:rFonts w:ascii="Arial" w:hAnsi="Arial" w:cs="Arial"/>
        </w:rPr>
        <w:t xml:space="preserve">he eighth respondent is the </w:t>
      </w:r>
      <w:r w:rsidR="004931AE" w:rsidRPr="00A61B21">
        <w:rPr>
          <w:rFonts w:ascii="Arial" w:hAnsi="Arial" w:cs="Arial"/>
        </w:rPr>
        <w:t>H</w:t>
      </w:r>
      <w:r w:rsidR="00BE2447" w:rsidRPr="00A61B21">
        <w:rPr>
          <w:rFonts w:ascii="Arial" w:hAnsi="Arial" w:cs="Arial"/>
        </w:rPr>
        <w:t>PCSA</w:t>
      </w:r>
      <w:r w:rsidR="006A7B09" w:rsidRPr="00A61B21">
        <w:rPr>
          <w:rFonts w:ascii="Arial" w:hAnsi="Arial" w:cs="Arial"/>
        </w:rPr>
        <w:t>, a statutory body established in terms of s 2 of the Act.</w:t>
      </w:r>
      <w:r w:rsidR="004931AE" w:rsidRPr="00A61B21">
        <w:rPr>
          <w:rFonts w:ascii="Arial" w:hAnsi="Arial" w:cs="Arial"/>
        </w:rPr>
        <w:t xml:space="preserve"> The ninth respondent is Ms Malinda Miller (Ms Miller). She lodged the complaint against Dr Miller.</w:t>
      </w:r>
      <w:r w:rsidR="00646CA1" w:rsidRPr="00A61B21">
        <w:rPr>
          <w:rFonts w:ascii="Arial" w:hAnsi="Arial" w:cs="Arial"/>
        </w:rPr>
        <w:t xml:space="preserve"> </w:t>
      </w:r>
      <w:r w:rsidR="004931AE" w:rsidRPr="00A61B21">
        <w:rPr>
          <w:rFonts w:ascii="Arial" w:hAnsi="Arial" w:cs="Arial"/>
        </w:rPr>
        <w:t>The tenth respondent is Ms V</w:t>
      </w:r>
      <w:r w:rsidR="00B25664">
        <w:rPr>
          <w:rFonts w:ascii="Arial" w:hAnsi="Arial" w:cs="Arial"/>
        </w:rPr>
        <w:t>iolet</w:t>
      </w:r>
      <w:r w:rsidR="004931AE" w:rsidRPr="00A61B21">
        <w:rPr>
          <w:rFonts w:ascii="Arial" w:hAnsi="Arial" w:cs="Arial"/>
        </w:rPr>
        <w:t xml:space="preserve"> Gaolebale Senna (Ms Senna), who is now deceased. She was Dr Miller’s patient and the complaint laid against Dr Miller was in respect of his treatment of Ms Senna. </w:t>
      </w:r>
      <w:r w:rsidR="00176803" w:rsidRPr="00A61B21">
        <w:rPr>
          <w:rFonts w:ascii="Arial" w:hAnsi="Arial" w:cs="Arial"/>
        </w:rPr>
        <w:t xml:space="preserve">Before dealing with the two points </w:t>
      </w:r>
      <w:r w:rsidR="00834121" w:rsidRPr="00A61B21">
        <w:rPr>
          <w:rFonts w:ascii="Arial" w:hAnsi="Arial" w:cs="Arial"/>
        </w:rPr>
        <w:t>that arise in this application,</w:t>
      </w:r>
      <w:r w:rsidR="00176803" w:rsidRPr="00A61B21">
        <w:rPr>
          <w:rFonts w:ascii="Arial" w:hAnsi="Arial" w:cs="Arial"/>
        </w:rPr>
        <w:t xml:space="preserve"> it is necessary to consider the disciplinary system created by </w:t>
      </w:r>
      <w:r w:rsidR="00176803" w:rsidRPr="00380F0A">
        <w:rPr>
          <w:rFonts w:ascii="Arial" w:hAnsi="Arial" w:cs="Arial"/>
        </w:rPr>
        <w:t>the Act</w:t>
      </w:r>
      <w:r w:rsidR="00176803" w:rsidRPr="007E0D22">
        <w:rPr>
          <w:rFonts w:ascii="Arial" w:hAnsi="Arial" w:cs="Arial"/>
        </w:rPr>
        <w:t xml:space="preserve"> </w:t>
      </w:r>
      <w:r w:rsidR="00176803" w:rsidRPr="00380F0A">
        <w:rPr>
          <w:rFonts w:ascii="Arial" w:hAnsi="Arial" w:cs="Arial"/>
        </w:rPr>
        <w:t xml:space="preserve">and the Regulations. </w:t>
      </w:r>
    </w:p>
    <w:p w14:paraId="78957388" w14:textId="77777777" w:rsidR="00CB196F" w:rsidRPr="00A61B21" w:rsidRDefault="00CB196F" w:rsidP="00B377FA">
      <w:pPr>
        <w:rPr>
          <w:rFonts w:ascii="Arial" w:hAnsi="Arial" w:cs="Arial"/>
        </w:rPr>
      </w:pPr>
    </w:p>
    <w:p w14:paraId="79462B8B" w14:textId="7220D528" w:rsidR="00176803" w:rsidRPr="00A61B21" w:rsidRDefault="00CB196F" w:rsidP="00CB196F">
      <w:pPr>
        <w:rPr>
          <w:rFonts w:ascii="Arial" w:hAnsi="Arial" w:cs="Arial"/>
          <w:b/>
        </w:rPr>
      </w:pPr>
      <w:r w:rsidRPr="00A61B21">
        <w:rPr>
          <w:rFonts w:ascii="Arial" w:hAnsi="Arial" w:cs="Arial"/>
          <w:b/>
        </w:rPr>
        <w:t>The disciplinary system</w:t>
      </w:r>
      <w:r w:rsidR="005802D3" w:rsidRPr="00A61B21">
        <w:rPr>
          <w:rFonts w:ascii="Arial" w:hAnsi="Arial" w:cs="Arial"/>
          <w:b/>
        </w:rPr>
        <w:t xml:space="preserve"> and the complaint</w:t>
      </w:r>
    </w:p>
    <w:p w14:paraId="3F1CE7CA" w14:textId="0BD44BC0" w:rsidR="00C914E5" w:rsidRPr="00A61B21" w:rsidRDefault="00CB196F" w:rsidP="00CB196F">
      <w:pPr>
        <w:rPr>
          <w:rFonts w:ascii="Arial" w:hAnsi="Arial" w:cs="Arial"/>
        </w:rPr>
      </w:pPr>
      <w:r w:rsidRPr="00A61B21">
        <w:rPr>
          <w:rFonts w:ascii="Arial" w:hAnsi="Arial" w:cs="Arial"/>
        </w:rPr>
        <w:t>[</w:t>
      </w:r>
      <w:r w:rsidR="00176803" w:rsidRPr="00A61B21">
        <w:rPr>
          <w:rFonts w:ascii="Arial" w:hAnsi="Arial" w:cs="Arial"/>
        </w:rPr>
        <w:t>4]</w:t>
      </w:r>
      <w:r w:rsidR="00834121" w:rsidRPr="00A61B21">
        <w:rPr>
          <w:rFonts w:ascii="Arial" w:hAnsi="Arial" w:cs="Arial"/>
        </w:rPr>
        <w:tab/>
      </w:r>
      <w:r w:rsidR="00B25664" w:rsidRPr="00A61B21">
        <w:rPr>
          <w:rFonts w:ascii="Arial" w:hAnsi="Arial" w:cs="Arial"/>
        </w:rPr>
        <w:t xml:space="preserve">The Act provides for the establishment of professional boards for the respective medical professions and the Medical and Dental Professions Board is one of those (the Board). </w:t>
      </w:r>
      <w:r w:rsidRPr="00A61B21">
        <w:rPr>
          <w:rFonts w:ascii="Arial" w:hAnsi="Arial" w:cs="Arial"/>
        </w:rPr>
        <w:t>The procedure for dealing with complaints against health professi</w:t>
      </w:r>
      <w:r w:rsidR="00E143CB" w:rsidRPr="00A61B21">
        <w:rPr>
          <w:rFonts w:ascii="Arial" w:hAnsi="Arial" w:cs="Arial"/>
        </w:rPr>
        <w:t>onals is set out in</w:t>
      </w:r>
      <w:r w:rsidRPr="00A61B21">
        <w:rPr>
          <w:rFonts w:ascii="Arial" w:hAnsi="Arial" w:cs="Arial"/>
        </w:rPr>
        <w:t xml:space="preserve"> </w:t>
      </w:r>
      <w:r w:rsidR="00022D1C" w:rsidRPr="00A61B21">
        <w:rPr>
          <w:rFonts w:ascii="Arial" w:hAnsi="Arial" w:cs="Arial"/>
        </w:rPr>
        <w:t xml:space="preserve">the </w:t>
      </w:r>
      <w:r w:rsidR="00C914E5">
        <w:rPr>
          <w:rFonts w:ascii="Arial" w:hAnsi="Arial" w:cs="Arial"/>
        </w:rPr>
        <w:t>r</w:t>
      </w:r>
      <w:r w:rsidRPr="00A61B21">
        <w:rPr>
          <w:rFonts w:ascii="Arial" w:hAnsi="Arial" w:cs="Arial"/>
        </w:rPr>
        <w:t xml:space="preserve">egulations. Regulation 2 deals with the lodging of a complaint, requiring that the complaint must be in writing and be addressed either to the </w:t>
      </w:r>
      <w:r w:rsidR="006C426F">
        <w:rPr>
          <w:rFonts w:ascii="Arial" w:hAnsi="Arial" w:cs="Arial"/>
        </w:rPr>
        <w:t>r</w:t>
      </w:r>
      <w:r w:rsidR="00C707FC">
        <w:rPr>
          <w:rFonts w:ascii="Arial" w:hAnsi="Arial" w:cs="Arial"/>
        </w:rPr>
        <w:t>egistrar</w:t>
      </w:r>
      <w:r w:rsidRPr="00A61B21">
        <w:rPr>
          <w:rFonts w:ascii="Arial" w:hAnsi="Arial" w:cs="Arial"/>
        </w:rPr>
        <w:t xml:space="preserve"> of the HPCSA, the HPCSA itself or a professional board of the HPCSA. </w:t>
      </w:r>
      <w:r w:rsidRPr="00A61B21">
        <w:rPr>
          <w:rFonts w:ascii="Arial" w:hAnsi="Arial" w:cs="Arial"/>
          <w:color w:val="000000" w:themeColor="text1"/>
        </w:rPr>
        <w:t xml:space="preserve">In terms of </w:t>
      </w:r>
      <w:r w:rsidR="00022D1C" w:rsidRPr="00A61B21">
        <w:rPr>
          <w:rFonts w:ascii="Arial" w:hAnsi="Arial" w:cs="Arial"/>
          <w:color w:val="000000" w:themeColor="text1"/>
        </w:rPr>
        <w:t>reg</w:t>
      </w:r>
      <w:r w:rsidRPr="00A61B21">
        <w:rPr>
          <w:rFonts w:ascii="Arial" w:hAnsi="Arial" w:cs="Arial"/>
        </w:rPr>
        <w:t xml:space="preserve"> 4</w:t>
      </w:r>
      <w:r w:rsidR="00C914E5">
        <w:rPr>
          <w:rFonts w:ascii="Arial" w:hAnsi="Arial" w:cs="Arial"/>
        </w:rPr>
        <w:t>,</w:t>
      </w:r>
      <w:r w:rsidRPr="00A61B21">
        <w:rPr>
          <w:rFonts w:ascii="Arial" w:hAnsi="Arial" w:cs="Arial"/>
        </w:rPr>
        <w:t xml:space="preserve"> </w:t>
      </w:r>
      <w:r w:rsidRPr="00A61B21">
        <w:rPr>
          <w:rFonts w:ascii="Arial" w:hAnsi="Arial" w:cs="Arial"/>
          <w:color w:val="000000" w:themeColor="text1"/>
        </w:rPr>
        <w:lastRenderedPageBreak/>
        <w:t>t</w:t>
      </w:r>
      <w:r w:rsidR="00C11EE6">
        <w:rPr>
          <w:rFonts w:ascii="Arial" w:hAnsi="Arial" w:cs="Arial"/>
        </w:rPr>
        <w:t xml:space="preserve">he </w:t>
      </w:r>
      <w:r w:rsidR="00C914E5">
        <w:rPr>
          <w:rFonts w:ascii="Arial" w:hAnsi="Arial" w:cs="Arial"/>
        </w:rPr>
        <w:t>r</w:t>
      </w:r>
      <w:r w:rsidR="00C707FC">
        <w:rPr>
          <w:rFonts w:ascii="Arial" w:hAnsi="Arial" w:cs="Arial"/>
        </w:rPr>
        <w:t>egistrar</w:t>
      </w:r>
      <w:r w:rsidRPr="00A61B21">
        <w:rPr>
          <w:rFonts w:ascii="Arial" w:hAnsi="Arial" w:cs="Arial"/>
        </w:rPr>
        <w:t xml:space="preserve"> is the official, who deals with the complaint initially, irrespective of whom it was addressed to, and may,</w:t>
      </w:r>
      <w:r w:rsidR="00022D1C" w:rsidRPr="00A61B21">
        <w:rPr>
          <w:rFonts w:ascii="Arial" w:hAnsi="Arial" w:cs="Arial"/>
        </w:rPr>
        <w:t xml:space="preserve"> </w:t>
      </w:r>
      <w:r w:rsidRPr="00A61B21">
        <w:rPr>
          <w:rFonts w:ascii="Arial" w:hAnsi="Arial" w:cs="Arial"/>
        </w:rPr>
        <w:t>for instance, call for more information.</w:t>
      </w:r>
    </w:p>
    <w:p w14:paraId="647CDA02" w14:textId="77777777" w:rsidR="00CB196F" w:rsidRPr="00A61B21" w:rsidRDefault="00CB196F" w:rsidP="00B377FA">
      <w:pPr>
        <w:rPr>
          <w:rFonts w:ascii="Arial" w:hAnsi="Arial" w:cs="Arial"/>
        </w:rPr>
      </w:pPr>
    </w:p>
    <w:p w14:paraId="24C46D66" w14:textId="0E22F013" w:rsidR="00CB196F" w:rsidRPr="00A61B21" w:rsidRDefault="00CB196F" w:rsidP="00CB196F">
      <w:pPr>
        <w:rPr>
          <w:rFonts w:ascii="Arial" w:hAnsi="Arial" w:cs="Arial"/>
        </w:rPr>
      </w:pPr>
      <w:r w:rsidRPr="00A61B21">
        <w:rPr>
          <w:rFonts w:ascii="Arial" w:hAnsi="Arial" w:cs="Arial"/>
        </w:rPr>
        <w:t>[</w:t>
      </w:r>
      <w:r w:rsidR="00176803" w:rsidRPr="00A61B21">
        <w:rPr>
          <w:rFonts w:ascii="Arial" w:hAnsi="Arial" w:cs="Arial"/>
        </w:rPr>
        <w:t>5</w:t>
      </w:r>
      <w:r w:rsidR="00834121" w:rsidRPr="00A61B21">
        <w:rPr>
          <w:rFonts w:ascii="Arial" w:hAnsi="Arial" w:cs="Arial"/>
        </w:rPr>
        <w:t>]</w:t>
      </w:r>
      <w:r w:rsidR="00834121" w:rsidRPr="00A61B21">
        <w:rPr>
          <w:rFonts w:ascii="Arial" w:hAnsi="Arial" w:cs="Arial"/>
        </w:rPr>
        <w:tab/>
      </w:r>
      <w:r w:rsidR="00176803" w:rsidRPr="00A61B21">
        <w:rPr>
          <w:rFonts w:ascii="Arial" w:hAnsi="Arial" w:cs="Arial"/>
        </w:rPr>
        <w:t>T</w:t>
      </w:r>
      <w:r w:rsidRPr="00A61B21">
        <w:rPr>
          <w:rFonts w:ascii="Arial" w:hAnsi="Arial" w:cs="Arial"/>
        </w:rPr>
        <w:t xml:space="preserve">he complaint is then referred to </w:t>
      </w:r>
      <w:r w:rsidR="00022D1C" w:rsidRPr="00A61B21">
        <w:rPr>
          <w:rFonts w:ascii="Arial" w:hAnsi="Arial" w:cs="Arial"/>
        </w:rPr>
        <w:t>a</w:t>
      </w:r>
      <w:r w:rsidRPr="00A61B21">
        <w:rPr>
          <w:rFonts w:ascii="Arial" w:hAnsi="Arial" w:cs="Arial"/>
        </w:rPr>
        <w:t xml:space="preserve"> preliminary committee. Its task is to scrutinise complaints and decide on the substance of same. In the process</w:t>
      </w:r>
      <w:r w:rsidR="00C914E5">
        <w:rPr>
          <w:rFonts w:ascii="Arial" w:hAnsi="Arial" w:cs="Arial"/>
        </w:rPr>
        <w:t>,</w:t>
      </w:r>
      <w:r w:rsidRPr="00A61B21">
        <w:rPr>
          <w:rFonts w:ascii="Arial" w:hAnsi="Arial" w:cs="Arial"/>
        </w:rPr>
        <w:t xml:space="preserve"> the committee may d</w:t>
      </w:r>
      <w:r w:rsidR="00022D1C" w:rsidRPr="00A61B21">
        <w:rPr>
          <w:rFonts w:ascii="Arial" w:hAnsi="Arial" w:cs="Arial"/>
        </w:rPr>
        <w:t>ismiss</w:t>
      </w:r>
      <w:r w:rsidRPr="00A61B21">
        <w:rPr>
          <w:rFonts w:ascii="Arial" w:hAnsi="Arial" w:cs="Arial"/>
        </w:rPr>
        <w:t xml:space="preserve"> frivolous compla</w:t>
      </w:r>
      <w:r w:rsidR="00B25664">
        <w:rPr>
          <w:rFonts w:ascii="Arial" w:hAnsi="Arial" w:cs="Arial"/>
        </w:rPr>
        <w:t>ints</w:t>
      </w:r>
      <w:r w:rsidRPr="00A61B21">
        <w:rPr>
          <w:rFonts w:ascii="Arial" w:hAnsi="Arial" w:cs="Arial"/>
        </w:rPr>
        <w:t>. It would proceed with complaints that appear to have merit. At this stage</w:t>
      </w:r>
      <w:r w:rsidR="00B25664">
        <w:rPr>
          <w:rFonts w:ascii="Arial" w:hAnsi="Arial" w:cs="Arial"/>
        </w:rPr>
        <w:t>,</w:t>
      </w:r>
      <w:r w:rsidRPr="00A61B21">
        <w:rPr>
          <w:rFonts w:ascii="Arial" w:hAnsi="Arial" w:cs="Arial"/>
        </w:rPr>
        <w:t xml:space="preserve"> the respondent is asked to state their case. The preliminary committe</w:t>
      </w:r>
      <w:r w:rsidR="00022D1C" w:rsidRPr="00A61B21">
        <w:rPr>
          <w:rFonts w:ascii="Arial" w:hAnsi="Arial" w:cs="Arial"/>
        </w:rPr>
        <w:t>e</w:t>
      </w:r>
      <w:r w:rsidRPr="00A61B21">
        <w:rPr>
          <w:rFonts w:ascii="Arial" w:hAnsi="Arial" w:cs="Arial"/>
        </w:rPr>
        <w:t xml:space="preserve"> may </w:t>
      </w:r>
      <w:r w:rsidR="00022D1C" w:rsidRPr="00A61B21">
        <w:rPr>
          <w:rFonts w:ascii="Arial" w:hAnsi="Arial" w:cs="Arial"/>
        </w:rPr>
        <w:t>dismiss</w:t>
      </w:r>
      <w:r w:rsidRPr="00A61B21">
        <w:rPr>
          <w:rFonts w:ascii="Arial" w:hAnsi="Arial" w:cs="Arial"/>
        </w:rPr>
        <w:t xml:space="preserve"> a complaint if it is satisfied with the explanation given by the respondent. If, however, it is satisfied that there are grounds to proceed, it must </w:t>
      </w:r>
      <w:r w:rsidR="00022D1C" w:rsidRPr="00A61B21">
        <w:rPr>
          <w:rFonts w:ascii="Arial" w:hAnsi="Arial" w:cs="Arial"/>
        </w:rPr>
        <w:t xml:space="preserve">refer the complaint </w:t>
      </w:r>
      <w:r w:rsidRPr="00A61B21">
        <w:rPr>
          <w:rFonts w:ascii="Arial" w:hAnsi="Arial" w:cs="Arial"/>
        </w:rPr>
        <w:t xml:space="preserve">to an </w:t>
      </w:r>
      <w:r w:rsidR="00C914E5">
        <w:rPr>
          <w:rFonts w:ascii="Arial" w:hAnsi="Arial" w:cs="Arial"/>
        </w:rPr>
        <w:t>i</w:t>
      </w:r>
      <w:r w:rsidRPr="00A61B21">
        <w:rPr>
          <w:rFonts w:ascii="Arial" w:hAnsi="Arial" w:cs="Arial"/>
        </w:rPr>
        <w:t>nquiry.</w:t>
      </w:r>
      <w:r w:rsidR="00C914E5">
        <w:rPr>
          <w:rStyle w:val="FootnoteReference"/>
          <w:rFonts w:ascii="Arial" w:hAnsi="Arial" w:cs="Arial"/>
        </w:rPr>
        <w:footnoteReference w:id="2"/>
      </w:r>
    </w:p>
    <w:p w14:paraId="1EA5A066" w14:textId="77777777" w:rsidR="00CB196F" w:rsidRPr="007E0D22" w:rsidRDefault="00CB196F" w:rsidP="007E0D22">
      <w:pPr>
        <w:rPr>
          <w:rFonts w:ascii="Arial" w:hAnsi="Arial" w:cs="Arial"/>
        </w:rPr>
      </w:pPr>
    </w:p>
    <w:p w14:paraId="53072153" w14:textId="6D60B28F" w:rsidR="00CB196F" w:rsidRPr="00A61B21" w:rsidRDefault="00CB196F" w:rsidP="00CB196F">
      <w:pPr>
        <w:rPr>
          <w:rFonts w:ascii="Arial" w:hAnsi="Arial" w:cs="Arial"/>
        </w:rPr>
      </w:pPr>
      <w:r w:rsidRPr="00A61B21">
        <w:rPr>
          <w:rFonts w:ascii="Arial" w:hAnsi="Arial" w:cs="Arial"/>
        </w:rPr>
        <w:t>[</w:t>
      </w:r>
      <w:r w:rsidR="00176803" w:rsidRPr="00A61B21">
        <w:rPr>
          <w:rFonts w:ascii="Arial" w:hAnsi="Arial" w:cs="Arial"/>
        </w:rPr>
        <w:t>6</w:t>
      </w:r>
      <w:r w:rsidRPr="00A61B21">
        <w:rPr>
          <w:rFonts w:ascii="Arial" w:hAnsi="Arial" w:cs="Arial"/>
        </w:rPr>
        <w:t>]</w:t>
      </w:r>
      <w:r w:rsidRPr="00A61B21">
        <w:rPr>
          <w:rFonts w:ascii="Arial" w:hAnsi="Arial" w:cs="Arial"/>
        </w:rPr>
        <w:tab/>
        <w:t xml:space="preserve">In terms of </w:t>
      </w:r>
      <w:r w:rsidR="00022D1C" w:rsidRPr="00A61B21">
        <w:rPr>
          <w:rFonts w:ascii="Arial" w:hAnsi="Arial" w:cs="Arial"/>
        </w:rPr>
        <w:t>reg</w:t>
      </w:r>
      <w:r w:rsidRPr="00A61B21">
        <w:rPr>
          <w:rFonts w:ascii="Arial" w:hAnsi="Arial" w:cs="Arial"/>
        </w:rPr>
        <w:t xml:space="preserve"> 6, the chairperson of the appropriate professiona</w:t>
      </w:r>
      <w:r w:rsidR="008C323A">
        <w:rPr>
          <w:rFonts w:ascii="Arial" w:hAnsi="Arial" w:cs="Arial"/>
        </w:rPr>
        <w:t xml:space="preserve">l board, on the request of the </w:t>
      </w:r>
      <w:r w:rsidR="00C914E5">
        <w:rPr>
          <w:rFonts w:ascii="Arial" w:hAnsi="Arial" w:cs="Arial"/>
        </w:rPr>
        <w:t>r</w:t>
      </w:r>
      <w:r w:rsidR="00C707FC">
        <w:rPr>
          <w:rFonts w:ascii="Arial" w:hAnsi="Arial" w:cs="Arial"/>
        </w:rPr>
        <w:t>egistrar</w:t>
      </w:r>
      <w:r w:rsidRPr="00A61B21">
        <w:rPr>
          <w:rFonts w:ascii="Arial" w:hAnsi="Arial" w:cs="Arial"/>
        </w:rPr>
        <w:t xml:space="preserve">, </w:t>
      </w:r>
      <w:r w:rsidR="00E8438F">
        <w:rPr>
          <w:rFonts w:ascii="Arial" w:hAnsi="Arial" w:cs="Arial"/>
        </w:rPr>
        <w:t xml:space="preserve">must </w:t>
      </w:r>
      <w:r w:rsidRPr="00A61B21">
        <w:rPr>
          <w:rFonts w:ascii="Arial" w:hAnsi="Arial" w:cs="Arial"/>
        </w:rPr>
        <w:t>appoint a PCC to enquire into the matter. The PCC hears the evidence and decides on the guilt or innocence of the respondent. In terms of re</w:t>
      </w:r>
      <w:r w:rsidR="00022D1C" w:rsidRPr="00A61B21">
        <w:rPr>
          <w:rFonts w:ascii="Arial" w:hAnsi="Arial" w:cs="Arial"/>
        </w:rPr>
        <w:t>g</w:t>
      </w:r>
      <w:r w:rsidRPr="00A61B21">
        <w:rPr>
          <w:rFonts w:ascii="Arial" w:hAnsi="Arial" w:cs="Arial"/>
        </w:rPr>
        <w:t xml:space="preserve"> 11(1), ‘the respondent or the </w:t>
      </w:r>
      <w:r w:rsidRPr="007E0D22">
        <w:rPr>
          <w:rFonts w:ascii="Arial" w:hAnsi="Arial" w:cs="Arial"/>
          <w:i/>
        </w:rPr>
        <w:t>pro forma</w:t>
      </w:r>
      <w:r w:rsidRPr="00A61B21">
        <w:rPr>
          <w:rFonts w:ascii="Arial" w:hAnsi="Arial" w:cs="Arial"/>
        </w:rPr>
        <w:t xml:space="preserve"> complainant may appeal to the appeal committee against the findings or penalty of the professional conduct committee or both such finding and such penalty’.</w:t>
      </w:r>
    </w:p>
    <w:p w14:paraId="539656CD" w14:textId="77777777" w:rsidR="00CB196F" w:rsidRPr="00A61B21" w:rsidRDefault="00CB196F" w:rsidP="00B377FA">
      <w:pPr>
        <w:rPr>
          <w:rFonts w:ascii="Arial" w:hAnsi="Arial" w:cs="Arial"/>
        </w:rPr>
      </w:pPr>
    </w:p>
    <w:p w14:paraId="498CD4A8" w14:textId="10FAB778" w:rsidR="00CB196F" w:rsidRPr="00A61B21" w:rsidRDefault="00CB196F" w:rsidP="00CB196F">
      <w:pPr>
        <w:rPr>
          <w:rFonts w:ascii="Arial" w:hAnsi="Arial" w:cs="Arial"/>
        </w:rPr>
      </w:pPr>
      <w:r w:rsidRPr="00A61B21">
        <w:rPr>
          <w:rFonts w:ascii="Arial" w:hAnsi="Arial" w:cs="Arial"/>
        </w:rPr>
        <w:t>[</w:t>
      </w:r>
      <w:r w:rsidR="00176803" w:rsidRPr="00A61B21">
        <w:rPr>
          <w:rFonts w:ascii="Arial" w:hAnsi="Arial" w:cs="Arial"/>
        </w:rPr>
        <w:t>7</w:t>
      </w:r>
      <w:r w:rsidRPr="00A61B21">
        <w:rPr>
          <w:rFonts w:ascii="Arial" w:hAnsi="Arial" w:cs="Arial"/>
        </w:rPr>
        <w:t>]</w:t>
      </w:r>
      <w:r w:rsidRPr="00A61B21">
        <w:rPr>
          <w:rFonts w:ascii="Arial" w:hAnsi="Arial" w:cs="Arial"/>
        </w:rPr>
        <w:tab/>
        <w:t>In terms of re</w:t>
      </w:r>
      <w:r w:rsidR="00022D1C" w:rsidRPr="00A61B21">
        <w:rPr>
          <w:rFonts w:ascii="Arial" w:hAnsi="Arial" w:cs="Arial"/>
        </w:rPr>
        <w:t>g</w:t>
      </w:r>
      <w:r w:rsidRPr="00A61B21">
        <w:rPr>
          <w:rFonts w:ascii="Arial" w:hAnsi="Arial" w:cs="Arial"/>
        </w:rPr>
        <w:t xml:space="preserve"> 11(9), the appeal committee considers the appeal ‘on the papers’</w:t>
      </w:r>
      <w:r w:rsidR="00022D1C" w:rsidRPr="00A61B21">
        <w:rPr>
          <w:rFonts w:ascii="Arial" w:hAnsi="Arial" w:cs="Arial"/>
        </w:rPr>
        <w:t>.</w:t>
      </w:r>
      <w:r w:rsidRPr="00A61B21">
        <w:rPr>
          <w:rFonts w:ascii="Arial" w:hAnsi="Arial" w:cs="Arial"/>
        </w:rPr>
        <w:t xml:space="preserve"> Having considered representations and argument by the parties</w:t>
      </w:r>
      <w:r w:rsidR="00022D1C" w:rsidRPr="00A61B21">
        <w:rPr>
          <w:rFonts w:ascii="Arial" w:hAnsi="Arial" w:cs="Arial"/>
        </w:rPr>
        <w:t>,</w:t>
      </w:r>
      <w:r w:rsidRPr="00A61B21">
        <w:rPr>
          <w:rFonts w:ascii="Arial" w:hAnsi="Arial" w:cs="Arial"/>
        </w:rPr>
        <w:t xml:space="preserve"> </w:t>
      </w:r>
      <w:r w:rsidR="00022D1C" w:rsidRPr="00A61B21">
        <w:rPr>
          <w:rFonts w:ascii="Arial" w:hAnsi="Arial" w:cs="Arial"/>
        </w:rPr>
        <w:t>it</w:t>
      </w:r>
      <w:r w:rsidRPr="00A61B21">
        <w:rPr>
          <w:rFonts w:ascii="Arial" w:hAnsi="Arial" w:cs="Arial"/>
        </w:rPr>
        <w:t xml:space="preserve"> then </w:t>
      </w:r>
      <w:r w:rsidR="00E8438F">
        <w:rPr>
          <w:rFonts w:ascii="Arial" w:hAnsi="Arial" w:cs="Arial"/>
        </w:rPr>
        <w:t xml:space="preserve">must </w:t>
      </w:r>
      <w:r w:rsidRPr="00A61B21">
        <w:rPr>
          <w:rFonts w:ascii="Arial" w:hAnsi="Arial" w:cs="Arial"/>
        </w:rPr>
        <w:t>determine the appeal. In term</w:t>
      </w:r>
      <w:r w:rsidR="006D79A2" w:rsidRPr="00A61B21">
        <w:rPr>
          <w:rFonts w:ascii="Arial" w:hAnsi="Arial" w:cs="Arial"/>
        </w:rPr>
        <w:t>s of re</w:t>
      </w:r>
      <w:r w:rsidR="00022D1C" w:rsidRPr="00A61B21">
        <w:rPr>
          <w:rFonts w:ascii="Arial" w:hAnsi="Arial" w:cs="Arial"/>
        </w:rPr>
        <w:t>g</w:t>
      </w:r>
      <w:r w:rsidR="006D79A2" w:rsidRPr="00A61B21">
        <w:rPr>
          <w:rFonts w:ascii="Arial" w:hAnsi="Arial" w:cs="Arial"/>
        </w:rPr>
        <w:t xml:space="preserve"> 11(1</w:t>
      </w:r>
      <w:r w:rsidR="00E8438F">
        <w:rPr>
          <w:rFonts w:ascii="Arial" w:hAnsi="Arial" w:cs="Arial"/>
        </w:rPr>
        <w:t>1</w:t>
      </w:r>
      <w:r w:rsidR="006D79A2" w:rsidRPr="00A61B21">
        <w:rPr>
          <w:rFonts w:ascii="Arial" w:hAnsi="Arial" w:cs="Arial"/>
        </w:rPr>
        <w:t>), the decision of</w:t>
      </w:r>
      <w:r w:rsidRPr="00A61B21">
        <w:rPr>
          <w:rFonts w:ascii="Arial" w:hAnsi="Arial" w:cs="Arial"/>
        </w:rPr>
        <w:t xml:space="preserve"> the appeal committee ‘will be of force and effect from the date determined by the committee and may be set aside by </w:t>
      </w:r>
      <w:r w:rsidR="00E8438F">
        <w:rPr>
          <w:rFonts w:ascii="Arial" w:hAnsi="Arial" w:cs="Arial"/>
        </w:rPr>
        <w:t>a</w:t>
      </w:r>
      <w:r w:rsidRPr="00A61B21">
        <w:rPr>
          <w:rFonts w:ascii="Arial" w:hAnsi="Arial" w:cs="Arial"/>
        </w:rPr>
        <w:t xml:space="preserve"> </w:t>
      </w:r>
      <w:r w:rsidR="007E0D22">
        <w:rPr>
          <w:rFonts w:ascii="Arial" w:hAnsi="Arial" w:cs="Arial"/>
        </w:rPr>
        <w:t>H</w:t>
      </w:r>
      <w:r w:rsidR="00C707FC">
        <w:rPr>
          <w:rFonts w:ascii="Arial" w:hAnsi="Arial" w:cs="Arial"/>
        </w:rPr>
        <w:t xml:space="preserve">igh </w:t>
      </w:r>
      <w:r w:rsidR="007E0D22">
        <w:rPr>
          <w:rFonts w:ascii="Arial" w:hAnsi="Arial" w:cs="Arial"/>
        </w:rPr>
        <w:t>C</w:t>
      </w:r>
      <w:r w:rsidR="00C707FC">
        <w:rPr>
          <w:rFonts w:ascii="Arial" w:hAnsi="Arial" w:cs="Arial"/>
        </w:rPr>
        <w:t>ourt</w:t>
      </w:r>
      <w:r w:rsidRPr="00A61B21">
        <w:rPr>
          <w:rFonts w:ascii="Arial" w:hAnsi="Arial" w:cs="Arial"/>
        </w:rPr>
        <w:t xml:space="preserve"> if approached in terms of s</w:t>
      </w:r>
      <w:r w:rsidR="00E8438F">
        <w:rPr>
          <w:rFonts w:ascii="Arial" w:hAnsi="Arial" w:cs="Arial"/>
        </w:rPr>
        <w:t>ection</w:t>
      </w:r>
      <w:r w:rsidRPr="00A61B21">
        <w:rPr>
          <w:rFonts w:ascii="Arial" w:hAnsi="Arial" w:cs="Arial"/>
        </w:rPr>
        <w:t xml:space="preserve"> 20 of the Act’. Section 20 provides a right to appeal to the </w:t>
      </w:r>
      <w:r w:rsidR="007E0D22">
        <w:rPr>
          <w:rFonts w:ascii="Arial" w:hAnsi="Arial" w:cs="Arial"/>
        </w:rPr>
        <w:t>H</w:t>
      </w:r>
      <w:r w:rsidR="00C707FC">
        <w:rPr>
          <w:rFonts w:ascii="Arial" w:hAnsi="Arial" w:cs="Arial"/>
        </w:rPr>
        <w:t xml:space="preserve">igh </w:t>
      </w:r>
      <w:r w:rsidR="007E0D22">
        <w:rPr>
          <w:rFonts w:ascii="Arial" w:hAnsi="Arial" w:cs="Arial"/>
        </w:rPr>
        <w:t>C</w:t>
      </w:r>
      <w:r w:rsidR="00C707FC">
        <w:rPr>
          <w:rFonts w:ascii="Arial" w:hAnsi="Arial" w:cs="Arial"/>
        </w:rPr>
        <w:t>ourt</w:t>
      </w:r>
      <w:r w:rsidRPr="00A61B21">
        <w:rPr>
          <w:rFonts w:ascii="Arial" w:hAnsi="Arial" w:cs="Arial"/>
        </w:rPr>
        <w:t xml:space="preserve"> against all decisions that may be made by the HPCSA or its structures.</w:t>
      </w:r>
    </w:p>
    <w:p w14:paraId="63A719AA" w14:textId="77777777" w:rsidR="00834121" w:rsidRPr="00A61B21" w:rsidRDefault="00834121" w:rsidP="00A24535">
      <w:pPr>
        <w:widowControl w:val="0"/>
        <w:tabs>
          <w:tab w:val="right" w:pos="9360"/>
        </w:tabs>
        <w:autoSpaceDE w:val="0"/>
        <w:autoSpaceDN w:val="0"/>
        <w:adjustRightInd w:val="0"/>
        <w:rPr>
          <w:rFonts w:ascii="Arial" w:hAnsi="Arial" w:cs="Arial"/>
        </w:rPr>
      </w:pPr>
    </w:p>
    <w:p w14:paraId="54F73ADE" w14:textId="45CEFB9D" w:rsidR="00C67431" w:rsidRPr="00A61B21" w:rsidRDefault="002264F6"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w:t>
      </w:r>
      <w:r w:rsidR="00176803" w:rsidRPr="00A61B21">
        <w:rPr>
          <w:rFonts w:ascii="Arial" w:hAnsi="Arial" w:cs="Arial"/>
        </w:rPr>
        <w:t>8</w:t>
      </w:r>
      <w:r w:rsidRPr="00A61B21">
        <w:rPr>
          <w:rFonts w:ascii="Arial" w:hAnsi="Arial" w:cs="Arial"/>
        </w:rPr>
        <w:t>]</w:t>
      </w:r>
      <w:r w:rsidR="00605890">
        <w:rPr>
          <w:rFonts w:ascii="Arial" w:hAnsi="Arial" w:cs="Arial"/>
        </w:rPr>
        <w:tab/>
      </w:r>
      <w:r w:rsidR="00605890">
        <w:rPr>
          <w:rFonts w:ascii="Arial" w:hAnsi="Arial" w:cs="Arial"/>
        </w:rPr>
        <w:tab/>
      </w:r>
      <w:r w:rsidR="006C14D0" w:rsidRPr="00A61B21">
        <w:rPr>
          <w:rFonts w:ascii="Arial" w:hAnsi="Arial" w:cs="Arial"/>
        </w:rPr>
        <w:t>O</w:t>
      </w:r>
      <w:r w:rsidR="00AE259D" w:rsidRPr="00A61B21">
        <w:rPr>
          <w:rFonts w:ascii="Arial" w:hAnsi="Arial" w:cs="Arial"/>
        </w:rPr>
        <w:t xml:space="preserve">n 8 </w:t>
      </w:r>
      <w:r w:rsidR="005929A2" w:rsidRPr="00A61B21">
        <w:rPr>
          <w:rFonts w:ascii="Arial" w:hAnsi="Arial" w:cs="Arial"/>
        </w:rPr>
        <w:t>July 201</w:t>
      </w:r>
      <w:r w:rsidR="006C14D0" w:rsidRPr="00A61B21">
        <w:rPr>
          <w:rFonts w:ascii="Arial" w:hAnsi="Arial" w:cs="Arial"/>
        </w:rPr>
        <w:t>3,</w:t>
      </w:r>
      <w:r w:rsidR="004F5DEE" w:rsidRPr="00A61B21">
        <w:rPr>
          <w:rFonts w:ascii="Arial" w:hAnsi="Arial" w:cs="Arial"/>
        </w:rPr>
        <w:t xml:space="preserve"> Ms Miller lodged a complaint</w:t>
      </w:r>
      <w:r w:rsidR="008C323A">
        <w:rPr>
          <w:rFonts w:ascii="Arial" w:hAnsi="Arial" w:cs="Arial"/>
        </w:rPr>
        <w:t xml:space="preserve"> with the HPCSA</w:t>
      </w:r>
      <w:r w:rsidR="006C14D0" w:rsidRPr="00A61B21">
        <w:rPr>
          <w:rFonts w:ascii="Arial" w:hAnsi="Arial" w:cs="Arial"/>
        </w:rPr>
        <w:t xml:space="preserve"> arising from doctor-patient interactions between Dr Miller and </w:t>
      </w:r>
      <w:r w:rsidR="005802D3" w:rsidRPr="00A61B21">
        <w:rPr>
          <w:rFonts w:ascii="Arial" w:hAnsi="Arial" w:cs="Arial"/>
        </w:rPr>
        <w:t>Ms</w:t>
      </w:r>
      <w:r w:rsidR="006C14D0" w:rsidRPr="00A61B21">
        <w:rPr>
          <w:rFonts w:ascii="Arial" w:hAnsi="Arial" w:cs="Arial"/>
        </w:rPr>
        <w:t xml:space="preserve"> Senna. </w:t>
      </w:r>
      <w:r w:rsidR="00646CA1" w:rsidRPr="00A61B21">
        <w:rPr>
          <w:rFonts w:ascii="Arial" w:hAnsi="Arial" w:cs="Arial"/>
        </w:rPr>
        <w:t xml:space="preserve">Ms Miller made allegations of misconduct against Dr Miller. Based on these allegations, the Board appointed a Committee of Preliminary Inquiry (the </w:t>
      </w:r>
      <w:r w:rsidR="00605890">
        <w:rPr>
          <w:rFonts w:ascii="Arial" w:hAnsi="Arial" w:cs="Arial"/>
        </w:rPr>
        <w:t>p</w:t>
      </w:r>
      <w:r w:rsidR="00646CA1" w:rsidRPr="00A61B21">
        <w:rPr>
          <w:rFonts w:ascii="Arial" w:hAnsi="Arial" w:cs="Arial"/>
        </w:rPr>
        <w:t xml:space="preserve">relim </w:t>
      </w:r>
      <w:r w:rsidR="00605890">
        <w:rPr>
          <w:rFonts w:ascii="Arial" w:hAnsi="Arial" w:cs="Arial"/>
        </w:rPr>
        <w:t>c</w:t>
      </w:r>
      <w:r w:rsidR="00646CA1" w:rsidRPr="00A61B21">
        <w:rPr>
          <w:rFonts w:ascii="Arial" w:hAnsi="Arial" w:cs="Arial"/>
        </w:rPr>
        <w:t xml:space="preserve">ommittee) to investigate the complaint and make a determination thereon. The </w:t>
      </w:r>
      <w:r w:rsidR="00605890">
        <w:rPr>
          <w:rFonts w:ascii="Arial" w:hAnsi="Arial" w:cs="Arial"/>
        </w:rPr>
        <w:t>p</w:t>
      </w:r>
      <w:r w:rsidR="00646CA1" w:rsidRPr="00A61B21">
        <w:rPr>
          <w:rFonts w:ascii="Arial" w:hAnsi="Arial" w:cs="Arial"/>
        </w:rPr>
        <w:t xml:space="preserve">relim </w:t>
      </w:r>
      <w:r w:rsidR="00605890">
        <w:rPr>
          <w:rFonts w:ascii="Arial" w:hAnsi="Arial" w:cs="Arial"/>
        </w:rPr>
        <w:t>c</w:t>
      </w:r>
      <w:r w:rsidR="00646CA1" w:rsidRPr="00A61B21">
        <w:rPr>
          <w:rFonts w:ascii="Arial" w:hAnsi="Arial" w:cs="Arial"/>
        </w:rPr>
        <w:t xml:space="preserve">ommittee convened on 12 </w:t>
      </w:r>
      <w:r w:rsidR="00646CA1" w:rsidRPr="00A61B21">
        <w:rPr>
          <w:rFonts w:ascii="Arial" w:hAnsi="Arial" w:cs="Arial"/>
        </w:rPr>
        <w:lastRenderedPageBreak/>
        <w:t>December 2013 and resolved that Dr M</w:t>
      </w:r>
      <w:r w:rsidR="00834121" w:rsidRPr="00A61B21">
        <w:rPr>
          <w:rFonts w:ascii="Arial" w:hAnsi="Arial" w:cs="Arial"/>
        </w:rPr>
        <w:t xml:space="preserve">iller was guilty of misconduct </w:t>
      </w:r>
      <w:r w:rsidR="00646CA1" w:rsidRPr="00A61B21">
        <w:rPr>
          <w:rFonts w:ascii="Arial" w:hAnsi="Arial" w:cs="Arial"/>
        </w:rPr>
        <w:t xml:space="preserve">and that a penalty of a fine of R10 000 be imposed. </w:t>
      </w:r>
    </w:p>
    <w:p w14:paraId="12A11715" w14:textId="57B5BB2F" w:rsidR="00C67431" w:rsidRPr="00A61B21" w:rsidRDefault="00C67431" w:rsidP="00A24535">
      <w:pPr>
        <w:widowControl w:val="0"/>
        <w:tabs>
          <w:tab w:val="right" w:pos="9360"/>
        </w:tabs>
        <w:autoSpaceDE w:val="0"/>
        <w:autoSpaceDN w:val="0"/>
        <w:adjustRightInd w:val="0"/>
        <w:rPr>
          <w:rFonts w:ascii="Arial" w:hAnsi="Arial" w:cs="Arial"/>
        </w:rPr>
      </w:pPr>
    </w:p>
    <w:p w14:paraId="71DADC74" w14:textId="5EAFE3B1" w:rsidR="00C67431" w:rsidRPr="00A61B21" w:rsidRDefault="00834121"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[9]</w:t>
      </w:r>
      <w:r w:rsidRPr="00A61B21">
        <w:rPr>
          <w:rFonts w:ascii="Arial" w:hAnsi="Arial" w:cs="Arial"/>
        </w:rPr>
        <w:tab/>
      </w:r>
      <w:r w:rsidR="005D6A56">
        <w:rPr>
          <w:rFonts w:ascii="Arial" w:hAnsi="Arial" w:cs="Arial"/>
        </w:rPr>
        <w:tab/>
      </w:r>
      <w:r w:rsidRPr="00A61B21">
        <w:rPr>
          <w:rFonts w:ascii="Arial" w:hAnsi="Arial" w:cs="Arial"/>
        </w:rPr>
        <w:t xml:space="preserve">In </w:t>
      </w:r>
      <w:r w:rsidR="00C67431" w:rsidRPr="00A61B21">
        <w:rPr>
          <w:rFonts w:ascii="Arial" w:hAnsi="Arial" w:cs="Arial"/>
        </w:rPr>
        <w:t xml:space="preserve">his capacity as a </w:t>
      </w:r>
      <w:r w:rsidR="00C67431" w:rsidRPr="007E0D22">
        <w:rPr>
          <w:rFonts w:ascii="Arial" w:hAnsi="Arial" w:cs="Arial"/>
          <w:i/>
        </w:rPr>
        <w:t>pro forma</w:t>
      </w:r>
      <w:r w:rsidR="00C67431" w:rsidRPr="00A61B21">
        <w:rPr>
          <w:rFonts w:ascii="Arial" w:hAnsi="Arial" w:cs="Arial"/>
        </w:rPr>
        <w:t xml:space="preserve"> complainant, </w:t>
      </w:r>
      <w:r w:rsidR="005D6A56">
        <w:rPr>
          <w:rFonts w:ascii="Arial" w:hAnsi="Arial" w:cs="Arial"/>
        </w:rPr>
        <w:t xml:space="preserve">Mr </w:t>
      </w:r>
      <w:r w:rsidR="00C67431" w:rsidRPr="00A61B21">
        <w:rPr>
          <w:rFonts w:ascii="Arial" w:hAnsi="Arial" w:cs="Arial"/>
        </w:rPr>
        <w:t>Mapholisa prepared charges against Dr Miller</w:t>
      </w:r>
      <w:r w:rsidR="005D6A56">
        <w:rPr>
          <w:rFonts w:ascii="Arial" w:hAnsi="Arial" w:cs="Arial"/>
        </w:rPr>
        <w:t>,</w:t>
      </w:r>
      <w:r w:rsidR="00C67431" w:rsidRPr="00A61B21">
        <w:rPr>
          <w:rFonts w:ascii="Arial" w:hAnsi="Arial" w:cs="Arial"/>
        </w:rPr>
        <w:t xml:space="preserve"> which were served on </w:t>
      </w:r>
      <w:r w:rsidR="005D6A56">
        <w:rPr>
          <w:rFonts w:ascii="Arial" w:hAnsi="Arial" w:cs="Arial"/>
        </w:rPr>
        <w:t xml:space="preserve">Dr Miller on </w:t>
      </w:r>
      <w:r w:rsidR="00C67431" w:rsidRPr="00A61B21">
        <w:rPr>
          <w:rFonts w:ascii="Arial" w:hAnsi="Arial" w:cs="Arial"/>
        </w:rPr>
        <w:t>11 February 2014. Dr Miller was given an option to accept or reject the admission of guilt fine deter</w:t>
      </w:r>
      <w:r w:rsidRPr="00A61B21">
        <w:rPr>
          <w:rFonts w:ascii="Arial" w:hAnsi="Arial" w:cs="Arial"/>
        </w:rPr>
        <w:t xml:space="preserve">mined by the </w:t>
      </w:r>
      <w:r w:rsidR="005D6A56">
        <w:rPr>
          <w:rFonts w:ascii="Arial" w:hAnsi="Arial" w:cs="Arial"/>
        </w:rPr>
        <w:t>p</w:t>
      </w:r>
      <w:r w:rsidRPr="00A61B21">
        <w:rPr>
          <w:rFonts w:ascii="Arial" w:hAnsi="Arial" w:cs="Arial"/>
        </w:rPr>
        <w:t xml:space="preserve">relim </w:t>
      </w:r>
      <w:r w:rsidR="005D6A56">
        <w:rPr>
          <w:rFonts w:ascii="Arial" w:hAnsi="Arial" w:cs="Arial"/>
        </w:rPr>
        <w:t>c</w:t>
      </w:r>
      <w:r w:rsidRPr="00A61B21">
        <w:rPr>
          <w:rFonts w:ascii="Arial" w:hAnsi="Arial" w:cs="Arial"/>
        </w:rPr>
        <w:t xml:space="preserve">ommittee. </w:t>
      </w:r>
      <w:r w:rsidR="00C67431" w:rsidRPr="00A61B21">
        <w:rPr>
          <w:rFonts w:ascii="Arial" w:hAnsi="Arial" w:cs="Arial"/>
        </w:rPr>
        <w:t>Dr Miller rejected payment of this fine, after</w:t>
      </w:r>
      <w:r w:rsidR="005802D3" w:rsidRPr="00A61B21">
        <w:rPr>
          <w:rFonts w:ascii="Arial" w:hAnsi="Arial" w:cs="Arial"/>
        </w:rPr>
        <w:t xml:space="preserve"> </w:t>
      </w:r>
      <w:r w:rsidR="00C67431" w:rsidRPr="00A61B21">
        <w:rPr>
          <w:rFonts w:ascii="Arial" w:hAnsi="Arial" w:cs="Arial"/>
        </w:rPr>
        <w:t xml:space="preserve">which a Professional Conduct Inquiry ensued. </w:t>
      </w:r>
    </w:p>
    <w:p w14:paraId="26B21C70" w14:textId="0C24C724" w:rsidR="00C67431" w:rsidRPr="00A61B21" w:rsidRDefault="00C67431" w:rsidP="00A24535">
      <w:pPr>
        <w:widowControl w:val="0"/>
        <w:tabs>
          <w:tab w:val="right" w:pos="9360"/>
        </w:tabs>
        <w:autoSpaceDE w:val="0"/>
        <w:autoSpaceDN w:val="0"/>
        <w:adjustRightInd w:val="0"/>
        <w:rPr>
          <w:rFonts w:ascii="Arial" w:hAnsi="Arial" w:cs="Arial"/>
        </w:rPr>
      </w:pPr>
    </w:p>
    <w:p w14:paraId="4293AE14" w14:textId="652CF9C0" w:rsidR="00954BF4" w:rsidRPr="00A61B21" w:rsidRDefault="00C67431" w:rsidP="007E0D22">
      <w:pPr>
        <w:widowControl w:val="0"/>
        <w:tabs>
          <w:tab w:val="right" w:pos="720"/>
          <w:tab w:val="right" w:pos="9360"/>
        </w:tabs>
        <w:autoSpaceDE w:val="0"/>
        <w:autoSpaceDN w:val="0"/>
        <w:adjustRightInd w:val="0"/>
        <w:rPr>
          <w:rFonts w:ascii="Arial" w:hAnsi="Arial" w:cs="Arial"/>
          <w:bCs/>
        </w:rPr>
      </w:pPr>
      <w:r w:rsidRPr="00A61B21">
        <w:rPr>
          <w:rFonts w:ascii="Arial" w:hAnsi="Arial" w:cs="Arial"/>
        </w:rPr>
        <w:t>[</w:t>
      </w:r>
      <w:r w:rsidR="00176803" w:rsidRPr="00A61B21">
        <w:rPr>
          <w:rFonts w:ascii="Arial" w:hAnsi="Arial" w:cs="Arial"/>
        </w:rPr>
        <w:t>10</w:t>
      </w:r>
      <w:r w:rsidRPr="00A61B21">
        <w:rPr>
          <w:rFonts w:ascii="Arial" w:hAnsi="Arial" w:cs="Arial"/>
        </w:rPr>
        <w:t>]</w:t>
      </w:r>
      <w:r w:rsidR="005D6A56">
        <w:rPr>
          <w:rFonts w:ascii="Arial" w:hAnsi="Arial" w:cs="Arial"/>
        </w:rPr>
        <w:tab/>
      </w:r>
      <w:r w:rsidR="00834121" w:rsidRPr="00A61B21">
        <w:rPr>
          <w:rFonts w:ascii="Arial" w:hAnsi="Arial" w:cs="Arial"/>
        </w:rPr>
        <w:tab/>
      </w:r>
      <w:r w:rsidRPr="00A61B21">
        <w:rPr>
          <w:rFonts w:ascii="Arial" w:hAnsi="Arial" w:cs="Arial"/>
        </w:rPr>
        <w:t xml:space="preserve">At the inquiry a point </w:t>
      </w:r>
      <w:r w:rsidRPr="007E0D22">
        <w:rPr>
          <w:rFonts w:ascii="Arial" w:hAnsi="Arial" w:cs="Arial"/>
          <w:i/>
        </w:rPr>
        <w:t>in limine</w:t>
      </w:r>
      <w:r w:rsidRPr="00A61B21">
        <w:rPr>
          <w:rFonts w:ascii="Arial" w:hAnsi="Arial" w:cs="Arial"/>
        </w:rPr>
        <w:t xml:space="preserve"> was raised on Dr Miller’s behalf</w:t>
      </w:r>
      <w:r w:rsidR="00075933">
        <w:rPr>
          <w:rFonts w:ascii="Arial" w:hAnsi="Arial" w:cs="Arial"/>
        </w:rPr>
        <w:t>. It was argued</w:t>
      </w:r>
      <w:r w:rsidRPr="00A61B21">
        <w:rPr>
          <w:rFonts w:ascii="Arial" w:hAnsi="Arial" w:cs="Arial"/>
        </w:rPr>
        <w:t xml:space="preserve"> that Ms Miller</w:t>
      </w:r>
      <w:r w:rsidR="003D3D81" w:rsidRPr="00A61B21">
        <w:rPr>
          <w:rFonts w:ascii="Arial" w:hAnsi="Arial" w:cs="Arial"/>
        </w:rPr>
        <w:t>, who laid the complaint,</w:t>
      </w:r>
      <w:r w:rsidRPr="00A61B21">
        <w:rPr>
          <w:rFonts w:ascii="Arial" w:hAnsi="Arial" w:cs="Arial"/>
        </w:rPr>
        <w:t xml:space="preserve"> had no </w:t>
      </w:r>
      <w:r w:rsidRPr="007E0D22">
        <w:rPr>
          <w:rFonts w:ascii="Arial" w:hAnsi="Arial" w:cs="Arial"/>
          <w:i/>
        </w:rPr>
        <w:t>locus standi</w:t>
      </w:r>
      <w:r w:rsidR="00A07857" w:rsidRPr="00A61B21">
        <w:rPr>
          <w:rFonts w:ascii="Arial" w:hAnsi="Arial" w:cs="Arial"/>
        </w:rPr>
        <w:t xml:space="preserve"> </w:t>
      </w:r>
      <w:r w:rsidR="003D3D81" w:rsidRPr="00A61B21">
        <w:rPr>
          <w:rFonts w:ascii="Arial" w:hAnsi="Arial" w:cs="Arial"/>
        </w:rPr>
        <w:t xml:space="preserve">because she was not Dr Miller’s patient and was not in a position to provide </w:t>
      </w:r>
      <w:r w:rsidR="00A07857" w:rsidRPr="00A61B21">
        <w:rPr>
          <w:rFonts w:ascii="Arial" w:hAnsi="Arial" w:cs="Arial"/>
        </w:rPr>
        <w:t>evidence</w:t>
      </w:r>
      <w:r w:rsidR="003D3D81" w:rsidRPr="00A61B21">
        <w:rPr>
          <w:rFonts w:ascii="Arial" w:hAnsi="Arial" w:cs="Arial"/>
        </w:rPr>
        <w:t xml:space="preserve"> as to what transpired between Dr Miller and </w:t>
      </w:r>
      <w:r w:rsidR="00A07857" w:rsidRPr="00A61B21">
        <w:rPr>
          <w:rFonts w:ascii="Arial" w:hAnsi="Arial" w:cs="Arial"/>
        </w:rPr>
        <w:t>Ms Senna</w:t>
      </w:r>
      <w:r w:rsidR="003D3D81" w:rsidRPr="00A61B21">
        <w:rPr>
          <w:rFonts w:ascii="Arial" w:hAnsi="Arial" w:cs="Arial"/>
        </w:rPr>
        <w:t>.</w:t>
      </w:r>
      <w:r w:rsidR="00954BF4" w:rsidRPr="00A61B21">
        <w:rPr>
          <w:rFonts w:ascii="Arial" w:hAnsi="Arial" w:cs="Arial"/>
          <w:bCs/>
        </w:rPr>
        <w:t xml:space="preserve"> On 3 July 2017</w:t>
      </w:r>
      <w:r w:rsidR="000F4E3F">
        <w:rPr>
          <w:rFonts w:ascii="Arial" w:hAnsi="Arial" w:cs="Arial"/>
          <w:bCs/>
        </w:rPr>
        <w:t>,</w:t>
      </w:r>
      <w:r w:rsidR="00954BF4" w:rsidRPr="00A61B21">
        <w:rPr>
          <w:rFonts w:ascii="Arial" w:hAnsi="Arial" w:cs="Arial"/>
          <w:bCs/>
        </w:rPr>
        <w:t xml:space="preserve"> the PCC upheld </w:t>
      </w:r>
      <w:r w:rsidR="00A07857" w:rsidRPr="00A61B21">
        <w:rPr>
          <w:rFonts w:ascii="Arial" w:hAnsi="Arial" w:cs="Arial"/>
          <w:bCs/>
        </w:rPr>
        <w:t>the</w:t>
      </w:r>
      <w:r w:rsidR="00954BF4" w:rsidRPr="00A61B21">
        <w:rPr>
          <w:rFonts w:ascii="Arial" w:hAnsi="Arial" w:cs="Arial"/>
          <w:bCs/>
        </w:rPr>
        <w:t xml:space="preserve"> point </w:t>
      </w:r>
      <w:r w:rsidR="00954BF4" w:rsidRPr="007E0D22">
        <w:rPr>
          <w:rFonts w:ascii="Arial" w:hAnsi="Arial" w:cs="Arial"/>
          <w:bCs/>
          <w:i/>
        </w:rPr>
        <w:t>in limine</w:t>
      </w:r>
      <w:r w:rsidR="00954BF4" w:rsidRPr="00A61B21">
        <w:rPr>
          <w:rFonts w:ascii="Arial" w:hAnsi="Arial" w:cs="Arial"/>
          <w:bCs/>
        </w:rPr>
        <w:t xml:space="preserve">. The PCC </w:t>
      </w:r>
      <w:r w:rsidR="00A07857" w:rsidRPr="00A61B21">
        <w:rPr>
          <w:rFonts w:ascii="Arial" w:hAnsi="Arial" w:cs="Arial"/>
          <w:bCs/>
        </w:rPr>
        <w:t>furnished the following reasons f</w:t>
      </w:r>
      <w:r w:rsidR="00075933">
        <w:rPr>
          <w:rFonts w:ascii="Arial" w:hAnsi="Arial" w:cs="Arial"/>
          <w:bCs/>
        </w:rPr>
        <w:t>o</w:t>
      </w:r>
      <w:r w:rsidR="00A07857" w:rsidRPr="00A61B21">
        <w:rPr>
          <w:rFonts w:ascii="Arial" w:hAnsi="Arial" w:cs="Arial"/>
          <w:bCs/>
        </w:rPr>
        <w:t>r its decision</w:t>
      </w:r>
      <w:r w:rsidR="00954BF4" w:rsidRPr="00A61B21">
        <w:rPr>
          <w:rFonts w:ascii="Arial" w:hAnsi="Arial" w:cs="Arial"/>
          <w:bCs/>
        </w:rPr>
        <w:t>:</w:t>
      </w:r>
    </w:p>
    <w:p w14:paraId="35FEFF92" w14:textId="097626CD" w:rsidR="00F21BAF" w:rsidRPr="007E0D22" w:rsidRDefault="00B377FA" w:rsidP="00A24535">
      <w:pPr>
        <w:widowControl w:val="0"/>
        <w:tabs>
          <w:tab w:val="right" w:pos="9360"/>
        </w:tabs>
        <w:autoSpaceDE w:val="0"/>
        <w:autoSpaceDN w:val="0"/>
        <w:adjustRightInd w:val="0"/>
        <w:rPr>
          <w:rFonts w:ascii="Arial" w:hAnsi="Arial" w:cs="Arial"/>
          <w:bCs/>
          <w:i/>
          <w:sz w:val="22"/>
          <w:szCs w:val="22"/>
        </w:rPr>
      </w:pPr>
      <w:r w:rsidRPr="007E0D22">
        <w:rPr>
          <w:rFonts w:ascii="Arial" w:hAnsi="Arial" w:cs="Arial"/>
          <w:bCs/>
          <w:i/>
          <w:sz w:val="22"/>
          <w:szCs w:val="22"/>
        </w:rPr>
        <w:t xml:space="preserve">‘ . . . </w:t>
      </w:r>
      <w:r w:rsidR="00954BF4" w:rsidRPr="007E0D22">
        <w:rPr>
          <w:rFonts w:ascii="Arial" w:hAnsi="Arial" w:cs="Arial"/>
          <w:bCs/>
          <w:i/>
          <w:sz w:val="22"/>
          <w:szCs w:val="22"/>
        </w:rPr>
        <w:t>the regulations</w:t>
      </w:r>
      <w:r w:rsidR="007924C2" w:rsidRPr="007E0D22">
        <w:rPr>
          <w:rFonts w:ascii="Arial" w:hAnsi="Arial" w:cs="Arial"/>
          <w:bCs/>
          <w:i/>
          <w:sz w:val="22"/>
          <w:szCs w:val="22"/>
        </w:rPr>
        <w:t xml:space="preserve"> are not clear on the issue of locus standi. The committee is now of the view</w:t>
      </w:r>
      <w:r w:rsidR="008B5409" w:rsidRPr="007E0D22">
        <w:rPr>
          <w:rFonts w:ascii="Arial" w:hAnsi="Arial" w:cs="Arial"/>
          <w:bCs/>
          <w:i/>
          <w:sz w:val="22"/>
          <w:szCs w:val="22"/>
        </w:rPr>
        <w:t xml:space="preserve"> that it must fall back on the rules of evidence and procedure, as clarified by the case of </w:t>
      </w:r>
      <w:r w:rsidR="008B5409" w:rsidRPr="00380F0A">
        <w:rPr>
          <w:rFonts w:ascii="Arial" w:hAnsi="Arial" w:cs="Arial"/>
          <w:bCs/>
          <w:i/>
          <w:sz w:val="22"/>
          <w:szCs w:val="22"/>
        </w:rPr>
        <w:t>De La Rouviere v South African Medical and Dental Council</w:t>
      </w:r>
      <w:r w:rsidR="009D6263" w:rsidRPr="007E0D22">
        <w:rPr>
          <w:rFonts w:ascii="Arial" w:hAnsi="Arial" w:cs="Arial"/>
          <w:bCs/>
          <w:i/>
          <w:sz w:val="22"/>
          <w:szCs w:val="22"/>
        </w:rPr>
        <w:t xml:space="preserve">. </w:t>
      </w:r>
    </w:p>
    <w:p w14:paraId="2049D15B" w14:textId="46E26D98" w:rsidR="00954BF4" w:rsidRPr="00A61B21" w:rsidRDefault="009D6263" w:rsidP="00A24535">
      <w:pPr>
        <w:widowControl w:val="0"/>
        <w:tabs>
          <w:tab w:val="right" w:pos="9360"/>
        </w:tabs>
        <w:autoSpaceDE w:val="0"/>
        <w:autoSpaceDN w:val="0"/>
        <w:adjustRightInd w:val="0"/>
        <w:rPr>
          <w:rFonts w:ascii="Arial" w:hAnsi="Arial" w:cs="Arial"/>
          <w:bCs/>
          <w:sz w:val="22"/>
          <w:szCs w:val="22"/>
        </w:rPr>
      </w:pPr>
      <w:r w:rsidRPr="007E0D22">
        <w:rPr>
          <w:rFonts w:ascii="Arial" w:hAnsi="Arial" w:cs="Arial"/>
          <w:bCs/>
          <w:i/>
          <w:sz w:val="22"/>
          <w:szCs w:val="22"/>
        </w:rPr>
        <w:t>The committee therefore ha</w:t>
      </w:r>
      <w:r w:rsidR="000F4E3F">
        <w:rPr>
          <w:rFonts w:ascii="Arial" w:hAnsi="Arial" w:cs="Arial"/>
          <w:bCs/>
          <w:i/>
          <w:sz w:val="22"/>
          <w:szCs w:val="22"/>
        </w:rPr>
        <w:t>ve</w:t>
      </w:r>
      <w:r w:rsidR="009D2463" w:rsidRPr="007E0D22">
        <w:rPr>
          <w:rFonts w:ascii="Arial" w:hAnsi="Arial" w:cs="Arial"/>
          <w:bCs/>
          <w:i/>
          <w:sz w:val="22"/>
          <w:szCs w:val="22"/>
        </w:rPr>
        <w:t xml:space="preserve"> </w:t>
      </w:r>
      <w:r w:rsidRPr="007E0D22">
        <w:rPr>
          <w:rFonts w:ascii="Arial" w:hAnsi="Arial" w:cs="Arial"/>
          <w:bCs/>
          <w:i/>
          <w:sz w:val="22"/>
          <w:szCs w:val="22"/>
        </w:rPr>
        <w:t>decided that the complain</w:t>
      </w:r>
      <w:r w:rsidR="00075933" w:rsidRPr="007E0D22">
        <w:rPr>
          <w:rFonts w:ascii="Arial" w:hAnsi="Arial" w:cs="Arial"/>
          <w:bCs/>
          <w:i/>
          <w:sz w:val="22"/>
          <w:szCs w:val="22"/>
        </w:rPr>
        <w:t>an</w:t>
      </w:r>
      <w:r w:rsidRPr="007E0D22">
        <w:rPr>
          <w:rFonts w:ascii="Arial" w:hAnsi="Arial" w:cs="Arial"/>
          <w:bCs/>
          <w:i/>
          <w:sz w:val="22"/>
          <w:szCs w:val="22"/>
        </w:rPr>
        <w:t xml:space="preserve">t in this case </w:t>
      </w:r>
      <w:r w:rsidR="000F4E3F">
        <w:rPr>
          <w:rFonts w:ascii="Arial" w:hAnsi="Arial" w:cs="Arial"/>
          <w:bCs/>
          <w:i/>
          <w:sz w:val="22"/>
          <w:szCs w:val="22"/>
        </w:rPr>
        <w:t>[</w:t>
      </w:r>
      <w:r w:rsidRPr="007E0D22">
        <w:rPr>
          <w:rFonts w:ascii="Arial" w:hAnsi="Arial" w:cs="Arial"/>
          <w:bCs/>
          <w:i/>
          <w:sz w:val="22"/>
          <w:szCs w:val="22"/>
        </w:rPr>
        <w:t>M</w:t>
      </w:r>
      <w:r w:rsidR="00BD25AB">
        <w:rPr>
          <w:rFonts w:ascii="Arial" w:hAnsi="Arial" w:cs="Arial"/>
          <w:bCs/>
          <w:i/>
          <w:sz w:val="22"/>
          <w:szCs w:val="22"/>
        </w:rPr>
        <w:t>s</w:t>
      </w:r>
      <w:r w:rsidRPr="007E0D22">
        <w:rPr>
          <w:rFonts w:ascii="Arial" w:hAnsi="Arial" w:cs="Arial"/>
          <w:bCs/>
          <w:i/>
          <w:sz w:val="22"/>
          <w:szCs w:val="22"/>
        </w:rPr>
        <w:t xml:space="preserve"> Miller</w:t>
      </w:r>
      <w:r w:rsidR="000F4E3F">
        <w:rPr>
          <w:rFonts w:ascii="Arial" w:hAnsi="Arial" w:cs="Arial"/>
          <w:bCs/>
          <w:i/>
          <w:sz w:val="22"/>
          <w:szCs w:val="22"/>
        </w:rPr>
        <w:t>]</w:t>
      </w:r>
      <w:r w:rsidRPr="007E0D22">
        <w:rPr>
          <w:rFonts w:ascii="Arial" w:hAnsi="Arial" w:cs="Arial"/>
          <w:bCs/>
          <w:i/>
          <w:sz w:val="22"/>
          <w:szCs w:val="22"/>
        </w:rPr>
        <w:t xml:space="preserve"> </w:t>
      </w:r>
      <w:r w:rsidR="00075933" w:rsidRPr="007E0D22">
        <w:rPr>
          <w:rFonts w:ascii="Arial" w:hAnsi="Arial" w:cs="Arial"/>
          <w:bCs/>
          <w:i/>
          <w:sz w:val="22"/>
          <w:szCs w:val="22"/>
        </w:rPr>
        <w:t xml:space="preserve">has </w:t>
      </w:r>
      <w:r w:rsidRPr="007E0D22">
        <w:rPr>
          <w:rFonts w:ascii="Arial" w:hAnsi="Arial" w:cs="Arial"/>
          <w:bCs/>
          <w:i/>
          <w:sz w:val="22"/>
          <w:szCs w:val="22"/>
        </w:rPr>
        <w:t>no locus standi and therefore the point in limine is upheld</w:t>
      </w:r>
      <w:r w:rsidRPr="00A61B21">
        <w:rPr>
          <w:rFonts w:ascii="Arial" w:hAnsi="Arial" w:cs="Arial"/>
          <w:bCs/>
          <w:sz w:val="22"/>
          <w:szCs w:val="22"/>
        </w:rPr>
        <w:t xml:space="preserve">.’ </w:t>
      </w:r>
    </w:p>
    <w:p w14:paraId="5A0EEA63" w14:textId="77777777" w:rsidR="004363A9" w:rsidRPr="00A61B21" w:rsidRDefault="004363A9" w:rsidP="00A24535">
      <w:pPr>
        <w:widowControl w:val="0"/>
        <w:tabs>
          <w:tab w:val="right" w:pos="9360"/>
        </w:tabs>
        <w:autoSpaceDE w:val="0"/>
        <w:autoSpaceDN w:val="0"/>
        <w:adjustRightInd w:val="0"/>
        <w:rPr>
          <w:rFonts w:ascii="Arial" w:hAnsi="Arial" w:cs="Arial"/>
          <w:bCs/>
          <w:sz w:val="22"/>
          <w:szCs w:val="22"/>
        </w:rPr>
      </w:pPr>
    </w:p>
    <w:p w14:paraId="1E2BDED9" w14:textId="7482AF53" w:rsidR="00245F55" w:rsidRPr="00A61B21" w:rsidRDefault="00154557"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[11</w:t>
      </w:r>
      <w:r w:rsidR="00954BF4" w:rsidRPr="00A61B21">
        <w:rPr>
          <w:rFonts w:ascii="Arial" w:hAnsi="Arial" w:cs="Arial"/>
        </w:rPr>
        <w:t>]</w:t>
      </w:r>
      <w:r w:rsidR="00834121" w:rsidRPr="00A61B21">
        <w:rPr>
          <w:rFonts w:ascii="Arial" w:hAnsi="Arial" w:cs="Arial"/>
        </w:rPr>
        <w:tab/>
      </w:r>
      <w:r w:rsidR="000F4E3F">
        <w:rPr>
          <w:rFonts w:ascii="Arial" w:hAnsi="Arial" w:cs="Arial"/>
        </w:rPr>
        <w:tab/>
        <w:t xml:space="preserve">Mr </w:t>
      </w:r>
      <w:r w:rsidR="00954BF4" w:rsidRPr="00A61B21">
        <w:rPr>
          <w:rFonts w:ascii="Arial" w:hAnsi="Arial" w:cs="Arial"/>
          <w:bCs/>
        </w:rPr>
        <w:t xml:space="preserve">Mapholisa </w:t>
      </w:r>
      <w:r w:rsidR="0072301A" w:rsidRPr="00A61B21">
        <w:rPr>
          <w:rFonts w:ascii="Arial" w:hAnsi="Arial" w:cs="Arial"/>
          <w:bCs/>
        </w:rPr>
        <w:t>approached</w:t>
      </w:r>
      <w:r w:rsidR="00954BF4" w:rsidRPr="00A61B21">
        <w:rPr>
          <w:rFonts w:ascii="Arial" w:hAnsi="Arial" w:cs="Arial"/>
          <w:bCs/>
        </w:rPr>
        <w:t xml:space="preserve"> </w:t>
      </w:r>
      <w:r w:rsidR="009D6263" w:rsidRPr="00A61B21">
        <w:rPr>
          <w:rFonts w:ascii="Arial" w:hAnsi="Arial" w:cs="Arial"/>
          <w:bCs/>
        </w:rPr>
        <w:t xml:space="preserve">the </w:t>
      </w:r>
      <w:r w:rsidR="000F4E3F">
        <w:rPr>
          <w:rFonts w:ascii="Arial" w:hAnsi="Arial" w:cs="Arial"/>
          <w:bCs/>
        </w:rPr>
        <w:t>h</w:t>
      </w:r>
      <w:r w:rsidR="00C707FC">
        <w:rPr>
          <w:rFonts w:ascii="Arial" w:hAnsi="Arial" w:cs="Arial"/>
          <w:bCs/>
        </w:rPr>
        <w:t xml:space="preserve">igh </w:t>
      </w:r>
      <w:r w:rsidR="000F4E3F">
        <w:rPr>
          <w:rFonts w:ascii="Arial" w:hAnsi="Arial" w:cs="Arial"/>
          <w:bCs/>
        </w:rPr>
        <w:t>c</w:t>
      </w:r>
      <w:r w:rsidR="00C707FC">
        <w:rPr>
          <w:rFonts w:ascii="Arial" w:hAnsi="Arial" w:cs="Arial"/>
          <w:bCs/>
        </w:rPr>
        <w:t>ourt</w:t>
      </w:r>
      <w:r w:rsidR="0072301A" w:rsidRPr="00A61B21">
        <w:rPr>
          <w:rFonts w:ascii="Arial" w:hAnsi="Arial" w:cs="Arial"/>
          <w:bCs/>
        </w:rPr>
        <w:t xml:space="preserve"> </w:t>
      </w:r>
      <w:r w:rsidR="009D6263" w:rsidRPr="00A61B21">
        <w:rPr>
          <w:rFonts w:ascii="Arial" w:hAnsi="Arial" w:cs="Arial"/>
          <w:bCs/>
        </w:rPr>
        <w:t xml:space="preserve">for the </w:t>
      </w:r>
      <w:r w:rsidR="00954BF4" w:rsidRPr="00A61B21">
        <w:rPr>
          <w:rFonts w:ascii="Arial" w:hAnsi="Arial" w:cs="Arial"/>
          <w:bCs/>
        </w:rPr>
        <w:t>review and set</w:t>
      </w:r>
      <w:r w:rsidR="009D6263" w:rsidRPr="00A61B21">
        <w:rPr>
          <w:rFonts w:ascii="Arial" w:hAnsi="Arial" w:cs="Arial"/>
          <w:bCs/>
        </w:rPr>
        <w:t>ting</w:t>
      </w:r>
      <w:r w:rsidR="00954BF4" w:rsidRPr="00A61B21">
        <w:rPr>
          <w:rFonts w:ascii="Arial" w:hAnsi="Arial" w:cs="Arial"/>
          <w:bCs/>
        </w:rPr>
        <w:t xml:space="preserve"> aside </w:t>
      </w:r>
      <w:r w:rsidR="009D6263" w:rsidRPr="00A61B21">
        <w:rPr>
          <w:rFonts w:ascii="Arial" w:hAnsi="Arial" w:cs="Arial"/>
          <w:bCs/>
        </w:rPr>
        <w:t xml:space="preserve">of </w:t>
      </w:r>
      <w:r w:rsidR="00954BF4" w:rsidRPr="00A61B21">
        <w:rPr>
          <w:rFonts w:ascii="Arial" w:hAnsi="Arial" w:cs="Arial"/>
          <w:bCs/>
        </w:rPr>
        <w:t xml:space="preserve">the decision of the PCC. </w:t>
      </w:r>
      <w:r w:rsidR="00075933">
        <w:rPr>
          <w:rFonts w:ascii="Arial" w:hAnsi="Arial" w:cs="Arial"/>
          <w:bCs/>
        </w:rPr>
        <w:t xml:space="preserve">Dr Miller raised a point </w:t>
      </w:r>
      <w:r w:rsidR="00075933" w:rsidRPr="007E0D22">
        <w:rPr>
          <w:rFonts w:ascii="Arial" w:hAnsi="Arial" w:cs="Arial"/>
          <w:bCs/>
          <w:i/>
        </w:rPr>
        <w:t>in limine</w:t>
      </w:r>
      <w:r w:rsidR="00075933">
        <w:rPr>
          <w:rFonts w:ascii="Arial" w:hAnsi="Arial" w:cs="Arial"/>
          <w:bCs/>
        </w:rPr>
        <w:t xml:space="preserve"> namely </w:t>
      </w:r>
      <w:r w:rsidR="00075933" w:rsidRPr="00A61B21">
        <w:rPr>
          <w:rFonts w:ascii="Arial" w:hAnsi="Arial" w:cs="Arial"/>
        </w:rPr>
        <w:t xml:space="preserve">that </w:t>
      </w:r>
      <w:r w:rsidR="00D3132D">
        <w:rPr>
          <w:rFonts w:ascii="Arial" w:hAnsi="Arial" w:cs="Arial"/>
        </w:rPr>
        <w:t xml:space="preserve">Mr </w:t>
      </w:r>
      <w:r w:rsidR="00075933" w:rsidRPr="00A61B21">
        <w:rPr>
          <w:rFonts w:ascii="Arial" w:hAnsi="Arial" w:cs="Arial"/>
        </w:rPr>
        <w:t xml:space="preserve">Mapholisa had failed to exhaust the internal remedy of an appeal provided for in terms of the </w:t>
      </w:r>
      <w:r w:rsidR="00D3132D">
        <w:rPr>
          <w:rFonts w:ascii="Arial" w:hAnsi="Arial" w:cs="Arial"/>
        </w:rPr>
        <w:t>r</w:t>
      </w:r>
      <w:r w:rsidR="00075933" w:rsidRPr="00A61B21">
        <w:rPr>
          <w:rFonts w:ascii="Arial" w:hAnsi="Arial" w:cs="Arial"/>
        </w:rPr>
        <w:t xml:space="preserve">egulations, as he was obliged to do in terms of s 7(2) of the Promotion of Administrative Justice Act 3 of 2000 (the PAJA). </w:t>
      </w:r>
      <w:r w:rsidR="00F21BAF">
        <w:rPr>
          <w:rFonts w:ascii="Arial" w:hAnsi="Arial" w:cs="Arial"/>
        </w:rPr>
        <w:t xml:space="preserve">The </w:t>
      </w:r>
      <w:r w:rsidR="00D3132D">
        <w:rPr>
          <w:rFonts w:ascii="Arial" w:hAnsi="Arial" w:cs="Arial"/>
        </w:rPr>
        <w:t>h</w:t>
      </w:r>
      <w:r w:rsidR="00C707FC">
        <w:rPr>
          <w:rFonts w:ascii="Arial" w:hAnsi="Arial" w:cs="Arial"/>
        </w:rPr>
        <w:t xml:space="preserve">igh </w:t>
      </w:r>
      <w:r w:rsidR="00D3132D">
        <w:rPr>
          <w:rFonts w:ascii="Arial" w:hAnsi="Arial" w:cs="Arial"/>
        </w:rPr>
        <w:t>c</w:t>
      </w:r>
      <w:r w:rsidR="00C707FC">
        <w:rPr>
          <w:rFonts w:ascii="Arial" w:hAnsi="Arial" w:cs="Arial"/>
        </w:rPr>
        <w:t>ourt</w:t>
      </w:r>
      <w:r w:rsidR="005929A2" w:rsidRPr="00A61B21">
        <w:rPr>
          <w:rFonts w:ascii="Arial" w:hAnsi="Arial" w:cs="Arial"/>
        </w:rPr>
        <w:t xml:space="preserve"> d</w:t>
      </w:r>
      <w:r w:rsidR="00AE259D" w:rsidRPr="00A61B21">
        <w:rPr>
          <w:rFonts w:ascii="Arial" w:hAnsi="Arial" w:cs="Arial"/>
        </w:rPr>
        <w:t>ismissed the application on the</w:t>
      </w:r>
      <w:r w:rsidR="005929A2" w:rsidRPr="00A61B21">
        <w:rPr>
          <w:rFonts w:ascii="Arial" w:hAnsi="Arial" w:cs="Arial"/>
        </w:rPr>
        <w:t xml:space="preserve"> basis of</w:t>
      </w:r>
      <w:r w:rsidR="00AE259D" w:rsidRPr="00A61B21">
        <w:rPr>
          <w:rFonts w:ascii="Arial" w:hAnsi="Arial" w:cs="Arial"/>
        </w:rPr>
        <w:t xml:space="preserve"> </w:t>
      </w:r>
      <w:r w:rsidR="00075933">
        <w:rPr>
          <w:rFonts w:ascii="Arial" w:hAnsi="Arial" w:cs="Arial"/>
        </w:rPr>
        <w:t>the</w:t>
      </w:r>
      <w:r w:rsidR="00075933" w:rsidRPr="00A61B21">
        <w:rPr>
          <w:rFonts w:ascii="Arial" w:hAnsi="Arial" w:cs="Arial"/>
        </w:rPr>
        <w:t xml:space="preserve"> </w:t>
      </w:r>
      <w:r w:rsidR="00AE259D" w:rsidRPr="00A61B21">
        <w:rPr>
          <w:rFonts w:ascii="Arial" w:hAnsi="Arial" w:cs="Arial"/>
        </w:rPr>
        <w:t xml:space="preserve">point </w:t>
      </w:r>
      <w:r w:rsidR="00AE259D" w:rsidRPr="007E0D22">
        <w:rPr>
          <w:rFonts w:ascii="Arial" w:hAnsi="Arial" w:cs="Arial"/>
          <w:i/>
        </w:rPr>
        <w:t>in limine</w:t>
      </w:r>
      <w:r w:rsidR="00075933">
        <w:rPr>
          <w:rFonts w:ascii="Arial" w:hAnsi="Arial" w:cs="Arial"/>
        </w:rPr>
        <w:t xml:space="preserve">. </w:t>
      </w:r>
      <w:r w:rsidR="004F153D" w:rsidRPr="00A61B21">
        <w:rPr>
          <w:rFonts w:ascii="Arial" w:hAnsi="Arial" w:cs="Arial"/>
        </w:rPr>
        <w:t xml:space="preserve">The </w:t>
      </w:r>
      <w:r w:rsidR="00D3132D">
        <w:rPr>
          <w:rFonts w:ascii="Arial" w:hAnsi="Arial" w:cs="Arial"/>
        </w:rPr>
        <w:t>h</w:t>
      </w:r>
      <w:r w:rsidR="00C707FC">
        <w:rPr>
          <w:rFonts w:ascii="Arial" w:hAnsi="Arial" w:cs="Arial"/>
        </w:rPr>
        <w:t xml:space="preserve">igh </w:t>
      </w:r>
      <w:r w:rsidR="00D3132D">
        <w:rPr>
          <w:rFonts w:ascii="Arial" w:hAnsi="Arial" w:cs="Arial"/>
        </w:rPr>
        <w:t>c</w:t>
      </w:r>
      <w:r w:rsidR="00C707FC">
        <w:rPr>
          <w:rFonts w:ascii="Arial" w:hAnsi="Arial" w:cs="Arial"/>
        </w:rPr>
        <w:t>ourt</w:t>
      </w:r>
      <w:r w:rsidR="005929A2" w:rsidRPr="00A61B21">
        <w:rPr>
          <w:rFonts w:ascii="Arial" w:hAnsi="Arial" w:cs="Arial"/>
        </w:rPr>
        <w:t xml:space="preserve"> also dealt wit</w:t>
      </w:r>
      <w:r w:rsidR="00075933">
        <w:rPr>
          <w:rFonts w:ascii="Arial" w:hAnsi="Arial" w:cs="Arial"/>
        </w:rPr>
        <w:t>h</w:t>
      </w:r>
      <w:r w:rsidR="005929A2" w:rsidRPr="00A61B21">
        <w:rPr>
          <w:rFonts w:ascii="Arial" w:hAnsi="Arial" w:cs="Arial"/>
        </w:rPr>
        <w:t xml:space="preserve"> </w:t>
      </w:r>
      <w:r w:rsidR="00075933" w:rsidRPr="007E0D22">
        <w:rPr>
          <w:rFonts w:ascii="Arial" w:hAnsi="Arial" w:cs="Arial"/>
          <w:i/>
        </w:rPr>
        <w:t xml:space="preserve">locus standi </w:t>
      </w:r>
      <w:r w:rsidR="00075933">
        <w:rPr>
          <w:rFonts w:ascii="Arial" w:hAnsi="Arial" w:cs="Arial"/>
        </w:rPr>
        <w:t>issue</w:t>
      </w:r>
      <w:r w:rsidR="005929A2" w:rsidRPr="00A61B21">
        <w:rPr>
          <w:rFonts w:ascii="Arial" w:hAnsi="Arial" w:cs="Arial"/>
        </w:rPr>
        <w:t xml:space="preserve"> that had been upheld by the PCC, concluding that the PCC had not acted irregulary.</w:t>
      </w:r>
      <w:r w:rsidR="004F153D" w:rsidRPr="00A61B21">
        <w:rPr>
          <w:rFonts w:ascii="Arial" w:hAnsi="Arial" w:cs="Arial"/>
        </w:rPr>
        <w:t xml:space="preserve"> </w:t>
      </w:r>
    </w:p>
    <w:p w14:paraId="614D732B" w14:textId="77777777" w:rsidR="00245F55" w:rsidRPr="00A61B21" w:rsidRDefault="00245F55" w:rsidP="00A24535">
      <w:pPr>
        <w:widowControl w:val="0"/>
        <w:tabs>
          <w:tab w:val="right" w:pos="9360"/>
        </w:tabs>
        <w:autoSpaceDE w:val="0"/>
        <w:autoSpaceDN w:val="0"/>
        <w:adjustRightInd w:val="0"/>
        <w:rPr>
          <w:rFonts w:ascii="Arial" w:hAnsi="Arial" w:cs="Arial"/>
        </w:rPr>
      </w:pPr>
    </w:p>
    <w:p w14:paraId="5659C0C4" w14:textId="02B834F1" w:rsidR="00A07857" w:rsidRPr="007A709F" w:rsidRDefault="00245F55" w:rsidP="007E0D22">
      <w:pPr>
        <w:widowControl w:val="0"/>
        <w:tabs>
          <w:tab w:val="right" w:pos="720"/>
          <w:tab w:val="right" w:pos="9360"/>
        </w:tabs>
        <w:autoSpaceDE w:val="0"/>
        <w:autoSpaceDN w:val="0"/>
        <w:adjustRightInd w:val="0"/>
        <w:rPr>
          <w:rFonts w:ascii="Arial" w:hAnsi="Arial" w:cs="Arial"/>
        </w:rPr>
      </w:pPr>
      <w:r w:rsidRPr="00A61B21">
        <w:rPr>
          <w:rFonts w:ascii="Arial" w:hAnsi="Arial" w:cs="Arial"/>
        </w:rPr>
        <w:t>[</w:t>
      </w:r>
      <w:r w:rsidR="00D55FF9" w:rsidRPr="00A61B21">
        <w:rPr>
          <w:rFonts w:ascii="Arial" w:hAnsi="Arial" w:cs="Arial"/>
        </w:rPr>
        <w:t>12</w:t>
      </w:r>
      <w:r w:rsidR="00834121" w:rsidRPr="00A61B21">
        <w:rPr>
          <w:rFonts w:ascii="Arial" w:hAnsi="Arial" w:cs="Arial"/>
        </w:rPr>
        <w:t>]</w:t>
      </w:r>
      <w:r w:rsidR="00834121" w:rsidRPr="00A61B21">
        <w:rPr>
          <w:rFonts w:ascii="Arial" w:hAnsi="Arial" w:cs="Arial"/>
        </w:rPr>
        <w:tab/>
      </w:r>
      <w:r w:rsidR="00D3132D">
        <w:rPr>
          <w:rFonts w:ascii="Arial" w:hAnsi="Arial" w:cs="Arial"/>
        </w:rPr>
        <w:tab/>
      </w:r>
      <w:r w:rsidR="00F21BAF" w:rsidRPr="007A709F">
        <w:rPr>
          <w:rFonts w:ascii="Arial" w:hAnsi="Arial" w:cs="Arial"/>
        </w:rPr>
        <w:t xml:space="preserve">The </w:t>
      </w:r>
      <w:r w:rsidR="00D3132D">
        <w:rPr>
          <w:rFonts w:ascii="Arial" w:hAnsi="Arial" w:cs="Arial"/>
        </w:rPr>
        <w:t>h</w:t>
      </w:r>
      <w:r w:rsidR="00C707FC" w:rsidRPr="007A709F">
        <w:rPr>
          <w:rFonts w:ascii="Arial" w:hAnsi="Arial" w:cs="Arial"/>
        </w:rPr>
        <w:t xml:space="preserve">igh </w:t>
      </w:r>
      <w:r w:rsidR="00D3132D">
        <w:rPr>
          <w:rFonts w:ascii="Arial" w:hAnsi="Arial" w:cs="Arial"/>
        </w:rPr>
        <w:t>c</w:t>
      </w:r>
      <w:r w:rsidR="00C707FC" w:rsidRPr="007A709F">
        <w:rPr>
          <w:rFonts w:ascii="Arial" w:hAnsi="Arial" w:cs="Arial"/>
        </w:rPr>
        <w:t>ourt</w:t>
      </w:r>
      <w:r w:rsidR="00A07857" w:rsidRPr="007A709F">
        <w:rPr>
          <w:rFonts w:ascii="Arial" w:hAnsi="Arial" w:cs="Arial"/>
        </w:rPr>
        <w:t>’s reasons for its finding that Ms Miller did not have standing were the following</w:t>
      </w:r>
      <w:r w:rsidR="009D6263" w:rsidRPr="007A709F">
        <w:rPr>
          <w:rFonts w:ascii="Arial" w:hAnsi="Arial" w:cs="Arial"/>
        </w:rPr>
        <w:t>:</w:t>
      </w:r>
      <w:r w:rsidR="00834121" w:rsidRPr="007A709F">
        <w:rPr>
          <w:rFonts w:ascii="Arial" w:hAnsi="Arial" w:cs="Arial"/>
        </w:rPr>
        <w:t xml:space="preserve"> </w:t>
      </w:r>
    </w:p>
    <w:p w14:paraId="058620F2" w14:textId="58302ADD" w:rsidR="00E57CB2" w:rsidRPr="00A61B21" w:rsidRDefault="00A24535" w:rsidP="00A24535">
      <w:pPr>
        <w:widowControl w:val="0"/>
        <w:tabs>
          <w:tab w:val="right" w:pos="9360"/>
        </w:tabs>
        <w:autoSpaceDE w:val="0"/>
        <w:autoSpaceDN w:val="0"/>
        <w:adjustRightInd w:val="0"/>
        <w:rPr>
          <w:rFonts w:ascii="Arial" w:hAnsi="Arial" w:cs="Arial"/>
          <w:sz w:val="22"/>
          <w:szCs w:val="22"/>
        </w:rPr>
      </w:pPr>
      <w:r w:rsidRPr="007A709F">
        <w:rPr>
          <w:rFonts w:ascii="Arial" w:hAnsi="Arial" w:cs="Arial"/>
          <w:sz w:val="22"/>
          <w:szCs w:val="22"/>
        </w:rPr>
        <w:t>‘</w:t>
      </w:r>
      <w:r w:rsidR="00967563" w:rsidRPr="007A709F">
        <w:rPr>
          <w:rFonts w:ascii="Arial" w:hAnsi="Arial" w:cs="Arial"/>
          <w:sz w:val="22"/>
          <w:szCs w:val="22"/>
        </w:rPr>
        <w:t xml:space="preserve">There is also another issue. </w:t>
      </w:r>
      <w:r w:rsidR="004363A9" w:rsidRPr="007A709F">
        <w:rPr>
          <w:rFonts w:ascii="Arial" w:hAnsi="Arial" w:cs="Arial"/>
          <w:sz w:val="22"/>
          <w:szCs w:val="22"/>
        </w:rPr>
        <w:t xml:space="preserve">The seventh respondent </w:t>
      </w:r>
      <w:r w:rsidR="00967563" w:rsidRPr="007A709F">
        <w:rPr>
          <w:rFonts w:ascii="Arial" w:hAnsi="Arial" w:cs="Arial"/>
          <w:sz w:val="22"/>
          <w:szCs w:val="22"/>
        </w:rPr>
        <w:t>attended to his patient, the tenth respondent on 14</w:t>
      </w:r>
      <w:r w:rsidR="00AE259D" w:rsidRPr="007A709F">
        <w:rPr>
          <w:rFonts w:ascii="Arial" w:hAnsi="Arial" w:cs="Arial"/>
          <w:sz w:val="22"/>
          <w:szCs w:val="22"/>
        </w:rPr>
        <w:t xml:space="preserve"> May 2012. </w:t>
      </w:r>
      <w:r w:rsidR="004363A9" w:rsidRPr="007A709F">
        <w:rPr>
          <w:rFonts w:ascii="Arial" w:hAnsi="Arial" w:cs="Arial"/>
          <w:sz w:val="22"/>
          <w:szCs w:val="22"/>
        </w:rPr>
        <w:t xml:space="preserve">The ninth respondent </w:t>
      </w:r>
      <w:r w:rsidR="00075933" w:rsidRPr="007A709F">
        <w:rPr>
          <w:rFonts w:ascii="Arial" w:hAnsi="Arial" w:cs="Arial"/>
          <w:sz w:val="22"/>
          <w:szCs w:val="22"/>
        </w:rPr>
        <w:t xml:space="preserve">( not the patient of the seventh respondent) laid a complaint with the council on 8 July 2014. The patient himself laid no complaint. The </w:t>
      </w:r>
      <w:r w:rsidR="00075933" w:rsidRPr="007A709F">
        <w:rPr>
          <w:rFonts w:ascii="Arial" w:hAnsi="Arial" w:cs="Arial"/>
          <w:sz w:val="22"/>
          <w:szCs w:val="22"/>
        </w:rPr>
        <w:lastRenderedPageBreak/>
        <w:t xml:space="preserve">ninth respondent </w:t>
      </w:r>
      <w:r w:rsidR="004363A9" w:rsidRPr="007A709F">
        <w:rPr>
          <w:rFonts w:ascii="Arial" w:hAnsi="Arial" w:cs="Arial"/>
          <w:sz w:val="22"/>
          <w:szCs w:val="22"/>
        </w:rPr>
        <w:t>had no factual information upon which the Committee coul</w:t>
      </w:r>
      <w:r w:rsidR="00834121" w:rsidRPr="007A709F">
        <w:rPr>
          <w:rFonts w:ascii="Arial" w:hAnsi="Arial" w:cs="Arial"/>
          <w:sz w:val="22"/>
          <w:szCs w:val="22"/>
        </w:rPr>
        <w:t xml:space="preserve">d rely. Applicant informed the </w:t>
      </w:r>
      <w:r w:rsidR="004363A9" w:rsidRPr="007A709F">
        <w:rPr>
          <w:rFonts w:ascii="Arial" w:hAnsi="Arial" w:cs="Arial"/>
          <w:sz w:val="22"/>
          <w:szCs w:val="22"/>
        </w:rPr>
        <w:t>Committee that he would not call the pat</w:t>
      </w:r>
      <w:r w:rsidR="00BD25AB">
        <w:rPr>
          <w:rFonts w:ascii="Arial" w:hAnsi="Arial" w:cs="Arial"/>
          <w:sz w:val="22"/>
          <w:szCs w:val="22"/>
        </w:rPr>
        <w:t>i</w:t>
      </w:r>
      <w:r w:rsidR="004363A9" w:rsidRPr="007A709F">
        <w:rPr>
          <w:rFonts w:ascii="Arial" w:hAnsi="Arial" w:cs="Arial"/>
          <w:sz w:val="22"/>
          <w:szCs w:val="22"/>
        </w:rPr>
        <w:t xml:space="preserve">ent as a witness. There would therefore have been no admissible </w:t>
      </w:r>
      <w:r w:rsidR="00834121" w:rsidRPr="007A709F">
        <w:rPr>
          <w:rFonts w:ascii="Arial" w:hAnsi="Arial" w:cs="Arial"/>
          <w:sz w:val="22"/>
          <w:szCs w:val="22"/>
        </w:rPr>
        <w:t xml:space="preserve">evidence before the Committee. </w:t>
      </w:r>
      <w:r w:rsidR="004363A9" w:rsidRPr="007A709F">
        <w:rPr>
          <w:rFonts w:ascii="Arial" w:hAnsi="Arial" w:cs="Arial"/>
          <w:sz w:val="22"/>
          <w:szCs w:val="22"/>
        </w:rPr>
        <w:t xml:space="preserve">Applicant in his reply to a request for </w:t>
      </w:r>
      <w:r w:rsidR="00834121" w:rsidRPr="007A709F">
        <w:rPr>
          <w:rFonts w:ascii="Arial" w:hAnsi="Arial" w:cs="Arial"/>
          <w:sz w:val="22"/>
          <w:szCs w:val="22"/>
        </w:rPr>
        <w:t xml:space="preserve">Further </w:t>
      </w:r>
      <w:r w:rsidR="00075933" w:rsidRPr="007A709F">
        <w:rPr>
          <w:rFonts w:ascii="Arial" w:hAnsi="Arial" w:cs="Arial"/>
          <w:sz w:val="22"/>
          <w:szCs w:val="22"/>
        </w:rPr>
        <w:t>P</w:t>
      </w:r>
      <w:r w:rsidR="00834121" w:rsidRPr="007A709F">
        <w:rPr>
          <w:rFonts w:ascii="Arial" w:hAnsi="Arial" w:cs="Arial"/>
          <w:sz w:val="22"/>
          <w:szCs w:val="22"/>
        </w:rPr>
        <w:t>articulars stated that</w:t>
      </w:r>
      <w:r w:rsidR="004363A9" w:rsidRPr="007A709F">
        <w:rPr>
          <w:rFonts w:ascii="Arial" w:hAnsi="Arial" w:cs="Arial"/>
          <w:sz w:val="22"/>
          <w:szCs w:val="22"/>
        </w:rPr>
        <w:t xml:space="preserve"> the complainant </w:t>
      </w:r>
      <w:r w:rsidR="00245F55" w:rsidRPr="007A709F">
        <w:rPr>
          <w:rFonts w:ascii="Arial" w:hAnsi="Arial" w:cs="Arial"/>
          <w:sz w:val="22"/>
          <w:szCs w:val="22"/>
        </w:rPr>
        <w:t>had cited from “a humanitarian perspective”. It is of course</w:t>
      </w:r>
      <w:r w:rsidR="00075933" w:rsidRPr="007A709F">
        <w:rPr>
          <w:rFonts w:ascii="Arial" w:hAnsi="Arial" w:cs="Arial"/>
          <w:sz w:val="22"/>
          <w:szCs w:val="22"/>
        </w:rPr>
        <w:t xml:space="preserve"> time</w:t>
      </w:r>
      <w:r w:rsidR="00245F55" w:rsidRPr="007A709F">
        <w:rPr>
          <w:rFonts w:ascii="Arial" w:hAnsi="Arial" w:cs="Arial"/>
          <w:sz w:val="22"/>
          <w:szCs w:val="22"/>
        </w:rPr>
        <w:t xml:space="preserve"> that “any person</w:t>
      </w:r>
      <w:r w:rsidR="00D36C72" w:rsidRPr="007A709F">
        <w:rPr>
          <w:rFonts w:ascii="Arial" w:hAnsi="Arial" w:cs="Arial"/>
          <w:sz w:val="22"/>
          <w:szCs w:val="22"/>
        </w:rPr>
        <w:t>”</w:t>
      </w:r>
      <w:r w:rsidR="00245F55" w:rsidRPr="007A709F">
        <w:rPr>
          <w:rFonts w:ascii="Arial" w:hAnsi="Arial" w:cs="Arial"/>
          <w:sz w:val="22"/>
          <w:szCs w:val="22"/>
        </w:rPr>
        <w:t xml:space="preserve"> can lay a complaint in terms of the Regulations. The Regulations how</w:t>
      </w:r>
      <w:r w:rsidR="007A709F" w:rsidRPr="007A709F">
        <w:rPr>
          <w:rFonts w:ascii="Arial" w:hAnsi="Arial" w:cs="Arial"/>
          <w:sz w:val="22"/>
          <w:szCs w:val="22"/>
        </w:rPr>
        <w:t>ever makes detailed provisons for</w:t>
      </w:r>
      <w:r w:rsidR="00245F55" w:rsidRPr="007A709F">
        <w:rPr>
          <w:rFonts w:ascii="Arial" w:hAnsi="Arial" w:cs="Arial"/>
          <w:sz w:val="22"/>
          <w:szCs w:val="22"/>
        </w:rPr>
        <w:t xml:space="preserve"> a “sifting</w:t>
      </w:r>
      <w:r w:rsidR="00D36C72" w:rsidRPr="007A709F">
        <w:rPr>
          <w:rFonts w:ascii="Arial" w:hAnsi="Arial" w:cs="Arial"/>
          <w:sz w:val="22"/>
          <w:szCs w:val="22"/>
        </w:rPr>
        <w:t>”</w:t>
      </w:r>
      <w:r w:rsidR="00245F55" w:rsidRPr="007A709F">
        <w:rPr>
          <w:rFonts w:ascii="Arial" w:hAnsi="Arial" w:cs="Arial"/>
          <w:sz w:val="22"/>
          <w:szCs w:val="22"/>
        </w:rPr>
        <w:t xml:space="preserve"> process, by way of “preliminary inquiry” for instance. The Regu</w:t>
      </w:r>
      <w:r w:rsidR="0072301A" w:rsidRPr="007A709F">
        <w:rPr>
          <w:rFonts w:ascii="Arial" w:hAnsi="Arial" w:cs="Arial"/>
          <w:sz w:val="22"/>
          <w:szCs w:val="22"/>
        </w:rPr>
        <w:t>lations, with whom a</w:t>
      </w:r>
      <w:r w:rsidR="00D3132D">
        <w:rPr>
          <w:rFonts w:ascii="Arial" w:hAnsi="Arial" w:cs="Arial"/>
          <w:sz w:val="22"/>
          <w:szCs w:val="22"/>
        </w:rPr>
        <w:t xml:space="preserve"> </w:t>
      </w:r>
      <w:r w:rsidR="007A709F" w:rsidRPr="007A709F">
        <w:rPr>
          <w:rFonts w:ascii="Arial" w:hAnsi="Arial" w:cs="Arial"/>
          <w:sz w:val="22"/>
          <w:szCs w:val="22"/>
        </w:rPr>
        <w:t>[complaint]</w:t>
      </w:r>
      <w:r w:rsidR="00245F55" w:rsidRPr="007A709F">
        <w:rPr>
          <w:rFonts w:ascii="Arial" w:hAnsi="Arial" w:cs="Arial"/>
          <w:sz w:val="22"/>
          <w:szCs w:val="22"/>
        </w:rPr>
        <w:t xml:space="preserve"> must be lodged, must also categorise it according to their signi</w:t>
      </w:r>
      <w:r w:rsidR="00834121" w:rsidRPr="007A709F">
        <w:rPr>
          <w:rFonts w:ascii="Arial" w:hAnsi="Arial" w:cs="Arial"/>
          <w:sz w:val="22"/>
          <w:szCs w:val="22"/>
        </w:rPr>
        <w:t xml:space="preserve">ficance and seriousness. It is </w:t>
      </w:r>
      <w:r w:rsidR="00245F55" w:rsidRPr="007A709F">
        <w:rPr>
          <w:rFonts w:ascii="Arial" w:hAnsi="Arial" w:cs="Arial"/>
          <w:sz w:val="22"/>
          <w:szCs w:val="22"/>
        </w:rPr>
        <w:t>therefore clear in my view that no every complainant has a right to be heard by a Committee totally irrespective of his or her knowledge o</w:t>
      </w:r>
      <w:r w:rsidR="00D36C72" w:rsidRPr="007A709F">
        <w:rPr>
          <w:rFonts w:ascii="Arial" w:hAnsi="Arial" w:cs="Arial"/>
          <w:sz w:val="22"/>
          <w:szCs w:val="22"/>
        </w:rPr>
        <w:t>f</w:t>
      </w:r>
      <w:r w:rsidR="00245F55" w:rsidRPr="007A709F">
        <w:rPr>
          <w:rFonts w:ascii="Arial" w:hAnsi="Arial" w:cs="Arial"/>
          <w:sz w:val="22"/>
          <w:szCs w:val="22"/>
        </w:rPr>
        <w:t xml:space="preserve"> any </w:t>
      </w:r>
      <w:r w:rsidR="00834121" w:rsidRPr="007A709F">
        <w:rPr>
          <w:rFonts w:ascii="Arial" w:hAnsi="Arial" w:cs="Arial"/>
          <w:sz w:val="22"/>
          <w:szCs w:val="22"/>
        </w:rPr>
        <w:t>alleged misconduct by a medical</w:t>
      </w:r>
      <w:r w:rsidR="00245F55" w:rsidRPr="007A709F">
        <w:rPr>
          <w:rFonts w:ascii="Arial" w:hAnsi="Arial" w:cs="Arial"/>
          <w:sz w:val="22"/>
          <w:szCs w:val="22"/>
        </w:rPr>
        <w:t xml:space="preserve"> professional. Some admissible knowledge or intent would at least have to be present if the particular patient does not give evidence. The decision of the Committee was therefore correct.’</w:t>
      </w:r>
    </w:p>
    <w:p w14:paraId="129C1DEA" w14:textId="1D189987" w:rsidR="00BE2447" w:rsidRPr="00A61B21" w:rsidRDefault="00BE2447" w:rsidP="00A24535">
      <w:pPr>
        <w:widowControl w:val="0"/>
        <w:tabs>
          <w:tab w:val="right" w:pos="9360"/>
        </w:tabs>
        <w:autoSpaceDE w:val="0"/>
        <w:autoSpaceDN w:val="0"/>
        <w:adjustRightInd w:val="0"/>
        <w:rPr>
          <w:rFonts w:ascii="Arial" w:hAnsi="Arial" w:cs="Arial"/>
          <w:sz w:val="22"/>
          <w:szCs w:val="22"/>
        </w:rPr>
      </w:pPr>
    </w:p>
    <w:p w14:paraId="53C69640" w14:textId="57A957E3" w:rsidR="00BE2447" w:rsidRPr="00A61B21" w:rsidRDefault="00BE2447" w:rsidP="00A24535">
      <w:pPr>
        <w:widowControl w:val="0"/>
        <w:tabs>
          <w:tab w:val="right" w:pos="9360"/>
        </w:tabs>
        <w:autoSpaceDE w:val="0"/>
        <w:autoSpaceDN w:val="0"/>
        <w:adjustRightInd w:val="0"/>
        <w:rPr>
          <w:rFonts w:ascii="Arial" w:hAnsi="Arial" w:cs="Arial"/>
          <w:b/>
        </w:rPr>
      </w:pPr>
      <w:r w:rsidRPr="00A61B21">
        <w:rPr>
          <w:rFonts w:ascii="Arial" w:hAnsi="Arial" w:cs="Arial"/>
          <w:b/>
        </w:rPr>
        <w:t>The issues</w:t>
      </w:r>
    </w:p>
    <w:p w14:paraId="50101CC6" w14:textId="2CB57309" w:rsidR="007A5A03" w:rsidRPr="00A61B21" w:rsidRDefault="002E1E93" w:rsidP="00A24535">
      <w:pPr>
        <w:rPr>
          <w:rFonts w:ascii="Arial" w:hAnsi="Arial" w:cs="Arial"/>
        </w:rPr>
      </w:pPr>
      <w:r w:rsidRPr="00A61B21">
        <w:rPr>
          <w:rFonts w:ascii="Arial" w:hAnsi="Arial" w:cs="Arial"/>
        </w:rPr>
        <w:t>[</w:t>
      </w:r>
      <w:r w:rsidR="00286E95" w:rsidRPr="00A61B21">
        <w:rPr>
          <w:rFonts w:ascii="Arial" w:hAnsi="Arial" w:cs="Arial"/>
        </w:rPr>
        <w:t>1</w:t>
      </w:r>
      <w:r w:rsidR="00D55FF9" w:rsidRPr="00A61B21">
        <w:rPr>
          <w:rFonts w:ascii="Arial" w:hAnsi="Arial" w:cs="Arial"/>
        </w:rPr>
        <w:t>3</w:t>
      </w:r>
      <w:r w:rsidR="00936E62" w:rsidRPr="00A61B21">
        <w:rPr>
          <w:rFonts w:ascii="Arial" w:hAnsi="Arial" w:cs="Arial"/>
        </w:rPr>
        <w:t>]</w:t>
      </w:r>
      <w:r w:rsidR="00AE259D" w:rsidRPr="00A61B21">
        <w:rPr>
          <w:rFonts w:ascii="Arial" w:hAnsi="Arial" w:cs="Arial"/>
        </w:rPr>
        <w:tab/>
      </w:r>
      <w:r w:rsidR="007A5A03" w:rsidRPr="00A61B21">
        <w:rPr>
          <w:rFonts w:ascii="Arial" w:hAnsi="Arial" w:cs="Arial"/>
        </w:rPr>
        <w:t xml:space="preserve">The </w:t>
      </w:r>
      <w:r w:rsidR="00C3613C" w:rsidRPr="00A61B21">
        <w:rPr>
          <w:rFonts w:ascii="Arial" w:hAnsi="Arial" w:cs="Arial"/>
        </w:rPr>
        <w:t xml:space="preserve">principal </w:t>
      </w:r>
      <w:r w:rsidR="007A5A03" w:rsidRPr="00A61B21">
        <w:rPr>
          <w:rFonts w:ascii="Arial" w:hAnsi="Arial" w:cs="Arial"/>
        </w:rPr>
        <w:t>issue that arise</w:t>
      </w:r>
      <w:r w:rsidR="00C3613C" w:rsidRPr="00A61B21">
        <w:rPr>
          <w:rFonts w:ascii="Arial" w:hAnsi="Arial" w:cs="Arial"/>
        </w:rPr>
        <w:t>s</w:t>
      </w:r>
      <w:r w:rsidR="007A5A03" w:rsidRPr="00A61B21">
        <w:rPr>
          <w:rFonts w:ascii="Arial" w:hAnsi="Arial" w:cs="Arial"/>
        </w:rPr>
        <w:t xml:space="preserve"> in th</w:t>
      </w:r>
      <w:r w:rsidR="00C3613C" w:rsidRPr="00A61B21">
        <w:rPr>
          <w:rFonts w:ascii="Arial" w:hAnsi="Arial" w:cs="Arial"/>
        </w:rPr>
        <w:t>is</w:t>
      </w:r>
      <w:r w:rsidR="007A5A03" w:rsidRPr="00A61B21">
        <w:rPr>
          <w:rFonts w:ascii="Arial" w:hAnsi="Arial" w:cs="Arial"/>
        </w:rPr>
        <w:t xml:space="preserve"> application </w:t>
      </w:r>
      <w:r w:rsidR="00C3613C" w:rsidRPr="00A61B21">
        <w:rPr>
          <w:rFonts w:ascii="Arial" w:hAnsi="Arial" w:cs="Arial"/>
        </w:rPr>
        <w:t>is</w:t>
      </w:r>
      <w:r w:rsidR="007A5A03" w:rsidRPr="00A61B21">
        <w:rPr>
          <w:rFonts w:ascii="Arial" w:hAnsi="Arial" w:cs="Arial"/>
        </w:rPr>
        <w:t xml:space="preserve"> whether the </w:t>
      </w:r>
      <w:r w:rsidR="00AB1EB6">
        <w:rPr>
          <w:rFonts w:ascii="Arial" w:hAnsi="Arial" w:cs="Arial"/>
        </w:rPr>
        <w:t>h</w:t>
      </w:r>
      <w:r w:rsidR="00C707FC">
        <w:rPr>
          <w:rFonts w:ascii="Arial" w:hAnsi="Arial" w:cs="Arial"/>
        </w:rPr>
        <w:t xml:space="preserve">igh </w:t>
      </w:r>
      <w:r w:rsidR="00AB1EB6">
        <w:rPr>
          <w:rFonts w:ascii="Arial" w:hAnsi="Arial" w:cs="Arial"/>
        </w:rPr>
        <w:t>c</w:t>
      </w:r>
      <w:r w:rsidR="00C707FC">
        <w:rPr>
          <w:rFonts w:ascii="Arial" w:hAnsi="Arial" w:cs="Arial"/>
        </w:rPr>
        <w:t>ourt</w:t>
      </w:r>
      <w:r w:rsidR="007A5A03" w:rsidRPr="00A61B21">
        <w:rPr>
          <w:rFonts w:ascii="Arial" w:hAnsi="Arial" w:cs="Arial"/>
        </w:rPr>
        <w:t xml:space="preserve"> was correct that</w:t>
      </w:r>
      <w:r w:rsidR="00207378" w:rsidRPr="00A61B21">
        <w:rPr>
          <w:rFonts w:ascii="Arial" w:hAnsi="Arial" w:cs="Arial"/>
        </w:rPr>
        <w:t xml:space="preserve"> the</w:t>
      </w:r>
      <w:r w:rsidR="007A5A03" w:rsidRPr="00A61B21">
        <w:rPr>
          <w:rFonts w:ascii="Arial" w:hAnsi="Arial" w:cs="Arial"/>
        </w:rPr>
        <w:t xml:space="preserve"> internal remed</w:t>
      </w:r>
      <w:r w:rsidR="00207378" w:rsidRPr="00A61B21">
        <w:rPr>
          <w:rFonts w:ascii="Arial" w:hAnsi="Arial" w:cs="Arial"/>
        </w:rPr>
        <w:t>y of an appeal</w:t>
      </w:r>
      <w:r w:rsidR="007A5A03" w:rsidRPr="00A61B21">
        <w:rPr>
          <w:rFonts w:ascii="Arial" w:hAnsi="Arial" w:cs="Arial"/>
        </w:rPr>
        <w:t xml:space="preserve"> ought to have been exhausted in terms of s 7(2) of </w:t>
      </w:r>
      <w:r w:rsidR="00207378" w:rsidRPr="00A61B21">
        <w:rPr>
          <w:rFonts w:ascii="Arial" w:hAnsi="Arial" w:cs="Arial"/>
        </w:rPr>
        <w:t xml:space="preserve">the </w:t>
      </w:r>
      <w:r w:rsidR="007A5A03" w:rsidRPr="00A61B21">
        <w:rPr>
          <w:rFonts w:ascii="Arial" w:hAnsi="Arial" w:cs="Arial"/>
        </w:rPr>
        <w:t xml:space="preserve">PAJA, given that the review was brought by one organ of state against another. If the answer is </w:t>
      </w:r>
      <w:r w:rsidR="00C3613C" w:rsidRPr="00A61B21">
        <w:rPr>
          <w:rFonts w:ascii="Arial" w:hAnsi="Arial" w:cs="Arial"/>
        </w:rPr>
        <w:t>‘</w:t>
      </w:r>
      <w:r w:rsidR="007A5A03" w:rsidRPr="00A61B21">
        <w:rPr>
          <w:rFonts w:ascii="Arial" w:hAnsi="Arial" w:cs="Arial"/>
        </w:rPr>
        <w:t>yes</w:t>
      </w:r>
      <w:r w:rsidR="00C3613C" w:rsidRPr="00A61B21">
        <w:rPr>
          <w:rFonts w:ascii="Arial" w:hAnsi="Arial" w:cs="Arial"/>
        </w:rPr>
        <w:t>’</w:t>
      </w:r>
      <w:r w:rsidR="007A5A03" w:rsidRPr="00A61B21">
        <w:rPr>
          <w:rFonts w:ascii="Arial" w:hAnsi="Arial" w:cs="Arial"/>
        </w:rPr>
        <w:t xml:space="preserve">, the application will be unsuccessful. If the answer is </w:t>
      </w:r>
      <w:r w:rsidR="00C3613C" w:rsidRPr="00A61B21">
        <w:rPr>
          <w:rFonts w:ascii="Arial" w:hAnsi="Arial" w:cs="Arial"/>
        </w:rPr>
        <w:t>‘</w:t>
      </w:r>
      <w:r w:rsidR="007A5A03" w:rsidRPr="00A61B21">
        <w:rPr>
          <w:rFonts w:ascii="Arial" w:hAnsi="Arial" w:cs="Arial"/>
        </w:rPr>
        <w:t>no</w:t>
      </w:r>
      <w:r w:rsidR="00C3613C" w:rsidRPr="00A61B21">
        <w:rPr>
          <w:rFonts w:ascii="Arial" w:hAnsi="Arial" w:cs="Arial"/>
        </w:rPr>
        <w:t>’</w:t>
      </w:r>
      <w:r w:rsidR="007A5A03" w:rsidRPr="00A61B21">
        <w:rPr>
          <w:rFonts w:ascii="Arial" w:hAnsi="Arial" w:cs="Arial"/>
        </w:rPr>
        <w:t xml:space="preserve">, </w:t>
      </w:r>
      <w:r w:rsidR="00BE2447" w:rsidRPr="00A61B21">
        <w:rPr>
          <w:rFonts w:ascii="Arial" w:hAnsi="Arial" w:cs="Arial"/>
        </w:rPr>
        <w:t>the merits of the matter</w:t>
      </w:r>
      <w:r w:rsidR="00C3613C" w:rsidRPr="00A61B21">
        <w:rPr>
          <w:rFonts w:ascii="Arial" w:hAnsi="Arial" w:cs="Arial"/>
        </w:rPr>
        <w:t xml:space="preserve"> may have to be decided</w:t>
      </w:r>
      <w:r w:rsidR="00BE2447" w:rsidRPr="00A61B21">
        <w:rPr>
          <w:rFonts w:ascii="Arial" w:hAnsi="Arial" w:cs="Arial"/>
        </w:rPr>
        <w:t xml:space="preserve">, ie, whether the PCC’s decision to uphold the point </w:t>
      </w:r>
      <w:r w:rsidR="00BE2447" w:rsidRPr="007E0D22">
        <w:rPr>
          <w:rFonts w:ascii="Arial" w:hAnsi="Arial" w:cs="Arial"/>
          <w:i/>
        </w:rPr>
        <w:t>in limine</w:t>
      </w:r>
      <w:r w:rsidR="00BE2447" w:rsidRPr="00A61B21">
        <w:rPr>
          <w:rFonts w:ascii="Arial" w:hAnsi="Arial" w:cs="Arial"/>
        </w:rPr>
        <w:t xml:space="preserve"> sho</w:t>
      </w:r>
      <w:r w:rsidR="00834121" w:rsidRPr="00A61B21">
        <w:rPr>
          <w:rFonts w:ascii="Arial" w:hAnsi="Arial" w:cs="Arial"/>
        </w:rPr>
        <w:t>uld be reviewed and set aside.</w:t>
      </w:r>
    </w:p>
    <w:p w14:paraId="6C24F89A" w14:textId="60795069" w:rsidR="007A5A03" w:rsidRPr="00A61B21" w:rsidRDefault="007A5A03" w:rsidP="00A24535">
      <w:pPr>
        <w:rPr>
          <w:rFonts w:ascii="Arial" w:hAnsi="Arial" w:cs="Arial"/>
        </w:rPr>
      </w:pPr>
    </w:p>
    <w:p w14:paraId="7E7252BA" w14:textId="3A1B0A5F" w:rsidR="003D5A10" w:rsidRPr="001E7F80" w:rsidRDefault="003D5A10" w:rsidP="00A24535">
      <w:pPr>
        <w:rPr>
          <w:rFonts w:ascii="Arial" w:hAnsi="Arial" w:cs="Arial"/>
          <w:b/>
          <w:iCs/>
        </w:rPr>
      </w:pPr>
      <w:r w:rsidRPr="001E7F80">
        <w:rPr>
          <w:rFonts w:ascii="Arial" w:hAnsi="Arial" w:cs="Arial"/>
          <w:b/>
          <w:iCs/>
        </w:rPr>
        <w:t>The review of administrative action</w:t>
      </w:r>
    </w:p>
    <w:p w14:paraId="711592E4" w14:textId="2D151492" w:rsidR="00FB0DD9" w:rsidRPr="00A61B21" w:rsidRDefault="006730BD" w:rsidP="00A24535">
      <w:pPr>
        <w:rPr>
          <w:rFonts w:ascii="Arial" w:hAnsi="Arial" w:cs="Arial"/>
        </w:rPr>
      </w:pPr>
      <w:r w:rsidRPr="00A61B21">
        <w:rPr>
          <w:rFonts w:ascii="Arial" w:hAnsi="Arial" w:cs="Arial"/>
        </w:rPr>
        <w:t>[1</w:t>
      </w:r>
      <w:r w:rsidR="00D55FF9" w:rsidRPr="00A61B21">
        <w:rPr>
          <w:rFonts w:ascii="Arial" w:hAnsi="Arial" w:cs="Arial"/>
        </w:rPr>
        <w:t>4</w:t>
      </w:r>
      <w:r w:rsidR="00BB0D04" w:rsidRPr="00A61B21">
        <w:rPr>
          <w:rFonts w:ascii="Arial" w:hAnsi="Arial" w:cs="Arial"/>
        </w:rPr>
        <w:t>]</w:t>
      </w:r>
      <w:r w:rsidR="00BB0D04" w:rsidRPr="00A61B21">
        <w:rPr>
          <w:rFonts w:ascii="Arial" w:hAnsi="Arial" w:cs="Arial"/>
        </w:rPr>
        <w:tab/>
      </w:r>
      <w:r w:rsidR="00FB0DD9" w:rsidRPr="00A61B21">
        <w:rPr>
          <w:rFonts w:ascii="Arial" w:hAnsi="Arial" w:cs="Arial"/>
        </w:rPr>
        <w:t>Generally speaking, the decision</w:t>
      </w:r>
      <w:r w:rsidR="00C3613C" w:rsidRPr="00A61B21">
        <w:rPr>
          <w:rFonts w:ascii="Arial" w:hAnsi="Arial" w:cs="Arial"/>
        </w:rPr>
        <w:t>-</w:t>
      </w:r>
      <w:r w:rsidR="00FB0DD9" w:rsidRPr="00A61B21">
        <w:rPr>
          <w:rFonts w:ascii="Arial" w:hAnsi="Arial" w:cs="Arial"/>
        </w:rPr>
        <w:t xml:space="preserve">making </w:t>
      </w:r>
      <w:r w:rsidR="00C3613C" w:rsidRPr="00A61B21">
        <w:rPr>
          <w:rFonts w:ascii="Arial" w:hAnsi="Arial" w:cs="Arial"/>
        </w:rPr>
        <w:t>of</w:t>
      </w:r>
      <w:r w:rsidR="00FB0DD9" w:rsidRPr="00A61B21">
        <w:rPr>
          <w:rFonts w:ascii="Arial" w:hAnsi="Arial" w:cs="Arial"/>
        </w:rPr>
        <w:t xml:space="preserve"> a </w:t>
      </w:r>
      <w:r w:rsidR="00A72549">
        <w:rPr>
          <w:rFonts w:ascii="Arial" w:hAnsi="Arial" w:cs="Arial"/>
        </w:rPr>
        <w:t xml:space="preserve">statutory </w:t>
      </w:r>
      <w:r w:rsidR="00FB0DD9" w:rsidRPr="00A61B21">
        <w:rPr>
          <w:rFonts w:ascii="Arial" w:hAnsi="Arial" w:cs="Arial"/>
        </w:rPr>
        <w:t>disciplinary body</w:t>
      </w:r>
      <w:r w:rsidR="002C04B5" w:rsidRPr="00A61B21">
        <w:rPr>
          <w:rFonts w:ascii="Arial" w:hAnsi="Arial" w:cs="Arial"/>
        </w:rPr>
        <w:t>,</w:t>
      </w:r>
      <w:r w:rsidR="00FB0DD9" w:rsidRPr="00A61B21">
        <w:rPr>
          <w:rFonts w:ascii="Arial" w:hAnsi="Arial" w:cs="Arial"/>
        </w:rPr>
        <w:t xml:space="preserve"> suc</w:t>
      </w:r>
      <w:r w:rsidR="00BB0D04" w:rsidRPr="00A61B21">
        <w:rPr>
          <w:rFonts w:ascii="Arial" w:hAnsi="Arial" w:cs="Arial"/>
        </w:rPr>
        <w:t>h as the PCC</w:t>
      </w:r>
      <w:r w:rsidR="002C04B5" w:rsidRPr="00A61B21">
        <w:rPr>
          <w:rFonts w:ascii="Arial" w:hAnsi="Arial" w:cs="Arial"/>
        </w:rPr>
        <w:t>,</w:t>
      </w:r>
      <w:r w:rsidR="00BB0D04" w:rsidRPr="00A61B21">
        <w:rPr>
          <w:rFonts w:ascii="Arial" w:hAnsi="Arial" w:cs="Arial"/>
        </w:rPr>
        <w:t xml:space="preserve"> would</w:t>
      </w:r>
      <w:r w:rsidR="00FB0DD9" w:rsidRPr="00A61B21">
        <w:rPr>
          <w:rFonts w:ascii="Arial" w:hAnsi="Arial" w:cs="Arial"/>
        </w:rPr>
        <w:t xml:space="preserve"> constitute administrative action as defined in </w:t>
      </w:r>
      <w:r w:rsidR="001A32B0" w:rsidRPr="00A61B21">
        <w:rPr>
          <w:rFonts w:ascii="Arial" w:hAnsi="Arial" w:cs="Arial"/>
        </w:rPr>
        <w:t xml:space="preserve">s 1 of the </w:t>
      </w:r>
      <w:r w:rsidR="002C04B5" w:rsidRPr="00A61B21">
        <w:rPr>
          <w:rFonts w:ascii="Arial" w:hAnsi="Arial" w:cs="Arial"/>
          <w:bCs/>
          <w:iCs/>
        </w:rPr>
        <w:t>PAJA</w:t>
      </w:r>
      <w:r w:rsidR="001A32B0" w:rsidRPr="00A61B21">
        <w:rPr>
          <w:rFonts w:ascii="Arial" w:hAnsi="Arial" w:cs="Arial"/>
        </w:rPr>
        <w:t xml:space="preserve">. </w:t>
      </w:r>
      <w:r w:rsidR="00C3613C" w:rsidRPr="00A61B21">
        <w:rPr>
          <w:rFonts w:ascii="Arial" w:hAnsi="Arial" w:cs="Arial"/>
        </w:rPr>
        <w:t>It p</w:t>
      </w:r>
      <w:r w:rsidR="00FB0DD9" w:rsidRPr="00A61B21">
        <w:rPr>
          <w:rFonts w:ascii="Arial" w:hAnsi="Arial" w:cs="Arial"/>
        </w:rPr>
        <w:t>rovides tha</w:t>
      </w:r>
      <w:r w:rsidR="00BB0D04" w:rsidRPr="00A61B21">
        <w:rPr>
          <w:rFonts w:ascii="Arial" w:hAnsi="Arial" w:cs="Arial"/>
        </w:rPr>
        <w:t>t administrative action means ‘</w:t>
      </w:r>
      <w:r w:rsidR="00FB0DD9" w:rsidRPr="00A61B21">
        <w:rPr>
          <w:rFonts w:ascii="Arial" w:hAnsi="Arial" w:cs="Arial"/>
        </w:rPr>
        <w:t>any decision taken, or any f</w:t>
      </w:r>
      <w:r w:rsidR="00BB0D04" w:rsidRPr="00A61B21">
        <w:rPr>
          <w:rFonts w:ascii="Arial" w:hAnsi="Arial" w:cs="Arial"/>
        </w:rPr>
        <w:t xml:space="preserve">ailure to take a decision, by </w:t>
      </w:r>
      <w:r w:rsidR="00C3613C" w:rsidRPr="00A61B21">
        <w:rPr>
          <w:rFonts w:ascii="Arial" w:hAnsi="Arial" w:cs="Arial"/>
        </w:rPr>
        <w:t xml:space="preserve">. . . </w:t>
      </w:r>
      <w:r w:rsidR="00FB0DD9" w:rsidRPr="00A61B21">
        <w:rPr>
          <w:rFonts w:ascii="Arial" w:hAnsi="Arial" w:cs="Arial"/>
        </w:rPr>
        <w:t>an organ of stat</w:t>
      </w:r>
      <w:r w:rsidR="008C0FA5" w:rsidRPr="00A61B21">
        <w:rPr>
          <w:rFonts w:ascii="Arial" w:hAnsi="Arial" w:cs="Arial"/>
        </w:rPr>
        <w:t>e</w:t>
      </w:r>
      <w:r w:rsidR="00FB0DD9" w:rsidRPr="00A61B21">
        <w:rPr>
          <w:rFonts w:ascii="Arial" w:hAnsi="Arial" w:cs="Arial"/>
        </w:rPr>
        <w:t>’ when ‘exercising a public power or performing a public</w:t>
      </w:r>
      <w:r w:rsidR="001A32B0" w:rsidRPr="00A61B21">
        <w:rPr>
          <w:rFonts w:ascii="Arial" w:hAnsi="Arial" w:cs="Arial"/>
        </w:rPr>
        <w:t xml:space="preserve"> function in terms of any legislation</w:t>
      </w:r>
      <w:r w:rsidR="004363A9" w:rsidRPr="00A61B21">
        <w:rPr>
          <w:rFonts w:ascii="Arial" w:hAnsi="Arial" w:cs="Arial"/>
        </w:rPr>
        <w:t>’</w:t>
      </w:r>
      <w:r w:rsidR="00BB0D04" w:rsidRPr="00A61B21">
        <w:rPr>
          <w:rFonts w:ascii="Arial" w:hAnsi="Arial" w:cs="Arial"/>
        </w:rPr>
        <w:t xml:space="preserve"> </w:t>
      </w:r>
      <w:r w:rsidR="00FB0DD9" w:rsidRPr="00A61B21">
        <w:rPr>
          <w:rFonts w:ascii="Arial" w:hAnsi="Arial" w:cs="Arial"/>
        </w:rPr>
        <w:t>but does not include such speci</w:t>
      </w:r>
      <w:r w:rsidR="0099640E" w:rsidRPr="00A61B21">
        <w:rPr>
          <w:rFonts w:ascii="Arial" w:hAnsi="Arial" w:cs="Arial"/>
        </w:rPr>
        <w:t>es of public power as executive, legislative</w:t>
      </w:r>
      <w:r w:rsidR="00543CA9" w:rsidRPr="00A61B21">
        <w:rPr>
          <w:rFonts w:ascii="Arial" w:hAnsi="Arial" w:cs="Arial"/>
        </w:rPr>
        <w:t xml:space="preserve"> and</w:t>
      </w:r>
      <w:r w:rsidR="0099640E" w:rsidRPr="00A61B21">
        <w:rPr>
          <w:rFonts w:ascii="Arial" w:hAnsi="Arial" w:cs="Arial"/>
        </w:rPr>
        <w:t xml:space="preserve"> judicial powers. Section 6(1) of the PAJA provides that administrative action is subject to revie</w:t>
      </w:r>
      <w:r w:rsidR="00F61A3F" w:rsidRPr="00A61B21">
        <w:rPr>
          <w:rFonts w:ascii="Arial" w:hAnsi="Arial" w:cs="Arial"/>
        </w:rPr>
        <w:t>w</w:t>
      </w:r>
      <w:r w:rsidR="00834121" w:rsidRPr="00A61B21">
        <w:rPr>
          <w:rFonts w:ascii="Arial" w:hAnsi="Arial" w:cs="Arial"/>
        </w:rPr>
        <w:t xml:space="preserve"> and s 6</w:t>
      </w:r>
      <w:r w:rsidR="0099640E" w:rsidRPr="00A61B21">
        <w:rPr>
          <w:rFonts w:ascii="Arial" w:hAnsi="Arial" w:cs="Arial"/>
        </w:rPr>
        <w:t xml:space="preserve">(2) sets out the grounds </w:t>
      </w:r>
      <w:r w:rsidR="002C04B5" w:rsidRPr="00A61B21">
        <w:rPr>
          <w:rFonts w:ascii="Arial" w:hAnsi="Arial" w:cs="Arial"/>
        </w:rPr>
        <w:t>for</w:t>
      </w:r>
      <w:r w:rsidR="0099640E" w:rsidRPr="00A61B21">
        <w:rPr>
          <w:rFonts w:ascii="Arial" w:hAnsi="Arial" w:cs="Arial"/>
        </w:rPr>
        <w:t xml:space="preserve"> review</w:t>
      </w:r>
      <w:r w:rsidR="00782E52" w:rsidRPr="00A61B21">
        <w:rPr>
          <w:rFonts w:ascii="Arial" w:hAnsi="Arial" w:cs="Arial"/>
        </w:rPr>
        <w:t>.</w:t>
      </w:r>
    </w:p>
    <w:p w14:paraId="1C65D387" w14:textId="77777777" w:rsidR="00834121" w:rsidRPr="00A61B21" w:rsidRDefault="00834121" w:rsidP="00A24535">
      <w:pPr>
        <w:rPr>
          <w:rFonts w:ascii="Arial" w:hAnsi="Arial" w:cs="Arial"/>
        </w:rPr>
      </w:pPr>
    </w:p>
    <w:p w14:paraId="27520626" w14:textId="3A682CBE" w:rsidR="00782E52" w:rsidRPr="00A61B21" w:rsidRDefault="006730BD" w:rsidP="00A24535">
      <w:pPr>
        <w:rPr>
          <w:rFonts w:ascii="Arial" w:hAnsi="Arial" w:cs="Arial"/>
        </w:rPr>
      </w:pPr>
      <w:r w:rsidRPr="00A61B21">
        <w:rPr>
          <w:rFonts w:ascii="Arial" w:hAnsi="Arial" w:cs="Arial"/>
        </w:rPr>
        <w:t>[1</w:t>
      </w:r>
      <w:r w:rsidR="00D55FF9" w:rsidRPr="00A61B21">
        <w:rPr>
          <w:rFonts w:ascii="Arial" w:hAnsi="Arial" w:cs="Arial"/>
        </w:rPr>
        <w:t>5</w:t>
      </w:r>
      <w:r w:rsidR="00BB0D04" w:rsidRPr="00A61B21">
        <w:rPr>
          <w:rFonts w:ascii="Arial" w:hAnsi="Arial" w:cs="Arial"/>
        </w:rPr>
        <w:t>]</w:t>
      </w:r>
      <w:r w:rsidR="00BB0D04" w:rsidRPr="00A61B21">
        <w:rPr>
          <w:rFonts w:ascii="Arial" w:hAnsi="Arial" w:cs="Arial"/>
        </w:rPr>
        <w:tab/>
      </w:r>
      <w:r w:rsidR="00782E52" w:rsidRPr="00A61B21">
        <w:rPr>
          <w:rFonts w:ascii="Arial" w:hAnsi="Arial" w:cs="Arial"/>
        </w:rPr>
        <w:t>Section 7(2) places a procedural hurdle in the way of a person wishin</w:t>
      </w:r>
      <w:r w:rsidR="00F61A3F" w:rsidRPr="00A61B21">
        <w:rPr>
          <w:rFonts w:ascii="Arial" w:hAnsi="Arial" w:cs="Arial"/>
        </w:rPr>
        <w:t>g</w:t>
      </w:r>
      <w:r w:rsidR="00782E52" w:rsidRPr="00A61B21">
        <w:rPr>
          <w:rFonts w:ascii="Arial" w:hAnsi="Arial" w:cs="Arial"/>
        </w:rPr>
        <w:t xml:space="preserve"> to review an administrative action. It provides:</w:t>
      </w:r>
    </w:p>
    <w:p w14:paraId="32AEE63E" w14:textId="58E83AE2" w:rsidR="00782E52" w:rsidRPr="00A61B21" w:rsidRDefault="00810655" w:rsidP="00543CA9">
      <w:pPr>
        <w:rPr>
          <w:rFonts w:ascii="Arial" w:hAnsi="Arial" w:cs="Arial"/>
          <w:sz w:val="22"/>
          <w:szCs w:val="22"/>
        </w:rPr>
      </w:pPr>
      <w:r w:rsidRPr="00A61B21">
        <w:rPr>
          <w:rFonts w:ascii="Arial" w:hAnsi="Arial" w:cs="Arial"/>
          <w:sz w:val="22"/>
          <w:szCs w:val="22"/>
        </w:rPr>
        <w:t>‘</w:t>
      </w:r>
      <w:r w:rsidRPr="007E0D22">
        <w:rPr>
          <w:rFonts w:ascii="Arial" w:hAnsi="Arial" w:cs="Arial"/>
          <w:i/>
          <w:sz w:val="22"/>
          <w:szCs w:val="22"/>
        </w:rPr>
        <w:t>(a)</w:t>
      </w:r>
      <w:r w:rsidRPr="00A61B21">
        <w:rPr>
          <w:rFonts w:ascii="Arial" w:hAnsi="Arial" w:cs="Arial"/>
          <w:sz w:val="22"/>
          <w:szCs w:val="22"/>
        </w:rPr>
        <w:t xml:space="preserve"> </w:t>
      </w:r>
      <w:r w:rsidR="00782E52" w:rsidRPr="00A61B21">
        <w:rPr>
          <w:rFonts w:ascii="Arial" w:hAnsi="Arial" w:cs="Arial"/>
          <w:sz w:val="22"/>
          <w:szCs w:val="22"/>
        </w:rPr>
        <w:t xml:space="preserve">Subject to paragraph </w:t>
      </w:r>
      <w:r w:rsidR="00782E52" w:rsidRPr="007E0D22">
        <w:rPr>
          <w:rFonts w:ascii="Arial" w:hAnsi="Arial" w:cs="Arial"/>
          <w:i/>
          <w:sz w:val="22"/>
          <w:szCs w:val="22"/>
        </w:rPr>
        <w:t>(</w:t>
      </w:r>
      <w:r w:rsidR="003277D1" w:rsidRPr="00380F0A">
        <w:rPr>
          <w:rFonts w:ascii="Arial" w:hAnsi="Arial" w:cs="Arial"/>
          <w:i/>
          <w:sz w:val="22"/>
          <w:szCs w:val="22"/>
        </w:rPr>
        <w:t>c</w:t>
      </w:r>
      <w:r w:rsidR="00BB0D04" w:rsidRPr="007E0D22">
        <w:rPr>
          <w:rFonts w:ascii="Arial" w:hAnsi="Arial" w:cs="Arial"/>
          <w:i/>
          <w:sz w:val="22"/>
          <w:szCs w:val="22"/>
        </w:rPr>
        <w:t>)</w:t>
      </w:r>
      <w:r w:rsidR="00782E52" w:rsidRPr="00A61B21">
        <w:rPr>
          <w:rFonts w:ascii="Arial" w:hAnsi="Arial" w:cs="Arial"/>
          <w:sz w:val="22"/>
          <w:szCs w:val="22"/>
        </w:rPr>
        <w:t>, no court or tribunal shall review an administrative action in terms of this Act unless any internal remedy provided for in any other law has first been exhausted</w:t>
      </w:r>
      <w:r w:rsidR="00105BA2">
        <w:rPr>
          <w:rFonts w:ascii="Arial" w:hAnsi="Arial" w:cs="Arial"/>
          <w:sz w:val="22"/>
          <w:szCs w:val="22"/>
        </w:rPr>
        <w:t>.</w:t>
      </w:r>
    </w:p>
    <w:p w14:paraId="343B4D2E" w14:textId="6027D720" w:rsidR="00781EB6" w:rsidRPr="00A61B21" w:rsidRDefault="00BB0D04" w:rsidP="00A24535">
      <w:pPr>
        <w:rPr>
          <w:rFonts w:ascii="Arial" w:hAnsi="Arial" w:cs="Arial"/>
          <w:sz w:val="22"/>
          <w:szCs w:val="22"/>
        </w:rPr>
      </w:pPr>
      <w:r w:rsidRPr="007E0D22">
        <w:rPr>
          <w:rFonts w:ascii="Arial" w:hAnsi="Arial" w:cs="Arial"/>
          <w:i/>
          <w:sz w:val="22"/>
          <w:szCs w:val="22"/>
        </w:rPr>
        <w:lastRenderedPageBreak/>
        <w:t>(b)</w:t>
      </w:r>
      <w:r w:rsidRPr="00A61B21">
        <w:rPr>
          <w:rFonts w:ascii="Arial" w:hAnsi="Arial" w:cs="Arial"/>
          <w:sz w:val="22"/>
          <w:szCs w:val="22"/>
        </w:rPr>
        <w:t xml:space="preserve"> Subject to paragraph </w:t>
      </w:r>
      <w:r w:rsidR="003277D1" w:rsidRPr="00A61B21">
        <w:rPr>
          <w:rFonts w:ascii="Arial" w:hAnsi="Arial" w:cs="Arial"/>
          <w:i/>
          <w:sz w:val="22"/>
          <w:szCs w:val="22"/>
        </w:rPr>
        <w:t>(c</w:t>
      </w:r>
      <w:r w:rsidRPr="00A61B21">
        <w:rPr>
          <w:rFonts w:ascii="Arial" w:hAnsi="Arial" w:cs="Arial"/>
          <w:i/>
          <w:sz w:val="22"/>
          <w:szCs w:val="22"/>
        </w:rPr>
        <w:t>)</w:t>
      </w:r>
      <w:r w:rsidR="00782E52" w:rsidRPr="00A61B21">
        <w:rPr>
          <w:rFonts w:ascii="Arial" w:hAnsi="Arial" w:cs="Arial"/>
          <w:sz w:val="22"/>
          <w:szCs w:val="22"/>
        </w:rPr>
        <w:t xml:space="preserve">, a court or </w:t>
      </w:r>
      <w:r w:rsidRPr="00A61B21">
        <w:rPr>
          <w:rFonts w:ascii="Arial" w:hAnsi="Arial" w:cs="Arial"/>
          <w:sz w:val="22"/>
          <w:szCs w:val="22"/>
        </w:rPr>
        <w:t xml:space="preserve">tribunal must, if </w:t>
      </w:r>
      <w:r w:rsidR="00105BA2">
        <w:rPr>
          <w:rFonts w:ascii="Arial" w:hAnsi="Arial" w:cs="Arial"/>
          <w:sz w:val="22"/>
          <w:szCs w:val="22"/>
        </w:rPr>
        <w:t xml:space="preserve">it is </w:t>
      </w:r>
      <w:r w:rsidRPr="00A61B21">
        <w:rPr>
          <w:rFonts w:ascii="Arial" w:hAnsi="Arial" w:cs="Arial"/>
          <w:sz w:val="22"/>
          <w:szCs w:val="22"/>
        </w:rPr>
        <w:t>not satisfied</w:t>
      </w:r>
      <w:r w:rsidR="00782E52" w:rsidRPr="00A61B21">
        <w:rPr>
          <w:rFonts w:ascii="Arial" w:hAnsi="Arial" w:cs="Arial"/>
          <w:sz w:val="22"/>
          <w:szCs w:val="22"/>
        </w:rPr>
        <w:t xml:space="preserve"> that any internal r</w:t>
      </w:r>
      <w:r w:rsidRPr="00A61B21">
        <w:rPr>
          <w:rFonts w:ascii="Arial" w:hAnsi="Arial" w:cs="Arial"/>
          <w:sz w:val="22"/>
          <w:szCs w:val="22"/>
        </w:rPr>
        <w:t xml:space="preserve">emedy referred to in paragraph </w:t>
      </w:r>
      <w:r w:rsidR="00782E52" w:rsidRPr="00A61B21">
        <w:rPr>
          <w:rFonts w:ascii="Arial" w:hAnsi="Arial" w:cs="Arial"/>
          <w:i/>
          <w:sz w:val="22"/>
          <w:szCs w:val="22"/>
        </w:rPr>
        <w:t>(a)</w:t>
      </w:r>
      <w:r w:rsidRPr="00A61B21">
        <w:rPr>
          <w:rFonts w:ascii="Arial" w:hAnsi="Arial" w:cs="Arial"/>
          <w:sz w:val="22"/>
          <w:szCs w:val="22"/>
        </w:rPr>
        <w:t xml:space="preserve"> has been exhausted</w:t>
      </w:r>
      <w:r w:rsidR="00782E52" w:rsidRPr="00A61B21">
        <w:rPr>
          <w:rFonts w:ascii="Arial" w:hAnsi="Arial" w:cs="Arial"/>
          <w:sz w:val="22"/>
          <w:szCs w:val="22"/>
        </w:rPr>
        <w:t>, direct that the person concerned must first exhaust such remedy before insitituting proceedings in a court or tribunal for judicial review in terms of this Act.</w:t>
      </w:r>
    </w:p>
    <w:p w14:paraId="546B2B50" w14:textId="0AAB1A33" w:rsidR="00782E52" w:rsidRPr="00A61B21" w:rsidRDefault="00A24535" w:rsidP="00A24535">
      <w:pPr>
        <w:rPr>
          <w:rFonts w:ascii="Arial" w:hAnsi="Arial" w:cs="Arial"/>
          <w:sz w:val="22"/>
          <w:szCs w:val="22"/>
        </w:rPr>
      </w:pPr>
      <w:r w:rsidRPr="00A61B21">
        <w:rPr>
          <w:rFonts w:ascii="Arial" w:hAnsi="Arial" w:cs="Arial"/>
          <w:sz w:val="22"/>
          <w:szCs w:val="22"/>
        </w:rPr>
        <w:t>(c</w:t>
      </w:r>
      <w:r w:rsidR="00BB0D04" w:rsidRPr="00A61B21">
        <w:rPr>
          <w:rFonts w:ascii="Arial" w:hAnsi="Arial" w:cs="Arial"/>
          <w:sz w:val="22"/>
          <w:szCs w:val="22"/>
        </w:rPr>
        <w:t>)</w:t>
      </w:r>
      <w:r w:rsidR="002C04B5" w:rsidRPr="00A61B21">
        <w:rPr>
          <w:rFonts w:ascii="Arial" w:hAnsi="Arial" w:cs="Arial"/>
          <w:sz w:val="22"/>
          <w:szCs w:val="22"/>
        </w:rPr>
        <w:t xml:space="preserve"> </w:t>
      </w:r>
      <w:r w:rsidR="00BB0D04" w:rsidRPr="00A61B21">
        <w:rPr>
          <w:rFonts w:ascii="Arial" w:hAnsi="Arial" w:cs="Arial"/>
          <w:sz w:val="22"/>
          <w:szCs w:val="22"/>
        </w:rPr>
        <w:t xml:space="preserve">A court </w:t>
      </w:r>
      <w:r w:rsidR="00781EB6" w:rsidRPr="00A61B21">
        <w:rPr>
          <w:rFonts w:ascii="Arial" w:hAnsi="Arial" w:cs="Arial"/>
          <w:sz w:val="22"/>
          <w:szCs w:val="22"/>
        </w:rPr>
        <w:t>or tribunal may, in exceptional circumstances and on application by the person</w:t>
      </w:r>
      <w:r w:rsidR="00782E52" w:rsidRPr="00A61B21">
        <w:rPr>
          <w:rFonts w:ascii="Arial" w:hAnsi="Arial" w:cs="Arial"/>
          <w:sz w:val="22"/>
          <w:szCs w:val="22"/>
        </w:rPr>
        <w:t xml:space="preserve"> </w:t>
      </w:r>
      <w:r w:rsidR="00781EB6" w:rsidRPr="00A61B21">
        <w:rPr>
          <w:rFonts w:ascii="Arial" w:hAnsi="Arial" w:cs="Arial"/>
          <w:sz w:val="22"/>
          <w:szCs w:val="22"/>
        </w:rPr>
        <w:t xml:space="preserve">concerned, exempt such person from the obligation to </w:t>
      </w:r>
      <w:r w:rsidR="008F23A1" w:rsidRPr="00A61B21">
        <w:rPr>
          <w:rFonts w:ascii="Arial" w:hAnsi="Arial" w:cs="Arial"/>
          <w:sz w:val="22"/>
          <w:szCs w:val="22"/>
        </w:rPr>
        <w:t>exhaust any internal remedy if the court or tribunal deems it in the interest of justice.</w:t>
      </w:r>
      <w:r w:rsidR="00810655" w:rsidRPr="00A61B21">
        <w:rPr>
          <w:rFonts w:ascii="Arial" w:hAnsi="Arial" w:cs="Arial"/>
          <w:sz w:val="22"/>
          <w:szCs w:val="22"/>
        </w:rPr>
        <w:t>’</w:t>
      </w:r>
    </w:p>
    <w:p w14:paraId="115C71CE" w14:textId="0637CF7B" w:rsidR="008F23A1" w:rsidRPr="007E0D22" w:rsidRDefault="008F23A1" w:rsidP="007E0D22">
      <w:pPr>
        <w:rPr>
          <w:rFonts w:ascii="Arial" w:hAnsi="Arial" w:cs="Arial"/>
        </w:rPr>
      </w:pPr>
    </w:p>
    <w:p w14:paraId="261F674B" w14:textId="54DD068B" w:rsidR="008F23A1" w:rsidRPr="00A61B21" w:rsidRDefault="006730BD" w:rsidP="00A24535">
      <w:pPr>
        <w:rPr>
          <w:rFonts w:ascii="Arial" w:hAnsi="Arial" w:cs="Arial"/>
        </w:rPr>
      </w:pPr>
      <w:r w:rsidRPr="00A61B21">
        <w:rPr>
          <w:rFonts w:ascii="Arial" w:hAnsi="Arial" w:cs="Arial"/>
        </w:rPr>
        <w:t>[1</w:t>
      </w:r>
      <w:r w:rsidR="00D55FF9" w:rsidRPr="00A61B21">
        <w:rPr>
          <w:rFonts w:ascii="Arial" w:hAnsi="Arial" w:cs="Arial"/>
        </w:rPr>
        <w:t>6</w:t>
      </w:r>
      <w:r w:rsidR="00BB0D04" w:rsidRPr="00A61B21">
        <w:rPr>
          <w:rFonts w:ascii="Arial" w:hAnsi="Arial" w:cs="Arial"/>
        </w:rPr>
        <w:t>]</w:t>
      </w:r>
      <w:r w:rsidR="00BB0D04" w:rsidRPr="00A61B21">
        <w:rPr>
          <w:rFonts w:ascii="Arial" w:hAnsi="Arial" w:cs="Arial"/>
        </w:rPr>
        <w:tab/>
      </w:r>
      <w:r w:rsidR="00543CA9" w:rsidRPr="00A61B21">
        <w:rPr>
          <w:rFonts w:ascii="Arial" w:hAnsi="Arial" w:cs="Arial"/>
        </w:rPr>
        <w:t xml:space="preserve">If </w:t>
      </w:r>
      <w:r w:rsidR="008F23A1" w:rsidRPr="00A61B21">
        <w:rPr>
          <w:rFonts w:ascii="Arial" w:hAnsi="Arial" w:cs="Arial"/>
        </w:rPr>
        <w:t>s 7(2)</w:t>
      </w:r>
      <w:r w:rsidR="00543CA9" w:rsidRPr="00A61B21">
        <w:rPr>
          <w:rFonts w:ascii="Arial" w:hAnsi="Arial" w:cs="Arial"/>
        </w:rPr>
        <w:t xml:space="preserve"> applies, this</w:t>
      </w:r>
      <w:r w:rsidR="008F23A1" w:rsidRPr="00A61B21">
        <w:rPr>
          <w:rFonts w:ascii="Arial" w:hAnsi="Arial" w:cs="Arial"/>
        </w:rPr>
        <w:t xml:space="preserve"> wou</w:t>
      </w:r>
      <w:r w:rsidR="002C04B5" w:rsidRPr="00A61B21">
        <w:rPr>
          <w:rFonts w:ascii="Arial" w:hAnsi="Arial" w:cs="Arial"/>
        </w:rPr>
        <w:t>l</w:t>
      </w:r>
      <w:r w:rsidR="008F23A1" w:rsidRPr="00A61B21">
        <w:rPr>
          <w:rFonts w:ascii="Arial" w:hAnsi="Arial" w:cs="Arial"/>
        </w:rPr>
        <w:t>d</w:t>
      </w:r>
      <w:r w:rsidR="001A32B0" w:rsidRPr="007E0D22">
        <w:rPr>
          <w:rFonts w:ascii="Arial" w:hAnsi="Arial" w:cs="Arial"/>
        </w:rPr>
        <w:t xml:space="preserve"> </w:t>
      </w:r>
      <w:r w:rsidR="001A32B0" w:rsidRPr="00A61B21">
        <w:rPr>
          <w:rFonts w:ascii="Arial" w:hAnsi="Arial" w:cs="Arial"/>
        </w:rPr>
        <w:t xml:space="preserve">non-suit </w:t>
      </w:r>
      <w:r w:rsidR="00105BA2">
        <w:rPr>
          <w:rFonts w:ascii="Arial" w:hAnsi="Arial" w:cs="Arial"/>
        </w:rPr>
        <w:t xml:space="preserve">Mr </w:t>
      </w:r>
      <w:r w:rsidR="008F23A1" w:rsidRPr="00A61B21">
        <w:rPr>
          <w:rFonts w:ascii="Arial" w:hAnsi="Arial" w:cs="Arial"/>
        </w:rPr>
        <w:t>Mapholisa bec</w:t>
      </w:r>
      <w:r w:rsidR="001A32B0" w:rsidRPr="00A61B21">
        <w:rPr>
          <w:rFonts w:ascii="Arial" w:hAnsi="Arial" w:cs="Arial"/>
        </w:rPr>
        <w:t>ause it is common cause</w:t>
      </w:r>
      <w:r w:rsidR="00543CA9" w:rsidRPr="00A61B21">
        <w:rPr>
          <w:rFonts w:ascii="Arial" w:hAnsi="Arial" w:cs="Arial"/>
        </w:rPr>
        <w:t xml:space="preserve"> that</w:t>
      </w:r>
      <w:r w:rsidR="001A32B0" w:rsidRPr="00A61B21">
        <w:rPr>
          <w:rFonts w:ascii="Arial" w:hAnsi="Arial" w:cs="Arial"/>
        </w:rPr>
        <w:t xml:space="preserve"> he </w:t>
      </w:r>
      <w:r w:rsidR="008F23A1" w:rsidRPr="00A61B21">
        <w:rPr>
          <w:rFonts w:ascii="Arial" w:hAnsi="Arial" w:cs="Arial"/>
        </w:rPr>
        <w:t xml:space="preserve">has not exhausted the internal remedy of </w:t>
      </w:r>
      <w:r w:rsidR="00BB0D04" w:rsidRPr="00A61B21">
        <w:rPr>
          <w:rFonts w:ascii="Arial" w:hAnsi="Arial" w:cs="Arial"/>
        </w:rPr>
        <w:t xml:space="preserve">the appeal created by </w:t>
      </w:r>
      <w:r w:rsidR="002C04B5" w:rsidRPr="00A61B21">
        <w:rPr>
          <w:rFonts w:ascii="Arial" w:hAnsi="Arial" w:cs="Arial"/>
        </w:rPr>
        <w:t>r</w:t>
      </w:r>
      <w:r w:rsidR="00BB0D04" w:rsidRPr="00A61B21">
        <w:rPr>
          <w:rFonts w:ascii="Arial" w:hAnsi="Arial" w:cs="Arial"/>
        </w:rPr>
        <w:t>eg 11</w:t>
      </w:r>
      <w:r w:rsidR="008F23A1" w:rsidRPr="00A61B21">
        <w:rPr>
          <w:rFonts w:ascii="Arial" w:hAnsi="Arial" w:cs="Arial"/>
        </w:rPr>
        <w:t xml:space="preserve"> and neither has he applied to be exempted from the obligation</w:t>
      </w:r>
      <w:r w:rsidR="00BB0D04" w:rsidRPr="00A61B21">
        <w:rPr>
          <w:rFonts w:ascii="Arial" w:hAnsi="Arial" w:cs="Arial"/>
        </w:rPr>
        <w:t>. Assuming for present purposes</w:t>
      </w:r>
      <w:r w:rsidR="00C03ADF" w:rsidRPr="00A61B21">
        <w:rPr>
          <w:rFonts w:ascii="Arial" w:hAnsi="Arial" w:cs="Arial"/>
        </w:rPr>
        <w:t xml:space="preserve"> that the appeal procedure applies to a finding such as the o</w:t>
      </w:r>
      <w:r w:rsidR="00AB6C63" w:rsidRPr="00A61B21">
        <w:rPr>
          <w:rFonts w:ascii="Arial" w:hAnsi="Arial" w:cs="Arial"/>
        </w:rPr>
        <w:t>ne made by the PCC in this case, t</w:t>
      </w:r>
      <w:r w:rsidR="008F23A1" w:rsidRPr="00A61B21">
        <w:rPr>
          <w:rFonts w:ascii="Arial" w:hAnsi="Arial" w:cs="Arial"/>
        </w:rPr>
        <w:t xml:space="preserve">he result would be, if the PAJA applies, that the </w:t>
      </w:r>
      <w:r w:rsidR="00105BA2">
        <w:rPr>
          <w:rFonts w:ascii="Arial" w:hAnsi="Arial" w:cs="Arial"/>
        </w:rPr>
        <w:t>h</w:t>
      </w:r>
      <w:r w:rsidR="00C707FC">
        <w:rPr>
          <w:rFonts w:ascii="Arial" w:hAnsi="Arial" w:cs="Arial"/>
        </w:rPr>
        <w:t xml:space="preserve">igh </w:t>
      </w:r>
      <w:r w:rsidR="00105BA2">
        <w:rPr>
          <w:rFonts w:ascii="Arial" w:hAnsi="Arial" w:cs="Arial"/>
        </w:rPr>
        <w:t>c</w:t>
      </w:r>
      <w:r w:rsidR="00C707FC">
        <w:rPr>
          <w:rFonts w:ascii="Arial" w:hAnsi="Arial" w:cs="Arial"/>
        </w:rPr>
        <w:t>ourt</w:t>
      </w:r>
      <w:r w:rsidR="008F23A1" w:rsidRPr="00A61B21">
        <w:rPr>
          <w:rFonts w:ascii="Arial" w:hAnsi="Arial" w:cs="Arial"/>
        </w:rPr>
        <w:t xml:space="preserve"> was precluded from reviewing the PCC’</w:t>
      </w:r>
      <w:r w:rsidR="007A72C3" w:rsidRPr="00A61B21">
        <w:rPr>
          <w:rFonts w:ascii="Arial" w:hAnsi="Arial" w:cs="Arial"/>
        </w:rPr>
        <w:t>s</w:t>
      </w:r>
      <w:r w:rsidR="008F23A1" w:rsidRPr="00A61B21">
        <w:rPr>
          <w:rFonts w:ascii="Arial" w:hAnsi="Arial" w:cs="Arial"/>
        </w:rPr>
        <w:t xml:space="preserve"> decision</w:t>
      </w:r>
      <w:r w:rsidR="00543CA9" w:rsidRPr="00A61B21">
        <w:rPr>
          <w:rFonts w:ascii="Arial" w:hAnsi="Arial" w:cs="Arial"/>
        </w:rPr>
        <w:t>, and thus correctly dismissed the application</w:t>
      </w:r>
      <w:r w:rsidR="008F23A1" w:rsidRPr="00A61B21">
        <w:rPr>
          <w:rFonts w:ascii="Arial" w:hAnsi="Arial" w:cs="Arial"/>
        </w:rPr>
        <w:t>.</w:t>
      </w:r>
    </w:p>
    <w:p w14:paraId="0F8708C3" w14:textId="404293C1" w:rsidR="008F23A1" w:rsidRPr="007E0D22" w:rsidRDefault="008F23A1" w:rsidP="007E0D22">
      <w:pPr>
        <w:rPr>
          <w:rFonts w:ascii="Arial" w:hAnsi="Arial" w:cs="Arial"/>
          <w:sz w:val="20"/>
          <w:szCs w:val="20"/>
        </w:rPr>
      </w:pPr>
    </w:p>
    <w:p w14:paraId="55F9AF7A" w14:textId="3E50D717" w:rsidR="00D02739" w:rsidRPr="00A61B21" w:rsidRDefault="008F23A1" w:rsidP="00A24535">
      <w:pPr>
        <w:rPr>
          <w:rFonts w:ascii="Arial" w:hAnsi="Arial" w:cs="Arial"/>
        </w:rPr>
      </w:pPr>
      <w:r w:rsidRPr="00A61B21">
        <w:rPr>
          <w:rFonts w:ascii="Arial" w:hAnsi="Arial" w:cs="Arial"/>
        </w:rPr>
        <w:t>[1</w:t>
      </w:r>
      <w:r w:rsidR="00D55FF9" w:rsidRPr="00A61B21">
        <w:rPr>
          <w:rFonts w:ascii="Arial" w:hAnsi="Arial" w:cs="Arial"/>
        </w:rPr>
        <w:t>7</w:t>
      </w:r>
      <w:r w:rsidRPr="00A61B21">
        <w:rPr>
          <w:rFonts w:ascii="Arial" w:hAnsi="Arial" w:cs="Arial"/>
        </w:rPr>
        <w:t>]</w:t>
      </w:r>
      <w:r w:rsidR="00A24535" w:rsidRPr="00A61B21">
        <w:rPr>
          <w:rFonts w:ascii="Arial" w:hAnsi="Arial" w:cs="Arial"/>
        </w:rPr>
        <w:tab/>
      </w:r>
      <w:r w:rsidR="005A4F35" w:rsidRPr="00A61B21">
        <w:rPr>
          <w:rFonts w:ascii="Arial" w:hAnsi="Arial" w:cs="Arial"/>
        </w:rPr>
        <w:t xml:space="preserve">If, however, the PAJA does not apply, the position will be different. In order to determine whether or not the PAJA applies, it is necessary to consider the Constitutional </w:t>
      </w:r>
      <w:r w:rsidR="007A72C3" w:rsidRPr="00A61B21">
        <w:rPr>
          <w:rFonts w:ascii="Arial" w:hAnsi="Arial" w:cs="Arial"/>
        </w:rPr>
        <w:t xml:space="preserve">Court’s decision </w:t>
      </w:r>
      <w:r w:rsidR="005A4F35" w:rsidRPr="00A61B21">
        <w:rPr>
          <w:rFonts w:ascii="Arial" w:hAnsi="Arial" w:cs="Arial"/>
        </w:rPr>
        <w:t>in</w:t>
      </w:r>
      <w:r w:rsidRPr="00A61B21">
        <w:rPr>
          <w:rFonts w:ascii="Arial" w:hAnsi="Arial" w:cs="Arial"/>
        </w:rPr>
        <w:t xml:space="preserve"> </w:t>
      </w:r>
      <w:r w:rsidRPr="00A61B21">
        <w:rPr>
          <w:rFonts w:ascii="Arial" w:hAnsi="Arial" w:cs="Arial"/>
          <w:i/>
        </w:rPr>
        <w:t>State Information Technology Agency SOC</w:t>
      </w:r>
      <w:r w:rsidR="006C3B0D" w:rsidRPr="00A61B21">
        <w:rPr>
          <w:rFonts w:ascii="Arial" w:hAnsi="Arial" w:cs="Arial"/>
          <w:i/>
        </w:rPr>
        <w:t xml:space="preserve"> L</w:t>
      </w:r>
      <w:r w:rsidR="00C707FC">
        <w:rPr>
          <w:rFonts w:ascii="Arial" w:hAnsi="Arial" w:cs="Arial"/>
          <w:i/>
        </w:rPr>
        <w:t>td v Gijima Holdings</w:t>
      </w:r>
      <w:r w:rsidR="00BB0D04" w:rsidRPr="00A61B21">
        <w:rPr>
          <w:rFonts w:ascii="Arial" w:hAnsi="Arial" w:cs="Arial"/>
          <w:i/>
        </w:rPr>
        <w:t xml:space="preserve"> (</w:t>
      </w:r>
      <w:r w:rsidR="00460420" w:rsidRPr="00A61B21">
        <w:rPr>
          <w:rFonts w:ascii="Arial" w:hAnsi="Arial" w:cs="Arial"/>
          <w:i/>
        </w:rPr>
        <w:t>Pty) Ltd</w:t>
      </w:r>
      <w:r w:rsidR="007A72C3" w:rsidRPr="00A61B21">
        <w:rPr>
          <w:rFonts w:ascii="Arial" w:hAnsi="Arial" w:cs="Arial"/>
          <w:i/>
        </w:rPr>
        <w:t xml:space="preserve"> </w:t>
      </w:r>
      <w:r w:rsidR="007A72C3" w:rsidRPr="00A61B21">
        <w:rPr>
          <w:rFonts w:ascii="Arial" w:hAnsi="Arial" w:cs="Arial"/>
        </w:rPr>
        <w:t>(</w:t>
      </w:r>
      <w:r w:rsidR="007A72C3" w:rsidRPr="00A61B21">
        <w:rPr>
          <w:rFonts w:ascii="Arial" w:hAnsi="Arial" w:cs="Arial"/>
          <w:i/>
        </w:rPr>
        <w:t>Gijima</w:t>
      </w:r>
      <w:r w:rsidR="007A72C3" w:rsidRPr="00A61B21">
        <w:rPr>
          <w:rFonts w:ascii="Arial" w:hAnsi="Arial" w:cs="Arial"/>
        </w:rPr>
        <w:t>)</w:t>
      </w:r>
      <w:r w:rsidR="005A4F35" w:rsidRPr="00A61B21">
        <w:rPr>
          <w:rFonts w:ascii="Arial" w:hAnsi="Arial" w:cs="Arial"/>
        </w:rPr>
        <w:t>.</w:t>
      </w:r>
      <w:r w:rsidR="00BB0D04" w:rsidRPr="00A61B21">
        <w:rPr>
          <w:rStyle w:val="FootnoteReference"/>
          <w:rFonts w:ascii="Arial" w:hAnsi="Arial" w:cs="Arial"/>
        </w:rPr>
        <w:footnoteReference w:id="3"/>
      </w:r>
      <w:r w:rsidR="00BB0D04" w:rsidRPr="00A61B21">
        <w:rPr>
          <w:rFonts w:ascii="Arial" w:hAnsi="Arial" w:cs="Arial"/>
        </w:rPr>
        <w:t xml:space="preserve"> </w:t>
      </w:r>
      <w:r w:rsidR="00D02739" w:rsidRPr="00A61B21">
        <w:rPr>
          <w:rFonts w:ascii="Arial" w:hAnsi="Arial" w:cs="Arial"/>
        </w:rPr>
        <w:t>T</w:t>
      </w:r>
      <w:r w:rsidR="005A4F35" w:rsidRPr="00A61B21">
        <w:rPr>
          <w:rFonts w:ascii="Arial" w:hAnsi="Arial" w:cs="Arial"/>
        </w:rPr>
        <w:t>he court found that the PAJA did not apply when an organ of state reviewed its own decision, and that the pathway to review in these circumstances is the principle of legality that is sourced in s 1</w:t>
      </w:r>
      <w:r w:rsidR="005A4F35" w:rsidRPr="00A61B21">
        <w:rPr>
          <w:rFonts w:ascii="Arial" w:hAnsi="Arial" w:cs="Arial"/>
          <w:i/>
        </w:rPr>
        <w:t>(c)</w:t>
      </w:r>
      <w:r w:rsidR="005A4F35" w:rsidRPr="00A61B21">
        <w:rPr>
          <w:rFonts w:ascii="Arial" w:hAnsi="Arial" w:cs="Arial"/>
        </w:rPr>
        <w:t xml:space="preserve"> of the Constitution, the founding value of the rule of law. The reason for this conclusion was t</w:t>
      </w:r>
      <w:r w:rsidR="00C707FC">
        <w:rPr>
          <w:rFonts w:ascii="Arial" w:hAnsi="Arial" w:cs="Arial"/>
        </w:rPr>
        <w:t>hat s 33(1) of the Constitution</w:t>
      </w:r>
      <w:r w:rsidR="005A4F35" w:rsidRPr="00A61B21">
        <w:rPr>
          <w:rFonts w:ascii="Arial" w:hAnsi="Arial" w:cs="Arial"/>
        </w:rPr>
        <w:t>, to which the PAJA gives effect, ‘</w:t>
      </w:r>
      <w:r w:rsidR="00634341">
        <w:rPr>
          <w:rFonts w:ascii="Arial" w:hAnsi="Arial" w:cs="Arial"/>
        </w:rPr>
        <w:t xml:space="preserve"> . . . </w:t>
      </w:r>
      <w:r w:rsidR="005A4F35" w:rsidRPr="00A61B21">
        <w:rPr>
          <w:rFonts w:ascii="Arial" w:hAnsi="Arial" w:cs="Arial"/>
        </w:rPr>
        <w:t>creates rights enjoyed only by private persons’ and that ‘</w:t>
      </w:r>
      <w:r w:rsidR="00634341">
        <w:rPr>
          <w:rFonts w:ascii="Arial" w:hAnsi="Arial" w:cs="Arial"/>
        </w:rPr>
        <w:t xml:space="preserve"> . . . </w:t>
      </w:r>
      <w:r w:rsidR="005A4F35" w:rsidRPr="00A61B21">
        <w:rPr>
          <w:rFonts w:ascii="Arial" w:hAnsi="Arial" w:cs="Arial"/>
        </w:rPr>
        <w:t xml:space="preserve">the bearer of obligations under the section is the </w:t>
      </w:r>
      <w:r w:rsidR="00634341">
        <w:rPr>
          <w:rFonts w:ascii="Arial" w:hAnsi="Arial" w:cs="Arial"/>
        </w:rPr>
        <w:t>S</w:t>
      </w:r>
      <w:r w:rsidR="005A4F35" w:rsidRPr="00A61B21">
        <w:rPr>
          <w:rFonts w:ascii="Arial" w:hAnsi="Arial" w:cs="Arial"/>
        </w:rPr>
        <w:t>tate’.</w:t>
      </w:r>
      <w:r w:rsidR="005A4F35" w:rsidRPr="00A61B21">
        <w:rPr>
          <w:rStyle w:val="FootnoteReference"/>
          <w:rFonts w:ascii="Arial" w:hAnsi="Arial" w:cs="Arial"/>
        </w:rPr>
        <w:footnoteReference w:id="4"/>
      </w:r>
      <w:r w:rsidR="00D02739" w:rsidRPr="00A61B21">
        <w:rPr>
          <w:rFonts w:ascii="Arial" w:hAnsi="Arial" w:cs="Arial"/>
        </w:rPr>
        <w:t xml:space="preserve"> The court had earlier stressed that it was not considering ‘a scenario where an organ of state that is in a position akin to that of a private person (natural or juristic) may be seeking to review the decision of another organ of state’.</w:t>
      </w:r>
      <w:r w:rsidR="00D02739" w:rsidRPr="00A61B21">
        <w:rPr>
          <w:rStyle w:val="FootnoteReference"/>
          <w:rFonts w:ascii="Arial" w:hAnsi="Arial" w:cs="Arial"/>
        </w:rPr>
        <w:footnoteReference w:id="5"/>
      </w:r>
      <w:r w:rsidR="00D02739" w:rsidRPr="00A61B21">
        <w:rPr>
          <w:rFonts w:ascii="Arial" w:hAnsi="Arial" w:cs="Arial"/>
        </w:rPr>
        <w:t xml:space="preserve"> It thus left open the question </w:t>
      </w:r>
      <w:r w:rsidR="00D02739" w:rsidRPr="00A61B21">
        <w:rPr>
          <w:rFonts w:ascii="Arial" w:hAnsi="Arial" w:cs="Arial"/>
        </w:rPr>
        <w:lastRenderedPageBreak/>
        <w:t xml:space="preserve">that we are </w:t>
      </w:r>
      <w:r w:rsidR="00C707FC">
        <w:rPr>
          <w:rFonts w:ascii="Arial" w:hAnsi="Arial" w:cs="Arial"/>
        </w:rPr>
        <w:t>required to answer in this case, namely whether PAJA applies to one organ of state reviewing another organ of state.</w:t>
      </w:r>
    </w:p>
    <w:p w14:paraId="03937690" w14:textId="3E5869F8" w:rsidR="00D02739" w:rsidRPr="00A61B21" w:rsidRDefault="00D02739" w:rsidP="00A24535">
      <w:pPr>
        <w:rPr>
          <w:rFonts w:ascii="Arial" w:hAnsi="Arial" w:cs="Arial"/>
        </w:rPr>
      </w:pPr>
    </w:p>
    <w:p w14:paraId="7F62B2E4" w14:textId="070495EC" w:rsidR="00156CCE" w:rsidRPr="00A61B21" w:rsidRDefault="00672A53" w:rsidP="00A24535">
      <w:pPr>
        <w:rPr>
          <w:rFonts w:ascii="Arial" w:hAnsi="Arial" w:cs="Arial"/>
        </w:rPr>
      </w:pPr>
      <w:r w:rsidRPr="00A61B21">
        <w:rPr>
          <w:rFonts w:ascii="Arial" w:hAnsi="Arial" w:cs="Arial"/>
        </w:rPr>
        <w:t>[</w:t>
      </w:r>
      <w:r w:rsidR="00BB0D04" w:rsidRPr="00A61B21">
        <w:rPr>
          <w:rFonts w:ascii="Arial" w:hAnsi="Arial" w:cs="Arial"/>
        </w:rPr>
        <w:t>1</w:t>
      </w:r>
      <w:r w:rsidR="00D55FF9" w:rsidRPr="00A61B21">
        <w:rPr>
          <w:rFonts w:ascii="Arial" w:hAnsi="Arial" w:cs="Arial"/>
        </w:rPr>
        <w:t>8</w:t>
      </w:r>
      <w:r w:rsidR="00BB0D04" w:rsidRPr="00A61B21">
        <w:rPr>
          <w:rFonts w:ascii="Arial" w:hAnsi="Arial" w:cs="Arial"/>
        </w:rPr>
        <w:t>]</w:t>
      </w:r>
      <w:r w:rsidR="00BB0D04" w:rsidRPr="00A61B21">
        <w:rPr>
          <w:rFonts w:ascii="Arial" w:hAnsi="Arial" w:cs="Arial"/>
        </w:rPr>
        <w:tab/>
      </w:r>
      <w:r w:rsidR="007A72C3" w:rsidRPr="00A61B21">
        <w:rPr>
          <w:rFonts w:ascii="Arial" w:hAnsi="Arial" w:cs="Arial"/>
        </w:rPr>
        <w:t>I</w:t>
      </w:r>
      <w:r w:rsidR="00BB0D04" w:rsidRPr="00A61B21">
        <w:rPr>
          <w:rFonts w:ascii="Arial" w:hAnsi="Arial" w:cs="Arial"/>
        </w:rPr>
        <w:t>t was</w:t>
      </w:r>
      <w:r w:rsidR="00731CBC" w:rsidRPr="00A61B21">
        <w:rPr>
          <w:rFonts w:ascii="Arial" w:hAnsi="Arial" w:cs="Arial"/>
        </w:rPr>
        <w:t xml:space="preserve"> argued </w:t>
      </w:r>
      <w:r w:rsidR="007A72C3" w:rsidRPr="00A61B21">
        <w:rPr>
          <w:rFonts w:ascii="Arial" w:hAnsi="Arial" w:cs="Arial"/>
        </w:rPr>
        <w:t xml:space="preserve">on Dr Miller’s behalf </w:t>
      </w:r>
      <w:r w:rsidR="00731CBC" w:rsidRPr="00A61B21">
        <w:rPr>
          <w:rFonts w:ascii="Arial" w:hAnsi="Arial" w:cs="Arial"/>
        </w:rPr>
        <w:t xml:space="preserve">that </w:t>
      </w:r>
      <w:r w:rsidR="00731CBC" w:rsidRPr="00A61B21">
        <w:rPr>
          <w:rFonts w:ascii="Arial" w:hAnsi="Arial" w:cs="Arial"/>
          <w:i/>
        </w:rPr>
        <w:t xml:space="preserve">Gijima </w:t>
      </w:r>
      <w:r w:rsidR="00BB0D04" w:rsidRPr="00A61B21">
        <w:rPr>
          <w:rFonts w:ascii="Arial" w:hAnsi="Arial" w:cs="Arial"/>
        </w:rPr>
        <w:t xml:space="preserve">is </w:t>
      </w:r>
      <w:r w:rsidR="007A72C3" w:rsidRPr="00A61B21">
        <w:rPr>
          <w:rFonts w:ascii="Arial" w:hAnsi="Arial" w:cs="Arial"/>
        </w:rPr>
        <w:t xml:space="preserve">only </w:t>
      </w:r>
      <w:r w:rsidR="00BB0D04" w:rsidRPr="00A61B21">
        <w:rPr>
          <w:rFonts w:ascii="Arial" w:hAnsi="Arial" w:cs="Arial"/>
        </w:rPr>
        <w:t xml:space="preserve">applicable to self reviews and </w:t>
      </w:r>
      <w:r w:rsidR="00D02739" w:rsidRPr="00A61B21">
        <w:rPr>
          <w:rFonts w:ascii="Arial" w:hAnsi="Arial" w:cs="Arial"/>
        </w:rPr>
        <w:t xml:space="preserve">that it does not apply to </w:t>
      </w:r>
      <w:r w:rsidR="00BB0D04" w:rsidRPr="00A61B21">
        <w:rPr>
          <w:rFonts w:ascii="Arial" w:hAnsi="Arial" w:cs="Arial"/>
        </w:rPr>
        <w:t xml:space="preserve">this matter </w:t>
      </w:r>
      <w:r w:rsidR="00D02739" w:rsidRPr="00A61B21">
        <w:rPr>
          <w:rFonts w:ascii="Arial" w:hAnsi="Arial" w:cs="Arial"/>
        </w:rPr>
        <w:t xml:space="preserve">because it concerns </w:t>
      </w:r>
      <w:r w:rsidR="00156CCE" w:rsidRPr="00A61B21">
        <w:rPr>
          <w:rFonts w:ascii="Arial" w:hAnsi="Arial" w:cs="Arial"/>
        </w:rPr>
        <w:t>an organ of state reviewing the decision of another</w:t>
      </w:r>
      <w:r w:rsidR="00D02739" w:rsidRPr="00A61B21">
        <w:rPr>
          <w:rFonts w:ascii="Arial" w:hAnsi="Arial" w:cs="Arial"/>
        </w:rPr>
        <w:t xml:space="preserve"> organ of state</w:t>
      </w:r>
      <w:r w:rsidR="00731CBC" w:rsidRPr="00A61B21">
        <w:rPr>
          <w:rFonts w:ascii="Arial" w:hAnsi="Arial" w:cs="Arial"/>
        </w:rPr>
        <w:t>. I disagree</w:t>
      </w:r>
      <w:r w:rsidR="00156CCE" w:rsidRPr="00A61B21">
        <w:rPr>
          <w:rFonts w:ascii="Arial" w:hAnsi="Arial" w:cs="Arial"/>
        </w:rPr>
        <w:t xml:space="preserve">. Despite the fact that in </w:t>
      </w:r>
      <w:r w:rsidR="00156CCE" w:rsidRPr="00A61B21">
        <w:rPr>
          <w:rFonts w:ascii="Arial" w:hAnsi="Arial" w:cs="Arial"/>
          <w:i/>
        </w:rPr>
        <w:t>Gijima</w:t>
      </w:r>
      <w:r w:rsidR="00156CCE" w:rsidRPr="00A61B21">
        <w:rPr>
          <w:rFonts w:ascii="Arial" w:hAnsi="Arial" w:cs="Arial"/>
        </w:rPr>
        <w:t xml:space="preserve"> an organ of state sought to review and set aside its own decision, the Constitutional Court quite clearly reasoned that the rights under s 33 of the Constitution are enjoyed by private pe</w:t>
      </w:r>
      <w:r w:rsidR="00834121" w:rsidRPr="00A61B21">
        <w:rPr>
          <w:rFonts w:ascii="Arial" w:hAnsi="Arial" w:cs="Arial"/>
        </w:rPr>
        <w:t>rsons and not organs of state.</w:t>
      </w:r>
      <w:r w:rsidR="00D02739" w:rsidRPr="00A61B21">
        <w:rPr>
          <w:rFonts w:ascii="Arial" w:hAnsi="Arial" w:cs="Arial"/>
        </w:rPr>
        <w:t xml:space="preserve"> This reasoning applies, it seems to me, </w:t>
      </w:r>
      <w:r w:rsidR="0020017E" w:rsidRPr="00A61B21">
        <w:rPr>
          <w:rFonts w:ascii="Arial" w:hAnsi="Arial" w:cs="Arial"/>
        </w:rPr>
        <w:t xml:space="preserve">whether an organ of state is reviewing its own decision, as in </w:t>
      </w:r>
      <w:r w:rsidR="0020017E" w:rsidRPr="00A61B21">
        <w:rPr>
          <w:rFonts w:ascii="Arial" w:hAnsi="Arial" w:cs="Arial"/>
          <w:i/>
        </w:rPr>
        <w:t>Gijima</w:t>
      </w:r>
      <w:r w:rsidR="0020017E" w:rsidRPr="00A61B21">
        <w:rPr>
          <w:rFonts w:ascii="Arial" w:hAnsi="Arial" w:cs="Arial"/>
        </w:rPr>
        <w:t>, or reviewing the decision of another organ of state, as in this case.</w:t>
      </w:r>
    </w:p>
    <w:p w14:paraId="206402AE" w14:textId="77777777" w:rsidR="00156CCE" w:rsidRPr="00A61B21" w:rsidRDefault="00156CCE" w:rsidP="00A24535">
      <w:pPr>
        <w:rPr>
          <w:rFonts w:ascii="Arial" w:hAnsi="Arial" w:cs="Arial"/>
        </w:rPr>
      </w:pPr>
    </w:p>
    <w:p w14:paraId="4DFBE519" w14:textId="60E6160D" w:rsidR="00156CCE" w:rsidRPr="00A61B21" w:rsidRDefault="00D55FF9" w:rsidP="00156CCE">
      <w:pPr>
        <w:rPr>
          <w:rFonts w:ascii="Arial" w:hAnsi="Arial" w:cs="Arial"/>
        </w:rPr>
      </w:pPr>
      <w:r w:rsidRPr="00A61B21">
        <w:rPr>
          <w:rFonts w:ascii="Arial" w:hAnsi="Arial" w:cs="Arial"/>
        </w:rPr>
        <w:t>[19</w:t>
      </w:r>
      <w:r w:rsidR="00156CCE" w:rsidRPr="00A61B21">
        <w:rPr>
          <w:rFonts w:ascii="Arial" w:hAnsi="Arial" w:cs="Arial"/>
        </w:rPr>
        <w:t>]</w:t>
      </w:r>
      <w:r w:rsidR="00834121" w:rsidRPr="00A61B21">
        <w:rPr>
          <w:rFonts w:ascii="Arial" w:hAnsi="Arial" w:cs="Arial"/>
        </w:rPr>
        <w:tab/>
      </w:r>
      <w:r w:rsidR="0020017E" w:rsidRPr="00A61B21">
        <w:rPr>
          <w:rFonts w:ascii="Arial" w:hAnsi="Arial" w:cs="Arial"/>
        </w:rPr>
        <w:t>I am fortified in my conclusion by the</w:t>
      </w:r>
      <w:r w:rsidR="00156CCE" w:rsidRPr="00A61B21">
        <w:rPr>
          <w:rFonts w:ascii="Arial" w:hAnsi="Arial" w:cs="Arial"/>
        </w:rPr>
        <w:t xml:space="preserve"> view </w:t>
      </w:r>
      <w:r w:rsidR="0020017E" w:rsidRPr="00A61B21">
        <w:rPr>
          <w:rFonts w:ascii="Arial" w:hAnsi="Arial" w:cs="Arial"/>
        </w:rPr>
        <w:t>expressed</w:t>
      </w:r>
      <w:r w:rsidR="00156CCE" w:rsidRPr="00A61B21">
        <w:rPr>
          <w:rFonts w:ascii="Arial" w:hAnsi="Arial" w:cs="Arial"/>
        </w:rPr>
        <w:t xml:space="preserve"> by this Court in </w:t>
      </w:r>
      <w:r w:rsidR="00156CCE" w:rsidRPr="00A61B21">
        <w:rPr>
          <w:rFonts w:ascii="Arial" w:hAnsi="Arial" w:cs="Arial"/>
          <w:bCs/>
          <w:i/>
        </w:rPr>
        <w:t xml:space="preserve">Special Investigating Unit and Another v Engineered Systems Solutions (Pty) Ltd </w:t>
      </w:r>
      <w:r w:rsidR="00156CCE" w:rsidRPr="00A61B21">
        <w:rPr>
          <w:rFonts w:ascii="Arial" w:hAnsi="Arial" w:cs="Arial"/>
          <w:bCs/>
        </w:rPr>
        <w:t>when it remarked:</w:t>
      </w:r>
    </w:p>
    <w:p w14:paraId="5390C75F" w14:textId="75E8CB15" w:rsidR="00156CCE" w:rsidRPr="00A61B21" w:rsidRDefault="00156CCE" w:rsidP="00156CCE">
      <w:pPr>
        <w:rPr>
          <w:rFonts w:ascii="Arial" w:hAnsi="Arial" w:cs="Arial"/>
          <w:sz w:val="22"/>
          <w:szCs w:val="22"/>
        </w:rPr>
      </w:pPr>
      <w:r w:rsidRPr="00A61B21">
        <w:rPr>
          <w:rFonts w:ascii="Arial" w:hAnsi="Arial" w:cs="Arial"/>
          <w:sz w:val="22"/>
          <w:szCs w:val="22"/>
        </w:rPr>
        <w:t>‘Although the scenario seemed to have been left open</w:t>
      </w:r>
      <w:r w:rsidR="00B377FA" w:rsidRPr="00A61B21">
        <w:rPr>
          <w:rFonts w:ascii="Arial" w:hAnsi="Arial" w:cs="Arial"/>
          <w:sz w:val="22"/>
          <w:szCs w:val="22"/>
        </w:rPr>
        <w:t xml:space="preserve"> by the Constitutional Court in </w:t>
      </w:r>
      <w:r w:rsidRPr="00A61B21">
        <w:rPr>
          <w:rFonts w:ascii="Arial" w:hAnsi="Arial" w:cs="Arial"/>
          <w:i/>
          <w:iCs/>
          <w:sz w:val="22"/>
          <w:szCs w:val="22"/>
        </w:rPr>
        <w:t>Gijima</w:t>
      </w:r>
      <w:r w:rsidRPr="00A61B21">
        <w:rPr>
          <w:rFonts w:ascii="Arial" w:hAnsi="Arial" w:cs="Arial"/>
          <w:sz w:val="22"/>
          <w:szCs w:val="22"/>
        </w:rPr>
        <w:t>, it seems doubtful that the</w:t>
      </w:r>
      <w:r w:rsidR="00B377FA" w:rsidRPr="00A61B21">
        <w:rPr>
          <w:rFonts w:ascii="Arial" w:hAnsi="Arial" w:cs="Arial"/>
          <w:sz w:val="22"/>
          <w:szCs w:val="22"/>
        </w:rPr>
        <w:t xml:space="preserve"> SIU would be regarded as being </w:t>
      </w:r>
      <w:r w:rsidRPr="00A61B21">
        <w:rPr>
          <w:rFonts w:ascii="Arial" w:hAnsi="Arial" w:cs="Arial"/>
          <w:i/>
          <w:iCs/>
          <w:sz w:val="22"/>
          <w:szCs w:val="22"/>
        </w:rPr>
        <w:t>in a position ak</w:t>
      </w:r>
      <w:r w:rsidR="00B377FA" w:rsidRPr="00A61B21">
        <w:rPr>
          <w:rFonts w:ascii="Arial" w:hAnsi="Arial" w:cs="Arial"/>
          <w:i/>
          <w:iCs/>
          <w:sz w:val="22"/>
          <w:szCs w:val="22"/>
        </w:rPr>
        <w:t xml:space="preserve">in to that of a private person. </w:t>
      </w:r>
      <w:r w:rsidRPr="00A61B21">
        <w:rPr>
          <w:rFonts w:ascii="Arial" w:hAnsi="Arial" w:cs="Arial"/>
          <w:sz w:val="22"/>
          <w:szCs w:val="22"/>
        </w:rPr>
        <w:t xml:space="preserve">The Constitutional </w:t>
      </w:r>
      <w:r w:rsidR="00B377FA" w:rsidRPr="00A61B21">
        <w:rPr>
          <w:rFonts w:ascii="Arial" w:hAnsi="Arial" w:cs="Arial"/>
          <w:sz w:val="22"/>
          <w:szCs w:val="22"/>
        </w:rPr>
        <w:t xml:space="preserve">Court in </w:t>
      </w:r>
      <w:r w:rsidRPr="00A61B21">
        <w:rPr>
          <w:rFonts w:ascii="Arial" w:hAnsi="Arial" w:cs="Arial"/>
          <w:i/>
          <w:iCs/>
          <w:sz w:val="22"/>
          <w:szCs w:val="22"/>
        </w:rPr>
        <w:t>Gijima</w:t>
      </w:r>
      <w:r w:rsidR="00B377FA" w:rsidRPr="00A61B21">
        <w:rPr>
          <w:rFonts w:ascii="Arial" w:hAnsi="Arial" w:cs="Arial"/>
          <w:sz w:val="22"/>
          <w:szCs w:val="22"/>
        </w:rPr>
        <w:t xml:space="preserve"> </w:t>
      </w:r>
      <w:r w:rsidR="0020017E" w:rsidRPr="00A61B21">
        <w:rPr>
          <w:rFonts w:ascii="Arial" w:hAnsi="Arial" w:cs="Arial"/>
          <w:sz w:val="22"/>
          <w:szCs w:val="22"/>
        </w:rPr>
        <w:t>went on to say “</w:t>
      </w:r>
      <w:r w:rsidRPr="00A61B21">
        <w:rPr>
          <w:rFonts w:ascii="Arial" w:hAnsi="Arial" w:cs="Arial"/>
          <w:sz w:val="22"/>
          <w:szCs w:val="22"/>
        </w:rPr>
        <w:t>it seems inconsonant that the State can be both the beneficiary of the rights and the bearer of the corresponding obligation that is intended to give effect to the rights. This must, indeed, be an indication that only private person</w:t>
      </w:r>
      <w:r w:rsidR="0020017E" w:rsidRPr="00A61B21">
        <w:rPr>
          <w:rFonts w:ascii="Arial" w:hAnsi="Arial" w:cs="Arial"/>
          <w:sz w:val="22"/>
          <w:szCs w:val="22"/>
        </w:rPr>
        <w:t>s enjoy rights under section 33”</w:t>
      </w:r>
      <w:r w:rsidRPr="00A61B21">
        <w:rPr>
          <w:rFonts w:ascii="Arial" w:hAnsi="Arial" w:cs="Arial"/>
          <w:sz w:val="22"/>
          <w:szCs w:val="22"/>
        </w:rPr>
        <w:t>,</w:t>
      </w:r>
      <w:r w:rsidR="0020017E" w:rsidRPr="00A61B21">
        <w:rPr>
          <w:rFonts w:ascii="Arial" w:hAnsi="Arial" w:cs="Arial"/>
          <w:sz w:val="22"/>
          <w:szCs w:val="22"/>
        </w:rPr>
        <w:t xml:space="preserve"> </w:t>
      </w:r>
      <w:r w:rsidRPr="00A61B21">
        <w:rPr>
          <w:rFonts w:ascii="Arial" w:hAnsi="Arial" w:cs="Arial"/>
          <w:sz w:val="22"/>
          <w:szCs w:val="22"/>
        </w:rPr>
        <w:t>and by extension under PAJA.</w:t>
      </w:r>
      <w:r w:rsidR="0020017E" w:rsidRPr="00A61B21">
        <w:rPr>
          <w:rFonts w:ascii="Arial" w:hAnsi="Arial" w:cs="Arial"/>
          <w:sz w:val="22"/>
          <w:szCs w:val="22"/>
        </w:rPr>
        <w:t>’</w:t>
      </w:r>
      <w:r w:rsidR="005E418A">
        <w:rPr>
          <w:rStyle w:val="FootnoteReference"/>
          <w:rFonts w:ascii="Arial" w:hAnsi="Arial" w:cs="Arial"/>
          <w:sz w:val="22"/>
          <w:szCs w:val="22"/>
        </w:rPr>
        <w:footnoteReference w:id="6"/>
      </w:r>
      <w:r w:rsidRPr="00A61B21">
        <w:rPr>
          <w:rFonts w:ascii="Arial" w:hAnsi="Arial" w:cs="Arial"/>
          <w:sz w:val="22"/>
          <w:szCs w:val="22"/>
        </w:rPr>
        <w:t xml:space="preserve"> </w:t>
      </w:r>
    </w:p>
    <w:p w14:paraId="5B07B44E" w14:textId="77777777" w:rsidR="00731CBC" w:rsidRPr="00A61B21" w:rsidRDefault="00731CBC" w:rsidP="00A24535">
      <w:pPr>
        <w:rPr>
          <w:rFonts w:ascii="Arial" w:hAnsi="Arial" w:cs="Arial"/>
        </w:rPr>
      </w:pPr>
    </w:p>
    <w:p w14:paraId="14415917" w14:textId="7EC3E713" w:rsidR="0034191D" w:rsidRPr="00A61B21" w:rsidRDefault="00BB0D04" w:rsidP="00A24535">
      <w:pPr>
        <w:rPr>
          <w:rFonts w:ascii="Arial" w:hAnsi="Arial" w:cs="Arial"/>
        </w:rPr>
      </w:pPr>
      <w:r w:rsidRPr="00A61B21">
        <w:rPr>
          <w:rFonts w:ascii="Arial" w:hAnsi="Arial" w:cs="Arial"/>
        </w:rPr>
        <w:t>[</w:t>
      </w:r>
      <w:r w:rsidR="00D55FF9" w:rsidRPr="00A61B21">
        <w:rPr>
          <w:rFonts w:ascii="Arial" w:hAnsi="Arial" w:cs="Arial"/>
        </w:rPr>
        <w:t>20</w:t>
      </w:r>
      <w:r w:rsidRPr="00A61B21">
        <w:rPr>
          <w:rFonts w:ascii="Arial" w:hAnsi="Arial" w:cs="Arial"/>
        </w:rPr>
        <w:t>]</w:t>
      </w:r>
      <w:r w:rsidRPr="00A61B21">
        <w:rPr>
          <w:rFonts w:ascii="Arial" w:hAnsi="Arial" w:cs="Arial"/>
        </w:rPr>
        <w:tab/>
        <w:t xml:space="preserve">There is an exception </w:t>
      </w:r>
      <w:r w:rsidR="00672A53" w:rsidRPr="00A61B21">
        <w:rPr>
          <w:rFonts w:ascii="Arial" w:hAnsi="Arial" w:cs="Arial"/>
        </w:rPr>
        <w:t xml:space="preserve">to the </w:t>
      </w:r>
      <w:r w:rsidR="00672A53" w:rsidRPr="00A61B21">
        <w:rPr>
          <w:rFonts w:ascii="Arial" w:hAnsi="Arial" w:cs="Arial"/>
          <w:i/>
        </w:rPr>
        <w:t xml:space="preserve">Gijima </w:t>
      </w:r>
      <w:r w:rsidR="00672A53" w:rsidRPr="00A61B21">
        <w:rPr>
          <w:rFonts w:ascii="Arial" w:hAnsi="Arial" w:cs="Arial"/>
        </w:rPr>
        <w:t>rule. It is that if an organ of state applies to revie</w:t>
      </w:r>
      <w:r w:rsidR="00055DAF" w:rsidRPr="00A61B21">
        <w:rPr>
          <w:rFonts w:ascii="Arial" w:hAnsi="Arial" w:cs="Arial"/>
        </w:rPr>
        <w:t>w</w:t>
      </w:r>
      <w:r w:rsidR="00672A53" w:rsidRPr="00A61B21">
        <w:rPr>
          <w:rFonts w:ascii="Arial" w:hAnsi="Arial" w:cs="Arial"/>
        </w:rPr>
        <w:t xml:space="preserve"> an administrative action whe</w:t>
      </w:r>
      <w:r w:rsidR="008E65FD" w:rsidRPr="00A61B21">
        <w:rPr>
          <w:rFonts w:ascii="Arial" w:hAnsi="Arial" w:cs="Arial"/>
        </w:rPr>
        <w:t>n acting in the public interest</w:t>
      </w:r>
      <w:r w:rsidR="00672A53" w:rsidRPr="00A61B21">
        <w:rPr>
          <w:rFonts w:ascii="Arial" w:hAnsi="Arial" w:cs="Arial"/>
        </w:rPr>
        <w:t>, rather than in its own interest, it steps into the s</w:t>
      </w:r>
      <w:r w:rsidR="00460420" w:rsidRPr="00A61B21">
        <w:rPr>
          <w:rFonts w:ascii="Arial" w:hAnsi="Arial" w:cs="Arial"/>
        </w:rPr>
        <w:t>h</w:t>
      </w:r>
      <w:r w:rsidR="00672A53" w:rsidRPr="00A61B21">
        <w:rPr>
          <w:rFonts w:ascii="Arial" w:hAnsi="Arial" w:cs="Arial"/>
        </w:rPr>
        <w:t>oes of private persons, and then may use the PAJA.</w:t>
      </w:r>
      <w:r w:rsidR="00223FE1" w:rsidRPr="00A61B21">
        <w:rPr>
          <w:rStyle w:val="FootnoteReference"/>
          <w:rFonts w:ascii="Arial" w:hAnsi="Arial" w:cs="Arial"/>
        </w:rPr>
        <w:footnoteReference w:id="7"/>
      </w:r>
      <w:r w:rsidR="00834121" w:rsidRPr="00A61B21">
        <w:rPr>
          <w:rFonts w:ascii="Arial" w:hAnsi="Arial" w:cs="Arial"/>
        </w:rPr>
        <w:t xml:space="preserve"> </w:t>
      </w:r>
      <w:r w:rsidR="00672A53" w:rsidRPr="00A61B21">
        <w:rPr>
          <w:rFonts w:ascii="Arial" w:hAnsi="Arial" w:cs="Arial"/>
        </w:rPr>
        <w:t>But the ex</w:t>
      </w:r>
      <w:r w:rsidR="008836D3" w:rsidRPr="00A61B21">
        <w:rPr>
          <w:rFonts w:ascii="Arial" w:hAnsi="Arial" w:cs="Arial"/>
        </w:rPr>
        <w:t>c</w:t>
      </w:r>
      <w:r w:rsidR="00672A53" w:rsidRPr="00A61B21">
        <w:rPr>
          <w:rFonts w:ascii="Arial" w:hAnsi="Arial" w:cs="Arial"/>
        </w:rPr>
        <w:t xml:space="preserve">eption does not apply in this case. </w:t>
      </w:r>
      <w:r w:rsidR="005E418A">
        <w:rPr>
          <w:rFonts w:ascii="Arial" w:hAnsi="Arial" w:cs="Arial"/>
        </w:rPr>
        <w:t xml:space="preserve">Mr </w:t>
      </w:r>
      <w:r w:rsidR="00672A53" w:rsidRPr="00A61B21">
        <w:rPr>
          <w:rFonts w:ascii="Arial" w:hAnsi="Arial" w:cs="Arial"/>
        </w:rPr>
        <w:t xml:space="preserve">Mapholisa makes no claim to act in the public interest and clearly stated in the founding affidavit that he brought the review </w:t>
      </w:r>
      <w:r w:rsidR="00672A53" w:rsidRPr="00A61B21">
        <w:rPr>
          <w:rFonts w:ascii="Arial" w:hAnsi="Arial" w:cs="Arial"/>
        </w:rPr>
        <w:lastRenderedPageBreak/>
        <w:t>application ‘in my capa</w:t>
      </w:r>
      <w:r w:rsidR="00834121" w:rsidRPr="00A61B21">
        <w:rPr>
          <w:rFonts w:ascii="Arial" w:hAnsi="Arial" w:cs="Arial"/>
        </w:rPr>
        <w:t xml:space="preserve">city as </w:t>
      </w:r>
      <w:r w:rsidR="00834121" w:rsidRPr="007E0D22">
        <w:rPr>
          <w:rFonts w:ascii="Arial" w:hAnsi="Arial" w:cs="Arial"/>
          <w:i/>
        </w:rPr>
        <w:t>pro forma</w:t>
      </w:r>
      <w:r w:rsidR="00834121" w:rsidRPr="00A61B21">
        <w:rPr>
          <w:rFonts w:ascii="Arial" w:hAnsi="Arial" w:cs="Arial"/>
        </w:rPr>
        <w:t xml:space="preserve"> complainant’,</w:t>
      </w:r>
      <w:r w:rsidR="0020017E" w:rsidRPr="00A61B21">
        <w:rPr>
          <w:rFonts w:ascii="Arial" w:hAnsi="Arial" w:cs="Arial"/>
        </w:rPr>
        <w:t xml:space="preserve"> </w:t>
      </w:r>
      <w:r w:rsidR="00C707FC">
        <w:rPr>
          <w:rFonts w:ascii="Arial" w:hAnsi="Arial" w:cs="Arial"/>
        </w:rPr>
        <w:t xml:space="preserve">duly appointed as such by the </w:t>
      </w:r>
      <w:r w:rsidR="005E418A">
        <w:rPr>
          <w:rFonts w:ascii="Arial" w:hAnsi="Arial" w:cs="Arial"/>
        </w:rPr>
        <w:t>r</w:t>
      </w:r>
      <w:r w:rsidR="00C707FC">
        <w:rPr>
          <w:rFonts w:ascii="Arial" w:hAnsi="Arial" w:cs="Arial"/>
        </w:rPr>
        <w:t>egistrar</w:t>
      </w:r>
      <w:r w:rsidR="00672A53" w:rsidRPr="00A61B21">
        <w:rPr>
          <w:rFonts w:ascii="Arial" w:hAnsi="Arial" w:cs="Arial"/>
        </w:rPr>
        <w:t xml:space="preserve"> of the HPCSA.</w:t>
      </w:r>
    </w:p>
    <w:p w14:paraId="5CA4EF24" w14:textId="77777777" w:rsidR="00834121" w:rsidRPr="00A61B21" w:rsidRDefault="00834121" w:rsidP="00D25EC3">
      <w:pPr>
        <w:pStyle w:val="NormalWeb"/>
        <w:shd w:val="clear" w:color="auto" w:fill="FFFFFF"/>
        <w:spacing w:before="0" w:beforeAutospacing="0" w:after="0" w:afterAutospacing="0"/>
        <w:rPr>
          <w:rFonts w:ascii="Arial" w:hAnsi="Arial" w:cs="Arial"/>
          <w:lang w:val="en-GB" w:eastAsia="en-US"/>
        </w:rPr>
      </w:pPr>
    </w:p>
    <w:p w14:paraId="37D94D57" w14:textId="4390CB9B" w:rsidR="00672A53" w:rsidRPr="00A61B21" w:rsidRDefault="00BE1E7D" w:rsidP="00D25EC3">
      <w:pPr>
        <w:pStyle w:val="NormalWeb"/>
        <w:shd w:val="clear" w:color="auto" w:fill="FFFFFF"/>
        <w:spacing w:before="0" w:beforeAutospacing="0" w:after="0" w:afterAutospacing="0" w:line="480" w:lineRule="atLeast"/>
        <w:rPr>
          <w:rFonts w:ascii="Arial" w:hAnsi="Arial" w:cs="Arial"/>
        </w:rPr>
      </w:pPr>
      <w:r w:rsidRPr="00A61B21">
        <w:rPr>
          <w:rFonts w:ascii="Arial" w:hAnsi="Arial" w:cs="Arial"/>
        </w:rPr>
        <w:t>[</w:t>
      </w:r>
      <w:r w:rsidR="00D55FF9" w:rsidRPr="00A61B21">
        <w:rPr>
          <w:rFonts w:ascii="Arial" w:hAnsi="Arial" w:cs="Arial"/>
        </w:rPr>
        <w:t>21</w:t>
      </w:r>
      <w:r w:rsidR="00055DAF" w:rsidRPr="00A61B21">
        <w:rPr>
          <w:rFonts w:ascii="Arial" w:hAnsi="Arial" w:cs="Arial"/>
        </w:rPr>
        <w:t>]</w:t>
      </w:r>
      <w:r w:rsidR="00BB0D04" w:rsidRPr="00A61B21">
        <w:rPr>
          <w:rFonts w:ascii="Arial" w:hAnsi="Arial" w:cs="Arial"/>
        </w:rPr>
        <w:tab/>
      </w:r>
      <w:r w:rsidR="0020017E" w:rsidRPr="00A61B21">
        <w:rPr>
          <w:rFonts w:ascii="Arial" w:hAnsi="Arial" w:cs="Arial"/>
        </w:rPr>
        <w:t>As</w:t>
      </w:r>
      <w:r w:rsidR="00615CF4" w:rsidRPr="00A61B21">
        <w:rPr>
          <w:rFonts w:ascii="Arial" w:hAnsi="Arial" w:cs="Arial"/>
        </w:rPr>
        <w:t xml:space="preserve"> the pathway </w:t>
      </w:r>
      <w:r w:rsidR="0020017E" w:rsidRPr="00A61B21">
        <w:rPr>
          <w:rFonts w:ascii="Arial" w:hAnsi="Arial" w:cs="Arial"/>
        </w:rPr>
        <w:t>t</w:t>
      </w:r>
      <w:r w:rsidR="00615CF4" w:rsidRPr="00A61B21">
        <w:rPr>
          <w:rFonts w:ascii="Arial" w:hAnsi="Arial" w:cs="Arial"/>
        </w:rPr>
        <w:t xml:space="preserve">o review </w:t>
      </w:r>
      <w:r w:rsidR="0020017E" w:rsidRPr="00A61B21">
        <w:rPr>
          <w:rFonts w:ascii="Arial" w:hAnsi="Arial" w:cs="Arial"/>
        </w:rPr>
        <w:t>in this case is the principle of legality</w:t>
      </w:r>
      <w:r w:rsidR="003F6CCD">
        <w:rPr>
          <w:rFonts w:ascii="Arial" w:hAnsi="Arial" w:cs="Arial"/>
        </w:rPr>
        <w:t xml:space="preserve"> under </w:t>
      </w:r>
      <w:r w:rsidR="008E65FD" w:rsidRPr="00A61B21">
        <w:rPr>
          <w:rFonts w:ascii="Arial" w:hAnsi="Arial" w:cs="Arial"/>
        </w:rPr>
        <w:t>t</w:t>
      </w:r>
      <w:r w:rsidR="00E13040" w:rsidRPr="00A61B21">
        <w:rPr>
          <w:rFonts w:ascii="Arial" w:hAnsi="Arial" w:cs="Arial"/>
        </w:rPr>
        <w:t>he</w:t>
      </w:r>
      <w:r w:rsidR="00F070F2" w:rsidRPr="00A61B21">
        <w:rPr>
          <w:rFonts w:ascii="Arial" w:hAnsi="Arial" w:cs="Arial"/>
        </w:rPr>
        <w:t xml:space="preserve"> common law</w:t>
      </w:r>
      <w:r w:rsidR="0020017E" w:rsidRPr="00A61B21">
        <w:rPr>
          <w:rFonts w:ascii="Arial" w:hAnsi="Arial" w:cs="Arial"/>
        </w:rPr>
        <w:t>, and not the PAJA,</w:t>
      </w:r>
      <w:r w:rsidR="00F070F2" w:rsidRPr="00A61B21">
        <w:rPr>
          <w:rFonts w:ascii="Arial" w:hAnsi="Arial" w:cs="Arial"/>
        </w:rPr>
        <w:t xml:space="preserve"> regulates the p</w:t>
      </w:r>
      <w:r w:rsidR="00B377FA" w:rsidRPr="00A61B21">
        <w:rPr>
          <w:rFonts w:ascii="Arial" w:hAnsi="Arial" w:cs="Arial"/>
        </w:rPr>
        <w:t>rocedure</w:t>
      </w:r>
      <w:r w:rsidR="0020017E" w:rsidRPr="00A61B21">
        <w:rPr>
          <w:rFonts w:ascii="Arial" w:hAnsi="Arial" w:cs="Arial"/>
        </w:rPr>
        <w:t>.</w:t>
      </w:r>
      <w:r w:rsidR="00F070F2" w:rsidRPr="00A61B21">
        <w:rPr>
          <w:rFonts w:ascii="Arial" w:hAnsi="Arial" w:cs="Arial"/>
        </w:rPr>
        <w:t xml:space="preserve"> And the common law has no rule similar to s</w:t>
      </w:r>
      <w:r w:rsidR="0072301A" w:rsidRPr="00A61B21">
        <w:rPr>
          <w:rFonts w:ascii="Arial" w:hAnsi="Arial" w:cs="Arial"/>
        </w:rPr>
        <w:t xml:space="preserve"> 7</w:t>
      </w:r>
      <w:r w:rsidR="00077B41" w:rsidRPr="00A61B21">
        <w:rPr>
          <w:rFonts w:ascii="Arial" w:hAnsi="Arial" w:cs="Arial"/>
        </w:rPr>
        <w:t>(2) of the PAJA. In fact,</w:t>
      </w:r>
      <w:r w:rsidR="00F070F2" w:rsidRPr="00A61B21">
        <w:rPr>
          <w:rFonts w:ascii="Arial" w:hAnsi="Arial" w:cs="Arial"/>
        </w:rPr>
        <w:t xml:space="preserve"> the common law approach to the exhaustion of internal remedies is to the exact opposite effect</w:t>
      </w:r>
      <w:r w:rsidR="0020017E" w:rsidRPr="00A61B21">
        <w:rPr>
          <w:rFonts w:ascii="Arial" w:hAnsi="Arial" w:cs="Arial"/>
        </w:rPr>
        <w:t xml:space="preserve"> –</w:t>
      </w:r>
      <w:r w:rsidR="00F070F2" w:rsidRPr="00A61B21">
        <w:rPr>
          <w:rFonts w:ascii="Arial" w:hAnsi="Arial" w:cs="Arial"/>
        </w:rPr>
        <w:t xml:space="preserve"> that there is no duty to exhaust internal remedies, unless a statute places an obligation on a person to do so.</w:t>
      </w:r>
      <w:r w:rsidR="00223FE1" w:rsidRPr="00A61B21">
        <w:rPr>
          <w:rStyle w:val="FootnoteReference"/>
          <w:rFonts w:ascii="Arial" w:hAnsi="Arial" w:cs="Arial"/>
        </w:rPr>
        <w:footnoteReference w:id="8"/>
      </w:r>
      <w:r w:rsidR="00C52B42" w:rsidRPr="00A61B21">
        <w:rPr>
          <w:rFonts w:ascii="Arial" w:hAnsi="Arial" w:cs="Arial"/>
        </w:rPr>
        <w:t xml:space="preserve"> As Jafta J said in </w:t>
      </w:r>
      <w:r w:rsidR="00C52B42" w:rsidRPr="00A61B21">
        <w:rPr>
          <w:rFonts w:ascii="Arial" w:hAnsi="Arial" w:cs="Arial"/>
          <w:i/>
        </w:rPr>
        <w:t>Dengetenge Holdings (Pty) Ltd v Southern Sphere Mining &amp; Development Co Ltd</w:t>
      </w:r>
      <w:r w:rsidR="00C52B42" w:rsidRPr="00A61B21">
        <w:rPr>
          <w:rFonts w:ascii="Arial" w:hAnsi="Arial" w:cs="Arial"/>
        </w:rPr>
        <w:t>,</w:t>
      </w:r>
      <w:r w:rsidR="00C52B42" w:rsidRPr="00A61B21">
        <w:rPr>
          <w:rStyle w:val="FootnoteReference"/>
          <w:rFonts w:ascii="Arial" w:hAnsi="Arial" w:cs="Arial"/>
          <w:i/>
        </w:rPr>
        <w:t xml:space="preserve"> </w:t>
      </w:r>
      <w:r w:rsidR="00C52B42" w:rsidRPr="00A61B21">
        <w:rPr>
          <w:rStyle w:val="FootnoteReference"/>
          <w:rFonts w:ascii="Arial" w:hAnsi="Arial" w:cs="Arial"/>
          <w:i/>
        </w:rPr>
        <w:footnoteReference w:id="9"/>
      </w:r>
      <w:r w:rsidR="00C52B42" w:rsidRPr="00A61B21">
        <w:rPr>
          <w:rFonts w:ascii="Arial" w:hAnsi="Arial" w:cs="Arial"/>
        </w:rPr>
        <w:t xml:space="preserve"> where internal remedies are created, the common law rule is to the effect that ‘the choice was that of the aggrieived party either to pursue those remedies before going to a court of law or to proceed </w:t>
      </w:r>
      <w:r w:rsidR="003F6CCD">
        <w:rPr>
          <w:rFonts w:ascii="Arial" w:hAnsi="Arial" w:cs="Arial"/>
        </w:rPr>
        <w:t>straight</w:t>
      </w:r>
      <w:r w:rsidR="00C52B42" w:rsidRPr="00A61B21">
        <w:rPr>
          <w:rFonts w:ascii="Arial" w:hAnsi="Arial" w:cs="Arial"/>
        </w:rPr>
        <w:t xml:space="preserve"> to seek the review of the offending decision in court’. The mere fact that an internal remedy has been created does not give rise to an inference that there is a duty to use it.</w:t>
      </w:r>
      <w:r w:rsidR="00C52B42" w:rsidRPr="007E0D22">
        <w:rPr>
          <w:rStyle w:val="FootnoteReference"/>
          <w:rFonts w:ascii="Arial" w:hAnsi="Arial" w:cs="Arial"/>
          <w:sz w:val="20"/>
          <w:szCs w:val="20"/>
        </w:rPr>
        <w:footnoteReference w:id="10"/>
      </w:r>
    </w:p>
    <w:p w14:paraId="3F2C212F" w14:textId="60FE9851" w:rsidR="000A71A0" w:rsidRPr="00A61B21" w:rsidRDefault="000A71A0" w:rsidP="00A24535">
      <w:pPr>
        <w:rPr>
          <w:rFonts w:ascii="Arial" w:hAnsi="Arial" w:cs="Arial"/>
        </w:rPr>
      </w:pPr>
    </w:p>
    <w:p w14:paraId="27FB974A" w14:textId="4A70F4A2" w:rsidR="00077B41" w:rsidRPr="00A61B21" w:rsidRDefault="00BE1E7D" w:rsidP="00A24535">
      <w:pPr>
        <w:rPr>
          <w:rFonts w:ascii="Arial" w:hAnsi="Arial" w:cs="Arial"/>
        </w:rPr>
      </w:pPr>
      <w:r w:rsidRPr="00A61B21">
        <w:rPr>
          <w:rFonts w:ascii="Arial" w:hAnsi="Arial" w:cs="Arial"/>
        </w:rPr>
        <w:t>[</w:t>
      </w:r>
      <w:r w:rsidR="00D55FF9" w:rsidRPr="00A61B21">
        <w:rPr>
          <w:rFonts w:ascii="Arial" w:hAnsi="Arial" w:cs="Arial"/>
        </w:rPr>
        <w:t>22</w:t>
      </w:r>
      <w:r w:rsidR="00BB0D04" w:rsidRPr="00A61B21">
        <w:rPr>
          <w:rFonts w:ascii="Arial" w:hAnsi="Arial" w:cs="Arial"/>
        </w:rPr>
        <w:t>]</w:t>
      </w:r>
      <w:r w:rsidR="00BB0D04" w:rsidRPr="00A61B21">
        <w:rPr>
          <w:rFonts w:ascii="Arial" w:hAnsi="Arial" w:cs="Arial"/>
        </w:rPr>
        <w:tab/>
      </w:r>
      <w:r w:rsidR="00077B41" w:rsidRPr="00A61B21">
        <w:rPr>
          <w:rFonts w:ascii="Arial" w:hAnsi="Arial" w:cs="Arial"/>
        </w:rPr>
        <w:t>T</w:t>
      </w:r>
      <w:r w:rsidR="000A71A0" w:rsidRPr="00A61B21">
        <w:rPr>
          <w:rFonts w:ascii="Arial" w:hAnsi="Arial" w:cs="Arial"/>
        </w:rPr>
        <w:t xml:space="preserve">here is no indication in either the Act or the </w:t>
      </w:r>
      <w:r w:rsidR="00223FE1" w:rsidRPr="00A61B21">
        <w:rPr>
          <w:rFonts w:ascii="Arial" w:hAnsi="Arial" w:cs="Arial"/>
        </w:rPr>
        <w:t>R</w:t>
      </w:r>
      <w:r w:rsidR="000A71A0" w:rsidRPr="00A61B21">
        <w:rPr>
          <w:rFonts w:ascii="Arial" w:hAnsi="Arial" w:cs="Arial"/>
        </w:rPr>
        <w:t xml:space="preserve">egulations that parties to disciplinary proceedings must first exhaust internal remedies before they may apply to review administrative decisions taken against them. </w:t>
      </w:r>
      <w:r w:rsidR="00BB0D04" w:rsidRPr="00A61B21">
        <w:rPr>
          <w:rFonts w:ascii="Arial" w:hAnsi="Arial" w:cs="Arial"/>
        </w:rPr>
        <w:t>The result, is that</w:t>
      </w:r>
      <w:r w:rsidR="00077B41" w:rsidRPr="00A61B21">
        <w:rPr>
          <w:rFonts w:ascii="Arial" w:hAnsi="Arial" w:cs="Arial"/>
        </w:rPr>
        <w:t xml:space="preserve">, in this case, there was no obligation placed on </w:t>
      </w:r>
      <w:r w:rsidR="003F6CCD">
        <w:rPr>
          <w:rFonts w:ascii="Arial" w:hAnsi="Arial" w:cs="Arial"/>
        </w:rPr>
        <w:t xml:space="preserve">Mr </w:t>
      </w:r>
      <w:r w:rsidR="00077B41" w:rsidRPr="00A61B21">
        <w:rPr>
          <w:rFonts w:ascii="Arial" w:hAnsi="Arial" w:cs="Arial"/>
        </w:rPr>
        <w:t>Mapholisa by the legislation</w:t>
      </w:r>
      <w:r w:rsidR="0072301A" w:rsidRPr="00A61B21">
        <w:rPr>
          <w:rFonts w:ascii="Arial" w:hAnsi="Arial" w:cs="Arial"/>
        </w:rPr>
        <w:t xml:space="preserve"> to exhaust the internal remedy</w:t>
      </w:r>
      <w:r w:rsidR="00077B41" w:rsidRPr="00A61B21">
        <w:rPr>
          <w:rFonts w:ascii="Arial" w:hAnsi="Arial" w:cs="Arial"/>
        </w:rPr>
        <w:t>, and his failure to have done so di</w:t>
      </w:r>
      <w:r w:rsidR="00C707FC">
        <w:rPr>
          <w:rFonts w:ascii="Arial" w:hAnsi="Arial" w:cs="Arial"/>
        </w:rPr>
        <w:t xml:space="preserve">d not stand in the way of the </w:t>
      </w:r>
      <w:r w:rsidR="003F6CCD">
        <w:rPr>
          <w:rFonts w:ascii="Arial" w:hAnsi="Arial" w:cs="Arial"/>
        </w:rPr>
        <w:t>h</w:t>
      </w:r>
      <w:r w:rsidR="00C707FC">
        <w:rPr>
          <w:rFonts w:ascii="Arial" w:hAnsi="Arial" w:cs="Arial"/>
        </w:rPr>
        <w:t xml:space="preserve">igh </w:t>
      </w:r>
      <w:r w:rsidR="003F6CCD">
        <w:rPr>
          <w:rFonts w:ascii="Arial" w:hAnsi="Arial" w:cs="Arial"/>
        </w:rPr>
        <w:t>c</w:t>
      </w:r>
      <w:r w:rsidR="00C707FC">
        <w:rPr>
          <w:rFonts w:ascii="Arial" w:hAnsi="Arial" w:cs="Arial"/>
        </w:rPr>
        <w:t>ourt</w:t>
      </w:r>
      <w:r w:rsidR="00077B41" w:rsidRPr="00A61B21">
        <w:rPr>
          <w:rFonts w:ascii="Arial" w:hAnsi="Arial" w:cs="Arial"/>
        </w:rPr>
        <w:t xml:space="preserve"> revi</w:t>
      </w:r>
      <w:r w:rsidR="00C707FC">
        <w:rPr>
          <w:rFonts w:ascii="Arial" w:hAnsi="Arial" w:cs="Arial"/>
        </w:rPr>
        <w:t xml:space="preserve">ewing the decision of PCC. The </w:t>
      </w:r>
      <w:r w:rsidR="003F6CCD">
        <w:rPr>
          <w:rFonts w:ascii="Arial" w:hAnsi="Arial" w:cs="Arial"/>
        </w:rPr>
        <w:t>h</w:t>
      </w:r>
      <w:r w:rsidR="00C707FC">
        <w:rPr>
          <w:rFonts w:ascii="Arial" w:hAnsi="Arial" w:cs="Arial"/>
        </w:rPr>
        <w:t xml:space="preserve">igh </w:t>
      </w:r>
      <w:r w:rsidR="003F6CCD">
        <w:rPr>
          <w:rFonts w:ascii="Arial" w:hAnsi="Arial" w:cs="Arial"/>
        </w:rPr>
        <w:t>c</w:t>
      </w:r>
      <w:r w:rsidR="00C707FC">
        <w:rPr>
          <w:rFonts w:ascii="Arial" w:hAnsi="Arial" w:cs="Arial"/>
        </w:rPr>
        <w:t>ourt</w:t>
      </w:r>
      <w:r w:rsidR="00077B41" w:rsidRPr="00A61B21">
        <w:rPr>
          <w:rFonts w:ascii="Arial" w:hAnsi="Arial" w:cs="Arial"/>
        </w:rPr>
        <w:t xml:space="preserve"> erred in its conclusion to the contrary.</w:t>
      </w:r>
      <w:r w:rsidR="00C52B42" w:rsidRPr="00A61B21">
        <w:rPr>
          <w:rFonts w:ascii="Arial" w:hAnsi="Arial" w:cs="Arial"/>
        </w:rPr>
        <w:t xml:space="preserve"> </w:t>
      </w:r>
    </w:p>
    <w:p w14:paraId="5960C045" w14:textId="624A140F" w:rsidR="00BC5515" w:rsidRDefault="00BC5515" w:rsidP="00A24535">
      <w:pPr>
        <w:rPr>
          <w:rFonts w:ascii="Arial" w:hAnsi="Arial" w:cs="Arial"/>
        </w:rPr>
      </w:pPr>
    </w:p>
    <w:p w14:paraId="58316620" w14:textId="77777777" w:rsidR="00D725D8" w:rsidRPr="00A61B21" w:rsidRDefault="00D725D8" w:rsidP="00A24535">
      <w:pPr>
        <w:rPr>
          <w:rFonts w:ascii="Arial" w:hAnsi="Arial" w:cs="Arial"/>
        </w:rPr>
      </w:pPr>
    </w:p>
    <w:p w14:paraId="639B9C4E" w14:textId="6D54E1CB" w:rsidR="003B201A" w:rsidRPr="001E7F80" w:rsidRDefault="003B201A" w:rsidP="00A24535">
      <w:pPr>
        <w:rPr>
          <w:rFonts w:ascii="Arial" w:hAnsi="Arial" w:cs="Arial"/>
          <w:b/>
        </w:rPr>
      </w:pPr>
      <w:r w:rsidRPr="001E7F80">
        <w:rPr>
          <w:rFonts w:ascii="Arial" w:hAnsi="Arial" w:cs="Arial"/>
          <w:b/>
        </w:rPr>
        <w:lastRenderedPageBreak/>
        <w:t>The merits</w:t>
      </w:r>
      <w:r w:rsidR="00615CF4" w:rsidRPr="001E7F80">
        <w:rPr>
          <w:rFonts w:ascii="Arial" w:hAnsi="Arial" w:cs="Arial"/>
          <w:b/>
        </w:rPr>
        <w:t xml:space="preserve"> of the </w:t>
      </w:r>
      <w:r w:rsidR="00C52B42" w:rsidRPr="001E7F80">
        <w:rPr>
          <w:rFonts w:ascii="Arial" w:hAnsi="Arial" w:cs="Arial"/>
          <w:b/>
        </w:rPr>
        <w:t>review</w:t>
      </w:r>
    </w:p>
    <w:p w14:paraId="683C286E" w14:textId="5CB911A9" w:rsidR="003B201A" w:rsidRPr="00A61B21" w:rsidRDefault="00BE1E7D" w:rsidP="00A24535">
      <w:pPr>
        <w:rPr>
          <w:rFonts w:ascii="Arial" w:hAnsi="Arial" w:cs="Arial"/>
        </w:rPr>
      </w:pPr>
      <w:r w:rsidRPr="00A61B21">
        <w:rPr>
          <w:rFonts w:ascii="Arial" w:hAnsi="Arial" w:cs="Arial"/>
        </w:rPr>
        <w:t>[</w:t>
      </w:r>
      <w:r w:rsidR="00D55FF9" w:rsidRPr="00A61B21">
        <w:rPr>
          <w:rFonts w:ascii="Arial" w:hAnsi="Arial" w:cs="Arial"/>
        </w:rPr>
        <w:t>23</w:t>
      </w:r>
      <w:r w:rsidR="00BB0D04" w:rsidRPr="00A61B21">
        <w:rPr>
          <w:rFonts w:ascii="Arial" w:hAnsi="Arial" w:cs="Arial"/>
        </w:rPr>
        <w:t>]</w:t>
      </w:r>
      <w:r w:rsidR="00BB0D04" w:rsidRPr="00A61B21">
        <w:rPr>
          <w:rFonts w:ascii="Arial" w:hAnsi="Arial" w:cs="Arial"/>
        </w:rPr>
        <w:tab/>
      </w:r>
      <w:r w:rsidR="003B201A" w:rsidRPr="00A61B21">
        <w:rPr>
          <w:rFonts w:ascii="Arial" w:hAnsi="Arial" w:cs="Arial"/>
        </w:rPr>
        <w:t>As f</w:t>
      </w:r>
      <w:r w:rsidR="008A24FE" w:rsidRPr="00A61B21">
        <w:rPr>
          <w:rFonts w:ascii="Arial" w:hAnsi="Arial" w:cs="Arial"/>
        </w:rPr>
        <w:t xml:space="preserve">ar as the </w:t>
      </w:r>
      <w:r w:rsidR="008A24FE" w:rsidRPr="00A61B21">
        <w:rPr>
          <w:rFonts w:ascii="Arial" w:hAnsi="Arial" w:cs="Arial"/>
          <w:color w:val="000000" w:themeColor="text1"/>
        </w:rPr>
        <w:t>merits</w:t>
      </w:r>
      <w:r w:rsidR="008A24FE" w:rsidRPr="00A61B21">
        <w:rPr>
          <w:rFonts w:ascii="Arial" w:hAnsi="Arial" w:cs="Arial"/>
        </w:rPr>
        <w:t xml:space="preserve"> are concerned,</w:t>
      </w:r>
      <w:r w:rsidR="00B377FA" w:rsidRPr="00A61B21">
        <w:rPr>
          <w:rFonts w:ascii="Arial" w:hAnsi="Arial" w:cs="Arial"/>
        </w:rPr>
        <w:t xml:space="preserve"> </w:t>
      </w:r>
      <w:r w:rsidR="003B201A" w:rsidRPr="00A61B21">
        <w:rPr>
          <w:rFonts w:ascii="Arial" w:hAnsi="Arial" w:cs="Arial"/>
        </w:rPr>
        <w:t>I think the issue is clear. It is so that the person wh</w:t>
      </w:r>
      <w:r w:rsidR="00BB0D04" w:rsidRPr="00A61B21">
        <w:rPr>
          <w:rFonts w:ascii="Arial" w:hAnsi="Arial" w:cs="Arial"/>
        </w:rPr>
        <w:t>o lodged the complaint against</w:t>
      </w:r>
      <w:r w:rsidR="00822698" w:rsidRPr="00A61B21">
        <w:rPr>
          <w:rFonts w:ascii="Arial" w:hAnsi="Arial" w:cs="Arial"/>
        </w:rPr>
        <w:t xml:space="preserve"> Dr </w:t>
      </w:r>
      <w:r w:rsidR="003B201A" w:rsidRPr="00A61B21">
        <w:rPr>
          <w:rFonts w:ascii="Arial" w:hAnsi="Arial" w:cs="Arial"/>
        </w:rPr>
        <w:t>Miller was not his patient. But the defin</w:t>
      </w:r>
      <w:r w:rsidR="00BB0D04" w:rsidRPr="00A61B21">
        <w:rPr>
          <w:rFonts w:ascii="Arial" w:hAnsi="Arial" w:cs="Arial"/>
        </w:rPr>
        <w:t>ition of the term ‘complainant</w:t>
      </w:r>
      <w:r w:rsidR="00DC427B" w:rsidRPr="00A61B21">
        <w:rPr>
          <w:rFonts w:ascii="Arial" w:hAnsi="Arial" w:cs="Arial"/>
        </w:rPr>
        <w:t xml:space="preserve">’ </w:t>
      </w:r>
      <w:r w:rsidR="003B201A" w:rsidRPr="00A61B21">
        <w:rPr>
          <w:rFonts w:ascii="Arial" w:hAnsi="Arial" w:cs="Arial"/>
        </w:rPr>
        <w:t xml:space="preserve">in reg 1 of the </w:t>
      </w:r>
      <w:r w:rsidR="00DD690E">
        <w:rPr>
          <w:rFonts w:ascii="Arial" w:hAnsi="Arial" w:cs="Arial"/>
        </w:rPr>
        <w:t>r</w:t>
      </w:r>
      <w:r w:rsidR="003B201A" w:rsidRPr="00A61B21">
        <w:rPr>
          <w:rFonts w:ascii="Arial" w:hAnsi="Arial" w:cs="Arial"/>
        </w:rPr>
        <w:t>egulations is wide enough to include her. It defines that term to</w:t>
      </w:r>
      <w:r w:rsidR="00BB0D04" w:rsidRPr="00A61B21">
        <w:rPr>
          <w:rFonts w:ascii="Arial" w:hAnsi="Arial" w:cs="Arial"/>
        </w:rPr>
        <w:t xml:space="preserve"> mean ‘</w:t>
      </w:r>
      <w:r w:rsidR="003B201A" w:rsidRPr="00A61B21">
        <w:rPr>
          <w:rFonts w:ascii="Arial" w:hAnsi="Arial" w:cs="Arial"/>
        </w:rPr>
        <w:t xml:space="preserve">any natural or juristic person, group </w:t>
      </w:r>
      <w:r w:rsidR="00BB0D04" w:rsidRPr="00A61B21">
        <w:rPr>
          <w:rFonts w:ascii="Arial" w:hAnsi="Arial" w:cs="Arial"/>
        </w:rPr>
        <w:t>or professional body, including</w:t>
      </w:r>
      <w:r w:rsidR="003B201A" w:rsidRPr="00A61B21">
        <w:rPr>
          <w:rFonts w:ascii="Arial" w:hAnsi="Arial" w:cs="Arial"/>
        </w:rPr>
        <w:t xml:space="preserve"> a professional association or society, a t</w:t>
      </w:r>
      <w:r w:rsidR="0072301A" w:rsidRPr="00A61B21">
        <w:rPr>
          <w:rFonts w:ascii="Arial" w:hAnsi="Arial" w:cs="Arial"/>
        </w:rPr>
        <w:t>eaching or training institution</w:t>
      </w:r>
      <w:r w:rsidR="003B201A" w:rsidRPr="00A61B21">
        <w:rPr>
          <w:rFonts w:ascii="Arial" w:hAnsi="Arial" w:cs="Arial"/>
        </w:rPr>
        <w:t>, or any health care or related facility, that lodges a complaint against a registered person about alleged unprofessional conduct’.</w:t>
      </w:r>
    </w:p>
    <w:p w14:paraId="2CD3AEFC" w14:textId="451E1B91" w:rsidR="003B201A" w:rsidRPr="00A61B21" w:rsidRDefault="003B201A" w:rsidP="0072301A">
      <w:pPr>
        <w:rPr>
          <w:rFonts w:ascii="Arial" w:hAnsi="Arial" w:cs="Arial"/>
        </w:rPr>
      </w:pPr>
    </w:p>
    <w:p w14:paraId="7A999F7E" w14:textId="24565C94" w:rsidR="00822698" w:rsidRPr="00A61B21" w:rsidRDefault="00BE1E7D" w:rsidP="00A24535">
      <w:pPr>
        <w:rPr>
          <w:rFonts w:ascii="Arial" w:hAnsi="Arial" w:cs="Arial"/>
        </w:rPr>
      </w:pPr>
      <w:r w:rsidRPr="00A61B21">
        <w:rPr>
          <w:rFonts w:ascii="Arial" w:hAnsi="Arial" w:cs="Arial"/>
        </w:rPr>
        <w:t>[2</w:t>
      </w:r>
      <w:r w:rsidR="00D55FF9" w:rsidRPr="00A61B21">
        <w:rPr>
          <w:rFonts w:ascii="Arial" w:hAnsi="Arial" w:cs="Arial"/>
        </w:rPr>
        <w:t>4</w:t>
      </w:r>
      <w:r w:rsidR="00BB0D04" w:rsidRPr="00A61B21">
        <w:rPr>
          <w:rFonts w:ascii="Arial" w:hAnsi="Arial" w:cs="Arial"/>
        </w:rPr>
        <w:t>]</w:t>
      </w:r>
      <w:r w:rsidR="00BB0D04" w:rsidRPr="00A61B21">
        <w:rPr>
          <w:rFonts w:ascii="Arial" w:hAnsi="Arial" w:cs="Arial"/>
        </w:rPr>
        <w:tab/>
        <w:t>The PCC</w:t>
      </w:r>
      <w:r w:rsidR="00822698" w:rsidRPr="00A61B21">
        <w:rPr>
          <w:rFonts w:ascii="Arial" w:hAnsi="Arial" w:cs="Arial"/>
        </w:rPr>
        <w:t xml:space="preserve"> found that Ms Miller </w:t>
      </w:r>
      <w:r w:rsidR="00D25EC3" w:rsidRPr="00A61B21">
        <w:rPr>
          <w:rFonts w:ascii="Arial" w:hAnsi="Arial" w:cs="Arial"/>
        </w:rPr>
        <w:t>did</w:t>
      </w:r>
      <w:r w:rsidR="00822698" w:rsidRPr="00A61B21">
        <w:rPr>
          <w:rFonts w:ascii="Arial" w:hAnsi="Arial" w:cs="Arial"/>
        </w:rPr>
        <w:t xml:space="preserve"> not </w:t>
      </w:r>
      <w:r w:rsidR="00D25EC3" w:rsidRPr="00A61B21">
        <w:rPr>
          <w:rFonts w:ascii="Arial" w:hAnsi="Arial" w:cs="Arial"/>
        </w:rPr>
        <w:t>h</w:t>
      </w:r>
      <w:r w:rsidR="00822698" w:rsidRPr="00A61B21">
        <w:rPr>
          <w:rFonts w:ascii="Arial" w:hAnsi="Arial" w:cs="Arial"/>
        </w:rPr>
        <w:t>a</w:t>
      </w:r>
      <w:r w:rsidR="00D25EC3" w:rsidRPr="00A61B21">
        <w:rPr>
          <w:rFonts w:ascii="Arial" w:hAnsi="Arial" w:cs="Arial"/>
        </w:rPr>
        <w:t xml:space="preserve">ve </w:t>
      </w:r>
      <w:r w:rsidR="00822698" w:rsidRPr="007E0D22">
        <w:rPr>
          <w:rFonts w:ascii="Arial" w:hAnsi="Arial" w:cs="Arial"/>
          <w:i/>
        </w:rPr>
        <w:t>locus standi</w:t>
      </w:r>
      <w:r w:rsidR="00D25EC3" w:rsidRPr="00A61B21">
        <w:rPr>
          <w:rFonts w:ascii="Arial" w:hAnsi="Arial" w:cs="Arial"/>
        </w:rPr>
        <w:t xml:space="preserve"> to lay a complaint</w:t>
      </w:r>
      <w:r w:rsidR="00822698" w:rsidRPr="00A61B21">
        <w:rPr>
          <w:rFonts w:ascii="Arial" w:hAnsi="Arial" w:cs="Arial"/>
        </w:rPr>
        <w:t xml:space="preserve">. </w:t>
      </w:r>
      <w:r w:rsidR="0072301A" w:rsidRPr="00A61B21">
        <w:rPr>
          <w:rFonts w:ascii="Arial" w:hAnsi="Arial" w:cs="Arial"/>
        </w:rPr>
        <w:t>In terms of</w:t>
      </w:r>
      <w:r w:rsidR="00DC427B" w:rsidRPr="00A61B21">
        <w:rPr>
          <w:rFonts w:ascii="Arial" w:hAnsi="Arial" w:cs="Arial"/>
        </w:rPr>
        <w:t xml:space="preserve"> s</w:t>
      </w:r>
      <w:r w:rsidR="00A24535" w:rsidRPr="00A61B21">
        <w:rPr>
          <w:rFonts w:ascii="Arial" w:hAnsi="Arial" w:cs="Arial"/>
        </w:rPr>
        <w:t xml:space="preserve"> 3</w:t>
      </w:r>
      <w:r w:rsidR="00822698" w:rsidRPr="00A61B21">
        <w:rPr>
          <w:rFonts w:ascii="Arial" w:hAnsi="Arial" w:cs="Arial"/>
          <w:i/>
        </w:rPr>
        <w:t>(k)</w:t>
      </w:r>
      <w:r w:rsidR="00822698" w:rsidRPr="00A61B21">
        <w:rPr>
          <w:rFonts w:ascii="Arial" w:hAnsi="Arial" w:cs="Arial"/>
        </w:rPr>
        <w:t xml:space="preserve"> of the Act</w:t>
      </w:r>
      <w:r w:rsidR="00DD690E">
        <w:rPr>
          <w:rFonts w:ascii="Arial" w:hAnsi="Arial" w:cs="Arial"/>
        </w:rPr>
        <w:t>,</w:t>
      </w:r>
      <w:r w:rsidR="00822698" w:rsidRPr="00A61B21">
        <w:rPr>
          <w:rFonts w:ascii="Arial" w:hAnsi="Arial" w:cs="Arial"/>
        </w:rPr>
        <w:t xml:space="preserve"> one of the objects and functions of the </w:t>
      </w:r>
      <w:r w:rsidR="00DC427B" w:rsidRPr="00A61B21">
        <w:rPr>
          <w:rFonts w:ascii="Arial" w:hAnsi="Arial" w:cs="Arial"/>
        </w:rPr>
        <w:t xml:space="preserve">the PCC </w:t>
      </w:r>
      <w:r w:rsidR="00822698" w:rsidRPr="00A61B21">
        <w:rPr>
          <w:rFonts w:ascii="Arial" w:hAnsi="Arial" w:cs="Arial"/>
        </w:rPr>
        <w:t xml:space="preserve">is to exercise its powers and discharge its responsibilities in the best interest of the public and in accordance with national health policy determined by the Minister. </w:t>
      </w:r>
      <w:r w:rsidR="00D25EC3" w:rsidRPr="00A61B21">
        <w:rPr>
          <w:rFonts w:ascii="Arial" w:hAnsi="Arial" w:cs="Arial"/>
        </w:rPr>
        <w:t>The definition of complainant in reg 1 must be interpreted in this context. A wide group of persons and bodies are identified as potential complainants so as to protect the public effectively from professional misconduct by health professionals, and thus further the public interest.</w:t>
      </w:r>
    </w:p>
    <w:p w14:paraId="3E884392" w14:textId="3BB2952E" w:rsidR="00822698" w:rsidRPr="00A61B21" w:rsidRDefault="00822698" w:rsidP="00A24535">
      <w:pPr>
        <w:rPr>
          <w:rFonts w:ascii="Arial" w:hAnsi="Arial" w:cs="Arial"/>
        </w:rPr>
      </w:pPr>
    </w:p>
    <w:p w14:paraId="2F1451D5" w14:textId="202A62FA" w:rsidR="003B201A" w:rsidRPr="00A61B21" w:rsidRDefault="00BE1E7D" w:rsidP="00A24535">
      <w:pPr>
        <w:rPr>
          <w:rFonts w:ascii="Arial" w:hAnsi="Arial" w:cs="Arial"/>
        </w:rPr>
      </w:pPr>
      <w:r w:rsidRPr="00A61B21">
        <w:rPr>
          <w:rFonts w:ascii="Arial" w:hAnsi="Arial" w:cs="Arial"/>
        </w:rPr>
        <w:t>[2</w:t>
      </w:r>
      <w:r w:rsidR="00D55FF9" w:rsidRPr="00A61B21">
        <w:rPr>
          <w:rFonts w:ascii="Arial" w:hAnsi="Arial" w:cs="Arial"/>
        </w:rPr>
        <w:t>5</w:t>
      </w:r>
      <w:r w:rsidR="00A24535" w:rsidRPr="00A61B21">
        <w:rPr>
          <w:rFonts w:ascii="Arial" w:hAnsi="Arial" w:cs="Arial"/>
        </w:rPr>
        <w:t>]</w:t>
      </w:r>
      <w:r w:rsidR="00A24535" w:rsidRPr="00A61B21">
        <w:rPr>
          <w:rFonts w:ascii="Arial" w:hAnsi="Arial" w:cs="Arial"/>
        </w:rPr>
        <w:tab/>
      </w:r>
      <w:r w:rsidR="00A87FD2" w:rsidRPr="00A61B21">
        <w:rPr>
          <w:rFonts w:ascii="Arial" w:hAnsi="Arial" w:cs="Arial"/>
        </w:rPr>
        <w:t xml:space="preserve">The PCC seems to have been confused between </w:t>
      </w:r>
      <w:r w:rsidR="00D25EC3" w:rsidRPr="00A61B21">
        <w:rPr>
          <w:rFonts w:ascii="Arial" w:hAnsi="Arial" w:cs="Arial"/>
        </w:rPr>
        <w:t xml:space="preserve">two distinct concepts – </w:t>
      </w:r>
      <w:r w:rsidR="00A87FD2" w:rsidRPr="00A61B21">
        <w:rPr>
          <w:rFonts w:ascii="Arial" w:hAnsi="Arial" w:cs="Arial"/>
        </w:rPr>
        <w:t>who may lodge a complaint, on the one hand, and</w:t>
      </w:r>
      <w:r w:rsidR="00C707FC">
        <w:rPr>
          <w:rFonts w:ascii="Arial" w:hAnsi="Arial" w:cs="Arial"/>
        </w:rPr>
        <w:t xml:space="preserve"> how a complaint may be proved on the other.</w:t>
      </w:r>
      <w:r w:rsidR="00A87FD2" w:rsidRPr="00A61B21">
        <w:rPr>
          <w:rFonts w:ascii="Arial" w:hAnsi="Arial" w:cs="Arial"/>
        </w:rPr>
        <w:t xml:space="preserve"> </w:t>
      </w:r>
      <w:r w:rsidR="00D25EC3" w:rsidRPr="00A61B21">
        <w:rPr>
          <w:rFonts w:ascii="Arial" w:hAnsi="Arial" w:cs="Arial"/>
        </w:rPr>
        <w:t>Its</w:t>
      </w:r>
      <w:r w:rsidR="00A87FD2" w:rsidRPr="00A61B21">
        <w:rPr>
          <w:rFonts w:ascii="Arial" w:hAnsi="Arial" w:cs="Arial"/>
        </w:rPr>
        <w:t xml:space="preserve"> reasoning appears to have been that because the complainant was not the victim of Dr Miller’s alleged unprofessional conduct, and thus could not give admissible evidence to prove it, she had no</w:t>
      </w:r>
      <w:r w:rsidR="00A24535" w:rsidRPr="00A61B21">
        <w:rPr>
          <w:rFonts w:ascii="Arial" w:hAnsi="Arial" w:cs="Arial"/>
        </w:rPr>
        <w:t xml:space="preserve"> standing to lodge a complaint.</w:t>
      </w:r>
      <w:r w:rsidR="00A87FD2" w:rsidRPr="00A61B21">
        <w:rPr>
          <w:rFonts w:ascii="Arial" w:hAnsi="Arial" w:cs="Arial"/>
        </w:rPr>
        <w:t xml:space="preserve"> In this the PCC made an error of law that was material, with the result tha</w:t>
      </w:r>
      <w:r w:rsidR="00DD690E">
        <w:rPr>
          <w:rFonts w:ascii="Arial" w:hAnsi="Arial" w:cs="Arial"/>
        </w:rPr>
        <w:t>t</w:t>
      </w:r>
      <w:r w:rsidR="00A87FD2" w:rsidRPr="00A61B21">
        <w:rPr>
          <w:rFonts w:ascii="Arial" w:hAnsi="Arial" w:cs="Arial"/>
        </w:rPr>
        <w:t xml:space="preserve"> the decision to stop the disciplinary process was invalid.</w:t>
      </w:r>
    </w:p>
    <w:p w14:paraId="2B1D1FD4" w14:textId="6B306477" w:rsidR="00B377FA" w:rsidRPr="00A61B21" w:rsidRDefault="00D725D8" w:rsidP="00A24535">
      <w:pPr>
        <w:rPr>
          <w:rFonts w:ascii="Arial" w:hAnsi="Arial" w:cs="Arial"/>
        </w:rPr>
      </w:pPr>
      <w:r>
        <w:rPr>
          <w:rFonts w:ascii="Arial" w:hAnsi="Arial" w:cs="Arial"/>
        </w:rPr>
        <w:t xml:space="preserve"> </w:t>
      </w:r>
    </w:p>
    <w:p w14:paraId="4B1C9D0F" w14:textId="2D22CCF2" w:rsidR="00A87FD2" w:rsidRPr="00A61B21" w:rsidRDefault="00A87FD2" w:rsidP="00A24535">
      <w:pPr>
        <w:rPr>
          <w:rFonts w:ascii="Arial" w:hAnsi="Arial" w:cs="Arial"/>
          <w:b/>
        </w:rPr>
      </w:pPr>
      <w:r w:rsidRPr="00A61B21">
        <w:rPr>
          <w:rFonts w:ascii="Arial" w:hAnsi="Arial" w:cs="Arial"/>
          <w:b/>
        </w:rPr>
        <w:t>Conclusion</w:t>
      </w:r>
    </w:p>
    <w:p w14:paraId="14C0149B" w14:textId="44999223" w:rsidR="00A87FD2" w:rsidRPr="00A61B21" w:rsidRDefault="00BE1E7D" w:rsidP="00A24535">
      <w:pPr>
        <w:rPr>
          <w:rFonts w:ascii="Arial" w:hAnsi="Arial" w:cs="Arial"/>
        </w:rPr>
      </w:pPr>
      <w:r w:rsidRPr="00A61B21">
        <w:rPr>
          <w:rFonts w:ascii="Arial" w:hAnsi="Arial" w:cs="Arial"/>
        </w:rPr>
        <w:t>[2</w:t>
      </w:r>
      <w:r w:rsidR="00D55FF9" w:rsidRPr="00A61B21">
        <w:rPr>
          <w:rFonts w:ascii="Arial" w:hAnsi="Arial" w:cs="Arial"/>
        </w:rPr>
        <w:t>6</w:t>
      </w:r>
      <w:r w:rsidR="00A24535" w:rsidRPr="00A61B21">
        <w:rPr>
          <w:rFonts w:ascii="Arial" w:hAnsi="Arial" w:cs="Arial"/>
        </w:rPr>
        <w:t>]</w:t>
      </w:r>
      <w:r w:rsidR="00A24535" w:rsidRPr="00A61B21">
        <w:rPr>
          <w:rFonts w:ascii="Arial" w:hAnsi="Arial" w:cs="Arial"/>
        </w:rPr>
        <w:tab/>
      </w:r>
      <w:r w:rsidR="00DC427B" w:rsidRPr="00A61B21">
        <w:rPr>
          <w:rFonts w:ascii="Arial" w:hAnsi="Arial" w:cs="Arial"/>
        </w:rPr>
        <w:t>In my view,</w:t>
      </w:r>
      <w:r w:rsidR="00A87FD2" w:rsidRPr="00A61B21">
        <w:rPr>
          <w:rFonts w:ascii="Arial" w:hAnsi="Arial" w:cs="Arial"/>
        </w:rPr>
        <w:t xml:space="preserve"> </w:t>
      </w:r>
      <w:r w:rsidR="00DD690E">
        <w:rPr>
          <w:rFonts w:ascii="Arial" w:hAnsi="Arial" w:cs="Arial"/>
        </w:rPr>
        <w:t xml:space="preserve">Mr </w:t>
      </w:r>
      <w:r w:rsidR="00A87FD2" w:rsidRPr="00A61B21">
        <w:rPr>
          <w:rFonts w:ascii="Arial" w:hAnsi="Arial" w:cs="Arial"/>
        </w:rPr>
        <w:t xml:space="preserve">Mapholisa has established reasonable prospects of success, </w:t>
      </w:r>
      <w:r w:rsidR="00294A5A" w:rsidRPr="00A61B21">
        <w:rPr>
          <w:rFonts w:ascii="Arial" w:hAnsi="Arial" w:cs="Arial"/>
        </w:rPr>
        <w:t xml:space="preserve">with the result that his application for leave to appeal must succeed. He has also established </w:t>
      </w:r>
      <w:r w:rsidR="00A87FD2" w:rsidRPr="00A61B21">
        <w:rPr>
          <w:rFonts w:ascii="Arial" w:hAnsi="Arial" w:cs="Arial"/>
        </w:rPr>
        <w:t xml:space="preserve">that </w:t>
      </w:r>
      <w:r w:rsidR="00C707FC">
        <w:rPr>
          <w:rFonts w:ascii="Arial" w:hAnsi="Arial" w:cs="Arial"/>
        </w:rPr>
        <w:t xml:space="preserve">the </w:t>
      </w:r>
      <w:r w:rsidR="00DD690E">
        <w:rPr>
          <w:rFonts w:ascii="Arial" w:hAnsi="Arial" w:cs="Arial"/>
        </w:rPr>
        <w:t>h</w:t>
      </w:r>
      <w:r w:rsidR="00C707FC">
        <w:rPr>
          <w:rFonts w:ascii="Arial" w:hAnsi="Arial" w:cs="Arial"/>
        </w:rPr>
        <w:t xml:space="preserve">igh </w:t>
      </w:r>
      <w:r w:rsidR="00DD690E">
        <w:rPr>
          <w:rFonts w:ascii="Arial" w:hAnsi="Arial" w:cs="Arial"/>
        </w:rPr>
        <w:t>c</w:t>
      </w:r>
      <w:r w:rsidR="00C707FC">
        <w:rPr>
          <w:rFonts w:ascii="Arial" w:hAnsi="Arial" w:cs="Arial"/>
        </w:rPr>
        <w:t>ourt</w:t>
      </w:r>
      <w:r w:rsidR="00294A5A" w:rsidRPr="00A61B21">
        <w:rPr>
          <w:rFonts w:ascii="Arial" w:hAnsi="Arial" w:cs="Arial"/>
        </w:rPr>
        <w:t xml:space="preserve"> erred in dismissing his application because he had not exhausted the internal remedy of an appeal, and that the PCC’s decision was tainted by irregularity. He must therefore succeed in his appeal. </w:t>
      </w:r>
    </w:p>
    <w:p w14:paraId="2C3DCDA0" w14:textId="77777777" w:rsidR="00294A5A" w:rsidRPr="00A61B21" w:rsidRDefault="00294A5A" w:rsidP="00A24535">
      <w:pPr>
        <w:rPr>
          <w:rFonts w:ascii="Arial" w:hAnsi="Arial" w:cs="Arial"/>
        </w:rPr>
      </w:pPr>
    </w:p>
    <w:p w14:paraId="75322472" w14:textId="4A9DB4AD" w:rsidR="00A87FD2" w:rsidRPr="00A61B21" w:rsidRDefault="00BE1E7D" w:rsidP="00A24535">
      <w:pPr>
        <w:rPr>
          <w:rFonts w:ascii="Arial" w:hAnsi="Arial" w:cs="Arial"/>
        </w:rPr>
      </w:pPr>
      <w:r w:rsidRPr="00A61B21">
        <w:rPr>
          <w:rFonts w:ascii="Arial" w:hAnsi="Arial" w:cs="Arial"/>
        </w:rPr>
        <w:lastRenderedPageBreak/>
        <w:t>[2</w:t>
      </w:r>
      <w:r w:rsidR="00D55FF9" w:rsidRPr="00A61B21">
        <w:rPr>
          <w:rFonts w:ascii="Arial" w:hAnsi="Arial" w:cs="Arial"/>
        </w:rPr>
        <w:t>7</w:t>
      </w:r>
      <w:r w:rsidR="00A24535" w:rsidRPr="00A61B21">
        <w:rPr>
          <w:rFonts w:ascii="Arial" w:hAnsi="Arial" w:cs="Arial"/>
        </w:rPr>
        <w:t>]</w:t>
      </w:r>
      <w:r w:rsidR="00A24535" w:rsidRPr="00A61B21">
        <w:rPr>
          <w:rFonts w:ascii="Arial" w:hAnsi="Arial" w:cs="Arial"/>
        </w:rPr>
        <w:tab/>
      </w:r>
      <w:r w:rsidR="00AB7EFF" w:rsidRPr="00A61B21">
        <w:rPr>
          <w:rFonts w:ascii="Arial" w:hAnsi="Arial" w:cs="Arial"/>
        </w:rPr>
        <w:t>I</w:t>
      </w:r>
      <w:r w:rsidR="00C707FC">
        <w:rPr>
          <w:rFonts w:ascii="Arial" w:hAnsi="Arial" w:cs="Arial"/>
        </w:rPr>
        <w:t>n the result I</w:t>
      </w:r>
      <w:r w:rsidR="00AB7EFF" w:rsidRPr="00A61B21">
        <w:rPr>
          <w:rFonts w:ascii="Arial" w:hAnsi="Arial" w:cs="Arial"/>
        </w:rPr>
        <w:t xml:space="preserve"> </w:t>
      </w:r>
      <w:r w:rsidR="009E0E78" w:rsidRPr="00A61B21">
        <w:rPr>
          <w:rFonts w:ascii="Arial" w:hAnsi="Arial" w:cs="Arial"/>
        </w:rPr>
        <w:t>make the following order:</w:t>
      </w:r>
    </w:p>
    <w:p w14:paraId="6F045D31" w14:textId="6FE3096A" w:rsidR="00A24535" w:rsidRPr="00A61B21" w:rsidRDefault="00A24535" w:rsidP="00A24535">
      <w:pPr>
        <w:rPr>
          <w:rFonts w:ascii="Arial" w:hAnsi="Arial" w:cs="Arial"/>
        </w:rPr>
      </w:pPr>
      <w:r w:rsidRPr="00A61B21">
        <w:rPr>
          <w:rFonts w:ascii="Arial" w:hAnsi="Arial" w:cs="Arial"/>
        </w:rPr>
        <w:t>1</w:t>
      </w:r>
      <w:r w:rsidR="00DC427B" w:rsidRPr="00A61B21">
        <w:rPr>
          <w:rFonts w:ascii="Arial" w:hAnsi="Arial" w:cs="Arial"/>
        </w:rPr>
        <w:t xml:space="preserve"> </w:t>
      </w:r>
      <w:r w:rsidRPr="00A61B21">
        <w:rPr>
          <w:rFonts w:ascii="Arial" w:hAnsi="Arial" w:cs="Arial"/>
        </w:rPr>
        <w:t>Leave to appeal is granted with costs</w:t>
      </w:r>
      <w:r w:rsidR="00294A5A" w:rsidRPr="00A61B21">
        <w:rPr>
          <w:rFonts w:ascii="Arial" w:hAnsi="Arial" w:cs="Arial"/>
        </w:rPr>
        <w:t>,</w:t>
      </w:r>
      <w:r w:rsidRPr="00A61B21">
        <w:rPr>
          <w:rFonts w:ascii="Arial" w:hAnsi="Arial" w:cs="Arial"/>
        </w:rPr>
        <w:t xml:space="preserve"> including the costs of two counsel</w:t>
      </w:r>
      <w:r w:rsidR="00BD25AB">
        <w:rPr>
          <w:rFonts w:ascii="Arial" w:hAnsi="Arial" w:cs="Arial"/>
        </w:rPr>
        <w:t>.</w:t>
      </w:r>
    </w:p>
    <w:p w14:paraId="15781F82" w14:textId="49BF88FC" w:rsidR="00A24535" w:rsidRPr="00A61B21" w:rsidRDefault="00A24535" w:rsidP="00A24535">
      <w:pPr>
        <w:rPr>
          <w:rFonts w:ascii="Arial" w:hAnsi="Arial" w:cs="Arial"/>
        </w:rPr>
      </w:pPr>
      <w:r w:rsidRPr="00A61B21">
        <w:rPr>
          <w:rFonts w:ascii="Arial" w:hAnsi="Arial" w:cs="Arial"/>
        </w:rPr>
        <w:t>2 The appeal is upheld with costs, including the costs of two counsel.</w:t>
      </w:r>
    </w:p>
    <w:p w14:paraId="3C5D77B2" w14:textId="569250A3" w:rsidR="00A24535" w:rsidRPr="00A61B21" w:rsidRDefault="00C707FC" w:rsidP="00A24535">
      <w:pPr>
        <w:rPr>
          <w:rFonts w:ascii="Arial" w:hAnsi="Arial" w:cs="Arial"/>
        </w:rPr>
      </w:pPr>
      <w:r>
        <w:rPr>
          <w:rFonts w:ascii="Arial" w:hAnsi="Arial" w:cs="Arial"/>
        </w:rPr>
        <w:t xml:space="preserve">3 The order of the </w:t>
      </w:r>
      <w:r w:rsidR="00DD690E">
        <w:rPr>
          <w:rFonts w:ascii="Arial" w:hAnsi="Arial" w:cs="Arial"/>
        </w:rPr>
        <w:t>h</w:t>
      </w:r>
      <w:r>
        <w:rPr>
          <w:rFonts w:ascii="Arial" w:hAnsi="Arial" w:cs="Arial"/>
        </w:rPr>
        <w:t xml:space="preserve">igh </w:t>
      </w:r>
      <w:r w:rsidR="00DD690E">
        <w:rPr>
          <w:rFonts w:ascii="Arial" w:hAnsi="Arial" w:cs="Arial"/>
        </w:rPr>
        <w:t>c</w:t>
      </w:r>
      <w:r>
        <w:rPr>
          <w:rFonts w:ascii="Arial" w:hAnsi="Arial" w:cs="Arial"/>
        </w:rPr>
        <w:t>ourt</w:t>
      </w:r>
      <w:r w:rsidR="00A24535" w:rsidRPr="00A61B21">
        <w:rPr>
          <w:rFonts w:ascii="Arial" w:hAnsi="Arial" w:cs="Arial"/>
        </w:rPr>
        <w:t xml:space="preserve"> is set aside and replaced with the following order:</w:t>
      </w:r>
    </w:p>
    <w:p w14:paraId="68C5CDB7" w14:textId="43C1A577" w:rsidR="00A24535" w:rsidRPr="00A61B21" w:rsidRDefault="00A24535" w:rsidP="00A24535">
      <w:pPr>
        <w:rPr>
          <w:rFonts w:ascii="Arial" w:hAnsi="Arial" w:cs="Arial"/>
        </w:rPr>
      </w:pPr>
      <w:r w:rsidRPr="00A61B21">
        <w:rPr>
          <w:rFonts w:ascii="Arial" w:hAnsi="Arial" w:cs="Arial"/>
        </w:rPr>
        <w:t>‘1 The decision by the Professional Conduct Committee of the Medical and Dental Profession</w:t>
      </w:r>
      <w:r w:rsidR="00294A5A" w:rsidRPr="00A61B21">
        <w:rPr>
          <w:rFonts w:ascii="Arial" w:hAnsi="Arial" w:cs="Arial"/>
        </w:rPr>
        <w:t>s</w:t>
      </w:r>
      <w:r w:rsidRPr="00A61B21">
        <w:rPr>
          <w:rFonts w:ascii="Arial" w:hAnsi="Arial" w:cs="Arial"/>
        </w:rPr>
        <w:t xml:space="preserve"> Board, as contemplated in the Health Professions Act 56 of 1974, constituted </w:t>
      </w:r>
      <w:r w:rsidR="00963ACC" w:rsidRPr="00A61B21">
        <w:rPr>
          <w:rFonts w:ascii="Arial" w:hAnsi="Arial" w:cs="Arial"/>
        </w:rPr>
        <w:t>of</w:t>
      </w:r>
      <w:r w:rsidRPr="00A61B21">
        <w:rPr>
          <w:rFonts w:ascii="Arial" w:hAnsi="Arial" w:cs="Arial"/>
        </w:rPr>
        <w:t xml:space="preserve"> the first to sixth respondents and taken on 3 July 2017 (the decision) is reviewed and set aside.</w:t>
      </w:r>
    </w:p>
    <w:p w14:paraId="0771CE75" w14:textId="3C5E71ED" w:rsidR="00A24535" w:rsidRPr="00A61B21" w:rsidRDefault="00A24535" w:rsidP="00A24535">
      <w:pPr>
        <w:rPr>
          <w:rFonts w:ascii="Arial" w:hAnsi="Arial" w:cs="Arial"/>
        </w:rPr>
      </w:pPr>
      <w:r w:rsidRPr="00A61B21">
        <w:rPr>
          <w:rFonts w:ascii="Arial" w:hAnsi="Arial" w:cs="Arial"/>
        </w:rPr>
        <w:t>2 The decision is substituted with the following:</w:t>
      </w:r>
    </w:p>
    <w:p w14:paraId="340A2457" w14:textId="77777777" w:rsidR="00A24535" w:rsidRPr="00A61B21" w:rsidRDefault="00A24535" w:rsidP="00A24535">
      <w:pPr>
        <w:rPr>
          <w:rFonts w:ascii="Arial" w:hAnsi="Arial" w:cs="Arial"/>
        </w:rPr>
      </w:pPr>
      <w:r w:rsidRPr="00A61B21">
        <w:rPr>
          <w:rFonts w:ascii="Arial" w:hAnsi="Arial" w:cs="Arial"/>
        </w:rPr>
        <w:t>“The point in limine is dismissed.”</w:t>
      </w:r>
    </w:p>
    <w:p w14:paraId="7B216131" w14:textId="6BC55F00" w:rsidR="00A87FD2" w:rsidRPr="00A61B21" w:rsidRDefault="00963ACC" w:rsidP="00A24535">
      <w:pPr>
        <w:rPr>
          <w:rFonts w:ascii="Arial" w:hAnsi="Arial" w:cs="Arial"/>
        </w:rPr>
      </w:pPr>
      <w:r w:rsidRPr="00A61B21">
        <w:rPr>
          <w:rFonts w:ascii="Arial" w:hAnsi="Arial" w:cs="Arial"/>
        </w:rPr>
        <w:t>3</w:t>
      </w:r>
      <w:r w:rsidR="00A24535" w:rsidRPr="00A61B21">
        <w:rPr>
          <w:rFonts w:ascii="Arial" w:hAnsi="Arial" w:cs="Arial"/>
        </w:rPr>
        <w:t xml:space="preserve"> The seventh respondent is directed to pay the </w:t>
      </w:r>
      <w:r w:rsidR="009C25E3" w:rsidRPr="00A61B21">
        <w:rPr>
          <w:rFonts w:ascii="Arial" w:hAnsi="Arial" w:cs="Arial"/>
        </w:rPr>
        <w:t xml:space="preserve">applicant’s </w:t>
      </w:r>
      <w:r w:rsidR="00A24535" w:rsidRPr="00A61B21">
        <w:rPr>
          <w:rFonts w:ascii="Arial" w:hAnsi="Arial" w:cs="Arial"/>
        </w:rPr>
        <w:t>costs.’</w:t>
      </w:r>
    </w:p>
    <w:p w14:paraId="37EF287E" w14:textId="1AD93991" w:rsidR="003B201A" w:rsidRPr="00A61B21" w:rsidRDefault="003B201A" w:rsidP="00A24535">
      <w:pPr>
        <w:pStyle w:val="ListParagraph"/>
        <w:ind w:left="0"/>
        <w:rPr>
          <w:rFonts w:ascii="Arial" w:hAnsi="Arial" w:cs="Arial"/>
        </w:rPr>
      </w:pPr>
    </w:p>
    <w:p w14:paraId="1A822EC5" w14:textId="77777777" w:rsidR="00A24535" w:rsidRPr="00A61B21" w:rsidRDefault="00A24535" w:rsidP="00A24535">
      <w:pPr>
        <w:pStyle w:val="ListParagraph"/>
        <w:ind w:left="0"/>
        <w:rPr>
          <w:rFonts w:ascii="Arial" w:hAnsi="Arial" w:cs="Arial"/>
        </w:rPr>
      </w:pPr>
    </w:p>
    <w:p w14:paraId="311983BF" w14:textId="7B451505" w:rsidR="00A24535" w:rsidRDefault="00A24535" w:rsidP="00A24535">
      <w:pPr>
        <w:pStyle w:val="ListParagraph"/>
        <w:ind w:left="0"/>
        <w:rPr>
          <w:rFonts w:ascii="Arial" w:hAnsi="Arial" w:cs="Arial"/>
        </w:rPr>
      </w:pPr>
    </w:p>
    <w:p w14:paraId="244469A3" w14:textId="06402466" w:rsidR="00C707FC" w:rsidRDefault="00C707FC" w:rsidP="00A24535">
      <w:pPr>
        <w:pStyle w:val="ListParagraph"/>
        <w:ind w:left="0"/>
        <w:rPr>
          <w:rFonts w:ascii="Arial" w:hAnsi="Arial" w:cs="Arial"/>
        </w:rPr>
      </w:pPr>
    </w:p>
    <w:p w14:paraId="65C11972" w14:textId="77777777" w:rsidR="00C707FC" w:rsidRPr="00A61B21" w:rsidRDefault="00C707FC" w:rsidP="00A24535">
      <w:pPr>
        <w:pStyle w:val="ListParagraph"/>
        <w:ind w:left="0"/>
        <w:rPr>
          <w:rFonts w:ascii="Arial" w:hAnsi="Arial" w:cs="Arial"/>
        </w:rPr>
      </w:pPr>
    </w:p>
    <w:p w14:paraId="49B7B368" w14:textId="50C77D86" w:rsidR="00A24535" w:rsidRPr="00A61B21" w:rsidRDefault="00A24535" w:rsidP="00A24535">
      <w:pPr>
        <w:pStyle w:val="ListParagraph"/>
        <w:jc w:val="right"/>
        <w:rPr>
          <w:rFonts w:ascii="Arial" w:hAnsi="Arial" w:cs="Arial"/>
        </w:rPr>
      </w:pPr>
      <w:r w:rsidRPr="00A61B21">
        <w:rPr>
          <w:rFonts w:ascii="Arial" w:hAnsi="Arial" w:cs="Arial"/>
        </w:rPr>
        <w:t>_______________________________</w:t>
      </w:r>
    </w:p>
    <w:p w14:paraId="279DC504" w14:textId="439C4352" w:rsidR="00A24535" w:rsidRPr="007E0D22" w:rsidRDefault="00033044" w:rsidP="00A24535">
      <w:pPr>
        <w:jc w:val="right"/>
        <w:rPr>
          <w:rFonts w:ascii="Arial" w:hAnsi="Arial" w:cs="Arial"/>
          <w:bCs/>
        </w:rPr>
      </w:pPr>
      <w:r w:rsidRPr="007E0D22">
        <w:rPr>
          <w:rFonts w:ascii="Arial" w:hAnsi="Arial" w:cs="Arial"/>
          <w:bCs/>
        </w:rPr>
        <w:t>N</w:t>
      </w:r>
      <w:r w:rsidR="00AD78D0" w:rsidRPr="007E0D22">
        <w:rPr>
          <w:rFonts w:ascii="Arial" w:hAnsi="Arial" w:cs="Arial"/>
          <w:bCs/>
        </w:rPr>
        <w:t xml:space="preserve"> P</w:t>
      </w:r>
      <w:r w:rsidRPr="007E0D22">
        <w:rPr>
          <w:rFonts w:ascii="Arial" w:hAnsi="Arial" w:cs="Arial"/>
          <w:bCs/>
        </w:rPr>
        <w:t xml:space="preserve"> </w:t>
      </w:r>
      <w:r w:rsidR="00873BC5" w:rsidRPr="007E0D22">
        <w:rPr>
          <w:rFonts w:ascii="Arial" w:hAnsi="Arial" w:cs="Arial"/>
          <w:bCs/>
        </w:rPr>
        <w:t>MALI</w:t>
      </w:r>
    </w:p>
    <w:p w14:paraId="0A865CB8" w14:textId="0F98CAD1" w:rsidR="000B2624" w:rsidRPr="007E0D22" w:rsidRDefault="00D0072D" w:rsidP="00A24535">
      <w:pPr>
        <w:jc w:val="right"/>
        <w:rPr>
          <w:rFonts w:ascii="Arial" w:hAnsi="Arial" w:cs="Arial"/>
        </w:rPr>
      </w:pPr>
      <w:r w:rsidRPr="007E0D22">
        <w:rPr>
          <w:rFonts w:ascii="Arial" w:hAnsi="Arial" w:cs="Arial"/>
          <w:bCs/>
        </w:rPr>
        <w:t xml:space="preserve">ACTING </w:t>
      </w:r>
      <w:r w:rsidR="008D7B35" w:rsidRPr="007E0D22">
        <w:rPr>
          <w:rFonts w:ascii="Arial" w:hAnsi="Arial" w:cs="Arial"/>
          <w:bCs/>
        </w:rPr>
        <w:t>JUDGE OF APPEAL</w:t>
      </w:r>
    </w:p>
    <w:p w14:paraId="5AE97627" w14:textId="77777777" w:rsidR="007123B0" w:rsidRPr="00380F0A" w:rsidRDefault="007123B0">
      <w:pPr>
        <w:spacing w:after="160" w:line="259" w:lineRule="auto"/>
        <w:rPr>
          <w:rFonts w:ascii="Arial" w:hAnsi="Arial" w:cs="Arial"/>
        </w:rPr>
      </w:pPr>
      <w:r w:rsidRPr="00380F0A">
        <w:rPr>
          <w:rFonts w:ascii="Arial" w:hAnsi="Arial" w:cs="Arial"/>
        </w:rPr>
        <w:br w:type="page"/>
      </w:r>
    </w:p>
    <w:p w14:paraId="52AA18EB" w14:textId="462C522F" w:rsidR="00F43000" w:rsidRPr="00A61B21" w:rsidRDefault="008D7B35" w:rsidP="00F43000">
      <w:pPr>
        <w:spacing w:after="160" w:line="259" w:lineRule="auto"/>
        <w:rPr>
          <w:rFonts w:ascii="Arial" w:hAnsi="Arial" w:cs="Arial"/>
        </w:rPr>
      </w:pPr>
      <w:r w:rsidRPr="00A61B21">
        <w:rPr>
          <w:rFonts w:ascii="Arial" w:hAnsi="Arial" w:cs="Arial"/>
        </w:rPr>
        <w:lastRenderedPageBreak/>
        <w:t>APPEARANCES</w:t>
      </w:r>
    </w:p>
    <w:p w14:paraId="628AD592" w14:textId="77777777" w:rsidR="00F43000" w:rsidRPr="00A61B21" w:rsidRDefault="00F43000" w:rsidP="00F43000">
      <w:pPr>
        <w:rPr>
          <w:rFonts w:ascii="Arial" w:hAnsi="Arial" w:cs="Arial"/>
        </w:rPr>
      </w:pPr>
    </w:p>
    <w:p w14:paraId="033038F4" w14:textId="6B3781B1" w:rsidR="00F43000" w:rsidRPr="00A61B21" w:rsidRDefault="00F43000" w:rsidP="00873BC5">
      <w:pPr>
        <w:tabs>
          <w:tab w:val="left" w:pos="3969"/>
        </w:tabs>
        <w:rPr>
          <w:rFonts w:ascii="Arial" w:hAnsi="Arial" w:cs="Arial"/>
        </w:rPr>
      </w:pPr>
      <w:r w:rsidRPr="00A61B21">
        <w:rPr>
          <w:rFonts w:ascii="Arial" w:hAnsi="Arial" w:cs="Arial"/>
        </w:rPr>
        <w:t>For</w:t>
      </w:r>
      <w:r w:rsidR="00783DBA" w:rsidRPr="00A61B21">
        <w:rPr>
          <w:rFonts w:ascii="Arial" w:hAnsi="Arial" w:cs="Arial"/>
        </w:rPr>
        <w:t xml:space="preserve"> </w:t>
      </w:r>
      <w:r w:rsidR="00E16FB6" w:rsidRPr="00A61B21">
        <w:rPr>
          <w:rFonts w:ascii="Arial" w:hAnsi="Arial" w:cs="Arial"/>
        </w:rPr>
        <w:t>applicant</w:t>
      </w:r>
      <w:r w:rsidR="00873BC5" w:rsidRPr="00A61B21">
        <w:rPr>
          <w:rFonts w:ascii="Arial" w:hAnsi="Arial" w:cs="Arial"/>
        </w:rPr>
        <w:t>:</w:t>
      </w:r>
      <w:r w:rsidR="00873BC5" w:rsidRPr="00A61B21">
        <w:rPr>
          <w:rFonts w:ascii="Arial" w:hAnsi="Arial" w:cs="Arial"/>
        </w:rPr>
        <w:tab/>
      </w:r>
      <w:r w:rsidR="00DD690E">
        <w:rPr>
          <w:rFonts w:ascii="Arial" w:hAnsi="Arial" w:cs="Arial"/>
        </w:rPr>
        <w:tab/>
      </w:r>
      <w:r w:rsidR="00EA0FC2" w:rsidRPr="00A61B21">
        <w:rPr>
          <w:rFonts w:ascii="Arial" w:hAnsi="Arial" w:cs="Arial"/>
          <w:bCs/>
        </w:rPr>
        <w:t xml:space="preserve">J C Uys SC </w:t>
      </w:r>
      <w:r w:rsidR="00A30903">
        <w:rPr>
          <w:rFonts w:ascii="Arial" w:hAnsi="Arial" w:cs="Arial"/>
          <w:bCs/>
        </w:rPr>
        <w:t>and</w:t>
      </w:r>
      <w:r w:rsidR="00EA0FC2" w:rsidRPr="00A61B21">
        <w:rPr>
          <w:rFonts w:ascii="Arial" w:hAnsi="Arial" w:cs="Arial"/>
          <w:bCs/>
        </w:rPr>
        <w:t xml:space="preserve"> N</w:t>
      </w:r>
      <w:r w:rsidR="00873BC5" w:rsidRPr="00A61B21">
        <w:rPr>
          <w:rFonts w:ascii="Arial" w:hAnsi="Arial" w:cs="Arial"/>
          <w:bCs/>
        </w:rPr>
        <w:t xml:space="preserve"> Felgate</w:t>
      </w:r>
    </w:p>
    <w:p w14:paraId="6C05A63B" w14:textId="688421B2" w:rsidR="00F43000" w:rsidRPr="00A61B21" w:rsidRDefault="00873BC5" w:rsidP="00873BC5">
      <w:pPr>
        <w:tabs>
          <w:tab w:val="left" w:pos="3969"/>
        </w:tabs>
        <w:rPr>
          <w:rFonts w:ascii="Arial" w:hAnsi="Arial" w:cs="Arial"/>
          <w:bCs/>
        </w:rPr>
      </w:pPr>
      <w:r w:rsidRPr="00A61B21">
        <w:rPr>
          <w:rFonts w:ascii="Arial" w:hAnsi="Arial" w:cs="Arial"/>
          <w:bCs/>
        </w:rPr>
        <w:t>Instructed by:</w:t>
      </w:r>
      <w:r w:rsidR="00E972B9" w:rsidRPr="00A61B21">
        <w:rPr>
          <w:rFonts w:ascii="Arial" w:hAnsi="Arial" w:cs="Arial"/>
          <w:bCs/>
        </w:rPr>
        <w:t xml:space="preserve"> </w:t>
      </w:r>
      <w:r w:rsidR="00021FA5" w:rsidRPr="00A61B21">
        <w:rPr>
          <w:rFonts w:ascii="Arial" w:hAnsi="Arial" w:cs="Arial"/>
          <w:bCs/>
        </w:rPr>
        <w:tab/>
      </w:r>
      <w:r w:rsidR="00DD690E">
        <w:rPr>
          <w:rFonts w:ascii="Arial" w:hAnsi="Arial" w:cs="Arial"/>
          <w:bCs/>
        </w:rPr>
        <w:tab/>
      </w:r>
      <w:r w:rsidRPr="00A61B21">
        <w:rPr>
          <w:rFonts w:ascii="Arial" w:hAnsi="Arial" w:cs="Arial"/>
          <w:bCs/>
        </w:rPr>
        <w:t>K M Mmuoe Attorneys</w:t>
      </w:r>
      <w:r w:rsidR="001562BD" w:rsidRPr="00A61B21">
        <w:rPr>
          <w:rFonts w:ascii="Arial" w:hAnsi="Arial" w:cs="Arial"/>
          <w:bCs/>
        </w:rPr>
        <w:t xml:space="preserve"> Inc</w:t>
      </w:r>
      <w:r w:rsidR="00F43000" w:rsidRPr="00A61B21">
        <w:rPr>
          <w:rFonts w:ascii="Arial" w:hAnsi="Arial" w:cs="Arial"/>
          <w:bCs/>
        </w:rPr>
        <w:t xml:space="preserve">, </w:t>
      </w:r>
      <w:r w:rsidR="00344681" w:rsidRPr="00A61B21">
        <w:rPr>
          <w:rFonts w:ascii="Arial" w:hAnsi="Arial" w:cs="Arial"/>
          <w:bCs/>
        </w:rPr>
        <w:t>Johannesburg</w:t>
      </w:r>
      <w:r w:rsidR="00F43000" w:rsidRPr="00A61B21">
        <w:rPr>
          <w:rFonts w:ascii="Arial" w:hAnsi="Arial" w:cs="Arial"/>
          <w:bCs/>
        </w:rPr>
        <w:t xml:space="preserve"> </w:t>
      </w:r>
    </w:p>
    <w:p w14:paraId="45FB179E" w14:textId="4B775424" w:rsidR="00873BC5" w:rsidRPr="00A61B21" w:rsidRDefault="00873BC5" w:rsidP="007E0D22">
      <w:pPr>
        <w:tabs>
          <w:tab w:val="left" w:pos="3969"/>
        </w:tabs>
        <w:ind w:left="459" w:firstLine="1701"/>
        <w:rPr>
          <w:rFonts w:ascii="Arial" w:hAnsi="Arial" w:cs="Arial"/>
          <w:bCs/>
        </w:rPr>
      </w:pPr>
      <w:r w:rsidRPr="00A61B21">
        <w:rPr>
          <w:rFonts w:ascii="Arial" w:hAnsi="Arial" w:cs="Arial"/>
          <w:bCs/>
        </w:rPr>
        <w:tab/>
      </w:r>
      <w:r w:rsidR="00DD690E">
        <w:rPr>
          <w:rFonts w:ascii="Arial" w:hAnsi="Arial" w:cs="Arial"/>
          <w:bCs/>
        </w:rPr>
        <w:tab/>
      </w:r>
      <w:r w:rsidRPr="00A61B21">
        <w:rPr>
          <w:rFonts w:ascii="Arial" w:hAnsi="Arial" w:cs="Arial"/>
          <w:bCs/>
        </w:rPr>
        <w:t>Lovius Block</w:t>
      </w:r>
      <w:r w:rsidR="00F43000" w:rsidRPr="00A61B21">
        <w:rPr>
          <w:rFonts w:ascii="Arial" w:hAnsi="Arial" w:cs="Arial"/>
          <w:bCs/>
        </w:rPr>
        <w:t>, Bloemfontein</w:t>
      </w:r>
    </w:p>
    <w:p w14:paraId="020234AD" w14:textId="535505D4" w:rsidR="00F43000" w:rsidRPr="00A61B21" w:rsidRDefault="00F43000" w:rsidP="00F43000">
      <w:pPr>
        <w:rPr>
          <w:rFonts w:ascii="Arial" w:hAnsi="Arial" w:cs="Arial"/>
          <w:bCs/>
        </w:rPr>
      </w:pPr>
    </w:p>
    <w:p w14:paraId="29AB7BDC" w14:textId="3BE3D833" w:rsidR="00F43000" w:rsidRPr="00A61B21" w:rsidRDefault="00F43000" w:rsidP="00873BC5">
      <w:pPr>
        <w:tabs>
          <w:tab w:val="left" w:pos="3969"/>
        </w:tabs>
        <w:rPr>
          <w:rFonts w:ascii="Arial" w:hAnsi="Arial" w:cs="Arial"/>
        </w:rPr>
      </w:pPr>
      <w:r w:rsidRPr="00A61B21">
        <w:rPr>
          <w:rFonts w:ascii="Arial" w:hAnsi="Arial" w:cs="Arial"/>
        </w:rPr>
        <w:t>For</w:t>
      </w:r>
      <w:r w:rsidR="00783DBA" w:rsidRPr="00A61B21">
        <w:rPr>
          <w:rFonts w:ascii="Arial" w:hAnsi="Arial" w:cs="Arial"/>
        </w:rPr>
        <w:t xml:space="preserve"> </w:t>
      </w:r>
      <w:r w:rsidR="00E16FB6" w:rsidRPr="00A61B21">
        <w:rPr>
          <w:rFonts w:ascii="Arial" w:hAnsi="Arial" w:cs="Arial"/>
        </w:rPr>
        <w:t>s</w:t>
      </w:r>
      <w:r w:rsidR="00E972B9" w:rsidRPr="00A61B21">
        <w:rPr>
          <w:rFonts w:ascii="Arial" w:hAnsi="Arial" w:cs="Arial"/>
        </w:rPr>
        <w:t xml:space="preserve">eventh </w:t>
      </w:r>
      <w:r w:rsidR="00873BC5" w:rsidRPr="00A61B21">
        <w:rPr>
          <w:rFonts w:ascii="Arial" w:hAnsi="Arial" w:cs="Arial"/>
        </w:rPr>
        <w:t>respondent:</w:t>
      </w:r>
      <w:r w:rsidR="00873BC5" w:rsidRPr="00A61B21">
        <w:rPr>
          <w:rFonts w:ascii="Arial" w:hAnsi="Arial" w:cs="Arial"/>
        </w:rPr>
        <w:tab/>
      </w:r>
      <w:r w:rsidR="00DD690E">
        <w:rPr>
          <w:rFonts w:ascii="Arial" w:hAnsi="Arial" w:cs="Arial"/>
        </w:rPr>
        <w:tab/>
      </w:r>
      <w:r w:rsidR="009C25E3" w:rsidRPr="00A61B21">
        <w:rPr>
          <w:rFonts w:ascii="Arial" w:hAnsi="Arial" w:cs="Arial"/>
        </w:rPr>
        <w:t>S L P Mulligan</w:t>
      </w:r>
    </w:p>
    <w:p w14:paraId="32BB6471" w14:textId="61D3AF61" w:rsidR="00F43000" w:rsidRPr="00A61B21" w:rsidRDefault="00873BC5" w:rsidP="00873BC5">
      <w:pPr>
        <w:tabs>
          <w:tab w:val="left" w:pos="3969"/>
        </w:tabs>
        <w:rPr>
          <w:rFonts w:ascii="Arial" w:hAnsi="Arial" w:cs="Arial"/>
          <w:bCs/>
        </w:rPr>
      </w:pPr>
      <w:r w:rsidRPr="00A61B21">
        <w:rPr>
          <w:rFonts w:ascii="Arial" w:hAnsi="Arial" w:cs="Arial"/>
          <w:bCs/>
        </w:rPr>
        <w:t>Instructed by:</w:t>
      </w:r>
      <w:r w:rsidRPr="00A61B21">
        <w:rPr>
          <w:rFonts w:ascii="Arial" w:hAnsi="Arial" w:cs="Arial"/>
          <w:bCs/>
        </w:rPr>
        <w:tab/>
      </w:r>
      <w:r w:rsidR="00DD690E">
        <w:rPr>
          <w:rFonts w:ascii="Arial" w:hAnsi="Arial" w:cs="Arial"/>
          <w:bCs/>
        </w:rPr>
        <w:tab/>
      </w:r>
      <w:r w:rsidR="00E972B9" w:rsidRPr="00A61B21">
        <w:rPr>
          <w:rFonts w:ascii="Arial" w:hAnsi="Arial" w:cs="Arial"/>
          <w:bCs/>
        </w:rPr>
        <w:t>Mac</w:t>
      </w:r>
      <w:r w:rsidR="009C25E3" w:rsidRPr="00A61B21">
        <w:rPr>
          <w:rFonts w:ascii="Arial" w:hAnsi="Arial" w:cs="Arial"/>
          <w:bCs/>
        </w:rPr>
        <w:t>R</w:t>
      </w:r>
      <w:r w:rsidR="00E972B9" w:rsidRPr="00A61B21">
        <w:rPr>
          <w:rFonts w:ascii="Arial" w:hAnsi="Arial" w:cs="Arial"/>
          <w:bCs/>
        </w:rPr>
        <w:t>obert</w:t>
      </w:r>
      <w:r w:rsidR="00344681" w:rsidRPr="00A61B21">
        <w:rPr>
          <w:rFonts w:ascii="Arial" w:hAnsi="Arial" w:cs="Arial"/>
          <w:bCs/>
        </w:rPr>
        <w:t xml:space="preserve"> Attorneys</w:t>
      </w:r>
      <w:r w:rsidR="00F43000" w:rsidRPr="00A61B21">
        <w:rPr>
          <w:rFonts w:ascii="Arial" w:hAnsi="Arial" w:cs="Arial"/>
          <w:bCs/>
        </w:rPr>
        <w:t xml:space="preserve">, </w:t>
      </w:r>
      <w:r w:rsidR="00E972B9" w:rsidRPr="00A61B21">
        <w:rPr>
          <w:rFonts w:ascii="Arial" w:hAnsi="Arial" w:cs="Arial"/>
          <w:bCs/>
        </w:rPr>
        <w:t>Pretoria</w:t>
      </w:r>
    </w:p>
    <w:p w14:paraId="5A091266" w14:textId="2EE9DE51" w:rsidR="00F43000" w:rsidRDefault="00F43000" w:rsidP="00873BC5">
      <w:pPr>
        <w:tabs>
          <w:tab w:val="left" w:pos="3969"/>
        </w:tabs>
        <w:rPr>
          <w:rFonts w:ascii="Arial" w:hAnsi="Arial" w:cs="Arial"/>
          <w:bCs/>
        </w:rPr>
      </w:pPr>
      <w:r w:rsidRPr="00A61B21">
        <w:rPr>
          <w:rFonts w:ascii="Arial" w:hAnsi="Arial" w:cs="Arial"/>
          <w:bCs/>
        </w:rPr>
        <w:tab/>
      </w:r>
      <w:r w:rsidR="00DD690E">
        <w:rPr>
          <w:rFonts w:ascii="Arial" w:hAnsi="Arial" w:cs="Arial"/>
          <w:bCs/>
        </w:rPr>
        <w:tab/>
      </w:r>
      <w:r w:rsidR="00A30903">
        <w:rPr>
          <w:rFonts w:ascii="Arial" w:hAnsi="Arial" w:cs="Arial"/>
          <w:bCs/>
        </w:rPr>
        <w:t>N</w:t>
      </w:r>
      <w:r w:rsidR="00E972B9" w:rsidRPr="00A61B21">
        <w:rPr>
          <w:rFonts w:ascii="Arial" w:hAnsi="Arial" w:cs="Arial"/>
          <w:bCs/>
        </w:rPr>
        <w:t>euhoff Attorneys</w:t>
      </w:r>
      <w:r w:rsidRPr="00A61B21">
        <w:rPr>
          <w:rFonts w:ascii="Arial" w:hAnsi="Arial" w:cs="Arial"/>
          <w:bCs/>
        </w:rPr>
        <w:t>, Bloemfontein</w:t>
      </w:r>
      <w:r w:rsidR="00DD690E">
        <w:rPr>
          <w:rFonts w:ascii="Arial" w:hAnsi="Arial" w:cs="Arial"/>
          <w:bCs/>
        </w:rPr>
        <w:t>.</w:t>
      </w:r>
    </w:p>
    <w:p w14:paraId="387D93E2" w14:textId="29F0D45E" w:rsidR="005E0CD4" w:rsidRPr="00D849C8" w:rsidRDefault="005E0CD4" w:rsidP="005D58D2">
      <w:pPr>
        <w:rPr>
          <w:rFonts w:ascii="Arial" w:hAnsi="Arial" w:cs="Arial"/>
        </w:rPr>
      </w:pPr>
    </w:p>
    <w:sectPr w:rsidR="005E0CD4" w:rsidRPr="00D849C8"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7FC0" w14:textId="77777777" w:rsidR="00933DB1" w:rsidRDefault="00933DB1" w:rsidP="005023EF">
      <w:r>
        <w:separator/>
      </w:r>
    </w:p>
  </w:endnote>
  <w:endnote w:type="continuationSeparator" w:id="0">
    <w:p w14:paraId="30E56076" w14:textId="77777777" w:rsidR="00933DB1" w:rsidRDefault="00933DB1"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8DF9" w14:textId="77777777" w:rsidR="00933DB1" w:rsidRDefault="00933DB1" w:rsidP="005023EF">
      <w:r>
        <w:separator/>
      </w:r>
    </w:p>
  </w:footnote>
  <w:footnote w:type="continuationSeparator" w:id="0">
    <w:p w14:paraId="73BD51B6" w14:textId="77777777" w:rsidR="00933DB1" w:rsidRDefault="00933DB1" w:rsidP="005023EF">
      <w:r>
        <w:continuationSeparator/>
      </w:r>
    </w:p>
  </w:footnote>
  <w:footnote w:id="1">
    <w:p w14:paraId="248E0FE5" w14:textId="6EA247E7" w:rsidR="00EC7DB9" w:rsidRPr="007E0D22" w:rsidRDefault="00EC7DB9">
      <w:pPr>
        <w:pStyle w:val="FootnoteText"/>
        <w:rPr>
          <w:lang w:val="en-ZA"/>
        </w:rPr>
      </w:pPr>
      <w:r>
        <w:rPr>
          <w:rStyle w:val="FootnoteReference"/>
        </w:rPr>
        <w:footnoteRef/>
      </w:r>
      <w:r>
        <w:t xml:space="preserve"> </w:t>
      </w:r>
      <w:r w:rsidRPr="00A61B21">
        <w:rPr>
          <w:rFonts w:ascii="Arial" w:hAnsi="Arial" w:cs="Arial"/>
        </w:rPr>
        <w:t>Regulations Relating to the Conduct of Inquiries into Alleged Unprofessional Conduct</w:t>
      </w:r>
      <w:r>
        <w:rPr>
          <w:rFonts w:ascii="Arial" w:hAnsi="Arial" w:cs="Arial"/>
        </w:rPr>
        <w:t xml:space="preserve"> </w:t>
      </w:r>
      <w:r w:rsidRPr="007E0D22">
        <w:rPr>
          <w:rFonts w:ascii="Arial" w:hAnsi="Arial" w:cs="Arial"/>
        </w:rPr>
        <w:t>GN</w:t>
      </w:r>
      <w:r>
        <w:rPr>
          <w:rFonts w:ascii="Arial" w:hAnsi="Arial" w:cs="Arial"/>
          <w:i/>
        </w:rPr>
        <w:t xml:space="preserve"> </w:t>
      </w:r>
      <w:r w:rsidRPr="001D6292">
        <w:rPr>
          <w:rFonts w:ascii="Arial" w:hAnsi="Arial" w:cs="Arial"/>
        </w:rPr>
        <w:t>R</w:t>
      </w:r>
      <w:r>
        <w:rPr>
          <w:rFonts w:ascii="Arial" w:hAnsi="Arial" w:cs="Arial"/>
        </w:rPr>
        <w:t xml:space="preserve">102, </w:t>
      </w:r>
      <w:r>
        <w:rPr>
          <w:rFonts w:ascii="Arial" w:hAnsi="Arial" w:cs="Arial"/>
          <w:i/>
        </w:rPr>
        <w:t xml:space="preserve">GG </w:t>
      </w:r>
      <w:r>
        <w:rPr>
          <w:rFonts w:ascii="Arial" w:hAnsi="Arial" w:cs="Arial"/>
        </w:rPr>
        <w:t xml:space="preserve">31859, 6 February 2009. </w:t>
      </w:r>
    </w:p>
  </w:footnote>
  <w:footnote w:id="2">
    <w:p w14:paraId="1B3A598A" w14:textId="31251FDC" w:rsidR="00EC7DB9" w:rsidRPr="007E0D22" w:rsidRDefault="00EC7DB9">
      <w:pPr>
        <w:pStyle w:val="FootnoteText"/>
        <w:rPr>
          <w:rFonts w:ascii="Arial" w:hAnsi="Arial" w:cs="Arial"/>
          <w:lang w:val="en-ZA"/>
        </w:rPr>
      </w:pPr>
      <w:r w:rsidRPr="007E0D22">
        <w:rPr>
          <w:rStyle w:val="FootnoteReference"/>
          <w:rFonts w:ascii="Arial" w:hAnsi="Arial" w:cs="Arial"/>
        </w:rPr>
        <w:footnoteRef/>
      </w:r>
      <w:r w:rsidRPr="007E0D22">
        <w:rPr>
          <w:rFonts w:ascii="Arial" w:hAnsi="Arial" w:cs="Arial"/>
        </w:rPr>
        <w:t xml:space="preserve"> </w:t>
      </w:r>
      <w:r w:rsidRPr="007E0D22">
        <w:rPr>
          <w:rFonts w:ascii="Arial" w:hAnsi="Arial" w:cs="Arial"/>
          <w:lang w:val="en-ZA"/>
        </w:rPr>
        <w:t xml:space="preserve">Regulation 4(8) of the regulations. </w:t>
      </w:r>
    </w:p>
  </w:footnote>
  <w:footnote w:id="3">
    <w:p w14:paraId="35729F91" w14:textId="6AA985D8" w:rsidR="00EC7DB9" w:rsidRPr="00C7708E" w:rsidRDefault="00EC7DB9" w:rsidP="00BB0D04">
      <w:pPr>
        <w:pStyle w:val="FootnoteText"/>
        <w:rPr>
          <w:rFonts w:ascii="Arial" w:hAnsi="Arial" w:cs="Arial"/>
          <w:lang w:val="en-US"/>
        </w:rPr>
      </w:pPr>
      <w:r w:rsidRPr="00BB0D04">
        <w:rPr>
          <w:rStyle w:val="FootnoteReference"/>
          <w:rFonts w:ascii="Arial" w:hAnsi="Arial" w:cs="Arial"/>
        </w:rPr>
        <w:footnoteRef/>
      </w:r>
      <w:r w:rsidRPr="00BB0D04">
        <w:rPr>
          <w:rFonts w:ascii="Arial" w:hAnsi="Arial" w:cs="Arial"/>
        </w:rPr>
        <w:t xml:space="preserve"> </w:t>
      </w:r>
      <w:r w:rsidRPr="003B17E2">
        <w:rPr>
          <w:rFonts w:ascii="Arial" w:hAnsi="Arial" w:cs="Arial"/>
          <w:i/>
        </w:rPr>
        <w:t>State Information Technology A</w:t>
      </w:r>
      <w:r>
        <w:rPr>
          <w:rFonts w:ascii="Arial" w:hAnsi="Arial" w:cs="Arial"/>
          <w:i/>
        </w:rPr>
        <w:t>gency SOC Ltd v Gijima Holdings</w:t>
      </w:r>
      <w:r w:rsidRPr="003B17E2">
        <w:rPr>
          <w:rFonts w:ascii="Arial" w:hAnsi="Arial" w:cs="Arial"/>
          <w:i/>
        </w:rPr>
        <w:t xml:space="preserve"> (Pty) Ltd </w:t>
      </w:r>
      <w:r w:rsidRPr="003B17E2">
        <w:rPr>
          <w:rFonts w:ascii="Arial" w:hAnsi="Arial" w:cs="Arial"/>
        </w:rPr>
        <w:t>(</w:t>
      </w:r>
      <w:r w:rsidRPr="003B17E2">
        <w:rPr>
          <w:rFonts w:ascii="Arial" w:hAnsi="Arial" w:cs="Arial"/>
          <w:i/>
        </w:rPr>
        <w:t>Gijima</w:t>
      </w:r>
      <w:r>
        <w:rPr>
          <w:rFonts w:ascii="Arial" w:hAnsi="Arial" w:cs="Arial"/>
          <w:i/>
        </w:rPr>
        <w:t>)</w:t>
      </w:r>
      <w:r w:rsidRPr="00BB0D04">
        <w:rPr>
          <w:rFonts w:ascii="Arial" w:hAnsi="Arial" w:cs="Arial"/>
          <w:lang w:val="en-US"/>
        </w:rPr>
        <w:t xml:space="preserve"> [2017] ZACC </w:t>
      </w:r>
      <w:r w:rsidRPr="00C7708E">
        <w:rPr>
          <w:rFonts w:ascii="Arial" w:hAnsi="Arial" w:cs="Arial"/>
          <w:lang w:val="en-US"/>
        </w:rPr>
        <w:t>40</w:t>
      </w:r>
      <w:r>
        <w:rPr>
          <w:rFonts w:ascii="Arial" w:hAnsi="Arial" w:cs="Arial"/>
          <w:lang w:val="en-US"/>
        </w:rPr>
        <w:t>;</w:t>
      </w:r>
      <w:r w:rsidRPr="00C7708E">
        <w:rPr>
          <w:rFonts w:ascii="Arial" w:hAnsi="Arial" w:cs="Arial"/>
          <w:lang w:val="en-US"/>
        </w:rPr>
        <w:t xml:space="preserve"> 2018 (2) SA 23 ( CC)</w:t>
      </w:r>
      <w:r>
        <w:rPr>
          <w:rFonts w:ascii="Arial" w:hAnsi="Arial" w:cs="Arial"/>
          <w:lang w:val="en-US"/>
        </w:rPr>
        <w:t>; 2018 (2) BCLR 240 (CC).</w:t>
      </w:r>
    </w:p>
  </w:footnote>
  <w:footnote w:id="4">
    <w:p w14:paraId="1EF7E087" w14:textId="2C579FFB" w:rsidR="00EC7DB9" w:rsidRPr="00C707FC" w:rsidRDefault="00EC7DB9" w:rsidP="005A4F35">
      <w:pPr>
        <w:pStyle w:val="FootnoteText"/>
        <w:rPr>
          <w:rFonts w:ascii="Arial" w:hAnsi="Arial" w:cs="Arial"/>
          <w:lang w:val="en-ZA"/>
        </w:rPr>
      </w:pPr>
      <w:r w:rsidRPr="00C707FC">
        <w:rPr>
          <w:rStyle w:val="FootnoteReference"/>
          <w:rFonts w:ascii="Arial" w:hAnsi="Arial" w:cs="Arial"/>
        </w:rPr>
        <w:footnoteRef/>
      </w:r>
      <w:r w:rsidR="007E0D22">
        <w:rPr>
          <w:rFonts w:ascii="Arial" w:hAnsi="Arial" w:cs="Arial"/>
        </w:rPr>
        <w:t xml:space="preserve"> </w:t>
      </w:r>
      <w:r w:rsidRPr="00C707FC">
        <w:rPr>
          <w:rFonts w:ascii="Arial" w:hAnsi="Arial" w:cs="Arial"/>
        </w:rPr>
        <w:t xml:space="preserve">Ibid </w:t>
      </w:r>
      <w:r>
        <w:rPr>
          <w:rFonts w:ascii="Arial" w:hAnsi="Arial" w:cs="Arial"/>
          <w:lang w:val="en-ZA"/>
        </w:rPr>
        <w:t>p</w:t>
      </w:r>
      <w:r w:rsidRPr="00C707FC">
        <w:rPr>
          <w:rFonts w:ascii="Arial" w:hAnsi="Arial" w:cs="Arial"/>
          <w:lang w:val="en-ZA"/>
        </w:rPr>
        <w:t>ara 29.</w:t>
      </w:r>
    </w:p>
  </w:footnote>
  <w:footnote w:id="5">
    <w:p w14:paraId="32B126C4" w14:textId="09BA0C10" w:rsidR="00EC7DB9" w:rsidRPr="00D02739" w:rsidRDefault="00EC7DB9" w:rsidP="00D02739">
      <w:pPr>
        <w:pStyle w:val="FootnoteText"/>
        <w:rPr>
          <w:rFonts w:ascii="Arial" w:hAnsi="Arial" w:cs="Arial"/>
          <w:lang w:val="en-ZA"/>
        </w:rPr>
      </w:pPr>
      <w:r w:rsidRPr="00C707FC">
        <w:rPr>
          <w:rStyle w:val="FootnoteReference"/>
          <w:rFonts w:ascii="Arial" w:hAnsi="Arial" w:cs="Arial"/>
        </w:rPr>
        <w:footnoteRef/>
      </w:r>
      <w:r w:rsidRPr="00C707FC">
        <w:rPr>
          <w:rFonts w:ascii="Arial" w:hAnsi="Arial" w:cs="Arial"/>
        </w:rPr>
        <w:t xml:space="preserve"> Ibid </w:t>
      </w:r>
      <w:r>
        <w:rPr>
          <w:rFonts w:ascii="Arial" w:hAnsi="Arial" w:cs="Arial"/>
          <w:lang w:val="en-ZA"/>
        </w:rPr>
        <w:t>p</w:t>
      </w:r>
      <w:r w:rsidRPr="00C707FC">
        <w:rPr>
          <w:rFonts w:ascii="Arial" w:hAnsi="Arial" w:cs="Arial"/>
          <w:lang w:val="en-ZA"/>
        </w:rPr>
        <w:t>ara 2.</w:t>
      </w:r>
    </w:p>
  </w:footnote>
  <w:footnote w:id="6">
    <w:p w14:paraId="603231FA" w14:textId="00B42B9A" w:rsidR="00EC7DB9" w:rsidRPr="007E0D22" w:rsidRDefault="00EC7DB9" w:rsidP="007E0D22">
      <w:pPr>
        <w:rPr>
          <w:lang w:val="en-US"/>
        </w:rPr>
      </w:pPr>
      <w:r>
        <w:rPr>
          <w:rStyle w:val="FootnoteReference"/>
        </w:rPr>
        <w:footnoteRef/>
      </w:r>
      <w:r>
        <w:t xml:space="preserve"> </w:t>
      </w:r>
      <w:r w:rsidRPr="003B17E2">
        <w:rPr>
          <w:rFonts w:ascii="Arial" w:hAnsi="Arial" w:cs="Arial"/>
          <w:bCs/>
          <w:i/>
          <w:sz w:val="20"/>
          <w:szCs w:val="20"/>
        </w:rPr>
        <w:t xml:space="preserve">Special Investigating Unit and Another v Engineered Systems Solutions </w:t>
      </w:r>
      <w:r w:rsidRPr="00C7708E">
        <w:rPr>
          <w:rFonts w:ascii="Arial" w:hAnsi="Arial" w:cs="Arial"/>
          <w:bCs/>
          <w:i/>
          <w:sz w:val="20"/>
          <w:szCs w:val="20"/>
        </w:rPr>
        <w:t>(Pty) Ltd</w:t>
      </w:r>
      <w:r w:rsidRPr="00C7708E">
        <w:rPr>
          <w:rFonts w:ascii="Arial" w:hAnsi="Arial" w:cs="Arial"/>
          <w:bCs/>
          <w:sz w:val="20"/>
          <w:szCs w:val="20"/>
        </w:rPr>
        <w:t xml:space="preserve"> [2021] ZASCA 90; [2021] 3 All SA 791 (SCA); 2022 (5) SA 416 (SCA) para 25.</w:t>
      </w:r>
    </w:p>
  </w:footnote>
  <w:footnote w:id="7">
    <w:p w14:paraId="4E0BC4C1" w14:textId="533FE070" w:rsidR="00EC7DB9" w:rsidRPr="00C7708E" w:rsidRDefault="00EC7DB9" w:rsidP="00223FE1">
      <w:pPr>
        <w:pStyle w:val="FootnoteText"/>
        <w:rPr>
          <w:rFonts w:ascii="Arial" w:hAnsi="Arial" w:cs="Arial"/>
          <w:lang w:val="en-US"/>
        </w:rPr>
      </w:pPr>
      <w:r w:rsidRPr="00C7708E">
        <w:rPr>
          <w:rStyle w:val="FootnoteReference"/>
          <w:rFonts w:ascii="Arial" w:hAnsi="Arial" w:cs="Arial"/>
        </w:rPr>
        <w:footnoteRef/>
      </w:r>
      <w:r w:rsidRPr="00C7708E">
        <w:rPr>
          <w:rFonts w:ascii="Arial" w:hAnsi="Arial" w:cs="Arial"/>
        </w:rPr>
        <w:t xml:space="preserve"> See </w:t>
      </w:r>
      <w:r w:rsidRPr="00C7708E">
        <w:rPr>
          <w:rFonts w:ascii="Arial" w:hAnsi="Arial" w:cs="Arial"/>
          <w:i/>
        </w:rPr>
        <w:t>Hunter v Financial Sector Conduct Authority and Others</w:t>
      </w:r>
      <w:r w:rsidRPr="00C7708E">
        <w:rPr>
          <w:rFonts w:ascii="Arial" w:hAnsi="Arial" w:cs="Arial"/>
        </w:rPr>
        <w:t xml:space="preserve"> [2018] ZACC 31; 2018 (6) SA 348 (CC)</w:t>
      </w:r>
      <w:r>
        <w:rPr>
          <w:rFonts w:ascii="Arial" w:hAnsi="Arial" w:cs="Arial"/>
        </w:rPr>
        <w:t xml:space="preserve">; 2018 (12) BCLR 1481 (CC) </w:t>
      </w:r>
      <w:r w:rsidRPr="00C7708E">
        <w:rPr>
          <w:rFonts w:ascii="Arial" w:hAnsi="Arial" w:cs="Arial"/>
        </w:rPr>
        <w:t xml:space="preserve">para 49 and </w:t>
      </w:r>
      <w:r w:rsidRPr="00C7708E">
        <w:rPr>
          <w:rFonts w:ascii="Arial" w:hAnsi="Arial" w:cs="Arial"/>
          <w:i/>
        </w:rPr>
        <w:t xml:space="preserve">Compcare Wellness Medical Scheme v Registrar of Medical Schemes and Others </w:t>
      </w:r>
      <w:r w:rsidRPr="00C7708E">
        <w:rPr>
          <w:rFonts w:ascii="Arial" w:hAnsi="Arial" w:cs="Arial"/>
        </w:rPr>
        <w:t>[2020] ZASCA 91; 2021 (1) SA 15 (SCA) para 21.</w:t>
      </w:r>
    </w:p>
  </w:footnote>
  <w:footnote w:id="8">
    <w:p w14:paraId="758A7F04" w14:textId="7A8AA422" w:rsidR="00EC7DB9" w:rsidRPr="00C7708E" w:rsidRDefault="00EC7DB9" w:rsidP="00C52B42">
      <w:pPr>
        <w:pStyle w:val="FootnoteText"/>
        <w:rPr>
          <w:lang w:val="en-US"/>
        </w:rPr>
      </w:pPr>
      <w:r w:rsidRPr="00380F0A">
        <w:rPr>
          <w:rStyle w:val="FootnoteReference"/>
        </w:rPr>
        <w:footnoteRef/>
      </w:r>
      <w:r w:rsidRPr="00380F0A">
        <w:t xml:space="preserve"> </w:t>
      </w:r>
      <w:r w:rsidRPr="00380F0A">
        <w:rPr>
          <w:rFonts w:ascii="Arial" w:hAnsi="Arial" w:cs="Arial"/>
        </w:rPr>
        <w:t xml:space="preserve">See L G Baxter </w:t>
      </w:r>
      <w:r w:rsidRPr="00380F0A">
        <w:rPr>
          <w:rFonts w:ascii="Arial" w:hAnsi="Arial" w:cs="Arial"/>
          <w:i/>
        </w:rPr>
        <w:t>Administrative Law</w:t>
      </w:r>
      <w:r w:rsidRPr="00380F0A">
        <w:rPr>
          <w:rFonts w:ascii="Arial" w:hAnsi="Arial" w:cs="Arial"/>
        </w:rPr>
        <w:t xml:space="preserve"> (1984) at 720-723; Plasket ‘The Exhaustion of Internal Remedies and section 7 (2) of the Promotion of Administrative Justice Act 3 of 2000’ (2002) 119 </w:t>
      </w:r>
      <w:r w:rsidRPr="00380F0A">
        <w:rPr>
          <w:rFonts w:ascii="Arial" w:hAnsi="Arial" w:cs="Arial"/>
          <w:i/>
        </w:rPr>
        <w:t xml:space="preserve">SALJ </w:t>
      </w:r>
      <w:r w:rsidRPr="00380F0A">
        <w:rPr>
          <w:rFonts w:ascii="Arial" w:hAnsi="Arial" w:cs="Arial"/>
        </w:rPr>
        <w:t xml:space="preserve">50 at 50-51; see also Hoexter and Penfold </w:t>
      </w:r>
      <w:r w:rsidRPr="00380F0A">
        <w:rPr>
          <w:rFonts w:ascii="Arial" w:hAnsi="Arial" w:cs="Arial"/>
          <w:i/>
        </w:rPr>
        <w:t xml:space="preserve">Administrative Law in South Africa </w:t>
      </w:r>
      <w:r w:rsidRPr="00380F0A">
        <w:rPr>
          <w:rFonts w:ascii="Arial" w:hAnsi="Arial" w:cs="Arial"/>
        </w:rPr>
        <w:t>3 ed (2021) at 745-746.</w:t>
      </w:r>
    </w:p>
  </w:footnote>
  <w:footnote w:id="9">
    <w:p w14:paraId="13A6546C" w14:textId="33C798C6" w:rsidR="00EC7DB9" w:rsidRPr="00DC427B" w:rsidRDefault="00EC7DB9" w:rsidP="00C52B42">
      <w:pPr>
        <w:rPr>
          <w:rFonts w:ascii="Arial" w:hAnsi="Arial" w:cs="Arial"/>
          <w:lang w:val="en-US"/>
        </w:rPr>
      </w:pPr>
      <w:r w:rsidRPr="00C7708E">
        <w:rPr>
          <w:rStyle w:val="FootnoteReference"/>
          <w:rFonts w:ascii="Arial" w:hAnsi="Arial" w:cs="Arial"/>
          <w:sz w:val="20"/>
          <w:szCs w:val="20"/>
        </w:rPr>
        <w:footnoteRef/>
      </w:r>
      <w:r w:rsidRPr="00C7708E">
        <w:rPr>
          <w:rFonts w:ascii="Arial" w:hAnsi="Arial" w:cs="Arial"/>
          <w:sz w:val="20"/>
          <w:szCs w:val="20"/>
        </w:rPr>
        <w:t xml:space="preserve"> </w:t>
      </w:r>
      <w:r w:rsidRPr="00C7708E">
        <w:rPr>
          <w:rFonts w:ascii="Arial" w:hAnsi="Arial" w:cs="Arial"/>
          <w:i/>
          <w:sz w:val="20"/>
          <w:szCs w:val="20"/>
        </w:rPr>
        <w:t>Dengetenge Holdings (Pty) Ltd v Southern Sphere Mining &amp; Development Co Ltd</w:t>
      </w:r>
      <w:r w:rsidRPr="00C7708E">
        <w:rPr>
          <w:rFonts w:ascii="Arial" w:hAnsi="Arial" w:cs="Arial"/>
          <w:sz w:val="20"/>
          <w:szCs w:val="20"/>
        </w:rPr>
        <w:t xml:space="preserve"> </w:t>
      </w:r>
      <w:r>
        <w:rPr>
          <w:rFonts w:ascii="Arial" w:hAnsi="Arial" w:cs="Arial"/>
          <w:sz w:val="20"/>
          <w:szCs w:val="20"/>
        </w:rPr>
        <w:t xml:space="preserve">and Others </w:t>
      </w:r>
      <w:r w:rsidRPr="00C7708E">
        <w:rPr>
          <w:rFonts w:ascii="Arial" w:hAnsi="Arial" w:cs="Arial"/>
          <w:sz w:val="20"/>
          <w:szCs w:val="20"/>
        </w:rPr>
        <w:t>[2013] ZACC 48</w:t>
      </w:r>
      <w:r>
        <w:rPr>
          <w:rFonts w:ascii="Arial" w:hAnsi="Arial" w:cs="Arial"/>
          <w:sz w:val="20"/>
          <w:szCs w:val="20"/>
        </w:rPr>
        <w:t>; 2014 (3) BCLR 265 (CC);</w:t>
      </w:r>
      <w:r w:rsidRPr="00C7708E">
        <w:rPr>
          <w:rFonts w:ascii="Arial" w:hAnsi="Arial" w:cs="Arial"/>
          <w:sz w:val="20"/>
          <w:szCs w:val="20"/>
        </w:rPr>
        <w:t xml:space="preserve"> 2014 (5) SA 138 CC para 115.</w:t>
      </w:r>
    </w:p>
  </w:footnote>
  <w:footnote w:id="10">
    <w:p w14:paraId="73EAC6DB" w14:textId="0AD2A1EA" w:rsidR="00EC7DB9" w:rsidRPr="00BB0D04" w:rsidRDefault="00EC7DB9" w:rsidP="00C52B42">
      <w:pPr>
        <w:pStyle w:val="FootnoteText"/>
        <w:rPr>
          <w:rFonts w:ascii="Arial" w:hAnsi="Arial" w:cs="Arial"/>
          <w:lang w:val="en-US"/>
        </w:rPr>
      </w:pPr>
      <w:r w:rsidRPr="00BB0D04">
        <w:rPr>
          <w:rStyle w:val="FootnoteReference"/>
          <w:rFonts w:ascii="Arial" w:hAnsi="Arial" w:cs="Arial"/>
        </w:rPr>
        <w:footnoteRef/>
      </w:r>
      <w:r w:rsidRPr="00BB0D04">
        <w:rPr>
          <w:rFonts w:ascii="Arial" w:hAnsi="Arial" w:cs="Arial"/>
        </w:rPr>
        <w:t xml:space="preserve"> </w:t>
      </w:r>
      <w:r>
        <w:rPr>
          <w:rFonts w:ascii="Arial" w:hAnsi="Arial" w:cs="Arial"/>
        </w:rPr>
        <w:t xml:space="preserve">See </w:t>
      </w:r>
      <w:r w:rsidRPr="003B17E2">
        <w:rPr>
          <w:rFonts w:ascii="Arial" w:hAnsi="Arial" w:cs="Arial"/>
          <w:i/>
        </w:rPr>
        <w:t>Bindura Town Management Board v Desai &amp; Co</w:t>
      </w:r>
      <w:r w:rsidRPr="00BB0D04">
        <w:rPr>
          <w:rFonts w:ascii="Arial" w:hAnsi="Arial" w:cs="Arial"/>
        </w:rPr>
        <w:t xml:space="preserve"> </w:t>
      </w:r>
      <w:r w:rsidRPr="00C7708E">
        <w:rPr>
          <w:rFonts w:ascii="Arial" w:hAnsi="Arial" w:cs="Arial"/>
        </w:rPr>
        <w:t xml:space="preserve">1953 (1) SA 358 ( A) at 362H-363H and </w:t>
      </w:r>
      <w:r w:rsidRPr="00C7708E">
        <w:rPr>
          <w:rFonts w:ascii="Arial" w:hAnsi="Arial" w:cs="Arial"/>
          <w:i/>
        </w:rPr>
        <w:t>Welkom Village Management Board v Leteno</w:t>
      </w:r>
      <w:r w:rsidRPr="00C7708E">
        <w:rPr>
          <w:rStyle w:val="FootnoteReference"/>
          <w:rFonts w:ascii="Arial" w:hAnsi="Arial" w:cs="Arial"/>
          <w:i/>
        </w:rPr>
        <w:t xml:space="preserve"> </w:t>
      </w:r>
      <w:r w:rsidRPr="00C7708E">
        <w:rPr>
          <w:rFonts w:ascii="Arial" w:hAnsi="Arial" w:cs="Arial"/>
        </w:rPr>
        <w:t>1958 (1) SA 490( A) at 502G-503D.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14:paraId="63F90BA4" w14:textId="6C4C0FD7" w:rsidR="00EC7DB9" w:rsidRDefault="00EC7DB9">
        <w:pPr>
          <w:pStyle w:val="Header"/>
          <w:jc w:val="right"/>
        </w:pPr>
        <w:r>
          <w:fldChar w:fldCharType="begin"/>
        </w:r>
        <w:r>
          <w:instrText xml:space="preserve"> PAGE   \* MERGEFORMAT </w:instrText>
        </w:r>
        <w:r>
          <w:fldChar w:fldCharType="separate"/>
        </w:r>
        <w:r w:rsidR="00783D26">
          <w:rPr>
            <w:noProof/>
          </w:rPr>
          <w:t>4</w:t>
        </w:r>
        <w:r>
          <w:rPr>
            <w:noProof/>
          </w:rPr>
          <w:fldChar w:fldCharType="end"/>
        </w:r>
      </w:p>
    </w:sdtContent>
  </w:sdt>
  <w:p w14:paraId="75535076" w14:textId="77777777" w:rsidR="00EC7DB9" w:rsidRDefault="00EC7D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134CE4"/>
    <w:multiLevelType w:val="multilevel"/>
    <w:tmpl w:val="10304912"/>
    <w:lvl w:ilvl="0">
      <w:start w:val="1"/>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1"/>
      <w:lvlJc w:val="left"/>
      <w:pPr>
        <w:ind w:left="1305" w:hanging="6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71789DCB-EAEA-4F07-91B4-D7112BE8BB37}"/>
    <w:docVar w:name="dgnword-eventsink" w:val="1919494886576"/>
    <w:docVar w:name="dgnword-lastRevisionsView" w:val="0"/>
  </w:docVars>
  <w:rsids>
    <w:rsidRoot w:val="00F17FD3"/>
    <w:rsid w:val="000008E3"/>
    <w:rsid w:val="00001730"/>
    <w:rsid w:val="00001B9A"/>
    <w:rsid w:val="000028CE"/>
    <w:rsid w:val="000078C0"/>
    <w:rsid w:val="0001201C"/>
    <w:rsid w:val="00014159"/>
    <w:rsid w:val="00015CDF"/>
    <w:rsid w:val="00015E7E"/>
    <w:rsid w:val="0001732F"/>
    <w:rsid w:val="00017AA6"/>
    <w:rsid w:val="00017E19"/>
    <w:rsid w:val="000202EF"/>
    <w:rsid w:val="0002186D"/>
    <w:rsid w:val="00021FA5"/>
    <w:rsid w:val="00022D1C"/>
    <w:rsid w:val="00023842"/>
    <w:rsid w:val="00023AA2"/>
    <w:rsid w:val="000267AE"/>
    <w:rsid w:val="00026C16"/>
    <w:rsid w:val="000307C8"/>
    <w:rsid w:val="00032865"/>
    <w:rsid w:val="00033044"/>
    <w:rsid w:val="00033B85"/>
    <w:rsid w:val="00033B9F"/>
    <w:rsid w:val="00034635"/>
    <w:rsid w:val="00034CE6"/>
    <w:rsid w:val="000404DB"/>
    <w:rsid w:val="00040611"/>
    <w:rsid w:val="00040B65"/>
    <w:rsid w:val="00041CBA"/>
    <w:rsid w:val="00044F23"/>
    <w:rsid w:val="00046101"/>
    <w:rsid w:val="00047339"/>
    <w:rsid w:val="00052C1C"/>
    <w:rsid w:val="00053740"/>
    <w:rsid w:val="0005538E"/>
    <w:rsid w:val="00055AD5"/>
    <w:rsid w:val="00055C99"/>
    <w:rsid w:val="00055DAF"/>
    <w:rsid w:val="000600FC"/>
    <w:rsid w:val="00060A27"/>
    <w:rsid w:val="000637FA"/>
    <w:rsid w:val="000639C5"/>
    <w:rsid w:val="000644DA"/>
    <w:rsid w:val="000648D0"/>
    <w:rsid w:val="0006511B"/>
    <w:rsid w:val="00067EC8"/>
    <w:rsid w:val="00075933"/>
    <w:rsid w:val="00075D7F"/>
    <w:rsid w:val="00077B41"/>
    <w:rsid w:val="00080877"/>
    <w:rsid w:val="00082FB9"/>
    <w:rsid w:val="0008450F"/>
    <w:rsid w:val="00084A04"/>
    <w:rsid w:val="00084E23"/>
    <w:rsid w:val="00085254"/>
    <w:rsid w:val="000853B3"/>
    <w:rsid w:val="0009007F"/>
    <w:rsid w:val="00090E16"/>
    <w:rsid w:val="00092984"/>
    <w:rsid w:val="000933C2"/>
    <w:rsid w:val="00093927"/>
    <w:rsid w:val="00093BB8"/>
    <w:rsid w:val="0009629E"/>
    <w:rsid w:val="00096D7C"/>
    <w:rsid w:val="000A3662"/>
    <w:rsid w:val="000A71A0"/>
    <w:rsid w:val="000B034A"/>
    <w:rsid w:val="000B0842"/>
    <w:rsid w:val="000B1A3A"/>
    <w:rsid w:val="000B2416"/>
    <w:rsid w:val="000B2624"/>
    <w:rsid w:val="000B2C3C"/>
    <w:rsid w:val="000B498F"/>
    <w:rsid w:val="000B6953"/>
    <w:rsid w:val="000B73BA"/>
    <w:rsid w:val="000B7C09"/>
    <w:rsid w:val="000C19D4"/>
    <w:rsid w:val="000C1E28"/>
    <w:rsid w:val="000D3D83"/>
    <w:rsid w:val="000D7B16"/>
    <w:rsid w:val="000D7DC5"/>
    <w:rsid w:val="000E07D8"/>
    <w:rsid w:val="000E2370"/>
    <w:rsid w:val="000E3AE8"/>
    <w:rsid w:val="000E4080"/>
    <w:rsid w:val="000E5110"/>
    <w:rsid w:val="000E616C"/>
    <w:rsid w:val="000E6F29"/>
    <w:rsid w:val="000F141A"/>
    <w:rsid w:val="000F26CC"/>
    <w:rsid w:val="000F3229"/>
    <w:rsid w:val="000F38D5"/>
    <w:rsid w:val="000F45D2"/>
    <w:rsid w:val="000F4E3F"/>
    <w:rsid w:val="001051AB"/>
    <w:rsid w:val="00105BA2"/>
    <w:rsid w:val="00112757"/>
    <w:rsid w:val="00113BE9"/>
    <w:rsid w:val="00114D5C"/>
    <w:rsid w:val="001158AE"/>
    <w:rsid w:val="00116255"/>
    <w:rsid w:val="00116379"/>
    <w:rsid w:val="00116D28"/>
    <w:rsid w:val="001173DD"/>
    <w:rsid w:val="00117B0F"/>
    <w:rsid w:val="001218FD"/>
    <w:rsid w:val="00122485"/>
    <w:rsid w:val="00123077"/>
    <w:rsid w:val="00123C58"/>
    <w:rsid w:val="00125610"/>
    <w:rsid w:val="00125745"/>
    <w:rsid w:val="001301F3"/>
    <w:rsid w:val="0013126A"/>
    <w:rsid w:val="00132E62"/>
    <w:rsid w:val="00133113"/>
    <w:rsid w:val="00133B1B"/>
    <w:rsid w:val="00134156"/>
    <w:rsid w:val="001363A1"/>
    <w:rsid w:val="00140596"/>
    <w:rsid w:val="001406DB"/>
    <w:rsid w:val="00141EE1"/>
    <w:rsid w:val="00144A7F"/>
    <w:rsid w:val="00144C2D"/>
    <w:rsid w:val="00150BE9"/>
    <w:rsid w:val="0015111A"/>
    <w:rsid w:val="00151B7C"/>
    <w:rsid w:val="00153D52"/>
    <w:rsid w:val="00154557"/>
    <w:rsid w:val="00154BE5"/>
    <w:rsid w:val="001552E6"/>
    <w:rsid w:val="001562BD"/>
    <w:rsid w:val="00156619"/>
    <w:rsid w:val="00156B90"/>
    <w:rsid w:val="00156CCE"/>
    <w:rsid w:val="0016054A"/>
    <w:rsid w:val="00160B6B"/>
    <w:rsid w:val="00160BE6"/>
    <w:rsid w:val="0016168C"/>
    <w:rsid w:val="00163532"/>
    <w:rsid w:val="00164B17"/>
    <w:rsid w:val="00164FDE"/>
    <w:rsid w:val="001702B0"/>
    <w:rsid w:val="0017036E"/>
    <w:rsid w:val="001763CC"/>
    <w:rsid w:val="00176803"/>
    <w:rsid w:val="001806A3"/>
    <w:rsid w:val="00181225"/>
    <w:rsid w:val="00181535"/>
    <w:rsid w:val="00181F71"/>
    <w:rsid w:val="00183C38"/>
    <w:rsid w:val="00185DB7"/>
    <w:rsid w:val="001871AD"/>
    <w:rsid w:val="00190CD3"/>
    <w:rsid w:val="001927F6"/>
    <w:rsid w:val="00194DE9"/>
    <w:rsid w:val="00195560"/>
    <w:rsid w:val="00196989"/>
    <w:rsid w:val="001A0009"/>
    <w:rsid w:val="001A03E2"/>
    <w:rsid w:val="001A2033"/>
    <w:rsid w:val="001A32B0"/>
    <w:rsid w:val="001A3E96"/>
    <w:rsid w:val="001A4230"/>
    <w:rsid w:val="001A594F"/>
    <w:rsid w:val="001A60A3"/>
    <w:rsid w:val="001A75B7"/>
    <w:rsid w:val="001A7A18"/>
    <w:rsid w:val="001B0A5A"/>
    <w:rsid w:val="001B218D"/>
    <w:rsid w:val="001B2EEA"/>
    <w:rsid w:val="001B5E69"/>
    <w:rsid w:val="001C0439"/>
    <w:rsid w:val="001C25A9"/>
    <w:rsid w:val="001C60B5"/>
    <w:rsid w:val="001C6558"/>
    <w:rsid w:val="001C6FBF"/>
    <w:rsid w:val="001D0541"/>
    <w:rsid w:val="001D1924"/>
    <w:rsid w:val="001D26E5"/>
    <w:rsid w:val="001D28B7"/>
    <w:rsid w:val="001D2C29"/>
    <w:rsid w:val="001D5022"/>
    <w:rsid w:val="001D5237"/>
    <w:rsid w:val="001D765D"/>
    <w:rsid w:val="001D7AD1"/>
    <w:rsid w:val="001D7B33"/>
    <w:rsid w:val="001E0282"/>
    <w:rsid w:val="001E0605"/>
    <w:rsid w:val="001E19C1"/>
    <w:rsid w:val="001E393C"/>
    <w:rsid w:val="001E58F7"/>
    <w:rsid w:val="001E7F80"/>
    <w:rsid w:val="001F0246"/>
    <w:rsid w:val="001F0ACB"/>
    <w:rsid w:val="001F3841"/>
    <w:rsid w:val="001F582F"/>
    <w:rsid w:val="001F7872"/>
    <w:rsid w:val="0020017E"/>
    <w:rsid w:val="002007C1"/>
    <w:rsid w:val="00202C9C"/>
    <w:rsid w:val="00203035"/>
    <w:rsid w:val="002069E5"/>
    <w:rsid w:val="00207378"/>
    <w:rsid w:val="002073CD"/>
    <w:rsid w:val="00210C6A"/>
    <w:rsid w:val="00223AEC"/>
    <w:rsid w:val="00223FE1"/>
    <w:rsid w:val="00226052"/>
    <w:rsid w:val="002264F6"/>
    <w:rsid w:val="002266AC"/>
    <w:rsid w:val="002308D7"/>
    <w:rsid w:val="0023112C"/>
    <w:rsid w:val="00232C2E"/>
    <w:rsid w:val="00232E2C"/>
    <w:rsid w:val="00237C24"/>
    <w:rsid w:val="002407F9"/>
    <w:rsid w:val="00241362"/>
    <w:rsid w:val="00241BEF"/>
    <w:rsid w:val="0024265E"/>
    <w:rsid w:val="00242C99"/>
    <w:rsid w:val="002445CE"/>
    <w:rsid w:val="00245F55"/>
    <w:rsid w:val="002464C9"/>
    <w:rsid w:val="00250036"/>
    <w:rsid w:val="00257412"/>
    <w:rsid w:val="0026028E"/>
    <w:rsid w:val="002603CE"/>
    <w:rsid w:val="00261628"/>
    <w:rsid w:val="00261FDC"/>
    <w:rsid w:val="00262FA8"/>
    <w:rsid w:val="002642C6"/>
    <w:rsid w:val="0026443F"/>
    <w:rsid w:val="00264DAE"/>
    <w:rsid w:val="00273BB7"/>
    <w:rsid w:val="0027443D"/>
    <w:rsid w:val="00274669"/>
    <w:rsid w:val="00274A22"/>
    <w:rsid w:val="00275D95"/>
    <w:rsid w:val="002766BB"/>
    <w:rsid w:val="00276D86"/>
    <w:rsid w:val="0028047F"/>
    <w:rsid w:val="00280F54"/>
    <w:rsid w:val="00283EFF"/>
    <w:rsid w:val="002849C0"/>
    <w:rsid w:val="002849E5"/>
    <w:rsid w:val="0028531F"/>
    <w:rsid w:val="00285F3E"/>
    <w:rsid w:val="00286E95"/>
    <w:rsid w:val="00287B86"/>
    <w:rsid w:val="00290A50"/>
    <w:rsid w:val="002916AA"/>
    <w:rsid w:val="0029377C"/>
    <w:rsid w:val="00294A5A"/>
    <w:rsid w:val="002A199D"/>
    <w:rsid w:val="002A26E5"/>
    <w:rsid w:val="002A46C7"/>
    <w:rsid w:val="002A4B49"/>
    <w:rsid w:val="002A4B87"/>
    <w:rsid w:val="002A5D5D"/>
    <w:rsid w:val="002B48FE"/>
    <w:rsid w:val="002B7CC2"/>
    <w:rsid w:val="002C04B5"/>
    <w:rsid w:val="002C7C98"/>
    <w:rsid w:val="002D0A2E"/>
    <w:rsid w:val="002D46FE"/>
    <w:rsid w:val="002D59E9"/>
    <w:rsid w:val="002D5F62"/>
    <w:rsid w:val="002E1E93"/>
    <w:rsid w:val="002E4936"/>
    <w:rsid w:val="002E6C89"/>
    <w:rsid w:val="002F240C"/>
    <w:rsid w:val="002F463F"/>
    <w:rsid w:val="002F729A"/>
    <w:rsid w:val="00301B5E"/>
    <w:rsid w:val="00303F39"/>
    <w:rsid w:val="00305E51"/>
    <w:rsid w:val="00306347"/>
    <w:rsid w:val="003073CB"/>
    <w:rsid w:val="00307BF6"/>
    <w:rsid w:val="003106A5"/>
    <w:rsid w:val="00313166"/>
    <w:rsid w:val="003135E0"/>
    <w:rsid w:val="00315026"/>
    <w:rsid w:val="003151A7"/>
    <w:rsid w:val="00316423"/>
    <w:rsid w:val="00317763"/>
    <w:rsid w:val="00317F69"/>
    <w:rsid w:val="00321661"/>
    <w:rsid w:val="00323C7D"/>
    <w:rsid w:val="003277D1"/>
    <w:rsid w:val="00331F16"/>
    <w:rsid w:val="00334079"/>
    <w:rsid w:val="00335272"/>
    <w:rsid w:val="00336B1C"/>
    <w:rsid w:val="003374E4"/>
    <w:rsid w:val="0033794E"/>
    <w:rsid w:val="0034191D"/>
    <w:rsid w:val="00342936"/>
    <w:rsid w:val="00343A8F"/>
    <w:rsid w:val="00344681"/>
    <w:rsid w:val="003508EB"/>
    <w:rsid w:val="003514B9"/>
    <w:rsid w:val="00351B4B"/>
    <w:rsid w:val="00353528"/>
    <w:rsid w:val="00353C2A"/>
    <w:rsid w:val="00354421"/>
    <w:rsid w:val="00355ABF"/>
    <w:rsid w:val="0035679F"/>
    <w:rsid w:val="0036002E"/>
    <w:rsid w:val="0036026A"/>
    <w:rsid w:val="00361C13"/>
    <w:rsid w:val="00361E70"/>
    <w:rsid w:val="0036244E"/>
    <w:rsid w:val="003653B5"/>
    <w:rsid w:val="003657B2"/>
    <w:rsid w:val="003679B1"/>
    <w:rsid w:val="00370203"/>
    <w:rsid w:val="00373DB7"/>
    <w:rsid w:val="00375FDD"/>
    <w:rsid w:val="00380398"/>
    <w:rsid w:val="003807D7"/>
    <w:rsid w:val="00380F0A"/>
    <w:rsid w:val="003819D2"/>
    <w:rsid w:val="003828B8"/>
    <w:rsid w:val="00383787"/>
    <w:rsid w:val="00383D59"/>
    <w:rsid w:val="003858DE"/>
    <w:rsid w:val="003869DE"/>
    <w:rsid w:val="00386A69"/>
    <w:rsid w:val="00387FD4"/>
    <w:rsid w:val="003911BD"/>
    <w:rsid w:val="00392119"/>
    <w:rsid w:val="00392AF1"/>
    <w:rsid w:val="00393D5E"/>
    <w:rsid w:val="00394422"/>
    <w:rsid w:val="00395256"/>
    <w:rsid w:val="00395FF5"/>
    <w:rsid w:val="00396B45"/>
    <w:rsid w:val="00397D3B"/>
    <w:rsid w:val="003A171B"/>
    <w:rsid w:val="003A1D65"/>
    <w:rsid w:val="003A28B9"/>
    <w:rsid w:val="003A2F50"/>
    <w:rsid w:val="003A3460"/>
    <w:rsid w:val="003A4999"/>
    <w:rsid w:val="003A68B6"/>
    <w:rsid w:val="003A7D9B"/>
    <w:rsid w:val="003B03DF"/>
    <w:rsid w:val="003B0B2D"/>
    <w:rsid w:val="003B113A"/>
    <w:rsid w:val="003B201A"/>
    <w:rsid w:val="003B3297"/>
    <w:rsid w:val="003B4F57"/>
    <w:rsid w:val="003C02B4"/>
    <w:rsid w:val="003C1E0F"/>
    <w:rsid w:val="003C52C3"/>
    <w:rsid w:val="003C6D17"/>
    <w:rsid w:val="003D18FF"/>
    <w:rsid w:val="003D239F"/>
    <w:rsid w:val="003D269F"/>
    <w:rsid w:val="003D3D81"/>
    <w:rsid w:val="003D4416"/>
    <w:rsid w:val="003D4F37"/>
    <w:rsid w:val="003D5109"/>
    <w:rsid w:val="003D5A10"/>
    <w:rsid w:val="003E0565"/>
    <w:rsid w:val="003E0944"/>
    <w:rsid w:val="003E0B55"/>
    <w:rsid w:val="003E0C8F"/>
    <w:rsid w:val="003E2469"/>
    <w:rsid w:val="003E51C8"/>
    <w:rsid w:val="003E589E"/>
    <w:rsid w:val="003E6C1B"/>
    <w:rsid w:val="003F03DC"/>
    <w:rsid w:val="003F3634"/>
    <w:rsid w:val="003F4A3C"/>
    <w:rsid w:val="003F4CC3"/>
    <w:rsid w:val="003F4E67"/>
    <w:rsid w:val="003F53A1"/>
    <w:rsid w:val="003F6CCD"/>
    <w:rsid w:val="0040014A"/>
    <w:rsid w:val="00400314"/>
    <w:rsid w:val="00400F97"/>
    <w:rsid w:val="00402AAB"/>
    <w:rsid w:val="00403516"/>
    <w:rsid w:val="0040554A"/>
    <w:rsid w:val="004066B2"/>
    <w:rsid w:val="00406814"/>
    <w:rsid w:val="00406AA7"/>
    <w:rsid w:val="00406F0A"/>
    <w:rsid w:val="00406F30"/>
    <w:rsid w:val="00407823"/>
    <w:rsid w:val="00412A5B"/>
    <w:rsid w:val="004133FA"/>
    <w:rsid w:val="00413648"/>
    <w:rsid w:val="0041597F"/>
    <w:rsid w:val="00415C6C"/>
    <w:rsid w:val="00420D99"/>
    <w:rsid w:val="0042254A"/>
    <w:rsid w:val="004250B1"/>
    <w:rsid w:val="004309EC"/>
    <w:rsid w:val="00431FD2"/>
    <w:rsid w:val="00432BD1"/>
    <w:rsid w:val="00433D37"/>
    <w:rsid w:val="004363A9"/>
    <w:rsid w:val="00440125"/>
    <w:rsid w:val="00441A07"/>
    <w:rsid w:val="004448E7"/>
    <w:rsid w:val="00446B7D"/>
    <w:rsid w:val="00446CF3"/>
    <w:rsid w:val="004470FA"/>
    <w:rsid w:val="0045166F"/>
    <w:rsid w:val="00453CDB"/>
    <w:rsid w:val="004540BB"/>
    <w:rsid w:val="00457F22"/>
    <w:rsid w:val="00460420"/>
    <w:rsid w:val="00462293"/>
    <w:rsid w:val="00463E4B"/>
    <w:rsid w:val="0046467F"/>
    <w:rsid w:val="00464C52"/>
    <w:rsid w:val="00464C8C"/>
    <w:rsid w:val="00466F6B"/>
    <w:rsid w:val="0046737A"/>
    <w:rsid w:val="00467BC8"/>
    <w:rsid w:val="004713B0"/>
    <w:rsid w:val="004727B0"/>
    <w:rsid w:val="00474C0E"/>
    <w:rsid w:val="00476178"/>
    <w:rsid w:val="00476310"/>
    <w:rsid w:val="0047746A"/>
    <w:rsid w:val="00477A67"/>
    <w:rsid w:val="00477BD9"/>
    <w:rsid w:val="0048194F"/>
    <w:rsid w:val="00481CF0"/>
    <w:rsid w:val="00482F35"/>
    <w:rsid w:val="0048317D"/>
    <w:rsid w:val="004834FD"/>
    <w:rsid w:val="00485993"/>
    <w:rsid w:val="00485C08"/>
    <w:rsid w:val="004868B5"/>
    <w:rsid w:val="00486E9F"/>
    <w:rsid w:val="00487348"/>
    <w:rsid w:val="00487613"/>
    <w:rsid w:val="00487BDD"/>
    <w:rsid w:val="00487C75"/>
    <w:rsid w:val="00491A79"/>
    <w:rsid w:val="004931AE"/>
    <w:rsid w:val="004A145D"/>
    <w:rsid w:val="004A240D"/>
    <w:rsid w:val="004A2551"/>
    <w:rsid w:val="004A3B59"/>
    <w:rsid w:val="004A41E9"/>
    <w:rsid w:val="004A4B33"/>
    <w:rsid w:val="004A4BD0"/>
    <w:rsid w:val="004A7138"/>
    <w:rsid w:val="004A7705"/>
    <w:rsid w:val="004B0871"/>
    <w:rsid w:val="004B0C34"/>
    <w:rsid w:val="004B219D"/>
    <w:rsid w:val="004B37A7"/>
    <w:rsid w:val="004B4F54"/>
    <w:rsid w:val="004B5077"/>
    <w:rsid w:val="004C0015"/>
    <w:rsid w:val="004C0917"/>
    <w:rsid w:val="004C1EA9"/>
    <w:rsid w:val="004C39E3"/>
    <w:rsid w:val="004C4294"/>
    <w:rsid w:val="004D086B"/>
    <w:rsid w:val="004D0C14"/>
    <w:rsid w:val="004D0C86"/>
    <w:rsid w:val="004D247C"/>
    <w:rsid w:val="004D4B5F"/>
    <w:rsid w:val="004D5605"/>
    <w:rsid w:val="004D575F"/>
    <w:rsid w:val="004D6471"/>
    <w:rsid w:val="004D6C51"/>
    <w:rsid w:val="004D6D54"/>
    <w:rsid w:val="004E268C"/>
    <w:rsid w:val="004E3353"/>
    <w:rsid w:val="004E5D9C"/>
    <w:rsid w:val="004E5ED6"/>
    <w:rsid w:val="004F083A"/>
    <w:rsid w:val="004F153D"/>
    <w:rsid w:val="004F306E"/>
    <w:rsid w:val="004F4507"/>
    <w:rsid w:val="004F5DEE"/>
    <w:rsid w:val="004F6686"/>
    <w:rsid w:val="004F721C"/>
    <w:rsid w:val="004F7928"/>
    <w:rsid w:val="005023EF"/>
    <w:rsid w:val="00502C4D"/>
    <w:rsid w:val="00503581"/>
    <w:rsid w:val="00503C2C"/>
    <w:rsid w:val="005042AB"/>
    <w:rsid w:val="0050562A"/>
    <w:rsid w:val="00507536"/>
    <w:rsid w:val="00512500"/>
    <w:rsid w:val="00512D47"/>
    <w:rsid w:val="005151DF"/>
    <w:rsid w:val="0051652C"/>
    <w:rsid w:val="00517DB0"/>
    <w:rsid w:val="00520768"/>
    <w:rsid w:val="005209E5"/>
    <w:rsid w:val="00521B76"/>
    <w:rsid w:val="00523C9C"/>
    <w:rsid w:val="00523F7B"/>
    <w:rsid w:val="00524776"/>
    <w:rsid w:val="00524BBD"/>
    <w:rsid w:val="00524D19"/>
    <w:rsid w:val="00525995"/>
    <w:rsid w:val="00526F1F"/>
    <w:rsid w:val="0052751C"/>
    <w:rsid w:val="00527D95"/>
    <w:rsid w:val="00530F26"/>
    <w:rsid w:val="0053208F"/>
    <w:rsid w:val="00534618"/>
    <w:rsid w:val="0053571A"/>
    <w:rsid w:val="00536053"/>
    <w:rsid w:val="0054091D"/>
    <w:rsid w:val="0054367E"/>
    <w:rsid w:val="00543CA9"/>
    <w:rsid w:val="0054423E"/>
    <w:rsid w:val="00547CDF"/>
    <w:rsid w:val="005515EB"/>
    <w:rsid w:val="0055470B"/>
    <w:rsid w:val="00555174"/>
    <w:rsid w:val="00555870"/>
    <w:rsid w:val="005558B3"/>
    <w:rsid w:val="00560594"/>
    <w:rsid w:val="00561315"/>
    <w:rsid w:val="005626A7"/>
    <w:rsid w:val="00564DE9"/>
    <w:rsid w:val="00570AAF"/>
    <w:rsid w:val="00570B5F"/>
    <w:rsid w:val="00570F21"/>
    <w:rsid w:val="0057141E"/>
    <w:rsid w:val="00571D7E"/>
    <w:rsid w:val="0057322F"/>
    <w:rsid w:val="00575ECE"/>
    <w:rsid w:val="00576234"/>
    <w:rsid w:val="005802D3"/>
    <w:rsid w:val="00581C10"/>
    <w:rsid w:val="0059168D"/>
    <w:rsid w:val="005919E4"/>
    <w:rsid w:val="005929A2"/>
    <w:rsid w:val="005932B1"/>
    <w:rsid w:val="005A0757"/>
    <w:rsid w:val="005A0F21"/>
    <w:rsid w:val="005A1151"/>
    <w:rsid w:val="005A4F35"/>
    <w:rsid w:val="005A57AC"/>
    <w:rsid w:val="005A5974"/>
    <w:rsid w:val="005A7BC6"/>
    <w:rsid w:val="005A7C0F"/>
    <w:rsid w:val="005B1F94"/>
    <w:rsid w:val="005B3853"/>
    <w:rsid w:val="005B6E78"/>
    <w:rsid w:val="005C1EFC"/>
    <w:rsid w:val="005C3D5E"/>
    <w:rsid w:val="005C49A1"/>
    <w:rsid w:val="005C6407"/>
    <w:rsid w:val="005D3E8E"/>
    <w:rsid w:val="005D58D2"/>
    <w:rsid w:val="005D6437"/>
    <w:rsid w:val="005D6A56"/>
    <w:rsid w:val="005E05BB"/>
    <w:rsid w:val="005E0CD4"/>
    <w:rsid w:val="005E2A12"/>
    <w:rsid w:val="005E418A"/>
    <w:rsid w:val="005E45DF"/>
    <w:rsid w:val="005E6C50"/>
    <w:rsid w:val="005F0269"/>
    <w:rsid w:val="005F066A"/>
    <w:rsid w:val="005F2A25"/>
    <w:rsid w:val="005F2A4D"/>
    <w:rsid w:val="005F5523"/>
    <w:rsid w:val="005F772B"/>
    <w:rsid w:val="005F7AC8"/>
    <w:rsid w:val="0060013A"/>
    <w:rsid w:val="00600850"/>
    <w:rsid w:val="00602DBB"/>
    <w:rsid w:val="00604606"/>
    <w:rsid w:val="00605890"/>
    <w:rsid w:val="00605EA1"/>
    <w:rsid w:val="006060FD"/>
    <w:rsid w:val="0060758D"/>
    <w:rsid w:val="00610A7F"/>
    <w:rsid w:val="00612469"/>
    <w:rsid w:val="00614833"/>
    <w:rsid w:val="00614A18"/>
    <w:rsid w:val="00615CF4"/>
    <w:rsid w:val="00615E44"/>
    <w:rsid w:val="006234EA"/>
    <w:rsid w:val="006238DE"/>
    <w:rsid w:val="00626380"/>
    <w:rsid w:val="00627868"/>
    <w:rsid w:val="006336C8"/>
    <w:rsid w:val="00634341"/>
    <w:rsid w:val="00634D7A"/>
    <w:rsid w:val="00635310"/>
    <w:rsid w:val="00636616"/>
    <w:rsid w:val="00637B09"/>
    <w:rsid w:val="00640A8C"/>
    <w:rsid w:val="00640CF3"/>
    <w:rsid w:val="00645EFE"/>
    <w:rsid w:val="006465DA"/>
    <w:rsid w:val="00646CA1"/>
    <w:rsid w:val="00647B54"/>
    <w:rsid w:val="00647C15"/>
    <w:rsid w:val="00650157"/>
    <w:rsid w:val="00653CB4"/>
    <w:rsid w:val="0065467D"/>
    <w:rsid w:val="00655D91"/>
    <w:rsid w:val="00656412"/>
    <w:rsid w:val="006615B4"/>
    <w:rsid w:val="006675CF"/>
    <w:rsid w:val="00672186"/>
    <w:rsid w:val="00672A53"/>
    <w:rsid w:val="00673071"/>
    <w:rsid w:val="006730BD"/>
    <w:rsid w:val="00675B4C"/>
    <w:rsid w:val="00676B13"/>
    <w:rsid w:val="006835B2"/>
    <w:rsid w:val="0068463E"/>
    <w:rsid w:val="00691C34"/>
    <w:rsid w:val="006A0506"/>
    <w:rsid w:val="006A3CEC"/>
    <w:rsid w:val="006A3F2E"/>
    <w:rsid w:val="006A40D6"/>
    <w:rsid w:val="006A551B"/>
    <w:rsid w:val="006A6BB1"/>
    <w:rsid w:val="006A747C"/>
    <w:rsid w:val="006A7B09"/>
    <w:rsid w:val="006A7E68"/>
    <w:rsid w:val="006B0AF6"/>
    <w:rsid w:val="006B12E6"/>
    <w:rsid w:val="006B344E"/>
    <w:rsid w:val="006B5FD8"/>
    <w:rsid w:val="006B6475"/>
    <w:rsid w:val="006B6B0C"/>
    <w:rsid w:val="006C00C0"/>
    <w:rsid w:val="006C083D"/>
    <w:rsid w:val="006C13A8"/>
    <w:rsid w:val="006C14D0"/>
    <w:rsid w:val="006C15E1"/>
    <w:rsid w:val="006C1C8C"/>
    <w:rsid w:val="006C21D7"/>
    <w:rsid w:val="006C3B0D"/>
    <w:rsid w:val="006C426F"/>
    <w:rsid w:val="006C4C77"/>
    <w:rsid w:val="006D050E"/>
    <w:rsid w:val="006D05F7"/>
    <w:rsid w:val="006D2439"/>
    <w:rsid w:val="006D25CD"/>
    <w:rsid w:val="006D273E"/>
    <w:rsid w:val="006D2784"/>
    <w:rsid w:val="006D69BC"/>
    <w:rsid w:val="006D70DD"/>
    <w:rsid w:val="006D79A2"/>
    <w:rsid w:val="006E05D3"/>
    <w:rsid w:val="006E087F"/>
    <w:rsid w:val="006E2841"/>
    <w:rsid w:val="006E63F2"/>
    <w:rsid w:val="006E7141"/>
    <w:rsid w:val="006F0D6B"/>
    <w:rsid w:val="006F13CF"/>
    <w:rsid w:val="006F1F6E"/>
    <w:rsid w:val="006F26FB"/>
    <w:rsid w:val="006F2BC3"/>
    <w:rsid w:val="006F2FCE"/>
    <w:rsid w:val="006F30E4"/>
    <w:rsid w:val="006F38DA"/>
    <w:rsid w:val="006F4A04"/>
    <w:rsid w:val="006F5D41"/>
    <w:rsid w:val="006F78AE"/>
    <w:rsid w:val="006F79C9"/>
    <w:rsid w:val="007007A5"/>
    <w:rsid w:val="00702604"/>
    <w:rsid w:val="0070380F"/>
    <w:rsid w:val="00703988"/>
    <w:rsid w:val="007055F6"/>
    <w:rsid w:val="00710284"/>
    <w:rsid w:val="00711A64"/>
    <w:rsid w:val="007123B0"/>
    <w:rsid w:val="00714748"/>
    <w:rsid w:val="007153DE"/>
    <w:rsid w:val="00715B32"/>
    <w:rsid w:val="007179F7"/>
    <w:rsid w:val="0072083C"/>
    <w:rsid w:val="007216A9"/>
    <w:rsid w:val="00722131"/>
    <w:rsid w:val="00722C5C"/>
    <w:rsid w:val="0072301A"/>
    <w:rsid w:val="00725B44"/>
    <w:rsid w:val="0072685F"/>
    <w:rsid w:val="00731CBC"/>
    <w:rsid w:val="007322EE"/>
    <w:rsid w:val="007325D5"/>
    <w:rsid w:val="007327F5"/>
    <w:rsid w:val="00732F87"/>
    <w:rsid w:val="00734173"/>
    <w:rsid w:val="007341E7"/>
    <w:rsid w:val="007347F1"/>
    <w:rsid w:val="00734EE4"/>
    <w:rsid w:val="007354A2"/>
    <w:rsid w:val="00736C51"/>
    <w:rsid w:val="00741586"/>
    <w:rsid w:val="007442B5"/>
    <w:rsid w:val="00746C70"/>
    <w:rsid w:val="00746F87"/>
    <w:rsid w:val="007472CF"/>
    <w:rsid w:val="00747551"/>
    <w:rsid w:val="007504E7"/>
    <w:rsid w:val="00750A2E"/>
    <w:rsid w:val="0075113D"/>
    <w:rsid w:val="0075221D"/>
    <w:rsid w:val="00752469"/>
    <w:rsid w:val="00753C11"/>
    <w:rsid w:val="00754DF0"/>
    <w:rsid w:val="007575E8"/>
    <w:rsid w:val="00762A3C"/>
    <w:rsid w:val="00762F1F"/>
    <w:rsid w:val="00764C4B"/>
    <w:rsid w:val="00770BFE"/>
    <w:rsid w:val="00771EC2"/>
    <w:rsid w:val="00772E3A"/>
    <w:rsid w:val="00772E6C"/>
    <w:rsid w:val="00774ADC"/>
    <w:rsid w:val="00776664"/>
    <w:rsid w:val="007772C6"/>
    <w:rsid w:val="0077749F"/>
    <w:rsid w:val="0077784F"/>
    <w:rsid w:val="0077799E"/>
    <w:rsid w:val="007806B4"/>
    <w:rsid w:val="007810AF"/>
    <w:rsid w:val="00781EB6"/>
    <w:rsid w:val="00782E52"/>
    <w:rsid w:val="007838B8"/>
    <w:rsid w:val="00783D26"/>
    <w:rsid w:val="00783DBA"/>
    <w:rsid w:val="00787454"/>
    <w:rsid w:val="00787799"/>
    <w:rsid w:val="00791318"/>
    <w:rsid w:val="00792212"/>
    <w:rsid w:val="007924C2"/>
    <w:rsid w:val="007924F1"/>
    <w:rsid w:val="0079251A"/>
    <w:rsid w:val="00792B50"/>
    <w:rsid w:val="007936AD"/>
    <w:rsid w:val="007954BB"/>
    <w:rsid w:val="00795E7A"/>
    <w:rsid w:val="007976B8"/>
    <w:rsid w:val="007A0B5F"/>
    <w:rsid w:val="007A2CB2"/>
    <w:rsid w:val="007A315C"/>
    <w:rsid w:val="007A4EFB"/>
    <w:rsid w:val="007A5A03"/>
    <w:rsid w:val="007A5EEB"/>
    <w:rsid w:val="007A5F16"/>
    <w:rsid w:val="007A709F"/>
    <w:rsid w:val="007A72C3"/>
    <w:rsid w:val="007B5CF4"/>
    <w:rsid w:val="007B5F6A"/>
    <w:rsid w:val="007B6739"/>
    <w:rsid w:val="007B7108"/>
    <w:rsid w:val="007C082B"/>
    <w:rsid w:val="007C0F4D"/>
    <w:rsid w:val="007C2122"/>
    <w:rsid w:val="007C2B09"/>
    <w:rsid w:val="007C40C7"/>
    <w:rsid w:val="007C4270"/>
    <w:rsid w:val="007C45AE"/>
    <w:rsid w:val="007C54BC"/>
    <w:rsid w:val="007C753E"/>
    <w:rsid w:val="007D1DA1"/>
    <w:rsid w:val="007D23AD"/>
    <w:rsid w:val="007D3730"/>
    <w:rsid w:val="007D6C22"/>
    <w:rsid w:val="007E012F"/>
    <w:rsid w:val="007E0D22"/>
    <w:rsid w:val="007E1387"/>
    <w:rsid w:val="007E3E21"/>
    <w:rsid w:val="007E67A2"/>
    <w:rsid w:val="007E6E84"/>
    <w:rsid w:val="007E7750"/>
    <w:rsid w:val="007E7E86"/>
    <w:rsid w:val="007F26AD"/>
    <w:rsid w:val="007F2A20"/>
    <w:rsid w:val="007F2F3F"/>
    <w:rsid w:val="007F3E84"/>
    <w:rsid w:val="007F775F"/>
    <w:rsid w:val="007F7899"/>
    <w:rsid w:val="008021CD"/>
    <w:rsid w:val="00802548"/>
    <w:rsid w:val="0080458E"/>
    <w:rsid w:val="0080537E"/>
    <w:rsid w:val="008105BE"/>
    <w:rsid w:val="00810655"/>
    <w:rsid w:val="008119D5"/>
    <w:rsid w:val="008137FE"/>
    <w:rsid w:val="008159AB"/>
    <w:rsid w:val="00816A00"/>
    <w:rsid w:val="00816B60"/>
    <w:rsid w:val="00821843"/>
    <w:rsid w:val="00822698"/>
    <w:rsid w:val="0082320E"/>
    <w:rsid w:val="008251A8"/>
    <w:rsid w:val="00826D1B"/>
    <w:rsid w:val="008270F8"/>
    <w:rsid w:val="008273A1"/>
    <w:rsid w:val="0083175E"/>
    <w:rsid w:val="00832DF9"/>
    <w:rsid w:val="00834121"/>
    <w:rsid w:val="00834BDA"/>
    <w:rsid w:val="0084038E"/>
    <w:rsid w:val="008408EE"/>
    <w:rsid w:val="00841F5C"/>
    <w:rsid w:val="00844695"/>
    <w:rsid w:val="00844771"/>
    <w:rsid w:val="00846328"/>
    <w:rsid w:val="008502DA"/>
    <w:rsid w:val="00851A19"/>
    <w:rsid w:val="00857053"/>
    <w:rsid w:val="00857242"/>
    <w:rsid w:val="00861AE3"/>
    <w:rsid w:val="008624BE"/>
    <w:rsid w:val="00862EA1"/>
    <w:rsid w:val="00865B64"/>
    <w:rsid w:val="008661D9"/>
    <w:rsid w:val="00867DA8"/>
    <w:rsid w:val="008718BD"/>
    <w:rsid w:val="00873BC5"/>
    <w:rsid w:val="0087682E"/>
    <w:rsid w:val="00877912"/>
    <w:rsid w:val="00880344"/>
    <w:rsid w:val="0088086D"/>
    <w:rsid w:val="008823DE"/>
    <w:rsid w:val="008833CD"/>
    <w:rsid w:val="00883504"/>
    <w:rsid w:val="008836D3"/>
    <w:rsid w:val="008842C8"/>
    <w:rsid w:val="008846CE"/>
    <w:rsid w:val="00886DE4"/>
    <w:rsid w:val="0088704F"/>
    <w:rsid w:val="008878F4"/>
    <w:rsid w:val="00891481"/>
    <w:rsid w:val="00894FC8"/>
    <w:rsid w:val="00895315"/>
    <w:rsid w:val="00895664"/>
    <w:rsid w:val="00896351"/>
    <w:rsid w:val="008967CD"/>
    <w:rsid w:val="008976CD"/>
    <w:rsid w:val="008A1D9E"/>
    <w:rsid w:val="008A2470"/>
    <w:rsid w:val="008A24FE"/>
    <w:rsid w:val="008A2AC2"/>
    <w:rsid w:val="008A2EA8"/>
    <w:rsid w:val="008A47FF"/>
    <w:rsid w:val="008A521C"/>
    <w:rsid w:val="008A5269"/>
    <w:rsid w:val="008A590B"/>
    <w:rsid w:val="008A6247"/>
    <w:rsid w:val="008B27B9"/>
    <w:rsid w:val="008B4696"/>
    <w:rsid w:val="008B5409"/>
    <w:rsid w:val="008B5EE0"/>
    <w:rsid w:val="008B7130"/>
    <w:rsid w:val="008C005E"/>
    <w:rsid w:val="008C0FA5"/>
    <w:rsid w:val="008C2048"/>
    <w:rsid w:val="008C2F5E"/>
    <w:rsid w:val="008C323A"/>
    <w:rsid w:val="008C39BB"/>
    <w:rsid w:val="008C3D8D"/>
    <w:rsid w:val="008C4A04"/>
    <w:rsid w:val="008C62ED"/>
    <w:rsid w:val="008C6FF6"/>
    <w:rsid w:val="008C7DB4"/>
    <w:rsid w:val="008D3643"/>
    <w:rsid w:val="008D4002"/>
    <w:rsid w:val="008D5067"/>
    <w:rsid w:val="008D5275"/>
    <w:rsid w:val="008D5AE1"/>
    <w:rsid w:val="008D705F"/>
    <w:rsid w:val="008D7B35"/>
    <w:rsid w:val="008E0948"/>
    <w:rsid w:val="008E1C88"/>
    <w:rsid w:val="008E2FF2"/>
    <w:rsid w:val="008E31BC"/>
    <w:rsid w:val="008E4F8D"/>
    <w:rsid w:val="008E53C7"/>
    <w:rsid w:val="008E572E"/>
    <w:rsid w:val="008E65FD"/>
    <w:rsid w:val="008F063C"/>
    <w:rsid w:val="008F0A81"/>
    <w:rsid w:val="008F0FE2"/>
    <w:rsid w:val="008F23A1"/>
    <w:rsid w:val="008F657B"/>
    <w:rsid w:val="0090013C"/>
    <w:rsid w:val="00900732"/>
    <w:rsid w:val="00900EE6"/>
    <w:rsid w:val="009011B9"/>
    <w:rsid w:val="0090239A"/>
    <w:rsid w:val="00902C91"/>
    <w:rsid w:val="00905A2B"/>
    <w:rsid w:val="009061DE"/>
    <w:rsid w:val="00911943"/>
    <w:rsid w:val="0091297B"/>
    <w:rsid w:val="00913E90"/>
    <w:rsid w:val="009157D7"/>
    <w:rsid w:val="00917FE0"/>
    <w:rsid w:val="0092226B"/>
    <w:rsid w:val="00922C15"/>
    <w:rsid w:val="009233D7"/>
    <w:rsid w:val="009241F2"/>
    <w:rsid w:val="0093101D"/>
    <w:rsid w:val="00931ECC"/>
    <w:rsid w:val="00932682"/>
    <w:rsid w:val="0093337C"/>
    <w:rsid w:val="009336BD"/>
    <w:rsid w:val="00933DB1"/>
    <w:rsid w:val="00935D3B"/>
    <w:rsid w:val="00935EF9"/>
    <w:rsid w:val="00936E62"/>
    <w:rsid w:val="00940E00"/>
    <w:rsid w:val="00943188"/>
    <w:rsid w:val="00943F28"/>
    <w:rsid w:val="00944370"/>
    <w:rsid w:val="00944422"/>
    <w:rsid w:val="0094459C"/>
    <w:rsid w:val="009451E4"/>
    <w:rsid w:val="009453C6"/>
    <w:rsid w:val="009531F2"/>
    <w:rsid w:val="00954BF4"/>
    <w:rsid w:val="009551EF"/>
    <w:rsid w:val="00960086"/>
    <w:rsid w:val="00960CAC"/>
    <w:rsid w:val="009634D2"/>
    <w:rsid w:val="00963ACC"/>
    <w:rsid w:val="0096442B"/>
    <w:rsid w:val="00964E34"/>
    <w:rsid w:val="00964EA7"/>
    <w:rsid w:val="00966023"/>
    <w:rsid w:val="00967563"/>
    <w:rsid w:val="00970404"/>
    <w:rsid w:val="00973AB5"/>
    <w:rsid w:val="00975E40"/>
    <w:rsid w:val="00977858"/>
    <w:rsid w:val="00980346"/>
    <w:rsid w:val="00984243"/>
    <w:rsid w:val="00985903"/>
    <w:rsid w:val="0098697C"/>
    <w:rsid w:val="00987293"/>
    <w:rsid w:val="00987763"/>
    <w:rsid w:val="00987E57"/>
    <w:rsid w:val="00991564"/>
    <w:rsid w:val="0099325E"/>
    <w:rsid w:val="009933FB"/>
    <w:rsid w:val="0099517D"/>
    <w:rsid w:val="00996326"/>
    <w:rsid w:val="0099640E"/>
    <w:rsid w:val="009A0EFF"/>
    <w:rsid w:val="009A1B4A"/>
    <w:rsid w:val="009A50E7"/>
    <w:rsid w:val="009A5133"/>
    <w:rsid w:val="009A654B"/>
    <w:rsid w:val="009B0B77"/>
    <w:rsid w:val="009B25E8"/>
    <w:rsid w:val="009B2813"/>
    <w:rsid w:val="009B4DF4"/>
    <w:rsid w:val="009C253D"/>
    <w:rsid w:val="009C25E3"/>
    <w:rsid w:val="009C28D4"/>
    <w:rsid w:val="009C36D7"/>
    <w:rsid w:val="009C6B86"/>
    <w:rsid w:val="009C78F0"/>
    <w:rsid w:val="009D0377"/>
    <w:rsid w:val="009D2208"/>
    <w:rsid w:val="009D231A"/>
    <w:rsid w:val="009D2463"/>
    <w:rsid w:val="009D61C9"/>
    <w:rsid w:val="009D6263"/>
    <w:rsid w:val="009D6F89"/>
    <w:rsid w:val="009E0E78"/>
    <w:rsid w:val="009E2B39"/>
    <w:rsid w:val="009E3AD4"/>
    <w:rsid w:val="009E6588"/>
    <w:rsid w:val="009E6DC2"/>
    <w:rsid w:val="009F29E1"/>
    <w:rsid w:val="009F61B5"/>
    <w:rsid w:val="009F79A7"/>
    <w:rsid w:val="00A01326"/>
    <w:rsid w:val="00A030E0"/>
    <w:rsid w:val="00A031D5"/>
    <w:rsid w:val="00A07857"/>
    <w:rsid w:val="00A104B1"/>
    <w:rsid w:val="00A1090C"/>
    <w:rsid w:val="00A1103D"/>
    <w:rsid w:val="00A1254D"/>
    <w:rsid w:val="00A135F4"/>
    <w:rsid w:val="00A1481D"/>
    <w:rsid w:val="00A16048"/>
    <w:rsid w:val="00A16A10"/>
    <w:rsid w:val="00A16C3F"/>
    <w:rsid w:val="00A21958"/>
    <w:rsid w:val="00A21BAF"/>
    <w:rsid w:val="00A24535"/>
    <w:rsid w:val="00A248F9"/>
    <w:rsid w:val="00A27377"/>
    <w:rsid w:val="00A30903"/>
    <w:rsid w:val="00A311BC"/>
    <w:rsid w:val="00A3143D"/>
    <w:rsid w:val="00A3347E"/>
    <w:rsid w:val="00A3365A"/>
    <w:rsid w:val="00A33BFC"/>
    <w:rsid w:val="00A35D6D"/>
    <w:rsid w:val="00A35E1B"/>
    <w:rsid w:val="00A36E66"/>
    <w:rsid w:val="00A405DF"/>
    <w:rsid w:val="00A439FF"/>
    <w:rsid w:val="00A4481B"/>
    <w:rsid w:val="00A456B0"/>
    <w:rsid w:val="00A51D65"/>
    <w:rsid w:val="00A55BC7"/>
    <w:rsid w:val="00A562BE"/>
    <w:rsid w:val="00A61179"/>
    <w:rsid w:val="00A61225"/>
    <w:rsid w:val="00A61B21"/>
    <w:rsid w:val="00A61B32"/>
    <w:rsid w:val="00A61D3E"/>
    <w:rsid w:val="00A61E29"/>
    <w:rsid w:val="00A61FE1"/>
    <w:rsid w:val="00A63833"/>
    <w:rsid w:val="00A64EAD"/>
    <w:rsid w:val="00A70298"/>
    <w:rsid w:val="00A72549"/>
    <w:rsid w:val="00A744AF"/>
    <w:rsid w:val="00A75801"/>
    <w:rsid w:val="00A76A7B"/>
    <w:rsid w:val="00A77166"/>
    <w:rsid w:val="00A801DF"/>
    <w:rsid w:val="00A82F63"/>
    <w:rsid w:val="00A844ED"/>
    <w:rsid w:val="00A85157"/>
    <w:rsid w:val="00A855ED"/>
    <w:rsid w:val="00A858BB"/>
    <w:rsid w:val="00A8647B"/>
    <w:rsid w:val="00A87FD2"/>
    <w:rsid w:val="00A9192A"/>
    <w:rsid w:val="00A91E70"/>
    <w:rsid w:val="00A920EF"/>
    <w:rsid w:val="00A9267C"/>
    <w:rsid w:val="00A94898"/>
    <w:rsid w:val="00A94C0C"/>
    <w:rsid w:val="00AA2BA0"/>
    <w:rsid w:val="00AB0FA6"/>
    <w:rsid w:val="00AB128B"/>
    <w:rsid w:val="00AB1EB6"/>
    <w:rsid w:val="00AB3538"/>
    <w:rsid w:val="00AB39D7"/>
    <w:rsid w:val="00AB4BE9"/>
    <w:rsid w:val="00AB58CA"/>
    <w:rsid w:val="00AB6C63"/>
    <w:rsid w:val="00AB7047"/>
    <w:rsid w:val="00AB734D"/>
    <w:rsid w:val="00AB7483"/>
    <w:rsid w:val="00AB7B4D"/>
    <w:rsid w:val="00AB7EFF"/>
    <w:rsid w:val="00AC2059"/>
    <w:rsid w:val="00AC2AD1"/>
    <w:rsid w:val="00AC4A56"/>
    <w:rsid w:val="00AC73C6"/>
    <w:rsid w:val="00AD300D"/>
    <w:rsid w:val="00AD4403"/>
    <w:rsid w:val="00AD4B24"/>
    <w:rsid w:val="00AD5E40"/>
    <w:rsid w:val="00AD69E7"/>
    <w:rsid w:val="00AD78D0"/>
    <w:rsid w:val="00AE259D"/>
    <w:rsid w:val="00AE2FF8"/>
    <w:rsid w:val="00AE4DE3"/>
    <w:rsid w:val="00AE6682"/>
    <w:rsid w:val="00AF1E1C"/>
    <w:rsid w:val="00AF2ECF"/>
    <w:rsid w:val="00AF39AC"/>
    <w:rsid w:val="00AF41C8"/>
    <w:rsid w:val="00AF7CED"/>
    <w:rsid w:val="00B004E6"/>
    <w:rsid w:val="00B02222"/>
    <w:rsid w:val="00B02FBB"/>
    <w:rsid w:val="00B0534A"/>
    <w:rsid w:val="00B0598C"/>
    <w:rsid w:val="00B05A20"/>
    <w:rsid w:val="00B060AE"/>
    <w:rsid w:val="00B07873"/>
    <w:rsid w:val="00B07FAC"/>
    <w:rsid w:val="00B105E6"/>
    <w:rsid w:val="00B10D6B"/>
    <w:rsid w:val="00B13685"/>
    <w:rsid w:val="00B1458C"/>
    <w:rsid w:val="00B157E9"/>
    <w:rsid w:val="00B15ECD"/>
    <w:rsid w:val="00B16DC3"/>
    <w:rsid w:val="00B177C5"/>
    <w:rsid w:val="00B20589"/>
    <w:rsid w:val="00B221A4"/>
    <w:rsid w:val="00B2360E"/>
    <w:rsid w:val="00B2469B"/>
    <w:rsid w:val="00B253A3"/>
    <w:rsid w:val="00B25664"/>
    <w:rsid w:val="00B2618E"/>
    <w:rsid w:val="00B2763F"/>
    <w:rsid w:val="00B31810"/>
    <w:rsid w:val="00B3309B"/>
    <w:rsid w:val="00B34BED"/>
    <w:rsid w:val="00B35557"/>
    <w:rsid w:val="00B368D3"/>
    <w:rsid w:val="00B377FA"/>
    <w:rsid w:val="00B4079C"/>
    <w:rsid w:val="00B4231A"/>
    <w:rsid w:val="00B42954"/>
    <w:rsid w:val="00B45E6C"/>
    <w:rsid w:val="00B462DE"/>
    <w:rsid w:val="00B51782"/>
    <w:rsid w:val="00B518E1"/>
    <w:rsid w:val="00B553CD"/>
    <w:rsid w:val="00B619D0"/>
    <w:rsid w:val="00B61F4B"/>
    <w:rsid w:val="00B63C33"/>
    <w:rsid w:val="00B655A1"/>
    <w:rsid w:val="00B65A77"/>
    <w:rsid w:val="00B664C8"/>
    <w:rsid w:val="00B66C85"/>
    <w:rsid w:val="00B67910"/>
    <w:rsid w:val="00B70373"/>
    <w:rsid w:val="00B73745"/>
    <w:rsid w:val="00B74BFE"/>
    <w:rsid w:val="00B805FB"/>
    <w:rsid w:val="00B81C5C"/>
    <w:rsid w:val="00B83409"/>
    <w:rsid w:val="00B8665E"/>
    <w:rsid w:val="00B87C00"/>
    <w:rsid w:val="00B95180"/>
    <w:rsid w:val="00B96308"/>
    <w:rsid w:val="00B968C6"/>
    <w:rsid w:val="00BA3CB2"/>
    <w:rsid w:val="00BA3FE5"/>
    <w:rsid w:val="00BA4740"/>
    <w:rsid w:val="00BA5358"/>
    <w:rsid w:val="00BA537D"/>
    <w:rsid w:val="00BA6421"/>
    <w:rsid w:val="00BA6DDD"/>
    <w:rsid w:val="00BB0A27"/>
    <w:rsid w:val="00BB0B0B"/>
    <w:rsid w:val="00BB0D04"/>
    <w:rsid w:val="00BB1B22"/>
    <w:rsid w:val="00BB3337"/>
    <w:rsid w:val="00BB6EB2"/>
    <w:rsid w:val="00BB6EC2"/>
    <w:rsid w:val="00BB7BE8"/>
    <w:rsid w:val="00BC0338"/>
    <w:rsid w:val="00BC07AA"/>
    <w:rsid w:val="00BC283D"/>
    <w:rsid w:val="00BC2B37"/>
    <w:rsid w:val="00BC4851"/>
    <w:rsid w:val="00BC4926"/>
    <w:rsid w:val="00BC5515"/>
    <w:rsid w:val="00BC6EFE"/>
    <w:rsid w:val="00BC778D"/>
    <w:rsid w:val="00BC7F02"/>
    <w:rsid w:val="00BD152E"/>
    <w:rsid w:val="00BD25AB"/>
    <w:rsid w:val="00BD2D93"/>
    <w:rsid w:val="00BD3FD5"/>
    <w:rsid w:val="00BD531D"/>
    <w:rsid w:val="00BD5AD0"/>
    <w:rsid w:val="00BD6128"/>
    <w:rsid w:val="00BD650D"/>
    <w:rsid w:val="00BD7C74"/>
    <w:rsid w:val="00BE0A30"/>
    <w:rsid w:val="00BE1452"/>
    <w:rsid w:val="00BE1E7D"/>
    <w:rsid w:val="00BE22A6"/>
    <w:rsid w:val="00BE2447"/>
    <w:rsid w:val="00BE5ED0"/>
    <w:rsid w:val="00BF017A"/>
    <w:rsid w:val="00BF0ED2"/>
    <w:rsid w:val="00BF12C0"/>
    <w:rsid w:val="00BF2948"/>
    <w:rsid w:val="00BF2D38"/>
    <w:rsid w:val="00BF31E4"/>
    <w:rsid w:val="00BF386E"/>
    <w:rsid w:val="00BF5952"/>
    <w:rsid w:val="00BF7AF6"/>
    <w:rsid w:val="00BF7EAB"/>
    <w:rsid w:val="00C02463"/>
    <w:rsid w:val="00C03ADF"/>
    <w:rsid w:val="00C03AFA"/>
    <w:rsid w:val="00C03EC7"/>
    <w:rsid w:val="00C043B0"/>
    <w:rsid w:val="00C06900"/>
    <w:rsid w:val="00C11EE6"/>
    <w:rsid w:val="00C12DAC"/>
    <w:rsid w:val="00C1779F"/>
    <w:rsid w:val="00C21E54"/>
    <w:rsid w:val="00C30567"/>
    <w:rsid w:val="00C31092"/>
    <w:rsid w:val="00C310C9"/>
    <w:rsid w:val="00C328F1"/>
    <w:rsid w:val="00C33026"/>
    <w:rsid w:val="00C3613C"/>
    <w:rsid w:val="00C366A1"/>
    <w:rsid w:val="00C36747"/>
    <w:rsid w:val="00C40E0C"/>
    <w:rsid w:val="00C41404"/>
    <w:rsid w:val="00C43AD0"/>
    <w:rsid w:val="00C4495B"/>
    <w:rsid w:val="00C45AAC"/>
    <w:rsid w:val="00C46346"/>
    <w:rsid w:val="00C4659D"/>
    <w:rsid w:val="00C500E4"/>
    <w:rsid w:val="00C52961"/>
    <w:rsid w:val="00C52B42"/>
    <w:rsid w:val="00C53CF0"/>
    <w:rsid w:val="00C55E6B"/>
    <w:rsid w:val="00C560CA"/>
    <w:rsid w:val="00C574DF"/>
    <w:rsid w:val="00C643BE"/>
    <w:rsid w:val="00C64880"/>
    <w:rsid w:val="00C67431"/>
    <w:rsid w:val="00C707AF"/>
    <w:rsid w:val="00C707FC"/>
    <w:rsid w:val="00C714A7"/>
    <w:rsid w:val="00C71F48"/>
    <w:rsid w:val="00C73F54"/>
    <w:rsid w:val="00C76471"/>
    <w:rsid w:val="00C7708E"/>
    <w:rsid w:val="00C810FF"/>
    <w:rsid w:val="00C82449"/>
    <w:rsid w:val="00C84600"/>
    <w:rsid w:val="00C84608"/>
    <w:rsid w:val="00C84CDE"/>
    <w:rsid w:val="00C87838"/>
    <w:rsid w:val="00C90147"/>
    <w:rsid w:val="00C90295"/>
    <w:rsid w:val="00C905E8"/>
    <w:rsid w:val="00C914E5"/>
    <w:rsid w:val="00C95335"/>
    <w:rsid w:val="00C979D4"/>
    <w:rsid w:val="00CA1841"/>
    <w:rsid w:val="00CA38F0"/>
    <w:rsid w:val="00CA51EB"/>
    <w:rsid w:val="00CA6F3B"/>
    <w:rsid w:val="00CA790C"/>
    <w:rsid w:val="00CB196F"/>
    <w:rsid w:val="00CB3AAF"/>
    <w:rsid w:val="00CB7FAD"/>
    <w:rsid w:val="00CC0022"/>
    <w:rsid w:val="00CC15CB"/>
    <w:rsid w:val="00CC297F"/>
    <w:rsid w:val="00CC2BCE"/>
    <w:rsid w:val="00CC2C6C"/>
    <w:rsid w:val="00CC5016"/>
    <w:rsid w:val="00CD3C7C"/>
    <w:rsid w:val="00CD40E1"/>
    <w:rsid w:val="00CD7EB3"/>
    <w:rsid w:val="00CE13FA"/>
    <w:rsid w:val="00CE1D41"/>
    <w:rsid w:val="00CE205D"/>
    <w:rsid w:val="00CE33E4"/>
    <w:rsid w:val="00CE3FF3"/>
    <w:rsid w:val="00CE4AE9"/>
    <w:rsid w:val="00CE5515"/>
    <w:rsid w:val="00CF1D90"/>
    <w:rsid w:val="00CF2D15"/>
    <w:rsid w:val="00CF303D"/>
    <w:rsid w:val="00CF5501"/>
    <w:rsid w:val="00D0072D"/>
    <w:rsid w:val="00D011F9"/>
    <w:rsid w:val="00D02739"/>
    <w:rsid w:val="00D045F8"/>
    <w:rsid w:val="00D1011D"/>
    <w:rsid w:val="00D10A35"/>
    <w:rsid w:val="00D10DDA"/>
    <w:rsid w:val="00D11263"/>
    <w:rsid w:val="00D13B0B"/>
    <w:rsid w:val="00D13D46"/>
    <w:rsid w:val="00D15CD7"/>
    <w:rsid w:val="00D1674D"/>
    <w:rsid w:val="00D171BA"/>
    <w:rsid w:val="00D17D9D"/>
    <w:rsid w:val="00D17F7C"/>
    <w:rsid w:val="00D2044C"/>
    <w:rsid w:val="00D20492"/>
    <w:rsid w:val="00D20605"/>
    <w:rsid w:val="00D21021"/>
    <w:rsid w:val="00D21422"/>
    <w:rsid w:val="00D21A97"/>
    <w:rsid w:val="00D21FDB"/>
    <w:rsid w:val="00D2229D"/>
    <w:rsid w:val="00D23585"/>
    <w:rsid w:val="00D236A7"/>
    <w:rsid w:val="00D24910"/>
    <w:rsid w:val="00D25EC3"/>
    <w:rsid w:val="00D31088"/>
    <w:rsid w:val="00D3132D"/>
    <w:rsid w:val="00D32154"/>
    <w:rsid w:val="00D32FED"/>
    <w:rsid w:val="00D36C72"/>
    <w:rsid w:val="00D373D5"/>
    <w:rsid w:val="00D374B6"/>
    <w:rsid w:val="00D42C39"/>
    <w:rsid w:val="00D447A2"/>
    <w:rsid w:val="00D44AB7"/>
    <w:rsid w:val="00D44CE6"/>
    <w:rsid w:val="00D4634D"/>
    <w:rsid w:val="00D478D6"/>
    <w:rsid w:val="00D507D6"/>
    <w:rsid w:val="00D50900"/>
    <w:rsid w:val="00D52178"/>
    <w:rsid w:val="00D53FD2"/>
    <w:rsid w:val="00D54CD3"/>
    <w:rsid w:val="00D54FBE"/>
    <w:rsid w:val="00D553DD"/>
    <w:rsid w:val="00D55FF9"/>
    <w:rsid w:val="00D62F1C"/>
    <w:rsid w:val="00D63CBC"/>
    <w:rsid w:val="00D64BD6"/>
    <w:rsid w:val="00D65091"/>
    <w:rsid w:val="00D65C0D"/>
    <w:rsid w:val="00D70AB4"/>
    <w:rsid w:val="00D70CC3"/>
    <w:rsid w:val="00D7114E"/>
    <w:rsid w:val="00D71C4D"/>
    <w:rsid w:val="00D724E7"/>
    <w:rsid w:val="00D725D8"/>
    <w:rsid w:val="00D73E50"/>
    <w:rsid w:val="00D7481B"/>
    <w:rsid w:val="00D74C83"/>
    <w:rsid w:val="00D76522"/>
    <w:rsid w:val="00D7665A"/>
    <w:rsid w:val="00D80F04"/>
    <w:rsid w:val="00D818B7"/>
    <w:rsid w:val="00D82398"/>
    <w:rsid w:val="00D824D4"/>
    <w:rsid w:val="00D82DC6"/>
    <w:rsid w:val="00D8350A"/>
    <w:rsid w:val="00D83C1C"/>
    <w:rsid w:val="00D83F9E"/>
    <w:rsid w:val="00D849C8"/>
    <w:rsid w:val="00D84E9E"/>
    <w:rsid w:val="00D851E2"/>
    <w:rsid w:val="00D8748E"/>
    <w:rsid w:val="00D874EB"/>
    <w:rsid w:val="00D915D3"/>
    <w:rsid w:val="00D91FD0"/>
    <w:rsid w:val="00D9348F"/>
    <w:rsid w:val="00D938B6"/>
    <w:rsid w:val="00D94E83"/>
    <w:rsid w:val="00D95458"/>
    <w:rsid w:val="00D95548"/>
    <w:rsid w:val="00D9750D"/>
    <w:rsid w:val="00DA1AB8"/>
    <w:rsid w:val="00DA2F53"/>
    <w:rsid w:val="00DA40C8"/>
    <w:rsid w:val="00DA560C"/>
    <w:rsid w:val="00DA5AD3"/>
    <w:rsid w:val="00DA6413"/>
    <w:rsid w:val="00DA6A28"/>
    <w:rsid w:val="00DB127B"/>
    <w:rsid w:val="00DB3F2A"/>
    <w:rsid w:val="00DB664E"/>
    <w:rsid w:val="00DB6A28"/>
    <w:rsid w:val="00DB72F6"/>
    <w:rsid w:val="00DB76E2"/>
    <w:rsid w:val="00DC3042"/>
    <w:rsid w:val="00DC427B"/>
    <w:rsid w:val="00DC4A46"/>
    <w:rsid w:val="00DC5B8F"/>
    <w:rsid w:val="00DD1205"/>
    <w:rsid w:val="00DD3EC9"/>
    <w:rsid w:val="00DD42A2"/>
    <w:rsid w:val="00DD61A4"/>
    <w:rsid w:val="00DD646C"/>
    <w:rsid w:val="00DD690E"/>
    <w:rsid w:val="00DD7D9E"/>
    <w:rsid w:val="00DD7DA4"/>
    <w:rsid w:val="00DE1A13"/>
    <w:rsid w:val="00DE23B1"/>
    <w:rsid w:val="00DE3C8C"/>
    <w:rsid w:val="00DE5D6F"/>
    <w:rsid w:val="00DE667A"/>
    <w:rsid w:val="00DE7634"/>
    <w:rsid w:val="00DF02FF"/>
    <w:rsid w:val="00DF21AE"/>
    <w:rsid w:val="00DF3306"/>
    <w:rsid w:val="00DF50E8"/>
    <w:rsid w:val="00DF738D"/>
    <w:rsid w:val="00E014D9"/>
    <w:rsid w:val="00E018E4"/>
    <w:rsid w:val="00E033B1"/>
    <w:rsid w:val="00E049A6"/>
    <w:rsid w:val="00E0572D"/>
    <w:rsid w:val="00E0591A"/>
    <w:rsid w:val="00E10C37"/>
    <w:rsid w:val="00E10ECD"/>
    <w:rsid w:val="00E13040"/>
    <w:rsid w:val="00E13942"/>
    <w:rsid w:val="00E143CB"/>
    <w:rsid w:val="00E16FB6"/>
    <w:rsid w:val="00E2121C"/>
    <w:rsid w:val="00E216DF"/>
    <w:rsid w:val="00E21E84"/>
    <w:rsid w:val="00E21F0C"/>
    <w:rsid w:val="00E24006"/>
    <w:rsid w:val="00E24111"/>
    <w:rsid w:val="00E32FA6"/>
    <w:rsid w:val="00E349DC"/>
    <w:rsid w:val="00E42681"/>
    <w:rsid w:val="00E42E5E"/>
    <w:rsid w:val="00E42EA8"/>
    <w:rsid w:val="00E430AB"/>
    <w:rsid w:val="00E43993"/>
    <w:rsid w:val="00E45BB0"/>
    <w:rsid w:val="00E50013"/>
    <w:rsid w:val="00E504B9"/>
    <w:rsid w:val="00E50C30"/>
    <w:rsid w:val="00E54028"/>
    <w:rsid w:val="00E55AF8"/>
    <w:rsid w:val="00E57867"/>
    <w:rsid w:val="00E57C5E"/>
    <w:rsid w:val="00E57CB2"/>
    <w:rsid w:val="00E60980"/>
    <w:rsid w:val="00E611D0"/>
    <w:rsid w:val="00E61575"/>
    <w:rsid w:val="00E61DF5"/>
    <w:rsid w:val="00E62463"/>
    <w:rsid w:val="00E64059"/>
    <w:rsid w:val="00E6645F"/>
    <w:rsid w:val="00E72239"/>
    <w:rsid w:val="00E7371C"/>
    <w:rsid w:val="00E75AD8"/>
    <w:rsid w:val="00E801F4"/>
    <w:rsid w:val="00E81338"/>
    <w:rsid w:val="00E82BFB"/>
    <w:rsid w:val="00E8438F"/>
    <w:rsid w:val="00E84C6D"/>
    <w:rsid w:val="00E85640"/>
    <w:rsid w:val="00E856C2"/>
    <w:rsid w:val="00E86003"/>
    <w:rsid w:val="00E86FD2"/>
    <w:rsid w:val="00E87405"/>
    <w:rsid w:val="00E879D7"/>
    <w:rsid w:val="00E93F46"/>
    <w:rsid w:val="00E94223"/>
    <w:rsid w:val="00E950CF"/>
    <w:rsid w:val="00E97140"/>
    <w:rsid w:val="00E972B9"/>
    <w:rsid w:val="00E97368"/>
    <w:rsid w:val="00EA0958"/>
    <w:rsid w:val="00EA0FC2"/>
    <w:rsid w:val="00EA111B"/>
    <w:rsid w:val="00EA14BA"/>
    <w:rsid w:val="00EA180C"/>
    <w:rsid w:val="00EA69C9"/>
    <w:rsid w:val="00EA705D"/>
    <w:rsid w:val="00EA73B5"/>
    <w:rsid w:val="00EB361C"/>
    <w:rsid w:val="00EB41F4"/>
    <w:rsid w:val="00EB626F"/>
    <w:rsid w:val="00EB6396"/>
    <w:rsid w:val="00EB694B"/>
    <w:rsid w:val="00EB7C22"/>
    <w:rsid w:val="00EB7D4D"/>
    <w:rsid w:val="00EB7F64"/>
    <w:rsid w:val="00EC0C33"/>
    <w:rsid w:val="00EC1DF8"/>
    <w:rsid w:val="00EC3BB3"/>
    <w:rsid w:val="00EC3D69"/>
    <w:rsid w:val="00EC4068"/>
    <w:rsid w:val="00EC6177"/>
    <w:rsid w:val="00EC799D"/>
    <w:rsid w:val="00EC7DB9"/>
    <w:rsid w:val="00ED0606"/>
    <w:rsid w:val="00ED12C1"/>
    <w:rsid w:val="00ED15E3"/>
    <w:rsid w:val="00ED1D0C"/>
    <w:rsid w:val="00ED36E9"/>
    <w:rsid w:val="00ED4B5B"/>
    <w:rsid w:val="00ED4E84"/>
    <w:rsid w:val="00ED54AD"/>
    <w:rsid w:val="00EE193D"/>
    <w:rsid w:val="00EE461C"/>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54FA"/>
    <w:rsid w:val="00F05C8A"/>
    <w:rsid w:val="00F070F2"/>
    <w:rsid w:val="00F07E64"/>
    <w:rsid w:val="00F10AAD"/>
    <w:rsid w:val="00F11937"/>
    <w:rsid w:val="00F1311B"/>
    <w:rsid w:val="00F13665"/>
    <w:rsid w:val="00F13979"/>
    <w:rsid w:val="00F152DF"/>
    <w:rsid w:val="00F16032"/>
    <w:rsid w:val="00F16B24"/>
    <w:rsid w:val="00F16EA4"/>
    <w:rsid w:val="00F17FD3"/>
    <w:rsid w:val="00F207D2"/>
    <w:rsid w:val="00F21BAF"/>
    <w:rsid w:val="00F21D1C"/>
    <w:rsid w:val="00F238E7"/>
    <w:rsid w:val="00F254B6"/>
    <w:rsid w:val="00F267DB"/>
    <w:rsid w:val="00F2694E"/>
    <w:rsid w:val="00F26A59"/>
    <w:rsid w:val="00F27003"/>
    <w:rsid w:val="00F3030B"/>
    <w:rsid w:val="00F31642"/>
    <w:rsid w:val="00F32768"/>
    <w:rsid w:val="00F328FF"/>
    <w:rsid w:val="00F33D4E"/>
    <w:rsid w:val="00F347A6"/>
    <w:rsid w:val="00F354E4"/>
    <w:rsid w:val="00F3555A"/>
    <w:rsid w:val="00F37EB1"/>
    <w:rsid w:val="00F403BA"/>
    <w:rsid w:val="00F40716"/>
    <w:rsid w:val="00F42D86"/>
    <w:rsid w:val="00F43000"/>
    <w:rsid w:val="00F4359F"/>
    <w:rsid w:val="00F46078"/>
    <w:rsid w:val="00F5177A"/>
    <w:rsid w:val="00F53AE8"/>
    <w:rsid w:val="00F54765"/>
    <w:rsid w:val="00F55DC8"/>
    <w:rsid w:val="00F55EB5"/>
    <w:rsid w:val="00F60ED1"/>
    <w:rsid w:val="00F61024"/>
    <w:rsid w:val="00F6142C"/>
    <w:rsid w:val="00F61569"/>
    <w:rsid w:val="00F615A4"/>
    <w:rsid w:val="00F61A3F"/>
    <w:rsid w:val="00F623A0"/>
    <w:rsid w:val="00F63DCF"/>
    <w:rsid w:val="00F64D3B"/>
    <w:rsid w:val="00F64F55"/>
    <w:rsid w:val="00F653C3"/>
    <w:rsid w:val="00F660E2"/>
    <w:rsid w:val="00F71491"/>
    <w:rsid w:val="00F726FC"/>
    <w:rsid w:val="00F73855"/>
    <w:rsid w:val="00F756B2"/>
    <w:rsid w:val="00F75C37"/>
    <w:rsid w:val="00F77590"/>
    <w:rsid w:val="00F824AC"/>
    <w:rsid w:val="00F82EB8"/>
    <w:rsid w:val="00F83200"/>
    <w:rsid w:val="00F84F1C"/>
    <w:rsid w:val="00F84FA3"/>
    <w:rsid w:val="00F8541A"/>
    <w:rsid w:val="00F91ACE"/>
    <w:rsid w:val="00F9625D"/>
    <w:rsid w:val="00FA02B2"/>
    <w:rsid w:val="00FA6561"/>
    <w:rsid w:val="00FA6EEF"/>
    <w:rsid w:val="00FA72EA"/>
    <w:rsid w:val="00FB0DD9"/>
    <w:rsid w:val="00FB2A65"/>
    <w:rsid w:val="00FB4048"/>
    <w:rsid w:val="00FC082E"/>
    <w:rsid w:val="00FC28B8"/>
    <w:rsid w:val="00FC2BF2"/>
    <w:rsid w:val="00FC5624"/>
    <w:rsid w:val="00FC766A"/>
    <w:rsid w:val="00FD0FEE"/>
    <w:rsid w:val="00FD12EA"/>
    <w:rsid w:val="00FD1501"/>
    <w:rsid w:val="00FD1893"/>
    <w:rsid w:val="00FD26D0"/>
    <w:rsid w:val="00FD37DF"/>
    <w:rsid w:val="00FD5B50"/>
    <w:rsid w:val="00FD6297"/>
    <w:rsid w:val="00FD77CF"/>
    <w:rsid w:val="00FE7AD7"/>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semiHidden/>
    <w:rsid w:val="0034191D"/>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077B41"/>
    <w:rPr>
      <w:sz w:val="20"/>
      <w:szCs w:val="20"/>
    </w:rPr>
  </w:style>
  <w:style w:type="character" w:customStyle="1" w:styleId="EndnoteTextChar">
    <w:name w:val="Endnote Text Char"/>
    <w:basedOn w:val="DefaultParagraphFont"/>
    <w:link w:val="EndnoteText"/>
    <w:uiPriority w:val="99"/>
    <w:semiHidden/>
    <w:rsid w:val="00077B4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77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E05C-B1A6-46A0-9F8A-85823860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Ayanda Mdletshe</cp:lastModifiedBy>
  <cp:revision>2</cp:revision>
  <cp:lastPrinted>2022-11-23T12:54:00Z</cp:lastPrinted>
  <dcterms:created xsi:type="dcterms:W3CDTF">2022-12-01T11:44:00Z</dcterms:created>
  <dcterms:modified xsi:type="dcterms:W3CDTF">2022-12-01T11:44:00Z</dcterms:modified>
</cp:coreProperties>
</file>