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E2828" w14:textId="77777777" w:rsidR="00093030" w:rsidRPr="006B5398" w:rsidRDefault="00093030" w:rsidP="00093030">
      <w:pPr>
        <w:spacing w:line="360" w:lineRule="auto"/>
        <w:jc w:val="both"/>
        <w:rPr>
          <w:sz w:val="28"/>
          <w:szCs w:val="28"/>
        </w:rPr>
      </w:pPr>
    </w:p>
    <w:p w14:paraId="31F75595" w14:textId="77777777" w:rsidR="00093030" w:rsidRPr="006B5398" w:rsidRDefault="00093030" w:rsidP="006470B0">
      <w:pPr>
        <w:spacing w:line="360" w:lineRule="auto"/>
        <w:rPr>
          <w:b/>
          <w:bCs/>
          <w:sz w:val="28"/>
          <w:szCs w:val="28"/>
        </w:rPr>
      </w:pPr>
      <w:r w:rsidRPr="006B5398">
        <w:rPr>
          <w:sz w:val="28"/>
          <w:szCs w:val="28"/>
        </w:rPr>
        <w:tab/>
      </w:r>
      <w:r w:rsidRPr="006B5398">
        <w:rPr>
          <w:sz w:val="28"/>
          <w:szCs w:val="28"/>
        </w:rPr>
        <w:tab/>
      </w:r>
      <w:r w:rsidRPr="006B5398">
        <w:rPr>
          <w:sz w:val="28"/>
          <w:szCs w:val="28"/>
        </w:rPr>
        <w:tab/>
      </w:r>
    </w:p>
    <w:p w14:paraId="789B00CE" w14:textId="77777777" w:rsidR="00093030" w:rsidRPr="006B5398" w:rsidRDefault="00093030" w:rsidP="006470B0">
      <w:pPr>
        <w:spacing w:line="360" w:lineRule="auto"/>
        <w:jc w:val="center"/>
        <w:rPr>
          <w:b/>
          <w:bCs/>
          <w:sz w:val="28"/>
          <w:szCs w:val="28"/>
        </w:rPr>
      </w:pPr>
    </w:p>
    <w:p w14:paraId="6D7ACA35" w14:textId="77777777" w:rsidR="00093030" w:rsidRPr="006B5398" w:rsidRDefault="00093030" w:rsidP="006470B0">
      <w:pPr>
        <w:spacing w:line="360" w:lineRule="auto"/>
        <w:jc w:val="center"/>
        <w:rPr>
          <w:b/>
          <w:bCs/>
          <w:sz w:val="28"/>
          <w:szCs w:val="28"/>
        </w:rPr>
      </w:pPr>
    </w:p>
    <w:p w14:paraId="1AAC3856" w14:textId="77777777" w:rsidR="00093030" w:rsidRPr="006B5398" w:rsidRDefault="00093030" w:rsidP="006470B0">
      <w:pPr>
        <w:spacing w:line="360" w:lineRule="auto"/>
        <w:jc w:val="center"/>
        <w:rPr>
          <w:b/>
          <w:bCs/>
          <w:sz w:val="28"/>
          <w:szCs w:val="28"/>
        </w:rPr>
      </w:pPr>
      <w:r w:rsidRPr="006B5398">
        <w:rPr>
          <w:noProof/>
          <w:lang w:eastAsia="en-ZA"/>
        </w:rPr>
        <w:drawing>
          <wp:anchor distT="0" distB="0" distL="114300" distR="114300" simplePos="0" relativeHeight="251659264" behindDoc="0" locked="0" layoutInCell="1" allowOverlap="1" wp14:anchorId="0FF54555" wp14:editId="4F7182DA">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BF9F011" w14:textId="77777777" w:rsidR="00093030" w:rsidRPr="006B5398" w:rsidRDefault="00093030" w:rsidP="006470B0">
      <w:pPr>
        <w:spacing w:line="360" w:lineRule="auto"/>
        <w:jc w:val="center"/>
        <w:rPr>
          <w:b/>
          <w:bCs/>
          <w:sz w:val="28"/>
          <w:szCs w:val="28"/>
        </w:rPr>
      </w:pPr>
    </w:p>
    <w:p w14:paraId="1E7B9831" w14:textId="77777777" w:rsidR="00093030" w:rsidRPr="006B5398" w:rsidRDefault="00093030" w:rsidP="006470B0">
      <w:pPr>
        <w:spacing w:line="360" w:lineRule="auto"/>
        <w:jc w:val="center"/>
        <w:rPr>
          <w:b/>
          <w:bCs/>
          <w:sz w:val="28"/>
          <w:szCs w:val="28"/>
        </w:rPr>
      </w:pPr>
      <w:r w:rsidRPr="006B5398">
        <w:rPr>
          <w:b/>
          <w:bCs/>
          <w:sz w:val="28"/>
          <w:szCs w:val="28"/>
        </w:rPr>
        <w:t>THE SUPREME COURT OF APPEAL OF SOUTH AFRICA</w:t>
      </w:r>
    </w:p>
    <w:p w14:paraId="068A4561" w14:textId="77777777" w:rsidR="00093030" w:rsidRPr="006B5398" w:rsidRDefault="00093030" w:rsidP="006470B0">
      <w:pPr>
        <w:pStyle w:val="Heading3"/>
        <w:jc w:val="center"/>
        <w:rPr>
          <w:rFonts w:ascii="Times New Roman" w:hAnsi="Times New Roman" w:cs="Times New Roman"/>
          <w:b/>
          <w:i w:val="0"/>
          <w:szCs w:val="28"/>
        </w:rPr>
      </w:pPr>
      <w:r w:rsidRPr="006B5398">
        <w:rPr>
          <w:rFonts w:ascii="Times New Roman" w:hAnsi="Times New Roman" w:cs="Times New Roman"/>
          <w:b/>
          <w:i w:val="0"/>
          <w:szCs w:val="28"/>
        </w:rPr>
        <w:t>JUDGMENT</w:t>
      </w:r>
    </w:p>
    <w:p w14:paraId="019448D9" w14:textId="77777777" w:rsidR="00093030" w:rsidRPr="006B5398" w:rsidRDefault="00093030" w:rsidP="006470B0">
      <w:pPr>
        <w:spacing w:line="360" w:lineRule="auto"/>
        <w:jc w:val="center"/>
        <w:rPr>
          <w:b/>
          <w:bCs/>
          <w:sz w:val="28"/>
          <w:szCs w:val="28"/>
        </w:rPr>
      </w:pPr>
      <w:r w:rsidRPr="006B5398">
        <w:rPr>
          <w:sz w:val="28"/>
          <w:szCs w:val="28"/>
        </w:rPr>
        <w:tab/>
      </w:r>
    </w:p>
    <w:p w14:paraId="30BB5F8F" w14:textId="100B5FFE" w:rsidR="00093030" w:rsidRPr="006B5398" w:rsidRDefault="00093030" w:rsidP="006470B0">
      <w:pPr>
        <w:spacing w:line="360" w:lineRule="auto"/>
        <w:jc w:val="right"/>
        <w:rPr>
          <w:b/>
          <w:sz w:val="28"/>
          <w:szCs w:val="28"/>
        </w:rPr>
      </w:pPr>
      <w:r w:rsidRPr="006B5398">
        <w:rPr>
          <w:b/>
          <w:sz w:val="28"/>
          <w:szCs w:val="28"/>
        </w:rPr>
        <w:t>Reportable</w:t>
      </w:r>
    </w:p>
    <w:p w14:paraId="1F4DC9AB" w14:textId="77777777" w:rsidR="00093030" w:rsidRPr="006B5398" w:rsidRDefault="00093030" w:rsidP="006470B0">
      <w:pPr>
        <w:spacing w:line="360" w:lineRule="auto"/>
        <w:jc w:val="right"/>
        <w:rPr>
          <w:sz w:val="28"/>
          <w:szCs w:val="28"/>
        </w:rPr>
      </w:pPr>
      <w:r w:rsidRPr="006B5398">
        <w:rPr>
          <w:sz w:val="28"/>
          <w:szCs w:val="28"/>
        </w:rPr>
        <w:t>Case no: 1</w:t>
      </w:r>
      <w:r w:rsidR="000E26CD" w:rsidRPr="006B5398">
        <w:rPr>
          <w:sz w:val="28"/>
          <w:szCs w:val="28"/>
        </w:rPr>
        <w:t>147/2020</w:t>
      </w:r>
    </w:p>
    <w:p w14:paraId="063E6680" w14:textId="77777777" w:rsidR="00093030" w:rsidRPr="006B5398" w:rsidRDefault="00093030" w:rsidP="006470B0">
      <w:pPr>
        <w:spacing w:line="360" w:lineRule="auto"/>
        <w:rPr>
          <w:sz w:val="28"/>
          <w:szCs w:val="28"/>
        </w:rPr>
      </w:pPr>
    </w:p>
    <w:p w14:paraId="22EEEF44" w14:textId="77777777" w:rsidR="00093030" w:rsidRPr="006B5398" w:rsidRDefault="00093030" w:rsidP="006470B0">
      <w:pPr>
        <w:spacing w:line="360" w:lineRule="auto"/>
        <w:rPr>
          <w:sz w:val="28"/>
          <w:szCs w:val="28"/>
        </w:rPr>
      </w:pPr>
      <w:r w:rsidRPr="006B5398">
        <w:rPr>
          <w:sz w:val="28"/>
          <w:szCs w:val="28"/>
        </w:rPr>
        <w:t>In the matter between:</w:t>
      </w:r>
    </w:p>
    <w:p w14:paraId="435DCCB9" w14:textId="77777777" w:rsidR="00093030" w:rsidRPr="006B5398" w:rsidRDefault="00FD6F02" w:rsidP="006470B0">
      <w:pPr>
        <w:tabs>
          <w:tab w:val="left" w:pos="720"/>
          <w:tab w:val="left" w:pos="1440"/>
          <w:tab w:val="left" w:pos="2160"/>
          <w:tab w:val="left" w:pos="2880"/>
          <w:tab w:val="left" w:pos="3600"/>
          <w:tab w:val="left" w:pos="4320"/>
          <w:tab w:val="left" w:pos="5040"/>
          <w:tab w:val="left" w:pos="6237"/>
        </w:tabs>
        <w:spacing w:line="360" w:lineRule="auto"/>
        <w:jc w:val="both"/>
        <w:rPr>
          <w:b/>
          <w:sz w:val="28"/>
          <w:szCs w:val="28"/>
        </w:rPr>
      </w:pPr>
      <w:r w:rsidRPr="006B5398">
        <w:rPr>
          <w:b/>
          <w:bCs/>
          <w:sz w:val="28"/>
          <w:szCs w:val="28"/>
        </w:rPr>
        <w:t>ROAD ACCIDENT FUND</w:t>
      </w:r>
      <w:r w:rsidR="00093030" w:rsidRPr="006B5398">
        <w:rPr>
          <w:b/>
          <w:bCs/>
          <w:sz w:val="28"/>
          <w:szCs w:val="28"/>
        </w:rPr>
        <w:tab/>
      </w:r>
      <w:r w:rsidR="00093030" w:rsidRPr="006B5398">
        <w:rPr>
          <w:b/>
          <w:bCs/>
          <w:sz w:val="28"/>
          <w:szCs w:val="28"/>
        </w:rPr>
        <w:tab/>
      </w:r>
      <w:r w:rsidR="00093030" w:rsidRPr="006B5398">
        <w:rPr>
          <w:b/>
          <w:bCs/>
          <w:sz w:val="28"/>
          <w:szCs w:val="28"/>
        </w:rPr>
        <w:tab/>
      </w:r>
      <w:r w:rsidR="000E2E0D" w:rsidRPr="006B5398">
        <w:rPr>
          <w:b/>
          <w:sz w:val="28"/>
          <w:szCs w:val="28"/>
        </w:rPr>
        <w:tab/>
      </w:r>
      <w:r w:rsidR="000E2E0D" w:rsidRPr="006B5398">
        <w:rPr>
          <w:b/>
          <w:bCs/>
          <w:sz w:val="28"/>
          <w:szCs w:val="28"/>
        </w:rPr>
        <w:t xml:space="preserve">FIRST </w:t>
      </w:r>
      <w:r w:rsidR="000E2E0D" w:rsidRPr="006B5398">
        <w:rPr>
          <w:b/>
          <w:sz w:val="28"/>
          <w:szCs w:val="28"/>
        </w:rPr>
        <w:t>APPELLANT</w:t>
      </w:r>
    </w:p>
    <w:p w14:paraId="00839C35" w14:textId="77777777" w:rsidR="00FD6F02" w:rsidRPr="006B5398" w:rsidRDefault="00FD6F02" w:rsidP="006470B0">
      <w:pPr>
        <w:spacing w:line="360" w:lineRule="auto"/>
        <w:jc w:val="both"/>
        <w:rPr>
          <w:b/>
          <w:sz w:val="28"/>
          <w:szCs w:val="28"/>
        </w:rPr>
      </w:pPr>
    </w:p>
    <w:p w14:paraId="540C4185" w14:textId="77777777" w:rsidR="00FD6F02" w:rsidRPr="006B5398" w:rsidRDefault="00FD6F02" w:rsidP="006470B0">
      <w:pPr>
        <w:tabs>
          <w:tab w:val="left" w:pos="5723"/>
        </w:tabs>
        <w:spacing w:line="360" w:lineRule="auto"/>
        <w:jc w:val="both"/>
        <w:rPr>
          <w:b/>
          <w:sz w:val="28"/>
          <w:szCs w:val="28"/>
        </w:rPr>
      </w:pPr>
      <w:r w:rsidRPr="006B5398">
        <w:rPr>
          <w:b/>
          <w:sz w:val="28"/>
          <w:szCs w:val="28"/>
        </w:rPr>
        <w:t>THE CHAIRPERSON OF THE BOARD</w:t>
      </w:r>
    </w:p>
    <w:p w14:paraId="753A61DB" w14:textId="77777777" w:rsidR="00FD6F02" w:rsidRPr="006B5398" w:rsidRDefault="00FD6F02" w:rsidP="006470B0">
      <w:pPr>
        <w:tabs>
          <w:tab w:val="left" w:pos="5812"/>
        </w:tabs>
        <w:spacing w:line="360" w:lineRule="auto"/>
        <w:jc w:val="both"/>
        <w:rPr>
          <w:b/>
          <w:sz w:val="28"/>
          <w:szCs w:val="28"/>
        </w:rPr>
      </w:pPr>
      <w:r w:rsidRPr="006B5398">
        <w:rPr>
          <w:b/>
          <w:sz w:val="28"/>
          <w:szCs w:val="28"/>
        </w:rPr>
        <w:t>OF THE ROAD ACCIDENT FUND</w:t>
      </w:r>
      <w:r w:rsidR="000E2E0D" w:rsidRPr="006B5398">
        <w:rPr>
          <w:b/>
          <w:sz w:val="28"/>
          <w:szCs w:val="28"/>
        </w:rPr>
        <w:tab/>
        <w:t>SECOND APPELLANT</w:t>
      </w:r>
    </w:p>
    <w:p w14:paraId="5BC9125B" w14:textId="77777777" w:rsidR="00FD6F02" w:rsidRPr="006B5398" w:rsidRDefault="00FD6F02" w:rsidP="006470B0">
      <w:pPr>
        <w:spacing w:line="360" w:lineRule="auto"/>
        <w:jc w:val="both"/>
        <w:rPr>
          <w:b/>
          <w:sz w:val="28"/>
          <w:szCs w:val="28"/>
        </w:rPr>
      </w:pPr>
    </w:p>
    <w:p w14:paraId="4BD21A61" w14:textId="77777777" w:rsidR="00FD6F02" w:rsidRPr="006B5398" w:rsidRDefault="003B79A8" w:rsidP="006470B0">
      <w:pPr>
        <w:tabs>
          <w:tab w:val="left" w:pos="5695"/>
        </w:tabs>
        <w:spacing w:line="360" w:lineRule="auto"/>
        <w:jc w:val="both"/>
        <w:rPr>
          <w:b/>
          <w:sz w:val="28"/>
          <w:szCs w:val="28"/>
        </w:rPr>
      </w:pPr>
      <w:r w:rsidRPr="006B5398">
        <w:rPr>
          <w:b/>
          <w:sz w:val="28"/>
          <w:szCs w:val="28"/>
        </w:rPr>
        <w:t>ACTING CHIEF EXECUTIVE OFFICER</w:t>
      </w:r>
    </w:p>
    <w:p w14:paraId="564AD59A" w14:textId="77777777" w:rsidR="003B79A8" w:rsidRPr="006B5398" w:rsidRDefault="003B79A8" w:rsidP="006470B0">
      <w:pPr>
        <w:tabs>
          <w:tab w:val="left" w:pos="5695"/>
        </w:tabs>
        <w:spacing w:line="360" w:lineRule="auto"/>
        <w:jc w:val="both"/>
        <w:rPr>
          <w:b/>
          <w:sz w:val="28"/>
          <w:szCs w:val="28"/>
        </w:rPr>
      </w:pPr>
      <w:r w:rsidRPr="006B5398">
        <w:rPr>
          <w:b/>
          <w:sz w:val="28"/>
          <w:szCs w:val="28"/>
        </w:rPr>
        <w:t xml:space="preserve">OF THE </w:t>
      </w:r>
      <w:r w:rsidR="00332B95" w:rsidRPr="006B5398">
        <w:rPr>
          <w:b/>
          <w:sz w:val="28"/>
          <w:szCs w:val="28"/>
        </w:rPr>
        <w:t>ROAD ACCIDENT FUND</w:t>
      </w:r>
      <w:r w:rsidR="006470B0" w:rsidRPr="006B5398">
        <w:rPr>
          <w:b/>
          <w:sz w:val="28"/>
          <w:szCs w:val="28"/>
        </w:rPr>
        <w:tab/>
        <w:t xml:space="preserve">      THIRD APPELLANT</w:t>
      </w:r>
    </w:p>
    <w:p w14:paraId="0FF15109" w14:textId="77777777" w:rsidR="001D64F6" w:rsidRPr="006B5398" w:rsidRDefault="001D64F6" w:rsidP="006470B0">
      <w:pPr>
        <w:tabs>
          <w:tab w:val="left" w:pos="5695"/>
        </w:tabs>
        <w:spacing w:line="360" w:lineRule="auto"/>
        <w:jc w:val="both"/>
        <w:rPr>
          <w:b/>
          <w:sz w:val="28"/>
          <w:szCs w:val="28"/>
        </w:rPr>
      </w:pPr>
    </w:p>
    <w:p w14:paraId="37BE82D0" w14:textId="77777777" w:rsidR="003B79A8" w:rsidRPr="006B5398" w:rsidRDefault="003B79A8" w:rsidP="006470B0">
      <w:pPr>
        <w:tabs>
          <w:tab w:val="left" w:pos="5695"/>
        </w:tabs>
        <w:spacing w:line="360" w:lineRule="auto"/>
        <w:jc w:val="both"/>
        <w:rPr>
          <w:b/>
          <w:sz w:val="28"/>
          <w:szCs w:val="28"/>
        </w:rPr>
      </w:pPr>
      <w:r w:rsidRPr="006B5398">
        <w:rPr>
          <w:b/>
          <w:sz w:val="28"/>
          <w:szCs w:val="28"/>
        </w:rPr>
        <w:t>MINISTER OF TRANSPORT                                  FOURTH APPELLANT</w:t>
      </w:r>
    </w:p>
    <w:p w14:paraId="22AD366A" w14:textId="77777777" w:rsidR="00332B95" w:rsidRPr="006B5398" w:rsidRDefault="00332B95" w:rsidP="006470B0">
      <w:pPr>
        <w:spacing w:line="360" w:lineRule="auto"/>
        <w:jc w:val="both"/>
        <w:rPr>
          <w:sz w:val="28"/>
          <w:szCs w:val="28"/>
        </w:rPr>
      </w:pPr>
    </w:p>
    <w:p w14:paraId="6A0D339B" w14:textId="77777777" w:rsidR="00093030" w:rsidRPr="006B5398" w:rsidRDefault="00093030" w:rsidP="006470B0">
      <w:pPr>
        <w:spacing w:line="360" w:lineRule="auto"/>
        <w:jc w:val="both"/>
        <w:rPr>
          <w:sz w:val="28"/>
          <w:szCs w:val="28"/>
        </w:rPr>
      </w:pPr>
      <w:r w:rsidRPr="006B5398">
        <w:rPr>
          <w:sz w:val="28"/>
          <w:szCs w:val="28"/>
        </w:rPr>
        <w:t>and</w:t>
      </w:r>
    </w:p>
    <w:p w14:paraId="1781BCDE" w14:textId="77777777" w:rsidR="00332B95" w:rsidRPr="006B5398" w:rsidRDefault="00332B95" w:rsidP="006470B0">
      <w:pPr>
        <w:tabs>
          <w:tab w:val="left" w:pos="720"/>
          <w:tab w:val="left" w:pos="1440"/>
          <w:tab w:val="left" w:pos="2160"/>
          <w:tab w:val="left" w:pos="2880"/>
          <w:tab w:val="left" w:pos="3600"/>
          <w:tab w:val="left" w:pos="4320"/>
          <w:tab w:val="left" w:pos="5040"/>
          <w:tab w:val="left" w:pos="5670"/>
        </w:tabs>
        <w:spacing w:line="360" w:lineRule="auto"/>
        <w:jc w:val="both"/>
        <w:rPr>
          <w:b/>
          <w:bCs/>
          <w:sz w:val="28"/>
          <w:szCs w:val="28"/>
        </w:rPr>
      </w:pPr>
    </w:p>
    <w:p w14:paraId="67375847" w14:textId="77777777" w:rsidR="003B79A8" w:rsidRPr="006B5398" w:rsidRDefault="003B79A8" w:rsidP="006470B0">
      <w:pPr>
        <w:tabs>
          <w:tab w:val="left" w:pos="720"/>
          <w:tab w:val="left" w:pos="1440"/>
          <w:tab w:val="left" w:pos="2160"/>
          <w:tab w:val="left" w:pos="2880"/>
          <w:tab w:val="left" w:pos="3600"/>
          <w:tab w:val="left" w:pos="4320"/>
          <w:tab w:val="left" w:pos="5040"/>
          <w:tab w:val="left" w:pos="5670"/>
        </w:tabs>
        <w:spacing w:line="360" w:lineRule="auto"/>
        <w:jc w:val="both"/>
        <w:rPr>
          <w:b/>
          <w:bCs/>
          <w:sz w:val="28"/>
          <w:szCs w:val="28"/>
        </w:rPr>
      </w:pPr>
      <w:r w:rsidRPr="006B5398">
        <w:rPr>
          <w:b/>
          <w:bCs/>
          <w:sz w:val="28"/>
          <w:szCs w:val="28"/>
        </w:rPr>
        <w:t xml:space="preserve">MABUNDA INCORPORATED AND </w:t>
      </w:r>
    </w:p>
    <w:p w14:paraId="51428E82" w14:textId="77777777" w:rsidR="00093030" w:rsidRPr="006B5398" w:rsidRDefault="003B79A8" w:rsidP="006470B0">
      <w:pPr>
        <w:tabs>
          <w:tab w:val="left" w:pos="720"/>
          <w:tab w:val="left" w:pos="1440"/>
          <w:tab w:val="left" w:pos="2160"/>
          <w:tab w:val="left" w:pos="2880"/>
          <w:tab w:val="left" w:pos="3600"/>
          <w:tab w:val="left" w:pos="4320"/>
          <w:tab w:val="left" w:pos="5040"/>
          <w:tab w:val="left" w:pos="5670"/>
        </w:tabs>
        <w:spacing w:line="360" w:lineRule="auto"/>
        <w:jc w:val="both"/>
        <w:rPr>
          <w:b/>
          <w:sz w:val="28"/>
          <w:szCs w:val="28"/>
        </w:rPr>
      </w:pPr>
      <w:r w:rsidRPr="006B5398">
        <w:rPr>
          <w:b/>
          <w:bCs/>
          <w:sz w:val="28"/>
          <w:szCs w:val="28"/>
        </w:rPr>
        <w:t>4</w:t>
      </w:r>
      <w:r w:rsidR="000E1F7C">
        <w:rPr>
          <w:b/>
          <w:bCs/>
          <w:sz w:val="28"/>
          <w:szCs w:val="28"/>
        </w:rPr>
        <w:t>1</w:t>
      </w:r>
      <w:r w:rsidRPr="006B5398">
        <w:rPr>
          <w:b/>
          <w:bCs/>
          <w:sz w:val="28"/>
          <w:szCs w:val="28"/>
        </w:rPr>
        <w:t xml:space="preserve"> OTHERS</w:t>
      </w:r>
      <w:r w:rsidR="000E2E0D" w:rsidRPr="006B5398">
        <w:rPr>
          <w:b/>
          <w:bCs/>
          <w:sz w:val="28"/>
          <w:szCs w:val="28"/>
        </w:rPr>
        <w:t xml:space="preserve">            </w:t>
      </w:r>
      <w:r w:rsidRPr="006B5398">
        <w:rPr>
          <w:b/>
          <w:bCs/>
          <w:sz w:val="28"/>
          <w:szCs w:val="28"/>
        </w:rPr>
        <w:t xml:space="preserve">                                                      </w:t>
      </w:r>
      <w:r w:rsidR="00D00261" w:rsidRPr="006B5398">
        <w:rPr>
          <w:b/>
          <w:bCs/>
          <w:sz w:val="28"/>
          <w:szCs w:val="28"/>
        </w:rPr>
        <w:t xml:space="preserve">FIRST </w:t>
      </w:r>
      <w:r w:rsidR="00D00261" w:rsidRPr="006B5398">
        <w:rPr>
          <w:b/>
          <w:sz w:val="28"/>
          <w:szCs w:val="28"/>
        </w:rPr>
        <w:t>RESPONDENT</w:t>
      </w:r>
    </w:p>
    <w:p w14:paraId="0161EE97" w14:textId="77777777" w:rsidR="00093030" w:rsidRDefault="00332B95" w:rsidP="006470B0">
      <w:pPr>
        <w:pStyle w:val="NormalIndent"/>
        <w:spacing w:line="360" w:lineRule="auto"/>
        <w:ind w:left="0"/>
        <w:rPr>
          <w:b/>
        </w:rPr>
      </w:pPr>
      <w:r w:rsidRPr="006B5398">
        <w:rPr>
          <w:b/>
        </w:rPr>
        <w:lastRenderedPageBreak/>
        <w:t>FOURIEFISMER INCORPORATED</w:t>
      </w:r>
      <w:r w:rsidR="0024049A">
        <w:rPr>
          <w:b/>
        </w:rPr>
        <w:tab/>
        <w:t xml:space="preserve">         </w:t>
      </w:r>
      <w:r w:rsidR="00BC588D" w:rsidRPr="006B5398">
        <w:rPr>
          <w:b/>
        </w:rPr>
        <w:t>SECOND</w:t>
      </w:r>
      <w:r w:rsidR="00093030" w:rsidRPr="006B5398">
        <w:rPr>
          <w:b/>
        </w:rPr>
        <w:t xml:space="preserve"> RESPONDENT</w:t>
      </w:r>
    </w:p>
    <w:p w14:paraId="250AD6C5" w14:textId="77777777" w:rsidR="003F4ED9" w:rsidRDefault="003F4ED9" w:rsidP="006470B0">
      <w:pPr>
        <w:pStyle w:val="NormalIndent"/>
        <w:spacing w:line="360" w:lineRule="auto"/>
        <w:ind w:left="0"/>
        <w:rPr>
          <w:b/>
        </w:rPr>
      </w:pPr>
    </w:p>
    <w:p w14:paraId="2BDE1B16" w14:textId="77777777" w:rsidR="00376B29" w:rsidRDefault="00376B29" w:rsidP="006470B0">
      <w:pPr>
        <w:pStyle w:val="NormalIndent"/>
        <w:tabs>
          <w:tab w:val="left" w:pos="6041"/>
        </w:tabs>
        <w:spacing w:line="360" w:lineRule="auto"/>
        <w:ind w:left="0"/>
        <w:rPr>
          <w:b/>
        </w:rPr>
      </w:pPr>
      <w:r>
        <w:rPr>
          <w:b/>
        </w:rPr>
        <w:t xml:space="preserve">PRETORIA ATTORNEYS ASSOCIATION       </w:t>
      </w:r>
      <w:r w:rsidR="003C49F6">
        <w:rPr>
          <w:b/>
        </w:rPr>
        <w:t xml:space="preserve">  </w:t>
      </w:r>
      <w:r w:rsidR="00330B47">
        <w:rPr>
          <w:b/>
        </w:rPr>
        <w:t>THIRD</w:t>
      </w:r>
      <w:r>
        <w:rPr>
          <w:b/>
        </w:rPr>
        <w:t xml:space="preserve"> RESPONDENT</w:t>
      </w:r>
    </w:p>
    <w:p w14:paraId="02C1DFF8" w14:textId="77777777" w:rsidR="003F4ED9" w:rsidRDefault="003F4ED9" w:rsidP="006470B0">
      <w:pPr>
        <w:pStyle w:val="NormalIndent"/>
        <w:tabs>
          <w:tab w:val="left" w:pos="6041"/>
        </w:tabs>
        <w:spacing w:line="360" w:lineRule="auto"/>
        <w:ind w:left="0"/>
        <w:rPr>
          <w:b/>
        </w:rPr>
      </w:pPr>
    </w:p>
    <w:p w14:paraId="62B9D511" w14:textId="77777777" w:rsidR="003B79A8" w:rsidRPr="006B5398" w:rsidRDefault="00332B95" w:rsidP="006470B0">
      <w:pPr>
        <w:pStyle w:val="NormalIndent"/>
        <w:tabs>
          <w:tab w:val="left" w:pos="6041"/>
        </w:tabs>
        <w:spacing w:line="360" w:lineRule="auto"/>
        <w:ind w:left="0"/>
        <w:rPr>
          <w:b/>
        </w:rPr>
      </w:pPr>
      <w:r w:rsidRPr="006B5398">
        <w:rPr>
          <w:b/>
        </w:rPr>
        <w:t>DIALE MOGASHOA INCORP</w:t>
      </w:r>
      <w:r w:rsidR="003B79A8" w:rsidRPr="006B5398">
        <w:rPr>
          <w:b/>
        </w:rPr>
        <w:t xml:space="preserve">ORATED            </w:t>
      </w:r>
      <w:r w:rsidR="003C49F6">
        <w:rPr>
          <w:b/>
        </w:rPr>
        <w:t>FOURTH</w:t>
      </w:r>
      <w:r w:rsidR="003B79A8" w:rsidRPr="006B5398">
        <w:rPr>
          <w:b/>
        </w:rPr>
        <w:t xml:space="preserve"> RESPONDENT</w:t>
      </w:r>
    </w:p>
    <w:p w14:paraId="0E2FD691" w14:textId="77777777" w:rsidR="00093030" w:rsidRPr="006B5398" w:rsidRDefault="00093030" w:rsidP="006470B0">
      <w:pPr>
        <w:pStyle w:val="FootnoteText"/>
        <w:spacing w:line="360" w:lineRule="auto"/>
        <w:rPr>
          <w:sz w:val="28"/>
          <w:szCs w:val="28"/>
        </w:rPr>
      </w:pPr>
    </w:p>
    <w:p w14:paraId="5C474241" w14:textId="77777777" w:rsidR="00332B95" w:rsidRPr="006B5398" w:rsidRDefault="00332B95" w:rsidP="006470B0">
      <w:pPr>
        <w:spacing w:line="360" w:lineRule="auto"/>
        <w:jc w:val="right"/>
        <w:rPr>
          <w:sz w:val="28"/>
          <w:szCs w:val="28"/>
        </w:rPr>
      </w:pPr>
      <w:r w:rsidRPr="006B5398">
        <w:rPr>
          <w:sz w:val="28"/>
          <w:szCs w:val="28"/>
        </w:rPr>
        <w:t>Case no: 1082/2020</w:t>
      </w:r>
    </w:p>
    <w:p w14:paraId="34C59FB1" w14:textId="77777777" w:rsidR="00332B95" w:rsidRPr="006B5398" w:rsidRDefault="00332B95" w:rsidP="006470B0">
      <w:pPr>
        <w:spacing w:line="360" w:lineRule="auto"/>
        <w:rPr>
          <w:sz w:val="28"/>
          <w:szCs w:val="28"/>
        </w:rPr>
      </w:pPr>
    </w:p>
    <w:p w14:paraId="1C8C083E" w14:textId="77777777" w:rsidR="00332B95" w:rsidRPr="006B5398" w:rsidRDefault="00332B95" w:rsidP="006470B0">
      <w:pPr>
        <w:spacing w:line="360" w:lineRule="auto"/>
        <w:rPr>
          <w:sz w:val="28"/>
          <w:szCs w:val="28"/>
        </w:rPr>
      </w:pPr>
      <w:r w:rsidRPr="006B5398">
        <w:rPr>
          <w:sz w:val="28"/>
          <w:szCs w:val="28"/>
        </w:rPr>
        <w:t>In the matter between:</w:t>
      </w:r>
    </w:p>
    <w:p w14:paraId="4324FC2E" w14:textId="77777777" w:rsidR="00332B95" w:rsidRPr="006B5398" w:rsidRDefault="00332B95" w:rsidP="006470B0">
      <w:pPr>
        <w:tabs>
          <w:tab w:val="left" w:pos="720"/>
          <w:tab w:val="left" w:pos="1440"/>
          <w:tab w:val="left" w:pos="2160"/>
          <w:tab w:val="left" w:pos="2880"/>
          <w:tab w:val="left" w:pos="3600"/>
          <w:tab w:val="left" w:pos="4320"/>
          <w:tab w:val="left" w:pos="5040"/>
          <w:tab w:val="left" w:pos="6237"/>
        </w:tabs>
        <w:spacing w:line="360" w:lineRule="auto"/>
        <w:jc w:val="both"/>
        <w:rPr>
          <w:b/>
          <w:sz w:val="28"/>
          <w:szCs w:val="28"/>
        </w:rPr>
      </w:pPr>
      <w:r w:rsidRPr="006B5398">
        <w:rPr>
          <w:b/>
          <w:bCs/>
          <w:sz w:val="28"/>
          <w:szCs w:val="28"/>
        </w:rPr>
        <w:t>MINISTER OF TRANSPORT</w:t>
      </w:r>
      <w:r w:rsidRPr="006B5398">
        <w:rPr>
          <w:b/>
          <w:bCs/>
          <w:sz w:val="28"/>
          <w:szCs w:val="28"/>
        </w:rPr>
        <w:tab/>
      </w:r>
      <w:r w:rsidRPr="006B5398">
        <w:rPr>
          <w:b/>
          <w:bCs/>
          <w:sz w:val="28"/>
          <w:szCs w:val="28"/>
        </w:rPr>
        <w:tab/>
      </w:r>
      <w:r w:rsidRPr="006B5398">
        <w:rPr>
          <w:b/>
          <w:sz w:val="28"/>
          <w:szCs w:val="28"/>
        </w:rPr>
        <w:tab/>
      </w:r>
      <w:r w:rsidR="006470B0" w:rsidRPr="006B5398">
        <w:rPr>
          <w:b/>
          <w:sz w:val="28"/>
          <w:szCs w:val="28"/>
        </w:rPr>
        <w:t xml:space="preserve">            </w:t>
      </w:r>
      <w:r w:rsidRPr="006B5398">
        <w:rPr>
          <w:b/>
          <w:sz w:val="28"/>
          <w:szCs w:val="28"/>
        </w:rPr>
        <w:t>APPELLANT</w:t>
      </w:r>
    </w:p>
    <w:p w14:paraId="7CEB3963" w14:textId="77777777" w:rsidR="00332B95" w:rsidRPr="006B5398" w:rsidRDefault="00332B95" w:rsidP="006470B0">
      <w:pPr>
        <w:spacing w:line="360" w:lineRule="auto"/>
        <w:jc w:val="both"/>
        <w:rPr>
          <w:b/>
          <w:sz w:val="28"/>
          <w:szCs w:val="28"/>
        </w:rPr>
      </w:pPr>
    </w:p>
    <w:p w14:paraId="67059282" w14:textId="77777777" w:rsidR="00332B95" w:rsidRPr="006B5398" w:rsidRDefault="00332B95" w:rsidP="006470B0">
      <w:pPr>
        <w:tabs>
          <w:tab w:val="left" w:pos="5812"/>
        </w:tabs>
        <w:spacing w:line="360" w:lineRule="auto"/>
        <w:jc w:val="both"/>
        <w:rPr>
          <w:sz w:val="28"/>
          <w:szCs w:val="28"/>
        </w:rPr>
      </w:pPr>
      <w:r w:rsidRPr="006B5398">
        <w:rPr>
          <w:sz w:val="28"/>
          <w:szCs w:val="28"/>
        </w:rPr>
        <w:t>and</w:t>
      </w:r>
    </w:p>
    <w:p w14:paraId="5BD275B1" w14:textId="77777777" w:rsidR="00332B95" w:rsidRPr="006B5398" w:rsidRDefault="00332B95" w:rsidP="006470B0">
      <w:pPr>
        <w:tabs>
          <w:tab w:val="left" w:pos="720"/>
          <w:tab w:val="left" w:pos="1440"/>
          <w:tab w:val="left" w:pos="2160"/>
          <w:tab w:val="left" w:pos="2880"/>
          <w:tab w:val="left" w:pos="3600"/>
          <w:tab w:val="left" w:pos="4320"/>
          <w:tab w:val="left" w:pos="5040"/>
          <w:tab w:val="left" w:pos="5670"/>
        </w:tabs>
        <w:spacing w:line="360" w:lineRule="auto"/>
        <w:jc w:val="both"/>
        <w:rPr>
          <w:b/>
          <w:bCs/>
          <w:sz w:val="28"/>
          <w:szCs w:val="28"/>
        </w:rPr>
      </w:pPr>
    </w:p>
    <w:p w14:paraId="33F9F9CB" w14:textId="77777777" w:rsidR="00332B95" w:rsidRPr="006B5398" w:rsidRDefault="00332B95" w:rsidP="006470B0">
      <w:pPr>
        <w:tabs>
          <w:tab w:val="left" w:pos="720"/>
          <w:tab w:val="left" w:pos="1440"/>
          <w:tab w:val="left" w:pos="2160"/>
          <w:tab w:val="left" w:pos="2880"/>
          <w:tab w:val="left" w:pos="3600"/>
          <w:tab w:val="left" w:pos="4320"/>
          <w:tab w:val="left" w:pos="5040"/>
          <w:tab w:val="left" w:pos="5670"/>
        </w:tabs>
        <w:spacing w:line="360" w:lineRule="auto"/>
        <w:jc w:val="both"/>
        <w:rPr>
          <w:b/>
          <w:sz w:val="28"/>
          <w:szCs w:val="28"/>
        </w:rPr>
      </w:pPr>
      <w:r w:rsidRPr="006B5398">
        <w:rPr>
          <w:b/>
          <w:bCs/>
          <w:sz w:val="28"/>
          <w:szCs w:val="28"/>
        </w:rPr>
        <w:t xml:space="preserve">THE ROAD ACCIDENT FUND                                     FIRST </w:t>
      </w:r>
      <w:r w:rsidRPr="006B5398">
        <w:rPr>
          <w:b/>
          <w:sz w:val="28"/>
          <w:szCs w:val="28"/>
        </w:rPr>
        <w:t>RESPONDENT</w:t>
      </w:r>
    </w:p>
    <w:p w14:paraId="17F0A934" w14:textId="77777777" w:rsidR="00332B95" w:rsidRPr="006B5398" w:rsidRDefault="00332B95" w:rsidP="006470B0">
      <w:pPr>
        <w:spacing w:line="360" w:lineRule="auto"/>
        <w:jc w:val="both"/>
        <w:rPr>
          <w:b/>
          <w:sz w:val="28"/>
          <w:szCs w:val="28"/>
        </w:rPr>
      </w:pPr>
    </w:p>
    <w:p w14:paraId="0697FC2C" w14:textId="77777777" w:rsidR="00332B95" w:rsidRPr="006B5398" w:rsidRDefault="00332B95" w:rsidP="006470B0">
      <w:pPr>
        <w:tabs>
          <w:tab w:val="left" w:pos="5723"/>
        </w:tabs>
        <w:spacing w:line="360" w:lineRule="auto"/>
        <w:jc w:val="both"/>
        <w:rPr>
          <w:b/>
          <w:sz w:val="28"/>
          <w:szCs w:val="28"/>
        </w:rPr>
      </w:pPr>
      <w:r w:rsidRPr="006B5398">
        <w:rPr>
          <w:b/>
          <w:sz w:val="28"/>
          <w:szCs w:val="28"/>
        </w:rPr>
        <w:t xml:space="preserve">THE CHAIRPERSON OF THE BOARD         </w:t>
      </w:r>
    </w:p>
    <w:p w14:paraId="0FB1D404" w14:textId="77777777" w:rsidR="00332B95" w:rsidRPr="006B5398" w:rsidRDefault="00332B95" w:rsidP="006470B0">
      <w:pPr>
        <w:spacing w:line="360" w:lineRule="auto"/>
        <w:jc w:val="both"/>
        <w:rPr>
          <w:b/>
          <w:sz w:val="28"/>
          <w:szCs w:val="28"/>
        </w:rPr>
      </w:pPr>
      <w:r w:rsidRPr="006B5398">
        <w:rPr>
          <w:b/>
          <w:sz w:val="28"/>
          <w:szCs w:val="28"/>
        </w:rPr>
        <w:t xml:space="preserve">OF THE ROAD ACCIDENT FUND </w:t>
      </w:r>
      <w:r w:rsidRPr="006B5398">
        <w:rPr>
          <w:b/>
          <w:sz w:val="28"/>
          <w:szCs w:val="28"/>
        </w:rPr>
        <w:tab/>
      </w:r>
      <w:r w:rsidR="001D64F6" w:rsidRPr="006B5398">
        <w:rPr>
          <w:b/>
          <w:sz w:val="28"/>
          <w:szCs w:val="28"/>
        </w:rPr>
        <w:t xml:space="preserve">         </w:t>
      </w:r>
      <w:r w:rsidRPr="006B5398">
        <w:rPr>
          <w:b/>
          <w:sz w:val="28"/>
          <w:szCs w:val="28"/>
        </w:rPr>
        <w:t>SECOND RESPONDENT</w:t>
      </w:r>
    </w:p>
    <w:p w14:paraId="341F617D" w14:textId="77777777" w:rsidR="00332B95" w:rsidRPr="006B5398" w:rsidRDefault="00332B95" w:rsidP="006470B0">
      <w:pPr>
        <w:spacing w:line="360" w:lineRule="auto"/>
        <w:jc w:val="both"/>
        <w:rPr>
          <w:b/>
          <w:sz w:val="28"/>
          <w:szCs w:val="28"/>
        </w:rPr>
      </w:pPr>
    </w:p>
    <w:p w14:paraId="32EBCF8E" w14:textId="77777777" w:rsidR="00332B95" w:rsidRPr="006B5398" w:rsidRDefault="00332B95" w:rsidP="006470B0">
      <w:pPr>
        <w:tabs>
          <w:tab w:val="left" w:pos="5695"/>
        </w:tabs>
        <w:spacing w:line="360" w:lineRule="auto"/>
        <w:jc w:val="both"/>
        <w:rPr>
          <w:b/>
          <w:sz w:val="28"/>
          <w:szCs w:val="28"/>
        </w:rPr>
      </w:pPr>
      <w:r w:rsidRPr="006B5398">
        <w:rPr>
          <w:b/>
          <w:sz w:val="28"/>
          <w:szCs w:val="28"/>
        </w:rPr>
        <w:t>ACTING CHIEF EXECUTIVE OFFICER</w:t>
      </w:r>
    </w:p>
    <w:p w14:paraId="1B863795" w14:textId="77777777" w:rsidR="00332B95" w:rsidRPr="006B5398" w:rsidRDefault="00332B95" w:rsidP="00AA1706">
      <w:pPr>
        <w:tabs>
          <w:tab w:val="left" w:pos="5695"/>
        </w:tabs>
        <w:spacing w:line="360" w:lineRule="auto"/>
        <w:jc w:val="both"/>
        <w:rPr>
          <w:b/>
          <w:sz w:val="28"/>
          <w:szCs w:val="28"/>
        </w:rPr>
      </w:pPr>
      <w:r w:rsidRPr="006B5398">
        <w:rPr>
          <w:b/>
          <w:sz w:val="28"/>
          <w:szCs w:val="28"/>
        </w:rPr>
        <w:t>OF THE ROAD ACCIDENT FUND</w:t>
      </w:r>
      <w:r w:rsidR="006470B0" w:rsidRPr="006B5398">
        <w:rPr>
          <w:b/>
          <w:sz w:val="28"/>
          <w:szCs w:val="28"/>
        </w:rPr>
        <w:tab/>
        <w:t xml:space="preserve">   THIRD RESPONDENT</w:t>
      </w:r>
    </w:p>
    <w:p w14:paraId="070EFD10" w14:textId="77777777" w:rsidR="001D64F6" w:rsidRPr="006B5398" w:rsidRDefault="001D64F6" w:rsidP="006470B0">
      <w:pPr>
        <w:pStyle w:val="NormalIndent"/>
        <w:spacing w:line="360" w:lineRule="auto"/>
        <w:ind w:left="0"/>
        <w:rPr>
          <w:b/>
        </w:rPr>
      </w:pPr>
    </w:p>
    <w:p w14:paraId="650F0F8C" w14:textId="77777777" w:rsidR="00332B95" w:rsidRPr="006B5398" w:rsidRDefault="00332B95" w:rsidP="006470B0">
      <w:pPr>
        <w:pStyle w:val="NormalIndent"/>
        <w:spacing w:line="360" w:lineRule="auto"/>
        <w:ind w:left="0"/>
        <w:rPr>
          <w:b/>
        </w:rPr>
      </w:pPr>
      <w:r w:rsidRPr="006B5398">
        <w:rPr>
          <w:b/>
        </w:rPr>
        <w:t>FOURIEFISMER INCORPORATED</w:t>
      </w:r>
      <w:r w:rsidRPr="006B5398">
        <w:rPr>
          <w:b/>
        </w:rPr>
        <w:tab/>
      </w:r>
      <w:r w:rsidR="001D64F6" w:rsidRPr="006B5398">
        <w:rPr>
          <w:b/>
        </w:rPr>
        <w:t xml:space="preserve">        </w:t>
      </w:r>
      <w:r w:rsidRPr="006B5398">
        <w:rPr>
          <w:b/>
        </w:rPr>
        <w:t>FOURTH RESPONDENT</w:t>
      </w:r>
    </w:p>
    <w:p w14:paraId="0DD46BAB" w14:textId="77777777" w:rsidR="00332B95" w:rsidRPr="006B5398" w:rsidRDefault="00332B95" w:rsidP="006470B0">
      <w:pPr>
        <w:pStyle w:val="NormalIndent"/>
        <w:spacing w:line="360" w:lineRule="auto"/>
        <w:ind w:left="0"/>
        <w:rPr>
          <w:b/>
        </w:rPr>
      </w:pPr>
    </w:p>
    <w:p w14:paraId="293331A0" w14:textId="77777777" w:rsidR="00332B95" w:rsidRPr="006B5398" w:rsidRDefault="00332B95" w:rsidP="006470B0">
      <w:pPr>
        <w:pStyle w:val="NormalIndent"/>
        <w:spacing w:line="360" w:lineRule="auto"/>
        <w:ind w:left="0"/>
        <w:rPr>
          <w:b/>
        </w:rPr>
      </w:pPr>
      <w:r w:rsidRPr="006B5398">
        <w:rPr>
          <w:b/>
        </w:rPr>
        <w:t>LINDSAYKELLER ATTORNEYS</w:t>
      </w:r>
      <w:r w:rsidRPr="006B5398">
        <w:rPr>
          <w:b/>
        </w:rPr>
        <w:tab/>
      </w:r>
      <w:r w:rsidRPr="006B5398">
        <w:rPr>
          <w:b/>
        </w:rPr>
        <w:tab/>
      </w:r>
      <w:r w:rsidRPr="006B5398">
        <w:rPr>
          <w:b/>
        </w:rPr>
        <w:tab/>
      </w:r>
      <w:r w:rsidR="008936C9">
        <w:rPr>
          <w:b/>
        </w:rPr>
        <w:t xml:space="preserve">   </w:t>
      </w:r>
      <w:r w:rsidRPr="006B5398">
        <w:rPr>
          <w:b/>
        </w:rPr>
        <w:t>FIFTH RESPONDENT</w:t>
      </w:r>
    </w:p>
    <w:p w14:paraId="2C038AF0" w14:textId="77777777" w:rsidR="00332B95" w:rsidRPr="006B5398" w:rsidRDefault="00332B95" w:rsidP="006470B0">
      <w:pPr>
        <w:pStyle w:val="NormalIndent"/>
        <w:spacing w:line="360" w:lineRule="auto"/>
        <w:ind w:left="0"/>
        <w:rPr>
          <w:b/>
        </w:rPr>
      </w:pPr>
    </w:p>
    <w:p w14:paraId="1EF5DB6D" w14:textId="77777777" w:rsidR="00332B95" w:rsidRPr="006B5398" w:rsidRDefault="00332B95" w:rsidP="006470B0">
      <w:pPr>
        <w:pStyle w:val="NormalIndent"/>
        <w:spacing w:line="360" w:lineRule="auto"/>
        <w:ind w:left="0"/>
        <w:rPr>
          <w:b/>
        </w:rPr>
      </w:pPr>
      <w:r w:rsidRPr="006B5398">
        <w:rPr>
          <w:b/>
        </w:rPr>
        <w:t>PRETORIA ATTORNEYS ASSOCIATION</w:t>
      </w:r>
      <w:r w:rsidRPr="006B5398">
        <w:rPr>
          <w:b/>
        </w:rPr>
        <w:tab/>
      </w:r>
      <w:r w:rsidR="008936C9">
        <w:rPr>
          <w:b/>
        </w:rPr>
        <w:t xml:space="preserve">   </w:t>
      </w:r>
      <w:r w:rsidRPr="006B5398">
        <w:rPr>
          <w:b/>
        </w:rPr>
        <w:t>SIXTH RESPONDENT</w:t>
      </w:r>
    </w:p>
    <w:p w14:paraId="58EFADF4" w14:textId="77777777" w:rsidR="00332B95" w:rsidRPr="006B5398" w:rsidRDefault="00332B95" w:rsidP="006470B0">
      <w:pPr>
        <w:pStyle w:val="NormalIndent"/>
        <w:spacing w:line="360" w:lineRule="auto"/>
        <w:ind w:left="0"/>
        <w:rPr>
          <w:b/>
        </w:rPr>
      </w:pPr>
    </w:p>
    <w:p w14:paraId="7DF13CCF" w14:textId="77777777" w:rsidR="00332B95" w:rsidRPr="006B5398" w:rsidRDefault="00332B95" w:rsidP="006470B0">
      <w:pPr>
        <w:pStyle w:val="NormalIndent"/>
        <w:tabs>
          <w:tab w:val="left" w:pos="6041"/>
        </w:tabs>
        <w:spacing w:line="360" w:lineRule="auto"/>
        <w:ind w:left="0"/>
        <w:rPr>
          <w:b/>
        </w:rPr>
      </w:pPr>
      <w:r w:rsidRPr="006B5398">
        <w:rPr>
          <w:b/>
        </w:rPr>
        <w:lastRenderedPageBreak/>
        <w:t xml:space="preserve">MAPONYA INCORPORATED                              </w:t>
      </w:r>
      <w:r w:rsidR="008936C9">
        <w:rPr>
          <w:b/>
        </w:rPr>
        <w:t xml:space="preserve"> </w:t>
      </w:r>
      <w:r w:rsidRPr="006B5398">
        <w:rPr>
          <w:b/>
        </w:rPr>
        <w:t xml:space="preserve"> SEVENTH RESPONDENT</w:t>
      </w:r>
    </w:p>
    <w:p w14:paraId="2AB6C2DE" w14:textId="77777777" w:rsidR="00332B95" w:rsidRPr="006B5398" w:rsidRDefault="00332B95" w:rsidP="006470B0">
      <w:pPr>
        <w:pStyle w:val="FootnoteText"/>
        <w:spacing w:line="360" w:lineRule="auto"/>
        <w:rPr>
          <w:sz w:val="28"/>
          <w:szCs w:val="28"/>
        </w:rPr>
      </w:pPr>
    </w:p>
    <w:p w14:paraId="405E8741" w14:textId="27166961" w:rsidR="00093030" w:rsidRPr="006B5398" w:rsidRDefault="00093030" w:rsidP="006470B0">
      <w:pPr>
        <w:spacing w:line="360" w:lineRule="auto"/>
        <w:rPr>
          <w:bCs/>
          <w:i/>
          <w:sz w:val="28"/>
          <w:szCs w:val="28"/>
        </w:rPr>
      </w:pPr>
      <w:r w:rsidRPr="006B5398">
        <w:rPr>
          <w:b/>
          <w:bCs/>
          <w:sz w:val="28"/>
          <w:szCs w:val="28"/>
        </w:rPr>
        <w:t>Neutral citation:</w:t>
      </w:r>
      <w:r w:rsidRPr="006B5398">
        <w:rPr>
          <w:b/>
          <w:bCs/>
          <w:sz w:val="28"/>
          <w:szCs w:val="28"/>
        </w:rPr>
        <w:tab/>
      </w:r>
      <w:r w:rsidR="00D00261" w:rsidRPr="006B5398">
        <w:rPr>
          <w:bCs/>
          <w:i/>
          <w:sz w:val="28"/>
          <w:szCs w:val="28"/>
        </w:rPr>
        <w:t xml:space="preserve"> Road Acc</w:t>
      </w:r>
      <w:r w:rsidR="00944CDE" w:rsidRPr="006B5398">
        <w:rPr>
          <w:bCs/>
          <w:i/>
          <w:sz w:val="28"/>
          <w:szCs w:val="28"/>
        </w:rPr>
        <w:t xml:space="preserve">ident Fund </w:t>
      </w:r>
      <w:r w:rsidR="00332B95" w:rsidRPr="006B5398">
        <w:rPr>
          <w:bCs/>
          <w:i/>
          <w:sz w:val="28"/>
          <w:szCs w:val="28"/>
        </w:rPr>
        <w:t xml:space="preserve">and </w:t>
      </w:r>
      <w:r w:rsidR="00944CDE" w:rsidRPr="006B5398">
        <w:rPr>
          <w:bCs/>
          <w:i/>
          <w:sz w:val="28"/>
          <w:szCs w:val="28"/>
        </w:rPr>
        <w:t xml:space="preserve">Others v </w:t>
      </w:r>
      <w:r w:rsidR="00BC588D" w:rsidRPr="006B5398">
        <w:rPr>
          <w:bCs/>
          <w:i/>
          <w:sz w:val="28"/>
          <w:szCs w:val="28"/>
        </w:rPr>
        <w:t>Mabunda</w:t>
      </w:r>
      <w:r w:rsidR="002B5CB9">
        <w:rPr>
          <w:bCs/>
          <w:i/>
          <w:sz w:val="28"/>
          <w:szCs w:val="28"/>
        </w:rPr>
        <w:t xml:space="preserve"> I</w:t>
      </w:r>
      <w:r w:rsidR="00D337A5">
        <w:rPr>
          <w:bCs/>
          <w:i/>
          <w:sz w:val="28"/>
          <w:szCs w:val="28"/>
        </w:rPr>
        <w:t>nco</w:t>
      </w:r>
      <w:r w:rsidR="002B5CB9">
        <w:rPr>
          <w:bCs/>
          <w:i/>
          <w:sz w:val="28"/>
          <w:szCs w:val="28"/>
        </w:rPr>
        <w:t>r</w:t>
      </w:r>
      <w:r w:rsidR="00D337A5">
        <w:rPr>
          <w:bCs/>
          <w:i/>
          <w:sz w:val="28"/>
          <w:szCs w:val="28"/>
        </w:rPr>
        <w:t>porated</w:t>
      </w:r>
      <w:r w:rsidR="00BC588D" w:rsidRPr="006B5398">
        <w:rPr>
          <w:bCs/>
          <w:i/>
          <w:sz w:val="28"/>
          <w:szCs w:val="28"/>
        </w:rPr>
        <w:t xml:space="preserve"> </w:t>
      </w:r>
      <w:r w:rsidR="00332B95" w:rsidRPr="006B5398">
        <w:rPr>
          <w:bCs/>
          <w:i/>
          <w:sz w:val="28"/>
          <w:szCs w:val="28"/>
        </w:rPr>
        <w:t>and</w:t>
      </w:r>
      <w:r w:rsidR="00BC588D" w:rsidRPr="006B5398">
        <w:rPr>
          <w:bCs/>
          <w:i/>
          <w:sz w:val="28"/>
          <w:szCs w:val="28"/>
        </w:rPr>
        <w:t xml:space="preserve"> Others</w:t>
      </w:r>
      <w:r w:rsidRPr="006B5398">
        <w:rPr>
          <w:bCs/>
          <w:i/>
          <w:sz w:val="28"/>
          <w:szCs w:val="28"/>
        </w:rPr>
        <w:t xml:space="preserve"> </w:t>
      </w:r>
      <w:r w:rsidRPr="006B5398">
        <w:rPr>
          <w:bCs/>
          <w:sz w:val="28"/>
          <w:szCs w:val="28"/>
        </w:rPr>
        <w:t>(</w:t>
      </w:r>
      <w:r w:rsidR="00382ED8" w:rsidRPr="006B5398">
        <w:rPr>
          <w:bCs/>
          <w:sz w:val="28"/>
          <w:szCs w:val="28"/>
        </w:rPr>
        <w:t>1147/2020</w:t>
      </w:r>
      <w:r w:rsidRPr="006B5398">
        <w:rPr>
          <w:bCs/>
          <w:sz w:val="28"/>
          <w:szCs w:val="28"/>
        </w:rPr>
        <w:t>)</w:t>
      </w:r>
      <w:r w:rsidR="00332B95" w:rsidRPr="006B5398">
        <w:rPr>
          <w:bCs/>
          <w:sz w:val="28"/>
          <w:szCs w:val="28"/>
        </w:rPr>
        <w:t xml:space="preserve">; </w:t>
      </w:r>
      <w:r w:rsidR="00332B95" w:rsidRPr="006B5398">
        <w:rPr>
          <w:bCs/>
          <w:i/>
          <w:sz w:val="28"/>
          <w:szCs w:val="28"/>
        </w:rPr>
        <w:t>Minister of</w:t>
      </w:r>
      <w:r w:rsidR="00055583">
        <w:rPr>
          <w:bCs/>
          <w:i/>
          <w:sz w:val="28"/>
          <w:szCs w:val="28"/>
        </w:rPr>
        <w:t xml:space="preserve"> T</w:t>
      </w:r>
      <w:r w:rsidR="00332B95" w:rsidRPr="006B5398">
        <w:rPr>
          <w:bCs/>
          <w:i/>
          <w:sz w:val="28"/>
          <w:szCs w:val="28"/>
        </w:rPr>
        <w:t xml:space="preserve">ransport v Road Accident Fund and Others (1082/2020) </w:t>
      </w:r>
      <w:r w:rsidR="00332B95" w:rsidRPr="006B5398">
        <w:rPr>
          <w:bCs/>
          <w:sz w:val="28"/>
          <w:szCs w:val="28"/>
        </w:rPr>
        <w:t xml:space="preserve">[2022] ZASCA </w:t>
      </w:r>
      <w:r w:rsidR="00806C27">
        <w:rPr>
          <w:bCs/>
          <w:sz w:val="28"/>
          <w:szCs w:val="28"/>
        </w:rPr>
        <w:t>169</w:t>
      </w:r>
      <w:r w:rsidR="00332B95" w:rsidRPr="006B5398">
        <w:rPr>
          <w:bCs/>
          <w:sz w:val="28"/>
          <w:szCs w:val="28"/>
        </w:rPr>
        <w:t xml:space="preserve"> (</w:t>
      </w:r>
      <w:r w:rsidR="002B5CB9">
        <w:rPr>
          <w:bCs/>
          <w:sz w:val="28"/>
          <w:szCs w:val="28"/>
        </w:rPr>
        <w:t>1</w:t>
      </w:r>
      <w:r w:rsidR="00332B95" w:rsidRPr="006B5398">
        <w:rPr>
          <w:bCs/>
          <w:sz w:val="28"/>
          <w:szCs w:val="28"/>
        </w:rPr>
        <w:t xml:space="preserve"> </w:t>
      </w:r>
      <w:r w:rsidR="002B5CB9">
        <w:rPr>
          <w:bCs/>
          <w:sz w:val="28"/>
          <w:szCs w:val="28"/>
        </w:rPr>
        <w:t>Dece</w:t>
      </w:r>
      <w:r w:rsidR="000C4AE4">
        <w:rPr>
          <w:bCs/>
          <w:sz w:val="28"/>
          <w:szCs w:val="28"/>
        </w:rPr>
        <w:t>mber</w:t>
      </w:r>
      <w:r w:rsidR="00332B95" w:rsidRPr="006B5398">
        <w:rPr>
          <w:bCs/>
          <w:sz w:val="28"/>
          <w:szCs w:val="28"/>
        </w:rPr>
        <w:t xml:space="preserve"> 2022)</w:t>
      </w:r>
    </w:p>
    <w:p w14:paraId="0577A2D5" w14:textId="77777777" w:rsidR="00382ED8" w:rsidRPr="006B5398" w:rsidRDefault="00382ED8" w:rsidP="006470B0">
      <w:pPr>
        <w:spacing w:line="360" w:lineRule="auto"/>
        <w:rPr>
          <w:sz w:val="28"/>
          <w:szCs w:val="28"/>
        </w:rPr>
      </w:pPr>
    </w:p>
    <w:p w14:paraId="59AE6D2A" w14:textId="77777777" w:rsidR="00093030" w:rsidRPr="006B5398" w:rsidRDefault="00093030" w:rsidP="006470B0">
      <w:pPr>
        <w:spacing w:line="360" w:lineRule="auto"/>
        <w:ind w:left="1440" w:hanging="1440"/>
        <w:jc w:val="both"/>
        <w:rPr>
          <w:sz w:val="28"/>
          <w:szCs w:val="28"/>
        </w:rPr>
      </w:pPr>
      <w:r w:rsidRPr="006B5398">
        <w:rPr>
          <w:b/>
          <w:bCs/>
          <w:sz w:val="28"/>
          <w:szCs w:val="28"/>
        </w:rPr>
        <w:t>Coram:</w:t>
      </w:r>
      <w:r w:rsidRPr="006B5398">
        <w:rPr>
          <w:sz w:val="28"/>
          <w:szCs w:val="28"/>
        </w:rPr>
        <w:tab/>
      </w:r>
      <w:r w:rsidR="00F41209" w:rsidRPr="006B5398">
        <w:rPr>
          <w:sz w:val="28"/>
          <w:szCs w:val="28"/>
        </w:rPr>
        <w:t>ZONDI and GORVEN JJA</w:t>
      </w:r>
      <w:r w:rsidRPr="006B5398">
        <w:rPr>
          <w:sz w:val="28"/>
          <w:szCs w:val="28"/>
        </w:rPr>
        <w:t xml:space="preserve"> and </w:t>
      </w:r>
      <w:r w:rsidR="00F41209" w:rsidRPr="006B5398">
        <w:rPr>
          <w:sz w:val="28"/>
          <w:szCs w:val="28"/>
        </w:rPr>
        <w:t>MUSI</w:t>
      </w:r>
      <w:r w:rsidRPr="006B5398">
        <w:rPr>
          <w:sz w:val="28"/>
          <w:szCs w:val="28"/>
        </w:rPr>
        <w:t xml:space="preserve">, </w:t>
      </w:r>
      <w:r w:rsidR="00F41209" w:rsidRPr="006B5398">
        <w:rPr>
          <w:sz w:val="28"/>
          <w:szCs w:val="28"/>
        </w:rPr>
        <w:t>MAKAULA</w:t>
      </w:r>
      <w:r w:rsidRPr="006B5398">
        <w:rPr>
          <w:sz w:val="28"/>
          <w:szCs w:val="28"/>
        </w:rPr>
        <w:t xml:space="preserve"> and </w:t>
      </w:r>
      <w:r w:rsidR="00F41209" w:rsidRPr="006B5398">
        <w:rPr>
          <w:sz w:val="28"/>
          <w:szCs w:val="28"/>
        </w:rPr>
        <w:t>MASIPA</w:t>
      </w:r>
      <w:r w:rsidRPr="006B5398">
        <w:rPr>
          <w:sz w:val="28"/>
          <w:szCs w:val="28"/>
        </w:rPr>
        <w:t xml:space="preserve"> </w:t>
      </w:r>
      <w:r w:rsidR="00F41209" w:rsidRPr="006B5398">
        <w:rPr>
          <w:sz w:val="28"/>
          <w:szCs w:val="28"/>
        </w:rPr>
        <w:t>A</w:t>
      </w:r>
      <w:r w:rsidRPr="006B5398">
        <w:rPr>
          <w:sz w:val="28"/>
          <w:szCs w:val="28"/>
        </w:rPr>
        <w:t>JJA</w:t>
      </w:r>
    </w:p>
    <w:p w14:paraId="139ECF69" w14:textId="77777777" w:rsidR="00382ED8" w:rsidRPr="006B5398" w:rsidRDefault="00382ED8" w:rsidP="006470B0">
      <w:pPr>
        <w:spacing w:line="360" w:lineRule="auto"/>
        <w:ind w:left="1440" w:hanging="1440"/>
        <w:jc w:val="both"/>
        <w:rPr>
          <w:b/>
          <w:bCs/>
          <w:i/>
          <w:iCs/>
          <w:sz w:val="28"/>
          <w:szCs w:val="28"/>
        </w:rPr>
      </w:pPr>
    </w:p>
    <w:p w14:paraId="4E8798E1" w14:textId="77777777" w:rsidR="00093030" w:rsidRPr="006B5398" w:rsidRDefault="00093030" w:rsidP="006470B0">
      <w:pPr>
        <w:spacing w:line="360" w:lineRule="auto"/>
        <w:rPr>
          <w:b/>
          <w:bCs/>
          <w:sz w:val="28"/>
          <w:szCs w:val="28"/>
        </w:rPr>
      </w:pPr>
      <w:r w:rsidRPr="006B5398">
        <w:rPr>
          <w:b/>
          <w:bCs/>
          <w:sz w:val="28"/>
          <w:szCs w:val="28"/>
        </w:rPr>
        <w:t>Heard</w:t>
      </w:r>
      <w:r w:rsidRPr="006B5398">
        <w:rPr>
          <w:sz w:val="28"/>
          <w:szCs w:val="28"/>
        </w:rPr>
        <w:t>:</w:t>
      </w:r>
      <w:r w:rsidRPr="006B5398">
        <w:rPr>
          <w:sz w:val="28"/>
          <w:szCs w:val="28"/>
        </w:rPr>
        <w:tab/>
      </w:r>
      <w:r w:rsidR="00382ED8" w:rsidRPr="006B5398">
        <w:rPr>
          <w:sz w:val="28"/>
          <w:szCs w:val="28"/>
        </w:rPr>
        <w:t xml:space="preserve">15 </w:t>
      </w:r>
      <w:r w:rsidR="008936C9">
        <w:rPr>
          <w:sz w:val="28"/>
          <w:szCs w:val="28"/>
        </w:rPr>
        <w:t>August</w:t>
      </w:r>
      <w:r w:rsidRPr="006B5398">
        <w:rPr>
          <w:sz w:val="28"/>
          <w:szCs w:val="28"/>
        </w:rPr>
        <w:t xml:space="preserve"> 202</w:t>
      </w:r>
      <w:r w:rsidR="00BE657E" w:rsidRPr="006B5398">
        <w:rPr>
          <w:sz w:val="28"/>
          <w:szCs w:val="28"/>
        </w:rPr>
        <w:t>2</w:t>
      </w:r>
    </w:p>
    <w:p w14:paraId="4300D03F" w14:textId="1B8FE7DE" w:rsidR="00093030" w:rsidRPr="006B5398" w:rsidRDefault="00093030" w:rsidP="006470B0">
      <w:pPr>
        <w:spacing w:line="360" w:lineRule="auto"/>
        <w:rPr>
          <w:b/>
          <w:bCs/>
          <w:sz w:val="28"/>
          <w:szCs w:val="28"/>
        </w:rPr>
      </w:pPr>
      <w:r w:rsidRPr="006B5398">
        <w:rPr>
          <w:b/>
          <w:bCs/>
          <w:sz w:val="28"/>
          <w:szCs w:val="28"/>
        </w:rPr>
        <w:t>Delivered</w:t>
      </w:r>
      <w:r w:rsidRPr="006B5398">
        <w:rPr>
          <w:sz w:val="28"/>
          <w:szCs w:val="28"/>
        </w:rPr>
        <w:t>:</w:t>
      </w:r>
      <w:r w:rsidRPr="006B5398">
        <w:rPr>
          <w:sz w:val="28"/>
          <w:szCs w:val="28"/>
        </w:rPr>
        <w:tab/>
      </w:r>
      <w:r w:rsidR="002B5CB9">
        <w:rPr>
          <w:sz w:val="28"/>
          <w:szCs w:val="28"/>
        </w:rPr>
        <w:t>1 December</w:t>
      </w:r>
      <w:r w:rsidRPr="006B5398">
        <w:rPr>
          <w:sz w:val="28"/>
          <w:szCs w:val="28"/>
        </w:rPr>
        <w:t xml:space="preserve"> 202</w:t>
      </w:r>
      <w:r w:rsidR="00230447" w:rsidRPr="006B5398">
        <w:rPr>
          <w:sz w:val="28"/>
          <w:szCs w:val="28"/>
        </w:rPr>
        <w:t>2</w:t>
      </w:r>
    </w:p>
    <w:p w14:paraId="1141D8EE" w14:textId="77777777" w:rsidR="00155CA3" w:rsidRDefault="00093030" w:rsidP="0056563A">
      <w:pPr>
        <w:spacing w:line="360" w:lineRule="auto"/>
        <w:jc w:val="both"/>
        <w:rPr>
          <w:bCs/>
          <w:sz w:val="28"/>
          <w:szCs w:val="28"/>
        </w:rPr>
      </w:pPr>
      <w:r w:rsidRPr="006B5398">
        <w:rPr>
          <w:b/>
          <w:bCs/>
          <w:sz w:val="28"/>
          <w:szCs w:val="28"/>
        </w:rPr>
        <w:t>Summary:</w:t>
      </w:r>
      <w:r w:rsidR="00382ED8" w:rsidRPr="006B5398">
        <w:rPr>
          <w:b/>
          <w:bCs/>
          <w:sz w:val="28"/>
          <w:szCs w:val="28"/>
        </w:rPr>
        <w:t xml:space="preserve">     </w:t>
      </w:r>
      <w:r w:rsidR="006035BA">
        <w:rPr>
          <w:sz w:val="28"/>
          <w:szCs w:val="28"/>
        </w:rPr>
        <w:t>Appeal</w:t>
      </w:r>
      <w:r w:rsidR="00EF3A37">
        <w:rPr>
          <w:sz w:val="28"/>
          <w:szCs w:val="28"/>
        </w:rPr>
        <w:t xml:space="preserve"> – </w:t>
      </w:r>
      <w:r w:rsidR="00EF3A37">
        <w:rPr>
          <w:bCs/>
          <w:sz w:val="28"/>
          <w:szCs w:val="28"/>
        </w:rPr>
        <w:t>m</w:t>
      </w:r>
      <w:r w:rsidR="007700EF" w:rsidRPr="006B5398">
        <w:rPr>
          <w:bCs/>
          <w:sz w:val="28"/>
          <w:szCs w:val="28"/>
        </w:rPr>
        <w:t>ootness –</w:t>
      </w:r>
      <w:r w:rsidR="004419BA">
        <w:rPr>
          <w:bCs/>
          <w:sz w:val="28"/>
          <w:szCs w:val="28"/>
        </w:rPr>
        <w:t xml:space="preserve"> </w:t>
      </w:r>
      <w:r w:rsidR="00454ED7" w:rsidRPr="009E70DA">
        <w:rPr>
          <w:bCs/>
          <w:sz w:val="28"/>
          <w:szCs w:val="28"/>
        </w:rPr>
        <w:t xml:space="preserve">interpretation of court order setting aside </w:t>
      </w:r>
      <w:r w:rsidR="00D72129">
        <w:rPr>
          <w:bCs/>
          <w:sz w:val="28"/>
          <w:szCs w:val="28"/>
        </w:rPr>
        <w:t xml:space="preserve">cancellation of </w:t>
      </w:r>
      <w:r w:rsidR="00454ED7" w:rsidRPr="009E70DA">
        <w:rPr>
          <w:bCs/>
          <w:sz w:val="28"/>
          <w:szCs w:val="28"/>
        </w:rPr>
        <w:t xml:space="preserve">tender – </w:t>
      </w:r>
      <w:r w:rsidR="00D87F3E">
        <w:rPr>
          <w:bCs/>
          <w:sz w:val="28"/>
          <w:szCs w:val="28"/>
        </w:rPr>
        <w:t xml:space="preserve">unsuccessful appeal requires tender to be adjudicated – </w:t>
      </w:r>
      <w:r w:rsidR="00454ED7" w:rsidRPr="009E70DA">
        <w:rPr>
          <w:bCs/>
          <w:sz w:val="28"/>
          <w:szCs w:val="28"/>
        </w:rPr>
        <w:t xml:space="preserve">successful appeal would </w:t>
      </w:r>
      <w:r w:rsidR="00997599">
        <w:rPr>
          <w:bCs/>
          <w:sz w:val="28"/>
          <w:szCs w:val="28"/>
        </w:rPr>
        <w:t xml:space="preserve">result in cancellation of </w:t>
      </w:r>
      <w:r w:rsidR="00454ED7" w:rsidRPr="009E70DA">
        <w:rPr>
          <w:bCs/>
          <w:sz w:val="28"/>
          <w:szCs w:val="28"/>
        </w:rPr>
        <w:t xml:space="preserve">tender </w:t>
      </w:r>
      <w:r w:rsidR="00997599">
        <w:rPr>
          <w:bCs/>
          <w:sz w:val="28"/>
          <w:szCs w:val="28"/>
        </w:rPr>
        <w:t xml:space="preserve">standing </w:t>
      </w:r>
      <w:r w:rsidR="00454ED7" w:rsidRPr="009E70DA">
        <w:rPr>
          <w:bCs/>
          <w:sz w:val="28"/>
          <w:szCs w:val="28"/>
        </w:rPr>
        <w:t xml:space="preserve">– not moot. </w:t>
      </w:r>
      <w:r w:rsidR="00454ED7" w:rsidRPr="006B5398">
        <w:rPr>
          <w:bCs/>
          <w:sz w:val="28"/>
          <w:szCs w:val="28"/>
        </w:rPr>
        <w:t xml:space="preserve"> </w:t>
      </w:r>
    </w:p>
    <w:p w14:paraId="1B74B45E" w14:textId="77777777" w:rsidR="00454ED7" w:rsidRPr="009E70DA" w:rsidRDefault="00CC51C5" w:rsidP="00155CA3">
      <w:pPr>
        <w:spacing w:line="360" w:lineRule="auto"/>
        <w:jc w:val="both"/>
        <w:rPr>
          <w:b/>
          <w:bCs/>
          <w:sz w:val="28"/>
          <w:szCs w:val="28"/>
        </w:rPr>
        <w:sectPr w:rsidR="00454ED7" w:rsidRPr="009E70DA" w:rsidSect="00BE657E">
          <w:headerReference w:type="even" r:id="rId9"/>
          <w:headerReference w:type="default" r:id="rId10"/>
          <w:pgSz w:w="12240" w:h="15840"/>
          <w:pgMar w:top="1440" w:right="1608" w:bottom="1440" w:left="1800" w:header="720" w:footer="720" w:gutter="0"/>
          <w:pgNumType w:start="1"/>
          <w:cols w:space="720"/>
          <w:titlePg/>
          <w:docGrid w:linePitch="360"/>
        </w:sectPr>
      </w:pPr>
      <w:r>
        <w:rPr>
          <w:sz w:val="28"/>
          <w:szCs w:val="28"/>
        </w:rPr>
        <w:t xml:space="preserve">Administrative Law – </w:t>
      </w:r>
      <w:r w:rsidR="00C92E5B">
        <w:rPr>
          <w:bCs/>
          <w:sz w:val="28"/>
          <w:szCs w:val="28"/>
        </w:rPr>
        <w:t xml:space="preserve">Review – </w:t>
      </w:r>
      <w:r w:rsidR="00E433DE">
        <w:rPr>
          <w:bCs/>
          <w:sz w:val="28"/>
          <w:szCs w:val="28"/>
        </w:rPr>
        <w:t>cancellation</w:t>
      </w:r>
      <w:r w:rsidR="00454ED7" w:rsidRPr="009E70DA">
        <w:rPr>
          <w:bCs/>
          <w:sz w:val="28"/>
          <w:szCs w:val="28"/>
        </w:rPr>
        <w:t xml:space="preserve"> </w:t>
      </w:r>
      <w:r w:rsidR="0028051C" w:rsidRPr="006B5398">
        <w:rPr>
          <w:bCs/>
          <w:sz w:val="28"/>
          <w:szCs w:val="28"/>
        </w:rPr>
        <w:t>of tender</w:t>
      </w:r>
      <w:r w:rsidR="00631120">
        <w:rPr>
          <w:bCs/>
          <w:sz w:val="28"/>
          <w:szCs w:val="28"/>
        </w:rPr>
        <w:t xml:space="preserve"> by Road Accident Fund</w:t>
      </w:r>
      <w:r w:rsidR="0028051C" w:rsidRPr="006B5398">
        <w:rPr>
          <w:bCs/>
          <w:sz w:val="28"/>
          <w:szCs w:val="28"/>
        </w:rPr>
        <w:t xml:space="preserve"> </w:t>
      </w:r>
      <w:r w:rsidR="00454ED7" w:rsidRPr="009E70DA">
        <w:rPr>
          <w:bCs/>
          <w:sz w:val="28"/>
          <w:szCs w:val="28"/>
        </w:rPr>
        <w:t xml:space="preserve">– </w:t>
      </w:r>
      <w:r w:rsidR="00631120">
        <w:rPr>
          <w:bCs/>
          <w:sz w:val="28"/>
          <w:szCs w:val="28"/>
        </w:rPr>
        <w:t>compliance with</w:t>
      </w:r>
      <w:r w:rsidR="00454ED7" w:rsidRPr="009E70DA">
        <w:rPr>
          <w:bCs/>
          <w:sz w:val="28"/>
          <w:szCs w:val="28"/>
        </w:rPr>
        <w:t xml:space="preserve"> </w:t>
      </w:r>
      <w:r w:rsidR="0028051C" w:rsidRPr="006B5398">
        <w:rPr>
          <w:bCs/>
          <w:sz w:val="28"/>
          <w:szCs w:val="28"/>
        </w:rPr>
        <w:t xml:space="preserve">Regulation 13(1) of the </w:t>
      </w:r>
      <w:r w:rsidR="00454ED7" w:rsidRPr="009E70DA">
        <w:rPr>
          <w:bCs/>
          <w:sz w:val="28"/>
          <w:szCs w:val="28"/>
        </w:rPr>
        <w:t>Preferential Procurement Policy Framework Act 5 of 2000</w:t>
      </w:r>
      <w:r w:rsidR="00531C62">
        <w:rPr>
          <w:bCs/>
          <w:sz w:val="28"/>
          <w:szCs w:val="28"/>
        </w:rPr>
        <w:t xml:space="preserve"> – changed circumstances shown</w:t>
      </w:r>
      <w:r w:rsidR="00E433DE">
        <w:rPr>
          <w:bCs/>
          <w:sz w:val="28"/>
          <w:szCs w:val="28"/>
        </w:rPr>
        <w:t xml:space="preserve"> – cancellation good</w:t>
      </w:r>
      <w:r w:rsidR="007700EF" w:rsidRPr="006B5398">
        <w:rPr>
          <w:bCs/>
          <w:sz w:val="28"/>
          <w:szCs w:val="28"/>
        </w:rPr>
        <w:t>.</w:t>
      </w:r>
      <w:r w:rsidR="00382ED8" w:rsidRPr="006B5398">
        <w:rPr>
          <w:bCs/>
          <w:sz w:val="28"/>
          <w:szCs w:val="28"/>
        </w:rPr>
        <w:t xml:space="preserve"> </w:t>
      </w:r>
    </w:p>
    <w:bookmarkStart w:id="0" w:name="_GoBack"/>
    <w:bookmarkEnd w:id="0"/>
    <w:p w14:paraId="67382B00" w14:textId="77777777" w:rsidR="00093030" w:rsidRPr="006B5398" w:rsidRDefault="00093030" w:rsidP="006470B0">
      <w:pPr>
        <w:spacing w:line="360" w:lineRule="auto"/>
        <w:rPr>
          <w:sz w:val="28"/>
          <w:szCs w:val="28"/>
        </w:rPr>
      </w:pPr>
      <w:r w:rsidRPr="006B5398">
        <w:rPr>
          <w:noProof/>
          <w:lang w:eastAsia="en-ZA"/>
        </w:rPr>
        <w:lastRenderedPageBreak/>
        <mc:AlternateContent>
          <mc:Choice Requires="wps">
            <w:drawing>
              <wp:anchor distT="0" distB="0" distL="114300" distR="114300" simplePos="0" relativeHeight="251660288" behindDoc="0" locked="0" layoutInCell="1" allowOverlap="1" wp14:anchorId="50B5CF25" wp14:editId="69D89222">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5422FB"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r w:rsidRPr="009E70DA">
        <w:rPr>
          <w:noProof/>
          <w:lang w:eastAsia="en-ZA"/>
        </w:rPr>
        <mc:AlternateContent>
          <mc:Choice Requires="wps">
            <w:drawing>
              <wp:anchor distT="0" distB="0" distL="114300" distR="114300" simplePos="0" relativeHeight="251662336" behindDoc="0" locked="0" layoutInCell="1" allowOverlap="1" wp14:anchorId="346B1E6F" wp14:editId="0C7B5A60">
                <wp:simplePos x="0" y="0"/>
                <wp:positionH relativeFrom="column">
                  <wp:posOffset>0</wp:posOffset>
                </wp:positionH>
                <wp:positionV relativeFrom="paragraph">
                  <wp:posOffset>40005</wp:posOffset>
                </wp:positionV>
                <wp:extent cx="5257800" cy="0"/>
                <wp:effectExtent l="0" t="0" r="12700"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BB17C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1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DpBQIAABIEAAAOAAAAZHJzL2Uyb0RvYy54bWysU1HP2iAUfV+y/0B4r21d9d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">
                <o:lock v:ext="edit" shapetype="f"/>
              </v:line>
            </w:pict>
          </mc:Fallback>
        </mc:AlternateContent>
      </w:r>
    </w:p>
    <w:p w14:paraId="70D68952" w14:textId="77777777" w:rsidR="00093030" w:rsidRPr="009E70DA" w:rsidRDefault="00093030" w:rsidP="006470B0">
      <w:pPr>
        <w:pStyle w:val="Heading3"/>
        <w:jc w:val="center"/>
        <w:rPr>
          <w:rFonts w:ascii="Times New Roman" w:hAnsi="Times New Roman" w:cs="Times New Roman"/>
          <w:b/>
          <w:i w:val="0"/>
          <w:szCs w:val="28"/>
        </w:rPr>
      </w:pPr>
      <w:r w:rsidRPr="009E70DA">
        <w:rPr>
          <w:rFonts w:ascii="Times New Roman" w:hAnsi="Times New Roman" w:cs="Times New Roman"/>
          <w:b/>
          <w:i w:val="0"/>
          <w:szCs w:val="28"/>
        </w:rPr>
        <w:t>ORDER</w:t>
      </w:r>
    </w:p>
    <w:p w14:paraId="715F0553" w14:textId="77777777" w:rsidR="00093030" w:rsidRPr="006B5398" w:rsidRDefault="00093030" w:rsidP="006470B0">
      <w:pPr>
        <w:spacing w:line="360" w:lineRule="auto"/>
        <w:rPr>
          <w:b/>
          <w:bCs/>
          <w:sz w:val="28"/>
          <w:szCs w:val="28"/>
        </w:rPr>
      </w:pPr>
      <w:r w:rsidRPr="006B5398">
        <w:rPr>
          <w:noProof/>
          <w:lang w:eastAsia="en-ZA"/>
        </w:rPr>
        <mc:AlternateContent>
          <mc:Choice Requires="wps">
            <w:drawing>
              <wp:anchor distT="0" distB="0" distL="114300" distR="114300" simplePos="0" relativeHeight="251661312" behindDoc="0" locked="0" layoutInCell="1" allowOverlap="1" wp14:anchorId="7346C460" wp14:editId="7CE89D38">
                <wp:simplePos x="0" y="0"/>
                <wp:positionH relativeFrom="column">
                  <wp:posOffset>0</wp:posOffset>
                </wp:positionH>
                <wp:positionV relativeFrom="paragraph">
                  <wp:posOffset>96520</wp:posOffset>
                </wp:positionV>
                <wp:extent cx="5257800" cy="0"/>
                <wp:effectExtent l="0" t="0" r="1270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9F00D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1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C5BAIAABIEAAAOAAAAZHJzL2Uyb0RvYy54bWysU1HP2iAUfV+y/0B4r21d9d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">
                <o:lock v:ext="edit" shapetype="f"/>
              </v:line>
            </w:pict>
          </mc:Fallback>
        </mc:AlternateContent>
      </w:r>
    </w:p>
    <w:p w14:paraId="655C28C7" w14:textId="77777777" w:rsidR="00093030" w:rsidRPr="009E70DA" w:rsidRDefault="00093030" w:rsidP="006470B0">
      <w:pPr>
        <w:spacing w:line="360" w:lineRule="auto"/>
        <w:jc w:val="both"/>
        <w:rPr>
          <w:b/>
          <w:bCs/>
          <w:sz w:val="28"/>
          <w:szCs w:val="28"/>
        </w:rPr>
      </w:pPr>
      <w:r w:rsidRPr="009E70DA">
        <w:rPr>
          <w:b/>
          <w:bCs/>
          <w:sz w:val="28"/>
          <w:szCs w:val="28"/>
        </w:rPr>
        <w:t>On appeal from:</w:t>
      </w:r>
      <w:r w:rsidR="00D0446E" w:rsidRPr="009E70DA">
        <w:rPr>
          <w:b/>
          <w:bCs/>
          <w:sz w:val="28"/>
          <w:szCs w:val="28"/>
        </w:rPr>
        <w:t xml:space="preserve"> </w:t>
      </w:r>
      <w:r w:rsidR="006341A3" w:rsidRPr="009E70DA">
        <w:rPr>
          <w:bCs/>
          <w:sz w:val="28"/>
          <w:szCs w:val="28"/>
        </w:rPr>
        <w:t>Gauteng Division of the High Court, Pretoria (Hughes J</w:t>
      </w:r>
      <w:r w:rsidR="006341A3" w:rsidRPr="009E70DA">
        <w:rPr>
          <w:b/>
          <w:bCs/>
          <w:sz w:val="28"/>
          <w:szCs w:val="28"/>
        </w:rPr>
        <w:t xml:space="preserve"> </w:t>
      </w:r>
      <w:r w:rsidR="00EB741A" w:rsidRPr="009E70DA">
        <w:rPr>
          <w:bCs/>
          <w:sz w:val="28"/>
          <w:szCs w:val="28"/>
        </w:rPr>
        <w:t xml:space="preserve">sitting as </w:t>
      </w:r>
      <w:r w:rsidR="006341A3" w:rsidRPr="009E70DA">
        <w:rPr>
          <w:bCs/>
          <w:sz w:val="28"/>
          <w:szCs w:val="28"/>
        </w:rPr>
        <w:t>court of first instance</w:t>
      </w:r>
      <w:r w:rsidR="00E85EC4" w:rsidRPr="009E70DA">
        <w:rPr>
          <w:bCs/>
          <w:sz w:val="28"/>
          <w:szCs w:val="28"/>
        </w:rPr>
        <w:t>)</w:t>
      </w:r>
      <w:r w:rsidR="006341A3" w:rsidRPr="009E70DA">
        <w:rPr>
          <w:bCs/>
          <w:sz w:val="28"/>
          <w:szCs w:val="28"/>
        </w:rPr>
        <w:t>:</w:t>
      </w:r>
    </w:p>
    <w:p w14:paraId="1B953C3A" w14:textId="364C4773" w:rsidR="000C4AE4" w:rsidRPr="00F24D0A" w:rsidRDefault="00F24D0A" w:rsidP="00F24D0A">
      <w:pPr>
        <w:spacing w:line="360" w:lineRule="auto"/>
        <w:jc w:val="both"/>
        <w:rPr>
          <w:sz w:val="28"/>
          <w:szCs w:val="28"/>
        </w:rPr>
      </w:pPr>
      <w:r w:rsidRPr="009E70DA">
        <w:rPr>
          <w:sz w:val="28"/>
          <w:szCs w:val="28"/>
        </w:rPr>
        <w:t>1</w:t>
      </w:r>
      <w:r w:rsidRPr="009E70DA">
        <w:rPr>
          <w:sz w:val="28"/>
          <w:szCs w:val="28"/>
        </w:rPr>
        <w:tab/>
      </w:r>
      <w:r w:rsidR="000C4AE4" w:rsidRPr="00F24D0A">
        <w:rPr>
          <w:sz w:val="28"/>
          <w:szCs w:val="28"/>
        </w:rPr>
        <w:t>The appeal under case number 1082/2020 is struck from the roll with costs.</w:t>
      </w:r>
    </w:p>
    <w:p w14:paraId="4734400E" w14:textId="1191F6D6" w:rsidR="000C4AE4" w:rsidRPr="00F24D0A" w:rsidRDefault="00F24D0A" w:rsidP="00F24D0A">
      <w:pPr>
        <w:spacing w:line="360" w:lineRule="auto"/>
        <w:jc w:val="both"/>
        <w:rPr>
          <w:sz w:val="28"/>
          <w:szCs w:val="28"/>
        </w:rPr>
      </w:pPr>
      <w:r w:rsidRPr="009E70DA">
        <w:rPr>
          <w:sz w:val="28"/>
          <w:szCs w:val="28"/>
        </w:rPr>
        <w:t>2</w:t>
      </w:r>
      <w:r w:rsidRPr="009E70DA">
        <w:rPr>
          <w:sz w:val="28"/>
          <w:szCs w:val="28"/>
        </w:rPr>
        <w:tab/>
      </w:r>
      <w:r w:rsidR="000C4AE4" w:rsidRPr="00F24D0A">
        <w:rPr>
          <w:sz w:val="28"/>
          <w:szCs w:val="28"/>
        </w:rPr>
        <w:t>The application for condonation is granted and the appeal under case number 1147/2020 is reinstated.</w:t>
      </w:r>
    </w:p>
    <w:p w14:paraId="3A8A41C3" w14:textId="5C065583" w:rsidR="000C4AE4" w:rsidRPr="00F24D0A" w:rsidRDefault="00F24D0A" w:rsidP="00F24D0A">
      <w:pPr>
        <w:spacing w:line="360" w:lineRule="auto"/>
        <w:jc w:val="both"/>
        <w:rPr>
          <w:sz w:val="28"/>
          <w:szCs w:val="28"/>
        </w:rPr>
      </w:pPr>
      <w:r w:rsidRPr="009E70DA">
        <w:rPr>
          <w:sz w:val="28"/>
          <w:szCs w:val="28"/>
        </w:rPr>
        <w:t>3</w:t>
      </w:r>
      <w:r w:rsidRPr="009E70DA">
        <w:rPr>
          <w:sz w:val="28"/>
          <w:szCs w:val="28"/>
        </w:rPr>
        <w:tab/>
      </w:r>
      <w:r w:rsidR="000C4AE4" w:rsidRPr="00F24D0A">
        <w:rPr>
          <w:sz w:val="28"/>
          <w:szCs w:val="28"/>
        </w:rPr>
        <w:t xml:space="preserve">The appeal </w:t>
      </w:r>
      <w:r w:rsidR="00094AFB" w:rsidRPr="00F24D0A">
        <w:rPr>
          <w:sz w:val="28"/>
          <w:szCs w:val="28"/>
        </w:rPr>
        <w:t xml:space="preserve">under case number 1147/2020 </w:t>
      </w:r>
      <w:r w:rsidR="000C4AE4" w:rsidRPr="00F24D0A">
        <w:rPr>
          <w:sz w:val="28"/>
          <w:szCs w:val="28"/>
        </w:rPr>
        <w:t>is upheld with costs including those of two counsel where so employed.</w:t>
      </w:r>
    </w:p>
    <w:p w14:paraId="6509A629" w14:textId="2205F017" w:rsidR="000C4AE4" w:rsidRPr="00F24D0A" w:rsidRDefault="00F24D0A" w:rsidP="00F24D0A">
      <w:pPr>
        <w:spacing w:line="360" w:lineRule="auto"/>
        <w:jc w:val="both"/>
        <w:rPr>
          <w:sz w:val="28"/>
          <w:szCs w:val="28"/>
        </w:rPr>
      </w:pPr>
      <w:r w:rsidRPr="009E70DA">
        <w:rPr>
          <w:sz w:val="28"/>
          <w:szCs w:val="28"/>
        </w:rPr>
        <w:t>4</w:t>
      </w:r>
      <w:r w:rsidRPr="009E70DA">
        <w:rPr>
          <w:sz w:val="28"/>
          <w:szCs w:val="28"/>
        </w:rPr>
        <w:tab/>
      </w:r>
      <w:r w:rsidR="000C4AE4" w:rsidRPr="00F24D0A">
        <w:rPr>
          <w:sz w:val="28"/>
          <w:szCs w:val="28"/>
        </w:rPr>
        <w:t>The order by the Gauteng Division of the High Court, Pretoria is set aside and replaced with the following:</w:t>
      </w:r>
    </w:p>
    <w:p w14:paraId="3E38684F" w14:textId="06903BB4" w:rsidR="000C4AE4" w:rsidRDefault="002B5CB9" w:rsidP="000C4AE4">
      <w:pPr>
        <w:pStyle w:val="ListParagraph"/>
        <w:spacing w:line="360" w:lineRule="auto"/>
        <w:ind w:left="0"/>
        <w:jc w:val="both"/>
        <w:rPr>
          <w:sz w:val="28"/>
          <w:szCs w:val="28"/>
        </w:rPr>
      </w:pPr>
      <w:r>
        <w:rPr>
          <w:sz w:val="28"/>
          <w:szCs w:val="28"/>
        </w:rPr>
        <w:t>‘</w:t>
      </w:r>
      <w:r w:rsidR="000C4AE4" w:rsidRPr="009E70DA">
        <w:rPr>
          <w:sz w:val="28"/>
          <w:szCs w:val="28"/>
        </w:rPr>
        <w:t>The application</w:t>
      </w:r>
      <w:r w:rsidR="00990EC7">
        <w:rPr>
          <w:sz w:val="28"/>
          <w:szCs w:val="28"/>
        </w:rPr>
        <w:t>s under case numbers 17518/2020, 15876/2020 and 18239/2020</w:t>
      </w:r>
      <w:r w:rsidR="000C4AE4" w:rsidRPr="009E70DA">
        <w:rPr>
          <w:sz w:val="28"/>
          <w:szCs w:val="28"/>
        </w:rPr>
        <w:t xml:space="preserve"> </w:t>
      </w:r>
      <w:r w:rsidR="00990EC7">
        <w:rPr>
          <w:sz w:val="28"/>
          <w:szCs w:val="28"/>
        </w:rPr>
        <w:t>are</w:t>
      </w:r>
      <w:r w:rsidR="000C4AE4" w:rsidRPr="009E70DA">
        <w:rPr>
          <w:sz w:val="28"/>
          <w:szCs w:val="28"/>
        </w:rPr>
        <w:t xml:space="preserve"> dismissed with costs including those of two counsel where so employed.’</w:t>
      </w:r>
    </w:p>
    <w:p w14:paraId="15066A61" w14:textId="77777777" w:rsidR="000C4AE4" w:rsidRPr="009E70DA" w:rsidRDefault="000C4AE4" w:rsidP="000C4AE4">
      <w:pPr>
        <w:pStyle w:val="ListParagraph"/>
        <w:spacing w:line="360" w:lineRule="auto"/>
        <w:ind w:left="0"/>
        <w:jc w:val="both"/>
      </w:pPr>
    </w:p>
    <w:p w14:paraId="322BD040" w14:textId="77777777" w:rsidR="00093030" w:rsidRPr="006B5398" w:rsidRDefault="00093030" w:rsidP="006470B0">
      <w:pPr>
        <w:spacing w:line="360" w:lineRule="auto"/>
        <w:rPr>
          <w:b/>
          <w:bCs/>
          <w:sz w:val="28"/>
          <w:szCs w:val="28"/>
        </w:rPr>
      </w:pPr>
      <w:r w:rsidRPr="006B5398">
        <w:rPr>
          <w:noProof/>
          <w:lang w:eastAsia="en-ZA"/>
        </w:rPr>
        <mc:AlternateContent>
          <mc:Choice Requires="wps">
            <w:drawing>
              <wp:anchor distT="0" distB="0" distL="114300" distR="114300" simplePos="0" relativeHeight="251663360" behindDoc="0" locked="0" layoutInCell="1" allowOverlap="1" wp14:anchorId="02E46169" wp14:editId="0E79BA8F">
                <wp:simplePos x="0" y="0"/>
                <wp:positionH relativeFrom="column">
                  <wp:posOffset>0</wp:posOffset>
                </wp:positionH>
                <wp:positionV relativeFrom="paragraph">
                  <wp:posOffset>59055</wp:posOffset>
                </wp:positionV>
                <wp:extent cx="5257800" cy="0"/>
                <wp:effectExtent l="0" t="0" r="1270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97E574"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1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">
                <o:lock v:ext="edit" shapetype="f"/>
              </v:line>
            </w:pict>
          </mc:Fallback>
        </mc:AlternateContent>
      </w:r>
    </w:p>
    <w:p w14:paraId="55E0E5E4" w14:textId="77777777" w:rsidR="00093030" w:rsidRPr="009E70DA" w:rsidRDefault="00093030" w:rsidP="006470B0">
      <w:pPr>
        <w:pStyle w:val="Heading1"/>
        <w:jc w:val="center"/>
        <w:rPr>
          <w:rFonts w:ascii="Times New Roman" w:hAnsi="Times New Roman" w:cs="Times New Roman"/>
          <w:szCs w:val="28"/>
        </w:rPr>
      </w:pPr>
      <w:r w:rsidRPr="009E70DA">
        <w:rPr>
          <w:rFonts w:ascii="Times New Roman" w:hAnsi="Times New Roman" w:cs="Times New Roman"/>
          <w:szCs w:val="28"/>
        </w:rPr>
        <w:t>JUDGMENT</w:t>
      </w:r>
    </w:p>
    <w:p w14:paraId="2FE02FF9" w14:textId="77777777" w:rsidR="00093030" w:rsidRPr="006B5398" w:rsidRDefault="00093030" w:rsidP="006470B0">
      <w:pPr>
        <w:spacing w:line="360" w:lineRule="auto"/>
        <w:rPr>
          <w:sz w:val="28"/>
          <w:szCs w:val="28"/>
        </w:rPr>
      </w:pPr>
      <w:r w:rsidRPr="006B5398">
        <w:rPr>
          <w:noProof/>
          <w:lang w:eastAsia="en-ZA"/>
        </w:rPr>
        <mc:AlternateContent>
          <mc:Choice Requires="wps">
            <w:drawing>
              <wp:anchor distT="0" distB="0" distL="114300" distR="114300" simplePos="0" relativeHeight="251664384" behindDoc="0" locked="0" layoutInCell="1" allowOverlap="1" wp14:anchorId="6EF6C961" wp14:editId="0C987F62">
                <wp:simplePos x="0" y="0"/>
                <wp:positionH relativeFrom="column">
                  <wp:posOffset>0</wp:posOffset>
                </wp:positionH>
                <wp:positionV relativeFrom="paragraph">
                  <wp:posOffset>140970</wp:posOffset>
                </wp:positionV>
                <wp:extent cx="5257800" cy="0"/>
                <wp:effectExtent l="0" t="0" r="1270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9C017C"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41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TdBAIAABI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">
                <o:lock v:ext="edit" shapetype="f"/>
              </v:line>
            </w:pict>
          </mc:Fallback>
        </mc:AlternateContent>
      </w:r>
    </w:p>
    <w:p w14:paraId="469D3C9F" w14:textId="1776AEA1" w:rsidR="00093030" w:rsidRPr="009E70DA" w:rsidRDefault="00333595" w:rsidP="006470B0">
      <w:pPr>
        <w:spacing w:line="360" w:lineRule="auto"/>
        <w:rPr>
          <w:b/>
          <w:sz w:val="28"/>
          <w:szCs w:val="28"/>
        </w:rPr>
      </w:pPr>
      <w:r>
        <w:rPr>
          <w:b/>
          <w:sz w:val="28"/>
          <w:szCs w:val="28"/>
        </w:rPr>
        <w:t>Gorven</w:t>
      </w:r>
      <w:r w:rsidR="00093030" w:rsidRPr="009E70DA">
        <w:rPr>
          <w:b/>
          <w:sz w:val="28"/>
          <w:szCs w:val="28"/>
        </w:rPr>
        <w:t xml:space="preserve"> JA </w:t>
      </w:r>
      <w:r w:rsidR="000C4AE4">
        <w:rPr>
          <w:b/>
          <w:sz w:val="28"/>
          <w:szCs w:val="28"/>
        </w:rPr>
        <w:t xml:space="preserve">and Masipa AJA </w:t>
      </w:r>
      <w:r w:rsidR="00093030" w:rsidRPr="009E70DA">
        <w:rPr>
          <w:b/>
          <w:sz w:val="28"/>
          <w:szCs w:val="28"/>
        </w:rPr>
        <w:t>(</w:t>
      </w:r>
      <w:r w:rsidR="00E75150">
        <w:rPr>
          <w:b/>
          <w:sz w:val="28"/>
          <w:szCs w:val="28"/>
        </w:rPr>
        <w:t>Zondi JA and Musi and Makaula AJJA</w:t>
      </w:r>
      <w:r w:rsidR="00093030" w:rsidRPr="009E70DA">
        <w:rPr>
          <w:b/>
          <w:sz w:val="28"/>
          <w:szCs w:val="28"/>
        </w:rPr>
        <w:t xml:space="preserve"> concurring)</w:t>
      </w:r>
    </w:p>
    <w:p w14:paraId="192B7F73" w14:textId="77777777" w:rsidR="0064416C" w:rsidRPr="009E70DA" w:rsidRDefault="0064416C" w:rsidP="006470B0">
      <w:pPr>
        <w:spacing w:line="360" w:lineRule="auto"/>
        <w:rPr>
          <w:b/>
          <w:sz w:val="28"/>
          <w:szCs w:val="28"/>
        </w:rPr>
      </w:pPr>
    </w:p>
    <w:p w14:paraId="34C51088" w14:textId="2886B16A" w:rsidR="005C2CA8" w:rsidRPr="00F24D0A" w:rsidRDefault="00F24D0A" w:rsidP="00F24D0A">
      <w:pPr>
        <w:spacing w:line="360" w:lineRule="auto"/>
        <w:jc w:val="both"/>
        <w:rPr>
          <w:sz w:val="28"/>
          <w:szCs w:val="28"/>
        </w:rPr>
      </w:pPr>
      <w:r>
        <w:rPr>
          <w:sz w:val="28"/>
          <w:szCs w:val="28"/>
        </w:rPr>
        <w:t>[1]</w:t>
      </w:r>
      <w:r>
        <w:rPr>
          <w:sz w:val="28"/>
          <w:szCs w:val="28"/>
        </w:rPr>
        <w:tab/>
      </w:r>
      <w:r w:rsidR="008B6346" w:rsidRPr="00F24D0A">
        <w:rPr>
          <w:sz w:val="28"/>
          <w:szCs w:val="28"/>
        </w:rPr>
        <w:t>T</w:t>
      </w:r>
      <w:r w:rsidR="00AE47EA" w:rsidRPr="00F24D0A">
        <w:rPr>
          <w:sz w:val="28"/>
          <w:szCs w:val="28"/>
        </w:rPr>
        <w:t>wo appeals were set down for hearing</w:t>
      </w:r>
      <w:r w:rsidR="009C2BC4" w:rsidRPr="00F24D0A">
        <w:rPr>
          <w:sz w:val="28"/>
          <w:szCs w:val="28"/>
        </w:rPr>
        <w:t>;</w:t>
      </w:r>
      <w:r w:rsidR="008B6346" w:rsidRPr="00F24D0A">
        <w:rPr>
          <w:sz w:val="28"/>
          <w:szCs w:val="28"/>
        </w:rPr>
        <w:t xml:space="preserve"> one </w:t>
      </w:r>
      <w:r w:rsidR="009665A8" w:rsidRPr="00F24D0A">
        <w:rPr>
          <w:sz w:val="28"/>
          <w:szCs w:val="28"/>
        </w:rPr>
        <w:t>under</w:t>
      </w:r>
      <w:r w:rsidR="008B6346" w:rsidRPr="00F24D0A">
        <w:rPr>
          <w:sz w:val="28"/>
          <w:szCs w:val="28"/>
        </w:rPr>
        <w:t xml:space="preserve"> case no</w:t>
      </w:r>
      <w:r w:rsidR="00AE47EA" w:rsidRPr="00F24D0A">
        <w:rPr>
          <w:sz w:val="28"/>
          <w:szCs w:val="28"/>
        </w:rPr>
        <w:t>.</w:t>
      </w:r>
      <w:r w:rsidR="008B6346" w:rsidRPr="00F24D0A">
        <w:rPr>
          <w:sz w:val="28"/>
          <w:szCs w:val="28"/>
        </w:rPr>
        <w:t xml:space="preserve"> </w:t>
      </w:r>
      <w:r w:rsidR="00AE47EA" w:rsidRPr="00F24D0A">
        <w:rPr>
          <w:sz w:val="28"/>
          <w:szCs w:val="28"/>
        </w:rPr>
        <w:t>1147/2020</w:t>
      </w:r>
      <w:r w:rsidR="009C2BC4" w:rsidRPr="00F24D0A">
        <w:rPr>
          <w:sz w:val="28"/>
          <w:szCs w:val="28"/>
        </w:rPr>
        <w:t>,</w:t>
      </w:r>
      <w:r w:rsidR="008B6346" w:rsidRPr="00F24D0A">
        <w:rPr>
          <w:sz w:val="28"/>
          <w:szCs w:val="28"/>
        </w:rPr>
        <w:t xml:space="preserve"> and the other </w:t>
      </w:r>
      <w:r w:rsidR="009665A8" w:rsidRPr="00F24D0A">
        <w:rPr>
          <w:sz w:val="28"/>
          <w:szCs w:val="28"/>
        </w:rPr>
        <w:t>under</w:t>
      </w:r>
      <w:r w:rsidR="008B6346" w:rsidRPr="00F24D0A">
        <w:rPr>
          <w:sz w:val="28"/>
          <w:szCs w:val="28"/>
        </w:rPr>
        <w:t xml:space="preserve"> </w:t>
      </w:r>
      <w:r w:rsidR="00AE47EA" w:rsidRPr="00F24D0A">
        <w:rPr>
          <w:sz w:val="28"/>
          <w:szCs w:val="28"/>
        </w:rPr>
        <w:t>case no. 1082/2020</w:t>
      </w:r>
      <w:r w:rsidR="008B6346" w:rsidRPr="00F24D0A">
        <w:rPr>
          <w:sz w:val="28"/>
          <w:szCs w:val="28"/>
        </w:rPr>
        <w:t>. The Road Accident Fund</w:t>
      </w:r>
      <w:r w:rsidR="00095C88" w:rsidRPr="00F24D0A">
        <w:rPr>
          <w:sz w:val="28"/>
          <w:szCs w:val="28"/>
        </w:rPr>
        <w:t xml:space="preserve"> </w:t>
      </w:r>
      <w:r w:rsidR="008B6346" w:rsidRPr="00F24D0A">
        <w:rPr>
          <w:sz w:val="28"/>
          <w:szCs w:val="28"/>
        </w:rPr>
        <w:t>(</w:t>
      </w:r>
      <w:r w:rsidR="00B170DE" w:rsidRPr="00F24D0A">
        <w:rPr>
          <w:sz w:val="28"/>
          <w:szCs w:val="28"/>
        </w:rPr>
        <w:t xml:space="preserve">the </w:t>
      </w:r>
      <w:r w:rsidR="008B6346" w:rsidRPr="00F24D0A">
        <w:rPr>
          <w:sz w:val="28"/>
          <w:szCs w:val="28"/>
        </w:rPr>
        <w:t>RAF) is the first appellant in the appeal under case number 1147/2020</w:t>
      </w:r>
      <w:r w:rsidR="00B170DE" w:rsidRPr="00F24D0A">
        <w:rPr>
          <w:sz w:val="28"/>
          <w:szCs w:val="28"/>
        </w:rPr>
        <w:t xml:space="preserve">. The second and third appellants are the Chairperson </w:t>
      </w:r>
      <w:r w:rsidR="0005754B" w:rsidRPr="00F24D0A">
        <w:rPr>
          <w:sz w:val="28"/>
          <w:szCs w:val="28"/>
        </w:rPr>
        <w:t xml:space="preserve">of the Board of the RAF </w:t>
      </w:r>
      <w:r w:rsidR="00B170DE" w:rsidRPr="00F24D0A">
        <w:rPr>
          <w:sz w:val="28"/>
          <w:szCs w:val="28"/>
        </w:rPr>
        <w:t xml:space="preserve">and Chief </w:t>
      </w:r>
      <w:r w:rsidR="00B170DE" w:rsidRPr="00F24D0A">
        <w:rPr>
          <w:sz w:val="28"/>
          <w:szCs w:val="28"/>
        </w:rPr>
        <w:lastRenderedPageBreak/>
        <w:t xml:space="preserve">Executive Officer </w:t>
      </w:r>
      <w:r w:rsidR="00E75150" w:rsidRPr="00F24D0A">
        <w:rPr>
          <w:sz w:val="28"/>
          <w:szCs w:val="28"/>
        </w:rPr>
        <w:t xml:space="preserve">(the CEO) </w:t>
      </w:r>
      <w:r w:rsidR="00B170DE" w:rsidRPr="00F24D0A">
        <w:rPr>
          <w:sz w:val="28"/>
          <w:szCs w:val="28"/>
        </w:rPr>
        <w:t>of the RAF respectively. These appellant</w:t>
      </w:r>
      <w:r w:rsidR="009C2BC4" w:rsidRPr="00F24D0A">
        <w:rPr>
          <w:sz w:val="28"/>
          <w:szCs w:val="28"/>
        </w:rPr>
        <w:t>s</w:t>
      </w:r>
      <w:r w:rsidR="00B170DE" w:rsidRPr="00F24D0A">
        <w:rPr>
          <w:sz w:val="28"/>
          <w:szCs w:val="28"/>
        </w:rPr>
        <w:t xml:space="preserve"> shall be referred to as the RAF. Th</w:t>
      </w:r>
      <w:r w:rsidR="008B6346" w:rsidRPr="00F24D0A">
        <w:rPr>
          <w:sz w:val="28"/>
          <w:szCs w:val="28"/>
        </w:rPr>
        <w:t>e Minister of Transport (</w:t>
      </w:r>
      <w:r w:rsidR="00B170DE" w:rsidRPr="00F24D0A">
        <w:rPr>
          <w:sz w:val="28"/>
          <w:szCs w:val="28"/>
        </w:rPr>
        <w:t xml:space="preserve">the </w:t>
      </w:r>
      <w:r w:rsidR="008B6346" w:rsidRPr="00F24D0A">
        <w:rPr>
          <w:sz w:val="28"/>
          <w:szCs w:val="28"/>
        </w:rPr>
        <w:t>Minister)</w:t>
      </w:r>
      <w:r w:rsidR="006B5B1C" w:rsidRPr="00F24D0A">
        <w:rPr>
          <w:sz w:val="28"/>
          <w:szCs w:val="28"/>
        </w:rPr>
        <w:t>, who was the fourth appellant in the previous matter,</w:t>
      </w:r>
      <w:r w:rsidR="008B6346" w:rsidRPr="00F24D0A">
        <w:rPr>
          <w:sz w:val="28"/>
          <w:szCs w:val="28"/>
        </w:rPr>
        <w:t xml:space="preserve"> is the appellant in the appeal under case number 1082/2020. The two appeals were consolidated. </w:t>
      </w:r>
      <w:r w:rsidR="000A5558" w:rsidRPr="00F24D0A">
        <w:rPr>
          <w:sz w:val="28"/>
          <w:szCs w:val="28"/>
        </w:rPr>
        <w:t>Both</w:t>
      </w:r>
      <w:r w:rsidR="008B6346" w:rsidRPr="00F24D0A">
        <w:rPr>
          <w:sz w:val="28"/>
          <w:szCs w:val="28"/>
        </w:rPr>
        <w:t xml:space="preserve"> appeals ha</w:t>
      </w:r>
      <w:r w:rsidR="009C2BC4" w:rsidRPr="00F24D0A">
        <w:rPr>
          <w:sz w:val="28"/>
          <w:szCs w:val="28"/>
        </w:rPr>
        <w:t>d</w:t>
      </w:r>
      <w:r w:rsidR="008B6346" w:rsidRPr="00F24D0A">
        <w:rPr>
          <w:sz w:val="28"/>
          <w:szCs w:val="28"/>
        </w:rPr>
        <w:t xml:space="preserve"> lapsed and </w:t>
      </w:r>
      <w:r w:rsidR="000A5558" w:rsidRPr="00F24D0A">
        <w:rPr>
          <w:sz w:val="28"/>
          <w:szCs w:val="28"/>
        </w:rPr>
        <w:t xml:space="preserve">both </w:t>
      </w:r>
      <w:r w:rsidR="006B5B1C" w:rsidRPr="00F24D0A">
        <w:rPr>
          <w:sz w:val="28"/>
          <w:szCs w:val="28"/>
        </w:rPr>
        <w:t xml:space="preserve">sets of </w:t>
      </w:r>
      <w:r w:rsidR="000A5558" w:rsidRPr="00F24D0A">
        <w:rPr>
          <w:sz w:val="28"/>
          <w:szCs w:val="28"/>
        </w:rPr>
        <w:t xml:space="preserve">appellants sought </w:t>
      </w:r>
      <w:r w:rsidR="00094AFB" w:rsidRPr="00F24D0A">
        <w:rPr>
          <w:sz w:val="28"/>
          <w:szCs w:val="28"/>
        </w:rPr>
        <w:t xml:space="preserve">condonation for the late delivery of the appeal record and the notice of appeal and </w:t>
      </w:r>
      <w:r w:rsidR="000B574E" w:rsidRPr="00F24D0A">
        <w:rPr>
          <w:sz w:val="28"/>
          <w:szCs w:val="28"/>
        </w:rPr>
        <w:t xml:space="preserve">sought </w:t>
      </w:r>
      <w:r w:rsidR="000A5558" w:rsidRPr="00F24D0A">
        <w:rPr>
          <w:sz w:val="28"/>
          <w:szCs w:val="28"/>
        </w:rPr>
        <w:t>reinstatement of the appeals</w:t>
      </w:r>
      <w:r w:rsidR="008B6346" w:rsidRPr="00F24D0A">
        <w:rPr>
          <w:sz w:val="28"/>
          <w:szCs w:val="28"/>
        </w:rPr>
        <w:t>. The</w:t>
      </w:r>
      <w:r w:rsidR="008B6346" w:rsidRPr="00F24D0A">
        <w:rPr>
          <w:b/>
          <w:sz w:val="28"/>
          <w:szCs w:val="28"/>
        </w:rPr>
        <w:t xml:space="preserve"> </w:t>
      </w:r>
      <w:r w:rsidR="008B6346" w:rsidRPr="00F24D0A">
        <w:rPr>
          <w:sz w:val="28"/>
          <w:szCs w:val="28"/>
        </w:rPr>
        <w:t xml:space="preserve">Minister’s appeal was struck from the roll due to non-appearance. </w:t>
      </w:r>
      <w:r w:rsidR="00892EBC" w:rsidRPr="00F24D0A">
        <w:rPr>
          <w:sz w:val="28"/>
          <w:szCs w:val="28"/>
        </w:rPr>
        <w:t>No more need be said about it. The balance of this judgment deals with</w:t>
      </w:r>
      <w:r w:rsidR="00E45A3C" w:rsidRPr="00F24D0A">
        <w:rPr>
          <w:sz w:val="28"/>
          <w:szCs w:val="28"/>
        </w:rPr>
        <w:t xml:space="preserve"> the </w:t>
      </w:r>
      <w:r w:rsidR="00094AFB" w:rsidRPr="00F24D0A">
        <w:rPr>
          <w:sz w:val="28"/>
          <w:szCs w:val="28"/>
        </w:rPr>
        <w:t xml:space="preserve">application for condonation and the </w:t>
      </w:r>
      <w:r w:rsidR="003F4ED9" w:rsidRPr="00F24D0A">
        <w:rPr>
          <w:sz w:val="28"/>
          <w:szCs w:val="28"/>
        </w:rPr>
        <w:t xml:space="preserve">appeal of the </w:t>
      </w:r>
      <w:r w:rsidR="00E45A3C" w:rsidRPr="00F24D0A">
        <w:rPr>
          <w:sz w:val="28"/>
          <w:szCs w:val="28"/>
        </w:rPr>
        <w:t>RAF.</w:t>
      </w:r>
    </w:p>
    <w:p w14:paraId="0717FC43" w14:textId="77777777" w:rsidR="005C2CA8" w:rsidRDefault="005C2CA8" w:rsidP="005C2CA8">
      <w:pPr>
        <w:pStyle w:val="ListParagraph"/>
        <w:spacing w:line="360" w:lineRule="auto"/>
        <w:jc w:val="both"/>
        <w:rPr>
          <w:sz w:val="28"/>
          <w:szCs w:val="28"/>
        </w:rPr>
      </w:pPr>
    </w:p>
    <w:p w14:paraId="3E355B6D" w14:textId="005A71DA" w:rsidR="000D7FD4" w:rsidRPr="000D7FD4" w:rsidRDefault="00F24D0A" w:rsidP="00F24D0A">
      <w:pPr>
        <w:spacing w:line="360" w:lineRule="auto"/>
        <w:jc w:val="both"/>
      </w:pPr>
      <w:r w:rsidRPr="000D7FD4">
        <w:rPr>
          <w:sz w:val="28"/>
          <w:szCs w:val="28"/>
        </w:rPr>
        <w:t>[2]</w:t>
      </w:r>
      <w:r w:rsidRPr="000D7FD4">
        <w:rPr>
          <w:sz w:val="28"/>
          <w:szCs w:val="28"/>
        </w:rPr>
        <w:tab/>
      </w:r>
      <w:r w:rsidR="003F4ED9" w:rsidRPr="00F24D0A">
        <w:rPr>
          <w:sz w:val="28"/>
          <w:szCs w:val="28"/>
        </w:rPr>
        <w:t xml:space="preserve">A brief background is necessary. </w:t>
      </w:r>
      <w:r w:rsidR="000D7FD4" w:rsidRPr="00F24D0A">
        <w:rPr>
          <w:sz w:val="28"/>
          <w:szCs w:val="28"/>
        </w:rPr>
        <w:t>The RAF is a juristic person created by the Road Accident Fund Act 56 of 1996 (the RAF Act). Its purpose is to facilitate compensation for damages arising from the negligent driving of motor vehicles. I</w:t>
      </w:r>
      <w:r w:rsidR="005F7CC3" w:rsidRPr="00F24D0A">
        <w:rPr>
          <w:sz w:val="28"/>
          <w:szCs w:val="28"/>
        </w:rPr>
        <w:t>t is safe to say that</w:t>
      </w:r>
      <w:r w:rsidR="000D7FD4" w:rsidRPr="00F24D0A">
        <w:rPr>
          <w:sz w:val="28"/>
          <w:szCs w:val="28"/>
        </w:rPr>
        <w:t xml:space="preserve"> it </w:t>
      </w:r>
      <w:r w:rsidR="00CB73E8" w:rsidRPr="00F24D0A">
        <w:rPr>
          <w:sz w:val="28"/>
          <w:szCs w:val="28"/>
        </w:rPr>
        <w:t>has been</w:t>
      </w:r>
      <w:r w:rsidR="000D7FD4" w:rsidRPr="00F24D0A">
        <w:rPr>
          <w:sz w:val="28"/>
          <w:szCs w:val="28"/>
        </w:rPr>
        <w:t xml:space="preserve"> the country’s major litigator</w:t>
      </w:r>
      <w:r w:rsidR="00664008" w:rsidRPr="00F24D0A">
        <w:rPr>
          <w:sz w:val="28"/>
          <w:szCs w:val="28"/>
        </w:rPr>
        <w:t xml:space="preserve"> for some years</w:t>
      </w:r>
      <w:r w:rsidR="000D7FD4" w:rsidRPr="00F24D0A">
        <w:rPr>
          <w:sz w:val="28"/>
          <w:szCs w:val="28"/>
        </w:rPr>
        <w:t xml:space="preserve">. </w:t>
      </w:r>
    </w:p>
    <w:p w14:paraId="20012A35" w14:textId="77777777" w:rsidR="000D7FD4" w:rsidRPr="000D7FD4" w:rsidRDefault="000D7FD4" w:rsidP="000D7FD4">
      <w:pPr>
        <w:rPr>
          <w:sz w:val="28"/>
          <w:szCs w:val="28"/>
        </w:rPr>
      </w:pPr>
    </w:p>
    <w:p w14:paraId="67BD0346" w14:textId="755F9E71" w:rsidR="00CB73E8" w:rsidRPr="00610C08" w:rsidRDefault="00F24D0A" w:rsidP="00F24D0A">
      <w:pPr>
        <w:spacing w:line="360" w:lineRule="auto"/>
        <w:jc w:val="both"/>
      </w:pPr>
      <w:r w:rsidRPr="00610C08">
        <w:rPr>
          <w:sz w:val="28"/>
          <w:szCs w:val="28"/>
        </w:rPr>
        <w:t>[3]</w:t>
      </w:r>
      <w:r w:rsidRPr="00610C08">
        <w:rPr>
          <w:sz w:val="28"/>
          <w:szCs w:val="28"/>
        </w:rPr>
        <w:tab/>
      </w:r>
      <w:r w:rsidR="00004DB6" w:rsidRPr="00F24D0A">
        <w:rPr>
          <w:sz w:val="28"/>
          <w:szCs w:val="28"/>
        </w:rPr>
        <w:t xml:space="preserve">Pursuant to a tender </w:t>
      </w:r>
      <w:r w:rsidR="007C5374" w:rsidRPr="00F24D0A">
        <w:rPr>
          <w:sz w:val="28"/>
          <w:szCs w:val="28"/>
        </w:rPr>
        <w:t>awarded</w:t>
      </w:r>
      <w:r w:rsidR="00004DB6" w:rsidRPr="00F24D0A">
        <w:rPr>
          <w:sz w:val="28"/>
          <w:szCs w:val="28"/>
        </w:rPr>
        <w:t xml:space="preserve"> in 2014, </w:t>
      </w:r>
      <w:r w:rsidR="000D7FD4" w:rsidRPr="00F24D0A">
        <w:rPr>
          <w:sz w:val="28"/>
          <w:szCs w:val="28"/>
        </w:rPr>
        <w:t xml:space="preserve">the RAF contracted a panel of 103 attorneys for a period of five years. </w:t>
      </w:r>
      <w:r w:rsidR="00E4497C" w:rsidRPr="00F24D0A">
        <w:rPr>
          <w:sz w:val="28"/>
          <w:szCs w:val="28"/>
        </w:rPr>
        <w:t xml:space="preserve">The procurement of </w:t>
      </w:r>
      <w:r w:rsidR="005F6D46" w:rsidRPr="00F24D0A">
        <w:rPr>
          <w:sz w:val="28"/>
          <w:szCs w:val="28"/>
        </w:rPr>
        <w:t>any such</w:t>
      </w:r>
      <w:r w:rsidR="00E4497C" w:rsidRPr="00F24D0A">
        <w:rPr>
          <w:sz w:val="28"/>
          <w:szCs w:val="28"/>
        </w:rPr>
        <w:t xml:space="preserve"> panel must </w:t>
      </w:r>
      <w:r w:rsidR="005F6D46" w:rsidRPr="00F24D0A">
        <w:rPr>
          <w:sz w:val="28"/>
          <w:szCs w:val="28"/>
        </w:rPr>
        <w:t>comply with</w:t>
      </w:r>
      <w:r w:rsidR="00E4497C" w:rsidRPr="00F24D0A">
        <w:rPr>
          <w:sz w:val="28"/>
          <w:szCs w:val="28"/>
        </w:rPr>
        <w:t xml:space="preserve"> the prescripts of s 217 of the Constitution.</w:t>
      </w:r>
      <w:r w:rsidR="00E4497C" w:rsidRPr="006B5398">
        <w:rPr>
          <w:rStyle w:val="FootnoteReference"/>
          <w:sz w:val="28"/>
          <w:szCs w:val="28"/>
        </w:rPr>
        <w:footnoteReference w:id="1"/>
      </w:r>
      <w:r w:rsidR="00E4497C" w:rsidRPr="00F24D0A">
        <w:rPr>
          <w:sz w:val="28"/>
          <w:szCs w:val="28"/>
        </w:rPr>
        <w:t xml:space="preserve"> </w:t>
      </w:r>
      <w:r w:rsidR="00CB73E8" w:rsidRPr="00F24D0A">
        <w:rPr>
          <w:sz w:val="28"/>
          <w:szCs w:val="28"/>
        </w:rPr>
        <w:t xml:space="preserve">These attorneys were to </w:t>
      </w:r>
      <w:r w:rsidR="008B6346" w:rsidRPr="00F24D0A">
        <w:rPr>
          <w:sz w:val="28"/>
          <w:szCs w:val="28"/>
        </w:rPr>
        <w:t>provid</w:t>
      </w:r>
      <w:r w:rsidR="005204FC" w:rsidRPr="00F24D0A">
        <w:rPr>
          <w:sz w:val="28"/>
          <w:szCs w:val="28"/>
        </w:rPr>
        <w:t>e</w:t>
      </w:r>
      <w:r w:rsidR="008B6346" w:rsidRPr="00F24D0A">
        <w:rPr>
          <w:sz w:val="28"/>
          <w:szCs w:val="28"/>
        </w:rPr>
        <w:t xml:space="preserve"> </w:t>
      </w:r>
      <w:r w:rsidR="005204FC" w:rsidRPr="00F24D0A">
        <w:rPr>
          <w:sz w:val="28"/>
          <w:szCs w:val="28"/>
        </w:rPr>
        <w:t>specialised</w:t>
      </w:r>
      <w:r w:rsidR="006704E8" w:rsidRPr="00F24D0A">
        <w:rPr>
          <w:sz w:val="28"/>
          <w:szCs w:val="28"/>
        </w:rPr>
        <w:t xml:space="preserve"> </w:t>
      </w:r>
      <w:r w:rsidR="008B6346" w:rsidRPr="00F24D0A">
        <w:rPr>
          <w:sz w:val="28"/>
          <w:szCs w:val="28"/>
        </w:rPr>
        <w:t xml:space="preserve">legal services to the </w:t>
      </w:r>
      <w:r w:rsidR="00095C88" w:rsidRPr="00F24D0A">
        <w:rPr>
          <w:sz w:val="28"/>
          <w:szCs w:val="28"/>
        </w:rPr>
        <w:t>RAF</w:t>
      </w:r>
      <w:r w:rsidR="00372718" w:rsidRPr="00F24D0A">
        <w:rPr>
          <w:sz w:val="28"/>
          <w:szCs w:val="28"/>
        </w:rPr>
        <w:t xml:space="preserve">. </w:t>
      </w:r>
      <w:r w:rsidR="005204FC" w:rsidRPr="00F24D0A">
        <w:rPr>
          <w:sz w:val="28"/>
          <w:szCs w:val="28"/>
        </w:rPr>
        <w:t xml:space="preserve">Identical Service Level Agreements </w:t>
      </w:r>
      <w:r w:rsidR="00093930" w:rsidRPr="00F24D0A">
        <w:rPr>
          <w:sz w:val="28"/>
          <w:szCs w:val="28"/>
        </w:rPr>
        <w:t xml:space="preserve">(the SLAs) </w:t>
      </w:r>
      <w:r w:rsidR="005204FC" w:rsidRPr="00F24D0A">
        <w:rPr>
          <w:sz w:val="28"/>
          <w:szCs w:val="28"/>
        </w:rPr>
        <w:t>were concluded w</w:t>
      </w:r>
      <w:r w:rsidR="00C31458" w:rsidRPr="00F24D0A">
        <w:rPr>
          <w:sz w:val="28"/>
          <w:szCs w:val="28"/>
        </w:rPr>
        <w:t>ith</w:t>
      </w:r>
      <w:r w:rsidR="00610C08" w:rsidRPr="00F24D0A">
        <w:rPr>
          <w:sz w:val="28"/>
          <w:szCs w:val="28"/>
        </w:rPr>
        <w:t xml:space="preserve"> </w:t>
      </w:r>
      <w:r w:rsidR="00440906" w:rsidRPr="00F24D0A">
        <w:rPr>
          <w:sz w:val="28"/>
          <w:szCs w:val="28"/>
        </w:rPr>
        <w:t>the</w:t>
      </w:r>
      <w:r w:rsidR="00C31458" w:rsidRPr="00F24D0A">
        <w:rPr>
          <w:sz w:val="28"/>
          <w:szCs w:val="28"/>
        </w:rPr>
        <w:t xml:space="preserve"> attorney</w:t>
      </w:r>
      <w:r w:rsidR="00440906" w:rsidRPr="00F24D0A">
        <w:rPr>
          <w:sz w:val="28"/>
          <w:szCs w:val="28"/>
        </w:rPr>
        <w:t>s</w:t>
      </w:r>
      <w:r w:rsidR="00C31458" w:rsidRPr="00F24D0A">
        <w:rPr>
          <w:sz w:val="28"/>
          <w:szCs w:val="28"/>
        </w:rPr>
        <w:t xml:space="preserve"> </w:t>
      </w:r>
      <w:r w:rsidR="00560A6B" w:rsidRPr="00F24D0A">
        <w:rPr>
          <w:sz w:val="28"/>
          <w:szCs w:val="28"/>
        </w:rPr>
        <w:t xml:space="preserve">on </w:t>
      </w:r>
      <w:r w:rsidR="00C31458" w:rsidRPr="00F24D0A">
        <w:rPr>
          <w:sz w:val="28"/>
          <w:szCs w:val="28"/>
        </w:rPr>
        <w:t>the panel</w:t>
      </w:r>
      <w:r w:rsidR="007F548B" w:rsidRPr="00F24D0A">
        <w:rPr>
          <w:sz w:val="28"/>
          <w:szCs w:val="28"/>
        </w:rPr>
        <w:t>.</w:t>
      </w:r>
    </w:p>
    <w:p w14:paraId="49D43282" w14:textId="77777777" w:rsidR="00610C08" w:rsidRPr="005C2CA8" w:rsidRDefault="00610C08" w:rsidP="00610C08">
      <w:pPr>
        <w:pStyle w:val="ListParagraph"/>
        <w:spacing w:line="360" w:lineRule="auto"/>
        <w:ind w:left="0"/>
        <w:jc w:val="both"/>
      </w:pPr>
    </w:p>
    <w:p w14:paraId="6CA271F3" w14:textId="493951DF" w:rsidR="006066C2" w:rsidRPr="00F24D0A" w:rsidRDefault="00F24D0A" w:rsidP="00F24D0A">
      <w:pPr>
        <w:spacing w:line="360" w:lineRule="auto"/>
        <w:jc w:val="both"/>
        <w:rPr>
          <w:sz w:val="28"/>
          <w:szCs w:val="28"/>
        </w:rPr>
      </w:pPr>
      <w:r>
        <w:rPr>
          <w:sz w:val="28"/>
          <w:szCs w:val="28"/>
        </w:rPr>
        <w:t>[4]</w:t>
      </w:r>
      <w:r>
        <w:rPr>
          <w:sz w:val="28"/>
          <w:szCs w:val="28"/>
        </w:rPr>
        <w:tab/>
      </w:r>
      <w:r w:rsidR="005204FC" w:rsidRPr="00F24D0A">
        <w:rPr>
          <w:sz w:val="28"/>
          <w:szCs w:val="28"/>
        </w:rPr>
        <w:t>Th</w:t>
      </w:r>
      <w:r w:rsidR="00610C08" w:rsidRPr="00F24D0A">
        <w:rPr>
          <w:sz w:val="28"/>
          <w:szCs w:val="28"/>
        </w:rPr>
        <w:t>e SLA</w:t>
      </w:r>
      <w:r w:rsidR="00440906" w:rsidRPr="00F24D0A">
        <w:rPr>
          <w:sz w:val="28"/>
          <w:szCs w:val="28"/>
        </w:rPr>
        <w:t>s</w:t>
      </w:r>
      <w:r w:rsidR="00610C08" w:rsidRPr="00F24D0A">
        <w:rPr>
          <w:sz w:val="28"/>
          <w:szCs w:val="28"/>
        </w:rPr>
        <w:t xml:space="preserve"> were</w:t>
      </w:r>
      <w:r w:rsidR="005204FC" w:rsidRPr="00F24D0A">
        <w:rPr>
          <w:sz w:val="28"/>
          <w:szCs w:val="28"/>
        </w:rPr>
        <w:t xml:space="preserve"> due to lapse </w:t>
      </w:r>
      <w:r w:rsidR="00D61FA9" w:rsidRPr="00F24D0A">
        <w:rPr>
          <w:sz w:val="28"/>
          <w:szCs w:val="28"/>
        </w:rPr>
        <w:t xml:space="preserve">towards the end </w:t>
      </w:r>
      <w:r w:rsidR="005204FC" w:rsidRPr="00F24D0A">
        <w:rPr>
          <w:sz w:val="28"/>
          <w:szCs w:val="28"/>
        </w:rPr>
        <w:t>o</w:t>
      </w:r>
      <w:r w:rsidR="00D61FA9" w:rsidRPr="00F24D0A">
        <w:rPr>
          <w:sz w:val="28"/>
          <w:szCs w:val="28"/>
        </w:rPr>
        <w:t>f</w:t>
      </w:r>
      <w:r w:rsidR="005204FC" w:rsidRPr="00F24D0A">
        <w:rPr>
          <w:sz w:val="28"/>
          <w:szCs w:val="28"/>
        </w:rPr>
        <w:t xml:space="preserve"> November 2019. </w:t>
      </w:r>
      <w:r w:rsidR="00610C08" w:rsidRPr="00F24D0A">
        <w:rPr>
          <w:sz w:val="28"/>
          <w:szCs w:val="28"/>
        </w:rPr>
        <w:t>On</w:t>
      </w:r>
      <w:r w:rsidR="005204FC" w:rsidRPr="00F24D0A">
        <w:rPr>
          <w:sz w:val="28"/>
          <w:szCs w:val="28"/>
        </w:rPr>
        <w:t xml:space="preserve"> 25</w:t>
      </w:r>
      <w:r w:rsidR="00D61FA9" w:rsidRPr="00F24D0A">
        <w:rPr>
          <w:sz w:val="28"/>
          <w:szCs w:val="28"/>
        </w:rPr>
        <w:t> </w:t>
      </w:r>
      <w:r w:rsidR="005204FC" w:rsidRPr="00F24D0A">
        <w:rPr>
          <w:sz w:val="28"/>
          <w:szCs w:val="28"/>
        </w:rPr>
        <w:t>July</w:t>
      </w:r>
      <w:r w:rsidR="00D61FA9" w:rsidRPr="00F24D0A">
        <w:rPr>
          <w:sz w:val="28"/>
          <w:szCs w:val="28"/>
        </w:rPr>
        <w:t> </w:t>
      </w:r>
      <w:r w:rsidR="005204FC" w:rsidRPr="00F24D0A">
        <w:rPr>
          <w:sz w:val="28"/>
          <w:szCs w:val="28"/>
        </w:rPr>
        <w:t xml:space="preserve">2019, the </w:t>
      </w:r>
      <w:r w:rsidR="000B574E" w:rsidRPr="00F24D0A">
        <w:rPr>
          <w:sz w:val="28"/>
          <w:szCs w:val="28"/>
        </w:rPr>
        <w:t xml:space="preserve">interim </w:t>
      </w:r>
      <w:r w:rsidR="00610C08" w:rsidRPr="00F24D0A">
        <w:rPr>
          <w:sz w:val="28"/>
          <w:szCs w:val="28"/>
        </w:rPr>
        <w:t>B</w:t>
      </w:r>
      <w:r w:rsidR="005204FC" w:rsidRPr="00F24D0A">
        <w:rPr>
          <w:sz w:val="28"/>
          <w:szCs w:val="28"/>
        </w:rPr>
        <w:t>oard</w:t>
      </w:r>
      <w:r w:rsidR="00E35965" w:rsidRPr="00F24D0A">
        <w:rPr>
          <w:sz w:val="28"/>
          <w:szCs w:val="28"/>
        </w:rPr>
        <w:t xml:space="preserve"> of the RAF </w:t>
      </w:r>
      <w:r w:rsidR="005204FC" w:rsidRPr="00F24D0A">
        <w:rPr>
          <w:sz w:val="28"/>
          <w:szCs w:val="28"/>
        </w:rPr>
        <w:t xml:space="preserve">notified the attorneys </w:t>
      </w:r>
      <w:r w:rsidR="00440906" w:rsidRPr="00F24D0A">
        <w:rPr>
          <w:sz w:val="28"/>
          <w:szCs w:val="28"/>
        </w:rPr>
        <w:t xml:space="preserve">on the panel </w:t>
      </w:r>
      <w:r w:rsidR="005204FC" w:rsidRPr="00F24D0A">
        <w:rPr>
          <w:sz w:val="28"/>
          <w:szCs w:val="28"/>
        </w:rPr>
        <w:t>to prepare all unfinali</w:t>
      </w:r>
      <w:r w:rsidR="00D76A95" w:rsidRPr="00F24D0A">
        <w:rPr>
          <w:sz w:val="28"/>
          <w:szCs w:val="28"/>
        </w:rPr>
        <w:t>s</w:t>
      </w:r>
      <w:r w:rsidR="005204FC" w:rsidRPr="00F24D0A">
        <w:rPr>
          <w:sz w:val="28"/>
          <w:szCs w:val="28"/>
        </w:rPr>
        <w:t xml:space="preserve">ed files in their possession for handover by that date. </w:t>
      </w:r>
      <w:r w:rsidR="0071189F" w:rsidRPr="00F24D0A">
        <w:rPr>
          <w:sz w:val="28"/>
          <w:szCs w:val="28"/>
        </w:rPr>
        <w:t>In preparation for the lapsing of the SLAs, t</w:t>
      </w:r>
      <w:r w:rsidR="005204FC" w:rsidRPr="00F24D0A">
        <w:rPr>
          <w:sz w:val="28"/>
          <w:szCs w:val="28"/>
        </w:rPr>
        <w:t xml:space="preserve">he RAF </w:t>
      </w:r>
      <w:r w:rsidR="00A81007" w:rsidRPr="00F24D0A">
        <w:rPr>
          <w:sz w:val="28"/>
          <w:szCs w:val="28"/>
        </w:rPr>
        <w:t>had</w:t>
      </w:r>
      <w:r w:rsidR="005204FC" w:rsidRPr="00F24D0A">
        <w:rPr>
          <w:sz w:val="28"/>
          <w:szCs w:val="28"/>
        </w:rPr>
        <w:t xml:space="preserve"> put out a new </w:t>
      </w:r>
      <w:r w:rsidR="002E16D8" w:rsidRPr="00F24D0A">
        <w:rPr>
          <w:sz w:val="28"/>
          <w:szCs w:val="28"/>
        </w:rPr>
        <w:t xml:space="preserve">invitation to </w:t>
      </w:r>
      <w:r w:rsidR="005204FC" w:rsidRPr="00F24D0A">
        <w:rPr>
          <w:sz w:val="28"/>
          <w:szCs w:val="28"/>
        </w:rPr>
        <w:t>tender</w:t>
      </w:r>
      <w:r w:rsidR="00E04099" w:rsidRPr="00F24D0A">
        <w:rPr>
          <w:sz w:val="28"/>
          <w:szCs w:val="28"/>
        </w:rPr>
        <w:t xml:space="preserve"> on 30 November 2018</w:t>
      </w:r>
      <w:r w:rsidR="005204FC" w:rsidRPr="00F24D0A">
        <w:rPr>
          <w:sz w:val="28"/>
          <w:szCs w:val="28"/>
        </w:rPr>
        <w:t>, RAF/2018/00054 (the 2018 tender)</w:t>
      </w:r>
      <w:r w:rsidR="00E04099" w:rsidRPr="00F24D0A">
        <w:rPr>
          <w:sz w:val="28"/>
          <w:szCs w:val="28"/>
        </w:rPr>
        <w:t>. This sought bids for a five year period</w:t>
      </w:r>
      <w:r w:rsidR="00440906" w:rsidRPr="00F24D0A">
        <w:rPr>
          <w:sz w:val="28"/>
          <w:szCs w:val="28"/>
        </w:rPr>
        <w:t>. T</w:t>
      </w:r>
      <w:r w:rsidR="004B1A46" w:rsidRPr="00F24D0A">
        <w:rPr>
          <w:sz w:val="28"/>
          <w:szCs w:val="28"/>
        </w:rPr>
        <w:t>he</w:t>
      </w:r>
      <w:r w:rsidR="005204FC" w:rsidRPr="00F24D0A">
        <w:rPr>
          <w:sz w:val="28"/>
          <w:szCs w:val="28"/>
        </w:rPr>
        <w:t xml:space="preserve"> closing date </w:t>
      </w:r>
      <w:r w:rsidR="004B1A46" w:rsidRPr="00F24D0A">
        <w:rPr>
          <w:sz w:val="28"/>
          <w:szCs w:val="28"/>
        </w:rPr>
        <w:t>for submission was</w:t>
      </w:r>
      <w:r w:rsidR="005204FC" w:rsidRPr="00F24D0A">
        <w:rPr>
          <w:sz w:val="28"/>
          <w:szCs w:val="28"/>
        </w:rPr>
        <w:t xml:space="preserve"> 28 February 2020</w:t>
      </w:r>
      <w:r w:rsidR="00D95A7D" w:rsidRPr="00F24D0A">
        <w:rPr>
          <w:sz w:val="28"/>
          <w:szCs w:val="28"/>
        </w:rPr>
        <w:t>,</w:t>
      </w:r>
      <w:r w:rsidR="00E04099" w:rsidRPr="00F24D0A">
        <w:rPr>
          <w:sz w:val="28"/>
          <w:szCs w:val="28"/>
        </w:rPr>
        <w:t xml:space="preserve"> which was</w:t>
      </w:r>
      <w:r w:rsidR="005204FC" w:rsidRPr="00F24D0A">
        <w:rPr>
          <w:sz w:val="28"/>
          <w:szCs w:val="28"/>
        </w:rPr>
        <w:t xml:space="preserve"> subsequently extended to 14 June 2020. </w:t>
      </w:r>
    </w:p>
    <w:p w14:paraId="2EFA777B" w14:textId="77777777" w:rsidR="006066C2" w:rsidRDefault="006066C2" w:rsidP="006066C2">
      <w:pPr>
        <w:pStyle w:val="ListParagraph"/>
        <w:spacing w:line="360" w:lineRule="auto"/>
        <w:ind w:left="0"/>
        <w:jc w:val="both"/>
        <w:rPr>
          <w:sz w:val="28"/>
          <w:szCs w:val="28"/>
        </w:rPr>
      </w:pPr>
    </w:p>
    <w:p w14:paraId="59C67B6E" w14:textId="6FFD6988" w:rsidR="005C2CA8" w:rsidRPr="00F24D0A" w:rsidRDefault="00F24D0A" w:rsidP="00F24D0A">
      <w:pPr>
        <w:spacing w:line="360" w:lineRule="auto"/>
        <w:jc w:val="both"/>
        <w:rPr>
          <w:sz w:val="28"/>
          <w:szCs w:val="28"/>
        </w:rPr>
      </w:pPr>
      <w:r w:rsidRPr="006066C2">
        <w:rPr>
          <w:sz w:val="28"/>
          <w:szCs w:val="28"/>
        </w:rPr>
        <w:t>[5]</w:t>
      </w:r>
      <w:r w:rsidRPr="006066C2">
        <w:rPr>
          <w:sz w:val="28"/>
          <w:szCs w:val="28"/>
        </w:rPr>
        <w:tab/>
      </w:r>
      <w:r w:rsidR="005204FC" w:rsidRPr="00F24D0A">
        <w:rPr>
          <w:sz w:val="28"/>
          <w:szCs w:val="28"/>
        </w:rPr>
        <w:t>On 19 September 2019, the Board appointed a new CEO. The following day, the Board sent a letter suspending th</w:t>
      </w:r>
      <w:r w:rsidR="009044AE" w:rsidRPr="00F24D0A">
        <w:rPr>
          <w:sz w:val="28"/>
          <w:szCs w:val="28"/>
        </w:rPr>
        <w:t xml:space="preserve">e instruction </w:t>
      </w:r>
      <w:r w:rsidR="000F73A3" w:rsidRPr="00F24D0A">
        <w:rPr>
          <w:sz w:val="28"/>
          <w:szCs w:val="28"/>
        </w:rPr>
        <w:t>of 25 July requiring unfinali</w:t>
      </w:r>
      <w:r w:rsidR="0071189F" w:rsidRPr="00F24D0A">
        <w:rPr>
          <w:sz w:val="28"/>
          <w:szCs w:val="28"/>
        </w:rPr>
        <w:t>s</w:t>
      </w:r>
      <w:r w:rsidR="005204FC" w:rsidRPr="00F24D0A">
        <w:rPr>
          <w:sz w:val="28"/>
          <w:szCs w:val="28"/>
        </w:rPr>
        <w:t>ed files to be handed over. On 22 October</w:t>
      </w:r>
      <w:r w:rsidR="00372718" w:rsidRPr="00F24D0A">
        <w:rPr>
          <w:sz w:val="28"/>
          <w:szCs w:val="28"/>
        </w:rPr>
        <w:t xml:space="preserve"> 2019</w:t>
      </w:r>
      <w:r w:rsidR="005204FC" w:rsidRPr="00F24D0A">
        <w:rPr>
          <w:sz w:val="28"/>
          <w:szCs w:val="28"/>
        </w:rPr>
        <w:t>, the Board resolved to extend the SLA</w:t>
      </w:r>
      <w:r w:rsidR="000338E5" w:rsidRPr="00F24D0A">
        <w:rPr>
          <w:sz w:val="28"/>
          <w:szCs w:val="28"/>
        </w:rPr>
        <w:t>s</w:t>
      </w:r>
      <w:r w:rsidR="005204FC" w:rsidRPr="00F24D0A">
        <w:rPr>
          <w:sz w:val="28"/>
          <w:szCs w:val="28"/>
        </w:rPr>
        <w:t xml:space="preserve"> to 31 May 2020. On 19 November, the Board sent an addendum to the SLA</w:t>
      </w:r>
      <w:r w:rsidR="000338E5" w:rsidRPr="00F24D0A">
        <w:rPr>
          <w:sz w:val="28"/>
          <w:szCs w:val="28"/>
        </w:rPr>
        <w:t>s</w:t>
      </w:r>
      <w:r w:rsidR="005204FC" w:rsidRPr="00F24D0A">
        <w:rPr>
          <w:sz w:val="28"/>
          <w:szCs w:val="28"/>
        </w:rPr>
        <w:t xml:space="preserve"> to the attorneys </w:t>
      </w:r>
      <w:r w:rsidR="00D03C17" w:rsidRPr="00F24D0A">
        <w:rPr>
          <w:sz w:val="28"/>
          <w:szCs w:val="28"/>
        </w:rPr>
        <w:t xml:space="preserve">on the panel </w:t>
      </w:r>
      <w:r w:rsidR="005204FC" w:rsidRPr="00F24D0A">
        <w:rPr>
          <w:sz w:val="28"/>
          <w:szCs w:val="28"/>
        </w:rPr>
        <w:t xml:space="preserve">for signature by 21 November (the second addendum). </w:t>
      </w:r>
      <w:r w:rsidR="003E4854" w:rsidRPr="00F24D0A">
        <w:rPr>
          <w:sz w:val="28"/>
          <w:szCs w:val="28"/>
        </w:rPr>
        <w:t xml:space="preserve">The second addendum </w:t>
      </w:r>
      <w:r w:rsidR="00645C4F" w:rsidRPr="00F24D0A">
        <w:rPr>
          <w:sz w:val="28"/>
          <w:szCs w:val="28"/>
        </w:rPr>
        <w:t xml:space="preserve">extended the SLAs to 31 May 2020. </w:t>
      </w:r>
      <w:r w:rsidR="00524568" w:rsidRPr="00F24D0A">
        <w:rPr>
          <w:sz w:val="28"/>
          <w:szCs w:val="28"/>
        </w:rPr>
        <w:t xml:space="preserve">It </w:t>
      </w:r>
      <w:r w:rsidR="00645C4F" w:rsidRPr="00F24D0A">
        <w:rPr>
          <w:sz w:val="28"/>
          <w:szCs w:val="28"/>
        </w:rPr>
        <w:t xml:space="preserve">also </w:t>
      </w:r>
      <w:r w:rsidR="003E4854" w:rsidRPr="00F24D0A">
        <w:rPr>
          <w:sz w:val="28"/>
          <w:szCs w:val="28"/>
        </w:rPr>
        <w:t xml:space="preserve">contained somewhat less generous </w:t>
      </w:r>
      <w:r w:rsidR="00141738" w:rsidRPr="00F24D0A">
        <w:rPr>
          <w:sz w:val="28"/>
          <w:szCs w:val="28"/>
        </w:rPr>
        <w:t xml:space="preserve">financial </w:t>
      </w:r>
      <w:r w:rsidR="003E4854" w:rsidRPr="00F24D0A">
        <w:rPr>
          <w:sz w:val="28"/>
          <w:szCs w:val="28"/>
        </w:rPr>
        <w:t>terms</w:t>
      </w:r>
      <w:r w:rsidR="00952850" w:rsidRPr="00F24D0A">
        <w:rPr>
          <w:sz w:val="28"/>
          <w:szCs w:val="28"/>
        </w:rPr>
        <w:t>, i</w:t>
      </w:r>
      <w:r w:rsidR="00141738" w:rsidRPr="00F24D0A">
        <w:rPr>
          <w:sz w:val="28"/>
          <w:szCs w:val="28"/>
        </w:rPr>
        <w:t>nclud</w:t>
      </w:r>
      <w:r w:rsidR="00952850" w:rsidRPr="00F24D0A">
        <w:rPr>
          <w:sz w:val="28"/>
          <w:szCs w:val="28"/>
        </w:rPr>
        <w:t>ing</w:t>
      </w:r>
      <w:r w:rsidR="00027E1B" w:rsidRPr="00F24D0A">
        <w:rPr>
          <w:sz w:val="28"/>
          <w:szCs w:val="28"/>
        </w:rPr>
        <w:t xml:space="preserve"> a re</w:t>
      </w:r>
      <w:r w:rsidR="00141738" w:rsidRPr="00F24D0A">
        <w:rPr>
          <w:sz w:val="28"/>
          <w:szCs w:val="28"/>
        </w:rPr>
        <w:t xml:space="preserve">quirement </w:t>
      </w:r>
      <w:r w:rsidR="00027E1B" w:rsidRPr="00F24D0A">
        <w:rPr>
          <w:sz w:val="28"/>
          <w:szCs w:val="28"/>
        </w:rPr>
        <w:t>for the attorneys to prepare</w:t>
      </w:r>
      <w:r w:rsidR="00141738" w:rsidRPr="00F24D0A">
        <w:rPr>
          <w:sz w:val="28"/>
          <w:szCs w:val="28"/>
        </w:rPr>
        <w:t xml:space="preserve"> reports, without charge, on</w:t>
      </w:r>
      <w:r w:rsidR="00DC4668" w:rsidRPr="00F24D0A">
        <w:rPr>
          <w:sz w:val="28"/>
          <w:szCs w:val="28"/>
        </w:rPr>
        <w:t xml:space="preserve"> unfinished matters </w:t>
      </w:r>
      <w:r w:rsidR="00027E1B" w:rsidRPr="00F24D0A">
        <w:rPr>
          <w:sz w:val="28"/>
          <w:szCs w:val="28"/>
        </w:rPr>
        <w:t>when the files were handed back to the RAF</w:t>
      </w:r>
      <w:r w:rsidR="002E1C60" w:rsidRPr="00F24D0A">
        <w:rPr>
          <w:sz w:val="28"/>
          <w:szCs w:val="28"/>
        </w:rPr>
        <w:t>.</w:t>
      </w:r>
      <w:r w:rsidR="00141738" w:rsidRPr="00F24D0A">
        <w:rPr>
          <w:sz w:val="28"/>
          <w:szCs w:val="28"/>
        </w:rPr>
        <w:t xml:space="preserve"> </w:t>
      </w:r>
      <w:r w:rsidR="00B70EFF" w:rsidRPr="00F24D0A">
        <w:rPr>
          <w:sz w:val="28"/>
          <w:szCs w:val="28"/>
        </w:rPr>
        <w:t>T</w:t>
      </w:r>
      <w:r w:rsidR="005204FC" w:rsidRPr="00F24D0A">
        <w:rPr>
          <w:sz w:val="28"/>
          <w:szCs w:val="28"/>
        </w:rPr>
        <w:t xml:space="preserve">he </w:t>
      </w:r>
      <w:r w:rsidR="00B70EFF" w:rsidRPr="00F24D0A">
        <w:rPr>
          <w:sz w:val="28"/>
          <w:szCs w:val="28"/>
        </w:rPr>
        <w:t>mandate of</w:t>
      </w:r>
      <w:r w:rsidR="005204FC" w:rsidRPr="00F24D0A">
        <w:rPr>
          <w:sz w:val="28"/>
          <w:szCs w:val="28"/>
        </w:rPr>
        <w:t xml:space="preserve"> the attorneys</w:t>
      </w:r>
      <w:r w:rsidR="0067345C" w:rsidRPr="00F24D0A">
        <w:rPr>
          <w:sz w:val="28"/>
          <w:szCs w:val="28"/>
        </w:rPr>
        <w:t xml:space="preserve"> who signed</w:t>
      </w:r>
      <w:r w:rsidR="005204FC" w:rsidRPr="00F24D0A">
        <w:rPr>
          <w:sz w:val="28"/>
          <w:szCs w:val="28"/>
        </w:rPr>
        <w:t xml:space="preserve"> would </w:t>
      </w:r>
      <w:r w:rsidR="00B70EFF" w:rsidRPr="00F24D0A">
        <w:rPr>
          <w:sz w:val="28"/>
          <w:szCs w:val="28"/>
        </w:rPr>
        <w:t xml:space="preserve">therefore </w:t>
      </w:r>
      <w:r w:rsidR="005204FC" w:rsidRPr="00F24D0A">
        <w:rPr>
          <w:sz w:val="28"/>
          <w:szCs w:val="28"/>
        </w:rPr>
        <w:t xml:space="preserve">terminate by effluxion of time on </w:t>
      </w:r>
      <w:r w:rsidR="006066C2" w:rsidRPr="00F24D0A">
        <w:rPr>
          <w:sz w:val="28"/>
          <w:szCs w:val="28"/>
        </w:rPr>
        <w:t>31 May 2020.</w:t>
      </w:r>
      <w:r w:rsidR="005204FC" w:rsidRPr="00F24D0A">
        <w:rPr>
          <w:sz w:val="28"/>
          <w:szCs w:val="28"/>
        </w:rPr>
        <w:t xml:space="preserve"> </w:t>
      </w:r>
      <w:r w:rsidR="00365D46" w:rsidRPr="00F24D0A">
        <w:rPr>
          <w:sz w:val="28"/>
          <w:szCs w:val="28"/>
        </w:rPr>
        <w:t>All of the present attorney respondents</w:t>
      </w:r>
      <w:r w:rsidR="00440CB3" w:rsidRPr="00F24D0A">
        <w:rPr>
          <w:sz w:val="28"/>
          <w:szCs w:val="28"/>
        </w:rPr>
        <w:t xml:space="preserve"> (the panel attorneys)</w:t>
      </w:r>
      <w:r w:rsidR="005204FC" w:rsidRPr="00F24D0A">
        <w:rPr>
          <w:sz w:val="28"/>
          <w:szCs w:val="28"/>
        </w:rPr>
        <w:t xml:space="preserve"> </w:t>
      </w:r>
      <w:r w:rsidR="00791BE6" w:rsidRPr="00F24D0A">
        <w:rPr>
          <w:sz w:val="28"/>
          <w:szCs w:val="28"/>
        </w:rPr>
        <w:t xml:space="preserve">were some of the </w:t>
      </w:r>
      <w:r w:rsidR="00043315" w:rsidRPr="00F24D0A">
        <w:rPr>
          <w:sz w:val="28"/>
          <w:szCs w:val="28"/>
        </w:rPr>
        <w:t>total of 8</w:t>
      </w:r>
      <w:r w:rsidR="000950CC" w:rsidRPr="00F24D0A">
        <w:rPr>
          <w:sz w:val="28"/>
          <w:szCs w:val="28"/>
        </w:rPr>
        <w:t>9</w:t>
      </w:r>
      <w:r w:rsidR="00043315" w:rsidRPr="00F24D0A">
        <w:rPr>
          <w:sz w:val="28"/>
          <w:szCs w:val="28"/>
        </w:rPr>
        <w:t xml:space="preserve"> attorneys </w:t>
      </w:r>
      <w:r w:rsidR="00E34421" w:rsidRPr="00F24D0A">
        <w:rPr>
          <w:sz w:val="28"/>
          <w:szCs w:val="28"/>
        </w:rPr>
        <w:t xml:space="preserve">who </w:t>
      </w:r>
      <w:r w:rsidR="005204FC" w:rsidRPr="00F24D0A">
        <w:rPr>
          <w:sz w:val="28"/>
          <w:szCs w:val="28"/>
        </w:rPr>
        <w:t>signed the second addendum.</w:t>
      </w:r>
      <w:r w:rsidR="00A320BA" w:rsidRPr="00F24D0A">
        <w:rPr>
          <w:sz w:val="28"/>
          <w:szCs w:val="28"/>
        </w:rPr>
        <w:t xml:space="preserve"> Th</w:t>
      </w:r>
      <w:r w:rsidR="00EC41EE" w:rsidRPr="00F24D0A">
        <w:rPr>
          <w:sz w:val="28"/>
          <w:szCs w:val="28"/>
        </w:rPr>
        <w:t>os</w:t>
      </w:r>
      <w:r w:rsidR="00A320BA" w:rsidRPr="00F24D0A">
        <w:rPr>
          <w:sz w:val="28"/>
          <w:szCs w:val="28"/>
        </w:rPr>
        <w:t xml:space="preserve">e </w:t>
      </w:r>
      <w:r w:rsidR="00EC41EE" w:rsidRPr="00F24D0A">
        <w:rPr>
          <w:sz w:val="28"/>
          <w:szCs w:val="28"/>
        </w:rPr>
        <w:t>a</w:t>
      </w:r>
      <w:r w:rsidR="00A320BA" w:rsidRPr="00F24D0A">
        <w:rPr>
          <w:sz w:val="28"/>
          <w:szCs w:val="28"/>
        </w:rPr>
        <w:t>ttorneys</w:t>
      </w:r>
      <w:r w:rsidR="00EC41EE" w:rsidRPr="00F24D0A">
        <w:rPr>
          <w:sz w:val="28"/>
          <w:szCs w:val="28"/>
        </w:rPr>
        <w:t xml:space="preserve"> who did not sign the second addendum were obliged to</w:t>
      </w:r>
      <w:r w:rsidR="00A320BA" w:rsidRPr="00F24D0A">
        <w:rPr>
          <w:sz w:val="28"/>
          <w:szCs w:val="28"/>
        </w:rPr>
        <w:t xml:space="preserve"> hand back their files </w:t>
      </w:r>
      <w:r w:rsidR="00EC41EE" w:rsidRPr="00F24D0A">
        <w:rPr>
          <w:sz w:val="28"/>
          <w:szCs w:val="28"/>
        </w:rPr>
        <w:t>and</w:t>
      </w:r>
      <w:r w:rsidR="00A320BA" w:rsidRPr="00F24D0A">
        <w:rPr>
          <w:sz w:val="28"/>
          <w:szCs w:val="28"/>
        </w:rPr>
        <w:t xml:space="preserve"> their </w:t>
      </w:r>
      <w:r w:rsidR="00D26A46" w:rsidRPr="00F24D0A">
        <w:rPr>
          <w:sz w:val="28"/>
          <w:szCs w:val="28"/>
        </w:rPr>
        <w:t>SLAs lapsed</w:t>
      </w:r>
      <w:r w:rsidR="00A320BA" w:rsidRPr="00F24D0A">
        <w:rPr>
          <w:sz w:val="28"/>
          <w:szCs w:val="28"/>
        </w:rPr>
        <w:t xml:space="preserve"> </w:t>
      </w:r>
      <w:r w:rsidR="00D61FA9" w:rsidRPr="00F24D0A">
        <w:rPr>
          <w:sz w:val="28"/>
          <w:szCs w:val="28"/>
        </w:rPr>
        <w:t>towards the end of</w:t>
      </w:r>
      <w:r w:rsidR="00E04099" w:rsidRPr="00F24D0A">
        <w:rPr>
          <w:sz w:val="28"/>
          <w:szCs w:val="28"/>
        </w:rPr>
        <w:t> November 2019.</w:t>
      </w:r>
    </w:p>
    <w:p w14:paraId="2E7A0B52" w14:textId="77777777" w:rsidR="005C2CA8" w:rsidRPr="005C2CA8" w:rsidRDefault="005C2CA8" w:rsidP="005C2CA8">
      <w:pPr>
        <w:pStyle w:val="ListParagraph"/>
        <w:rPr>
          <w:sz w:val="28"/>
          <w:szCs w:val="28"/>
        </w:rPr>
      </w:pPr>
    </w:p>
    <w:p w14:paraId="1B1112E5" w14:textId="1F467916" w:rsidR="00A87D9A" w:rsidRPr="00F24D0A" w:rsidRDefault="00F24D0A" w:rsidP="00F24D0A">
      <w:pPr>
        <w:spacing w:line="360" w:lineRule="auto"/>
        <w:jc w:val="both"/>
        <w:rPr>
          <w:sz w:val="28"/>
          <w:szCs w:val="28"/>
        </w:rPr>
      </w:pPr>
      <w:r>
        <w:rPr>
          <w:sz w:val="28"/>
          <w:szCs w:val="28"/>
        </w:rPr>
        <w:t>[6]</w:t>
      </w:r>
      <w:r>
        <w:rPr>
          <w:sz w:val="28"/>
          <w:szCs w:val="28"/>
        </w:rPr>
        <w:tab/>
      </w:r>
      <w:r w:rsidR="00657492" w:rsidRPr="00F24D0A">
        <w:rPr>
          <w:sz w:val="28"/>
          <w:szCs w:val="28"/>
        </w:rPr>
        <w:t xml:space="preserve">The interim Board </w:t>
      </w:r>
      <w:r w:rsidR="002B64B7" w:rsidRPr="00F24D0A">
        <w:rPr>
          <w:sz w:val="28"/>
          <w:szCs w:val="28"/>
        </w:rPr>
        <w:t xml:space="preserve">of the RAF </w:t>
      </w:r>
      <w:r w:rsidR="00657492" w:rsidRPr="00F24D0A">
        <w:rPr>
          <w:sz w:val="28"/>
          <w:szCs w:val="28"/>
        </w:rPr>
        <w:t>was replaced by a permanent</w:t>
      </w:r>
      <w:r w:rsidR="005204FC" w:rsidRPr="00F24D0A">
        <w:rPr>
          <w:sz w:val="28"/>
          <w:szCs w:val="28"/>
        </w:rPr>
        <w:t xml:space="preserve"> </w:t>
      </w:r>
      <w:r w:rsidR="00E35965" w:rsidRPr="00F24D0A">
        <w:rPr>
          <w:sz w:val="28"/>
          <w:szCs w:val="28"/>
        </w:rPr>
        <w:t>B</w:t>
      </w:r>
      <w:r w:rsidR="005204FC" w:rsidRPr="00F24D0A">
        <w:rPr>
          <w:sz w:val="28"/>
          <w:szCs w:val="28"/>
        </w:rPr>
        <w:t xml:space="preserve">oard </w:t>
      </w:r>
      <w:r w:rsidR="006410E7" w:rsidRPr="00F24D0A">
        <w:rPr>
          <w:sz w:val="28"/>
          <w:szCs w:val="28"/>
        </w:rPr>
        <w:t xml:space="preserve">(the Board) </w:t>
      </w:r>
      <w:r w:rsidR="005204FC" w:rsidRPr="00F24D0A">
        <w:rPr>
          <w:sz w:val="28"/>
          <w:szCs w:val="28"/>
        </w:rPr>
        <w:t>on 5</w:t>
      </w:r>
      <w:r w:rsidR="00754E03" w:rsidRPr="00F24D0A">
        <w:rPr>
          <w:sz w:val="28"/>
          <w:szCs w:val="28"/>
        </w:rPr>
        <w:t> </w:t>
      </w:r>
      <w:r w:rsidR="005204FC" w:rsidRPr="00F24D0A">
        <w:rPr>
          <w:sz w:val="28"/>
          <w:szCs w:val="28"/>
        </w:rPr>
        <w:t>December</w:t>
      </w:r>
      <w:r w:rsidR="00754E03" w:rsidRPr="00F24D0A">
        <w:rPr>
          <w:sz w:val="28"/>
          <w:szCs w:val="28"/>
        </w:rPr>
        <w:t> </w:t>
      </w:r>
      <w:r w:rsidR="00372718" w:rsidRPr="00F24D0A">
        <w:rPr>
          <w:sz w:val="28"/>
          <w:szCs w:val="28"/>
        </w:rPr>
        <w:t>2019</w:t>
      </w:r>
      <w:r w:rsidR="005204FC" w:rsidRPr="00F24D0A">
        <w:rPr>
          <w:sz w:val="28"/>
          <w:szCs w:val="28"/>
        </w:rPr>
        <w:t>. On 12 December</w:t>
      </w:r>
      <w:r w:rsidR="00372718" w:rsidRPr="00F24D0A">
        <w:rPr>
          <w:sz w:val="28"/>
          <w:szCs w:val="28"/>
        </w:rPr>
        <w:t xml:space="preserve"> 2019</w:t>
      </w:r>
      <w:r w:rsidR="005204FC" w:rsidRPr="00F24D0A">
        <w:rPr>
          <w:sz w:val="28"/>
          <w:szCs w:val="28"/>
        </w:rPr>
        <w:t xml:space="preserve">, </w:t>
      </w:r>
      <w:r w:rsidR="00A267CB" w:rsidRPr="00F24D0A">
        <w:rPr>
          <w:sz w:val="28"/>
          <w:szCs w:val="28"/>
        </w:rPr>
        <w:t xml:space="preserve">the </w:t>
      </w:r>
      <w:r w:rsidR="005204FC" w:rsidRPr="00F24D0A">
        <w:rPr>
          <w:sz w:val="28"/>
          <w:szCs w:val="28"/>
        </w:rPr>
        <w:t xml:space="preserve">management of the </w:t>
      </w:r>
      <w:r w:rsidR="005204FC" w:rsidRPr="00F24D0A">
        <w:rPr>
          <w:sz w:val="28"/>
          <w:szCs w:val="28"/>
        </w:rPr>
        <w:lastRenderedPageBreak/>
        <w:t xml:space="preserve">RAF made a presentation to </w:t>
      </w:r>
      <w:r w:rsidR="00A267CB" w:rsidRPr="00F24D0A">
        <w:rPr>
          <w:sz w:val="28"/>
          <w:szCs w:val="28"/>
        </w:rPr>
        <w:t xml:space="preserve">the Board </w:t>
      </w:r>
      <w:r w:rsidR="00754E03" w:rsidRPr="00F24D0A">
        <w:rPr>
          <w:sz w:val="28"/>
          <w:szCs w:val="28"/>
        </w:rPr>
        <w:t xml:space="preserve">giving an overview of </w:t>
      </w:r>
      <w:r w:rsidR="002B64B7" w:rsidRPr="00F24D0A">
        <w:rPr>
          <w:sz w:val="28"/>
          <w:szCs w:val="28"/>
        </w:rPr>
        <w:t>its</w:t>
      </w:r>
      <w:r w:rsidR="00754E03" w:rsidRPr="00F24D0A">
        <w:rPr>
          <w:sz w:val="28"/>
          <w:szCs w:val="28"/>
        </w:rPr>
        <w:t xml:space="preserve"> affairs</w:t>
      </w:r>
      <w:r w:rsidR="002B64B7" w:rsidRPr="00F24D0A">
        <w:rPr>
          <w:sz w:val="28"/>
          <w:szCs w:val="28"/>
        </w:rPr>
        <w:t xml:space="preserve"> and</w:t>
      </w:r>
      <w:r w:rsidR="003F5DBE" w:rsidRPr="00F24D0A">
        <w:rPr>
          <w:sz w:val="28"/>
          <w:szCs w:val="28"/>
        </w:rPr>
        <w:t xml:space="preserve"> its financial status</w:t>
      </w:r>
      <w:r w:rsidR="002B64B7" w:rsidRPr="00F24D0A">
        <w:rPr>
          <w:sz w:val="28"/>
          <w:szCs w:val="28"/>
        </w:rPr>
        <w:t xml:space="preserve">. The presentation reflected income </w:t>
      </w:r>
      <w:r w:rsidR="001300BC" w:rsidRPr="00F24D0A">
        <w:rPr>
          <w:sz w:val="28"/>
          <w:szCs w:val="28"/>
        </w:rPr>
        <w:t>for the period under review</w:t>
      </w:r>
      <w:r w:rsidR="002B64B7" w:rsidRPr="00F24D0A">
        <w:rPr>
          <w:sz w:val="28"/>
          <w:szCs w:val="28"/>
        </w:rPr>
        <w:t xml:space="preserve"> of R28,645 million, expenditure of R74,358 million and a resultant deficit of R45,713 million. It reported that, for th</w:t>
      </w:r>
      <w:r w:rsidR="001300BC" w:rsidRPr="00F24D0A">
        <w:rPr>
          <w:sz w:val="28"/>
          <w:szCs w:val="28"/>
        </w:rPr>
        <w:t>at</w:t>
      </w:r>
      <w:r w:rsidR="002B64B7" w:rsidRPr="00F24D0A">
        <w:rPr>
          <w:sz w:val="28"/>
          <w:szCs w:val="28"/>
        </w:rPr>
        <w:t xml:space="preserve"> period, 99.65</w:t>
      </w:r>
      <w:r w:rsidR="00E34421" w:rsidRPr="00F24D0A">
        <w:rPr>
          <w:sz w:val="28"/>
          <w:szCs w:val="28"/>
        </w:rPr>
        <w:t xml:space="preserve"> percent</w:t>
      </w:r>
      <w:r w:rsidR="002B64B7" w:rsidRPr="00F24D0A">
        <w:rPr>
          <w:sz w:val="28"/>
          <w:szCs w:val="28"/>
        </w:rPr>
        <w:t xml:space="preserve"> of matters set down for trial in the Gauteng Division of the High Court, Pretoria, settled on the trial day. Only 0.35</w:t>
      </w:r>
      <w:r w:rsidR="00E34421" w:rsidRPr="00F24D0A">
        <w:rPr>
          <w:sz w:val="28"/>
          <w:szCs w:val="28"/>
        </w:rPr>
        <w:t xml:space="preserve"> percent</w:t>
      </w:r>
      <w:r w:rsidR="002B64B7" w:rsidRPr="00F24D0A">
        <w:rPr>
          <w:sz w:val="28"/>
          <w:szCs w:val="28"/>
        </w:rPr>
        <w:t xml:space="preserve"> of matters set down </w:t>
      </w:r>
      <w:r w:rsidR="00A87D9A" w:rsidRPr="00F24D0A">
        <w:rPr>
          <w:sz w:val="28"/>
          <w:szCs w:val="28"/>
        </w:rPr>
        <w:t>for</w:t>
      </w:r>
      <w:r w:rsidR="002B64B7" w:rsidRPr="00F24D0A">
        <w:rPr>
          <w:sz w:val="28"/>
          <w:szCs w:val="28"/>
        </w:rPr>
        <w:t xml:space="preserve"> trial</w:t>
      </w:r>
      <w:r w:rsidR="00A87D9A" w:rsidRPr="00F24D0A">
        <w:rPr>
          <w:sz w:val="28"/>
          <w:szCs w:val="28"/>
        </w:rPr>
        <w:t xml:space="preserve"> proceeded</w:t>
      </w:r>
      <w:r w:rsidR="002B64B7" w:rsidRPr="00F24D0A">
        <w:rPr>
          <w:sz w:val="28"/>
          <w:szCs w:val="28"/>
        </w:rPr>
        <w:t xml:space="preserve">. This meant that trial fees were </w:t>
      </w:r>
      <w:r w:rsidR="001C41C8" w:rsidRPr="00F24D0A">
        <w:rPr>
          <w:sz w:val="28"/>
          <w:szCs w:val="28"/>
        </w:rPr>
        <w:t xml:space="preserve">unnecessarily </w:t>
      </w:r>
      <w:r w:rsidR="002B64B7" w:rsidRPr="00F24D0A">
        <w:rPr>
          <w:sz w:val="28"/>
          <w:szCs w:val="28"/>
        </w:rPr>
        <w:t xml:space="preserve">incurred. </w:t>
      </w:r>
    </w:p>
    <w:p w14:paraId="790EA751" w14:textId="77777777" w:rsidR="00A87D9A" w:rsidRDefault="00A87D9A" w:rsidP="00A87D9A">
      <w:pPr>
        <w:pStyle w:val="ListParagraph"/>
        <w:spacing w:line="360" w:lineRule="auto"/>
        <w:ind w:left="0"/>
        <w:jc w:val="both"/>
        <w:rPr>
          <w:sz w:val="28"/>
          <w:szCs w:val="28"/>
        </w:rPr>
      </w:pPr>
    </w:p>
    <w:p w14:paraId="4235BD3F" w14:textId="4E712DEE" w:rsidR="005204FC" w:rsidRPr="00F24D0A" w:rsidRDefault="00F24D0A" w:rsidP="00F24D0A">
      <w:pPr>
        <w:spacing w:line="360" w:lineRule="auto"/>
        <w:jc w:val="both"/>
        <w:rPr>
          <w:sz w:val="28"/>
          <w:szCs w:val="28"/>
        </w:rPr>
      </w:pPr>
      <w:r w:rsidRPr="005C2CA8">
        <w:rPr>
          <w:sz w:val="28"/>
          <w:szCs w:val="28"/>
        </w:rPr>
        <w:t>[7]</w:t>
      </w:r>
      <w:r w:rsidRPr="005C2CA8">
        <w:rPr>
          <w:sz w:val="28"/>
          <w:szCs w:val="28"/>
        </w:rPr>
        <w:tab/>
      </w:r>
      <w:r w:rsidR="00A87D9A" w:rsidRPr="00F24D0A">
        <w:rPr>
          <w:sz w:val="28"/>
          <w:szCs w:val="28"/>
        </w:rPr>
        <w:t>As a consequence, the m</w:t>
      </w:r>
      <w:r w:rsidR="00485205" w:rsidRPr="00F24D0A">
        <w:rPr>
          <w:sz w:val="28"/>
          <w:szCs w:val="28"/>
        </w:rPr>
        <w:t>anagement</w:t>
      </w:r>
      <w:r w:rsidR="00A87D9A" w:rsidRPr="00F24D0A">
        <w:rPr>
          <w:sz w:val="28"/>
          <w:szCs w:val="28"/>
        </w:rPr>
        <w:t xml:space="preserve"> of the RAF</w:t>
      </w:r>
      <w:r w:rsidR="003F5DBE" w:rsidRPr="00F24D0A">
        <w:rPr>
          <w:sz w:val="28"/>
          <w:szCs w:val="28"/>
        </w:rPr>
        <w:t xml:space="preserve"> proposed developing a strategic plan </w:t>
      </w:r>
      <w:r w:rsidR="00485205" w:rsidRPr="00F24D0A">
        <w:rPr>
          <w:sz w:val="28"/>
          <w:szCs w:val="28"/>
        </w:rPr>
        <w:t>involving</w:t>
      </w:r>
      <w:r w:rsidR="005204FC" w:rsidRPr="00F24D0A">
        <w:rPr>
          <w:sz w:val="28"/>
          <w:szCs w:val="28"/>
        </w:rPr>
        <w:t xml:space="preserve"> an entirely new model of operation, including the insourcing of legal specialist services, rather than utilising private attorneys. A </w:t>
      </w:r>
      <w:r w:rsidR="00E35965" w:rsidRPr="00F24D0A">
        <w:rPr>
          <w:sz w:val="28"/>
          <w:szCs w:val="28"/>
        </w:rPr>
        <w:t>s</w:t>
      </w:r>
      <w:r w:rsidR="005204FC" w:rsidRPr="00F24D0A">
        <w:rPr>
          <w:sz w:val="28"/>
          <w:szCs w:val="28"/>
        </w:rPr>
        <w:t xml:space="preserve">trategic </w:t>
      </w:r>
      <w:r w:rsidR="00E35965" w:rsidRPr="00F24D0A">
        <w:rPr>
          <w:sz w:val="28"/>
          <w:szCs w:val="28"/>
        </w:rPr>
        <w:t>p</w:t>
      </w:r>
      <w:r w:rsidR="005204FC" w:rsidRPr="00F24D0A">
        <w:rPr>
          <w:sz w:val="28"/>
          <w:szCs w:val="28"/>
        </w:rPr>
        <w:t xml:space="preserve">lan for the period 2020 to 2025 </w:t>
      </w:r>
      <w:r w:rsidR="00EA72A6" w:rsidRPr="00F24D0A">
        <w:rPr>
          <w:sz w:val="28"/>
          <w:szCs w:val="28"/>
        </w:rPr>
        <w:t xml:space="preserve">incorporating the new model </w:t>
      </w:r>
      <w:r w:rsidR="005204FC" w:rsidRPr="00F24D0A">
        <w:rPr>
          <w:sz w:val="28"/>
          <w:szCs w:val="28"/>
        </w:rPr>
        <w:t>was presented to the Board in December 2019 and was accepted by the Board on 31</w:t>
      </w:r>
      <w:r w:rsidR="001B4F97" w:rsidRPr="00F24D0A">
        <w:rPr>
          <w:sz w:val="28"/>
          <w:szCs w:val="28"/>
        </w:rPr>
        <w:t> </w:t>
      </w:r>
      <w:r w:rsidR="005204FC" w:rsidRPr="00F24D0A">
        <w:rPr>
          <w:sz w:val="28"/>
          <w:szCs w:val="28"/>
        </w:rPr>
        <w:t>January</w:t>
      </w:r>
      <w:r w:rsidR="001B4F97" w:rsidRPr="00F24D0A">
        <w:rPr>
          <w:sz w:val="28"/>
          <w:szCs w:val="28"/>
        </w:rPr>
        <w:t> </w:t>
      </w:r>
      <w:r w:rsidR="005204FC" w:rsidRPr="00F24D0A">
        <w:rPr>
          <w:sz w:val="28"/>
          <w:szCs w:val="28"/>
        </w:rPr>
        <w:t xml:space="preserve">2020. </w:t>
      </w:r>
    </w:p>
    <w:p w14:paraId="22A9E63E" w14:textId="77777777" w:rsidR="00372718" w:rsidRPr="009E70DA" w:rsidRDefault="008B6346" w:rsidP="000F73A3">
      <w:pPr>
        <w:spacing w:line="360" w:lineRule="auto"/>
        <w:jc w:val="both"/>
        <w:rPr>
          <w:sz w:val="28"/>
          <w:szCs w:val="28"/>
        </w:rPr>
      </w:pPr>
      <w:r w:rsidRPr="009E70DA">
        <w:rPr>
          <w:sz w:val="28"/>
          <w:szCs w:val="28"/>
        </w:rPr>
        <w:t xml:space="preserve"> </w:t>
      </w:r>
    </w:p>
    <w:p w14:paraId="6AF28F85" w14:textId="559B5D50" w:rsidR="005C2CA8" w:rsidRPr="00F24D0A" w:rsidRDefault="00F24D0A" w:rsidP="00F24D0A">
      <w:pPr>
        <w:spacing w:line="360" w:lineRule="auto"/>
        <w:jc w:val="both"/>
        <w:rPr>
          <w:sz w:val="28"/>
          <w:szCs w:val="28"/>
        </w:rPr>
      </w:pPr>
      <w:r w:rsidRPr="00905BB8">
        <w:rPr>
          <w:sz w:val="28"/>
          <w:szCs w:val="28"/>
        </w:rPr>
        <w:t>[8]</w:t>
      </w:r>
      <w:r w:rsidRPr="00905BB8">
        <w:rPr>
          <w:sz w:val="28"/>
          <w:szCs w:val="28"/>
        </w:rPr>
        <w:tab/>
      </w:r>
      <w:r w:rsidR="00372718" w:rsidRPr="00F24D0A">
        <w:rPr>
          <w:sz w:val="28"/>
          <w:szCs w:val="28"/>
        </w:rPr>
        <w:t>On 18 February</w:t>
      </w:r>
      <w:r w:rsidR="001B4F97" w:rsidRPr="00F24D0A">
        <w:rPr>
          <w:sz w:val="28"/>
          <w:szCs w:val="28"/>
        </w:rPr>
        <w:t xml:space="preserve"> 2020</w:t>
      </w:r>
      <w:r w:rsidR="00372718" w:rsidRPr="00F24D0A">
        <w:rPr>
          <w:sz w:val="28"/>
          <w:szCs w:val="28"/>
        </w:rPr>
        <w:t xml:space="preserve">, the panel attorneys </w:t>
      </w:r>
      <w:r w:rsidR="00E34421" w:rsidRPr="00F24D0A">
        <w:rPr>
          <w:sz w:val="28"/>
          <w:szCs w:val="28"/>
        </w:rPr>
        <w:t>and the others who had si</w:t>
      </w:r>
      <w:r w:rsidR="00D364BB" w:rsidRPr="00F24D0A">
        <w:rPr>
          <w:sz w:val="28"/>
          <w:szCs w:val="28"/>
        </w:rPr>
        <w:t xml:space="preserve">gned the second addendum </w:t>
      </w:r>
      <w:r w:rsidR="00372718" w:rsidRPr="00F24D0A">
        <w:rPr>
          <w:sz w:val="28"/>
          <w:szCs w:val="28"/>
        </w:rPr>
        <w:t xml:space="preserve">were notified to begin </w:t>
      </w:r>
      <w:r w:rsidR="001B4F97" w:rsidRPr="00F24D0A">
        <w:rPr>
          <w:sz w:val="28"/>
          <w:szCs w:val="28"/>
        </w:rPr>
        <w:t>a phased</w:t>
      </w:r>
      <w:r w:rsidR="00372718" w:rsidRPr="00F24D0A">
        <w:rPr>
          <w:sz w:val="28"/>
          <w:szCs w:val="28"/>
        </w:rPr>
        <w:t xml:space="preserve"> handover of files, which was to be completed by 31 May. Due to numerous requests to reconsider the timeline, a</w:t>
      </w:r>
      <w:r w:rsidR="00C25166" w:rsidRPr="00F24D0A">
        <w:rPr>
          <w:sz w:val="28"/>
          <w:szCs w:val="28"/>
        </w:rPr>
        <w:t xml:space="preserve"> second</w:t>
      </w:r>
      <w:r w:rsidR="00372718" w:rsidRPr="00F24D0A">
        <w:rPr>
          <w:sz w:val="28"/>
          <w:szCs w:val="28"/>
        </w:rPr>
        <w:t xml:space="preserve"> letter dated 20</w:t>
      </w:r>
      <w:r w:rsidR="00C25166" w:rsidRPr="00F24D0A">
        <w:rPr>
          <w:sz w:val="28"/>
          <w:szCs w:val="28"/>
        </w:rPr>
        <w:t> </w:t>
      </w:r>
      <w:r w:rsidR="00372718" w:rsidRPr="00F24D0A">
        <w:rPr>
          <w:sz w:val="28"/>
          <w:szCs w:val="28"/>
        </w:rPr>
        <w:t>February was sent with a new timeline (the handover decision).</w:t>
      </w:r>
      <w:r w:rsidR="000F73A3" w:rsidRPr="00F24D0A">
        <w:rPr>
          <w:sz w:val="28"/>
          <w:szCs w:val="28"/>
        </w:rPr>
        <w:t xml:space="preserve"> </w:t>
      </w:r>
      <w:r w:rsidR="008B6346" w:rsidRPr="00F24D0A">
        <w:rPr>
          <w:sz w:val="28"/>
          <w:szCs w:val="28"/>
        </w:rPr>
        <w:t>On 2</w:t>
      </w:r>
      <w:r w:rsidR="00485205" w:rsidRPr="00F24D0A">
        <w:rPr>
          <w:sz w:val="28"/>
          <w:szCs w:val="28"/>
        </w:rPr>
        <w:t>6</w:t>
      </w:r>
      <w:r w:rsidR="00C25166" w:rsidRPr="00F24D0A">
        <w:rPr>
          <w:sz w:val="28"/>
          <w:szCs w:val="28"/>
        </w:rPr>
        <w:t> </w:t>
      </w:r>
      <w:r w:rsidR="008B6346" w:rsidRPr="00F24D0A">
        <w:rPr>
          <w:sz w:val="28"/>
          <w:szCs w:val="28"/>
        </w:rPr>
        <w:t>February 2020</w:t>
      </w:r>
      <w:r w:rsidR="00372718" w:rsidRPr="00F24D0A">
        <w:rPr>
          <w:sz w:val="28"/>
          <w:szCs w:val="28"/>
        </w:rPr>
        <w:t xml:space="preserve">, </w:t>
      </w:r>
      <w:r w:rsidR="008B6346" w:rsidRPr="00F24D0A">
        <w:rPr>
          <w:sz w:val="28"/>
          <w:szCs w:val="28"/>
        </w:rPr>
        <w:t xml:space="preserve">the RAF </w:t>
      </w:r>
      <w:r w:rsidR="00372718" w:rsidRPr="00F24D0A">
        <w:rPr>
          <w:sz w:val="28"/>
          <w:szCs w:val="28"/>
        </w:rPr>
        <w:t>c</w:t>
      </w:r>
      <w:r w:rsidR="008B6346" w:rsidRPr="00F24D0A">
        <w:rPr>
          <w:sz w:val="28"/>
          <w:szCs w:val="28"/>
        </w:rPr>
        <w:t>ancell</w:t>
      </w:r>
      <w:r w:rsidR="00E32194" w:rsidRPr="00F24D0A">
        <w:rPr>
          <w:sz w:val="28"/>
          <w:szCs w:val="28"/>
        </w:rPr>
        <w:t>ed</w:t>
      </w:r>
      <w:r w:rsidR="008B6346" w:rsidRPr="00F24D0A">
        <w:rPr>
          <w:sz w:val="28"/>
          <w:szCs w:val="28"/>
        </w:rPr>
        <w:t xml:space="preserve"> the</w:t>
      </w:r>
      <w:r w:rsidR="00E32194" w:rsidRPr="00F24D0A">
        <w:rPr>
          <w:sz w:val="28"/>
          <w:szCs w:val="28"/>
        </w:rPr>
        <w:t xml:space="preserve"> 2018</w:t>
      </w:r>
      <w:r w:rsidR="008B6346" w:rsidRPr="00F24D0A">
        <w:rPr>
          <w:sz w:val="28"/>
          <w:szCs w:val="28"/>
        </w:rPr>
        <w:t xml:space="preserve"> tender</w:t>
      </w:r>
      <w:r w:rsidR="00263FF6" w:rsidRPr="00F24D0A">
        <w:rPr>
          <w:sz w:val="28"/>
          <w:szCs w:val="28"/>
        </w:rPr>
        <w:t xml:space="preserve"> (the tender withdrawal decision)</w:t>
      </w:r>
      <w:r w:rsidR="00372718" w:rsidRPr="00F24D0A">
        <w:rPr>
          <w:sz w:val="28"/>
          <w:szCs w:val="28"/>
        </w:rPr>
        <w:t>. This was communicated to the panel attorneys</w:t>
      </w:r>
      <w:r w:rsidR="00D364BB" w:rsidRPr="00F24D0A">
        <w:rPr>
          <w:sz w:val="28"/>
          <w:szCs w:val="28"/>
        </w:rPr>
        <w:t xml:space="preserve"> and the other</w:t>
      </w:r>
      <w:r w:rsidR="00B94AA3" w:rsidRPr="00F24D0A">
        <w:rPr>
          <w:sz w:val="28"/>
          <w:szCs w:val="28"/>
        </w:rPr>
        <w:t xml:space="preserve"> signatories to the second addendum</w:t>
      </w:r>
      <w:r w:rsidR="00372718" w:rsidRPr="00F24D0A">
        <w:rPr>
          <w:sz w:val="28"/>
          <w:szCs w:val="28"/>
        </w:rPr>
        <w:t xml:space="preserve">. </w:t>
      </w:r>
      <w:r w:rsidR="001C41C8" w:rsidRPr="00F24D0A">
        <w:rPr>
          <w:sz w:val="28"/>
          <w:szCs w:val="28"/>
        </w:rPr>
        <w:t>In the notification, t</w:t>
      </w:r>
      <w:r w:rsidR="00263FF6" w:rsidRPr="00F24D0A">
        <w:rPr>
          <w:sz w:val="28"/>
          <w:szCs w:val="28"/>
        </w:rPr>
        <w:t>he cancellation</w:t>
      </w:r>
      <w:r w:rsidR="00372718" w:rsidRPr="00F24D0A">
        <w:rPr>
          <w:sz w:val="28"/>
          <w:szCs w:val="28"/>
        </w:rPr>
        <w:t xml:space="preserve"> was said to be ‘due to unaffordability of services as advertised in the tender, as well as changed circumstances’. </w:t>
      </w:r>
    </w:p>
    <w:p w14:paraId="7678C797" w14:textId="77777777" w:rsidR="00905BB8" w:rsidRDefault="00905BB8" w:rsidP="00905BB8">
      <w:pPr>
        <w:pStyle w:val="ListParagraph"/>
        <w:spacing w:line="360" w:lineRule="auto"/>
        <w:ind w:left="0"/>
        <w:jc w:val="both"/>
        <w:rPr>
          <w:sz w:val="28"/>
          <w:szCs w:val="28"/>
        </w:rPr>
      </w:pPr>
    </w:p>
    <w:p w14:paraId="128DE9D0" w14:textId="08C5AA83" w:rsidR="00760142" w:rsidRPr="00F24D0A" w:rsidRDefault="00F24D0A" w:rsidP="00F24D0A">
      <w:pPr>
        <w:spacing w:line="360" w:lineRule="auto"/>
        <w:jc w:val="both"/>
        <w:rPr>
          <w:sz w:val="28"/>
          <w:szCs w:val="28"/>
        </w:rPr>
      </w:pPr>
      <w:r w:rsidRPr="00905BB8">
        <w:rPr>
          <w:sz w:val="28"/>
          <w:szCs w:val="28"/>
        </w:rPr>
        <w:t>[9]</w:t>
      </w:r>
      <w:r w:rsidRPr="00905BB8">
        <w:rPr>
          <w:sz w:val="28"/>
          <w:szCs w:val="28"/>
        </w:rPr>
        <w:tab/>
      </w:r>
      <w:r w:rsidR="0039096A" w:rsidRPr="00F24D0A">
        <w:rPr>
          <w:sz w:val="28"/>
          <w:szCs w:val="28"/>
        </w:rPr>
        <w:t xml:space="preserve">This prompted three separate applications to the Gauteng Division of the High Court, Pretoria, </w:t>
      </w:r>
      <w:r w:rsidR="00C34E84" w:rsidRPr="00F24D0A">
        <w:rPr>
          <w:sz w:val="28"/>
          <w:szCs w:val="28"/>
        </w:rPr>
        <w:t xml:space="preserve">seeking </w:t>
      </w:r>
      <w:r w:rsidR="0039096A" w:rsidRPr="00F24D0A">
        <w:rPr>
          <w:sz w:val="28"/>
          <w:szCs w:val="28"/>
        </w:rPr>
        <w:t xml:space="preserve">to review one or </w:t>
      </w:r>
      <w:r w:rsidR="00C34E84" w:rsidRPr="00F24D0A">
        <w:rPr>
          <w:sz w:val="28"/>
          <w:szCs w:val="28"/>
        </w:rPr>
        <w:t xml:space="preserve">both </w:t>
      </w:r>
      <w:r w:rsidR="0039096A" w:rsidRPr="00F24D0A">
        <w:rPr>
          <w:sz w:val="28"/>
          <w:szCs w:val="28"/>
        </w:rPr>
        <w:t xml:space="preserve">of </w:t>
      </w:r>
      <w:r w:rsidR="001C41C8" w:rsidRPr="00F24D0A">
        <w:rPr>
          <w:sz w:val="28"/>
          <w:szCs w:val="28"/>
        </w:rPr>
        <w:t xml:space="preserve">the </w:t>
      </w:r>
      <w:r w:rsidR="0039096A" w:rsidRPr="00F24D0A">
        <w:rPr>
          <w:sz w:val="28"/>
          <w:szCs w:val="28"/>
        </w:rPr>
        <w:t xml:space="preserve">handover </w:t>
      </w:r>
      <w:r w:rsidR="0039096A" w:rsidRPr="00F24D0A">
        <w:rPr>
          <w:sz w:val="28"/>
          <w:szCs w:val="28"/>
        </w:rPr>
        <w:lastRenderedPageBreak/>
        <w:t xml:space="preserve">decision and the tender withdrawal decision. Along with these, it was sought to declare the second addendum unlawful and invalid. The applicants in those matters were the present respondents and certain other parties. </w:t>
      </w:r>
      <w:r w:rsidR="00760142" w:rsidRPr="00F24D0A">
        <w:rPr>
          <w:sz w:val="28"/>
          <w:szCs w:val="28"/>
        </w:rPr>
        <w:t>The</w:t>
      </w:r>
      <w:r w:rsidR="00061F13" w:rsidRPr="00F24D0A">
        <w:rPr>
          <w:sz w:val="28"/>
          <w:szCs w:val="28"/>
        </w:rPr>
        <w:t>y</w:t>
      </w:r>
      <w:r w:rsidR="00760142" w:rsidRPr="00F24D0A">
        <w:rPr>
          <w:sz w:val="28"/>
          <w:szCs w:val="28"/>
        </w:rPr>
        <w:t xml:space="preserve"> contended that the impugned decisions were unlawful on three main grounds: </w:t>
      </w:r>
    </w:p>
    <w:p w14:paraId="694F9113" w14:textId="77777777" w:rsidR="00760142" w:rsidRPr="00BB7BFA" w:rsidRDefault="00760142" w:rsidP="006410E7">
      <w:pPr>
        <w:spacing w:line="360" w:lineRule="auto"/>
        <w:jc w:val="both"/>
        <w:rPr>
          <w:sz w:val="22"/>
          <w:szCs w:val="22"/>
        </w:rPr>
      </w:pPr>
      <w:r w:rsidRPr="00BB7BFA">
        <w:t>‘</w:t>
      </w:r>
      <w:r w:rsidRPr="00BB7BFA">
        <w:rPr>
          <w:sz w:val="22"/>
          <w:szCs w:val="22"/>
        </w:rPr>
        <w:t>1.</w:t>
      </w:r>
      <w:r>
        <w:rPr>
          <w:sz w:val="22"/>
          <w:szCs w:val="22"/>
        </w:rPr>
        <w:tab/>
      </w:r>
      <w:r w:rsidR="00554D49">
        <w:rPr>
          <w:sz w:val="22"/>
          <w:szCs w:val="22"/>
        </w:rPr>
        <w:t>T</w:t>
      </w:r>
      <w:r w:rsidRPr="00BB7BFA">
        <w:rPr>
          <w:sz w:val="22"/>
          <w:szCs w:val="22"/>
        </w:rPr>
        <w:t>hat the impugned decisions are irrational and unreasonable in light of their own purported objectives.</w:t>
      </w:r>
    </w:p>
    <w:p w14:paraId="2C7D6ECE" w14:textId="77777777" w:rsidR="00760142" w:rsidRPr="00BB7BFA" w:rsidRDefault="00760142" w:rsidP="006410E7">
      <w:pPr>
        <w:spacing w:line="360" w:lineRule="auto"/>
        <w:jc w:val="both"/>
        <w:rPr>
          <w:sz w:val="22"/>
          <w:szCs w:val="22"/>
        </w:rPr>
      </w:pPr>
      <w:r w:rsidRPr="00BB7BFA">
        <w:rPr>
          <w:sz w:val="22"/>
          <w:szCs w:val="22"/>
        </w:rPr>
        <w:t xml:space="preserve">2. </w:t>
      </w:r>
      <w:r>
        <w:rPr>
          <w:sz w:val="22"/>
          <w:szCs w:val="22"/>
        </w:rPr>
        <w:tab/>
      </w:r>
      <w:r w:rsidR="00554D49">
        <w:rPr>
          <w:sz w:val="22"/>
          <w:szCs w:val="22"/>
        </w:rPr>
        <w:t>T</w:t>
      </w:r>
      <w:r w:rsidRPr="00BB7BFA">
        <w:rPr>
          <w:sz w:val="22"/>
          <w:szCs w:val="22"/>
        </w:rPr>
        <w:t>hat the impugned decisions were taken without the first appellant having in place any proper or adequate plan to deal with the situation after 1 June 2020.</w:t>
      </w:r>
    </w:p>
    <w:p w14:paraId="631093B3" w14:textId="77777777" w:rsidR="00760142" w:rsidRPr="00BB7BFA" w:rsidRDefault="00760142" w:rsidP="006410E7">
      <w:pPr>
        <w:spacing w:line="360" w:lineRule="auto"/>
        <w:jc w:val="both"/>
      </w:pPr>
      <w:r w:rsidRPr="00BB7BFA">
        <w:rPr>
          <w:sz w:val="22"/>
          <w:szCs w:val="22"/>
        </w:rPr>
        <w:t xml:space="preserve">3. </w:t>
      </w:r>
      <w:r>
        <w:rPr>
          <w:sz w:val="22"/>
          <w:szCs w:val="22"/>
        </w:rPr>
        <w:tab/>
      </w:r>
      <w:r w:rsidR="00554D49">
        <w:rPr>
          <w:sz w:val="22"/>
          <w:szCs w:val="22"/>
        </w:rPr>
        <w:t>T</w:t>
      </w:r>
      <w:r w:rsidRPr="00BB7BFA">
        <w:rPr>
          <w:sz w:val="22"/>
          <w:szCs w:val="22"/>
        </w:rPr>
        <w:t xml:space="preserve">hat the impugned decisions are unlawful and invalid for </w:t>
      </w:r>
      <w:r w:rsidR="00554D49">
        <w:rPr>
          <w:sz w:val="22"/>
          <w:szCs w:val="22"/>
        </w:rPr>
        <w:t xml:space="preserve">the </w:t>
      </w:r>
      <w:r w:rsidRPr="00BB7BFA">
        <w:rPr>
          <w:sz w:val="22"/>
          <w:szCs w:val="22"/>
        </w:rPr>
        <w:t>reasons set out in the first respondent’s affidavits</w:t>
      </w:r>
      <w:r w:rsidRPr="00BB7BFA">
        <w:t xml:space="preserve">.’ </w:t>
      </w:r>
    </w:p>
    <w:p w14:paraId="0DFF2315" w14:textId="647B7369" w:rsidR="00760142" w:rsidRPr="00061F13" w:rsidRDefault="00554D49" w:rsidP="00760142">
      <w:pPr>
        <w:spacing w:line="360" w:lineRule="auto"/>
        <w:jc w:val="both"/>
        <w:rPr>
          <w:sz w:val="28"/>
          <w:szCs w:val="28"/>
        </w:rPr>
      </w:pPr>
      <w:r>
        <w:rPr>
          <w:sz w:val="28"/>
          <w:szCs w:val="28"/>
        </w:rPr>
        <w:t xml:space="preserve">In addition, </w:t>
      </w:r>
      <w:r w:rsidR="00CB6C77">
        <w:rPr>
          <w:sz w:val="28"/>
          <w:szCs w:val="28"/>
        </w:rPr>
        <w:t xml:space="preserve">the first respondent, </w:t>
      </w:r>
      <w:r w:rsidR="00760142" w:rsidRPr="00061F13">
        <w:rPr>
          <w:sz w:val="28"/>
          <w:szCs w:val="28"/>
        </w:rPr>
        <w:t>Mabunda</w:t>
      </w:r>
      <w:r w:rsidR="00CB6C77">
        <w:rPr>
          <w:sz w:val="28"/>
          <w:szCs w:val="28"/>
        </w:rPr>
        <w:t xml:space="preserve"> Incorporated (Mabunda)</w:t>
      </w:r>
      <w:r w:rsidR="00760142" w:rsidRPr="00061F13">
        <w:rPr>
          <w:sz w:val="28"/>
          <w:szCs w:val="28"/>
        </w:rPr>
        <w:t xml:space="preserve"> contended that the impugned decisions fell to be reviewed and set aside in terms of the Promotion of Administrative Justice Act 3 of 2000. </w:t>
      </w:r>
    </w:p>
    <w:p w14:paraId="0FF18312" w14:textId="77777777" w:rsidR="004E5C29" w:rsidRPr="004E5C29" w:rsidRDefault="004E5C29" w:rsidP="004E5C29">
      <w:pPr>
        <w:pStyle w:val="ListParagraph"/>
        <w:spacing w:line="360" w:lineRule="auto"/>
        <w:ind w:left="0"/>
        <w:jc w:val="both"/>
        <w:rPr>
          <w:sz w:val="28"/>
          <w:szCs w:val="28"/>
        </w:rPr>
      </w:pPr>
    </w:p>
    <w:p w14:paraId="3F3E03FC" w14:textId="73ED08C4" w:rsidR="0039096A" w:rsidRPr="00F24D0A" w:rsidRDefault="00F24D0A" w:rsidP="00F24D0A">
      <w:pPr>
        <w:spacing w:line="360" w:lineRule="auto"/>
        <w:jc w:val="both"/>
        <w:rPr>
          <w:sz w:val="28"/>
          <w:szCs w:val="28"/>
        </w:rPr>
      </w:pPr>
      <w:r w:rsidRPr="00F76EB6">
        <w:rPr>
          <w:sz w:val="28"/>
          <w:szCs w:val="28"/>
        </w:rPr>
        <w:t>[10]</w:t>
      </w:r>
      <w:r w:rsidRPr="00F76EB6">
        <w:rPr>
          <w:sz w:val="28"/>
          <w:szCs w:val="28"/>
        </w:rPr>
        <w:tab/>
      </w:r>
      <w:r w:rsidR="0039096A" w:rsidRPr="00F24D0A">
        <w:rPr>
          <w:sz w:val="28"/>
          <w:szCs w:val="28"/>
        </w:rPr>
        <w:t>The matter was heard by Hughes J who</w:t>
      </w:r>
      <w:r w:rsidR="00364EB7" w:rsidRPr="00F24D0A">
        <w:rPr>
          <w:sz w:val="28"/>
          <w:szCs w:val="28"/>
        </w:rPr>
        <w:t>,</w:t>
      </w:r>
      <w:r w:rsidR="0039096A" w:rsidRPr="00F24D0A">
        <w:rPr>
          <w:sz w:val="28"/>
          <w:szCs w:val="28"/>
        </w:rPr>
        <w:t xml:space="preserve"> </w:t>
      </w:r>
      <w:r w:rsidR="00364EB7" w:rsidRPr="00F24D0A">
        <w:rPr>
          <w:sz w:val="28"/>
          <w:szCs w:val="28"/>
        </w:rPr>
        <w:t xml:space="preserve">on 1 June 2020, </w:t>
      </w:r>
      <w:r w:rsidR="0039096A" w:rsidRPr="00F24D0A">
        <w:rPr>
          <w:sz w:val="28"/>
          <w:szCs w:val="28"/>
        </w:rPr>
        <w:t>granted an order</w:t>
      </w:r>
      <w:r w:rsidR="00663195" w:rsidRPr="00F24D0A">
        <w:rPr>
          <w:sz w:val="28"/>
          <w:szCs w:val="28"/>
        </w:rPr>
        <w:t xml:space="preserve"> </w:t>
      </w:r>
      <w:r w:rsidR="006A701A" w:rsidRPr="00F24D0A">
        <w:rPr>
          <w:sz w:val="28"/>
          <w:szCs w:val="28"/>
        </w:rPr>
        <w:t>which was subsequently amended</w:t>
      </w:r>
      <w:r w:rsidR="0039096A" w:rsidRPr="00F24D0A">
        <w:rPr>
          <w:sz w:val="28"/>
          <w:szCs w:val="28"/>
        </w:rPr>
        <w:t>, the final and material terms of which were:</w:t>
      </w:r>
    </w:p>
    <w:p w14:paraId="492BA819" w14:textId="36CD9E97" w:rsidR="0039096A" w:rsidRDefault="00F24D0A" w:rsidP="00F24D0A">
      <w:pPr>
        <w:spacing w:line="360" w:lineRule="auto"/>
        <w:jc w:val="both"/>
      </w:pPr>
      <w:r>
        <w:t>1.</w:t>
      </w:r>
      <w:r>
        <w:tab/>
      </w:r>
      <w:r w:rsidR="0039096A">
        <w:t>The decision of the respondent communicated in a letter dated 18 February and 20 February 2020 demanding that the panel of attorneys hand over all unfinalised files in their possession to the respondent is reviewed and set aside.</w:t>
      </w:r>
    </w:p>
    <w:p w14:paraId="2ADCA0D9" w14:textId="123184C7" w:rsidR="0039096A" w:rsidRDefault="00F24D0A" w:rsidP="00F24D0A">
      <w:pPr>
        <w:spacing w:line="360" w:lineRule="auto"/>
        <w:jc w:val="both"/>
      </w:pPr>
      <w:r>
        <w:t>2.</w:t>
      </w:r>
      <w:r>
        <w:tab/>
      </w:r>
      <w:r w:rsidR="0039096A">
        <w:t>The decision of the respondent to cancel tender number RAF/2018/00054 on or about 26 February 2020 is reviewed and set aside.</w:t>
      </w:r>
    </w:p>
    <w:p w14:paraId="6D136F88" w14:textId="5DB57FD5" w:rsidR="0039096A" w:rsidRDefault="00F24D0A" w:rsidP="00F24D0A">
      <w:pPr>
        <w:spacing w:line="360" w:lineRule="auto"/>
        <w:jc w:val="both"/>
      </w:pPr>
      <w:r>
        <w:t>3.</w:t>
      </w:r>
      <w:r>
        <w:tab/>
      </w:r>
      <w:r w:rsidR="0039096A">
        <w:t>The panel attorneys on the RAF’s panel as at the date of the launch of the FourieFismer review application shall continue to serve on the RAF panel of attorneys.</w:t>
      </w:r>
    </w:p>
    <w:p w14:paraId="1DAAB848" w14:textId="563E5367" w:rsidR="0039096A" w:rsidRDefault="00F24D0A" w:rsidP="00F24D0A">
      <w:pPr>
        <w:spacing w:line="360" w:lineRule="auto"/>
        <w:jc w:val="both"/>
      </w:pPr>
      <w:r>
        <w:t>4.</w:t>
      </w:r>
      <w:r>
        <w:tab/>
      </w:r>
      <w:r w:rsidR="0039096A">
        <w:t>The RAF shall fulfil all of its obligations to such attorneys in terms of the existing Service Level Agreement.</w:t>
      </w:r>
    </w:p>
    <w:p w14:paraId="396C7002" w14:textId="75FEC97D" w:rsidR="0039096A" w:rsidRDefault="00F24D0A" w:rsidP="00F24D0A">
      <w:pPr>
        <w:spacing w:line="360" w:lineRule="auto"/>
        <w:jc w:val="both"/>
      </w:pPr>
      <w:r>
        <w:t>5.</w:t>
      </w:r>
      <w:r>
        <w:tab/>
      </w:r>
      <w:r w:rsidR="0039096A">
        <w:t>This order shall operate for a period of six months from this order.</w:t>
      </w:r>
    </w:p>
    <w:p w14:paraId="1011CC01" w14:textId="48D4C16D" w:rsidR="0039096A" w:rsidRDefault="00F24D0A" w:rsidP="00F24D0A">
      <w:pPr>
        <w:spacing w:line="360" w:lineRule="auto"/>
        <w:jc w:val="both"/>
      </w:pPr>
      <w:r>
        <w:t>6.</w:t>
      </w:r>
      <w:r>
        <w:tab/>
      </w:r>
      <w:r w:rsidR="0039096A">
        <w:t>The respondents are ordered to pay the costs of the review application on a party and party scale, jointly and severally.</w:t>
      </w:r>
    </w:p>
    <w:p w14:paraId="15CBFC96" w14:textId="7FEF618C" w:rsidR="0039096A" w:rsidRPr="00CE4D32" w:rsidRDefault="00F24D0A" w:rsidP="00F24D0A">
      <w:pPr>
        <w:spacing w:line="360" w:lineRule="auto"/>
        <w:jc w:val="both"/>
      </w:pPr>
      <w:r w:rsidRPr="00CE4D32">
        <w:lastRenderedPageBreak/>
        <w:t>7.</w:t>
      </w:r>
      <w:r w:rsidRPr="00CE4D32">
        <w:tab/>
      </w:r>
      <w:r w:rsidR="0039096A">
        <w:t>Such costs are to include the costs of two counsel for each legal team where so employed.</w:t>
      </w:r>
    </w:p>
    <w:p w14:paraId="4DA5BF23" w14:textId="2A6351DD" w:rsidR="0039096A" w:rsidRDefault="0039096A" w:rsidP="0039096A">
      <w:pPr>
        <w:spacing w:line="360" w:lineRule="auto"/>
        <w:jc w:val="both"/>
        <w:rPr>
          <w:sz w:val="28"/>
          <w:szCs w:val="28"/>
        </w:rPr>
      </w:pPr>
      <w:r>
        <w:rPr>
          <w:sz w:val="28"/>
          <w:szCs w:val="28"/>
        </w:rPr>
        <w:t xml:space="preserve">It is this order which is appealed against by leave of this </w:t>
      </w:r>
      <w:r w:rsidR="0062499E">
        <w:rPr>
          <w:sz w:val="28"/>
          <w:szCs w:val="28"/>
        </w:rPr>
        <w:t>C</w:t>
      </w:r>
      <w:r>
        <w:rPr>
          <w:sz w:val="28"/>
          <w:szCs w:val="28"/>
        </w:rPr>
        <w:t>ourt, leave having been refused by Hughes J.</w:t>
      </w:r>
    </w:p>
    <w:p w14:paraId="6AA287D7" w14:textId="77777777" w:rsidR="00B94AA3" w:rsidRDefault="00B94AA3" w:rsidP="00B94AA3">
      <w:pPr>
        <w:pStyle w:val="ListParagraph"/>
        <w:spacing w:line="360" w:lineRule="auto"/>
        <w:ind w:left="0"/>
        <w:jc w:val="both"/>
        <w:rPr>
          <w:sz w:val="28"/>
          <w:szCs w:val="28"/>
        </w:rPr>
      </w:pPr>
    </w:p>
    <w:p w14:paraId="7842330C" w14:textId="5BB58E43" w:rsidR="0039096A" w:rsidRPr="00F24D0A" w:rsidRDefault="00F24D0A" w:rsidP="00F24D0A">
      <w:pPr>
        <w:spacing w:line="360" w:lineRule="auto"/>
        <w:jc w:val="both"/>
        <w:rPr>
          <w:sz w:val="28"/>
          <w:szCs w:val="28"/>
        </w:rPr>
      </w:pPr>
      <w:r w:rsidRPr="0039096A">
        <w:rPr>
          <w:sz w:val="28"/>
          <w:szCs w:val="28"/>
        </w:rPr>
        <w:t>[11]</w:t>
      </w:r>
      <w:r w:rsidRPr="0039096A">
        <w:rPr>
          <w:sz w:val="28"/>
          <w:szCs w:val="28"/>
        </w:rPr>
        <w:tab/>
      </w:r>
      <w:r w:rsidR="0039096A" w:rsidRPr="00F24D0A">
        <w:rPr>
          <w:sz w:val="28"/>
          <w:szCs w:val="28"/>
        </w:rPr>
        <w:t xml:space="preserve">Pursuant to s 18(1) of the Superior Courts Act 10 of 2013 (the Act), this resulted in the order of the high court being suspended. </w:t>
      </w:r>
      <w:r w:rsidR="00C36D1B" w:rsidRPr="00F24D0A">
        <w:rPr>
          <w:sz w:val="28"/>
          <w:szCs w:val="28"/>
        </w:rPr>
        <w:t>In turn, t</w:t>
      </w:r>
      <w:r w:rsidR="0039096A" w:rsidRPr="00F24D0A">
        <w:rPr>
          <w:sz w:val="28"/>
          <w:szCs w:val="28"/>
        </w:rPr>
        <w:t xml:space="preserve">he </w:t>
      </w:r>
      <w:r w:rsidR="00C36D1B" w:rsidRPr="00F24D0A">
        <w:rPr>
          <w:sz w:val="28"/>
          <w:szCs w:val="28"/>
        </w:rPr>
        <w:t>panel attorneys</w:t>
      </w:r>
      <w:r w:rsidR="0039096A" w:rsidRPr="00F24D0A">
        <w:rPr>
          <w:sz w:val="28"/>
          <w:szCs w:val="28"/>
        </w:rPr>
        <w:t xml:space="preserve"> </w:t>
      </w:r>
      <w:r w:rsidR="006D2FB4" w:rsidRPr="00F24D0A">
        <w:rPr>
          <w:sz w:val="28"/>
          <w:szCs w:val="28"/>
        </w:rPr>
        <w:t xml:space="preserve">and some other parties </w:t>
      </w:r>
      <w:r w:rsidR="0039096A" w:rsidRPr="00F24D0A">
        <w:rPr>
          <w:sz w:val="28"/>
          <w:szCs w:val="28"/>
        </w:rPr>
        <w:t>launched an application in terms of s 18(3) of the Act for its</w:t>
      </w:r>
      <w:r w:rsidR="00EE0320" w:rsidRPr="00F24D0A">
        <w:rPr>
          <w:sz w:val="28"/>
          <w:szCs w:val="28"/>
        </w:rPr>
        <w:t xml:space="preserve"> immediate</w:t>
      </w:r>
      <w:r w:rsidR="0039096A" w:rsidRPr="00F24D0A">
        <w:rPr>
          <w:sz w:val="28"/>
          <w:szCs w:val="28"/>
        </w:rPr>
        <w:t xml:space="preserve"> implementation. This was granted by Hughes J but reversed on appeal</w:t>
      </w:r>
      <w:r w:rsidR="006A701A" w:rsidRPr="00F24D0A">
        <w:rPr>
          <w:sz w:val="28"/>
          <w:szCs w:val="28"/>
        </w:rPr>
        <w:t xml:space="preserve"> by the Full Court of the Gauteng Division of the High Court, Pretoria (the Full Court)</w:t>
      </w:r>
      <w:r w:rsidR="0039096A" w:rsidRPr="00F24D0A">
        <w:rPr>
          <w:sz w:val="28"/>
          <w:szCs w:val="28"/>
        </w:rPr>
        <w:t xml:space="preserve"> in terms of s 18(4) of the Act</w:t>
      </w:r>
      <w:r w:rsidR="006A701A" w:rsidRPr="00F24D0A">
        <w:rPr>
          <w:sz w:val="28"/>
          <w:szCs w:val="28"/>
        </w:rPr>
        <w:t>. The Full Court</w:t>
      </w:r>
      <w:r w:rsidR="0039096A" w:rsidRPr="00F24D0A">
        <w:rPr>
          <w:sz w:val="28"/>
          <w:szCs w:val="28"/>
        </w:rPr>
        <w:t xml:space="preserve"> granted an order as follows:</w:t>
      </w:r>
    </w:p>
    <w:p w14:paraId="1EAD3B70" w14:textId="77777777" w:rsidR="0039096A" w:rsidRPr="00233DAD" w:rsidRDefault="0039096A" w:rsidP="0039096A">
      <w:pPr>
        <w:spacing w:line="360" w:lineRule="auto"/>
        <w:jc w:val="both"/>
      </w:pPr>
      <w:r w:rsidRPr="00233DAD">
        <w:t>‘(a)</w:t>
      </w:r>
      <w:r w:rsidRPr="00233DAD">
        <w:tab/>
        <w:t>The appeal is upheld</w:t>
      </w:r>
      <w:r w:rsidR="006A701A">
        <w:t>.</w:t>
      </w:r>
    </w:p>
    <w:p w14:paraId="76CDF6B3" w14:textId="77777777" w:rsidR="0039096A" w:rsidRPr="00233DAD" w:rsidRDefault="0039096A" w:rsidP="0039096A">
      <w:pPr>
        <w:spacing w:line="360" w:lineRule="auto"/>
        <w:jc w:val="both"/>
      </w:pPr>
      <w:r w:rsidRPr="00233DAD">
        <w:t>(b)</w:t>
      </w:r>
      <w:r w:rsidRPr="00233DAD">
        <w:tab/>
        <w:t xml:space="preserve">The order granted by the Court a quo in terms of section 18(3), and the additional relief in paragraph </w:t>
      </w:r>
      <w:r w:rsidR="00C36D1B">
        <w:t>(e)</w:t>
      </w:r>
      <w:r w:rsidRPr="00233DAD">
        <w:t xml:space="preserve"> of the order, is set aside and replaced with the following order:</w:t>
      </w:r>
    </w:p>
    <w:p w14:paraId="567E2803" w14:textId="77777777" w:rsidR="0039096A" w:rsidRPr="00233DAD" w:rsidRDefault="0039096A" w:rsidP="0039096A">
      <w:pPr>
        <w:spacing w:line="360" w:lineRule="auto"/>
        <w:jc w:val="both"/>
      </w:pPr>
      <w:r w:rsidRPr="00233DAD">
        <w:t>“The application is dismissed with costs including costs of two counsel</w:t>
      </w:r>
      <w:r w:rsidR="00C36D1B">
        <w:t>.</w:t>
      </w:r>
      <w:r w:rsidRPr="00233DAD">
        <w:t>”</w:t>
      </w:r>
    </w:p>
    <w:p w14:paraId="40D1E603" w14:textId="77777777" w:rsidR="0039096A" w:rsidRPr="00233DAD" w:rsidRDefault="0039096A" w:rsidP="0039096A">
      <w:pPr>
        <w:spacing w:line="360" w:lineRule="auto"/>
        <w:jc w:val="both"/>
      </w:pPr>
      <w:r w:rsidRPr="00233DAD">
        <w:t>(c)</w:t>
      </w:r>
      <w:r w:rsidRPr="00233DAD">
        <w:tab/>
        <w:t>With the exclusion of the Law Society of Southern Africa and the Minister of Transport, the respondents and other intervening parties shall pay the appellants’ costs of the appeal jointly and severally</w:t>
      </w:r>
      <w:r>
        <w:t xml:space="preserve"> </w:t>
      </w:r>
      <w:r w:rsidRPr="00233DAD">
        <w:t>the one paying the other</w:t>
      </w:r>
      <w:r w:rsidR="001D7E5C">
        <w:t>s</w:t>
      </w:r>
      <w:r w:rsidRPr="00233DAD">
        <w:t xml:space="preserve"> to be absolved, which costs shall include</w:t>
      </w:r>
      <w:r>
        <w:t xml:space="preserve"> </w:t>
      </w:r>
      <w:r w:rsidRPr="00233DAD">
        <w:t xml:space="preserve">the costs of senior and junior counsel where so employed.’ </w:t>
      </w:r>
    </w:p>
    <w:p w14:paraId="4F71E2A5" w14:textId="77777777" w:rsidR="0039096A" w:rsidRPr="0039096A" w:rsidRDefault="0039096A" w:rsidP="0039096A">
      <w:pPr>
        <w:rPr>
          <w:sz w:val="28"/>
          <w:szCs w:val="28"/>
        </w:rPr>
      </w:pPr>
    </w:p>
    <w:p w14:paraId="5F10C0D0" w14:textId="780A6841" w:rsidR="00C24002" w:rsidRPr="00F24D0A" w:rsidRDefault="00F24D0A" w:rsidP="00F24D0A">
      <w:pPr>
        <w:spacing w:line="360" w:lineRule="auto"/>
        <w:jc w:val="both"/>
        <w:rPr>
          <w:sz w:val="28"/>
          <w:szCs w:val="28"/>
        </w:rPr>
      </w:pPr>
      <w:r>
        <w:rPr>
          <w:sz w:val="28"/>
          <w:szCs w:val="28"/>
        </w:rPr>
        <w:t>[12]</w:t>
      </w:r>
      <w:r>
        <w:rPr>
          <w:sz w:val="28"/>
          <w:szCs w:val="28"/>
        </w:rPr>
        <w:tab/>
      </w:r>
      <w:r w:rsidR="0039096A" w:rsidRPr="00F24D0A">
        <w:rPr>
          <w:sz w:val="28"/>
          <w:szCs w:val="28"/>
        </w:rPr>
        <w:t>It is convenient to s</w:t>
      </w:r>
      <w:r w:rsidR="00EE0320" w:rsidRPr="00F24D0A">
        <w:rPr>
          <w:sz w:val="28"/>
          <w:szCs w:val="28"/>
        </w:rPr>
        <w:t>ummarise</w:t>
      </w:r>
      <w:r w:rsidR="0039096A" w:rsidRPr="00F24D0A">
        <w:rPr>
          <w:sz w:val="28"/>
          <w:szCs w:val="28"/>
        </w:rPr>
        <w:t xml:space="preserve"> the grounds on which the respondents opposed the </w:t>
      </w:r>
      <w:r w:rsidR="0062499E" w:rsidRPr="00F24D0A">
        <w:rPr>
          <w:sz w:val="28"/>
          <w:szCs w:val="28"/>
        </w:rPr>
        <w:t xml:space="preserve">present </w:t>
      </w:r>
      <w:r w:rsidR="0039096A" w:rsidRPr="00F24D0A">
        <w:rPr>
          <w:sz w:val="28"/>
          <w:szCs w:val="28"/>
        </w:rPr>
        <w:t>appeal. They contended that</w:t>
      </w:r>
      <w:r w:rsidR="00C24002" w:rsidRPr="00F24D0A">
        <w:rPr>
          <w:sz w:val="28"/>
          <w:szCs w:val="28"/>
        </w:rPr>
        <w:t>:</w:t>
      </w:r>
    </w:p>
    <w:p w14:paraId="20C1C27B" w14:textId="77777777" w:rsidR="00C24002" w:rsidRDefault="004B2590" w:rsidP="004B2590">
      <w:pPr>
        <w:spacing w:line="360" w:lineRule="auto"/>
        <w:jc w:val="both"/>
        <w:rPr>
          <w:sz w:val="28"/>
          <w:szCs w:val="28"/>
        </w:rPr>
      </w:pPr>
      <w:r w:rsidRPr="004B2590">
        <w:rPr>
          <w:sz w:val="28"/>
          <w:szCs w:val="28"/>
        </w:rPr>
        <w:t>a)</w:t>
      </w:r>
      <w:r>
        <w:rPr>
          <w:sz w:val="28"/>
          <w:szCs w:val="28"/>
        </w:rPr>
        <w:tab/>
      </w:r>
      <w:r w:rsidR="00C24002" w:rsidRPr="004B2590">
        <w:rPr>
          <w:sz w:val="28"/>
          <w:szCs w:val="28"/>
        </w:rPr>
        <w:t>I</w:t>
      </w:r>
      <w:r w:rsidR="0039096A" w:rsidRPr="004B2590">
        <w:rPr>
          <w:sz w:val="28"/>
          <w:szCs w:val="28"/>
        </w:rPr>
        <w:t>t had become moot</w:t>
      </w:r>
      <w:r w:rsidR="00C24002" w:rsidRPr="004B2590">
        <w:rPr>
          <w:sz w:val="28"/>
          <w:szCs w:val="28"/>
        </w:rPr>
        <w:t>;</w:t>
      </w:r>
      <w:r w:rsidR="007D0550">
        <w:rPr>
          <w:sz w:val="28"/>
          <w:szCs w:val="28"/>
        </w:rPr>
        <w:t xml:space="preserve"> </w:t>
      </w:r>
    </w:p>
    <w:p w14:paraId="444EB722" w14:textId="77777777" w:rsidR="007D0550" w:rsidRDefault="00F953F5" w:rsidP="004B2590">
      <w:pPr>
        <w:spacing w:line="360" w:lineRule="auto"/>
        <w:jc w:val="both"/>
        <w:rPr>
          <w:sz w:val="28"/>
          <w:szCs w:val="28"/>
        </w:rPr>
      </w:pPr>
      <w:r>
        <w:rPr>
          <w:sz w:val="28"/>
          <w:szCs w:val="28"/>
        </w:rPr>
        <w:t>b</w:t>
      </w:r>
      <w:r w:rsidR="007D0550">
        <w:rPr>
          <w:sz w:val="28"/>
          <w:szCs w:val="28"/>
        </w:rPr>
        <w:t>)</w:t>
      </w:r>
      <w:r w:rsidR="007D0550">
        <w:rPr>
          <w:sz w:val="28"/>
          <w:szCs w:val="28"/>
        </w:rPr>
        <w:tab/>
        <w:t xml:space="preserve">The </w:t>
      </w:r>
      <w:r w:rsidR="00F03388">
        <w:rPr>
          <w:sz w:val="28"/>
          <w:szCs w:val="28"/>
        </w:rPr>
        <w:t>cancellation of the 2018 tender</w:t>
      </w:r>
      <w:r w:rsidR="00600A8A">
        <w:rPr>
          <w:sz w:val="28"/>
          <w:szCs w:val="28"/>
        </w:rPr>
        <w:t xml:space="preserve"> </w:t>
      </w:r>
      <w:r w:rsidR="00375C34">
        <w:rPr>
          <w:sz w:val="28"/>
          <w:szCs w:val="28"/>
        </w:rPr>
        <w:t xml:space="preserve">was invalid; </w:t>
      </w:r>
      <w:r w:rsidR="00F03388">
        <w:rPr>
          <w:sz w:val="28"/>
          <w:szCs w:val="28"/>
        </w:rPr>
        <w:t>and</w:t>
      </w:r>
    </w:p>
    <w:p w14:paraId="1AD47403" w14:textId="77777777" w:rsidR="00F953F5" w:rsidRDefault="00F953F5" w:rsidP="00F953F5">
      <w:pPr>
        <w:spacing w:line="360" w:lineRule="auto"/>
        <w:jc w:val="both"/>
        <w:rPr>
          <w:sz w:val="28"/>
          <w:szCs w:val="28"/>
        </w:rPr>
      </w:pPr>
      <w:r>
        <w:rPr>
          <w:sz w:val="28"/>
          <w:szCs w:val="28"/>
        </w:rPr>
        <w:t>c)</w:t>
      </w:r>
      <w:r>
        <w:rPr>
          <w:sz w:val="28"/>
          <w:szCs w:val="28"/>
        </w:rPr>
        <w:tab/>
        <w:t>The handover decision was unlawful;</w:t>
      </w:r>
    </w:p>
    <w:p w14:paraId="637356B4" w14:textId="77777777" w:rsidR="00F03388" w:rsidRPr="004B2590" w:rsidRDefault="00F03388" w:rsidP="004B2590">
      <w:pPr>
        <w:spacing w:line="360" w:lineRule="auto"/>
        <w:jc w:val="both"/>
        <w:rPr>
          <w:sz w:val="28"/>
          <w:szCs w:val="28"/>
        </w:rPr>
      </w:pPr>
      <w:r>
        <w:rPr>
          <w:sz w:val="28"/>
          <w:szCs w:val="28"/>
        </w:rPr>
        <w:t>d)</w:t>
      </w:r>
      <w:r>
        <w:rPr>
          <w:sz w:val="28"/>
          <w:szCs w:val="28"/>
        </w:rPr>
        <w:tab/>
        <w:t xml:space="preserve">The </w:t>
      </w:r>
      <w:r w:rsidR="005C03AB">
        <w:rPr>
          <w:sz w:val="28"/>
          <w:szCs w:val="28"/>
        </w:rPr>
        <w:t>second addendum</w:t>
      </w:r>
      <w:r w:rsidR="009209B6">
        <w:rPr>
          <w:sz w:val="28"/>
          <w:szCs w:val="28"/>
        </w:rPr>
        <w:t xml:space="preserve"> was invalid</w:t>
      </w:r>
      <w:r w:rsidR="005C03AB">
        <w:rPr>
          <w:sz w:val="28"/>
          <w:szCs w:val="28"/>
        </w:rPr>
        <w:t>.</w:t>
      </w:r>
    </w:p>
    <w:p w14:paraId="5AD21965" w14:textId="77777777" w:rsidR="0039096A" w:rsidRDefault="0039096A" w:rsidP="00C02E6F">
      <w:pPr>
        <w:rPr>
          <w:sz w:val="28"/>
          <w:szCs w:val="28"/>
        </w:rPr>
      </w:pPr>
    </w:p>
    <w:p w14:paraId="49252802" w14:textId="0CDEEF00" w:rsidR="008B2B59" w:rsidRPr="00F24D0A" w:rsidRDefault="00F24D0A" w:rsidP="00F24D0A">
      <w:pPr>
        <w:spacing w:line="360" w:lineRule="auto"/>
        <w:jc w:val="both"/>
        <w:rPr>
          <w:sz w:val="28"/>
          <w:szCs w:val="28"/>
        </w:rPr>
      </w:pPr>
      <w:r w:rsidRPr="00B67DC2">
        <w:rPr>
          <w:sz w:val="28"/>
          <w:szCs w:val="28"/>
        </w:rPr>
        <w:lastRenderedPageBreak/>
        <w:t>[13]</w:t>
      </w:r>
      <w:r w:rsidRPr="00B67DC2">
        <w:rPr>
          <w:sz w:val="28"/>
          <w:szCs w:val="28"/>
        </w:rPr>
        <w:tab/>
      </w:r>
      <w:r w:rsidR="006E26E0" w:rsidRPr="00F24D0A">
        <w:rPr>
          <w:sz w:val="28"/>
          <w:szCs w:val="28"/>
        </w:rPr>
        <w:t xml:space="preserve">The only attorneys who participated in the appeal were the first respondent, </w:t>
      </w:r>
      <w:r w:rsidR="003B62F9" w:rsidRPr="00F24D0A">
        <w:rPr>
          <w:sz w:val="28"/>
          <w:szCs w:val="28"/>
        </w:rPr>
        <w:t>compris</w:t>
      </w:r>
      <w:r w:rsidR="00CD04DE" w:rsidRPr="00F24D0A">
        <w:rPr>
          <w:sz w:val="28"/>
          <w:szCs w:val="28"/>
        </w:rPr>
        <w:t>ing</w:t>
      </w:r>
      <w:r w:rsidR="006E26E0" w:rsidRPr="00F24D0A">
        <w:rPr>
          <w:sz w:val="28"/>
          <w:szCs w:val="28"/>
        </w:rPr>
        <w:t xml:space="preserve"> Mabunda Incorporated and forty-one other attorneys (Mabunda), FourieFismer Incorporated (FourieFismer) and Diale Mogoshoa Incorporated (Diale). </w:t>
      </w:r>
      <w:r w:rsidR="00296190" w:rsidRPr="00F24D0A">
        <w:rPr>
          <w:sz w:val="28"/>
          <w:szCs w:val="28"/>
        </w:rPr>
        <w:t>The Pretoria Attorneys</w:t>
      </w:r>
      <w:r w:rsidR="00700193" w:rsidRPr="00F24D0A">
        <w:rPr>
          <w:sz w:val="28"/>
          <w:szCs w:val="28"/>
        </w:rPr>
        <w:t>’</w:t>
      </w:r>
      <w:r w:rsidR="00296190" w:rsidRPr="00F24D0A">
        <w:rPr>
          <w:sz w:val="28"/>
          <w:szCs w:val="28"/>
        </w:rPr>
        <w:t xml:space="preserve"> Association also participated </w:t>
      </w:r>
      <w:r w:rsidR="00F72032" w:rsidRPr="00F24D0A">
        <w:rPr>
          <w:sz w:val="28"/>
          <w:szCs w:val="28"/>
        </w:rPr>
        <w:t>and</w:t>
      </w:r>
      <w:r w:rsidR="00296190" w:rsidRPr="00F24D0A">
        <w:rPr>
          <w:sz w:val="28"/>
          <w:szCs w:val="28"/>
        </w:rPr>
        <w:t xml:space="preserve"> w</w:t>
      </w:r>
      <w:r w:rsidR="00700193" w:rsidRPr="00F24D0A">
        <w:rPr>
          <w:sz w:val="28"/>
          <w:szCs w:val="28"/>
        </w:rPr>
        <w:t>as</w:t>
      </w:r>
      <w:r w:rsidR="00296190" w:rsidRPr="00F24D0A">
        <w:rPr>
          <w:sz w:val="28"/>
          <w:szCs w:val="28"/>
        </w:rPr>
        <w:t xml:space="preserve"> represented by counsel also representing FourieFismer</w:t>
      </w:r>
      <w:r w:rsidR="00F72032" w:rsidRPr="00F24D0A">
        <w:rPr>
          <w:sz w:val="28"/>
          <w:szCs w:val="28"/>
        </w:rPr>
        <w:t xml:space="preserve">. </w:t>
      </w:r>
      <w:r w:rsidR="006E26E0" w:rsidRPr="00F24D0A">
        <w:rPr>
          <w:sz w:val="28"/>
          <w:szCs w:val="28"/>
        </w:rPr>
        <w:t xml:space="preserve">Other litigants before the </w:t>
      </w:r>
      <w:r w:rsidR="00FA681F" w:rsidRPr="00F24D0A">
        <w:rPr>
          <w:sz w:val="28"/>
          <w:szCs w:val="28"/>
        </w:rPr>
        <w:t xml:space="preserve">high </w:t>
      </w:r>
      <w:r w:rsidR="006E26E0" w:rsidRPr="00F24D0A">
        <w:rPr>
          <w:sz w:val="28"/>
          <w:szCs w:val="28"/>
        </w:rPr>
        <w:t xml:space="preserve">court elected not to participate any further. In addition, Diale limited its submissions to the lawfulness of the cancellation of the tender. </w:t>
      </w:r>
      <w:r w:rsidR="009209B6" w:rsidRPr="00F24D0A">
        <w:rPr>
          <w:sz w:val="28"/>
          <w:szCs w:val="28"/>
        </w:rPr>
        <w:t xml:space="preserve">By the time the appeal was heard </w:t>
      </w:r>
      <w:r w:rsidR="00B67DC2" w:rsidRPr="00F24D0A">
        <w:rPr>
          <w:sz w:val="28"/>
          <w:szCs w:val="28"/>
        </w:rPr>
        <w:t>b</w:t>
      </w:r>
      <w:r w:rsidR="006E26E0" w:rsidRPr="00F24D0A">
        <w:rPr>
          <w:sz w:val="28"/>
          <w:szCs w:val="28"/>
        </w:rPr>
        <w:t xml:space="preserve">oth </w:t>
      </w:r>
      <w:r w:rsidR="00B67DC2" w:rsidRPr="00F24D0A">
        <w:rPr>
          <w:sz w:val="28"/>
          <w:szCs w:val="28"/>
        </w:rPr>
        <w:t>Diale</w:t>
      </w:r>
      <w:r w:rsidR="006E26E0" w:rsidRPr="00F24D0A">
        <w:rPr>
          <w:sz w:val="28"/>
          <w:szCs w:val="28"/>
        </w:rPr>
        <w:t xml:space="preserve"> and FourieFismer had handed over all of the files they had received from the RAF. Mabunda, on the other hand, continued to support all of the relief granted.</w:t>
      </w:r>
    </w:p>
    <w:p w14:paraId="317CB948" w14:textId="77777777" w:rsidR="008B2B59" w:rsidRDefault="008B2B59" w:rsidP="00C02E6F">
      <w:pPr>
        <w:pStyle w:val="ListParagraph"/>
        <w:spacing w:line="360" w:lineRule="auto"/>
        <w:ind w:left="0"/>
        <w:jc w:val="both"/>
        <w:rPr>
          <w:sz w:val="28"/>
          <w:szCs w:val="28"/>
        </w:rPr>
      </w:pPr>
    </w:p>
    <w:p w14:paraId="18DCCFDB" w14:textId="77777777" w:rsidR="00D2521E" w:rsidRPr="004F497B" w:rsidRDefault="00E52DEB" w:rsidP="00C02E6F">
      <w:pPr>
        <w:pStyle w:val="ListParagraph"/>
        <w:spacing w:line="360" w:lineRule="auto"/>
        <w:ind w:left="0"/>
        <w:jc w:val="both"/>
        <w:rPr>
          <w:b/>
          <w:bCs/>
          <w:sz w:val="28"/>
          <w:szCs w:val="28"/>
        </w:rPr>
      </w:pPr>
      <w:r>
        <w:rPr>
          <w:b/>
          <w:bCs/>
          <w:sz w:val="28"/>
          <w:szCs w:val="28"/>
        </w:rPr>
        <w:t>Whether</w:t>
      </w:r>
      <w:r w:rsidR="004F497B">
        <w:rPr>
          <w:b/>
          <w:bCs/>
          <w:sz w:val="28"/>
          <w:szCs w:val="28"/>
        </w:rPr>
        <w:t xml:space="preserve"> the appeal</w:t>
      </w:r>
      <w:r>
        <w:rPr>
          <w:b/>
          <w:bCs/>
          <w:sz w:val="28"/>
          <w:szCs w:val="28"/>
        </w:rPr>
        <w:t xml:space="preserve"> is</w:t>
      </w:r>
      <w:r w:rsidR="004F497B">
        <w:rPr>
          <w:b/>
          <w:bCs/>
          <w:sz w:val="28"/>
          <w:szCs w:val="28"/>
        </w:rPr>
        <w:t xml:space="preserve"> moot</w:t>
      </w:r>
    </w:p>
    <w:p w14:paraId="6A1ED016" w14:textId="26B98738" w:rsidR="002F1075" w:rsidRPr="00F24D0A" w:rsidRDefault="00F24D0A" w:rsidP="00F24D0A">
      <w:pPr>
        <w:spacing w:line="360" w:lineRule="auto"/>
        <w:jc w:val="both"/>
        <w:rPr>
          <w:sz w:val="28"/>
          <w:szCs w:val="28"/>
        </w:rPr>
      </w:pPr>
      <w:r>
        <w:rPr>
          <w:sz w:val="28"/>
          <w:szCs w:val="28"/>
        </w:rPr>
        <w:t>[14]</w:t>
      </w:r>
      <w:r>
        <w:rPr>
          <w:sz w:val="28"/>
          <w:szCs w:val="28"/>
        </w:rPr>
        <w:tab/>
      </w:r>
      <w:r w:rsidR="00093DDE" w:rsidRPr="00F24D0A">
        <w:rPr>
          <w:sz w:val="28"/>
          <w:szCs w:val="28"/>
        </w:rPr>
        <w:t>Mabunda and FourieFismer</w:t>
      </w:r>
      <w:r w:rsidR="00101603" w:rsidRPr="00F24D0A">
        <w:rPr>
          <w:sz w:val="28"/>
          <w:szCs w:val="28"/>
        </w:rPr>
        <w:t xml:space="preserve"> submitted that</w:t>
      </w:r>
      <w:r w:rsidR="00093DDE" w:rsidRPr="00F24D0A">
        <w:rPr>
          <w:sz w:val="28"/>
          <w:szCs w:val="28"/>
        </w:rPr>
        <w:t xml:space="preserve"> it is clear that the order was to operate for a period of six months from the date of issue</w:t>
      </w:r>
      <w:r w:rsidR="00BD6101" w:rsidRPr="00F24D0A">
        <w:rPr>
          <w:sz w:val="28"/>
          <w:szCs w:val="28"/>
        </w:rPr>
        <w:t>, being 1 June 2020.</w:t>
      </w:r>
      <w:r w:rsidR="00093DDE" w:rsidRPr="00F24D0A">
        <w:rPr>
          <w:sz w:val="28"/>
          <w:szCs w:val="28"/>
        </w:rPr>
        <w:t xml:space="preserve"> </w:t>
      </w:r>
      <w:r w:rsidR="00101603" w:rsidRPr="00F24D0A">
        <w:rPr>
          <w:sz w:val="28"/>
          <w:szCs w:val="28"/>
        </w:rPr>
        <w:t>They contended that i</w:t>
      </w:r>
      <w:r w:rsidR="00093DDE" w:rsidRPr="00F24D0A">
        <w:rPr>
          <w:sz w:val="28"/>
          <w:szCs w:val="28"/>
        </w:rPr>
        <w:t xml:space="preserve">ts operation was not suspended by the application for leave to appeal. </w:t>
      </w:r>
      <w:r w:rsidR="00101603" w:rsidRPr="00F24D0A">
        <w:rPr>
          <w:sz w:val="28"/>
          <w:szCs w:val="28"/>
        </w:rPr>
        <w:t>As such, i</w:t>
      </w:r>
      <w:r w:rsidR="00093DDE" w:rsidRPr="00F24D0A">
        <w:rPr>
          <w:sz w:val="28"/>
          <w:szCs w:val="28"/>
        </w:rPr>
        <w:t xml:space="preserve">t expired on 1 December 2020. </w:t>
      </w:r>
      <w:r w:rsidR="007A24AF" w:rsidRPr="00F24D0A">
        <w:rPr>
          <w:sz w:val="28"/>
          <w:szCs w:val="28"/>
        </w:rPr>
        <w:t>Leaving aside</w:t>
      </w:r>
      <w:r w:rsidR="00E31BF7" w:rsidRPr="00F24D0A">
        <w:rPr>
          <w:sz w:val="28"/>
          <w:szCs w:val="28"/>
        </w:rPr>
        <w:t xml:space="preserve"> for a moment</w:t>
      </w:r>
      <w:r w:rsidR="00BD2256" w:rsidRPr="00F24D0A">
        <w:rPr>
          <w:sz w:val="28"/>
          <w:szCs w:val="28"/>
        </w:rPr>
        <w:t xml:space="preserve"> the provisions of s 18(1) and the Full Court order made under s</w:t>
      </w:r>
      <w:r w:rsidR="00333A56" w:rsidRPr="00F24D0A">
        <w:rPr>
          <w:sz w:val="28"/>
          <w:szCs w:val="28"/>
        </w:rPr>
        <w:t> </w:t>
      </w:r>
      <w:r w:rsidR="00BD2256" w:rsidRPr="00F24D0A">
        <w:rPr>
          <w:sz w:val="28"/>
          <w:szCs w:val="28"/>
        </w:rPr>
        <w:t>18(4)</w:t>
      </w:r>
      <w:r w:rsidR="007A24AF" w:rsidRPr="00F24D0A">
        <w:rPr>
          <w:sz w:val="28"/>
          <w:szCs w:val="28"/>
        </w:rPr>
        <w:t xml:space="preserve"> of the Act, </w:t>
      </w:r>
      <w:r w:rsidR="00E31BF7" w:rsidRPr="00F24D0A">
        <w:rPr>
          <w:sz w:val="28"/>
          <w:szCs w:val="28"/>
        </w:rPr>
        <w:t xml:space="preserve">this </w:t>
      </w:r>
      <w:r w:rsidR="00333A56" w:rsidRPr="00F24D0A">
        <w:rPr>
          <w:sz w:val="28"/>
          <w:szCs w:val="28"/>
        </w:rPr>
        <w:t xml:space="preserve">still </w:t>
      </w:r>
      <w:r w:rsidR="00E31BF7" w:rsidRPr="00F24D0A">
        <w:rPr>
          <w:sz w:val="28"/>
          <w:szCs w:val="28"/>
        </w:rPr>
        <w:t xml:space="preserve">does not resolve all of the issues in the appeal. </w:t>
      </w:r>
      <w:r w:rsidR="00333A56" w:rsidRPr="00F24D0A">
        <w:rPr>
          <w:sz w:val="28"/>
          <w:szCs w:val="28"/>
        </w:rPr>
        <w:t>I</w:t>
      </w:r>
      <w:r w:rsidR="002F1075" w:rsidRPr="00F24D0A">
        <w:rPr>
          <w:sz w:val="28"/>
          <w:szCs w:val="28"/>
        </w:rPr>
        <w:t>t is clear that paragraphs 1, 2, 6 and 7 of th</w:t>
      </w:r>
      <w:r w:rsidR="003B35C8" w:rsidRPr="00F24D0A">
        <w:rPr>
          <w:sz w:val="28"/>
          <w:szCs w:val="28"/>
        </w:rPr>
        <w:t>e</w:t>
      </w:r>
      <w:r w:rsidR="002F1075" w:rsidRPr="00F24D0A">
        <w:rPr>
          <w:sz w:val="28"/>
          <w:szCs w:val="28"/>
        </w:rPr>
        <w:t xml:space="preserve"> order are outright </w:t>
      </w:r>
      <w:r w:rsidR="003B35C8" w:rsidRPr="00F24D0A">
        <w:rPr>
          <w:sz w:val="28"/>
          <w:szCs w:val="28"/>
        </w:rPr>
        <w:t>orders</w:t>
      </w:r>
      <w:r w:rsidR="002F1075" w:rsidRPr="00F24D0A">
        <w:rPr>
          <w:sz w:val="28"/>
          <w:szCs w:val="28"/>
        </w:rPr>
        <w:t>. They are not limited by the six month period referred to in paragraph 5. The six month period clearly applies only to paragraphs 3 and 4. The cancellation of a tender, when set aside</w:t>
      </w:r>
      <w:r w:rsidR="00D83AD3" w:rsidRPr="00F24D0A">
        <w:rPr>
          <w:sz w:val="28"/>
          <w:szCs w:val="28"/>
        </w:rPr>
        <w:t xml:space="preserve"> as was done by the high court</w:t>
      </w:r>
      <w:r w:rsidR="002F1075" w:rsidRPr="00F24D0A">
        <w:rPr>
          <w:sz w:val="28"/>
          <w:szCs w:val="28"/>
        </w:rPr>
        <w:t xml:space="preserve">, </w:t>
      </w:r>
      <w:r w:rsidR="003B35C8" w:rsidRPr="00F24D0A">
        <w:rPr>
          <w:sz w:val="28"/>
          <w:szCs w:val="28"/>
        </w:rPr>
        <w:t xml:space="preserve">results in the </w:t>
      </w:r>
      <w:r w:rsidR="002F1075" w:rsidRPr="00F24D0A">
        <w:rPr>
          <w:sz w:val="28"/>
          <w:szCs w:val="28"/>
        </w:rPr>
        <w:t>reinstate</w:t>
      </w:r>
      <w:r w:rsidR="003B35C8" w:rsidRPr="00F24D0A">
        <w:rPr>
          <w:sz w:val="28"/>
          <w:szCs w:val="28"/>
        </w:rPr>
        <w:t>ment of</w:t>
      </w:r>
      <w:r w:rsidR="002F1075" w:rsidRPr="00F24D0A">
        <w:rPr>
          <w:sz w:val="28"/>
          <w:szCs w:val="28"/>
        </w:rPr>
        <w:t xml:space="preserve"> the tender. Diale, in particular, claim</w:t>
      </w:r>
      <w:r w:rsidR="003B35C8" w:rsidRPr="00F24D0A">
        <w:rPr>
          <w:sz w:val="28"/>
          <w:szCs w:val="28"/>
        </w:rPr>
        <w:t>ed</w:t>
      </w:r>
      <w:r w:rsidR="002F1075" w:rsidRPr="00F24D0A">
        <w:rPr>
          <w:sz w:val="28"/>
          <w:szCs w:val="28"/>
        </w:rPr>
        <w:t xml:space="preserve"> that the tender must </w:t>
      </w:r>
      <w:r w:rsidR="003B35C8" w:rsidRPr="00F24D0A">
        <w:rPr>
          <w:sz w:val="28"/>
          <w:szCs w:val="28"/>
        </w:rPr>
        <w:t xml:space="preserve">still </w:t>
      </w:r>
      <w:r w:rsidR="002F1075" w:rsidRPr="00F24D0A">
        <w:rPr>
          <w:sz w:val="28"/>
          <w:szCs w:val="28"/>
        </w:rPr>
        <w:t xml:space="preserve">be adjudicated. This leaves the </w:t>
      </w:r>
      <w:r w:rsidR="00D83AD3" w:rsidRPr="00F24D0A">
        <w:rPr>
          <w:sz w:val="28"/>
          <w:szCs w:val="28"/>
        </w:rPr>
        <w:t xml:space="preserve">efficacy of the </w:t>
      </w:r>
      <w:r w:rsidR="002F1075" w:rsidRPr="00F24D0A">
        <w:rPr>
          <w:sz w:val="28"/>
          <w:szCs w:val="28"/>
        </w:rPr>
        <w:t xml:space="preserve">cancellation as a live issue. </w:t>
      </w:r>
      <w:r w:rsidR="00333A56" w:rsidRPr="00F24D0A">
        <w:rPr>
          <w:sz w:val="28"/>
          <w:szCs w:val="28"/>
        </w:rPr>
        <w:t xml:space="preserve">It is not necessary to consider the submissions of all of the parties concerning the effect of </w:t>
      </w:r>
      <w:r w:rsidR="00CB0DC8" w:rsidRPr="00F24D0A">
        <w:rPr>
          <w:sz w:val="28"/>
          <w:szCs w:val="28"/>
        </w:rPr>
        <w:t xml:space="preserve">a pending appeal and whether it suspends the operation of </w:t>
      </w:r>
      <w:r w:rsidR="00333A56" w:rsidRPr="00F24D0A">
        <w:rPr>
          <w:sz w:val="28"/>
          <w:szCs w:val="28"/>
        </w:rPr>
        <w:t xml:space="preserve">the six month period. </w:t>
      </w:r>
      <w:r w:rsidR="002F1075" w:rsidRPr="00F24D0A">
        <w:rPr>
          <w:sz w:val="28"/>
          <w:szCs w:val="28"/>
        </w:rPr>
        <w:t>The point of mootness has no basis.</w:t>
      </w:r>
    </w:p>
    <w:p w14:paraId="6C7E05C3" w14:textId="77777777" w:rsidR="00664217" w:rsidRDefault="00664217" w:rsidP="00664217">
      <w:pPr>
        <w:spacing w:line="360" w:lineRule="auto"/>
        <w:jc w:val="both"/>
        <w:rPr>
          <w:b/>
          <w:bCs/>
          <w:sz w:val="28"/>
          <w:szCs w:val="28"/>
        </w:rPr>
      </w:pPr>
    </w:p>
    <w:p w14:paraId="6EC9F613" w14:textId="77777777" w:rsidR="00664217" w:rsidRDefault="00664217" w:rsidP="00664217">
      <w:pPr>
        <w:spacing w:line="360" w:lineRule="auto"/>
        <w:jc w:val="both"/>
        <w:rPr>
          <w:b/>
          <w:bCs/>
          <w:sz w:val="28"/>
          <w:szCs w:val="28"/>
        </w:rPr>
      </w:pPr>
    </w:p>
    <w:p w14:paraId="5B322476" w14:textId="5E1F293E" w:rsidR="00664217" w:rsidRPr="00664217" w:rsidRDefault="00664217" w:rsidP="00664217">
      <w:pPr>
        <w:spacing w:line="360" w:lineRule="auto"/>
        <w:jc w:val="both"/>
        <w:rPr>
          <w:b/>
          <w:bCs/>
          <w:sz w:val="28"/>
          <w:szCs w:val="28"/>
        </w:rPr>
      </w:pPr>
      <w:r w:rsidRPr="00664217">
        <w:rPr>
          <w:b/>
          <w:bCs/>
          <w:sz w:val="28"/>
          <w:szCs w:val="28"/>
        </w:rPr>
        <w:t>The cancellation of the 2018 tender</w:t>
      </w:r>
    </w:p>
    <w:p w14:paraId="26A96CDE" w14:textId="6FDF7095" w:rsidR="00F242C4" w:rsidRPr="00F24D0A" w:rsidRDefault="00F24D0A" w:rsidP="00F24D0A">
      <w:pPr>
        <w:spacing w:line="360" w:lineRule="auto"/>
        <w:jc w:val="both"/>
        <w:rPr>
          <w:sz w:val="28"/>
          <w:szCs w:val="28"/>
        </w:rPr>
      </w:pPr>
      <w:r w:rsidRPr="00277C14">
        <w:rPr>
          <w:sz w:val="28"/>
          <w:szCs w:val="28"/>
        </w:rPr>
        <w:t>[15]</w:t>
      </w:r>
      <w:r w:rsidRPr="00277C14">
        <w:rPr>
          <w:sz w:val="28"/>
          <w:szCs w:val="28"/>
        </w:rPr>
        <w:tab/>
      </w:r>
      <w:r w:rsidR="00F242C4" w:rsidRPr="00F24D0A">
        <w:rPr>
          <w:sz w:val="28"/>
          <w:szCs w:val="28"/>
        </w:rPr>
        <w:t>This was assailed on two fronts.</w:t>
      </w:r>
      <w:r w:rsidR="003951CA" w:rsidRPr="00F24D0A">
        <w:rPr>
          <w:sz w:val="28"/>
          <w:szCs w:val="28"/>
        </w:rPr>
        <w:t xml:space="preserve"> First, that the enti</w:t>
      </w:r>
      <w:r w:rsidR="0076083C" w:rsidRPr="00F24D0A">
        <w:rPr>
          <w:sz w:val="28"/>
          <w:szCs w:val="28"/>
        </w:rPr>
        <w:t xml:space="preserve">ty which purported to cancel the tender lacked the authority to do so. Secondly, that the basis for cancellation did not comply with the provisions of </w:t>
      </w:r>
      <w:r w:rsidR="00375C34" w:rsidRPr="00F24D0A">
        <w:rPr>
          <w:sz w:val="28"/>
          <w:szCs w:val="28"/>
        </w:rPr>
        <w:t>Regulation 13</w:t>
      </w:r>
      <w:r w:rsidR="00375C34" w:rsidRPr="00F24D0A">
        <w:rPr>
          <w:bCs/>
          <w:sz w:val="28"/>
          <w:szCs w:val="28"/>
        </w:rPr>
        <w:t>(1) of the Preferential Procurement Policy Framework Act 5 of 2000.</w:t>
      </w:r>
      <w:r w:rsidR="00085914" w:rsidRPr="009E70DA">
        <w:rPr>
          <w:rStyle w:val="FootnoteReference"/>
          <w:sz w:val="28"/>
          <w:szCs w:val="28"/>
        </w:rPr>
        <w:footnoteReference w:id="2"/>
      </w:r>
    </w:p>
    <w:p w14:paraId="64AEB54C" w14:textId="77777777" w:rsidR="00277C14" w:rsidRDefault="00277C14" w:rsidP="00277C14">
      <w:pPr>
        <w:spacing w:line="360" w:lineRule="auto"/>
        <w:jc w:val="both"/>
        <w:rPr>
          <w:b/>
          <w:bCs/>
          <w:i/>
          <w:iCs/>
          <w:sz w:val="28"/>
          <w:szCs w:val="28"/>
        </w:rPr>
      </w:pPr>
    </w:p>
    <w:p w14:paraId="394A40F0" w14:textId="5A0DF64C" w:rsidR="00277C14" w:rsidRPr="00277C14" w:rsidRDefault="00277C14" w:rsidP="00277C14">
      <w:pPr>
        <w:spacing w:line="360" w:lineRule="auto"/>
        <w:jc w:val="both"/>
        <w:rPr>
          <w:b/>
          <w:bCs/>
          <w:i/>
          <w:iCs/>
          <w:sz w:val="28"/>
          <w:szCs w:val="28"/>
        </w:rPr>
      </w:pPr>
      <w:r w:rsidRPr="00277C14">
        <w:rPr>
          <w:b/>
          <w:bCs/>
          <w:i/>
          <w:iCs/>
          <w:sz w:val="28"/>
          <w:szCs w:val="28"/>
        </w:rPr>
        <w:t>Authority to cancel</w:t>
      </w:r>
    </w:p>
    <w:p w14:paraId="1D67E176" w14:textId="4046339C" w:rsidR="000900AD" w:rsidRPr="00F24D0A" w:rsidRDefault="00F24D0A" w:rsidP="00F24D0A">
      <w:pPr>
        <w:spacing w:line="360" w:lineRule="auto"/>
        <w:jc w:val="both"/>
        <w:rPr>
          <w:sz w:val="28"/>
          <w:szCs w:val="28"/>
        </w:rPr>
      </w:pPr>
      <w:r>
        <w:rPr>
          <w:sz w:val="28"/>
          <w:szCs w:val="28"/>
        </w:rPr>
        <w:t>[16]</w:t>
      </w:r>
      <w:r>
        <w:rPr>
          <w:sz w:val="28"/>
          <w:szCs w:val="28"/>
        </w:rPr>
        <w:tab/>
      </w:r>
      <w:r w:rsidR="000900AD" w:rsidRPr="00F24D0A">
        <w:rPr>
          <w:sz w:val="28"/>
          <w:szCs w:val="28"/>
        </w:rPr>
        <w:t>FourieFismer argued that the decision to cancel the tender was taken by the CEO and not the Board</w:t>
      </w:r>
      <w:r w:rsidR="00355E43" w:rsidRPr="00F24D0A">
        <w:rPr>
          <w:sz w:val="28"/>
          <w:szCs w:val="28"/>
        </w:rPr>
        <w:t>.</w:t>
      </w:r>
      <w:r w:rsidR="000900AD" w:rsidRPr="00F24D0A">
        <w:rPr>
          <w:sz w:val="28"/>
          <w:szCs w:val="28"/>
        </w:rPr>
        <w:t xml:space="preserve"> Further, that since the Board had not taken the decision to cancel the tender, its subsequent ratification</w:t>
      </w:r>
      <w:r w:rsidR="00DA20EB" w:rsidRPr="00F24D0A">
        <w:rPr>
          <w:sz w:val="28"/>
          <w:szCs w:val="28"/>
        </w:rPr>
        <w:t xml:space="preserve">, which was admitted, </w:t>
      </w:r>
      <w:r w:rsidR="000900AD" w:rsidRPr="00F24D0A">
        <w:rPr>
          <w:sz w:val="28"/>
          <w:szCs w:val="28"/>
        </w:rPr>
        <w:t>could not validate that decision.</w:t>
      </w:r>
    </w:p>
    <w:p w14:paraId="3BF18A87" w14:textId="77777777" w:rsidR="00277C14" w:rsidRDefault="00277C14" w:rsidP="00277C14">
      <w:pPr>
        <w:pStyle w:val="ListParagraph"/>
        <w:spacing w:line="360" w:lineRule="auto"/>
        <w:ind w:left="0"/>
        <w:jc w:val="both"/>
        <w:rPr>
          <w:sz w:val="28"/>
          <w:szCs w:val="28"/>
        </w:rPr>
      </w:pPr>
    </w:p>
    <w:p w14:paraId="045906A2" w14:textId="43699296" w:rsidR="00B50A2D" w:rsidRPr="00F24D0A" w:rsidRDefault="00F24D0A" w:rsidP="00F24D0A">
      <w:pPr>
        <w:spacing w:line="360" w:lineRule="auto"/>
        <w:jc w:val="both"/>
        <w:rPr>
          <w:sz w:val="28"/>
          <w:szCs w:val="28"/>
        </w:rPr>
      </w:pPr>
      <w:r>
        <w:rPr>
          <w:sz w:val="28"/>
          <w:szCs w:val="28"/>
        </w:rPr>
        <w:t>[17]</w:t>
      </w:r>
      <w:r>
        <w:rPr>
          <w:sz w:val="28"/>
          <w:szCs w:val="28"/>
        </w:rPr>
        <w:tab/>
      </w:r>
      <w:r w:rsidR="000900AD" w:rsidRPr="00F24D0A">
        <w:rPr>
          <w:sz w:val="28"/>
          <w:szCs w:val="28"/>
        </w:rPr>
        <w:t>Despite the su</w:t>
      </w:r>
      <w:r w:rsidR="00DA20EB" w:rsidRPr="00F24D0A">
        <w:rPr>
          <w:sz w:val="28"/>
          <w:szCs w:val="28"/>
        </w:rPr>
        <w:t>bmission</w:t>
      </w:r>
      <w:r w:rsidR="000900AD" w:rsidRPr="00F24D0A">
        <w:rPr>
          <w:sz w:val="28"/>
          <w:szCs w:val="28"/>
        </w:rPr>
        <w:t xml:space="preserve"> that the CEO took the decision, the evidence is </w:t>
      </w:r>
      <w:r w:rsidR="00355E43" w:rsidRPr="00F24D0A">
        <w:rPr>
          <w:sz w:val="28"/>
          <w:szCs w:val="28"/>
        </w:rPr>
        <w:t xml:space="preserve">clear </w:t>
      </w:r>
      <w:r w:rsidR="000900AD" w:rsidRPr="00F24D0A">
        <w:rPr>
          <w:sz w:val="28"/>
          <w:szCs w:val="28"/>
        </w:rPr>
        <w:t xml:space="preserve">that </w:t>
      </w:r>
      <w:r w:rsidR="00D07352" w:rsidRPr="00F24D0A">
        <w:rPr>
          <w:sz w:val="28"/>
          <w:szCs w:val="28"/>
        </w:rPr>
        <w:t>t</w:t>
      </w:r>
      <w:r w:rsidR="000900AD" w:rsidRPr="00F24D0A">
        <w:rPr>
          <w:sz w:val="28"/>
          <w:szCs w:val="28"/>
        </w:rPr>
        <w:t>he</w:t>
      </w:r>
      <w:r w:rsidR="00D07352" w:rsidRPr="00F24D0A">
        <w:rPr>
          <w:sz w:val="28"/>
          <w:szCs w:val="28"/>
        </w:rPr>
        <w:t xml:space="preserve"> BAC</w:t>
      </w:r>
      <w:r w:rsidR="000900AD" w:rsidRPr="00F24D0A">
        <w:rPr>
          <w:sz w:val="28"/>
          <w:szCs w:val="28"/>
        </w:rPr>
        <w:t xml:space="preserve"> did</w:t>
      </w:r>
      <w:r w:rsidR="00D07352" w:rsidRPr="00F24D0A">
        <w:rPr>
          <w:sz w:val="28"/>
          <w:szCs w:val="28"/>
        </w:rPr>
        <w:t xml:space="preserve"> so</w:t>
      </w:r>
      <w:r w:rsidR="002B47BC" w:rsidRPr="00F24D0A">
        <w:rPr>
          <w:sz w:val="28"/>
          <w:szCs w:val="28"/>
        </w:rPr>
        <w:t xml:space="preserve"> after the CEO</w:t>
      </w:r>
      <w:r w:rsidR="007148C3" w:rsidRPr="00F24D0A">
        <w:rPr>
          <w:sz w:val="28"/>
          <w:szCs w:val="28"/>
        </w:rPr>
        <w:t xml:space="preserve"> proposed the cancellation</w:t>
      </w:r>
      <w:r w:rsidR="00D07352" w:rsidRPr="00F24D0A">
        <w:rPr>
          <w:sz w:val="28"/>
          <w:szCs w:val="28"/>
        </w:rPr>
        <w:t xml:space="preserve">. </w:t>
      </w:r>
      <w:r w:rsidR="00CB1BF8" w:rsidRPr="00F24D0A">
        <w:rPr>
          <w:sz w:val="28"/>
          <w:szCs w:val="28"/>
        </w:rPr>
        <w:t>The decision was communicated to the panel attorneys on 26 February 20</w:t>
      </w:r>
      <w:r w:rsidR="008623BE" w:rsidRPr="00F24D0A">
        <w:rPr>
          <w:sz w:val="28"/>
          <w:szCs w:val="28"/>
        </w:rPr>
        <w:t xml:space="preserve">20. </w:t>
      </w:r>
      <w:r w:rsidR="00111C3B" w:rsidRPr="00F24D0A">
        <w:rPr>
          <w:sz w:val="28"/>
          <w:szCs w:val="28"/>
        </w:rPr>
        <w:t xml:space="preserve">The power to </w:t>
      </w:r>
      <w:r w:rsidR="00E12EA1" w:rsidRPr="00F24D0A">
        <w:rPr>
          <w:sz w:val="28"/>
          <w:szCs w:val="28"/>
        </w:rPr>
        <w:t>cancel</w:t>
      </w:r>
      <w:r w:rsidR="00111C3B" w:rsidRPr="00F24D0A">
        <w:rPr>
          <w:sz w:val="28"/>
          <w:szCs w:val="28"/>
        </w:rPr>
        <w:t xml:space="preserve"> had been delegated to </w:t>
      </w:r>
      <w:r w:rsidR="00926E2F" w:rsidRPr="00F24D0A">
        <w:rPr>
          <w:sz w:val="28"/>
          <w:szCs w:val="28"/>
        </w:rPr>
        <w:t>the BAC</w:t>
      </w:r>
      <w:r w:rsidR="00111C3B" w:rsidRPr="00F24D0A">
        <w:rPr>
          <w:sz w:val="28"/>
          <w:szCs w:val="28"/>
        </w:rPr>
        <w:t xml:space="preserve"> by the Board </w:t>
      </w:r>
      <w:r w:rsidR="004019F8" w:rsidRPr="00F24D0A">
        <w:rPr>
          <w:sz w:val="28"/>
          <w:szCs w:val="28"/>
        </w:rPr>
        <w:t xml:space="preserve">in 2015 </w:t>
      </w:r>
      <w:r w:rsidR="000900AD" w:rsidRPr="00F24D0A">
        <w:rPr>
          <w:sz w:val="28"/>
          <w:szCs w:val="28"/>
        </w:rPr>
        <w:t xml:space="preserve">in accordance with items 8 and 9 of the </w:t>
      </w:r>
      <w:r w:rsidR="00740BEA" w:rsidRPr="00F24D0A">
        <w:rPr>
          <w:sz w:val="28"/>
          <w:szCs w:val="28"/>
        </w:rPr>
        <w:t>RAF</w:t>
      </w:r>
      <w:r w:rsidR="000900AD" w:rsidRPr="00F24D0A">
        <w:rPr>
          <w:sz w:val="28"/>
          <w:szCs w:val="28"/>
        </w:rPr>
        <w:t>’s Supply Chain Management Policy.</w:t>
      </w:r>
      <w:r w:rsidR="000900AD" w:rsidRPr="006B5398">
        <w:rPr>
          <w:rStyle w:val="FootnoteReference"/>
          <w:sz w:val="28"/>
          <w:szCs w:val="28"/>
        </w:rPr>
        <w:footnoteReference w:id="3"/>
      </w:r>
      <w:r w:rsidR="000900AD" w:rsidRPr="00F24D0A">
        <w:rPr>
          <w:sz w:val="28"/>
          <w:szCs w:val="28"/>
        </w:rPr>
        <w:t xml:space="preserve"> </w:t>
      </w:r>
      <w:r w:rsidR="00DD577A" w:rsidRPr="00F24D0A">
        <w:rPr>
          <w:sz w:val="28"/>
          <w:szCs w:val="28"/>
        </w:rPr>
        <w:t xml:space="preserve">This much was accepted by the panel attorneys. </w:t>
      </w:r>
      <w:r w:rsidR="00402519" w:rsidRPr="00F24D0A">
        <w:rPr>
          <w:sz w:val="28"/>
          <w:szCs w:val="28"/>
        </w:rPr>
        <w:t>Section 11(1)(</w:t>
      </w:r>
      <w:r w:rsidR="00402519" w:rsidRPr="00F24D0A">
        <w:rPr>
          <w:i/>
          <w:sz w:val="28"/>
          <w:szCs w:val="28"/>
        </w:rPr>
        <w:t>h</w:t>
      </w:r>
      <w:r w:rsidR="00402519" w:rsidRPr="00F24D0A">
        <w:rPr>
          <w:sz w:val="28"/>
          <w:szCs w:val="28"/>
        </w:rPr>
        <w:t xml:space="preserve">) of the RAF Act empowers the Board to withdraw or amend any decision made by virtue of its delegation. </w:t>
      </w:r>
      <w:r w:rsidR="00661B27" w:rsidRPr="00F24D0A">
        <w:rPr>
          <w:sz w:val="28"/>
          <w:szCs w:val="28"/>
        </w:rPr>
        <w:t>The cancellation was subsequently discussed at a Board meeting on 27 February 2020 and was not withdrawn or amended.</w:t>
      </w:r>
    </w:p>
    <w:p w14:paraId="46958B55" w14:textId="77777777" w:rsidR="00B50A2D" w:rsidRDefault="00661B27" w:rsidP="00B50A2D">
      <w:pPr>
        <w:pStyle w:val="ListParagraph"/>
        <w:spacing w:line="360" w:lineRule="auto"/>
        <w:ind w:left="0"/>
        <w:jc w:val="both"/>
        <w:rPr>
          <w:sz w:val="28"/>
          <w:szCs w:val="28"/>
        </w:rPr>
      </w:pPr>
      <w:r w:rsidRPr="00277C14">
        <w:rPr>
          <w:sz w:val="28"/>
          <w:szCs w:val="28"/>
        </w:rPr>
        <w:t xml:space="preserve"> </w:t>
      </w:r>
    </w:p>
    <w:p w14:paraId="2620D95E" w14:textId="04B98CC1" w:rsidR="00CB0DC8" w:rsidRPr="00F24D0A" w:rsidRDefault="00F24D0A" w:rsidP="00F24D0A">
      <w:pPr>
        <w:spacing w:line="360" w:lineRule="auto"/>
        <w:jc w:val="both"/>
        <w:rPr>
          <w:sz w:val="28"/>
          <w:szCs w:val="28"/>
        </w:rPr>
      </w:pPr>
      <w:r>
        <w:rPr>
          <w:sz w:val="28"/>
          <w:szCs w:val="28"/>
        </w:rPr>
        <w:lastRenderedPageBreak/>
        <w:t>[18]</w:t>
      </w:r>
      <w:r>
        <w:rPr>
          <w:sz w:val="28"/>
          <w:szCs w:val="28"/>
        </w:rPr>
        <w:tab/>
      </w:r>
      <w:r w:rsidR="000900AD" w:rsidRPr="00F24D0A">
        <w:rPr>
          <w:sz w:val="28"/>
          <w:szCs w:val="28"/>
        </w:rPr>
        <w:t xml:space="preserve">The </w:t>
      </w:r>
      <w:r w:rsidR="002632EE" w:rsidRPr="00F24D0A">
        <w:rPr>
          <w:sz w:val="28"/>
          <w:szCs w:val="28"/>
        </w:rPr>
        <w:t xml:space="preserve">high </w:t>
      </w:r>
      <w:r w:rsidR="000900AD" w:rsidRPr="00F24D0A">
        <w:rPr>
          <w:sz w:val="28"/>
          <w:szCs w:val="28"/>
        </w:rPr>
        <w:t>court</w:t>
      </w:r>
      <w:r w:rsidR="002632EE" w:rsidRPr="00F24D0A">
        <w:rPr>
          <w:sz w:val="28"/>
          <w:szCs w:val="28"/>
        </w:rPr>
        <w:t xml:space="preserve"> </w:t>
      </w:r>
      <w:r w:rsidR="000900AD" w:rsidRPr="00F24D0A">
        <w:rPr>
          <w:sz w:val="28"/>
          <w:szCs w:val="28"/>
        </w:rPr>
        <w:t xml:space="preserve">held that, because a new Board had been </w:t>
      </w:r>
      <w:r w:rsidR="004019F8" w:rsidRPr="00F24D0A">
        <w:rPr>
          <w:sz w:val="28"/>
          <w:szCs w:val="28"/>
        </w:rPr>
        <w:t>appointed</w:t>
      </w:r>
      <w:r w:rsidR="007148C3" w:rsidRPr="00F24D0A">
        <w:rPr>
          <w:sz w:val="28"/>
          <w:szCs w:val="28"/>
        </w:rPr>
        <w:t xml:space="preserve"> after </w:t>
      </w:r>
      <w:r w:rsidR="00DD577A" w:rsidRPr="00F24D0A">
        <w:rPr>
          <w:sz w:val="28"/>
          <w:szCs w:val="28"/>
        </w:rPr>
        <w:t>the</w:t>
      </w:r>
      <w:r w:rsidR="007148C3" w:rsidRPr="00F24D0A">
        <w:rPr>
          <w:sz w:val="28"/>
          <w:szCs w:val="28"/>
        </w:rPr>
        <w:t xml:space="preserve"> delegation</w:t>
      </w:r>
      <w:r w:rsidR="00DD577A" w:rsidRPr="00F24D0A">
        <w:rPr>
          <w:sz w:val="28"/>
          <w:szCs w:val="28"/>
        </w:rPr>
        <w:t xml:space="preserve"> </w:t>
      </w:r>
      <w:r w:rsidR="0089683F" w:rsidRPr="00F24D0A">
        <w:rPr>
          <w:sz w:val="28"/>
          <w:szCs w:val="28"/>
        </w:rPr>
        <w:t>had been made</w:t>
      </w:r>
      <w:r w:rsidR="000900AD" w:rsidRPr="00F24D0A">
        <w:rPr>
          <w:sz w:val="28"/>
          <w:szCs w:val="28"/>
        </w:rPr>
        <w:t>, the legal effect was that the delegation fell away.</w:t>
      </w:r>
      <w:r w:rsidR="002632EE" w:rsidRPr="00F24D0A">
        <w:rPr>
          <w:sz w:val="28"/>
          <w:szCs w:val="28"/>
        </w:rPr>
        <w:t xml:space="preserve"> In this, the high court clearly erred.</w:t>
      </w:r>
      <w:r w:rsidR="000900AD" w:rsidRPr="00F24D0A">
        <w:rPr>
          <w:sz w:val="28"/>
          <w:szCs w:val="28"/>
        </w:rPr>
        <w:t xml:space="preserve"> The fact that the delegation was made by </w:t>
      </w:r>
      <w:r w:rsidR="0089683F" w:rsidRPr="00F24D0A">
        <w:rPr>
          <w:sz w:val="28"/>
          <w:szCs w:val="28"/>
        </w:rPr>
        <w:t>a</w:t>
      </w:r>
      <w:r w:rsidR="000900AD" w:rsidRPr="00F24D0A">
        <w:rPr>
          <w:sz w:val="28"/>
          <w:szCs w:val="28"/>
        </w:rPr>
        <w:t xml:space="preserve"> previous Board </w:t>
      </w:r>
      <w:r w:rsidR="002632EE" w:rsidRPr="00F24D0A">
        <w:rPr>
          <w:sz w:val="28"/>
          <w:szCs w:val="28"/>
        </w:rPr>
        <w:t xml:space="preserve">is of no moment. </w:t>
      </w:r>
      <w:r w:rsidR="00DA20EB" w:rsidRPr="00F24D0A">
        <w:rPr>
          <w:sz w:val="28"/>
          <w:szCs w:val="28"/>
        </w:rPr>
        <w:t xml:space="preserve">The appointment of a new Board </w:t>
      </w:r>
      <w:r w:rsidR="000900AD" w:rsidRPr="00F24D0A">
        <w:rPr>
          <w:sz w:val="28"/>
          <w:szCs w:val="28"/>
        </w:rPr>
        <w:t xml:space="preserve">does not invalidate </w:t>
      </w:r>
      <w:r w:rsidR="00DA20EB" w:rsidRPr="00F24D0A">
        <w:rPr>
          <w:sz w:val="28"/>
          <w:szCs w:val="28"/>
        </w:rPr>
        <w:t>a</w:t>
      </w:r>
      <w:r w:rsidR="000900AD" w:rsidRPr="00F24D0A">
        <w:rPr>
          <w:sz w:val="28"/>
          <w:szCs w:val="28"/>
        </w:rPr>
        <w:t xml:space="preserve"> delegation</w:t>
      </w:r>
      <w:r w:rsidR="00DA20EB" w:rsidRPr="00F24D0A">
        <w:rPr>
          <w:sz w:val="28"/>
          <w:szCs w:val="28"/>
        </w:rPr>
        <w:t xml:space="preserve"> by a previous Board</w:t>
      </w:r>
      <w:r w:rsidR="000900AD" w:rsidRPr="00F24D0A">
        <w:rPr>
          <w:sz w:val="28"/>
          <w:szCs w:val="28"/>
        </w:rPr>
        <w:t xml:space="preserve">. The delegation remains </w:t>
      </w:r>
      <w:r w:rsidR="00161B71" w:rsidRPr="00F24D0A">
        <w:rPr>
          <w:sz w:val="28"/>
          <w:szCs w:val="28"/>
        </w:rPr>
        <w:t xml:space="preserve">effective </w:t>
      </w:r>
      <w:r w:rsidR="000900AD" w:rsidRPr="00F24D0A">
        <w:rPr>
          <w:sz w:val="28"/>
          <w:szCs w:val="28"/>
        </w:rPr>
        <w:t xml:space="preserve">until it is withdrawn or terminated. </w:t>
      </w:r>
      <w:r w:rsidR="00DA20EB" w:rsidRPr="00F24D0A">
        <w:rPr>
          <w:sz w:val="28"/>
          <w:szCs w:val="28"/>
        </w:rPr>
        <w:t xml:space="preserve">The contention that the BAC lacked the requisite authority to cancel </w:t>
      </w:r>
      <w:r w:rsidR="00DD577A" w:rsidRPr="00F24D0A">
        <w:rPr>
          <w:sz w:val="28"/>
          <w:szCs w:val="28"/>
        </w:rPr>
        <w:t xml:space="preserve">the tender </w:t>
      </w:r>
      <w:r w:rsidR="00DA20EB" w:rsidRPr="00F24D0A">
        <w:rPr>
          <w:sz w:val="28"/>
          <w:szCs w:val="28"/>
        </w:rPr>
        <w:t>is devoid of merit.</w:t>
      </w:r>
    </w:p>
    <w:p w14:paraId="1D659D7E" w14:textId="77777777" w:rsidR="003010F0" w:rsidRDefault="003010F0" w:rsidP="00B50A2D">
      <w:pPr>
        <w:spacing w:line="360" w:lineRule="auto"/>
        <w:jc w:val="both"/>
        <w:rPr>
          <w:b/>
          <w:bCs/>
          <w:i/>
          <w:iCs/>
          <w:sz w:val="28"/>
          <w:szCs w:val="28"/>
        </w:rPr>
      </w:pPr>
    </w:p>
    <w:p w14:paraId="26E051B3" w14:textId="12F35DE4" w:rsidR="00B50A2D" w:rsidRPr="00B50A2D" w:rsidRDefault="00B50A2D" w:rsidP="00B50A2D">
      <w:pPr>
        <w:spacing w:line="360" w:lineRule="auto"/>
        <w:jc w:val="both"/>
        <w:rPr>
          <w:b/>
          <w:bCs/>
          <w:i/>
          <w:iCs/>
        </w:rPr>
      </w:pPr>
      <w:r w:rsidRPr="00B50A2D">
        <w:rPr>
          <w:b/>
          <w:bCs/>
          <w:i/>
          <w:iCs/>
          <w:sz w:val="28"/>
          <w:szCs w:val="28"/>
        </w:rPr>
        <w:t>Compliance with Regulation 13(1)</w:t>
      </w:r>
    </w:p>
    <w:p w14:paraId="31F9FBF2" w14:textId="49DD2567" w:rsidR="00B27DF2" w:rsidRPr="00F24D0A" w:rsidRDefault="00F24D0A" w:rsidP="00F24D0A">
      <w:pPr>
        <w:spacing w:line="360" w:lineRule="auto"/>
        <w:jc w:val="both"/>
        <w:rPr>
          <w:sz w:val="28"/>
          <w:szCs w:val="28"/>
        </w:rPr>
      </w:pPr>
      <w:r>
        <w:rPr>
          <w:sz w:val="28"/>
          <w:szCs w:val="28"/>
        </w:rPr>
        <w:t>[19]</w:t>
      </w:r>
      <w:r>
        <w:rPr>
          <w:sz w:val="28"/>
          <w:szCs w:val="28"/>
        </w:rPr>
        <w:tab/>
      </w:r>
      <w:r w:rsidR="00545580" w:rsidRPr="00F24D0A">
        <w:rPr>
          <w:sz w:val="28"/>
          <w:szCs w:val="28"/>
        </w:rPr>
        <w:t>The BAC</w:t>
      </w:r>
      <w:r w:rsidR="00085914" w:rsidRPr="00F24D0A">
        <w:rPr>
          <w:sz w:val="28"/>
          <w:szCs w:val="28"/>
        </w:rPr>
        <w:t xml:space="preserve"> </w:t>
      </w:r>
      <w:r w:rsidR="00545580" w:rsidRPr="00F24D0A">
        <w:rPr>
          <w:sz w:val="28"/>
          <w:szCs w:val="28"/>
        </w:rPr>
        <w:t xml:space="preserve">recorded the reasons </w:t>
      </w:r>
      <w:r w:rsidR="004A7D82" w:rsidRPr="00F24D0A">
        <w:rPr>
          <w:sz w:val="28"/>
          <w:szCs w:val="28"/>
        </w:rPr>
        <w:t xml:space="preserve">as being </w:t>
      </w:r>
      <w:r w:rsidR="00545580" w:rsidRPr="00F24D0A">
        <w:rPr>
          <w:sz w:val="28"/>
          <w:szCs w:val="28"/>
        </w:rPr>
        <w:t xml:space="preserve">in line with </w:t>
      </w:r>
      <w:r w:rsidR="00834EDA" w:rsidRPr="00F24D0A">
        <w:rPr>
          <w:sz w:val="28"/>
          <w:szCs w:val="28"/>
        </w:rPr>
        <w:t>R</w:t>
      </w:r>
      <w:r w:rsidR="00E67874" w:rsidRPr="00F24D0A">
        <w:rPr>
          <w:sz w:val="28"/>
          <w:szCs w:val="28"/>
        </w:rPr>
        <w:t>egulation 13</w:t>
      </w:r>
      <w:r w:rsidR="002A1971" w:rsidRPr="00F24D0A">
        <w:rPr>
          <w:sz w:val="28"/>
          <w:szCs w:val="28"/>
        </w:rPr>
        <w:t>(1)</w:t>
      </w:r>
      <w:r w:rsidR="00E67874" w:rsidRPr="00F24D0A">
        <w:rPr>
          <w:sz w:val="28"/>
          <w:szCs w:val="28"/>
        </w:rPr>
        <w:t xml:space="preserve"> of the Preferential Procurement Regulations of 2017</w:t>
      </w:r>
      <w:r w:rsidR="00DC3D43" w:rsidRPr="00F24D0A">
        <w:rPr>
          <w:sz w:val="28"/>
          <w:szCs w:val="28"/>
        </w:rPr>
        <w:t>.</w:t>
      </w:r>
      <w:r w:rsidR="00ED7B19" w:rsidRPr="00F24D0A">
        <w:rPr>
          <w:sz w:val="28"/>
          <w:szCs w:val="28"/>
        </w:rPr>
        <w:t xml:space="preserve"> </w:t>
      </w:r>
      <w:r w:rsidR="002A1971" w:rsidRPr="00F24D0A">
        <w:rPr>
          <w:sz w:val="28"/>
          <w:szCs w:val="28"/>
        </w:rPr>
        <w:t>That r</w:t>
      </w:r>
      <w:r w:rsidR="00B27DF2" w:rsidRPr="00F24D0A">
        <w:rPr>
          <w:sz w:val="28"/>
          <w:szCs w:val="28"/>
        </w:rPr>
        <w:t>egulation</w:t>
      </w:r>
      <w:r w:rsidR="002A1971" w:rsidRPr="00F24D0A">
        <w:rPr>
          <w:sz w:val="28"/>
          <w:szCs w:val="28"/>
        </w:rPr>
        <w:t xml:space="preserve"> </w:t>
      </w:r>
      <w:r w:rsidR="00B27DF2" w:rsidRPr="00F24D0A">
        <w:rPr>
          <w:sz w:val="28"/>
          <w:szCs w:val="28"/>
        </w:rPr>
        <w:t xml:space="preserve">provides: </w:t>
      </w:r>
    </w:p>
    <w:p w14:paraId="2F39CA5B" w14:textId="77777777" w:rsidR="007D1ABF" w:rsidRPr="006B5398" w:rsidRDefault="007D1ABF" w:rsidP="007D1ABF">
      <w:pPr>
        <w:pStyle w:val="FootnoteText"/>
        <w:spacing w:line="360" w:lineRule="auto"/>
        <w:jc w:val="both"/>
        <w:rPr>
          <w:sz w:val="24"/>
          <w:szCs w:val="24"/>
        </w:rPr>
      </w:pPr>
      <w:r w:rsidRPr="006B5398">
        <w:rPr>
          <w:sz w:val="24"/>
          <w:szCs w:val="24"/>
        </w:rPr>
        <w:t xml:space="preserve">‘(1) An organ of state may, before the award of a tender, cancel a tender invitation if- </w:t>
      </w:r>
    </w:p>
    <w:p w14:paraId="5714C5B8" w14:textId="77777777" w:rsidR="007D1ABF" w:rsidRPr="006B5398" w:rsidRDefault="007D1ABF" w:rsidP="007D1ABF">
      <w:pPr>
        <w:pStyle w:val="FootnoteText"/>
        <w:spacing w:line="360" w:lineRule="auto"/>
        <w:jc w:val="both"/>
        <w:rPr>
          <w:sz w:val="24"/>
          <w:szCs w:val="24"/>
        </w:rPr>
      </w:pPr>
      <w:r w:rsidRPr="002A1971">
        <w:rPr>
          <w:i/>
          <w:iCs/>
          <w:sz w:val="24"/>
          <w:szCs w:val="24"/>
        </w:rPr>
        <w:t>(a)</w:t>
      </w:r>
      <w:r w:rsidRPr="006B5398">
        <w:rPr>
          <w:sz w:val="24"/>
          <w:szCs w:val="24"/>
        </w:rPr>
        <w:t xml:space="preserve"> due to changed circumstances, there is no longer a need for the goods or services specified in the invitation;</w:t>
      </w:r>
    </w:p>
    <w:p w14:paraId="52F21AAE" w14:textId="77777777" w:rsidR="007D1ABF" w:rsidRPr="009E70DA" w:rsidRDefault="007D1ABF" w:rsidP="007D1ABF">
      <w:pPr>
        <w:pStyle w:val="FootnoteText"/>
        <w:spacing w:line="360" w:lineRule="auto"/>
        <w:jc w:val="both"/>
        <w:rPr>
          <w:sz w:val="24"/>
          <w:szCs w:val="24"/>
        </w:rPr>
      </w:pPr>
      <w:r w:rsidRPr="002A1971">
        <w:rPr>
          <w:i/>
          <w:iCs/>
          <w:sz w:val="24"/>
          <w:szCs w:val="24"/>
        </w:rPr>
        <w:t>(b)</w:t>
      </w:r>
      <w:r w:rsidRPr="009E70DA">
        <w:rPr>
          <w:sz w:val="24"/>
          <w:szCs w:val="24"/>
        </w:rPr>
        <w:t xml:space="preserve"> funds are no longer available to cover the total envisaged expenditure; </w:t>
      </w:r>
    </w:p>
    <w:p w14:paraId="2CF66233" w14:textId="77777777" w:rsidR="007D1ABF" w:rsidRPr="009E70DA" w:rsidRDefault="007D1ABF" w:rsidP="007D1ABF">
      <w:pPr>
        <w:pStyle w:val="FootnoteText"/>
        <w:spacing w:line="360" w:lineRule="auto"/>
        <w:jc w:val="both"/>
        <w:rPr>
          <w:sz w:val="24"/>
          <w:szCs w:val="24"/>
        </w:rPr>
      </w:pPr>
      <w:r w:rsidRPr="002A1971">
        <w:rPr>
          <w:i/>
          <w:iCs/>
          <w:sz w:val="24"/>
          <w:szCs w:val="24"/>
        </w:rPr>
        <w:t>(c)</w:t>
      </w:r>
      <w:r w:rsidRPr="009E70DA">
        <w:rPr>
          <w:sz w:val="24"/>
          <w:szCs w:val="24"/>
        </w:rPr>
        <w:t xml:space="preserve"> no acceptable tender is received; or </w:t>
      </w:r>
    </w:p>
    <w:p w14:paraId="032201F8" w14:textId="77777777" w:rsidR="007D1ABF" w:rsidRDefault="007D1ABF" w:rsidP="007D1ABF">
      <w:pPr>
        <w:pStyle w:val="FootnoteText"/>
        <w:spacing w:line="360" w:lineRule="auto"/>
        <w:jc w:val="both"/>
        <w:rPr>
          <w:sz w:val="28"/>
          <w:szCs w:val="28"/>
        </w:rPr>
      </w:pPr>
      <w:r w:rsidRPr="002A1971">
        <w:rPr>
          <w:i/>
          <w:iCs/>
          <w:sz w:val="24"/>
          <w:szCs w:val="24"/>
        </w:rPr>
        <w:t>(d)</w:t>
      </w:r>
      <w:r w:rsidRPr="009E70DA">
        <w:rPr>
          <w:sz w:val="24"/>
          <w:szCs w:val="24"/>
        </w:rPr>
        <w:t xml:space="preserve"> there is a material irregularity in the tender process’. </w:t>
      </w:r>
    </w:p>
    <w:p w14:paraId="3A976AA2" w14:textId="77777777" w:rsidR="003010F0" w:rsidRDefault="003010F0" w:rsidP="007D1ABF">
      <w:pPr>
        <w:pStyle w:val="ListParagraph"/>
        <w:spacing w:line="360" w:lineRule="auto"/>
        <w:ind w:left="0"/>
        <w:jc w:val="both"/>
        <w:rPr>
          <w:sz w:val="28"/>
          <w:szCs w:val="28"/>
        </w:rPr>
      </w:pPr>
    </w:p>
    <w:p w14:paraId="52A7F22D" w14:textId="031975DD" w:rsidR="00F23AA3" w:rsidRPr="00F24D0A" w:rsidRDefault="00F24D0A" w:rsidP="00F24D0A">
      <w:pPr>
        <w:spacing w:line="360" w:lineRule="auto"/>
        <w:jc w:val="both"/>
        <w:rPr>
          <w:sz w:val="28"/>
          <w:szCs w:val="28"/>
        </w:rPr>
      </w:pPr>
      <w:r>
        <w:rPr>
          <w:sz w:val="28"/>
          <w:szCs w:val="28"/>
        </w:rPr>
        <w:t>[20]</w:t>
      </w:r>
      <w:r>
        <w:rPr>
          <w:sz w:val="28"/>
          <w:szCs w:val="28"/>
        </w:rPr>
        <w:tab/>
      </w:r>
      <w:r w:rsidR="005053DA" w:rsidRPr="00F24D0A">
        <w:rPr>
          <w:sz w:val="28"/>
          <w:szCs w:val="28"/>
        </w:rPr>
        <w:t xml:space="preserve">In </w:t>
      </w:r>
      <w:r w:rsidR="005053DA" w:rsidRPr="00F24D0A">
        <w:rPr>
          <w:i/>
          <w:iCs/>
          <w:sz w:val="28"/>
          <w:szCs w:val="28"/>
        </w:rPr>
        <w:t>Trencon Construction (Pty) Ltd v Industrial Development Corporation of South Africa Limited and Another</w:t>
      </w:r>
      <w:r w:rsidR="005053DA" w:rsidRPr="00F24D0A">
        <w:rPr>
          <w:sz w:val="28"/>
          <w:szCs w:val="28"/>
        </w:rPr>
        <w:t>,</w:t>
      </w:r>
      <w:r w:rsidR="005053DA" w:rsidRPr="0056563A">
        <w:rPr>
          <w:rStyle w:val="FootnoteReference"/>
          <w:sz w:val="28"/>
          <w:szCs w:val="28"/>
        </w:rPr>
        <w:footnoteReference w:id="4"/>
      </w:r>
      <w:r w:rsidR="005053DA" w:rsidRPr="00F24D0A">
        <w:rPr>
          <w:i/>
          <w:iCs/>
          <w:sz w:val="28"/>
          <w:szCs w:val="28"/>
        </w:rPr>
        <w:t xml:space="preserve"> </w:t>
      </w:r>
      <w:r w:rsidR="005053DA" w:rsidRPr="00F24D0A">
        <w:rPr>
          <w:sz w:val="28"/>
          <w:szCs w:val="28"/>
        </w:rPr>
        <w:t xml:space="preserve">the </w:t>
      </w:r>
      <w:r w:rsidR="0000722D" w:rsidRPr="00F24D0A">
        <w:rPr>
          <w:sz w:val="28"/>
          <w:szCs w:val="28"/>
        </w:rPr>
        <w:t>Constitutional C</w:t>
      </w:r>
      <w:r w:rsidR="005053DA" w:rsidRPr="00F24D0A">
        <w:rPr>
          <w:sz w:val="28"/>
          <w:szCs w:val="28"/>
        </w:rPr>
        <w:t>ourt</w:t>
      </w:r>
      <w:r w:rsidR="0000722D" w:rsidRPr="00F24D0A">
        <w:rPr>
          <w:sz w:val="28"/>
          <w:szCs w:val="28"/>
        </w:rPr>
        <w:t xml:space="preserve"> stated</w:t>
      </w:r>
      <w:r w:rsidR="005053DA" w:rsidRPr="00F24D0A">
        <w:rPr>
          <w:sz w:val="28"/>
          <w:szCs w:val="28"/>
        </w:rPr>
        <w:t xml:space="preserve"> that a public body can only cancel a tender if one of the grounds </w:t>
      </w:r>
      <w:r w:rsidR="008935AC" w:rsidRPr="00F24D0A">
        <w:rPr>
          <w:sz w:val="28"/>
          <w:szCs w:val="28"/>
        </w:rPr>
        <w:t xml:space="preserve">existed which was </w:t>
      </w:r>
      <w:r w:rsidR="005053DA" w:rsidRPr="00F24D0A">
        <w:rPr>
          <w:sz w:val="28"/>
          <w:szCs w:val="28"/>
        </w:rPr>
        <w:t xml:space="preserve">stipulated in </w:t>
      </w:r>
      <w:r w:rsidR="0000722D" w:rsidRPr="00F24D0A">
        <w:rPr>
          <w:sz w:val="28"/>
          <w:szCs w:val="28"/>
        </w:rPr>
        <w:t>the regulation at th</w:t>
      </w:r>
      <w:r w:rsidR="0067384E" w:rsidRPr="00F24D0A">
        <w:rPr>
          <w:sz w:val="28"/>
          <w:szCs w:val="28"/>
        </w:rPr>
        <w:t>e time</w:t>
      </w:r>
      <w:r w:rsidR="008935AC" w:rsidRPr="00F24D0A">
        <w:rPr>
          <w:sz w:val="28"/>
          <w:szCs w:val="28"/>
        </w:rPr>
        <w:t>. This read as does</w:t>
      </w:r>
      <w:r w:rsidR="0067384E" w:rsidRPr="00F24D0A">
        <w:rPr>
          <w:sz w:val="28"/>
          <w:szCs w:val="28"/>
        </w:rPr>
        <w:t xml:space="preserve"> </w:t>
      </w:r>
      <w:r w:rsidR="004C7C34" w:rsidRPr="00F24D0A">
        <w:rPr>
          <w:sz w:val="28"/>
          <w:szCs w:val="28"/>
        </w:rPr>
        <w:t xml:space="preserve">the present </w:t>
      </w:r>
      <w:r w:rsidR="005053DA" w:rsidRPr="00F24D0A">
        <w:rPr>
          <w:sz w:val="28"/>
          <w:szCs w:val="28"/>
        </w:rPr>
        <w:t>Regulation 13</w:t>
      </w:r>
      <w:r w:rsidR="004C7C34" w:rsidRPr="00F24D0A">
        <w:rPr>
          <w:sz w:val="28"/>
          <w:szCs w:val="28"/>
        </w:rPr>
        <w:t>.</w:t>
      </w:r>
      <w:r w:rsidR="00F23AA3" w:rsidRPr="00F24D0A">
        <w:rPr>
          <w:sz w:val="28"/>
          <w:szCs w:val="28"/>
        </w:rPr>
        <w:t xml:space="preserve"> However, this </w:t>
      </w:r>
      <w:r w:rsidR="007D1ABF" w:rsidRPr="00F24D0A">
        <w:rPr>
          <w:sz w:val="28"/>
          <w:szCs w:val="28"/>
        </w:rPr>
        <w:t>C</w:t>
      </w:r>
      <w:r w:rsidR="00F23AA3" w:rsidRPr="00F24D0A">
        <w:rPr>
          <w:sz w:val="28"/>
          <w:szCs w:val="28"/>
        </w:rPr>
        <w:t xml:space="preserve">ourt </w:t>
      </w:r>
      <w:r w:rsidR="008935AC" w:rsidRPr="00F24D0A">
        <w:rPr>
          <w:sz w:val="28"/>
          <w:szCs w:val="28"/>
        </w:rPr>
        <w:t xml:space="preserve">doubted that </w:t>
      </w:r>
      <w:r w:rsidR="008935AC" w:rsidRPr="00F24D0A">
        <w:rPr>
          <w:i/>
          <w:iCs/>
          <w:sz w:val="28"/>
          <w:szCs w:val="28"/>
        </w:rPr>
        <w:t>dictum</w:t>
      </w:r>
      <w:r w:rsidR="008935AC" w:rsidRPr="00F24D0A">
        <w:rPr>
          <w:sz w:val="28"/>
          <w:szCs w:val="28"/>
        </w:rPr>
        <w:t xml:space="preserve"> and </w:t>
      </w:r>
      <w:r w:rsidR="00F23AA3" w:rsidRPr="00F24D0A">
        <w:rPr>
          <w:sz w:val="28"/>
          <w:szCs w:val="28"/>
        </w:rPr>
        <w:t xml:space="preserve">distinguished that matter in </w:t>
      </w:r>
      <w:r w:rsidR="00B17B2C" w:rsidRPr="00F24D0A">
        <w:rPr>
          <w:i/>
          <w:iCs/>
          <w:sz w:val="28"/>
          <w:szCs w:val="28"/>
        </w:rPr>
        <w:t>Tshwane City and Others v Nambiti T</w:t>
      </w:r>
      <w:r w:rsidR="00F02C9B" w:rsidRPr="00F24D0A">
        <w:rPr>
          <w:i/>
          <w:iCs/>
          <w:sz w:val="28"/>
          <w:szCs w:val="28"/>
        </w:rPr>
        <w:t>echnologies</w:t>
      </w:r>
      <w:r w:rsidR="00B17B2C" w:rsidRPr="00F24D0A">
        <w:rPr>
          <w:i/>
          <w:iCs/>
          <w:sz w:val="28"/>
          <w:szCs w:val="28"/>
        </w:rPr>
        <w:t xml:space="preserve"> (P</w:t>
      </w:r>
      <w:r w:rsidR="00F02C9B" w:rsidRPr="00F24D0A">
        <w:rPr>
          <w:i/>
          <w:iCs/>
          <w:sz w:val="28"/>
          <w:szCs w:val="28"/>
        </w:rPr>
        <w:t>ty</w:t>
      </w:r>
      <w:r w:rsidR="00B17B2C" w:rsidRPr="00F24D0A">
        <w:rPr>
          <w:i/>
          <w:iCs/>
          <w:sz w:val="28"/>
          <w:szCs w:val="28"/>
        </w:rPr>
        <w:t>) L</w:t>
      </w:r>
      <w:r w:rsidR="00F02C9B" w:rsidRPr="00F24D0A">
        <w:rPr>
          <w:i/>
          <w:iCs/>
          <w:sz w:val="28"/>
          <w:szCs w:val="28"/>
        </w:rPr>
        <w:t>td</w:t>
      </w:r>
      <w:r w:rsidR="00F23AA3" w:rsidRPr="00F24D0A">
        <w:rPr>
          <w:sz w:val="28"/>
          <w:szCs w:val="28"/>
        </w:rPr>
        <w:t>.</w:t>
      </w:r>
      <w:r w:rsidR="00F02C9B">
        <w:rPr>
          <w:rStyle w:val="FootnoteReference"/>
          <w:sz w:val="28"/>
          <w:szCs w:val="28"/>
        </w:rPr>
        <w:footnoteReference w:id="5"/>
      </w:r>
      <w:r w:rsidR="00F23AA3" w:rsidRPr="00F24D0A">
        <w:rPr>
          <w:sz w:val="28"/>
          <w:szCs w:val="28"/>
        </w:rPr>
        <w:t xml:space="preserve"> </w:t>
      </w:r>
      <w:r w:rsidR="001D689F" w:rsidRPr="00F24D0A">
        <w:rPr>
          <w:i/>
          <w:iCs/>
          <w:sz w:val="28"/>
          <w:szCs w:val="28"/>
        </w:rPr>
        <w:lastRenderedPageBreak/>
        <w:t>Trencon</w:t>
      </w:r>
      <w:r w:rsidR="001D689F" w:rsidRPr="00F24D0A">
        <w:rPr>
          <w:sz w:val="28"/>
          <w:szCs w:val="28"/>
        </w:rPr>
        <w:t xml:space="preserve"> involved the question of whether</w:t>
      </w:r>
      <w:r w:rsidR="001220DD" w:rsidRPr="00F24D0A">
        <w:rPr>
          <w:sz w:val="28"/>
          <w:szCs w:val="28"/>
        </w:rPr>
        <w:t xml:space="preserve"> a substitution order of one tenderer should have been made rather than with the </w:t>
      </w:r>
      <w:r w:rsidR="00D15B64" w:rsidRPr="00F24D0A">
        <w:rPr>
          <w:sz w:val="28"/>
          <w:szCs w:val="28"/>
        </w:rPr>
        <w:t>grounds</w:t>
      </w:r>
      <w:r w:rsidR="001220DD" w:rsidRPr="00F24D0A">
        <w:rPr>
          <w:sz w:val="28"/>
          <w:szCs w:val="28"/>
        </w:rPr>
        <w:t xml:space="preserve"> on which to cancel a tender. </w:t>
      </w:r>
      <w:r w:rsidR="00F23AA3" w:rsidRPr="00F24D0A">
        <w:rPr>
          <w:sz w:val="28"/>
          <w:szCs w:val="28"/>
        </w:rPr>
        <w:t>As Wallis JA explained</w:t>
      </w:r>
      <w:r w:rsidR="00924CE8" w:rsidRPr="00F24D0A">
        <w:rPr>
          <w:sz w:val="28"/>
          <w:szCs w:val="28"/>
        </w:rPr>
        <w:t xml:space="preserve"> of </w:t>
      </w:r>
      <w:r w:rsidR="00924CE8" w:rsidRPr="00F24D0A">
        <w:rPr>
          <w:i/>
          <w:iCs/>
          <w:sz w:val="28"/>
          <w:szCs w:val="28"/>
        </w:rPr>
        <w:t>Trencon</w:t>
      </w:r>
      <w:r w:rsidR="00F23AA3" w:rsidRPr="00F24D0A">
        <w:rPr>
          <w:sz w:val="28"/>
          <w:szCs w:val="28"/>
        </w:rPr>
        <w:t>:</w:t>
      </w:r>
    </w:p>
    <w:p w14:paraId="4F588299" w14:textId="77777777" w:rsidR="00FC4932" w:rsidRPr="00F23AA3" w:rsidRDefault="00FC4932" w:rsidP="00FC4932">
      <w:pPr>
        <w:pStyle w:val="ListParagraph"/>
        <w:spacing w:line="360" w:lineRule="auto"/>
        <w:ind w:left="0"/>
        <w:jc w:val="both"/>
      </w:pPr>
      <w:r w:rsidRPr="003075A5">
        <w:t>‘[T]</w:t>
      </w:r>
      <w:r w:rsidRPr="00F23AA3">
        <w:t>he reality was that a contract had been awarded and it was the intention to proceed with the work. So cancellation was not an issue. Furthermore the statement in question was based on a concession by counsel that was accepted as correct without explanation.</w:t>
      </w:r>
      <w:r w:rsidRPr="003075A5">
        <w:t>’</w:t>
      </w:r>
      <w:r>
        <w:rPr>
          <w:rStyle w:val="FootnoteReference"/>
        </w:rPr>
        <w:footnoteReference w:id="6"/>
      </w:r>
    </w:p>
    <w:p w14:paraId="119702EC" w14:textId="77777777" w:rsidR="00FC4932" w:rsidRDefault="00FC4932" w:rsidP="00FC4932">
      <w:pPr>
        <w:pStyle w:val="ListParagraph"/>
        <w:spacing w:line="360" w:lineRule="auto"/>
        <w:ind w:left="0"/>
        <w:jc w:val="both"/>
        <w:rPr>
          <w:sz w:val="28"/>
          <w:szCs w:val="28"/>
        </w:rPr>
      </w:pPr>
      <w:r>
        <w:rPr>
          <w:sz w:val="28"/>
          <w:szCs w:val="28"/>
        </w:rPr>
        <w:t>He saw the wording of the Regulation as permissive rather than peremptory. He held, however, that the issue need not be decided in that matter since a change in circumstances had been demonstrated.</w:t>
      </w:r>
      <w:r>
        <w:rPr>
          <w:rStyle w:val="FootnoteReference"/>
          <w:sz w:val="28"/>
          <w:szCs w:val="28"/>
        </w:rPr>
        <w:footnoteReference w:id="7"/>
      </w:r>
      <w:r>
        <w:rPr>
          <w:sz w:val="28"/>
          <w:szCs w:val="28"/>
        </w:rPr>
        <w:t xml:space="preserve"> In the present matter, if, on the facts, the RAF showed that the provisions of the Regulation were complied with, it will likewise be unnecessary to determine whether the </w:t>
      </w:r>
      <w:r w:rsidRPr="00655751">
        <w:rPr>
          <w:i/>
          <w:iCs/>
          <w:sz w:val="28"/>
          <w:szCs w:val="28"/>
        </w:rPr>
        <w:t>Trencon dictum</w:t>
      </w:r>
      <w:r>
        <w:rPr>
          <w:sz w:val="28"/>
          <w:szCs w:val="28"/>
        </w:rPr>
        <w:t xml:space="preserve"> binds us. This must be considered next.</w:t>
      </w:r>
    </w:p>
    <w:p w14:paraId="34715B62" w14:textId="77777777" w:rsidR="00FC4932" w:rsidRDefault="00FC4932" w:rsidP="00FC4932">
      <w:pPr>
        <w:pStyle w:val="ListParagraph"/>
        <w:spacing w:line="360" w:lineRule="auto"/>
        <w:ind w:left="0"/>
        <w:jc w:val="both"/>
        <w:rPr>
          <w:sz w:val="28"/>
          <w:szCs w:val="28"/>
        </w:rPr>
      </w:pPr>
    </w:p>
    <w:p w14:paraId="13D4DB5B" w14:textId="49EF7F16" w:rsidR="00A876C6" w:rsidRPr="00F24D0A" w:rsidRDefault="00F24D0A" w:rsidP="00F24D0A">
      <w:pPr>
        <w:spacing w:line="360" w:lineRule="auto"/>
        <w:jc w:val="both"/>
        <w:rPr>
          <w:sz w:val="28"/>
          <w:szCs w:val="28"/>
        </w:rPr>
      </w:pPr>
      <w:r>
        <w:rPr>
          <w:sz w:val="28"/>
          <w:szCs w:val="28"/>
        </w:rPr>
        <w:t>[21]</w:t>
      </w:r>
      <w:r>
        <w:rPr>
          <w:sz w:val="28"/>
          <w:szCs w:val="28"/>
        </w:rPr>
        <w:tab/>
      </w:r>
      <w:r w:rsidR="00A876C6" w:rsidRPr="00F24D0A">
        <w:rPr>
          <w:sz w:val="28"/>
          <w:szCs w:val="28"/>
        </w:rPr>
        <w:t xml:space="preserve">As previously indicated, the reasons advanced by the RAF for the cancellation of the tender at the time were that it was ‘due to unaffordability of services as advertised in the tender, as well as changed circumstances’.  The RAF attempted to add two further grounds </w:t>
      </w:r>
      <w:r w:rsidR="00A876C6" w:rsidRPr="00F24D0A">
        <w:rPr>
          <w:i/>
          <w:iCs/>
          <w:sz w:val="28"/>
          <w:szCs w:val="28"/>
        </w:rPr>
        <w:t>ex-post facto</w:t>
      </w:r>
      <w:r w:rsidR="00A876C6" w:rsidRPr="00F24D0A">
        <w:rPr>
          <w:sz w:val="28"/>
          <w:szCs w:val="28"/>
        </w:rPr>
        <w:t xml:space="preserve"> to allege irregularities, fraud and corruption in the current model and irregularities in the existing tender process. These grounds are not considered in this judgment, as the RAF is bound by the reasons provided in the termination letters and should </w:t>
      </w:r>
      <w:r w:rsidR="00D1669C" w:rsidRPr="00F24D0A">
        <w:rPr>
          <w:sz w:val="28"/>
          <w:szCs w:val="28"/>
        </w:rPr>
        <w:t xml:space="preserve">generally </w:t>
      </w:r>
      <w:r w:rsidR="00A876C6" w:rsidRPr="00F24D0A">
        <w:rPr>
          <w:sz w:val="28"/>
          <w:szCs w:val="28"/>
        </w:rPr>
        <w:t>not be permitted to change or add to them at its convenience.</w:t>
      </w:r>
      <w:r w:rsidR="00A876C6" w:rsidRPr="009E70DA">
        <w:rPr>
          <w:rStyle w:val="FootnoteReference"/>
          <w:sz w:val="28"/>
          <w:szCs w:val="28"/>
        </w:rPr>
        <w:footnoteReference w:id="8"/>
      </w:r>
    </w:p>
    <w:p w14:paraId="5F42C81D" w14:textId="77777777" w:rsidR="00B31A16" w:rsidRDefault="00B31A16" w:rsidP="00B31A16">
      <w:pPr>
        <w:pStyle w:val="ListParagraph"/>
        <w:spacing w:line="360" w:lineRule="auto"/>
        <w:ind w:left="0"/>
        <w:jc w:val="both"/>
        <w:rPr>
          <w:sz w:val="28"/>
          <w:szCs w:val="28"/>
        </w:rPr>
      </w:pPr>
    </w:p>
    <w:p w14:paraId="371BB048" w14:textId="53960355" w:rsidR="00BA50C1" w:rsidRPr="00F24D0A" w:rsidRDefault="00F24D0A" w:rsidP="00F24D0A">
      <w:pPr>
        <w:spacing w:line="360" w:lineRule="auto"/>
        <w:jc w:val="both"/>
        <w:rPr>
          <w:sz w:val="28"/>
          <w:szCs w:val="28"/>
        </w:rPr>
      </w:pPr>
      <w:r>
        <w:rPr>
          <w:sz w:val="28"/>
          <w:szCs w:val="28"/>
        </w:rPr>
        <w:lastRenderedPageBreak/>
        <w:t>[22]</w:t>
      </w:r>
      <w:r>
        <w:rPr>
          <w:sz w:val="28"/>
          <w:szCs w:val="28"/>
        </w:rPr>
        <w:tab/>
      </w:r>
      <w:r w:rsidR="0038271C" w:rsidRPr="00F24D0A">
        <w:rPr>
          <w:sz w:val="28"/>
          <w:szCs w:val="28"/>
        </w:rPr>
        <w:t xml:space="preserve">The grounds advanced by the RAF were twofold. First, that </w:t>
      </w:r>
      <w:r w:rsidR="00B31A16" w:rsidRPr="00F24D0A">
        <w:rPr>
          <w:sz w:val="28"/>
          <w:szCs w:val="28"/>
        </w:rPr>
        <w:t xml:space="preserve">set out </w:t>
      </w:r>
      <w:r w:rsidR="0038271C" w:rsidRPr="00F24D0A">
        <w:rPr>
          <w:sz w:val="28"/>
          <w:szCs w:val="28"/>
        </w:rPr>
        <w:t>in Regulation 13(1)</w:t>
      </w:r>
      <w:r w:rsidR="0038271C" w:rsidRPr="00F24D0A">
        <w:rPr>
          <w:i/>
          <w:iCs/>
          <w:sz w:val="28"/>
          <w:szCs w:val="28"/>
        </w:rPr>
        <w:t>(a)</w:t>
      </w:r>
      <w:r w:rsidR="0038271C" w:rsidRPr="00F24D0A">
        <w:rPr>
          <w:sz w:val="28"/>
          <w:szCs w:val="28"/>
        </w:rPr>
        <w:t xml:space="preserve"> that</w:t>
      </w:r>
      <w:r w:rsidR="003F2AAC" w:rsidRPr="00F24D0A">
        <w:rPr>
          <w:sz w:val="28"/>
          <w:szCs w:val="28"/>
        </w:rPr>
        <w:t>,</w:t>
      </w:r>
      <w:r w:rsidR="0038271C" w:rsidRPr="00F24D0A">
        <w:rPr>
          <w:sz w:val="28"/>
          <w:szCs w:val="28"/>
        </w:rPr>
        <w:t xml:space="preserve"> </w:t>
      </w:r>
      <w:r w:rsidR="003F2AAC" w:rsidRPr="00F24D0A">
        <w:rPr>
          <w:sz w:val="28"/>
          <w:szCs w:val="28"/>
        </w:rPr>
        <w:t>due to changed circumstances, there is no longer a need for the goods or services specified in the invitation to tender. Secondly, that</w:t>
      </w:r>
      <w:r w:rsidR="00D93591" w:rsidRPr="00F24D0A">
        <w:rPr>
          <w:sz w:val="28"/>
          <w:szCs w:val="28"/>
        </w:rPr>
        <w:t xml:space="preserve"> set out in Regulation 13</w:t>
      </w:r>
      <w:r w:rsidR="00F01F83" w:rsidRPr="00F24D0A">
        <w:rPr>
          <w:sz w:val="28"/>
          <w:szCs w:val="28"/>
        </w:rPr>
        <w:t>(1)</w:t>
      </w:r>
      <w:r w:rsidR="00F01F83" w:rsidRPr="00F24D0A">
        <w:rPr>
          <w:i/>
          <w:iCs/>
          <w:sz w:val="28"/>
          <w:szCs w:val="28"/>
        </w:rPr>
        <w:t>(b)</w:t>
      </w:r>
      <w:r w:rsidR="00F01F83" w:rsidRPr="00F24D0A">
        <w:rPr>
          <w:sz w:val="28"/>
          <w:szCs w:val="28"/>
        </w:rPr>
        <w:t xml:space="preserve"> that funds are no longer available to cover the total envisaged expenditure. </w:t>
      </w:r>
      <w:r w:rsidR="000855E4" w:rsidRPr="00F24D0A">
        <w:rPr>
          <w:sz w:val="28"/>
          <w:szCs w:val="28"/>
        </w:rPr>
        <w:t>We</w:t>
      </w:r>
      <w:r w:rsidR="00F01F83" w:rsidRPr="00F24D0A">
        <w:rPr>
          <w:sz w:val="28"/>
          <w:szCs w:val="28"/>
        </w:rPr>
        <w:t xml:space="preserve"> shall deal with each of these in turn.</w:t>
      </w:r>
    </w:p>
    <w:p w14:paraId="557F4AE9" w14:textId="77777777" w:rsidR="00AD773F" w:rsidRDefault="00AD773F" w:rsidP="00B31A16">
      <w:pPr>
        <w:spacing w:line="360" w:lineRule="auto"/>
        <w:jc w:val="both"/>
        <w:rPr>
          <w:i/>
          <w:iCs/>
          <w:sz w:val="28"/>
          <w:szCs w:val="28"/>
        </w:rPr>
      </w:pPr>
    </w:p>
    <w:p w14:paraId="5DD01A18" w14:textId="04088267" w:rsidR="00B31A16" w:rsidRPr="00B31A16" w:rsidRDefault="00B31A16" w:rsidP="00B31A16">
      <w:pPr>
        <w:spacing w:line="360" w:lineRule="auto"/>
        <w:jc w:val="both"/>
        <w:rPr>
          <w:i/>
          <w:iCs/>
          <w:sz w:val="28"/>
          <w:szCs w:val="28"/>
        </w:rPr>
      </w:pPr>
      <w:r w:rsidRPr="00B31A16">
        <w:rPr>
          <w:i/>
          <w:iCs/>
          <w:sz w:val="28"/>
          <w:szCs w:val="28"/>
        </w:rPr>
        <w:t>Changed circumstances</w:t>
      </w:r>
    </w:p>
    <w:p w14:paraId="0974F527" w14:textId="2A202484" w:rsidR="00F01F83" w:rsidRPr="00F24D0A" w:rsidRDefault="00F24D0A" w:rsidP="00F24D0A">
      <w:pPr>
        <w:spacing w:line="360" w:lineRule="auto"/>
        <w:jc w:val="both"/>
        <w:rPr>
          <w:sz w:val="28"/>
          <w:szCs w:val="28"/>
        </w:rPr>
      </w:pPr>
      <w:r>
        <w:rPr>
          <w:sz w:val="28"/>
          <w:szCs w:val="28"/>
        </w:rPr>
        <w:t>[23]</w:t>
      </w:r>
      <w:r>
        <w:rPr>
          <w:sz w:val="28"/>
          <w:szCs w:val="28"/>
        </w:rPr>
        <w:tab/>
      </w:r>
      <w:r w:rsidR="00030872" w:rsidRPr="00F24D0A">
        <w:rPr>
          <w:sz w:val="28"/>
          <w:szCs w:val="28"/>
        </w:rPr>
        <w:t xml:space="preserve">The </w:t>
      </w:r>
      <w:r w:rsidR="004B5C4C" w:rsidRPr="00F24D0A">
        <w:rPr>
          <w:sz w:val="28"/>
          <w:szCs w:val="28"/>
        </w:rPr>
        <w:t>RAF</w:t>
      </w:r>
      <w:r w:rsidR="00030872" w:rsidRPr="00F24D0A">
        <w:rPr>
          <w:sz w:val="28"/>
          <w:szCs w:val="28"/>
        </w:rPr>
        <w:t xml:space="preserve"> claimed that </w:t>
      </w:r>
      <w:r w:rsidR="004B5C4C" w:rsidRPr="00F24D0A">
        <w:rPr>
          <w:sz w:val="28"/>
          <w:szCs w:val="28"/>
        </w:rPr>
        <w:t xml:space="preserve">it had adopted </w:t>
      </w:r>
      <w:r w:rsidR="00030872" w:rsidRPr="00F24D0A">
        <w:rPr>
          <w:sz w:val="28"/>
          <w:szCs w:val="28"/>
        </w:rPr>
        <w:t xml:space="preserve">a </w:t>
      </w:r>
      <w:r w:rsidR="004B5C4C" w:rsidRPr="00F24D0A">
        <w:rPr>
          <w:sz w:val="28"/>
          <w:szCs w:val="28"/>
        </w:rPr>
        <w:t>new</w:t>
      </w:r>
      <w:r w:rsidR="00030872" w:rsidRPr="00F24D0A">
        <w:rPr>
          <w:sz w:val="28"/>
          <w:szCs w:val="28"/>
        </w:rPr>
        <w:t xml:space="preserve"> model to facilitate </w:t>
      </w:r>
      <w:r w:rsidR="000915F7" w:rsidRPr="00F24D0A">
        <w:rPr>
          <w:sz w:val="28"/>
          <w:szCs w:val="28"/>
        </w:rPr>
        <w:t xml:space="preserve">the </w:t>
      </w:r>
      <w:r w:rsidR="004B5C4C" w:rsidRPr="00F24D0A">
        <w:rPr>
          <w:sz w:val="28"/>
          <w:szCs w:val="28"/>
        </w:rPr>
        <w:t xml:space="preserve">compensation </w:t>
      </w:r>
      <w:r w:rsidR="00F71161" w:rsidRPr="00F24D0A">
        <w:rPr>
          <w:sz w:val="28"/>
          <w:szCs w:val="28"/>
        </w:rPr>
        <w:t>of</w:t>
      </w:r>
      <w:r w:rsidR="004B5C4C" w:rsidRPr="00F24D0A">
        <w:rPr>
          <w:sz w:val="28"/>
          <w:szCs w:val="28"/>
        </w:rPr>
        <w:t xml:space="preserve"> qualifying persons</w:t>
      </w:r>
      <w:r w:rsidR="00030872" w:rsidRPr="00F24D0A">
        <w:rPr>
          <w:sz w:val="28"/>
          <w:szCs w:val="28"/>
        </w:rPr>
        <w:t xml:space="preserve">. </w:t>
      </w:r>
      <w:r w:rsidR="004B5C4C" w:rsidRPr="00F24D0A">
        <w:rPr>
          <w:sz w:val="28"/>
          <w:szCs w:val="28"/>
        </w:rPr>
        <w:t>It will be recalled that, in January 2020, the Board adopted a strategic plan</w:t>
      </w:r>
      <w:r w:rsidR="00C064DB" w:rsidRPr="00F24D0A">
        <w:rPr>
          <w:sz w:val="28"/>
          <w:szCs w:val="28"/>
        </w:rPr>
        <w:t xml:space="preserve"> for 2020 to 2025</w:t>
      </w:r>
      <w:r w:rsidR="004B5C4C" w:rsidRPr="00F24D0A">
        <w:rPr>
          <w:sz w:val="28"/>
          <w:szCs w:val="28"/>
        </w:rPr>
        <w:t>. T</w:t>
      </w:r>
      <w:r w:rsidR="00030872" w:rsidRPr="00F24D0A">
        <w:rPr>
          <w:sz w:val="28"/>
          <w:szCs w:val="28"/>
        </w:rPr>
        <w:t>he new model</w:t>
      </w:r>
      <w:r w:rsidR="004B5C4C" w:rsidRPr="00F24D0A">
        <w:rPr>
          <w:sz w:val="28"/>
          <w:szCs w:val="28"/>
        </w:rPr>
        <w:t xml:space="preserve"> was devised to give effect to the strategic plan. It </w:t>
      </w:r>
      <w:r w:rsidR="00030872" w:rsidRPr="00F24D0A">
        <w:rPr>
          <w:sz w:val="28"/>
          <w:szCs w:val="28"/>
        </w:rPr>
        <w:t>entail</w:t>
      </w:r>
      <w:r w:rsidR="00C064DB" w:rsidRPr="00F24D0A">
        <w:rPr>
          <w:sz w:val="28"/>
          <w:szCs w:val="28"/>
        </w:rPr>
        <w:t>ed</w:t>
      </w:r>
      <w:r w:rsidR="00030872" w:rsidRPr="00F24D0A">
        <w:rPr>
          <w:sz w:val="28"/>
          <w:szCs w:val="28"/>
        </w:rPr>
        <w:t xml:space="preserve"> taking measures to settle </w:t>
      </w:r>
      <w:r w:rsidR="004B5C4C" w:rsidRPr="00F24D0A">
        <w:rPr>
          <w:sz w:val="28"/>
          <w:szCs w:val="28"/>
        </w:rPr>
        <w:t>claims</w:t>
      </w:r>
      <w:r w:rsidR="00030872" w:rsidRPr="00F24D0A">
        <w:rPr>
          <w:sz w:val="28"/>
          <w:szCs w:val="28"/>
        </w:rPr>
        <w:t xml:space="preserve"> within 120 days, failing which to </w:t>
      </w:r>
      <w:r w:rsidR="00F71161" w:rsidRPr="00F24D0A">
        <w:rPr>
          <w:sz w:val="28"/>
          <w:szCs w:val="28"/>
        </w:rPr>
        <w:t xml:space="preserve">attempt to </w:t>
      </w:r>
      <w:r w:rsidR="00030872" w:rsidRPr="00F24D0A">
        <w:rPr>
          <w:sz w:val="28"/>
          <w:szCs w:val="28"/>
        </w:rPr>
        <w:t xml:space="preserve">resolve matters through mediation. </w:t>
      </w:r>
      <w:r w:rsidR="00C064DB" w:rsidRPr="00F24D0A">
        <w:rPr>
          <w:sz w:val="28"/>
          <w:szCs w:val="28"/>
        </w:rPr>
        <w:t>U</w:t>
      </w:r>
      <w:r w:rsidR="00030872" w:rsidRPr="00F24D0A">
        <w:rPr>
          <w:sz w:val="28"/>
          <w:szCs w:val="28"/>
        </w:rPr>
        <w:t>se</w:t>
      </w:r>
      <w:r w:rsidR="00C064DB" w:rsidRPr="00F24D0A">
        <w:rPr>
          <w:sz w:val="28"/>
          <w:szCs w:val="28"/>
        </w:rPr>
        <w:t xml:space="preserve"> w</w:t>
      </w:r>
      <w:r w:rsidR="00F71161" w:rsidRPr="00F24D0A">
        <w:rPr>
          <w:sz w:val="28"/>
          <w:szCs w:val="28"/>
        </w:rPr>
        <w:t xml:space="preserve">as to </w:t>
      </w:r>
      <w:r w:rsidR="00C064DB" w:rsidRPr="00F24D0A">
        <w:rPr>
          <w:sz w:val="28"/>
          <w:szCs w:val="28"/>
        </w:rPr>
        <w:t>be made</w:t>
      </w:r>
      <w:r w:rsidR="00030872" w:rsidRPr="00F24D0A">
        <w:rPr>
          <w:sz w:val="28"/>
          <w:szCs w:val="28"/>
        </w:rPr>
        <w:t xml:space="preserve"> of in-house attorneys</w:t>
      </w:r>
      <w:r w:rsidR="002C06D8" w:rsidRPr="00F24D0A">
        <w:rPr>
          <w:sz w:val="28"/>
          <w:szCs w:val="28"/>
        </w:rPr>
        <w:t xml:space="preserve"> and </w:t>
      </w:r>
      <w:r w:rsidR="00030872" w:rsidRPr="00F24D0A">
        <w:rPr>
          <w:sz w:val="28"/>
          <w:szCs w:val="28"/>
        </w:rPr>
        <w:t xml:space="preserve">the state attorney. </w:t>
      </w:r>
      <w:r w:rsidR="000E5C65" w:rsidRPr="00F24D0A">
        <w:rPr>
          <w:sz w:val="28"/>
          <w:szCs w:val="28"/>
        </w:rPr>
        <w:t xml:space="preserve">The new model was </w:t>
      </w:r>
      <w:r w:rsidR="002C06D8" w:rsidRPr="00F24D0A">
        <w:rPr>
          <w:sz w:val="28"/>
          <w:szCs w:val="28"/>
        </w:rPr>
        <w:t>aimed at</w:t>
      </w:r>
      <w:r w:rsidR="00030872" w:rsidRPr="00F24D0A">
        <w:rPr>
          <w:sz w:val="28"/>
          <w:szCs w:val="28"/>
        </w:rPr>
        <w:t xml:space="preserve"> reduc</w:t>
      </w:r>
      <w:r w:rsidR="002C06D8" w:rsidRPr="00F24D0A">
        <w:rPr>
          <w:sz w:val="28"/>
          <w:szCs w:val="28"/>
        </w:rPr>
        <w:t>ing</w:t>
      </w:r>
      <w:r w:rsidR="00030872" w:rsidRPr="00F24D0A">
        <w:rPr>
          <w:sz w:val="28"/>
          <w:szCs w:val="28"/>
        </w:rPr>
        <w:t xml:space="preserve"> costs since it was evident that the existing model </w:t>
      </w:r>
      <w:r w:rsidR="002C06D8" w:rsidRPr="00F24D0A">
        <w:rPr>
          <w:sz w:val="28"/>
          <w:szCs w:val="28"/>
        </w:rPr>
        <w:t>had not proved to be</w:t>
      </w:r>
      <w:r w:rsidR="00030872" w:rsidRPr="00F24D0A">
        <w:rPr>
          <w:sz w:val="28"/>
          <w:szCs w:val="28"/>
        </w:rPr>
        <w:t xml:space="preserve"> cost effective. Only in instances where those measures failed would the services of </w:t>
      </w:r>
      <w:r w:rsidR="00CF5A5D" w:rsidRPr="00F24D0A">
        <w:rPr>
          <w:sz w:val="28"/>
          <w:szCs w:val="28"/>
        </w:rPr>
        <w:t>private at</w:t>
      </w:r>
      <w:r w:rsidR="00030872" w:rsidRPr="00F24D0A">
        <w:rPr>
          <w:sz w:val="28"/>
          <w:szCs w:val="28"/>
        </w:rPr>
        <w:t>torneys be engaged.</w:t>
      </w:r>
    </w:p>
    <w:p w14:paraId="2FF3467A" w14:textId="77777777" w:rsidR="00E62E1D" w:rsidRDefault="00E62E1D" w:rsidP="00E62E1D">
      <w:pPr>
        <w:pStyle w:val="ListParagraph"/>
        <w:spacing w:line="360" w:lineRule="auto"/>
        <w:ind w:left="0"/>
        <w:jc w:val="both"/>
        <w:rPr>
          <w:sz w:val="28"/>
          <w:szCs w:val="28"/>
        </w:rPr>
      </w:pPr>
    </w:p>
    <w:p w14:paraId="411434CE" w14:textId="663063D1" w:rsidR="00F01F83" w:rsidRPr="00F24D0A" w:rsidRDefault="00F24D0A" w:rsidP="00F24D0A">
      <w:pPr>
        <w:spacing w:line="360" w:lineRule="auto"/>
        <w:jc w:val="both"/>
        <w:rPr>
          <w:sz w:val="28"/>
          <w:szCs w:val="28"/>
        </w:rPr>
      </w:pPr>
      <w:r>
        <w:rPr>
          <w:sz w:val="28"/>
          <w:szCs w:val="28"/>
        </w:rPr>
        <w:t>[24]</w:t>
      </w:r>
      <w:r>
        <w:rPr>
          <w:sz w:val="28"/>
          <w:szCs w:val="28"/>
        </w:rPr>
        <w:tab/>
      </w:r>
      <w:r w:rsidR="00D44272" w:rsidRPr="00F24D0A">
        <w:rPr>
          <w:sz w:val="28"/>
          <w:szCs w:val="28"/>
        </w:rPr>
        <w:t xml:space="preserve">FourieFismer contended that there was nothing to show that there was no longer a need for the services specified in the tender due to changed circumstances. It </w:t>
      </w:r>
      <w:r w:rsidR="008827E8" w:rsidRPr="00F24D0A">
        <w:rPr>
          <w:sz w:val="28"/>
          <w:szCs w:val="28"/>
        </w:rPr>
        <w:t>submitted that it was</w:t>
      </w:r>
      <w:r w:rsidR="00D44272" w:rsidRPr="00F24D0A">
        <w:rPr>
          <w:sz w:val="28"/>
          <w:szCs w:val="28"/>
        </w:rPr>
        <w:t xml:space="preserve"> not in dispute that the RAF would still be engaged in litigation in spite of the new model. Consequently, the services of attorneys w</w:t>
      </w:r>
      <w:r w:rsidR="008827E8" w:rsidRPr="00F24D0A">
        <w:rPr>
          <w:sz w:val="28"/>
          <w:szCs w:val="28"/>
        </w:rPr>
        <w:t>ould</w:t>
      </w:r>
      <w:r w:rsidR="00D44272" w:rsidRPr="00F24D0A">
        <w:rPr>
          <w:sz w:val="28"/>
          <w:szCs w:val="28"/>
        </w:rPr>
        <w:t xml:space="preserve"> be required.</w:t>
      </w:r>
      <w:r w:rsidR="002324B8" w:rsidRPr="00F24D0A">
        <w:rPr>
          <w:rFonts w:ascii="Arial" w:hAnsi="Arial" w:cs="Arial"/>
        </w:rPr>
        <w:t xml:space="preserve"> </w:t>
      </w:r>
      <w:r w:rsidR="002324B8" w:rsidRPr="00F24D0A">
        <w:rPr>
          <w:sz w:val="28"/>
          <w:szCs w:val="28"/>
        </w:rPr>
        <w:t xml:space="preserve">Diale’s argument was that </w:t>
      </w:r>
      <w:r w:rsidR="005A129C" w:rsidRPr="00F24D0A">
        <w:rPr>
          <w:sz w:val="28"/>
          <w:szCs w:val="28"/>
        </w:rPr>
        <w:t>t</w:t>
      </w:r>
      <w:r w:rsidR="002324B8" w:rsidRPr="00F24D0A">
        <w:rPr>
          <w:sz w:val="28"/>
          <w:szCs w:val="28"/>
        </w:rPr>
        <w:t xml:space="preserve">he changed circumstances must result in the RAF no longer requiring the services of any attorneys. </w:t>
      </w:r>
      <w:r w:rsidR="00B0517A" w:rsidRPr="00F24D0A">
        <w:rPr>
          <w:sz w:val="28"/>
          <w:szCs w:val="28"/>
        </w:rPr>
        <w:t>It submitted that t</w:t>
      </w:r>
      <w:r w:rsidR="002324B8" w:rsidRPr="00F24D0A">
        <w:rPr>
          <w:sz w:val="28"/>
          <w:szCs w:val="28"/>
        </w:rPr>
        <w:t>his</w:t>
      </w:r>
      <w:r w:rsidR="00B0517A" w:rsidRPr="00F24D0A">
        <w:rPr>
          <w:sz w:val="28"/>
          <w:szCs w:val="28"/>
        </w:rPr>
        <w:t xml:space="preserve"> was</w:t>
      </w:r>
      <w:r w:rsidR="002324B8" w:rsidRPr="00F24D0A">
        <w:rPr>
          <w:sz w:val="28"/>
          <w:szCs w:val="28"/>
        </w:rPr>
        <w:t xml:space="preserve"> not the case, since the RAF </w:t>
      </w:r>
      <w:r w:rsidR="00B0517A" w:rsidRPr="00F24D0A">
        <w:rPr>
          <w:sz w:val="28"/>
          <w:szCs w:val="28"/>
        </w:rPr>
        <w:t xml:space="preserve">would </w:t>
      </w:r>
      <w:r w:rsidR="002324B8" w:rsidRPr="00F24D0A">
        <w:rPr>
          <w:sz w:val="28"/>
          <w:szCs w:val="28"/>
        </w:rPr>
        <w:t>still require the services of attorneys</w:t>
      </w:r>
      <w:r w:rsidR="000C60FB" w:rsidRPr="00F24D0A">
        <w:rPr>
          <w:sz w:val="28"/>
          <w:szCs w:val="28"/>
        </w:rPr>
        <w:t>.</w:t>
      </w:r>
    </w:p>
    <w:p w14:paraId="121B07B7" w14:textId="77777777" w:rsidR="00E62E1D" w:rsidRDefault="00E62E1D" w:rsidP="00E62E1D">
      <w:pPr>
        <w:pStyle w:val="ListParagraph"/>
        <w:spacing w:line="360" w:lineRule="auto"/>
        <w:ind w:left="0"/>
        <w:jc w:val="both"/>
        <w:rPr>
          <w:sz w:val="28"/>
          <w:szCs w:val="28"/>
        </w:rPr>
      </w:pPr>
    </w:p>
    <w:p w14:paraId="4648EE24" w14:textId="630884F1" w:rsidR="005A129C" w:rsidRPr="00F24D0A" w:rsidRDefault="00F24D0A" w:rsidP="00F24D0A">
      <w:pPr>
        <w:spacing w:line="360" w:lineRule="auto"/>
        <w:jc w:val="both"/>
        <w:rPr>
          <w:sz w:val="28"/>
          <w:szCs w:val="28"/>
        </w:rPr>
      </w:pPr>
      <w:r>
        <w:rPr>
          <w:sz w:val="28"/>
          <w:szCs w:val="28"/>
        </w:rPr>
        <w:lastRenderedPageBreak/>
        <w:t>[25]</w:t>
      </w:r>
      <w:r>
        <w:rPr>
          <w:sz w:val="28"/>
          <w:szCs w:val="28"/>
        </w:rPr>
        <w:tab/>
      </w:r>
      <w:r w:rsidR="00B0517A" w:rsidRPr="00F24D0A">
        <w:rPr>
          <w:sz w:val="28"/>
          <w:szCs w:val="28"/>
        </w:rPr>
        <w:t xml:space="preserve">Neither of these submissions </w:t>
      </w:r>
      <w:r w:rsidR="005A129C" w:rsidRPr="00F24D0A">
        <w:rPr>
          <w:sz w:val="28"/>
          <w:szCs w:val="28"/>
        </w:rPr>
        <w:t>is correct</w:t>
      </w:r>
      <w:r w:rsidR="00B0517A" w:rsidRPr="00F24D0A">
        <w:rPr>
          <w:sz w:val="28"/>
          <w:szCs w:val="28"/>
        </w:rPr>
        <w:t xml:space="preserve">. The tender </w:t>
      </w:r>
      <w:r w:rsidR="005A129C" w:rsidRPr="00F24D0A">
        <w:rPr>
          <w:sz w:val="28"/>
          <w:szCs w:val="28"/>
        </w:rPr>
        <w:t>invited bids</w:t>
      </w:r>
      <w:r w:rsidR="00B0517A" w:rsidRPr="00F24D0A">
        <w:rPr>
          <w:sz w:val="28"/>
          <w:szCs w:val="28"/>
        </w:rPr>
        <w:t xml:space="preserve"> for a panel of attorneys</w:t>
      </w:r>
      <w:r w:rsidR="0076701F" w:rsidRPr="00F24D0A">
        <w:rPr>
          <w:sz w:val="28"/>
          <w:szCs w:val="28"/>
        </w:rPr>
        <w:t xml:space="preserve"> based on the old model of operation. The fact that, as a last resort, the RAF might have to engage the assistance of private attorneys does not negate the fact that, under the proposed new model, </w:t>
      </w:r>
      <w:r w:rsidR="009724C8" w:rsidRPr="00F24D0A">
        <w:rPr>
          <w:sz w:val="28"/>
          <w:szCs w:val="28"/>
        </w:rPr>
        <w:t>most, if not all, of the attorneys utilised would either be in</w:t>
      </w:r>
      <w:r w:rsidR="00E65D89" w:rsidRPr="00F24D0A">
        <w:rPr>
          <w:sz w:val="28"/>
          <w:szCs w:val="28"/>
        </w:rPr>
        <w:t>-</w:t>
      </w:r>
      <w:r w:rsidR="009724C8" w:rsidRPr="00F24D0A">
        <w:rPr>
          <w:sz w:val="28"/>
          <w:szCs w:val="28"/>
        </w:rPr>
        <w:t xml:space="preserve">house employees or provided by the State Attorney. </w:t>
      </w:r>
      <w:r w:rsidR="005A129C" w:rsidRPr="00F24D0A">
        <w:rPr>
          <w:sz w:val="28"/>
          <w:szCs w:val="28"/>
        </w:rPr>
        <w:t xml:space="preserve">It certainly cannot be said that, because the RAF envisaged utilising attorneys at all, the circumstances under which it </w:t>
      </w:r>
      <w:r w:rsidR="00891BEB" w:rsidRPr="00F24D0A">
        <w:rPr>
          <w:sz w:val="28"/>
          <w:szCs w:val="28"/>
        </w:rPr>
        <w:t xml:space="preserve">had </w:t>
      </w:r>
      <w:r w:rsidR="005A129C" w:rsidRPr="00F24D0A">
        <w:rPr>
          <w:sz w:val="28"/>
          <w:szCs w:val="28"/>
        </w:rPr>
        <w:t xml:space="preserve">issued the tender had not changed. </w:t>
      </w:r>
      <w:r w:rsidR="009724C8" w:rsidRPr="00F24D0A">
        <w:rPr>
          <w:sz w:val="28"/>
          <w:szCs w:val="28"/>
        </w:rPr>
        <w:t xml:space="preserve">It seems to </w:t>
      </w:r>
      <w:r w:rsidR="000855E4" w:rsidRPr="00F24D0A">
        <w:rPr>
          <w:sz w:val="28"/>
          <w:szCs w:val="28"/>
        </w:rPr>
        <w:t>us</w:t>
      </w:r>
      <w:r w:rsidR="009724C8" w:rsidRPr="00F24D0A">
        <w:rPr>
          <w:sz w:val="28"/>
          <w:szCs w:val="28"/>
        </w:rPr>
        <w:t xml:space="preserve"> that this showed that the circumstances to be ushered in by the new model had changed significantly.</w:t>
      </w:r>
    </w:p>
    <w:p w14:paraId="6D741536" w14:textId="77777777" w:rsidR="006052DF" w:rsidRDefault="006052DF" w:rsidP="00E62E1D">
      <w:pPr>
        <w:spacing w:line="360" w:lineRule="auto"/>
        <w:jc w:val="both"/>
        <w:rPr>
          <w:i/>
          <w:iCs/>
          <w:sz w:val="28"/>
          <w:szCs w:val="28"/>
        </w:rPr>
      </w:pPr>
    </w:p>
    <w:p w14:paraId="74E15CFC" w14:textId="7645C3C3" w:rsidR="00E62E1D" w:rsidRPr="00E62E1D" w:rsidRDefault="00E62E1D" w:rsidP="00E62E1D">
      <w:pPr>
        <w:spacing w:line="360" w:lineRule="auto"/>
        <w:jc w:val="both"/>
        <w:rPr>
          <w:i/>
          <w:iCs/>
          <w:sz w:val="28"/>
          <w:szCs w:val="28"/>
        </w:rPr>
      </w:pPr>
      <w:r w:rsidRPr="00E62E1D">
        <w:rPr>
          <w:i/>
          <w:iCs/>
          <w:sz w:val="28"/>
          <w:szCs w:val="28"/>
        </w:rPr>
        <w:t>Required funds no longer available</w:t>
      </w:r>
    </w:p>
    <w:p w14:paraId="3EC0449B" w14:textId="1BB3B84A" w:rsidR="003737FA" w:rsidRPr="00F24D0A" w:rsidRDefault="00F24D0A" w:rsidP="00F24D0A">
      <w:pPr>
        <w:spacing w:line="360" w:lineRule="auto"/>
        <w:jc w:val="both"/>
        <w:rPr>
          <w:sz w:val="28"/>
          <w:szCs w:val="28"/>
        </w:rPr>
      </w:pPr>
      <w:r>
        <w:rPr>
          <w:sz w:val="28"/>
          <w:szCs w:val="28"/>
        </w:rPr>
        <w:t>[26]</w:t>
      </w:r>
      <w:r>
        <w:rPr>
          <w:sz w:val="28"/>
          <w:szCs w:val="28"/>
        </w:rPr>
        <w:tab/>
      </w:r>
      <w:r w:rsidR="007F0235" w:rsidRPr="00F24D0A">
        <w:rPr>
          <w:sz w:val="28"/>
          <w:szCs w:val="28"/>
        </w:rPr>
        <w:t xml:space="preserve">In addition to </w:t>
      </w:r>
      <w:r w:rsidR="005C07C1" w:rsidRPr="00F24D0A">
        <w:rPr>
          <w:sz w:val="28"/>
          <w:szCs w:val="28"/>
        </w:rPr>
        <w:t>the</w:t>
      </w:r>
      <w:r w:rsidR="0085270D" w:rsidRPr="00F24D0A">
        <w:rPr>
          <w:sz w:val="28"/>
          <w:szCs w:val="28"/>
        </w:rPr>
        <w:t xml:space="preserve"> </w:t>
      </w:r>
      <w:r w:rsidR="007F0235" w:rsidRPr="00F24D0A">
        <w:rPr>
          <w:sz w:val="28"/>
          <w:szCs w:val="28"/>
        </w:rPr>
        <w:t>RAF</w:t>
      </w:r>
      <w:r w:rsidR="005C07C1" w:rsidRPr="00F24D0A">
        <w:rPr>
          <w:sz w:val="28"/>
          <w:szCs w:val="28"/>
        </w:rPr>
        <w:t xml:space="preserve"> showing tha</w:t>
      </w:r>
      <w:r w:rsidR="007F0235" w:rsidRPr="00F24D0A">
        <w:rPr>
          <w:sz w:val="28"/>
          <w:szCs w:val="28"/>
        </w:rPr>
        <w:t>t there were</w:t>
      </w:r>
      <w:r w:rsidR="0085270D" w:rsidRPr="00F24D0A">
        <w:rPr>
          <w:sz w:val="28"/>
          <w:szCs w:val="28"/>
        </w:rPr>
        <w:t xml:space="preserve"> changed circumstances </w:t>
      </w:r>
      <w:r w:rsidR="007F0235" w:rsidRPr="00F24D0A">
        <w:rPr>
          <w:sz w:val="28"/>
          <w:szCs w:val="28"/>
        </w:rPr>
        <w:t xml:space="preserve">warranting the cancellation of the tender, </w:t>
      </w:r>
      <w:r w:rsidR="005C07C1" w:rsidRPr="00F24D0A">
        <w:rPr>
          <w:sz w:val="28"/>
          <w:szCs w:val="28"/>
        </w:rPr>
        <w:t xml:space="preserve">it </w:t>
      </w:r>
      <w:r w:rsidR="009F3F1B" w:rsidRPr="00F24D0A">
        <w:rPr>
          <w:sz w:val="28"/>
          <w:szCs w:val="28"/>
        </w:rPr>
        <w:t xml:space="preserve">also relied on </w:t>
      </w:r>
      <w:r w:rsidR="0085270D" w:rsidRPr="00F24D0A">
        <w:rPr>
          <w:sz w:val="28"/>
          <w:szCs w:val="28"/>
        </w:rPr>
        <w:t>the reason that funds were no longer available to cover the total envisaged expenditure.</w:t>
      </w:r>
      <w:r w:rsidR="008D00DD" w:rsidRPr="00F24D0A">
        <w:rPr>
          <w:sz w:val="28"/>
          <w:szCs w:val="28"/>
        </w:rPr>
        <w:t xml:space="preserve"> </w:t>
      </w:r>
      <w:r w:rsidR="00F753BA" w:rsidRPr="00F24D0A">
        <w:rPr>
          <w:sz w:val="28"/>
          <w:szCs w:val="28"/>
        </w:rPr>
        <w:t>The presentation of management to the Board in December 2019 has already been mentioned</w:t>
      </w:r>
      <w:r w:rsidR="0068070C" w:rsidRPr="00F24D0A">
        <w:rPr>
          <w:sz w:val="28"/>
          <w:szCs w:val="28"/>
        </w:rPr>
        <w:t xml:space="preserve"> where, for the period under review, </w:t>
      </w:r>
      <w:r w:rsidR="002E6ABF" w:rsidRPr="00F24D0A">
        <w:rPr>
          <w:sz w:val="28"/>
          <w:szCs w:val="28"/>
        </w:rPr>
        <w:t>a deficit of R45,713 million had accrued</w:t>
      </w:r>
      <w:r w:rsidR="00F753BA" w:rsidRPr="00F24D0A">
        <w:rPr>
          <w:sz w:val="28"/>
          <w:szCs w:val="28"/>
        </w:rPr>
        <w:t>.</w:t>
      </w:r>
    </w:p>
    <w:p w14:paraId="0FE1768F" w14:textId="77777777" w:rsidR="006052DF" w:rsidRDefault="006052DF" w:rsidP="006052DF">
      <w:pPr>
        <w:pStyle w:val="ListParagraph"/>
        <w:spacing w:line="360" w:lineRule="auto"/>
        <w:ind w:left="0"/>
        <w:jc w:val="both"/>
        <w:rPr>
          <w:sz w:val="28"/>
          <w:szCs w:val="28"/>
        </w:rPr>
      </w:pPr>
    </w:p>
    <w:p w14:paraId="4374E0D1" w14:textId="331122F0" w:rsidR="00432FAB" w:rsidRPr="00F24D0A" w:rsidRDefault="00F24D0A" w:rsidP="00F24D0A">
      <w:pPr>
        <w:spacing w:line="360" w:lineRule="auto"/>
        <w:jc w:val="both"/>
        <w:rPr>
          <w:sz w:val="28"/>
          <w:szCs w:val="28"/>
        </w:rPr>
      </w:pPr>
      <w:r>
        <w:rPr>
          <w:sz w:val="28"/>
          <w:szCs w:val="28"/>
        </w:rPr>
        <w:t>[27]</w:t>
      </w:r>
      <w:r>
        <w:rPr>
          <w:sz w:val="28"/>
          <w:szCs w:val="28"/>
        </w:rPr>
        <w:tab/>
      </w:r>
      <w:r w:rsidR="00540775" w:rsidRPr="00F24D0A">
        <w:rPr>
          <w:sz w:val="28"/>
          <w:szCs w:val="28"/>
        </w:rPr>
        <w:t xml:space="preserve">It is common cause that the RAF has been technically insolvent </w:t>
      </w:r>
      <w:r w:rsidR="008D5F24" w:rsidRPr="00F24D0A">
        <w:rPr>
          <w:sz w:val="28"/>
          <w:szCs w:val="28"/>
        </w:rPr>
        <w:t>for many years</w:t>
      </w:r>
      <w:r w:rsidR="00540775" w:rsidRPr="00F24D0A">
        <w:rPr>
          <w:sz w:val="28"/>
          <w:szCs w:val="28"/>
        </w:rPr>
        <w:t xml:space="preserve">. </w:t>
      </w:r>
      <w:r w:rsidR="00432FAB" w:rsidRPr="00F24D0A">
        <w:rPr>
          <w:sz w:val="28"/>
          <w:szCs w:val="28"/>
        </w:rPr>
        <w:t>But th</w:t>
      </w:r>
      <w:r w:rsidR="00540775" w:rsidRPr="00F24D0A">
        <w:rPr>
          <w:sz w:val="28"/>
          <w:szCs w:val="28"/>
        </w:rPr>
        <w:t>e</w:t>
      </w:r>
      <w:r w:rsidR="00432FAB" w:rsidRPr="00F24D0A">
        <w:rPr>
          <w:sz w:val="28"/>
          <w:szCs w:val="28"/>
        </w:rPr>
        <w:t xml:space="preserve"> </w:t>
      </w:r>
      <w:r w:rsidR="004C551B" w:rsidRPr="00F24D0A">
        <w:rPr>
          <w:sz w:val="28"/>
          <w:szCs w:val="28"/>
        </w:rPr>
        <w:t xml:space="preserve">repeated </w:t>
      </w:r>
      <w:r w:rsidR="00432FAB" w:rsidRPr="00F24D0A">
        <w:rPr>
          <w:sz w:val="28"/>
          <w:szCs w:val="28"/>
        </w:rPr>
        <w:t>deficit</w:t>
      </w:r>
      <w:r w:rsidR="004C551B" w:rsidRPr="00F24D0A">
        <w:rPr>
          <w:sz w:val="28"/>
          <w:szCs w:val="28"/>
        </w:rPr>
        <w:t>s</w:t>
      </w:r>
      <w:r w:rsidR="00432FAB" w:rsidRPr="00F24D0A">
        <w:rPr>
          <w:sz w:val="28"/>
          <w:szCs w:val="28"/>
        </w:rPr>
        <w:t xml:space="preserve"> ha</w:t>
      </w:r>
      <w:r w:rsidR="004C551B" w:rsidRPr="00F24D0A">
        <w:rPr>
          <w:sz w:val="28"/>
          <w:szCs w:val="28"/>
        </w:rPr>
        <w:t>ve seemingly</w:t>
      </w:r>
      <w:r w:rsidR="00432FAB" w:rsidRPr="00F24D0A">
        <w:rPr>
          <w:sz w:val="28"/>
          <w:szCs w:val="28"/>
        </w:rPr>
        <w:t xml:space="preserve"> been exacerbated by the mounting legal fees which the RAF has been obliged to meet</w:t>
      </w:r>
      <w:r w:rsidR="00945CA3" w:rsidRPr="00F24D0A">
        <w:rPr>
          <w:sz w:val="28"/>
          <w:szCs w:val="28"/>
        </w:rPr>
        <w:t xml:space="preserve">; both </w:t>
      </w:r>
      <w:r w:rsidR="008D5F24" w:rsidRPr="00F24D0A">
        <w:rPr>
          <w:sz w:val="28"/>
          <w:szCs w:val="28"/>
        </w:rPr>
        <w:t xml:space="preserve">those </w:t>
      </w:r>
      <w:r w:rsidR="00945CA3" w:rsidRPr="00F24D0A">
        <w:rPr>
          <w:sz w:val="28"/>
          <w:szCs w:val="28"/>
        </w:rPr>
        <w:t>of the attorneys</w:t>
      </w:r>
      <w:r w:rsidR="003C1564" w:rsidRPr="00F24D0A">
        <w:rPr>
          <w:sz w:val="28"/>
          <w:szCs w:val="28"/>
        </w:rPr>
        <w:t xml:space="preserve"> on the panel</w:t>
      </w:r>
      <w:r w:rsidR="00945CA3" w:rsidRPr="00F24D0A">
        <w:rPr>
          <w:sz w:val="28"/>
          <w:szCs w:val="28"/>
        </w:rPr>
        <w:t xml:space="preserve"> and those </w:t>
      </w:r>
      <w:r w:rsidR="001812AD" w:rsidRPr="00F24D0A">
        <w:rPr>
          <w:sz w:val="28"/>
          <w:szCs w:val="28"/>
        </w:rPr>
        <w:t xml:space="preserve">of attorneys and counsel </w:t>
      </w:r>
      <w:r w:rsidR="00945CA3" w:rsidRPr="00F24D0A">
        <w:rPr>
          <w:sz w:val="28"/>
          <w:szCs w:val="28"/>
        </w:rPr>
        <w:t xml:space="preserve">representing claimants. According to </w:t>
      </w:r>
      <w:r w:rsidR="002B1F16" w:rsidRPr="00F24D0A">
        <w:rPr>
          <w:sz w:val="28"/>
          <w:szCs w:val="28"/>
        </w:rPr>
        <w:t xml:space="preserve">an article written by </w:t>
      </w:r>
      <w:r w:rsidR="00945CA3" w:rsidRPr="00F24D0A">
        <w:rPr>
          <w:sz w:val="28"/>
          <w:szCs w:val="28"/>
        </w:rPr>
        <w:t xml:space="preserve">Professor Hennie Klopper, a professor </w:t>
      </w:r>
      <w:r w:rsidR="00945CA3" w:rsidRPr="00F24D0A">
        <w:rPr>
          <w:i/>
          <w:iCs/>
          <w:sz w:val="28"/>
          <w:szCs w:val="28"/>
        </w:rPr>
        <w:t>emeritus</w:t>
      </w:r>
      <w:r w:rsidR="00945CA3" w:rsidRPr="00F24D0A">
        <w:rPr>
          <w:sz w:val="28"/>
          <w:szCs w:val="28"/>
        </w:rPr>
        <w:t xml:space="preserve"> at the University of Pretoria,</w:t>
      </w:r>
      <w:r w:rsidR="00945CA3" w:rsidRPr="006B5398">
        <w:rPr>
          <w:rStyle w:val="FootnoteReference"/>
          <w:sz w:val="28"/>
          <w:szCs w:val="28"/>
        </w:rPr>
        <w:footnoteReference w:id="9"/>
      </w:r>
      <w:r w:rsidR="00945CA3" w:rsidRPr="006B5398">
        <w:t xml:space="preserve"> </w:t>
      </w:r>
      <w:r w:rsidR="00945CA3" w:rsidRPr="00F24D0A">
        <w:rPr>
          <w:sz w:val="28"/>
          <w:szCs w:val="28"/>
        </w:rPr>
        <w:t>there had been a reduction in claims lodged</w:t>
      </w:r>
      <w:r w:rsidR="002B1F16" w:rsidRPr="00F24D0A">
        <w:rPr>
          <w:sz w:val="28"/>
          <w:szCs w:val="28"/>
        </w:rPr>
        <w:t xml:space="preserve"> but</w:t>
      </w:r>
      <w:r w:rsidR="00945CA3" w:rsidRPr="00F24D0A">
        <w:rPr>
          <w:sz w:val="28"/>
          <w:szCs w:val="28"/>
        </w:rPr>
        <w:t xml:space="preserve"> legal costs increased exponentially. In 2005, 185</w:t>
      </w:r>
      <w:r w:rsidR="002B1F16" w:rsidRPr="00F24D0A">
        <w:rPr>
          <w:sz w:val="28"/>
          <w:szCs w:val="28"/>
        </w:rPr>
        <w:t> </w:t>
      </w:r>
      <w:r w:rsidR="00945CA3" w:rsidRPr="00F24D0A">
        <w:rPr>
          <w:sz w:val="28"/>
          <w:szCs w:val="28"/>
        </w:rPr>
        <w:t xml:space="preserve">773 claims </w:t>
      </w:r>
      <w:r w:rsidR="00945CA3" w:rsidRPr="00F24D0A">
        <w:rPr>
          <w:sz w:val="28"/>
          <w:szCs w:val="28"/>
        </w:rPr>
        <w:lastRenderedPageBreak/>
        <w:t xml:space="preserve">were lodged with </w:t>
      </w:r>
      <w:r w:rsidR="002B1F16" w:rsidRPr="00F24D0A">
        <w:rPr>
          <w:sz w:val="28"/>
          <w:szCs w:val="28"/>
        </w:rPr>
        <w:t xml:space="preserve">attendant </w:t>
      </w:r>
      <w:r w:rsidR="00945CA3" w:rsidRPr="00F24D0A">
        <w:rPr>
          <w:sz w:val="28"/>
          <w:szCs w:val="28"/>
        </w:rPr>
        <w:t xml:space="preserve">legal costs </w:t>
      </w:r>
      <w:r w:rsidR="002B1F16" w:rsidRPr="00F24D0A">
        <w:rPr>
          <w:sz w:val="28"/>
          <w:szCs w:val="28"/>
        </w:rPr>
        <w:t>of</w:t>
      </w:r>
      <w:r w:rsidR="00945CA3" w:rsidRPr="00F24D0A">
        <w:rPr>
          <w:sz w:val="28"/>
          <w:szCs w:val="28"/>
        </w:rPr>
        <w:t xml:space="preserve"> up to R941 million. In 2018, there were only 92 101 claims lodged and legal costs </w:t>
      </w:r>
      <w:r w:rsidR="002B1F16" w:rsidRPr="00F24D0A">
        <w:rPr>
          <w:sz w:val="28"/>
          <w:szCs w:val="28"/>
        </w:rPr>
        <w:t>of</w:t>
      </w:r>
      <w:r w:rsidR="00945CA3" w:rsidRPr="00F24D0A">
        <w:rPr>
          <w:sz w:val="28"/>
          <w:szCs w:val="28"/>
        </w:rPr>
        <w:t xml:space="preserve"> R8.8 billion</w:t>
      </w:r>
      <w:r w:rsidR="002B1F16" w:rsidRPr="00F24D0A">
        <w:rPr>
          <w:sz w:val="28"/>
          <w:szCs w:val="28"/>
        </w:rPr>
        <w:t xml:space="preserve"> were incurred</w:t>
      </w:r>
      <w:r w:rsidR="00945CA3" w:rsidRPr="00F24D0A">
        <w:rPr>
          <w:sz w:val="28"/>
          <w:szCs w:val="28"/>
        </w:rPr>
        <w:t xml:space="preserve">. By 2019, legal costs had increased to R10.6 </w:t>
      </w:r>
      <w:r w:rsidR="00423CC3" w:rsidRPr="00F24D0A">
        <w:rPr>
          <w:sz w:val="28"/>
          <w:szCs w:val="28"/>
        </w:rPr>
        <w:t>b</w:t>
      </w:r>
      <w:r w:rsidR="00945CA3" w:rsidRPr="00F24D0A">
        <w:rPr>
          <w:sz w:val="28"/>
          <w:szCs w:val="28"/>
        </w:rPr>
        <w:t xml:space="preserve">illion. </w:t>
      </w:r>
    </w:p>
    <w:p w14:paraId="22B1DD61" w14:textId="77777777" w:rsidR="006052DF" w:rsidRDefault="006052DF" w:rsidP="006052DF">
      <w:pPr>
        <w:pStyle w:val="ListParagraph"/>
        <w:spacing w:line="360" w:lineRule="auto"/>
        <w:ind w:left="0"/>
        <w:jc w:val="both"/>
        <w:rPr>
          <w:sz w:val="28"/>
          <w:szCs w:val="28"/>
        </w:rPr>
      </w:pPr>
    </w:p>
    <w:p w14:paraId="1F2E99BB" w14:textId="64C9A6A5" w:rsidR="009F3F1B" w:rsidRPr="00F24D0A" w:rsidRDefault="00F24D0A" w:rsidP="00F24D0A">
      <w:pPr>
        <w:spacing w:line="360" w:lineRule="auto"/>
        <w:jc w:val="both"/>
        <w:rPr>
          <w:sz w:val="28"/>
          <w:szCs w:val="28"/>
        </w:rPr>
      </w:pPr>
      <w:r>
        <w:rPr>
          <w:sz w:val="28"/>
          <w:szCs w:val="28"/>
        </w:rPr>
        <w:t>[28]</w:t>
      </w:r>
      <w:r>
        <w:rPr>
          <w:sz w:val="28"/>
          <w:szCs w:val="28"/>
        </w:rPr>
        <w:tab/>
      </w:r>
      <w:r w:rsidR="00423CC3" w:rsidRPr="00F24D0A">
        <w:rPr>
          <w:sz w:val="28"/>
          <w:szCs w:val="28"/>
        </w:rPr>
        <w:t>The panel attorneys contended that the article of Prof</w:t>
      </w:r>
      <w:r w:rsidR="002F7DE9" w:rsidRPr="00F24D0A">
        <w:rPr>
          <w:sz w:val="28"/>
          <w:szCs w:val="28"/>
        </w:rPr>
        <w:t>essor</w:t>
      </w:r>
      <w:r w:rsidR="00423CC3" w:rsidRPr="00F24D0A">
        <w:rPr>
          <w:sz w:val="28"/>
          <w:szCs w:val="28"/>
        </w:rPr>
        <w:t xml:space="preserve"> Klopper did not constitute </w:t>
      </w:r>
      <w:r w:rsidR="00AB3BE0" w:rsidRPr="00F24D0A">
        <w:rPr>
          <w:sz w:val="28"/>
          <w:szCs w:val="28"/>
        </w:rPr>
        <w:t xml:space="preserve">admissible </w:t>
      </w:r>
      <w:r w:rsidR="00423CC3" w:rsidRPr="00F24D0A">
        <w:rPr>
          <w:sz w:val="28"/>
          <w:szCs w:val="28"/>
        </w:rPr>
        <w:t>evidence. They did not, however, challenge the figures put up by him</w:t>
      </w:r>
      <w:r w:rsidR="005E7924" w:rsidRPr="00F24D0A">
        <w:rPr>
          <w:sz w:val="28"/>
          <w:szCs w:val="28"/>
        </w:rPr>
        <w:t>. They submitted, in addition, that the RAF has for many years be</w:t>
      </w:r>
      <w:r w:rsidR="002F7DE9" w:rsidRPr="00F24D0A">
        <w:rPr>
          <w:sz w:val="28"/>
          <w:szCs w:val="28"/>
        </w:rPr>
        <w:t>en</w:t>
      </w:r>
      <w:r w:rsidR="005E7924" w:rsidRPr="00F24D0A">
        <w:rPr>
          <w:sz w:val="28"/>
          <w:szCs w:val="28"/>
        </w:rPr>
        <w:t xml:space="preserve"> operating </w:t>
      </w:r>
      <w:r w:rsidR="00AB3BE0" w:rsidRPr="00F24D0A">
        <w:rPr>
          <w:sz w:val="28"/>
          <w:szCs w:val="28"/>
        </w:rPr>
        <w:t xml:space="preserve">at </w:t>
      </w:r>
      <w:r w:rsidR="005E7924" w:rsidRPr="00F24D0A">
        <w:rPr>
          <w:sz w:val="28"/>
          <w:szCs w:val="28"/>
        </w:rPr>
        <w:t>a deficit and t</w:t>
      </w:r>
      <w:r w:rsidR="00085503" w:rsidRPr="00F24D0A">
        <w:rPr>
          <w:sz w:val="28"/>
          <w:szCs w:val="28"/>
        </w:rPr>
        <w:t>he present situation is not a new one. But that is to conflate changed circumstances with the enquiry whether there are sufficient funds to meet the total envisaged expenditure. For many years, the RAF has lacked such funds. That this still obtained at the time the decision was taken</w:t>
      </w:r>
      <w:r w:rsidR="00360DE6" w:rsidRPr="00F24D0A">
        <w:rPr>
          <w:sz w:val="28"/>
          <w:szCs w:val="28"/>
        </w:rPr>
        <w:t xml:space="preserve"> is made clear by the report to the Board mentioned above, even if no regard is had to the article of Professor Klopper.</w:t>
      </w:r>
    </w:p>
    <w:p w14:paraId="11D4438B" w14:textId="77777777" w:rsidR="006052DF" w:rsidRDefault="006052DF" w:rsidP="006052DF">
      <w:pPr>
        <w:pStyle w:val="ListParagraph"/>
        <w:spacing w:line="360" w:lineRule="auto"/>
        <w:ind w:left="0"/>
        <w:jc w:val="both"/>
        <w:rPr>
          <w:sz w:val="28"/>
          <w:szCs w:val="28"/>
        </w:rPr>
      </w:pPr>
    </w:p>
    <w:p w14:paraId="0F7871D8" w14:textId="21F50485" w:rsidR="009724C8" w:rsidRPr="00F24D0A" w:rsidRDefault="00F24D0A" w:rsidP="00F24D0A">
      <w:pPr>
        <w:spacing w:line="360" w:lineRule="auto"/>
        <w:jc w:val="both"/>
        <w:rPr>
          <w:sz w:val="28"/>
          <w:szCs w:val="28"/>
        </w:rPr>
      </w:pPr>
      <w:r>
        <w:rPr>
          <w:sz w:val="28"/>
          <w:szCs w:val="28"/>
        </w:rPr>
        <w:t>[29]</w:t>
      </w:r>
      <w:r>
        <w:rPr>
          <w:sz w:val="28"/>
          <w:szCs w:val="28"/>
        </w:rPr>
        <w:tab/>
      </w:r>
      <w:r w:rsidR="00360DE6" w:rsidRPr="00F24D0A">
        <w:rPr>
          <w:sz w:val="28"/>
          <w:szCs w:val="28"/>
        </w:rPr>
        <w:t xml:space="preserve">All of this means that two </w:t>
      </w:r>
      <w:r w:rsidR="002932CD" w:rsidRPr="00F24D0A">
        <w:rPr>
          <w:sz w:val="28"/>
          <w:szCs w:val="28"/>
        </w:rPr>
        <w:t xml:space="preserve">of the </w:t>
      </w:r>
      <w:r w:rsidR="00360DE6" w:rsidRPr="00F24D0A">
        <w:rPr>
          <w:sz w:val="28"/>
          <w:szCs w:val="28"/>
        </w:rPr>
        <w:t xml:space="preserve">jurisdictional facts </w:t>
      </w:r>
      <w:r w:rsidR="00CE7774" w:rsidRPr="00F24D0A">
        <w:rPr>
          <w:sz w:val="28"/>
          <w:szCs w:val="28"/>
        </w:rPr>
        <w:t xml:space="preserve">referred to in Regulation 13 existed at the time the decision to cancel the tender was made. One such fact </w:t>
      </w:r>
      <w:r w:rsidR="00AB3BE0" w:rsidRPr="00F24D0A">
        <w:rPr>
          <w:sz w:val="28"/>
          <w:szCs w:val="28"/>
        </w:rPr>
        <w:t>is</w:t>
      </w:r>
      <w:r w:rsidR="00CE7774" w:rsidRPr="00F24D0A">
        <w:rPr>
          <w:sz w:val="28"/>
          <w:szCs w:val="28"/>
        </w:rPr>
        <w:t xml:space="preserve"> sufficient to </w:t>
      </w:r>
      <w:r w:rsidR="00AB3BE0" w:rsidRPr="00F24D0A">
        <w:rPr>
          <w:sz w:val="28"/>
          <w:szCs w:val="28"/>
        </w:rPr>
        <w:t xml:space="preserve">entitle the Board to </w:t>
      </w:r>
      <w:r w:rsidR="00CE7774" w:rsidRPr="00F24D0A">
        <w:rPr>
          <w:sz w:val="28"/>
          <w:szCs w:val="28"/>
        </w:rPr>
        <w:t>cancel</w:t>
      </w:r>
      <w:r w:rsidR="00AB3BE0" w:rsidRPr="00F24D0A">
        <w:rPr>
          <w:sz w:val="28"/>
          <w:szCs w:val="28"/>
        </w:rPr>
        <w:t xml:space="preserve"> the tender</w:t>
      </w:r>
      <w:r w:rsidR="00CE7774" w:rsidRPr="00F24D0A">
        <w:rPr>
          <w:sz w:val="28"/>
          <w:szCs w:val="28"/>
        </w:rPr>
        <w:t xml:space="preserve">. </w:t>
      </w:r>
      <w:r w:rsidR="0063235F" w:rsidRPr="00F24D0A">
        <w:rPr>
          <w:sz w:val="28"/>
          <w:szCs w:val="28"/>
        </w:rPr>
        <w:t>As such</w:t>
      </w:r>
      <w:r w:rsidR="00AB3BE0" w:rsidRPr="00F24D0A">
        <w:rPr>
          <w:sz w:val="28"/>
          <w:szCs w:val="28"/>
        </w:rPr>
        <w:t>,</w:t>
      </w:r>
      <w:r w:rsidR="0063235F" w:rsidRPr="00F24D0A">
        <w:rPr>
          <w:sz w:val="28"/>
          <w:szCs w:val="28"/>
        </w:rPr>
        <w:t xml:space="preserve"> Regulation 13 provided grounds for cancellation and the review of that decision should have failed. For these reasons, the present matter echoes that of </w:t>
      </w:r>
      <w:r w:rsidR="00B315E2" w:rsidRPr="00F24D0A">
        <w:rPr>
          <w:i/>
          <w:iCs/>
          <w:sz w:val="28"/>
          <w:szCs w:val="28"/>
        </w:rPr>
        <w:t>Nambiti Technologies</w:t>
      </w:r>
      <w:r w:rsidR="00B315E2" w:rsidRPr="00F24D0A">
        <w:rPr>
          <w:sz w:val="28"/>
          <w:szCs w:val="28"/>
        </w:rPr>
        <w:t xml:space="preserve"> and no further engagement </w:t>
      </w:r>
      <w:r w:rsidR="00997E56" w:rsidRPr="00F24D0A">
        <w:rPr>
          <w:sz w:val="28"/>
          <w:szCs w:val="28"/>
        </w:rPr>
        <w:t xml:space="preserve">need take place regarding the dictum in </w:t>
      </w:r>
      <w:r w:rsidR="00997E56" w:rsidRPr="00F24D0A">
        <w:rPr>
          <w:i/>
          <w:iCs/>
          <w:sz w:val="28"/>
          <w:szCs w:val="28"/>
        </w:rPr>
        <w:t>Trencon</w:t>
      </w:r>
      <w:r w:rsidR="00997E56" w:rsidRPr="00F24D0A">
        <w:rPr>
          <w:sz w:val="28"/>
          <w:szCs w:val="28"/>
        </w:rPr>
        <w:t>.</w:t>
      </w:r>
    </w:p>
    <w:p w14:paraId="024F053C" w14:textId="77777777" w:rsidR="002932CD" w:rsidRDefault="002932CD" w:rsidP="002932CD">
      <w:pPr>
        <w:spacing w:line="360" w:lineRule="auto"/>
        <w:jc w:val="both"/>
        <w:rPr>
          <w:b/>
          <w:bCs/>
          <w:sz w:val="28"/>
          <w:szCs w:val="28"/>
        </w:rPr>
      </w:pPr>
    </w:p>
    <w:p w14:paraId="189FB256" w14:textId="2EF4D9A9" w:rsidR="002932CD" w:rsidRPr="002932CD" w:rsidRDefault="002932CD" w:rsidP="002932CD">
      <w:pPr>
        <w:spacing w:line="360" w:lineRule="auto"/>
        <w:jc w:val="both"/>
        <w:rPr>
          <w:b/>
          <w:bCs/>
          <w:sz w:val="28"/>
          <w:szCs w:val="28"/>
        </w:rPr>
      </w:pPr>
      <w:r w:rsidRPr="002932CD">
        <w:rPr>
          <w:b/>
          <w:bCs/>
          <w:sz w:val="28"/>
          <w:szCs w:val="28"/>
        </w:rPr>
        <w:t>The handover decision</w:t>
      </w:r>
    </w:p>
    <w:p w14:paraId="2722E9CB" w14:textId="386618E9" w:rsidR="00D22004" w:rsidRPr="00F24D0A" w:rsidRDefault="00F24D0A" w:rsidP="00F24D0A">
      <w:pPr>
        <w:spacing w:line="360" w:lineRule="auto"/>
        <w:jc w:val="both"/>
        <w:rPr>
          <w:sz w:val="28"/>
          <w:szCs w:val="28"/>
        </w:rPr>
      </w:pPr>
      <w:r>
        <w:rPr>
          <w:sz w:val="28"/>
          <w:szCs w:val="28"/>
        </w:rPr>
        <w:t>[30]</w:t>
      </w:r>
      <w:r>
        <w:rPr>
          <w:sz w:val="28"/>
          <w:szCs w:val="28"/>
        </w:rPr>
        <w:tab/>
      </w:r>
      <w:r w:rsidR="00F72755" w:rsidRPr="00F24D0A">
        <w:rPr>
          <w:sz w:val="28"/>
          <w:szCs w:val="28"/>
        </w:rPr>
        <w:t>No argument was advanced at the hearing on this issue. Presumably this was because</w:t>
      </w:r>
      <w:r w:rsidR="00DE7144" w:rsidRPr="00F24D0A">
        <w:rPr>
          <w:sz w:val="28"/>
          <w:szCs w:val="28"/>
        </w:rPr>
        <w:t xml:space="preserve"> both FourieFismer and Diale had already handed over their files.</w:t>
      </w:r>
      <w:r w:rsidR="00D22004" w:rsidRPr="00F24D0A">
        <w:rPr>
          <w:sz w:val="28"/>
          <w:szCs w:val="28"/>
        </w:rPr>
        <w:t xml:space="preserve"> </w:t>
      </w:r>
      <w:r w:rsidR="00784E2F" w:rsidRPr="00F24D0A">
        <w:rPr>
          <w:sz w:val="28"/>
          <w:szCs w:val="28"/>
        </w:rPr>
        <w:t>As regards Mabunda, it argued that both the handover decision and the second addendum</w:t>
      </w:r>
      <w:r w:rsidR="009C5EB1" w:rsidRPr="00F24D0A">
        <w:rPr>
          <w:sz w:val="28"/>
          <w:szCs w:val="28"/>
        </w:rPr>
        <w:t xml:space="preserve"> were unlawful.</w:t>
      </w:r>
      <w:r w:rsidR="00D22004" w:rsidRPr="00F24D0A">
        <w:rPr>
          <w:sz w:val="28"/>
          <w:szCs w:val="28"/>
        </w:rPr>
        <w:t xml:space="preserve"> </w:t>
      </w:r>
      <w:r w:rsidR="009C5EB1" w:rsidRPr="00F24D0A">
        <w:rPr>
          <w:sz w:val="28"/>
          <w:szCs w:val="28"/>
        </w:rPr>
        <w:t xml:space="preserve">Since the handover decision gave effect to the </w:t>
      </w:r>
      <w:r w:rsidR="009C5EB1" w:rsidRPr="00F24D0A">
        <w:rPr>
          <w:sz w:val="28"/>
          <w:szCs w:val="28"/>
        </w:rPr>
        <w:lastRenderedPageBreak/>
        <w:t xml:space="preserve">second addendum, </w:t>
      </w:r>
      <w:r w:rsidR="00687273" w:rsidRPr="00F24D0A">
        <w:rPr>
          <w:sz w:val="28"/>
          <w:szCs w:val="28"/>
        </w:rPr>
        <w:t>it follows that if the latter should have been set aside, the former would follow suit.</w:t>
      </w:r>
    </w:p>
    <w:p w14:paraId="431CCD8B" w14:textId="77777777" w:rsidR="00D22004" w:rsidRDefault="00D22004" w:rsidP="00D22004">
      <w:pPr>
        <w:spacing w:line="360" w:lineRule="auto"/>
        <w:jc w:val="both"/>
        <w:rPr>
          <w:b/>
          <w:bCs/>
          <w:sz w:val="28"/>
          <w:szCs w:val="28"/>
        </w:rPr>
      </w:pPr>
    </w:p>
    <w:p w14:paraId="50DAFFB1" w14:textId="229ED9F8" w:rsidR="00D22004" w:rsidRPr="00D22004" w:rsidRDefault="00D22004" w:rsidP="00D22004">
      <w:pPr>
        <w:spacing w:line="360" w:lineRule="auto"/>
        <w:jc w:val="both"/>
        <w:rPr>
          <w:b/>
          <w:bCs/>
          <w:sz w:val="28"/>
          <w:szCs w:val="28"/>
        </w:rPr>
      </w:pPr>
      <w:r w:rsidRPr="00D22004">
        <w:rPr>
          <w:b/>
          <w:bCs/>
          <w:sz w:val="28"/>
          <w:szCs w:val="28"/>
        </w:rPr>
        <w:t>The second addendum</w:t>
      </w:r>
    </w:p>
    <w:p w14:paraId="5C09FC07" w14:textId="5EEB4222" w:rsidR="00E13216" w:rsidRPr="00F24D0A" w:rsidRDefault="00F24D0A" w:rsidP="00F24D0A">
      <w:pPr>
        <w:spacing w:line="360" w:lineRule="auto"/>
        <w:jc w:val="both"/>
        <w:rPr>
          <w:sz w:val="28"/>
          <w:szCs w:val="28"/>
        </w:rPr>
      </w:pPr>
      <w:r>
        <w:rPr>
          <w:sz w:val="28"/>
          <w:szCs w:val="28"/>
        </w:rPr>
        <w:t>[31]</w:t>
      </w:r>
      <w:r>
        <w:rPr>
          <w:sz w:val="28"/>
          <w:szCs w:val="28"/>
        </w:rPr>
        <w:tab/>
      </w:r>
      <w:r w:rsidR="00687273" w:rsidRPr="00F24D0A">
        <w:rPr>
          <w:sz w:val="28"/>
          <w:szCs w:val="28"/>
        </w:rPr>
        <w:t xml:space="preserve">The complaint was that the RAF had changed certain </w:t>
      </w:r>
      <w:r w:rsidR="00A047EF" w:rsidRPr="00F24D0A">
        <w:rPr>
          <w:sz w:val="28"/>
          <w:szCs w:val="28"/>
        </w:rPr>
        <w:t xml:space="preserve">terms concerning fees which the panel attorneys were entitled to charge under the original </w:t>
      </w:r>
      <w:r w:rsidR="00EE7037" w:rsidRPr="00F24D0A">
        <w:rPr>
          <w:sz w:val="28"/>
          <w:szCs w:val="28"/>
        </w:rPr>
        <w:t>SLA</w:t>
      </w:r>
      <w:r w:rsidR="004C6BF9" w:rsidRPr="00F24D0A">
        <w:rPr>
          <w:sz w:val="28"/>
          <w:szCs w:val="28"/>
        </w:rPr>
        <w:t>s</w:t>
      </w:r>
      <w:r w:rsidR="00EE7037" w:rsidRPr="00F24D0A">
        <w:rPr>
          <w:sz w:val="28"/>
          <w:szCs w:val="28"/>
        </w:rPr>
        <w:t>. That may be so, but the panel attorneys all signed the second addendum, thus amending the original SLA</w:t>
      </w:r>
      <w:r w:rsidR="004C6BF9" w:rsidRPr="00F24D0A">
        <w:rPr>
          <w:sz w:val="28"/>
          <w:szCs w:val="28"/>
        </w:rPr>
        <w:t>s</w:t>
      </w:r>
      <w:r w:rsidR="00EE7037" w:rsidRPr="00F24D0A">
        <w:rPr>
          <w:sz w:val="28"/>
          <w:szCs w:val="28"/>
        </w:rPr>
        <w:t>. Those who refused to do so simply handed back their files prior to the original November 2019 date</w:t>
      </w:r>
      <w:r w:rsidR="00B73E39" w:rsidRPr="00F24D0A">
        <w:rPr>
          <w:sz w:val="28"/>
          <w:szCs w:val="28"/>
        </w:rPr>
        <w:t xml:space="preserve"> at which the</w:t>
      </w:r>
      <w:r w:rsidR="004C6BF9" w:rsidRPr="00F24D0A">
        <w:rPr>
          <w:sz w:val="28"/>
          <w:szCs w:val="28"/>
        </w:rPr>
        <w:t>ir</w:t>
      </w:r>
      <w:r w:rsidR="00B73E39" w:rsidRPr="00F24D0A">
        <w:rPr>
          <w:sz w:val="28"/>
          <w:szCs w:val="28"/>
        </w:rPr>
        <w:t xml:space="preserve"> SLA</w:t>
      </w:r>
      <w:r w:rsidR="004C6BF9" w:rsidRPr="00F24D0A">
        <w:rPr>
          <w:sz w:val="28"/>
          <w:szCs w:val="28"/>
        </w:rPr>
        <w:t>s</w:t>
      </w:r>
      <w:r w:rsidR="00B73E39" w:rsidRPr="00F24D0A">
        <w:rPr>
          <w:sz w:val="28"/>
          <w:szCs w:val="28"/>
        </w:rPr>
        <w:t xml:space="preserve"> expired.</w:t>
      </w:r>
    </w:p>
    <w:p w14:paraId="7AC0E42E" w14:textId="77777777" w:rsidR="00D22004" w:rsidRDefault="00D22004" w:rsidP="00D22004">
      <w:pPr>
        <w:pStyle w:val="ListParagraph"/>
        <w:spacing w:line="360" w:lineRule="auto"/>
        <w:ind w:left="0"/>
        <w:jc w:val="both"/>
        <w:rPr>
          <w:sz w:val="28"/>
          <w:szCs w:val="28"/>
        </w:rPr>
      </w:pPr>
    </w:p>
    <w:p w14:paraId="26402A80" w14:textId="45AAC4A1" w:rsidR="00BF3A80" w:rsidRPr="00F24D0A" w:rsidRDefault="00F24D0A" w:rsidP="00F24D0A">
      <w:pPr>
        <w:spacing w:line="360" w:lineRule="auto"/>
        <w:jc w:val="both"/>
        <w:rPr>
          <w:sz w:val="28"/>
          <w:szCs w:val="28"/>
        </w:rPr>
      </w:pPr>
      <w:r>
        <w:rPr>
          <w:sz w:val="28"/>
          <w:szCs w:val="28"/>
        </w:rPr>
        <w:t>[32]</w:t>
      </w:r>
      <w:r>
        <w:rPr>
          <w:sz w:val="28"/>
          <w:szCs w:val="28"/>
        </w:rPr>
        <w:tab/>
      </w:r>
      <w:r w:rsidR="00B73E39" w:rsidRPr="00F24D0A">
        <w:rPr>
          <w:sz w:val="28"/>
          <w:szCs w:val="28"/>
        </w:rPr>
        <w:t>It bears mention that the high court did not review and set aside</w:t>
      </w:r>
      <w:r w:rsidR="00901098" w:rsidRPr="00F24D0A">
        <w:rPr>
          <w:sz w:val="28"/>
          <w:szCs w:val="28"/>
        </w:rPr>
        <w:t xml:space="preserve"> the second addendum. </w:t>
      </w:r>
      <w:r w:rsidR="003B13DC" w:rsidRPr="00F24D0A">
        <w:rPr>
          <w:sz w:val="28"/>
          <w:szCs w:val="28"/>
        </w:rPr>
        <w:t>It is trite that appeals lie against orders and not against reasons for the judgment.</w:t>
      </w:r>
      <w:r w:rsidR="003B13DC" w:rsidRPr="006B5398">
        <w:rPr>
          <w:rStyle w:val="FootnoteReference"/>
          <w:sz w:val="28"/>
          <w:szCs w:val="28"/>
        </w:rPr>
        <w:footnoteReference w:id="10"/>
      </w:r>
      <w:r w:rsidR="003B13DC" w:rsidRPr="00F24D0A">
        <w:rPr>
          <w:sz w:val="28"/>
          <w:szCs w:val="28"/>
        </w:rPr>
        <w:t xml:space="preserve"> </w:t>
      </w:r>
      <w:r w:rsidR="004C6BF9" w:rsidRPr="00F24D0A">
        <w:rPr>
          <w:sz w:val="28"/>
          <w:szCs w:val="28"/>
        </w:rPr>
        <w:t xml:space="preserve">There </w:t>
      </w:r>
      <w:r w:rsidR="00B67501" w:rsidRPr="00F24D0A">
        <w:rPr>
          <w:sz w:val="28"/>
          <w:szCs w:val="28"/>
        </w:rPr>
        <w:t>is</w:t>
      </w:r>
      <w:r w:rsidR="004C6BF9" w:rsidRPr="00F24D0A">
        <w:rPr>
          <w:sz w:val="28"/>
          <w:szCs w:val="28"/>
        </w:rPr>
        <w:t xml:space="preserve"> therefore</w:t>
      </w:r>
      <w:r w:rsidR="00B67501" w:rsidRPr="00F24D0A">
        <w:rPr>
          <w:sz w:val="28"/>
          <w:szCs w:val="28"/>
        </w:rPr>
        <w:t xml:space="preserve"> no need to pronounce on this issue, even if strong indications emerge from the judgment of the high court that</w:t>
      </w:r>
      <w:r w:rsidR="004343E7" w:rsidRPr="00F24D0A">
        <w:rPr>
          <w:sz w:val="28"/>
          <w:szCs w:val="28"/>
        </w:rPr>
        <w:t xml:space="preserve"> the second addendum was not lawful.</w:t>
      </w:r>
      <w:r w:rsidR="00901098" w:rsidRPr="00F24D0A">
        <w:rPr>
          <w:sz w:val="28"/>
          <w:szCs w:val="28"/>
        </w:rPr>
        <w:t xml:space="preserve"> As such, even if the panel attorneys</w:t>
      </w:r>
      <w:r w:rsidR="00F86081" w:rsidRPr="00F24D0A">
        <w:rPr>
          <w:sz w:val="28"/>
          <w:szCs w:val="28"/>
        </w:rPr>
        <w:t xml:space="preserve"> could make out a case for the unlawfulness of the second addendum, </w:t>
      </w:r>
      <w:r w:rsidR="00BB1147" w:rsidRPr="00F24D0A">
        <w:rPr>
          <w:sz w:val="28"/>
          <w:szCs w:val="28"/>
        </w:rPr>
        <w:t>the issue was not before us on appeal.</w:t>
      </w:r>
      <w:r w:rsidR="004343E7" w:rsidRPr="00F24D0A">
        <w:rPr>
          <w:sz w:val="28"/>
          <w:szCs w:val="28"/>
        </w:rPr>
        <w:t xml:space="preserve"> In any event,</w:t>
      </w:r>
      <w:r w:rsidR="00EF664E" w:rsidRPr="00F24D0A">
        <w:rPr>
          <w:sz w:val="28"/>
          <w:szCs w:val="28"/>
        </w:rPr>
        <w:t xml:space="preserve"> as indicated above, </w:t>
      </w:r>
      <w:r w:rsidR="00020B98" w:rsidRPr="00F24D0A">
        <w:rPr>
          <w:sz w:val="28"/>
          <w:szCs w:val="28"/>
        </w:rPr>
        <w:t>we</w:t>
      </w:r>
      <w:r w:rsidR="00EF664E" w:rsidRPr="00F24D0A">
        <w:rPr>
          <w:sz w:val="28"/>
          <w:szCs w:val="28"/>
        </w:rPr>
        <w:t xml:space="preserve"> hold the view that no case was made out in the applications for any such order or finding.</w:t>
      </w:r>
    </w:p>
    <w:p w14:paraId="1D1F28AB" w14:textId="77777777" w:rsidR="00DE3056" w:rsidRDefault="00DE3056" w:rsidP="00DE3056">
      <w:pPr>
        <w:spacing w:line="360" w:lineRule="auto"/>
        <w:jc w:val="both"/>
        <w:rPr>
          <w:b/>
          <w:bCs/>
          <w:sz w:val="28"/>
          <w:szCs w:val="28"/>
        </w:rPr>
      </w:pPr>
    </w:p>
    <w:p w14:paraId="02692F80" w14:textId="1E437654" w:rsidR="00DE3056" w:rsidRPr="00DE3056" w:rsidRDefault="00DE3056" w:rsidP="00DE3056">
      <w:pPr>
        <w:spacing w:line="360" w:lineRule="auto"/>
        <w:jc w:val="both"/>
        <w:rPr>
          <w:b/>
          <w:bCs/>
          <w:sz w:val="28"/>
          <w:szCs w:val="28"/>
        </w:rPr>
      </w:pPr>
      <w:r w:rsidRPr="00DE3056">
        <w:rPr>
          <w:b/>
          <w:bCs/>
          <w:sz w:val="28"/>
          <w:szCs w:val="28"/>
        </w:rPr>
        <w:t>The reinstatement of the appeal</w:t>
      </w:r>
    </w:p>
    <w:p w14:paraId="4F25633F" w14:textId="6C71040A" w:rsidR="00C30059" w:rsidRPr="00F24D0A" w:rsidRDefault="00F24D0A" w:rsidP="00F24D0A">
      <w:pPr>
        <w:spacing w:line="360" w:lineRule="auto"/>
        <w:jc w:val="both"/>
        <w:rPr>
          <w:sz w:val="28"/>
          <w:szCs w:val="28"/>
        </w:rPr>
      </w:pPr>
      <w:r>
        <w:rPr>
          <w:sz w:val="28"/>
          <w:szCs w:val="28"/>
        </w:rPr>
        <w:t>[33]</w:t>
      </w:r>
      <w:r>
        <w:rPr>
          <w:sz w:val="28"/>
          <w:szCs w:val="28"/>
        </w:rPr>
        <w:tab/>
      </w:r>
      <w:r w:rsidR="00B81570" w:rsidRPr="00F24D0A">
        <w:rPr>
          <w:sz w:val="28"/>
          <w:szCs w:val="28"/>
        </w:rPr>
        <w:t xml:space="preserve">As was indicated at the outset, the appeal had lapsed. </w:t>
      </w:r>
      <w:r w:rsidR="00BB1147" w:rsidRPr="00F24D0A">
        <w:rPr>
          <w:sz w:val="28"/>
          <w:szCs w:val="28"/>
        </w:rPr>
        <w:t>The RAF brought a substantive application</w:t>
      </w:r>
      <w:r w:rsidR="00A6015D" w:rsidRPr="00F24D0A">
        <w:rPr>
          <w:sz w:val="28"/>
          <w:szCs w:val="28"/>
        </w:rPr>
        <w:t xml:space="preserve"> for its reinstatement setting out the reasons for the non-compliance. </w:t>
      </w:r>
      <w:r w:rsidR="00BF3A80" w:rsidRPr="00F24D0A">
        <w:rPr>
          <w:sz w:val="28"/>
          <w:szCs w:val="28"/>
        </w:rPr>
        <w:t xml:space="preserve">The principles applicable for the granting of condonation are </w:t>
      </w:r>
      <w:r w:rsidR="00BF3A80" w:rsidRPr="00F24D0A">
        <w:rPr>
          <w:sz w:val="28"/>
          <w:szCs w:val="28"/>
        </w:rPr>
        <w:lastRenderedPageBreak/>
        <w:t xml:space="preserve">well known and </w:t>
      </w:r>
      <w:r w:rsidR="00020B98" w:rsidRPr="00F24D0A">
        <w:rPr>
          <w:sz w:val="28"/>
          <w:szCs w:val="28"/>
        </w:rPr>
        <w:t>we</w:t>
      </w:r>
      <w:r w:rsidR="00BF3A80" w:rsidRPr="00F24D0A">
        <w:rPr>
          <w:sz w:val="28"/>
          <w:szCs w:val="28"/>
        </w:rPr>
        <w:t xml:space="preserve"> do not propose traversing them.</w:t>
      </w:r>
      <w:r w:rsidR="00A6015D" w:rsidRPr="00F24D0A">
        <w:rPr>
          <w:sz w:val="28"/>
          <w:szCs w:val="28"/>
        </w:rPr>
        <w:t xml:space="preserve"> The ground of opposition </w:t>
      </w:r>
      <w:r w:rsidR="0061545C" w:rsidRPr="00F24D0A">
        <w:rPr>
          <w:sz w:val="28"/>
          <w:szCs w:val="28"/>
        </w:rPr>
        <w:t xml:space="preserve">by Mabunda and FourieFismer </w:t>
      </w:r>
      <w:r w:rsidR="00A6015D" w:rsidRPr="00F24D0A">
        <w:rPr>
          <w:sz w:val="28"/>
          <w:szCs w:val="28"/>
        </w:rPr>
        <w:t>was that the appeal was moot.</w:t>
      </w:r>
      <w:r w:rsidR="0061545C" w:rsidRPr="00F24D0A">
        <w:rPr>
          <w:sz w:val="28"/>
          <w:szCs w:val="28"/>
        </w:rPr>
        <w:t xml:space="preserve"> In addition, Mabunda contended that the failure to comply with the rules was wilful.</w:t>
      </w:r>
      <w:r w:rsidR="00C30059" w:rsidRPr="00F24D0A">
        <w:rPr>
          <w:sz w:val="28"/>
          <w:szCs w:val="28"/>
        </w:rPr>
        <w:t xml:space="preserve"> Finally, FourieFismer opposed the application since, in its view, it was based on an application by the RAF to lead further evidence on appeal. </w:t>
      </w:r>
    </w:p>
    <w:p w14:paraId="1AF14D44" w14:textId="77777777" w:rsidR="00DE3056" w:rsidRDefault="00DE3056" w:rsidP="00DE3056">
      <w:pPr>
        <w:pStyle w:val="ListParagraph"/>
        <w:spacing w:line="360" w:lineRule="auto"/>
        <w:ind w:left="0"/>
        <w:jc w:val="both"/>
        <w:rPr>
          <w:sz w:val="28"/>
          <w:szCs w:val="28"/>
        </w:rPr>
      </w:pPr>
    </w:p>
    <w:p w14:paraId="5ABB24BE" w14:textId="5536C736" w:rsidR="00FB4C39" w:rsidRPr="00F24D0A" w:rsidRDefault="00F24D0A" w:rsidP="00F24D0A">
      <w:pPr>
        <w:spacing w:line="360" w:lineRule="auto"/>
        <w:jc w:val="both"/>
        <w:rPr>
          <w:sz w:val="28"/>
          <w:szCs w:val="28"/>
        </w:rPr>
      </w:pPr>
      <w:r>
        <w:rPr>
          <w:sz w:val="28"/>
          <w:szCs w:val="28"/>
        </w:rPr>
        <w:t>[34]</w:t>
      </w:r>
      <w:r>
        <w:rPr>
          <w:sz w:val="28"/>
          <w:szCs w:val="28"/>
        </w:rPr>
        <w:tab/>
      </w:r>
      <w:r w:rsidR="00C30059" w:rsidRPr="00F24D0A">
        <w:rPr>
          <w:sz w:val="28"/>
          <w:szCs w:val="28"/>
        </w:rPr>
        <w:t>This latter application fell away so that ground of opposition need not be dealt with.</w:t>
      </w:r>
      <w:r w:rsidR="00B72528" w:rsidRPr="00F24D0A">
        <w:rPr>
          <w:sz w:val="28"/>
          <w:szCs w:val="28"/>
        </w:rPr>
        <w:t xml:space="preserve"> The issue of mootness </w:t>
      </w:r>
      <w:r w:rsidR="00EF664E" w:rsidRPr="00F24D0A">
        <w:rPr>
          <w:sz w:val="28"/>
          <w:szCs w:val="28"/>
        </w:rPr>
        <w:t>was</w:t>
      </w:r>
      <w:r w:rsidR="00B72528" w:rsidRPr="00F24D0A">
        <w:rPr>
          <w:sz w:val="28"/>
          <w:szCs w:val="28"/>
        </w:rPr>
        <w:t xml:space="preserve"> disposed of earlier in this judgment.</w:t>
      </w:r>
      <w:r w:rsidR="009940F1" w:rsidRPr="00F24D0A">
        <w:rPr>
          <w:sz w:val="28"/>
          <w:szCs w:val="28"/>
        </w:rPr>
        <w:t xml:space="preserve"> Where there is non-compliance with procedural requirements of the court, satisfactory explanations must be provided. The court has an overriding discretion to consider all circumstances of the case.</w:t>
      </w:r>
      <w:r w:rsidR="009940F1" w:rsidRPr="006B5398">
        <w:rPr>
          <w:rStyle w:val="FootnoteReference"/>
          <w:sz w:val="28"/>
          <w:szCs w:val="28"/>
        </w:rPr>
        <w:footnoteReference w:id="11"/>
      </w:r>
      <w:r w:rsidR="009940F1" w:rsidRPr="00F24D0A">
        <w:rPr>
          <w:sz w:val="28"/>
          <w:szCs w:val="28"/>
        </w:rPr>
        <w:t xml:space="preserve"> The overriding factor was set out in </w:t>
      </w:r>
      <w:r w:rsidR="009940F1" w:rsidRPr="00F24D0A">
        <w:rPr>
          <w:i/>
          <w:iCs/>
          <w:sz w:val="28"/>
          <w:szCs w:val="28"/>
        </w:rPr>
        <w:t>Van Wyk v Unitas Hospital</w:t>
      </w:r>
      <w:r w:rsidR="009940F1" w:rsidRPr="00F24D0A">
        <w:rPr>
          <w:sz w:val="28"/>
          <w:szCs w:val="28"/>
        </w:rPr>
        <w:t xml:space="preserve"> </w:t>
      </w:r>
      <w:r w:rsidR="009940F1" w:rsidRPr="00F24D0A">
        <w:rPr>
          <w:i/>
          <w:iCs/>
          <w:sz w:val="28"/>
          <w:szCs w:val="28"/>
        </w:rPr>
        <w:t>(Open Democratic Advice Centre as Amicus Curiae)</w:t>
      </w:r>
      <w:r w:rsidR="009940F1" w:rsidRPr="0082460B">
        <w:rPr>
          <w:rStyle w:val="FootnoteReference"/>
          <w:sz w:val="28"/>
          <w:szCs w:val="28"/>
        </w:rPr>
        <w:footnoteReference w:id="12"/>
      </w:r>
      <w:r w:rsidR="009940F1" w:rsidRPr="00F24D0A">
        <w:rPr>
          <w:i/>
          <w:iCs/>
          <w:sz w:val="28"/>
          <w:szCs w:val="28"/>
        </w:rPr>
        <w:t xml:space="preserve"> </w:t>
      </w:r>
      <w:r w:rsidR="009940F1" w:rsidRPr="00F24D0A">
        <w:rPr>
          <w:sz w:val="28"/>
          <w:szCs w:val="28"/>
        </w:rPr>
        <w:t xml:space="preserve">as being the interests of justice. The </w:t>
      </w:r>
      <w:r w:rsidR="00280BD6" w:rsidRPr="00F24D0A">
        <w:rPr>
          <w:sz w:val="28"/>
          <w:szCs w:val="28"/>
        </w:rPr>
        <w:t>RAF</w:t>
      </w:r>
      <w:r w:rsidR="009940F1" w:rsidRPr="00F24D0A">
        <w:rPr>
          <w:sz w:val="28"/>
          <w:szCs w:val="28"/>
        </w:rPr>
        <w:t xml:space="preserve"> gave a cogent explanation</w:t>
      </w:r>
      <w:r w:rsidR="00280BD6" w:rsidRPr="00F24D0A">
        <w:rPr>
          <w:sz w:val="28"/>
          <w:szCs w:val="28"/>
        </w:rPr>
        <w:t xml:space="preserve"> for </w:t>
      </w:r>
      <w:r w:rsidR="00487B58" w:rsidRPr="00F24D0A">
        <w:rPr>
          <w:sz w:val="28"/>
          <w:szCs w:val="28"/>
        </w:rPr>
        <w:t xml:space="preserve">its default. In addition, </w:t>
      </w:r>
      <w:r w:rsidR="000B58B3" w:rsidRPr="00F24D0A">
        <w:rPr>
          <w:sz w:val="28"/>
          <w:szCs w:val="28"/>
        </w:rPr>
        <w:t xml:space="preserve">we </w:t>
      </w:r>
      <w:r w:rsidR="00020B98" w:rsidRPr="00F24D0A">
        <w:rPr>
          <w:sz w:val="28"/>
          <w:szCs w:val="28"/>
        </w:rPr>
        <w:t>are</w:t>
      </w:r>
      <w:r w:rsidR="009940F1" w:rsidRPr="00F24D0A">
        <w:rPr>
          <w:sz w:val="28"/>
          <w:szCs w:val="28"/>
        </w:rPr>
        <w:t xml:space="preserve"> of the view that</w:t>
      </w:r>
      <w:r w:rsidR="00487B58" w:rsidRPr="00F24D0A">
        <w:rPr>
          <w:sz w:val="28"/>
          <w:szCs w:val="28"/>
        </w:rPr>
        <w:t>, in the light of</w:t>
      </w:r>
      <w:r w:rsidR="00405498" w:rsidRPr="00F24D0A">
        <w:rPr>
          <w:sz w:val="28"/>
          <w:szCs w:val="28"/>
        </w:rPr>
        <w:t xml:space="preserve"> the issues in this matter </w:t>
      </w:r>
      <w:r w:rsidR="006F7F67" w:rsidRPr="00F24D0A">
        <w:rPr>
          <w:sz w:val="28"/>
          <w:szCs w:val="28"/>
        </w:rPr>
        <w:t>and the order of the high court which had the effect of reinstating a tender which had been validly cancelled,</w:t>
      </w:r>
      <w:r w:rsidR="009940F1" w:rsidRPr="00F24D0A">
        <w:rPr>
          <w:sz w:val="28"/>
          <w:szCs w:val="28"/>
        </w:rPr>
        <w:t xml:space="preserve"> it is in the interest</w:t>
      </w:r>
      <w:r w:rsidR="006F7F67" w:rsidRPr="00F24D0A">
        <w:rPr>
          <w:sz w:val="28"/>
          <w:szCs w:val="28"/>
        </w:rPr>
        <w:t>s</w:t>
      </w:r>
      <w:r w:rsidR="009940F1" w:rsidRPr="00F24D0A">
        <w:rPr>
          <w:sz w:val="28"/>
          <w:szCs w:val="28"/>
        </w:rPr>
        <w:t xml:space="preserve"> of justice that condonation is granted. </w:t>
      </w:r>
      <w:r w:rsidR="00EC696E" w:rsidRPr="00F24D0A">
        <w:rPr>
          <w:sz w:val="28"/>
          <w:szCs w:val="28"/>
        </w:rPr>
        <w:t>Finally, the prospects of success weigh in favour of granting condonation and reinstating the appeal.</w:t>
      </w:r>
    </w:p>
    <w:p w14:paraId="1EF53166" w14:textId="77777777" w:rsidR="00BA3622" w:rsidRDefault="00BA3622" w:rsidP="00BA3622">
      <w:pPr>
        <w:spacing w:line="360" w:lineRule="auto"/>
        <w:jc w:val="both"/>
        <w:rPr>
          <w:b/>
          <w:bCs/>
          <w:iCs/>
          <w:sz w:val="28"/>
          <w:szCs w:val="28"/>
        </w:rPr>
      </w:pPr>
    </w:p>
    <w:p w14:paraId="1F15F193" w14:textId="2F8F13BE" w:rsidR="00BA3622" w:rsidRPr="00BA3622" w:rsidRDefault="00BA3622" w:rsidP="00BA3622">
      <w:pPr>
        <w:spacing w:line="360" w:lineRule="auto"/>
        <w:jc w:val="both"/>
        <w:rPr>
          <w:b/>
          <w:bCs/>
          <w:iCs/>
          <w:sz w:val="28"/>
          <w:szCs w:val="28"/>
        </w:rPr>
      </w:pPr>
      <w:r w:rsidRPr="00BA3622">
        <w:rPr>
          <w:b/>
          <w:bCs/>
          <w:iCs/>
          <w:sz w:val="28"/>
          <w:szCs w:val="28"/>
        </w:rPr>
        <w:t>The continued operation of the SLA</w:t>
      </w:r>
    </w:p>
    <w:p w14:paraId="53376F0B" w14:textId="033211F2" w:rsidR="00BF3A80" w:rsidRPr="00F24D0A" w:rsidRDefault="00F24D0A" w:rsidP="00F24D0A">
      <w:pPr>
        <w:spacing w:line="360" w:lineRule="auto"/>
        <w:jc w:val="both"/>
        <w:rPr>
          <w:sz w:val="28"/>
          <w:szCs w:val="28"/>
        </w:rPr>
      </w:pPr>
      <w:r>
        <w:rPr>
          <w:sz w:val="28"/>
          <w:szCs w:val="28"/>
        </w:rPr>
        <w:t>[35]</w:t>
      </w:r>
      <w:r>
        <w:rPr>
          <w:sz w:val="28"/>
          <w:szCs w:val="28"/>
        </w:rPr>
        <w:tab/>
      </w:r>
      <w:r w:rsidR="006F7F67" w:rsidRPr="00F24D0A">
        <w:rPr>
          <w:sz w:val="28"/>
          <w:szCs w:val="28"/>
        </w:rPr>
        <w:t xml:space="preserve">Much argument was directed at the six month period in the order of the high court. </w:t>
      </w:r>
      <w:r w:rsidR="00B96346" w:rsidRPr="00F24D0A">
        <w:rPr>
          <w:sz w:val="28"/>
          <w:szCs w:val="28"/>
        </w:rPr>
        <w:t xml:space="preserve">Most of this argument related to the effect of the </w:t>
      </w:r>
      <w:r w:rsidR="0087531A" w:rsidRPr="00F24D0A">
        <w:rPr>
          <w:sz w:val="28"/>
          <w:szCs w:val="28"/>
        </w:rPr>
        <w:t xml:space="preserve">grant of leave to appeal and whether it suspended this part of the order. </w:t>
      </w:r>
      <w:r w:rsidR="006F7F67" w:rsidRPr="00F24D0A">
        <w:rPr>
          <w:sz w:val="28"/>
          <w:szCs w:val="28"/>
        </w:rPr>
        <w:t>It will be recalled that</w:t>
      </w:r>
      <w:r w:rsidR="00B515C5" w:rsidRPr="00F24D0A">
        <w:rPr>
          <w:sz w:val="28"/>
          <w:szCs w:val="28"/>
        </w:rPr>
        <w:t xml:space="preserve"> this </w:t>
      </w:r>
      <w:r w:rsidR="000C137B" w:rsidRPr="00F24D0A">
        <w:rPr>
          <w:sz w:val="28"/>
          <w:szCs w:val="28"/>
        </w:rPr>
        <w:t xml:space="preserve">related to paragraphs 3 and 4 </w:t>
      </w:r>
      <w:r w:rsidR="00B515C5" w:rsidRPr="00F24D0A">
        <w:rPr>
          <w:sz w:val="28"/>
          <w:szCs w:val="28"/>
        </w:rPr>
        <w:t>of the order</w:t>
      </w:r>
      <w:r w:rsidR="000C137B" w:rsidRPr="00F24D0A">
        <w:rPr>
          <w:sz w:val="28"/>
          <w:szCs w:val="28"/>
        </w:rPr>
        <w:t>:</w:t>
      </w:r>
    </w:p>
    <w:p w14:paraId="49DE549F" w14:textId="77777777" w:rsidR="00953E81" w:rsidRPr="000C137B" w:rsidRDefault="00953E81" w:rsidP="00953E81">
      <w:pPr>
        <w:spacing w:line="360" w:lineRule="auto"/>
        <w:jc w:val="both"/>
        <w:rPr>
          <w:sz w:val="28"/>
          <w:szCs w:val="28"/>
        </w:rPr>
      </w:pPr>
      <w:r w:rsidRPr="000C137B">
        <w:rPr>
          <w:sz w:val="28"/>
          <w:szCs w:val="28"/>
        </w:rPr>
        <w:lastRenderedPageBreak/>
        <w:t>3.  The panel attorneys on the RAF’s panel as at the date of the launch of the FourieFismer review application shall continue to serve on the RAF panel of attorneys.</w:t>
      </w:r>
    </w:p>
    <w:p w14:paraId="71612F80" w14:textId="77777777" w:rsidR="00953E81" w:rsidRPr="000C137B" w:rsidRDefault="00953E81" w:rsidP="00953E81">
      <w:pPr>
        <w:spacing w:line="360" w:lineRule="auto"/>
        <w:jc w:val="both"/>
        <w:rPr>
          <w:sz w:val="28"/>
          <w:szCs w:val="28"/>
        </w:rPr>
      </w:pPr>
      <w:r w:rsidRPr="000C137B">
        <w:rPr>
          <w:sz w:val="28"/>
          <w:szCs w:val="28"/>
        </w:rPr>
        <w:t>4.  The RAF shall fulfil all of its obligations to such attorneys in terms of the existing Service Level Agreement.</w:t>
      </w:r>
    </w:p>
    <w:p w14:paraId="09CB5AF3" w14:textId="77777777" w:rsidR="00953E81" w:rsidRDefault="00953E81" w:rsidP="00953E81">
      <w:pPr>
        <w:pStyle w:val="ListParagraph"/>
        <w:spacing w:line="360" w:lineRule="auto"/>
        <w:ind w:left="0"/>
        <w:jc w:val="both"/>
        <w:rPr>
          <w:sz w:val="28"/>
          <w:szCs w:val="28"/>
        </w:rPr>
      </w:pPr>
    </w:p>
    <w:p w14:paraId="5D75BC07" w14:textId="2FB22B2E" w:rsidR="00BF3A80" w:rsidRPr="00F24D0A" w:rsidRDefault="00F24D0A" w:rsidP="00F24D0A">
      <w:pPr>
        <w:spacing w:line="360" w:lineRule="auto"/>
        <w:jc w:val="both"/>
        <w:rPr>
          <w:sz w:val="28"/>
          <w:szCs w:val="28"/>
        </w:rPr>
      </w:pPr>
      <w:r>
        <w:rPr>
          <w:sz w:val="28"/>
          <w:szCs w:val="28"/>
        </w:rPr>
        <w:t>[36]</w:t>
      </w:r>
      <w:r>
        <w:rPr>
          <w:sz w:val="28"/>
          <w:szCs w:val="28"/>
        </w:rPr>
        <w:tab/>
      </w:r>
      <w:r w:rsidR="000C137B" w:rsidRPr="00F24D0A">
        <w:rPr>
          <w:sz w:val="28"/>
          <w:szCs w:val="28"/>
        </w:rPr>
        <w:t>The second addendum extended the SLA</w:t>
      </w:r>
      <w:r w:rsidR="00083287" w:rsidRPr="00F24D0A">
        <w:rPr>
          <w:sz w:val="28"/>
          <w:szCs w:val="28"/>
        </w:rPr>
        <w:t>s</w:t>
      </w:r>
      <w:r w:rsidR="000C137B" w:rsidRPr="00F24D0A">
        <w:rPr>
          <w:sz w:val="28"/>
          <w:szCs w:val="28"/>
        </w:rPr>
        <w:t xml:space="preserve"> to 31 May 2020. On that date, </w:t>
      </w:r>
      <w:r w:rsidR="000611D2" w:rsidRPr="00F24D0A">
        <w:rPr>
          <w:sz w:val="28"/>
          <w:szCs w:val="28"/>
        </w:rPr>
        <w:t xml:space="preserve">on any version, </w:t>
      </w:r>
      <w:r w:rsidR="000C137B" w:rsidRPr="00F24D0A">
        <w:rPr>
          <w:sz w:val="28"/>
          <w:szCs w:val="28"/>
        </w:rPr>
        <w:t xml:space="preserve">the </w:t>
      </w:r>
      <w:r w:rsidR="001D4FA1" w:rsidRPr="00F24D0A">
        <w:rPr>
          <w:sz w:val="28"/>
          <w:szCs w:val="28"/>
        </w:rPr>
        <w:t xml:space="preserve">extended </w:t>
      </w:r>
      <w:r w:rsidR="000C137B" w:rsidRPr="00F24D0A">
        <w:rPr>
          <w:sz w:val="28"/>
          <w:szCs w:val="28"/>
        </w:rPr>
        <w:t>SLA</w:t>
      </w:r>
      <w:r w:rsidR="00083287" w:rsidRPr="00F24D0A">
        <w:rPr>
          <w:sz w:val="28"/>
          <w:szCs w:val="28"/>
        </w:rPr>
        <w:t>s</w:t>
      </w:r>
      <w:r w:rsidR="000C137B" w:rsidRPr="00F24D0A">
        <w:rPr>
          <w:sz w:val="28"/>
          <w:szCs w:val="28"/>
        </w:rPr>
        <w:t xml:space="preserve"> lapsed through effluxion o</w:t>
      </w:r>
      <w:r w:rsidR="00083287" w:rsidRPr="00F24D0A">
        <w:rPr>
          <w:sz w:val="28"/>
          <w:szCs w:val="28"/>
        </w:rPr>
        <w:t>f</w:t>
      </w:r>
      <w:r w:rsidR="000C137B" w:rsidRPr="00F24D0A">
        <w:rPr>
          <w:sz w:val="28"/>
          <w:szCs w:val="28"/>
        </w:rPr>
        <w:t xml:space="preserve"> time.</w:t>
      </w:r>
      <w:r w:rsidR="00D91DBD" w:rsidRPr="00F24D0A">
        <w:rPr>
          <w:sz w:val="28"/>
          <w:szCs w:val="28"/>
        </w:rPr>
        <w:t xml:space="preserve"> </w:t>
      </w:r>
      <w:r w:rsidR="000611D2" w:rsidRPr="00F24D0A">
        <w:rPr>
          <w:sz w:val="28"/>
          <w:szCs w:val="28"/>
        </w:rPr>
        <w:t xml:space="preserve">This much was common cause. </w:t>
      </w:r>
      <w:r w:rsidR="00D91DBD" w:rsidRPr="00F24D0A">
        <w:rPr>
          <w:sz w:val="28"/>
          <w:szCs w:val="28"/>
        </w:rPr>
        <w:t xml:space="preserve">The orders referred to above were </w:t>
      </w:r>
      <w:r w:rsidR="000611D2" w:rsidRPr="00F24D0A">
        <w:rPr>
          <w:sz w:val="28"/>
          <w:szCs w:val="28"/>
        </w:rPr>
        <w:t>clearly geared at attempting to</w:t>
      </w:r>
      <w:r w:rsidR="00D91DBD" w:rsidRPr="00F24D0A">
        <w:rPr>
          <w:sz w:val="28"/>
          <w:szCs w:val="28"/>
        </w:rPr>
        <w:t xml:space="preserve"> maintain</w:t>
      </w:r>
      <w:r w:rsidR="000611D2" w:rsidRPr="00F24D0A">
        <w:rPr>
          <w:sz w:val="28"/>
          <w:szCs w:val="28"/>
        </w:rPr>
        <w:t xml:space="preserve"> </w:t>
      </w:r>
      <w:r w:rsidR="00D91DBD" w:rsidRPr="00F24D0A">
        <w:rPr>
          <w:sz w:val="28"/>
          <w:szCs w:val="28"/>
        </w:rPr>
        <w:t>the status quo</w:t>
      </w:r>
      <w:r w:rsidR="004A5134" w:rsidRPr="00F24D0A">
        <w:rPr>
          <w:sz w:val="28"/>
          <w:szCs w:val="28"/>
        </w:rPr>
        <w:t xml:space="preserve"> </w:t>
      </w:r>
      <w:r w:rsidR="000611D2" w:rsidRPr="00F24D0A">
        <w:rPr>
          <w:sz w:val="28"/>
          <w:szCs w:val="28"/>
        </w:rPr>
        <w:t xml:space="preserve">during the six month period </w:t>
      </w:r>
      <w:r w:rsidR="004A5134" w:rsidRPr="00F24D0A">
        <w:rPr>
          <w:sz w:val="28"/>
          <w:szCs w:val="28"/>
        </w:rPr>
        <w:t xml:space="preserve">so that the RAF could give effect to the tender reinstated by the order of the high court. However, the high court order was handed down on 1 June 2020. </w:t>
      </w:r>
      <w:r w:rsidR="00880853" w:rsidRPr="00F24D0A">
        <w:rPr>
          <w:sz w:val="28"/>
          <w:szCs w:val="28"/>
        </w:rPr>
        <w:t xml:space="preserve">By that date, there were no SLAs to extend. </w:t>
      </w:r>
      <w:r w:rsidR="004A5134" w:rsidRPr="00F24D0A">
        <w:rPr>
          <w:sz w:val="28"/>
          <w:szCs w:val="28"/>
        </w:rPr>
        <w:t>This means that</w:t>
      </w:r>
      <w:r w:rsidR="00407AA6" w:rsidRPr="00F24D0A">
        <w:rPr>
          <w:sz w:val="28"/>
          <w:szCs w:val="28"/>
        </w:rPr>
        <w:t xml:space="preserve"> paragraphs 3 and 4 were clearly incompetent. In the first of these, the high court purported to make a contract for parties who were no longer contractually bound to each other</w:t>
      </w:r>
      <w:r w:rsidR="00CB1ECB" w:rsidRPr="00F24D0A">
        <w:rPr>
          <w:sz w:val="28"/>
          <w:szCs w:val="28"/>
        </w:rPr>
        <w:t>.</w:t>
      </w:r>
      <w:r w:rsidR="00342F2B" w:rsidRPr="006B5398">
        <w:rPr>
          <w:rStyle w:val="FootnoteReference"/>
          <w:sz w:val="28"/>
          <w:szCs w:val="28"/>
        </w:rPr>
        <w:footnoteReference w:id="13"/>
      </w:r>
      <w:r w:rsidR="00CB1ECB" w:rsidRPr="00F24D0A">
        <w:rPr>
          <w:sz w:val="28"/>
          <w:szCs w:val="28"/>
        </w:rPr>
        <w:t xml:space="preserve"> The second of these referred to the terms and conditions which were to govern </w:t>
      </w:r>
      <w:r w:rsidR="00D27CF2" w:rsidRPr="00F24D0A">
        <w:rPr>
          <w:sz w:val="28"/>
          <w:szCs w:val="28"/>
        </w:rPr>
        <w:t>such a</w:t>
      </w:r>
      <w:r w:rsidR="00CB1ECB" w:rsidRPr="00F24D0A">
        <w:rPr>
          <w:sz w:val="28"/>
          <w:szCs w:val="28"/>
        </w:rPr>
        <w:t xml:space="preserve"> contract</w:t>
      </w:r>
      <w:r w:rsidR="00D27CF2" w:rsidRPr="00F24D0A">
        <w:rPr>
          <w:sz w:val="28"/>
          <w:szCs w:val="28"/>
        </w:rPr>
        <w:t>, if one was in existence,</w:t>
      </w:r>
      <w:r w:rsidR="00CB1ECB" w:rsidRPr="00F24D0A">
        <w:rPr>
          <w:sz w:val="28"/>
          <w:szCs w:val="28"/>
        </w:rPr>
        <w:t xml:space="preserve"> but did so by reference to </w:t>
      </w:r>
      <w:r w:rsidR="00F96B94" w:rsidRPr="00F24D0A">
        <w:rPr>
          <w:sz w:val="28"/>
          <w:szCs w:val="28"/>
        </w:rPr>
        <w:t>‘the existing Service Level Agreement’. There was, of course, no such agreement in operation on that date.</w:t>
      </w:r>
      <w:r w:rsidR="005959DF" w:rsidRPr="00F24D0A">
        <w:rPr>
          <w:sz w:val="28"/>
          <w:szCs w:val="28"/>
        </w:rPr>
        <w:t xml:space="preserve"> As a result, those orders must also clearly be set aside on appeal.</w:t>
      </w:r>
    </w:p>
    <w:p w14:paraId="75DC70C4" w14:textId="77777777" w:rsidR="00953E81" w:rsidRDefault="00953E81" w:rsidP="00953E81">
      <w:pPr>
        <w:pStyle w:val="ListParagraph"/>
        <w:spacing w:line="360" w:lineRule="auto"/>
        <w:ind w:left="0"/>
        <w:jc w:val="both"/>
        <w:rPr>
          <w:sz w:val="28"/>
          <w:szCs w:val="28"/>
        </w:rPr>
      </w:pPr>
    </w:p>
    <w:p w14:paraId="3E620D0C" w14:textId="74BEFEFD" w:rsidR="00BF3A80" w:rsidRPr="00F24D0A" w:rsidRDefault="00F24D0A" w:rsidP="00F24D0A">
      <w:pPr>
        <w:spacing w:line="360" w:lineRule="auto"/>
        <w:jc w:val="both"/>
        <w:rPr>
          <w:sz w:val="28"/>
          <w:szCs w:val="28"/>
        </w:rPr>
      </w:pPr>
      <w:r>
        <w:rPr>
          <w:sz w:val="28"/>
          <w:szCs w:val="28"/>
        </w:rPr>
        <w:t>[37]</w:t>
      </w:r>
      <w:r>
        <w:rPr>
          <w:sz w:val="28"/>
          <w:szCs w:val="28"/>
        </w:rPr>
        <w:tab/>
      </w:r>
      <w:r w:rsidR="002808A6" w:rsidRPr="00F24D0A">
        <w:rPr>
          <w:sz w:val="28"/>
          <w:szCs w:val="28"/>
        </w:rPr>
        <w:t xml:space="preserve">Whatever regulated the relationship between the parties </w:t>
      </w:r>
      <w:r w:rsidR="00D27CF2" w:rsidRPr="00F24D0A">
        <w:rPr>
          <w:sz w:val="28"/>
          <w:szCs w:val="28"/>
        </w:rPr>
        <w:t xml:space="preserve">after 1 June 2020 </w:t>
      </w:r>
      <w:r w:rsidR="002808A6" w:rsidRPr="00F24D0A">
        <w:rPr>
          <w:sz w:val="28"/>
          <w:szCs w:val="28"/>
        </w:rPr>
        <w:t>w</w:t>
      </w:r>
      <w:r w:rsidR="009773EC" w:rsidRPr="00F24D0A">
        <w:rPr>
          <w:sz w:val="28"/>
          <w:szCs w:val="28"/>
        </w:rPr>
        <w:t>ill</w:t>
      </w:r>
      <w:r w:rsidR="002808A6" w:rsidRPr="00F24D0A">
        <w:rPr>
          <w:sz w:val="28"/>
          <w:szCs w:val="28"/>
        </w:rPr>
        <w:t xml:space="preserve"> have to be debated between the</w:t>
      </w:r>
      <w:r w:rsidR="009773EC" w:rsidRPr="00F24D0A">
        <w:rPr>
          <w:sz w:val="28"/>
          <w:szCs w:val="28"/>
        </w:rPr>
        <w:t xml:space="preserve"> parties</w:t>
      </w:r>
      <w:r w:rsidR="002808A6" w:rsidRPr="00F24D0A">
        <w:rPr>
          <w:sz w:val="28"/>
          <w:szCs w:val="28"/>
        </w:rPr>
        <w:t xml:space="preserve"> since </w:t>
      </w:r>
      <w:r w:rsidR="00D27CF2" w:rsidRPr="00F24D0A">
        <w:rPr>
          <w:sz w:val="28"/>
          <w:szCs w:val="28"/>
        </w:rPr>
        <w:t xml:space="preserve">no contract </w:t>
      </w:r>
      <w:r w:rsidR="000753B2" w:rsidRPr="00F24D0A">
        <w:rPr>
          <w:sz w:val="28"/>
          <w:szCs w:val="28"/>
        </w:rPr>
        <w:t>referred to in the papers</w:t>
      </w:r>
      <w:r w:rsidR="00192B70" w:rsidRPr="00F24D0A">
        <w:rPr>
          <w:sz w:val="28"/>
          <w:szCs w:val="28"/>
        </w:rPr>
        <w:t xml:space="preserve"> governed their conduct.</w:t>
      </w:r>
      <w:r w:rsidR="00F419A6" w:rsidRPr="00F24D0A">
        <w:rPr>
          <w:sz w:val="28"/>
          <w:szCs w:val="28"/>
        </w:rPr>
        <w:t xml:space="preserve"> </w:t>
      </w:r>
      <w:r w:rsidR="00CD2E18" w:rsidRPr="00F24D0A">
        <w:rPr>
          <w:sz w:val="28"/>
          <w:szCs w:val="28"/>
        </w:rPr>
        <w:t>One can only express a strong desire that the</w:t>
      </w:r>
      <w:r w:rsidR="00ED1047" w:rsidRPr="00F24D0A">
        <w:rPr>
          <w:sz w:val="28"/>
          <w:szCs w:val="28"/>
        </w:rPr>
        <w:t>y</w:t>
      </w:r>
      <w:r w:rsidR="00CD2E18" w:rsidRPr="00F24D0A">
        <w:rPr>
          <w:sz w:val="28"/>
          <w:szCs w:val="28"/>
        </w:rPr>
        <w:t xml:space="preserve"> </w:t>
      </w:r>
      <w:r w:rsidR="00033D65" w:rsidRPr="00F24D0A">
        <w:rPr>
          <w:sz w:val="28"/>
          <w:szCs w:val="28"/>
        </w:rPr>
        <w:t>arrive at</w:t>
      </w:r>
      <w:r w:rsidR="00CD2E18" w:rsidRPr="00F24D0A">
        <w:rPr>
          <w:sz w:val="28"/>
          <w:szCs w:val="28"/>
        </w:rPr>
        <w:t xml:space="preserve"> a</w:t>
      </w:r>
      <w:r w:rsidR="00D33419" w:rsidRPr="00F24D0A">
        <w:rPr>
          <w:sz w:val="28"/>
          <w:szCs w:val="28"/>
        </w:rPr>
        <w:t xml:space="preserve">n equitable </w:t>
      </w:r>
      <w:r w:rsidR="00ED1047" w:rsidRPr="00F24D0A">
        <w:rPr>
          <w:sz w:val="28"/>
          <w:szCs w:val="28"/>
        </w:rPr>
        <w:t>outcome</w:t>
      </w:r>
      <w:r w:rsidR="00D33419" w:rsidRPr="00F24D0A">
        <w:rPr>
          <w:sz w:val="28"/>
          <w:szCs w:val="28"/>
        </w:rPr>
        <w:t>.</w:t>
      </w:r>
    </w:p>
    <w:p w14:paraId="2B0DB6D1" w14:textId="5746D65D" w:rsidR="00D12D05" w:rsidRPr="00F24D0A" w:rsidRDefault="00F24D0A" w:rsidP="00F24D0A">
      <w:pPr>
        <w:spacing w:line="360" w:lineRule="auto"/>
        <w:jc w:val="both"/>
        <w:rPr>
          <w:sz w:val="28"/>
          <w:szCs w:val="28"/>
        </w:rPr>
      </w:pPr>
      <w:r w:rsidRPr="000753B2">
        <w:rPr>
          <w:sz w:val="28"/>
          <w:szCs w:val="28"/>
        </w:rPr>
        <w:lastRenderedPageBreak/>
        <w:t>[38]</w:t>
      </w:r>
      <w:r w:rsidRPr="000753B2">
        <w:rPr>
          <w:sz w:val="28"/>
          <w:szCs w:val="28"/>
        </w:rPr>
        <w:tab/>
      </w:r>
      <w:r w:rsidR="0085010D" w:rsidRPr="00F24D0A">
        <w:rPr>
          <w:sz w:val="28"/>
          <w:szCs w:val="28"/>
        </w:rPr>
        <w:t>For all the above reasons</w:t>
      </w:r>
      <w:r w:rsidR="001D0013" w:rsidRPr="00F24D0A">
        <w:rPr>
          <w:sz w:val="28"/>
          <w:szCs w:val="28"/>
        </w:rPr>
        <w:t xml:space="preserve">, </w:t>
      </w:r>
      <w:r w:rsidR="000B58B3" w:rsidRPr="00F24D0A">
        <w:rPr>
          <w:sz w:val="28"/>
          <w:szCs w:val="28"/>
        </w:rPr>
        <w:t>we</w:t>
      </w:r>
      <w:r w:rsidR="001D0013" w:rsidRPr="00F24D0A">
        <w:rPr>
          <w:sz w:val="28"/>
          <w:szCs w:val="28"/>
        </w:rPr>
        <w:t xml:space="preserve"> a</w:t>
      </w:r>
      <w:r w:rsidR="000B58B3" w:rsidRPr="00F24D0A">
        <w:rPr>
          <w:sz w:val="28"/>
          <w:szCs w:val="28"/>
        </w:rPr>
        <w:t xml:space="preserve">re </w:t>
      </w:r>
      <w:r w:rsidR="001D0013" w:rsidRPr="00F24D0A">
        <w:rPr>
          <w:sz w:val="28"/>
          <w:szCs w:val="28"/>
        </w:rPr>
        <w:t xml:space="preserve">satisfied that </w:t>
      </w:r>
      <w:r w:rsidR="00242DEE" w:rsidRPr="00F24D0A">
        <w:rPr>
          <w:sz w:val="28"/>
          <w:szCs w:val="28"/>
        </w:rPr>
        <w:t xml:space="preserve">the </w:t>
      </w:r>
      <w:r w:rsidR="0085010D" w:rsidRPr="00F24D0A">
        <w:rPr>
          <w:sz w:val="28"/>
          <w:szCs w:val="28"/>
        </w:rPr>
        <w:t>RAF</w:t>
      </w:r>
      <w:r w:rsidR="001D0013" w:rsidRPr="00F24D0A">
        <w:rPr>
          <w:sz w:val="28"/>
          <w:szCs w:val="28"/>
        </w:rPr>
        <w:t xml:space="preserve"> ha</w:t>
      </w:r>
      <w:r w:rsidR="0085010D" w:rsidRPr="00F24D0A">
        <w:rPr>
          <w:sz w:val="28"/>
          <w:szCs w:val="28"/>
        </w:rPr>
        <w:t>s</w:t>
      </w:r>
      <w:r w:rsidR="001D0013" w:rsidRPr="00F24D0A">
        <w:rPr>
          <w:sz w:val="28"/>
          <w:szCs w:val="28"/>
        </w:rPr>
        <w:t xml:space="preserve"> </w:t>
      </w:r>
      <w:r w:rsidR="0019349B" w:rsidRPr="00F24D0A">
        <w:rPr>
          <w:sz w:val="28"/>
          <w:szCs w:val="28"/>
        </w:rPr>
        <w:t>made out a case for the relief sought</w:t>
      </w:r>
      <w:r w:rsidR="00AE46A8" w:rsidRPr="00F24D0A">
        <w:rPr>
          <w:sz w:val="28"/>
          <w:szCs w:val="28"/>
        </w:rPr>
        <w:t xml:space="preserve">. </w:t>
      </w:r>
      <w:r w:rsidR="005A4FE6" w:rsidRPr="00F24D0A">
        <w:rPr>
          <w:sz w:val="28"/>
          <w:szCs w:val="28"/>
        </w:rPr>
        <w:t>The appeal should therefore succeed</w:t>
      </w:r>
      <w:r w:rsidR="00AE46A8" w:rsidRPr="00F24D0A">
        <w:rPr>
          <w:sz w:val="28"/>
          <w:szCs w:val="28"/>
        </w:rPr>
        <w:t xml:space="preserve"> and the costs </w:t>
      </w:r>
      <w:r w:rsidR="005B6D0C" w:rsidRPr="00F24D0A">
        <w:rPr>
          <w:sz w:val="28"/>
          <w:szCs w:val="28"/>
        </w:rPr>
        <w:t>should follow the result.</w:t>
      </w:r>
    </w:p>
    <w:p w14:paraId="482B39F4" w14:textId="77777777" w:rsidR="00D12D05" w:rsidRPr="00D12D05" w:rsidRDefault="00D12D05" w:rsidP="00D12D05">
      <w:pPr>
        <w:pStyle w:val="ListParagraph"/>
        <w:rPr>
          <w:sz w:val="28"/>
          <w:szCs w:val="28"/>
        </w:rPr>
      </w:pPr>
    </w:p>
    <w:p w14:paraId="3D5B312A" w14:textId="77777777" w:rsidR="002A73BE" w:rsidRPr="00D12D05" w:rsidRDefault="002A73BE" w:rsidP="00313874">
      <w:pPr>
        <w:pStyle w:val="ListParagraph"/>
        <w:spacing w:line="360" w:lineRule="auto"/>
        <w:ind w:left="0"/>
        <w:jc w:val="both"/>
      </w:pPr>
      <w:r w:rsidRPr="00D12D05">
        <w:rPr>
          <w:sz w:val="28"/>
          <w:szCs w:val="28"/>
        </w:rPr>
        <w:t>In the result, the following order</w:t>
      </w:r>
      <w:r w:rsidR="0059545C">
        <w:rPr>
          <w:sz w:val="28"/>
          <w:szCs w:val="28"/>
        </w:rPr>
        <w:t xml:space="preserve"> issues</w:t>
      </w:r>
      <w:r w:rsidRPr="00D12D05">
        <w:rPr>
          <w:sz w:val="28"/>
          <w:szCs w:val="28"/>
        </w:rPr>
        <w:t>:</w:t>
      </w:r>
    </w:p>
    <w:p w14:paraId="6E79E4D5" w14:textId="77777777" w:rsidR="009C0E03" w:rsidRPr="009E70DA" w:rsidRDefault="00192B70" w:rsidP="001C5DD0">
      <w:pPr>
        <w:pStyle w:val="ListParagraph"/>
        <w:tabs>
          <w:tab w:val="left" w:pos="709"/>
        </w:tabs>
        <w:spacing w:line="360" w:lineRule="auto"/>
        <w:ind w:left="0"/>
        <w:jc w:val="both"/>
        <w:rPr>
          <w:sz w:val="28"/>
          <w:szCs w:val="28"/>
        </w:rPr>
      </w:pPr>
      <w:bookmarkStart w:id="1" w:name="_Hlk120030575"/>
      <w:r>
        <w:rPr>
          <w:sz w:val="28"/>
          <w:szCs w:val="28"/>
        </w:rPr>
        <w:t>1</w:t>
      </w:r>
      <w:r w:rsidR="001C5DD0">
        <w:rPr>
          <w:sz w:val="28"/>
          <w:szCs w:val="28"/>
        </w:rPr>
        <w:tab/>
      </w:r>
      <w:r w:rsidR="009C0E03" w:rsidRPr="009E70DA">
        <w:rPr>
          <w:sz w:val="28"/>
          <w:szCs w:val="28"/>
        </w:rPr>
        <w:t>The appeal under case number 1082/2020 is struck from the roll with costs.</w:t>
      </w:r>
    </w:p>
    <w:p w14:paraId="554CB1A5" w14:textId="77777777" w:rsidR="009C0E03" w:rsidRPr="009E70DA" w:rsidRDefault="001C5DD0" w:rsidP="001C5DD0">
      <w:pPr>
        <w:pStyle w:val="ListParagraph"/>
        <w:tabs>
          <w:tab w:val="left" w:pos="709"/>
        </w:tabs>
        <w:spacing w:line="360" w:lineRule="auto"/>
        <w:ind w:left="0"/>
        <w:jc w:val="both"/>
        <w:rPr>
          <w:sz w:val="28"/>
          <w:szCs w:val="28"/>
        </w:rPr>
      </w:pPr>
      <w:r>
        <w:rPr>
          <w:sz w:val="28"/>
          <w:szCs w:val="28"/>
        </w:rPr>
        <w:t xml:space="preserve">2 </w:t>
      </w:r>
      <w:r>
        <w:rPr>
          <w:sz w:val="28"/>
          <w:szCs w:val="28"/>
        </w:rPr>
        <w:tab/>
      </w:r>
      <w:r w:rsidR="009C0E03" w:rsidRPr="009E70DA">
        <w:rPr>
          <w:sz w:val="28"/>
          <w:szCs w:val="28"/>
        </w:rPr>
        <w:t xml:space="preserve">The </w:t>
      </w:r>
      <w:r w:rsidR="000B5FAC">
        <w:rPr>
          <w:sz w:val="28"/>
          <w:szCs w:val="28"/>
        </w:rPr>
        <w:t xml:space="preserve">application for condonation is granted and the </w:t>
      </w:r>
      <w:r w:rsidR="009C0E03" w:rsidRPr="009E70DA">
        <w:rPr>
          <w:sz w:val="28"/>
          <w:szCs w:val="28"/>
        </w:rPr>
        <w:t xml:space="preserve">appeal under case number 1147/2020 is </w:t>
      </w:r>
      <w:r w:rsidR="004C6462" w:rsidRPr="009E70DA">
        <w:rPr>
          <w:sz w:val="28"/>
          <w:szCs w:val="28"/>
        </w:rPr>
        <w:t>reinstate</w:t>
      </w:r>
      <w:r w:rsidR="00277BB1">
        <w:rPr>
          <w:sz w:val="28"/>
          <w:szCs w:val="28"/>
        </w:rPr>
        <w:t>d</w:t>
      </w:r>
      <w:r w:rsidR="009C0E03" w:rsidRPr="009E70DA">
        <w:rPr>
          <w:sz w:val="28"/>
          <w:szCs w:val="28"/>
        </w:rPr>
        <w:t>.</w:t>
      </w:r>
    </w:p>
    <w:p w14:paraId="7A47E0ED" w14:textId="77777777" w:rsidR="009C0E03" w:rsidRPr="009E70DA" w:rsidRDefault="001C5DD0" w:rsidP="001C5DD0">
      <w:pPr>
        <w:pStyle w:val="ListParagraph"/>
        <w:tabs>
          <w:tab w:val="left" w:pos="709"/>
        </w:tabs>
        <w:spacing w:line="360" w:lineRule="auto"/>
        <w:ind w:left="0"/>
        <w:jc w:val="both"/>
        <w:rPr>
          <w:sz w:val="28"/>
          <w:szCs w:val="28"/>
        </w:rPr>
      </w:pPr>
      <w:r>
        <w:rPr>
          <w:sz w:val="28"/>
          <w:szCs w:val="28"/>
        </w:rPr>
        <w:t>3</w:t>
      </w:r>
      <w:r>
        <w:rPr>
          <w:sz w:val="28"/>
          <w:szCs w:val="28"/>
        </w:rPr>
        <w:tab/>
      </w:r>
      <w:r w:rsidR="009C0E03" w:rsidRPr="009E70DA">
        <w:rPr>
          <w:sz w:val="28"/>
          <w:szCs w:val="28"/>
        </w:rPr>
        <w:t xml:space="preserve">The appeal is upheld with costs including those of two counsel where </w:t>
      </w:r>
      <w:r w:rsidR="000B5FAC">
        <w:rPr>
          <w:sz w:val="28"/>
          <w:szCs w:val="28"/>
        </w:rPr>
        <w:t xml:space="preserve">so </w:t>
      </w:r>
      <w:r w:rsidR="009C0E03" w:rsidRPr="009E70DA">
        <w:rPr>
          <w:sz w:val="28"/>
          <w:szCs w:val="28"/>
        </w:rPr>
        <w:t>employed.</w:t>
      </w:r>
    </w:p>
    <w:p w14:paraId="328CEA12" w14:textId="77777777" w:rsidR="009C0E03" w:rsidRPr="009E70DA" w:rsidRDefault="001C5DD0" w:rsidP="001C5DD0">
      <w:pPr>
        <w:pStyle w:val="ListParagraph"/>
        <w:spacing w:line="360" w:lineRule="auto"/>
        <w:ind w:left="0"/>
        <w:jc w:val="both"/>
        <w:rPr>
          <w:sz w:val="28"/>
          <w:szCs w:val="28"/>
        </w:rPr>
      </w:pPr>
      <w:r>
        <w:rPr>
          <w:sz w:val="28"/>
          <w:szCs w:val="28"/>
        </w:rPr>
        <w:t>4</w:t>
      </w:r>
      <w:r>
        <w:rPr>
          <w:sz w:val="28"/>
          <w:szCs w:val="28"/>
        </w:rPr>
        <w:tab/>
      </w:r>
      <w:r w:rsidR="009C0E03" w:rsidRPr="009E70DA">
        <w:rPr>
          <w:sz w:val="28"/>
          <w:szCs w:val="28"/>
        </w:rPr>
        <w:t xml:space="preserve">The order by the </w:t>
      </w:r>
      <w:r w:rsidR="000B5FAC">
        <w:rPr>
          <w:sz w:val="28"/>
          <w:szCs w:val="28"/>
        </w:rPr>
        <w:t>Gauteng Division of the High Cou</w:t>
      </w:r>
      <w:r w:rsidR="009C0E03" w:rsidRPr="009E70DA">
        <w:rPr>
          <w:sz w:val="28"/>
          <w:szCs w:val="28"/>
        </w:rPr>
        <w:t>rt</w:t>
      </w:r>
      <w:r w:rsidR="000B5FAC">
        <w:rPr>
          <w:sz w:val="28"/>
          <w:szCs w:val="28"/>
        </w:rPr>
        <w:t>, Pretoria</w:t>
      </w:r>
      <w:r w:rsidR="009C0E03" w:rsidRPr="009E70DA">
        <w:rPr>
          <w:sz w:val="28"/>
          <w:szCs w:val="28"/>
        </w:rPr>
        <w:t xml:space="preserve"> is set aside and replaced with the following:</w:t>
      </w:r>
    </w:p>
    <w:p w14:paraId="62FC85AF" w14:textId="36E68E75" w:rsidR="009C0E03" w:rsidRPr="009E70DA" w:rsidRDefault="001C5DD0" w:rsidP="0038246E">
      <w:pPr>
        <w:pStyle w:val="ListParagraph"/>
        <w:spacing w:line="360" w:lineRule="auto"/>
        <w:ind w:left="0"/>
        <w:jc w:val="both"/>
      </w:pPr>
      <w:r>
        <w:rPr>
          <w:sz w:val="28"/>
          <w:szCs w:val="28"/>
        </w:rPr>
        <w:t>‘</w:t>
      </w:r>
      <w:r w:rsidR="009C0E03" w:rsidRPr="009E70DA">
        <w:rPr>
          <w:sz w:val="28"/>
          <w:szCs w:val="28"/>
        </w:rPr>
        <w:t xml:space="preserve">The </w:t>
      </w:r>
      <w:r w:rsidR="00990EC7" w:rsidRPr="00990EC7">
        <w:rPr>
          <w:sz w:val="28"/>
          <w:szCs w:val="28"/>
        </w:rPr>
        <w:t>applications under case numbers 17518/2020, 15876/2020 and 18239/2020 are</w:t>
      </w:r>
      <w:r w:rsidR="009C0E03" w:rsidRPr="009E70DA">
        <w:rPr>
          <w:sz w:val="28"/>
          <w:szCs w:val="28"/>
        </w:rPr>
        <w:t xml:space="preserve"> dismissed with costs including those of two counsel where so employed.’</w:t>
      </w:r>
    </w:p>
    <w:bookmarkEnd w:id="1"/>
    <w:p w14:paraId="0CA17FEA" w14:textId="77777777" w:rsidR="00CB041D" w:rsidRDefault="00CB041D" w:rsidP="006470B0">
      <w:pPr>
        <w:spacing w:line="360" w:lineRule="auto"/>
        <w:jc w:val="both"/>
        <w:rPr>
          <w:sz w:val="28"/>
          <w:szCs w:val="28"/>
        </w:rPr>
      </w:pPr>
    </w:p>
    <w:p w14:paraId="6E003767" w14:textId="77777777" w:rsidR="007A0C46" w:rsidRPr="009E70DA" w:rsidRDefault="007A0C46" w:rsidP="006470B0">
      <w:pPr>
        <w:spacing w:line="360" w:lineRule="auto"/>
        <w:jc w:val="both"/>
        <w:rPr>
          <w:sz w:val="28"/>
          <w:szCs w:val="28"/>
        </w:rPr>
      </w:pPr>
    </w:p>
    <w:p w14:paraId="2AB4F8B8" w14:textId="77777777" w:rsidR="00093030" w:rsidRDefault="001C5DD0" w:rsidP="001C5DD0">
      <w:pPr>
        <w:spacing w:line="360" w:lineRule="auto"/>
        <w:jc w:val="right"/>
        <w:rPr>
          <w:sz w:val="28"/>
          <w:szCs w:val="28"/>
        </w:rPr>
      </w:pPr>
      <w:r>
        <w:rPr>
          <w:sz w:val="28"/>
          <w:szCs w:val="28"/>
        </w:rPr>
        <w:t>________________________</w:t>
      </w:r>
    </w:p>
    <w:p w14:paraId="7BB673F8" w14:textId="77777777" w:rsidR="001C5DD0" w:rsidRDefault="001B26A1" w:rsidP="001C5DD0">
      <w:pPr>
        <w:spacing w:line="360" w:lineRule="auto"/>
        <w:jc w:val="right"/>
        <w:rPr>
          <w:sz w:val="28"/>
          <w:szCs w:val="28"/>
        </w:rPr>
      </w:pPr>
      <w:r>
        <w:rPr>
          <w:sz w:val="28"/>
          <w:szCs w:val="28"/>
        </w:rPr>
        <w:t>T R GORVEN</w:t>
      </w:r>
    </w:p>
    <w:p w14:paraId="218BFC17" w14:textId="77777777" w:rsidR="001B26A1" w:rsidRPr="009E70DA" w:rsidRDefault="001B26A1" w:rsidP="001C5DD0">
      <w:pPr>
        <w:spacing w:line="360" w:lineRule="auto"/>
        <w:jc w:val="right"/>
        <w:rPr>
          <w:sz w:val="28"/>
          <w:szCs w:val="28"/>
        </w:rPr>
      </w:pPr>
      <w:r>
        <w:rPr>
          <w:sz w:val="28"/>
          <w:szCs w:val="28"/>
        </w:rPr>
        <w:t>JUDGE OF APPEAL</w:t>
      </w:r>
    </w:p>
    <w:p w14:paraId="1252AFBD" w14:textId="77777777" w:rsidR="00093030" w:rsidRPr="009E70DA" w:rsidRDefault="00093030" w:rsidP="006470B0">
      <w:pPr>
        <w:spacing w:line="360" w:lineRule="auto"/>
        <w:jc w:val="both"/>
        <w:rPr>
          <w:sz w:val="28"/>
          <w:szCs w:val="28"/>
        </w:rPr>
      </w:pPr>
    </w:p>
    <w:p w14:paraId="092C8DAD" w14:textId="77777777" w:rsidR="00093030" w:rsidRDefault="00093030" w:rsidP="006470B0">
      <w:pPr>
        <w:spacing w:line="360" w:lineRule="auto"/>
        <w:jc w:val="both"/>
        <w:rPr>
          <w:sz w:val="28"/>
          <w:szCs w:val="28"/>
        </w:rPr>
      </w:pPr>
    </w:p>
    <w:p w14:paraId="0D43D92D" w14:textId="77777777" w:rsidR="00093030" w:rsidRPr="009E70DA" w:rsidRDefault="00093030" w:rsidP="006470B0">
      <w:pPr>
        <w:spacing w:line="360" w:lineRule="auto"/>
        <w:jc w:val="right"/>
        <w:rPr>
          <w:sz w:val="28"/>
          <w:szCs w:val="28"/>
        </w:rPr>
      </w:pPr>
      <w:r w:rsidRPr="009E70DA">
        <w:rPr>
          <w:sz w:val="28"/>
          <w:szCs w:val="28"/>
        </w:rPr>
        <w:t>________________________</w:t>
      </w:r>
    </w:p>
    <w:p w14:paraId="7EEF5714" w14:textId="77777777" w:rsidR="00093030" w:rsidRPr="009E70DA" w:rsidRDefault="00406D40" w:rsidP="006470B0">
      <w:pPr>
        <w:spacing w:line="360" w:lineRule="auto"/>
        <w:jc w:val="right"/>
        <w:rPr>
          <w:sz w:val="28"/>
          <w:szCs w:val="28"/>
        </w:rPr>
      </w:pPr>
      <w:r w:rsidRPr="009E70DA">
        <w:rPr>
          <w:sz w:val="28"/>
          <w:szCs w:val="28"/>
        </w:rPr>
        <w:t xml:space="preserve">                                                                       </w:t>
      </w:r>
      <w:r w:rsidR="001B26A1">
        <w:rPr>
          <w:sz w:val="28"/>
          <w:szCs w:val="28"/>
        </w:rPr>
        <w:t xml:space="preserve">M </w:t>
      </w:r>
      <w:r w:rsidR="00981CEF">
        <w:rPr>
          <w:sz w:val="28"/>
          <w:szCs w:val="28"/>
        </w:rPr>
        <w:t>B S</w:t>
      </w:r>
      <w:r w:rsidRPr="009E70DA">
        <w:rPr>
          <w:sz w:val="28"/>
          <w:szCs w:val="28"/>
        </w:rPr>
        <w:t xml:space="preserve"> </w:t>
      </w:r>
      <w:r w:rsidR="00C17214" w:rsidRPr="009E70DA">
        <w:rPr>
          <w:sz w:val="28"/>
          <w:szCs w:val="28"/>
        </w:rPr>
        <w:t>MASIPA</w:t>
      </w:r>
    </w:p>
    <w:p w14:paraId="3EECA243" w14:textId="77777777" w:rsidR="00093030" w:rsidRPr="009E70DA" w:rsidRDefault="00C17214" w:rsidP="006470B0">
      <w:pPr>
        <w:spacing w:line="360" w:lineRule="auto"/>
        <w:jc w:val="right"/>
        <w:rPr>
          <w:sz w:val="28"/>
          <w:szCs w:val="28"/>
        </w:rPr>
      </w:pPr>
      <w:r w:rsidRPr="009E70DA">
        <w:rPr>
          <w:sz w:val="28"/>
          <w:szCs w:val="28"/>
        </w:rPr>
        <w:t xml:space="preserve">ACTING </w:t>
      </w:r>
      <w:r w:rsidR="00093030" w:rsidRPr="009E70DA">
        <w:rPr>
          <w:sz w:val="28"/>
          <w:szCs w:val="28"/>
        </w:rPr>
        <w:t>JUDGE OF APPEAL</w:t>
      </w:r>
    </w:p>
    <w:p w14:paraId="1719B1E5" w14:textId="77777777" w:rsidR="004A7D82" w:rsidRPr="009E70DA" w:rsidRDefault="00093030" w:rsidP="006470B0">
      <w:pPr>
        <w:spacing w:line="360" w:lineRule="auto"/>
        <w:jc w:val="both"/>
        <w:rPr>
          <w:sz w:val="28"/>
          <w:szCs w:val="28"/>
        </w:rPr>
      </w:pPr>
      <w:r w:rsidRPr="009E70DA">
        <w:rPr>
          <w:sz w:val="28"/>
          <w:szCs w:val="28"/>
        </w:rPr>
        <w:br w:type="page"/>
      </w:r>
    </w:p>
    <w:p w14:paraId="4FCA5197" w14:textId="77777777" w:rsidR="00093030" w:rsidRPr="009E70DA" w:rsidRDefault="00093030" w:rsidP="006470B0">
      <w:pPr>
        <w:spacing w:line="360" w:lineRule="auto"/>
        <w:jc w:val="both"/>
        <w:rPr>
          <w:sz w:val="28"/>
          <w:szCs w:val="28"/>
        </w:rPr>
      </w:pPr>
      <w:r w:rsidRPr="009E70DA">
        <w:rPr>
          <w:sz w:val="28"/>
          <w:szCs w:val="28"/>
        </w:rPr>
        <w:lastRenderedPageBreak/>
        <w:t xml:space="preserve">Appearances </w:t>
      </w:r>
    </w:p>
    <w:p w14:paraId="1FA8FEED" w14:textId="77777777" w:rsidR="00093030" w:rsidRPr="009E70DA" w:rsidRDefault="00093030" w:rsidP="006470B0">
      <w:pPr>
        <w:spacing w:line="360" w:lineRule="auto"/>
        <w:jc w:val="both"/>
        <w:rPr>
          <w:sz w:val="28"/>
          <w:szCs w:val="28"/>
        </w:rPr>
      </w:pPr>
    </w:p>
    <w:p w14:paraId="3148813F" w14:textId="3F4302F5" w:rsidR="00093030" w:rsidRPr="009E70DA" w:rsidRDefault="00093030" w:rsidP="007A0C46">
      <w:pPr>
        <w:tabs>
          <w:tab w:val="left" w:pos="4111"/>
        </w:tabs>
        <w:spacing w:line="360" w:lineRule="auto"/>
        <w:ind w:left="4110" w:hanging="4110"/>
        <w:jc w:val="both"/>
        <w:rPr>
          <w:sz w:val="28"/>
          <w:szCs w:val="28"/>
        </w:rPr>
      </w:pPr>
      <w:r w:rsidRPr="009E70DA">
        <w:rPr>
          <w:sz w:val="28"/>
          <w:szCs w:val="28"/>
        </w:rPr>
        <w:t>For appellant</w:t>
      </w:r>
      <w:r w:rsidR="008820A9" w:rsidRPr="009E70DA">
        <w:rPr>
          <w:sz w:val="28"/>
          <w:szCs w:val="28"/>
        </w:rPr>
        <w:t>s</w:t>
      </w:r>
      <w:r w:rsidRPr="009E70DA">
        <w:rPr>
          <w:sz w:val="28"/>
          <w:szCs w:val="28"/>
        </w:rPr>
        <w:t>:</w:t>
      </w:r>
      <w:r w:rsidRPr="009E70DA">
        <w:rPr>
          <w:sz w:val="28"/>
          <w:szCs w:val="28"/>
        </w:rPr>
        <w:tab/>
      </w:r>
      <w:r w:rsidR="007A0C46">
        <w:rPr>
          <w:sz w:val="28"/>
          <w:szCs w:val="28"/>
        </w:rPr>
        <w:tab/>
      </w:r>
      <w:r w:rsidR="00954E04" w:rsidRPr="009E70DA">
        <w:rPr>
          <w:sz w:val="28"/>
          <w:szCs w:val="28"/>
        </w:rPr>
        <w:t>CE Puc</w:t>
      </w:r>
      <w:r w:rsidR="00313874">
        <w:rPr>
          <w:sz w:val="28"/>
          <w:szCs w:val="28"/>
        </w:rPr>
        <w:t>k</w:t>
      </w:r>
      <w:r w:rsidR="00954E04" w:rsidRPr="009E70DA">
        <w:rPr>
          <w:sz w:val="28"/>
          <w:szCs w:val="28"/>
        </w:rPr>
        <w:t>rin SC</w:t>
      </w:r>
      <w:r w:rsidR="007A0C46">
        <w:rPr>
          <w:sz w:val="28"/>
          <w:szCs w:val="28"/>
        </w:rPr>
        <w:t xml:space="preserve"> with R Schoeman and NC Hartman</w:t>
      </w:r>
    </w:p>
    <w:p w14:paraId="45931BBD" w14:textId="77777777" w:rsidR="00093030" w:rsidRPr="009E70DA" w:rsidRDefault="00093030" w:rsidP="0078531E">
      <w:pPr>
        <w:tabs>
          <w:tab w:val="left" w:pos="2235"/>
          <w:tab w:val="left" w:pos="4111"/>
        </w:tabs>
        <w:spacing w:line="360" w:lineRule="auto"/>
        <w:jc w:val="both"/>
        <w:rPr>
          <w:bCs/>
          <w:sz w:val="28"/>
          <w:szCs w:val="28"/>
        </w:rPr>
      </w:pPr>
      <w:r w:rsidRPr="009E70DA">
        <w:rPr>
          <w:bCs/>
          <w:sz w:val="28"/>
          <w:szCs w:val="28"/>
        </w:rPr>
        <w:t xml:space="preserve">Instructed by: </w:t>
      </w:r>
      <w:r w:rsidR="00954E04" w:rsidRPr="009E70DA">
        <w:rPr>
          <w:bCs/>
          <w:sz w:val="28"/>
          <w:szCs w:val="28"/>
        </w:rPr>
        <w:tab/>
      </w:r>
      <w:r w:rsidR="007700EF" w:rsidRPr="009E70DA">
        <w:rPr>
          <w:bCs/>
          <w:sz w:val="28"/>
          <w:szCs w:val="28"/>
        </w:rPr>
        <w:tab/>
      </w:r>
      <w:r w:rsidR="00954E04" w:rsidRPr="009E70DA">
        <w:rPr>
          <w:bCs/>
          <w:sz w:val="28"/>
          <w:szCs w:val="28"/>
        </w:rPr>
        <w:t>Mpoyana Ledwaba Inc, Pretoria</w:t>
      </w:r>
    </w:p>
    <w:p w14:paraId="379BF0EF" w14:textId="2FFF4C4C" w:rsidR="00093030" w:rsidRPr="009E70DA" w:rsidRDefault="00954E04" w:rsidP="00AD773F">
      <w:pPr>
        <w:tabs>
          <w:tab w:val="left" w:pos="2235"/>
          <w:tab w:val="left" w:pos="4111"/>
        </w:tabs>
        <w:spacing w:line="360" w:lineRule="auto"/>
        <w:ind w:left="4111"/>
        <w:jc w:val="both"/>
        <w:rPr>
          <w:bCs/>
          <w:sz w:val="28"/>
          <w:szCs w:val="28"/>
        </w:rPr>
      </w:pPr>
      <w:r w:rsidRPr="009E70DA">
        <w:rPr>
          <w:bCs/>
          <w:sz w:val="28"/>
          <w:szCs w:val="28"/>
        </w:rPr>
        <w:t>Modisenyane</w:t>
      </w:r>
      <w:r w:rsidR="00444342">
        <w:rPr>
          <w:bCs/>
          <w:sz w:val="28"/>
          <w:szCs w:val="28"/>
        </w:rPr>
        <w:t xml:space="preserve"> </w:t>
      </w:r>
      <w:r w:rsidRPr="009E70DA">
        <w:rPr>
          <w:bCs/>
          <w:sz w:val="28"/>
          <w:szCs w:val="28"/>
        </w:rPr>
        <w:t>Attorneys</w:t>
      </w:r>
      <w:r w:rsidR="00444342">
        <w:rPr>
          <w:bCs/>
          <w:sz w:val="28"/>
          <w:szCs w:val="28"/>
        </w:rPr>
        <w:t xml:space="preserve"> </w:t>
      </w:r>
      <w:r w:rsidRPr="009E70DA">
        <w:rPr>
          <w:bCs/>
          <w:sz w:val="28"/>
          <w:szCs w:val="28"/>
        </w:rPr>
        <w:t>Inc</w:t>
      </w:r>
      <w:r w:rsidR="00444342">
        <w:rPr>
          <w:bCs/>
          <w:sz w:val="28"/>
          <w:szCs w:val="28"/>
        </w:rPr>
        <w:t>orporated</w:t>
      </w:r>
      <w:r w:rsidRPr="009E70DA">
        <w:rPr>
          <w:bCs/>
          <w:sz w:val="28"/>
          <w:szCs w:val="28"/>
        </w:rPr>
        <w:t>, Bloemfontein</w:t>
      </w:r>
    </w:p>
    <w:p w14:paraId="7476E167" w14:textId="77777777" w:rsidR="00954E04" w:rsidRPr="009E70DA" w:rsidRDefault="00954E04" w:rsidP="006470B0">
      <w:pPr>
        <w:tabs>
          <w:tab w:val="left" w:pos="2235"/>
        </w:tabs>
        <w:spacing w:line="360" w:lineRule="auto"/>
        <w:jc w:val="both"/>
        <w:rPr>
          <w:bCs/>
          <w:sz w:val="28"/>
          <w:szCs w:val="28"/>
        </w:rPr>
      </w:pPr>
    </w:p>
    <w:p w14:paraId="0FB231CB" w14:textId="77777777" w:rsidR="008820A9" w:rsidRPr="009E70DA" w:rsidRDefault="008820A9" w:rsidP="0078531E">
      <w:pPr>
        <w:tabs>
          <w:tab w:val="left" w:pos="4111"/>
        </w:tabs>
        <w:spacing w:line="360" w:lineRule="auto"/>
        <w:jc w:val="both"/>
        <w:rPr>
          <w:sz w:val="28"/>
          <w:szCs w:val="28"/>
        </w:rPr>
      </w:pPr>
      <w:r w:rsidRPr="009E70DA">
        <w:rPr>
          <w:sz w:val="28"/>
          <w:szCs w:val="28"/>
        </w:rPr>
        <w:t>For first respondent:</w:t>
      </w:r>
      <w:r w:rsidRPr="009E70DA">
        <w:rPr>
          <w:sz w:val="28"/>
          <w:szCs w:val="28"/>
        </w:rPr>
        <w:tab/>
      </w:r>
      <w:r w:rsidR="00954E04" w:rsidRPr="009E70DA">
        <w:rPr>
          <w:sz w:val="28"/>
          <w:szCs w:val="28"/>
        </w:rPr>
        <w:t>W</w:t>
      </w:r>
      <w:r w:rsidR="007B01FF" w:rsidRPr="009E70DA">
        <w:rPr>
          <w:sz w:val="28"/>
          <w:szCs w:val="28"/>
        </w:rPr>
        <w:t>R</w:t>
      </w:r>
      <w:r w:rsidR="00954E04" w:rsidRPr="009E70DA">
        <w:rPr>
          <w:sz w:val="28"/>
          <w:szCs w:val="28"/>
        </w:rPr>
        <w:t xml:space="preserve"> Mokhare SC</w:t>
      </w:r>
    </w:p>
    <w:p w14:paraId="422CF883" w14:textId="77777777" w:rsidR="008820A9" w:rsidRPr="009E70DA" w:rsidRDefault="008820A9" w:rsidP="0078531E">
      <w:pPr>
        <w:tabs>
          <w:tab w:val="left" w:pos="2927"/>
          <w:tab w:val="left" w:pos="4111"/>
        </w:tabs>
        <w:spacing w:line="360" w:lineRule="auto"/>
        <w:jc w:val="both"/>
        <w:rPr>
          <w:bCs/>
          <w:sz w:val="28"/>
          <w:szCs w:val="28"/>
        </w:rPr>
      </w:pPr>
      <w:r w:rsidRPr="009E70DA">
        <w:rPr>
          <w:bCs/>
          <w:sz w:val="28"/>
          <w:szCs w:val="28"/>
        </w:rPr>
        <w:t>Instructed by:</w:t>
      </w:r>
      <w:r w:rsidR="00DF1ADB" w:rsidRPr="009E70DA">
        <w:rPr>
          <w:bCs/>
          <w:sz w:val="28"/>
          <w:szCs w:val="28"/>
        </w:rPr>
        <w:tab/>
      </w:r>
      <w:r w:rsidR="00F3686B">
        <w:rPr>
          <w:bCs/>
          <w:sz w:val="28"/>
          <w:szCs w:val="28"/>
        </w:rPr>
        <w:tab/>
      </w:r>
      <w:r w:rsidR="00DF1ADB" w:rsidRPr="009E70DA">
        <w:rPr>
          <w:bCs/>
          <w:sz w:val="28"/>
          <w:szCs w:val="28"/>
        </w:rPr>
        <w:t>Mabunda Incorporated, Bedfordview</w:t>
      </w:r>
    </w:p>
    <w:p w14:paraId="5246832B" w14:textId="77777777" w:rsidR="008820A9" w:rsidRPr="009E70DA" w:rsidRDefault="00DF1ADB" w:rsidP="0078531E">
      <w:pPr>
        <w:tabs>
          <w:tab w:val="left" w:pos="2927"/>
          <w:tab w:val="left" w:pos="4111"/>
        </w:tabs>
        <w:spacing w:line="360" w:lineRule="auto"/>
        <w:jc w:val="both"/>
        <w:rPr>
          <w:bCs/>
          <w:sz w:val="28"/>
          <w:szCs w:val="28"/>
        </w:rPr>
      </w:pPr>
      <w:r w:rsidRPr="009E70DA">
        <w:rPr>
          <w:bCs/>
          <w:sz w:val="28"/>
          <w:szCs w:val="28"/>
        </w:rPr>
        <w:tab/>
      </w:r>
      <w:r w:rsidR="00F3686B">
        <w:rPr>
          <w:bCs/>
          <w:sz w:val="28"/>
          <w:szCs w:val="28"/>
        </w:rPr>
        <w:tab/>
      </w:r>
      <w:r w:rsidRPr="009E70DA">
        <w:rPr>
          <w:bCs/>
          <w:sz w:val="28"/>
          <w:szCs w:val="28"/>
        </w:rPr>
        <w:t>Webbers Attorneys, B</w:t>
      </w:r>
      <w:r w:rsidR="00597D04" w:rsidRPr="009E70DA">
        <w:rPr>
          <w:bCs/>
          <w:sz w:val="28"/>
          <w:szCs w:val="28"/>
        </w:rPr>
        <w:t>loemfontein</w:t>
      </w:r>
    </w:p>
    <w:p w14:paraId="7622F0B2" w14:textId="77777777" w:rsidR="008820A9" w:rsidRPr="009E70DA" w:rsidRDefault="008820A9" w:rsidP="006470B0">
      <w:pPr>
        <w:spacing w:line="360" w:lineRule="auto"/>
        <w:jc w:val="both"/>
        <w:rPr>
          <w:sz w:val="28"/>
          <w:szCs w:val="28"/>
        </w:rPr>
      </w:pPr>
    </w:p>
    <w:p w14:paraId="3578C1F8" w14:textId="77777777" w:rsidR="008820A9" w:rsidRPr="009E70DA" w:rsidRDefault="008820A9" w:rsidP="0078531E">
      <w:pPr>
        <w:tabs>
          <w:tab w:val="left" w:pos="4111"/>
        </w:tabs>
        <w:spacing w:line="360" w:lineRule="auto"/>
        <w:jc w:val="both"/>
        <w:rPr>
          <w:sz w:val="28"/>
          <w:szCs w:val="28"/>
        </w:rPr>
      </w:pPr>
      <w:r w:rsidRPr="009E70DA">
        <w:rPr>
          <w:sz w:val="28"/>
          <w:szCs w:val="28"/>
        </w:rPr>
        <w:t xml:space="preserve">For </w:t>
      </w:r>
      <w:r w:rsidRPr="0082460B">
        <w:rPr>
          <w:sz w:val="28"/>
          <w:szCs w:val="28"/>
        </w:rPr>
        <w:t xml:space="preserve">second </w:t>
      </w:r>
      <w:r w:rsidR="00F3686B" w:rsidRPr="0082460B">
        <w:rPr>
          <w:sz w:val="28"/>
          <w:szCs w:val="28"/>
        </w:rPr>
        <w:t xml:space="preserve">&amp; third </w:t>
      </w:r>
      <w:r w:rsidRPr="0082460B">
        <w:rPr>
          <w:sz w:val="28"/>
          <w:szCs w:val="28"/>
        </w:rPr>
        <w:t>respondent</w:t>
      </w:r>
      <w:r w:rsidR="00F3686B" w:rsidRPr="0082460B">
        <w:rPr>
          <w:sz w:val="28"/>
          <w:szCs w:val="28"/>
        </w:rPr>
        <w:t>s</w:t>
      </w:r>
      <w:r w:rsidRPr="0082460B">
        <w:rPr>
          <w:sz w:val="28"/>
          <w:szCs w:val="28"/>
        </w:rPr>
        <w:t>:</w:t>
      </w:r>
      <w:r w:rsidRPr="009E70DA">
        <w:rPr>
          <w:sz w:val="28"/>
          <w:szCs w:val="28"/>
        </w:rPr>
        <w:tab/>
      </w:r>
      <w:r w:rsidR="007B01FF" w:rsidRPr="009E70DA">
        <w:rPr>
          <w:sz w:val="28"/>
          <w:szCs w:val="28"/>
        </w:rPr>
        <w:t>EC Labuschagne</w:t>
      </w:r>
      <w:r w:rsidR="008A7FF4" w:rsidRPr="009E70DA">
        <w:rPr>
          <w:sz w:val="28"/>
          <w:szCs w:val="28"/>
        </w:rPr>
        <w:t xml:space="preserve"> SC </w:t>
      </w:r>
    </w:p>
    <w:p w14:paraId="74B610BF" w14:textId="77777777" w:rsidR="008820A9" w:rsidRPr="009E70DA" w:rsidRDefault="008820A9" w:rsidP="0078531E">
      <w:pPr>
        <w:tabs>
          <w:tab w:val="left" w:pos="2977"/>
          <w:tab w:val="left" w:pos="4111"/>
        </w:tabs>
        <w:spacing w:line="360" w:lineRule="auto"/>
        <w:jc w:val="both"/>
        <w:rPr>
          <w:bCs/>
          <w:sz w:val="28"/>
          <w:szCs w:val="28"/>
        </w:rPr>
      </w:pPr>
      <w:r w:rsidRPr="009E70DA">
        <w:rPr>
          <w:bCs/>
          <w:sz w:val="28"/>
          <w:szCs w:val="28"/>
        </w:rPr>
        <w:t>Instructed by:</w:t>
      </w:r>
      <w:r w:rsidR="006342F8" w:rsidRPr="009E70DA">
        <w:rPr>
          <w:bCs/>
          <w:sz w:val="28"/>
          <w:szCs w:val="28"/>
        </w:rPr>
        <w:t xml:space="preserve">                   </w:t>
      </w:r>
      <w:r w:rsidR="00F3686B">
        <w:rPr>
          <w:bCs/>
          <w:sz w:val="28"/>
          <w:szCs w:val="28"/>
        </w:rPr>
        <w:tab/>
      </w:r>
      <w:r w:rsidR="00F3686B">
        <w:rPr>
          <w:bCs/>
          <w:sz w:val="28"/>
          <w:szCs w:val="28"/>
        </w:rPr>
        <w:tab/>
      </w:r>
      <w:r w:rsidR="006342F8" w:rsidRPr="009E70DA">
        <w:rPr>
          <w:bCs/>
          <w:sz w:val="28"/>
          <w:szCs w:val="28"/>
        </w:rPr>
        <w:t>FourieFismer Inc, Pretoria</w:t>
      </w:r>
    </w:p>
    <w:p w14:paraId="07AD5E6F" w14:textId="77777777" w:rsidR="006342F8" w:rsidRPr="009E70DA" w:rsidRDefault="006342F8" w:rsidP="0078531E">
      <w:pPr>
        <w:tabs>
          <w:tab w:val="left" w:pos="4111"/>
        </w:tabs>
        <w:spacing w:line="360" w:lineRule="auto"/>
        <w:ind w:firstLine="2835"/>
        <w:jc w:val="both"/>
        <w:rPr>
          <w:bCs/>
          <w:sz w:val="28"/>
          <w:szCs w:val="28"/>
        </w:rPr>
      </w:pPr>
      <w:r w:rsidRPr="009E70DA">
        <w:rPr>
          <w:bCs/>
          <w:sz w:val="28"/>
          <w:szCs w:val="28"/>
        </w:rPr>
        <w:tab/>
        <w:t>E Horn, Bloemfontein</w:t>
      </w:r>
    </w:p>
    <w:p w14:paraId="210C834C" w14:textId="77777777" w:rsidR="008820A9" w:rsidRPr="009E70DA" w:rsidRDefault="008820A9" w:rsidP="006470B0">
      <w:pPr>
        <w:spacing w:line="360" w:lineRule="auto"/>
        <w:jc w:val="both"/>
        <w:rPr>
          <w:bCs/>
          <w:sz w:val="28"/>
          <w:szCs w:val="28"/>
        </w:rPr>
      </w:pPr>
    </w:p>
    <w:p w14:paraId="7815AC35" w14:textId="77777777" w:rsidR="00093030" w:rsidRPr="009E70DA" w:rsidRDefault="00093030" w:rsidP="00660B75">
      <w:pPr>
        <w:tabs>
          <w:tab w:val="left" w:pos="4111"/>
        </w:tabs>
        <w:spacing w:line="360" w:lineRule="auto"/>
        <w:jc w:val="both"/>
        <w:rPr>
          <w:sz w:val="28"/>
          <w:szCs w:val="28"/>
        </w:rPr>
      </w:pPr>
      <w:r w:rsidRPr="0082460B">
        <w:rPr>
          <w:sz w:val="28"/>
          <w:szCs w:val="28"/>
        </w:rPr>
        <w:t xml:space="preserve">For </w:t>
      </w:r>
      <w:r w:rsidR="00660B75" w:rsidRPr="0082460B">
        <w:rPr>
          <w:sz w:val="28"/>
          <w:szCs w:val="28"/>
        </w:rPr>
        <w:t>fourth</w:t>
      </w:r>
      <w:r w:rsidR="008820A9" w:rsidRPr="009E70DA">
        <w:rPr>
          <w:sz w:val="28"/>
          <w:szCs w:val="28"/>
        </w:rPr>
        <w:t xml:space="preserve"> </w:t>
      </w:r>
      <w:r w:rsidRPr="009E70DA">
        <w:rPr>
          <w:sz w:val="28"/>
          <w:szCs w:val="28"/>
        </w:rPr>
        <w:t>respondent:</w:t>
      </w:r>
      <w:r w:rsidRPr="009E70DA">
        <w:rPr>
          <w:sz w:val="28"/>
          <w:szCs w:val="28"/>
        </w:rPr>
        <w:tab/>
      </w:r>
      <w:r w:rsidR="006342F8" w:rsidRPr="009E70DA">
        <w:rPr>
          <w:sz w:val="28"/>
          <w:szCs w:val="28"/>
        </w:rPr>
        <w:t>K Tsatsawane SC</w:t>
      </w:r>
    </w:p>
    <w:p w14:paraId="727C76E5" w14:textId="77777777" w:rsidR="00093030" w:rsidRPr="009E70DA" w:rsidRDefault="00093030" w:rsidP="00660B75">
      <w:pPr>
        <w:tabs>
          <w:tab w:val="left" w:pos="2835"/>
          <w:tab w:val="left" w:pos="4111"/>
        </w:tabs>
        <w:spacing w:line="360" w:lineRule="auto"/>
        <w:jc w:val="both"/>
        <w:rPr>
          <w:bCs/>
          <w:sz w:val="28"/>
          <w:szCs w:val="28"/>
        </w:rPr>
      </w:pPr>
      <w:r w:rsidRPr="009E70DA">
        <w:rPr>
          <w:bCs/>
          <w:sz w:val="28"/>
          <w:szCs w:val="28"/>
        </w:rPr>
        <w:t>Instructed by:</w:t>
      </w:r>
      <w:r w:rsidR="006342F8" w:rsidRPr="009E70DA">
        <w:rPr>
          <w:bCs/>
          <w:sz w:val="28"/>
          <w:szCs w:val="28"/>
        </w:rPr>
        <w:tab/>
      </w:r>
      <w:r w:rsidR="00660B75">
        <w:rPr>
          <w:bCs/>
          <w:sz w:val="28"/>
          <w:szCs w:val="28"/>
        </w:rPr>
        <w:tab/>
      </w:r>
      <w:r w:rsidR="006342F8" w:rsidRPr="009E70DA">
        <w:rPr>
          <w:bCs/>
          <w:sz w:val="28"/>
          <w:szCs w:val="28"/>
        </w:rPr>
        <w:t>Diale Mogashoa Attorneys, Pretoria</w:t>
      </w:r>
    </w:p>
    <w:p w14:paraId="2BEA22F5" w14:textId="77777777" w:rsidR="00093030" w:rsidRPr="009E70DA" w:rsidRDefault="006342F8" w:rsidP="00660B75">
      <w:pPr>
        <w:tabs>
          <w:tab w:val="left" w:pos="2835"/>
          <w:tab w:val="left" w:pos="4111"/>
        </w:tabs>
        <w:spacing w:line="360" w:lineRule="auto"/>
        <w:jc w:val="both"/>
        <w:rPr>
          <w:bCs/>
          <w:sz w:val="28"/>
          <w:szCs w:val="28"/>
        </w:rPr>
      </w:pPr>
      <w:r w:rsidRPr="009E70DA">
        <w:rPr>
          <w:bCs/>
          <w:sz w:val="28"/>
          <w:szCs w:val="28"/>
        </w:rPr>
        <w:tab/>
      </w:r>
      <w:r w:rsidR="00660B75">
        <w:rPr>
          <w:bCs/>
          <w:sz w:val="28"/>
          <w:szCs w:val="28"/>
        </w:rPr>
        <w:tab/>
      </w:r>
      <w:r w:rsidRPr="009E70DA">
        <w:rPr>
          <w:bCs/>
          <w:sz w:val="28"/>
          <w:szCs w:val="28"/>
        </w:rPr>
        <w:t>Honey Attorneys, Bloemfontein</w:t>
      </w:r>
    </w:p>
    <w:p w14:paraId="504BDCE8" w14:textId="77777777" w:rsidR="00093030" w:rsidRPr="009E70DA" w:rsidRDefault="00093030" w:rsidP="006470B0">
      <w:pPr>
        <w:pStyle w:val="Pa3"/>
        <w:spacing w:line="360" w:lineRule="auto"/>
        <w:jc w:val="both"/>
        <w:rPr>
          <w:rFonts w:ascii="Times New Roman" w:hAnsi="Times New Roman"/>
          <w:sz w:val="28"/>
          <w:szCs w:val="28"/>
        </w:rPr>
      </w:pPr>
    </w:p>
    <w:p w14:paraId="09668A33" w14:textId="77777777" w:rsidR="00093030" w:rsidRPr="009E70DA" w:rsidRDefault="00093030" w:rsidP="006470B0">
      <w:pPr>
        <w:spacing w:line="360" w:lineRule="auto"/>
        <w:jc w:val="both"/>
        <w:rPr>
          <w:sz w:val="28"/>
          <w:szCs w:val="28"/>
        </w:rPr>
      </w:pPr>
    </w:p>
    <w:p w14:paraId="3DD078CE" w14:textId="77777777" w:rsidR="007D705D" w:rsidRPr="009E70DA" w:rsidRDefault="007D705D" w:rsidP="006470B0">
      <w:pPr>
        <w:spacing w:line="360" w:lineRule="auto"/>
        <w:jc w:val="both"/>
        <w:rPr>
          <w:sz w:val="28"/>
          <w:szCs w:val="28"/>
        </w:rPr>
      </w:pPr>
    </w:p>
    <w:sectPr w:rsidR="007D705D" w:rsidRPr="009E70DA" w:rsidSect="007D705D">
      <w:headerReference w:type="even" r:id="rId11"/>
      <w:headerReference w:type="defaul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45B70" w14:textId="77777777" w:rsidR="00E8084F" w:rsidRDefault="00E8084F">
      <w:r>
        <w:separator/>
      </w:r>
    </w:p>
  </w:endnote>
  <w:endnote w:type="continuationSeparator" w:id="0">
    <w:p w14:paraId="25A1FD69" w14:textId="77777777" w:rsidR="00E8084F" w:rsidRDefault="00E8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8B3A6" w14:textId="77777777" w:rsidR="00E8084F" w:rsidRDefault="00E8084F">
      <w:r>
        <w:separator/>
      </w:r>
    </w:p>
  </w:footnote>
  <w:footnote w:type="continuationSeparator" w:id="0">
    <w:p w14:paraId="5563F7B7" w14:textId="77777777" w:rsidR="00E8084F" w:rsidRDefault="00E8084F">
      <w:r>
        <w:continuationSeparator/>
      </w:r>
    </w:p>
  </w:footnote>
  <w:footnote w:id="1">
    <w:p w14:paraId="7A7136BD" w14:textId="77777777" w:rsidR="00E4497C" w:rsidRPr="0024555A" w:rsidRDefault="00E4497C" w:rsidP="00E4497C">
      <w:pPr>
        <w:pStyle w:val="FootnoteText"/>
        <w:jc w:val="both"/>
      </w:pPr>
      <w:r w:rsidRPr="0024555A">
        <w:rPr>
          <w:rStyle w:val="FootnoteReference"/>
        </w:rPr>
        <w:footnoteRef/>
      </w:r>
      <w:r w:rsidRPr="0024555A">
        <w:t xml:space="preserve"> Section 217 of the Constitution of the Republic of South Africa 1996 provides:</w:t>
      </w:r>
    </w:p>
    <w:p w14:paraId="644DE7B8" w14:textId="77777777" w:rsidR="00E4497C" w:rsidRPr="0024555A" w:rsidRDefault="00E4497C" w:rsidP="00E4497C">
      <w:pPr>
        <w:pStyle w:val="FootnoteText"/>
        <w:jc w:val="both"/>
      </w:pPr>
      <w:r w:rsidRPr="0024555A">
        <w:t xml:space="preserve">‘(1) When an organ of state in the national, provincial or local sphere of government, or any other institution identified in national legislation, contracts for goods or services, it must do so in accordance with a system which is fair, equitable, transparent, competitive and cost-effective. </w:t>
      </w:r>
    </w:p>
    <w:p w14:paraId="1BBF6FD0" w14:textId="77777777" w:rsidR="00E4497C" w:rsidRPr="0024555A" w:rsidRDefault="00E4497C" w:rsidP="00E4497C">
      <w:pPr>
        <w:pStyle w:val="FootnoteText"/>
        <w:jc w:val="both"/>
      </w:pPr>
      <w:r w:rsidRPr="0024555A">
        <w:t>(2) Subsection (1) does not prevent the organs of state or institutions referred to in that subsection from implementing a procurement policy providing for—</w:t>
      </w:r>
    </w:p>
    <w:p w14:paraId="1A313C9B" w14:textId="77777777" w:rsidR="00E4497C" w:rsidRPr="0024555A" w:rsidRDefault="00E4497C" w:rsidP="00E4497C">
      <w:pPr>
        <w:pStyle w:val="FootnoteText"/>
        <w:jc w:val="both"/>
      </w:pPr>
      <w:r w:rsidRPr="0024555A">
        <w:t>(a) categories of preference in the allocation of contracts; and</w:t>
      </w:r>
    </w:p>
    <w:p w14:paraId="6DEEC911" w14:textId="77777777" w:rsidR="00E4497C" w:rsidRPr="0024555A" w:rsidRDefault="00E4497C" w:rsidP="00E4497C">
      <w:pPr>
        <w:pStyle w:val="FootnoteText"/>
        <w:jc w:val="both"/>
      </w:pPr>
      <w:r w:rsidRPr="0024555A">
        <w:t>(b) the protection or advancement of persons, or categories of persons, disadvantaged by unfair discrimination.</w:t>
      </w:r>
    </w:p>
    <w:p w14:paraId="7CA48B4E" w14:textId="77777777" w:rsidR="00E4497C" w:rsidRPr="0024555A" w:rsidRDefault="00E4497C" w:rsidP="00E4497C">
      <w:pPr>
        <w:pStyle w:val="FootnoteText"/>
        <w:jc w:val="both"/>
      </w:pPr>
      <w:r w:rsidRPr="0024555A">
        <w:t xml:space="preserve">(3) National legislation must prescribe a framework within which the policy referred to in subsection (2) must be implemented.’ </w:t>
      </w:r>
    </w:p>
  </w:footnote>
  <w:footnote w:id="2">
    <w:p w14:paraId="4F813289" w14:textId="77777777" w:rsidR="00085914" w:rsidRPr="0024555A" w:rsidRDefault="00085914" w:rsidP="0089683F">
      <w:pPr>
        <w:pStyle w:val="FootnoteText"/>
        <w:jc w:val="both"/>
      </w:pPr>
      <w:r w:rsidRPr="0024555A">
        <w:rPr>
          <w:rStyle w:val="FootnoteReference"/>
        </w:rPr>
        <w:footnoteRef/>
      </w:r>
      <w:r w:rsidRPr="0024555A">
        <w:t xml:space="preserve"> The regulations were promulgated under the </w:t>
      </w:r>
      <w:r w:rsidRPr="0024555A">
        <w:rPr>
          <w:bCs/>
        </w:rPr>
        <w:t>Preferential Procurement Policy Framework Act 5 of 2000.</w:t>
      </w:r>
    </w:p>
  </w:footnote>
  <w:footnote w:id="3">
    <w:p w14:paraId="2A7C8DB5" w14:textId="77777777" w:rsidR="000900AD" w:rsidRPr="0024555A" w:rsidRDefault="000900AD" w:rsidP="0089683F">
      <w:pPr>
        <w:pStyle w:val="FootnoteText"/>
        <w:jc w:val="both"/>
      </w:pPr>
      <w:r w:rsidRPr="0024555A">
        <w:rPr>
          <w:rStyle w:val="FootnoteReference"/>
        </w:rPr>
        <w:footnoteRef/>
      </w:r>
      <w:r w:rsidRPr="0024555A">
        <w:t xml:space="preserve"> In terms of </w:t>
      </w:r>
      <w:r w:rsidR="008A3C6E">
        <w:t xml:space="preserve">paragraph </w:t>
      </w:r>
      <w:r w:rsidR="008A3C6E" w:rsidRPr="0024555A">
        <w:t xml:space="preserve">7.3.4.6 </w:t>
      </w:r>
      <w:r w:rsidR="008A3C6E">
        <w:t xml:space="preserve">of </w:t>
      </w:r>
      <w:r w:rsidRPr="0024555A">
        <w:t>the Road Accident Fund Supply Chain Management Policy adopted on 9</w:t>
      </w:r>
      <w:r w:rsidR="0089683F">
        <w:t> </w:t>
      </w:r>
      <w:r w:rsidRPr="0024555A">
        <w:t>November 2015</w:t>
      </w:r>
      <w:r w:rsidR="008A3C6E">
        <w:t>,</w:t>
      </w:r>
      <w:r w:rsidRPr="0024555A">
        <w:t xml:space="preserve"> dealing with contract management, ‘the BAC must in respect of proposed contract cancellation or variation proposals, consider and approve such proposals.</w:t>
      </w:r>
      <w:r w:rsidR="000D37B1">
        <w:t>’</w:t>
      </w:r>
    </w:p>
  </w:footnote>
  <w:footnote w:id="4">
    <w:p w14:paraId="07552DBA" w14:textId="77777777" w:rsidR="005053DA" w:rsidRPr="0024555A" w:rsidRDefault="005053DA" w:rsidP="00D15B64">
      <w:pPr>
        <w:pStyle w:val="FootnoteText"/>
        <w:jc w:val="both"/>
      </w:pPr>
      <w:r w:rsidRPr="0024555A">
        <w:rPr>
          <w:rStyle w:val="FootnoteReference"/>
        </w:rPr>
        <w:footnoteRef/>
      </w:r>
      <w:r w:rsidRPr="0024555A">
        <w:t xml:space="preserve"> </w:t>
      </w:r>
      <w:r w:rsidRPr="0024555A">
        <w:rPr>
          <w:i/>
          <w:iCs/>
        </w:rPr>
        <w:t xml:space="preserve">Trencon Construction (Pty) Ltd v Industrial Development Corporation of South Africa and Another Limited </w:t>
      </w:r>
      <w:r w:rsidRPr="0024555A">
        <w:t>[2015] ZACC 22; 2015 (5) SA 245 (CC) para 68.</w:t>
      </w:r>
    </w:p>
  </w:footnote>
  <w:footnote w:id="5">
    <w:p w14:paraId="69C7EB4B" w14:textId="77777777" w:rsidR="00F02C9B" w:rsidRPr="00F02C9B" w:rsidRDefault="00F02C9B" w:rsidP="00D15B64">
      <w:pPr>
        <w:pStyle w:val="FootnoteText"/>
        <w:jc w:val="both"/>
        <w:rPr>
          <w:lang w:val="en-US"/>
        </w:rPr>
      </w:pPr>
      <w:r>
        <w:rPr>
          <w:rStyle w:val="FootnoteReference"/>
        </w:rPr>
        <w:footnoteRef/>
      </w:r>
      <w:r w:rsidR="00530C20">
        <w:rPr>
          <w:i/>
          <w:iCs/>
        </w:rPr>
        <w:t xml:space="preserve"> </w:t>
      </w:r>
      <w:r w:rsidR="00C9155D" w:rsidRPr="00530C20">
        <w:rPr>
          <w:i/>
          <w:iCs/>
        </w:rPr>
        <w:t>City of Tshwane Metropolitan Municipality and Others v Nambiti Technologies (Pty) Ltd</w:t>
      </w:r>
      <w:r w:rsidR="00C9155D" w:rsidRPr="00C9155D">
        <w:t xml:space="preserve"> [2015] ZASCA 167;</w:t>
      </w:r>
      <w:r w:rsidR="006600A9" w:rsidRPr="006600A9">
        <w:t xml:space="preserve"> </w:t>
      </w:r>
      <w:r w:rsidR="006600A9" w:rsidRPr="00C9155D">
        <w:t>2016 (2) SA 494 (SCA)</w:t>
      </w:r>
      <w:r w:rsidR="006600A9">
        <w:t>;</w:t>
      </w:r>
      <w:r w:rsidR="006600A9" w:rsidRPr="00C9155D">
        <w:t xml:space="preserve"> </w:t>
      </w:r>
      <w:r w:rsidR="00C9155D" w:rsidRPr="00C9155D">
        <w:t>[2016] 1 All SA 332 (SCA)</w:t>
      </w:r>
      <w:r w:rsidRPr="00F02C9B">
        <w:t>.</w:t>
      </w:r>
      <w:r>
        <w:t xml:space="preserve"> </w:t>
      </w:r>
    </w:p>
  </w:footnote>
  <w:footnote w:id="6">
    <w:p w14:paraId="6957DB51" w14:textId="77777777" w:rsidR="00FC4932" w:rsidRPr="003075A5" w:rsidRDefault="00FC4932" w:rsidP="00FC4932">
      <w:pPr>
        <w:pStyle w:val="FootnoteText"/>
        <w:jc w:val="both"/>
        <w:rPr>
          <w:lang w:val="en-US"/>
        </w:rPr>
      </w:pPr>
      <w:r>
        <w:rPr>
          <w:rStyle w:val="FootnoteReference"/>
        </w:rPr>
        <w:footnoteRef/>
      </w:r>
      <w:r>
        <w:t xml:space="preserve"> </w:t>
      </w:r>
      <w:r>
        <w:rPr>
          <w:lang w:val="en-US"/>
        </w:rPr>
        <w:t>Ibid para 29.</w:t>
      </w:r>
    </w:p>
  </w:footnote>
  <w:footnote w:id="7">
    <w:p w14:paraId="6A85AC7B" w14:textId="77777777" w:rsidR="00FC4932" w:rsidRPr="003075A5" w:rsidRDefault="00FC4932" w:rsidP="00FC4932">
      <w:pPr>
        <w:pStyle w:val="FootnoteText"/>
        <w:jc w:val="both"/>
        <w:rPr>
          <w:lang w:val="en-US"/>
        </w:rPr>
      </w:pPr>
      <w:r>
        <w:rPr>
          <w:rStyle w:val="FootnoteReference"/>
        </w:rPr>
        <w:footnoteRef/>
      </w:r>
      <w:r>
        <w:t xml:space="preserve"> </w:t>
      </w:r>
      <w:r>
        <w:rPr>
          <w:lang w:val="en-US"/>
        </w:rPr>
        <w:t>Ibid para 30.</w:t>
      </w:r>
    </w:p>
  </w:footnote>
  <w:footnote w:id="8">
    <w:p w14:paraId="146715CF" w14:textId="77777777" w:rsidR="00A876C6" w:rsidRPr="0024555A" w:rsidRDefault="00A876C6" w:rsidP="00A95F07">
      <w:pPr>
        <w:pStyle w:val="FootnoteText"/>
        <w:jc w:val="both"/>
      </w:pPr>
      <w:r w:rsidRPr="0024555A">
        <w:rPr>
          <w:rStyle w:val="FootnoteReference"/>
        </w:rPr>
        <w:footnoteRef/>
      </w:r>
      <w:r w:rsidRPr="0024555A">
        <w:t xml:space="preserve"> </w:t>
      </w:r>
      <w:r w:rsidRPr="0024555A">
        <w:rPr>
          <w:i/>
        </w:rPr>
        <w:t>National Lotteries Board v South African Education and Environment Project</w:t>
      </w:r>
      <w:r w:rsidRPr="0024555A">
        <w:t xml:space="preserve"> </w:t>
      </w:r>
      <w:r w:rsidRPr="00C13E60">
        <w:t>[2011] ZASCA 154; 2012</w:t>
      </w:r>
      <w:r>
        <w:t> </w:t>
      </w:r>
      <w:r w:rsidRPr="00C13E60">
        <w:t>(4) SA 504 (SCA)</w:t>
      </w:r>
      <w:r>
        <w:t>;</w:t>
      </w:r>
      <w:r w:rsidRPr="00C13E60">
        <w:t xml:space="preserve"> [2012] 1 All SA 451 (SCA</w:t>
      </w:r>
      <w:r w:rsidRPr="0024555A">
        <w:t>)</w:t>
      </w:r>
      <w:r>
        <w:t xml:space="preserve"> paras 27-28; </w:t>
      </w:r>
      <w:r w:rsidRPr="0024555A">
        <w:rPr>
          <w:i/>
        </w:rPr>
        <w:t>National Energy Regulator of South Africa and Another v PG Group (Pty) Limited and Others</w:t>
      </w:r>
      <w:r w:rsidRPr="0024555A">
        <w:t xml:space="preserve"> </w:t>
      </w:r>
      <w:r w:rsidRPr="00077679">
        <w:t>[2019] ZACC 28; 2020 (1) SA 450 (CC)</w:t>
      </w:r>
      <w:r>
        <w:t>;</w:t>
      </w:r>
      <w:r w:rsidRPr="00077679">
        <w:t xml:space="preserve"> 2019 (10) BCLR 1185 (CC)</w:t>
      </w:r>
      <w:r w:rsidRPr="0024555A">
        <w:t xml:space="preserve"> para 39</w:t>
      </w:r>
      <w:r w:rsidRPr="0024555A">
        <w:rPr>
          <w:color w:val="242121"/>
          <w:shd w:val="clear" w:color="auto" w:fill="FFFFFF"/>
        </w:rPr>
        <w:t>.</w:t>
      </w:r>
    </w:p>
  </w:footnote>
  <w:footnote w:id="9">
    <w:p w14:paraId="51BC6ECE" w14:textId="77777777" w:rsidR="00945CA3" w:rsidRPr="0024555A" w:rsidRDefault="00945CA3" w:rsidP="00945CA3">
      <w:pPr>
        <w:pStyle w:val="FootnoteText"/>
      </w:pPr>
      <w:r w:rsidRPr="0024555A">
        <w:rPr>
          <w:rStyle w:val="FootnoteReference"/>
        </w:rPr>
        <w:footnoteRef/>
      </w:r>
      <w:r w:rsidRPr="0024555A">
        <w:t xml:space="preserve"> H Klopper ‘Is the Road Accident Fund’s litigation in urgent need of review</w:t>
      </w:r>
      <w:r w:rsidR="008B7DED">
        <w:t>?</w:t>
      </w:r>
      <w:r w:rsidRPr="0024555A">
        <w:t xml:space="preserve">’ </w:t>
      </w:r>
      <w:r w:rsidRPr="0024555A">
        <w:rPr>
          <w:i/>
        </w:rPr>
        <w:t>De Rebus</w:t>
      </w:r>
      <w:r w:rsidRPr="0024555A">
        <w:t xml:space="preserve"> March 2019.</w:t>
      </w:r>
    </w:p>
  </w:footnote>
  <w:footnote w:id="10">
    <w:p w14:paraId="44F3AF0D" w14:textId="77777777" w:rsidR="003B13DC" w:rsidRPr="0024555A" w:rsidRDefault="003B13DC" w:rsidP="002E0F2F">
      <w:pPr>
        <w:pStyle w:val="FootnoteText"/>
        <w:jc w:val="both"/>
      </w:pPr>
      <w:r w:rsidRPr="0024555A">
        <w:rPr>
          <w:rStyle w:val="FootnoteReference"/>
        </w:rPr>
        <w:footnoteRef/>
      </w:r>
      <w:r w:rsidRPr="0024555A">
        <w:t xml:space="preserve"> </w:t>
      </w:r>
      <w:r w:rsidRPr="0024555A">
        <w:rPr>
          <w:i/>
          <w:iCs/>
        </w:rPr>
        <w:t xml:space="preserve">Absa Bank Ltd v Mkhize </w:t>
      </w:r>
      <w:r w:rsidRPr="0024555A">
        <w:t>[2013] ZASCA 139; 2014 (5) SA 16 (SCA) para 64</w:t>
      </w:r>
      <w:r w:rsidR="00F25C69">
        <w:t xml:space="preserve">; </w:t>
      </w:r>
      <w:r w:rsidR="00F25C69" w:rsidRPr="0024555A">
        <w:rPr>
          <w:i/>
          <w:iCs/>
        </w:rPr>
        <w:t>Cape Empowerment Trust Ltd v Fisher Hoffman Sithole</w:t>
      </w:r>
      <w:r w:rsidR="00F25C69" w:rsidRPr="0024555A">
        <w:t xml:space="preserve"> [2013] ZASCA 16; 2013 (5) SA 183 (SCA) para 39.</w:t>
      </w:r>
    </w:p>
  </w:footnote>
  <w:footnote w:id="11">
    <w:p w14:paraId="538F53DF" w14:textId="77777777" w:rsidR="009940F1" w:rsidRPr="0024555A" w:rsidRDefault="009940F1" w:rsidP="002E0F2F">
      <w:pPr>
        <w:jc w:val="both"/>
      </w:pPr>
      <w:r w:rsidRPr="0056563A">
        <w:rPr>
          <w:rStyle w:val="FootnoteReference"/>
          <w:sz w:val="20"/>
          <w:szCs w:val="20"/>
        </w:rPr>
        <w:footnoteRef/>
      </w:r>
      <w:r w:rsidRPr="0056563A">
        <w:rPr>
          <w:sz w:val="20"/>
          <w:szCs w:val="20"/>
        </w:rPr>
        <w:t xml:space="preserve"> See </w:t>
      </w:r>
      <w:r w:rsidRPr="0024555A">
        <w:rPr>
          <w:bCs/>
          <w:i/>
          <w:sz w:val="20"/>
          <w:szCs w:val="20"/>
          <w:lang w:eastAsia="en-ZA"/>
        </w:rPr>
        <w:t xml:space="preserve">Shaik and Others v Pillay and Others </w:t>
      </w:r>
      <w:r w:rsidRPr="0024555A">
        <w:rPr>
          <w:bCs/>
          <w:sz w:val="20"/>
          <w:szCs w:val="20"/>
          <w:lang w:eastAsia="en-ZA"/>
        </w:rPr>
        <w:t>2008 (3) SA 59 (N)</w:t>
      </w:r>
      <w:r w:rsidR="00342F2B">
        <w:rPr>
          <w:bCs/>
          <w:sz w:val="20"/>
          <w:szCs w:val="20"/>
          <w:lang w:eastAsia="en-ZA"/>
        </w:rPr>
        <w:t xml:space="preserve"> </w:t>
      </w:r>
      <w:r w:rsidRPr="0024555A">
        <w:t>at 61E-F.</w:t>
      </w:r>
    </w:p>
  </w:footnote>
  <w:footnote w:id="12">
    <w:p w14:paraId="3C917D29" w14:textId="77777777" w:rsidR="009940F1" w:rsidRPr="0024555A" w:rsidRDefault="009940F1" w:rsidP="002E0F2F">
      <w:pPr>
        <w:pStyle w:val="FootnoteText"/>
        <w:jc w:val="both"/>
      </w:pPr>
      <w:r w:rsidRPr="0024555A">
        <w:rPr>
          <w:rStyle w:val="FootnoteReference"/>
        </w:rPr>
        <w:footnoteRef/>
      </w:r>
      <w:r w:rsidRPr="0024555A">
        <w:t xml:space="preserve"> </w:t>
      </w:r>
      <w:r w:rsidRPr="0024555A">
        <w:rPr>
          <w:i/>
          <w:iCs/>
        </w:rPr>
        <w:t>Van Wyk v Unitas Hospital</w:t>
      </w:r>
      <w:r w:rsidRPr="0056563A">
        <w:rPr>
          <w:i/>
          <w:iCs/>
        </w:rPr>
        <w:t xml:space="preserve"> (Open Democratic Advice Centre as Amicus Curiae)</w:t>
      </w:r>
      <w:r w:rsidRPr="0024555A">
        <w:t xml:space="preserve"> [2007] ZACC 24; 2008 (2) SA 472 (CC) at 477 A-B.</w:t>
      </w:r>
    </w:p>
  </w:footnote>
  <w:footnote w:id="13">
    <w:p w14:paraId="347B5DFE" w14:textId="77777777" w:rsidR="00342F2B" w:rsidRPr="0024555A" w:rsidRDefault="00342F2B" w:rsidP="002E0F2F">
      <w:pPr>
        <w:pStyle w:val="FootnoteText"/>
        <w:jc w:val="both"/>
      </w:pPr>
      <w:r w:rsidRPr="0024555A">
        <w:rPr>
          <w:rStyle w:val="FootnoteReference"/>
        </w:rPr>
        <w:footnoteRef/>
      </w:r>
      <w:r w:rsidRPr="0024555A">
        <w:t xml:space="preserve"> </w:t>
      </w:r>
      <w:r w:rsidRPr="0024555A">
        <w:rPr>
          <w:i/>
        </w:rPr>
        <w:t>Bellville-Inry (E</w:t>
      </w:r>
      <w:r w:rsidR="00E77FC3">
        <w:rPr>
          <w:i/>
        </w:rPr>
        <w:t>dms</w:t>
      </w:r>
      <w:r w:rsidRPr="0024555A">
        <w:rPr>
          <w:i/>
        </w:rPr>
        <w:t>) Bpk v Continental China (Pty) Ltd</w:t>
      </w:r>
      <w:r w:rsidRPr="0024555A">
        <w:t xml:space="preserve"> 1976 (3) SA 583 (C) at 591H – 592A.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A7A6" w14:textId="77777777" w:rsidR="008B388A" w:rsidRDefault="008B38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545674" w14:textId="77777777" w:rsidR="008B388A" w:rsidRDefault="008B388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3582" w14:textId="00DE5FD3" w:rsidR="008B388A" w:rsidRDefault="008B38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4D0A">
      <w:rPr>
        <w:rStyle w:val="PageNumber"/>
        <w:noProof/>
      </w:rPr>
      <w:t>2</w:t>
    </w:r>
    <w:r>
      <w:rPr>
        <w:rStyle w:val="PageNumber"/>
      </w:rPr>
      <w:fldChar w:fldCharType="end"/>
    </w:r>
  </w:p>
  <w:p w14:paraId="36EF7553" w14:textId="77777777" w:rsidR="008B388A" w:rsidRDefault="008B388A">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7668" w14:textId="77777777" w:rsidR="008B388A" w:rsidRDefault="008B38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09E6261" w14:textId="77777777" w:rsidR="008B388A" w:rsidRDefault="008B388A">
    <w:pPr>
      <w:pStyle w:val="Header"/>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CD98" w14:textId="4C5A603D" w:rsidR="008B388A" w:rsidRDefault="008B38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4D0A">
      <w:rPr>
        <w:rStyle w:val="PageNumber"/>
        <w:noProof/>
      </w:rPr>
      <w:t>18</w:t>
    </w:r>
    <w:r>
      <w:rPr>
        <w:rStyle w:val="PageNumber"/>
      </w:rPr>
      <w:fldChar w:fldCharType="end"/>
    </w:r>
  </w:p>
  <w:p w14:paraId="42402632" w14:textId="77777777" w:rsidR="008B388A" w:rsidRDefault="008B388A">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6E0"/>
    <w:multiLevelType w:val="hybridMultilevel"/>
    <w:tmpl w:val="34D2CD2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CA66A3"/>
    <w:multiLevelType w:val="hybridMultilevel"/>
    <w:tmpl w:val="4D22672C"/>
    <w:lvl w:ilvl="0" w:tplc="94145194">
      <w:start w:val="14"/>
      <w:numFmt w:val="decimal"/>
      <w:lvlText w:val="[%1]"/>
      <w:lvlJc w:val="left"/>
      <w:pPr>
        <w:ind w:left="360" w:hanging="360"/>
      </w:pPr>
      <w:rPr>
        <w:rFonts w:ascii="Times New Roman" w:hAnsi="Times New Roman" w:cs="Times New Roman" w:hint="default"/>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8D64AFD"/>
    <w:multiLevelType w:val="hybridMultilevel"/>
    <w:tmpl w:val="4DD8D344"/>
    <w:lvl w:ilvl="0" w:tplc="83D88EA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C8A6554"/>
    <w:multiLevelType w:val="hybridMultilevel"/>
    <w:tmpl w:val="51548C70"/>
    <w:lvl w:ilvl="0" w:tplc="FFFFFFFF">
      <w:start w:val="1"/>
      <w:numFmt w:val="lowerLetter"/>
      <w:lvlText w:val="%1)"/>
      <w:lvlJc w:val="left"/>
      <w:pPr>
        <w:ind w:left="0" w:firstLine="0"/>
      </w:pPr>
      <w:rPr>
        <w:rFonts w:hint="default"/>
        <w:b w:val="0"/>
        <w:bCs w:val="0"/>
        <w:i w:val="0"/>
        <w:i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144EA6"/>
    <w:multiLevelType w:val="hybridMultilevel"/>
    <w:tmpl w:val="6E682D7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24B69DE"/>
    <w:multiLevelType w:val="hybridMultilevel"/>
    <w:tmpl w:val="4DD8D344"/>
    <w:lvl w:ilvl="0" w:tplc="83D88EA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0A96F49"/>
    <w:multiLevelType w:val="hybridMultilevel"/>
    <w:tmpl w:val="1ADCDE4E"/>
    <w:lvl w:ilvl="0" w:tplc="4230AA60">
      <w:start w:val="2"/>
      <w:numFmt w:val="decimal"/>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DD420D4"/>
    <w:multiLevelType w:val="hybridMultilevel"/>
    <w:tmpl w:val="C9788AE0"/>
    <w:lvl w:ilvl="0" w:tplc="48EA8B36">
      <w:start w:val="1"/>
      <w:numFmt w:val="decimal"/>
      <w:lvlText w:val="[%1]"/>
      <w:lvlJc w:val="left"/>
      <w:pPr>
        <w:ind w:left="720" w:hanging="360"/>
      </w:pPr>
      <w:rPr>
        <w:rFonts w:ascii="Times New Roman" w:hAnsi="Times New Roman" w:cs="Times New Roman" w:hint="default"/>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8EB169C"/>
    <w:multiLevelType w:val="hybridMultilevel"/>
    <w:tmpl w:val="2B749034"/>
    <w:lvl w:ilvl="0" w:tplc="9334B1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1"/>
  </w:num>
  <w:num w:numId="6">
    <w:abstractNumId w:val="6"/>
  </w:num>
  <w:num w:numId="7">
    <w:abstractNumId w:val="8"/>
  </w:num>
  <w:num w:numId="8">
    <w:abstractNumId w:val="0"/>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30"/>
    <w:rsid w:val="00004DB6"/>
    <w:rsid w:val="0000722D"/>
    <w:rsid w:val="00016C8D"/>
    <w:rsid w:val="00020B98"/>
    <w:rsid w:val="00022306"/>
    <w:rsid w:val="000238B7"/>
    <w:rsid w:val="00027E1B"/>
    <w:rsid w:val="00030872"/>
    <w:rsid w:val="000338E5"/>
    <w:rsid w:val="00033D65"/>
    <w:rsid w:val="00034A56"/>
    <w:rsid w:val="00034D35"/>
    <w:rsid w:val="00043315"/>
    <w:rsid w:val="000468CD"/>
    <w:rsid w:val="00055583"/>
    <w:rsid w:val="0005754B"/>
    <w:rsid w:val="000611D2"/>
    <w:rsid w:val="00061F13"/>
    <w:rsid w:val="00066F6D"/>
    <w:rsid w:val="00067217"/>
    <w:rsid w:val="00067266"/>
    <w:rsid w:val="000753B2"/>
    <w:rsid w:val="00077679"/>
    <w:rsid w:val="00081C4E"/>
    <w:rsid w:val="00083287"/>
    <w:rsid w:val="00085503"/>
    <w:rsid w:val="000855E4"/>
    <w:rsid w:val="00085914"/>
    <w:rsid w:val="000866EA"/>
    <w:rsid w:val="0008763A"/>
    <w:rsid w:val="000900AD"/>
    <w:rsid w:val="000915F7"/>
    <w:rsid w:val="00093030"/>
    <w:rsid w:val="00093930"/>
    <w:rsid w:val="00093DDE"/>
    <w:rsid w:val="00094AFB"/>
    <w:rsid w:val="000950CC"/>
    <w:rsid w:val="00095C88"/>
    <w:rsid w:val="000A4E88"/>
    <w:rsid w:val="000A5558"/>
    <w:rsid w:val="000A7CBF"/>
    <w:rsid w:val="000B0714"/>
    <w:rsid w:val="000B4F9A"/>
    <w:rsid w:val="000B574E"/>
    <w:rsid w:val="000B58B3"/>
    <w:rsid w:val="000B5FAC"/>
    <w:rsid w:val="000B697B"/>
    <w:rsid w:val="000B6D9D"/>
    <w:rsid w:val="000C137B"/>
    <w:rsid w:val="000C49D4"/>
    <w:rsid w:val="000C4AE4"/>
    <w:rsid w:val="000C525E"/>
    <w:rsid w:val="000C60FB"/>
    <w:rsid w:val="000C733B"/>
    <w:rsid w:val="000D1BD8"/>
    <w:rsid w:val="000D37B1"/>
    <w:rsid w:val="000D552C"/>
    <w:rsid w:val="000D6ED3"/>
    <w:rsid w:val="000D70E5"/>
    <w:rsid w:val="000D7FD4"/>
    <w:rsid w:val="000E05FD"/>
    <w:rsid w:val="000E1F7C"/>
    <w:rsid w:val="000E26CD"/>
    <w:rsid w:val="000E2E0D"/>
    <w:rsid w:val="000E3484"/>
    <w:rsid w:val="000E5C65"/>
    <w:rsid w:val="000E77CE"/>
    <w:rsid w:val="000F0560"/>
    <w:rsid w:val="000F73A3"/>
    <w:rsid w:val="00100AC6"/>
    <w:rsid w:val="00101603"/>
    <w:rsid w:val="00103D5A"/>
    <w:rsid w:val="00111C3B"/>
    <w:rsid w:val="001125DB"/>
    <w:rsid w:val="00117640"/>
    <w:rsid w:val="001220DD"/>
    <w:rsid w:val="00125414"/>
    <w:rsid w:val="001300BC"/>
    <w:rsid w:val="001302DC"/>
    <w:rsid w:val="00134B39"/>
    <w:rsid w:val="00136265"/>
    <w:rsid w:val="00141738"/>
    <w:rsid w:val="001463B3"/>
    <w:rsid w:val="001546A0"/>
    <w:rsid w:val="00155CA3"/>
    <w:rsid w:val="00161B71"/>
    <w:rsid w:val="00161F58"/>
    <w:rsid w:val="00162645"/>
    <w:rsid w:val="00164EFE"/>
    <w:rsid w:val="00166E4B"/>
    <w:rsid w:val="001755F2"/>
    <w:rsid w:val="00175959"/>
    <w:rsid w:val="001812AD"/>
    <w:rsid w:val="001829D7"/>
    <w:rsid w:val="00183FD5"/>
    <w:rsid w:val="00192517"/>
    <w:rsid w:val="00192B70"/>
    <w:rsid w:val="0019349B"/>
    <w:rsid w:val="001A23B7"/>
    <w:rsid w:val="001B19FE"/>
    <w:rsid w:val="001B26A1"/>
    <w:rsid w:val="001B4F97"/>
    <w:rsid w:val="001C41C8"/>
    <w:rsid w:val="001C5DD0"/>
    <w:rsid w:val="001C610A"/>
    <w:rsid w:val="001D0013"/>
    <w:rsid w:val="001D1905"/>
    <w:rsid w:val="001D4FA1"/>
    <w:rsid w:val="001D64F6"/>
    <w:rsid w:val="001D689F"/>
    <w:rsid w:val="001D7E5C"/>
    <w:rsid w:val="001E39D4"/>
    <w:rsid w:val="001F05B7"/>
    <w:rsid w:val="001F11DE"/>
    <w:rsid w:val="001F7687"/>
    <w:rsid w:val="00200688"/>
    <w:rsid w:val="0020194E"/>
    <w:rsid w:val="00213F08"/>
    <w:rsid w:val="002255F4"/>
    <w:rsid w:val="00230447"/>
    <w:rsid w:val="002306AB"/>
    <w:rsid w:val="002324B8"/>
    <w:rsid w:val="0023255E"/>
    <w:rsid w:val="00233DAD"/>
    <w:rsid w:val="00234760"/>
    <w:rsid w:val="0024049A"/>
    <w:rsid w:val="00242DEE"/>
    <w:rsid w:val="00244F1A"/>
    <w:rsid w:val="0024555A"/>
    <w:rsid w:val="00246EAF"/>
    <w:rsid w:val="00250557"/>
    <w:rsid w:val="00252E87"/>
    <w:rsid w:val="0025356A"/>
    <w:rsid w:val="002545AA"/>
    <w:rsid w:val="00261542"/>
    <w:rsid w:val="002632EE"/>
    <w:rsid w:val="00263FF6"/>
    <w:rsid w:val="0026793C"/>
    <w:rsid w:val="002756C7"/>
    <w:rsid w:val="00277BB1"/>
    <w:rsid w:val="00277BD3"/>
    <w:rsid w:val="00277C14"/>
    <w:rsid w:val="0028051C"/>
    <w:rsid w:val="002808A6"/>
    <w:rsid w:val="00280BD6"/>
    <w:rsid w:val="00284C08"/>
    <w:rsid w:val="002857A7"/>
    <w:rsid w:val="0028699B"/>
    <w:rsid w:val="00286C61"/>
    <w:rsid w:val="002932CD"/>
    <w:rsid w:val="00294293"/>
    <w:rsid w:val="00296190"/>
    <w:rsid w:val="00297C9B"/>
    <w:rsid w:val="002A1971"/>
    <w:rsid w:val="002A4289"/>
    <w:rsid w:val="002A4835"/>
    <w:rsid w:val="002A731A"/>
    <w:rsid w:val="002A73BE"/>
    <w:rsid w:val="002B1F16"/>
    <w:rsid w:val="002B47BC"/>
    <w:rsid w:val="002B5CB9"/>
    <w:rsid w:val="002B64B7"/>
    <w:rsid w:val="002C06D8"/>
    <w:rsid w:val="002D4342"/>
    <w:rsid w:val="002D541F"/>
    <w:rsid w:val="002E0F2F"/>
    <w:rsid w:val="002E16D8"/>
    <w:rsid w:val="002E1C60"/>
    <w:rsid w:val="002E20FA"/>
    <w:rsid w:val="002E47A5"/>
    <w:rsid w:val="002E67C5"/>
    <w:rsid w:val="002E6ABF"/>
    <w:rsid w:val="002E704D"/>
    <w:rsid w:val="002F1075"/>
    <w:rsid w:val="002F1839"/>
    <w:rsid w:val="002F3032"/>
    <w:rsid w:val="002F46D4"/>
    <w:rsid w:val="002F7DE9"/>
    <w:rsid w:val="003010F0"/>
    <w:rsid w:val="0030113E"/>
    <w:rsid w:val="00303D15"/>
    <w:rsid w:val="003075A5"/>
    <w:rsid w:val="003114A6"/>
    <w:rsid w:val="00313874"/>
    <w:rsid w:val="00314080"/>
    <w:rsid w:val="00316FDC"/>
    <w:rsid w:val="00330B47"/>
    <w:rsid w:val="00332B95"/>
    <w:rsid w:val="00333595"/>
    <w:rsid w:val="00333A56"/>
    <w:rsid w:val="0033486E"/>
    <w:rsid w:val="00336C5D"/>
    <w:rsid w:val="00341A50"/>
    <w:rsid w:val="00342F2B"/>
    <w:rsid w:val="0034608E"/>
    <w:rsid w:val="00346967"/>
    <w:rsid w:val="0035038A"/>
    <w:rsid w:val="003509F3"/>
    <w:rsid w:val="0035529E"/>
    <w:rsid w:val="003555BD"/>
    <w:rsid w:val="00355E43"/>
    <w:rsid w:val="00356A62"/>
    <w:rsid w:val="00360DE6"/>
    <w:rsid w:val="003614EE"/>
    <w:rsid w:val="00364726"/>
    <w:rsid w:val="00364EB7"/>
    <w:rsid w:val="003658D2"/>
    <w:rsid w:val="00365D46"/>
    <w:rsid w:val="0036711E"/>
    <w:rsid w:val="00372718"/>
    <w:rsid w:val="003737FA"/>
    <w:rsid w:val="00374486"/>
    <w:rsid w:val="00374AAF"/>
    <w:rsid w:val="00374C80"/>
    <w:rsid w:val="00375C34"/>
    <w:rsid w:val="00376B29"/>
    <w:rsid w:val="0038246E"/>
    <w:rsid w:val="0038271C"/>
    <w:rsid w:val="00382ED8"/>
    <w:rsid w:val="00382EFE"/>
    <w:rsid w:val="0039096A"/>
    <w:rsid w:val="00392B80"/>
    <w:rsid w:val="003930CA"/>
    <w:rsid w:val="00394BCA"/>
    <w:rsid w:val="003951CA"/>
    <w:rsid w:val="00396F2D"/>
    <w:rsid w:val="003973E0"/>
    <w:rsid w:val="003A25D1"/>
    <w:rsid w:val="003A71E7"/>
    <w:rsid w:val="003A72E6"/>
    <w:rsid w:val="003B05FD"/>
    <w:rsid w:val="003B0F26"/>
    <w:rsid w:val="003B13DC"/>
    <w:rsid w:val="003B35C8"/>
    <w:rsid w:val="003B62F9"/>
    <w:rsid w:val="003B79A8"/>
    <w:rsid w:val="003C1564"/>
    <w:rsid w:val="003C49F6"/>
    <w:rsid w:val="003C621B"/>
    <w:rsid w:val="003C7234"/>
    <w:rsid w:val="003D6E31"/>
    <w:rsid w:val="003E45D6"/>
    <w:rsid w:val="003E4854"/>
    <w:rsid w:val="003E5DF1"/>
    <w:rsid w:val="003E759F"/>
    <w:rsid w:val="003E7604"/>
    <w:rsid w:val="003F2AAC"/>
    <w:rsid w:val="003F47CC"/>
    <w:rsid w:val="003F4ED9"/>
    <w:rsid w:val="003F5DBE"/>
    <w:rsid w:val="004019F8"/>
    <w:rsid w:val="00402519"/>
    <w:rsid w:val="004042DD"/>
    <w:rsid w:val="00404FEB"/>
    <w:rsid w:val="00405498"/>
    <w:rsid w:val="00406D40"/>
    <w:rsid w:val="00407557"/>
    <w:rsid w:val="00407AA6"/>
    <w:rsid w:val="00410C8E"/>
    <w:rsid w:val="00411FC6"/>
    <w:rsid w:val="00415FE8"/>
    <w:rsid w:val="00420E83"/>
    <w:rsid w:val="00423CC3"/>
    <w:rsid w:val="00425767"/>
    <w:rsid w:val="004319A2"/>
    <w:rsid w:val="00432FAB"/>
    <w:rsid w:val="004343E7"/>
    <w:rsid w:val="00440906"/>
    <w:rsid w:val="00440CB3"/>
    <w:rsid w:val="004419BA"/>
    <w:rsid w:val="00444342"/>
    <w:rsid w:val="004536C1"/>
    <w:rsid w:val="00454ED7"/>
    <w:rsid w:val="0045602F"/>
    <w:rsid w:val="00460044"/>
    <w:rsid w:val="00461A39"/>
    <w:rsid w:val="00461FFD"/>
    <w:rsid w:val="004633E7"/>
    <w:rsid w:val="004667E3"/>
    <w:rsid w:val="0047046E"/>
    <w:rsid w:val="004723F1"/>
    <w:rsid w:val="00472FE4"/>
    <w:rsid w:val="00485205"/>
    <w:rsid w:val="00486678"/>
    <w:rsid w:val="00487B58"/>
    <w:rsid w:val="004920A8"/>
    <w:rsid w:val="004A232A"/>
    <w:rsid w:val="004A41B1"/>
    <w:rsid w:val="004A5134"/>
    <w:rsid w:val="004A7D82"/>
    <w:rsid w:val="004B1A46"/>
    <w:rsid w:val="004B2590"/>
    <w:rsid w:val="004B5C4C"/>
    <w:rsid w:val="004C3CD7"/>
    <w:rsid w:val="004C551B"/>
    <w:rsid w:val="004C5868"/>
    <w:rsid w:val="004C6462"/>
    <w:rsid w:val="004C6BF9"/>
    <w:rsid w:val="004C7C34"/>
    <w:rsid w:val="004D4142"/>
    <w:rsid w:val="004E5C29"/>
    <w:rsid w:val="004F4923"/>
    <w:rsid w:val="004F497B"/>
    <w:rsid w:val="00500DF7"/>
    <w:rsid w:val="005053DA"/>
    <w:rsid w:val="00511558"/>
    <w:rsid w:val="005204FC"/>
    <w:rsid w:val="00521E1A"/>
    <w:rsid w:val="00522265"/>
    <w:rsid w:val="00522A39"/>
    <w:rsid w:val="00524568"/>
    <w:rsid w:val="005250B9"/>
    <w:rsid w:val="00530959"/>
    <w:rsid w:val="00530C20"/>
    <w:rsid w:val="00531033"/>
    <w:rsid w:val="0053116B"/>
    <w:rsid w:val="00531C62"/>
    <w:rsid w:val="00532C5E"/>
    <w:rsid w:val="00535F89"/>
    <w:rsid w:val="00536475"/>
    <w:rsid w:val="00540775"/>
    <w:rsid w:val="005423F8"/>
    <w:rsid w:val="00542547"/>
    <w:rsid w:val="00545580"/>
    <w:rsid w:val="00550B24"/>
    <w:rsid w:val="00554D49"/>
    <w:rsid w:val="00560A6B"/>
    <w:rsid w:val="00564145"/>
    <w:rsid w:val="0056563A"/>
    <w:rsid w:val="00574653"/>
    <w:rsid w:val="005801AD"/>
    <w:rsid w:val="0058659E"/>
    <w:rsid w:val="00594CF3"/>
    <w:rsid w:val="00595176"/>
    <w:rsid w:val="0059545C"/>
    <w:rsid w:val="00595499"/>
    <w:rsid w:val="005959DF"/>
    <w:rsid w:val="00597D04"/>
    <w:rsid w:val="005A060F"/>
    <w:rsid w:val="005A129C"/>
    <w:rsid w:val="005A44D0"/>
    <w:rsid w:val="005A4FE6"/>
    <w:rsid w:val="005A78A4"/>
    <w:rsid w:val="005A7DB5"/>
    <w:rsid w:val="005B0753"/>
    <w:rsid w:val="005B6D0C"/>
    <w:rsid w:val="005C03AB"/>
    <w:rsid w:val="005C07C1"/>
    <w:rsid w:val="005C0E3D"/>
    <w:rsid w:val="005C22E1"/>
    <w:rsid w:val="005C2CA8"/>
    <w:rsid w:val="005E1DAE"/>
    <w:rsid w:val="005E5873"/>
    <w:rsid w:val="005E5CFC"/>
    <w:rsid w:val="005E6887"/>
    <w:rsid w:val="005E7924"/>
    <w:rsid w:val="005F5331"/>
    <w:rsid w:val="005F6D46"/>
    <w:rsid w:val="005F7CC3"/>
    <w:rsid w:val="00600A8A"/>
    <w:rsid w:val="00600EEE"/>
    <w:rsid w:val="006035BA"/>
    <w:rsid w:val="006052DF"/>
    <w:rsid w:val="006066C2"/>
    <w:rsid w:val="00610C08"/>
    <w:rsid w:val="0061514B"/>
    <w:rsid w:val="0061545C"/>
    <w:rsid w:val="00617F91"/>
    <w:rsid w:val="00620400"/>
    <w:rsid w:val="0062499E"/>
    <w:rsid w:val="00631120"/>
    <w:rsid w:val="0063235F"/>
    <w:rsid w:val="00633F55"/>
    <w:rsid w:val="006341A3"/>
    <w:rsid w:val="006342F8"/>
    <w:rsid w:val="0063676F"/>
    <w:rsid w:val="006410E7"/>
    <w:rsid w:val="0064243A"/>
    <w:rsid w:val="0064416C"/>
    <w:rsid w:val="00645C4F"/>
    <w:rsid w:val="00645E16"/>
    <w:rsid w:val="006470B0"/>
    <w:rsid w:val="006511DA"/>
    <w:rsid w:val="00651A55"/>
    <w:rsid w:val="006536BA"/>
    <w:rsid w:val="00654920"/>
    <w:rsid w:val="00654BA3"/>
    <w:rsid w:val="006555B8"/>
    <w:rsid w:val="00655751"/>
    <w:rsid w:val="0065599A"/>
    <w:rsid w:val="00657492"/>
    <w:rsid w:val="00657999"/>
    <w:rsid w:val="006600A9"/>
    <w:rsid w:val="00660B75"/>
    <w:rsid w:val="0066106A"/>
    <w:rsid w:val="00661B27"/>
    <w:rsid w:val="00663195"/>
    <w:rsid w:val="00664008"/>
    <w:rsid w:val="00664217"/>
    <w:rsid w:val="006704E8"/>
    <w:rsid w:val="0067345C"/>
    <w:rsid w:val="0067384E"/>
    <w:rsid w:val="0068070C"/>
    <w:rsid w:val="006828A8"/>
    <w:rsid w:val="00682BBB"/>
    <w:rsid w:val="00687273"/>
    <w:rsid w:val="00687DAC"/>
    <w:rsid w:val="00687FEB"/>
    <w:rsid w:val="0069061C"/>
    <w:rsid w:val="00693499"/>
    <w:rsid w:val="00695466"/>
    <w:rsid w:val="006A08A4"/>
    <w:rsid w:val="006A21C1"/>
    <w:rsid w:val="006A58DD"/>
    <w:rsid w:val="006A701A"/>
    <w:rsid w:val="006B5398"/>
    <w:rsid w:val="006B5B1C"/>
    <w:rsid w:val="006C7399"/>
    <w:rsid w:val="006D0162"/>
    <w:rsid w:val="006D2FB4"/>
    <w:rsid w:val="006D6623"/>
    <w:rsid w:val="006D6CD4"/>
    <w:rsid w:val="006E26E0"/>
    <w:rsid w:val="006E291C"/>
    <w:rsid w:val="006E2F5F"/>
    <w:rsid w:val="006E6230"/>
    <w:rsid w:val="006F1C38"/>
    <w:rsid w:val="006F4BD3"/>
    <w:rsid w:val="006F74D4"/>
    <w:rsid w:val="006F7F67"/>
    <w:rsid w:val="00700193"/>
    <w:rsid w:val="007041EF"/>
    <w:rsid w:val="007116AA"/>
    <w:rsid w:val="0071189F"/>
    <w:rsid w:val="007148C3"/>
    <w:rsid w:val="00715CDC"/>
    <w:rsid w:val="00716F2A"/>
    <w:rsid w:val="00731215"/>
    <w:rsid w:val="00734342"/>
    <w:rsid w:val="00735EEF"/>
    <w:rsid w:val="00740BEA"/>
    <w:rsid w:val="007461D7"/>
    <w:rsid w:val="00751D31"/>
    <w:rsid w:val="00752D31"/>
    <w:rsid w:val="00754E03"/>
    <w:rsid w:val="00760142"/>
    <w:rsid w:val="0076083C"/>
    <w:rsid w:val="00764659"/>
    <w:rsid w:val="00765573"/>
    <w:rsid w:val="0076701F"/>
    <w:rsid w:val="007700EF"/>
    <w:rsid w:val="007710C3"/>
    <w:rsid w:val="007746E3"/>
    <w:rsid w:val="00777FDA"/>
    <w:rsid w:val="0078246C"/>
    <w:rsid w:val="00784E2F"/>
    <w:rsid w:val="0078531E"/>
    <w:rsid w:val="00791BE6"/>
    <w:rsid w:val="00791BEE"/>
    <w:rsid w:val="00791D4C"/>
    <w:rsid w:val="007954A7"/>
    <w:rsid w:val="007A0C46"/>
    <w:rsid w:val="007A24AF"/>
    <w:rsid w:val="007A2EC8"/>
    <w:rsid w:val="007A5631"/>
    <w:rsid w:val="007A69C0"/>
    <w:rsid w:val="007B01FF"/>
    <w:rsid w:val="007C2992"/>
    <w:rsid w:val="007C5374"/>
    <w:rsid w:val="007C7072"/>
    <w:rsid w:val="007D0550"/>
    <w:rsid w:val="007D1ABF"/>
    <w:rsid w:val="007D705D"/>
    <w:rsid w:val="007E122E"/>
    <w:rsid w:val="007E26D4"/>
    <w:rsid w:val="007F0235"/>
    <w:rsid w:val="007F548B"/>
    <w:rsid w:val="007F6460"/>
    <w:rsid w:val="00802792"/>
    <w:rsid w:val="00806C27"/>
    <w:rsid w:val="008134BD"/>
    <w:rsid w:val="00813502"/>
    <w:rsid w:val="008136E1"/>
    <w:rsid w:val="00813B74"/>
    <w:rsid w:val="00814ECA"/>
    <w:rsid w:val="00821175"/>
    <w:rsid w:val="00822264"/>
    <w:rsid w:val="008222C9"/>
    <w:rsid w:val="0082460B"/>
    <w:rsid w:val="00832F76"/>
    <w:rsid w:val="00833E21"/>
    <w:rsid w:val="00834EDA"/>
    <w:rsid w:val="00840906"/>
    <w:rsid w:val="00842CFE"/>
    <w:rsid w:val="0085010D"/>
    <w:rsid w:val="008507CF"/>
    <w:rsid w:val="0085270D"/>
    <w:rsid w:val="008530C1"/>
    <w:rsid w:val="0085447D"/>
    <w:rsid w:val="0085721A"/>
    <w:rsid w:val="008623BE"/>
    <w:rsid w:val="00867BAD"/>
    <w:rsid w:val="00867C8E"/>
    <w:rsid w:val="0087041B"/>
    <w:rsid w:val="0087531A"/>
    <w:rsid w:val="00880853"/>
    <w:rsid w:val="008820A9"/>
    <w:rsid w:val="008827E8"/>
    <w:rsid w:val="00891BEB"/>
    <w:rsid w:val="00892EBC"/>
    <w:rsid w:val="008935AC"/>
    <w:rsid w:val="008936C9"/>
    <w:rsid w:val="008949E9"/>
    <w:rsid w:val="00894F23"/>
    <w:rsid w:val="0089683F"/>
    <w:rsid w:val="008975CB"/>
    <w:rsid w:val="008A0347"/>
    <w:rsid w:val="008A3C6E"/>
    <w:rsid w:val="008A7FF4"/>
    <w:rsid w:val="008B2698"/>
    <w:rsid w:val="008B2B59"/>
    <w:rsid w:val="008B37DD"/>
    <w:rsid w:val="008B388A"/>
    <w:rsid w:val="008B6346"/>
    <w:rsid w:val="008B7C88"/>
    <w:rsid w:val="008B7DED"/>
    <w:rsid w:val="008C1040"/>
    <w:rsid w:val="008C2732"/>
    <w:rsid w:val="008C5A29"/>
    <w:rsid w:val="008D00DD"/>
    <w:rsid w:val="008D1161"/>
    <w:rsid w:val="008D1AFD"/>
    <w:rsid w:val="008D1F6E"/>
    <w:rsid w:val="008D5F24"/>
    <w:rsid w:val="008E2E20"/>
    <w:rsid w:val="008F3673"/>
    <w:rsid w:val="008F6490"/>
    <w:rsid w:val="00901098"/>
    <w:rsid w:val="00901C34"/>
    <w:rsid w:val="009044AE"/>
    <w:rsid w:val="00905BB8"/>
    <w:rsid w:val="00910058"/>
    <w:rsid w:val="00910DD9"/>
    <w:rsid w:val="00911568"/>
    <w:rsid w:val="00916787"/>
    <w:rsid w:val="009209B6"/>
    <w:rsid w:val="00923CBD"/>
    <w:rsid w:val="00924CE8"/>
    <w:rsid w:val="009261E2"/>
    <w:rsid w:val="00926224"/>
    <w:rsid w:val="00926E2F"/>
    <w:rsid w:val="00930F51"/>
    <w:rsid w:val="0093637D"/>
    <w:rsid w:val="00941613"/>
    <w:rsid w:val="00941C14"/>
    <w:rsid w:val="00942F51"/>
    <w:rsid w:val="009443A7"/>
    <w:rsid w:val="00944CDE"/>
    <w:rsid w:val="00945A3B"/>
    <w:rsid w:val="00945CA3"/>
    <w:rsid w:val="00946F64"/>
    <w:rsid w:val="00952850"/>
    <w:rsid w:val="00953E81"/>
    <w:rsid w:val="00954146"/>
    <w:rsid w:val="00954E04"/>
    <w:rsid w:val="009665A8"/>
    <w:rsid w:val="00971435"/>
    <w:rsid w:val="009724C8"/>
    <w:rsid w:val="009773EC"/>
    <w:rsid w:val="00980DC3"/>
    <w:rsid w:val="009810ED"/>
    <w:rsid w:val="009817B3"/>
    <w:rsid w:val="00981CEF"/>
    <w:rsid w:val="00984F7F"/>
    <w:rsid w:val="009877F1"/>
    <w:rsid w:val="0099060A"/>
    <w:rsid w:val="00990BC2"/>
    <w:rsid w:val="00990EC7"/>
    <w:rsid w:val="00991DDC"/>
    <w:rsid w:val="009923F8"/>
    <w:rsid w:val="00992BA1"/>
    <w:rsid w:val="009940F1"/>
    <w:rsid w:val="00997599"/>
    <w:rsid w:val="00997E56"/>
    <w:rsid w:val="009A1835"/>
    <w:rsid w:val="009A201A"/>
    <w:rsid w:val="009A20B1"/>
    <w:rsid w:val="009A58F7"/>
    <w:rsid w:val="009B0BE9"/>
    <w:rsid w:val="009B0EBC"/>
    <w:rsid w:val="009B6218"/>
    <w:rsid w:val="009B7EB5"/>
    <w:rsid w:val="009C0E03"/>
    <w:rsid w:val="009C0E5A"/>
    <w:rsid w:val="009C19F9"/>
    <w:rsid w:val="009C2BC4"/>
    <w:rsid w:val="009C5EB1"/>
    <w:rsid w:val="009D2453"/>
    <w:rsid w:val="009E678F"/>
    <w:rsid w:val="009E70DA"/>
    <w:rsid w:val="009F1142"/>
    <w:rsid w:val="009F2D1C"/>
    <w:rsid w:val="009F3F1B"/>
    <w:rsid w:val="009F7DE6"/>
    <w:rsid w:val="00A01DE0"/>
    <w:rsid w:val="00A047EF"/>
    <w:rsid w:val="00A140F0"/>
    <w:rsid w:val="00A165EB"/>
    <w:rsid w:val="00A237DB"/>
    <w:rsid w:val="00A23D5D"/>
    <w:rsid w:val="00A267CB"/>
    <w:rsid w:val="00A320BA"/>
    <w:rsid w:val="00A36808"/>
    <w:rsid w:val="00A41E14"/>
    <w:rsid w:val="00A4478E"/>
    <w:rsid w:val="00A5677B"/>
    <w:rsid w:val="00A56899"/>
    <w:rsid w:val="00A56E93"/>
    <w:rsid w:val="00A56F6E"/>
    <w:rsid w:val="00A579FD"/>
    <w:rsid w:val="00A6015D"/>
    <w:rsid w:val="00A64324"/>
    <w:rsid w:val="00A6637A"/>
    <w:rsid w:val="00A7407D"/>
    <w:rsid w:val="00A80BDE"/>
    <w:rsid w:val="00A81007"/>
    <w:rsid w:val="00A876C6"/>
    <w:rsid w:val="00A87D9A"/>
    <w:rsid w:val="00A90741"/>
    <w:rsid w:val="00A95F07"/>
    <w:rsid w:val="00A978AD"/>
    <w:rsid w:val="00AA1542"/>
    <w:rsid w:val="00AA1706"/>
    <w:rsid w:val="00AA7B84"/>
    <w:rsid w:val="00AB0FC7"/>
    <w:rsid w:val="00AB3040"/>
    <w:rsid w:val="00AB3BE0"/>
    <w:rsid w:val="00AC05F2"/>
    <w:rsid w:val="00AC1198"/>
    <w:rsid w:val="00AC2C26"/>
    <w:rsid w:val="00AD773F"/>
    <w:rsid w:val="00AE46A8"/>
    <w:rsid w:val="00AE47EA"/>
    <w:rsid w:val="00AE7EF6"/>
    <w:rsid w:val="00AF315A"/>
    <w:rsid w:val="00AF692A"/>
    <w:rsid w:val="00AF7690"/>
    <w:rsid w:val="00B03973"/>
    <w:rsid w:val="00B0517A"/>
    <w:rsid w:val="00B122F5"/>
    <w:rsid w:val="00B13CDA"/>
    <w:rsid w:val="00B170DE"/>
    <w:rsid w:val="00B17B2C"/>
    <w:rsid w:val="00B20832"/>
    <w:rsid w:val="00B27DF2"/>
    <w:rsid w:val="00B315E2"/>
    <w:rsid w:val="00B31A16"/>
    <w:rsid w:val="00B4169B"/>
    <w:rsid w:val="00B43310"/>
    <w:rsid w:val="00B4603E"/>
    <w:rsid w:val="00B50A2D"/>
    <w:rsid w:val="00B515C5"/>
    <w:rsid w:val="00B52B55"/>
    <w:rsid w:val="00B53177"/>
    <w:rsid w:val="00B54B9B"/>
    <w:rsid w:val="00B5516E"/>
    <w:rsid w:val="00B6243E"/>
    <w:rsid w:val="00B624F8"/>
    <w:rsid w:val="00B66BD6"/>
    <w:rsid w:val="00B67501"/>
    <w:rsid w:val="00B67DC2"/>
    <w:rsid w:val="00B708E4"/>
    <w:rsid w:val="00B70EFF"/>
    <w:rsid w:val="00B71943"/>
    <w:rsid w:val="00B72528"/>
    <w:rsid w:val="00B73830"/>
    <w:rsid w:val="00B73E39"/>
    <w:rsid w:val="00B75707"/>
    <w:rsid w:val="00B81570"/>
    <w:rsid w:val="00B90F3D"/>
    <w:rsid w:val="00B94AA3"/>
    <w:rsid w:val="00B96346"/>
    <w:rsid w:val="00BA1262"/>
    <w:rsid w:val="00BA15EF"/>
    <w:rsid w:val="00BA3622"/>
    <w:rsid w:val="00BA3F9B"/>
    <w:rsid w:val="00BA50C1"/>
    <w:rsid w:val="00BA569C"/>
    <w:rsid w:val="00BB1147"/>
    <w:rsid w:val="00BC1062"/>
    <w:rsid w:val="00BC1784"/>
    <w:rsid w:val="00BC1C78"/>
    <w:rsid w:val="00BC4FDA"/>
    <w:rsid w:val="00BC588D"/>
    <w:rsid w:val="00BD2256"/>
    <w:rsid w:val="00BD249B"/>
    <w:rsid w:val="00BD50C0"/>
    <w:rsid w:val="00BD56C4"/>
    <w:rsid w:val="00BD6086"/>
    <w:rsid w:val="00BD6101"/>
    <w:rsid w:val="00BE054C"/>
    <w:rsid w:val="00BE0E28"/>
    <w:rsid w:val="00BE2782"/>
    <w:rsid w:val="00BE657E"/>
    <w:rsid w:val="00BE6D72"/>
    <w:rsid w:val="00BF0F82"/>
    <w:rsid w:val="00BF25AE"/>
    <w:rsid w:val="00BF3A80"/>
    <w:rsid w:val="00BF4D23"/>
    <w:rsid w:val="00BF63F4"/>
    <w:rsid w:val="00BF71A0"/>
    <w:rsid w:val="00C00903"/>
    <w:rsid w:val="00C02E6F"/>
    <w:rsid w:val="00C064DB"/>
    <w:rsid w:val="00C069CD"/>
    <w:rsid w:val="00C11170"/>
    <w:rsid w:val="00C13E60"/>
    <w:rsid w:val="00C14E13"/>
    <w:rsid w:val="00C17214"/>
    <w:rsid w:val="00C24002"/>
    <w:rsid w:val="00C25166"/>
    <w:rsid w:val="00C30059"/>
    <w:rsid w:val="00C30CB4"/>
    <w:rsid w:val="00C31458"/>
    <w:rsid w:val="00C32DD4"/>
    <w:rsid w:val="00C34588"/>
    <w:rsid w:val="00C34E84"/>
    <w:rsid w:val="00C36D1B"/>
    <w:rsid w:val="00C3740C"/>
    <w:rsid w:val="00C50699"/>
    <w:rsid w:val="00C54143"/>
    <w:rsid w:val="00C55ACE"/>
    <w:rsid w:val="00C56EA6"/>
    <w:rsid w:val="00C56ECF"/>
    <w:rsid w:val="00C57358"/>
    <w:rsid w:val="00C63A61"/>
    <w:rsid w:val="00C7108D"/>
    <w:rsid w:val="00C74F83"/>
    <w:rsid w:val="00C826D0"/>
    <w:rsid w:val="00C9155D"/>
    <w:rsid w:val="00C92839"/>
    <w:rsid w:val="00C92E5B"/>
    <w:rsid w:val="00C94BD0"/>
    <w:rsid w:val="00CA1B30"/>
    <w:rsid w:val="00CA1C20"/>
    <w:rsid w:val="00CA4A24"/>
    <w:rsid w:val="00CB041D"/>
    <w:rsid w:val="00CB0DC8"/>
    <w:rsid w:val="00CB1BF8"/>
    <w:rsid w:val="00CB1ECB"/>
    <w:rsid w:val="00CB6C77"/>
    <w:rsid w:val="00CB73E8"/>
    <w:rsid w:val="00CC51C5"/>
    <w:rsid w:val="00CC7061"/>
    <w:rsid w:val="00CD04DE"/>
    <w:rsid w:val="00CD2E18"/>
    <w:rsid w:val="00CD3982"/>
    <w:rsid w:val="00CD6671"/>
    <w:rsid w:val="00CE6B8C"/>
    <w:rsid w:val="00CE73DD"/>
    <w:rsid w:val="00CE7774"/>
    <w:rsid w:val="00CF3C62"/>
    <w:rsid w:val="00CF5A5D"/>
    <w:rsid w:val="00CF5C87"/>
    <w:rsid w:val="00D00261"/>
    <w:rsid w:val="00D03C17"/>
    <w:rsid w:val="00D0446E"/>
    <w:rsid w:val="00D07352"/>
    <w:rsid w:val="00D10D4A"/>
    <w:rsid w:val="00D12D05"/>
    <w:rsid w:val="00D15B64"/>
    <w:rsid w:val="00D15BBE"/>
    <w:rsid w:val="00D1669C"/>
    <w:rsid w:val="00D16EFA"/>
    <w:rsid w:val="00D22004"/>
    <w:rsid w:val="00D2521E"/>
    <w:rsid w:val="00D26A46"/>
    <w:rsid w:val="00D27CF2"/>
    <w:rsid w:val="00D33419"/>
    <w:rsid w:val="00D337A5"/>
    <w:rsid w:val="00D33FF8"/>
    <w:rsid w:val="00D364BB"/>
    <w:rsid w:val="00D436BF"/>
    <w:rsid w:val="00D44272"/>
    <w:rsid w:val="00D45CD0"/>
    <w:rsid w:val="00D46994"/>
    <w:rsid w:val="00D6003C"/>
    <w:rsid w:val="00D60CC6"/>
    <w:rsid w:val="00D617EA"/>
    <w:rsid w:val="00D61FA9"/>
    <w:rsid w:val="00D63446"/>
    <w:rsid w:val="00D72129"/>
    <w:rsid w:val="00D727AD"/>
    <w:rsid w:val="00D74B93"/>
    <w:rsid w:val="00D75083"/>
    <w:rsid w:val="00D75321"/>
    <w:rsid w:val="00D76A95"/>
    <w:rsid w:val="00D83AD3"/>
    <w:rsid w:val="00D87035"/>
    <w:rsid w:val="00D87767"/>
    <w:rsid w:val="00D87F3E"/>
    <w:rsid w:val="00D91DBD"/>
    <w:rsid w:val="00D93591"/>
    <w:rsid w:val="00D95A7D"/>
    <w:rsid w:val="00D96CA2"/>
    <w:rsid w:val="00D978D5"/>
    <w:rsid w:val="00DA10F4"/>
    <w:rsid w:val="00DA20EB"/>
    <w:rsid w:val="00DA222C"/>
    <w:rsid w:val="00DA24B9"/>
    <w:rsid w:val="00DA6E8E"/>
    <w:rsid w:val="00DA7247"/>
    <w:rsid w:val="00DA73C3"/>
    <w:rsid w:val="00DB08B1"/>
    <w:rsid w:val="00DB753A"/>
    <w:rsid w:val="00DC0191"/>
    <w:rsid w:val="00DC35E6"/>
    <w:rsid w:val="00DC3D43"/>
    <w:rsid w:val="00DC3EB9"/>
    <w:rsid w:val="00DC4668"/>
    <w:rsid w:val="00DC5AFB"/>
    <w:rsid w:val="00DC634F"/>
    <w:rsid w:val="00DC6D08"/>
    <w:rsid w:val="00DC77F3"/>
    <w:rsid w:val="00DC7A39"/>
    <w:rsid w:val="00DC7A8B"/>
    <w:rsid w:val="00DD577A"/>
    <w:rsid w:val="00DE02B8"/>
    <w:rsid w:val="00DE12E4"/>
    <w:rsid w:val="00DE2F12"/>
    <w:rsid w:val="00DE3056"/>
    <w:rsid w:val="00DE7144"/>
    <w:rsid w:val="00DF0593"/>
    <w:rsid w:val="00DF1ADB"/>
    <w:rsid w:val="00DF2935"/>
    <w:rsid w:val="00E0044F"/>
    <w:rsid w:val="00E01A76"/>
    <w:rsid w:val="00E04099"/>
    <w:rsid w:val="00E04A13"/>
    <w:rsid w:val="00E05C0C"/>
    <w:rsid w:val="00E12EA1"/>
    <w:rsid w:val="00E13216"/>
    <w:rsid w:val="00E13713"/>
    <w:rsid w:val="00E168E3"/>
    <w:rsid w:val="00E228A1"/>
    <w:rsid w:val="00E31BF7"/>
    <w:rsid w:val="00E32194"/>
    <w:rsid w:val="00E34421"/>
    <w:rsid w:val="00E34725"/>
    <w:rsid w:val="00E35965"/>
    <w:rsid w:val="00E433DE"/>
    <w:rsid w:val="00E43EF5"/>
    <w:rsid w:val="00E44153"/>
    <w:rsid w:val="00E4497C"/>
    <w:rsid w:val="00E45806"/>
    <w:rsid w:val="00E45A3C"/>
    <w:rsid w:val="00E46030"/>
    <w:rsid w:val="00E472CD"/>
    <w:rsid w:val="00E47D54"/>
    <w:rsid w:val="00E52DEB"/>
    <w:rsid w:val="00E5560E"/>
    <w:rsid w:val="00E56D54"/>
    <w:rsid w:val="00E57482"/>
    <w:rsid w:val="00E62E1D"/>
    <w:rsid w:val="00E65D89"/>
    <w:rsid w:val="00E67300"/>
    <w:rsid w:val="00E67874"/>
    <w:rsid w:val="00E70EAA"/>
    <w:rsid w:val="00E75150"/>
    <w:rsid w:val="00E77FC3"/>
    <w:rsid w:val="00E806FC"/>
    <w:rsid w:val="00E8084F"/>
    <w:rsid w:val="00E852D8"/>
    <w:rsid w:val="00E85EC4"/>
    <w:rsid w:val="00E94D51"/>
    <w:rsid w:val="00EA2499"/>
    <w:rsid w:val="00EA5188"/>
    <w:rsid w:val="00EA69C9"/>
    <w:rsid w:val="00EA72A6"/>
    <w:rsid w:val="00EB1859"/>
    <w:rsid w:val="00EB741A"/>
    <w:rsid w:val="00EC008F"/>
    <w:rsid w:val="00EC32EE"/>
    <w:rsid w:val="00EC41EE"/>
    <w:rsid w:val="00EC4224"/>
    <w:rsid w:val="00EC696E"/>
    <w:rsid w:val="00EC722D"/>
    <w:rsid w:val="00ED1047"/>
    <w:rsid w:val="00ED4DB5"/>
    <w:rsid w:val="00ED740C"/>
    <w:rsid w:val="00ED7B19"/>
    <w:rsid w:val="00EE0320"/>
    <w:rsid w:val="00EE5F3C"/>
    <w:rsid w:val="00EE7037"/>
    <w:rsid w:val="00EF3A37"/>
    <w:rsid w:val="00EF664E"/>
    <w:rsid w:val="00F00DEB"/>
    <w:rsid w:val="00F01F83"/>
    <w:rsid w:val="00F02BF9"/>
    <w:rsid w:val="00F02C9B"/>
    <w:rsid w:val="00F03388"/>
    <w:rsid w:val="00F119F9"/>
    <w:rsid w:val="00F137EA"/>
    <w:rsid w:val="00F16717"/>
    <w:rsid w:val="00F23691"/>
    <w:rsid w:val="00F23AA3"/>
    <w:rsid w:val="00F242C4"/>
    <w:rsid w:val="00F24D0A"/>
    <w:rsid w:val="00F25C69"/>
    <w:rsid w:val="00F26D25"/>
    <w:rsid w:val="00F270A3"/>
    <w:rsid w:val="00F3686B"/>
    <w:rsid w:val="00F36D78"/>
    <w:rsid w:val="00F41209"/>
    <w:rsid w:val="00F419A6"/>
    <w:rsid w:val="00F44366"/>
    <w:rsid w:val="00F47AA4"/>
    <w:rsid w:val="00F47BF8"/>
    <w:rsid w:val="00F51D6D"/>
    <w:rsid w:val="00F66FC1"/>
    <w:rsid w:val="00F67EC3"/>
    <w:rsid w:val="00F71161"/>
    <w:rsid w:val="00F72032"/>
    <w:rsid w:val="00F72755"/>
    <w:rsid w:val="00F73A14"/>
    <w:rsid w:val="00F74805"/>
    <w:rsid w:val="00F74E49"/>
    <w:rsid w:val="00F753BA"/>
    <w:rsid w:val="00F76EB6"/>
    <w:rsid w:val="00F832E2"/>
    <w:rsid w:val="00F850B1"/>
    <w:rsid w:val="00F86081"/>
    <w:rsid w:val="00F910CC"/>
    <w:rsid w:val="00F920A3"/>
    <w:rsid w:val="00F953F5"/>
    <w:rsid w:val="00F96B94"/>
    <w:rsid w:val="00FA41FE"/>
    <w:rsid w:val="00FA681F"/>
    <w:rsid w:val="00FB3A04"/>
    <w:rsid w:val="00FB4C39"/>
    <w:rsid w:val="00FB726F"/>
    <w:rsid w:val="00FC2B7D"/>
    <w:rsid w:val="00FC4932"/>
    <w:rsid w:val="00FD0130"/>
    <w:rsid w:val="00FD61F8"/>
    <w:rsid w:val="00FD6F02"/>
    <w:rsid w:val="00FD755D"/>
    <w:rsid w:val="00FE35A4"/>
    <w:rsid w:val="00FE63E5"/>
    <w:rsid w:val="00FF63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744E"/>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rPr>
      <w:rFonts w:ascii="Times New Roman" w:eastAsia="Times New Roman" w:hAnsi="Times New Roman" w:cs="Times New Roman"/>
    </w:rPr>
  </w:style>
  <w:style w:type="paragraph" w:styleId="Heading1">
    <w:name w:val="heading 1"/>
    <w:basedOn w:val="Normal"/>
    <w:next w:val="Normal"/>
    <w:link w:val="Heading1Char"/>
    <w:qFormat/>
    <w:rsid w:val="00093030"/>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unhideWhenUsed/>
    <w:qFormat/>
    <w:rsid w:val="00B624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rsid w:val="00093030"/>
    <w:pPr>
      <w:tabs>
        <w:tab w:val="center" w:pos="4153"/>
        <w:tab w:val="right" w:pos="8306"/>
      </w:tabs>
    </w:pPr>
  </w:style>
  <w:style w:type="character" w:customStyle="1" w:styleId="HeaderChar">
    <w:name w:val="Header Char"/>
    <w:basedOn w:val="DefaultParagraphFont"/>
    <w:link w:val="Header"/>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jc w:val="both"/>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semiHidden/>
    <w:unhideWhenUsed/>
    <w:rsid w:val="00814ECA"/>
    <w:rPr>
      <w:vertAlign w:val="superscript"/>
    </w:rPr>
  </w:style>
  <w:style w:type="paragraph" w:styleId="Footer">
    <w:name w:val="footer"/>
    <w:basedOn w:val="Normal"/>
    <w:link w:val="FooterChar"/>
    <w:uiPriority w:val="99"/>
    <w:unhideWhenUsed/>
    <w:rsid w:val="0035529E"/>
    <w:pPr>
      <w:tabs>
        <w:tab w:val="center" w:pos="4513"/>
        <w:tab w:val="right" w:pos="9026"/>
      </w:tabs>
    </w:pPr>
  </w:style>
  <w:style w:type="character" w:customStyle="1" w:styleId="FooterChar">
    <w:name w:val="Footer Char"/>
    <w:basedOn w:val="DefaultParagraphFont"/>
    <w:link w:val="Footer"/>
    <w:uiPriority w:val="99"/>
    <w:rsid w:val="0035529E"/>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361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EE"/>
    <w:rPr>
      <w:rFonts w:ascii="Segoe UI" w:eastAsia="Times New Roman" w:hAnsi="Segoe UI" w:cs="Segoe UI"/>
      <w:sz w:val="18"/>
      <w:szCs w:val="18"/>
      <w:lang w:val="en-GB"/>
    </w:rPr>
  </w:style>
  <w:style w:type="paragraph" w:styleId="Revision">
    <w:name w:val="Revision"/>
    <w:hidden/>
    <w:uiPriority w:val="99"/>
    <w:semiHidden/>
    <w:rsid w:val="00FD6F02"/>
    <w:rPr>
      <w:rFonts w:ascii="Times New Roman" w:eastAsia="Times New Roman" w:hAnsi="Times New Roman" w:cs="Times New Roman"/>
      <w:lang w:val="en-GB"/>
    </w:rPr>
  </w:style>
  <w:style w:type="character" w:styleId="Hyperlink">
    <w:name w:val="Hyperlink"/>
    <w:basedOn w:val="DefaultParagraphFont"/>
    <w:uiPriority w:val="99"/>
    <w:unhideWhenUsed/>
    <w:rsid w:val="00910DD9"/>
    <w:rPr>
      <w:color w:val="0563C1" w:themeColor="hyperlink"/>
      <w:u w:val="single"/>
    </w:rPr>
  </w:style>
  <w:style w:type="character" w:styleId="CommentReference">
    <w:name w:val="annotation reference"/>
    <w:basedOn w:val="DefaultParagraphFont"/>
    <w:uiPriority w:val="99"/>
    <w:semiHidden/>
    <w:unhideWhenUsed/>
    <w:rsid w:val="00CD6671"/>
    <w:rPr>
      <w:sz w:val="16"/>
      <w:szCs w:val="16"/>
    </w:rPr>
  </w:style>
  <w:style w:type="paragraph" w:styleId="CommentText">
    <w:name w:val="annotation text"/>
    <w:basedOn w:val="Normal"/>
    <w:link w:val="CommentTextChar"/>
    <w:uiPriority w:val="99"/>
    <w:semiHidden/>
    <w:unhideWhenUsed/>
    <w:rsid w:val="00CD6671"/>
    <w:rPr>
      <w:sz w:val="20"/>
      <w:szCs w:val="20"/>
    </w:rPr>
  </w:style>
  <w:style w:type="character" w:customStyle="1" w:styleId="CommentTextChar">
    <w:name w:val="Comment Text Char"/>
    <w:basedOn w:val="DefaultParagraphFont"/>
    <w:link w:val="CommentText"/>
    <w:uiPriority w:val="99"/>
    <w:semiHidden/>
    <w:rsid w:val="00CD667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D6671"/>
    <w:rPr>
      <w:b/>
      <w:bCs/>
    </w:rPr>
  </w:style>
  <w:style w:type="character" w:customStyle="1" w:styleId="CommentSubjectChar">
    <w:name w:val="Comment Subject Char"/>
    <w:basedOn w:val="CommentTextChar"/>
    <w:link w:val="CommentSubject"/>
    <w:uiPriority w:val="99"/>
    <w:semiHidden/>
    <w:rsid w:val="00CD6671"/>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uiPriority w:val="9"/>
    <w:rsid w:val="00B624F8"/>
    <w:rPr>
      <w:rFonts w:asciiTheme="majorHAnsi" w:eastAsiaTheme="majorEastAsia" w:hAnsiTheme="majorHAnsi" w:cstheme="majorBidi"/>
      <w:color w:val="2F5496" w:themeColor="accent1" w:themeShade="BF"/>
      <w:sz w:val="26"/>
      <w:szCs w:val="26"/>
      <w:lang w:val="en-GB"/>
    </w:rPr>
  </w:style>
  <w:style w:type="character" w:styleId="LineNumber">
    <w:name w:val="line number"/>
    <w:basedOn w:val="DefaultParagraphFont"/>
    <w:uiPriority w:val="99"/>
    <w:semiHidden/>
    <w:unhideWhenUsed/>
    <w:rsid w:val="006D6623"/>
  </w:style>
  <w:style w:type="character" w:customStyle="1" w:styleId="UnresolvedMention1">
    <w:name w:val="Unresolved Mention1"/>
    <w:basedOn w:val="DefaultParagraphFont"/>
    <w:uiPriority w:val="99"/>
    <w:semiHidden/>
    <w:unhideWhenUsed/>
    <w:rsid w:val="00C13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72577">
      <w:bodyDiv w:val="1"/>
      <w:marLeft w:val="0"/>
      <w:marRight w:val="0"/>
      <w:marTop w:val="0"/>
      <w:marBottom w:val="0"/>
      <w:divBdr>
        <w:top w:val="none" w:sz="0" w:space="0" w:color="auto"/>
        <w:left w:val="none" w:sz="0" w:space="0" w:color="auto"/>
        <w:bottom w:val="none" w:sz="0" w:space="0" w:color="auto"/>
        <w:right w:val="none" w:sz="0" w:space="0" w:color="auto"/>
      </w:divBdr>
    </w:div>
    <w:div w:id="1017661090">
      <w:bodyDiv w:val="1"/>
      <w:marLeft w:val="0"/>
      <w:marRight w:val="0"/>
      <w:marTop w:val="0"/>
      <w:marBottom w:val="0"/>
      <w:divBdr>
        <w:top w:val="none" w:sz="0" w:space="0" w:color="auto"/>
        <w:left w:val="none" w:sz="0" w:space="0" w:color="auto"/>
        <w:bottom w:val="none" w:sz="0" w:space="0" w:color="auto"/>
        <w:right w:val="none" w:sz="0" w:space="0" w:color="auto"/>
      </w:divBdr>
    </w:div>
    <w:div w:id="1050618740">
      <w:bodyDiv w:val="1"/>
      <w:marLeft w:val="0"/>
      <w:marRight w:val="0"/>
      <w:marTop w:val="0"/>
      <w:marBottom w:val="0"/>
      <w:divBdr>
        <w:top w:val="none" w:sz="0" w:space="0" w:color="auto"/>
        <w:left w:val="none" w:sz="0" w:space="0" w:color="auto"/>
        <w:bottom w:val="none" w:sz="0" w:space="0" w:color="auto"/>
        <w:right w:val="none" w:sz="0" w:space="0" w:color="auto"/>
      </w:divBdr>
    </w:div>
    <w:div w:id="1055661493">
      <w:bodyDiv w:val="1"/>
      <w:marLeft w:val="0"/>
      <w:marRight w:val="0"/>
      <w:marTop w:val="0"/>
      <w:marBottom w:val="0"/>
      <w:divBdr>
        <w:top w:val="none" w:sz="0" w:space="0" w:color="auto"/>
        <w:left w:val="none" w:sz="0" w:space="0" w:color="auto"/>
        <w:bottom w:val="none" w:sz="0" w:space="0" w:color="auto"/>
        <w:right w:val="none" w:sz="0" w:space="0" w:color="auto"/>
      </w:divBdr>
      <w:divsChild>
        <w:div w:id="1338460582">
          <w:marLeft w:val="0"/>
          <w:marRight w:val="0"/>
          <w:marTop w:val="240"/>
          <w:marBottom w:val="0"/>
          <w:divBdr>
            <w:top w:val="none" w:sz="0" w:space="0" w:color="auto"/>
            <w:left w:val="none" w:sz="0" w:space="0" w:color="auto"/>
            <w:bottom w:val="none" w:sz="0" w:space="0" w:color="auto"/>
            <w:right w:val="none" w:sz="0" w:space="0" w:color="auto"/>
          </w:divBdr>
        </w:div>
        <w:div w:id="2042897258">
          <w:marLeft w:val="0"/>
          <w:marRight w:val="0"/>
          <w:marTop w:val="120"/>
          <w:marBottom w:val="0"/>
          <w:divBdr>
            <w:top w:val="none" w:sz="0" w:space="0" w:color="auto"/>
            <w:left w:val="none" w:sz="0" w:space="0" w:color="auto"/>
            <w:bottom w:val="none" w:sz="0" w:space="0" w:color="auto"/>
            <w:right w:val="none" w:sz="0" w:space="0" w:color="auto"/>
          </w:divBdr>
        </w:div>
      </w:divsChild>
    </w:div>
    <w:div w:id="2018457509">
      <w:bodyDiv w:val="1"/>
      <w:marLeft w:val="0"/>
      <w:marRight w:val="0"/>
      <w:marTop w:val="0"/>
      <w:marBottom w:val="0"/>
      <w:divBdr>
        <w:top w:val="none" w:sz="0" w:space="0" w:color="auto"/>
        <w:left w:val="none" w:sz="0" w:space="0" w:color="auto"/>
        <w:bottom w:val="none" w:sz="0" w:space="0" w:color="auto"/>
        <w:right w:val="none" w:sz="0" w:space="0" w:color="auto"/>
      </w:divBdr>
      <w:divsChild>
        <w:div w:id="21098095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FCB2E-2765-4C37-8FA2-3C647E5F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4266</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3</cp:revision>
  <cp:lastPrinted>2022-11-30T08:07:00Z</cp:lastPrinted>
  <dcterms:created xsi:type="dcterms:W3CDTF">2022-12-01T09:26:00Z</dcterms:created>
  <dcterms:modified xsi:type="dcterms:W3CDTF">2022-12-12T13:39:00Z</dcterms:modified>
</cp:coreProperties>
</file>