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FDA0F" w14:textId="77777777" w:rsidR="00B36222" w:rsidRPr="004A6818" w:rsidRDefault="00B36222" w:rsidP="00B36222">
      <w:pPr>
        <w:widowControl w:val="0"/>
        <w:autoSpaceDE w:val="0"/>
        <w:autoSpaceDN w:val="0"/>
        <w:adjustRightInd w:val="0"/>
        <w:spacing w:after="0" w:line="240" w:lineRule="auto"/>
        <w:rPr>
          <w:rFonts w:ascii="Arial" w:eastAsiaTheme="minorEastAsia" w:hAnsi="Arial" w:cs="Arial"/>
          <w:sz w:val="24"/>
          <w:szCs w:val="24"/>
          <w:lang w:eastAsia="en-ZA"/>
        </w:rPr>
      </w:pPr>
      <w:bookmarkStart w:id="0" w:name="_GoBack"/>
      <w:bookmarkEnd w:id="0"/>
      <w:r w:rsidRPr="004A6818">
        <w:rPr>
          <w:rFonts w:ascii="Arial" w:eastAsiaTheme="minorEastAsia" w:hAnsi="Arial" w:cs="Arial"/>
          <w:noProof/>
          <w:sz w:val="24"/>
          <w:szCs w:val="24"/>
          <w:lang w:eastAsia="en-ZA"/>
        </w:rPr>
        <w:drawing>
          <wp:anchor distT="0" distB="0" distL="114300" distR="114300" simplePos="0" relativeHeight="251659264" behindDoc="0" locked="0" layoutInCell="1" allowOverlap="1" wp14:anchorId="640CBC7B" wp14:editId="68D7BD8F">
            <wp:simplePos x="0" y="0"/>
            <wp:positionH relativeFrom="margin">
              <wp:align>center</wp:align>
            </wp:positionH>
            <wp:positionV relativeFrom="paragraph">
              <wp:posOffset>0</wp:posOffset>
            </wp:positionV>
            <wp:extent cx="799200" cy="914400"/>
            <wp:effectExtent l="0" t="0" r="1270" b="0"/>
            <wp:wrapSquare wrapText="bothSides"/>
            <wp:docPr id="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8D3F61" w14:textId="77777777" w:rsidR="00B36222" w:rsidRPr="004A6818" w:rsidRDefault="00B36222" w:rsidP="00B36222">
      <w:pPr>
        <w:widowControl w:val="0"/>
        <w:autoSpaceDE w:val="0"/>
        <w:autoSpaceDN w:val="0"/>
        <w:adjustRightInd w:val="0"/>
        <w:spacing w:after="0" w:line="360" w:lineRule="auto"/>
        <w:rPr>
          <w:rFonts w:ascii="Arial" w:eastAsiaTheme="minorEastAsia" w:hAnsi="Arial" w:cs="Arial"/>
          <w:b/>
          <w:bCs/>
          <w:sz w:val="24"/>
          <w:szCs w:val="24"/>
          <w:lang w:eastAsia="en-ZA"/>
        </w:rPr>
      </w:pPr>
    </w:p>
    <w:p w14:paraId="43C51C1E" w14:textId="77777777" w:rsidR="00B36222" w:rsidRPr="004A6818" w:rsidRDefault="00B36222" w:rsidP="00B36222">
      <w:pPr>
        <w:widowControl w:val="0"/>
        <w:autoSpaceDE w:val="0"/>
        <w:autoSpaceDN w:val="0"/>
        <w:adjustRightInd w:val="0"/>
        <w:spacing w:after="0" w:line="360" w:lineRule="auto"/>
        <w:rPr>
          <w:rFonts w:ascii="Arial" w:eastAsiaTheme="minorEastAsia" w:hAnsi="Arial" w:cs="Arial"/>
          <w:b/>
          <w:bCs/>
          <w:sz w:val="24"/>
          <w:szCs w:val="24"/>
          <w:lang w:eastAsia="en-ZA"/>
        </w:rPr>
      </w:pPr>
    </w:p>
    <w:p w14:paraId="7BD4875B" w14:textId="77777777" w:rsidR="00B36222" w:rsidRPr="004A6818" w:rsidRDefault="00B36222" w:rsidP="00B36222">
      <w:pPr>
        <w:widowControl w:val="0"/>
        <w:autoSpaceDE w:val="0"/>
        <w:autoSpaceDN w:val="0"/>
        <w:adjustRightInd w:val="0"/>
        <w:spacing w:after="0" w:line="360" w:lineRule="auto"/>
        <w:jc w:val="center"/>
        <w:rPr>
          <w:rFonts w:ascii="Arial" w:eastAsiaTheme="minorEastAsia" w:hAnsi="Arial" w:cs="Arial"/>
          <w:b/>
          <w:bCs/>
          <w:sz w:val="24"/>
          <w:szCs w:val="24"/>
          <w:lang w:eastAsia="en-ZA"/>
        </w:rPr>
      </w:pPr>
    </w:p>
    <w:p w14:paraId="2359B3CF" w14:textId="77777777" w:rsidR="00B36222" w:rsidRPr="004A6818" w:rsidRDefault="00B36222" w:rsidP="00B36222">
      <w:pPr>
        <w:widowControl w:val="0"/>
        <w:autoSpaceDE w:val="0"/>
        <w:autoSpaceDN w:val="0"/>
        <w:adjustRightInd w:val="0"/>
        <w:spacing w:after="0" w:line="240" w:lineRule="auto"/>
        <w:jc w:val="center"/>
        <w:rPr>
          <w:rFonts w:ascii="Arial" w:eastAsiaTheme="minorEastAsia" w:hAnsi="Arial" w:cs="Arial"/>
          <w:b/>
          <w:bCs/>
          <w:sz w:val="24"/>
          <w:szCs w:val="24"/>
          <w:lang w:eastAsia="en-ZA"/>
        </w:rPr>
      </w:pPr>
    </w:p>
    <w:p w14:paraId="4353C884" w14:textId="77777777" w:rsidR="00B36222" w:rsidRPr="004A6818" w:rsidRDefault="00B36222" w:rsidP="00B36222">
      <w:pPr>
        <w:widowControl w:val="0"/>
        <w:autoSpaceDE w:val="0"/>
        <w:autoSpaceDN w:val="0"/>
        <w:adjustRightInd w:val="0"/>
        <w:spacing w:after="0" w:line="360" w:lineRule="auto"/>
        <w:jc w:val="center"/>
        <w:rPr>
          <w:rFonts w:ascii="Arial" w:eastAsiaTheme="minorEastAsia" w:hAnsi="Arial" w:cs="Arial"/>
          <w:b/>
          <w:bCs/>
          <w:sz w:val="24"/>
          <w:szCs w:val="24"/>
          <w:lang w:eastAsia="en-ZA"/>
        </w:rPr>
      </w:pPr>
      <w:r w:rsidRPr="004A6818">
        <w:rPr>
          <w:rFonts w:ascii="Arial" w:eastAsiaTheme="minorEastAsia" w:hAnsi="Arial" w:cs="Arial"/>
          <w:b/>
          <w:bCs/>
          <w:sz w:val="24"/>
          <w:szCs w:val="24"/>
          <w:lang w:eastAsia="en-ZA"/>
        </w:rPr>
        <w:t>THE SUPREME COURT OF APPEAL OF SOUTH AFRICA</w:t>
      </w:r>
    </w:p>
    <w:p w14:paraId="00405243" w14:textId="77777777" w:rsidR="00B36222" w:rsidRPr="004A6818" w:rsidRDefault="00B36222" w:rsidP="00B36222">
      <w:pPr>
        <w:widowControl w:val="0"/>
        <w:tabs>
          <w:tab w:val="left" w:pos="623"/>
          <w:tab w:val="center" w:pos="4513"/>
        </w:tabs>
        <w:autoSpaceDE w:val="0"/>
        <w:autoSpaceDN w:val="0"/>
        <w:adjustRightInd w:val="0"/>
        <w:spacing w:after="0" w:line="276" w:lineRule="auto"/>
        <w:jc w:val="center"/>
        <w:outlineLvl w:val="0"/>
        <w:rPr>
          <w:rFonts w:ascii="Arial" w:eastAsiaTheme="minorEastAsia" w:hAnsi="Arial" w:cs="Arial"/>
          <w:b/>
          <w:bCs/>
          <w:sz w:val="24"/>
          <w:szCs w:val="24"/>
          <w:lang w:eastAsia="en-ZA"/>
        </w:rPr>
      </w:pPr>
      <w:r w:rsidRPr="004A6818">
        <w:rPr>
          <w:rFonts w:ascii="Arial" w:eastAsiaTheme="minorEastAsia" w:hAnsi="Arial" w:cs="Arial"/>
          <w:b/>
          <w:bCs/>
          <w:sz w:val="24"/>
          <w:szCs w:val="24"/>
          <w:lang w:eastAsia="en-ZA"/>
        </w:rPr>
        <w:t>JUDGMENT</w:t>
      </w:r>
    </w:p>
    <w:p w14:paraId="3EA093CE" w14:textId="77777777" w:rsidR="00B36222" w:rsidRPr="004A6818" w:rsidRDefault="00B36222" w:rsidP="00B36222">
      <w:pPr>
        <w:widowControl w:val="0"/>
        <w:tabs>
          <w:tab w:val="left" w:pos="623"/>
          <w:tab w:val="center" w:pos="4513"/>
        </w:tabs>
        <w:autoSpaceDE w:val="0"/>
        <w:autoSpaceDN w:val="0"/>
        <w:adjustRightInd w:val="0"/>
        <w:spacing w:after="0" w:line="240" w:lineRule="auto"/>
        <w:jc w:val="center"/>
        <w:outlineLvl w:val="0"/>
        <w:rPr>
          <w:rFonts w:ascii="Arial" w:eastAsiaTheme="minorEastAsia" w:hAnsi="Arial" w:cs="Arial"/>
          <w:b/>
          <w:bCs/>
          <w:sz w:val="24"/>
          <w:szCs w:val="24"/>
          <w:lang w:eastAsia="en-ZA"/>
        </w:rPr>
      </w:pPr>
    </w:p>
    <w:p w14:paraId="315319E8" w14:textId="2EB5342B" w:rsidR="00B36222" w:rsidRPr="004A6818" w:rsidRDefault="00B36222" w:rsidP="005D2A2D">
      <w:pPr>
        <w:widowControl w:val="0"/>
        <w:autoSpaceDE w:val="0"/>
        <w:autoSpaceDN w:val="0"/>
        <w:adjustRightInd w:val="0"/>
        <w:spacing w:after="120" w:line="360" w:lineRule="auto"/>
        <w:ind w:left="1440" w:firstLine="720"/>
        <w:jc w:val="right"/>
        <w:outlineLvl w:val="0"/>
        <w:rPr>
          <w:rFonts w:ascii="Arial" w:eastAsiaTheme="minorEastAsia" w:hAnsi="Arial" w:cs="Arial"/>
          <w:b/>
          <w:bCs/>
          <w:sz w:val="24"/>
          <w:szCs w:val="24"/>
          <w:lang w:eastAsia="en-ZA"/>
        </w:rPr>
      </w:pPr>
      <w:bookmarkStart w:id="1" w:name="_Hlk107737895"/>
      <w:r w:rsidRPr="004A6818">
        <w:rPr>
          <w:rFonts w:ascii="Arial" w:eastAsiaTheme="minorEastAsia" w:hAnsi="Arial" w:cs="Arial"/>
          <w:b/>
          <w:bCs/>
          <w:sz w:val="24"/>
          <w:szCs w:val="24"/>
          <w:lang w:eastAsia="en-ZA"/>
        </w:rPr>
        <w:t>Reportable</w:t>
      </w:r>
      <w:bookmarkEnd w:id="1"/>
    </w:p>
    <w:p w14:paraId="5C15B9DD" w14:textId="5B614CAE" w:rsidR="00B36222" w:rsidRPr="004A6818" w:rsidRDefault="00B36222" w:rsidP="004C3317">
      <w:pPr>
        <w:autoSpaceDE w:val="0"/>
        <w:autoSpaceDN w:val="0"/>
        <w:adjustRightInd w:val="0"/>
        <w:spacing w:after="0" w:line="360" w:lineRule="auto"/>
        <w:ind w:firstLine="720"/>
        <w:jc w:val="right"/>
        <w:rPr>
          <w:rFonts w:ascii="Arial" w:hAnsi="Arial" w:cs="Arial"/>
          <w:b/>
          <w:bCs/>
          <w:color w:val="0D0D0D"/>
          <w:sz w:val="24"/>
          <w:szCs w:val="24"/>
        </w:rPr>
      </w:pPr>
      <w:r w:rsidRPr="004A6818">
        <w:rPr>
          <w:rFonts w:ascii="Arial" w:hAnsi="Arial" w:cs="Arial"/>
          <w:color w:val="0D0D0D"/>
          <w:sz w:val="24"/>
          <w:szCs w:val="24"/>
        </w:rPr>
        <w:t xml:space="preserve">Case No: </w:t>
      </w:r>
      <w:r w:rsidRPr="004A6818">
        <w:rPr>
          <w:rFonts w:ascii="Arial" w:eastAsiaTheme="minorEastAsia" w:hAnsi="Arial" w:cs="Arial"/>
          <w:bCs/>
          <w:sz w:val="24"/>
          <w:szCs w:val="24"/>
          <w:lang w:eastAsia="en-ZA"/>
        </w:rPr>
        <w:t>636/2021</w:t>
      </w:r>
    </w:p>
    <w:p w14:paraId="492E5970" w14:textId="77777777" w:rsidR="004C3317" w:rsidRDefault="004C3317" w:rsidP="004C3317">
      <w:pPr>
        <w:autoSpaceDE w:val="0"/>
        <w:autoSpaceDN w:val="0"/>
        <w:adjustRightInd w:val="0"/>
        <w:spacing w:after="0" w:line="240" w:lineRule="auto"/>
        <w:rPr>
          <w:rFonts w:ascii="Arial" w:hAnsi="Arial" w:cs="Arial"/>
          <w:color w:val="0D0D0D"/>
          <w:sz w:val="24"/>
          <w:szCs w:val="24"/>
        </w:rPr>
      </w:pPr>
    </w:p>
    <w:p w14:paraId="4888324B" w14:textId="77777777" w:rsidR="00B36222" w:rsidRPr="004A6818" w:rsidRDefault="00B36222" w:rsidP="00B36222">
      <w:pPr>
        <w:autoSpaceDE w:val="0"/>
        <w:autoSpaceDN w:val="0"/>
        <w:adjustRightInd w:val="0"/>
        <w:spacing w:after="360" w:line="240" w:lineRule="auto"/>
        <w:rPr>
          <w:rFonts w:ascii="Arial" w:hAnsi="Arial" w:cs="Arial"/>
          <w:color w:val="0D0D0D"/>
          <w:sz w:val="24"/>
          <w:szCs w:val="24"/>
        </w:rPr>
      </w:pPr>
      <w:r w:rsidRPr="004A6818">
        <w:rPr>
          <w:rFonts w:ascii="Arial" w:hAnsi="Arial" w:cs="Arial"/>
          <w:color w:val="0D0D0D"/>
          <w:sz w:val="24"/>
          <w:szCs w:val="24"/>
        </w:rPr>
        <w:t xml:space="preserve">In </w:t>
      </w:r>
      <w:r w:rsidRPr="004A6818">
        <w:rPr>
          <w:rFonts w:ascii="Arial" w:hAnsi="Arial" w:cs="Arial"/>
          <w:color w:val="222222"/>
          <w:sz w:val="24"/>
          <w:szCs w:val="24"/>
        </w:rPr>
        <w:t xml:space="preserve">the </w:t>
      </w:r>
      <w:r w:rsidRPr="004A6818">
        <w:rPr>
          <w:rFonts w:ascii="Arial" w:hAnsi="Arial" w:cs="Arial"/>
          <w:color w:val="0D0D0D"/>
          <w:sz w:val="24"/>
          <w:szCs w:val="24"/>
        </w:rPr>
        <w:t>matter between:</w:t>
      </w:r>
    </w:p>
    <w:p w14:paraId="55EB2574" w14:textId="4BDBEC74" w:rsidR="00B36222" w:rsidRPr="004A6818" w:rsidRDefault="00A41BAF" w:rsidP="00B36222">
      <w:pPr>
        <w:autoSpaceDE w:val="0"/>
        <w:autoSpaceDN w:val="0"/>
        <w:adjustRightInd w:val="0"/>
        <w:spacing w:after="0" w:line="240" w:lineRule="auto"/>
        <w:rPr>
          <w:rFonts w:ascii="Arial" w:hAnsi="Arial" w:cs="Arial"/>
          <w:b/>
          <w:bCs/>
          <w:color w:val="0D0D0D"/>
          <w:sz w:val="24"/>
          <w:szCs w:val="24"/>
        </w:rPr>
      </w:pPr>
      <w:r w:rsidRPr="004A6818">
        <w:rPr>
          <w:rFonts w:ascii="Arial" w:eastAsiaTheme="minorEastAsia" w:hAnsi="Arial" w:cs="Arial"/>
          <w:b/>
          <w:sz w:val="24"/>
          <w:szCs w:val="24"/>
          <w:lang w:eastAsia="en-ZA"/>
        </w:rPr>
        <w:t>DART INDUSTRIES INCORPORATED</w:t>
      </w:r>
      <w:r w:rsidR="004E4389">
        <w:rPr>
          <w:rFonts w:ascii="Arial" w:hAnsi="Arial" w:cs="Arial"/>
          <w:b/>
          <w:bCs/>
          <w:color w:val="0D0D0D"/>
          <w:sz w:val="24"/>
          <w:szCs w:val="24"/>
        </w:rPr>
        <w:tab/>
      </w:r>
      <w:r w:rsidR="004E4389">
        <w:rPr>
          <w:rFonts w:ascii="Arial" w:hAnsi="Arial" w:cs="Arial"/>
          <w:b/>
          <w:bCs/>
          <w:color w:val="0D0D0D"/>
          <w:sz w:val="24"/>
          <w:szCs w:val="24"/>
        </w:rPr>
        <w:tab/>
      </w:r>
      <w:r w:rsidR="004E4389">
        <w:rPr>
          <w:rFonts w:ascii="Arial" w:hAnsi="Arial" w:cs="Arial"/>
          <w:b/>
          <w:bCs/>
          <w:color w:val="0D0D0D"/>
          <w:sz w:val="24"/>
          <w:szCs w:val="24"/>
        </w:rPr>
        <w:tab/>
      </w:r>
      <w:r w:rsidR="004E4389">
        <w:rPr>
          <w:rFonts w:ascii="Arial" w:hAnsi="Arial" w:cs="Arial"/>
          <w:b/>
          <w:bCs/>
          <w:color w:val="0D0D0D"/>
          <w:sz w:val="24"/>
          <w:szCs w:val="24"/>
        </w:rPr>
        <w:tab/>
        <w:t xml:space="preserve">     </w:t>
      </w:r>
      <w:r w:rsidR="00B36222" w:rsidRPr="004A6818">
        <w:rPr>
          <w:rFonts w:ascii="Arial" w:hAnsi="Arial" w:cs="Arial"/>
          <w:b/>
          <w:bCs/>
          <w:color w:val="0D0D0D"/>
          <w:sz w:val="24"/>
          <w:szCs w:val="24"/>
        </w:rPr>
        <w:t>FIRST APPELLANT</w:t>
      </w:r>
    </w:p>
    <w:p w14:paraId="3908BB37" w14:textId="77777777" w:rsidR="00B36222" w:rsidRPr="004A6818" w:rsidRDefault="00B36222" w:rsidP="00B36222">
      <w:pPr>
        <w:autoSpaceDE w:val="0"/>
        <w:autoSpaceDN w:val="0"/>
        <w:adjustRightInd w:val="0"/>
        <w:spacing w:after="0" w:line="360" w:lineRule="auto"/>
        <w:rPr>
          <w:rFonts w:ascii="Arial" w:hAnsi="Arial" w:cs="Arial"/>
          <w:color w:val="0D0D0D"/>
          <w:sz w:val="24"/>
          <w:szCs w:val="24"/>
        </w:rPr>
      </w:pPr>
    </w:p>
    <w:p w14:paraId="1F031249" w14:textId="65B2886A" w:rsidR="00B36222" w:rsidRPr="004A6818" w:rsidRDefault="00B36222" w:rsidP="00B36222">
      <w:pPr>
        <w:autoSpaceDE w:val="0"/>
        <w:autoSpaceDN w:val="0"/>
        <w:adjustRightInd w:val="0"/>
        <w:spacing w:after="0" w:line="360" w:lineRule="auto"/>
        <w:rPr>
          <w:rFonts w:ascii="Arial" w:hAnsi="Arial" w:cs="Arial"/>
          <w:b/>
          <w:bCs/>
          <w:color w:val="0D0D0D"/>
          <w:sz w:val="24"/>
          <w:szCs w:val="24"/>
        </w:rPr>
      </w:pPr>
      <w:r w:rsidRPr="004A6818">
        <w:rPr>
          <w:rFonts w:ascii="Arial" w:hAnsi="Arial" w:cs="Arial"/>
          <w:b/>
          <w:bCs/>
          <w:color w:val="0D0D0D"/>
          <w:sz w:val="24"/>
          <w:szCs w:val="24"/>
        </w:rPr>
        <w:t>TUPPERWARE SOUTHERN AFRICA (PTY) LTD</w:t>
      </w:r>
      <w:r w:rsidRPr="004A6818">
        <w:rPr>
          <w:rFonts w:ascii="Arial" w:hAnsi="Arial" w:cs="Arial"/>
          <w:b/>
          <w:bCs/>
          <w:color w:val="0D0D0D"/>
          <w:sz w:val="24"/>
          <w:szCs w:val="24"/>
        </w:rPr>
        <w:tab/>
      </w:r>
      <w:r w:rsidR="004E4389">
        <w:rPr>
          <w:rFonts w:ascii="Arial" w:hAnsi="Arial" w:cs="Arial"/>
          <w:b/>
          <w:bCs/>
          <w:color w:val="0D0D0D"/>
          <w:sz w:val="24"/>
          <w:szCs w:val="24"/>
        </w:rPr>
        <w:tab/>
      </w:r>
      <w:r w:rsidRPr="004A6818">
        <w:rPr>
          <w:rFonts w:ascii="Arial" w:hAnsi="Arial" w:cs="Arial"/>
          <w:b/>
          <w:bCs/>
          <w:color w:val="0D0D0D"/>
          <w:sz w:val="24"/>
          <w:szCs w:val="24"/>
        </w:rPr>
        <w:t>SECOND APPELLANT</w:t>
      </w:r>
    </w:p>
    <w:p w14:paraId="53E1442C" w14:textId="77777777" w:rsidR="00B36222" w:rsidRPr="004A6818" w:rsidRDefault="00B36222" w:rsidP="00B36222">
      <w:pPr>
        <w:autoSpaceDE w:val="0"/>
        <w:autoSpaceDN w:val="0"/>
        <w:adjustRightInd w:val="0"/>
        <w:spacing w:after="0" w:line="240" w:lineRule="auto"/>
        <w:rPr>
          <w:rFonts w:ascii="Arial" w:hAnsi="Arial" w:cs="Arial"/>
          <w:color w:val="0D0D0D"/>
          <w:sz w:val="24"/>
          <w:szCs w:val="24"/>
        </w:rPr>
      </w:pPr>
    </w:p>
    <w:p w14:paraId="04013B08" w14:textId="77777777" w:rsidR="00B36222" w:rsidRPr="004A6818" w:rsidRDefault="00B36222" w:rsidP="00B36222">
      <w:pPr>
        <w:autoSpaceDE w:val="0"/>
        <w:autoSpaceDN w:val="0"/>
        <w:adjustRightInd w:val="0"/>
        <w:spacing w:after="0" w:line="360" w:lineRule="auto"/>
        <w:rPr>
          <w:rFonts w:ascii="Arial" w:hAnsi="Arial" w:cs="Arial"/>
          <w:color w:val="0D0D0D"/>
          <w:sz w:val="24"/>
          <w:szCs w:val="24"/>
        </w:rPr>
      </w:pPr>
      <w:r w:rsidRPr="004A6818">
        <w:rPr>
          <w:rFonts w:ascii="Arial" w:hAnsi="Arial" w:cs="Arial"/>
          <w:color w:val="0D0D0D"/>
          <w:sz w:val="24"/>
          <w:szCs w:val="24"/>
        </w:rPr>
        <w:t>and</w:t>
      </w:r>
    </w:p>
    <w:p w14:paraId="3E425CBA" w14:textId="77777777" w:rsidR="00B36222" w:rsidRPr="004A6818" w:rsidRDefault="00B36222" w:rsidP="00B36222">
      <w:pPr>
        <w:autoSpaceDE w:val="0"/>
        <w:autoSpaceDN w:val="0"/>
        <w:adjustRightInd w:val="0"/>
        <w:spacing w:after="0" w:line="240" w:lineRule="auto"/>
        <w:rPr>
          <w:rFonts w:ascii="Arial" w:hAnsi="Arial" w:cs="Arial"/>
          <w:color w:val="0D0D0D"/>
          <w:sz w:val="24"/>
          <w:szCs w:val="24"/>
        </w:rPr>
      </w:pPr>
    </w:p>
    <w:p w14:paraId="12EC159A" w14:textId="0CAD954C" w:rsidR="00B36222" w:rsidRPr="004A6818" w:rsidRDefault="00B36222" w:rsidP="00B36222">
      <w:pPr>
        <w:autoSpaceDE w:val="0"/>
        <w:autoSpaceDN w:val="0"/>
        <w:adjustRightInd w:val="0"/>
        <w:spacing w:after="0" w:line="360" w:lineRule="auto"/>
        <w:rPr>
          <w:rFonts w:ascii="Arial" w:hAnsi="Arial" w:cs="Arial"/>
          <w:b/>
          <w:bCs/>
          <w:color w:val="0D0D0D"/>
          <w:sz w:val="24"/>
          <w:szCs w:val="24"/>
        </w:rPr>
      </w:pPr>
      <w:r w:rsidRPr="004A6818">
        <w:rPr>
          <w:rFonts w:ascii="Arial" w:eastAsiaTheme="minorEastAsia" w:hAnsi="Arial" w:cs="Arial"/>
          <w:b/>
          <w:sz w:val="24"/>
          <w:szCs w:val="24"/>
          <w:lang w:eastAsia="en-ZA"/>
        </w:rPr>
        <w:t>BOTLE BUHLE BRANDS (PTY) LTD</w:t>
      </w:r>
      <w:r w:rsidRPr="004A6818">
        <w:rPr>
          <w:rFonts w:ascii="Arial" w:hAnsi="Arial" w:cs="Arial"/>
          <w:b/>
          <w:bCs/>
          <w:color w:val="0D0D0D"/>
          <w:sz w:val="24"/>
          <w:szCs w:val="24"/>
        </w:rPr>
        <w:tab/>
      </w:r>
      <w:r w:rsidRPr="004A6818">
        <w:rPr>
          <w:rFonts w:ascii="Arial" w:hAnsi="Arial" w:cs="Arial"/>
          <w:b/>
          <w:bCs/>
          <w:color w:val="0D0D0D"/>
          <w:sz w:val="24"/>
          <w:szCs w:val="24"/>
        </w:rPr>
        <w:tab/>
      </w:r>
      <w:r w:rsidRPr="004A6818">
        <w:rPr>
          <w:rFonts w:ascii="Arial" w:hAnsi="Arial" w:cs="Arial"/>
          <w:b/>
          <w:bCs/>
          <w:color w:val="0D0D0D"/>
          <w:sz w:val="24"/>
          <w:szCs w:val="24"/>
        </w:rPr>
        <w:tab/>
      </w:r>
      <w:r w:rsidR="004E4389">
        <w:rPr>
          <w:rFonts w:ascii="Arial" w:hAnsi="Arial" w:cs="Arial"/>
          <w:b/>
          <w:bCs/>
          <w:color w:val="0D0D0D"/>
          <w:sz w:val="24"/>
          <w:szCs w:val="24"/>
        </w:rPr>
        <w:tab/>
        <w:t xml:space="preserve"> </w:t>
      </w:r>
      <w:r w:rsidRPr="004A6818">
        <w:rPr>
          <w:rFonts w:ascii="Arial" w:hAnsi="Arial" w:cs="Arial"/>
          <w:b/>
          <w:bCs/>
          <w:color w:val="0D0D0D"/>
          <w:sz w:val="24"/>
          <w:szCs w:val="24"/>
        </w:rPr>
        <w:t>FIRST RESPONDENT</w:t>
      </w:r>
    </w:p>
    <w:p w14:paraId="0CE79CB1" w14:textId="77777777" w:rsidR="00F40A0B" w:rsidRDefault="00F40A0B" w:rsidP="00B36222">
      <w:pPr>
        <w:autoSpaceDE w:val="0"/>
        <w:autoSpaceDN w:val="0"/>
        <w:adjustRightInd w:val="0"/>
        <w:spacing w:after="0" w:line="360" w:lineRule="auto"/>
        <w:rPr>
          <w:rFonts w:ascii="Arial" w:hAnsi="Arial" w:cs="Arial"/>
          <w:b/>
          <w:bCs/>
          <w:color w:val="0D0D0D"/>
          <w:sz w:val="24"/>
          <w:szCs w:val="24"/>
        </w:rPr>
      </w:pPr>
    </w:p>
    <w:p w14:paraId="025DCC36" w14:textId="7BD747BA" w:rsidR="00B36222" w:rsidRPr="004A6818" w:rsidRDefault="00B36222" w:rsidP="00B36222">
      <w:pPr>
        <w:autoSpaceDE w:val="0"/>
        <w:autoSpaceDN w:val="0"/>
        <w:adjustRightInd w:val="0"/>
        <w:spacing w:after="0" w:line="360" w:lineRule="auto"/>
        <w:rPr>
          <w:rFonts w:ascii="Arial" w:hAnsi="Arial" w:cs="Arial"/>
          <w:b/>
          <w:bCs/>
          <w:color w:val="0D0D0D"/>
          <w:sz w:val="24"/>
          <w:szCs w:val="24"/>
        </w:rPr>
      </w:pPr>
      <w:r w:rsidRPr="004A6818">
        <w:rPr>
          <w:rFonts w:ascii="Arial" w:hAnsi="Arial" w:cs="Arial"/>
          <w:b/>
          <w:bCs/>
          <w:color w:val="0D0D0D"/>
          <w:sz w:val="24"/>
          <w:szCs w:val="24"/>
        </w:rPr>
        <w:t xml:space="preserve">COMPANIES AND INTELLECTUAL PROPERTY </w:t>
      </w:r>
    </w:p>
    <w:p w14:paraId="06057A1C" w14:textId="54B6EEE6" w:rsidR="00B36222" w:rsidRPr="004A6818" w:rsidRDefault="00B36222" w:rsidP="00B36222">
      <w:pPr>
        <w:autoSpaceDE w:val="0"/>
        <w:autoSpaceDN w:val="0"/>
        <w:adjustRightInd w:val="0"/>
        <w:spacing w:after="0" w:line="360" w:lineRule="auto"/>
        <w:rPr>
          <w:rFonts w:ascii="Arial" w:hAnsi="Arial" w:cs="Arial"/>
          <w:b/>
          <w:bCs/>
          <w:color w:val="0D0D0D"/>
          <w:sz w:val="24"/>
          <w:szCs w:val="24"/>
        </w:rPr>
      </w:pPr>
      <w:r w:rsidRPr="004A6818">
        <w:rPr>
          <w:rFonts w:ascii="Arial" w:hAnsi="Arial" w:cs="Arial"/>
          <w:b/>
          <w:bCs/>
          <w:color w:val="0D0D0D"/>
          <w:sz w:val="24"/>
          <w:szCs w:val="24"/>
        </w:rPr>
        <w:t>COMMISSION</w:t>
      </w:r>
      <w:r w:rsidRPr="004A6818">
        <w:rPr>
          <w:rFonts w:ascii="Arial" w:hAnsi="Arial" w:cs="Arial"/>
          <w:b/>
          <w:bCs/>
          <w:color w:val="0D0D0D"/>
          <w:sz w:val="24"/>
          <w:szCs w:val="24"/>
        </w:rPr>
        <w:tab/>
      </w:r>
      <w:r w:rsidRPr="004A6818">
        <w:rPr>
          <w:rFonts w:ascii="Arial" w:hAnsi="Arial" w:cs="Arial"/>
          <w:b/>
          <w:bCs/>
          <w:color w:val="0D0D0D"/>
          <w:sz w:val="24"/>
          <w:szCs w:val="24"/>
        </w:rPr>
        <w:tab/>
      </w:r>
      <w:r w:rsidRPr="004A6818">
        <w:rPr>
          <w:rFonts w:ascii="Arial" w:hAnsi="Arial" w:cs="Arial"/>
          <w:b/>
          <w:bCs/>
          <w:color w:val="0D0D0D"/>
          <w:sz w:val="24"/>
          <w:szCs w:val="24"/>
        </w:rPr>
        <w:tab/>
      </w:r>
      <w:r w:rsidR="004E4389">
        <w:rPr>
          <w:rFonts w:ascii="Arial" w:hAnsi="Arial" w:cs="Arial"/>
          <w:b/>
          <w:bCs/>
          <w:color w:val="0D0D0D"/>
          <w:sz w:val="24"/>
          <w:szCs w:val="24"/>
        </w:rPr>
        <w:tab/>
      </w:r>
      <w:r w:rsidR="004E4389">
        <w:rPr>
          <w:rFonts w:ascii="Arial" w:hAnsi="Arial" w:cs="Arial"/>
          <w:b/>
          <w:bCs/>
          <w:color w:val="0D0D0D"/>
          <w:sz w:val="24"/>
          <w:szCs w:val="24"/>
        </w:rPr>
        <w:tab/>
      </w:r>
      <w:r w:rsidR="004E4389">
        <w:rPr>
          <w:rFonts w:ascii="Arial" w:hAnsi="Arial" w:cs="Arial"/>
          <w:b/>
          <w:bCs/>
          <w:color w:val="0D0D0D"/>
          <w:sz w:val="24"/>
          <w:szCs w:val="24"/>
        </w:rPr>
        <w:tab/>
        <w:t xml:space="preserve">       </w:t>
      </w:r>
      <w:r w:rsidRPr="004A6818">
        <w:rPr>
          <w:rFonts w:ascii="Arial" w:hAnsi="Arial" w:cs="Arial"/>
          <w:b/>
          <w:bCs/>
          <w:color w:val="0D0D0D"/>
          <w:sz w:val="24"/>
          <w:szCs w:val="24"/>
        </w:rPr>
        <w:t>SECOND RESPONDENT</w:t>
      </w:r>
    </w:p>
    <w:p w14:paraId="593A9590" w14:textId="77777777" w:rsidR="00B36222" w:rsidRPr="004A6818" w:rsidRDefault="00B36222" w:rsidP="00B36222">
      <w:pPr>
        <w:autoSpaceDE w:val="0"/>
        <w:autoSpaceDN w:val="0"/>
        <w:adjustRightInd w:val="0"/>
        <w:spacing w:after="0" w:line="360" w:lineRule="auto"/>
        <w:rPr>
          <w:rFonts w:ascii="Arial" w:hAnsi="Arial" w:cs="Arial"/>
          <w:b/>
          <w:bCs/>
          <w:color w:val="0D0D0D"/>
          <w:sz w:val="24"/>
          <w:szCs w:val="24"/>
        </w:rPr>
      </w:pPr>
    </w:p>
    <w:p w14:paraId="37888DF4" w14:textId="2E2FC20E" w:rsidR="00B36222" w:rsidRPr="004A6818" w:rsidRDefault="00B36222" w:rsidP="00B36222">
      <w:pPr>
        <w:widowControl w:val="0"/>
        <w:autoSpaceDE w:val="0"/>
        <w:autoSpaceDN w:val="0"/>
        <w:adjustRightInd w:val="0"/>
        <w:spacing w:after="120" w:line="276" w:lineRule="auto"/>
        <w:ind w:right="113"/>
        <w:jc w:val="both"/>
        <w:rPr>
          <w:rFonts w:ascii="Arial" w:eastAsiaTheme="minorEastAsia" w:hAnsi="Arial" w:cs="Arial"/>
          <w:b/>
          <w:sz w:val="24"/>
          <w:szCs w:val="24"/>
          <w:lang w:eastAsia="en-ZA"/>
        </w:rPr>
      </w:pPr>
      <w:r w:rsidRPr="004A6818">
        <w:rPr>
          <w:rFonts w:ascii="Arial" w:eastAsiaTheme="minorEastAsia" w:hAnsi="Arial" w:cs="Arial"/>
          <w:b/>
          <w:sz w:val="24"/>
          <w:szCs w:val="24"/>
          <w:lang w:eastAsia="en-ZA"/>
        </w:rPr>
        <w:t>Neutral citation:</w:t>
      </w:r>
      <w:r w:rsidRPr="004A6818">
        <w:rPr>
          <w:rFonts w:ascii="Arial" w:eastAsiaTheme="minorEastAsia" w:hAnsi="Arial" w:cs="Arial"/>
          <w:bCs/>
          <w:sz w:val="24"/>
          <w:szCs w:val="24"/>
          <w:lang w:eastAsia="en-ZA"/>
        </w:rPr>
        <w:t xml:space="preserve"> </w:t>
      </w:r>
      <w:r w:rsidRPr="004A6818">
        <w:rPr>
          <w:rFonts w:ascii="Arial" w:eastAsiaTheme="minorEastAsia" w:hAnsi="Arial" w:cs="Arial"/>
          <w:bCs/>
          <w:i/>
          <w:iCs/>
          <w:sz w:val="24"/>
          <w:szCs w:val="24"/>
          <w:lang w:eastAsia="en-ZA"/>
        </w:rPr>
        <w:t>Dart Industries Incorporated and Another v Botle Buhle Brands (Pty) Ltd and Another</w:t>
      </w:r>
      <w:r w:rsidRPr="004A6818">
        <w:rPr>
          <w:rFonts w:ascii="Arial" w:eastAsiaTheme="minorEastAsia" w:hAnsi="Arial" w:cs="Arial"/>
          <w:bCs/>
          <w:sz w:val="24"/>
          <w:szCs w:val="24"/>
          <w:lang w:eastAsia="en-ZA"/>
        </w:rPr>
        <w:t xml:space="preserve"> (636/2021) [2022] ZASCA </w:t>
      </w:r>
      <w:r w:rsidR="004E4389" w:rsidRPr="008244D6">
        <w:rPr>
          <w:rFonts w:ascii="Arial" w:eastAsiaTheme="minorEastAsia" w:hAnsi="Arial" w:cs="Arial"/>
          <w:bCs/>
          <w:sz w:val="24"/>
          <w:szCs w:val="24"/>
          <w:lang w:eastAsia="en-ZA"/>
        </w:rPr>
        <w:t>170</w:t>
      </w:r>
      <w:r w:rsidRPr="004A6818">
        <w:rPr>
          <w:rFonts w:ascii="Arial" w:eastAsiaTheme="minorEastAsia" w:hAnsi="Arial" w:cs="Arial"/>
          <w:bCs/>
          <w:sz w:val="24"/>
          <w:szCs w:val="24"/>
          <w:lang w:eastAsia="en-ZA"/>
        </w:rPr>
        <w:t xml:space="preserve"> </w:t>
      </w:r>
      <w:r w:rsidRPr="004E4389">
        <w:rPr>
          <w:rFonts w:ascii="Arial" w:eastAsiaTheme="minorEastAsia" w:hAnsi="Arial" w:cs="Arial"/>
          <w:bCs/>
          <w:sz w:val="24"/>
          <w:szCs w:val="24"/>
          <w:lang w:eastAsia="en-ZA"/>
        </w:rPr>
        <w:t>(</w:t>
      </w:r>
      <w:r w:rsidR="007E4076" w:rsidRPr="009D7449">
        <w:rPr>
          <w:rFonts w:ascii="Arial" w:eastAsiaTheme="minorEastAsia" w:hAnsi="Arial" w:cs="Arial"/>
          <w:bCs/>
          <w:sz w:val="24"/>
          <w:szCs w:val="24"/>
          <w:lang w:eastAsia="en-ZA"/>
        </w:rPr>
        <w:t>1</w:t>
      </w:r>
      <w:r w:rsidR="004E4389">
        <w:rPr>
          <w:rFonts w:ascii="Arial" w:eastAsiaTheme="minorEastAsia" w:hAnsi="Arial" w:cs="Arial"/>
          <w:bCs/>
          <w:sz w:val="24"/>
          <w:szCs w:val="24"/>
          <w:lang w:eastAsia="en-ZA"/>
        </w:rPr>
        <w:t xml:space="preserve"> </w:t>
      </w:r>
      <w:r w:rsidR="007E4076">
        <w:rPr>
          <w:rFonts w:ascii="Arial" w:eastAsiaTheme="minorEastAsia" w:hAnsi="Arial" w:cs="Arial"/>
          <w:bCs/>
          <w:sz w:val="24"/>
          <w:szCs w:val="24"/>
          <w:lang w:eastAsia="en-ZA"/>
        </w:rPr>
        <w:t xml:space="preserve">December </w:t>
      </w:r>
      <w:r w:rsidRPr="004A6818">
        <w:rPr>
          <w:rFonts w:ascii="Arial" w:eastAsiaTheme="minorEastAsia" w:hAnsi="Arial" w:cs="Arial"/>
          <w:bCs/>
          <w:sz w:val="24"/>
          <w:szCs w:val="24"/>
          <w:lang w:eastAsia="en-ZA"/>
        </w:rPr>
        <w:t xml:space="preserve">2022) </w:t>
      </w:r>
    </w:p>
    <w:p w14:paraId="5B360C42" w14:textId="77777777" w:rsidR="00F40A0B" w:rsidRDefault="00F40A0B" w:rsidP="00B36222">
      <w:pPr>
        <w:widowControl w:val="0"/>
        <w:autoSpaceDE w:val="0"/>
        <w:autoSpaceDN w:val="0"/>
        <w:adjustRightInd w:val="0"/>
        <w:spacing w:after="0" w:line="240" w:lineRule="auto"/>
        <w:ind w:left="1440" w:hanging="1440"/>
        <w:jc w:val="both"/>
        <w:rPr>
          <w:rFonts w:ascii="Arial" w:eastAsiaTheme="minorEastAsia" w:hAnsi="Arial" w:cs="Arial"/>
          <w:b/>
          <w:sz w:val="24"/>
          <w:szCs w:val="24"/>
          <w:lang w:eastAsia="en-ZA"/>
        </w:rPr>
      </w:pPr>
    </w:p>
    <w:p w14:paraId="0CBA9EEA" w14:textId="0F3ABB74" w:rsidR="00B36222" w:rsidRPr="004A6818" w:rsidRDefault="00B36222" w:rsidP="00B36222">
      <w:pPr>
        <w:widowControl w:val="0"/>
        <w:autoSpaceDE w:val="0"/>
        <w:autoSpaceDN w:val="0"/>
        <w:adjustRightInd w:val="0"/>
        <w:spacing w:after="0" w:line="240" w:lineRule="auto"/>
        <w:ind w:left="1440" w:hanging="1440"/>
        <w:jc w:val="both"/>
        <w:rPr>
          <w:rFonts w:ascii="Arial" w:eastAsiaTheme="minorEastAsia" w:hAnsi="Arial" w:cs="Arial"/>
          <w:sz w:val="24"/>
          <w:szCs w:val="24"/>
          <w:lang w:eastAsia="en-ZA"/>
        </w:rPr>
      </w:pPr>
      <w:r w:rsidRPr="004A6818">
        <w:rPr>
          <w:rFonts w:ascii="Arial" w:eastAsiaTheme="minorEastAsia" w:hAnsi="Arial" w:cs="Arial"/>
          <w:b/>
          <w:sz w:val="24"/>
          <w:szCs w:val="24"/>
          <w:lang w:eastAsia="en-ZA"/>
        </w:rPr>
        <w:t>Bench:</w:t>
      </w:r>
      <w:r w:rsidRPr="004A6818">
        <w:rPr>
          <w:rFonts w:ascii="Arial" w:eastAsiaTheme="minorEastAsia" w:hAnsi="Arial" w:cs="Arial"/>
          <w:b/>
          <w:sz w:val="24"/>
          <w:szCs w:val="24"/>
          <w:lang w:eastAsia="en-ZA"/>
        </w:rPr>
        <w:tab/>
      </w:r>
      <w:bookmarkStart w:id="2" w:name="_Hlk106661950"/>
      <w:bookmarkStart w:id="3" w:name="_Hlk64406736"/>
      <w:r w:rsidRPr="004A6818">
        <w:rPr>
          <w:rFonts w:ascii="Arial" w:eastAsiaTheme="minorEastAsia" w:hAnsi="Arial" w:cs="Arial"/>
          <w:sz w:val="24"/>
          <w:szCs w:val="24"/>
          <w:lang w:eastAsia="en-ZA"/>
        </w:rPr>
        <w:t xml:space="preserve">DAMBUZA, MAKGOKA and GORVEN </w:t>
      </w:r>
      <w:r w:rsidRPr="004A6818">
        <w:rPr>
          <w:rFonts w:ascii="Arial" w:hAnsi="Arial" w:cs="Arial"/>
          <w:sz w:val="24"/>
          <w:szCs w:val="24"/>
        </w:rPr>
        <w:t xml:space="preserve">JJA and GOOSEN </w:t>
      </w:r>
      <w:bookmarkEnd w:id="2"/>
      <w:r w:rsidRPr="004A6818">
        <w:rPr>
          <w:rFonts w:ascii="Arial" w:eastAsiaTheme="minorEastAsia" w:hAnsi="Arial" w:cs="Arial"/>
          <w:sz w:val="24"/>
          <w:szCs w:val="24"/>
          <w:lang w:eastAsia="en-ZA"/>
        </w:rPr>
        <w:t>and MASIPA AJJA</w:t>
      </w:r>
    </w:p>
    <w:bookmarkEnd w:id="3"/>
    <w:p w14:paraId="6E6F1F3E" w14:textId="75163A88" w:rsidR="00B36222" w:rsidRPr="004A6818" w:rsidRDefault="00B36222" w:rsidP="00B36222">
      <w:pPr>
        <w:widowControl w:val="0"/>
        <w:tabs>
          <w:tab w:val="left" w:pos="720"/>
          <w:tab w:val="left" w:pos="1440"/>
          <w:tab w:val="left" w:pos="2160"/>
          <w:tab w:val="left" w:pos="2880"/>
          <w:tab w:val="left" w:pos="3600"/>
          <w:tab w:val="left" w:pos="7628"/>
        </w:tabs>
        <w:autoSpaceDE w:val="0"/>
        <w:autoSpaceDN w:val="0"/>
        <w:adjustRightInd w:val="0"/>
        <w:spacing w:before="100" w:beforeAutospacing="1" w:after="120" w:line="360" w:lineRule="auto"/>
        <w:jc w:val="both"/>
        <w:outlineLvl w:val="0"/>
        <w:rPr>
          <w:rFonts w:ascii="Arial" w:eastAsiaTheme="minorEastAsia" w:hAnsi="Arial" w:cs="Arial"/>
          <w:sz w:val="24"/>
          <w:szCs w:val="24"/>
          <w:lang w:eastAsia="en-ZA"/>
        </w:rPr>
      </w:pPr>
      <w:r w:rsidRPr="004A6818">
        <w:rPr>
          <w:rFonts w:ascii="Arial" w:eastAsiaTheme="minorEastAsia" w:hAnsi="Arial" w:cs="Arial"/>
          <w:b/>
          <w:sz w:val="24"/>
          <w:szCs w:val="24"/>
          <w:lang w:eastAsia="en-ZA"/>
        </w:rPr>
        <w:t>Heard:</w:t>
      </w:r>
      <w:r w:rsidRPr="004A6818">
        <w:rPr>
          <w:rFonts w:ascii="Arial" w:eastAsiaTheme="minorEastAsia" w:hAnsi="Arial" w:cs="Arial"/>
          <w:sz w:val="24"/>
          <w:szCs w:val="24"/>
          <w:lang w:eastAsia="en-ZA"/>
        </w:rPr>
        <w:tab/>
      </w:r>
      <w:r w:rsidR="007023C0" w:rsidRPr="004A6818">
        <w:rPr>
          <w:rFonts w:ascii="Arial" w:eastAsiaTheme="minorEastAsia" w:hAnsi="Arial" w:cs="Arial"/>
          <w:sz w:val="24"/>
          <w:szCs w:val="24"/>
          <w:lang w:eastAsia="en-ZA"/>
        </w:rPr>
        <w:t>6 September</w:t>
      </w:r>
      <w:r w:rsidRPr="004A6818">
        <w:rPr>
          <w:rFonts w:ascii="Arial" w:eastAsiaTheme="minorEastAsia" w:hAnsi="Arial" w:cs="Arial"/>
          <w:sz w:val="24"/>
          <w:szCs w:val="24"/>
          <w:lang w:eastAsia="en-ZA"/>
        </w:rPr>
        <w:t xml:space="preserve"> 2022</w:t>
      </w:r>
    </w:p>
    <w:p w14:paraId="380E7C1E" w14:textId="40D8223E" w:rsidR="00B36222" w:rsidRPr="004A6818" w:rsidRDefault="00B36222" w:rsidP="00B36222">
      <w:pPr>
        <w:widowControl w:val="0"/>
        <w:autoSpaceDE w:val="0"/>
        <w:autoSpaceDN w:val="0"/>
        <w:adjustRightInd w:val="0"/>
        <w:spacing w:after="120" w:line="360" w:lineRule="auto"/>
        <w:jc w:val="both"/>
        <w:outlineLvl w:val="0"/>
        <w:rPr>
          <w:rFonts w:ascii="Arial" w:eastAsiaTheme="minorEastAsia" w:hAnsi="Arial" w:cs="Arial"/>
          <w:sz w:val="24"/>
          <w:szCs w:val="24"/>
          <w:lang w:eastAsia="en-ZA"/>
        </w:rPr>
      </w:pPr>
      <w:r w:rsidRPr="004A6818">
        <w:rPr>
          <w:rFonts w:ascii="Arial" w:eastAsiaTheme="minorEastAsia" w:hAnsi="Arial" w:cs="Arial"/>
          <w:b/>
          <w:sz w:val="24"/>
          <w:szCs w:val="24"/>
          <w:lang w:eastAsia="en-ZA"/>
        </w:rPr>
        <w:t>Delivered:</w:t>
      </w:r>
      <w:r w:rsidRPr="004A6818">
        <w:rPr>
          <w:rFonts w:ascii="Arial" w:eastAsiaTheme="minorEastAsia" w:hAnsi="Arial" w:cs="Arial"/>
          <w:b/>
          <w:sz w:val="24"/>
          <w:szCs w:val="24"/>
          <w:lang w:eastAsia="en-ZA"/>
        </w:rPr>
        <w:tab/>
      </w:r>
      <w:r w:rsidR="007E4076" w:rsidRPr="007E4076">
        <w:rPr>
          <w:rFonts w:ascii="Arial" w:eastAsiaTheme="minorEastAsia" w:hAnsi="Arial" w:cs="Arial"/>
          <w:sz w:val="24"/>
          <w:szCs w:val="24"/>
          <w:lang w:eastAsia="en-ZA"/>
        </w:rPr>
        <w:t xml:space="preserve">1 </w:t>
      </w:r>
      <w:r w:rsidR="007E4076">
        <w:rPr>
          <w:rFonts w:ascii="Arial" w:eastAsiaTheme="minorEastAsia" w:hAnsi="Arial" w:cs="Arial"/>
          <w:sz w:val="24"/>
          <w:szCs w:val="24"/>
          <w:lang w:eastAsia="en-ZA"/>
        </w:rPr>
        <w:t xml:space="preserve">December </w:t>
      </w:r>
      <w:r w:rsidRPr="004A6818">
        <w:rPr>
          <w:rFonts w:ascii="Arial" w:eastAsiaTheme="minorEastAsia" w:hAnsi="Arial" w:cs="Arial"/>
          <w:sz w:val="24"/>
          <w:szCs w:val="24"/>
          <w:lang w:eastAsia="en-ZA"/>
        </w:rPr>
        <w:t>2022</w:t>
      </w:r>
    </w:p>
    <w:p w14:paraId="1B781F78" w14:textId="03BA99BA" w:rsidR="001A7C66" w:rsidRPr="005B5C85" w:rsidRDefault="00B36222" w:rsidP="001A7C66">
      <w:pPr>
        <w:spacing w:after="0" w:line="360" w:lineRule="auto"/>
        <w:contextualSpacing/>
        <w:jc w:val="both"/>
        <w:rPr>
          <w:rFonts w:ascii="Arial" w:eastAsiaTheme="minorEastAsia" w:hAnsi="Arial" w:cs="Arial"/>
          <w:sz w:val="24"/>
          <w:szCs w:val="24"/>
          <w:lang w:eastAsia="en-ZA"/>
        </w:rPr>
      </w:pPr>
      <w:r w:rsidRPr="005B5C85">
        <w:rPr>
          <w:rFonts w:ascii="Arial" w:eastAsiaTheme="minorEastAsia" w:hAnsi="Arial" w:cs="Arial"/>
          <w:sz w:val="24"/>
          <w:szCs w:val="24"/>
          <w:lang w:eastAsia="en-ZA"/>
        </w:rPr>
        <w:t xml:space="preserve">Summary: </w:t>
      </w:r>
      <w:r w:rsidRPr="005B5C85">
        <w:rPr>
          <w:rFonts w:ascii="Arial" w:eastAsiaTheme="minorEastAsia" w:hAnsi="Arial" w:cs="Arial"/>
          <w:sz w:val="24"/>
          <w:szCs w:val="24"/>
          <w:lang w:eastAsia="en-ZA"/>
        </w:rPr>
        <w:tab/>
      </w:r>
      <w:r w:rsidR="003941C7" w:rsidRPr="005B5C85">
        <w:rPr>
          <w:rFonts w:ascii="Arial" w:eastAsiaTheme="minorEastAsia" w:hAnsi="Arial" w:cs="Arial"/>
          <w:sz w:val="24"/>
          <w:szCs w:val="24"/>
          <w:lang w:eastAsia="en-ZA"/>
        </w:rPr>
        <w:t>Trade Marks Act 193 of 1994</w:t>
      </w:r>
      <w:r w:rsidR="00E81E81" w:rsidRPr="005B5C85">
        <w:rPr>
          <w:rFonts w:ascii="Arial" w:eastAsiaTheme="minorEastAsia" w:hAnsi="Arial" w:cs="Arial"/>
          <w:sz w:val="24"/>
          <w:szCs w:val="24"/>
          <w:lang w:eastAsia="en-ZA"/>
        </w:rPr>
        <w:t xml:space="preserve"> – </w:t>
      </w:r>
      <w:r w:rsidR="003941C7" w:rsidRPr="005B5C85">
        <w:rPr>
          <w:rFonts w:ascii="Arial" w:eastAsiaTheme="minorEastAsia" w:hAnsi="Arial" w:cs="Arial"/>
          <w:sz w:val="24"/>
          <w:szCs w:val="24"/>
          <w:lang w:eastAsia="en-ZA"/>
        </w:rPr>
        <w:t>shape mark in respect of a water bottle</w:t>
      </w:r>
      <w:r w:rsidR="00E81E81" w:rsidRPr="005B5C85">
        <w:rPr>
          <w:rFonts w:ascii="Arial" w:eastAsiaTheme="minorEastAsia" w:hAnsi="Arial" w:cs="Arial"/>
          <w:sz w:val="24"/>
          <w:szCs w:val="24"/>
          <w:lang w:eastAsia="en-ZA"/>
        </w:rPr>
        <w:t xml:space="preserve"> – </w:t>
      </w:r>
      <w:r w:rsidR="003941C7" w:rsidRPr="005B5C85">
        <w:rPr>
          <w:rFonts w:ascii="Arial" w:eastAsiaTheme="minorEastAsia" w:hAnsi="Arial" w:cs="Arial"/>
          <w:sz w:val="24"/>
          <w:szCs w:val="24"/>
          <w:lang w:eastAsia="en-ZA"/>
        </w:rPr>
        <w:t xml:space="preserve">whether such is distinctive as a trade mark </w:t>
      </w:r>
      <w:r w:rsidR="001A7C66" w:rsidRPr="005B5C85">
        <w:rPr>
          <w:rFonts w:ascii="Arial" w:eastAsiaTheme="minorEastAsia" w:hAnsi="Arial" w:cs="Arial"/>
          <w:sz w:val="24"/>
          <w:szCs w:val="24"/>
          <w:lang w:eastAsia="en-ZA"/>
        </w:rPr>
        <w:t xml:space="preserve">as </w:t>
      </w:r>
      <w:r w:rsidR="003941C7" w:rsidRPr="005B5C85">
        <w:rPr>
          <w:rFonts w:ascii="Arial" w:eastAsiaTheme="minorEastAsia" w:hAnsi="Arial" w:cs="Arial"/>
          <w:sz w:val="24"/>
          <w:szCs w:val="24"/>
          <w:lang w:eastAsia="en-ZA"/>
        </w:rPr>
        <w:t>envisaged in s 9(2).</w:t>
      </w:r>
    </w:p>
    <w:p w14:paraId="29E7C7C1" w14:textId="28A82DBF" w:rsidR="003941C7" w:rsidRPr="005B5C85" w:rsidRDefault="003941C7" w:rsidP="001A7C66">
      <w:pPr>
        <w:spacing w:after="0" w:line="360" w:lineRule="auto"/>
        <w:contextualSpacing/>
        <w:jc w:val="both"/>
        <w:rPr>
          <w:rFonts w:ascii="Arial" w:eastAsiaTheme="minorEastAsia" w:hAnsi="Arial" w:cs="Arial"/>
          <w:sz w:val="24"/>
          <w:szCs w:val="24"/>
          <w:lang w:eastAsia="en-ZA"/>
        </w:rPr>
      </w:pPr>
      <w:r w:rsidRPr="005B5C85">
        <w:rPr>
          <w:rFonts w:ascii="Arial" w:eastAsiaTheme="minorEastAsia" w:hAnsi="Arial" w:cs="Arial"/>
          <w:sz w:val="24"/>
          <w:szCs w:val="24"/>
          <w:lang w:eastAsia="en-ZA"/>
        </w:rPr>
        <w:t>Passing-off – likelihood of confusion between appellants’ water bottle and that of first respondent.</w:t>
      </w:r>
    </w:p>
    <w:p w14:paraId="7ECEB6E9" w14:textId="08F7C7C6" w:rsidR="004E4389" w:rsidRDefault="004E4389">
      <w:pPr>
        <w:rPr>
          <w:rFonts w:ascii="Arial" w:eastAsiaTheme="minorEastAsia" w:hAnsi="Arial" w:cs="Arial"/>
          <w:b/>
          <w:sz w:val="24"/>
          <w:szCs w:val="24"/>
          <w:lang w:eastAsia="en-ZA"/>
        </w:rPr>
      </w:pPr>
      <w:r>
        <w:rPr>
          <w:rFonts w:ascii="Arial" w:eastAsiaTheme="minorEastAsia" w:hAnsi="Arial" w:cs="Arial"/>
          <w:b/>
          <w:sz w:val="24"/>
          <w:szCs w:val="24"/>
          <w:lang w:eastAsia="en-ZA"/>
        </w:rPr>
        <w:br w:type="page"/>
      </w:r>
    </w:p>
    <w:p w14:paraId="4E6FB095" w14:textId="77777777" w:rsidR="00B36222" w:rsidRPr="004A6818" w:rsidRDefault="00B36222" w:rsidP="00B36222">
      <w:pPr>
        <w:widowControl w:val="0"/>
        <w:autoSpaceDE w:val="0"/>
        <w:autoSpaceDN w:val="0"/>
        <w:adjustRightInd w:val="0"/>
        <w:spacing w:after="360" w:line="240" w:lineRule="auto"/>
        <w:ind w:left="1440" w:hanging="1440"/>
        <w:jc w:val="center"/>
        <w:rPr>
          <w:rFonts w:ascii="Arial" w:eastAsiaTheme="minorEastAsia" w:hAnsi="Arial" w:cs="Arial"/>
          <w:b/>
          <w:sz w:val="24"/>
          <w:szCs w:val="24"/>
          <w:lang w:eastAsia="en-ZA"/>
        </w:rPr>
      </w:pPr>
      <w:r w:rsidRPr="004A6818">
        <w:rPr>
          <w:rFonts w:ascii="Arial" w:eastAsiaTheme="minorEastAsia" w:hAnsi="Arial" w:cs="Arial"/>
          <w:b/>
          <w:sz w:val="24"/>
          <w:szCs w:val="24"/>
          <w:lang w:eastAsia="en-ZA"/>
        </w:rPr>
        <w:lastRenderedPageBreak/>
        <w:t>___________________________________________________________________</w:t>
      </w:r>
    </w:p>
    <w:p w14:paraId="2DD625D6" w14:textId="77777777" w:rsidR="00B36222" w:rsidRPr="004A6818" w:rsidRDefault="00B36222" w:rsidP="00B36222">
      <w:pPr>
        <w:widowControl w:val="0"/>
        <w:autoSpaceDE w:val="0"/>
        <w:autoSpaceDN w:val="0"/>
        <w:adjustRightInd w:val="0"/>
        <w:spacing w:after="120" w:line="240" w:lineRule="auto"/>
        <w:jc w:val="center"/>
        <w:rPr>
          <w:rFonts w:ascii="Arial" w:eastAsiaTheme="minorEastAsia" w:hAnsi="Arial" w:cs="Arial"/>
          <w:b/>
          <w:sz w:val="24"/>
          <w:szCs w:val="24"/>
          <w:lang w:eastAsia="en-ZA"/>
        </w:rPr>
      </w:pPr>
      <w:r w:rsidRPr="004A6818">
        <w:rPr>
          <w:rFonts w:ascii="Arial" w:eastAsiaTheme="minorEastAsia" w:hAnsi="Arial" w:cs="Arial"/>
          <w:b/>
          <w:sz w:val="24"/>
          <w:szCs w:val="24"/>
          <w:lang w:eastAsia="en-ZA"/>
        </w:rPr>
        <w:t>ORDER</w:t>
      </w:r>
    </w:p>
    <w:p w14:paraId="0B765731" w14:textId="77777777" w:rsidR="00B36222" w:rsidRPr="004A6818" w:rsidRDefault="00B36222" w:rsidP="00B36222">
      <w:pPr>
        <w:widowControl w:val="0"/>
        <w:autoSpaceDE w:val="0"/>
        <w:autoSpaceDN w:val="0"/>
        <w:adjustRightInd w:val="0"/>
        <w:spacing w:after="0" w:line="240" w:lineRule="auto"/>
        <w:ind w:left="1440" w:hanging="1440"/>
        <w:jc w:val="center"/>
        <w:rPr>
          <w:rFonts w:ascii="Arial" w:eastAsiaTheme="minorEastAsia" w:hAnsi="Arial" w:cs="Arial"/>
          <w:sz w:val="24"/>
          <w:szCs w:val="24"/>
          <w:lang w:eastAsia="en-ZA"/>
        </w:rPr>
      </w:pPr>
      <w:r w:rsidRPr="004A6818">
        <w:rPr>
          <w:rFonts w:ascii="Arial" w:eastAsiaTheme="minorEastAsia" w:hAnsi="Arial" w:cs="Arial"/>
          <w:b/>
          <w:sz w:val="24"/>
          <w:szCs w:val="24"/>
          <w:lang w:eastAsia="en-ZA"/>
        </w:rPr>
        <w:t>___________________________________________________________________</w:t>
      </w:r>
    </w:p>
    <w:p w14:paraId="7F3BBAAD" w14:textId="51CA4805" w:rsidR="009A4184" w:rsidRPr="00B42572" w:rsidRDefault="00B36222" w:rsidP="00084BDE">
      <w:pPr>
        <w:keepNext/>
        <w:keepLines/>
        <w:shd w:val="clear" w:color="auto" w:fill="FFFFFF"/>
        <w:spacing w:before="240" w:after="0" w:line="360" w:lineRule="auto"/>
        <w:jc w:val="both"/>
        <w:outlineLvl w:val="1"/>
        <w:rPr>
          <w:rFonts w:ascii="Arial" w:eastAsiaTheme="minorEastAsia" w:hAnsi="Arial" w:cs="Arial"/>
          <w:sz w:val="24"/>
          <w:szCs w:val="24"/>
          <w:lang w:eastAsia="en-ZA"/>
        </w:rPr>
      </w:pPr>
      <w:r w:rsidRPr="00B42572">
        <w:rPr>
          <w:rFonts w:ascii="Arial" w:eastAsiaTheme="minorEastAsia" w:hAnsi="Arial" w:cs="Arial"/>
          <w:b/>
          <w:sz w:val="24"/>
          <w:szCs w:val="24"/>
          <w:lang w:eastAsia="en-ZA"/>
        </w:rPr>
        <w:t>On appeal from:</w:t>
      </w:r>
      <w:r w:rsidRPr="00B42572">
        <w:rPr>
          <w:rFonts w:ascii="Arial" w:eastAsiaTheme="minorEastAsia" w:hAnsi="Arial" w:cs="Arial"/>
          <w:sz w:val="24"/>
          <w:szCs w:val="24"/>
          <w:lang w:eastAsia="en-ZA"/>
        </w:rPr>
        <w:t xml:space="preserve"> </w:t>
      </w:r>
      <w:bookmarkStart w:id="4" w:name="_Hlk92393248"/>
      <w:r w:rsidRPr="00B42572">
        <w:rPr>
          <w:rFonts w:ascii="Arial" w:eastAsiaTheme="minorEastAsia" w:hAnsi="Arial" w:cs="Arial"/>
          <w:sz w:val="24"/>
          <w:szCs w:val="24"/>
          <w:lang w:eastAsia="en-ZA"/>
        </w:rPr>
        <w:t xml:space="preserve">Gauteng </w:t>
      </w:r>
      <w:r w:rsidRPr="00B42572">
        <w:rPr>
          <w:rFonts w:ascii="Arial" w:eastAsiaTheme="majorEastAsia" w:hAnsi="Arial" w:cs="Arial"/>
          <w:sz w:val="24"/>
          <w:szCs w:val="24"/>
        </w:rPr>
        <w:t xml:space="preserve">Division </w:t>
      </w:r>
      <w:r w:rsidRPr="00B42572">
        <w:rPr>
          <w:rFonts w:ascii="Arial" w:eastAsiaTheme="minorEastAsia" w:hAnsi="Arial" w:cs="Arial"/>
          <w:sz w:val="24"/>
          <w:szCs w:val="24"/>
          <w:lang w:eastAsia="en-ZA"/>
        </w:rPr>
        <w:t>of the High Court,</w:t>
      </w:r>
      <w:r w:rsidRPr="00B42572">
        <w:rPr>
          <w:rFonts w:ascii="Arial" w:eastAsiaTheme="majorEastAsia" w:hAnsi="Arial" w:cs="Arial"/>
          <w:sz w:val="24"/>
          <w:szCs w:val="24"/>
        </w:rPr>
        <w:t xml:space="preserve"> </w:t>
      </w:r>
      <w:bookmarkEnd w:id="4"/>
      <w:r w:rsidRPr="00B42572">
        <w:rPr>
          <w:rFonts w:ascii="Arial" w:eastAsiaTheme="majorEastAsia" w:hAnsi="Arial" w:cs="Arial"/>
          <w:sz w:val="24"/>
          <w:szCs w:val="24"/>
        </w:rPr>
        <w:t xml:space="preserve">Pretoria </w:t>
      </w:r>
      <w:r w:rsidRPr="00B42572">
        <w:rPr>
          <w:rFonts w:ascii="Arial" w:eastAsiaTheme="minorEastAsia" w:hAnsi="Arial" w:cs="Arial"/>
          <w:sz w:val="24"/>
          <w:szCs w:val="24"/>
          <w:lang w:eastAsia="en-ZA"/>
        </w:rPr>
        <w:t xml:space="preserve">(Louw J, sitting as a court of first instance): </w:t>
      </w:r>
      <w:bookmarkStart w:id="5" w:name="_Hlk116395877"/>
    </w:p>
    <w:p w14:paraId="0499C6AF" w14:textId="1A1C944D" w:rsidR="00D52E8F" w:rsidRDefault="00D52E8F" w:rsidP="009D7449">
      <w:pPr>
        <w:shd w:val="clear" w:color="auto" w:fill="FFFFFF"/>
        <w:spacing w:after="0" w:line="360" w:lineRule="auto"/>
        <w:jc w:val="both"/>
        <w:rPr>
          <w:rFonts w:ascii="Arial" w:hAnsi="Arial" w:cs="Arial"/>
          <w:sz w:val="24"/>
          <w:szCs w:val="24"/>
        </w:rPr>
      </w:pPr>
      <w:bookmarkStart w:id="6" w:name="_Hlk117677721"/>
      <w:bookmarkStart w:id="7" w:name="_Hlk117514591"/>
      <w:r>
        <w:rPr>
          <w:rFonts w:ascii="Arial" w:hAnsi="Arial" w:cs="Arial"/>
          <w:sz w:val="24"/>
          <w:szCs w:val="24"/>
        </w:rPr>
        <w:t>1   The appeal against the order of the high court upholding the first respondent’s counter-claim is dismissed with no order as to costs.</w:t>
      </w:r>
    </w:p>
    <w:p w14:paraId="37DEF55E" w14:textId="073F1530" w:rsidR="00D52E8F" w:rsidRPr="00D52E8F" w:rsidRDefault="004E4389" w:rsidP="009D7449">
      <w:pPr>
        <w:shd w:val="clear" w:color="auto" w:fill="FFFFFF"/>
        <w:spacing w:after="0" w:line="360" w:lineRule="auto"/>
        <w:jc w:val="both"/>
        <w:rPr>
          <w:rFonts w:ascii="Arial" w:hAnsi="Arial" w:cs="Arial"/>
          <w:sz w:val="24"/>
          <w:szCs w:val="24"/>
        </w:rPr>
      </w:pPr>
      <w:r>
        <w:rPr>
          <w:rFonts w:ascii="Arial" w:hAnsi="Arial" w:cs="Arial"/>
          <w:sz w:val="24"/>
          <w:szCs w:val="24"/>
        </w:rPr>
        <w:t xml:space="preserve">2   </w:t>
      </w:r>
      <w:r w:rsidR="00D52E8F">
        <w:rPr>
          <w:rFonts w:ascii="Arial" w:hAnsi="Arial" w:cs="Arial"/>
          <w:sz w:val="24"/>
          <w:szCs w:val="24"/>
        </w:rPr>
        <w:t>The appeal against the order of the high court dismissing the appellants’ claim based on passing-off is upheld with no order as to costs.</w:t>
      </w:r>
    </w:p>
    <w:p w14:paraId="62DB46AE" w14:textId="55721AD9" w:rsidR="007C1523" w:rsidRPr="004E4389" w:rsidRDefault="00D52E8F" w:rsidP="009D7449">
      <w:pPr>
        <w:shd w:val="clear" w:color="auto" w:fill="FFFFFF"/>
        <w:spacing w:after="0" w:line="360" w:lineRule="auto"/>
        <w:jc w:val="both"/>
        <w:rPr>
          <w:rFonts w:ascii="Arial" w:hAnsi="Arial" w:cs="Arial"/>
          <w:sz w:val="24"/>
          <w:szCs w:val="24"/>
        </w:rPr>
      </w:pPr>
      <w:r w:rsidRPr="00E81E81">
        <w:rPr>
          <w:rFonts w:ascii="Arial" w:hAnsi="Arial" w:cs="Arial"/>
          <w:sz w:val="24"/>
          <w:szCs w:val="24"/>
        </w:rPr>
        <w:t>3</w:t>
      </w:r>
      <w:r w:rsidR="004E4389">
        <w:rPr>
          <w:rFonts w:ascii="Arial" w:hAnsi="Arial" w:cs="Arial"/>
          <w:sz w:val="24"/>
          <w:szCs w:val="24"/>
        </w:rPr>
        <w:t xml:space="preserve">    </w:t>
      </w:r>
      <w:r w:rsidR="007C1523" w:rsidRPr="00E81E81">
        <w:rPr>
          <w:rFonts w:ascii="Arial" w:hAnsi="Arial" w:cs="Arial"/>
          <w:sz w:val="24"/>
          <w:szCs w:val="24"/>
        </w:rPr>
        <w:t xml:space="preserve">The order of the </w:t>
      </w:r>
      <w:r>
        <w:rPr>
          <w:rFonts w:ascii="Arial" w:hAnsi="Arial" w:cs="Arial"/>
          <w:sz w:val="24"/>
          <w:szCs w:val="24"/>
        </w:rPr>
        <w:t>h</w:t>
      </w:r>
      <w:r w:rsidR="00DB64BC" w:rsidRPr="00E81E81">
        <w:rPr>
          <w:rFonts w:ascii="Arial" w:hAnsi="Arial" w:cs="Arial"/>
          <w:sz w:val="24"/>
          <w:szCs w:val="24"/>
        </w:rPr>
        <w:t xml:space="preserve">igh </w:t>
      </w:r>
      <w:r>
        <w:rPr>
          <w:rFonts w:ascii="Arial" w:hAnsi="Arial" w:cs="Arial"/>
          <w:sz w:val="24"/>
          <w:szCs w:val="24"/>
        </w:rPr>
        <w:t>c</w:t>
      </w:r>
      <w:r w:rsidR="007C1523" w:rsidRPr="00E81E81">
        <w:rPr>
          <w:rFonts w:ascii="Arial" w:hAnsi="Arial" w:cs="Arial"/>
          <w:sz w:val="24"/>
          <w:szCs w:val="24"/>
        </w:rPr>
        <w:t>ourt</w:t>
      </w:r>
      <w:r>
        <w:rPr>
          <w:rFonts w:ascii="Arial" w:hAnsi="Arial" w:cs="Arial"/>
          <w:sz w:val="24"/>
          <w:szCs w:val="24"/>
        </w:rPr>
        <w:t xml:space="preserve"> </w:t>
      </w:r>
      <w:r w:rsidR="007C1523" w:rsidRPr="00E81E81">
        <w:rPr>
          <w:rFonts w:ascii="Arial" w:hAnsi="Arial" w:cs="Arial"/>
          <w:sz w:val="24"/>
          <w:szCs w:val="24"/>
        </w:rPr>
        <w:t>is set aside and replaced with the following order:</w:t>
      </w:r>
    </w:p>
    <w:p w14:paraId="1133726E" w14:textId="704448D3" w:rsidR="00AA180B" w:rsidRPr="007C1523" w:rsidRDefault="004E4389" w:rsidP="009D7449">
      <w:pPr>
        <w:shd w:val="clear" w:color="auto" w:fill="FFFFFF"/>
        <w:spacing w:after="0" w:line="360" w:lineRule="auto"/>
        <w:ind w:firstLine="283"/>
        <w:contextualSpacing/>
        <w:jc w:val="both"/>
        <w:rPr>
          <w:rFonts w:ascii="Arial" w:hAnsi="Arial" w:cs="Arial"/>
          <w:sz w:val="24"/>
          <w:szCs w:val="24"/>
        </w:rPr>
      </w:pPr>
      <w:r>
        <w:rPr>
          <w:rFonts w:ascii="Arial" w:hAnsi="Arial" w:cs="Arial"/>
          <w:sz w:val="24"/>
          <w:szCs w:val="24"/>
        </w:rPr>
        <w:t>‘1</w:t>
      </w:r>
      <w:r>
        <w:rPr>
          <w:rFonts w:ascii="Arial" w:hAnsi="Arial" w:cs="Arial"/>
          <w:sz w:val="24"/>
          <w:szCs w:val="24"/>
        </w:rPr>
        <w:tab/>
      </w:r>
      <w:r w:rsidR="00AA180B" w:rsidRPr="007C1523">
        <w:rPr>
          <w:rFonts w:ascii="Arial" w:hAnsi="Arial" w:cs="Arial"/>
          <w:sz w:val="24"/>
          <w:szCs w:val="24"/>
        </w:rPr>
        <w:t>The app</w:t>
      </w:r>
      <w:r w:rsidR="00A051C4" w:rsidRPr="0099088F">
        <w:rPr>
          <w:rFonts w:ascii="Arial" w:hAnsi="Arial" w:cs="Arial"/>
          <w:sz w:val="24"/>
          <w:szCs w:val="24"/>
        </w:rPr>
        <w:t>lic</w:t>
      </w:r>
      <w:r w:rsidR="00AA180B" w:rsidRPr="007C1523">
        <w:rPr>
          <w:rFonts w:ascii="Arial" w:hAnsi="Arial" w:cs="Arial"/>
          <w:sz w:val="24"/>
          <w:szCs w:val="24"/>
        </w:rPr>
        <w:t>ants’ application in respect of trade mark infringement is dismissed;</w:t>
      </w:r>
    </w:p>
    <w:p w14:paraId="7DB9AB0B" w14:textId="5E17AE46" w:rsidR="00AA180B" w:rsidRPr="007C1523" w:rsidRDefault="004E4389" w:rsidP="009D7449">
      <w:pPr>
        <w:shd w:val="clear" w:color="auto" w:fill="FFFFFF"/>
        <w:spacing w:after="0" w:line="360" w:lineRule="auto"/>
        <w:ind w:left="283"/>
        <w:contextualSpacing/>
        <w:jc w:val="both"/>
        <w:rPr>
          <w:rFonts w:ascii="Arial" w:hAnsi="Arial" w:cs="Arial"/>
          <w:sz w:val="24"/>
          <w:szCs w:val="24"/>
        </w:rPr>
      </w:pPr>
      <w:r>
        <w:rPr>
          <w:rFonts w:ascii="Arial" w:hAnsi="Arial" w:cs="Arial"/>
          <w:sz w:val="24"/>
          <w:szCs w:val="24"/>
        </w:rPr>
        <w:t>2</w:t>
      </w:r>
      <w:r>
        <w:rPr>
          <w:rFonts w:ascii="Arial" w:hAnsi="Arial" w:cs="Arial"/>
          <w:sz w:val="24"/>
          <w:szCs w:val="24"/>
        </w:rPr>
        <w:tab/>
      </w:r>
      <w:r w:rsidR="00AA180B" w:rsidRPr="007C1523">
        <w:rPr>
          <w:rFonts w:ascii="Arial" w:hAnsi="Arial" w:cs="Arial"/>
          <w:sz w:val="24"/>
          <w:szCs w:val="24"/>
        </w:rPr>
        <w:t>The respondent’s counter-application for the cancellation of the trade mark registered in the name of the first applicant, succeeds.</w:t>
      </w:r>
    </w:p>
    <w:p w14:paraId="56E3B0F7" w14:textId="4960D237" w:rsidR="00AA180B" w:rsidRPr="007C1523" w:rsidRDefault="004E4389" w:rsidP="009D7449">
      <w:pPr>
        <w:shd w:val="clear" w:color="auto" w:fill="FFFFFF"/>
        <w:spacing w:after="0" w:line="360" w:lineRule="auto"/>
        <w:ind w:left="283"/>
        <w:contextualSpacing/>
        <w:jc w:val="both"/>
        <w:rPr>
          <w:rFonts w:ascii="Arial" w:hAnsi="Arial" w:cs="Arial"/>
          <w:sz w:val="24"/>
          <w:szCs w:val="24"/>
        </w:rPr>
      </w:pPr>
      <w:r>
        <w:rPr>
          <w:rFonts w:ascii="Arial" w:hAnsi="Arial" w:cs="Arial"/>
          <w:sz w:val="24"/>
          <w:szCs w:val="24"/>
        </w:rPr>
        <w:t>3</w:t>
      </w:r>
      <w:r>
        <w:rPr>
          <w:rFonts w:ascii="Arial" w:hAnsi="Arial" w:cs="Arial"/>
          <w:sz w:val="24"/>
          <w:szCs w:val="24"/>
        </w:rPr>
        <w:tab/>
      </w:r>
      <w:r w:rsidR="009B1E78" w:rsidRPr="00A051C4">
        <w:rPr>
          <w:rFonts w:ascii="Arial" w:hAnsi="Arial" w:cs="Arial"/>
          <w:sz w:val="24"/>
          <w:szCs w:val="24"/>
        </w:rPr>
        <w:t>It is ordered that t</w:t>
      </w:r>
      <w:r w:rsidR="00AA180B" w:rsidRPr="007C1523">
        <w:rPr>
          <w:rFonts w:ascii="Arial" w:hAnsi="Arial" w:cs="Arial"/>
          <w:sz w:val="24"/>
          <w:szCs w:val="24"/>
        </w:rPr>
        <w:t xml:space="preserve">he South African trade mark no. 2015/25572 is to be cancelled in the Register of Trade </w:t>
      </w:r>
      <w:r w:rsidR="00C51E8B">
        <w:rPr>
          <w:rFonts w:ascii="Arial" w:hAnsi="Arial" w:cs="Arial"/>
          <w:sz w:val="24"/>
          <w:szCs w:val="24"/>
        </w:rPr>
        <w:t>M</w:t>
      </w:r>
      <w:r w:rsidR="00AA180B" w:rsidRPr="007C1523">
        <w:rPr>
          <w:rFonts w:ascii="Arial" w:hAnsi="Arial" w:cs="Arial"/>
          <w:sz w:val="24"/>
          <w:szCs w:val="24"/>
        </w:rPr>
        <w:t>arks;</w:t>
      </w:r>
    </w:p>
    <w:p w14:paraId="7808EA30" w14:textId="18DF725A" w:rsidR="00AA180B" w:rsidRPr="007C1523" w:rsidRDefault="00AA180B" w:rsidP="009D7449">
      <w:pPr>
        <w:shd w:val="clear" w:color="auto" w:fill="FFFFFF"/>
        <w:spacing w:after="0" w:line="360" w:lineRule="auto"/>
        <w:ind w:left="283"/>
        <w:contextualSpacing/>
        <w:jc w:val="both"/>
        <w:rPr>
          <w:rFonts w:ascii="Arial" w:hAnsi="Arial" w:cs="Arial"/>
          <w:sz w:val="24"/>
          <w:szCs w:val="24"/>
        </w:rPr>
      </w:pPr>
      <w:r w:rsidRPr="007C1523">
        <w:rPr>
          <w:rFonts w:ascii="Arial" w:hAnsi="Arial" w:cs="Arial"/>
          <w:sz w:val="24"/>
          <w:szCs w:val="24"/>
        </w:rPr>
        <w:t>4</w:t>
      </w:r>
      <w:r w:rsidR="004E4389">
        <w:rPr>
          <w:rFonts w:ascii="Arial" w:hAnsi="Arial" w:cs="Arial"/>
          <w:sz w:val="24"/>
          <w:szCs w:val="24"/>
        </w:rPr>
        <w:tab/>
      </w:r>
      <w:r w:rsidRPr="007C1523">
        <w:rPr>
          <w:rFonts w:ascii="Arial" w:hAnsi="Arial" w:cs="Arial"/>
          <w:sz w:val="24"/>
          <w:szCs w:val="24"/>
        </w:rPr>
        <w:t>The app</w:t>
      </w:r>
      <w:r w:rsidR="00A051C4" w:rsidRPr="0099088F">
        <w:rPr>
          <w:rFonts w:ascii="Arial" w:hAnsi="Arial" w:cs="Arial"/>
          <w:sz w:val="24"/>
          <w:szCs w:val="24"/>
        </w:rPr>
        <w:t>lic</w:t>
      </w:r>
      <w:r w:rsidRPr="007C1523">
        <w:rPr>
          <w:rFonts w:ascii="Arial" w:hAnsi="Arial" w:cs="Arial"/>
          <w:sz w:val="24"/>
          <w:szCs w:val="24"/>
        </w:rPr>
        <w:t xml:space="preserve">ants’ claim based on passing-off succeeds.   </w:t>
      </w:r>
    </w:p>
    <w:p w14:paraId="090D3A50" w14:textId="647F2E13" w:rsidR="00AA180B" w:rsidRPr="007C1523" w:rsidRDefault="00AA180B" w:rsidP="009D7449">
      <w:pPr>
        <w:shd w:val="clear" w:color="auto" w:fill="FFFFFF"/>
        <w:spacing w:after="0" w:line="360" w:lineRule="auto"/>
        <w:ind w:left="283"/>
        <w:contextualSpacing/>
        <w:jc w:val="both"/>
        <w:rPr>
          <w:rFonts w:ascii="Arial" w:hAnsi="Arial" w:cs="Arial"/>
          <w:sz w:val="24"/>
          <w:szCs w:val="24"/>
        </w:rPr>
      </w:pPr>
      <w:r w:rsidRPr="007C1523">
        <w:rPr>
          <w:rFonts w:ascii="Arial" w:hAnsi="Arial" w:cs="Arial"/>
          <w:sz w:val="24"/>
          <w:szCs w:val="24"/>
        </w:rPr>
        <w:t>5</w:t>
      </w:r>
      <w:r w:rsidR="004E4389">
        <w:rPr>
          <w:rFonts w:ascii="Arial" w:hAnsi="Arial" w:cs="Arial"/>
          <w:sz w:val="24"/>
          <w:szCs w:val="24"/>
        </w:rPr>
        <w:tab/>
      </w:r>
      <w:r w:rsidRPr="007C1523">
        <w:rPr>
          <w:rFonts w:ascii="Arial" w:hAnsi="Arial" w:cs="Arial"/>
          <w:sz w:val="24"/>
          <w:szCs w:val="24"/>
        </w:rPr>
        <w:t>The respondent is restrained and interdicted from passing off its water bottle as being the first applicant’s Eco bottle, and/or part of the Eco bottle range and/or as being connected with the first applicant’s Eco bottle by making use of its water bottle or any other</w:t>
      </w:r>
      <w:r w:rsidR="00695C6B">
        <w:rPr>
          <w:rFonts w:ascii="Arial" w:hAnsi="Arial" w:cs="Arial"/>
          <w:sz w:val="24"/>
          <w:szCs w:val="24"/>
        </w:rPr>
        <w:t xml:space="preserve"> </w:t>
      </w:r>
      <w:r w:rsidR="00695C6B" w:rsidRPr="00A051C4">
        <w:rPr>
          <w:rFonts w:ascii="Arial" w:hAnsi="Arial" w:cs="Arial"/>
          <w:sz w:val="24"/>
          <w:szCs w:val="24"/>
        </w:rPr>
        <w:t>bottle shape</w:t>
      </w:r>
      <w:r w:rsidRPr="007C1523">
        <w:rPr>
          <w:rFonts w:ascii="Arial" w:hAnsi="Arial" w:cs="Arial"/>
          <w:sz w:val="24"/>
          <w:szCs w:val="24"/>
        </w:rPr>
        <w:t xml:space="preserve"> confusingly similar to </w:t>
      </w:r>
      <w:r w:rsidR="005B5C85">
        <w:rPr>
          <w:rFonts w:ascii="Arial" w:hAnsi="Arial" w:cs="Arial"/>
          <w:sz w:val="24"/>
          <w:szCs w:val="24"/>
        </w:rPr>
        <w:t xml:space="preserve">the </w:t>
      </w:r>
      <w:r w:rsidRPr="007C1523">
        <w:rPr>
          <w:rFonts w:ascii="Arial" w:hAnsi="Arial" w:cs="Arial"/>
          <w:sz w:val="24"/>
          <w:szCs w:val="24"/>
        </w:rPr>
        <w:t>first applicant’s Eco bottle.</w:t>
      </w:r>
    </w:p>
    <w:p w14:paraId="5B82C0BD" w14:textId="672D83BF" w:rsidR="00AA180B" w:rsidRPr="007C1523" w:rsidRDefault="00AA180B" w:rsidP="009D7449">
      <w:pPr>
        <w:shd w:val="clear" w:color="auto" w:fill="FFFFFF"/>
        <w:spacing w:after="0" w:line="360" w:lineRule="auto"/>
        <w:ind w:left="283"/>
        <w:contextualSpacing/>
        <w:jc w:val="both"/>
        <w:rPr>
          <w:rFonts w:ascii="Arial" w:hAnsi="Arial" w:cs="Arial"/>
          <w:sz w:val="24"/>
          <w:szCs w:val="24"/>
        </w:rPr>
      </w:pPr>
      <w:r w:rsidRPr="007C1523">
        <w:rPr>
          <w:rFonts w:ascii="Arial" w:hAnsi="Arial" w:cs="Arial"/>
          <w:sz w:val="24"/>
          <w:szCs w:val="24"/>
        </w:rPr>
        <w:t>6</w:t>
      </w:r>
      <w:r w:rsidR="004E4389">
        <w:rPr>
          <w:rFonts w:ascii="Arial" w:hAnsi="Arial" w:cs="Arial"/>
          <w:sz w:val="24"/>
          <w:szCs w:val="24"/>
        </w:rPr>
        <w:tab/>
      </w:r>
      <w:r w:rsidRPr="007C1523">
        <w:rPr>
          <w:rFonts w:ascii="Arial" w:hAnsi="Arial" w:cs="Arial"/>
          <w:sz w:val="24"/>
          <w:szCs w:val="24"/>
        </w:rPr>
        <w:t>Each party shall pay its own costs.’</w:t>
      </w:r>
    </w:p>
    <w:bookmarkEnd w:id="5"/>
    <w:bookmarkEnd w:id="6"/>
    <w:bookmarkEnd w:id="7"/>
    <w:p w14:paraId="586E7A4D" w14:textId="083DA430" w:rsidR="00116EE8" w:rsidRDefault="00116EE8">
      <w:pPr>
        <w:rPr>
          <w:rFonts w:ascii="Arial" w:eastAsiaTheme="minorEastAsia" w:hAnsi="Arial" w:cs="Arial"/>
          <w:b/>
          <w:sz w:val="24"/>
          <w:szCs w:val="24"/>
          <w:lang w:eastAsia="en-ZA"/>
        </w:rPr>
      </w:pPr>
      <w:r>
        <w:rPr>
          <w:rFonts w:ascii="Arial" w:eastAsiaTheme="minorEastAsia" w:hAnsi="Arial" w:cs="Arial"/>
          <w:b/>
          <w:sz w:val="24"/>
          <w:szCs w:val="24"/>
          <w:lang w:eastAsia="en-ZA"/>
        </w:rPr>
        <w:br w:type="page"/>
      </w:r>
    </w:p>
    <w:p w14:paraId="17F28176" w14:textId="2270DF52" w:rsidR="00B36222" w:rsidRPr="00B42572" w:rsidRDefault="00B36222" w:rsidP="00B36222">
      <w:pPr>
        <w:widowControl w:val="0"/>
        <w:autoSpaceDE w:val="0"/>
        <w:autoSpaceDN w:val="0"/>
        <w:adjustRightInd w:val="0"/>
        <w:spacing w:before="240" w:after="120" w:line="240" w:lineRule="auto"/>
        <w:ind w:left="1440" w:hanging="1440"/>
        <w:jc w:val="center"/>
        <w:rPr>
          <w:rFonts w:ascii="Arial" w:eastAsiaTheme="minorEastAsia" w:hAnsi="Arial" w:cs="Arial"/>
          <w:b/>
          <w:sz w:val="24"/>
          <w:szCs w:val="24"/>
          <w:lang w:eastAsia="en-ZA"/>
        </w:rPr>
      </w:pPr>
      <w:r w:rsidRPr="00B42572">
        <w:rPr>
          <w:rFonts w:ascii="Arial" w:eastAsiaTheme="minorEastAsia" w:hAnsi="Arial" w:cs="Arial"/>
          <w:b/>
          <w:sz w:val="24"/>
          <w:szCs w:val="24"/>
          <w:lang w:eastAsia="en-ZA"/>
        </w:rPr>
        <w:lastRenderedPageBreak/>
        <w:t>_________________________________________________________________</w:t>
      </w:r>
      <w:r w:rsidR="004F4497">
        <w:rPr>
          <w:rFonts w:ascii="Arial" w:eastAsiaTheme="minorEastAsia" w:hAnsi="Arial" w:cs="Arial"/>
          <w:b/>
          <w:sz w:val="24"/>
          <w:szCs w:val="24"/>
          <w:lang w:eastAsia="en-ZA"/>
        </w:rPr>
        <w:t>__</w:t>
      </w:r>
    </w:p>
    <w:p w14:paraId="4D5D439D" w14:textId="77777777" w:rsidR="00B36222" w:rsidRPr="00B42572" w:rsidRDefault="00B36222" w:rsidP="00B36222">
      <w:pPr>
        <w:widowControl w:val="0"/>
        <w:autoSpaceDE w:val="0"/>
        <w:autoSpaceDN w:val="0"/>
        <w:adjustRightInd w:val="0"/>
        <w:spacing w:after="0" w:line="240" w:lineRule="auto"/>
        <w:jc w:val="center"/>
        <w:rPr>
          <w:rFonts w:ascii="Arial" w:eastAsiaTheme="minorEastAsia" w:hAnsi="Arial" w:cs="Arial"/>
          <w:b/>
          <w:sz w:val="24"/>
          <w:szCs w:val="24"/>
          <w:lang w:eastAsia="en-ZA"/>
        </w:rPr>
      </w:pPr>
    </w:p>
    <w:p w14:paraId="0DF7BD46" w14:textId="77777777" w:rsidR="00B36222" w:rsidRPr="00B42572" w:rsidRDefault="00B36222" w:rsidP="00B36222">
      <w:pPr>
        <w:widowControl w:val="0"/>
        <w:autoSpaceDE w:val="0"/>
        <w:autoSpaceDN w:val="0"/>
        <w:adjustRightInd w:val="0"/>
        <w:spacing w:after="120" w:line="240" w:lineRule="auto"/>
        <w:jc w:val="center"/>
        <w:rPr>
          <w:rFonts w:ascii="Arial" w:eastAsiaTheme="minorEastAsia" w:hAnsi="Arial" w:cs="Arial"/>
          <w:b/>
          <w:sz w:val="24"/>
          <w:szCs w:val="24"/>
          <w:lang w:eastAsia="en-ZA"/>
        </w:rPr>
      </w:pPr>
      <w:r w:rsidRPr="00B42572">
        <w:rPr>
          <w:rFonts w:ascii="Arial" w:eastAsiaTheme="minorEastAsia" w:hAnsi="Arial" w:cs="Arial"/>
          <w:b/>
          <w:sz w:val="24"/>
          <w:szCs w:val="24"/>
          <w:lang w:eastAsia="en-ZA"/>
        </w:rPr>
        <w:t>JUDGMENT</w:t>
      </w:r>
    </w:p>
    <w:p w14:paraId="7424D4BC" w14:textId="77777777" w:rsidR="00B36222" w:rsidRPr="00B42572" w:rsidRDefault="00B36222" w:rsidP="00B36222">
      <w:pPr>
        <w:widowControl w:val="0"/>
        <w:autoSpaceDE w:val="0"/>
        <w:autoSpaceDN w:val="0"/>
        <w:adjustRightInd w:val="0"/>
        <w:spacing w:after="120" w:line="240" w:lineRule="auto"/>
        <w:ind w:left="1440" w:hanging="1440"/>
        <w:jc w:val="center"/>
        <w:rPr>
          <w:rFonts w:ascii="Arial" w:eastAsiaTheme="minorEastAsia" w:hAnsi="Arial" w:cs="Arial"/>
          <w:sz w:val="24"/>
          <w:szCs w:val="24"/>
          <w:lang w:eastAsia="en-ZA"/>
        </w:rPr>
      </w:pPr>
      <w:r w:rsidRPr="00B42572">
        <w:rPr>
          <w:rFonts w:ascii="Arial" w:eastAsiaTheme="minorEastAsia" w:hAnsi="Arial" w:cs="Arial"/>
          <w:b/>
          <w:sz w:val="24"/>
          <w:szCs w:val="24"/>
          <w:lang w:eastAsia="en-ZA"/>
        </w:rPr>
        <w:t>___________________________________________________________________</w:t>
      </w:r>
    </w:p>
    <w:p w14:paraId="138C531B" w14:textId="3A315104" w:rsidR="005D2A2D" w:rsidRPr="00901965" w:rsidRDefault="00B36222" w:rsidP="00084BDE">
      <w:pPr>
        <w:widowControl w:val="0"/>
        <w:autoSpaceDE w:val="0"/>
        <w:autoSpaceDN w:val="0"/>
        <w:adjustRightInd w:val="0"/>
        <w:spacing w:before="240" w:after="0" w:line="360" w:lineRule="auto"/>
        <w:ind w:left="1440" w:hanging="1440"/>
        <w:jc w:val="both"/>
        <w:rPr>
          <w:rFonts w:ascii="Arial" w:eastAsiaTheme="minorEastAsia" w:hAnsi="Arial" w:cs="Arial"/>
          <w:b/>
          <w:sz w:val="24"/>
          <w:szCs w:val="24"/>
          <w:lang w:eastAsia="en-ZA"/>
        </w:rPr>
      </w:pPr>
      <w:r w:rsidRPr="005D2A2D">
        <w:rPr>
          <w:rFonts w:ascii="Arial" w:hAnsi="Arial" w:cs="Arial"/>
          <w:b/>
          <w:bCs/>
          <w:sz w:val="24"/>
          <w:szCs w:val="24"/>
        </w:rPr>
        <w:t xml:space="preserve">Makgoka </w:t>
      </w:r>
      <w:r w:rsidRPr="00901965">
        <w:rPr>
          <w:rFonts w:ascii="Arial" w:hAnsi="Arial" w:cs="Arial"/>
          <w:b/>
          <w:bCs/>
          <w:sz w:val="24"/>
          <w:szCs w:val="24"/>
        </w:rPr>
        <w:t>JA</w:t>
      </w:r>
      <w:r w:rsidR="005B5C85" w:rsidRPr="00901965">
        <w:rPr>
          <w:rFonts w:ascii="Arial" w:hAnsi="Arial" w:cs="Arial"/>
          <w:b/>
          <w:bCs/>
          <w:sz w:val="24"/>
          <w:szCs w:val="24"/>
        </w:rPr>
        <w:t xml:space="preserve"> (</w:t>
      </w:r>
      <w:r w:rsidR="00CF3127">
        <w:rPr>
          <w:rFonts w:ascii="Arial" w:eastAsiaTheme="minorEastAsia" w:hAnsi="Arial" w:cs="Arial"/>
          <w:b/>
          <w:sz w:val="24"/>
          <w:szCs w:val="24"/>
          <w:lang w:eastAsia="en-ZA"/>
        </w:rPr>
        <w:t>Dambuza</w:t>
      </w:r>
      <w:r w:rsidR="005D2A2D" w:rsidRPr="00901965">
        <w:rPr>
          <w:rFonts w:ascii="Arial" w:eastAsiaTheme="minorEastAsia" w:hAnsi="Arial" w:cs="Arial"/>
          <w:b/>
          <w:sz w:val="24"/>
          <w:szCs w:val="24"/>
          <w:lang w:eastAsia="en-ZA"/>
        </w:rPr>
        <w:t xml:space="preserve"> and Gorven </w:t>
      </w:r>
      <w:r w:rsidR="005D2A2D" w:rsidRPr="00901965">
        <w:rPr>
          <w:rFonts w:ascii="Arial" w:hAnsi="Arial" w:cs="Arial"/>
          <w:b/>
          <w:sz w:val="24"/>
          <w:szCs w:val="24"/>
        </w:rPr>
        <w:t xml:space="preserve">JJA and Goosen </w:t>
      </w:r>
      <w:r w:rsidR="005D2A2D" w:rsidRPr="00901965">
        <w:rPr>
          <w:rFonts w:ascii="Arial" w:eastAsiaTheme="minorEastAsia" w:hAnsi="Arial" w:cs="Arial"/>
          <w:b/>
          <w:sz w:val="24"/>
          <w:szCs w:val="24"/>
          <w:lang w:eastAsia="en-ZA"/>
        </w:rPr>
        <w:t>and Masipa AJJA</w:t>
      </w:r>
    </w:p>
    <w:p w14:paraId="0FC9AC0F" w14:textId="2A0CADA6" w:rsidR="00A41BAF" w:rsidRPr="00901965" w:rsidRDefault="005B5C85" w:rsidP="00084BDE">
      <w:pPr>
        <w:widowControl w:val="0"/>
        <w:autoSpaceDE w:val="0"/>
        <w:autoSpaceDN w:val="0"/>
        <w:adjustRightInd w:val="0"/>
        <w:spacing w:after="240" w:line="360" w:lineRule="auto"/>
        <w:ind w:left="1440" w:hanging="1440"/>
        <w:jc w:val="both"/>
        <w:rPr>
          <w:rFonts w:ascii="Arial" w:eastAsiaTheme="minorEastAsia" w:hAnsi="Arial" w:cs="Arial"/>
          <w:b/>
          <w:sz w:val="24"/>
          <w:szCs w:val="24"/>
          <w:lang w:eastAsia="en-ZA"/>
        </w:rPr>
      </w:pPr>
      <w:r w:rsidRPr="00901965">
        <w:rPr>
          <w:rFonts w:ascii="Arial" w:hAnsi="Arial" w:cs="Arial"/>
          <w:b/>
          <w:bCs/>
          <w:sz w:val="24"/>
          <w:szCs w:val="24"/>
        </w:rPr>
        <w:t>concurring</w:t>
      </w:r>
      <w:r w:rsidR="005D2A2D" w:rsidRPr="00901965">
        <w:rPr>
          <w:rFonts w:ascii="Arial" w:hAnsi="Arial" w:cs="Arial"/>
          <w:b/>
          <w:bCs/>
          <w:sz w:val="24"/>
          <w:szCs w:val="24"/>
        </w:rPr>
        <w:t>):</w:t>
      </w:r>
    </w:p>
    <w:p w14:paraId="13F4095C" w14:textId="7D765986" w:rsidR="00863B77" w:rsidRPr="00A051C4" w:rsidRDefault="006227FF" w:rsidP="006227FF">
      <w:pPr>
        <w:shd w:val="clear" w:color="auto" w:fill="FFFFFF"/>
        <w:spacing w:before="120" w:after="720" w:line="360" w:lineRule="auto"/>
        <w:contextualSpacing/>
        <w:jc w:val="both"/>
        <w:rPr>
          <w:rFonts w:ascii="Arial" w:hAnsi="Arial" w:cs="Arial"/>
          <w:strike/>
          <w:sz w:val="24"/>
          <w:szCs w:val="24"/>
        </w:rPr>
      </w:pPr>
      <w:r w:rsidRPr="00A051C4">
        <w:rPr>
          <w:rFonts w:ascii="Arial" w:hAnsi="Arial" w:cs="Arial"/>
          <w:snapToGrid w:val="0"/>
          <w:color w:val="000000"/>
          <w:w w:val="0"/>
          <w:sz w:val="24"/>
          <w:szCs w:val="24"/>
        </w:rPr>
        <w:t>[1]</w:t>
      </w:r>
      <w:r w:rsidRPr="00A051C4">
        <w:rPr>
          <w:rFonts w:ascii="Arial" w:hAnsi="Arial" w:cs="Arial"/>
          <w:snapToGrid w:val="0"/>
          <w:color w:val="000000"/>
          <w:w w:val="0"/>
          <w:sz w:val="24"/>
          <w:szCs w:val="24"/>
        </w:rPr>
        <w:tab/>
      </w:r>
      <w:r w:rsidR="006C0D9D" w:rsidRPr="004860B6">
        <w:rPr>
          <w:rFonts w:ascii="Arial" w:hAnsi="Arial" w:cs="Arial"/>
          <w:sz w:val="24"/>
          <w:szCs w:val="24"/>
        </w:rPr>
        <w:t>Th</w:t>
      </w:r>
      <w:r w:rsidR="006E3980">
        <w:rPr>
          <w:rFonts w:ascii="Arial" w:hAnsi="Arial" w:cs="Arial"/>
          <w:sz w:val="24"/>
          <w:szCs w:val="24"/>
        </w:rPr>
        <w:t>is is a trade mark</w:t>
      </w:r>
      <w:r w:rsidR="00863B77" w:rsidRPr="004860B6">
        <w:rPr>
          <w:rFonts w:ascii="Arial" w:hAnsi="Arial" w:cs="Arial"/>
          <w:sz w:val="24"/>
          <w:szCs w:val="24"/>
        </w:rPr>
        <w:t xml:space="preserve"> dispute </w:t>
      </w:r>
      <w:r w:rsidR="006C0D9D" w:rsidRPr="004860B6">
        <w:rPr>
          <w:rFonts w:ascii="Arial" w:hAnsi="Arial" w:cs="Arial"/>
          <w:sz w:val="24"/>
          <w:szCs w:val="24"/>
        </w:rPr>
        <w:t xml:space="preserve">about a </w:t>
      </w:r>
      <w:r w:rsidR="00FE529D" w:rsidRPr="004860B6">
        <w:rPr>
          <w:rFonts w:ascii="Arial" w:hAnsi="Arial" w:cs="Arial"/>
          <w:sz w:val="24"/>
          <w:szCs w:val="24"/>
        </w:rPr>
        <w:t xml:space="preserve">shape of a </w:t>
      </w:r>
      <w:r w:rsidR="006C0D9D" w:rsidRPr="004860B6">
        <w:rPr>
          <w:rFonts w:ascii="Arial" w:hAnsi="Arial" w:cs="Arial"/>
          <w:sz w:val="24"/>
          <w:szCs w:val="24"/>
        </w:rPr>
        <w:t>water bottle.</w:t>
      </w:r>
      <w:r w:rsidR="00C86076" w:rsidRPr="004860B6">
        <w:rPr>
          <w:rFonts w:ascii="Arial" w:hAnsi="Arial" w:cs="Arial"/>
          <w:sz w:val="24"/>
          <w:szCs w:val="24"/>
        </w:rPr>
        <w:t xml:space="preserve"> </w:t>
      </w:r>
      <w:r w:rsidR="00863B77" w:rsidRPr="004860B6">
        <w:rPr>
          <w:rFonts w:ascii="Arial" w:hAnsi="Arial" w:cs="Arial"/>
          <w:sz w:val="24"/>
          <w:szCs w:val="24"/>
        </w:rPr>
        <w:t>In the Gauteng Division of the High Court, Pretoria (the high court), the appellants sought to interdict the first respondent from infringing their registered trade mark for a water bottle</w:t>
      </w:r>
      <w:r w:rsidR="006E3980">
        <w:rPr>
          <w:rFonts w:ascii="Arial" w:hAnsi="Arial" w:cs="Arial"/>
          <w:sz w:val="24"/>
          <w:szCs w:val="24"/>
        </w:rPr>
        <w:t>. In turn</w:t>
      </w:r>
      <w:r w:rsidR="00863B77" w:rsidRPr="004860B6">
        <w:rPr>
          <w:rFonts w:ascii="Arial" w:hAnsi="Arial" w:cs="Arial"/>
          <w:sz w:val="24"/>
          <w:szCs w:val="24"/>
        </w:rPr>
        <w:t xml:space="preserve"> the first respondent, </w:t>
      </w:r>
      <w:r w:rsidR="006E3980">
        <w:rPr>
          <w:rFonts w:ascii="Arial" w:hAnsi="Arial" w:cs="Arial"/>
          <w:sz w:val="24"/>
          <w:szCs w:val="24"/>
        </w:rPr>
        <w:t xml:space="preserve">counter-applied for the cancellation of registration of the trade mark. </w:t>
      </w:r>
      <w:r w:rsidR="00863B77" w:rsidRPr="004860B6">
        <w:rPr>
          <w:rFonts w:ascii="Arial" w:hAnsi="Arial" w:cs="Arial"/>
          <w:sz w:val="24"/>
          <w:szCs w:val="24"/>
        </w:rPr>
        <w:t xml:space="preserve">The high court </w:t>
      </w:r>
      <w:r w:rsidR="006E3980">
        <w:rPr>
          <w:rFonts w:ascii="Arial" w:hAnsi="Arial" w:cs="Arial"/>
          <w:sz w:val="24"/>
          <w:szCs w:val="24"/>
        </w:rPr>
        <w:t xml:space="preserve">granted the first respondent’s counter-application and </w:t>
      </w:r>
      <w:r w:rsidR="00863B77" w:rsidRPr="004860B6">
        <w:rPr>
          <w:rFonts w:ascii="Arial" w:hAnsi="Arial" w:cs="Arial"/>
          <w:sz w:val="24"/>
          <w:szCs w:val="24"/>
        </w:rPr>
        <w:t xml:space="preserve">ordered the </w:t>
      </w:r>
      <w:r w:rsidR="006E3980">
        <w:rPr>
          <w:rFonts w:ascii="Arial" w:hAnsi="Arial" w:cs="Arial"/>
          <w:sz w:val="24"/>
          <w:szCs w:val="24"/>
        </w:rPr>
        <w:t xml:space="preserve">cancellation of the </w:t>
      </w:r>
      <w:r w:rsidR="00863B77" w:rsidRPr="004860B6">
        <w:rPr>
          <w:rFonts w:ascii="Arial" w:hAnsi="Arial" w:cs="Arial"/>
          <w:sz w:val="24"/>
          <w:szCs w:val="24"/>
        </w:rPr>
        <w:t>mark</w:t>
      </w:r>
      <w:r w:rsidR="006E3980">
        <w:rPr>
          <w:rFonts w:ascii="Arial" w:hAnsi="Arial" w:cs="Arial"/>
          <w:sz w:val="24"/>
          <w:szCs w:val="24"/>
        </w:rPr>
        <w:t>.</w:t>
      </w:r>
      <w:r w:rsidR="00863B77" w:rsidRPr="004860B6">
        <w:rPr>
          <w:rFonts w:ascii="Arial" w:hAnsi="Arial" w:cs="Arial"/>
          <w:sz w:val="24"/>
          <w:szCs w:val="24"/>
        </w:rPr>
        <w:t xml:space="preserve"> </w:t>
      </w:r>
      <w:r w:rsidR="006E3980">
        <w:rPr>
          <w:rFonts w:ascii="Arial" w:hAnsi="Arial" w:cs="Arial"/>
          <w:sz w:val="24"/>
          <w:szCs w:val="24"/>
        </w:rPr>
        <w:t>C</w:t>
      </w:r>
      <w:r w:rsidR="00863B77" w:rsidRPr="004860B6">
        <w:rPr>
          <w:rFonts w:ascii="Arial" w:hAnsi="Arial" w:cs="Arial"/>
          <w:sz w:val="24"/>
          <w:szCs w:val="24"/>
        </w:rPr>
        <w:t xml:space="preserve">onsequently, </w:t>
      </w:r>
      <w:r w:rsidR="00CB305C" w:rsidRPr="00A051C4">
        <w:rPr>
          <w:rFonts w:ascii="Arial" w:hAnsi="Arial" w:cs="Arial"/>
          <w:sz w:val="24"/>
          <w:szCs w:val="24"/>
        </w:rPr>
        <w:t xml:space="preserve">it </w:t>
      </w:r>
      <w:r w:rsidR="00863B77" w:rsidRPr="00A051C4">
        <w:rPr>
          <w:rFonts w:ascii="Arial" w:hAnsi="Arial" w:cs="Arial"/>
          <w:sz w:val="24"/>
          <w:szCs w:val="24"/>
        </w:rPr>
        <w:t>found it unnecessary to decide the infringement issue</w:t>
      </w:r>
      <w:r w:rsidR="006E3980" w:rsidRPr="00A051C4">
        <w:rPr>
          <w:rFonts w:ascii="Arial" w:hAnsi="Arial" w:cs="Arial"/>
          <w:sz w:val="24"/>
          <w:szCs w:val="24"/>
        </w:rPr>
        <w:t>. The high court also dismissed the appellants’ claim based on passing-off</w:t>
      </w:r>
      <w:r w:rsidR="00863B77" w:rsidRPr="00A051C4">
        <w:rPr>
          <w:rFonts w:ascii="Arial" w:hAnsi="Arial" w:cs="Arial"/>
          <w:sz w:val="24"/>
          <w:szCs w:val="24"/>
        </w:rPr>
        <w:t>. The appeal is with the leave of the high court.</w:t>
      </w:r>
    </w:p>
    <w:p w14:paraId="369518F5" w14:textId="77777777" w:rsidR="004A6818" w:rsidRPr="00A051C4" w:rsidRDefault="004A6818" w:rsidP="004A6818">
      <w:pPr>
        <w:shd w:val="clear" w:color="auto" w:fill="FFFFFF"/>
        <w:spacing w:before="120" w:after="720" w:line="360" w:lineRule="auto"/>
        <w:contextualSpacing/>
        <w:jc w:val="both"/>
        <w:rPr>
          <w:rFonts w:ascii="Arial" w:hAnsi="Arial" w:cs="Arial"/>
          <w:strike/>
          <w:sz w:val="24"/>
          <w:szCs w:val="24"/>
        </w:rPr>
      </w:pPr>
    </w:p>
    <w:p w14:paraId="0C1803F4" w14:textId="7F6915CD" w:rsidR="009E6B41" w:rsidRPr="00A051C4" w:rsidRDefault="006227FF" w:rsidP="006227FF">
      <w:pPr>
        <w:shd w:val="clear" w:color="auto" w:fill="FFFFFF"/>
        <w:spacing w:before="120" w:after="720" w:line="360" w:lineRule="auto"/>
        <w:contextualSpacing/>
        <w:jc w:val="both"/>
        <w:rPr>
          <w:rFonts w:ascii="Arial" w:hAnsi="Arial" w:cs="Arial"/>
          <w:strike/>
          <w:sz w:val="24"/>
          <w:szCs w:val="24"/>
        </w:rPr>
      </w:pPr>
      <w:r w:rsidRPr="00A051C4">
        <w:rPr>
          <w:rFonts w:ascii="Arial" w:hAnsi="Arial" w:cs="Arial"/>
          <w:snapToGrid w:val="0"/>
          <w:color w:val="000000"/>
          <w:w w:val="0"/>
          <w:sz w:val="24"/>
          <w:szCs w:val="24"/>
        </w:rPr>
        <w:t>[2]</w:t>
      </w:r>
      <w:r w:rsidRPr="00A051C4">
        <w:rPr>
          <w:rFonts w:ascii="Arial" w:hAnsi="Arial" w:cs="Arial"/>
          <w:snapToGrid w:val="0"/>
          <w:color w:val="000000"/>
          <w:w w:val="0"/>
          <w:sz w:val="24"/>
          <w:szCs w:val="24"/>
        </w:rPr>
        <w:tab/>
      </w:r>
      <w:r w:rsidR="00A41BAF" w:rsidRPr="00A051C4">
        <w:rPr>
          <w:rFonts w:ascii="Arial" w:hAnsi="Arial" w:cs="Arial"/>
          <w:sz w:val="24"/>
          <w:szCs w:val="24"/>
          <w:lang w:eastAsia="en-ZA"/>
        </w:rPr>
        <w:t>The first appellant, Dart Industries Inc</w:t>
      </w:r>
      <w:r w:rsidR="00863B77" w:rsidRPr="00A051C4">
        <w:rPr>
          <w:rFonts w:ascii="Arial" w:hAnsi="Arial" w:cs="Arial"/>
          <w:sz w:val="24"/>
          <w:szCs w:val="24"/>
          <w:lang w:eastAsia="en-ZA"/>
        </w:rPr>
        <w:t>orporated</w:t>
      </w:r>
      <w:r w:rsidR="0040224D" w:rsidRPr="00A051C4">
        <w:rPr>
          <w:rFonts w:ascii="Arial" w:hAnsi="Arial" w:cs="Arial"/>
          <w:sz w:val="24"/>
          <w:szCs w:val="24"/>
          <w:lang w:eastAsia="en-ZA"/>
        </w:rPr>
        <w:t>,</w:t>
      </w:r>
      <w:r w:rsidR="00A41BAF" w:rsidRPr="00A051C4">
        <w:rPr>
          <w:rFonts w:ascii="Arial" w:hAnsi="Arial" w:cs="Arial"/>
          <w:sz w:val="24"/>
          <w:szCs w:val="24"/>
          <w:lang w:eastAsia="en-ZA"/>
        </w:rPr>
        <w:t xml:space="preserve"> and the second appellant, </w:t>
      </w:r>
      <w:r w:rsidR="00A41BAF" w:rsidRPr="00A051C4">
        <w:rPr>
          <w:rFonts w:ascii="Arial" w:hAnsi="Arial" w:cs="Arial"/>
          <w:sz w:val="24"/>
          <w:szCs w:val="24"/>
        </w:rPr>
        <w:t xml:space="preserve">Tupperware Southern Africa (Pty) Ltd, </w:t>
      </w:r>
      <w:r w:rsidR="007737B3" w:rsidRPr="00A051C4">
        <w:rPr>
          <w:rFonts w:ascii="Arial" w:hAnsi="Arial" w:cs="Arial"/>
          <w:sz w:val="24"/>
          <w:szCs w:val="24"/>
        </w:rPr>
        <w:t>are part of the</w:t>
      </w:r>
      <w:r w:rsidR="006C0D9D" w:rsidRPr="00A051C4">
        <w:rPr>
          <w:rFonts w:ascii="Arial" w:hAnsi="Arial" w:cs="Arial"/>
          <w:sz w:val="24"/>
          <w:szCs w:val="24"/>
        </w:rPr>
        <w:t xml:space="preserve"> </w:t>
      </w:r>
      <w:r w:rsidR="007737B3" w:rsidRPr="00A051C4">
        <w:rPr>
          <w:rFonts w:ascii="Arial" w:hAnsi="Arial" w:cs="Arial"/>
          <w:sz w:val="24"/>
          <w:szCs w:val="24"/>
        </w:rPr>
        <w:t>Tupperware group of companies, with Tupperware Brands Corp</w:t>
      </w:r>
      <w:r w:rsidR="0099088F">
        <w:rPr>
          <w:rFonts w:ascii="Arial" w:hAnsi="Arial" w:cs="Arial"/>
          <w:sz w:val="24"/>
          <w:szCs w:val="24"/>
        </w:rPr>
        <w:t>o</w:t>
      </w:r>
      <w:r w:rsidR="007737B3" w:rsidRPr="00A051C4">
        <w:rPr>
          <w:rFonts w:ascii="Arial" w:hAnsi="Arial" w:cs="Arial"/>
          <w:sz w:val="24"/>
          <w:szCs w:val="24"/>
        </w:rPr>
        <w:t>ration</w:t>
      </w:r>
      <w:r w:rsidR="006C0D9D" w:rsidRPr="00A051C4">
        <w:rPr>
          <w:rFonts w:ascii="Arial" w:hAnsi="Arial" w:cs="Arial"/>
          <w:sz w:val="24"/>
          <w:szCs w:val="24"/>
        </w:rPr>
        <w:t>, a United States of America (USA) entity,</w:t>
      </w:r>
      <w:r w:rsidR="007737B3" w:rsidRPr="00A051C4">
        <w:rPr>
          <w:rFonts w:ascii="Arial" w:hAnsi="Arial" w:cs="Arial"/>
          <w:sz w:val="24"/>
          <w:szCs w:val="24"/>
        </w:rPr>
        <w:t xml:space="preserve"> as the ultimate holding company. </w:t>
      </w:r>
      <w:r w:rsidR="00863B77" w:rsidRPr="00A051C4">
        <w:rPr>
          <w:rFonts w:ascii="Arial" w:hAnsi="Arial" w:cs="Arial"/>
          <w:sz w:val="24"/>
          <w:szCs w:val="24"/>
        </w:rPr>
        <w:t xml:space="preserve">The first appellant </w:t>
      </w:r>
      <w:r w:rsidR="007737B3" w:rsidRPr="00A051C4">
        <w:rPr>
          <w:rFonts w:ascii="Arial" w:hAnsi="Arial" w:cs="Arial"/>
          <w:sz w:val="24"/>
          <w:szCs w:val="24"/>
        </w:rPr>
        <w:t>develops and manufactures a range of products which includes plastic preparation, storage, kitchen</w:t>
      </w:r>
      <w:r w:rsidR="000A0B59" w:rsidRPr="00A051C4">
        <w:rPr>
          <w:rFonts w:ascii="Arial" w:hAnsi="Arial" w:cs="Arial"/>
          <w:sz w:val="24"/>
          <w:szCs w:val="24"/>
        </w:rPr>
        <w:t>,</w:t>
      </w:r>
      <w:r w:rsidR="007737B3" w:rsidRPr="00A051C4">
        <w:rPr>
          <w:rFonts w:ascii="Arial" w:hAnsi="Arial" w:cs="Arial"/>
          <w:sz w:val="24"/>
          <w:szCs w:val="24"/>
        </w:rPr>
        <w:t xml:space="preserve"> and home serving products under the well-known trade mark, Tupperware. </w:t>
      </w:r>
      <w:r w:rsidR="00863B77" w:rsidRPr="00A051C4">
        <w:rPr>
          <w:rFonts w:ascii="Arial" w:hAnsi="Arial" w:cs="Arial"/>
          <w:sz w:val="24"/>
          <w:szCs w:val="24"/>
        </w:rPr>
        <w:t>The second appellant</w:t>
      </w:r>
      <w:r w:rsidR="006C0D9D" w:rsidRPr="00A051C4">
        <w:rPr>
          <w:rFonts w:ascii="Arial" w:hAnsi="Arial" w:cs="Arial"/>
          <w:sz w:val="24"/>
          <w:szCs w:val="24"/>
        </w:rPr>
        <w:t xml:space="preserve"> is its </w:t>
      </w:r>
      <w:r w:rsidR="007737B3" w:rsidRPr="00A051C4">
        <w:rPr>
          <w:rFonts w:ascii="Arial" w:hAnsi="Arial" w:cs="Arial"/>
          <w:sz w:val="24"/>
          <w:szCs w:val="24"/>
        </w:rPr>
        <w:t>South African representative</w:t>
      </w:r>
      <w:r w:rsidR="0040224D" w:rsidRPr="00A051C4">
        <w:rPr>
          <w:rFonts w:ascii="Arial" w:hAnsi="Arial" w:cs="Arial"/>
          <w:sz w:val="24"/>
          <w:szCs w:val="24"/>
        </w:rPr>
        <w:t xml:space="preserve"> </w:t>
      </w:r>
      <w:r w:rsidR="00963718" w:rsidRPr="00A051C4">
        <w:rPr>
          <w:rFonts w:ascii="Arial" w:hAnsi="Arial" w:cs="Arial"/>
          <w:sz w:val="24"/>
          <w:szCs w:val="24"/>
        </w:rPr>
        <w:t xml:space="preserve">and </w:t>
      </w:r>
      <w:r w:rsidR="007737B3" w:rsidRPr="00A051C4">
        <w:rPr>
          <w:rFonts w:ascii="Arial" w:hAnsi="Arial" w:cs="Arial"/>
          <w:sz w:val="24"/>
          <w:szCs w:val="24"/>
        </w:rPr>
        <w:t xml:space="preserve">the licensee of </w:t>
      </w:r>
      <w:r w:rsidR="00963718" w:rsidRPr="00A051C4">
        <w:rPr>
          <w:rFonts w:ascii="Arial" w:hAnsi="Arial" w:cs="Arial"/>
          <w:sz w:val="24"/>
          <w:szCs w:val="24"/>
        </w:rPr>
        <w:t>its</w:t>
      </w:r>
      <w:r w:rsidR="007737B3" w:rsidRPr="00A051C4">
        <w:rPr>
          <w:rFonts w:ascii="Arial" w:hAnsi="Arial" w:cs="Arial"/>
          <w:sz w:val="24"/>
          <w:szCs w:val="24"/>
        </w:rPr>
        <w:t xml:space="preserve"> intellectual property rights</w:t>
      </w:r>
      <w:r w:rsidR="00A27138" w:rsidRPr="00A051C4">
        <w:rPr>
          <w:rFonts w:ascii="Arial" w:hAnsi="Arial" w:cs="Arial"/>
          <w:sz w:val="24"/>
          <w:szCs w:val="24"/>
        </w:rPr>
        <w:t xml:space="preserve"> in this country</w:t>
      </w:r>
      <w:r w:rsidR="00963718" w:rsidRPr="00A051C4">
        <w:rPr>
          <w:rFonts w:ascii="Arial" w:hAnsi="Arial" w:cs="Arial"/>
          <w:sz w:val="24"/>
          <w:szCs w:val="24"/>
        </w:rPr>
        <w:t xml:space="preserve">. </w:t>
      </w:r>
      <w:r w:rsidR="007737B3" w:rsidRPr="00A051C4">
        <w:rPr>
          <w:rFonts w:ascii="Arial" w:hAnsi="Arial" w:cs="Arial"/>
          <w:sz w:val="24"/>
          <w:szCs w:val="24"/>
        </w:rPr>
        <w:t xml:space="preserve"> </w:t>
      </w:r>
      <w:r w:rsidR="00963718" w:rsidRPr="00A051C4">
        <w:rPr>
          <w:rFonts w:ascii="Arial" w:hAnsi="Arial" w:cs="Arial"/>
          <w:sz w:val="24"/>
          <w:szCs w:val="24"/>
        </w:rPr>
        <w:t xml:space="preserve">It also </w:t>
      </w:r>
      <w:r w:rsidR="007737B3" w:rsidRPr="00A051C4">
        <w:rPr>
          <w:rFonts w:ascii="Arial" w:hAnsi="Arial" w:cs="Arial"/>
          <w:sz w:val="24"/>
          <w:szCs w:val="24"/>
        </w:rPr>
        <w:t>manufactures and sells Tupperware products in South Africa</w:t>
      </w:r>
      <w:r w:rsidR="0040224D" w:rsidRPr="00A051C4">
        <w:rPr>
          <w:rFonts w:ascii="Arial" w:hAnsi="Arial" w:cs="Arial"/>
          <w:sz w:val="24"/>
          <w:szCs w:val="24"/>
        </w:rPr>
        <w:t>.</w:t>
      </w:r>
      <w:r w:rsidR="007737B3" w:rsidRPr="00A051C4">
        <w:rPr>
          <w:rFonts w:ascii="Arial" w:hAnsi="Arial" w:cs="Arial"/>
          <w:sz w:val="24"/>
          <w:szCs w:val="24"/>
        </w:rPr>
        <w:t xml:space="preserve"> </w:t>
      </w:r>
    </w:p>
    <w:p w14:paraId="105C60F7" w14:textId="77777777" w:rsidR="009E6B41" w:rsidRPr="00A051C4" w:rsidRDefault="009E6B41" w:rsidP="00E81E81">
      <w:pPr>
        <w:rPr>
          <w:rFonts w:ascii="Arial" w:hAnsi="Arial" w:cs="Arial"/>
          <w:sz w:val="24"/>
          <w:szCs w:val="24"/>
          <w:shd w:val="clear" w:color="auto" w:fill="FFFFFF"/>
        </w:rPr>
      </w:pPr>
    </w:p>
    <w:p w14:paraId="4CD5DD4A" w14:textId="27A85246" w:rsidR="004A6818" w:rsidRPr="00A051C4" w:rsidRDefault="006227FF" w:rsidP="006227FF">
      <w:pPr>
        <w:shd w:val="clear" w:color="auto" w:fill="FFFFFF"/>
        <w:spacing w:before="120" w:after="720" w:line="360" w:lineRule="auto"/>
        <w:contextualSpacing/>
        <w:jc w:val="both"/>
        <w:rPr>
          <w:rFonts w:ascii="Arial" w:hAnsi="Arial" w:cs="Arial"/>
          <w:sz w:val="24"/>
          <w:szCs w:val="24"/>
        </w:rPr>
      </w:pPr>
      <w:r w:rsidRPr="00A051C4">
        <w:rPr>
          <w:rFonts w:ascii="Arial" w:hAnsi="Arial" w:cs="Arial"/>
          <w:snapToGrid w:val="0"/>
          <w:color w:val="000000"/>
          <w:w w:val="0"/>
          <w:sz w:val="24"/>
          <w:szCs w:val="24"/>
        </w:rPr>
        <w:t>[3]</w:t>
      </w:r>
      <w:r w:rsidRPr="00A051C4">
        <w:rPr>
          <w:rFonts w:ascii="Arial" w:hAnsi="Arial" w:cs="Arial"/>
          <w:snapToGrid w:val="0"/>
          <w:color w:val="000000"/>
          <w:w w:val="0"/>
          <w:sz w:val="24"/>
          <w:szCs w:val="24"/>
        </w:rPr>
        <w:tab/>
      </w:r>
      <w:r w:rsidR="00863B77" w:rsidRPr="00A051C4">
        <w:rPr>
          <w:rFonts w:ascii="Arial" w:hAnsi="Arial" w:cs="Arial"/>
          <w:sz w:val="24"/>
          <w:szCs w:val="24"/>
          <w:shd w:val="clear" w:color="auto" w:fill="FFFFFF"/>
        </w:rPr>
        <w:t xml:space="preserve">The first appellant </w:t>
      </w:r>
      <w:r w:rsidR="00863B77" w:rsidRPr="00A051C4">
        <w:rPr>
          <w:rFonts w:ascii="Arial" w:hAnsi="Arial" w:cs="Arial"/>
          <w:sz w:val="24"/>
          <w:szCs w:val="24"/>
        </w:rPr>
        <w:t>is the registered proprietor of South African trade mark registration no 2015/25572 ECO BOTTLE in class 21, with t</w:t>
      </w:r>
      <w:r w:rsidR="00863B77" w:rsidRPr="00A051C4">
        <w:rPr>
          <w:rFonts w:ascii="Arial" w:hAnsi="Arial" w:cs="Arial"/>
          <w:sz w:val="24"/>
          <w:szCs w:val="24"/>
          <w:shd w:val="clear" w:color="auto" w:fill="FFFFFF"/>
        </w:rPr>
        <w:t xml:space="preserve">he effective date of the trade mark as </w:t>
      </w:r>
      <w:r w:rsidR="00863B77" w:rsidRPr="00A051C4">
        <w:rPr>
          <w:rFonts w:ascii="Arial" w:hAnsi="Arial" w:cs="Arial"/>
          <w:sz w:val="24"/>
          <w:szCs w:val="24"/>
        </w:rPr>
        <w:t>10 September 2015. The mark</w:t>
      </w:r>
      <w:r w:rsidR="00863B77" w:rsidRPr="00A051C4">
        <w:rPr>
          <w:rFonts w:ascii="Arial" w:hAnsi="Arial" w:cs="Arial"/>
          <w:sz w:val="24"/>
          <w:szCs w:val="24"/>
          <w:shd w:val="clear" w:color="auto" w:fill="FFFFFF"/>
        </w:rPr>
        <w:t xml:space="preserve"> is registered for</w:t>
      </w:r>
      <w:r w:rsidR="00863B77" w:rsidRPr="00A051C4">
        <w:rPr>
          <w:rFonts w:ascii="Arial" w:hAnsi="Arial" w:cs="Arial"/>
          <w:sz w:val="24"/>
          <w:szCs w:val="24"/>
        </w:rPr>
        <w:t xml:space="preserve"> ‘household containers; kitchen containers; water bottles sold empty; insulated bags and containers for domestic use; </w:t>
      </w:r>
      <w:r w:rsidR="007E4076" w:rsidRPr="00A051C4">
        <w:rPr>
          <w:rFonts w:ascii="Arial" w:hAnsi="Arial" w:cs="Arial"/>
          <w:sz w:val="24"/>
          <w:szCs w:val="24"/>
        </w:rPr>
        <w:t>beverage ware</w:t>
      </w:r>
      <w:r w:rsidR="00863B77" w:rsidRPr="00A051C4">
        <w:rPr>
          <w:rFonts w:ascii="Arial" w:hAnsi="Arial" w:cs="Arial"/>
          <w:sz w:val="24"/>
          <w:szCs w:val="24"/>
        </w:rPr>
        <w:t>; drinking vessels</w:t>
      </w:r>
      <w:r w:rsidR="00C74EE4" w:rsidRPr="00A051C4">
        <w:rPr>
          <w:rFonts w:ascii="Arial" w:hAnsi="Arial" w:cs="Arial"/>
          <w:sz w:val="24"/>
          <w:szCs w:val="24"/>
        </w:rPr>
        <w:t>.</w:t>
      </w:r>
      <w:r w:rsidR="00863B77" w:rsidRPr="00A051C4">
        <w:rPr>
          <w:rFonts w:ascii="Arial" w:hAnsi="Arial" w:cs="Arial"/>
          <w:sz w:val="24"/>
          <w:szCs w:val="24"/>
        </w:rPr>
        <w:t xml:space="preserve">’ </w:t>
      </w:r>
      <w:r w:rsidR="00695C6B" w:rsidRPr="00A051C4">
        <w:rPr>
          <w:rFonts w:ascii="Arial" w:hAnsi="Arial" w:cs="Arial"/>
          <w:sz w:val="24"/>
          <w:szCs w:val="24"/>
        </w:rPr>
        <w:t xml:space="preserve">It </w:t>
      </w:r>
      <w:r w:rsidR="00863B77" w:rsidRPr="00A051C4">
        <w:rPr>
          <w:rFonts w:ascii="Arial" w:hAnsi="Arial" w:cs="Arial"/>
          <w:sz w:val="24"/>
          <w:szCs w:val="24"/>
        </w:rPr>
        <w:t>is endorsed as consisting of ‘a container for goods’, and its representation in the trade marks register is as follows</w:t>
      </w:r>
      <w:r w:rsidR="00E548C7" w:rsidRPr="00A051C4">
        <w:rPr>
          <w:rFonts w:ascii="Arial" w:hAnsi="Arial" w:cs="Arial"/>
          <w:sz w:val="24"/>
          <w:szCs w:val="24"/>
        </w:rPr>
        <w:t>:</w:t>
      </w:r>
    </w:p>
    <w:p w14:paraId="3B55F243" w14:textId="26A8841D" w:rsidR="007F6D08" w:rsidRPr="00A051C4" w:rsidRDefault="00E548C7" w:rsidP="007F6D08">
      <w:pPr>
        <w:shd w:val="clear" w:color="auto" w:fill="FFFFFF"/>
        <w:spacing w:before="120" w:after="720" w:line="360" w:lineRule="auto"/>
        <w:contextualSpacing/>
        <w:jc w:val="both"/>
        <w:rPr>
          <w:rFonts w:ascii="Arial" w:hAnsi="Arial" w:cs="Arial"/>
          <w:strike/>
          <w:sz w:val="24"/>
          <w:szCs w:val="24"/>
        </w:rPr>
      </w:pPr>
      <w:r w:rsidRPr="00A051C4">
        <w:rPr>
          <w:noProof/>
          <w:lang w:eastAsia="en-ZA"/>
        </w:rPr>
        <w:lastRenderedPageBreak/>
        <w:drawing>
          <wp:inline distT="0" distB="0" distL="0" distR="0" wp14:anchorId="29E105A2" wp14:editId="38A1DB10">
            <wp:extent cx="5238750" cy="281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60202" cy="2830945"/>
                    </a:xfrm>
                    <a:prstGeom prst="rect">
                      <a:avLst/>
                    </a:prstGeom>
                  </pic:spPr>
                </pic:pic>
              </a:graphicData>
            </a:graphic>
          </wp:inline>
        </w:drawing>
      </w:r>
    </w:p>
    <w:p w14:paraId="303006E2" w14:textId="77777777" w:rsidR="00C74EE4" w:rsidRPr="00A051C4" w:rsidRDefault="00C74EE4" w:rsidP="007F6D08">
      <w:pPr>
        <w:shd w:val="clear" w:color="auto" w:fill="FFFFFF"/>
        <w:spacing w:before="120" w:after="720" w:line="360" w:lineRule="auto"/>
        <w:contextualSpacing/>
        <w:jc w:val="both"/>
        <w:rPr>
          <w:rFonts w:ascii="Arial" w:hAnsi="Arial" w:cs="Arial"/>
          <w:strike/>
          <w:sz w:val="24"/>
          <w:szCs w:val="24"/>
        </w:rPr>
      </w:pPr>
    </w:p>
    <w:p w14:paraId="6A0E4C12" w14:textId="131BAC29" w:rsidR="00E548C7" w:rsidRPr="004E4389" w:rsidRDefault="006227FF" w:rsidP="006227FF">
      <w:pPr>
        <w:shd w:val="clear" w:color="auto" w:fill="FFFFFF"/>
        <w:spacing w:before="120" w:after="720" w:line="360" w:lineRule="auto"/>
        <w:contextualSpacing/>
        <w:jc w:val="both"/>
        <w:rPr>
          <w:rFonts w:ascii="Arial" w:hAnsi="Arial" w:cs="Arial"/>
          <w:strike/>
          <w:sz w:val="24"/>
          <w:szCs w:val="24"/>
        </w:rPr>
      </w:pPr>
      <w:r w:rsidRPr="004E4389">
        <w:rPr>
          <w:rFonts w:ascii="Arial" w:hAnsi="Arial" w:cs="Arial"/>
          <w:snapToGrid w:val="0"/>
          <w:color w:val="000000"/>
          <w:w w:val="0"/>
          <w:sz w:val="24"/>
          <w:szCs w:val="24"/>
        </w:rPr>
        <w:t>[4]</w:t>
      </w:r>
      <w:r w:rsidRPr="004E4389">
        <w:rPr>
          <w:rFonts w:ascii="Arial" w:hAnsi="Arial" w:cs="Arial"/>
          <w:snapToGrid w:val="0"/>
          <w:color w:val="000000"/>
          <w:w w:val="0"/>
          <w:sz w:val="24"/>
          <w:szCs w:val="24"/>
        </w:rPr>
        <w:tab/>
      </w:r>
      <w:r w:rsidR="00E81E81" w:rsidRPr="00A051C4">
        <w:rPr>
          <w:rFonts w:ascii="Arial" w:hAnsi="Arial" w:cs="Arial"/>
          <w:sz w:val="24"/>
          <w:szCs w:val="24"/>
          <w:shd w:val="clear" w:color="auto" w:fill="FFFFFF"/>
        </w:rPr>
        <w:t xml:space="preserve">It is </w:t>
      </w:r>
      <w:r w:rsidR="00863B77" w:rsidRPr="00A051C4">
        <w:rPr>
          <w:rFonts w:ascii="Arial" w:hAnsi="Arial" w:cs="Arial"/>
          <w:sz w:val="24"/>
          <w:szCs w:val="24"/>
          <w:shd w:val="clear" w:color="auto" w:fill="FFFFFF"/>
        </w:rPr>
        <w:t>convenient to refer to the first and second appellants jointly as ‘</w:t>
      </w:r>
      <w:bookmarkStart w:id="8" w:name="_Hlk116645704"/>
      <w:r w:rsidR="00863B77" w:rsidRPr="00A051C4">
        <w:rPr>
          <w:rFonts w:ascii="Arial" w:hAnsi="Arial" w:cs="Arial"/>
          <w:sz w:val="24"/>
          <w:szCs w:val="24"/>
          <w:shd w:val="clear" w:color="auto" w:fill="FFFFFF"/>
        </w:rPr>
        <w:t>Tupperware</w:t>
      </w:r>
      <w:bookmarkEnd w:id="8"/>
      <w:r w:rsidR="00863B77" w:rsidRPr="00A051C4">
        <w:rPr>
          <w:rFonts w:ascii="Arial" w:hAnsi="Arial" w:cs="Arial"/>
          <w:sz w:val="24"/>
          <w:szCs w:val="24"/>
          <w:shd w:val="clear" w:color="auto" w:fill="FFFFFF"/>
        </w:rPr>
        <w:t>’.</w:t>
      </w:r>
      <w:r w:rsidR="00770E49" w:rsidRPr="00A051C4">
        <w:rPr>
          <w:rFonts w:ascii="Arial" w:hAnsi="Arial" w:cs="Arial"/>
          <w:sz w:val="24"/>
          <w:szCs w:val="24"/>
        </w:rPr>
        <w:t xml:space="preserve"> </w:t>
      </w:r>
      <w:bookmarkStart w:id="9" w:name="_Hlk116646126"/>
      <w:r w:rsidR="005B5C85" w:rsidRPr="002929D5">
        <w:rPr>
          <w:rFonts w:ascii="Arial" w:hAnsi="Arial" w:cs="Arial"/>
          <w:sz w:val="24"/>
          <w:szCs w:val="24"/>
        </w:rPr>
        <w:t>S</w:t>
      </w:r>
      <w:r w:rsidR="00A95E9E" w:rsidRPr="002929D5">
        <w:rPr>
          <w:rFonts w:ascii="Arial" w:hAnsi="Arial" w:cs="Arial"/>
          <w:sz w:val="24"/>
          <w:szCs w:val="24"/>
        </w:rPr>
        <w:t>ince 2011,</w:t>
      </w:r>
      <w:r w:rsidR="00A95E9E" w:rsidRPr="00A051C4">
        <w:rPr>
          <w:rFonts w:ascii="Arial" w:hAnsi="Arial" w:cs="Arial"/>
          <w:sz w:val="24"/>
          <w:szCs w:val="24"/>
        </w:rPr>
        <w:t xml:space="preserve"> </w:t>
      </w:r>
      <w:r w:rsidR="00770E49" w:rsidRPr="00A051C4">
        <w:rPr>
          <w:rFonts w:ascii="Arial" w:hAnsi="Arial" w:cs="Arial"/>
          <w:sz w:val="24"/>
          <w:szCs w:val="24"/>
        </w:rPr>
        <w:t>Tupperware</w:t>
      </w:r>
      <w:bookmarkEnd w:id="9"/>
      <w:r w:rsidR="00770E49" w:rsidRPr="00A051C4">
        <w:rPr>
          <w:rFonts w:ascii="Arial" w:hAnsi="Arial" w:cs="Arial"/>
          <w:sz w:val="24"/>
          <w:szCs w:val="24"/>
        </w:rPr>
        <w:t xml:space="preserve"> </w:t>
      </w:r>
      <w:r w:rsidR="00B16EF2" w:rsidRPr="007E4076">
        <w:rPr>
          <w:rFonts w:ascii="Arial" w:hAnsi="Arial" w:cs="Arial"/>
          <w:sz w:val="24"/>
          <w:szCs w:val="24"/>
        </w:rPr>
        <w:t>has been selling</w:t>
      </w:r>
      <w:r w:rsidR="00770E49" w:rsidRPr="00A051C4">
        <w:rPr>
          <w:rFonts w:ascii="Arial" w:hAnsi="Arial" w:cs="Arial"/>
          <w:sz w:val="24"/>
          <w:szCs w:val="24"/>
        </w:rPr>
        <w:t xml:space="preserve"> a plastic bottle that has the shape of the registered mark, and marketed as the ‘Eco bottle’</w:t>
      </w:r>
      <w:r w:rsidR="005B5C85">
        <w:rPr>
          <w:rFonts w:ascii="Arial" w:hAnsi="Arial" w:cs="Arial"/>
          <w:sz w:val="24"/>
          <w:szCs w:val="24"/>
        </w:rPr>
        <w:t xml:space="preserve">, in </w:t>
      </w:r>
      <w:r w:rsidR="005B5C85" w:rsidRPr="00A051C4">
        <w:rPr>
          <w:rFonts w:ascii="Arial" w:hAnsi="Arial" w:cs="Arial"/>
          <w:sz w:val="24"/>
          <w:szCs w:val="24"/>
        </w:rPr>
        <w:t>South Africa</w:t>
      </w:r>
      <w:r w:rsidR="005B5C85">
        <w:rPr>
          <w:rFonts w:ascii="Arial" w:hAnsi="Arial" w:cs="Arial"/>
          <w:sz w:val="24"/>
          <w:szCs w:val="24"/>
        </w:rPr>
        <w:t>.</w:t>
      </w:r>
      <w:r w:rsidR="005B5C85" w:rsidRPr="005B5C85">
        <w:rPr>
          <w:rFonts w:ascii="Arial" w:hAnsi="Arial" w:cs="Arial"/>
          <w:sz w:val="24"/>
          <w:szCs w:val="24"/>
        </w:rPr>
        <w:t xml:space="preserve"> In</w:t>
      </w:r>
      <w:r w:rsidR="005B5C85">
        <w:rPr>
          <w:rFonts w:ascii="Arial" w:hAnsi="Arial" w:cs="Arial"/>
          <w:strike/>
          <w:sz w:val="24"/>
          <w:szCs w:val="24"/>
        </w:rPr>
        <w:t xml:space="preserve"> </w:t>
      </w:r>
      <w:r w:rsidR="00915572" w:rsidRPr="005B5C85">
        <w:rPr>
          <w:rFonts w:ascii="Arial" w:hAnsi="Arial" w:cs="Arial"/>
          <w:sz w:val="24"/>
          <w:szCs w:val="24"/>
        </w:rPr>
        <w:t>2019,</w:t>
      </w:r>
      <w:r w:rsidR="0077420C" w:rsidRPr="005B5C85">
        <w:rPr>
          <w:rFonts w:ascii="Arial" w:hAnsi="Arial" w:cs="Arial"/>
          <w:sz w:val="24"/>
          <w:szCs w:val="24"/>
        </w:rPr>
        <w:t xml:space="preserve"> the first respondent, </w:t>
      </w:r>
      <w:r w:rsidR="0077420C" w:rsidRPr="005B5C85">
        <w:rPr>
          <w:rFonts w:ascii="Arial" w:eastAsiaTheme="minorEastAsia" w:hAnsi="Arial" w:cs="Arial"/>
          <w:bCs/>
          <w:sz w:val="24"/>
          <w:szCs w:val="24"/>
          <w:lang w:eastAsia="en-ZA"/>
        </w:rPr>
        <w:t xml:space="preserve">Botle </w:t>
      </w:r>
      <w:bookmarkStart w:id="10" w:name="_Hlk116922056"/>
      <w:r w:rsidR="0077420C" w:rsidRPr="005B5C85">
        <w:rPr>
          <w:rFonts w:ascii="Arial" w:eastAsiaTheme="minorEastAsia" w:hAnsi="Arial" w:cs="Arial"/>
          <w:bCs/>
          <w:sz w:val="24"/>
          <w:szCs w:val="24"/>
          <w:lang w:eastAsia="en-ZA"/>
        </w:rPr>
        <w:t xml:space="preserve">Buhle Brands </w:t>
      </w:r>
      <w:bookmarkEnd w:id="10"/>
      <w:r w:rsidR="0077420C" w:rsidRPr="005B5C85">
        <w:rPr>
          <w:rFonts w:ascii="Arial" w:eastAsiaTheme="minorEastAsia" w:hAnsi="Arial" w:cs="Arial"/>
          <w:bCs/>
          <w:sz w:val="24"/>
          <w:szCs w:val="24"/>
          <w:lang w:eastAsia="en-ZA"/>
        </w:rPr>
        <w:t>(Pty) Ltd</w:t>
      </w:r>
      <w:r w:rsidR="0077420C" w:rsidRPr="005B5C85">
        <w:rPr>
          <w:rFonts w:ascii="Arial" w:hAnsi="Arial" w:cs="Arial"/>
          <w:sz w:val="24"/>
          <w:szCs w:val="24"/>
        </w:rPr>
        <w:t xml:space="preserve"> (</w:t>
      </w:r>
      <w:bookmarkStart w:id="11" w:name="_Hlk117510597"/>
      <w:r w:rsidR="005C2914" w:rsidRPr="005B5C85">
        <w:rPr>
          <w:rFonts w:ascii="Arial" w:eastAsiaTheme="minorEastAsia" w:hAnsi="Arial" w:cs="Arial"/>
          <w:bCs/>
          <w:sz w:val="24"/>
          <w:szCs w:val="24"/>
          <w:lang w:eastAsia="en-ZA"/>
        </w:rPr>
        <w:t>Buhle Brands</w:t>
      </w:r>
      <w:bookmarkEnd w:id="11"/>
      <w:r w:rsidR="0077420C" w:rsidRPr="005B5C85">
        <w:rPr>
          <w:rFonts w:ascii="Arial" w:hAnsi="Arial" w:cs="Arial"/>
          <w:sz w:val="24"/>
          <w:szCs w:val="24"/>
        </w:rPr>
        <w:t>)</w:t>
      </w:r>
      <w:r w:rsidR="005C2914" w:rsidRPr="005B5C85">
        <w:rPr>
          <w:rFonts w:ascii="Arial" w:hAnsi="Arial" w:cs="Arial"/>
          <w:sz w:val="24"/>
          <w:szCs w:val="24"/>
        </w:rPr>
        <w:t>,</w:t>
      </w:r>
      <w:r w:rsidR="0077420C" w:rsidRPr="005B5C85">
        <w:rPr>
          <w:rFonts w:ascii="Arial" w:hAnsi="Arial" w:cs="Arial"/>
          <w:sz w:val="24"/>
          <w:szCs w:val="24"/>
        </w:rPr>
        <w:t xml:space="preserve"> a South African company that sells ‘homeware, cosmetics, toiletries, health and wellness, and fashion products,’ started to market and sell the allegedly infringing water bottle. </w:t>
      </w:r>
      <w:bookmarkStart w:id="12" w:name="_Hlk116647361"/>
      <w:r w:rsidR="00A369ED" w:rsidRPr="005B5C85">
        <w:rPr>
          <w:rFonts w:ascii="Arial" w:hAnsi="Arial" w:cs="Arial"/>
          <w:sz w:val="24"/>
          <w:szCs w:val="24"/>
        </w:rPr>
        <w:t xml:space="preserve">Here is the depiction of </w:t>
      </w:r>
      <w:r w:rsidR="00A95E9E" w:rsidRPr="005B5C85">
        <w:rPr>
          <w:rFonts w:ascii="Arial" w:hAnsi="Arial" w:cs="Arial"/>
          <w:sz w:val="24"/>
          <w:szCs w:val="24"/>
        </w:rPr>
        <w:t xml:space="preserve">Buhle Brands’ </w:t>
      </w:r>
      <w:r w:rsidR="00A369ED" w:rsidRPr="005B5C85">
        <w:rPr>
          <w:rFonts w:ascii="Arial" w:hAnsi="Arial" w:cs="Arial"/>
          <w:sz w:val="24"/>
          <w:szCs w:val="24"/>
        </w:rPr>
        <w:t xml:space="preserve">bottle: </w:t>
      </w:r>
    </w:p>
    <w:p w14:paraId="06604F97" w14:textId="77777777" w:rsidR="004E4389" w:rsidRPr="005B5C85" w:rsidRDefault="004E4389" w:rsidP="004E4389">
      <w:pPr>
        <w:shd w:val="clear" w:color="auto" w:fill="FFFFFF"/>
        <w:spacing w:before="120" w:after="720" w:line="360" w:lineRule="auto"/>
        <w:contextualSpacing/>
        <w:jc w:val="both"/>
        <w:rPr>
          <w:rFonts w:ascii="Arial" w:hAnsi="Arial" w:cs="Arial"/>
          <w:strike/>
          <w:sz w:val="24"/>
          <w:szCs w:val="24"/>
        </w:rPr>
      </w:pPr>
    </w:p>
    <w:p w14:paraId="41892E4C" w14:textId="7274D019" w:rsidR="00E548C7" w:rsidRPr="00A051C4" w:rsidRDefault="00F94185" w:rsidP="004E4389">
      <w:pPr>
        <w:shd w:val="clear" w:color="auto" w:fill="FFFFFF"/>
        <w:spacing w:before="120" w:after="720" w:line="360" w:lineRule="auto"/>
        <w:contextualSpacing/>
        <w:jc w:val="center"/>
        <w:rPr>
          <w:rFonts w:ascii="Arial" w:hAnsi="Arial" w:cs="Arial"/>
          <w:b/>
          <w:bCs/>
          <w:sz w:val="24"/>
          <w:szCs w:val="24"/>
        </w:rPr>
      </w:pPr>
      <w:r w:rsidRPr="00A051C4">
        <w:rPr>
          <w:noProof/>
          <w:lang w:eastAsia="en-ZA"/>
        </w:rPr>
        <w:drawing>
          <wp:inline distT="0" distB="0" distL="0" distR="0" wp14:anchorId="3603C5B7" wp14:editId="49C4CD81">
            <wp:extent cx="752475" cy="1866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1866900"/>
                    </a:xfrm>
                    <a:prstGeom prst="rect">
                      <a:avLst/>
                    </a:prstGeom>
                    <a:noFill/>
                    <a:ln>
                      <a:noFill/>
                    </a:ln>
                  </pic:spPr>
                </pic:pic>
              </a:graphicData>
            </a:graphic>
          </wp:inline>
        </w:drawing>
      </w:r>
    </w:p>
    <w:p w14:paraId="18028808" w14:textId="77777777" w:rsidR="00F94185" w:rsidRPr="00A051C4" w:rsidRDefault="00F94185" w:rsidP="00E81E81">
      <w:pPr>
        <w:shd w:val="clear" w:color="auto" w:fill="FFFFFF"/>
        <w:spacing w:before="120" w:after="720" w:line="360" w:lineRule="auto"/>
        <w:contextualSpacing/>
        <w:jc w:val="both"/>
        <w:rPr>
          <w:rFonts w:ascii="Arial" w:hAnsi="Arial" w:cs="Arial"/>
          <w:b/>
          <w:bCs/>
          <w:sz w:val="24"/>
          <w:szCs w:val="24"/>
        </w:rPr>
      </w:pPr>
    </w:p>
    <w:p w14:paraId="199D0999" w14:textId="4A026338" w:rsidR="00ED3F94" w:rsidRPr="00A051C4" w:rsidRDefault="006227FF" w:rsidP="006227FF">
      <w:pPr>
        <w:shd w:val="clear" w:color="auto" w:fill="FFFFFF"/>
        <w:spacing w:before="120" w:after="720" w:line="360" w:lineRule="auto"/>
        <w:contextualSpacing/>
        <w:jc w:val="both"/>
        <w:rPr>
          <w:rFonts w:ascii="Arial" w:hAnsi="Arial" w:cs="Arial"/>
          <w:strike/>
          <w:sz w:val="24"/>
          <w:szCs w:val="24"/>
        </w:rPr>
      </w:pPr>
      <w:r w:rsidRPr="00A051C4">
        <w:rPr>
          <w:rFonts w:ascii="Arial" w:hAnsi="Arial" w:cs="Arial"/>
          <w:snapToGrid w:val="0"/>
          <w:color w:val="000000"/>
          <w:w w:val="0"/>
          <w:sz w:val="24"/>
          <w:szCs w:val="24"/>
        </w:rPr>
        <w:t>[5]</w:t>
      </w:r>
      <w:r w:rsidRPr="00A051C4">
        <w:rPr>
          <w:rFonts w:ascii="Arial" w:hAnsi="Arial" w:cs="Arial"/>
          <w:snapToGrid w:val="0"/>
          <w:color w:val="000000"/>
          <w:w w:val="0"/>
          <w:sz w:val="24"/>
          <w:szCs w:val="24"/>
        </w:rPr>
        <w:tab/>
      </w:r>
      <w:r w:rsidR="00F11E21" w:rsidRPr="00A051C4">
        <w:rPr>
          <w:rFonts w:ascii="Arial" w:hAnsi="Arial" w:cs="Arial"/>
          <w:sz w:val="24"/>
          <w:szCs w:val="24"/>
        </w:rPr>
        <w:t>Tupperware</w:t>
      </w:r>
      <w:bookmarkEnd w:id="12"/>
      <w:r w:rsidR="00F11E21" w:rsidRPr="00A051C4">
        <w:rPr>
          <w:rFonts w:ascii="Arial" w:hAnsi="Arial" w:cs="Arial"/>
          <w:sz w:val="24"/>
          <w:szCs w:val="24"/>
        </w:rPr>
        <w:t xml:space="preserve"> </w:t>
      </w:r>
      <w:r w:rsidR="004F1990" w:rsidRPr="00A051C4">
        <w:rPr>
          <w:rFonts w:ascii="Arial" w:hAnsi="Arial" w:cs="Arial"/>
          <w:sz w:val="24"/>
          <w:szCs w:val="24"/>
        </w:rPr>
        <w:t>considered the</w:t>
      </w:r>
      <w:r w:rsidR="00414D11" w:rsidRPr="00A051C4">
        <w:rPr>
          <w:rFonts w:ascii="Arial" w:hAnsi="Arial" w:cs="Arial"/>
          <w:sz w:val="24"/>
          <w:szCs w:val="24"/>
        </w:rPr>
        <w:t xml:space="preserve"> </w:t>
      </w:r>
      <w:r w:rsidR="00915572" w:rsidRPr="00A051C4">
        <w:rPr>
          <w:rFonts w:ascii="Arial" w:eastAsiaTheme="minorEastAsia" w:hAnsi="Arial" w:cs="Arial"/>
          <w:bCs/>
          <w:sz w:val="24"/>
          <w:szCs w:val="24"/>
          <w:lang w:eastAsia="en-ZA"/>
        </w:rPr>
        <w:t>Buhle Brands</w:t>
      </w:r>
      <w:r w:rsidR="00E81E81" w:rsidRPr="00A051C4">
        <w:rPr>
          <w:rFonts w:ascii="Arial" w:eastAsiaTheme="minorEastAsia" w:hAnsi="Arial" w:cs="Arial"/>
          <w:bCs/>
          <w:sz w:val="24"/>
          <w:szCs w:val="24"/>
          <w:lang w:eastAsia="en-ZA"/>
        </w:rPr>
        <w:t>’</w:t>
      </w:r>
      <w:r w:rsidR="00915572" w:rsidRPr="00A051C4">
        <w:rPr>
          <w:rFonts w:ascii="Arial" w:hAnsi="Arial" w:cs="Arial"/>
          <w:sz w:val="24"/>
          <w:szCs w:val="24"/>
        </w:rPr>
        <w:t xml:space="preserve"> </w:t>
      </w:r>
      <w:r w:rsidR="00414D11" w:rsidRPr="00A051C4">
        <w:rPr>
          <w:rFonts w:ascii="Arial" w:hAnsi="Arial" w:cs="Arial"/>
          <w:sz w:val="24"/>
          <w:szCs w:val="24"/>
        </w:rPr>
        <w:t xml:space="preserve">bottle </w:t>
      </w:r>
      <w:r w:rsidR="004F1990" w:rsidRPr="00A051C4">
        <w:rPr>
          <w:rFonts w:ascii="Arial" w:hAnsi="Arial" w:cs="Arial"/>
          <w:sz w:val="24"/>
          <w:szCs w:val="24"/>
        </w:rPr>
        <w:t>to</w:t>
      </w:r>
      <w:r w:rsidR="00F11E21" w:rsidRPr="00A051C4">
        <w:rPr>
          <w:rFonts w:ascii="Arial" w:hAnsi="Arial" w:cs="Arial"/>
          <w:sz w:val="24"/>
          <w:szCs w:val="24"/>
        </w:rPr>
        <w:t xml:space="preserve"> </w:t>
      </w:r>
      <w:r w:rsidR="00915572" w:rsidRPr="00A051C4">
        <w:rPr>
          <w:rFonts w:ascii="Arial" w:hAnsi="Arial" w:cs="Arial"/>
          <w:sz w:val="24"/>
          <w:szCs w:val="24"/>
        </w:rPr>
        <w:t>infringe</w:t>
      </w:r>
      <w:r w:rsidR="00414D11" w:rsidRPr="00A051C4">
        <w:rPr>
          <w:rFonts w:ascii="Arial" w:hAnsi="Arial" w:cs="Arial"/>
          <w:sz w:val="24"/>
          <w:szCs w:val="24"/>
        </w:rPr>
        <w:t xml:space="preserve"> its registered trade mark. Accordingly, it applied to the </w:t>
      </w:r>
      <w:r w:rsidR="0077420C" w:rsidRPr="00A051C4">
        <w:rPr>
          <w:rFonts w:ascii="Arial" w:hAnsi="Arial" w:cs="Arial"/>
          <w:sz w:val="24"/>
          <w:szCs w:val="24"/>
        </w:rPr>
        <w:t>h</w:t>
      </w:r>
      <w:r w:rsidR="00414D11" w:rsidRPr="00A051C4">
        <w:rPr>
          <w:rFonts w:ascii="Arial" w:hAnsi="Arial" w:cs="Arial"/>
          <w:sz w:val="24"/>
          <w:szCs w:val="24"/>
        </w:rPr>
        <w:t xml:space="preserve">igh </w:t>
      </w:r>
      <w:r w:rsidR="0077420C" w:rsidRPr="00A051C4">
        <w:rPr>
          <w:rFonts w:ascii="Arial" w:hAnsi="Arial" w:cs="Arial"/>
          <w:sz w:val="24"/>
          <w:szCs w:val="24"/>
        </w:rPr>
        <w:t>c</w:t>
      </w:r>
      <w:r w:rsidR="00414D11" w:rsidRPr="00A051C4">
        <w:rPr>
          <w:rFonts w:ascii="Arial" w:hAnsi="Arial" w:cs="Arial"/>
          <w:sz w:val="24"/>
          <w:szCs w:val="24"/>
        </w:rPr>
        <w:t>ourt</w:t>
      </w:r>
      <w:r w:rsidR="0077420C" w:rsidRPr="00A051C4">
        <w:rPr>
          <w:rFonts w:ascii="Arial" w:hAnsi="Arial" w:cs="Arial"/>
          <w:sz w:val="24"/>
          <w:szCs w:val="24"/>
        </w:rPr>
        <w:t xml:space="preserve"> </w:t>
      </w:r>
      <w:r w:rsidR="00A95EF9" w:rsidRPr="00A051C4">
        <w:rPr>
          <w:rFonts w:ascii="Arial" w:hAnsi="Arial" w:cs="Arial"/>
          <w:sz w:val="24"/>
          <w:szCs w:val="24"/>
        </w:rPr>
        <w:t xml:space="preserve">seeking </w:t>
      </w:r>
      <w:r w:rsidR="00414D11" w:rsidRPr="00A051C4">
        <w:rPr>
          <w:rFonts w:ascii="Arial" w:hAnsi="Arial" w:cs="Arial"/>
          <w:sz w:val="24"/>
          <w:szCs w:val="24"/>
        </w:rPr>
        <w:t xml:space="preserve">to restrain </w:t>
      </w:r>
      <w:r w:rsidR="00915572" w:rsidRPr="00A051C4">
        <w:rPr>
          <w:rFonts w:ascii="Arial" w:eastAsiaTheme="minorEastAsia" w:hAnsi="Arial" w:cs="Arial"/>
          <w:bCs/>
          <w:sz w:val="24"/>
          <w:szCs w:val="24"/>
          <w:lang w:eastAsia="en-ZA"/>
        </w:rPr>
        <w:t>Buhle Brands</w:t>
      </w:r>
      <w:r w:rsidR="00915572" w:rsidRPr="00A051C4">
        <w:rPr>
          <w:rFonts w:ascii="Arial" w:hAnsi="Arial" w:cs="Arial"/>
          <w:sz w:val="24"/>
          <w:szCs w:val="24"/>
        </w:rPr>
        <w:t xml:space="preserve"> </w:t>
      </w:r>
      <w:r w:rsidR="00414D11" w:rsidRPr="00A051C4">
        <w:rPr>
          <w:rFonts w:ascii="Arial" w:hAnsi="Arial" w:cs="Arial"/>
          <w:sz w:val="24"/>
          <w:szCs w:val="24"/>
        </w:rPr>
        <w:t>from infringing its registered mark</w:t>
      </w:r>
      <w:r w:rsidR="00CF1A85" w:rsidRPr="00A051C4">
        <w:rPr>
          <w:rFonts w:ascii="Arial" w:hAnsi="Arial" w:cs="Arial"/>
          <w:sz w:val="24"/>
          <w:szCs w:val="24"/>
        </w:rPr>
        <w:t xml:space="preserve"> in terms of ss 34(1)(</w:t>
      </w:r>
      <w:r w:rsidR="00CF1A85" w:rsidRPr="00A051C4">
        <w:rPr>
          <w:rFonts w:ascii="Arial" w:hAnsi="Arial" w:cs="Arial"/>
          <w:i/>
          <w:iCs/>
          <w:sz w:val="24"/>
          <w:szCs w:val="24"/>
        </w:rPr>
        <w:t>a</w:t>
      </w:r>
      <w:r w:rsidR="00CF1A85" w:rsidRPr="00A051C4">
        <w:rPr>
          <w:rFonts w:ascii="Arial" w:hAnsi="Arial" w:cs="Arial"/>
          <w:sz w:val="24"/>
          <w:szCs w:val="24"/>
        </w:rPr>
        <w:t>) and 34(1)(</w:t>
      </w:r>
      <w:r w:rsidR="00CF1A85" w:rsidRPr="00A051C4">
        <w:rPr>
          <w:rFonts w:ascii="Arial" w:hAnsi="Arial" w:cs="Arial"/>
          <w:i/>
          <w:iCs/>
          <w:sz w:val="24"/>
          <w:szCs w:val="24"/>
        </w:rPr>
        <w:t>c</w:t>
      </w:r>
      <w:r w:rsidR="00CF1A85" w:rsidRPr="00A051C4">
        <w:rPr>
          <w:rFonts w:ascii="Arial" w:hAnsi="Arial" w:cs="Arial"/>
          <w:sz w:val="24"/>
          <w:szCs w:val="24"/>
        </w:rPr>
        <w:t>) of the Trade Mark Act 194 of 1993 (the Act)</w:t>
      </w:r>
      <w:r w:rsidR="00ED3F94" w:rsidRPr="00A051C4">
        <w:rPr>
          <w:rFonts w:ascii="Arial" w:hAnsi="Arial" w:cs="Arial"/>
          <w:sz w:val="24"/>
          <w:szCs w:val="24"/>
        </w:rPr>
        <w:t>.</w:t>
      </w:r>
      <w:r w:rsidR="00414D11" w:rsidRPr="00A051C4">
        <w:rPr>
          <w:rFonts w:ascii="Arial" w:hAnsi="Arial" w:cs="Arial"/>
          <w:sz w:val="24"/>
          <w:szCs w:val="24"/>
        </w:rPr>
        <w:t xml:space="preserve"> In </w:t>
      </w:r>
      <w:r w:rsidR="0077420C" w:rsidRPr="00A051C4">
        <w:rPr>
          <w:rFonts w:ascii="Arial" w:hAnsi="Arial" w:cs="Arial"/>
          <w:sz w:val="24"/>
          <w:szCs w:val="24"/>
        </w:rPr>
        <w:t>addition,</w:t>
      </w:r>
      <w:r w:rsidR="00414D11" w:rsidRPr="00A051C4">
        <w:rPr>
          <w:rFonts w:ascii="Arial" w:hAnsi="Arial" w:cs="Arial"/>
          <w:sz w:val="24"/>
          <w:szCs w:val="24"/>
        </w:rPr>
        <w:t xml:space="preserve"> </w:t>
      </w:r>
      <w:r w:rsidR="00ED3F94" w:rsidRPr="00A051C4">
        <w:rPr>
          <w:rFonts w:ascii="Arial" w:hAnsi="Arial" w:cs="Arial"/>
          <w:sz w:val="24"/>
          <w:szCs w:val="24"/>
        </w:rPr>
        <w:t>Tupperware</w:t>
      </w:r>
      <w:r w:rsidR="00414D11" w:rsidRPr="00A051C4">
        <w:rPr>
          <w:rFonts w:ascii="Arial" w:hAnsi="Arial" w:cs="Arial"/>
          <w:sz w:val="24"/>
          <w:szCs w:val="24"/>
        </w:rPr>
        <w:t xml:space="preserve"> sought</w:t>
      </w:r>
      <w:r w:rsidR="0077420C" w:rsidRPr="00A051C4">
        <w:rPr>
          <w:rFonts w:ascii="Arial" w:hAnsi="Arial" w:cs="Arial"/>
          <w:sz w:val="24"/>
          <w:szCs w:val="24"/>
        </w:rPr>
        <w:t xml:space="preserve"> a restraining</w:t>
      </w:r>
      <w:r w:rsidR="00414D11" w:rsidRPr="00A051C4">
        <w:rPr>
          <w:rFonts w:ascii="Arial" w:hAnsi="Arial" w:cs="Arial"/>
          <w:sz w:val="24"/>
          <w:szCs w:val="24"/>
        </w:rPr>
        <w:t xml:space="preserve"> order</w:t>
      </w:r>
      <w:r w:rsidR="00D15074" w:rsidRPr="00A051C4">
        <w:rPr>
          <w:rFonts w:ascii="Arial" w:hAnsi="Arial" w:cs="Arial"/>
          <w:sz w:val="24"/>
          <w:szCs w:val="24"/>
        </w:rPr>
        <w:t xml:space="preserve"> based on passing</w:t>
      </w:r>
      <w:r w:rsidR="00ED3F94" w:rsidRPr="00A051C4">
        <w:rPr>
          <w:rFonts w:ascii="Arial" w:hAnsi="Arial" w:cs="Arial"/>
          <w:sz w:val="24"/>
          <w:szCs w:val="24"/>
        </w:rPr>
        <w:t xml:space="preserve"> off</w:t>
      </w:r>
      <w:r w:rsidR="00414D11" w:rsidRPr="00A051C4">
        <w:rPr>
          <w:rFonts w:ascii="Arial" w:hAnsi="Arial" w:cs="Arial"/>
          <w:sz w:val="24"/>
          <w:szCs w:val="24"/>
        </w:rPr>
        <w:t>.</w:t>
      </w:r>
      <w:r w:rsidR="004F1990" w:rsidRPr="00A051C4">
        <w:rPr>
          <w:rFonts w:ascii="Arial" w:hAnsi="Arial" w:cs="Arial"/>
          <w:sz w:val="24"/>
          <w:szCs w:val="24"/>
        </w:rPr>
        <w:t xml:space="preserve"> </w:t>
      </w:r>
      <w:r w:rsidR="00930B43" w:rsidRPr="00A051C4">
        <w:rPr>
          <w:rFonts w:ascii="Arial" w:eastAsia="Liberation Mono" w:hAnsi="Arial" w:cs="Arial"/>
          <w:sz w:val="24"/>
          <w:szCs w:val="24"/>
          <w:lang w:val="en-US" w:eastAsia="zh-CN" w:bidi="hi-IN"/>
        </w:rPr>
        <w:t xml:space="preserve">In response, </w:t>
      </w:r>
      <w:bookmarkStart w:id="13" w:name="_Hlk117510735"/>
      <w:r w:rsidR="005C2914" w:rsidRPr="00A051C4">
        <w:rPr>
          <w:rFonts w:ascii="Arial" w:eastAsiaTheme="minorEastAsia" w:hAnsi="Arial" w:cs="Arial"/>
          <w:bCs/>
          <w:sz w:val="24"/>
          <w:szCs w:val="24"/>
          <w:lang w:eastAsia="en-ZA"/>
        </w:rPr>
        <w:t>Buhle Brands</w:t>
      </w:r>
      <w:r w:rsidR="005C2914" w:rsidRPr="00A051C4">
        <w:rPr>
          <w:rFonts w:ascii="Arial" w:eastAsiaTheme="minorEastAsia" w:hAnsi="Arial" w:cs="Arial"/>
          <w:bCs/>
          <w:i/>
          <w:iCs/>
          <w:sz w:val="24"/>
          <w:szCs w:val="24"/>
          <w:lang w:eastAsia="en-ZA"/>
        </w:rPr>
        <w:t xml:space="preserve"> </w:t>
      </w:r>
      <w:bookmarkEnd w:id="13"/>
      <w:r w:rsidR="00930B43" w:rsidRPr="00A051C4">
        <w:rPr>
          <w:rFonts w:ascii="Arial" w:eastAsia="Liberation Mono" w:hAnsi="Arial" w:cs="Arial"/>
          <w:sz w:val="24"/>
          <w:szCs w:val="24"/>
          <w:lang w:val="en-US" w:eastAsia="zh-CN" w:bidi="hi-IN"/>
        </w:rPr>
        <w:t>launched a counter</w:t>
      </w:r>
      <w:r w:rsidR="00F40A0B" w:rsidRPr="00A051C4">
        <w:rPr>
          <w:rFonts w:ascii="Arial" w:eastAsia="Liberation Mono" w:hAnsi="Arial" w:cs="Arial"/>
          <w:sz w:val="24"/>
          <w:szCs w:val="24"/>
          <w:lang w:val="en-US" w:eastAsia="zh-CN" w:bidi="hi-IN"/>
        </w:rPr>
        <w:t>-</w:t>
      </w:r>
      <w:r w:rsidR="00930B43" w:rsidRPr="00A051C4">
        <w:rPr>
          <w:rFonts w:ascii="Arial" w:eastAsia="Liberation Mono" w:hAnsi="Arial" w:cs="Arial"/>
          <w:sz w:val="24"/>
          <w:szCs w:val="24"/>
          <w:lang w:val="en-US" w:eastAsia="zh-CN" w:bidi="hi-IN"/>
        </w:rPr>
        <w:t xml:space="preserve">application for the </w:t>
      </w:r>
      <w:r w:rsidR="00ED3F94" w:rsidRPr="00A051C4">
        <w:rPr>
          <w:rFonts w:ascii="Arial" w:eastAsia="Liberation Mono" w:hAnsi="Arial" w:cs="Arial"/>
          <w:sz w:val="24"/>
          <w:szCs w:val="24"/>
          <w:lang w:val="en-US" w:eastAsia="zh-CN" w:bidi="hi-IN"/>
        </w:rPr>
        <w:lastRenderedPageBreak/>
        <w:t xml:space="preserve">removal </w:t>
      </w:r>
      <w:r w:rsidR="00930B43" w:rsidRPr="00A051C4">
        <w:rPr>
          <w:rFonts w:ascii="Arial" w:eastAsia="Liberation Mono" w:hAnsi="Arial" w:cs="Arial"/>
          <w:sz w:val="24"/>
          <w:szCs w:val="24"/>
          <w:lang w:val="en-US" w:eastAsia="zh-CN" w:bidi="hi-IN"/>
        </w:rPr>
        <w:t xml:space="preserve">of </w:t>
      </w:r>
      <w:r w:rsidR="00ED3F94" w:rsidRPr="00A051C4">
        <w:rPr>
          <w:rFonts w:ascii="Arial" w:eastAsia="Liberation Mono" w:hAnsi="Arial" w:cs="Arial"/>
          <w:sz w:val="24"/>
          <w:szCs w:val="24"/>
          <w:lang w:val="en-US" w:eastAsia="zh-CN" w:bidi="hi-IN"/>
        </w:rPr>
        <w:t xml:space="preserve">Tupperware’s </w:t>
      </w:r>
      <w:r w:rsidR="00930B43" w:rsidRPr="00A051C4">
        <w:rPr>
          <w:rFonts w:ascii="Arial" w:eastAsia="Liberation Mono" w:hAnsi="Arial" w:cs="Arial"/>
          <w:sz w:val="24"/>
          <w:szCs w:val="24"/>
          <w:lang w:val="en-US" w:eastAsia="zh-CN" w:bidi="hi-IN"/>
        </w:rPr>
        <w:t xml:space="preserve">trade mark registration </w:t>
      </w:r>
      <w:r w:rsidR="00631C82" w:rsidRPr="00A051C4">
        <w:rPr>
          <w:rFonts w:ascii="Arial" w:eastAsia="Liberation Mono" w:hAnsi="Arial" w:cs="Arial"/>
          <w:sz w:val="24"/>
          <w:szCs w:val="24"/>
          <w:lang w:val="en-US" w:eastAsia="zh-CN" w:bidi="hi-IN"/>
        </w:rPr>
        <w:t xml:space="preserve">based </w:t>
      </w:r>
      <w:r w:rsidR="00ED3F94" w:rsidRPr="00A051C4">
        <w:rPr>
          <w:rFonts w:ascii="Arial" w:eastAsia="Liberation Mono" w:hAnsi="Arial" w:cs="Arial"/>
          <w:sz w:val="24"/>
          <w:szCs w:val="24"/>
          <w:lang w:val="en-US" w:eastAsia="zh-CN" w:bidi="hi-IN"/>
        </w:rPr>
        <w:t xml:space="preserve">on </w:t>
      </w:r>
      <w:r w:rsidR="00631C82" w:rsidRPr="00A051C4">
        <w:rPr>
          <w:rFonts w:ascii="Arial" w:eastAsia="Liberation Mono" w:hAnsi="Arial" w:cs="Arial"/>
          <w:sz w:val="24"/>
          <w:szCs w:val="24"/>
          <w:lang w:val="en-US" w:eastAsia="zh-CN" w:bidi="hi-IN"/>
        </w:rPr>
        <w:t>several sections of the Act, namely</w:t>
      </w:r>
      <w:r w:rsidR="00224DD8" w:rsidRPr="00A051C4">
        <w:rPr>
          <w:rFonts w:ascii="Arial" w:eastAsia="Liberation Mono" w:hAnsi="Arial" w:cs="Arial"/>
          <w:sz w:val="24"/>
          <w:szCs w:val="24"/>
          <w:lang w:val="en-US" w:eastAsia="zh-CN" w:bidi="hi-IN"/>
        </w:rPr>
        <w:t>:</w:t>
      </w:r>
      <w:r w:rsidR="00631C82" w:rsidRPr="00A051C4">
        <w:rPr>
          <w:rFonts w:ascii="Arial" w:eastAsia="Liberation Mono" w:hAnsi="Arial" w:cs="Arial"/>
          <w:sz w:val="24"/>
          <w:szCs w:val="24"/>
          <w:lang w:val="en-US" w:eastAsia="zh-CN" w:bidi="hi-IN"/>
        </w:rPr>
        <w:t xml:space="preserve"> (a) s 10(2)(a)</w:t>
      </w:r>
      <w:r w:rsidR="00224DD8" w:rsidRPr="00A051C4">
        <w:rPr>
          <w:rFonts w:ascii="Arial" w:eastAsia="Liberation Mono" w:hAnsi="Arial" w:cs="Arial"/>
          <w:sz w:val="24"/>
          <w:szCs w:val="24"/>
          <w:lang w:val="en-US" w:eastAsia="zh-CN" w:bidi="hi-IN"/>
        </w:rPr>
        <w:t xml:space="preserve"> – that </w:t>
      </w:r>
      <w:r w:rsidR="00FE132A" w:rsidRPr="00A051C4">
        <w:rPr>
          <w:rFonts w:ascii="Arial" w:eastAsia="Liberation Mono" w:hAnsi="Arial" w:cs="Arial"/>
          <w:sz w:val="24"/>
          <w:szCs w:val="24"/>
          <w:lang w:val="en-US" w:eastAsia="zh-CN" w:bidi="hi-IN"/>
        </w:rPr>
        <w:t xml:space="preserve">it </w:t>
      </w:r>
      <w:r w:rsidR="00ED3F94" w:rsidRPr="00A051C4">
        <w:rPr>
          <w:rFonts w:ascii="Arial" w:eastAsia="Liberation Mono" w:hAnsi="Arial" w:cs="Arial"/>
          <w:sz w:val="24"/>
          <w:szCs w:val="24"/>
          <w:lang w:val="en-US" w:eastAsia="zh-CN" w:bidi="hi-IN"/>
        </w:rPr>
        <w:t xml:space="preserve">was </w:t>
      </w:r>
      <w:r w:rsidR="00695C6B" w:rsidRPr="00A051C4">
        <w:rPr>
          <w:rFonts w:ascii="Arial" w:hAnsi="Arial" w:cs="Arial"/>
          <w:sz w:val="24"/>
          <w:szCs w:val="24"/>
        </w:rPr>
        <w:t>not capable of distinguishing Tupperware goods from those of other traders and was therefore</w:t>
      </w:r>
      <w:r w:rsidR="00695C6B" w:rsidRPr="00A051C4">
        <w:rPr>
          <w:rFonts w:ascii="Arial" w:eastAsia="Liberation Mono" w:hAnsi="Arial" w:cs="Arial"/>
          <w:sz w:val="24"/>
          <w:szCs w:val="24"/>
          <w:lang w:val="en-US" w:eastAsia="zh-CN" w:bidi="hi-IN"/>
        </w:rPr>
        <w:t xml:space="preserve">, </w:t>
      </w:r>
      <w:r w:rsidR="00ED3F94" w:rsidRPr="00A051C4">
        <w:rPr>
          <w:rFonts w:ascii="Arial" w:eastAsia="Liberation Mono" w:hAnsi="Arial" w:cs="Arial"/>
          <w:sz w:val="24"/>
          <w:szCs w:val="24"/>
          <w:lang w:val="en-US" w:eastAsia="zh-CN" w:bidi="hi-IN"/>
        </w:rPr>
        <w:t>an entry wrongly made and/or wrongly remaining on the trade mark register in terms of s 24 of the Act</w:t>
      </w:r>
      <w:r w:rsidR="00631C82" w:rsidRPr="00A051C4">
        <w:rPr>
          <w:rFonts w:ascii="Arial" w:eastAsia="Liberation Mono" w:hAnsi="Arial" w:cs="Arial"/>
          <w:sz w:val="24"/>
          <w:szCs w:val="24"/>
          <w:lang w:val="en-US" w:eastAsia="zh-CN" w:bidi="hi-IN"/>
        </w:rPr>
        <w:t>; (b)</w:t>
      </w:r>
      <w:r w:rsidR="00631C82" w:rsidRPr="00A051C4">
        <w:rPr>
          <w:rFonts w:ascii="Arial" w:hAnsi="Arial" w:cs="Arial"/>
          <w:sz w:val="24"/>
          <w:szCs w:val="24"/>
        </w:rPr>
        <w:t xml:space="preserve"> s 10(4)</w:t>
      </w:r>
      <w:r w:rsidR="00224DD8" w:rsidRPr="00A051C4">
        <w:rPr>
          <w:rFonts w:ascii="Arial" w:hAnsi="Arial" w:cs="Arial"/>
          <w:sz w:val="24"/>
          <w:szCs w:val="24"/>
        </w:rPr>
        <w:t xml:space="preserve"> – that</w:t>
      </w:r>
      <w:r w:rsidR="00631C82" w:rsidRPr="00A051C4">
        <w:rPr>
          <w:rFonts w:ascii="Arial" w:hAnsi="Arial" w:cs="Arial"/>
          <w:sz w:val="24"/>
          <w:szCs w:val="24"/>
        </w:rPr>
        <w:t xml:space="preserve"> the </w:t>
      </w:r>
      <w:r w:rsidR="00695C6B" w:rsidRPr="00A051C4">
        <w:rPr>
          <w:rFonts w:ascii="Arial" w:hAnsi="Arial" w:cs="Arial"/>
          <w:sz w:val="24"/>
          <w:szCs w:val="24"/>
        </w:rPr>
        <w:t xml:space="preserve">mark </w:t>
      </w:r>
      <w:r w:rsidR="00631C82" w:rsidRPr="00A051C4">
        <w:rPr>
          <w:rFonts w:ascii="Arial" w:hAnsi="Arial" w:cs="Arial"/>
          <w:sz w:val="24"/>
          <w:szCs w:val="24"/>
        </w:rPr>
        <w:t xml:space="preserve">was registered </w:t>
      </w:r>
      <w:r w:rsidR="00695C6B" w:rsidRPr="00A051C4">
        <w:rPr>
          <w:rFonts w:ascii="Arial" w:hAnsi="Arial" w:cs="Arial"/>
          <w:sz w:val="24"/>
          <w:szCs w:val="24"/>
        </w:rPr>
        <w:t>without any intention of using it as such in relation to the goods for which it was registered</w:t>
      </w:r>
      <w:r w:rsidR="00631C82" w:rsidRPr="00A051C4">
        <w:rPr>
          <w:rFonts w:ascii="Arial" w:hAnsi="Arial" w:cs="Arial"/>
          <w:sz w:val="24"/>
          <w:szCs w:val="24"/>
        </w:rPr>
        <w:t xml:space="preserve">; (c) </w:t>
      </w:r>
      <w:r w:rsidR="00224DD8" w:rsidRPr="00A051C4">
        <w:rPr>
          <w:rFonts w:ascii="Arial" w:hAnsi="Arial" w:cs="Arial"/>
          <w:sz w:val="24"/>
          <w:szCs w:val="24"/>
        </w:rPr>
        <w:t xml:space="preserve">s </w:t>
      </w:r>
      <w:r w:rsidR="00631C82" w:rsidRPr="00A051C4">
        <w:rPr>
          <w:rFonts w:ascii="Arial" w:hAnsi="Arial" w:cs="Arial"/>
          <w:sz w:val="24"/>
          <w:szCs w:val="24"/>
        </w:rPr>
        <w:t xml:space="preserve">10(11), the mark </w:t>
      </w:r>
      <w:r w:rsidR="00224DD8" w:rsidRPr="00A051C4">
        <w:rPr>
          <w:rFonts w:ascii="Arial" w:hAnsi="Arial" w:cs="Arial"/>
          <w:sz w:val="24"/>
          <w:szCs w:val="24"/>
        </w:rPr>
        <w:t>was</w:t>
      </w:r>
      <w:r w:rsidR="00631C82" w:rsidRPr="00A051C4">
        <w:rPr>
          <w:rFonts w:ascii="Arial" w:hAnsi="Arial" w:cs="Arial"/>
          <w:sz w:val="24"/>
          <w:szCs w:val="24"/>
        </w:rPr>
        <w:t xml:space="preserve"> likely to limit the development of any art or industry; and (d) </w:t>
      </w:r>
      <w:r w:rsidR="00224DD8" w:rsidRPr="00A051C4">
        <w:rPr>
          <w:rFonts w:ascii="Arial" w:hAnsi="Arial" w:cs="Arial"/>
          <w:sz w:val="24"/>
          <w:szCs w:val="24"/>
        </w:rPr>
        <w:t>s 27(1)(</w:t>
      </w:r>
      <w:r w:rsidR="00224DD8" w:rsidRPr="00A051C4">
        <w:rPr>
          <w:rFonts w:ascii="Arial" w:hAnsi="Arial" w:cs="Arial"/>
          <w:i/>
          <w:iCs/>
          <w:sz w:val="24"/>
          <w:szCs w:val="24"/>
        </w:rPr>
        <w:t>a</w:t>
      </w:r>
      <w:r w:rsidR="00224DD8" w:rsidRPr="00A051C4">
        <w:rPr>
          <w:rFonts w:ascii="Arial" w:hAnsi="Arial" w:cs="Arial"/>
          <w:sz w:val="24"/>
          <w:szCs w:val="24"/>
        </w:rPr>
        <w:t>) – that there was no bona fide intention to use the mark in relation to Tupperware’s goods.</w:t>
      </w:r>
    </w:p>
    <w:p w14:paraId="46606244" w14:textId="77777777" w:rsidR="00915572" w:rsidRPr="00A051C4" w:rsidRDefault="00915572" w:rsidP="00915572">
      <w:pPr>
        <w:shd w:val="clear" w:color="auto" w:fill="FFFFFF"/>
        <w:spacing w:before="120" w:after="720" w:line="360" w:lineRule="auto"/>
        <w:contextualSpacing/>
        <w:jc w:val="both"/>
        <w:rPr>
          <w:rFonts w:ascii="Arial" w:hAnsi="Arial" w:cs="Arial"/>
          <w:strike/>
          <w:sz w:val="24"/>
          <w:szCs w:val="24"/>
        </w:rPr>
      </w:pPr>
    </w:p>
    <w:p w14:paraId="35730046" w14:textId="629A06C3" w:rsidR="001B0778" w:rsidRPr="00A051C4" w:rsidRDefault="006227FF" w:rsidP="006227FF">
      <w:pPr>
        <w:shd w:val="clear" w:color="auto" w:fill="FFFFFF"/>
        <w:spacing w:before="120" w:after="0" w:line="360" w:lineRule="auto"/>
        <w:contextualSpacing/>
        <w:jc w:val="both"/>
        <w:rPr>
          <w:rFonts w:ascii="Arial" w:hAnsi="Arial" w:cs="Arial"/>
          <w:sz w:val="24"/>
          <w:szCs w:val="24"/>
        </w:rPr>
      </w:pPr>
      <w:r w:rsidRPr="00A051C4">
        <w:rPr>
          <w:rFonts w:ascii="Arial" w:hAnsi="Arial" w:cs="Arial"/>
          <w:snapToGrid w:val="0"/>
          <w:color w:val="000000"/>
          <w:w w:val="0"/>
          <w:sz w:val="24"/>
          <w:szCs w:val="24"/>
        </w:rPr>
        <w:t>[6]</w:t>
      </w:r>
      <w:r w:rsidRPr="00A051C4">
        <w:rPr>
          <w:rFonts w:ascii="Arial" w:hAnsi="Arial" w:cs="Arial"/>
          <w:snapToGrid w:val="0"/>
          <w:color w:val="000000"/>
          <w:w w:val="0"/>
          <w:sz w:val="24"/>
          <w:szCs w:val="24"/>
        </w:rPr>
        <w:tab/>
      </w:r>
      <w:r w:rsidR="00237234" w:rsidRPr="00A051C4">
        <w:rPr>
          <w:rFonts w:ascii="Arial" w:hAnsi="Arial" w:cs="Arial"/>
          <w:sz w:val="24"/>
          <w:szCs w:val="24"/>
        </w:rPr>
        <w:t xml:space="preserve">In the end, the high court </w:t>
      </w:r>
      <w:r w:rsidR="00ED3F94" w:rsidRPr="00A051C4">
        <w:rPr>
          <w:rFonts w:ascii="Arial" w:hAnsi="Arial" w:cs="Arial"/>
          <w:sz w:val="24"/>
          <w:szCs w:val="24"/>
        </w:rPr>
        <w:t xml:space="preserve">decided the matter on the basis of </w:t>
      </w:r>
      <w:r w:rsidR="00FE132A" w:rsidRPr="00A051C4">
        <w:rPr>
          <w:rFonts w:ascii="Arial" w:hAnsi="Arial" w:cs="Arial"/>
          <w:sz w:val="24"/>
          <w:szCs w:val="24"/>
        </w:rPr>
        <w:t xml:space="preserve">the first ground, ie </w:t>
      </w:r>
      <w:r w:rsidR="00ED3F94" w:rsidRPr="00A051C4">
        <w:rPr>
          <w:rFonts w:ascii="Arial" w:hAnsi="Arial" w:cs="Arial"/>
          <w:sz w:val="24"/>
          <w:szCs w:val="24"/>
        </w:rPr>
        <w:t>s 10(2)(</w:t>
      </w:r>
      <w:r w:rsidR="00ED3F94" w:rsidRPr="00A051C4">
        <w:rPr>
          <w:rFonts w:ascii="Arial" w:hAnsi="Arial" w:cs="Arial"/>
          <w:i/>
          <w:iCs/>
          <w:sz w:val="24"/>
          <w:szCs w:val="24"/>
        </w:rPr>
        <w:t>a</w:t>
      </w:r>
      <w:r w:rsidR="00ED3F94" w:rsidRPr="00A051C4">
        <w:rPr>
          <w:rFonts w:ascii="Arial" w:hAnsi="Arial" w:cs="Arial"/>
          <w:sz w:val="24"/>
          <w:szCs w:val="24"/>
        </w:rPr>
        <w:t xml:space="preserve">). </w:t>
      </w:r>
      <w:r w:rsidR="00943C94" w:rsidRPr="00A051C4">
        <w:rPr>
          <w:rFonts w:ascii="Arial" w:hAnsi="Arial" w:cs="Arial"/>
          <w:sz w:val="24"/>
          <w:szCs w:val="24"/>
        </w:rPr>
        <w:t>Section 10, titled ‘Unregistrable trade marks’, provides a list of unregistrable marks. If such a mark is registered, it shall be liable to be removed from the register. One such mark is one which</w:t>
      </w:r>
      <w:r w:rsidR="001B0778" w:rsidRPr="00A051C4">
        <w:rPr>
          <w:rFonts w:ascii="Arial" w:hAnsi="Arial" w:cs="Arial"/>
          <w:sz w:val="24"/>
          <w:szCs w:val="24"/>
        </w:rPr>
        <w:t xml:space="preserve"> </w:t>
      </w:r>
      <w:r w:rsidR="00943C94" w:rsidRPr="00A051C4">
        <w:rPr>
          <w:rFonts w:ascii="Arial" w:hAnsi="Arial" w:cs="Arial"/>
          <w:sz w:val="24"/>
          <w:szCs w:val="24"/>
        </w:rPr>
        <w:t>‘is not capable of distinguishing within the meaning of section 9</w:t>
      </w:r>
      <w:r w:rsidR="001B0778" w:rsidRPr="00A051C4">
        <w:rPr>
          <w:rFonts w:ascii="Arial" w:hAnsi="Arial" w:cs="Arial"/>
          <w:sz w:val="24"/>
          <w:szCs w:val="24"/>
        </w:rPr>
        <w:t>,</w:t>
      </w:r>
      <w:r w:rsidR="00943C94" w:rsidRPr="00A051C4">
        <w:rPr>
          <w:rFonts w:ascii="Arial" w:hAnsi="Arial" w:cs="Arial"/>
          <w:sz w:val="24"/>
          <w:szCs w:val="24"/>
        </w:rPr>
        <w:t>’</w:t>
      </w:r>
      <w:bookmarkStart w:id="14" w:name="_Hlk116822594"/>
      <w:r w:rsidR="001B0778" w:rsidRPr="00A051C4">
        <w:rPr>
          <w:rFonts w:ascii="Arial" w:hAnsi="Arial" w:cs="Arial"/>
          <w:sz w:val="24"/>
          <w:szCs w:val="24"/>
        </w:rPr>
        <w:t xml:space="preserve"> which provides as follows</w:t>
      </w:r>
      <w:r w:rsidR="003E782A" w:rsidRPr="00A051C4">
        <w:rPr>
          <w:rFonts w:ascii="Arial" w:hAnsi="Arial" w:cs="Arial"/>
          <w:sz w:val="24"/>
          <w:szCs w:val="24"/>
        </w:rPr>
        <w:t xml:space="preserve"> in sub-section 1:</w:t>
      </w:r>
    </w:p>
    <w:bookmarkEnd w:id="14"/>
    <w:p w14:paraId="5EABF972" w14:textId="49A55429" w:rsidR="004860B6" w:rsidRPr="00A051C4" w:rsidRDefault="001B0778" w:rsidP="00DD5EB2">
      <w:pPr>
        <w:pStyle w:val="western"/>
        <w:shd w:val="clear" w:color="auto" w:fill="FFFFFF"/>
        <w:spacing w:before="144" w:beforeAutospacing="0" w:after="480" w:afterAutospacing="0" w:line="360" w:lineRule="auto"/>
        <w:jc w:val="both"/>
        <w:rPr>
          <w:rFonts w:ascii="Arial" w:hAnsi="Arial" w:cs="Arial"/>
          <w:sz w:val="22"/>
          <w:szCs w:val="22"/>
        </w:rPr>
      </w:pPr>
      <w:r w:rsidRPr="00A051C4">
        <w:rPr>
          <w:rFonts w:ascii="Arial" w:hAnsi="Arial" w:cs="Arial"/>
          <w:sz w:val="22"/>
          <w:szCs w:val="22"/>
        </w:rPr>
        <w:t>‘In order to be registrable, a trade mark shall be capable of distinguishing the goods or services of a person in respect of which it is registered or proposed to be registered from the goods or services of another person either generally or, where the trade mark is registered or proposed to be registered subject to limitations, in relation to use within those limitations.</w:t>
      </w:r>
      <w:r w:rsidR="005B5C85">
        <w:rPr>
          <w:rFonts w:ascii="Arial" w:hAnsi="Arial" w:cs="Arial"/>
          <w:sz w:val="22"/>
          <w:szCs w:val="22"/>
        </w:rPr>
        <w:t>’</w:t>
      </w:r>
    </w:p>
    <w:p w14:paraId="630C13A2" w14:textId="24B22DF6" w:rsidR="00FD2AE8" w:rsidRPr="00A051C4" w:rsidRDefault="006227FF" w:rsidP="006227FF">
      <w:pPr>
        <w:shd w:val="clear" w:color="auto" w:fill="FFFFFF"/>
        <w:spacing w:before="120" w:after="720" w:line="360" w:lineRule="auto"/>
        <w:contextualSpacing/>
        <w:jc w:val="both"/>
        <w:rPr>
          <w:rFonts w:ascii="Arial" w:hAnsi="Arial" w:cs="Arial"/>
          <w:sz w:val="24"/>
          <w:szCs w:val="24"/>
        </w:rPr>
      </w:pPr>
      <w:r w:rsidRPr="00A051C4">
        <w:rPr>
          <w:rFonts w:ascii="Arial" w:hAnsi="Arial" w:cs="Arial"/>
          <w:snapToGrid w:val="0"/>
          <w:color w:val="000000"/>
          <w:w w:val="0"/>
          <w:sz w:val="24"/>
          <w:szCs w:val="24"/>
        </w:rPr>
        <w:t>[7]</w:t>
      </w:r>
      <w:r w:rsidRPr="00A051C4">
        <w:rPr>
          <w:rFonts w:ascii="Arial" w:hAnsi="Arial" w:cs="Arial"/>
          <w:snapToGrid w:val="0"/>
          <w:color w:val="000000"/>
          <w:w w:val="0"/>
          <w:sz w:val="24"/>
          <w:szCs w:val="24"/>
        </w:rPr>
        <w:tab/>
      </w:r>
      <w:r w:rsidR="001B0778" w:rsidRPr="00A051C4">
        <w:rPr>
          <w:rFonts w:ascii="Arial" w:hAnsi="Arial" w:cs="Arial"/>
          <w:sz w:val="24"/>
          <w:szCs w:val="24"/>
        </w:rPr>
        <w:t xml:space="preserve">The high court </w:t>
      </w:r>
      <w:r w:rsidR="00237234" w:rsidRPr="00A051C4">
        <w:rPr>
          <w:rFonts w:ascii="Arial" w:hAnsi="Arial" w:cs="Arial"/>
          <w:sz w:val="24"/>
          <w:szCs w:val="24"/>
        </w:rPr>
        <w:t>found that the registered trade mark was n</w:t>
      </w:r>
      <w:r w:rsidR="001B0778" w:rsidRPr="00A051C4">
        <w:rPr>
          <w:rFonts w:ascii="Arial" w:hAnsi="Arial" w:cs="Arial"/>
          <w:sz w:val="24"/>
          <w:szCs w:val="24"/>
        </w:rPr>
        <w:t>either</w:t>
      </w:r>
      <w:r w:rsidR="00237234" w:rsidRPr="00A051C4">
        <w:rPr>
          <w:rFonts w:ascii="Arial" w:hAnsi="Arial" w:cs="Arial"/>
          <w:sz w:val="24"/>
          <w:szCs w:val="24"/>
        </w:rPr>
        <w:t xml:space="preserve"> </w:t>
      </w:r>
      <w:r w:rsidR="001B0778" w:rsidRPr="00A051C4">
        <w:rPr>
          <w:rFonts w:ascii="Arial" w:hAnsi="Arial" w:cs="Arial"/>
          <w:sz w:val="24"/>
          <w:szCs w:val="24"/>
        </w:rPr>
        <w:t xml:space="preserve">inherently distinctive nor had acquired distinctiveness as a result </w:t>
      </w:r>
      <w:r w:rsidR="004C3317" w:rsidRPr="00A051C4">
        <w:rPr>
          <w:rFonts w:ascii="Arial" w:hAnsi="Arial" w:cs="Arial"/>
          <w:sz w:val="24"/>
          <w:szCs w:val="24"/>
        </w:rPr>
        <w:t>of prior use, as envisaged in s </w:t>
      </w:r>
      <w:r w:rsidR="001B0778" w:rsidRPr="00A051C4">
        <w:rPr>
          <w:rFonts w:ascii="Arial" w:hAnsi="Arial" w:cs="Arial"/>
          <w:sz w:val="24"/>
          <w:szCs w:val="24"/>
        </w:rPr>
        <w:t xml:space="preserve">9(2). </w:t>
      </w:r>
      <w:r w:rsidR="0077420C" w:rsidRPr="00A051C4">
        <w:rPr>
          <w:rFonts w:ascii="Arial" w:hAnsi="Arial" w:cs="Arial"/>
          <w:sz w:val="24"/>
          <w:szCs w:val="24"/>
        </w:rPr>
        <w:t xml:space="preserve">Consequently, it dismissed Tupperware’s application and granted </w:t>
      </w:r>
      <w:bookmarkStart w:id="15" w:name="_Hlk117119548"/>
      <w:r w:rsidR="001B0778" w:rsidRPr="00A051C4">
        <w:rPr>
          <w:rFonts w:ascii="Arial" w:hAnsi="Arial" w:cs="Arial"/>
          <w:sz w:val="24"/>
          <w:szCs w:val="24"/>
        </w:rPr>
        <w:t>Buhle Brands’</w:t>
      </w:r>
      <w:r w:rsidR="0077420C" w:rsidRPr="00A051C4">
        <w:rPr>
          <w:rFonts w:ascii="Arial" w:hAnsi="Arial" w:cs="Arial"/>
          <w:sz w:val="24"/>
          <w:szCs w:val="24"/>
        </w:rPr>
        <w:t xml:space="preserve"> </w:t>
      </w:r>
      <w:bookmarkEnd w:id="15"/>
      <w:r w:rsidR="0077420C" w:rsidRPr="00A051C4">
        <w:rPr>
          <w:rFonts w:ascii="Arial" w:hAnsi="Arial" w:cs="Arial"/>
          <w:sz w:val="24"/>
          <w:szCs w:val="24"/>
        </w:rPr>
        <w:t>counter application for the removal of Tupperware's trade mark from the trade mark register</w:t>
      </w:r>
      <w:r w:rsidR="000231CC" w:rsidRPr="00A051C4">
        <w:rPr>
          <w:rFonts w:ascii="Arial" w:hAnsi="Arial" w:cs="Arial"/>
          <w:sz w:val="24"/>
          <w:szCs w:val="24"/>
        </w:rPr>
        <w:t>.</w:t>
      </w:r>
      <w:r w:rsidR="00A46ACD" w:rsidRPr="00A051C4">
        <w:rPr>
          <w:rFonts w:ascii="Arial" w:hAnsi="Arial" w:cs="Arial"/>
          <w:sz w:val="24"/>
          <w:szCs w:val="24"/>
        </w:rPr>
        <w:t xml:space="preserve"> </w:t>
      </w:r>
      <w:r w:rsidR="000231CC" w:rsidRPr="00A051C4">
        <w:rPr>
          <w:rFonts w:ascii="Arial" w:hAnsi="Arial" w:cs="Arial"/>
          <w:sz w:val="24"/>
          <w:szCs w:val="24"/>
          <w:shd w:val="clear" w:color="auto" w:fill="FFFFFF"/>
        </w:rPr>
        <w:t xml:space="preserve">This finding made it unnecessary for the high court </w:t>
      </w:r>
      <w:r w:rsidR="0077420C" w:rsidRPr="00A051C4">
        <w:rPr>
          <w:rFonts w:ascii="Arial" w:hAnsi="Arial" w:cs="Arial"/>
          <w:sz w:val="24"/>
          <w:szCs w:val="24"/>
          <w:shd w:val="clear" w:color="auto" w:fill="FFFFFF"/>
        </w:rPr>
        <w:t>to decide the infringement issue</w:t>
      </w:r>
      <w:r w:rsidR="006B3FDD" w:rsidRPr="00A051C4">
        <w:rPr>
          <w:rFonts w:ascii="Arial" w:hAnsi="Arial" w:cs="Arial"/>
          <w:sz w:val="24"/>
          <w:szCs w:val="24"/>
          <w:shd w:val="clear" w:color="auto" w:fill="FFFFFF"/>
        </w:rPr>
        <w:t>, or</w:t>
      </w:r>
      <w:r w:rsidR="0077420C" w:rsidRPr="00A051C4">
        <w:rPr>
          <w:rFonts w:ascii="Arial" w:hAnsi="Arial" w:cs="Arial"/>
          <w:sz w:val="24"/>
          <w:szCs w:val="24"/>
        </w:rPr>
        <w:t xml:space="preserve"> </w:t>
      </w:r>
      <w:bookmarkStart w:id="16" w:name="_Hlk117119589"/>
      <w:r w:rsidR="001B0778" w:rsidRPr="00A051C4">
        <w:rPr>
          <w:rFonts w:ascii="Arial" w:hAnsi="Arial" w:cs="Arial"/>
          <w:sz w:val="24"/>
          <w:szCs w:val="24"/>
        </w:rPr>
        <w:t xml:space="preserve">Buhle Brands’ </w:t>
      </w:r>
      <w:bookmarkEnd w:id="16"/>
      <w:r w:rsidR="0077420C" w:rsidRPr="00A051C4">
        <w:rPr>
          <w:rFonts w:ascii="Arial" w:hAnsi="Arial" w:cs="Arial"/>
          <w:sz w:val="24"/>
          <w:szCs w:val="24"/>
        </w:rPr>
        <w:t xml:space="preserve">grounds for removal based on ss </w:t>
      </w:r>
      <w:r w:rsidR="001D079A" w:rsidRPr="00A051C4">
        <w:rPr>
          <w:rFonts w:ascii="Arial" w:hAnsi="Arial" w:cs="Arial"/>
          <w:sz w:val="24"/>
          <w:szCs w:val="24"/>
        </w:rPr>
        <w:t xml:space="preserve">10(4), </w:t>
      </w:r>
      <w:r w:rsidR="0077420C" w:rsidRPr="00A051C4">
        <w:rPr>
          <w:rFonts w:ascii="Arial" w:hAnsi="Arial" w:cs="Arial"/>
          <w:sz w:val="24"/>
          <w:szCs w:val="24"/>
        </w:rPr>
        <w:t>10(11), and 27(1)(</w:t>
      </w:r>
      <w:r w:rsidR="0077420C" w:rsidRPr="00A051C4">
        <w:rPr>
          <w:rFonts w:ascii="Arial" w:hAnsi="Arial" w:cs="Arial"/>
          <w:i/>
          <w:iCs/>
          <w:sz w:val="24"/>
          <w:szCs w:val="24"/>
        </w:rPr>
        <w:t>a</w:t>
      </w:r>
      <w:r w:rsidR="0077420C" w:rsidRPr="00A051C4">
        <w:rPr>
          <w:rFonts w:ascii="Arial" w:hAnsi="Arial" w:cs="Arial"/>
          <w:sz w:val="24"/>
          <w:szCs w:val="24"/>
        </w:rPr>
        <w:t xml:space="preserve">). </w:t>
      </w:r>
      <w:r w:rsidR="000231CC" w:rsidRPr="00A051C4">
        <w:rPr>
          <w:rFonts w:ascii="Arial" w:hAnsi="Arial" w:cs="Arial"/>
          <w:sz w:val="24"/>
          <w:szCs w:val="24"/>
        </w:rPr>
        <w:t>As regards the relief based on passing off, the high court found that although the bottles were virtually</w:t>
      </w:r>
      <w:r w:rsidR="005B5C85">
        <w:rPr>
          <w:rFonts w:ascii="Arial" w:hAnsi="Arial" w:cs="Arial"/>
          <w:sz w:val="24"/>
          <w:szCs w:val="24"/>
        </w:rPr>
        <w:t xml:space="preserve"> identical</w:t>
      </w:r>
      <w:r w:rsidR="000231CC" w:rsidRPr="00A051C4">
        <w:rPr>
          <w:rFonts w:ascii="Arial" w:hAnsi="Arial" w:cs="Arial"/>
          <w:sz w:val="24"/>
          <w:szCs w:val="24"/>
        </w:rPr>
        <w:t xml:space="preserve">, </w:t>
      </w:r>
      <w:r w:rsidR="00FD2AE8" w:rsidRPr="00A051C4">
        <w:rPr>
          <w:rFonts w:ascii="Arial" w:hAnsi="Arial" w:cs="Arial"/>
          <w:sz w:val="24"/>
          <w:szCs w:val="24"/>
        </w:rPr>
        <w:t xml:space="preserve">there was no likelihood of deception or confusion, given the sales model used by </w:t>
      </w:r>
      <w:r w:rsidR="005E5300" w:rsidRPr="00A051C4">
        <w:rPr>
          <w:rFonts w:ascii="Arial" w:hAnsi="Arial" w:cs="Arial"/>
          <w:sz w:val="24"/>
          <w:szCs w:val="24"/>
        </w:rPr>
        <w:t xml:space="preserve">both parties. </w:t>
      </w:r>
    </w:p>
    <w:p w14:paraId="4912B1F5" w14:textId="6F22E6C0" w:rsidR="006B3FDD" w:rsidRPr="00A051C4" w:rsidRDefault="006B3FDD" w:rsidP="006B3FDD">
      <w:pPr>
        <w:shd w:val="clear" w:color="auto" w:fill="FFFFFF"/>
        <w:spacing w:before="120" w:after="720" w:line="360" w:lineRule="auto"/>
        <w:contextualSpacing/>
        <w:jc w:val="both"/>
        <w:rPr>
          <w:rFonts w:ascii="Arial" w:hAnsi="Arial" w:cs="Arial"/>
          <w:sz w:val="24"/>
          <w:szCs w:val="24"/>
        </w:rPr>
      </w:pPr>
      <w:bookmarkStart w:id="17" w:name="_Hlk118457315"/>
    </w:p>
    <w:p w14:paraId="7AAAF55A" w14:textId="587A14CD" w:rsidR="00DD5EB2" w:rsidRPr="00A051C4" w:rsidRDefault="006227FF" w:rsidP="006227FF">
      <w:pPr>
        <w:shd w:val="clear" w:color="auto" w:fill="FFFFFF"/>
        <w:spacing w:before="120" w:after="0" w:line="360" w:lineRule="auto"/>
        <w:contextualSpacing/>
        <w:jc w:val="both"/>
        <w:rPr>
          <w:rFonts w:ascii="Arial" w:hAnsi="Arial" w:cs="Arial"/>
          <w:sz w:val="24"/>
          <w:szCs w:val="24"/>
        </w:rPr>
      </w:pPr>
      <w:r w:rsidRPr="00A051C4">
        <w:rPr>
          <w:rFonts w:ascii="Arial" w:hAnsi="Arial" w:cs="Arial"/>
          <w:snapToGrid w:val="0"/>
          <w:color w:val="000000"/>
          <w:w w:val="0"/>
          <w:sz w:val="24"/>
          <w:szCs w:val="24"/>
        </w:rPr>
        <w:t>[8]</w:t>
      </w:r>
      <w:r w:rsidRPr="00A051C4">
        <w:rPr>
          <w:rFonts w:ascii="Arial" w:hAnsi="Arial" w:cs="Arial"/>
          <w:snapToGrid w:val="0"/>
          <w:color w:val="000000"/>
          <w:w w:val="0"/>
          <w:sz w:val="24"/>
          <w:szCs w:val="24"/>
        </w:rPr>
        <w:tab/>
      </w:r>
      <w:r w:rsidR="006B3FDD" w:rsidRPr="00A051C4">
        <w:rPr>
          <w:rFonts w:ascii="Arial" w:hAnsi="Arial" w:cs="Arial"/>
          <w:sz w:val="24"/>
          <w:szCs w:val="24"/>
        </w:rPr>
        <w:t xml:space="preserve">Like the high court, I find it convenient to consider </w:t>
      </w:r>
      <w:r w:rsidR="004C3317" w:rsidRPr="00A051C4">
        <w:rPr>
          <w:rFonts w:ascii="Arial" w:hAnsi="Arial" w:cs="Arial"/>
          <w:sz w:val="24"/>
          <w:szCs w:val="24"/>
        </w:rPr>
        <w:t xml:space="preserve">first, whether the shape of </w:t>
      </w:r>
      <w:r w:rsidR="008565C3" w:rsidRPr="00A051C4">
        <w:rPr>
          <w:rFonts w:ascii="Arial" w:hAnsi="Arial" w:cs="Arial"/>
          <w:sz w:val="24"/>
          <w:szCs w:val="24"/>
        </w:rPr>
        <w:t>Tupperware’s Eco bottle</w:t>
      </w:r>
      <w:r w:rsidR="00E30EC0" w:rsidRPr="00A051C4">
        <w:rPr>
          <w:rFonts w:ascii="Arial" w:hAnsi="Arial" w:cs="Arial"/>
          <w:sz w:val="24"/>
          <w:szCs w:val="24"/>
        </w:rPr>
        <w:t xml:space="preserve"> as a mark</w:t>
      </w:r>
      <w:r w:rsidR="008565C3" w:rsidRPr="00A051C4">
        <w:rPr>
          <w:rFonts w:ascii="Arial" w:hAnsi="Arial" w:cs="Arial"/>
          <w:sz w:val="24"/>
          <w:szCs w:val="24"/>
        </w:rPr>
        <w:t xml:space="preserve"> is </w:t>
      </w:r>
      <w:r w:rsidR="00E30EC0" w:rsidRPr="00A051C4">
        <w:rPr>
          <w:rFonts w:ascii="Arial" w:hAnsi="Arial" w:cs="Arial"/>
          <w:sz w:val="24"/>
          <w:szCs w:val="24"/>
        </w:rPr>
        <w:t>liable to be removed from the register in terms of s 10(2)(</w:t>
      </w:r>
      <w:r w:rsidR="00E30EC0" w:rsidRPr="00A051C4">
        <w:rPr>
          <w:rFonts w:ascii="Arial" w:hAnsi="Arial" w:cs="Arial"/>
          <w:i/>
          <w:iCs/>
          <w:sz w:val="24"/>
          <w:szCs w:val="24"/>
        </w:rPr>
        <w:t>a</w:t>
      </w:r>
      <w:r w:rsidR="00E30EC0" w:rsidRPr="00A051C4">
        <w:rPr>
          <w:rFonts w:ascii="Arial" w:hAnsi="Arial" w:cs="Arial"/>
          <w:sz w:val="24"/>
          <w:szCs w:val="24"/>
        </w:rPr>
        <w:t xml:space="preserve">) as being incapable of distinguishing within the meaning of s 9(2). The latter section </w:t>
      </w:r>
      <w:r w:rsidR="003E782A" w:rsidRPr="00A051C4">
        <w:rPr>
          <w:rFonts w:ascii="Arial" w:hAnsi="Arial" w:cs="Arial"/>
          <w:sz w:val="24"/>
          <w:szCs w:val="24"/>
        </w:rPr>
        <w:t>provides as follows:</w:t>
      </w:r>
      <w:bookmarkStart w:id="18" w:name="_Hlk116922532"/>
    </w:p>
    <w:p w14:paraId="10A2BAA7" w14:textId="60526083" w:rsidR="00DD5EB2" w:rsidRPr="00A051C4" w:rsidRDefault="00A27138" w:rsidP="00DD5EB2">
      <w:pPr>
        <w:shd w:val="clear" w:color="auto" w:fill="FFFFFF"/>
        <w:spacing w:before="120" w:after="0" w:line="360" w:lineRule="auto"/>
        <w:contextualSpacing/>
        <w:jc w:val="both"/>
        <w:rPr>
          <w:rFonts w:ascii="Arial" w:hAnsi="Arial" w:cs="Arial"/>
          <w:sz w:val="24"/>
          <w:szCs w:val="24"/>
        </w:rPr>
      </w:pPr>
      <w:r w:rsidRPr="00A051C4" w:rsidDel="00A27138">
        <w:rPr>
          <w:rFonts w:ascii="Arial" w:hAnsi="Arial" w:cs="Arial"/>
          <w:sz w:val="24"/>
          <w:szCs w:val="24"/>
        </w:rPr>
        <w:lastRenderedPageBreak/>
        <w:t xml:space="preserve"> </w:t>
      </w:r>
      <w:r w:rsidRPr="00A051C4">
        <w:rPr>
          <w:rFonts w:ascii="Arial" w:hAnsi="Arial" w:cs="Arial"/>
        </w:rPr>
        <w:t>‘</w:t>
      </w:r>
      <w:r w:rsidR="003E782A" w:rsidRPr="00A051C4">
        <w:rPr>
          <w:rFonts w:ascii="Arial" w:hAnsi="Arial" w:cs="Arial"/>
        </w:rPr>
        <w:t>A mark shall be considered to be capable of distinguishing within the meaning of subsection (1) if, at the date of application for registration, it is inherently capable of so distinguishing or it is capable of distinguishing by reason of prior use thereof.’</w:t>
      </w:r>
      <w:bookmarkEnd w:id="18"/>
    </w:p>
    <w:bookmarkEnd w:id="17"/>
    <w:p w14:paraId="1F93EC30" w14:textId="77777777" w:rsidR="00DD5EB2" w:rsidRPr="00A051C4" w:rsidRDefault="00DD5EB2" w:rsidP="00DD5EB2">
      <w:pPr>
        <w:pStyle w:val="ListParagraph"/>
        <w:rPr>
          <w:rFonts w:ascii="Arial" w:hAnsi="Arial" w:cs="Arial"/>
          <w:sz w:val="24"/>
          <w:szCs w:val="24"/>
        </w:rPr>
      </w:pPr>
    </w:p>
    <w:p w14:paraId="7E342808" w14:textId="4B5D61B4" w:rsidR="00EA6605" w:rsidRPr="00A051C4" w:rsidRDefault="006227FF" w:rsidP="006227FF">
      <w:pPr>
        <w:shd w:val="clear" w:color="auto" w:fill="FFFFFF"/>
        <w:spacing w:before="120" w:after="0" w:line="360" w:lineRule="auto"/>
        <w:contextualSpacing/>
        <w:jc w:val="both"/>
        <w:rPr>
          <w:rFonts w:ascii="Arial" w:hAnsi="Arial" w:cs="Arial"/>
          <w:sz w:val="24"/>
          <w:szCs w:val="24"/>
        </w:rPr>
      </w:pPr>
      <w:r w:rsidRPr="00A051C4">
        <w:rPr>
          <w:rFonts w:ascii="Arial" w:hAnsi="Arial" w:cs="Arial"/>
          <w:snapToGrid w:val="0"/>
          <w:color w:val="000000"/>
          <w:w w:val="0"/>
          <w:sz w:val="24"/>
          <w:szCs w:val="24"/>
        </w:rPr>
        <w:t>[9]</w:t>
      </w:r>
      <w:r w:rsidRPr="00A051C4">
        <w:rPr>
          <w:rFonts w:ascii="Arial" w:hAnsi="Arial" w:cs="Arial"/>
          <w:snapToGrid w:val="0"/>
          <w:color w:val="000000"/>
          <w:w w:val="0"/>
          <w:sz w:val="24"/>
          <w:szCs w:val="24"/>
        </w:rPr>
        <w:tab/>
      </w:r>
      <w:r w:rsidR="003E782A" w:rsidRPr="00A051C4">
        <w:rPr>
          <w:rFonts w:ascii="Arial" w:hAnsi="Arial" w:cs="Arial"/>
          <w:sz w:val="24"/>
          <w:szCs w:val="24"/>
        </w:rPr>
        <w:t>T</w:t>
      </w:r>
      <w:r w:rsidR="00617560" w:rsidRPr="00A051C4">
        <w:rPr>
          <w:rFonts w:ascii="Arial" w:hAnsi="Arial" w:cs="Arial"/>
          <w:sz w:val="24"/>
          <w:szCs w:val="24"/>
        </w:rPr>
        <w:t>hus</w:t>
      </w:r>
      <w:r w:rsidR="003E782A" w:rsidRPr="00A051C4">
        <w:rPr>
          <w:rFonts w:ascii="Arial" w:hAnsi="Arial" w:cs="Arial"/>
          <w:sz w:val="24"/>
          <w:szCs w:val="24"/>
        </w:rPr>
        <w:t>, the sub-section</w:t>
      </w:r>
      <w:r w:rsidR="00617560" w:rsidRPr="00A051C4">
        <w:rPr>
          <w:rFonts w:ascii="Arial" w:hAnsi="Arial" w:cs="Arial"/>
          <w:sz w:val="24"/>
          <w:szCs w:val="24"/>
        </w:rPr>
        <w:t xml:space="preserve"> provides for two forms of distinctiveness:</w:t>
      </w:r>
      <w:r w:rsidR="008A6527" w:rsidRPr="00A051C4">
        <w:rPr>
          <w:rFonts w:ascii="Arial" w:hAnsi="Arial" w:cs="Arial"/>
          <w:sz w:val="24"/>
          <w:szCs w:val="24"/>
        </w:rPr>
        <w:t xml:space="preserve"> </w:t>
      </w:r>
      <w:r w:rsidR="00617560" w:rsidRPr="00A051C4">
        <w:rPr>
          <w:rFonts w:ascii="Arial" w:hAnsi="Arial" w:cs="Arial"/>
          <w:sz w:val="24"/>
          <w:szCs w:val="24"/>
        </w:rPr>
        <w:t xml:space="preserve">inherent distinctiveness </w:t>
      </w:r>
      <w:r w:rsidR="008A6527" w:rsidRPr="00A051C4">
        <w:rPr>
          <w:rFonts w:ascii="Arial" w:hAnsi="Arial" w:cs="Arial"/>
          <w:sz w:val="24"/>
          <w:szCs w:val="24"/>
        </w:rPr>
        <w:t xml:space="preserve">and acquired distinctiveness. </w:t>
      </w:r>
      <w:r w:rsidR="0034626B">
        <w:rPr>
          <w:rFonts w:ascii="Arial" w:hAnsi="Arial" w:cs="Arial"/>
          <w:sz w:val="24"/>
          <w:szCs w:val="24"/>
        </w:rPr>
        <w:t>A</w:t>
      </w:r>
      <w:r w:rsidR="008A6527" w:rsidRPr="005D2A2D">
        <w:rPr>
          <w:rFonts w:ascii="Arial" w:hAnsi="Arial" w:cs="Arial"/>
          <w:sz w:val="24"/>
          <w:szCs w:val="24"/>
        </w:rPr>
        <w:t xml:space="preserve"> mark is inherently distinctive if, by its very nature, it identifies the goods or services in relation to which reg</w:t>
      </w:r>
      <w:r w:rsidR="005D2A2D" w:rsidRPr="005D2A2D">
        <w:rPr>
          <w:rFonts w:ascii="Arial" w:hAnsi="Arial" w:cs="Arial"/>
          <w:sz w:val="24"/>
          <w:szCs w:val="24"/>
        </w:rPr>
        <w:t xml:space="preserve">istration has been applied for </w:t>
      </w:r>
      <w:r w:rsidR="008A6527" w:rsidRPr="005D2A2D">
        <w:rPr>
          <w:rFonts w:ascii="Arial" w:hAnsi="Arial" w:cs="Arial"/>
          <w:sz w:val="24"/>
          <w:szCs w:val="24"/>
        </w:rPr>
        <w:t>as originating from a particular undertaking, and thus distinguishing those goods or services from goods or services of other undertakings.</w:t>
      </w:r>
      <w:r w:rsidR="008A6527" w:rsidRPr="00A051C4">
        <w:rPr>
          <w:rFonts w:ascii="Arial" w:hAnsi="Arial" w:cs="Arial"/>
          <w:sz w:val="24"/>
          <w:szCs w:val="24"/>
        </w:rPr>
        <w:t xml:space="preserve"> As regards acquired distinctiveness, a mark that is not inherently distinctive can acquire distinctiveness </w:t>
      </w:r>
      <w:r w:rsidR="00285B86" w:rsidRPr="00A051C4">
        <w:rPr>
          <w:rFonts w:ascii="Arial" w:hAnsi="Arial" w:cs="Arial"/>
          <w:sz w:val="24"/>
          <w:szCs w:val="24"/>
        </w:rPr>
        <w:t xml:space="preserve">by reason of prior </w:t>
      </w:r>
      <w:r w:rsidR="008A6527" w:rsidRPr="00A051C4">
        <w:rPr>
          <w:rFonts w:ascii="Arial" w:hAnsi="Arial" w:cs="Arial"/>
          <w:sz w:val="24"/>
          <w:szCs w:val="24"/>
        </w:rPr>
        <w:t xml:space="preserve">use. </w:t>
      </w:r>
    </w:p>
    <w:p w14:paraId="53409CC3" w14:textId="77777777" w:rsidR="00915572" w:rsidRPr="00A051C4" w:rsidRDefault="00915572" w:rsidP="00915572">
      <w:pPr>
        <w:shd w:val="clear" w:color="auto" w:fill="FFFFFF"/>
        <w:spacing w:before="120" w:after="360" w:line="360" w:lineRule="auto"/>
        <w:contextualSpacing/>
        <w:jc w:val="both"/>
        <w:rPr>
          <w:rFonts w:ascii="Arial" w:hAnsi="Arial" w:cs="Arial"/>
          <w:sz w:val="24"/>
          <w:szCs w:val="24"/>
        </w:rPr>
      </w:pPr>
    </w:p>
    <w:p w14:paraId="2C837093" w14:textId="2C72CE34" w:rsidR="00915572" w:rsidRPr="008B02D6" w:rsidRDefault="006227FF" w:rsidP="006227FF">
      <w:pPr>
        <w:shd w:val="clear" w:color="auto" w:fill="FFFFFF"/>
        <w:spacing w:before="120" w:after="120" w:line="360" w:lineRule="auto"/>
        <w:contextualSpacing/>
        <w:jc w:val="both"/>
        <w:rPr>
          <w:rFonts w:ascii="Arial" w:hAnsi="Arial" w:cs="Arial"/>
          <w:sz w:val="24"/>
          <w:szCs w:val="24"/>
        </w:rPr>
      </w:pPr>
      <w:r w:rsidRPr="008B02D6">
        <w:rPr>
          <w:rFonts w:ascii="Arial" w:hAnsi="Arial" w:cs="Arial"/>
          <w:snapToGrid w:val="0"/>
          <w:color w:val="000000"/>
          <w:w w:val="0"/>
          <w:sz w:val="24"/>
          <w:szCs w:val="24"/>
        </w:rPr>
        <w:t>[10]</w:t>
      </w:r>
      <w:r w:rsidRPr="008B02D6">
        <w:rPr>
          <w:rFonts w:ascii="Arial" w:hAnsi="Arial" w:cs="Arial"/>
          <w:snapToGrid w:val="0"/>
          <w:color w:val="000000"/>
          <w:w w:val="0"/>
          <w:sz w:val="24"/>
          <w:szCs w:val="24"/>
        </w:rPr>
        <w:tab/>
      </w:r>
      <w:r w:rsidR="005D2A2D" w:rsidRPr="002929D5">
        <w:rPr>
          <w:rFonts w:ascii="Arial" w:hAnsi="Arial" w:cs="Arial"/>
          <w:sz w:val="24"/>
          <w:szCs w:val="24"/>
        </w:rPr>
        <w:t xml:space="preserve">As explained in </w:t>
      </w:r>
      <w:r w:rsidR="005D2A2D" w:rsidRPr="002929D5">
        <w:rPr>
          <w:rFonts w:ascii="Arial" w:hAnsi="Arial" w:cs="Arial"/>
          <w:i/>
          <w:iCs/>
          <w:sz w:val="24"/>
          <w:szCs w:val="24"/>
        </w:rPr>
        <w:t>Beecham v Triomed</w:t>
      </w:r>
      <w:r w:rsidR="005D2A2D" w:rsidRPr="008B02D6">
        <w:rPr>
          <w:rStyle w:val="FootnoteReference"/>
          <w:rFonts w:ascii="Arial" w:hAnsi="Arial" w:cs="Arial"/>
          <w:iCs/>
          <w:sz w:val="24"/>
          <w:szCs w:val="24"/>
        </w:rPr>
        <w:footnoteReference w:id="1"/>
      </w:r>
      <w:r w:rsidR="005D2A2D" w:rsidRPr="005D2A2D">
        <w:rPr>
          <w:rFonts w:ascii="Arial" w:hAnsi="Arial" w:cs="Arial"/>
          <w:i/>
          <w:iCs/>
          <w:sz w:val="24"/>
          <w:szCs w:val="24"/>
        </w:rPr>
        <w:t xml:space="preserve"> </w:t>
      </w:r>
      <w:r w:rsidR="005D2A2D" w:rsidRPr="005D2A2D">
        <w:rPr>
          <w:rFonts w:ascii="Arial" w:hAnsi="Arial" w:cs="Arial"/>
          <w:iCs/>
          <w:sz w:val="24"/>
          <w:szCs w:val="24"/>
        </w:rPr>
        <w:t>(</w:t>
      </w:r>
      <w:r w:rsidR="005D2A2D" w:rsidRPr="005D2A2D">
        <w:rPr>
          <w:rFonts w:ascii="Arial" w:hAnsi="Arial" w:cs="Arial"/>
          <w:i/>
          <w:iCs/>
          <w:sz w:val="24"/>
          <w:szCs w:val="24"/>
        </w:rPr>
        <w:t>Beecham</w:t>
      </w:r>
      <w:r w:rsidR="005D2A2D" w:rsidRPr="005D2A2D">
        <w:rPr>
          <w:rFonts w:ascii="Arial" w:hAnsi="Arial" w:cs="Arial"/>
          <w:iCs/>
          <w:sz w:val="24"/>
          <w:szCs w:val="24"/>
        </w:rPr>
        <w:t>)</w:t>
      </w:r>
      <w:r w:rsidR="008B02D6">
        <w:rPr>
          <w:rFonts w:ascii="Arial" w:hAnsi="Arial" w:cs="Arial"/>
          <w:iCs/>
          <w:sz w:val="24"/>
          <w:szCs w:val="24"/>
        </w:rPr>
        <w:t>, t</w:t>
      </w:r>
      <w:r w:rsidR="00285B86" w:rsidRPr="008B02D6">
        <w:rPr>
          <w:rFonts w:ascii="Arial" w:hAnsi="Arial" w:cs="Arial"/>
          <w:sz w:val="24"/>
          <w:szCs w:val="24"/>
        </w:rPr>
        <w:t>h</w:t>
      </w:r>
      <w:r w:rsidR="004A6C57" w:rsidRPr="008B02D6">
        <w:rPr>
          <w:rFonts w:ascii="Arial" w:hAnsi="Arial" w:cs="Arial"/>
          <w:sz w:val="24"/>
          <w:szCs w:val="24"/>
        </w:rPr>
        <w:t>e enquiry envisaged in sub-section 9(2)</w:t>
      </w:r>
      <w:r w:rsidR="00285B86" w:rsidRPr="008B02D6">
        <w:rPr>
          <w:rFonts w:ascii="Arial" w:hAnsi="Arial" w:cs="Arial"/>
          <w:sz w:val="24"/>
          <w:szCs w:val="24"/>
        </w:rPr>
        <w:t xml:space="preserve"> is a factual </w:t>
      </w:r>
      <w:r w:rsidR="004A6C57" w:rsidRPr="008B02D6">
        <w:rPr>
          <w:rFonts w:ascii="Arial" w:hAnsi="Arial" w:cs="Arial"/>
          <w:sz w:val="24"/>
          <w:szCs w:val="24"/>
        </w:rPr>
        <w:t>one</w:t>
      </w:r>
      <w:r w:rsidR="00285B86" w:rsidRPr="008B02D6">
        <w:rPr>
          <w:rFonts w:ascii="Arial" w:hAnsi="Arial" w:cs="Arial"/>
          <w:sz w:val="24"/>
          <w:szCs w:val="24"/>
        </w:rPr>
        <w:t xml:space="preserve">, which </w:t>
      </w:r>
      <w:bookmarkStart w:id="19" w:name="_Hlk116826531"/>
      <w:r w:rsidR="00285B86" w:rsidRPr="008B02D6">
        <w:rPr>
          <w:rFonts w:ascii="Arial" w:hAnsi="Arial" w:cs="Arial"/>
          <w:sz w:val="24"/>
          <w:szCs w:val="24"/>
          <w:shd w:val="clear" w:color="auto" w:fill="FFFFFF"/>
        </w:rPr>
        <w:t>is done in two stages. The first is whether the mark, at the date of application for registration, was inherently capable of distinguishing the goods of one trader from those of another person.</w:t>
      </w:r>
      <w:r w:rsidR="00285B86" w:rsidRPr="00A051C4">
        <w:rPr>
          <w:rStyle w:val="FootnoteReference"/>
          <w:rFonts w:ascii="Arial" w:hAnsi="Arial" w:cs="Arial"/>
          <w:sz w:val="24"/>
          <w:szCs w:val="24"/>
          <w:shd w:val="clear" w:color="auto" w:fill="FFFFFF"/>
        </w:rPr>
        <w:footnoteReference w:id="2"/>
      </w:r>
      <w:r w:rsidR="00285B86" w:rsidRPr="008B02D6">
        <w:rPr>
          <w:rFonts w:ascii="Arial" w:hAnsi="Arial" w:cs="Arial"/>
          <w:sz w:val="24"/>
          <w:szCs w:val="24"/>
          <w:shd w:val="clear" w:color="auto" w:fill="FFFFFF"/>
        </w:rPr>
        <w:t xml:space="preserve"> If the answer is no, the next inquiry is whether the mark is presently so capable of distinguishing by reason of its use to date.</w:t>
      </w:r>
      <w:bookmarkEnd w:id="19"/>
      <w:r w:rsidR="00285B86" w:rsidRPr="00A051C4">
        <w:rPr>
          <w:rStyle w:val="FootnoteReference"/>
          <w:rFonts w:ascii="Arial" w:hAnsi="Arial" w:cs="Arial"/>
          <w:sz w:val="24"/>
          <w:szCs w:val="24"/>
          <w:shd w:val="clear" w:color="auto" w:fill="FFFFFF"/>
        </w:rPr>
        <w:footnoteReference w:id="3"/>
      </w:r>
      <w:r w:rsidR="00A46ACD" w:rsidRPr="008B02D6">
        <w:rPr>
          <w:rFonts w:ascii="Arial" w:hAnsi="Arial" w:cs="Arial"/>
          <w:sz w:val="24"/>
          <w:szCs w:val="24"/>
        </w:rPr>
        <w:t xml:space="preserve"> </w:t>
      </w:r>
      <w:r w:rsidR="00D76269" w:rsidRPr="008B02D6">
        <w:rPr>
          <w:rFonts w:ascii="Arial" w:hAnsi="Arial" w:cs="Arial"/>
          <w:sz w:val="24"/>
          <w:szCs w:val="24"/>
        </w:rPr>
        <w:t>Whether a mark possesses inherent or acquired distinctiveness is a question of fact that must be determined with regard to all the circumstances of each case. The relevant circumstances include ‘the nature of the mark and of the goods or services, the industry in which the mark is used’, and, ‘the perception of the average consumer in that industry.’</w:t>
      </w:r>
      <w:r w:rsidR="00D76269" w:rsidRPr="00A051C4">
        <w:rPr>
          <w:rStyle w:val="FootnoteReference"/>
          <w:rFonts w:ascii="Arial" w:hAnsi="Arial" w:cs="Arial"/>
          <w:sz w:val="24"/>
          <w:szCs w:val="24"/>
        </w:rPr>
        <w:footnoteReference w:id="4"/>
      </w:r>
    </w:p>
    <w:p w14:paraId="5C0DC91C" w14:textId="70CABB61" w:rsidR="00AA180B" w:rsidRPr="00A051C4" w:rsidRDefault="00D76269" w:rsidP="00915572">
      <w:pPr>
        <w:shd w:val="clear" w:color="auto" w:fill="FFFFFF"/>
        <w:spacing w:before="120" w:after="120" w:line="360" w:lineRule="auto"/>
        <w:contextualSpacing/>
        <w:jc w:val="both"/>
        <w:rPr>
          <w:rFonts w:ascii="Arial" w:hAnsi="Arial" w:cs="Arial"/>
          <w:sz w:val="24"/>
          <w:szCs w:val="24"/>
        </w:rPr>
      </w:pPr>
      <w:r w:rsidRPr="00A051C4">
        <w:rPr>
          <w:rFonts w:ascii="Arial" w:hAnsi="Arial" w:cs="Arial"/>
          <w:sz w:val="24"/>
          <w:szCs w:val="24"/>
        </w:rPr>
        <w:t xml:space="preserve"> </w:t>
      </w:r>
      <w:bookmarkStart w:id="20" w:name="_Hlk116839718"/>
    </w:p>
    <w:p w14:paraId="276D7252" w14:textId="7F4C8B48" w:rsidR="00B44A7E" w:rsidRPr="00A051C4" w:rsidRDefault="006227FF" w:rsidP="006227FF">
      <w:pPr>
        <w:shd w:val="clear" w:color="auto" w:fill="FFFFFF"/>
        <w:spacing w:before="120" w:after="120" w:line="360" w:lineRule="auto"/>
        <w:contextualSpacing/>
        <w:jc w:val="both"/>
        <w:rPr>
          <w:rFonts w:ascii="Arial" w:hAnsi="Arial" w:cs="Arial"/>
          <w:sz w:val="24"/>
          <w:szCs w:val="24"/>
        </w:rPr>
      </w:pPr>
      <w:r w:rsidRPr="00A051C4">
        <w:rPr>
          <w:rFonts w:ascii="Arial" w:hAnsi="Arial" w:cs="Arial"/>
          <w:snapToGrid w:val="0"/>
          <w:color w:val="000000"/>
          <w:w w:val="0"/>
          <w:sz w:val="24"/>
          <w:szCs w:val="24"/>
        </w:rPr>
        <w:t>[11]</w:t>
      </w:r>
      <w:r w:rsidRPr="00A051C4">
        <w:rPr>
          <w:rFonts w:ascii="Arial" w:hAnsi="Arial" w:cs="Arial"/>
          <w:snapToGrid w:val="0"/>
          <w:color w:val="000000"/>
          <w:w w:val="0"/>
          <w:sz w:val="24"/>
          <w:szCs w:val="24"/>
        </w:rPr>
        <w:tab/>
      </w:r>
      <w:r w:rsidR="00AA180B" w:rsidRPr="00A051C4">
        <w:rPr>
          <w:rFonts w:ascii="Arial" w:hAnsi="Arial" w:cs="Arial"/>
          <w:sz w:val="24"/>
          <w:szCs w:val="24"/>
        </w:rPr>
        <w:t>Was Tupperware’s mark inherently distinctive? To answer this question, it is well to bear in mind that t</w:t>
      </w:r>
      <w:r w:rsidR="004A6C57" w:rsidRPr="00A051C4">
        <w:rPr>
          <w:rFonts w:ascii="Arial" w:hAnsi="Arial" w:cs="Arial"/>
          <w:sz w:val="24"/>
          <w:szCs w:val="24"/>
        </w:rPr>
        <w:t>he function of a trade mark is to indicate the origin of the goods or services</w:t>
      </w:r>
      <w:r w:rsidR="00E25E31" w:rsidRPr="00A051C4">
        <w:rPr>
          <w:rFonts w:ascii="Arial" w:hAnsi="Arial" w:cs="Arial"/>
          <w:sz w:val="24"/>
          <w:szCs w:val="24"/>
        </w:rPr>
        <w:t>.</w:t>
      </w:r>
      <w:r w:rsidR="00271A03" w:rsidRPr="00A051C4">
        <w:rPr>
          <w:rFonts w:ascii="Arial" w:eastAsia="Liberation Mono" w:hAnsi="Arial" w:cs="Arial"/>
          <w:sz w:val="24"/>
          <w:szCs w:val="24"/>
          <w:vertAlign w:val="superscript"/>
          <w:lang w:eastAsia="zh-CN" w:bidi="hi-IN"/>
        </w:rPr>
        <w:footnoteReference w:id="5"/>
      </w:r>
      <w:r w:rsidR="00271A03" w:rsidRPr="00A051C4">
        <w:rPr>
          <w:rFonts w:ascii="Arial" w:hAnsi="Arial" w:cs="Arial"/>
          <w:sz w:val="24"/>
          <w:szCs w:val="24"/>
          <w:shd w:val="clear" w:color="auto" w:fill="FFFFFF"/>
        </w:rPr>
        <w:t xml:space="preserve"> </w:t>
      </w:r>
      <w:r w:rsidR="00765262" w:rsidRPr="00A051C4">
        <w:rPr>
          <w:rFonts w:ascii="Arial" w:hAnsi="Arial" w:cs="Arial"/>
          <w:sz w:val="24"/>
          <w:szCs w:val="24"/>
        </w:rPr>
        <w:t xml:space="preserve">Thus, </w:t>
      </w:r>
      <w:r w:rsidR="00D25AD9" w:rsidRPr="00A051C4">
        <w:rPr>
          <w:rFonts w:ascii="Arial" w:hAnsi="Arial" w:cs="Arial"/>
          <w:sz w:val="24"/>
          <w:szCs w:val="24"/>
        </w:rPr>
        <w:t xml:space="preserve">the </w:t>
      </w:r>
      <w:r w:rsidR="00765262" w:rsidRPr="00A051C4">
        <w:rPr>
          <w:rFonts w:ascii="Arial" w:hAnsi="Arial" w:cs="Arial"/>
          <w:sz w:val="24"/>
          <w:szCs w:val="24"/>
        </w:rPr>
        <w:t xml:space="preserve">public perception of a shape mark is crucial. In </w:t>
      </w:r>
      <w:r w:rsidR="00350B92" w:rsidRPr="00A051C4">
        <w:rPr>
          <w:rFonts w:ascii="Arial" w:hAnsi="Arial" w:cs="Arial"/>
          <w:i/>
          <w:iCs/>
          <w:sz w:val="24"/>
          <w:szCs w:val="24"/>
        </w:rPr>
        <w:t xml:space="preserve">Beecham </w:t>
      </w:r>
      <w:r w:rsidR="00765262" w:rsidRPr="00A051C4">
        <w:rPr>
          <w:rFonts w:ascii="Arial" w:hAnsi="Arial" w:cs="Arial"/>
          <w:sz w:val="24"/>
          <w:szCs w:val="24"/>
        </w:rPr>
        <w:t xml:space="preserve">this Court accepted that members of the public must regard the shape of the particular goods as a guarantee of the source of those goods. This would be the case where a </w:t>
      </w:r>
      <w:r w:rsidR="00765262" w:rsidRPr="00A051C4">
        <w:rPr>
          <w:rFonts w:ascii="Arial" w:hAnsi="Arial" w:cs="Arial"/>
          <w:sz w:val="24"/>
          <w:szCs w:val="24"/>
        </w:rPr>
        <w:lastRenderedPageBreak/>
        <w:t>shape is markedly unique or extensively used</w:t>
      </w:r>
      <w:r w:rsidR="00695C6B" w:rsidRPr="00A051C4">
        <w:rPr>
          <w:rFonts w:ascii="Arial" w:hAnsi="Arial" w:cs="Arial"/>
          <w:sz w:val="24"/>
          <w:szCs w:val="24"/>
        </w:rPr>
        <w:t>.</w:t>
      </w:r>
      <w:r w:rsidR="00765262" w:rsidRPr="00A051C4">
        <w:rPr>
          <w:rFonts w:ascii="Arial" w:hAnsi="Arial" w:cs="Arial"/>
          <w:sz w:val="24"/>
          <w:szCs w:val="24"/>
        </w:rPr>
        <w:t xml:space="preserve"> There are two </w:t>
      </w:r>
      <w:r w:rsidR="00D25AD9" w:rsidRPr="00A051C4">
        <w:rPr>
          <w:rFonts w:ascii="Arial" w:hAnsi="Arial" w:cs="Arial"/>
          <w:sz w:val="24"/>
          <w:szCs w:val="24"/>
        </w:rPr>
        <w:t>instances</w:t>
      </w:r>
      <w:r w:rsidR="00765262" w:rsidRPr="00A051C4">
        <w:rPr>
          <w:rFonts w:ascii="Arial" w:hAnsi="Arial" w:cs="Arial"/>
          <w:sz w:val="24"/>
          <w:szCs w:val="24"/>
        </w:rPr>
        <w:t xml:space="preserve"> here: on the one hand, the public might simply recognise a product by its shape. </w:t>
      </w:r>
      <w:r w:rsidR="00D25AD9" w:rsidRPr="00A051C4">
        <w:rPr>
          <w:rFonts w:ascii="Arial" w:hAnsi="Arial" w:cs="Arial"/>
          <w:sz w:val="24"/>
          <w:szCs w:val="24"/>
        </w:rPr>
        <w:t>This is not sufficient for the shape to play the role of a trade mark.</w:t>
      </w:r>
      <w:r w:rsidR="00765262" w:rsidRPr="00A051C4">
        <w:rPr>
          <w:rFonts w:ascii="Arial" w:hAnsi="Arial" w:cs="Arial"/>
          <w:sz w:val="24"/>
          <w:szCs w:val="24"/>
        </w:rPr>
        <w:t xml:space="preserve"> On the other, the public might rely on the </w:t>
      </w:r>
      <w:r w:rsidR="00D25AD9" w:rsidRPr="00A051C4">
        <w:rPr>
          <w:rFonts w:ascii="Arial" w:hAnsi="Arial" w:cs="Arial"/>
          <w:sz w:val="24"/>
          <w:szCs w:val="24"/>
        </w:rPr>
        <w:t xml:space="preserve">distinctiveness of the shape as an indicator of the source of goods. It is the latter instance that denotes the shape as a trade mark. </w:t>
      </w:r>
      <w:bookmarkEnd w:id="20"/>
    </w:p>
    <w:p w14:paraId="7E39CC4B" w14:textId="77777777" w:rsidR="00915572" w:rsidRPr="00A051C4" w:rsidRDefault="00915572" w:rsidP="00915572">
      <w:pPr>
        <w:shd w:val="clear" w:color="auto" w:fill="FFFFFF"/>
        <w:spacing w:before="120" w:after="120" w:line="360" w:lineRule="auto"/>
        <w:contextualSpacing/>
        <w:jc w:val="both"/>
        <w:rPr>
          <w:rFonts w:ascii="Arial" w:hAnsi="Arial" w:cs="Arial"/>
          <w:sz w:val="24"/>
          <w:szCs w:val="24"/>
        </w:rPr>
      </w:pPr>
    </w:p>
    <w:p w14:paraId="7CF3A824" w14:textId="79F67752" w:rsidR="001A7C66" w:rsidRPr="00A051C4" w:rsidRDefault="006227FF" w:rsidP="006227FF">
      <w:pPr>
        <w:shd w:val="clear" w:color="auto" w:fill="FFFFFF"/>
        <w:spacing w:before="120" w:after="120" w:line="360" w:lineRule="auto"/>
        <w:contextualSpacing/>
        <w:jc w:val="both"/>
        <w:rPr>
          <w:rFonts w:ascii="Arial" w:hAnsi="Arial" w:cs="Arial"/>
          <w:sz w:val="24"/>
          <w:szCs w:val="24"/>
        </w:rPr>
      </w:pPr>
      <w:r w:rsidRPr="00A051C4">
        <w:rPr>
          <w:rFonts w:ascii="Arial" w:hAnsi="Arial" w:cs="Arial"/>
          <w:snapToGrid w:val="0"/>
          <w:color w:val="000000"/>
          <w:w w:val="0"/>
          <w:sz w:val="24"/>
          <w:szCs w:val="24"/>
        </w:rPr>
        <w:t>[12]</w:t>
      </w:r>
      <w:r w:rsidRPr="00A051C4">
        <w:rPr>
          <w:rFonts w:ascii="Arial" w:hAnsi="Arial" w:cs="Arial"/>
          <w:snapToGrid w:val="0"/>
          <w:color w:val="000000"/>
          <w:w w:val="0"/>
          <w:sz w:val="24"/>
          <w:szCs w:val="24"/>
        </w:rPr>
        <w:tab/>
      </w:r>
      <w:r w:rsidR="003941C7" w:rsidRPr="00A051C4">
        <w:rPr>
          <w:rFonts w:ascii="Arial" w:hAnsi="Arial" w:cs="Arial"/>
          <w:sz w:val="24"/>
          <w:szCs w:val="24"/>
        </w:rPr>
        <w:t>In terms of s 2(1) of the Act, a ‘mark’ is defined as ‘any sign capable of being represented graphically, including a device, name, signature, word, letter, numeral, shape, configuration, pattern, ornamentation, colour or container for goods or any combination of the aforementioned’. Thus, it is permissible to register a shape as a trade mark.</w:t>
      </w:r>
      <w:r w:rsidR="003941C7" w:rsidRPr="00A051C4">
        <w:rPr>
          <w:rFonts w:ascii="Arial" w:hAnsi="Arial" w:cs="Arial"/>
        </w:rPr>
        <w:t xml:space="preserve"> </w:t>
      </w:r>
      <w:r w:rsidR="00B44A7E" w:rsidRPr="00A051C4">
        <w:rPr>
          <w:rFonts w:ascii="Arial" w:hAnsi="Arial" w:cs="Arial"/>
          <w:sz w:val="24"/>
          <w:szCs w:val="24"/>
        </w:rPr>
        <w:t xml:space="preserve">In </w:t>
      </w:r>
      <w:bookmarkStart w:id="24" w:name="_Hlk117511085"/>
      <w:r w:rsidR="00B44A7E" w:rsidRPr="00A051C4">
        <w:rPr>
          <w:rFonts w:ascii="Arial" w:hAnsi="Arial" w:cs="Arial"/>
          <w:i/>
          <w:iCs/>
          <w:sz w:val="24"/>
          <w:szCs w:val="24"/>
          <w:lang w:eastAsia="en-ZA"/>
        </w:rPr>
        <w:t>Bergkelder</w:t>
      </w:r>
      <w:bookmarkEnd w:id="24"/>
      <w:r w:rsidR="000F734D" w:rsidRPr="00A051C4">
        <w:rPr>
          <w:rFonts w:ascii="Arial" w:hAnsi="Arial" w:cs="Arial"/>
          <w:i/>
          <w:iCs/>
          <w:sz w:val="24"/>
          <w:szCs w:val="24"/>
          <w:lang w:eastAsia="en-ZA"/>
        </w:rPr>
        <w:t xml:space="preserve"> Bpk</w:t>
      </w:r>
      <w:r w:rsidR="00B44A7E" w:rsidRPr="00A051C4">
        <w:rPr>
          <w:rFonts w:ascii="Arial" w:hAnsi="Arial" w:cs="Arial"/>
          <w:i/>
          <w:iCs/>
          <w:sz w:val="24"/>
          <w:szCs w:val="24"/>
          <w:lang w:eastAsia="en-ZA"/>
        </w:rPr>
        <w:t xml:space="preserve"> v Vredendal Koöp Wynmakery</w:t>
      </w:r>
      <w:r w:rsidR="00B44A7E" w:rsidRPr="00A051C4">
        <w:rPr>
          <w:rStyle w:val="FootnoteReference"/>
          <w:rFonts w:ascii="Arial" w:hAnsi="Arial" w:cs="Arial"/>
          <w:sz w:val="24"/>
          <w:szCs w:val="24"/>
          <w:lang w:eastAsia="en-ZA"/>
        </w:rPr>
        <w:footnoteReference w:id="6"/>
      </w:r>
      <w:r w:rsidR="001C4518" w:rsidRPr="00A051C4">
        <w:rPr>
          <w:rFonts w:ascii="Arial" w:hAnsi="Arial" w:cs="Arial"/>
          <w:i/>
          <w:iCs/>
          <w:sz w:val="24"/>
          <w:szCs w:val="24"/>
          <w:lang w:eastAsia="en-ZA"/>
        </w:rPr>
        <w:t xml:space="preserve"> </w:t>
      </w:r>
      <w:r w:rsidR="0000114F" w:rsidRPr="00A051C4">
        <w:rPr>
          <w:rFonts w:ascii="Arial" w:hAnsi="Arial" w:cs="Arial"/>
          <w:sz w:val="24"/>
          <w:szCs w:val="24"/>
          <w:lang w:eastAsia="en-ZA"/>
        </w:rPr>
        <w:t>(</w:t>
      </w:r>
      <w:r w:rsidR="0000114F" w:rsidRPr="00A051C4">
        <w:rPr>
          <w:rFonts w:ascii="Arial" w:hAnsi="Arial" w:cs="Arial"/>
          <w:i/>
          <w:iCs/>
          <w:sz w:val="24"/>
          <w:szCs w:val="24"/>
          <w:lang w:eastAsia="en-ZA"/>
        </w:rPr>
        <w:t>Bergkelder</w:t>
      </w:r>
      <w:r w:rsidR="0000114F" w:rsidRPr="00A051C4">
        <w:rPr>
          <w:rFonts w:ascii="Arial" w:hAnsi="Arial" w:cs="Arial"/>
          <w:sz w:val="24"/>
          <w:szCs w:val="24"/>
          <w:lang w:eastAsia="en-ZA"/>
        </w:rPr>
        <w:t xml:space="preserve">) </w:t>
      </w:r>
      <w:r w:rsidR="00B44A7E" w:rsidRPr="00A051C4">
        <w:rPr>
          <w:rFonts w:ascii="Arial" w:hAnsi="Arial" w:cs="Arial"/>
          <w:sz w:val="24"/>
          <w:szCs w:val="24"/>
          <w:lang w:eastAsia="en-ZA"/>
        </w:rPr>
        <w:t xml:space="preserve">this Court considered a </w:t>
      </w:r>
      <w:r w:rsidR="00B44A7E" w:rsidRPr="00A051C4">
        <w:rPr>
          <w:rFonts w:ascii="Arial" w:hAnsi="Arial" w:cs="Arial"/>
          <w:sz w:val="24"/>
          <w:szCs w:val="24"/>
          <w:shd w:val="clear" w:color="auto" w:fill="FFFFFF"/>
        </w:rPr>
        <w:t>trade mark dispute about a container mark in the form of a wine bottle.</w:t>
      </w:r>
      <w:bookmarkStart w:id="25" w:name="_Hlk116828281"/>
      <w:r w:rsidR="00B44A7E" w:rsidRPr="00A051C4">
        <w:rPr>
          <w:rFonts w:ascii="Arial" w:hAnsi="Arial" w:cs="Arial"/>
          <w:sz w:val="24"/>
          <w:szCs w:val="24"/>
        </w:rPr>
        <w:t xml:space="preserve"> </w:t>
      </w:r>
      <w:r w:rsidR="00B44A7E" w:rsidRPr="00A051C4">
        <w:rPr>
          <w:rFonts w:ascii="Arial" w:hAnsi="Arial" w:cs="Arial"/>
          <w:sz w:val="24"/>
          <w:szCs w:val="24"/>
          <w:lang w:eastAsia="en-ZA"/>
        </w:rPr>
        <w:t xml:space="preserve">It was pointed </w:t>
      </w:r>
      <w:r w:rsidR="009D1028" w:rsidRPr="00A051C4">
        <w:rPr>
          <w:rFonts w:ascii="Arial" w:hAnsi="Arial" w:cs="Arial"/>
          <w:sz w:val="24"/>
          <w:szCs w:val="24"/>
          <w:lang w:eastAsia="en-ZA"/>
        </w:rPr>
        <w:t xml:space="preserve">out that </w:t>
      </w:r>
      <w:bookmarkEnd w:id="25"/>
      <w:r w:rsidR="009D1028" w:rsidRPr="00A051C4">
        <w:rPr>
          <w:rFonts w:ascii="Arial" w:hAnsi="Arial" w:cs="Arial"/>
          <w:sz w:val="24"/>
          <w:szCs w:val="24"/>
        </w:rPr>
        <w:t xml:space="preserve">shape and </w:t>
      </w:r>
      <w:r w:rsidR="009D1028" w:rsidRPr="00A051C4">
        <w:rPr>
          <w:rFonts w:ascii="Arial" w:hAnsi="Arial" w:cs="Arial"/>
          <w:sz w:val="24"/>
          <w:szCs w:val="24"/>
          <w:shd w:val="clear" w:color="auto" w:fill="FFFFFF"/>
        </w:rPr>
        <w:t xml:space="preserve">container marks </w:t>
      </w:r>
      <w:r w:rsidR="000F734D" w:rsidRPr="00A051C4">
        <w:rPr>
          <w:rFonts w:ascii="Arial" w:hAnsi="Arial" w:cs="Arial"/>
          <w:sz w:val="24"/>
          <w:szCs w:val="24"/>
          <w:shd w:val="clear" w:color="auto" w:fill="FFFFFF"/>
        </w:rPr>
        <w:t>‘</w:t>
      </w:r>
      <w:r w:rsidR="009D1028" w:rsidRPr="00A051C4">
        <w:rPr>
          <w:rFonts w:ascii="Arial" w:hAnsi="Arial" w:cs="Arial"/>
          <w:sz w:val="24"/>
          <w:szCs w:val="24"/>
        </w:rPr>
        <w:t>do not differ from any other kind of trade mark</w:t>
      </w:r>
      <w:r w:rsidR="000F734D" w:rsidRPr="00A051C4">
        <w:rPr>
          <w:rFonts w:ascii="Arial" w:hAnsi="Arial" w:cs="Arial"/>
          <w:sz w:val="24"/>
          <w:szCs w:val="24"/>
        </w:rPr>
        <w:t>’</w:t>
      </w:r>
      <w:r w:rsidR="009D1028" w:rsidRPr="00A051C4">
        <w:rPr>
          <w:rFonts w:ascii="Arial" w:hAnsi="Arial" w:cs="Arial"/>
          <w:sz w:val="24"/>
          <w:szCs w:val="24"/>
        </w:rPr>
        <w:t xml:space="preserve">, and that </w:t>
      </w:r>
      <w:r w:rsidR="000F734D" w:rsidRPr="00A051C4">
        <w:rPr>
          <w:rFonts w:ascii="Arial" w:hAnsi="Arial" w:cs="Arial"/>
          <w:sz w:val="24"/>
          <w:szCs w:val="24"/>
        </w:rPr>
        <w:t>‘</w:t>
      </w:r>
      <w:r w:rsidR="009D1028" w:rsidRPr="00A051C4">
        <w:rPr>
          <w:rFonts w:ascii="Arial" w:hAnsi="Arial" w:cs="Arial"/>
          <w:sz w:val="24"/>
          <w:szCs w:val="24"/>
        </w:rPr>
        <w:t>the criteria for assessing the</w:t>
      </w:r>
      <w:r w:rsidR="00850921" w:rsidRPr="00A051C4">
        <w:rPr>
          <w:rFonts w:ascii="Arial" w:hAnsi="Arial" w:cs="Arial"/>
          <w:sz w:val="24"/>
          <w:szCs w:val="24"/>
        </w:rPr>
        <w:t>ir</w:t>
      </w:r>
      <w:r w:rsidR="009D1028" w:rsidRPr="00A051C4">
        <w:rPr>
          <w:rFonts w:ascii="Arial" w:hAnsi="Arial" w:cs="Arial"/>
          <w:sz w:val="24"/>
          <w:szCs w:val="24"/>
        </w:rPr>
        <w:t xml:space="preserve"> distinctive character</w:t>
      </w:r>
      <w:r w:rsidR="000F734D" w:rsidRPr="00A051C4">
        <w:rPr>
          <w:rFonts w:ascii="Arial" w:hAnsi="Arial" w:cs="Arial"/>
          <w:sz w:val="24"/>
          <w:szCs w:val="24"/>
        </w:rPr>
        <w:t xml:space="preserve"> . . .</w:t>
      </w:r>
      <w:r w:rsidR="009D1028" w:rsidRPr="00A051C4">
        <w:rPr>
          <w:rFonts w:ascii="Arial" w:hAnsi="Arial" w:cs="Arial"/>
          <w:sz w:val="24"/>
          <w:szCs w:val="24"/>
        </w:rPr>
        <w:t xml:space="preserve"> are no different from those applicable to other categories of trade mark.’</w:t>
      </w:r>
      <w:r w:rsidR="009D1028" w:rsidRPr="00A051C4">
        <w:rPr>
          <w:rStyle w:val="FootnoteReference"/>
          <w:rFonts w:ascii="Arial" w:hAnsi="Arial" w:cs="Arial"/>
          <w:sz w:val="24"/>
          <w:szCs w:val="24"/>
        </w:rPr>
        <w:footnoteReference w:id="7"/>
      </w:r>
      <w:r w:rsidR="009D1028" w:rsidRPr="00A051C4">
        <w:rPr>
          <w:rFonts w:ascii="Arial" w:hAnsi="Arial" w:cs="Arial"/>
          <w:sz w:val="24"/>
          <w:szCs w:val="24"/>
        </w:rPr>
        <w:t xml:space="preserve"> However, </w:t>
      </w:r>
      <w:r w:rsidR="0019178C" w:rsidRPr="00A051C4">
        <w:rPr>
          <w:rFonts w:ascii="Arial" w:hAnsi="Arial" w:cs="Arial"/>
          <w:sz w:val="24"/>
          <w:szCs w:val="24"/>
        </w:rPr>
        <w:t>‘from a practical point of view they stand on a different footing’</w:t>
      </w:r>
      <w:r w:rsidR="0019178C" w:rsidRPr="00A051C4">
        <w:rPr>
          <w:rStyle w:val="FootnoteReference"/>
          <w:rFonts w:ascii="Arial" w:hAnsi="Arial" w:cs="Arial"/>
          <w:sz w:val="24"/>
          <w:szCs w:val="24"/>
        </w:rPr>
        <w:footnoteReference w:id="8"/>
      </w:r>
      <w:r w:rsidR="0019178C" w:rsidRPr="00A051C4">
        <w:rPr>
          <w:rFonts w:ascii="Arial" w:hAnsi="Arial" w:cs="Arial"/>
          <w:sz w:val="24"/>
          <w:szCs w:val="24"/>
        </w:rPr>
        <w:t xml:space="preserve"> </w:t>
      </w:r>
      <w:r w:rsidR="00850921" w:rsidRPr="00A051C4">
        <w:rPr>
          <w:rFonts w:ascii="Arial" w:hAnsi="Arial" w:cs="Arial"/>
          <w:sz w:val="24"/>
          <w:szCs w:val="24"/>
        </w:rPr>
        <w:t>because ‘average consumers are not in the habit of making assumptions</w:t>
      </w:r>
      <w:r w:rsidR="00395053" w:rsidRPr="00A051C4">
        <w:rPr>
          <w:rFonts w:ascii="Arial" w:hAnsi="Arial" w:cs="Arial"/>
          <w:sz w:val="24"/>
          <w:szCs w:val="24"/>
        </w:rPr>
        <w:t>’ about the origin of products based on shapes.</w:t>
      </w:r>
      <w:r w:rsidR="00850921" w:rsidRPr="00A051C4">
        <w:rPr>
          <w:rStyle w:val="FootnoteReference"/>
          <w:rFonts w:ascii="Arial" w:hAnsi="Arial" w:cs="Arial"/>
          <w:sz w:val="24"/>
          <w:szCs w:val="24"/>
        </w:rPr>
        <w:footnoteReference w:id="9"/>
      </w:r>
      <w:r w:rsidR="00850921" w:rsidRPr="00A051C4">
        <w:rPr>
          <w:rFonts w:ascii="Arial" w:hAnsi="Arial" w:cs="Arial"/>
          <w:sz w:val="24"/>
          <w:szCs w:val="24"/>
        </w:rPr>
        <w:t xml:space="preserve"> </w:t>
      </w:r>
    </w:p>
    <w:p w14:paraId="2A865E4C" w14:textId="77777777" w:rsidR="001A7C66" w:rsidRPr="00A051C4" w:rsidRDefault="001A7C66" w:rsidP="00E81E81">
      <w:pPr>
        <w:pStyle w:val="ListParagraph"/>
        <w:rPr>
          <w:rFonts w:ascii="Arial" w:hAnsi="Arial" w:cs="Arial"/>
          <w:sz w:val="24"/>
          <w:szCs w:val="24"/>
        </w:rPr>
      </w:pPr>
    </w:p>
    <w:p w14:paraId="56DFCB59" w14:textId="7FF876E7" w:rsidR="00E944F9" w:rsidRPr="00A051C4" w:rsidRDefault="006227FF" w:rsidP="006227FF">
      <w:pPr>
        <w:shd w:val="clear" w:color="auto" w:fill="FFFFFF"/>
        <w:spacing w:before="120" w:after="120" w:line="360" w:lineRule="auto"/>
        <w:contextualSpacing/>
        <w:jc w:val="both"/>
        <w:rPr>
          <w:rFonts w:ascii="Arial" w:hAnsi="Arial" w:cs="Arial"/>
          <w:sz w:val="24"/>
          <w:szCs w:val="24"/>
        </w:rPr>
      </w:pPr>
      <w:r w:rsidRPr="00A051C4">
        <w:rPr>
          <w:rFonts w:ascii="Arial" w:hAnsi="Arial" w:cs="Arial"/>
          <w:snapToGrid w:val="0"/>
          <w:color w:val="000000"/>
          <w:w w:val="0"/>
          <w:sz w:val="24"/>
          <w:szCs w:val="24"/>
        </w:rPr>
        <w:t>[13]</w:t>
      </w:r>
      <w:r w:rsidRPr="00A051C4">
        <w:rPr>
          <w:rFonts w:ascii="Arial" w:hAnsi="Arial" w:cs="Arial"/>
          <w:snapToGrid w:val="0"/>
          <w:color w:val="000000"/>
          <w:w w:val="0"/>
          <w:sz w:val="24"/>
          <w:szCs w:val="24"/>
        </w:rPr>
        <w:tab/>
      </w:r>
      <w:r w:rsidR="00850921" w:rsidRPr="00A051C4">
        <w:rPr>
          <w:rFonts w:ascii="Arial" w:hAnsi="Arial" w:cs="Arial"/>
          <w:sz w:val="24"/>
          <w:szCs w:val="24"/>
        </w:rPr>
        <w:t xml:space="preserve">Emphasising </w:t>
      </w:r>
      <w:r w:rsidR="00CC6A60" w:rsidRPr="00A051C4">
        <w:rPr>
          <w:rFonts w:ascii="Arial" w:hAnsi="Arial" w:cs="Arial"/>
          <w:sz w:val="24"/>
          <w:szCs w:val="24"/>
        </w:rPr>
        <w:t xml:space="preserve">the </w:t>
      </w:r>
      <w:r w:rsidR="008164AF" w:rsidRPr="00A051C4">
        <w:rPr>
          <w:rFonts w:ascii="Arial" w:hAnsi="Arial" w:cs="Arial"/>
          <w:sz w:val="24"/>
          <w:szCs w:val="24"/>
        </w:rPr>
        <w:t>weakness of shape marks as indicators of origin</w:t>
      </w:r>
      <w:r w:rsidR="00850921" w:rsidRPr="00A051C4">
        <w:rPr>
          <w:rFonts w:ascii="Arial" w:hAnsi="Arial" w:cs="Arial"/>
          <w:sz w:val="24"/>
          <w:szCs w:val="24"/>
        </w:rPr>
        <w:t>, the Court</w:t>
      </w:r>
      <w:r w:rsidR="008164AF" w:rsidRPr="00A051C4">
        <w:rPr>
          <w:rFonts w:ascii="Arial" w:hAnsi="Arial" w:cs="Arial"/>
          <w:sz w:val="24"/>
          <w:szCs w:val="24"/>
        </w:rPr>
        <w:t xml:space="preserve"> </w:t>
      </w:r>
      <w:r w:rsidR="00850921" w:rsidRPr="00A051C4">
        <w:rPr>
          <w:rFonts w:ascii="Arial" w:hAnsi="Arial" w:cs="Arial"/>
          <w:sz w:val="24"/>
          <w:szCs w:val="24"/>
        </w:rPr>
        <w:t xml:space="preserve">referred </w:t>
      </w:r>
      <w:r w:rsidR="00CC6A60" w:rsidRPr="00A051C4">
        <w:rPr>
          <w:rFonts w:ascii="Arial" w:hAnsi="Arial" w:cs="Arial"/>
          <w:sz w:val="24"/>
          <w:szCs w:val="24"/>
        </w:rPr>
        <w:t xml:space="preserve">to a passage in </w:t>
      </w:r>
      <w:r w:rsidR="00E944F9" w:rsidRPr="00A051C4">
        <w:rPr>
          <w:rFonts w:ascii="Arial" w:hAnsi="Arial" w:cs="Arial"/>
          <w:i/>
          <w:sz w:val="24"/>
          <w:szCs w:val="24"/>
        </w:rPr>
        <w:t>Bo</w:t>
      </w:r>
      <w:r w:rsidR="00107BC4" w:rsidRPr="00A051C4">
        <w:rPr>
          <w:rFonts w:ascii="Arial" w:hAnsi="Arial" w:cs="Arial"/>
          <w:i/>
          <w:sz w:val="24"/>
          <w:szCs w:val="24"/>
        </w:rPr>
        <w:t>n</w:t>
      </w:r>
      <w:r w:rsidR="00E944F9" w:rsidRPr="00A051C4">
        <w:rPr>
          <w:rFonts w:ascii="Arial" w:hAnsi="Arial" w:cs="Arial"/>
          <w:i/>
          <w:sz w:val="24"/>
          <w:szCs w:val="24"/>
        </w:rPr>
        <w:t xml:space="preserve">grain SA’s Trade Mark Application </w:t>
      </w:r>
      <w:r w:rsidR="00E944F9" w:rsidRPr="00A051C4">
        <w:rPr>
          <w:rFonts w:ascii="Arial" w:hAnsi="Arial" w:cs="Arial"/>
          <w:sz w:val="24"/>
          <w:szCs w:val="24"/>
        </w:rPr>
        <w:t xml:space="preserve">[2005] RPC 14, </w:t>
      </w:r>
      <w:r w:rsidR="008164AF" w:rsidRPr="00A051C4">
        <w:rPr>
          <w:rFonts w:ascii="Arial" w:hAnsi="Arial" w:cs="Arial"/>
          <w:sz w:val="24"/>
          <w:szCs w:val="24"/>
        </w:rPr>
        <w:t>w</w:t>
      </w:r>
      <w:r w:rsidR="00E944F9" w:rsidRPr="00A051C4">
        <w:rPr>
          <w:rFonts w:ascii="Arial" w:hAnsi="Arial" w:cs="Arial"/>
          <w:sz w:val="24"/>
          <w:szCs w:val="24"/>
        </w:rPr>
        <w:t>here Jacob LJ</w:t>
      </w:r>
      <w:r w:rsidR="0019178C" w:rsidRPr="00A051C4">
        <w:rPr>
          <w:rFonts w:ascii="Arial" w:hAnsi="Arial" w:cs="Arial"/>
          <w:sz w:val="24"/>
          <w:szCs w:val="24"/>
        </w:rPr>
        <w:t xml:space="preserve"> said:</w:t>
      </w:r>
    </w:p>
    <w:p w14:paraId="261E53D7" w14:textId="5228989E" w:rsidR="00E944F9" w:rsidRPr="00A051C4" w:rsidRDefault="0019178C" w:rsidP="00E944F9">
      <w:pPr>
        <w:shd w:val="clear" w:color="auto" w:fill="FFFFFF"/>
        <w:spacing w:before="120" w:after="120" w:line="360" w:lineRule="auto"/>
        <w:contextualSpacing/>
        <w:jc w:val="both"/>
        <w:rPr>
          <w:rFonts w:ascii="Arial" w:hAnsi="Arial" w:cs="Arial"/>
        </w:rPr>
      </w:pPr>
      <w:r w:rsidRPr="00A051C4">
        <w:rPr>
          <w:rFonts w:ascii="Arial" w:hAnsi="Arial" w:cs="Arial"/>
        </w:rPr>
        <w:t>‘… [</w:t>
      </w:r>
      <w:r w:rsidR="00E944F9" w:rsidRPr="00A051C4">
        <w:rPr>
          <w:rFonts w:ascii="Arial" w:hAnsi="Arial" w:cs="Arial"/>
        </w:rPr>
        <w:t>t</w:t>
      </w:r>
      <w:r w:rsidRPr="00A051C4">
        <w:rPr>
          <w:rFonts w:ascii="Arial" w:hAnsi="Arial" w:cs="Arial"/>
        </w:rPr>
        <w:t>]</w:t>
      </w:r>
      <w:r w:rsidR="00E944F9" w:rsidRPr="00A051C4">
        <w:rPr>
          <w:rFonts w:ascii="Arial" w:hAnsi="Arial" w:cs="Arial"/>
        </w:rPr>
        <w:t>he kinds of sign which may be registered fall into a kind of spectrum as regards public perception. This starts with the most distinctive forms such as invented words and fancy devices. In the middle are things such as semi-descriptive words and devices. Towards the end are shapes of containers. The end would be the very shape of the goods. Signs at the beginning of the spectrum are of their very nature likely to be taken as put on the goods to tell you who made them</w:t>
      </w:r>
      <w:r w:rsidR="00107BC4" w:rsidRPr="00A051C4">
        <w:rPr>
          <w:rFonts w:ascii="Arial" w:hAnsi="Arial" w:cs="Arial"/>
        </w:rPr>
        <w:t xml:space="preserve"> </w:t>
      </w:r>
      <w:r w:rsidR="00E944F9" w:rsidRPr="00A051C4">
        <w:rPr>
          <w:rFonts w:ascii="Arial" w:hAnsi="Arial" w:cs="Arial"/>
        </w:rPr>
        <w:t>.</w:t>
      </w:r>
      <w:r w:rsidR="00107BC4" w:rsidRPr="00A051C4">
        <w:rPr>
          <w:rFonts w:ascii="Arial" w:hAnsi="Arial" w:cs="Arial"/>
        </w:rPr>
        <w:t xml:space="preserve"> . . But,</w:t>
      </w:r>
      <w:r w:rsidR="00E944F9" w:rsidRPr="00A051C4">
        <w:rPr>
          <w:rFonts w:ascii="Arial" w:hAnsi="Arial" w:cs="Arial"/>
        </w:rPr>
        <w:t xml:space="preserve"> </w:t>
      </w:r>
      <w:r w:rsidR="00107BC4" w:rsidRPr="00A051C4">
        <w:rPr>
          <w:rFonts w:ascii="Arial" w:hAnsi="Arial" w:cs="Arial"/>
        </w:rPr>
        <w:t>a</w:t>
      </w:r>
      <w:r w:rsidR="00E944F9" w:rsidRPr="00A051C4">
        <w:rPr>
          <w:rFonts w:ascii="Arial" w:hAnsi="Arial" w:cs="Arial"/>
        </w:rPr>
        <w:t>t the very end of the spectrum, the shape of goods as such is unlikely to convey such a message.</w:t>
      </w:r>
      <w:r w:rsidR="00CC6A60" w:rsidRPr="00A051C4">
        <w:rPr>
          <w:rFonts w:ascii="Arial" w:hAnsi="Arial" w:cs="Arial"/>
        </w:rPr>
        <w:t>’</w:t>
      </w:r>
    </w:p>
    <w:p w14:paraId="30A52576" w14:textId="77777777" w:rsidR="001C4518" w:rsidRPr="00A051C4" w:rsidRDefault="001C4518" w:rsidP="00E944F9">
      <w:pPr>
        <w:shd w:val="clear" w:color="auto" w:fill="FFFFFF"/>
        <w:spacing w:before="120" w:after="120" w:line="360" w:lineRule="auto"/>
        <w:contextualSpacing/>
        <w:jc w:val="both"/>
        <w:rPr>
          <w:rFonts w:ascii="Arial" w:hAnsi="Arial" w:cs="Arial"/>
        </w:rPr>
      </w:pPr>
    </w:p>
    <w:p w14:paraId="370D7197" w14:textId="39655847" w:rsidR="0000114F" w:rsidRPr="00A051C4" w:rsidRDefault="006227FF" w:rsidP="006227FF">
      <w:pPr>
        <w:shd w:val="clear" w:color="auto" w:fill="FFFFFF"/>
        <w:spacing w:before="120" w:after="120" w:line="360" w:lineRule="auto"/>
        <w:contextualSpacing/>
        <w:jc w:val="both"/>
        <w:rPr>
          <w:rFonts w:ascii="Arial" w:hAnsi="Arial" w:cs="Arial"/>
          <w:sz w:val="24"/>
          <w:szCs w:val="24"/>
        </w:rPr>
      </w:pPr>
      <w:r w:rsidRPr="00A051C4">
        <w:rPr>
          <w:rFonts w:ascii="Arial" w:hAnsi="Arial" w:cs="Arial"/>
          <w:snapToGrid w:val="0"/>
          <w:color w:val="000000"/>
          <w:w w:val="0"/>
          <w:sz w:val="24"/>
          <w:szCs w:val="24"/>
        </w:rPr>
        <w:lastRenderedPageBreak/>
        <w:t>[14]</w:t>
      </w:r>
      <w:r w:rsidRPr="00A051C4">
        <w:rPr>
          <w:rFonts w:ascii="Arial" w:hAnsi="Arial" w:cs="Arial"/>
          <w:snapToGrid w:val="0"/>
          <w:color w:val="000000"/>
          <w:w w:val="0"/>
          <w:sz w:val="24"/>
          <w:szCs w:val="24"/>
        </w:rPr>
        <w:tab/>
      </w:r>
      <w:r w:rsidR="008164AF" w:rsidRPr="00A051C4">
        <w:rPr>
          <w:rFonts w:ascii="Arial" w:hAnsi="Arial" w:cs="Arial"/>
          <w:sz w:val="24"/>
          <w:szCs w:val="24"/>
        </w:rPr>
        <w:t xml:space="preserve">This Court </w:t>
      </w:r>
      <w:r w:rsidR="0000114F" w:rsidRPr="00A051C4">
        <w:rPr>
          <w:rFonts w:ascii="Arial" w:hAnsi="Arial" w:cs="Arial"/>
          <w:sz w:val="24"/>
          <w:szCs w:val="24"/>
        </w:rPr>
        <w:t xml:space="preserve">in </w:t>
      </w:r>
      <w:r w:rsidR="0000114F" w:rsidRPr="00A051C4">
        <w:rPr>
          <w:rFonts w:ascii="Arial" w:eastAsia="Times New Roman" w:hAnsi="Arial" w:cs="Arial"/>
          <w:i/>
          <w:iCs/>
          <w:sz w:val="24"/>
          <w:szCs w:val="24"/>
          <w:lang w:eastAsia="en-ZA"/>
        </w:rPr>
        <w:t>Bergkelder</w:t>
      </w:r>
      <w:r w:rsidR="0000114F" w:rsidRPr="00A051C4">
        <w:rPr>
          <w:rFonts w:ascii="Arial" w:hAnsi="Arial" w:cs="Arial"/>
          <w:sz w:val="24"/>
          <w:szCs w:val="24"/>
        </w:rPr>
        <w:t xml:space="preserve"> </w:t>
      </w:r>
      <w:r w:rsidR="008164AF" w:rsidRPr="00A051C4">
        <w:rPr>
          <w:rFonts w:ascii="Arial" w:hAnsi="Arial" w:cs="Arial"/>
          <w:sz w:val="24"/>
          <w:szCs w:val="24"/>
        </w:rPr>
        <w:t xml:space="preserve">went on to survey a number of </w:t>
      </w:r>
      <w:r w:rsidR="0089739B" w:rsidRPr="00A051C4">
        <w:rPr>
          <w:rFonts w:ascii="Arial" w:hAnsi="Arial" w:cs="Arial"/>
          <w:sz w:val="24"/>
          <w:szCs w:val="24"/>
        </w:rPr>
        <w:t xml:space="preserve">leading </w:t>
      </w:r>
      <w:r w:rsidR="009D1028" w:rsidRPr="00A051C4">
        <w:rPr>
          <w:rFonts w:ascii="Arial" w:hAnsi="Arial" w:cs="Arial"/>
          <w:sz w:val="24"/>
          <w:szCs w:val="24"/>
        </w:rPr>
        <w:t>American</w:t>
      </w:r>
      <w:r w:rsidR="0000114F" w:rsidRPr="00A051C4">
        <w:rPr>
          <w:rFonts w:ascii="Arial" w:hAnsi="Arial" w:cs="Arial"/>
          <w:sz w:val="24"/>
          <w:szCs w:val="24"/>
        </w:rPr>
        <w:t>,</w:t>
      </w:r>
      <w:r w:rsidR="009D1028" w:rsidRPr="00A051C4">
        <w:rPr>
          <w:rFonts w:ascii="Arial" w:hAnsi="Arial" w:cs="Arial"/>
          <w:sz w:val="24"/>
          <w:szCs w:val="24"/>
        </w:rPr>
        <w:t xml:space="preserve"> English </w:t>
      </w:r>
      <w:r w:rsidR="0000114F" w:rsidRPr="00A051C4">
        <w:rPr>
          <w:rFonts w:ascii="Arial" w:hAnsi="Arial" w:cs="Arial"/>
          <w:sz w:val="24"/>
          <w:szCs w:val="24"/>
        </w:rPr>
        <w:t xml:space="preserve">and European Union </w:t>
      </w:r>
      <w:r w:rsidR="009D1028" w:rsidRPr="00A051C4">
        <w:rPr>
          <w:rFonts w:ascii="Arial" w:hAnsi="Arial" w:cs="Arial"/>
          <w:sz w:val="24"/>
          <w:szCs w:val="24"/>
        </w:rPr>
        <w:t>authorities</w:t>
      </w:r>
      <w:r w:rsidR="008164AF" w:rsidRPr="00A051C4">
        <w:rPr>
          <w:rFonts w:ascii="Arial" w:hAnsi="Arial" w:cs="Arial"/>
          <w:sz w:val="24"/>
          <w:szCs w:val="24"/>
        </w:rPr>
        <w:t xml:space="preserve"> on</w:t>
      </w:r>
      <w:r w:rsidR="009D1028" w:rsidRPr="00A051C4">
        <w:rPr>
          <w:rFonts w:ascii="Arial" w:hAnsi="Arial" w:cs="Arial"/>
          <w:sz w:val="24"/>
          <w:szCs w:val="24"/>
        </w:rPr>
        <w:t xml:space="preserve"> shape and container marks. </w:t>
      </w:r>
      <w:bookmarkStart w:id="26" w:name="_Hlk116839775"/>
      <w:r w:rsidR="00931DA3" w:rsidRPr="00A051C4">
        <w:rPr>
          <w:rFonts w:ascii="Arial" w:hAnsi="Arial" w:cs="Arial"/>
          <w:sz w:val="24"/>
          <w:szCs w:val="24"/>
        </w:rPr>
        <w:t xml:space="preserve">I distil the following broad </w:t>
      </w:r>
      <w:r w:rsidR="009D1028" w:rsidRPr="00A051C4">
        <w:rPr>
          <w:rFonts w:ascii="Arial" w:hAnsi="Arial" w:cs="Arial"/>
          <w:sz w:val="24"/>
          <w:szCs w:val="24"/>
        </w:rPr>
        <w:t>principles from the authorities referred to in</w:t>
      </w:r>
      <w:r w:rsidR="00931DA3" w:rsidRPr="00A051C4">
        <w:rPr>
          <w:rFonts w:ascii="Arial" w:hAnsi="Arial" w:cs="Arial"/>
          <w:sz w:val="24"/>
          <w:szCs w:val="24"/>
        </w:rPr>
        <w:t xml:space="preserve"> paras 7</w:t>
      </w:r>
      <w:r w:rsidR="00E944F9" w:rsidRPr="00A051C4">
        <w:rPr>
          <w:rFonts w:ascii="Arial" w:hAnsi="Arial" w:cs="Arial"/>
          <w:sz w:val="24"/>
          <w:szCs w:val="24"/>
        </w:rPr>
        <w:t>-10</w:t>
      </w:r>
      <w:r w:rsidR="00931DA3" w:rsidRPr="00A051C4">
        <w:rPr>
          <w:rFonts w:ascii="Arial" w:hAnsi="Arial" w:cs="Arial"/>
          <w:sz w:val="24"/>
          <w:szCs w:val="24"/>
        </w:rPr>
        <w:t xml:space="preserve"> of</w:t>
      </w:r>
      <w:r w:rsidR="009D1028" w:rsidRPr="00A051C4">
        <w:rPr>
          <w:rFonts w:ascii="Arial" w:hAnsi="Arial" w:cs="Arial"/>
          <w:sz w:val="24"/>
          <w:szCs w:val="24"/>
        </w:rPr>
        <w:t xml:space="preserve"> </w:t>
      </w:r>
      <w:r w:rsidR="009D1028" w:rsidRPr="00A051C4">
        <w:rPr>
          <w:rFonts w:ascii="Arial" w:eastAsia="Times New Roman" w:hAnsi="Arial" w:cs="Arial"/>
          <w:i/>
          <w:iCs/>
          <w:sz w:val="24"/>
          <w:szCs w:val="24"/>
          <w:lang w:eastAsia="en-ZA"/>
        </w:rPr>
        <w:t>Bergkelder</w:t>
      </w:r>
      <w:r w:rsidR="009D1028" w:rsidRPr="00A051C4">
        <w:rPr>
          <w:rFonts w:ascii="Arial" w:eastAsia="Times New Roman" w:hAnsi="Arial" w:cs="Arial"/>
          <w:sz w:val="24"/>
          <w:szCs w:val="24"/>
          <w:lang w:eastAsia="en-ZA"/>
        </w:rPr>
        <w:t>:</w:t>
      </w:r>
      <w:r w:rsidR="009D1028" w:rsidRPr="00A051C4">
        <w:rPr>
          <w:rFonts w:ascii="Arial" w:eastAsia="Times New Roman" w:hAnsi="Arial" w:cs="Arial"/>
          <w:i/>
          <w:iCs/>
          <w:sz w:val="24"/>
          <w:szCs w:val="24"/>
          <w:lang w:eastAsia="en-ZA"/>
        </w:rPr>
        <w:t xml:space="preserve"> </w:t>
      </w:r>
      <w:r w:rsidR="002D3302" w:rsidRPr="00A051C4">
        <w:rPr>
          <w:rFonts w:ascii="Arial" w:hAnsi="Arial" w:cs="Arial"/>
          <w:sz w:val="24"/>
          <w:szCs w:val="24"/>
        </w:rPr>
        <w:t xml:space="preserve">First, the public is not used to mere shapes conveying trade mark significance. </w:t>
      </w:r>
      <w:r w:rsidR="00976021" w:rsidRPr="00A051C4">
        <w:rPr>
          <w:rFonts w:ascii="Arial" w:hAnsi="Arial" w:cs="Arial"/>
          <w:sz w:val="24"/>
          <w:szCs w:val="24"/>
        </w:rPr>
        <w:t>Containers are usually perceived to be functional and, if not run of the mill, to be decorative and not badges of origin.</w:t>
      </w:r>
      <w:r w:rsidR="001C4518" w:rsidRPr="00A051C4">
        <w:rPr>
          <w:rFonts w:ascii="Arial" w:hAnsi="Arial" w:cs="Arial"/>
          <w:sz w:val="24"/>
          <w:szCs w:val="24"/>
        </w:rPr>
        <w:t xml:space="preserve"> </w:t>
      </w:r>
      <w:r w:rsidR="002D3302" w:rsidRPr="00A051C4">
        <w:rPr>
          <w:rFonts w:ascii="Arial" w:hAnsi="Arial" w:cs="Arial"/>
          <w:sz w:val="24"/>
          <w:szCs w:val="24"/>
        </w:rPr>
        <w:t>Second</w:t>
      </w:r>
      <w:r w:rsidR="00931DA3" w:rsidRPr="00A051C4">
        <w:rPr>
          <w:rFonts w:ascii="Arial" w:hAnsi="Arial" w:cs="Arial"/>
          <w:sz w:val="24"/>
          <w:szCs w:val="24"/>
        </w:rPr>
        <w:t xml:space="preserve">, </w:t>
      </w:r>
      <w:r w:rsidR="00976021" w:rsidRPr="00A051C4">
        <w:rPr>
          <w:rFonts w:ascii="Arial" w:hAnsi="Arial" w:cs="Arial"/>
          <w:sz w:val="24"/>
          <w:szCs w:val="24"/>
        </w:rPr>
        <w:t xml:space="preserve">merely because a </w:t>
      </w:r>
      <w:r w:rsidR="00931DA3" w:rsidRPr="00A051C4">
        <w:rPr>
          <w:rFonts w:ascii="Arial" w:hAnsi="Arial" w:cs="Arial"/>
          <w:sz w:val="24"/>
          <w:szCs w:val="24"/>
        </w:rPr>
        <w:t>product</w:t>
      </w:r>
      <w:r w:rsidR="00976021" w:rsidRPr="00A051C4">
        <w:rPr>
          <w:rFonts w:ascii="Arial" w:hAnsi="Arial" w:cs="Arial"/>
          <w:sz w:val="24"/>
          <w:szCs w:val="24"/>
        </w:rPr>
        <w:t xml:space="preserve"> shape is both new and visually distinctive, </w:t>
      </w:r>
      <w:r w:rsidR="002D3302" w:rsidRPr="00A051C4">
        <w:rPr>
          <w:rFonts w:ascii="Arial" w:hAnsi="Arial" w:cs="Arial"/>
          <w:sz w:val="24"/>
          <w:szCs w:val="24"/>
        </w:rPr>
        <w:t xml:space="preserve">and likely to </w:t>
      </w:r>
      <w:r w:rsidR="00976021" w:rsidRPr="00A051C4">
        <w:rPr>
          <w:rFonts w:ascii="Arial" w:hAnsi="Arial" w:cs="Arial"/>
          <w:sz w:val="24"/>
          <w:szCs w:val="24"/>
        </w:rPr>
        <w:t>be recognised as different to other</w:t>
      </w:r>
      <w:r w:rsidR="00931DA3" w:rsidRPr="00A051C4">
        <w:rPr>
          <w:rFonts w:ascii="Arial" w:hAnsi="Arial" w:cs="Arial"/>
          <w:sz w:val="24"/>
          <w:szCs w:val="24"/>
        </w:rPr>
        <w:t>s</w:t>
      </w:r>
      <w:r w:rsidR="00976021" w:rsidRPr="00A051C4">
        <w:rPr>
          <w:rFonts w:ascii="Arial" w:hAnsi="Arial" w:cs="Arial"/>
          <w:sz w:val="24"/>
          <w:szCs w:val="24"/>
        </w:rPr>
        <w:t xml:space="preserve"> on the market, does not mean that it would convey that it was intended to be an indication of origin or that it performed that function. </w:t>
      </w:r>
      <w:r w:rsidR="002D3302" w:rsidRPr="00A051C4">
        <w:rPr>
          <w:rFonts w:ascii="Arial" w:hAnsi="Arial" w:cs="Arial"/>
          <w:sz w:val="24"/>
          <w:szCs w:val="24"/>
        </w:rPr>
        <w:t>Third, e</w:t>
      </w:r>
      <w:r w:rsidR="00976021" w:rsidRPr="00A051C4">
        <w:rPr>
          <w:rFonts w:ascii="Arial" w:hAnsi="Arial" w:cs="Arial"/>
          <w:sz w:val="24"/>
          <w:szCs w:val="24"/>
        </w:rPr>
        <w:t xml:space="preserve">ven a very fancy shape is </w:t>
      </w:r>
      <w:r w:rsidR="002D3302" w:rsidRPr="00A051C4">
        <w:rPr>
          <w:rFonts w:ascii="Arial" w:hAnsi="Arial" w:cs="Arial"/>
          <w:sz w:val="24"/>
          <w:szCs w:val="24"/>
        </w:rPr>
        <w:t xml:space="preserve">not </w:t>
      </w:r>
      <w:r w:rsidR="00976021" w:rsidRPr="00A051C4">
        <w:rPr>
          <w:rFonts w:ascii="Arial" w:hAnsi="Arial" w:cs="Arial"/>
          <w:sz w:val="24"/>
          <w:szCs w:val="24"/>
        </w:rPr>
        <w:t xml:space="preserve">necessarily enough to confer on it an inherently distinctive character. </w:t>
      </w:r>
      <w:r w:rsidR="00931DA3" w:rsidRPr="00A051C4">
        <w:rPr>
          <w:rFonts w:ascii="Arial" w:hAnsi="Arial" w:cs="Arial"/>
          <w:sz w:val="24"/>
          <w:szCs w:val="24"/>
        </w:rPr>
        <w:t>In other words, j</w:t>
      </w:r>
      <w:r w:rsidR="00976021" w:rsidRPr="00A051C4">
        <w:rPr>
          <w:rFonts w:ascii="Arial" w:hAnsi="Arial" w:cs="Arial"/>
          <w:sz w:val="24"/>
          <w:szCs w:val="24"/>
        </w:rPr>
        <w:t xml:space="preserve">ust because a shape is unusual for the kind of goods concerned, the public will </w:t>
      </w:r>
      <w:r w:rsidR="00E944F9" w:rsidRPr="00A051C4">
        <w:rPr>
          <w:rFonts w:ascii="Arial" w:hAnsi="Arial" w:cs="Arial"/>
          <w:sz w:val="24"/>
          <w:szCs w:val="24"/>
        </w:rPr>
        <w:t xml:space="preserve">not </w:t>
      </w:r>
      <w:r w:rsidR="00976021" w:rsidRPr="00A051C4">
        <w:rPr>
          <w:rFonts w:ascii="Arial" w:hAnsi="Arial" w:cs="Arial"/>
          <w:sz w:val="24"/>
          <w:szCs w:val="24"/>
        </w:rPr>
        <w:t>automatically take it as denoting trade origin, as being the badge of the maker.</w:t>
      </w:r>
    </w:p>
    <w:p w14:paraId="74392A7B" w14:textId="4EC6ADFC" w:rsidR="00E944F9" w:rsidRPr="00A051C4" w:rsidRDefault="00976021" w:rsidP="0000114F">
      <w:pPr>
        <w:shd w:val="clear" w:color="auto" w:fill="FFFFFF"/>
        <w:spacing w:before="120" w:after="120" w:line="360" w:lineRule="auto"/>
        <w:contextualSpacing/>
        <w:jc w:val="both"/>
        <w:rPr>
          <w:rFonts w:ascii="Arial" w:hAnsi="Arial" w:cs="Arial"/>
          <w:sz w:val="24"/>
          <w:szCs w:val="24"/>
        </w:rPr>
      </w:pPr>
      <w:r w:rsidRPr="00A051C4">
        <w:rPr>
          <w:rFonts w:ascii="Arial" w:hAnsi="Arial" w:cs="Arial"/>
          <w:sz w:val="24"/>
          <w:szCs w:val="24"/>
        </w:rPr>
        <w:t xml:space="preserve"> </w:t>
      </w:r>
    </w:p>
    <w:p w14:paraId="25A30D13" w14:textId="01926FB6" w:rsidR="00E944F9" w:rsidRPr="00A051C4" w:rsidRDefault="006227FF" w:rsidP="006227FF">
      <w:pPr>
        <w:shd w:val="clear" w:color="auto" w:fill="FFFFFF"/>
        <w:spacing w:before="120" w:after="120" w:line="360" w:lineRule="auto"/>
        <w:contextualSpacing/>
        <w:jc w:val="both"/>
        <w:rPr>
          <w:rFonts w:ascii="Arial" w:hAnsi="Arial" w:cs="Arial"/>
          <w:sz w:val="24"/>
          <w:szCs w:val="24"/>
        </w:rPr>
      </w:pPr>
      <w:r w:rsidRPr="00A051C4">
        <w:rPr>
          <w:rFonts w:ascii="Arial" w:hAnsi="Arial" w:cs="Arial"/>
          <w:snapToGrid w:val="0"/>
          <w:color w:val="000000"/>
          <w:w w:val="0"/>
          <w:sz w:val="24"/>
          <w:szCs w:val="24"/>
        </w:rPr>
        <w:t>[15]</w:t>
      </w:r>
      <w:r w:rsidRPr="00A051C4">
        <w:rPr>
          <w:rFonts w:ascii="Arial" w:hAnsi="Arial" w:cs="Arial"/>
          <w:snapToGrid w:val="0"/>
          <w:color w:val="000000"/>
          <w:w w:val="0"/>
          <w:sz w:val="24"/>
          <w:szCs w:val="24"/>
        </w:rPr>
        <w:tab/>
      </w:r>
      <w:r w:rsidR="001C4518" w:rsidRPr="00A051C4">
        <w:rPr>
          <w:rFonts w:ascii="Arial" w:hAnsi="Arial" w:cs="Arial"/>
          <w:sz w:val="24"/>
          <w:szCs w:val="24"/>
        </w:rPr>
        <w:t>Lastly</w:t>
      </w:r>
      <w:r w:rsidR="00E944F9" w:rsidRPr="00A051C4">
        <w:rPr>
          <w:rFonts w:ascii="Arial" w:hAnsi="Arial" w:cs="Arial"/>
          <w:sz w:val="24"/>
          <w:szCs w:val="24"/>
        </w:rPr>
        <w:t>, since containers are not usually perceived to be source indicators, a container mark must, in order to be able to fulfil a trade mark function, at least differ ‘significantly from the norm or custom of the sector</w:t>
      </w:r>
      <w:r w:rsidR="00107BC4" w:rsidRPr="00A051C4">
        <w:rPr>
          <w:rFonts w:ascii="Arial" w:hAnsi="Arial" w:cs="Arial"/>
          <w:sz w:val="24"/>
          <w:szCs w:val="24"/>
        </w:rPr>
        <w:t>’</w:t>
      </w:r>
      <w:r w:rsidR="00E944F9" w:rsidRPr="00A051C4">
        <w:rPr>
          <w:rFonts w:ascii="Arial" w:hAnsi="Arial" w:cs="Arial"/>
          <w:sz w:val="24"/>
          <w:szCs w:val="24"/>
        </w:rPr>
        <w:t>.</w:t>
      </w:r>
      <w:r w:rsidR="00107BC4" w:rsidRPr="00A051C4">
        <w:rPr>
          <w:rStyle w:val="FootnoteReference"/>
          <w:rFonts w:ascii="Arial" w:hAnsi="Arial" w:cs="Arial"/>
          <w:sz w:val="24"/>
          <w:szCs w:val="24"/>
        </w:rPr>
        <w:footnoteReference w:id="10"/>
      </w:r>
      <w:r w:rsidR="00E944F9" w:rsidRPr="00A051C4">
        <w:rPr>
          <w:rFonts w:ascii="Arial" w:hAnsi="Arial" w:cs="Arial"/>
          <w:i/>
          <w:iCs/>
          <w:sz w:val="24"/>
          <w:szCs w:val="24"/>
        </w:rPr>
        <w:t xml:space="preserve"> </w:t>
      </w:r>
      <w:r w:rsidR="00E944F9" w:rsidRPr="00A051C4">
        <w:rPr>
          <w:rFonts w:ascii="Arial" w:hAnsi="Arial" w:cs="Arial"/>
          <w:sz w:val="24"/>
          <w:szCs w:val="24"/>
        </w:rPr>
        <w:t xml:space="preserve">Only a shape which departs significantly from the norm or customs of the sector </w:t>
      </w:r>
      <w:r w:rsidR="00E944F9" w:rsidRPr="00A051C4">
        <w:rPr>
          <w:rFonts w:ascii="Arial" w:hAnsi="Arial" w:cs="Arial"/>
          <w:sz w:val="24"/>
          <w:szCs w:val="24"/>
          <w:shd w:val="clear" w:color="auto" w:fill="FFFFFF"/>
        </w:rPr>
        <w:t xml:space="preserve">and thereby fulfils its essential function of indicating origin, </w:t>
      </w:r>
      <w:r w:rsidR="00B71844" w:rsidRPr="00A051C4">
        <w:rPr>
          <w:rFonts w:ascii="Arial" w:hAnsi="Arial" w:cs="Arial"/>
          <w:sz w:val="24"/>
          <w:szCs w:val="24"/>
          <w:shd w:val="clear" w:color="auto" w:fill="FFFFFF"/>
        </w:rPr>
        <w:t xml:space="preserve">has a </w:t>
      </w:r>
      <w:r w:rsidR="00E944F9" w:rsidRPr="00A051C4">
        <w:rPr>
          <w:rFonts w:ascii="Arial" w:hAnsi="Arial" w:cs="Arial"/>
          <w:sz w:val="24"/>
          <w:szCs w:val="24"/>
          <w:shd w:val="clear" w:color="auto" w:fill="FFFFFF"/>
        </w:rPr>
        <w:t xml:space="preserve">distinctive character. However, </w:t>
      </w:r>
      <w:r w:rsidR="00E944F9" w:rsidRPr="00A051C4">
        <w:rPr>
          <w:rFonts w:ascii="Arial" w:hAnsi="Arial" w:cs="Arial"/>
          <w:sz w:val="24"/>
          <w:szCs w:val="24"/>
        </w:rPr>
        <w:t xml:space="preserve">the mere fact that it so differs does not necessarily mean that it is capable of distinguishing, as the question remains whether the public would perceive the container to be a badge of origin and not merely another vessel. </w:t>
      </w:r>
    </w:p>
    <w:bookmarkEnd w:id="26"/>
    <w:p w14:paraId="5C51B039" w14:textId="77777777" w:rsidR="003A6824" w:rsidRPr="00A051C4" w:rsidRDefault="003A6824" w:rsidP="00835E41">
      <w:pPr>
        <w:shd w:val="clear" w:color="auto" w:fill="FFFFFF"/>
        <w:spacing w:before="120" w:after="120" w:line="360" w:lineRule="auto"/>
        <w:contextualSpacing/>
        <w:jc w:val="both"/>
        <w:rPr>
          <w:rFonts w:ascii="Arial" w:hAnsi="Arial" w:cs="Arial"/>
          <w:sz w:val="24"/>
          <w:szCs w:val="24"/>
        </w:rPr>
      </w:pPr>
    </w:p>
    <w:p w14:paraId="6B3927DA" w14:textId="646B4066" w:rsidR="00CC63CC" w:rsidRPr="00A051C4" w:rsidRDefault="006227FF" w:rsidP="006227FF">
      <w:pPr>
        <w:shd w:val="clear" w:color="auto" w:fill="FFFFFF"/>
        <w:spacing w:before="120" w:after="120" w:line="360" w:lineRule="auto"/>
        <w:contextualSpacing/>
        <w:jc w:val="both"/>
        <w:rPr>
          <w:rFonts w:ascii="Arial" w:hAnsi="Arial" w:cs="Arial"/>
          <w:sz w:val="24"/>
          <w:szCs w:val="24"/>
        </w:rPr>
      </w:pPr>
      <w:r w:rsidRPr="00A051C4">
        <w:rPr>
          <w:rFonts w:ascii="Arial" w:hAnsi="Arial" w:cs="Arial"/>
          <w:snapToGrid w:val="0"/>
          <w:color w:val="000000"/>
          <w:w w:val="0"/>
          <w:sz w:val="24"/>
          <w:szCs w:val="24"/>
        </w:rPr>
        <w:t>[16]</w:t>
      </w:r>
      <w:r w:rsidRPr="00A051C4">
        <w:rPr>
          <w:rFonts w:ascii="Arial" w:hAnsi="Arial" w:cs="Arial"/>
          <w:snapToGrid w:val="0"/>
          <w:color w:val="000000"/>
          <w:w w:val="0"/>
          <w:sz w:val="24"/>
          <w:szCs w:val="24"/>
        </w:rPr>
        <w:tab/>
      </w:r>
      <w:r w:rsidR="003A6824" w:rsidRPr="00A051C4">
        <w:rPr>
          <w:rFonts w:ascii="Arial" w:hAnsi="Arial" w:cs="Arial"/>
          <w:sz w:val="24"/>
          <w:szCs w:val="24"/>
        </w:rPr>
        <w:t>The</w:t>
      </w:r>
      <w:r w:rsidR="00B44A7E" w:rsidRPr="00A051C4">
        <w:rPr>
          <w:rFonts w:ascii="Arial" w:hAnsi="Arial" w:cs="Arial"/>
          <w:sz w:val="24"/>
          <w:szCs w:val="24"/>
        </w:rPr>
        <w:t xml:space="preserve"> essence </w:t>
      </w:r>
      <w:r w:rsidR="003A6824" w:rsidRPr="00A051C4">
        <w:rPr>
          <w:rFonts w:ascii="Arial" w:hAnsi="Arial" w:cs="Arial"/>
          <w:sz w:val="24"/>
          <w:szCs w:val="24"/>
        </w:rPr>
        <w:t>of these authorities is that there are considerable difficulties in the path of trader</w:t>
      </w:r>
      <w:r w:rsidR="0017032A" w:rsidRPr="00A051C4">
        <w:rPr>
          <w:rFonts w:ascii="Arial" w:hAnsi="Arial" w:cs="Arial"/>
          <w:sz w:val="24"/>
          <w:szCs w:val="24"/>
        </w:rPr>
        <w:t>s</w:t>
      </w:r>
      <w:r w:rsidR="003A6824" w:rsidRPr="00A051C4">
        <w:rPr>
          <w:rFonts w:ascii="Arial" w:hAnsi="Arial" w:cs="Arial"/>
          <w:sz w:val="24"/>
          <w:szCs w:val="24"/>
        </w:rPr>
        <w:t xml:space="preserve"> who contend that the shape of </w:t>
      </w:r>
      <w:r w:rsidR="0017032A" w:rsidRPr="00A051C4">
        <w:rPr>
          <w:rFonts w:ascii="Arial" w:hAnsi="Arial" w:cs="Arial"/>
          <w:sz w:val="24"/>
          <w:szCs w:val="24"/>
        </w:rPr>
        <w:t>their goods</w:t>
      </w:r>
      <w:r w:rsidR="003A6824" w:rsidRPr="00A051C4">
        <w:rPr>
          <w:rFonts w:ascii="Arial" w:hAnsi="Arial" w:cs="Arial"/>
          <w:sz w:val="24"/>
          <w:szCs w:val="24"/>
        </w:rPr>
        <w:t xml:space="preserve"> itself has trade mark significance.</w:t>
      </w:r>
      <w:r w:rsidR="0017032A" w:rsidRPr="00A051C4">
        <w:rPr>
          <w:rFonts w:ascii="Arial" w:hAnsi="Arial" w:cs="Arial"/>
          <w:sz w:val="24"/>
          <w:szCs w:val="24"/>
        </w:rPr>
        <w:t xml:space="preserve"> </w:t>
      </w:r>
      <w:r w:rsidR="0089739B" w:rsidRPr="00A051C4">
        <w:rPr>
          <w:rFonts w:ascii="Arial" w:hAnsi="Arial" w:cs="Arial"/>
          <w:sz w:val="24"/>
          <w:szCs w:val="24"/>
        </w:rPr>
        <w:t xml:space="preserve">It is against these principles that the enquiry as to whether Tupperware’s mark is inherently distinctive should be undertaken. </w:t>
      </w:r>
      <w:r w:rsidR="004A6C57" w:rsidRPr="00A051C4">
        <w:rPr>
          <w:rFonts w:ascii="Arial" w:hAnsi="Arial" w:cs="Arial"/>
          <w:sz w:val="24"/>
          <w:szCs w:val="24"/>
        </w:rPr>
        <w:t>Tupperware contended that its E</w:t>
      </w:r>
      <w:r w:rsidR="00DB64BC" w:rsidRPr="00A051C4">
        <w:rPr>
          <w:rFonts w:ascii="Arial" w:hAnsi="Arial" w:cs="Arial"/>
          <w:sz w:val="24"/>
          <w:szCs w:val="24"/>
        </w:rPr>
        <w:t>co</w:t>
      </w:r>
      <w:r w:rsidR="004A6C57" w:rsidRPr="00A051C4">
        <w:rPr>
          <w:rFonts w:ascii="Arial" w:hAnsi="Arial" w:cs="Arial"/>
          <w:sz w:val="24"/>
          <w:szCs w:val="24"/>
        </w:rPr>
        <w:t xml:space="preserve"> bottle ‘departs significantly’ from the shape of other water bottles in the market and that the use of an hourglass shape with indentations was unique and unknown to the market when it launched the </w:t>
      </w:r>
      <w:r w:rsidR="00DB64BC" w:rsidRPr="00A051C4">
        <w:rPr>
          <w:rFonts w:ascii="Arial" w:hAnsi="Arial" w:cs="Arial"/>
          <w:sz w:val="24"/>
          <w:szCs w:val="24"/>
        </w:rPr>
        <w:t xml:space="preserve">Eco </w:t>
      </w:r>
      <w:r w:rsidR="004A6C57" w:rsidRPr="00A051C4">
        <w:rPr>
          <w:rFonts w:ascii="Arial" w:hAnsi="Arial" w:cs="Arial"/>
          <w:sz w:val="24"/>
          <w:szCs w:val="24"/>
        </w:rPr>
        <w:t xml:space="preserve">10 bottle in South Africa. </w:t>
      </w:r>
      <w:bookmarkStart w:id="27" w:name="para45"/>
      <w:r w:rsidR="0017032A" w:rsidRPr="00A051C4">
        <w:rPr>
          <w:rFonts w:ascii="Arial" w:hAnsi="Arial" w:cs="Arial"/>
          <w:sz w:val="24"/>
          <w:szCs w:val="24"/>
        </w:rPr>
        <w:t>T</w:t>
      </w:r>
      <w:r w:rsidR="00CC63CC" w:rsidRPr="00A051C4">
        <w:rPr>
          <w:rFonts w:ascii="Arial" w:hAnsi="Arial" w:cs="Arial"/>
          <w:sz w:val="24"/>
          <w:szCs w:val="24"/>
        </w:rPr>
        <w:t xml:space="preserve">here are three steps in deciding whether the mark differs significantly from the norms and customs of the sector. The first step in the exercise is to determine what the sector is. Then it is necessary to identify common norms and customs, if any, of that sector. Thirdly it is </w:t>
      </w:r>
      <w:r w:rsidR="00CC63CC" w:rsidRPr="00A051C4">
        <w:rPr>
          <w:rFonts w:ascii="Arial" w:hAnsi="Arial" w:cs="Arial"/>
          <w:sz w:val="24"/>
          <w:szCs w:val="24"/>
        </w:rPr>
        <w:lastRenderedPageBreak/>
        <w:t>necessary to decide whether the mark departs significantly from those norms and customs.</w:t>
      </w:r>
      <w:bookmarkEnd w:id="27"/>
      <w:r w:rsidR="0017032A" w:rsidRPr="00A051C4">
        <w:rPr>
          <w:rStyle w:val="FootnoteReference"/>
          <w:rFonts w:ascii="Arial" w:hAnsi="Arial" w:cs="Arial"/>
          <w:sz w:val="24"/>
          <w:szCs w:val="24"/>
        </w:rPr>
        <w:footnoteReference w:id="11"/>
      </w:r>
    </w:p>
    <w:p w14:paraId="5272D68E" w14:textId="77777777" w:rsidR="0000114F" w:rsidRPr="00A051C4" w:rsidRDefault="0000114F" w:rsidP="0000114F">
      <w:pPr>
        <w:shd w:val="clear" w:color="auto" w:fill="FFFFFF"/>
        <w:spacing w:before="120" w:after="120" w:line="360" w:lineRule="auto"/>
        <w:contextualSpacing/>
        <w:jc w:val="both"/>
        <w:rPr>
          <w:rFonts w:ascii="Arial" w:hAnsi="Arial" w:cs="Arial"/>
          <w:sz w:val="24"/>
          <w:szCs w:val="24"/>
        </w:rPr>
      </w:pPr>
    </w:p>
    <w:p w14:paraId="294E7D1A" w14:textId="2C701F3D" w:rsidR="00F94142" w:rsidRPr="00A051C4" w:rsidRDefault="006227FF" w:rsidP="006227FF">
      <w:pPr>
        <w:shd w:val="clear" w:color="auto" w:fill="FFFFFF"/>
        <w:spacing w:before="120" w:after="120" w:line="360" w:lineRule="auto"/>
        <w:contextualSpacing/>
        <w:jc w:val="both"/>
        <w:rPr>
          <w:rFonts w:ascii="Arial" w:hAnsi="Arial" w:cs="Arial"/>
          <w:sz w:val="24"/>
          <w:szCs w:val="24"/>
        </w:rPr>
      </w:pPr>
      <w:r w:rsidRPr="00A051C4">
        <w:rPr>
          <w:rFonts w:ascii="Arial" w:hAnsi="Arial" w:cs="Arial"/>
          <w:snapToGrid w:val="0"/>
          <w:color w:val="000000"/>
          <w:w w:val="0"/>
          <w:sz w:val="24"/>
          <w:szCs w:val="24"/>
        </w:rPr>
        <w:t>[17]</w:t>
      </w:r>
      <w:r w:rsidRPr="00A051C4">
        <w:rPr>
          <w:rFonts w:ascii="Arial" w:hAnsi="Arial" w:cs="Arial"/>
          <w:snapToGrid w:val="0"/>
          <w:color w:val="000000"/>
          <w:w w:val="0"/>
          <w:sz w:val="24"/>
          <w:szCs w:val="24"/>
        </w:rPr>
        <w:tab/>
      </w:r>
      <w:r w:rsidR="00CC63CC" w:rsidRPr="00A051C4">
        <w:rPr>
          <w:rFonts w:ascii="Arial" w:hAnsi="Arial" w:cs="Arial"/>
          <w:sz w:val="24"/>
          <w:szCs w:val="24"/>
        </w:rPr>
        <w:t xml:space="preserve">In the present case, </w:t>
      </w:r>
      <w:r w:rsidR="004A6C57" w:rsidRPr="00A051C4">
        <w:rPr>
          <w:rFonts w:ascii="Arial" w:hAnsi="Arial" w:cs="Arial"/>
          <w:sz w:val="24"/>
          <w:szCs w:val="24"/>
        </w:rPr>
        <w:t xml:space="preserve">the evidence reveals that at the time of the launch of </w:t>
      </w:r>
      <w:r w:rsidR="00107BC4" w:rsidRPr="00A051C4">
        <w:rPr>
          <w:rFonts w:ascii="Arial" w:hAnsi="Arial" w:cs="Arial"/>
          <w:sz w:val="24"/>
          <w:szCs w:val="24"/>
        </w:rPr>
        <w:t xml:space="preserve">the </w:t>
      </w:r>
      <w:r w:rsidR="004A6C57" w:rsidRPr="00A051C4">
        <w:rPr>
          <w:rFonts w:ascii="Arial" w:hAnsi="Arial" w:cs="Arial"/>
          <w:sz w:val="24"/>
          <w:szCs w:val="24"/>
        </w:rPr>
        <w:t xml:space="preserve">Eco bottle, other traders were marketing their water bottles with an hourglass shape – the shape of the registered trade mark, albeit of varying configurations. Tupperware submitted that the Eco bottle was markedly different from any of those on the market. </w:t>
      </w:r>
      <w:r w:rsidR="004A6A5D" w:rsidRPr="00A051C4">
        <w:rPr>
          <w:rFonts w:ascii="Arial" w:hAnsi="Arial" w:cs="Arial"/>
          <w:sz w:val="24"/>
          <w:szCs w:val="24"/>
        </w:rPr>
        <w:t>It</w:t>
      </w:r>
      <w:r w:rsidR="004A6C57" w:rsidRPr="00A051C4">
        <w:rPr>
          <w:rFonts w:ascii="Arial" w:hAnsi="Arial" w:cs="Arial"/>
          <w:sz w:val="24"/>
          <w:szCs w:val="24"/>
        </w:rPr>
        <w:t xml:space="preserve"> conceded, though that at least two of them were virtually identical to Tupperware’s E</w:t>
      </w:r>
      <w:r w:rsidR="00DB64BC" w:rsidRPr="00A051C4">
        <w:rPr>
          <w:rFonts w:ascii="Arial" w:hAnsi="Arial" w:cs="Arial"/>
          <w:sz w:val="24"/>
          <w:szCs w:val="24"/>
        </w:rPr>
        <w:t>co</w:t>
      </w:r>
      <w:r w:rsidR="004A6C57" w:rsidRPr="00A051C4">
        <w:rPr>
          <w:rFonts w:ascii="Arial" w:hAnsi="Arial" w:cs="Arial"/>
          <w:sz w:val="24"/>
          <w:szCs w:val="24"/>
        </w:rPr>
        <w:t xml:space="preserve"> bottle, and that steps were being taken against the proprietors of those bottles.  The high court said the following of those bottles:</w:t>
      </w:r>
    </w:p>
    <w:p w14:paraId="5D7A3F99" w14:textId="4CF689A2" w:rsidR="004A6C57" w:rsidRPr="00A051C4" w:rsidRDefault="004A6C57" w:rsidP="00F94142">
      <w:pPr>
        <w:shd w:val="clear" w:color="auto" w:fill="FFFFFF"/>
        <w:spacing w:before="120" w:after="120" w:line="360" w:lineRule="auto"/>
        <w:contextualSpacing/>
        <w:jc w:val="both"/>
        <w:rPr>
          <w:rFonts w:ascii="Arial" w:hAnsi="Arial" w:cs="Arial"/>
        </w:rPr>
      </w:pPr>
      <w:r w:rsidRPr="00A051C4">
        <w:rPr>
          <w:rFonts w:ascii="Arial" w:hAnsi="Arial" w:cs="Arial"/>
        </w:rPr>
        <w:t>‘What is, however, clear from the annexures to [Buhle</w:t>
      </w:r>
      <w:r w:rsidR="00395053" w:rsidRPr="00A051C4">
        <w:rPr>
          <w:rFonts w:ascii="Arial" w:hAnsi="Arial" w:cs="Arial"/>
        </w:rPr>
        <w:t xml:space="preserve"> Brands</w:t>
      </w:r>
      <w:r w:rsidRPr="00A051C4">
        <w:rPr>
          <w:rFonts w:ascii="Arial" w:hAnsi="Arial" w:cs="Arial"/>
        </w:rPr>
        <w:t xml:space="preserve">'] answering affidavit is that there is a substantial amount of different shaped water bottles with hour-glass shapes and indentations which were registered on the trade marks register before [Tupperware] </w:t>
      </w:r>
      <w:bookmarkStart w:id="29" w:name="_Hlk116856224"/>
      <w:r w:rsidRPr="00A051C4">
        <w:rPr>
          <w:rFonts w:ascii="Arial" w:hAnsi="Arial" w:cs="Arial"/>
        </w:rPr>
        <w:t>applied to register its mark in 2015</w:t>
      </w:r>
      <w:bookmarkEnd w:id="29"/>
      <w:r w:rsidRPr="00A051C4">
        <w:rPr>
          <w:rFonts w:ascii="Arial" w:hAnsi="Arial" w:cs="Arial"/>
        </w:rPr>
        <w:t>. Even if it is accepted that Tupperware's ECO water bottle was at the date of application for registration of the mark significantly different from other water bottles with hour-glass shapes and indentations, the public would, in my view, not perceive [Tupperware’s] ECO water bottle to be a badge of origin, but would merely see it as just another water bottle.’</w:t>
      </w:r>
    </w:p>
    <w:p w14:paraId="41FC2808" w14:textId="77777777" w:rsidR="0000114F" w:rsidRPr="00A051C4" w:rsidRDefault="0000114F" w:rsidP="00F94142">
      <w:pPr>
        <w:shd w:val="clear" w:color="auto" w:fill="FFFFFF"/>
        <w:spacing w:before="120" w:after="120" w:line="360" w:lineRule="auto"/>
        <w:contextualSpacing/>
        <w:jc w:val="both"/>
        <w:rPr>
          <w:rFonts w:ascii="Arial" w:hAnsi="Arial" w:cs="Arial"/>
        </w:rPr>
      </w:pPr>
    </w:p>
    <w:p w14:paraId="543364B5" w14:textId="471C86E7" w:rsidR="0000114F" w:rsidRPr="00A051C4" w:rsidRDefault="006227FF" w:rsidP="006227FF">
      <w:pPr>
        <w:shd w:val="clear" w:color="auto" w:fill="FFFFFF"/>
        <w:spacing w:before="120" w:after="120" w:line="360" w:lineRule="auto"/>
        <w:contextualSpacing/>
        <w:jc w:val="both"/>
        <w:rPr>
          <w:rFonts w:ascii="Arial" w:hAnsi="Arial" w:cs="Arial"/>
          <w:sz w:val="24"/>
          <w:szCs w:val="24"/>
        </w:rPr>
      </w:pPr>
      <w:r w:rsidRPr="00A051C4">
        <w:rPr>
          <w:rFonts w:ascii="Arial" w:hAnsi="Arial" w:cs="Arial"/>
          <w:snapToGrid w:val="0"/>
          <w:color w:val="000000"/>
          <w:w w:val="0"/>
          <w:sz w:val="24"/>
          <w:szCs w:val="24"/>
        </w:rPr>
        <w:t>[18]</w:t>
      </w:r>
      <w:r w:rsidRPr="00A051C4">
        <w:rPr>
          <w:rFonts w:ascii="Arial" w:hAnsi="Arial" w:cs="Arial"/>
          <w:snapToGrid w:val="0"/>
          <w:color w:val="000000"/>
          <w:w w:val="0"/>
          <w:sz w:val="24"/>
          <w:szCs w:val="24"/>
        </w:rPr>
        <w:tab/>
      </w:r>
      <w:r w:rsidR="004A6C57" w:rsidRPr="00A051C4">
        <w:rPr>
          <w:rFonts w:ascii="Arial" w:hAnsi="Arial" w:cs="Arial"/>
          <w:sz w:val="24"/>
          <w:szCs w:val="24"/>
        </w:rPr>
        <w:t xml:space="preserve">I cannot fault this reasoning. </w:t>
      </w:r>
      <w:r w:rsidR="00CC63CC" w:rsidRPr="00A051C4">
        <w:rPr>
          <w:rFonts w:ascii="Arial" w:hAnsi="Arial" w:cs="Arial"/>
          <w:sz w:val="24"/>
          <w:szCs w:val="24"/>
        </w:rPr>
        <w:t>The Eco bottle does not represent a significant departure from the norms and customs of the water bottle sector. What is more, there is no evidence that the average consumer appreciates that the bottle c</w:t>
      </w:r>
      <w:r w:rsidR="004004F2" w:rsidRPr="00A051C4">
        <w:rPr>
          <w:rFonts w:ascii="Arial" w:hAnsi="Arial" w:cs="Arial"/>
          <w:sz w:val="24"/>
          <w:szCs w:val="24"/>
        </w:rPr>
        <w:t>onveys trade mark significance.</w:t>
      </w:r>
      <w:r w:rsidR="00D70651" w:rsidRPr="00A051C4">
        <w:rPr>
          <w:rFonts w:ascii="Arial" w:hAnsi="Arial" w:cs="Arial"/>
          <w:sz w:val="24"/>
          <w:szCs w:val="24"/>
        </w:rPr>
        <w:t xml:space="preserve"> </w:t>
      </w:r>
      <w:r w:rsidR="004A6C57" w:rsidRPr="00A051C4">
        <w:rPr>
          <w:rFonts w:ascii="Arial" w:hAnsi="Arial" w:cs="Arial"/>
          <w:sz w:val="24"/>
          <w:szCs w:val="24"/>
        </w:rPr>
        <w:t xml:space="preserve">Applying some of the general principles distilled from </w:t>
      </w:r>
      <w:bookmarkStart w:id="30" w:name="_Hlk116859839"/>
      <w:r w:rsidR="004A6C57" w:rsidRPr="00A051C4">
        <w:rPr>
          <w:rFonts w:ascii="Arial" w:hAnsi="Arial" w:cs="Arial"/>
          <w:i/>
          <w:iCs/>
          <w:sz w:val="24"/>
          <w:szCs w:val="24"/>
          <w:lang w:eastAsia="en-ZA"/>
        </w:rPr>
        <w:t>Bergkelder</w:t>
      </w:r>
      <w:bookmarkEnd w:id="30"/>
      <w:r w:rsidR="004A6C57" w:rsidRPr="00A051C4">
        <w:rPr>
          <w:rFonts w:ascii="Arial" w:hAnsi="Arial" w:cs="Arial"/>
          <w:i/>
          <w:iCs/>
          <w:sz w:val="24"/>
          <w:szCs w:val="24"/>
        </w:rPr>
        <w:t>,</w:t>
      </w:r>
      <w:r w:rsidR="008B02D6">
        <w:rPr>
          <w:rFonts w:ascii="Arial" w:hAnsi="Arial" w:cs="Arial"/>
          <w:i/>
          <w:iCs/>
          <w:sz w:val="24"/>
          <w:szCs w:val="24"/>
        </w:rPr>
        <w:t xml:space="preserve">  </w:t>
      </w:r>
      <w:r w:rsidR="004A6C57" w:rsidRPr="00A051C4">
        <w:rPr>
          <w:rFonts w:ascii="Arial" w:hAnsi="Arial" w:cs="Arial"/>
          <w:i/>
          <w:iCs/>
          <w:sz w:val="24"/>
          <w:szCs w:val="24"/>
        </w:rPr>
        <w:t xml:space="preserve"> </w:t>
      </w:r>
      <w:r w:rsidR="004A6C57" w:rsidRPr="00A051C4">
        <w:rPr>
          <w:rFonts w:ascii="Arial" w:hAnsi="Arial" w:cs="Arial"/>
          <w:sz w:val="24"/>
          <w:szCs w:val="24"/>
        </w:rPr>
        <w:t>I do not think that customers would regard the shape of the Eco bottle alone as a guarantee that it was produced by Tupperware, as ‘containers and shapes generally do not serve as sources of origin.’ The Eco bottle is certainly visually distinctive, and</w:t>
      </w:r>
      <w:r w:rsidR="008164AF" w:rsidRPr="00A051C4">
        <w:rPr>
          <w:rFonts w:ascii="Arial" w:hAnsi="Arial" w:cs="Arial"/>
          <w:sz w:val="24"/>
          <w:szCs w:val="24"/>
        </w:rPr>
        <w:t xml:space="preserve"> </w:t>
      </w:r>
      <w:r w:rsidR="004A6C57" w:rsidRPr="00A051C4">
        <w:rPr>
          <w:rFonts w:ascii="Arial" w:hAnsi="Arial" w:cs="Arial"/>
          <w:sz w:val="24"/>
          <w:szCs w:val="24"/>
        </w:rPr>
        <w:t xml:space="preserve">would be recognised as different to other bottles on the market. But this does not mean that it would ‘convey a message that it was intended to be an indication of origin or that it performed that function.’  </w:t>
      </w:r>
    </w:p>
    <w:p w14:paraId="24E8900C" w14:textId="77777777" w:rsidR="0000114F" w:rsidRPr="00A051C4" w:rsidRDefault="0000114F" w:rsidP="0000114F">
      <w:pPr>
        <w:shd w:val="clear" w:color="auto" w:fill="FFFFFF"/>
        <w:spacing w:before="120" w:after="120" w:line="360" w:lineRule="auto"/>
        <w:contextualSpacing/>
        <w:jc w:val="both"/>
        <w:rPr>
          <w:rFonts w:ascii="Arial" w:hAnsi="Arial" w:cs="Arial"/>
          <w:sz w:val="24"/>
          <w:szCs w:val="24"/>
        </w:rPr>
      </w:pPr>
    </w:p>
    <w:p w14:paraId="4DBB4555" w14:textId="041224DB" w:rsidR="00D70651" w:rsidRPr="00A051C4" w:rsidRDefault="006227FF" w:rsidP="006227FF">
      <w:pPr>
        <w:shd w:val="clear" w:color="auto" w:fill="FFFFFF"/>
        <w:spacing w:before="120" w:after="120" w:line="360" w:lineRule="auto"/>
        <w:contextualSpacing/>
        <w:jc w:val="both"/>
        <w:rPr>
          <w:rFonts w:ascii="Arial" w:hAnsi="Arial" w:cs="Arial"/>
          <w:sz w:val="24"/>
          <w:szCs w:val="24"/>
        </w:rPr>
      </w:pPr>
      <w:r w:rsidRPr="00A051C4">
        <w:rPr>
          <w:rFonts w:ascii="Arial" w:hAnsi="Arial" w:cs="Arial"/>
          <w:snapToGrid w:val="0"/>
          <w:color w:val="000000"/>
          <w:w w:val="0"/>
          <w:sz w:val="24"/>
          <w:szCs w:val="24"/>
        </w:rPr>
        <w:t>[19]</w:t>
      </w:r>
      <w:r w:rsidRPr="00A051C4">
        <w:rPr>
          <w:rFonts w:ascii="Arial" w:hAnsi="Arial" w:cs="Arial"/>
          <w:snapToGrid w:val="0"/>
          <w:color w:val="000000"/>
          <w:w w:val="0"/>
          <w:sz w:val="24"/>
          <w:szCs w:val="24"/>
        </w:rPr>
        <w:tab/>
      </w:r>
      <w:r w:rsidR="004A6C57" w:rsidRPr="00A051C4">
        <w:rPr>
          <w:rFonts w:ascii="Arial" w:hAnsi="Arial" w:cs="Arial"/>
          <w:sz w:val="24"/>
          <w:szCs w:val="24"/>
        </w:rPr>
        <w:t>Having compared the Eco bottle to what was on the market when Tupperware applied to register its mark in 2015</w:t>
      </w:r>
      <w:r w:rsidR="004A6C57" w:rsidRPr="00A051C4">
        <w:rPr>
          <w:rFonts w:ascii="Arial" w:hAnsi="Arial" w:cs="Arial"/>
          <w:i/>
          <w:iCs/>
          <w:sz w:val="24"/>
          <w:szCs w:val="24"/>
        </w:rPr>
        <w:t xml:space="preserve">, </w:t>
      </w:r>
      <w:r w:rsidR="004A6C57" w:rsidRPr="00A051C4">
        <w:rPr>
          <w:rFonts w:ascii="Arial" w:hAnsi="Arial" w:cs="Arial"/>
          <w:sz w:val="24"/>
          <w:szCs w:val="24"/>
        </w:rPr>
        <w:t>I do not consider the mark to ‘differ significantly</w:t>
      </w:r>
      <w:r w:rsidR="00D70651" w:rsidRPr="00A051C4">
        <w:rPr>
          <w:rFonts w:ascii="Arial" w:hAnsi="Arial" w:cs="Arial"/>
          <w:sz w:val="24"/>
          <w:szCs w:val="24"/>
        </w:rPr>
        <w:t>’</w:t>
      </w:r>
      <w:r w:rsidR="004A6C57" w:rsidRPr="00A051C4">
        <w:rPr>
          <w:rFonts w:ascii="Arial" w:hAnsi="Arial" w:cs="Arial"/>
          <w:sz w:val="24"/>
          <w:szCs w:val="24"/>
        </w:rPr>
        <w:t xml:space="preserve"> </w:t>
      </w:r>
      <w:r w:rsidR="004A6C57" w:rsidRPr="00A051C4">
        <w:rPr>
          <w:rFonts w:ascii="Arial" w:hAnsi="Arial" w:cs="Arial"/>
          <w:sz w:val="24"/>
          <w:szCs w:val="24"/>
        </w:rPr>
        <w:lastRenderedPageBreak/>
        <w:t xml:space="preserve">from the norm or custom of the sector to be able to fulfil a trade mark function in the manner required by the </w:t>
      </w:r>
      <w:r w:rsidR="008164AF" w:rsidRPr="00A051C4">
        <w:rPr>
          <w:rFonts w:ascii="Arial" w:hAnsi="Arial" w:cs="Arial"/>
          <w:sz w:val="24"/>
          <w:szCs w:val="24"/>
        </w:rPr>
        <w:t>authorities</w:t>
      </w:r>
      <w:r w:rsidR="004A6C57" w:rsidRPr="00A051C4">
        <w:rPr>
          <w:rFonts w:ascii="Arial" w:hAnsi="Arial" w:cs="Arial"/>
          <w:sz w:val="24"/>
          <w:szCs w:val="24"/>
        </w:rPr>
        <w:t xml:space="preserve"> referred to in </w:t>
      </w:r>
      <w:r w:rsidR="004A6C57" w:rsidRPr="00A051C4">
        <w:rPr>
          <w:rFonts w:ascii="Arial" w:hAnsi="Arial" w:cs="Arial"/>
          <w:i/>
          <w:iCs/>
          <w:sz w:val="24"/>
          <w:szCs w:val="24"/>
          <w:lang w:eastAsia="en-ZA"/>
        </w:rPr>
        <w:t>Bergkelder</w:t>
      </w:r>
      <w:r w:rsidR="004A6C57" w:rsidRPr="00A051C4">
        <w:rPr>
          <w:rFonts w:ascii="Arial" w:hAnsi="Arial" w:cs="Arial"/>
          <w:sz w:val="24"/>
          <w:szCs w:val="24"/>
        </w:rPr>
        <w:t xml:space="preserve">.’ </w:t>
      </w:r>
      <w:r w:rsidR="00684A3C" w:rsidRPr="00A051C4">
        <w:rPr>
          <w:rFonts w:ascii="Arial" w:hAnsi="Arial" w:cs="Arial"/>
          <w:sz w:val="24"/>
          <w:szCs w:val="24"/>
        </w:rPr>
        <w:t>I think that the</w:t>
      </w:r>
      <w:r w:rsidR="004A6C57" w:rsidRPr="00A051C4">
        <w:rPr>
          <w:rFonts w:ascii="Arial" w:hAnsi="Arial" w:cs="Arial"/>
          <w:sz w:val="24"/>
          <w:szCs w:val="24"/>
        </w:rPr>
        <w:t xml:space="preserve"> average consumer would see the shape of the </w:t>
      </w:r>
      <w:r w:rsidR="00721551" w:rsidRPr="00A051C4">
        <w:rPr>
          <w:rFonts w:ascii="Arial" w:hAnsi="Arial" w:cs="Arial"/>
          <w:sz w:val="24"/>
          <w:szCs w:val="24"/>
        </w:rPr>
        <w:t xml:space="preserve">Eco bottle </w:t>
      </w:r>
      <w:r w:rsidR="004A6C57" w:rsidRPr="00A051C4">
        <w:rPr>
          <w:rFonts w:ascii="Arial" w:hAnsi="Arial" w:cs="Arial"/>
          <w:sz w:val="24"/>
          <w:szCs w:val="24"/>
        </w:rPr>
        <w:t xml:space="preserve">as representing no more than </w:t>
      </w:r>
      <w:r w:rsidR="00684A3C" w:rsidRPr="00A051C4">
        <w:rPr>
          <w:rFonts w:ascii="Arial" w:hAnsi="Arial" w:cs="Arial"/>
          <w:sz w:val="24"/>
          <w:szCs w:val="24"/>
        </w:rPr>
        <w:t>a fancy, trendy or more appealing, water bottle</w:t>
      </w:r>
      <w:r w:rsidR="004A6C57" w:rsidRPr="00A051C4">
        <w:rPr>
          <w:rFonts w:ascii="Arial" w:hAnsi="Arial" w:cs="Arial"/>
          <w:sz w:val="24"/>
          <w:szCs w:val="24"/>
        </w:rPr>
        <w:t xml:space="preserve">. The shape was within the norms and customs of the </w:t>
      </w:r>
      <w:r w:rsidR="00721551" w:rsidRPr="00A051C4">
        <w:rPr>
          <w:rFonts w:ascii="Arial" w:hAnsi="Arial" w:cs="Arial"/>
          <w:sz w:val="24"/>
          <w:szCs w:val="24"/>
        </w:rPr>
        <w:t xml:space="preserve">water bottle </w:t>
      </w:r>
      <w:r w:rsidR="004A6C57" w:rsidRPr="00A051C4">
        <w:rPr>
          <w:rFonts w:ascii="Arial" w:hAnsi="Arial" w:cs="Arial"/>
          <w:sz w:val="24"/>
          <w:szCs w:val="24"/>
        </w:rPr>
        <w:t>sector</w:t>
      </w:r>
      <w:r w:rsidR="00721551" w:rsidRPr="00A051C4">
        <w:rPr>
          <w:rFonts w:ascii="Arial" w:hAnsi="Arial" w:cs="Arial"/>
          <w:sz w:val="24"/>
          <w:szCs w:val="24"/>
        </w:rPr>
        <w:t xml:space="preserve"> and was merely</w:t>
      </w:r>
      <w:r w:rsidR="00684A3C" w:rsidRPr="00A051C4">
        <w:rPr>
          <w:rFonts w:ascii="Arial" w:hAnsi="Arial" w:cs="Arial"/>
          <w:sz w:val="24"/>
          <w:szCs w:val="24"/>
        </w:rPr>
        <w:t xml:space="preserve"> a</w:t>
      </w:r>
      <w:r w:rsidR="004A6C57" w:rsidRPr="00A051C4">
        <w:rPr>
          <w:rFonts w:ascii="Arial" w:hAnsi="Arial" w:cs="Arial"/>
          <w:sz w:val="24"/>
          <w:szCs w:val="24"/>
        </w:rPr>
        <w:t xml:space="preserve"> variant </w:t>
      </w:r>
      <w:r w:rsidR="00721551" w:rsidRPr="00A051C4">
        <w:rPr>
          <w:rFonts w:ascii="Arial" w:hAnsi="Arial" w:cs="Arial"/>
          <w:sz w:val="24"/>
          <w:szCs w:val="24"/>
        </w:rPr>
        <w:t>of</w:t>
      </w:r>
      <w:r w:rsidR="004A6C57" w:rsidRPr="00A051C4">
        <w:rPr>
          <w:rFonts w:ascii="Arial" w:hAnsi="Arial" w:cs="Arial"/>
          <w:sz w:val="24"/>
          <w:szCs w:val="24"/>
        </w:rPr>
        <w:t xml:space="preserve"> common shapes for </w:t>
      </w:r>
      <w:r w:rsidR="00721551" w:rsidRPr="00A051C4">
        <w:rPr>
          <w:rFonts w:ascii="Arial" w:hAnsi="Arial" w:cs="Arial"/>
          <w:sz w:val="24"/>
          <w:szCs w:val="24"/>
        </w:rPr>
        <w:t xml:space="preserve">water bottles. An </w:t>
      </w:r>
      <w:r w:rsidR="004A6C57" w:rsidRPr="00A051C4">
        <w:rPr>
          <w:rFonts w:ascii="Arial" w:hAnsi="Arial" w:cs="Arial"/>
          <w:sz w:val="24"/>
          <w:szCs w:val="24"/>
        </w:rPr>
        <w:t>average consumer</w:t>
      </w:r>
      <w:r w:rsidR="00721551" w:rsidRPr="00A051C4">
        <w:rPr>
          <w:rFonts w:ascii="Arial" w:hAnsi="Arial" w:cs="Arial"/>
          <w:sz w:val="24"/>
          <w:szCs w:val="24"/>
        </w:rPr>
        <w:t xml:space="preserve"> would not</w:t>
      </w:r>
      <w:r w:rsidR="004A6C57" w:rsidRPr="00A051C4">
        <w:rPr>
          <w:rFonts w:ascii="Arial" w:hAnsi="Arial" w:cs="Arial"/>
          <w:sz w:val="24"/>
          <w:szCs w:val="24"/>
        </w:rPr>
        <w:t xml:space="preserve"> distinguish t</w:t>
      </w:r>
      <w:r w:rsidR="00721551" w:rsidRPr="00A051C4">
        <w:rPr>
          <w:rFonts w:ascii="Arial" w:hAnsi="Arial" w:cs="Arial"/>
          <w:sz w:val="24"/>
          <w:szCs w:val="24"/>
        </w:rPr>
        <w:t>he Eco bottle</w:t>
      </w:r>
      <w:r w:rsidR="004A6C57" w:rsidRPr="00A051C4">
        <w:rPr>
          <w:rFonts w:ascii="Arial" w:hAnsi="Arial" w:cs="Arial"/>
          <w:sz w:val="24"/>
          <w:szCs w:val="24"/>
        </w:rPr>
        <w:t xml:space="preserve"> from those of other </w:t>
      </w:r>
      <w:r w:rsidR="00684A3C" w:rsidRPr="00A051C4">
        <w:rPr>
          <w:rFonts w:ascii="Arial" w:hAnsi="Arial" w:cs="Arial"/>
          <w:sz w:val="24"/>
          <w:szCs w:val="24"/>
        </w:rPr>
        <w:t xml:space="preserve">entities </w:t>
      </w:r>
      <w:r w:rsidR="00721551" w:rsidRPr="00A051C4">
        <w:rPr>
          <w:rFonts w:ascii="Arial" w:hAnsi="Arial" w:cs="Arial"/>
          <w:sz w:val="24"/>
          <w:szCs w:val="24"/>
        </w:rPr>
        <w:t xml:space="preserve">in a trade mark sense. </w:t>
      </w:r>
      <w:bookmarkStart w:id="31" w:name="para50"/>
      <w:r w:rsidR="00F94142" w:rsidRPr="00A051C4">
        <w:rPr>
          <w:rFonts w:ascii="Arial" w:eastAsia="Times New Roman" w:hAnsi="Arial" w:cs="Arial"/>
          <w:sz w:val="24"/>
          <w:szCs w:val="24"/>
          <w:lang w:eastAsia="en-ZA"/>
        </w:rPr>
        <w:t>T</w:t>
      </w:r>
      <w:r w:rsidR="004A6C57" w:rsidRPr="00A051C4">
        <w:rPr>
          <w:rFonts w:ascii="Arial" w:eastAsia="Times New Roman" w:hAnsi="Arial" w:cs="Arial"/>
          <w:sz w:val="24"/>
          <w:szCs w:val="24"/>
          <w:lang w:eastAsia="en-ZA"/>
        </w:rPr>
        <w:t>h</w:t>
      </w:r>
      <w:r w:rsidR="00BE6F55" w:rsidRPr="00A051C4">
        <w:rPr>
          <w:rFonts w:ascii="Arial" w:eastAsia="Times New Roman" w:hAnsi="Arial" w:cs="Arial"/>
          <w:sz w:val="24"/>
          <w:szCs w:val="24"/>
          <w:lang w:eastAsia="en-ZA"/>
        </w:rPr>
        <w:t>e</w:t>
      </w:r>
      <w:r w:rsidR="004A6C57" w:rsidRPr="00A051C4">
        <w:rPr>
          <w:rFonts w:ascii="Arial" w:eastAsia="Times New Roman" w:hAnsi="Arial" w:cs="Arial"/>
          <w:sz w:val="24"/>
          <w:szCs w:val="24"/>
          <w:lang w:eastAsia="en-ZA"/>
        </w:rPr>
        <w:t xml:space="preserve"> </w:t>
      </w:r>
      <w:r w:rsidR="00721551" w:rsidRPr="00A051C4">
        <w:rPr>
          <w:rFonts w:ascii="Arial" w:eastAsia="Times New Roman" w:hAnsi="Arial" w:cs="Arial"/>
          <w:sz w:val="24"/>
          <w:szCs w:val="24"/>
          <w:lang w:eastAsia="en-ZA"/>
        </w:rPr>
        <w:t>high court</w:t>
      </w:r>
      <w:r w:rsidR="004A6C57" w:rsidRPr="00A051C4">
        <w:rPr>
          <w:rFonts w:ascii="Arial" w:eastAsia="Times New Roman" w:hAnsi="Arial" w:cs="Arial"/>
          <w:sz w:val="24"/>
          <w:szCs w:val="24"/>
          <w:lang w:eastAsia="en-ZA"/>
        </w:rPr>
        <w:t xml:space="preserve"> was</w:t>
      </w:r>
      <w:r w:rsidR="00721551" w:rsidRPr="00A051C4">
        <w:rPr>
          <w:rFonts w:ascii="Arial" w:eastAsia="Times New Roman" w:hAnsi="Arial" w:cs="Arial"/>
          <w:sz w:val="24"/>
          <w:szCs w:val="24"/>
          <w:lang w:eastAsia="en-ZA"/>
        </w:rPr>
        <w:t xml:space="preserve"> </w:t>
      </w:r>
      <w:r w:rsidR="00F94142" w:rsidRPr="00A051C4">
        <w:rPr>
          <w:rFonts w:ascii="Arial" w:eastAsia="Times New Roman" w:hAnsi="Arial" w:cs="Arial"/>
          <w:sz w:val="24"/>
          <w:szCs w:val="24"/>
          <w:lang w:eastAsia="en-ZA"/>
        </w:rPr>
        <w:t xml:space="preserve">therefore </w:t>
      </w:r>
      <w:r w:rsidR="00721551" w:rsidRPr="00A051C4">
        <w:rPr>
          <w:rFonts w:ascii="Arial" w:eastAsia="Times New Roman" w:hAnsi="Arial" w:cs="Arial"/>
          <w:sz w:val="24"/>
          <w:szCs w:val="24"/>
          <w:lang w:eastAsia="en-ZA"/>
        </w:rPr>
        <w:t>correct</w:t>
      </w:r>
      <w:r w:rsidR="004A6C57" w:rsidRPr="00A051C4">
        <w:rPr>
          <w:rFonts w:ascii="Arial" w:eastAsia="Times New Roman" w:hAnsi="Arial" w:cs="Arial"/>
          <w:sz w:val="24"/>
          <w:szCs w:val="24"/>
          <w:lang w:eastAsia="en-ZA"/>
        </w:rPr>
        <w:t xml:space="preserve"> to hold that </w:t>
      </w:r>
      <w:bookmarkStart w:id="32" w:name="_Hlk117508871"/>
      <w:r w:rsidR="004A6C57" w:rsidRPr="00A051C4">
        <w:rPr>
          <w:rFonts w:ascii="Arial" w:eastAsia="Times New Roman" w:hAnsi="Arial" w:cs="Arial"/>
          <w:sz w:val="24"/>
          <w:szCs w:val="24"/>
          <w:lang w:eastAsia="en-ZA"/>
        </w:rPr>
        <w:t xml:space="preserve">the </w:t>
      </w:r>
      <w:r w:rsidR="00721551" w:rsidRPr="00A051C4">
        <w:rPr>
          <w:rFonts w:ascii="Arial" w:eastAsia="Times New Roman" w:hAnsi="Arial" w:cs="Arial"/>
          <w:sz w:val="24"/>
          <w:szCs w:val="24"/>
          <w:lang w:eastAsia="en-ZA"/>
        </w:rPr>
        <w:t xml:space="preserve">Eco bottle </w:t>
      </w:r>
      <w:bookmarkEnd w:id="32"/>
      <w:r w:rsidR="004A6C57" w:rsidRPr="00A051C4">
        <w:rPr>
          <w:rFonts w:ascii="Arial" w:eastAsia="Times New Roman" w:hAnsi="Arial" w:cs="Arial"/>
          <w:sz w:val="24"/>
          <w:szCs w:val="24"/>
          <w:lang w:eastAsia="en-ZA"/>
        </w:rPr>
        <w:t xml:space="preserve">did not have </w:t>
      </w:r>
      <w:r w:rsidR="00684A3C" w:rsidRPr="00A051C4">
        <w:rPr>
          <w:rFonts w:ascii="Arial" w:eastAsia="Times New Roman" w:hAnsi="Arial" w:cs="Arial"/>
          <w:sz w:val="24"/>
          <w:szCs w:val="24"/>
          <w:lang w:eastAsia="en-ZA"/>
        </w:rPr>
        <w:t xml:space="preserve">an </w:t>
      </w:r>
      <w:r w:rsidR="004A6C57" w:rsidRPr="00A051C4">
        <w:rPr>
          <w:rFonts w:ascii="Arial" w:eastAsia="Times New Roman" w:hAnsi="Arial" w:cs="Arial"/>
          <w:sz w:val="24"/>
          <w:szCs w:val="24"/>
          <w:lang w:eastAsia="en-ZA"/>
        </w:rPr>
        <w:t>inherent</w:t>
      </w:r>
      <w:r w:rsidR="00684A3C" w:rsidRPr="00A051C4">
        <w:rPr>
          <w:rFonts w:ascii="Arial" w:eastAsia="Times New Roman" w:hAnsi="Arial" w:cs="Arial"/>
          <w:sz w:val="24"/>
          <w:szCs w:val="24"/>
          <w:lang w:eastAsia="en-ZA"/>
        </w:rPr>
        <w:t>ly</w:t>
      </w:r>
      <w:r w:rsidR="004A6C57" w:rsidRPr="00A051C4">
        <w:rPr>
          <w:rFonts w:ascii="Arial" w:eastAsia="Times New Roman" w:hAnsi="Arial" w:cs="Arial"/>
          <w:sz w:val="24"/>
          <w:szCs w:val="24"/>
          <w:lang w:eastAsia="en-ZA"/>
        </w:rPr>
        <w:t xml:space="preserve"> distinctive character. </w:t>
      </w:r>
      <w:bookmarkEnd w:id="31"/>
    </w:p>
    <w:p w14:paraId="35E037A3" w14:textId="77777777" w:rsidR="0000114F" w:rsidRPr="00A051C4" w:rsidRDefault="0000114F" w:rsidP="0000114F">
      <w:pPr>
        <w:shd w:val="clear" w:color="auto" w:fill="FFFFFF"/>
        <w:spacing w:before="120" w:after="120" w:line="360" w:lineRule="auto"/>
        <w:contextualSpacing/>
        <w:jc w:val="both"/>
        <w:rPr>
          <w:rFonts w:ascii="Arial" w:hAnsi="Arial" w:cs="Arial"/>
          <w:sz w:val="24"/>
          <w:szCs w:val="24"/>
        </w:rPr>
      </w:pPr>
    </w:p>
    <w:p w14:paraId="3E38F482" w14:textId="35AB34B7" w:rsidR="00AC4EB0" w:rsidRPr="00A051C4" w:rsidRDefault="006227FF" w:rsidP="006227FF">
      <w:pPr>
        <w:shd w:val="clear" w:color="auto" w:fill="FFFFFF"/>
        <w:spacing w:before="120" w:after="120" w:line="360" w:lineRule="auto"/>
        <w:contextualSpacing/>
        <w:jc w:val="both"/>
        <w:rPr>
          <w:rFonts w:ascii="Arial" w:hAnsi="Arial" w:cs="Arial"/>
          <w:sz w:val="24"/>
          <w:szCs w:val="24"/>
        </w:rPr>
      </w:pPr>
      <w:r w:rsidRPr="00A051C4">
        <w:rPr>
          <w:rFonts w:ascii="Arial" w:hAnsi="Arial" w:cs="Arial"/>
          <w:snapToGrid w:val="0"/>
          <w:color w:val="000000"/>
          <w:w w:val="0"/>
          <w:sz w:val="24"/>
          <w:szCs w:val="24"/>
        </w:rPr>
        <w:t>[20]</w:t>
      </w:r>
      <w:r w:rsidRPr="00A051C4">
        <w:rPr>
          <w:rFonts w:ascii="Arial" w:hAnsi="Arial" w:cs="Arial"/>
          <w:snapToGrid w:val="0"/>
          <w:color w:val="000000"/>
          <w:w w:val="0"/>
          <w:sz w:val="24"/>
          <w:szCs w:val="24"/>
        </w:rPr>
        <w:tab/>
      </w:r>
      <w:r w:rsidR="00B44A7E" w:rsidRPr="00A051C4">
        <w:rPr>
          <w:rFonts w:ascii="Arial" w:hAnsi="Arial" w:cs="Arial"/>
          <w:sz w:val="24"/>
          <w:szCs w:val="24"/>
        </w:rPr>
        <w:t xml:space="preserve">I turn to consider whether </w:t>
      </w:r>
      <w:r w:rsidR="00B44A7E" w:rsidRPr="00A051C4">
        <w:rPr>
          <w:rFonts w:ascii="Arial" w:eastAsia="Times New Roman" w:hAnsi="Arial" w:cs="Arial"/>
          <w:sz w:val="24"/>
          <w:szCs w:val="24"/>
          <w:lang w:eastAsia="en-ZA"/>
        </w:rPr>
        <w:t>the Eco bottle has a</w:t>
      </w:r>
      <w:r w:rsidR="00B44A7E" w:rsidRPr="00A051C4">
        <w:rPr>
          <w:rFonts w:ascii="Arial" w:hAnsi="Arial" w:cs="Arial"/>
          <w:sz w:val="24"/>
          <w:szCs w:val="24"/>
        </w:rPr>
        <w:t xml:space="preserve">cquired </w:t>
      </w:r>
      <w:bookmarkStart w:id="33" w:name="_Hlk117131819"/>
      <w:r w:rsidR="00B44A7E" w:rsidRPr="00A051C4">
        <w:rPr>
          <w:rFonts w:ascii="Arial" w:hAnsi="Arial" w:cs="Arial"/>
          <w:sz w:val="24"/>
          <w:szCs w:val="24"/>
        </w:rPr>
        <w:t>distinctiveness</w:t>
      </w:r>
      <w:bookmarkEnd w:id="33"/>
      <w:r w:rsidR="00B44A7E" w:rsidRPr="00A051C4">
        <w:rPr>
          <w:rFonts w:ascii="Arial" w:hAnsi="Arial" w:cs="Arial"/>
          <w:sz w:val="24"/>
          <w:szCs w:val="24"/>
        </w:rPr>
        <w:t xml:space="preserve"> as a result of prior use. Section </w:t>
      </w:r>
      <w:r w:rsidR="00000E39" w:rsidRPr="00A051C4">
        <w:rPr>
          <w:rFonts w:ascii="Arial" w:hAnsi="Arial" w:cs="Arial"/>
          <w:sz w:val="24"/>
          <w:szCs w:val="24"/>
        </w:rPr>
        <w:t>9(2) carves out an exception to allow the registration of</w:t>
      </w:r>
      <w:r w:rsidR="00CA02F5" w:rsidRPr="00A051C4">
        <w:rPr>
          <w:rFonts w:ascii="Arial" w:hAnsi="Arial" w:cs="Arial"/>
          <w:sz w:val="24"/>
          <w:szCs w:val="24"/>
        </w:rPr>
        <w:t xml:space="preserve"> </w:t>
      </w:r>
      <w:r w:rsidR="00140D1C" w:rsidRPr="00A051C4">
        <w:rPr>
          <w:rFonts w:ascii="Arial" w:hAnsi="Arial" w:cs="Arial"/>
          <w:sz w:val="24"/>
          <w:szCs w:val="24"/>
        </w:rPr>
        <w:t xml:space="preserve">marks </w:t>
      </w:r>
      <w:r w:rsidR="00000E39" w:rsidRPr="00A051C4">
        <w:rPr>
          <w:rFonts w:ascii="Arial" w:hAnsi="Arial" w:cs="Arial"/>
          <w:sz w:val="24"/>
          <w:szCs w:val="24"/>
        </w:rPr>
        <w:t>which lack inherent distinctiveness, if by reason of prior use, a mark ha</w:t>
      </w:r>
      <w:r w:rsidR="00107BC4" w:rsidRPr="00A051C4">
        <w:rPr>
          <w:rFonts w:ascii="Arial" w:hAnsi="Arial" w:cs="Arial"/>
          <w:sz w:val="24"/>
          <w:szCs w:val="24"/>
        </w:rPr>
        <w:t>s</w:t>
      </w:r>
      <w:r w:rsidR="00CA02F5" w:rsidRPr="00A051C4">
        <w:rPr>
          <w:rFonts w:ascii="Arial" w:hAnsi="Arial" w:cs="Arial"/>
          <w:sz w:val="24"/>
          <w:szCs w:val="24"/>
        </w:rPr>
        <w:t xml:space="preserve"> </w:t>
      </w:r>
      <w:r w:rsidR="00000E39" w:rsidRPr="00A051C4">
        <w:rPr>
          <w:rFonts w:ascii="Arial" w:hAnsi="Arial" w:cs="Arial"/>
          <w:sz w:val="24"/>
          <w:szCs w:val="24"/>
        </w:rPr>
        <w:t>acquired distinctiveness.</w:t>
      </w:r>
      <w:r w:rsidR="00987827" w:rsidRPr="00A051C4">
        <w:rPr>
          <w:rFonts w:ascii="Arial" w:hAnsi="Arial" w:cs="Arial"/>
          <w:sz w:val="24"/>
          <w:szCs w:val="24"/>
        </w:rPr>
        <w:t xml:space="preserve"> </w:t>
      </w:r>
      <w:r w:rsidR="00000E39" w:rsidRPr="00A051C4">
        <w:rPr>
          <w:rFonts w:ascii="Arial" w:hAnsi="Arial" w:cs="Arial"/>
          <w:sz w:val="24"/>
          <w:szCs w:val="24"/>
        </w:rPr>
        <w:t xml:space="preserve">The question therefore arises: how </w:t>
      </w:r>
      <w:r w:rsidR="00B71844" w:rsidRPr="00A051C4">
        <w:rPr>
          <w:rFonts w:ascii="Arial" w:hAnsi="Arial" w:cs="Arial"/>
          <w:sz w:val="24"/>
          <w:szCs w:val="24"/>
        </w:rPr>
        <w:t xml:space="preserve">does </w:t>
      </w:r>
      <w:r w:rsidR="00000E39" w:rsidRPr="00A051C4">
        <w:rPr>
          <w:rFonts w:ascii="Arial" w:hAnsi="Arial" w:cs="Arial"/>
          <w:sz w:val="24"/>
          <w:szCs w:val="24"/>
        </w:rPr>
        <w:t>an inherently non-distinctive mark acquire distinctiveness such that it does function as a trade mark? The applicable test for acquired distinctiveness is by no means settled.</w:t>
      </w:r>
      <w:r w:rsidR="00C8347A" w:rsidRPr="00A051C4">
        <w:rPr>
          <w:rFonts w:ascii="Arial" w:hAnsi="Arial" w:cs="Arial"/>
          <w:sz w:val="24"/>
          <w:szCs w:val="24"/>
        </w:rPr>
        <w:t xml:space="preserve"> </w:t>
      </w:r>
      <w:r w:rsidR="00987827" w:rsidRPr="00A051C4">
        <w:rPr>
          <w:rFonts w:ascii="Arial" w:hAnsi="Arial" w:cs="Arial"/>
          <w:sz w:val="24"/>
          <w:szCs w:val="24"/>
        </w:rPr>
        <w:t>There are</w:t>
      </w:r>
      <w:r w:rsidR="00654837" w:rsidRPr="00A051C4">
        <w:rPr>
          <w:rFonts w:ascii="Arial" w:hAnsi="Arial" w:cs="Arial"/>
          <w:sz w:val="24"/>
          <w:szCs w:val="24"/>
        </w:rPr>
        <w:t xml:space="preserve"> mainly</w:t>
      </w:r>
      <w:r w:rsidR="00987827" w:rsidRPr="00A051C4">
        <w:rPr>
          <w:rFonts w:ascii="Arial" w:hAnsi="Arial" w:cs="Arial"/>
          <w:sz w:val="24"/>
          <w:szCs w:val="24"/>
        </w:rPr>
        <w:t xml:space="preserve"> t</w:t>
      </w:r>
      <w:r w:rsidR="00CA02F5" w:rsidRPr="00A051C4">
        <w:rPr>
          <w:rFonts w:ascii="Arial" w:hAnsi="Arial" w:cs="Arial"/>
          <w:sz w:val="24"/>
          <w:szCs w:val="24"/>
        </w:rPr>
        <w:t>hree</w:t>
      </w:r>
      <w:r w:rsidR="00987827" w:rsidRPr="00A051C4">
        <w:rPr>
          <w:rFonts w:ascii="Arial" w:hAnsi="Arial" w:cs="Arial"/>
          <w:sz w:val="24"/>
          <w:szCs w:val="24"/>
        </w:rPr>
        <w:t xml:space="preserve"> </w:t>
      </w:r>
      <w:r w:rsidR="00654837" w:rsidRPr="00A051C4">
        <w:rPr>
          <w:rFonts w:ascii="Arial" w:hAnsi="Arial" w:cs="Arial"/>
          <w:sz w:val="24"/>
          <w:szCs w:val="24"/>
        </w:rPr>
        <w:t xml:space="preserve">tests </w:t>
      </w:r>
      <w:r w:rsidR="00987827" w:rsidRPr="00A051C4">
        <w:rPr>
          <w:rFonts w:ascii="Arial" w:hAnsi="Arial" w:cs="Arial"/>
          <w:sz w:val="24"/>
          <w:szCs w:val="24"/>
        </w:rPr>
        <w:t>in this regard. Tsele</w:t>
      </w:r>
      <w:r w:rsidR="00987827" w:rsidRPr="00A051C4">
        <w:rPr>
          <w:rStyle w:val="FootnoteReference"/>
          <w:rFonts w:ascii="Arial" w:hAnsi="Arial" w:cs="Arial"/>
          <w:sz w:val="24"/>
          <w:szCs w:val="24"/>
        </w:rPr>
        <w:footnoteReference w:id="12"/>
      </w:r>
      <w:r w:rsidR="0034626B">
        <w:rPr>
          <w:rFonts w:ascii="Arial" w:hAnsi="Arial" w:cs="Arial"/>
          <w:sz w:val="24"/>
          <w:szCs w:val="24"/>
        </w:rPr>
        <w:t xml:space="preserve"> sums</w:t>
      </w:r>
      <w:r w:rsidR="00987827" w:rsidRPr="00A051C4">
        <w:rPr>
          <w:rFonts w:ascii="Arial" w:hAnsi="Arial" w:cs="Arial"/>
          <w:sz w:val="24"/>
          <w:szCs w:val="24"/>
        </w:rPr>
        <w:t xml:space="preserve"> it </w:t>
      </w:r>
      <w:r w:rsidR="0034626B">
        <w:rPr>
          <w:rFonts w:ascii="Arial" w:hAnsi="Arial" w:cs="Arial"/>
          <w:sz w:val="24"/>
          <w:szCs w:val="24"/>
        </w:rPr>
        <w:t xml:space="preserve">up </w:t>
      </w:r>
      <w:r w:rsidR="00987827" w:rsidRPr="00A051C4">
        <w:rPr>
          <w:rFonts w:ascii="Arial" w:hAnsi="Arial" w:cs="Arial"/>
          <w:sz w:val="24"/>
          <w:szCs w:val="24"/>
        </w:rPr>
        <w:t xml:space="preserve">neatly: </w:t>
      </w:r>
    </w:p>
    <w:p w14:paraId="5625ADED" w14:textId="6F1E0599" w:rsidR="00987827" w:rsidRPr="00A051C4" w:rsidRDefault="00987827" w:rsidP="00987827">
      <w:pPr>
        <w:shd w:val="clear" w:color="auto" w:fill="FFFFFF"/>
        <w:spacing w:before="120" w:after="120" w:line="360" w:lineRule="auto"/>
        <w:contextualSpacing/>
        <w:jc w:val="both"/>
        <w:rPr>
          <w:rFonts w:ascii="Arial" w:hAnsi="Arial" w:cs="Arial"/>
          <w:i/>
          <w:iCs/>
          <w:sz w:val="24"/>
          <w:szCs w:val="24"/>
        </w:rPr>
      </w:pPr>
      <w:r w:rsidRPr="00A051C4">
        <w:rPr>
          <w:rFonts w:ascii="Arial" w:hAnsi="Arial" w:cs="Arial"/>
        </w:rPr>
        <w:t>‘There are those who advocate for a test which asks whether cons</w:t>
      </w:r>
      <w:r w:rsidR="0034626B">
        <w:rPr>
          <w:rFonts w:ascii="Arial" w:hAnsi="Arial" w:cs="Arial"/>
        </w:rPr>
        <w:t>umers “recognise” the mark and “</w:t>
      </w:r>
      <w:r w:rsidRPr="00A051C4">
        <w:rPr>
          <w:rFonts w:ascii="Arial" w:hAnsi="Arial" w:cs="Arial"/>
        </w:rPr>
        <w:t>associate</w:t>
      </w:r>
      <w:r w:rsidR="0034626B">
        <w:rPr>
          <w:rFonts w:ascii="Arial" w:hAnsi="Arial" w:cs="Arial"/>
        </w:rPr>
        <w:t>”</w:t>
      </w:r>
      <w:r w:rsidRPr="00A051C4">
        <w:rPr>
          <w:rFonts w:ascii="Arial" w:hAnsi="Arial" w:cs="Arial"/>
        </w:rPr>
        <w:t xml:space="preserve"> it with the trade mark claimant’s goods. This is what we can call the recognition-and-association test. On the opposite end of the spectrum lies what has been called “the reliance test”, which requires proof that a relevant class of consumers </w:t>
      </w:r>
      <w:r w:rsidR="0034626B">
        <w:rPr>
          <w:rFonts w:ascii="Arial" w:hAnsi="Arial" w:cs="Arial"/>
        </w:rPr>
        <w:t>“</w:t>
      </w:r>
      <w:r w:rsidRPr="00A051C4">
        <w:rPr>
          <w:rFonts w:ascii="Arial" w:hAnsi="Arial" w:cs="Arial"/>
        </w:rPr>
        <w:t>rely</w:t>
      </w:r>
      <w:r w:rsidR="0034626B">
        <w:rPr>
          <w:rFonts w:ascii="Arial" w:hAnsi="Arial" w:cs="Arial"/>
        </w:rPr>
        <w:t>”</w:t>
      </w:r>
      <w:r w:rsidRPr="00A051C4">
        <w:rPr>
          <w:rFonts w:ascii="Arial" w:hAnsi="Arial" w:cs="Arial"/>
        </w:rPr>
        <w:t xml:space="preserve"> on the (shape) mark as an indicator of the source of the goods. But there seems to be a third — intermediate — test that proponents call “the perception test”. There is yet another, fourth test, styled “the identification test”, which one court has suggested.</w:t>
      </w:r>
      <w:r w:rsidRPr="00A051C4">
        <w:rPr>
          <w:rFonts w:ascii="Arial" w:hAnsi="Arial" w:cs="Arial"/>
          <w:i/>
          <w:iCs/>
          <w:sz w:val="24"/>
          <w:szCs w:val="24"/>
        </w:rPr>
        <w:t>’</w:t>
      </w:r>
      <w:r w:rsidRPr="00A051C4">
        <w:rPr>
          <w:rStyle w:val="FootnoteReference"/>
          <w:rFonts w:ascii="Arial" w:hAnsi="Arial" w:cs="Arial"/>
          <w:sz w:val="24"/>
          <w:szCs w:val="24"/>
        </w:rPr>
        <w:footnoteReference w:id="13"/>
      </w:r>
    </w:p>
    <w:p w14:paraId="25FD216B" w14:textId="77777777" w:rsidR="0000114F" w:rsidRPr="00A051C4" w:rsidRDefault="0000114F" w:rsidP="0000114F">
      <w:pPr>
        <w:shd w:val="clear" w:color="auto" w:fill="FFFFFF"/>
        <w:spacing w:before="120" w:after="120" w:line="360" w:lineRule="auto"/>
        <w:contextualSpacing/>
        <w:jc w:val="both"/>
        <w:rPr>
          <w:rFonts w:ascii="Arial" w:hAnsi="Arial" w:cs="Arial"/>
          <w:sz w:val="24"/>
          <w:szCs w:val="24"/>
        </w:rPr>
      </w:pPr>
    </w:p>
    <w:p w14:paraId="2BE9493A" w14:textId="1EC639FC" w:rsidR="00AB7B34" w:rsidRPr="00A051C4" w:rsidRDefault="006227FF" w:rsidP="006227FF">
      <w:pPr>
        <w:shd w:val="clear" w:color="auto" w:fill="FFFFFF"/>
        <w:spacing w:before="120" w:after="120" w:line="360" w:lineRule="auto"/>
        <w:contextualSpacing/>
        <w:jc w:val="both"/>
        <w:rPr>
          <w:rFonts w:ascii="Arial" w:hAnsi="Arial" w:cs="Arial"/>
          <w:sz w:val="24"/>
          <w:szCs w:val="24"/>
        </w:rPr>
      </w:pPr>
      <w:r w:rsidRPr="00A051C4">
        <w:rPr>
          <w:rFonts w:ascii="Arial" w:hAnsi="Arial" w:cs="Arial"/>
          <w:snapToGrid w:val="0"/>
          <w:color w:val="000000"/>
          <w:w w:val="0"/>
          <w:sz w:val="24"/>
          <w:szCs w:val="24"/>
        </w:rPr>
        <w:t>[21]</w:t>
      </w:r>
      <w:r w:rsidRPr="00A051C4">
        <w:rPr>
          <w:rFonts w:ascii="Arial" w:hAnsi="Arial" w:cs="Arial"/>
          <w:snapToGrid w:val="0"/>
          <w:color w:val="000000"/>
          <w:w w:val="0"/>
          <w:sz w:val="24"/>
          <w:szCs w:val="24"/>
        </w:rPr>
        <w:tab/>
      </w:r>
      <w:r w:rsidR="00654837" w:rsidRPr="00A051C4">
        <w:rPr>
          <w:rFonts w:ascii="Arial" w:hAnsi="Arial" w:cs="Arial"/>
          <w:sz w:val="24"/>
          <w:szCs w:val="24"/>
        </w:rPr>
        <w:t>The ‘reliance’ test was seemingly applied by this Court in</w:t>
      </w:r>
      <w:r w:rsidR="00460BB2" w:rsidRPr="00A051C4">
        <w:rPr>
          <w:rFonts w:ascii="Arial" w:hAnsi="Arial" w:cs="Arial"/>
          <w:i/>
          <w:iCs/>
          <w:sz w:val="24"/>
          <w:szCs w:val="24"/>
        </w:rPr>
        <w:t xml:space="preserve"> </w:t>
      </w:r>
      <w:r w:rsidR="00C8347A" w:rsidRPr="00A051C4">
        <w:rPr>
          <w:rFonts w:ascii="Arial" w:hAnsi="Arial" w:cs="Arial"/>
          <w:i/>
          <w:iCs/>
          <w:sz w:val="24"/>
          <w:szCs w:val="24"/>
        </w:rPr>
        <w:t>Beecham</w:t>
      </w:r>
      <w:r w:rsidR="00654837" w:rsidRPr="00A051C4">
        <w:rPr>
          <w:rFonts w:ascii="Arial" w:hAnsi="Arial" w:cs="Arial"/>
          <w:sz w:val="24"/>
          <w:szCs w:val="24"/>
        </w:rPr>
        <w:t>, where</w:t>
      </w:r>
      <w:r w:rsidR="00C8347A" w:rsidRPr="00A051C4">
        <w:rPr>
          <w:rFonts w:ascii="Arial" w:hAnsi="Arial" w:cs="Arial"/>
          <w:sz w:val="24"/>
          <w:szCs w:val="24"/>
        </w:rPr>
        <w:t xml:space="preserve"> </w:t>
      </w:r>
      <w:r w:rsidR="00460BB2" w:rsidRPr="00A051C4">
        <w:rPr>
          <w:rFonts w:ascii="Arial" w:hAnsi="Arial" w:cs="Arial"/>
          <w:sz w:val="24"/>
          <w:szCs w:val="24"/>
        </w:rPr>
        <w:t>t</w:t>
      </w:r>
      <w:r w:rsidR="00C8347A" w:rsidRPr="00A051C4">
        <w:rPr>
          <w:rFonts w:ascii="Arial" w:hAnsi="Arial" w:cs="Arial"/>
          <w:sz w:val="24"/>
          <w:szCs w:val="24"/>
        </w:rPr>
        <w:t xml:space="preserve">he dispute </w:t>
      </w:r>
      <w:r w:rsidR="00815537" w:rsidRPr="00A051C4">
        <w:rPr>
          <w:rFonts w:ascii="Arial" w:hAnsi="Arial" w:cs="Arial"/>
          <w:sz w:val="24"/>
          <w:szCs w:val="24"/>
        </w:rPr>
        <w:t>was about</w:t>
      </w:r>
      <w:r w:rsidR="00C8347A" w:rsidRPr="00A051C4">
        <w:rPr>
          <w:rFonts w:ascii="Arial" w:hAnsi="Arial" w:cs="Arial"/>
          <w:sz w:val="24"/>
          <w:szCs w:val="24"/>
        </w:rPr>
        <w:t xml:space="preserve"> </w:t>
      </w:r>
      <w:r w:rsidR="00CB759E" w:rsidRPr="00A051C4">
        <w:rPr>
          <w:rFonts w:ascii="Arial" w:hAnsi="Arial" w:cs="Arial"/>
          <w:sz w:val="24"/>
          <w:szCs w:val="24"/>
        </w:rPr>
        <w:t>a trade mark for the shape of a pharmaceutical tablet</w:t>
      </w:r>
      <w:r w:rsidR="0094518E" w:rsidRPr="00A051C4">
        <w:rPr>
          <w:rFonts w:ascii="Arial" w:hAnsi="Arial" w:cs="Arial"/>
          <w:sz w:val="24"/>
          <w:szCs w:val="24"/>
        </w:rPr>
        <w:t>.</w:t>
      </w:r>
      <w:r w:rsidR="00CB759E" w:rsidRPr="00A051C4">
        <w:rPr>
          <w:rFonts w:ascii="Arial" w:hAnsi="Arial" w:cs="Arial"/>
          <w:sz w:val="24"/>
          <w:szCs w:val="24"/>
        </w:rPr>
        <w:t xml:space="preserve"> </w:t>
      </w:r>
      <w:r w:rsidR="0094518E" w:rsidRPr="00A051C4">
        <w:rPr>
          <w:rFonts w:ascii="Arial" w:hAnsi="Arial" w:cs="Arial"/>
          <w:sz w:val="24"/>
          <w:szCs w:val="24"/>
        </w:rPr>
        <w:t xml:space="preserve">Beecham had registered a trade mark for the shape of a tablet called Augmentin. The registered mark was of a biconvex, oval shape of a tablet. Triomed, the respondent, was the importer of a pharmaceutical with the same composition as Augmentin and sold it under the name Augmaxil, which had the same shape and white colour as the </w:t>
      </w:r>
      <w:r w:rsidR="0094518E" w:rsidRPr="00A051C4">
        <w:rPr>
          <w:rFonts w:ascii="Arial" w:hAnsi="Arial" w:cs="Arial"/>
          <w:sz w:val="24"/>
          <w:szCs w:val="24"/>
        </w:rPr>
        <w:lastRenderedPageBreak/>
        <w:t>Augmentin tablets. However, whereas the name ‘Augmentin’ was embossed upon the one side of Beecham’s tablets, the Augmaxil tablets were blank.</w:t>
      </w:r>
      <w:r w:rsidR="00E71AC7" w:rsidRPr="00A051C4">
        <w:rPr>
          <w:rFonts w:ascii="Arial" w:hAnsi="Arial" w:cs="Arial"/>
          <w:sz w:val="24"/>
          <w:szCs w:val="24"/>
        </w:rPr>
        <w:t xml:space="preserve"> </w:t>
      </w:r>
    </w:p>
    <w:p w14:paraId="47B6F071" w14:textId="77777777" w:rsidR="00AB7B34" w:rsidRPr="00A051C4" w:rsidRDefault="00AB7B34" w:rsidP="00E81E81">
      <w:pPr>
        <w:shd w:val="clear" w:color="auto" w:fill="FFFFFF"/>
        <w:spacing w:before="120" w:after="120" w:line="360" w:lineRule="auto"/>
        <w:contextualSpacing/>
        <w:jc w:val="both"/>
        <w:rPr>
          <w:rFonts w:ascii="Arial" w:hAnsi="Arial" w:cs="Arial"/>
          <w:sz w:val="24"/>
          <w:szCs w:val="24"/>
        </w:rPr>
      </w:pPr>
    </w:p>
    <w:p w14:paraId="4F3B832A" w14:textId="2BE8D87F" w:rsidR="007D3353" w:rsidRPr="00A051C4" w:rsidRDefault="006227FF" w:rsidP="006227FF">
      <w:pPr>
        <w:shd w:val="clear" w:color="auto" w:fill="FFFFFF"/>
        <w:spacing w:before="120" w:after="120" w:line="360" w:lineRule="auto"/>
        <w:contextualSpacing/>
        <w:jc w:val="both"/>
        <w:rPr>
          <w:rFonts w:ascii="Arial" w:hAnsi="Arial" w:cs="Arial"/>
          <w:sz w:val="24"/>
          <w:szCs w:val="24"/>
        </w:rPr>
      </w:pPr>
      <w:r w:rsidRPr="00A051C4">
        <w:rPr>
          <w:rFonts w:ascii="Arial" w:hAnsi="Arial" w:cs="Arial"/>
          <w:snapToGrid w:val="0"/>
          <w:color w:val="000000"/>
          <w:w w:val="0"/>
          <w:sz w:val="24"/>
          <w:szCs w:val="24"/>
        </w:rPr>
        <w:t>[22]</w:t>
      </w:r>
      <w:r w:rsidRPr="00A051C4">
        <w:rPr>
          <w:rFonts w:ascii="Arial" w:hAnsi="Arial" w:cs="Arial"/>
          <w:snapToGrid w:val="0"/>
          <w:color w:val="000000"/>
          <w:w w:val="0"/>
          <w:sz w:val="24"/>
          <w:szCs w:val="24"/>
        </w:rPr>
        <w:tab/>
      </w:r>
      <w:r w:rsidR="00D7731A" w:rsidRPr="00A051C4">
        <w:rPr>
          <w:rFonts w:ascii="Arial" w:hAnsi="Arial" w:cs="Arial"/>
          <w:sz w:val="24"/>
          <w:szCs w:val="24"/>
        </w:rPr>
        <w:t xml:space="preserve">On whether the shape mark of the tablet was distinctive, the Court </w:t>
      </w:r>
      <w:r w:rsidR="004005A9" w:rsidRPr="00A051C4">
        <w:rPr>
          <w:rFonts w:ascii="Arial" w:hAnsi="Arial" w:cs="Arial"/>
          <w:sz w:val="24"/>
          <w:szCs w:val="24"/>
          <w:shd w:val="clear" w:color="auto" w:fill="FFFFFF"/>
        </w:rPr>
        <w:t xml:space="preserve">determined that </w:t>
      </w:r>
      <w:r w:rsidR="00D7731A" w:rsidRPr="00A051C4">
        <w:rPr>
          <w:rFonts w:ascii="Arial" w:hAnsi="Arial" w:cs="Arial"/>
          <w:sz w:val="24"/>
          <w:szCs w:val="24"/>
          <w:shd w:val="clear" w:color="auto" w:fill="FFFFFF"/>
        </w:rPr>
        <w:t xml:space="preserve">it </w:t>
      </w:r>
      <w:r w:rsidR="004005A9" w:rsidRPr="00A051C4">
        <w:rPr>
          <w:rFonts w:ascii="Arial" w:hAnsi="Arial" w:cs="Arial"/>
          <w:sz w:val="24"/>
          <w:szCs w:val="24"/>
          <w:shd w:val="clear" w:color="auto" w:fill="FFFFFF"/>
        </w:rPr>
        <w:t>was not</w:t>
      </w:r>
      <w:r w:rsidR="00D7731A" w:rsidRPr="00A051C4">
        <w:rPr>
          <w:rFonts w:ascii="Arial" w:hAnsi="Arial" w:cs="Arial"/>
          <w:sz w:val="24"/>
          <w:szCs w:val="24"/>
          <w:shd w:val="clear" w:color="auto" w:fill="FFFFFF"/>
        </w:rPr>
        <w:t xml:space="preserve"> - either</w:t>
      </w:r>
      <w:r w:rsidR="004005A9" w:rsidRPr="00A051C4">
        <w:rPr>
          <w:rFonts w:ascii="Arial" w:hAnsi="Arial" w:cs="Arial"/>
          <w:sz w:val="24"/>
          <w:szCs w:val="24"/>
          <w:shd w:val="clear" w:color="auto" w:fill="FFFFFF"/>
        </w:rPr>
        <w:t xml:space="preserve"> inherently </w:t>
      </w:r>
      <w:r w:rsidR="00D7731A" w:rsidRPr="00A051C4">
        <w:rPr>
          <w:rFonts w:ascii="Arial" w:hAnsi="Arial" w:cs="Arial"/>
          <w:sz w:val="24"/>
          <w:szCs w:val="24"/>
          <w:shd w:val="clear" w:color="auto" w:fill="FFFFFF"/>
        </w:rPr>
        <w:t xml:space="preserve">or </w:t>
      </w:r>
      <w:r w:rsidR="00140D1C" w:rsidRPr="00A051C4">
        <w:rPr>
          <w:rFonts w:ascii="Arial" w:hAnsi="Arial" w:cs="Arial"/>
          <w:sz w:val="24"/>
          <w:szCs w:val="24"/>
          <w:shd w:val="clear" w:color="auto" w:fill="FFFFFF"/>
        </w:rPr>
        <w:t xml:space="preserve">having been </w:t>
      </w:r>
      <w:r w:rsidR="00D7731A" w:rsidRPr="00A051C4">
        <w:rPr>
          <w:rFonts w:ascii="Arial" w:hAnsi="Arial" w:cs="Arial"/>
          <w:sz w:val="24"/>
          <w:szCs w:val="24"/>
          <w:shd w:val="clear" w:color="auto" w:fill="FFFFFF"/>
        </w:rPr>
        <w:t>acquired.</w:t>
      </w:r>
      <w:r w:rsidR="00E71AC7" w:rsidRPr="00A051C4">
        <w:rPr>
          <w:rFonts w:ascii="Arial" w:hAnsi="Arial" w:cs="Arial"/>
          <w:sz w:val="24"/>
          <w:szCs w:val="24"/>
          <w:shd w:val="clear" w:color="auto" w:fill="FFFFFF"/>
        </w:rPr>
        <w:t xml:space="preserve"> As to the latter, </w:t>
      </w:r>
      <w:r w:rsidR="00D7731A" w:rsidRPr="00A051C4">
        <w:rPr>
          <w:rFonts w:ascii="Arial" w:hAnsi="Arial" w:cs="Arial"/>
          <w:sz w:val="24"/>
          <w:szCs w:val="24"/>
          <w:shd w:val="clear" w:color="auto" w:fill="FFFFFF"/>
        </w:rPr>
        <w:t>t</w:t>
      </w:r>
      <w:r w:rsidR="006D3DCE" w:rsidRPr="00A051C4">
        <w:rPr>
          <w:rFonts w:ascii="Arial" w:hAnsi="Arial" w:cs="Arial"/>
          <w:sz w:val="24"/>
          <w:szCs w:val="24"/>
          <w:shd w:val="clear" w:color="auto" w:fill="FFFFFF"/>
        </w:rPr>
        <w:t>he Court acknowledged that because of the</w:t>
      </w:r>
      <w:r w:rsidR="0006051C" w:rsidRPr="00A051C4">
        <w:rPr>
          <w:rFonts w:ascii="Arial" w:hAnsi="Arial" w:cs="Arial"/>
          <w:sz w:val="24"/>
          <w:szCs w:val="24"/>
          <w:shd w:val="clear" w:color="auto" w:fill="FFFFFF"/>
        </w:rPr>
        <w:t xml:space="preserve"> massive</w:t>
      </w:r>
      <w:r w:rsidR="006D3DCE" w:rsidRPr="00A051C4">
        <w:rPr>
          <w:rFonts w:ascii="Arial" w:hAnsi="Arial" w:cs="Arial"/>
          <w:sz w:val="24"/>
          <w:szCs w:val="24"/>
          <w:shd w:val="clear" w:color="auto" w:fill="FFFFFF"/>
        </w:rPr>
        <w:t xml:space="preserve"> production of the Augmentin tablets,</w:t>
      </w:r>
      <w:r w:rsidR="006D3DCE" w:rsidRPr="00A051C4">
        <w:rPr>
          <w:rFonts w:ascii="Arial" w:hAnsi="Arial" w:cs="Arial"/>
          <w:i/>
          <w:iCs/>
          <w:sz w:val="24"/>
          <w:szCs w:val="24"/>
          <w:shd w:val="clear" w:color="auto" w:fill="FFFFFF"/>
        </w:rPr>
        <w:t xml:space="preserve"> </w:t>
      </w:r>
      <w:r w:rsidR="006D3DCE" w:rsidRPr="00A051C4">
        <w:rPr>
          <w:rFonts w:ascii="Arial" w:hAnsi="Arial" w:cs="Arial"/>
          <w:sz w:val="24"/>
          <w:szCs w:val="24"/>
          <w:shd w:val="clear" w:color="auto" w:fill="FFFFFF"/>
        </w:rPr>
        <w:t xml:space="preserve">‘the average pharmacist will probably </w:t>
      </w:r>
      <w:r w:rsidR="006D3DCE" w:rsidRPr="00A051C4">
        <w:rPr>
          <w:rFonts w:ascii="Arial" w:hAnsi="Arial" w:cs="Arial"/>
          <w:i/>
          <w:iCs/>
          <w:sz w:val="24"/>
          <w:szCs w:val="24"/>
          <w:shd w:val="clear" w:color="auto" w:fill="FFFFFF"/>
        </w:rPr>
        <w:t>recognise</w:t>
      </w:r>
      <w:r w:rsidR="006D3DCE" w:rsidRPr="00A051C4">
        <w:rPr>
          <w:rFonts w:ascii="Arial" w:hAnsi="Arial" w:cs="Arial"/>
          <w:sz w:val="24"/>
          <w:szCs w:val="24"/>
          <w:shd w:val="clear" w:color="auto" w:fill="FFFFFF"/>
        </w:rPr>
        <w:t xml:space="preserve"> an Augmentin tablet as such.’</w:t>
      </w:r>
      <w:r w:rsidR="00107BC4" w:rsidRPr="00A051C4">
        <w:rPr>
          <w:rStyle w:val="FootnoteReference"/>
          <w:rFonts w:ascii="Arial" w:hAnsi="Arial" w:cs="Arial"/>
          <w:sz w:val="24"/>
          <w:szCs w:val="24"/>
          <w:shd w:val="clear" w:color="auto" w:fill="FFFFFF"/>
        </w:rPr>
        <w:footnoteReference w:id="14"/>
      </w:r>
      <w:r w:rsidR="006D3DCE" w:rsidRPr="00A051C4">
        <w:rPr>
          <w:rFonts w:ascii="Arial" w:hAnsi="Arial" w:cs="Arial"/>
          <w:sz w:val="24"/>
          <w:szCs w:val="24"/>
          <w:shd w:val="clear" w:color="auto" w:fill="FFFFFF"/>
        </w:rPr>
        <w:t xml:space="preserve"> However, no pharmacist w</w:t>
      </w:r>
      <w:r w:rsidR="00D7731A" w:rsidRPr="00A051C4">
        <w:rPr>
          <w:rFonts w:ascii="Arial" w:hAnsi="Arial" w:cs="Arial"/>
          <w:sz w:val="24"/>
          <w:szCs w:val="24"/>
          <w:shd w:val="clear" w:color="auto" w:fill="FFFFFF"/>
        </w:rPr>
        <w:t>ou</w:t>
      </w:r>
      <w:r w:rsidR="006D3DCE" w:rsidRPr="00A051C4">
        <w:rPr>
          <w:rFonts w:ascii="Arial" w:hAnsi="Arial" w:cs="Arial"/>
          <w:sz w:val="24"/>
          <w:szCs w:val="24"/>
          <w:shd w:val="clear" w:color="auto" w:fill="FFFFFF"/>
        </w:rPr>
        <w:t>l</w:t>
      </w:r>
      <w:r w:rsidR="00D7731A" w:rsidRPr="00A051C4">
        <w:rPr>
          <w:rFonts w:ascii="Arial" w:hAnsi="Arial" w:cs="Arial"/>
          <w:sz w:val="24"/>
          <w:szCs w:val="24"/>
          <w:shd w:val="clear" w:color="auto" w:fill="FFFFFF"/>
        </w:rPr>
        <w:t>d</w:t>
      </w:r>
      <w:r w:rsidR="006D3DCE" w:rsidRPr="00A051C4">
        <w:rPr>
          <w:rFonts w:ascii="Arial" w:hAnsi="Arial" w:cs="Arial"/>
          <w:sz w:val="24"/>
          <w:szCs w:val="24"/>
          <w:shd w:val="clear" w:color="auto" w:fill="FFFFFF"/>
        </w:rPr>
        <w:t xml:space="preserve"> regard the shape alone as a guarantee that the tablet comes from Beecham.</w:t>
      </w:r>
      <w:r w:rsidR="00107BC4" w:rsidRPr="00A051C4">
        <w:rPr>
          <w:rFonts w:ascii="Arial" w:hAnsi="Arial" w:cs="Arial"/>
          <w:sz w:val="24"/>
          <w:szCs w:val="24"/>
          <w:shd w:val="clear" w:color="auto" w:fill="FFFFFF"/>
        </w:rPr>
        <w:t xml:space="preserve"> </w:t>
      </w:r>
      <w:r w:rsidR="007A4870" w:rsidRPr="00A051C4">
        <w:rPr>
          <w:rFonts w:ascii="Arial" w:hAnsi="Arial" w:cs="Arial"/>
          <w:sz w:val="24"/>
          <w:szCs w:val="24"/>
          <w:shd w:val="clear" w:color="auto" w:fill="FFFFFF"/>
        </w:rPr>
        <w:t xml:space="preserve">I understand the word ‘regard’ in the preceding sentence to </w:t>
      </w:r>
      <w:r w:rsidR="008302BB" w:rsidRPr="00A051C4">
        <w:rPr>
          <w:rFonts w:ascii="Arial" w:hAnsi="Arial" w:cs="Arial"/>
          <w:sz w:val="24"/>
          <w:szCs w:val="24"/>
          <w:shd w:val="clear" w:color="auto" w:fill="FFFFFF"/>
        </w:rPr>
        <w:t xml:space="preserve">signify </w:t>
      </w:r>
      <w:r w:rsidR="007A4870" w:rsidRPr="00A051C4">
        <w:rPr>
          <w:rFonts w:ascii="Arial" w:hAnsi="Arial" w:cs="Arial"/>
          <w:sz w:val="24"/>
          <w:szCs w:val="24"/>
          <w:shd w:val="clear" w:color="auto" w:fill="FFFFFF"/>
        </w:rPr>
        <w:t>‘rely</w:t>
      </w:r>
      <w:r w:rsidR="00140D1C" w:rsidRPr="00A051C4">
        <w:rPr>
          <w:rFonts w:ascii="Arial" w:hAnsi="Arial" w:cs="Arial"/>
          <w:sz w:val="24"/>
          <w:szCs w:val="24"/>
          <w:shd w:val="clear" w:color="auto" w:fill="FFFFFF"/>
        </w:rPr>
        <w:t xml:space="preserve"> on</w:t>
      </w:r>
      <w:r w:rsidR="007A4870" w:rsidRPr="00A051C4">
        <w:rPr>
          <w:rFonts w:ascii="Arial" w:hAnsi="Arial" w:cs="Arial"/>
          <w:sz w:val="24"/>
          <w:szCs w:val="24"/>
          <w:shd w:val="clear" w:color="auto" w:fill="FFFFFF"/>
        </w:rPr>
        <w:t>’.</w:t>
      </w:r>
      <w:r w:rsidR="00654837" w:rsidRPr="00A051C4">
        <w:rPr>
          <w:rFonts w:ascii="Arial" w:hAnsi="Arial" w:cs="Arial"/>
          <w:sz w:val="24"/>
          <w:szCs w:val="24"/>
          <w:shd w:val="clear" w:color="auto" w:fill="FFFFFF"/>
        </w:rPr>
        <w:t xml:space="preserve"> Thus,</w:t>
      </w:r>
      <w:bookmarkStart w:id="34" w:name="_Hlk117509512"/>
      <w:r w:rsidR="00654837" w:rsidRPr="00A051C4">
        <w:rPr>
          <w:rFonts w:ascii="Arial" w:hAnsi="Arial" w:cs="Arial"/>
          <w:sz w:val="24"/>
          <w:szCs w:val="24"/>
          <w:shd w:val="clear" w:color="auto" w:fill="FFFFFF"/>
        </w:rPr>
        <w:t xml:space="preserve"> </w:t>
      </w:r>
      <w:r w:rsidR="00D7731A" w:rsidRPr="00A051C4">
        <w:rPr>
          <w:rFonts w:ascii="Arial" w:hAnsi="Arial" w:cs="Arial"/>
          <w:sz w:val="24"/>
          <w:szCs w:val="24"/>
          <w:shd w:val="clear" w:color="auto" w:fill="FFFFFF"/>
        </w:rPr>
        <w:t xml:space="preserve">the </w:t>
      </w:r>
      <w:r w:rsidR="00654837" w:rsidRPr="00A051C4">
        <w:rPr>
          <w:rFonts w:ascii="Arial" w:hAnsi="Arial" w:cs="Arial"/>
          <w:sz w:val="24"/>
          <w:szCs w:val="24"/>
          <w:shd w:val="clear" w:color="auto" w:fill="FFFFFF"/>
        </w:rPr>
        <w:t>‘</w:t>
      </w:r>
      <w:r w:rsidR="00D7731A" w:rsidRPr="00A051C4">
        <w:rPr>
          <w:rFonts w:ascii="Arial" w:hAnsi="Arial" w:cs="Arial"/>
          <w:sz w:val="24"/>
          <w:szCs w:val="24"/>
          <w:shd w:val="clear" w:color="auto" w:fill="FFFFFF"/>
        </w:rPr>
        <w:t>recognition</w:t>
      </w:r>
      <w:r w:rsidR="008302BB" w:rsidRPr="00A051C4">
        <w:rPr>
          <w:rFonts w:ascii="Arial" w:hAnsi="Arial" w:cs="Arial"/>
          <w:sz w:val="24"/>
          <w:szCs w:val="24"/>
          <w:shd w:val="clear" w:color="auto" w:fill="FFFFFF"/>
        </w:rPr>
        <w:t>-association</w:t>
      </w:r>
      <w:r w:rsidR="00D7731A" w:rsidRPr="00A051C4">
        <w:rPr>
          <w:rFonts w:ascii="Arial" w:hAnsi="Arial" w:cs="Arial"/>
          <w:sz w:val="24"/>
          <w:szCs w:val="24"/>
          <w:shd w:val="clear" w:color="auto" w:fill="FFFFFF"/>
        </w:rPr>
        <w:t xml:space="preserve"> test’</w:t>
      </w:r>
      <w:bookmarkEnd w:id="34"/>
      <w:r w:rsidR="00D7731A" w:rsidRPr="00A051C4">
        <w:rPr>
          <w:rFonts w:ascii="Arial" w:hAnsi="Arial" w:cs="Arial"/>
          <w:sz w:val="24"/>
          <w:szCs w:val="24"/>
          <w:shd w:val="clear" w:color="auto" w:fill="FFFFFF"/>
        </w:rPr>
        <w:t xml:space="preserve"> was </w:t>
      </w:r>
      <w:r w:rsidR="007D3353" w:rsidRPr="00A051C4">
        <w:rPr>
          <w:rFonts w:ascii="Arial" w:hAnsi="Arial" w:cs="Arial"/>
          <w:sz w:val="24"/>
          <w:szCs w:val="24"/>
          <w:shd w:val="clear" w:color="auto" w:fill="FFFFFF"/>
        </w:rPr>
        <w:t>not considered adequate</w:t>
      </w:r>
      <w:r w:rsidR="00D7731A" w:rsidRPr="00A051C4">
        <w:rPr>
          <w:rFonts w:ascii="Arial" w:hAnsi="Arial" w:cs="Arial"/>
          <w:sz w:val="24"/>
          <w:szCs w:val="24"/>
          <w:shd w:val="clear" w:color="auto" w:fill="FFFFFF"/>
        </w:rPr>
        <w:t>.</w:t>
      </w:r>
      <w:r w:rsidR="007D3353" w:rsidRPr="00A051C4">
        <w:rPr>
          <w:rFonts w:ascii="Arial" w:hAnsi="Arial" w:cs="Arial"/>
          <w:sz w:val="24"/>
          <w:szCs w:val="24"/>
          <w:shd w:val="clear" w:color="auto" w:fill="FFFFFF"/>
        </w:rPr>
        <w:t xml:space="preserve"> </w:t>
      </w:r>
      <w:r w:rsidR="007D3353" w:rsidRPr="00A051C4">
        <w:rPr>
          <w:rFonts w:ascii="Arial" w:hAnsi="Arial" w:cs="Arial"/>
          <w:i/>
          <w:iCs/>
          <w:sz w:val="24"/>
          <w:szCs w:val="24"/>
        </w:rPr>
        <w:t>Beecham</w:t>
      </w:r>
      <w:r w:rsidR="007D3353" w:rsidRPr="00A051C4">
        <w:rPr>
          <w:rFonts w:ascii="Arial" w:hAnsi="Arial" w:cs="Arial"/>
          <w:sz w:val="24"/>
          <w:szCs w:val="24"/>
        </w:rPr>
        <w:t xml:space="preserve"> was cited with approval by the Singapore Court of Appeal</w:t>
      </w:r>
      <w:r w:rsidR="00323F56" w:rsidRPr="00A051C4">
        <w:rPr>
          <w:rFonts w:ascii="Arial" w:hAnsi="Arial" w:cs="Arial"/>
          <w:sz w:val="24"/>
          <w:szCs w:val="24"/>
        </w:rPr>
        <w:t xml:space="preserve"> in </w:t>
      </w:r>
      <w:r w:rsidR="00323F56" w:rsidRPr="00A051C4">
        <w:rPr>
          <w:rFonts w:ascii="Arial" w:hAnsi="Arial" w:cs="Arial"/>
          <w:i/>
          <w:iCs/>
          <w:sz w:val="24"/>
          <w:szCs w:val="24"/>
        </w:rPr>
        <w:t>Nestlé SA v Petra Foods Ltd</w:t>
      </w:r>
      <w:r w:rsidR="00323F56" w:rsidRPr="00A051C4">
        <w:rPr>
          <w:rFonts w:ascii="Arial" w:hAnsi="Arial" w:cs="Arial"/>
          <w:sz w:val="24"/>
          <w:szCs w:val="24"/>
        </w:rPr>
        <w:t>,</w:t>
      </w:r>
      <w:r w:rsidR="007D3353" w:rsidRPr="00A051C4">
        <w:rPr>
          <w:rStyle w:val="FootnoteReference"/>
          <w:rFonts w:ascii="Arial" w:hAnsi="Arial" w:cs="Arial"/>
          <w:sz w:val="24"/>
          <w:szCs w:val="24"/>
        </w:rPr>
        <w:footnoteReference w:id="15"/>
      </w:r>
      <w:r w:rsidR="007D3353" w:rsidRPr="00A051C4">
        <w:rPr>
          <w:rFonts w:ascii="Arial" w:hAnsi="Arial" w:cs="Arial"/>
          <w:sz w:val="24"/>
          <w:szCs w:val="24"/>
        </w:rPr>
        <w:t xml:space="preserve">  </w:t>
      </w:r>
      <w:r w:rsidR="00323F56" w:rsidRPr="00A051C4">
        <w:rPr>
          <w:rFonts w:ascii="Arial" w:hAnsi="Arial" w:cs="Arial"/>
          <w:sz w:val="24"/>
          <w:szCs w:val="24"/>
        </w:rPr>
        <w:t>where the ‘recognition</w:t>
      </w:r>
      <w:r w:rsidR="003414C2" w:rsidRPr="00A051C4">
        <w:rPr>
          <w:rFonts w:ascii="Arial" w:hAnsi="Arial" w:cs="Arial"/>
          <w:sz w:val="24"/>
          <w:szCs w:val="24"/>
        </w:rPr>
        <w:t>-</w:t>
      </w:r>
      <w:r w:rsidR="00323F56" w:rsidRPr="00A051C4">
        <w:rPr>
          <w:rFonts w:ascii="Arial" w:hAnsi="Arial" w:cs="Arial"/>
          <w:sz w:val="24"/>
          <w:szCs w:val="24"/>
        </w:rPr>
        <w:t>association</w:t>
      </w:r>
      <w:r w:rsidR="005D4B2B" w:rsidRPr="00A051C4">
        <w:rPr>
          <w:rFonts w:ascii="Arial" w:hAnsi="Arial" w:cs="Arial"/>
          <w:sz w:val="24"/>
          <w:szCs w:val="24"/>
        </w:rPr>
        <w:t>’</w:t>
      </w:r>
      <w:r w:rsidR="00323F56" w:rsidRPr="00A051C4">
        <w:rPr>
          <w:rFonts w:ascii="Arial" w:hAnsi="Arial" w:cs="Arial"/>
          <w:sz w:val="24"/>
          <w:szCs w:val="24"/>
        </w:rPr>
        <w:t xml:space="preserve"> test was expressly rejected.</w:t>
      </w:r>
      <w:r w:rsidR="005D4B2B" w:rsidRPr="00A051C4">
        <w:rPr>
          <w:rStyle w:val="FootnoteReference"/>
          <w:rFonts w:ascii="Arial" w:hAnsi="Arial" w:cs="Arial"/>
          <w:sz w:val="24"/>
          <w:szCs w:val="24"/>
        </w:rPr>
        <w:footnoteReference w:id="16"/>
      </w:r>
      <w:r w:rsidR="005D4B2B" w:rsidRPr="00A051C4">
        <w:rPr>
          <w:rFonts w:ascii="Arial" w:hAnsi="Arial" w:cs="Arial"/>
          <w:sz w:val="24"/>
          <w:szCs w:val="24"/>
        </w:rPr>
        <w:t xml:space="preserve"> </w:t>
      </w:r>
    </w:p>
    <w:p w14:paraId="58268E97" w14:textId="3923B31B" w:rsidR="00C644A3" w:rsidRPr="00A051C4" w:rsidRDefault="00C644A3" w:rsidP="007D3353">
      <w:pPr>
        <w:shd w:val="clear" w:color="auto" w:fill="FFFFFF"/>
        <w:spacing w:before="120" w:after="120" w:line="360" w:lineRule="auto"/>
        <w:contextualSpacing/>
        <w:jc w:val="both"/>
        <w:rPr>
          <w:rFonts w:ascii="Arial" w:hAnsi="Arial" w:cs="Arial"/>
          <w:sz w:val="24"/>
          <w:szCs w:val="24"/>
        </w:rPr>
      </w:pPr>
    </w:p>
    <w:p w14:paraId="2CAEFE92" w14:textId="28F075ED" w:rsidR="0000114F" w:rsidRPr="00A051C4" w:rsidRDefault="006227FF" w:rsidP="006227FF">
      <w:pPr>
        <w:shd w:val="clear" w:color="auto" w:fill="FFFFFF"/>
        <w:spacing w:before="120" w:after="120" w:line="360" w:lineRule="auto"/>
        <w:contextualSpacing/>
        <w:jc w:val="both"/>
        <w:rPr>
          <w:rFonts w:ascii="Arial" w:hAnsi="Arial" w:cs="Arial"/>
          <w:sz w:val="24"/>
          <w:szCs w:val="24"/>
        </w:rPr>
      </w:pPr>
      <w:r w:rsidRPr="00A051C4">
        <w:rPr>
          <w:rFonts w:ascii="Arial" w:hAnsi="Arial" w:cs="Arial"/>
          <w:snapToGrid w:val="0"/>
          <w:color w:val="000000"/>
          <w:w w:val="0"/>
          <w:sz w:val="24"/>
          <w:szCs w:val="24"/>
        </w:rPr>
        <w:t>[23]</w:t>
      </w:r>
      <w:r w:rsidRPr="00A051C4">
        <w:rPr>
          <w:rFonts w:ascii="Arial" w:hAnsi="Arial" w:cs="Arial"/>
          <w:snapToGrid w:val="0"/>
          <w:color w:val="000000"/>
          <w:w w:val="0"/>
          <w:sz w:val="24"/>
          <w:szCs w:val="24"/>
        </w:rPr>
        <w:tab/>
      </w:r>
      <w:r w:rsidR="007A4870" w:rsidRPr="00A051C4">
        <w:rPr>
          <w:rFonts w:ascii="Arial" w:hAnsi="Arial" w:cs="Arial"/>
          <w:sz w:val="24"/>
          <w:szCs w:val="24"/>
          <w:lang w:eastAsia="en-ZA"/>
        </w:rPr>
        <w:t xml:space="preserve">However, </w:t>
      </w:r>
      <w:r w:rsidR="007D3353" w:rsidRPr="00A051C4">
        <w:rPr>
          <w:rFonts w:ascii="Arial" w:hAnsi="Arial" w:cs="Arial"/>
          <w:sz w:val="24"/>
          <w:szCs w:val="24"/>
          <w:shd w:val="clear" w:color="auto" w:fill="FFFFFF"/>
        </w:rPr>
        <w:t xml:space="preserve">‘the recognition-association test’ </w:t>
      </w:r>
      <w:r w:rsidR="007A4870" w:rsidRPr="00A051C4">
        <w:rPr>
          <w:rFonts w:ascii="Arial" w:hAnsi="Arial" w:cs="Arial"/>
          <w:sz w:val="24"/>
          <w:szCs w:val="24"/>
          <w:lang w:eastAsia="en-ZA"/>
        </w:rPr>
        <w:t xml:space="preserve">was adopted by this </w:t>
      </w:r>
      <w:r w:rsidR="000E7876" w:rsidRPr="00A051C4">
        <w:rPr>
          <w:rFonts w:ascii="Arial" w:hAnsi="Arial" w:cs="Arial"/>
          <w:sz w:val="24"/>
          <w:szCs w:val="24"/>
          <w:lang w:eastAsia="en-ZA"/>
        </w:rPr>
        <w:t xml:space="preserve">Court </w:t>
      </w:r>
      <w:r w:rsidR="007A4870" w:rsidRPr="00A051C4">
        <w:rPr>
          <w:rFonts w:ascii="Arial" w:hAnsi="Arial" w:cs="Arial"/>
          <w:sz w:val="24"/>
          <w:szCs w:val="24"/>
          <w:lang w:eastAsia="en-ZA"/>
        </w:rPr>
        <w:t xml:space="preserve">in </w:t>
      </w:r>
      <w:bookmarkStart w:id="37" w:name="_Hlk117175000"/>
      <w:bookmarkStart w:id="38" w:name="_Hlk117174909"/>
      <w:r w:rsidR="000E7876" w:rsidRPr="00A051C4">
        <w:rPr>
          <w:rFonts w:ascii="Arial" w:hAnsi="Arial" w:cs="Arial"/>
          <w:i/>
          <w:iCs/>
          <w:sz w:val="24"/>
          <w:szCs w:val="24"/>
          <w:lang w:eastAsia="en-ZA"/>
        </w:rPr>
        <w:t>Nestle</w:t>
      </w:r>
      <w:bookmarkEnd w:id="37"/>
      <w:r w:rsidR="000E7876" w:rsidRPr="00A051C4">
        <w:rPr>
          <w:rFonts w:ascii="Arial" w:hAnsi="Arial" w:cs="Arial"/>
          <w:i/>
          <w:iCs/>
          <w:sz w:val="24"/>
          <w:szCs w:val="24"/>
          <w:lang w:eastAsia="en-ZA"/>
        </w:rPr>
        <w:t xml:space="preserve"> v International Foodstuffs</w:t>
      </w:r>
      <w:r w:rsidR="000E7876" w:rsidRPr="00A051C4">
        <w:rPr>
          <w:rStyle w:val="FootnoteReference"/>
          <w:rFonts w:ascii="Arial" w:hAnsi="Arial" w:cs="Arial"/>
          <w:sz w:val="24"/>
          <w:szCs w:val="24"/>
          <w:lang w:eastAsia="en-ZA"/>
        </w:rPr>
        <w:footnoteReference w:id="17"/>
      </w:r>
      <w:r w:rsidR="000E7876" w:rsidRPr="00A051C4">
        <w:rPr>
          <w:rFonts w:ascii="Arial" w:hAnsi="Arial" w:cs="Arial"/>
          <w:i/>
          <w:iCs/>
          <w:sz w:val="24"/>
          <w:szCs w:val="24"/>
          <w:lang w:eastAsia="en-ZA"/>
        </w:rPr>
        <w:t xml:space="preserve"> (</w:t>
      </w:r>
      <w:r w:rsidR="00AA5F26" w:rsidRPr="00A051C4">
        <w:rPr>
          <w:rFonts w:ascii="Arial" w:hAnsi="Arial" w:cs="Arial"/>
          <w:i/>
          <w:iCs/>
          <w:sz w:val="24"/>
          <w:szCs w:val="24"/>
          <w:lang w:eastAsia="en-ZA"/>
        </w:rPr>
        <w:t>Nestl</w:t>
      </w:r>
      <w:r w:rsidR="00D80EB8" w:rsidRPr="00A051C4">
        <w:rPr>
          <w:rFonts w:ascii="Arial" w:hAnsi="Arial" w:cs="Arial"/>
          <w:sz w:val="24"/>
          <w:szCs w:val="24"/>
        </w:rPr>
        <w:t>é</w:t>
      </w:r>
      <w:r w:rsidR="00AA5F26" w:rsidRPr="00A051C4">
        <w:rPr>
          <w:rFonts w:ascii="Arial" w:hAnsi="Arial" w:cs="Arial"/>
          <w:i/>
          <w:iCs/>
          <w:sz w:val="24"/>
          <w:szCs w:val="24"/>
          <w:lang w:eastAsia="en-ZA"/>
        </w:rPr>
        <w:t xml:space="preserve"> South</w:t>
      </w:r>
      <w:r w:rsidR="00A12F9A" w:rsidRPr="00A051C4">
        <w:rPr>
          <w:rFonts w:ascii="Arial" w:hAnsi="Arial" w:cs="Arial"/>
          <w:i/>
          <w:iCs/>
          <w:sz w:val="24"/>
          <w:szCs w:val="24"/>
          <w:lang w:eastAsia="en-ZA"/>
        </w:rPr>
        <w:t xml:space="preserve"> Africa</w:t>
      </w:r>
      <w:r w:rsidR="00AA5F26" w:rsidRPr="00A051C4">
        <w:rPr>
          <w:rFonts w:ascii="Arial" w:hAnsi="Arial" w:cs="Arial"/>
          <w:i/>
          <w:iCs/>
          <w:sz w:val="24"/>
          <w:szCs w:val="24"/>
          <w:lang w:eastAsia="en-ZA"/>
        </w:rPr>
        <w:t>)</w:t>
      </w:r>
      <w:r w:rsidR="000E7876" w:rsidRPr="00A051C4">
        <w:rPr>
          <w:rFonts w:ascii="Arial" w:hAnsi="Arial" w:cs="Arial"/>
          <w:sz w:val="24"/>
          <w:szCs w:val="24"/>
          <w:lang w:eastAsia="en-ZA"/>
        </w:rPr>
        <w:t>.</w:t>
      </w:r>
      <w:r w:rsidR="00AA5F26" w:rsidRPr="00A051C4">
        <w:rPr>
          <w:rFonts w:ascii="Arial" w:hAnsi="Arial" w:cs="Arial"/>
          <w:sz w:val="24"/>
          <w:szCs w:val="24"/>
          <w:lang w:eastAsia="en-ZA"/>
        </w:rPr>
        <w:t xml:space="preserve"> The dispute was about Nestl</w:t>
      </w:r>
      <w:bookmarkStart w:id="39" w:name="_Hlk117175814"/>
      <w:r w:rsidR="00D80EB8" w:rsidRPr="00A051C4">
        <w:rPr>
          <w:rFonts w:ascii="Arial" w:hAnsi="Arial" w:cs="Arial"/>
          <w:sz w:val="24"/>
          <w:szCs w:val="24"/>
        </w:rPr>
        <w:t>é</w:t>
      </w:r>
      <w:bookmarkEnd w:id="39"/>
      <w:r w:rsidR="00AA5F26" w:rsidRPr="00A051C4">
        <w:rPr>
          <w:rFonts w:ascii="Arial" w:hAnsi="Arial" w:cs="Arial"/>
          <w:sz w:val="24"/>
          <w:szCs w:val="24"/>
          <w:lang w:eastAsia="en-ZA"/>
        </w:rPr>
        <w:t xml:space="preserve">’s </w:t>
      </w:r>
      <w:bookmarkStart w:id="40" w:name="_Hlk117187904"/>
      <w:r w:rsidR="0000114F" w:rsidRPr="00A051C4">
        <w:rPr>
          <w:rFonts w:ascii="Arial" w:hAnsi="Arial" w:cs="Arial"/>
          <w:sz w:val="24"/>
          <w:szCs w:val="24"/>
          <w:lang w:eastAsia="en-ZA"/>
        </w:rPr>
        <w:t>four</w:t>
      </w:r>
      <w:r w:rsidR="00117F30" w:rsidRPr="00A051C4">
        <w:rPr>
          <w:rFonts w:ascii="Arial" w:hAnsi="Arial" w:cs="Arial"/>
          <w:b/>
          <w:sz w:val="24"/>
          <w:szCs w:val="24"/>
        </w:rPr>
        <w:t>-</w:t>
      </w:r>
      <w:r w:rsidR="00AA5F26" w:rsidRPr="00A051C4">
        <w:rPr>
          <w:rFonts w:ascii="Arial" w:hAnsi="Arial" w:cs="Arial"/>
          <w:bCs/>
          <w:sz w:val="24"/>
          <w:szCs w:val="24"/>
        </w:rPr>
        <w:t>finger wafer</w:t>
      </w:r>
      <w:bookmarkEnd w:id="40"/>
      <w:r w:rsidR="007828F8">
        <w:rPr>
          <w:rFonts w:ascii="Arial" w:hAnsi="Arial" w:cs="Arial"/>
          <w:bCs/>
          <w:sz w:val="24"/>
          <w:szCs w:val="24"/>
        </w:rPr>
        <w:t xml:space="preserve"> and two-</w:t>
      </w:r>
      <w:r w:rsidR="00AA5F26" w:rsidRPr="00A051C4">
        <w:rPr>
          <w:rFonts w:ascii="Arial" w:hAnsi="Arial" w:cs="Arial"/>
          <w:bCs/>
          <w:sz w:val="24"/>
          <w:szCs w:val="24"/>
        </w:rPr>
        <w:t>finger wafer shape mark</w:t>
      </w:r>
      <w:r w:rsidR="00AA5F26" w:rsidRPr="00A051C4">
        <w:rPr>
          <w:rFonts w:ascii="Arial" w:hAnsi="Arial" w:cs="Arial"/>
          <w:b/>
          <w:sz w:val="24"/>
          <w:szCs w:val="24"/>
        </w:rPr>
        <w:t xml:space="preserve"> </w:t>
      </w:r>
      <w:r w:rsidR="00AA5F26" w:rsidRPr="00A051C4">
        <w:rPr>
          <w:rFonts w:ascii="Arial" w:hAnsi="Arial" w:cs="Arial"/>
          <w:sz w:val="24"/>
          <w:szCs w:val="24"/>
        </w:rPr>
        <w:t xml:space="preserve">held by </w:t>
      </w:r>
      <w:bookmarkStart w:id="41" w:name="_Hlk117175606"/>
      <w:r w:rsidR="00AA5F26" w:rsidRPr="00A051C4">
        <w:rPr>
          <w:rFonts w:ascii="Arial" w:hAnsi="Arial" w:cs="Arial"/>
          <w:sz w:val="24"/>
          <w:szCs w:val="24"/>
        </w:rPr>
        <w:t>Nestl</w:t>
      </w:r>
      <w:bookmarkStart w:id="42" w:name="_Hlk117175795"/>
      <w:r w:rsidR="00AA5F26" w:rsidRPr="00A051C4">
        <w:rPr>
          <w:rFonts w:ascii="Arial" w:hAnsi="Arial" w:cs="Arial"/>
          <w:sz w:val="24"/>
          <w:szCs w:val="24"/>
        </w:rPr>
        <w:t>é</w:t>
      </w:r>
      <w:bookmarkEnd w:id="41"/>
      <w:bookmarkEnd w:id="42"/>
      <w:r w:rsidR="00AA5F26" w:rsidRPr="00A051C4">
        <w:rPr>
          <w:rFonts w:ascii="Arial" w:hAnsi="Arial" w:cs="Arial"/>
          <w:sz w:val="24"/>
          <w:szCs w:val="24"/>
        </w:rPr>
        <w:t xml:space="preserve"> in the ‘Kit Kat’ chocolate bar, marketed and sold by it. </w:t>
      </w:r>
      <w:r w:rsidR="00D80EB8" w:rsidRPr="00A051C4">
        <w:rPr>
          <w:rFonts w:ascii="Arial" w:hAnsi="Arial" w:cs="Arial"/>
          <w:sz w:val="24"/>
          <w:szCs w:val="24"/>
        </w:rPr>
        <w:t xml:space="preserve">Nestlé alleged that </w:t>
      </w:r>
      <w:bookmarkEnd w:id="38"/>
      <w:r w:rsidR="00D80EB8" w:rsidRPr="00A051C4">
        <w:rPr>
          <w:rFonts w:ascii="Arial" w:hAnsi="Arial" w:cs="Arial"/>
          <w:sz w:val="24"/>
          <w:szCs w:val="24"/>
        </w:rPr>
        <w:t xml:space="preserve">the physical shape, as well as the name of a chocolate bar marketed and sold by the respondent, </w:t>
      </w:r>
      <w:bookmarkStart w:id="43" w:name="_Hlk117176019"/>
      <w:r w:rsidR="00D80EB8" w:rsidRPr="00A051C4">
        <w:rPr>
          <w:rFonts w:ascii="Arial" w:hAnsi="Arial" w:cs="Arial"/>
          <w:sz w:val="24"/>
          <w:szCs w:val="24"/>
        </w:rPr>
        <w:t>Iffco</w:t>
      </w:r>
      <w:bookmarkEnd w:id="43"/>
      <w:r w:rsidR="00D80EB8" w:rsidRPr="00A051C4">
        <w:rPr>
          <w:rFonts w:ascii="Arial" w:hAnsi="Arial" w:cs="Arial"/>
          <w:sz w:val="24"/>
          <w:szCs w:val="24"/>
        </w:rPr>
        <w:t xml:space="preserve">, infringed its </w:t>
      </w:r>
      <w:bookmarkStart w:id="44" w:name="_Hlk117188021"/>
      <w:r w:rsidR="00B71844" w:rsidRPr="00A051C4">
        <w:rPr>
          <w:rFonts w:ascii="Arial" w:hAnsi="Arial" w:cs="Arial"/>
          <w:bCs/>
          <w:sz w:val="24"/>
          <w:szCs w:val="24"/>
        </w:rPr>
        <w:t>four</w:t>
      </w:r>
      <w:r w:rsidR="00F1277C" w:rsidRPr="00A051C4">
        <w:rPr>
          <w:rFonts w:ascii="Arial" w:hAnsi="Arial" w:cs="Arial"/>
          <w:bCs/>
          <w:sz w:val="24"/>
          <w:szCs w:val="24"/>
        </w:rPr>
        <w:t>-</w:t>
      </w:r>
      <w:r w:rsidR="00381507" w:rsidRPr="00A051C4">
        <w:rPr>
          <w:rFonts w:ascii="Arial" w:hAnsi="Arial" w:cs="Arial"/>
          <w:bCs/>
          <w:sz w:val="24"/>
          <w:szCs w:val="24"/>
        </w:rPr>
        <w:t>finger wa</w:t>
      </w:r>
      <w:r w:rsidR="00F1277C" w:rsidRPr="00A051C4">
        <w:rPr>
          <w:rFonts w:ascii="Arial" w:hAnsi="Arial" w:cs="Arial"/>
          <w:bCs/>
          <w:sz w:val="24"/>
          <w:szCs w:val="24"/>
        </w:rPr>
        <w:t>fer</w:t>
      </w:r>
      <w:r w:rsidR="00381507" w:rsidRPr="00A051C4">
        <w:rPr>
          <w:rFonts w:ascii="Arial" w:hAnsi="Arial" w:cs="Arial"/>
          <w:sz w:val="24"/>
          <w:szCs w:val="24"/>
        </w:rPr>
        <w:t xml:space="preserve"> </w:t>
      </w:r>
      <w:r w:rsidR="00D80EB8" w:rsidRPr="00A051C4">
        <w:rPr>
          <w:rFonts w:ascii="Arial" w:hAnsi="Arial" w:cs="Arial"/>
          <w:sz w:val="24"/>
          <w:szCs w:val="24"/>
        </w:rPr>
        <w:t>shape mark</w:t>
      </w:r>
      <w:bookmarkEnd w:id="44"/>
      <w:r w:rsidR="006618EF" w:rsidRPr="00A051C4">
        <w:rPr>
          <w:rFonts w:ascii="Arial" w:hAnsi="Arial" w:cs="Arial"/>
          <w:sz w:val="24"/>
          <w:szCs w:val="24"/>
        </w:rPr>
        <w:t xml:space="preserve"> in respect of the Kit Kat chocolate bar.</w:t>
      </w:r>
      <w:r w:rsidR="00D80EB8" w:rsidRPr="00A051C4">
        <w:rPr>
          <w:rFonts w:ascii="Arial" w:hAnsi="Arial" w:cs="Arial"/>
          <w:sz w:val="24"/>
          <w:szCs w:val="24"/>
        </w:rPr>
        <w:t xml:space="preserve"> Iffco, in turn sought the expungement of </w:t>
      </w:r>
      <w:r w:rsidR="006A0BD3" w:rsidRPr="00A051C4">
        <w:rPr>
          <w:rFonts w:ascii="Arial" w:hAnsi="Arial" w:cs="Arial"/>
          <w:sz w:val="24"/>
          <w:szCs w:val="24"/>
        </w:rPr>
        <w:t>th</w:t>
      </w:r>
      <w:r w:rsidR="00381507" w:rsidRPr="00A051C4">
        <w:rPr>
          <w:rFonts w:ascii="Arial" w:hAnsi="Arial" w:cs="Arial"/>
          <w:sz w:val="24"/>
          <w:szCs w:val="24"/>
        </w:rPr>
        <w:t>at mark.</w:t>
      </w:r>
      <w:r w:rsidR="006A0BD3" w:rsidRPr="00A051C4">
        <w:rPr>
          <w:rFonts w:ascii="Arial" w:hAnsi="Arial" w:cs="Arial"/>
          <w:sz w:val="24"/>
          <w:szCs w:val="24"/>
        </w:rPr>
        <w:t xml:space="preserve"> </w:t>
      </w:r>
    </w:p>
    <w:p w14:paraId="3C9C3603" w14:textId="77777777" w:rsidR="00CA02F5" w:rsidRPr="00A051C4" w:rsidRDefault="00CA02F5" w:rsidP="00CA02F5">
      <w:pPr>
        <w:shd w:val="clear" w:color="auto" w:fill="FFFFFF"/>
        <w:spacing w:before="120" w:after="120" w:line="360" w:lineRule="auto"/>
        <w:contextualSpacing/>
        <w:jc w:val="both"/>
        <w:rPr>
          <w:rFonts w:ascii="Arial" w:hAnsi="Arial" w:cs="Arial"/>
          <w:sz w:val="24"/>
          <w:szCs w:val="24"/>
        </w:rPr>
      </w:pPr>
    </w:p>
    <w:p w14:paraId="7A9AB6A0" w14:textId="42AE0487" w:rsidR="00B42572" w:rsidRPr="0034626B" w:rsidRDefault="006227FF" w:rsidP="006227FF">
      <w:pPr>
        <w:shd w:val="clear" w:color="auto" w:fill="FFFFFF"/>
        <w:spacing w:before="120" w:after="120" w:line="360" w:lineRule="auto"/>
        <w:contextualSpacing/>
        <w:jc w:val="both"/>
        <w:rPr>
          <w:rFonts w:ascii="Arial" w:hAnsi="Arial" w:cs="Arial"/>
          <w:sz w:val="24"/>
          <w:szCs w:val="24"/>
        </w:rPr>
      </w:pPr>
      <w:r w:rsidRPr="0034626B">
        <w:rPr>
          <w:rFonts w:ascii="Arial" w:hAnsi="Arial" w:cs="Arial"/>
          <w:snapToGrid w:val="0"/>
          <w:color w:val="000000"/>
          <w:w w:val="0"/>
          <w:sz w:val="24"/>
          <w:szCs w:val="24"/>
        </w:rPr>
        <w:t>[24]</w:t>
      </w:r>
      <w:r w:rsidRPr="0034626B">
        <w:rPr>
          <w:rFonts w:ascii="Arial" w:hAnsi="Arial" w:cs="Arial"/>
          <w:snapToGrid w:val="0"/>
          <w:color w:val="000000"/>
          <w:w w:val="0"/>
          <w:sz w:val="24"/>
          <w:szCs w:val="24"/>
        </w:rPr>
        <w:tab/>
      </w:r>
      <w:r w:rsidR="007A4870" w:rsidRPr="00A051C4">
        <w:rPr>
          <w:rFonts w:ascii="Arial" w:hAnsi="Arial" w:cs="Arial"/>
          <w:sz w:val="24"/>
          <w:szCs w:val="24"/>
        </w:rPr>
        <w:t>Th</w:t>
      </w:r>
      <w:r w:rsidR="0000114F" w:rsidRPr="00A051C4">
        <w:rPr>
          <w:rFonts w:ascii="Arial" w:hAnsi="Arial" w:cs="Arial"/>
          <w:sz w:val="24"/>
          <w:szCs w:val="24"/>
        </w:rPr>
        <w:t>is</w:t>
      </w:r>
      <w:r w:rsidR="007A4870" w:rsidRPr="00A051C4">
        <w:rPr>
          <w:rFonts w:ascii="Arial" w:hAnsi="Arial" w:cs="Arial"/>
          <w:sz w:val="24"/>
          <w:szCs w:val="24"/>
        </w:rPr>
        <w:t xml:space="preserve"> Court held that </w:t>
      </w:r>
      <w:bookmarkStart w:id="45" w:name="_Hlk117187039"/>
      <w:r w:rsidR="006618EF" w:rsidRPr="00A051C4">
        <w:rPr>
          <w:rFonts w:ascii="Arial" w:hAnsi="Arial" w:cs="Arial"/>
          <w:sz w:val="24"/>
          <w:szCs w:val="24"/>
        </w:rPr>
        <w:t>Nestlé</w:t>
      </w:r>
      <w:bookmarkEnd w:id="45"/>
      <w:r w:rsidR="006618EF" w:rsidRPr="00A051C4">
        <w:rPr>
          <w:rFonts w:ascii="Arial" w:hAnsi="Arial" w:cs="Arial"/>
          <w:sz w:val="24"/>
          <w:szCs w:val="24"/>
        </w:rPr>
        <w:t xml:space="preserve">’s </w:t>
      </w:r>
      <w:bookmarkStart w:id="46" w:name="_Hlk117249398"/>
      <w:r w:rsidR="006618EF" w:rsidRPr="00A051C4">
        <w:rPr>
          <w:rFonts w:ascii="Arial" w:hAnsi="Arial" w:cs="Arial"/>
          <w:sz w:val="24"/>
          <w:szCs w:val="24"/>
        </w:rPr>
        <w:t>shape mark had acquired distinctiveness</w:t>
      </w:r>
      <w:r w:rsidR="007A4870" w:rsidRPr="00A051C4">
        <w:rPr>
          <w:rFonts w:ascii="Arial" w:hAnsi="Arial" w:cs="Arial"/>
          <w:sz w:val="24"/>
          <w:szCs w:val="24"/>
        </w:rPr>
        <w:t>.</w:t>
      </w:r>
      <w:r w:rsidR="006618EF" w:rsidRPr="00A051C4">
        <w:rPr>
          <w:rFonts w:ascii="Arial" w:hAnsi="Arial" w:cs="Arial"/>
          <w:sz w:val="24"/>
          <w:szCs w:val="24"/>
        </w:rPr>
        <w:t xml:space="preserve"> </w:t>
      </w:r>
      <w:bookmarkEnd w:id="46"/>
      <w:r w:rsidR="00381507" w:rsidRPr="00A051C4">
        <w:rPr>
          <w:rFonts w:ascii="Arial" w:hAnsi="Arial" w:cs="Arial"/>
          <w:sz w:val="24"/>
          <w:szCs w:val="24"/>
        </w:rPr>
        <w:t xml:space="preserve">It pointed to the fact that </w:t>
      </w:r>
      <w:bookmarkStart w:id="47" w:name="_Hlk117187240"/>
      <w:r w:rsidR="00381507" w:rsidRPr="00A051C4">
        <w:rPr>
          <w:rFonts w:ascii="Arial" w:hAnsi="Arial" w:cs="Arial"/>
          <w:sz w:val="24"/>
          <w:szCs w:val="24"/>
        </w:rPr>
        <w:t>Nestlé</w:t>
      </w:r>
      <w:bookmarkEnd w:id="47"/>
      <w:r w:rsidR="00381507" w:rsidRPr="00A051C4">
        <w:rPr>
          <w:rFonts w:ascii="Arial" w:hAnsi="Arial" w:cs="Arial"/>
          <w:sz w:val="24"/>
          <w:szCs w:val="24"/>
        </w:rPr>
        <w:t xml:space="preserve"> had marketed and sold the Kit Kat chocolate bar in South Africa for 50 years and that extensive use had been made of its shape for promotion and advertising purposes.</w:t>
      </w:r>
      <w:r w:rsidR="00381507" w:rsidRPr="00A051C4">
        <w:rPr>
          <w:rStyle w:val="FootnoteReference"/>
          <w:rFonts w:ascii="Arial" w:hAnsi="Arial" w:cs="Arial"/>
          <w:sz w:val="24"/>
          <w:szCs w:val="24"/>
        </w:rPr>
        <w:footnoteReference w:id="18"/>
      </w:r>
      <w:r w:rsidR="00381507" w:rsidRPr="00A051C4">
        <w:rPr>
          <w:rFonts w:ascii="Arial" w:hAnsi="Arial" w:cs="Arial"/>
          <w:sz w:val="24"/>
          <w:szCs w:val="24"/>
        </w:rPr>
        <w:t xml:space="preserve"> The Court accepted two consumer surveys presented by </w:t>
      </w:r>
      <w:bookmarkStart w:id="48" w:name="_Hlk117187385"/>
      <w:r w:rsidR="00381507" w:rsidRPr="00A051C4">
        <w:rPr>
          <w:rFonts w:ascii="Arial" w:hAnsi="Arial" w:cs="Arial"/>
          <w:sz w:val="24"/>
          <w:szCs w:val="24"/>
        </w:rPr>
        <w:t>Nestlé</w:t>
      </w:r>
      <w:bookmarkEnd w:id="48"/>
      <w:r w:rsidR="00381507" w:rsidRPr="00A051C4">
        <w:rPr>
          <w:rFonts w:ascii="Arial" w:hAnsi="Arial" w:cs="Arial"/>
          <w:sz w:val="24"/>
          <w:szCs w:val="24"/>
        </w:rPr>
        <w:t xml:space="preserve">, on the basis of which it concluded that the ordinary consumer was able to </w:t>
      </w:r>
      <w:r w:rsidR="00381507" w:rsidRPr="00A051C4">
        <w:rPr>
          <w:rFonts w:ascii="Arial" w:hAnsi="Arial" w:cs="Arial"/>
          <w:i/>
          <w:iCs/>
          <w:sz w:val="24"/>
          <w:szCs w:val="24"/>
        </w:rPr>
        <w:t>recognise</w:t>
      </w:r>
      <w:r w:rsidR="00381507" w:rsidRPr="00A051C4">
        <w:rPr>
          <w:rFonts w:ascii="Arial" w:hAnsi="Arial" w:cs="Arial"/>
          <w:sz w:val="24"/>
          <w:szCs w:val="24"/>
        </w:rPr>
        <w:t xml:space="preserve"> the shape of the </w:t>
      </w:r>
      <w:bookmarkStart w:id="49" w:name="_Hlk117187411"/>
      <w:r w:rsidR="00381507" w:rsidRPr="00A051C4">
        <w:rPr>
          <w:rFonts w:ascii="Arial" w:hAnsi="Arial" w:cs="Arial"/>
          <w:sz w:val="24"/>
          <w:szCs w:val="24"/>
        </w:rPr>
        <w:t xml:space="preserve">Kit Kat </w:t>
      </w:r>
      <w:bookmarkEnd w:id="49"/>
      <w:r w:rsidR="00381507" w:rsidRPr="00A051C4">
        <w:rPr>
          <w:rFonts w:ascii="Arial" w:hAnsi="Arial" w:cs="Arial"/>
          <w:sz w:val="24"/>
          <w:szCs w:val="24"/>
        </w:rPr>
        <w:t xml:space="preserve">chocolate bar, and </w:t>
      </w:r>
      <w:r w:rsidR="00381507" w:rsidRPr="00A051C4">
        <w:rPr>
          <w:rFonts w:ascii="Arial" w:hAnsi="Arial" w:cs="Arial"/>
          <w:i/>
          <w:iCs/>
          <w:sz w:val="24"/>
          <w:szCs w:val="24"/>
        </w:rPr>
        <w:t>associate</w:t>
      </w:r>
      <w:r w:rsidR="00381507" w:rsidRPr="00A051C4">
        <w:rPr>
          <w:rFonts w:ascii="Arial" w:hAnsi="Arial" w:cs="Arial"/>
          <w:sz w:val="24"/>
          <w:szCs w:val="24"/>
        </w:rPr>
        <w:t xml:space="preserve"> such shape with </w:t>
      </w:r>
      <w:bookmarkStart w:id="50" w:name="_Hlk117188100"/>
      <w:r w:rsidR="00381507" w:rsidRPr="00A051C4">
        <w:rPr>
          <w:rFonts w:ascii="Arial" w:hAnsi="Arial" w:cs="Arial"/>
          <w:sz w:val="24"/>
          <w:szCs w:val="24"/>
        </w:rPr>
        <w:t>Nestl</w:t>
      </w:r>
      <w:bookmarkStart w:id="51" w:name="_Hlk117187776"/>
      <w:r w:rsidR="00381507" w:rsidRPr="00A051C4">
        <w:rPr>
          <w:rFonts w:ascii="Arial" w:hAnsi="Arial" w:cs="Arial"/>
          <w:sz w:val="24"/>
          <w:szCs w:val="24"/>
        </w:rPr>
        <w:t>é</w:t>
      </w:r>
      <w:bookmarkEnd w:id="50"/>
      <w:bookmarkEnd w:id="51"/>
      <w:r w:rsidR="00381507" w:rsidRPr="00A051C4">
        <w:rPr>
          <w:rFonts w:ascii="Arial" w:hAnsi="Arial" w:cs="Arial"/>
          <w:sz w:val="24"/>
          <w:szCs w:val="24"/>
        </w:rPr>
        <w:t xml:space="preserve"> and the Kit Kat brand.</w:t>
      </w:r>
      <w:r w:rsidR="00381507" w:rsidRPr="00A051C4">
        <w:rPr>
          <w:rStyle w:val="FootnoteReference"/>
          <w:rFonts w:ascii="Arial" w:hAnsi="Arial" w:cs="Arial"/>
          <w:sz w:val="24"/>
          <w:szCs w:val="24"/>
        </w:rPr>
        <w:footnoteReference w:id="19"/>
      </w:r>
      <w:r w:rsidR="00381507" w:rsidRPr="00A051C4">
        <w:rPr>
          <w:rFonts w:ascii="Arial" w:hAnsi="Arial" w:cs="Arial"/>
          <w:sz w:val="24"/>
          <w:szCs w:val="24"/>
        </w:rPr>
        <w:t xml:space="preserve"> Consequently, Iffco was found to have infringed Nestlé’s </w:t>
      </w:r>
      <w:r w:rsidR="00F1277C" w:rsidRPr="00A051C4">
        <w:rPr>
          <w:rFonts w:ascii="Arial" w:hAnsi="Arial" w:cs="Arial"/>
          <w:bCs/>
          <w:sz w:val="24"/>
          <w:szCs w:val="24"/>
        </w:rPr>
        <w:t>four-</w:t>
      </w:r>
      <w:r w:rsidR="00381507" w:rsidRPr="00A051C4">
        <w:rPr>
          <w:rFonts w:ascii="Arial" w:hAnsi="Arial" w:cs="Arial"/>
          <w:bCs/>
          <w:sz w:val="24"/>
          <w:szCs w:val="24"/>
        </w:rPr>
        <w:t>finger wafer</w:t>
      </w:r>
      <w:r w:rsidR="00381507" w:rsidRPr="00A051C4">
        <w:rPr>
          <w:rFonts w:ascii="Arial" w:hAnsi="Arial" w:cs="Arial"/>
          <w:sz w:val="24"/>
          <w:szCs w:val="24"/>
        </w:rPr>
        <w:t xml:space="preserve"> shape mark.</w:t>
      </w:r>
      <w:r w:rsidR="008B02D6">
        <w:rPr>
          <w:rFonts w:ascii="Arial" w:hAnsi="Arial" w:cs="Arial"/>
          <w:sz w:val="24"/>
          <w:szCs w:val="24"/>
        </w:rPr>
        <w:t xml:space="preserve"> </w:t>
      </w:r>
      <w:r w:rsidR="007A4870" w:rsidRPr="00A051C4">
        <w:rPr>
          <w:rFonts w:ascii="Arial" w:hAnsi="Arial" w:cs="Arial"/>
          <w:sz w:val="24"/>
          <w:szCs w:val="24"/>
        </w:rPr>
        <w:t>(emphasis added.)</w:t>
      </w:r>
    </w:p>
    <w:p w14:paraId="6BFEC1CF" w14:textId="5C304403" w:rsidR="00536A6A" w:rsidRPr="00A051C4" w:rsidRDefault="006227FF" w:rsidP="006227FF">
      <w:pPr>
        <w:shd w:val="clear" w:color="auto" w:fill="FFFFFF"/>
        <w:spacing w:before="120" w:after="120" w:line="360" w:lineRule="auto"/>
        <w:contextualSpacing/>
        <w:jc w:val="both"/>
        <w:rPr>
          <w:rFonts w:ascii="Arial" w:hAnsi="Arial" w:cs="Arial"/>
          <w:sz w:val="24"/>
          <w:szCs w:val="24"/>
        </w:rPr>
      </w:pPr>
      <w:r w:rsidRPr="00A051C4">
        <w:rPr>
          <w:rFonts w:ascii="Arial" w:hAnsi="Arial" w:cs="Arial"/>
          <w:snapToGrid w:val="0"/>
          <w:color w:val="000000"/>
          <w:w w:val="0"/>
          <w:sz w:val="24"/>
          <w:szCs w:val="24"/>
        </w:rPr>
        <w:lastRenderedPageBreak/>
        <w:t>[25]</w:t>
      </w:r>
      <w:r w:rsidRPr="00A051C4">
        <w:rPr>
          <w:rFonts w:ascii="Arial" w:hAnsi="Arial" w:cs="Arial"/>
          <w:snapToGrid w:val="0"/>
          <w:color w:val="000000"/>
          <w:w w:val="0"/>
          <w:sz w:val="24"/>
          <w:szCs w:val="24"/>
        </w:rPr>
        <w:tab/>
      </w:r>
      <w:r w:rsidR="002C34EE" w:rsidRPr="00A051C4">
        <w:rPr>
          <w:rFonts w:ascii="Arial" w:hAnsi="Arial" w:cs="Arial"/>
          <w:sz w:val="24"/>
          <w:szCs w:val="24"/>
        </w:rPr>
        <w:t xml:space="preserve">Almost at the same time that </w:t>
      </w:r>
      <w:bookmarkStart w:id="52" w:name="_Hlk117247331"/>
      <w:bookmarkStart w:id="53" w:name="_Hlk117247796"/>
      <w:bookmarkStart w:id="54" w:name="_Hlk117219906"/>
      <w:r w:rsidR="002C34EE" w:rsidRPr="00A051C4">
        <w:rPr>
          <w:rFonts w:ascii="Arial" w:hAnsi="Arial" w:cs="Arial"/>
          <w:i/>
          <w:iCs/>
          <w:sz w:val="24"/>
          <w:szCs w:val="24"/>
        </w:rPr>
        <w:t>Nestlé</w:t>
      </w:r>
      <w:bookmarkEnd w:id="52"/>
      <w:r w:rsidR="002C34EE" w:rsidRPr="00A051C4">
        <w:rPr>
          <w:rFonts w:ascii="Arial" w:hAnsi="Arial" w:cs="Arial"/>
          <w:i/>
          <w:iCs/>
          <w:sz w:val="24"/>
          <w:szCs w:val="24"/>
        </w:rPr>
        <w:t xml:space="preserve"> </w:t>
      </w:r>
      <w:bookmarkEnd w:id="53"/>
      <w:r w:rsidR="002C34EE" w:rsidRPr="00A051C4">
        <w:rPr>
          <w:rFonts w:ascii="Arial" w:hAnsi="Arial" w:cs="Arial"/>
          <w:i/>
          <w:iCs/>
          <w:sz w:val="24"/>
          <w:szCs w:val="24"/>
        </w:rPr>
        <w:t>South Africa</w:t>
      </w:r>
      <w:r w:rsidR="002C34EE" w:rsidRPr="00A051C4">
        <w:rPr>
          <w:rFonts w:ascii="Arial" w:hAnsi="Arial" w:cs="Arial"/>
          <w:sz w:val="24"/>
          <w:szCs w:val="24"/>
        </w:rPr>
        <w:t xml:space="preserve"> </w:t>
      </w:r>
      <w:bookmarkEnd w:id="54"/>
      <w:r w:rsidR="002C34EE" w:rsidRPr="00A051C4">
        <w:rPr>
          <w:rFonts w:ascii="Arial" w:hAnsi="Arial" w:cs="Arial"/>
          <w:sz w:val="24"/>
          <w:szCs w:val="24"/>
        </w:rPr>
        <w:t xml:space="preserve">was decided, the </w:t>
      </w:r>
      <w:r w:rsidR="005D4B2B" w:rsidRPr="00A051C4">
        <w:rPr>
          <w:rFonts w:ascii="Arial" w:hAnsi="Arial" w:cs="Arial"/>
          <w:sz w:val="24"/>
          <w:szCs w:val="24"/>
        </w:rPr>
        <w:t xml:space="preserve">trade mark </w:t>
      </w:r>
      <w:r w:rsidR="00B16FEE" w:rsidRPr="00A051C4">
        <w:rPr>
          <w:rFonts w:ascii="Arial" w:hAnsi="Arial" w:cs="Arial"/>
          <w:sz w:val="24"/>
          <w:szCs w:val="24"/>
        </w:rPr>
        <w:t xml:space="preserve">battle </w:t>
      </w:r>
      <w:r w:rsidR="005D4B2B" w:rsidRPr="00A051C4">
        <w:rPr>
          <w:rFonts w:ascii="Arial" w:hAnsi="Arial" w:cs="Arial"/>
          <w:sz w:val="24"/>
          <w:szCs w:val="24"/>
        </w:rPr>
        <w:t xml:space="preserve">in respect of </w:t>
      </w:r>
      <w:r w:rsidR="00B16FEE" w:rsidRPr="00A051C4">
        <w:rPr>
          <w:rFonts w:ascii="Arial" w:hAnsi="Arial" w:cs="Arial"/>
          <w:sz w:val="24"/>
          <w:szCs w:val="24"/>
        </w:rPr>
        <w:t>Nestlé’s</w:t>
      </w:r>
      <w:r w:rsidR="00B16FEE" w:rsidRPr="00A051C4">
        <w:rPr>
          <w:rFonts w:ascii="Arial" w:hAnsi="Arial" w:cs="Arial"/>
          <w:i/>
          <w:iCs/>
          <w:sz w:val="24"/>
          <w:szCs w:val="24"/>
        </w:rPr>
        <w:t xml:space="preserve"> </w:t>
      </w:r>
      <w:r w:rsidR="00B16FEE" w:rsidRPr="00A051C4">
        <w:rPr>
          <w:rFonts w:ascii="Arial" w:hAnsi="Arial" w:cs="Arial"/>
          <w:sz w:val="24"/>
          <w:szCs w:val="24"/>
        </w:rPr>
        <w:t xml:space="preserve">four-finger chocolate bar, was taking shape in </w:t>
      </w:r>
      <w:bookmarkStart w:id="55" w:name="_Hlk117217469"/>
      <w:r w:rsidR="00C2533E" w:rsidRPr="00A051C4">
        <w:rPr>
          <w:rFonts w:ascii="Arial" w:hAnsi="Arial" w:cs="Arial"/>
          <w:sz w:val="24"/>
          <w:szCs w:val="24"/>
        </w:rPr>
        <w:t>the United</w:t>
      </w:r>
      <w:r w:rsidR="006804A2" w:rsidRPr="00A051C4">
        <w:rPr>
          <w:rFonts w:ascii="Arial" w:hAnsi="Arial" w:cs="Arial"/>
          <w:sz w:val="24"/>
          <w:szCs w:val="24"/>
        </w:rPr>
        <w:t xml:space="preserve"> </w:t>
      </w:r>
      <w:r w:rsidR="00C2533E" w:rsidRPr="00A051C4">
        <w:rPr>
          <w:rFonts w:ascii="Arial" w:hAnsi="Arial" w:cs="Arial"/>
          <w:sz w:val="24"/>
          <w:szCs w:val="24"/>
        </w:rPr>
        <w:t>Kingdom</w:t>
      </w:r>
      <w:r w:rsidR="006804A2" w:rsidRPr="00A051C4">
        <w:rPr>
          <w:rFonts w:ascii="Arial" w:hAnsi="Arial" w:cs="Arial"/>
          <w:sz w:val="24"/>
          <w:szCs w:val="24"/>
        </w:rPr>
        <w:t xml:space="preserve"> </w:t>
      </w:r>
      <w:r w:rsidR="00C2533E" w:rsidRPr="00A051C4">
        <w:rPr>
          <w:rFonts w:ascii="Arial" w:hAnsi="Arial" w:cs="Arial"/>
          <w:sz w:val="24"/>
          <w:szCs w:val="24"/>
        </w:rPr>
        <w:t xml:space="preserve">between </w:t>
      </w:r>
      <w:bookmarkStart w:id="56" w:name="_Hlk117218810"/>
      <w:bookmarkEnd w:id="55"/>
      <w:r w:rsidR="00B16FEE" w:rsidRPr="00A051C4">
        <w:rPr>
          <w:rFonts w:ascii="Arial" w:hAnsi="Arial" w:cs="Arial"/>
          <w:sz w:val="24"/>
          <w:szCs w:val="24"/>
        </w:rPr>
        <w:t>Nestlé</w:t>
      </w:r>
      <w:bookmarkEnd w:id="56"/>
      <w:r w:rsidR="00B16FEE" w:rsidRPr="00A051C4">
        <w:rPr>
          <w:rFonts w:ascii="Arial" w:hAnsi="Arial" w:cs="Arial"/>
          <w:sz w:val="24"/>
          <w:szCs w:val="24"/>
        </w:rPr>
        <w:t xml:space="preserve"> and Cad</w:t>
      </w:r>
      <w:bookmarkStart w:id="57" w:name="_Hlk117248283"/>
      <w:r w:rsidR="0034626B">
        <w:rPr>
          <w:rFonts w:ascii="Arial" w:hAnsi="Arial" w:cs="Arial"/>
          <w:sz w:val="24"/>
          <w:szCs w:val="24"/>
        </w:rPr>
        <w:t>bury. In a trilogy of decisions</w:t>
      </w:r>
      <w:r w:rsidR="00FD0872">
        <w:rPr>
          <w:rFonts w:ascii="Arial" w:hAnsi="Arial" w:cs="Arial"/>
          <w:sz w:val="24"/>
          <w:szCs w:val="24"/>
        </w:rPr>
        <w:t xml:space="preserve"> – </w:t>
      </w:r>
      <w:r w:rsidR="00B16FEE" w:rsidRPr="00A051C4">
        <w:rPr>
          <w:rFonts w:ascii="Arial" w:hAnsi="Arial" w:cs="Arial"/>
          <w:i/>
          <w:sz w:val="24"/>
          <w:szCs w:val="24"/>
        </w:rPr>
        <w:t>Nestlé SA v Cadbury UK</w:t>
      </w:r>
      <w:bookmarkEnd w:id="57"/>
      <w:r w:rsidR="00FE754A" w:rsidRPr="00A051C4">
        <w:rPr>
          <w:rFonts w:ascii="Arial" w:hAnsi="Arial" w:cs="Arial"/>
          <w:sz w:val="24"/>
          <w:szCs w:val="24"/>
        </w:rPr>
        <w:t xml:space="preserve"> </w:t>
      </w:r>
      <w:r w:rsidR="00B16FEE" w:rsidRPr="00A051C4">
        <w:rPr>
          <w:rFonts w:ascii="Arial" w:hAnsi="Arial" w:cs="Arial"/>
          <w:sz w:val="24"/>
          <w:szCs w:val="24"/>
        </w:rPr>
        <w:t>(</w:t>
      </w:r>
      <w:r w:rsidR="00B16FEE" w:rsidRPr="00A051C4">
        <w:rPr>
          <w:rFonts w:ascii="Arial" w:hAnsi="Arial" w:cs="Arial"/>
          <w:i/>
          <w:sz w:val="24"/>
          <w:szCs w:val="24"/>
        </w:rPr>
        <w:t>Nestlé UK I</w:t>
      </w:r>
      <w:r w:rsidR="00B16FEE" w:rsidRPr="00A051C4">
        <w:rPr>
          <w:rFonts w:ascii="Arial" w:hAnsi="Arial" w:cs="Arial"/>
          <w:sz w:val="24"/>
          <w:szCs w:val="24"/>
        </w:rPr>
        <w:t>)</w:t>
      </w:r>
      <w:r w:rsidR="00FD0872">
        <w:rPr>
          <w:rFonts w:ascii="Arial" w:hAnsi="Arial" w:cs="Arial"/>
          <w:sz w:val="24"/>
          <w:szCs w:val="24"/>
        </w:rPr>
        <w:t>;</w:t>
      </w:r>
      <w:r w:rsidR="00FE754A" w:rsidRPr="00A051C4">
        <w:rPr>
          <w:rStyle w:val="FootnoteReference"/>
          <w:rFonts w:ascii="Arial" w:hAnsi="Arial" w:cs="Arial"/>
          <w:sz w:val="24"/>
          <w:szCs w:val="24"/>
        </w:rPr>
        <w:footnoteReference w:id="20"/>
      </w:r>
      <w:r w:rsidR="00B16FEE" w:rsidRPr="00A051C4">
        <w:rPr>
          <w:rFonts w:ascii="Arial" w:hAnsi="Arial" w:cs="Arial"/>
          <w:sz w:val="24"/>
          <w:szCs w:val="24"/>
        </w:rPr>
        <w:t xml:space="preserve"> </w:t>
      </w:r>
      <w:r w:rsidR="00CF25ED" w:rsidRPr="00A051C4">
        <w:rPr>
          <w:rFonts w:ascii="Arial" w:hAnsi="Arial" w:cs="Arial"/>
          <w:i/>
          <w:sz w:val="24"/>
          <w:szCs w:val="24"/>
        </w:rPr>
        <w:t>Nestlé SA v Cadbury UK</w:t>
      </w:r>
      <w:r w:rsidR="00CF25ED" w:rsidRPr="00A051C4">
        <w:rPr>
          <w:rFonts w:ascii="Arial" w:hAnsi="Arial" w:cs="Arial"/>
          <w:sz w:val="24"/>
          <w:szCs w:val="24"/>
        </w:rPr>
        <w:t xml:space="preserve"> (</w:t>
      </w:r>
      <w:bookmarkStart w:id="58" w:name="_Hlk117248894"/>
      <w:r w:rsidR="00CF25ED" w:rsidRPr="00A051C4">
        <w:rPr>
          <w:rFonts w:ascii="Arial" w:hAnsi="Arial" w:cs="Arial"/>
          <w:i/>
          <w:sz w:val="24"/>
          <w:szCs w:val="24"/>
        </w:rPr>
        <w:t>Nestlé UK II</w:t>
      </w:r>
      <w:bookmarkEnd w:id="58"/>
      <w:r w:rsidR="00CF25ED" w:rsidRPr="00A051C4">
        <w:rPr>
          <w:rFonts w:ascii="Arial" w:hAnsi="Arial" w:cs="Arial"/>
          <w:iCs/>
          <w:sz w:val="24"/>
          <w:szCs w:val="24"/>
        </w:rPr>
        <w:t>)</w:t>
      </w:r>
      <w:r w:rsidR="00FD0872">
        <w:rPr>
          <w:rFonts w:ascii="Arial" w:hAnsi="Arial" w:cs="Arial"/>
          <w:iCs/>
          <w:sz w:val="24"/>
          <w:szCs w:val="24"/>
        </w:rPr>
        <w:t>,</w:t>
      </w:r>
      <w:r w:rsidR="00FE754A" w:rsidRPr="00A051C4">
        <w:rPr>
          <w:rStyle w:val="FootnoteReference"/>
          <w:rFonts w:ascii="Arial" w:hAnsi="Arial" w:cs="Arial"/>
          <w:sz w:val="24"/>
          <w:szCs w:val="24"/>
        </w:rPr>
        <w:footnoteReference w:id="21"/>
      </w:r>
      <w:r w:rsidR="00CF25ED" w:rsidRPr="00A051C4">
        <w:rPr>
          <w:rFonts w:ascii="Arial" w:hAnsi="Arial" w:cs="Arial"/>
          <w:sz w:val="24"/>
          <w:szCs w:val="24"/>
        </w:rPr>
        <w:t xml:space="preserve"> and </w:t>
      </w:r>
      <w:bookmarkStart w:id="59" w:name="_Hlk117249270"/>
      <w:bookmarkStart w:id="60" w:name="_Hlk117248322"/>
      <w:bookmarkStart w:id="61" w:name="_Hlk117248777"/>
      <w:r w:rsidR="00CF25ED" w:rsidRPr="00A051C4">
        <w:rPr>
          <w:rFonts w:ascii="Arial" w:hAnsi="Arial" w:cs="Arial"/>
          <w:i/>
          <w:sz w:val="24"/>
          <w:szCs w:val="24"/>
        </w:rPr>
        <w:t>Nestlé</w:t>
      </w:r>
      <w:bookmarkEnd w:id="59"/>
      <w:r w:rsidR="00CF25ED" w:rsidRPr="00A051C4">
        <w:rPr>
          <w:rFonts w:ascii="Arial" w:hAnsi="Arial" w:cs="Arial"/>
          <w:i/>
          <w:sz w:val="24"/>
          <w:szCs w:val="24"/>
        </w:rPr>
        <w:t xml:space="preserve"> </w:t>
      </w:r>
      <w:bookmarkEnd w:id="60"/>
      <w:r w:rsidR="00CF25ED" w:rsidRPr="00A051C4">
        <w:rPr>
          <w:rFonts w:ascii="Arial" w:hAnsi="Arial" w:cs="Arial"/>
          <w:i/>
          <w:sz w:val="24"/>
          <w:szCs w:val="24"/>
        </w:rPr>
        <w:t>SA v Cadbury UK</w:t>
      </w:r>
      <w:r w:rsidR="00CF25ED" w:rsidRPr="00A051C4">
        <w:rPr>
          <w:rFonts w:ascii="Arial" w:hAnsi="Arial" w:cs="Arial"/>
          <w:sz w:val="24"/>
          <w:szCs w:val="24"/>
        </w:rPr>
        <w:t xml:space="preserve"> </w:t>
      </w:r>
      <w:bookmarkEnd w:id="61"/>
      <w:r w:rsidR="00FE754A" w:rsidRPr="00A051C4">
        <w:rPr>
          <w:rFonts w:ascii="Arial" w:hAnsi="Arial" w:cs="Arial"/>
          <w:iCs/>
          <w:sz w:val="24"/>
          <w:szCs w:val="24"/>
        </w:rPr>
        <w:t>(</w:t>
      </w:r>
      <w:bookmarkStart w:id="62" w:name="_Hlk117250191"/>
      <w:r w:rsidR="00FE754A" w:rsidRPr="00A051C4">
        <w:rPr>
          <w:rFonts w:ascii="Arial" w:hAnsi="Arial" w:cs="Arial"/>
          <w:i/>
          <w:sz w:val="24"/>
          <w:szCs w:val="24"/>
        </w:rPr>
        <w:t>Nestlé UK III</w:t>
      </w:r>
      <w:bookmarkEnd w:id="62"/>
      <w:r w:rsidR="00FE754A" w:rsidRPr="00A051C4">
        <w:rPr>
          <w:rFonts w:ascii="Arial" w:hAnsi="Arial" w:cs="Arial"/>
          <w:iCs/>
          <w:sz w:val="24"/>
          <w:szCs w:val="24"/>
        </w:rPr>
        <w:t>)</w:t>
      </w:r>
      <w:r w:rsidR="00FE754A" w:rsidRPr="005C3BC2">
        <w:rPr>
          <w:rStyle w:val="FootnoteReference"/>
          <w:rFonts w:ascii="Arial" w:hAnsi="Arial" w:cs="Arial"/>
          <w:iCs/>
          <w:sz w:val="24"/>
          <w:szCs w:val="24"/>
        </w:rPr>
        <w:footnoteReference w:id="22"/>
      </w:r>
      <w:r w:rsidR="00FE754A" w:rsidRPr="005C3BC2">
        <w:rPr>
          <w:rFonts w:ascii="Arial" w:hAnsi="Arial" w:cs="Arial"/>
          <w:iCs/>
          <w:sz w:val="24"/>
          <w:szCs w:val="24"/>
        </w:rPr>
        <w:t xml:space="preserve"> </w:t>
      </w:r>
      <w:r w:rsidR="00FE754A" w:rsidRPr="00A051C4">
        <w:rPr>
          <w:rFonts w:ascii="Arial" w:hAnsi="Arial" w:cs="Arial"/>
          <w:iCs/>
          <w:sz w:val="24"/>
          <w:szCs w:val="24"/>
        </w:rPr>
        <w:t xml:space="preserve">– </w:t>
      </w:r>
      <w:r w:rsidR="00B16FEE" w:rsidRPr="00A051C4">
        <w:rPr>
          <w:rFonts w:ascii="Arial" w:hAnsi="Arial" w:cs="Arial"/>
          <w:sz w:val="24"/>
          <w:szCs w:val="24"/>
        </w:rPr>
        <w:t>the English courts firmly rejected the ‘recognition</w:t>
      </w:r>
      <w:r w:rsidR="003414C2" w:rsidRPr="00A051C4">
        <w:rPr>
          <w:rFonts w:ascii="Arial" w:hAnsi="Arial" w:cs="Arial"/>
          <w:sz w:val="24"/>
          <w:szCs w:val="24"/>
        </w:rPr>
        <w:t>-</w:t>
      </w:r>
      <w:r w:rsidR="00B16FEE" w:rsidRPr="00A051C4">
        <w:rPr>
          <w:rFonts w:ascii="Arial" w:hAnsi="Arial" w:cs="Arial"/>
          <w:sz w:val="24"/>
          <w:szCs w:val="24"/>
        </w:rPr>
        <w:t xml:space="preserve">association’ test. </w:t>
      </w:r>
      <w:r w:rsidR="00FE754A" w:rsidRPr="00A051C4">
        <w:rPr>
          <w:rFonts w:ascii="Arial" w:hAnsi="Arial" w:cs="Arial"/>
          <w:sz w:val="24"/>
          <w:szCs w:val="24"/>
        </w:rPr>
        <w:t xml:space="preserve">On almost similar facts presented in </w:t>
      </w:r>
      <w:bookmarkStart w:id="63" w:name="_Hlk117249351"/>
      <w:r w:rsidR="00FE754A" w:rsidRPr="00A051C4">
        <w:rPr>
          <w:rFonts w:ascii="Arial" w:hAnsi="Arial" w:cs="Arial"/>
          <w:i/>
          <w:sz w:val="24"/>
          <w:szCs w:val="24"/>
        </w:rPr>
        <w:t>Nestlé</w:t>
      </w:r>
      <w:bookmarkEnd w:id="63"/>
      <w:r w:rsidR="00FE754A" w:rsidRPr="00A051C4">
        <w:rPr>
          <w:rFonts w:ascii="Arial" w:hAnsi="Arial" w:cs="Arial"/>
          <w:i/>
          <w:sz w:val="24"/>
          <w:szCs w:val="24"/>
        </w:rPr>
        <w:t xml:space="preserve"> South Africa, </w:t>
      </w:r>
      <w:r w:rsidR="00FE754A" w:rsidRPr="00A051C4">
        <w:rPr>
          <w:rFonts w:ascii="Arial" w:hAnsi="Arial" w:cs="Arial"/>
          <w:iCs/>
          <w:sz w:val="24"/>
          <w:szCs w:val="24"/>
        </w:rPr>
        <w:t xml:space="preserve">the English courts concluded that Nestlé’s four-finger </w:t>
      </w:r>
      <w:r w:rsidR="00FE754A" w:rsidRPr="00A051C4">
        <w:rPr>
          <w:rFonts w:ascii="Arial" w:hAnsi="Arial" w:cs="Arial"/>
          <w:sz w:val="24"/>
          <w:szCs w:val="24"/>
        </w:rPr>
        <w:t xml:space="preserve">shape mark had </w:t>
      </w:r>
      <w:r w:rsidR="00536A6A" w:rsidRPr="00A051C4">
        <w:rPr>
          <w:rFonts w:ascii="Arial" w:hAnsi="Arial" w:cs="Arial"/>
          <w:sz w:val="24"/>
          <w:szCs w:val="24"/>
        </w:rPr>
        <w:t xml:space="preserve">not </w:t>
      </w:r>
      <w:r w:rsidR="00FE754A" w:rsidRPr="00A051C4">
        <w:rPr>
          <w:rFonts w:ascii="Arial" w:hAnsi="Arial" w:cs="Arial"/>
          <w:sz w:val="24"/>
          <w:szCs w:val="24"/>
        </w:rPr>
        <w:t>acquired distinctiveness</w:t>
      </w:r>
      <w:r w:rsidR="00536A6A" w:rsidRPr="00A051C4">
        <w:rPr>
          <w:rFonts w:ascii="Arial" w:hAnsi="Arial" w:cs="Arial"/>
          <w:sz w:val="24"/>
          <w:szCs w:val="24"/>
        </w:rPr>
        <w:t xml:space="preserve">. </w:t>
      </w:r>
      <w:r w:rsidR="00FC7EE6" w:rsidRPr="00A051C4">
        <w:rPr>
          <w:rFonts w:ascii="Arial" w:hAnsi="Arial" w:cs="Arial"/>
          <w:sz w:val="24"/>
          <w:szCs w:val="24"/>
        </w:rPr>
        <w:t>This was despite the fact that: the four-finger Kit Kat was one of the most popular chocolate products on the market; products in the shape of the trade mark had been on the market for 75 years prior to the date of the application; substantial sums had been invested in promoting Kit Kat; and, in the survey, at least half of the respondents thought that the picture shown to them depicted a Kit Kat.</w:t>
      </w:r>
      <w:r w:rsidR="00FC7EE6" w:rsidRPr="00A051C4">
        <w:rPr>
          <w:rStyle w:val="FootnoteReference"/>
          <w:rFonts w:ascii="Arial" w:hAnsi="Arial" w:cs="Arial"/>
          <w:sz w:val="24"/>
          <w:szCs w:val="24"/>
        </w:rPr>
        <w:footnoteReference w:id="23"/>
      </w:r>
      <w:r w:rsidR="00FC7EE6" w:rsidRPr="00A051C4">
        <w:rPr>
          <w:rFonts w:ascii="Arial" w:hAnsi="Arial" w:cs="Arial"/>
          <w:sz w:val="24"/>
          <w:szCs w:val="24"/>
        </w:rPr>
        <w:t xml:space="preserve"> </w:t>
      </w:r>
    </w:p>
    <w:p w14:paraId="1EBBDCA8" w14:textId="77777777" w:rsidR="0000114F" w:rsidRPr="00A051C4" w:rsidRDefault="0000114F" w:rsidP="0000114F">
      <w:pPr>
        <w:shd w:val="clear" w:color="auto" w:fill="FFFFFF"/>
        <w:spacing w:before="120" w:after="120" w:line="360" w:lineRule="auto"/>
        <w:contextualSpacing/>
        <w:jc w:val="both"/>
        <w:rPr>
          <w:rFonts w:ascii="Arial" w:hAnsi="Arial" w:cs="Arial"/>
          <w:sz w:val="24"/>
          <w:szCs w:val="24"/>
        </w:rPr>
      </w:pPr>
    </w:p>
    <w:p w14:paraId="5F42250A" w14:textId="6BC769BC" w:rsidR="00291A0D" w:rsidRPr="00A051C4" w:rsidRDefault="006227FF" w:rsidP="006227FF">
      <w:pPr>
        <w:shd w:val="clear" w:color="auto" w:fill="FFFFFF"/>
        <w:spacing w:before="120" w:after="120" w:line="360" w:lineRule="auto"/>
        <w:contextualSpacing/>
        <w:jc w:val="both"/>
        <w:rPr>
          <w:rFonts w:ascii="Arial" w:hAnsi="Arial" w:cs="Arial"/>
          <w:sz w:val="24"/>
          <w:szCs w:val="24"/>
        </w:rPr>
      </w:pPr>
      <w:r w:rsidRPr="00A051C4">
        <w:rPr>
          <w:rFonts w:ascii="Arial" w:hAnsi="Arial" w:cs="Arial"/>
          <w:snapToGrid w:val="0"/>
          <w:color w:val="000000"/>
          <w:w w:val="0"/>
          <w:sz w:val="24"/>
          <w:szCs w:val="24"/>
        </w:rPr>
        <w:t>[26]</w:t>
      </w:r>
      <w:r w:rsidRPr="00A051C4">
        <w:rPr>
          <w:rFonts w:ascii="Arial" w:hAnsi="Arial" w:cs="Arial"/>
          <w:snapToGrid w:val="0"/>
          <w:color w:val="000000"/>
          <w:w w:val="0"/>
          <w:sz w:val="24"/>
          <w:szCs w:val="24"/>
        </w:rPr>
        <w:tab/>
      </w:r>
      <w:r w:rsidR="00FC7EE6" w:rsidRPr="00A051C4">
        <w:rPr>
          <w:rFonts w:ascii="Arial" w:hAnsi="Arial" w:cs="Arial"/>
          <w:sz w:val="24"/>
          <w:szCs w:val="24"/>
        </w:rPr>
        <w:t xml:space="preserve">The brief background to the </w:t>
      </w:r>
      <w:r w:rsidR="00FC7EE6" w:rsidRPr="00A051C4">
        <w:rPr>
          <w:rFonts w:ascii="Arial" w:hAnsi="Arial" w:cs="Arial"/>
          <w:i/>
          <w:sz w:val="24"/>
          <w:szCs w:val="24"/>
        </w:rPr>
        <w:t xml:space="preserve">Nestlé </w:t>
      </w:r>
      <w:r w:rsidR="00FC7EE6" w:rsidRPr="00A051C4">
        <w:rPr>
          <w:rFonts w:ascii="Arial" w:hAnsi="Arial" w:cs="Arial"/>
          <w:iCs/>
          <w:sz w:val="24"/>
          <w:szCs w:val="24"/>
        </w:rPr>
        <w:t>trilogy</w:t>
      </w:r>
      <w:r w:rsidR="00FC7EE6" w:rsidRPr="00A051C4">
        <w:rPr>
          <w:rFonts w:ascii="Arial" w:hAnsi="Arial" w:cs="Arial"/>
          <w:i/>
          <w:sz w:val="24"/>
          <w:szCs w:val="24"/>
        </w:rPr>
        <w:t xml:space="preserve"> </w:t>
      </w:r>
      <w:r w:rsidR="00FC7EE6" w:rsidRPr="00A051C4">
        <w:rPr>
          <w:rFonts w:ascii="Arial" w:hAnsi="Arial" w:cs="Arial"/>
          <w:iCs/>
          <w:sz w:val="24"/>
          <w:szCs w:val="24"/>
        </w:rPr>
        <w:t>is this.</w:t>
      </w:r>
      <w:r w:rsidR="00FC7EE6" w:rsidRPr="00A051C4">
        <w:rPr>
          <w:rFonts w:ascii="Arial" w:hAnsi="Arial" w:cs="Arial"/>
          <w:i/>
          <w:sz w:val="24"/>
          <w:szCs w:val="24"/>
        </w:rPr>
        <w:t xml:space="preserve"> </w:t>
      </w:r>
      <w:r w:rsidR="00C2533E" w:rsidRPr="00A051C4">
        <w:rPr>
          <w:rFonts w:ascii="Arial" w:hAnsi="Arial" w:cs="Arial"/>
          <w:sz w:val="24"/>
          <w:szCs w:val="24"/>
        </w:rPr>
        <w:t xml:space="preserve">The Registrar of Trade Marks had refused to register the trade mark on the basis that it </w:t>
      </w:r>
      <w:r w:rsidR="006804A2" w:rsidRPr="00A051C4">
        <w:rPr>
          <w:rFonts w:ascii="Arial" w:hAnsi="Arial" w:cs="Arial"/>
          <w:sz w:val="24"/>
          <w:szCs w:val="24"/>
        </w:rPr>
        <w:t xml:space="preserve">lacked distinctive character – inherent or acquired. </w:t>
      </w:r>
      <w:r w:rsidR="00291A0D" w:rsidRPr="00A051C4">
        <w:rPr>
          <w:rFonts w:ascii="Arial" w:hAnsi="Arial" w:cs="Arial"/>
          <w:sz w:val="24"/>
          <w:szCs w:val="24"/>
        </w:rPr>
        <w:t xml:space="preserve">In an appeal to it, the UK high court </w:t>
      </w:r>
      <w:r w:rsidR="00887CC1" w:rsidRPr="00A051C4">
        <w:rPr>
          <w:rFonts w:ascii="Arial" w:hAnsi="Arial" w:cs="Arial"/>
          <w:sz w:val="24"/>
          <w:szCs w:val="24"/>
        </w:rPr>
        <w:t xml:space="preserve">in </w:t>
      </w:r>
      <w:bookmarkStart w:id="64" w:name="_Hlk117250385"/>
      <w:bookmarkStart w:id="65" w:name="_Hlk117248030"/>
      <w:r w:rsidR="00887CC1" w:rsidRPr="00A051C4">
        <w:rPr>
          <w:rFonts w:ascii="Arial" w:hAnsi="Arial" w:cs="Arial"/>
          <w:i/>
          <w:sz w:val="24"/>
          <w:szCs w:val="24"/>
        </w:rPr>
        <w:t xml:space="preserve">Nestlé </w:t>
      </w:r>
      <w:bookmarkEnd w:id="64"/>
      <w:r w:rsidR="00887CC1" w:rsidRPr="00A051C4">
        <w:rPr>
          <w:rFonts w:ascii="Arial" w:hAnsi="Arial" w:cs="Arial"/>
          <w:i/>
          <w:sz w:val="24"/>
          <w:szCs w:val="24"/>
        </w:rPr>
        <w:t>UK I</w:t>
      </w:r>
      <w:r w:rsidR="00887CC1" w:rsidRPr="00A051C4">
        <w:rPr>
          <w:rFonts w:ascii="Arial" w:hAnsi="Arial" w:cs="Arial"/>
          <w:sz w:val="24"/>
          <w:szCs w:val="24"/>
        </w:rPr>
        <w:t xml:space="preserve"> </w:t>
      </w:r>
      <w:bookmarkEnd w:id="65"/>
      <w:r w:rsidR="00887CC1" w:rsidRPr="00A051C4">
        <w:rPr>
          <w:rFonts w:ascii="Arial" w:hAnsi="Arial" w:cs="Arial"/>
          <w:sz w:val="24"/>
          <w:szCs w:val="24"/>
        </w:rPr>
        <w:t xml:space="preserve">held </w:t>
      </w:r>
      <w:r w:rsidR="00291A0D" w:rsidRPr="00A051C4">
        <w:rPr>
          <w:rFonts w:ascii="Arial" w:hAnsi="Arial" w:cs="Arial"/>
          <w:sz w:val="24"/>
          <w:szCs w:val="24"/>
        </w:rPr>
        <w:t>that in</w:t>
      </w:r>
      <w:r w:rsidR="00887CC1" w:rsidRPr="00A051C4">
        <w:rPr>
          <w:rFonts w:ascii="Arial" w:hAnsi="Arial" w:cs="Arial"/>
          <w:sz w:val="24"/>
          <w:szCs w:val="24"/>
        </w:rPr>
        <w:t xml:space="preserve"> </w:t>
      </w:r>
      <w:r w:rsidR="00291A0D" w:rsidRPr="00A051C4">
        <w:rPr>
          <w:rFonts w:ascii="Arial" w:hAnsi="Arial" w:cs="Arial"/>
          <w:sz w:val="24"/>
          <w:szCs w:val="24"/>
        </w:rPr>
        <w:t xml:space="preserve">relation to acquired distinctiveness, it was necessary to seek a preliminary ruling from the Court of Justice of the European Union (the </w:t>
      </w:r>
      <w:bookmarkStart w:id="66" w:name="_Hlk117219286"/>
      <w:r w:rsidR="00291A0D" w:rsidRPr="00A051C4">
        <w:rPr>
          <w:rFonts w:ascii="Arial" w:hAnsi="Arial" w:cs="Arial"/>
          <w:sz w:val="24"/>
          <w:szCs w:val="24"/>
        </w:rPr>
        <w:t>CJEU</w:t>
      </w:r>
      <w:bookmarkEnd w:id="66"/>
      <w:r w:rsidR="00291A0D" w:rsidRPr="00A051C4">
        <w:rPr>
          <w:rFonts w:ascii="Arial" w:hAnsi="Arial" w:cs="Arial"/>
          <w:sz w:val="24"/>
          <w:szCs w:val="24"/>
        </w:rPr>
        <w:t>) in order to determine Nestlé’s appeal. It accordingly</w:t>
      </w:r>
      <w:r w:rsidR="00585328" w:rsidRPr="00A051C4">
        <w:rPr>
          <w:rFonts w:ascii="Arial" w:hAnsi="Arial" w:cs="Arial"/>
          <w:sz w:val="24"/>
          <w:szCs w:val="24"/>
        </w:rPr>
        <w:t xml:space="preserve"> referred the following question to the CJEU:</w:t>
      </w:r>
      <w:r w:rsidR="00887CC1" w:rsidRPr="00A051C4">
        <w:rPr>
          <w:rStyle w:val="FootnoteReference"/>
          <w:rFonts w:ascii="Arial" w:hAnsi="Arial" w:cs="Arial"/>
          <w:sz w:val="24"/>
          <w:szCs w:val="24"/>
        </w:rPr>
        <w:footnoteReference w:id="24"/>
      </w:r>
    </w:p>
    <w:p w14:paraId="1926C6D2" w14:textId="500140B5" w:rsidR="00585328" w:rsidRPr="00A051C4" w:rsidRDefault="00585328" w:rsidP="0000114F">
      <w:pPr>
        <w:shd w:val="clear" w:color="auto" w:fill="FFFFFF"/>
        <w:spacing w:before="120" w:after="120" w:line="360" w:lineRule="auto"/>
        <w:contextualSpacing/>
        <w:jc w:val="both"/>
        <w:rPr>
          <w:rFonts w:ascii="Arial" w:hAnsi="Arial" w:cs="Arial"/>
        </w:rPr>
      </w:pPr>
      <w:r w:rsidRPr="00A051C4">
        <w:rPr>
          <w:rFonts w:ascii="Arial" w:hAnsi="Arial" w:cs="Arial"/>
        </w:rPr>
        <w:t>‘In order to establish that a trade mark has acquired distinctive character following the use that had been made of it</w:t>
      </w:r>
      <w:r w:rsidR="00254DF2" w:rsidRPr="00A051C4">
        <w:rPr>
          <w:rFonts w:ascii="Arial" w:hAnsi="Arial" w:cs="Arial"/>
        </w:rPr>
        <w:t xml:space="preserve"> </w:t>
      </w:r>
      <w:r w:rsidRPr="00A051C4">
        <w:rPr>
          <w:rFonts w:ascii="Arial" w:hAnsi="Arial" w:cs="Arial"/>
        </w:rPr>
        <w:t>.</w:t>
      </w:r>
      <w:r w:rsidR="00254DF2" w:rsidRPr="00A051C4">
        <w:rPr>
          <w:rFonts w:ascii="Arial" w:hAnsi="Arial" w:cs="Arial"/>
        </w:rPr>
        <w:t xml:space="preserve"> </w:t>
      </w:r>
      <w:r w:rsidRPr="00A051C4">
        <w:rPr>
          <w:rFonts w:ascii="Arial" w:hAnsi="Arial" w:cs="Arial"/>
        </w:rPr>
        <w:t>.</w:t>
      </w:r>
      <w:r w:rsidR="00254DF2" w:rsidRPr="00A051C4">
        <w:rPr>
          <w:rFonts w:ascii="Arial" w:hAnsi="Arial" w:cs="Arial"/>
        </w:rPr>
        <w:t xml:space="preserve"> </w:t>
      </w:r>
      <w:r w:rsidRPr="00A051C4">
        <w:rPr>
          <w:rFonts w:ascii="Arial" w:hAnsi="Arial" w:cs="Arial"/>
        </w:rPr>
        <w:t>., is it sufficient for the applicant for registration to prove that at the relevant date a significant proportion of the relevant class of persons recognise the mark and associate it with the applicant’s goods in the sense that, if they were to consider who marketed goods bearing that mark, they would identify the applicant; or must the applicant prove that a significant proportion of the relevant class of persons rely upon the mark (as opposed to any other trade marks which may also be present) as indicating the origin of the goods?’</w:t>
      </w:r>
    </w:p>
    <w:p w14:paraId="1A585844" w14:textId="1DA5C311" w:rsidR="00585328" w:rsidRPr="00A051C4" w:rsidRDefault="00585328" w:rsidP="0000114F">
      <w:pPr>
        <w:spacing w:after="360" w:line="360" w:lineRule="auto"/>
        <w:jc w:val="both"/>
        <w:rPr>
          <w:rFonts w:ascii="Arial" w:hAnsi="Arial" w:cs="Arial"/>
          <w:sz w:val="24"/>
          <w:szCs w:val="24"/>
        </w:rPr>
      </w:pPr>
      <w:r w:rsidRPr="00A051C4">
        <w:rPr>
          <w:rFonts w:ascii="Arial" w:hAnsi="Arial" w:cs="Arial"/>
          <w:sz w:val="24"/>
          <w:szCs w:val="24"/>
        </w:rPr>
        <w:lastRenderedPageBreak/>
        <w:t>The UK high court offered its preliminary view that an applicant must show that a significant proportion of the relevant class of persons rely upon the trade mark (as opposed to any other trade marks which may also be present) as indi</w:t>
      </w:r>
      <w:r w:rsidR="00E25E31" w:rsidRPr="00A051C4">
        <w:rPr>
          <w:rFonts w:ascii="Arial" w:hAnsi="Arial" w:cs="Arial"/>
          <w:sz w:val="24"/>
          <w:szCs w:val="24"/>
        </w:rPr>
        <w:t>cating the origin of the goods.</w:t>
      </w:r>
      <w:r w:rsidR="005B57E8" w:rsidRPr="00A051C4">
        <w:rPr>
          <w:rStyle w:val="FootnoteReference"/>
          <w:rFonts w:ascii="Arial" w:hAnsi="Arial" w:cs="Arial"/>
          <w:sz w:val="24"/>
          <w:szCs w:val="24"/>
        </w:rPr>
        <w:footnoteReference w:id="25"/>
      </w:r>
    </w:p>
    <w:p w14:paraId="2C414A0B" w14:textId="1B4972D7" w:rsidR="00FB1188" w:rsidRPr="00A051C4" w:rsidRDefault="006227FF" w:rsidP="006227FF">
      <w:pPr>
        <w:shd w:val="clear" w:color="auto" w:fill="FFFFFF"/>
        <w:spacing w:before="120" w:after="120" w:line="360" w:lineRule="auto"/>
        <w:contextualSpacing/>
        <w:jc w:val="both"/>
        <w:rPr>
          <w:rFonts w:ascii="Arial" w:hAnsi="Arial" w:cs="Arial"/>
          <w:strike/>
          <w:sz w:val="24"/>
          <w:szCs w:val="24"/>
        </w:rPr>
      </w:pPr>
      <w:r w:rsidRPr="00A051C4">
        <w:rPr>
          <w:rFonts w:ascii="Arial" w:hAnsi="Arial" w:cs="Arial"/>
          <w:snapToGrid w:val="0"/>
          <w:color w:val="000000"/>
          <w:w w:val="0"/>
          <w:sz w:val="24"/>
          <w:szCs w:val="24"/>
        </w:rPr>
        <w:t>[27]</w:t>
      </w:r>
      <w:r w:rsidRPr="00A051C4">
        <w:rPr>
          <w:rFonts w:ascii="Arial" w:hAnsi="Arial" w:cs="Arial"/>
          <w:snapToGrid w:val="0"/>
          <w:color w:val="000000"/>
          <w:w w:val="0"/>
          <w:sz w:val="24"/>
          <w:szCs w:val="24"/>
        </w:rPr>
        <w:tab/>
      </w:r>
      <w:r w:rsidR="005B57E8" w:rsidRPr="00A051C4">
        <w:rPr>
          <w:rFonts w:ascii="Arial" w:hAnsi="Arial" w:cs="Arial"/>
          <w:sz w:val="24"/>
          <w:szCs w:val="24"/>
        </w:rPr>
        <w:t xml:space="preserve">The </w:t>
      </w:r>
      <w:bookmarkStart w:id="67" w:name="_Hlk117232908"/>
      <w:r w:rsidR="005B57E8" w:rsidRPr="00A051C4">
        <w:rPr>
          <w:rFonts w:ascii="Arial" w:hAnsi="Arial" w:cs="Arial"/>
          <w:sz w:val="24"/>
          <w:szCs w:val="24"/>
        </w:rPr>
        <w:t>CJEU</w:t>
      </w:r>
      <w:bookmarkEnd w:id="67"/>
      <w:r w:rsidR="005B57E8" w:rsidRPr="00A051C4">
        <w:rPr>
          <w:rFonts w:ascii="Arial" w:hAnsi="Arial" w:cs="Arial"/>
          <w:sz w:val="24"/>
          <w:szCs w:val="24"/>
        </w:rPr>
        <w:t xml:space="preserve"> subsequently delivered</w:t>
      </w:r>
      <w:r w:rsidR="005B57E8" w:rsidRPr="00A051C4">
        <w:rPr>
          <w:rFonts w:ascii="Arial" w:hAnsi="Arial" w:cs="Arial"/>
          <w:i/>
          <w:iCs/>
          <w:sz w:val="24"/>
          <w:szCs w:val="24"/>
        </w:rPr>
        <w:t xml:space="preserve"> </w:t>
      </w:r>
      <w:r w:rsidR="005B57E8" w:rsidRPr="00A051C4">
        <w:rPr>
          <w:rFonts w:ascii="Arial" w:hAnsi="Arial" w:cs="Arial"/>
          <w:sz w:val="24"/>
          <w:szCs w:val="24"/>
        </w:rPr>
        <w:t>its judgment in</w:t>
      </w:r>
      <w:r w:rsidR="005B57E8" w:rsidRPr="00A051C4">
        <w:rPr>
          <w:rFonts w:ascii="Arial" w:hAnsi="Arial" w:cs="Arial"/>
          <w:i/>
          <w:iCs/>
          <w:sz w:val="24"/>
          <w:szCs w:val="24"/>
        </w:rPr>
        <w:t xml:space="preserve"> </w:t>
      </w:r>
      <w:r w:rsidR="00FB1188" w:rsidRPr="00A051C4">
        <w:rPr>
          <w:rFonts w:ascii="Arial" w:hAnsi="Arial" w:cs="Arial"/>
          <w:i/>
          <w:iCs/>
          <w:sz w:val="24"/>
          <w:szCs w:val="24"/>
        </w:rPr>
        <w:t>Nestlé SA v Cadbury UK</w:t>
      </w:r>
      <w:r w:rsidR="00FB1188" w:rsidRPr="00A051C4">
        <w:rPr>
          <w:rStyle w:val="FootnoteReference"/>
          <w:rFonts w:ascii="Arial" w:hAnsi="Arial" w:cs="Arial"/>
          <w:sz w:val="24"/>
          <w:szCs w:val="24"/>
        </w:rPr>
        <w:footnoteReference w:id="26"/>
      </w:r>
      <w:r w:rsidR="00FB1188" w:rsidRPr="00A051C4">
        <w:rPr>
          <w:rFonts w:ascii="Arial" w:hAnsi="Arial" w:cs="Arial"/>
          <w:i/>
          <w:iCs/>
          <w:sz w:val="24"/>
          <w:szCs w:val="24"/>
        </w:rPr>
        <w:t xml:space="preserve"> </w:t>
      </w:r>
      <w:r w:rsidR="00FB1188" w:rsidRPr="00A051C4">
        <w:rPr>
          <w:rFonts w:ascii="Arial" w:hAnsi="Arial" w:cs="Arial"/>
          <w:sz w:val="24"/>
          <w:szCs w:val="24"/>
        </w:rPr>
        <w:t>(</w:t>
      </w:r>
      <w:r w:rsidR="00FC7EE6" w:rsidRPr="00A051C4">
        <w:rPr>
          <w:rFonts w:ascii="Arial" w:hAnsi="Arial" w:cs="Arial"/>
          <w:sz w:val="24"/>
          <w:szCs w:val="24"/>
        </w:rPr>
        <w:t>the CJEU judgment</w:t>
      </w:r>
      <w:r w:rsidR="00FB1188" w:rsidRPr="00A051C4">
        <w:rPr>
          <w:rFonts w:ascii="Arial" w:hAnsi="Arial" w:cs="Arial"/>
          <w:sz w:val="24"/>
          <w:szCs w:val="24"/>
        </w:rPr>
        <w:t>)</w:t>
      </w:r>
      <w:r w:rsidR="00B81C7E" w:rsidRPr="00A051C4">
        <w:rPr>
          <w:rFonts w:ascii="Arial" w:hAnsi="Arial" w:cs="Arial"/>
          <w:sz w:val="24"/>
          <w:szCs w:val="24"/>
        </w:rPr>
        <w:t xml:space="preserve"> </w:t>
      </w:r>
      <w:r w:rsidR="005B57E8" w:rsidRPr="00A051C4">
        <w:rPr>
          <w:rFonts w:ascii="Arial" w:hAnsi="Arial" w:cs="Arial"/>
          <w:sz w:val="24"/>
          <w:szCs w:val="24"/>
        </w:rPr>
        <w:t xml:space="preserve">in which it </w:t>
      </w:r>
      <w:r w:rsidR="00F41E5A" w:rsidRPr="00A051C4">
        <w:rPr>
          <w:rFonts w:ascii="Arial" w:hAnsi="Arial" w:cs="Arial"/>
          <w:sz w:val="24"/>
          <w:szCs w:val="24"/>
        </w:rPr>
        <w:t xml:space="preserve">considered the question referred to </w:t>
      </w:r>
      <w:r w:rsidR="003E22AE" w:rsidRPr="00A051C4">
        <w:rPr>
          <w:rFonts w:ascii="Arial" w:hAnsi="Arial" w:cs="Arial"/>
          <w:sz w:val="24"/>
          <w:szCs w:val="24"/>
        </w:rPr>
        <w:t>it</w:t>
      </w:r>
      <w:r w:rsidR="005B57E8" w:rsidRPr="00A051C4">
        <w:rPr>
          <w:rFonts w:ascii="Arial" w:hAnsi="Arial" w:cs="Arial"/>
          <w:sz w:val="24"/>
          <w:szCs w:val="24"/>
        </w:rPr>
        <w:t xml:space="preserve">. The CJEU </w:t>
      </w:r>
      <w:r w:rsidR="003E22AE" w:rsidRPr="00A051C4">
        <w:rPr>
          <w:rFonts w:ascii="Arial" w:hAnsi="Arial" w:cs="Arial"/>
          <w:sz w:val="24"/>
          <w:szCs w:val="24"/>
        </w:rPr>
        <w:t xml:space="preserve">reformulated the </w:t>
      </w:r>
      <w:bookmarkStart w:id="69" w:name="_Hlk117222444"/>
      <w:bookmarkStart w:id="70" w:name="_Hlk117222400"/>
      <w:r w:rsidR="00FB1188" w:rsidRPr="00A051C4">
        <w:rPr>
          <w:rFonts w:ascii="Arial" w:hAnsi="Arial" w:cs="Arial"/>
          <w:sz w:val="24"/>
          <w:szCs w:val="24"/>
        </w:rPr>
        <w:t>question</w:t>
      </w:r>
      <w:r w:rsidR="00FC7EE6" w:rsidRPr="00A051C4">
        <w:rPr>
          <w:rFonts w:ascii="Arial" w:hAnsi="Arial" w:cs="Arial"/>
          <w:sz w:val="24"/>
          <w:szCs w:val="24"/>
        </w:rPr>
        <w:t>, and</w:t>
      </w:r>
      <w:r w:rsidR="00FB1188" w:rsidRPr="00A051C4">
        <w:rPr>
          <w:rFonts w:ascii="Arial" w:hAnsi="Arial" w:cs="Arial"/>
          <w:sz w:val="24"/>
          <w:szCs w:val="24"/>
        </w:rPr>
        <w:t xml:space="preserve"> </w:t>
      </w:r>
      <w:bookmarkEnd w:id="69"/>
      <w:bookmarkEnd w:id="70"/>
      <w:r w:rsidR="00160CE9" w:rsidRPr="00A051C4">
        <w:rPr>
          <w:rFonts w:ascii="Arial" w:hAnsi="Arial" w:cs="Arial"/>
          <w:sz w:val="24"/>
          <w:szCs w:val="24"/>
        </w:rPr>
        <w:t>a</w:t>
      </w:r>
      <w:r w:rsidR="00FB1188" w:rsidRPr="00A051C4">
        <w:rPr>
          <w:rFonts w:ascii="Arial" w:hAnsi="Arial" w:cs="Arial"/>
          <w:sz w:val="24"/>
          <w:szCs w:val="24"/>
        </w:rPr>
        <w:t xml:space="preserve">fter a survey of the authorities </w:t>
      </w:r>
      <w:r w:rsidR="00ED512A" w:rsidRPr="00A051C4">
        <w:rPr>
          <w:rFonts w:ascii="Arial" w:hAnsi="Arial" w:cs="Arial"/>
          <w:sz w:val="24"/>
          <w:szCs w:val="24"/>
        </w:rPr>
        <w:t>on acquired distin</w:t>
      </w:r>
      <w:r w:rsidR="00FB1188" w:rsidRPr="00A051C4">
        <w:rPr>
          <w:rFonts w:ascii="Arial" w:hAnsi="Arial" w:cs="Arial"/>
          <w:sz w:val="24"/>
          <w:szCs w:val="24"/>
        </w:rPr>
        <w:t>ctiveness</w:t>
      </w:r>
      <w:r w:rsidR="00ED512A" w:rsidRPr="00A051C4">
        <w:rPr>
          <w:rFonts w:ascii="Arial" w:hAnsi="Arial" w:cs="Arial"/>
          <w:sz w:val="24"/>
          <w:szCs w:val="24"/>
        </w:rPr>
        <w:t xml:space="preserve">, </w:t>
      </w:r>
      <w:r w:rsidR="00160CE9" w:rsidRPr="00A051C4">
        <w:rPr>
          <w:rFonts w:ascii="Arial" w:hAnsi="Arial" w:cs="Arial"/>
          <w:sz w:val="24"/>
          <w:szCs w:val="24"/>
        </w:rPr>
        <w:t xml:space="preserve">it </w:t>
      </w:r>
      <w:r w:rsidR="00FB1188" w:rsidRPr="00A051C4">
        <w:rPr>
          <w:rFonts w:ascii="Arial" w:hAnsi="Arial" w:cs="Arial"/>
          <w:sz w:val="24"/>
          <w:szCs w:val="24"/>
        </w:rPr>
        <w:t xml:space="preserve">answered the (reformulated) </w:t>
      </w:r>
      <w:r w:rsidR="00ED512A" w:rsidRPr="00A051C4">
        <w:rPr>
          <w:rFonts w:ascii="Arial" w:hAnsi="Arial" w:cs="Arial"/>
          <w:sz w:val="24"/>
          <w:szCs w:val="24"/>
        </w:rPr>
        <w:t>question as follows:</w:t>
      </w:r>
    </w:p>
    <w:p w14:paraId="1E0BA3A1" w14:textId="7B39209D" w:rsidR="00C55598" w:rsidRPr="00A051C4" w:rsidRDefault="00FB1188" w:rsidP="0059386F">
      <w:pPr>
        <w:shd w:val="clear" w:color="auto" w:fill="FFFFFF"/>
        <w:spacing w:before="120" w:after="360" w:line="360" w:lineRule="auto"/>
        <w:contextualSpacing/>
        <w:jc w:val="both"/>
        <w:rPr>
          <w:rFonts w:ascii="Arial" w:hAnsi="Arial" w:cs="Arial"/>
        </w:rPr>
      </w:pPr>
      <w:r w:rsidRPr="00A051C4">
        <w:rPr>
          <w:rFonts w:ascii="Arial" w:hAnsi="Arial" w:cs="Arial"/>
        </w:rPr>
        <w:t>‘. . . [</w:t>
      </w:r>
      <w:r w:rsidR="00887CC1" w:rsidRPr="00A051C4">
        <w:rPr>
          <w:rFonts w:ascii="Arial" w:hAnsi="Arial" w:cs="Arial"/>
        </w:rPr>
        <w:t>i</w:t>
      </w:r>
      <w:r w:rsidRPr="00A051C4">
        <w:rPr>
          <w:rFonts w:ascii="Arial" w:hAnsi="Arial" w:cs="Arial"/>
        </w:rPr>
        <w:t>]</w:t>
      </w:r>
      <w:r w:rsidR="00887CC1" w:rsidRPr="00A051C4">
        <w:rPr>
          <w:rFonts w:ascii="Arial" w:hAnsi="Arial" w:cs="Arial"/>
        </w:rPr>
        <w:t xml:space="preserve">n order to obtain registration of a trade mark which has acquired a distinctive character following the use which has been made of it </w:t>
      </w:r>
      <w:r w:rsidRPr="00A051C4">
        <w:rPr>
          <w:rFonts w:ascii="Arial" w:hAnsi="Arial" w:cs="Arial"/>
        </w:rPr>
        <w:t xml:space="preserve">. . . </w:t>
      </w:r>
      <w:r w:rsidR="00887CC1" w:rsidRPr="00A051C4">
        <w:rPr>
          <w:rFonts w:ascii="Arial" w:hAnsi="Arial" w:cs="Arial"/>
        </w:rPr>
        <w:t>the trade mark applicant must prove that the relevant class of persons perceive the goods or services designated exclusively by the mark applied for, as opposed to any other mark which might also be present, as originating from a particular company.</w:t>
      </w:r>
      <w:r w:rsidRPr="00A051C4">
        <w:rPr>
          <w:rFonts w:ascii="Arial" w:hAnsi="Arial" w:cs="Arial"/>
        </w:rPr>
        <w:t>’</w:t>
      </w:r>
      <w:r w:rsidR="00793EEF" w:rsidRPr="00A051C4">
        <w:rPr>
          <w:rStyle w:val="FootnoteReference"/>
          <w:rFonts w:ascii="Arial" w:hAnsi="Arial" w:cs="Arial"/>
          <w:sz w:val="24"/>
          <w:szCs w:val="24"/>
        </w:rPr>
        <w:footnoteReference w:id="27"/>
      </w:r>
    </w:p>
    <w:p w14:paraId="47F4CB48" w14:textId="77777777" w:rsidR="0059386F" w:rsidRPr="00A051C4" w:rsidRDefault="0059386F" w:rsidP="0059386F">
      <w:pPr>
        <w:shd w:val="clear" w:color="auto" w:fill="FFFFFF"/>
        <w:spacing w:before="120" w:after="360" w:line="360" w:lineRule="auto"/>
        <w:contextualSpacing/>
        <w:jc w:val="both"/>
        <w:rPr>
          <w:rFonts w:ascii="Arial" w:hAnsi="Arial" w:cs="Arial"/>
          <w:sz w:val="24"/>
          <w:szCs w:val="24"/>
        </w:rPr>
      </w:pPr>
    </w:p>
    <w:p w14:paraId="2555E958" w14:textId="1B1F4FEA" w:rsidR="00635257" w:rsidRPr="00A051C4" w:rsidRDefault="006227FF" w:rsidP="006227FF">
      <w:pPr>
        <w:shd w:val="clear" w:color="auto" w:fill="FFFFFF"/>
        <w:spacing w:before="120" w:after="120" w:line="360" w:lineRule="auto"/>
        <w:contextualSpacing/>
        <w:jc w:val="both"/>
        <w:rPr>
          <w:rFonts w:ascii="Arial" w:hAnsi="Arial" w:cs="Arial"/>
          <w:sz w:val="24"/>
          <w:szCs w:val="24"/>
        </w:rPr>
      </w:pPr>
      <w:r w:rsidRPr="00A051C4">
        <w:rPr>
          <w:rFonts w:ascii="Arial" w:hAnsi="Arial" w:cs="Arial"/>
          <w:snapToGrid w:val="0"/>
          <w:color w:val="000000"/>
          <w:w w:val="0"/>
          <w:sz w:val="24"/>
          <w:szCs w:val="24"/>
        </w:rPr>
        <w:t>[28]</w:t>
      </w:r>
      <w:r w:rsidRPr="00A051C4">
        <w:rPr>
          <w:rFonts w:ascii="Arial" w:hAnsi="Arial" w:cs="Arial"/>
          <w:snapToGrid w:val="0"/>
          <w:color w:val="000000"/>
          <w:w w:val="0"/>
          <w:sz w:val="24"/>
          <w:szCs w:val="24"/>
        </w:rPr>
        <w:tab/>
      </w:r>
      <w:r w:rsidR="00160CE9" w:rsidRPr="00A051C4">
        <w:rPr>
          <w:rFonts w:ascii="Arial" w:hAnsi="Arial" w:cs="Arial"/>
          <w:sz w:val="24"/>
          <w:szCs w:val="24"/>
        </w:rPr>
        <w:t xml:space="preserve">The matter reverted to the high court for determination. </w:t>
      </w:r>
      <w:r w:rsidR="007D3353" w:rsidRPr="00A051C4">
        <w:rPr>
          <w:rFonts w:ascii="Arial" w:hAnsi="Arial" w:cs="Arial"/>
          <w:sz w:val="24"/>
          <w:szCs w:val="24"/>
        </w:rPr>
        <w:t xml:space="preserve">Arnold J, </w:t>
      </w:r>
      <w:r w:rsidR="00160CE9" w:rsidRPr="00A051C4">
        <w:rPr>
          <w:rFonts w:ascii="Arial" w:hAnsi="Arial" w:cs="Arial"/>
          <w:sz w:val="24"/>
          <w:szCs w:val="24"/>
        </w:rPr>
        <w:t xml:space="preserve">who had referred the matter to the </w:t>
      </w:r>
      <w:bookmarkStart w:id="71" w:name="_Hlk117252330"/>
      <w:r w:rsidR="00635257" w:rsidRPr="00A051C4">
        <w:rPr>
          <w:rFonts w:ascii="Arial" w:hAnsi="Arial" w:cs="Arial"/>
          <w:sz w:val="24"/>
          <w:szCs w:val="24"/>
        </w:rPr>
        <w:t>CJ</w:t>
      </w:r>
      <w:bookmarkEnd w:id="71"/>
      <w:r w:rsidR="00635257" w:rsidRPr="00A051C4">
        <w:rPr>
          <w:rFonts w:ascii="Arial" w:hAnsi="Arial" w:cs="Arial"/>
          <w:sz w:val="24"/>
          <w:szCs w:val="24"/>
        </w:rPr>
        <w:t xml:space="preserve">EU lamented the fact that the CJEU had reformulated the question he had referred, and after referring to various ‘pointers’, he said: </w:t>
      </w:r>
    </w:p>
    <w:p w14:paraId="232587F7" w14:textId="15276133" w:rsidR="00160CE9" w:rsidRPr="00A051C4" w:rsidRDefault="00635257" w:rsidP="00635257">
      <w:pPr>
        <w:shd w:val="clear" w:color="auto" w:fill="FFFFFF"/>
        <w:spacing w:before="120" w:after="120" w:line="360" w:lineRule="auto"/>
        <w:contextualSpacing/>
        <w:jc w:val="both"/>
        <w:rPr>
          <w:rFonts w:ascii="Arial" w:hAnsi="Arial" w:cs="Arial"/>
        </w:rPr>
      </w:pPr>
      <w:r w:rsidRPr="00A051C4">
        <w:rPr>
          <w:rFonts w:ascii="Arial" w:hAnsi="Arial" w:cs="Arial"/>
        </w:rPr>
        <w:t>‘Accordingly, I conclude that, in order to demonstrate that a sign has acquired distinctive character, the applicant or trade mark proprietor must prove that, at the relevant date, a significant proportion of the relevant class of persons perceives the relevant goods or services as originating from a particular undertaking because of the sign in question (as opposed to any other trade mark which may also be present).’</w:t>
      </w:r>
      <w:r w:rsidRPr="00A051C4">
        <w:rPr>
          <w:rStyle w:val="FootnoteReference"/>
          <w:rFonts w:ascii="Arial" w:hAnsi="Arial" w:cs="Arial"/>
          <w:sz w:val="24"/>
          <w:szCs w:val="24"/>
        </w:rPr>
        <w:footnoteReference w:id="28"/>
      </w:r>
    </w:p>
    <w:p w14:paraId="22C8A56A" w14:textId="77777777" w:rsidR="0059386F" w:rsidRPr="00A051C4" w:rsidRDefault="0059386F" w:rsidP="00635257">
      <w:pPr>
        <w:shd w:val="clear" w:color="auto" w:fill="FFFFFF"/>
        <w:spacing w:before="120" w:after="120" w:line="360" w:lineRule="auto"/>
        <w:contextualSpacing/>
        <w:jc w:val="both"/>
        <w:rPr>
          <w:rFonts w:ascii="Arial" w:hAnsi="Arial" w:cs="Arial"/>
          <w:sz w:val="24"/>
          <w:szCs w:val="24"/>
        </w:rPr>
      </w:pPr>
    </w:p>
    <w:p w14:paraId="0ABFC72C" w14:textId="121DC51B" w:rsidR="0059386F" w:rsidRPr="00A051C4" w:rsidRDefault="006227FF" w:rsidP="006227FF">
      <w:pPr>
        <w:shd w:val="clear" w:color="auto" w:fill="FFFFFF"/>
        <w:spacing w:before="120" w:after="120" w:line="360" w:lineRule="auto"/>
        <w:contextualSpacing/>
        <w:jc w:val="both"/>
        <w:rPr>
          <w:rFonts w:ascii="Arial" w:hAnsi="Arial" w:cs="Arial"/>
          <w:sz w:val="24"/>
          <w:szCs w:val="24"/>
        </w:rPr>
      </w:pPr>
      <w:r w:rsidRPr="00A051C4">
        <w:rPr>
          <w:rFonts w:ascii="Arial" w:hAnsi="Arial" w:cs="Arial"/>
          <w:snapToGrid w:val="0"/>
          <w:color w:val="000000"/>
          <w:w w:val="0"/>
          <w:sz w:val="24"/>
          <w:szCs w:val="24"/>
        </w:rPr>
        <w:t>[29]</w:t>
      </w:r>
      <w:r w:rsidRPr="00A051C4">
        <w:rPr>
          <w:rFonts w:ascii="Arial" w:hAnsi="Arial" w:cs="Arial"/>
          <w:snapToGrid w:val="0"/>
          <w:color w:val="000000"/>
          <w:w w:val="0"/>
          <w:sz w:val="24"/>
          <w:szCs w:val="24"/>
        </w:rPr>
        <w:tab/>
      </w:r>
      <w:r w:rsidR="004B2FF6" w:rsidRPr="00A051C4">
        <w:rPr>
          <w:rFonts w:ascii="Arial" w:hAnsi="Arial" w:cs="Arial"/>
          <w:sz w:val="24"/>
          <w:szCs w:val="24"/>
        </w:rPr>
        <w:t xml:space="preserve">The high court applied the above test and </w:t>
      </w:r>
      <w:r w:rsidR="00793EEF" w:rsidRPr="00A051C4">
        <w:rPr>
          <w:rFonts w:ascii="Arial" w:hAnsi="Arial" w:cs="Arial"/>
          <w:sz w:val="24"/>
          <w:szCs w:val="24"/>
        </w:rPr>
        <w:t xml:space="preserve">concluded that </w:t>
      </w:r>
      <w:r w:rsidR="00793EEF" w:rsidRPr="00A051C4">
        <w:rPr>
          <w:rFonts w:ascii="Arial" w:eastAsia="Times New Roman" w:hAnsi="Arial" w:cs="Arial"/>
          <w:sz w:val="24"/>
          <w:szCs w:val="24"/>
          <w:lang w:eastAsia="en-ZA"/>
        </w:rPr>
        <w:t>Nestlé’s four-finger-shaped Kit-Kat chocolate bar had not acquired distinctiveness.</w:t>
      </w:r>
      <w:r w:rsidR="00793EEF" w:rsidRPr="00A051C4">
        <w:rPr>
          <w:rFonts w:ascii="Arial" w:hAnsi="Arial" w:cs="Arial"/>
          <w:sz w:val="24"/>
          <w:szCs w:val="24"/>
        </w:rPr>
        <w:t xml:space="preserve"> The appeal to the</w:t>
      </w:r>
      <w:r w:rsidR="00107CE3" w:rsidRPr="00A051C4">
        <w:rPr>
          <w:rFonts w:ascii="Arial" w:hAnsi="Arial" w:cs="Arial"/>
          <w:sz w:val="24"/>
          <w:szCs w:val="24"/>
        </w:rPr>
        <w:t xml:space="preserve"> England and Wales Court of </w:t>
      </w:r>
      <w:r w:rsidR="00321E89" w:rsidRPr="00A051C4">
        <w:rPr>
          <w:rFonts w:ascii="Arial" w:hAnsi="Arial" w:cs="Arial"/>
          <w:sz w:val="24"/>
          <w:szCs w:val="24"/>
        </w:rPr>
        <w:t>A</w:t>
      </w:r>
      <w:r w:rsidR="00107CE3" w:rsidRPr="00A051C4">
        <w:rPr>
          <w:rFonts w:ascii="Arial" w:hAnsi="Arial" w:cs="Arial"/>
          <w:sz w:val="24"/>
          <w:szCs w:val="24"/>
        </w:rPr>
        <w:t xml:space="preserve">ppeal turned on </w:t>
      </w:r>
      <w:r w:rsidR="00626ED0" w:rsidRPr="00A051C4">
        <w:rPr>
          <w:rFonts w:ascii="Arial" w:hAnsi="Arial" w:cs="Arial"/>
          <w:sz w:val="24"/>
          <w:szCs w:val="24"/>
        </w:rPr>
        <w:t xml:space="preserve">whether, on the facts, </w:t>
      </w:r>
      <w:r w:rsidR="00107CE3" w:rsidRPr="00A051C4">
        <w:rPr>
          <w:rFonts w:ascii="Arial" w:hAnsi="Arial" w:cs="Arial"/>
          <w:sz w:val="24"/>
          <w:szCs w:val="24"/>
        </w:rPr>
        <w:t>the test</w:t>
      </w:r>
      <w:r w:rsidR="00626ED0" w:rsidRPr="00A051C4">
        <w:rPr>
          <w:rFonts w:ascii="Arial" w:hAnsi="Arial" w:cs="Arial"/>
          <w:sz w:val="24"/>
          <w:szCs w:val="24"/>
        </w:rPr>
        <w:t xml:space="preserve"> as established by the CJEU</w:t>
      </w:r>
      <w:r w:rsidR="00321E89" w:rsidRPr="00A051C4">
        <w:rPr>
          <w:rFonts w:ascii="Arial" w:hAnsi="Arial" w:cs="Arial"/>
          <w:sz w:val="24"/>
          <w:szCs w:val="24"/>
        </w:rPr>
        <w:t xml:space="preserve"> was correctly applied.</w:t>
      </w:r>
      <w:r w:rsidR="00107CE3" w:rsidRPr="00A051C4">
        <w:rPr>
          <w:rFonts w:ascii="Arial" w:hAnsi="Arial" w:cs="Arial"/>
          <w:sz w:val="24"/>
          <w:szCs w:val="24"/>
        </w:rPr>
        <w:t xml:space="preserve"> </w:t>
      </w:r>
      <w:bookmarkStart w:id="73" w:name="_Hlk117256711"/>
      <w:r w:rsidR="00107CE3" w:rsidRPr="00A051C4">
        <w:rPr>
          <w:rFonts w:ascii="Arial" w:eastAsia="Times New Roman" w:hAnsi="Arial" w:cs="Arial"/>
          <w:sz w:val="24"/>
          <w:szCs w:val="24"/>
          <w:lang w:eastAsia="en-ZA"/>
        </w:rPr>
        <w:t>Nestlé</w:t>
      </w:r>
      <w:bookmarkEnd w:id="73"/>
      <w:r w:rsidR="00793EEF" w:rsidRPr="00A051C4">
        <w:rPr>
          <w:rFonts w:ascii="Arial" w:hAnsi="Arial" w:cs="Arial"/>
          <w:sz w:val="24"/>
          <w:szCs w:val="24"/>
        </w:rPr>
        <w:t xml:space="preserve"> </w:t>
      </w:r>
      <w:r w:rsidR="00107CE3" w:rsidRPr="00A051C4">
        <w:rPr>
          <w:rFonts w:ascii="Arial" w:hAnsi="Arial" w:cs="Arial"/>
          <w:sz w:val="24"/>
          <w:szCs w:val="24"/>
        </w:rPr>
        <w:t>contended that the</w:t>
      </w:r>
      <w:r w:rsidR="00626ED0" w:rsidRPr="00A051C4">
        <w:rPr>
          <w:rFonts w:ascii="Arial" w:hAnsi="Arial" w:cs="Arial"/>
          <w:sz w:val="24"/>
          <w:szCs w:val="24"/>
        </w:rPr>
        <w:t xml:space="preserve"> Registrar of Trade Marks and the high court had, instead, applied the reliance test</w:t>
      </w:r>
      <w:r w:rsidR="00321E89" w:rsidRPr="00A051C4">
        <w:rPr>
          <w:rFonts w:ascii="Arial" w:hAnsi="Arial" w:cs="Arial"/>
          <w:sz w:val="24"/>
          <w:szCs w:val="24"/>
        </w:rPr>
        <w:t xml:space="preserve">, which according to </w:t>
      </w:r>
      <w:r w:rsidR="00321E89" w:rsidRPr="00A051C4">
        <w:rPr>
          <w:rFonts w:ascii="Arial" w:eastAsia="Times New Roman" w:hAnsi="Arial" w:cs="Arial"/>
          <w:sz w:val="24"/>
          <w:szCs w:val="24"/>
          <w:lang w:eastAsia="en-ZA"/>
        </w:rPr>
        <w:t xml:space="preserve">Nestlé, was different from the </w:t>
      </w:r>
      <w:r w:rsidR="00321E89" w:rsidRPr="00A051C4">
        <w:rPr>
          <w:rFonts w:ascii="Arial" w:hAnsi="Arial" w:cs="Arial"/>
          <w:sz w:val="24"/>
          <w:szCs w:val="24"/>
        </w:rPr>
        <w:t xml:space="preserve">‘perception’ test formulated by the CJEU. </w:t>
      </w:r>
      <w:r w:rsidR="001E336C" w:rsidRPr="00A051C4">
        <w:rPr>
          <w:rFonts w:ascii="Arial" w:hAnsi="Arial" w:cs="Arial"/>
          <w:sz w:val="24"/>
          <w:szCs w:val="24"/>
        </w:rPr>
        <w:t xml:space="preserve">Kitchin LJ, </w:t>
      </w:r>
      <w:r w:rsidR="001E336C" w:rsidRPr="00A051C4">
        <w:rPr>
          <w:rFonts w:ascii="Arial" w:hAnsi="Arial" w:cs="Arial"/>
          <w:sz w:val="24"/>
          <w:szCs w:val="24"/>
        </w:rPr>
        <w:lastRenderedPageBreak/>
        <w:t xml:space="preserve">who wrote the </w:t>
      </w:r>
      <w:r w:rsidR="00563E7E" w:rsidRPr="00A051C4">
        <w:rPr>
          <w:rFonts w:ascii="Arial" w:hAnsi="Arial" w:cs="Arial"/>
          <w:sz w:val="24"/>
          <w:szCs w:val="24"/>
        </w:rPr>
        <w:t>main</w:t>
      </w:r>
      <w:r w:rsidR="001E336C" w:rsidRPr="00A051C4">
        <w:rPr>
          <w:rFonts w:ascii="Arial" w:hAnsi="Arial" w:cs="Arial"/>
          <w:sz w:val="24"/>
          <w:szCs w:val="24"/>
        </w:rPr>
        <w:t xml:space="preserve"> judgment</w:t>
      </w:r>
      <w:r w:rsidR="00E71AC7" w:rsidRPr="00A051C4">
        <w:rPr>
          <w:rFonts w:ascii="Arial" w:hAnsi="Arial" w:cs="Arial"/>
          <w:sz w:val="24"/>
          <w:szCs w:val="24"/>
        </w:rPr>
        <w:t>,</w:t>
      </w:r>
      <w:r w:rsidR="00E71AC7" w:rsidRPr="00A051C4">
        <w:rPr>
          <w:rStyle w:val="FootnoteReference"/>
          <w:rFonts w:ascii="Arial" w:hAnsi="Arial" w:cs="Arial"/>
          <w:sz w:val="24"/>
          <w:szCs w:val="24"/>
        </w:rPr>
        <w:footnoteReference w:id="29"/>
      </w:r>
      <w:r w:rsidR="001E336C" w:rsidRPr="00A051C4">
        <w:rPr>
          <w:rFonts w:ascii="Arial" w:hAnsi="Arial" w:cs="Arial"/>
          <w:sz w:val="24"/>
          <w:szCs w:val="24"/>
        </w:rPr>
        <w:t xml:space="preserve"> </w:t>
      </w:r>
      <w:r w:rsidR="00321E89" w:rsidRPr="00A051C4">
        <w:rPr>
          <w:rFonts w:ascii="Arial" w:hAnsi="Arial" w:cs="Arial"/>
          <w:sz w:val="24"/>
          <w:szCs w:val="24"/>
        </w:rPr>
        <w:t>disagreed</w:t>
      </w:r>
      <w:r w:rsidR="00A943AB" w:rsidRPr="00A051C4">
        <w:rPr>
          <w:rFonts w:ascii="Arial" w:hAnsi="Arial" w:cs="Arial"/>
          <w:sz w:val="24"/>
          <w:szCs w:val="24"/>
        </w:rPr>
        <w:t xml:space="preserve">. </w:t>
      </w:r>
      <w:r w:rsidR="00385AD8" w:rsidRPr="00A051C4">
        <w:rPr>
          <w:rFonts w:ascii="Arial" w:hAnsi="Arial" w:cs="Arial"/>
          <w:sz w:val="24"/>
          <w:szCs w:val="24"/>
        </w:rPr>
        <w:t>He</w:t>
      </w:r>
      <w:r w:rsidR="00321E89" w:rsidRPr="00A051C4">
        <w:rPr>
          <w:rFonts w:ascii="Arial" w:hAnsi="Arial" w:cs="Arial"/>
          <w:sz w:val="24"/>
          <w:szCs w:val="24"/>
        </w:rPr>
        <w:t xml:space="preserve"> acknowledged that the CJEU had not used the term ‘reliance’ in its judgment. However, </w:t>
      </w:r>
      <w:r w:rsidR="00A943AB" w:rsidRPr="00A051C4">
        <w:rPr>
          <w:rFonts w:ascii="Arial" w:hAnsi="Arial" w:cs="Arial"/>
          <w:sz w:val="24"/>
          <w:szCs w:val="24"/>
        </w:rPr>
        <w:t xml:space="preserve">the court said, given </w:t>
      </w:r>
      <w:r w:rsidR="00321E89" w:rsidRPr="00A051C4">
        <w:rPr>
          <w:rFonts w:ascii="Arial" w:hAnsi="Arial" w:cs="Arial"/>
          <w:sz w:val="24"/>
          <w:szCs w:val="24"/>
        </w:rPr>
        <w:t>the essential function of a trade mark, perception by consumers that goods or services designated by the mark originate from a particular undertaking</w:t>
      </w:r>
      <w:r w:rsidR="00A943AB" w:rsidRPr="00A051C4">
        <w:rPr>
          <w:rFonts w:ascii="Arial" w:hAnsi="Arial" w:cs="Arial"/>
          <w:sz w:val="24"/>
          <w:szCs w:val="24"/>
        </w:rPr>
        <w:t>,</w:t>
      </w:r>
      <w:r w:rsidR="00321E89" w:rsidRPr="00A051C4">
        <w:rPr>
          <w:rFonts w:ascii="Arial" w:hAnsi="Arial" w:cs="Arial"/>
          <w:sz w:val="24"/>
          <w:szCs w:val="24"/>
        </w:rPr>
        <w:t xml:space="preserve"> means they can rely upon the mark in making or confirming their transactional decisions. In this context, </w:t>
      </w:r>
      <w:r w:rsidR="00A943AB" w:rsidRPr="00A051C4">
        <w:rPr>
          <w:rFonts w:ascii="Arial" w:hAnsi="Arial" w:cs="Arial"/>
          <w:sz w:val="24"/>
          <w:szCs w:val="24"/>
        </w:rPr>
        <w:t>‘</w:t>
      </w:r>
      <w:r w:rsidR="00321E89" w:rsidRPr="00A051C4">
        <w:rPr>
          <w:rFonts w:ascii="Arial" w:hAnsi="Arial" w:cs="Arial"/>
          <w:sz w:val="24"/>
          <w:szCs w:val="24"/>
        </w:rPr>
        <w:t>reliance is a behavioural consequence of perception.’</w:t>
      </w:r>
      <w:r w:rsidR="00321E89" w:rsidRPr="00A051C4">
        <w:rPr>
          <w:rStyle w:val="FootnoteReference"/>
          <w:rFonts w:ascii="Arial" w:hAnsi="Arial" w:cs="Arial"/>
          <w:sz w:val="24"/>
          <w:szCs w:val="24"/>
        </w:rPr>
        <w:footnoteReference w:id="30"/>
      </w:r>
      <w:r w:rsidR="00A943AB" w:rsidRPr="00A051C4">
        <w:rPr>
          <w:rFonts w:ascii="Arial" w:hAnsi="Arial" w:cs="Arial"/>
          <w:sz w:val="24"/>
          <w:szCs w:val="24"/>
        </w:rPr>
        <w:t xml:space="preserve"> The appeal court went on to endorse the test</w:t>
      </w:r>
      <w:r w:rsidR="00385AD8" w:rsidRPr="00A051C4">
        <w:rPr>
          <w:rFonts w:ascii="Arial" w:hAnsi="Arial" w:cs="Arial"/>
          <w:sz w:val="24"/>
          <w:szCs w:val="24"/>
        </w:rPr>
        <w:t xml:space="preserve"> formulated by the CJEU and adopted</w:t>
      </w:r>
      <w:r w:rsidR="00A943AB" w:rsidRPr="00A051C4">
        <w:rPr>
          <w:rFonts w:ascii="Arial" w:hAnsi="Arial" w:cs="Arial"/>
          <w:sz w:val="24"/>
          <w:szCs w:val="24"/>
        </w:rPr>
        <w:t xml:space="preserve"> by Arnold J, referred to in para</w:t>
      </w:r>
      <w:r w:rsidR="00385AD8" w:rsidRPr="00A051C4">
        <w:rPr>
          <w:rFonts w:ascii="Arial" w:hAnsi="Arial" w:cs="Arial"/>
          <w:sz w:val="24"/>
          <w:szCs w:val="24"/>
        </w:rPr>
        <w:t>s</w:t>
      </w:r>
      <w:r w:rsidR="00A943AB" w:rsidRPr="00A051C4">
        <w:rPr>
          <w:rFonts w:ascii="Arial" w:hAnsi="Arial" w:cs="Arial"/>
          <w:b/>
          <w:bCs/>
          <w:sz w:val="24"/>
          <w:szCs w:val="24"/>
        </w:rPr>
        <w:t xml:space="preserve"> </w:t>
      </w:r>
      <w:r w:rsidR="007D3353" w:rsidRPr="00A051C4">
        <w:rPr>
          <w:rFonts w:ascii="Arial" w:hAnsi="Arial" w:cs="Arial"/>
          <w:sz w:val="24"/>
          <w:szCs w:val="24"/>
        </w:rPr>
        <w:t>2</w:t>
      </w:r>
      <w:r w:rsidR="001A7C66" w:rsidRPr="00A051C4">
        <w:rPr>
          <w:rFonts w:ascii="Arial" w:hAnsi="Arial" w:cs="Arial"/>
          <w:sz w:val="24"/>
          <w:szCs w:val="24"/>
        </w:rPr>
        <w:t>7</w:t>
      </w:r>
      <w:r w:rsidR="00385AD8" w:rsidRPr="00A051C4">
        <w:rPr>
          <w:rFonts w:ascii="Arial" w:hAnsi="Arial" w:cs="Arial"/>
          <w:sz w:val="24"/>
          <w:szCs w:val="24"/>
        </w:rPr>
        <w:t xml:space="preserve"> and </w:t>
      </w:r>
      <w:r w:rsidR="007D3353" w:rsidRPr="00A051C4">
        <w:rPr>
          <w:rFonts w:ascii="Arial" w:hAnsi="Arial" w:cs="Arial"/>
          <w:sz w:val="24"/>
          <w:szCs w:val="24"/>
        </w:rPr>
        <w:t>2</w:t>
      </w:r>
      <w:r w:rsidR="001A7C66" w:rsidRPr="00A051C4">
        <w:rPr>
          <w:rFonts w:ascii="Arial" w:hAnsi="Arial" w:cs="Arial"/>
          <w:sz w:val="24"/>
          <w:szCs w:val="24"/>
        </w:rPr>
        <w:t>8</w:t>
      </w:r>
      <w:r w:rsidR="00A943AB" w:rsidRPr="00A051C4">
        <w:rPr>
          <w:rFonts w:ascii="Arial" w:hAnsi="Arial" w:cs="Arial"/>
          <w:sz w:val="24"/>
          <w:szCs w:val="24"/>
        </w:rPr>
        <w:t xml:space="preserve"> above.</w:t>
      </w:r>
      <w:r w:rsidR="00A943AB" w:rsidRPr="00A051C4">
        <w:rPr>
          <w:rStyle w:val="FootnoteReference"/>
          <w:rFonts w:ascii="Arial" w:hAnsi="Arial" w:cs="Arial"/>
          <w:sz w:val="24"/>
          <w:szCs w:val="24"/>
        </w:rPr>
        <w:footnoteReference w:id="31"/>
      </w:r>
      <w:r w:rsidR="00385AD8" w:rsidRPr="00A051C4">
        <w:rPr>
          <w:rFonts w:ascii="Arial" w:hAnsi="Arial" w:cs="Arial"/>
          <w:sz w:val="24"/>
          <w:szCs w:val="24"/>
        </w:rPr>
        <w:t xml:space="preserve"> </w:t>
      </w:r>
    </w:p>
    <w:p w14:paraId="58353DA9" w14:textId="77777777" w:rsidR="00CA02F5" w:rsidRPr="00A051C4" w:rsidRDefault="00CA02F5" w:rsidP="00CA02F5">
      <w:pPr>
        <w:shd w:val="clear" w:color="auto" w:fill="FFFFFF"/>
        <w:spacing w:before="120" w:after="120" w:line="360" w:lineRule="auto"/>
        <w:contextualSpacing/>
        <w:jc w:val="both"/>
        <w:rPr>
          <w:rFonts w:ascii="Arial" w:hAnsi="Arial" w:cs="Arial"/>
          <w:sz w:val="24"/>
          <w:szCs w:val="24"/>
        </w:rPr>
      </w:pPr>
    </w:p>
    <w:p w14:paraId="46B7BACD" w14:textId="5225E061" w:rsidR="00C24A9D" w:rsidRPr="00FD0872" w:rsidRDefault="006227FF" w:rsidP="006227FF">
      <w:pPr>
        <w:shd w:val="clear" w:color="auto" w:fill="FFFFFF"/>
        <w:spacing w:before="120" w:after="120" w:line="360" w:lineRule="auto"/>
        <w:contextualSpacing/>
        <w:jc w:val="both"/>
        <w:rPr>
          <w:rFonts w:ascii="Arial" w:hAnsi="Arial" w:cs="Arial"/>
          <w:sz w:val="24"/>
          <w:szCs w:val="24"/>
        </w:rPr>
      </w:pPr>
      <w:r w:rsidRPr="00FD0872">
        <w:rPr>
          <w:rFonts w:ascii="Arial" w:hAnsi="Arial" w:cs="Arial"/>
          <w:snapToGrid w:val="0"/>
          <w:color w:val="000000"/>
          <w:w w:val="0"/>
          <w:sz w:val="24"/>
          <w:szCs w:val="24"/>
        </w:rPr>
        <w:t>[30]</w:t>
      </w:r>
      <w:r w:rsidRPr="00FD0872">
        <w:rPr>
          <w:rFonts w:ascii="Arial" w:hAnsi="Arial" w:cs="Arial"/>
          <w:snapToGrid w:val="0"/>
          <w:color w:val="000000"/>
          <w:w w:val="0"/>
          <w:sz w:val="24"/>
          <w:szCs w:val="24"/>
        </w:rPr>
        <w:tab/>
      </w:r>
      <w:r w:rsidR="00C24A9D" w:rsidRPr="00FD0872">
        <w:rPr>
          <w:rFonts w:ascii="Arial" w:hAnsi="Arial" w:cs="Arial"/>
          <w:sz w:val="24"/>
          <w:szCs w:val="24"/>
        </w:rPr>
        <w:t xml:space="preserve">The appeal court emphasised </w:t>
      </w:r>
      <w:r w:rsidR="00DA4089" w:rsidRPr="00FD0872">
        <w:rPr>
          <w:rFonts w:ascii="Arial" w:hAnsi="Arial" w:cs="Arial"/>
          <w:sz w:val="24"/>
          <w:szCs w:val="24"/>
        </w:rPr>
        <w:t xml:space="preserve">the inadequacy of the </w:t>
      </w:r>
      <w:bookmarkStart w:id="74" w:name="_Hlk117266810"/>
      <w:r w:rsidR="00DA4089" w:rsidRPr="00FD0872">
        <w:rPr>
          <w:rFonts w:ascii="Arial" w:hAnsi="Arial" w:cs="Arial"/>
          <w:sz w:val="24"/>
          <w:szCs w:val="24"/>
        </w:rPr>
        <w:t xml:space="preserve">‘recognition and association’ </w:t>
      </w:r>
      <w:bookmarkEnd w:id="74"/>
      <w:r w:rsidR="00DA4089" w:rsidRPr="00FD0872">
        <w:rPr>
          <w:rFonts w:ascii="Arial" w:hAnsi="Arial" w:cs="Arial"/>
          <w:sz w:val="24"/>
          <w:szCs w:val="24"/>
        </w:rPr>
        <w:t>test to determine whether a mark has become distinctive by prior use. ‘[I]t</w:t>
      </w:r>
      <w:r w:rsidR="00C24A9D" w:rsidRPr="00FD0872">
        <w:rPr>
          <w:rFonts w:ascii="Arial" w:hAnsi="Arial" w:cs="Arial"/>
          <w:sz w:val="24"/>
          <w:szCs w:val="24"/>
        </w:rPr>
        <w:t xml:space="preserve"> </w:t>
      </w:r>
      <w:bookmarkStart w:id="75" w:name="para53"/>
      <w:r w:rsidR="00C24A9D" w:rsidRPr="00FD0872">
        <w:rPr>
          <w:rFonts w:ascii="Arial" w:eastAsia="Times New Roman" w:hAnsi="Arial" w:cs="Arial"/>
          <w:sz w:val="24"/>
          <w:szCs w:val="24"/>
          <w:lang w:eastAsia="en-ZA"/>
        </w:rPr>
        <w:t>is not sufficient for the trade mark owner to show that a significant proportion of the relevant class of persons </w:t>
      </w:r>
      <w:r w:rsidR="00C24A9D" w:rsidRPr="00FD0872">
        <w:rPr>
          <w:rFonts w:ascii="Arial" w:eastAsia="Times New Roman" w:hAnsi="Arial" w:cs="Arial"/>
          <w:i/>
          <w:iCs/>
          <w:sz w:val="24"/>
          <w:szCs w:val="24"/>
          <w:lang w:eastAsia="en-ZA"/>
        </w:rPr>
        <w:t>recognise and associate</w:t>
      </w:r>
      <w:r w:rsidR="00C24A9D" w:rsidRPr="00FD0872">
        <w:rPr>
          <w:rFonts w:ascii="Arial" w:eastAsia="Times New Roman" w:hAnsi="Arial" w:cs="Arial"/>
          <w:sz w:val="24"/>
          <w:szCs w:val="24"/>
          <w:lang w:eastAsia="en-ZA"/>
        </w:rPr>
        <w:t> the mark with the trade mark owner’s goods.</w:t>
      </w:r>
      <w:r w:rsidR="00DA4089" w:rsidRPr="00FD0872">
        <w:rPr>
          <w:rFonts w:ascii="Arial" w:eastAsia="Times New Roman" w:hAnsi="Arial" w:cs="Arial"/>
          <w:sz w:val="24"/>
          <w:szCs w:val="24"/>
          <w:lang w:eastAsia="en-ZA"/>
        </w:rPr>
        <w:t>’</w:t>
      </w:r>
      <w:r w:rsidR="00966104" w:rsidRPr="00A051C4">
        <w:rPr>
          <w:rStyle w:val="FootnoteReference"/>
          <w:rFonts w:ascii="Arial" w:eastAsia="Times New Roman" w:hAnsi="Arial" w:cs="Arial"/>
          <w:sz w:val="24"/>
          <w:szCs w:val="24"/>
          <w:lang w:eastAsia="en-ZA"/>
        </w:rPr>
        <w:footnoteReference w:id="32"/>
      </w:r>
      <w:bookmarkEnd w:id="75"/>
      <w:r w:rsidR="00FD0872">
        <w:rPr>
          <w:rFonts w:ascii="Arial" w:eastAsia="Times New Roman" w:hAnsi="Arial" w:cs="Arial"/>
          <w:sz w:val="24"/>
          <w:szCs w:val="24"/>
          <w:lang w:eastAsia="en-ZA"/>
        </w:rPr>
        <w:t xml:space="preserve"> </w:t>
      </w:r>
      <w:r w:rsidR="00C24A9D" w:rsidRPr="00FD0872">
        <w:rPr>
          <w:rFonts w:ascii="Arial" w:hAnsi="Arial" w:cs="Arial"/>
          <w:sz w:val="24"/>
          <w:szCs w:val="24"/>
        </w:rPr>
        <w:t xml:space="preserve">Kitchin LJ then </w:t>
      </w:r>
      <w:r w:rsidR="00DA4089" w:rsidRPr="00FD0872">
        <w:rPr>
          <w:rFonts w:ascii="Arial" w:hAnsi="Arial" w:cs="Arial"/>
          <w:sz w:val="24"/>
          <w:szCs w:val="24"/>
        </w:rPr>
        <w:t>said the following:</w:t>
      </w:r>
    </w:p>
    <w:p w14:paraId="031A8410" w14:textId="61C867FE" w:rsidR="0059386F" w:rsidRPr="00A051C4" w:rsidRDefault="00C24A9D" w:rsidP="00DA4089">
      <w:pPr>
        <w:shd w:val="clear" w:color="auto" w:fill="FFFFFF"/>
        <w:spacing w:before="120" w:after="120" w:line="360" w:lineRule="auto"/>
        <w:contextualSpacing/>
        <w:jc w:val="both"/>
        <w:rPr>
          <w:rFonts w:ascii="Arial" w:hAnsi="Arial" w:cs="Arial"/>
          <w:sz w:val="24"/>
          <w:szCs w:val="24"/>
        </w:rPr>
      </w:pPr>
      <w:r w:rsidRPr="00A051C4">
        <w:rPr>
          <w:rFonts w:ascii="Arial" w:hAnsi="Arial" w:cs="Arial"/>
        </w:rPr>
        <w:t xml:space="preserve">‘[T]o a non-trade mark lawyer, the distinction between, on the one hand, such recognition and association and, on the other hand, a perception that the goods designated by the mark originate from a particular undertaking may be a rather elusive one. Nevertheless, there is a distinction between the two </w:t>
      </w:r>
      <w:r w:rsidR="00DA4089" w:rsidRPr="00A051C4">
        <w:rPr>
          <w:rFonts w:ascii="Arial" w:hAnsi="Arial" w:cs="Arial"/>
        </w:rPr>
        <w:t>. . .</w:t>
      </w:r>
      <w:r w:rsidR="00966104" w:rsidRPr="00A051C4">
        <w:rPr>
          <w:rFonts w:ascii="Arial" w:hAnsi="Arial" w:cs="Arial"/>
        </w:rPr>
        <w:t xml:space="preserve"> </w:t>
      </w:r>
      <w:r w:rsidRPr="00A051C4">
        <w:rPr>
          <w:rFonts w:ascii="Arial" w:hAnsi="Arial" w:cs="Arial"/>
        </w:rPr>
        <w:t>[which] is an important one.</w:t>
      </w:r>
      <w:r w:rsidR="00DA4089" w:rsidRPr="00A051C4">
        <w:rPr>
          <w:rFonts w:ascii="Arial" w:hAnsi="Arial" w:cs="Arial"/>
          <w:sz w:val="24"/>
          <w:szCs w:val="24"/>
        </w:rPr>
        <w:t>’</w:t>
      </w:r>
      <w:r w:rsidR="00DA4089" w:rsidRPr="00A051C4">
        <w:rPr>
          <w:rStyle w:val="FootnoteReference"/>
          <w:rFonts w:ascii="Arial" w:hAnsi="Arial" w:cs="Arial"/>
          <w:sz w:val="24"/>
          <w:szCs w:val="24"/>
        </w:rPr>
        <w:footnoteReference w:id="33"/>
      </w:r>
    </w:p>
    <w:p w14:paraId="15BC28E7" w14:textId="2CF7D5B8" w:rsidR="00793EEF" w:rsidRPr="00A051C4" w:rsidRDefault="004B2FF6" w:rsidP="00E71AC7">
      <w:pPr>
        <w:shd w:val="clear" w:color="auto" w:fill="FFFFFF"/>
        <w:spacing w:before="120" w:after="120" w:line="360" w:lineRule="auto"/>
        <w:contextualSpacing/>
        <w:jc w:val="both"/>
        <w:rPr>
          <w:rFonts w:ascii="Arial" w:hAnsi="Arial" w:cs="Arial"/>
          <w:sz w:val="24"/>
          <w:szCs w:val="24"/>
        </w:rPr>
      </w:pPr>
      <w:r w:rsidRPr="00A051C4">
        <w:rPr>
          <w:rFonts w:ascii="Arial" w:hAnsi="Arial" w:cs="Arial"/>
          <w:sz w:val="24"/>
          <w:szCs w:val="24"/>
        </w:rPr>
        <w:t>Applying the ‘perception test’</w:t>
      </w:r>
      <w:r w:rsidR="00385AD8" w:rsidRPr="00A051C4">
        <w:rPr>
          <w:rFonts w:ascii="Arial" w:hAnsi="Arial" w:cs="Arial"/>
          <w:sz w:val="24"/>
          <w:szCs w:val="24"/>
        </w:rPr>
        <w:t xml:space="preserve">, </w:t>
      </w:r>
      <w:r w:rsidRPr="00A051C4">
        <w:rPr>
          <w:rFonts w:ascii="Arial" w:hAnsi="Arial" w:cs="Arial"/>
          <w:sz w:val="24"/>
          <w:szCs w:val="24"/>
        </w:rPr>
        <w:t>it was found that Nestlé’s</w:t>
      </w:r>
      <w:r w:rsidRPr="00A051C4">
        <w:rPr>
          <w:rFonts w:ascii="Arial" w:hAnsi="Arial" w:cs="Arial"/>
          <w:i/>
          <w:iCs/>
          <w:sz w:val="24"/>
          <w:szCs w:val="24"/>
        </w:rPr>
        <w:t xml:space="preserve"> </w:t>
      </w:r>
      <w:r w:rsidRPr="00A051C4">
        <w:rPr>
          <w:rFonts w:ascii="Arial" w:hAnsi="Arial" w:cs="Arial"/>
          <w:sz w:val="24"/>
          <w:szCs w:val="24"/>
        </w:rPr>
        <w:t>four-finger Kit-Kat chocolate bar had not acquired distinctiveness. Accordingly,</w:t>
      </w:r>
      <w:r w:rsidRPr="00A051C4">
        <w:rPr>
          <w:rFonts w:ascii="Arial" w:hAnsi="Arial" w:cs="Arial"/>
          <w:i/>
          <w:iCs/>
          <w:sz w:val="24"/>
          <w:szCs w:val="24"/>
        </w:rPr>
        <w:t xml:space="preserve"> </w:t>
      </w:r>
      <w:r w:rsidRPr="00A051C4">
        <w:rPr>
          <w:rFonts w:ascii="Arial" w:hAnsi="Arial" w:cs="Arial"/>
          <w:sz w:val="24"/>
          <w:szCs w:val="24"/>
        </w:rPr>
        <w:t>the</w:t>
      </w:r>
      <w:r w:rsidRPr="00A051C4">
        <w:rPr>
          <w:rFonts w:ascii="Arial" w:hAnsi="Arial" w:cs="Arial"/>
          <w:i/>
          <w:iCs/>
          <w:sz w:val="24"/>
          <w:szCs w:val="24"/>
        </w:rPr>
        <w:t xml:space="preserve"> </w:t>
      </w:r>
      <w:r w:rsidR="00385AD8" w:rsidRPr="00A051C4">
        <w:rPr>
          <w:rFonts w:ascii="Arial" w:hAnsi="Arial" w:cs="Arial"/>
          <w:sz w:val="24"/>
          <w:szCs w:val="24"/>
        </w:rPr>
        <w:t>appeal was dismissed.</w:t>
      </w:r>
    </w:p>
    <w:p w14:paraId="2D7B56F4" w14:textId="77777777" w:rsidR="0059386F" w:rsidRPr="00A051C4" w:rsidRDefault="0059386F" w:rsidP="0059386F">
      <w:pPr>
        <w:shd w:val="clear" w:color="auto" w:fill="FFFFFF"/>
        <w:spacing w:before="120" w:after="120" w:line="360" w:lineRule="auto"/>
        <w:contextualSpacing/>
        <w:jc w:val="both"/>
        <w:rPr>
          <w:rFonts w:ascii="Arial" w:hAnsi="Arial" w:cs="Arial"/>
          <w:sz w:val="24"/>
          <w:szCs w:val="24"/>
        </w:rPr>
      </w:pPr>
    </w:p>
    <w:p w14:paraId="3EDE76F8" w14:textId="012A6308" w:rsidR="0059386F" w:rsidRPr="00A051C4" w:rsidRDefault="006227FF" w:rsidP="006227FF">
      <w:pPr>
        <w:shd w:val="clear" w:color="auto" w:fill="FFFFFF"/>
        <w:spacing w:before="120" w:after="120" w:line="360" w:lineRule="auto"/>
        <w:contextualSpacing/>
        <w:jc w:val="both"/>
        <w:rPr>
          <w:rFonts w:ascii="Arial" w:hAnsi="Arial" w:cs="Arial"/>
          <w:sz w:val="24"/>
          <w:szCs w:val="24"/>
        </w:rPr>
      </w:pPr>
      <w:r w:rsidRPr="00A051C4">
        <w:rPr>
          <w:rFonts w:ascii="Arial" w:hAnsi="Arial" w:cs="Arial"/>
          <w:snapToGrid w:val="0"/>
          <w:color w:val="000000"/>
          <w:w w:val="0"/>
          <w:sz w:val="24"/>
          <w:szCs w:val="24"/>
        </w:rPr>
        <w:t>[31]</w:t>
      </w:r>
      <w:r w:rsidRPr="00A051C4">
        <w:rPr>
          <w:rFonts w:ascii="Arial" w:hAnsi="Arial" w:cs="Arial"/>
          <w:snapToGrid w:val="0"/>
          <w:color w:val="000000"/>
          <w:w w:val="0"/>
          <w:sz w:val="24"/>
          <w:szCs w:val="24"/>
        </w:rPr>
        <w:tab/>
      </w:r>
      <w:r w:rsidR="00E71AC7" w:rsidRPr="00A051C4">
        <w:rPr>
          <w:rFonts w:ascii="Arial" w:hAnsi="Arial" w:cs="Arial"/>
          <w:sz w:val="24"/>
          <w:szCs w:val="24"/>
        </w:rPr>
        <w:t xml:space="preserve">This brings me to </w:t>
      </w:r>
      <w:r w:rsidR="00CA2530" w:rsidRPr="00A051C4">
        <w:rPr>
          <w:rFonts w:ascii="Arial" w:hAnsi="Arial" w:cs="Arial"/>
          <w:sz w:val="24"/>
          <w:szCs w:val="24"/>
        </w:rPr>
        <w:t>Tupperware’s shape mark</w:t>
      </w:r>
      <w:r w:rsidR="00E71AC7" w:rsidRPr="00A051C4">
        <w:rPr>
          <w:rFonts w:ascii="Arial" w:hAnsi="Arial" w:cs="Arial"/>
          <w:sz w:val="24"/>
          <w:szCs w:val="24"/>
        </w:rPr>
        <w:t>. T</w:t>
      </w:r>
      <w:r w:rsidR="00895038" w:rsidRPr="00A051C4">
        <w:rPr>
          <w:rFonts w:ascii="Arial" w:hAnsi="Arial" w:cs="Arial"/>
          <w:sz w:val="24"/>
          <w:szCs w:val="24"/>
        </w:rPr>
        <w:t xml:space="preserve">here is </w:t>
      </w:r>
      <w:r w:rsidR="00892327" w:rsidRPr="00A051C4">
        <w:rPr>
          <w:rFonts w:ascii="Arial" w:hAnsi="Arial" w:cs="Arial"/>
          <w:sz w:val="24"/>
          <w:szCs w:val="24"/>
        </w:rPr>
        <w:t xml:space="preserve">simply </w:t>
      </w:r>
      <w:r w:rsidR="00895038" w:rsidRPr="00A051C4">
        <w:rPr>
          <w:rFonts w:ascii="Arial" w:hAnsi="Arial" w:cs="Arial"/>
          <w:sz w:val="24"/>
          <w:szCs w:val="24"/>
        </w:rPr>
        <w:t xml:space="preserve">no evidence that </w:t>
      </w:r>
      <w:r w:rsidR="00892327" w:rsidRPr="00A051C4">
        <w:rPr>
          <w:rFonts w:ascii="Arial" w:hAnsi="Arial" w:cs="Arial"/>
          <w:sz w:val="24"/>
          <w:szCs w:val="24"/>
        </w:rPr>
        <w:t xml:space="preserve">the purchasers of the Eco bottle </w:t>
      </w:r>
      <w:r w:rsidR="00CA2530" w:rsidRPr="00A051C4">
        <w:rPr>
          <w:rFonts w:ascii="Arial" w:hAnsi="Arial" w:cs="Arial"/>
          <w:sz w:val="24"/>
          <w:szCs w:val="24"/>
        </w:rPr>
        <w:t xml:space="preserve">perceive </w:t>
      </w:r>
      <w:r w:rsidR="00895038" w:rsidRPr="00A051C4">
        <w:rPr>
          <w:rFonts w:ascii="Arial" w:hAnsi="Arial" w:cs="Arial"/>
          <w:sz w:val="24"/>
          <w:szCs w:val="24"/>
        </w:rPr>
        <w:t xml:space="preserve">the shape of the bottle to indicate that it </w:t>
      </w:r>
      <w:r w:rsidR="00CA2530" w:rsidRPr="00A051C4">
        <w:rPr>
          <w:rFonts w:ascii="Arial" w:hAnsi="Arial" w:cs="Arial"/>
          <w:sz w:val="24"/>
          <w:szCs w:val="24"/>
        </w:rPr>
        <w:t>originat</w:t>
      </w:r>
      <w:r w:rsidR="00895038" w:rsidRPr="00A051C4">
        <w:rPr>
          <w:rFonts w:ascii="Arial" w:hAnsi="Arial" w:cs="Arial"/>
          <w:sz w:val="24"/>
          <w:szCs w:val="24"/>
        </w:rPr>
        <w:t>es</w:t>
      </w:r>
      <w:r w:rsidR="00CA2530" w:rsidRPr="00A051C4">
        <w:rPr>
          <w:rFonts w:ascii="Arial" w:hAnsi="Arial" w:cs="Arial"/>
          <w:sz w:val="24"/>
          <w:szCs w:val="24"/>
        </w:rPr>
        <w:t xml:space="preserve"> from</w:t>
      </w:r>
      <w:r w:rsidR="001A7C66" w:rsidRPr="00A051C4">
        <w:rPr>
          <w:rFonts w:ascii="Arial" w:hAnsi="Arial" w:cs="Arial"/>
          <w:sz w:val="24"/>
          <w:szCs w:val="24"/>
        </w:rPr>
        <w:t xml:space="preserve"> a particular source</w:t>
      </w:r>
      <w:r w:rsidR="00E81E81" w:rsidRPr="00A051C4">
        <w:rPr>
          <w:rFonts w:ascii="Arial" w:hAnsi="Arial" w:cs="Arial"/>
          <w:sz w:val="24"/>
          <w:szCs w:val="24"/>
        </w:rPr>
        <w:t>, let alone from Tupperware</w:t>
      </w:r>
      <w:r w:rsidR="00CA2530" w:rsidRPr="00A051C4">
        <w:rPr>
          <w:rFonts w:ascii="Arial" w:hAnsi="Arial" w:cs="Arial"/>
          <w:sz w:val="24"/>
          <w:szCs w:val="24"/>
        </w:rPr>
        <w:t xml:space="preserve">. </w:t>
      </w:r>
      <w:r w:rsidR="00DB1774" w:rsidRPr="00A051C4">
        <w:rPr>
          <w:rFonts w:ascii="Arial" w:hAnsi="Arial" w:cs="Arial"/>
          <w:sz w:val="24"/>
          <w:szCs w:val="24"/>
        </w:rPr>
        <w:t>A careful perusal of its promotional material shows that Tupperware at no time promoted, marketed or sold the Eco bottle with reference to its shape. It is always marketed with reference to the Tupperware trade mark, and as part of th</w:t>
      </w:r>
      <w:r w:rsidR="005C3BC2">
        <w:rPr>
          <w:rFonts w:ascii="Arial" w:hAnsi="Arial" w:cs="Arial"/>
          <w:sz w:val="24"/>
          <w:szCs w:val="24"/>
        </w:rPr>
        <w:t>e Tupperware range of products.</w:t>
      </w:r>
      <w:r w:rsidR="00DB1774" w:rsidRPr="00A051C4">
        <w:rPr>
          <w:rFonts w:ascii="Arial" w:hAnsi="Arial" w:cs="Arial"/>
          <w:sz w:val="24"/>
          <w:szCs w:val="24"/>
        </w:rPr>
        <w:t xml:space="preserve"> In other words, the reference is never to the shape of the Eco bottle as a trade mark, but to the Eco bottle as part of the </w:t>
      </w:r>
      <w:r w:rsidR="00B42073" w:rsidRPr="00A051C4">
        <w:rPr>
          <w:rFonts w:ascii="Arial" w:hAnsi="Arial" w:cs="Arial"/>
          <w:sz w:val="24"/>
          <w:szCs w:val="24"/>
        </w:rPr>
        <w:t xml:space="preserve">Tupperware range of goods. </w:t>
      </w:r>
      <w:r w:rsidR="00356A84" w:rsidRPr="00A051C4">
        <w:rPr>
          <w:rFonts w:ascii="Arial" w:hAnsi="Arial" w:cs="Arial"/>
          <w:sz w:val="24"/>
          <w:szCs w:val="24"/>
        </w:rPr>
        <w:t xml:space="preserve">Viewed in this light, it may well be that the apparent popularity of the Eco bottle is due to it being part of the popular </w:t>
      </w:r>
      <w:r w:rsidR="00356A84" w:rsidRPr="00A051C4">
        <w:rPr>
          <w:rFonts w:ascii="Arial" w:hAnsi="Arial" w:cs="Arial"/>
          <w:sz w:val="24"/>
          <w:szCs w:val="24"/>
        </w:rPr>
        <w:lastRenderedPageBreak/>
        <w:t>Tupperware range of goods. That, more tha</w:t>
      </w:r>
      <w:r w:rsidR="00CB0088" w:rsidRPr="00A051C4">
        <w:rPr>
          <w:rFonts w:ascii="Arial" w:hAnsi="Arial" w:cs="Arial"/>
          <w:sz w:val="24"/>
          <w:szCs w:val="24"/>
        </w:rPr>
        <w:t>n</w:t>
      </w:r>
      <w:r w:rsidR="00356A84" w:rsidRPr="00A051C4">
        <w:rPr>
          <w:rFonts w:ascii="Arial" w:hAnsi="Arial" w:cs="Arial"/>
          <w:sz w:val="24"/>
          <w:szCs w:val="24"/>
        </w:rPr>
        <w:t xml:space="preserve"> its shape, seems to </w:t>
      </w:r>
      <w:r w:rsidR="00E444C8" w:rsidRPr="00A051C4">
        <w:rPr>
          <w:rFonts w:ascii="Arial" w:hAnsi="Arial" w:cs="Arial"/>
          <w:sz w:val="24"/>
          <w:szCs w:val="24"/>
        </w:rPr>
        <w:t xml:space="preserve">be </w:t>
      </w:r>
      <w:r w:rsidR="00356A84" w:rsidRPr="00A051C4">
        <w:rPr>
          <w:rFonts w:ascii="Arial" w:hAnsi="Arial" w:cs="Arial"/>
          <w:sz w:val="24"/>
          <w:szCs w:val="24"/>
        </w:rPr>
        <w:t xml:space="preserve">the attractive force to the Eco bottle. </w:t>
      </w:r>
    </w:p>
    <w:p w14:paraId="37BBA887" w14:textId="77777777" w:rsidR="0019512E" w:rsidRPr="00A051C4" w:rsidRDefault="0019512E" w:rsidP="0019512E">
      <w:pPr>
        <w:shd w:val="clear" w:color="auto" w:fill="FFFFFF"/>
        <w:spacing w:before="120" w:after="120" w:line="360" w:lineRule="auto"/>
        <w:contextualSpacing/>
        <w:jc w:val="both"/>
        <w:rPr>
          <w:rFonts w:ascii="Arial" w:hAnsi="Arial" w:cs="Arial"/>
          <w:sz w:val="24"/>
          <w:szCs w:val="24"/>
        </w:rPr>
      </w:pPr>
    </w:p>
    <w:p w14:paraId="29A17825" w14:textId="544BF608" w:rsidR="00DD5EB2" w:rsidRPr="00A051C4" w:rsidRDefault="006227FF" w:rsidP="006227FF">
      <w:pPr>
        <w:shd w:val="clear" w:color="auto" w:fill="FFFFFF"/>
        <w:spacing w:before="120" w:after="240" w:line="360" w:lineRule="auto"/>
        <w:contextualSpacing/>
        <w:jc w:val="both"/>
        <w:rPr>
          <w:rFonts w:ascii="Arial" w:hAnsi="Arial" w:cs="Arial"/>
          <w:sz w:val="24"/>
          <w:szCs w:val="24"/>
        </w:rPr>
      </w:pPr>
      <w:r w:rsidRPr="00A051C4">
        <w:rPr>
          <w:rFonts w:ascii="Arial" w:hAnsi="Arial" w:cs="Arial"/>
          <w:snapToGrid w:val="0"/>
          <w:color w:val="000000"/>
          <w:w w:val="0"/>
          <w:sz w:val="24"/>
          <w:szCs w:val="24"/>
        </w:rPr>
        <w:t>[32]</w:t>
      </w:r>
      <w:r w:rsidRPr="00A051C4">
        <w:rPr>
          <w:rFonts w:ascii="Arial" w:hAnsi="Arial" w:cs="Arial"/>
          <w:snapToGrid w:val="0"/>
          <w:color w:val="000000"/>
          <w:w w:val="0"/>
          <w:sz w:val="24"/>
          <w:szCs w:val="24"/>
        </w:rPr>
        <w:tab/>
      </w:r>
      <w:r w:rsidR="00B42073" w:rsidRPr="00A051C4">
        <w:rPr>
          <w:rFonts w:ascii="Arial" w:hAnsi="Arial" w:cs="Arial"/>
          <w:sz w:val="24"/>
          <w:szCs w:val="24"/>
        </w:rPr>
        <w:t>A</w:t>
      </w:r>
      <w:r w:rsidR="0019512E" w:rsidRPr="00A051C4">
        <w:rPr>
          <w:rFonts w:ascii="Arial" w:hAnsi="Arial" w:cs="Arial"/>
          <w:sz w:val="24"/>
          <w:szCs w:val="24"/>
        </w:rPr>
        <w:t>nd</w:t>
      </w:r>
      <w:r w:rsidR="00356A84" w:rsidRPr="00A051C4">
        <w:rPr>
          <w:rFonts w:ascii="Arial" w:hAnsi="Arial" w:cs="Arial"/>
          <w:sz w:val="24"/>
          <w:szCs w:val="24"/>
        </w:rPr>
        <w:t>, as</w:t>
      </w:r>
      <w:r w:rsidR="00B42073" w:rsidRPr="00A051C4">
        <w:rPr>
          <w:rFonts w:ascii="Arial" w:hAnsi="Arial" w:cs="Arial"/>
          <w:sz w:val="24"/>
          <w:szCs w:val="24"/>
        </w:rPr>
        <w:t xml:space="preserve"> mentioned already, </w:t>
      </w:r>
      <w:r w:rsidR="00895038" w:rsidRPr="00A051C4">
        <w:rPr>
          <w:rFonts w:ascii="Arial" w:hAnsi="Arial" w:cs="Arial"/>
          <w:sz w:val="24"/>
          <w:szCs w:val="24"/>
        </w:rPr>
        <w:t xml:space="preserve">the Eco bottle is used in conjunction with </w:t>
      </w:r>
      <w:r w:rsidR="00B42073" w:rsidRPr="00A051C4">
        <w:rPr>
          <w:rFonts w:ascii="Arial" w:hAnsi="Arial" w:cs="Arial"/>
          <w:sz w:val="24"/>
          <w:szCs w:val="24"/>
        </w:rPr>
        <w:t xml:space="preserve">the </w:t>
      </w:r>
      <w:r w:rsidR="00895038" w:rsidRPr="00A051C4">
        <w:rPr>
          <w:rFonts w:ascii="Arial" w:hAnsi="Arial" w:cs="Arial"/>
          <w:sz w:val="24"/>
          <w:szCs w:val="24"/>
        </w:rPr>
        <w:t xml:space="preserve">Tupperware trade mark, which is embossed on the side, though </w:t>
      </w:r>
      <w:r w:rsidR="00356A84" w:rsidRPr="00A051C4">
        <w:rPr>
          <w:rFonts w:ascii="Arial" w:hAnsi="Arial" w:cs="Arial"/>
          <w:sz w:val="24"/>
          <w:szCs w:val="24"/>
        </w:rPr>
        <w:t xml:space="preserve">subdued and would not easily be visible from a distance. </w:t>
      </w:r>
      <w:r w:rsidR="00B42073" w:rsidRPr="00A051C4">
        <w:rPr>
          <w:rFonts w:ascii="Arial" w:hAnsi="Arial" w:cs="Arial"/>
          <w:sz w:val="24"/>
          <w:szCs w:val="24"/>
        </w:rPr>
        <w:t xml:space="preserve">In other words, </w:t>
      </w:r>
      <w:r w:rsidR="00CA2530" w:rsidRPr="00A051C4">
        <w:rPr>
          <w:rFonts w:ascii="Arial" w:hAnsi="Arial" w:cs="Arial"/>
          <w:sz w:val="24"/>
          <w:szCs w:val="24"/>
        </w:rPr>
        <w:t xml:space="preserve">the </w:t>
      </w:r>
      <w:r w:rsidR="00356A84" w:rsidRPr="00A051C4">
        <w:rPr>
          <w:rFonts w:ascii="Arial" w:hAnsi="Arial" w:cs="Arial"/>
          <w:sz w:val="24"/>
          <w:szCs w:val="24"/>
        </w:rPr>
        <w:t xml:space="preserve">relevant sector of the public might </w:t>
      </w:r>
      <w:r w:rsidR="003A6824" w:rsidRPr="00A051C4">
        <w:rPr>
          <w:rFonts w:ascii="Arial" w:hAnsi="Arial" w:cs="Arial"/>
          <w:sz w:val="24"/>
          <w:szCs w:val="24"/>
        </w:rPr>
        <w:t>ha</w:t>
      </w:r>
      <w:r w:rsidR="00356A84" w:rsidRPr="00A051C4">
        <w:rPr>
          <w:rFonts w:ascii="Arial" w:hAnsi="Arial" w:cs="Arial"/>
          <w:sz w:val="24"/>
          <w:szCs w:val="24"/>
        </w:rPr>
        <w:t>ve</w:t>
      </w:r>
      <w:r w:rsidR="00CA2530" w:rsidRPr="00A051C4">
        <w:rPr>
          <w:rFonts w:ascii="Arial" w:hAnsi="Arial" w:cs="Arial"/>
          <w:sz w:val="24"/>
          <w:szCs w:val="24"/>
        </w:rPr>
        <w:t xml:space="preserve"> come to perceive </w:t>
      </w:r>
      <w:r w:rsidR="00732531" w:rsidRPr="00A051C4">
        <w:rPr>
          <w:rFonts w:ascii="Arial" w:hAnsi="Arial" w:cs="Arial"/>
          <w:sz w:val="24"/>
          <w:szCs w:val="24"/>
        </w:rPr>
        <w:t>the Eco bottle</w:t>
      </w:r>
      <w:r w:rsidR="00CA2530" w:rsidRPr="00A051C4">
        <w:rPr>
          <w:rFonts w:ascii="Arial" w:hAnsi="Arial" w:cs="Arial"/>
          <w:sz w:val="24"/>
          <w:szCs w:val="24"/>
        </w:rPr>
        <w:t xml:space="preserve"> bearing the mark as originating from </w:t>
      </w:r>
      <w:r w:rsidR="00732531" w:rsidRPr="00A051C4">
        <w:rPr>
          <w:rFonts w:ascii="Arial" w:hAnsi="Arial" w:cs="Arial"/>
          <w:sz w:val="24"/>
          <w:szCs w:val="24"/>
        </w:rPr>
        <w:t>Tupperware</w:t>
      </w:r>
      <w:r w:rsidR="00892327" w:rsidRPr="00A051C4">
        <w:rPr>
          <w:rFonts w:ascii="Arial" w:hAnsi="Arial" w:cs="Arial"/>
          <w:sz w:val="24"/>
          <w:szCs w:val="24"/>
        </w:rPr>
        <w:t xml:space="preserve"> because of </w:t>
      </w:r>
      <w:r w:rsidR="00F94142" w:rsidRPr="00A051C4">
        <w:rPr>
          <w:rFonts w:ascii="Arial" w:hAnsi="Arial" w:cs="Arial"/>
          <w:sz w:val="24"/>
          <w:szCs w:val="24"/>
        </w:rPr>
        <w:t>its well-known</w:t>
      </w:r>
      <w:r w:rsidR="00892327" w:rsidRPr="00A051C4">
        <w:rPr>
          <w:rFonts w:ascii="Arial" w:hAnsi="Arial" w:cs="Arial"/>
          <w:sz w:val="24"/>
          <w:szCs w:val="24"/>
        </w:rPr>
        <w:t xml:space="preserve"> trade mark</w:t>
      </w:r>
      <w:r w:rsidR="003A6824" w:rsidRPr="00A051C4">
        <w:rPr>
          <w:rFonts w:ascii="Arial" w:hAnsi="Arial" w:cs="Arial"/>
          <w:sz w:val="24"/>
          <w:szCs w:val="24"/>
        </w:rPr>
        <w:t xml:space="preserve">, and not because of the shape </w:t>
      </w:r>
      <w:r w:rsidR="00356A84" w:rsidRPr="00A051C4">
        <w:rPr>
          <w:rFonts w:ascii="Arial" w:hAnsi="Arial" w:cs="Arial"/>
          <w:sz w:val="24"/>
          <w:szCs w:val="24"/>
        </w:rPr>
        <w:t>of the bottle</w:t>
      </w:r>
      <w:r w:rsidR="00732531" w:rsidRPr="00A051C4">
        <w:rPr>
          <w:rFonts w:ascii="Arial" w:hAnsi="Arial" w:cs="Arial"/>
          <w:sz w:val="24"/>
          <w:szCs w:val="24"/>
        </w:rPr>
        <w:t xml:space="preserve">. </w:t>
      </w:r>
      <w:r w:rsidR="00A97008">
        <w:rPr>
          <w:rFonts w:ascii="Arial" w:hAnsi="Arial" w:cs="Arial"/>
          <w:sz w:val="24"/>
          <w:szCs w:val="24"/>
        </w:rPr>
        <w:t>As pointed out</w:t>
      </w:r>
      <w:r w:rsidR="00732531" w:rsidRPr="00A051C4">
        <w:rPr>
          <w:rFonts w:ascii="Arial" w:hAnsi="Arial" w:cs="Arial"/>
          <w:sz w:val="24"/>
          <w:szCs w:val="24"/>
        </w:rPr>
        <w:t xml:space="preserve"> by Floyd LJ in </w:t>
      </w:r>
      <w:r w:rsidR="00732531" w:rsidRPr="00A051C4">
        <w:rPr>
          <w:rFonts w:ascii="Arial" w:hAnsi="Arial" w:cs="Arial"/>
          <w:i/>
          <w:iCs/>
          <w:sz w:val="24"/>
          <w:szCs w:val="24"/>
        </w:rPr>
        <w:t>Nestlé UK III</w:t>
      </w:r>
      <w:r w:rsidR="00732531" w:rsidRPr="00A051C4">
        <w:rPr>
          <w:rFonts w:ascii="Arial" w:hAnsi="Arial" w:cs="Arial"/>
          <w:sz w:val="24"/>
          <w:szCs w:val="24"/>
        </w:rPr>
        <w:t xml:space="preserve"> </w:t>
      </w:r>
      <w:r w:rsidR="00F94142" w:rsidRPr="00A051C4">
        <w:rPr>
          <w:rFonts w:ascii="Arial" w:hAnsi="Arial" w:cs="Arial"/>
          <w:sz w:val="24"/>
          <w:szCs w:val="24"/>
        </w:rPr>
        <w:t xml:space="preserve">(at para 102) </w:t>
      </w:r>
      <w:r w:rsidR="00732531" w:rsidRPr="00A051C4">
        <w:rPr>
          <w:rFonts w:ascii="Arial" w:hAnsi="Arial" w:cs="Arial"/>
          <w:sz w:val="24"/>
          <w:szCs w:val="24"/>
        </w:rPr>
        <w:t>w</w:t>
      </w:r>
      <w:r w:rsidR="00CA2530" w:rsidRPr="00A051C4">
        <w:rPr>
          <w:rFonts w:ascii="Arial" w:hAnsi="Arial" w:cs="Arial"/>
          <w:sz w:val="24"/>
          <w:szCs w:val="24"/>
        </w:rPr>
        <w:t xml:space="preserve">here </w:t>
      </w:r>
      <w:r w:rsidR="00732531" w:rsidRPr="00A051C4">
        <w:rPr>
          <w:rFonts w:ascii="Arial" w:hAnsi="Arial" w:cs="Arial"/>
          <w:sz w:val="24"/>
          <w:szCs w:val="24"/>
        </w:rPr>
        <w:t xml:space="preserve">a </w:t>
      </w:r>
      <w:r w:rsidR="00CA2530" w:rsidRPr="00A051C4">
        <w:rPr>
          <w:rFonts w:ascii="Arial" w:hAnsi="Arial" w:cs="Arial"/>
          <w:sz w:val="24"/>
          <w:szCs w:val="24"/>
        </w:rPr>
        <w:t>mark has been used in combination with other marks, the task</w:t>
      </w:r>
      <w:r w:rsidR="00732531" w:rsidRPr="00A051C4">
        <w:rPr>
          <w:rFonts w:ascii="Arial" w:hAnsi="Arial" w:cs="Arial"/>
          <w:sz w:val="24"/>
          <w:szCs w:val="24"/>
        </w:rPr>
        <w:t xml:space="preserve"> of establishing acquired distinctiveness</w:t>
      </w:r>
      <w:r w:rsidR="00CA2530" w:rsidRPr="00A051C4">
        <w:rPr>
          <w:rFonts w:ascii="Arial" w:hAnsi="Arial" w:cs="Arial"/>
          <w:sz w:val="24"/>
          <w:szCs w:val="24"/>
        </w:rPr>
        <w:t xml:space="preserve"> inevitably becomes more difficult</w:t>
      </w:r>
      <w:r w:rsidR="00732531" w:rsidRPr="00A051C4">
        <w:rPr>
          <w:rFonts w:ascii="Arial" w:hAnsi="Arial" w:cs="Arial"/>
          <w:sz w:val="24"/>
          <w:szCs w:val="24"/>
        </w:rPr>
        <w:t xml:space="preserve">. </w:t>
      </w:r>
    </w:p>
    <w:p w14:paraId="15215300" w14:textId="77777777" w:rsidR="00DD5EB2" w:rsidRPr="00A051C4" w:rsidRDefault="00DD5EB2" w:rsidP="00DD5EB2">
      <w:pPr>
        <w:shd w:val="clear" w:color="auto" w:fill="FFFFFF"/>
        <w:spacing w:before="120" w:after="240" w:line="360" w:lineRule="auto"/>
        <w:contextualSpacing/>
        <w:jc w:val="both"/>
        <w:rPr>
          <w:rFonts w:ascii="Arial" w:hAnsi="Arial" w:cs="Arial"/>
          <w:sz w:val="24"/>
          <w:szCs w:val="24"/>
        </w:rPr>
      </w:pPr>
    </w:p>
    <w:p w14:paraId="5A262193" w14:textId="41C8ED7F" w:rsidR="00122CC1" w:rsidRPr="00A051C4" w:rsidRDefault="006227FF" w:rsidP="006227FF">
      <w:pPr>
        <w:shd w:val="clear" w:color="auto" w:fill="FFFFFF"/>
        <w:spacing w:before="120" w:after="120" w:line="360" w:lineRule="auto"/>
        <w:contextualSpacing/>
        <w:jc w:val="both"/>
        <w:rPr>
          <w:rFonts w:ascii="Arial" w:hAnsi="Arial" w:cs="Arial"/>
          <w:sz w:val="24"/>
          <w:szCs w:val="24"/>
        </w:rPr>
      </w:pPr>
      <w:r w:rsidRPr="00A051C4">
        <w:rPr>
          <w:rFonts w:ascii="Arial" w:hAnsi="Arial" w:cs="Arial"/>
          <w:snapToGrid w:val="0"/>
          <w:color w:val="000000"/>
          <w:w w:val="0"/>
          <w:sz w:val="24"/>
          <w:szCs w:val="24"/>
        </w:rPr>
        <w:t>[33]</w:t>
      </w:r>
      <w:r w:rsidRPr="00A051C4">
        <w:rPr>
          <w:rFonts w:ascii="Arial" w:hAnsi="Arial" w:cs="Arial"/>
          <w:snapToGrid w:val="0"/>
          <w:color w:val="000000"/>
          <w:w w:val="0"/>
          <w:sz w:val="24"/>
          <w:szCs w:val="24"/>
        </w:rPr>
        <w:tab/>
      </w:r>
      <w:r w:rsidR="00732531" w:rsidRPr="00A051C4">
        <w:rPr>
          <w:rFonts w:ascii="Arial" w:hAnsi="Arial" w:cs="Arial"/>
          <w:sz w:val="24"/>
          <w:szCs w:val="24"/>
        </w:rPr>
        <w:t>This is</w:t>
      </w:r>
      <w:r w:rsidR="00CA2530" w:rsidRPr="00A051C4">
        <w:rPr>
          <w:rFonts w:ascii="Arial" w:hAnsi="Arial" w:cs="Arial"/>
          <w:sz w:val="24"/>
          <w:szCs w:val="24"/>
        </w:rPr>
        <w:t xml:space="preserve"> because it is</w:t>
      </w:r>
      <w:r w:rsidR="00FD0872">
        <w:rPr>
          <w:rFonts w:ascii="Arial" w:hAnsi="Arial" w:cs="Arial"/>
          <w:sz w:val="24"/>
          <w:szCs w:val="24"/>
        </w:rPr>
        <w:t xml:space="preserve"> necessary to isolate the </w:t>
      </w:r>
      <w:r w:rsidR="00CA2530" w:rsidRPr="00A051C4">
        <w:rPr>
          <w:rFonts w:ascii="Arial" w:hAnsi="Arial" w:cs="Arial"/>
          <w:sz w:val="24"/>
          <w:szCs w:val="24"/>
        </w:rPr>
        <w:t>perception of the mark applied for, and not other mar</w:t>
      </w:r>
      <w:r w:rsidR="00FD0872">
        <w:rPr>
          <w:rFonts w:ascii="Arial" w:hAnsi="Arial" w:cs="Arial"/>
          <w:sz w:val="24"/>
          <w:szCs w:val="24"/>
        </w:rPr>
        <w:t>ks used in combination with it.</w:t>
      </w:r>
      <w:r w:rsidR="00732531" w:rsidRPr="00A051C4">
        <w:rPr>
          <w:rStyle w:val="FootnoteReference"/>
          <w:rFonts w:ascii="Arial" w:hAnsi="Arial" w:cs="Arial"/>
          <w:sz w:val="24"/>
          <w:szCs w:val="24"/>
        </w:rPr>
        <w:footnoteReference w:id="34"/>
      </w:r>
      <w:r w:rsidR="00892327" w:rsidRPr="00A051C4">
        <w:rPr>
          <w:rFonts w:ascii="Arial" w:hAnsi="Arial" w:cs="Arial"/>
          <w:sz w:val="24"/>
          <w:szCs w:val="24"/>
        </w:rPr>
        <w:t xml:space="preserve"> Thus,</w:t>
      </w:r>
      <w:r w:rsidR="00732531" w:rsidRPr="00A051C4">
        <w:rPr>
          <w:rFonts w:ascii="Arial" w:hAnsi="Arial" w:cs="Arial"/>
          <w:sz w:val="24"/>
          <w:szCs w:val="24"/>
        </w:rPr>
        <w:t xml:space="preserve"> </w:t>
      </w:r>
      <w:r w:rsidR="00122CC1" w:rsidRPr="00A051C4">
        <w:rPr>
          <w:rFonts w:ascii="Arial" w:hAnsi="Arial" w:cs="Arial"/>
          <w:sz w:val="24"/>
          <w:szCs w:val="24"/>
        </w:rPr>
        <w:t xml:space="preserve">the fact that </w:t>
      </w:r>
      <w:r w:rsidR="00732531" w:rsidRPr="00A051C4">
        <w:rPr>
          <w:rFonts w:ascii="Arial" w:hAnsi="Arial" w:cs="Arial"/>
          <w:sz w:val="24"/>
          <w:szCs w:val="24"/>
        </w:rPr>
        <w:t xml:space="preserve">Tupperware </w:t>
      </w:r>
      <w:r w:rsidR="00122CC1" w:rsidRPr="00A051C4">
        <w:rPr>
          <w:rFonts w:ascii="Arial" w:hAnsi="Arial" w:cs="Arial"/>
          <w:sz w:val="24"/>
          <w:szCs w:val="24"/>
        </w:rPr>
        <w:t xml:space="preserve">ensured that </w:t>
      </w:r>
      <w:r w:rsidR="00AC4644" w:rsidRPr="00A051C4">
        <w:rPr>
          <w:rFonts w:ascii="Arial" w:hAnsi="Arial" w:cs="Arial"/>
          <w:sz w:val="24"/>
          <w:szCs w:val="24"/>
        </w:rPr>
        <w:t xml:space="preserve">its logo is embossed on </w:t>
      </w:r>
      <w:r w:rsidR="00732531" w:rsidRPr="00A051C4">
        <w:rPr>
          <w:rFonts w:ascii="Arial" w:hAnsi="Arial" w:cs="Arial"/>
          <w:sz w:val="24"/>
          <w:szCs w:val="24"/>
        </w:rPr>
        <w:t>the Eco bottle</w:t>
      </w:r>
      <w:r w:rsidR="00F94142" w:rsidRPr="00A051C4">
        <w:rPr>
          <w:rFonts w:ascii="Arial" w:hAnsi="Arial" w:cs="Arial"/>
          <w:sz w:val="24"/>
          <w:szCs w:val="24"/>
        </w:rPr>
        <w:t xml:space="preserve">, points to two possibilities: (a) </w:t>
      </w:r>
      <w:r w:rsidR="00122CC1" w:rsidRPr="00A051C4">
        <w:rPr>
          <w:rFonts w:ascii="Arial" w:hAnsi="Arial" w:cs="Arial"/>
          <w:sz w:val="24"/>
          <w:szCs w:val="24"/>
        </w:rPr>
        <w:t>a clear recognition that consumers did not rely upon the shape in th</w:t>
      </w:r>
      <w:r w:rsidR="0007198A" w:rsidRPr="00A051C4">
        <w:rPr>
          <w:rFonts w:ascii="Arial" w:hAnsi="Arial" w:cs="Arial"/>
          <w:sz w:val="24"/>
          <w:szCs w:val="24"/>
        </w:rPr>
        <w:t>e trade mark sense</w:t>
      </w:r>
      <w:r w:rsidR="00122CC1" w:rsidRPr="00A051C4">
        <w:rPr>
          <w:rFonts w:ascii="Arial" w:hAnsi="Arial" w:cs="Arial"/>
          <w:sz w:val="24"/>
          <w:szCs w:val="24"/>
        </w:rPr>
        <w:t xml:space="preserve">, and that they in fact relied upon the </w:t>
      </w:r>
      <w:r w:rsidR="0007198A" w:rsidRPr="00A051C4">
        <w:rPr>
          <w:rFonts w:ascii="Arial" w:hAnsi="Arial" w:cs="Arial"/>
          <w:sz w:val="24"/>
          <w:szCs w:val="24"/>
        </w:rPr>
        <w:t>Tupperware</w:t>
      </w:r>
      <w:r w:rsidR="00732531" w:rsidRPr="00A051C4">
        <w:rPr>
          <w:rFonts w:ascii="Arial" w:hAnsi="Arial" w:cs="Arial"/>
          <w:sz w:val="24"/>
          <w:szCs w:val="24"/>
        </w:rPr>
        <w:t xml:space="preserve"> </w:t>
      </w:r>
      <w:r w:rsidR="00122CC1" w:rsidRPr="00A051C4">
        <w:rPr>
          <w:rFonts w:ascii="Arial" w:hAnsi="Arial" w:cs="Arial"/>
          <w:sz w:val="24"/>
          <w:szCs w:val="24"/>
        </w:rPr>
        <w:t>trade mark</w:t>
      </w:r>
      <w:r w:rsidR="00F94142" w:rsidRPr="00A051C4">
        <w:rPr>
          <w:rFonts w:ascii="Arial" w:hAnsi="Arial" w:cs="Arial"/>
          <w:sz w:val="24"/>
          <w:szCs w:val="24"/>
        </w:rPr>
        <w:t>; (b) that Tupperware did not trust the shape of its Eco bottle on its own to identify the trade source.</w:t>
      </w:r>
      <w:bookmarkStart w:id="76" w:name="_Hlk117285148"/>
    </w:p>
    <w:p w14:paraId="0D5416F7" w14:textId="77777777" w:rsidR="0059386F" w:rsidRPr="00A051C4" w:rsidRDefault="0059386F" w:rsidP="0059386F">
      <w:pPr>
        <w:shd w:val="clear" w:color="auto" w:fill="FFFFFF"/>
        <w:spacing w:before="120" w:after="120" w:line="360" w:lineRule="auto"/>
        <w:contextualSpacing/>
        <w:jc w:val="both"/>
        <w:rPr>
          <w:rFonts w:ascii="Arial" w:hAnsi="Arial" w:cs="Arial"/>
          <w:sz w:val="24"/>
          <w:szCs w:val="24"/>
        </w:rPr>
      </w:pPr>
    </w:p>
    <w:bookmarkEnd w:id="76"/>
    <w:p w14:paraId="08998E43" w14:textId="72805EFC" w:rsidR="00122CC1" w:rsidRPr="00A051C4" w:rsidRDefault="006227FF" w:rsidP="006227FF">
      <w:pPr>
        <w:shd w:val="clear" w:color="auto" w:fill="FFFFFF"/>
        <w:spacing w:before="120" w:after="120" w:line="360" w:lineRule="auto"/>
        <w:contextualSpacing/>
        <w:jc w:val="both"/>
        <w:rPr>
          <w:rFonts w:ascii="Arial" w:hAnsi="Arial" w:cs="Arial"/>
          <w:sz w:val="24"/>
          <w:szCs w:val="24"/>
        </w:rPr>
      </w:pPr>
      <w:r w:rsidRPr="00A051C4">
        <w:rPr>
          <w:rFonts w:ascii="Arial" w:hAnsi="Arial" w:cs="Arial"/>
          <w:snapToGrid w:val="0"/>
          <w:color w:val="000000"/>
          <w:w w:val="0"/>
          <w:sz w:val="24"/>
          <w:szCs w:val="24"/>
        </w:rPr>
        <w:t>[34]</w:t>
      </w:r>
      <w:r w:rsidRPr="00A051C4">
        <w:rPr>
          <w:rFonts w:ascii="Arial" w:hAnsi="Arial" w:cs="Arial"/>
          <w:snapToGrid w:val="0"/>
          <w:color w:val="000000"/>
          <w:w w:val="0"/>
          <w:sz w:val="24"/>
          <w:szCs w:val="24"/>
        </w:rPr>
        <w:tab/>
      </w:r>
      <w:r w:rsidR="00732531" w:rsidRPr="00A051C4">
        <w:rPr>
          <w:rFonts w:ascii="Arial" w:hAnsi="Arial" w:cs="Arial"/>
          <w:sz w:val="24"/>
          <w:szCs w:val="24"/>
          <w:shd w:val="clear" w:color="auto" w:fill="FFFFFF"/>
        </w:rPr>
        <w:t xml:space="preserve">In </w:t>
      </w:r>
      <w:r w:rsidR="00FD0872">
        <w:rPr>
          <w:rFonts w:ascii="Arial" w:hAnsi="Arial" w:cs="Arial"/>
          <w:sz w:val="24"/>
          <w:szCs w:val="24"/>
          <w:shd w:val="clear" w:color="auto" w:fill="FFFFFF"/>
        </w:rPr>
        <w:t xml:space="preserve">the </w:t>
      </w:r>
      <w:r w:rsidR="00732531" w:rsidRPr="00A051C4">
        <w:rPr>
          <w:rFonts w:ascii="Arial" w:hAnsi="Arial" w:cs="Arial"/>
          <w:sz w:val="24"/>
          <w:szCs w:val="24"/>
          <w:shd w:val="clear" w:color="auto" w:fill="FFFFFF"/>
        </w:rPr>
        <w:t xml:space="preserve">end, </w:t>
      </w:r>
      <w:r w:rsidR="00122CC1" w:rsidRPr="00A051C4">
        <w:rPr>
          <w:rFonts w:ascii="Arial" w:hAnsi="Arial" w:cs="Arial"/>
          <w:sz w:val="24"/>
          <w:szCs w:val="24"/>
          <w:shd w:val="clear" w:color="auto" w:fill="FFFFFF"/>
        </w:rPr>
        <w:t>the shape of the</w:t>
      </w:r>
      <w:r w:rsidR="00732531" w:rsidRPr="00A051C4">
        <w:rPr>
          <w:rFonts w:ascii="Arial" w:hAnsi="Arial" w:cs="Arial"/>
          <w:sz w:val="24"/>
          <w:szCs w:val="24"/>
          <w:shd w:val="clear" w:color="auto" w:fill="FFFFFF"/>
        </w:rPr>
        <w:t xml:space="preserve"> Eco bottle</w:t>
      </w:r>
      <w:r w:rsidR="00122CC1" w:rsidRPr="00A051C4">
        <w:rPr>
          <w:rFonts w:ascii="Arial" w:hAnsi="Arial" w:cs="Arial"/>
          <w:sz w:val="24"/>
          <w:szCs w:val="24"/>
          <w:shd w:val="clear" w:color="auto" w:fill="FFFFFF"/>
        </w:rPr>
        <w:t xml:space="preserve">, </w:t>
      </w:r>
      <w:r w:rsidR="00E71AC7" w:rsidRPr="00A051C4">
        <w:rPr>
          <w:rFonts w:ascii="Arial" w:hAnsi="Arial" w:cs="Arial"/>
          <w:sz w:val="24"/>
          <w:szCs w:val="24"/>
          <w:shd w:val="clear" w:color="auto" w:fill="FFFFFF"/>
        </w:rPr>
        <w:t xml:space="preserve">to use the language in </w:t>
      </w:r>
      <w:r w:rsidR="00E71AC7" w:rsidRPr="00A051C4">
        <w:rPr>
          <w:rFonts w:ascii="Arial" w:hAnsi="Arial" w:cs="Arial"/>
          <w:i/>
          <w:iCs/>
          <w:sz w:val="24"/>
          <w:szCs w:val="24"/>
          <w:shd w:val="clear" w:color="auto" w:fill="FFFFFF"/>
        </w:rPr>
        <w:t>Beecham</w:t>
      </w:r>
      <w:r w:rsidR="00E71AC7" w:rsidRPr="00A051C4">
        <w:rPr>
          <w:rFonts w:ascii="Arial" w:hAnsi="Arial" w:cs="Arial"/>
          <w:sz w:val="24"/>
          <w:szCs w:val="24"/>
          <w:shd w:val="clear" w:color="auto" w:fill="FFFFFF"/>
        </w:rPr>
        <w:t>,</w:t>
      </w:r>
      <w:r w:rsidR="00E71AC7" w:rsidRPr="00A051C4">
        <w:rPr>
          <w:rStyle w:val="FootnoteReference"/>
          <w:rFonts w:ascii="Arial" w:hAnsi="Arial" w:cs="Arial"/>
          <w:sz w:val="24"/>
          <w:szCs w:val="24"/>
          <w:shd w:val="clear" w:color="auto" w:fill="FFFFFF"/>
        </w:rPr>
        <w:footnoteReference w:id="35"/>
      </w:r>
      <w:r w:rsidR="00E71AC7" w:rsidRPr="00A051C4">
        <w:rPr>
          <w:rFonts w:ascii="Arial" w:hAnsi="Arial" w:cs="Arial"/>
          <w:sz w:val="24"/>
          <w:szCs w:val="24"/>
          <w:shd w:val="clear" w:color="auto" w:fill="FFFFFF"/>
        </w:rPr>
        <w:t xml:space="preserve"> </w:t>
      </w:r>
      <w:r w:rsidR="00122CC1" w:rsidRPr="00A051C4">
        <w:rPr>
          <w:rFonts w:ascii="Arial" w:hAnsi="Arial" w:cs="Arial"/>
          <w:sz w:val="24"/>
          <w:szCs w:val="24"/>
          <w:shd w:val="clear" w:color="auto" w:fill="FFFFFF"/>
        </w:rPr>
        <w:t xml:space="preserve">‘did not distinguish it from </w:t>
      </w:r>
      <w:r w:rsidR="00732531" w:rsidRPr="00A051C4">
        <w:rPr>
          <w:rFonts w:ascii="Arial" w:hAnsi="Arial" w:cs="Arial"/>
          <w:sz w:val="24"/>
          <w:szCs w:val="24"/>
          <w:shd w:val="clear" w:color="auto" w:fill="FFFFFF"/>
        </w:rPr>
        <w:t xml:space="preserve">[water bottles] </w:t>
      </w:r>
      <w:r w:rsidR="00122CC1" w:rsidRPr="00A051C4">
        <w:rPr>
          <w:rFonts w:ascii="Arial" w:hAnsi="Arial" w:cs="Arial"/>
          <w:sz w:val="24"/>
          <w:szCs w:val="24"/>
          <w:shd w:val="clear" w:color="auto" w:fill="FFFFFF"/>
        </w:rPr>
        <w:t>sold by others but, distinguishes them somewhat from other</w:t>
      </w:r>
      <w:r w:rsidR="00732531" w:rsidRPr="00A051C4">
        <w:rPr>
          <w:rFonts w:ascii="Arial" w:hAnsi="Arial" w:cs="Arial"/>
          <w:sz w:val="24"/>
          <w:szCs w:val="24"/>
          <w:shd w:val="clear" w:color="auto" w:fill="FFFFFF"/>
        </w:rPr>
        <w:t xml:space="preserve"> [water bottles]</w:t>
      </w:r>
      <w:r w:rsidR="00122CC1" w:rsidRPr="00A051C4">
        <w:rPr>
          <w:rFonts w:ascii="Arial" w:hAnsi="Arial" w:cs="Arial"/>
          <w:sz w:val="24"/>
          <w:szCs w:val="24"/>
          <w:shd w:val="clear" w:color="auto" w:fill="FFFFFF"/>
        </w:rPr>
        <w:t xml:space="preserve">.’ In addition, there were many </w:t>
      </w:r>
      <w:r w:rsidR="00732531" w:rsidRPr="00A051C4">
        <w:rPr>
          <w:rFonts w:ascii="Arial" w:hAnsi="Arial" w:cs="Arial"/>
          <w:sz w:val="24"/>
          <w:szCs w:val="24"/>
          <w:shd w:val="clear" w:color="auto" w:fill="FFFFFF"/>
        </w:rPr>
        <w:t xml:space="preserve">water bottles </w:t>
      </w:r>
      <w:r w:rsidR="00122CC1" w:rsidRPr="00A051C4">
        <w:rPr>
          <w:rFonts w:ascii="Arial" w:hAnsi="Arial" w:cs="Arial"/>
          <w:sz w:val="24"/>
          <w:szCs w:val="24"/>
          <w:shd w:val="clear" w:color="auto" w:fill="FFFFFF"/>
        </w:rPr>
        <w:t xml:space="preserve">on the market with the </w:t>
      </w:r>
      <w:r w:rsidR="0007198A" w:rsidRPr="00A051C4">
        <w:rPr>
          <w:rFonts w:ascii="Arial" w:hAnsi="Arial" w:cs="Arial"/>
          <w:sz w:val="24"/>
          <w:szCs w:val="24"/>
          <w:shd w:val="clear" w:color="auto" w:fill="FFFFFF"/>
        </w:rPr>
        <w:t>‘</w:t>
      </w:r>
      <w:r w:rsidR="00122CC1" w:rsidRPr="00A051C4">
        <w:rPr>
          <w:rFonts w:ascii="Arial" w:hAnsi="Arial" w:cs="Arial"/>
          <w:sz w:val="24"/>
          <w:szCs w:val="24"/>
          <w:shd w:val="clear" w:color="auto" w:fill="FFFFFF"/>
        </w:rPr>
        <w:t>identical or substantially identical shape, albeit not necessarily with the same size</w:t>
      </w:r>
      <w:r w:rsidR="0059386F" w:rsidRPr="00A051C4">
        <w:rPr>
          <w:rFonts w:ascii="Arial" w:hAnsi="Arial" w:cs="Arial"/>
          <w:sz w:val="24"/>
          <w:szCs w:val="24"/>
          <w:shd w:val="clear" w:color="auto" w:fill="FFFFFF"/>
        </w:rPr>
        <w:t>’</w:t>
      </w:r>
      <w:r w:rsidR="00122CC1" w:rsidRPr="00A051C4">
        <w:rPr>
          <w:rFonts w:ascii="Arial" w:hAnsi="Arial" w:cs="Arial"/>
          <w:sz w:val="24"/>
          <w:szCs w:val="24"/>
          <w:shd w:val="clear" w:color="auto" w:fill="FFFFFF"/>
        </w:rPr>
        <w:t xml:space="preserve"> as</w:t>
      </w:r>
      <w:r w:rsidR="0007198A" w:rsidRPr="00A051C4">
        <w:rPr>
          <w:rFonts w:ascii="Arial" w:hAnsi="Arial" w:cs="Arial"/>
          <w:sz w:val="24"/>
          <w:szCs w:val="24"/>
          <w:shd w:val="clear" w:color="auto" w:fill="FFFFFF"/>
        </w:rPr>
        <w:t xml:space="preserve"> the Eco bottle</w:t>
      </w:r>
      <w:r w:rsidR="00122CC1" w:rsidRPr="00A051C4">
        <w:rPr>
          <w:rFonts w:ascii="Arial" w:hAnsi="Arial" w:cs="Arial"/>
          <w:sz w:val="24"/>
          <w:szCs w:val="24"/>
          <w:shd w:val="clear" w:color="auto" w:fill="FFFFFF"/>
        </w:rPr>
        <w:t xml:space="preserve">. </w:t>
      </w:r>
    </w:p>
    <w:p w14:paraId="7F0695C7" w14:textId="77777777" w:rsidR="0059386F" w:rsidRPr="00A051C4" w:rsidRDefault="0059386F" w:rsidP="0059386F">
      <w:pPr>
        <w:shd w:val="clear" w:color="auto" w:fill="FFFFFF"/>
        <w:spacing w:before="120" w:after="120" w:line="360" w:lineRule="auto"/>
        <w:contextualSpacing/>
        <w:jc w:val="both"/>
        <w:rPr>
          <w:rFonts w:ascii="Arial" w:hAnsi="Arial" w:cs="Arial"/>
          <w:sz w:val="24"/>
          <w:szCs w:val="24"/>
        </w:rPr>
      </w:pPr>
    </w:p>
    <w:p w14:paraId="6D81577D" w14:textId="1AF2DFCC" w:rsidR="0059386F" w:rsidRPr="00A051C4" w:rsidRDefault="006227FF" w:rsidP="006227FF">
      <w:pPr>
        <w:shd w:val="clear" w:color="auto" w:fill="FFFFFF"/>
        <w:spacing w:before="120" w:after="120" w:line="360" w:lineRule="auto"/>
        <w:contextualSpacing/>
        <w:jc w:val="both"/>
        <w:rPr>
          <w:rFonts w:ascii="Arial" w:hAnsi="Arial" w:cs="Arial"/>
          <w:sz w:val="24"/>
          <w:szCs w:val="24"/>
        </w:rPr>
      </w:pPr>
      <w:r w:rsidRPr="00A051C4">
        <w:rPr>
          <w:rFonts w:ascii="Arial" w:hAnsi="Arial" w:cs="Arial"/>
          <w:snapToGrid w:val="0"/>
          <w:color w:val="000000"/>
          <w:w w:val="0"/>
          <w:sz w:val="24"/>
          <w:szCs w:val="24"/>
        </w:rPr>
        <w:t>[35]</w:t>
      </w:r>
      <w:r w:rsidRPr="00A051C4">
        <w:rPr>
          <w:rFonts w:ascii="Arial" w:hAnsi="Arial" w:cs="Arial"/>
          <w:snapToGrid w:val="0"/>
          <w:color w:val="000000"/>
          <w:w w:val="0"/>
          <w:sz w:val="24"/>
          <w:szCs w:val="24"/>
        </w:rPr>
        <w:tab/>
      </w:r>
      <w:r w:rsidR="0007198A" w:rsidRPr="00A051C4">
        <w:rPr>
          <w:rFonts w:ascii="Arial" w:hAnsi="Arial" w:cs="Arial"/>
          <w:sz w:val="24"/>
          <w:szCs w:val="24"/>
          <w:shd w:val="clear" w:color="auto" w:fill="FFFFFF"/>
        </w:rPr>
        <w:t>The shape of the Eco bottle as a trade mark falters even on the low threshold ‘recognition and association’ test</w:t>
      </w:r>
      <w:r w:rsidR="00892327" w:rsidRPr="00A051C4">
        <w:rPr>
          <w:rFonts w:ascii="Arial" w:hAnsi="Arial" w:cs="Arial"/>
          <w:sz w:val="24"/>
          <w:szCs w:val="24"/>
          <w:shd w:val="clear" w:color="auto" w:fill="FFFFFF"/>
        </w:rPr>
        <w:t>, or the reliance test.</w:t>
      </w:r>
      <w:r w:rsidR="0007198A" w:rsidRPr="00A051C4">
        <w:rPr>
          <w:rFonts w:ascii="Arial" w:hAnsi="Arial" w:cs="Arial"/>
          <w:sz w:val="24"/>
          <w:szCs w:val="24"/>
          <w:shd w:val="clear" w:color="auto" w:fill="FFFFFF"/>
        </w:rPr>
        <w:t xml:space="preserve"> </w:t>
      </w:r>
      <w:r w:rsidR="0007198A" w:rsidRPr="00A051C4">
        <w:rPr>
          <w:rFonts w:ascii="Arial" w:hAnsi="Arial" w:cs="Arial"/>
          <w:sz w:val="24"/>
          <w:szCs w:val="24"/>
        </w:rPr>
        <w:t>As is clear from the authorities, e</w:t>
      </w:r>
      <w:r w:rsidR="0007198A" w:rsidRPr="00A051C4">
        <w:rPr>
          <w:rFonts w:ascii="Arial" w:hAnsi="Arial" w:cs="Arial"/>
          <w:sz w:val="24"/>
          <w:szCs w:val="24"/>
          <w:shd w:val="clear" w:color="auto" w:fill="FFFFFF"/>
        </w:rPr>
        <w:t xml:space="preserve">ven if one accepts that </w:t>
      </w:r>
      <w:r w:rsidR="0007198A" w:rsidRPr="00A051C4">
        <w:rPr>
          <w:rFonts w:ascii="Arial" w:hAnsi="Arial" w:cs="Arial"/>
          <w:sz w:val="24"/>
          <w:szCs w:val="24"/>
        </w:rPr>
        <w:t xml:space="preserve">a significant proportion of consumers in the water bottle sector recognise Tupperware’s Eco bottle and associate it with Tupperware, this would not be sufficient for the shape to denote the origin or authenticity of the bottle. </w:t>
      </w:r>
      <w:r w:rsidR="00892327" w:rsidRPr="00A051C4">
        <w:rPr>
          <w:rFonts w:ascii="Arial" w:hAnsi="Arial" w:cs="Arial"/>
          <w:sz w:val="24"/>
          <w:szCs w:val="24"/>
        </w:rPr>
        <w:t xml:space="preserve">As to the reliance test, </w:t>
      </w:r>
      <w:r w:rsidR="0007198A" w:rsidRPr="00A051C4">
        <w:rPr>
          <w:rFonts w:ascii="Arial" w:hAnsi="Arial" w:cs="Arial"/>
          <w:sz w:val="24"/>
          <w:szCs w:val="24"/>
        </w:rPr>
        <w:t xml:space="preserve">there is no evidence that purchasers of the Eco bottle relied upon its </w:t>
      </w:r>
      <w:r w:rsidR="0007198A" w:rsidRPr="00A051C4">
        <w:rPr>
          <w:rFonts w:ascii="Arial" w:hAnsi="Arial" w:cs="Arial"/>
          <w:sz w:val="24"/>
          <w:szCs w:val="24"/>
        </w:rPr>
        <w:lastRenderedPageBreak/>
        <w:t xml:space="preserve">shape to confirm its origin or authenticity. </w:t>
      </w:r>
      <w:r w:rsidR="005A6632" w:rsidRPr="00A051C4">
        <w:rPr>
          <w:rFonts w:ascii="Arial" w:hAnsi="Arial" w:cs="Arial"/>
          <w:sz w:val="24"/>
          <w:szCs w:val="24"/>
          <w:shd w:val="clear" w:color="auto" w:fill="FFFFFF"/>
        </w:rPr>
        <w:t>Tupperware’s Eco bottle is therefore not distinctive, and the high court was correct to uphold Buhle Brands’ counterclaim by ordering the cancellation of the registered mark. It is not necessary to consider Buhle Brands’ other trade mark challenges.</w:t>
      </w:r>
    </w:p>
    <w:p w14:paraId="71B0959E" w14:textId="77777777" w:rsidR="00DD5EB2" w:rsidRPr="00A051C4" w:rsidRDefault="00DD5EB2" w:rsidP="00DD5EB2">
      <w:pPr>
        <w:shd w:val="clear" w:color="auto" w:fill="FFFFFF"/>
        <w:spacing w:before="120" w:after="120" w:line="360" w:lineRule="auto"/>
        <w:contextualSpacing/>
        <w:jc w:val="both"/>
        <w:rPr>
          <w:rFonts w:ascii="Arial" w:hAnsi="Arial" w:cs="Arial"/>
          <w:sz w:val="24"/>
          <w:szCs w:val="24"/>
        </w:rPr>
      </w:pPr>
    </w:p>
    <w:p w14:paraId="75E0571F" w14:textId="5C935363" w:rsidR="0059386F" w:rsidRPr="00A051C4" w:rsidRDefault="006227FF" w:rsidP="006227FF">
      <w:pPr>
        <w:shd w:val="clear" w:color="auto" w:fill="FFFFFF"/>
        <w:spacing w:before="120" w:after="120" w:line="360" w:lineRule="auto"/>
        <w:contextualSpacing/>
        <w:jc w:val="both"/>
        <w:rPr>
          <w:rFonts w:ascii="Arial" w:hAnsi="Arial" w:cs="Arial"/>
          <w:sz w:val="24"/>
          <w:szCs w:val="24"/>
        </w:rPr>
      </w:pPr>
      <w:r w:rsidRPr="00A051C4">
        <w:rPr>
          <w:rFonts w:ascii="Arial" w:hAnsi="Arial" w:cs="Arial"/>
          <w:snapToGrid w:val="0"/>
          <w:color w:val="000000"/>
          <w:w w:val="0"/>
          <w:sz w:val="24"/>
          <w:szCs w:val="24"/>
        </w:rPr>
        <w:t>[36]</w:t>
      </w:r>
      <w:r w:rsidRPr="00A051C4">
        <w:rPr>
          <w:rFonts w:ascii="Arial" w:hAnsi="Arial" w:cs="Arial"/>
          <w:snapToGrid w:val="0"/>
          <w:color w:val="000000"/>
          <w:w w:val="0"/>
          <w:sz w:val="24"/>
          <w:szCs w:val="24"/>
        </w:rPr>
        <w:tab/>
      </w:r>
      <w:r w:rsidR="005A6632" w:rsidRPr="00A051C4">
        <w:rPr>
          <w:rFonts w:ascii="Arial" w:hAnsi="Arial" w:cs="Arial"/>
          <w:sz w:val="24"/>
          <w:szCs w:val="24"/>
          <w:shd w:val="clear" w:color="auto" w:fill="FFFFFF"/>
        </w:rPr>
        <w:t xml:space="preserve">I now turn to Tupperware’s </w:t>
      </w:r>
      <w:r w:rsidR="004A70D1" w:rsidRPr="00A051C4">
        <w:rPr>
          <w:rFonts w:ascii="Arial" w:hAnsi="Arial" w:cs="Arial"/>
          <w:sz w:val="24"/>
          <w:szCs w:val="24"/>
          <w:shd w:val="clear" w:color="auto" w:fill="FFFFFF"/>
        </w:rPr>
        <w:t xml:space="preserve">passing off claim. </w:t>
      </w:r>
      <w:r w:rsidR="007C1523" w:rsidRPr="00A051C4">
        <w:rPr>
          <w:rFonts w:ascii="Arial" w:eastAsiaTheme="minorEastAsia" w:hAnsi="Arial" w:cs="Arial"/>
          <w:sz w:val="24"/>
          <w:szCs w:val="24"/>
          <w:lang w:eastAsia="en-ZA"/>
        </w:rPr>
        <w:t>Passing</w:t>
      </w:r>
      <w:r w:rsidR="007C1523" w:rsidRPr="00A051C4">
        <w:rPr>
          <w:rFonts w:ascii="Arial" w:eastAsiaTheme="minorEastAsia" w:hAnsi="Arial" w:cs="Arial"/>
          <w:spacing w:val="-7"/>
          <w:sz w:val="24"/>
          <w:szCs w:val="24"/>
          <w:lang w:eastAsia="en-ZA"/>
        </w:rPr>
        <w:t>-</w:t>
      </w:r>
      <w:r w:rsidR="007C1523" w:rsidRPr="00A051C4">
        <w:rPr>
          <w:rFonts w:ascii="Arial" w:eastAsiaTheme="minorEastAsia" w:hAnsi="Arial" w:cs="Arial"/>
          <w:sz w:val="24"/>
          <w:szCs w:val="24"/>
          <w:lang w:eastAsia="en-ZA"/>
        </w:rPr>
        <w:t>off</w:t>
      </w:r>
      <w:r w:rsidR="007C1523" w:rsidRPr="00A051C4">
        <w:rPr>
          <w:rFonts w:ascii="Arial" w:eastAsiaTheme="minorEastAsia" w:hAnsi="Arial" w:cs="Arial"/>
          <w:spacing w:val="-5"/>
          <w:sz w:val="24"/>
          <w:szCs w:val="24"/>
          <w:lang w:eastAsia="en-ZA"/>
        </w:rPr>
        <w:t xml:space="preserve"> </w:t>
      </w:r>
      <w:r w:rsidR="007C1523" w:rsidRPr="00A051C4">
        <w:rPr>
          <w:rFonts w:ascii="Arial" w:eastAsiaTheme="minorEastAsia" w:hAnsi="Arial" w:cs="Arial"/>
          <w:sz w:val="24"/>
          <w:szCs w:val="24"/>
          <w:lang w:eastAsia="en-ZA"/>
        </w:rPr>
        <w:t>consists</w:t>
      </w:r>
      <w:r w:rsidR="007C1523" w:rsidRPr="00A051C4">
        <w:rPr>
          <w:rFonts w:ascii="Arial" w:eastAsiaTheme="minorEastAsia" w:hAnsi="Arial" w:cs="Arial"/>
          <w:spacing w:val="-8"/>
          <w:sz w:val="24"/>
          <w:szCs w:val="24"/>
          <w:lang w:eastAsia="en-ZA"/>
        </w:rPr>
        <w:t xml:space="preserve"> </w:t>
      </w:r>
      <w:r w:rsidR="007C1523" w:rsidRPr="00A051C4">
        <w:rPr>
          <w:rFonts w:ascii="Arial" w:eastAsiaTheme="minorEastAsia" w:hAnsi="Arial" w:cs="Arial"/>
          <w:sz w:val="24"/>
          <w:szCs w:val="24"/>
          <w:lang w:eastAsia="en-ZA"/>
        </w:rPr>
        <w:t>in</w:t>
      </w:r>
      <w:r w:rsidR="007C1523" w:rsidRPr="00A051C4">
        <w:rPr>
          <w:rFonts w:ascii="Arial" w:eastAsiaTheme="minorEastAsia" w:hAnsi="Arial" w:cs="Arial"/>
          <w:spacing w:val="-6"/>
          <w:sz w:val="24"/>
          <w:szCs w:val="24"/>
          <w:lang w:eastAsia="en-ZA"/>
        </w:rPr>
        <w:t xml:space="preserve"> </w:t>
      </w:r>
      <w:r w:rsidR="007C1523" w:rsidRPr="00A051C4">
        <w:rPr>
          <w:rFonts w:ascii="Arial" w:eastAsiaTheme="minorEastAsia" w:hAnsi="Arial" w:cs="Arial"/>
          <w:sz w:val="24"/>
          <w:szCs w:val="24"/>
          <w:lang w:eastAsia="en-ZA"/>
        </w:rPr>
        <w:t>a</w:t>
      </w:r>
      <w:r w:rsidR="007C1523" w:rsidRPr="00A051C4">
        <w:rPr>
          <w:rFonts w:ascii="Arial" w:eastAsiaTheme="minorEastAsia" w:hAnsi="Arial" w:cs="Arial"/>
          <w:spacing w:val="-9"/>
          <w:sz w:val="24"/>
          <w:szCs w:val="24"/>
          <w:lang w:eastAsia="en-ZA"/>
        </w:rPr>
        <w:t xml:space="preserve"> </w:t>
      </w:r>
      <w:r w:rsidR="007C1523" w:rsidRPr="00A051C4">
        <w:rPr>
          <w:rFonts w:ascii="Arial" w:eastAsiaTheme="minorEastAsia" w:hAnsi="Arial" w:cs="Arial"/>
          <w:sz w:val="24"/>
          <w:szCs w:val="24"/>
          <w:lang w:eastAsia="en-ZA"/>
        </w:rPr>
        <w:t>representation</w:t>
      </w:r>
      <w:r w:rsidR="007C1523" w:rsidRPr="00A051C4">
        <w:rPr>
          <w:rFonts w:ascii="Arial" w:eastAsiaTheme="minorEastAsia" w:hAnsi="Arial" w:cs="Arial"/>
          <w:spacing w:val="-7"/>
          <w:sz w:val="24"/>
          <w:szCs w:val="24"/>
          <w:lang w:eastAsia="en-ZA"/>
        </w:rPr>
        <w:t xml:space="preserve"> </w:t>
      </w:r>
      <w:r w:rsidR="007C1523" w:rsidRPr="00A051C4">
        <w:rPr>
          <w:rFonts w:ascii="Arial" w:eastAsiaTheme="minorEastAsia" w:hAnsi="Arial" w:cs="Arial"/>
          <w:sz w:val="24"/>
          <w:szCs w:val="24"/>
          <w:lang w:eastAsia="en-ZA"/>
        </w:rPr>
        <w:t>by</w:t>
      </w:r>
      <w:r w:rsidR="007C1523" w:rsidRPr="00A051C4">
        <w:rPr>
          <w:rFonts w:ascii="Arial" w:eastAsiaTheme="minorEastAsia" w:hAnsi="Arial" w:cs="Arial"/>
          <w:spacing w:val="-9"/>
          <w:sz w:val="24"/>
          <w:szCs w:val="24"/>
          <w:lang w:eastAsia="en-ZA"/>
        </w:rPr>
        <w:t xml:space="preserve"> </w:t>
      </w:r>
      <w:r w:rsidR="007C1523" w:rsidRPr="00A051C4">
        <w:rPr>
          <w:rFonts w:ascii="Arial" w:eastAsiaTheme="minorEastAsia" w:hAnsi="Arial" w:cs="Arial"/>
          <w:sz w:val="24"/>
          <w:szCs w:val="24"/>
          <w:lang w:eastAsia="en-ZA"/>
        </w:rPr>
        <w:t>one</w:t>
      </w:r>
      <w:r w:rsidR="007C1523" w:rsidRPr="00A051C4">
        <w:rPr>
          <w:rFonts w:ascii="Arial" w:eastAsiaTheme="minorEastAsia" w:hAnsi="Arial" w:cs="Arial"/>
          <w:spacing w:val="-6"/>
          <w:sz w:val="24"/>
          <w:szCs w:val="24"/>
          <w:lang w:eastAsia="en-ZA"/>
        </w:rPr>
        <w:t xml:space="preserve"> </w:t>
      </w:r>
      <w:r w:rsidR="007C1523" w:rsidRPr="00A051C4">
        <w:rPr>
          <w:rFonts w:ascii="Arial" w:eastAsiaTheme="minorEastAsia" w:hAnsi="Arial" w:cs="Arial"/>
          <w:sz w:val="24"/>
          <w:szCs w:val="24"/>
          <w:lang w:eastAsia="en-ZA"/>
        </w:rPr>
        <w:t>person</w:t>
      </w:r>
      <w:r w:rsidR="007C1523" w:rsidRPr="00A051C4">
        <w:rPr>
          <w:rFonts w:ascii="Arial" w:eastAsiaTheme="minorEastAsia" w:hAnsi="Arial" w:cs="Arial"/>
          <w:spacing w:val="-6"/>
          <w:sz w:val="24"/>
          <w:szCs w:val="24"/>
          <w:lang w:eastAsia="en-ZA"/>
        </w:rPr>
        <w:t xml:space="preserve"> </w:t>
      </w:r>
      <w:r w:rsidR="007C1523" w:rsidRPr="00A051C4">
        <w:rPr>
          <w:rFonts w:ascii="Arial" w:eastAsiaTheme="minorEastAsia" w:hAnsi="Arial" w:cs="Arial"/>
          <w:sz w:val="24"/>
          <w:szCs w:val="24"/>
          <w:lang w:eastAsia="en-ZA"/>
        </w:rPr>
        <w:t xml:space="preserve">that the goods or services marketed by him or her </w:t>
      </w:r>
      <w:r w:rsidR="00CB0088" w:rsidRPr="00A051C4">
        <w:rPr>
          <w:rFonts w:ascii="Arial" w:eastAsiaTheme="minorEastAsia" w:hAnsi="Arial" w:cs="Arial"/>
          <w:sz w:val="24"/>
          <w:szCs w:val="24"/>
          <w:lang w:eastAsia="en-ZA"/>
        </w:rPr>
        <w:t xml:space="preserve">are </w:t>
      </w:r>
      <w:r w:rsidR="007C1523" w:rsidRPr="00A051C4">
        <w:rPr>
          <w:rFonts w:ascii="Arial" w:eastAsiaTheme="minorEastAsia" w:hAnsi="Arial" w:cs="Arial"/>
          <w:sz w:val="24"/>
          <w:szCs w:val="24"/>
          <w:lang w:eastAsia="en-ZA"/>
        </w:rPr>
        <w:t>from</w:t>
      </w:r>
      <w:r w:rsidR="007C1523" w:rsidRPr="00A051C4">
        <w:rPr>
          <w:rFonts w:ascii="Arial" w:eastAsiaTheme="minorEastAsia" w:hAnsi="Arial" w:cs="Arial"/>
          <w:spacing w:val="-9"/>
          <w:sz w:val="24"/>
          <w:szCs w:val="24"/>
          <w:lang w:eastAsia="en-ZA"/>
        </w:rPr>
        <w:t xml:space="preserve"> </w:t>
      </w:r>
      <w:r w:rsidR="007C1523" w:rsidRPr="00A051C4">
        <w:rPr>
          <w:rFonts w:ascii="Arial" w:eastAsiaTheme="minorEastAsia" w:hAnsi="Arial" w:cs="Arial"/>
          <w:sz w:val="24"/>
          <w:szCs w:val="24"/>
          <w:lang w:eastAsia="en-ZA"/>
        </w:rPr>
        <w:t>another</w:t>
      </w:r>
      <w:r w:rsidR="007C1523" w:rsidRPr="00A051C4">
        <w:rPr>
          <w:rFonts w:ascii="Arial" w:eastAsiaTheme="minorEastAsia" w:hAnsi="Arial" w:cs="Arial"/>
          <w:spacing w:val="-6"/>
          <w:sz w:val="24"/>
          <w:szCs w:val="24"/>
          <w:lang w:eastAsia="en-ZA"/>
        </w:rPr>
        <w:t xml:space="preserve"> </w:t>
      </w:r>
      <w:r w:rsidR="007C1523" w:rsidRPr="00A051C4">
        <w:rPr>
          <w:rFonts w:ascii="Arial" w:eastAsiaTheme="minorEastAsia" w:hAnsi="Arial" w:cs="Arial"/>
          <w:sz w:val="24"/>
          <w:szCs w:val="24"/>
          <w:lang w:eastAsia="en-ZA"/>
        </w:rPr>
        <w:t>or</w:t>
      </w:r>
      <w:r w:rsidR="007C1523" w:rsidRPr="00A051C4">
        <w:rPr>
          <w:rFonts w:ascii="Arial" w:eastAsiaTheme="minorEastAsia" w:hAnsi="Arial" w:cs="Arial"/>
          <w:spacing w:val="-7"/>
          <w:sz w:val="24"/>
          <w:szCs w:val="24"/>
          <w:lang w:eastAsia="en-ZA"/>
        </w:rPr>
        <w:t xml:space="preserve"> </w:t>
      </w:r>
      <w:r w:rsidR="007C1523" w:rsidRPr="00A051C4">
        <w:rPr>
          <w:rFonts w:ascii="Arial" w:eastAsiaTheme="minorEastAsia" w:hAnsi="Arial" w:cs="Arial"/>
          <w:sz w:val="24"/>
          <w:szCs w:val="24"/>
          <w:lang w:eastAsia="en-ZA"/>
        </w:rPr>
        <w:t>that</w:t>
      </w:r>
      <w:r w:rsidR="007C1523" w:rsidRPr="00A051C4">
        <w:rPr>
          <w:rFonts w:ascii="Arial" w:eastAsiaTheme="minorEastAsia" w:hAnsi="Arial" w:cs="Arial"/>
          <w:spacing w:val="-6"/>
          <w:sz w:val="24"/>
          <w:szCs w:val="24"/>
          <w:lang w:eastAsia="en-ZA"/>
        </w:rPr>
        <w:t xml:space="preserve"> </w:t>
      </w:r>
      <w:r w:rsidR="007C1523" w:rsidRPr="00A051C4">
        <w:rPr>
          <w:rFonts w:ascii="Arial" w:eastAsiaTheme="minorEastAsia" w:hAnsi="Arial" w:cs="Arial"/>
          <w:sz w:val="24"/>
          <w:szCs w:val="24"/>
          <w:lang w:eastAsia="en-ZA"/>
        </w:rPr>
        <w:t>there</w:t>
      </w:r>
      <w:r w:rsidR="007C1523" w:rsidRPr="00A051C4">
        <w:rPr>
          <w:rFonts w:ascii="Arial" w:eastAsiaTheme="minorEastAsia" w:hAnsi="Arial" w:cs="Arial"/>
          <w:spacing w:val="-5"/>
          <w:sz w:val="24"/>
          <w:szCs w:val="24"/>
          <w:lang w:eastAsia="en-ZA"/>
        </w:rPr>
        <w:t xml:space="preserve"> </w:t>
      </w:r>
      <w:r w:rsidR="007C1523" w:rsidRPr="00A051C4">
        <w:rPr>
          <w:rFonts w:ascii="Arial" w:eastAsiaTheme="minorEastAsia" w:hAnsi="Arial" w:cs="Arial"/>
          <w:sz w:val="24"/>
          <w:szCs w:val="24"/>
          <w:lang w:eastAsia="en-ZA"/>
        </w:rPr>
        <w:t>is</w:t>
      </w:r>
      <w:r w:rsidR="007C1523" w:rsidRPr="00A051C4">
        <w:rPr>
          <w:rFonts w:ascii="Arial" w:eastAsiaTheme="minorEastAsia" w:hAnsi="Arial" w:cs="Arial"/>
          <w:spacing w:val="-6"/>
          <w:sz w:val="24"/>
          <w:szCs w:val="24"/>
          <w:lang w:eastAsia="en-ZA"/>
        </w:rPr>
        <w:t xml:space="preserve"> </w:t>
      </w:r>
      <w:r w:rsidR="007C1523" w:rsidRPr="00A051C4">
        <w:rPr>
          <w:rFonts w:ascii="Arial" w:eastAsiaTheme="minorEastAsia" w:hAnsi="Arial" w:cs="Arial"/>
          <w:sz w:val="24"/>
          <w:szCs w:val="24"/>
          <w:lang w:eastAsia="en-ZA"/>
        </w:rPr>
        <w:t>an</w:t>
      </w:r>
      <w:r w:rsidR="007C1523" w:rsidRPr="00A051C4">
        <w:rPr>
          <w:rFonts w:ascii="Arial" w:eastAsiaTheme="minorEastAsia" w:hAnsi="Arial" w:cs="Arial"/>
          <w:spacing w:val="-8"/>
          <w:sz w:val="24"/>
          <w:szCs w:val="24"/>
          <w:lang w:eastAsia="en-ZA"/>
        </w:rPr>
        <w:t xml:space="preserve"> </w:t>
      </w:r>
      <w:r w:rsidR="007C1523" w:rsidRPr="00A051C4">
        <w:rPr>
          <w:rFonts w:ascii="Arial" w:eastAsiaTheme="minorEastAsia" w:hAnsi="Arial" w:cs="Arial"/>
          <w:sz w:val="24"/>
          <w:szCs w:val="24"/>
          <w:lang w:eastAsia="en-ZA"/>
        </w:rPr>
        <w:t>association</w:t>
      </w:r>
      <w:r w:rsidR="007C1523" w:rsidRPr="00A051C4">
        <w:rPr>
          <w:rFonts w:ascii="Arial" w:eastAsiaTheme="minorEastAsia" w:hAnsi="Arial" w:cs="Arial"/>
          <w:spacing w:val="-5"/>
          <w:sz w:val="24"/>
          <w:szCs w:val="24"/>
          <w:lang w:eastAsia="en-ZA"/>
        </w:rPr>
        <w:t xml:space="preserve"> </w:t>
      </w:r>
      <w:r w:rsidR="007C1523" w:rsidRPr="00A051C4">
        <w:rPr>
          <w:rFonts w:ascii="Arial" w:eastAsiaTheme="minorEastAsia" w:hAnsi="Arial" w:cs="Arial"/>
          <w:sz w:val="24"/>
          <w:szCs w:val="24"/>
          <w:lang w:eastAsia="en-ZA"/>
        </w:rPr>
        <w:t>between</w:t>
      </w:r>
      <w:r w:rsidR="007C1523" w:rsidRPr="00A051C4">
        <w:rPr>
          <w:rFonts w:ascii="Arial" w:eastAsiaTheme="minorEastAsia" w:hAnsi="Arial" w:cs="Arial"/>
          <w:spacing w:val="-5"/>
          <w:sz w:val="24"/>
          <w:szCs w:val="24"/>
          <w:lang w:eastAsia="en-ZA"/>
        </w:rPr>
        <w:t xml:space="preserve"> </w:t>
      </w:r>
      <w:r w:rsidR="007C1523" w:rsidRPr="00A051C4">
        <w:rPr>
          <w:rFonts w:ascii="Arial" w:eastAsiaTheme="minorEastAsia" w:hAnsi="Arial" w:cs="Arial"/>
          <w:sz w:val="24"/>
          <w:szCs w:val="24"/>
          <w:lang w:eastAsia="en-ZA"/>
        </w:rPr>
        <w:t>such</w:t>
      </w:r>
      <w:r w:rsidR="007C1523" w:rsidRPr="00A051C4">
        <w:rPr>
          <w:rFonts w:ascii="Arial" w:eastAsiaTheme="minorEastAsia" w:hAnsi="Arial" w:cs="Arial"/>
          <w:spacing w:val="-11"/>
          <w:sz w:val="24"/>
          <w:szCs w:val="24"/>
          <w:lang w:eastAsia="en-ZA"/>
        </w:rPr>
        <w:t xml:space="preserve"> </w:t>
      </w:r>
      <w:r w:rsidR="007C1523" w:rsidRPr="00A051C4">
        <w:rPr>
          <w:rFonts w:ascii="Arial" w:eastAsiaTheme="minorEastAsia" w:hAnsi="Arial" w:cs="Arial"/>
          <w:sz w:val="24"/>
          <w:szCs w:val="24"/>
          <w:lang w:eastAsia="en-ZA"/>
        </w:rPr>
        <w:t>goods</w:t>
      </w:r>
      <w:r w:rsidR="007C1523" w:rsidRPr="00A051C4">
        <w:rPr>
          <w:rFonts w:ascii="Arial" w:eastAsiaTheme="minorEastAsia" w:hAnsi="Arial" w:cs="Arial"/>
          <w:spacing w:val="-5"/>
          <w:sz w:val="24"/>
          <w:szCs w:val="24"/>
          <w:lang w:eastAsia="en-ZA"/>
        </w:rPr>
        <w:t xml:space="preserve"> </w:t>
      </w:r>
      <w:r w:rsidR="007C1523" w:rsidRPr="00A051C4">
        <w:rPr>
          <w:rFonts w:ascii="Arial" w:eastAsiaTheme="minorEastAsia" w:hAnsi="Arial" w:cs="Arial"/>
          <w:sz w:val="24"/>
          <w:szCs w:val="24"/>
          <w:lang w:eastAsia="en-ZA"/>
        </w:rPr>
        <w:t>or</w:t>
      </w:r>
      <w:r w:rsidR="007C1523" w:rsidRPr="00A051C4">
        <w:rPr>
          <w:rFonts w:ascii="Arial" w:eastAsiaTheme="minorEastAsia" w:hAnsi="Arial" w:cs="Arial"/>
          <w:spacing w:val="-7"/>
          <w:sz w:val="24"/>
          <w:szCs w:val="24"/>
          <w:lang w:eastAsia="en-ZA"/>
        </w:rPr>
        <w:t xml:space="preserve"> </w:t>
      </w:r>
      <w:r w:rsidR="007C1523" w:rsidRPr="00A051C4">
        <w:rPr>
          <w:rFonts w:ascii="Arial" w:eastAsiaTheme="minorEastAsia" w:hAnsi="Arial" w:cs="Arial"/>
          <w:sz w:val="24"/>
          <w:szCs w:val="24"/>
          <w:lang w:eastAsia="en-ZA"/>
        </w:rPr>
        <w:t>services</w:t>
      </w:r>
      <w:r w:rsidR="007C1523" w:rsidRPr="00A051C4">
        <w:rPr>
          <w:rFonts w:ascii="Arial" w:eastAsiaTheme="minorEastAsia" w:hAnsi="Arial" w:cs="Arial"/>
          <w:spacing w:val="-5"/>
          <w:sz w:val="24"/>
          <w:szCs w:val="24"/>
          <w:lang w:eastAsia="en-ZA"/>
        </w:rPr>
        <w:t xml:space="preserve"> </w:t>
      </w:r>
      <w:r w:rsidR="007C1523" w:rsidRPr="00A051C4">
        <w:rPr>
          <w:rFonts w:ascii="Arial" w:eastAsiaTheme="minorEastAsia" w:hAnsi="Arial" w:cs="Arial"/>
          <w:sz w:val="24"/>
          <w:szCs w:val="24"/>
          <w:lang w:eastAsia="en-ZA"/>
        </w:rPr>
        <w:t>and the business conducted by the other.</w:t>
      </w:r>
      <w:r w:rsidR="007C1523" w:rsidRPr="00A051C4">
        <w:rPr>
          <w:rFonts w:ascii="Arial" w:eastAsiaTheme="minorEastAsia" w:hAnsi="Arial" w:cs="Arial"/>
          <w:sz w:val="24"/>
          <w:szCs w:val="24"/>
          <w:vertAlign w:val="superscript"/>
          <w:lang w:eastAsia="en-ZA"/>
        </w:rPr>
        <w:footnoteReference w:id="36"/>
      </w:r>
      <w:r w:rsidR="007C1523" w:rsidRPr="00A051C4">
        <w:rPr>
          <w:rFonts w:ascii="Arial" w:eastAsiaTheme="minorEastAsia" w:hAnsi="Arial" w:cs="Arial"/>
          <w:sz w:val="24"/>
          <w:szCs w:val="24"/>
          <w:lang w:eastAsia="en-ZA"/>
        </w:rPr>
        <w:t xml:space="preserve"> There is a caveat. </w:t>
      </w:r>
      <w:r w:rsidR="007C1523" w:rsidRPr="00A051C4">
        <w:rPr>
          <w:rFonts w:ascii="Arial" w:eastAsia="Times New Roman" w:hAnsi="Arial" w:cs="Arial"/>
          <w:sz w:val="24"/>
          <w:szCs w:val="24"/>
          <w:lang w:val="en-US" w:eastAsia="en-ZA"/>
        </w:rPr>
        <w:t>T</w:t>
      </w:r>
      <w:r w:rsidR="007C1523" w:rsidRPr="00A051C4">
        <w:rPr>
          <w:rFonts w:ascii="Arial" w:eastAsia="Times New Roman" w:hAnsi="Arial" w:cs="Arial"/>
          <w:sz w:val="24"/>
          <w:szCs w:val="24"/>
          <w:shd w:val="clear" w:color="auto" w:fill="FFFFFF"/>
          <w:lang w:val="en-US" w:eastAsia="en-ZA"/>
        </w:rPr>
        <w:t xml:space="preserve">he law against passing-off is not designed to grant monopolies in successful get-ups. A certain measure of copying is permissible, </w:t>
      </w:r>
      <w:r w:rsidR="007C1523" w:rsidRPr="00A051C4">
        <w:rPr>
          <w:rFonts w:ascii="Arial" w:eastAsia="Times New Roman" w:hAnsi="Arial" w:cs="Arial"/>
          <w:sz w:val="24"/>
          <w:szCs w:val="24"/>
          <w:lang w:val="en-US"/>
        </w:rPr>
        <w:t>provided that the imitator ‘makes it perfectly clear to the public that the articles which he is selling are not the other manufacturer’s, but his own articles, so that there is no probability of any ordinary purchaser being deceived.’</w:t>
      </w:r>
      <w:r w:rsidR="007C1523" w:rsidRPr="00A051C4">
        <w:rPr>
          <w:rFonts w:ascii="Arial" w:eastAsia="Times New Roman" w:hAnsi="Arial" w:cs="Arial"/>
          <w:sz w:val="24"/>
          <w:szCs w:val="24"/>
          <w:vertAlign w:val="superscript"/>
          <w:lang w:val="en-US"/>
        </w:rPr>
        <w:footnoteReference w:id="37"/>
      </w:r>
      <w:r w:rsidR="007C1523" w:rsidRPr="00A051C4">
        <w:rPr>
          <w:rFonts w:ascii="Arial" w:eastAsia="Times New Roman" w:hAnsi="Arial" w:cs="Arial"/>
          <w:sz w:val="24"/>
          <w:szCs w:val="24"/>
          <w:lang w:val="en-US"/>
        </w:rPr>
        <w:t xml:space="preserve"> </w:t>
      </w:r>
    </w:p>
    <w:p w14:paraId="3D04B133" w14:textId="77777777" w:rsidR="00296BD3" w:rsidRPr="00A051C4" w:rsidRDefault="00296BD3" w:rsidP="00E81E81">
      <w:pPr>
        <w:rPr>
          <w:rFonts w:ascii="Arial" w:hAnsi="Arial" w:cs="Arial"/>
          <w:sz w:val="24"/>
          <w:szCs w:val="24"/>
        </w:rPr>
      </w:pPr>
    </w:p>
    <w:p w14:paraId="07D02A13" w14:textId="7930B4C1" w:rsidR="00A95E9E" w:rsidRPr="00A051C4" w:rsidRDefault="006227FF" w:rsidP="006227FF">
      <w:pPr>
        <w:shd w:val="clear" w:color="auto" w:fill="FFFFFF"/>
        <w:spacing w:before="120" w:after="120" w:line="360" w:lineRule="auto"/>
        <w:contextualSpacing/>
        <w:jc w:val="both"/>
        <w:rPr>
          <w:rFonts w:ascii="Arial" w:hAnsi="Arial" w:cs="Arial"/>
          <w:sz w:val="24"/>
          <w:szCs w:val="24"/>
        </w:rPr>
      </w:pPr>
      <w:r w:rsidRPr="00A051C4">
        <w:rPr>
          <w:rFonts w:ascii="Arial" w:hAnsi="Arial" w:cs="Arial"/>
          <w:snapToGrid w:val="0"/>
          <w:color w:val="000000"/>
          <w:w w:val="0"/>
          <w:sz w:val="24"/>
          <w:szCs w:val="24"/>
        </w:rPr>
        <w:t>[37]</w:t>
      </w:r>
      <w:r w:rsidRPr="00A051C4">
        <w:rPr>
          <w:rFonts w:ascii="Arial" w:hAnsi="Arial" w:cs="Arial"/>
          <w:snapToGrid w:val="0"/>
          <w:color w:val="000000"/>
          <w:w w:val="0"/>
          <w:sz w:val="24"/>
          <w:szCs w:val="24"/>
        </w:rPr>
        <w:tab/>
      </w:r>
      <w:r w:rsidR="007C1523" w:rsidRPr="00A051C4">
        <w:rPr>
          <w:rFonts w:ascii="Arial" w:eastAsia="Times New Roman" w:hAnsi="Arial" w:cs="Arial"/>
          <w:sz w:val="24"/>
          <w:szCs w:val="24"/>
          <w:lang w:val="en-US"/>
        </w:rPr>
        <w:t xml:space="preserve">In passing off proceedings, </w:t>
      </w:r>
      <w:r w:rsidR="00296BD3" w:rsidRPr="00A051C4">
        <w:rPr>
          <w:rFonts w:ascii="Arial" w:eastAsia="Times New Roman" w:hAnsi="Arial" w:cs="Arial"/>
          <w:sz w:val="24"/>
          <w:szCs w:val="24"/>
          <w:lang w:val="en-US"/>
        </w:rPr>
        <w:t>t</w:t>
      </w:r>
      <w:r w:rsidR="007C1523" w:rsidRPr="00A051C4">
        <w:rPr>
          <w:rFonts w:ascii="Arial" w:eastAsia="Times New Roman" w:hAnsi="Arial" w:cs="Arial"/>
          <w:sz w:val="24"/>
          <w:szCs w:val="24"/>
          <w:lang w:val="en-US"/>
        </w:rPr>
        <w:t xml:space="preserve">he court must consider all extraneous factors in reaching a conclusion that confusion is likely. The entire get-up of the respective products </w:t>
      </w:r>
      <w:r w:rsidR="009C3EA3" w:rsidRPr="00A051C4">
        <w:rPr>
          <w:rFonts w:ascii="Arial" w:eastAsia="Times New Roman" w:hAnsi="Arial" w:cs="Arial"/>
          <w:sz w:val="24"/>
          <w:szCs w:val="24"/>
          <w:lang w:val="en-US"/>
        </w:rPr>
        <w:t xml:space="preserve">is </w:t>
      </w:r>
      <w:r w:rsidR="007C1523" w:rsidRPr="00A051C4">
        <w:rPr>
          <w:rFonts w:ascii="Arial" w:eastAsia="Times New Roman" w:hAnsi="Arial" w:cs="Arial"/>
          <w:sz w:val="24"/>
          <w:szCs w:val="24"/>
          <w:lang w:val="en-US"/>
        </w:rPr>
        <w:t xml:space="preserve">compared, including the shapes, the markings and the decorations on the products, as well as how the respective trade marks are applied to the products. </w:t>
      </w:r>
    </w:p>
    <w:p w14:paraId="57EAC23D" w14:textId="77777777" w:rsidR="00A95E9E" w:rsidRPr="00A051C4" w:rsidRDefault="00A95E9E" w:rsidP="00E81E81">
      <w:pPr>
        <w:pStyle w:val="ListParagraph"/>
        <w:rPr>
          <w:rFonts w:ascii="Arial" w:eastAsia="Times New Roman" w:hAnsi="Arial" w:cs="Arial"/>
          <w:sz w:val="24"/>
          <w:szCs w:val="24"/>
          <w:lang w:val="en-US"/>
        </w:rPr>
      </w:pPr>
    </w:p>
    <w:p w14:paraId="3506D9EF" w14:textId="406B8DEE" w:rsidR="00224DD8" w:rsidRPr="00A051C4" w:rsidRDefault="006227FF" w:rsidP="006227FF">
      <w:pPr>
        <w:shd w:val="clear" w:color="auto" w:fill="FFFFFF"/>
        <w:spacing w:before="120" w:after="240" w:line="360" w:lineRule="auto"/>
        <w:contextualSpacing/>
        <w:jc w:val="both"/>
        <w:rPr>
          <w:rFonts w:ascii="Arial" w:hAnsi="Arial" w:cs="Arial"/>
          <w:sz w:val="24"/>
          <w:szCs w:val="24"/>
        </w:rPr>
      </w:pPr>
      <w:r w:rsidRPr="00A051C4">
        <w:rPr>
          <w:rFonts w:ascii="Arial" w:hAnsi="Arial" w:cs="Arial"/>
          <w:snapToGrid w:val="0"/>
          <w:color w:val="000000"/>
          <w:w w:val="0"/>
          <w:sz w:val="24"/>
          <w:szCs w:val="24"/>
        </w:rPr>
        <w:t>[38]</w:t>
      </w:r>
      <w:r w:rsidRPr="00A051C4">
        <w:rPr>
          <w:rFonts w:ascii="Arial" w:hAnsi="Arial" w:cs="Arial"/>
          <w:snapToGrid w:val="0"/>
          <w:color w:val="000000"/>
          <w:w w:val="0"/>
          <w:sz w:val="24"/>
          <w:szCs w:val="24"/>
        </w:rPr>
        <w:tab/>
      </w:r>
      <w:r w:rsidR="00296BD3" w:rsidRPr="00A051C4">
        <w:rPr>
          <w:rFonts w:ascii="Arial" w:hAnsi="Arial" w:cs="Arial"/>
          <w:sz w:val="24"/>
          <w:szCs w:val="24"/>
        </w:rPr>
        <w:t>In the present case, t</w:t>
      </w:r>
      <w:r w:rsidR="00A95E9E" w:rsidRPr="00A051C4">
        <w:rPr>
          <w:rFonts w:ascii="Arial" w:hAnsi="Arial" w:cs="Arial"/>
          <w:sz w:val="24"/>
          <w:szCs w:val="24"/>
        </w:rPr>
        <w:t xml:space="preserve">he </w:t>
      </w:r>
      <w:r w:rsidR="00A67CE5" w:rsidRPr="00A051C4">
        <w:rPr>
          <w:rFonts w:ascii="Arial" w:hAnsi="Arial" w:cs="Arial"/>
          <w:sz w:val="24"/>
          <w:szCs w:val="24"/>
        </w:rPr>
        <w:t xml:space="preserve">shape </w:t>
      </w:r>
      <w:r w:rsidR="00A95E9E" w:rsidRPr="00A051C4">
        <w:rPr>
          <w:rFonts w:ascii="Arial" w:hAnsi="Arial" w:cs="Arial"/>
          <w:sz w:val="24"/>
          <w:szCs w:val="24"/>
        </w:rPr>
        <w:t xml:space="preserve">of the Eco bottle is </w:t>
      </w:r>
      <w:r w:rsidR="00A67CE5" w:rsidRPr="00A051C4">
        <w:rPr>
          <w:rFonts w:ascii="Arial" w:hAnsi="Arial" w:cs="Arial"/>
          <w:sz w:val="24"/>
          <w:szCs w:val="24"/>
        </w:rPr>
        <w:t xml:space="preserve">that of </w:t>
      </w:r>
      <w:r w:rsidR="00A95E9E" w:rsidRPr="00A051C4">
        <w:rPr>
          <w:rFonts w:ascii="Arial" w:hAnsi="Arial" w:cs="Arial"/>
          <w:sz w:val="24"/>
          <w:szCs w:val="24"/>
        </w:rPr>
        <w:t>an hourglass</w:t>
      </w:r>
      <w:r w:rsidR="00A67CE5" w:rsidRPr="00A051C4">
        <w:rPr>
          <w:rFonts w:ascii="Arial" w:hAnsi="Arial" w:cs="Arial"/>
          <w:sz w:val="24"/>
          <w:szCs w:val="24"/>
        </w:rPr>
        <w:t xml:space="preserve">. The bottle </w:t>
      </w:r>
      <w:r w:rsidR="00A95E9E" w:rsidRPr="00A051C4">
        <w:rPr>
          <w:rFonts w:ascii="Arial" w:hAnsi="Arial" w:cs="Arial"/>
          <w:sz w:val="24"/>
          <w:szCs w:val="24"/>
        </w:rPr>
        <w:t xml:space="preserve">is manufactured from a transparent, or at least translucent, plastic material, and is available in a range of colours. The well-known ‘Tupperware’ trade mark is embossed in an almost inconspicuous manner on the upper side of the bottle, and the mark ‘Eco bottle’ </w:t>
      </w:r>
      <w:r w:rsidR="00B71844" w:rsidRPr="00A051C4">
        <w:rPr>
          <w:rFonts w:ascii="Arial" w:hAnsi="Arial" w:cs="Arial"/>
          <w:sz w:val="24"/>
          <w:szCs w:val="24"/>
        </w:rPr>
        <w:t xml:space="preserve">is </w:t>
      </w:r>
      <w:r w:rsidR="00A95E9E" w:rsidRPr="00A051C4">
        <w:rPr>
          <w:rFonts w:ascii="Arial" w:hAnsi="Arial" w:cs="Arial"/>
          <w:sz w:val="24"/>
          <w:szCs w:val="24"/>
        </w:rPr>
        <w:t>embossed on the lid. It includes a flip-top or screw-top, and may have a handle. The cap is made from solid plastic, which may or may not be the same colour as the bottle.</w:t>
      </w:r>
      <w:r w:rsidR="00A67CE5" w:rsidRPr="00A051C4">
        <w:rPr>
          <w:rFonts w:ascii="Arial" w:hAnsi="Arial" w:cs="Arial"/>
          <w:sz w:val="24"/>
          <w:szCs w:val="24"/>
        </w:rPr>
        <w:t xml:space="preserve"> Bohle’s bottle is also made from transparent or translucent plastics material with an hourglass shape, with a similar colour range as the Eco bottle. The </w:t>
      </w:r>
      <w:r w:rsidR="00530EB1" w:rsidRPr="00A051C4">
        <w:rPr>
          <w:rFonts w:ascii="Arial" w:hAnsi="Arial" w:cs="Arial"/>
          <w:sz w:val="24"/>
          <w:szCs w:val="24"/>
        </w:rPr>
        <w:t xml:space="preserve">words </w:t>
      </w:r>
      <w:r w:rsidR="00A67CE5" w:rsidRPr="00A051C4">
        <w:rPr>
          <w:rFonts w:ascii="Arial" w:hAnsi="Arial" w:cs="Arial"/>
          <w:sz w:val="24"/>
          <w:szCs w:val="24"/>
        </w:rPr>
        <w:t xml:space="preserve">‘Botle Buhle’ </w:t>
      </w:r>
      <w:r w:rsidR="00530EB1" w:rsidRPr="00A051C4">
        <w:rPr>
          <w:rFonts w:ascii="Arial" w:hAnsi="Arial" w:cs="Arial"/>
          <w:sz w:val="24"/>
          <w:szCs w:val="24"/>
        </w:rPr>
        <w:t>are</w:t>
      </w:r>
      <w:r w:rsidR="00A67CE5" w:rsidRPr="00A051C4">
        <w:rPr>
          <w:rFonts w:ascii="Arial" w:hAnsi="Arial" w:cs="Arial"/>
          <w:sz w:val="24"/>
          <w:szCs w:val="24"/>
        </w:rPr>
        <w:t xml:space="preserve"> embossed </w:t>
      </w:r>
      <w:r w:rsidR="00530EB1" w:rsidRPr="00A051C4">
        <w:rPr>
          <w:rFonts w:ascii="Arial" w:hAnsi="Arial" w:cs="Arial"/>
          <w:sz w:val="24"/>
          <w:szCs w:val="24"/>
        </w:rPr>
        <w:t>on</w:t>
      </w:r>
      <w:r w:rsidR="00A67CE5" w:rsidRPr="00A051C4">
        <w:rPr>
          <w:rFonts w:ascii="Arial" w:hAnsi="Arial" w:cs="Arial"/>
          <w:sz w:val="24"/>
          <w:szCs w:val="24"/>
        </w:rPr>
        <w:t xml:space="preserve"> the side of the bottle</w:t>
      </w:r>
      <w:r w:rsidR="00530EB1" w:rsidRPr="00A051C4">
        <w:rPr>
          <w:rFonts w:ascii="Arial" w:hAnsi="Arial" w:cs="Arial"/>
          <w:sz w:val="24"/>
          <w:szCs w:val="24"/>
        </w:rPr>
        <w:t xml:space="preserve"> and on the cap</w:t>
      </w:r>
      <w:r w:rsidR="00A67CE5" w:rsidRPr="00A051C4">
        <w:rPr>
          <w:rFonts w:ascii="Arial" w:hAnsi="Arial" w:cs="Arial"/>
          <w:sz w:val="24"/>
          <w:szCs w:val="24"/>
        </w:rPr>
        <w:t xml:space="preserve"> in the same manner as on the Eco bottle. </w:t>
      </w:r>
      <w:r w:rsidR="00296BD3" w:rsidRPr="00A051C4">
        <w:rPr>
          <w:rFonts w:ascii="Arial" w:hAnsi="Arial" w:cs="Arial"/>
          <w:sz w:val="24"/>
          <w:szCs w:val="24"/>
        </w:rPr>
        <w:t xml:space="preserve">The resemblance between the two bottles is evident. </w:t>
      </w:r>
      <w:r w:rsidR="00A95E9E" w:rsidRPr="00A051C4">
        <w:rPr>
          <w:rFonts w:ascii="Arial" w:eastAsia="Times New Roman" w:hAnsi="Arial" w:cs="Arial"/>
          <w:sz w:val="24"/>
          <w:szCs w:val="24"/>
          <w:lang w:val="en-US"/>
        </w:rPr>
        <w:t>The respective parties’ water bottles look like this:</w:t>
      </w:r>
    </w:p>
    <w:p w14:paraId="07EF2C74" w14:textId="77777777" w:rsidR="00224DD8" w:rsidRPr="00224DD8" w:rsidRDefault="00224DD8" w:rsidP="00224DD8">
      <w:pPr>
        <w:shd w:val="clear" w:color="auto" w:fill="FFFFFF"/>
        <w:spacing w:before="120" w:after="240" w:line="360" w:lineRule="auto"/>
        <w:contextualSpacing/>
        <w:jc w:val="both"/>
        <w:rPr>
          <w:rFonts w:ascii="Arial" w:hAnsi="Arial" w:cs="Arial"/>
          <w:sz w:val="24"/>
          <w:szCs w:val="24"/>
        </w:rPr>
      </w:pPr>
    </w:p>
    <w:p w14:paraId="32D2F45D" w14:textId="2F0413BB" w:rsidR="00530EB1" w:rsidRDefault="00530EB1" w:rsidP="005C3BC2">
      <w:pPr>
        <w:jc w:val="center"/>
        <w:rPr>
          <w:rFonts w:ascii="Arial" w:hAnsi="Arial" w:cs="Arial"/>
          <w:b/>
          <w:bCs/>
          <w:sz w:val="24"/>
          <w:szCs w:val="24"/>
        </w:rPr>
      </w:pPr>
      <w:r w:rsidRPr="00686C9D">
        <w:rPr>
          <w:rFonts w:ascii="Arial" w:hAnsi="Arial" w:cs="Arial"/>
          <w:b/>
          <w:bCs/>
          <w:sz w:val="24"/>
          <w:szCs w:val="24"/>
        </w:rPr>
        <w:t>Tupperware Eco bottles</w:t>
      </w:r>
    </w:p>
    <w:p w14:paraId="4A75B670" w14:textId="77777777" w:rsidR="005C3BC2" w:rsidRPr="00686C9D" w:rsidRDefault="005C3BC2" w:rsidP="005C3BC2">
      <w:pPr>
        <w:jc w:val="center"/>
        <w:rPr>
          <w:rFonts w:ascii="Arial" w:hAnsi="Arial" w:cs="Arial"/>
          <w:b/>
          <w:bCs/>
          <w:sz w:val="24"/>
          <w:szCs w:val="24"/>
        </w:rPr>
      </w:pPr>
    </w:p>
    <w:p w14:paraId="61F5630F" w14:textId="77777777" w:rsidR="00530EB1" w:rsidRDefault="00530EB1" w:rsidP="00530EB1">
      <w:pPr>
        <w:jc w:val="center"/>
        <w:rPr>
          <w:rFonts w:ascii="Arial" w:hAnsi="Arial" w:cs="Arial"/>
          <w:b/>
          <w:bCs/>
          <w:noProof/>
          <w:sz w:val="24"/>
          <w:szCs w:val="24"/>
        </w:rPr>
      </w:pPr>
      <w:r>
        <w:rPr>
          <w:noProof/>
          <w:lang w:eastAsia="en-ZA"/>
        </w:rPr>
        <w:drawing>
          <wp:anchor distT="0" distB="0" distL="114300" distR="114300" simplePos="0" relativeHeight="251661312" behindDoc="0" locked="0" layoutInCell="1" allowOverlap="1" wp14:anchorId="07753324" wp14:editId="36378F4C">
            <wp:simplePos x="0" y="0"/>
            <wp:positionH relativeFrom="column">
              <wp:posOffset>1266825</wp:posOffset>
            </wp:positionH>
            <wp:positionV relativeFrom="paragraph">
              <wp:posOffset>28575</wp:posOffset>
            </wp:positionV>
            <wp:extent cx="3343910" cy="230759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343910" cy="2307590"/>
                    </a:xfrm>
                    <a:prstGeom prst="rect">
                      <a:avLst/>
                    </a:prstGeom>
                  </pic:spPr>
                </pic:pic>
              </a:graphicData>
            </a:graphic>
          </wp:anchor>
        </w:drawing>
      </w:r>
      <w:r>
        <w:rPr>
          <w:rFonts w:ascii="Times New Roman" w:hAnsi="Times New Roman" w:cs="Times New Roman"/>
          <w:sz w:val="40"/>
          <w:szCs w:val="40"/>
        </w:rPr>
        <w:br w:type="textWrapping" w:clear="all"/>
      </w:r>
    </w:p>
    <w:p w14:paraId="383105BB" w14:textId="77777777" w:rsidR="005C3BC2" w:rsidRDefault="005C3BC2" w:rsidP="00530EB1">
      <w:pPr>
        <w:jc w:val="center"/>
        <w:rPr>
          <w:rFonts w:ascii="Arial" w:hAnsi="Arial" w:cs="Arial"/>
          <w:b/>
          <w:bCs/>
          <w:noProof/>
          <w:sz w:val="24"/>
          <w:szCs w:val="24"/>
        </w:rPr>
      </w:pPr>
    </w:p>
    <w:p w14:paraId="1DE61709" w14:textId="77777777" w:rsidR="00530EB1" w:rsidRDefault="00530EB1" w:rsidP="00530EB1">
      <w:pPr>
        <w:jc w:val="center"/>
        <w:rPr>
          <w:rFonts w:ascii="Arial" w:hAnsi="Arial" w:cs="Arial"/>
          <w:b/>
          <w:bCs/>
          <w:sz w:val="24"/>
          <w:szCs w:val="24"/>
        </w:rPr>
      </w:pPr>
      <w:r w:rsidRPr="00686C9D">
        <w:rPr>
          <w:rFonts w:ascii="Arial" w:hAnsi="Arial" w:cs="Arial"/>
          <w:b/>
          <w:bCs/>
          <w:noProof/>
          <w:sz w:val="24"/>
          <w:szCs w:val="24"/>
        </w:rPr>
        <w:t>Botle Buhle bottles</w:t>
      </w:r>
      <w:r w:rsidRPr="00686C9D">
        <w:rPr>
          <w:rFonts w:ascii="Arial" w:hAnsi="Arial" w:cs="Arial"/>
          <w:b/>
          <w:bCs/>
          <w:sz w:val="24"/>
          <w:szCs w:val="24"/>
        </w:rPr>
        <w:t xml:space="preserve"> </w:t>
      </w:r>
    </w:p>
    <w:p w14:paraId="20E4C7CC" w14:textId="77777777" w:rsidR="005C3BC2" w:rsidRPr="005C3BC2" w:rsidRDefault="005C3BC2" w:rsidP="009D7449">
      <w:pPr>
        <w:spacing w:after="0" w:line="360" w:lineRule="auto"/>
        <w:jc w:val="center"/>
        <w:rPr>
          <w:rFonts w:ascii="Times New Roman" w:hAnsi="Times New Roman" w:cs="Times New Roman"/>
          <w:b/>
          <w:bCs/>
          <w:noProof/>
          <w:sz w:val="28"/>
          <w:szCs w:val="28"/>
        </w:rPr>
      </w:pPr>
    </w:p>
    <w:p w14:paraId="1F0E6CEB" w14:textId="5A197D7F" w:rsidR="00530EB1" w:rsidRPr="00686C9D" w:rsidRDefault="00530EB1" w:rsidP="004F4497">
      <w:pPr>
        <w:jc w:val="center"/>
        <w:rPr>
          <w:rFonts w:ascii="Times New Roman" w:hAnsi="Times New Roman" w:cs="Times New Roman"/>
          <w:noProof/>
          <w:sz w:val="40"/>
          <w:szCs w:val="40"/>
        </w:rPr>
      </w:pPr>
      <w:r>
        <w:rPr>
          <w:noProof/>
          <w:lang w:eastAsia="en-ZA"/>
        </w:rPr>
        <w:drawing>
          <wp:inline distT="0" distB="0" distL="0" distR="0" wp14:anchorId="0C811853" wp14:editId="2B7E7CB6">
            <wp:extent cx="3219450" cy="28111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25141" cy="2816114"/>
                    </a:xfrm>
                    <a:prstGeom prst="rect">
                      <a:avLst/>
                    </a:prstGeom>
                  </pic:spPr>
                </pic:pic>
              </a:graphicData>
            </a:graphic>
          </wp:inline>
        </w:drawing>
      </w:r>
    </w:p>
    <w:p w14:paraId="3B6C28C2" w14:textId="77777777" w:rsidR="0059386F" w:rsidRPr="004860B6" w:rsidRDefault="0059386F" w:rsidP="0059386F">
      <w:pPr>
        <w:shd w:val="clear" w:color="auto" w:fill="FFFFFF"/>
        <w:spacing w:before="120" w:after="120" w:line="360" w:lineRule="auto"/>
        <w:contextualSpacing/>
        <w:jc w:val="both"/>
        <w:rPr>
          <w:rFonts w:ascii="Arial" w:hAnsi="Arial" w:cs="Arial"/>
          <w:sz w:val="24"/>
          <w:szCs w:val="24"/>
        </w:rPr>
      </w:pPr>
    </w:p>
    <w:p w14:paraId="0978A738" w14:textId="6F558F68" w:rsidR="005761FA" w:rsidRPr="00535741" w:rsidRDefault="006227FF" w:rsidP="006227FF">
      <w:pPr>
        <w:shd w:val="clear" w:color="auto" w:fill="FFFFFF"/>
        <w:spacing w:before="120" w:after="120" w:line="360" w:lineRule="auto"/>
        <w:contextualSpacing/>
        <w:jc w:val="both"/>
        <w:rPr>
          <w:rFonts w:ascii="Arial" w:hAnsi="Arial" w:cs="Arial"/>
          <w:sz w:val="24"/>
          <w:szCs w:val="24"/>
        </w:rPr>
      </w:pPr>
      <w:r w:rsidRPr="00535741">
        <w:rPr>
          <w:rFonts w:ascii="Arial" w:hAnsi="Arial" w:cs="Arial"/>
          <w:snapToGrid w:val="0"/>
          <w:color w:val="000000"/>
          <w:w w:val="0"/>
          <w:sz w:val="24"/>
          <w:szCs w:val="24"/>
        </w:rPr>
        <w:t>[39]</w:t>
      </w:r>
      <w:r w:rsidRPr="00535741">
        <w:rPr>
          <w:rFonts w:ascii="Arial" w:hAnsi="Arial" w:cs="Arial"/>
          <w:snapToGrid w:val="0"/>
          <w:color w:val="000000"/>
          <w:w w:val="0"/>
          <w:sz w:val="24"/>
          <w:szCs w:val="24"/>
        </w:rPr>
        <w:tab/>
      </w:r>
      <w:r w:rsidR="007C1523" w:rsidRPr="005761FA">
        <w:rPr>
          <w:rFonts w:ascii="Arial" w:hAnsi="Arial" w:cs="Arial"/>
          <w:sz w:val="24"/>
          <w:szCs w:val="24"/>
          <w:shd w:val="clear" w:color="auto" w:fill="FFFFFF"/>
        </w:rPr>
        <w:t>There are three requirements for a successful passing</w:t>
      </w:r>
      <w:r w:rsidR="007C1523" w:rsidRPr="005761FA">
        <w:rPr>
          <w:rFonts w:ascii="Arial" w:hAnsi="Arial" w:cs="Arial"/>
          <w:sz w:val="24"/>
          <w:szCs w:val="24"/>
          <w:shd w:val="clear" w:color="auto" w:fill="FFFFFF"/>
        </w:rPr>
        <w:softHyphen/>
        <w:t xml:space="preserve"> off action. The first is</w:t>
      </w:r>
      <w:r w:rsidR="007C1523" w:rsidRPr="005761FA">
        <w:rPr>
          <w:rFonts w:ascii="Arial" w:hAnsi="Arial" w:cs="Arial"/>
          <w:sz w:val="24"/>
          <w:szCs w:val="24"/>
        </w:rPr>
        <w:t xml:space="preserve"> </w:t>
      </w:r>
      <w:r w:rsidR="007C1523" w:rsidRPr="005761FA">
        <w:rPr>
          <w:rFonts w:ascii="Arial" w:hAnsi="Arial" w:cs="Arial"/>
          <w:sz w:val="24"/>
          <w:szCs w:val="24"/>
          <w:shd w:val="clear" w:color="auto" w:fill="FFFFFF"/>
        </w:rPr>
        <w:t>proof of the relevant reputation.</w:t>
      </w:r>
      <w:r w:rsidR="007C1523" w:rsidRPr="007C1523">
        <w:rPr>
          <w:rFonts w:ascii="Arial" w:hAnsi="Arial" w:cs="Arial"/>
          <w:sz w:val="24"/>
          <w:szCs w:val="24"/>
          <w:shd w:val="clear" w:color="auto" w:fill="FFFFFF"/>
          <w:vertAlign w:val="superscript"/>
        </w:rPr>
        <w:footnoteReference w:id="38"/>
      </w:r>
      <w:r w:rsidR="007C1523" w:rsidRPr="005761FA">
        <w:rPr>
          <w:rFonts w:ascii="Arial" w:hAnsi="Arial" w:cs="Arial"/>
          <w:sz w:val="24"/>
          <w:szCs w:val="24"/>
          <w:shd w:val="clear" w:color="auto" w:fill="FFFFFF"/>
        </w:rPr>
        <w:t xml:space="preserve"> The second is </w:t>
      </w:r>
      <w:r w:rsidR="007C1523" w:rsidRPr="005761FA">
        <w:rPr>
          <w:rFonts w:ascii="Arial" w:hAnsi="Arial" w:cs="Arial"/>
          <w:sz w:val="24"/>
          <w:szCs w:val="24"/>
        </w:rPr>
        <w:t>that there is a</w:t>
      </w:r>
      <w:r w:rsidR="007C1523" w:rsidRPr="005761FA">
        <w:rPr>
          <w:rFonts w:ascii="Arial" w:hAnsi="Arial" w:cs="Arial"/>
          <w:spacing w:val="-13"/>
          <w:sz w:val="24"/>
          <w:szCs w:val="24"/>
        </w:rPr>
        <w:t xml:space="preserve"> </w:t>
      </w:r>
      <w:r w:rsidR="007C1523" w:rsidRPr="005761FA">
        <w:rPr>
          <w:rFonts w:ascii="Arial" w:hAnsi="Arial" w:cs="Arial"/>
          <w:sz w:val="24"/>
          <w:szCs w:val="24"/>
        </w:rPr>
        <w:t>reasonable</w:t>
      </w:r>
      <w:r w:rsidR="007C1523" w:rsidRPr="005761FA">
        <w:rPr>
          <w:rFonts w:ascii="Arial" w:hAnsi="Arial" w:cs="Arial"/>
          <w:spacing w:val="-13"/>
          <w:sz w:val="24"/>
          <w:szCs w:val="24"/>
        </w:rPr>
        <w:t xml:space="preserve"> </w:t>
      </w:r>
      <w:r w:rsidR="007C1523" w:rsidRPr="005761FA">
        <w:rPr>
          <w:rFonts w:ascii="Arial" w:hAnsi="Arial" w:cs="Arial"/>
          <w:sz w:val="24"/>
          <w:szCs w:val="24"/>
        </w:rPr>
        <w:t>likelihood</w:t>
      </w:r>
      <w:r w:rsidR="007C1523" w:rsidRPr="005761FA">
        <w:rPr>
          <w:rFonts w:ascii="Arial" w:hAnsi="Arial" w:cs="Arial"/>
          <w:spacing w:val="-13"/>
          <w:sz w:val="24"/>
          <w:szCs w:val="24"/>
        </w:rPr>
        <w:t xml:space="preserve"> </w:t>
      </w:r>
      <w:r w:rsidR="007C1523" w:rsidRPr="005761FA">
        <w:rPr>
          <w:rFonts w:ascii="Arial" w:hAnsi="Arial" w:cs="Arial"/>
          <w:sz w:val="24"/>
          <w:szCs w:val="24"/>
        </w:rPr>
        <w:lastRenderedPageBreak/>
        <w:t>that</w:t>
      </w:r>
      <w:r w:rsidR="007C1523" w:rsidRPr="005761FA">
        <w:rPr>
          <w:rFonts w:ascii="Arial" w:hAnsi="Arial" w:cs="Arial"/>
          <w:spacing w:val="-11"/>
          <w:sz w:val="24"/>
          <w:szCs w:val="24"/>
        </w:rPr>
        <w:t xml:space="preserve"> </w:t>
      </w:r>
      <w:r w:rsidR="007C1523" w:rsidRPr="005761FA">
        <w:rPr>
          <w:rFonts w:ascii="Arial" w:hAnsi="Arial" w:cs="Arial"/>
          <w:sz w:val="24"/>
          <w:szCs w:val="24"/>
        </w:rPr>
        <w:t>members</w:t>
      </w:r>
      <w:r w:rsidR="007C1523" w:rsidRPr="005761FA">
        <w:rPr>
          <w:rFonts w:ascii="Arial" w:hAnsi="Arial" w:cs="Arial"/>
          <w:spacing w:val="-12"/>
          <w:sz w:val="24"/>
          <w:szCs w:val="24"/>
        </w:rPr>
        <w:t xml:space="preserve"> </w:t>
      </w:r>
      <w:r w:rsidR="007C1523" w:rsidRPr="005761FA">
        <w:rPr>
          <w:rFonts w:ascii="Arial" w:hAnsi="Arial" w:cs="Arial"/>
          <w:sz w:val="24"/>
          <w:szCs w:val="24"/>
        </w:rPr>
        <w:t>of</w:t>
      </w:r>
      <w:r w:rsidR="007C1523" w:rsidRPr="005761FA">
        <w:rPr>
          <w:rFonts w:ascii="Arial" w:hAnsi="Arial" w:cs="Arial"/>
          <w:spacing w:val="-11"/>
          <w:sz w:val="24"/>
          <w:szCs w:val="24"/>
        </w:rPr>
        <w:t xml:space="preserve"> </w:t>
      </w:r>
      <w:r w:rsidR="007C1523" w:rsidRPr="005761FA">
        <w:rPr>
          <w:rFonts w:ascii="Arial" w:hAnsi="Arial" w:cs="Arial"/>
          <w:sz w:val="24"/>
          <w:szCs w:val="24"/>
        </w:rPr>
        <w:t>the</w:t>
      </w:r>
      <w:r w:rsidR="007C1523" w:rsidRPr="005761FA">
        <w:rPr>
          <w:rFonts w:ascii="Arial" w:hAnsi="Arial" w:cs="Arial"/>
          <w:spacing w:val="-13"/>
          <w:sz w:val="24"/>
          <w:szCs w:val="24"/>
        </w:rPr>
        <w:t xml:space="preserve"> </w:t>
      </w:r>
      <w:r w:rsidR="007C1523" w:rsidRPr="005761FA">
        <w:rPr>
          <w:rFonts w:ascii="Arial" w:hAnsi="Arial" w:cs="Arial"/>
          <w:sz w:val="24"/>
          <w:szCs w:val="24"/>
        </w:rPr>
        <w:t>public</w:t>
      </w:r>
      <w:r w:rsidR="007C1523" w:rsidRPr="005761FA">
        <w:rPr>
          <w:rFonts w:ascii="Arial" w:hAnsi="Arial" w:cs="Arial"/>
          <w:spacing w:val="-12"/>
          <w:sz w:val="24"/>
          <w:szCs w:val="24"/>
        </w:rPr>
        <w:t xml:space="preserve"> </w:t>
      </w:r>
      <w:r w:rsidR="007C1523" w:rsidRPr="005761FA">
        <w:rPr>
          <w:rFonts w:ascii="Arial" w:hAnsi="Arial" w:cs="Arial"/>
          <w:sz w:val="24"/>
          <w:szCs w:val="24"/>
        </w:rPr>
        <w:t>may</w:t>
      </w:r>
      <w:r w:rsidR="007C1523" w:rsidRPr="005761FA">
        <w:rPr>
          <w:rFonts w:ascii="Arial" w:hAnsi="Arial" w:cs="Arial"/>
          <w:spacing w:val="-13"/>
          <w:sz w:val="24"/>
          <w:szCs w:val="24"/>
        </w:rPr>
        <w:t xml:space="preserve"> </w:t>
      </w:r>
      <w:r w:rsidR="007C1523" w:rsidRPr="005761FA">
        <w:rPr>
          <w:rFonts w:ascii="Arial" w:hAnsi="Arial" w:cs="Arial"/>
          <w:sz w:val="24"/>
          <w:szCs w:val="24"/>
        </w:rPr>
        <w:t>be</w:t>
      </w:r>
      <w:r w:rsidR="007C1523" w:rsidRPr="005761FA">
        <w:rPr>
          <w:rFonts w:ascii="Arial" w:hAnsi="Arial" w:cs="Arial"/>
          <w:spacing w:val="-13"/>
          <w:sz w:val="24"/>
          <w:szCs w:val="24"/>
        </w:rPr>
        <w:t xml:space="preserve"> </w:t>
      </w:r>
      <w:r w:rsidR="007C1523" w:rsidRPr="005761FA">
        <w:rPr>
          <w:rFonts w:ascii="Arial" w:hAnsi="Arial" w:cs="Arial"/>
          <w:sz w:val="24"/>
          <w:szCs w:val="24"/>
        </w:rPr>
        <w:t>confused into believing that the business of one is, or is connected with, that of</w:t>
      </w:r>
      <w:r w:rsidR="007C1523" w:rsidRPr="005761FA">
        <w:rPr>
          <w:rFonts w:ascii="Arial" w:hAnsi="Arial" w:cs="Arial"/>
          <w:spacing w:val="-20"/>
          <w:sz w:val="24"/>
          <w:szCs w:val="24"/>
        </w:rPr>
        <w:t xml:space="preserve"> </w:t>
      </w:r>
      <w:r w:rsidR="007C1523" w:rsidRPr="005761FA">
        <w:rPr>
          <w:rFonts w:ascii="Arial" w:hAnsi="Arial" w:cs="Arial"/>
          <w:sz w:val="24"/>
          <w:szCs w:val="24"/>
        </w:rPr>
        <w:t>another.</w:t>
      </w:r>
      <w:r w:rsidR="007C1523" w:rsidRPr="007C1523">
        <w:rPr>
          <w:rFonts w:ascii="Arial" w:hAnsi="Arial" w:cs="Arial"/>
          <w:sz w:val="24"/>
          <w:szCs w:val="24"/>
          <w:vertAlign w:val="superscript"/>
        </w:rPr>
        <w:footnoteReference w:id="39"/>
      </w:r>
      <w:r w:rsidR="007C1523" w:rsidRPr="005761FA">
        <w:rPr>
          <w:rFonts w:ascii="Arial" w:hAnsi="Arial" w:cs="Arial"/>
          <w:sz w:val="24"/>
          <w:szCs w:val="24"/>
        </w:rPr>
        <w:t xml:space="preserve"> </w:t>
      </w:r>
      <w:r w:rsidR="005761FA" w:rsidRPr="005761FA">
        <w:rPr>
          <w:rFonts w:ascii="Arial" w:hAnsi="Arial" w:cs="Arial"/>
          <w:sz w:val="24"/>
          <w:szCs w:val="24"/>
        </w:rPr>
        <w:t xml:space="preserve">The third is damage. </w:t>
      </w:r>
      <w:r w:rsidR="005761FA" w:rsidRPr="00535741">
        <w:rPr>
          <w:rFonts w:ascii="Arial" w:hAnsi="Arial" w:cs="Arial"/>
          <w:sz w:val="24"/>
          <w:szCs w:val="24"/>
        </w:rPr>
        <w:t>The requirements were usefully summarised in</w:t>
      </w:r>
      <w:r w:rsidR="005761FA" w:rsidRPr="00535741">
        <w:rPr>
          <w:rFonts w:ascii="Arial" w:hAnsi="Arial" w:cs="Arial"/>
          <w:i/>
          <w:iCs/>
        </w:rPr>
        <w:t xml:space="preserve"> </w:t>
      </w:r>
      <w:r w:rsidR="005761FA" w:rsidRPr="00535741">
        <w:rPr>
          <w:rFonts w:ascii="Arial" w:hAnsi="Arial" w:cs="Arial"/>
          <w:i/>
          <w:iCs/>
          <w:sz w:val="24"/>
          <w:szCs w:val="24"/>
        </w:rPr>
        <w:t>Pioneer Foods v Bothaville Milling</w:t>
      </w:r>
      <w:r w:rsidR="005761FA" w:rsidRPr="00535741">
        <w:rPr>
          <w:rFonts w:ascii="Arial" w:hAnsi="Arial" w:cs="Arial"/>
          <w:sz w:val="24"/>
          <w:szCs w:val="24"/>
          <w:vertAlign w:val="superscript"/>
        </w:rPr>
        <w:footnoteReference w:id="40"/>
      </w:r>
      <w:r w:rsidR="005761FA" w:rsidRPr="00535741">
        <w:rPr>
          <w:rFonts w:ascii="Arial" w:hAnsi="Arial" w:cs="Arial"/>
          <w:i/>
          <w:iCs/>
        </w:rPr>
        <w:t xml:space="preserve"> </w:t>
      </w:r>
      <w:r w:rsidR="005761FA" w:rsidRPr="00535741">
        <w:rPr>
          <w:rFonts w:ascii="Arial" w:hAnsi="Arial" w:cs="Arial"/>
          <w:sz w:val="24"/>
          <w:szCs w:val="24"/>
        </w:rPr>
        <w:t>as follows:</w:t>
      </w:r>
    </w:p>
    <w:p w14:paraId="5CACBB63" w14:textId="29FC8750" w:rsidR="005761FA" w:rsidRPr="005761FA" w:rsidRDefault="005761FA" w:rsidP="005761FA">
      <w:pPr>
        <w:spacing w:after="360" w:line="360" w:lineRule="auto"/>
        <w:ind w:left="67"/>
        <w:jc w:val="both"/>
        <w:rPr>
          <w:rFonts w:ascii="Arial" w:hAnsi="Arial" w:cs="Arial"/>
          <w:lang w:val="en-GB"/>
        </w:rPr>
      </w:pPr>
      <w:r w:rsidRPr="00535741">
        <w:rPr>
          <w:rFonts w:ascii="Arial" w:hAnsi="Arial" w:cs="Arial"/>
          <w:lang w:val="en-GB"/>
        </w:rPr>
        <w:t>‘. . . [P]assing off occurs when A represents, whether or not deliberately or intentionally, that its business, goods or services are those of B or are associated therewith. It is established when there is a reasonable likelihood that members of the public in the marketplace looking for that type of business, goods or services may be confused into believing that the business, goods or services of A are those of B or are associated with those of B. The misrepresentation on which it depends involves deception of the public in regard to trade source or business connection and enables the offender to trade upon and benefit from the reputation of its competitor. Misrepresentations of this kind can be committed only in relation to a business that has established a reputation for itself or the goods and services it supplies in the market and thereby infringe upon the reputational element of the goodwill of that business. Accordingly proof of passing off requires proof of reputation, misrepresentation and damage. The latter two tend to go hand in hand, in that, if there is a likelihood of confusion or deception, there is usually a likelihood of damage flowing from that.’</w:t>
      </w:r>
      <w:r w:rsidRPr="00535741">
        <w:rPr>
          <w:rStyle w:val="FootnoteReference"/>
          <w:rFonts w:ascii="Arial" w:hAnsi="Arial" w:cs="Arial"/>
          <w:lang w:val="en-GB"/>
        </w:rPr>
        <w:footnoteReference w:id="41"/>
      </w:r>
    </w:p>
    <w:p w14:paraId="79597AB4" w14:textId="63528217" w:rsidR="004A6818" w:rsidRPr="004860B6" w:rsidRDefault="006227FF" w:rsidP="006227FF">
      <w:pPr>
        <w:shd w:val="clear" w:color="auto" w:fill="FFFFFF"/>
        <w:spacing w:before="120" w:after="120" w:line="360" w:lineRule="auto"/>
        <w:contextualSpacing/>
        <w:jc w:val="both"/>
        <w:rPr>
          <w:rFonts w:ascii="Arial" w:hAnsi="Arial" w:cs="Arial"/>
          <w:sz w:val="24"/>
          <w:szCs w:val="24"/>
        </w:rPr>
      </w:pPr>
      <w:r w:rsidRPr="004860B6">
        <w:rPr>
          <w:rFonts w:ascii="Arial" w:hAnsi="Arial" w:cs="Arial"/>
          <w:snapToGrid w:val="0"/>
          <w:color w:val="000000"/>
          <w:w w:val="0"/>
          <w:sz w:val="24"/>
          <w:szCs w:val="24"/>
        </w:rPr>
        <w:t>[40]</w:t>
      </w:r>
      <w:r w:rsidRPr="004860B6">
        <w:rPr>
          <w:rFonts w:ascii="Arial" w:hAnsi="Arial" w:cs="Arial"/>
          <w:snapToGrid w:val="0"/>
          <w:color w:val="000000"/>
          <w:w w:val="0"/>
          <w:sz w:val="24"/>
          <w:szCs w:val="24"/>
        </w:rPr>
        <w:tab/>
      </w:r>
      <w:r w:rsidR="007C1523" w:rsidRPr="007C1523">
        <w:rPr>
          <w:rFonts w:ascii="Arial" w:eastAsia="Times New Roman" w:hAnsi="Arial" w:cs="Arial"/>
          <w:sz w:val="24"/>
          <w:szCs w:val="24"/>
          <w:lang w:val="en-US" w:eastAsia="en-ZA"/>
        </w:rPr>
        <w:t xml:space="preserve">The nature of the reputation that a claimant such </w:t>
      </w:r>
      <w:r w:rsidR="007D6DF5">
        <w:rPr>
          <w:rFonts w:ascii="Arial" w:eastAsia="Times New Roman" w:hAnsi="Arial" w:cs="Arial"/>
          <w:sz w:val="24"/>
          <w:szCs w:val="24"/>
          <w:lang w:val="en-US" w:eastAsia="en-ZA"/>
        </w:rPr>
        <w:t xml:space="preserve">as </w:t>
      </w:r>
      <w:r w:rsidR="007C1523" w:rsidRPr="007C1523">
        <w:rPr>
          <w:rFonts w:ascii="Arial" w:eastAsia="Times New Roman" w:hAnsi="Arial" w:cs="Arial"/>
          <w:sz w:val="24"/>
          <w:szCs w:val="24"/>
          <w:lang w:val="en-US" w:eastAsia="en-ZA"/>
        </w:rPr>
        <w:t>Tupperware has to establish was stated in</w:t>
      </w:r>
      <w:r w:rsidR="007C1523" w:rsidRPr="007C1523">
        <w:rPr>
          <w:rFonts w:ascii="Arial" w:eastAsia="Times New Roman" w:hAnsi="Arial" w:cs="Arial"/>
          <w:i/>
          <w:iCs/>
          <w:sz w:val="24"/>
          <w:szCs w:val="24"/>
          <w:lang w:val="en-US" w:eastAsia="en-ZA"/>
        </w:rPr>
        <w:t xml:space="preserve"> </w:t>
      </w:r>
      <w:r w:rsidR="007C1523" w:rsidRPr="007C1523">
        <w:rPr>
          <w:rFonts w:ascii="Arial" w:eastAsia="Times New Roman" w:hAnsi="Arial" w:cs="Arial"/>
          <w:i/>
          <w:iCs/>
          <w:sz w:val="24"/>
          <w:szCs w:val="24"/>
          <w:shd w:val="clear" w:color="auto" w:fill="FFFFFF"/>
          <w:lang w:val="en-US" w:eastAsia="en-ZA"/>
        </w:rPr>
        <w:t>Reckitt &amp; Colman v Borden</w:t>
      </w:r>
      <w:r w:rsidR="007C1523" w:rsidRPr="007C1523">
        <w:rPr>
          <w:rFonts w:ascii="Arial" w:eastAsia="Times New Roman" w:hAnsi="Arial" w:cs="Arial"/>
          <w:sz w:val="24"/>
          <w:szCs w:val="24"/>
          <w:shd w:val="clear" w:color="auto" w:fill="FFFFFF"/>
          <w:lang w:val="en-US" w:eastAsia="en-ZA"/>
        </w:rPr>
        <w:t>:</w:t>
      </w:r>
      <w:r w:rsidR="007C1523" w:rsidRPr="007C1523">
        <w:rPr>
          <w:rFonts w:ascii="Arial" w:eastAsia="Times New Roman" w:hAnsi="Arial" w:cs="Arial"/>
          <w:sz w:val="24"/>
          <w:szCs w:val="24"/>
          <w:vertAlign w:val="superscript"/>
          <w:lang w:val="en-US" w:eastAsia="en-ZA"/>
        </w:rPr>
        <w:footnoteReference w:id="42"/>
      </w:r>
    </w:p>
    <w:p w14:paraId="12077BB5" w14:textId="531BD1B2" w:rsidR="007C1523" w:rsidRPr="004860B6" w:rsidRDefault="007C1523" w:rsidP="004A6818">
      <w:pPr>
        <w:shd w:val="clear" w:color="auto" w:fill="FFFFFF"/>
        <w:spacing w:before="120" w:after="120" w:line="360" w:lineRule="auto"/>
        <w:contextualSpacing/>
        <w:jc w:val="both"/>
        <w:rPr>
          <w:rFonts w:ascii="Arial" w:eastAsiaTheme="minorEastAsia" w:hAnsi="Arial" w:cs="Arial"/>
          <w:lang w:eastAsia="en-ZA"/>
        </w:rPr>
      </w:pPr>
      <w:r w:rsidRPr="007C1523">
        <w:rPr>
          <w:rFonts w:ascii="Arial" w:eastAsiaTheme="minorEastAsia" w:hAnsi="Arial" w:cs="Arial"/>
          <w:lang w:eastAsia="en-ZA"/>
        </w:rPr>
        <w:t>‘[H]e must establish a goodwill or reputation attached to the goods or services which he supplies in the mind of the purchasing public by association with the identifying 'get-up' (whether it consists simply of a brand name or a trade description, or the individual features of labelling or packaging) under which his particular goods or services are offered to the public, such that the get-up is recognised by the public as distinctive specifically of the plaintiff’s goods or services.’</w:t>
      </w:r>
      <w:r w:rsidRPr="007C1523">
        <w:rPr>
          <w:rFonts w:ascii="Arial" w:eastAsiaTheme="minorEastAsia" w:hAnsi="Arial" w:cs="Arial"/>
          <w:sz w:val="24"/>
          <w:szCs w:val="24"/>
          <w:vertAlign w:val="superscript"/>
          <w:lang w:eastAsia="en-ZA"/>
        </w:rPr>
        <w:footnoteReference w:id="43"/>
      </w:r>
    </w:p>
    <w:p w14:paraId="6D487094" w14:textId="77777777" w:rsidR="0059386F" w:rsidRPr="004860B6" w:rsidRDefault="0059386F" w:rsidP="004A6818">
      <w:pPr>
        <w:shd w:val="clear" w:color="auto" w:fill="FFFFFF"/>
        <w:spacing w:before="120" w:after="120" w:line="360" w:lineRule="auto"/>
        <w:contextualSpacing/>
        <w:jc w:val="both"/>
        <w:rPr>
          <w:rFonts w:ascii="Arial" w:hAnsi="Arial" w:cs="Arial"/>
          <w:sz w:val="24"/>
          <w:szCs w:val="24"/>
        </w:rPr>
      </w:pPr>
    </w:p>
    <w:p w14:paraId="06825880" w14:textId="4B2B9DD3" w:rsidR="0059386F" w:rsidRPr="004860B6" w:rsidRDefault="006227FF" w:rsidP="006227FF">
      <w:pPr>
        <w:shd w:val="clear" w:color="auto" w:fill="FFFFFF"/>
        <w:spacing w:before="120" w:after="120" w:line="360" w:lineRule="auto"/>
        <w:contextualSpacing/>
        <w:jc w:val="both"/>
        <w:rPr>
          <w:rFonts w:ascii="Arial" w:hAnsi="Arial" w:cs="Arial"/>
          <w:sz w:val="24"/>
          <w:szCs w:val="24"/>
        </w:rPr>
      </w:pPr>
      <w:r w:rsidRPr="004860B6">
        <w:rPr>
          <w:rFonts w:ascii="Arial" w:hAnsi="Arial" w:cs="Arial"/>
          <w:snapToGrid w:val="0"/>
          <w:color w:val="000000"/>
          <w:w w:val="0"/>
          <w:sz w:val="24"/>
          <w:szCs w:val="24"/>
        </w:rPr>
        <w:t>[41]</w:t>
      </w:r>
      <w:r w:rsidRPr="004860B6">
        <w:rPr>
          <w:rFonts w:ascii="Arial" w:hAnsi="Arial" w:cs="Arial"/>
          <w:snapToGrid w:val="0"/>
          <w:color w:val="000000"/>
          <w:w w:val="0"/>
          <w:sz w:val="24"/>
          <w:szCs w:val="24"/>
        </w:rPr>
        <w:tab/>
      </w:r>
      <w:r w:rsidR="007C1523" w:rsidRPr="007C1523">
        <w:rPr>
          <w:rFonts w:ascii="Arial" w:eastAsiaTheme="minorEastAsia" w:hAnsi="Arial" w:cs="Arial"/>
          <w:sz w:val="24"/>
          <w:szCs w:val="24"/>
          <w:lang w:eastAsia="en-ZA"/>
        </w:rPr>
        <w:t>As to how the requisite reputation is to be established, that may be inferred from extensive sales and marketing,</w:t>
      </w:r>
      <w:r w:rsidR="007C1523" w:rsidRPr="007C1523">
        <w:rPr>
          <w:rFonts w:ascii="Arial" w:eastAsiaTheme="minorEastAsia" w:hAnsi="Arial" w:cs="Arial"/>
          <w:sz w:val="24"/>
          <w:szCs w:val="24"/>
          <w:vertAlign w:val="superscript"/>
          <w:lang w:eastAsia="en-ZA"/>
        </w:rPr>
        <w:footnoteReference w:id="44"/>
      </w:r>
      <w:r w:rsidR="007C1523" w:rsidRPr="007C1523">
        <w:rPr>
          <w:rFonts w:ascii="Arial" w:eastAsiaTheme="minorEastAsia" w:hAnsi="Arial" w:cs="Arial"/>
          <w:sz w:val="24"/>
          <w:szCs w:val="24"/>
          <w:lang w:eastAsia="en-ZA"/>
        </w:rPr>
        <w:t xml:space="preserve"> and may be proved by evidence regarding the manner and scale of the use of the get-up.</w:t>
      </w:r>
      <w:r w:rsidR="007C1523" w:rsidRPr="007C1523">
        <w:rPr>
          <w:rFonts w:ascii="Arial" w:eastAsiaTheme="minorEastAsia" w:hAnsi="Arial" w:cs="Arial"/>
          <w:sz w:val="24"/>
          <w:szCs w:val="24"/>
          <w:vertAlign w:val="superscript"/>
          <w:lang w:eastAsia="en-ZA"/>
        </w:rPr>
        <w:footnoteReference w:id="45"/>
      </w:r>
      <w:r w:rsidR="007C1523" w:rsidRPr="007C1523">
        <w:rPr>
          <w:rFonts w:ascii="Arial" w:eastAsiaTheme="minorEastAsia" w:hAnsi="Arial" w:cs="Arial"/>
          <w:sz w:val="24"/>
          <w:szCs w:val="24"/>
          <w:lang w:eastAsia="en-ZA"/>
        </w:rPr>
        <w:t xml:space="preserve">  In the present case, the high court found </w:t>
      </w:r>
      <w:r w:rsidR="007C1523" w:rsidRPr="007C1523">
        <w:rPr>
          <w:rFonts w:ascii="Arial" w:eastAsiaTheme="minorEastAsia" w:hAnsi="Arial" w:cs="Arial"/>
          <w:sz w:val="24"/>
          <w:szCs w:val="24"/>
          <w:lang w:eastAsia="en-ZA"/>
        </w:rPr>
        <w:lastRenderedPageBreak/>
        <w:t xml:space="preserve">that </w:t>
      </w:r>
      <w:r w:rsidR="007C1523" w:rsidRPr="007C1523">
        <w:rPr>
          <w:rFonts w:ascii="Arial" w:hAnsi="Arial" w:cs="Arial"/>
          <w:sz w:val="24"/>
          <w:szCs w:val="24"/>
        </w:rPr>
        <w:t xml:space="preserve">Tupperware had established the necessary reputation in the Eco bottle, based on sales and marketing of the bottle. I am of the view that the high court was correct in this conclusion. </w:t>
      </w:r>
      <w:r w:rsidR="007C1523" w:rsidRPr="007C1523">
        <w:rPr>
          <w:rFonts w:ascii="Arial" w:eastAsiaTheme="minorEastAsia" w:hAnsi="Arial" w:cs="Arial"/>
          <w:sz w:val="24"/>
          <w:szCs w:val="24"/>
          <w:lang w:eastAsia="en-ZA"/>
        </w:rPr>
        <w:t xml:space="preserve">The sales figures for the ECO bottle were substantial.  Having been first sold in India in 2009, the Eco bottle quickly became one of Tupperware’s top-selling products.  </w:t>
      </w:r>
    </w:p>
    <w:p w14:paraId="33591C84" w14:textId="77777777" w:rsidR="0059386F" w:rsidRPr="004860B6" w:rsidRDefault="0059386F" w:rsidP="0059386F">
      <w:pPr>
        <w:shd w:val="clear" w:color="auto" w:fill="FFFFFF"/>
        <w:spacing w:before="120" w:after="120" w:line="360" w:lineRule="auto"/>
        <w:contextualSpacing/>
        <w:jc w:val="both"/>
        <w:rPr>
          <w:rFonts w:ascii="Arial" w:hAnsi="Arial" w:cs="Arial"/>
          <w:sz w:val="24"/>
          <w:szCs w:val="24"/>
        </w:rPr>
      </w:pPr>
    </w:p>
    <w:p w14:paraId="4A3BB130" w14:textId="23493965" w:rsidR="0059386F" w:rsidRPr="00B908F3" w:rsidRDefault="006227FF" w:rsidP="006227FF">
      <w:pPr>
        <w:shd w:val="clear" w:color="auto" w:fill="FFFFFF"/>
        <w:spacing w:before="120" w:after="120" w:line="360" w:lineRule="auto"/>
        <w:contextualSpacing/>
        <w:jc w:val="both"/>
        <w:rPr>
          <w:rFonts w:ascii="Arial" w:hAnsi="Arial" w:cs="Arial"/>
          <w:sz w:val="24"/>
          <w:szCs w:val="24"/>
        </w:rPr>
      </w:pPr>
      <w:r w:rsidRPr="00B908F3">
        <w:rPr>
          <w:rFonts w:ascii="Arial" w:hAnsi="Arial" w:cs="Arial"/>
          <w:snapToGrid w:val="0"/>
          <w:color w:val="000000"/>
          <w:w w:val="0"/>
          <w:sz w:val="24"/>
          <w:szCs w:val="24"/>
        </w:rPr>
        <w:t>[42]</w:t>
      </w:r>
      <w:r w:rsidRPr="00B908F3">
        <w:rPr>
          <w:rFonts w:ascii="Arial" w:hAnsi="Arial" w:cs="Arial"/>
          <w:snapToGrid w:val="0"/>
          <w:color w:val="000000"/>
          <w:w w:val="0"/>
          <w:sz w:val="24"/>
          <w:szCs w:val="24"/>
        </w:rPr>
        <w:tab/>
      </w:r>
      <w:r w:rsidR="007C1523" w:rsidRPr="007C1523">
        <w:rPr>
          <w:rFonts w:ascii="Arial" w:eastAsiaTheme="minorEastAsia" w:hAnsi="Arial" w:cs="Arial"/>
          <w:sz w:val="24"/>
          <w:szCs w:val="24"/>
          <w:lang w:eastAsia="en-ZA"/>
        </w:rPr>
        <w:t>The undisputed figures provided by Tupperware show that over a period of four years between 2015 and 2018, the total sales figure in South Africa was</w:t>
      </w:r>
      <w:r w:rsidR="00235484">
        <w:rPr>
          <w:rFonts w:ascii="Arial" w:eastAsiaTheme="minorEastAsia" w:hAnsi="Arial" w:cs="Arial"/>
          <w:sz w:val="24"/>
          <w:szCs w:val="24"/>
          <w:lang w:eastAsia="en-ZA"/>
        </w:rPr>
        <w:t xml:space="preserve"> </w:t>
      </w:r>
      <w:r w:rsidR="005C3BC2">
        <w:rPr>
          <w:rFonts w:ascii="Arial" w:eastAsiaTheme="minorEastAsia" w:hAnsi="Arial" w:cs="Arial"/>
          <w:sz w:val="24"/>
          <w:szCs w:val="24"/>
          <w:lang w:eastAsia="en-ZA"/>
        </w:rPr>
        <w:t>R590 246 </w:t>
      </w:r>
      <w:r w:rsidR="007C1523" w:rsidRPr="007C1523">
        <w:rPr>
          <w:rFonts w:ascii="Arial" w:eastAsiaTheme="minorEastAsia" w:hAnsi="Arial" w:cs="Arial"/>
          <w:sz w:val="24"/>
          <w:szCs w:val="24"/>
          <w:lang w:eastAsia="en-ZA"/>
        </w:rPr>
        <w:t>845. This shows exponential growth in total sales: R68 355 693 in 2015; R144 957 695 in 2016; R195 116 603 in 2</w:t>
      </w:r>
      <w:r w:rsidR="004004F2">
        <w:rPr>
          <w:rFonts w:ascii="Arial" w:eastAsiaTheme="minorEastAsia" w:hAnsi="Arial" w:cs="Arial"/>
          <w:sz w:val="24"/>
          <w:szCs w:val="24"/>
          <w:lang w:eastAsia="en-ZA"/>
        </w:rPr>
        <w:t xml:space="preserve">017; and R181 816 854 in 2018. </w:t>
      </w:r>
      <w:r w:rsidR="007C1523" w:rsidRPr="007C1523">
        <w:rPr>
          <w:rFonts w:ascii="Arial" w:eastAsiaTheme="minorEastAsia" w:hAnsi="Arial" w:cs="Arial"/>
          <w:sz w:val="24"/>
          <w:szCs w:val="24"/>
          <w:lang w:eastAsia="en-ZA"/>
        </w:rPr>
        <w:t xml:space="preserve">In addition, the high court considered that the Eco bottle had been promoted extensively on various platforms, including in Tupperware’s catalogues and newsletters. Hard copies of the promotional leaflet and catalogues are distributed to the authorised distributors on a monthly basis who then distribute them to the consultants. </w:t>
      </w:r>
    </w:p>
    <w:p w14:paraId="4539557B" w14:textId="77777777" w:rsidR="00117F30" w:rsidRPr="00E81E81" w:rsidRDefault="00117F30" w:rsidP="00B908F3">
      <w:pPr>
        <w:shd w:val="clear" w:color="auto" w:fill="FFFFFF"/>
        <w:spacing w:before="120" w:after="120" w:line="360" w:lineRule="auto"/>
        <w:contextualSpacing/>
        <w:jc w:val="both"/>
        <w:rPr>
          <w:rFonts w:ascii="Arial" w:hAnsi="Arial" w:cs="Arial"/>
          <w:sz w:val="24"/>
          <w:szCs w:val="24"/>
        </w:rPr>
      </w:pPr>
    </w:p>
    <w:p w14:paraId="603A8A24" w14:textId="5ED81923" w:rsidR="007C1523" w:rsidRPr="004860B6" w:rsidRDefault="006227FF" w:rsidP="006227FF">
      <w:pPr>
        <w:shd w:val="clear" w:color="auto" w:fill="FFFFFF"/>
        <w:spacing w:before="120" w:after="120" w:line="360" w:lineRule="auto"/>
        <w:contextualSpacing/>
        <w:jc w:val="both"/>
        <w:rPr>
          <w:rFonts w:ascii="Arial" w:hAnsi="Arial" w:cs="Arial"/>
          <w:sz w:val="24"/>
          <w:szCs w:val="24"/>
        </w:rPr>
      </w:pPr>
      <w:r w:rsidRPr="004860B6">
        <w:rPr>
          <w:rFonts w:ascii="Arial" w:hAnsi="Arial" w:cs="Arial"/>
          <w:snapToGrid w:val="0"/>
          <w:color w:val="000000"/>
          <w:w w:val="0"/>
          <w:sz w:val="24"/>
          <w:szCs w:val="24"/>
        </w:rPr>
        <w:t>[43]</w:t>
      </w:r>
      <w:r w:rsidRPr="004860B6">
        <w:rPr>
          <w:rFonts w:ascii="Arial" w:hAnsi="Arial" w:cs="Arial"/>
          <w:snapToGrid w:val="0"/>
          <w:color w:val="000000"/>
          <w:w w:val="0"/>
          <w:sz w:val="24"/>
          <w:szCs w:val="24"/>
        </w:rPr>
        <w:tab/>
      </w:r>
      <w:r w:rsidR="007C1523" w:rsidRPr="007C1523">
        <w:rPr>
          <w:rFonts w:ascii="Arial" w:hAnsi="Arial" w:cs="Arial"/>
          <w:sz w:val="24"/>
          <w:szCs w:val="24"/>
        </w:rPr>
        <w:t>The high court considered that in view of Tupperware’s ‘substantial sales’ of the Eco bottle, it can be inferred that the get-up of the E</w:t>
      </w:r>
      <w:r w:rsidR="00DB64BC">
        <w:rPr>
          <w:rFonts w:ascii="Arial" w:hAnsi="Arial" w:cs="Arial"/>
          <w:sz w:val="24"/>
          <w:szCs w:val="24"/>
        </w:rPr>
        <w:t>co</w:t>
      </w:r>
      <w:r w:rsidR="007C1523" w:rsidRPr="007C1523">
        <w:rPr>
          <w:rFonts w:ascii="Arial" w:hAnsi="Arial" w:cs="Arial"/>
          <w:sz w:val="24"/>
          <w:szCs w:val="24"/>
        </w:rPr>
        <w:t xml:space="preserve"> bottle will be regarded by those members of the public who have attended a Tupperware party, especially those who have purchased an E</w:t>
      </w:r>
      <w:r w:rsidR="00DB64BC">
        <w:rPr>
          <w:rFonts w:ascii="Arial" w:hAnsi="Arial" w:cs="Arial"/>
          <w:sz w:val="24"/>
          <w:szCs w:val="24"/>
        </w:rPr>
        <w:t>co</w:t>
      </w:r>
      <w:r w:rsidR="007C1523" w:rsidRPr="007C1523">
        <w:rPr>
          <w:rFonts w:ascii="Arial" w:hAnsi="Arial" w:cs="Arial"/>
          <w:sz w:val="24"/>
          <w:szCs w:val="24"/>
        </w:rPr>
        <w:t xml:space="preserve"> bottle at such a party, as being distinctive of Tupperware’s goods. The high court therefore concluded that Tupperware had succeeded in proving the requirement of distinctiveness</w:t>
      </w:r>
      <w:r w:rsidR="00CB0088">
        <w:rPr>
          <w:rFonts w:ascii="Arial" w:hAnsi="Arial" w:cs="Arial"/>
          <w:sz w:val="24"/>
          <w:szCs w:val="24"/>
        </w:rPr>
        <w:t xml:space="preserve"> </w:t>
      </w:r>
      <w:r w:rsidR="00CB0088" w:rsidRPr="00A051C4">
        <w:rPr>
          <w:rFonts w:ascii="Arial" w:hAnsi="Arial" w:cs="Arial"/>
          <w:sz w:val="24"/>
          <w:szCs w:val="24"/>
        </w:rPr>
        <w:t>in the get-up as a whole</w:t>
      </w:r>
      <w:r w:rsidR="007C1523" w:rsidRPr="007C1523">
        <w:rPr>
          <w:rFonts w:ascii="Arial" w:hAnsi="Arial" w:cs="Arial"/>
          <w:sz w:val="24"/>
          <w:szCs w:val="24"/>
        </w:rPr>
        <w:t xml:space="preserve">. </w:t>
      </w:r>
      <w:r w:rsidR="007C1523" w:rsidRPr="007C1523">
        <w:rPr>
          <w:rFonts w:ascii="Arial" w:eastAsiaTheme="minorEastAsia" w:hAnsi="Arial" w:cs="Arial"/>
          <w:sz w:val="24"/>
          <w:szCs w:val="24"/>
          <w:lang w:eastAsia="en-ZA"/>
        </w:rPr>
        <w:t>In my view, the high court’s reasoning and finding in this regard are unassailable and undoubtedly correct.</w:t>
      </w:r>
    </w:p>
    <w:p w14:paraId="22384317" w14:textId="77777777" w:rsidR="0059386F" w:rsidRPr="004860B6" w:rsidRDefault="0059386F" w:rsidP="0059386F">
      <w:pPr>
        <w:shd w:val="clear" w:color="auto" w:fill="FFFFFF"/>
        <w:spacing w:before="120" w:after="120" w:line="360" w:lineRule="auto"/>
        <w:contextualSpacing/>
        <w:jc w:val="both"/>
        <w:rPr>
          <w:rFonts w:ascii="Arial" w:hAnsi="Arial" w:cs="Arial"/>
          <w:sz w:val="24"/>
          <w:szCs w:val="24"/>
        </w:rPr>
      </w:pPr>
    </w:p>
    <w:p w14:paraId="40D27107" w14:textId="49B278FB" w:rsidR="007C1523" w:rsidRPr="004F4497" w:rsidRDefault="006227FF" w:rsidP="006227FF">
      <w:pPr>
        <w:shd w:val="clear" w:color="auto" w:fill="FFFFFF"/>
        <w:spacing w:before="120" w:after="120" w:line="360" w:lineRule="auto"/>
        <w:contextualSpacing/>
        <w:jc w:val="both"/>
        <w:rPr>
          <w:rFonts w:ascii="Arial" w:hAnsi="Arial" w:cs="Arial"/>
          <w:sz w:val="24"/>
          <w:szCs w:val="24"/>
        </w:rPr>
      </w:pPr>
      <w:r w:rsidRPr="004F4497">
        <w:rPr>
          <w:rFonts w:ascii="Arial" w:hAnsi="Arial" w:cs="Arial"/>
          <w:snapToGrid w:val="0"/>
          <w:color w:val="000000"/>
          <w:w w:val="0"/>
          <w:sz w:val="24"/>
          <w:szCs w:val="24"/>
        </w:rPr>
        <w:t>[44]</w:t>
      </w:r>
      <w:r w:rsidRPr="004F4497">
        <w:rPr>
          <w:rFonts w:ascii="Arial" w:hAnsi="Arial" w:cs="Arial"/>
          <w:snapToGrid w:val="0"/>
          <w:color w:val="000000"/>
          <w:w w:val="0"/>
          <w:sz w:val="24"/>
          <w:szCs w:val="24"/>
        </w:rPr>
        <w:tab/>
      </w:r>
      <w:r w:rsidR="007C1523" w:rsidRPr="007C1523">
        <w:rPr>
          <w:rFonts w:ascii="Arial" w:hAnsi="Arial" w:cs="Arial"/>
          <w:sz w:val="24"/>
          <w:szCs w:val="24"/>
        </w:rPr>
        <w:t xml:space="preserve">Before I consider how the high court approached the issue of the likelihood of confusion, I </w:t>
      </w:r>
      <w:r w:rsidR="004A6818" w:rsidRPr="004860B6">
        <w:rPr>
          <w:rFonts w:ascii="Arial" w:hAnsi="Arial" w:cs="Arial"/>
          <w:sz w:val="24"/>
          <w:szCs w:val="24"/>
        </w:rPr>
        <w:t xml:space="preserve">refer briefly to </w:t>
      </w:r>
      <w:r w:rsidR="007C1523" w:rsidRPr="007C1523">
        <w:rPr>
          <w:rFonts w:ascii="Arial" w:hAnsi="Arial" w:cs="Arial"/>
          <w:sz w:val="24"/>
          <w:szCs w:val="24"/>
        </w:rPr>
        <w:t xml:space="preserve">the </w:t>
      </w:r>
      <w:r w:rsidR="007C1523" w:rsidRPr="007C1523">
        <w:rPr>
          <w:rFonts w:ascii="Arial" w:eastAsia="Times New Roman" w:hAnsi="Arial" w:cs="Arial"/>
          <w:sz w:val="24"/>
          <w:szCs w:val="24"/>
          <w:lang w:val="en-US" w:eastAsia="en-ZA"/>
        </w:rPr>
        <w:t>high court’s observation that Buhle Brands’</w:t>
      </w:r>
      <w:r w:rsidR="007C1523" w:rsidRPr="007C1523">
        <w:rPr>
          <w:rFonts w:ascii="Arial" w:hAnsi="Arial" w:cs="Arial"/>
          <w:sz w:val="24"/>
          <w:szCs w:val="24"/>
        </w:rPr>
        <w:t xml:space="preserve"> water bottle and the Ec</w:t>
      </w:r>
      <w:r w:rsidR="00235484">
        <w:rPr>
          <w:rFonts w:ascii="Arial" w:hAnsi="Arial" w:cs="Arial"/>
          <w:sz w:val="24"/>
          <w:szCs w:val="24"/>
        </w:rPr>
        <w:t>o bottle were ‘virtually identical</w:t>
      </w:r>
      <w:r w:rsidR="00530EB1">
        <w:rPr>
          <w:rFonts w:ascii="Arial" w:hAnsi="Arial" w:cs="Arial"/>
          <w:sz w:val="24"/>
          <w:szCs w:val="24"/>
        </w:rPr>
        <w:t>.</w:t>
      </w:r>
      <w:r w:rsidR="007C1523" w:rsidRPr="007C1523">
        <w:rPr>
          <w:rFonts w:ascii="Arial" w:hAnsi="Arial" w:cs="Arial"/>
          <w:sz w:val="24"/>
          <w:szCs w:val="24"/>
        </w:rPr>
        <w:t xml:space="preserve">’ </w:t>
      </w:r>
      <w:r w:rsidR="00530EB1">
        <w:rPr>
          <w:rFonts w:ascii="Arial" w:hAnsi="Arial" w:cs="Arial"/>
          <w:sz w:val="24"/>
          <w:szCs w:val="24"/>
        </w:rPr>
        <w:t xml:space="preserve">I share this view. </w:t>
      </w:r>
      <w:r w:rsidR="007C1523" w:rsidRPr="007C1523">
        <w:rPr>
          <w:rFonts w:ascii="Arial" w:hAnsi="Arial" w:cs="Arial"/>
          <w:sz w:val="24"/>
          <w:szCs w:val="24"/>
        </w:rPr>
        <w:t xml:space="preserve">This behoved Buhle Brands to </w:t>
      </w:r>
      <w:r w:rsidR="007C1523" w:rsidRPr="007C1523">
        <w:rPr>
          <w:rFonts w:ascii="Arial" w:eastAsia="Times New Roman" w:hAnsi="Arial" w:cs="Arial"/>
          <w:sz w:val="24"/>
          <w:szCs w:val="24"/>
          <w:lang w:val="en-US" w:eastAsia="en-ZA"/>
        </w:rPr>
        <w:t>make it clear to the public that its water bottle is</w:t>
      </w:r>
      <w:r w:rsidR="004934A9">
        <w:rPr>
          <w:rFonts w:ascii="Arial" w:eastAsia="Times New Roman" w:hAnsi="Arial" w:cs="Arial"/>
          <w:sz w:val="24"/>
          <w:szCs w:val="24"/>
          <w:lang w:val="en-US" w:eastAsia="en-ZA"/>
        </w:rPr>
        <w:t xml:space="preserve"> not Tupperware’s, but its own.</w:t>
      </w:r>
      <w:r w:rsidR="00235484">
        <w:rPr>
          <w:rFonts w:ascii="Arial" w:eastAsia="Times New Roman" w:hAnsi="Arial" w:cs="Arial"/>
          <w:sz w:val="24"/>
          <w:szCs w:val="24"/>
          <w:lang w:val="en-US" w:eastAsia="en-ZA"/>
        </w:rPr>
        <w:t xml:space="preserve"> </w:t>
      </w:r>
      <w:r w:rsidR="007C1523" w:rsidRPr="007C1523">
        <w:rPr>
          <w:rFonts w:ascii="Arial" w:eastAsia="Times New Roman" w:hAnsi="Arial" w:cs="Arial"/>
          <w:sz w:val="24"/>
          <w:szCs w:val="24"/>
          <w:lang w:val="en-US" w:eastAsia="en-ZA"/>
        </w:rPr>
        <w:t xml:space="preserve">In this regard, the only significant difference between the competing bottles is the embossing of the words ‘Tupperware’ and ‘Botle Buhle’ on the side and on the cap of the respective bottles. But these, as mentioned already, are </w:t>
      </w:r>
      <w:r w:rsidR="007C1523" w:rsidRPr="00A051C4">
        <w:rPr>
          <w:rFonts w:ascii="Arial" w:eastAsia="Times New Roman" w:hAnsi="Arial" w:cs="Arial"/>
          <w:sz w:val="24"/>
          <w:szCs w:val="24"/>
          <w:lang w:val="en-US" w:eastAsia="en-ZA"/>
        </w:rPr>
        <w:t>inconspicuous</w:t>
      </w:r>
      <w:r w:rsidR="007C1523" w:rsidRPr="007C1523">
        <w:rPr>
          <w:rFonts w:ascii="Arial" w:eastAsia="Times New Roman" w:hAnsi="Arial" w:cs="Arial"/>
          <w:sz w:val="24"/>
          <w:szCs w:val="24"/>
          <w:lang w:val="en-US" w:eastAsia="en-ZA"/>
        </w:rPr>
        <w:t>, and do</w:t>
      </w:r>
      <w:r w:rsidR="00235484">
        <w:rPr>
          <w:rFonts w:ascii="Arial" w:eastAsia="Times New Roman" w:hAnsi="Arial" w:cs="Arial"/>
          <w:sz w:val="24"/>
          <w:szCs w:val="24"/>
          <w:lang w:val="en-US" w:eastAsia="en-ZA"/>
        </w:rPr>
        <w:t xml:space="preserve"> little or</w:t>
      </w:r>
      <w:r w:rsidR="007C1523" w:rsidRPr="007C1523">
        <w:rPr>
          <w:rFonts w:ascii="Arial" w:eastAsia="Times New Roman" w:hAnsi="Arial" w:cs="Arial"/>
          <w:sz w:val="24"/>
          <w:szCs w:val="24"/>
          <w:lang w:val="en-US" w:eastAsia="en-ZA"/>
        </w:rPr>
        <w:t xml:space="preserve"> nothing to distinguish the two products. </w:t>
      </w:r>
    </w:p>
    <w:p w14:paraId="2E832570" w14:textId="77777777" w:rsidR="004F4497" w:rsidRPr="004860B6" w:rsidRDefault="004F4497" w:rsidP="004F4497">
      <w:pPr>
        <w:shd w:val="clear" w:color="auto" w:fill="FFFFFF"/>
        <w:spacing w:before="120" w:after="120" w:line="360" w:lineRule="auto"/>
        <w:contextualSpacing/>
        <w:jc w:val="both"/>
        <w:rPr>
          <w:rFonts w:ascii="Arial" w:hAnsi="Arial" w:cs="Arial"/>
          <w:sz w:val="24"/>
          <w:szCs w:val="24"/>
        </w:rPr>
      </w:pPr>
    </w:p>
    <w:p w14:paraId="2C72A6B2" w14:textId="2D81053B" w:rsidR="00CA02F5" w:rsidRPr="004860B6" w:rsidRDefault="006227FF" w:rsidP="006227FF">
      <w:pPr>
        <w:shd w:val="clear" w:color="auto" w:fill="FFFFFF"/>
        <w:spacing w:before="120" w:after="120" w:line="360" w:lineRule="auto"/>
        <w:contextualSpacing/>
        <w:jc w:val="both"/>
        <w:rPr>
          <w:rFonts w:ascii="Arial" w:hAnsi="Arial" w:cs="Arial"/>
          <w:sz w:val="24"/>
          <w:szCs w:val="24"/>
        </w:rPr>
      </w:pPr>
      <w:r w:rsidRPr="004860B6">
        <w:rPr>
          <w:rFonts w:ascii="Arial" w:hAnsi="Arial" w:cs="Arial"/>
          <w:snapToGrid w:val="0"/>
          <w:color w:val="000000"/>
          <w:w w:val="0"/>
          <w:sz w:val="24"/>
          <w:szCs w:val="24"/>
        </w:rPr>
        <w:lastRenderedPageBreak/>
        <w:t>[45]</w:t>
      </w:r>
      <w:r w:rsidRPr="004860B6">
        <w:rPr>
          <w:rFonts w:ascii="Arial" w:hAnsi="Arial" w:cs="Arial"/>
          <w:snapToGrid w:val="0"/>
          <w:color w:val="000000"/>
          <w:w w:val="0"/>
          <w:sz w:val="24"/>
          <w:szCs w:val="24"/>
        </w:rPr>
        <w:tab/>
      </w:r>
      <w:r w:rsidR="007C1523" w:rsidRPr="007C1523">
        <w:rPr>
          <w:rFonts w:ascii="Arial" w:hAnsi="Arial" w:cs="Arial"/>
          <w:sz w:val="24"/>
          <w:szCs w:val="24"/>
        </w:rPr>
        <w:t xml:space="preserve">In </w:t>
      </w:r>
      <w:r w:rsidR="007C1523" w:rsidRPr="007C1523">
        <w:rPr>
          <w:rFonts w:ascii="Arial" w:hAnsi="Arial" w:cs="Arial"/>
          <w:i/>
          <w:iCs/>
          <w:sz w:val="24"/>
          <w:szCs w:val="24"/>
        </w:rPr>
        <w:t>Weber-Stephen v Alrite Engineering</w:t>
      </w:r>
      <w:r w:rsidR="007C1523" w:rsidRPr="007C1523">
        <w:rPr>
          <w:rFonts w:ascii="Arial" w:hAnsi="Arial" w:cs="Arial"/>
          <w:sz w:val="24"/>
          <w:szCs w:val="24"/>
          <w:vertAlign w:val="superscript"/>
        </w:rPr>
        <w:footnoteReference w:id="46"/>
      </w:r>
      <w:r w:rsidR="007C1523" w:rsidRPr="007C1523">
        <w:rPr>
          <w:rFonts w:ascii="Arial" w:hAnsi="Arial" w:cs="Arial"/>
          <w:sz w:val="24"/>
          <w:szCs w:val="24"/>
        </w:rPr>
        <w:t xml:space="preserve"> </w:t>
      </w:r>
      <w:r w:rsidR="00CA02F5" w:rsidRPr="004860B6">
        <w:rPr>
          <w:rFonts w:ascii="Arial" w:hAnsi="Arial" w:cs="Arial"/>
          <w:sz w:val="24"/>
          <w:szCs w:val="24"/>
        </w:rPr>
        <w:t xml:space="preserve">this Court had to consider whether the respondent had complied with a court order to distinguish its virtually identical product from the appellant’s </w:t>
      </w:r>
      <w:r w:rsidR="00CA02F5" w:rsidRPr="007C1523">
        <w:rPr>
          <w:rFonts w:ascii="Arial" w:eastAsia="Times New Roman" w:hAnsi="Arial" w:cs="Arial"/>
          <w:sz w:val="24"/>
          <w:szCs w:val="24"/>
          <w:lang w:eastAsia="en-ZA"/>
        </w:rPr>
        <w:t>Weber One Touch Barbecue Grill</w:t>
      </w:r>
      <w:r w:rsidR="00BE6F55" w:rsidRPr="004860B6">
        <w:rPr>
          <w:rFonts w:ascii="Arial" w:eastAsia="Times New Roman" w:hAnsi="Arial" w:cs="Arial"/>
          <w:sz w:val="24"/>
          <w:szCs w:val="24"/>
          <w:lang w:eastAsia="en-ZA"/>
        </w:rPr>
        <w:t>, which the high court had found passed off as the appellant’s</w:t>
      </w:r>
      <w:r w:rsidR="00CA02F5" w:rsidRPr="004860B6">
        <w:rPr>
          <w:rFonts w:ascii="Arial" w:eastAsia="Times New Roman" w:hAnsi="Arial" w:cs="Arial"/>
          <w:sz w:val="24"/>
          <w:szCs w:val="24"/>
          <w:lang w:eastAsia="en-ZA"/>
        </w:rPr>
        <w:t xml:space="preserve"> </w:t>
      </w:r>
      <w:r w:rsidR="00BE6F55" w:rsidRPr="004860B6">
        <w:rPr>
          <w:rFonts w:ascii="Arial" w:eastAsia="Times New Roman" w:hAnsi="Arial" w:cs="Arial"/>
          <w:sz w:val="24"/>
          <w:szCs w:val="24"/>
          <w:lang w:eastAsia="en-ZA"/>
        </w:rPr>
        <w:t xml:space="preserve">product. </w:t>
      </w:r>
      <w:r w:rsidR="00CA02F5" w:rsidRPr="004860B6">
        <w:rPr>
          <w:rFonts w:ascii="Arial" w:eastAsia="Times New Roman" w:hAnsi="Arial" w:cs="Arial"/>
          <w:sz w:val="24"/>
          <w:szCs w:val="24"/>
          <w:lang w:eastAsia="en-ZA"/>
        </w:rPr>
        <w:t xml:space="preserve">Its effort to </w:t>
      </w:r>
      <w:r w:rsidR="00BE6F55" w:rsidRPr="004860B6">
        <w:rPr>
          <w:rFonts w:ascii="Arial" w:eastAsia="Times New Roman" w:hAnsi="Arial" w:cs="Arial"/>
          <w:sz w:val="24"/>
          <w:szCs w:val="24"/>
          <w:lang w:eastAsia="en-ZA"/>
        </w:rPr>
        <w:t>distinguish</w:t>
      </w:r>
      <w:r w:rsidR="00CA02F5" w:rsidRPr="004860B6">
        <w:rPr>
          <w:rFonts w:ascii="Arial" w:eastAsia="Times New Roman" w:hAnsi="Arial" w:cs="Arial"/>
          <w:sz w:val="24"/>
          <w:szCs w:val="24"/>
          <w:lang w:eastAsia="en-ZA"/>
        </w:rPr>
        <w:t xml:space="preserve"> was in the form of </w:t>
      </w:r>
      <w:r w:rsidR="00CA02F5" w:rsidRPr="007C1523">
        <w:rPr>
          <w:rFonts w:ascii="Arial" w:eastAsia="Times New Roman" w:hAnsi="Arial" w:cs="Arial"/>
          <w:sz w:val="24"/>
          <w:szCs w:val="24"/>
          <w:lang w:eastAsia="en-ZA"/>
        </w:rPr>
        <w:t>four large notices (two in English and two in Afrikaans) attached to the outside of the grill. The English</w:t>
      </w:r>
      <w:r w:rsidR="0019512E">
        <w:rPr>
          <w:rFonts w:ascii="Arial" w:eastAsia="Times New Roman" w:hAnsi="Arial" w:cs="Arial"/>
          <w:sz w:val="24"/>
          <w:szCs w:val="24"/>
          <w:lang w:eastAsia="en-ZA"/>
        </w:rPr>
        <w:t xml:space="preserve"> </w:t>
      </w:r>
      <w:r w:rsidR="0019512E" w:rsidRPr="007C1523">
        <w:rPr>
          <w:rFonts w:ascii="Arial" w:eastAsia="Times New Roman" w:hAnsi="Arial" w:cs="Arial"/>
          <w:sz w:val="24"/>
          <w:szCs w:val="24"/>
          <w:lang w:eastAsia="en-ZA"/>
        </w:rPr>
        <w:t>notices</w:t>
      </w:r>
      <w:r w:rsidR="00CA02F5" w:rsidRPr="007C1523">
        <w:rPr>
          <w:rFonts w:ascii="Arial" w:eastAsia="Times New Roman" w:hAnsi="Arial" w:cs="Arial"/>
          <w:sz w:val="24"/>
          <w:szCs w:val="24"/>
          <w:lang w:eastAsia="en-ZA"/>
        </w:rPr>
        <w:t xml:space="preserve"> read as follows: ‘This MIRAGE braai/oven is an all South African product by ALRITE and has NO CONNECTION WITH the “One Touch Barbecue Grill” of WEBER-STEPHENS CO of America.’</w:t>
      </w:r>
      <w:r w:rsidR="00BE6F55" w:rsidRPr="004860B6">
        <w:rPr>
          <w:rFonts w:ascii="Arial" w:eastAsia="Times New Roman" w:hAnsi="Arial" w:cs="Arial"/>
          <w:sz w:val="24"/>
          <w:szCs w:val="24"/>
          <w:lang w:eastAsia="en-ZA"/>
        </w:rPr>
        <w:t xml:space="preserve"> This</w:t>
      </w:r>
      <w:r w:rsidR="00BE6F55" w:rsidRPr="007C1523">
        <w:rPr>
          <w:rFonts w:ascii="Arial" w:eastAsia="Times New Roman" w:hAnsi="Arial" w:cs="Arial"/>
          <w:sz w:val="24"/>
          <w:szCs w:val="24"/>
          <w:lang w:eastAsia="en-ZA"/>
        </w:rPr>
        <w:t xml:space="preserve"> Court held that the notice had done nothing effectively to eliminate the confusion created by the shape and configuration of the respondent's product, and accordingly found that the respondent had </w:t>
      </w:r>
      <w:r w:rsidR="00BE6F55" w:rsidRPr="004860B6">
        <w:rPr>
          <w:rFonts w:ascii="Arial" w:eastAsia="Times New Roman" w:hAnsi="Arial" w:cs="Arial"/>
          <w:sz w:val="24"/>
          <w:szCs w:val="24"/>
          <w:lang w:eastAsia="en-ZA"/>
        </w:rPr>
        <w:t>breached</w:t>
      </w:r>
      <w:r w:rsidR="00BE6F55" w:rsidRPr="007C1523">
        <w:rPr>
          <w:rFonts w:ascii="Arial" w:eastAsia="Times New Roman" w:hAnsi="Arial" w:cs="Arial"/>
          <w:sz w:val="24"/>
          <w:szCs w:val="24"/>
          <w:lang w:eastAsia="en-ZA"/>
        </w:rPr>
        <w:t xml:space="preserve"> the interdict.</w:t>
      </w:r>
    </w:p>
    <w:p w14:paraId="4571D674" w14:textId="77777777" w:rsidR="00CA02F5" w:rsidRPr="004860B6" w:rsidRDefault="00CA02F5" w:rsidP="00BE6F55">
      <w:pPr>
        <w:rPr>
          <w:rFonts w:ascii="Arial" w:hAnsi="Arial" w:cs="Arial"/>
          <w:sz w:val="24"/>
          <w:szCs w:val="24"/>
        </w:rPr>
      </w:pPr>
    </w:p>
    <w:p w14:paraId="49CAEED9" w14:textId="7211BCB3" w:rsidR="004A6818" w:rsidRPr="004860B6" w:rsidRDefault="006227FF" w:rsidP="006227FF">
      <w:pPr>
        <w:shd w:val="clear" w:color="auto" w:fill="FFFFFF"/>
        <w:spacing w:before="120" w:after="120" w:line="360" w:lineRule="auto"/>
        <w:contextualSpacing/>
        <w:jc w:val="both"/>
        <w:rPr>
          <w:rFonts w:ascii="Arial" w:hAnsi="Arial" w:cs="Arial"/>
          <w:sz w:val="24"/>
          <w:szCs w:val="24"/>
        </w:rPr>
      </w:pPr>
      <w:r w:rsidRPr="004860B6">
        <w:rPr>
          <w:rFonts w:ascii="Arial" w:hAnsi="Arial" w:cs="Arial"/>
          <w:snapToGrid w:val="0"/>
          <w:color w:val="000000"/>
          <w:w w:val="0"/>
          <w:sz w:val="24"/>
          <w:szCs w:val="24"/>
        </w:rPr>
        <w:t>[46]</w:t>
      </w:r>
      <w:r w:rsidRPr="004860B6">
        <w:rPr>
          <w:rFonts w:ascii="Arial" w:hAnsi="Arial" w:cs="Arial"/>
          <w:snapToGrid w:val="0"/>
          <w:color w:val="000000"/>
          <w:w w:val="0"/>
          <w:sz w:val="24"/>
          <w:szCs w:val="24"/>
        </w:rPr>
        <w:tab/>
      </w:r>
      <w:r w:rsidR="007C1523" w:rsidRPr="007C1523">
        <w:rPr>
          <w:rFonts w:ascii="Arial" w:eastAsia="Times New Roman" w:hAnsi="Arial" w:cs="Arial"/>
          <w:sz w:val="24"/>
          <w:szCs w:val="24"/>
          <w:lang w:val="en-US" w:eastAsia="en-ZA"/>
        </w:rPr>
        <w:t xml:space="preserve">The manner in which the names of the two traders are embossed on their products in the present case is directly opposite to what occurred in </w:t>
      </w:r>
      <w:r w:rsidR="007C1523" w:rsidRPr="007C1523">
        <w:rPr>
          <w:rFonts w:ascii="Arial" w:eastAsia="Times New Roman" w:hAnsi="Arial" w:cs="Arial"/>
          <w:i/>
          <w:iCs/>
          <w:sz w:val="24"/>
          <w:szCs w:val="24"/>
          <w:lang w:val="en-US" w:eastAsia="en-ZA"/>
        </w:rPr>
        <w:t>Schweppes Ltd v Gibbens</w:t>
      </w:r>
      <w:r w:rsidR="00EC0B09">
        <w:rPr>
          <w:rFonts w:ascii="Arial" w:eastAsia="Times New Roman" w:hAnsi="Arial" w:cs="Arial"/>
          <w:i/>
          <w:iCs/>
          <w:sz w:val="24"/>
          <w:szCs w:val="24"/>
          <w:lang w:val="en-US" w:eastAsia="en-ZA"/>
        </w:rPr>
        <w:t>.</w:t>
      </w:r>
      <w:r w:rsidR="00A8263E" w:rsidRPr="00323F56">
        <w:rPr>
          <w:rStyle w:val="FootnoteReference"/>
          <w:rFonts w:ascii="Arial" w:eastAsia="Times New Roman" w:hAnsi="Arial" w:cs="Arial"/>
          <w:sz w:val="24"/>
          <w:szCs w:val="24"/>
          <w:lang w:val="en-US" w:eastAsia="en-ZA"/>
        </w:rPr>
        <w:footnoteReference w:id="47"/>
      </w:r>
      <w:r w:rsidR="007C1523" w:rsidRPr="007C1523">
        <w:rPr>
          <w:rFonts w:ascii="Arial" w:eastAsia="Times New Roman" w:hAnsi="Arial" w:cs="Arial"/>
          <w:i/>
          <w:iCs/>
          <w:sz w:val="24"/>
          <w:szCs w:val="24"/>
          <w:lang w:val="en-US" w:eastAsia="en-ZA"/>
        </w:rPr>
        <w:t> </w:t>
      </w:r>
      <w:r w:rsidR="007C1523" w:rsidRPr="007C1523">
        <w:rPr>
          <w:rFonts w:ascii="Arial" w:eastAsia="Times New Roman" w:hAnsi="Arial" w:cs="Arial"/>
          <w:sz w:val="24"/>
          <w:szCs w:val="24"/>
          <w:lang w:val="en-US" w:eastAsia="en-ZA"/>
        </w:rPr>
        <w:t xml:space="preserve">There two rival traders marketed soft drinks sold in similarly embossed bottles of very similar shape, design and colour scheme, and wording in a similar layout and font. However, the products respectively bore the distinctively different brand names ‘SCHWEPPES’ and ‘GIBBENS’ prominently on the label. The prominent display of the brand names was considered sufficient to distinguish between the products. </w:t>
      </w:r>
    </w:p>
    <w:p w14:paraId="656CE536" w14:textId="77777777" w:rsidR="0059386F" w:rsidRPr="004860B6" w:rsidRDefault="0059386F" w:rsidP="0059386F">
      <w:pPr>
        <w:shd w:val="clear" w:color="auto" w:fill="FFFFFF"/>
        <w:spacing w:before="120" w:after="120" w:line="360" w:lineRule="auto"/>
        <w:contextualSpacing/>
        <w:jc w:val="both"/>
        <w:rPr>
          <w:rFonts w:ascii="Arial" w:hAnsi="Arial" w:cs="Arial"/>
          <w:sz w:val="24"/>
          <w:szCs w:val="24"/>
        </w:rPr>
      </w:pPr>
    </w:p>
    <w:p w14:paraId="090B4E65" w14:textId="489EDDE6" w:rsidR="004A6818" w:rsidRPr="004F4497" w:rsidRDefault="006227FF" w:rsidP="006227FF">
      <w:pPr>
        <w:shd w:val="clear" w:color="auto" w:fill="FFFFFF"/>
        <w:spacing w:before="120" w:after="120" w:line="360" w:lineRule="auto"/>
        <w:contextualSpacing/>
        <w:jc w:val="both"/>
        <w:rPr>
          <w:rFonts w:ascii="Arial" w:hAnsi="Arial" w:cs="Arial"/>
          <w:sz w:val="24"/>
          <w:szCs w:val="24"/>
        </w:rPr>
      </w:pPr>
      <w:r w:rsidRPr="004F4497">
        <w:rPr>
          <w:rFonts w:ascii="Arial" w:hAnsi="Arial" w:cs="Arial"/>
          <w:snapToGrid w:val="0"/>
          <w:color w:val="000000"/>
          <w:w w:val="0"/>
          <w:sz w:val="24"/>
          <w:szCs w:val="24"/>
        </w:rPr>
        <w:t>[47]</w:t>
      </w:r>
      <w:r w:rsidRPr="004F4497">
        <w:rPr>
          <w:rFonts w:ascii="Arial" w:hAnsi="Arial" w:cs="Arial"/>
          <w:snapToGrid w:val="0"/>
          <w:color w:val="000000"/>
          <w:w w:val="0"/>
          <w:sz w:val="24"/>
          <w:szCs w:val="24"/>
        </w:rPr>
        <w:tab/>
      </w:r>
      <w:r w:rsidR="007C1523" w:rsidRPr="007C1523">
        <w:rPr>
          <w:rFonts w:ascii="Arial" w:eastAsia="Times New Roman" w:hAnsi="Arial" w:cs="Arial"/>
          <w:sz w:val="24"/>
          <w:szCs w:val="24"/>
          <w:lang w:val="en-US" w:eastAsia="en-ZA"/>
        </w:rPr>
        <w:t>As mentioned already, in the present case, Buhle Brand’s</w:t>
      </w:r>
      <w:r w:rsidR="007C1523" w:rsidRPr="007C1523">
        <w:rPr>
          <w:rFonts w:ascii="Arial" w:eastAsia="Times New Roman" w:hAnsi="Arial" w:cs="Arial"/>
          <w:sz w:val="24"/>
          <w:szCs w:val="24"/>
          <w:shd w:val="clear" w:color="auto" w:fill="FFFFFF"/>
          <w:lang w:val="en-US" w:eastAsia="en-ZA"/>
        </w:rPr>
        <w:t xml:space="preserve"> embossed name</w:t>
      </w:r>
      <w:r w:rsidR="007C1523" w:rsidRPr="007C1523">
        <w:rPr>
          <w:rFonts w:ascii="Arial" w:eastAsia="Times New Roman" w:hAnsi="Arial" w:cs="Arial"/>
          <w:sz w:val="24"/>
          <w:szCs w:val="24"/>
          <w:lang w:val="en-US" w:eastAsia="en-ZA"/>
        </w:rPr>
        <w:t xml:space="preserve"> is inconspicuous and lacks </w:t>
      </w:r>
      <w:r w:rsidR="007C1523" w:rsidRPr="007C1523">
        <w:rPr>
          <w:rFonts w:ascii="Arial" w:eastAsia="Times New Roman" w:hAnsi="Arial" w:cs="Arial"/>
          <w:sz w:val="24"/>
          <w:szCs w:val="24"/>
          <w:shd w:val="clear" w:color="auto" w:fill="FFFFFF"/>
          <w:lang w:val="en-US" w:eastAsia="en-ZA"/>
        </w:rPr>
        <w:t>the necessary prominence to distinguish its water bottle from the Eco bottle.</w:t>
      </w:r>
      <w:r w:rsidR="007C1523" w:rsidRPr="007C1523">
        <w:rPr>
          <w:rFonts w:ascii="Arial" w:hAnsi="Arial" w:cs="Arial"/>
          <w:sz w:val="24"/>
          <w:szCs w:val="24"/>
        </w:rPr>
        <w:t xml:space="preserve"> My own impression</w:t>
      </w:r>
      <w:r w:rsidR="002F2276">
        <w:rPr>
          <w:rFonts w:ascii="Arial" w:hAnsi="Arial" w:cs="Arial"/>
          <w:sz w:val="24"/>
          <w:szCs w:val="24"/>
        </w:rPr>
        <w:t>,</w:t>
      </w:r>
      <w:r w:rsidR="007C1523" w:rsidRPr="007C1523">
        <w:rPr>
          <w:rFonts w:ascii="Arial" w:hAnsi="Arial" w:cs="Arial"/>
          <w:sz w:val="24"/>
          <w:szCs w:val="24"/>
        </w:rPr>
        <w:t xml:space="preserve"> gleaned from the pictures in the record</w:t>
      </w:r>
      <w:r w:rsidR="002F2276">
        <w:rPr>
          <w:rFonts w:ascii="Arial" w:hAnsi="Arial" w:cs="Arial"/>
          <w:sz w:val="24"/>
          <w:szCs w:val="24"/>
        </w:rPr>
        <w:t>,</w:t>
      </w:r>
      <w:r w:rsidR="007C1523" w:rsidRPr="007C1523">
        <w:rPr>
          <w:rFonts w:ascii="Arial" w:hAnsi="Arial" w:cs="Arial"/>
          <w:sz w:val="24"/>
          <w:szCs w:val="24"/>
        </w:rPr>
        <w:t xml:space="preserve"> is that of striking similarities between the Eco bottle and Buhle Brands’ bottle. It seems to me that the overall design of the Buhle Brands’ water bottle </w:t>
      </w:r>
      <w:r w:rsidR="007C1523" w:rsidRPr="007C1523">
        <w:rPr>
          <w:rFonts w:ascii="Arial" w:eastAsia="Times New Roman" w:hAnsi="Arial" w:cs="Arial"/>
          <w:sz w:val="24"/>
          <w:szCs w:val="24"/>
          <w:shd w:val="clear" w:color="auto" w:fill="FFFFFF"/>
          <w:lang w:val="en-US" w:eastAsia="en-ZA"/>
        </w:rPr>
        <w:t>was not to distinguish it from that of Tupperware, but rather to associate the two. In other words, Buhle seems to have strained every nerve to associate its water bottle with the Eco bottle.</w:t>
      </w:r>
      <w:r w:rsidR="007C1523" w:rsidRPr="007C1523">
        <w:rPr>
          <w:rFonts w:ascii="Arial" w:eastAsia="Times New Roman" w:hAnsi="Arial" w:cs="Arial"/>
          <w:sz w:val="24"/>
          <w:szCs w:val="24"/>
          <w:lang w:val="en-US" w:eastAsia="en-ZA"/>
        </w:rPr>
        <w:t xml:space="preserve"> </w:t>
      </w:r>
      <w:r w:rsidR="007C1523" w:rsidRPr="007C1523">
        <w:rPr>
          <w:rFonts w:ascii="Arial" w:eastAsia="Times New Roman" w:hAnsi="Arial" w:cs="Arial"/>
          <w:sz w:val="24"/>
          <w:szCs w:val="24"/>
          <w:shd w:val="clear" w:color="auto" w:fill="FFFFFF"/>
          <w:lang w:val="en-US" w:eastAsia="en-ZA"/>
        </w:rPr>
        <w:t>The upshot of this is that the assessment of the likelihood of confusion should be undertaken on the footing that the two water bottles are virtually</w:t>
      </w:r>
      <w:r w:rsidR="0066180B">
        <w:rPr>
          <w:rFonts w:ascii="Arial" w:eastAsia="Times New Roman" w:hAnsi="Arial" w:cs="Arial"/>
          <w:sz w:val="24"/>
          <w:szCs w:val="24"/>
          <w:shd w:val="clear" w:color="auto" w:fill="FFFFFF"/>
          <w:lang w:val="en-US" w:eastAsia="en-ZA"/>
        </w:rPr>
        <w:t xml:space="preserve"> identical</w:t>
      </w:r>
      <w:r w:rsidR="007C1523" w:rsidRPr="007C1523">
        <w:rPr>
          <w:rFonts w:ascii="Arial" w:eastAsia="Times New Roman" w:hAnsi="Arial" w:cs="Arial"/>
          <w:sz w:val="24"/>
          <w:szCs w:val="24"/>
          <w:shd w:val="clear" w:color="auto" w:fill="FFFFFF"/>
          <w:lang w:val="en-US" w:eastAsia="en-ZA"/>
        </w:rPr>
        <w:t>.</w:t>
      </w:r>
    </w:p>
    <w:p w14:paraId="4D22F4C0" w14:textId="77777777" w:rsidR="004F4497" w:rsidRPr="004860B6" w:rsidRDefault="004F4497" w:rsidP="004F4497">
      <w:pPr>
        <w:shd w:val="clear" w:color="auto" w:fill="FFFFFF"/>
        <w:spacing w:before="120" w:after="120" w:line="360" w:lineRule="auto"/>
        <w:contextualSpacing/>
        <w:jc w:val="both"/>
        <w:rPr>
          <w:rFonts w:ascii="Arial" w:hAnsi="Arial" w:cs="Arial"/>
          <w:sz w:val="24"/>
          <w:szCs w:val="24"/>
        </w:rPr>
      </w:pPr>
    </w:p>
    <w:p w14:paraId="779AB2E3" w14:textId="6473C6CF" w:rsidR="0019512E" w:rsidRPr="002929D5" w:rsidRDefault="006227FF" w:rsidP="006227FF">
      <w:pPr>
        <w:shd w:val="clear" w:color="auto" w:fill="FFFFFF"/>
        <w:spacing w:before="120" w:after="120" w:line="360" w:lineRule="auto"/>
        <w:contextualSpacing/>
        <w:jc w:val="both"/>
        <w:rPr>
          <w:rFonts w:ascii="Arial" w:hAnsi="Arial" w:cs="Arial"/>
          <w:sz w:val="24"/>
          <w:szCs w:val="24"/>
        </w:rPr>
      </w:pPr>
      <w:r w:rsidRPr="002929D5">
        <w:rPr>
          <w:rFonts w:ascii="Arial" w:hAnsi="Arial" w:cs="Arial"/>
          <w:snapToGrid w:val="0"/>
          <w:color w:val="000000"/>
          <w:w w:val="0"/>
          <w:sz w:val="24"/>
          <w:szCs w:val="24"/>
        </w:rPr>
        <w:lastRenderedPageBreak/>
        <w:t>[48]</w:t>
      </w:r>
      <w:r w:rsidRPr="002929D5">
        <w:rPr>
          <w:rFonts w:ascii="Arial" w:hAnsi="Arial" w:cs="Arial"/>
          <w:snapToGrid w:val="0"/>
          <w:color w:val="000000"/>
          <w:w w:val="0"/>
          <w:sz w:val="24"/>
          <w:szCs w:val="24"/>
        </w:rPr>
        <w:tab/>
      </w:r>
      <w:r w:rsidR="007C1523" w:rsidRPr="002929D5">
        <w:rPr>
          <w:rFonts w:ascii="Arial" w:hAnsi="Arial" w:cs="Arial"/>
          <w:sz w:val="24"/>
          <w:szCs w:val="24"/>
        </w:rPr>
        <w:t>I return to the high court’s consideration of the likelihood of confusion. It concluded that given the sales model, there was no likelihood of confusion. This is how the high court reasoned. The Eco bottles are not sold in retail stores but through a direct marketing strategy and sales model of ‘Tupperware parties.’ These ‘parties’ are organised by a Tupperware consultant who would invite potential customers into their homes to view the Tupperware product range. There are 32 authorised Tupperware distributors geographically spread throughout the country. The authorised distributorships buy the products directly from Tupperware and resell the products to the consultants, comprising 690 000 individuals. Buhle Brands</w:t>
      </w:r>
      <w:r w:rsidR="00EC0B09" w:rsidRPr="002929D5">
        <w:rPr>
          <w:rFonts w:ascii="Arial" w:hAnsi="Arial" w:cs="Arial"/>
          <w:sz w:val="24"/>
          <w:szCs w:val="24"/>
        </w:rPr>
        <w:t xml:space="preserve"> conducts</w:t>
      </w:r>
      <w:r w:rsidR="007C1523" w:rsidRPr="002929D5">
        <w:rPr>
          <w:rFonts w:ascii="Arial" w:hAnsi="Arial" w:cs="Arial"/>
          <w:sz w:val="24"/>
          <w:szCs w:val="24"/>
        </w:rPr>
        <w:t xml:space="preserve"> a similar sales model. Given the above, the high court reasoned:</w:t>
      </w:r>
    </w:p>
    <w:p w14:paraId="0E82DA0B" w14:textId="1FD8F16B" w:rsidR="0019512E" w:rsidRPr="002929D5" w:rsidRDefault="007C1523" w:rsidP="0019512E">
      <w:pPr>
        <w:shd w:val="clear" w:color="auto" w:fill="FFFFFF"/>
        <w:spacing w:before="120" w:after="120" w:line="360" w:lineRule="auto"/>
        <w:contextualSpacing/>
        <w:jc w:val="both"/>
        <w:rPr>
          <w:rFonts w:ascii="Arial" w:hAnsi="Arial" w:cs="Arial"/>
        </w:rPr>
      </w:pPr>
      <w:r w:rsidRPr="002929D5">
        <w:rPr>
          <w:rFonts w:ascii="Arial" w:hAnsi="Arial" w:cs="Arial"/>
        </w:rPr>
        <w:t>‘The difficulty for [Tupperware] is that the sales model used by [it], which is also used by [Buhle Brands], excludes the possibility of confusion or deception. A consumer purchasing the respondent's water bottle at a party hosted by one of [Buhle Brands’] consultants, or just seeing it on [its] catalogue at such a party, will not be deceived into thinking that it is an ECO bottle marketed by [Tupperware]. She or he will know that it is a water bottle marketed by [Buhle Brands].’</w:t>
      </w:r>
    </w:p>
    <w:p w14:paraId="60B26225" w14:textId="77777777" w:rsidR="00117F30" w:rsidRPr="002929D5" w:rsidRDefault="00117F30" w:rsidP="0019512E">
      <w:pPr>
        <w:shd w:val="clear" w:color="auto" w:fill="FFFFFF"/>
        <w:spacing w:before="120" w:after="120" w:line="360" w:lineRule="auto"/>
        <w:contextualSpacing/>
        <w:jc w:val="both"/>
        <w:rPr>
          <w:rFonts w:ascii="Arial" w:hAnsi="Arial" w:cs="Arial"/>
          <w:sz w:val="24"/>
          <w:szCs w:val="24"/>
        </w:rPr>
      </w:pPr>
    </w:p>
    <w:p w14:paraId="77BB2CF4" w14:textId="28C33923" w:rsidR="00BB53BC" w:rsidRPr="002929D5" w:rsidRDefault="006227FF" w:rsidP="006227FF">
      <w:pPr>
        <w:shd w:val="clear" w:color="auto" w:fill="FFFFFF"/>
        <w:spacing w:before="120" w:after="120" w:line="360" w:lineRule="auto"/>
        <w:contextualSpacing/>
        <w:jc w:val="both"/>
        <w:rPr>
          <w:rFonts w:ascii="Arial" w:hAnsi="Arial" w:cs="Arial"/>
          <w:sz w:val="24"/>
          <w:szCs w:val="24"/>
        </w:rPr>
      </w:pPr>
      <w:r w:rsidRPr="002929D5">
        <w:rPr>
          <w:rFonts w:ascii="Arial" w:hAnsi="Arial" w:cs="Arial"/>
          <w:snapToGrid w:val="0"/>
          <w:color w:val="000000"/>
          <w:w w:val="0"/>
          <w:sz w:val="24"/>
          <w:szCs w:val="24"/>
        </w:rPr>
        <w:t>[49]</w:t>
      </w:r>
      <w:r w:rsidRPr="002929D5">
        <w:rPr>
          <w:rFonts w:ascii="Arial" w:hAnsi="Arial" w:cs="Arial"/>
          <w:snapToGrid w:val="0"/>
          <w:color w:val="000000"/>
          <w:w w:val="0"/>
          <w:sz w:val="24"/>
          <w:szCs w:val="24"/>
        </w:rPr>
        <w:tab/>
      </w:r>
      <w:r w:rsidR="007C1523" w:rsidRPr="002929D5">
        <w:rPr>
          <w:rFonts w:ascii="Arial" w:hAnsi="Arial" w:cs="Arial"/>
          <w:sz w:val="24"/>
          <w:szCs w:val="24"/>
        </w:rPr>
        <w:t xml:space="preserve">In my judgment, the high court erred in confining the enquiry </w:t>
      </w:r>
      <w:r w:rsidR="00F41543" w:rsidRPr="002929D5">
        <w:rPr>
          <w:rFonts w:ascii="Arial" w:hAnsi="Arial" w:cs="Arial"/>
          <w:sz w:val="24"/>
          <w:szCs w:val="24"/>
        </w:rPr>
        <w:t>in</w:t>
      </w:r>
      <w:r w:rsidR="007C1523" w:rsidRPr="002929D5">
        <w:rPr>
          <w:rFonts w:ascii="Arial" w:hAnsi="Arial" w:cs="Arial"/>
          <w:sz w:val="24"/>
          <w:szCs w:val="24"/>
        </w:rPr>
        <w:t>to the likelihood of confusion and deception</w:t>
      </w:r>
      <w:r w:rsidR="00F41543" w:rsidRPr="002929D5">
        <w:rPr>
          <w:rFonts w:ascii="Arial" w:hAnsi="Arial" w:cs="Arial"/>
          <w:sz w:val="24"/>
          <w:szCs w:val="24"/>
        </w:rPr>
        <w:t>,</w:t>
      </w:r>
      <w:r w:rsidR="007C1523" w:rsidRPr="002929D5">
        <w:rPr>
          <w:rFonts w:ascii="Arial" w:hAnsi="Arial" w:cs="Arial"/>
          <w:sz w:val="24"/>
          <w:szCs w:val="24"/>
        </w:rPr>
        <w:t xml:space="preserve"> to </w:t>
      </w:r>
      <w:r w:rsidR="00F41543" w:rsidRPr="002929D5">
        <w:rPr>
          <w:rFonts w:ascii="Arial" w:hAnsi="Arial" w:cs="Arial"/>
          <w:sz w:val="24"/>
          <w:szCs w:val="24"/>
        </w:rPr>
        <w:t xml:space="preserve">the </w:t>
      </w:r>
      <w:r w:rsidR="007C1523" w:rsidRPr="002929D5">
        <w:rPr>
          <w:rFonts w:ascii="Arial" w:hAnsi="Arial" w:cs="Arial"/>
          <w:sz w:val="24"/>
          <w:szCs w:val="24"/>
        </w:rPr>
        <w:t xml:space="preserve">Tupperware parties. </w:t>
      </w:r>
      <w:r w:rsidR="00F41543" w:rsidRPr="002929D5">
        <w:rPr>
          <w:rFonts w:ascii="Arial" w:hAnsi="Arial" w:cs="Arial"/>
          <w:sz w:val="24"/>
          <w:szCs w:val="24"/>
        </w:rPr>
        <w:t xml:space="preserve">It is correct that a member of the public who had attended such a party would have become aware that the Eco bottle is a Tupperware product. But this is not </w:t>
      </w:r>
      <w:r w:rsidR="00CD3D62" w:rsidRPr="002929D5">
        <w:rPr>
          <w:rFonts w:ascii="Arial" w:hAnsi="Arial" w:cs="Arial"/>
          <w:bCs/>
          <w:sz w:val="24"/>
          <w:szCs w:val="24"/>
        </w:rPr>
        <w:t>decisive</w:t>
      </w:r>
      <w:r w:rsidR="00F41543" w:rsidRPr="002929D5">
        <w:rPr>
          <w:rFonts w:ascii="Arial" w:hAnsi="Arial" w:cs="Arial"/>
          <w:bCs/>
          <w:sz w:val="24"/>
          <w:szCs w:val="24"/>
        </w:rPr>
        <w:t xml:space="preserve">, </w:t>
      </w:r>
      <w:r w:rsidR="00CD3D62" w:rsidRPr="002929D5">
        <w:rPr>
          <w:rFonts w:ascii="Arial" w:hAnsi="Arial" w:cs="Arial"/>
          <w:bCs/>
          <w:sz w:val="24"/>
          <w:szCs w:val="24"/>
        </w:rPr>
        <w:t xml:space="preserve">as suggested by the high court. The key issue is whether the relevant members </w:t>
      </w:r>
      <w:r w:rsidR="00F41543" w:rsidRPr="002929D5">
        <w:rPr>
          <w:rFonts w:ascii="Arial" w:hAnsi="Arial" w:cs="Arial"/>
          <w:bCs/>
          <w:sz w:val="24"/>
          <w:szCs w:val="24"/>
        </w:rPr>
        <w:t xml:space="preserve">of the public </w:t>
      </w:r>
      <w:r w:rsidR="00207A4E" w:rsidRPr="002929D5">
        <w:rPr>
          <w:rFonts w:ascii="Arial" w:hAnsi="Arial" w:cs="Arial"/>
          <w:bCs/>
          <w:sz w:val="24"/>
          <w:szCs w:val="24"/>
        </w:rPr>
        <w:t xml:space="preserve">would likely </w:t>
      </w:r>
      <w:r w:rsidR="00CD3D62" w:rsidRPr="002929D5">
        <w:rPr>
          <w:rFonts w:ascii="Arial" w:hAnsi="Arial" w:cs="Arial"/>
          <w:bCs/>
          <w:sz w:val="24"/>
          <w:szCs w:val="24"/>
        </w:rPr>
        <w:t>make a business connection between the two traders in respect of their respective bottles.</w:t>
      </w:r>
      <w:r w:rsidR="00207A4E" w:rsidRPr="002929D5">
        <w:rPr>
          <w:rFonts w:ascii="Arial" w:hAnsi="Arial" w:cs="Arial"/>
          <w:sz w:val="24"/>
          <w:szCs w:val="24"/>
        </w:rPr>
        <w:t xml:space="preserve"> </w:t>
      </w:r>
      <w:r w:rsidR="00BB53BC" w:rsidRPr="002929D5">
        <w:rPr>
          <w:rFonts w:ascii="Arial" w:hAnsi="Arial" w:cs="Arial"/>
          <w:sz w:val="24"/>
          <w:szCs w:val="24"/>
        </w:rPr>
        <w:t>Where</w:t>
      </w:r>
      <w:r w:rsidR="007C1523" w:rsidRPr="002929D5">
        <w:rPr>
          <w:rFonts w:ascii="Arial" w:hAnsi="Arial" w:cs="Arial"/>
          <w:sz w:val="24"/>
          <w:szCs w:val="24"/>
        </w:rPr>
        <w:t xml:space="preserve"> </w:t>
      </w:r>
      <w:r w:rsidR="00BB53BC" w:rsidRPr="002929D5">
        <w:rPr>
          <w:rFonts w:ascii="Arial" w:hAnsi="Arial" w:cs="Arial"/>
          <w:sz w:val="24"/>
          <w:szCs w:val="24"/>
        </w:rPr>
        <w:t xml:space="preserve">a potential customer </w:t>
      </w:r>
      <w:r w:rsidR="007C1523" w:rsidRPr="002929D5">
        <w:rPr>
          <w:rFonts w:ascii="Arial" w:hAnsi="Arial" w:cs="Arial"/>
          <w:sz w:val="24"/>
          <w:szCs w:val="24"/>
        </w:rPr>
        <w:t>encounters</w:t>
      </w:r>
      <w:r w:rsidR="00BB53BC" w:rsidRPr="002929D5">
        <w:rPr>
          <w:rFonts w:ascii="Arial" w:hAnsi="Arial" w:cs="Arial"/>
          <w:sz w:val="24"/>
          <w:szCs w:val="24"/>
        </w:rPr>
        <w:t xml:space="preserve"> </w:t>
      </w:r>
      <w:r w:rsidR="007C1523" w:rsidRPr="002929D5">
        <w:rPr>
          <w:rFonts w:ascii="Arial" w:hAnsi="Arial" w:cs="Arial"/>
          <w:sz w:val="24"/>
          <w:szCs w:val="24"/>
        </w:rPr>
        <w:t>a consultant</w:t>
      </w:r>
      <w:r w:rsidR="00207A4E" w:rsidRPr="002929D5">
        <w:rPr>
          <w:rFonts w:ascii="Arial" w:hAnsi="Arial" w:cs="Arial"/>
          <w:sz w:val="24"/>
          <w:szCs w:val="24"/>
        </w:rPr>
        <w:t xml:space="preserve"> who sells both products</w:t>
      </w:r>
      <w:r w:rsidR="00BB53BC" w:rsidRPr="002929D5">
        <w:rPr>
          <w:rFonts w:ascii="Arial" w:hAnsi="Arial" w:cs="Arial"/>
          <w:sz w:val="24"/>
          <w:szCs w:val="24"/>
        </w:rPr>
        <w:t>,</w:t>
      </w:r>
      <w:r w:rsidR="007C1523" w:rsidRPr="002929D5">
        <w:rPr>
          <w:rFonts w:ascii="Arial" w:hAnsi="Arial" w:cs="Arial"/>
          <w:sz w:val="24"/>
          <w:szCs w:val="24"/>
        </w:rPr>
        <w:t xml:space="preserve"> the</w:t>
      </w:r>
      <w:r w:rsidR="00BB53BC" w:rsidRPr="002929D5">
        <w:rPr>
          <w:rFonts w:ascii="Arial" w:hAnsi="Arial" w:cs="Arial"/>
          <w:sz w:val="24"/>
          <w:szCs w:val="24"/>
        </w:rPr>
        <w:t>y</w:t>
      </w:r>
      <w:r w:rsidR="007C1523" w:rsidRPr="002929D5">
        <w:rPr>
          <w:rFonts w:ascii="Arial" w:hAnsi="Arial" w:cs="Arial"/>
          <w:sz w:val="24"/>
          <w:szCs w:val="24"/>
        </w:rPr>
        <w:t xml:space="preserve"> may end up </w:t>
      </w:r>
      <w:r w:rsidR="00BB53BC" w:rsidRPr="002929D5">
        <w:rPr>
          <w:rFonts w:ascii="Arial" w:hAnsi="Arial" w:cs="Arial"/>
          <w:sz w:val="24"/>
          <w:szCs w:val="24"/>
        </w:rPr>
        <w:t xml:space="preserve">making an association between the two products. </w:t>
      </w:r>
      <w:r w:rsidR="00337618" w:rsidRPr="002929D5">
        <w:rPr>
          <w:rFonts w:ascii="Arial" w:hAnsi="Arial" w:cs="Arial"/>
          <w:sz w:val="24"/>
          <w:szCs w:val="24"/>
        </w:rPr>
        <w:t>The consultant may even offer the consumer the Buhle Brands’ bottle because it is cheaper, instead of the Eco bottle.</w:t>
      </w:r>
    </w:p>
    <w:p w14:paraId="537E5C5A" w14:textId="77777777" w:rsidR="00207A4E" w:rsidRPr="002929D5" w:rsidRDefault="00207A4E" w:rsidP="00207A4E">
      <w:pPr>
        <w:shd w:val="clear" w:color="auto" w:fill="FFFFFF"/>
        <w:spacing w:before="120" w:after="120" w:line="360" w:lineRule="auto"/>
        <w:contextualSpacing/>
        <w:jc w:val="both"/>
        <w:rPr>
          <w:rFonts w:ascii="Arial" w:hAnsi="Arial" w:cs="Arial"/>
          <w:sz w:val="24"/>
          <w:szCs w:val="24"/>
        </w:rPr>
      </w:pPr>
    </w:p>
    <w:p w14:paraId="1758E9BC" w14:textId="6E8CC089" w:rsidR="00337618" w:rsidRPr="002929D5" w:rsidRDefault="006227FF" w:rsidP="006227FF">
      <w:pPr>
        <w:shd w:val="clear" w:color="auto" w:fill="FFFFFF"/>
        <w:spacing w:before="120" w:after="120" w:line="360" w:lineRule="auto"/>
        <w:contextualSpacing/>
        <w:jc w:val="both"/>
        <w:rPr>
          <w:rFonts w:ascii="Arial" w:hAnsi="Arial" w:cs="Arial"/>
          <w:sz w:val="24"/>
          <w:szCs w:val="24"/>
        </w:rPr>
      </w:pPr>
      <w:r w:rsidRPr="002929D5">
        <w:rPr>
          <w:rFonts w:ascii="Arial" w:hAnsi="Arial" w:cs="Arial"/>
          <w:snapToGrid w:val="0"/>
          <w:color w:val="000000"/>
          <w:w w:val="0"/>
          <w:sz w:val="24"/>
          <w:szCs w:val="24"/>
        </w:rPr>
        <w:t>[50]</w:t>
      </w:r>
      <w:r w:rsidRPr="002929D5">
        <w:rPr>
          <w:rFonts w:ascii="Arial" w:hAnsi="Arial" w:cs="Arial"/>
          <w:snapToGrid w:val="0"/>
          <w:color w:val="000000"/>
          <w:w w:val="0"/>
          <w:sz w:val="24"/>
          <w:szCs w:val="24"/>
        </w:rPr>
        <w:tab/>
      </w:r>
      <w:r w:rsidR="00207A4E" w:rsidRPr="002929D5">
        <w:rPr>
          <w:rFonts w:ascii="Arial" w:hAnsi="Arial" w:cs="Arial"/>
          <w:sz w:val="24"/>
          <w:szCs w:val="24"/>
        </w:rPr>
        <w:t xml:space="preserve">The high court also ignored the evidence that the two products are also marketed online by sales consultants, and that some of those consultants sell both Tupperware and Buhle Brands products. In some instances, they have the two catalogues depicted side by side. This, in my view, </w:t>
      </w:r>
      <w:r w:rsidR="00207A4E" w:rsidRPr="002929D5">
        <w:rPr>
          <w:rFonts w:ascii="Arial" w:hAnsi="Arial" w:cs="Arial"/>
          <w:bCs/>
          <w:sz w:val="24"/>
          <w:szCs w:val="24"/>
        </w:rPr>
        <w:t>sows the seeds for the likelihood of confusion between the two products.</w:t>
      </w:r>
      <w:r w:rsidR="00337618" w:rsidRPr="002929D5">
        <w:rPr>
          <w:rFonts w:ascii="Arial" w:hAnsi="Arial" w:cs="Arial"/>
          <w:sz w:val="24"/>
          <w:szCs w:val="24"/>
        </w:rPr>
        <w:t xml:space="preserve"> Thus, a</w:t>
      </w:r>
      <w:r w:rsidR="00BB53BC" w:rsidRPr="002929D5">
        <w:rPr>
          <w:rFonts w:ascii="Arial" w:hAnsi="Arial" w:cs="Arial"/>
          <w:sz w:val="24"/>
          <w:szCs w:val="24"/>
        </w:rPr>
        <w:t xml:space="preserve"> potential customer </w:t>
      </w:r>
      <w:r w:rsidR="00337618" w:rsidRPr="002929D5">
        <w:rPr>
          <w:rFonts w:ascii="Arial" w:hAnsi="Arial" w:cs="Arial"/>
          <w:sz w:val="24"/>
          <w:szCs w:val="24"/>
        </w:rPr>
        <w:t xml:space="preserve">who had attended a Tupperware party may wish </w:t>
      </w:r>
      <w:r w:rsidR="00BB53BC" w:rsidRPr="002929D5">
        <w:rPr>
          <w:rFonts w:ascii="Arial" w:hAnsi="Arial" w:cs="Arial"/>
          <w:sz w:val="24"/>
          <w:szCs w:val="24"/>
        </w:rPr>
        <w:t>to purchase</w:t>
      </w:r>
      <w:r w:rsidR="00337618" w:rsidRPr="002929D5">
        <w:rPr>
          <w:rFonts w:ascii="Arial" w:hAnsi="Arial" w:cs="Arial"/>
          <w:sz w:val="24"/>
          <w:szCs w:val="24"/>
        </w:rPr>
        <w:t xml:space="preserve"> the Eco bottle online.</w:t>
      </w:r>
      <w:r w:rsidR="00BB53BC" w:rsidRPr="002929D5">
        <w:rPr>
          <w:rFonts w:ascii="Arial" w:hAnsi="Arial" w:cs="Arial"/>
          <w:sz w:val="24"/>
          <w:szCs w:val="24"/>
        </w:rPr>
        <w:t xml:space="preserve"> </w:t>
      </w:r>
      <w:r w:rsidR="00337618" w:rsidRPr="002929D5">
        <w:rPr>
          <w:rFonts w:ascii="Arial" w:hAnsi="Arial" w:cs="Arial"/>
          <w:sz w:val="24"/>
          <w:szCs w:val="24"/>
        </w:rPr>
        <w:t xml:space="preserve">They </w:t>
      </w:r>
      <w:r w:rsidR="007350C1" w:rsidRPr="002929D5">
        <w:rPr>
          <w:rFonts w:ascii="Arial" w:hAnsi="Arial" w:cs="Arial"/>
          <w:sz w:val="24"/>
          <w:szCs w:val="24"/>
        </w:rPr>
        <w:t>would search</w:t>
      </w:r>
      <w:r w:rsidR="002A4595" w:rsidRPr="002929D5">
        <w:rPr>
          <w:rFonts w:ascii="Arial" w:hAnsi="Arial" w:cs="Arial"/>
          <w:sz w:val="24"/>
          <w:szCs w:val="24"/>
        </w:rPr>
        <w:t xml:space="preserve"> </w:t>
      </w:r>
      <w:r w:rsidR="002A4595" w:rsidRPr="002929D5">
        <w:rPr>
          <w:rFonts w:ascii="Arial" w:hAnsi="Arial" w:cs="Arial"/>
          <w:sz w:val="24"/>
          <w:szCs w:val="24"/>
        </w:rPr>
        <w:lastRenderedPageBreak/>
        <w:t xml:space="preserve">for it </w:t>
      </w:r>
      <w:r w:rsidR="007350C1" w:rsidRPr="002929D5">
        <w:rPr>
          <w:rFonts w:ascii="Arial" w:hAnsi="Arial" w:cs="Arial"/>
          <w:sz w:val="24"/>
          <w:szCs w:val="24"/>
        </w:rPr>
        <w:t xml:space="preserve">by name. </w:t>
      </w:r>
      <w:r w:rsidR="00337618" w:rsidRPr="002929D5">
        <w:rPr>
          <w:rFonts w:ascii="Arial" w:hAnsi="Arial" w:cs="Arial"/>
          <w:sz w:val="24"/>
          <w:szCs w:val="24"/>
        </w:rPr>
        <w:t xml:space="preserve">Another potential customer may have seen the Eco bottle at the office, school or church. They </w:t>
      </w:r>
      <w:r w:rsidR="0082168C">
        <w:rPr>
          <w:rFonts w:ascii="Arial" w:hAnsi="Arial" w:cs="Arial"/>
          <w:sz w:val="24"/>
          <w:szCs w:val="24"/>
        </w:rPr>
        <w:t xml:space="preserve">would likely </w:t>
      </w:r>
      <w:r w:rsidR="00337618" w:rsidRPr="002929D5">
        <w:rPr>
          <w:rFonts w:ascii="Arial" w:hAnsi="Arial" w:cs="Arial"/>
          <w:sz w:val="24"/>
          <w:szCs w:val="24"/>
        </w:rPr>
        <w:t xml:space="preserve">search </w:t>
      </w:r>
      <w:r w:rsidR="002A4595" w:rsidRPr="002929D5">
        <w:rPr>
          <w:rFonts w:ascii="Arial" w:hAnsi="Arial" w:cs="Arial"/>
          <w:sz w:val="24"/>
          <w:szCs w:val="24"/>
        </w:rPr>
        <w:t>for it</w:t>
      </w:r>
      <w:r w:rsidR="00337618" w:rsidRPr="002929D5">
        <w:rPr>
          <w:rFonts w:ascii="Arial" w:hAnsi="Arial" w:cs="Arial"/>
          <w:sz w:val="24"/>
          <w:szCs w:val="24"/>
        </w:rPr>
        <w:t xml:space="preserve"> by shape.</w:t>
      </w:r>
    </w:p>
    <w:p w14:paraId="490BA06C" w14:textId="77777777" w:rsidR="00337618" w:rsidRPr="002929D5" w:rsidRDefault="00337618" w:rsidP="008B02D6">
      <w:pPr>
        <w:rPr>
          <w:rFonts w:ascii="Arial" w:hAnsi="Arial" w:cs="Arial"/>
          <w:sz w:val="24"/>
          <w:szCs w:val="24"/>
        </w:rPr>
      </w:pPr>
    </w:p>
    <w:p w14:paraId="262235D0" w14:textId="664E8D39" w:rsidR="00207A4E" w:rsidRPr="002929D5" w:rsidRDefault="006227FF" w:rsidP="006227FF">
      <w:pPr>
        <w:shd w:val="clear" w:color="auto" w:fill="FFFFFF"/>
        <w:spacing w:before="120" w:after="120" w:line="360" w:lineRule="auto"/>
        <w:contextualSpacing/>
        <w:jc w:val="both"/>
        <w:rPr>
          <w:rFonts w:ascii="Arial" w:hAnsi="Arial" w:cs="Arial"/>
          <w:sz w:val="24"/>
          <w:szCs w:val="24"/>
        </w:rPr>
      </w:pPr>
      <w:r w:rsidRPr="002929D5">
        <w:rPr>
          <w:rFonts w:ascii="Arial" w:hAnsi="Arial" w:cs="Arial"/>
          <w:snapToGrid w:val="0"/>
          <w:color w:val="000000"/>
          <w:w w:val="0"/>
          <w:sz w:val="24"/>
          <w:szCs w:val="24"/>
        </w:rPr>
        <w:t>[51]</w:t>
      </w:r>
      <w:r w:rsidRPr="002929D5">
        <w:rPr>
          <w:rFonts w:ascii="Arial" w:hAnsi="Arial" w:cs="Arial"/>
          <w:snapToGrid w:val="0"/>
          <w:color w:val="000000"/>
          <w:w w:val="0"/>
          <w:sz w:val="24"/>
          <w:szCs w:val="24"/>
        </w:rPr>
        <w:tab/>
      </w:r>
      <w:r w:rsidR="007350C1" w:rsidRPr="002929D5">
        <w:rPr>
          <w:rFonts w:ascii="Arial" w:hAnsi="Arial" w:cs="Arial"/>
          <w:sz w:val="24"/>
          <w:szCs w:val="24"/>
        </w:rPr>
        <w:t xml:space="preserve">In both instances, </w:t>
      </w:r>
      <w:r w:rsidR="00337618" w:rsidRPr="002929D5">
        <w:rPr>
          <w:rFonts w:ascii="Arial" w:hAnsi="Arial" w:cs="Arial"/>
          <w:sz w:val="24"/>
          <w:szCs w:val="24"/>
        </w:rPr>
        <w:t>the potential customer</w:t>
      </w:r>
      <w:r w:rsidR="007350C1" w:rsidRPr="002929D5">
        <w:rPr>
          <w:rFonts w:ascii="Arial" w:hAnsi="Arial" w:cs="Arial"/>
          <w:sz w:val="24"/>
          <w:szCs w:val="24"/>
        </w:rPr>
        <w:t xml:space="preserve"> would likely </w:t>
      </w:r>
      <w:r w:rsidR="00BB53BC" w:rsidRPr="002929D5">
        <w:rPr>
          <w:rFonts w:ascii="Arial" w:hAnsi="Arial" w:cs="Arial"/>
          <w:sz w:val="24"/>
          <w:szCs w:val="24"/>
        </w:rPr>
        <w:t xml:space="preserve">encounter </w:t>
      </w:r>
      <w:r w:rsidR="007350C1" w:rsidRPr="002929D5">
        <w:rPr>
          <w:rFonts w:ascii="Arial" w:hAnsi="Arial" w:cs="Arial"/>
          <w:sz w:val="24"/>
          <w:szCs w:val="24"/>
        </w:rPr>
        <w:t>the Eco bottle and the</w:t>
      </w:r>
      <w:r w:rsidR="00BB53BC" w:rsidRPr="002929D5">
        <w:rPr>
          <w:rFonts w:ascii="Arial" w:hAnsi="Arial" w:cs="Arial"/>
          <w:sz w:val="24"/>
          <w:szCs w:val="24"/>
        </w:rPr>
        <w:t xml:space="preserve"> Buhle Brands bottle</w:t>
      </w:r>
      <w:r w:rsidR="008B02D6" w:rsidRPr="002929D5">
        <w:rPr>
          <w:rFonts w:ascii="Arial" w:hAnsi="Arial" w:cs="Arial"/>
          <w:sz w:val="24"/>
          <w:szCs w:val="24"/>
        </w:rPr>
        <w:t xml:space="preserve"> side by side</w:t>
      </w:r>
      <w:r w:rsidR="00BB53BC" w:rsidRPr="002929D5">
        <w:rPr>
          <w:rFonts w:ascii="Arial" w:hAnsi="Arial" w:cs="Arial"/>
          <w:sz w:val="24"/>
          <w:szCs w:val="24"/>
        </w:rPr>
        <w:t xml:space="preserve">. </w:t>
      </w:r>
      <w:r w:rsidR="007350C1" w:rsidRPr="002929D5">
        <w:rPr>
          <w:rFonts w:ascii="Arial" w:hAnsi="Arial" w:cs="Arial"/>
          <w:sz w:val="24"/>
          <w:szCs w:val="24"/>
        </w:rPr>
        <w:t>In</w:t>
      </w:r>
      <w:r w:rsidR="002A4595" w:rsidRPr="002929D5">
        <w:rPr>
          <w:rFonts w:ascii="Arial" w:hAnsi="Arial" w:cs="Arial"/>
          <w:sz w:val="24"/>
          <w:szCs w:val="24"/>
        </w:rPr>
        <w:t xml:space="preserve"> either case</w:t>
      </w:r>
      <w:r w:rsidR="007350C1" w:rsidRPr="002929D5">
        <w:rPr>
          <w:rFonts w:ascii="Arial" w:hAnsi="Arial" w:cs="Arial"/>
          <w:sz w:val="24"/>
          <w:szCs w:val="24"/>
        </w:rPr>
        <w:t xml:space="preserve">, because of the similarities between the two products, </w:t>
      </w:r>
      <w:r w:rsidR="00BB53BC" w:rsidRPr="002929D5">
        <w:rPr>
          <w:rFonts w:ascii="Arial" w:hAnsi="Arial" w:cs="Arial"/>
          <w:sz w:val="24"/>
          <w:szCs w:val="24"/>
        </w:rPr>
        <w:t xml:space="preserve">they make the association between </w:t>
      </w:r>
      <w:r w:rsidR="007350C1" w:rsidRPr="002929D5">
        <w:rPr>
          <w:rFonts w:ascii="Arial" w:hAnsi="Arial" w:cs="Arial"/>
          <w:sz w:val="24"/>
          <w:szCs w:val="24"/>
        </w:rPr>
        <w:t>them</w:t>
      </w:r>
      <w:r w:rsidR="00BB53BC" w:rsidRPr="002929D5">
        <w:rPr>
          <w:rFonts w:ascii="Arial" w:hAnsi="Arial" w:cs="Arial"/>
          <w:sz w:val="24"/>
          <w:szCs w:val="24"/>
        </w:rPr>
        <w:t>. This association is even more likely to be made online with no one to explain the distinction between the two bottles.</w:t>
      </w:r>
      <w:r w:rsidR="00337618" w:rsidRPr="002929D5">
        <w:rPr>
          <w:rFonts w:ascii="Arial" w:hAnsi="Arial" w:cs="Arial"/>
          <w:sz w:val="24"/>
          <w:szCs w:val="24"/>
        </w:rPr>
        <w:t xml:space="preserve"> </w:t>
      </w:r>
      <w:r w:rsidR="00207A4E" w:rsidRPr="002929D5">
        <w:rPr>
          <w:rFonts w:ascii="Arial" w:hAnsi="Arial" w:cs="Arial"/>
          <w:sz w:val="24"/>
          <w:szCs w:val="24"/>
        </w:rPr>
        <w:t>B</w:t>
      </w:r>
      <w:r w:rsidR="007032BF" w:rsidRPr="002929D5">
        <w:rPr>
          <w:rFonts w:ascii="Arial" w:hAnsi="Arial" w:cs="Arial"/>
          <w:sz w:val="24"/>
          <w:szCs w:val="24"/>
        </w:rPr>
        <w:t>ecause of the similarities,</w:t>
      </w:r>
      <w:r w:rsidR="007C1523" w:rsidRPr="002929D5">
        <w:rPr>
          <w:rFonts w:ascii="Arial" w:hAnsi="Arial" w:cs="Arial"/>
          <w:sz w:val="24"/>
          <w:szCs w:val="24"/>
        </w:rPr>
        <w:t xml:space="preserve"> </w:t>
      </w:r>
      <w:r w:rsidR="00207A4E" w:rsidRPr="002929D5">
        <w:rPr>
          <w:rFonts w:ascii="Arial" w:hAnsi="Arial" w:cs="Arial"/>
          <w:sz w:val="24"/>
          <w:szCs w:val="24"/>
        </w:rPr>
        <w:t>the consumer is likely to perceive</w:t>
      </w:r>
      <w:r w:rsidR="007C1523" w:rsidRPr="002929D5">
        <w:rPr>
          <w:rFonts w:ascii="Arial" w:hAnsi="Arial" w:cs="Arial"/>
          <w:sz w:val="24"/>
          <w:szCs w:val="24"/>
        </w:rPr>
        <w:t xml:space="preserve"> </w:t>
      </w:r>
      <w:r w:rsidR="00207A4E" w:rsidRPr="002929D5">
        <w:rPr>
          <w:rFonts w:ascii="Arial" w:hAnsi="Arial" w:cs="Arial"/>
          <w:sz w:val="24"/>
          <w:szCs w:val="24"/>
        </w:rPr>
        <w:t xml:space="preserve">the two bottles to be </w:t>
      </w:r>
      <w:r w:rsidR="002A4595" w:rsidRPr="002929D5">
        <w:rPr>
          <w:rFonts w:ascii="Arial" w:hAnsi="Arial" w:cs="Arial"/>
          <w:sz w:val="24"/>
          <w:szCs w:val="24"/>
        </w:rPr>
        <w:t>associated.</w:t>
      </w:r>
      <w:r w:rsidR="007C1523" w:rsidRPr="002929D5">
        <w:rPr>
          <w:rFonts w:ascii="Arial" w:hAnsi="Arial" w:cs="Arial"/>
          <w:sz w:val="24"/>
          <w:szCs w:val="24"/>
        </w:rPr>
        <w:t xml:space="preserve"> This type of confusion, which results in consumers purchasing one product thinking that it is the one they know, or is associated with it, is at the heart of the action of passing-off. </w:t>
      </w:r>
      <w:r w:rsidR="00207A4E" w:rsidRPr="002929D5">
        <w:rPr>
          <w:rFonts w:ascii="Arial" w:hAnsi="Arial" w:cs="Arial"/>
          <w:sz w:val="24"/>
          <w:szCs w:val="24"/>
        </w:rPr>
        <w:t xml:space="preserve">Therefore, </w:t>
      </w:r>
      <w:r w:rsidR="002A4595" w:rsidRPr="002929D5">
        <w:rPr>
          <w:rFonts w:ascii="Arial" w:hAnsi="Arial" w:cs="Arial"/>
          <w:sz w:val="24"/>
          <w:szCs w:val="24"/>
        </w:rPr>
        <w:t xml:space="preserve">the </w:t>
      </w:r>
      <w:r w:rsidR="00207A4E" w:rsidRPr="002929D5">
        <w:rPr>
          <w:rFonts w:ascii="Arial" w:hAnsi="Arial" w:cs="Arial"/>
          <w:sz w:val="24"/>
          <w:szCs w:val="24"/>
        </w:rPr>
        <w:t>likelihood of confusion exists.</w:t>
      </w:r>
    </w:p>
    <w:p w14:paraId="5FE526AF" w14:textId="77777777" w:rsidR="007A0D9F" w:rsidRPr="002929D5" w:rsidRDefault="007A0D9F" w:rsidP="00207A4E">
      <w:pPr>
        <w:rPr>
          <w:rFonts w:ascii="Arial" w:hAnsi="Arial" w:cs="Arial"/>
          <w:sz w:val="24"/>
          <w:szCs w:val="24"/>
        </w:rPr>
      </w:pPr>
    </w:p>
    <w:p w14:paraId="3269FA4F" w14:textId="4B3C607E" w:rsidR="00CD3D62" w:rsidRPr="002929D5" w:rsidRDefault="006227FF" w:rsidP="006227FF">
      <w:pPr>
        <w:shd w:val="clear" w:color="auto" w:fill="FFFFFF"/>
        <w:spacing w:before="120" w:after="120" w:line="360" w:lineRule="auto"/>
        <w:contextualSpacing/>
        <w:jc w:val="both"/>
        <w:rPr>
          <w:rFonts w:ascii="Arial" w:hAnsi="Arial" w:cs="Arial"/>
          <w:sz w:val="24"/>
          <w:szCs w:val="24"/>
        </w:rPr>
      </w:pPr>
      <w:r w:rsidRPr="002929D5">
        <w:rPr>
          <w:rFonts w:ascii="Arial" w:hAnsi="Arial" w:cs="Arial"/>
          <w:snapToGrid w:val="0"/>
          <w:color w:val="000000"/>
          <w:w w:val="0"/>
          <w:sz w:val="24"/>
          <w:szCs w:val="24"/>
        </w:rPr>
        <w:t>[52]</w:t>
      </w:r>
      <w:r w:rsidRPr="002929D5">
        <w:rPr>
          <w:rFonts w:ascii="Arial" w:hAnsi="Arial" w:cs="Arial"/>
          <w:snapToGrid w:val="0"/>
          <w:color w:val="000000"/>
          <w:w w:val="0"/>
          <w:sz w:val="24"/>
          <w:szCs w:val="24"/>
        </w:rPr>
        <w:tab/>
      </w:r>
      <w:r w:rsidR="007C1523" w:rsidRPr="002929D5">
        <w:rPr>
          <w:rFonts w:ascii="Arial" w:hAnsi="Arial" w:cs="Arial"/>
          <w:sz w:val="24"/>
          <w:szCs w:val="24"/>
        </w:rPr>
        <w:t>To sum up, Tupperware has established that</w:t>
      </w:r>
      <w:r w:rsidR="007C1523" w:rsidRPr="002929D5">
        <w:rPr>
          <w:rFonts w:ascii="Arial" w:hAnsi="Arial" w:cs="Arial"/>
          <w:sz w:val="24"/>
          <w:szCs w:val="24"/>
          <w:lang w:eastAsia="en-ZA"/>
        </w:rPr>
        <w:t> </w:t>
      </w:r>
      <w:r w:rsidR="007C1523" w:rsidRPr="002929D5">
        <w:rPr>
          <w:rFonts w:ascii="Arial" w:hAnsi="Arial" w:cs="Arial"/>
          <w:sz w:val="24"/>
          <w:szCs w:val="24"/>
        </w:rPr>
        <w:t>it</w:t>
      </w:r>
      <w:r w:rsidR="007C1523" w:rsidRPr="002929D5">
        <w:rPr>
          <w:rFonts w:ascii="Arial" w:hAnsi="Arial" w:cs="Arial"/>
          <w:sz w:val="24"/>
          <w:szCs w:val="24"/>
          <w:lang w:eastAsia="en-ZA"/>
        </w:rPr>
        <w:t xml:space="preserve"> had acquired goodwill deriving from the reputation it had built in respect of its Eco bottle since 2011. The reputation was such that potential customers who attended Tupperware parties identified the Eco bottle by its general get-up, and as being the product of Tupperware. Those customers would perceive the virtually identical water bottles as being </w:t>
      </w:r>
      <w:r w:rsidR="007032BF" w:rsidRPr="002929D5">
        <w:rPr>
          <w:rFonts w:ascii="Arial" w:hAnsi="Arial" w:cs="Arial"/>
          <w:sz w:val="24"/>
          <w:szCs w:val="24"/>
          <w:lang w:eastAsia="en-ZA"/>
        </w:rPr>
        <w:t xml:space="preserve">of </w:t>
      </w:r>
      <w:r w:rsidR="007C1523" w:rsidRPr="002929D5">
        <w:rPr>
          <w:rFonts w:ascii="Arial" w:hAnsi="Arial" w:cs="Arial"/>
          <w:sz w:val="24"/>
          <w:szCs w:val="24"/>
          <w:lang w:eastAsia="en-ZA"/>
        </w:rPr>
        <w:t xml:space="preserve">the same provenance. </w:t>
      </w:r>
      <w:r w:rsidR="007C1523" w:rsidRPr="002929D5">
        <w:rPr>
          <w:rFonts w:ascii="Arial" w:hAnsi="Arial" w:cs="Arial"/>
          <w:sz w:val="24"/>
          <w:szCs w:val="24"/>
        </w:rPr>
        <w:t>The similarities are such that a substantial number of consumers would likely create a connection between the two products</w:t>
      </w:r>
      <w:r w:rsidR="00535741" w:rsidRPr="002929D5">
        <w:rPr>
          <w:rFonts w:ascii="Arial" w:hAnsi="Arial" w:cs="Arial"/>
          <w:sz w:val="24"/>
          <w:szCs w:val="24"/>
        </w:rPr>
        <w:t>. In addition, by adopting the same marketing strategy as Tupperware, Buhle Brands had sought to associate its product in every respect, with that of Tupperware.</w:t>
      </w:r>
      <w:r w:rsidR="004860B6" w:rsidRPr="002929D5">
        <w:rPr>
          <w:rFonts w:ascii="Arial" w:hAnsi="Arial" w:cs="Arial"/>
          <w:sz w:val="24"/>
          <w:szCs w:val="24"/>
        </w:rPr>
        <w:t xml:space="preserve"> </w:t>
      </w:r>
      <w:r w:rsidR="007A0D9F" w:rsidRPr="002929D5">
        <w:rPr>
          <w:rFonts w:ascii="Arial" w:hAnsi="Arial" w:cs="Arial"/>
          <w:sz w:val="24"/>
          <w:szCs w:val="24"/>
          <w:lang w:val="en-GB"/>
        </w:rPr>
        <w:t>This would enable</w:t>
      </w:r>
      <w:r w:rsidR="00CE4B71" w:rsidRPr="002929D5">
        <w:rPr>
          <w:rFonts w:ascii="Arial" w:hAnsi="Arial" w:cs="Arial"/>
          <w:sz w:val="24"/>
          <w:szCs w:val="24"/>
          <w:lang w:val="en-GB"/>
        </w:rPr>
        <w:t xml:space="preserve"> Buhle Brands to trade its water bottle upon and benefit from the reputation of Tupperware’s Eco bottle. </w:t>
      </w:r>
      <w:r w:rsidR="00CE4B71" w:rsidRPr="002929D5">
        <w:rPr>
          <w:rFonts w:ascii="Arial" w:hAnsi="Arial" w:cs="Arial"/>
          <w:sz w:val="24"/>
          <w:szCs w:val="24"/>
        </w:rPr>
        <w:t xml:space="preserve">The </w:t>
      </w:r>
      <w:r w:rsidR="004860B6" w:rsidRPr="002929D5">
        <w:rPr>
          <w:rFonts w:ascii="Arial" w:hAnsi="Arial" w:cs="Arial"/>
          <w:sz w:val="24"/>
          <w:szCs w:val="24"/>
        </w:rPr>
        <w:t>damage to Tupperware</w:t>
      </w:r>
      <w:r w:rsidR="00CE4B71" w:rsidRPr="002929D5">
        <w:rPr>
          <w:rFonts w:ascii="Arial" w:hAnsi="Arial" w:cs="Arial"/>
          <w:sz w:val="24"/>
          <w:szCs w:val="24"/>
        </w:rPr>
        <w:t xml:space="preserve"> is inevitable</w:t>
      </w:r>
      <w:r w:rsidR="007C1523" w:rsidRPr="002929D5">
        <w:rPr>
          <w:rFonts w:ascii="Arial" w:hAnsi="Arial" w:cs="Arial"/>
          <w:sz w:val="24"/>
          <w:szCs w:val="24"/>
        </w:rPr>
        <w:t xml:space="preserve">. </w:t>
      </w:r>
      <w:r w:rsidR="00535741" w:rsidRPr="002929D5">
        <w:rPr>
          <w:rFonts w:ascii="Arial" w:hAnsi="Arial" w:cs="Arial"/>
          <w:sz w:val="24"/>
          <w:szCs w:val="24"/>
        </w:rPr>
        <w:t xml:space="preserve">Accordingly, </w:t>
      </w:r>
      <w:r w:rsidR="007C1523" w:rsidRPr="002929D5">
        <w:rPr>
          <w:rFonts w:ascii="Arial" w:hAnsi="Arial" w:cs="Arial"/>
          <w:sz w:val="24"/>
          <w:szCs w:val="24"/>
        </w:rPr>
        <w:t>Tupperware’s passing-off application should have</w:t>
      </w:r>
      <w:r w:rsidR="007E4076" w:rsidRPr="002929D5">
        <w:rPr>
          <w:rFonts w:ascii="Arial" w:hAnsi="Arial" w:cs="Arial"/>
          <w:sz w:val="24"/>
          <w:szCs w:val="24"/>
        </w:rPr>
        <w:t xml:space="preserve"> succeeded</w:t>
      </w:r>
      <w:r w:rsidR="007C1523" w:rsidRPr="002929D5">
        <w:rPr>
          <w:rFonts w:ascii="Arial" w:hAnsi="Arial" w:cs="Arial"/>
          <w:sz w:val="24"/>
          <w:szCs w:val="24"/>
        </w:rPr>
        <w:t>.</w:t>
      </w:r>
    </w:p>
    <w:p w14:paraId="7083E786" w14:textId="77777777" w:rsidR="004860B6" w:rsidRPr="00E93B99" w:rsidRDefault="004860B6" w:rsidP="00E93B99">
      <w:pPr>
        <w:rPr>
          <w:rFonts w:ascii="Arial" w:hAnsi="Arial" w:cs="Arial"/>
          <w:sz w:val="24"/>
          <w:szCs w:val="24"/>
        </w:rPr>
      </w:pPr>
    </w:p>
    <w:p w14:paraId="44D7307B" w14:textId="75940979" w:rsidR="005C3BC2" w:rsidRDefault="006227FF" w:rsidP="006227FF">
      <w:pPr>
        <w:shd w:val="clear" w:color="auto" w:fill="FFFFFF"/>
        <w:spacing w:before="120" w:after="120" w:line="360" w:lineRule="auto"/>
        <w:contextualSpacing/>
        <w:jc w:val="both"/>
        <w:rPr>
          <w:rFonts w:ascii="Arial" w:hAnsi="Arial" w:cs="Arial"/>
          <w:sz w:val="24"/>
          <w:szCs w:val="24"/>
        </w:rPr>
      </w:pPr>
      <w:r>
        <w:rPr>
          <w:rFonts w:ascii="Arial" w:hAnsi="Arial" w:cs="Arial"/>
          <w:snapToGrid w:val="0"/>
          <w:color w:val="000000"/>
          <w:w w:val="0"/>
          <w:sz w:val="24"/>
          <w:szCs w:val="24"/>
        </w:rPr>
        <w:t>[53]</w:t>
      </w:r>
      <w:r>
        <w:rPr>
          <w:rFonts w:ascii="Arial" w:hAnsi="Arial" w:cs="Arial"/>
          <w:snapToGrid w:val="0"/>
          <w:color w:val="000000"/>
          <w:w w:val="0"/>
          <w:sz w:val="24"/>
          <w:szCs w:val="24"/>
        </w:rPr>
        <w:tab/>
      </w:r>
      <w:r w:rsidR="007C1523" w:rsidRPr="004F4497">
        <w:rPr>
          <w:rFonts w:ascii="Arial" w:hAnsi="Arial" w:cs="Arial"/>
          <w:sz w:val="24"/>
          <w:szCs w:val="24"/>
        </w:rPr>
        <w:t>There remains the issue of costs. Both parties have achieved some success on appeal. Buhle Brands has succeeded in its trade mark counter-application, and Tupperware in its passing-off claim. A fair costs order would be that each party bears its own costs.</w:t>
      </w:r>
    </w:p>
    <w:p w14:paraId="4C875464" w14:textId="77777777" w:rsidR="0066180B" w:rsidRDefault="0066180B" w:rsidP="0066180B">
      <w:pPr>
        <w:pStyle w:val="ListParagraph"/>
        <w:rPr>
          <w:rFonts w:ascii="Arial" w:hAnsi="Arial" w:cs="Arial"/>
          <w:sz w:val="24"/>
          <w:szCs w:val="24"/>
        </w:rPr>
      </w:pPr>
    </w:p>
    <w:p w14:paraId="151B1F2A" w14:textId="335A66E9" w:rsidR="0066180B" w:rsidRDefault="0066180B">
      <w:pPr>
        <w:rPr>
          <w:rFonts w:ascii="Arial" w:hAnsi="Arial" w:cs="Arial"/>
          <w:sz w:val="24"/>
          <w:szCs w:val="24"/>
        </w:rPr>
      </w:pPr>
      <w:r>
        <w:rPr>
          <w:rFonts w:ascii="Arial" w:hAnsi="Arial" w:cs="Arial"/>
          <w:sz w:val="24"/>
          <w:szCs w:val="24"/>
        </w:rPr>
        <w:br w:type="page"/>
      </w:r>
    </w:p>
    <w:p w14:paraId="7EEE473B" w14:textId="4E0A20AA" w:rsidR="007C1523" w:rsidRPr="004004F2" w:rsidRDefault="006227FF" w:rsidP="006227FF">
      <w:pPr>
        <w:shd w:val="clear" w:color="auto" w:fill="FFFFFF"/>
        <w:spacing w:before="120" w:after="360" w:line="360" w:lineRule="auto"/>
        <w:contextualSpacing/>
        <w:jc w:val="both"/>
        <w:rPr>
          <w:rFonts w:ascii="Arial" w:hAnsi="Arial" w:cs="Arial"/>
          <w:sz w:val="24"/>
          <w:szCs w:val="24"/>
        </w:rPr>
      </w:pPr>
      <w:r w:rsidRPr="004004F2">
        <w:rPr>
          <w:rFonts w:ascii="Arial" w:hAnsi="Arial" w:cs="Arial"/>
          <w:snapToGrid w:val="0"/>
          <w:color w:val="000000"/>
          <w:w w:val="0"/>
          <w:sz w:val="24"/>
          <w:szCs w:val="24"/>
        </w:rPr>
        <w:lastRenderedPageBreak/>
        <w:t>[54]</w:t>
      </w:r>
      <w:r w:rsidRPr="004004F2">
        <w:rPr>
          <w:rFonts w:ascii="Arial" w:hAnsi="Arial" w:cs="Arial"/>
          <w:snapToGrid w:val="0"/>
          <w:color w:val="000000"/>
          <w:w w:val="0"/>
          <w:sz w:val="24"/>
          <w:szCs w:val="24"/>
        </w:rPr>
        <w:tab/>
      </w:r>
      <w:r w:rsidR="00DD5EB2">
        <w:rPr>
          <w:rFonts w:ascii="Arial" w:hAnsi="Arial" w:cs="Arial"/>
          <w:sz w:val="24"/>
          <w:szCs w:val="24"/>
        </w:rPr>
        <w:t>In the result I make the following order:</w:t>
      </w:r>
    </w:p>
    <w:p w14:paraId="7895B47B" w14:textId="7A726B66" w:rsidR="003414C2" w:rsidRDefault="004860B6" w:rsidP="004860B6">
      <w:pPr>
        <w:shd w:val="clear" w:color="auto" w:fill="FFFFFF"/>
        <w:spacing w:before="120" w:after="0" w:line="360" w:lineRule="auto"/>
        <w:jc w:val="both"/>
        <w:rPr>
          <w:rFonts w:ascii="Arial" w:hAnsi="Arial" w:cs="Arial"/>
          <w:sz w:val="24"/>
          <w:szCs w:val="24"/>
        </w:rPr>
      </w:pPr>
      <w:r w:rsidRPr="004004F2">
        <w:rPr>
          <w:rFonts w:ascii="Arial" w:hAnsi="Arial" w:cs="Arial"/>
          <w:sz w:val="24"/>
          <w:szCs w:val="24"/>
        </w:rPr>
        <w:t>1</w:t>
      </w:r>
      <w:r w:rsidR="004004F2">
        <w:rPr>
          <w:rFonts w:ascii="Arial" w:hAnsi="Arial" w:cs="Arial"/>
          <w:sz w:val="24"/>
          <w:szCs w:val="24"/>
        </w:rPr>
        <w:t xml:space="preserve">  </w:t>
      </w:r>
      <w:bookmarkStart w:id="78" w:name="_Hlk117685486"/>
      <w:r w:rsidR="003414C2">
        <w:rPr>
          <w:rFonts w:ascii="Arial" w:hAnsi="Arial" w:cs="Arial"/>
          <w:sz w:val="24"/>
          <w:szCs w:val="24"/>
        </w:rPr>
        <w:t xml:space="preserve">The appeal against the </w:t>
      </w:r>
      <w:r w:rsidR="00D52E8F">
        <w:rPr>
          <w:rFonts w:ascii="Arial" w:hAnsi="Arial" w:cs="Arial"/>
          <w:sz w:val="24"/>
          <w:szCs w:val="24"/>
        </w:rPr>
        <w:t>order of the high court upholding the first respondent’s counter-claim is dismissed with no order as to costs.</w:t>
      </w:r>
    </w:p>
    <w:p w14:paraId="78710425" w14:textId="19197CF3" w:rsidR="00D52E8F" w:rsidRDefault="009D7449" w:rsidP="004860B6">
      <w:pPr>
        <w:shd w:val="clear" w:color="auto" w:fill="FFFFFF"/>
        <w:spacing w:before="120" w:after="0" w:line="360" w:lineRule="auto"/>
        <w:jc w:val="both"/>
        <w:rPr>
          <w:rFonts w:ascii="Arial" w:hAnsi="Arial" w:cs="Arial"/>
          <w:sz w:val="24"/>
          <w:szCs w:val="24"/>
        </w:rPr>
      </w:pPr>
      <w:r>
        <w:rPr>
          <w:rFonts w:ascii="Arial" w:hAnsi="Arial" w:cs="Arial"/>
          <w:sz w:val="24"/>
          <w:szCs w:val="24"/>
        </w:rPr>
        <w:t xml:space="preserve">2   </w:t>
      </w:r>
      <w:r w:rsidR="00D52E8F">
        <w:rPr>
          <w:rFonts w:ascii="Arial" w:hAnsi="Arial" w:cs="Arial"/>
          <w:sz w:val="24"/>
          <w:szCs w:val="24"/>
        </w:rPr>
        <w:t>The appeal against the order of the high court dismissing the appellants’ claim based on passing-off is upheld with no order as to costs.</w:t>
      </w:r>
    </w:p>
    <w:bookmarkEnd w:id="78"/>
    <w:p w14:paraId="702C0ACC" w14:textId="52E2DFFF" w:rsidR="004860B6" w:rsidRPr="004004F2" w:rsidRDefault="009D7449" w:rsidP="004860B6">
      <w:pPr>
        <w:shd w:val="clear" w:color="auto" w:fill="FFFFFF"/>
        <w:spacing w:before="120" w:after="0" w:line="360" w:lineRule="auto"/>
        <w:jc w:val="both"/>
        <w:rPr>
          <w:rFonts w:ascii="Arial" w:hAnsi="Arial" w:cs="Arial"/>
          <w:sz w:val="24"/>
          <w:szCs w:val="24"/>
        </w:rPr>
      </w:pPr>
      <w:r>
        <w:rPr>
          <w:rFonts w:ascii="Arial" w:hAnsi="Arial" w:cs="Arial"/>
          <w:sz w:val="24"/>
          <w:szCs w:val="24"/>
        </w:rPr>
        <w:t xml:space="preserve">3    </w:t>
      </w:r>
      <w:r w:rsidR="004860B6" w:rsidRPr="004004F2">
        <w:rPr>
          <w:rFonts w:ascii="Arial" w:hAnsi="Arial" w:cs="Arial"/>
          <w:sz w:val="24"/>
          <w:szCs w:val="24"/>
        </w:rPr>
        <w:t>The order of the</w:t>
      </w:r>
      <w:r w:rsidR="00DB64BC">
        <w:rPr>
          <w:rFonts w:ascii="Arial" w:hAnsi="Arial" w:cs="Arial"/>
          <w:sz w:val="24"/>
          <w:szCs w:val="24"/>
        </w:rPr>
        <w:t xml:space="preserve"> </w:t>
      </w:r>
      <w:r w:rsidR="00D52E8F">
        <w:rPr>
          <w:rFonts w:ascii="Arial" w:hAnsi="Arial" w:cs="Arial"/>
          <w:sz w:val="24"/>
          <w:szCs w:val="24"/>
        </w:rPr>
        <w:t>h</w:t>
      </w:r>
      <w:r w:rsidR="00DB64BC">
        <w:rPr>
          <w:rFonts w:ascii="Arial" w:hAnsi="Arial" w:cs="Arial"/>
          <w:sz w:val="24"/>
          <w:szCs w:val="24"/>
        </w:rPr>
        <w:t xml:space="preserve">igh </w:t>
      </w:r>
      <w:r w:rsidR="00D52E8F">
        <w:rPr>
          <w:rFonts w:ascii="Arial" w:hAnsi="Arial" w:cs="Arial"/>
          <w:sz w:val="24"/>
          <w:szCs w:val="24"/>
        </w:rPr>
        <w:t>c</w:t>
      </w:r>
      <w:r w:rsidR="00DB64BC">
        <w:rPr>
          <w:rFonts w:ascii="Arial" w:hAnsi="Arial" w:cs="Arial"/>
          <w:sz w:val="24"/>
          <w:szCs w:val="24"/>
        </w:rPr>
        <w:t>ourt</w:t>
      </w:r>
      <w:r w:rsidR="0016709F">
        <w:rPr>
          <w:rFonts w:ascii="Arial" w:hAnsi="Arial" w:cs="Arial"/>
          <w:sz w:val="24"/>
          <w:szCs w:val="24"/>
        </w:rPr>
        <w:t xml:space="preserve"> </w:t>
      </w:r>
      <w:r w:rsidR="004860B6" w:rsidRPr="004004F2">
        <w:rPr>
          <w:rFonts w:ascii="Arial" w:hAnsi="Arial" w:cs="Arial"/>
          <w:sz w:val="24"/>
          <w:szCs w:val="24"/>
        </w:rPr>
        <w:t>is set aside and replaced with the following order:</w:t>
      </w:r>
    </w:p>
    <w:p w14:paraId="64A7233A" w14:textId="140E1452" w:rsidR="004860B6" w:rsidRPr="007C1523" w:rsidRDefault="009D7449" w:rsidP="009D7449">
      <w:pPr>
        <w:shd w:val="clear" w:color="auto" w:fill="FFFFFF"/>
        <w:spacing w:before="120" w:after="0" w:line="360" w:lineRule="auto"/>
        <w:contextualSpacing/>
        <w:jc w:val="both"/>
        <w:rPr>
          <w:rFonts w:ascii="Arial" w:hAnsi="Arial" w:cs="Arial"/>
          <w:sz w:val="24"/>
          <w:szCs w:val="24"/>
        </w:rPr>
      </w:pPr>
      <w:r>
        <w:rPr>
          <w:rFonts w:ascii="Arial" w:hAnsi="Arial" w:cs="Arial"/>
          <w:sz w:val="24"/>
          <w:szCs w:val="24"/>
        </w:rPr>
        <w:t xml:space="preserve">         </w:t>
      </w:r>
      <w:r w:rsidR="00E25E31">
        <w:rPr>
          <w:rFonts w:ascii="Arial" w:hAnsi="Arial" w:cs="Arial"/>
          <w:sz w:val="24"/>
          <w:szCs w:val="24"/>
        </w:rPr>
        <w:t xml:space="preserve">‘1  </w:t>
      </w:r>
      <w:r w:rsidR="004860B6" w:rsidRPr="007C1523">
        <w:rPr>
          <w:rFonts w:ascii="Arial" w:hAnsi="Arial" w:cs="Arial"/>
          <w:sz w:val="24"/>
          <w:szCs w:val="24"/>
        </w:rPr>
        <w:t>The app</w:t>
      </w:r>
      <w:r w:rsidR="004860B6" w:rsidRPr="00535741">
        <w:rPr>
          <w:rFonts w:ascii="Arial" w:hAnsi="Arial" w:cs="Arial"/>
          <w:sz w:val="24"/>
          <w:szCs w:val="24"/>
        </w:rPr>
        <w:t>l</w:t>
      </w:r>
      <w:r w:rsidR="002C1229" w:rsidRPr="00535741">
        <w:rPr>
          <w:rFonts w:ascii="Arial" w:hAnsi="Arial" w:cs="Arial"/>
          <w:sz w:val="24"/>
          <w:szCs w:val="24"/>
        </w:rPr>
        <w:t>ic</w:t>
      </w:r>
      <w:r w:rsidR="004860B6" w:rsidRPr="007C1523">
        <w:rPr>
          <w:rFonts w:ascii="Arial" w:hAnsi="Arial" w:cs="Arial"/>
          <w:sz w:val="24"/>
          <w:szCs w:val="24"/>
        </w:rPr>
        <w:t>ants’ application in respect of trade mark infringement is dismissed;</w:t>
      </w:r>
    </w:p>
    <w:p w14:paraId="7AFF504B" w14:textId="6DA7ABC8" w:rsidR="004860B6" w:rsidRPr="007C1523" w:rsidRDefault="004860B6" w:rsidP="004860B6">
      <w:pPr>
        <w:shd w:val="clear" w:color="auto" w:fill="FFFFFF"/>
        <w:spacing w:before="120" w:after="0" w:line="360" w:lineRule="auto"/>
        <w:ind w:left="624"/>
        <w:contextualSpacing/>
        <w:jc w:val="both"/>
        <w:rPr>
          <w:rFonts w:ascii="Arial" w:hAnsi="Arial" w:cs="Arial"/>
          <w:sz w:val="24"/>
          <w:szCs w:val="24"/>
        </w:rPr>
      </w:pPr>
      <w:r w:rsidRPr="007C1523">
        <w:rPr>
          <w:rFonts w:ascii="Arial" w:hAnsi="Arial" w:cs="Arial"/>
          <w:sz w:val="24"/>
          <w:szCs w:val="24"/>
        </w:rPr>
        <w:t xml:space="preserve">2 </w:t>
      </w:r>
      <w:r w:rsidR="00E25E31">
        <w:rPr>
          <w:rFonts w:ascii="Arial" w:hAnsi="Arial" w:cs="Arial"/>
          <w:sz w:val="24"/>
          <w:szCs w:val="24"/>
        </w:rPr>
        <w:t xml:space="preserve"> </w:t>
      </w:r>
      <w:r w:rsidRPr="007C1523">
        <w:rPr>
          <w:rFonts w:ascii="Arial" w:hAnsi="Arial" w:cs="Arial"/>
          <w:sz w:val="24"/>
          <w:szCs w:val="24"/>
        </w:rPr>
        <w:t>The respondent’s counter-application for the cancellation of the trade mark registered in the name of the first applicant, succeeds.</w:t>
      </w:r>
    </w:p>
    <w:p w14:paraId="2FB8407D" w14:textId="7B7943C3" w:rsidR="004860B6" w:rsidRPr="007C1523" w:rsidRDefault="00E25E31" w:rsidP="004860B6">
      <w:pPr>
        <w:shd w:val="clear" w:color="auto" w:fill="FFFFFF"/>
        <w:spacing w:before="120" w:after="0" w:line="360" w:lineRule="auto"/>
        <w:ind w:left="624"/>
        <w:contextualSpacing/>
        <w:jc w:val="both"/>
        <w:rPr>
          <w:rFonts w:ascii="Arial" w:hAnsi="Arial" w:cs="Arial"/>
          <w:sz w:val="24"/>
          <w:szCs w:val="24"/>
        </w:rPr>
      </w:pPr>
      <w:r>
        <w:rPr>
          <w:rFonts w:ascii="Arial" w:hAnsi="Arial" w:cs="Arial"/>
          <w:sz w:val="24"/>
          <w:szCs w:val="24"/>
        </w:rPr>
        <w:t xml:space="preserve">3  </w:t>
      </w:r>
      <w:r w:rsidR="00CB0088" w:rsidRPr="00A051C4">
        <w:rPr>
          <w:rFonts w:ascii="Arial" w:hAnsi="Arial" w:cs="Arial"/>
          <w:sz w:val="24"/>
          <w:szCs w:val="24"/>
        </w:rPr>
        <w:t>It is ordered that t</w:t>
      </w:r>
      <w:r w:rsidR="004860B6" w:rsidRPr="00A051C4">
        <w:rPr>
          <w:rFonts w:ascii="Arial" w:hAnsi="Arial" w:cs="Arial"/>
          <w:sz w:val="24"/>
          <w:szCs w:val="24"/>
        </w:rPr>
        <w:t>he</w:t>
      </w:r>
      <w:r w:rsidR="004860B6" w:rsidRPr="007C1523">
        <w:rPr>
          <w:rFonts w:ascii="Arial" w:hAnsi="Arial" w:cs="Arial"/>
          <w:sz w:val="24"/>
          <w:szCs w:val="24"/>
        </w:rPr>
        <w:t xml:space="preserve"> South African trade mark no. 2015/25572 is to be cancelled in the Register of Trade </w:t>
      </w:r>
      <w:r w:rsidR="00DB64BC">
        <w:rPr>
          <w:rFonts w:ascii="Arial" w:hAnsi="Arial" w:cs="Arial"/>
          <w:sz w:val="24"/>
          <w:szCs w:val="24"/>
        </w:rPr>
        <w:t>M</w:t>
      </w:r>
      <w:r w:rsidR="004860B6" w:rsidRPr="007C1523">
        <w:rPr>
          <w:rFonts w:ascii="Arial" w:hAnsi="Arial" w:cs="Arial"/>
          <w:sz w:val="24"/>
          <w:szCs w:val="24"/>
        </w:rPr>
        <w:t>arks;</w:t>
      </w:r>
    </w:p>
    <w:p w14:paraId="4A8EBCF9" w14:textId="139EDE21" w:rsidR="004860B6" w:rsidRPr="007C1523" w:rsidRDefault="00E25E31" w:rsidP="004860B6">
      <w:pPr>
        <w:shd w:val="clear" w:color="auto" w:fill="FFFFFF"/>
        <w:spacing w:before="120" w:after="0" w:line="360" w:lineRule="auto"/>
        <w:ind w:left="624"/>
        <w:contextualSpacing/>
        <w:jc w:val="both"/>
        <w:rPr>
          <w:rFonts w:ascii="Arial" w:hAnsi="Arial" w:cs="Arial"/>
          <w:sz w:val="24"/>
          <w:szCs w:val="24"/>
        </w:rPr>
      </w:pPr>
      <w:r>
        <w:rPr>
          <w:rFonts w:ascii="Arial" w:hAnsi="Arial" w:cs="Arial"/>
          <w:sz w:val="24"/>
          <w:szCs w:val="24"/>
        </w:rPr>
        <w:t xml:space="preserve">4  </w:t>
      </w:r>
      <w:r w:rsidR="004860B6" w:rsidRPr="007C1523">
        <w:rPr>
          <w:rFonts w:ascii="Arial" w:hAnsi="Arial" w:cs="Arial"/>
          <w:sz w:val="24"/>
          <w:szCs w:val="24"/>
        </w:rPr>
        <w:t>The app</w:t>
      </w:r>
      <w:r w:rsidR="002C1229" w:rsidRPr="00535741">
        <w:rPr>
          <w:rFonts w:ascii="Arial" w:hAnsi="Arial" w:cs="Arial"/>
          <w:sz w:val="24"/>
          <w:szCs w:val="24"/>
        </w:rPr>
        <w:t>lic</w:t>
      </w:r>
      <w:r w:rsidR="004860B6" w:rsidRPr="007C1523">
        <w:rPr>
          <w:rFonts w:ascii="Arial" w:hAnsi="Arial" w:cs="Arial"/>
          <w:sz w:val="24"/>
          <w:szCs w:val="24"/>
        </w:rPr>
        <w:t xml:space="preserve">ants’ claim based on passing-off succeeds.   </w:t>
      </w:r>
    </w:p>
    <w:p w14:paraId="60F473D2" w14:textId="560EF6CB" w:rsidR="004860B6" w:rsidRPr="007C1523" w:rsidRDefault="00E25E31" w:rsidP="004860B6">
      <w:pPr>
        <w:shd w:val="clear" w:color="auto" w:fill="FFFFFF"/>
        <w:spacing w:before="120" w:after="0" w:line="360" w:lineRule="auto"/>
        <w:ind w:left="624"/>
        <w:contextualSpacing/>
        <w:jc w:val="both"/>
        <w:rPr>
          <w:rFonts w:ascii="Arial" w:hAnsi="Arial" w:cs="Arial"/>
          <w:sz w:val="24"/>
          <w:szCs w:val="24"/>
        </w:rPr>
      </w:pPr>
      <w:r>
        <w:rPr>
          <w:rFonts w:ascii="Arial" w:hAnsi="Arial" w:cs="Arial"/>
          <w:sz w:val="24"/>
          <w:szCs w:val="24"/>
        </w:rPr>
        <w:t xml:space="preserve">5  </w:t>
      </w:r>
      <w:r w:rsidR="004860B6" w:rsidRPr="007C1523">
        <w:rPr>
          <w:rFonts w:ascii="Arial" w:hAnsi="Arial" w:cs="Arial"/>
          <w:sz w:val="24"/>
          <w:szCs w:val="24"/>
        </w:rPr>
        <w:t xml:space="preserve">The respondent is restrained and interdicted from passing off its water bottle as being the first applicant’s Eco bottle, and/or part of the Eco bottle range and/or as being connected with the first applicant’s Eco bottle by making use of its water bottle or any other </w:t>
      </w:r>
      <w:r w:rsidR="00B908F3" w:rsidRPr="00A051C4">
        <w:rPr>
          <w:rFonts w:ascii="Arial" w:hAnsi="Arial" w:cs="Arial"/>
          <w:sz w:val="24"/>
          <w:szCs w:val="24"/>
        </w:rPr>
        <w:t>bottle shape</w:t>
      </w:r>
      <w:r w:rsidR="00B908F3" w:rsidRPr="007C1523">
        <w:rPr>
          <w:rFonts w:ascii="Arial" w:hAnsi="Arial" w:cs="Arial"/>
          <w:sz w:val="24"/>
          <w:szCs w:val="24"/>
        </w:rPr>
        <w:t xml:space="preserve"> </w:t>
      </w:r>
      <w:r w:rsidR="004860B6" w:rsidRPr="007C1523">
        <w:rPr>
          <w:rFonts w:ascii="Arial" w:hAnsi="Arial" w:cs="Arial"/>
          <w:sz w:val="24"/>
          <w:szCs w:val="24"/>
        </w:rPr>
        <w:t>confusingly similar to</w:t>
      </w:r>
      <w:r w:rsidR="005B5C85">
        <w:rPr>
          <w:rFonts w:ascii="Arial" w:hAnsi="Arial" w:cs="Arial"/>
          <w:sz w:val="24"/>
          <w:szCs w:val="24"/>
        </w:rPr>
        <w:t xml:space="preserve"> the</w:t>
      </w:r>
      <w:r w:rsidR="004860B6" w:rsidRPr="007C1523">
        <w:rPr>
          <w:rFonts w:ascii="Arial" w:hAnsi="Arial" w:cs="Arial"/>
          <w:sz w:val="24"/>
          <w:szCs w:val="24"/>
        </w:rPr>
        <w:t xml:space="preserve"> first applicant’s Eco bottle.</w:t>
      </w:r>
    </w:p>
    <w:p w14:paraId="3C44A851" w14:textId="055731EC" w:rsidR="00B908F3" w:rsidRDefault="00E25E31" w:rsidP="00224DD8">
      <w:pPr>
        <w:shd w:val="clear" w:color="auto" w:fill="FFFFFF"/>
        <w:spacing w:before="120" w:after="0" w:line="360" w:lineRule="auto"/>
        <w:ind w:left="624"/>
        <w:contextualSpacing/>
        <w:jc w:val="both"/>
        <w:rPr>
          <w:rFonts w:ascii="Arial" w:hAnsi="Arial" w:cs="Arial"/>
          <w:sz w:val="24"/>
          <w:szCs w:val="24"/>
        </w:rPr>
      </w:pPr>
      <w:r>
        <w:rPr>
          <w:rFonts w:ascii="Arial" w:hAnsi="Arial" w:cs="Arial"/>
          <w:sz w:val="24"/>
          <w:szCs w:val="24"/>
        </w:rPr>
        <w:t xml:space="preserve">6 </w:t>
      </w:r>
      <w:r w:rsidR="009D7449">
        <w:rPr>
          <w:rFonts w:ascii="Arial" w:hAnsi="Arial" w:cs="Arial"/>
          <w:sz w:val="24"/>
          <w:szCs w:val="24"/>
        </w:rPr>
        <w:t xml:space="preserve"> </w:t>
      </w:r>
      <w:r w:rsidR="004860B6" w:rsidRPr="007C1523">
        <w:rPr>
          <w:rFonts w:ascii="Arial" w:hAnsi="Arial" w:cs="Arial"/>
          <w:sz w:val="24"/>
          <w:szCs w:val="24"/>
        </w:rPr>
        <w:t>Each party shall pay its own costs.’</w:t>
      </w:r>
    </w:p>
    <w:p w14:paraId="4DA40BD9" w14:textId="77777777" w:rsidR="00296BD3" w:rsidRDefault="00296BD3" w:rsidP="004860B6">
      <w:pPr>
        <w:shd w:val="clear" w:color="auto" w:fill="FFFFFF"/>
        <w:spacing w:before="120" w:after="0" w:line="360" w:lineRule="auto"/>
        <w:contextualSpacing/>
        <w:jc w:val="both"/>
        <w:rPr>
          <w:rFonts w:ascii="Arial" w:hAnsi="Arial" w:cs="Arial"/>
          <w:sz w:val="24"/>
          <w:szCs w:val="24"/>
        </w:rPr>
      </w:pPr>
    </w:p>
    <w:p w14:paraId="337F6F82" w14:textId="77777777" w:rsidR="008B02D6" w:rsidRPr="00B42572" w:rsidRDefault="008B02D6" w:rsidP="004860B6">
      <w:pPr>
        <w:shd w:val="clear" w:color="auto" w:fill="FFFFFF"/>
        <w:spacing w:before="120" w:after="0" w:line="360" w:lineRule="auto"/>
        <w:contextualSpacing/>
        <w:jc w:val="both"/>
        <w:rPr>
          <w:rFonts w:ascii="Arial" w:hAnsi="Arial" w:cs="Arial"/>
          <w:sz w:val="24"/>
          <w:szCs w:val="24"/>
        </w:rPr>
      </w:pPr>
    </w:p>
    <w:p w14:paraId="058260A9" w14:textId="75C2E512" w:rsidR="0059386F" w:rsidRDefault="0059386F" w:rsidP="00665F16">
      <w:pPr>
        <w:shd w:val="clear" w:color="auto" w:fill="FFFFFF"/>
        <w:spacing w:before="120" w:after="120" w:line="360" w:lineRule="auto"/>
        <w:contextualSpacing/>
        <w:jc w:val="both"/>
        <w:rPr>
          <w:rFonts w:ascii="Arial" w:hAnsi="Arial" w:cs="Arial"/>
          <w:color w:val="242121"/>
          <w:sz w:val="24"/>
          <w:szCs w:val="24"/>
          <w:shd w:val="clear" w:color="auto" w:fill="FFFFFF"/>
        </w:rPr>
      </w:pPr>
    </w:p>
    <w:p w14:paraId="50DACDC9" w14:textId="77777777" w:rsidR="0059386F" w:rsidRPr="004A6818" w:rsidRDefault="0059386F" w:rsidP="00665F16">
      <w:pPr>
        <w:shd w:val="clear" w:color="auto" w:fill="FFFFFF"/>
        <w:spacing w:before="120" w:after="120" w:line="360" w:lineRule="auto"/>
        <w:contextualSpacing/>
        <w:jc w:val="both"/>
        <w:rPr>
          <w:rFonts w:ascii="Arial" w:hAnsi="Arial" w:cs="Arial"/>
          <w:color w:val="242121"/>
          <w:sz w:val="24"/>
          <w:szCs w:val="24"/>
          <w:shd w:val="clear" w:color="auto" w:fill="FFFFFF"/>
        </w:rPr>
      </w:pPr>
    </w:p>
    <w:p w14:paraId="5A5CB2C2" w14:textId="7D22D2D1" w:rsidR="007C1523" w:rsidRPr="004A6818" w:rsidRDefault="007C1523" w:rsidP="007C1523">
      <w:pPr>
        <w:spacing w:after="120" w:line="240" w:lineRule="auto"/>
        <w:jc w:val="right"/>
        <w:rPr>
          <w:rFonts w:ascii="Arial" w:hAnsi="Arial" w:cs="Arial"/>
          <w:bCs/>
          <w:sz w:val="24"/>
          <w:szCs w:val="24"/>
        </w:rPr>
      </w:pPr>
      <w:r w:rsidRPr="004A6818">
        <w:rPr>
          <w:rFonts w:ascii="Arial" w:hAnsi="Arial" w:cs="Arial"/>
          <w:bCs/>
          <w:sz w:val="24"/>
          <w:szCs w:val="24"/>
        </w:rPr>
        <w:t>__________________</w:t>
      </w:r>
    </w:p>
    <w:p w14:paraId="3142AE85" w14:textId="77777777" w:rsidR="007C1523" w:rsidRPr="004A6818" w:rsidRDefault="007C1523" w:rsidP="007C1523">
      <w:pPr>
        <w:spacing w:after="120" w:line="240" w:lineRule="auto"/>
        <w:jc w:val="right"/>
        <w:rPr>
          <w:rFonts w:ascii="Arial" w:hAnsi="Arial" w:cs="Arial"/>
          <w:b/>
          <w:bCs/>
          <w:sz w:val="24"/>
          <w:szCs w:val="24"/>
        </w:rPr>
      </w:pPr>
      <w:r w:rsidRPr="004A6818">
        <w:rPr>
          <w:rFonts w:ascii="Arial" w:hAnsi="Arial" w:cs="Arial"/>
          <w:b/>
          <w:bCs/>
          <w:sz w:val="24"/>
          <w:szCs w:val="24"/>
        </w:rPr>
        <w:t>T MAKGOKA</w:t>
      </w:r>
    </w:p>
    <w:p w14:paraId="662DE953" w14:textId="77777777" w:rsidR="007C1523" w:rsidRPr="004A6818" w:rsidRDefault="007C1523" w:rsidP="007C1523">
      <w:pPr>
        <w:spacing w:after="120" w:line="240" w:lineRule="auto"/>
        <w:jc w:val="right"/>
        <w:rPr>
          <w:rFonts w:ascii="Arial" w:hAnsi="Arial" w:cs="Arial"/>
          <w:b/>
          <w:bCs/>
          <w:sz w:val="24"/>
          <w:szCs w:val="24"/>
        </w:rPr>
      </w:pPr>
      <w:r w:rsidRPr="004A6818">
        <w:rPr>
          <w:rFonts w:ascii="Arial" w:hAnsi="Arial" w:cs="Arial"/>
          <w:b/>
          <w:bCs/>
          <w:sz w:val="24"/>
          <w:szCs w:val="24"/>
        </w:rPr>
        <w:t>JUDGE OF APPEAL</w:t>
      </w:r>
    </w:p>
    <w:p w14:paraId="0A5CFA29" w14:textId="77777777" w:rsidR="007C1523" w:rsidRPr="00381CE7" w:rsidRDefault="007C1523" w:rsidP="00D40849">
      <w:pPr>
        <w:spacing w:after="120" w:line="240" w:lineRule="auto"/>
        <w:rPr>
          <w:rFonts w:ascii="Arial" w:hAnsi="Arial" w:cs="Arial"/>
          <w:b/>
          <w:bCs/>
          <w:sz w:val="24"/>
          <w:szCs w:val="24"/>
        </w:rPr>
      </w:pPr>
      <w:r w:rsidRPr="00381CE7">
        <w:rPr>
          <w:rFonts w:ascii="Arial" w:hAnsi="Arial" w:cs="Arial"/>
          <w:b/>
          <w:bCs/>
          <w:sz w:val="24"/>
          <w:szCs w:val="24"/>
        </w:rPr>
        <w:br w:type="page"/>
      </w:r>
    </w:p>
    <w:p w14:paraId="2BF5A4AD" w14:textId="77777777" w:rsidR="007C1523" w:rsidRDefault="007C1523" w:rsidP="007C1523">
      <w:pPr>
        <w:spacing w:after="120" w:line="240" w:lineRule="auto"/>
        <w:rPr>
          <w:rFonts w:ascii="Arial" w:eastAsia="Calibri" w:hAnsi="Arial" w:cs="Arial"/>
          <w:sz w:val="24"/>
          <w:szCs w:val="24"/>
        </w:rPr>
      </w:pPr>
      <w:r w:rsidRPr="00381CE7">
        <w:rPr>
          <w:rFonts w:ascii="Arial" w:eastAsia="Calibri" w:hAnsi="Arial" w:cs="Arial"/>
          <w:sz w:val="24"/>
          <w:szCs w:val="24"/>
        </w:rPr>
        <w:lastRenderedPageBreak/>
        <w:t>APPEARANCES:</w:t>
      </w:r>
      <w:r>
        <w:rPr>
          <w:rFonts w:ascii="Arial" w:eastAsia="Calibri" w:hAnsi="Arial" w:cs="Arial"/>
          <w:sz w:val="24"/>
          <w:szCs w:val="24"/>
        </w:rPr>
        <w:t xml:space="preserve">   </w:t>
      </w:r>
    </w:p>
    <w:p w14:paraId="09BB5A04" w14:textId="77777777" w:rsidR="007C1523" w:rsidRPr="00381CE7" w:rsidRDefault="007C1523" w:rsidP="007C1523">
      <w:pPr>
        <w:spacing w:after="0" w:line="360" w:lineRule="auto"/>
        <w:jc w:val="both"/>
        <w:rPr>
          <w:rFonts w:ascii="Arial" w:hAnsi="Arial" w:cs="Arial"/>
          <w:bCs/>
          <w:sz w:val="24"/>
          <w:szCs w:val="24"/>
        </w:rPr>
      </w:pPr>
      <w:r w:rsidRPr="00381CE7">
        <w:rPr>
          <w:rFonts w:ascii="Arial" w:eastAsia="Calibri" w:hAnsi="Arial" w:cs="Arial"/>
          <w:sz w:val="24"/>
          <w:szCs w:val="24"/>
        </w:rPr>
        <w:t xml:space="preserve">For </w:t>
      </w:r>
      <w:r>
        <w:rPr>
          <w:rFonts w:ascii="Arial" w:eastAsia="Calibri" w:hAnsi="Arial" w:cs="Arial"/>
          <w:sz w:val="24"/>
          <w:szCs w:val="24"/>
        </w:rPr>
        <w:t>appellants</w:t>
      </w:r>
      <w:r w:rsidRPr="00381CE7">
        <w:rPr>
          <w:rFonts w:ascii="Arial" w:eastAsia="Calibri" w:hAnsi="Arial" w:cs="Arial"/>
          <w:sz w:val="24"/>
          <w:szCs w:val="24"/>
        </w:rPr>
        <w:t>:</w:t>
      </w:r>
      <w:r w:rsidRPr="00381CE7">
        <w:rPr>
          <w:rFonts w:ascii="Arial" w:eastAsia="Calibri" w:hAnsi="Arial" w:cs="Arial"/>
          <w:sz w:val="24"/>
          <w:szCs w:val="24"/>
        </w:rPr>
        <w:tab/>
      </w:r>
      <w:r w:rsidRPr="00381CE7">
        <w:rPr>
          <w:rFonts w:ascii="Arial" w:hAnsi="Arial" w:cs="Arial"/>
          <w:sz w:val="24"/>
          <w:szCs w:val="24"/>
        </w:rPr>
        <w:tab/>
      </w:r>
      <w:r>
        <w:rPr>
          <w:rFonts w:ascii="Arial" w:hAnsi="Arial" w:cs="Arial"/>
          <w:sz w:val="24"/>
          <w:szCs w:val="24"/>
        </w:rPr>
        <w:t xml:space="preserve">P Ginsburg </w:t>
      </w:r>
      <w:r w:rsidRPr="00381CE7">
        <w:rPr>
          <w:rFonts w:ascii="Arial" w:hAnsi="Arial" w:cs="Arial"/>
          <w:sz w:val="24"/>
          <w:szCs w:val="24"/>
        </w:rPr>
        <w:t xml:space="preserve">SC (with him </w:t>
      </w:r>
      <w:r>
        <w:rPr>
          <w:rFonts w:ascii="Arial" w:hAnsi="Arial" w:cs="Arial"/>
          <w:sz w:val="24"/>
          <w:szCs w:val="24"/>
        </w:rPr>
        <w:t>LG Kilmartin</w:t>
      </w:r>
      <w:r w:rsidRPr="00381CE7">
        <w:rPr>
          <w:rFonts w:ascii="Arial" w:hAnsi="Arial" w:cs="Arial"/>
          <w:sz w:val="24"/>
          <w:szCs w:val="24"/>
        </w:rPr>
        <w:t xml:space="preserve">) </w:t>
      </w:r>
    </w:p>
    <w:p w14:paraId="737904C5" w14:textId="77777777" w:rsidR="007C1523" w:rsidRPr="00381CE7" w:rsidRDefault="007C1523" w:rsidP="007C1523">
      <w:pPr>
        <w:widowControl w:val="0"/>
        <w:tabs>
          <w:tab w:val="left" w:pos="-1440"/>
        </w:tabs>
        <w:autoSpaceDE w:val="0"/>
        <w:autoSpaceDN w:val="0"/>
        <w:adjustRightInd w:val="0"/>
        <w:spacing w:after="0" w:line="360" w:lineRule="auto"/>
        <w:jc w:val="both"/>
        <w:rPr>
          <w:rFonts w:ascii="Arial" w:hAnsi="Arial" w:cs="Arial"/>
          <w:bCs/>
          <w:sz w:val="24"/>
          <w:szCs w:val="24"/>
        </w:rPr>
      </w:pPr>
      <w:r w:rsidRPr="00381CE7">
        <w:rPr>
          <w:rFonts w:ascii="Arial" w:eastAsia="Calibri" w:hAnsi="Arial" w:cs="Arial"/>
          <w:sz w:val="24"/>
          <w:szCs w:val="24"/>
        </w:rPr>
        <w:t>Instructed by:</w:t>
      </w:r>
      <w:r w:rsidRPr="00381CE7">
        <w:rPr>
          <w:rFonts w:ascii="Arial" w:eastAsia="Calibri" w:hAnsi="Arial" w:cs="Arial"/>
          <w:sz w:val="24"/>
          <w:szCs w:val="24"/>
        </w:rPr>
        <w:tab/>
      </w:r>
      <w:r w:rsidRPr="00381CE7">
        <w:rPr>
          <w:rFonts w:ascii="Arial" w:eastAsia="Calibri" w:hAnsi="Arial" w:cs="Arial"/>
          <w:sz w:val="24"/>
          <w:szCs w:val="24"/>
        </w:rPr>
        <w:tab/>
      </w:r>
      <w:r>
        <w:rPr>
          <w:rFonts w:ascii="Arial" w:hAnsi="Arial" w:cs="Arial"/>
          <w:bCs/>
          <w:sz w:val="24"/>
          <w:szCs w:val="24"/>
        </w:rPr>
        <w:t xml:space="preserve">Adams </w:t>
      </w:r>
      <w:r w:rsidRPr="00381CE7">
        <w:rPr>
          <w:rFonts w:ascii="Arial" w:hAnsi="Arial" w:cs="Arial"/>
          <w:bCs/>
          <w:sz w:val="24"/>
          <w:szCs w:val="24"/>
        </w:rPr>
        <w:t xml:space="preserve">&amp; </w:t>
      </w:r>
      <w:r>
        <w:rPr>
          <w:rFonts w:ascii="Arial" w:hAnsi="Arial" w:cs="Arial"/>
          <w:bCs/>
          <w:sz w:val="24"/>
          <w:szCs w:val="24"/>
        </w:rPr>
        <w:t>Adams,</w:t>
      </w:r>
      <w:r w:rsidRPr="00381CE7">
        <w:rPr>
          <w:rFonts w:ascii="Arial" w:hAnsi="Arial" w:cs="Arial"/>
          <w:bCs/>
          <w:sz w:val="24"/>
          <w:szCs w:val="24"/>
        </w:rPr>
        <w:t xml:space="preserve"> </w:t>
      </w:r>
      <w:r>
        <w:rPr>
          <w:rFonts w:ascii="Arial" w:hAnsi="Arial" w:cs="Arial"/>
          <w:bCs/>
          <w:sz w:val="24"/>
          <w:szCs w:val="24"/>
        </w:rPr>
        <w:t>Cape Town</w:t>
      </w:r>
    </w:p>
    <w:p w14:paraId="04B8F80D" w14:textId="1847F4DE" w:rsidR="007C1523" w:rsidRDefault="007C1523" w:rsidP="007C1523">
      <w:pPr>
        <w:widowControl w:val="0"/>
        <w:tabs>
          <w:tab w:val="left" w:pos="-1440"/>
        </w:tabs>
        <w:autoSpaceDE w:val="0"/>
        <w:autoSpaceDN w:val="0"/>
        <w:adjustRightInd w:val="0"/>
        <w:spacing w:after="0" w:line="360" w:lineRule="auto"/>
        <w:jc w:val="both"/>
        <w:rPr>
          <w:rFonts w:ascii="Arial" w:hAnsi="Arial" w:cs="Arial"/>
          <w:bCs/>
          <w:sz w:val="24"/>
          <w:szCs w:val="24"/>
        </w:rPr>
      </w:pPr>
      <w:r w:rsidRPr="00381CE7">
        <w:rPr>
          <w:rFonts w:ascii="Arial" w:hAnsi="Arial" w:cs="Arial"/>
          <w:bCs/>
          <w:sz w:val="24"/>
          <w:szCs w:val="24"/>
        </w:rPr>
        <w:tab/>
      </w:r>
      <w:r w:rsidRPr="00381CE7">
        <w:rPr>
          <w:rFonts w:ascii="Arial" w:hAnsi="Arial" w:cs="Arial"/>
          <w:bCs/>
          <w:sz w:val="24"/>
          <w:szCs w:val="24"/>
        </w:rPr>
        <w:tab/>
      </w:r>
      <w:r w:rsidRPr="00381CE7">
        <w:rPr>
          <w:rFonts w:ascii="Arial" w:hAnsi="Arial" w:cs="Arial"/>
          <w:bCs/>
          <w:sz w:val="24"/>
          <w:szCs w:val="24"/>
        </w:rPr>
        <w:tab/>
      </w:r>
      <w:r w:rsidRPr="00381CE7">
        <w:rPr>
          <w:rFonts w:ascii="Arial" w:hAnsi="Arial" w:cs="Arial"/>
          <w:bCs/>
          <w:sz w:val="24"/>
          <w:szCs w:val="24"/>
        </w:rPr>
        <w:tab/>
      </w:r>
      <w:r>
        <w:rPr>
          <w:rFonts w:ascii="Arial" w:hAnsi="Arial" w:cs="Arial"/>
          <w:bCs/>
          <w:sz w:val="24"/>
          <w:szCs w:val="24"/>
        </w:rPr>
        <w:t>Honey Attorneys</w:t>
      </w:r>
      <w:r w:rsidR="002A4595">
        <w:rPr>
          <w:rFonts w:ascii="Arial" w:hAnsi="Arial" w:cs="Arial"/>
          <w:bCs/>
          <w:sz w:val="24"/>
          <w:szCs w:val="24"/>
        </w:rPr>
        <w:t>, Bloemfontein</w:t>
      </w:r>
    </w:p>
    <w:p w14:paraId="4710AF36" w14:textId="77777777" w:rsidR="007C1523" w:rsidRDefault="007C1523" w:rsidP="007C1523">
      <w:pPr>
        <w:widowControl w:val="0"/>
        <w:tabs>
          <w:tab w:val="left" w:pos="-1440"/>
        </w:tabs>
        <w:autoSpaceDE w:val="0"/>
        <w:autoSpaceDN w:val="0"/>
        <w:adjustRightInd w:val="0"/>
        <w:spacing w:after="0" w:line="360" w:lineRule="auto"/>
        <w:jc w:val="both"/>
        <w:rPr>
          <w:rFonts w:ascii="Arial" w:hAnsi="Arial" w:cs="Arial"/>
          <w:bCs/>
          <w:sz w:val="24"/>
          <w:szCs w:val="24"/>
        </w:rPr>
      </w:pPr>
    </w:p>
    <w:p w14:paraId="661E9610" w14:textId="77777777" w:rsidR="007C1523" w:rsidRPr="00381CE7" w:rsidRDefault="007C1523" w:rsidP="007C1523">
      <w:pPr>
        <w:spacing w:after="0" w:line="360" w:lineRule="auto"/>
        <w:jc w:val="both"/>
        <w:rPr>
          <w:rFonts w:ascii="Arial" w:hAnsi="Arial" w:cs="Arial"/>
          <w:bCs/>
          <w:sz w:val="24"/>
          <w:szCs w:val="24"/>
        </w:rPr>
      </w:pPr>
      <w:r w:rsidRPr="00381CE7">
        <w:rPr>
          <w:rFonts w:ascii="Arial" w:eastAsia="Calibri" w:hAnsi="Arial" w:cs="Arial"/>
          <w:sz w:val="24"/>
          <w:szCs w:val="24"/>
        </w:rPr>
        <w:t xml:space="preserve">For first </w:t>
      </w:r>
      <w:r w:rsidRPr="00381CE7">
        <w:rPr>
          <w:rFonts w:ascii="Arial" w:hAnsi="Arial" w:cs="Arial"/>
          <w:sz w:val="24"/>
          <w:szCs w:val="24"/>
        </w:rPr>
        <w:t>respondent</w:t>
      </w:r>
      <w:r w:rsidRPr="00381CE7">
        <w:rPr>
          <w:rFonts w:ascii="Arial" w:eastAsia="Calibri" w:hAnsi="Arial" w:cs="Arial"/>
          <w:sz w:val="24"/>
          <w:szCs w:val="24"/>
        </w:rPr>
        <w:t>:</w:t>
      </w:r>
      <w:r w:rsidRPr="00381CE7">
        <w:rPr>
          <w:rFonts w:ascii="Arial" w:eastAsia="Calibri" w:hAnsi="Arial" w:cs="Arial"/>
          <w:sz w:val="24"/>
          <w:szCs w:val="24"/>
        </w:rPr>
        <w:tab/>
      </w:r>
      <w:r w:rsidRPr="00381CE7">
        <w:rPr>
          <w:rFonts w:ascii="Arial" w:hAnsi="Arial" w:cs="Arial"/>
          <w:sz w:val="24"/>
          <w:szCs w:val="24"/>
        </w:rPr>
        <w:tab/>
      </w:r>
      <w:r>
        <w:rPr>
          <w:rFonts w:ascii="Arial" w:hAnsi="Arial" w:cs="Arial"/>
          <w:sz w:val="24"/>
          <w:szCs w:val="24"/>
        </w:rPr>
        <w:t>G Marriott</w:t>
      </w:r>
      <w:r w:rsidRPr="00381CE7">
        <w:rPr>
          <w:rFonts w:ascii="Arial" w:hAnsi="Arial" w:cs="Arial"/>
          <w:sz w:val="24"/>
          <w:szCs w:val="24"/>
        </w:rPr>
        <w:t xml:space="preserve"> </w:t>
      </w:r>
    </w:p>
    <w:p w14:paraId="3E6FCFC9" w14:textId="77777777" w:rsidR="007C1523" w:rsidRPr="00381CE7" w:rsidRDefault="007C1523" w:rsidP="007C1523">
      <w:pPr>
        <w:widowControl w:val="0"/>
        <w:tabs>
          <w:tab w:val="left" w:pos="-1440"/>
        </w:tabs>
        <w:autoSpaceDE w:val="0"/>
        <w:autoSpaceDN w:val="0"/>
        <w:adjustRightInd w:val="0"/>
        <w:spacing w:after="0" w:line="360" w:lineRule="auto"/>
        <w:jc w:val="both"/>
        <w:rPr>
          <w:rFonts w:ascii="Arial" w:hAnsi="Arial" w:cs="Arial"/>
          <w:bCs/>
          <w:sz w:val="24"/>
          <w:szCs w:val="24"/>
        </w:rPr>
      </w:pPr>
      <w:r w:rsidRPr="00381CE7">
        <w:rPr>
          <w:rFonts w:ascii="Arial" w:eastAsia="Calibri" w:hAnsi="Arial" w:cs="Arial"/>
          <w:sz w:val="24"/>
          <w:szCs w:val="24"/>
        </w:rPr>
        <w:t>Instructed by:</w:t>
      </w:r>
      <w:r w:rsidRPr="00381CE7">
        <w:rPr>
          <w:rFonts w:ascii="Arial" w:eastAsia="Calibri" w:hAnsi="Arial" w:cs="Arial"/>
          <w:sz w:val="24"/>
          <w:szCs w:val="24"/>
        </w:rPr>
        <w:tab/>
      </w:r>
      <w:r w:rsidRPr="00381CE7">
        <w:rPr>
          <w:rFonts w:ascii="Arial" w:eastAsia="Calibri" w:hAnsi="Arial" w:cs="Arial"/>
          <w:sz w:val="24"/>
          <w:szCs w:val="24"/>
        </w:rPr>
        <w:tab/>
      </w:r>
      <w:r>
        <w:rPr>
          <w:rFonts w:ascii="Arial" w:hAnsi="Arial" w:cs="Arial"/>
          <w:bCs/>
          <w:sz w:val="24"/>
          <w:szCs w:val="24"/>
        </w:rPr>
        <w:t>Bouwers Inc</w:t>
      </w:r>
      <w:r w:rsidRPr="00381CE7">
        <w:rPr>
          <w:rFonts w:ascii="Arial" w:hAnsi="Arial" w:cs="Arial"/>
          <w:bCs/>
          <w:sz w:val="24"/>
          <w:szCs w:val="24"/>
        </w:rPr>
        <w:t>.</w:t>
      </w:r>
      <w:r>
        <w:rPr>
          <w:rFonts w:ascii="Arial" w:hAnsi="Arial" w:cs="Arial"/>
          <w:bCs/>
          <w:sz w:val="24"/>
          <w:szCs w:val="24"/>
        </w:rPr>
        <w:t>,</w:t>
      </w:r>
      <w:r w:rsidRPr="00381CE7">
        <w:rPr>
          <w:rFonts w:ascii="Arial" w:hAnsi="Arial" w:cs="Arial"/>
          <w:bCs/>
          <w:sz w:val="24"/>
          <w:szCs w:val="24"/>
        </w:rPr>
        <w:t xml:space="preserve"> </w:t>
      </w:r>
      <w:r>
        <w:rPr>
          <w:rFonts w:ascii="Arial" w:hAnsi="Arial" w:cs="Arial"/>
          <w:bCs/>
          <w:sz w:val="24"/>
          <w:szCs w:val="24"/>
        </w:rPr>
        <w:t>Johannesburg</w:t>
      </w:r>
    </w:p>
    <w:p w14:paraId="6283220B" w14:textId="77777777" w:rsidR="007C1523" w:rsidRDefault="007C1523" w:rsidP="007C1523">
      <w:pPr>
        <w:widowControl w:val="0"/>
        <w:tabs>
          <w:tab w:val="left" w:pos="-1440"/>
        </w:tabs>
        <w:autoSpaceDE w:val="0"/>
        <w:autoSpaceDN w:val="0"/>
        <w:adjustRightInd w:val="0"/>
        <w:spacing w:after="0" w:line="360" w:lineRule="auto"/>
        <w:jc w:val="both"/>
        <w:rPr>
          <w:rFonts w:ascii="Arial" w:hAnsi="Arial" w:cs="Arial"/>
          <w:bCs/>
          <w:sz w:val="24"/>
          <w:szCs w:val="24"/>
        </w:rPr>
      </w:pPr>
      <w:r w:rsidRPr="00381CE7">
        <w:rPr>
          <w:rFonts w:ascii="Arial" w:hAnsi="Arial" w:cs="Arial"/>
          <w:bCs/>
          <w:sz w:val="24"/>
          <w:szCs w:val="24"/>
        </w:rPr>
        <w:tab/>
      </w:r>
      <w:r w:rsidRPr="00381CE7">
        <w:rPr>
          <w:rFonts w:ascii="Arial" w:hAnsi="Arial" w:cs="Arial"/>
          <w:bCs/>
          <w:sz w:val="24"/>
          <w:szCs w:val="24"/>
        </w:rPr>
        <w:tab/>
      </w:r>
      <w:r w:rsidRPr="00381CE7">
        <w:rPr>
          <w:rFonts w:ascii="Arial" w:hAnsi="Arial" w:cs="Arial"/>
          <w:bCs/>
          <w:sz w:val="24"/>
          <w:szCs w:val="24"/>
        </w:rPr>
        <w:tab/>
      </w:r>
      <w:r w:rsidRPr="00381CE7">
        <w:rPr>
          <w:rFonts w:ascii="Arial" w:hAnsi="Arial" w:cs="Arial"/>
          <w:bCs/>
          <w:sz w:val="24"/>
          <w:szCs w:val="24"/>
        </w:rPr>
        <w:tab/>
      </w:r>
      <w:r>
        <w:rPr>
          <w:rFonts w:ascii="Arial" w:hAnsi="Arial" w:cs="Arial"/>
          <w:bCs/>
          <w:sz w:val="24"/>
          <w:szCs w:val="24"/>
        </w:rPr>
        <w:t>Hill</w:t>
      </w:r>
      <w:r w:rsidRPr="00381CE7">
        <w:rPr>
          <w:rFonts w:ascii="Arial" w:hAnsi="Arial" w:cs="Arial"/>
          <w:bCs/>
          <w:sz w:val="24"/>
          <w:szCs w:val="24"/>
        </w:rPr>
        <w:t xml:space="preserve">, </w:t>
      </w:r>
      <w:r>
        <w:rPr>
          <w:rFonts w:ascii="Arial" w:hAnsi="Arial" w:cs="Arial"/>
          <w:bCs/>
          <w:sz w:val="24"/>
          <w:szCs w:val="24"/>
        </w:rPr>
        <w:t xml:space="preserve">McHardy &amp; Herbst Inc., </w:t>
      </w:r>
      <w:r w:rsidRPr="00381CE7">
        <w:rPr>
          <w:rFonts w:ascii="Arial" w:hAnsi="Arial" w:cs="Arial"/>
          <w:bCs/>
          <w:sz w:val="24"/>
          <w:szCs w:val="24"/>
        </w:rPr>
        <w:t>Bloemfontein.</w:t>
      </w:r>
    </w:p>
    <w:p w14:paraId="0266B6CA" w14:textId="77777777" w:rsidR="007B7519" w:rsidRDefault="007B7519" w:rsidP="007C1523">
      <w:pPr>
        <w:widowControl w:val="0"/>
        <w:tabs>
          <w:tab w:val="left" w:pos="-1440"/>
        </w:tabs>
        <w:autoSpaceDE w:val="0"/>
        <w:autoSpaceDN w:val="0"/>
        <w:adjustRightInd w:val="0"/>
        <w:spacing w:after="0" w:line="360" w:lineRule="auto"/>
        <w:jc w:val="both"/>
        <w:rPr>
          <w:rFonts w:ascii="Arial" w:hAnsi="Arial" w:cs="Arial"/>
          <w:bCs/>
          <w:sz w:val="24"/>
          <w:szCs w:val="24"/>
        </w:rPr>
      </w:pPr>
    </w:p>
    <w:p w14:paraId="5BBDD989" w14:textId="77777777" w:rsidR="007C1523" w:rsidRPr="00381CE7" w:rsidRDefault="007C1523" w:rsidP="007C1523">
      <w:pPr>
        <w:widowControl w:val="0"/>
        <w:tabs>
          <w:tab w:val="left" w:pos="-1440"/>
        </w:tabs>
        <w:autoSpaceDE w:val="0"/>
        <w:autoSpaceDN w:val="0"/>
        <w:adjustRightInd w:val="0"/>
        <w:spacing w:after="0" w:line="360" w:lineRule="auto"/>
        <w:jc w:val="both"/>
        <w:rPr>
          <w:rFonts w:ascii="Arial" w:hAnsi="Arial" w:cs="Arial"/>
          <w:bCs/>
          <w:sz w:val="24"/>
          <w:szCs w:val="24"/>
        </w:rPr>
      </w:pPr>
    </w:p>
    <w:p w14:paraId="1D4F38EF" w14:textId="77777777" w:rsidR="007C1523" w:rsidRPr="00381CE7" w:rsidRDefault="007C1523" w:rsidP="007C1523">
      <w:pPr>
        <w:spacing w:after="120" w:line="240" w:lineRule="auto"/>
        <w:rPr>
          <w:rFonts w:ascii="Arial" w:hAnsi="Arial" w:cs="Arial"/>
          <w:b/>
          <w:bCs/>
          <w:sz w:val="24"/>
          <w:szCs w:val="24"/>
        </w:rPr>
      </w:pPr>
    </w:p>
    <w:p w14:paraId="0347EC57" w14:textId="77777777" w:rsidR="007C1523" w:rsidRPr="00381CE7" w:rsidRDefault="007C1523" w:rsidP="007C1523">
      <w:pPr>
        <w:spacing w:after="0" w:line="360" w:lineRule="auto"/>
        <w:jc w:val="both"/>
        <w:rPr>
          <w:rFonts w:ascii="Arial" w:eastAsia="Calibri" w:hAnsi="Arial" w:cs="Arial"/>
          <w:sz w:val="24"/>
          <w:szCs w:val="24"/>
        </w:rPr>
      </w:pPr>
      <w:r>
        <w:rPr>
          <w:rFonts w:ascii="Arial" w:eastAsia="Calibri" w:hAnsi="Arial" w:cs="Arial"/>
          <w:sz w:val="24"/>
          <w:szCs w:val="24"/>
        </w:rPr>
        <w:t xml:space="preserve">                                           </w:t>
      </w:r>
    </w:p>
    <w:p w14:paraId="79426BF7" w14:textId="77777777" w:rsidR="007C1523" w:rsidRPr="00381CE7" w:rsidRDefault="007C1523" w:rsidP="007C1523">
      <w:pPr>
        <w:spacing w:after="0" w:line="360" w:lineRule="auto"/>
        <w:jc w:val="both"/>
        <w:rPr>
          <w:rFonts w:ascii="Arial" w:eastAsia="Calibri" w:hAnsi="Arial" w:cs="Arial"/>
          <w:sz w:val="24"/>
          <w:szCs w:val="24"/>
        </w:rPr>
      </w:pPr>
      <w:r w:rsidRPr="00381CE7">
        <w:rPr>
          <w:rFonts w:ascii="Arial" w:eastAsia="Calibri" w:hAnsi="Arial" w:cs="Arial"/>
          <w:sz w:val="24"/>
          <w:szCs w:val="24"/>
        </w:rPr>
        <w:tab/>
      </w:r>
      <w:r w:rsidRPr="00381CE7">
        <w:rPr>
          <w:rFonts w:ascii="Arial" w:eastAsia="Calibri" w:hAnsi="Arial" w:cs="Arial"/>
          <w:sz w:val="24"/>
          <w:szCs w:val="24"/>
        </w:rPr>
        <w:tab/>
      </w:r>
      <w:r w:rsidRPr="00381CE7">
        <w:rPr>
          <w:rFonts w:ascii="Arial" w:eastAsia="Calibri" w:hAnsi="Arial" w:cs="Arial"/>
          <w:sz w:val="24"/>
          <w:szCs w:val="24"/>
        </w:rPr>
        <w:tab/>
      </w:r>
      <w:r w:rsidRPr="00381CE7">
        <w:rPr>
          <w:rFonts w:ascii="Arial" w:eastAsia="Calibri" w:hAnsi="Arial" w:cs="Arial"/>
          <w:sz w:val="24"/>
          <w:szCs w:val="24"/>
        </w:rPr>
        <w:tab/>
      </w:r>
    </w:p>
    <w:p w14:paraId="0434E2F0" w14:textId="77777777" w:rsidR="007C1523" w:rsidRPr="00D04CE8" w:rsidRDefault="007C1523" w:rsidP="007C1523">
      <w:pPr>
        <w:rPr>
          <w:lang w:val="en-US"/>
        </w:rPr>
      </w:pPr>
    </w:p>
    <w:p w14:paraId="3D5F4EE0" w14:textId="7BF2D37F" w:rsidR="007C1523" w:rsidRDefault="007C1523" w:rsidP="00665F16">
      <w:pPr>
        <w:shd w:val="clear" w:color="auto" w:fill="FFFFFF"/>
        <w:spacing w:before="120" w:after="120" w:line="360" w:lineRule="auto"/>
        <w:contextualSpacing/>
        <w:jc w:val="both"/>
        <w:rPr>
          <w:rFonts w:ascii="Verdana" w:hAnsi="Verdana"/>
          <w:color w:val="242121"/>
          <w:sz w:val="27"/>
          <w:szCs w:val="27"/>
          <w:shd w:val="clear" w:color="auto" w:fill="FFFFFF"/>
        </w:rPr>
      </w:pPr>
    </w:p>
    <w:p w14:paraId="1C0A9A7E" w14:textId="5DD599C1" w:rsidR="007C1523" w:rsidRDefault="007C1523" w:rsidP="00665F16">
      <w:pPr>
        <w:shd w:val="clear" w:color="auto" w:fill="FFFFFF"/>
        <w:spacing w:before="120" w:after="120" w:line="360" w:lineRule="auto"/>
        <w:contextualSpacing/>
        <w:jc w:val="both"/>
        <w:rPr>
          <w:rFonts w:ascii="Verdana" w:hAnsi="Verdana"/>
          <w:color w:val="242121"/>
          <w:sz w:val="27"/>
          <w:szCs w:val="27"/>
          <w:shd w:val="clear" w:color="auto" w:fill="FFFFFF"/>
        </w:rPr>
      </w:pPr>
    </w:p>
    <w:p w14:paraId="667873FA" w14:textId="3606291E" w:rsidR="007C1523" w:rsidRDefault="007C1523" w:rsidP="00665F16">
      <w:pPr>
        <w:shd w:val="clear" w:color="auto" w:fill="FFFFFF"/>
        <w:spacing w:before="120" w:after="120" w:line="360" w:lineRule="auto"/>
        <w:contextualSpacing/>
        <w:jc w:val="both"/>
        <w:rPr>
          <w:rFonts w:ascii="Verdana" w:hAnsi="Verdana"/>
          <w:color w:val="242121"/>
          <w:sz w:val="27"/>
          <w:szCs w:val="27"/>
          <w:shd w:val="clear" w:color="auto" w:fill="FFFFFF"/>
        </w:rPr>
      </w:pPr>
    </w:p>
    <w:p w14:paraId="256441EF" w14:textId="12424618" w:rsidR="007C1523" w:rsidRDefault="007C1523" w:rsidP="00665F16">
      <w:pPr>
        <w:shd w:val="clear" w:color="auto" w:fill="FFFFFF"/>
        <w:spacing w:before="120" w:after="120" w:line="360" w:lineRule="auto"/>
        <w:contextualSpacing/>
        <w:jc w:val="both"/>
        <w:rPr>
          <w:rFonts w:ascii="Verdana" w:hAnsi="Verdana"/>
          <w:color w:val="242121"/>
          <w:sz w:val="27"/>
          <w:szCs w:val="27"/>
          <w:shd w:val="clear" w:color="auto" w:fill="FFFFFF"/>
        </w:rPr>
      </w:pPr>
    </w:p>
    <w:p w14:paraId="1387B926" w14:textId="58D6A3A5" w:rsidR="007C1523" w:rsidRDefault="007C1523" w:rsidP="00665F16">
      <w:pPr>
        <w:shd w:val="clear" w:color="auto" w:fill="FFFFFF"/>
        <w:spacing w:before="120" w:after="120" w:line="360" w:lineRule="auto"/>
        <w:contextualSpacing/>
        <w:jc w:val="both"/>
        <w:rPr>
          <w:rFonts w:ascii="Verdana" w:hAnsi="Verdana"/>
          <w:color w:val="242121"/>
          <w:sz w:val="27"/>
          <w:szCs w:val="27"/>
          <w:shd w:val="clear" w:color="auto" w:fill="FFFFFF"/>
        </w:rPr>
      </w:pPr>
    </w:p>
    <w:p w14:paraId="3D50DDAA" w14:textId="62548BBC" w:rsidR="007C1523" w:rsidRDefault="007C1523" w:rsidP="00665F16">
      <w:pPr>
        <w:shd w:val="clear" w:color="auto" w:fill="FFFFFF"/>
        <w:spacing w:before="120" w:after="120" w:line="360" w:lineRule="auto"/>
        <w:contextualSpacing/>
        <w:jc w:val="both"/>
        <w:rPr>
          <w:rFonts w:ascii="Verdana" w:hAnsi="Verdana"/>
          <w:color w:val="242121"/>
          <w:sz w:val="27"/>
          <w:szCs w:val="27"/>
          <w:shd w:val="clear" w:color="auto" w:fill="FFFFFF"/>
        </w:rPr>
      </w:pPr>
    </w:p>
    <w:p w14:paraId="6081A85A" w14:textId="6924649A" w:rsidR="007C1523" w:rsidRDefault="007C1523" w:rsidP="00665F16">
      <w:pPr>
        <w:shd w:val="clear" w:color="auto" w:fill="FFFFFF"/>
        <w:spacing w:before="120" w:after="120" w:line="360" w:lineRule="auto"/>
        <w:contextualSpacing/>
        <w:jc w:val="both"/>
        <w:rPr>
          <w:rFonts w:ascii="Verdana" w:hAnsi="Verdana"/>
          <w:color w:val="242121"/>
          <w:sz w:val="27"/>
          <w:szCs w:val="27"/>
          <w:shd w:val="clear" w:color="auto" w:fill="FFFFFF"/>
        </w:rPr>
      </w:pPr>
    </w:p>
    <w:sectPr w:rsidR="007C1523" w:rsidSect="00A41BAF">
      <w:headerReference w:type="default" r:id="rId13"/>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21A05" w16cex:dateUtc="2022-11-06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7A7060" w16cid:durableId="27121A0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B47FB" w14:textId="77777777" w:rsidR="004F61A6" w:rsidRDefault="004F61A6" w:rsidP="00B36222">
      <w:pPr>
        <w:spacing w:after="0" w:line="240" w:lineRule="auto"/>
      </w:pPr>
      <w:r>
        <w:separator/>
      </w:r>
    </w:p>
  </w:endnote>
  <w:endnote w:type="continuationSeparator" w:id="0">
    <w:p w14:paraId="5A3479C1" w14:textId="77777777" w:rsidR="004F61A6" w:rsidRDefault="004F61A6" w:rsidP="00B36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1"/>
    <w:family w:val="modern"/>
    <w:pitch w:val="fixed"/>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19772" w14:textId="77777777" w:rsidR="004F61A6" w:rsidRDefault="004F61A6" w:rsidP="00B36222">
      <w:pPr>
        <w:spacing w:after="0" w:line="240" w:lineRule="auto"/>
      </w:pPr>
      <w:r>
        <w:separator/>
      </w:r>
    </w:p>
  </w:footnote>
  <w:footnote w:type="continuationSeparator" w:id="0">
    <w:p w14:paraId="1948BD8F" w14:textId="77777777" w:rsidR="004F61A6" w:rsidRDefault="004F61A6" w:rsidP="00B36222">
      <w:pPr>
        <w:spacing w:after="0" w:line="240" w:lineRule="auto"/>
      </w:pPr>
      <w:r>
        <w:continuationSeparator/>
      </w:r>
    </w:p>
  </w:footnote>
  <w:footnote w:id="1">
    <w:p w14:paraId="14F20734" w14:textId="4E1301B4" w:rsidR="005D2A2D" w:rsidRPr="005D2A2D" w:rsidRDefault="005D2A2D">
      <w:pPr>
        <w:pStyle w:val="FootnoteText"/>
        <w:rPr>
          <w:lang w:val="en-US"/>
        </w:rPr>
      </w:pPr>
      <w:r>
        <w:rPr>
          <w:rStyle w:val="FootnoteReference"/>
        </w:rPr>
        <w:footnoteRef/>
      </w:r>
      <w:r>
        <w:t xml:space="preserve"> </w:t>
      </w:r>
      <w:r w:rsidRPr="00BE6F55">
        <w:rPr>
          <w:rFonts w:ascii="Arial" w:hAnsi="Arial" w:cs="Arial"/>
          <w:i/>
          <w:iCs/>
        </w:rPr>
        <w:t xml:space="preserve">Beecham Group plc and </w:t>
      </w:r>
      <w:r>
        <w:rPr>
          <w:rFonts w:ascii="Arial" w:hAnsi="Arial" w:cs="Arial"/>
          <w:i/>
          <w:iCs/>
        </w:rPr>
        <w:t>A</w:t>
      </w:r>
      <w:r w:rsidRPr="00BE6F55">
        <w:rPr>
          <w:rFonts w:ascii="Arial" w:hAnsi="Arial" w:cs="Arial"/>
          <w:i/>
          <w:iCs/>
        </w:rPr>
        <w:t xml:space="preserve">nother v Triomed (Pty) Limited </w:t>
      </w:r>
      <w:r w:rsidRPr="00BE6F55">
        <w:rPr>
          <w:rFonts w:ascii="Arial" w:hAnsi="Arial" w:cs="Arial"/>
        </w:rPr>
        <w:t>[2002]</w:t>
      </w:r>
      <w:r>
        <w:rPr>
          <w:rFonts w:ascii="Arial" w:hAnsi="Arial" w:cs="Arial"/>
        </w:rPr>
        <w:t xml:space="preserve"> ZASCA 109; [2002]</w:t>
      </w:r>
      <w:r w:rsidRPr="00BE6F55">
        <w:rPr>
          <w:rFonts w:ascii="Arial" w:hAnsi="Arial" w:cs="Arial"/>
        </w:rPr>
        <w:t xml:space="preserve"> 4 All SA 193 (SCA)</w:t>
      </w:r>
      <w:r>
        <w:rPr>
          <w:rFonts w:ascii="Arial" w:hAnsi="Arial" w:cs="Arial"/>
        </w:rPr>
        <w:t xml:space="preserve"> </w:t>
      </w:r>
      <w:r w:rsidR="008B02D6" w:rsidRPr="005D2A2D">
        <w:rPr>
          <w:rFonts w:ascii="Arial" w:hAnsi="Arial" w:cs="Arial"/>
          <w:iCs/>
        </w:rPr>
        <w:t>(</w:t>
      </w:r>
      <w:r w:rsidR="008B02D6">
        <w:rPr>
          <w:rFonts w:ascii="Arial" w:hAnsi="Arial" w:cs="Arial"/>
          <w:i/>
          <w:iCs/>
        </w:rPr>
        <w:t>Beecham</w:t>
      </w:r>
      <w:r w:rsidR="008B02D6" w:rsidRPr="005D2A2D">
        <w:rPr>
          <w:rFonts w:ascii="Arial" w:hAnsi="Arial" w:cs="Arial"/>
          <w:iCs/>
        </w:rPr>
        <w:t>)</w:t>
      </w:r>
      <w:r w:rsidR="008B02D6">
        <w:rPr>
          <w:rFonts w:ascii="Arial" w:hAnsi="Arial" w:cs="Arial"/>
          <w:iCs/>
        </w:rPr>
        <w:t xml:space="preserve"> </w:t>
      </w:r>
      <w:r w:rsidRPr="00A051C4">
        <w:rPr>
          <w:rFonts w:ascii="Arial" w:hAnsi="Arial" w:cs="Arial"/>
        </w:rPr>
        <w:t>para 20</w:t>
      </w:r>
      <w:r w:rsidR="008B02D6">
        <w:rPr>
          <w:rFonts w:ascii="Arial" w:hAnsi="Arial" w:cs="Arial"/>
          <w:iCs/>
        </w:rPr>
        <w:t>.</w:t>
      </w:r>
    </w:p>
  </w:footnote>
  <w:footnote w:id="2">
    <w:p w14:paraId="7313FD52" w14:textId="52D7E6D8" w:rsidR="00285B86" w:rsidRPr="00BE6F55" w:rsidRDefault="00285B86" w:rsidP="00BE6F55">
      <w:pPr>
        <w:pStyle w:val="FootnoteText"/>
        <w:jc w:val="both"/>
        <w:rPr>
          <w:rFonts w:ascii="Arial" w:hAnsi="Arial" w:cs="Arial"/>
        </w:rPr>
      </w:pPr>
      <w:r w:rsidRPr="00BE6F55">
        <w:rPr>
          <w:rStyle w:val="FootnoteReference"/>
          <w:rFonts w:ascii="Arial" w:hAnsi="Arial" w:cs="Arial"/>
        </w:rPr>
        <w:footnoteRef/>
      </w:r>
      <w:r w:rsidRPr="00BE6F55">
        <w:rPr>
          <w:rFonts w:ascii="Arial" w:hAnsi="Arial" w:cs="Arial"/>
        </w:rPr>
        <w:t xml:space="preserve"> Ibid</w:t>
      </w:r>
      <w:r w:rsidR="00140D1C">
        <w:rPr>
          <w:rFonts w:ascii="Arial" w:hAnsi="Arial" w:cs="Arial"/>
        </w:rPr>
        <w:t>.</w:t>
      </w:r>
    </w:p>
  </w:footnote>
  <w:footnote w:id="3">
    <w:p w14:paraId="60EA1FA8" w14:textId="054D5769" w:rsidR="00285B86" w:rsidRPr="00BE6F55" w:rsidRDefault="00285B86" w:rsidP="00BE6F55">
      <w:pPr>
        <w:pStyle w:val="FootnoteText"/>
        <w:jc w:val="both"/>
        <w:rPr>
          <w:rFonts w:ascii="Arial" w:hAnsi="Arial" w:cs="Arial"/>
        </w:rPr>
      </w:pPr>
      <w:r w:rsidRPr="00BE6F55">
        <w:rPr>
          <w:rStyle w:val="FootnoteReference"/>
          <w:rFonts w:ascii="Arial" w:hAnsi="Arial" w:cs="Arial"/>
        </w:rPr>
        <w:footnoteRef/>
      </w:r>
      <w:r w:rsidRPr="00BE6F55">
        <w:rPr>
          <w:rFonts w:ascii="Arial" w:hAnsi="Arial" w:cs="Arial"/>
        </w:rPr>
        <w:t xml:space="preserve"> Ibid</w:t>
      </w:r>
      <w:r w:rsidR="00140D1C">
        <w:rPr>
          <w:rFonts w:ascii="Arial" w:hAnsi="Arial" w:cs="Arial"/>
        </w:rPr>
        <w:t>.</w:t>
      </w:r>
    </w:p>
  </w:footnote>
  <w:footnote w:id="4">
    <w:p w14:paraId="692F8A8D" w14:textId="3355DF6C" w:rsidR="00D76269" w:rsidRPr="00BE6F55" w:rsidRDefault="00D76269" w:rsidP="00BE6F55">
      <w:pPr>
        <w:pStyle w:val="FootnoteText"/>
        <w:jc w:val="both"/>
        <w:rPr>
          <w:rFonts w:ascii="Arial" w:hAnsi="Arial" w:cs="Arial"/>
        </w:rPr>
      </w:pPr>
      <w:r w:rsidRPr="00BE6F55">
        <w:rPr>
          <w:rStyle w:val="FootnoteReference"/>
          <w:rFonts w:ascii="Arial" w:hAnsi="Arial" w:cs="Arial"/>
        </w:rPr>
        <w:footnoteRef/>
      </w:r>
      <w:r w:rsidRPr="00BE6F55">
        <w:rPr>
          <w:rFonts w:ascii="Arial" w:hAnsi="Arial" w:cs="Arial"/>
        </w:rPr>
        <w:t xml:space="preserve"> </w:t>
      </w:r>
      <w:r w:rsidR="00A46ACD" w:rsidRPr="00BE6F55">
        <w:rPr>
          <w:rFonts w:ascii="Arial" w:hAnsi="Arial" w:cs="Arial"/>
          <w:color w:val="242121"/>
          <w:shd w:val="clear" w:color="auto" w:fill="FFFFFF"/>
          <w:lang w:val="en-GB"/>
        </w:rPr>
        <w:t xml:space="preserve">G C Webster </w:t>
      </w:r>
      <w:r w:rsidR="00A46ACD" w:rsidRPr="00116EE8">
        <w:rPr>
          <w:rFonts w:ascii="Arial" w:hAnsi="Arial" w:cs="Arial"/>
          <w:i/>
          <w:color w:val="242121"/>
          <w:shd w:val="clear" w:color="auto" w:fill="FFFFFF"/>
          <w:lang w:val="en-GB"/>
        </w:rPr>
        <w:t>et al</w:t>
      </w:r>
      <w:r w:rsidR="00A46ACD" w:rsidRPr="00BE6F55">
        <w:rPr>
          <w:rFonts w:ascii="Arial" w:hAnsi="Arial" w:cs="Arial"/>
          <w:color w:val="242121"/>
          <w:shd w:val="clear" w:color="auto" w:fill="FFFFFF"/>
          <w:lang w:val="en-GB"/>
        </w:rPr>
        <w:t> </w:t>
      </w:r>
      <w:r w:rsidR="00A46ACD" w:rsidRPr="00BE6F55">
        <w:rPr>
          <w:rFonts w:ascii="Arial" w:hAnsi="Arial" w:cs="Arial"/>
          <w:i/>
          <w:iCs/>
          <w:color w:val="242121"/>
          <w:shd w:val="clear" w:color="auto" w:fill="FFFFFF"/>
          <w:lang w:val="en-GB"/>
        </w:rPr>
        <w:t>Webster and Page: South African Law of Trade Marks</w:t>
      </w:r>
      <w:r w:rsidR="00A46ACD" w:rsidRPr="00BE6F55">
        <w:rPr>
          <w:rFonts w:ascii="Arial" w:hAnsi="Arial" w:cs="Arial"/>
          <w:color w:val="242121"/>
          <w:shd w:val="clear" w:color="auto" w:fill="FFFFFF"/>
          <w:lang w:val="en-GB"/>
        </w:rPr>
        <w:t> (Service Issue 19, 2015) at 3-48(7) para 3.40.2.</w:t>
      </w:r>
    </w:p>
  </w:footnote>
  <w:footnote w:id="5">
    <w:p w14:paraId="2B499713" w14:textId="43A8131F" w:rsidR="00271A03" w:rsidRPr="00BE6F55" w:rsidRDefault="00271A03" w:rsidP="00BE6F55">
      <w:pPr>
        <w:pStyle w:val="FootnoteText"/>
        <w:jc w:val="both"/>
        <w:rPr>
          <w:rFonts w:ascii="Arial" w:hAnsi="Arial" w:cs="Arial"/>
        </w:rPr>
      </w:pPr>
      <w:r w:rsidRPr="00BE6F55">
        <w:rPr>
          <w:rStyle w:val="FootnoteReference"/>
          <w:rFonts w:ascii="Arial" w:hAnsi="Arial" w:cs="Arial"/>
        </w:rPr>
        <w:footnoteRef/>
      </w:r>
      <w:r w:rsidRPr="00BE6F55">
        <w:rPr>
          <w:rFonts w:ascii="Arial" w:hAnsi="Arial" w:cs="Arial"/>
        </w:rPr>
        <w:t xml:space="preserve"> </w:t>
      </w:r>
      <w:bookmarkStart w:id="21" w:name="fnB35"/>
      <w:bookmarkStart w:id="22" w:name="_Hlk116840287"/>
      <w:r w:rsidRPr="00BE6F55">
        <w:rPr>
          <w:rFonts w:ascii="Arial" w:hAnsi="Arial" w:cs="Arial"/>
          <w:i/>
          <w:iCs/>
          <w:color w:val="242121"/>
          <w:shd w:val="clear" w:color="auto" w:fill="FFFFFF"/>
        </w:rPr>
        <w:t>Scandecor Developments AB v Scandecor Marketing AV &amp; Others</w:t>
      </w:r>
      <w:bookmarkStart w:id="23" w:name="disp2"/>
      <w:bookmarkEnd w:id="23"/>
      <w:r w:rsidRPr="00BE6F55">
        <w:rPr>
          <w:rFonts w:ascii="Arial" w:hAnsi="Arial" w:cs="Arial"/>
          <w:color w:val="242121"/>
          <w:shd w:val="clear" w:color="auto" w:fill="FFFFFF"/>
        </w:rPr>
        <w:t> [2001] UKHL 21, [2002] FSR 122 (HL)</w:t>
      </w:r>
      <w:bookmarkEnd w:id="21"/>
      <w:bookmarkEnd w:id="22"/>
      <w:r w:rsidR="00350B92" w:rsidRPr="00BE6F55">
        <w:rPr>
          <w:rFonts w:ascii="Arial" w:hAnsi="Arial" w:cs="Arial"/>
          <w:color w:val="242121"/>
          <w:shd w:val="clear" w:color="auto" w:fill="FFFFFF"/>
        </w:rPr>
        <w:t xml:space="preserve">, cited with approval in </w:t>
      </w:r>
      <w:r w:rsidR="00350B92" w:rsidRPr="00BE6F55">
        <w:rPr>
          <w:rFonts w:ascii="Arial" w:hAnsi="Arial" w:cs="Arial"/>
          <w:i/>
          <w:color w:val="242121"/>
          <w:shd w:val="clear" w:color="auto" w:fill="FFFFFF"/>
        </w:rPr>
        <w:t>AM Moolla Group Ltd and Others v Gap Inc and Others</w:t>
      </w:r>
      <w:r w:rsidR="00350B92" w:rsidRPr="00BE6F55">
        <w:rPr>
          <w:rFonts w:ascii="Arial" w:hAnsi="Arial" w:cs="Arial"/>
          <w:color w:val="242121"/>
          <w:shd w:val="clear" w:color="auto" w:fill="FFFFFF"/>
        </w:rPr>
        <w:t xml:space="preserve"> [2005] ZASCA 72; [2005] 4 All SA 245 (SCA) para 38.</w:t>
      </w:r>
    </w:p>
  </w:footnote>
  <w:footnote w:id="6">
    <w:p w14:paraId="1426BC5A" w14:textId="0341FDA7" w:rsidR="00B44A7E" w:rsidRPr="00BE6F55" w:rsidRDefault="00B44A7E" w:rsidP="00BE6F55">
      <w:pPr>
        <w:pStyle w:val="Heading2"/>
        <w:shd w:val="clear" w:color="auto" w:fill="FFFFFF"/>
        <w:spacing w:before="0" w:line="240" w:lineRule="auto"/>
        <w:jc w:val="both"/>
        <w:rPr>
          <w:rFonts w:ascii="Arial" w:eastAsia="Times New Roman" w:hAnsi="Arial" w:cs="Arial"/>
          <w:color w:val="auto"/>
          <w:sz w:val="20"/>
          <w:szCs w:val="20"/>
          <w:lang w:eastAsia="en-ZA"/>
        </w:rPr>
      </w:pPr>
      <w:r w:rsidRPr="00BE6F55">
        <w:rPr>
          <w:rStyle w:val="FootnoteReference"/>
          <w:rFonts w:ascii="Arial" w:hAnsi="Arial" w:cs="Arial"/>
          <w:color w:val="auto"/>
          <w:sz w:val="20"/>
          <w:szCs w:val="20"/>
        </w:rPr>
        <w:footnoteRef/>
      </w:r>
      <w:r w:rsidRPr="00BE6F55">
        <w:rPr>
          <w:rFonts w:ascii="Arial" w:hAnsi="Arial" w:cs="Arial"/>
          <w:color w:val="auto"/>
          <w:sz w:val="20"/>
          <w:szCs w:val="20"/>
        </w:rPr>
        <w:t xml:space="preserve"> </w:t>
      </w:r>
      <w:r w:rsidRPr="00BE6F55">
        <w:rPr>
          <w:rFonts w:ascii="Arial" w:eastAsia="Times New Roman" w:hAnsi="Arial" w:cs="Arial"/>
          <w:i/>
          <w:iCs/>
          <w:color w:val="auto"/>
          <w:sz w:val="20"/>
          <w:szCs w:val="20"/>
          <w:lang w:eastAsia="en-ZA"/>
        </w:rPr>
        <w:t>Bergkelder Bpk v Vredendal Koöp Wynmakery and Others</w:t>
      </w:r>
      <w:r w:rsidRPr="00BE6F55">
        <w:rPr>
          <w:rFonts w:ascii="Arial" w:eastAsia="Times New Roman" w:hAnsi="Arial" w:cs="Arial"/>
          <w:color w:val="auto"/>
          <w:sz w:val="20"/>
          <w:szCs w:val="20"/>
          <w:lang w:eastAsia="en-ZA"/>
        </w:rPr>
        <w:t xml:space="preserve"> [2006] ZASCA 5; 2006 (4) SA 275 (SCA); [2006] 4 All SA 215 (SCA).</w:t>
      </w:r>
    </w:p>
  </w:footnote>
  <w:footnote w:id="7">
    <w:p w14:paraId="002A0E39" w14:textId="77777777" w:rsidR="009D1028" w:rsidRPr="00BE6F55" w:rsidRDefault="009D1028" w:rsidP="00BE6F55">
      <w:pPr>
        <w:pStyle w:val="FootnoteText"/>
        <w:jc w:val="both"/>
        <w:rPr>
          <w:rFonts w:ascii="Arial" w:eastAsiaTheme="minorEastAsia" w:hAnsi="Arial" w:cs="Arial"/>
          <w:lang w:eastAsia="en-ZA"/>
        </w:rPr>
      </w:pPr>
      <w:r w:rsidRPr="00BE6F55">
        <w:rPr>
          <w:rStyle w:val="FootnoteReference"/>
          <w:rFonts w:ascii="Arial" w:hAnsi="Arial" w:cs="Arial"/>
        </w:rPr>
        <w:footnoteRef/>
      </w:r>
      <w:r w:rsidRPr="00BE6F55">
        <w:rPr>
          <w:rFonts w:ascii="Arial" w:eastAsiaTheme="minorEastAsia" w:hAnsi="Arial" w:cs="Arial"/>
          <w:lang w:eastAsia="en-ZA"/>
        </w:rPr>
        <w:t xml:space="preserve"> Ibid para 7 (footnote excluded). </w:t>
      </w:r>
    </w:p>
  </w:footnote>
  <w:footnote w:id="8">
    <w:p w14:paraId="78538C40" w14:textId="77777777" w:rsidR="0019178C" w:rsidRPr="00BE6F55" w:rsidRDefault="0019178C" w:rsidP="00BE6F55">
      <w:pPr>
        <w:pStyle w:val="FootnoteText"/>
        <w:jc w:val="both"/>
        <w:rPr>
          <w:rFonts w:ascii="Arial" w:hAnsi="Arial" w:cs="Arial"/>
        </w:rPr>
      </w:pPr>
      <w:r w:rsidRPr="00BE6F55">
        <w:rPr>
          <w:rStyle w:val="FootnoteReference"/>
          <w:rFonts w:ascii="Arial" w:hAnsi="Arial" w:cs="Arial"/>
        </w:rPr>
        <w:footnoteRef/>
      </w:r>
      <w:r w:rsidRPr="00BE6F55">
        <w:rPr>
          <w:rFonts w:ascii="Arial" w:hAnsi="Arial" w:cs="Arial"/>
        </w:rPr>
        <w:t xml:space="preserve"> Ibid.</w:t>
      </w:r>
    </w:p>
  </w:footnote>
  <w:footnote w:id="9">
    <w:p w14:paraId="0DE46BBD" w14:textId="528192AB" w:rsidR="00850921" w:rsidRPr="00107BC4" w:rsidRDefault="00850921" w:rsidP="00BE6F55">
      <w:pPr>
        <w:pStyle w:val="FootnoteText"/>
        <w:jc w:val="both"/>
        <w:rPr>
          <w:rFonts w:ascii="Arial" w:hAnsi="Arial" w:cs="Arial"/>
        </w:rPr>
      </w:pPr>
      <w:r w:rsidRPr="00BE6F55">
        <w:rPr>
          <w:rStyle w:val="FootnoteReference"/>
          <w:rFonts w:ascii="Arial" w:hAnsi="Arial" w:cs="Arial"/>
        </w:rPr>
        <w:footnoteRef/>
      </w:r>
      <w:r w:rsidRPr="00BE6F55">
        <w:rPr>
          <w:rFonts w:ascii="Arial" w:hAnsi="Arial" w:cs="Arial"/>
        </w:rPr>
        <w:t xml:space="preserve"> </w:t>
      </w:r>
      <w:r w:rsidR="00BE6F55" w:rsidRPr="00BE6F55">
        <w:rPr>
          <w:rFonts w:ascii="Arial" w:hAnsi="Arial" w:cs="Arial"/>
          <w:i/>
          <w:iCs/>
          <w:lang w:eastAsia="en-ZA"/>
        </w:rPr>
        <w:t>Bergkelder</w:t>
      </w:r>
      <w:r w:rsidR="00BE6F55">
        <w:rPr>
          <w:rFonts w:ascii="Arial" w:hAnsi="Arial" w:cs="Arial"/>
          <w:i/>
          <w:iCs/>
          <w:lang w:eastAsia="en-ZA"/>
        </w:rPr>
        <w:t xml:space="preserve"> </w:t>
      </w:r>
      <w:r w:rsidR="00BE6F55">
        <w:rPr>
          <w:rFonts w:ascii="Arial" w:hAnsi="Arial" w:cs="Arial"/>
          <w:lang w:eastAsia="en-ZA"/>
        </w:rPr>
        <w:t xml:space="preserve">para </w:t>
      </w:r>
      <w:r w:rsidR="00107BC4">
        <w:rPr>
          <w:rFonts w:ascii="Arial" w:hAnsi="Arial" w:cs="Arial"/>
          <w:lang w:eastAsia="en-ZA"/>
        </w:rPr>
        <w:t xml:space="preserve">8, citing </w:t>
      </w:r>
      <w:r w:rsidR="00107BC4">
        <w:rPr>
          <w:rFonts w:ascii="Arial" w:hAnsi="Arial" w:cs="Arial"/>
          <w:i/>
          <w:iCs/>
          <w:lang w:eastAsia="en-ZA"/>
        </w:rPr>
        <w:t xml:space="preserve">Bongrain SA’s Trade Mark Application </w:t>
      </w:r>
      <w:r w:rsidR="00107BC4">
        <w:rPr>
          <w:rFonts w:ascii="Arial" w:hAnsi="Arial" w:cs="Arial"/>
          <w:lang w:eastAsia="en-ZA"/>
        </w:rPr>
        <w:t>[2005] RPC 14 para 26.</w:t>
      </w:r>
    </w:p>
  </w:footnote>
  <w:footnote w:id="10">
    <w:p w14:paraId="59CB0564" w14:textId="5C8C5F33" w:rsidR="00107BC4" w:rsidRPr="00323F56" w:rsidRDefault="00107BC4">
      <w:pPr>
        <w:pStyle w:val="FootnoteText"/>
        <w:rPr>
          <w:rFonts w:ascii="Arial" w:hAnsi="Arial" w:cs="Arial"/>
        </w:rPr>
      </w:pPr>
      <w:r w:rsidRPr="00323F56">
        <w:rPr>
          <w:rStyle w:val="FootnoteReference"/>
          <w:rFonts w:ascii="Arial" w:hAnsi="Arial" w:cs="Arial"/>
        </w:rPr>
        <w:footnoteRef/>
      </w:r>
      <w:r w:rsidRPr="00323F56">
        <w:rPr>
          <w:rFonts w:ascii="Arial" w:hAnsi="Arial" w:cs="Arial"/>
        </w:rPr>
        <w:t xml:space="preserve"> Ibid para 9.</w:t>
      </w:r>
    </w:p>
  </w:footnote>
  <w:footnote w:id="11">
    <w:p w14:paraId="1CBC5727" w14:textId="34FA2E49" w:rsidR="0017032A" w:rsidRPr="00BE6F55" w:rsidRDefault="0017032A" w:rsidP="00BE6F55">
      <w:pPr>
        <w:pStyle w:val="FootnoteText"/>
        <w:jc w:val="both"/>
        <w:rPr>
          <w:rFonts w:ascii="Arial" w:hAnsi="Arial" w:cs="Arial"/>
        </w:rPr>
      </w:pPr>
      <w:r w:rsidRPr="00BE6F55">
        <w:rPr>
          <w:rStyle w:val="FootnoteReference"/>
          <w:rFonts w:ascii="Arial" w:hAnsi="Arial" w:cs="Arial"/>
        </w:rPr>
        <w:footnoteRef/>
      </w:r>
      <w:r w:rsidRPr="00BE6F55">
        <w:rPr>
          <w:rFonts w:ascii="Arial" w:hAnsi="Arial" w:cs="Arial"/>
        </w:rPr>
        <w:t xml:space="preserve"> </w:t>
      </w:r>
      <w:r w:rsidRPr="00BE6F55">
        <w:rPr>
          <w:rFonts w:ascii="Arial" w:hAnsi="Arial" w:cs="Arial"/>
          <w:i/>
          <w:iCs/>
          <w:color w:val="000000"/>
        </w:rPr>
        <w:t>The London Taxi</w:t>
      </w:r>
      <w:bookmarkStart w:id="28" w:name="_Hlk116866044"/>
      <w:r w:rsidR="00107BC4">
        <w:rPr>
          <w:rFonts w:ascii="Arial" w:hAnsi="Arial" w:cs="Arial"/>
          <w:i/>
          <w:iCs/>
          <w:color w:val="000000"/>
        </w:rPr>
        <w:t xml:space="preserve"> Corporation Ltd (t/a the London Taxi Company) v Frazer-Nash Research Ltd &amp; Anor </w:t>
      </w:r>
      <w:r w:rsidR="00107BC4">
        <w:rPr>
          <w:rFonts w:ascii="Arial" w:hAnsi="Arial" w:cs="Arial"/>
          <w:color w:val="000000"/>
        </w:rPr>
        <w:t>[2017] EWCA Civ 1729</w:t>
      </w:r>
      <w:r w:rsidRPr="00BE6F55">
        <w:rPr>
          <w:rFonts w:ascii="Arial" w:hAnsi="Arial" w:cs="Arial"/>
          <w:color w:val="000000"/>
        </w:rPr>
        <w:t> </w:t>
      </w:r>
      <w:bookmarkEnd w:id="28"/>
      <w:r w:rsidR="00612B02" w:rsidRPr="00BE6F55">
        <w:rPr>
          <w:rFonts w:ascii="Arial" w:hAnsi="Arial" w:cs="Arial"/>
          <w:color w:val="000000"/>
        </w:rPr>
        <w:t>p</w:t>
      </w:r>
      <w:r w:rsidRPr="00BE6F55">
        <w:rPr>
          <w:rFonts w:ascii="Arial" w:hAnsi="Arial" w:cs="Arial"/>
          <w:color w:val="000000"/>
        </w:rPr>
        <w:t>ara 45.</w:t>
      </w:r>
    </w:p>
  </w:footnote>
  <w:footnote w:id="12">
    <w:p w14:paraId="6898BFE6" w14:textId="55E00E3C" w:rsidR="00987827" w:rsidRPr="008B02D6" w:rsidRDefault="00987827" w:rsidP="00323F56">
      <w:pPr>
        <w:shd w:val="clear" w:color="auto" w:fill="FFFFFF"/>
        <w:spacing w:after="0" w:line="240" w:lineRule="auto"/>
        <w:contextualSpacing/>
        <w:jc w:val="both"/>
        <w:rPr>
          <w:rFonts w:ascii="Arial" w:hAnsi="Arial" w:cs="Arial"/>
          <w:sz w:val="20"/>
          <w:szCs w:val="20"/>
        </w:rPr>
      </w:pPr>
      <w:r w:rsidRPr="00BE6F55">
        <w:rPr>
          <w:rStyle w:val="FootnoteReference"/>
          <w:rFonts w:ascii="Arial" w:hAnsi="Arial" w:cs="Arial"/>
          <w:sz w:val="20"/>
          <w:szCs w:val="20"/>
        </w:rPr>
        <w:footnoteRef/>
      </w:r>
      <w:r w:rsidRPr="00BE6F55">
        <w:rPr>
          <w:rFonts w:ascii="Arial" w:hAnsi="Arial" w:cs="Arial"/>
          <w:sz w:val="20"/>
          <w:szCs w:val="20"/>
        </w:rPr>
        <w:t xml:space="preserve"> </w:t>
      </w:r>
      <w:r w:rsidR="00815537" w:rsidRPr="00BE6F55">
        <w:rPr>
          <w:rFonts w:ascii="Arial" w:hAnsi="Arial" w:cs="Arial"/>
          <w:sz w:val="20"/>
          <w:szCs w:val="20"/>
        </w:rPr>
        <w:t xml:space="preserve">M Tsele </w:t>
      </w:r>
      <w:r w:rsidR="00815537" w:rsidRPr="00BE6F55">
        <w:rPr>
          <w:rFonts w:ascii="Arial" w:hAnsi="Arial" w:cs="Arial"/>
          <w:i/>
          <w:iCs/>
          <w:sz w:val="20"/>
          <w:szCs w:val="20"/>
        </w:rPr>
        <w:t xml:space="preserve">Shape Up or Ship Out! — </w:t>
      </w:r>
      <w:r w:rsidR="00815537" w:rsidRPr="008B02D6">
        <w:rPr>
          <w:rFonts w:ascii="Arial" w:hAnsi="Arial" w:cs="Arial"/>
          <w:i/>
          <w:iCs/>
          <w:sz w:val="20"/>
          <w:szCs w:val="20"/>
        </w:rPr>
        <w:t xml:space="preserve">On Establishing That a Shape Has ‘Acquired Distinctiveness’ </w:t>
      </w:r>
      <w:r w:rsidR="008B02D6" w:rsidRPr="008B02D6">
        <w:rPr>
          <w:rFonts w:ascii="Arial" w:hAnsi="Arial" w:cs="Arial"/>
          <w:i/>
          <w:iCs/>
          <w:sz w:val="20"/>
          <w:szCs w:val="20"/>
        </w:rPr>
        <w:t>f</w:t>
      </w:r>
      <w:r w:rsidR="00815537" w:rsidRPr="008B02D6">
        <w:rPr>
          <w:rFonts w:ascii="Arial" w:hAnsi="Arial" w:cs="Arial"/>
          <w:i/>
          <w:iCs/>
          <w:sz w:val="20"/>
          <w:szCs w:val="20"/>
        </w:rPr>
        <w:t>or Trade Mark Purposes</w:t>
      </w:r>
      <w:r w:rsidR="00815537" w:rsidRPr="008B02D6">
        <w:rPr>
          <w:rFonts w:ascii="Arial" w:hAnsi="Arial" w:cs="Arial"/>
          <w:sz w:val="20"/>
          <w:szCs w:val="20"/>
        </w:rPr>
        <w:t xml:space="preserve"> (2020) 137 SALJ 528.</w:t>
      </w:r>
    </w:p>
  </w:footnote>
  <w:footnote w:id="13">
    <w:p w14:paraId="0F4F629C" w14:textId="33BFF6EA" w:rsidR="00987827" w:rsidRPr="00107BC4" w:rsidRDefault="00987827" w:rsidP="00107BC4">
      <w:pPr>
        <w:pStyle w:val="FootnoteText"/>
        <w:jc w:val="both"/>
        <w:rPr>
          <w:rFonts w:ascii="Arial" w:hAnsi="Arial" w:cs="Arial"/>
        </w:rPr>
      </w:pPr>
      <w:r w:rsidRPr="008B02D6">
        <w:rPr>
          <w:rStyle w:val="FootnoteReference"/>
          <w:rFonts w:ascii="Arial" w:hAnsi="Arial" w:cs="Arial"/>
        </w:rPr>
        <w:footnoteRef/>
      </w:r>
      <w:r w:rsidRPr="008B02D6">
        <w:rPr>
          <w:rFonts w:ascii="Arial" w:hAnsi="Arial" w:cs="Arial"/>
        </w:rPr>
        <w:t xml:space="preserve"> Ibid </w:t>
      </w:r>
      <w:r w:rsidR="00815537" w:rsidRPr="008B02D6">
        <w:rPr>
          <w:rFonts w:ascii="Arial" w:hAnsi="Arial" w:cs="Arial"/>
        </w:rPr>
        <w:t>535-536.</w:t>
      </w:r>
    </w:p>
  </w:footnote>
  <w:footnote w:id="14">
    <w:p w14:paraId="56996906" w14:textId="3D7471E2" w:rsidR="00107BC4" w:rsidRDefault="00107BC4">
      <w:pPr>
        <w:pStyle w:val="FootnoteText"/>
      </w:pPr>
      <w:r w:rsidRPr="00323F56">
        <w:rPr>
          <w:rStyle w:val="FootnoteReference"/>
          <w:rFonts w:ascii="Arial" w:hAnsi="Arial" w:cs="Arial"/>
        </w:rPr>
        <w:footnoteRef/>
      </w:r>
      <w:r w:rsidRPr="00323F56">
        <w:rPr>
          <w:rFonts w:ascii="Arial" w:hAnsi="Arial" w:cs="Arial"/>
        </w:rPr>
        <w:t xml:space="preserve"> </w:t>
      </w:r>
      <w:r w:rsidRPr="00107BC4">
        <w:rPr>
          <w:rFonts w:ascii="Arial" w:hAnsi="Arial" w:cs="Arial"/>
          <w:i/>
          <w:iCs/>
        </w:rPr>
        <w:t xml:space="preserve">Beecham </w:t>
      </w:r>
      <w:r w:rsidRPr="00107BC4">
        <w:rPr>
          <w:rFonts w:ascii="Arial" w:hAnsi="Arial" w:cs="Arial"/>
        </w:rPr>
        <w:t xml:space="preserve">para </w:t>
      </w:r>
      <w:r w:rsidR="008B02D6">
        <w:rPr>
          <w:rFonts w:ascii="Arial" w:hAnsi="Arial" w:cs="Arial"/>
        </w:rPr>
        <w:t>24</w:t>
      </w:r>
      <w:r>
        <w:rPr>
          <w:rFonts w:ascii="Arial" w:hAnsi="Arial" w:cs="Arial"/>
        </w:rPr>
        <w:t xml:space="preserve"> (emphasis</w:t>
      </w:r>
      <w:r w:rsidR="0034626B">
        <w:rPr>
          <w:rFonts w:ascii="Arial" w:hAnsi="Arial" w:cs="Arial"/>
        </w:rPr>
        <w:t xml:space="preserve"> added</w:t>
      </w:r>
      <w:r>
        <w:rPr>
          <w:rFonts w:ascii="Arial" w:hAnsi="Arial" w:cs="Arial"/>
        </w:rPr>
        <w:t>.)</w:t>
      </w:r>
    </w:p>
  </w:footnote>
  <w:footnote w:id="15">
    <w:p w14:paraId="00F44A49" w14:textId="04646B8F" w:rsidR="007D3353" w:rsidRPr="00BE6F55" w:rsidRDefault="007D3353" w:rsidP="00BE6F55">
      <w:pPr>
        <w:shd w:val="clear" w:color="auto" w:fill="FFFFFF"/>
        <w:spacing w:after="0" w:line="240" w:lineRule="auto"/>
        <w:contextualSpacing/>
        <w:jc w:val="both"/>
        <w:rPr>
          <w:rFonts w:ascii="Arial" w:hAnsi="Arial" w:cs="Arial"/>
          <w:sz w:val="20"/>
          <w:szCs w:val="20"/>
          <w:highlight w:val="red"/>
        </w:rPr>
      </w:pPr>
      <w:r w:rsidRPr="00BE6F55">
        <w:rPr>
          <w:rStyle w:val="FootnoteReference"/>
          <w:rFonts w:ascii="Arial" w:hAnsi="Arial" w:cs="Arial"/>
          <w:sz w:val="20"/>
          <w:szCs w:val="20"/>
        </w:rPr>
        <w:footnoteRef/>
      </w:r>
      <w:r w:rsidRPr="00BE6F55">
        <w:rPr>
          <w:rFonts w:ascii="Arial" w:hAnsi="Arial" w:cs="Arial"/>
          <w:sz w:val="20"/>
          <w:szCs w:val="20"/>
        </w:rPr>
        <w:t xml:space="preserve"> </w:t>
      </w:r>
      <w:bookmarkStart w:id="35" w:name="_Hlk117682502"/>
      <w:r w:rsidRPr="00B42572">
        <w:rPr>
          <w:rFonts w:ascii="Arial" w:hAnsi="Arial" w:cs="Arial"/>
          <w:i/>
          <w:iCs/>
          <w:sz w:val="20"/>
          <w:szCs w:val="20"/>
        </w:rPr>
        <w:t xml:space="preserve">Société des Produits </w:t>
      </w:r>
      <w:bookmarkStart w:id="36" w:name="_Hlk117265403"/>
      <w:r w:rsidRPr="00B42572">
        <w:rPr>
          <w:rFonts w:ascii="Arial" w:hAnsi="Arial" w:cs="Arial"/>
          <w:i/>
          <w:iCs/>
          <w:sz w:val="20"/>
          <w:szCs w:val="20"/>
        </w:rPr>
        <w:t xml:space="preserve">Nestlé </w:t>
      </w:r>
      <w:bookmarkEnd w:id="36"/>
      <w:r w:rsidRPr="00B42572">
        <w:rPr>
          <w:rFonts w:ascii="Arial" w:hAnsi="Arial" w:cs="Arial"/>
          <w:i/>
          <w:iCs/>
          <w:sz w:val="20"/>
          <w:szCs w:val="20"/>
        </w:rPr>
        <w:t>SA v Petra Foods Ltd</w:t>
      </w:r>
      <w:r w:rsidRPr="00B42572">
        <w:rPr>
          <w:rFonts w:ascii="Arial" w:hAnsi="Arial" w:cs="Arial"/>
          <w:sz w:val="20"/>
          <w:szCs w:val="20"/>
        </w:rPr>
        <w:t xml:space="preserve"> </w:t>
      </w:r>
      <w:bookmarkEnd w:id="35"/>
      <w:r w:rsidRPr="00B42572">
        <w:rPr>
          <w:rFonts w:ascii="Arial" w:hAnsi="Arial" w:cs="Arial"/>
          <w:sz w:val="20"/>
          <w:szCs w:val="20"/>
        </w:rPr>
        <w:t xml:space="preserve">[2016] SGCA 64. </w:t>
      </w:r>
      <w:r w:rsidRPr="00B42572">
        <w:rPr>
          <w:rFonts w:ascii="Arial" w:hAnsi="Arial" w:cs="Arial"/>
          <w:b/>
          <w:bCs/>
          <w:color w:val="000000"/>
          <w:sz w:val="20"/>
          <w:szCs w:val="20"/>
        </w:rPr>
        <w:t xml:space="preserve"> </w:t>
      </w:r>
    </w:p>
  </w:footnote>
  <w:footnote w:id="16">
    <w:p w14:paraId="09ADCFFD" w14:textId="40491E2E" w:rsidR="005D4B2B" w:rsidRPr="00E81E81" w:rsidRDefault="005D4B2B">
      <w:pPr>
        <w:pStyle w:val="FootnoteText"/>
        <w:rPr>
          <w:rFonts w:ascii="Arial" w:hAnsi="Arial" w:cs="Arial"/>
          <w:lang w:val="en-GB"/>
        </w:rPr>
      </w:pPr>
      <w:r w:rsidRPr="00E81E81">
        <w:rPr>
          <w:rStyle w:val="FootnoteReference"/>
          <w:rFonts w:ascii="Arial" w:hAnsi="Arial" w:cs="Arial"/>
        </w:rPr>
        <w:footnoteRef/>
      </w:r>
      <w:r w:rsidRPr="00E81E81">
        <w:rPr>
          <w:rFonts w:ascii="Arial" w:hAnsi="Arial" w:cs="Arial"/>
        </w:rPr>
        <w:t xml:space="preserve"> </w:t>
      </w:r>
      <w:r w:rsidRPr="00E81E81">
        <w:rPr>
          <w:rFonts w:ascii="Arial" w:hAnsi="Arial" w:cs="Arial"/>
          <w:lang w:val="en-GB"/>
        </w:rPr>
        <w:t>Ibid para 45.</w:t>
      </w:r>
    </w:p>
  </w:footnote>
  <w:footnote w:id="17">
    <w:p w14:paraId="13790301" w14:textId="1A04A996" w:rsidR="000E7876" w:rsidRPr="00BE6F55" w:rsidRDefault="000E7876" w:rsidP="00BE6F55">
      <w:pPr>
        <w:pStyle w:val="Heading2"/>
        <w:shd w:val="clear" w:color="auto" w:fill="FFFFFF"/>
        <w:spacing w:before="0" w:line="240" w:lineRule="auto"/>
        <w:jc w:val="both"/>
        <w:rPr>
          <w:rFonts w:ascii="Arial" w:hAnsi="Arial" w:cs="Arial"/>
          <w:color w:val="auto"/>
          <w:sz w:val="20"/>
          <w:szCs w:val="20"/>
          <w:lang w:eastAsia="en-ZA"/>
        </w:rPr>
      </w:pPr>
      <w:r w:rsidRPr="00BE6F55">
        <w:rPr>
          <w:rStyle w:val="FootnoteReference"/>
          <w:rFonts w:ascii="Arial" w:hAnsi="Arial" w:cs="Arial"/>
          <w:color w:val="auto"/>
          <w:sz w:val="20"/>
          <w:szCs w:val="20"/>
        </w:rPr>
        <w:footnoteRef/>
      </w:r>
      <w:r w:rsidRPr="00BE6F55">
        <w:rPr>
          <w:rFonts w:ascii="Arial" w:hAnsi="Arial" w:cs="Arial"/>
          <w:color w:val="auto"/>
          <w:sz w:val="20"/>
          <w:szCs w:val="20"/>
        </w:rPr>
        <w:t xml:space="preserve"> </w:t>
      </w:r>
      <w:r w:rsidRPr="00BE6F55">
        <w:rPr>
          <w:rFonts w:ascii="Arial" w:hAnsi="Arial" w:cs="Arial"/>
          <w:i/>
          <w:iCs/>
          <w:color w:val="auto"/>
          <w:sz w:val="20"/>
          <w:szCs w:val="20"/>
          <w:lang w:eastAsia="en-ZA"/>
        </w:rPr>
        <w:t xml:space="preserve">Societe Des Produits Nestle SA and Another v International Foodstuffs Co and Others </w:t>
      </w:r>
      <w:r w:rsidRPr="00BE6F55">
        <w:rPr>
          <w:rFonts w:ascii="Arial" w:hAnsi="Arial" w:cs="Arial"/>
          <w:color w:val="auto"/>
          <w:sz w:val="20"/>
          <w:szCs w:val="20"/>
          <w:lang w:eastAsia="en-ZA"/>
        </w:rPr>
        <w:t>[2014] ZASCA 187; [2015] 1 All SA 492 (SCA) (</w:t>
      </w:r>
      <w:r w:rsidRPr="00BE6F55">
        <w:rPr>
          <w:rFonts w:ascii="Arial" w:hAnsi="Arial" w:cs="Arial"/>
          <w:i/>
          <w:iCs/>
          <w:color w:val="auto"/>
          <w:sz w:val="20"/>
          <w:szCs w:val="20"/>
          <w:lang w:eastAsia="en-ZA"/>
        </w:rPr>
        <w:t>Nestle South Africa</w:t>
      </w:r>
      <w:r w:rsidRPr="00BE6F55">
        <w:rPr>
          <w:rFonts w:ascii="Arial" w:hAnsi="Arial" w:cs="Arial"/>
          <w:color w:val="auto"/>
          <w:sz w:val="20"/>
          <w:szCs w:val="20"/>
          <w:lang w:eastAsia="en-ZA"/>
        </w:rPr>
        <w:t>).</w:t>
      </w:r>
    </w:p>
  </w:footnote>
  <w:footnote w:id="18">
    <w:p w14:paraId="6D8CF755" w14:textId="77873646" w:rsidR="00381507" w:rsidRPr="00BE6F55" w:rsidRDefault="00381507" w:rsidP="00BE6F55">
      <w:pPr>
        <w:pStyle w:val="FootnoteText"/>
        <w:jc w:val="both"/>
        <w:rPr>
          <w:rFonts w:ascii="Arial" w:hAnsi="Arial" w:cs="Arial"/>
        </w:rPr>
      </w:pPr>
      <w:r w:rsidRPr="00BE6F55">
        <w:rPr>
          <w:rStyle w:val="FootnoteReference"/>
          <w:rFonts w:ascii="Arial" w:hAnsi="Arial" w:cs="Arial"/>
        </w:rPr>
        <w:footnoteRef/>
      </w:r>
      <w:r w:rsidRPr="00BE6F55">
        <w:rPr>
          <w:rFonts w:ascii="Arial" w:hAnsi="Arial" w:cs="Arial"/>
        </w:rPr>
        <w:t xml:space="preserve"> Ibid para 13.</w:t>
      </w:r>
    </w:p>
  </w:footnote>
  <w:footnote w:id="19">
    <w:p w14:paraId="0490539E" w14:textId="41761447" w:rsidR="00381507" w:rsidRPr="00BE6F55" w:rsidRDefault="00381507" w:rsidP="00BE6F55">
      <w:pPr>
        <w:pStyle w:val="FootnoteText"/>
        <w:jc w:val="both"/>
        <w:rPr>
          <w:rFonts w:ascii="Arial" w:hAnsi="Arial" w:cs="Arial"/>
        </w:rPr>
      </w:pPr>
      <w:r w:rsidRPr="00BE6F55">
        <w:rPr>
          <w:rStyle w:val="FootnoteReference"/>
          <w:rFonts w:ascii="Arial" w:hAnsi="Arial" w:cs="Arial"/>
        </w:rPr>
        <w:footnoteRef/>
      </w:r>
      <w:r w:rsidRPr="00BE6F55">
        <w:rPr>
          <w:rFonts w:ascii="Arial" w:hAnsi="Arial" w:cs="Arial"/>
        </w:rPr>
        <w:t xml:space="preserve"> Ibid para 14.</w:t>
      </w:r>
    </w:p>
  </w:footnote>
  <w:footnote w:id="20">
    <w:p w14:paraId="336D8794" w14:textId="77777777" w:rsidR="00FE754A" w:rsidRPr="00BE6F55" w:rsidRDefault="00FE754A" w:rsidP="00FD0872">
      <w:pPr>
        <w:pStyle w:val="FootnoteText"/>
        <w:jc w:val="both"/>
        <w:rPr>
          <w:rFonts w:ascii="Arial" w:hAnsi="Arial" w:cs="Arial"/>
        </w:rPr>
      </w:pPr>
      <w:r w:rsidRPr="00BE6F55">
        <w:rPr>
          <w:rStyle w:val="FootnoteReference"/>
          <w:rFonts w:ascii="Arial" w:hAnsi="Arial" w:cs="Arial"/>
        </w:rPr>
        <w:footnoteRef/>
      </w:r>
      <w:r w:rsidRPr="00BE6F55">
        <w:rPr>
          <w:rFonts w:ascii="Arial" w:hAnsi="Arial" w:cs="Arial"/>
        </w:rPr>
        <w:t xml:space="preserve"> </w:t>
      </w:r>
      <w:r w:rsidRPr="00BE6F55">
        <w:rPr>
          <w:rFonts w:ascii="Arial" w:hAnsi="Arial" w:cs="Arial"/>
          <w:i/>
        </w:rPr>
        <w:t xml:space="preserve">Société des Produits Nestlé SA v Cadbury UK Ltd </w:t>
      </w:r>
      <w:r w:rsidRPr="00BE6F55">
        <w:rPr>
          <w:rFonts w:ascii="Arial" w:hAnsi="Arial" w:cs="Arial"/>
        </w:rPr>
        <w:t>[2014] EWHC 16 (Ch).</w:t>
      </w:r>
    </w:p>
  </w:footnote>
  <w:footnote w:id="21">
    <w:p w14:paraId="548ABAAD" w14:textId="77777777" w:rsidR="00FE754A" w:rsidRPr="00BE6F55" w:rsidRDefault="00FE754A" w:rsidP="00FD0872">
      <w:pPr>
        <w:pStyle w:val="FootnoteText"/>
        <w:jc w:val="both"/>
        <w:rPr>
          <w:rFonts w:ascii="Arial" w:hAnsi="Arial" w:cs="Arial"/>
        </w:rPr>
      </w:pPr>
      <w:r w:rsidRPr="00BE6F55">
        <w:rPr>
          <w:rStyle w:val="FootnoteReference"/>
          <w:rFonts w:ascii="Arial" w:hAnsi="Arial" w:cs="Arial"/>
        </w:rPr>
        <w:footnoteRef/>
      </w:r>
      <w:r w:rsidRPr="00BE6F55">
        <w:rPr>
          <w:rFonts w:ascii="Arial" w:hAnsi="Arial" w:cs="Arial"/>
        </w:rPr>
        <w:t xml:space="preserve"> </w:t>
      </w:r>
      <w:r w:rsidRPr="00BE6F55">
        <w:rPr>
          <w:rFonts w:ascii="Arial" w:hAnsi="Arial" w:cs="Arial"/>
          <w:i/>
          <w:iCs/>
        </w:rPr>
        <w:t>Société des Produits Nestlé SA v Cadbury UK Ltd</w:t>
      </w:r>
      <w:r w:rsidRPr="00BE6F55">
        <w:rPr>
          <w:rFonts w:ascii="Arial" w:hAnsi="Arial" w:cs="Arial"/>
        </w:rPr>
        <w:t xml:space="preserve"> [2015] ETMR 50.</w:t>
      </w:r>
    </w:p>
  </w:footnote>
  <w:footnote w:id="22">
    <w:p w14:paraId="4F773E82" w14:textId="4CD530C8" w:rsidR="00FE754A" w:rsidRPr="00BE6F55" w:rsidRDefault="00FE754A" w:rsidP="00FD0872">
      <w:pPr>
        <w:pStyle w:val="FootnoteText"/>
        <w:jc w:val="both"/>
        <w:rPr>
          <w:rFonts w:ascii="Arial" w:hAnsi="Arial" w:cs="Arial"/>
        </w:rPr>
      </w:pPr>
      <w:r w:rsidRPr="00BE6F55">
        <w:rPr>
          <w:rStyle w:val="FootnoteReference"/>
          <w:rFonts w:ascii="Arial" w:hAnsi="Arial" w:cs="Arial"/>
        </w:rPr>
        <w:footnoteRef/>
      </w:r>
      <w:r w:rsidRPr="00BE6F55">
        <w:rPr>
          <w:rFonts w:ascii="Arial" w:hAnsi="Arial" w:cs="Arial"/>
        </w:rPr>
        <w:t xml:space="preserve"> </w:t>
      </w:r>
      <w:r w:rsidRPr="00BE6F55">
        <w:rPr>
          <w:rFonts w:ascii="Arial" w:hAnsi="Arial" w:cs="Arial"/>
          <w:i/>
        </w:rPr>
        <w:t xml:space="preserve">Société des Produits Nestlé SA v Cadbury UK Ltd </w:t>
      </w:r>
      <w:r w:rsidRPr="00BE6F55">
        <w:rPr>
          <w:rFonts w:ascii="Arial" w:hAnsi="Arial" w:cs="Arial"/>
        </w:rPr>
        <w:t>[2017] EWCA Civ 358.</w:t>
      </w:r>
    </w:p>
  </w:footnote>
  <w:footnote w:id="23">
    <w:p w14:paraId="2F0AB4B0" w14:textId="537E3825" w:rsidR="00FC7EE6" w:rsidRPr="00BE6F55" w:rsidRDefault="00FC7EE6" w:rsidP="00FD0872">
      <w:pPr>
        <w:pStyle w:val="FootnoteText"/>
        <w:jc w:val="both"/>
        <w:rPr>
          <w:rFonts w:ascii="Arial" w:hAnsi="Arial" w:cs="Arial"/>
          <w:iCs/>
        </w:rPr>
      </w:pPr>
      <w:r w:rsidRPr="00BE6F55">
        <w:rPr>
          <w:rStyle w:val="FootnoteReference"/>
          <w:rFonts w:ascii="Arial" w:hAnsi="Arial" w:cs="Arial"/>
        </w:rPr>
        <w:footnoteRef/>
      </w:r>
      <w:r w:rsidRPr="00BE6F55">
        <w:rPr>
          <w:rFonts w:ascii="Arial" w:hAnsi="Arial" w:cs="Arial"/>
        </w:rPr>
        <w:t xml:space="preserve"> </w:t>
      </w:r>
      <w:r w:rsidRPr="00BE6F55">
        <w:rPr>
          <w:rFonts w:ascii="Arial" w:hAnsi="Arial" w:cs="Arial"/>
          <w:i/>
        </w:rPr>
        <w:t xml:space="preserve">Nestlé UK III </w:t>
      </w:r>
      <w:r w:rsidRPr="00BE6F55">
        <w:rPr>
          <w:rFonts w:ascii="Arial" w:hAnsi="Arial" w:cs="Arial"/>
          <w:iCs/>
        </w:rPr>
        <w:t>para 29.</w:t>
      </w:r>
    </w:p>
  </w:footnote>
  <w:footnote w:id="24">
    <w:p w14:paraId="5F7C80FA" w14:textId="63B46409" w:rsidR="00887CC1" w:rsidRPr="004F4497" w:rsidRDefault="00887CC1" w:rsidP="00FD0872">
      <w:pPr>
        <w:shd w:val="clear" w:color="auto" w:fill="FFFFFF"/>
        <w:spacing w:after="0" w:line="240" w:lineRule="auto"/>
        <w:contextualSpacing/>
        <w:jc w:val="both"/>
        <w:rPr>
          <w:rFonts w:ascii="Arial" w:hAnsi="Arial" w:cs="Arial"/>
          <w:b/>
          <w:bCs/>
          <w:i/>
          <w:iCs/>
          <w:sz w:val="20"/>
          <w:szCs w:val="20"/>
          <w:u w:val="single"/>
        </w:rPr>
      </w:pPr>
      <w:r w:rsidRPr="00BE6F55">
        <w:rPr>
          <w:rStyle w:val="FootnoteReference"/>
          <w:rFonts w:ascii="Arial" w:hAnsi="Arial" w:cs="Arial"/>
          <w:sz w:val="20"/>
          <w:szCs w:val="20"/>
        </w:rPr>
        <w:footnoteRef/>
      </w:r>
      <w:r w:rsidRPr="00BE6F55">
        <w:rPr>
          <w:rFonts w:ascii="Arial" w:hAnsi="Arial" w:cs="Arial"/>
          <w:sz w:val="20"/>
          <w:szCs w:val="20"/>
        </w:rPr>
        <w:t xml:space="preserve"> </w:t>
      </w:r>
      <w:r w:rsidR="00DC0D20">
        <w:rPr>
          <w:rFonts w:ascii="Arial" w:hAnsi="Arial" w:cs="Arial"/>
          <w:sz w:val="20"/>
          <w:szCs w:val="20"/>
        </w:rPr>
        <w:t>M</w:t>
      </w:r>
      <w:r w:rsidR="00DC0D20" w:rsidRPr="00BE6F55">
        <w:rPr>
          <w:rFonts w:ascii="Arial" w:hAnsi="Arial" w:cs="Arial"/>
          <w:sz w:val="20"/>
          <w:szCs w:val="20"/>
        </w:rPr>
        <w:t xml:space="preserve">ember states </w:t>
      </w:r>
      <w:r w:rsidR="00254DF2">
        <w:rPr>
          <w:rFonts w:ascii="Arial" w:hAnsi="Arial" w:cs="Arial"/>
          <w:sz w:val="20"/>
          <w:szCs w:val="20"/>
        </w:rPr>
        <w:t xml:space="preserve">of the European Union </w:t>
      </w:r>
      <w:r w:rsidR="00DC0D20" w:rsidRPr="00BE6F55">
        <w:rPr>
          <w:rFonts w:ascii="Arial" w:hAnsi="Arial" w:cs="Arial"/>
          <w:sz w:val="20"/>
          <w:szCs w:val="20"/>
        </w:rPr>
        <w:t>may refer questions of law to the CJEU.</w:t>
      </w:r>
      <w:r w:rsidR="00DC0D20">
        <w:rPr>
          <w:rFonts w:ascii="Arial" w:hAnsi="Arial" w:cs="Arial"/>
          <w:sz w:val="20"/>
          <w:szCs w:val="20"/>
        </w:rPr>
        <w:t xml:space="preserve"> </w:t>
      </w:r>
      <w:r w:rsidRPr="00BE6F55">
        <w:rPr>
          <w:rFonts w:ascii="Arial" w:hAnsi="Arial" w:cs="Arial"/>
          <w:sz w:val="20"/>
          <w:szCs w:val="20"/>
        </w:rPr>
        <w:t xml:space="preserve">In terms of </w:t>
      </w:r>
      <w:r w:rsidR="00DC0D20">
        <w:rPr>
          <w:rFonts w:ascii="Arial" w:hAnsi="Arial" w:cs="Arial"/>
          <w:sz w:val="20"/>
          <w:szCs w:val="20"/>
        </w:rPr>
        <w:t xml:space="preserve">Article 256(1) of the Treaty on the Functioning of the European </w:t>
      </w:r>
      <w:r w:rsidR="00254DF2">
        <w:rPr>
          <w:rFonts w:ascii="Arial" w:hAnsi="Arial" w:cs="Arial"/>
          <w:sz w:val="20"/>
          <w:szCs w:val="20"/>
        </w:rPr>
        <w:t>U</w:t>
      </w:r>
      <w:r w:rsidR="00DC0D20">
        <w:rPr>
          <w:rFonts w:ascii="Arial" w:hAnsi="Arial" w:cs="Arial"/>
          <w:sz w:val="20"/>
          <w:szCs w:val="20"/>
        </w:rPr>
        <w:t>nion</w:t>
      </w:r>
      <w:r w:rsidR="00323F56">
        <w:rPr>
          <w:rFonts w:ascii="Arial" w:hAnsi="Arial" w:cs="Arial"/>
          <w:sz w:val="20"/>
          <w:szCs w:val="20"/>
        </w:rPr>
        <w:t xml:space="preserve"> </w:t>
      </w:r>
      <w:r w:rsidR="00254DF2">
        <w:rPr>
          <w:rFonts w:ascii="Arial" w:hAnsi="Arial" w:cs="Arial"/>
          <w:sz w:val="20"/>
          <w:szCs w:val="20"/>
        </w:rPr>
        <w:t>t</w:t>
      </w:r>
      <w:r w:rsidRPr="00BE6F55">
        <w:rPr>
          <w:rFonts w:ascii="Arial" w:hAnsi="Arial" w:cs="Arial"/>
          <w:sz w:val="20"/>
          <w:szCs w:val="20"/>
        </w:rPr>
        <w:t xml:space="preserve">he decisions of the CJEU are binding on </w:t>
      </w:r>
      <w:r w:rsidR="005B57E8" w:rsidRPr="00BE6F55">
        <w:rPr>
          <w:rFonts w:ascii="Arial" w:hAnsi="Arial" w:cs="Arial"/>
          <w:sz w:val="20"/>
          <w:szCs w:val="20"/>
        </w:rPr>
        <w:t xml:space="preserve">European Union (EU) </w:t>
      </w:r>
      <w:r w:rsidRPr="00BE6F55">
        <w:rPr>
          <w:rFonts w:ascii="Arial" w:hAnsi="Arial" w:cs="Arial"/>
          <w:sz w:val="20"/>
          <w:szCs w:val="20"/>
        </w:rPr>
        <w:t>member states only as regards the questions of law posed.</w:t>
      </w:r>
      <w:r w:rsidR="00254DF2">
        <w:rPr>
          <w:rFonts w:ascii="Arial" w:hAnsi="Arial" w:cs="Arial"/>
          <w:sz w:val="20"/>
          <w:szCs w:val="20"/>
        </w:rPr>
        <w:t xml:space="preserve"> Likewise, Article 58 of Protocol (No 3) on the Statute of the Court of Justice of the European Union provides that appeals from the General Court to the CJEU shall be limited to points of law.</w:t>
      </w:r>
      <w:r w:rsidRPr="00BE6F55">
        <w:rPr>
          <w:rFonts w:ascii="Arial" w:hAnsi="Arial" w:cs="Arial"/>
          <w:sz w:val="20"/>
          <w:szCs w:val="20"/>
        </w:rPr>
        <w:t xml:space="preserve"> Courts in member states must still adjudicate factual</w:t>
      </w:r>
      <w:r w:rsidR="005B57E8" w:rsidRPr="00BE6F55">
        <w:rPr>
          <w:rFonts w:ascii="Arial" w:hAnsi="Arial" w:cs="Arial"/>
          <w:sz w:val="20"/>
          <w:szCs w:val="20"/>
        </w:rPr>
        <w:t xml:space="preserve"> </w:t>
      </w:r>
      <w:r w:rsidRPr="00BE6F55">
        <w:rPr>
          <w:rFonts w:ascii="Arial" w:hAnsi="Arial" w:cs="Arial"/>
          <w:sz w:val="20"/>
          <w:szCs w:val="20"/>
        </w:rPr>
        <w:t xml:space="preserve">disputes. </w:t>
      </w:r>
      <w:r w:rsidR="005B57E8" w:rsidRPr="00BE6F55">
        <w:rPr>
          <w:rFonts w:ascii="Arial" w:hAnsi="Arial" w:cs="Arial"/>
          <w:sz w:val="20"/>
          <w:szCs w:val="20"/>
        </w:rPr>
        <w:t>A</w:t>
      </w:r>
      <w:r w:rsidRPr="00BE6F55">
        <w:rPr>
          <w:rFonts w:ascii="Arial" w:hAnsi="Arial" w:cs="Arial"/>
          <w:sz w:val="20"/>
          <w:szCs w:val="20"/>
        </w:rPr>
        <w:t>t the time when</w:t>
      </w:r>
      <w:r w:rsidR="005B57E8" w:rsidRPr="00BE6F55">
        <w:rPr>
          <w:rFonts w:ascii="Arial" w:hAnsi="Arial" w:cs="Arial"/>
          <w:sz w:val="20"/>
          <w:szCs w:val="20"/>
        </w:rPr>
        <w:t xml:space="preserve"> </w:t>
      </w:r>
      <w:r w:rsidRPr="00BE6F55">
        <w:rPr>
          <w:rFonts w:ascii="Arial" w:hAnsi="Arial" w:cs="Arial"/>
          <w:sz w:val="20"/>
          <w:szCs w:val="20"/>
        </w:rPr>
        <w:t xml:space="preserve">the </w:t>
      </w:r>
      <w:r w:rsidR="005B57E8" w:rsidRPr="00BE6F55">
        <w:rPr>
          <w:rFonts w:ascii="Arial" w:hAnsi="Arial" w:cs="Arial"/>
          <w:sz w:val="20"/>
          <w:szCs w:val="20"/>
        </w:rPr>
        <w:t>Nestlé</w:t>
      </w:r>
      <w:r w:rsidR="005B57E8" w:rsidRPr="00BE6F55">
        <w:rPr>
          <w:rFonts w:ascii="Arial" w:hAnsi="Arial" w:cs="Arial"/>
          <w:i/>
          <w:iCs/>
          <w:sz w:val="20"/>
          <w:szCs w:val="20"/>
        </w:rPr>
        <w:t xml:space="preserve"> </w:t>
      </w:r>
      <w:r w:rsidRPr="00BE6F55">
        <w:rPr>
          <w:rFonts w:ascii="Arial" w:hAnsi="Arial" w:cs="Arial"/>
          <w:sz w:val="20"/>
          <w:szCs w:val="20"/>
        </w:rPr>
        <w:t>cases were decided, the U</w:t>
      </w:r>
      <w:r w:rsidR="005B57E8" w:rsidRPr="00BE6F55">
        <w:rPr>
          <w:rFonts w:ascii="Arial" w:hAnsi="Arial" w:cs="Arial"/>
          <w:sz w:val="20"/>
          <w:szCs w:val="20"/>
        </w:rPr>
        <w:t>nited Kingdom</w:t>
      </w:r>
      <w:r w:rsidRPr="00BE6F55">
        <w:rPr>
          <w:rFonts w:ascii="Arial" w:hAnsi="Arial" w:cs="Arial"/>
          <w:sz w:val="20"/>
          <w:szCs w:val="20"/>
        </w:rPr>
        <w:t xml:space="preserve"> was still a member of the EU</w:t>
      </w:r>
      <w:r w:rsidRPr="004F4497">
        <w:rPr>
          <w:rFonts w:ascii="Arial" w:hAnsi="Arial" w:cs="Arial"/>
          <w:sz w:val="20"/>
          <w:szCs w:val="20"/>
        </w:rPr>
        <w:t>.</w:t>
      </w:r>
      <w:r w:rsidR="00254DF2" w:rsidRPr="004F4497">
        <w:rPr>
          <w:rFonts w:ascii="Arial" w:hAnsi="Arial" w:cs="Arial"/>
          <w:sz w:val="20"/>
          <w:szCs w:val="20"/>
        </w:rPr>
        <w:t xml:space="preserve"> </w:t>
      </w:r>
    </w:p>
  </w:footnote>
  <w:footnote w:id="25">
    <w:p w14:paraId="4ADC9908" w14:textId="2FE587C1" w:rsidR="005B57E8" w:rsidRPr="00DD5EB2" w:rsidRDefault="005B57E8" w:rsidP="00FD0872">
      <w:pPr>
        <w:shd w:val="clear" w:color="auto" w:fill="FFFFFF"/>
        <w:spacing w:after="0" w:line="240" w:lineRule="auto"/>
        <w:contextualSpacing/>
        <w:jc w:val="both"/>
        <w:rPr>
          <w:rFonts w:ascii="Arial" w:hAnsi="Arial" w:cs="Arial"/>
          <w:sz w:val="20"/>
          <w:szCs w:val="20"/>
        </w:rPr>
      </w:pPr>
      <w:r w:rsidRPr="00BE6F55">
        <w:rPr>
          <w:rStyle w:val="FootnoteReference"/>
          <w:rFonts w:ascii="Arial" w:hAnsi="Arial" w:cs="Arial"/>
          <w:sz w:val="20"/>
          <w:szCs w:val="20"/>
        </w:rPr>
        <w:footnoteRef/>
      </w:r>
      <w:r w:rsidRPr="00BE6F55">
        <w:rPr>
          <w:rFonts w:ascii="Arial" w:hAnsi="Arial" w:cs="Arial"/>
          <w:sz w:val="20"/>
          <w:szCs w:val="20"/>
        </w:rPr>
        <w:t xml:space="preserve"> </w:t>
      </w:r>
      <w:r w:rsidRPr="00DD5EB2">
        <w:rPr>
          <w:rFonts w:ascii="Arial" w:hAnsi="Arial" w:cs="Arial"/>
          <w:sz w:val="20"/>
          <w:szCs w:val="20"/>
        </w:rPr>
        <w:t xml:space="preserve">This Court in </w:t>
      </w:r>
      <w:r w:rsidRPr="00DD5EB2">
        <w:rPr>
          <w:rFonts w:ascii="Arial" w:hAnsi="Arial" w:cs="Arial"/>
          <w:i/>
          <w:iCs/>
          <w:sz w:val="20"/>
          <w:szCs w:val="20"/>
        </w:rPr>
        <w:t>Nestlé South Africa</w:t>
      </w:r>
      <w:r w:rsidRPr="00DD5EB2">
        <w:rPr>
          <w:rFonts w:ascii="Arial" w:hAnsi="Arial" w:cs="Arial"/>
          <w:sz w:val="20"/>
          <w:szCs w:val="20"/>
        </w:rPr>
        <w:t xml:space="preserve"> (at para 33) declined to follow the preliminary view expressed by the UK high court on the basis that ‘[t]he views do not constitute findings of the court’ and did not ‘require further consideration.’</w:t>
      </w:r>
    </w:p>
  </w:footnote>
  <w:footnote w:id="26">
    <w:p w14:paraId="5302F868" w14:textId="14DAE3C5" w:rsidR="00FB1188" w:rsidRPr="00DD5EB2" w:rsidRDefault="00FB1188" w:rsidP="00FD0872">
      <w:pPr>
        <w:pStyle w:val="FootnoteText"/>
        <w:jc w:val="both"/>
        <w:rPr>
          <w:rFonts w:ascii="Arial" w:hAnsi="Arial" w:cs="Arial"/>
        </w:rPr>
      </w:pPr>
      <w:r w:rsidRPr="00DD5EB2">
        <w:rPr>
          <w:rStyle w:val="FootnoteReference"/>
          <w:rFonts w:ascii="Arial" w:hAnsi="Arial" w:cs="Arial"/>
        </w:rPr>
        <w:footnoteRef/>
      </w:r>
      <w:r w:rsidRPr="00DD5EB2">
        <w:rPr>
          <w:rFonts w:ascii="Arial" w:hAnsi="Arial" w:cs="Arial"/>
        </w:rPr>
        <w:t xml:space="preserve"> </w:t>
      </w:r>
      <w:r w:rsidRPr="00DD5EB2">
        <w:rPr>
          <w:rFonts w:ascii="Arial" w:hAnsi="Arial" w:cs="Arial"/>
          <w:i/>
          <w:iCs/>
        </w:rPr>
        <w:t xml:space="preserve">Société des Produits </w:t>
      </w:r>
      <w:bookmarkStart w:id="68" w:name="_Hlk117232732"/>
      <w:r w:rsidRPr="00DD5EB2">
        <w:rPr>
          <w:rFonts w:ascii="Arial" w:hAnsi="Arial" w:cs="Arial"/>
          <w:i/>
          <w:iCs/>
        </w:rPr>
        <w:t xml:space="preserve">Nestlé </w:t>
      </w:r>
      <w:bookmarkEnd w:id="68"/>
      <w:r w:rsidRPr="00DD5EB2">
        <w:rPr>
          <w:rFonts w:ascii="Arial" w:hAnsi="Arial" w:cs="Arial"/>
          <w:i/>
          <w:iCs/>
        </w:rPr>
        <w:t>SA v Cadbury UK Ltd</w:t>
      </w:r>
      <w:r w:rsidRPr="00DD5EB2">
        <w:rPr>
          <w:rFonts w:ascii="Arial" w:hAnsi="Arial" w:cs="Arial"/>
        </w:rPr>
        <w:t xml:space="preserve"> </w:t>
      </w:r>
      <w:r w:rsidR="001F7562">
        <w:rPr>
          <w:rFonts w:ascii="Arial" w:hAnsi="Arial" w:cs="Arial"/>
        </w:rPr>
        <w:t>Case C-215/14</w:t>
      </w:r>
      <w:r w:rsidR="00323F56">
        <w:rPr>
          <w:rFonts w:ascii="Arial" w:hAnsi="Arial" w:cs="Arial"/>
        </w:rPr>
        <w:t xml:space="preserve"> </w:t>
      </w:r>
      <w:r w:rsidRPr="00DD5EB2">
        <w:rPr>
          <w:rFonts w:ascii="Arial" w:hAnsi="Arial" w:cs="Arial"/>
        </w:rPr>
        <w:t>[2015] ETMR 50.</w:t>
      </w:r>
    </w:p>
  </w:footnote>
  <w:footnote w:id="27">
    <w:p w14:paraId="46A974F0" w14:textId="7ACCBBB8" w:rsidR="00793EEF" w:rsidRPr="00DD5EB2" w:rsidRDefault="00793EEF" w:rsidP="00FD0872">
      <w:pPr>
        <w:pStyle w:val="FootnoteText"/>
        <w:jc w:val="both"/>
        <w:rPr>
          <w:rFonts w:ascii="Arial" w:hAnsi="Arial" w:cs="Arial"/>
        </w:rPr>
      </w:pPr>
      <w:r w:rsidRPr="00DD5EB2">
        <w:rPr>
          <w:rStyle w:val="FootnoteReference"/>
          <w:rFonts w:ascii="Arial" w:hAnsi="Arial" w:cs="Arial"/>
        </w:rPr>
        <w:footnoteRef/>
      </w:r>
      <w:r w:rsidRPr="00DD5EB2">
        <w:rPr>
          <w:rFonts w:ascii="Arial" w:hAnsi="Arial" w:cs="Arial"/>
        </w:rPr>
        <w:t xml:space="preserve"> Ibid para 67.</w:t>
      </w:r>
    </w:p>
  </w:footnote>
  <w:footnote w:id="28">
    <w:p w14:paraId="60EF60BB" w14:textId="5CA94B61" w:rsidR="00635257" w:rsidRPr="00DD5EB2" w:rsidRDefault="00635257" w:rsidP="00FD0872">
      <w:pPr>
        <w:pStyle w:val="FootnoteText"/>
        <w:jc w:val="both"/>
        <w:rPr>
          <w:rFonts w:ascii="Arial" w:hAnsi="Arial" w:cs="Arial"/>
          <w:iCs/>
        </w:rPr>
      </w:pPr>
      <w:r w:rsidRPr="00DD5EB2">
        <w:rPr>
          <w:rStyle w:val="FootnoteReference"/>
          <w:rFonts w:ascii="Arial" w:hAnsi="Arial" w:cs="Arial"/>
        </w:rPr>
        <w:footnoteRef/>
      </w:r>
      <w:r w:rsidRPr="00DD5EB2">
        <w:rPr>
          <w:rFonts w:ascii="Arial" w:hAnsi="Arial" w:cs="Arial"/>
        </w:rPr>
        <w:t xml:space="preserve"> </w:t>
      </w:r>
      <w:bookmarkStart w:id="72" w:name="_Hlk117257165"/>
      <w:r w:rsidRPr="00DD5EB2">
        <w:rPr>
          <w:rFonts w:ascii="Arial" w:hAnsi="Arial" w:cs="Arial"/>
          <w:i/>
        </w:rPr>
        <w:t xml:space="preserve">Nestlé UK II </w:t>
      </w:r>
      <w:r w:rsidRPr="00DD5EB2">
        <w:rPr>
          <w:rFonts w:ascii="Arial" w:hAnsi="Arial" w:cs="Arial"/>
          <w:iCs/>
        </w:rPr>
        <w:t xml:space="preserve">para </w:t>
      </w:r>
      <w:bookmarkEnd w:id="72"/>
      <w:r w:rsidRPr="00DD5EB2">
        <w:rPr>
          <w:rFonts w:ascii="Arial" w:hAnsi="Arial" w:cs="Arial"/>
          <w:iCs/>
        </w:rPr>
        <w:t>57.</w:t>
      </w:r>
    </w:p>
  </w:footnote>
  <w:footnote w:id="29">
    <w:p w14:paraId="765FC01B" w14:textId="22C8A056" w:rsidR="00E71AC7" w:rsidRPr="00BE6F55" w:rsidRDefault="00E71AC7" w:rsidP="00FD0872">
      <w:pPr>
        <w:pStyle w:val="FootnoteText"/>
        <w:jc w:val="both"/>
        <w:rPr>
          <w:rFonts w:ascii="Arial" w:hAnsi="Arial" w:cs="Arial"/>
        </w:rPr>
      </w:pPr>
      <w:r w:rsidRPr="00DD5EB2">
        <w:rPr>
          <w:rStyle w:val="FootnoteReference"/>
          <w:rFonts w:ascii="Arial" w:hAnsi="Arial" w:cs="Arial"/>
        </w:rPr>
        <w:footnoteRef/>
      </w:r>
      <w:r w:rsidRPr="00DD5EB2">
        <w:rPr>
          <w:rFonts w:ascii="Arial" w:hAnsi="Arial" w:cs="Arial"/>
        </w:rPr>
        <w:t xml:space="preserve"> </w:t>
      </w:r>
      <w:r w:rsidR="006F4E54" w:rsidRPr="00DD5EB2">
        <w:rPr>
          <w:rFonts w:ascii="Arial" w:hAnsi="Arial" w:cs="Arial"/>
        </w:rPr>
        <w:t xml:space="preserve">Sir Geoffrey </w:t>
      </w:r>
      <w:r w:rsidRPr="00DD5EB2">
        <w:rPr>
          <w:rFonts w:ascii="Arial" w:hAnsi="Arial" w:cs="Arial"/>
        </w:rPr>
        <w:t>Vos</w:t>
      </w:r>
      <w:r w:rsidR="006F4E54" w:rsidRPr="00DD5EB2">
        <w:rPr>
          <w:rFonts w:ascii="Arial" w:hAnsi="Arial" w:cs="Arial"/>
        </w:rPr>
        <w:t xml:space="preserve"> Ch</w:t>
      </w:r>
      <w:r w:rsidRPr="00DD5EB2">
        <w:rPr>
          <w:rFonts w:ascii="Arial" w:hAnsi="Arial" w:cs="Arial"/>
        </w:rPr>
        <w:t xml:space="preserve"> and Floyd LJ</w:t>
      </w:r>
      <w:r w:rsidR="006F4E54" w:rsidRPr="00DD5EB2">
        <w:rPr>
          <w:rFonts w:ascii="Arial" w:hAnsi="Arial" w:cs="Arial"/>
        </w:rPr>
        <w:t xml:space="preserve"> concurred and</w:t>
      </w:r>
      <w:r w:rsidRPr="00DD5EB2">
        <w:rPr>
          <w:rFonts w:ascii="Arial" w:hAnsi="Arial" w:cs="Arial"/>
        </w:rPr>
        <w:t xml:space="preserve"> wrote concurring in separate judgments.</w:t>
      </w:r>
    </w:p>
  </w:footnote>
  <w:footnote w:id="30">
    <w:p w14:paraId="48963BDB" w14:textId="29111F64" w:rsidR="00321E89" w:rsidRPr="00BE6F55" w:rsidRDefault="00321E89" w:rsidP="00FD0872">
      <w:pPr>
        <w:pStyle w:val="FootnoteText"/>
        <w:jc w:val="both"/>
        <w:rPr>
          <w:rFonts w:ascii="Arial" w:hAnsi="Arial" w:cs="Arial"/>
        </w:rPr>
      </w:pPr>
      <w:r w:rsidRPr="00BE6F55">
        <w:rPr>
          <w:rStyle w:val="FootnoteReference"/>
          <w:rFonts w:ascii="Arial" w:hAnsi="Arial" w:cs="Arial"/>
        </w:rPr>
        <w:footnoteRef/>
      </w:r>
      <w:r w:rsidRPr="00BE6F55">
        <w:rPr>
          <w:rFonts w:ascii="Arial" w:hAnsi="Arial" w:cs="Arial"/>
        </w:rPr>
        <w:t xml:space="preserve"> </w:t>
      </w:r>
      <w:r w:rsidRPr="00BE6F55">
        <w:rPr>
          <w:rFonts w:ascii="Arial" w:hAnsi="Arial" w:cs="Arial"/>
          <w:i/>
        </w:rPr>
        <w:t>Nestlé UK II</w:t>
      </w:r>
      <w:r w:rsidR="00A943AB" w:rsidRPr="00BE6F55">
        <w:rPr>
          <w:rFonts w:ascii="Arial" w:hAnsi="Arial" w:cs="Arial"/>
          <w:i/>
        </w:rPr>
        <w:t>I</w:t>
      </w:r>
      <w:r w:rsidRPr="00BE6F55">
        <w:rPr>
          <w:rFonts w:ascii="Arial" w:hAnsi="Arial" w:cs="Arial"/>
          <w:i/>
        </w:rPr>
        <w:t xml:space="preserve"> </w:t>
      </w:r>
      <w:r w:rsidRPr="00BE6F55">
        <w:rPr>
          <w:rFonts w:ascii="Arial" w:hAnsi="Arial" w:cs="Arial"/>
          <w:iCs/>
        </w:rPr>
        <w:t xml:space="preserve">para </w:t>
      </w:r>
      <w:r w:rsidRPr="00BE6F55">
        <w:rPr>
          <w:rFonts w:ascii="Arial" w:hAnsi="Arial" w:cs="Arial"/>
        </w:rPr>
        <w:t>82.</w:t>
      </w:r>
    </w:p>
  </w:footnote>
  <w:footnote w:id="31">
    <w:p w14:paraId="7826EA1C" w14:textId="30885C8E" w:rsidR="00A943AB" w:rsidRPr="00966104" w:rsidRDefault="00A943AB" w:rsidP="00FD0872">
      <w:pPr>
        <w:pStyle w:val="FootnoteText"/>
        <w:jc w:val="both"/>
        <w:rPr>
          <w:rFonts w:ascii="Arial" w:hAnsi="Arial" w:cs="Arial"/>
        </w:rPr>
      </w:pPr>
      <w:r w:rsidRPr="00BE6F55">
        <w:rPr>
          <w:rStyle w:val="FootnoteReference"/>
          <w:rFonts w:ascii="Arial" w:hAnsi="Arial" w:cs="Arial"/>
        </w:rPr>
        <w:footnoteRef/>
      </w:r>
      <w:r w:rsidRPr="00BE6F55">
        <w:rPr>
          <w:rFonts w:ascii="Arial" w:hAnsi="Arial" w:cs="Arial"/>
        </w:rPr>
        <w:t xml:space="preserve"> Ibid para 84</w:t>
      </w:r>
      <w:r w:rsidRPr="00966104">
        <w:rPr>
          <w:rFonts w:ascii="Arial" w:hAnsi="Arial" w:cs="Arial"/>
        </w:rPr>
        <w:t>.</w:t>
      </w:r>
    </w:p>
  </w:footnote>
  <w:footnote w:id="32">
    <w:p w14:paraId="79E04A8F" w14:textId="136E888B" w:rsidR="00966104" w:rsidRPr="00FD0872" w:rsidRDefault="00966104" w:rsidP="00FD0872">
      <w:pPr>
        <w:shd w:val="clear" w:color="auto" w:fill="FFFFFF"/>
        <w:spacing w:after="0" w:line="240" w:lineRule="auto"/>
        <w:contextualSpacing/>
        <w:jc w:val="both"/>
        <w:rPr>
          <w:rFonts w:ascii="Arial" w:hAnsi="Arial" w:cs="Arial"/>
          <w:sz w:val="24"/>
          <w:szCs w:val="24"/>
        </w:rPr>
      </w:pPr>
      <w:r w:rsidRPr="003414C2">
        <w:rPr>
          <w:rStyle w:val="FootnoteReference"/>
          <w:rFonts w:ascii="Arial" w:hAnsi="Arial" w:cs="Arial"/>
        </w:rPr>
        <w:footnoteRef/>
      </w:r>
      <w:r w:rsidR="00FD0872">
        <w:rPr>
          <w:rFonts w:ascii="Arial" w:hAnsi="Arial" w:cs="Arial"/>
        </w:rPr>
        <w:t xml:space="preserve"> </w:t>
      </w:r>
      <w:r w:rsidR="00FD0872" w:rsidRPr="00FD0872">
        <w:rPr>
          <w:rFonts w:ascii="Arial" w:hAnsi="Arial" w:cs="Arial"/>
          <w:sz w:val="20"/>
          <w:szCs w:val="20"/>
        </w:rPr>
        <w:t xml:space="preserve">Ibid para 77 </w:t>
      </w:r>
      <w:r w:rsidR="00FD0872" w:rsidRPr="00FD0872">
        <w:rPr>
          <w:rFonts w:ascii="Arial" w:eastAsia="Times New Roman" w:hAnsi="Arial" w:cs="Arial"/>
          <w:sz w:val="20"/>
          <w:szCs w:val="20"/>
          <w:lang w:eastAsia="en-ZA"/>
        </w:rPr>
        <w:t>(emphasis added.)</w:t>
      </w:r>
      <w:r w:rsidR="00FD0872" w:rsidRPr="00A051C4">
        <w:rPr>
          <w:rFonts w:ascii="Arial" w:eastAsia="Times New Roman" w:hAnsi="Arial" w:cs="Arial"/>
          <w:sz w:val="24"/>
          <w:szCs w:val="24"/>
          <w:lang w:eastAsia="en-ZA"/>
        </w:rPr>
        <w:t xml:space="preserve"> </w:t>
      </w:r>
    </w:p>
  </w:footnote>
  <w:footnote w:id="33">
    <w:p w14:paraId="663FBF47" w14:textId="1308A91E" w:rsidR="00DA4089" w:rsidRPr="00BE6F55" w:rsidRDefault="00DA4089" w:rsidP="00FD0872">
      <w:pPr>
        <w:pStyle w:val="FootnoteText"/>
        <w:jc w:val="both"/>
        <w:rPr>
          <w:rFonts w:ascii="Arial" w:hAnsi="Arial" w:cs="Arial"/>
        </w:rPr>
      </w:pPr>
      <w:r w:rsidRPr="00BE6F55">
        <w:rPr>
          <w:rStyle w:val="FootnoteReference"/>
          <w:rFonts w:ascii="Arial" w:hAnsi="Arial" w:cs="Arial"/>
        </w:rPr>
        <w:footnoteRef/>
      </w:r>
      <w:r w:rsidRPr="00BE6F55">
        <w:rPr>
          <w:rFonts w:ascii="Arial" w:hAnsi="Arial" w:cs="Arial"/>
        </w:rPr>
        <w:t xml:space="preserve"> Ibid.</w:t>
      </w:r>
    </w:p>
  </w:footnote>
  <w:footnote w:id="34">
    <w:p w14:paraId="2D20CD49" w14:textId="3DB0274C" w:rsidR="00732531" w:rsidRPr="00BE6F55" w:rsidRDefault="00732531" w:rsidP="00BE6F55">
      <w:pPr>
        <w:pStyle w:val="FootnoteText"/>
        <w:jc w:val="both"/>
        <w:rPr>
          <w:rFonts w:ascii="Arial" w:hAnsi="Arial" w:cs="Arial"/>
        </w:rPr>
      </w:pPr>
      <w:r w:rsidRPr="00BE6F55">
        <w:rPr>
          <w:rStyle w:val="FootnoteReference"/>
          <w:rFonts w:ascii="Arial" w:hAnsi="Arial" w:cs="Arial"/>
        </w:rPr>
        <w:footnoteRef/>
      </w:r>
      <w:r w:rsidRPr="00BE6F55">
        <w:rPr>
          <w:rFonts w:ascii="Arial" w:hAnsi="Arial" w:cs="Arial"/>
        </w:rPr>
        <w:t xml:space="preserve"> Ibid para 102.</w:t>
      </w:r>
    </w:p>
  </w:footnote>
  <w:footnote w:id="35">
    <w:p w14:paraId="3EA078B2" w14:textId="77777777" w:rsidR="00E71AC7" w:rsidRPr="00BE6F55" w:rsidRDefault="00E71AC7" w:rsidP="00BE6F55">
      <w:pPr>
        <w:pStyle w:val="FootnoteText"/>
        <w:jc w:val="both"/>
        <w:rPr>
          <w:rFonts w:ascii="Arial" w:hAnsi="Arial" w:cs="Arial"/>
        </w:rPr>
      </w:pPr>
      <w:r w:rsidRPr="00BE6F55">
        <w:rPr>
          <w:rStyle w:val="FootnoteReference"/>
          <w:rFonts w:ascii="Arial" w:hAnsi="Arial" w:cs="Arial"/>
        </w:rPr>
        <w:footnoteRef/>
      </w:r>
      <w:r w:rsidRPr="00BE6F55">
        <w:rPr>
          <w:rFonts w:ascii="Arial" w:hAnsi="Arial" w:cs="Arial"/>
        </w:rPr>
        <w:t xml:space="preserve"> </w:t>
      </w:r>
      <w:r w:rsidRPr="00BE6F55">
        <w:rPr>
          <w:rFonts w:ascii="Arial" w:hAnsi="Arial" w:cs="Arial"/>
          <w:i/>
          <w:iCs/>
        </w:rPr>
        <w:t>Beecham</w:t>
      </w:r>
      <w:r w:rsidRPr="00BE6F55">
        <w:rPr>
          <w:rFonts w:ascii="Arial" w:hAnsi="Arial" w:cs="Arial"/>
        </w:rPr>
        <w:t xml:space="preserve"> para 24.</w:t>
      </w:r>
    </w:p>
  </w:footnote>
  <w:footnote w:id="36">
    <w:p w14:paraId="5E879767" w14:textId="77777777" w:rsidR="007C1523" w:rsidRPr="00DD5EB2" w:rsidRDefault="007C1523" w:rsidP="00BE6F55">
      <w:pPr>
        <w:pStyle w:val="FootnoteText"/>
        <w:jc w:val="both"/>
        <w:rPr>
          <w:rFonts w:ascii="Arial" w:hAnsi="Arial" w:cs="Arial"/>
        </w:rPr>
      </w:pPr>
      <w:r w:rsidRPr="00DD5EB2">
        <w:rPr>
          <w:rStyle w:val="FootnoteReference"/>
          <w:rFonts w:ascii="Arial" w:hAnsi="Arial" w:cs="Arial"/>
        </w:rPr>
        <w:footnoteRef/>
      </w:r>
      <w:r w:rsidRPr="00DD5EB2">
        <w:rPr>
          <w:rFonts w:ascii="Arial" w:hAnsi="Arial" w:cs="Arial"/>
        </w:rPr>
        <w:t xml:space="preserve"> </w:t>
      </w:r>
      <w:r w:rsidRPr="00DD5EB2">
        <w:rPr>
          <w:rFonts w:ascii="Arial" w:hAnsi="Arial" w:cs="Arial"/>
          <w:i/>
          <w:iCs/>
        </w:rPr>
        <w:t>Capital Estate</w:t>
      </w:r>
      <w:r w:rsidRPr="00DD5EB2">
        <w:rPr>
          <w:rFonts w:ascii="Arial" w:hAnsi="Arial" w:cs="Arial"/>
          <w:i/>
          <w:iCs/>
          <w:spacing w:val="-13"/>
        </w:rPr>
        <w:t xml:space="preserve"> </w:t>
      </w:r>
      <w:r w:rsidRPr="00DD5EB2">
        <w:rPr>
          <w:rFonts w:ascii="Arial" w:hAnsi="Arial" w:cs="Arial"/>
          <w:i/>
          <w:iCs/>
        </w:rPr>
        <w:t>and</w:t>
      </w:r>
      <w:r w:rsidRPr="00DD5EB2">
        <w:rPr>
          <w:rFonts w:ascii="Arial" w:hAnsi="Arial" w:cs="Arial"/>
          <w:i/>
          <w:iCs/>
          <w:spacing w:val="-12"/>
        </w:rPr>
        <w:t xml:space="preserve"> </w:t>
      </w:r>
      <w:r w:rsidRPr="00DD5EB2">
        <w:rPr>
          <w:rFonts w:ascii="Arial" w:hAnsi="Arial" w:cs="Arial"/>
          <w:i/>
          <w:iCs/>
        </w:rPr>
        <w:t>General</w:t>
      </w:r>
      <w:r w:rsidRPr="00DD5EB2">
        <w:rPr>
          <w:rFonts w:ascii="Arial" w:hAnsi="Arial" w:cs="Arial"/>
          <w:i/>
          <w:iCs/>
          <w:spacing w:val="-12"/>
        </w:rPr>
        <w:t xml:space="preserve"> </w:t>
      </w:r>
      <w:r w:rsidRPr="00DD5EB2">
        <w:rPr>
          <w:rFonts w:ascii="Arial" w:hAnsi="Arial" w:cs="Arial"/>
          <w:i/>
          <w:iCs/>
        </w:rPr>
        <w:t>Agencies</w:t>
      </w:r>
      <w:r w:rsidRPr="00DD5EB2">
        <w:rPr>
          <w:rFonts w:ascii="Arial" w:hAnsi="Arial" w:cs="Arial"/>
          <w:i/>
          <w:iCs/>
          <w:spacing w:val="-10"/>
        </w:rPr>
        <w:t xml:space="preserve"> </w:t>
      </w:r>
      <w:r w:rsidRPr="00DD5EB2">
        <w:rPr>
          <w:rFonts w:ascii="Arial" w:hAnsi="Arial" w:cs="Arial"/>
          <w:i/>
          <w:iCs/>
        </w:rPr>
        <w:t>(Pty)</w:t>
      </w:r>
      <w:r w:rsidRPr="00DD5EB2">
        <w:rPr>
          <w:rFonts w:ascii="Arial" w:hAnsi="Arial" w:cs="Arial"/>
          <w:i/>
          <w:iCs/>
          <w:spacing w:val="-13"/>
        </w:rPr>
        <w:t xml:space="preserve"> </w:t>
      </w:r>
      <w:r w:rsidRPr="00DD5EB2">
        <w:rPr>
          <w:rFonts w:ascii="Arial" w:hAnsi="Arial" w:cs="Arial"/>
          <w:i/>
          <w:iCs/>
        </w:rPr>
        <w:t>Ltd</w:t>
      </w:r>
      <w:r w:rsidRPr="00DD5EB2">
        <w:rPr>
          <w:rFonts w:ascii="Arial" w:hAnsi="Arial" w:cs="Arial"/>
          <w:i/>
          <w:iCs/>
          <w:spacing w:val="-11"/>
        </w:rPr>
        <w:t xml:space="preserve"> </w:t>
      </w:r>
      <w:r w:rsidRPr="00DD5EB2">
        <w:rPr>
          <w:rFonts w:ascii="Arial" w:hAnsi="Arial" w:cs="Arial"/>
          <w:i/>
          <w:iCs/>
        </w:rPr>
        <w:t>and</w:t>
      </w:r>
      <w:r w:rsidRPr="00DD5EB2">
        <w:rPr>
          <w:rFonts w:ascii="Arial" w:hAnsi="Arial" w:cs="Arial"/>
          <w:i/>
          <w:iCs/>
          <w:spacing w:val="-12"/>
        </w:rPr>
        <w:t xml:space="preserve"> </w:t>
      </w:r>
      <w:r w:rsidRPr="00DD5EB2">
        <w:rPr>
          <w:rFonts w:ascii="Arial" w:hAnsi="Arial" w:cs="Arial"/>
          <w:i/>
          <w:iCs/>
        </w:rPr>
        <w:t>Others</w:t>
      </w:r>
      <w:r w:rsidRPr="00DD5EB2">
        <w:rPr>
          <w:rFonts w:ascii="Arial" w:hAnsi="Arial" w:cs="Arial"/>
          <w:i/>
          <w:iCs/>
          <w:spacing w:val="-12"/>
        </w:rPr>
        <w:t xml:space="preserve"> </w:t>
      </w:r>
      <w:r w:rsidRPr="00DD5EB2">
        <w:rPr>
          <w:rFonts w:ascii="Arial" w:hAnsi="Arial" w:cs="Arial"/>
          <w:i/>
          <w:iCs/>
        </w:rPr>
        <w:t>v</w:t>
      </w:r>
      <w:r w:rsidRPr="00DD5EB2">
        <w:rPr>
          <w:rFonts w:ascii="Arial" w:hAnsi="Arial" w:cs="Arial"/>
          <w:i/>
          <w:iCs/>
          <w:spacing w:val="-11"/>
        </w:rPr>
        <w:t xml:space="preserve"> </w:t>
      </w:r>
      <w:r w:rsidRPr="00DD5EB2">
        <w:rPr>
          <w:rFonts w:ascii="Arial" w:hAnsi="Arial" w:cs="Arial"/>
          <w:i/>
          <w:iCs/>
        </w:rPr>
        <w:t>Holiday</w:t>
      </w:r>
      <w:r w:rsidRPr="00DD5EB2">
        <w:rPr>
          <w:rFonts w:ascii="Arial" w:hAnsi="Arial" w:cs="Arial"/>
          <w:i/>
          <w:iCs/>
          <w:spacing w:val="-11"/>
        </w:rPr>
        <w:t xml:space="preserve"> </w:t>
      </w:r>
      <w:r w:rsidRPr="00DD5EB2">
        <w:rPr>
          <w:rFonts w:ascii="Arial" w:hAnsi="Arial" w:cs="Arial"/>
          <w:i/>
          <w:iCs/>
        </w:rPr>
        <w:t>Inns</w:t>
      </w:r>
      <w:r w:rsidRPr="00DD5EB2">
        <w:rPr>
          <w:rFonts w:ascii="Arial" w:hAnsi="Arial" w:cs="Arial"/>
          <w:i/>
          <w:iCs/>
          <w:spacing w:val="-14"/>
        </w:rPr>
        <w:t xml:space="preserve"> </w:t>
      </w:r>
      <w:r w:rsidRPr="00DD5EB2">
        <w:rPr>
          <w:rFonts w:ascii="Arial" w:hAnsi="Arial" w:cs="Arial"/>
          <w:i/>
          <w:iCs/>
        </w:rPr>
        <w:t>Inc</w:t>
      </w:r>
      <w:r w:rsidRPr="00DD5EB2">
        <w:rPr>
          <w:rFonts w:ascii="Arial" w:hAnsi="Arial" w:cs="Arial"/>
          <w:i/>
          <w:iCs/>
          <w:spacing w:val="-13"/>
        </w:rPr>
        <w:t xml:space="preserve"> </w:t>
      </w:r>
      <w:r w:rsidRPr="00DD5EB2">
        <w:rPr>
          <w:rFonts w:ascii="Arial" w:hAnsi="Arial" w:cs="Arial"/>
          <w:i/>
          <w:iCs/>
        </w:rPr>
        <w:t>and</w:t>
      </w:r>
      <w:r w:rsidRPr="00DD5EB2">
        <w:rPr>
          <w:rFonts w:ascii="Arial" w:hAnsi="Arial" w:cs="Arial"/>
          <w:i/>
          <w:iCs/>
          <w:spacing w:val="-13"/>
        </w:rPr>
        <w:t xml:space="preserve"> </w:t>
      </w:r>
      <w:r w:rsidRPr="00DD5EB2">
        <w:rPr>
          <w:rFonts w:ascii="Arial" w:hAnsi="Arial" w:cs="Arial"/>
          <w:i/>
          <w:iCs/>
        </w:rPr>
        <w:t>Others</w:t>
      </w:r>
      <w:r w:rsidRPr="00DD5EB2">
        <w:rPr>
          <w:rFonts w:ascii="Arial" w:hAnsi="Arial" w:cs="Arial"/>
          <w:i/>
          <w:iCs/>
          <w:spacing w:val="-4"/>
        </w:rPr>
        <w:t xml:space="preserve"> </w:t>
      </w:r>
      <w:r w:rsidRPr="00DD5EB2">
        <w:rPr>
          <w:rFonts w:ascii="Arial" w:hAnsi="Arial" w:cs="Arial"/>
        </w:rPr>
        <w:t>1977 (2) SA 916 (A) at</w:t>
      </w:r>
      <w:r w:rsidRPr="00DD5EB2">
        <w:rPr>
          <w:rFonts w:ascii="Arial" w:hAnsi="Arial" w:cs="Arial"/>
          <w:spacing w:val="-1"/>
        </w:rPr>
        <w:t xml:space="preserve"> </w:t>
      </w:r>
      <w:r w:rsidRPr="00DD5EB2">
        <w:rPr>
          <w:rFonts w:ascii="Arial" w:hAnsi="Arial" w:cs="Arial"/>
        </w:rPr>
        <w:t>929C-E;</w:t>
      </w:r>
      <w:r w:rsidRPr="00DD5EB2">
        <w:rPr>
          <w:rFonts w:ascii="Arial" w:hAnsi="Arial" w:cs="Arial"/>
          <w:i/>
          <w:iCs/>
        </w:rPr>
        <w:t xml:space="preserve"> Williams t/a Jenifer Williams &amp; Associates and Another v Life Line Southern Transvaal </w:t>
      </w:r>
      <w:r w:rsidRPr="00DD5EB2">
        <w:rPr>
          <w:rFonts w:ascii="Arial" w:hAnsi="Arial" w:cs="Arial"/>
        </w:rPr>
        <w:t>1996 (3) SA 408 (A) at</w:t>
      </w:r>
      <w:r w:rsidRPr="00DD5EB2">
        <w:rPr>
          <w:rFonts w:ascii="Arial" w:hAnsi="Arial" w:cs="Arial"/>
          <w:spacing w:val="-11"/>
        </w:rPr>
        <w:t xml:space="preserve"> </w:t>
      </w:r>
      <w:r w:rsidRPr="00DD5EB2">
        <w:rPr>
          <w:rFonts w:ascii="Arial" w:hAnsi="Arial" w:cs="Arial"/>
        </w:rPr>
        <w:t>418F-H (</w:t>
      </w:r>
      <w:r w:rsidRPr="00DD5EB2">
        <w:rPr>
          <w:rFonts w:ascii="Arial" w:hAnsi="Arial" w:cs="Arial"/>
          <w:i/>
          <w:iCs/>
        </w:rPr>
        <w:t>Williams</w:t>
      </w:r>
      <w:r w:rsidRPr="00DD5EB2">
        <w:rPr>
          <w:rFonts w:ascii="Arial" w:hAnsi="Arial" w:cs="Arial"/>
        </w:rPr>
        <w:t>).</w:t>
      </w:r>
    </w:p>
  </w:footnote>
  <w:footnote w:id="37">
    <w:p w14:paraId="12C8290E" w14:textId="77777777" w:rsidR="007C1523" w:rsidRPr="00DD5EB2" w:rsidRDefault="007C1523" w:rsidP="00E81E81">
      <w:pPr>
        <w:widowControl w:val="0"/>
        <w:kinsoku w:val="0"/>
        <w:overflowPunct w:val="0"/>
        <w:autoSpaceDE w:val="0"/>
        <w:autoSpaceDN w:val="0"/>
        <w:adjustRightInd w:val="0"/>
        <w:spacing w:after="0" w:line="240" w:lineRule="auto"/>
        <w:jc w:val="both"/>
        <w:rPr>
          <w:rFonts w:ascii="Arial" w:eastAsiaTheme="minorEastAsia" w:hAnsi="Arial" w:cs="Arial"/>
          <w:sz w:val="20"/>
          <w:szCs w:val="20"/>
          <w:highlight w:val="yellow"/>
          <w:lang w:eastAsia="en-ZA"/>
        </w:rPr>
      </w:pPr>
      <w:r w:rsidRPr="00DD5EB2">
        <w:rPr>
          <w:rStyle w:val="FootnoteReference"/>
          <w:rFonts w:ascii="Arial" w:hAnsi="Arial" w:cs="Arial"/>
          <w:sz w:val="20"/>
          <w:szCs w:val="20"/>
        </w:rPr>
        <w:footnoteRef/>
      </w:r>
      <w:r w:rsidRPr="00DD5EB2">
        <w:rPr>
          <w:rFonts w:ascii="Arial" w:hAnsi="Arial" w:cs="Arial"/>
          <w:sz w:val="20"/>
          <w:szCs w:val="20"/>
        </w:rPr>
        <w:t xml:space="preserve"> </w:t>
      </w:r>
      <w:r w:rsidRPr="009E5963">
        <w:rPr>
          <w:rFonts w:ascii="Arial" w:eastAsia="Times New Roman" w:hAnsi="Arial" w:cs="Arial"/>
          <w:i/>
          <w:iCs/>
          <w:sz w:val="20"/>
          <w:szCs w:val="20"/>
          <w:lang w:val="en-US" w:eastAsia="en-ZA"/>
        </w:rPr>
        <w:t>Pasquali Cigarette Co Ltd v Diaconicolas &amp; Capsopolus</w:t>
      </w:r>
      <w:r w:rsidRPr="009E5963">
        <w:rPr>
          <w:rFonts w:ascii="Arial" w:eastAsia="Times New Roman" w:hAnsi="Arial" w:cs="Arial"/>
          <w:sz w:val="20"/>
          <w:szCs w:val="20"/>
          <w:lang w:val="en-US" w:eastAsia="en-ZA"/>
        </w:rPr>
        <w:t xml:space="preserve"> 1905 TS 472 at 479</w:t>
      </w:r>
      <w:r w:rsidRPr="00DD5EB2">
        <w:rPr>
          <w:rFonts w:ascii="Arial" w:eastAsia="Times New Roman" w:hAnsi="Arial" w:cs="Arial"/>
          <w:sz w:val="20"/>
          <w:szCs w:val="20"/>
          <w:lang w:val="en-US" w:eastAsia="en-ZA"/>
        </w:rPr>
        <w:t>.</w:t>
      </w:r>
      <w:r w:rsidRPr="009E5963">
        <w:rPr>
          <w:rFonts w:ascii="Arial" w:eastAsia="Times New Roman" w:hAnsi="Arial" w:cs="Arial"/>
          <w:sz w:val="20"/>
          <w:szCs w:val="20"/>
          <w:lang w:val="en-US" w:eastAsia="en-ZA"/>
        </w:rPr>
        <w:t xml:space="preserve"> </w:t>
      </w:r>
    </w:p>
  </w:footnote>
  <w:footnote w:id="38">
    <w:p w14:paraId="409637B2" w14:textId="77777777" w:rsidR="007C1523" w:rsidRPr="00DD5EB2" w:rsidRDefault="007C1523" w:rsidP="00BE6F55">
      <w:pPr>
        <w:pStyle w:val="BodyText"/>
        <w:kinsoku w:val="0"/>
        <w:overflowPunct w:val="0"/>
        <w:jc w:val="both"/>
        <w:rPr>
          <w:sz w:val="20"/>
          <w:szCs w:val="20"/>
        </w:rPr>
      </w:pPr>
      <w:r w:rsidRPr="00DD5EB2">
        <w:rPr>
          <w:rStyle w:val="FootnoteReference"/>
          <w:sz w:val="20"/>
          <w:szCs w:val="20"/>
        </w:rPr>
        <w:footnoteRef/>
      </w:r>
      <w:r w:rsidRPr="00DD5EB2">
        <w:rPr>
          <w:sz w:val="20"/>
          <w:szCs w:val="20"/>
        </w:rPr>
        <w:t xml:space="preserve"> </w:t>
      </w:r>
      <w:r w:rsidRPr="00DD5EB2">
        <w:rPr>
          <w:i/>
          <w:iCs/>
          <w:sz w:val="20"/>
          <w:szCs w:val="20"/>
          <w:shd w:val="clear" w:color="auto" w:fill="FFFFFF"/>
        </w:rPr>
        <w:t>Hoechst Pharmaceuticals (Pty) Ltd v The Beauty Box View Parallel Citation (Pty) Ltd (in liquidation) and Another</w:t>
      </w:r>
      <w:r w:rsidRPr="00DD5EB2">
        <w:rPr>
          <w:sz w:val="20"/>
          <w:szCs w:val="20"/>
          <w:shd w:val="clear" w:color="auto" w:fill="FFFFFF"/>
        </w:rPr>
        <w:t xml:space="preserve"> 1987 (2) SA 600 (A) 613F</w:t>
      </w:r>
      <w:r w:rsidRPr="00DD5EB2">
        <w:rPr>
          <w:sz w:val="20"/>
          <w:szCs w:val="20"/>
          <w:shd w:val="clear" w:color="auto" w:fill="FFFFFF"/>
        </w:rPr>
        <w:softHyphen/>
        <w:t xml:space="preserve">G; </w:t>
      </w:r>
      <w:r w:rsidRPr="00DD5EB2">
        <w:rPr>
          <w:i/>
          <w:iCs/>
          <w:sz w:val="20"/>
          <w:szCs w:val="20"/>
          <w:shd w:val="clear" w:color="auto" w:fill="FFFFFF"/>
        </w:rPr>
        <w:t>Brian Boswell Circus (Pty) Ltd and another v Boswell</w:t>
      </w:r>
      <w:r w:rsidRPr="00DD5EB2">
        <w:rPr>
          <w:i/>
          <w:iCs/>
          <w:sz w:val="20"/>
          <w:szCs w:val="20"/>
          <w:shd w:val="clear" w:color="auto" w:fill="FFFFFF"/>
        </w:rPr>
        <w:softHyphen/>
        <w:t xml:space="preserve"> Wilkie Circus (Pty) Ltd</w:t>
      </w:r>
      <w:r w:rsidRPr="00DD5EB2">
        <w:rPr>
          <w:sz w:val="20"/>
          <w:szCs w:val="20"/>
          <w:shd w:val="clear" w:color="auto" w:fill="FFFFFF"/>
        </w:rPr>
        <w:t xml:space="preserve"> 1985 (4) SA 466 (A) 479D.</w:t>
      </w:r>
    </w:p>
  </w:footnote>
  <w:footnote w:id="39">
    <w:p w14:paraId="5DE38DDD" w14:textId="77777777" w:rsidR="007C1523" w:rsidRPr="00DD5EB2" w:rsidRDefault="007C1523" w:rsidP="00BE6F55">
      <w:pPr>
        <w:pStyle w:val="FootnoteText"/>
        <w:jc w:val="both"/>
        <w:rPr>
          <w:rFonts w:ascii="Arial" w:hAnsi="Arial" w:cs="Arial"/>
          <w:lang w:val="en-GB"/>
        </w:rPr>
      </w:pPr>
      <w:r w:rsidRPr="00DD5EB2">
        <w:rPr>
          <w:rStyle w:val="FootnoteReference"/>
          <w:rFonts w:ascii="Arial" w:hAnsi="Arial" w:cs="Arial"/>
        </w:rPr>
        <w:footnoteRef/>
      </w:r>
      <w:r w:rsidRPr="00DD5EB2">
        <w:rPr>
          <w:rFonts w:ascii="Arial" w:hAnsi="Arial" w:cs="Arial"/>
        </w:rPr>
        <w:t xml:space="preserve"> </w:t>
      </w:r>
      <w:r w:rsidRPr="00DD5EB2">
        <w:rPr>
          <w:rFonts w:ascii="Arial" w:hAnsi="Arial" w:cs="Arial"/>
          <w:i/>
          <w:iCs/>
        </w:rPr>
        <w:t xml:space="preserve">Williams </w:t>
      </w:r>
      <w:r w:rsidRPr="00DD5EB2">
        <w:rPr>
          <w:rFonts w:ascii="Arial" w:hAnsi="Arial" w:cs="Arial"/>
        </w:rPr>
        <w:t>418H.</w:t>
      </w:r>
    </w:p>
  </w:footnote>
  <w:footnote w:id="40">
    <w:p w14:paraId="0535EA05" w14:textId="2225F2A5" w:rsidR="005761FA" w:rsidRPr="00BE6F55" w:rsidRDefault="005761FA" w:rsidP="005761FA">
      <w:pPr>
        <w:pStyle w:val="FootnoteText"/>
        <w:jc w:val="both"/>
        <w:rPr>
          <w:rFonts w:ascii="Arial" w:hAnsi="Arial" w:cs="Arial"/>
        </w:rPr>
      </w:pPr>
      <w:r w:rsidRPr="00DD5EB2">
        <w:rPr>
          <w:rStyle w:val="FootnoteReference"/>
          <w:rFonts w:ascii="Arial" w:hAnsi="Arial" w:cs="Arial"/>
        </w:rPr>
        <w:footnoteRef/>
      </w:r>
      <w:r w:rsidRPr="00DD5EB2">
        <w:rPr>
          <w:rFonts w:ascii="Arial" w:hAnsi="Arial" w:cs="Arial"/>
        </w:rPr>
        <w:t xml:space="preserve"> </w:t>
      </w:r>
      <w:bookmarkStart w:id="77" w:name="_Hlk118665717"/>
      <w:r w:rsidRPr="00DD5EB2">
        <w:rPr>
          <w:rFonts w:ascii="Arial" w:hAnsi="Arial" w:cs="Arial"/>
          <w:i/>
          <w:iCs/>
        </w:rPr>
        <w:t>Pioneer Foods (Pty) Ltd v Bothaville Milling (Pty) Ltd</w:t>
      </w:r>
      <w:r w:rsidRPr="00DD5EB2">
        <w:rPr>
          <w:rFonts w:ascii="Arial" w:hAnsi="Arial" w:cs="Arial"/>
          <w:iCs/>
        </w:rPr>
        <w:t xml:space="preserve"> </w:t>
      </w:r>
      <w:bookmarkEnd w:id="77"/>
      <w:r w:rsidRPr="00DD5EB2">
        <w:rPr>
          <w:rFonts w:ascii="Arial" w:hAnsi="Arial" w:cs="Arial"/>
          <w:iCs/>
        </w:rPr>
        <w:t>[2014] ZASCA 6;</w:t>
      </w:r>
      <w:r w:rsidRPr="00DD5EB2">
        <w:rPr>
          <w:rFonts w:ascii="Arial" w:hAnsi="Arial" w:cs="Arial"/>
        </w:rPr>
        <w:t xml:space="preserve"> [2014] 2 All SA 282 (SCA)</w:t>
      </w:r>
      <w:r>
        <w:rPr>
          <w:rFonts w:ascii="Arial" w:hAnsi="Arial" w:cs="Arial"/>
        </w:rPr>
        <w:t>.</w:t>
      </w:r>
      <w:r w:rsidRPr="00DD5EB2">
        <w:rPr>
          <w:rFonts w:ascii="Arial" w:hAnsi="Arial" w:cs="Arial"/>
        </w:rPr>
        <w:t xml:space="preserve"> </w:t>
      </w:r>
    </w:p>
  </w:footnote>
  <w:footnote w:id="41">
    <w:p w14:paraId="2339CA72" w14:textId="032DCF7B" w:rsidR="005761FA" w:rsidRPr="005761FA" w:rsidRDefault="005761FA">
      <w:pPr>
        <w:pStyle w:val="FootnoteText"/>
        <w:rPr>
          <w:rFonts w:ascii="Arial" w:hAnsi="Arial" w:cs="Arial"/>
        </w:rPr>
      </w:pPr>
      <w:r w:rsidRPr="00535741">
        <w:rPr>
          <w:rStyle w:val="FootnoteReference"/>
          <w:rFonts w:ascii="Arial" w:hAnsi="Arial" w:cs="Arial"/>
        </w:rPr>
        <w:footnoteRef/>
      </w:r>
      <w:r w:rsidRPr="00535741">
        <w:rPr>
          <w:rFonts w:ascii="Arial" w:hAnsi="Arial" w:cs="Arial"/>
        </w:rPr>
        <w:t xml:space="preserve"> Ibid para 7.</w:t>
      </w:r>
    </w:p>
  </w:footnote>
  <w:footnote w:id="42">
    <w:p w14:paraId="3BB2B81E" w14:textId="332EAA44" w:rsidR="007C1523" w:rsidRPr="00DD5EB2" w:rsidRDefault="007C1523" w:rsidP="00BE6F55">
      <w:pPr>
        <w:pStyle w:val="FootnoteText"/>
        <w:jc w:val="both"/>
        <w:rPr>
          <w:rFonts w:ascii="Arial" w:hAnsi="Arial" w:cs="Arial"/>
          <w:lang w:val="en-GB"/>
        </w:rPr>
      </w:pPr>
      <w:r w:rsidRPr="00BE6F55">
        <w:rPr>
          <w:rStyle w:val="FootnoteReference"/>
          <w:rFonts w:ascii="Arial" w:hAnsi="Arial" w:cs="Arial"/>
        </w:rPr>
        <w:footnoteRef/>
      </w:r>
      <w:r w:rsidRPr="00BE6F55">
        <w:rPr>
          <w:rFonts w:ascii="Arial" w:hAnsi="Arial" w:cs="Arial"/>
        </w:rPr>
        <w:t xml:space="preserve"> </w:t>
      </w:r>
      <w:r w:rsidRPr="00DD5EB2">
        <w:rPr>
          <w:rFonts w:ascii="Arial" w:eastAsia="Times New Roman" w:hAnsi="Arial" w:cs="Arial"/>
          <w:i/>
          <w:iCs/>
          <w:shd w:val="clear" w:color="auto" w:fill="FFFFFF"/>
          <w:lang w:val="en-US"/>
        </w:rPr>
        <w:t xml:space="preserve">Reckitt &amp; Colman Products Ltd v Borden Inc and Others </w:t>
      </w:r>
      <w:r w:rsidRPr="00DD5EB2">
        <w:rPr>
          <w:rFonts w:ascii="Arial" w:eastAsia="Times New Roman" w:hAnsi="Arial" w:cs="Arial"/>
          <w:lang w:val="en-US"/>
        </w:rPr>
        <w:t>[1990] R</w:t>
      </w:r>
      <w:r w:rsidR="007D6DF5">
        <w:rPr>
          <w:rFonts w:ascii="Arial" w:eastAsia="Times New Roman" w:hAnsi="Arial" w:cs="Arial"/>
          <w:lang w:val="en-US"/>
        </w:rPr>
        <w:t>P</w:t>
      </w:r>
      <w:r w:rsidRPr="00DD5EB2">
        <w:rPr>
          <w:rFonts w:ascii="Arial" w:eastAsia="Times New Roman" w:hAnsi="Arial" w:cs="Arial"/>
          <w:lang w:val="en-US"/>
        </w:rPr>
        <w:t>C 341 (HL) 406.</w:t>
      </w:r>
    </w:p>
  </w:footnote>
  <w:footnote w:id="43">
    <w:p w14:paraId="524E3CBA" w14:textId="0C07A6B6" w:rsidR="007C1523" w:rsidRPr="00BE6F55" w:rsidRDefault="007C1523" w:rsidP="00BE6F55">
      <w:pPr>
        <w:pStyle w:val="FootnoteText"/>
        <w:contextualSpacing/>
        <w:jc w:val="both"/>
        <w:rPr>
          <w:rFonts w:ascii="Arial" w:hAnsi="Arial" w:cs="Arial"/>
          <w:lang w:val="en-US"/>
        </w:rPr>
      </w:pPr>
      <w:r w:rsidRPr="00DD5EB2">
        <w:rPr>
          <w:rStyle w:val="FootnoteReference"/>
          <w:rFonts w:ascii="Arial" w:hAnsi="Arial" w:cs="Arial"/>
        </w:rPr>
        <w:footnoteRef/>
      </w:r>
      <w:r w:rsidRPr="00DD5EB2">
        <w:rPr>
          <w:rFonts w:ascii="Arial" w:hAnsi="Arial" w:cs="Arial"/>
        </w:rPr>
        <w:t xml:space="preserve"> Ibid </w:t>
      </w:r>
      <w:r w:rsidRPr="00DD5EB2">
        <w:rPr>
          <w:rFonts w:ascii="Arial" w:eastAsia="Times New Roman" w:hAnsi="Arial" w:cs="Arial"/>
          <w:lang w:val="en-US"/>
        </w:rPr>
        <w:t xml:space="preserve">lines 26-31 and </w:t>
      </w:r>
      <w:r w:rsidRPr="00BE6F55">
        <w:rPr>
          <w:rFonts w:ascii="Arial" w:hAnsi="Arial" w:cs="Arial"/>
        </w:rPr>
        <w:t xml:space="preserve">referred to with approval in </w:t>
      </w:r>
      <w:r w:rsidRPr="00BE6F55">
        <w:rPr>
          <w:rFonts w:ascii="Arial" w:hAnsi="Arial" w:cs="Arial"/>
          <w:i/>
          <w:iCs/>
        </w:rPr>
        <w:t xml:space="preserve">Caterham Car Sales and Coachworks Ltd v Birkin Cars (Pty) Ltd and Another </w:t>
      </w:r>
      <w:r w:rsidRPr="00BE6F55">
        <w:rPr>
          <w:rFonts w:ascii="Arial" w:hAnsi="Arial" w:cs="Arial"/>
        </w:rPr>
        <w:t>[1998] ZASCA 44; 1998 (3) SA 938 (SCA); paras 21 and 22.</w:t>
      </w:r>
      <w:r w:rsidRPr="00BE6F55">
        <w:rPr>
          <w:rFonts w:ascii="Arial" w:hAnsi="Arial" w:cs="Arial"/>
          <w:i/>
          <w:iCs/>
        </w:rPr>
        <w:t xml:space="preserve">  </w:t>
      </w:r>
      <w:r w:rsidRPr="00BE6F55">
        <w:rPr>
          <w:rFonts w:ascii="Arial" w:hAnsi="Arial" w:cs="Arial"/>
        </w:rPr>
        <w:t xml:space="preserve"> </w:t>
      </w:r>
    </w:p>
  </w:footnote>
  <w:footnote w:id="44">
    <w:p w14:paraId="1E7C7FA4" w14:textId="77777777" w:rsidR="007C1523" w:rsidRPr="00BE6F55" w:rsidRDefault="007C1523" w:rsidP="00BE6F55">
      <w:pPr>
        <w:pStyle w:val="FootnoteText"/>
        <w:jc w:val="both"/>
        <w:rPr>
          <w:rFonts w:ascii="Arial" w:hAnsi="Arial" w:cs="Arial"/>
        </w:rPr>
      </w:pPr>
      <w:r w:rsidRPr="00BE6F55">
        <w:rPr>
          <w:rStyle w:val="FootnoteReference"/>
          <w:rFonts w:ascii="Arial" w:hAnsi="Arial" w:cs="Arial"/>
        </w:rPr>
        <w:footnoteRef/>
      </w:r>
      <w:r w:rsidRPr="00BE6F55">
        <w:rPr>
          <w:rFonts w:ascii="Arial" w:hAnsi="Arial" w:cs="Arial"/>
        </w:rPr>
        <w:t xml:space="preserve"> </w:t>
      </w:r>
      <w:r w:rsidRPr="00BE6F55">
        <w:rPr>
          <w:rFonts w:ascii="Arial" w:hAnsi="Arial" w:cs="Arial"/>
          <w:i/>
          <w:iCs/>
        </w:rPr>
        <w:t>Hollywood Curl (Pty) Ltd and Another v Twins Products (Pty) Ltd</w:t>
      </w:r>
      <w:r w:rsidRPr="00BE6F55">
        <w:rPr>
          <w:rFonts w:ascii="Arial" w:hAnsi="Arial" w:cs="Arial"/>
        </w:rPr>
        <w:t xml:space="preserve"> 1989 (1) SA 236 (A) at 249J; </w:t>
      </w:r>
      <w:r w:rsidRPr="00BE6F55">
        <w:rPr>
          <w:rFonts w:ascii="Arial" w:hAnsi="Arial" w:cs="Arial"/>
          <w:i/>
          <w:iCs/>
        </w:rPr>
        <w:t>Adidas AG and Another v Pepkor Retail Limited</w:t>
      </w:r>
      <w:r w:rsidRPr="00BE6F55">
        <w:rPr>
          <w:rFonts w:ascii="Arial" w:hAnsi="Arial" w:cs="Arial"/>
        </w:rPr>
        <w:t xml:space="preserve"> [2013] ZASCA 3 para 29. </w:t>
      </w:r>
    </w:p>
  </w:footnote>
  <w:footnote w:id="45">
    <w:p w14:paraId="293988C7" w14:textId="77777777" w:rsidR="007C1523" w:rsidRPr="00BE6F55" w:rsidRDefault="007C1523" w:rsidP="00BE6F55">
      <w:pPr>
        <w:pStyle w:val="FootnoteText"/>
        <w:jc w:val="both"/>
        <w:rPr>
          <w:rFonts w:ascii="Arial" w:hAnsi="Arial" w:cs="Arial"/>
        </w:rPr>
      </w:pPr>
      <w:r w:rsidRPr="00BE6F55">
        <w:rPr>
          <w:rStyle w:val="FootnoteReference"/>
          <w:rFonts w:ascii="Arial" w:hAnsi="Arial" w:cs="Arial"/>
        </w:rPr>
        <w:footnoteRef/>
      </w:r>
      <w:r w:rsidRPr="00BE6F55">
        <w:rPr>
          <w:rFonts w:ascii="Arial" w:hAnsi="Arial" w:cs="Arial"/>
        </w:rPr>
        <w:t xml:space="preserve"> </w:t>
      </w:r>
      <w:r w:rsidRPr="00BE6F55">
        <w:rPr>
          <w:rFonts w:ascii="Arial" w:hAnsi="Arial" w:cs="Arial"/>
          <w:i/>
          <w:iCs/>
        </w:rPr>
        <w:t xml:space="preserve">Adidas AG </w:t>
      </w:r>
      <w:r w:rsidRPr="00BE6F55">
        <w:rPr>
          <w:rFonts w:ascii="Arial" w:hAnsi="Arial" w:cs="Arial"/>
        </w:rPr>
        <w:t>fn 5 para 29.</w:t>
      </w:r>
    </w:p>
  </w:footnote>
  <w:footnote w:id="46">
    <w:p w14:paraId="1F40F7BD" w14:textId="3D0C86AD" w:rsidR="007C1523" w:rsidRPr="00297DA6" w:rsidRDefault="007C1523" w:rsidP="00BE6F55">
      <w:pPr>
        <w:pStyle w:val="FootnoteText"/>
        <w:jc w:val="both"/>
        <w:rPr>
          <w:lang w:val="en-GB"/>
        </w:rPr>
      </w:pPr>
      <w:r w:rsidRPr="00BE6F55">
        <w:rPr>
          <w:rStyle w:val="FootnoteReference"/>
          <w:rFonts w:ascii="Arial" w:hAnsi="Arial" w:cs="Arial"/>
        </w:rPr>
        <w:footnoteRef/>
      </w:r>
      <w:r w:rsidR="005C3BC2">
        <w:rPr>
          <w:rFonts w:ascii="Arial" w:hAnsi="Arial" w:cs="Arial"/>
        </w:rPr>
        <w:t xml:space="preserve"> </w:t>
      </w:r>
      <w:r w:rsidRPr="00BE6F55">
        <w:rPr>
          <w:rFonts w:ascii="Arial" w:hAnsi="Arial" w:cs="Arial"/>
          <w:i/>
          <w:iCs/>
        </w:rPr>
        <w:t>Weber-Stephen Products Co v Alrite Engineering</w:t>
      </w:r>
      <w:r w:rsidRPr="00BE6F55">
        <w:rPr>
          <w:rFonts w:ascii="Arial" w:hAnsi="Arial" w:cs="Arial"/>
        </w:rPr>
        <w:t xml:space="preserve"> (Pty) Ltd 1992 (2) SA 489 (A).</w:t>
      </w:r>
      <w:r>
        <w:t xml:space="preserve"> </w:t>
      </w:r>
    </w:p>
  </w:footnote>
  <w:footnote w:id="47">
    <w:p w14:paraId="465D49B2" w14:textId="21AF9A56" w:rsidR="00A8263E" w:rsidRPr="00E81E81" w:rsidRDefault="00A8263E">
      <w:pPr>
        <w:pStyle w:val="FootnoteText"/>
        <w:rPr>
          <w:rFonts w:ascii="Arial" w:hAnsi="Arial" w:cs="Arial"/>
        </w:rPr>
      </w:pPr>
      <w:r w:rsidRPr="00E81E81">
        <w:rPr>
          <w:rStyle w:val="FootnoteReference"/>
          <w:rFonts w:ascii="Arial" w:hAnsi="Arial" w:cs="Arial"/>
        </w:rPr>
        <w:footnoteRef/>
      </w:r>
      <w:r w:rsidRPr="00E81E81">
        <w:rPr>
          <w:rFonts w:ascii="Arial" w:hAnsi="Arial" w:cs="Arial"/>
        </w:rPr>
        <w:t xml:space="preserve"> </w:t>
      </w:r>
      <w:r w:rsidR="00EC0B09" w:rsidRPr="00E81E81">
        <w:rPr>
          <w:rFonts w:ascii="Arial" w:hAnsi="Arial" w:cs="Arial"/>
          <w:i/>
          <w:iCs/>
        </w:rPr>
        <w:t>Schweppes Ltd v Gibbens</w:t>
      </w:r>
      <w:r w:rsidR="00EC0B09" w:rsidRPr="00E81E81">
        <w:rPr>
          <w:rFonts w:ascii="Arial" w:hAnsi="Arial" w:cs="Arial"/>
        </w:rPr>
        <w:t xml:space="preserve"> (1905) 22 RPC 601 HL.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157576"/>
      <w:docPartObj>
        <w:docPartGallery w:val="Page Numbers (Top of Page)"/>
        <w:docPartUnique/>
      </w:docPartObj>
    </w:sdtPr>
    <w:sdtEndPr>
      <w:rPr>
        <w:rFonts w:ascii="Arial" w:hAnsi="Arial" w:cs="Arial"/>
        <w:noProof/>
        <w:sz w:val="20"/>
        <w:szCs w:val="20"/>
      </w:rPr>
    </w:sdtEndPr>
    <w:sdtContent>
      <w:p w14:paraId="46D91353" w14:textId="00D74A0F" w:rsidR="00A41BAF" w:rsidRPr="00D40849" w:rsidRDefault="00A41BAF">
        <w:pPr>
          <w:pStyle w:val="Header"/>
          <w:jc w:val="right"/>
          <w:rPr>
            <w:rFonts w:ascii="Arial" w:hAnsi="Arial" w:cs="Arial"/>
            <w:sz w:val="20"/>
            <w:szCs w:val="20"/>
          </w:rPr>
        </w:pPr>
        <w:r w:rsidRPr="00D40849">
          <w:rPr>
            <w:rFonts w:ascii="Arial" w:hAnsi="Arial" w:cs="Arial"/>
            <w:sz w:val="20"/>
            <w:szCs w:val="20"/>
          </w:rPr>
          <w:fldChar w:fldCharType="begin"/>
        </w:r>
        <w:r w:rsidRPr="00D40849">
          <w:rPr>
            <w:rFonts w:ascii="Arial" w:hAnsi="Arial" w:cs="Arial"/>
            <w:sz w:val="20"/>
            <w:szCs w:val="20"/>
          </w:rPr>
          <w:instrText xml:space="preserve"> PAGE   \* MERGEFORMAT </w:instrText>
        </w:r>
        <w:r w:rsidRPr="00D40849">
          <w:rPr>
            <w:rFonts w:ascii="Arial" w:hAnsi="Arial" w:cs="Arial"/>
            <w:sz w:val="20"/>
            <w:szCs w:val="20"/>
          </w:rPr>
          <w:fldChar w:fldCharType="separate"/>
        </w:r>
        <w:r w:rsidR="006227FF">
          <w:rPr>
            <w:rFonts w:ascii="Arial" w:hAnsi="Arial" w:cs="Arial"/>
            <w:noProof/>
            <w:sz w:val="20"/>
            <w:szCs w:val="20"/>
          </w:rPr>
          <w:t>6</w:t>
        </w:r>
        <w:r w:rsidRPr="00D40849">
          <w:rPr>
            <w:rFonts w:ascii="Arial" w:hAnsi="Arial" w:cs="Arial"/>
            <w:noProof/>
            <w:sz w:val="20"/>
            <w:szCs w:val="20"/>
          </w:rPr>
          <w:fldChar w:fldCharType="end"/>
        </w:r>
      </w:p>
    </w:sdtContent>
  </w:sdt>
  <w:p w14:paraId="2A498185" w14:textId="77777777" w:rsidR="00A41BAF" w:rsidRDefault="00A41B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FFFFFFFF"/>
    <w:name w:val="WW8Num2"/>
    <w:lvl w:ilvl="0">
      <w:start w:val="1"/>
      <w:numFmt w:val="lowerLetter"/>
      <w:lvlText w:val="%1."/>
      <w:lvlJc w:val="left"/>
      <w:pPr>
        <w:ind w:left="720" w:hanging="360"/>
      </w:pPr>
    </w:lvl>
  </w:abstractNum>
  <w:abstractNum w:abstractNumId="1" w15:restartNumberingAfterBreak="0">
    <w:nsid w:val="00000002"/>
    <w:multiLevelType w:val="multilevel"/>
    <w:tmpl w:val="FFFFFFFF"/>
    <w:name w:val="WW8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Wingdings" w:hAnsi="Wingdings"/>
        <w:sz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0000406"/>
    <w:multiLevelType w:val="multilevel"/>
    <w:tmpl w:val="FFFFFFFF"/>
    <w:lvl w:ilvl="0">
      <w:start w:val="7"/>
      <w:numFmt w:val="decimal"/>
      <w:lvlText w:val="[%1]"/>
      <w:lvlJc w:val="left"/>
      <w:pPr>
        <w:ind w:left="100" w:hanging="720"/>
      </w:pPr>
      <w:rPr>
        <w:rFonts w:ascii="Arial" w:hAnsi="Arial" w:cs="Arial"/>
        <w:b w:val="0"/>
        <w:bCs w:val="0"/>
        <w:i w:val="0"/>
        <w:w w:val="100"/>
        <w:sz w:val="24"/>
        <w:szCs w:val="24"/>
      </w:rPr>
    </w:lvl>
    <w:lvl w:ilvl="1">
      <w:numFmt w:val="bullet"/>
      <w:lvlText w:val="•"/>
      <w:lvlJc w:val="left"/>
      <w:pPr>
        <w:ind w:left="1056" w:hanging="720"/>
      </w:pPr>
    </w:lvl>
    <w:lvl w:ilvl="2">
      <w:numFmt w:val="bullet"/>
      <w:lvlText w:val="•"/>
      <w:lvlJc w:val="left"/>
      <w:pPr>
        <w:ind w:left="2013" w:hanging="720"/>
      </w:pPr>
    </w:lvl>
    <w:lvl w:ilvl="3">
      <w:numFmt w:val="bullet"/>
      <w:lvlText w:val="•"/>
      <w:lvlJc w:val="left"/>
      <w:pPr>
        <w:ind w:left="2969" w:hanging="720"/>
      </w:pPr>
    </w:lvl>
    <w:lvl w:ilvl="4">
      <w:numFmt w:val="bullet"/>
      <w:lvlText w:val="•"/>
      <w:lvlJc w:val="left"/>
      <w:pPr>
        <w:ind w:left="3926" w:hanging="720"/>
      </w:pPr>
    </w:lvl>
    <w:lvl w:ilvl="5">
      <w:numFmt w:val="bullet"/>
      <w:lvlText w:val="•"/>
      <w:lvlJc w:val="left"/>
      <w:pPr>
        <w:ind w:left="4883" w:hanging="720"/>
      </w:pPr>
    </w:lvl>
    <w:lvl w:ilvl="6">
      <w:numFmt w:val="bullet"/>
      <w:lvlText w:val="•"/>
      <w:lvlJc w:val="left"/>
      <w:pPr>
        <w:ind w:left="5839" w:hanging="720"/>
      </w:pPr>
    </w:lvl>
    <w:lvl w:ilvl="7">
      <w:numFmt w:val="bullet"/>
      <w:lvlText w:val="•"/>
      <w:lvlJc w:val="left"/>
      <w:pPr>
        <w:ind w:left="6796" w:hanging="720"/>
      </w:pPr>
    </w:lvl>
    <w:lvl w:ilvl="8">
      <w:numFmt w:val="bullet"/>
      <w:lvlText w:val="•"/>
      <w:lvlJc w:val="left"/>
      <w:pPr>
        <w:ind w:left="7753" w:hanging="720"/>
      </w:pPr>
    </w:lvl>
  </w:abstractNum>
  <w:abstractNum w:abstractNumId="3" w15:restartNumberingAfterBreak="0">
    <w:nsid w:val="095A7A26"/>
    <w:multiLevelType w:val="hybridMultilevel"/>
    <w:tmpl w:val="BDA0501A"/>
    <w:lvl w:ilvl="0" w:tplc="CE9E1E6A">
      <w:start w:val="1"/>
      <w:numFmt w:val="decimal"/>
      <w:pStyle w:val="JUDGMENTNUMBERED"/>
      <w:lvlText w:val="[%1]"/>
      <w:lvlJc w:val="left"/>
      <w:pPr>
        <w:ind w:left="3338" w:hanging="360"/>
      </w:pPr>
      <w:rPr>
        <w:rFonts w:ascii="Arial" w:hAnsi="Arial" w:cs="Arial"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1" w:tplc="E72E60BC">
      <w:start w:val="1"/>
      <w:numFmt w:val="decimal"/>
      <w:lvlText w:val="(%2)"/>
      <w:lvlJc w:val="left"/>
      <w:pPr>
        <w:ind w:left="-1537" w:hanging="360"/>
      </w:pPr>
      <w:rPr>
        <w:rFonts w:cs="Times New Roman" w:hint="default"/>
      </w:rPr>
    </w:lvl>
    <w:lvl w:ilvl="2" w:tplc="E2880030">
      <w:start w:val="1"/>
      <w:numFmt w:val="decimal"/>
      <w:lvlText w:val="%3."/>
      <w:lvlJc w:val="left"/>
      <w:pPr>
        <w:ind w:left="-637" w:hanging="360"/>
      </w:pPr>
      <w:rPr>
        <w:rFonts w:ascii="Times New Roman" w:hAnsi="Times New Roman" w:cs="Times New Roman" w:hint="default"/>
        <w:i w:val="0"/>
        <w:sz w:val="28"/>
        <w:szCs w:val="28"/>
      </w:rPr>
    </w:lvl>
    <w:lvl w:ilvl="3" w:tplc="51F0B930">
      <w:start w:val="1"/>
      <w:numFmt w:val="lowerLetter"/>
      <w:lvlText w:val="(%4)"/>
      <w:lvlJc w:val="left"/>
      <w:pPr>
        <w:ind w:left="-727" w:hanging="720"/>
      </w:pPr>
      <w:rPr>
        <w:rFonts w:ascii="Times New Roman" w:eastAsia="Times New Roman" w:hAnsi="Times New Roman" w:cs="Times New Roman" w:hint="default"/>
        <w:b w:val="0"/>
        <w:bCs w:val="0"/>
        <w:i/>
        <w:iCs/>
      </w:rPr>
    </w:lvl>
    <w:lvl w:ilvl="4" w:tplc="AC666328">
      <w:start w:val="1"/>
      <w:numFmt w:val="lowerLetter"/>
      <w:lvlText w:val="(%5)"/>
      <w:lvlJc w:val="left"/>
      <w:pPr>
        <w:ind w:left="623" w:hanging="360"/>
      </w:pPr>
      <w:rPr>
        <w:rFonts w:hint="default"/>
      </w:rPr>
    </w:lvl>
    <w:lvl w:ilvl="5" w:tplc="0409001B">
      <w:start w:val="1"/>
      <w:numFmt w:val="lowerRoman"/>
      <w:lvlText w:val="%6."/>
      <w:lvlJc w:val="right"/>
      <w:pPr>
        <w:ind w:left="1343" w:hanging="180"/>
      </w:pPr>
      <w:rPr>
        <w:rFonts w:cs="Times New Roman"/>
      </w:rPr>
    </w:lvl>
    <w:lvl w:ilvl="6" w:tplc="0409000F" w:tentative="1">
      <w:start w:val="1"/>
      <w:numFmt w:val="decimal"/>
      <w:lvlText w:val="%7."/>
      <w:lvlJc w:val="left"/>
      <w:pPr>
        <w:ind w:left="2063" w:hanging="360"/>
      </w:pPr>
      <w:rPr>
        <w:rFonts w:cs="Times New Roman"/>
      </w:rPr>
    </w:lvl>
    <w:lvl w:ilvl="7" w:tplc="04090019" w:tentative="1">
      <w:start w:val="1"/>
      <w:numFmt w:val="lowerLetter"/>
      <w:lvlText w:val="%8."/>
      <w:lvlJc w:val="left"/>
      <w:pPr>
        <w:ind w:left="2783" w:hanging="360"/>
      </w:pPr>
      <w:rPr>
        <w:rFonts w:cs="Times New Roman"/>
      </w:rPr>
    </w:lvl>
    <w:lvl w:ilvl="8" w:tplc="0409001B" w:tentative="1">
      <w:start w:val="1"/>
      <w:numFmt w:val="lowerRoman"/>
      <w:lvlText w:val="%9."/>
      <w:lvlJc w:val="right"/>
      <w:pPr>
        <w:ind w:left="3503" w:hanging="180"/>
      </w:pPr>
      <w:rPr>
        <w:rFonts w:cs="Times New Roman"/>
      </w:rPr>
    </w:lvl>
  </w:abstractNum>
  <w:abstractNum w:abstractNumId="4" w15:restartNumberingAfterBreak="0">
    <w:nsid w:val="0A3128D8"/>
    <w:multiLevelType w:val="hybridMultilevel"/>
    <w:tmpl w:val="F9F00D08"/>
    <w:lvl w:ilvl="0" w:tplc="28EAE4CC">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AEB1BDB"/>
    <w:multiLevelType w:val="hybridMultilevel"/>
    <w:tmpl w:val="B1EC593A"/>
    <w:lvl w:ilvl="0" w:tplc="6B96E8C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26862680"/>
    <w:multiLevelType w:val="multilevel"/>
    <w:tmpl w:val="8D52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7B0B7F"/>
    <w:multiLevelType w:val="hybridMultilevel"/>
    <w:tmpl w:val="C6568406"/>
    <w:lvl w:ilvl="0" w:tplc="1C09000F">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3230A0B"/>
    <w:multiLevelType w:val="multilevel"/>
    <w:tmpl w:val="8D4C4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6669E7"/>
    <w:multiLevelType w:val="multilevel"/>
    <w:tmpl w:val="8D4C4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02021A"/>
    <w:multiLevelType w:val="hybridMultilevel"/>
    <w:tmpl w:val="52E694A6"/>
    <w:lvl w:ilvl="0" w:tplc="67A80320">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C7E722B"/>
    <w:multiLevelType w:val="hybridMultilevel"/>
    <w:tmpl w:val="D0D409E6"/>
    <w:lvl w:ilvl="0" w:tplc="30AEC952">
      <w:start w:val="1"/>
      <w:numFmt w:val="lowerLetter"/>
      <w:lvlText w:val="(%1)"/>
      <w:lvlJc w:val="left"/>
      <w:pPr>
        <w:ind w:left="3338" w:hanging="360"/>
      </w:pPr>
      <w:rPr>
        <w:rFonts w:hint="default"/>
      </w:rPr>
    </w:lvl>
    <w:lvl w:ilvl="1" w:tplc="1C090019" w:tentative="1">
      <w:start w:val="1"/>
      <w:numFmt w:val="lowerLetter"/>
      <w:lvlText w:val="%2."/>
      <w:lvlJc w:val="left"/>
      <w:pPr>
        <w:ind w:left="4058" w:hanging="360"/>
      </w:pPr>
    </w:lvl>
    <w:lvl w:ilvl="2" w:tplc="1C09001B" w:tentative="1">
      <w:start w:val="1"/>
      <w:numFmt w:val="lowerRoman"/>
      <w:lvlText w:val="%3."/>
      <w:lvlJc w:val="right"/>
      <w:pPr>
        <w:ind w:left="4778" w:hanging="180"/>
      </w:pPr>
    </w:lvl>
    <w:lvl w:ilvl="3" w:tplc="1C09000F" w:tentative="1">
      <w:start w:val="1"/>
      <w:numFmt w:val="decimal"/>
      <w:lvlText w:val="%4."/>
      <w:lvlJc w:val="left"/>
      <w:pPr>
        <w:ind w:left="5498" w:hanging="360"/>
      </w:pPr>
    </w:lvl>
    <w:lvl w:ilvl="4" w:tplc="1C090019" w:tentative="1">
      <w:start w:val="1"/>
      <w:numFmt w:val="lowerLetter"/>
      <w:lvlText w:val="%5."/>
      <w:lvlJc w:val="left"/>
      <w:pPr>
        <w:ind w:left="6218" w:hanging="360"/>
      </w:pPr>
    </w:lvl>
    <w:lvl w:ilvl="5" w:tplc="1C09001B" w:tentative="1">
      <w:start w:val="1"/>
      <w:numFmt w:val="lowerRoman"/>
      <w:lvlText w:val="%6."/>
      <w:lvlJc w:val="right"/>
      <w:pPr>
        <w:ind w:left="6938" w:hanging="180"/>
      </w:pPr>
    </w:lvl>
    <w:lvl w:ilvl="6" w:tplc="1C09000F" w:tentative="1">
      <w:start w:val="1"/>
      <w:numFmt w:val="decimal"/>
      <w:lvlText w:val="%7."/>
      <w:lvlJc w:val="left"/>
      <w:pPr>
        <w:ind w:left="7658" w:hanging="360"/>
      </w:pPr>
    </w:lvl>
    <w:lvl w:ilvl="7" w:tplc="1C090019" w:tentative="1">
      <w:start w:val="1"/>
      <w:numFmt w:val="lowerLetter"/>
      <w:lvlText w:val="%8."/>
      <w:lvlJc w:val="left"/>
      <w:pPr>
        <w:ind w:left="8378" w:hanging="360"/>
      </w:pPr>
    </w:lvl>
    <w:lvl w:ilvl="8" w:tplc="1C09001B" w:tentative="1">
      <w:start w:val="1"/>
      <w:numFmt w:val="lowerRoman"/>
      <w:lvlText w:val="%9."/>
      <w:lvlJc w:val="right"/>
      <w:pPr>
        <w:ind w:left="9098" w:hanging="180"/>
      </w:pPr>
    </w:lvl>
  </w:abstractNum>
  <w:abstractNum w:abstractNumId="12" w15:restartNumberingAfterBreak="0">
    <w:nsid w:val="3E271979"/>
    <w:multiLevelType w:val="hybridMultilevel"/>
    <w:tmpl w:val="3C70098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22E38D4"/>
    <w:multiLevelType w:val="multilevel"/>
    <w:tmpl w:val="8D4C4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F22140"/>
    <w:multiLevelType w:val="hybridMultilevel"/>
    <w:tmpl w:val="287EC5C4"/>
    <w:lvl w:ilvl="0" w:tplc="2654A78C">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8DC67C8"/>
    <w:multiLevelType w:val="hybridMultilevel"/>
    <w:tmpl w:val="70CE0360"/>
    <w:lvl w:ilvl="0" w:tplc="FABCB41A">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CC848CF"/>
    <w:multiLevelType w:val="hybridMultilevel"/>
    <w:tmpl w:val="9C4815C4"/>
    <w:lvl w:ilvl="0" w:tplc="21DA29D8">
      <w:start w:val="1"/>
      <w:numFmt w:val="decimal"/>
      <w:lvlText w:val="[%1]"/>
      <w:lvlJc w:val="left"/>
      <w:pPr>
        <w:ind w:left="502" w:hanging="360"/>
      </w:pPr>
      <w:rPr>
        <w:rFonts w:ascii="Times New Roman" w:hAnsi="Times New Roman" w:cs="Times New Roman" w:hint="default"/>
        <w:b w:val="0"/>
        <w:sz w:val="28"/>
        <w:szCs w:val="28"/>
      </w:rPr>
    </w:lvl>
    <w:lvl w:ilvl="1" w:tplc="1C090019">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7" w15:restartNumberingAfterBreak="0">
    <w:nsid w:val="7E892A02"/>
    <w:multiLevelType w:val="multilevel"/>
    <w:tmpl w:val="8D4C4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6"/>
  </w:num>
  <w:num w:numId="3">
    <w:abstractNumId w:val="5"/>
  </w:num>
  <w:num w:numId="4">
    <w:abstractNumId w:val="11"/>
  </w:num>
  <w:num w:numId="5">
    <w:abstractNumId w:val="6"/>
  </w:num>
  <w:num w:numId="6">
    <w:abstractNumId w:val="2"/>
  </w:num>
  <w:num w:numId="7">
    <w:abstractNumId w:val="0"/>
  </w:num>
  <w:num w:numId="8">
    <w:abstractNumId w:val="1"/>
  </w:num>
  <w:num w:numId="9">
    <w:abstractNumId w:val="8"/>
    <w:lvlOverride w:ilvl="0">
      <w:startOverride w:val="50"/>
    </w:lvlOverride>
  </w:num>
  <w:num w:numId="10">
    <w:abstractNumId w:val="9"/>
  </w:num>
  <w:num w:numId="11">
    <w:abstractNumId w:val="17"/>
    <w:lvlOverride w:ilvl="0">
      <w:startOverride w:val="52"/>
    </w:lvlOverride>
  </w:num>
  <w:num w:numId="12">
    <w:abstractNumId w:val="17"/>
    <w:lvlOverride w:ilvl="0">
      <w:startOverride w:val="53"/>
    </w:lvlOverride>
  </w:num>
  <w:num w:numId="13">
    <w:abstractNumId w:val="13"/>
  </w:num>
  <w:num w:numId="14">
    <w:abstractNumId w:val="12"/>
  </w:num>
  <w:num w:numId="15">
    <w:abstractNumId w:val="4"/>
  </w:num>
  <w:num w:numId="16">
    <w:abstractNumId w:val="10"/>
  </w:num>
  <w:num w:numId="17">
    <w:abstractNumId w:val="7"/>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22"/>
    <w:rsid w:val="00000E39"/>
    <w:rsid w:val="0000114F"/>
    <w:rsid w:val="00006C5C"/>
    <w:rsid w:val="00012354"/>
    <w:rsid w:val="000231CC"/>
    <w:rsid w:val="0006051C"/>
    <w:rsid w:val="000648BB"/>
    <w:rsid w:val="0007198A"/>
    <w:rsid w:val="00075DE9"/>
    <w:rsid w:val="00080A3F"/>
    <w:rsid w:val="00080BC8"/>
    <w:rsid w:val="00084BDE"/>
    <w:rsid w:val="00086F4D"/>
    <w:rsid w:val="00095A2F"/>
    <w:rsid w:val="000A0B59"/>
    <w:rsid w:val="000A6538"/>
    <w:rsid w:val="000B562A"/>
    <w:rsid w:val="000B601F"/>
    <w:rsid w:val="000C05CE"/>
    <w:rsid w:val="000C0EC8"/>
    <w:rsid w:val="000E007D"/>
    <w:rsid w:val="000E7876"/>
    <w:rsid w:val="000F1C82"/>
    <w:rsid w:val="000F324A"/>
    <w:rsid w:val="000F734D"/>
    <w:rsid w:val="00105031"/>
    <w:rsid w:val="00107BC4"/>
    <w:rsid w:val="00107CE3"/>
    <w:rsid w:val="00116E28"/>
    <w:rsid w:val="00116EE8"/>
    <w:rsid w:val="00117F30"/>
    <w:rsid w:val="00121543"/>
    <w:rsid w:val="00122CC1"/>
    <w:rsid w:val="00123D2F"/>
    <w:rsid w:val="00127BB0"/>
    <w:rsid w:val="00140D1C"/>
    <w:rsid w:val="00143479"/>
    <w:rsid w:val="00154849"/>
    <w:rsid w:val="00155575"/>
    <w:rsid w:val="00160CE9"/>
    <w:rsid w:val="001635CB"/>
    <w:rsid w:val="0016709F"/>
    <w:rsid w:val="0017032A"/>
    <w:rsid w:val="00183172"/>
    <w:rsid w:val="0018348A"/>
    <w:rsid w:val="0018415E"/>
    <w:rsid w:val="001848F6"/>
    <w:rsid w:val="0019178C"/>
    <w:rsid w:val="0019512E"/>
    <w:rsid w:val="00195F01"/>
    <w:rsid w:val="0019636B"/>
    <w:rsid w:val="001A7C66"/>
    <w:rsid w:val="001B0778"/>
    <w:rsid w:val="001C4518"/>
    <w:rsid w:val="001C6F2F"/>
    <w:rsid w:val="001D079A"/>
    <w:rsid w:val="001D2CF1"/>
    <w:rsid w:val="001E336C"/>
    <w:rsid w:val="001F177E"/>
    <w:rsid w:val="001F3603"/>
    <w:rsid w:val="001F7562"/>
    <w:rsid w:val="001F7FCB"/>
    <w:rsid w:val="00207A4E"/>
    <w:rsid w:val="00211688"/>
    <w:rsid w:val="002212D5"/>
    <w:rsid w:val="00224DD8"/>
    <w:rsid w:val="00226C10"/>
    <w:rsid w:val="00235484"/>
    <w:rsid w:val="00237234"/>
    <w:rsid w:val="00237F1F"/>
    <w:rsid w:val="00250320"/>
    <w:rsid w:val="0025400F"/>
    <w:rsid w:val="00254216"/>
    <w:rsid w:val="00254DF2"/>
    <w:rsid w:val="0026438A"/>
    <w:rsid w:val="00270D69"/>
    <w:rsid w:val="00271A03"/>
    <w:rsid w:val="0027462E"/>
    <w:rsid w:val="00282433"/>
    <w:rsid w:val="00285B86"/>
    <w:rsid w:val="00291A0D"/>
    <w:rsid w:val="002929D5"/>
    <w:rsid w:val="00296BD3"/>
    <w:rsid w:val="00297DA6"/>
    <w:rsid w:val="002A4595"/>
    <w:rsid w:val="002A50A6"/>
    <w:rsid w:val="002B0B11"/>
    <w:rsid w:val="002C1229"/>
    <w:rsid w:val="002C34EE"/>
    <w:rsid w:val="002C49CD"/>
    <w:rsid w:val="002D29D1"/>
    <w:rsid w:val="002D3302"/>
    <w:rsid w:val="002E10EF"/>
    <w:rsid w:val="002F0A47"/>
    <w:rsid w:val="002F2276"/>
    <w:rsid w:val="003179F1"/>
    <w:rsid w:val="00321E89"/>
    <w:rsid w:val="00323F56"/>
    <w:rsid w:val="003311BA"/>
    <w:rsid w:val="00337618"/>
    <w:rsid w:val="003414C2"/>
    <w:rsid w:val="00341A4A"/>
    <w:rsid w:val="0034626B"/>
    <w:rsid w:val="00350919"/>
    <w:rsid w:val="00350B92"/>
    <w:rsid w:val="003513E4"/>
    <w:rsid w:val="00356A84"/>
    <w:rsid w:val="00366503"/>
    <w:rsid w:val="00373969"/>
    <w:rsid w:val="00375668"/>
    <w:rsid w:val="00381507"/>
    <w:rsid w:val="00384C81"/>
    <w:rsid w:val="00385AD8"/>
    <w:rsid w:val="003941C7"/>
    <w:rsid w:val="00395053"/>
    <w:rsid w:val="003A6824"/>
    <w:rsid w:val="003C0EEA"/>
    <w:rsid w:val="003C3FA2"/>
    <w:rsid w:val="003D2684"/>
    <w:rsid w:val="003D41A8"/>
    <w:rsid w:val="003E22AE"/>
    <w:rsid w:val="003E725F"/>
    <w:rsid w:val="003E782A"/>
    <w:rsid w:val="003F3EBB"/>
    <w:rsid w:val="004004F2"/>
    <w:rsid w:val="004005A9"/>
    <w:rsid w:val="0040224D"/>
    <w:rsid w:val="00404569"/>
    <w:rsid w:val="0040779D"/>
    <w:rsid w:val="00414D11"/>
    <w:rsid w:val="0041516E"/>
    <w:rsid w:val="0041537C"/>
    <w:rsid w:val="00427477"/>
    <w:rsid w:val="004311A6"/>
    <w:rsid w:val="00442C85"/>
    <w:rsid w:val="00453C01"/>
    <w:rsid w:val="00460BB2"/>
    <w:rsid w:val="0048223F"/>
    <w:rsid w:val="004850AA"/>
    <w:rsid w:val="004860B6"/>
    <w:rsid w:val="0049330D"/>
    <w:rsid w:val="004934A9"/>
    <w:rsid w:val="004A6818"/>
    <w:rsid w:val="004A6A5D"/>
    <w:rsid w:val="004A6C57"/>
    <w:rsid w:val="004A70D1"/>
    <w:rsid w:val="004B108D"/>
    <w:rsid w:val="004B2FF6"/>
    <w:rsid w:val="004B53D6"/>
    <w:rsid w:val="004B57BE"/>
    <w:rsid w:val="004B6B0A"/>
    <w:rsid w:val="004C3317"/>
    <w:rsid w:val="004C3CE9"/>
    <w:rsid w:val="004C4073"/>
    <w:rsid w:val="004C55E7"/>
    <w:rsid w:val="004D0C79"/>
    <w:rsid w:val="004E4389"/>
    <w:rsid w:val="004F1990"/>
    <w:rsid w:val="004F4497"/>
    <w:rsid w:val="004F61A6"/>
    <w:rsid w:val="005055EA"/>
    <w:rsid w:val="0050789A"/>
    <w:rsid w:val="00514F19"/>
    <w:rsid w:val="00524425"/>
    <w:rsid w:val="00530EB1"/>
    <w:rsid w:val="00535741"/>
    <w:rsid w:val="00536A6A"/>
    <w:rsid w:val="0054223B"/>
    <w:rsid w:val="005466D4"/>
    <w:rsid w:val="00561262"/>
    <w:rsid w:val="00563E7E"/>
    <w:rsid w:val="005640EE"/>
    <w:rsid w:val="0056669A"/>
    <w:rsid w:val="0057155F"/>
    <w:rsid w:val="00572CED"/>
    <w:rsid w:val="005761FA"/>
    <w:rsid w:val="00585328"/>
    <w:rsid w:val="00585B4B"/>
    <w:rsid w:val="0059386F"/>
    <w:rsid w:val="00597EEA"/>
    <w:rsid w:val="005A6632"/>
    <w:rsid w:val="005B57E8"/>
    <w:rsid w:val="005B5C85"/>
    <w:rsid w:val="005C2914"/>
    <w:rsid w:val="005C2B04"/>
    <w:rsid w:val="005C3BC2"/>
    <w:rsid w:val="005D2A2D"/>
    <w:rsid w:val="005D4B2B"/>
    <w:rsid w:val="005E4E08"/>
    <w:rsid w:val="005E5300"/>
    <w:rsid w:val="005E54E6"/>
    <w:rsid w:val="005F2D1E"/>
    <w:rsid w:val="00605EB9"/>
    <w:rsid w:val="00612B02"/>
    <w:rsid w:val="00617560"/>
    <w:rsid w:val="006227FF"/>
    <w:rsid w:val="00626ED0"/>
    <w:rsid w:val="00631C82"/>
    <w:rsid w:val="00635257"/>
    <w:rsid w:val="00651B7A"/>
    <w:rsid w:val="00654837"/>
    <w:rsid w:val="0065587B"/>
    <w:rsid w:val="0066180B"/>
    <w:rsid w:val="006618EF"/>
    <w:rsid w:val="00665F16"/>
    <w:rsid w:val="006804A2"/>
    <w:rsid w:val="00684A3C"/>
    <w:rsid w:val="00695C6B"/>
    <w:rsid w:val="006972CF"/>
    <w:rsid w:val="00697E5A"/>
    <w:rsid w:val="006A0BD3"/>
    <w:rsid w:val="006B3FDD"/>
    <w:rsid w:val="006B724A"/>
    <w:rsid w:val="006B7443"/>
    <w:rsid w:val="006C0D9D"/>
    <w:rsid w:val="006C3399"/>
    <w:rsid w:val="006C44CB"/>
    <w:rsid w:val="006D3DCE"/>
    <w:rsid w:val="006E3980"/>
    <w:rsid w:val="006F0857"/>
    <w:rsid w:val="006F4E54"/>
    <w:rsid w:val="0070125A"/>
    <w:rsid w:val="007023C0"/>
    <w:rsid w:val="007032BF"/>
    <w:rsid w:val="00711C2F"/>
    <w:rsid w:val="0071486A"/>
    <w:rsid w:val="00721551"/>
    <w:rsid w:val="007313C1"/>
    <w:rsid w:val="00732531"/>
    <w:rsid w:val="00733449"/>
    <w:rsid w:val="007350C1"/>
    <w:rsid w:val="007503AF"/>
    <w:rsid w:val="00764B96"/>
    <w:rsid w:val="00765262"/>
    <w:rsid w:val="007705F8"/>
    <w:rsid w:val="00770E49"/>
    <w:rsid w:val="007737B3"/>
    <w:rsid w:val="0077420C"/>
    <w:rsid w:val="007828F8"/>
    <w:rsid w:val="00783AFE"/>
    <w:rsid w:val="00793EEF"/>
    <w:rsid w:val="007A0D9F"/>
    <w:rsid w:val="007A4870"/>
    <w:rsid w:val="007A5D40"/>
    <w:rsid w:val="007B564B"/>
    <w:rsid w:val="007B7519"/>
    <w:rsid w:val="007C1523"/>
    <w:rsid w:val="007C29A3"/>
    <w:rsid w:val="007C4B22"/>
    <w:rsid w:val="007C6DC3"/>
    <w:rsid w:val="007D3353"/>
    <w:rsid w:val="007D3477"/>
    <w:rsid w:val="007D6DF5"/>
    <w:rsid w:val="007E4076"/>
    <w:rsid w:val="007E4DC5"/>
    <w:rsid w:val="007F1D58"/>
    <w:rsid w:val="007F6D08"/>
    <w:rsid w:val="00811431"/>
    <w:rsid w:val="00815537"/>
    <w:rsid w:val="008164AF"/>
    <w:rsid w:val="0082041B"/>
    <w:rsid w:val="0082168C"/>
    <w:rsid w:val="008244D6"/>
    <w:rsid w:val="008302BB"/>
    <w:rsid w:val="00835E41"/>
    <w:rsid w:val="00840A2E"/>
    <w:rsid w:val="008453B5"/>
    <w:rsid w:val="00850921"/>
    <w:rsid w:val="00856093"/>
    <w:rsid w:val="008565C3"/>
    <w:rsid w:val="0085682D"/>
    <w:rsid w:val="00863B77"/>
    <w:rsid w:val="00863D47"/>
    <w:rsid w:val="00870415"/>
    <w:rsid w:val="00887CC1"/>
    <w:rsid w:val="00891809"/>
    <w:rsid w:val="00891BCF"/>
    <w:rsid w:val="00892327"/>
    <w:rsid w:val="00894719"/>
    <w:rsid w:val="00895038"/>
    <w:rsid w:val="00895F77"/>
    <w:rsid w:val="0089739B"/>
    <w:rsid w:val="0089747E"/>
    <w:rsid w:val="008A14DD"/>
    <w:rsid w:val="008A6527"/>
    <w:rsid w:val="008B02D6"/>
    <w:rsid w:val="008D5E11"/>
    <w:rsid w:val="008F2308"/>
    <w:rsid w:val="00901965"/>
    <w:rsid w:val="00905FC9"/>
    <w:rsid w:val="00911625"/>
    <w:rsid w:val="00913E01"/>
    <w:rsid w:val="00915572"/>
    <w:rsid w:val="00915CFE"/>
    <w:rsid w:val="00930B43"/>
    <w:rsid w:val="00931DA3"/>
    <w:rsid w:val="00943C94"/>
    <w:rsid w:val="0094518E"/>
    <w:rsid w:val="00947784"/>
    <w:rsid w:val="009501AC"/>
    <w:rsid w:val="009501EF"/>
    <w:rsid w:val="00953C5D"/>
    <w:rsid w:val="00963718"/>
    <w:rsid w:val="00966104"/>
    <w:rsid w:val="00967F92"/>
    <w:rsid w:val="00976021"/>
    <w:rsid w:val="00980BBD"/>
    <w:rsid w:val="00980DDE"/>
    <w:rsid w:val="00987827"/>
    <w:rsid w:val="0099088F"/>
    <w:rsid w:val="009A4184"/>
    <w:rsid w:val="009B1E78"/>
    <w:rsid w:val="009C3EA3"/>
    <w:rsid w:val="009C75E3"/>
    <w:rsid w:val="009D1028"/>
    <w:rsid w:val="009D3AF2"/>
    <w:rsid w:val="009D3FA0"/>
    <w:rsid w:val="009D5579"/>
    <w:rsid w:val="009D7449"/>
    <w:rsid w:val="009E0A47"/>
    <w:rsid w:val="009E6B41"/>
    <w:rsid w:val="009F2AC7"/>
    <w:rsid w:val="00A035EA"/>
    <w:rsid w:val="00A051C4"/>
    <w:rsid w:val="00A11E72"/>
    <w:rsid w:val="00A12F9A"/>
    <w:rsid w:val="00A16FC3"/>
    <w:rsid w:val="00A2183F"/>
    <w:rsid w:val="00A27103"/>
    <w:rsid w:val="00A27138"/>
    <w:rsid w:val="00A369ED"/>
    <w:rsid w:val="00A37587"/>
    <w:rsid w:val="00A40D3A"/>
    <w:rsid w:val="00A41BAF"/>
    <w:rsid w:val="00A4212B"/>
    <w:rsid w:val="00A46ACD"/>
    <w:rsid w:val="00A46C0A"/>
    <w:rsid w:val="00A51F8D"/>
    <w:rsid w:val="00A61F82"/>
    <w:rsid w:val="00A63593"/>
    <w:rsid w:val="00A65DDD"/>
    <w:rsid w:val="00A67066"/>
    <w:rsid w:val="00A67CE5"/>
    <w:rsid w:val="00A8263E"/>
    <w:rsid w:val="00A90F24"/>
    <w:rsid w:val="00A943AB"/>
    <w:rsid w:val="00A95E9E"/>
    <w:rsid w:val="00A95EF9"/>
    <w:rsid w:val="00A97008"/>
    <w:rsid w:val="00AA180B"/>
    <w:rsid w:val="00AA3141"/>
    <w:rsid w:val="00AA5F26"/>
    <w:rsid w:val="00AB7B34"/>
    <w:rsid w:val="00AC4644"/>
    <w:rsid w:val="00AC4EB0"/>
    <w:rsid w:val="00AE0C3F"/>
    <w:rsid w:val="00AE17DF"/>
    <w:rsid w:val="00AE653A"/>
    <w:rsid w:val="00AE7305"/>
    <w:rsid w:val="00AF595D"/>
    <w:rsid w:val="00B02764"/>
    <w:rsid w:val="00B1125F"/>
    <w:rsid w:val="00B11307"/>
    <w:rsid w:val="00B13A9C"/>
    <w:rsid w:val="00B16EF2"/>
    <w:rsid w:val="00B16FEE"/>
    <w:rsid w:val="00B36222"/>
    <w:rsid w:val="00B42073"/>
    <w:rsid w:val="00B42572"/>
    <w:rsid w:val="00B44A7E"/>
    <w:rsid w:val="00B45EF2"/>
    <w:rsid w:val="00B61057"/>
    <w:rsid w:val="00B71844"/>
    <w:rsid w:val="00B72F7C"/>
    <w:rsid w:val="00B74C05"/>
    <w:rsid w:val="00B763F2"/>
    <w:rsid w:val="00B81562"/>
    <w:rsid w:val="00B81C7E"/>
    <w:rsid w:val="00B908F3"/>
    <w:rsid w:val="00BA16C1"/>
    <w:rsid w:val="00BB0448"/>
    <w:rsid w:val="00BB53BC"/>
    <w:rsid w:val="00BB75B9"/>
    <w:rsid w:val="00BD446E"/>
    <w:rsid w:val="00BE6A85"/>
    <w:rsid w:val="00BE6F55"/>
    <w:rsid w:val="00BF2B29"/>
    <w:rsid w:val="00BF371A"/>
    <w:rsid w:val="00C01DD3"/>
    <w:rsid w:val="00C103D4"/>
    <w:rsid w:val="00C136A8"/>
    <w:rsid w:val="00C24A9D"/>
    <w:rsid w:val="00C2533E"/>
    <w:rsid w:val="00C3172E"/>
    <w:rsid w:val="00C34E1F"/>
    <w:rsid w:val="00C473FF"/>
    <w:rsid w:val="00C51E8B"/>
    <w:rsid w:val="00C55598"/>
    <w:rsid w:val="00C644A3"/>
    <w:rsid w:val="00C72E07"/>
    <w:rsid w:val="00C74EE4"/>
    <w:rsid w:val="00C80E5A"/>
    <w:rsid w:val="00C816F8"/>
    <w:rsid w:val="00C8347A"/>
    <w:rsid w:val="00C834A8"/>
    <w:rsid w:val="00C86076"/>
    <w:rsid w:val="00C9501C"/>
    <w:rsid w:val="00CA02F5"/>
    <w:rsid w:val="00CA1B81"/>
    <w:rsid w:val="00CA2530"/>
    <w:rsid w:val="00CA400B"/>
    <w:rsid w:val="00CB0088"/>
    <w:rsid w:val="00CB305C"/>
    <w:rsid w:val="00CB51C3"/>
    <w:rsid w:val="00CB647B"/>
    <w:rsid w:val="00CB759E"/>
    <w:rsid w:val="00CC63CC"/>
    <w:rsid w:val="00CC6A60"/>
    <w:rsid w:val="00CD3D62"/>
    <w:rsid w:val="00CD6A79"/>
    <w:rsid w:val="00CE4B71"/>
    <w:rsid w:val="00CF1A85"/>
    <w:rsid w:val="00CF25ED"/>
    <w:rsid w:val="00CF3127"/>
    <w:rsid w:val="00D04CE8"/>
    <w:rsid w:val="00D15074"/>
    <w:rsid w:val="00D16669"/>
    <w:rsid w:val="00D16874"/>
    <w:rsid w:val="00D25AD9"/>
    <w:rsid w:val="00D34324"/>
    <w:rsid w:val="00D40849"/>
    <w:rsid w:val="00D4170D"/>
    <w:rsid w:val="00D4602F"/>
    <w:rsid w:val="00D52A21"/>
    <w:rsid w:val="00D52E8F"/>
    <w:rsid w:val="00D554B8"/>
    <w:rsid w:val="00D57CBE"/>
    <w:rsid w:val="00D646EF"/>
    <w:rsid w:val="00D70651"/>
    <w:rsid w:val="00D76269"/>
    <w:rsid w:val="00D7731A"/>
    <w:rsid w:val="00D80EB8"/>
    <w:rsid w:val="00D92836"/>
    <w:rsid w:val="00D963B7"/>
    <w:rsid w:val="00DA4089"/>
    <w:rsid w:val="00DA686C"/>
    <w:rsid w:val="00DB1774"/>
    <w:rsid w:val="00DB64BC"/>
    <w:rsid w:val="00DC0D20"/>
    <w:rsid w:val="00DD08E0"/>
    <w:rsid w:val="00DD5EB2"/>
    <w:rsid w:val="00DF757E"/>
    <w:rsid w:val="00E03515"/>
    <w:rsid w:val="00E03C91"/>
    <w:rsid w:val="00E139C8"/>
    <w:rsid w:val="00E2236B"/>
    <w:rsid w:val="00E23E6C"/>
    <w:rsid w:val="00E2424D"/>
    <w:rsid w:val="00E25CB7"/>
    <w:rsid w:val="00E25E31"/>
    <w:rsid w:val="00E3050C"/>
    <w:rsid w:val="00E30EC0"/>
    <w:rsid w:val="00E40FA6"/>
    <w:rsid w:val="00E42725"/>
    <w:rsid w:val="00E444C8"/>
    <w:rsid w:val="00E45A69"/>
    <w:rsid w:val="00E5225D"/>
    <w:rsid w:val="00E542BE"/>
    <w:rsid w:val="00E548C7"/>
    <w:rsid w:val="00E65922"/>
    <w:rsid w:val="00E71AC7"/>
    <w:rsid w:val="00E81E81"/>
    <w:rsid w:val="00E8401B"/>
    <w:rsid w:val="00E86878"/>
    <w:rsid w:val="00E93B99"/>
    <w:rsid w:val="00E944F9"/>
    <w:rsid w:val="00EA6605"/>
    <w:rsid w:val="00EC019B"/>
    <w:rsid w:val="00EC0B09"/>
    <w:rsid w:val="00ED3F94"/>
    <w:rsid w:val="00ED512A"/>
    <w:rsid w:val="00EE1286"/>
    <w:rsid w:val="00EE712B"/>
    <w:rsid w:val="00F11E21"/>
    <w:rsid w:val="00F1253E"/>
    <w:rsid w:val="00F1277C"/>
    <w:rsid w:val="00F143D9"/>
    <w:rsid w:val="00F21FC0"/>
    <w:rsid w:val="00F2447E"/>
    <w:rsid w:val="00F273BC"/>
    <w:rsid w:val="00F316D5"/>
    <w:rsid w:val="00F324EB"/>
    <w:rsid w:val="00F35EF9"/>
    <w:rsid w:val="00F4064D"/>
    <w:rsid w:val="00F40A0B"/>
    <w:rsid w:val="00F41543"/>
    <w:rsid w:val="00F41E5A"/>
    <w:rsid w:val="00F76E12"/>
    <w:rsid w:val="00F92986"/>
    <w:rsid w:val="00F94142"/>
    <w:rsid w:val="00F94185"/>
    <w:rsid w:val="00F97BCF"/>
    <w:rsid w:val="00FA1730"/>
    <w:rsid w:val="00FA5A96"/>
    <w:rsid w:val="00FA62A8"/>
    <w:rsid w:val="00FB1188"/>
    <w:rsid w:val="00FC7EE6"/>
    <w:rsid w:val="00FD0872"/>
    <w:rsid w:val="00FD1476"/>
    <w:rsid w:val="00FD2AE8"/>
    <w:rsid w:val="00FE132A"/>
    <w:rsid w:val="00FE529D"/>
    <w:rsid w:val="00FE6C6F"/>
    <w:rsid w:val="00FE75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62DA"/>
  <w15:docId w15:val="{A573203C-290E-4708-86A4-9C0E6F2D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12B"/>
  </w:style>
  <w:style w:type="paragraph" w:styleId="Heading2">
    <w:name w:val="heading 2"/>
    <w:basedOn w:val="Normal"/>
    <w:next w:val="Normal"/>
    <w:link w:val="Heading2Char"/>
    <w:uiPriority w:val="9"/>
    <w:unhideWhenUsed/>
    <w:qFormat/>
    <w:rsid w:val="00B362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36222"/>
    <w:pPr>
      <w:spacing w:after="0" w:line="240" w:lineRule="auto"/>
    </w:pPr>
    <w:rPr>
      <w:sz w:val="20"/>
      <w:szCs w:val="20"/>
    </w:rPr>
  </w:style>
  <w:style w:type="character" w:customStyle="1" w:styleId="FootnoteTextChar">
    <w:name w:val="Footnote Text Char"/>
    <w:basedOn w:val="DefaultParagraphFont"/>
    <w:link w:val="FootnoteText"/>
    <w:uiPriority w:val="99"/>
    <w:rsid w:val="00B36222"/>
    <w:rPr>
      <w:sz w:val="20"/>
      <w:szCs w:val="20"/>
    </w:rPr>
  </w:style>
  <w:style w:type="character" w:customStyle="1" w:styleId="Heading2Char">
    <w:name w:val="Heading 2 Char"/>
    <w:basedOn w:val="DefaultParagraphFont"/>
    <w:link w:val="Heading2"/>
    <w:uiPriority w:val="9"/>
    <w:rsid w:val="00B36222"/>
    <w:rPr>
      <w:rFonts w:asciiTheme="majorHAnsi" w:eastAsiaTheme="majorEastAsia" w:hAnsiTheme="majorHAnsi" w:cstheme="majorBidi"/>
      <w:color w:val="2F5496" w:themeColor="accent1" w:themeShade="BF"/>
      <w:sz w:val="26"/>
      <w:szCs w:val="26"/>
    </w:rPr>
  </w:style>
  <w:style w:type="paragraph" w:customStyle="1" w:styleId="JUDGMENTNUMBERED">
    <w:name w:val="JUDGMENT NUMBERED"/>
    <w:basedOn w:val="Normal"/>
    <w:next w:val="Normal"/>
    <w:qFormat/>
    <w:rsid w:val="00B36222"/>
    <w:pPr>
      <w:numPr>
        <w:numId w:val="1"/>
      </w:numPr>
      <w:spacing w:after="0" w:line="360" w:lineRule="auto"/>
      <w:jc w:val="both"/>
    </w:pPr>
    <w:rPr>
      <w:rFonts w:ascii="Times New Roman" w:eastAsia="Times New Roman" w:hAnsi="Times New Roman" w:cs="Times New Roman"/>
      <w:sz w:val="26"/>
    </w:rPr>
  </w:style>
  <w:style w:type="character" w:styleId="FootnoteReference">
    <w:name w:val="footnote reference"/>
    <w:basedOn w:val="DefaultParagraphFont"/>
    <w:uiPriority w:val="99"/>
    <w:unhideWhenUsed/>
    <w:rsid w:val="00B36222"/>
    <w:rPr>
      <w:vertAlign w:val="superscript"/>
    </w:rPr>
  </w:style>
  <w:style w:type="paragraph" w:styleId="Header">
    <w:name w:val="header"/>
    <w:basedOn w:val="Normal"/>
    <w:link w:val="HeaderChar"/>
    <w:uiPriority w:val="99"/>
    <w:unhideWhenUsed/>
    <w:rsid w:val="00A41B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BAF"/>
  </w:style>
  <w:style w:type="paragraph" w:styleId="Footer">
    <w:name w:val="footer"/>
    <w:basedOn w:val="Normal"/>
    <w:link w:val="FooterChar"/>
    <w:uiPriority w:val="99"/>
    <w:unhideWhenUsed/>
    <w:rsid w:val="00A41B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BAF"/>
  </w:style>
  <w:style w:type="paragraph" w:styleId="ListParagraph">
    <w:name w:val="List Paragraph"/>
    <w:basedOn w:val="Normal"/>
    <w:uiPriority w:val="34"/>
    <w:qFormat/>
    <w:rsid w:val="00237F1F"/>
    <w:pPr>
      <w:spacing w:after="200" w:line="276" w:lineRule="auto"/>
      <w:ind w:left="720"/>
      <w:contextualSpacing/>
    </w:pPr>
    <w:rPr>
      <w:rFonts w:eastAsiaTheme="minorEastAsia"/>
      <w:lang w:eastAsia="en-ZA"/>
    </w:rPr>
  </w:style>
  <w:style w:type="character" w:styleId="Hyperlink">
    <w:name w:val="Hyperlink"/>
    <w:basedOn w:val="DefaultParagraphFont"/>
    <w:uiPriority w:val="99"/>
    <w:unhideWhenUsed/>
    <w:rsid w:val="00080BC8"/>
    <w:rPr>
      <w:color w:val="0000FF"/>
      <w:u w:val="single"/>
    </w:rPr>
  </w:style>
  <w:style w:type="paragraph" w:customStyle="1" w:styleId="MEMONUMBERED">
    <w:name w:val="MEMO NUMBERED"/>
    <w:basedOn w:val="Normal"/>
    <w:link w:val="MEMONUMBEREDChar"/>
    <w:qFormat/>
    <w:rsid w:val="00C80E5A"/>
    <w:pPr>
      <w:spacing w:after="0" w:line="480" w:lineRule="auto"/>
      <w:jc w:val="both"/>
    </w:pPr>
    <w:rPr>
      <w:rFonts w:ascii="Times New Roman" w:eastAsia="Times New Roman" w:hAnsi="Times New Roman" w:cs="Times New Roman"/>
      <w:sz w:val="24"/>
      <w:szCs w:val="24"/>
      <w:lang w:val="en-US" w:eastAsia="en-ZA"/>
    </w:rPr>
  </w:style>
  <w:style w:type="character" w:customStyle="1" w:styleId="MEMONUMBEREDChar">
    <w:name w:val="MEMO NUMBERED Char"/>
    <w:basedOn w:val="DefaultParagraphFont"/>
    <w:link w:val="MEMONUMBERED"/>
    <w:locked/>
    <w:rsid w:val="00C80E5A"/>
    <w:rPr>
      <w:rFonts w:ascii="Times New Roman" w:eastAsia="Times New Roman" w:hAnsi="Times New Roman" w:cs="Times New Roman"/>
      <w:sz w:val="24"/>
      <w:szCs w:val="24"/>
      <w:lang w:val="en-US" w:eastAsia="en-ZA"/>
    </w:rPr>
  </w:style>
  <w:style w:type="character" w:customStyle="1" w:styleId="italic1">
    <w:name w:val="italic1"/>
    <w:basedOn w:val="DefaultParagraphFont"/>
    <w:uiPriority w:val="99"/>
    <w:rsid w:val="00D04CE8"/>
    <w:rPr>
      <w:i/>
      <w:iCs/>
    </w:rPr>
  </w:style>
  <w:style w:type="paragraph" w:customStyle="1" w:styleId="western">
    <w:name w:val="western"/>
    <w:basedOn w:val="Normal"/>
    <w:rsid w:val="00A61F82"/>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odyText">
    <w:name w:val="Body Text"/>
    <w:basedOn w:val="Normal"/>
    <w:link w:val="BodyTextChar"/>
    <w:uiPriority w:val="1"/>
    <w:qFormat/>
    <w:rsid w:val="00863B77"/>
    <w:pPr>
      <w:widowControl w:val="0"/>
      <w:autoSpaceDE w:val="0"/>
      <w:autoSpaceDN w:val="0"/>
      <w:adjustRightInd w:val="0"/>
      <w:spacing w:after="0" w:line="240" w:lineRule="auto"/>
    </w:pPr>
    <w:rPr>
      <w:rFonts w:ascii="Arial" w:eastAsiaTheme="minorEastAsia" w:hAnsi="Arial" w:cs="Arial"/>
      <w:sz w:val="24"/>
      <w:szCs w:val="24"/>
      <w:lang w:eastAsia="en-ZA"/>
    </w:rPr>
  </w:style>
  <w:style w:type="character" w:customStyle="1" w:styleId="BodyTextChar">
    <w:name w:val="Body Text Char"/>
    <w:basedOn w:val="DefaultParagraphFont"/>
    <w:link w:val="BodyText"/>
    <w:uiPriority w:val="1"/>
    <w:rsid w:val="00863B77"/>
    <w:rPr>
      <w:rFonts w:ascii="Arial" w:eastAsiaTheme="minorEastAsia" w:hAnsi="Arial" w:cs="Arial"/>
      <w:sz w:val="24"/>
      <w:szCs w:val="24"/>
      <w:lang w:eastAsia="en-ZA"/>
    </w:rPr>
  </w:style>
  <w:style w:type="paragraph" w:customStyle="1" w:styleId="judg-1">
    <w:name w:val="judg-1"/>
    <w:basedOn w:val="Normal"/>
    <w:uiPriority w:val="99"/>
    <w:rsid w:val="004B53D6"/>
    <w:pPr>
      <w:widowControl w:val="0"/>
      <w:autoSpaceDN w:val="0"/>
      <w:adjustRightInd w:val="0"/>
      <w:spacing w:before="280" w:after="280" w:line="240" w:lineRule="auto"/>
    </w:pPr>
    <w:rPr>
      <w:rFonts w:ascii="Times New Roman" w:eastAsia="SimSun" w:hAnsi="Times New Roman" w:cs="Times New Roman"/>
      <w:sz w:val="24"/>
      <w:szCs w:val="24"/>
      <w:lang w:val="en-GB" w:eastAsia="zh-CN"/>
    </w:rPr>
  </w:style>
  <w:style w:type="paragraph" w:styleId="BodyTextIndent">
    <w:name w:val="Body Text Indent"/>
    <w:basedOn w:val="Normal"/>
    <w:link w:val="BodyTextIndentChar"/>
    <w:uiPriority w:val="99"/>
    <w:semiHidden/>
    <w:unhideWhenUsed/>
    <w:rsid w:val="00080A3F"/>
    <w:pPr>
      <w:spacing w:after="120"/>
      <w:ind w:left="283"/>
    </w:pPr>
  </w:style>
  <w:style w:type="character" w:customStyle="1" w:styleId="BodyTextIndentChar">
    <w:name w:val="Body Text Indent Char"/>
    <w:basedOn w:val="DefaultParagraphFont"/>
    <w:link w:val="BodyTextIndent"/>
    <w:uiPriority w:val="99"/>
    <w:semiHidden/>
    <w:rsid w:val="00080A3F"/>
  </w:style>
  <w:style w:type="character" w:customStyle="1" w:styleId="Internetlink">
    <w:name w:val="Internet link"/>
    <w:basedOn w:val="DefaultParagraphFont"/>
    <w:uiPriority w:val="99"/>
    <w:rsid w:val="00080A3F"/>
    <w:rPr>
      <w:rFonts w:eastAsia="Times New Roman" w:cs="DejaVu Sans"/>
      <w:color w:val="0000FF"/>
      <w:u w:val="single"/>
      <w:lang w:val="en-US"/>
    </w:rPr>
  </w:style>
  <w:style w:type="paragraph" w:styleId="NormalWeb">
    <w:name w:val="Normal (Web)"/>
    <w:basedOn w:val="Normal"/>
    <w:uiPriority w:val="99"/>
    <w:semiHidden/>
    <w:unhideWhenUsed/>
    <w:rsid w:val="00B1130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4C3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317"/>
    <w:rPr>
      <w:rFonts w:ascii="Segoe UI" w:hAnsi="Segoe UI" w:cs="Segoe UI"/>
      <w:sz w:val="18"/>
      <w:szCs w:val="18"/>
    </w:rPr>
  </w:style>
  <w:style w:type="paragraph" w:styleId="Revision">
    <w:name w:val="Revision"/>
    <w:hidden/>
    <w:uiPriority w:val="99"/>
    <w:semiHidden/>
    <w:rsid w:val="00C51E8B"/>
    <w:pPr>
      <w:spacing w:after="0" w:line="240" w:lineRule="auto"/>
    </w:pPr>
  </w:style>
  <w:style w:type="character" w:styleId="CommentReference">
    <w:name w:val="annotation reference"/>
    <w:basedOn w:val="DefaultParagraphFont"/>
    <w:uiPriority w:val="99"/>
    <w:semiHidden/>
    <w:unhideWhenUsed/>
    <w:rsid w:val="00107BC4"/>
    <w:rPr>
      <w:sz w:val="16"/>
      <w:szCs w:val="16"/>
    </w:rPr>
  </w:style>
  <w:style w:type="paragraph" w:styleId="CommentText">
    <w:name w:val="annotation text"/>
    <w:basedOn w:val="Normal"/>
    <w:link w:val="CommentTextChar"/>
    <w:uiPriority w:val="99"/>
    <w:unhideWhenUsed/>
    <w:rsid w:val="00107BC4"/>
    <w:pPr>
      <w:spacing w:line="240" w:lineRule="auto"/>
    </w:pPr>
    <w:rPr>
      <w:sz w:val="20"/>
      <w:szCs w:val="20"/>
    </w:rPr>
  </w:style>
  <w:style w:type="character" w:customStyle="1" w:styleId="CommentTextChar">
    <w:name w:val="Comment Text Char"/>
    <w:basedOn w:val="DefaultParagraphFont"/>
    <w:link w:val="CommentText"/>
    <w:uiPriority w:val="99"/>
    <w:rsid w:val="00107BC4"/>
    <w:rPr>
      <w:sz w:val="20"/>
      <w:szCs w:val="20"/>
    </w:rPr>
  </w:style>
  <w:style w:type="paragraph" w:styleId="CommentSubject">
    <w:name w:val="annotation subject"/>
    <w:basedOn w:val="CommentText"/>
    <w:next w:val="CommentText"/>
    <w:link w:val="CommentSubjectChar"/>
    <w:uiPriority w:val="99"/>
    <w:semiHidden/>
    <w:unhideWhenUsed/>
    <w:rsid w:val="00107BC4"/>
    <w:rPr>
      <w:b/>
      <w:bCs/>
    </w:rPr>
  </w:style>
  <w:style w:type="character" w:customStyle="1" w:styleId="CommentSubjectChar">
    <w:name w:val="Comment Subject Char"/>
    <w:basedOn w:val="CommentTextChar"/>
    <w:link w:val="CommentSubject"/>
    <w:uiPriority w:val="99"/>
    <w:semiHidden/>
    <w:rsid w:val="00107BC4"/>
    <w:rPr>
      <w:b/>
      <w:bCs/>
      <w:sz w:val="20"/>
      <w:szCs w:val="20"/>
    </w:rPr>
  </w:style>
  <w:style w:type="character" w:customStyle="1" w:styleId="UnresolvedMention">
    <w:name w:val="Unresolved Mention"/>
    <w:basedOn w:val="DefaultParagraphFont"/>
    <w:uiPriority w:val="99"/>
    <w:semiHidden/>
    <w:unhideWhenUsed/>
    <w:rsid w:val="007B7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9594">
      <w:bodyDiv w:val="1"/>
      <w:marLeft w:val="0"/>
      <w:marRight w:val="0"/>
      <w:marTop w:val="0"/>
      <w:marBottom w:val="0"/>
      <w:divBdr>
        <w:top w:val="none" w:sz="0" w:space="0" w:color="auto"/>
        <w:left w:val="none" w:sz="0" w:space="0" w:color="auto"/>
        <w:bottom w:val="none" w:sz="0" w:space="0" w:color="auto"/>
        <w:right w:val="none" w:sz="0" w:space="0" w:color="auto"/>
      </w:divBdr>
    </w:div>
    <w:div w:id="39600609">
      <w:bodyDiv w:val="1"/>
      <w:marLeft w:val="0"/>
      <w:marRight w:val="0"/>
      <w:marTop w:val="0"/>
      <w:marBottom w:val="0"/>
      <w:divBdr>
        <w:top w:val="none" w:sz="0" w:space="0" w:color="auto"/>
        <w:left w:val="none" w:sz="0" w:space="0" w:color="auto"/>
        <w:bottom w:val="none" w:sz="0" w:space="0" w:color="auto"/>
        <w:right w:val="none" w:sz="0" w:space="0" w:color="auto"/>
      </w:divBdr>
    </w:div>
    <w:div w:id="134687400">
      <w:bodyDiv w:val="1"/>
      <w:marLeft w:val="0"/>
      <w:marRight w:val="0"/>
      <w:marTop w:val="0"/>
      <w:marBottom w:val="0"/>
      <w:divBdr>
        <w:top w:val="none" w:sz="0" w:space="0" w:color="auto"/>
        <w:left w:val="none" w:sz="0" w:space="0" w:color="auto"/>
        <w:bottom w:val="none" w:sz="0" w:space="0" w:color="auto"/>
        <w:right w:val="none" w:sz="0" w:space="0" w:color="auto"/>
      </w:divBdr>
    </w:div>
    <w:div w:id="657072126">
      <w:bodyDiv w:val="1"/>
      <w:marLeft w:val="0"/>
      <w:marRight w:val="0"/>
      <w:marTop w:val="0"/>
      <w:marBottom w:val="0"/>
      <w:divBdr>
        <w:top w:val="none" w:sz="0" w:space="0" w:color="auto"/>
        <w:left w:val="none" w:sz="0" w:space="0" w:color="auto"/>
        <w:bottom w:val="none" w:sz="0" w:space="0" w:color="auto"/>
        <w:right w:val="none" w:sz="0" w:space="0" w:color="auto"/>
      </w:divBdr>
      <w:divsChild>
        <w:div w:id="85613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206062">
      <w:bodyDiv w:val="1"/>
      <w:marLeft w:val="0"/>
      <w:marRight w:val="0"/>
      <w:marTop w:val="0"/>
      <w:marBottom w:val="0"/>
      <w:divBdr>
        <w:top w:val="none" w:sz="0" w:space="0" w:color="auto"/>
        <w:left w:val="none" w:sz="0" w:space="0" w:color="auto"/>
        <w:bottom w:val="none" w:sz="0" w:space="0" w:color="auto"/>
        <w:right w:val="none" w:sz="0" w:space="0" w:color="auto"/>
      </w:divBdr>
    </w:div>
    <w:div w:id="846746105">
      <w:bodyDiv w:val="1"/>
      <w:marLeft w:val="0"/>
      <w:marRight w:val="0"/>
      <w:marTop w:val="0"/>
      <w:marBottom w:val="0"/>
      <w:divBdr>
        <w:top w:val="none" w:sz="0" w:space="0" w:color="auto"/>
        <w:left w:val="none" w:sz="0" w:space="0" w:color="auto"/>
        <w:bottom w:val="none" w:sz="0" w:space="0" w:color="auto"/>
        <w:right w:val="none" w:sz="0" w:space="0" w:color="auto"/>
      </w:divBdr>
    </w:div>
    <w:div w:id="900672277">
      <w:bodyDiv w:val="1"/>
      <w:marLeft w:val="0"/>
      <w:marRight w:val="0"/>
      <w:marTop w:val="0"/>
      <w:marBottom w:val="0"/>
      <w:divBdr>
        <w:top w:val="none" w:sz="0" w:space="0" w:color="auto"/>
        <w:left w:val="none" w:sz="0" w:space="0" w:color="auto"/>
        <w:bottom w:val="none" w:sz="0" w:space="0" w:color="auto"/>
        <w:right w:val="none" w:sz="0" w:space="0" w:color="auto"/>
      </w:divBdr>
    </w:div>
    <w:div w:id="906111298">
      <w:bodyDiv w:val="1"/>
      <w:marLeft w:val="0"/>
      <w:marRight w:val="0"/>
      <w:marTop w:val="0"/>
      <w:marBottom w:val="0"/>
      <w:divBdr>
        <w:top w:val="none" w:sz="0" w:space="0" w:color="auto"/>
        <w:left w:val="none" w:sz="0" w:space="0" w:color="auto"/>
        <w:bottom w:val="none" w:sz="0" w:space="0" w:color="auto"/>
        <w:right w:val="none" w:sz="0" w:space="0" w:color="auto"/>
      </w:divBdr>
    </w:div>
    <w:div w:id="907419553">
      <w:bodyDiv w:val="1"/>
      <w:marLeft w:val="0"/>
      <w:marRight w:val="0"/>
      <w:marTop w:val="0"/>
      <w:marBottom w:val="0"/>
      <w:divBdr>
        <w:top w:val="none" w:sz="0" w:space="0" w:color="auto"/>
        <w:left w:val="none" w:sz="0" w:space="0" w:color="auto"/>
        <w:bottom w:val="none" w:sz="0" w:space="0" w:color="auto"/>
        <w:right w:val="none" w:sz="0" w:space="0" w:color="auto"/>
      </w:divBdr>
    </w:div>
    <w:div w:id="1088111302">
      <w:bodyDiv w:val="1"/>
      <w:marLeft w:val="0"/>
      <w:marRight w:val="0"/>
      <w:marTop w:val="0"/>
      <w:marBottom w:val="0"/>
      <w:divBdr>
        <w:top w:val="none" w:sz="0" w:space="0" w:color="auto"/>
        <w:left w:val="none" w:sz="0" w:space="0" w:color="auto"/>
        <w:bottom w:val="none" w:sz="0" w:space="0" w:color="auto"/>
        <w:right w:val="none" w:sz="0" w:space="0" w:color="auto"/>
      </w:divBdr>
    </w:div>
    <w:div w:id="1142230721">
      <w:bodyDiv w:val="1"/>
      <w:marLeft w:val="0"/>
      <w:marRight w:val="0"/>
      <w:marTop w:val="0"/>
      <w:marBottom w:val="0"/>
      <w:divBdr>
        <w:top w:val="none" w:sz="0" w:space="0" w:color="auto"/>
        <w:left w:val="none" w:sz="0" w:space="0" w:color="auto"/>
        <w:bottom w:val="none" w:sz="0" w:space="0" w:color="auto"/>
        <w:right w:val="none" w:sz="0" w:space="0" w:color="auto"/>
      </w:divBdr>
    </w:div>
    <w:div w:id="1259607496">
      <w:bodyDiv w:val="1"/>
      <w:marLeft w:val="0"/>
      <w:marRight w:val="0"/>
      <w:marTop w:val="0"/>
      <w:marBottom w:val="0"/>
      <w:divBdr>
        <w:top w:val="none" w:sz="0" w:space="0" w:color="auto"/>
        <w:left w:val="none" w:sz="0" w:space="0" w:color="auto"/>
        <w:bottom w:val="none" w:sz="0" w:space="0" w:color="auto"/>
        <w:right w:val="none" w:sz="0" w:space="0" w:color="auto"/>
      </w:divBdr>
      <w:divsChild>
        <w:div w:id="79765502">
          <w:marLeft w:val="0"/>
          <w:marRight w:val="0"/>
          <w:marTop w:val="120"/>
          <w:marBottom w:val="0"/>
          <w:divBdr>
            <w:top w:val="none" w:sz="0" w:space="0" w:color="auto"/>
            <w:left w:val="none" w:sz="0" w:space="0" w:color="auto"/>
            <w:bottom w:val="none" w:sz="0" w:space="0" w:color="auto"/>
            <w:right w:val="none" w:sz="0" w:space="0" w:color="auto"/>
          </w:divBdr>
        </w:div>
        <w:div w:id="163015042">
          <w:marLeft w:val="0"/>
          <w:marRight w:val="0"/>
          <w:marTop w:val="120"/>
          <w:marBottom w:val="0"/>
          <w:divBdr>
            <w:top w:val="none" w:sz="0" w:space="0" w:color="auto"/>
            <w:left w:val="none" w:sz="0" w:space="0" w:color="auto"/>
            <w:bottom w:val="none" w:sz="0" w:space="0" w:color="auto"/>
            <w:right w:val="none" w:sz="0" w:space="0" w:color="auto"/>
          </w:divBdr>
        </w:div>
        <w:div w:id="620841178">
          <w:marLeft w:val="0"/>
          <w:marRight w:val="0"/>
          <w:marTop w:val="120"/>
          <w:marBottom w:val="0"/>
          <w:divBdr>
            <w:top w:val="none" w:sz="0" w:space="0" w:color="auto"/>
            <w:left w:val="none" w:sz="0" w:space="0" w:color="auto"/>
            <w:bottom w:val="none" w:sz="0" w:space="0" w:color="auto"/>
            <w:right w:val="none" w:sz="0" w:space="0" w:color="auto"/>
          </w:divBdr>
        </w:div>
        <w:div w:id="1015302151">
          <w:marLeft w:val="0"/>
          <w:marRight w:val="0"/>
          <w:marTop w:val="120"/>
          <w:marBottom w:val="0"/>
          <w:divBdr>
            <w:top w:val="none" w:sz="0" w:space="0" w:color="auto"/>
            <w:left w:val="none" w:sz="0" w:space="0" w:color="auto"/>
            <w:bottom w:val="none" w:sz="0" w:space="0" w:color="auto"/>
            <w:right w:val="none" w:sz="0" w:space="0" w:color="auto"/>
          </w:divBdr>
        </w:div>
        <w:div w:id="1044251987">
          <w:marLeft w:val="0"/>
          <w:marRight w:val="0"/>
          <w:marTop w:val="240"/>
          <w:marBottom w:val="24"/>
          <w:divBdr>
            <w:top w:val="single" w:sz="8" w:space="2" w:color="808080"/>
            <w:left w:val="none" w:sz="0" w:space="0" w:color="auto"/>
            <w:bottom w:val="none" w:sz="0" w:space="0" w:color="auto"/>
            <w:right w:val="none" w:sz="0" w:space="0" w:color="auto"/>
          </w:divBdr>
        </w:div>
        <w:div w:id="1437553605">
          <w:marLeft w:val="0"/>
          <w:marRight w:val="0"/>
          <w:marTop w:val="120"/>
          <w:marBottom w:val="0"/>
          <w:divBdr>
            <w:top w:val="none" w:sz="0" w:space="0" w:color="auto"/>
            <w:left w:val="none" w:sz="0" w:space="0" w:color="auto"/>
            <w:bottom w:val="none" w:sz="0" w:space="0" w:color="auto"/>
            <w:right w:val="none" w:sz="0" w:space="0" w:color="auto"/>
          </w:divBdr>
        </w:div>
        <w:div w:id="1503281125">
          <w:marLeft w:val="0"/>
          <w:marRight w:val="0"/>
          <w:marTop w:val="120"/>
          <w:marBottom w:val="0"/>
          <w:divBdr>
            <w:top w:val="none" w:sz="0" w:space="0" w:color="auto"/>
            <w:left w:val="none" w:sz="0" w:space="0" w:color="auto"/>
            <w:bottom w:val="none" w:sz="0" w:space="0" w:color="auto"/>
            <w:right w:val="none" w:sz="0" w:space="0" w:color="auto"/>
          </w:divBdr>
        </w:div>
        <w:div w:id="1653559641">
          <w:marLeft w:val="0"/>
          <w:marRight w:val="0"/>
          <w:marTop w:val="120"/>
          <w:marBottom w:val="0"/>
          <w:divBdr>
            <w:top w:val="none" w:sz="0" w:space="0" w:color="auto"/>
            <w:left w:val="none" w:sz="0" w:space="0" w:color="auto"/>
            <w:bottom w:val="none" w:sz="0" w:space="0" w:color="auto"/>
            <w:right w:val="none" w:sz="0" w:space="0" w:color="auto"/>
          </w:divBdr>
        </w:div>
        <w:div w:id="1793666778">
          <w:marLeft w:val="0"/>
          <w:marRight w:val="0"/>
          <w:marTop w:val="120"/>
          <w:marBottom w:val="0"/>
          <w:divBdr>
            <w:top w:val="none" w:sz="0" w:space="0" w:color="auto"/>
            <w:left w:val="none" w:sz="0" w:space="0" w:color="auto"/>
            <w:bottom w:val="none" w:sz="0" w:space="0" w:color="auto"/>
            <w:right w:val="none" w:sz="0" w:space="0" w:color="auto"/>
          </w:divBdr>
        </w:div>
        <w:div w:id="1969891935">
          <w:marLeft w:val="0"/>
          <w:marRight w:val="0"/>
          <w:marTop w:val="120"/>
          <w:marBottom w:val="0"/>
          <w:divBdr>
            <w:top w:val="none" w:sz="0" w:space="0" w:color="auto"/>
            <w:left w:val="none" w:sz="0" w:space="0" w:color="auto"/>
            <w:bottom w:val="none" w:sz="0" w:space="0" w:color="auto"/>
            <w:right w:val="none" w:sz="0" w:space="0" w:color="auto"/>
          </w:divBdr>
        </w:div>
      </w:divsChild>
    </w:div>
    <w:div w:id="1335106888">
      <w:bodyDiv w:val="1"/>
      <w:marLeft w:val="0"/>
      <w:marRight w:val="0"/>
      <w:marTop w:val="0"/>
      <w:marBottom w:val="0"/>
      <w:divBdr>
        <w:top w:val="none" w:sz="0" w:space="0" w:color="auto"/>
        <w:left w:val="none" w:sz="0" w:space="0" w:color="auto"/>
        <w:bottom w:val="none" w:sz="0" w:space="0" w:color="auto"/>
        <w:right w:val="none" w:sz="0" w:space="0" w:color="auto"/>
      </w:divBdr>
    </w:div>
    <w:div w:id="1441530403">
      <w:bodyDiv w:val="1"/>
      <w:marLeft w:val="0"/>
      <w:marRight w:val="0"/>
      <w:marTop w:val="0"/>
      <w:marBottom w:val="0"/>
      <w:divBdr>
        <w:top w:val="none" w:sz="0" w:space="0" w:color="auto"/>
        <w:left w:val="none" w:sz="0" w:space="0" w:color="auto"/>
        <w:bottom w:val="none" w:sz="0" w:space="0" w:color="auto"/>
        <w:right w:val="none" w:sz="0" w:space="0" w:color="auto"/>
      </w:divBdr>
    </w:div>
    <w:div w:id="1473447009">
      <w:bodyDiv w:val="1"/>
      <w:marLeft w:val="0"/>
      <w:marRight w:val="0"/>
      <w:marTop w:val="0"/>
      <w:marBottom w:val="0"/>
      <w:divBdr>
        <w:top w:val="none" w:sz="0" w:space="0" w:color="auto"/>
        <w:left w:val="none" w:sz="0" w:space="0" w:color="auto"/>
        <w:bottom w:val="none" w:sz="0" w:space="0" w:color="auto"/>
        <w:right w:val="none" w:sz="0" w:space="0" w:color="auto"/>
      </w:divBdr>
      <w:divsChild>
        <w:div w:id="695468501">
          <w:marLeft w:val="0"/>
          <w:marRight w:val="0"/>
          <w:marTop w:val="120"/>
          <w:marBottom w:val="0"/>
          <w:divBdr>
            <w:top w:val="none" w:sz="0" w:space="0" w:color="auto"/>
            <w:left w:val="none" w:sz="0" w:space="0" w:color="auto"/>
            <w:bottom w:val="none" w:sz="0" w:space="0" w:color="auto"/>
            <w:right w:val="none" w:sz="0" w:space="0" w:color="auto"/>
          </w:divBdr>
        </w:div>
        <w:div w:id="1213464840">
          <w:marLeft w:val="0"/>
          <w:marRight w:val="0"/>
          <w:marTop w:val="120"/>
          <w:marBottom w:val="0"/>
          <w:divBdr>
            <w:top w:val="none" w:sz="0" w:space="0" w:color="auto"/>
            <w:left w:val="none" w:sz="0" w:space="0" w:color="auto"/>
            <w:bottom w:val="none" w:sz="0" w:space="0" w:color="auto"/>
            <w:right w:val="none" w:sz="0" w:space="0" w:color="auto"/>
          </w:divBdr>
        </w:div>
        <w:div w:id="1400785675">
          <w:marLeft w:val="0"/>
          <w:marRight w:val="0"/>
          <w:marTop w:val="120"/>
          <w:marBottom w:val="0"/>
          <w:divBdr>
            <w:top w:val="none" w:sz="0" w:space="0" w:color="auto"/>
            <w:left w:val="none" w:sz="0" w:space="0" w:color="auto"/>
            <w:bottom w:val="none" w:sz="0" w:space="0" w:color="auto"/>
            <w:right w:val="none" w:sz="0" w:space="0" w:color="auto"/>
          </w:divBdr>
        </w:div>
        <w:div w:id="2034964246">
          <w:marLeft w:val="0"/>
          <w:marRight w:val="0"/>
          <w:marTop w:val="240"/>
          <w:marBottom w:val="24"/>
          <w:divBdr>
            <w:top w:val="single" w:sz="8" w:space="2" w:color="808080"/>
            <w:left w:val="none" w:sz="0" w:space="0" w:color="auto"/>
            <w:bottom w:val="none" w:sz="0" w:space="0" w:color="auto"/>
            <w:right w:val="none" w:sz="0" w:space="0" w:color="auto"/>
          </w:divBdr>
        </w:div>
      </w:divsChild>
    </w:div>
    <w:div w:id="1593469238">
      <w:bodyDiv w:val="1"/>
      <w:marLeft w:val="0"/>
      <w:marRight w:val="0"/>
      <w:marTop w:val="0"/>
      <w:marBottom w:val="0"/>
      <w:divBdr>
        <w:top w:val="none" w:sz="0" w:space="0" w:color="auto"/>
        <w:left w:val="none" w:sz="0" w:space="0" w:color="auto"/>
        <w:bottom w:val="none" w:sz="0" w:space="0" w:color="auto"/>
        <w:right w:val="none" w:sz="0" w:space="0" w:color="auto"/>
      </w:divBdr>
    </w:div>
    <w:div w:id="1747725476">
      <w:bodyDiv w:val="1"/>
      <w:marLeft w:val="0"/>
      <w:marRight w:val="0"/>
      <w:marTop w:val="0"/>
      <w:marBottom w:val="0"/>
      <w:divBdr>
        <w:top w:val="none" w:sz="0" w:space="0" w:color="auto"/>
        <w:left w:val="none" w:sz="0" w:space="0" w:color="auto"/>
        <w:bottom w:val="none" w:sz="0" w:space="0" w:color="auto"/>
        <w:right w:val="none" w:sz="0" w:space="0" w:color="auto"/>
      </w:divBdr>
    </w:div>
    <w:div w:id="1810974969">
      <w:bodyDiv w:val="1"/>
      <w:marLeft w:val="0"/>
      <w:marRight w:val="0"/>
      <w:marTop w:val="0"/>
      <w:marBottom w:val="0"/>
      <w:divBdr>
        <w:top w:val="none" w:sz="0" w:space="0" w:color="auto"/>
        <w:left w:val="none" w:sz="0" w:space="0" w:color="auto"/>
        <w:bottom w:val="none" w:sz="0" w:space="0" w:color="auto"/>
        <w:right w:val="none" w:sz="0" w:space="0" w:color="auto"/>
      </w:divBdr>
    </w:div>
    <w:div w:id="1817647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F83B5-DF1A-426B-BD2E-13098352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6736</Words>
  <Characters>38400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T Makgoka</dc:creator>
  <cp:keywords/>
  <dc:description/>
  <cp:lastModifiedBy>Mary Bruce</cp:lastModifiedBy>
  <cp:revision>4</cp:revision>
  <cp:lastPrinted>2022-12-01T07:36:00Z</cp:lastPrinted>
  <dcterms:created xsi:type="dcterms:W3CDTF">2022-12-01T09:32:00Z</dcterms:created>
  <dcterms:modified xsi:type="dcterms:W3CDTF">2022-12-12T14:10:00Z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7547c093-0de6-4b61-b220-a92f45cc00d9</vt:lpwstr>
  </property>
</Properties>
</file>