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FCA9" w14:textId="77777777" w:rsidR="00AD1CFA" w:rsidRPr="00AD1CFA" w:rsidRDefault="00AD1CFA" w:rsidP="00AD1CFA">
      <w:pPr>
        <w:widowControl w:val="0"/>
        <w:autoSpaceDE w:val="0"/>
        <w:autoSpaceDN w:val="0"/>
        <w:adjustRightInd w:val="0"/>
        <w:spacing w:after="0" w:line="240" w:lineRule="auto"/>
        <w:rPr>
          <w:rFonts w:ascii="Times New Roman" w:eastAsiaTheme="minorEastAsia" w:hAnsi="Times New Roman" w:cs="Times New Roman"/>
          <w:sz w:val="26"/>
          <w:szCs w:val="26"/>
          <w:lang w:eastAsia="en-ZA"/>
        </w:rPr>
      </w:pPr>
      <w:r w:rsidRPr="00AD1CFA">
        <w:rPr>
          <w:rFonts w:ascii="Times New Roman" w:eastAsiaTheme="minorEastAsia" w:hAnsi="Times New Roman" w:cs="Times New Roman"/>
          <w:noProof/>
          <w:sz w:val="26"/>
          <w:szCs w:val="26"/>
          <w:lang w:eastAsia="en-ZA"/>
        </w:rPr>
        <w:drawing>
          <wp:anchor distT="0" distB="0" distL="114300" distR="114300" simplePos="0" relativeHeight="251659264" behindDoc="0" locked="0" layoutInCell="1" allowOverlap="1" wp14:anchorId="71A7D120" wp14:editId="51463D61">
            <wp:simplePos x="0" y="0"/>
            <wp:positionH relativeFrom="margin">
              <wp:align>center</wp:align>
            </wp:positionH>
            <wp:positionV relativeFrom="paragraph">
              <wp:posOffset>0</wp:posOffset>
            </wp:positionV>
            <wp:extent cx="799200" cy="914400"/>
            <wp:effectExtent l="0" t="0" r="1270" b="0"/>
            <wp:wrapSquare wrapText="bothSides"/>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7A7ED" w14:textId="77777777" w:rsidR="00AD1CFA" w:rsidRPr="00AD1CFA" w:rsidRDefault="00AD1CFA" w:rsidP="00AD1CFA">
      <w:pPr>
        <w:widowControl w:val="0"/>
        <w:autoSpaceDE w:val="0"/>
        <w:autoSpaceDN w:val="0"/>
        <w:adjustRightInd w:val="0"/>
        <w:spacing w:after="0" w:line="360" w:lineRule="auto"/>
        <w:rPr>
          <w:rFonts w:ascii="Times New Roman" w:eastAsiaTheme="minorEastAsia" w:hAnsi="Times New Roman" w:cs="Times New Roman"/>
          <w:b/>
          <w:bCs/>
          <w:sz w:val="26"/>
          <w:szCs w:val="26"/>
          <w:lang w:eastAsia="en-ZA"/>
        </w:rPr>
      </w:pPr>
    </w:p>
    <w:p w14:paraId="3DB20258" w14:textId="77777777" w:rsidR="00AD1CFA" w:rsidRPr="00AD1CFA" w:rsidRDefault="00AD1CFA" w:rsidP="00AD1CFA">
      <w:pPr>
        <w:widowControl w:val="0"/>
        <w:autoSpaceDE w:val="0"/>
        <w:autoSpaceDN w:val="0"/>
        <w:adjustRightInd w:val="0"/>
        <w:spacing w:after="0" w:line="360" w:lineRule="auto"/>
        <w:rPr>
          <w:rFonts w:ascii="Times New Roman" w:eastAsiaTheme="minorEastAsia" w:hAnsi="Times New Roman" w:cs="Times New Roman"/>
          <w:b/>
          <w:bCs/>
          <w:sz w:val="26"/>
          <w:szCs w:val="26"/>
          <w:lang w:eastAsia="en-ZA"/>
        </w:rPr>
      </w:pPr>
    </w:p>
    <w:p w14:paraId="7110BC3D" w14:textId="77777777" w:rsidR="00AD1CFA" w:rsidRPr="00AD1CFA" w:rsidRDefault="00AD1CFA" w:rsidP="00AD1CFA">
      <w:pPr>
        <w:widowControl w:val="0"/>
        <w:autoSpaceDE w:val="0"/>
        <w:autoSpaceDN w:val="0"/>
        <w:adjustRightInd w:val="0"/>
        <w:spacing w:after="0" w:line="360" w:lineRule="auto"/>
        <w:jc w:val="center"/>
        <w:rPr>
          <w:rFonts w:ascii="Times New Roman" w:eastAsiaTheme="minorEastAsia" w:hAnsi="Times New Roman" w:cs="Times New Roman"/>
          <w:b/>
          <w:bCs/>
          <w:sz w:val="26"/>
          <w:szCs w:val="26"/>
          <w:lang w:eastAsia="en-ZA"/>
        </w:rPr>
      </w:pPr>
    </w:p>
    <w:p w14:paraId="1D375686" w14:textId="77777777" w:rsidR="00AD1CFA" w:rsidRPr="009B0402" w:rsidRDefault="00AD1CFA" w:rsidP="00AD1CFA">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en-ZA"/>
        </w:rPr>
      </w:pPr>
      <w:r w:rsidRPr="009B0402">
        <w:rPr>
          <w:rFonts w:ascii="Times New Roman" w:eastAsiaTheme="minorEastAsia" w:hAnsi="Times New Roman" w:cs="Times New Roman"/>
          <w:b/>
          <w:bCs/>
          <w:sz w:val="28"/>
          <w:szCs w:val="28"/>
          <w:lang w:eastAsia="en-ZA"/>
        </w:rPr>
        <w:t>THE SUPREME COURT OF APPEAL OF SOUTH AFRICA</w:t>
      </w:r>
    </w:p>
    <w:p w14:paraId="6EFF0208" w14:textId="77777777" w:rsidR="00AD1CFA" w:rsidRPr="009B0402" w:rsidRDefault="00AD1CFA" w:rsidP="00AD1CFA">
      <w:pPr>
        <w:widowControl w:val="0"/>
        <w:tabs>
          <w:tab w:val="left" w:pos="623"/>
          <w:tab w:val="center" w:pos="4513"/>
        </w:tabs>
        <w:autoSpaceDE w:val="0"/>
        <w:autoSpaceDN w:val="0"/>
        <w:adjustRightInd w:val="0"/>
        <w:spacing w:after="0" w:line="276" w:lineRule="auto"/>
        <w:jc w:val="center"/>
        <w:outlineLvl w:val="0"/>
        <w:rPr>
          <w:rFonts w:ascii="Times New Roman" w:eastAsiaTheme="minorEastAsia" w:hAnsi="Times New Roman" w:cs="Times New Roman"/>
          <w:b/>
          <w:bCs/>
          <w:sz w:val="28"/>
          <w:szCs w:val="28"/>
          <w:lang w:eastAsia="en-ZA"/>
        </w:rPr>
      </w:pPr>
      <w:r w:rsidRPr="009B0402">
        <w:rPr>
          <w:rFonts w:ascii="Times New Roman" w:eastAsiaTheme="minorEastAsia" w:hAnsi="Times New Roman" w:cs="Times New Roman"/>
          <w:b/>
          <w:bCs/>
          <w:sz w:val="28"/>
          <w:szCs w:val="28"/>
          <w:lang w:eastAsia="en-ZA"/>
        </w:rPr>
        <w:t>JUDGMENT</w:t>
      </w:r>
    </w:p>
    <w:p w14:paraId="47FDE551" w14:textId="77777777" w:rsidR="00AD1CFA" w:rsidRPr="009B0402" w:rsidRDefault="00AD1CFA" w:rsidP="00AD1CFA">
      <w:pPr>
        <w:widowControl w:val="0"/>
        <w:tabs>
          <w:tab w:val="left" w:pos="623"/>
          <w:tab w:val="center" w:pos="4513"/>
        </w:tabs>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en-ZA"/>
        </w:rPr>
      </w:pPr>
    </w:p>
    <w:p w14:paraId="72532A5E" w14:textId="0166F0B8" w:rsidR="00AD1CFA" w:rsidRPr="009B0402" w:rsidRDefault="00AD1CFA" w:rsidP="009B0402">
      <w:pPr>
        <w:widowControl w:val="0"/>
        <w:autoSpaceDE w:val="0"/>
        <w:autoSpaceDN w:val="0"/>
        <w:adjustRightInd w:val="0"/>
        <w:spacing w:after="100" w:afterAutospacing="1" w:line="240" w:lineRule="auto"/>
        <w:ind w:left="1440" w:firstLine="720"/>
        <w:jc w:val="right"/>
        <w:outlineLvl w:val="0"/>
        <w:rPr>
          <w:rFonts w:ascii="Times New Roman" w:eastAsiaTheme="minorEastAsia" w:hAnsi="Times New Roman" w:cs="Times New Roman"/>
          <w:b/>
          <w:bCs/>
          <w:sz w:val="28"/>
          <w:szCs w:val="28"/>
          <w:lang w:eastAsia="en-ZA"/>
        </w:rPr>
      </w:pPr>
      <w:r w:rsidRPr="009B0402">
        <w:rPr>
          <w:rFonts w:ascii="Times New Roman" w:eastAsiaTheme="minorEastAsia" w:hAnsi="Times New Roman" w:cs="Times New Roman"/>
          <w:b/>
          <w:bCs/>
          <w:sz w:val="28"/>
          <w:szCs w:val="28"/>
          <w:lang w:eastAsia="en-ZA"/>
        </w:rPr>
        <w:t>Not Reportable</w:t>
      </w:r>
    </w:p>
    <w:p w14:paraId="7B8D3F19" w14:textId="77777777" w:rsidR="00AD1CFA" w:rsidRPr="009B0402" w:rsidRDefault="00AD1CFA" w:rsidP="00AD1CFA">
      <w:pPr>
        <w:autoSpaceDE w:val="0"/>
        <w:autoSpaceDN w:val="0"/>
        <w:adjustRightInd w:val="0"/>
        <w:spacing w:after="120" w:line="240" w:lineRule="auto"/>
        <w:ind w:firstLine="720"/>
        <w:jc w:val="right"/>
        <w:rPr>
          <w:rFonts w:ascii="Times New Roman" w:hAnsi="Times New Roman" w:cs="Times New Roman"/>
          <w:b/>
          <w:bCs/>
          <w:color w:val="0D0D0D"/>
          <w:sz w:val="28"/>
          <w:szCs w:val="28"/>
        </w:rPr>
      </w:pPr>
      <w:r w:rsidRPr="009B0402">
        <w:rPr>
          <w:rFonts w:ascii="Times New Roman" w:hAnsi="Times New Roman" w:cs="Times New Roman"/>
          <w:color w:val="0D0D0D"/>
          <w:sz w:val="28"/>
          <w:szCs w:val="28"/>
        </w:rPr>
        <w:t xml:space="preserve">Case No: </w:t>
      </w:r>
      <w:r w:rsidRPr="009B0402">
        <w:rPr>
          <w:rFonts w:ascii="Times New Roman" w:hAnsi="Times New Roman" w:cs="Times New Roman"/>
          <w:bCs/>
          <w:color w:val="0D0D0D"/>
          <w:sz w:val="28"/>
          <w:szCs w:val="28"/>
        </w:rPr>
        <w:t>325/2021</w:t>
      </w:r>
    </w:p>
    <w:p w14:paraId="74BA9219" w14:textId="77777777" w:rsidR="00AD1CFA" w:rsidRPr="009B0402" w:rsidRDefault="00AD1CFA" w:rsidP="009B0402">
      <w:pPr>
        <w:autoSpaceDE w:val="0"/>
        <w:autoSpaceDN w:val="0"/>
        <w:adjustRightInd w:val="0"/>
        <w:spacing w:after="240" w:line="240" w:lineRule="auto"/>
        <w:rPr>
          <w:rFonts w:ascii="Times New Roman" w:hAnsi="Times New Roman" w:cs="Times New Roman"/>
          <w:color w:val="0D0D0D"/>
          <w:sz w:val="28"/>
          <w:szCs w:val="28"/>
        </w:rPr>
      </w:pPr>
      <w:r w:rsidRPr="009B0402">
        <w:rPr>
          <w:rFonts w:ascii="Times New Roman" w:hAnsi="Times New Roman" w:cs="Times New Roman"/>
          <w:color w:val="0D0D0D"/>
          <w:sz w:val="28"/>
          <w:szCs w:val="28"/>
        </w:rPr>
        <w:t xml:space="preserve">In </w:t>
      </w:r>
      <w:r w:rsidRPr="009B0402">
        <w:rPr>
          <w:rFonts w:ascii="Times New Roman" w:hAnsi="Times New Roman" w:cs="Times New Roman"/>
          <w:color w:val="222222"/>
          <w:sz w:val="28"/>
          <w:szCs w:val="28"/>
        </w:rPr>
        <w:t xml:space="preserve">the </w:t>
      </w:r>
      <w:r w:rsidRPr="009B0402">
        <w:rPr>
          <w:rFonts w:ascii="Times New Roman" w:hAnsi="Times New Roman" w:cs="Times New Roman"/>
          <w:color w:val="0D0D0D"/>
          <w:sz w:val="28"/>
          <w:szCs w:val="28"/>
        </w:rPr>
        <w:t>matter between:</w:t>
      </w:r>
    </w:p>
    <w:p w14:paraId="3C3E64C1" w14:textId="11679737" w:rsidR="00AD1CFA" w:rsidRPr="009B0402" w:rsidRDefault="00AD1CFA" w:rsidP="009B0402">
      <w:pPr>
        <w:autoSpaceDE w:val="0"/>
        <w:autoSpaceDN w:val="0"/>
        <w:adjustRightInd w:val="0"/>
        <w:spacing w:after="240" w:line="240" w:lineRule="auto"/>
        <w:rPr>
          <w:rFonts w:ascii="Times New Roman" w:hAnsi="Times New Roman" w:cs="Times New Roman"/>
          <w:color w:val="0D0D0D"/>
          <w:sz w:val="28"/>
          <w:szCs w:val="28"/>
        </w:rPr>
      </w:pPr>
      <w:r w:rsidRPr="009B0402">
        <w:rPr>
          <w:rFonts w:ascii="Times New Roman" w:eastAsiaTheme="minorEastAsia" w:hAnsi="Times New Roman" w:cs="Times New Roman"/>
          <w:b/>
          <w:sz w:val="28"/>
          <w:szCs w:val="28"/>
          <w:lang w:eastAsia="en-ZA"/>
        </w:rPr>
        <w:t>PIONEER FOODS (PTY) LTD</w:t>
      </w:r>
      <w:r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Pr="009B0402">
        <w:rPr>
          <w:rFonts w:ascii="Times New Roman" w:hAnsi="Times New Roman" w:cs="Times New Roman"/>
          <w:b/>
          <w:bCs/>
          <w:color w:val="0D0D0D"/>
          <w:sz w:val="28"/>
          <w:szCs w:val="28"/>
        </w:rPr>
        <w:t>APPELLANT</w:t>
      </w:r>
    </w:p>
    <w:p w14:paraId="237B2DB0" w14:textId="4E20DCDD" w:rsidR="00AD1CFA" w:rsidRPr="009B0402" w:rsidRDefault="00AD1CFA" w:rsidP="009B0402">
      <w:pPr>
        <w:autoSpaceDE w:val="0"/>
        <w:autoSpaceDN w:val="0"/>
        <w:adjustRightInd w:val="0"/>
        <w:spacing w:after="120" w:line="360" w:lineRule="auto"/>
        <w:rPr>
          <w:rFonts w:ascii="Times New Roman" w:hAnsi="Times New Roman" w:cs="Times New Roman"/>
          <w:color w:val="0D0D0D"/>
          <w:sz w:val="28"/>
          <w:szCs w:val="28"/>
        </w:rPr>
      </w:pPr>
      <w:r w:rsidRPr="009B0402">
        <w:rPr>
          <w:rFonts w:ascii="Times New Roman" w:hAnsi="Times New Roman" w:cs="Times New Roman"/>
          <w:color w:val="0D0D0D"/>
          <w:sz w:val="28"/>
          <w:szCs w:val="28"/>
        </w:rPr>
        <w:t>and</w:t>
      </w:r>
    </w:p>
    <w:p w14:paraId="4794825E" w14:textId="65830FBE" w:rsidR="00AD1CFA" w:rsidRPr="009B0402" w:rsidRDefault="0098412B" w:rsidP="00A45BA1">
      <w:pPr>
        <w:autoSpaceDE w:val="0"/>
        <w:autoSpaceDN w:val="0"/>
        <w:adjustRightInd w:val="0"/>
        <w:spacing w:after="240" w:line="360" w:lineRule="auto"/>
        <w:rPr>
          <w:rFonts w:ascii="Times New Roman" w:hAnsi="Times New Roman" w:cs="Times New Roman"/>
          <w:b/>
          <w:bCs/>
          <w:color w:val="0D0D0D"/>
          <w:sz w:val="28"/>
          <w:szCs w:val="28"/>
        </w:rPr>
      </w:pPr>
      <w:r w:rsidRPr="009B0402">
        <w:rPr>
          <w:rFonts w:ascii="Times New Roman" w:hAnsi="Times New Roman" w:cs="Times New Roman"/>
          <w:b/>
          <w:bCs/>
          <w:color w:val="0D0D0D"/>
          <w:sz w:val="28"/>
          <w:szCs w:val="28"/>
        </w:rPr>
        <w:t>ESKOM HOLDINGS SOC LIMITED</w:t>
      </w:r>
      <w:r w:rsidRPr="009B0402">
        <w:rPr>
          <w:rFonts w:ascii="Times New Roman" w:hAnsi="Times New Roman" w:cs="Times New Roman"/>
          <w:b/>
          <w:bCs/>
          <w:color w:val="0D0D0D"/>
          <w:sz w:val="28"/>
          <w:szCs w:val="28"/>
        </w:rPr>
        <w:tab/>
      </w:r>
      <w:r w:rsidRPr="009B0402">
        <w:rPr>
          <w:rFonts w:ascii="Times New Roman" w:hAnsi="Times New Roman" w:cs="Times New Roman"/>
          <w:b/>
          <w:bCs/>
          <w:color w:val="0D0D0D"/>
          <w:sz w:val="28"/>
          <w:szCs w:val="28"/>
        </w:rPr>
        <w:tab/>
      </w:r>
      <w:r w:rsidR="00C64EA8">
        <w:rPr>
          <w:rFonts w:ascii="Times New Roman" w:hAnsi="Times New Roman" w:cs="Times New Roman"/>
          <w:b/>
          <w:bCs/>
          <w:color w:val="0D0D0D"/>
          <w:sz w:val="28"/>
          <w:szCs w:val="28"/>
        </w:rPr>
        <w:t xml:space="preserve">      </w:t>
      </w:r>
      <w:r w:rsidR="00AD1CFA" w:rsidRPr="009B0402">
        <w:rPr>
          <w:rFonts w:ascii="Times New Roman" w:hAnsi="Times New Roman" w:cs="Times New Roman"/>
          <w:b/>
          <w:bCs/>
          <w:color w:val="0D0D0D"/>
          <w:sz w:val="28"/>
          <w:szCs w:val="28"/>
        </w:rPr>
        <w:t>FIRST RESPONDENT</w:t>
      </w:r>
    </w:p>
    <w:p w14:paraId="275A2A4A" w14:textId="7F4FDBF0" w:rsidR="00AD1CFA" w:rsidRPr="009B0402" w:rsidRDefault="00AD1CFA" w:rsidP="009B0402">
      <w:pPr>
        <w:autoSpaceDE w:val="0"/>
        <w:autoSpaceDN w:val="0"/>
        <w:adjustRightInd w:val="0"/>
        <w:spacing w:after="100" w:afterAutospacing="1" w:line="360" w:lineRule="auto"/>
        <w:rPr>
          <w:rFonts w:ascii="Times New Roman" w:hAnsi="Times New Roman" w:cs="Times New Roman"/>
          <w:b/>
          <w:bCs/>
          <w:color w:val="0D0D0D"/>
          <w:sz w:val="28"/>
          <w:szCs w:val="28"/>
        </w:rPr>
      </w:pPr>
      <w:r w:rsidRPr="009B0402">
        <w:rPr>
          <w:rFonts w:ascii="Times New Roman" w:hAnsi="Times New Roman" w:cs="Times New Roman"/>
          <w:b/>
          <w:bCs/>
          <w:color w:val="0D0D0D"/>
          <w:sz w:val="28"/>
          <w:szCs w:val="28"/>
        </w:rPr>
        <w:t>WALTER SISULU LOCAL MUNICIPALITY</w:t>
      </w:r>
      <w:r w:rsidR="0098412B" w:rsidRPr="009B0402">
        <w:rPr>
          <w:rFonts w:ascii="Times New Roman" w:hAnsi="Times New Roman" w:cs="Times New Roman"/>
          <w:b/>
          <w:bCs/>
          <w:color w:val="0D0D0D"/>
          <w:sz w:val="28"/>
          <w:szCs w:val="28"/>
        </w:rPr>
        <w:tab/>
        <w:t xml:space="preserve"> </w:t>
      </w:r>
      <w:r w:rsidRPr="009B0402">
        <w:rPr>
          <w:rFonts w:ascii="Times New Roman" w:hAnsi="Times New Roman" w:cs="Times New Roman"/>
          <w:b/>
          <w:bCs/>
          <w:color w:val="0D0D0D"/>
          <w:sz w:val="28"/>
          <w:szCs w:val="28"/>
        </w:rPr>
        <w:t>SECOND RESPONDENT</w:t>
      </w:r>
    </w:p>
    <w:p w14:paraId="49152011" w14:textId="77777777" w:rsidR="00AD1CFA" w:rsidRPr="009B0402" w:rsidRDefault="00AD1CFA" w:rsidP="00AD1CFA">
      <w:pPr>
        <w:autoSpaceDE w:val="0"/>
        <w:autoSpaceDN w:val="0"/>
        <w:adjustRightInd w:val="0"/>
        <w:spacing w:after="0" w:line="360" w:lineRule="auto"/>
        <w:rPr>
          <w:rFonts w:ascii="Times New Roman" w:hAnsi="Times New Roman" w:cs="Times New Roman"/>
          <w:b/>
          <w:bCs/>
          <w:color w:val="0D0D0D"/>
          <w:sz w:val="28"/>
          <w:szCs w:val="28"/>
        </w:rPr>
      </w:pPr>
      <w:r w:rsidRPr="009B0402">
        <w:rPr>
          <w:rFonts w:ascii="Times New Roman" w:hAnsi="Times New Roman" w:cs="Times New Roman"/>
          <w:b/>
          <w:bCs/>
          <w:color w:val="0D0D0D"/>
          <w:sz w:val="28"/>
          <w:szCs w:val="28"/>
        </w:rPr>
        <w:t xml:space="preserve">NATIONAL ENERGY REGULATOR OF </w:t>
      </w:r>
    </w:p>
    <w:p w14:paraId="1075F65B" w14:textId="5BB39F37" w:rsidR="00AD1CFA" w:rsidRPr="009B0402" w:rsidRDefault="00AD1CFA" w:rsidP="009B0402">
      <w:pPr>
        <w:autoSpaceDE w:val="0"/>
        <w:autoSpaceDN w:val="0"/>
        <w:adjustRightInd w:val="0"/>
        <w:spacing w:after="0" w:line="360" w:lineRule="auto"/>
        <w:rPr>
          <w:rFonts w:ascii="Times New Roman" w:hAnsi="Times New Roman" w:cs="Times New Roman"/>
          <w:b/>
          <w:bCs/>
          <w:color w:val="0D0D0D"/>
          <w:sz w:val="28"/>
          <w:szCs w:val="28"/>
        </w:rPr>
      </w:pPr>
      <w:r w:rsidRPr="009B0402">
        <w:rPr>
          <w:rFonts w:ascii="Times New Roman" w:hAnsi="Times New Roman" w:cs="Times New Roman"/>
          <w:b/>
          <w:bCs/>
          <w:color w:val="0D0D0D"/>
          <w:sz w:val="28"/>
          <w:szCs w:val="28"/>
        </w:rPr>
        <w:t>SOUTH AFRICA</w:t>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98412B" w:rsidRPr="009B0402">
        <w:rPr>
          <w:rFonts w:ascii="Times New Roman" w:hAnsi="Times New Roman" w:cs="Times New Roman"/>
          <w:b/>
          <w:bCs/>
          <w:color w:val="0D0D0D"/>
          <w:sz w:val="28"/>
          <w:szCs w:val="28"/>
        </w:rPr>
        <w:tab/>
      </w:r>
      <w:r w:rsidR="00D65D07">
        <w:rPr>
          <w:rFonts w:ascii="Times New Roman" w:hAnsi="Times New Roman" w:cs="Times New Roman"/>
          <w:b/>
          <w:bCs/>
          <w:color w:val="0D0D0D"/>
          <w:sz w:val="28"/>
          <w:szCs w:val="28"/>
        </w:rPr>
        <w:tab/>
        <w:t xml:space="preserve">     </w:t>
      </w:r>
      <w:r w:rsidRPr="009B0402">
        <w:rPr>
          <w:rFonts w:ascii="Times New Roman" w:hAnsi="Times New Roman" w:cs="Times New Roman"/>
          <w:b/>
          <w:bCs/>
          <w:color w:val="0D0D0D"/>
          <w:sz w:val="28"/>
          <w:szCs w:val="28"/>
        </w:rPr>
        <w:t>THIRD RESPONDENT</w:t>
      </w:r>
    </w:p>
    <w:p w14:paraId="14EFD7FA" w14:textId="77777777" w:rsidR="00D65D07" w:rsidRDefault="00D65D07" w:rsidP="00AD1CFA">
      <w:pPr>
        <w:widowControl w:val="0"/>
        <w:autoSpaceDE w:val="0"/>
        <w:autoSpaceDN w:val="0"/>
        <w:adjustRightInd w:val="0"/>
        <w:spacing w:after="120" w:line="276" w:lineRule="auto"/>
        <w:ind w:right="113"/>
        <w:jc w:val="both"/>
        <w:rPr>
          <w:rFonts w:ascii="Times New Roman" w:eastAsiaTheme="minorEastAsia" w:hAnsi="Times New Roman" w:cs="Times New Roman"/>
          <w:b/>
          <w:sz w:val="28"/>
          <w:szCs w:val="28"/>
          <w:lang w:eastAsia="en-ZA"/>
        </w:rPr>
      </w:pPr>
    </w:p>
    <w:p w14:paraId="1878BEBA" w14:textId="1DBC6130" w:rsidR="00AD1CFA" w:rsidRPr="009B0402" w:rsidRDefault="00AD1CFA" w:rsidP="00AD1CFA">
      <w:pPr>
        <w:widowControl w:val="0"/>
        <w:autoSpaceDE w:val="0"/>
        <w:autoSpaceDN w:val="0"/>
        <w:adjustRightInd w:val="0"/>
        <w:spacing w:after="120" w:line="276" w:lineRule="auto"/>
        <w:ind w:right="113"/>
        <w:jc w:val="both"/>
        <w:rPr>
          <w:rFonts w:ascii="Times New Roman" w:eastAsiaTheme="minorEastAsia" w:hAnsi="Times New Roman" w:cs="Times New Roman"/>
          <w:b/>
          <w:sz w:val="28"/>
          <w:szCs w:val="28"/>
          <w:lang w:eastAsia="en-ZA"/>
        </w:rPr>
      </w:pPr>
      <w:r w:rsidRPr="009B0402">
        <w:rPr>
          <w:rFonts w:ascii="Times New Roman" w:eastAsiaTheme="minorEastAsia" w:hAnsi="Times New Roman" w:cs="Times New Roman"/>
          <w:b/>
          <w:sz w:val="28"/>
          <w:szCs w:val="28"/>
          <w:lang w:eastAsia="en-ZA"/>
        </w:rPr>
        <w:t>Neutral citation:</w:t>
      </w:r>
      <w:r w:rsidRPr="009B0402">
        <w:rPr>
          <w:rFonts w:ascii="Times New Roman" w:eastAsiaTheme="minorEastAsia" w:hAnsi="Times New Roman" w:cs="Times New Roman"/>
          <w:bCs/>
          <w:sz w:val="28"/>
          <w:szCs w:val="28"/>
          <w:lang w:eastAsia="en-ZA"/>
        </w:rPr>
        <w:t xml:space="preserve"> </w:t>
      </w:r>
      <w:bookmarkStart w:id="0" w:name="_GoBack"/>
      <w:r w:rsidRPr="009B0402">
        <w:rPr>
          <w:rFonts w:ascii="Times New Roman" w:eastAsiaTheme="minorEastAsia" w:hAnsi="Times New Roman" w:cs="Times New Roman"/>
          <w:bCs/>
          <w:i/>
          <w:iCs/>
          <w:sz w:val="28"/>
          <w:szCs w:val="28"/>
          <w:lang w:eastAsia="en-ZA"/>
        </w:rPr>
        <w:t>Pioneer Foods (Pty) Ltd v Eskom Holdings SOC Limited &amp; Others</w:t>
      </w:r>
      <w:r w:rsidRPr="009B0402">
        <w:rPr>
          <w:rFonts w:ascii="Times New Roman" w:eastAsiaTheme="minorEastAsia" w:hAnsi="Times New Roman" w:cs="Times New Roman"/>
          <w:bCs/>
          <w:sz w:val="28"/>
          <w:szCs w:val="28"/>
          <w:lang w:eastAsia="en-ZA"/>
        </w:rPr>
        <w:t xml:space="preserve"> (325/20</w:t>
      </w:r>
      <w:r w:rsidR="00CB50D4">
        <w:rPr>
          <w:rFonts w:ascii="Times New Roman" w:eastAsiaTheme="minorEastAsia" w:hAnsi="Times New Roman" w:cs="Times New Roman"/>
          <w:bCs/>
          <w:sz w:val="28"/>
          <w:szCs w:val="28"/>
          <w:lang w:eastAsia="en-ZA"/>
        </w:rPr>
        <w:t xml:space="preserve">21) [2022] ZASCA </w:t>
      </w:r>
      <w:r w:rsidR="00F2508D">
        <w:rPr>
          <w:rFonts w:ascii="Times New Roman" w:eastAsiaTheme="minorEastAsia" w:hAnsi="Times New Roman" w:cs="Times New Roman"/>
          <w:bCs/>
          <w:sz w:val="28"/>
          <w:szCs w:val="28"/>
          <w:lang w:eastAsia="en-ZA"/>
        </w:rPr>
        <w:t>171</w:t>
      </w:r>
      <w:r w:rsidR="00CB50D4">
        <w:rPr>
          <w:rFonts w:ascii="Times New Roman" w:eastAsiaTheme="minorEastAsia" w:hAnsi="Times New Roman" w:cs="Times New Roman"/>
          <w:bCs/>
          <w:sz w:val="28"/>
          <w:szCs w:val="28"/>
          <w:lang w:eastAsia="en-ZA"/>
        </w:rPr>
        <w:t xml:space="preserve"> (</w:t>
      </w:r>
      <w:r w:rsidR="00F2508D">
        <w:rPr>
          <w:rFonts w:ascii="Times New Roman" w:eastAsiaTheme="minorEastAsia" w:hAnsi="Times New Roman" w:cs="Times New Roman"/>
          <w:bCs/>
          <w:sz w:val="28"/>
          <w:szCs w:val="28"/>
          <w:lang w:eastAsia="en-ZA"/>
        </w:rPr>
        <w:t>1</w:t>
      </w:r>
      <w:r w:rsidR="00CB50D4">
        <w:rPr>
          <w:rFonts w:ascii="Times New Roman" w:eastAsiaTheme="minorEastAsia" w:hAnsi="Times New Roman" w:cs="Times New Roman"/>
          <w:bCs/>
          <w:sz w:val="28"/>
          <w:szCs w:val="28"/>
          <w:lang w:eastAsia="en-ZA"/>
        </w:rPr>
        <w:t xml:space="preserve"> December</w:t>
      </w:r>
      <w:r w:rsidRPr="009B0402">
        <w:rPr>
          <w:rFonts w:ascii="Times New Roman" w:eastAsiaTheme="minorEastAsia" w:hAnsi="Times New Roman" w:cs="Times New Roman"/>
          <w:bCs/>
          <w:sz w:val="28"/>
          <w:szCs w:val="28"/>
          <w:lang w:eastAsia="en-ZA"/>
        </w:rPr>
        <w:t xml:space="preserve"> 2022) </w:t>
      </w:r>
      <w:bookmarkEnd w:id="0"/>
    </w:p>
    <w:p w14:paraId="6B39ABDA" w14:textId="77777777" w:rsidR="00AD1CFA" w:rsidRPr="009B0402" w:rsidRDefault="00AD1CFA" w:rsidP="00AD1CFA">
      <w:pPr>
        <w:widowControl w:val="0"/>
        <w:autoSpaceDE w:val="0"/>
        <w:autoSpaceDN w:val="0"/>
        <w:adjustRightInd w:val="0"/>
        <w:spacing w:after="0" w:line="240" w:lineRule="auto"/>
        <w:ind w:left="1440" w:hanging="1440"/>
        <w:jc w:val="both"/>
        <w:rPr>
          <w:rFonts w:ascii="Times New Roman" w:eastAsiaTheme="minorEastAsia" w:hAnsi="Times New Roman" w:cs="Times New Roman"/>
          <w:b/>
          <w:sz w:val="28"/>
          <w:szCs w:val="28"/>
          <w:lang w:eastAsia="en-ZA"/>
        </w:rPr>
      </w:pPr>
    </w:p>
    <w:p w14:paraId="1E82B293" w14:textId="6CDAB771" w:rsidR="00AD1CFA" w:rsidRPr="009B0402" w:rsidRDefault="00AD1CFA" w:rsidP="00AD1CFA">
      <w:pPr>
        <w:widowControl w:val="0"/>
        <w:autoSpaceDE w:val="0"/>
        <w:autoSpaceDN w:val="0"/>
        <w:adjustRightInd w:val="0"/>
        <w:spacing w:after="0" w:line="240" w:lineRule="auto"/>
        <w:ind w:left="1440" w:hanging="1440"/>
        <w:jc w:val="both"/>
        <w:rPr>
          <w:rFonts w:ascii="Times New Roman" w:eastAsiaTheme="minorEastAsia" w:hAnsi="Times New Roman" w:cs="Times New Roman"/>
          <w:sz w:val="28"/>
          <w:szCs w:val="28"/>
          <w:lang w:eastAsia="en-ZA"/>
        </w:rPr>
      </w:pPr>
      <w:r w:rsidRPr="009B0402">
        <w:rPr>
          <w:rFonts w:ascii="Times New Roman" w:eastAsiaTheme="minorEastAsia" w:hAnsi="Times New Roman" w:cs="Times New Roman"/>
          <w:b/>
          <w:sz w:val="28"/>
          <w:szCs w:val="28"/>
          <w:lang w:eastAsia="en-ZA"/>
        </w:rPr>
        <w:t>Coram:</w:t>
      </w:r>
      <w:r w:rsidRPr="009B0402">
        <w:rPr>
          <w:rFonts w:ascii="Times New Roman" w:eastAsiaTheme="minorEastAsia" w:hAnsi="Times New Roman" w:cs="Times New Roman"/>
          <w:b/>
          <w:sz w:val="28"/>
          <w:szCs w:val="28"/>
          <w:lang w:eastAsia="en-ZA"/>
        </w:rPr>
        <w:tab/>
      </w:r>
      <w:bookmarkStart w:id="1" w:name="_Hlk106661950"/>
      <w:bookmarkStart w:id="2" w:name="_Hlk64406736"/>
      <w:r w:rsidRPr="009B0402">
        <w:rPr>
          <w:rFonts w:ascii="Times New Roman" w:eastAsiaTheme="minorEastAsia" w:hAnsi="Times New Roman" w:cs="Times New Roman"/>
          <w:sz w:val="28"/>
          <w:szCs w:val="28"/>
          <w:lang w:eastAsia="en-ZA"/>
        </w:rPr>
        <w:t>VAN DER MERWE, MAKGOKA</w:t>
      </w:r>
      <w:r w:rsidR="00F2508D">
        <w:rPr>
          <w:rFonts w:ascii="Times New Roman" w:eastAsiaTheme="minorEastAsia" w:hAnsi="Times New Roman" w:cs="Times New Roman"/>
          <w:sz w:val="28"/>
          <w:szCs w:val="28"/>
          <w:lang w:eastAsia="en-ZA"/>
        </w:rPr>
        <w:t xml:space="preserve"> </w:t>
      </w:r>
      <w:r w:rsidR="00F2508D" w:rsidRPr="0090088F">
        <w:rPr>
          <w:rFonts w:ascii="Times New Roman" w:eastAsiaTheme="minorEastAsia" w:hAnsi="Times New Roman" w:cs="Times New Roman"/>
          <w:sz w:val="28"/>
          <w:szCs w:val="28"/>
          <w:lang w:eastAsia="en-ZA"/>
        </w:rPr>
        <w:t>and</w:t>
      </w:r>
      <w:r w:rsidRPr="009B0402">
        <w:rPr>
          <w:rFonts w:ascii="Times New Roman" w:eastAsiaTheme="minorEastAsia" w:hAnsi="Times New Roman" w:cs="Times New Roman"/>
          <w:sz w:val="28"/>
          <w:szCs w:val="28"/>
          <w:lang w:eastAsia="en-ZA"/>
        </w:rPr>
        <w:t xml:space="preserve"> HUGHES </w:t>
      </w:r>
      <w:r w:rsidR="00F2508D" w:rsidRPr="0090088F">
        <w:rPr>
          <w:rFonts w:ascii="Times New Roman" w:eastAsiaTheme="minorEastAsia" w:hAnsi="Times New Roman" w:cs="Times New Roman"/>
          <w:sz w:val="28"/>
          <w:szCs w:val="28"/>
          <w:lang w:eastAsia="en-ZA"/>
        </w:rPr>
        <w:t>JJA</w:t>
      </w:r>
      <w:r w:rsidR="00F2508D">
        <w:rPr>
          <w:rFonts w:ascii="Times New Roman" w:eastAsiaTheme="minorEastAsia" w:hAnsi="Times New Roman" w:cs="Times New Roman"/>
          <w:sz w:val="28"/>
          <w:szCs w:val="28"/>
          <w:lang w:eastAsia="en-ZA"/>
        </w:rPr>
        <w:t xml:space="preserve"> </w:t>
      </w:r>
      <w:r w:rsidRPr="009B0402">
        <w:rPr>
          <w:rFonts w:ascii="Times New Roman" w:eastAsiaTheme="minorEastAsia" w:hAnsi="Times New Roman" w:cs="Times New Roman"/>
          <w:sz w:val="28"/>
          <w:szCs w:val="28"/>
          <w:lang w:eastAsia="en-ZA"/>
        </w:rPr>
        <w:t xml:space="preserve">and </w:t>
      </w:r>
      <w:r w:rsidRPr="00CB50D4">
        <w:rPr>
          <w:rFonts w:ascii="Times New Roman" w:hAnsi="Times New Roman" w:cs="Times New Roman"/>
          <w:sz w:val="28"/>
          <w:szCs w:val="28"/>
        </w:rPr>
        <w:t>B</w:t>
      </w:r>
      <w:r w:rsidRPr="009B0402">
        <w:rPr>
          <w:rFonts w:ascii="Times New Roman" w:hAnsi="Times New Roman" w:cs="Times New Roman"/>
          <w:sz w:val="28"/>
          <w:szCs w:val="28"/>
        </w:rPr>
        <w:t>ASSON and WINDELL AJJA</w:t>
      </w:r>
      <w:r w:rsidRPr="009B0402">
        <w:rPr>
          <w:rFonts w:ascii="Times New Roman" w:eastAsiaTheme="minorEastAsia" w:hAnsi="Times New Roman" w:cs="Times New Roman"/>
          <w:sz w:val="28"/>
          <w:szCs w:val="28"/>
          <w:lang w:eastAsia="en-ZA"/>
        </w:rPr>
        <w:t xml:space="preserve"> </w:t>
      </w:r>
      <w:bookmarkEnd w:id="1"/>
    </w:p>
    <w:bookmarkEnd w:id="2"/>
    <w:p w14:paraId="170965EE" w14:textId="77777777" w:rsidR="00AD1CFA" w:rsidRPr="009B0402" w:rsidRDefault="00AD1CFA" w:rsidP="009B0402">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120" w:line="360" w:lineRule="auto"/>
        <w:jc w:val="both"/>
        <w:outlineLvl w:val="0"/>
        <w:rPr>
          <w:rFonts w:ascii="Times New Roman" w:eastAsiaTheme="minorEastAsia" w:hAnsi="Times New Roman" w:cs="Times New Roman"/>
          <w:sz w:val="28"/>
          <w:szCs w:val="28"/>
          <w:lang w:eastAsia="en-ZA"/>
        </w:rPr>
      </w:pPr>
      <w:r w:rsidRPr="009B0402">
        <w:rPr>
          <w:rFonts w:ascii="Times New Roman" w:eastAsiaTheme="minorEastAsia" w:hAnsi="Times New Roman" w:cs="Times New Roman"/>
          <w:b/>
          <w:sz w:val="28"/>
          <w:szCs w:val="28"/>
          <w:lang w:eastAsia="en-ZA"/>
        </w:rPr>
        <w:t>Heard:</w:t>
      </w:r>
      <w:r w:rsidRPr="009B0402">
        <w:rPr>
          <w:rFonts w:ascii="Times New Roman" w:eastAsiaTheme="minorEastAsia" w:hAnsi="Times New Roman" w:cs="Times New Roman"/>
          <w:sz w:val="28"/>
          <w:szCs w:val="28"/>
          <w:lang w:eastAsia="en-ZA"/>
        </w:rPr>
        <w:tab/>
        <w:t>8 November 2022</w:t>
      </w:r>
    </w:p>
    <w:p w14:paraId="5E981B99" w14:textId="0C98F794" w:rsidR="00AD1CFA" w:rsidRPr="009B0402" w:rsidRDefault="00AD1CFA" w:rsidP="00AD1CFA">
      <w:pPr>
        <w:widowControl w:val="0"/>
        <w:autoSpaceDE w:val="0"/>
        <w:autoSpaceDN w:val="0"/>
        <w:adjustRightInd w:val="0"/>
        <w:spacing w:after="120" w:line="360" w:lineRule="auto"/>
        <w:jc w:val="both"/>
        <w:outlineLvl w:val="0"/>
        <w:rPr>
          <w:rFonts w:ascii="Times New Roman" w:eastAsiaTheme="minorEastAsia" w:hAnsi="Times New Roman" w:cs="Times New Roman"/>
          <w:sz w:val="28"/>
          <w:szCs w:val="28"/>
          <w:lang w:eastAsia="en-ZA"/>
        </w:rPr>
      </w:pPr>
      <w:r w:rsidRPr="009B0402">
        <w:rPr>
          <w:rFonts w:ascii="Times New Roman" w:eastAsiaTheme="minorEastAsia" w:hAnsi="Times New Roman" w:cs="Times New Roman"/>
          <w:b/>
          <w:sz w:val="28"/>
          <w:szCs w:val="28"/>
          <w:lang w:eastAsia="en-ZA"/>
        </w:rPr>
        <w:t>Delivered:</w:t>
      </w:r>
      <w:r w:rsidRPr="009B0402">
        <w:rPr>
          <w:rFonts w:ascii="Times New Roman" w:eastAsiaTheme="minorEastAsia" w:hAnsi="Times New Roman" w:cs="Times New Roman"/>
          <w:b/>
          <w:sz w:val="28"/>
          <w:szCs w:val="28"/>
          <w:lang w:eastAsia="en-ZA"/>
        </w:rPr>
        <w:tab/>
      </w:r>
      <w:r w:rsidR="00CB50D4">
        <w:rPr>
          <w:rFonts w:ascii="Times New Roman" w:eastAsiaTheme="minorEastAsia" w:hAnsi="Times New Roman" w:cs="Times New Roman"/>
          <w:sz w:val="28"/>
          <w:szCs w:val="28"/>
          <w:lang w:eastAsia="en-ZA"/>
        </w:rPr>
        <w:t>1 December</w:t>
      </w:r>
      <w:r w:rsidRPr="009B0402">
        <w:rPr>
          <w:rFonts w:ascii="Times New Roman" w:eastAsiaTheme="minorEastAsia" w:hAnsi="Times New Roman" w:cs="Times New Roman"/>
          <w:sz w:val="28"/>
          <w:szCs w:val="28"/>
          <w:lang w:eastAsia="en-ZA"/>
        </w:rPr>
        <w:t xml:space="preserve"> 2022</w:t>
      </w:r>
    </w:p>
    <w:p w14:paraId="30907A1F" w14:textId="31A9D2FA" w:rsidR="00D65D07" w:rsidRDefault="00AD1CFA" w:rsidP="00D65D07">
      <w:pPr>
        <w:spacing w:after="0" w:line="360" w:lineRule="auto"/>
        <w:contextualSpacing/>
        <w:jc w:val="both"/>
        <w:rPr>
          <w:rFonts w:ascii="Times New Roman" w:hAnsi="Times New Roman" w:cs="Times New Roman"/>
          <w:b/>
          <w:sz w:val="28"/>
          <w:szCs w:val="28"/>
        </w:rPr>
      </w:pPr>
      <w:r w:rsidRPr="009B0402">
        <w:rPr>
          <w:rFonts w:ascii="Times New Roman" w:eastAsiaTheme="minorEastAsia" w:hAnsi="Times New Roman" w:cs="Times New Roman"/>
          <w:b/>
          <w:sz w:val="28"/>
          <w:szCs w:val="28"/>
          <w:lang w:eastAsia="en-ZA"/>
        </w:rPr>
        <w:t xml:space="preserve">Summary: </w:t>
      </w:r>
      <w:r w:rsidRPr="009B0402">
        <w:rPr>
          <w:rFonts w:ascii="Times New Roman" w:eastAsiaTheme="minorEastAsia" w:hAnsi="Times New Roman" w:cs="Times New Roman"/>
          <w:b/>
          <w:sz w:val="28"/>
          <w:szCs w:val="28"/>
          <w:lang w:eastAsia="en-ZA"/>
        </w:rPr>
        <w:tab/>
      </w:r>
      <w:r w:rsidR="00CB50D4" w:rsidRPr="00064B6E">
        <w:rPr>
          <w:rFonts w:ascii="Times New Roman" w:eastAsiaTheme="minorEastAsia" w:hAnsi="Times New Roman" w:cs="Times New Roman"/>
          <w:sz w:val="28"/>
          <w:szCs w:val="28"/>
          <w:lang w:eastAsia="en-ZA"/>
        </w:rPr>
        <w:t xml:space="preserve">Appeal – </w:t>
      </w:r>
      <w:r w:rsidR="008A2297" w:rsidRPr="00064B6E">
        <w:rPr>
          <w:rFonts w:ascii="Times New Roman" w:eastAsiaTheme="minorEastAsia" w:hAnsi="Times New Roman" w:cs="Times New Roman"/>
          <w:sz w:val="28"/>
          <w:szCs w:val="28"/>
          <w:lang w:eastAsia="en-ZA"/>
        </w:rPr>
        <w:t>s</w:t>
      </w:r>
      <w:r w:rsidR="00E2628A" w:rsidRPr="00064B6E">
        <w:rPr>
          <w:rFonts w:ascii="Times New Roman" w:hAnsi="Times New Roman" w:cs="Times New Roman"/>
          <w:sz w:val="28"/>
          <w:szCs w:val="28"/>
        </w:rPr>
        <w:t>ection 16(2)(</w:t>
      </w:r>
      <w:r w:rsidR="00E2628A" w:rsidRPr="00064B6E">
        <w:rPr>
          <w:rFonts w:ascii="Times New Roman" w:hAnsi="Times New Roman" w:cs="Times New Roman"/>
          <w:i/>
          <w:sz w:val="28"/>
          <w:szCs w:val="28"/>
        </w:rPr>
        <w:t>a</w:t>
      </w:r>
      <w:r w:rsidR="00E2628A" w:rsidRPr="00064B6E">
        <w:rPr>
          <w:rFonts w:ascii="Times New Roman" w:hAnsi="Times New Roman" w:cs="Times New Roman"/>
          <w:sz w:val="28"/>
          <w:szCs w:val="28"/>
        </w:rPr>
        <w:t xml:space="preserve">)(i) of Superior Courts Act 10 of 2013 –  </w:t>
      </w:r>
      <w:r w:rsidR="00E2628A" w:rsidRPr="00064B6E">
        <w:rPr>
          <w:rFonts w:ascii="Times New Roman" w:eastAsiaTheme="minorEastAsia" w:hAnsi="Times New Roman" w:cs="Times New Roman"/>
          <w:sz w:val="28"/>
          <w:szCs w:val="28"/>
          <w:lang w:eastAsia="en-ZA"/>
        </w:rPr>
        <w:t>mootness of appeal –</w:t>
      </w:r>
      <w:r w:rsidR="00E2628A" w:rsidRPr="00064B6E">
        <w:rPr>
          <w:rFonts w:ascii="Times New Roman" w:hAnsi="Times New Roman" w:cs="Times New Roman"/>
          <w:sz w:val="28"/>
          <w:szCs w:val="28"/>
        </w:rPr>
        <w:t xml:space="preserve"> </w:t>
      </w:r>
      <w:r w:rsidR="00E2628A" w:rsidRPr="00064B6E">
        <w:rPr>
          <w:rFonts w:ascii="Times New Roman" w:eastAsiaTheme="minorEastAsia" w:hAnsi="Times New Roman" w:cs="Times New Roman"/>
          <w:sz w:val="28"/>
          <w:szCs w:val="28"/>
          <w:lang w:eastAsia="en-ZA"/>
        </w:rPr>
        <w:t>issues of law in appeal settled by an earlier judgment of this Court –</w:t>
      </w:r>
      <w:r w:rsidR="009B0402" w:rsidRPr="00064B6E">
        <w:rPr>
          <w:rFonts w:ascii="Times New Roman" w:eastAsiaTheme="minorEastAsia" w:hAnsi="Times New Roman" w:cs="Times New Roman"/>
          <w:sz w:val="28"/>
          <w:szCs w:val="28"/>
          <w:lang w:eastAsia="en-ZA"/>
        </w:rPr>
        <w:t xml:space="preserve"> </w:t>
      </w:r>
      <w:r w:rsidR="00E2628A" w:rsidRPr="00064B6E">
        <w:rPr>
          <w:rFonts w:ascii="Times New Roman" w:eastAsiaTheme="minorEastAsia" w:hAnsi="Times New Roman" w:cs="Times New Roman"/>
          <w:sz w:val="28"/>
          <w:szCs w:val="28"/>
          <w:lang w:eastAsia="en-ZA"/>
        </w:rPr>
        <w:t xml:space="preserve">disputes overtaken by events – appeal  moot – no </w:t>
      </w:r>
      <w:r w:rsidR="00E2628A" w:rsidRPr="00064B6E">
        <w:rPr>
          <w:rFonts w:ascii="Times New Roman" w:hAnsi="Times New Roman" w:cs="Times New Roman"/>
          <w:sz w:val="28"/>
          <w:szCs w:val="28"/>
        </w:rPr>
        <w:t>discrete</w:t>
      </w:r>
      <w:r w:rsidR="008A2297" w:rsidRPr="00064B6E">
        <w:rPr>
          <w:rFonts w:ascii="Times New Roman" w:hAnsi="Times New Roman" w:cs="Times New Roman"/>
          <w:sz w:val="28"/>
          <w:szCs w:val="28"/>
        </w:rPr>
        <w:t xml:space="preserve"> legal</w:t>
      </w:r>
      <w:r w:rsidR="00E2628A" w:rsidRPr="00064B6E">
        <w:rPr>
          <w:rFonts w:ascii="Times New Roman" w:hAnsi="Times New Roman" w:cs="Times New Roman"/>
          <w:sz w:val="28"/>
          <w:szCs w:val="28"/>
        </w:rPr>
        <w:t xml:space="preserve"> issue of public importance that</w:t>
      </w:r>
      <w:r w:rsidR="008A2297" w:rsidRPr="00064B6E">
        <w:rPr>
          <w:rFonts w:ascii="Times New Roman" w:hAnsi="Times New Roman" w:cs="Times New Roman"/>
          <w:sz w:val="28"/>
          <w:szCs w:val="28"/>
        </w:rPr>
        <w:t xml:space="preserve"> would</w:t>
      </w:r>
      <w:r w:rsidR="00E2628A" w:rsidRPr="00064B6E">
        <w:rPr>
          <w:rFonts w:ascii="Times New Roman" w:hAnsi="Times New Roman" w:cs="Times New Roman"/>
          <w:sz w:val="28"/>
          <w:szCs w:val="28"/>
        </w:rPr>
        <w:t xml:space="preserve"> affect matters in the future</w:t>
      </w:r>
      <w:r w:rsidR="00CB50D4" w:rsidRPr="00064B6E">
        <w:rPr>
          <w:rFonts w:ascii="Times New Roman" w:hAnsi="Times New Roman" w:cs="Times New Roman"/>
          <w:sz w:val="28"/>
          <w:szCs w:val="28"/>
        </w:rPr>
        <w:t>.</w:t>
      </w:r>
      <w:r w:rsidR="00E2628A" w:rsidRPr="00CB50D4">
        <w:rPr>
          <w:rFonts w:ascii="Times New Roman" w:hAnsi="Times New Roman" w:cs="Times New Roman"/>
          <w:b/>
          <w:sz w:val="28"/>
          <w:szCs w:val="28"/>
        </w:rPr>
        <w:t xml:space="preserve"> </w:t>
      </w:r>
      <w:r w:rsidR="00D65D07">
        <w:rPr>
          <w:rFonts w:ascii="Times New Roman" w:hAnsi="Times New Roman" w:cs="Times New Roman"/>
          <w:b/>
          <w:sz w:val="28"/>
          <w:szCs w:val="28"/>
        </w:rPr>
        <w:br w:type="page"/>
      </w:r>
    </w:p>
    <w:p w14:paraId="4CF624AC" w14:textId="1C02CE25" w:rsidR="00AD1CFA" w:rsidRPr="00CB50D4" w:rsidRDefault="00AD1CFA" w:rsidP="00A45BA1">
      <w:pPr>
        <w:tabs>
          <w:tab w:val="left" w:pos="7410"/>
        </w:tabs>
        <w:rPr>
          <w:rFonts w:ascii="Times New Roman" w:hAnsi="Times New Roman" w:cs="Times New Roman"/>
          <w:sz w:val="28"/>
          <w:szCs w:val="28"/>
        </w:rPr>
      </w:pPr>
      <w:r w:rsidRPr="00CB50D4">
        <w:rPr>
          <w:rFonts w:ascii="Times New Roman" w:eastAsiaTheme="minorEastAsia" w:hAnsi="Times New Roman" w:cs="Times New Roman"/>
          <w:b/>
          <w:sz w:val="28"/>
          <w:szCs w:val="28"/>
          <w:lang w:eastAsia="en-ZA"/>
        </w:rPr>
        <w:lastRenderedPageBreak/>
        <w:t>________________________________________________________________</w:t>
      </w:r>
    </w:p>
    <w:p w14:paraId="19E9B740" w14:textId="77777777" w:rsidR="00AD1CFA" w:rsidRPr="00CB50D4" w:rsidRDefault="00AD1CFA" w:rsidP="00AD1CFA">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en-ZA"/>
        </w:rPr>
      </w:pPr>
      <w:r w:rsidRPr="00CB50D4">
        <w:rPr>
          <w:rFonts w:ascii="Times New Roman" w:eastAsiaTheme="minorEastAsia" w:hAnsi="Times New Roman" w:cs="Times New Roman"/>
          <w:b/>
          <w:sz w:val="28"/>
          <w:szCs w:val="28"/>
          <w:lang w:eastAsia="en-ZA"/>
        </w:rPr>
        <w:t>ORDER</w:t>
      </w:r>
    </w:p>
    <w:p w14:paraId="3627C0C8" w14:textId="58586575" w:rsidR="00AD1CFA" w:rsidRPr="00CB50D4" w:rsidRDefault="00AD1CFA" w:rsidP="00B23277">
      <w:pPr>
        <w:widowControl w:val="0"/>
        <w:autoSpaceDE w:val="0"/>
        <w:autoSpaceDN w:val="0"/>
        <w:adjustRightInd w:val="0"/>
        <w:spacing w:after="0" w:line="360" w:lineRule="auto"/>
        <w:ind w:left="1440" w:hanging="1440"/>
        <w:jc w:val="center"/>
        <w:rPr>
          <w:rFonts w:ascii="Times New Roman" w:eastAsiaTheme="minorEastAsia" w:hAnsi="Times New Roman" w:cs="Times New Roman"/>
          <w:sz w:val="28"/>
          <w:szCs w:val="28"/>
          <w:lang w:eastAsia="en-ZA"/>
        </w:rPr>
      </w:pPr>
      <w:r w:rsidRPr="00CB50D4">
        <w:rPr>
          <w:rFonts w:ascii="Times New Roman" w:eastAsiaTheme="minorEastAsia" w:hAnsi="Times New Roman" w:cs="Times New Roman"/>
          <w:b/>
          <w:sz w:val="28"/>
          <w:szCs w:val="28"/>
          <w:lang w:eastAsia="en-ZA"/>
        </w:rPr>
        <w:t>________________________________________________________________</w:t>
      </w:r>
    </w:p>
    <w:p w14:paraId="08D52CCD" w14:textId="77777777" w:rsidR="007D78DF" w:rsidRPr="00CB50D4" w:rsidRDefault="00AD1CFA" w:rsidP="007D78DF">
      <w:pPr>
        <w:widowControl w:val="0"/>
        <w:autoSpaceDE w:val="0"/>
        <w:autoSpaceDN w:val="0"/>
        <w:adjustRightInd w:val="0"/>
        <w:spacing w:after="120" w:line="360" w:lineRule="auto"/>
        <w:jc w:val="both"/>
        <w:rPr>
          <w:rFonts w:ascii="Times New Roman" w:eastAsiaTheme="minorEastAsia" w:hAnsi="Times New Roman" w:cs="Times New Roman"/>
          <w:sz w:val="28"/>
          <w:szCs w:val="28"/>
          <w:lang w:eastAsia="en-ZA"/>
        </w:rPr>
      </w:pPr>
      <w:r w:rsidRPr="00CB50D4">
        <w:rPr>
          <w:rFonts w:ascii="Times New Roman" w:eastAsiaTheme="minorEastAsia" w:hAnsi="Times New Roman" w:cs="Times New Roman"/>
          <w:b/>
          <w:sz w:val="28"/>
          <w:szCs w:val="28"/>
          <w:lang w:eastAsia="en-ZA"/>
        </w:rPr>
        <w:t>On appeal from:</w:t>
      </w:r>
      <w:r w:rsidRPr="00CB50D4">
        <w:rPr>
          <w:rFonts w:ascii="Times New Roman" w:eastAsiaTheme="minorEastAsia" w:hAnsi="Times New Roman" w:cs="Times New Roman"/>
          <w:sz w:val="28"/>
          <w:szCs w:val="28"/>
          <w:lang w:eastAsia="en-ZA"/>
        </w:rPr>
        <w:t xml:space="preserve"> </w:t>
      </w:r>
      <w:bookmarkStart w:id="3" w:name="_Hlk92393248"/>
      <w:r w:rsidRPr="00CB50D4">
        <w:rPr>
          <w:rFonts w:ascii="Times New Roman" w:eastAsiaTheme="minorEastAsia" w:hAnsi="Times New Roman" w:cs="Times New Roman"/>
          <w:sz w:val="28"/>
          <w:szCs w:val="28"/>
          <w:lang w:eastAsia="en-ZA"/>
        </w:rPr>
        <w:t xml:space="preserve">Gauteng </w:t>
      </w:r>
      <w:r w:rsidRPr="00CB50D4">
        <w:rPr>
          <w:rFonts w:ascii="Times New Roman" w:hAnsi="Times New Roman" w:cs="Times New Roman"/>
          <w:color w:val="0D0D0D"/>
          <w:sz w:val="28"/>
          <w:szCs w:val="28"/>
        </w:rPr>
        <w:t xml:space="preserve">Division </w:t>
      </w:r>
      <w:r w:rsidRPr="00CB50D4">
        <w:rPr>
          <w:rFonts w:ascii="Times New Roman" w:eastAsiaTheme="minorEastAsia" w:hAnsi="Times New Roman" w:cs="Times New Roman"/>
          <w:sz w:val="28"/>
          <w:szCs w:val="28"/>
          <w:lang w:eastAsia="en-ZA"/>
        </w:rPr>
        <w:t>of the High Court,</w:t>
      </w:r>
      <w:r w:rsidRPr="00CB50D4">
        <w:rPr>
          <w:rFonts w:ascii="Times New Roman" w:hAnsi="Times New Roman" w:cs="Times New Roman"/>
          <w:color w:val="0D0D0D"/>
          <w:sz w:val="28"/>
          <w:szCs w:val="28"/>
        </w:rPr>
        <w:t xml:space="preserve"> </w:t>
      </w:r>
      <w:bookmarkEnd w:id="3"/>
      <w:r w:rsidRPr="00CB50D4">
        <w:rPr>
          <w:rFonts w:ascii="Times New Roman" w:hAnsi="Times New Roman" w:cs="Times New Roman"/>
          <w:color w:val="0D0D0D"/>
          <w:sz w:val="28"/>
          <w:szCs w:val="28"/>
        </w:rPr>
        <w:t xml:space="preserve">Johannesburg </w:t>
      </w:r>
      <w:r w:rsidRPr="00CB50D4">
        <w:rPr>
          <w:rFonts w:ascii="Times New Roman" w:eastAsiaTheme="minorEastAsia" w:hAnsi="Times New Roman" w:cs="Times New Roman"/>
          <w:sz w:val="28"/>
          <w:szCs w:val="28"/>
          <w:lang w:eastAsia="en-ZA"/>
        </w:rPr>
        <w:t>(Mbongwe AJ, sitting as a court of first instance):</w:t>
      </w:r>
    </w:p>
    <w:p w14:paraId="63AB2AFA" w14:textId="047F9A08" w:rsidR="00B314F3" w:rsidRPr="00CB50D4" w:rsidRDefault="00B314F3" w:rsidP="007D78DF">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en-ZA"/>
        </w:rPr>
      </w:pPr>
      <w:r w:rsidRPr="00CB50D4">
        <w:rPr>
          <w:rFonts w:ascii="Times New Roman" w:eastAsiaTheme="minorEastAsia" w:hAnsi="Times New Roman" w:cs="Times New Roman"/>
          <w:sz w:val="28"/>
          <w:szCs w:val="28"/>
          <w:lang w:eastAsia="en-ZA"/>
        </w:rPr>
        <w:t>1   The appeal is dismissed.</w:t>
      </w:r>
      <w:r w:rsidR="00613145" w:rsidRPr="00CB50D4">
        <w:rPr>
          <w:rFonts w:ascii="Times New Roman" w:eastAsiaTheme="minorEastAsia" w:hAnsi="Times New Roman" w:cs="Times New Roman"/>
          <w:sz w:val="28"/>
          <w:szCs w:val="28"/>
          <w:lang w:eastAsia="en-ZA"/>
        </w:rPr>
        <w:t xml:space="preserve"> </w:t>
      </w:r>
    </w:p>
    <w:p w14:paraId="7C3E7C37" w14:textId="767513A5" w:rsidR="00153C48" w:rsidRPr="00CB50D4" w:rsidRDefault="00B314F3" w:rsidP="007D78DF">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en-ZA"/>
        </w:rPr>
      </w:pPr>
      <w:r w:rsidRPr="00CB50D4">
        <w:rPr>
          <w:rFonts w:ascii="Times New Roman" w:eastAsiaTheme="minorEastAsia" w:hAnsi="Times New Roman" w:cs="Times New Roman"/>
          <w:sz w:val="28"/>
          <w:szCs w:val="28"/>
          <w:lang w:eastAsia="en-ZA"/>
        </w:rPr>
        <w:t>2   There is</w:t>
      </w:r>
      <w:r w:rsidR="00613145" w:rsidRPr="00CB50D4">
        <w:rPr>
          <w:rFonts w:ascii="Times New Roman" w:eastAsiaTheme="minorEastAsia" w:hAnsi="Times New Roman" w:cs="Times New Roman"/>
          <w:sz w:val="28"/>
          <w:szCs w:val="28"/>
          <w:lang w:eastAsia="en-ZA"/>
        </w:rPr>
        <w:t xml:space="preserve"> no order as to costs.</w:t>
      </w:r>
    </w:p>
    <w:p w14:paraId="4B97DF06" w14:textId="5E00AB08" w:rsidR="00153C48" w:rsidRPr="00CB50D4" w:rsidRDefault="00A45BA1" w:rsidP="00A45BA1">
      <w:pPr>
        <w:widowControl w:val="0"/>
        <w:autoSpaceDE w:val="0"/>
        <w:autoSpaceDN w:val="0"/>
        <w:adjustRightInd w:val="0"/>
        <w:spacing w:after="120" w:line="360" w:lineRule="auto"/>
        <w:ind w:left="1440" w:hanging="1440"/>
        <w:jc w:val="center"/>
        <w:rPr>
          <w:rFonts w:ascii="Times New Roman" w:eastAsiaTheme="minorEastAsia" w:hAnsi="Times New Roman" w:cs="Times New Roman"/>
          <w:b/>
          <w:sz w:val="28"/>
          <w:szCs w:val="28"/>
          <w:lang w:eastAsia="en-ZA"/>
        </w:rPr>
      </w:pPr>
      <w:r w:rsidRPr="00CB50D4">
        <w:rPr>
          <w:rFonts w:ascii="Times New Roman" w:eastAsiaTheme="minorEastAsia" w:hAnsi="Times New Roman" w:cs="Times New Roman"/>
          <w:b/>
          <w:sz w:val="28"/>
          <w:szCs w:val="28"/>
          <w:lang w:eastAsia="en-ZA"/>
        </w:rPr>
        <w:t>__</w:t>
      </w:r>
      <w:r w:rsidR="00153C48" w:rsidRPr="00CB50D4">
        <w:rPr>
          <w:rFonts w:ascii="Times New Roman" w:eastAsiaTheme="minorEastAsia" w:hAnsi="Times New Roman" w:cs="Times New Roman"/>
          <w:b/>
          <w:sz w:val="28"/>
          <w:szCs w:val="28"/>
          <w:lang w:eastAsia="en-ZA"/>
        </w:rPr>
        <w:t>______________________________________________________________</w:t>
      </w:r>
    </w:p>
    <w:p w14:paraId="1C53D4A1" w14:textId="77777777" w:rsidR="00153C48" w:rsidRPr="00CB50D4" w:rsidRDefault="00153C48" w:rsidP="00A45BA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en-ZA"/>
        </w:rPr>
      </w:pPr>
      <w:r w:rsidRPr="00CB50D4">
        <w:rPr>
          <w:rFonts w:ascii="Times New Roman" w:eastAsiaTheme="minorEastAsia" w:hAnsi="Times New Roman" w:cs="Times New Roman"/>
          <w:b/>
          <w:sz w:val="28"/>
          <w:szCs w:val="28"/>
          <w:lang w:eastAsia="en-ZA"/>
        </w:rPr>
        <w:t>JUDGMENT</w:t>
      </w:r>
    </w:p>
    <w:p w14:paraId="5710EA18" w14:textId="7211617D" w:rsidR="00153C48" w:rsidRPr="00CB50D4" w:rsidRDefault="00A45BA1" w:rsidP="00A45BA1">
      <w:pPr>
        <w:widowControl w:val="0"/>
        <w:autoSpaceDE w:val="0"/>
        <w:autoSpaceDN w:val="0"/>
        <w:adjustRightInd w:val="0"/>
        <w:spacing w:after="0" w:line="240" w:lineRule="auto"/>
        <w:ind w:left="1440" w:hanging="1440"/>
        <w:jc w:val="center"/>
        <w:rPr>
          <w:rFonts w:ascii="Times New Roman" w:eastAsiaTheme="minorEastAsia" w:hAnsi="Times New Roman" w:cs="Times New Roman"/>
          <w:sz w:val="28"/>
          <w:szCs w:val="28"/>
          <w:lang w:eastAsia="en-ZA"/>
        </w:rPr>
      </w:pPr>
      <w:r w:rsidRPr="00CB50D4">
        <w:rPr>
          <w:rFonts w:ascii="Times New Roman" w:eastAsiaTheme="minorEastAsia" w:hAnsi="Times New Roman" w:cs="Times New Roman"/>
          <w:b/>
          <w:sz w:val="28"/>
          <w:szCs w:val="28"/>
          <w:lang w:eastAsia="en-ZA"/>
        </w:rPr>
        <w:t>__</w:t>
      </w:r>
      <w:r w:rsidR="00153C48" w:rsidRPr="00CB50D4">
        <w:rPr>
          <w:rFonts w:ascii="Times New Roman" w:eastAsiaTheme="minorEastAsia" w:hAnsi="Times New Roman" w:cs="Times New Roman"/>
          <w:b/>
          <w:sz w:val="28"/>
          <w:szCs w:val="28"/>
          <w:lang w:eastAsia="en-ZA"/>
        </w:rPr>
        <w:t>______________________________________________________________</w:t>
      </w:r>
    </w:p>
    <w:p w14:paraId="3EF1911B" w14:textId="77777777" w:rsidR="00153C48" w:rsidRPr="00CB50D4" w:rsidRDefault="00153C48" w:rsidP="00153C48">
      <w:pPr>
        <w:spacing w:after="0" w:line="240" w:lineRule="auto"/>
        <w:rPr>
          <w:rFonts w:ascii="Times New Roman" w:hAnsi="Times New Roman" w:cs="Times New Roman"/>
          <w:sz w:val="28"/>
          <w:szCs w:val="28"/>
        </w:rPr>
      </w:pPr>
    </w:p>
    <w:p w14:paraId="540B37A8" w14:textId="4B3A60C0" w:rsidR="00613145" w:rsidRPr="00CB50D4" w:rsidRDefault="00153C48" w:rsidP="00AF77FD">
      <w:pPr>
        <w:widowControl w:val="0"/>
        <w:autoSpaceDE w:val="0"/>
        <w:autoSpaceDN w:val="0"/>
        <w:adjustRightInd w:val="0"/>
        <w:spacing w:after="120" w:line="360" w:lineRule="auto"/>
        <w:jc w:val="both"/>
        <w:rPr>
          <w:rFonts w:ascii="Times New Roman" w:eastAsiaTheme="minorEastAsia" w:hAnsi="Times New Roman" w:cs="Times New Roman"/>
          <w:sz w:val="28"/>
          <w:szCs w:val="28"/>
          <w:lang w:eastAsia="en-ZA"/>
        </w:rPr>
      </w:pPr>
      <w:r w:rsidRPr="00CB50D4">
        <w:rPr>
          <w:rFonts w:ascii="Times New Roman" w:hAnsi="Times New Roman" w:cs="Times New Roman"/>
          <w:b/>
          <w:bCs/>
          <w:sz w:val="28"/>
          <w:szCs w:val="28"/>
        </w:rPr>
        <w:t>Makgoka JA (</w:t>
      </w:r>
      <w:r w:rsidR="009B0402" w:rsidRPr="00CB50D4">
        <w:rPr>
          <w:rFonts w:ascii="Times New Roman" w:eastAsiaTheme="minorEastAsia" w:hAnsi="Times New Roman" w:cs="Times New Roman"/>
          <w:sz w:val="28"/>
          <w:szCs w:val="28"/>
          <w:lang w:eastAsia="en-ZA"/>
        </w:rPr>
        <w:t>Van d</w:t>
      </w:r>
      <w:r w:rsidR="00C64EA8" w:rsidRPr="00CB50D4">
        <w:rPr>
          <w:rFonts w:ascii="Times New Roman" w:eastAsiaTheme="minorEastAsia" w:hAnsi="Times New Roman" w:cs="Times New Roman"/>
          <w:sz w:val="28"/>
          <w:szCs w:val="28"/>
          <w:lang w:eastAsia="en-ZA"/>
        </w:rPr>
        <w:t xml:space="preserve">er Merwe and Hughes </w:t>
      </w:r>
      <w:r w:rsidR="00AF77FD" w:rsidRPr="0090088F">
        <w:rPr>
          <w:rFonts w:ascii="Times New Roman" w:eastAsiaTheme="minorEastAsia" w:hAnsi="Times New Roman" w:cs="Times New Roman"/>
          <w:sz w:val="28"/>
          <w:szCs w:val="28"/>
          <w:lang w:eastAsia="en-ZA"/>
        </w:rPr>
        <w:t>JJA</w:t>
      </w:r>
      <w:r w:rsidR="00AF77FD">
        <w:rPr>
          <w:rFonts w:ascii="Times New Roman" w:eastAsiaTheme="minorEastAsia" w:hAnsi="Times New Roman" w:cs="Times New Roman"/>
          <w:sz w:val="28"/>
          <w:szCs w:val="28"/>
          <w:lang w:eastAsia="en-ZA"/>
        </w:rPr>
        <w:t xml:space="preserve"> </w:t>
      </w:r>
      <w:r w:rsidR="00C64EA8" w:rsidRPr="00CB50D4">
        <w:rPr>
          <w:rFonts w:ascii="Times New Roman" w:eastAsiaTheme="minorEastAsia" w:hAnsi="Times New Roman" w:cs="Times New Roman"/>
          <w:sz w:val="28"/>
          <w:szCs w:val="28"/>
          <w:lang w:eastAsia="en-ZA"/>
        </w:rPr>
        <w:t xml:space="preserve">and </w:t>
      </w:r>
      <w:r w:rsidR="00C64EA8" w:rsidRPr="00CB50D4">
        <w:rPr>
          <w:rFonts w:ascii="Times New Roman" w:hAnsi="Times New Roman" w:cs="Times New Roman"/>
          <w:sz w:val="28"/>
          <w:szCs w:val="28"/>
        </w:rPr>
        <w:t>Basson and Windell AJJA</w:t>
      </w:r>
      <w:r w:rsidR="00AF77FD">
        <w:rPr>
          <w:rFonts w:ascii="Times New Roman" w:hAnsi="Times New Roman" w:cs="Times New Roman"/>
          <w:sz w:val="28"/>
          <w:szCs w:val="28"/>
        </w:rPr>
        <w:t xml:space="preserve"> </w:t>
      </w:r>
      <w:r w:rsidRPr="00CB50D4">
        <w:rPr>
          <w:rFonts w:ascii="Times New Roman" w:hAnsi="Times New Roman" w:cs="Times New Roman"/>
          <w:b/>
          <w:bCs/>
          <w:sz w:val="28"/>
          <w:szCs w:val="28"/>
        </w:rPr>
        <w:t>concurring):</w:t>
      </w:r>
    </w:p>
    <w:p w14:paraId="0DB91B96" w14:textId="72B69CD3" w:rsidR="00AD2A72" w:rsidRPr="00CB50D4" w:rsidDel="007720BC" w:rsidRDefault="008E72F8" w:rsidP="007720BC">
      <w:pPr>
        <w:numPr>
          <w:ilvl w:val="0"/>
          <w:numId w:val="1"/>
        </w:numPr>
        <w:shd w:val="clear" w:color="auto" w:fill="FFFFFF"/>
        <w:spacing w:before="120" w:after="1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 xml:space="preserve">On </w:t>
      </w:r>
      <w:r w:rsidR="00153C48" w:rsidRPr="00CB50D4">
        <w:rPr>
          <w:rFonts w:ascii="Times New Roman" w:hAnsi="Times New Roman" w:cs="Times New Roman"/>
          <w:sz w:val="28"/>
          <w:szCs w:val="28"/>
        </w:rPr>
        <w:t xml:space="preserve">8 November 2022 when </w:t>
      </w:r>
      <w:r w:rsidR="00020299" w:rsidRPr="00CB50D4">
        <w:rPr>
          <w:rFonts w:ascii="Times New Roman" w:hAnsi="Times New Roman" w:cs="Times New Roman"/>
          <w:sz w:val="28"/>
          <w:szCs w:val="28"/>
        </w:rPr>
        <w:t xml:space="preserve">this matter was called, counsel for the appellant, Pioneer Foods (Pty) Ltd (Pioneer) and </w:t>
      </w:r>
      <w:r w:rsidR="007D78DF" w:rsidRPr="00CB50D4">
        <w:rPr>
          <w:rFonts w:ascii="Times New Roman" w:hAnsi="Times New Roman" w:cs="Times New Roman"/>
          <w:sz w:val="28"/>
          <w:szCs w:val="28"/>
        </w:rPr>
        <w:t xml:space="preserve">for </w:t>
      </w:r>
      <w:r w:rsidR="00020299" w:rsidRPr="00CB50D4">
        <w:rPr>
          <w:rFonts w:ascii="Times New Roman" w:hAnsi="Times New Roman" w:cs="Times New Roman"/>
          <w:sz w:val="28"/>
          <w:szCs w:val="28"/>
        </w:rPr>
        <w:t>the first respondent, Eskom Holdings Soc Limited (Eskom)</w:t>
      </w:r>
      <w:r w:rsidR="00153C48" w:rsidRPr="00CB50D4">
        <w:rPr>
          <w:rStyle w:val="FootnoteReference"/>
          <w:rFonts w:ascii="Times New Roman" w:hAnsi="Times New Roman" w:cs="Times New Roman"/>
          <w:sz w:val="28"/>
          <w:szCs w:val="28"/>
        </w:rPr>
        <w:footnoteReference w:id="1"/>
      </w:r>
      <w:r w:rsidR="00153C48" w:rsidRPr="00CB50D4">
        <w:rPr>
          <w:rFonts w:ascii="Times New Roman" w:hAnsi="Times New Roman" w:cs="Times New Roman"/>
          <w:sz w:val="28"/>
          <w:szCs w:val="28"/>
        </w:rPr>
        <w:t xml:space="preserve"> </w:t>
      </w:r>
      <w:r w:rsidR="00020299" w:rsidRPr="00CB50D4">
        <w:rPr>
          <w:rFonts w:ascii="Times New Roman" w:hAnsi="Times New Roman" w:cs="Times New Roman"/>
          <w:sz w:val="28"/>
          <w:szCs w:val="28"/>
        </w:rPr>
        <w:t xml:space="preserve">were invited to address </w:t>
      </w:r>
      <w:r w:rsidR="00153C48" w:rsidRPr="00CB50D4">
        <w:rPr>
          <w:rFonts w:ascii="Times New Roman" w:hAnsi="Times New Roman" w:cs="Times New Roman"/>
          <w:sz w:val="28"/>
          <w:szCs w:val="28"/>
        </w:rPr>
        <w:t xml:space="preserve">the </w:t>
      </w:r>
      <w:r w:rsidR="0040079F" w:rsidRPr="00CB50D4">
        <w:rPr>
          <w:rFonts w:ascii="Times New Roman" w:hAnsi="Times New Roman" w:cs="Times New Roman"/>
          <w:sz w:val="28"/>
          <w:szCs w:val="28"/>
        </w:rPr>
        <w:t xml:space="preserve">Court on the </w:t>
      </w:r>
      <w:r w:rsidR="00153C48" w:rsidRPr="00CB50D4">
        <w:rPr>
          <w:rFonts w:ascii="Times New Roman" w:hAnsi="Times New Roman" w:cs="Times New Roman"/>
          <w:sz w:val="28"/>
          <w:szCs w:val="28"/>
        </w:rPr>
        <w:t xml:space="preserve">submission by Eskom in its heads of argument that </w:t>
      </w:r>
      <w:r w:rsidR="00020299" w:rsidRPr="00CB50D4">
        <w:rPr>
          <w:rFonts w:ascii="Times New Roman" w:hAnsi="Times New Roman" w:cs="Times New Roman"/>
          <w:sz w:val="28"/>
          <w:szCs w:val="28"/>
        </w:rPr>
        <w:t>the appeal ha</w:t>
      </w:r>
      <w:r w:rsidR="008A2297" w:rsidRPr="00CB50D4">
        <w:rPr>
          <w:rFonts w:ascii="Times New Roman" w:hAnsi="Times New Roman" w:cs="Times New Roman"/>
          <w:sz w:val="28"/>
          <w:szCs w:val="28"/>
        </w:rPr>
        <w:t>d</w:t>
      </w:r>
      <w:r w:rsidR="00020299" w:rsidRPr="00CB50D4">
        <w:rPr>
          <w:rFonts w:ascii="Times New Roman" w:hAnsi="Times New Roman" w:cs="Times New Roman"/>
          <w:sz w:val="28"/>
          <w:szCs w:val="28"/>
        </w:rPr>
        <w:t xml:space="preserve"> become moot. Upon hearing counsel, this </w:t>
      </w:r>
      <w:r w:rsidRPr="00CB50D4">
        <w:rPr>
          <w:rFonts w:ascii="Times New Roman" w:hAnsi="Times New Roman" w:cs="Times New Roman"/>
          <w:sz w:val="28"/>
          <w:szCs w:val="28"/>
        </w:rPr>
        <w:t xml:space="preserve">Court dismissed </w:t>
      </w:r>
      <w:r w:rsidR="00020299" w:rsidRPr="00CB50D4">
        <w:rPr>
          <w:rFonts w:ascii="Times New Roman" w:hAnsi="Times New Roman" w:cs="Times New Roman"/>
          <w:sz w:val="28"/>
          <w:szCs w:val="28"/>
        </w:rPr>
        <w:t>Pioneer’s appeal</w:t>
      </w:r>
      <w:r w:rsidRPr="00CB50D4">
        <w:rPr>
          <w:rFonts w:ascii="Times New Roman" w:hAnsi="Times New Roman" w:cs="Times New Roman"/>
          <w:sz w:val="28"/>
          <w:szCs w:val="28"/>
        </w:rPr>
        <w:t xml:space="preserve"> with no orde</w:t>
      </w:r>
      <w:r w:rsidR="00020299" w:rsidRPr="00CB50D4">
        <w:rPr>
          <w:rFonts w:ascii="Times New Roman" w:hAnsi="Times New Roman" w:cs="Times New Roman"/>
          <w:sz w:val="28"/>
          <w:szCs w:val="28"/>
        </w:rPr>
        <w:t xml:space="preserve">r as to costs, and undertook </w:t>
      </w:r>
      <w:r w:rsidR="00153C48" w:rsidRPr="00CB50D4">
        <w:rPr>
          <w:rFonts w:ascii="Times New Roman" w:hAnsi="Times New Roman" w:cs="Times New Roman"/>
          <w:sz w:val="28"/>
          <w:szCs w:val="28"/>
        </w:rPr>
        <w:t xml:space="preserve">to furnish reasons later. </w:t>
      </w:r>
      <w:r w:rsidRPr="00CB50D4">
        <w:rPr>
          <w:rFonts w:ascii="Times New Roman" w:hAnsi="Times New Roman" w:cs="Times New Roman"/>
          <w:sz w:val="28"/>
          <w:szCs w:val="28"/>
        </w:rPr>
        <w:t xml:space="preserve">These are the </w:t>
      </w:r>
      <w:r w:rsidR="00020299" w:rsidRPr="00CB50D4">
        <w:rPr>
          <w:rFonts w:ascii="Times New Roman" w:hAnsi="Times New Roman" w:cs="Times New Roman"/>
          <w:sz w:val="28"/>
          <w:szCs w:val="28"/>
        </w:rPr>
        <w:t>reasons</w:t>
      </w:r>
      <w:r w:rsidR="007D78DF" w:rsidRPr="00CB50D4">
        <w:rPr>
          <w:rFonts w:ascii="Times New Roman" w:hAnsi="Times New Roman" w:cs="Times New Roman"/>
          <w:sz w:val="28"/>
          <w:szCs w:val="28"/>
        </w:rPr>
        <w:t xml:space="preserve"> for the order, which are premised on our finding that the appeal has become moot, and that there is no basis to exercise this Court’s discretion to hear it. </w:t>
      </w:r>
      <w:r w:rsidR="00AD2A72" w:rsidRPr="00CB50D4" w:rsidDel="007720BC">
        <w:rPr>
          <w:rFonts w:ascii="Times New Roman" w:hAnsi="Times New Roman" w:cs="Times New Roman"/>
          <w:sz w:val="28"/>
          <w:szCs w:val="28"/>
        </w:rPr>
        <w:t>Section 16(2)(</w:t>
      </w:r>
      <w:r w:rsidR="00AD2A72" w:rsidRPr="00CB50D4" w:rsidDel="007720BC">
        <w:rPr>
          <w:rFonts w:ascii="Times New Roman" w:hAnsi="Times New Roman" w:cs="Times New Roman"/>
          <w:i/>
          <w:sz w:val="28"/>
          <w:szCs w:val="28"/>
        </w:rPr>
        <w:t>a</w:t>
      </w:r>
      <w:r w:rsidR="00AD2A72" w:rsidRPr="00CB50D4" w:rsidDel="007720BC">
        <w:rPr>
          <w:rFonts w:ascii="Times New Roman" w:hAnsi="Times New Roman" w:cs="Times New Roman"/>
          <w:sz w:val="28"/>
          <w:szCs w:val="28"/>
        </w:rPr>
        <w:t>)</w:t>
      </w:r>
      <w:r w:rsidR="00923214" w:rsidRPr="00CB50D4" w:rsidDel="007720BC">
        <w:rPr>
          <w:rFonts w:ascii="Times New Roman" w:hAnsi="Times New Roman" w:cs="Times New Roman"/>
          <w:sz w:val="28"/>
          <w:szCs w:val="28"/>
        </w:rPr>
        <w:t>(i)</w:t>
      </w:r>
      <w:r w:rsidR="00AD2A72" w:rsidRPr="00CB50D4" w:rsidDel="007720BC">
        <w:rPr>
          <w:rFonts w:ascii="Times New Roman" w:hAnsi="Times New Roman" w:cs="Times New Roman"/>
          <w:sz w:val="28"/>
          <w:szCs w:val="28"/>
        </w:rPr>
        <w:t xml:space="preserve"> of the Superior Courts Act 10 of 2013 provides that:</w:t>
      </w:r>
    </w:p>
    <w:p w14:paraId="0B4DBE16" w14:textId="2EB4C428" w:rsidR="00562BA3" w:rsidRPr="00F2508D" w:rsidRDefault="00A45BA1" w:rsidP="009B0402">
      <w:pPr>
        <w:shd w:val="clear" w:color="auto" w:fill="FFFFFF"/>
        <w:spacing w:before="120" w:after="120" w:line="360" w:lineRule="auto"/>
        <w:contextualSpacing/>
        <w:jc w:val="both"/>
        <w:rPr>
          <w:rFonts w:ascii="Times New Roman" w:hAnsi="Times New Roman" w:cs="Times New Roman"/>
          <w:sz w:val="24"/>
          <w:szCs w:val="24"/>
        </w:rPr>
      </w:pPr>
      <w:r w:rsidRPr="00F2508D" w:rsidDel="007720BC">
        <w:rPr>
          <w:rFonts w:ascii="Times New Roman" w:hAnsi="Times New Roman" w:cs="Times New Roman"/>
          <w:sz w:val="24"/>
          <w:szCs w:val="24"/>
        </w:rPr>
        <w:t>‘</w:t>
      </w:r>
      <w:r w:rsidR="00AD2A72" w:rsidRPr="00F2508D" w:rsidDel="007720BC">
        <w:rPr>
          <w:rFonts w:ascii="Times New Roman" w:hAnsi="Times New Roman" w:cs="Times New Roman"/>
          <w:sz w:val="24"/>
          <w:szCs w:val="24"/>
        </w:rPr>
        <w:t>When at the hearing of an appeal the issues are of such a nature that the decision sought will have no practical effect or result, the appeal may be dismissed on this ground alone.</w:t>
      </w:r>
      <w:r w:rsidR="00153C48" w:rsidRPr="00F2508D" w:rsidDel="007720BC">
        <w:rPr>
          <w:rFonts w:ascii="Times New Roman" w:hAnsi="Times New Roman" w:cs="Times New Roman"/>
          <w:sz w:val="24"/>
          <w:szCs w:val="24"/>
        </w:rPr>
        <w:t>’</w:t>
      </w:r>
    </w:p>
    <w:p w14:paraId="5F7719D2" w14:textId="77777777" w:rsidR="003B2B11" w:rsidRPr="00CB50D4" w:rsidRDefault="003B2B11" w:rsidP="009B0402">
      <w:pPr>
        <w:shd w:val="clear" w:color="auto" w:fill="FFFFFF"/>
        <w:spacing w:before="120" w:after="120" w:line="360" w:lineRule="auto"/>
        <w:contextualSpacing/>
        <w:jc w:val="both"/>
        <w:rPr>
          <w:rFonts w:ascii="Times New Roman" w:hAnsi="Times New Roman" w:cs="Times New Roman"/>
          <w:sz w:val="28"/>
          <w:szCs w:val="28"/>
        </w:rPr>
      </w:pPr>
    </w:p>
    <w:p w14:paraId="3AC5E903" w14:textId="43BC40C7" w:rsidR="00300713" w:rsidRPr="00CB50D4" w:rsidRDefault="00300713" w:rsidP="00EE6D86">
      <w:pPr>
        <w:numPr>
          <w:ilvl w:val="0"/>
          <w:numId w:val="1"/>
        </w:numPr>
        <w:shd w:val="clear" w:color="auto" w:fill="FFFFFF"/>
        <w:spacing w:before="120" w:after="108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Pioneer appeal</w:t>
      </w:r>
      <w:r w:rsidR="008A2297" w:rsidRPr="00CB50D4">
        <w:rPr>
          <w:rFonts w:ascii="Times New Roman" w:hAnsi="Times New Roman" w:cs="Times New Roman"/>
          <w:sz w:val="28"/>
          <w:szCs w:val="28"/>
        </w:rPr>
        <w:t>ed</w:t>
      </w:r>
      <w:r w:rsidRPr="00CB50D4">
        <w:rPr>
          <w:rFonts w:ascii="Times New Roman" w:hAnsi="Times New Roman" w:cs="Times New Roman"/>
          <w:sz w:val="28"/>
          <w:szCs w:val="28"/>
        </w:rPr>
        <w:t xml:space="preserve">, with the leave of this Court, against the order of the Gauteng Division of the High Court, Johannesburg (the high court) which </w:t>
      </w:r>
      <w:r w:rsidRPr="00CB50D4">
        <w:rPr>
          <w:rFonts w:ascii="Times New Roman" w:hAnsi="Times New Roman" w:cs="Times New Roman"/>
          <w:sz w:val="28"/>
          <w:szCs w:val="28"/>
        </w:rPr>
        <w:lastRenderedPageBreak/>
        <w:t>dismissed its application to review and set aside certain decisions of Eskom to implement intermittent electricity supply interruptions in the area of jurisdiction of the second respondent, the Walter Sisulu Local Municipality (the Municipality)</w:t>
      </w:r>
      <w:r w:rsidR="00E25864" w:rsidRPr="00CB50D4">
        <w:rPr>
          <w:rFonts w:ascii="Times New Roman" w:hAnsi="Times New Roman" w:cs="Times New Roman"/>
          <w:sz w:val="28"/>
          <w:szCs w:val="28"/>
        </w:rPr>
        <w:t>.</w:t>
      </w:r>
      <w:r w:rsidRPr="00CB50D4">
        <w:rPr>
          <w:rFonts w:ascii="Times New Roman" w:hAnsi="Times New Roman" w:cs="Times New Roman"/>
          <w:sz w:val="28"/>
          <w:szCs w:val="28"/>
        </w:rPr>
        <w:t xml:space="preserve"> </w:t>
      </w:r>
    </w:p>
    <w:p w14:paraId="72953550" w14:textId="77777777" w:rsidR="00E25864" w:rsidRPr="00CB50D4" w:rsidRDefault="00E25864" w:rsidP="00E25864">
      <w:pPr>
        <w:shd w:val="clear" w:color="auto" w:fill="FFFFFF"/>
        <w:spacing w:before="120" w:after="1080" w:line="360" w:lineRule="auto"/>
        <w:contextualSpacing/>
        <w:jc w:val="both"/>
        <w:rPr>
          <w:rFonts w:ascii="Times New Roman" w:hAnsi="Times New Roman" w:cs="Times New Roman"/>
          <w:strike/>
          <w:sz w:val="28"/>
          <w:szCs w:val="28"/>
        </w:rPr>
      </w:pPr>
    </w:p>
    <w:p w14:paraId="6A5BE708" w14:textId="280DF174" w:rsidR="0098412B" w:rsidRPr="00CB50D4" w:rsidRDefault="00290DB0" w:rsidP="00A45BA1">
      <w:pPr>
        <w:numPr>
          <w:ilvl w:val="0"/>
          <w:numId w:val="1"/>
        </w:numPr>
        <w:shd w:val="clear" w:color="auto" w:fill="FFFFFF"/>
        <w:spacing w:before="120" w:after="108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 xml:space="preserve">Eskom supplies electricity to the </w:t>
      </w:r>
      <w:r w:rsidR="000E0E43" w:rsidRPr="00CB50D4">
        <w:rPr>
          <w:rFonts w:ascii="Times New Roman" w:hAnsi="Times New Roman" w:cs="Times New Roman"/>
          <w:sz w:val="28"/>
          <w:szCs w:val="28"/>
        </w:rPr>
        <w:t>M</w:t>
      </w:r>
      <w:r w:rsidR="00E25864" w:rsidRPr="00CB50D4">
        <w:rPr>
          <w:rFonts w:ascii="Times New Roman" w:hAnsi="Times New Roman" w:cs="Times New Roman"/>
          <w:sz w:val="28"/>
          <w:szCs w:val="28"/>
        </w:rPr>
        <w:t>unicipality</w:t>
      </w:r>
      <w:r w:rsidRPr="00CB50D4">
        <w:rPr>
          <w:rFonts w:ascii="Times New Roman" w:hAnsi="Times New Roman" w:cs="Times New Roman"/>
          <w:sz w:val="28"/>
          <w:szCs w:val="28"/>
        </w:rPr>
        <w:t xml:space="preserve">, which, in turn, distributes </w:t>
      </w:r>
      <w:r w:rsidR="000E0E43" w:rsidRPr="00CB50D4">
        <w:rPr>
          <w:rFonts w:ascii="Times New Roman" w:hAnsi="Times New Roman" w:cs="Times New Roman"/>
          <w:sz w:val="28"/>
          <w:szCs w:val="28"/>
        </w:rPr>
        <w:t>electricity</w:t>
      </w:r>
      <w:r w:rsidRPr="00CB50D4">
        <w:rPr>
          <w:rFonts w:ascii="Times New Roman" w:hAnsi="Times New Roman" w:cs="Times New Roman"/>
          <w:sz w:val="28"/>
          <w:szCs w:val="28"/>
        </w:rPr>
        <w:t xml:space="preserve"> to the end-</w:t>
      </w:r>
      <w:r w:rsidR="008A2297" w:rsidRPr="00CB50D4">
        <w:rPr>
          <w:rFonts w:ascii="Times New Roman" w:hAnsi="Times New Roman" w:cs="Times New Roman"/>
          <w:sz w:val="28"/>
          <w:szCs w:val="28"/>
        </w:rPr>
        <w:t>users</w:t>
      </w:r>
      <w:r w:rsidRPr="00CB50D4">
        <w:rPr>
          <w:rFonts w:ascii="Times New Roman" w:hAnsi="Times New Roman" w:cs="Times New Roman"/>
          <w:sz w:val="28"/>
          <w:szCs w:val="28"/>
        </w:rPr>
        <w:t xml:space="preserve"> in its area of jurisdiction. The Municipality fell into arrears with payment for electricity to Eskom. The arrears eventually amounted to </w:t>
      </w:r>
      <w:r w:rsidR="000E0E43" w:rsidRPr="00CB50D4">
        <w:rPr>
          <w:rFonts w:ascii="Times New Roman" w:hAnsi="Times New Roman" w:cs="Times New Roman"/>
          <w:sz w:val="28"/>
          <w:szCs w:val="28"/>
        </w:rPr>
        <w:t>over R100</w:t>
      </w:r>
      <w:r w:rsidRPr="00CB50D4">
        <w:rPr>
          <w:rFonts w:ascii="Times New Roman" w:hAnsi="Times New Roman" w:cs="Times New Roman"/>
          <w:sz w:val="28"/>
          <w:szCs w:val="28"/>
        </w:rPr>
        <w:t>m. As part of its measure to exert pressure on the Municipality to pay the arrears, Eskom</w:t>
      </w:r>
      <w:r w:rsidR="00BF0779" w:rsidRPr="00CB50D4">
        <w:rPr>
          <w:rFonts w:ascii="Times New Roman" w:hAnsi="Times New Roman" w:cs="Times New Roman"/>
          <w:sz w:val="28"/>
          <w:szCs w:val="28"/>
        </w:rPr>
        <w:t xml:space="preserve"> took decisions to</w:t>
      </w:r>
      <w:r w:rsidRPr="00CB50D4">
        <w:rPr>
          <w:rFonts w:ascii="Times New Roman" w:hAnsi="Times New Roman" w:cs="Times New Roman"/>
          <w:sz w:val="28"/>
          <w:szCs w:val="28"/>
        </w:rPr>
        <w:t xml:space="preserve"> implement intermittent electricity supply interruptions in </w:t>
      </w:r>
      <w:r w:rsidR="00715A27" w:rsidRPr="00CB50D4">
        <w:rPr>
          <w:rFonts w:ascii="Times New Roman" w:hAnsi="Times New Roman" w:cs="Times New Roman"/>
          <w:sz w:val="28"/>
          <w:szCs w:val="28"/>
        </w:rPr>
        <w:t xml:space="preserve">the area of jurisdiction of the </w:t>
      </w:r>
      <w:r w:rsidRPr="00CB50D4">
        <w:rPr>
          <w:rFonts w:ascii="Times New Roman" w:hAnsi="Times New Roman" w:cs="Times New Roman"/>
          <w:sz w:val="28"/>
          <w:szCs w:val="28"/>
        </w:rPr>
        <w:t xml:space="preserve">Municipality </w:t>
      </w:r>
      <w:r w:rsidR="00715A27" w:rsidRPr="00CB50D4">
        <w:rPr>
          <w:rFonts w:ascii="Times New Roman" w:hAnsi="Times New Roman" w:cs="Times New Roman"/>
          <w:sz w:val="28"/>
          <w:szCs w:val="28"/>
        </w:rPr>
        <w:t>b</w:t>
      </w:r>
      <w:r w:rsidRPr="00CB50D4">
        <w:rPr>
          <w:rFonts w:ascii="Times New Roman" w:hAnsi="Times New Roman" w:cs="Times New Roman"/>
          <w:sz w:val="28"/>
          <w:szCs w:val="28"/>
        </w:rPr>
        <w:t>etween July</w:t>
      </w:r>
      <w:r w:rsidR="00E25864" w:rsidRPr="00CB50D4">
        <w:rPr>
          <w:rFonts w:ascii="Times New Roman" w:hAnsi="Times New Roman" w:cs="Times New Roman"/>
          <w:sz w:val="28"/>
          <w:szCs w:val="28"/>
        </w:rPr>
        <w:t xml:space="preserve"> 2017 and January</w:t>
      </w:r>
      <w:r w:rsidRPr="00CB50D4">
        <w:rPr>
          <w:rFonts w:ascii="Times New Roman" w:hAnsi="Times New Roman" w:cs="Times New Roman"/>
          <w:sz w:val="28"/>
          <w:szCs w:val="28"/>
        </w:rPr>
        <w:t xml:space="preserve"> </w:t>
      </w:r>
      <w:r w:rsidR="00E25864" w:rsidRPr="00CB50D4">
        <w:rPr>
          <w:rFonts w:ascii="Times New Roman" w:hAnsi="Times New Roman" w:cs="Times New Roman"/>
          <w:sz w:val="28"/>
          <w:szCs w:val="28"/>
        </w:rPr>
        <w:t>2018</w:t>
      </w:r>
      <w:r w:rsidR="00BF0779" w:rsidRPr="00CB50D4">
        <w:rPr>
          <w:rFonts w:ascii="Times New Roman" w:hAnsi="Times New Roman" w:cs="Times New Roman"/>
          <w:sz w:val="28"/>
          <w:szCs w:val="28"/>
        </w:rPr>
        <w:t xml:space="preserve"> (the impugned decisions)</w:t>
      </w:r>
      <w:r w:rsidR="00715A27" w:rsidRPr="00CB50D4">
        <w:rPr>
          <w:rFonts w:ascii="Times New Roman" w:hAnsi="Times New Roman" w:cs="Times New Roman"/>
          <w:sz w:val="28"/>
          <w:szCs w:val="28"/>
        </w:rPr>
        <w:t>.</w:t>
      </w:r>
      <w:r w:rsidR="00CB7C5A" w:rsidRPr="00CB50D4">
        <w:rPr>
          <w:rFonts w:ascii="Times New Roman" w:hAnsi="Times New Roman" w:cs="Times New Roman"/>
          <w:sz w:val="28"/>
          <w:szCs w:val="28"/>
        </w:rPr>
        <w:t xml:space="preserve"> The notices for </w:t>
      </w:r>
      <w:r w:rsidRPr="00CB50D4">
        <w:rPr>
          <w:rFonts w:ascii="Times New Roman" w:hAnsi="Times New Roman" w:cs="Times New Roman"/>
          <w:sz w:val="28"/>
          <w:szCs w:val="28"/>
        </w:rPr>
        <w:t xml:space="preserve">the interruptions were published by Eskom in local newspapers. </w:t>
      </w:r>
    </w:p>
    <w:p w14:paraId="5092C981" w14:textId="77777777" w:rsidR="00A45BA1" w:rsidRPr="00CB50D4" w:rsidRDefault="00A45BA1" w:rsidP="00A45BA1">
      <w:pPr>
        <w:shd w:val="clear" w:color="auto" w:fill="FFFFFF"/>
        <w:spacing w:before="120" w:after="1080" w:line="360" w:lineRule="auto"/>
        <w:contextualSpacing/>
        <w:jc w:val="both"/>
        <w:rPr>
          <w:rFonts w:ascii="Times New Roman" w:hAnsi="Times New Roman" w:cs="Times New Roman"/>
          <w:strike/>
          <w:sz w:val="28"/>
          <w:szCs w:val="28"/>
        </w:rPr>
      </w:pPr>
    </w:p>
    <w:p w14:paraId="1A8050A1" w14:textId="65608DBA" w:rsidR="00300713" w:rsidRPr="00CB50D4" w:rsidRDefault="00290DB0" w:rsidP="00562BA3">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 xml:space="preserve">Pioneer </w:t>
      </w:r>
      <w:r w:rsidR="004252EE" w:rsidRPr="00CB50D4">
        <w:rPr>
          <w:rFonts w:ascii="Times New Roman" w:hAnsi="Times New Roman" w:cs="Times New Roman"/>
          <w:sz w:val="28"/>
          <w:szCs w:val="28"/>
        </w:rPr>
        <w:t xml:space="preserve">is </w:t>
      </w:r>
      <w:r w:rsidRPr="00CB50D4">
        <w:rPr>
          <w:rFonts w:ascii="Times New Roman" w:hAnsi="Times New Roman" w:cs="Times New Roman"/>
          <w:sz w:val="28"/>
          <w:szCs w:val="28"/>
        </w:rPr>
        <w:t>a producer of food and beverages</w:t>
      </w:r>
      <w:r w:rsidR="007D78DF" w:rsidRPr="00CB50D4">
        <w:rPr>
          <w:rFonts w:ascii="Times New Roman" w:hAnsi="Times New Roman" w:cs="Times New Roman"/>
          <w:sz w:val="28"/>
          <w:szCs w:val="28"/>
        </w:rPr>
        <w:t>. It</w:t>
      </w:r>
      <w:r w:rsidRPr="00CB50D4">
        <w:rPr>
          <w:rFonts w:ascii="Times New Roman" w:hAnsi="Times New Roman" w:cs="Times New Roman"/>
          <w:sz w:val="28"/>
          <w:szCs w:val="28"/>
        </w:rPr>
        <w:t xml:space="preserve"> runs a maize mill loca</w:t>
      </w:r>
      <w:r w:rsidR="007D78DF" w:rsidRPr="00CB50D4">
        <w:rPr>
          <w:rFonts w:ascii="Times New Roman" w:hAnsi="Times New Roman" w:cs="Times New Roman"/>
          <w:sz w:val="28"/>
          <w:szCs w:val="28"/>
        </w:rPr>
        <w:t xml:space="preserve">ted within the </w:t>
      </w:r>
      <w:r w:rsidR="00574235" w:rsidRPr="00CB50D4">
        <w:rPr>
          <w:rFonts w:ascii="Times New Roman" w:hAnsi="Times New Roman" w:cs="Times New Roman"/>
          <w:sz w:val="28"/>
          <w:szCs w:val="28"/>
        </w:rPr>
        <w:t xml:space="preserve">area of the </w:t>
      </w:r>
      <w:r w:rsidR="00E25864" w:rsidRPr="00CB50D4">
        <w:rPr>
          <w:rFonts w:ascii="Times New Roman" w:hAnsi="Times New Roman" w:cs="Times New Roman"/>
          <w:sz w:val="28"/>
          <w:szCs w:val="28"/>
        </w:rPr>
        <w:t>M</w:t>
      </w:r>
      <w:r w:rsidR="007D78DF" w:rsidRPr="00CB50D4">
        <w:rPr>
          <w:rFonts w:ascii="Times New Roman" w:hAnsi="Times New Roman" w:cs="Times New Roman"/>
          <w:sz w:val="28"/>
          <w:szCs w:val="28"/>
        </w:rPr>
        <w:t>unicipality, and was as such</w:t>
      </w:r>
      <w:r w:rsidRPr="00CB50D4">
        <w:rPr>
          <w:rFonts w:ascii="Times New Roman" w:hAnsi="Times New Roman" w:cs="Times New Roman"/>
          <w:sz w:val="28"/>
          <w:szCs w:val="28"/>
        </w:rPr>
        <w:t xml:space="preserve"> affected by Eskom’s electricity supply interruptions. </w:t>
      </w:r>
      <w:r w:rsidR="000E0E43" w:rsidRPr="00CB50D4">
        <w:rPr>
          <w:rFonts w:ascii="Times New Roman" w:hAnsi="Times New Roman" w:cs="Times New Roman"/>
          <w:sz w:val="28"/>
          <w:szCs w:val="28"/>
        </w:rPr>
        <w:t>After unsuccessful attempts to resolve the issue</w:t>
      </w:r>
      <w:r w:rsidR="00685D01" w:rsidRPr="00CB50D4">
        <w:rPr>
          <w:rFonts w:ascii="Times New Roman" w:hAnsi="Times New Roman" w:cs="Times New Roman"/>
          <w:sz w:val="28"/>
          <w:szCs w:val="28"/>
        </w:rPr>
        <w:t xml:space="preserve"> with Eskom</w:t>
      </w:r>
      <w:r w:rsidR="000E0E43" w:rsidRPr="00CB50D4">
        <w:rPr>
          <w:rFonts w:ascii="Times New Roman" w:hAnsi="Times New Roman" w:cs="Times New Roman"/>
          <w:sz w:val="28"/>
          <w:szCs w:val="28"/>
        </w:rPr>
        <w:t xml:space="preserve">, </w:t>
      </w:r>
      <w:r w:rsidR="00574235" w:rsidRPr="00CB50D4">
        <w:rPr>
          <w:rFonts w:ascii="Times New Roman" w:hAnsi="Times New Roman" w:cs="Times New Roman"/>
          <w:sz w:val="28"/>
          <w:szCs w:val="28"/>
        </w:rPr>
        <w:t xml:space="preserve">Pioneer </w:t>
      </w:r>
      <w:r w:rsidR="000E0E43" w:rsidRPr="00CB50D4">
        <w:rPr>
          <w:rFonts w:ascii="Times New Roman" w:hAnsi="Times New Roman" w:cs="Times New Roman"/>
          <w:sz w:val="28"/>
          <w:szCs w:val="28"/>
        </w:rPr>
        <w:t xml:space="preserve">launched a two-part application </w:t>
      </w:r>
      <w:r w:rsidRPr="00CB50D4">
        <w:rPr>
          <w:rFonts w:ascii="Times New Roman" w:hAnsi="Times New Roman" w:cs="Times New Roman"/>
          <w:sz w:val="28"/>
          <w:szCs w:val="28"/>
        </w:rPr>
        <w:t xml:space="preserve">in the </w:t>
      </w:r>
      <w:r w:rsidR="00613145" w:rsidRPr="00CB50D4">
        <w:rPr>
          <w:rFonts w:ascii="Times New Roman" w:hAnsi="Times New Roman" w:cs="Times New Roman"/>
          <w:sz w:val="28"/>
          <w:szCs w:val="28"/>
        </w:rPr>
        <w:t>high court</w:t>
      </w:r>
      <w:r w:rsidR="00AF77FD">
        <w:rPr>
          <w:rFonts w:ascii="Times New Roman" w:hAnsi="Times New Roman" w:cs="Times New Roman"/>
          <w:sz w:val="28"/>
          <w:szCs w:val="28"/>
        </w:rPr>
        <w:t xml:space="preserve"> in January </w:t>
      </w:r>
      <w:r w:rsidR="00685D01" w:rsidRPr="00CB50D4">
        <w:rPr>
          <w:rFonts w:ascii="Times New Roman" w:hAnsi="Times New Roman" w:cs="Times New Roman"/>
          <w:sz w:val="28"/>
          <w:szCs w:val="28"/>
        </w:rPr>
        <w:t>2018</w:t>
      </w:r>
      <w:r w:rsidR="000E0E43" w:rsidRPr="00CB50D4">
        <w:rPr>
          <w:rFonts w:ascii="Times New Roman" w:hAnsi="Times New Roman" w:cs="Times New Roman"/>
          <w:sz w:val="28"/>
          <w:szCs w:val="28"/>
        </w:rPr>
        <w:t xml:space="preserve">. </w:t>
      </w:r>
      <w:r w:rsidR="00685D01" w:rsidRPr="00CB50D4">
        <w:rPr>
          <w:rFonts w:ascii="Times New Roman" w:hAnsi="Times New Roman" w:cs="Times New Roman"/>
          <w:sz w:val="28"/>
          <w:szCs w:val="28"/>
        </w:rPr>
        <w:t>In</w:t>
      </w:r>
      <w:r w:rsidRPr="00CB50D4">
        <w:rPr>
          <w:rFonts w:ascii="Times New Roman" w:hAnsi="Times New Roman" w:cs="Times New Roman"/>
          <w:sz w:val="28"/>
          <w:szCs w:val="28"/>
        </w:rPr>
        <w:t xml:space="preserve"> Part A, </w:t>
      </w:r>
      <w:r w:rsidR="00562BA3" w:rsidRPr="00CB50D4">
        <w:rPr>
          <w:rFonts w:ascii="Times New Roman" w:hAnsi="Times New Roman" w:cs="Times New Roman"/>
          <w:sz w:val="28"/>
          <w:szCs w:val="28"/>
        </w:rPr>
        <w:t>which it brought on an urgent basis</w:t>
      </w:r>
      <w:r w:rsidR="00685D01" w:rsidRPr="00CB50D4">
        <w:rPr>
          <w:rFonts w:ascii="Times New Roman" w:hAnsi="Times New Roman" w:cs="Times New Roman"/>
          <w:sz w:val="28"/>
          <w:szCs w:val="28"/>
        </w:rPr>
        <w:t xml:space="preserve">, </w:t>
      </w:r>
      <w:r w:rsidR="00562BA3" w:rsidRPr="00CB50D4">
        <w:rPr>
          <w:rFonts w:ascii="Times New Roman" w:hAnsi="Times New Roman" w:cs="Times New Roman"/>
          <w:sz w:val="28"/>
          <w:szCs w:val="28"/>
        </w:rPr>
        <w:t xml:space="preserve">it sought and obtained, </w:t>
      </w:r>
      <w:r w:rsidR="00685D01" w:rsidRPr="00CB50D4">
        <w:rPr>
          <w:rFonts w:ascii="Times New Roman" w:hAnsi="Times New Roman" w:cs="Times New Roman"/>
          <w:sz w:val="28"/>
          <w:szCs w:val="28"/>
        </w:rPr>
        <w:t>interim in</w:t>
      </w:r>
      <w:r w:rsidR="00562BA3" w:rsidRPr="00CB50D4">
        <w:rPr>
          <w:rFonts w:ascii="Times New Roman" w:hAnsi="Times New Roman" w:cs="Times New Roman"/>
          <w:sz w:val="28"/>
          <w:szCs w:val="28"/>
        </w:rPr>
        <w:t>terdictory relief against Eskom from implementing its decision of</w:t>
      </w:r>
      <w:r w:rsidR="00F2508D">
        <w:rPr>
          <w:rFonts w:ascii="Times New Roman" w:hAnsi="Times New Roman" w:cs="Times New Roman"/>
          <w:sz w:val="28"/>
          <w:szCs w:val="28"/>
        </w:rPr>
        <w:t xml:space="preserve"> 2</w:t>
      </w:r>
      <w:r w:rsidR="00AF77FD">
        <w:rPr>
          <w:rFonts w:ascii="Times New Roman" w:hAnsi="Times New Roman" w:cs="Times New Roman"/>
          <w:sz w:val="28"/>
          <w:szCs w:val="28"/>
        </w:rPr>
        <w:t> </w:t>
      </w:r>
      <w:r w:rsidR="00562BA3" w:rsidRPr="00CB50D4">
        <w:rPr>
          <w:rFonts w:ascii="Times New Roman" w:hAnsi="Times New Roman" w:cs="Times New Roman"/>
          <w:sz w:val="28"/>
          <w:szCs w:val="28"/>
        </w:rPr>
        <w:t>January 2018</w:t>
      </w:r>
      <w:r w:rsidR="00300713" w:rsidRPr="00CB50D4">
        <w:rPr>
          <w:rFonts w:ascii="Times New Roman" w:hAnsi="Times New Roman" w:cs="Times New Roman"/>
          <w:sz w:val="28"/>
          <w:szCs w:val="28"/>
        </w:rPr>
        <w:t xml:space="preserve"> to interrupt the supply of electricity to Pioneer’s business premises.</w:t>
      </w:r>
    </w:p>
    <w:p w14:paraId="2BF4E6E6" w14:textId="77777777" w:rsidR="00300713" w:rsidRPr="00CB50D4" w:rsidRDefault="00300713" w:rsidP="00300713">
      <w:pPr>
        <w:rPr>
          <w:rFonts w:ascii="Times New Roman" w:hAnsi="Times New Roman" w:cs="Times New Roman"/>
          <w:sz w:val="28"/>
          <w:szCs w:val="28"/>
        </w:rPr>
      </w:pPr>
    </w:p>
    <w:p w14:paraId="0B917314" w14:textId="1B78DB11" w:rsidR="0098412B" w:rsidRPr="00CB50D4" w:rsidRDefault="00613145" w:rsidP="00166D6E">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In</w:t>
      </w:r>
      <w:r w:rsidR="00290DB0" w:rsidRPr="00CB50D4">
        <w:rPr>
          <w:rFonts w:ascii="Times New Roman" w:hAnsi="Times New Roman" w:cs="Times New Roman"/>
          <w:sz w:val="28"/>
          <w:szCs w:val="28"/>
        </w:rPr>
        <w:t xml:space="preserve"> Part B, </w:t>
      </w:r>
      <w:r w:rsidRPr="00CB50D4">
        <w:rPr>
          <w:rFonts w:ascii="Times New Roman" w:hAnsi="Times New Roman" w:cs="Times New Roman"/>
          <w:sz w:val="28"/>
          <w:szCs w:val="28"/>
        </w:rPr>
        <w:t xml:space="preserve">Pioneer </w:t>
      </w:r>
      <w:r w:rsidR="00290DB0" w:rsidRPr="00CB50D4">
        <w:rPr>
          <w:rFonts w:ascii="Times New Roman" w:hAnsi="Times New Roman" w:cs="Times New Roman"/>
          <w:sz w:val="28"/>
          <w:szCs w:val="28"/>
        </w:rPr>
        <w:t xml:space="preserve">sought the judicial review and setting aside of the relevant Eskom decisions. </w:t>
      </w:r>
      <w:r w:rsidR="00685D01" w:rsidRPr="00CB50D4">
        <w:rPr>
          <w:rFonts w:ascii="Times New Roman" w:hAnsi="Times New Roman" w:cs="Times New Roman"/>
          <w:sz w:val="28"/>
          <w:szCs w:val="28"/>
        </w:rPr>
        <w:t xml:space="preserve">It </w:t>
      </w:r>
      <w:r w:rsidR="00290DB0" w:rsidRPr="00CB50D4">
        <w:rPr>
          <w:rFonts w:ascii="Times New Roman" w:hAnsi="Times New Roman" w:cs="Times New Roman"/>
          <w:sz w:val="28"/>
          <w:szCs w:val="28"/>
        </w:rPr>
        <w:t>relied on</w:t>
      </w:r>
      <w:r w:rsidR="00685D01" w:rsidRPr="00CB50D4">
        <w:rPr>
          <w:rFonts w:ascii="Times New Roman" w:hAnsi="Times New Roman" w:cs="Times New Roman"/>
          <w:sz w:val="28"/>
          <w:szCs w:val="28"/>
        </w:rPr>
        <w:t xml:space="preserve"> various </w:t>
      </w:r>
      <w:r w:rsidR="00290DB0" w:rsidRPr="00CB50D4">
        <w:rPr>
          <w:rFonts w:ascii="Times New Roman" w:hAnsi="Times New Roman" w:cs="Times New Roman"/>
          <w:sz w:val="28"/>
          <w:szCs w:val="28"/>
        </w:rPr>
        <w:t>grounds including that Eskom was not entitled to interrupt th</w:t>
      </w:r>
      <w:r w:rsidR="00E25864" w:rsidRPr="00CB50D4">
        <w:rPr>
          <w:rFonts w:ascii="Times New Roman" w:hAnsi="Times New Roman" w:cs="Times New Roman"/>
          <w:sz w:val="28"/>
          <w:szCs w:val="28"/>
        </w:rPr>
        <w:t>e supply of electricity to the M</w:t>
      </w:r>
      <w:r w:rsidR="00290DB0" w:rsidRPr="00CB50D4">
        <w:rPr>
          <w:rFonts w:ascii="Times New Roman" w:hAnsi="Times New Roman" w:cs="Times New Roman"/>
          <w:sz w:val="28"/>
          <w:szCs w:val="28"/>
        </w:rPr>
        <w:t>unicipality solely for the purp</w:t>
      </w:r>
      <w:r w:rsidR="00E25864" w:rsidRPr="00CB50D4">
        <w:rPr>
          <w:rFonts w:ascii="Times New Roman" w:hAnsi="Times New Roman" w:cs="Times New Roman"/>
          <w:sz w:val="28"/>
          <w:szCs w:val="28"/>
        </w:rPr>
        <w:t>ose of coercing the latter</w:t>
      </w:r>
      <w:r w:rsidR="00290DB0" w:rsidRPr="00CB50D4">
        <w:rPr>
          <w:rFonts w:ascii="Times New Roman" w:hAnsi="Times New Roman" w:cs="Times New Roman"/>
          <w:sz w:val="28"/>
          <w:szCs w:val="28"/>
        </w:rPr>
        <w:t xml:space="preserve"> to pay its debt. Pioneer also contended that where Eskom sought to interrupt the supply of electricity, it had to comply with the substantive and procedural requirements of the Promotion of Administrative </w:t>
      </w:r>
      <w:r w:rsidR="00290DB0" w:rsidRPr="00CB50D4">
        <w:rPr>
          <w:rFonts w:ascii="Times New Roman" w:hAnsi="Times New Roman" w:cs="Times New Roman"/>
          <w:sz w:val="28"/>
          <w:szCs w:val="28"/>
        </w:rPr>
        <w:lastRenderedPageBreak/>
        <w:t>Justice Act 3 of 2000 (the PAJA).</w:t>
      </w:r>
      <w:r w:rsidR="00562BA3" w:rsidRPr="00CB50D4">
        <w:rPr>
          <w:rFonts w:ascii="Times New Roman" w:hAnsi="Times New Roman" w:cs="Times New Roman"/>
          <w:sz w:val="28"/>
          <w:szCs w:val="28"/>
        </w:rPr>
        <w:t xml:space="preserve"> Pioneer also sought an order that Eskom should supply electricity to its business premises, altern</w:t>
      </w:r>
      <w:r w:rsidR="004B7FBE">
        <w:rPr>
          <w:rFonts w:ascii="Times New Roman" w:hAnsi="Times New Roman" w:cs="Times New Roman"/>
          <w:sz w:val="28"/>
          <w:szCs w:val="28"/>
        </w:rPr>
        <w:t>atively to the Municipality. In </w:t>
      </w:r>
      <w:r w:rsidR="00562BA3" w:rsidRPr="00CB50D4">
        <w:rPr>
          <w:rFonts w:ascii="Times New Roman" w:hAnsi="Times New Roman" w:cs="Times New Roman"/>
          <w:sz w:val="28"/>
          <w:szCs w:val="28"/>
        </w:rPr>
        <w:t>the further alternative, Pioneer sought order</w:t>
      </w:r>
      <w:r w:rsidR="00E25864" w:rsidRPr="00CB50D4">
        <w:rPr>
          <w:rFonts w:ascii="Times New Roman" w:hAnsi="Times New Roman" w:cs="Times New Roman"/>
          <w:sz w:val="28"/>
          <w:szCs w:val="28"/>
        </w:rPr>
        <w:t>s</w:t>
      </w:r>
      <w:r w:rsidR="00562BA3" w:rsidRPr="00CB50D4">
        <w:rPr>
          <w:rFonts w:ascii="Times New Roman" w:hAnsi="Times New Roman" w:cs="Times New Roman"/>
          <w:sz w:val="28"/>
          <w:szCs w:val="28"/>
        </w:rPr>
        <w:t xml:space="preserve">: (a) compelling the Municipality to pay the outstanding debt to Eskom; and (b) compelling Eskom and the Municipality to agree to a payment plan to ensure uninterrupted supply of electricity to its business premises. </w:t>
      </w:r>
    </w:p>
    <w:p w14:paraId="279ADC11" w14:textId="77777777" w:rsidR="00300713" w:rsidRPr="00CB50D4" w:rsidRDefault="00300713" w:rsidP="00300713">
      <w:pPr>
        <w:shd w:val="clear" w:color="auto" w:fill="FFFFFF"/>
        <w:spacing w:before="120" w:after="720" w:line="360" w:lineRule="auto"/>
        <w:contextualSpacing/>
        <w:jc w:val="both"/>
        <w:rPr>
          <w:rFonts w:ascii="Times New Roman" w:hAnsi="Times New Roman" w:cs="Times New Roman"/>
          <w:strike/>
          <w:sz w:val="28"/>
          <w:szCs w:val="28"/>
        </w:rPr>
      </w:pPr>
    </w:p>
    <w:p w14:paraId="739C9C82" w14:textId="26A912E1" w:rsidR="00CB7C5A" w:rsidRPr="00CB50D4" w:rsidRDefault="00CB7C5A" w:rsidP="00613145">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In response, Eskom raised a preliminary point that Pioneer’s application was premature, based on the provisions of s 30 of</w:t>
      </w:r>
      <w:r w:rsidR="004B7FBE">
        <w:rPr>
          <w:rFonts w:ascii="Times New Roman" w:hAnsi="Times New Roman" w:cs="Times New Roman"/>
          <w:sz w:val="28"/>
          <w:szCs w:val="28"/>
        </w:rPr>
        <w:t xml:space="preserve"> the Electricity Regulation Act </w:t>
      </w:r>
      <w:r w:rsidRPr="00CB50D4">
        <w:rPr>
          <w:rFonts w:ascii="Times New Roman" w:hAnsi="Times New Roman" w:cs="Times New Roman"/>
          <w:sz w:val="28"/>
          <w:szCs w:val="28"/>
        </w:rPr>
        <w:t xml:space="preserve">4 of 2006 (the ERA). That section provides for the resolution of disputes by </w:t>
      </w:r>
      <w:r w:rsidR="00574235" w:rsidRPr="00CB50D4">
        <w:rPr>
          <w:rFonts w:ascii="Times New Roman" w:hAnsi="Times New Roman" w:cs="Times New Roman"/>
          <w:sz w:val="28"/>
          <w:szCs w:val="28"/>
        </w:rPr>
        <w:t xml:space="preserve">the </w:t>
      </w:r>
      <w:r w:rsidR="00020299" w:rsidRPr="00CB50D4">
        <w:rPr>
          <w:rFonts w:ascii="Times New Roman" w:hAnsi="Times New Roman" w:cs="Times New Roman"/>
          <w:sz w:val="28"/>
          <w:szCs w:val="28"/>
        </w:rPr>
        <w:t xml:space="preserve">third respondent, </w:t>
      </w:r>
      <w:r w:rsidRPr="00CB50D4">
        <w:rPr>
          <w:rFonts w:ascii="Times New Roman" w:hAnsi="Times New Roman" w:cs="Times New Roman"/>
          <w:color w:val="222222"/>
          <w:sz w:val="28"/>
          <w:szCs w:val="28"/>
          <w:shd w:val="clear" w:color="auto" w:fill="FFFFFF"/>
        </w:rPr>
        <w:t>the National Energy Regulator of South Africa (NERSA) in relation to any dispute arising out of</w:t>
      </w:r>
      <w:r w:rsidR="00574235" w:rsidRPr="00CB50D4">
        <w:rPr>
          <w:rFonts w:ascii="Times New Roman" w:hAnsi="Times New Roman" w:cs="Times New Roman"/>
          <w:color w:val="222222"/>
          <w:sz w:val="28"/>
          <w:szCs w:val="28"/>
          <w:shd w:val="clear" w:color="auto" w:fill="FFFFFF"/>
        </w:rPr>
        <w:t xml:space="preserve"> the ERA</w:t>
      </w:r>
      <w:r w:rsidRPr="00CB50D4">
        <w:rPr>
          <w:rFonts w:ascii="Times New Roman" w:hAnsi="Times New Roman" w:cs="Times New Roman"/>
          <w:color w:val="222222"/>
          <w:sz w:val="28"/>
          <w:szCs w:val="28"/>
          <w:shd w:val="clear" w:color="auto" w:fill="FFFFFF"/>
        </w:rPr>
        <w:t>. Section 30(1)(</w:t>
      </w:r>
      <w:r w:rsidRPr="00CB50D4">
        <w:rPr>
          <w:rFonts w:ascii="Times New Roman" w:hAnsi="Times New Roman" w:cs="Times New Roman"/>
          <w:i/>
          <w:color w:val="222222"/>
          <w:sz w:val="28"/>
          <w:szCs w:val="28"/>
          <w:shd w:val="clear" w:color="auto" w:fill="FFFFFF"/>
        </w:rPr>
        <w:t>b</w:t>
      </w:r>
      <w:r w:rsidRPr="00CB50D4">
        <w:rPr>
          <w:rFonts w:ascii="Times New Roman" w:hAnsi="Times New Roman" w:cs="Times New Roman"/>
          <w:color w:val="222222"/>
          <w:sz w:val="28"/>
          <w:szCs w:val="28"/>
          <w:shd w:val="clear" w:color="auto" w:fill="FFFFFF"/>
        </w:rPr>
        <w:t>) reads:</w:t>
      </w:r>
    </w:p>
    <w:p w14:paraId="5A2D1751" w14:textId="77777777" w:rsidR="00CB7C5A" w:rsidRPr="00F2508D" w:rsidRDefault="00CB7C5A" w:rsidP="00E2628A">
      <w:pPr>
        <w:spacing w:after="0" w:line="360" w:lineRule="auto"/>
        <w:ind w:left="720" w:hanging="720"/>
        <w:jc w:val="both"/>
        <w:rPr>
          <w:rFonts w:ascii="Times New Roman" w:hAnsi="Times New Roman" w:cs="Times New Roman"/>
          <w:color w:val="222222"/>
          <w:sz w:val="24"/>
          <w:szCs w:val="24"/>
          <w:shd w:val="clear" w:color="auto" w:fill="FFFFFF"/>
        </w:rPr>
      </w:pPr>
      <w:r w:rsidRPr="00F2508D">
        <w:rPr>
          <w:rFonts w:ascii="Times New Roman" w:hAnsi="Times New Roman" w:cs="Times New Roman"/>
          <w:color w:val="222222"/>
          <w:sz w:val="24"/>
          <w:szCs w:val="24"/>
          <w:shd w:val="clear" w:color="auto" w:fill="FFFFFF"/>
        </w:rPr>
        <w:t xml:space="preserve">‘[Nersa] must, in relation to any dispute arising out of this Act – </w:t>
      </w:r>
    </w:p>
    <w:p w14:paraId="0EE47471" w14:textId="77777777" w:rsidR="00CB7C5A" w:rsidRPr="00F2508D" w:rsidRDefault="00CB7C5A" w:rsidP="00E2628A">
      <w:pPr>
        <w:spacing w:after="0" w:line="360" w:lineRule="auto"/>
        <w:ind w:left="720" w:hanging="720"/>
        <w:jc w:val="both"/>
        <w:rPr>
          <w:rFonts w:ascii="Times New Roman" w:hAnsi="Times New Roman" w:cs="Times New Roman"/>
          <w:color w:val="222222"/>
          <w:sz w:val="24"/>
          <w:szCs w:val="24"/>
          <w:shd w:val="clear" w:color="auto" w:fill="FFFFFF"/>
        </w:rPr>
      </w:pPr>
      <w:r w:rsidRPr="00F2508D">
        <w:rPr>
          <w:rFonts w:ascii="Times New Roman" w:hAnsi="Times New Roman" w:cs="Times New Roman"/>
          <w:color w:val="222222"/>
          <w:sz w:val="24"/>
          <w:szCs w:val="24"/>
          <w:shd w:val="clear" w:color="auto" w:fill="FFFFFF"/>
        </w:rPr>
        <w:t>…</w:t>
      </w:r>
    </w:p>
    <w:p w14:paraId="1744D145" w14:textId="461D1271" w:rsidR="00A45BA1" w:rsidRPr="00F2508D" w:rsidRDefault="00CB7C5A" w:rsidP="00A45BA1">
      <w:pPr>
        <w:spacing w:after="360" w:line="360" w:lineRule="auto"/>
        <w:jc w:val="both"/>
        <w:rPr>
          <w:rFonts w:ascii="Times New Roman" w:hAnsi="Times New Roman" w:cs="Times New Roman"/>
          <w:color w:val="222222"/>
          <w:sz w:val="24"/>
          <w:szCs w:val="24"/>
          <w:shd w:val="clear" w:color="auto" w:fill="FFFFFF"/>
        </w:rPr>
      </w:pPr>
      <w:r w:rsidRPr="00F2508D">
        <w:rPr>
          <w:rFonts w:ascii="Times New Roman" w:hAnsi="Times New Roman" w:cs="Times New Roman"/>
          <w:color w:val="222222"/>
          <w:sz w:val="24"/>
          <w:szCs w:val="24"/>
          <w:shd w:val="clear" w:color="auto" w:fill="FFFFFF"/>
        </w:rPr>
        <w:t>if it is a dispute between a customer or end user on the one hand and a licensee, registered person, a person who trades, generates, transmits or distributes electricity on the other hand, settle that dispute by such means and on such terms as [NERSA] thinks fit.’</w:t>
      </w:r>
    </w:p>
    <w:p w14:paraId="0F38D948" w14:textId="39F4BCD8" w:rsidR="003F296C" w:rsidRPr="00CB50D4" w:rsidRDefault="00CB7C5A" w:rsidP="00613145">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color w:val="222222"/>
          <w:sz w:val="28"/>
          <w:szCs w:val="28"/>
          <w:shd w:val="clear" w:color="auto" w:fill="FFFFFF"/>
        </w:rPr>
        <w:t xml:space="preserve">Eskom contended that since </w:t>
      </w:r>
      <w:r w:rsidR="004019FB" w:rsidRPr="00CB50D4">
        <w:rPr>
          <w:rFonts w:ascii="Times New Roman" w:hAnsi="Times New Roman" w:cs="Times New Roman"/>
          <w:color w:val="222222"/>
          <w:sz w:val="28"/>
          <w:szCs w:val="28"/>
          <w:shd w:val="clear" w:color="auto" w:fill="FFFFFF"/>
        </w:rPr>
        <w:t xml:space="preserve">the PAJA was applicable to </w:t>
      </w:r>
      <w:r w:rsidR="00574235" w:rsidRPr="00CB50D4">
        <w:rPr>
          <w:rFonts w:ascii="Times New Roman" w:hAnsi="Times New Roman" w:cs="Times New Roman"/>
          <w:color w:val="222222"/>
          <w:sz w:val="28"/>
          <w:szCs w:val="28"/>
          <w:shd w:val="clear" w:color="auto" w:fill="FFFFFF"/>
        </w:rPr>
        <w:t xml:space="preserve">each of </w:t>
      </w:r>
      <w:r w:rsidRPr="00CB50D4">
        <w:rPr>
          <w:rFonts w:ascii="Times New Roman" w:hAnsi="Times New Roman" w:cs="Times New Roman"/>
          <w:color w:val="222222"/>
          <w:sz w:val="28"/>
          <w:szCs w:val="28"/>
          <w:shd w:val="clear" w:color="auto" w:fill="FFFFFF"/>
        </w:rPr>
        <w:t>the decision</w:t>
      </w:r>
      <w:r w:rsidR="00574235" w:rsidRPr="00CB50D4">
        <w:rPr>
          <w:rFonts w:ascii="Times New Roman" w:hAnsi="Times New Roman" w:cs="Times New Roman"/>
          <w:color w:val="222222"/>
          <w:sz w:val="28"/>
          <w:szCs w:val="28"/>
          <w:shd w:val="clear" w:color="auto" w:fill="FFFFFF"/>
        </w:rPr>
        <w:t>s</w:t>
      </w:r>
      <w:r w:rsidRPr="00CB50D4">
        <w:rPr>
          <w:rFonts w:ascii="Times New Roman" w:hAnsi="Times New Roman" w:cs="Times New Roman"/>
          <w:color w:val="222222"/>
          <w:sz w:val="28"/>
          <w:szCs w:val="28"/>
          <w:shd w:val="clear" w:color="auto" w:fill="FFFFFF"/>
        </w:rPr>
        <w:t xml:space="preserve"> which Pioneer sought to impugn</w:t>
      </w:r>
      <w:r w:rsidR="004019FB" w:rsidRPr="00CB50D4">
        <w:rPr>
          <w:rFonts w:ascii="Times New Roman" w:hAnsi="Times New Roman" w:cs="Times New Roman"/>
          <w:color w:val="222222"/>
          <w:sz w:val="28"/>
          <w:szCs w:val="28"/>
          <w:shd w:val="clear" w:color="auto" w:fill="FFFFFF"/>
        </w:rPr>
        <w:t xml:space="preserve">, </w:t>
      </w:r>
      <w:r w:rsidRPr="00CB50D4">
        <w:rPr>
          <w:rFonts w:ascii="Times New Roman" w:hAnsi="Times New Roman" w:cs="Times New Roman"/>
          <w:color w:val="222222"/>
          <w:sz w:val="28"/>
          <w:szCs w:val="28"/>
          <w:shd w:val="clear" w:color="auto" w:fill="FFFFFF"/>
        </w:rPr>
        <w:t xml:space="preserve">s 30 was the ‘internal remedy’ envisaged in s 7(2) of the PAJA which </w:t>
      </w:r>
      <w:r w:rsidR="00574235" w:rsidRPr="00CB50D4">
        <w:rPr>
          <w:rFonts w:ascii="Times New Roman" w:hAnsi="Times New Roman" w:cs="Times New Roman"/>
          <w:color w:val="222222"/>
          <w:sz w:val="28"/>
          <w:szCs w:val="28"/>
          <w:shd w:val="clear" w:color="auto" w:fill="FFFFFF"/>
        </w:rPr>
        <w:t xml:space="preserve">Pioneer </w:t>
      </w:r>
      <w:r w:rsidRPr="00CB50D4">
        <w:rPr>
          <w:rFonts w:ascii="Times New Roman" w:hAnsi="Times New Roman" w:cs="Times New Roman"/>
          <w:color w:val="222222"/>
          <w:sz w:val="28"/>
          <w:szCs w:val="28"/>
          <w:shd w:val="clear" w:color="auto" w:fill="FFFFFF"/>
        </w:rPr>
        <w:t xml:space="preserve">had </w:t>
      </w:r>
      <w:r w:rsidR="00574235" w:rsidRPr="00CB50D4">
        <w:rPr>
          <w:rFonts w:ascii="Times New Roman" w:hAnsi="Times New Roman" w:cs="Times New Roman"/>
          <w:color w:val="222222"/>
          <w:sz w:val="28"/>
          <w:szCs w:val="28"/>
          <w:shd w:val="clear" w:color="auto" w:fill="FFFFFF"/>
        </w:rPr>
        <w:t xml:space="preserve">to </w:t>
      </w:r>
      <w:r w:rsidRPr="00CB50D4">
        <w:rPr>
          <w:rFonts w:ascii="Times New Roman" w:hAnsi="Times New Roman" w:cs="Times New Roman"/>
          <w:color w:val="222222"/>
          <w:sz w:val="28"/>
          <w:szCs w:val="28"/>
          <w:shd w:val="clear" w:color="auto" w:fill="FFFFFF"/>
        </w:rPr>
        <w:t xml:space="preserve">first </w:t>
      </w:r>
      <w:r w:rsidR="00574235" w:rsidRPr="00CB50D4">
        <w:rPr>
          <w:rFonts w:ascii="Times New Roman" w:hAnsi="Times New Roman" w:cs="Times New Roman"/>
          <w:color w:val="222222"/>
          <w:sz w:val="28"/>
          <w:szCs w:val="28"/>
          <w:shd w:val="clear" w:color="auto" w:fill="FFFFFF"/>
        </w:rPr>
        <w:t>exhaust</w:t>
      </w:r>
      <w:r w:rsidRPr="00CB50D4">
        <w:rPr>
          <w:rFonts w:ascii="Times New Roman" w:hAnsi="Times New Roman" w:cs="Times New Roman"/>
          <w:color w:val="222222"/>
          <w:sz w:val="28"/>
          <w:szCs w:val="28"/>
          <w:shd w:val="clear" w:color="auto" w:fill="FFFFFF"/>
        </w:rPr>
        <w:t xml:space="preserve"> before launching the review application.</w:t>
      </w:r>
      <w:r w:rsidRPr="00CB50D4">
        <w:rPr>
          <w:rStyle w:val="FootnoteReference"/>
          <w:rFonts w:ascii="Times New Roman" w:hAnsi="Times New Roman" w:cs="Times New Roman"/>
          <w:color w:val="222222"/>
          <w:sz w:val="28"/>
          <w:szCs w:val="28"/>
          <w:shd w:val="clear" w:color="auto" w:fill="FFFFFF"/>
        </w:rPr>
        <w:footnoteReference w:id="2"/>
      </w:r>
      <w:r w:rsidR="004019FB" w:rsidRPr="00CB50D4">
        <w:rPr>
          <w:rFonts w:ascii="Times New Roman" w:hAnsi="Times New Roman" w:cs="Times New Roman"/>
          <w:color w:val="222222"/>
          <w:sz w:val="28"/>
          <w:szCs w:val="28"/>
          <w:shd w:val="clear" w:color="auto" w:fill="FFFFFF"/>
        </w:rPr>
        <w:t xml:space="preserve"> I </w:t>
      </w:r>
      <w:r w:rsidR="00DB01F9" w:rsidRPr="00CB50D4">
        <w:rPr>
          <w:rFonts w:ascii="Times New Roman" w:hAnsi="Times New Roman" w:cs="Times New Roman"/>
          <w:color w:val="222222"/>
          <w:sz w:val="28"/>
          <w:szCs w:val="28"/>
          <w:shd w:val="clear" w:color="auto" w:fill="FFFFFF"/>
        </w:rPr>
        <w:t xml:space="preserve">refer to this as ‘the </w:t>
      </w:r>
      <w:r w:rsidR="0078518A" w:rsidRPr="00CB50D4">
        <w:rPr>
          <w:rFonts w:ascii="Times New Roman" w:hAnsi="Times New Roman" w:cs="Times New Roman"/>
          <w:color w:val="222222"/>
          <w:sz w:val="28"/>
          <w:szCs w:val="28"/>
          <w:shd w:val="clear" w:color="auto" w:fill="FFFFFF"/>
        </w:rPr>
        <w:t>prematurity defence</w:t>
      </w:r>
      <w:r w:rsidR="00DB01F9" w:rsidRPr="00CB50D4">
        <w:rPr>
          <w:rFonts w:ascii="Times New Roman" w:hAnsi="Times New Roman" w:cs="Times New Roman"/>
          <w:color w:val="222222"/>
          <w:sz w:val="28"/>
          <w:szCs w:val="28"/>
          <w:shd w:val="clear" w:color="auto" w:fill="FFFFFF"/>
        </w:rPr>
        <w:t>.’</w:t>
      </w:r>
      <w:r w:rsidR="00685D01" w:rsidRPr="00CB50D4">
        <w:rPr>
          <w:rFonts w:ascii="Times New Roman" w:hAnsi="Times New Roman" w:cs="Times New Roman"/>
          <w:sz w:val="28"/>
          <w:szCs w:val="28"/>
        </w:rPr>
        <w:t xml:space="preserve"> </w:t>
      </w:r>
      <w:r w:rsidRPr="00CB50D4">
        <w:rPr>
          <w:rFonts w:ascii="Times New Roman" w:hAnsi="Times New Roman" w:cs="Times New Roman"/>
          <w:sz w:val="28"/>
          <w:szCs w:val="28"/>
        </w:rPr>
        <w:t xml:space="preserve">Substantively, </w:t>
      </w:r>
      <w:r w:rsidR="00685D01" w:rsidRPr="00CB50D4">
        <w:rPr>
          <w:rFonts w:ascii="Times New Roman" w:hAnsi="Times New Roman" w:cs="Times New Roman"/>
          <w:sz w:val="28"/>
          <w:szCs w:val="28"/>
        </w:rPr>
        <w:t xml:space="preserve">to justify the lawfulness of its decisions, </w:t>
      </w:r>
      <w:r w:rsidR="004019FB" w:rsidRPr="00CB50D4">
        <w:rPr>
          <w:rFonts w:ascii="Times New Roman" w:hAnsi="Times New Roman" w:cs="Times New Roman"/>
          <w:sz w:val="28"/>
          <w:szCs w:val="28"/>
        </w:rPr>
        <w:t xml:space="preserve">Eskom relied on </w:t>
      </w:r>
      <w:r w:rsidR="00290DB0" w:rsidRPr="00CB50D4">
        <w:rPr>
          <w:rFonts w:ascii="Times New Roman" w:hAnsi="Times New Roman" w:cs="Times New Roman"/>
          <w:sz w:val="28"/>
          <w:szCs w:val="28"/>
        </w:rPr>
        <w:t>s 21(5) of the E</w:t>
      </w:r>
      <w:r w:rsidRPr="00CB50D4">
        <w:rPr>
          <w:rFonts w:ascii="Times New Roman" w:hAnsi="Times New Roman" w:cs="Times New Roman"/>
          <w:sz w:val="28"/>
          <w:szCs w:val="28"/>
        </w:rPr>
        <w:t>RA</w:t>
      </w:r>
      <w:r w:rsidR="00DB01F9" w:rsidRPr="00CB50D4">
        <w:rPr>
          <w:rFonts w:ascii="Times New Roman" w:hAnsi="Times New Roman" w:cs="Times New Roman"/>
          <w:sz w:val="28"/>
          <w:szCs w:val="28"/>
        </w:rPr>
        <w:t>.</w:t>
      </w:r>
      <w:r w:rsidRPr="00CB50D4">
        <w:rPr>
          <w:rFonts w:ascii="Times New Roman" w:hAnsi="Times New Roman" w:cs="Times New Roman"/>
          <w:sz w:val="28"/>
          <w:szCs w:val="28"/>
        </w:rPr>
        <w:t xml:space="preserve"> </w:t>
      </w:r>
      <w:r w:rsidR="00685D01" w:rsidRPr="00CB50D4">
        <w:rPr>
          <w:rFonts w:ascii="Times New Roman" w:hAnsi="Times New Roman" w:cs="Times New Roman"/>
          <w:sz w:val="28"/>
          <w:szCs w:val="28"/>
        </w:rPr>
        <w:t xml:space="preserve">The section, </w:t>
      </w:r>
      <w:r w:rsidR="002E777A" w:rsidRPr="00CB50D4">
        <w:rPr>
          <w:rFonts w:ascii="Times New Roman" w:hAnsi="Times New Roman" w:cs="Times New Roman"/>
          <w:sz w:val="28"/>
          <w:szCs w:val="28"/>
        </w:rPr>
        <w:t>among other things, grant</w:t>
      </w:r>
      <w:r w:rsidR="004019FB" w:rsidRPr="00CB50D4">
        <w:rPr>
          <w:rFonts w:ascii="Times New Roman" w:hAnsi="Times New Roman" w:cs="Times New Roman"/>
          <w:sz w:val="28"/>
          <w:szCs w:val="28"/>
        </w:rPr>
        <w:t>s</w:t>
      </w:r>
      <w:r w:rsidR="002E777A" w:rsidRPr="00CB50D4">
        <w:rPr>
          <w:rFonts w:ascii="Times New Roman" w:hAnsi="Times New Roman" w:cs="Times New Roman"/>
          <w:sz w:val="28"/>
          <w:szCs w:val="28"/>
        </w:rPr>
        <w:t xml:space="preserve"> Eskom the right to </w:t>
      </w:r>
      <w:r w:rsidR="00877178" w:rsidRPr="00CB50D4">
        <w:rPr>
          <w:rFonts w:ascii="Times New Roman" w:hAnsi="Times New Roman" w:cs="Times New Roman"/>
          <w:sz w:val="28"/>
          <w:szCs w:val="28"/>
          <w:lang w:val="en-GB"/>
        </w:rPr>
        <w:t>reduce or terminate the supply of el</w:t>
      </w:r>
      <w:r w:rsidR="002E777A" w:rsidRPr="00CB50D4">
        <w:rPr>
          <w:rFonts w:ascii="Times New Roman" w:hAnsi="Times New Roman" w:cs="Times New Roman"/>
          <w:sz w:val="28"/>
          <w:szCs w:val="28"/>
          <w:lang w:val="en-GB"/>
        </w:rPr>
        <w:t xml:space="preserve">ectricity to a customer if the latter </w:t>
      </w:r>
      <w:r w:rsidR="00877178" w:rsidRPr="00CB50D4">
        <w:rPr>
          <w:rFonts w:ascii="Times New Roman" w:hAnsi="Times New Roman" w:cs="Times New Roman"/>
          <w:sz w:val="28"/>
          <w:szCs w:val="28"/>
          <w:lang w:val="en-GB"/>
        </w:rPr>
        <w:t xml:space="preserve">has </w:t>
      </w:r>
      <w:r w:rsidR="003F296C" w:rsidRPr="00CB50D4">
        <w:rPr>
          <w:rFonts w:ascii="Times New Roman" w:hAnsi="Times New Roman" w:cs="Times New Roman"/>
          <w:sz w:val="28"/>
          <w:szCs w:val="28"/>
          <w:lang w:val="en-GB"/>
        </w:rPr>
        <w:t>‘</w:t>
      </w:r>
      <w:r w:rsidR="003F296C" w:rsidRPr="00CB50D4">
        <w:rPr>
          <w:rFonts w:ascii="Times New Roman" w:hAnsi="Times New Roman" w:cs="Times New Roman"/>
          <w:sz w:val="28"/>
          <w:szCs w:val="28"/>
        </w:rPr>
        <w:t xml:space="preserve">failed to honour, or refuses to enter into, an agreement for </w:t>
      </w:r>
      <w:r w:rsidR="00574235" w:rsidRPr="00CB50D4">
        <w:rPr>
          <w:rFonts w:ascii="Times New Roman" w:hAnsi="Times New Roman" w:cs="Times New Roman"/>
          <w:sz w:val="28"/>
          <w:szCs w:val="28"/>
        </w:rPr>
        <w:t>the supply of electricity,’ or ‘</w:t>
      </w:r>
      <w:r w:rsidR="003F296C" w:rsidRPr="00CB50D4">
        <w:rPr>
          <w:rFonts w:ascii="Times New Roman" w:hAnsi="Times New Roman" w:cs="Times New Roman"/>
          <w:sz w:val="28"/>
          <w:szCs w:val="28"/>
        </w:rPr>
        <w:t xml:space="preserve">contravened </w:t>
      </w:r>
      <w:r w:rsidR="00574235" w:rsidRPr="00CB50D4">
        <w:rPr>
          <w:rFonts w:ascii="Times New Roman" w:hAnsi="Times New Roman" w:cs="Times New Roman"/>
          <w:sz w:val="28"/>
          <w:szCs w:val="28"/>
        </w:rPr>
        <w:t xml:space="preserve">[its] </w:t>
      </w:r>
      <w:r w:rsidR="003F296C" w:rsidRPr="00CB50D4">
        <w:rPr>
          <w:rFonts w:ascii="Times New Roman" w:hAnsi="Times New Roman" w:cs="Times New Roman"/>
          <w:sz w:val="28"/>
          <w:szCs w:val="28"/>
        </w:rPr>
        <w:t>payment conditions</w:t>
      </w:r>
      <w:r w:rsidR="00574235" w:rsidRPr="00CB50D4">
        <w:rPr>
          <w:rFonts w:ascii="Times New Roman" w:hAnsi="Times New Roman" w:cs="Times New Roman"/>
          <w:sz w:val="28"/>
          <w:szCs w:val="28"/>
        </w:rPr>
        <w:t>.</w:t>
      </w:r>
      <w:r w:rsidR="004019FB" w:rsidRPr="00CB50D4">
        <w:rPr>
          <w:rFonts w:ascii="Times New Roman" w:hAnsi="Times New Roman" w:cs="Times New Roman"/>
          <w:sz w:val="28"/>
          <w:szCs w:val="28"/>
        </w:rPr>
        <w:t>’</w:t>
      </w:r>
      <w:r w:rsidR="00574235" w:rsidRPr="00CB50D4">
        <w:rPr>
          <w:rFonts w:ascii="Times New Roman" w:hAnsi="Times New Roman" w:cs="Times New Roman"/>
          <w:sz w:val="28"/>
          <w:szCs w:val="28"/>
        </w:rPr>
        <w:t xml:space="preserve"> </w:t>
      </w:r>
      <w:r w:rsidR="00DB01F9" w:rsidRPr="00CB50D4">
        <w:rPr>
          <w:rFonts w:ascii="Times New Roman" w:hAnsi="Times New Roman" w:cs="Times New Roman"/>
          <w:sz w:val="28"/>
          <w:szCs w:val="28"/>
        </w:rPr>
        <w:t>I refer to this as ‘the s 21(5) defence.’</w:t>
      </w:r>
    </w:p>
    <w:p w14:paraId="0AA225D5" w14:textId="77777777" w:rsidR="0098412B" w:rsidRPr="00CB50D4" w:rsidRDefault="0098412B" w:rsidP="0098412B">
      <w:pPr>
        <w:shd w:val="clear" w:color="auto" w:fill="FFFFFF"/>
        <w:spacing w:before="120" w:after="720" w:line="360" w:lineRule="auto"/>
        <w:contextualSpacing/>
        <w:jc w:val="both"/>
        <w:rPr>
          <w:rFonts w:ascii="Times New Roman" w:hAnsi="Times New Roman" w:cs="Times New Roman"/>
          <w:strike/>
          <w:sz w:val="28"/>
          <w:szCs w:val="28"/>
        </w:rPr>
      </w:pPr>
    </w:p>
    <w:p w14:paraId="509A8233" w14:textId="61EEDDA5" w:rsidR="0098412B" w:rsidRPr="00CB50D4" w:rsidRDefault="00290DB0" w:rsidP="0078518A">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lastRenderedPageBreak/>
        <w:t xml:space="preserve">Part B came before the high court </w:t>
      </w:r>
      <w:r w:rsidR="00613145" w:rsidRPr="00CB50D4">
        <w:rPr>
          <w:rFonts w:ascii="Times New Roman" w:hAnsi="Times New Roman" w:cs="Times New Roman"/>
          <w:sz w:val="28"/>
          <w:szCs w:val="28"/>
        </w:rPr>
        <w:t xml:space="preserve">in July 2020, </w:t>
      </w:r>
      <w:r w:rsidR="004E6CB5" w:rsidRPr="00CB50D4">
        <w:rPr>
          <w:rFonts w:ascii="Times New Roman" w:hAnsi="Times New Roman" w:cs="Times New Roman"/>
          <w:sz w:val="28"/>
          <w:szCs w:val="28"/>
        </w:rPr>
        <w:t>and judgment</w:t>
      </w:r>
      <w:r w:rsidR="00D16C48" w:rsidRPr="00CB50D4">
        <w:rPr>
          <w:rFonts w:ascii="Times New Roman" w:hAnsi="Times New Roman" w:cs="Times New Roman"/>
          <w:sz w:val="28"/>
          <w:szCs w:val="28"/>
        </w:rPr>
        <w:t xml:space="preserve"> </w:t>
      </w:r>
      <w:r w:rsidR="004E6CB5" w:rsidRPr="00CB50D4">
        <w:rPr>
          <w:rFonts w:ascii="Times New Roman" w:hAnsi="Times New Roman" w:cs="Times New Roman"/>
          <w:sz w:val="28"/>
          <w:szCs w:val="28"/>
        </w:rPr>
        <w:t xml:space="preserve">was delivered </w:t>
      </w:r>
      <w:r w:rsidR="00D16C48" w:rsidRPr="00CB50D4">
        <w:rPr>
          <w:rFonts w:ascii="Times New Roman" w:hAnsi="Times New Roman" w:cs="Times New Roman"/>
          <w:sz w:val="28"/>
          <w:szCs w:val="28"/>
        </w:rPr>
        <w:t xml:space="preserve">on </w:t>
      </w:r>
      <w:r w:rsidR="00D16C48" w:rsidRPr="00CB50D4">
        <w:rPr>
          <w:rFonts w:ascii="Times New Roman" w:hAnsi="Times New Roman" w:cs="Times New Roman"/>
          <w:sz w:val="28"/>
          <w:szCs w:val="28"/>
          <w:shd w:val="clear" w:color="auto" w:fill="FFFFFF"/>
        </w:rPr>
        <w:t>12 October 2020</w:t>
      </w:r>
      <w:r w:rsidR="004E6CB5" w:rsidRPr="00CB50D4">
        <w:rPr>
          <w:rFonts w:ascii="Times New Roman" w:hAnsi="Times New Roman" w:cs="Times New Roman"/>
          <w:sz w:val="28"/>
          <w:szCs w:val="28"/>
          <w:shd w:val="clear" w:color="auto" w:fill="FFFFFF"/>
        </w:rPr>
        <w:t>.</w:t>
      </w:r>
      <w:r w:rsidR="006D2D7A" w:rsidRPr="00CB50D4">
        <w:rPr>
          <w:rFonts w:ascii="Times New Roman" w:hAnsi="Times New Roman" w:cs="Times New Roman"/>
          <w:sz w:val="28"/>
          <w:szCs w:val="28"/>
          <w:shd w:val="clear" w:color="auto" w:fill="FFFFFF"/>
        </w:rPr>
        <w:t xml:space="preserve"> </w:t>
      </w:r>
      <w:r w:rsidR="004E6CB5" w:rsidRPr="00CB50D4">
        <w:rPr>
          <w:rFonts w:ascii="Times New Roman" w:hAnsi="Times New Roman" w:cs="Times New Roman"/>
          <w:sz w:val="28"/>
          <w:szCs w:val="28"/>
          <w:shd w:val="clear" w:color="auto" w:fill="FFFFFF"/>
        </w:rPr>
        <w:t xml:space="preserve">The high court </w:t>
      </w:r>
      <w:r w:rsidR="00CB7C5A" w:rsidRPr="00CB50D4">
        <w:rPr>
          <w:rFonts w:ascii="Times New Roman" w:hAnsi="Times New Roman" w:cs="Times New Roman"/>
          <w:sz w:val="28"/>
          <w:szCs w:val="28"/>
          <w:shd w:val="clear" w:color="auto" w:fill="FFFFFF"/>
        </w:rPr>
        <w:t xml:space="preserve">held </w:t>
      </w:r>
      <w:r w:rsidR="004A70BA" w:rsidRPr="00CB50D4">
        <w:rPr>
          <w:rFonts w:ascii="Times New Roman" w:hAnsi="Times New Roman" w:cs="Times New Roman"/>
          <w:sz w:val="28"/>
          <w:szCs w:val="28"/>
          <w:shd w:val="clear" w:color="auto" w:fill="FFFFFF"/>
        </w:rPr>
        <w:t>that Pioneer</w:t>
      </w:r>
      <w:r w:rsidR="00D329F4" w:rsidRPr="00CB50D4">
        <w:rPr>
          <w:rFonts w:ascii="Times New Roman" w:hAnsi="Times New Roman" w:cs="Times New Roman"/>
          <w:sz w:val="28"/>
          <w:szCs w:val="28"/>
          <w:shd w:val="clear" w:color="auto" w:fill="FFFFFF"/>
        </w:rPr>
        <w:t xml:space="preserve">, as a customer of the Municipality, </w:t>
      </w:r>
      <w:r w:rsidR="00612512" w:rsidRPr="00CB50D4">
        <w:rPr>
          <w:rFonts w:ascii="Times New Roman" w:hAnsi="Times New Roman" w:cs="Times New Roman"/>
          <w:sz w:val="28"/>
          <w:szCs w:val="28"/>
          <w:shd w:val="clear" w:color="auto" w:fill="FFFFFF"/>
        </w:rPr>
        <w:t>had no locus standi</w:t>
      </w:r>
      <w:r w:rsidR="004A70BA" w:rsidRPr="00CB50D4">
        <w:rPr>
          <w:rFonts w:ascii="Times New Roman" w:hAnsi="Times New Roman" w:cs="Times New Roman"/>
          <w:sz w:val="28"/>
          <w:szCs w:val="28"/>
          <w:shd w:val="clear" w:color="auto" w:fill="FFFFFF"/>
        </w:rPr>
        <w:t xml:space="preserve"> </w:t>
      </w:r>
      <w:r w:rsidR="00926D2E" w:rsidRPr="00CB50D4">
        <w:rPr>
          <w:rFonts w:ascii="Times New Roman" w:hAnsi="Times New Roman" w:cs="Times New Roman"/>
          <w:sz w:val="28"/>
          <w:szCs w:val="28"/>
          <w:shd w:val="clear" w:color="auto" w:fill="FFFFFF"/>
        </w:rPr>
        <w:t xml:space="preserve">to seek the orders it did against Eskom, as the </w:t>
      </w:r>
      <w:r w:rsidR="004A70BA" w:rsidRPr="00CB50D4">
        <w:rPr>
          <w:rFonts w:ascii="Times New Roman" w:hAnsi="Times New Roman" w:cs="Times New Roman"/>
          <w:sz w:val="28"/>
          <w:szCs w:val="28"/>
          <w:shd w:val="clear" w:color="auto" w:fill="FFFFFF"/>
        </w:rPr>
        <w:t>electricity supply a</w:t>
      </w:r>
      <w:r w:rsidR="00D329F4" w:rsidRPr="00CB50D4">
        <w:rPr>
          <w:rFonts w:ascii="Times New Roman" w:hAnsi="Times New Roman" w:cs="Times New Roman"/>
          <w:sz w:val="28"/>
          <w:szCs w:val="28"/>
          <w:shd w:val="clear" w:color="auto" w:fill="FFFFFF"/>
        </w:rPr>
        <w:t xml:space="preserve">greement </w:t>
      </w:r>
      <w:r w:rsidR="00926D2E" w:rsidRPr="00CB50D4">
        <w:rPr>
          <w:rFonts w:ascii="Times New Roman" w:hAnsi="Times New Roman" w:cs="Times New Roman"/>
          <w:sz w:val="28"/>
          <w:szCs w:val="28"/>
          <w:shd w:val="clear" w:color="auto" w:fill="FFFFFF"/>
        </w:rPr>
        <w:t xml:space="preserve">was </w:t>
      </w:r>
      <w:r w:rsidR="00D329F4" w:rsidRPr="00CB50D4">
        <w:rPr>
          <w:rFonts w:ascii="Times New Roman" w:hAnsi="Times New Roman" w:cs="Times New Roman"/>
          <w:sz w:val="28"/>
          <w:szCs w:val="28"/>
          <w:shd w:val="clear" w:color="auto" w:fill="FFFFFF"/>
        </w:rPr>
        <w:t>between Eskom and the M</w:t>
      </w:r>
      <w:r w:rsidR="00926D2E" w:rsidRPr="00CB50D4">
        <w:rPr>
          <w:rFonts w:ascii="Times New Roman" w:hAnsi="Times New Roman" w:cs="Times New Roman"/>
          <w:sz w:val="28"/>
          <w:szCs w:val="28"/>
          <w:shd w:val="clear" w:color="auto" w:fill="FFFFFF"/>
        </w:rPr>
        <w:t xml:space="preserve">unicipality. </w:t>
      </w:r>
      <w:r w:rsidR="00DB01F9" w:rsidRPr="00CB50D4">
        <w:rPr>
          <w:rFonts w:ascii="Times New Roman" w:hAnsi="Times New Roman" w:cs="Times New Roman"/>
          <w:sz w:val="28"/>
          <w:szCs w:val="28"/>
          <w:shd w:val="clear" w:color="auto" w:fill="FFFFFF"/>
        </w:rPr>
        <w:t>Despite this finding, the high court proceeded to determine the merits of the application. It upheld both of Eskom’</w:t>
      </w:r>
      <w:r w:rsidR="0078518A" w:rsidRPr="00CB50D4">
        <w:rPr>
          <w:rFonts w:ascii="Times New Roman" w:hAnsi="Times New Roman" w:cs="Times New Roman"/>
          <w:sz w:val="28"/>
          <w:szCs w:val="28"/>
          <w:shd w:val="clear" w:color="auto" w:fill="FFFFFF"/>
        </w:rPr>
        <w:t xml:space="preserve">s two defences referred to above. With regard to the ‘prematurity defence’, the high court stated that ‘the engagement of [NERSA] is part of the internal problem resolution processes envisioned in section 7(2) of the PAJA…’ and that </w:t>
      </w:r>
      <w:r w:rsidR="003B2B11" w:rsidRPr="00CB50D4">
        <w:rPr>
          <w:rFonts w:ascii="Times New Roman" w:hAnsi="Times New Roman" w:cs="Times New Roman"/>
          <w:sz w:val="28"/>
          <w:szCs w:val="28"/>
          <w:shd w:val="clear" w:color="auto" w:fill="FFFFFF"/>
        </w:rPr>
        <w:t xml:space="preserve">the </w:t>
      </w:r>
      <w:r w:rsidR="0078518A" w:rsidRPr="00CB50D4">
        <w:rPr>
          <w:rFonts w:ascii="Times New Roman" w:hAnsi="Times New Roman" w:cs="Times New Roman"/>
          <w:sz w:val="28"/>
          <w:szCs w:val="28"/>
          <w:shd w:val="clear" w:color="auto" w:fill="FFFFFF"/>
        </w:rPr>
        <w:t>failure to comply with</w:t>
      </w:r>
      <w:r w:rsidR="00574235" w:rsidRPr="00CB50D4">
        <w:rPr>
          <w:rFonts w:ascii="Times New Roman" w:hAnsi="Times New Roman" w:cs="Times New Roman"/>
          <w:sz w:val="28"/>
          <w:szCs w:val="28"/>
          <w:shd w:val="clear" w:color="auto" w:fill="FFFFFF"/>
        </w:rPr>
        <w:t xml:space="preserve"> it</w:t>
      </w:r>
      <w:r w:rsidR="0078518A" w:rsidRPr="00CB50D4">
        <w:rPr>
          <w:rFonts w:ascii="Times New Roman" w:hAnsi="Times New Roman" w:cs="Times New Roman"/>
          <w:sz w:val="28"/>
          <w:szCs w:val="28"/>
          <w:shd w:val="clear" w:color="auto" w:fill="FFFFFF"/>
        </w:rPr>
        <w:t xml:space="preserve">, was fatal to Pioneer’s application. </w:t>
      </w:r>
    </w:p>
    <w:p w14:paraId="09922331" w14:textId="77777777" w:rsidR="0098412B" w:rsidRPr="00CB50D4" w:rsidRDefault="0098412B" w:rsidP="0098412B">
      <w:pPr>
        <w:shd w:val="clear" w:color="auto" w:fill="FFFFFF"/>
        <w:spacing w:before="120" w:after="720" w:line="360" w:lineRule="auto"/>
        <w:contextualSpacing/>
        <w:jc w:val="both"/>
        <w:rPr>
          <w:rFonts w:ascii="Times New Roman" w:hAnsi="Times New Roman" w:cs="Times New Roman"/>
          <w:strike/>
          <w:sz w:val="28"/>
          <w:szCs w:val="28"/>
        </w:rPr>
      </w:pPr>
    </w:p>
    <w:p w14:paraId="6D93669D" w14:textId="62D54EB6" w:rsidR="0098412B" w:rsidRPr="00CB50D4" w:rsidRDefault="0078518A" w:rsidP="0098412B">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color w:val="242121"/>
          <w:sz w:val="28"/>
          <w:szCs w:val="28"/>
          <w:shd w:val="clear" w:color="auto" w:fill="FFFFFF"/>
        </w:rPr>
        <w:t xml:space="preserve">As to the s 21(5) defence, the high court, with reliance on </w:t>
      </w:r>
      <w:r w:rsidRPr="00CB50D4">
        <w:rPr>
          <w:rFonts w:ascii="Times New Roman" w:hAnsi="Times New Roman" w:cs="Times New Roman"/>
          <w:i/>
          <w:iCs/>
          <w:sz w:val="28"/>
          <w:szCs w:val="28"/>
        </w:rPr>
        <w:t>Rademan v Moqhaka Local Municipality</w:t>
      </w:r>
      <w:r w:rsidRPr="00CB50D4">
        <w:rPr>
          <w:rStyle w:val="FootnoteReference"/>
          <w:rFonts w:ascii="Times New Roman" w:hAnsi="Times New Roman" w:cs="Times New Roman"/>
          <w:iCs/>
          <w:sz w:val="28"/>
          <w:szCs w:val="28"/>
        </w:rPr>
        <w:footnoteReference w:id="3"/>
      </w:r>
      <w:r w:rsidRPr="00CB50D4">
        <w:rPr>
          <w:rFonts w:ascii="Times New Roman" w:hAnsi="Times New Roman" w:cs="Times New Roman"/>
          <w:i/>
          <w:iCs/>
          <w:sz w:val="28"/>
          <w:szCs w:val="28"/>
        </w:rPr>
        <w:t xml:space="preserve"> </w:t>
      </w:r>
      <w:r w:rsidRPr="00CB50D4">
        <w:rPr>
          <w:rFonts w:ascii="Times New Roman" w:hAnsi="Times New Roman" w:cs="Times New Roman"/>
          <w:iCs/>
          <w:sz w:val="28"/>
          <w:szCs w:val="28"/>
        </w:rPr>
        <w:t>held that</w:t>
      </w:r>
      <w:r w:rsidRPr="00CB50D4">
        <w:rPr>
          <w:rFonts w:ascii="Times New Roman" w:hAnsi="Times New Roman" w:cs="Times New Roman"/>
          <w:i/>
          <w:iCs/>
          <w:sz w:val="28"/>
          <w:szCs w:val="28"/>
        </w:rPr>
        <w:t xml:space="preserve"> </w:t>
      </w:r>
      <w:r w:rsidR="004A70BA" w:rsidRPr="00CB50D4">
        <w:rPr>
          <w:rFonts w:ascii="Times New Roman" w:hAnsi="Times New Roman" w:cs="Times New Roman"/>
          <w:color w:val="222222"/>
          <w:sz w:val="28"/>
          <w:szCs w:val="28"/>
          <w:shd w:val="clear" w:color="auto" w:fill="FFFFFF"/>
        </w:rPr>
        <w:t>Eskom</w:t>
      </w:r>
      <w:r w:rsidR="00926D2E" w:rsidRPr="00CB50D4">
        <w:rPr>
          <w:rFonts w:ascii="Times New Roman" w:hAnsi="Times New Roman" w:cs="Times New Roman"/>
          <w:color w:val="222222"/>
          <w:sz w:val="28"/>
          <w:szCs w:val="28"/>
          <w:shd w:val="clear" w:color="auto" w:fill="FFFFFF"/>
        </w:rPr>
        <w:t xml:space="preserve"> was empowered by s </w:t>
      </w:r>
      <w:r w:rsidRPr="00CB50D4">
        <w:rPr>
          <w:rFonts w:ascii="Times New Roman" w:hAnsi="Times New Roman" w:cs="Times New Roman"/>
          <w:color w:val="222222"/>
          <w:sz w:val="28"/>
          <w:szCs w:val="28"/>
          <w:shd w:val="clear" w:color="auto" w:fill="FFFFFF"/>
        </w:rPr>
        <w:t>21(5) of the ERA</w:t>
      </w:r>
      <w:r w:rsidR="004A70BA" w:rsidRPr="00CB50D4">
        <w:rPr>
          <w:rFonts w:ascii="Times New Roman" w:hAnsi="Times New Roman" w:cs="Times New Roman"/>
          <w:color w:val="222222"/>
          <w:sz w:val="28"/>
          <w:szCs w:val="28"/>
          <w:shd w:val="clear" w:color="auto" w:fill="FFFFFF"/>
        </w:rPr>
        <w:t xml:space="preserve"> to interrupt the suppl</w:t>
      </w:r>
      <w:r w:rsidR="00926D2E" w:rsidRPr="00CB50D4">
        <w:rPr>
          <w:rFonts w:ascii="Times New Roman" w:hAnsi="Times New Roman" w:cs="Times New Roman"/>
          <w:color w:val="222222"/>
          <w:sz w:val="28"/>
          <w:szCs w:val="28"/>
          <w:shd w:val="clear" w:color="auto" w:fill="FFFFFF"/>
        </w:rPr>
        <w:t xml:space="preserve">y of electricity to a defaulting customer such as </w:t>
      </w:r>
      <w:r w:rsidR="004A70BA" w:rsidRPr="00CB50D4">
        <w:rPr>
          <w:rFonts w:ascii="Times New Roman" w:hAnsi="Times New Roman" w:cs="Times New Roman"/>
          <w:color w:val="222222"/>
          <w:sz w:val="28"/>
          <w:szCs w:val="28"/>
          <w:shd w:val="clear" w:color="auto" w:fill="FFFFFF"/>
        </w:rPr>
        <w:t xml:space="preserve">the </w:t>
      </w:r>
      <w:r w:rsidR="00926D2E" w:rsidRPr="00CB50D4">
        <w:rPr>
          <w:rFonts w:ascii="Times New Roman" w:hAnsi="Times New Roman" w:cs="Times New Roman"/>
          <w:color w:val="222222"/>
          <w:sz w:val="28"/>
          <w:szCs w:val="28"/>
          <w:shd w:val="clear" w:color="auto" w:fill="FFFFFF"/>
        </w:rPr>
        <w:t xml:space="preserve">Municipality. </w:t>
      </w:r>
      <w:r w:rsidRPr="00CB50D4">
        <w:rPr>
          <w:rFonts w:ascii="Times New Roman" w:hAnsi="Times New Roman" w:cs="Times New Roman"/>
          <w:color w:val="222222"/>
          <w:sz w:val="28"/>
          <w:szCs w:val="28"/>
          <w:shd w:val="clear" w:color="auto" w:fill="FFFFFF"/>
        </w:rPr>
        <w:t xml:space="preserve">The high court also held </w:t>
      </w:r>
      <w:r w:rsidR="00612512" w:rsidRPr="00CB50D4">
        <w:rPr>
          <w:rFonts w:ascii="Times New Roman" w:hAnsi="Times New Roman" w:cs="Times New Roman"/>
          <w:color w:val="222222"/>
          <w:sz w:val="28"/>
          <w:szCs w:val="28"/>
          <w:shd w:val="clear" w:color="auto" w:fill="FFFFFF"/>
        </w:rPr>
        <w:t>that Eskom had followed proper procedures</w:t>
      </w:r>
      <w:r w:rsidR="0015079D" w:rsidRPr="00CB50D4">
        <w:rPr>
          <w:rFonts w:ascii="Times New Roman" w:hAnsi="Times New Roman" w:cs="Times New Roman"/>
          <w:color w:val="222222"/>
          <w:sz w:val="28"/>
          <w:szCs w:val="28"/>
          <w:shd w:val="clear" w:color="auto" w:fill="FFFFFF"/>
        </w:rPr>
        <w:t xml:space="preserve">, </w:t>
      </w:r>
      <w:r w:rsidR="0015079D" w:rsidRPr="00CB50D4">
        <w:rPr>
          <w:rFonts w:ascii="Times New Roman" w:hAnsi="Times New Roman" w:cs="Times New Roman"/>
          <w:color w:val="242121"/>
          <w:sz w:val="28"/>
          <w:szCs w:val="28"/>
          <w:shd w:val="clear" w:color="auto" w:fill="FFFFFF"/>
        </w:rPr>
        <w:t>including the PAJA and regulatory provisions, </w:t>
      </w:r>
      <w:r w:rsidR="00612512" w:rsidRPr="00CB50D4">
        <w:rPr>
          <w:rFonts w:ascii="Times New Roman" w:hAnsi="Times New Roman" w:cs="Times New Roman"/>
          <w:color w:val="222222"/>
          <w:sz w:val="28"/>
          <w:szCs w:val="28"/>
          <w:shd w:val="clear" w:color="auto" w:fill="FFFFFF"/>
        </w:rPr>
        <w:t xml:space="preserve">when it gave notices </w:t>
      </w:r>
      <w:r w:rsidR="00926D2E" w:rsidRPr="00CB50D4">
        <w:rPr>
          <w:rFonts w:ascii="Times New Roman" w:hAnsi="Times New Roman" w:cs="Times New Roman"/>
          <w:color w:val="222222"/>
          <w:sz w:val="28"/>
          <w:szCs w:val="28"/>
          <w:shd w:val="clear" w:color="auto" w:fill="FFFFFF"/>
        </w:rPr>
        <w:t xml:space="preserve">to implement the electricity </w:t>
      </w:r>
      <w:r w:rsidR="0015079D" w:rsidRPr="00CB50D4">
        <w:rPr>
          <w:rFonts w:ascii="Times New Roman" w:hAnsi="Times New Roman" w:cs="Times New Roman"/>
          <w:color w:val="222222"/>
          <w:sz w:val="28"/>
          <w:szCs w:val="28"/>
          <w:shd w:val="clear" w:color="auto" w:fill="FFFFFF"/>
        </w:rPr>
        <w:t xml:space="preserve">supply interruptions. </w:t>
      </w:r>
      <w:r w:rsidR="004019FB" w:rsidRPr="00CB50D4">
        <w:rPr>
          <w:rFonts w:ascii="Times New Roman" w:hAnsi="Times New Roman" w:cs="Times New Roman"/>
          <w:color w:val="222222"/>
          <w:sz w:val="28"/>
          <w:szCs w:val="28"/>
          <w:shd w:val="clear" w:color="auto" w:fill="FFFFFF"/>
        </w:rPr>
        <w:t>Consequently, the high court dismissed Pioneer’s application with costs.</w:t>
      </w:r>
    </w:p>
    <w:p w14:paraId="5D89E08E" w14:textId="77777777" w:rsidR="0098412B" w:rsidRPr="00CB50D4" w:rsidRDefault="0098412B" w:rsidP="0098412B">
      <w:pPr>
        <w:shd w:val="clear" w:color="auto" w:fill="FFFFFF"/>
        <w:spacing w:before="120" w:after="720" w:line="360" w:lineRule="auto"/>
        <w:contextualSpacing/>
        <w:jc w:val="both"/>
        <w:rPr>
          <w:rFonts w:ascii="Times New Roman" w:hAnsi="Times New Roman" w:cs="Times New Roman"/>
          <w:strike/>
          <w:sz w:val="28"/>
          <w:szCs w:val="28"/>
        </w:rPr>
      </w:pPr>
    </w:p>
    <w:p w14:paraId="39CA40B9" w14:textId="77777777" w:rsidR="00983121" w:rsidRPr="00CB50D4" w:rsidRDefault="00D16C48" w:rsidP="0089759B">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 xml:space="preserve">On 29 December 2020, judgment in </w:t>
      </w:r>
      <w:r w:rsidRPr="00CB50D4">
        <w:rPr>
          <w:rFonts w:ascii="Times New Roman" w:hAnsi="Times New Roman" w:cs="Times New Roman"/>
          <w:i/>
          <w:sz w:val="28"/>
          <w:szCs w:val="28"/>
        </w:rPr>
        <w:t xml:space="preserve">Eskom v Resilient Properties and </w:t>
      </w:r>
      <w:r w:rsidR="00574235" w:rsidRPr="00CB50D4">
        <w:rPr>
          <w:rFonts w:ascii="Times New Roman" w:hAnsi="Times New Roman" w:cs="Times New Roman"/>
          <w:i/>
          <w:sz w:val="28"/>
          <w:szCs w:val="28"/>
        </w:rPr>
        <w:t>Two Similar Matters</w:t>
      </w:r>
      <w:r w:rsidRPr="00CB50D4">
        <w:rPr>
          <w:rStyle w:val="FootnoteReference"/>
          <w:rFonts w:ascii="Times New Roman" w:hAnsi="Times New Roman" w:cs="Times New Roman"/>
          <w:sz w:val="28"/>
          <w:szCs w:val="28"/>
        </w:rPr>
        <w:footnoteReference w:id="4"/>
      </w:r>
      <w:r w:rsidR="00574235" w:rsidRPr="00CB50D4">
        <w:rPr>
          <w:rFonts w:ascii="Times New Roman" w:hAnsi="Times New Roman" w:cs="Times New Roman"/>
          <w:i/>
          <w:sz w:val="28"/>
          <w:szCs w:val="28"/>
        </w:rPr>
        <w:t xml:space="preserve"> </w:t>
      </w:r>
      <w:r w:rsidR="006D2D7A" w:rsidRPr="00CB50D4">
        <w:rPr>
          <w:rFonts w:ascii="Times New Roman" w:hAnsi="Times New Roman" w:cs="Times New Roman"/>
          <w:sz w:val="28"/>
          <w:szCs w:val="28"/>
        </w:rPr>
        <w:t>(</w:t>
      </w:r>
      <w:r w:rsidR="006D2D7A" w:rsidRPr="00CB50D4">
        <w:rPr>
          <w:rFonts w:ascii="Times New Roman" w:hAnsi="Times New Roman" w:cs="Times New Roman"/>
          <w:i/>
          <w:sz w:val="28"/>
          <w:szCs w:val="28"/>
        </w:rPr>
        <w:t>Resilient</w:t>
      </w:r>
      <w:r w:rsidR="006D2D7A" w:rsidRPr="00CB50D4">
        <w:rPr>
          <w:rFonts w:ascii="Times New Roman" w:hAnsi="Times New Roman" w:cs="Times New Roman"/>
          <w:sz w:val="28"/>
          <w:szCs w:val="28"/>
        </w:rPr>
        <w:t xml:space="preserve">) </w:t>
      </w:r>
      <w:r w:rsidR="009D717F" w:rsidRPr="00CB50D4">
        <w:rPr>
          <w:rFonts w:ascii="Times New Roman" w:hAnsi="Times New Roman" w:cs="Times New Roman"/>
          <w:sz w:val="28"/>
          <w:szCs w:val="28"/>
        </w:rPr>
        <w:t>was delivered</w:t>
      </w:r>
      <w:r w:rsidR="00374915" w:rsidRPr="00CB50D4">
        <w:rPr>
          <w:rFonts w:ascii="Times New Roman" w:hAnsi="Times New Roman" w:cs="Times New Roman"/>
          <w:sz w:val="28"/>
          <w:szCs w:val="28"/>
        </w:rPr>
        <w:t>.</w:t>
      </w:r>
      <w:r w:rsidR="009D717F" w:rsidRPr="00CB50D4">
        <w:rPr>
          <w:rFonts w:ascii="Times New Roman" w:hAnsi="Times New Roman" w:cs="Times New Roman"/>
          <w:sz w:val="28"/>
          <w:szCs w:val="28"/>
        </w:rPr>
        <w:t xml:space="preserve"> </w:t>
      </w:r>
      <w:r w:rsidR="00374915" w:rsidRPr="00CB50D4">
        <w:rPr>
          <w:rFonts w:ascii="Times New Roman" w:hAnsi="Times New Roman" w:cs="Times New Roman"/>
          <w:sz w:val="28"/>
          <w:szCs w:val="28"/>
        </w:rPr>
        <w:t>T</w:t>
      </w:r>
      <w:r w:rsidR="009D717F" w:rsidRPr="00CB50D4">
        <w:rPr>
          <w:rFonts w:ascii="Times New Roman" w:hAnsi="Times New Roman" w:cs="Times New Roman"/>
          <w:sz w:val="28"/>
          <w:szCs w:val="28"/>
        </w:rPr>
        <w:t>his Court provided clarity on two issues ra</w:t>
      </w:r>
      <w:r w:rsidR="0089759B" w:rsidRPr="00CB50D4">
        <w:rPr>
          <w:rFonts w:ascii="Times New Roman" w:hAnsi="Times New Roman" w:cs="Times New Roman"/>
          <w:sz w:val="28"/>
          <w:szCs w:val="28"/>
        </w:rPr>
        <w:t>ised in this appeal, namely</w:t>
      </w:r>
      <w:r w:rsidR="004E6CB5" w:rsidRPr="00CB50D4">
        <w:rPr>
          <w:rFonts w:ascii="Times New Roman" w:hAnsi="Times New Roman" w:cs="Times New Roman"/>
          <w:sz w:val="28"/>
          <w:szCs w:val="28"/>
        </w:rPr>
        <w:t>, whether</w:t>
      </w:r>
      <w:r w:rsidR="0089759B" w:rsidRPr="00CB50D4">
        <w:rPr>
          <w:rFonts w:ascii="Times New Roman" w:hAnsi="Times New Roman" w:cs="Times New Roman"/>
          <w:sz w:val="28"/>
          <w:szCs w:val="28"/>
        </w:rPr>
        <w:t xml:space="preserve">: (a) Eskom was in law entitled to invoke s 21(5) of the ERA without a court order authorising it to do so; (b) s 30 of the ERA provides for an internal remedy envisaged in the PAJA which must be exhausted before resorting to the courts.  </w:t>
      </w:r>
    </w:p>
    <w:p w14:paraId="700920C3" w14:textId="77777777" w:rsidR="00983121" w:rsidRPr="00CB50D4" w:rsidRDefault="00983121" w:rsidP="00983121">
      <w:pPr>
        <w:rPr>
          <w:rFonts w:ascii="Times New Roman" w:hAnsi="Times New Roman" w:cs="Times New Roman"/>
          <w:sz w:val="28"/>
          <w:szCs w:val="28"/>
        </w:rPr>
      </w:pPr>
    </w:p>
    <w:p w14:paraId="1653D384" w14:textId="571A7856" w:rsidR="0098412B" w:rsidRPr="00CB50D4" w:rsidRDefault="0089759B" w:rsidP="00983121">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lastRenderedPageBreak/>
        <w:t>As to the first issue, this Court concluded that s 21(5) of the ERA empowers Eskom to reduce or terminate the supply of electricity to its customers in the circumstances spelt out in the section. And that it may exercise that power without prior authorisation by a court.</w:t>
      </w:r>
      <w:r w:rsidR="0075062F" w:rsidRPr="00CB50D4">
        <w:rPr>
          <w:rStyle w:val="FootnoteReference"/>
          <w:rFonts w:ascii="Times New Roman" w:hAnsi="Times New Roman" w:cs="Times New Roman"/>
          <w:sz w:val="28"/>
          <w:szCs w:val="28"/>
        </w:rPr>
        <w:footnoteReference w:id="5"/>
      </w:r>
      <w:r w:rsidR="0075062F" w:rsidRPr="00CB50D4">
        <w:rPr>
          <w:rFonts w:ascii="Times New Roman" w:hAnsi="Times New Roman" w:cs="Times New Roman"/>
          <w:sz w:val="28"/>
          <w:szCs w:val="28"/>
        </w:rPr>
        <w:t xml:space="preserve"> As to the second issue, </w:t>
      </w:r>
      <w:r w:rsidR="0078518A" w:rsidRPr="00CB50D4">
        <w:rPr>
          <w:rFonts w:ascii="Times New Roman" w:hAnsi="Times New Roman" w:cs="Times New Roman"/>
          <w:sz w:val="28"/>
          <w:szCs w:val="28"/>
        </w:rPr>
        <w:t xml:space="preserve">this Court rejected Eskom’s contention that s 30 constituted an internal remedy </w:t>
      </w:r>
      <w:r w:rsidR="004019FB" w:rsidRPr="00CB50D4">
        <w:rPr>
          <w:rFonts w:ascii="Times New Roman" w:hAnsi="Times New Roman" w:cs="Times New Roman"/>
          <w:sz w:val="28"/>
          <w:szCs w:val="28"/>
        </w:rPr>
        <w:t xml:space="preserve">envisaged in s 7 of the PAJA. </w:t>
      </w:r>
      <w:r w:rsidR="00983121" w:rsidRPr="00CB50D4">
        <w:rPr>
          <w:rFonts w:ascii="Times New Roman" w:hAnsi="Times New Roman" w:cs="Times New Roman"/>
          <w:sz w:val="28"/>
          <w:szCs w:val="28"/>
        </w:rPr>
        <w:t xml:space="preserve">It </w:t>
      </w:r>
      <w:r w:rsidR="00525326" w:rsidRPr="00CB50D4">
        <w:rPr>
          <w:rFonts w:ascii="Times New Roman" w:hAnsi="Times New Roman" w:cs="Times New Roman"/>
          <w:sz w:val="28"/>
          <w:szCs w:val="28"/>
        </w:rPr>
        <w:t xml:space="preserve">explained that </w:t>
      </w:r>
      <w:r w:rsidR="00983121" w:rsidRPr="00CB50D4">
        <w:rPr>
          <w:rFonts w:ascii="Times New Roman" w:hAnsi="Times New Roman" w:cs="Times New Roman"/>
          <w:sz w:val="28"/>
          <w:szCs w:val="28"/>
        </w:rPr>
        <w:t xml:space="preserve">the section </w:t>
      </w:r>
      <w:r w:rsidR="00525326" w:rsidRPr="00CB50D4">
        <w:rPr>
          <w:rFonts w:ascii="Times New Roman" w:hAnsi="Times New Roman" w:cs="Times New Roman"/>
          <w:sz w:val="28"/>
          <w:szCs w:val="28"/>
        </w:rPr>
        <w:t>‘cannot apply to a dispute where Eskom seeks to interrupt bulk electricity supply to a municipality which, although willing to settle its indebtedness, is unable to do so because it is not only facing financial crisis but also contests Eskom’s right to interrupt electricity.’</w:t>
      </w:r>
      <w:r w:rsidR="00525326" w:rsidRPr="00CB50D4">
        <w:rPr>
          <w:rStyle w:val="FootnoteReference"/>
          <w:rFonts w:ascii="Times New Roman" w:hAnsi="Times New Roman" w:cs="Times New Roman"/>
          <w:sz w:val="28"/>
          <w:szCs w:val="28"/>
        </w:rPr>
        <w:footnoteReference w:id="6"/>
      </w:r>
      <w:r w:rsidR="00525326" w:rsidRPr="00CB50D4">
        <w:rPr>
          <w:rFonts w:ascii="Times New Roman" w:hAnsi="Times New Roman" w:cs="Times New Roman"/>
          <w:sz w:val="28"/>
          <w:szCs w:val="28"/>
        </w:rPr>
        <w:t xml:space="preserve"> </w:t>
      </w:r>
    </w:p>
    <w:p w14:paraId="472DE487" w14:textId="77777777" w:rsidR="00574235" w:rsidRPr="00CB50D4" w:rsidRDefault="00574235" w:rsidP="00574235">
      <w:pPr>
        <w:shd w:val="clear" w:color="auto" w:fill="FFFFFF"/>
        <w:spacing w:before="120" w:after="720" w:line="360" w:lineRule="auto"/>
        <w:contextualSpacing/>
        <w:jc w:val="both"/>
        <w:rPr>
          <w:rFonts w:ascii="Times New Roman" w:hAnsi="Times New Roman" w:cs="Times New Roman"/>
          <w:strike/>
          <w:sz w:val="28"/>
          <w:szCs w:val="28"/>
        </w:rPr>
      </w:pPr>
    </w:p>
    <w:p w14:paraId="7CB5BDEA" w14:textId="77777777" w:rsidR="00983121" w:rsidRPr="00CB50D4" w:rsidRDefault="00D77924" w:rsidP="00983121">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 xml:space="preserve">Additionally, in </w:t>
      </w:r>
      <w:r w:rsidRPr="00CB50D4">
        <w:rPr>
          <w:rFonts w:ascii="Times New Roman" w:hAnsi="Times New Roman" w:cs="Times New Roman"/>
          <w:i/>
          <w:sz w:val="28"/>
          <w:szCs w:val="28"/>
        </w:rPr>
        <w:t>Resilient</w:t>
      </w:r>
      <w:r w:rsidRPr="00CB50D4">
        <w:rPr>
          <w:rFonts w:ascii="Times New Roman" w:hAnsi="Times New Roman" w:cs="Times New Roman"/>
          <w:sz w:val="28"/>
          <w:szCs w:val="28"/>
        </w:rPr>
        <w:t>, this Court also made another important finding (which did n</w:t>
      </w:r>
      <w:r w:rsidR="00983121" w:rsidRPr="00CB50D4">
        <w:rPr>
          <w:rFonts w:ascii="Times New Roman" w:hAnsi="Times New Roman" w:cs="Times New Roman"/>
          <w:sz w:val="28"/>
          <w:szCs w:val="28"/>
        </w:rPr>
        <w:t>ot feature in the present case). It held that</w:t>
      </w:r>
      <w:r w:rsidRPr="00CB50D4">
        <w:rPr>
          <w:rFonts w:ascii="Times New Roman" w:hAnsi="Times New Roman" w:cs="Times New Roman"/>
          <w:sz w:val="28"/>
          <w:szCs w:val="28"/>
        </w:rPr>
        <w:t xml:space="preserve"> </w:t>
      </w:r>
      <w:r w:rsidR="008E72F8" w:rsidRPr="00CB50D4">
        <w:rPr>
          <w:rFonts w:ascii="Times New Roman" w:hAnsi="Times New Roman" w:cs="Times New Roman"/>
          <w:sz w:val="28"/>
          <w:szCs w:val="28"/>
        </w:rPr>
        <w:t xml:space="preserve">Eskom </w:t>
      </w:r>
      <w:r w:rsidR="00983121" w:rsidRPr="00CB50D4">
        <w:rPr>
          <w:rFonts w:ascii="Times New Roman" w:hAnsi="Times New Roman" w:cs="Times New Roman"/>
          <w:sz w:val="28"/>
          <w:szCs w:val="28"/>
        </w:rPr>
        <w:t>was obliged</w:t>
      </w:r>
      <w:r w:rsidR="008E72F8" w:rsidRPr="00CB50D4">
        <w:rPr>
          <w:rFonts w:ascii="Times New Roman" w:hAnsi="Times New Roman" w:cs="Times New Roman"/>
          <w:sz w:val="28"/>
          <w:szCs w:val="28"/>
        </w:rPr>
        <w:t xml:space="preserve"> </w:t>
      </w:r>
      <w:r w:rsidRPr="00CB50D4">
        <w:rPr>
          <w:rFonts w:ascii="Times New Roman" w:hAnsi="Times New Roman" w:cs="Times New Roman"/>
          <w:sz w:val="28"/>
          <w:szCs w:val="28"/>
        </w:rPr>
        <w:t xml:space="preserve">to resolve </w:t>
      </w:r>
      <w:r w:rsidR="00983121" w:rsidRPr="00CB50D4">
        <w:rPr>
          <w:rFonts w:ascii="Times New Roman" w:hAnsi="Times New Roman" w:cs="Times New Roman"/>
          <w:sz w:val="28"/>
          <w:szCs w:val="28"/>
        </w:rPr>
        <w:t>its</w:t>
      </w:r>
      <w:r w:rsidR="008E72F8" w:rsidRPr="00CB50D4">
        <w:rPr>
          <w:rFonts w:ascii="Times New Roman" w:hAnsi="Times New Roman" w:cs="Times New Roman"/>
          <w:sz w:val="28"/>
          <w:szCs w:val="28"/>
        </w:rPr>
        <w:t xml:space="preserve"> </w:t>
      </w:r>
      <w:r w:rsidR="008A7B44" w:rsidRPr="00CB50D4">
        <w:rPr>
          <w:rFonts w:ascii="Times New Roman" w:hAnsi="Times New Roman" w:cs="Times New Roman"/>
          <w:sz w:val="28"/>
          <w:szCs w:val="28"/>
        </w:rPr>
        <w:t>disputes</w:t>
      </w:r>
      <w:r w:rsidRPr="00CB50D4">
        <w:rPr>
          <w:rFonts w:ascii="Times New Roman" w:hAnsi="Times New Roman" w:cs="Times New Roman"/>
          <w:sz w:val="28"/>
          <w:szCs w:val="28"/>
        </w:rPr>
        <w:t xml:space="preserve"> </w:t>
      </w:r>
      <w:r w:rsidR="00983121" w:rsidRPr="00CB50D4">
        <w:rPr>
          <w:rFonts w:ascii="Times New Roman" w:hAnsi="Times New Roman" w:cs="Times New Roman"/>
          <w:sz w:val="28"/>
          <w:szCs w:val="28"/>
        </w:rPr>
        <w:t xml:space="preserve">with the municipalities to which it supplies electricity, </w:t>
      </w:r>
      <w:r w:rsidRPr="00CB50D4">
        <w:rPr>
          <w:rFonts w:ascii="Times New Roman" w:hAnsi="Times New Roman" w:cs="Times New Roman"/>
          <w:sz w:val="28"/>
          <w:szCs w:val="28"/>
        </w:rPr>
        <w:t>through the framework of the</w:t>
      </w:r>
      <w:r w:rsidRPr="00CB50D4">
        <w:rPr>
          <w:rFonts w:ascii="Times New Roman" w:hAnsi="Times New Roman" w:cs="Times New Roman"/>
          <w:b/>
          <w:sz w:val="28"/>
          <w:szCs w:val="28"/>
        </w:rPr>
        <w:t xml:space="preserve"> </w:t>
      </w:r>
      <w:r w:rsidRPr="00CB50D4">
        <w:rPr>
          <w:rFonts w:ascii="Times New Roman" w:hAnsi="Times New Roman" w:cs="Times New Roman"/>
          <w:bCs/>
          <w:sz w:val="28"/>
          <w:szCs w:val="28"/>
        </w:rPr>
        <w:t xml:space="preserve">Intergovernmental Relations Framework Act 13 of 2005 (the </w:t>
      </w:r>
      <w:r w:rsidRPr="00CB50D4">
        <w:rPr>
          <w:rFonts w:ascii="Times New Roman" w:hAnsi="Times New Roman" w:cs="Times New Roman"/>
          <w:sz w:val="28"/>
          <w:szCs w:val="28"/>
        </w:rPr>
        <w:t xml:space="preserve">IRFA). This Court </w:t>
      </w:r>
      <w:r w:rsidR="00983121" w:rsidRPr="00CB50D4">
        <w:rPr>
          <w:rFonts w:ascii="Times New Roman" w:hAnsi="Times New Roman" w:cs="Times New Roman"/>
          <w:sz w:val="28"/>
          <w:szCs w:val="28"/>
        </w:rPr>
        <w:t xml:space="preserve">alluded </w:t>
      </w:r>
      <w:r w:rsidR="00D456FB" w:rsidRPr="00CB50D4">
        <w:rPr>
          <w:rFonts w:ascii="Times New Roman" w:hAnsi="Times New Roman" w:cs="Times New Roman"/>
          <w:sz w:val="28"/>
          <w:szCs w:val="28"/>
        </w:rPr>
        <w:t xml:space="preserve">to the unique nature of the relationship between Eskom and </w:t>
      </w:r>
      <w:r w:rsidR="00983121" w:rsidRPr="00CB50D4">
        <w:rPr>
          <w:rFonts w:ascii="Times New Roman" w:hAnsi="Times New Roman" w:cs="Times New Roman"/>
          <w:sz w:val="28"/>
          <w:szCs w:val="28"/>
        </w:rPr>
        <w:t xml:space="preserve">such </w:t>
      </w:r>
      <w:r w:rsidR="00D456FB" w:rsidRPr="00CB50D4">
        <w:rPr>
          <w:rFonts w:ascii="Times New Roman" w:hAnsi="Times New Roman" w:cs="Times New Roman"/>
          <w:sz w:val="28"/>
          <w:szCs w:val="28"/>
        </w:rPr>
        <w:t>m</w:t>
      </w:r>
      <w:r w:rsidR="0000688D" w:rsidRPr="00CB50D4">
        <w:rPr>
          <w:rFonts w:ascii="Times New Roman" w:hAnsi="Times New Roman" w:cs="Times New Roman"/>
          <w:sz w:val="28"/>
          <w:szCs w:val="28"/>
        </w:rPr>
        <w:t>unicipalities</w:t>
      </w:r>
      <w:r w:rsidR="00983121" w:rsidRPr="00CB50D4">
        <w:rPr>
          <w:rFonts w:ascii="Times New Roman" w:hAnsi="Times New Roman" w:cs="Times New Roman"/>
          <w:sz w:val="28"/>
          <w:szCs w:val="28"/>
        </w:rPr>
        <w:t xml:space="preserve">. </w:t>
      </w:r>
      <w:r w:rsidR="008A7B44" w:rsidRPr="00CB50D4">
        <w:rPr>
          <w:rFonts w:ascii="Times New Roman" w:hAnsi="Times New Roman" w:cs="Times New Roman"/>
          <w:sz w:val="28"/>
          <w:szCs w:val="28"/>
        </w:rPr>
        <w:t>Eskom</w:t>
      </w:r>
      <w:r w:rsidR="004E6CB5" w:rsidRPr="00CB50D4">
        <w:rPr>
          <w:rFonts w:ascii="Times New Roman" w:hAnsi="Times New Roman" w:cs="Times New Roman"/>
          <w:sz w:val="28"/>
          <w:szCs w:val="28"/>
        </w:rPr>
        <w:t xml:space="preserve"> a</w:t>
      </w:r>
      <w:r w:rsidR="00D456FB" w:rsidRPr="00CB50D4">
        <w:rPr>
          <w:rFonts w:ascii="Times New Roman" w:hAnsi="Times New Roman" w:cs="Times New Roman"/>
          <w:sz w:val="28"/>
          <w:szCs w:val="28"/>
        </w:rPr>
        <w:t>s</w:t>
      </w:r>
      <w:r w:rsidRPr="00CB50D4">
        <w:rPr>
          <w:rFonts w:ascii="Times New Roman" w:hAnsi="Times New Roman" w:cs="Times New Roman"/>
          <w:sz w:val="28"/>
          <w:szCs w:val="28"/>
        </w:rPr>
        <w:t xml:space="preserve"> an organ of state,</w:t>
      </w:r>
      <w:r w:rsidR="00D456FB" w:rsidRPr="00CB50D4">
        <w:rPr>
          <w:rFonts w:ascii="Times New Roman" w:hAnsi="Times New Roman" w:cs="Times New Roman"/>
          <w:sz w:val="28"/>
          <w:szCs w:val="28"/>
        </w:rPr>
        <w:t xml:space="preserve"> </w:t>
      </w:r>
      <w:r w:rsidR="0000688D" w:rsidRPr="00CB50D4">
        <w:rPr>
          <w:rFonts w:ascii="Times New Roman" w:hAnsi="Times New Roman" w:cs="Times New Roman"/>
          <w:sz w:val="28"/>
          <w:szCs w:val="28"/>
        </w:rPr>
        <w:t xml:space="preserve">and </w:t>
      </w:r>
      <w:r w:rsidR="00D456FB" w:rsidRPr="00CB50D4">
        <w:rPr>
          <w:rFonts w:ascii="Times New Roman" w:hAnsi="Times New Roman" w:cs="Times New Roman"/>
          <w:sz w:val="28"/>
          <w:szCs w:val="28"/>
        </w:rPr>
        <w:t>the municipalities</w:t>
      </w:r>
      <w:r w:rsidR="0000688D" w:rsidRPr="00CB50D4">
        <w:rPr>
          <w:rFonts w:ascii="Times New Roman" w:hAnsi="Times New Roman" w:cs="Times New Roman"/>
          <w:sz w:val="28"/>
          <w:szCs w:val="28"/>
        </w:rPr>
        <w:t xml:space="preserve"> as local spheres of government,</w:t>
      </w:r>
      <w:r w:rsidR="00D456FB" w:rsidRPr="00CB50D4">
        <w:rPr>
          <w:rFonts w:ascii="Times New Roman" w:hAnsi="Times New Roman" w:cs="Times New Roman"/>
          <w:sz w:val="28"/>
          <w:szCs w:val="28"/>
        </w:rPr>
        <w:t xml:space="preserve"> bear constitutional obligations to provide communities with electricity, and any interruption thereof, implicates the municipali</w:t>
      </w:r>
      <w:r w:rsidR="0000688D" w:rsidRPr="00CB50D4">
        <w:rPr>
          <w:rFonts w:ascii="Times New Roman" w:hAnsi="Times New Roman" w:cs="Times New Roman"/>
          <w:sz w:val="28"/>
          <w:szCs w:val="28"/>
        </w:rPr>
        <w:t>ties’ ability to discharge its</w:t>
      </w:r>
      <w:r w:rsidR="00D456FB" w:rsidRPr="00CB50D4">
        <w:rPr>
          <w:rFonts w:ascii="Times New Roman" w:hAnsi="Times New Roman" w:cs="Times New Roman"/>
          <w:sz w:val="28"/>
          <w:szCs w:val="28"/>
        </w:rPr>
        <w:t xml:space="preserve"> obligations.</w:t>
      </w:r>
      <w:r w:rsidR="00D456FB" w:rsidRPr="00CB50D4">
        <w:rPr>
          <w:rStyle w:val="FootnoteReference"/>
          <w:rFonts w:ascii="Times New Roman" w:hAnsi="Times New Roman" w:cs="Times New Roman"/>
          <w:sz w:val="28"/>
          <w:szCs w:val="28"/>
        </w:rPr>
        <w:footnoteReference w:id="7"/>
      </w:r>
      <w:r w:rsidR="00D456FB" w:rsidRPr="00CB50D4">
        <w:rPr>
          <w:rFonts w:ascii="Times New Roman" w:hAnsi="Times New Roman" w:cs="Times New Roman"/>
          <w:sz w:val="28"/>
          <w:szCs w:val="28"/>
        </w:rPr>
        <w:t xml:space="preserve"> </w:t>
      </w:r>
    </w:p>
    <w:p w14:paraId="3782446B" w14:textId="77777777" w:rsidR="00983121" w:rsidRPr="00CB50D4" w:rsidRDefault="00983121" w:rsidP="00983121">
      <w:pPr>
        <w:rPr>
          <w:rFonts w:ascii="Times New Roman" w:hAnsi="Times New Roman" w:cs="Times New Roman"/>
          <w:sz w:val="28"/>
          <w:szCs w:val="28"/>
        </w:rPr>
      </w:pPr>
    </w:p>
    <w:p w14:paraId="399E4AB7" w14:textId="5D91DED7" w:rsidR="00574235" w:rsidRPr="00CB50D4" w:rsidRDefault="00D456FB" w:rsidP="00983121">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This brought the relationship within the purview of the IRFA.</w:t>
      </w:r>
      <w:r w:rsidRPr="00CB50D4">
        <w:rPr>
          <w:rStyle w:val="FootnoteReference"/>
          <w:rFonts w:ascii="Times New Roman" w:hAnsi="Times New Roman" w:cs="Times New Roman"/>
          <w:sz w:val="28"/>
          <w:szCs w:val="28"/>
        </w:rPr>
        <w:footnoteReference w:id="8"/>
      </w:r>
      <w:r w:rsidR="008E72F8" w:rsidRPr="00CB50D4">
        <w:rPr>
          <w:rFonts w:ascii="Times New Roman" w:hAnsi="Times New Roman" w:cs="Times New Roman"/>
          <w:sz w:val="28"/>
          <w:szCs w:val="28"/>
        </w:rPr>
        <w:t xml:space="preserve"> Therefore, </w:t>
      </w:r>
      <w:r w:rsidRPr="00CB50D4">
        <w:rPr>
          <w:rFonts w:ascii="Times New Roman" w:hAnsi="Times New Roman" w:cs="Times New Roman"/>
          <w:sz w:val="28"/>
          <w:szCs w:val="28"/>
        </w:rPr>
        <w:t>before</w:t>
      </w:r>
      <w:r w:rsidR="00D77924" w:rsidRPr="00CB50D4">
        <w:rPr>
          <w:rFonts w:ascii="Times New Roman" w:hAnsi="Times New Roman" w:cs="Times New Roman"/>
          <w:sz w:val="28"/>
          <w:szCs w:val="28"/>
        </w:rPr>
        <w:t xml:space="preserve"> </w:t>
      </w:r>
      <w:r w:rsidRPr="00CB50D4">
        <w:rPr>
          <w:rFonts w:ascii="Times New Roman" w:hAnsi="Times New Roman" w:cs="Times New Roman"/>
          <w:sz w:val="28"/>
          <w:szCs w:val="28"/>
        </w:rPr>
        <w:t>taking the decision to interrupt electricity supply to the municipalities failing to pay for the electricity supplied,</w:t>
      </w:r>
      <w:r w:rsidR="008E72F8" w:rsidRPr="00CB50D4">
        <w:rPr>
          <w:rFonts w:ascii="Times New Roman" w:hAnsi="Times New Roman" w:cs="Times New Roman"/>
          <w:sz w:val="28"/>
          <w:szCs w:val="28"/>
        </w:rPr>
        <w:t xml:space="preserve"> Eskom</w:t>
      </w:r>
      <w:r w:rsidRPr="00CB50D4">
        <w:rPr>
          <w:rFonts w:ascii="Times New Roman" w:hAnsi="Times New Roman" w:cs="Times New Roman"/>
          <w:sz w:val="28"/>
          <w:szCs w:val="28"/>
        </w:rPr>
        <w:t xml:space="preserve"> </w:t>
      </w:r>
      <w:r w:rsidR="00D77924" w:rsidRPr="00CB50D4">
        <w:rPr>
          <w:rFonts w:ascii="Times New Roman" w:hAnsi="Times New Roman" w:cs="Times New Roman"/>
          <w:sz w:val="28"/>
          <w:szCs w:val="28"/>
        </w:rPr>
        <w:t xml:space="preserve">is </w:t>
      </w:r>
      <w:r w:rsidR="008A7B44" w:rsidRPr="00CB50D4">
        <w:rPr>
          <w:rFonts w:ascii="Times New Roman" w:hAnsi="Times New Roman" w:cs="Times New Roman"/>
          <w:sz w:val="28"/>
          <w:szCs w:val="28"/>
        </w:rPr>
        <w:t>required to comply with s</w:t>
      </w:r>
      <w:r w:rsidR="00574235" w:rsidRPr="00CB50D4">
        <w:rPr>
          <w:rFonts w:ascii="Times New Roman" w:hAnsi="Times New Roman" w:cs="Times New Roman"/>
          <w:sz w:val="28"/>
          <w:szCs w:val="28"/>
        </w:rPr>
        <w:t>s 40 and</w:t>
      </w:r>
      <w:r w:rsidR="008A7B44" w:rsidRPr="00CB50D4">
        <w:rPr>
          <w:rFonts w:ascii="Times New Roman" w:hAnsi="Times New Roman" w:cs="Times New Roman"/>
          <w:sz w:val="28"/>
          <w:szCs w:val="28"/>
        </w:rPr>
        <w:t xml:space="preserve"> 41(3) of the IRFA</w:t>
      </w:r>
      <w:r w:rsidR="00574235" w:rsidRPr="00CB50D4">
        <w:rPr>
          <w:rFonts w:ascii="Times New Roman" w:hAnsi="Times New Roman" w:cs="Times New Roman"/>
          <w:sz w:val="28"/>
          <w:szCs w:val="28"/>
        </w:rPr>
        <w:t xml:space="preserve">, </w:t>
      </w:r>
      <w:r w:rsidR="00983121" w:rsidRPr="00CB50D4">
        <w:rPr>
          <w:rFonts w:ascii="Times New Roman" w:hAnsi="Times New Roman" w:cs="Times New Roman"/>
          <w:sz w:val="28"/>
          <w:szCs w:val="28"/>
        </w:rPr>
        <w:t>which require</w:t>
      </w:r>
      <w:r w:rsidR="008E72F8" w:rsidRPr="00CB50D4">
        <w:rPr>
          <w:rFonts w:ascii="Times New Roman" w:hAnsi="Times New Roman" w:cs="Times New Roman"/>
          <w:sz w:val="28"/>
          <w:szCs w:val="28"/>
        </w:rPr>
        <w:t xml:space="preserve"> organs of state to exhaust all other remedies to resolve disputes before they approach a court.</w:t>
      </w:r>
      <w:r w:rsidR="004252EE" w:rsidRPr="00CB50D4">
        <w:rPr>
          <w:rStyle w:val="FootnoteReference"/>
          <w:rFonts w:ascii="Times New Roman" w:hAnsi="Times New Roman" w:cs="Times New Roman"/>
          <w:sz w:val="28"/>
          <w:szCs w:val="28"/>
        </w:rPr>
        <w:footnoteReference w:id="9"/>
      </w:r>
      <w:r w:rsidR="00F2508D">
        <w:rPr>
          <w:rFonts w:ascii="Times New Roman" w:hAnsi="Times New Roman" w:cs="Times New Roman"/>
          <w:sz w:val="28"/>
          <w:szCs w:val="28"/>
        </w:rPr>
        <w:t xml:space="preserve"> </w:t>
      </w:r>
      <w:r w:rsidR="00983121" w:rsidRPr="00CB50D4">
        <w:rPr>
          <w:rFonts w:ascii="Times New Roman" w:hAnsi="Times New Roman" w:cs="Times New Roman"/>
          <w:sz w:val="28"/>
          <w:szCs w:val="28"/>
        </w:rPr>
        <w:t xml:space="preserve">Thus, </w:t>
      </w:r>
      <w:r w:rsidR="00574235" w:rsidRPr="00CB50D4">
        <w:rPr>
          <w:rFonts w:ascii="Times New Roman" w:hAnsi="Times New Roman" w:cs="Times New Roman"/>
          <w:sz w:val="28"/>
          <w:szCs w:val="28"/>
        </w:rPr>
        <w:t xml:space="preserve">Eskom should bear in </w:t>
      </w:r>
      <w:r w:rsidR="00574235" w:rsidRPr="00CB50D4">
        <w:rPr>
          <w:rFonts w:ascii="Times New Roman" w:hAnsi="Times New Roman" w:cs="Times New Roman"/>
          <w:sz w:val="28"/>
          <w:szCs w:val="28"/>
        </w:rPr>
        <w:lastRenderedPageBreak/>
        <w:t>mind that terminating the supply of electricity to an entire municipality in the circumstances provided for in s 21(5)</w:t>
      </w:r>
      <w:r w:rsidR="003B2B11" w:rsidRPr="00CB50D4">
        <w:rPr>
          <w:rFonts w:ascii="Times New Roman" w:hAnsi="Times New Roman" w:cs="Times New Roman"/>
          <w:sz w:val="28"/>
          <w:szCs w:val="28"/>
        </w:rPr>
        <w:t>,</w:t>
      </w:r>
      <w:r w:rsidR="00574235" w:rsidRPr="00CB50D4">
        <w:rPr>
          <w:rFonts w:ascii="Times New Roman" w:hAnsi="Times New Roman" w:cs="Times New Roman"/>
          <w:sz w:val="28"/>
          <w:szCs w:val="28"/>
        </w:rPr>
        <w:t xml:space="preserve"> would have the effect of collapsing the entire municipality, rendering it unable to fulfil its constitutional and statutory mandate to provide basic services.</w:t>
      </w:r>
      <w:r w:rsidR="00574235" w:rsidRPr="00CB50D4">
        <w:rPr>
          <w:rStyle w:val="FootnoteReference"/>
          <w:rFonts w:ascii="Times New Roman" w:hAnsi="Times New Roman" w:cs="Times New Roman"/>
          <w:sz w:val="28"/>
          <w:szCs w:val="28"/>
        </w:rPr>
        <w:footnoteReference w:id="10"/>
      </w:r>
      <w:r w:rsidR="00574235" w:rsidRPr="00CB50D4">
        <w:rPr>
          <w:rFonts w:ascii="Times New Roman" w:hAnsi="Times New Roman" w:cs="Times New Roman"/>
          <w:sz w:val="28"/>
          <w:szCs w:val="28"/>
        </w:rPr>
        <w:t xml:space="preserve"> </w:t>
      </w:r>
    </w:p>
    <w:p w14:paraId="107F3F8D" w14:textId="77777777" w:rsidR="00983121" w:rsidRPr="00CB50D4" w:rsidRDefault="00983121" w:rsidP="00983121">
      <w:pPr>
        <w:shd w:val="clear" w:color="auto" w:fill="FFFFFF"/>
        <w:spacing w:before="120" w:after="720" w:line="360" w:lineRule="auto"/>
        <w:contextualSpacing/>
        <w:jc w:val="both"/>
        <w:rPr>
          <w:rFonts w:ascii="Times New Roman" w:hAnsi="Times New Roman" w:cs="Times New Roman"/>
          <w:strike/>
          <w:sz w:val="28"/>
          <w:szCs w:val="28"/>
        </w:rPr>
      </w:pPr>
    </w:p>
    <w:p w14:paraId="5B7B625A" w14:textId="06388DFC" w:rsidR="00685D01" w:rsidRPr="00CB50D4" w:rsidRDefault="003208C3" w:rsidP="008E72F8">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 xml:space="preserve">The effect of this Court’s judgment in </w:t>
      </w:r>
      <w:r w:rsidRPr="00CB50D4">
        <w:rPr>
          <w:rFonts w:ascii="Times New Roman" w:hAnsi="Times New Roman" w:cs="Times New Roman"/>
          <w:i/>
          <w:sz w:val="28"/>
          <w:szCs w:val="28"/>
        </w:rPr>
        <w:t>Resilient</w:t>
      </w:r>
      <w:r w:rsidRPr="00CB50D4">
        <w:rPr>
          <w:rFonts w:ascii="Times New Roman" w:hAnsi="Times New Roman" w:cs="Times New Roman"/>
          <w:sz w:val="28"/>
          <w:szCs w:val="28"/>
        </w:rPr>
        <w:t xml:space="preserve"> is that the jurisprudential </w:t>
      </w:r>
      <w:r w:rsidR="008E7D1F" w:rsidRPr="00CB50D4">
        <w:rPr>
          <w:rFonts w:ascii="Times New Roman" w:hAnsi="Times New Roman" w:cs="Times New Roman"/>
          <w:sz w:val="28"/>
          <w:szCs w:val="28"/>
        </w:rPr>
        <w:t xml:space="preserve">issues </w:t>
      </w:r>
      <w:r w:rsidR="004252EE" w:rsidRPr="00CB50D4">
        <w:rPr>
          <w:rFonts w:ascii="Times New Roman" w:hAnsi="Times New Roman" w:cs="Times New Roman"/>
          <w:sz w:val="28"/>
          <w:szCs w:val="28"/>
        </w:rPr>
        <w:t>in this appeal</w:t>
      </w:r>
      <w:r w:rsidR="008E7D1F" w:rsidRPr="00CB50D4">
        <w:rPr>
          <w:rFonts w:ascii="Times New Roman" w:hAnsi="Times New Roman" w:cs="Times New Roman"/>
          <w:sz w:val="28"/>
          <w:szCs w:val="28"/>
        </w:rPr>
        <w:t xml:space="preserve">, namely the application of s 21(5) and </w:t>
      </w:r>
      <w:r w:rsidR="00AF77FD">
        <w:rPr>
          <w:rFonts w:ascii="Times New Roman" w:hAnsi="Times New Roman" w:cs="Times New Roman"/>
          <w:sz w:val="28"/>
          <w:szCs w:val="28"/>
        </w:rPr>
        <w:t xml:space="preserve">whether </w:t>
      </w:r>
      <w:r w:rsidR="00390016" w:rsidRPr="00CB50D4">
        <w:rPr>
          <w:rFonts w:ascii="Times New Roman" w:hAnsi="Times New Roman" w:cs="Times New Roman"/>
          <w:sz w:val="28"/>
          <w:szCs w:val="28"/>
        </w:rPr>
        <w:t>s 30 constitutes</w:t>
      </w:r>
      <w:r w:rsidR="008E7D1F" w:rsidRPr="00CB50D4">
        <w:rPr>
          <w:rFonts w:ascii="Times New Roman" w:hAnsi="Times New Roman" w:cs="Times New Roman"/>
          <w:sz w:val="28"/>
          <w:szCs w:val="28"/>
        </w:rPr>
        <w:t xml:space="preserve"> an internal remedy </w:t>
      </w:r>
      <w:r w:rsidR="00983121" w:rsidRPr="00CB50D4">
        <w:rPr>
          <w:rFonts w:ascii="Times New Roman" w:hAnsi="Times New Roman" w:cs="Times New Roman"/>
          <w:sz w:val="28"/>
          <w:szCs w:val="28"/>
        </w:rPr>
        <w:t xml:space="preserve">envisaged in s 7(2) of the PAJA, </w:t>
      </w:r>
      <w:r w:rsidR="008E7D1F" w:rsidRPr="00CB50D4">
        <w:rPr>
          <w:rFonts w:ascii="Times New Roman" w:hAnsi="Times New Roman" w:cs="Times New Roman"/>
          <w:sz w:val="28"/>
          <w:szCs w:val="28"/>
        </w:rPr>
        <w:t xml:space="preserve">have </w:t>
      </w:r>
      <w:r w:rsidR="003B2B11" w:rsidRPr="00CB50D4">
        <w:rPr>
          <w:rFonts w:ascii="Times New Roman" w:hAnsi="Times New Roman" w:cs="Times New Roman"/>
          <w:sz w:val="28"/>
          <w:szCs w:val="28"/>
        </w:rPr>
        <w:t xml:space="preserve">now </w:t>
      </w:r>
      <w:r w:rsidR="008E7D1F" w:rsidRPr="00CB50D4">
        <w:rPr>
          <w:rFonts w:ascii="Times New Roman" w:hAnsi="Times New Roman" w:cs="Times New Roman"/>
          <w:sz w:val="28"/>
          <w:szCs w:val="28"/>
        </w:rPr>
        <w:t>been</w:t>
      </w:r>
      <w:r w:rsidR="008A2297" w:rsidRPr="00CB50D4">
        <w:rPr>
          <w:rFonts w:ascii="Times New Roman" w:hAnsi="Times New Roman" w:cs="Times New Roman"/>
          <w:sz w:val="28"/>
          <w:szCs w:val="28"/>
        </w:rPr>
        <w:t xml:space="preserve"> decided</w:t>
      </w:r>
      <w:r w:rsidR="008E7D1F" w:rsidRPr="00CB50D4">
        <w:rPr>
          <w:rFonts w:ascii="Times New Roman" w:hAnsi="Times New Roman" w:cs="Times New Roman"/>
          <w:sz w:val="28"/>
          <w:szCs w:val="28"/>
        </w:rPr>
        <w:t xml:space="preserve">. This Court has also clarified Eskom’s obligation to comply with the relevant provisions of the IRFA before it decides to interrupt electricity supply to the municipalities. Furthermore, it is common cause that </w:t>
      </w:r>
      <w:r w:rsidR="009C55CE" w:rsidRPr="00CB50D4">
        <w:rPr>
          <w:rFonts w:ascii="Times New Roman" w:hAnsi="Times New Roman" w:cs="Times New Roman"/>
          <w:sz w:val="28"/>
          <w:szCs w:val="28"/>
        </w:rPr>
        <w:t>as an organ of state, Eskom’s decision to interrupt electricity to municipalities, constitutes ‘administrative act</w:t>
      </w:r>
      <w:r w:rsidR="003B2B11" w:rsidRPr="00CB50D4">
        <w:rPr>
          <w:rFonts w:ascii="Times New Roman" w:hAnsi="Times New Roman" w:cs="Times New Roman"/>
          <w:sz w:val="28"/>
          <w:szCs w:val="28"/>
        </w:rPr>
        <w:t>ion</w:t>
      </w:r>
      <w:r w:rsidR="009C55CE" w:rsidRPr="00CB50D4">
        <w:rPr>
          <w:rFonts w:ascii="Times New Roman" w:hAnsi="Times New Roman" w:cs="Times New Roman"/>
          <w:sz w:val="28"/>
          <w:szCs w:val="28"/>
        </w:rPr>
        <w:t xml:space="preserve">’ envisaged in s 1 of the PAJA, and that accordingly, it must in each instance comply with both the substantive and procedural fairness requirements of the PAJA. </w:t>
      </w:r>
      <w:r w:rsidR="00685D01" w:rsidRPr="00CB50D4">
        <w:rPr>
          <w:rFonts w:ascii="Times New Roman" w:hAnsi="Times New Roman" w:cs="Times New Roman"/>
          <w:sz w:val="28"/>
          <w:szCs w:val="28"/>
        </w:rPr>
        <w:t>In this Court, counsel for Eskom gave an assurance of</w:t>
      </w:r>
      <w:r w:rsidR="00143D34" w:rsidRPr="00CB50D4">
        <w:rPr>
          <w:rFonts w:ascii="Times New Roman" w:hAnsi="Times New Roman" w:cs="Times New Roman"/>
          <w:sz w:val="28"/>
          <w:szCs w:val="28"/>
        </w:rPr>
        <w:t xml:space="preserve"> Eskom’s commitment in this regard</w:t>
      </w:r>
      <w:r w:rsidR="00685D01" w:rsidRPr="00CB50D4">
        <w:rPr>
          <w:rFonts w:ascii="Times New Roman" w:hAnsi="Times New Roman" w:cs="Times New Roman"/>
          <w:sz w:val="28"/>
          <w:szCs w:val="28"/>
        </w:rPr>
        <w:t xml:space="preserve">. </w:t>
      </w:r>
    </w:p>
    <w:p w14:paraId="5AB43065" w14:textId="77777777" w:rsidR="0098412B" w:rsidRPr="00CB50D4" w:rsidRDefault="0098412B" w:rsidP="0098412B">
      <w:pPr>
        <w:shd w:val="clear" w:color="auto" w:fill="FFFFFF"/>
        <w:spacing w:before="120" w:after="720" w:line="360" w:lineRule="auto"/>
        <w:contextualSpacing/>
        <w:jc w:val="both"/>
        <w:rPr>
          <w:rFonts w:ascii="Times New Roman" w:hAnsi="Times New Roman" w:cs="Times New Roman"/>
          <w:strike/>
          <w:sz w:val="28"/>
          <w:szCs w:val="28"/>
        </w:rPr>
      </w:pPr>
    </w:p>
    <w:p w14:paraId="407B3FF3" w14:textId="200136FF" w:rsidR="009B0402" w:rsidRPr="00F2508D" w:rsidRDefault="009C55CE" w:rsidP="009B0402">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t>What then, is left of the dispute between t</w:t>
      </w:r>
      <w:r w:rsidR="00BF0779" w:rsidRPr="00CB50D4">
        <w:rPr>
          <w:rFonts w:ascii="Times New Roman" w:hAnsi="Times New Roman" w:cs="Times New Roman"/>
          <w:sz w:val="28"/>
          <w:szCs w:val="28"/>
        </w:rPr>
        <w:t>he parties? The impugned decisions</w:t>
      </w:r>
      <w:r w:rsidR="00143D34" w:rsidRPr="00CB50D4">
        <w:rPr>
          <w:rFonts w:ascii="Times New Roman" w:hAnsi="Times New Roman" w:cs="Times New Roman"/>
          <w:sz w:val="28"/>
          <w:szCs w:val="28"/>
        </w:rPr>
        <w:t>, which were time-bound,</w:t>
      </w:r>
      <w:r w:rsidR="00BF0779" w:rsidRPr="00CB50D4">
        <w:rPr>
          <w:rFonts w:ascii="Times New Roman" w:hAnsi="Times New Roman" w:cs="Times New Roman"/>
          <w:sz w:val="28"/>
          <w:szCs w:val="28"/>
        </w:rPr>
        <w:t xml:space="preserve"> have come and gone, and </w:t>
      </w:r>
      <w:r w:rsidR="00685D01" w:rsidRPr="00CB50D4">
        <w:rPr>
          <w:rFonts w:ascii="Times New Roman" w:hAnsi="Times New Roman" w:cs="Times New Roman"/>
          <w:sz w:val="28"/>
          <w:szCs w:val="28"/>
        </w:rPr>
        <w:t xml:space="preserve">it is not possible for </w:t>
      </w:r>
      <w:r w:rsidR="00BF0779" w:rsidRPr="00CB50D4">
        <w:rPr>
          <w:rFonts w:ascii="Times New Roman" w:hAnsi="Times New Roman" w:cs="Times New Roman"/>
          <w:sz w:val="28"/>
          <w:szCs w:val="28"/>
        </w:rPr>
        <w:t xml:space="preserve">Eskom </w:t>
      </w:r>
      <w:r w:rsidR="00685D01" w:rsidRPr="00CB50D4">
        <w:rPr>
          <w:rFonts w:ascii="Times New Roman" w:hAnsi="Times New Roman" w:cs="Times New Roman"/>
          <w:sz w:val="28"/>
          <w:szCs w:val="28"/>
        </w:rPr>
        <w:t xml:space="preserve">to </w:t>
      </w:r>
      <w:r w:rsidR="00BF0779" w:rsidRPr="00CB50D4">
        <w:rPr>
          <w:rFonts w:ascii="Times New Roman" w:hAnsi="Times New Roman" w:cs="Times New Roman"/>
          <w:sz w:val="28"/>
          <w:szCs w:val="28"/>
        </w:rPr>
        <w:t xml:space="preserve">implement them again. </w:t>
      </w:r>
      <w:r w:rsidR="00143D34" w:rsidRPr="00CB50D4">
        <w:rPr>
          <w:rFonts w:ascii="Times New Roman" w:hAnsi="Times New Roman" w:cs="Times New Roman"/>
          <w:sz w:val="28"/>
          <w:szCs w:val="28"/>
        </w:rPr>
        <w:t xml:space="preserve">Whether they were tainted by procedural </w:t>
      </w:r>
      <w:r w:rsidR="008A2297" w:rsidRPr="00CB50D4">
        <w:rPr>
          <w:rFonts w:ascii="Times New Roman" w:hAnsi="Times New Roman" w:cs="Times New Roman"/>
          <w:sz w:val="28"/>
          <w:szCs w:val="28"/>
        </w:rPr>
        <w:t xml:space="preserve">and substantive </w:t>
      </w:r>
      <w:r w:rsidR="00143D34" w:rsidRPr="00CB50D4">
        <w:rPr>
          <w:rFonts w:ascii="Times New Roman" w:hAnsi="Times New Roman" w:cs="Times New Roman"/>
          <w:sz w:val="28"/>
          <w:szCs w:val="28"/>
        </w:rPr>
        <w:t xml:space="preserve">irregularities, as Pioneer asserted, is immaterial now. An order in respect of those decisions would have no practical effect. </w:t>
      </w:r>
      <w:r w:rsidR="00BF0779" w:rsidRPr="00CB50D4">
        <w:rPr>
          <w:rFonts w:ascii="Times New Roman" w:hAnsi="Times New Roman" w:cs="Times New Roman"/>
          <w:sz w:val="28"/>
          <w:szCs w:val="28"/>
        </w:rPr>
        <w:t xml:space="preserve">If in future it needs to implement electricity supply interruptions, </w:t>
      </w:r>
      <w:r w:rsidR="008A2297" w:rsidRPr="00CB50D4">
        <w:rPr>
          <w:rFonts w:ascii="Times New Roman" w:hAnsi="Times New Roman" w:cs="Times New Roman"/>
          <w:sz w:val="28"/>
          <w:szCs w:val="28"/>
        </w:rPr>
        <w:t xml:space="preserve">Eskom </w:t>
      </w:r>
      <w:r w:rsidR="00BF0779" w:rsidRPr="00CB50D4">
        <w:rPr>
          <w:rFonts w:ascii="Times New Roman" w:hAnsi="Times New Roman" w:cs="Times New Roman"/>
          <w:sz w:val="28"/>
          <w:szCs w:val="28"/>
        </w:rPr>
        <w:t xml:space="preserve">would have to take new decisions, </w:t>
      </w:r>
      <w:r w:rsidR="00685D01" w:rsidRPr="00CB50D4">
        <w:rPr>
          <w:rFonts w:ascii="Times New Roman" w:hAnsi="Times New Roman" w:cs="Times New Roman"/>
          <w:sz w:val="28"/>
          <w:szCs w:val="28"/>
        </w:rPr>
        <w:t xml:space="preserve">which </w:t>
      </w:r>
      <w:r w:rsidR="008A2297" w:rsidRPr="00CB50D4">
        <w:rPr>
          <w:rFonts w:ascii="Times New Roman" w:hAnsi="Times New Roman" w:cs="Times New Roman"/>
          <w:sz w:val="28"/>
          <w:szCs w:val="28"/>
        </w:rPr>
        <w:t xml:space="preserve">would have to comply </w:t>
      </w:r>
      <w:r w:rsidR="00BF0779" w:rsidRPr="00CB50D4">
        <w:rPr>
          <w:rFonts w:ascii="Times New Roman" w:hAnsi="Times New Roman" w:cs="Times New Roman"/>
          <w:sz w:val="28"/>
          <w:szCs w:val="28"/>
        </w:rPr>
        <w:t>with the</w:t>
      </w:r>
      <w:r w:rsidR="00685D01" w:rsidRPr="00CB50D4">
        <w:rPr>
          <w:rFonts w:ascii="Times New Roman" w:hAnsi="Times New Roman" w:cs="Times New Roman"/>
          <w:sz w:val="28"/>
          <w:szCs w:val="28"/>
        </w:rPr>
        <w:t xml:space="preserve"> relevant provisions of the</w:t>
      </w:r>
      <w:r w:rsidR="00BF0779" w:rsidRPr="00CB50D4">
        <w:rPr>
          <w:rFonts w:ascii="Times New Roman" w:hAnsi="Times New Roman" w:cs="Times New Roman"/>
          <w:sz w:val="28"/>
          <w:szCs w:val="28"/>
        </w:rPr>
        <w:t xml:space="preserve"> IRFA and the PAJA. </w:t>
      </w:r>
    </w:p>
    <w:p w14:paraId="58CEA83F" w14:textId="77777777" w:rsidR="00F2508D" w:rsidRDefault="00F2508D" w:rsidP="00F2508D">
      <w:pPr>
        <w:pStyle w:val="ListParagraph"/>
        <w:rPr>
          <w:rFonts w:ascii="Times New Roman" w:hAnsi="Times New Roman" w:cs="Times New Roman"/>
          <w:strike/>
          <w:sz w:val="28"/>
          <w:szCs w:val="28"/>
        </w:rPr>
      </w:pPr>
    </w:p>
    <w:p w14:paraId="50EA8AFF" w14:textId="42ABB9FD" w:rsidR="00C64EA8" w:rsidRPr="00CB50D4" w:rsidRDefault="00143D34" w:rsidP="009B0402">
      <w:pPr>
        <w:numPr>
          <w:ilvl w:val="0"/>
          <w:numId w:val="1"/>
        </w:numPr>
        <w:shd w:val="clear" w:color="auto" w:fill="FFFFFF"/>
        <w:spacing w:before="120" w:after="720" w:line="360" w:lineRule="auto"/>
        <w:ind w:left="0" w:firstLine="0"/>
        <w:contextualSpacing/>
        <w:jc w:val="both"/>
        <w:rPr>
          <w:rFonts w:ascii="Times New Roman" w:hAnsi="Times New Roman" w:cs="Times New Roman"/>
          <w:strike/>
          <w:sz w:val="28"/>
          <w:szCs w:val="28"/>
        </w:rPr>
      </w:pPr>
      <w:r w:rsidRPr="00CB50D4">
        <w:rPr>
          <w:rFonts w:ascii="Times New Roman" w:hAnsi="Times New Roman" w:cs="Times New Roman"/>
          <w:sz w:val="28"/>
          <w:szCs w:val="28"/>
        </w:rPr>
        <w:lastRenderedPageBreak/>
        <w:t>Viewed in</w:t>
      </w:r>
      <w:r w:rsidR="00BF0779" w:rsidRPr="00CB50D4">
        <w:rPr>
          <w:rFonts w:ascii="Times New Roman" w:hAnsi="Times New Roman" w:cs="Times New Roman"/>
          <w:sz w:val="28"/>
          <w:szCs w:val="28"/>
        </w:rPr>
        <w:t xml:space="preserve"> light</w:t>
      </w:r>
      <w:r w:rsidRPr="00CB50D4">
        <w:rPr>
          <w:rFonts w:ascii="Times New Roman" w:hAnsi="Times New Roman" w:cs="Times New Roman"/>
          <w:sz w:val="28"/>
          <w:szCs w:val="28"/>
        </w:rPr>
        <w:t xml:space="preserve"> of the above</w:t>
      </w:r>
      <w:r w:rsidR="00BF0779" w:rsidRPr="00CB50D4">
        <w:rPr>
          <w:rFonts w:ascii="Times New Roman" w:hAnsi="Times New Roman" w:cs="Times New Roman"/>
          <w:sz w:val="28"/>
          <w:szCs w:val="28"/>
        </w:rPr>
        <w:t xml:space="preserve">, </w:t>
      </w:r>
      <w:r w:rsidRPr="00CB50D4">
        <w:rPr>
          <w:rFonts w:ascii="Times New Roman" w:hAnsi="Times New Roman" w:cs="Times New Roman"/>
          <w:sz w:val="28"/>
          <w:szCs w:val="28"/>
        </w:rPr>
        <w:t>t</w:t>
      </w:r>
      <w:r w:rsidR="00685D01" w:rsidRPr="00CB50D4">
        <w:rPr>
          <w:rFonts w:ascii="Times New Roman" w:hAnsi="Times New Roman" w:cs="Times New Roman"/>
          <w:sz w:val="28"/>
          <w:szCs w:val="28"/>
        </w:rPr>
        <w:t>he app</w:t>
      </w:r>
      <w:r w:rsidR="00390016" w:rsidRPr="00CB50D4">
        <w:rPr>
          <w:rFonts w:ascii="Times New Roman" w:hAnsi="Times New Roman" w:cs="Times New Roman"/>
          <w:sz w:val="28"/>
          <w:szCs w:val="28"/>
        </w:rPr>
        <w:t>eal has become moot</w:t>
      </w:r>
      <w:r w:rsidR="00685D01" w:rsidRPr="00CB50D4">
        <w:rPr>
          <w:rFonts w:ascii="Times New Roman" w:hAnsi="Times New Roman" w:cs="Times New Roman"/>
          <w:sz w:val="28"/>
          <w:szCs w:val="28"/>
        </w:rPr>
        <w:t>, and it</w:t>
      </w:r>
      <w:r w:rsidR="00BF0779" w:rsidRPr="00CB50D4">
        <w:rPr>
          <w:rFonts w:ascii="Times New Roman" w:hAnsi="Times New Roman" w:cs="Times New Roman"/>
          <w:sz w:val="28"/>
          <w:szCs w:val="28"/>
        </w:rPr>
        <w:t xml:space="preserve"> must </w:t>
      </w:r>
      <w:r w:rsidR="00923214" w:rsidRPr="00CB50D4">
        <w:rPr>
          <w:rFonts w:ascii="Times New Roman" w:hAnsi="Times New Roman" w:cs="Times New Roman"/>
          <w:sz w:val="28"/>
          <w:szCs w:val="28"/>
        </w:rPr>
        <w:t xml:space="preserve">therefore </w:t>
      </w:r>
      <w:r w:rsidR="00BF0779" w:rsidRPr="00CB50D4">
        <w:rPr>
          <w:rFonts w:ascii="Times New Roman" w:hAnsi="Times New Roman" w:cs="Times New Roman"/>
          <w:sz w:val="28"/>
          <w:szCs w:val="28"/>
        </w:rPr>
        <w:t xml:space="preserve">be dismissed on this basis alone in terms of s </w:t>
      </w:r>
      <w:r w:rsidR="00923214" w:rsidRPr="00CB50D4">
        <w:rPr>
          <w:rFonts w:ascii="Times New Roman" w:hAnsi="Times New Roman" w:cs="Times New Roman"/>
          <w:color w:val="242121"/>
          <w:sz w:val="28"/>
          <w:szCs w:val="28"/>
          <w:shd w:val="clear" w:color="auto" w:fill="FFFFFF"/>
          <w:lang w:val="en-GB"/>
        </w:rPr>
        <w:t xml:space="preserve">of </w:t>
      </w:r>
      <w:r w:rsidR="00BF0779" w:rsidRPr="00CB50D4">
        <w:rPr>
          <w:rFonts w:ascii="Times New Roman" w:hAnsi="Times New Roman" w:cs="Times New Roman"/>
          <w:sz w:val="28"/>
          <w:szCs w:val="28"/>
        </w:rPr>
        <w:t>16(</w:t>
      </w:r>
      <w:r w:rsidR="00923214" w:rsidRPr="00CB50D4">
        <w:rPr>
          <w:rFonts w:ascii="Times New Roman" w:hAnsi="Times New Roman" w:cs="Times New Roman"/>
          <w:sz w:val="28"/>
          <w:szCs w:val="28"/>
        </w:rPr>
        <w:t>2</w:t>
      </w:r>
      <w:r w:rsidR="00BF0779" w:rsidRPr="00CB50D4">
        <w:rPr>
          <w:rFonts w:ascii="Times New Roman" w:hAnsi="Times New Roman" w:cs="Times New Roman"/>
          <w:sz w:val="28"/>
          <w:szCs w:val="28"/>
        </w:rPr>
        <w:t>)</w:t>
      </w:r>
      <w:r w:rsidR="00923214" w:rsidRPr="00CB50D4">
        <w:rPr>
          <w:rFonts w:ascii="Times New Roman" w:hAnsi="Times New Roman" w:cs="Times New Roman"/>
          <w:sz w:val="28"/>
          <w:szCs w:val="28"/>
        </w:rPr>
        <w:t>(</w:t>
      </w:r>
      <w:r w:rsidR="00923214" w:rsidRPr="00CB50D4">
        <w:rPr>
          <w:rFonts w:ascii="Times New Roman" w:hAnsi="Times New Roman" w:cs="Times New Roman"/>
          <w:i/>
          <w:sz w:val="28"/>
          <w:szCs w:val="28"/>
        </w:rPr>
        <w:t>a</w:t>
      </w:r>
      <w:r w:rsidR="00923214" w:rsidRPr="00CB50D4">
        <w:rPr>
          <w:rFonts w:ascii="Times New Roman" w:hAnsi="Times New Roman" w:cs="Times New Roman"/>
          <w:sz w:val="28"/>
          <w:szCs w:val="28"/>
        </w:rPr>
        <w:t>)(i) of the Superior Courts Act</w:t>
      </w:r>
      <w:r w:rsidR="00BF0779" w:rsidRPr="00CB50D4">
        <w:rPr>
          <w:rFonts w:ascii="Times New Roman" w:hAnsi="Times New Roman" w:cs="Times New Roman"/>
          <w:sz w:val="28"/>
          <w:szCs w:val="28"/>
        </w:rPr>
        <w:t xml:space="preserve">. </w:t>
      </w:r>
      <w:r w:rsidR="00153C48" w:rsidRPr="00CB50D4">
        <w:rPr>
          <w:rFonts w:ascii="Times New Roman" w:hAnsi="Times New Roman" w:cs="Times New Roman"/>
          <w:sz w:val="28"/>
          <w:szCs w:val="28"/>
        </w:rPr>
        <w:t>However, t</w:t>
      </w:r>
      <w:r w:rsidR="00BF0779" w:rsidRPr="00CB50D4">
        <w:rPr>
          <w:rFonts w:ascii="Times New Roman" w:hAnsi="Times New Roman" w:cs="Times New Roman"/>
          <w:sz w:val="28"/>
          <w:szCs w:val="28"/>
        </w:rPr>
        <w:t>his C</w:t>
      </w:r>
      <w:r w:rsidR="00C449DC" w:rsidRPr="00CB50D4">
        <w:rPr>
          <w:rFonts w:ascii="Times New Roman" w:hAnsi="Times New Roman" w:cs="Times New Roman"/>
          <w:sz w:val="28"/>
          <w:szCs w:val="28"/>
        </w:rPr>
        <w:t>ourt has a discretion to enter into the merits of an appeal, notwithstanding the mootness of the issue as between the parties</w:t>
      </w:r>
      <w:r w:rsidR="003208C3" w:rsidRPr="00CB50D4">
        <w:rPr>
          <w:rFonts w:ascii="Times New Roman" w:hAnsi="Times New Roman" w:cs="Times New Roman"/>
          <w:sz w:val="28"/>
          <w:szCs w:val="28"/>
        </w:rPr>
        <w:t xml:space="preserve"> </w:t>
      </w:r>
      <w:r w:rsidR="00C449DC" w:rsidRPr="00CB50D4">
        <w:rPr>
          <w:rFonts w:ascii="Times New Roman" w:hAnsi="Times New Roman" w:cs="Times New Roman"/>
          <w:sz w:val="28"/>
          <w:szCs w:val="28"/>
        </w:rPr>
        <w:t xml:space="preserve">when ‘a discrete </w:t>
      </w:r>
      <w:r w:rsidR="008A2297" w:rsidRPr="00CB50D4">
        <w:rPr>
          <w:rFonts w:ascii="Times New Roman" w:hAnsi="Times New Roman" w:cs="Times New Roman"/>
          <w:sz w:val="28"/>
          <w:szCs w:val="28"/>
        </w:rPr>
        <w:t xml:space="preserve">legal </w:t>
      </w:r>
      <w:r w:rsidR="00C449DC" w:rsidRPr="00CB50D4">
        <w:rPr>
          <w:rFonts w:ascii="Times New Roman" w:hAnsi="Times New Roman" w:cs="Times New Roman"/>
          <w:sz w:val="28"/>
          <w:szCs w:val="28"/>
        </w:rPr>
        <w:t xml:space="preserve">issue of public importance arose that </w:t>
      </w:r>
      <w:r w:rsidR="008A2297" w:rsidRPr="00CB50D4">
        <w:rPr>
          <w:rFonts w:ascii="Times New Roman" w:hAnsi="Times New Roman" w:cs="Times New Roman"/>
          <w:sz w:val="28"/>
          <w:szCs w:val="28"/>
        </w:rPr>
        <w:t xml:space="preserve">would </w:t>
      </w:r>
      <w:r w:rsidR="00C449DC" w:rsidRPr="00CB50D4">
        <w:rPr>
          <w:rFonts w:ascii="Times New Roman" w:hAnsi="Times New Roman" w:cs="Times New Roman"/>
          <w:sz w:val="28"/>
          <w:szCs w:val="28"/>
        </w:rPr>
        <w:t>affect matters in the future’</w:t>
      </w:r>
      <w:r w:rsidR="00BF0779" w:rsidRPr="00CB50D4">
        <w:rPr>
          <w:rFonts w:ascii="Times New Roman" w:hAnsi="Times New Roman" w:cs="Times New Roman"/>
          <w:sz w:val="28"/>
          <w:szCs w:val="28"/>
        </w:rPr>
        <w:t xml:space="preserve"> </w:t>
      </w:r>
      <w:r w:rsidR="00C449DC" w:rsidRPr="00CB50D4">
        <w:rPr>
          <w:rFonts w:ascii="Times New Roman" w:hAnsi="Times New Roman" w:cs="Times New Roman"/>
          <w:sz w:val="28"/>
          <w:szCs w:val="28"/>
        </w:rPr>
        <w:t>and on which adjudication of this Court is required.</w:t>
      </w:r>
      <w:r w:rsidR="00BF0779" w:rsidRPr="00CB50D4">
        <w:rPr>
          <w:rStyle w:val="FootnoteReference"/>
          <w:rFonts w:ascii="Times New Roman" w:hAnsi="Times New Roman" w:cs="Times New Roman"/>
          <w:sz w:val="28"/>
          <w:szCs w:val="28"/>
        </w:rPr>
        <w:footnoteReference w:id="11"/>
      </w:r>
      <w:r w:rsidR="00923214" w:rsidRPr="00CB50D4">
        <w:rPr>
          <w:rFonts w:ascii="Times New Roman" w:hAnsi="Times New Roman" w:cs="Times New Roman"/>
          <w:sz w:val="28"/>
          <w:szCs w:val="28"/>
        </w:rPr>
        <w:t xml:space="preserve"> In the present case, </w:t>
      </w:r>
      <w:r w:rsidR="00390016" w:rsidRPr="00CB50D4">
        <w:rPr>
          <w:rFonts w:ascii="Times New Roman" w:hAnsi="Times New Roman" w:cs="Times New Roman"/>
          <w:sz w:val="28"/>
          <w:szCs w:val="28"/>
        </w:rPr>
        <w:t xml:space="preserve">no such issue arises. </w:t>
      </w:r>
      <w:r w:rsidR="00923214" w:rsidRPr="00CB50D4">
        <w:rPr>
          <w:rFonts w:ascii="Times New Roman" w:hAnsi="Times New Roman" w:cs="Times New Roman"/>
          <w:bCs/>
          <w:sz w:val="28"/>
          <w:szCs w:val="28"/>
        </w:rPr>
        <w:t xml:space="preserve">For </w:t>
      </w:r>
      <w:r w:rsidR="0098412B" w:rsidRPr="00CB50D4">
        <w:rPr>
          <w:rFonts w:ascii="Times New Roman" w:hAnsi="Times New Roman" w:cs="Times New Roman"/>
          <w:bCs/>
          <w:sz w:val="28"/>
          <w:szCs w:val="28"/>
        </w:rPr>
        <w:t xml:space="preserve">all </w:t>
      </w:r>
      <w:r w:rsidR="00923214" w:rsidRPr="00CB50D4">
        <w:rPr>
          <w:rFonts w:ascii="Times New Roman" w:hAnsi="Times New Roman" w:cs="Times New Roman"/>
          <w:bCs/>
          <w:sz w:val="28"/>
          <w:szCs w:val="28"/>
        </w:rPr>
        <w:t xml:space="preserve">these reasons, the </w:t>
      </w:r>
      <w:r w:rsidR="00B314F3" w:rsidRPr="00CB50D4">
        <w:rPr>
          <w:rFonts w:ascii="Times New Roman" w:hAnsi="Times New Roman" w:cs="Times New Roman"/>
          <w:bCs/>
          <w:sz w:val="28"/>
          <w:szCs w:val="28"/>
        </w:rPr>
        <w:t xml:space="preserve">appeal was dismissed. With regard to costs, we deemed it fair that there should not be any order in respect thereof. </w:t>
      </w:r>
    </w:p>
    <w:p w14:paraId="50E32D15" w14:textId="77777777" w:rsidR="00C64EA8" w:rsidRDefault="00C64EA8" w:rsidP="009B0402">
      <w:pPr>
        <w:shd w:val="clear" w:color="auto" w:fill="FFFFFF"/>
        <w:spacing w:before="120" w:after="480" w:line="360" w:lineRule="auto"/>
        <w:contextualSpacing/>
        <w:jc w:val="both"/>
        <w:rPr>
          <w:rFonts w:ascii="Times New Roman" w:hAnsi="Times New Roman" w:cs="Times New Roman"/>
          <w:bCs/>
          <w:sz w:val="28"/>
          <w:szCs w:val="28"/>
        </w:rPr>
      </w:pPr>
    </w:p>
    <w:p w14:paraId="36454D4E" w14:textId="77777777" w:rsidR="00C64EA8" w:rsidRDefault="00C64EA8" w:rsidP="009B0402">
      <w:pPr>
        <w:shd w:val="clear" w:color="auto" w:fill="FFFFFF"/>
        <w:spacing w:before="120" w:after="480" w:line="360" w:lineRule="auto"/>
        <w:contextualSpacing/>
        <w:jc w:val="both"/>
        <w:rPr>
          <w:rFonts w:ascii="Times New Roman" w:hAnsi="Times New Roman" w:cs="Times New Roman"/>
          <w:bCs/>
          <w:sz w:val="28"/>
          <w:szCs w:val="28"/>
        </w:rPr>
      </w:pPr>
    </w:p>
    <w:p w14:paraId="1BB3788A" w14:textId="77777777" w:rsidR="00C64EA8" w:rsidRDefault="00C64EA8" w:rsidP="009B0402">
      <w:pPr>
        <w:shd w:val="clear" w:color="auto" w:fill="FFFFFF"/>
        <w:spacing w:before="120" w:after="480" w:line="360" w:lineRule="auto"/>
        <w:contextualSpacing/>
        <w:jc w:val="both"/>
        <w:rPr>
          <w:rFonts w:ascii="Times New Roman" w:hAnsi="Times New Roman" w:cs="Times New Roman"/>
          <w:bCs/>
          <w:sz w:val="28"/>
          <w:szCs w:val="28"/>
        </w:rPr>
      </w:pPr>
    </w:p>
    <w:p w14:paraId="4F23F962" w14:textId="77777777" w:rsidR="00C64EA8" w:rsidRPr="009B0402" w:rsidRDefault="00C64EA8" w:rsidP="009B0402">
      <w:pPr>
        <w:shd w:val="clear" w:color="auto" w:fill="FFFFFF"/>
        <w:spacing w:before="120" w:after="480" w:line="360" w:lineRule="auto"/>
        <w:contextualSpacing/>
        <w:jc w:val="both"/>
        <w:rPr>
          <w:rFonts w:ascii="Times New Roman" w:hAnsi="Times New Roman" w:cs="Times New Roman"/>
          <w:strike/>
          <w:sz w:val="28"/>
          <w:szCs w:val="28"/>
        </w:rPr>
      </w:pPr>
    </w:p>
    <w:p w14:paraId="1F5FD60E" w14:textId="26715C7C" w:rsidR="00613145" w:rsidRPr="009B0402" w:rsidRDefault="00C64EA8" w:rsidP="00D65D07">
      <w:pPr>
        <w:shd w:val="clear" w:color="auto" w:fill="FFFFFF"/>
        <w:spacing w:before="120" w:after="720" w:line="360" w:lineRule="auto"/>
        <w:contextualSpacing/>
        <w:jc w:val="right"/>
        <w:rPr>
          <w:rFonts w:ascii="Times New Roman" w:hAnsi="Times New Roman" w:cs="Times New Roman"/>
          <w:bCs/>
          <w:sz w:val="28"/>
          <w:szCs w:val="28"/>
        </w:rPr>
      </w:pPr>
      <w:r>
        <w:rPr>
          <w:rFonts w:ascii="Times New Roman" w:hAnsi="Times New Roman" w:cs="Times New Roman"/>
          <w:sz w:val="28"/>
          <w:szCs w:val="28"/>
        </w:rPr>
        <w:t>____</w:t>
      </w:r>
      <w:r w:rsidR="00613145" w:rsidRPr="009B0402">
        <w:rPr>
          <w:rFonts w:ascii="Times New Roman" w:hAnsi="Times New Roman" w:cs="Times New Roman"/>
          <w:bCs/>
          <w:sz w:val="28"/>
          <w:szCs w:val="28"/>
        </w:rPr>
        <w:t>__________________</w:t>
      </w:r>
    </w:p>
    <w:p w14:paraId="3AA3920E" w14:textId="77777777" w:rsidR="00613145" w:rsidRPr="009B0402" w:rsidRDefault="00613145" w:rsidP="00613145">
      <w:pPr>
        <w:spacing w:after="120" w:line="240" w:lineRule="auto"/>
        <w:jc w:val="right"/>
        <w:rPr>
          <w:rFonts w:ascii="Times New Roman" w:hAnsi="Times New Roman" w:cs="Times New Roman"/>
          <w:b/>
          <w:bCs/>
          <w:sz w:val="28"/>
          <w:szCs w:val="28"/>
        </w:rPr>
      </w:pPr>
      <w:r w:rsidRPr="009B0402">
        <w:rPr>
          <w:rFonts w:ascii="Times New Roman" w:hAnsi="Times New Roman" w:cs="Times New Roman"/>
          <w:b/>
          <w:bCs/>
          <w:sz w:val="28"/>
          <w:szCs w:val="28"/>
        </w:rPr>
        <w:t>T MAKGOKA</w:t>
      </w:r>
    </w:p>
    <w:p w14:paraId="3026FB0E" w14:textId="77777777" w:rsidR="00613145" w:rsidRPr="009B0402" w:rsidRDefault="00613145" w:rsidP="00613145">
      <w:pPr>
        <w:spacing w:after="120" w:line="240" w:lineRule="auto"/>
        <w:jc w:val="right"/>
        <w:rPr>
          <w:rFonts w:ascii="Times New Roman" w:hAnsi="Times New Roman" w:cs="Times New Roman"/>
          <w:b/>
          <w:bCs/>
          <w:sz w:val="28"/>
          <w:szCs w:val="28"/>
        </w:rPr>
      </w:pPr>
      <w:r w:rsidRPr="009B0402">
        <w:rPr>
          <w:rFonts w:ascii="Times New Roman" w:hAnsi="Times New Roman" w:cs="Times New Roman"/>
          <w:b/>
          <w:bCs/>
          <w:sz w:val="28"/>
          <w:szCs w:val="28"/>
        </w:rPr>
        <w:t>JUDGE OF APPEAL</w:t>
      </w:r>
    </w:p>
    <w:p w14:paraId="627A0500" w14:textId="77777777" w:rsidR="00613145" w:rsidRPr="009B0402" w:rsidRDefault="00613145" w:rsidP="00613145">
      <w:pPr>
        <w:spacing w:after="120" w:line="240" w:lineRule="auto"/>
        <w:jc w:val="right"/>
        <w:rPr>
          <w:rFonts w:ascii="Times New Roman" w:hAnsi="Times New Roman" w:cs="Times New Roman"/>
          <w:b/>
          <w:bCs/>
          <w:sz w:val="28"/>
          <w:szCs w:val="28"/>
        </w:rPr>
      </w:pPr>
    </w:p>
    <w:p w14:paraId="7E1EC4B0" w14:textId="77777777" w:rsidR="00613145" w:rsidRPr="009B0402" w:rsidRDefault="00613145" w:rsidP="00613145">
      <w:pPr>
        <w:spacing w:after="120" w:line="240" w:lineRule="auto"/>
        <w:rPr>
          <w:rFonts w:ascii="Times New Roman" w:hAnsi="Times New Roman" w:cs="Times New Roman"/>
          <w:b/>
          <w:bCs/>
          <w:sz w:val="28"/>
          <w:szCs w:val="28"/>
        </w:rPr>
      </w:pPr>
      <w:r w:rsidRPr="009B0402">
        <w:rPr>
          <w:rFonts w:ascii="Times New Roman" w:hAnsi="Times New Roman" w:cs="Times New Roman"/>
          <w:b/>
          <w:bCs/>
          <w:sz w:val="28"/>
          <w:szCs w:val="28"/>
        </w:rPr>
        <w:br w:type="page"/>
      </w:r>
    </w:p>
    <w:p w14:paraId="7D6C7F28" w14:textId="77777777" w:rsidR="00613145" w:rsidRPr="009B0402" w:rsidRDefault="00613145" w:rsidP="00613145">
      <w:pPr>
        <w:spacing w:after="240" w:line="360" w:lineRule="auto"/>
        <w:jc w:val="both"/>
        <w:rPr>
          <w:rFonts w:ascii="Times New Roman" w:eastAsia="Calibri" w:hAnsi="Times New Roman" w:cs="Times New Roman"/>
          <w:sz w:val="28"/>
          <w:szCs w:val="28"/>
        </w:rPr>
      </w:pPr>
      <w:r w:rsidRPr="009B0402">
        <w:rPr>
          <w:rFonts w:ascii="Times New Roman" w:eastAsia="Calibri" w:hAnsi="Times New Roman" w:cs="Times New Roman"/>
          <w:sz w:val="28"/>
          <w:szCs w:val="28"/>
        </w:rPr>
        <w:lastRenderedPageBreak/>
        <w:t>APPEARANCES:</w:t>
      </w:r>
    </w:p>
    <w:p w14:paraId="46571F09" w14:textId="653732B2" w:rsidR="00613145" w:rsidRPr="009B0402" w:rsidRDefault="00613145" w:rsidP="00D65D07">
      <w:pPr>
        <w:spacing w:after="0" w:line="360" w:lineRule="auto"/>
        <w:ind w:left="2552" w:hanging="2552"/>
        <w:jc w:val="both"/>
        <w:rPr>
          <w:rFonts w:ascii="Times New Roman" w:eastAsia="Calibri" w:hAnsi="Times New Roman" w:cs="Times New Roman"/>
          <w:sz w:val="28"/>
          <w:szCs w:val="28"/>
        </w:rPr>
      </w:pPr>
      <w:r w:rsidRPr="009B0402">
        <w:rPr>
          <w:rFonts w:ascii="Times New Roman" w:eastAsia="Calibri" w:hAnsi="Times New Roman" w:cs="Times New Roman"/>
          <w:sz w:val="28"/>
          <w:szCs w:val="28"/>
        </w:rPr>
        <w:t>For appellant:</w:t>
      </w:r>
      <w:r w:rsidRPr="009B0402">
        <w:rPr>
          <w:rFonts w:ascii="Times New Roman" w:eastAsia="Calibri" w:hAnsi="Times New Roman" w:cs="Times New Roman"/>
          <w:sz w:val="28"/>
          <w:szCs w:val="28"/>
        </w:rPr>
        <w:tab/>
        <w:t>JPV McNally SC (with him BL Manentsa)</w:t>
      </w:r>
    </w:p>
    <w:p w14:paraId="174E7FB4" w14:textId="11A0B4A1" w:rsidR="00613145" w:rsidRPr="009B0402" w:rsidRDefault="00613145" w:rsidP="00D65D07">
      <w:pPr>
        <w:spacing w:after="0" w:line="360" w:lineRule="auto"/>
        <w:ind w:left="2552" w:hanging="2552"/>
        <w:jc w:val="both"/>
        <w:rPr>
          <w:rFonts w:ascii="Times New Roman" w:eastAsia="Calibri" w:hAnsi="Times New Roman" w:cs="Times New Roman"/>
          <w:sz w:val="28"/>
          <w:szCs w:val="28"/>
        </w:rPr>
      </w:pPr>
      <w:r w:rsidRPr="009B0402">
        <w:rPr>
          <w:rFonts w:ascii="Times New Roman" w:eastAsia="Calibri" w:hAnsi="Times New Roman" w:cs="Times New Roman"/>
          <w:sz w:val="28"/>
          <w:szCs w:val="28"/>
        </w:rPr>
        <w:t>Instructed by:</w:t>
      </w:r>
      <w:r w:rsidRPr="009B0402">
        <w:rPr>
          <w:rFonts w:ascii="Times New Roman" w:hAnsi="Times New Roman" w:cs="Times New Roman"/>
          <w:bCs/>
          <w:sz w:val="28"/>
          <w:szCs w:val="28"/>
        </w:rPr>
        <w:tab/>
      </w:r>
      <w:r w:rsidRPr="009B0402">
        <w:rPr>
          <w:rFonts w:ascii="Times New Roman" w:eastAsia="Calibri" w:hAnsi="Times New Roman" w:cs="Times New Roman"/>
          <w:sz w:val="28"/>
          <w:szCs w:val="28"/>
        </w:rPr>
        <w:t>Webber Wentzel</w:t>
      </w:r>
      <w:r w:rsidRPr="009B0402">
        <w:rPr>
          <w:rFonts w:ascii="Times New Roman" w:hAnsi="Times New Roman" w:cs="Times New Roman"/>
          <w:bCs/>
          <w:sz w:val="28"/>
          <w:szCs w:val="28"/>
        </w:rPr>
        <w:t xml:space="preserve">, </w:t>
      </w:r>
      <w:r w:rsidRPr="009B0402">
        <w:rPr>
          <w:rFonts w:ascii="Times New Roman" w:eastAsia="Calibri" w:hAnsi="Times New Roman" w:cs="Times New Roman"/>
          <w:sz w:val="28"/>
          <w:szCs w:val="28"/>
        </w:rPr>
        <w:t>Johannesburg</w:t>
      </w:r>
      <w:r w:rsidRPr="009B0402">
        <w:rPr>
          <w:rFonts w:ascii="Times New Roman" w:hAnsi="Times New Roman" w:cs="Times New Roman"/>
          <w:sz w:val="28"/>
          <w:szCs w:val="28"/>
        </w:rPr>
        <w:t xml:space="preserve"> </w:t>
      </w:r>
    </w:p>
    <w:p w14:paraId="3985D14A" w14:textId="299571B0" w:rsidR="00613145" w:rsidRPr="009B0402" w:rsidRDefault="00613145" w:rsidP="00D65D07">
      <w:pPr>
        <w:spacing w:after="0" w:line="360" w:lineRule="auto"/>
        <w:ind w:left="1832" w:firstLine="720"/>
        <w:jc w:val="both"/>
        <w:rPr>
          <w:rFonts w:ascii="Times New Roman" w:hAnsi="Times New Roman" w:cs="Times New Roman"/>
          <w:sz w:val="28"/>
          <w:szCs w:val="28"/>
        </w:rPr>
      </w:pPr>
      <w:r w:rsidRPr="009B0402">
        <w:rPr>
          <w:rFonts w:ascii="Times New Roman" w:eastAsia="Calibri" w:hAnsi="Times New Roman" w:cs="Times New Roman"/>
          <w:sz w:val="28"/>
          <w:szCs w:val="28"/>
        </w:rPr>
        <w:t xml:space="preserve">Honey Attorneys Inc., </w:t>
      </w:r>
      <w:r w:rsidR="006915A0" w:rsidRPr="009B0402">
        <w:rPr>
          <w:rFonts w:ascii="Times New Roman" w:hAnsi="Times New Roman" w:cs="Times New Roman"/>
          <w:sz w:val="28"/>
          <w:szCs w:val="28"/>
        </w:rPr>
        <w:t>Bloemfontein</w:t>
      </w:r>
    </w:p>
    <w:p w14:paraId="5DBAE6DD" w14:textId="77777777" w:rsidR="00613145" w:rsidRPr="009B0402" w:rsidRDefault="00613145" w:rsidP="00613145">
      <w:pPr>
        <w:spacing w:after="0" w:line="360" w:lineRule="auto"/>
        <w:jc w:val="both"/>
        <w:rPr>
          <w:rFonts w:ascii="Times New Roman" w:hAnsi="Times New Roman" w:cs="Times New Roman"/>
          <w:sz w:val="28"/>
          <w:szCs w:val="28"/>
        </w:rPr>
      </w:pPr>
    </w:p>
    <w:p w14:paraId="66378419" w14:textId="68CDC909" w:rsidR="00613145" w:rsidRPr="009B0402" w:rsidRDefault="00613145" w:rsidP="00D65D07">
      <w:pPr>
        <w:spacing w:after="0" w:line="360" w:lineRule="auto"/>
        <w:ind w:left="2552" w:hanging="2552"/>
        <w:jc w:val="both"/>
        <w:rPr>
          <w:rFonts w:ascii="Times New Roman" w:hAnsi="Times New Roman" w:cs="Times New Roman"/>
          <w:bCs/>
          <w:sz w:val="28"/>
          <w:szCs w:val="28"/>
        </w:rPr>
      </w:pPr>
      <w:r w:rsidRPr="009B0402">
        <w:rPr>
          <w:rFonts w:ascii="Times New Roman" w:eastAsia="Calibri" w:hAnsi="Times New Roman" w:cs="Times New Roman"/>
          <w:sz w:val="28"/>
          <w:szCs w:val="28"/>
        </w:rPr>
        <w:t xml:space="preserve">For first </w:t>
      </w:r>
      <w:r w:rsidRPr="009B0402">
        <w:rPr>
          <w:rFonts w:ascii="Times New Roman" w:hAnsi="Times New Roman" w:cs="Times New Roman"/>
          <w:sz w:val="28"/>
          <w:szCs w:val="28"/>
        </w:rPr>
        <w:t>respondent</w:t>
      </w:r>
      <w:r w:rsidRPr="009B0402">
        <w:rPr>
          <w:rFonts w:ascii="Times New Roman" w:eastAsia="Calibri" w:hAnsi="Times New Roman" w:cs="Times New Roman"/>
          <w:sz w:val="28"/>
          <w:szCs w:val="28"/>
        </w:rPr>
        <w:t>:</w:t>
      </w:r>
      <w:r w:rsidR="00D65D07">
        <w:rPr>
          <w:rFonts w:ascii="Times New Roman" w:eastAsia="Calibri" w:hAnsi="Times New Roman" w:cs="Times New Roman"/>
          <w:sz w:val="28"/>
          <w:szCs w:val="28"/>
        </w:rPr>
        <w:tab/>
      </w:r>
      <w:r w:rsidRPr="009B0402">
        <w:rPr>
          <w:rFonts w:ascii="Times New Roman" w:hAnsi="Times New Roman" w:cs="Times New Roman"/>
          <w:sz w:val="28"/>
          <w:szCs w:val="28"/>
        </w:rPr>
        <w:t xml:space="preserve">SL Shangisa SC (with him L Rakgwale) </w:t>
      </w:r>
    </w:p>
    <w:p w14:paraId="7AD3AEC9" w14:textId="56FDA4BB" w:rsidR="00613145" w:rsidRPr="009B0402" w:rsidRDefault="00613145" w:rsidP="00D65D07">
      <w:pPr>
        <w:widowControl w:val="0"/>
        <w:tabs>
          <w:tab w:val="left" w:pos="-1440"/>
        </w:tabs>
        <w:autoSpaceDE w:val="0"/>
        <w:autoSpaceDN w:val="0"/>
        <w:adjustRightInd w:val="0"/>
        <w:spacing w:after="0" w:line="360" w:lineRule="auto"/>
        <w:ind w:left="2552" w:hanging="2552"/>
        <w:jc w:val="both"/>
        <w:rPr>
          <w:rFonts w:ascii="Times New Roman" w:hAnsi="Times New Roman" w:cs="Times New Roman"/>
          <w:bCs/>
          <w:sz w:val="28"/>
          <w:szCs w:val="28"/>
        </w:rPr>
      </w:pPr>
      <w:r w:rsidRPr="009B0402">
        <w:rPr>
          <w:rFonts w:ascii="Times New Roman" w:eastAsia="Calibri" w:hAnsi="Times New Roman" w:cs="Times New Roman"/>
          <w:sz w:val="28"/>
          <w:szCs w:val="28"/>
        </w:rPr>
        <w:t>Instructed by:</w:t>
      </w:r>
      <w:r w:rsidRPr="009B0402">
        <w:rPr>
          <w:rFonts w:ascii="Times New Roman" w:eastAsia="Calibri" w:hAnsi="Times New Roman" w:cs="Times New Roman"/>
          <w:sz w:val="28"/>
          <w:szCs w:val="28"/>
        </w:rPr>
        <w:tab/>
      </w:r>
      <w:bookmarkStart w:id="4" w:name="_Hlk103591020"/>
      <w:r w:rsidRPr="009B0402">
        <w:rPr>
          <w:rFonts w:ascii="Times New Roman" w:hAnsi="Times New Roman" w:cs="Times New Roman"/>
          <w:bCs/>
          <w:sz w:val="28"/>
          <w:szCs w:val="28"/>
        </w:rPr>
        <w:t>Ngeno &amp; Mteto Inc., Pretoria</w:t>
      </w:r>
    </w:p>
    <w:p w14:paraId="25E550F4" w14:textId="1CE8B4EB" w:rsidR="00613145" w:rsidRPr="009B0402" w:rsidRDefault="00613145" w:rsidP="00D65D07">
      <w:pPr>
        <w:widowControl w:val="0"/>
        <w:tabs>
          <w:tab w:val="left" w:pos="-1440"/>
        </w:tabs>
        <w:autoSpaceDE w:val="0"/>
        <w:autoSpaceDN w:val="0"/>
        <w:adjustRightInd w:val="0"/>
        <w:spacing w:after="0" w:line="360" w:lineRule="auto"/>
        <w:ind w:left="2552"/>
        <w:rPr>
          <w:rFonts w:ascii="Times New Roman" w:hAnsi="Times New Roman" w:cs="Times New Roman"/>
          <w:bCs/>
          <w:sz w:val="28"/>
          <w:szCs w:val="28"/>
        </w:rPr>
      </w:pPr>
      <w:r w:rsidRPr="009B0402">
        <w:rPr>
          <w:rFonts w:ascii="Times New Roman" w:hAnsi="Times New Roman" w:cs="Times New Roman"/>
          <w:bCs/>
          <w:sz w:val="28"/>
          <w:szCs w:val="28"/>
        </w:rPr>
        <w:t>Kramer Weihmann &amp; Joubert Attorneys, Bloemfontein.</w:t>
      </w:r>
    </w:p>
    <w:bookmarkEnd w:id="4"/>
    <w:p w14:paraId="695F64E6" w14:textId="77777777" w:rsidR="00613145" w:rsidRPr="009B0402" w:rsidRDefault="00613145" w:rsidP="00613145">
      <w:pPr>
        <w:widowControl w:val="0"/>
        <w:tabs>
          <w:tab w:val="left" w:pos="-1440"/>
        </w:tabs>
        <w:autoSpaceDE w:val="0"/>
        <w:autoSpaceDN w:val="0"/>
        <w:adjustRightInd w:val="0"/>
        <w:spacing w:after="0" w:line="360" w:lineRule="auto"/>
        <w:jc w:val="both"/>
        <w:rPr>
          <w:rFonts w:ascii="Times New Roman" w:hAnsi="Times New Roman" w:cs="Times New Roman"/>
          <w:bCs/>
          <w:sz w:val="28"/>
          <w:szCs w:val="28"/>
        </w:rPr>
      </w:pPr>
    </w:p>
    <w:p w14:paraId="27D5B418" w14:textId="77777777" w:rsidR="00C449DC" w:rsidRPr="009B0402" w:rsidRDefault="00C449DC">
      <w:pPr>
        <w:rPr>
          <w:rFonts w:ascii="Times New Roman" w:hAnsi="Times New Roman" w:cs="Times New Roman"/>
          <w:sz w:val="28"/>
          <w:szCs w:val="28"/>
        </w:rPr>
      </w:pPr>
    </w:p>
    <w:sectPr w:rsidR="00C449DC" w:rsidRPr="009B0402" w:rsidSect="004252E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9E751" w14:textId="77777777" w:rsidR="009E4770" w:rsidRDefault="009E4770" w:rsidP="00C449DC">
      <w:pPr>
        <w:spacing w:after="0" w:line="240" w:lineRule="auto"/>
      </w:pPr>
      <w:r>
        <w:separator/>
      </w:r>
    </w:p>
  </w:endnote>
  <w:endnote w:type="continuationSeparator" w:id="0">
    <w:p w14:paraId="76418567" w14:textId="77777777" w:rsidR="009E4770" w:rsidRDefault="009E4770" w:rsidP="00C4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EB8D" w14:textId="77777777" w:rsidR="009E4770" w:rsidRDefault="009E4770" w:rsidP="00C449DC">
      <w:pPr>
        <w:spacing w:after="0" w:line="240" w:lineRule="auto"/>
      </w:pPr>
      <w:r>
        <w:separator/>
      </w:r>
    </w:p>
  </w:footnote>
  <w:footnote w:type="continuationSeparator" w:id="0">
    <w:p w14:paraId="7B782388" w14:textId="77777777" w:rsidR="009E4770" w:rsidRDefault="009E4770" w:rsidP="00C449DC">
      <w:pPr>
        <w:spacing w:after="0" w:line="240" w:lineRule="auto"/>
      </w:pPr>
      <w:r>
        <w:continuationSeparator/>
      </w:r>
    </w:p>
  </w:footnote>
  <w:footnote w:id="1">
    <w:p w14:paraId="4F48E804" w14:textId="77777777" w:rsidR="00153C48" w:rsidRPr="00F2508D" w:rsidRDefault="00153C48"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szCs w:val="20"/>
          <w:lang w:val="en-US"/>
        </w:rPr>
        <w:t xml:space="preserve">Both the </w:t>
      </w:r>
      <w:r w:rsidRPr="00F2508D">
        <w:rPr>
          <w:szCs w:val="20"/>
        </w:rPr>
        <w:t xml:space="preserve">second respondent, the Walter Sisulu Local Municipality and third respondent, </w:t>
      </w:r>
      <w:r w:rsidRPr="00F2508D">
        <w:rPr>
          <w:color w:val="222222"/>
          <w:szCs w:val="20"/>
          <w:shd w:val="clear" w:color="auto" w:fill="FFFFFF"/>
        </w:rPr>
        <w:t>the National Energy Regulator of South Africa (NERSA) did not participate in the appeal.</w:t>
      </w:r>
    </w:p>
  </w:footnote>
  <w:footnote w:id="2">
    <w:p w14:paraId="4DB9E13E" w14:textId="77777777" w:rsidR="00CB7C5A" w:rsidRPr="00F2508D" w:rsidRDefault="00CB7C5A"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szCs w:val="20"/>
          <w:lang w:val="en-US"/>
        </w:rPr>
        <w:t>Section 7(2) of the PAJA reads: ‘[No] court or Tribunal shall review an administrative action in terms of this Act unless any internal remedy provided for in any other law has first been exhausted.’</w:t>
      </w:r>
    </w:p>
  </w:footnote>
  <w:footnote w:id="3">
    <w:p w14:paraId="60BAA1D3" w14:textId="0FA2D971" w:rsidR="0078518A" w:rsidRPr="00F2508D" w:rsidRDefault="0078518A" w:rsidP="0000688D">
      <w:pPr>
        <w:pStyle w:val="FootnoteText"/>
        <w:spacing w:before="0"/>
        <w:rPr>
          <w:szCs w:val="20"/>
        </w:rPr>
      </w:pPr>
      <w:r w:rsidRPr="00F2508D">
        <w:rPr>
          <w:rStyle w:val="FootnoteReference"/>
          <w:szCs w:val="20"/>
        </w:rPr>
        <w:footnoteRef/>
      </w:r>
      <w:r w:rsidRPr="00F2508D">
        <w:rPr>
          <w:szCs w:val="20"/>
        </w:rPr>
        <w:t xml:space="preserve"> </w:t>
      </w:r>
      <w:r w:rsidRPr="00F2508D">
        <w:rPr>
          <w:i/>
          <w:iCs/>
          <w:szCs w:val="20"/>
          <w:lang w:val="en-ZA"/>
        </w:rPr>
        <w:t xml:space="preserve">Rademan v Moqhaka Local Municipality </w:t>
      </w:r>
      <w:r w:rsidRPr="00F2508D">
        <w:rPr>
          <w:szCs w:val="20"/>
          <w:lang w:val="en-ZA"/>
        </w:rPr>
        <w:t>[2013] ZACC 11; 2013 (4) SA 225 (CC).</w:t>
      </w:r>
    </w:p>
  </w:footnote>
  <w:footnote w:id="4">
    <w:p w14:paraId="7DD13255" w14:textId="2A44CA42" w:rsidR="00D16C48" w:rsidRPr="00F2508D" w:rsidRDefault="00D16C48"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i/>
          <w:szCs w:val="20"/>
        </w:rPr>
        <w:t>Eskom Holdings SOC Ltd v Resilient Properties (Pty) Ltd and Others; Eskom Holdings SOC Ltd v Sabie Chamber of Commerce and Tourism and Others; Chweu Local Municipality and Others v Sabie Chamber of Commerce and Tourism and Others</w:t>
      </w:r>
      <w:r w:rsidRPr="00F2508D">
        <w:rPr>
          <w:szCs w:val="20"/>
        </w:rPr>
        <w:t xml:space="preserve"> [2020] ZASCA 185; [2021] 1 All SA 668 (SCA); 2021 (3) SA 47 (SCA)</w:t>
      </w:r>
      <w:r w:rsidR="0075062F" w:rsidRPr="00F2508D">
        <w:rPr>
          <w:szCs w:val="20"/>
        </w:rPr>
        <w:t xml:space="preserve"> (</w:t>
      </w:r>
      <w:r w:rsidR="0075062F" w:rsidRPr="00F2508D">
        <w:rPr>
          <w:i/>
          <w:szCs w:val="20"/>
        </w:rPr>
        <w:t>Resilient).</w:t>
      </w:r>
    </w:p>
  </w:footnote>
  <w:footnote w:id="5">
    <w:p w14:paraId="20534656" w14:textId="438336B9" w:rsidR="0075062F" w:rsidRPr="00F2508D" w:rsidRDefault="0075062F"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i/>
          <w:szCs w:val="20"/>
        </w:rPr>
        <w:t>Ibid</w:t>
      </w:r>
      <w:r w:rsidRPr="00F2508D">
        <w:rPr>
          <w:szCs w:val="20"/>
        </w:rPr>
        <w:t xml:space="preserve"> para 55.</w:t>
      </w:r>
    </w:p>
  </w:footnote>
  <w:footnote w:id="6">
    <w:p w14:paraId="210E273E" w14:textId="699AFAE7" w:rsidR="00525326" w:rsidRPr="00F2508D" w:rsidRDefault="00525326"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i/>
          <w:szCs w:val="20"/>
        </w:rPr>
        <w:t>Ibid</w:t>
      </w:r>
      <w:r w:rsidRPr="00F2508D">
        <w:rPr>
          <w:szCs w:val="20"/>
        </w:rPr>
        <w:t xml:space="preserve"> p</w:t>
      </w:r>
      <w:r w:rsidRPr="00F2508D">
        <w:rPr>
          <w:szCs w:val="20"/>
          <w:lang w:val="en-US"/>
        </w:rPr>
        <w:t>ara 84.</w:t>
      </w:r>
    </w:p>
  </w:footnote>
  <w:footnote w:id="7">
    <w:p w14:paraId="29BA0489" w14:textId="3B86CEEE" w:rsidR="00D456FB" w:rsidRPr="00F2508D" w:rsidRDefault="00D456FB"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i/>
          <w:szCs w:val="20"/>
          <w:lang w:val="en-US"/>
        </w:rPr>
        <w:t>Ibid</w:t>
      </w:r>
      <w:r w:rsidRPr="00F2508D">
        <w:rPr>
          <w:szCs w:val="20"/>
          <w:lang w:val="en-US"/>
        </w:rPr>
        <w:t xml:space="preserve"> para</w:t>
      </w:r>
      <w:r w:rsidR="006915A0" w:rsidRPr="00F2508D">
        <w:rPr>
          <w:szCs w:val="20"/>
          <w:lang w:val="en-US"/>
        </w:rPr>
        <w:t xml:space="preserve"> 80.</w:t>
      </w:r>
    </w:p>
  </w:footnote>
  <w:footnote w:id="8">
    <w:p w14:paraId="2428ADC0" w14:textId="6B23A112" w:rsidR="00D456FB" w:rsidRPr="00F2508D" w:rsidRDefault="00D456FB"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i/>
          <w:szCs w:val="20"/>
          <w:lang w:val="en-US"/>
        </w:rPr>
        <w:t>Ibid</w:t>
      </w:r>
      <w:r w:rsidRPr="00F2508D">
        <w:rPr>
          <w:szCs w:val="20"/>
          <w:lang w:val="en-US"/>
        </w:rPr>
        <w:t xml:space="preserve"> para 79.</w:t>
      </w:r>
    </w:p>
  </w:footnote>
  <w:footnote w:id="9">
    <w:p w14:paraId="7D293437" w14:textId="1303E0B5" w:rsidR="004252EE" w:rsidRPr="00F2508D" w:rsidRDefault="004252EE" w:rsidP="0000688D">
      <w:pPr>
        <w:pStyle w:val="FootnoteText"/>
        <w:spacing w:before="0"/>
        <w:rPr>
          <w:szCs w:val="20"/>
          <w:lang w:val="en-US"/>
        </w:rPr>
      </w:pPr>
      <w:r w:rsidRPr="00F2508D">
        <w:rPr>
          <w:rStyle w:val="FootnoteReference"/>
          <w:szCs w:val="20"/>
        </w:rPr>
        <w:footnoteRef/>
      </w:r>
      <w:r w:rsidRPr="00F2508D">
        <w:rPr>
          <w:szCs w:val="20"/>
        </w:rPr>
        <w:t xml:space="preserve"> </w:t>
      </w:r>
      <w:r w:rsidRPr="00F2508D">
        <w:rPr>
          <w:i/>
          <w:szCs w:val="20"/>
          <w:lang w:val="en-US"/>
        </w:rPr>
        <w:t>Ibid</w:t>
      </w:r>
      <w:r w:rsidRPr="00F2508D">
        <w:rPr>
          <w:szCs w:val="20"/>
          <w:lang w:val="en-US"/>
        </w:rPr>
        <w:t xml:space="preserve"> </w:t>
      </w:r>
      <w:r w:rsidR="006915A0" w:rsidRPr="00F2508D">
        <w:rPr>
          <w:szCs w:val="20"/>
          <w:lang w:val="en-US"/>
        </w:rPr>
        <w:t>para 81.</w:t>
      </w:r>
    </w:p>
  </w:footnote>
  <w:footnote w:id="10">
    <w:p w14:paraId="24ECD526" w14:textId="77777777" w:rsidR="00574235" w:rsidRPr="00F2508D" w:rsidRDefault="00574235" w:rsidP="0000688D">
      <w:pPr>
        <w:pStyle w:val="FootnoteText"/>
        <w:spacing w:before="0"/>
        <w:rPr>
          <w:szCs w:val="20"/>
          <w:lang w:val="en-US"/>
        </w:rPr>
      </w:pPr>
      <w:r w:rsidRPr="00F2508D">
        <w:rPr>
          <w:rStyle w:val="FootnoteReference"/>
          <w:szCs w:val="20"/>
        </w:rPr>
        <w:footnoteRef/>
      </w:r>
      <w:r w:rsidRPr="00F2508D">
        <w:rPr>
          <w:i/>
          <w:szCs w:val="20"/>
        </w:rPr>
        <w:t xml:space="preserve"> Ibid</w:t>
      </w:r>
      <w:r w:rsidRPr="00F2508D">
        <w:rPr>
          <w:szCs w:val="20"/>
        </w:rPr>
        <w:t xml:space="preserve"> para 58.</w:t>
      </w:r>
    </w:p>
  </w:footnote>
  <w:footnote w:id="11">
    <w:p w14:paraId="67C1BD04" w14:textId="23D9E7B9" w:rsidR="00BF0779" w:rsidRPr="00F2508D" w:rsidRDefault="00BF0779" w:rsidP="00BF0779">
      <w:pPr>
        <w:pStyle w:val="FootnoteText"/>
        <w:rPr>
          <w:szCs w:val="20"/>
          <w:lang w:val="en-US"/>
        </w:rPr>
      </w:pPr>
      <w:r w:rsidRPr="00F2508D">
        <w:rPr>
          <w:rStyle w:val="FootnoteReference"/>
          <w:szCs w:val="20"/>
        </w:rPr>
        <w:footnoteRef/>
      </w:r>
      <w:r w:rsidRPr="00F2508D">
        <w:rPr>
          <w:szCs w:val="20"/>
        </w:rPr>
        <w:t xml:space="preserve"> </w:t>
      </w:r>
      <w:r w:rsidR="00374915" w:rsidRPr="00F2508D">
        <w:rPr>
          <w:i/>
          <w:szCs w:val="20"/>
        </w:rPr>
        <w:t>Qoboshiyane NO and O</w:t>
      </w:r>
      <w:r w:rsidRPr="00F2508D">
        <w:rPr>
          <w:i/>
          <w:szCs w:val="20"/>
        </w:rPr>
        <w:t>thers v Avusa Publi</w:t>
      </w:r>
      <w:r w:rsidR="00374915" w:rsidRPr="00F2508D">
        <w:rPr>
          <w:i/>
          <w:szCs w:val="20"/>
        </w:rPr>
        <w:t>shing Eastern Cape (Pty) Ltd and</w:t>
      </w:r>
      <w:r w:rsidRPr="00F2508D">
        <w:rPr>
          <w:i/>
          <w:szCs w:val="20"/>
        </w:rPr>
        <w:t xml:space="preserve"> Others</w:t>
      </w:r>
      <w:r w:rsidRPr="00F2508D">
        <w:rPr>
          <w:szCs w:val="20"/>
        </w:rPr>
        <w:t xml:space="preserve"> [2012] ZASCA 166; 2013 (3) SA 315 (SCA) para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7314834"/>
      <w:docPartObj>
        <w:docPartGallery w:val="Page Numbers (Top of Page)"/>
        <w:docPartUnique/>
      </w:docPartObj>
    </w:sdtPr>
    <w:sdtEndPr>
      <w:rPr>
        <w:noProof/>
      </w:rPr>
    </w:sdtEndPr>
    <w:sdtContent>
      <w:p w14:paraId="1B9DF98C" w14:textId="733BCD42" w:rsidR="004252EE" w:rsidRPr="00D65D07" w:rsidRDefault="004252EE">
        <w:pPr>
          <w:pStyle w:val="Header"/>
          <w:jc w:val="right"/>
          <w:rPr>
            <w:rFonts w:ascii="Times New Roman" w:hAnsi="Times New Roman" w:cs="Times New Roman"/>
          </w:rPr>
        </w:pPr>
        <w:r w:rsidRPr="00D65D07">
          <w:rPr>
            <w:rFonts w:ascii="Times New Roman" w:hAnsi="Times New Roman" w:cs="Times New Roman"/>
          </w:rPr>
          <w:fldChar w:fldCharType="begin"/>
        </w:r>
        <w:r w:rsidRPr="00D65D07">
          <w:rPr>
            <w:rFonts w:ascii="Times New Roman" w:hAnsi="Times New Roman" w:cs="Times New Roman"/>
          </w:rPr>
          <w:instrText xml:space="preserve"> PAGE   \* MERGEFORMAT </w:instrText>
        </w:r>
        <w:r w:rsidRPr="00D65D07">
          <w:rPr>
            <w:rFonts w:ascii="Times New Roman" w:hAnsi="Times New Roman" w:cs="Times New Roman"/>
          </w:rPr>
          <w:fldChar w:fldCharType="separate"/>
        </w:r>
        <w:r w:rsidR="00B419A0">
          <w:rPr>
            <w:rFonts w:ascii="Times New Roman" w:hAnsi="Times New Roman" w:cs="Times New Roman"/>
            <w:noProof/>
          </w:rPr>
          <w:t>4</w:t>
        </w:r>
        <w:r w:rsidRPr="00D65D07">
          <w:rPr>
            <w:rFonts w:ascii="Times New Roman" w:hAnsi="Times New Roman" w:cs="Times New Roman"/>
            <w:noProof/>
          </w:rPr>
          <w:fldChar w:fldCharType="end"/>
        </w:r>
      </w:p>
    </w:sdtContent>
  </w:sdt>
  <w:p w14:paraId="199FEFDD" w14:textId="77777777" w:rsidR="004252EE" w:rsidRDefault="004252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6C54753A"/>
    <w:lvl w:ilvl="0" w:tplc="ABFA12EE">
      <w:start w:val="1"/>
      <w:numFmt w:val="decimal"/>
      <w:pStyle w:val="JUDGMENTNUMBERED"/>
      <w:lvlText w:val="[%1]"/>
      <w:lvlJc w:val="left"/>
      <w:pPr>
        <w:ind w:left="92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DCD45254">
      <w:start w:val="1"/>
      <w:numFmt w:val="lowerLetter"/>
      <w:lvlText w:val="(%4)"/>
      <w:lvlJc w:val="left"/>
      <w:pPr>
        <w:ind w:left="-727" w:hanging="720"/>
      </w:pPr>
      <w:rPr>
        <w:rFonts w:ascii="Times New Roman" w:eastAsia="Times New Roman" w:hAnsi="Times New Roman" w:cs="Times New Roman" w:hint="default"/>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C"/>
    <w:rsid w:val="000000A0"/>
    <w:rsid w:val="00005106"/>
    <w:rsid w:val="0000688D"/>
    <w:rsid w:val="00020299"/>
    <w:rsid w:val="000366DC"/>
    <w:rsid w:val="00041153"/>
    <w:rsid w:val="00064B6E"/>
    <w:rsid w:val="00087805"/>
    <w:rsid w:val="000C620F"/>
    <w:rsid w:val="000E0E43"/>
    <w:rsid w:val="000F7D15"/>
    <w:rsid w:val="00143D34"/>
    <w:rsid w:val="0015079D"/>
    <w:rsid w:val="00153C48"/>
    <w:rsid w:val="0027462E"/>
    <w:rsid w:val="002761B4"/>
    <w:rsid w:val="00290DB0"/>
    <w:rsid w:val="002E23CD"/>
    <w:rsid w:val="002E777A"/>
    <w:rsid w:val="00300713"/>
    <w:rsid w:val="003208C3"/>
    <w:rsid w:val="00321991"/>
    <w:rsid w:val="00374915"/>
    <w:rsid w:val="00390016"/>
    <w:rsid w:val="003B2B11"/>
    <w:rsid w:val="003F296C"/>
    <w:rsid w:val="0040079F"/>
    <w:rsid w:val="004019FB"/>
    <w:rsid w:val="004252EE"/>
    <w:rsid w:val="0043135F"/>
    <w:rsid w:val="00444578"/>
    <w:rsid w:val="004A3EDE"/>
    <w:rsid w:val="004A70BA"/>
    <w:rsid w:val="004B7FBE"/>
    <w:rsid w:val="004E6CB5"/>
    <w:rsid w:val="0051787B"/>
    <w:rsid w:val="00522E3D"/>
    <w:rsid w:val="00525326"/>
    <w:rsid w:val="005264B4"/>
    <w:rsid w:val="00537B03"/>
    <w:rsid w:val="00562BA3"/>
    <w:rsid w:val="00574235"/>
    <w:rsid w:val="005770C2"/>
    <w:rsid w:val="00594658"/>
    <w:rsid w:val="005D5DB8"/>
    <w:rsid w:val="00612512"/>
    <w:rsid w:val="00613145"/>
    <w:rsid w:val="0063455E"/>
    <w:rsid w:val="006745D4"/>
    <w:rsid w:val="00685D01"/>
    <w:rsid w:val="00686F87"/>
    <w:rsid w:val="006915A0"/>
    <w:rsid w:val="006A36FA"/>
    <w:rsid w:val="006D2D7A"/>
    <w:rsid w:val="00715A27"/>
    <w:rsid w:val="00732553"/>
    <w:rsid w:val="0075062F"/>
    <w:rsid w:val="007720BC"/>
    <w:rsid w:val="0078518A"/>
    <w:rsid w:val="007B5D30"/>
    <w:rsid w:val="007D78DF"/>
    <w:rsid w:val="00877178"/>
    <w:rsid w:val="0089759B"/>
    <w:rsid w:val="008A2297"/>
    <w:rsid w:val="008A7B44"/>
    <w:rsid w:val="008D2711"/>
    <w:rsid w:val="008E0E36"/>
    <w:rsid w:val="008E72F8"/>
    <w:rsid w:val="008E7D1F"/>
    <w:rsid w:val="008F43DB"/>
    <w:rsid w:val="0090088F"/>
    <w:rsid w:val="00923214"/>
    <w:rsid w:val="00926D2E"/>
    <w:rsid w:val="00983121"/>
    <w:rsid w:val="0098412B"/>
    <w:rsid w:val="009A1EA5"/>
    <w:rsid w:val="009B0402"/>
    <w:rsid w:val="009C55CE"/>
    <w:rsid w:val="009C7DD3"/>
    <w:rsid w:val="009D717F"/>
    <w:rsid w:val="009E4770"/>
    <w:rsid w:val="00A36FEB"/>
    <w:rsid w:val="00A45BA1"/>
    <w:rsid w:val="00A51F8D"/>
    <w:rsid w:val="00A7248C"/>
    <w:rsid w:val="00A74E17"/>
    <w:rsid w:val="00A75E36"/>
    <w:rsid w:val="00AD1CFA"/>
    <w:rsid w:val="00AD2A72"/>
    <w:rsid w:val="00AF77FD"/>
    <w:rsid w:val="00B23277"/>
    <w:rsid w:val="00B314F3"/>
    <w:rsid w:val="00B419A0"/>
    <w:rsid w:val="00B506AA"/>
    <w:rsid w:val="00BF0779"/>
    <w:rsid w:val="00C32B86"/>
    <w:rsid w:val="00C449DC"/>
    <w:rsid w:val="00C64EA8"/>
    <w:rsid w:val="00C80506"/>
    <w:rsid w:val="00CB42D7"/>
    <w:rsid w:val="00CB50D4"/>
    <w:rsid w:val="00CB7C5A"/>
    <w:rsid w:val="00CD33DC"/>
    <w:rsid w:val="00D16C48"/>
    <w:rsid w:val="00D329F4"/>
    <w:rsid w:val="00D3627C"/>
    <w:rsid w:val="00D456FB"/>
    <w:rsid w:val="00D65D07"/>
    <w:rsid w:val="00D70840"/>
    <w:rsid w:val="00D77924"/>
    <w:rsid w:val="00DB01F9"/>
    <w:rsid w:val="00E03515"/>
    <w:rsid w:val="00E25864"/>
    <w:rsid w:val="00E2628A"/>
    <w:rsid w:val="00E52C3F"/>
    <w:rsid w:val="00F2508D"/>
    <w:rsid w:val="00F55D49"/>
    <w:rsid w:val="00F63165"/>
    <w:rsid w:val="00F70964"/>
    <w:rsid w:val="00F760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C2D9"/>
  <w15:chartTrackingRefBased/>
  <w15:docId w15:val="{D3CEDBC9-C249-446C-A70A-D92F6180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6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C449DC"/>
    <w:p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link w:val="MEMONUMBERED"/>
    <w:locked/>
    <w:rsid w:val="00C449DC"/>
    <w:rPr>
      <w:rFonts w:ascii="Times New Roman" w:eastAsia="Times New Roman" w:hAnsi="Times New Roman" w:cs="Times New Roman"/>
      <w:sz w:val="24"/>
      <w:szCs w:val="24"/>
      <w:lang w:val="en-US" w:eastAsia="en-ZA"/>
    </w:rPr>
  </w:style>
  <w:style w:type="character" w:styleId="FootnoteReference">
    <w:name w:val="footnote reference"/>
    <w:basedOn w:val="DefaultParagraphFont"/>
    <w:uiPriority w:val="99"/>
    <w:unhideWhenUsed/>
    <w:rsid w:val="00C449DC"/>
    <w:rPr>
      <w:vertAlign w:val="superscript"/>
      <w:lang w:val="en-GB" w:eastAsia="x-none"/>
    </w:rPr>
  </w:style>
  <w:style w:type="paragraph" w:styleId="FootnoteText">
    <w:name w:val="footnote text"/>
    <w:aliases w:val="Footnote Reference1,Footnotes refss"/>
    <w:basedOn w:val="Normal"/>
    <w:link w:val="FootnoteTextChar"/>
    <w:uiPriority w:val="99"/>
    <w:unhideWhenUsed/>
    <w:rsid w:val="00C449DC"/>
    <w:pPr>
      <w:spacing w:before="120" w:after="0" w:line="240" w:lineRule="auto"/>
      <w:jc w:val="both"/>
    </w:pPr>
    <w:rPr>
      <w:rFonts w:ascii="Times New Roman" w:eastAsia="Times New Roman" w:hAnsi="Times New Roman" w:cs="Times New Roman"/>
      <w:sz w:val="20"/>
      <w:szCs w:val="24"/>
      <w:lang w:val="en-GB" w:eastAsia="en-ZA"/>
    </w:rPr>
  </w:style>
  <w:style w:type="character" w:customStyle="1" w:styleId="FootnoteTextChar">
    <w:name w:val="Footnote Text Char"/>
    <w:aliases w:val="Footnote Reference1 Char,Footnotes refss Char"/>
    <w:basedOn w:val="DefaultParagraphFont"/>
    <w:link w:val="FootnoteText"/>
    <w:uiPriority w:val="99"/>
    <w:qFormat/>
    <w:rsid w:val="00C449DC"/>
    <w:rPr>
      <w:rFonts w:ascii="Times New Roman" w:eastAsia="Times New Roman" w:hAnsi="Times New Roman" w:cs="Times New Roman"/>
      <w:sz w:val="20"/>
      <w:szCs w:val="24"/>
      <w:lang w:val="en-GB" w:eastAsia="en-ZA"/>
    </w:rPr>
  </w:style>
  <w:style w:type="character" w:customStyle="1" w:styleId="Heading2Char">
    <w:name w:val="Heading 2 Char"/>
    <w:basedOn w:val="DefaultParagraphFont"/>
    <w:link w:val="Heading2"/>
    <w:uiPriority w:val="9"/>
    <w:rsid w:val="00D16C4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A70BA"/>
    <w:rPr>
      <w:i/>
      <w:iCs/>
    </w:rPr>
  </w:style>
  <w:style w:type="paragraph" w:styleId="Header">
    <w:name w:val="header"/>
    <w:basedOn w:val="Normal"/>
    <w:link w:val="HeaderChar"/>
    <w:uiPriority w:val="99"/>
    <w:unhideWhenUsed/>
    <w:rsid w:val="00D3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F4"/>
  </w:style>
  <w:style w:type="paragraph" w:styleId="Footer">
    <w:name w:val="footer"/>
    <w:basedOn w:val="Normal"/>
    <w:link w:val="FooterChar"/>
    <w:uiPriority w:val="99"/>
    <w:unhideWhenUsed/>
    <w:rsid w:val="00D3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F4"/>
  </w:style>
  <w:style w:type="paragraph" w:styleId="NormalWeb">
    <w:name w:val="Normal (Web)"/>
    <w:basedOn w:val="Normal"/>
    <w:uiPriority w:val="99"/>
    <w:unhideWhenUsed/>
    <w:rsid w:val="0087717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JUDGMENTNUMBERED">
    <w:name w:val="JUDGMENT NUMBERED"/>
    <w:basedOn w:val="Normal"/>
    <w:next w:val="Normal"/>
    <w:qFormat/>
    <w:rsid w:val="00613145"/>
    <w:pPr>
      <w:numPr>
        <w:numId w:val="1"/>
      </w:numPr>
      <w:spacing w:after="0" w:line="360" w:lineRule="auto"/>
      <w:jc w:val="both"/>
    </w:pPr>
    <w:rPr>
      <w:rFonts w:ascii="Times New Roman" w:eastAsia="Times New Roman" w:hAnsi="Times New Roman" w:cs="Times New Roman"/>
      <w:sz w:val="26"/>
    </w:rPr>
  </w:style>
  <w:style w:type="character" w:styleId="Hyperlink">
    <w:name w:val="Hyperlink"/>
    <w:basedOn w:val="DefaultParagraphFont"/>
    <w:uiPriority w:val="99"/>
    <w:semiHidden/>
    <w:unhideWhenUsed/>
    <w:rsid w:val="00923214"/>
    <w:rPr>
      <w:color w:val="0000FF"/>
      <w:u w:val="single"/>
    </w:rPr>
  </w:style>
  <w:style w:type="paragraph" w:styleId="ListParagraph">
    <w:name w:val="List Paragraph"/>
    <w:basedOn w:val="Normal"/>
    <w:uiPriority w:val="34"/>
    <w:qFormat/>
    <w:rsid w:val="0098412B"/>
    <w:pPr>
      <w:ind w:left="720"/>
      <w:contextualSpacing/>
    </w:pPr>
  </w:style>
  <w:style w:type="paragraph" w:styleId="BalloonText">
    <w:name w:val="Balloon Text"/>
    <w:basedOn w:val="Normal"/>
    <w:link w:val="BalloonTextChar"/>
    <w:uiPriority w:val="99"/>
    <w:semiHidden/>
    <w:unhideWhenUsed/>
    <w:rsid w:val="00A45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49895">
      <w:bodyDiv w:val="1"/>
      <w:marLeft w:val="0"/>
      <w:marRight w:val="0"/>
      <w:marTop w:val="0"/>
      <w:marBottom w:val="0"/>
      <w:divBdr>
        <w:top w:val="none" w:sz="0" w:space="0" w:color="auto"/>
        <w:left w:val="none" w:sz="0" w:space="0" w:color="auto"/>
        <w:bottom w:val="none" w:sz="0" w:space="0" w:color="auto"/>
        <w:right w:val="none" w:sz="0" w:space="0" w:color="auto"/>
      </w:divBdr>
    </w:div>
    <w:div w:id="888491361">
      <w:bodyDiv w:val="1"/>
      <w:marLeft w:val="0"/>
      <w:marRight w:val="0"/>
      <w:marTop w:val="0"/>
      <w:marBottom w:val="0"/>
      <w:divBdr>
        <w:top w:val="none" w:sz="0" w:space="0" w:color="auto"/>
        <w:left w:val="none" w:sz="0" w:space="0" w:color="auto"/>
        <w:bottom w:val="none" w:sz="0" w:space="0" w:color="auto"/>
        <w:right w:val="none" w:sz="0" w:space="0" w:color="auto"/>
      </w:divBdr>
    </w:div>
    <w:div w:id="11329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3E71-B268-4F74-A298-D9B07BF0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Ayanda Mdletshe</cp:lastModifiedBy>
  <cp:revision>2</cp:revision>
  <cp:lastPrinted>2022-11-30T10:10:00Z</cp:lastPrinted>
  <dcterms:created xsi:type="dcterms:W3CDTF">2022-12-01T09:35:00Z</dcterms:created>
  <dcterms:modified xsi:type="dcterms:W3CDTF">2022-12-01T09:35:00Z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58dd7b2c-4dc9-441a-8351-f25aef7b854e</vt:lpwstr>
  </property>
</Properties>
</file>