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BCDE7" w14:textId="572BEBA5" w:rsidR="002073C1" w:rsidRDefault="002073C1" w:rsidP="00B05C8E">
      <w:pPr>
        <w:rPr>
          <w:rFonts w:ascii="Arial" w:hAnsi="Arial" w:cs="Arial"/>
          <w:b/>
          <w:bCs/>
          <w:sz w:val="24"/>
          <w:szCs w:val="24"/>
          <w:lang w:val="en-US"/>
        </w:rPr>
      </w:pPr>
      <w:r w:rsidRPr="00CA49C1">
        <w:rPr>
          <w:noProof/>
          <w:lang w:eastAsia="en-ZA"/>
        </w:rPr>
        <w:drawing>
          <wp:anchor distT="0" distB="0" distL="114300" distR="114300" simplePos="0" relativeHeight="251659264" behindDoc="0" locked="0" layoutInCell="1" allowOverlap="1" wp14:anchorId="4AFBF960" wp14:editId="50399C27">
            <wp:simplePos x="0" y="0"/>
            <wp:positionH relativeFrom="margin">
              <wp:align>center</wp:align>
            </wp:positionH>
            <wp:positionV relativeFrom="paragraph">
              <wp:posOffset>76200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7CD016B9" w14:textId="77777777" w:rsidR="002073C1" w:rsidRDefault="002073C1" w:rsidP="00B05C8E">
      <w:pPr>
        <w:rPr>
          <w:rFonts w:ascii="Arial" w:hAnsi="Arial" w:cs="Arial"/>
          <w:b/>
          <w:bCs/>
          <w:sz w:val="24"/>
          <w:szCs w:val="24"/>
          <w:lang w:val="en-US"/>
        </w:rPr>
      </w:pPr>
    </w:p>
    <w:p w14:paraId="5604A0DB" w14:textId="77777777" w:rsidR="002073C1" w:rsidRDefault="002073C1" w:rsidP="00B05C8E">
      <w:pPr>
        <w:rPr>
          <w:rFonts w:ascii="Arial" w:hAnsi="Arial" w:cs="Arial"/>
          <w:b/>
          <w:bCs/>
          <w:sz w:val="24"/>
          <w:szCs w:val="24"/>
          <w:lang w:val="en-US"/>
        </w:rPr>
      </w:pPr>
    </w:p>
    <w:p w14:paraId="4D28699F" w14:textId="77777777" w:rsidR="002073C1" w:rsidRDefault="002073C1" w:rsidP="00B05C8E">
      <w:pPr>
        <w:jc w:val="center"/>
        <w:rPr>
          <w:rFonts w:ascii="Arial" w:hAnsi="Arial" w:cs="Arial"/>
          <w:b/>
          <w:bCs/>
          <w:sz w:val="24"/>
          <w:szCs w:val="24"/>
          <w:lang w:val="en-GB"/>
        </w:rPr>
      </w:pPr>
    </w:p>
    <w:p w14:paraId="3B5CF056" w14:textId="77777777" w:rsidR="00A17461" w:rsidRDefault="00A17461" w:rsidP="00B05C8E">
      <w:pPr>
        <w:jc w:val="center"/>
        <w:rPr>
          <w:rFonts w:ascii="Arial" w:hAnsi="Arial" w:cs="Arial"/>
          <w:b/>
          <w:bCs/>
          <w:sz w:val="24"/>
          <w:szCs w:val="24"/>
          <w:lang w:val="en-GB"/>
        </w:rPr>
      </w:pPr>
    </w:p>
    <w:p w14:paraId="0A9BCFE6" w14:textId="77777777" w:rsidR="002073C1" w:rsidRPr="00CA49C1" w:rsidRDefault="002073C1" w:rsidP="001B727D">
      <w:pPr>
        <w:jc w:val="center"/>
        <w:rPr>
          <w:rFonts w:ascii="Arial" w:hAnsi="Arial" w:cs="Arial"/>
          <w:b/>
          <w:bCs/>
          <w:sz w:val="24"/>
          <w:szCs w:val="24"/>
          <w:lang w:val="en-GB"/>
        </w:rPr>
      </w:pPr>
      <w:r w:rsidRPr="00CA49C1">
        <w:rPr>
          <w:rFonts w:ascii="Arial" w:hAnsi="Arial" w:cs="Arial"/>
          <w:b/>
          <w:bCs/>
          <w:sz w:val="24"/>
          <w:szCs w:val="24"/>
          <w:lang w:val="en-GB"/>
        </w:rPr>
        <w:t>THE SUPREME COURT OF APPEAL OF SOUTH AFRICA</w:t>
      </w:r>
    </w:p>
    <w:p w14:paraId="168351F8" w14:textId="77777777" w:rsidR="002073C1" w:rsidRPr="00CA49C1" w:rsidRDefault="002073C1" w:rsidP="001B727D">
      <w:pPr>
        <w:keepNext/>
        <w:jc w:val="center"/>
        <w:outlineLvl w:val="2"/>
        <w:rPr>
          <w:b/>
          <w:iCs/>
          <w:sz w:val="24"/>
          <w:szCs w:val="24"/>
          <w:lang w:val="en-GB"/>
        </w:rPr>
      </w:pPr>
      <w:r w:rsidRPr="00CA49C1">
        <w:rPr>
          <w:rFonts w:ascii="Arial" w:hAnsi="Arial" w:cs="Arial"/>
          <w:b/>
          <w:iCs/>
          <w:sz w:val="24"/>
          <w:szCs w:val="24"/>
          <w:lang w:val="en-GB"/>
        </w:rPr>
        <w:t>JUDGMENT</w:t>
      </w:r>
    </w:p>
    <w:p w14:paraId="46EC5F66" w14:textId="77777777" w:rsidR="002073C1" w:rsidRDefault="002073C1" w:rsidP="001B727D">
      <w:pPr>
        <w:rPr>
          <w:rFonts w:ascii="Arial" w:hAnsi="Arial" w:cs="Arial"/>
          <w:b/>
          <w:bCs/>
          <w:sz w:val="24"/>
          <w:szCs w:val="24"/>
          <w:lang w:val="en-US"/>
        </w:rPr>
      </w:pPr>
    </w:p>
    <w:p w14:paraId="7514B0C1" w14:textId="18A9DB96" w:rsidR="002073C1" w:rsidRPr="00CA49C1" w:rsidRDefault="00DC5FE6" w:rsidP="001B727D">
      <w:pPr>
        <w:jc w:val="right"/>
        <w:rPr>
          <w:rFonts w:ascii="Arial" w:hAnsi="Arial" w:cs="Arial"/>
          <w:b/>
          <w:bCs/>
          <w:sz w:val="24"/>
          <w:szCs w:val="24"/>
          <w:lang w:val="en-US"/>
        </w:rPr>
      </w:pPr>
      <w:r>
        <w:rPr>
          <w:rFonts w:ascii="Arial" w:hAnsi="Arial" w:cs="Arial"/>
          <w:b/>
          <w:bCs/>
          <w:sz w:val="24"/>
          <w:szCs w:val="24"/>
          <w:lang w:val="en-US"/>
        </w:rPr>
        <w:t xml:space="preserve"> </w:t>
      </w:r>
      <w:r w:rsidR="00F86CED">
        <w:rPr>
          <w:rFonts w:ascii="Arial" w:hAnsi="Arial" w:cs="Arial"/>
          <w:b/>
          <w:bCs/>
          <w:sz w:val="24"/>
          <w:szCs w:val="24"/>
          <w:lang w:val="en-US"/>
        </w:rPr>
        <w:t>Reportable</w:t>
      </w:r>
      <w:r w:rsidR="002073C1">
        <w:rPr>
          <w:rFonts w:ascii="Arial" w:hAnsi="Arial" w:cs="Arial"/>
          <w:b/>
          <w:bCs/>
          <w:sz w:val="24"/>
          <w:szCs w:val="24"/>
          <w:lang w:val="en-US"/>
        </w:rPr>
        <w:t xml:space="preserve"> </w:t>
      </w:r>
    </w:p>
    <w:p w14:paraId="35CDE11D" w14:textId="45B21D06" w:rsidR="002073C1" w:rsidRPr="00C22715" w:rsidRDefault="002073C1" w:rsidP="001B727D">
      <w:pPr>
        <w:jc w:val="right"/>
        <w:rPr>
          <w:rFonts w:ascii="Arial" w:hAnsi="Arial" w:cs="Arial"/>
          <w:bCs/>
          <w:sz w:val="24"/>
          <w:szCs w:val="24"/>
          <w:lang w:val="en-US"/>
        </w:rPr>
      </w:pPr>
      <w:r w:rsidRPr="00C22715">
        <w:rPr>
          <w:rFonts w:ascii="Arial" w:hAnsi="Arial" w:cs="Arial"/>
          <w:bCs/>
          <w:sz w:val="24"/>
          <w:szCs w:val="24"/>
          <w:lang w:val="en-US"/>
        </w:rPr>
        <w:t>Case no</w:t>
      </w:r>
      <w:r w:rsidR="006D42D1" w:rsidRPr="00C22715">
        <w:rPr>
          <w:rFonts w:ascii="Arial" w:hAnsi="Arial" w:cs="Arial"/>
          <w:bCs/>
          <w:sz w:val="24"/>
          <w:szCs w:val="24"/>
          <w:lang w:val="en-US"/>
        </w:rPr>
        <w:t>:</w:t>
      </w:r>
      <w:r w:rsidRPr="00C22715">
        <w:rPr>
          <w:rFonts w:ascii="Arial" w:hAnsi="Arial" w:cs="Arial"/>
          <w:bCs/>
          <w:sz w:val="24"/>
          <w:szCs w:val="24"/>
          <w:lang w:val="en-US"/>
        </w:rPr>
        <w:t xml:space="preserve"> </w:t>
      </w:r>
      <w:r w:rsidR="008F2CCC">
        <w:rPr>
          <w:rFonts w:ascii="Arial" w:hAnsi="Arial" w:cs="Arial"/>
          <w:bCs/>
          <w:sz w:val="24"/>
          <w:szCs w:val="24"/>
          <w:lang w:val="en-US"/>
        </w:rPr>
        <w:t>667</w:t>
      </w:r>
      <w:r w:rsidR="00BF6110" w:rsidRPr="00C22715">
        <w:rPr>
          <w:rFonts w:ascii="Arial" w:hAnsi="Arial" w:cs="Arial"/>
          <w:bCs/>
          <w:sz w:val="24"/>
          <w:szCs w:val="24"/>
          <w:lang w:val="en-US"/>
        </w:rPr>
        <w:t>/2021</w:t>
      </w:r>
    </w:p>
    <w:p w14:paraId="1BD6D530" w14:textId="77777777" w:rsidR="002073C1" w:rsidRDefault="002073C1" w:rsidP="001B727D">
      <w:pPr>
        <w:rPr>
          <w:rFonts w:ascii="Arial" w:hAnsi="Arial" w:cs="Arial"/>
          <w:b/>
          <w:bCs/>
          <w:sz w:val="24"/>
          <w:szCs w:val="24"/>
          <w:lang w:val="en-US"/>
        </w:rPr>
      </w:pPr>
    </w:p>
    <w:p w14:paraId="2E1D44B5" w14:textId="24367FFE" w:rsidR="00BD73E7" w:rsidRPr="00C22715" w:rsidRDefault="00BD73E7" w:rsidP="001B727D">
      <w:pPr>
        <w:rPr>
          <w:rFonts w:ascii="Arial" w:hAnsi="Arial" w:cs="Arial"/>
          <w:bCs/>
          <w:sz w:val="24"/>
          <w:szCs w:val="24"/>
          <w:lang w:val="en-US"/>
        </w:rPr>
      </w:pPr>
      <w:r w:rsidRPr="00C22715">
        <w:rPr>
          <w:rFonts w:ascii="Arial" w:hAnsi="Arial" w:cs="Arial"/>
          <w:bCs/>
          <w:sz w:val="24"/>
          <w:szCs w:val="24"/>
          <w:lang w:val="en-US"/>
        </w:rPr>
        <w:t>In the matter between:</w:t>
      </w:r>
    </w:p>
    <w:p w14:paraId="59D8F74F" w14:textId="14D0FA50" w:rsidR="00BD73E7" w:rsidRDefault="00BD73E7" w:rsidP="001B727D">
      <w:pPr>
        <w:rPr>
          <w:rFonts w:ascii="Arial" w:hAnsi="Arial" w:cs="Arial"/>
          <w:b/>
          <w:bCs/>
          <w:sz w:val="24"/>
          <w:szCs w:val="24"/>
          <w:lang w:val="en-US"/>
        </w:rPr>
      </w:pPr>
    </w:p>
    <w:p w14:paraId="301F9DBD" w14:textId="5B4F46EE" w:rsidR="00BD73E7" w:rsidRDefault="001530BF" w:rsidP="001B727D">
      <w:pPr>
        <w:ind w:right="-154"/>
        <w:rPr>
          <w:rFonts w:ascii="Arial" w:hAnsi="Arial" w:cs="Arial"/>
          <w:b/>
          <w:bCs/>
          <w:sz w:val="24"/>
          <w:szCs w:val="24"/>
          <w:lang w:val="en-US"/>
        </w:rPr>
      </w:pPr>
      <w:r>
        <w:rPr>
          <w:rFonts w:ascii="Arial" w:hAnsi="Arial" w:cs="Arial"/>
          <w:b/>
          <w:bCs/>
          <w:sz w:val="24"/>
          <w:szCs w:val="24"/>
          <w:lang w:val="en-US"/>
        </w:rPr>
        <w:t>PLATTEKLOO</w:t>
      </w:r>
      <w:r w:rsidR="005B7840">
        <w:rPr>
          <w:rFonts w:ascii="Arial" w:hAnsi="Arial" w:cs="Arial"/>
          <w:b/>
          <w:bCs/>
          <w:sz w:val="24"/>
          <w:szCs w:val="24"/>
          <w:lang w:val="en-US"/>
        </w:rPr>
        <w:t>F RMS BOERDERY (PTY) LTD</w:t>
      </w:r>
      <w:r w:rsidR="005B7840">
        <w:rPr>
          <w:rFonts w:ascii="Arial" w:hAnsi="Arial" w:cs="Arial"/>
          <w:b/>
          <w:bCs/>
          <w:sz w:val="24"/>
          <w:szCs w:val="24"/>
          <w:lang w:val="en-US"/>
        </w:rPr>
        <w:tab/>
      </w:r>
      <w:r w:rsidR="00BF6110">
        <w:rPr>
          <w:rFonts w:ascii="Arial" w:hAnsi="Arial" w:cs="Arial"/>
          <w:b/>
          <w:bCs/>
          <w:sz w:val="24"/>
          <w:szCs w:val="24"/>
          <w:lang w:val="en-US"/>
        </w:rPr>
        <w:tab/>
      </w:r>
      <w:r w:rsidR="00BF6110">
        <w:rPr>
          <w:rFonts w:ascii="Arial" w:hAnsi="Arial" w:cs="Arial"/>
          <w:b/>
          <w:bCs/>
          <w:sz w:val="24"/>
          <w:szCs w:val="24"/>
          <w:lang w:val="en-US"/>
        </w:rPr>
        <w:tab/>
      </w:r>
      <w:r w:rsidR="00BF6110">
        <w:rPr>
          <w:rFonts w:ascii="Arial" w:hAnsi="Arial" w:cs="Arial"/>
          <w:b/>
          <w:bCs/>
          <w:sz w:val="24"/>
          <w:szCs w:val="24"/>
          <w:lang w:val="en-US"/>
        </w:rPr>
        <w:tab/>
      </w:r>
      <w:r w:rsidR="00652842">
        <w:rPr>
          <w:rFonts w:ascii="Arial" w:hAnsi="Arial" w:cs="Arial"/>
          <w:b/>
          <w:bCs/>
          <w:sz w:val="24"/>
          <w:szCs w:val="24"/>
          <w:lang w:val="en-US"/>
        </w:rPr>
        <w:t xml:space="preserve">     APPELLANT</w:t>
      </w:r>
    </w:p>
    <w:p w14:paraId="723029CE" w14:textId="77777777" w:rsidR="00BF6110" w:rsidRDefault="00BF6110" w:rsidP="001B727D">
      <w:pPr>
        <w:rPr>
          <w:rFonts w:ascii="Arial" w:hAnsi="Arial" w:cs="Arial"/>
          <w:b/>
          <w:bCs/>
          <w:sz w:val="24"/>
          <w:szCs w:val="24"/>
          <w:lang w:val="en-US"/>
        </w:rPr>
      </w:pPr>
    </w:p>
    <w:p w14:paraId="0A20A8DA" w14:textId="3A37193D" w:rsidR="00BD73E7" w:rsidRPr="00C22715" w:rsidRDefault="00BD73E7" w:rsidP="001B727D">
      <w:pPr>
        <w:rPr>
          <w:rFonts w:ascii="Arial" w:hAnsi="Arial" w:cs="Arial"/>
          <w:bCs/>
          <w:sz w:val="24"/>
          <w:szCs w:val="24"/>
          <w:lang w:val="en-US"/>
        </w:rPr>
      </w:pPr>
      <w:proofErr w:type="gramStart"/>
      <w:r w:rsidRPr="00C22715">
        <w:rPr>
          <w:rFonts w:ascii="Arial" w:hAnsi="Arial" w:cs="Arial"/>
          <w:bCs/>
          <w:sz w:val="24"/>
          <w:szCs w:val="24"/>
          <w:lang w:val="en-US"/>
        </w:rPr>
        <w:t>and</w:t>
      </w:r>
      <w:proofErr w:type="gramEnd"/>
    </w:p>
    <w:p w14:paraId="2C082C12" w14:textId="6ED00223" w:rsidR="00BD73E7" w:rsidRDefault="00BD73E7" w:rsidP="001B727D">
      <w:pPr>
        <w:rPr>
          <w:rFonts w:ascii="Arial" w:hAnsi="Arial" w:cs="Arial"/>
          <w:b/>
          <w:bCs/>
          <w:sz w:val="24"/>
          <w:szCs w:val="24"/>
          <w:lang w:val="en-US"/>
        </w:rPr>
      </w:pPr>
    </w:p>
    <w:p w14:paraId="3CEEF5C5" w14:textId="4251788F" w:rsidR="00BD73E7" w:rsidRDefault="005B7840" w:rsidP="001B727D">
      <w:pPr>
        <w:rPr>
          <w:rFonts w:ascii="Arial" w:hAnsi="Arial" w:cs="Arial"/>
          <w:b/>
          <w:bCs/>
          <w:sz w:val="24"/>
          <w:szCs w:val="24"/>
          <w:lang w:val="en-US"/>
        </w:rPr>
      </w:pPr>
      <w:r>
        <w:rPr>
          <w:rFonts w:ascii="Arial" w:hAnsi="Arial" w:cs="Arial"/>
          <w:b/>
          <w:bCs/>
          <w:sz w:val="24"/>
          <w:szCs w:val="24"/>
          <w:lang w:val="en-US"/>
        </w:rPr>
        <w:t>DAHLIA INVESTMENT HOLDINGS (PTY) LTD</w:t>
      </w:r>
      <w:r>
        <w:rPr>
          <w:rFonts w:ascii="Arial" w:hAnsi="Arial" w:cs="Arial"/>
          <w:b/>
          <w:bCs/>
          <w:sz w:val="24"/>
          <w:szCs w:val="24"/>
          <w:lang w:val="en-US"/>
        </w:rPr>
        <w:tab/>
      </w:r>
      <w:r w:rsidR="002073C1">
        <w:rPr>
          <w:rFonts w:ascii="Arial" w:hAnsi="Arial" w:cs="Arial"/>
          <w:b/>
          <w:bCs/>
          <w:sz w:val="24"/>
          <w:szCs w:val="24"/>
          <w:lang w:val="en-US"/>
        </w:rPr>
        <w:tab/>
        <w:t xml:space="preserve"> </w:t>
      </w:r>
      <w:r w:rsidR="00652842">
        <w:rPr>
          <w:rFonts w:ascii="Arial" w:hAnsi="Arial" w:cs="Arial"/>
          <w:b/>
          <w:bCs/>
          <w:sz w:val="24"/>
          <w:szCs w:val="24"/>
          <w:lang w:val="en-US"/>
        </w:rPr>
        <w:t xml:space="preserve"> </w:t>
      </w:r>
      <w:r w:rsidR="001B727D">
        <w:rPr>
          <w:rFonts w:ascii="Arial" w:hAnsi="Arial" w:cs="Arial"/>
          <w:b/>
          <w:bCs/>
          <w:sz w:val="24"/>
          <w:szCs w:val="24"/>
          <w:lang w:val="en-US"/>
        </w:rPr>
        <w:tab/>
      </w:r>
      <w:r w:rsidR="00652842">
        <w:rPr>
          <w:rFonts w:ascii="Arial" w:hAnsi="Arial" w:cs="Arial"/>
          <w:b/>
          <w:bCs/>
          <w:sz w:val="24"/>
          <w:szCs w:val="24"/>
          <w:lang w:val="en-US"/>
        </w:rPr>
        <w:t>RESPONDENT</w:t>
      </w:r>
    </w:p>
    <w:p w14:paraId="1ED06C89" w14:textId="77777777" w:rsidR="00F826A7" w:rsidRDefault="00F826A7" w:rsidP="001B727D">
      <w:pPr>
        <w:rPr>
          <w:rFonts w:ascii="Arial" w:hAnsi="Arial" w:cs="Arial"/>
          <w:b/>
          <w:bCs/>
          <w:sz w:val="24"/>
          <w:szCs w:val="24"/>
          <w:lang w:val="en-US"/>
        </w:rPr>
      </w:pPr>
    </w:p>
    <w:p w14:paraId="616F1E2B" w14:textId="633E9BAF" w:rsidR="002073C1" w:rsidRPr="00CA49C1" w:rsidRDefault="002073C1" w:rsidP="001B727D">
      <w:pPr>
        <w:ind w:left="2160" w:hanging="2160"/>
        <w:rPr>
          <w:rFonts w:ascii="Arial" w:hAnsi="Arial" w:cs="Arial"/>
          <w:sz w:val="24"/>
          <w:szCs w:val="24"/>
          <w:lang w:val="en-US"/>
        </w:rPr>
      </w:pPr>
      <w:r w:rsidRPr="00CA49C1">
        <w:rPr>
          <w:rFonts w:ascii="Arial" w:hAnsi="Arial" w:cs="Arial"/>
          <w:b/>
          <w:bCs/>
          <w:sz w:val="24"/>
          <w:szCs w:val="24"/>
          <w:lang w:val="en-US"/>
        </w:rPr>
        <w:t>Neutral citation:</w:t>
      </w:r>
      <w:r w:rsidRPr="00CA49C1">
        <w:rPr>
          <w:rFonts w:ascii="Arial" w:hAnsi="Arial" w:cs="Arial"/>
          <w:b/>
          <w:bCs/>
          <w:sz w:val="24"/>
          <w:szCs w:val="24"/>
          <w:lang w:val="en-US"/>
        </w:rPr>
        <w:tab/>
      </w:r>
      <w:proofErr w:type="spellStart"/>
      <w:r w:rsidR="005B7840">
        <w:rPr>
          <w:rFonts w:ascii="Arial" w:hAnsi="Arial" w:cs="Arial"/>
          <w:bCs/>
          <w:i/>
          <w:sz w:val="24"/>
          <w:szCs w:val="24"/>
          <w:lang w:val="en-US"/>
        </w:rPr>
        <w:t>Plattekloof</w:t>
      </w:r>
      <w:proofErr w:type="spellEnd"/>
      <w:r w:rsidR="005B7840">
        <w:rPr>
          <w:rFonts w:ascii="Arial" w:hAnsi="Arial" w:cs="Arial"/>
          <w:bCs/>
          <w:i/>
          <w:sz w:val="24"/>
          <w:szCs w:val="24"/>
          <w:lang w:val="en-US"/>
        </w:rPr>
        <w:t xml:space="preserve"> RMS </w:t>
      </w:r>
      <w:proofErr w:type="spellStart"/>
      <w:r w:rsidR="005B7840">
        <w:rPr>
          <w:rFonts w:ascii="Arial" w:hAnsi="Arial" w:cs="Arial"/>
          <w:bCs/>
          <w:i/>
          <w:sz w:val="24"/>
          <w:szCs w:val="24"/>
          <w:lang w:val="en-US"/>
        </w:rPr>
        <w:t>Boerdery</w:t>
      </w:r>
      <w:proofErr w:type="spellEnd"/>
      <w:r w:rsidR="005B7840">
        <w:rPr>
          <w:rFonts w:ascii="Arial" w:hAnsi="Arial" w:cs="Arial"/>
          <w:bCs/>
          <w:i/>
          <w:sz w:val="24"/>
          <w:szCs w:val="24"/>
          <w:lang w:val="en-US"/>
        </w:rPr>
        <w:t xml:space="preserve"> (Pty) Ltd v Dahlia Investment Holdings (Pty) Ltd </w:t>
      </w:r>
      <w:r>
        <w:rPr>
          <w:rFonts w:ascii="Arial" w:hAnsi="Arial" w:cs="Arial"/>
          <w:sz w:val="24"/>
          <w:szCs w:val="24"/>
          <w:lang w:val="en-US"/>
        </w:rPr>
        <w:t>(</w:t>
      </w:r>
      <w:r w:rsidR="008F2CCC">
        <w:rPr>
          <w:rFonts w:ascii="Arial" w:hAnsi="Arial" w:cs="Arial"/>
          <w:sz w:val="24"/>
          <w:szCs w:val="24"/>
          <w:lang w:val="en-US"/>
        </w:rPr>
        <w:t>667</w:t>
      </w:r>
      <w:r w:rsidR="00D05983">
        <w:rPr>
          <w:rFonts w:ascii="Arial" w:hAnsi="Arial" w:cs="Arial"/>
          <w:sz w:val="24"/>
          <w:szCs w:val="24"/>
          <w:lang w:val="en-US"/>
        </w:rPr>
        <w:t>/</w:t>
      </w:r>
      <w:r w:rsidRPr="00C779A2">
        <w:rPr>
          <w:rFonts w:ascii="Arial" w:hAnsi="Arial" w:cs="Arial"/>
          <w:sz w:val="24"/>
          <w:szCs w:val="24"/>
          <w:lang w:val="en-US"/>
        </w:rPr>
        <w:t>2021)</w:t>
      </w:r>
      <w:r w:rsidRPr="00CA49C1">
        <w:rPr>
          <w:rFonts w:ascii="Arial" w:hAnsi="Arial" w:cs="Arial"/>
          <w:sz w:val="24"/>
          <w:szCs w:val="24"/>
          <w:lang w:val="en-US"/>
        </w:rPr>
        <w:t xml:space="preserve"> [2022</w:t>
      </w:r>
      <w:r w:rsidR="006323AC">
        <w:rPr>
          <w:rFonts w:ascii="Arial" w:hAnsi="Arial" w:cs="Arial"/>
          <w:sz w:val="24"/>
          <w:szCs w:val="24"/>
          <w:lang w:val="en-US"/>
        </w:rPr>
        <w:t xml:space="preserve">] ZASCA </w:t>
      </w:r>
      <w:r w:rsidR="00EB6C19">
        <w:rPr>
          <w:rFonts w:ascii="Arial" w:hAnsi="Arial" w:cs="Arial"/>
          <w:sz w:val="24"/>
          <w:szCs w:val="24"/>
          <w:lang w:val="en-US"/>
        </w:rPr>
        <w:t>182</w:t>
      </w:r>
      <w:r w:rsidRPr="00CA49C1">
        <w:rPr>
          <w:rFonts w:ascii="Arial" w:hAnsi="Arial" w:cs="Arial"/>
          <w:sz w:val="24"/>
          <w:szCs w:val="24"/>
          <w:lang w:val="en-US"/>
        </w:rPr>
        <w:t xml:space="preserve"> (</w:t>
      </w:r>
      <w:r w:rsidR="00362FBD">
        <w:rPr>
          <w:rFonts w:ascii="Arial" w:hAnsi="Arial" w:cs="Arial"/>
          <w:sz w:val="24"/>
          <w:szCs w:val="24"/>
          <w:lang w:val="en-US"/>
        </w:rPr>
        <w:t>15 December</w:t>
      </w:r>
      <w:r w:rsidR="006D42D1">
        <w:rPr>
          <w:rFonts w:ascii="Arial" w:hAnsi="Arial" w:cs="Arial"/>
          <w:sz w:val="24"/>
          <w:szCs w:val="24"/>
          <w:lang w:val="en-US"/>
        </w:rPr>
        <w:t xml:space="preserve"> 2022</w:t>
      </w:r>
      <w:r w:rsidRPr="00CA49C1">
        <w:rPr>
          <w:rFonts w:ascii="Arial" w:hAnsi="Arial" w:cs="Arial"/>
          <w:sz w:val="24"/>
          <w:szCs w:val="24"/>
          <w:lang w:val="en-US"/>
        </w:rPr>
        <w:t>)</w:t>
      </w:r>
    </w:p>
    <w:p w14:paraId="3D84210D" w14:textId="383830FD" w:rsidR="002073C1" w:rsidRPr="00CA49C1" w:rsidRDefault="002073C1" w:rsidP="001B727D">
      <w:pPr>
        <w:rPr>
          <w:rFonts w:ascii="Arial" w:hAnsi="Arial" w:cs="Arial"/>
          <w:sz w:val="24"/>
          <w:szCs w:val="24"/>
          <w:lang w:val="en-US"/>
        </w:rPr>
      </w:pPr>
      <w:r w:rsidRPr="00CA49C1">
        <w:rPr>
          <w:rFonts w:ascii="Arial" w:hAnsi="Arial" w:cs="Arial"/>
          <w:b/>
          <w:bCs/>
          <w:sz w:val="24"/>
          <w:szCs w:val="24"/>
          <w:lang w:val="en-US"/>
        </w:rPr>
        <w:t>Coram:</w:t>
      </w:r>
      <w:r w:rsidRPr="00CA49C1">
        <w:rPr>
          <w:rFonts w:ascii="Arial" w:hAnsi="Arial" w:cs="Arial"/>
          <w:sz w:val="24"/>
          <w:szCs w:val="24"/>
          <w:lang w:val="en-US"/>
        </w:rPr>
        <w:tab/>
      </w:r>
      <w:r w:rsidR="008F2CCC">
        <w:rPr>
          <w:rFonts w:ascii="Arial" w:hAnsi="Arial" w:cs="Arial"/>
          <w:sz w:val="24"/>
          <w:szCs w:val="24"/>
          <w:lang w:val="en-US"/>
        </w:rPr>
        <w:t>VAN DER MERWE, GORVEN and MOTHLE JJA and WINDELL and MALI AJJA</w:t>
      </w:r>
    </w:p>
    <w:p w14:paraId="1A1EE867" w14:textId="664D417B" w:rsidR="002073C1" w:rsidRPr="00CA49C1" w:rsidRDefault="002073C1" w:rsidP="001B727D">
      <w:pPr>
        <w:rPr>
          <w:rFonts w:ascii="Arial" w:hAnsi="Arial" w:cs="Arial"/>
          <w:sz w:val="24"/>
          <w:szCs w:val="24"/>
          <w:lang w:val="en-US"/>
        </w:rPr>
      </w:pPr>
      <w:r w:rsidRPr="00CA49C1">
        <w:rPr>
          <w:rFonts w:ascii="Arial" w:hAnsi="Arial" w:cs="Arial"/>
          <w:b/>
          <w:bCs/>
          <w:sz w:val="24"/>
          <w:szCs w:val="24"/>
          <w:lang w:val="en-US"/>
        </w:rPr>
        <w:t>Heard:</w:t>
      </w:r>
      <w:r w:rsidRPr="00CA49C1">
        <w:rPr>
          <w:rFonts w:ascii="Arial" w:hAnsi="Arial" w:cs="Arial"/>
          <w:b/>
          <w:bCs/>
          <w:sz w:val="24"/>
          <w:szCs w:val="24"/>
          <w:lang w:val="en-US"/>
        </w:rPr>
        <w:tab/>
      </w:r>
      <w:r w:rsidR="008F2CCC">
        <w:rPr>
          <w:rFonts w:ascii="Arial" w:hAnsi="Arial" w:cs="Arial"/>
          <w:sz w:val="24"/>
          <w:szCs w:val="24"/>
          <w:lang w:val="en-US"/>
        </w:rPr>
        <w:t>3 November</w:t>
      </w:r>
      <w:r w:rsidRPr="00CA49C1">
        <w:rPr>
          <w:rFonts w:ascii="Arial" w:hAnsi="Arial" w:cs="Arial"/>
          <w:sz w:val="24"/>
          <w:szCs w:val="24"/>
          <w:lang w:val="en-US"/>
        </w:rPr>
        <w:t xml:space="preserve"> 2022</w:t>
      </w:r>
    </w:p>
    <w:p w14:paraId="4F041DAA" w14:textId="16C89446" w:rsidR="00D178DF" w:rsidRPr="001F03C2" w:rsidRDefault="002073C1" w:rsidP="00D178DF">
      <w:pPr>
        <w:rPr>
          <w:rFonts w:ascii="Arial" w:hAnsi="Arial" w:cs="Arial"/>
          <w:sz w:val="24"/>
          <w:szCs w:val="24"/>
        </w:rPr>
      </w:pPr>
      <w:r w:rsidRPr="00CA49C1">
        <w:rPr>
          <w:rFonts w:ascii="Arial" w:hAnsi="Arial" w:cs="Arial"/>
          <w:b/>
          <w:bCs/>
          <w:sz w:val="24"/>
          <w:szCs w:val="24"/>
          <w:lang w:val="en-US"/>
        </w:rPr>
        <w:t>Delivered:</w:t>
      </w:r>
      <w:r w:rsidRPr="00CA49C1">
        <w:rPr>
          <w:rFonts w:ascii="Arial" w:hAnsi="Arial" w:cs="Arial"/>
          <w:b/>
          <w:bCs/>
          <w:sz w:val="24"/>
          <w:szCs w:val="24"/>
          <w:lang w:val="en-US"/>
        </w:rPr>
        <w:tab/>
      </w:r>
      <w:r w:rsidR="00D178DF" w:rsidRPr="001F03C2">
        <w:rPr>
          <w:rFonts w:ascii="Arial" w:hAnsi="Arial" w:cs="Arial"/>
          <w:color w:val="242121"/>
          <w:sz w:val="24"/>
          <w:szCs w:val="24"/>
          <w:shd w:val="clear" w:color="auto" w:fill="FFFFFF"/>
        </w:rPr>
        <w:t>This judgment was handed down electronically by circulation to the parties’ representatives by email, publication on the Supreme Court of Appeal website and release to SAFLII. The date and time for hand-down is deemed to</w:t>
      </w:r>
      <w:r w:rsidR="00F07608">
        <w:rPr>
          <w:rFonts w:ascii="Arial" w:hAnsi="Arial" w:cs="Arial"/>
          <w:color w:val="242121"/>
          <w:sz w:val="24"/>
          <w:szCs w:val="24"/>
          <w:shd w:val="clear" w:color="auto" w:fill="FFFFFF"/>
        </w:rPr>
        <w:t xml:space="preserve"> be 11h</w:t>
      </w:r>
      <w:r w:rsidR="00D178DF">
        <w:rPr>
          <w:rFonts w:ascii="Arial" w:hAnsi="Arial" w:cs="Arial"/>
          <w:color w:val="242121"/>
          <w:sz w:val="24"/>
          <w:szCs w:val="24"/>
          <w:shd w:val="clear" w:color="auto" w:fill="FFFFFF"/>
        </w:rPr>
        <w:t xml:space="preserve">00 am on </w:t>
      </w:r>
      <w:r w:rsidR="00362FBD">
        <w:rPr>
          <w:rFonts w:ascii="Arial" w:hAnsi="Arial" w:cs="Arial"/>
          <w:color w:val="242121"/>
          <w:sz w:val="24"/>
          <w:szCs w:val="24"/>
          <w:shd w:val="clear" w:color="auto" w:fill="FFFFFF"/>
        </w:rPr>
        <w:t>15</w:t>
      </w:r>
      <w:r w:rsidR="00D178DF" w:rsidRPr="00362FBD">
        <w:rPr>
          <w:rFonts w:ascii="Arial" w:hAnsi="Arial" w:cs="Arial"/>
          <w:color w:val="242121"/>
          <w:sz w:val="24"/>
          <w:szCs w:val="24"/>
          <w:shd w:val="clear" w:color="auto" w:fill="FFFFFF"/>
        </w:rPr>
        <w:t xml:space="preserve"> December</w:t>
      </w:r>
      <w:r w:rsidR="00D178DF" w:rsidRPr="001F03C2">
        <w:rPr>
          <w:rFonts w:ascii="Arial" w:hAnsi="Arial" w:cs="Arial"/>
          <w:color w:val="242121"/>
          <w:sz w:val="24"/>
          <w:szCs w:val="24"/>
          <w:shd w:val="clear" w:color="auto" w:fill="FFFFFF"/>
        </w:rPr>
        <w:t xml:space="preserve"> 2022.</w:t>
      </w:r>
    </w:p>
    <w:p w14:paraId="52C3E129" w14:textId="7C977D8A" w:rsidR="00A01678" w:rsidRDefault="002073C1" w:rsidP="001B727D">
      <w:pPr>
        <w:rPr>
          <w:rFonts w:ascii="Arial" w:hAnsi="Arial" w:cs="Arial"/>
          <w:sz w:val="24"/>
          <w:szCs w:val="24"/>
          <w:lang w:val="en-US"/>
        </w:rPr>
      </w:pPr>
      <w:r w:rsidRPr="00D96994">
        <w:rPr>
          <w:rFonts w:ascii="Arial" w:hAnsi="Arial" w:cs="Arial"/>
          <w:b/>
          <w:bCs/>
          <w:sz w:val="24"/>
          <w:szCs w:val="24"/>
          <w:lang w:val="en-US"/>
        </w:rPr>
        <w:t>Summary:</w:t>
      </w:r>
      <w:r>
        <w:rPr>
          <w:rFonts w:ascii="Arial" w:hAnsi="Arial" w:cs="Arial"/>
          <w:sz w:val="24"/>
          <w:szCs w:val="24"/>
          <w:lang w:val="en-US"/>
        </w:rPr>
        <w:tab/>
      </w:r>
      <w:r w:rsidR="00D47A4E">
        <w:rPr>
          <w:rFonts w:ascii="Arial" w:hAnsi="Arial" w:cs="Arial"/>
          <w:sz w:val="24"/>
          <w:szCs w:val="24"/>
          <w:lang w:val="en-US"/>
        </w:rPr>
        <w:t>Contract – pre-emptive right in respect of two of eight portions of farm – offer by third party to purchase farm – activated right of pre-emption – appellant’s remedy – enforcement of respondent’s contractual obligation to determine in good faith what portion of global purchase price pertains to two portions and to deliver offer to appellant accordingly.</w:t>
      </w:r>
    </w:p>
    <w:p w14:paraId="7F149D1A" w14:textId="77777777" w:rsidR="00190CE2" w:rsidRDefault="00190CE2" w:rsidP="001B727D">
      <w:pPr>
        <w:rPr>
          <w:rFonts w:ascii="Arial" w:hAnsi="Arial" w:cs="Arial"/>
          <w:sz w:val="24"/>
          <w:szCs w:val="24"/>
          <w:lang w:val="en-US"/>
        </w:rPr>
      </w:pPr>
    </w:p>
    <w:p w14:paraId="2F9F662E" w14:textId="77777777" w:rsidR="002073C1" w:rsidRDefault="002073C1" w:rsidP="00B05C8E">
      <w:pPr>
        <w:pBdr>
          <w:bottom w:val="single" w:sz="12" w:space="1" w:color="auto"/>
        </w:pBdr>
        <w:rPr>
          <w:rFonts w:ascii="Arial" w:hAnsi="Arial" w:cs="Arial"/>
          <w:sz w:val="24"/>
          <w:szCs w:val="24"/>
          <w:lang w:val="en-US"/>
        </w:rPr>
      </w:pPr>
    </w:p>
    <w:p w14:paraId="08BBA34E" w14:textId="77777777" w:rsidR="002073C1" w:rsidRDefault="002073C1" w:rsidP="00B05C8E">
      <w:pPr>
        <w:rPr>
          <w:rFonts w:ascii="Arial" w:hAnsi="Arial" w:cs="Arial"/>
          <w:b/>
          <w:bCs/>
          <w:sz w:val="24"/>
          <w:szCs w:val="24"/>
          <w:lang w:val="en-US"/>
        </w:rPr>
      </w:pPr>
    </w:p>
    <w:p w14:paraId="2174A860" w14:textId="77777777" w:rsidR="002073C1" w:rsidRDefault="002073C1" w:rsidP="00B05C8E">
      <w:pPr>
        <w:jc w:val="center"/>
        <w:rPr>
          <w:rFonts w:ascii="Arial" w:hAnsi="Arial" w:cs="Arial"/>
          <w:b/>
          <w:bCs/>
          <w:sz w:val="24"/>
          <w:szCs w:val="24"/>
          <w:lang w:val="en-US"/>
        </w:rPr>
      </w:pPr>
      <w:r>
        <w:rPr>
          <w:rFonts w:ascii="Arial" w:hAnsi="Arial" w:cs="Arial"/>
          <w:b/>
          <w:bCs/>
          <w:sz w:val="24"/>
          <w:szCs w:val="24"/>
          <w:lang w:val="en-US"/>
        </w:rPr>
        <w:t>ORDER</w:t>
      </w:r>
    </w:p>
    <w:p w14:paraId="136C37D4" w14:textId="77777777" w:rsidR="002073C1" w:rsidRDefault="002073C1" w:rsidP="00B05C8E">
      <w:pPr>
        <w:pBdr>
          <w:bottom w:val="single" w:sz="12" w:space="1" w:color="auto"/>
        </w:pBdr>
        <w:rPr>
          <w:rFonts w:ascii="Arial" w:hAnsi="Arial" w:cs="Arial"/>
          <w:b/>
          <w:bCs/>
          <w:sz w:val="24"/>
          <w:szCs w:val="24"/>
          <w:lang w:val="en-US"/>
        </w:rPr>
      </w:pPr>
    </w:p>
    <w:p w14:paraId="77CD12A1" w14:textId="77777777" w:rsidR="004124A8" w:rsidRDefault="004124A8" w:rsidP="00B05C8E">
      <w:pPr>
        <w:rPr>
          <w:rFonts w:ascii="Arial" w:hAnsi="Arial" w:cs="Arial"/>
          <w:b/>
          <w:bCs/>
          <w:sz w:val="24"/>
          <w:szCs w:val="24"/>
          <w:lang w:val="en-US"/>
        </w:rPr>
      </w:pPr>
    </w:p>
    <w:p w14:paraId="015739B7" w14:textId="23F65257" w:rsidR="00933F5C" w:rsidRDefault="002073C1" w:rsidP="00B05C8E">
      <w:pPr>
        <w:rPr>
          <w:rFonts w:ascii="Arial" w:hAnsi="Arial" w:cs="Arial"/>
          <w:sz w:val="24"/>
          <w:szCs w:val="24"/>
          <w:lang w:val="en-US"/>
        </w:rPr>
      </w:pPr>
      <w:r>
        <w:rPr>
          <w:rFonts w:ascii="Arial" w:hAnsi="Arial" w:cs="Arial"/>
          <w:b/>
          <w:bCs/>
          <w:sz w:val="24"/>
          <w:szCs w:val="24"/>
          <w:lang w:val="en-US"/>
        </w:rPr>
        <w:t>On appeal from:</w:t>
      </w:r>
      <w:r>
        <w:rPr>
          <w:rFonts w:ascii="Arial" w:hAnsi="Arial" w:cs="Arial"/>
          <w:sz w:val="24"/>
          <w:szCs w:val="24"/>
          <w:lang w:val="en-US"/>
        </w:rPr>
        <w:t xml:space="preserve"> </w:t>
      </w:r>
      <w:r w:rsidR="001530BF">
        <w:rPr>
          <w:rFonts w:ascii="Arial" w:hAnsi="Arial" w:cs="Arial"/>
          <w:sz w:val="24"/>
          <w:szCs w:val="24"/>
          <w:lang w:val="en-US"/>
        </w:rPr>
        <w:t>Western Cape</w:t>
      </w:r>
      <w:r w:rsidR="00A46EF2">
        <w:rPr>
          <w:rFonts w:ascii="Arial" w:hAnsi="Arial" w:cs="Arial"/>
          <w:sz w:val="24"/>
          <w:szCs w:val="24"/>
          <w:lang w:val="en-US"/>
        </w:rPr>
        <w:t xml:space="preserve"> Division </w:t>
      </w:r>
      <w:r w:rsidRPr="00C779A2">
        <w:rPr>
          <w:rFonts w:ascii="Arial" w:hAnsi="Arial" w:cs="Arial"/>
          <w:sz w:val="24"/>
          <w:szCs w:val="24"/>
          <w:lang w:val="en-US"/>
        </w:rPr>
        <w:t>of</w:t>
      </w:r>
      <w:r>
        <w:rPr>
          <w:rFonts w:ascii="Arial" w:hAnsi="Arial" w:cs="Arial"/>
          <w:sz w:val="24"/>
          <w:szCs w:val="24"/>
          <w:lang w:val="en-US"/>
        </w:rPr>
        <w:t xml:space="preserve"> the High C</w:t>
      </w:r>
      <w:r w:rsidR="00A17461">
        <w:rPr>
          <w:rFonts w:ascii="Arial" w:hAnsi="Arial" w:cs="Arial"/>
          <w:sz w:val="24"/>
          <w:szCs w:val="24"/>
          <w:lang w:val="en-US"/>
        </w:rPr>
        <w:t xml:space="preserve">ourt, </w:t>
      </w:r>
      <w:r w:rsidR="001530BF">
        <w:rPr>
          <w:rFonts w:ascii="Arial" w:hAnsi="Arial" w:cs="Arial"/>
          <w:sz w:val="24"/>
          <w:szCs w:val="24"/>
          <w:lang w:val="en-US"/>
        </w:rPr>
        <w:t>Cape Town</w:t>
      </w:r>
      <w:r w:rsidR="00A17461">
        <w:rPr>
          <w:rFonts w:ascii="Arial" w:hAnsi="Arial" w:cs="Arial"/>
          <w:sz w:val="24"/>
          <w:szCs w:val="24"/>
          <w:lang w:val="en-US"/>
        </w:rPr>
        <w:t xml:space="preserve"> (</w:t>
      </w:r>
      <w:proofErr w:type="spellStart"/>
      <w:r w:rsidR="009023D2">
        <w:rPr>
          <w:rFonts w:ascii="Arial" w:hAnsi="Arial" w:cs="Arial"/>
          <w:sz w:val="24"/>
          <w:szCs w:val="24"/>
          <w:lang w:val="en-US"/>
        </w:rPr>
        <w:t>Binns</w:t>
      </w:r>
      <w:proofErr w:type="spellEnd"/>
      <w:r w:rsidR="009023D2">
        <w:rPr>
          <w:rFonts w:ascii="Arial" w:hAnsi="Arial" w:cs="Arial"/>
          <w:sz w:val="24"/>
          <w:szCs w:val="24"/>
          <w:lang w:val="en-US"/>
        </w:rPr>
        <w:t>-Ward</w:t>
      </w:r>
      <w:r w:rsidR="00933F5C">
        <w:rPr>
          <w:rFonts w:ascii="Arial" w:hAnsi="Arial" w:cs="Arial"/>
          <w:sz w:val="24"/>
          <w:szCs w:val="24"/>
          <w:lang w:val="en-US"/>
        </w:rPr>
        <w:t xml:space="preserve"> J</w:t>
      </w:r>
      <w:r w:rsidR="00793984">
        <w:rPr>
          <w:rFonts w:ascii="Arial" w:hAnsi="Arial" w:cs="Arial"/>
          <w:sz w:val="24"/>
          <w:szCs w:val="24"/>
          <w:lang w:val="en-US"/>
        </w:rPr>
        <w:t>,</w:t>
      </w:r>
      <w:r w:rsidR="00A17461">
        <w:rPr>
          <w:rFonts w:ascii="Arial" w:hAnsi="Arial" w:cs="Arial"/>
          <w:sz w:val="24"/>
          <w:szCs w:val="24"/>
          <w:lang w:val="en-US"/>
        </w:rPr>
        <w:t xml:space="preserve"> </w:t>
      </w:r>
      <w:r>
        <w:rPr>
          <w:rFonts w:ascii="Arial" w:hAnsi="Arial" w:cs="Arial"/>
          <w:sz w:val="24"/>
          <w:szCs w:val="24"/>
          <w:lang w:val="en-US"/>
        </w:rPr>
        <w:t xml:space="preserve">sitting as court of </w:t>
      </w:r>
      <w:r w:rsidR="00D523FC">
        <w:rPr>
          <w:rFonts w:ascii="Arial" w:hAnsi="Arial" w:cs="Arial"/>
          <w:sz w:val="24"/>
          <w:szCs w:val="24"/>
          <w:lang w:val="en-US"/>
        </w:rPr>
        <w:t>first instance</w:t>
      </w:r>
      <w:r w:rsidR="00E96FF5">
        <w:rPr>
          <w:rFonts w:ascii="Arial" w:hAnsi="Arial" w:cs="Arial"/>
          <w:sz w:val="24"/>
          <w:szCs w:val="24"/>
          <w:lang w:val="en-US"/>
        </w:rPr>
        <w:t>)</w:t>
      </w:r>
      <w:r w:rsidR="006D42D1">
        <w:rPr>
          <w:rFonts w:ascii="Arial" w:hAnsi="Arial" w:cs="Arial"/>
          <w:sz w:val="24"/>
          <w:szCs w:val="24"/>
          <w:lang w:val="en-US"/>
        </w:rPr>
        <w:t>:</w:t>
      </w:r>
    </w:p>
    <w:p w14:paraId="5C4C2E5D" w14:textId="719B8BD6" w:rsidR="00BD73E7" w:rsidRDefault="00BD73E7" w:rsidP="001B727D">
      <w:pPr>
        <w:rPr>
          <w:rFonts w:ascii="Arial" w:hAnsi="Arial" w:cs="Arial"/>
          <w:b/>
          <w:bCs/>
          <w:sz w:val="24"/>
          <w:szCs w:val="24"/>
          <w:lang w:val="en-US"/>
        </w:rPr>
      </w:pPr>
    </w:p>
    <w:p w14:paraId="749D075C" w14:textId="72D12B3E" w:rsidR="001B727D" w:rsidRDefault="001B727D" w:rsidP="001B727D">
      <w:pPr>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order of the high court is varied only to the extent that the dismissal of the application is set aside.</w:t>
      </w:r>
    </w:p>
    <w:p w14:paraId="47303A66" w14:textId="77777777" w:rsidR="001B727D" w:rsidRDefault="001B727D" w:rsidP="001B727D">
      <w:pPr>
        <w:rPr>
          <w:rFonts w:ascii="Arial" w:hAnsi="Arial" w:cs="Arial"/>
          <w:sz w:val="24"/>
          <w:szCs w:val="24"/>
          <w:lang w:val="en-US"/>
        </w:rPr>
      </w:pPr>
    </w:p>
    <w:p w14:paraId="203D3D23" w14:textId="4B12B4DC" w:rsidR="001B727D" w:rsidRDefault="001B727D" w:rsidP="001B727D">
      <w:pPr>
        <w:rPr>
          <w:rFonts w:ascii="Arial" w:hAnsi="Arial" w:cs="Arial"/>
          <w:sz w:val="24"/>
          <w:szCs w:val="24"/>
          <w:lang w:val="en-US"/>
        </w:rPr>
      </w:pPr>
      <w:r>
        <w:rPr>
          <w:rFonts w:ascii="Arial" w:hAnsi="Arial" w:cs="Arial"/>
          <w:sz w:val="24"/>
          <w:szCs w:val="24"/>
          <w:lang w:val="en-US"/>
        </w:rPr>
        <w:t xml:space="preserve">2 </w:t>
      </w:r>
      <w:r>
        <w:rPr>
          <w:rFonts w:ascii="Arial" w:hAnsi="Arial" w:cs="Arial"/>
          <w:sz w:val="24"/>
          <w:szCs w:val="24"/>
          <w:lang w:val="en-US"/>
        </w:rPr>
        <w:tab/>
      </w:r>
      <w:r w:rsidR="00A375B0">
        <w:rPr>
          <w:rFonts w:ascii="Arial" w:hAnsi="Arial" w:cs="Arial"/>
          <w:sz w:val="24"/>
          <w:szCs w:val="24"/>
          <w:lang w:val="en-US"/>
        </w:rPr>
        <w:t>The respondent is directed to deliver to the appellant, within 10 days of the date of this order, a written offer</w:t>
      </w:r>
      <w:r w:rsidR="00CF0171">
        <w:rPr>
          <w:rFonts w:ascii="Arial" w:hAnsi="Arial" w:cs="Arial"/>
          <w:sz w:val="24"/>
          <w:szCs w:val="24"/>
          <w:lang w:val="en-US"/>
        </w:rPr>
        <w:t>,</w:t>
      </w:r>
      <w:r w:rsidR="00A375B0">
        <w:rPr>
          <w:rFonts w:ascii="Arial" w:hAnsi="Arial" w:cs="Arial"/>
          <w:sz w:val="24"/>
          <w:szCs w:val="24"/>
          <w:lang w:val="en-US"/>
        </w:rPr>
        <w:t xml:space="preserve"> in terms of clause 10 of the lease agreement concluded by the parties on 13 April 2018</w:t>
      </w:r>
      <w:r w:rsidR="00CF0171">
        <w:rPr>
          <w:rFonts w:ascii="Arial" w:hAnsi="Arial" w:cs="Arial"/>
          <w:sz w:val="24"/>
          <w:szCs w:val="24"/>
          <w:lang w:val="en-US"/>
        </w:rPr>
        <w:t>,</w:t>
      </w:r>
      <w:r w:rsidR="00A375B0">
        <w:rPr>
          <w:rFonts w:ascii="Arial" w:hAnsi="Arial" w:cs="Arial"/>
          <w:sz w:val="24"/>
          <w:szCs w:val="24"/>
          <w:lang w:val="en-US"/>
        </w:rPr>
        <w:t xml:space="preserve"> to purchase the leased premises, based on the deed of sale concluded by the respondent and </w:t>
      </w:r>
      <w:proofErr w:type="spellStart"/>
      <w:r w:rsidR="00A375B0">
        <w:rPr>
          <w:rFonts w:ascii="Arial" w:hAnsi="Arial" w:cs="Arial"/>
          <w:sz w:val="24"/>
          <w:szCs w:val="24"/>
          <w:lang w:val="en-US"/>
        </w:rPr>
        <w:t>Swellendam</w:t>
      </w:r>
      <w:proofErr w:type="spellEnd"/>
      <w:r w:rsidR="00A375B0">
        <w:rPr>
          <w:rFonts w:ascii="Arial" w:hAnsi="Arial" w:cs="Arial"/>
          <w:sz w:val="24"/>
          <w:szCs w:val="24"/>
          <w:lang w:val="en-US"/>
        </w:rPr>
        <w:t xml:space="preserve"> </w:t>
      </w:r>
      <w:proofErr w:type="spellStart"/>
      <w:r w:rsidR="00A375B0">
        <w:rPr>
          <w:rFonts w:ascii="Arial" w:hAnsi="Arial" w:cs="Arial"/>
          <w:sz w:val="24"/>
          <w:szCs w:val="24"/>
          <w:lang w:val="en-US"/>
        </w:rPr>
        <w:t>Plase</w:t>
      </w:r>
      <w:proofErr w:type="spellEnd"/>
      <w:r w:rsidR="00A375B0">
        <w:rPr>
          <w:rFonts w:ascii="Arial" w:hAnsi="Arial" w:cs="Arial"/>
          <w:sz w:val="24"/>
          <w:szCs w:val="24"/>
          <w:lang w:val="en-US"/>
        </w:rPr>
        <w:t xml:space="preserve"> (Pty) Ltd on 7 April 2020. </w:t>
      </w:r>
      <w:r>
        <w:rPr>
          <w:rFonts w:ascii="Arial" w:hAnsi="Arial" w:cs="Arial"/>
          <w:sz w:val="24"/>
          <w:szCs w:val="24"/>
          <w:lang w:val="en-US"/>
        </w:rPr>
        <w:t xml:space="preserve"> </w:t>
      </w:r>
    </w:p>
    <w:p w14:paraId="685F38A3" w14:textId="77777777" w:rsidR="001B727D" w:rsidRDefault="001B727D" w:rsidP="001B727D">
      <w:pPr>
        <w:rPr>
          <w:rFonts w:ascii="Arial" w:hAnsi="Arial" w:cs="Arial"/>
          <w:sz w:val="24"/>
          <w:szCs w:val="24"/>
          <w:lang w:val="en-US"/>
        </w:rPr>
      </w:pPr>
    </w:p>
    <w:p w14:paraId="280CA5A6" w14:textId="6FB1FE34" w:rsidR="001B727D" w:rsidRPr="006501B4" w:rsidRDefault="001B727D" w:rsidP="001B727D">
      <w:pPr>
        <w:rPr>
          <w:rFonts w:ascii="Arial" w:hAnsi="Arial" w:cs="Arial"/>
          <w:sz w:val="24"/>
          <w:szCs w:val="24"/>
          <w:lang w:val="en-US"/>
        </w:rPr>
      </w:pPr>
      <w:r>
        <w:rPr>
          <w:rFonts w:ascii="Arial" w:hAnsi="Arial" w:cs="Arial"/>
          <w:sz w:val="24"/>
          <w:szCs w:val="24"/>
          <w:lang w:val="en-US"/>
        </w:rPr>
        <w:t xml:space="preserve">3 </w:t>
      </w:r>
      <w:r>
        <w:rPr>
          <w:rFonts w:ascii="Arial" w:hAnsi="Arial" w:cs="Arial"/>
          <w:sz w:val="24"/>
          <w:szCs w:val="24"/>
          <w:lang w:val="en-US"/>
        </w:rPr>
        <w:tab/>
        <w:t xml:space="preserve">The appellant is directed to pay the costs of the appeal, including the costs of two counsel.   </w:t>
      </w:r>
    </w:p>
    <w:p w14:paraId="54C25416" w14:textId="77777777" w:rsidR="001530BF" w:rsidRDefault="001530BF" w:rsidP="00B05C8E">
      <w:pPr>
        <w:pBdr>
          <w:bottom w:val="single" w:sz="12" w:space="1" w:color="auto"/>
        </w:pBdr>
        <w:rPr>
          <w:rFonts w:ascii="Arial" w:hAnsi="Arial" w:cs="Arial"/>
          <w:b/>
          <w:bCs/>
          <w:sz w:val="24"/>
          <w:szCs w:val="24"/>
          <w:lang w:val="en-US"/>
        </w:rPr>
      </w:pPr>
    </w:p>
    <w:p w14:paraId="3A504304" w14:textId="3427C965" w:rsidR="00BD73E7" w:rsidRDefault="00BD73E7" w:rsidP="00B05C8E">
      <w:pPr>
        <w:rPr>
          <w:rFonts w:ascii="Arial" w:hAnsi="Arial" w:cs="Arial"/>
          <w:b/>
          <w:bCs/>
          <w:sz w:val="24"/>
          <w:szCs w:val="24"/>
          <w:lang w:val="en-US"/>
        </w:rPr>
      </w:pPr>
    </w:p>
    <w:p w14:paraId="7565F278" w14:textId="3AC295DB" w:rsidR="00BD73E7" w:rsidRDefault="00BD73E7" w:rsidP="00B05C8E">
      <w:pPr>
        <w:jc w:val="center"/>
        <w:rPr>
          <w:rFonts w:ascii="Arial" w:hAnsi="Arial" w:cs="Arial"/>
          <w:b/>
          <w:bCs/>
          <w:sz w:val="24"/>
          <w:szCs w:val="24"/>
          <w:lang w:val="en-US"/>
        </w:rPr>
      </w:pPr>
      <w:r>
        <w:rPr>
          <w:rFonts w:ascii="Arial" w:hAnsi="Arial" w:cs="Arial"/>
          <w:b/>
          <w:bCs/>
          <w:sz w:val="24"/>
          <w:szCs w:val="24"/>
          <w:lang w:val="en-US"/>
        </w:rPr>
        <w:t>JUDGMENT</w:t>
      </w:r>
    </w:p>
    <w:p w14:paraId="55FBB5EB" w14:textId="347EDD86" w:rsidR="00BD73E7" w:rsidRDefault="00BD73E7" w:rsidP="00B05C8E">
      <w:pPr>
        <w:pBdr>
          <w:bottom w:val="single" w:sz="12" w:space="1" w:color="auto"/>
        </w:pBdr>
        <w:rPr>
          <w:rFonts w:ascii="Arial" w:hAnsi="Arial" w:cs="Arial"/>
          <w:b/>
          <w:bCs/>
          <w:sz w:val="24"/>
          <w:szCs w:val="24"/>
          <w:lang w:val="en-US"/>
        </w:rPr>
      </w:pPr>
    </w:p>
    <w:p w14:paraId="1F06ECBC" w14:textId="56090D44" w:rsidR="00BD73E7" w:rsidRDefault="00785DB2" w:rsidP="00494104">
      <w:pPr>
        <w:spacing w:before="240"/>
        <w:rPr>
          <w:rFonts w:ascii="Arial" w:hAnsi="Arial" w:cs="Arial"/>
          <w:b/>
          <w:bCs/>
          <w:sz w:val="24"/>
          <w:szCs w:val="24"/>
          <w:lang w:val="en-US"/>
        </w:rPr>
      </w:pPr>
      <w:r>
        <w:rPr>
          <w:rFonts w:ascii="Arial" w:hAnsi="Arial" w:cs="Arial"/>
          <w:b/>
          <w:bCs/>
          <w:sz w:val="24"/>
          <w:szCs w:val="24"/>
          <w:lang w:val="en-US"/>
        </w:rPr>
        <w:t>Van der Merwe</w:t>
      </w:r>
      <w:r w:rsidR="00BD73E7">
        <w:rPr>
          <w:rFonts w:ascii="Arial" w:hAnsi="Arial" w:cs="Arial"/>
          <w:b/>
          <w:bCs/>
          <w:sz w:val="24"/>
          <w:szCs w:val="24"/>
          <w:lang w:val="en-US"/>
        </w:rPr>
        <w:t xml:space="preserve"> JA (</w:t>
      </w:r>
      <w:r w:rsidR="00770269">
        <w:rPr>
          <w:rFonts w:ascii="Arial" w:hAnsi="Arial" w:cs="Arial"/>
          <w:b/>
          <w:bCs/>
          <w:sz w:val="24"/>
          <w:szCs w:val="24"/>
          <w:lang w:val="en-US"/>
        </w:rPr>
        <w:t xml:space="preserve">Gorven and Mothle JJA and </w:t>
      </w:r>
      <w:proofErr w:type="spellStart"/>
      <w:r w:rsidR="00770269">
        <w:rPr>
          <w:rFonts w:ascii="Arial" w:hAnsi="Arial" w:cs="Arial"/>
          <w:b/>
          <w:bCs/>
          <w:sz w:val="24"/>
          <w:szCs w:val="24"/>
          <w:lang w:val="en-US"/>
        </w:rPr>
        <w:t>Windell</w:t>
      </w:r>
      <w:proofErr w:type="spellEnd"/>
      <w:r w:rsidR="00770269">
        <w:rPr>
          <w:rFonts w:ascii="Arial" w:hAnsi="Arial" w:cs="Arial"/>
          <w:b/>
          <w:bCs/>
          <w:sz w:val="24"/>
          <w:szCs w:val="24"/>
          <w:lang w:val="en-US"/>
        </w:rPr>
        <w:t xml:space="preserve"> and Mali AJJA</w:t>
      </w:r>
      <w:r w:rsidR="00F21F22">
        <w:rPr>
          <w:rFonts w:ascii="Arial" w:hAnsi="Arial" w:cs="Arial"/>
          <w:b/>
          <w:bCs/>
          <w:sz w:val="24"/>
          <w:szCs w:val="24"/>
          <w:lang w:val="en-US"/>
        </w:rPr>
        <w:t xml:space="preserve"> </w:t>
      </w:r>
      <w:r w:rsidR="00BD73E7">
        <w:rPr>
          <w:rFonts w:ascii="Arial" w:hAnsi="Arial" w:cs="Arial"/>
          <w:b/>
          <w:bCs/>
          <w:sz w:val="24"/>
          <w:szCs w:val="24"/>
          <w:lang w:val="en-US"/>
        </w:rPr>
        <w:t>concurring)</w:t>
      </w:r>
      <w:r w:rsidR="006D42D1">
        <w:rPr>
          <w:rFonts w:ascii="Arial" w:hAnsi="Arial" w:cs="Arial"/>
          <w:b/>
          <w:bCs/>
          <w:sz w:val="24"/>
          <w:szCs w:val="24"/>
          <w:lang w:val="en-US"/>
        </w:rPr>
        <w:t>:</w:t>
      </w:r>
    </w:p>
    <w:p w14:paraId="5F66D5D6" w14:textId="0D4BA6A2" w:rsidR="00EB3142" w:rsidRDefault="00BD73E7" w:rsidP="00B05C8E">
      <w:pPr>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1530BF">
        <w:rPr>
          <w:rFonts w:ascii="Arial" w:hAnsi="Arial" w:cs="Arial"/>
          <w:sz w:val="24"/>
          <w:szCs w:val="24"/>
          <w:lang w:val="en-US"/>
        </w:rPr>
        <w:t>This appeal concerns a pre-emptive right</w:t>
      </w:r>
      <w:r w:rsidR="005E64F9">
        <w:rPr>
          <w:rFonts w:ascii="Arial" w:hAnsi="Arial" w:cs="Arial"/>
          <w:sz w:val="24"/>
          <w:szCs w:val="24"/>
          <w:lang w:val="en-US"/>
        </w:rPr>
        <w:t xml:space="preserve"> </w:t>
      </w:r>
      <w:r w:rsidR="001530BF">
        <w:rPr>
          <w:rFonts w:ascii="Arial" w:hAnsi="Arial" w:cs="Arial"/>
          <w:sz w:val="24"/>
          <w:szCs w:val="24"/>
          <w:lang w:val="en-US"/>
        </w:rPr>
        <w:t xml:space="preserve">in respect of immovable property that the respondent, Dahlia Investment Holdings (Pty) Ltd, granted to the appellant, </w:t>
      </w:r>
      <w:proofErr w:type="spellStart"/>
      <w:r w:rsidR="001530BF">
        <w:rPr>
          <w:rFonts w:ascii="Arial" w:hAnsi="Arial" w:cs="Arial"/>
          <w:sz w:val="24"/>
          <w:szCs w:val="24"/>
          <w:lang w:val="en-US"/>
        </w:rPr>
        <w:t>Plattekloof</w:t>
      </w:r>
      <w:proofErr w:type="spellEnd"/>
      <w:r w:rsidR="001530BF">
        <w:rPr>
          <w:rFonts w:ascii="Arial" w:hAnsi="Arial" w:cs="Arial"/>
          <w:sz w:val="24"/>
          <w:szCs w:val="24"/>
          <w:lang w:val="en-US"/>
        </w:rPr>
        <w:t xml:space="preserve"> RMS </w:t>
      </w:r>
      <w:proofErr w:type="spellStart"/>
      <w:r w:rsidR="001530BF">
        <w:rPr>
          <w:rFonts w:ascii="Arial" w:hAnsi="Arial" w:cs="Arial"/>
          <w:sz w:val="24"/>
          <w:szCs w:val="24"/>
          <w:lang w:val="en-US"/>
        </w:rPr>
        <w:t>Boerdery</w:t>
      </w:r>
      <w:proofErr w:type="spellEnd"/>
      <w:r w:rsidR="001530BF">
        <w:rPr>
          <w:rFonts w:ascii="Arial" w:hAnsi="Arial" w:cs="Arial"/>
          <w:sz w:val="24"/>
          <w:szCs w:val="24"/>
          <w:lang w:val="en-US"/>
        </w:rPr>
        <w:t xml:space="preserve"> (Pty) Ltd. The appellant launched an application in the Western Cape Division of the High Court, Cape T</w:t>
      </w:r>
      <w:r w:rsidR="009023D2">
        <w:rPr>
          <w:rFonts w:ascii="Arial" w:hAnsi="Arial" w:cs="Arial"/>
          <w:sz w:val="24"/>
          <w:szCs w:val="24"/>
          <w:lang w:val="en-US"/>
        </w:rPr>
        <w:t>own (the high court), for an order enforcing compliance with the right of pre-emption. The high court (</w:t>
      </w:r>
      <w:proofErr w:type="spellStart"/>
      <w:r w:rsidR="009023D2">
        <w:rPr>
          <w:rFonts w:ascii="Arial" w:hAnsi="Arial" w:cs="Arial"/>
          <w:sz w:val="24"/>
          <w:szCs w:val="24"/>
          <w:lang w:val="en-US"/>
        </w:rPr>
        <w:t>Binns</w:t>
      </w:r>
      <w:proofErr w:type="spellEnd"/>
      <w:r w:rsidR="009023D2">
        <w:rPr>
          <w:rFonts w:ascii="Arial" w:hAnsi="Arial" w:cs="Arial"/>
          <w:sz w:val="24"/>
          <w:szCs w:val="24"/>
          <w:lang w:val="en-US"/>
        </w:rPr>
        <w:t xml:space="preserve">-Ward J) dismissed the application with costs. </w:t>
      </w:r>
      <w:r w:rsidR="00A01678">
        <w:rPr>
          <w:rFonts w:ascii="Arial" w:hAnsi="Arial" w:cs="Arial"/>
          <w:sz w:val="24"/>
          <w:szCs w:val="24"/>
          <w:lang w:val="en-US"/>
        </w:rPr>
        <w:t xml:space="preserve">Its judgment is reported as </w:t>
      </w:r>
      <w:proofErr w:type="spellStart"/>
      <w:r w:rsidR="00A01678">
        <w:rPr>
          <w:rFonts w:ascii="Arial" w:hAnsi="Arial" w:cs="Arial"/>
          <w:bCs/>
          <w:i/>
          <w:sz w:val="24"/>
          <w:szCs w:val="24"/>
          <w:lang w:val="en-US"/>
        </w:rPr>
        <w:t>Plattekloof</w:t>
      </w:r>
      <w:proofErr w:type="spellEnd"/>
      <w:r w:rsidR="00A01678">
        <w:rPr>
          <w:rFonts w:ascii="Arial" w:hAnsi="Arial" w:cs="Arial"/>
          <w:bCs/>
          <w:i/>
          <w:sz w:val="24"/>
          <w:szCs w:val="24"/>
          <w:lang w:val="en-US"/>
        </w:rPr>
        <w:t xml:space="preserve"> RMS </w:t>
      </w:r>
      <w:proofErr w:type="spellStart"/>
      <w:r w:rsidR="00A01678">
        <w:rPr>
          <w:rFonts w:ascii="Arial" w:hAnsi="Arial" w:cs="Arial"/>
          <w:bCs/>
          <w:i/>
          <w:sz w:val="24"/>
          <w:szCs w:val="24"/>
          <w:lang w:val="en-US"/>
        </w:rPr>
        <w:t>Boerdery</w:t>
      </w:r>
      <w:proofErr w:type="spellEnd"/>
      <w:r w:rsidR="00A01678">
        <w:rPr>
          <w:rFonts w:ascii="Arial" w:hAnsi="Arial" w:cs="Arial"/>
          <w:bCs/>
          <w:i/>
          <w:sz w:val="24"/>
          <w:szCs w:val="24"/>
          <w:lang w:val="en-US"/>
        </w:rPr>
        <w:t xml:space="preserve"> (Pty) Ltd v Dahlia Investment Holdings (Pty) Ltd and Another 2021 (2) SA 527 (WCC)</w:t>
      </w:r>
      <w:r w:rsidR="00A01678">
        <w:rPr>
          <w:rFonts w:ascii="Arial" w:hAnsi="Arial" w:cs="Arial"/>
          <w:bCs/>
          <w:sz w:val="24"/>
          <w:szCs w:val="24"/>
          <w:lang w:val="en-US"/>
        </w:rPr>
        <w:t>.</w:t>
      </w:r>
      <w:r w:rsidR="00A01678">
        <w:rPr>
          <w:rFonts w:ascii="Arial" w:hAnsi="Arial" w:cs="Arial"/>
          <w:i/>
          <w:iCs/>
          <w:sz w:val="24"/>
          <w:szCs w:val="24"/>
          <w:lang w:val="en-US"/>
        </w:rPr>
        <w:t xml:space="preserve"> </w:t>
      </w:r>
      <w:r w:rsidR="009023D2">
        <w:rPr>
          <w:rFonts w:ascii="Arial" w:hAnsi="Arial" w:cs="Arial"/>
          <w:sz w:val="24"/>
          <w:szCs w:val="24"/>
          <w:lang w:val="en-US"/>
        </w:rPr>
        <w:t xml:space="preserve">The appellant’s appeal is with the leave of this court. </w:t>
      </w:r>
    </w:p>
    <w:p w14:paraId="230559AB" w14:textId="77777777" w:rsidR="005E64F9" w:rsidRDefault="005E64F9" w:rsidP="00B05C8E">
      <w:pPr>
        <w:rPr>
          <w:rFonts w:ascii="Arial" w:hAnsi="Arial" w:cs="Arial"/>
          <w:sz w:val="24"/>
          <w:szCs w:val="24"/>
          <w:lang w:val="en-US"/>
        </w:rPr>
      </w:pPr>
    </w:p>
    <w:p w14:paraId="09408EEC" w14:textId="45906526" w:rsidR="00D379C3" w:rsidRPr="00D379C3" w:rsidRDefault="00D379C3" w:rsidP="00B05C8E">
      <w:pPr>
        <w:rPr>
          <w:rFonts w:ascii="Arial" w:hAnsi="Arial" w:cs="Arial"/>
          <w:b/>
          <w:sz w:val="24"/>
          <w:szCs w:val="24"/>
          <w:lang w:val="en-US"/>
        </w:rPr>
      </w:pPr>
      <w:r w:rsidRPr="00D379C3">
        <w:rPr>
          <w:rFonts w:ascii="Arial" w:hAnsi="Arial" w:cs="Arial"/>
          <w:b/>
          <w:sz w:val="24"/>
          <w:szCs w:val="24"/>
          <w:lang w:val="en-US"/>
        </w:rPr>
        <w:t>Background</w:t>
      </w:r>
    </w:p>
    <w:p w14:paraId="03634F13" w14:textId="3157FBF2" w:rsidR="005E64F9" w:rsidRDefault="005E64F9" w:rsidP="00B05C8E">
      <w:pPr>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9023D2">
        <w:rPr>
          <w:rFonts w:ascii="Arial" w:hAnsi="Arial" w:cs="Arial"/>
          <w:sz w:val="24"/>
          <w:szCs w:val="24"/>
          <w:lang w:val="en-US"/>
        </w:rPr>
        <w:t xml:space="preserve">The respondent is the owner of a farm in the district of Riversdale in the Western Cape that carries the name </w:t>
      </w:r>
      <w:proofErr w:type="spellStart"/>
      <w:r w:rsidR="009023D2">
        <w:rPr>
          <w:rFonts w:ascii="Arial" w:hAnsi="Arial" w:cs="Arial"/>
          <w:sz w:val="24"/>
          <w:szCs w:val="24"/>
          <w:lang w:val="en-US"/>
        </w:rPr>
        <w:t>Plattekloof</w:t>
      </w:r>
      <w:proofErr w:type="spellEnd"/>
      <w:r w:rsidR="009023D2">
        <w:rPr>
          <w:rFonts w:ascii="Arial" w:hAnsi="Arial" w:cs="Arial"/>
          <w:sz w:val="24"/>
          <w:szCs w:val="24"/>
          <w:lang w:val="en-US"/>
        </w:rPr>
        <w:t xml:space="preserve"> (the farm). It consists of eight separate portions. The appellant owns an adjoining farm. </w:t>
      </w:r>
      <w:proofErr w:type="spellStart"/>
      <w:r w:rsidR="009023D2">
        <w:rPr>
          <w:rFonts w:ascii="Arial" w:hAnsi="Arial" w:cs="Arial"/>
          <w:sz w:val="24"/>
          <w:szCs w:val="24"/>
          <w:lang w:val="en-US"/>
        </w:rPr>
        <w:t>Mr</w:t>
      </w:r>
      <w:proofErr w:type="spellEnd"/>
      <w:r w:rsidR="009023D2">
        <w:rPr>
          <w:rFonts w:ascii="Arial" w:hAnsi="Arial" w:cs="Arial"/>
          <w:sz w:val="24"/>
          <w:szCs w:val="24"/>
          <w:lang w:val="en-US"/>
        </w:rPr>
        <w:t xml:space="preserve"> Gunther Schmitz is a director and the sole shareholder of the respondent. </w:t>
      </w:r>
      <w:proofErr w:type="spellStart"/>
      <w:r w:rsidR="009023D2">
        <w:rPr>
          <w:rFonts w:ascii="Arial" w:hAnsi="Arial" w:cs="Arial"/>
          <w:sz w:val="24"/>
          <w:szCs w:val="24"/>
          <w:lang w:val="en-US"/>
        </w:rPr>
        <w:t>Mr</w:t>
      </w:r>
      <w:proofErr w:type="spellEnd"/>
      <w:r w:rsidR="009023D2">
        <w:rPr>
          <w:rFonts w:ascii="Arial" w:hAnsi="Arial" w:cs="Arial"/>
          <w:sz w:val="24"/>
          <w:szCs w:val="24"/>
          <w:lang w:val="en-US"/>
        </w:rPr>
        <w:t xml:space="preserve"> Albert </w:t>
      </w:r>
      <w:proofErr w:type="spellStart"/>
      <w:r w:rsidR="009023D2">
        <w:rPr>
          <w:rFonts w:ascii="Arial" w:hAnsi="Arial" w:cs="Arial"/>
          <w:sz w:val="24"/>
          <w:szCs w:val="24"/>
          <w:lang w:val="en-US"/>
        </w:rPr>
        <w:t>Vermaak</w:t>
      </w:r>
      <w:proofErr w:type="spellEnd"/>
      <w:r w:rsidR="009023D2">
        <w:rPr>
          <w:rFonts w:ascii="Arial" w:hAnsi="Arial" w:cs="Arial"/>
          <w:sz w:val="24"/>
          <w:szCs w:val="24"/>
          <w:lang w:val="en-US"/>
        </w:rPr>
        <w:t xml:space="preserve">, in turn, is a director and the sole shareholder of the appellant. </w:t>
      </w:r>
      <w:r>
        <w:rPr>
          <w:rFonts w:ascii="Arial" w:hAnsi="Arial" w:cs="Arial"/>
          <w:sz w:val="24"/>
          <w:szCs w:val="24"/>
          <w:lang w:val="en-US"/>
        </w:rPr>
        <w:t xml:space="preserve"> </w:t>
      </w:r>
    </w:p>
    <w:p w14:paraId="7C970A06" w14:textId="77777777" w:rsidR="005E64F9" w:rsidRDefault="005E64F9" w:rsidP="00B05C8E">
      <w:pPr>
        <w:rPr>
          <w:rFonts w:ascii="Arial" w:hAnsi="Arial" w:cs="Arial"/>
          <w:sz w:val="24"/>
          <w:szCs w:val="24"/>
          <w:lang w:val="en-US"/>
        </w:rPr>
      </w:pPr>
    </w:p>
    <w:p w14:paraId="49688695" w14:textId="0B23B132" w:rsidR="005E64F9" w:rsidRDefault="005E64F9" w:rsidP="00B05C8E">
      <w:pPr>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9023D2">
        <w:rPr>
          <w:rFonts w:ascii="Arial" w:hAnsi="Arial" w:cs="Arial"/>
          <w:sz w:val="24"/>
          <w:szCs w:val="24"/>
          <w:lang w:val="en-US"/>
        </w:rPr>
        <w:t>Two of the eight portions of the farm are described as: the remainder of the farm Hottentots Bosch no 80 (424</w:t>
      </w:r>
      <w:proofErr w:type="gramStart"/>
      <w:r w:rsidR="009023D2">
        <w:rPr>
          <w:rFonts w:ascii="Arial" w:hAnsi="Arial" w:cs="Arial"/>
          <w:sz w:val="24"/>
          <w:szCs w:val="24"/>
          <w:lang w:val="en-US"/>
        </w:rPr>
        <w:t>,6700</w:t>
      </w:r>
      <w:proofErr w:type="gramEnd"/>
      <w:r w:rsidR="009023D2">
        <w:rPr>
          <w:rFonts w:ascii="Arial" w:hAnsi="Arial" w:cs="Arial"/>
          <w:sz w:val="24"/>
          <w:szCs w:val="24"/>
          <w:lang w:val="en-US"/>
        </w:rPr>
        <w:t xml:space="preserve"> hectares in extent); and portion 5 of the farm Platte </w:t>
      </w:r>
      <w:proofErr w:type="spellStart"/>
      <w:r w:rsidR="009023D2">
        <w:rPr>
          <w:rFonts w:ascii="Arial" w:hAnsi="Arial" w:cs="Arial"/>
          <w:sz w:val="24"/>
          <w:szCs w:val="24"/>
          <w:lang w:val="en-US"/>
        </w:rPr>
        <w:t>Kloof</w:t>
      </w:r>
      <w:proofErr w:type="spellEnd"/>
      <w:r w:rsidR="009023D2">
        <w:rPr>
          <w:rFonts w:ascii="Arial" w:hAnsi="Arial" w:cs="Arial"/>
          <w:sz w:val="24"/>
          <w:szCs w:val="24"/>
          <w:lang w:val="en-US"/>
        </w:rPr>
        <w:t xml:space="preserve"> no 90 (443,1839 hectares in extent) (the two portions). On 13 April 2018, the appellant and the respondent concluded a written lease agreement (the lease). In terms thereof the appellant rents the two portions for a period of five years ending on 1 April 2023. </w:t>
      </w:r>
    </w:p>
    <w:p w14:paraId="7BCD4BD7" w14:textId="77777777" w:rsidR="00544D74" w:rsidRDefault="00544D74" w:rsidP="00B05C8E">
      <w:pPr>
        <w:rPr>
          <w:rFonts w:ascii="Arial" w:hAnsi="Arial" w:cs="Arial"/>
          <w:sz w:val="24"/>
          <w:szCs w:val="24"/>
          <w:lang w:val="en-US"/>
        </w:rPr>
      </w:pPr>
    </w:p>
    <w:p w14:paraId="0DE37284" w14:textId="5B905F54" w:rsidR="00544D74" w:rsidRDefault="00544D74" w:rsidP="00B05C8E">
      <w:pPr>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9023D2">
        <w:rPr>
          <w:rFonts w:ascii="Arial" w:hAnsi="Arial" w:cs="Arial"/>
          <w:sz w:val="24"/>
          <w:szCs w:val="24"/>
          <w:lang w:val="en-US"/>
        </w:rPr>
        <w:t xml:space="preserve">Clause 10 of the lease (clause 10) provides for a right of pre-emption, in these terms: </w:t>
      </w:r>
    </w:p>
    <w:p w14:paraId="541450D1" w14:textId="3CEF2C3C" w:rsidR="009023D2" w:rsidRDefault="0070560B" w:rsidP="00B05C8E">
      <w:pPr>
        <w:rPr>
          <w:rFonts w:ascii="Arial" w:hAnsi="Arial" w:cs="Arial"/>
          <w:lang w:val="en-US"/>
        </w:rPr>
      </w:pPr>
      <w:r>
        <w:rPr>
          <w:rFonts w:ascii="Arial" w:hAnsi="Arial" w:cs="Arial"/>
          <w:lang w:val="en-US"/>
        </w:rPr>
        <w:t>’10.</w:t>
      </w:r>
      <w:r>
        <w:rPr>
          <w:rFonts w:ascii="Arial" w:hAnsi="Arial" w:cs="Arial"/>
          <w:lang w:val="en-US"/>
        </w:rPr>
        <w:tab/>
        <w:t>Right of First Refusal</w:t>
      </w:r>
    </w:p>
    <w:p w14:paraId="226FFAA4" w14:textId="77F16493" w:rsidR="0070560B" w:rsidRPr="0070560B" w:rsidRDefault="0070560B" w:rsidP="00B05C8E">
      <w:pPr>
        <w:rPr>
          <w:rFonts w:ascii="Arial" w:hAnsi="Arial" w:cs="Arial"/>
          <w:lang w:val="en-US"/>
        </w:rPr>
      </w:pPr>
      <w:r>
        <w:rPr>
          <w:rFonts w:ascii="Arial" w:hAnsi="Arial" w:cs="Arial"/>
          <w:lang w:val="en-US"/>
        </w:rPr>
        <w:t>10.1</w:t>
      </w:r>
      <w:r>
        <w:rPr>
          <w:rFonts w:ascii="Arial" w:hAnsi="Arial" w:cs="Arial"/>
          <w:lang w:val="en-US"/>
        </w:rPr>
        <w:tab/>
        <w:t>Provided that the Lessee has complied with all of its obligations under this agreement, the lessee shall have the right of first refusal to purchase the Premises on terms and conditions the same as nor (</w:t>
      </w:r>
      <w:r>
        <w:rPr>
          <w:rFonts w:ascii="Arial" w:hAnsi="Arial" w:cs="Arial"/>
          <w:i/>
          <w:lang w:val="en-US"/>
        </w:rPr>
        <w:t>sic</w:t>
      </w:r>
      <w:r>
        <w:rPr>
          <w:rFonts w:ascii="Arial" w:hAnsi="Arial" w:cs="Arial"/>
          <w:lang w:val="en-US"/>
        </w:rPr>
        <w:t xml:space="preserve">) no less </w:t>
      </w:r>
      <w:proofErr w:type="spellStart"/>
      <w:r>
        <w:rPr>
          <w:rFonts w:ascii="Arial" w:hAnsi="Arial" w:cs="Arial"/>
          <w:lang w:val="en-US"/>
        </w:rPr>
        <w:t>favourable</w:t>
      </w:r>
      <w:proofErr w:type="spellEnd"/>
      <w:r>
        <w:rPr>
          <w:rFonts w:ascii="Arial" w:hAnsi="Arial" w:cs="Arial"/>
          <w:lang w:val="en-US"/>
        </w:rPr>
        <w:t xml:space="preserve"> than those offered by a bona fide third party to the Lessor and the Lessor shall deliver written notice to the Lessor (</w:t>
      </w:r>
      <w:r>
        <w:rPr>
          <w:rFonts w:ascii="Arial" w:hAnsi="Arial" w:cs="Arial"/>
          <w:i/>
          <w:lang w:val="en-US"/>
        </w:rPr>
        <w:t>sic</w:t>
      </w:r>
      <w:r>
        <w:rPr>
          <w:rFonts w:ascii="Arial" w:hAnsi="Arial" w:cs="Arial"/>
          <w:lang w:val="en-US"/>
        </w:rPr>
        <w:t>) specifying the terms and conditions of such offer, and the Lessee shall have 14 (fourteen) days thereafter in which to accept or reject the offer by written notice, failing which the Lessor shall be entitled, subject to the Lessor (</w:t>
      </w:r>
      <w:r>
        <w:rPr>
          <w:rFonts w:ascii="Arial" w:hAnsi="Arial" w:cs="Arial"/>
          <w:i/>
          <w:lang w:val="en-US"/>
        </w:rPr>
        <w:t>sic</w:t>
      </w:r>
      <w:r>
        <w:rPr>
          <w:rFonts w:ascii="Arial" w:hAnsi="Arial" w:cs="Arial"/>
          <w:lang w:val="en-US"/>
        </w:rPr>
        <w:t>) commitments under this agreement, to dispose of the property to any third party on the terms originally offered for a period of 60 (Sixty) days, failing which this right of first refusal shall revive.’</w:t>
      </w:r>
    </w:p>
    <w:p w14:paraId="2CB55DC2" w14:textId="77777777" w:rsidR="00E309EE" w:rsidRDefault="00E309EE" w:rsidP="00B05C8E">
      <w:pPr>
        <w:rPr>
          <w:rFonts w:ascii="Arial" w:hAnsi="Arial" w:cs="Arial"/>
          <w:sz w:val="24"/>
          <w:szCs w:val="24"/>
          <w:lang w:val="en-US"/>
        </w:rPr>
      </w:pPr>
    </w:p>
    <w:p w14:paraId="3BC36050" w14:textId="4BB1AB6F" w:rsidR="00E309EE" w:rsidRDefault="00E309EE" w:rsidP="00B05C8E">
      <w:pPr>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proofErr w:type="spellStart"/>
      <w:r w:rsidR="00984E0C">
        <w:rPr>
          <w:rFonts w:ascii="Arial" w:hAnsi="Arial" w:cs="Arial"/>
          <w:sz w:val="24"/>
          <w:szCs w:val="24"/>
          <w:lang w:val="en-US"/>
        </w:rPr>
        <w:t>Mr</w:t>
      </w:r>
      <w:proofErr w:type="spellEnd"/>
      <w:r w:rsidR="00984E0C">
        <w:rPr>
          <w:rFonts w:ascii="Arial" w:hAnsi="Arial" w:cs="Arial"/>
          <w:sz w:val="24"/>
          <w:szCs w:val="24"/>
          <w:lang w:val="en-US"/>
        </w:rPr>
        <w:t xml:space="preserve"> Schmitz inherited the shareholding in the respondent. He is a businessman who resides in Cape Town. He has no interest in farming. Since 2017, therefore, he attempted to sell the farm or the shares in the respondent. In terms of a deed of sale concluded on 7 April 2020, the respondent sold the farm to </w:t>
      </w:r>
      <w:proofErr w:type="spellStart"/>
      <w:r w:rsidR="00984E0C">
        <w:rPr>
          <w:rFonts w:ascii="Arial" w:hAnsi="Arial" w:cs="Arial"/>
          <w:sz w:val="24"/>
          <w:szCs w:val="24"/>
          <w:lang w:val="en-US"/>
        </w:rPr>
        <w:t>Swellendam</w:t>
      </w:r>
      <w:proofErr w:type="spellEnd"/>
      <w:r w:rsidR="00984E0C">
        <w:rPr>
          <w:rFonts w:ascii="Arial" w:hAnsi="Arial" w:cs="Arial"/>
          <w:sz w:val="24"/>
          <w:szCs w:val="24"/>
          <w:lang w:val="en-US"/>
        </w:rPr>
        <w:t xml:space="preserve"> </w:t>
      </w:r>
      <w:proofErr w:type="spellStart"/>
      <w:r w:rsidR="00984E0C">
        <w:rPr>
          <w:rFonts w:ascii="Arial" w:hAnsi="Arial" w:cs="Arial"/>
          <w:sz w:val="24"/>
          <w:szCs w:val="24"/>
          <w:lang w:val="en-US"/>
        </w:rPr>
        <w:t>Plase</w:t>
      </w:r>
      <w:proofErr w:type="spellEnd"/>
      <w:r w:rsidR="00984E0C">
        <w:rPr>
          <w:rFonts w:ascii="Arial" w:hAnsi="Arial" w:cs="Arial"/>
          <w:sz w:val="24"/>
          <w:szCs w:val="24"/>
          <w:lang w:val="en-US"/>
        </w:rPr>
        <w:t xml:space="preserve"> (Pty) Ltd (</w:t>
      </w:r>
      <w:proofErr w:type="spellStart"/>
      <w:r w:rsidR="00984E0C">
        <w:rPr>
          <w:rFonts w:ascii="Arial" w:hAnsi="Arial" w:cs="Arial"/>
          <w:sz w:val="24"/>
          <w:szCs w:val="24"/>
          <w:lang w:val="en-US"/>
        </w:rPr>
        <w:t>Swellendam</w:t>
      </w:r>
      <w:proofErr w:type="spellEnd"/>
      <w:r w:rsidR="00984E0C">
        <w:rPr>
          <w:rFonts w:ascii="Arial" w:hAnsi="Arial" w:cs="Arial"/>
          <w:sz w:val="24"/>
          <w:szCs w:val="24"/>
          <w:lang w:val="en-US"/>
        </w:rPr>
        <w:t xml:space="preserve"> </w:t>
      </w:r>
      <w:proofErr w:type="spellStart"/>
      <w:r w:rsidR="00984E0C">
        <w:rPr>
          <w:rFonts w:ascii="Arial" w:hAnsi="Arial" w:cs="Arial"/>
          <w:sz w:val="24"/>
          <w:szCs w:val="24"/>
          <w:lang w:val="en-US"/>
        </w:rPr>
        <w:t>Plase</w:t>
      </w:r>
      <w:proofErr w:type="spellEnd"/>
      <w:r w:rsidR="00984E0C">
        <w:rPr>
          <w:rFonts w:ascii="Arial" w:hAnsi="Arial" w:cs="Arial"/>
          <w:sz w:val="24"/>
          <w:szCs w:val="24"/>
          <w:lang w:val="en-US"/>
        </w:rPr>
        <w:t xml:space="preserve">) for a global purchase price of R17 million. The deed of sale </w:t>
      </w:r>
      <w:r w:rsidR="00984E0C">
        <w:rPr>
          <w:rFonts w:ascii="Arial" w:hAnsi="Arial" w:cs="Arial"/>
          <w:sz w:val="24"/>
          <w:szCs w:val="24"/>
          <w:lang w:val="en-US"/>
        </w:rPr>
        <w:lastRenderedPageBreak/>
        <w:t xml:space="preserve">recorded that the farm was sold subject to the lease, but did not allocate a purchase price per portion of the farm. </w:t>
      </w:r>
    </w:p>
    <w:p w14:paraId="6DCF471F" w14:textId="77777777" w:rsidR="00E309EE" w:rsidRDefault="00E309EE" w:rsidP="00B05C8E">
      <w:pPr>
        <w:rPr>
          <w:rFonts w:ascii="Arial" w:hAnsi="Arial" w:cs="Arial"/>
          <w:sz w:val="24"/>
          <w:szCs w:val="24"/>
          <w:lang w:val="en-US"/>
        </w:rPr>
      </w:pPr>
    </w:p>
    <w:p w14:paraId="1E634437" w14:textId="563436D2" w:rsidR="00E7164F" w:rsidRDefault="00E309EE" w:rsidP="00984E0C">
      <w:pPr>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CF0171">
        <w:rPr>
          <w:rFonts w:ascii="Arial" w:hAnsi="Arial" w:cs="Arial"/>
          <w:sz w:val="24"/>
          <w:szCs w:val="24"/>
          <w:lang w:val="en-US"/>
        </w:rPr>
        <w:t>The appellant learned</w:t>
      </w:r>
      <w:r w:rsidR="00984E0C">
        <w:rPr>
          <w:rFonts w:ascii="Arial" w:hAnsi="Arial" w:cs="Arial"/>
          <w:sz w:val="24"/>
          <w:szCs w:val="24"/>
          <w:lang w:val="en-US"/>
        </w:rPr>
        <w:t xml:space="preserve"> of this sale on 16 April 2020. In a letter to the respondent dated 20 April 2020, the appellant’s attorney conveyed that he held instructions to claim specific performance of clause 10 and invited the respondent to make an offer to the appellant in terms thereof in respect of the two portions. Despite </w:t>
      </w:r>
      <w:r w:rsidR="00BD4DCC">
        <w:rPr>
          <w:rFonts w:ascii="Arial" w:hAnsi="Arial" w:cs="Arial"/>
          <w:sz w:val="24"/>
          <w:szCs w:val="24"/>
          <w:lang w:val="en-US"/>
        </w:rPr>
        <w:t>a</w:t>
      </w:r>
      <w:r w:rsidR="00984E0C">
        <w:rPr>
          <w:rFonts w:ascii="Arial" w:hAnsi="Arial" w:cs="Arial"/>
          <w:sz w:val="24"/>
          <w:szCs w:val="24"/>
          <w:lang w:val="en-US"/>
        </w:rPr>
        <w:t xml:space="preserve"> subsequent exchange of correspondence between the attorneys of the parties, no such offer was forthcoming. </w:t>
      </w:r>
    </w:p>
    <w:p w14:paraId="2E5ED6B1" w14:textId="77777777" w:rsidR="00E7164F" w:rsidRDefault="00E7164F" w:rsidP="00B05C8E">
      <w:pPr>
        <w:rPr>
          <w:rFonts w:ascii="Arial" w:hAnsi="Arial" w:cs="Arial"/>
          <w:sz w:val="24"/>
          <w:szCs w:val="24"/>
          <w:lang w:val="en-US"/>
        </w:rPr>
      </w:pPr>
    </w:p>
    <w:p w14:paraId="671F9C3B" w14:textId="5B9326A8" w:rsidR="00E7164F" w:rsidRDefault="00E7164F" w:rsidP="00B05C8E">
      <w:pPr>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184B22">
        <w:rPr>
          <w:rFonts w:ascii="Arial" w:hAnsi="Arial" w:cs="Arial"/>
          <w:sz w:val="24"/>
          <w:szCs w:val="24"/>
          <w:lang w:val="en-US"/>
        </w:rPr>
        <w:t>The appellant consequently approached the high court. The appellant claimed that the respondent be o</w:t>
      </w:r>
      <w:r w:rsidR="00BD4DCC">
        <w:rPr>
          <w:rFonts w:ascii="Arial" w:hAnsi="Arial" w:cs="Arial"/>
          <w:sz w:val="24"/>
          <w:szCs w:val="24"/>
          <w:lang w:val="en-US"/>
        </w:rPr>
        <w:t>rdered to comply with clause 10</w:t>
      </w:r>
      <w:r w:rsidR="00184B22">
        <w:rPr>
          <w:rFonts w:ascii="Arial" w:hAnsi="Arial" w:cs="Arial"/>
          <w:sz w:val="24"/>
          <w:szCs w:val="24"/>
          <w:lang w:val="en-US"/>
        </w:rPr>
        <w:t xml:space="preserve"> by delivering a written notice offering to sell the two portions to the appellant for R4 million, on the same terms and conditions </w:t>
      </w:r>
      <w:r w:rsidR="00F86CED">
        <w:rPr>
          <w:rFonts w:ascii="Arial" w:hAnsi="Arial" w:cs="Arial"/>
          <w:sz w:val="24"/>
          <w:szCs w:val="24"/>
          <w:lang w:val="en-US"/>
        </w:rPr>
        <w:t>as</w:t>
      </w:r>
      <w:r w:rsidR="00184B22">
        <w:rPr>
          <w:rFonts w:ascii="Arial" w:hAnsi="Arial" w:cs="Arial"/>
          <w:sz w:val="24"/>
          <w:szCs w:val="24"/>
          <w:lang w:val="en-US"/>
        </w:rPr>
        <w:t xml:space="preserve"> those contained in the deed of sale between the respondent and </w:t>
      </w:r>
      <w:proofErr w:type="spellStart"/>
      <w:r w:rsidR="00184B22">
        <w:rPr>
          <w:rFonts w:ascii="Arial" w:hAnsi="Arial" w:cs="Arial"/>
          <w:sz w:val="24"/>
          <w:szCs w:val="24"/>
          <w:lang w:val="en-US"/>
        </w:rPr>
        <w:t>Swellendam</w:t>
      </w:r>
      <w:proofErr w:type="spellEnd"/>
      <w:r w:rsidR="00184B22">
        <w:rPr>
          <w:rFonts w:ascii="Arial" w:hAnsi="Arial" w:cs="Arial"/>
          <w:sz w:val="24"/>
          <w:szCs w:val="24"/>
          <w:lang w:val="en-US"/>
        </w:rPr>
        <w:t xml:space="preserve"> </w:t>
      </w:r>
      <w:proofErr w:type="spellStart"/>
      <w:r w:rsidR="00184B22">
        <w:rPr>
          <w:rFonts w:ascii="Arial" w:hAnsi="Arial" w:cs="Arial"/>
          <w:sz w:val="24"/>
          <w:szCs w:val="24"/>
          <w:lang w:val="en-US"/>
        </w:rPr>
        <w:t>Plase</w:t>
      </w:r>
      <w:proofErr w:type="spellEnd"/>
      <w:r w:rsidR="00184B22">
        <w:rPr>
          <w:rFonts w:ascii="Arial" w:hAnsi="Arial" w:cs="Arial"/>
          <w:sz w:val="24"/>
          <w:szCs w:val="24"/>
          <w:lang w:val="en-US"/>
        </w:rPr>
        <w:t xml:space="preserve">. The appellant also asked for an order affording it a period of 14 days to accept or reject that offer. </w:t>
      </w:r>
    </w:p>
    <w:p w14:paraId="15F0F15B" w14:textId="77777777" w:rsidR="0018044B" w:rsidRDefault="0018044B" w:rsidP="00B05C8E">
      <w:pPr>
        <w:rPr>
          <w:rFonts w:ascii="Arial" w:hAnsi="Arial" w:cs="Arial"/>
          <w:sz w:val="24"/>
          <w:szCs w:val="24"/>
          <w:lang w:val="en-US"/>
        </w:rPr>
      </w:pPr>
    </w:p>
    <w:p w14:paraId="5767DC1E" w14:textId="2328A078" w:rsidR="0018044B" w:rsidRDefault="0018044B" w:rsidP="00B05C8E">
      <w:pPr>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proofErr w:type="gramStart"/>
      <w:r w:rsidR="00184B22">
        <w:rPr>
          <w:rFonts w:ascii="Arial" w:hAnsi="Arial" w:cs="Arial"/>
          <w:sz w:val="24"/>
          <w:szCs w:val="24"/>
          <w:lang w:val="en-US"/>
        </w:rPr>
        <w:t>In</w:t>
      </w:r>
      <w:proofErr w:type="gramEnd"/>
      <w:r w:rsidR="00184B22">
        <w:rPr>
          <w:rFonts w:ascii="Arial" w:hAnsi="Arial" w:cs="Arial"/>
          <w:sz w:val="24"/>
          <w:szCs w:val="24"/>
          <w:lang w:val="en-US"/>
        </w:rPr>
        <w:t xml:space="preserve"> the meantime, on 4 June 2020, the respondent and </w:t>
      </w:r>
      <w:proofErr w:type="spellStart"/>
      <w:r w:rsidR="00184B22">
        <w:rPr>
          <w:rFonts w:ascii="Arial" w:hAnsi="Arial" w:cs="Arial"/>
          <w:sz w:val="24"/>
          <w:szCs w:val="24"/>
          <w:lang w:val="en-US"/>
        </w:rPr>
        <w:t>Swellendam</w:t>
      </w:r>
      <w:proofErr w:type="spellEnd"/>
      <w:r w:rsidR="00184B22">
        <w:rPr>
          <w:rFonts w:ascii="Arial" w:hAnsi="Arial" w:cs="Arial"/>
          <w:sz w:val="24"/>
          <w:szCs w:val="24"/>
          <w:lang w:val="en-US"/>
        </w:rPr>
        <w:t xml:space="preserve"> </w:t>
      </w:r>
      <w:proofErr w:type="spellStart"/>
      <w:r w:rsidR="00184B22">
        <w:rPr>
          <w:rFonts w:ascii="Arial" w:hAnsi="Arial" w:cs="Arial"/>
          <w:sz w:val="24"/>
          <w:szCs w:val="24"/>
          <w:lang w:val="en-US"/>
        </w:rPr>
        <w:t>Plase</w:t>
      </w:r>
      <w:proofErr w:type="spellEnd"/>
      <w:r w:rsidR="00184B22">
        <w:rPr>
          <w:rFonts w:ascii="Arial" w:hAnsi="Arial" w:cs="Arial"/>
          <w:sz w:val="24"/>
          <w:szCs w:val="24"/>
          <w:lang w:val="en-US"/>
        </w:rPr>
        <w:t xml:space="preserve"> in writing agreed to cancel the deed of sale. In the answering affidavit </w:t>
      </w:r>
      <w:proofErr w:type="spellStart"/>
      <w:r w:rsidR="00184B22">
        <w:rPr>
          <w:rFonts w:ascii="Arial" w:hAnsi="Arial" w:cs="Arial"/>
          <w:sz w:val="24"/>
          <w:szCs w:val="24"/>
          <w:lang w:val="en-US"/>
        </w:rPr>
        <w:t>Mr</w:t>
      </w:r>
      <w:proofErr w:type="spellEnd"/>
      <w:r w:rsidR="00184B22">
        <w:rPr>
          <w:rFonts w:ascii="Arial" w:hAnsi="Arial" w:cs="Arial"/>
          <w:sz w:val="24"/>
          <w:szCs w:val="24"/>
          <w:lang w:val="en-US"/>
        </w:rPr>
        <w:t xml:space="preserve"> Schmitz explained that the reason for the cancellation was that the respondent had been advised that the sale of the shares in the respondent would provide tax advantages over those of </w:t>
      </w:r>
      <w:r w:rsidR="00BD4DCC">
        <w:rPr>
          <w:rFonts w:ascii="Arial" w:hAnsi="Arial" w:cs="Arial"/>
          <w:sz w:val="24"/>
          <w:szCs w:val="24"/>
          <w:lang w:val="en-US"/>
        </w:rPr>
        <w:t>the</w:t>
      </w:r>
      <w:r w:rsidR="00184B22">
        <w:rPr>
          <w:rFonts w:ascii="Arial" w:hAnsi="Arial" w:cs="Arial"/>
          <w:sz w:val="24"/>
          <w:szCs w:val="24"/>
          <w:lang w:val="en-US"/>
        </w:rPr>
        <w:t xml:space="preserve"> sale of the farm. Counsel for the respondent rightly did not contend that the cancellation of the deed of sale was of any significance in the matter. </w:t>
      </w:r>
    </w:p>
    <w:p w14:paraId="40B39E60" w14:textId="77777777" w:rsidR="0018044B" w:rsidRDefault="0018044B" w:rsidP="00B05C8E">
      <w:pPr>
        <w:rPr>
          <w:rFonts w:ascii="Arial" w:hAnsi="Arial" w:cs="Arial"/>
          <w:sz w:val="24"/>
          <w:szCs w:val="24"/>
          <w:lang w:val="en-US"/>
        </w:rPr>
      </w:pPr>
    </w:p>
    <w:p w14:paraId="4838592B" w14:textId="1D4A16A6" w:rsidR="00CC3DF6" w:rsidRDefault="0018044B" w:rsidP="00184B22">
      <w:pPr>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184B22">
        <w:rPr>
          <w:rFonts w:ascii="Arial" w:hAnsi="Arial" w:cs="Arial"/>
          <w:sz w:val="24"/>
          <w:szCs w:val="24"/>
          <w:lang w:val="en-US"/>
        </w:rPr>
        <w:t>The main issue before the high court concerned the proper interpretation of clause 10 and the consequent application thereof to the facts. I shall return to its findings in this regard. The respondent, howe</w:t>
      </w:r>
      <w:r w:rsidR="00BD4DCC">
        <w:rPr>
          <w:rFonts w:ascii="Arial" w:hAnsi="Arial" w:cs="Arial"/>
          <w:sz w:val="24"/>
          <w:szCs w:val="24"/>
          <w:lang w:val="en-US"/>
        </w:rPr>
        <w:t xml:space="preserve">ver, raised various other </w:t>
      </w:r>
      <w:proofErr w:type="spellStart"/>
      <w:r w:rsidR="00BD4DCC">
        <w:rPr>
          <w:rFonts w:ascii="Arial" w:hAnsi="Arial" w:cs="Arial"/>
          <w:sz w:val="24"/>
          <w:szCs w:val="24"/>
          <w:lang w:val="en-US"/>
        </w:rPr>
        <w:t>defenc</w:t>
      </w:r>
      <w:r w:rsidR="00184B22">
        <w:rPr>
          <w:rFonts w:ascii="Arial" w:hAnsi="Arial" w:cs="Arial"/>
          <w:sz w:val="24"/>
          <w:szCs w:val="24"/>
          <w:lang w:val="en-US"/>
        </w:rPr>
        <w:t>es</w:t>
      </w:r>
      <w:proofErr w:type="spellEnd"/>
      <w:r w:rsidR="00184B22">
        <w:rPr>
          <w:rFonts w:ascii="Arial" w:hAnsi="Arial" w:cs="Arial"/>
          <w:sz w:val="24"/>
          <w:szCs w:val="24"/>
          <w:lang w:val="en-US"/>
        </w:rPr>
        <w:t xml:space="preserve"> to the enforceability of clause 10. One of these was that the appellant had failed to comply with its obligations in terms </w:t>
      </w:r>
      <w:r w:rsidR="00AB34E4">
        <w:rPr>
          <w:rFonts w:ascii="Arial" w:hAnsi="Arial" w:cs="Arial"/>
          <w:sz w:val="24"/>
          <w:szCs w:val="24"/>
          <w:lang w:val="en-US"/>
        </w:rPr>
        <w:t>of the lease and that therefore</w:t>
      </w:r>
      <w:r w:rsidR="00184B22">
        <w:rPr>
          <w:rFonts w:ascii="Arial" w:hAnsi="Arial" w:cs="Arial"/>
          <w:sz w:val="24"/>
          <w:szCs w:val="24"/>
          <w:lang w:val="en-US"/>
        </w:rPr>
        <w:t xml:space="preserve"> the proviso in clause 10 was not fulfilled. The high co</w:t>
      </w:r>
      <w:r w:rsidR="00BD4DCC">
        <w:rPr>
          <w:rFonts w:ascii="Arial" w:hAnsi="Arial" w:cs="Arial"/>
          <w:sz w:val="24"/>
          <w:szCs w:val="24"/>
          <w:lang w:val="en-US"/>
        </w:rPr>
        <w:t xml:space="preserve">urt rejected all of these </w:t>
      </w:r>
      <w:proofErr w:type="spellStart"/>
      <w:r w:rsidR="00BD4DCC">
        <w:rPr>
          <w:rFonts w:ascii="Arial" w:hAnsi="Arial" w:cs="Arial"/>
          <w:sz w:val="24"/>
          <w:szCs w:val="24"/>
          <w:lang w:val="en-US"/>
        </w:rPr>
        <w:t>defenc</w:t>
      </w:r>
      <w:r w:rsidR="00184B22">
        <w:rPr>
          <w:rFonts w:ascii="Arial" w:hAnsi="Arial" w:cs="Arial"/>
          <w:sz w:val="24"/>
          <w:szCs w:val="24"/>
          <w:lang w:val="en-US"/>
        </w:rPr>
        <w:t>es</w:t>
      </w:r>
      <w:proofErr w:type="spellEnd"/>
      <w:r w:rsidR="00184B22">
        <w:rPr>
          <w:rFonts w:ascii="Arial" w:hAnsi="Arial" w:cs="Arial"/>
          <w:sz w:val="24"/>
          <w:szCs w:val="24"/>
          <w:lang w:val="en-US"/>
        </w:rPr>
        <w:t xml:space="preserve"> and these findings were not challenged before us. </w:t>
      </w:r>
    </w:p>
    <w:p w14:paraId="6B5C0FFD" w14:textId="77777777" w:rsidR="00365C93" w:rsidRDefault="00365C93" w:rsidP="00184B22">
      <w:pPr>
        <w:rPr>
          <w:rFonts w:ascii="Arial" w:hAnsi="Arial" w:cs="Arial"/>
          <w:lang w:val="en-US"/>
        </w:rPr>
      </w:pPr>
    </w:p>
    <w:p w14:paraId="29EAC24D" w14:textId="77777777" w:rsidR="00A630D5" w:rsidRDefault="00A630D5" w:rsidP="00184B22">
      <w:pPr>
        <w:rPr>
          <w:rFonts w:ascii="Arial" w:hAnsi="Arial" w:cs="Arial"/>
          <w:lang w:val="en-US"/>
        </w:rPr>
      </w:pPr>
    </w:p>
    <w:p w14:paraId="2E2CCF47" w14:textId="77777777" w:rsidR="00A630D5" w:rsidRDefault="00A630D5" w:rsidP="00184B22">
      <w:pPr>
        <w:rPr>
          <w:rFonts w:ascii="Arial" w:hAnsi="Arial" w:cs="Arial"/>
          <w:lang w:val="en-US"/>
        </w:rPr>
      </w:pPr>
      <w:bookmarkStart w:id="0" w:name="_GoBack"/>
      <w:bookmarkEnd w:id="0"/>
    </w:p>
    <w:p w14:paraId="34C94F1C" w14:textId="0C16EA67" w:rsidR="00AC6AA6" w:rsidRPr="00365C93" w:rsidRDefault="00184B22" w:rsidP="00B05C8E">
      <w:pPr>
        <w:rPr>
          <w:rFonts w:ascii="Arial" w:hAnsi="Arial" w:cs="Arial"/>
          <w:b/>
          <w:sz w:val="24"/>
          <w:szCs w:val="24"/>
          <w:lang w:val="en-US"/>
        </w:rPr>
      </w:pPr>
      <w:r w:rsidRPr="00365C93">
        <w:rPr>
          <w:rFonts w:ascii="Arial" w:hAnsi="Arial" w:cs="Arial"/>
          <w:b/>
          <w:sz w:val="24"/>
          <w:szCs w:val="24"/>
          <w:lang w:val="en-US"/>
        </w:rPr>
        <w:lastRenderedPageBreak/>
        <w:t>Discussion</w:t>
      </w:r>
    </w:p>
    <w:p w14:paraId="29ECB4BF" w14:textId="134A4B4F" w:rsidR="00AC6AA6" w:rsidRDefault="00AC6AA6" w:rsidP="00184B22">
      <w:pPr>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184B22">
        <w:rPr>
          <w:rFonts w:ascii="Arial" w:hAnsi="Arial" w:cs="Arial"/>
          <w:sz w:val="24"/>
          <w:szCs w:val="24"/>
          <w:lang w:val="en-US"/>
        </w:rPr>
        <w:t>It follow</w:t>
      </w:r>
      <w:r w:rsidR="00AB34E4">
        <w:rPr>
          <w:rFonts w:ascii="Arial" w:hAnsi="Arial" w:cs="Arial"/>
          <w:sz w:val="24"/>
          <w:szCs w:val="24"/>
          <w:lang w:val="en-US"/>
        </w:rPr>
        <w:t>s</w:t>
      </w:r>
      <w:r w:rsidR="00184B22">
        <w:rPr>
          <w:rFonts w:ascii="Arial" w:hAnsi="Arial" w:cs="Arial"/>
          <w:sz w:val="24"/>
          <w:szCs w:val="24"/>
          <w:lang w:val="en-US"/>
        </w:rPr>
        <w:t xml:space="preserve"> from what I have said that the following passage in GB Bradfield </w:t>
      </w:r>
      <w:r w:rsidR="00184B22" w:rsidRPr="00596C0F">
        <w:rPr>
          <w:rFonts w:ascii="Arial" w:hAnsi="Arial" w:cs="Arial"/>
          <w:i/>
          <w:sz w:val="24"/>
          <w:szCs w:val="24"/>
          <w:lang w:val="en-US"/>
        </w:rPr>
        <w:t>Christie’s Law of Contract in South Africa</w:t>
      </w:r>
      <w:r w:rsidR="00184B22">
        <w:rPr>
          <w:rFonts w:ascii="Arial" w:hAnsi="Arial" w:cs="Arial"/>
          <w:sz w:val="24"/>
          <w:szCs w:val="24"/>
          <w:lang w:val="en-US"/>
        </w:rPr>
        <w:t xml:space="preserve"> 8 </w:t>
      </w:r>
      <w:proofErr w:type="spellStart"/>
      <w:proofErr w:type="gramStart"/>
      <w:r w:rsidR="00184B22">
        <w:rPr>
          <w:rFonts w:ascii="Arial" w:hAnsi="Arial" w:cs="Arial"/>
          <w:sz w:val="24"/>
          <w:szCs w:val="24"/>
          <w:lang w:val="en-US"/>
        </w:rPr>
        <w:t>ed</w:t>
      </w:r>
      <w:proofErr w:type="spellEnd"/>
      <w:proofErr w:type="gramEnd"/>
      <w:r w:rsidR="00E85EBB">
        <w:rPr>
          <w:rFonts w:ascii="Arial" w:hAnsi="Arial" w:cs="Arial"/>
          <w:sz w:val="24"/>
          <w:szCs w:val="24"/>
          <w:lang w:val="en-US"/>
        </w:rPr>
        <w:t xml:space="preserve"> </w:t>
      </w:r>
      <w:r w:rsidR="00E85EBB" w:rsidRPr="00540022">
        <w:rPr>
          <w:rFonts w:ascii="Arial" w:hAnsi="Arial" w:cs="Arial"/>
          <w:sz w:val="24"/>
          <w:szCs w:val="24"/>
          <w:lang w:val="en-US"/>
        </w:rPr>
        <w:t>(2022) at</w:t>
      </w:r>
      <w:r w:rsidR="00596C0F">
        <w:rPr>
          <w:rFonts w:ascii="Arial" w:hAnsi="Arial" w:cs="Arial"/>
          <w:sz w:val="24"/>
          <w:szCs w:val="24"/>
          <w:lang w:val="en-US"/>
        </w:rPr>
        <w:t xml:space="preserve"> 77, is apposite to the determination of the appeal: </w:t>
      </w:r>
    </w:p>
    <w:p w14:paraId="64995B10" w14:textId="387C5D49" w:rsidR="00596C0F" w:rsidRDefault="00596C0F" w:rsidP="00184B22">
      <w:pPr>
        <w:rPr>
          <w:rFonts w:ascii="Arial" w:hAnsi="Arial" w:cs="Arial"/>
          <w:lang w:val="en-US"/>
        </w:rPr>
      </w:pPr>
      <w:r>
        <w:rPr>
          <w:rFonts w:ascii="Arial" w:hAnsi="Arial" w:cs="Arial"/>
          <w:lang w:val="en-US"/>
        </w:rPr>
        <w:t>‘</w:t>
      </w:r>
      <w:r w:rsidR="004F0AB0">
        <w:rPr>
          <w:rFonts w:ascii="Arial" w:hAnsi="Arial" w:cs="Arial"/>
          <w:lang w:val="en-US"/>
        </w:rPr>
        <w:t>Regarding breach of the preference contract, there are essentially two issues. The first is whether in the given circumstances the right of preference was “triggered” and, if so, the second is what remedies the right holder has in the event of breach of the contract granting the preference right. The answers to these questions depend on the terms on which the right has been granted, and these terms vary.’</w:t>
      </w:r>
    </w:p>
    <w:p w14:paraId="28BA5E46" w14:textId="77777777" w:rsidR="002F1D71" w:rsidRDefault="002F1D71" w:rsidP="00B05C8E">
      <w:pPr>
        <w:rPr>
          <w:rFonts w:ascii="Arial" w:hAnsi="Arial" w:cs="Arial"/>
          <w:sz w:val="24"/>
          <w:szCs w:val="24"/>
          <w:lang w:val="en-US"/>
        </w:rPr>
      </w:pPr>
    </w:p>
    <w:p w14:paraId="79E4FBF4" w14:textId="0C812A4D" w:rsidR="002F1D71" w:rsidRPr="002F1D71" w:rsidRDefault="00F47AEC" w:rsidP="00B05C8E">
      <w:pPr>
        <w:rPr>
          <w:rFonts w:ascii="Arial" w:hAnsi="Arial" w:cs="Arial"/>
          <w:b/>
          <w:sz w:val="24"/>
          <w:szCs w:val="24"/>
          <w:lang w:val="en-US"/>
        </w:rPr>
      </w:pPr>
      <w:r>
        <w:rPr>
          <w:rFonts w:ascii="Arial" w:hAnsi="Arial" w:cs="Arial"/>
          <w:b/>
          <w:sz w:val="24"/>
          <w:szCs w:val="24"/>
          <w:lang w:val="en-US"/>
        </w:rPr>
        <w:t>Trigger</w:t>
      </w:r>
    </w:p>
    <w:p w14:paraId="10BF7E05" w14:textId="30081E71" w:rsidR="002F1D71" w:rsidRDefault="002F1D71" w:rsidP="00B05C8E">
      <w:pPr>
        <w:rPr>
          <w:rFonts w:ascii="Arial" w:hAnsi="Arial" w:cs="Arial"/>
          <w:sz w:val="24"/>
          <w:szCs w:val="24"/>
          <w:lang w:val="en-US"/>
        </w:rPr>
      </w:pPr>
      <w:r>
        <w:rPr>
          <w:rFonts w:ascii="Arial" w:hAnsi="Arial" w:cs="Arial"/>
          <w:sz w:val="24"/>
          <w:szCs w:val="24"/>
          <w:lang w:val="en-US"/>
        </w:rPr>
        <w:t>[11]</w:t>
      </w:r>
      <w:r w:rsidR="00926202">
        <w:rPr>
          <w:rFonts w:ascii="Arial" w:hAnsi="Arial" w:cs="Arial"/>
          <w:sz w:val="24"/>
          <w:szCs w:val="24"/>
          <w:lang w:val="en-US"/>
        </w:rPr>
        <w:tab/>
      </w:r>
      <w:r w:rsidR="00F47AEC">
        <w:rPr>
          <w:rFonts w:ascii="Arial" w:hAnsi="Arial" w:cs="Arial"/>
          <w:sz w:val="24"/>
          <w:szCs w:val="24"/>
          <w:lang w:val="en-US"/>
        </w:rPr>
        <w:t xml:space="preserve">The first question is whether the high court correctly held that the ‘package deal’ had ‘triggered’ the appellant’s pre-emptive right. In this regard one has to ask whether the sale of the farm gave rise to an obligation on the part of the respondent to make an offer to the appellant in terms of clause 10. That would be the case if the conduct of the respondent breached the provisions of clause 10. As I have said (and the high court </w:t>
      </w:r>
      <w:proofErr w:type="spellStart"/>
      <w:r w:rsidR="00F47AEC">
        <w:rPr>
          <w:rFonts w:ascii="Arial" w:hAnsi="Arial" w:cs="Arial"/>
          <w:sz w:val="24"/>
          <w:szCs w:val="24"/>
          <w:lang w:val="en-US"/>
        </w:rPr>
        <w:t>recognised</w:t>
      </w:r>
      <w:proofErr w:type="spellEnd"/>
      <w:r w:rsidR="00F47AEC">
        <w:rPr>
          <w:rFonts w:ascii="Arial" w:hAnsi="Arial" w:cs="Arial"/>
          <w:sz w:val="24"/>
          <w:szCs w:val="24"/>
          <w:lang w:val="en-US"/>
        </w:rPr>
        <w:t xml:space="preserve">), the answer depends in the first place on an interpretation of clause 10 in terms of the ordinary well-known principles of construction of contracts. </w:t>
      </w:r>
    </w:p>
    <w:p w14:paraId="5145C7C1" w14:textId="77777777" w:rsidR="00926202" w:rsidRDefault="00926202" w:rsidP="00B05C8E">
      <w:pPr>
        <w:rPr>
          <w:rFonts w:ascii="Arial" w:hAnsi="Arial" w:cs="Arial"/>
          <w:sz w:val="24"/>
          <w:szCs w:val="24"/>
          <w:lang w:val="en-US"/>
        </w:rPr>
      </w:pPr>
    </w:p>
    <w:p w14:paraId="7D0D0975" w14:textId="0D7D058B" w:rsidR="00926202" w:rsidRDefault="00926202" w:rsidP="00B05C8E">
      <w:pPr>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r>
      <w:r w:rsidR="00F47AEC">
        <w:rPr>
          <w:rFonts w:ascii="Arial" w:hAnsi="Arial" w:cs="Arial"/>
          <w:sz w:val="24"/>
          <w:szCs w:val="24"/>
          <w:lang w:val="en-US"/>
        </w:rPr>
        <w:t xml:space="preserve">Ultimately the question is whether clause 10 means that the right of pre-emption would only be activated if the respondent receives an offer for the two portions on their own. I do not think so. First, on the ordinary meaning of clause 10, the respondent obtained an offer to purchase the ‘Premises’, even though it was part of a wider offer. This, I think, is illustrated by </w:t>
      </w:r>
      <w:r w:rsidR="00F47AEC" w:rsidRPr="00F47AEC">
        <w:rPr>
          <w:rFonts w:ascii="Arial" w:hAnsi="Arial" w:cs="Arial"/>
          <w:i/>
          <w:sz w:val="24"/>
          <w:szCs w:val="24"/>
          <w:lang w:val="en-US"/>
        </w:rPr>
        <w:t>Sher v Allan</w:t>
      </w:r>
      <w:r w:rsidR="00AB34E4">
        <w:rPr>
          <w:rFonts w:ascii="Arial" w:hAnsi="Arial" w:cs="Arial"/>
          <w:sz w:val="24"/>
          <w:szCs w:val="24"/>
          <w:lang w:val="en-US"/>
        </w:rPr>
        <w:t xml:space="preserve"> 1929 OPD</w:t>
      </w:r>
      <w:r w:rsidR="00F47AEC">
        <w:rPr>
          <w:rFonts w:ascii="Arial" w:hAnsi="Arial" w:cs="Arial"/>
          <w:sz w:val="24"/>
          <w:szCs w:val="24"/>
          <w:lang w:val="en-US"/>
        </w:rPr>
        <w:t xml:space="preserve"> 137.</w:t>
      </w:r>
    </w:p>
    <w:p w14:paraId="229FD102" w14:textId="77777777" w:rsidR="00606CFE" w:rsidRDefault="00606CFE" w:rsidP="00B05C8E">
      <w:pPr>
        <w:rPr>
          <w:rFonts w:ascii="Arial" w:hAnsi="Arial" w:cs="Arial"/>
          <w:sz w:val="24"/>
          <w:szCs w:val="24"/>
          <w:lang w:val="en-US"/>
        </w:rPr>
      </w:pPr>
    </w:p>
    <w:p w14:paraId="21761281" w14:textId="640EF839" w:rsidR="005D244C" w:rsidRDefault="00606CFE" w:rsidP="00451B9D">
      <w:pPr>
        <w:rPr>
          <w:rFonts w:ascii="Arial" w:hAnsi="Arial" w:cs="Arial"/>
          <w:lang w:val="en-US"/>
        </w:rPr>
      </w:pPr>
      <w:r>
        <w:rPr>
          <w:rFonts w:ascii="Arial" w:hAnsi="Arial" w:cs="Arial"/>
          <w:sz w:val="24"/>
          <w:szCs w:val="24"/>
          <w:lang w:val="en-US"/>
        </w:rPr>
        <w:t>[13]</w:t>
      </w:r>
      <w:r>
        <w:rPr>
          <w:rFonts w:ascii="Arial" w:hAnsi="Arial" w:cs="Arial"/>
          <w:sz w:val="24"/>
          <w:szCs w:val="24"/>
          <w:lang w:val="en-US"/>
        </w:rPr>
        <w:tab/>
      </w:r>
      <w:r w:rsidR="00451B9D">
        <w:rPr>
          <w:rFonts w:ascii="Arial" w:hAnsi="Arial" w:cs="Arial"/>
          <w:sz w:val="24"/>
          <w:szCs w:val="24"/>
          <w:lang w:val="en-US"/>
        </w:rPr>
        <w:t>There the defendant leased half of an erf to the plaintiff. In terms of the lease agreement, the defendant granted the plaintiff ‘the first option to purchase the leased property, should he desire to sell the same during the continuance’ of the lease. The defendant sold</w:t>
      </w:r>
      <w:r w:rsidR="00FE7C24">
        <w:rPr>
          <w:rFonts w:ascii="Arial" w:hAnsi="Arial" w:cs="Arial"/>
          <w:sz w:val="24"/>
          <w:szCs w:val="24"/>
          <w:lang w:val="en-US"/>
        </w:rPr>
        <w:t xml:space="preserve"> the whole erf without notice to the plaintiff. The plaintiff consequently sued the defendant for damages and the question arose whether the sale of the whole erf constituted a breach of the option in respect of the leased property. </w:t>
      </w:r>
    </w:p>
    <w:p w14:paraId="3D3A86DF" w14:textId="77777777" w:rsidR="00C763A3" w:rsidRDefault="00C763A3" w:rsidP="00B05C8E">
      <w:pPr>
        <w:rPr>
          <w:rFonts w:ascii="Arial" w:hAnsi="Arial" w:cs="Arial"/>
          <w:lang w:val="en-US"/>
        </w:rPr>
      </w:pPr>
    </w:p>
    <w:p w14:paraId="18A9ADE2" w14:textId="0D8EF99B" w:rsidR="00FE7C24" w:rsidRDefault="00C763A3" w:rsidP="00B05C8E">
      <w:pPr>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FE7C24">
        <w:rPr>
          <w:rFonts w:ascii="Arial" w:hAnsi="Arial" w:cs="Arial"/>
          <w:sz w:val="24"/>
          <w:szCs w:val="24"/>
          <w:lang w:val="en-US"/>
        </w:rPr>
        <w:t>McGregor AJP answered the question in the affirmative. He said at 143</w:t>
      </w:r>
      <w:r w:rsidR="00083774">
        <w:rPr>
          <w:rFonts w:ascii="Arial" w:hAnsi="Arial" w:cs="Arial"/>
          <w:sz w:val="24"/>
          <w:szCs w:val="24"/>
          <w:lang w:val="en-US"/>
        </w:rPr>
        <w:t>:</w:t>
      </w:r>
    </w:p>
    <w:p w14:paraId="0954F746" w14:textId="28C90654" w:rsidR="00C763A3" w:rsidRDefault="00FE7C24" w:rsidP="00B05C8E">
      <w:pPr>
        <w:rPr>
          <w:rFonts w:ascii="Arial" w:hAnsi="Arial" w:cs="Arial"/>
          <w:lang w:val="en-US"/>
        </w:rPr>
      </w:pPr>
      <w:r w:rsidRPr="00FE7C24">
        <w:rPr>
          <w:rFonts w:ascii="Arial" w:hAnsi="Arial" w:cs="Arial"/>
          <w:lang w:val="en-US"/>
        </w:rPr>
        <w:lastRenderedPageBreak/>
        <w:t xml:space="preserve">‘For by selling the whole erf the defendant must </w:t>
      </w:r>
      <w:r w:rsidR="00AB34E4">
        <w:rPr>
          <w:rFonts w:ascii="Arial" w:hAnsi="Arial" w:cs="Arial"/>
          <w:lang w:val="en-US"/>
        </w:rPr>
        <w:t>needs</w:t>
      </w:r>
      <w:r w:rsidRPr="00FE7C24">
        <w:rPr>
          <w:rFonts w:ascii="Arial" w:hAnsi="Arial" w:cs="Arial"/>
          <w:lang w:val="en-US"/>
        </w:rPr>
        <w:t xml:space="preserve"> </w:t>
      </w:r>
      <w:r w:rsidRPr="00FE7C24">
        <w:rPr>
          <w:rFonts w:ascii="Arial" w:hAnsi="Arial" w:cs="Arial"/>
          <w:i/>
          <w:lang w:val="en-US"/>
        </w:rPr>
        <w:t xml:space="preserve">ex necessitate rei </w:t>
      </w:r>
      <w:r w:rsidRPr="00FE7C24">
        <w:rPr>
          <w:rFonts w:ascii="Arial" w:hAnsi="Arial" w:cs="Arial"/>
          <w:lang w:val="en-US"/>
        </w:rPr>
        <w:t xml:space="preserve">be selling the half; and being a free agent herein he must be taken to have desired that which </w:t>
      </w:r>
      <w:r w:rsidR="00CF0171">
        <w:rPr>
          <w:rFonts w:ascii="Arial" w:hAnsi="Arial" w:cs="Arial"/>
          <w:lang w:val="en-US"/>
        </w:rPr>
        <w:t>h</w:t>
      </w:r>
      <w:r w:rsidRPr="00FE7C24">
        <w:rPr>
          <w:rFonts w:ascii="Arial" w:hAnsi="Arial" w:cs="Arial"/>
          <w:lang w:val="en-US"/>
        </w:rPr>
        <w:t xml:space="preserve">is act implied and </w:t>
      </w:r>
      <w:r w:rsidR="00D53DBB">
        <w:rPr>
          <w:rFonts w:ascii="Arial" w:hAnsi="Arial" w:cs="Arial"/>
          <w:lang w:val="en-US"/>
        </w:rPr>
        <w:t xml:space="preserve">involved. He </w:t>
      </w:r>
      <w:r w:rsidR="00D53DBB" w:rsidRPr="00540022">
        <w:rPr>
          <w:rFonts w:ascii="Arial" w:hAnsi="Arial" w:cs="Arial"/>
          <w:lang w:val="en-US"/>
        </w:rPr>
        <w:t>c</w:t>
      </w:r>
      <w:r w:rsidRPr="00FE7C24">
        <w:rPr>
          <w:rFonts w:ascii="Arial" w:hAnsi="Arial" w:cs="Arial"/>
          <w:lang w:val="en-US"/>
        </w:rPr>
        <w:t xml:space="preserve">ould not – as a matter of ordinary possibility – sell the whole without selling the half’. </w:t>
      </w:r>
    </w:p>
    <w:p w14:paraId="0F00281C" w14:textId="6238DC59" w:rsidR="00083774" w:rsidRDefault="00083774" w:rsidP="00B05C8E">
      <w:pPr>
        <w:rPr>
          <w:rFonts w:ascii="Arial" w:hAnsi="Arial" w:cs="Arial"/>
          <w:sz w:val="24"/>
          <w:szCs w:val="24"/>
          <w:lang w:val="en-US"/>
        </w:rPr>
      </w:pPr>
      <w:r>
        <w:rPr>
          <w:rFonts w:ascii="Arial" w:hAnsi="Arial" w:cs="Arial"/>
          <w:sz w:val="24"/>
          <w:szCs w:val="24"/>
          <w:lang w:val="en-US"/>
        </w:rPr>
        <w:t xml:space="preserve">And at 144 he trenchantly stated: </w:t>
      </w:r>
    </w:p>
    <w:p w14:paraId="3A6A21F2" w14:textId="2D157EE1" w:rsidR="00083774" w:rsidRPr="00083774" w:rsidRDefault="00083774" w:rsidP="00B05C8E">
      <w:pPr>
        <w:rPr>
          <w:rFonts w:ascii="Arial" w:hAnsi="Arial" w:cs="Arial"/>
          <w:lang w:val="en-US"/>
        </w:rPr>
      </w:pPr>
      <w:r>
        <w:rPr>
          <w:rFonts w:ascii="Arial" w:hAnsi="Arial" w:cs="Arial"/>
          <w:lang w:val="en-US"/>
        </w:rPr>
        <w:t xml:space="preserve">‘If we took a different view we might have this result: that, if the owner chose to sell all his property at Kroonstad to a substantial purchaser </w:t>
      </w:r>
      <w:r w:rsidR="00AB34E4">
        <w:rPr>
          <w:rFonts w:ascii="Arial" w:hAnsi="Arial" w:cs="Arial"/>
          <w:i/>
          <w:lang w:val="en-US"/>
        </w:rPr>
        <w:t xml:space="preserve">in </w:t>
      </w:r>
      <w:proofErr w:type="spellStart"/>
      <w:r w:rsidR="00AB34E4">
        <w:rPr>
          <w:rFonts w:ascii="Arial" w:hAnsi="Arial" w:cs="Arial"/>
          <w:i/>
          <w:lang w:val="en-US"/>
        </w:rPr>
        <w:t>globulo</w:t>
      </w:r>
      <w:proofErr w:type="spellEnd"/>
      <w:r>
        <w:rPr>
          <w:rFonts w:ascii="Arial" w:hAnsi="Arial" w:cs="Arial"/>
          <w:lang w:val="en-US"/>
        </w:rPr>
        <w:t>, it might still be contended that the plaintiff had no cause to complain in that there was no desire to sell the leased half – which might seem to bring one into a some</w:t>
      </w:r>
      <w:r w:rsidR="00D53C15">
        <w:rPr>
          <w:rFonts w:ascii="Arial" w:hAnsi="Arial" w:cs="Arial"/>
          <w:lang w:val="en-US"/>
        </w:rPr>
        <w:t>what metaphysical</w:t>
      </w:r>
      <w:r>
        <w:rPr>
          <w:rFonts w:ascii="Arial" w:hAnsi="Arial" w:cs="Arial"/>
          <w:lang w:val="en-US"/>
        </w:rPr>
        <w:t xml:space="preserve"> </w:t>
      </w:r>
      <w:r w:rsidR="00D53C15">
        <w:rPr>
          <w:rFonts w:ascii="Arial" w:hAnsi="Arial" w:cs="Arial"/>
          <w:lang w:val="en-US"/>
        </w:rPr>
        <w:t>sphere</w:t>
      </w:r>
      <w:r w:rsidR="00B26B4F">
        <w:rPr>
          <w:rFonts w:ascii="Arial" w:hAnsi="Arial" w:cs="Arial"/>
          <w:lang w:val="en-US"/>
        </w:rPr>
        <w:t>.’</w:t>
      </w:r>
    </w:p>
    <w:p w14:paraId="432D68A5" w14:textId="77777777" w:rsidR="00656FB9" w:rsidRDefault="00656FB9" w:rsidP="00B05C8E">
      <w:pPr>
        <w:rPr>
          <w:rFonts w:ascii="Arial" w:hAnsi="Arial" w:cs="Arial"/>
          <w:sz w:val="24"/>
          <w:szCs w:val="24"/>
          <w:lang w:val="en-US"/>
        </w:rPr>
      </w:pPr>
    </w:p>
    <w:p w14:paraId="0B138CBC" w14:textId="7C656BD7" w:rsidR="007C47B0" w:rsidRDefault="00656FB9" w:rsidP="00D53C15">
      <w:pPr>
        <w:rPr>
          <w:rFonts w:ascii="Arial" w:hAnsi="Arial" w:cs="Arial"/>
          <w:lang w:val="en-US"/>
        </w:rPr>
      </w:pPr>
      <w:r>
        <w:rPr>
          <w:rFonts w:ascii="Arial" w:hAnsi="Arial" w:cs="Arial"/>
          <w:sz w:val="24"/>
          <w:szCs w:val="24"/>
          <w:lang w:val="en-US"/>
        </w:rPr>
        <w:t>[15]</w:t>
      </w:r>
      <w:r>
        <w:rPr>
          <w:rFonts w:ascii="Arial" w:hAnsi="Arial" w:cs="Arial"/>
          <w:sz w:val="24"/>
          <w:szCs w:val="24"/>
          <w:lang w:val="en-US"/>
        </w:rPr>
        <w:tab/>
      </w:r>
      <w:r w:rsidR="00D53C15">
        <w:rPr>
          <w:rFonts w:ascii="Arial" w:hAnsi="Arial" w:cs="Arial"/>
          <w:sz w:val="24"/>
          <w:szCs w:val="24"/>
          <w:lang w:val="en-US"/>
        </w:rPr>
        <w:t>Secondly, upon such a construction the right of pre-emption would be circumvented or rendered nugatory by adding something to an offer to</w:t>
      </w:r>
      <w:r w:rsidR="00AB34E4">
        <w:rPr>
          <w:rFonts w:ascii="Arial" w:hAnsi="Arial" w:cs="Arial"/>
          <w:sz w:val="24"/>
          <w:szCs w:val="24"/>
          <w:lang w:val="en-US"/>
        </w:rPr>
        <w:t xml:space="preserve"> purchase the two portions. That</w:t>
      </w:r>
      <w:r w:rsidR="00D53C15">
        <w:rPr>
          <w:rFonts w:ascii="Arial" w:hAnsi="Arial" w:cs="Arial"/>
          <w:sz w:val="24"/>
          <w:szCs w:val="24"/>
          <w:lang w:val="en-US"/>
        </w:rPr>
        <w:t xml:space="preserve"> would be </w:t>
      </w:r>
      <w:r w:rsidR="00AB34E4">
        <w:rPr>
          <w:rFonts w:ascii="Arial" w:hAnsi="Arial" w:cs="Arial"/>
          <w:sz w:val="24"/>
          <w:szCs w:val="24"/>
          <w:lang w:val="en-US"/>
        </w:rPr>
        <w:t>so</w:t>
      </w:r>
      <w:r w:rsidR="00D53C15">
        <w:rPr>
          <w:rFonts w:ascii="Arial" w:hAnsi="Arial" w:cs="Arial"/>
          <w:sz w:val="24"/>
          <w:szCs w:val="24"/>
          <w:lang w:val="en-US"/>
        </w:rPr>
        <w:t xml:space="preserve"> </w:t>
      </w:r>
      <w:proofErr w:type="spellStart"/>
      <w:r w:rsidR="00D53C15">
        <w:rPr>
          <w:rFonts w:ascii="Arial" w:hAnsi="Arial" w:cs="Arial"/>
          <w:sz w:val="24"/>
          <w:szCs w:val="24"/>
          <w:lang w:val="en-US"/>
        </w:rPr>
        <w:t>unbusinesslike</w:t>
      </w:r>
      <w:proofErr w:type="spellEnd"/>
      <w:r w:rsidR="00D53C15">
        <w:rPr>
          <w:rFonts w:ascii="Arial" w:hAnsi="Arial" w:cs="Arial"/>
          <w:sz w:val="24"/>
          <w:szCs w:val="24"/>
          <w:lang w:val="en-US"/>
        </w:rPr>
        <w:t xml:space="preserve"> and insensible </w:t>
      </w:r>
      <w:r w:rsidR="00AB34E4">
        <w:rPr>
          <w:rFonts w:ascii="Arial" w:hAnsi="Arial" w:cs="Arial"/>
          <w:sz w:val="24"/>
          <w:szCs w:val="24"/>
          <w:lang w:val="en-US"/>
        </w:rPr>
        <w:t xml:space="preserve">that </w:t>
      </w:r>
      <w:r w:rsidR="00D53C15">
        <w:rPr>
          <w:rFonts w:ascii="Arial" w:hAnsi="Arial" w:cs="Arial"/>
          <w:sz w:val="24"/>
          <w:szCs w:val="24"/>
          <w:lang w:val="en-US"/>
        </w:rPr>
        <w:t xml:space="preserve">the parties could </w:t>
      </w:r>
      <w:r w:rsidR="00AB34E4">
        <w:rPr>
          <w:rFonts w:ascii="Arial" w:hAnsi="Arial" w:cs="Arial"/>
          <w:sz w:val="24"/>
          <w:szCs w:val="24"/>
          <w:lang w:val="en-US"/>
        </w:rPr>
        <w:t xml:space="preserve">not </w:t>
      </w:r>
      <w:r w:rsidR="00D53C15">
        <w:rPr>
          <w:rFonts w:ascii="Arial" w:hAnsi="Arial" w:cs="Arial"/>
          <w:sz w:val="24"/>
          <w:szCs w:val="24"/>
          <w:lang w:val="en-US"/>
        </w:rPr>
        <w:t>have intended</w:t>
      </w:r>
      <w:r w:rsidR="00AB34E4">
        <w:rPr>
          <w:rFonts w:ascii="Arial" w:hAnsi="Arial" w:cs="Arial"/>
          <w:sz w:val="24"/>
          <w:szCs w:val="24"/>
          <w:lang w:val="en-US"/>
        </w:rPr>
        <w:t xml:space="preserve"> it</w:t>
      </w:r>
      <w:r w:rsidR="00D53C15">
        <w:rPr>
          <w:rFonts w:ascii="Arial" w:hAnsi="Arial" w:cs="Arial"/>
          <w:sz w:val="24"/>
          <w:szCs w:val="24"/>
          <w:lang w:val="en-US"/>
        </w:rPr>
        <w:t xml:space="preserve">. For these reasons I agree with the high court’s finding that the rights of the appellant in terms of clause </w:t>
      </w:r>
      <w:r w:rsidR="00AB34E4">
        <w:rPr>
          <w:rFonts w:ascii="Arial" w:hAnsi="Arial" w:cs="Arial"/>
          <w:sz w:val="24"/>
          <w:szCs w:val="24"/>
          <w:lang w:val="en-US"/>
        </w:rPr>
        <w:t xml:space="preserve">10 </w:t>
      </w:r>
      <w:r w:rsidR="00D53C15">
        <w:rPr>
          <w:rFonts w:ascii="Arial" w:hAnsi="Arial" w:cs="Arial"/>
          <w:sz w:val="24"/>
          <w:szCs w:val="24"/>
          <w:lang w:val="en-US"/>
        </w:rPr>
        <w:t xml:space="preserve">had been activated. I therefore turn to the issue of remedy. </w:t>
      </w:r>
    </w:p>
    <w:p w14:paraId="2F706F40" w14:textId="77777777" w:rsidR="007C47B0" w:rsidRDefault="007C47B0" w:rsidP="00B05C8E">
      <w:pPr>
        <w:rPr>
          <w:rFonts w:ascii="Arial" w:hAnsi="Arial" w:cs="Arial"/>
          <w:lang w:val="en-US"/>
        </w:rPr>
      </w:pPr>
    </w:p>
    <w:p w14:paraId="69ED6395" w14:textId="7FF20CC5" w:rsidR="00D53C15" w:rsidRPr="00D53C15" w:rsidRDefault="00D53C15" w:rsidP="00B05C8E">
      <w:pPr>
        <w:rPr>
          <w:rFonts w:ascii="Arial" w:hAnsi="Arial" w:cs="Arial"/>
          <w:b/>
          <w:sz w:val="24"/>
          <w:szCs w:val="24"/>
          <w:lang w:val="en-US"/>
        </w:rPr>
      </w:pPr>
      <w:r w:rsidRPr="00D53C15">
        <w:rPr>
          <w:rFonts w:ascii="Arial" w:hAnsi="Arial" w:cs="Arial"/>
          <w:b/>
          <w:sz w:val="24"/>
          <w:szCs w:val="24"/>
          <w:lang w:val="en-US"/>
        </w:rPr>
        <w:t>Remedy</w:t>
      </w:r>
    </w:p>
    <w:p w14:paraId="5C006E7D" w14:textId="410A6B07" w:rsidR="00020D0C" w:rsidRDefault="007C47B0" w:rsidP="00F42BFD">
      <w:pPr>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F42BFD">
        <w:rPr>
          <w:rFonts w:ascii="Arial" w:hAnsi="Arial" w:cs="Arial"/>
          <w:sz w:val="24"/>
          <w:szCs w:val="24"/>
          <w:lang w:val="en-US"/>
        </w:rPr>
        <w:t xml:space="preserve">The high court determined the content of the rights of the appellant in these terms: </w:t>
      </w:r>
    </w:p>
    <w:p w14:paraId="0BC6FCEF" w14:textId="4716D100" w:rsidR="00F42BFD" w:rsidRPr="00F42BFD" w:rsidRDefault="00F42BFD" w:rsidP="00F42BFD">
      <w:pPr>
        <w:rPr>
          <w:rFonts w:ascii="Arial" w:hAnsi="Arial" w:cs="Arial"/>
          <w:lang w:val="en-US"/>
        </w:rPr>
      </w:pPr>
      <w:r>
        <w:rPr>
          <w:rFonts w:ascii="Arial" w:hAnsi="Arial" w:cs="Arial"/>
          <w:lang w:val="en-US"/>
        </w:rPr>
        <w:t xml:space="preserve">‘Upon the triggering of the right, the first respondent became obliged, according to the tenor of clause 10 of the lease, to give the applicant written notice specifying the terms and conditions of the offer it had received from </w:t>
      </w:r>
      <w:proofErr w:type="spellStart"/>
      <w:r>
        <w:rPr>
          <w:rFonts w:ascii="Arial" w:hAnsi="Arial" w:cs="Arial"/>
          <w:lang w:val="en-US"/>
        </w:rPr>
        <w:t>Swellendam</w:t>
      </w:r>
      <w:proofErr w:type="spellEnd"/>
      <w:r>
        <w:rPr>
          <w:rFonts w:ascii="Arial" w:hAnsi="Arial" w:cs="Arial"/>
          <w:lang w:val="en-US"/>
        </w:rPr>
        <w:t xml:space="preserve"> </w:t>
      </w:r>
      <w:proofErr w:type="spellStart"/>
      <w:r>
        <w:rPr>
          <w:rFonts w:ascii="Arial" w:hAnsi="Arial" w:cs="Arial"/>
          <w:lang w:val="en-US"/>
        </w:rPr>
        <w:t>Plase</w:t>
      </w:r>
      <w:proofErr w:type="spellEnd"/>
      <w:r>
        <w:rPr>
          <w:rFonts w:ascii="Arial" w:hAnsi="Arial" w:cs="Arial"/>
          <w:lang w:val="en-US"/>
        </w:rPr>
        <w:t xml:space="preserve"> and the applicant would thereafter have 14 days in which to indicate by written notice to the first respondent whether or not it intended to acquire the property on same terms and conditions. In other words, in exercising the right to acquire the two erven on the same terms and conditions as the third party was prepared to do, the applicant would, in the circumstances of the offer made by </w:t>
      </w:r>
      <w:proofErr w:type="spellStart"/>
      <w:r>
        <w:rPr>
          <w:rFonts w:ascii="Arial" w:hAnsi="Arial" w:cs="Arial"/>
          <w:lang w:val="en-US"/>
        </w:rPr>
        <w:t>Swellendam</w:t>
      </w:r>
      <w:proofErr w:type="spellEnd"/>
      <w:r>
        <w:rPr>
          <w:rFonts w:ascii="Arial" w:hAnsi="Arial" w:cs="Arial"/>
          <w:lang w:val="en-US"/>
        </w:rPr>
        <w:t xml:space="preserve"> </w:t>
      </w:r>
      <w:proofErr w:type="spellStart"/>
      <w:r>
        <w:rPr>
          <w:rFonts w:ascii="Arial" w:hAnsi="Arial" w:cs="Arial"/>
          <w:lang w:val="en-US"/>
        </w:rPr>
        <w:t>Plase</w:t>
      </w:r>
      <w:proofErr w:type="spellEnd"/>
      <w:r>
        <w:rPr>
          <w:rFonts w:ascii="Arial" w:hAnsi="Arial" w:cs="Arial"/>
          <w:lang w:val="en-US"/>
        </w:rPr>
        <w:t xml:space="preserve">, </w:t>
      </w:r>
      <w:r w:rsidR="009D58CF">
        <w:rPr>
          <w:rFonts w:ascii="Arial" w:hAnsi="Arial" w:cs="Arial"/>
          <w:lang w:val="en-US"/>
        </w:rPr>
        <w:t xml:space="preserve">have to purchase the whole farm for R17 million. It would have to take the whole package </w:t>
      </w:r>
      <w:r w:rsidR="00CF0171">
        <w:rPr>
          <w:rFonts w:ascii="Arial" w:hAnsi="Arial" w:cs="Arial"/>
          <w:lang w:val="en-US"/>
        </w:rPr>
        <w:t xml:space="preserve">because the package </w:t>
      </w:r>
      <w:r w:rsidR="009D58CF">
        <w:rPr>
          <w:rFonts w:ascii="Arial" w:hAnsi="Arial" w:cs="Arial"/>
          <w:lang w:val="en-US"/>
        </w:rPr>
        <w:t xml:space="preserve">deal reflected the terms and conditions upon which </w:t>
      </w:r>
      <w:proofErr w:type="spellStart"/>
      <w:r w:rsidR="009D58CF">
        <w:rPr>
          <w:rFonts w:ascii="Arial" w:hAnsi="Arial" w:cs="Arial"/>
          <w:lang w:val="en-US"/>
        </w:rPr>
        <w:t>Swellendam</w:t>
      </w:r>
      <w:proofErr w:type="spellEnd"/>
      <w:r w:rsidR="009D58CF">
        <w:rPr>
          <w:rFonts w:ascii="Arial" w:hAnsi="Arial" w:cs="Arial"/>
          <w:lang w:val="en-US"/>
        </w:rPr>
        <w:t xml:space="preserve"> </w:t>
      </w:r>
      <w:proofErr w:type="spellStart"/>
      <w:r w:rsidR="009D58CF">
        <w:rPr>
          <w:rFonts w:ascii="Arial" w:hAnsi="Arial" w:cs="Arial"/>
          <w:lang w:val="en-US"/>
        </w:rPr>
        <w:t>Plase</w:t>
      </w:r>
      <w:proofErr w:type="spellEnd"/>
      <w:r w:rsidR="009D58CF">
        <w:rPr>
          <w:rFonts w:ascii="Arial" w:hAnsi="Arial" w:cs="Arial"/>
          <w:lang w:val="en-US"/>
        </w:rPr>
        <w:t xml:space="preserve"> would acquire the pre-emption property. That would be to give effect to the plain meaning of the language of clause 10.’</w:t>
      </w:r>
    </w:p>
    <w:p w14:paraId="4B7901EC" w14:textId="77777777" w:rsidR="00CA1EEE" w:rsidRDefault="00CA1EEE" w:rsidP="00B05C8E">
      <w:pPr>
        <w:rPr>
          <w:rFonts w:ascii="Arial" w:hAnsi="Arial" w:cs="Arial"/>
          <w:lang w:val="en-US"/>
        </w:rPr>
      </w:pPr>
    </w:p>
    <w:p w14:paraId="7C4BA19C" w14:textId="3766A70A" w:rsidR="00CA1EEE" w:rsidRDefault="00CA1EEE" w:rsidP="00B05C8E">
      <w:pPr>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5A4391">
        <w:rPr>
          <w:rFonts w:ascii="Arial" w:hAnsi="Arial" w:cs="Arial"/>
          <w:sz w:val="24"/>
          <w:szCs w:val="24"/>
          <w:lang w:val="en-US"/>
        </w:rPr>
        <w:t xml:space="preserve">I am unable to agree with this conclusion. The decision of this court in </w:t>
      </w:r>
      <w:proofErr w:type="spellStart"/>
      <w:r w:rsidR="005A4391" w:rsidRPr="00674B64">
        <w:rPr>
          <w:rFonts w:ascii="Arial" w:hAnsi="Arial" w:cs="Arial"/>
          <w:i/>
          <w:sz w:val="24"/>
          <w:szCs w:val="24"/>
          <w:lang w:val="en-US"/>
        </w:rPr>
        <w:t>Brocsand</w:t>
      </w:r>
      <w:proofErr w:type="spellEnd"/>
      <w:r w:rsidR="005A4391" w:rsidRPr="00674B64">
        <w:rPr>
          <w:rFonts w:ascii="Arial" w:hAnsi="Arial" w:cs="Arial"/>
          <w:i/>
          <w:sz w:val="24"/>
          <w:szCs w:val="24"/>
          <w:lang w:val="en-US"/>
        </w:rPr>
        <w:t xml:space="preserve"> (Pty) Ltd v Tip Trans Resources</w:t>
      </w:r>
      <w:r w:rsidR="00674B64" w:rsidRPr="00674B64">
        <w:rPr>
          <w:rFonts w:ascii="Arial" w:hAnsi="Arial" w:cs="Arial"/>
          <w:i/>
          <w:sz w:val="24"/>
          <w:szCs w:val="24"/>
          <w:lang w:val="en-US"/>
        </w:rPr>
        <w:t xml:space="preserve"> and Others </w:t>
      </w:r>
      <w:r w:rsidR="00674B64">
        <w:rPr>
          <w:rFonts w:ascii="Arial" w:hAnsi="Arial" w:cs="Arial"/>
          <w:sz w:val="24"/>
          <w:szCs w:val="24"/>
          <w:lang w:val="en-US"/>
        </w:rPr>
        <w:t>[2020] ZASCA 144; 2021 (5) SA 457 (SCA) para 17, serves as a convenient starting point</w:t>
      </w:r>
      <w:r w:rsidR="00E3733A">
        <w:rPr>
          <w:rFonts w:ascii="Arial" w:hAnsi="Arial" w:cs="Arial"/>
          <w:sz w:val="24"/>
          <w:szCs w:val="24"/>
          <w:lang w:val="en-US"/>
        </w:rPr>
        <w:t xml:space="preserve">: </w:t>
      </w:r>
    </w:p>
    <w:p w14:paraId="7822EB25" w14:textId="4AA37887" w:rsidR="00E3733A" w:rsidRDefault="00E3733A" w:rsidP="00B05C8E">
      <w:pPr>
        <w:rPr>
          <w:rFonts w:ascii="Arial" w:hAnsi="Arial" w:cs="Arial"/>
          <w:lang w:val="en-US"/>
        </w:rPr>
      </w:pPr>
      <w:r>
        <w:rPr>
          <w:rFonts w:ascii="Arial" w:hAnsi="Arial" w:cs="Arial"/>
          <w:lang w:val="en-US"/>
        </w:rPr>
        <w:lastRenderedPageBreak/>
        <w:t>‘</w:t>
      </w:r>
      <w:proofErr w:type="spellStart"/>
      <w:r>
        <w:rPr>
          <w:rFonts w:ascii="Arial" w:hAnsi="Arial" w:cs="Arial"/>
          <w:lang w:val="en-US"/>
        </w:rPr>
        <w:t>Brocsand’s</w:t>
      </w:r>
      <w:proofErr w:type="spellEnd"/>
      <w:r>
        <w:rPr>
          <w:rFonts w:ascii="Arial" w:hAnsi="Arial" w:cs="Arial"/>
          <w:lang w:val="en-US"/>
        </w:rPr>
        <w:t xml:space="preserve"> right of first refusal had a specific content. It was </w:t>
      </w:r>
      <w:r w:rsidR="00CF0171">
        <w:rPr>
          <w:rFonts w:ascii="Arial" w:hAnsi="Arial" w:cs="Arial"/>
          <w:lang w:val="en-US"/>
        </w:rPr>
        <w:t>the right “to enter into a new a</w:t>
      </w:r>
      <w:r>
        <w:rPr>
          <w:rFonts w:ascii="Arial" w:hAnsi="Arial" w:cs="Arial"/>
          <w:lang w:val="en-US"/>
        </w:rPr>
        <w:t xml:space="preserve">greement </w:t>
      </w:r>
      <w:r w:rsidR="00CF0171">
        <w:rPr>
          <w:rFonts w:ascii="Arial" w:hAnsi="Arial" w:cs="Arial"/>
          <w:lang w:val="en-US"/>
        </w:rPr>
        <w:t xml:space="preserve">with the </w:t>
      </w:r>
      <w:r>
        <w:rPr>
          <w:rFonts w:ascii="Arial" w:hAnsi="Arial" w:cs="Arial"/>
          <w:lang w:val="en-US"/>
        </w:rPr>
        <w:t xml:space="preserve">Holder for the appointment . . . to </w:t>
      </w:r>
      <w:r w:rsidR="00CF0171">
        <w:rPr>
          <w:rFonts w:ascii="Arial" w:hAnsi="Arial" w:cs="Arial"/>
          <w:lang w:val="en-US"/>
        </w:rPr>
        <w:t>render</w:t>
      </w:r>
      <w:r>
        <w:rPr>
          <w:rFonts w:ascii="Arial" w:hAnsi="Arial" w:cs="Arial"/>
          <w:lang w:val="en-US"/>
        </w:rPr>
        <w:t xml:space="preserve"> mining services in respect of the Minerals on the Prope</w:t>
      </w:r>
      <w:r w:rsidR="00AB34E4">
        <w:rPr>
          <w:rFonts w:ascii="Arial" w:hAnsi="Arial" w:cs="Arial"/>
          <w:lang w:val="en-US"/>
        </w:rPr>
        <w:t>rty”, that is, a right against Full S</w:t>
      </w:r>
      <w:r>
        <w:rPr>
          <w:rFonts w:ascii="Arial" w:hAnsi="Arial" w:cs="Arial"/>
          <w:lang w:val="en-US"/>
        </w:rPr>
        <w:t>core in the r</w:t>
      </w:r>
      <w:r w:rsidR="00AB34E4">
        <w:rPr>
          <w:rFonts w:ascii="Arial" w:hAnsi="Arial" w:cs="Arial"/>
          <w:lang w:val="en-US"/>
        </w:rPr>
        <w:t>espect of laterite and sand on Red H</w:t>
      </w:r>
      <w:r>
        <w:rPr>
          <w:rFonts w:ascii="Arial" w:hAnsi="Arial" w:cs="Arial"/>
          <w:lang w:val="en-US"/>
        </w:rPr>
        <w:t>ill. As a matter of logic, the content of a right cannot change because of a breach thereof, not even when the breach takes place by collusion.’</w:t>
      </w:r>
    </w:p>
    <w:p w14:paraId="2D387F21" w14:textId="49690518" w:rsidR="00E3733A" w:rsidRPr="00E3733A" w:rsidRDefault="00E3733A" w:rsidP="00B05C8E">
      <w:pPr>
        <w:rPr>
          <w:rFonts w:ascii="Arial" w:hAnsi="Arial" w:cs="Arial"/>
          <w:sz w:val="24"/>
          <w:szCs w:val="24"/>
          <w:lang w:val="en-US"/>
        </w:rPr>
      </w:pPr>
      <w:r>
        <w:rPr>
          <w:rFonts w:ascii="Arial" w:hAnsi="Arial" w:cs="Arial"/>
          <w:sz w:val="24"/>
          <w:szCs w:val="24"/>
          <w:lang w:val="en-US"/>
        </w:rPr>
        <w:t>See also para 25. The appellant’s rights must, of course, be determined by a proper construction of clause 10.</w:t>
      </w:r>
    </w:p>
    <w:p w14:paraId="38472A74" w14:textId="77777777" w:rsidR="00CA1EEE" w:rsidRDefault="00CA1EEE" w:rsidP="00B05C8E">
      <w:pPr>
        <w:rPr>
          <w:rFonts w:ascii="Arial" w:hAnsi="Arial" w:cs="Arial"/>
          <w:sz w:val="24"/>
          <w:szCs w:val="24"/>
          <w:lang w:val="en-US"/>
        </w:rPr>
      </w:pPr>
    </w:p>
    <w:p w14:paraId="006D7EE6" w14:textId="19B64954" w:rsidR="00CA1EEE" w:rsidRDefault="00CA1EEE" w:rsidP="00B05C8E">
      <w:pPr>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E3733A">
        <w:rPr>
          <w:rFonts w:ascii="Arial" w:hAnsi="Arial" w:cs="Arial"/>
          <w:sz w:val="24"/>
          <w:szCs w:val="24"/>
          <w:lang w:val="en-US"/>
        </w:rPr>
        <w:t>In terms of clause 10 the appellant clearly has no more than the ‘right of first refusal to purchase the Premises’, that is, the two portions. In context the expressions ‘such</w:t>
      </w:r>
      <w:r w:rsidR="00393609">
        <w:rPr>
          <w:rFonts w:ascii="Arial" w:hAnsi="Arial" w:cs="Arial"/>
          <w:sz w:val="24"/>
          <w:szCs w:val="24"/>
          <w:lang w:val="en-US"/>
        </w:rPr>
        <w:t xml:space="preserve"> offer’ and ‘the offer’ refer</w:t>
      </w:r>
      <w:r w:rsidR="00E3733A">
        <w:rPr>
          <w:rFonts w:ascii="Arial" w:hAnsi="Arial" w:cs="Arial"/>
          <w:sz w:val="24"/>
          <w:szCs w:val="24"/>
          <w:lang w:val="en-US"/>
        </w:rPr>
        <w:t xml:space="preserve"> to the offer that the respondent is obliged to make to the appellant for the purchase of ‘the Premises’. That offer has to be the same or not less </w:t>
      </w:r>
      <w:proofErr w:type="spellStart"/>
      <w:r w:rsidR="00E3733A">
        <w:rPr>
          <w:rFonts w:ascii="Arial" w:hAnsi="Arial" w:cs="Arial"/>
          <w:sz w:val="24"/>
          <w:szCs w:val="24"/>
          <w:lang w:val="en-US"/>
        </w:rPr>
        <w:t>favourable</w:t>
      </w:r>
      <w:proofErr w:type="spellEnd"/>
      <w:r w:rsidR="00E3733A">
        <w:rPr>
          <w:rFonts w:ascii="Arial" w:hAnsi="Arial" w:cs="Arial"/>
          <w:sz w:val="24"/>
          <w:szCs w:val="24"/>
          <w:lang w:val="en-US"/>
        </w:rPr>
        <w:t xml:space="preserve"> than that which a bona fide third party offered in respect of the two portions. Thus, the respondent is contractually obliged to determine in good faith what portion of the </w:t>
      </w:r>
      <w:proofErr w:type="spellStart"/>
      <w:r w:rsidR="00E3733A">
        <w:rPr>
          <w:rFonts w:ascii="Arial" w:hAnsi="Arial" w:cs="Arial"/>
          <w:sz w:val="24"/>
          <w:szCs w:val="24"/>
          <w:lang w:val="en-US"/>
        </w:rPr>
        <w:t>Swellendam</w:t>
      </w:r>
      <w:proofErr w:type="spellEnd"/>
      <w:r w:rsidR="00E3733A">
        <w:rPr>
          <w:rFonts w:ascii="Arial" w:hAnsi="Arial" w:cs="Arial"/>
          <w:sz w:val="24"/>
          <w:szCs w:val="24"/>
          <w:lang w:val="en-US"/>
        </w:rPr>
        <w:t xml:space="preserve"> </w:t>
      </w:r>
      <w:proofErr w:type="spellStart"/>
      <w:r w:rsidR="00E3733A">
        <w:rPr>
          <w:rFonts w:ascii="Arial" w:hAnsi="Arial" w:cs="Arial"/>
          <w:sz w:val="24"/>
          <w:szCs w:val="24"/>
          <w:lang w:val="en-US"/>
        </w:rPr>
        <w:t>Plase</w:t>
      </w:r>
      <w:proofErr w:type="spellEnd"/>
      <w:r w:rsidR="00E3733A">
        <w:rPr>
          <w:rFonts w:ascii="Arial" w:hAnsi="Arial" w:cs="Arial"/>
          <w:sz w:val="24"/>
          <w:szCs w:val="24"/>
          <w:lang w:val="en-US"/>
        </w:rPr>
        <w:t xml:space="preserve"> offer pertained to the two portions and to offer that to the appellant. </w:t>
      </w:r>
    </w:p>
    <w:p w14:paraId="7DB0CE9F" w14:textId="77777777" w:rsidR="004D70CF" w:rsidRDefault="004D70CF" w:rsidP="00B05C8E">
      <w:pPr>
        <w:rPr>
          <w:rFonts w:ascii="Arial" w:hAnsi="Arial" w:cs="Arial"/>
          <w:sz w:val="24"/>
          <w:szCs w:val="24"/>
          <w:lang w:val="en-US"/>
        </w:rPr>
      </w:pPr>
    </w:p>
    <w:p w14:paraId="02F3A16D" w14:textId="4C5D5EDE" w:rsidR="004D70CF" w:rsidRDefault="004D70CF" w:rsidP="00B05C8E">
      <w:pPr>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E3733A">
        <w:rPr>
          <w:rFonts w:ascii="Arial" w:hAnsi="Arial" w:cs="Arial"/>
          <w:sz w:val="24"/>
          <w:szCs w:val="24"/>
          <w:lang w:val="en-US"/>
        </w:rPr>
        <w:t>As I have indicated</w:t>
      </w:r>
      <w:r w:rsidR="00970F31">
        <w:rPr>
          <w:rFonts w:ascii="Arial" w:hAnsi="Arial" w:cs="Arial"/>
          <w:sz w:val="24"/>
          <w:szCs w:val="24"/>
          <w:lang w:val="en-US"/>
        </w:rPr>
        <w:t xml:space="preserve">, the appellant contended that the evidence proved that the respondent and </w:t>
      </w:r>
      <w:proofErr w:type="spellStart"/>
      <w:r w:rsidR="00970F31">
        <w:rPr>
          <w:rFonts w:ascii="Arial" w:hAnsi="Arial" w:cs="Arial"/>
          <w:sz w:val="24"/>
          <w:szCs w:val="24"/>
          <w:lang w:val="en-US"/>
        </w:rPr>
        <w:t>Swellendam</w:t>
      </w:r>
      <w:proofErr w:type="spellEnd"/>
      <w:r w:rsidR="00970F31">
        <w:rPr>
          <w:rFonts w:ascii="Arial" w:hAnsi="Arial" w:cs="Arial"/>
          <w:sz w:val="24"/>
          <w:szCs w:val="24"/>
          <w:lang w:val="en-US"/>
        </w:rPr>
        <w:t xml:space="preserve"> </w:t>
      </w:r>
      <w:proofErr w:type="spellStart"/>
      <w:r w:rsidR="00970F31">
        <w:rPr>
          <w:rFonts w:ascii="Arial" w:hAnsi="Arial" w:cs="Arial"/>
          <w:sz w:val="24"/>
          <w:szCs w:val="24"/>
          <w:lang w:val="en-US"/>
        </w:rPr>
        <w:t>Plase</w:t>
      </w:r>
      <w:proofErr w:type="spellEnd"/>
      <w:r w:rsidR="00970F31">
        <w:rPr>
          <w:rFonts w:ascii="Arial" w:hAnsi="Arial" w:cs="Arial"/>
          <w:sz w:val="24"/>
          <w:szCs w:val="24"/>
          <w:lang w:val="en-US"/>
        </w:rPr>
        <w:t xml:space="preserve"> had agreed on a purchase price of R4 million for the two portions, </w:t>
      </w:r>
      <w:r w:rsidR="002F0A1A">
        <w:rPr>
          <w:rFonts w:ascii="Arial" w:hAnsi="Arial" w:cs="Arial"/>
          <w:sz w:val="24"/>
          <w:szCs w:val="24"/>
          <w:lang w:val="en-US"/>
        </w:rPr>
        <w:t>it</w:t>
      </w:r>
      <w:r w:rsidR="00970F31">
        <w:rPr>
          <w:rFonts w:ascii="Arial" w:hAnsi="Arial" w:cs="Arial"/>
          <w:sz w:val="24"/>
          <w:szCs w:val="24"/>
          <w:lang w:val="en-US"/>
        </w:rPr>
        <w:t xml:space="preserve"> being the fair and reasonable price thereof. I therefore </w:t>
      </w:r>
      <w:r w:rsidR="00393609">
        <w:rPr>
          <w:rFonts w:ascii="Arial" w:hAnsi="Arial" w:cs="Arial"/>
          <w:sz w:val="24"/>
          <w:szCs w:val="24"/>
          <w:lang w:val="en-US"/>
        </w:rPr>
        <w:t xml:space="preserve">proceed to </w:t>
      </w:r>
      <w:proofErr w:type="spellStart"/>
      <w:r w:rsidR="00393609">
        <w:rPr>
          <w:rFonts w:ascii="Arial" w:hAnsi="Arial" w:cs="Arial"/>
          <w:sz w:val="24"/>
          <w:szCs w:val="24"/>
          <w:lang w:val="en-US"/>
        </w:rPr>
        <w:t>analyse</w:t>
      </w:r>
      <w:proofErr w:type="spellEnd"/>
      <w:r w:rsidR="00970F31">
        <w:rPr>
          <w:rFonts w:ascii="Arial" w:hAnsi="Arial" w:cs="Arial"/>
          <w:sz w:val="24"/>
          <w:szCs w:val="24"/>
          <w:lang w:val="en-US"/>
        </w:rPr>
        <w:t xml:space="preserve"> the relevant evidence. </w:t>
      </w:r>
    </w:p>
    <w:p w14:paraId="0C05764B" w14:textId="77777777" w:rsidR="009C11E0" w:rsidRDefault="009C11E0" w:rsidP="00B05C8E">
      <w:pPr>
        <w:rPr>
          <w:rFonts w:ascii="Arial" w:hAnsi="Arial" w:cs="Arial"/>
          <w:sz w:val="24"/>
          <w:szCs w:val="24"/>
          <w:lang w:val="en-US"/>
        </w:rPr>
      </w:pPr>
    </w:p>
    <w:p w14:paraId="4897E0C8" w14:textId="350D5B91" w:rsidR="009C11E0" w:rsidRDefault="009C11E0" w:rsidP="00B05C8E">
      <w:pPr>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BB610A">
        <w:rPr>
          <w:rFonts w:ascii="Arial" w:hAnsi="Arial" w:cs="Arial"/>
          <w:sz w:val="24"/>
          <w:szCs w:val="24"/>
          <w:lang w:val="en-US"/>
        </w:rPr>
        <w:t xml:space="preserve">Over the period from December 2017 to 11 April 2018, </w:t>
      </w:r>
      <w:r w:rsidR="00BD7284">
        <w:rPr>
          <w:rFonts w:ascii="Arial" w:hAnsi="Arial" w:cs="Arial"/>
          <w:sz w:val="24"/>
          <w:szCs w:val="24"/>
          <w:lang w:val="en-US"/>
        </w:rPr>
        <w:t xml:space="preserve">various discussions took place between </w:t>
      </w:r>
      <w:proofErr w:type="spellStart"/>
      <w:r w:rsidR="00BD7284">
        <w:rPr>
          <w:rFonts w:ascii="Arial" w:hAnsi="Arial" w:cs="Arial"/>
          <w:sz w:val="24"/>
          <w:szCs w:val="24"/>
          <w:lang w:val="en-US"/>
        </w:rPr>
        <w:t>Mr</w:t>
      </w:r>
      <w:proofErr w:type="spellEnd"/>
      <w:r w:rsidR="00BD7284">
        <w:rPr>
          <w:rFonts w:ascii="Arial" w:hAnsi="Arial" w:cs="Arial"/>
          <w:sz w:val="24"/>
          <w:szCs w:val="24"/>
          <w:lang w:val="en-US"/>
        </w:rPr>
        <w:t xml:space="preserve"> </w:t>
      </w:r>
      <w:proofErr w:type="spellStart"/>
      <w:r w:rsidR="00BD7284">
        <w:rPr>
          <w:rFonts w:ascii="Arial" w:hAnsi="Arial" w:cs="Arial"/>
          <w:sz w:val="24"/>
          <w:szCs w:val="24"/>
          <w:lang w:val="en-US"/>
        </w:rPr>
        <w:t>Vermaak</w:t>
      </w:r>
      <w:proofErr w:type="spellEnd"/>
      <w:r w:rsidR="00BD7284">
        <w:rPr>
          <w:rFonts w:ascii="Arial" w:hAnsi="Arial" w:cs="Arial"/>
          <w:sz w:val="24"/>
          <w:szCs w:val="24"/>
          <w:lang w:val="en-US"/>
        </w:rPr>
        <w:t xml:space="preserve"> and </w:t>
      </w:r>
      <w:proofErr w:type="spellStart"/>
      <w:r w:rsidR="00BD7284">
        <w:rPr>
          <w:rFonts w:ascii="Arial" w:hAnsi="Arial" w:cs="Arial"/>
          <w:sz w:val="24"/>
          <w:szCs w:val="24"/>
          <w:lang w:val="en-US"/>
        </w:rPr>
        <w:t>Mr</w:t>
      </w:r>
      <w:proofErr w:type="spellEnd"/>
      <w:r w:rsidR="00BD7284">
        <w:rPr>
          <w:rFonts w:ascii="Arial" w:hAnsi="Arial" w:cs="Arial"/>
          <w:sz w:val="24"/>
          <w:szCs w:val="24"/>
          <w:lang w:val="en-US"/>
        </w:rPr>
        <w:t xml:space="preserve"> Schmitz, during which the latter indicated that the respondent would be prepared to sell the two portions for R4 million. On 13 April 2018, as I have said, the lease was concluded. In subsequent discussions up to 10 January 2020, various possibilities in respect of the sale to the appellant of the shares in the respondent, the farm or the two portions were mooted</w:t>
      </w:r>
      <w:r w:rsidR="002F0A1A">
        <w:rPr>
          <w:rFonts w:ascii="Arial" w:hAnsi="Arial" w:cs="Arial"/>
          <w:sz w:val="24"/>
          <w:szCs w:val="24"/>
          <w:lang w:val="en-US"/>
        </w:rPr>
        <w:t>,</w:t>
      </w:r>
      <w:r w:rsidR="00BD7284">
        <w:rPr>
          <w:rFonts w:ascii="Arial" w:hAnsi="Arial" w:cs="Arial"/>
          <w:sz w:val="24"/>
          <w:szCs w:val="24"/>
          <w:lang w:val="en-US"/>
        </w:rPr>
        <w:t xml:space="preserve"> but nothing came thereof. </w:t>
      </w:r>
    </w:p>
    <w:p w14:paraId="796F9131" w14:textId="77777777" w:rsidR="00802BF7" w:rsidRDefault="00802BF7" w:rsidP="00B05C8E">
      <w:pPr>
        <w:rPr>
          <w:rFonts w:ascii="Arial" w:hAnsi="Arial" w:cs="Arial"/>
          <w:sz w:val="24"/>
          <w:szCs w:val="24"/>
          <w:lang w:val="en-US"/>
        </w:rPr>
      </w:pPr>
    </w:p>
    <w:p w14:paraId="6845A363" w14:textId="03C8B87F" w:rsidR="00A16AC1" w:rsidRDefault="00802BF7" w:rsidP="00BD7284">
      <w:pPr>
        <w:rPr>
          <w:rFonts w:ascii="Arial" w:hAnsi="Arial" w:cs="Arial"/>
        </w:rPr>
      </w:pPr>
      <w:r>
        <w:rPr>
          <w:rFonts w:ascii="Arial" w:hAnsi="Arial" w:cs="Arial"/>
          <w:sz w:val="24"/>
          <w:szCs w:val="24"/>
          <w:lang w:val="en-US"/>
        </w:rPr>
        <w:t>[21]</w:t>
      </w:r>
      <w:r>
        <w:rPr>
          <w:rFonts w:ascii="Arial" w:hAnsi="Arial" w:cs="Arial"/>
          <w:sz w:val="24"/>
          <w:szCs w:val="24"/>
          <w:lang w:val="en-US"/>
        </w:rPr>
        <w:tab/>
      </w:r>
      <w:r w:rsidR="00BD7284">
        <w:rPr>
          <w:rFonts w:ascii="Arial" w:hAnsi="Arial" w:cs="Arial"/>
          <w:sz w:val="24"/>
          <w:szCs w:val="24"/>
          <w:lang w:val="en-US"/>
        </w:rPr>
        <w:t xml:space="preserve">During February 2020 </w:t>
      </w:r>
      <w:proofErr w:type="spellStart"/>
      <w:r w:rsidR="00BD7284">
        <w:rPr>
          <w:rFonts w:ascii="Arial" w:hAnsi="Arial" w:cs="Arial"/>
          <w:sz w:val="24"/>
          <w:szCs w:val="24"/>
          <w:lang w:val="en-US"/>
        </w:rPr>
        <w:t>Swellendam</w:t>
      </w:r>
      <w:proofErr w:type="spellEnd"/>
      <w:r w:rsidR="00BD7284">
        <w:rPr>
          <w:rFonts w:ascii="Arial" w:hAnsi="Arial" w:cs="Arial"/>
          <w:sz w:val="24"/>
          <w:szCs w:val="24"/>
          <w:lang w:val="en-US"/>
        </w:rPr>
        <w:t xml:space="preserve"> </w:t>
      </w:r>
      <w:proofErr w:type="spellStart"/>
      <w:r w:rsidR="00BD7284">
        <w:rPr>
          <w:rFonts w:ascii="Arial" w:hAnsi="Arial" w:cs="Arial"/>
          <w:sz w:val="24"/>
          <w:szCs w:val="24"/>
          <w:lang w:val="en-US"/>
        </w:rPr>
        <w:t>Plase</w:t>
      </w:r>
      <w:proofErr w:type="spellEnd"/>
      <w:r w:rsidR="00BD7284">
        <w:rPr>
          <w:rFonts w:ascii="Arial" w:hAnsi="Arial" w:cs="Arial"/>
          <w:sz w:val="24"/>
          <w:szCs w:val="24"/>
          <w:lang w:val="en-US"/>
        </w:rPr>
        <w:t xml:space="preserve">, represented by </w:t>
      </w:r>
      <w:proofErr w:type="spellStart"/>
      <w:r w:rsidR="00BD7284">
        <w:rPr>
          <w:rFonts w:ascii="Arial" w:hAnsi="Arial" w:cs="Arial"/>
          <w:sz w:val="24"/>
          <w:szCs w:val="24"/>
          <w:lang w:val="en-US"/>
        </w:rPr>
        <w:t>Mr</w:t>
      </w:r>
      <w:proofErr w:type="spellEnd"/>
      <w:r w:rsidR="00BD7284">
        <w:rPr>
          <w:rFonts w:ascii="Arial" w:hAnsi="Arial" w:cs="Arial"/>
          <w:sz w:val="24"/>
          <w:szCs w:val="24"/>
          <w:lang w:val="en-US"/>
        </w:rPr>
        <w:t xml:space="preserve"> </w:t>
      </w:r>
      <w:proofErr w:type="spellStart"/>
      <w:r w:rsidR="00BD7284">
        <w:rPr>
          <w:rFonts w:ascii="Arial" w:hAnsi="Arial" w:cs="Arial"/>
          <w:sz w:val="24"/>
          <w:szCs w:val="24"/>
          <w:lang w:val="en-US"/>
        </w:rPr>
        <w:t>Lourens</w:t>
      </w:r>
      <w:proofErr w:type="spellEnd"/>
      <w:r w:rsidR="00BD7284">
        <w:rPr>
          <w:rFonts w:ascii="Arial" w:hAnsi="Arial" w:cs="Arial"/>
          <w:sz w:val="24"/>
          <w:szCs w:val="24"/>
          <w:lang w:val="en-US"/>
        </w:rPr>
        <w:t xml:space="preserve"> van </w:t>
      </w:r>
      <w:proofErr w:type="spellStart"/>
      <w:r w:rsidR="00BD7284">
        <w:rPr>
          <w:rFonts w:ascii="Arial" w:hAnsi="Arial" w:cs="Arial"/>
          <w:sz w:val="24"/>
          <w:szCs w:val="24"/>
          <w:lang w:val="en-US"/>
        </w:rPr>
        <w:t>Eeden</w:t>
      </w:r>
      <w:proofErr w:type="spellEnd"/>
      <w:r w:rsidR="00BD7284">
        <w:rPr>
          <w:rFonts w:ascii="Arial" w:hAnsi="Arial" w:cs="Arial"/>
          <w:sz w:val="24"/>
          <w:szCs w:val="24"/>
          <w:lang w:val="en-US"/>
        </w:rPr>
        <w:t>, showed an interest in acquiring the remaining six portions (other than the</w:t>
      </w:r>
      <w:r w:rsidR="004157F4">
        <w:rPr>
          <w:rFonts w:ascii="Arial" w:hAnsi="Arial" w:cs="Arial"/>
          <w:sz w:val="24"/>
          <w:szCs w:val="24"/>
          <w:lang w:val="en-US"/>
        </w:rPr>
        <w:t xml:space="preserve"> two portions) of the farm. </w:t>
      </w:r>
      <w:proofErr w:type="spellStart"/>
      <w:r w:rsidR="004157F4">
        <w:rPr>
          <w:rFonts w:ascii="Arial" w:hAnsi="Arial" w:cs="Arial"/>
          <w:sz w:val="24"/>
          <w:szCs w:val="24"/>
          <w:lang w:val="en-US"/>
        </w:rPr>
        <w:t>Mr</w:t>
      </w:r>
      <w:proofErr w:type="spellEnd"/>
      <w:r w:rsidR="004157F4">
        <w:rPr>
          <w:rFonts w:ascii="Arial" w:hAnsi="Arial" w:cs="Arial"/>
          <w:sz w:val="24"/>
          <w:szCs w:val="24"/>
          <w:lang w:val="en-US"/>
        </w:rPr>
        <w:t xml:space="preserve"> v</w:t>
      </w:r>
      <w:r w:rsidR="00BD7284">
        <w:rPr>
          <w:rFonts w:ascii="Arial" w:hAnsi="Arial" w:cs="Arial"/>
          <w:sz w:val="24"/>
          <w:szCs w:val="24"/>
          <w:lang w:val="en-US"/>
        </w:rPr>
        <w:t xml:space="preserve">an </w:t>
      </w:r>
      <w:proofErr w:type="spellStart"/>
      <w:r w:rsidR="00BD7284">
        <w:rPr>
          <w:rFonts w:ascii="Arial" w:hAnsi="Arial" w:cs="Arial"/>
          <w:sz w:val="24"/>
          <w:szCs w:val="24"/>
          <w:lang w:val="en-US"/>
        </w:rPr>
        <w:t>Eeden</w:t>
      </w:r>
      <w:proofErr w:type="spellEnd"/>
      <w:r w:rsidR="00BD7284">
        <w:rPr>
          <w:rFonts w:ascii="Arial" w:hAnsi="Arial" w:cs="Arial"/>
          <w:sz w:val="24"/>
          <w:szCs w:val="24"/>
          <w:lang w:val="en-US"/>
        </w:rPr>
        <w:t xml:space="preserve"> inspected the farm on several occasions. On</w:t>
      </w:r>
      <w:r w:rsidR="00A7101A">
        <w:rPr>
          <w:rFonts w:ascii="Arial" w:hAnsi="Arial" w:cs="Arial"/>
          <w:sz w:val="24"/>
          <w:szCs w:val="24"/>
          <w:lang w:val="en-US"/>
        </w:rPr>
        <w:t xml:space="preserve"> 6 March 2020, </w:t>
      </w:r>
      <w:proofErr w:type="spellStart"/>
      <w:r w:rsidR="00A7101A">
        <w:rPr>
          <w:rFonts w:ascii="Arial" w:hAnsi="Arial" w:cs="Arial"/>
          <w:sz w:val="24"/>
          <w:szCs w:val="24"/>
          <w:lang w:val="en-US"/>
        </w:rPr>
        <w:t>Mr</w:t>
      </w:r>
      <w:proofErr w:type="spellEnd"/>
      <w:r w:rsidR="00A7101A">
        <w:rPr>
          <w:rFonts w:ascii="Arial" w:hAnsi="Arial" w:cs="Arial"/>
          <w:sz w:val="24"/>
          <w:szCs w:val="24"/>
          <w:lang w:val="en-US"/>
        </w:rPr>
        <w:t xml:space="preserve"> Schmitz phoned </w:t>
      </w:r>
      <w:proofErr w:type="spellStart"/>
      <w:r w:rsidR="00A7101A">
        <w:rPr>
          <w:rFonts w:ascii="Arial" w:hAnsi="Arial" w:cs="Arial"/>
          <w:sz w:val="24"/>
          <w:szCs w:val="24"/>
          <w:lang w:val="en-US"/>
        </w:rPr>
        <w:t>Mr</w:t>
      </w:r>
      <w:proofErr w:type="spellEnd"/>
      <w:r w:rsidR="00A7101A">
        <w:rPr>
          <w:rFonts w:ascii="Arial" w:hAnsi="Arial" w:cs="Arial"/>
          <w:sz w:val="24"/>
          <w:szCs w:val="24"/>
          <w:lang w:val="en-US"/>
        </w:rPr>
        <w:t xml:space="preserve"> </w:t>
      </w:r>
      <w:proofErr w:type="spellStart"/>
      <w:r w:rsidR="00A7101A">
        <w:rPr>
          <w:rFonts w:ascii="Arial" w:hAnsi="Arial" w:cs="Arial"/>
          <w:sz w:val="24"/>
          <w:szCs w:val="24"/>
          <w:lang w:val="en-US"/>
        </w:rPr>
        <w:t>Vermaak</w:t>
      </w:r>
      <w:proofErr w:type="spellEnd"/>
      <w:r w:rsidR="00A7101A">
        <w:rPr>
          <w:rFonts w:ascii="Arial" w:hAnsi="Arial" w:cs="Arial"/>
          <w:sz w:val="24"/>
          <w:szCs w:val="24"/>
          <w:lang w:val="en-US"/>
        </w:rPr>
        <w:t xml:space="preserve">. </w:t>
      </w:r>
      <w:proofErr w:type="spellStart"/>
      <w:r w:rsidR="00A7101A">
        <w:rPr>
          <w:rFonts w:ascii="Arial" w:hAnsi="Arial" w:cs="Arial"/>
          <w:sz w:val="24"/>
          <w:szCs w:val="24"/>
          <w:lang w:val="en-US"/>
        </w:rPr>
        <w:t>Mr</w:t>
      </w:r>
      <w:proofErr w:type="spellEnd"/>
      <w:r w:rsidR="00A7101A">
        <w:rPr>
          <w:rFonts w:ascii="Arial" w:hAnsi="Arial" w:cs="Arial"/>
          <w:sz w:val="24"/>
          <w:szCs w:val="24"/>
          <w:lang w:val="en-US"/>
        </w:rPr>
        <w:t xml:space="preserve"> Schmitz indicated that there was a purchaser for the six portions. He enquired whether the appellant would still be </w:t>
      </w:r>
      <w:r w:rsidR="00A7101A">
        <w:rPr>
          <w:rFonts w:ascii="Arial" w:hAnsi="Arial" w:cs="Arial"/>
          <w:sz w:val="24"/>
          <w:szCs w:val="24"/>
          <w:lang w:val="en-US"/>
        </w:rPr>
        <w:lastRenderedPageBreak/>
        <w:t xml:space="preserve">interested in purchasing the two portions for R4 million. </w:t>
      </w:r>
      <w:proofErr w:type="spellStart"/>
      <w:r w:rsidR="00A7101A">
        <w:rPr>
          <w:rFonts w:ascii="Arial" w:hAnsi="Arial" w:cs="Arial"/>
          <w:sz w:val="24"/>
          <w:szCs w:val="24"/>
          <w:lang w:val="en-US"/>
        </w:rPr>
        <w:t>Mr</w:t>
      </w:r>
      <w:proofErr w:type="spellEnd"/>
      <w:r w:rsidR="00A7101A">
        <w:rPr>
          <w:rFonts w:ascii="Arial" w:hAnsi="Arial" w:cs="Arial"/>
          <w:sz w:val="24"/>
          <w:szCs w:val="24"/>
          <w:lang w:val="en-US"/>
        </w:rPr>
        <w:t xml:space="preserve"> </w:t>
      </w:r>
      <w:proofErr w:type="spellStart"/>
      <w:r w:rsidR="00A7101A">
        <w:rPr>
          <w:rFonts w:ascii="Arial" w:hAnsi="Arial" w:cs="Arial"/>
          <w:sz w:val="24"/>
          <w:szCs w:val="24"/>
          <w:lang w:val="en-US"/>
        </w:rPr>
        <w:t>Vermaak</w:t>
      </w:r>
      <w:proofErr w:type="spellEnd"/>
      <w:r w:rsidR="00A7101A">
        <w:rPr>
          <w:rFonts w:ascii="Arial" w:hAnsi="Arial" w:cs="Arial"/>
          <w:sz w:val="24"/>
          <w:szCs w:val="24"/>
          <w:lang w:val="en-US"/>
        </w:rPr>
        <w:t xml:space="preserve"> responded in the affirmative. </w:t>
      </w:r>
      <w:r w:rsidR="0022160B">
        <w:rPr>
          <w:rFonts w:ascii="Arial" w:hAnsi="Arial" w:cs="Arial"/>
          <w:sz w:val="24"/>
          <w:szCs w:val="24"/>
          <w:lang w:val="en-US"/>
        </w:rPr>
        <w:t xml:space="preserve">On 12 March 2020, </w:t>
      </w:r>
      <w:proofErr w:type="spellStart"/>
      <w:r w:rsidR="0022160B">
        <w:rPr>
          <w:rFonts w:ascii="Arial" w:hAnsi="Arial" w:cs="Arial"/>
          <w:sz w:val="24"/>
          <w:szCs w:val="24"/>
          <w:lang w:val="en-US"/>
        </w:rPr>
        <w:t>Mr</w:t>
      </w:r>
      <w:proofErr w:type="spellEnd"/>
      <w:r w:rsidR="0022160B">
        <w:rPr>
          <w:rFonts w:ascii="Arial" w:hAnsi="Arial" w:cs="Arial"/>
          <w:sz w:val="24"/>
          <w:szCs w:val="24"/>
          <w:lang w:val="en-US"/>
        </w:rPr>
        <w:t xml:space="preserve"> </w:t>
      </w:r>
      <w:proofErr w:type="spellStart"/>
      <w:r w:rsidR="0022160B">
        <w:rPr>
          <w:rFonts w:ascii="Arial" w:hAnsi="Arial" w:cs="Arial"/>
          <w:sz w:val="24"/>
          <w:szCs w:val="24"/>
          <w:lang w:val="en-US"/>
        </w:rPr>
        <w:t>Vermaak</w:t>
      </w:r>
      <w:proofErr w:type="spellEnd"/>
      <w:r w:rsidR="0022160B">
        <w:rPr>
          <w:rFonts w:ascii="Arial" w:hAnsi="Arial" w:cs="Arial"/>
          <w:sz w:val="24"/>
          <w:szCs w:val="24"/>
          <w:lang w:val="en-US"/>
        </w:rPr>
        <w:t xml:space="preserve"> had a similar conversation with </w:t>
      </w:r>
      <w:proofErr w:type="spellStart"/>
      <w:r w:rsidR="0022160B">
        <w:rPr>
          <w:rFonts w:ascii="Arial" w:hAnsi="Arial" w:cs="Arial"/>
          <w:sz w:val="24"/>
          <w:szCs w:val="24"/>
          <w:lang w:val="en-US"/>
        </w:rPr>
        <w:t>Mr</w:t>
      </w:r>
      <w:proofErr w:type="spellEnd"/>
      <w:r w:rsidR="0022160B">
        <w:rPr>
          <w:rFonts w:ascii="Arial" w:hAnsi="Arial" w:cs="Arial"/>
          <w:sz w:val="24"/>
          <w:szCs w:val="24"/>
          <w:lang w:val="en-US"/>
        </w:rPr>
        <w:t xml:space="preserve"> </w:t>
      </w:r>
      <w:proofErr w:type="spellStart"/>
      <w:r w:rsidR="002F0A1A">
        <w:rPr>
          <w:rFonts w:ascii="Arial" w:hAnsi="Arial" w:cs="Arial"/>
          <w:sz w:val="24"/>
          <w:szCs w:val="24"/>
          <w:lang w:val="en-US"/>
        </w:rPr>
        <w:t>Cornelis</w:t>
      </w:r>
      <w:proofErr w:type="spellEnd"/>
      <w:r w:rsidR="002F0A1A">
        <w:rPr>
          <w:rFonts w:ascii="Arial" w:hAnsi="Arial" w:cs="Arial"/>
          <w:sz w:val="24"/>
          <w:szCs w:val="24"/>
          <w:lang w:val="en-US"/>
        </w:rPr>
        <w:t xml:space="preserve"> van </w:t>
      </w:r>
      <w:proofErr w:type="spellStart"/>
      <w:r w:rsidR="002F0A1A">
        <w:rPr>
          <w:rFonts w:ascii="Arial" w:hAnsi="Arial" w:cs="Arial"/>
          <w:sz w:val="24"/>
          <w:szCs w:val="24"/>
          <w:lang w:val="en-US"/>
        </w:rPr>
        <w:t>Tonder</w:t>
      </w:r>
      <w:proofErr w:type="spellEnd"/>
      <w:r w:rsidR="002F0A1A">
        <w:rPr>
          <w:rFonts w:ascii="Arial" w:hAnsi="Arial" w:cs="Arial"/>
          <w:sz w:val="24"/>
          <w:szCs w:val="24"/>
          <w:lang w:val="en-US"/>
        </w:rPr>
        <w:t>, an</w:t>
      </w:r>
      <w:r w:rsidR="0022160B">
        <w:rPr>
          <w:rFonts w:ascii="Arial" w:hAnsi="Arial" w:cs="Arial"/>
          <w:sz w:val="24"/>
          <w:szCs w:val="24"/>
          <w:lang w:val="en-US"/>
        </w:rPr>
        <w:t xml:space="preserve"> estate agent appointed by the respondent.</w:t>
      </w:r>
      <w:r w:rsidR="00BD7284">
        <w:rPr>
          <w:rFonts w:ascii="Arial" w:hAnsi="Arial" w:cs="Arial"/>
          <w:sz w:val="24"/>
          <w:szCs w:val="24"/>
          <w:lang w:val="en-US"/>
        </w:rPr>
        <w:t xml:space="preserve"> </w:t>
      </w:r>
      <w:proofErr w:type="spellStart"/>
      <w:r w:rsidR="004157F4">
        <w:rPr>
          <w:rFonts w:ascii="Arial" w:hAnsi="Arial" w:cs="Arial"/>
          <w:sz w:val="24"/>
          <w:szCs w:val="24"/>
          <w:lang w:val="en-US"/>
        </w:rPr>
        <w:t>Mr</w:t>
      </w:r>
      <w:proofErr w:type="spellEnd"/>
      <w:r w:rsidR="004157F4">
        <w:rPr>
          <w:rFonts w:ascii="Arial" w:hAnsi="Arial" w:cs="Arial"/>
          <w:sz w:val="24"/>
          <w:szCs w:val="24"/>
          <w:lang w:val="en-US"/>
        </w:rPr>
        <w:t xml:space="preserve"> v</w:t>
      </w:r>
      <w:r w:rsidR="0022160B">
        <w:rPr>
          <w:rFonts w:ascii="Arial" w:hAnsi="Arial" w:cs="Arial"/>
          <w:sz w:val="24"/>
          <w:szCs w:val="24"/>
          <w:lang w:val="en-US"/>
        </w:rPr>
        <w:t xml:space="preserve">an </w:t>
      </w:r>
      <w:proofErr w:type="spellStart"/>
      <w:r w:rsidR="0022160B">
        <w:rPr>
          <w:rFonts w:ascii="Arial" w:hAnsi="Arial" w:cs="Arial"/>
          <w:sz w:val="24"/>
          <w:szCs w:val="24"/>
          <w:lang w:val="en-US"/>
        </w:rPr>
        <w:t>Tonder</w:t>
      </w:r>
      <w:proofErr w:type="spellEnd"/>
      <w:r w:rsidR="0022160B">
        <w:rPr>
          <w:rFonts w:ascii="Arial" w:hAnsi="Arial" w:cs="Arial"/>
          <w:sz w:val="24"/>
          <w:szCs w:val="24"/>
          <w:lang w:val="en-US"/>
        </w:rPr>
        <w:t xml:space="preserve"> disclosed that the prospective purchaser of the six portions was </w:t>
      </w:r>
      <w:proofErr w:type="spellStart"/>
      <w:r w:rsidR="0022160B">
        <w:rPr>
          <w:rFonts w:ascii="Arial" w:hAnsi="Arial" w:cs="Arial"/>
          <w:sz w:val="24"/>
          <w:szCs w:val="24"/>
          <w:lang w:val="en-US"/>
        </w:rPr>
        <w:t>Swellendam</w:t>
      </w:r>
      <w:proofErr w:type="spellEnd"/>
      <w:r w:rsidR="0022160B">
        <w:rPr>
          <w:rFonts w:ascii="Arial" w:hAnsi="Arial" w:cs="Arial"/>
          <w:sz w:val="24"/>
          <w:szCs w:val="24"/>
          <w:lang w:val="en-US"/>
        </w:rPr>
        <w:t xml:space="preserve"> </w:t>
      </w:r>
      <w:proofErr w:type="spellStart"/>
      <w:r w:rsidR="0022160B">
        <w:rPr>
          <w:rFonts w:ascii="Arial" w:hAnsi="Arial" w:cs="Arial"/>
          <w:sz w:val="24"/>
          <w:szCs w:val="24"/>
          <w:lang w:val="en-US"/>
        </w:rPr>
        <w:t>Plase</w:t>
      </w:r>
      <w:proofErr w:type="spellEnd"/>
      <w:r w:rsidR="0022160B">
        <w:rPr>
          <w:rFonts w:ascii="Arial" w:hAnsi="Arial" w:cs="Arial"/>
          <w:sz w:val="24"/>
          <w:szCs w:val="24"/>
          <w:lang w:val="en-US"/>
        </w:rPr>
        <w:t xml:space="preserve">. </w:t>
      </w:r>
    </w:p>
    <w:p w14:paraId="1EFBA3DA" w14:textId="77777777" w:rsidR="008C3428" w:rsidRDefault="008C3428" w:rsidP="00B05C8E">
      <w:pPr>
        <w:ind w:left="709" w:hanging="709"/>
        <w:rPr>
          <w:rFonts w:ascii="Arial" w:hAnsi="Arial" w:cs="Arial"/>
        </w:rPr>
      </w:pPr>
    </w:p>
    <w:p w14:paraId="36C99F90" w14:textId="4E6D7372" w:rsidR="008C3428" w:rsidRDefault="008C3428" w:rsidP="005D0745">
      <w:pPr>
        <w:rPr>
          <w:rFonts w:ascii="Arial" w:hAnsi="Arial" w:cs="Arial"/>
          <w:sz w:val="24"/>
          <w:szCs w:val="24"/>
        </w:rPr>
      </w:pPr>
      <w:r>
        <w:rPr>
          <w:rFonts w:ascii="Arial" w:hAnsi="Arial" w:cs="Arial"/>
          <w:sz w:val="24"/>
          <w:szCs w:val="24"/>
        </w:rPr>
        <w:t>[22]</w:t>
      </w:r>
      <w:r>
        <w:rPr>
          <w:rFonts w:ascii="Arial" w:hAnsi="Arial" w:cs="Arial"/>
          <w:sz w:val="24"/>
          <w:szCs w:val="24"/>
        </w:rPr>
        <w:tab/>
      </w:r>
      <w:r w:rsidR="004157F4">
        <w:rPr>
          <w:rFonts w:ascii="Arial" w:hAnsi="Arial" w:cs="Arial"/>
          <w:sz w:val="24"/>
          <w:szCs w:val="24"/>
        </w:rPr>
        <w:t>On the same day, Mr v</w:t>
      </w:r>
      <w:r w:rsidR="0022160B">
        <w:rPr>
          <w:rFonts w:ascii="Arial" w:hAnsi="Arial" w:cs="Arial"/>
          <w:sz w:val="24"/>
          <w:szCs w:val="24"/>
        </w:rPr>
        <w:t xml:space="preserve">an </w:t>
      </w:r>
      <w:proofErr w:type="spellStart"/>
      <w:r w:rsidR="0022160B">
        <w:rPr>
          <w:rFonts w:ascii="Arial" w:hAnsi="Arial" w:cs="Arial"/>
          <w:sz w:val="24"/>
          <w:szCs w:val="24"/>
        </w:rPr>
        <w:t>Tonder</w:t>
      </w:r>
      <w:proofErr w:type="spellEnd"/>
      <w:r w:rsidR="0022160B">
        <w:rPr>
          <w:rFonts w:ascii="Arial" w:hAnsi="Arial" w:cs="Arial"/>
          <w:sz w:val="24"/>
          <w:szCs w:val="24"/>
        </w:rPr>
        <w:t xml:space="preserve"> sent an email </w:t>
      </w:r>
      <w:r w:rsidR="004157F4">
        <w:rPr>
          <w:rFonts w:ascii="Arial" w:hAnsi="Arial" w:cs="Arial"/>
          <w:sz w:val="24"/>
          <w:szCs w:val="24"/>
        </w:rPr>
        <w:t>to Mr Schmitz, stating that Mr v</w:t>
      </w:r>
      <w:r w:rsidR="0022160B">
        <w:rPr>
          <w:rFonts w:ascii="Arial" w:hAnsi="Arial" w:cs="Arial"/>
          <w:sz w:val="24"/>
          <w:szCs w:val="24"/>
        </w:rPr>
        <w:t xml:space="preserve">an </w:t>
      </w:r>
      <w:proofErr w:type="spellStart"/>
      <w:r w:rsidR="0022160B">
        <w:rPr>
          <w:rFonts w:ascii="Arial" w:hAnsi="Arial" w:cs="Arial"/>
          <w:sz w:val="24"/>
          <w:szCs w:val="24"/>
        </w:rPr>
        <w:t>Eeden</w:t>
      </w:r>
      <w:proofErr w:type="spellEnd"/>
      <w:r w:rsidR="0022160B">
        <w:rPr>
          <w:rFonts w:ascii="Arial" w:hAnsi="Arial" w:cs="Arial"/>
          <w:sz w:val="24"/>
          <w:szCs w:val="24"/>
        </w:rPr>
        <w:t xml:space="preserve"> (</w:t>
      </w:r>
      <w:proofErr w:type="spellStart"/>
      <w:r w:rsidR="0022160B">
        <w:rPr>
          <w:rFonts w:ascii="Arial" w:hAnsi="Arial" w:cs="Arial"/>
          <w:sz w:val="24"/>
          <w:szCs w:val="24"/>
        </w:rPr>
        <w:t>Swellendam</w:t>
      </w:r>
      <w:proofErr w:type="spellEnd"/>
      <w:r w:rsidR="0022160B">
        <w:rPr>
          <w:rFonts w:ascii="Arial" w:hAnsi="Arial" w:cs="Arial"/>
          <w:sz w:val="24"/>
          <w:szCs w:val="24"/>
        </w:rPr>
        <w:t xml:space="preserve"> </w:t>
      </w:r>
      <w:proofErr w:type="spellStart"/>
      <w:r w:rsidR="0022160B">
        <w:rPr>
          <w:rFonts w:ascii="Arial" w:hAnsi="Arial" w:cs="Arial"/>
          <w:sz w:val="24"/>
          <w:szCs w:val="24"/>
        </w:rPr>
        <w:t>Plase</w:t>
      </w:r>
      <w:proofErr w:type="spellEnd"/>
      <w:r w:rsidR="0022160B">
        <w:rPr>
          <w:rFonts w:ascii="Arial" w:hAnsi="Arial" w:cs="Arial"/>
          <w:sz w:val="24"/>
          <w:szCs w:val="24"/>
        </w:rPr>
        <w:t>) had an option to purchase the six portions and that he wished to exercise that option (‘</w:t>
      </w:r>
      <w:proofErr w:type="spellStart"/>
      <w:r w:rsidR="0022160B">
        <w:rPr>
          <w:rFonts w:ascii="Arial" w:hAnsi="Arial" w:cs="Arial"/>
          <w:sz w:val="24"/>
          <w:szCs w:val="24"/>
        </w:rPr>
        <w:t>wil</w:t>
      </w:r>
      <w:proofErr w:type="spellEnd"/>
      <w:r w:rsidR="0022160B">
        <w:rPr>
          <w:rFonts w:ascii="Arial" w:hAnsi="Arial" w:cs="Arial"/>
          <w:sz w:val="24"/>
          <w:szCs w:val="24"/>
        </w:rPr>
        <w:t xml:space="preserve"> </w:t>
      </w:r>
      <w:proofErr w:type="spellStart"/>
      <w:r w:rsidR="0022160B">
        <w:rPr>
          <w:rFonts w:ascii="Arial" w:hAnsi="Arial" w:cs="Arial"/>
          <w:sz w:val="24"/>
          <w:szCs w:val="24"/>
        </w:rPr>
        <w:t>hy</w:t>
      </w:r>
      <w:proofErr w:type="spellEnd"/>
      <w:r w:rsidR="0022160B">
        <w:rPr>
          <w:rFonts w:ascii="Arial" w:hAnsi="Arial" w:cs="Arial"/>
          <w:sz w:val="24"/>
          <w:szCs w:val="24"/>
        </w:rPr>
        <w:t xml:space="preserve"> </w:t>
      </w:r>
      <w:proofErr w:type="spellStart"/>
      <w:r w:rsidR="0022160B">
        <w:rPr>
          <w:rFonts w:ascii="Arial" w:hAnsi="Arial" w:cs="Arial"/>
          <w:sz w:val="24"/>
          <w:szCs w:val="24"/>
        </w:rPr>
        <w:t>graag</w:t>
      </w:r>
      <w:proofErr w:type="spellEnd"/>
      <w:r w:rsidR="0022160B">
        <w:rPr>
          <w:rFonts w:ascii="Arial" w:hAnsi="Arial" w:cs="Arial"/>
          <w:sz w:val="24"/>
          <w:szCs w:val="24"/>
        </w:rPr>
        <w:t xml:space="preserve"> </w:t>
      </w:r>
      <w:proofErr w:type="spellStart"/>
      <w:r w:rsidR="0022160B">
        <w:rPr>
          <w:rFonts w:ascii="Arial" w:hAnsi="Arial" w:cs="Arial"/>
          <w:sz w:val="24"/>
          <w:szCs w:val="24"/>
        </w:rPr>
        <w:t>daardie</w:t>
      </w:r>
      <w:proofErr w:type="spellEnd"/>
      <w:r w:rsidR="0022160B">
        <w:rPr>
          <w:rFonts w:ascii="Arial" w:hAnsi="Arial" w:cs="Arial"/>
          <w:sz w:val="24"/>
          <w:szCs w:val="24"/>
        </w:rPr>
        <w:t xml:space="preserve"> </w:t>
      </w:r>
      <w:proofErr w:type="spellStart"/>
      <w:r w:rsidR="0022160B">
        <w:rPr>
          <w:rFonts w:ascii="Arial" w:hAnsi="Arial" w:cs="Arial"/>
          <w:sz w:val="24"/>
          <w:szCs w:val="24"/>
        </w:rPr>
        <w:t>opsie</w:t>
      </w:r>
      <w:proofErr w:type="spellEnd"/>
      <w:r w:rsidR="0022160B">
        <w:rPr>
          <w:rFonts w:ascii="Arial" w:hAnsi="Arial" w:cs="Arial"/>
          <w:sz w:val="24"/>
          <w:szCs w:val="24"/>
        </w:rPr>
        <w:t xml:space="preserve"> </w:t>
      </w:r>
      <w:proofErr w:type="spellStart"/>
      <w:r w:rsidR="0022160B">
        <w:rPr>
          <w:rFonts w:ascii="Arial" w:hAnsi="Arial" w:cs="Arial"/>
          <w:sz w:val="24"/>
          <w:szCs w:val="24"/>
        </w:rPr>
        <w:t>uitoefen</w:t>
      </w:r>
      <w:proofErr w:type="spellEnd"/>
      <w:r w:rsidR="0022160B">
        <w:rPr>
          <w:rFonts w:ascii="Arial" w:hAnsi="Arial" w:cs="Arial"/>
          <w:sz w:val="24"/>
          <w:szCs w:val="24"/>
        </w:rPr>
        <w:t>’). No such document was produced in the evidence and</w:t>
      </w:r>
      <w:r w:rsidR="004157F4">
        <w:rPr>
          <w:rFonts w:ascii="Arial" w:hAnsi="Arial" w:cs="Arial"/>
          <w:sz w:val="24"/>
          <w:szCs w:val="24"/>
        </w:rPr>
        <w:t xml:space="preserve"> it is unclear what exactly Mr v</w:t>
      </w:r>
      <w:r w:rsidR="0022160B">
        <w:rPr>
          <w:rFonts w:ascii="Arial" w:hAnsi="Arial" w:cs="Arial"/>
          <w:sz w:val="24"/>
          <w:szCs w:val="24"/>
        </w:rPr>
        <w:t xml:space="preserve">an </w:t>
      </w:r>
      <w:proofErr w:type="spellStart"/>
      <w:r w:rsidR="0022160B">
        <w:rPr>
          <w:rFonts w:ascii="Arial" w:hAnsi="Arial" w:cs="Arial"/>
          <w:sz w:val="24"/>
          <w:szCs w:val="24"/>
        </w:rPr>
        <w:t>Tonder</w:t>
      </w:r>
      <w:proofErr w:type="spellEnd"/>
      <w:r w:rsidR="0022160B">
        <w:rPr>
          <w:rFonts w:ascii="Arial" w:hAnsi="Arial" w:cs="Arial"/>
          <w:sz w:val="24"/>
          <w:szCs w:val="24"/>
        </w:rPr>
        <w:t xml:space="preserve"> intended to convey to his client. It did appear from the record that in an email to the respondent’s attorney dated 27 February 2020, Mr Schmitz enquired whether he could sign ‘the option document’. Be that as it may, during separate conversations on 14 </w:t>
      </w:r>
      <w:r w:rsidR="004157F4">
        <w:rPr>
          <w:rFonts w:ascii="Arial" w:hAnsi="Arial" w:cs="Arial"/>
          <w:sz w:val="24"/>
          <w:szCs w:val="24"/>
        </w:rPr>
        <w:t xml:space="preserve">March 2020, both Mr van </w:t>
      </w:r>
      <w:proofErr w:type="spellStart"/>
      <w:r w:rsidR="004157F4">
        <w:rPr>
          <w:rFonts w:ascii="Arial" w:hAnsi="Arial" w:cs="Arial"/>
          <w:sz w:val="24"/>
          <w:szCs w:val="24"/>
        </w:rPr>
        <w:t>Tonder</w:t>
      </w:r>
      <w:proofErr w:type="spellEnd"/>
      <w:r w:rsidR="004157F4">
        <w:rPr>
          <w:rFonts w:ascii="Arial" w:hAnsi="Arial" w:cs="Arial"/>
          <w:sz w:val="24"/>
          <w:szCs w:val="24"/>
        </w:rPr>
        <w:t xml:space="preserve"> and Mr v</w:t>
      </w:r>
      <w:r w:rsidR="0022160B">
        <w:rPr>
          <w:rFonts w:ascii="Arial" w:hAnsi="Arial" w:cs="Arial"/>
          <w:sz w:val="24"/>
          <w:szCs w:val="24"/>
        </w:rPr>
        <w:t xml:space="preserve">an </w:t>
      </w:r>
      <w:proofErr w:type="spellStart"/>
      <w:r w:rsidR="0022160B">
        <w:rPr>
          <w:rFonts w:ascii="Arial" w:hAnsi="Arial" w:cs="Arial"/>
          <w:sz w:val="24"/>
          <w:szCs w:val="24"/>
        </w:rPr>
        <w:t>Eeden</w:t>
      </w:r>
      <w:proofErr w:type="spellEnd"/>
      <w:r w:rsidR="0022160B">
        <w:rPr>
          <w:rFonts w:ascii="Arial" w:hAnsi="Arial" w:cs="Arial"/>
          <w:sz w:val="24"/>
          <w:szCs w:val="24"/>
        </w:rPr>
        <w:t xml:space="preserve"> informed Mr </w:t>
      </w:r>
      <w:proofErr w:type="spellStart"/>
      <w:r w:rsidR="0022160B">
        <w:rPr>
          <w:rFonts w:ascii="Arial" w:hAnsi="Arial" w:cs="Arial"/>
          <w:sz w:val="24"/>
          <w:szCs w:val="24"/>
        </w:rPr>
        <w:t>Vermaak</w:t>
      </w:r>
      <w:proofErr w:type="spellEnd"/>
      <w:r w:rsidR="0022160B">
        <w:rPr>
          <w:rFonts w:ascii="Arial" w:hAnsi="Arial" w:cs="Arial"/>
          <w:sz w:val="24"/>
          <w:szCs w:val="24"/>
        </w:rPr>
        <w:t xml:space="preserve"> that </w:t>
      </w:r>
      <w:proofErr w:type="spellStart"/>
      <w:r w:rsidR="0022160B">
        <w:rPr>
          <w:rFonts w:ascii="Arial" w:hAnsi="Arial" w:cs="Arial"/>
          <w:sz w:val="24"/>
          <w:szCs w:val="24"/>
        </w:rPr>
        <w:t>Swellendam</w:t>
      </w:r>
      <w:proofErr w:type="spellEnd"/>
      <w:r w:rsidR="0022160B">
        <w:rPr>
          <w:rFonts w:ascii="Arial" w:hAnsi="Arial" w:cs="Arial"/>
          <w:sz w:val="24"/>
          <w:szCs w:val="24"/>
        </w:rPr>
        <w:t xml:space="preserve"> </w:t>
      </w:r>
      <w:proofErr w:type="spellStart"/>
      <w:r w:rsidR="0022160B">
        <w:rPr>
          <w:rFonts w:ascii="Arial" w:hAnsi="Arial" w:cs="Arial"/>
          <w:sz w:val="24"/>
          <w:szCs w:val="24"/>
        </w:rPr>
        <w:t>Plase</w:t>
      </w:r>
      <w:proofErr w:type="spellEnd"/>
      <w:r w:rsidR="0022160B">
        <w:rPr>
          <w:rFonts w:ascii="Arial" w:hAnsi="Arial" w:cs="Arial"/>
          <w:sz w:val="24"/>
          <w:szCs w:val="24"/>
        </w:rPr>
        <w:t xml:space="preserve"> would pay R13 million for the six portions. </w:t>
      </w:r>
    </w:p>
    <w:p w14:paraId="4CABB493" w14:textId="77777777" w:rsidR="008C3428" w:rsidRDefault="008C3428" w:rsidP="005D0745">
      <w:pPr>
        <w:ind w:left="709" w:hanging="709"/>
        <w:rPr>
          <w:rFonts w:ascii="Arial" w:hAnsi="Arial" w:cs="Arial"/>
          <w:sz w:val="24"/>
          <w:szCs w:val="24"/>
        </w:rPr>
      </w:pPr>
    </w:p>
    <w:p w14:paraId="723B4A8F" w14:textId="152AD000" w:rsidR="008C3428" w:rsidRDefault="008C3428" w:rsidP="00B05C8E">
      <w:pPr>
        <w:rPr>
          <w:rFonts w:ascii="Arial" w:hAnsi="Arial" w:cs="Arial"/>
          <w:sz w:val="24"/>
          <w:szCs w:val="24"/>
        </w:rPr>
      </w:pPr>
      <w:r>
        <w:rPr>
          <w:rFonts w:ascii="Arial" w:hAnsi="Arial" w:cs="Arial"/>
          <w:sz w:val="24"/>
          <w:szCs w:val="24"/>
        </w:rPr>
        <w:t>[23]</w:t>
      </w:r>
      <w:r>
        <w:rPr>
          <w:rFonts w:ascii="Arial" w:hAnsi="Arial" w:cs="Arial"/>
          <w:sz w:val="24"/>
          <w:szCs w:val="24"/>
        </w:rPr>
        <w:tab/>
      </w:r>
      <w:r w:rsidR="004157F4">
        <w:rPr>
          <w:rFonts w:ascii="Arial" w:hAnsi="Arial" w:cs="Arial"/>
          <w:sz w:val="24"/>
          <w:szCs w:val="24"/>
        </w:rPr>
        <w:t xml:space="preserve">In the answering affidavit Mr </w:t>
      </w:r>
      <w:r w:rsidR="00365C93">
        <w:rPr>
          <w:rFonts w:ascii="Arial" w:hAnsi="Arial" w:cs="Arial"/>
          <w:sz w:val="24"/>
          <w:szCs w:val="24"/>
        </w:rPr>
        <w:t>Schmitz</w:t>
      </w:r>
      <w:r w:rsidR="004157F4">
        <w:rPr>
          <w:rFonts w:ascii="Arial" w:hAnsi="Arial" w:cs="Arial"/>
          <w:sz w:val="24"/>
          <w:szCs w:val="24"/>
        </w:rPr>
        <w:t xml:space="preserve"> </w:t>
      </w:r>
      <w:r w:rsidR="0022160B">
        <w:rPr>
          <w:rFonts w:ascii="Arial" w:hAnsi="Arial" w:cs="Arial"/>
          <w:sz w:val="24"/>
          <w:szCs w:val="24"/>
        </w:rPr>
        <w:t>explained what happened thereafter, as follows</w:t>
      </w:r>
      <w:r w:rsidR="004157F4">
        <w:rPr>
          <w:rFonts w:ascii="Arial" w:hAnsi="Arial" w:cs="Arial"/>
          <w:sz w:val="24"/>
          <w:szCs w:val="24"/>
        </w:rPr>
        <w:t xml:space="preserve">: </w:t>
      </w:r>
    </w:p>
    <w:p w14:paraId="3B5B85BB" w14:textId="0A1F7D3B" w:rsidR="004157F4" w:rsidRDefault="004157F4" w:rsidP="00B05C8E">
      <w:pPr>
        <w:rPr>
          <w:rFonts w:ascii="Arial" w:hAnsi="Arial" w:cs="Arial"/>
        </w:rPr>
      </w:pPr>
      <w:r>
        <w:rPr>
          <w:rFonts w:ascii="Arial" w:hAnsi="Arial" w:cs="Arial"/>
        </w:rPr>
        <w:t xml:space="preserve">’We proceeded to engage in negotiations. After a further visit to the farm Mr van </w:t>
      </w:r>
      <w:proofErr w:type="spellStart"/>
      <w:r>
        <w:rPr>
          <w:rFonts w:ascii="Arial" w:hAnsi="Arial" w:cs="Arial"/>
        </w:rPr>
        <w:t>Eeden</w:t>
      </w:r>
      <w:proofErr w:type="spellEnd"/>
      <w:r w:rsidR="00B96974">
        <w:rPr>
          <w:rFonts w:ascii="Arial" w:hAnsi="Arial" w:cs="Arial"/>
        </w:rPr>
        <w:t xml:space="preserve"> informed me that the value of the two portions leased by the applicant was higher than R5 million, while the remaining six portions were not worth R13 million. He would prefer buying the whole farm. Mr van </w:t>
      </w:r>
      <w:proofErr w:type="spellStart"/>
      <w:r w:rsidR="00B96974">
        <w:rPr>
          <w:rFonts w:ascii="Arial" w:hAnsi="Arial" w:cs="Arial"/>
        </w:rPr>
        <w:t>Tonder</w:t>
      </w:r>
      <w:proofErr w:type="spellEnd"/>
      <w:r w:rsidR="00B96974">
        <w:rPr>
          <w:rFonts w:ascii="Arial" w:hAnsi="Arial" w:cs="Arial"/>
        </w:rPr>
        <w:t xml:space="preserve"> subsequently informed me that the buyer wanted to purchase the whole farm and not only the remaining six portions separately (the relevant email correspondence is attached as “GS20”). </w:t>
      </w:r>
    </w:p>
    <w:p w14:paraId="5D28FAF2" w14:textId="11EA4341" w:rsidR="00B96974" w:rsidRDefault="00157370" w:rsidP="00B05C8E">
      <w:pPr>
        <w:rPr>
          <w:rFonts w:ascii="Arial" w:hAnsi="Arial" w:cs="Arial"/>
        </w:rPr>
      </w:pPr>
      <w:r>
        <w:rPr>
          <w:rFonts w:ascii="Arial" w:hAnsi="Arial" w:cs="Arial"/>
        </w:rPr>
        <w:t xml:space="preserve">On 25 March 2020 I went to the farm for the eviction of Mr Botha. On this day I also inspected the condition of the buildings and the land together with Mr van </w:t>
      </w:r>
      <w:proofErr w:type="spellStart"/>
      <w:r>
        <w:rPr>
          <w:rFonts w:ascii="Arial" w:hAnsi="Arial" w:cs="Arial"/>
        </w:rPr>
        <w:t>Eeden</w:t>
      </w:r>
      <w:proofErr w:type="spellEnd"/>
      <w:r>
        <w:rPr>
          <w:rFonts w:ascii="Arial" w:hAnsi="Arial" w:cs="Arial"/>
        </w:rPr>
        <w:t xml:space="preserve">. We agreed to reduce the price for the whole farm to R17 million based on the bad condition of the remaining six portions. In agreeing on the purchase price for the farm as a whole, we did not differentiate between the six remaining portions on the one hand, and the two leased portions, on the other hand, save to extent that the six remaining portions were, because of their condition and the funds that </w:t>
      </w:r>
      <w:r w:rsidR="004A1B6A">
        <w:rPr>
          <w:rFonts w:ascii="Arial" w:hAnsi="Arial" w:cs="Arial"/>
        </w:rPr>
        <w:t xml:space="preserve">would be required to rehabilitate them, regarded as having a lower value as opposed to the two leased portions. As subsequently reflected in the </w:t>
      </w:r>
      <w:proofErr w:type="spellStart"/>
      <w:r w:rsidR="004A1B6A">
        <w:rPr>
          <w:rFonts w:ascii="Arial" w:hAnsi="Arial" w:cs="Arial"/>
        </w:rPr>
        <w:t>Swellendam</w:t>
      </w:r>
      <w:proofErr w:type="spellEnd"/>
      <w:r w:rsidR="004A1B6A">
        <w:rPr>
          <w:rFonts w:ascii="Arial" w:hAnsi="Arial" w:cs="Arial"/>
        </w:rPr>
        <w:t xml:space="preserve"> contract, the eight portions were sold as an indivisible transaction.’</w:t>
      </w:r>
    </w:p>
    <w:p w14:paraId="5644E8C1" w14:textId="69D83770" w:rsidR="00603EFB" w:rsidRPr="00603EFB" w:rsidRDefault="00603EFB" w:rsidP="00B05C8E">
      <w:pPr>
        <w:rPr>
          <w:rFonts w:ascii="Arial" w:hAnsi="Arial" w:cs="Arial"/>
          <w:sz w:val="24"/>
          <w:szCs w:val="24"/>
        </w:rPr>
      </w:pPr>
      <w:r>
        <w:rPr>
          <w:rFonts w:ascii="Arial" w:hAnsi="Arial" w:cs="Arial"/>
          <w:sz w:val="24"/>
          <w:szCs w:val="24"/>
        </w:rPr>
        <w:t xml:space="preserve">The further visit alluded to, took place on 19 March 2020, in the presence of Mr van </w:t>
      </w:r>
      <w:proofErr w:type="spellStart"/>
      <w:r>
        <w:rPr>
          <w:rFonts w:ascii="Arial" w:hAnsi="Arial" w:cs="Arial"/>
          <w:sz w:val="24"/>
          <w:szCs w:val="24"/>
        </w:rPr>
        <w:t>Tonder</w:t>
      </w:r>
      <w:proofErr w:type="spellEnd"/>
      <w:r>
        <w:rPr>
          <w:rFonts w:ascii="Arial" w:hAnsi="Arial" w:cs="Arial"/>
          <w:sz w:val="24"/>
          <w:szCs w:val="24"/>
        </w:rPr>
        <w:t xml:space="preserve">. In their affidavits, both Mr van </w:t>
      </w:r>
      <w:proofErr w:type="spellStart"/>
      <w:r>
        <w:rPr>
          <w:rFonts w:ascii="Arial" w:hAnsi="Arial" w:cs="Arial"/>
          <w:sz w:val="24"/>
          <w:szCs w:val="24"/>
        </w:rPr>
        <w:t>Eeden</w:t>
      </w:r>
      <w:proofErr w:type="spellEnd"/>
      <w:r>
        <w:rPr>
          <w:rFonts w:ascii="Arial" w:hAnsi="Arial" w:cs="Arial"/>
          <w:sz w:val="24"/>
          <w:szCs w:val="24"/>
        </w:rPr>
        <w:t xml:space="preserve"> and Mr van </w:t>
      </w:r>
      <w:proofErr w:type="spellStart"/>
      <w:r>
        <w:rPr>
          <w:rFonts w:ascii="Arial" w:hAnsi="Arial" w:cs="Arial"/>
          <w:sz w:val="24"/>
          <w:szCs w:val="24"/>
        </w:rPr>
        <w:t>Tonder</w:t>
      </w:r>
      <w:proofErr w:type="spellEnd"/>
      <w:r>
        <w:rPr>
          <w:rFonts w:ascii="Arial" w:hAnsi="Arial" w:cs="Arial"/>
          <w:sz w:val="24"/>
          <w:szCs w:val="24"/>
        </w:rPr>
        <w:t xml:space="preserve"> confirmed the evidence of Mr Schmitz. </w:t>
      </w:r>
    </w:p>
    <w:p w14:paraId="00838969" w14:textId="77777777" w:rsidR="00B378FF" w:rsidRDefault="00B378FF" w:rsidP="00B05C8E">
      <w:pPr>
        <w:rPr>
          <w:rFonts w:ascii="Arial" w:hAnsi="Arial" w:cs="Arial"/>
          <w:sz w:val="24"/>
          <w:szCs w:val="24"/>
        </w:rPr>
      </w:pPr>
    </w:p>
    <w:p w14:paraId="441973BD" w14:textId="4111018D" w:rsidR="002B2672" w:rsidRDefault="002B2672" w:rsidP="00B05C8E">
      <w:pPr>
        <w:rPr>
          <w:rFonts w:ascii="Arial" w:hAnsi="Arial" w:cs="Arial"/>
          <w:sz w:val="24"/>
          <w:szCs w:val="24"/>
        </w:rPr>
      </w:pPr>
      <w:r>
        <w:rPr>
          <w:rFonts w:ascii="Arial" w:hAnsi="Arial" w:cs="Arial"/>
          <w:sz w:val="24"/>
          <w:szCs w:val="24"/>
        </w:rPr>
        <w:t>[24]</w:t>
      </w:r>
      <w:r>
        <w:rPr>
          <w:rFonts w:ascii="Arial" w:hAnsi="Arial" w:cs="Arial"/>
          <w:sz w:val="24"/>
          <w:szCs w:val="24"/>
        </w:rPr>
        <w:tab/>
      </w:r>
      <w:r w:rsidR="00603EFB">
        <w:rPr>
          <w:rFonts w:ascii="Arial" w:hAnsi="Arial" w:cs="Arial"/>
          <w:sz w:val="24"/>
          <w:szCs w:val="24"/>
        </w:rPr>
        <w:t>The a</w:t>
      </w:r>
      <w:r w:rsidR="002F0A1A">
        <w:rPr>
          <w:rFonts w:ascii="Arial" w:hAnsi="Arial" w:cs="Arial"/>
          <w:sz w:val="24"/>
          <w:szCs w:val="24"/>
        </w:rPr>
        <w:t>ppellant urged us to reject the</w:t>
      </w:r>
      <w:r w:rsidR="00603EFB">
        <w:rPr>
          <w:rFonts w:ascii="Arial" w:hAnsi="Arial" w:cs="Arial"/>
          <w:sz w:val="24"/>
          <w:szCs w:val="24"/>
        </w:rPr>
        <w:t xml:space="preserve"> evidence set out in the previous paragraph and to find that the purchase price of R17 million for the farm had been arrived at by adding R4 million to the offer of R13 million for the six portions. The argument was based on a weighing of probabilities. It is trite, however, that motion proceedings are not designed to determine probabilities and that it is not permissible to decide genuine disputes of fact in motion proceedings. In the result, the version of the respondent in respect of disputed facts has to be accepted for purposes of the determination of an application, unless that version is so far-fetched or clearly untenable </w:t>
      </w:r>
      <w:r w:rsidR="002F0A1A">
        <w:rPr>
          <w:rFonts w:ascii="Arial" w:hAnsi="Arial" w:cs="Arial"/>
          <w:sz w:val="24"/>
          <w:szCs w:val="24"/>
        </w:rPr>
        <w:t xml:space="preserve">as </w:t>
      </w:r>
      <w:r w:rsidR="00603EFB">
        <w:rPr>
          <w:rFonts w:ascii="Arial" w:hAnsi="Arial" w:cs="Arial"/>
          <w:sz w:val="24"/>
          <w:szCs w:val="24"/>
        </w:rPr>
        <w:t xml:space="preserve">to warrant its rejection out of hand. See </w:t>
      </w:r>
      <w:r w:rsidR="00603EFB" w:rsidRPr="00603EFB">
        <w:rPr>
          <w:rFonts w:ascii="Arial" w:hAnsi="Arial" w:cs="Arial"/>
          <w:i/>
          <w:sz w:val="24"/>
          <w:szCs w:val="24"/>
        </w:rPr>
        <w:t>National Director of Public Prosecutions v Zuma</w:t>
      </w:r>
      <w:r w:rsidR="00603EFB">
        <w:rPr>
          <w:rFonts w:ascii="Arial" w:hAnsi="Arial" w:cs="Arial"/>
          <w:sz w:val="24"/>
          <w:szCs w:val="24"/>
        </w:rPr>
        <w:t xml:space="preserve"> </w:t>
      </w:r>
      <w:r w:rsidR="00BE14E4" w:rsidRPr="00540022">
        <w:rPr>
          <w:rFonts w:ascii="Arial" w:hAnsi="Arial" w:cs="Arial"/>
          <w:sz w:val="24"/>
          <w:szCs w:val="24"/>
        </w:rPr>
        <w:t xml:space="preserve">[2009] ZASCA 1; </w:t>
      </w:r>
      <w:r w:rsidR="00603EFB" w:rsidRPr="00540022">
        <w:rPr>
          <w:rFonts w:ascii="Arial" w:hAnsi="Arial" w:cs="Arial"/>
          <w:sz w:val="24"/>
          <w:szCs w:val="24"/>
        </w:rPr>
        <w:t>2009 (2) SA 277 (SCA)</w:t>
      </w:r>
      <w:r w:rsidR="00891CF3" w:rsidRPr="00540022">
        <w:rPr>
          <w:rFonts w:ascii="Arial" w:hAnsi="Arial" w:cs="Arial"/>
          <w:sz w:val="24"/>
          <w:szCs w:val="24"/>
        </w:rPr>
        <w:t xml:space="preserve"> para 26. I am by no means satisfied that the</w:t>
      </w:r>
      <w:r w:rsidR="00891CF3">
        <w:rPr>
          <w:rFonts w:ascii="Arial" w:hAnsi="Arial" w:cs="Arial"/>
          <w:sz w:val="24"/>
          <w:szCs w:val="24"/>
        </w:rPr>
        <w:t xml:space="preserve"> respondent’s evidence could be rejected merely on the papers. </w:t>
      </w:r>
    </w:p>
    <w:p w14:paraId="78322078" w14:textId="77777777" w:rsidR="002B2672" w:rsidRDefault="002B2672" w:rsidP="00B05C8E">
      <w:pPr>
        <w:ind w:left="709" w:hanging="709"/>
        <w:rPr>
          <w:rFonts w:ascii="Arial" w:hAnsi="Arial" w:cs="Arial"/>
          <w:sz w:val="24"/>
          <w:szCs w:val="24"/>
        </w:rPr>
      </w:pPr>
    </w:p>
    <w:p w14:paraId="5EF768F2" w14:textId="3ED40023" w:rsidR="00C5364C" w:rsidRDefault="002B2672" w:rsidP="00B05C8E">
      <w:pPr>
        <w:rPr>
          <w:rFonts w:ascii="Arial" w:hAnsi="Arial" w:cs="Arial"/>
          <w:sz w:val="24"/>
          <w:szCs w:val="24"/>
        </w:rPr>
      </w:pPr>
      <w:r>
        <w:rPr>
          <w:rFonts w:ascii="Arial" w:hAnsi="Arial" w:cs="Arial"/>
          <w:sz w:val="24"/>
          <w:szCs w:val="24"/>
        </w:rPr>
        <w:t>[25]</w:t>
      </w:r>
      <w:r w:rsidR="00F308C8">
        <w:rPr>
          <w:rFonts w:ascii="Arial" w:hAnsi="Arial" w:cs="Arial"/>
          <w:sz w:val="24"/>
          <w:szCs w:val="24"/>
        </w:rPr>
        <w:tab/>
      </w:r>
      <w:r w:rsidR="00891CF3">
        <w:rPr>
          <w:rFonts w:ascii="Arial" w:hAnsi="Arial" w:cs="Arial"/>
          <w:sz w:val="24"/>
          <w:szCs w:val="24"/>
        </w:rPr>
        <w:t xml:space="preserve">It follows that the main relief claimed, namely that the respondent be directed to make an offer of R4 million for the two portions, must fail. In its heads of argument in this court, the appellant for the first time attempted to raise a ground for alternative relief. That was that the high court should have determined a reasonable price for the two portions, if needs be after hearing oral evidence in that regard. Apart from the procedural obstacles in its way, the contention is untenable simply because the appellant has no such right. </w:t>
      </w:r>
      <w:r w:rsidR="009C0DA3">
        <w:rPr>
          <w:rFonts w:ascii="Arial" w:hAnsi="Arial" w:cs="Arial"/>
          <w:sz w:val="24"/>
          <w:szCs w:val="24"/>
        </w:rPr>
        <w:t xml:space="preserve">As I have said, the appellant has the right to a bona fide offer on the basis of that part </w:t>
      </w:r>
      <w:r w:rsidR="008F1242">
        <w:rPr>
          <w:rFonts w:ascii="Arial" w:hAnsi="Arial" w:cs="Arial"/>
          <w:sz w:val="24"/>
          <w:szCs w:val="24"/>
        </w:rPr>
        <w:t>of the R17 million that pertains to the two portion</w:t>
      </w:r>
      <w:r w:rsidR="002F0A1A">
        <w:rPr>
          <w:rFonts w:ascii="Arial" w:hAnsi="Arial" w:cs="Arial"/>
          <w:sz w:val="24"/>
          <w:szCs w:val="24"/>
        </w:rPr>
        <w:t>s</w:t>
      </w:r>
      <w:r w:rsidR="008F1242">
        <w:rPr>
          <w:rFonts w:ascii="Arial" w:hAnsi="Arial" w:cs="Arial"/>
          <w:sz w:val="24"/>
          <w:szCs w:val="24"/>
        </w:rPr>
        <w:t xml:space="preserve">, nothing less and nothing more. </w:t>
      </w:r>
    </w:p>
    <w:p w14:paraId="19C78737" w14:textId="77777777" w:rsidR="00C5364C" w:rsidRDefault="00C5364C" w:rsidP="00B05C8E">
      <w:pPr>
        <w:ind w:left="709" w:hanging="709"/>
        <w:rPr>
          <w:rFonts w:ascii="Arial" w:hAnsi="Arial" w:cs="Arial"/>
          <w:sz w:val="24"/>
          <w:szCs w:val="24"/>
        </w:rPr>
      </w:pPr>
    </w:p>
    <w:p w14:paraId="0021E532" w14:textId="53A9B462" w:rsidR="00442B86" w:rsidRDefault="00C5364C" w:rsidP="00B05C8E">
      <w:pPr>
        <w:rPr>
          <w:rFonts w:ascii="Arial" w:hAnsi="Arial" w:cs="Arial"/>
          <w:sz w:val="24"/>
          <w:szCs w:val="24"/>
        </w:rPr>
      </w:pPr>
      <w:r>
        <w:rPr>
          <w:rFonts w:ascii="Arial" w:hAnsi="Arial" w:cs="Arial"/>
          <w:sz w:val="24"/>
          <w:szCs w:val="24"/>
        </w:rPr>
        <w:t>[26]</w:t>
      </w:r>
      <w:r>
        <w:rPr>
          <w:rFonts w:ascii="Arial" w:hAnsi="Arial" w:cs="Arial"/>
          <w:sz w:val="24"/>
          <w:szCs w:val="24"/>
        </w:rPr>
        <w:tab/>
      </w:r>
      <w:r w:rsidR="008F1242">
        <w:rPr>
          <w:rFonts w:ascii="Arial" w:hAnsi="Arial" w:cs="Arial"/>
          <w:sz w:val="24"/>
          <w:szCs w:val="24"/>
        </w:rPr>
        <w:t xml:space="preserve">Finally, the question arises whether this should be the end of the matter. The proper interpretation of clause 10 was central to the proceedings in the high court and in this court. </w:t>
      </w:r>
      <w:r w:rsidR="00442B86">
        <w:rPr>
          <w:rFonts w:ascii="Arial" w:hAnsi="Arial" w:cs="Arial"/>
          <w:sz w:val="24"/>
          <w:szCs w:val="24"/>
        </w:rPr>
        <w:t xml:space="preserve"> </w:t>
      </w:r>
      <w:r w:rsidR="008F1242">
        <w:rPr>
          <w:rFonts w:ascii="Arial" w:hAnsi="Arial" w:cs="Arial"/>
          <w:sz w:val="24"/>
          <w:szCs w:val="24"/>
        </w:rPr>
        <w:t>That the applicant claimed to be entitled to an offer in the amount of R4 million for the two portions, mad</w:t>
      </w:r>
      <w:r w:rsidR="002F0A1A">
        <w:rPr>
          <w:rFonts w:ascii="Arial" w:hAnsi="Arial" w:cs="Arial"/>
          <w:sz w:val="24"/>
          <w:szCs w:val="24"/>
        </w:rPr>
        <w:t>e no material difference hereto. T</w:t>
      </w:r>
      <w:r w:rsidR="008F1242">
        <w:rPr>
          <w:rFonts w:ascii="Arial" w:hAnsi="Arial" w:cs="Arial"/>
          <w:sz w:val="24"/>
          <w:szCs w:val="24"/>
        </w:rPr>
        <w:t xml:space="preserve">hat claim was based on what the appellant perceived to be the facts. </w:t>
      </w:r>
      <w:r w:rsidR="00245457">
        <w:rPr>
          <w:rFonts w:ascii="Arial" w:hAnsi="Arial" w:cs="Arial"/>
          <w:sz w:val="24"/>
          <w:szCs w:val="24"/>
        </w:rPr>
        <w:t>This court has spoken on the i</w:t>
      </w:r>
      <w:r w:rsidR="00F742DE">
        <w:rPr>
          <w:rFonts w:ascii="Arial" w:hAnsi="Arial" w:cs="Arial"/>
          <w:sz w:val="24"/>
          <w:szCs w:val="24"/>
        </w:rPr>
        <w:t>ssue and it would appear</w:t>
      </w:r>
      <w:r w:rsidR="00245457">
        <w:rPr>
          <w:rFonts w:ascii="Arial" w:hAnsi="Arial" w:cs="Arial"/>
          <w:sz w:val="24"/>
          <w:szCs w:val="24"/>
        </w:rPr>
        <w:t xml:space="preserve"> quite senseless to require the appellant to commence proceedings afresh to decide this issue. </w:t>
      </w:r>
    </w:p>
    <w:p w14:paraId="5417011C" w14:textId="77777777" w:rsidR="001C0D31" w:rsidRDefault="001C0D31" w:rsidP="00B05C8E">
      <w:pPr>
        <w:ind w:left="709" w:hanging="709"/>
        <w:rPr>
          <w:rFonts w:ascii="Arial" w:hAnsi="Arial" w:cs="Arial"/>
          <w:sz w:val="24"/>
          <w:szCs w:val="24"/>
        </w:rPr>
      </w:pPr>
    </w:p>
    <w:p w14:paraId="39C0E85F" w14:textId="0E073FE5" w:rsidR="001E274B" w:rsidRDefault="00245457" w:rsidP="00245457">
      <w:pPr>
        <w:ind w:hanging="709"/>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42B86">
        <w:rPr>
          <w:rFonts w:ascii="Arial" w:hAnsi="Arial" w:cs="Arial"/>
          <w:sz w:val="24"/>
          <w:szCs w:val="24"/>
        </w:rPr>
        <w:t>[27]</w:t>
      </w:r>
      <w:r w:rsidR="00442B86">
        <w:rPr>
          <w:rFonts w:ascii="Arial" w:hAnsi="Arial" w:cs="Arial"/>
          <w:sz w:val="24"/>
          <w:szCs w:val="24"/>
        </w:rPr>
        <w:tab/>
      </w:r>
      <w:r>
        <w:rPr>
          <w:rFonts w:ascii="Arial" w:hAnsi="Arial" w:cs="Arial"/>
          <w:sz w:val="24"/>
          <w:szCs w:val="24"/>
        </w:rPr>
        <w:t>What weighs heavily with me in this regard is that as far back as 20 April 2020, the respondent was formally</w:t>
      </w:r>
      <w:r w:rsidR="009815BA">
        <w:rPr>
          <w:rFonts w:ascii="Arial" w:hAnsi="Arial" w:cs="Arial"/>
          <w:sz w:val="24"/>
          <w:szCs w:val="24"/>
        </w:rPr>
        <w:t xml:space="preserve"> and correctly invited to make an offer in terms of clause 10. To this day, it has not done so. It would not be difficult for the respondent to comply </w:t>
      </w:r>
      <w:r w:rsidR="009815BA">
        <w:rPr>
          <w:rFonts w:ascii="Arial" w:hAnsi="Arial" w:cs="Arial"/>
          <w:sz w:val="24"/>
          <w:szCs w:val="24"/>
        </w:rPr>
        <w:lastRenderedPageBreak/>
        <w:t xml:space="preserve">with </w:t>
      </w:r>
      <w:r w:rsidR="00F742DE">
        <w:rPr>
          <w:rFonts w:ascii="Arial" w:hAnsi="Arial" w:cs="Arial"/>
          <w:sz w:val="24"/>
          <w:szCs w:val="24"/>
        </w:rPr>
        <w:t>a</w:t>
      </w:r>
      <w:r w:rsidR="009815BA">
        <w:rPr>
          <w:rFonts w:ascii="Arial" w:hAnsi="Arial" w:cs="Arial"/>
          <w:sz w:val="24"/>
          <w:szCs w:val="24"/>
        </w:rPr>
        <w:t xml:space="preserve"> direction to make an offer in terms of </w:t>
      </w:r>
      <w:r w:rsidR="005C20B3">
        <w:rPr>
          <w:rFonts w:ascii="Arial" w:hAnsi="Arial" w:cs="Arial"/>
          <w:sz w:val="24"/>
          <w:szCs w:val="24"/>
        </w:rPr>
        <w:t xml:space="preserve">clause 10. The respondent fully set out what had transpired and, during July 2020, it obtained a detailed valuation of each of the eight portions of the farm as on 26 March 2020. The valuation was confirmed under oath. After all, as was said in </w:t>
      </w:r>
      <w:r w:rsidR="005C20B3" w:rsidRPr="0068288A">
        <w:rPr>
          <w:rFonts w:ascii="Arial" w:hAnsi="Arial" w:cs="Arial"/>
          <w:i/>
          <w:sz w:val="24"/>
          <w:szCs w:val="24"/>
        </w:rPr>
        <w:t xml:space="preserve">Mokone v </w:t>
      </w:r>
      <w:proofErr w:type="spellStart"/>
      <w:r w:rsidR="005C20B3" w:rsidRPr="0068288A">
        <w:rPr>
          <w:rFonts w:ascii="Arial" w:hAnsi="Arial" w:cs="Arial"/>
          <w:i/>
          <w:sz w:val="24"/>
          <w:szCs w:val="24"/>
        </w:rPr>
        <w:t>Tassos</w:t>
      </w:r>
      <w:proofErr w:type="spellEnd"/>
      <w:r w:rsidR="005C20B3" w:rsidRPr="0068288A">
        <w:rPr>
          <w:rFonts w:ascii="Arial" w:hAnsi="Arial" w:cs="Arial"/>
          <w:i/>
          <w:sz w:val="24"/>
          <w:szCs w:val="24"/>
        </w:rPr>
        <w:t xml:space="preserve"> Properties CC and Another</w:t>
      </w:r>
      <w:r w:rsidR="005C20B3">
        <w:rPr>
          <w:rFonts w:ascii="Arial" w:hAnsi="Arial" w:cs="Arial"/>
          <w:sz w:val="24"/>
          <w:szCs w:val="24"/>
        </w:rPr>
        <w:t xml:space="preserve"> </w:t>
      </w:r>
      <w:r w:rsidR="00BE14E4" w:rsidRPr="00540022">
        <w:rPr>
          <w:rFonts w:ascii="Arial" w:hAnsi="Arial" w:cs="Arial"/>
          <w:sz w:val="24"/>
          <w:szCs w:val="24"/>
        </w:rPr>
        <w:t xml:space="preserve">[2017] ZACC 25; </w:t>
      </w:r>
      <w:r w:rsidR="005C20B3" w:rsidRPr="00540022">
        <w:rPr>
          <w:rFonts w:ascii="Arial" w:hAnsi="Arial" w:cs="Arial"/>
          <w:sz w:val="24"/>
          <w:szCs w:val="24"/>
        </w:rPr>
        <w:t>2017 (5) SA 456 (CC) para 59:</w:t>
      </w:r>
      <w:r w:rsidR="005C20B3">
        <w:rPr>
          <w:rFonts w:ascii="Arial" w:hAnsi="Arial" w:cs="Arial"/>
          <w:sz w:val="24"/>
          <w:szCs w:val="24"/>
        </w:rPr>
        <w:t xml:space="preserve"> </w:t>
      </w:r>
    </w:p>
    <w:p w14:paraId="780C3CFA" w14:textId="39C022F9" w:rsidR="0068288A" w:rsidRPr="0068288A" w:rsidRDefault="0068288A" w:rsidP="00245457">
      <w:pPr>
        <w:ind w:hanging="709"/>
        <w:rPr>
          <w:rFonts w:ascii="Arial" w:hAnsi="Arial" w:cs="Arial"/>
        </w:rPr>
      </w:pPr>
      <w:r>
        <w:rPr>
          <w:rFonts w:ascii="Arial" w:hAnsi="Arial" w:cs="Arial"/>
          <w:sz w:val="24"/>
          <w:szCs w:val="24"/>
        </w:rPr>
        <w:tab/>
      </w:r>
      <w:r w:rsidR="004B5CA1">
        <w:rPr>
          <w:rFonts w:ascii="Arial" w:hAnsi="Arial" w:cs="Arial"/>
        </w:rPr>
        <w:t>‘Court-coerced</w:t>
      </w:r>
      <w:r>
        <w:rPr>
          <w:rFonts w:ascii="Arial" w:hAnsi="Arial" w:cs="Arial"/>
        </w:rPr>
        <w:t xml:space="preserve"> compliance by the grantor will be doing nothing more than to require her or him to honour what she or he had bargained for. It will not be an imposition.’</w:t>
      </w:r>
    </w:p>
    <w:p w14:paraId="155E39BF" w14:textId="77777777" w:rsidR="00B378FF" w:rsidRDefault="00B378FF" w:rsidP="00B05C8E">
      <w:pPr>
        <w:rPr>
          <w:rFonts w:ascii="Arial" w:hAnsi="Arial" w:cs="Arial"/>
          <w:sz w:val="24"/>
          <w:szCs w:val="24"/>
        </w:rPr>
      </w:pPr>
    </w:p>
    <w:p w14:paraId="4488FED0" w14:textId="6AE52EB8" w:rsidR="001E274B" w:rsidRDefault="001E274B" w:rsidP="00B05C8E">
      <w:pPr>
        <w:rPr>
          <w:rFonts w:ascii="Arial" w:hAnsi="Arial" w:cs="Arial"/>
          <w:sz w:val="24"/>
          <w:szCs w:val="24"/>
        </w:rPr>
      </w:pPr>
      <w:r>
        <w:rPr>
          <w:rFonts w:ascii="Arial" w:hAnsi="Arial" w:cs="Arial"/>
          <w:sz w:val="24"/>
          <w:szCs w:val="24"/>
        </w:rPr>
        <w:t>[28]</w:t>
      </w:r>
      <w:r>
        <w:rPr>
          <w:rFonts w:ascii="Arial" w:hAnsi="Arial" w:cs="Arial"/>
          <w:sz w:val="24"/>
          <w:szCs w:val="24"/>
        </w:rPr>
        <w:tab/>
      </w:r>
      <w:r w:rsidR="0068288A">
        <w:rPr>
          <w:rFonts w:ascii="Arial" w:hAnsi="Arial" w:cs="Arial"/>
          <w:sz w:val="24"/>
          <w:szCs w:val="24"/>
        </w:rPr>
        <w:t xml:space="preserve">As this would nevertheless constitute the granting of an indulgence to the appellant, there is no basis for varying the costs order of the high court. And the appellant should be directed to pay the costs of the appeal, including the costs of two counsel. I therefore do not think that the proposed order would cause prejudice to the respondent and its counsel did not allude to any. </w:t>
      </w:r>
    </w:p>
    <w:p w14:paraId="5FF49876" w14:textId="77777777" w:rsidR="001E274B" w:rsidRDefault="001E274B" w:rsidP="00B05C8E">
      <w:pPr>
        <w:rPr>
          <w:rFonts w:ascii="Arial" w:hAnsi="Arial" w:cs="Arial"/>
          <w:sz w:val="24"/>
          <w:szCs w:val="24"/>
        </w:rPr>
      </w:pPr>
    </w:p>
    <w:p w14:paraId="5569FB1C" w14:textId="1B0A77DC" w:rsidR="001E274B" w:rsidRDefault="001E274B" w:rsidP="00B05C8E">
      <w:pPr>
        <w:rPr>
          <w:rFonts w:ascii="Arial" w:hAnsi="Arial" w:cs="Arial"/>
          <w:sz w:val="24"/>
          <w:szCs w:val="24"/>
        </w:rPr>
      </w:pPr>
      <w:r>
        <w:rPr>
          <w:rFonts w:ascii="Arial" w:hAnsi="Arial" w:cs="Arial"/>
          <w:sz w:val="24"/>
          <w:szCs w:val="24"/>
        </w:rPr>
        <w:t>[29]</w:t>
      </w:r>
      <w:r>
        <w:rPr>
          <w:rFonts w:ascii="Arial" w:hAnsi="Arial" w:cs="Arial"/>
          <w:sz w:val="24"/>
          <w:szCs w:val="24"/>
        </w:rPr>
        <w:tab/>
      </w:r>
      <w:r w:rsidR="0068288A">
        <w:rPr>
          <w:rFonts w:ascii="Arial" w:hAnsi="Arial" w:cs="Arial"/>
          <w:sz w:val="24"/>
          <w:szCs w:val="24"/>
        </w:rPr>
        <w:t>These considerations have persuaded me that in the particular circumstances of this case, the interest</w:t>
      </w:r>
      <w:r w:rsidR="004B5CA1">
        <w:rPr>
          <w:rFonts w:ascii="Arial" w:hAnsi="Arial" w:cs="Arial"/>
          <w:sz w:val="24"/>
          <w:szCs w:val="24"/>
        </w:rPr>
        <w:t>s</w:t>
      </w:r>
      <w:r w:rsidR="0068288A">
        <w:rPr>
          <w:rFonts w:ascii="Arial" w:hAnsi="Arial" w:cs="Arial"/>
          <w:sz w:val="24"/>
          <w:szCs w:val="24"/>
        </w:rPr>
        <w:t xml:space="preserve"> of justice require that the respondent be directed to comply wit</w:t>
      </w:r>
      <w:r w:rsidR="00526880">
        <w:rPr>
          <w:rFonts w:ascii="Arial" w:hAnsi="Arial" w:cs="Arial"/>
          <w:sz w:val="24"/>
          <w:szCs w:val="24"/>
        </w:rPr>
        <w:t xml:space="preserve">h clause 10. For these reasons, I make the following order: </w:t>
      </w:r>
    </w:p>
    <w:p w14:paraId="4809134F" w14:textId="77777777" w:rsidR="001B727D" w:rsidRDefault="001B727D" w:rsidP="00B05C8E">
      <w:pPr>
        <w:rPr>
          <w:rFonts w:ascii="Arial" w:hAnsi="Arial" w:cs="Arial"/>
          <w:sz w:val="24"/>
          <w:szCs w:val="24"/>
          <w:lang w:val="en-US"/>
        </w:rPr>
      </w:pPr>
    </w:p>
    <w:p w14:paraId="27950149" w14:textId="21FB9A71" w:rsidR="001B727D" w:rsidRDefault="001B727D" w:rsidP="00B05C8E">
      <w:pPr>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t>The order of the high court is varied only to the extent that the dismissal of the application is set aside.</w:t>
      </w:r>
    </w:p>
    <w:p w14:paraId="4DACBAA8" w14:textId="77777777" w:rsidR="001B727D" w:rsidRDefault="001B727D" w:rsidP="00B05C8E">
      <w:pPr>
        <w:rPr>
          <w:rFonts w:ascii="Arial" w:hAnsi="Arial" w:cs="Arial"/>
          <w:sz w:val="24"/>
          <w:szCs w:val="24"/>
          <w:lang w:val="en-US"/>
        </w:rPr>
      </w:pPr>
    </w:p>
    <w:p w14:paraId="52DD5EEE" w14:textId="2FF6F8F7" w:rsidR="001B727D" w:rsidRDefault="001B727D" w:rsidP="00B05C8E">
      <w:pPr>
        <w:rPr>
          <w:rFonts w:ascii="Arial" w:hAnsi="Arial" w:cs="Arial"/>
          <w:sz w:val="24"/>
          <w:szCs w:val="24"/>
          <w:lang w:val="en-US"/>
        </w:rPr>
      </w:pPr>
      <w:r>
        <w:rPr>
          <w:rFonts w:ascii="Arial" w:hAnsi="Arial" w:cs="Arial"/>
          <w:sz w:val="24"/>
          <w:szCs w:val="24"/>
          <w:lang w:val="en-US"/>
        </w:rPr>
        <w:t xml:space="preserve">2 </w:t>
      </w:r>
      <w:r>
        <w:rPr>
          <w:rFonts w:ascii="Arial" w:hAnsi="Arial" w:cs="Arial"/>
          <w:sz w:val="24"/>
          <w:szCs w:val="24"/>
          <w:lang w:val="en-US"/>
        </w:rPr>
        <w:tab/>
        <w:t xml:space="preserve"> </w:t>
      </w:r>
      <w:r w:rsidR="00E465B4">
        <w:rPr>
          <w:rFonts w:ascii="Arial" w:hAnsi="Arial" w:cs="Arial"/>
          <w:sz w:val="24"/>
          <w:szCs w:val="24"/>
          <w:lang w:val="en-US"/>
        </w:rPr>
        <w:t>The respondent is directed to deliver to the appellant, within 10 days of the date of this order, a written offer</w:t>
      </w:r>
      <w:r w:rsidR="00CF0171">
        <w:rPr>
          <w:rFonts w:ascii="Arial" w:hAnsi="Arial" w:cs="Arial"/>
          <w:sz w:val="24"/>
          <w:szCs w:val="24"/>
          <w:lang w:val="en-US"/>
        </w:rPr>
        <w:t>,</w:t>
      </w:r>
      <w:r w:rsidR="00E465B4">
        <w:rPr>
          <w:rFonts w:ascii="Arial" w:hAnsi="Arial" w:cs="Arial"/>
          <w:sz w:val="24"/>
          <w:szCs w:val="24"/>
          <w:lang w:val="en-US"/>
        </w:rPr>
        <w:t xml:space="preserve"> in terms of clause 10 of the lease agreement concluded by the parties on 13 April 2018</w:t>
      </w:r>
      <w:r w:rsidR="00CF0171">
        <w:rPr>
          <w:rFonts w:ascii="Arial" w:hAnsi="Arial" w:cs="Arial"/>
          <w:sz w:val="24"/>
          <w:szCs w:val="24"/>
          <w:lang w:val="en-US"/>
        </w:rPr>
        <w:t>,</w:t>
      </w:r>
      <w:r w:rsidR="00E465B4">
        <w:rPr>
          <w:rFonts w:ascii="Arial" w:hAnsi="Arial" w:cs="Arial"/>
          <w:sz w:val="24"/>
          <w:szCs w:val="24"/>
          <w:lang w:val="en-US"/>
        </w:rPr>
        <w:t xml:space="preserve"> to purchase the leased premises, based on the deed of sale concluded by the respondent and </w:t>
      </w:r>
      <w:proofErr w:type="spellStart"/>
      <w:r w:rsidR="00E465B4">
        <w:rPr>
          <w:rFonts w:ascii="Arial" w:hAnsi="Arial" w:cs="Arial"/>
          <w:sz w:val="24"/>
          <w:szCs w:val="24"/>
          <w:lang w:val="en-US"/>
        </w:rPr>
        <w:t>Swellendam</w:t>
      </w:r>
      <w:proofErr w:type="spellEnd"/>
      <w:r w:rsidR="00E465B4">
        <w:rPr>
          <w:rFonts w:ascii="Arial" w:hAnsi="Arial" w:cs="Arial"/>
          <w:sz w:val="24"/>
          <w:szCs w:val="24"/>
          <w:lang w:val="en-US"/>
        </w:rPr>
        <w:t xml:space="preserve"> </w:t>
      </w:r>
      <w:proofErr w:type="spellStart"/>
      <w:r w:rsidR="00E465B4">
        <w:rPr>
          <w:rFonts w:ascii="Arial" w:hAnsi="Arial" w:cs="Arial"/>
          <w:sz w:val="24"/>
          <w:szCs w:val="24"/>
          <w:lang w:val="en-US"/>
        </w:rPr>
        <w:t>Plase</w:t>
      </w:r>
      <w:proofErr w:type="spellEnd"/>
      <w:r w:rsidR="00E465B4">
        <w:rPr>
          <w:rFonts w:ascii="Arial" w:hAnsi="Arial" w:cs="Arial"/>
          <w:sz w:val="24"/>
          <w:szCs w:val="24"/>
          <w:lang w:val="en-US"/>
        </w:rPr>
        <w:t xml:space="preserve"> (Pty) Ltd on 7 April 2020.  </w:t>
      </w:r>
    </w:p>
    <w:p w14:paraId="51C403C7" w14:textId="77777777" w:rsidR="001B727D" w:rsidRDefault="001B727D" w:rsidP="00B05C8E">
      <w:pPr>
        <w:rPr>
          <w:rFonts w:ascii="Arial" w:hAnsi="Arial" w:cs="Arial"/>
          <w:sz w:val="24"/>
          <w:szCs w:val="24"/>
          <w:lang w:val="en-US"/>
        </w:rPr>
      </w:pPr>
    </w:p>
    <w:p w14:paraId="08558C61" w14:textId="2F929494" w:rsidR="006501B4" w:rsidRPr="006501B4" w:rsidRDefault="001B727D" w:rsidP="00B05C8E">
      <w:pPr>
        <w:rPr>
          <w:rFonts w:ascii="Arial" w:hAnsi="Arial" w:cs="Arial"/>
          <w:sz w:val="24"/>
          <w:szCs w:val="24"/>
          <w:lang w:val="en-US"/>
        </w:rPr>
      </w:pPr>
      <w:r>
        <w:rPr>
          <w:rFonts w:ascii="Arial" w:hAnsi="Arial" w:cs="Arial"/>
          <w:sz w:val="24"/>
          <w:szCs w:val="24"/>
          <w:lang w:val="en-US"/>
        </w:rPr>
        <w:t xml:space="preserve">3 </w:t>
      </w:r>
      <w:r>
        <w:rPr>
          <w:rFonts w:ascii="Arial" w:hAnsi="Arial" w:cs="Arial"/>
          <w:sz w:val="24"/>
          <w:szCs w:val="24"/>
          <w:lang w:val="en-US"/>
        </w:rPr>
        <w:tab/>
        <w:t xml:space="preserve">The appellant is directed to pay the costs of the appeal, including the costs of two counsel. </w:t>
      </w:r>
      <w:r w:rsidR="006501B4">
        <w:rPr>
          <w:rFonts w:ascii="Arial" w:hAnsi="Arial" w:cs="Arial"/>
          <w:sz w:val="24"/>
          <w:szCs w:val="24"/>
          <w:lang w:val="en-US"/>
        </w:rPr>
        <w:t xml:space="preserve">  </w:t>
      </w:r>
    </w:p>
    <w:p w14:paraId="366C2AF3" w14:textId="77777777" w:rsidR="003F72FA" w:rsidRDefault="003F72FA" w:rsidP="00B05C8E">
      <w:pPr>
        <w:jc w:val="right"/>
        <w:rPr>
          <w:rFonts w:ascii="Arial" w:hAnsi="Arial" w:cs="Arial"/>
          <w:b/>
          <w:bCs/>
          <w:sz w:val="24"/>
          <w:szCs w:val="24"/>
          <w:lang w:val="en-US"/>
        </w:rPr>
      </w:pPr>
    </w:p>
    <w:p w14:paraId="376E450A" w14:textId="77777777" w:rsidR="003F72FA" w:rsidRDefault="003F72FA" w:rsidP="00B05C8E">
      <w:pPr>
        <w:jc w:val="right"/>
        <w:rPr>
          <w:rFonts w:ascii="Arial" w:hAnsi="Arial" w:cs="Arial"/>
          <w:b/>
          <w:bCs/>
          <w:sz w:val="24"/>
          <w:szCs w:val="24"/>
          <w:lang w:val="en-US"/>
        </w:rPr>
      </w:pPr>
    </w:p>
    <w:p w14:paraId="2A216621" w14:textId="12BF7467" w:rsidR="008423D2" w:rsidRPr="00494104" w:rsidRDefault="00412A78" w:rsidP="00B05C8E">
      <w:pPr>
        <w:jc w:val="right"/>
        <w:rPr>
          <w:rFonts w:ascii="Arial" w:hAnsi="Arial" w:cs="Arial"/>
          <w:bCs/>
          <w:sz w:val="24"/>
          <w:szCs w:val="24"/>
          <w:lang w:val="en-US"/>
        </w:rPr>
      </w:pPr>
      <w:r w:rsidRPr="00494104">
        <w:rPr>
          <w:rFonts w:ascii="Arial" w:hAnsi="Arial" w:cs="Arial"/>
          <w:bCs/>
          <w:sz w:val="24"/>
          <w:szCs w:val="24"/>
          <w:lang w:val="en-US"/>
        </w:rPr>
        <w:t>________________________</w:t>
      </w:r>
    </w:p>
    <w:p w14:paraId="5E57C8F8" w14:textId="2FEFCC0B" w:rsidR="008423D2" w:rsidRPr="00494104" w:rsidRDefault="00412A78" w:rsidP="00B05C8E">
      <w:pPr>
        <w:jc w:val="right"/>
        <w:rPr>
          <w:rFonts w:ascii="Arial" w:hAnsi="Arial" w:cs="Arial"/>
          <w:bCs/>
          <w:sz w:val="24"/>
          <w:szCs w:val="24"/>
          <w:lang w:val="en-US"/>
        </w:rPr>
      </w:pPr>
      <w:r w:rsidRPr="00494104">
        <w:rPr>
          <w:rFonts w:ascii="Arial" w:hAnsi="Arial" w:cs="Arial"/>
          <w:bCs/>
          <w:sz w:val="24"/>
          <w:szCs w:val="24"/>
          <w:lang w:val="en-US"/>
        </w:rPr>
        <w:t>C</w:t>
      </w:r>
      <w:r>
        <w:rPr>
          <w:rFonts w:ascii="Arial" w:hAnsi="Arial" w:cs="Arial"/>
          <w:bCs/>
          <w:sz w:val="24"/>
          <w:szCs w:val="24"/>
          <w:lang w:val="en-US"/>
        </w:rPr>
        <w:t xml:space="preserve"> </w:t>
      </w:r>
      <w:r w:rsidRPr="00494104">
        <w:rPr>
          <w:rFonts w:ascii="Arial" w:hAnsi="Arial" w:cs="Arial"/>
          <w:bCs/>
          <w:sz w:val="24"/>
          <w:szCs w:val="24"/>
          <w:lang w:val="en-US"/>
        </w:rPr>
        <w:t>H</w:t>
      </w:r>
      <w:r>
        <w:rPr>
          <w:rFonts w:ascii="Arial" w:hAnsi="Arial" w:cs="Arial"/>
          <w:bCs/>
          <w:sz w:val="24"/>
          <w:szCs w:val="24"/>
          <w:lang w:val="en-US"/>
        </w:rPr>
        <w:t xml:space="preserve"> </w:t>
      </w:r>
      <w:r w:rsidRPr="00494104">
        <w:rPr>
          <w:rFonts w:ascii="Arial" w:hAnsi="Arial" w:cs="Arial"/>
          <w:bCs/>
          <w:sz w:val="24"/>
          <w:szCs w:val="24"/>
          <w:lang w:val="en-US"/>
        </w:rPr>
        <w:t>G VAN DER MERWE</w:t>
      </w:r>
    </w:p>
    <w:p w14:paraId="68C5A8C9" w14:textId="314FBB91" w:rsidR="008423D2" w:rsidRPr="00412A78" w:rsidRDefault="00412A78" w:rsidP="00B05C8E">
      <w:pPr>
        <w:jc w:val="right"/>
        <w:rPr>
          <w:rFonts w:ascii="Arial" w:hAnsi="Arial" w:cs="Arial"/>
          <w:sz w:val="24"/>
          <w:szCs w:val="24"/>
          <w:lang w:val="en-US"/>
        </w:rPr>
      </w:pPr>
      <w:r w:rsidRPr="00494104">
        <w:rPr>
          <w:rFonts w:ascii="Arial" w:hAnsi="Arial" w:cs="Arial"/>
          <w:bCs/>
          <w:sz w:val="24"/>
          <w:szCs w:val="24"/>
          <w:lang w:val="en-US"/>
        </w:rPr>
        <w:t>JUDGE OF APPEAL</w:t>
      </w:r>
    </w:p>
    <w:p w14:paraId="01E906EF" w14:textId="77777777" w:rsidR="008423D2" w:rsidRPr="00412A78" w:rsidRDefault="008423D2" w:rsidP="00B05C8E">
      <w:pPr>
        <w:rPr>
          <w:rFonts w:ascii="Arial" w:hAnsi="Arial" w:cs="Arial"/>
          <w:sz w:val="24"/>
          <w:szCs w:val="24"/>
          <w:lang w:val="en-US"/>
        </w:rPr>
      </w:pPr>
    </w:p>
    <w:p w14:paraId="2B480FBB" w14:textId="749B102E" w:rsidR="008423D2" w:rsidRDefault="008423D2" w:rsidP="00B05C8E">
      <w:pPr>
        <w:rPr>
          <w:rFonts w:ascii="Arial" w:hAnsi="Arial" w:cs="Arial"/>
          <w:sz w:val="24"/>
          <w:szCs w:val="24"/>
          <w:lang w:val="en-US"/>
        </w:rPr>
      </w:pPr>
      <w:r>
        <w:rPr>
          <w:rFonts w:ascii="Arial" w:hAnsi="Arial" w:cs="Arial"/>
          <w:sz w:val="24"/>
          <w:szCs w:val="24"/>
          <w:lang w:val="en-US"/>
        </w:rPr>
        <w:t>A</w:t>
      </w:r>
      <w:r w:rsidR="00412A78">
        <w:rPr>
          <w:rFonts w:ascii="Arial" w:hAnsi="Arial" w:cs="Arial"/>
          <w:sz w:val="24"/>
          <w:szCs w:val="24"/>
          <w:lang w:val="en-US"/>
        </w:rPr>
        <w:t>ppearances</w:t>
      </w:r>
    </w:p>
    <w:p w14:paraId="06903BBC" w14:textId="77777777" w:rsidR="008423D2" w:rsidRDefault="008423D2" w:rsidP="00B05C8E">
      <w:pPr>
        <w:rPr>
          <w:rFonts w:ascii="Arial" w:hAnsi="Arial" w:cs="Arial"/>
          <w:sz w:val="24"/>
          <w:szCs w:val="24"/>
          <w:lang w:val="en-US"/>
        </w:rPr>
      </w:pPr>
    </w:p>
    <w:p w14:paraId="66505F5E" w14:textId="47EDCA9A" w:rsidR="008423D2" w:rsidRDefault="008423D2" w:rsidP="00B05C8E">
      <w:pPr>
        <w:rPr>
          <w:rFonts w:ascii="Arial" w:hAnsi="Arial" w:cs="Arial"/>
          <w:sz w:val="24"/>
          <w:szCs w:val="24"/>
          <w:lang w:val="en-US"/>
        </w:rPr>
      </w:pPr>
      <w:r>
        <w:rPr>
          <w:rFonts w:ascii="Arial" w:hAnsi="Arial" w:cs="Arial"/>
          <w:sz w:val="24"/>
          <w:szCs w:val="24"/>
          <w:lang w:val="en-US"/>
        </w:rPr>
        <w:t xml:space="preserve">For </w:t>
      </w:r>
      <w:r w:rsidR="00074E74">
        <w:rPr>
          <w:rFonts w:ascii="Arial" w:hAnsi="Arial" w:cs="Arial"/>
          <w:sz w:val="24"/>
          <w:szCs w:val="24"/>
          <w:lang w:val="en-US"/>
        </w:rPr>
        <w:t>appellant:</w:t>
      </w:r>
      <w:r w:rsidR="00074E74">
        <w:rPr>
          <w:rFonts w:ascii="Arial" w:hAnsi="Arial" w:cs="Arial"/>
          <w:sz w:val="24"/>
          <w:szCs w:val="24"/>
          <w:lang w:val="en-US"/>
        </w:rPr>
        <w:tab/>
      </w:r>
      <w:r w:rsidR="00074E74">
        <w:rPr>
          <w:rFonts w:ascii="Arial" w:hAnsi="Arial" w:cs="Arial"/>
          <w:sz w:val="24"/>
          <w:szCs w:val="24"/>
          <w:lang w:val="en-US"/>
        </w:rPr>
        <w:tab/>
      </w:r>
      <w:r w:rsidR="00074E74">
        <w:rPr>
          <w:rFonts w:ascii="Arial" w:hAnsi="Arial" w:cs="Arial"/>
          <w:sz w:val="24"/>
          <w:szCs w:val="24"/>
          <w:lang w:val="en-US"/>
        </w:rPr>
        <w:tab/>
      </w:r>
      <w:r w:rsidR="00074E74">
        <w:rPr>
          <w:rFonts w:ascii="Arial" w:hAnsi="Arial" w:cs="Arial"/>
          <w:sz w:val="24"/>
          <w:szCs w:val="24"/>
          <w:lang w:val="en-US"/>
        </w:rPr>
        <w:tab/>
      </w:r>
      <w:r w:rsidR="00191673">
        <w:rPr>
          <w:rFonts w:ascii="Arial" w:hAnsi="Arial" w:cs="Arial"/>
          <w:sz w:val="24"/>
          <w:szCs w:val="24"/>
          <w:lang w:val="en-US"/>
        </w:rPr>
        <w:tab/>
      </w:r>
      <w:r w:rsidR="006B4A84">
        <w:rPr>
          <w:rFonts w:ascii="Arial" w:hAnsi="Arial" w:cs="Arial"/>
          <w:sz w:val="24"/>
          <w:szCs w:val="24"/>
          <w:lang w:val="en-US"/>
        </w:rPr>
        <w:t xml:space="preserve">T D </w:t>
      </w:r>
      <w:proofErr w:type="spellStart"/>
      <w:r w:rsidR="006B4A84">
        <w:rPr>
          <w:rFonts w:ascii="Arial" w:hAnsi="Arial" w:cs="Arial"/>
          <w:sz w:val="24"/>
          <w:szCs w:val="24"/>
          <w:lang w:val="en-US"/>
        </w:rPr>
        <w:t>Potgieter</w:t>
      </w:r>
      <w:proofErr w:type="spellEnd"/>
      <w:r w:rsidR="006B4A84">
        <w:rPr>
          <w:rFonts w:ascii="Arial" w:hAnsi="Arial" w:cs="Arial"/>
          <w:sz w:val="24"/>
          <w:szCs w:val="24"/>
          <w:lang w:val="en-US"/>
        </w:rPr>
        <w:t xml:space="preserve"> SC</w:t>
      </w:r>
    </w:p>
    <w:p w14:paraId="346786F5" w14:textId="00C01A6E" w:rsidR="008423D2" w:rsidRDefault="008423D2" w:rsidP="00B05C8E">
      <w:pPr>
        <w:ind w:left="5040" w:hanging="5040"/>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r>
      <w:r w:rsidR="000E6D75">
        <w:rPr>
          <w:rFonts w:ascii="Arial" w:hAnsi="Arial" w:cs="Arial"/>
          <w:sz w:val="24"/>
          <w:szCs w:val="24"/>
          <w:lang w:val="en-US"/>
        </w:rPr>
        <w:t xml:space="preserve">M J Vermeulen </w:t>
      </w:r>
      <w:proofErr w:type="spellStart"/>
      <w:r w:rsidR="000E6D75">
        <w:rPr>
          <w:rFonts w:ascii="Arial" w:hAnsi="Arial" w:cs="Arial"/>
          <w:sz w:val="24"/>
          <w:szCs w:val="24"/>
          <w:lang w:val="en-US"/>
        </w:rPr>
        <w:t>Inc</w:t>
      </w:r>
      <w:proofErr w:type="spellEnd"/>
      <w:r w:rsidR="000E6D75">
        <w:rPr>
          <w:rFonts w:ascii="Arial" w:hAnsi="Arial" w:cs="Arial"/>
          <w:sz w:val="24"/>
          <w:szCs w:val="24"/>
          <w:lang w:val="en-US"/>
        </w:rPr>
        <w:t xml:space="preserve"> c/o Walkers </w:t>
      </w:r>
      <w:proofErr w:type="spellStart"/>
      <w:r w:rsidR="000E6D75">
        <w:rPr>
          <w:rFonts w:ascii="Arial" w:hAnsi="Arial" w:cs="Arial"/>
          <w:sz w:val="24"/>
          <w:szCs w:val="24"/>
          <w:lang w:val="en-US"/>
        </w:rPr>
        <w:t>Inc</w:t>
      </w:r>
      <w:proofErr w:type="spellEnd"/>
      <w:r>
        <w:rPr>
          <w:rFonts w:ascii="Arial" w:hAnsi="Arial" w:cs="Arial"/>
          <w:sz w:val="24"/>
          <w:szCs w:val="24"/>
          <w:lang w:val="en-US"/>
        </w:rPr>
        <w:t xml:space="preserve">, </w:t>
      </w:r>
      <w:r w:rsidR="000E6D75">
        <w:rPr>
          <w:rFonts w:ascii="Arial" w:hAnsi="Arial" w:cs="Arial"/>
          <w:sz w:val="24"/>
          <w:szCs w:val="24"/>
          <w:lang w:val="en-US"/>
        </w:rPr>
        <w:t>Cape Town</w:t>
      </w:r>
    </w:p>
    <w:p w14:paraId="02B13315" w14:textId="16CD211A" w:rsidR="008423D2" w:rsidRDefault="008423D2" w:rsidP="00B05C8E">
      <w:pPr>
        <w:ind w:left="5040" w:hanging="5040"/>
        <w:rPr>
          <w:rFonts w:ascii="Arial" w:hAnsi="Arial" w:cs="Arial"/>
          <w:sz w:val="24"/>
          <w:szCs w:val="24"/>
          <w:lang w:val="en-US"/>
        </w:rPr>
      </w:pPr>
      <w:r>
        <w:rPr>
          <w:rFonts w:ascii="Arial" w:hAnsi="Arial" w:cs="Arial"/>
          <w:sz w:val="24"/>
          <w:szCs w:val="24"/>
          <w:lang w:val="en-US"/>
        </w:rPr>
        <w:tab/>
      </w:r>
      <w:r w:rsidR="000E6D75">
        <w:rPr>
          <w:rFonts w:ascii="Arial" w:hAnsi="Arial" w:cs="Arial"/>
          <w:sz w:val="24"/>
          <w:szCs w:val="24"/>
          <w:lang w:val="en-US"/>
        </w:rPr>
        <w:t xml:space="preserve">Hill </w:t>
      </w:r>
      <w:proofErr w:type="spellStart"/>
      <w:r w:rsidR="000E6D75">
        <w:rPr>
          <w:rFonts w:ascii="Arial" w:hAnsi="Arial" w:cs="Arial"/>
          <w:sz w:val="24"/>
          <w:szCs w:val="24"/>
          <w:lang w:val="en-US"/>
        </w:rPr>
        <w:t>McHardy</w:t>
      </w:r>
      <w:proofErr w:type="spellEnd"/>
      <w:r w:rsidR="000E6D75">
        <w:rPr>
          <w:rFonts w:ascii="Arial" w:hAnsi="Arial" w:cs="Arial"/>
          <w:sz w:val="24"/>
          <w:szCs w:val="24"/>
          <w:lang w:val="en-US"/>
        </w:rPr>
        <w:t xml:space="preserve"> &amp; </w:t>
      </w:r>
      <w:proofErr w:type="spellStart"/>
      <w:r w:rsidR="000E6D75">
        <w:rPr>
          <w:rFonts w:ascii="Arial" w:hAnsi="Arial" w:cs="Arial"/>
          <w:sz w:val="24"/>
          <w:szCs w:val="24"/>
          <w:lang w:val="en-US"/>
        </w:rPr>
        <w:t>Herbst</w:t>
      </w:r>
      <w:proofErr w:type="spellEnd"/>
      <w:r w:rsidR="00074E74">
        <w:rPr>
          <w:rFonts w:ascii="Arial" w:hAnsi="Arial" w:cs="Arial"/>
          <w:sz w:val="24"/>
          <w:szCs w:val="24"/>
          <w:lang w:val="en-US"/>
        </w:rPr>
        <w:t>,</w:t>
      </w:r>
      <w:r>
        <w:rPr>
          <w:rFonts w:ascii="Arial" w:hAnsi="Arial" w:cs="Arial"/>
          <w:sz w:val="24"/>
          <w:szCs w:val="24"/>
          <w:lang w:val="en-US"/>
        </w:rPr>
        <w:t xml:space="preserve"> Bloemfontein</w:t>
      </w:r>
    </w:p>
    <w:p w14:paraId="3A67D3A6" w14:textId="77777777" w:rsidR="00074E74" w:rsidRDefault="00074E74" w:rsidP="00B05C8E">
      <w:pPr>
        <w:ind w:left="5040" w:hanging="5040"/>
        <w:rPr>
          <w:rFonts w:ascii="Arial" w:hAnsi="Arial" w:cs="Arial"/>
          <w:sz w:val="24"/>
          <w:szCs w:val="24"/>
          <w:lang w:val="en-US"/>
        </w:rPr>
      </w:pPr>
    </w:p>
    <w:p w14:paraId="5ACFCA9F" w14:textId="6469C84B" w:rsidR="00074E74" w:rsidRDefault="00074E74" w:rsidP="00B05C8E">
      <w:pPr>
        <w:ind w:left="5040" w:hanging="5040"/>
        <w:rPr>
          <w:rFonts w:ascii="Arial" w:hAnsi="Arial" w:cs="Arial"/>
          <w:sz w:val="24"/>
          <w:szCs w:val="24"/>
          <w:lang w:val="en-US"/>
        </w:rPr>
      </w:pPr>
      <w:r>
        <w:rPr>
          <w:rFonts w:ascii="Arial" w:hAnsi="Arial" w:cs="Arial"/>
          <w:sz w:val="24"/>
          <w:szCs w:val="24"/>
          <w:lang w:val="en-US"/>
        </w:rPr>
        <w:t xml:space="preserve">For </w:t>
      </w:r>
      <w:r w:rsidR="00365C93">
        <w:rPr>
          <w:rFonts w:ascii="Arial" w:hAnsi="Arial" w:cs="Arial"/>
          <w:sz w:val="24"/>
          <w:szCs w:val="24"/>
          <w:lang w:val="en-US"/>
        </w:rPr>
        <w:t>respondent</w:t>
      </w:r>
      <w:r>
        <w:rPr>
          <w:rFonts w:ascii="Arial" w:hAnsi="Arial" w:cs="Arial"/>
          <w:sz w:val="24"/>
          <w:szCs w:val="24"/>
          <w:lang w:val="en-US"/>
        </w:rPr>
        <w:t>:</w:t>
      </w:r>
      <w:r>
        <w:rPr>
          <w:rFonts w:ascii="Arial" w:hAnsi="Arial" w:cs="Arial"/>
          <w:sz w:val="24"/>
          <w:szCs w:val="24"/>
          <w:lang w:val="en-US"/>
        </w:rPr>
        <w:tab/>
      </w:r>
      <w:r w:rsidR="006B4A84">
        <w:rPr>
          <w:rFonts w:ascii="Arial" w:hAnsi="Arial" w:cs="Arial"/>
          <w:sz w:val="24"/>
          <w:szCs w:val="24"/>
          <w:lang w:val="en-US"/>
        </w:rPr>
        <w:t xml:space="preserve">R Goodman SC </w:t>
      </w:r>
      <w:r w:rsidR="006D42D1">
        <w:rPr>
          <w:rFonts w:ascii="Arial" w:hAnsi="Arial" w:cs="Arial"/>
          <w:sz w:val="24"/>
          <w:szCs w:val="24"/>
          <w:lang w:val="en-US"/>
        </w:rPr>
        <w:t>(with</w:t>
      </w:r>
      <w:r w:rsidR="006B4A84">
        <w:rPr>
          <w:rFonts w:ascii="Arial" w:hAnsi="Arial" w:cs="Arial"/>
          <w:sz w:val="24"/>
          <w:szCs w:val="24"/>
          <w:lang w:val="en-US"/>
        </w:rPr>
        <w:t xml:space="preserve"> P van </w:t>
      </w:r>
      <w:proofErr w:type="spellStart"/>
      <w:r w:rsidR="006B4A84">
        <w:rPr>
          <w:rFonts w:ascii="Arial" w:hAnsi="Arial" w:cs="Arial"/>
          <w:sz w:val="24"/>
          <w:szCs w:val="24"/>
          <w:lang w:val="en-US"/>
        </w:rPr>
        <w:t>Zyl</w:t>
      </w:r>
      <w:proofErr w:type="spellEnd"/>
      <w:r w:rsidR="00191673">
        <w:rPr>
          <w:rFonts w:ascii="Arial" w:hAnsi="Arial" w:cs="Arial"/>
          <w:sz w:val="24"/>
          <w:szCs w:val="24"/>
          <w:lang w:val="en-US"/>
        </w:rPr>
        <w:t>)</w:t>
      </w:r>
    </w:p>
    <w:p w14:paraId="709D11D9" w14:textId="549E9FEA" w:rsidR="00074E74" w:rsidRDefault="000E6D75" w:rsidP="00B05C8E">
      <w:pPr>
        <w:ind w:left="5040" w:hanging="5040"/>
        <w:rPr>
          <w:rFonts w:ascii="Arial" w:hAnsi="Arial" w:cs="Arial"/>
          <w:sz w:val="24"/>
          <w:szCs w:val="24"/>
          <w:lang w:val="en-US"/>
        </w:rPr>
      </w:pPr>
      <w:r>
        <w:rPr>
          <w:rFonts w:ascii="Arial" w:hAnsi="Arial" w:cs="Arial"/>
          <w:sz w:val="24"/>
          <w:szCs w:val="24"/>
          <w:lang w:val="en-US"/>
        </w:rPr>
        <w:t>Instructed by:</w:t>
      </w:r>
      <w:r>
        <w:rPr>
          <w:rFonts w:ascii="Arial" w:hAnsi="Arial" w:cs="Arial"/>
          <w:sz w:val="24"/>
          <w:szCs w:val="24"/>
          <w:lang w:val="en-US"/>
        </w:rPr>
        <w:tab/>
      </w:r>
      <w:proofErr w:type="spellStart"/>
      <w:r>
        <w:rPr>
          <w:rFonts w:ascii="Arial" w:hAnsi="Arial" w:cs="Arial"/>
          <w:sz w:val="24"/>
          <w:szCs w:val="24"/>
          <w:lang w:val="en-US"/>
        </w:rPr>
        <w:t>Barnaschone</w:t>
      </w:r>
      <w:proofErr w:type="spellEnd"/>
      <w:r>
        <w:rPr>
          <w:rFonts w:ascii="Arial" w:hAnsi="Arial" w:cs="Arial"/>
          <w:sz w:val="24"/>
          <w:szCs w:val="24"/>
          <w:lang w:val="en-US"/>
        </w:rPr>
        <w:t xml:space="preserve"> Attorneys, Cape Town</w:t>
      </w:r>
    </w:p>
    <w:p w14:paraId="54C294BD" w14:textId="2A95342E" w:rsidR="00074E74" w:rsidRDefault="00074E74" w:rsidP="00B05C8E">
      <w:pPr>
        <w:ind w:left="5040" w:hanging="5040"/>
        <w:rPr>
          <w:rFonts w:ascii="Arial" w:hAnsi="Arial" w:cs="Arial"/>
          <w:sz w:val="24"/>
          <w:szCs w:val="24"/>
          <w:lang w:val="en-US"/>
        </w:rPr>
      </w:pPr>
      <w:r>
        <w:rPr>
          <w:rFonts w:ascii="Arial" w:hAnsi="Arial" w:cs="Arial"/>
          <w:sz w:val="24"/>
          <w:szCs w:val="24"/>
          <w:lang w:val="en-US"/>
        </w:rPr>
        <w:tab/>
      </w:r>
      <w:r w:rsidR="000E6D75">
        <w:rPr>
          <w:rFonts w:ascii="Arial" w:hAnsi="Arial" w:cs="Arial"/>
          <w:sz w:val="24"/>
          <w:szCs w:val="24"/>
          <w:lang w:val="en-US"/>
        </w:rPr>
        <w:t>McIntyre &amp; Van der Post</w:t>
      </w:r>
      <w:r>
        <w:rPr>
          <w:rFonts w:ascii="Arial" w:hAnsi="Arial" w:cs="Arial"/>
          <w:sz w:val="24"/>
          <w:szCs w:val="24"/>
          <w:lang w:val="en-US"/>
        </w:rPr>
        <w:t>, Bloemfontein</w:t>
      </w:r>
      <w:r w:rsidR="00652842">
        <w:rPr>
          <w:rFonts w:ascii="Arial" w:hAnsi="Arial" w:cs="Arial"/>
          <w:sz w:val="24"/>
          <w:szCs w:val="24"/>
          <w:lang w:val="en-US"/>
        </w:rPr>
        <w:t>.</w:t>
      </w:r>
    </w:p>
    <w:p w14:paraId="3C2F6411" w14:textId="77777777" w:rsidR="00074E74" w:rsidRDefault="00074E74" w:rsidP="00B05C8E">
      <w:pPr>
        <w:ind w:left="5040" w:hanging="5040"/>
        <w:rPr>
          <w:rFonts w:ascii="Arial" w:hAnsi="Arial" w:cs="Arial"/>
          <w:sz w:val="24"/>
          <w:szCs w:val="24"/>
          <w:lang w:val="en-US"/>
        </w:rPr>
      </w:pPr>
    </w:p>
    <w:p w14:paraId="011EB513" w14:textId="77777777" w:rsidR="00074E74" w:rsidRDefault="00074E74" w:rsidP="00B05C8E">
      <w:pPr>
        <w:ind w:left="5040" w:hanging="5040"/>
        <w:rPr>
          <w:rFonts w:ascii="Arial" w:hAnsi="Arial" w:cs="Arial"/>
          <w:sz w:val="24"/>
          <w:szCs w:val="24"/>
          <w:lang w:val="en-US"/>
        </w:rPr>
      </w:pPr>
    </w:p>
    <w:p w14:paraId="485D6BA3" w14:textId="3F154356" w:rsidR="008423D2" w:rsidRDefault="008423D2" w:rsidP="00B05C8E">
      <w:pPr>
        <w:ind w:left="5040" w:hanging="5040"/>
        <w:rPr>
          <w:rFonts w:ascii="Arial" w:hAnsi="Arial" w:cs="Arial"/>
          <w:sz w:val="24"/>
          <w:szCs w:val="24"/>
          <w:lang w:val="en-US"/>
        </w:rPr>
      </w:pPr>
    </w:p>
    <w:sectPr w:rsidR="008423D2" w:rsidSect="00D80EC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832DC" w14:textId="77777777" w:rsidR="00AA59C3" w:rsidRDefault="00AA59C3" w:rsidP="007C4A7C">
      <w:pPr>
        <w:spacing w:line="240" w:lineRule="auto"/>
      </w:pPr>
      <w:r>
        <w:separator/>
      </w:r>
    </w:p>
  </w:endnote>
  <w:endnote w:type="continuationSeparator" w:id="0">
    <w:p w14:paraId="35EEBA38" w14:textId="77777777" w:rsidR="00AA59C3" w:rsidRDefault="00AA59C3" w:rsidP="007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08463" w14:textId="77777777" w:rsidR="00AA59C3" w:rsidRDefault="00AA59C3" w:rsidP="007C4A7C">
      <w:pPr>
        <w:spacing w:line="240" w:lineRule="auto"/>
      </w:pPr>
      <w:r>
        <w:separator/>
      </w:r>
    </w:p>
  </w:footnote>
  <w:footnote w:type="continuationSeparator" w:id="0">
    <w:p w14:paraId="65192F02" w14:textId="77777777" w:rsidR="00AA59C3" w:rsidRDefault="00AA59C3" w:rsidP="007C4A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15000"/>
      <w:docPartObj>
        <w:docPartGallery w:val="Page Numbers (Top of Page)"/>
        <w:docPartUnique/>
      </w:docPartObj>
    </w:sdtPr>
    <w:sdtEndPr>
      <w:rPr>
        <w:noProof/>
      </w:rPr>
    </w:sdtEndPr>
    <w:sdtContent>
      <w:p w14:paraId="14F9FF7B" w14:textId="5E67EE29" w:rsidR="00365C93" w:rsidRDefault="00365C93">
        <w:pPr>
          <w:pStyle w:val="Header"/>
          <w:jc w:val="right"/>
        </w:pPr>
        <w:r>
          <w:fldChar w:fldCharType="begin"/>
        </w:r>
        <w:r>
          <w:instrText xml:space="preserve"> PAGE   \* MERGEFORMAT </w:instrText>
        </w:r>
        <w:r>
          <w:fldChar w:fldCharType="separate"/>
        </w:r>
        <w:r w:rsidR="00A630D5">
          <w:rPr>
            <w:noProof/>
          </w:rPr>
          <w:t>11</w:t>
        </w:r>
        <w:r>
          <w:rPr>
            <w:noProof/>
          </w:rPr>
          <w:fldChar w:fldCharType="end"/>
        </w:r>
      </w:p>
    </w:sdtContent>
  </w:sdt>
  <w:p w14:paraId="72084E89" w14:textId="77777777" w:rsidR="00722DBE" w:rsidRDefault="00722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7"/>
    <w:rsid w:val="00006AE0"/>
    <w:rsid w:val="00013B9A"/>
    <w:rsid w:val="000162D3"/>
    <w:rsid w:val="00016BBD"/>
    <w:rsid w:val="0001710F"/>
    <w:rsid w:val="00020D0C"/>
    <w:rsid w:val="0004135F"/>
    <w:rsid w:val="00042F36"/>
    <w:rsid w:val="00044D61"/>
    <w:rsid w:val="00055942"/>
    <w:rsid w:val="00074E74"/>
    <w:rsid w:val="00075874"/>
    <w:rsid w:val="0008018D"/>
    <w:rsid w:val="00081D01"/>
    <w:rsid w:val="00083774"/>
    <w:rsid w:val="00092236"/>
    <w:rsid w:val="00095838"/>
    <w:rsid w:val="000A66DB"/>
    <w:rsid w:val="000A7F1A"/>
    <w:rsid w:val="000B7581"/>
    <w:rsid w:val="000C5219"/>
    <w:rsid w:val="000D6CCD"/>
    <w:rsid w:val="000E5B37"/>
    <w:rsid w:val="000E69F7"/>
    <w:rsid w:val="000E6D75"/>
    <w:rsid w:val="000F62CE"/>
    <w:rsid w:val="000F76EF"/>
    <w:rsid w:val="00101AA9"/>
    <w:rsid w:val="00101FE2"/>
    <w:rsid w:val="00104D6F"/>
    <w:rsid w:val="00107E3D"/>
    <w:rsid w:val="001169C1"/>
    <w:rsid w:val="00122DB9"/>
    <w:rsid w:val="00133ADF"/>
    <w:rsid w:val="0013530D"/>
    <w:rsid w:val="001401DE"/>
    <w:rsid w:val="001403CA"/>
    <w:rsid w:val="001530BF"/>
    <w:rsid w:val="00153767"/>
    <w:rsid w:val="00153AEB"/>
    <w:rsid w:val="00156D7A"/>
    <w:rsid w:val="00157370"/>
    <w:rsid w:val="00157959"/>
    <w:rsid w:val="00160C32"/>
    <w:rsid w:val="00161E17"/>
    <w:rsid w:val="00161EC3"/>
    <w:rsid w:val="00167D97"/>
    <w:rsid w:val="0018044B"/>
    <w:rsid w:val="001824D7"/>
    <w:rsid w:val="00183A66"/>
    <w:rsid w:val="00183D73"/>
    <w:rsid w:val="001849B3"/>
    <w:rsid w:val="00184B22"/>
    <w:rsid w:val="00190CE2"/>
    <w:rsid w:val="00191673"/>
    <w:rsid w:val="001A176C"/>
    <w:rsid w:val="001A6650"/>
    <w:rsid w:val="001A793F"/>
    <w:rsid w:val="001B727D"/>
    <w:rsid w:val="001C0D31"/>
    <w:rsid w:val="001C3191"/>
    <w:rsid w:val="001C4328"/>
    <w:rsid w:val="001C72CF"/>
    <w:rsid w:val="001D4C1B"/>
    <w:rsid w:val="001E22AA"/>
    <w:rsid w:val="001E274B"/>
    <w:rsid w:val="001E59D4"/>
    <w:rsid w:val="001E60C9"/>
    <w:rsid w:val="001E6D41"/>
    <w:rsid w:val="001E788F"/>
    <w:rsid w:val="001F0B10"/>
    <w:rsid w:val="00201CA8"/>
    <w:rsid w:val="002038A1"/>
    <w:rsid w:val="00206B7C"/>
    <w:rsid w:val="002073C1"/>
    <w:rsid w:val="002101C5"/>
    <w:rsid w:val="00214DC8"/>
    <w:rsid w:val="00216451"/>
    <w:rsid w:val="0022160B"/>
    <w:rsid w:val="00222DBE"/>
    <w:rsid w:val="002263EA"/>
    <w:rsid w:val="00226859"/>
    <w:rsid w:val="002316CD"/>
    <w:rsid w:val="00245457"/>
    <w:rsid w:val="002550DB"/>
    <w:rsid w:val="002552D0"/>
    <w:rsid w:val="00255382"/>
    <w:rsid w:val="0026544A"/>
    <w:rsid w:val="0026737C"/>
    <w:rsid w:val="0027171C"/>
    <w:rsid w:val="0028108E"/>
    <w:rsid w:val="002818B0"/>
    <w:rsid w:val="00282CEA"/>
    <w:rsid w:val="002A458D"/>
    <w:rsid w:val="002B20B7"/>
    <w:rsid w:val="002B20CA"/>
    <w:rsid w:val="002B221E"/>
    <w:rsid w:val="002B2672"/>
    <w:rsid w:val="002C0E38"/>
    <w:rsid w:val="002C4B7D"/>
    <w:rsid w:val="002C7E13"/>
    <w:rsid w:val="002E15A6"/>
    <w:rsid w:val="002E6B94"/>
    <w:rsid w:val="002F0852"/>
    <w:rsid w:val="002F0A1A"/>
    <w:rsid w:val="002F1D71"/>
    <w:rsid w:val="002F3686"/>
    <w:rsid w:val="002F424B"/>
    <w:rsid w:val="00315C1A"/>
    <w:rsid w:val="003244D0"/>
    <w:rsid w:val="00326314"/>
    <w:rsid w:val="003336C5"/>
    <w:rsid w:val="00342515"/>
    <w:rsid w:val="00344C19"/>
    <w:rsid w:val="003510C0"/>
    <w:rsid w:val="003515FB"/>
    <w:rsid w:val="00351EB3"/>
    <w:rsid w:val="00353140"/>
    <w:rsid w:val="00361676"/>
    <w:rsid w:val="00362FBD"/>
    <w:rsid w:val="00365C93"/>
    <w:rsid w:val="003721A6"/>
    <w:rsid w:val="0038418E"/>
    <w:rsid w:val="00391BCB"/>
    <w:rsid w:val="00393609"/>
    <w:rsid w:val="00394014"/>
    <w:rsid w:val="003965B9"/>
    <w:rsid w:val="003A2D6C"/>
    <w:rsid w:val="003B6798"/>
    <w:rsid w:val="003C1D50"/>
    <w:rsid w:val="003D322D"/>
    <w:rsid w:val="003E3D0E"/>
    <w:rsid w:val="003E6EAA"/>
    <w:rsid w:val="003F00C5"/>
    <w:rsid w:val="003F72FA"/>
    <w:rsid w:val="00407FF7"/>
    <w:rsid w:val="004124A8"/>
    <w:rsid w:val="00412A78"/>
    <w:rsid w:val="004157F4"/>
    <w:rsid w:val="004166F2"/>
    <w:rsid w:val="00421B26"/>
    <w:rsid w:val="00435CFD"/>
    <w:rsid w:val="004371C3"/>
    <w:rsid w:val="00442085"/>
    <w:rsid w:val="00442177"/>
    <w:rsid w:val="00442B86"/>
    <w:rsid w:val="00451B9D"/>
    <w:rsid w:val="00461EAD"/>
    <w:rsid w:val="0047051C"/>
    <w:rsid w:val="00471742"/>
    <w:rsid w:val="004778A2"/>
    <w:rsid w:val="004840FE"/>
    <w:rsid w:val="00494104"/>
    <w:rsid w:val="004A05B1"/>
    <w:rsid w:val="004A1B6A"/>
    <w:rsid w:val="004A59AD"/>
    <w:rsid w:val="004B1EBF"/>
    <w:rsid w:val="004B4F92"/>
    <w:rsid w:val="004B5CA1"/>
    <w:rsid w:val="004B6074"/>
    <w:rsid w:val="004B6F1E"/>
    <w:rsid w:val="004C4A13"/>
    <w:rsid w:val="004D0C5E"/>
    <w:rsid w:val="004D3309"/>
    <w:rsid w:val="004D70CF"/>
    <w:rsid w:val="004F0AB0"/>
    <w:rsid w:val="00504028"/>
    <w:rsid w:val="005061EB"/>
    <w:rsid w:val="0051217D"/>
    <w:rsid w:val="00512EC5"/>
    <w:rsid w:val="00517C9D"/>
    <w:rsid w:val="005222E3"/>
    <w:rsid w:val="00526880"/>
    <w:rsid w:val="00526AE4"/>
    <w:rsid w:val="00527F0C"/>
    <w:rsid w:val="005304C3"/>
    <w:rsid w:val="00532734"/>
    <w:rsid w:val="005333D0"/>
    <w:rsid w:val="00540022"/>
    <w:rsid w:val="00541D69"/>
    <w:rsid w:val="00544D74"/>
    <w:rsid w:val="00547406"/>
    <w:rsid w:val="00550E03"/>
    <w:rsid w:val="00552BF9"/>
    <w:rsid w:val="00556F4B"/>
    <w:rsid w:val="00560E71"/>
    <w:rsid w:val="00565E90"/>
    <w:rsid w:val="00566F9F"/>
    <w:rsid w:val="005679E1"/>
    <w:rsid w:val="00571EDE"/>
    <w:rsid w:val="00582269"/>
    <w:rsid w:val="0058421F"/>
    <w:rsid w:val="00590A59"/>
    <w:rsid w:val="00596C0F"/>
    <w:rsid w:val="005A4366"/>
    <w:rsid w:val="005A4391"/>
    <w:rsid w:val="005B5731"/>
    <w:rsid w:val="005B7840"/>
    <w:rsid w:val="005C20B3"/>
    <w:rsid w:val="005C40AF"/>
    <w:rsid w:val="005C4D26"/>
    <w:rsid w:val="005C5EAA"/>
    <w:rsid w:val="005D0745"/>
    <w:rsid w:val="005D2419"/>
    <w:rsid w:val="005D244C"/>
    <w:rsid w:val="005D2B60"/>
    <w:rsid w:val="005E16A4"/>
    <w:rsid w:val="005E1825"/>
    <w:rsid w:val="005E64F9"/>
    <w:rsid w:val="005F1A1C"/>
    <w:rsid w:val="00601E48"/>
    <w:rsid w:val="00603EFB"/>
    <w:rsid w:val="00606CFE"/>
    <w:rsid w:val="006074A2"/>
    <w:rsid w:val="00613287"/>
    <w:rsid w:val="00621169"/>
    <w:rsid w:val="0063157A"/>
    <w:rsid w:val="006323AC"/>
    <w:rsid w:val="00637DFB"/>
    <w:rsid w:val="00637F4E"/>
    <w:rsid w:val="00645250"/>
    <w:rsid w:val="006501B4"/>
    <w:rsid w:val="006513A2"/>
    <w:rsid w:val="00652842"/>
    <w:rsid w:val="00656FB9"/>
    <w:rsid w:val="00664A9C"/>
    <w:rsid w:val="00671AD4"/>
    <w:rsid w:val="00674B64"/>
    <w:rsid w:val="0068288A"/>
    <w:rsid w:val="0068772E"/>
    <w:rsid w:val="00693EB6"/>
    <w:rsid w:val="006952FA"/>
    <w:rsid w:val="0069783C"/>
    <w:rsid w:val="006A2FBE"/>
    <w:rsid w:val="006A7137"/>
    <w:rsid w:val="006B4A84"/>
    <w:rsid w:val="006C18C1"/>
    <w:rsid w:val="006C6499"/>
    <w:rsid w:val="006C7FEC"/>
    <w:rsid w:val="006D42D1"/>
    <w:rsid w:val="006D60EB"/>
    <w:rsid w:val="006F0F41"/>
    <w:rsid w:val="006F3C39"/>
    <w:rsid w:val="00704186"/>
    <w:rsid w:val="0070560B"/>
    <w:rsid w:val="00705B58"/>
    <w:rsid w:val="007124AB"/>
    <w:rsid w:val="00712824"/>
    <w:rsid w:val="007142E1"/>
    <w:rsid w:val="00722DBE"/>
    <w:rsid w:val="00735D4D"/>
    <w:rsid w:val="00736D02"/>
    <w:rsid w:val="00746BDA"/>
    <w:rsid w:val="00750FED"/>
    <w:rsid w:val="0075364F"/>
    <w:rsid w:val="00763BB2"/>
    <w:rsid w:val="00770269"/>
    <w:rsid w:val="00774DE6"/>
    <w:rsid w:val="00775BDC"/>
    <w:rsid w:val="00780743"/>
    <w:rsid w:val="00782759"/>
    <w:rsid w:val="00785DB2"/>
    <w:rsid w:val="00793313"/>
    <w:rsid w:val="00793984"/>
    <w:rsid w:val="007A699E"/>
    <w:rsid w:val="007B781C"/>
    <w:rsid w:val="007C47B0"/>
    <w:rsid w:val="007C4A7C"/>
    <w:rsid w:val="007C69CC"/>
    <w:rsid w:val="007D56BA"/>
    <w:rsid w:val="007D5938"/>
    <w:rsid w:val="007E2700"/>
    <w:rsid w:val="007E3D5F"/>
    <w:rsid w:val="007E5A0E"/>
    <w:rsid w:val="007F2290"/>
    <w:rsid w:val="007F2D79"/>
    <w:rsid w:val="007F4964"/>
    <w:rsid w:val="007F5BE0"/>
    <w:rsid w:val="00802BF7"/>
    <w:rsid w:val="00803BD7"/>
    <w:rsid w:val="00834C5F"/>
    <w:rsid w:val="00840B26"/>
    <w:rsid w:val="008423D2"/>
    <w:rsid w:val="008535F0"/>
    <w:rsid w:val="0087287E"/>
    <w:rsid w:val="00873B15"/>
    <w:rsid w:val="00875EA3"/>
    <w:rsid w:val="00876379"/>
    <w:rsid w:val="00881AEF"/>
    <w:rsid w:val="008852A8"/>
    <w:rsid w:val="00891CF3"/>
    <w:rsid w:val="008956AB"/>
    <w:rsid w:val="00897C8C"/>
    <w:rsid w:val="008A5AC1"/>
    <w:rsid w:val="008B4E75"/>
    <w:rsid w:val="008C3428"/>
    <w:rsid w:val="008D2A9B"/>
    <w:rsid w:val="008D67EE"/>
    <w:rsid w:val="008E0545"/>
    <w:rsid w:val="008E0874"/>
    <w:rsid w:val="008F1242"/>
    <w:rsid w:val="008F2528"/>
    <w:rsid w:val="008F2CCC"/>
    <w:rsid w:val="008F6E7E"/>
    <w:rsid w:val="009012F2"/>
    <w:rsid w:val="009023D2"/>
    <w:rsid w:val="00907EC7"/>
    <w:rsid w:val="00923BB3"/>
    <w:rsid w:val="00926202"/>
    <w:rsid w:val="00933F5C"/>
    <w:rsid w:val="00935795"/>
    <w:rsid w:val="00945DA0"/>
    <w:rsid w:val="009460E3"/>
    <w:rsid w:val="009549EF"/>
    <w:rsid w:val="0095566F"/>
    <w:rsid w:val="009562EA"/>
    <w:rsid w:val="00960326"/>
    <w:rsid w:val="00962017"/>
    <w:rsid w:val="00965EE2"/>
    <w:rsid w:val="00970F31"/>
    <w:rsid w:val="00971011"/>
    <w:rsid w:val="0097523A"/>
    <w:rsid w:val="00980E5C"/>
    <w:rsid w:val="009815BA"/>
    <w:rsid w:val="00983DA8"/>
    <w:rsid w:val="009842D8"/>
    <w:rsid w:val="00984E0C"/>
    <w:rsid w:val="00996D1F"/>
    <w:rsid w:val="009A1ADF"/>
    <w:rsid w:val="009B19E8"/>
    <w:rsid w:val="009B3B10"/>
    <w:rsid w:val="009B4AF8"/>
    <w:rsid w:val="009B4CFA"/>
    <w:rsid w:val="009C0DA3"/>
    <w:rsid w:val="009C11E0"/>
    <w:rsid w:val="009C2713"/>
    <w:rsid w:val="009D58CF"/>
    <w:rsid w:val="009D6D51"/>
    <w:rsid w:val="009F05D3"/>
    <w:rsid w:val="009F40CA"/>
    <w:rsid w:val="009F6672"/>
    <w:rsid w:val="00A01678"/>
    <w:rsid w:val="00A025D1"/>
    <w:rsid w:val="00A04E6C"/>
    <w:rsid w:val="00A148E4"/>
    <w:rsid w:val="00A16AC1"/>
    <w:rsid w:val="00A16ADA"/>
    <w:rsid w:val="00A17461"/>
    <w:rsid w:val="00A23219"/>
    <w:rsid w:val="00A24F39"/>
    <w:rsid w:val="00A33326"/>
    <w:rsid w:val="00A35E7D"/>
    <w:rsid w:val="00A375B0"/>
    <w:rsid w:val="00A46EF2"/>
    <w:rsid w:val="00A626CD"/>
    <w:rsid w:val="00A630D5"/>
    <w:rsid w:val="00A641C9"/>
    <w:rsid w:val="00A644A3"/>
    <w:rsid w:val="00A67741"/>
    <w:rsid w:val="00A7101A"/>
    <w:rsid w:val="00A71058"/>
    <w:rsid w:val="00A72CD9"/>
    <w:rsid w:val="00A77ADF"/>
    <w:rsid w:val="00A867BA"/>
    <w:rsid w:val="00A87861"/>
    <w:rsid w:val="00A91A88"/>
    <w:rsid w:val="00A93151"/>
    <w:rsid w:val="00A96832"/>
    <w:rsid w:val="00AA3379"/>
    <w:rsid w:val="00AA59C3"/>
    <w:rsid w:val="00AB34E4"/>
    <w:rsid w:val="00AC2E24"/>
    <w:rsid w:val="00AC6AA6"/>
    <w:rsid w:val="00AD6C40"/>
    <w:rsid w:val="00AE059D"/>
    <w:rsid w:val="00AF78FD"/>
    <w:rsid w:val="00B05C8E"/>
    <w:rsid w:val="00B06466"/>
    <w:rsid w:val="00B26B4F"/>
    <w:rsid w:val="00B27B16"/>
    <w:rsid w:val="00B3173A"/>
    <w:rsid w:val="00B378FF"/>
    <w:rsid w:val="00B42E74"/>
    <w:rsid w:val="00B53135"/>
    <w:rsid w:val="00B61B67"/>
    <w:rsid w:val="00B61EF8"/>
    <w:rsid w:val="00B63807"/>
    <w:rsid w:val="00B76706"/>
    <w:rsid w:val="00B7722C"/>
    <w:rsid w:val="00B81743"/>
    <w:rsid w:val="00B8277C"/>
    <w:rsid w:val="00B84981"/>
    <w:rsid w:val="00B85F5C"/>
    <w:rsid w:val="00B91DA9"/>
    <w:rsid w:val="00B942EA"/>
    <w:rsid w:val="00B96974"/>
    <w:rsid w:val="00BA2749"/>
    <w:rsid w:val="00BB610A"/>
    <w:rsid w:val="00BB7AE7"/>
    <w:rsid w:val="00BC047B"/>
    <w:rsid w:val="00BC50CC"/>
    <w:rsid w:val="00BD4DCC"/>
    <w:rsid w:val="00BD5FF4"/>
    <w:rsid w:val="00BD7284"/>
    <w:rsid w:val="00BD73E7"/>
    <w:rsid w:val="00BE14E4"/>
    <w:rsid w:val="00BE26D8"/>
    <w:rsid w:val="00BF1FA9"/>
    <w:rsid w:val="00BF3D61"/>
    <w:rsid w:val="00BF5062"/>
    <w:rsid w:val="00BF5157"/>
    <w:rsid w:val="00BF6110"/>
    <w:rsid w:val="00C01794"/>
    <w:rsid w:val="00C048EE"/>
    <w:rsid w:val="00C05E32"/>
    <w:rsid w:val="00C06702"/>
    <w:rsid w:val="00C11CED"/>
    <w:rsid w:val="00C12EC2"/>
    <w:rsid w:val="00C17572"/>
    <w:rsid w:val="00C20B88"/>
    <w:rsid w:val="00C22715"/>
    <w:rsid w:val="00C2374F"/>
    <w:rsid w:val="00C26575"/>
    <w:rsid w:val="00C27006"/>
    <w:rsid w:val="00C317C8"/>
    <w:rsid w:val="00C402F6"/>
    <w:rsid w:val="00C4154A"/>
    <w:rsid w:val="00C4204E"/>
    <w:rsid w:val="00C42192"/>
    <w:rsid w:val="00C44BFD"/>
    <w:rsid w:val="00C52982"/>
    <w:rsid w:val="00C5364C"/>
    <w:rsid w:val="00C5500C"/>
    <w:rsid w:val="00C56797"/>
    <w:rsid w:val="00C62795"/>
    <w:rsid w:val="00C66982"/>
    <w:rsid w:val="00C66DE9"/>
    <w:rsid w:val="00C73218"/>
    <w:rsid w:val="00C746C7"/>
    <w:rsid w:val="00C763A3"/>
    <w:rsid w:val="00C779A2"/>
    <w:rsid w:val="00C9156A"/>
    <w:rsid w:val="00C92165"/>
    <w:rsid w:val="00C946E9"/>
    <w:rsid w:val="00CA1EEE"/>
    <w:rsid w:val="00CA2E30"/>
    <w:rsid w:val="00CA5E21"/>
    <w:rsid w:val="00CA6202"/>
    <w:rsid w:val="00CB06F7"/>
    <w:rsid w:val="00CC2703"/>
    <w:rsid w:val="00CC3DF6"/>
    <w:rsid w:val="00CC3E29"/>
    <w:rsid w:val="00CD23F1"/>
    <w:rsid w:val="00CD50F8"/>
    <w:rsid w:val="00CE1299"/>
    <w:rsid w:val="00CE59A8"/>
    <w:rsid w:val="00CE6E34"/>
    <w:rsid w:val="00CF0171"/>
    <w:rsid w:val="00D026D3"/>
    <w:rsid w:val="00D039F1"/>
    <w:rsid w:val="00D044A1"/>
    <w:rsid w:val="00D05983"/>
    <w:rsid w:val="00D107F4"/>
    <w:rsid w:val="00D12391"/>
    <w:rsid w:val="00D168CC"/>
    <w:rsid w:val="00D178DF"/>
    <w:rsid w:val="00D31A4B"/>
    <w:rsid w:val="00D341FB"/>
    <w:rsid w:val="00D379C3"/>
    <w:rsid w:val="00D47A4E"/>
    <w:rsid w:val="00D523FC"/>
    <w:rsid w:val="00D53C15"/>
    <w:rsid w:val="00D53DBB"/>
    <w:rsid w:val="00D53E80"/>
    <w:rsid w:val="00D56D98"/>
    <w:rsid w:val="00D6724C"/>
    <w:rsid w:val="00D71955"/>
    <w:rsid w:val="00D73493"/>
    <w:rsid w:val="00D75B17"/>
    <w:rsid w:val="00D80E77"/>
    <w:rsid w:val="00D80EC9"/>
    <w:rsid w:val="00D839ED"/>
    <w:rsid w:val="00D86128"/>
    <w:rsid w:val="00D90AAB"/>
    <w:rsid w:val="00D91516"/>
    <w:rsid w:val="00D97973"/>
    <w:rsid w:val="00DA05E7"/>
    <w:rsid w:val="00DB251B"/>
    <w:rsid w:val="00DB34CC"/>
    <w:rsid w:val="00DB724A"/>
    <w:rsid w:val="00DC0205"/>
    <w:rsid w:val="00DC238A"/>
    <w:rsid w:val="00DC30F4"/>
    <w:rsid w:val="00DC5FE6"/>
    <w:rsid w:val="00DC7BD7"/>
    <w:rsid w:val="00DD7B12"/>
    <w:rsid w:val="00DD7BC7"/>
    <w:rsid w:val="00DF44F7"/>
    <w:rsid w:val="00DF465D"/>
    <w:rsid w:val="00E1776F"/>
    <w:rsid w:val="00E24F71"/>
    <w:rsid w:val="00E26452"/>
    <w:rsid w:val="00E267D0"/>
    <w:rsid w:val="00E309EE"/>
    <w:rsid w:val="00E32FA3"/>
    <w:rsid w:val="00E3733A"/>
    <w:rsid w:val="00E37388"/>
    <w:rsid w:val="00E42985"/>
    <w:rsid w:val="00E433B4"/>
    <w:rsid w:val="00E45685"/>
    <w:rsid w:val="00E465B4"/>
    <w:rsid w:val="00E5344F"/>
    <w:rsid w:val="00E61B48"/>
    <w:rsid w:val="00E66CF5"/>
    <w:rsid w:val="00E7164F"/>
    <w:rsid w:val="00E74C11"/>
    <w:rsid w:val="00E85EBB"/>
    <w:rsid w:val="00E91F81"/>
    <w:rsid w:val="00E94EE0"/>
    <w:rsid w:val="00E96FF5"/>
    <w:rsid w:val="00EA2724"/>
    <w:rsid w:val="00EB3142"/>
    <w:rsid w:val="00EB3F6E"/>
    <w:rsid w:val="00EB6C19"/>
    <w:rsid w:val="00EC105F"/>
    <w:rsid w:val="00EE5C1F"/>
    <w:rsid w:val="00EF0ED5"/>
    <w:rsid w:val="00EF77EA"/>
    <w:rsid w:val="00F034A3"/>
    <w:rsid w:val="00F07608"/>
    <w:rsid w:val="00F13E32"/>
    <w:rsid w:val="00F21C10"/>
    <w:rsid w:val="00F21F22"/>
    <w:rsid w:val="00F259F8"/>
    <w:rsid w:val="00F26C26"/>
    <w:rsid w:val="00F271C0"/>
    <w:rsid w:val="00F27C6B"/>
    <w:rsid w:val="00F308C8"/>
    <w:rsid w:val="00F320D6"/>
    <w:rsid w:val="00F42BFD"/>
    <w:rsid w:val="00F47AEC"/>
    <w:rsid w:val="00F55541"/>
    <w:rsid w:val="00F575F7"/>
    <w:rsid w:val="00F636E9"/>
    <w:rsid w:val="00F65B11"/>
    <w:rsid w:val="00F66444"/>
    <w:rsid w:val="00F71F27"/>
    <w:rsid w:val="00F742DE"/>
    <w:rsid w:val="00F826A7"/>
    <w:rsid w:val="00F85EFE"/>
    <w:rsid w:val="00F86CED"/>
    <w:rsid w:val="00F9619F"/>
    <w:rsid w:val="00F972EF"/>
    <w:rsid w:val="00FA4142"/>
    <w:rsid w:val="00FB554C"/>
    <w:rsid w:val="00FC1C2D"/>
    <w:rsid w:val="00FC327F"/>
    <w:rsid w:val="00FC371E"/>
    <w:rsid w:val="00FC5B6B"/>
    <w:rsid w:val="00FE3441"/>
    <w:rsid w:val="00FE7C24"/>
    <w:rsid w:val="00FE7F54"/>
    <w:rsid w:val="00FF493D"/>
    <w:rsid w:val="00FF613D"/>
    <w:rsid w:val="00FF6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AE2"/>
  <w15:chartTrackingRefBased/>
  <w15:docId w15:val="{7A3F719B-53BC-4339-BE41-7EEC28F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semiHidden/>
    <w:unhideWhenUsed/>
    <w:rsid w:val="00664A9C"/>
    <w:pPr>
      <w:spacing w:line="240" w:lineRule="auto"/>
    </w:pPr>
    <w:rPr>
      <w:sz w:val="20"/>
      <w:szCs w:val="20"/>
    </w:rPr>
  </w:style>
  <w:style w:type="character" w:customStyle="1" w:styleId="FootnoteTextChar">
    <w:name w:val="Footnote Text Char"/>
    <w:basedOn w:val="DefaultParagraphFont"/>
    <w:link w:val="FootnoteText"/>
    <w:uiPriority w:val="99"/>
    <w:semiHidden/>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 w:type="paragraph" w:styleId="ListParagraph">
    <w:name w:val="List Paragraph"/>
    <w:basedOn w:val="Normal"/>
    <w:uiPriority w:val="34"/>
    <w:qFormat/>
    <w:rsid w:val="00933F5C"/>
    <w:pPr>
      <w:ind w:left="720"/>
      <w:contextualSpacing/>
    </w:pPr>
  </w:style>
  <w:style w:type="character" w:styleId="CommentReference">
    <w:name w:val="annotation reference"/>
    <w:basedOn w:val="DefaultParagraphFont"/>
    <w:uiPriority w:val="99"/>
    <w:semiHidden/>
    <w:unhideWhenUsed/>
    <w:rsid w:val="0047051C"/>
    <w:rPr>
      <w:sz w:val="16"/>
      <w:szCs w:val="16"/>
    </w:rPr>
  </w:style>
  <w:style w:type="paragraph" w:styleId="CommentText">
    <w:name w:val="annotation text"/>
    <w:basedOn w:val="Normal"/>
    <w:link w:val="CommentTextChar"/>
    <w:uiPriority w:val="99"/>
    <w:unhideWhenUsed/>
    <w:rsid w:val="0047051C"/>
    <w:pPr>
      <w:spacing w:line="240" w:lineRule="auto"/>
    </w:pPr>
    <w:rPr>
      <w:sz w:val="20"/>
      <w:szCs w:val="20"/>
    </w:rPr>
  </w:style>
  <w:style w:type="character" w:customStyle="1" w:styleId="CommentTextChar">
    <w:name w:val="Comment Text Char"/>
    <w:basedOn w:val="DefaultParagraphFont"/>
    <w:link w:val="CommentText"/>
    <w:uiPriority w:val="99"/>
    <w:rsid w:val="0047051C"/>
    <w:rPr>
      <w:sz w:val="20"/>
      <w:szCs w:val="20"/>
    </w:rPr>
  </w:style>
  <w:style w:type="paragraph" w:styleId="CommentSubject">
    <w:name w:val="annotation subject"/>
    <w:basedOn w:val="CommentText"/>
    <w:next w:val="CommentText"/>
    <w:link w:val="CommentSubjectChar"/>
    <w:uiPriority w:val="99"/>
    <w:semiHidden/>
    <w:unhideWhenUsed/>
    <w:rsid w:val="0047051C"/>
    <w:rPr>
      <w:b/>
      <w:bCs/>
    </w:rPr>
  </w:style>
  <w:style w:type="character" w:customStyle="1" w:styleId="CommentSubjectChar">
    <w:name w:val="Comment Subject Char"/>
    <w:basedOn w:val="CommentTextChar"/>
    <w:link w:val="CommentSubject"/>
    <w:uiPriority w:val="99"/>
    <w:semiHidden/>
    <w:rsid w:val="0047051C"/>
    <w:rPr>
      <w:b/>
      <w:bCs/>
      <w:sz w:val="20"/>
      <w:szCs w:val="20"/>
    </w:rPr>
  </w:style>
  <w:style w:type="paragraph" w:styleId="Revision">
    <w:name w:val="Revision"/>
    <w:hidden/>
    <w:uiPriority w:val="99"/>
    <w:semiHidden/>
    <w:rsid w:val="002B221E"/>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E5C58-2F62-4E12-BBDD-7E0C8AAA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Carine Naude</cp:lastModifiedBy>
  <cp:revision>13</cp:revision>
  <cp:lastPrinted>2022-09-28T14:46:00Z</cp:lastPrinted>
  <dcterms:created xsi:type="dcterms:W3CDTF">2022-12-13T08:52:00Z</dcterms:created>
  <dcterms:modified xsi:type="dcterms:W3CDTF">2022-12-14T12:29:00Z</dcterms:modified>
</cp:coreProperties>
</file>