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3FBFC71C" w:rsidR="00093030" w:rsidRPr="003663DA" w:rsidRDefault="00093030" w:rsidP="00534664">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534664">
      <w:pPr>
        <w:jc w:val="center"/>
        <w:rPr>
          <w:b/>
          <w:bCs/>
          <w:sz w:val="28"/>
          <w:szCs w:val="28"/>
        </w:rPr>
      </w:pPr>
    </w:p>
    <w:p w14:paraId="636863E8" w14:textId="77777777" w:rsidR="00093030" w:rsidRPr="00127B01" w:rsidRDefault="00093030" w:rsidP="00534664">
      <w:pPr>
        <w:jc w:val="center"/>
        <w:rPr>
          <w:b/>
          <w:bCs/>
          <w:sz w:val="28"/>
          <w:szCs w:val="28"/>
        </w:rPr>
      </w:pPr>
      <w:r w:rsidRPr="00127B01">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127B01" w:rsidRDefault="00093030" w:rsidP="00534664">
      <w:pPr>
        <w:jc w:val="center"/>
        <w:rPr>
          <w:b/>
          <w:bCs/>
          <w:sz w:val="28"/>
          <w:szCs w:val="28"/>
        </w:rPr>
      </w:pPr>
    </w:p>
    <w:p w14:paraId="08CA4D55" w14:textId="77777777" w:rsidR="00093030" w:rsidRPr="00127B01" w:rsidRDefault="00093030" w:rsidP="00534664">
      <w:pPr>
        <w:jc w:val="center"/>
        <w:rPr>
          <w:b/>
          <w:bCs/>
          <w:sz w:val="28"/>
          <w:szCs w:val="28"/>
        </w:rPr>
      </w:pPr>
      <w:r w:rsidRPr="00127B01">
        <w:rPr>
          <w:b/>
          <w:bCs/>
          <w:sz w:val="28"/>
          <w:szCs w:val="28"/>
        </w:rPr>
        <w:t>THE SUPREME COURT OF APPEAL OF SOUTH AFRICA</w:t>
      </w:r>
    </w:p>
    <w:p w14:paraId="5405703F" w14:textId="77777777" w:rsidR="00093030" w:rsidRPr="00127B01" w:rsidRDefault="00093030" w:rsidP="00534664">
      <w:pPr>
        <w:pStyle w:val="Heading3"/>
        <w:jc w:val="center"/>
        <w:rPr>
          <w:rFonts w:ascii="Times New Roman" w:hAnsi="Times New Roman" w:cs="Times New Roman"/>
          <w:b/>
          <w:i w:val="0"/>
          <w:szCs w:val="28"/>
        </w:rPr>
      </w:pPr>
      <w:r w:rsidRPr="00127B01">
        <w:rPr>
          <w:rFonts w:ascii="Times New Roman" w:hAnsi="Times New Roman" w:cs="Times New Roman"/>
          <w:b/>
          <w:i w:val="0"/>
          <w:szCs w:val="28"/>
        </w:rPr>
        <w:t>JUDGMENT</w:t>
      </w:r>
    </w:p>
    <w:p w14:paraId="6FB00DD4" w14:textId="77777777" w:rsidR="00093030" w:rsidRPr="00127B01" w:rsidRDefault="00093030" w:rsidP="00534664">
      <w:pPr>
        <w:jc w:val="center"/>
        <w:rPr>
          <w:b/>
          <w:bCs/>
          <w:sz w:val="28"/>
          <w:szCs w:val="28"/>
        </w:rPr>
      </w:pPr>
      <w:r w:rsidRPr="00127B01">
        <w:rPr>
          <w:sz w:val="28"/>
          <w:szCs w:val="28"/>
        </w:rPr>
        <w:tab/>
      </w:r>
    </w:p>
    <w:p w14:paraId="500F8243" w14:textId="43E02423" w:rsidR="00093030" w:rsidRPr="00127B01" w:rsidRDefault="005B02EE" w:rsidP="00534664">
      <w:pPr>
        <w:jc w:val="right"/>
        <w:rPr>
          <w:b/>
          <w:sz w:val="28"/>
          <w:szCs w:val="28"/>
        </w:rPr>
      </w:pPr>
      <w:r w:rsidRPr="00127B01">
        <w:rPr>
          <w:b/>
          <w:sz w:val="28"/>
          <w:szCs w:val="28"/>
        </w:rPr>
        <w:t>Reportable</w:t>
      </w:r>
    </w:p>
    <w:p w14:paraId="7E05351A" w14:textId="1E9DACBB" w:rsidR="00093030" w:rsidRPr="00127B01" w:rsidRDefault="00093030" w:rsidP="00534664">
      <w:pPr>
        <w:jc w:val="right"/>
        <w:rPr>
          <w:sz w:val="28"/>
          <w:szCs w:val="28"/>
        </w:rPr>
      </w:pPr>
      <w:r w:rsidRPr="00127B01">
        <w:rPr>
          <w:sz w:val="28"/>
          <w:szCs w:val="28"/>
        </w:rPr>
        <w:t xml:space="preserve">Case no: </w:t>
      </w:r>
      <w:r w:rsidR="00E34A45" w:rsidRPr="00127B01">
        <w:rPr>
          <w:sz w:val="28"/>
          <w:szCs w:val="28"/>
        </w:rPr>
        <w:t>5</w:t>
      </w:r>
      <w:r w:rsidR="00791F2B" w:rsidRPr="00127B01">
        <w:rPr>
          <w:sz w:val="28"/>
          <w:szCs w:val="28"/>
        </w:rPr>
        <w:t>4</w:t>
      </w:r>
      <w:r w:rsidR="00E34A45" w:rsidRPr="00127B01">
        <w:rPr>
          <w:sz w:val="28"/>
          <w:szCs w:val="28"/>
        </w:rPr>
        <w:t>4</w:t>
      </w:r>
      <w:r w:rsidRPr="00127B01">
        <w:rPr>
          <w:sz w:val="28"/>
          <w:szCs w:val="28"/>
        </w:rPr>
        <w:t>/</w:t>
      </w:r>
      <w:r w:rsidR="00765E56" w:rsidRPr="00127B01">
        <w:rPr>
          <w:sz w:val="28"/>
          <w:szCs w:val="28"/>
        </w:rPr>
        <w:t>20</w:t>
      </w:r>
      <w:r w:rsidR="00320F36" w:rsidRPr="00127B01">
        <w:rPr>
          <w:sz w:val="28"/>
          <w:szCs w:val="28"/>
        </w:rPr>
        <w:t>2</w:t>
      </w:r>
      <w:r w:rsidR="005B02EE" w:rsidRPr="00127B01">
        <w:rPr>
          <w:sz w:val="28"/>
          <w:szCs w:val="28"/>
        </w:rPr>
        <w:t>1</w:t>
      </w:r>
    </w:p>
    <w:p w14:paraId="28D334D0" w14:textId="77777777" w:rsidR="00093030" w:rsidRPr="00127B01" w:rsidRDefault="00093030" w:rsidP="00534664">
      <w:pPr>
        <w:spacing w:line="276" w:lineRule="auto"/>
        <w:rPr>
          <w:sz w:val="28"/>
          <w:szCs w:val="28"/>
        </w:rPr>
      </w:pPr>
    </w:p>
    <w:p w14:paraId="4B56FBEE" w14:textId="409982AA" w:rsidR="00D127D4" w:rsidRPr="00127B01" w:rsidRDefault="00093030" w:rsidP="00534664">
      <w:pPr>
        <w:spacing w:line="276" w:lineRule="auto"/>
        <w:rPr>
          <w:sz w:val="28"/>
          <w:szCs w:val="28"/>
        </w:rPr>
      </w:pPr>
      <w:r w:rsidRPr="00127B01">
        <w:rPr>
          <w:sz w:val="28"/>
          <w:szCs w:val="28"/>
        </w:rPr>
        <w:t>In the matter between:</w:t>
      </w:r>
    </w:p>
    <w:p w14:paraId="5C367BD6" w14:textId="77777777" w:rsidR="002B4B9F" w:rsidRPr="00127B01" w:rsidRDefault="002B4B9F" w:rsidP="009A5649">
      <w:pPr>
        <w:rPr>
          <w:sz w:val="28"/>
          <w:szCs w:val="28"/>
        </w:rPr>
      </w:pPr>
    </w:p>
    <w:p w14:paraId="783E601B" w14:textId="77777777" w:rsidR="00246E86" w:rsidRDefault="00275590" w:rsidP="009A5649">
      <w:pPr>
        <w:tabs>
          <w:tab w:val="left" w:pos="6663"/>
        </w:tabs>
        <w:spacing w:line="276" w:lineRule="auto"/>
        <w:ind w:right="-180"/>
        <w:rPr>
          <w:b/>
          <w:bCs/>
          <w:sz w:val="28"/>
          <w:szCs w:val="28"/>
        </w:rPr>
      </w:pPr>
      <w:r w:rsidRPr="00127B01">
        <w:rPr>
          <w:b/>
          <w:bCs/>
          <w:sz w:val="28"/>
          <w:szCs w:val="28"/>
        </w:rPr>
        <w:t>M</w:t>
      </w:r>
      <w:r w:rsidR="00B71439" w:rsidRPr="00127B01">
        <w:rPr>
          <w:b/>
          <w:bCs/>
          <w:sz w:val="28"/>
          <w:szCs w:val="28"/>
        </w:rPr>
        <w:t xml:space="preserve">EC </w:t>
      </w:r>
      <w:r w:rsidR="00826325" w:rsidRPr="00127B01">
        <w:rPr>
          <w:b/>
          <w:bCs/>
          <w:sz w:val="28"/>
          <w:szCs w:val="28"/>
        </w:rPr>
        <w:t xml:space="preserve">FOR THE DEPARTMENT OF PUBLIC </w:t>
      </w:r>
    </w:p>
    <w:p w14:paraId="74B4AE06" w14:textId="461CA36E" w:rsidR="00826325" w:rsidRPr="00127B01" w:rsidRDefault="00826325" w:rsidP="00246E86">
      <w:pPr>
        <w:tabs>
          <w:tab w:val="left" w:pos="6663"/>
        </w:tabs>
        <w:spacing w:line="276" w:lineRule="auto"/>
        <w:ind w:right="-180"/>
        <w:rPr>
          <w:b/>
          <w:bCs/>
          <w:sz w:val="28"/>
          <w:szCs w:val="28"/>
        </w:rPr>
      </w:pPr>
      <w:r w:rsidRPr="00127B01">
        <w:rPr>
          <w:b/>
          <w:bCs/>
          <w:sz w:val="28"/>
          <w:szCs w:val="28"/>
        </w:rPr>
        <w:t>WORKS,</w:t>
      </w:r>
      <w:r w:rsidR="00246E86">
        <w:rPr>
          <w:b/>
          <w:bCs/>
          <w:sz w:val="28"/>
          <w:szCs w:val="28"/>
        </w:rPr>
        <w:t xml:space="preserve"> </w:t>
      </w:r>
      <w:r w:rsidRPr="00127B01">
        <w:rPr>
          <w:b/>
          <w:bCs/>
          <w:sz w:val="28"/>
          <w:szCs w:val="28"/>
        </w:rPr>
        <w:t>EASTERN CAPE</w:t>
      </w:r>
      <w:r w:rsidR="00B71439" w:rsidRPr="00127B01">
        <w:rPr>
          <w:b/>
          <w:bCs/>
          <w:sz w:val="28"/>
          <w:szCs w:val="28"/>
        </w:rPr>
        <w:t xml:space="preserve">                                                          </w:t>
      </w:r>
      <w:r w:rsidR="00D833C1" w:rsidRPr="00127B01">
        <w:rPr>
          <w:b/>
          <w:bCs/>
          <w:sz w:val="28"/>
          <w:szCs w:val="28"/>
        </w:rPr>
        <w:t xml:space="preserve"> </w:t>
      </w:r>
      <w:r w:rsidRPr="00127B01">
        <w:rPr>
          <w:b/>
          <w:bCs/>
          <w:sz w:val="28"/>
          <w:szCs w:val="28"/>
        </w:rPr>
        <w:t>FIRST AP</w:t>
      </w:r>
      <w:r w:rsidR="00B71439" w:rsidRPr="00127B01">
        <w:rPr>
          <w:b/>
          <w:bCs/>
          <w:sz w:val="28"/>
          <w:szCs w:val="28"/>
        </w:rPr>
        <w:t>PLICANT</w:t>
      </w:r>
    </w:p>
    <w:p w14:paraId="63733934" w14:textId="5552E13D" w:rsidR="0056026A" w:rsidRPr="00127B01" w:rsidRDefault="0056026A" w:rsidP="009A5649">
      <w:pPr>
        <w:tabs>
          <w:tab w:val="left" w:pos="6663"/>
        </w:tabs>
        <w:spacing w:line="276" w:lineRule="auto"/>
        <w:ind w:right="-180"/>
        <w:rPr>
          <w:b/>
          <w:sz w:val="28"/>
          <w:szCs w:val="28"/>
        </w:rPr>
      </w:pPr>
    </w:p>
    <w:p w14:paraId="41708AA5" w14:textId="212ACFB3" w:rsidR="00EE41A6" w:rsidRPr="00127B01" w:rsidRDefault="00EE41A6" w:rsidP="009A5649">
      <w:pPr>
        <w:tabs>
          <w:tab w:val="left" w:pos="6663"/>
        </w:tabs>
        <w:spacing w:line="276" w:lineRule="auto"/>
        <w:ind w:right="-180"/>
        <w:rPr>
          <w:b/>
          <w:bCs/>
          <w:sz w:val="28"/>
          <w:szCs w:val="28"/>
        </w:rPr>
      </w:pPr>
      <w:r w:rsidRPr="00127B01">
        <w:rPr>
          <w:b/>
          <w:bCs/>
          <w:sz w:val="28"/>
          <w:szCs w:val="28"/>
        </w:rPr>
        <w:t>ME</w:t>
      </w:r>
      <w:r w:rsidR="00B71439" w:rsidRPr="00127B01">
        <w:rPr>
          <w:b/>
          <w:bCs/>
          <w:sz w:val="28"/>
          <w:szCs w:val="28"/>
        </w:rPr>
        <w:t xml:space="preserve">C FOR THE </w:t>
      </w:r>
      <w:r w:rsidRPr="00127B01">
        <w:rPr>
          <w:b/>
          <w:bCs/>
          <w:sz w:val="28"/>
          <w:szCs w:val="28"/>
        </w:rPr>
        <w:t>DEPARTMENT OF HEALTH,</w:t>
      </w:r>
    </w:p>
    <w:p w14:paraId="3CA4A80C" w14:textId="3B16E72E" w:rsidR="00B046D2" w:rsidRPr="00127B01" w:rsidRDefault="00EE41A6" w:rsidP="009A5649">
      <w:pPr>
        <w:tabs>
          <w:tab w:val="left" w:pos="6521"/>
        </w:tabs>
        <w:spacing w:line="276" w:lineRule="auto"/>
        <w:ind w:right="-180"/>
        <w:rPr>
          <w:b/>
          <w:sz w:val="28"/>
          <w:szCs w:val="28"/>
        </w:rPr>
      </w:pPr>
      <w:r w:rsidRPr="00127B01">
        <w:rPr>
          <w:b/>
          <w:bCs/>
          <w:sz w:val="28"/>
          <w:szCs w:val="28"/>
        </w:rPr>
        <w:t>EASTERN CAPE</w:t>
      </w:r>
      <w:r w:rsidR="00B71439" w:rsidRPr="00127B01">
        <w:rPr>
          <w:b/>
          <w:bCs/>
          <w:sz w:val="28"/>
          <w:szCs w:val="28"/>
        </w:rPr>
        <w:t xml:space="preserve">                                                             </w:t>
      </w:r>
      <w:r w:rsidR="00D833C1" w:rsidRPr="00127B01">
        <w:rPr>
          <w:b/>
          <w:bCs/>
          <w:sz w:val="28"/>
          <w:szCs w:val="28"/>
        </w:rPr>
        <w:t xml:space="preserve"> </w:t>
      </w:r>
      <w:r w:rsidR="00246E86">
        <w:rPr>
          <w:b/>
          <w:bCs/>
          <w:sz w:val="28"/>
          <w:szCs w:val="28"/>
        </w:rPr>
        <w:t xml:space="preserve">   </w:t>
      </w:r>
      <w:r w:rsidR="0027074F" w:rsidRPr="00127B01">
        <w:rPr>
          <w:b/>
          <w:bCs/>
          <w:sz w:val="28"/>
          <w:szCs w:val="28"/>
        </w:rPr>
        <w:t>SECOND APP</w:t>
      </w:r>
      <w:r w:rsidR="00B71439" w:rsidRPr="00127B01">
        <w:rPr>
          <w:b/>
          <w:bCs/>
          <w:sz w:val="28"/>
          <w:szCs w:val="28"/>
        </w:rPr>
        <w:t>LICANT</w:t>
      </w:r>
    </w:p>
    <w:p w14:paraId="1F7266C9" w14:textId="77777777" w:rsidR="007707E1" w:rsidRPr="00127B01" w:rsidRDefault="007707E1" w:rsidP="00534664">
      <w:pPr>
        <w:spacing w:line="240" w:lineRule="auto"/>
        <w:rPr>
          <w:sz w:val="28"/>
          <w:szCs w:val="28"/>
        </w:rPr>
      </w:pPr>
    </w:p>
    <w:p w14:paraId="555ED9CF" w14:textId="0F8293F2" w:rsidR="001967C8" w:rsidRPr="00127B01" w:rsidRDefault="00D127D4" w:rsidP="002B4B9F">
      <w:pPr>
        <w:rPr>
          <w:sz w:val="28"/>
          <w:szCs w:val="28"/>
        </w:rPr>
      </w:pPr>
      <w:r w:rsidRPr="00127B01">
        <w:rPr>
          <w:sz w:val="28"/>
          <w:szCs w:val="28"/>
        </w:rPr>
        <w:t>a</w:t>
      </w:r>
      <w:r w:rsidR="00093030" w:rsidRPr="00127B01">
        <w:rPr>
          <w:sz w:val="28"/>
          <w:szCs w:val="28"/>
        </w:rPr>
        <w:t>nd</w:t>
      </w:r>
    </w:p>
    <w:p w14:paraId="52808CF5" w14:textId="77777777" w:rsidR="00B046D2" w:rsidRPr="00127B01" w:rsidRDefault="00B046D2" w:rsidP="00EE338C">
      <w:pPr>
        <w:spacing w:line="240" w:lineRule="auto"/>
        <w:rPr>
          <w:b/>
          <w:bCs/>
          <w:sz w:val="28"/>
          <w:szCs w:val="28"/>
        </w:rPr>
      </w:pPr>
    </w:p>
    <w:p w14:paraId="1B0943D9" w14:textId="108A5FF8" w:rsidR="00871146" w:rsidRPr="00127B01" w:rsidRDefault="00C94FD9" w:rsidP="002B4B9F">
      <w:pPr>
        <w:tabs>
          <w:tab w:val="left" w:pos="7513"/>
        </w:tabs>
        <w:ind w:right="-180"/>
        <w:rPr>
          <w:b/>
          <w:sz w:val="28"/>
          <w:szCs w:val="28"/>
        </w:rPr>
      </w:pPr>
      <w:r w:rsidRPr="00127B01">
        <w:rPr>
          <w:b/>
          <w:sz w:val="28"/>
          <w:szCs w:val="28"/>
        </w:rPr>
        <w:t>IKAMVA ARCHITECTS CC</w:t>
      </w:r>
      <w:r w:rsidR="00B71439" w:rsidRPr="00127B01">
        <w:rPr>
          <w:b/>
          <w:sz w:val="28"/>
          <w:szCs w:val="28"/>
        </w:rPr>
        <w:t xml:space="preserve">                                                       </w:t>
      </w:r>
      <w:r w:rsidRPr="00127B01">
        <w:rPr>
          <w:b/>
          <w:sz w:val="28"/>
          <w:szCs w:val="28"/>
        </w:rPr>
        <w:t>RESPONDENT</w:t>
      </w:r>
    </w:p>
    <w:p w14:paraId="1C9B3508" w14:textId="77777777" w:rsidR="00DE2E23" w:rsidRPr="00127B01" w:rsidRDefault="00DE2E23" w:rsidP="00534664">
      <w:pPr>
        <w:tabs>
          <w:tab w:val="left" w:pos="5954"/>
        </w:tabs>
        <w:spacing w:line="240" w:lineRule="auto"/>
        <w:contextualSpacing/>
        <w:rPr>
          <w:b/>
          <w:sz w:val="28"/>
          <w:szCs w:val="28"/>
        </w:rPr>
      </w:pPr>
    </w:p>
    <w:p w14:paraId="11159975" w14:textId="29F8F14E" w:rsidR="00093030" w:rsidRPr="00127B01" w:rsidRDefault="00093030" w:rsidP="002B4B9F">
      <w:pPr>
        <w:ind w:left="2160" w:hanging="2160"/>
        <w:rPr>
          <w:bCs/>
          <w:sz w:val="28"/>
          <w:szCs w:val="28"/>
        </w:rPr>
      </w:pPr>
      <w:r w:rsidRPr="00127B01">
        <w:rPr>
          <w:b/>
          <w:bCs/>
          <w:sz w:val="28"/>
          <w:szCs w:val="28"/>
        </w:rPr>
        <w:t>Neutral citation:</w:t>
      </w:r>
      <w:r w:rsidRPr="00127B01">
        <w:rPr>
          <w:b/>
          <w:bCs/>
          <w:sz w:val="28"/>
          <w:szCs w:val="28"/>
        </w:rPr>
        <w:tab/>
      </w:r>
      <w:r w:rsidR="00C94FD9" w:rsidRPr="00127B01">
        <w:rPr>
          <w:i/>
          <w:iCs/>
          <w:sz w:val="28"/>
          <w:szCs w:val="28"/>
        </w:rPr>
        <w:t>MEC for the Department of Public Works, Eastern Cape</w:t>
      </w:r>
      <w:r w:rsidR="00870DC4" w:rsidRPr="00127B01">
        <w:rPr>
          <w:bCs/>
          <w:i/>
          <w:sz w:val="28"/>
          <w:szCs w:val="28"/>
        </w:rPr>
        <w:t xml:space="preserve"> </w:t>
      </w:r>
      <w:r w:rsidR="005D3E04" w:rsidRPr="00127B01">
        <w:rPr>
          <w:bCs/>
          <w:i/>
          <w:sz w:val="28"/>
          <w:szCs w:val="28"/>
        </w:rPr>
        <w:t xml:space="preserve">and Another </w:t>
      </w:r>
      <w:r w:rsidRPr="00127B01">
        <w:rPr>
          <w:bCs/>
          <w:i/>
          <w:sz w:val="28"/>
          <w:szCs w:val="28"/>
        </w:rPr>
        <w:t xml:space="preserve">v </w:t>
      </w:r>
      <w:r w:rsidR="005D3E04" w:rsidRPr="00127B01">
        <w:rPr>
          <w:bCs/>
          <w:i/>
          <w:sz w:val="28"/>
          <w:szCs w:val="28"/>
        </w:rPr>
        <w:t>Ikamva Architects CC</w:t>
      </w:r>
      <w:r w:rsidRPr="00127B01">
        <w:rPr>
          <w:bCs/>
          <w:i/>
          <w:sz w:val="28"/>
          <w:szCs w:val="28"/>
        </w:rPr>
        <w:t xml:space="preserve"> </w:t>
      </w:r>
      <w:r w:rsidRPr="00127B01">
        <w:rPr>
          <w:bCs/>
          <w:sz w:val="28"/>
          <w:szCs w:val="28"/>
        </w:rPr>
        <w:t>(</w:t>
      </w:r>
      <w:r w:rsidR="005D3E04" w:rsidRPr="00127B01">
        <w:rPr>
          <w:bCs/>
          <w:sz w:val="28"/>
          <w:szCs w:val="28"/>
        </w:rPr>
        <w:t>5</w:t>
      </w:r>
      <w:r w:rsidR="006A1708" w:rsidRPr="00127B01">
        <w:rPr>
          <w:bCs/>
          <w:sz w:val="28"/>
          <w:szCs w:val="28"/>
        </w:rPr>
        <w:t>4</w:t>
      </w:r>
      <w:r w:rsidR="005D3E04" w:rsidRPr="00127B01">
        <w:rPr>
          <w:bCs/>
          <w:sz w:val="28"/>
          <w:szCs w:val="28"/>
        </w:rPr>
        <w:t>4</w:t>
      </w:r>
      <w:r w:rsidRPr="00127B01">
        <w:rPr>
          <w:bCs/>
          <w:sz w:val="28"/>
          <w:szCs w:val="28"/>
        </w:rPr>
        <w:t>/</w:t>
      </w:r>
      <w:r w:rsidR="00C40CCA" w:rsidRPr="00127B01">
        <w:rPr>
          <w:bCs/>
          <w:sz w:val="28"/>
          <w:szCs w:val="28"/>
        </w:rPr>
        <w:t>20</w:t>
      </w:r>
      <w:r w:rsidR="009F761B" w:rsidRPr="00127B01">
        <w:rPr>
          <w:bCs/>
          <w:sz w:val="28"/>
          <w:szCs w:val="28"/>
        </w:rPr>
        <w:t>2</w:t>
      </w:r>
      <w:r w:rsidR="00EC1747" w:rsidRPr="00127B01">
        <w:rPr>
          <w:bCs/>
          <w:sz w:val="28"/>
          <w:szCs w:val="28"/>
        </w:rPr>
        <w:t>1</w:t>
      </w:r>
      <w:r w:rsidRPr="00127B01">
        <w:rPr>
          <w:bCs/>
          <w:sz w:val="28"/>
          <w:szCs w:val="28"/>
        </w:rPr>
        <w:t>) [202</w:t>
      </w:r>
      <w:r w:rsidR="000640FB" w:rsidRPr="00127B01">
        <w:rPr>
          <w:bCs/>
          <w:sz w:val="28"/>
          <w:szCs w:val="28"/>
        </w:rPr>
        <w:t>2</w:t>
      </w:r>
      <w:r w:rsidRPr="00127B01">
        <w:rPr>
          <w:bCs/>
          <w:sz w:val="28"/>
          <w:szCs w:val="28"/>
        </w:rPr>
        <w:t xml:space="preserve">] ZASCA </w:t>
      </w:r>
      <w:r w:rsidR="004173D7">
        <w:rPr>
          <w:bCs/>
          <w:sz w:val="28"/>
          <w:szCs w:val="28"/>
        </w:rPr>
        <w:t xml:space="preserve">184 </w:t>
      </w:r>
      <w:r w:rsidRPr="00127B01">
        <w:rPr>
          <w:bCs/>
          <w:sz w:val="28"/>
          <w:szCs w:val="28"/>
        </w:rPr>
        <w:t>(</w:t>
      </w:r>
      <w:r w:rsidR="00CF187E">
        <w:rPr>
          <w:bCs/>
          <w:sz w:val="28"/>
          <w:szCs w:val="28"/>
        </w:rPr>
        <w:t xml:space="preserve">20 </w:t>
      </w:r>
      <w:r w:rsidR="00C53295" w:rsidRPr="00127B01">
        <w:rPr>
          <w:bCs/>
          <w:sz w:val="28"/>
          <w:szCs w:val="28"/>
        </w:rPr>
        <w:t>Dec</w:t>
      </w:r>
      <w:r w:rsidR="006A1708" w:rsidRPr="00127B01">
        <w:rPr>
          <w:bCs/>
          <w:sz w:val="28"/>
          <w:szCs w:val="28"/>
        </w:rPr>
        <w:t>em</w:t>
      </w:r>
      <w:r w:rsidR="00D65C48" w:rsidRPr="00127B01">
        <w:rPr>
          <w:bCs/>
          <w:sz w:val="28"/>
          <w:szCs w:val="28"/>
        </w:rPr>
        <w:t>ber</w:t>
      </w:r>
      <w:r w:rsidR="00761D99" w:rsidRPr="00127B01">
        <w:rPr>
          <w:bCs/>
          <w:sz w:val="28"/>
          <w:szCs w:val="28"/>
        </w:rPr>
        <w:t xml:space="preserve"> 202</w:t>
      </w:r>
      <w:r w:rsidR="000640FB" w:rsidRPr="00127B01">
        <w:rPr>
          <w:bCs/>
          <w:sz w:val="28"/>
          <w:szCs w:val="28"/>
        </w:rPr>
        <w:t>2</w:t>
      </w:r>
      <w:r w:rsidRPr="00127B01">
        <w:rPr>
          <w:bCs/>
          <w:sz w:val="28"/>
          <w:szCs w:val="28"/>
        </w:rPr>
        <w:t>)</w:t>
      </w:r>
    </w:p>
    <w:p w14:paraId="04ACD6FA" w14:textId="7C6BE0CA" w:rsidR="00093030" w:rsidRPr="00127B01" w:rsidRDefault="00093030" w:rsidP="002B4B9F">
      <w:pPr>
        <w:ind w:left="1440" w:hanging="1440"/>
        <w:rPr>
          <w:sz w:val="28"/>
          <w:szCs w:val="28"/>
        </w:rPr>
      </w:pPr>
      <w:r w:rsidRPr="00127B01">
        <w:rPr>
          <w:b/>
          <w:bCs/>
          <w:sz w:val="28"/>
          <w:szCs w:val="28"/>
        </w:rPr>
        <w:t>Coram:</w:t>
      </w:r>
      <w:r w:rsidRPr="00127B01">
        <w:rPr>
          <w:sz w:val="28"/>
          <w:szCs w:val="28"/>
        </w:rPr>
        <w:tab/>
      </w:r>
      <w:r w:rsidR="00507055" w:rsidRPr="00127B01">
        <w:rPr>
          <w:sz w:val="28"/>
          <w:szCs w:val="28"/>
        </w:rPr>
        <w:t>VAN DER MERWE</w:t>
      </w:r>
      <w:r w:rsidR="00A1494E" w:rsidRPr="00127B01">
        <w:rPr>
          <w:sz w:val="28"/>
          <w:szCs w:val="28"/>
        </w:rPr>
        <w:t xml:space="preserve"> and</w:t>
      </w:r>
      <w:r w:rsidR="001F4DE7" w:rsidRPr="00127B01">
        <w:rPr>
          <w:bCs/>
          <w:sz w:val="28"/>
          <w:szCs w:val="28"/>
        </w:rPr>
        <w:t xml:space="preserve"> GORVEN</w:t>
      </w:r>
      <w:r w:rsidR="005E7BE2" w:rsidRPr="00127B01">
        <w:rPr>
          <w:bCs/>
          <w:sz w:val="28"/>
          <w:szCs w:val="28"/>
        </w:rPr>
        <w:t xml:space="preserve"> </w:t>
      </w:r>
      <w:r w:rsidR="00A1494E" w:rsidRPr="00127B01">
        <w:rPr>
          <w:bCs/>
          <w:sz w:val="28"/>
          <w:szCs w:val="28"/>
        </w:rPr>
        <w:t xml:space="preserve">JJA </w:t>
      </w:r>
      <w:r w:rsidR="005E7BE2" w:rsidRPr="00127B01">
        <w:rPr>
          <w:bCs/>
          <w:sz w:val="28"/>
          <w:szCs w:val="28"/>
        </w:rPr>
        <w:t xml:space="preserve">and </w:t>
      </w:r>
      <w:r w:rsidR="00A1494E" w:rsidRPr="00127B01">
        <w:rPr>
          <w:bCs/>
          <w:sz w:val="28"/>
          <w:szCs w:val="28"/>
        </w:rPr>
        <w:t>BASSON, WINDELL</w:t>
      </w:r>
      <w:r w:rsidR="00657B71" w:rsidRPr="00127B01">
        <w:rPr>
          <w:bCs/>
          <w:sz w:val="28"/>
          <w:szCs w:val="28"/>
        </w:rPr>
        <w:t xml:space="preserve"> </w:t>
      </w:r>
      <w:r w:rsidR="00F54E7E" w:rsidRPr="00127B01">
        <w:rPr>
          <w:bCs/>
          <w:sz w:val="28"/>
          <w:szCs w:val="28"/>
        </w:rPr>
        <w:t xml:space="preserve">and </w:t>
      </w:r>
      <w:r w:rsidR="00A1494E" w:rsidRPr="00127B01">
        <w:rPr>
          <w:bCs/>
          <w:sz w:val="28"/>
          <w:szCs w:val="28"/>
        </w:rPr>
        <w:t>SALIE-HLOPHE</w:t>
      </w:r>
      <w:r w:rsidR="006A5C52" w:rsidRPr="00127B01">
        <w:rPr>
          <w:bCs/>
          <w:sz w:val="28"/>
          <w:szCs w:val="28"/>
        </w:rPr>
        <w:t> </w:t>
      </w:r>
      <w:r w:rsidR="00F54E7E" w:rsidRPr="00127B01">
        <w:rPr>
          <w:bCs/>
          <w:sz w:val="28"/>
          <w:szCs w:val="28"/>
        </w:rPr>
        <w:t>A</w:t>
      </w:r>
      <w:r w:rsidR="00602683" w:rsidRPr="00127B01">
        <w:rPr>
          <w:bCs/>
          <w:sz w:val="28"/>
          <w:szCs w:val="28"/>
        </w:rPr>
        <w:t>J</w:t>
      </w:r>
      <w:r w:rsidR="00F54E7E" w:rsidRPr="00127B01">
        <w:rPr>
          <w:bCs/>
          <w:sz w:val="28"/>
          <w:szCs w:val="28"/>
        </w:rPr>
        <w:t>JA</w:t>
      </w:r>
    </w:p>
    <w:p w14:paraId="69D44D8F" w14:textId="70BE5180" w:rsidR="00D31511" w:rsidRPr="00127B01" w:rsidRDefault="00093030" w:rsidP="002B4B9F">
      <w:pPr>
        <w:rPr>
          <w:b/>
          <w:bCs/>
          <w:sz w:val="28"/>
          <w:szCs w:val="28"/>
        </w:rPr>
      </w:pPr>
      <w:r w:rsidRPr="00127B01">
        <w:rPr>
          <w:b/>
          <w:bCs/>
          <w:sz w:val="28"/>
          <w:szCs w:val="28"/>
        </w:rPr>
        <w:t>Heard</w:t>
      </w:r>
      <w:r w:rsidRPr="00127B01">
        <w:rPr>
          <w:sz w:val="28"/>
          <w:szCs w:val="28"/>
        </w:rPr>
        <w:t>:</w:t>
      </w:r>
      <w:r w:rsidRPr="00127B01">
        <w:rPr>
          <w:sz w:val="28"/>
          <w:szCs w:val="28"/>
        </w:rPr>
        <w:tab/>
      </w:r>
      <w:r w:rsidR="006A5C52" w:rsidRPr="00127B01">
        <w:rPr>
          <w:sz w:val="28"/>
          <w:szCs w:val="28"/>
        </w:rPr>
        <w:t>2</w:t>
      </w:r>
      <w:r w:rsidR="00466DD9" w:rsidRPr="00127B01">
        <w:rPr>
          <w:sz w:val="28"/>
          <w:szCs w:val="28"/>
        </w:rPr>
        <w:t>1</w:t>
      </w:r>
      <w:r w:rsidR="00D65C48" w:rsidRPr="00127B01">
        <w:rPr>
          <w:sz w:val="28"/>
          <w:szCs w:val="28"/>
        </w:rPr>
        <w:t xml:space="preserve"> </w:t>
      </w:r>
      <w:r w:rsidR="006A5C52" w:rsidRPr="00127B01">
        <w:rPr>
          <w:sz w:val="28"/>
          <w:szCs w:val="28"/>
        </w:rPr>
        <w:t>Novem</w:t>
      </w:r>
      <w:r w:rsidR="00D65C48" w:rsidRPr="00127B01">
        <w:rPr>
          <w:sz w:val="28"/>
          <w:szCs w:val="28"/>
        </w:rPr>
        <w:t>ber</w:t>
      </w:r>
      <w:r w:rsidR="00A01D2A" w:rsidRPr="00127B01">
        <w:rPr>
          <w:sz w:val="28"/>
          <w:szCs w:val="28"/>
        </w:rPr>
        <w:t xml:space="preserve"> </w:t>
      </w:r>
      <w:r w:rsidRPr="00127B01">
        <w:rPr>
          <w:sz w:val="28"/>
          <w:szCs w:val="28"/>
        </w:rPr>
        <w:t>202</w:t>
      </w:r>
      <w:r w:rsidR="00347061" w:rsidRPr="00127B01">
        <w:rPr>
          <w:sz w:val="28"/>
          <w:szCs w:val="28"/>
        </w:rPr>
        <w:t>2</w:t>
      </w:r>
      <w:r w:rsidRPr="00127B01">
        <w:rPr>
          <w:sz w:val="28"/>
          <w:szCs w:val="28"/>
        </w:rPr>
        <w:t xml:space="preserve"> </w:t>
      </w:r>
    </w:p>
    <w:p w14:paraId="5335B16B" w14:textId="23954B5A" w:rsidR="00437D5D" w:rsidRPr="00437D5D" w:rsidRDefault="00093030" w:rsidP="00437D5D">
      <w:pPr>
        <w:rPr>
          <w:rFonts w:eastAsia="Times New Roman" w:cs="Times New Roman"/>
          <w:b/>
          <w:bCs/>
          <w:sz w:val="28"/>
          <w:szCs w:val="28"/>
        </w:rPr>
      </w:pPr>
      <w:r w:rsidRPr="00127B01">
        <w:rPr>
          <w:b/>
          <w:bCs/>
          <w:sz w:val="28"/>
          <w:szCs w:val="28"/>
        </w:rPr>
        <w:lastRenderedPageBreak/>
        <w:t>Delivered</w:t>
      </w:r>
      <w:r w:rsidRPr="00127B01">
        <w:rPr>
          <w:sz w:val="28"/>
          <w:szCs w:val="28"/>
        </w:rPr>
        <w:t>:</w:t>
      </w:r>
      <w:r w:rsidRPr="00127B01">
        <w:rPr>
          <w:sz w:val="28"/>
          <w:szCs w:val="28"/>
        </w:rPr>
        <w:tab/>
      </w:r>
      <w:r w:rsidR="00437D5D" w:rsidRPr="00437D5D">
        <w:rPr>
          <w:rFonts w:eastAsia="Times New Roman" w:cs="Times New Roman"/>
          <w:sz w:val="28"/>
          <w:szCs w:val="28"/>
        </w:rPr>
        <w:t xml:space="preserve">This judgment was handed down electronically by circulation to </w:t>
      </w:r>
      <w:r w:rsidR="00437D5D" w:rsidRPr="00437D5D">
        <w:rPr>
          <w:rFonts w:eastAsia="Times New Roman" w:cs="Times New Roman"/>
          <w:sz w:val="28"/>
          <w:szCs w:val="28"/>
          <w:lang w:val="en-GB"/>
        </w:rPr>
        <w:t>the parties’ representatives by email, publication on the Supreme Court of</w:t>
      </w:r>
      <w:r w:rsidR="00437D5D" w:rsidRPr="00437D5D">
        <w:rPr>
          <w:rFonts w:eastAsia="Times New Roman" w:cs="Times New Roman"/>
          <w:sz w:val="28"/>
          <w:szCs w:val="28"/>
        </w:rPr>
        <w:t xml:space="preserve"> Appeal website and release to SAFLII. The date and time for hand-down is deemed to be </w:t>
      </w:r>
      <w:r w:rsidR="00437D5D">
        <w:rPr>
          <w:rFonts w:eastAsia="Times New Roman" w:cs="Times New Roman"/>
          <w:sz w:val="28"/>
          <w:szCs w:val="28"/>
        </w:rPr>
        <w:t>11h00</w:t>
      </w:r>
      <w:r w:rsidR="00437D5D" w:rsidRPr="00437D5D">
        <w:rPr>
          <w:rFonts w:eastAsia="Times New Roman" w:cs="Times New Roman"/>
          <w:sz w:val="28"/>
          <w:szCs w:val="28"/>
        </w:rPr>
        <w:t xml:space="preserve"> on </w:t>
      </w:r>
      <w:r w:rsidR="00437D5D">
        <w:rPr>
          <w:rFonts w:eastAsia="Times New Roman" w:cs="Times New Roman"/>
          <w:sz w:val="28"/>
          <w:szCs w:val="28"/>
        </w:rPr>
        <w:t>20 December 2022</w:t>
      </w:r>
      <w:r w:rsidR="00437D5D" w:rsidRPr="00437D5D">
        <w:rPr>
          <w:rFonts w:eastAsia="Times New Roman" w:cs="Times New Roman"/>
          <w:sz w:val="28"/>
          <w:szCs w:val="28"/>
        </w:rPr>
        <w:t>.</w:t>
      </w:r>
    </w:p>
    <w:p w14:paraId="1B0F668F" w14:textId="77777777" w:rsidR="00437D5D" w:rsidRDefault="00437D5D" w:rsidP="002B4B9F">
      <w:pPr>
        <w:rPr>
          <w:sz w:val="28"/>
          <w:szCs w:val="28"/>
        </w:rPr>
      </w:pPr>
    </w:p>
    <w:p w14:paraId="4CB62C7D" w14:textId="3A913C57" w:rsidR="00034FD9" w:rsidRPr="00127B01" w:rsidRDefault="00093030" w:rsidP="002B4B9F">
      <w:pPr>
        <w:rPr>
          <w:sz w:val="28"/>
          <w:szCs w:val="28"/>
        </w:rPr>
      </w:pPr>
      <w:r w:rsidRPr="00127B01">
        <w:rPr>
          <w:b/>
          <w:bCs/>
          <w:sz w:val="28"/>
          <w:szCs w:val="28"/>
        </w:rPr>
        <w:t>Summary:</w:t>
      </w:r>
      <w:r w:rsidR="00C83F90" w:rsidRPr="00127B01">
        <w:rPr>
          <w:sz w:val="28"/>
          <w:szCs w:val="28"/>
        </w:rPr>
        <w:tab/>
      </w:r>
      <w:r w:rsidR="0024713A" w:rsidRPr="00127B01">
        <w:rPr>
          <w:sz w:val="28"/>
          <w:szCs w:val="28"/>
        </w:rPr>
        <w:t>Constitutional and administrative law</w:t>
      </w:r>
      <w:r w:rsidR="0024713A" w:rsidRPr="00127B01">
        <w:rPr>
          <w:bCs/>
          <w:sz w:val="28"/>
          <w:szCs w:val="28"/>
        </w:rPr>
        <w:t xml:space="preserve"> </w:t>
      </w:r>
      <w:r w:rsidR="00135E32" w:rsidRPr="00127B01">
        <w:rPr>
          <w:bCs/>
          <w:sz w:val="28"/>
          <w:szCs w:val="28"/>
        </w:rPr>
        <w:t xml:space="preserve">– </w:t>
      </w:r>
      <w:r w:rsidR="00B571F5" w:rsidRPr="00127B01">
        <w:rPr>
          <w:bCs/>
          <w:sz w:val="28"/>
          <w:szCs w:val="28"/>
        </w:rPr>
        <w:t>just and equitable order under s 172(1)</w:t>
      </w:r>
      <w:r w:rsidR="00B571F5" w:rsidRPr="00127B01">
        <w:rPr>
          <w:bCs/>
          <w:i/>
          <w:iCs/>
          <w:sz w:val="28"/>
          <w:szCs w:val="28"/>
        </w:rPr>
        <w:t>(b)</w:t>
      </w:r>
      <w:r w:rsidR="00B571F5" w:rsidRPr="00127B01">
        <w:rPr>
          <w:bCs/>
          <w:sz w:val="28"/>
          <w:szCs w:val="28"/>
        </w:rPr>
        <w:t xml:space="preserve"> of the Constitution</w:t>
      </w:r>
      <w:r w:rsidR="00135E32" w:rsidRPr="00127B01">
        <w:rPr>
          <w:bCs/>
          <w:sz w:val="28"/>
          <w:szCs w:val="28"/>
        </w:rPr>
        <w:t xml:space="preserve"> –</w:t>
      </w:r>
      <w:r w:rsidR="000E4DA2" w:rsidRPr="00127B01">
        <w:rPr>
          <w:bCs/>
          <w:sz w:val="28"/>
          <w:szCs w:val="28"/>
        </w:rPr>
        <w:t xml:space="preserve"> </w:t>
      </w:r>
      <w:r w:rsidR="00777331" w:rsidRPr="00127B01">
        <w:rPr>
          <w:bCs/>
          <w:sz w:val="28"/>
          <w:szCs w:val="28"/>
        </w:rPr>
        <w:t xml:space="preserve">factors to be taken into account – </w:t>
      </w:r>
      <w:r w:rsidR="003D1713" w:rsidRPr="00127B01">
        <w:rPr>
          <w:bCs/>
          <w:sz w:val="28"/>
          <w:szCs w:val="28"/>
        </w:rPr>
        <w:t xml:space="preserve">default judgment valid and binding – </w:t>
      </w:r>
      <w:r w:rsidR="00754B88" w:rsidRPr="00127B01">
        <w:rPr>
          <w:bCs/>
          <w:sz w:val="28"/>
          <w:szCs w:val="28"/>
        </w:rPr>
        <w:t>s 165(</w:t>
      </w:r>
      <w:r w:rsidR="00647C73" w:rsidRPr="00127B01">
        <w:rPr>
          <w:bCs/>
          <w:sz w:val="28"/>
          <w:szCs w:val="28"/>
        </w:rPr>
        <w:t>5</w:t>
      </w:r>
      <w:r w:rsidR="00754B88" w:rsidRPr="00127B01">
        <w:rPr>
          <w:bCs/>
          <w:sz w:val="28"/>
          <w:szCs w:val="28"/>
        </w:rPr>
        <w:t xml:space="preserve">) of the Constitution – </w:t>
      </w:r>
      <w:r w:rsidR="00A65FC8" w:rsidRPr="00127B01">
        <w:rPr>
          <w:bCs/>
          <w:sz w:val="28"/>
          <w:szCs w:val="28"/>
        </w:rPr>
        <w:t>e</w:t>
      </w:r>
      <w:r w:rsidR="00E30705" w:rsidRPr="00127B01">
        <w:rPr>
          <w:bCs/>
          <w:sz w:val="28"/>
          <w:szCs w:val="28"/>
        </w:rPr>
        <w:t>n</w:t>
      </w:r>
      <w:r w:rsidR="00A65FC8" w:rsidRPr="00127B01">
        <w:rPr>
          <w:bCs/>
          <w:sz w:val="28"/>
          <w:szCs w:val="28"/>
        </w:rPr>
        <w:t>f</w:t>
      </w:r>
      <w:r w:rsidR="00E30705" w:rsidRPr="00127B01">
        <w:rPr>
          <w:bCs/>
          <w:sz w:val="28"/>
          <w:szCs w:val="28"/>
        </w:rPr>
        <w:t>orceability of</w:t>
      </w:r>
      <w:r w:rsidR="00A65FC8" w:rsidRPr="00127B01">
        <w:rPr>
          <w:bCs/>
          <w:sz w:val="28"/>
          <w:szCs w:val="28"/>
        </w:rPr>
        <w:t xml:space="preserve"> court orders</w:t>
      </w:r>
      <w:r w:rsidR="00D2410F" w:rsidRPr="00127B01">
        <w:rPr>
          <w:bCs/>
          <w:sz w:val="28"/>
          <w:szCs w:val="28"/>
        </w:rPr>
        <w:t xml:space="preserve"> </w:t>
      </w:r>
      <w:r w:rsidR="005D7B6D" w:rsidRPr="00127B01">
        <w:rPr>
          <w:bCs/>
          <w:sz w:val="28"/>
          <w:szCs w:val="28"/>
        </w:rPr>
        <w:t xml:space="preserve">– </w:t>
      </w:r>
      <w:r w:rsidR="00647C73" w:rsidRPr="00127B01">
        <w:rPr>
          <w:bCs/>
          <w:sz w:val="28"/>
          <w:szCs w:val="28"/>
        </w:rPr>
        <w:t>order sought having effect of pr</w:t>
      </w:r>
      <w:r w:rsidR="00BA7A2B" w:rsidRPr="00127B01">
        <w:rPr>
          <w:bCs/>
          <w:sz w:val="28"/>
          <w:szCs w:val="28"/>
        </w:rPr>
        <w:t>ohibiting</w:t>
      </w:r>
      <w:r w:rsidR="00647C73" w:rsidRPr="00127B01">
        <w:rPr>
          <w:bCs/>
          <w:sz w:val="28"/>
          <w:szCs w:val="28"/>
        </w:rPr>
        <w:t xml:space="preserve"> execution of </w:t>
      </w:r>
      <w:r w:rsidR="00BA7A2B" w:rsidRPr="00127B01">
        <w:rPr>
          <w:bCs/>
          <w:sz w:val="28"/>
          <w:szCs w:val="28"/>
        </w:rPr>
        <w:t>the</w:t>
      </w:r>
      <w:r w:rsidR="00647C73" w:rsidRPr="00127B01">
        <w:rPr>
          <w:bCs/>
          <w:sz w:val="28"/>
          <w:szCs w:val="28"/>
        </w:rPr>
        <w:t xml:space="preserve"> default judgment –</w:t>
      </w:r>
      <w:r w:rsidR="00BA7A2B" w:rsidRPr="00127B01">
        <w:rPr>
          <w:bCs/>
          <w:sz w:val="28"/>
          <w:szCs w:val="28"/>
        </w:rPr>
        <w:t xml:space="preserve"> </w:t>
      </w:r>
      <w:r w:rsidR="007121A3" w:rsidRPr="00127B01">
        <w:rPr>
          <w:bCs/>
          <w:sz w:val="28"/>
          <w:szCs w:val="28"/>
        </w:rPr>
        <w:t xml:space="preserve">order </w:t>
      </w:r>
      <w:r w:rsidR="00754B88" w:rsidRPr="00127B01">
        <w:rPr>
          <w:bCs/>
          <w:sz w:val="28"/>
          <w:szCs w:val="28"/>
        </w:rPr>
        <w:t xml:space="preserve">not </w:t>
      </w:r>
      <w:r w:rsidR="00ED4889" w:rsidRPr="00127B01">
        <w:rPr>
          <w:bCs/>
          <w:sz w:val="28"/>
          <w:szCs w:val="28"/>
        </w:rPr>
        <w:t xml:space="preserve">just and equitable </w:t>
      </w:r>
      <w:r w:rsidR="002F4BE8" w:rsidRPr="00127B01">
        <w:rPr>
          <w:bCs/>
          <w:sz w:val="28"/>
          <w:szCs w:val="28"/>
        </w:rPr>
        <w:t>–</w:t>
      </w:r>
      <w:r w:rsidR="0027065D" w:rsidRPr="00127B01">
        <w:rPr>
          <w:bCs/>
          <w:sz w:val="28"/>
          <w:szCs w:val="28"/>
        </w:rPr>
        <w:t xml:space="preserve"> </w:t>
      </w:r>
      <w:r w:rsidR="007C3F9F" w:rsidRPr="00127B01">
        <w:rPr>
          <w:bCs/>
          <w:sz w:val="28"/>
          <w:szCs w:val="28"/>
        </w:rPr>
        <w:t>application for leave to appea</w:t>
      </w:r>
      <w:r w:rsidR="00A65FC8" w:rsidRPr="00127B01">
        <w:rPr>
          <w:bCs/>
          <w:sz w:val="28"/>
          <w:szCs w:val="28"/>
        </w:rPr>
        <w:t>l</w:t>
      </w:r>
      <w:r w:rsidR="007C3F9F" w:rsidRPr="00127B01">
        <w:rPr>
          <w:bCs/>
          <w:sz w:val="28"/>
          <w:szCs w:val="28"/>
        </w:rPr>
        <w:t xml:space="preserve"> dismissed</w:t>
      </w:r>
      <w:r w:rsidR="00E06545" w:rsidRPr="00127B01">
        <w:rPr>
          <w:sz w:val="28"/>
          <w:szCs w:val="28"/>
        </w:rPr>
        <w:t>.</w:t>
      </w:r>
      <w:r w:rsidR="00034FD9" w:rsidRPr="00127B01">
        <w:rPr>
          <w:sz w:val="28"/>
          <w:szCs w:val="28"/>
        </w:rPr>
        <w:br w:type="page"/>
      </w:r>
    </w:p>
    <w:p w14:paraId="1C2C5C2E" w14:textId="36C070CA" w:rsidR="008A1D81" w:rsidRPr="00127B01" w:rsidRDefault="0053011F" w:rsidP="00534664">
      <w:pPr>
        <w:pStyle w:val="Heading3"/>
        <w:spacing w:after="240"/>
        <w:jc w:val="center"/>
        <w:rPr>
          <w:rFonts w:ascii="Times New Roman" w:hAnsi="Times New Roman" w:cs="Times New Roman"/>
          <w:b/>
          <w:i w:val="0"/>
          <w:szCs w:val="28"/>
        </w:rPr>
      </w:pPr>
      <w:r w:rsidRPr="00127B01">
        <w:rPr>
          <w:rFonts w:ascii="Times New Roman" w:hAnsi="Times New Roman" w:cs="Times New Roman"/>
          <w:b/>
          <w:i w:val="0"/>
          <w:szCs w:val="28"/>
        </w:rPr>
        <w:lastRenderedPageBreak/>
        <w:t>_____</w:t>
      </w:r>
      <w:r w:rsidR="008A1D81" w:rsidRPr="00127B01">
        <w:rPr>
          <w:rFonts w:ascii="Times New Roman" w:hAnsi="Times New Roman" w:cs="Times New Roman"/>
          <w:b/>
          <w:i w:val="0"/>
          <w:szCs w:val="28"/>
        </w:rPr>
        <w:t>_____________________________________________________________</w:t>
      </w:r>
    </w:p>
    <w:p w14:paraId="6CD909E1" w14:textId="77777777" w:rsidR="008A1D81" w:rsidRPr="00127B01" w:rsidRDefault="008A1D81" w:rsidP="00534664">
      <w:pPr>
        <w:pStyle w:val="Heading3"/>
        <w:jc w:val="center"/>
        <w:rPr>
          <w:rFonts w:ascii="Times New Roman" w:hAnsi="Times New Roman" w:cs="Times New Roman"/>
          <w:b/>
          <w:bCs/>
          <w:i w:val="0"/>
          <w:szCs w:val="28"/>
        </w:rPr>
      </w:pPr>
      <w:r w:rsidRPr="00127B01">
        <w:rPr>
          <w:rFonts w:ascii="Times New Roman" w:hAnsi="Times New Roman" w:cs="Times New Roman"/>
          <w:b/>
          <w:i w:val="0"/>
          <w:szCs w:val="28"/>
        </w:rPr>
        <w:t>ORDER</w:t>
      </w:r>
    </w:p>
    <w:p w14:paraId="5D5CED47" w14:textId="7F66479E" w:rsidR="008A1D81" w:rsidRPr="00127B01" w:rsidRDefault="00746627" w:rsidP="00534664">
      <w:pPr>
        <w:rPr>
          <w:b/>
          <w:bCs/>
        </w:rPr>
      </w:pPr>
      <w:r w:rsidRPr="00127B01">
        <w:rPr>
          <w:b/>
          <w:bCs/>
        </w:rPr>
        <w:t>______</w:t>
      </w:r>
      <w:r w:rsidR="008A1D81" w:rsidRPr="00127B01">
        <w:rPr>
          <w:b/>
          <w:bCs/>
        </w:rPr>
        <w:t>__________________________________________________________________</w:t>
      </w:r>
      <w:r w:rsidR="003F2AE6" w:rsidRPr="00127B01">
        <w:rPr>
          <w:b/>
          <w:bCs/>
        </w:rPr>
        <w:t>_______________</w:t>
      </w:r>
      <w:r w:rsidR="008A1D81" w:rsidRPr="00127B01">
        <w:rPr>
          <w:b/>
          <w:bCs/>
        </w:rPr>
        <w:t>______</w:t>
      </w:r>
    </w:p>
    <w:p w14:paraId="7CF9AD44" w14:textId="1473B6A8" w:rsidR="00E15D0F" w:rsidRPr="00127B01" w:rsidRDefault="00093030" w:rsidP="009A5649">
      <w:pPr>
        <w:rPr>
          <w:bCs/>
          <w:sz w:val="28"/>
          <w:szCs w:val="28"/>
        </w:rPr>
      </w:pPr>
      <w:r w:rsidRPr="00127B01">
        <w:rPr>
          <w:b/>
          <w:bCs/>
          <w:sz w:val="28"/>
          <w:szCs w:val="28"/>
        </w:rPr>
        <w:t>On appeal from:</w:t>
      </w:r>
      <w:r w:rsidR="00332389" w:rsidRPr="00127B01">
        <w:rPr>
          <w:sz w:val="28"/>
          <w:szCs w:val="28"/>
        </w:rPr>
        <w:t xml:space="preserve"> </w:t>
      </w:r>
      <w:r w:rsidR="005F11EE" w:rsidRPr="00127B01">
        <w:rPr>
          <w:sz w:val="28"/>
          <w:szCs w:val="28"/>
        </w:rPr>
        <w:t>Eastern Cape</w:t>
      </w:r>
      <w:r w:rsidRPr="00127B01">
        <w:rPr>
          <w:bCs/>
          <w:sz w:val="28"/>
          <w:szCs w:val="28"/>
        </w:rPr>
        <w:t xml:space="preserve"> Division of the High Court</w:t>
      </w:r>
      <w:r w:rsidR="00081A89" w:rsidRPr="00127B01">
        <w:rPr>
          <w:bCs/>
          <w:sz w:val="28"/>
          <w:szCs w:val="28"/>
        </w:rPr>
        <w:t xml:space="preserve">, </w:t>
      </w:r>
      <w:r w:rsidR="00E15D0F" w:rsidRPr="00127B01">
        <w:rPr>
          <w:bCs/>
          <w:sz w:val="28"/>
          <w:szCs w:val="28"/>
        </w:rPr>
        <w:t>G</w:t>
      </w:r>
      <w:r w:rsidR="005F11EE" w:rsidRPr="00127B01">
        <w:rPr>
          <w:bCs/>
          <w:sz w:val="28"/>
          <w:szCs w:val="28"/>
        </w:rPr>
        <w:t>rahamstown</w:t>
      </w:r>
      <w:r w:rsidR="00414DF4" w:rsidRPr="00127B01">
        <w:rPr>
          <w:bCs/>
          <w:sz w:val="28"/>
          <w:szCs w:val="28"/>
        </w:rPr>
        <w:t xml:space="preserve"> </w:t>
      </w:r>
      <w:r w:rsidRPr="00127B01">
        <w:rPr>
          <w:bCs/>
          <w:sz w:val="28"/>
          <w:szCs w:val="28"/>
        </w:rPr>
        <w:t>(</w:t>
      </w:r>
      <w:r w:rsidR="005F11EE" w:rsidRPr="00127B01">
        <w:rPr>
          <w:bCs/>
          <w:sz w:val="28"/>
          <w:szCs w:val="28"/>
        </w:rPr>
        <w:t>Beshe</w:t>
      </w:r>
      <w:r w:rsidR="0076476E" w:rsidRPr="00127B01">
        <w:rPr>
          <w:bCs/>
          <w:sz w:val="28"/>
          <w:szCs w:val="28"/>
        </w:rPr>
        <w:t xml:space="preserve"> J</w:t>
      </w:r>
      <w:r w:rsidR="004A546C" w:rsidRPr="00127B01">
        <w:rPr>
          <w:bCs/>
          <w:sz w:val="28"/>
          <w:szCs w:val="28"/>
        </w:rPr>
        <w:t xml:space="preserve"> </w:t>
      </w:r>
      <w:r w:rsidR="00E5435F" w:rsidRPr="00127B01">
        <w:rPr>
          <w:bCs/>
          <w:sz w:val="28"/>
          <w:szCs w:val="28"/>
        </w:rPr>
        <w:t>sitting as court of first instance</w:t>
      </w:r>
      <w:r w:rsidR="001D29D1" w:rsidRPr="00127B01">
        <w:rPr>
          <w:bCs/>
          <w:sz w:val="28"/>
          <w:szCs w:val="28"/>
        </w:rPr>
        <w:t>)</w:t>
      </w:r>
      <w:r w:rsidRPr="00127B01">
        <w:rPr>
          <w:bCs/>
          <w:sz w:val="28"/>
          <w:szCs w:val="28"/>
        </w:rPr>
        <w:t>:</w:t>
      </w:r>
    </w:p>
    <w:p w14:paraId="51F42FE4" w14:textId="166B6725" w:rsidR="00C568CD" w:rsidRPr="00127B01" w:rsidRDefault="00C568CD" w:rsidP="009A5649">
      <w:pPr>
        <w:rPr>
          <w:bCs/>
          <w:sz w:val="28"/>
          <w:szCs w:val="28"/>
        </w:rPr>
      </w:pPr>
      <w:r w:rsidRPr="00127B01">
        <w:rPr>
          <w:bCs/>
          <w:sz w:val="28"/>
          <w:szCs w:val="28"/>
        </w:rPr>
        <w:t>1</w:t>
      </w:r>
      <w:r w:rsidRPr="00127B01">
        <w:rPr>
          <w:bCs/>
          <w:sz w:val="28"/>
          <w:szCs w:val="28"/>
        </w:rPr>
        <w:tab/>
      </w:r>
      <w:r w:rsidR="008A1053" w:rsidRPr="00127B01">
        <w:rPr>
          <w:bCs/>
          <w:sz w:val="28"/>
          <w:szCs w:val="28"/>
        </w:rPr>
        <w:t>The application for condonation is granted</w:t>
      </w:r>
      <w:r w:rsidR="008E344D" w:rsidRPr="00127B01">
        <w:rPr>
          <w:bCs/>
          <w:sz w:val="28"/>
          <w:szCs w:val="28"/>
        </w:rPr>
        <w:t>. T</w:t>
      </w:r>
      <w:r w:rsidR="008A1053" w:rsidRPr="00127B01">
        <w:rPr>
          <w:bCs/>
          <w:sz w:val="28"/>
          <w:szCs w:val="28"/>
        </w:rPr>
        <w:t>he applicants are o</w:t>
      </w:r>
      <w:r w:rsidR="00721A66" w:rsidRPr="00127B01">
        <w:rPr>
          <w:bCs/>
          <w:sz w:val="28"/>
          <w:szCs w:val="28"/>
        </w:rPr>
        <w:t xml:space="preserve">rdered to pay the costs of </w:t>
      </w:r>
      <w:r w:rsidR="00596DC3" w:rsidRPr="00127B01">
        <w:rPr>
          <w:bCs/>
          <w:sz w:val="28"/>
          <w:szCs w:val="28"/>
        </w:rPr>
        <w:t>that app</w:t>
      </w:r>
      <w:r w:rsidR="008E344D" w:rsidRPr="00127B01">
        <w:rPr>
          <w:bCs/>
          <w:sz w:val="28"/>
          <w:szCs w:val="28"/>
        </w:rPr>
        <w:t>lication, including those consequent on the employment of two counsel, where so employed.</w:t>
      </w:r>
    </w:p>
    <w:p w14:paraId="5B4F20DB" w14:textId="11163EB9" w:rsidR="00D901B2" w:rsidRPr="00127B01" w:rsidRDefault="008A1053" w:rsidP="009A5649">
      <w:pPr>
        <w:rPr>
          <w:sz w:val="28"/>
          <w:szCs w:val="28"/>
        </w:rPr>
      </w:pPr>
      <w:r w:rsidRPr="00127B01">
        <w:rPr>
          <w:bCs/>
          <w:sz w:val="28"/>
          <w:szCs w:val="28"/>
        </w:rPr>
        <w:t>2</w:t>
      </w:r>
      <w:r w:rsidRPr="00127B01">
        <w:rPr>
          <w:bCs/>
          <w:sz w:val="28"/>
          <w:szCs w:val="28"/>
        </w:rPr>
        <w:tab/>
      </w:r>
      <w:r w:rsidR="00CC0444" w:rsidRPr="00127B01">
        <w:rPr>
          <w:bCs/>
          <w:sz w:val="28"/>
          <w:szCs w:val="28"/>
        </w:rPr>
        <w:t>T</w:t>
      </w:r>
      <w:r w:rsidR="00CC0444" w:rsidRPr="00127B01">
        <w:rPr>
          <w:sz w:val="28"/>
          <w:szCs w:val="28"/>
        </w:rPr>
        <w:t xml:space="preserve">he </w:t>
      </w:r>
      <w:r w:rsidR="0076476E" w:rsidRPr="00127B01">
        <w:rPr>
          <w:sz w:val="28"/>
          <w:szCs w:val="28"/>
        </w:rPr>
        <w:t xml:space="preserve">application for leave to </w:t>
      </w:r>
      <w:r w:rsidR="00CC0444" w:rsidRPr="00127B01">
        <w:rPr>
          <w:sz w:val="28"/>
          <w:szCs w:val="28"/>
        </w:rPr>
        <w:t>appeal is</w:t>
      </w:r>
      <w:r w:rsidR="00890F02" w:rsidRPr="00127B01">
        <w:rPr>
          <w:sz w:val="28"/>
          <w:szCs w:val="28"/>
        </w:rPr>
        <w:t xml:space="preserve"> </w:t>
      </w:r>
      <w:r w:rsidR="00E150AE" w:rsidRPr="00127B01">
        <w:rPr>
          <w:sz w:val="28"/>
          <w:szCs w:val="28"/>
        </w:rPr>
        <w:t>dismissed</w:t>
      </w:r>
      <w:r w:rsidR="001F485A" w:rsidRPr="00127B01">
        <w:rPr>
          <w:sz w:val="28"/>
          <w:szCs w:val="28"/>
        </w:rPr>
        <w:t xml:space="preserve"> </w:t>
      </w:r>
      <w:r w:rsidR="000E121F" w:rsidRPr="00127B01">
        <w:rPr>
          <w:sz w:val="28"/>
          <w:szCs w:val="28"/>
        </w:rPr>
        <w:t>with costs</w:t>
      </w:r>
      <w:r w:rsidR="006F3C81" w:rsidRPr="00127B01">
        <w:rPr>
          <w:sz w:val="28"/>
          <w:szCs w:val="28"/>
        </w:rPr>
        <w:t>, including those consequent on the employment of two counsel</w:t>
      </w:r>
      <w:r w:rsidR="00E15D0F" w:rsidRPr="00127B01">
        <w:rPr>
          <w:sz w:val="28"/>
          <w:szCs w:val="28"/>
        </w:rPr>
        <w:t>,</w:t>
      </w:r>
      <w:r w:rsidR="006F3C81" w:rsidRPr="00127B01">
        <w:rPr>
          <w:sz w:val="28"/>
          <w:szCs w:val="28"/>
        </w:rPr>
        <w:t xml:space="preserve"> where so employed</w:t>
      </w:r>
      <w:r w:rsidR="000E121F" w:rsidRPr="00127B01">
        <w:rPr>
          <w:sz w:val="28"/>
          <w:szCs w:val="28"/>
        </w:rPr>
        <w:t>.</w:t>
      </w:r>
    </w:p>
    <w:p w14:paraId="250A5D20" w14:textId="77777777" w:rsidR="00B71439" w:rsidRPr="00127B01" w:rsidRDefault="00B71439" w:rsidP="009A5649">
      <w:pPr>
        <w:rPr>
          <w:sz w:val="28"/>
          <w:szCs w:val="28"/>
        </w:rPr>
      </w:pPr>
    </w:p>
    <w:p w14:paraId="617C314F" w14:textId="153BE8F7" w:rsidR="008A1D81" w:rsidRPr="00127B01" w:rsidRDefault="00745D18" w:rsidP="00534664">
      <w:pPr>
        <w:pStyle w:val="ListParagraph"/>
        <w:spacing w:after="240"/>
        <w:ind w:left="0"/>
        <w:rPr>
          <w:b/>
          <w:bCs/>
          <w:sz w:val="28"/>
          <w:szCs w:val="28"/>
        </w:rPr>
      </w:pPr>
      <w:r w:rsidRPr="00127B01">
        <w:rPr>
          <w:b/>
          <w:bCs/>
          <w:sz w:val="28"/>
          <w:szCs w:val="28"/>
        </w:rPr>
        <w:t>_____</w:t>
      </w:r>
      <w:r w:rsidR="008A1D81" w:rsidRPr="00127B01">
        <w:rPr>
          <w:b/>
          <w:bCs/>
          <w:sz w:val="28"/>
          <w:szCs w:val="28"/>
        </w:rPr>
        <w:t>_____________________________________________________________</w:t>
      </w:r>
    </w:p>
    <w:p w14:paraId="747C9F8E" w14:textId="77777777" w:rsidR="008A1D81" w:rsidRPr="00127B01" w:rsidRDefault="008A1D81" w:rsidP="00534664">
      <w:pPr>
        <w:pStyle w:val="Heading1"/>
        <w:jc w:val="center"/>
        <w:rPr>
          <w:rFonts w:ascii="Times New Roman" w:hAnsi="Times New Roman" w:cs="Times New Roman"/>
          <w:szCs w:val="28"/>
        </w:rPr>
      </w:pPr>
      <w:r w:rsidRPr="00127B01">
        <w:rPr>
          <w:rFonts w:ascii="Times New Roman" w:hAnsi="Times New Roman" w:cs="Times New Roman"/>
          <w:szCs w:val="28"/>
        </w:rPr>
        <w:t>JUDGMENT</w:t>
      </w:r>
    </w:p>
    <w:p w14:paraId="6C01EE17" w14:textId="7A74E2D6" w:rsidR="008A1D81" w:rsidRPr="00127B01" w:rsidRDefault="00745D18" w:rsidP="00534664">
      <w:pPr>
        <w:spacing w:after="240"/>
        <w:rPr>
          <w:b/>
          <w:bCs/>
          <w:sz w:val="28"/>
          <w:szCs w:val="28"/>
        </w:rPr>
      </w:pPr>
      <w:r w:rsidRPr="00127B01">
        <w:rPr>
          <w:b/>
          <w:bCs/>
          <w:sz w:val="28"/>
          <w:szCs w:val="28"/>
        </w:rPr>
        <w:t>_____</w:t>
      </w:r>
      <w:r w:rsidR="008A1D81" w:rsidRPr="00127B01">
        <w:rPr>
          <w:b/>
          <w:bCs/>
          <w:sz w:val="28"/>
          <w:szCs w:val="28"/>
        </w:rPr>
        <w:t>_____________________________________________________________</w:t>
      </w:r>
    </w:p>
    <w:p w14:paraId="1AFFED54" w14:textId="0C8FEC14" w:rsidR="003F2AE6" w:rsidRDefault="00CB0375" w:rsidP="00534664">
      <w:pPr>
        <w:rPr>
          <w:b/>
          <w:sz w:val="28"/>
          <w:szCs w:val="28"/>
        </w:rPr>
      </w:pPr>
      <w:r w:rsidRPr="00127B01">
        <w:rPr>
          <w:b/>
          <w:sz w:val="28"/>
          <w:szCs w:val="28"/>
        </w:rPr>
        <w:t>Gorven</w:t>
      </w:r>
      <w:r w:rsidR="00093030" w:rsidRPr="00127B01">
        <w:rPr>
          <w:b/>
          <w:sz w:val="28"/>
          <w:szCs w:val="28"/>
        </w:rPr>
        <w:t xml:space="preserve"> JA (</w:t>
      </w:r>
      <w:r w:rsidR="00CE04CC">
        <w:rPr>
          <w:b/>
          <w:sz w:val="28"/>
          <w:szCs w:val="28"/>
        </w:rPr>
        <w:t>Van Der Merwe JA and Basson, Windell and Salie-Hlophe AJJA</w:t>
      </w:r>
      <w:r w:rsidR="00635B6E" w:rsidRPr="00127B01">
        <w:rPr>
          <w:b/>
          <w:sz w:val="28"/>
          <w:szCs w:val="28"/>
        </w:rPr>
        <w:t xml:space="preserve"> </w:t>
      </w:r>
      <w:r w:rsidR="003342E3" w:rsidRPr="00127B01">
        <w:rPr>
          <w:b/>
          <w:sz w:val="28"/>
          <w:szCs w:val="28"/>
        </w:rPr>
        <w:t>co</w:t>
      </w:r>
      <w:r w:rsidR="00093030" w:rsidRPr="00127B01">
        <w:rPr>
          <w:b/>
          <w:sz w:val="28"/>
          <w:szCs w:val="28"/>
        </w:rPr>
        <w:t>ncurring)</w:t>
      </w:r>
    </w:p>
    <w:p w14:paraId="08607963" w14:textId="77777777" w:rsidR="005B1C51" w:rsidRPr="00127B01" w:rsidRDefault="005B1C51" w:rsidP="00534664">
      <w:pPr>
        <w:rPr>
          <w:sz w:val="28"/>
          <w:szCs w:val="28"/>
        </w:rPr>
      </w:pPr>
    </w:p>
    <w:p w14:paraId="75675B78" w14:textId="715768AF" w:rsidR="001F4570" w:rsidRPr="001D56C6" w:rsidRDefault="001D56C6" w:rsidP="001D56C6">
      <w:pPr>
        <w:rPr>
          <w:sz w:val="28"/>
          <w:szCs w:val="28"/>
        </w:rPr>
      </w:pPr>
      <w:r w:rsidRPr="00127B01">
        <w:rPr>
          <w:sz w:val="28"/>
          <w:szCs w:val="28"/>
        </w:rPr>
        <w:t>[1]</w:t>
      </w:r>
      <w:r w:rsidRPr="00127B01">
        <w:rPr>
          <w:sz w:val="28"/>
          <w:szCs w:val="28"/>
        </w:rPr>
        <w:tab/>
      </w:r>
      <w:r w:rsidR="00000F23" w:rsidRPr="001D56C6">
        <w:rPr>
          <w:sz w:val="28"/>
          <w:szCs w:val="28"/>
        </w:rPr>
        <w:t xml:space="preserve">This </w:t>
      </w:r>
      <w:r w:rsidR="001300FB" w:rsidRPr="001D56C6">
        <w:rPr>
          <w:sz w:val="28"/>
          <w:szCs w:val="28"/>
        </w:rPr>
        <w:t xml:space="preserve">is an application for leave to </w:t>
      </w:r>
      <w:r w:rsidR="00000F23" w:rsidRPr="001D56C6">
        <w:rPr>
          <w:sz w:val="28"/>
          <w:szCs w:val="28"/>
        </w:rPr>
        <w:t>appeal</w:t>
      </w:r>
      <w:r w:rsidR="001300FB" w:rsidRPr="001D56C6">
        <w:rPr>
          <w:sz w:val="28"/>
          <w:szCs w:val="28"/>
        </w:rPr>
        <w:t xml:space="preserve"> a judgment of the Eastern Cape Division of the High</w:t>
      </w:r>
      <w:r w:rsidR="00000F23" w:rsidRPr="001D56C6">
        <w:rPr>
          <w:sz w:val="28"/>
          <w:szCs w:val="28"/>
        </w:rPr>
        <w:t xml:space="preserve"> </w:t>
      </w:r>
      <w:r w:rsidR="001300FB" w:rsidRPr="001D56C6">
        <w:rPr>
          <w:sz w:val="28"/>
          <w:szCs w:val="28"/>
        </w:rPr>
        <w:t xml:space="preserve">Court, Grahamstown </w:t>
      </w:r>
      <w:r w:rsidR="00844782" w:rsidRPr="001D56C6">
        <w:rPr>
          <w:sz w:val="28"/>
          <w:szCs w:val="28"/>
        </w:rPr>
        <w:t>(the high court)</w:t>
      </w:r>
      <w:r w:rsidR="009C4C49" w:rsidRPr="001D56C6">
        <w:rPr>
          <w:sz w:val="28"/>
          <w:szCs w:val="28"/>
        </w:rPr>
        <w:t>,</w:t>
      </w:r>
      <w:r w:rsidR="00844782" w:rsidRPr="001D56C6">
        <w:rPr>
          <w:sz w:val="28"/>
          <w:szCs w:val="28"/>
        </w:rPr>
        <w:t xml:space="preserve"> </w:t>
      </w:r>
      <w:r w:rsidR="009C4C49" w:rsidRPr="001D56C6">
        <w:rPr>
          <w:sz w:val="28"/>
          <w:szCs w:val="28"/>
        </w:rPr>
        <w:t>where</w:t>
      </w:r>
      <w:r w:rsidR="001300FB" w:rsidRPr="001D56C6">
        <w:rPr>
          <w:sz w:val="28"/>
          <w:szCs w:val="28"/>
        </w:rPr>
        <w:t xml:space="preserve"> Beshe J dismissed an application</w:t>
      </w:r>
      <w:r w:rsidR="00E927ED" w:rsidRPr="001D56C6">
        <w:rPr>
          <w:sz w:val="28"/>
          <w:szCs w:val="28"/>
        </w:rPr>
        <w:t xml:space="preserve"> with costs and refused leave to appeal. The </w:t>
      </w:r>
      <w:r w:rsidR="005E3011" w:rsidRPr="001D56C6">
        <w:rPr>
          <w:sz w:val="28"/>
          <w:szCs w:val="28"/>
        </w:rPr>
        <w:t>matter before us</w:t>
      </w:r>
      <w:r w:rsidR="00E927ED" w:rsidRPr="001D56C6">
        <w:rPr>
          <w:sz w:val="28"/>
          <w:szCs w:val="28"/>
        </w:rPr>
        <w:t xml:space="preserve"> was referred for oral argument in terms of s 17</w:t>
      </w:r>
      <w:r w:rsidR="0081740F" w:rsidRPr="001D56C6">
        <w:rPr>
          <w:sz w:val="28"/>
          <w:szCs w:val="28"/>
        </w:rPr>
        <w:t>(2)</w:t>
      </w:r>
      <w:r w:rsidR="0081740F" w:rsidRPr="001D56C6">
        <w:rPr>
          <w:i/>
          <w:iCs/>
          <w:sz w:val="28"/>
          <w:szCs w:val="28"/>
        </w:rPr>
        <w:t>(d)</w:t>
      </w:r>
      <w:r w:rsidR="00A11F8C" w:rsidRPr="001D56C6">
        <w:rPr>
          <w:sz w:val="28"/>
          <w:szCs w:val="28"/>
        </w:rPr>
        <w:t xml:space="preserve"> of the Superior Courts Act 10 of 2013</w:t>
      </w:r>
      <w:r w:rsidR="00193244" w:rsidRPr="001D56C6">
        <w:rPr>
          <w:sz w:val="28"/>
          <w:szCs w:val="28"/>
        </w:rPr>
        <w:t xml:space="preserve"> (the Act)</w:t>
      </w:r>
      <w:r w:rsidR="00A11F8C" w:rsidRPr="001D56C6">
        <w:rPr>
          <w:sz w:val="28"/>
          <w:szCs w:val="28"/>
        </w:rPr>
        <w:t>.</w:t>
      </w:r>
      <w:r w:rsidR="001C08DA" w:rsidRPr="001D56C6">
        <w:rPr>
          <w:sz w:val="28"/>
          <w:szCs w:val="28"/>
        </w:rPr>
        <w:t xml:space="preserve"> The parties were informed that</w:t>
      </w:r>
      <w:r w:rsidR="00BA7A2B" w:rsidRPr="001D56C6">
        <w:rPr>
          <w:sz w:val="28"/>
          <w:szCs w:val="28"/>
        </w:rPr>
        <w:t xml:space="preserve">, if called upon to do so, </w:t>
      </w:r>
      <w:r w:rsidR="001C08DA" w:rsidRPr="001D56C6">
        <w:rPr>
          <w:sz w:val="28"/>
          <w:szCs w:val="28"/>
        </w:rPr>
        <w:t>they should be prepared to address this Court on the merits.</w:t>
      </w:r>
    </w:p>
    <w:p w14:paraId="37CBBFC2" w14:textId="77777777" w:rsidR="001300FB" w:rsidRPr="00127B01" w:rsidRDefault="001300FB" w:rsidP="001300FB">
      <w:pPr>
        <w:pStyle w:val="ListParagraph"/>
        <w:ind w:left="0"/>
        <w:rPr>
          <w:sz w:val="28"/>
          <w:szCs w:val="28"/>
        </w:rPr>
      </w:pPr>
    </w:p>
    <w:p w14:paraId="6DD09F34" w14:textId="20739AB9" w:rsidR="001F4570" w:rsidRPr="001D56C6" w:rsidRDefault="001D56C6" w:rsidP="001D56C6">
      <w:pPr>
        <w:rPr>
          <w:sz w:val="28"/>
          <w:szCs w:val="28"/>
        </w:rPr>
      </w:pPr>
      <w:r w:rsidRPr="00127B01">
        <w:rPr>
          <w:sz w:val="28"/>
          <w:szCs w:val="28"/>
        </w:rPr>
        <w:lastRenderedPageBreak/>
        <w:t>[2]</w:t>
      </w:r>
      <w:r w:rsidRPr="00127B01">
        <w:rPr>
          <w:sz w:val="28"/>
          <w:szCs w:val="28"/>
        </w:rPr>
        <w:tab/>
      </w:r>
      <w:r w:rsidR="001269DB" w:rsidRPr="001D56C6">
        <w:rPr>
          <w:sz w:val="28"/>
          <w:szCs w:val="28"/>
        </w:rPr>
        <w:t xml:space="preserve">As part of the order referring the matter for oral argument, the applicants were directed to </w:t>
      </w:r>
      <w:r w:rsidR="005F1D95" w:rsidRPr="001D56C6">
        <w:rPr>
          <w:sz w:val="28"/>
          <w:szCs w:val="28"/>
        </w:rPr>
        <w:t>file five additional copies of the application for leave to appeal and to comply with the rules of this Court by filing the record</w:t>
      </w:r>
      <w:r w:rsidR="008239EB" w:rsidRPr="001D56C6">
        <w:rPr>
          <w:sz w:val="28"/>
          <w:szCs w:val="28"/>
        </w:rPr>
        <w:t xml:space="preserve"> within three months of the order</w:t>
      </w:r>
      <w:r w:rsidR="00BC6E7B" w:rsidRPr="001D56C6">
        <w:rPr>
          <w:sz w:val="28"/>
          <w:szCs w:val="28"/>
        </w:rPr>
        <w:t>. B</w:t>
      </w:r>
      <w:r w:rsidR="008239EB" w:rsidRPr="001D56C6">
        <w:rPr>
          <w:sz w:val="28"/>
          <w:szCs w:val="28"/>
        </w:rPr>
        <w:t>oth parties were directed to comply with</w:t>
      </w:r>
      <w:r w:rsidR="00A85498" w:rsidRPr="001D56C6">
        <w:rPr>
          <w:sz w:val="28"/>
          <w:szCs w:val="28"/>
        </w:rPr>
        <w:t xml:space="preserve"> all of the remaining rules relating to the prosecution of an appeal. The applicants failed to </w:t>
      </w:r>
      <w:r w:rsidR="000321B2" w:rsidRPr="001D56C6">
        <w:rPr>
          <w:sz w:val="28"/>
          <w:szCs w:val="28"/>
        </w:rPr>
        <w:t>comply with that direction</w:t>
      </w:r>
      <w:r w:rsidR="00A85498" w:rsidRPr="001D56C6">
        <w:rPr>
          <w:sz w:val="28"/>
          <w:szCs w:val="28"/>
        </w:rPr>
        <w:t xml:space="preserve"> and sought condonation for that failure.</w:t>
      </w:r>
      <w:r w:rsidR="008373A1" w:rsidRPr="001D56C6">
        <w:rPr>
          <w:sz w:val="28"/>
          <w:szCs w:val="28"/>
        </w:rPr>
        <w:t xml:space="preserve"> </w:t>
      </w:r>
      <w:r w:rsidR="00BC6E7B" w:rsidRPr="001D56C6">
        <w:rPr>
          <w:sz w:val="28"/>
          <w:szCs w:val="28"/>
        </w:rPr>
        <w:t>C</w:t>
      </w:r>
      <w:r w:rsidR="008373A1" w:rsidRPr="001D56C6">
        <w:rPr>
          <w:sz w:val="28"/>
          <w:szCs w:val="28"/>
        </w:rPr>
        <w:t xml:space="preserve">ondonation was opposed. </w:t>
      </w:r>
      <w:r w:rsidR="00536039" w:rsidRPr="001D56C6">
        <w:rPr>
          <w:sz w:val="28"/>
          <w:szCs w:val="28"/>
        </w:rPr>
        <w:t>The failure follows a litany of other procedural</w:t>
      </w:r>
      <w:r w:rsidR="000B58FA" w:rsidRPr="001D56C6">
        <w:rPr>
          <w:sz w:val="28"/>
          <w:szCs w:val="28"/>
        </w:rPr>
        <w:t xml:space="preserve"> deviations by the applicants as will be seen in due course</w:t>
      </w:r>
      <w:r w:rsidR="002D4F8D" w:rsidRPr="001D56C6">
        <w:rPr>
          <w:sz w:val="28"/>
          <w:szCs w:val="28"/>
        </w:rPr>
        <w:t>. This more than justified the opposition.</w:t>
      </w:r>
      <w:r w:rsidR="000B58FA" w:rsidRPr="001D56C6">
        <w:rPr>
          <w:sz w:val="28"/>
          <w:szCs w:val="28"/>
        </w:rPr>
        <w:t xml:space="preserve"> </w:t>
      </w:r>
      <w:r w:rsidR="00495673" w:rsidRPr="001D56C6">
        <w:rPr>
          <w:sz w:val="28"/>
          <w:szCs w:val="28"/>
        </w:rPr>
        <w:t>Despite</w:t>
      </w:r>
      <w:r w:rsidR="008373A1" w:rsidRPr="001D56C6">
        <w:rPr>
          <w:sz w:val="28"/>
          <w:szCs w:val="28"/>
        </w:rPr>
        <w:t xml:space="preserve"> the prospects of success </w:t>
      </w:r>
      <w:r w:rsidR="00CC2142" w:rsidRPr="001D56C6">
        <w:rPr>
          <w:sz w:val="28"/>
          <w:szCs w:val="28"/>
        </w:rPr>
        <w:t xml:space="preserve">not having been evaluated as yet, it seems to me to be in the interests of justice to grant condonation. </w:t>
      </w:r>
      <w:r w:rsidR="00402083" w:rsidRPr="001D56C6">
        <w:rPr>
          <w:sz w:val="28"/>
          <w:szCs w:val="28"/>
        </w:rPr>
        <w:t>Apart from other considerations, t</w:t>
      </w:r>
      <w:r w:rsidR="00CC2142" w:rsidRPr="001D56C6">
        <w:rPr>
          <w:sz w:val="28"/>
          <w:szCs w:val="28"/>
        </w:rPr>
        <w:t xml:space="preserve">his matter </w:t>
      </w:r>
      <w:r w:rsidR="00402083" w:rsidRPr="001D56C6">
        <w:rPr>
          <w:sz w:val="28"/>
          <w:szCs w:val="28"/>
        </w:rPr>
        <w:t xml:space="preserve">raises a novel point and </w:t>
      </w:r>
      <w:r w:rsidR="00CC2142" w:rsidRPr="001D56C6">
        <w:rPr>
          <w:sz w:val="28"/>
          <w:szCs w:val="28"/>
        </w:rPr>
        <w:t>cries out for finality</w:t>
      </w:r>
      <w:r w:rsidR="00402083" w:rsidRPr="001D56C6">
        <w:rPr>
          <w:sz w:val="28"/>
          <w:szCs w:val="28"/>
        </w:rPr>
        <w:t>.</w:t>
      </w:r>
      <w:r w:rsidR="00A06FB0" w:rsidRPr="001D56C6">
        <w:rPr>
          <w:sz w:val="28"/>
          <w:szCs w:val="28"/>
        </w:rPr>
        <w:t xml:space="preserve"> However, the applicants must bear the costs of that application, including those of two counsel</w:t>
      </w:r>
      <w:r w:rsidR="00D07516" w:rsidRPr="001D56C6">
        <w:rPr>
          <w:sz w:val="28"/>
          <w:szCs w:val="28"/>
        </w:rPr>
        <w:t>,</w:t>
      </w:r>
      <w:r w:rsidR="00A06FB0" w:rsidRPr="001D56C6">
        <w:rPr>
          <w:sz w:val="28"/>
          <w:szCs w:val="28"/>
        </w:rPr>
        <w:t xml:space="preserve"> where </w:t>
      </w:r>
      <w:r w:rsidR="00D07516" w:rsidRPr="001D56C6">
        <w:rPr>
          <w:sz w:val="28"/>
          <w:szCs w:val="28"/>
        </w:rPr>
        <w:t xml:space="preserve">so </w:t>
      </w:r>
      <w:r w:rsidR="00A06FB0" w:rsidRPr="001D56C6">
        <w:rPr>
          <w:sz w:val="28"/>
          <w:szCs w:val="28"/>
        </w:rPr>
        <w:t>employed.</w:t>
      </w:r>
    </w:p>
    <w:p w14:paraId="627AD3E2" w14:textId="77777777" w:rsidR="001F4570" w:rsidRPr="00127B01" w:rsidRDefault="001F4570" w:rsidP="001300FB">
      <w:pPr>
        <w:pStyle w:val="ListParagraph"/>
        <w:ind w:left="0"/>
        <w:rPr>
          <w:sz w:val="28"/>
          <w:szCs w:val="28"/>
        </w:rPr>
      </w:pPr>
    </w:p>
    <w:p w14:paraId="578A1539" w14:textId="0A26EE0B" w:rsidR="001F4570" w:rsidRPr="001D56C6" w:rsidRDefault="001D56C6" w:rsidP="001D56C6">
      <w:pPr>
        <w:rPr>
          <w:sz w:val="28"/>
          <w:szCs w:val="28"/>
        </w:rPr>
      </w:pPr>
      <w:r w:rsidRPr="00127B01">
        <w:rPr>
          <w:sz w:val="28"/>
          <w:szCs w:val="28"/>
        </w:rPr>
        <w:t>[3]</w:t>
      </w:r>
      <w:r w:rsidRPr="00127B01">
        <w:rPr>
          <w:sz w:val="28"/>
          <w:szCs w:val="28"/>
        </w:rPr>
        <w:tab/>
      </w:r>
      <w:r w:rsidR="00204616" w:rsidRPr="001D56C6">
        <w:rPr>
          <w:sz w:val="28"/>
          <w:szCs w:val="28"/>
        </w:rPr>
        <w:t>T</w:t>
      </w:r>
      <w:r w:rsidR="00F31229" w:rsidRPr="001D56C6">
        <w:rPr>
          <w:sz w:val="28"/>
          <w:szCs w:val="28"/>
        </w:rPr>
        <w:t>he grant</w:t>
      </w:r>
      <w:r w:rsidR="006D7C24" w:rsidRPr="001D56C6">
        <w:rPr>
          <w:sz w:val="28"/>
          <w:szCs w:val="28"/>
        </w:rPr>
        <w:t xml:space="preserve"> of</w:t>
      </w:r>
      <w:r w:rsidR="00F31229" w:rsidRPr="001D56C6">
        <w:rPr>
          <w:sz w:val="28"/>
          <w:szCs w:val="28"/>
        </w:rPr>
        <w:t xml:space="preserve"> leave to appeal is governed by s 1</w:t>
      </w:r>
      <w:r w:rsidR="00204616" w:rsidRPr="001D56C6">
        <w:rPr>
          <w:sz w:val="28"/>
          <w:szCs w:val="28"/>
        </w:rPr>
        <w:t>7</w:t>
      </w:r>
      <w:r w:rsidR="00193244" w:rsidRPr="001D56C6">
        <w:rPr>
          <w:sz w:val="28"/>
          <w:szCs w:val="28"/>
        </w:rPr>
        <w:t>(1)</w:t>
      </w:r>
      <w:r w:rsidR="00193244" w:rsidRPr="001D56C6">
        <w:rPr>
          <w:i/>
          <w:iCs/>
          <w:sz w:val="28"/>
          <w:szCs w:val="28"/>
        </w:rPr>
        <w:t>(a)</w:t>
      </w:r>
      <w:r w:rsidR="00193244" w:rsidRPr="001D56C6">
        <w:rPr>
          <w:sz w:val="28"/>
          <w:szCs w:val="28"/>
        </w:rPr>
        <w:t xml:space="preserve"> of the Act</w:t>
      </w:r>
      <w:r w:rsidR="00925A1C" w:rsidRPr="001D56C6">
        <w:rPr>
          <w:sz w:val="28"/>
          <w:szCs w:val="28"/>
        </w:rPr>
        <w:t>, which reads</w:t>
      </w:r>
      <w:r w:rsidR="00193244" w:rsidRPr="001D56C6">
        <w:rPr>
          <w:sz w:val="28"/>
          <w:szCs w:val="28"/>
        </w:rPr>
        <w:t>:</w:t>
      </w:r>
    </w:p>
    <w:p w14:paraId="1581410C" w14:textId="4E7E61F7" w:rsidR="00C52FBC" w:rsidRPr="00127B01" w:rsidRDefault="00A1272C" w:rsidP="00C52FBC">
      <w:pPr>
        <w:pStyle w:val="ListParagraph"/>
        <w:ind w:left="0"/>
        <w:rPr>
          <w:sz w:val="24"/>
          <w:szCs w:val="24"/>
        </w:rPr>
      </w:pPr>
      <w:r w:rsidRPr="00127B01">
        <w:rPr>
          <w:sz w:val="24"/>
          <w:szCs w:val="24"/>
        </w:rPr>
        <w:t>‘</w:t>
      </w:r>
      <w:r w:rsidR="00925A1C" w:rsidRPr="00127B01">
        <w:rPr>
          <w:sz w:val="24"/>
          <w:szCs w:val="24"/>
        </w:rPr>
        <w:t xml:space="preserve">(1) </w:t>
      </w:r>
      <w:r w:rsidR="00C52FBC" w:rsidRPr="00127B01">
        <w:rPr>
          <w:sz w:val="24"/>
          <w:szCs w:val="24"/>
        </w:rPr>
        <w:t>Leave to appeal may only be given where the judge or judges concerned are of the opinion that</w:t>
      </w:r>
      <w:r w:rsidR="00925A1C" w:rsidRPr="00127B01">
        <w:rPr>
          <w:sz w:val="24"/>
          <w:szCs w:val="24"/>
        </w:rPr>
        <w:t xml:space="preserve"> – </w:t>
      </w:r>
    </w:p>
    <w:p w14:paraId="1AA9381D" w14:textId="58737BAA" w:rsidR="00C52FBC" w:rsidRPr="00127B01" w:rsidRDefault="00C52FBC" w:rsidP="00C52FBC">
      <w:pPr>
        <w:pStyle w:val="ListParagraph"/>
        <w:ind w:left="0"/>
        <w:rPr>
          <w:sz w:val="24"/>
          <w:szCs w:val="24"/>
        </w:rPr>
      </w:pPr>
      <w:r w:rsidRPr="00127B01">
        <w:rPr>
          <w:i/>
          <w:iCs/>
          <w:sz w:val="24"/>
          <w:szCs w:val="24"/>
        </w:rPr>
        <w:t>(a)</w:t>
      </w:r>
      <w:r w:rsidR="00925A1C" w:rsidRPr="00127B01">
        <w:rPr>
          <w:sz w:val="24"/>
          <w:szCs w:val="24"/>
        </w:rPr>
        <w:tab/>
      </w:r>
      <w:r w:rsidRPr="00127B01">
        <w:rPr>
          <w:sz w:val="24"/>
          <w:szCs w:val="24"/>
        </w:rPr>
        <w:t>(i) the appeal would have a reasonable prospect of success; or</w:t>
      </w:r>
    </w:p>
    <w:p w14:paraId="55556551" w14:textId="5FC615B6" w:rsidR="00193244" w:rsidRPr="00127B01" w:rsidRDefault="00C52FBC" w:rsidP="001C5323">
      <w:pPr>
        <w:pStyle w:val="ListParagraph"/>
        <w:rPr>
          <w:sz w:val="24"/>
          <w:szCs w:val="24"/>
        </w:rPr>
      </w:pPr>
      <w:r w:rsidRPr="00127B01">
        <w:rPr>
          <w:sz w:val="24"/>
          <w:szCs w:val="24"/>
        </w:rPr>
        <w:t xml:space="preserve">(ii) </w:t>
      </w:r>
      <w:r w:rsidR="00A81FFA" w:rsidRPr="00127B01">
        <w:rPr>
          <w:sz w:val="24"/>
          <w:szCs w:val="24"/>
        </w:rPr>
        <w:t>t</w:t>
      </w:r>
      <w:r w:rsidRPr="00127B01">
        <w:rPr>
          <w:sz w:val="24"/>
          <w:szCs w:val="24"/>
        </w:rPr>
        <w:t>here is some other compelling reason why the appeal should be heard, including conflicting judgments on the matter under consideration</w:t>
      </w:r>
      <w:r w:rsidR="00925A1C" w:rsidRPr="00127B01">
        <w:rPr>
          <w:sz w:val="24"/>
          <w:szCs w:val="24"/>
        </w:rPr>
        <w:t xml:space="preserve"> .</w:t>
      </w:r>
      <w:r w:rsidRPr="00127B01">
        <w:rPr>
          <w:sz w:val="24"/>
          <w:szCs w:val="24"/>
        </w:rPr>
        <w:t xml:space="preserve"> . .</w:t>
      </w:r>
      <w:r w:rsidR="00DE6001" w:rsidRPr="00127B01">
        <w:rPr>
          <w:sz w:val="24"/>
          <w:szCs w:val="24"/>
        </w:rPr>
        <w:t xml:space="preserve"> </w:t>
      </w:r>
      <w:r w:rsidR="00925A1C" w:rsidRPr="00127B01">
        <w:rPr>
          <w:sz w:val="24"/>
          <w:szCs w:val="24"/>
        </w:rPr>
        <w:t>.</w:t>
      </w:r>
      <w:r w:rsidR="00AA7C4A" w:rsidRPr="00127B01">
        <w:rPr>
          <w:sz w:val="24"/>
          <w:szCs w:val="24"/>
        </w:rPr>
        <w:t>’</w:t>
      </w:r>
    </w:p>
    <w:p w14:paraId="5ACD6395" w14:textId="69E35B09" w:rsidR="00E15691" w:rsidRPr="00127B01" w:rsidRDefault="00E15691" w:rsidP="00C52FBC">
      <w:pPr>
        <w:pStyle w:val="ListParagraph"/>
        <w:ind w:left="0"/>
        <w:rPr>
          <w:sz w:val="28"/>
          <w:szCs w:val="28"/>
        </w:rPr>
      </w:pPr>
      <w:r w:rsidRPr="00127B01">
        <w:rPr>
          <w:sz w:val="28"/>
          <w:szCs w:val="28"/>
        </w:rPr>
        <w:t xml:space="preserve">For </w:t>
      </w:r>
      <w:r w:rsidR="002C3E98" w:rsidRPr="00127B01">
        <w:rPr>
          <w:sz w:val="28"/>
          <w:szCs w:val="28"/>
        </w:rPr>
        <w:t>present</w:t>
      </w:r>
      <w:r w:rsidRPr="00127B01">
        <w:rPr>
          <w:sz w:val="28"/>
          <w:szCs w:val="28"/>
        </w:rPr>
        <w:t xml:space="preserve"> purposes, it is not necessary to enter the debate whether the test </w:t>
      </w:r>
      <w:r w:rsidR="009D3A52" w:rsidRPr="00127B01">
        <w:rPr>
          <w:sz w:val="28"/>
          <w:szCs w:val="28"/>
        </w:rPr>
        <w:t>under s 17(1)</w:t>
      </w:r>
      <w:r w:rsidR="009D3A52" w:rsidRPr="00127B01">
        <w:rPr>
          <w:i/>
          <w:iCs/>
          <w:sz w:val="28"/>
          <w:szCs w:val="28"/>
        </w:rPr>
        <w:t>(a)</w:t>
      </w:r>
      <w:r w:rsidR="009D3A52" w:rsidRPr="00127B01">
        <w:rPr>
          <w:sz w:val="28"/>
          <w:szCs w:val="28"/>
        </w:rPr>
        <w:t xml:space="preserve">(i) </w:t>
      </w:r>
      <w:r w:rsidRPr="00127B01">
        <w:rPr>
          <w:sz w:val="28"/>
          <w:szCs w:val="28"/>
        </w:rPr>
        <w:t>is more stringent than that under the Supreme Court Act 59 of 1959.</w:t>
      </w:r>
      <w:r w:rsidR="00B16331" w:rsidRPr="00127B01">
        <w:rPr>
          <w:sz w:val="28"/>
          <w:szCs w:val="28"/>
        </w:rPr>
        <w:t xml:space="preserve"> </w:t>
      </w:r>
      <w:r w:rsidR="004D6D9E" w:rsidRPr="00127B01">
        <w:rPr>
          <w:sz w:val="28"/>
          <w:szCs w:val="28"/>
        </w:rPr>
        <w:t>It should also be said that t</w:t>
      </w:r>
      <w:r w:rsidR="00476BBE" w:rsidRPr="00127B01">
        <w:rPr>
          <w:sz w:val="28"/>
          <w:szCs w:val="28"/>
        </w:rPr>
        <w:t>he application for leave was based squarely on</w:t>
      </w:r>
      <w:r w:rsidR="00944D26" w:rsidRPr="00127B01">
        <w:rPr>
          <w:sz w:val="28"/>
          <w:szCs w:val="28"/>
        </w:rPr>
        <w:t xml:space="preserve"> that section and not on s 17</w:t>
      </w:r>
      <w:r w:rsidR="002B0DC0" w:rsidRPr="00127B01">
        <w:rPr>
          <w:sz w:val="28"/>
          <w:szCs w:val="28"/>
        </w:rPr>
        <w:t>(1)</w:t>
      </w:r>
      <w:r w:rsidR="00944D26" w:rsidRPr="00127B01">
        <w:rPr>
          <w:i/>
          <w:iCs/>
          <w:sz w:val="28"/>
          <w:szCs w:val="28"/>
        </w:rPr>
        <w:t>(a)</w:t>
      </w:r>
      <w:r w:rsidR="00944D26" w:rsidRPr="00127B01">
        <w:rPr>
          <w:sz w:val="28"/>
          <w:szCs w:val="28"/>
        </w:rPr>
        <w:t>(ii).</w:t>
      </w:r>
    </w:p>
    <w:p w14:paraId="7C45B5A3" w14:textId="77777777" w:rsidR="00E15691" w:rsidRPr="00127B01" w:rsidRDefault="00E15691" w:rsidP="00C52FBC">
      <w:pPr>
        <w:pStyle w:val="ListParagraph"/>
        <w:ind w:left="0"/>
        <w:rPr>
          <w:sz w:val="28"/>
          <w:szCs w:val="28"/>
        </w:rPr>
      </w:pPr>
    </w:p>
    <w:p w14:paraId="6C05BF67" w14:textId="430F605A" w:rsidR="006C74C9" w:rsidRPr="001D56C6" w:rsidRDefault="001D56C6" w:rsidP="001D56C6">
      <w:pPr>
        <w:rPr>
          <w:sz w:val="28"/>
          <w:szCs w:val="28"/>
        </w:rPr>
      </w:pPr>
      <w:r w:rsidRPr="00127B01">
        <w:rPr>
          <w:sz w:val="28"/>
          <w:szCs w:val="28"/>
        </w:rPr>
        <w:t>[4]</w:t>
      </w:r>
      <w:r w:rsidRPr="00127B01">
        <w:rPr>
          <w:sz w:val="28"/>
          <w:szCs w:val="28"/>
        </w:rPr>
        <w:tab/>
      </w:r>
      <w:r w:rsidR="006C74C9" w:rsidRPr="001D56C6">
        <w:rPr>
          <w:sz w:val="28"/>
          <w:szCs w:val="28"/>
        </w:rPr>
        <w:t>Th</w:t>
      </w:r>
      <w:r w:rsidR="003442B9" w:rsidRPr="001D56C6">
        <w:rPr>
          <w:sz w:val="28"/>
          <w:szCs w:val="28"/>
        </w:rPr>
        <w:t>is matter</w:t>
      </w:r>
      <w:r w:rsidR="006C74C9" w:rsidRPr="001D56C6">
        <w:rPr>
          <w:sz w:val="28"/>
          <w:szCs w:val="28"/>
        </w:rPr>
        <w:t xml:space="preserve"> </w:t>
      </w:r>
      <w:r w:rsidR="009D74C7" w:rsidRPr="001D56C6">
        <w:rPr>
          <w:sz w:val="28"/>
          <w:szCs w:val="28"/>
        </w:rPr>
        <w:t>stems f</w:t>
      </w:r>
      <w:r w:rsidR="006C74C9" w:rsidRPr="001D56C6">
        <w:rPr>
          <w:sz w:val="28"/>
          <w:szCs w:val="28"/>
        </w:rPr>
        <w:t xml:space="preserve">rom an application launched </w:t>
      </w:r>
      <w:r w:rsidR="00582BE8" w:rsidRPr="001D56C6">
        <w:rPr>
          <w:sz w:val="28"/>
          <w:szCs w:val="28"/>
        </w:rPr>
        <w:t xml:space="preserve">in September 2019 </w:t>
      </w:r>
      <w:r w:rsidR="006C74C9" w:rsidRPr="001D56C6">
        <w:rPr>
          <w:sz w:val="28"/>
          <w:szCs w:val="28"/>
        </w:rPr>
        <w:t>by the appl</w:t>
      </w:r>
      <w:r w:rsidR="003442B9" w:rsidRPr="001D56C6">
        <w:rPr>
          <w:sz w:val="28"/>
          <w:szCs w:val="28"/>
        </w:rPr>
        <w:t>ic</w:t>
      </w:r>
      <w:r w:rsidR="006C74C9" w:rsidRPr="001D56C6">
        <w:rPr>
          <w:sz w:val="28"/>
          <w:szCs w:val="28"/>
        </w:rPr>
        <w:t>ants</w:t>
      </w:r>
      <w:r w:rsidR="009D74C7" w:rsidRPr="001D56C6">
        <w:rPr>
          <w:sz w:val="28"/>
          <w:szCs w:val="28"/>
        </w:rPr>
        <w:t>, the Member of the Executive Co</w:t>
      </w:r>
      <w:r w:rsidR="001245BC" w:rsidRPr="001D56C6">
        <w:rPr>
          <w:sz w:val="28"/>
          <w:szCs w:val="28"/>
        </w:rPr>
        <w:t>uncil for the Department of Public Works, Eastern Cape</w:t>
      </w:r>
      <w:r w:rsidR="009D74C7" w:rsidRPr="001D56C6">
        <w:rPr>
          <w:sz w:val="28"/>
          <w:szCs w:val="28"/>
        </w:rPr>
        <w:t xml:space="preserve"> </w:t>
      </w:r>
      <w:r w:rsidR="003442B9" w:rsidRPr="001D56C6">
        <w:rPr>
          <w:sz w:val="28"/>
          <w:szCs w:val="28"/>
        </w:rPr>
        <w:t xml:space="preserve">(the Department of Works) </w:t>
      </w:r>
      <w:r w:rsidR="001245BC" w:rsidRPr="001D56C6">
        <w:rPr>
          <w:sz w:val="28"/>
          <w:szCs w:val="28"/>
        </w:rPr>
        <w:t xml:space="preserve">and the Member of the Executive </w:t>
      </w:r>
      <w:r w:rsidR="001245BC" w:rsidRPr="001D56C6">
        <w:rPr>
          <w:sz w:val="28"/>
          <w:szCs w:val="28"/>
        </w:rPr>
        <w:lastRenderedPageBreak/>
        <w:t>Council for the Department of Health, Eastern Cape</w:t>
      </w:r>
      <w:r w:rsidR="00C8599E" w:rsidRPr="001D56C6">
        <w:rPr>
          <w:sz w:val="28"/>
          <w:szCs w:val="28"/>
        </w:rPr>
        <w:t xml:space="preserve"> (</w:t>
      </w:r>
      <w:r w:rsidR="005B7436" w:rsidRPr="001D56C6">
        <w:rPr>
          <w:sz w:val="28"/>
          <w:szCs w:val="28"/>
        </w:rPr>
        <w:t>the Department of Health)</w:t>
      </w:r>
      <w:r w:rsidR="00582BE8" w:rsidRPr="001D56C6">
        <w:rPr>
          <w:sz w:val="28"/>
          <w:szCs w:val="28"/>
        </w:rPr>
        <w:t xml:space="preserve">. </w:t>
      </w:r>
      <w:r w:rsidR="003914F4" w:rsidRPr="001D56C6">
        <w:rPr>
          <w:sz w:val="28"/>
          <w:szCs w:val="28"/>
        </w:rPr>
        <w:t xml:space="preserve">The </w:t>
      </w:r>
      <w:r w:rsidR="0007762C" w:rsidRPr="001D56C6">
        <w:rPr>
          <w:sz w:val="28"/>
          <w:szCs w:val="28"/>
        </w:rPr>
        <w:t>d</w:t>
      </w:r>
      <w:r w:rsidR="003914F4" w:rsidRPr="001D56C6">
        <w:rPr>
          <w:sz w:val="28"/>
          <w:szCs w:val="28"/>
        </w:rPr>
        <w:t>epartment directly involve</w:t>
      </w:r>
      <w:r w:rsidR="008B7D44" w:rsidRPr="001D56C6">
        <w:rPr>
          <w:sz w:val="28"/>
          <w:szCs w:val="28"/>
        </w:rPr>
        <w:t xml:space="preserve">d in the contract mentioned below was the Department of Works. </w:t>
      </w:r>
      <w:r w:rsidR="00582BE8" w:rsidRPr="001D56C6">
        <w:rPr>
          <w:sz w:val="28"/>
          <w:szCs w:val="28"/>
        </w:rPr>
        <w:t xml:space="preserve">The respondent </w:t>
      </w:r>
      <w:r w:rsidR="00C8599E" w:rsidRPr="001D56C6">
        <w:rPr>
          <w:sz w:val="28"/>
          <w:szCs w:val="28"/>
        </w:rPr>
        <w:t xml:space="preserve">herein, as </w:t>
      </w:r>
      <w:r w:rsidR="00582BE8" w:rsidRPr="001D56C6">
        <w:rPr>
          <w:sz w:val="28"/>
          <w:szCs w:val="28"/>
        </w:rPr>
        <w:t>in th</w:t>
      </w:r>
      <w:r w:rsidR="003032F5" w:rsidRPr="001D56C6">
        <w:rPr>
          <w:sz w:val="28"/>
          <w:szCs w:val="28"/>
        </w:rPr>
        <w:t>at matter</w:t>
      </w:r>
      <w:r w:rsidR="00C8599E" w:rsidRPr="001D56C6">
        <w:rPr>
          <w:sz w:val="28"/>
          <w:szCs w:val="28"/>
        </w:rPr>
        <w:t>,</w:t>
      </w:r>
      <w:r w:rsidR="003032F5" w:rsidRPr="001D56C6">
        <w:rPr>
          <w:sz w:val="28"/>
          <w:szCs w:val="28"/>
        </w:rPr>
        <w:t xml:space="preserve"> </w:t>
      </w:r>
      <w:r w:rsidR="00582BE8" w:rsidRPr="001D56C6">
        <w:rPr>
          <w:sz w:val="28"/>
          <w:szCs w:val="28"/>
        </w:rPr>
        <w:t>was Ikamva Architects CC (Ikamva). T</w:t>
      </w:r>
      <w:r w:rsidR="006C74C9" w:rsidRPr="001D56C6">
        <w:rPr>
          <w:sz w:val="28"/>
          <w:szCs w:val="28"/>
        </w:rPr>
        <w:t xml:space="preserve">he </w:t>
      </w:r>
      <w:r w:rsidR="00BD5162" w:rsidRPr="001D56C6">
        <w:rPr>
          <w:sz w:val="28"/>
          <w:szCs w:val="28"/>
        </w:rPr>
        <w:t xml:space="preserve">amended notice of motion sought the </w:t>
      </w:r>
      <w:r w:rsidR="006C74C9" w:rsidRPr="001D56C6">
        <w:rPr>
          <w:sz w:val="28"/>
          <w:szCs w:val="28"/>
        </w:rPr>
        <w:t xml:space="preserve">following relief </w:t>
      </w:r>
      <w:r w:rsidR="00BD5162" w:rsidRPr="001D56C6">
        <w:rPr>
          <w:sz w:val="28"/>
          <w:szCs w:val="28"/>
        </w:rPr>
        <w:t>from</w:t>
      </w:r>
      <w:r w:rsidR="00402083" w:rsidRPr="001D56C6">
        <w:rPr>
          <w:sz w:val="28"/>
          <w:szCs w:val="28"/>
        </w:rPr>
        <w:t xml:space="preserve"> the high court</w:t>
      </w:r>
      <w:r w:rsidR="00BD5162" w:rsidRPr="001D56C6">
        <w:rPr>
          <w:sz w:val="28"/>
          <w:szCs w:val="28"/>
        </w:rPr>
        <w:t>:</w:t>
      </w:r>
      <w:r w:rsidR="00402083" w:rsidRPr="001D56C6">
        <w:rPr>
          <w:sz w:val="28"/>
          <w:szCs w:val="28"/>
        </w:rPr>
        <w:t xml:space="preserve"> </w:t>
      </w:r>
    </w:p>
    <w:p w14:paraId="338CCAC1" w14:textId="7AFF9AA6" w:rsidR="006C74C9" w:rsidRPr="00127B01" w:rsidRDefault="006C74C9" w:rsidP="006C74C9">
      <w:pPr>
        <w:rPr>
          <w:sz w:val="24"/>
          <w:szCs w:val="24"/>
        </w:rPr>
      </w:pPr>
      <w:r w:rsidRPr="00127B01">
        <w:rPr>
          <w:sz w:val="24"/>
          <w:szCs w:val="24"/>
        </w:rPr>
        <w:t>‘1.</w:t>
      </w:r>
      <w:r w:rsidR="00925A1C" w:rsidRPr="00127B01">
        <w:rPr>
          <w:sz w:val="24"/>
          <w:szCs w:val="24"/>
        </w:rPr>
        <w:t xml:space="preserve"> </w:t>
      </w:r>
      <w:r w:rsidRPr="00127B01">
        <w:rPr>
          <w:sz w:val="24"/>
          <w:szCs w:val="24"/>
        </w:rPr>
        <w:t>The decision of the Department of Public Works of 29 August 2002 to appoint Ikamva Architects CC (the respondent) . . . is reviewed and set aside;</w:t>
      </w:r>
    </w:p>
    <w:p w14:paraId="3B4B1D2A" w14:textId="4FCB11CA" w:rsidR="006C74C9" w:rsidRPr="00127B01" w:rsidRDefault="006C74C9" w:rsidP="006C74C9">
      <w:pPr>
        <w:rPr>
          <w:sz w:val="24"/>
          <w:szCs w:val="24"/>
        </w:rPr>
      </w:pPr>
      <w:r w:rsidRPr="00127B01">
        <w:rPr>
          <w:sz w:val="24"/>
          <w:szCs w:val="24"/>
        </w:rPr>
        <w:t>2.</w:t>
      </w:r>
      <w:r w:rsidR="00DD56FF" w:rsidRPr="00127B01">
        <w:rPr>
          <w:sz w:val="24"/>
          <w:szCs w:val="24"/>
        </w:rPr>
        <w:t xml:space="preserve"> </w:t>
      </w:r>
      <w:r w:rsidR="003F67BE" w:rsidRPr="00127B01">
        <w:rPr>
          <w:sz w:val="24"/>
          <w:szCs w:val="24"/>
        </w:rPr>
        <w:t xml:space="preserve"> </w:t>
      </w:r>
      <w:r w:rsidRPr="00127B01">
        <w:rPr>
          <w:sz w:val="24"/>
          <w:szCs w:val="24"/>
        </w:rPr>
        <w:t>The decision of the then Head of Department of the Department of Public Works of 3</w:t>
      </w:r>
      <w:r w:rsidR="00402083" w:rsidRPr="00127B01">
        <w:rPr>
          <w:sz w:val="24"/>
          <w:szCs w:val="24"/>
        </w:rPr>
        <w:t> </w:t>
      </w:r>
      <w:r w:rsidRPr="00127B01">
        <w:rPr>
          <w:sz w:val="24"/>
          <w:szCs w:val="24"/>
        </w:rPr>
        <w:t>September 2002 to contract with the respondent . . . is reviewed and set aside;</w:t>
      </w:r>
    </w:p>
    <w:p w14:paraId="4BAA9FEF" w14:textId="3E6018AB" w:rsidR="006C74C9" w:rsidRPr="00127B01" w:rsidRDefault="006C74C9" w:rsidP="006C74C9">
      <w:pPr>
        <w:rPr>
          <w:sz w:val="24"/>
          <w:szCs w:val="24"/>
        </w:rPr>
      </w:pPr>
      <w:r w:rsidRPr="00127B01">
        <w:rPr>
          <w:sz w:val="24"/>
          <w:szCs w:val="24"/>
        </w:rPr>
        <w:t>3.</w:t>
      </w:r>
      <w:r w:rsidR="003F67BE" w:rsidRPr="00127B01">
        <w:rPr>
          <w:sz w:val="24"/>
          <w:szCs w:val="24"/>
        </w:rPr>
        <w:t xml:space="preserve"> </w:t>
      </w:r>
      <w:r w:rsidRPr="00127B01">
        <w:rPr>
          <w:sz w:val="24"/>
          <w:szCs w:val="24"/>
        </w:rPr>
        <w:t xml:space="preserve">The contract concluded between the Department of Public Works and Ikamva Architects CC </w:t>
      </w:r>
      <w:r w:rsidR="00DD56FF" w:rsidRPr="00127B01">
        <w:rPr>
          <w:sz w:val="24"/>
          <w:szCs w:val="24"/>
        </w:rPr>
        <w:t>i</w:t>
      </w:r>
      <w:r w:rsidRPr="00127B01">
        <w:rPr>
          <w:sz w:val="24"/>
          <w:szCs w:val="24"/>
        </w:rPr>
        <w:t xml:space="preserve">n September 2003 . . . is declared void </w:t>
      </w:r>
      <w:r w:rsidRPr="00127B01">
        <w:rPr>
          <w:i/>
          <w:iCs/>
          <w:sz w:val="24"/>
          <w:szCs w:val="24"/>
        </w:rPr>
        <w:t>ab initio</w:t>
      </w:r>
      <w:r w:rsidRPr="00127B01">
        <w:rPr>
          <w:sz w:val="24"/>
          <w:szCs w:val="24"/>
        </w:rPr>
        <w:t>;</w:t>
      </w:r>
    </w:p>
    <w:p w14:paraId="6BC67F32" w14:textId="37CAA502" w:rsidR="006C74C9" w:rsidRPr="00127B01" w:rsidRDefault="006C74C9" w:rsidP="006C74C9">
      <w:pPr>
        <w:rPr>
          <w:sz w:val="24"/>
          <w:szCs w:val="24"/>
        </w:rPr>
      </w:pPr>
      <w:r w:rsidRPr="00127B01">
        <w:rPr>
          <w:sz w:val="24"/>
          <w:szCs w:val="24"/>
        </w:rPr>
        <w:t>4.</w:t>
      </w:r>
      <w:r w:rsidR="003F67BE" w:rsidRPr="00127B01">
        <w:rPr>
          <w:sz w:val="24"/>
          <w:szCs w:val="24"/>
        </w:rPr>
        <w:t xml:space="preserve"> </w:t>
      </w:r>
      <w:r w:rsidRPr="00127B01">
        <w:rPr>
          <w:sz w:val="24"/>
          <w:szCs w:val="24"/>
        </w:rPr>
        <w:t>The respondent is entitled to no further payments under the contract referred to in paragraph 3 above and in terms of the default order of Malusi AJ on 1 December 2015</w:t>
      </w:r>
      <w:r w:rsidR="003F67BE" w:rsidRPr="00127B01">
        <w:rPr>
          <w:sz w:val="24"/>
          <w:szCs w:val="24"/>
        </w:rPr>
        <w:t xml:space="preserve"> . . .</w:t>
      </w:r>
      <w:r w:rsidRPr="00127B01">
        <w:rPr>
          <w:sz w:val="24"/>
          <w:szCs w:val="24"/>
        </w:rPr>
        <w:t>;</w:t>
      </w:r>
    </w:p>
    <w:p w14:paraId="390A862B" w14:textId="6A4F5D8B" w:rsidR="006C74C9" w:rsidRPr="00127B01" w:rsidRDefault="006C74C9" w:rsidP="006C74C9">
      <w:pPr>
        <w:rPr>
          <w:sz w:val="24"/>
          <w:szCs w:val="24"/>
        </w:rPr>
      </w:pPr>
      <w:r w:rsidRPr="00127B01">
        <w:rPr>
          <w:sz w:val="24"/>
          <w:szCs w:val="24"/>
        </w:rPr>
        <w:t>5.</w:t>
      </w:r>
      <w:r w:rsidR="003F67BE" w:rsidRPr="00127B01">
        <w:rPr>
          <w:sz w:val="24"/>
          <w:szCs w:val="24"/>
        </w:rPr>
        <w:t xml:space="preserve"> </w:t>
      </w:r>
      <w:r w:rsidRPr="00127B01">
        <w:rPr>
          <w:sz w:val="24"/>
          <w:szCs w:val="24"/>
        </w:rPr>
        <w:t>Hearsay evidence contained in the founding and supplementary affidavits of Sabelo Mgujulwa of 2 and 25 September 2019 respectively is hereby admitted into evidence in terms of section 3</w:t>
      </w:r>
      <w:r w:rsidRPr="00127B01">
        <w:rPr>
          <w:iCs/>
          <w:sz w:val="24"/>
          <w:szCs w:val="24"/>
        </w:rPr>
        <w:t>(c)</w:t>
      </w:r>
      <w:r w:rsidRPr="00127B01">
        <w:rPr>
          <w:sz w:val="24"/>
          <w:szCs w:val="24"/>
        </w:rPr>
        <w:t xml:space="preserve"> of the Law of Evidence Amendment Act, to the extent that it is necessary; </w:t>
      </w:r>
    </w:p>
    <w:p w14:paraId="63C9F3C4" w14:textId="05F78A41" w:rsidR="006C74C9" w:rsidRPr="00127B01" w:rsidRDefault="006C74C9" w:rsidP="006C74C9">
      <w:pPr>
        <w:rPr>
          <w:sz w:val="24"/>
          <w:szCs w:val="24"/>
        </w:rPr>
      </w:pPr>
      <w:r w:rsidRPr="00127B01">
        <w:rPr>
          <w:sz w:val="24"/>
          <w:szCs w:val="24"/>
        </w:rPr>
        <w:t>6.</w:t>
      </w:r>
      <w:r w:rsidR="003F67BE" w:rsidRPr="00127B01">
        <w:rPr>
          <w:sz w:val="24"/>
          <w:szCs w:val="24"/>
        </w:rPr>
        <w:t xml:space="preserve"> </w:t>
      </w:r>
      <w:r w:rsidRPr="00127B01">
        <w:rPr>
          <w:sz w:val="24"/>
          <w:szCs w:val="24"/>
        </w:rPr>
        <w:t>The respondent is ordered to pay the costs of the application, only in the event of its opposition</w:t>
      </w:r>
      <w:r w:rsidR="003F67BE" w:rsidRPr="00127B01">
        <w:rPr>
          <w:sz w:val="24"/>
          <w:szCs w:val="24"/>
        </w:rPr>
        <w:t>.</w:t>
      </w:r>
      <w:r w:rsidRPr="00127B01">
        <w:rPr>
          <w:sz w:val="24"/>
          <w:szCs w:val="24"/>
        </w:rPr>
        <w:t>’</w:t>
      </w:r>
    </w:p>
    <w:p w14:paraId="02D6F001" w14:textId="20183B53" w:rsidR="001F4570" w:rsidRPr="00127B01" w:rsidRDefault="006C74C9" w:rsidP="00582BE8">
      <w:pPr>
        <w:pStyle w:val="ListParagraph"/>
        <w:ind w:left="0"/>
        <w:rPr>
          <w:sz w:val="28"/>
          <w:szCs w:val="28"/>
        </w:rPr>
      </w:pPr>
      <w:r w:rsidRPr="00127B01">
        <w:rPr>
          <w:sz w:val="28"/>
          <w:szCs w:val="28"/>
          <w:lang w:val="en-US"/>
        </w:rPr>
        <w:t>A</w:t>
      </w:r>
      <w:r w:rsidR="00A45221" w:rsidRPr="00127B01">
        <w:rPr>
          <w:sz w:val="28"/>
          <w:szCs w:val="28"/>
          <w:lang w:val="en-US"/>
        </w:rPr>
        <w:t>lthough there was some debate</w:t>
      </w:r>
      <w:r w:rsidR="00122CE5" w:rsidRPr="00127B01">
        <w:rPr>
          <w:sz w:val="28"/>
          <w:szCs w:val="28"/>
          <w:lang w:val="en-US"/>
        </w:rPr>
        <w:t xml:space="preserve"> concerning which of two contracts was </w:t>
      </w:r>
      <w:r w:rsidR="00E15368" w:rsidRPr="00127B01">
        <w:rPr>
          <w:sz w:val="28"/>
          <w:szCs w:val="28"/>
          <w:lang w:val="en-US"/>
        </w:rPr>
        <w:t>targeted</w:t>
      </w:r>
      <w:r w:rsidR="00122CE5" w:rsidRPr="00127B01">
        <w:rPr>
          <w:sz w:val="28"/>
          <w:szCs w:val="28"/>
          <w:lang w:val="en-US"/>
        </w:rPr>
        <w:t xml:space="preserve">, </w:t>
      </w:r>
      <w:r w:rsidR="00997C5C" w:rsidRPr="00127B01">
        <w:rPr>
          <w:sz w:val="28"/>
          <w:szCs w:val="28"/>
          <w:lang w:val="en-US"/>
        </w:rPr>
        <w:t xml:space="preserve">it </w:t>
      </w:r>
      <w:r w:rsidR="00990150" w:rsidRPr="00127B01">
        <w:rPr>
          <w:sz w:val="28"/>
          <w:szCs w:val="28"/>
          <w:lang w:val="en-US"/>
        </w:rPr>
        <w:t>was</w:t>
      </w:r>
      <w:r w:rsidR="00997C5C" w:rsidRPr="00127B01">
        <w:rPr>
          <w:sz w:val="28"/>
          <w:szCs w:val="28"/>
          <w:lang w:val="en-US"/>
        </w:rPr>
        <w:t xml:space="preserve"> clear</w:t>
      </w:r>
      <w:r w:rsidR="00990150" w:rsidRPr="00127B01">
        <w:rPr>
          <w:sz w:val="28"/>
          <w:szCs w:val="28"/>
          <w:lang w:val="en-US"/>
        </w:rPr>
        <w:t>ly</w:t>
      </w:r>
      <w:r w:rsidRPr="00127B01">
        <w:rPr>
          <w:sz w:val="28"/>
          <w:szCs w:val="28"/>
          <w:lang w:val="en-US"/>
        </w:rPr>
        <w:t xml:space="preserve"> </w:t>
      </w:r>
      <w:r w:rsidR="00F96C49" w:rsidRPr="00127B01">
        <w:rPr>
          <w:sz w:val="28"/>
          <w:szCs w:val="28"/>
          <w:lang w:val="en-US"/>
        </w:rPr>
        <w:t>the</w:t>
      </w:r>
      <w:r w:rsidRPr="00127B01">
        <w:rPr>
          <w:sz w:val="28"/>
          <w:szCs w:val="28"/>
          <w:lang w:val="en-US"/>
        </w:rPr>
        <w:t xml:space="preserve"> contract concluded between the </w:t>
      </w:r>
      <w:r w:rsidRPr="00127B01">
        <w:rPr>
          <w:sz w:val="28"/>
          <w:szCs w:val="28"/>
        </w:rPr>
        <w:t>Department</w:t>
      </w:r>
      <w:r w:rsidR="009D33BF" w:rsidRPr="00127B01">
        <w:rPr>
          <w:sz w:val="28"/>
          <w:szCs w:val="28"/>
        </w:rPr>
        <w:t xml:space="preserve"> of Works</w:t>
      </w:r>
      <w:r w:rsidRPr="00127B01">
        <w:rPr>
          <w:sz w:val="28"/>
          <w:szCs w:val="28"/>
        </w:rPr>
        <w:t xml:space="preserve"> </w:t>
      </w:r>
      <w:r w:rsidRPr="00127B01">
        <w:rPr>
          <w:sz w:val="28"/>
          <w:szCs w:val="28"/>
          <w:lang w:val="en-US"/>
        </w:rPr>
        <w:t>and Ikamva in September 200</w:t>
      </w:r>
      <w:r w:rsidR="003D3DDC" w:rsidRPr="00127B01">
        <w:rPr>
          <w:sz w:val="28"/>
          <w:szCs w:val="28"/>
          <w:lang w:val="en-US"/>
        </w:rPr>
        <w:t>3</w:t>
      </w:r>
      <w:r w:rsidR="00997C5C" w:rsidRPr="00127B01">
        <w:rPr>
          <w:sz w:val="28"/>
          <w:szCs w:val="28"/>
          <w:lang w:val="en-US"/>
        </w:rPr>
        <w:t xml:space="preserve"> and not 2002</w:t>
      </w:r>
      <w:r w:rsidRPr="00127B01">
        <w:rPr>
          <w:sz w:val="28"/>
          <w:szCs w:val="28"/>
          <w:lang w:val="en-US"/>
        </w:rPr>
        <w:t>.</w:t>
      </w:r>
    </w:p>
    <w:p w14:paraId="4E73CC23" w14:textId="77777777" w:rsidR="001F4570" w:rsidRPr="00127B01" w:rsidRDefault="001F4570" w:rsidP="001300FB">
      <w:pPr>
        <w:pStyle w:val="ListParagraph"/>
        <w:ind w:left="0"/>
        <w:rPr>
          <w:sz w:val="28"/>
          <w:szCs w:val="28"/>
        </w:rPr>
      </w:pPr>
    </w:p>
    <w:p w14:paraId="4DE4CABB" w14:textId="1FAB18AE" w:rsidR="00571C83" w:rsidRPr="001D56C6" w:rsidRDefault="001D56C6" w:rsidP="001D56C6">
      <w:pPr>
        <w:rPr>
          <w:sz w:val="28"/>
          <w:szCs w:val="28"/>
        </w:rPr>
      </w:pPr>
      <w:r w:rsidRPr="00127B01">
        <w:rPr>
          <w:sz w:val="28"/>
          <w:szCs w:val="28"/>
        </w:rPr>
        <w:t>[5]</w:t>
      </w:r>
      <w:r w:rsidRPr="00127B01">
        <w:rPr>
          <w:sz w:val="28"/>
          <w:szCs w:val="28"/>
        </w:rPr>
        <w:tab/>
      </w:r>
      <w:r w:rsidR="00B639A5" w:rsidRPr="001D56C6">
        <w:rPr>
          <w:sz w:val="28"/>
          <w:szCs w:val="28"/>
        </w:rPr>
        <w:t xml:space="preserve">In </w:t>
      </w:r>
      <w:r w:rsidR="008D57F7" w:rsidRPr="001D56C6">
        <w:rPr>
          <w:sz w:val="28"/>
          <w:szCs w:val="28"/>
        </w:rPr>
        <w:t xml:space="preserve">order to </w:t>
      </w:r>
      <w:r w:rsidR="000626DB" w:rsidRPr="001D56C6">
        <w:rPr>
          <w:sz w:val="28"/>
          <w:szCs w:val="28"/>
        </w:rPr>
        <w:t xml:space="preserve">give perspective to this matter, it is necessary to deal </w:t>
      </w:r>
      <w:r w:rsidR="0065520F" w:rsidRPr="001D56C6">
        <w:rPr>
          <w:sz w:val="28"/>
          <w:szCs w:val="28"/>
        </w:rPr>
        <w:t xml:space="preserve">in some detail </w:t>
      </w:r>
      <w:r w:rsidR="000626DB" w:rsidRPr="001D56C6">
        <w:rPr>
          <w:sz w:val="28"/>
          <w:szCs w:val="28"/>
        </w:rPr>
        <w:t xml:space="preserve">with the history </w:t>
      </w:r>
      <w:r w:rsidR="00F34E5B" w:rsidRPr="001D56C6">
        <w:rPr>
          <w:sz w:val="28"/>
          <w:szCs w:val="28"/>
        </w:rPr>
        <w:t>of the litigation leading to this point</w:t>
      </w:r>
      <w:r w:rsidR="000626DB" w:rsidRPr="001D56C6">
        <w:rPr>
          <w:sz w:val="28"/>
          <w:szCs w:val="28"/>
        </w:rPr>
        <w:t xml:space="preserve">. </w:t>
      </w:r>
      <w:r w:rsidR="00990150" w:rsidRPr="001D56C6">
        <w:rPr>
          <w:sz w:val="28"/>
          <w:szCs w:val="28"/>
        </w:rPr>
        <w:t xml:space="preserve">Suffice to say, it </w:t>
      </w:r>
      <w:r w:rsidR="007F31B1" w:rsidRPr="001D56C6">
        <w:rPr>
          <w:sz w:val="28"/>
          <w:szCs w:val="28"/>
        </w:rPr>
        <w:t>h</w:t>
      </w:r>
      <w:r w:rsidR="00990150" w:rsidRPr="001D56C6">
        <w:rPr>
          <w:sz w:val="28"/>
          <w:szCs w:val="28"/>
        </w:rPr>
        <w:t>as</w:t>
      </w:r>
      <w:r w:rsidR="007F31B1" w:rsidRPr="001D56C6">
        <w:rPr>
          <w:sz w:val="28"/>
          <w:szCs w:val="28"/>
        </w:rPr>
        <w:t xml:space="preserve"> travelled</w:t>
      </w:r>
      <w:r w:rsidR="006171BF" w:rsidRPr="001D56C6">
        <w:rPr>
          <w:sz w:val="28"/>
          <w:szCs w:val="28"/>
        </w:rPr>
        <w:t xml:space="preserve"> a long and winding road. </w:t>
      </w:r>
      <w:r w:rsidR="003266BB" w:rsidRPr="001D56C6">
        <w:rPr>
          <w:sz w:val="28"/>
          <w:szCs w:val="28"/>
        </w:rPr>
        <w:t xml:space="preserve">On 3 September 2003, </w:t>
      </w:r>
      <w:r w:rsidR="008B7D44" w:rsidRPr="001D56C6">
        <w:rPr>
          <w:sz w:val="28"/>
          <w:szCs w:val="28"/>
        </w:rPr>
        <w:t xml:space="preserve">the Department </w:t>
      </w:r>
      <w:r w:rsidR="001B03B8" w:rsidRPr="001D56C6">
        <w:rPr>
          <w:sz w:val="28"/>
          <w:szCs w:val="28"/>
        </w:rPr>
        <w:t xml:space="preserve">of Works </w:t>
      </w:r>
      <w:r w:rsidR="008156DA" w:rsidRPr="001D56C6">
        <w:rPr>
          <w:sz w:val="28"/>
          <w:szCs w:val="28"/>
        </w:rPr>
        <w:t xml:space="preserve">offered to </w:t>
      </w:r>
      <w:r w:rsidR="008B7D44" w:rsidRPr="001D56C6">
        <w:rPr>
          <w:sz w:val="28"/>
          <w:szCs w:val="28"/>
        </w:rPr>
        <w:t xml:space="preserve">appoint </w:t>
      </w:r>
      <w:r w:rsidR="001064DD" w:rsidRPr="001D56C6">
        <w:rPr>
          <w:sz w:val="28"/>
          <w:szCs w:val="28"/>
        </w:rPr>
        <w:t xml:space="preserve">Ikamva ‘as </w:t>
      </w:r>
      <w:r w:rsidR="005406EC" w:rsidRPr="001D56C6">
        <w:rPr>
          <w:sz w:val="28"/>
          <w:szCs w:val="28"/>
        </w:rPr>
        <w:t>C</w:t>
      </w:r>
      <w:r w:rsidR="001064DD" w:rsidRPr="001D56C6">
        <w:rPr>
          <w:sz w:val="28"/>
          <w:szCs w:val="28"/>
        </w:rPr>
        <w:t xml:space="preserve">onsulting </w:t>
      </w:r>
      <w:r w:rsidR="005406EC" w:rsidRPr="001D56C6">
        <w:rPr>
          <w:sz w:val="28"/>
          <w:szCs w:val="28"/>
        </w:rPr>
        <w:t>A</w:t>
      </w:r>
      <w:r w:rsidR="008604D3" w:rsidRPr="001D56C6">
        <w:rPr>
          <w:sz w:val="28"/>
          <w:szCs w:val="28"/>
        </w:rPr>
        <w:t>rchitect</w:t>
      </w:r>
      <w:r w:rsidR="005406EC" w:rsidRPr="001D56C6">
        <w:rPr>
          <w:sz w:val="28"/>
          <w:szCs w:val="28"/>
        </w:rPr>
        <w:t>s</w:t>
      </w:r>
      <w:r w:rsidR="008604D3" w:rsidRPr="001D56C6">
        <w:rPr>
          <w:sz w:val="28"/>
          <w:szCs w:val="28"/>
        </w:rPr>
        <w:t>/</w:t>
      </w:r>
      <w:r w:rsidR="00F148B4" w:rsidRPr="001D56C6">
        <w:rPr>
          <w:sz w:val="28"/>
          <w:szCs w:val="28"/>
        </w:rPr>
        <w:t>P</w:t>
      </w:r>
      <w:r w:rsidR="008604D3" w:rsidRPr="001D56C6">
        <w:rPr>
          <w:sz w:val="28"/>
          <w:szCs w:val="28"/>
        </w:rPr>
        <w:t xml:space="preserve">rincipal </w:t>
      </w:r>
      <w:r w:rsidR="00F148B4" w:rsidRPr="001D56C6">
        <w:rPr>
          <w:sz w:val="28"/>
          <w:szCs w:val="28"/>
        </w:rPr>
        <w:t>A</w:t>
      </w:r>
      <w:r w:rsidR="008604D3" w:rsidRPr="001D56C6">
        <w:rPr>
          <w:sz w:val="28"/>
          <w:szCs w:val="28"/>
        </w:rPr>
        <w:t>gent</w:t>
      </w:r>
      <w:r w:rsidR="00F148B4" w:rsidRPr="001D56C6">
        <w:rPr>
          <w:sz w:val="28"/>
          <w:szCs w:val="28"/>
        </w:rPr>
        <w:t>’</w:t>
      </w:r>
      <w:r w:rsidR="008604D3" w:rsidRPr="001D56C6">
        <w:rPr>
          <w:sz w:val="28"/>
          <w:szCs w:val="28"/>
        </w:rPr>
        <w:t xml:space="preserve"> for th</w:t>
      </w:r>
      <w:r w:rsidR="00F148B4" w:rsidRPr="001D56C6">
        <w:rPr>
          <w:sz w:val="28"/>
          <w:szCs w:val="28"/>
        </w:rPr>
        <w:t>e project described as</w:t>
      </w:r>
      <w:r w:rsidR="008604D3" w:rsidRPr="001D56C6">
        <w:rPr>
          <w:sz w:val="28"/>
          <w:szCs w:val="28"/>
        </w:rPr>
        <w:t xml:space="preserve"> </w:t>
      </w:r>
      <w:r w:rsidR="00354BAE" w:rsidRPr="001D56C6">
        <w:rPr>
          <w:sz w:val="28"/>
          <w:szCs w:val="28"/>
        </w:rPr>
        <w:t>‘Frere Hospital (East London): Maintenance (Various): Masterplan</w:t>
      </w:r>
      <w:r w:rsidR="0057128F" w:rsidRPr="001D56C6">
        <w:rPr>
          <w:sz w:val="28"/>
          <w:szCs w:val="28"/>
        </w:rPr>
        <w:t>,</w:t>
      </w:r>
      <w:r w:rsidR="005576EC" w:rsidRPr="001D56C6">
        <w:rPr>
          <w:sz w:val="28"/>
          <w:szCs w:val="28"/>
        </w:rPr>
        <w:t xml:space="preserve"> Upgrade’</w:t>
      </w:r>
      <w:r w:rsidR="003266BB" w:rsidRPr="001D56C6">
        <w:rPr>
          <w:sz w:val="28"/>
          <w:szCs w:val="28"/>
        </w:rPr>
        <w:t>. Th</w:t>
      </w:r>
      <w:r w:rsidR="00E017DA" w:rsidRPr="001D56C6">
        <w:rPr>
          <w:sz w:val="28"/>
          <w:szCs w:val="28"/>
        </w:rPr>
        <w:t>e appointment</w:t>
      </w:r>
      <w:r w:rsidR="003266BB" w:rsidRPr="001D56C6">
        <w:rPr>
          <w:sz w:val="28"/>
          <w:szCs w:val="28"/>
        </w:rPr>
        <w:t xml:space="preserve"> was accepted on 15 September 2003 (the contract)</w:t>
      </w:r>
      <w:r w:rsidR="005576EC" w:rsidRPr="001D56C6">
        <w:rPr>
          <w:sz w:val="28"/>
          <w:szCs w:val="28"/>
        </w:rPr>
        <w:t>.</w:t>
      </w:r>
      <w:r w:rsidR="00B421CF" w:rsidRPr="001D56C6">
        <w:rPr>
          <w:sz w:val="28"/>
          <w:szCs w:val="28"/>
        </w:rPr>
        <w:t xml:space="preserve"> </w:t>
      </w:r>
      <w:r w:rsidR="008604D3" w:rsidRPr="001D56C6">
        <w:rPr>
          <w:sz w:val="28"/>
          <w:szCs w:val="28"/>
        </w:rPr>
        <w:t xml:space="preserve">The contract did not fare well. </w:t>
      </w:r>
      <w:r w:rsidR="00E017DA" w:rsidRPr="001D56C6">
        <w:rPr>
          <w:sz w:val="28"/>
          <w:szCs w:val="28"/>
        </w:rPr>
        <w:t xml:space="preserve">On </w:t>
      </w:r>
      <w:r w:rsidR="00BB6085" w:rsidRPr="001D56C6">
        <w:rPr>
          <w:sz w:val="28"/>
          <w:szCs w:val="28"/>
        </w:rPr>
        <w:t xml:space="preserve">23 March 2007, </w:t>
      </w:r>
      <w:r w:rsidR="00B421CF" w:rsidRPr="001D56C6">
        <w:rPr>
          <w:sz w:val="28"/>
          <w:szCs w:val="28"/>
        </w:rPr>
        <w:t>the Department</w:t>
      </w:r>
      <w:r w:rsidR="00C2756E" w:rsidRPr="001D56C6">
        <w:rPr>
          <w:sz w:val="28"/>
          <w:szCs w:val="28"/>
        </w:rPr>
        <w:t xml:space="preserve"> </w:t>
      </w:r>
      <w:r w:rsidR="008156DA" w:rsidRPr="001D56C6">
        <w:rPr>
          <w:sz w:val="28"/>
          <w:szCs w:val="28"/>
        </w:rPr>
        <w:t xml:space="preserve">of Works </w:t>
      </w:r>
      <w:r w:rsidR="00B421CF" w:rsidRPr="001D56C6">
        <w:rPr>
          <w:sz w:val="28"/>
          <w:szCs w:val="28"/>
        </w:rPr>
        <w:t xml:space="preserve">appointed </w:t>
      </w:r>
      <w:r w:rsidR="00992A66" w:rsidRPr="001D56C6">
        <w:rPr>
          <w:sz w:val="28"/>
          <w:szCs w:val="28"/>
        </w:rPr>
        <w:lastRenderedPageBreak/>
        <w:t>Coega</w:t>
      </w:r>
      <w:r w:rsidR="00E921DE" w:rsidRPr="001D56C6">
        <w:rPr>
          <w:sz w:val="28"/>
          <w:szCs w:val="28"/>
        </w:rPr>
        <w:t xml:space="preserve"> Development Corporation (Coega)</w:t>
      </w:r>
      <w:r w:rsidR="00276ED7" w:rsidRPr="001D56C6">
        <w:rPr>
          <w:sz w:val="28"/>
          <w:szCs w:val="28"/>
        </w:rPr>
        <w:t xml:space="preserve"> as implementing agent </w:t>
      </w:r>
      <w:r w:rsidR="00BB6085" w:rsidRPr="001D56C6">
        <w:rPr>
          <w:sz w:val="28"/>
          <w:szCs w:val="28"/>
        </w:rPr>
        <w:t>for the Frere Upgrade Project</w:t>
      </w:r>
      <w:r w:rsidR="001B03B8" w:rsidRPr="001D56C6">
        <w:rPr>
          <w:sz w:val="28"/>
          <w:szCs w:val="28"/>
        </w:rPr>
        <w:t xml:space="preserve">. </w:t>
      </w:r>
      <w:r w:rsidR="005E2D39" w:rsidRPr="001D56C6">
        <w:rPr>
          <w:sz w:val="28"/>
          <w:szCs w:val="28"/>
        </w:rPr>
        <w:t xml:space="preserve">Coega </w:t>
      </w:r>
      <w:r w:rsidR="001B03B8" w:rsidRPr="001D56C6">
        <w:rPr>
          <w:sz w:val="28"/>
          <w:szCs w:val="28"/>
        </w:rPr>
        <w:t xml:space="preserve">in turn </w:t>
      </w:r>
      <w:r w:rsidR="005E2D39" w:rsidRPr="001D56C6">
        <w:rPr>
          <w:sz w:val="28"/>
          <w:szCs w:val="28"/>
        </w:rPr>
        <w:t>appointed architects to do essentially the same work as Ikamva had been appointed to do</w:t>
      </w:r>
      <w:r w:rsidR="004711D9" w:rsidRPr="001D56C6">
        <w:rPr>
          <w:sz w:val="28"/>
          <w:szCs w:val="28"/>
        </w:rPr>
        <w:t xml:space="preserve">. </w:t>
      </w:r>
      <w:r w:rsidR="002372B2" w:rsidRPr="001D56C6">
        <w:rPr>
          <w:sz w:val="28"/>
          <w:szCs w:val="28"/>
        </w:rPr>
        <w:t>Through a series of events</w:t>
      </w:r>
      <w:r w:rsidR="004733EA" w:rsidRPr="001D56C6">
        <w:rPr>
          <w:sz w:val="28"/>
          <w:szCs w:val="28"/>
        </w:rPr>
        <w:t>,</w:t>
      </w:r>
      <w:r w:rsidR="002372B2" w:rsidRPr="001D56C6">
        <w:rPr>
          <w:sz w:val="28"/>
          <w:szCs w:val="28"/>
        </w:rPr>
        <w:t xml:space="preserve"> which need not be detailed, an opinion was sought as to the legality of the appointment of Ikamva to the </w:t>
      </w:r>
      <w:r w:rsidR="003914F4" w:rsidRPr="001D56C6">
        <w:rPr>
          <w:sz w:val="28"/>
          <w:szCs w:val="28"/>
        </w:rPr>
        <w:t>contract. The D</w:t>
      </w:r>
      <w:r w:rsidR="008B7D44" w:rsidRPr="001D56C6">
        <w:rPr>
          <w:sz w:val="28"/>
          <w:szCs w:val="28"/>
        </w:rPr>
        <w:t>epartmen</w:t>
      </w:r>
      <w:r w:rsidR="00457FBB" w:rsidRPr="001D56C6">
        <w:rPr>
          <w:sz w:val="28"/>
          <w:szCs w:val="28"/>
        </w:rPr>
        <w:t>t</w:t>
      </w:r>
      <w:r w:rsidR="008B7D44" w:rsidRPr="001D56C6">
        <w:rPr>
          <w:sz w:val="28"/>
          <w:szCs w:val="28"/>
        </w:rPr>
        <w:t xml:space="preserve"> w</w:t>
      </w:r>
      <w:r w:rsidR="005D6F6D" w:rsidRPr="001D56C6">
        <w:rPr>
          <w:sz w:val="28"/>
          <w:szCs w:val="28"/>
        </w:rPr>
        <w:t>as</w:t>
      </w:r>
      <w:r w:rsidR="008B7D44" w:rsidRPr="001D56C6">
        <w:rPr>
          <w:sz w:val="28"/>
          <w:szCs w:val="28"/>
        </w:rPr>
        <w:t xml:space="preserve"> advised that the appointment contravened the provisions of</w:t>
      </w:r>
      <w:r w:rsidR="00187B12" w:rsidRPr="001D56C6">
        <w:rPr>
          <w:sz w:val="28"/>
          <w:szCs w:val="28"/>
        </w:rPr>
        <w:t xml:space="preserve">, inter alia, </w:t>
      </w:r>
      <w:r w:rsidR="008B7D44" w:rsidRPr="001D56C6">
        <w:rPr>
          <w:sz w:val="28"/>
          <w:szCs w:val="28"/>
        </w:rPr>
        <w:t>s 217 of the Constitution</w:t>
      </w:r>
      <w:r w:rsidR="000A774D" w:rsidRPr="001D56C6">
        <w:rPr>
          <w:sz w:val="28"/>
          <w:szCs w:val="28"/>
        </w:rPr>
        <w:t xml:space="preserve"> and </w:t>
      </w:r>
      <w:r w:rsidR="00187B12" w:rsidRPr="001D56C6">
        <w:rPr>
          <w:sz w:val="28"/>
          <w:szCs w:val="28"/>
        </w:rPr>
        <w:t>the contract was</w:t>
      </w:r>
      <w:r w:rsidR="000A774D" w:rsidRPr="001D56C6">
        <w:rPr>
          <w:sz w:val="28"/>
          <w:szCs w:val="28"/>
        </w:rPr>
        <w:t xml:space="preserve"> accordingly</w:t>
      </w:r>
      <w:r w:rsidR="00187B12" w:rsidRPr="001D56C6">
        <w:rPr>
          <w:sz w:val="28"/>
          <w:szCs w:val="28"/>
        </w:rPr>
        <w:t xml:space="preserve"> invalid. </w:t>
      </w:r>
      <w:r w:rsidR="00951A22" w:rsidRPr="001D56C6">
        <w:rPr>
          <w:sz w:val="28"/>
          <w:szCs w:val="28"/>
        </w:rPr>
        <w:t>As a result, on 9 July 2007 the Department wrote to Ikamva</w:t>
      </w:r>
      <w:r w:rsidR="00522B76" w:rsidRPr="001D56C6">
        <w:rPr>
          <w:sz w:val="28"/>
          <w:szCs w:val="28"/>
        </w:rPr>
        <w:t xml:space="preserve">. It </w:t>
      </w:r>
      <w:r w:rsidR="002F2685" w:rsidRPr="001D56C6">
        <w:rPr>
          <w:sz w:val="28"/>
          <w:szCs w:val="28"/>
        </w:rPr>
        <w:t>indicated that</w:t>
      </w:r>
      <w:r w:rsidR="00571C83" w:rsidRPr="001D56C6">
        <w:rPr>
          <w:sz w:val="28"/>
          <w:szCs w:val="28"/>
        </w:rPr>
        <w:t xml:space="preserve"> it had received legal advice and stated:</w:t>
      </w:r>
    </w:p>
    <w:p w14:paraId="5171FFA5" w14:textId="01334EF1" w:rsidR="00571C83" w:rsidRPr="00127B01" w:rsidRDefault="00571C83" w:rsidP="00571C83">
      <w:pPr>
        <w:pStyle w:val="ListParagraph"/>
        <w:ind w:left="0"/>
        <w:rPr>
          <w:sz w:val="24"/>
          <w:szCs w:val="24"/>
        </w:rPr>
      </w:pPr>
      <w:r w:rsidRPr="00127B01">
        <w:rPr>
          <w:sz w:val="24"/>
          <w:szCs w:val="24"/>
        </w:rPr>
        <w:t>‘The procurement of the services of your firm was unlawful since, during</w:t>
      </w:r>
      <w:r w:rsidR="00310238" w:rsidRPr="00127B01">
        <w:rPr>
          <w:sz w:val="24"/>
          <w:szCs w:val="24"/>
        </w:rPr>
        <w:t xml:space="preserve"> the appointment process, there was a failure to act in accordance with a system that is fair, equitable, transparent, competitive and cost-effective, as required by the P</w:t>
      </w:r>
      <w:r w:rsidR="00B34A3C" w:rsidRPr="00127B01">
        <w:rPr>
          <w:sz w:val="24"/>
          <w:szCs w:val="24"/>
        </w:rPr>
        <w:t>r</w:t>
      </w:r>
      <w:r w:rsidR="00310238" w:rsidRPr="00127B01">
        <w:rPr>
          <w:sz w:val="24"/>
          <w:szCs w:val="24"/>
        </w:rPr>
        <w:t xml:space="preserve">ovisions of the </w:t>
      </w:r>
      <w:r w:rsidR="00B34A3C" w:rsidRPr="00127B01">
        <w:rPr>
          <w:sz w:val="24"/>
          <w:szCs w:val="24"/>
        </w:rPr>
        <w:t>C</w:t>
      </w:r>
      <w:r w:rsidR="00310238" w:rsidRPr="00127B01">
        <w:rPr>
          <w:sz w:val="24"/>
          <w:szCs w:val="24"/>
        </w:rPr>
        <w:t>onstitution and the Preferential Procurement Policy Framework Act, 200</w:t>
      </w:r>
      <w:r w:rsidR="00B34A3C" w:rsidRPr="00127B01">
        <w:rPr>
          <w:sz w:val="24"/>
          <w:szCs w:val="24"/>
        </w:rPr>
        <w:t>0</w:t>
      </w:r>
      <w:r w:rsidR="00310238" w:rsidRPr="00127B01">
        <w:rPr>
          <w:sz w:val="24"/>
          <w:szCs w:val="24"/>
        </w:rPr>
        <w:t>, and the Regulati</w:t>
      </w:r>
      <w:r w:rsidR="00B34A3C" w:rsidRPr="00127B01">
        <w:rPr>
          <w:sz w:val="24"/>
          <w:szCs w:val="24"/>
        </w:rPr>
        <w:t xml:space="preserve">ons promulgated in terms thereof. </w:t>
      </w:r>
    </w:p>
    <w:p w14:paraId="15567590" w14:textId="5D22918E" w:rsidR="00B421CF" w:rsidRPr="00127B01" w:rsidRDefault="00B34A3C" w:rsidP="00B34A3C">
      <w:pPr>
        <w:pStyle w:val="ListParagraph"/>
        <w:ind w:left="0"/>
        <w:rPr>
          <w:sz w:val="24"/>
          <w:szCs w:val="24"/>
        </w:rPr>
      </w:pPr>
      <w:r w:rsidRPr="00127B01">
        <w:rPr>
          <w:sz w:val="24"/>
          <w:szCs w:val="24"/>
        </w:rPr>
        <w:t xml:space="preserve">Since the </w:t>
      </w:r>
      <w:r w:rsidR="00E93B7D" w:rsidRPr="00127B01">
        <w:rPr>
          <w:sz w:val="24"/>
          <w:szCs w:val="24"/>
        </w:rPr>
        <w:t xml:space="preserve">aforesaid </w:t>
      </w:r>
      <w:r w:rsidRPr="00127B01">
        <w:rPr>
          <w:sz w:val="24"/>
          <w:szCs w:val="24"/>
        </w:rPr>
        <w:t>appointment of your firm is invalid, I advise that the</w:t>
      </w:r>
      <w:r w:rsidR="006F15C3" w:rsidRPr="00127B01">
        <w:rPr>
          <w:sz w:val="24"/>
          <w:szCs w:val="24"/>
        </w:rPr>
        <w:t xml:space="preserve"> D</w:t>
      </w:r>
      <w:r w:rsidR="002F2685" w:rsidRPr="00127B01">
        <w:rPr>
          <w:sz w:val="24"/>
          <w:szCs w:val="24"/>
        </w:rPr>
        <w:t>epartment will henceforth not honour its obligations in terms of the aforesaid invalid appointment</w:t>
      </w:r>
      <w:r w:rsidR="00896188" w:rsidRPr="00127B01">
        <w:rPr>
          <w:sz w:val="24"/>
          <w:szCs w:val="24"/>
        </w:rPr>
        <w:t>.’</w:t>
      </w:r>
    </w:p>
    <w:p w14:paraId="68FC4F10" w14:textId="77777777" w:rsidR="006F15C3" w:rsidRPr="00127B01" w:rsidRDefault="006F15C3" w:rsidP="006F15C3">
      <w:pPr>
        <w:pStyle w:val="ListParagraph"/>
        <w:ind w:left="0"/>
        <w:rPr>
          <w:sz w:val="28"/>
          <w:szCs w:val="28"/>
        </w:rPr>
      </w:pPr>
    </w:p>
    <w:p w14:paraId="6D426095" w14:textId="4102A491" w:rsidR="00A731E4" w:rsidRPr="001D56C6" w:rsidRDefault="001D56C6" w:rsidP="001D56C6">
      <w:pPr>
        <w:rPr>
          <w:sz w:val="28"/>
          <w:szCs w:val="28"/>
        </w:rPr>
      </w:pPr>
      <w:r w:rsidRPr="00127B01">
        <w:rPr>
          <w:sz w:val="28"/>
          <w:szCs w:val="28"/>
        </w:rPr>
        <w:t>[6]</w:t>
      </w:r>
      <w:r w:rsidRPr="00127B01">
        <w:rPr>
          <w:sz w:val="28"/>
          <w:szCs w:val="28"/>
        </w:rPr>
        <w:tab/>
      </w:r>
      <w:r w:rsidR="00896188" w:rsidRPr="001D56C6">
        <w:rPr>
          <w:sz w:val="28"/>
          <w:szCs w:val="28"/>
        </w:rPr>
        <w:t xml:space="preserve">That letter </w:t>
      </w:r>
      <w:r w:rsidR="002B079F" w:rsidRPr="001D56C6">
        <w:rPr>
          <w:sz w:val="28"/>
          <w:szCs w:val="28"/>
        </w:rPr>
        <w:t>caused</w:t>
      </w:r>
      <w:r w:rsidR="00B51240" w:rsidRPr="001D56C6">
        <w:rPr>
          <w:sz w:val="28"/>
          <w:szCs w:val="28"/>
        </w:rPr>
        <w:t xml:space="preserve"> </w:t>
      </w:r>
      <w:r w:rsidR="002B079F" w:rsidRPr="001D56C6">
        <w:rPr>
          <w:sz w:val="28"/>
          <w:szCs w:val="28"/>
        </w:rPr>
        <w:t xml:space="preserve">Ikamva to accept </w:t>
      </w:r>
      <w:r w:rsidR="00B51240" w:rsidRPr="001D56C6">
        <w:rPr>
          <w:sz w:val="28"/>
          <w:szCs w:val="28"/>
        </w:rPr>
        <w:t>the repudiation, to cancel the contract and</w:t>
      </w:r>
      <w:r w:rsidR="00D301F0" w:rsidRPr="001D56C6">
        <w:rPr>
          <w:sz w:val="28"/>
          <w:szCs w:val="28"/>
        </w:rPr>
        <w:t>, on 7 August 2008</w:t>
      </w:r>
      <w:r w:rsidR="003D2520" w:rsidRPr="001D56C6">
        <w:rPr>
          <w:sz w:val="28"/>
          <w:szCs w:val="28"/>
        </w:rPr>
        <w:t>,</w:t>
      </w:r>
      <w:r w:rsidR="00B51240" w:rsidRPr="001D56C6">
        <w:rPr>
          <w:sz w:val="28"/>
          <w:szCs w:val="28"/>
        </w:rPr>
        <w:t xml:space="preserve"> to sue the Department</w:t>
      </w:r>
      <w:r w:rsidR="00130F86" w:rsidRPr="001D56C6">
        <w:rPr>
          <w:sz w:val="28"/>
          <w:szCs w:val="28"/>
        </w:rPr>
        <w:t>s</w:t>
      </w:r>
      <w:r w:rsidR="00B51240" w:rsidRPr="001D56C6">
        <w:rPr>
          <w:sz w:val="28"/>
          <w:szCs w:val="28"/>
        </w:rPr>
        <w:t xml:space="preserve"> for damages</w:t>
      </w:r>
      <w:r w:rsidR="00544D42" w:rsidRPr="001D56C6">
        <w:rPr>
          <w:sz w:val="28"/>
          <w:szCs w:val="28"/>
        </w:rPr>
        <w:t xml:space="preserve"> incurred as a result of the cancellation. The action was defended </w:t>
      </w:r>
      <w:r w:rsidR="00CC441D" w:rsidRPr="001D56C6">
        <w:rPr>
          <w:sz w:val="28"/>
          <w:szCs w:val="28"/>
        </w:rPr>
        <w:t>and the Department</w:t>
      </w:r>
      <w:r w:rsidR="00356E7E" w:rsidRPr="001D56C6">
        <w:rPr>
          <w:sz w:val="28"/>
          <w:szCs w:val="28"/>
        </w:rPr>
        <w:t>s</w:t>
      </w:r>
      <w:r w:rsidR="00CC441D" w:rsidRPr="001D56C6">
        <w:rPr>
          <w:sz w:val="28"/>
          <w:szCs w:val="28"/>
        </w:rPr>
        <w:t xml:space="preserve"> pleaded the invalidity mentioned above.</w:t>
      </w:r>
      <w:r w:rsidR="00741B8B" w:rsidRPr="001D56C6">
        <w:rPr>
          <w:sz w:val="28"/>
          <w:szCs w:val="28"/>
        </w:rPr>
        <w:t xml:space="preserve"> </w:t>
      </w:r>
      <w:r w:rsidR="005D3249" w:rsidRPr="001D56C6">
        <w:rPr>
          <w:sz w:val="28"/>
          <w:szCs w:val="28"/>
        </w:rPr>
        <w:t>The Department</w:t>
      </w:r>
      <w:r w:rsidR="00356E7E" w:rsidRPr="001D56C6">
        <w:rPr>
          <w:sz w:val="28"/>
          <w:szCs w:val="28"/>
        </w:rPr>
        <w:t>s</w:t>
      </w:r>
      <w:r w:rsidR="005D3249" w:rsidRPr="001D56C6">
        <w:rPr>
          <w:sz w:val="28"/>
          <w:szCs w:val="28"/>
        </w:rPr>
        <w:t xml:space="preserve"> </w:t>
      </w:r>
      <w:r w:rsidR="00356E7E" w:rsidRPr="001D56C6">
        <w:rPr>
          <w:sz w:val="28"/>
          <w:szCs w:val="28"/>
        </w:rPr>
        <w:t>were</w:t>
      </w:r>
      <w:r w:rsidR="005D3249" w:rsidRPr="001D56C6">
        <w:rPr>
          <w:sz w:val="28"/>
          <w:szCs w:val="28"/>
        </w:rPr>
        <w:t xml:space="preserve"> called upon</w:t>
      </w:r>
      <w:r w:rsidR="00356E7E" w:rsidRPr="001D56C6">
        <w:rPr>
          <w:sz w:val="28"/>
          <w:szCs w:val="28"/>
        </w:rPr>
        <w:t xml:space="preserve"> to make discovery of relevant documents </w:t>
      </w:r>
      <w:r w:rsidR="00B25DC6" w:rsidRPr="001D56C6">
        <w:rPr>
          <w:sz w:val="28"/>
          <w:szCs w:val="28"/>
        </w:rPr>
        <w:t xml:space="preserve">in terms of Uniform rule 35(1). When </w:t>
      </w:r>
      <w:r w:rsidR="00356E7E" w:rsidRPr="001D56C6">
        <w:rPr>
          <w:sz w:val="28"/>
          <w:szCs w:val="28"/>
        </w:rPr>
        <w:t>they</w:t>
      </w:r>
      <w:r w:rsidR="00B25DC6" w:rsidRPr="001D56C6">
        <w:rPr>
          <w:sz w:val="28"/>
          <w:szCs w:val="28"/>
        </w:rPr>
        <w:t xml:space="preserve"> failed to do so, Ikamva applied </w:t>
      </w:r>
      <w:r w:rsidR="00ED6598" w:rsidRPr="001D56C6">
        <w:rPr>
          <w:sz w:val="28"/>
          <w:szCs w:val="28"/>
        </w:rPr>
        <w:t xml:space="preserve">for an order directing </w:t>
      </w:r>
      <w:r w:rsidR="00356E7E" w:rsidRPr="001D56C6">
        <w:rPr>
          <w:sz w:val="28"/>
          <w:szCs w:val="28"/>
        </w:rPr>
        <w:t>them</w:t>
      </w:r>
      <w:r w:rsidR="00ED6598" w:rsidRPr="001D56C6">
        <w:rPr>
          <w:sz w:val="28"/>
          <w:szCs w:val="28"/>
        </w:rPr>
        <w:t xml:space="preserve"> to do so </w:t>
      </w:r>
      <w:r w:rsidR="00356E7E" w:rsidRPr="001D56C6">
        <w:rPr>
          <w:sz w:val="28"/>
          <w:szCs w:val="28"/>
        </w:rPr>
        <w:t xml:space="preserve">within </w:t>
      </w:r>
      <w:r w:rsidR="00FA7D37" w:rsidRPr="001D56C6">
        <w:rPr>
          <w:sz w:val="28"/>
          <w:szCs w:val="28"/>
        </w:rPr>
        <w:t>ten</w:t>
      </w:r>
      <w:r w:rsidR="00356E7E" w:rsidRPr="001D56C6">
        <w:rPr>
          <w:sz w:val="28"/>
          <w:szCs w:val="28"/>
        </w:rPr>
        <w:t xml:space="preserve"> days </w:t>
      </w:r>
      <w:r w:rsidR="00ED6598" w:rsidRPr="001D56C6">
        <w:rPr>
          <w:sz w:val="28"/>
          <w:szCs w:val="28"/>
        </w:rPr>
        <w:t xml:space="preserve">on pain of having </w:t>
      </w:r>
      <w:r w:rsidR="00356E7E" w:rsidRPr="001D56C6">
        <w:rPr>
          <w:sz w:val="28"/>
          <w:szCs w:val="28"/>
        </w:rPr>
        <w:t>their</w:t>
      </w:r>
      <w:r w:rsidR="00ED6598" w:rsidRPr="001D56C6">
        <w:rPr>
          <w:sz w:val="28"/>
          <w:szCs w:val="28"/>
        </w:rPr>
        <w:t xml:space="preserve"> defence</w:t>
      </w:r>
      <w:r w:rsidR="00DD7EAA" w:rsidRPr="001D56C6">
        <w:rPr>
          <w:sz w:val="28"/>
          <w:szCs w:val="28"/>
        </w:rPr>
        <w:t>s</w:t>
      </w:r>
      <w:r w:rsidR="00ED6598" w:rsidRPr="001D56C6">
        <w:rPr>
          <w:sz w:val="28"/>
          <w:szCs w:val="28"/>
        </w:rPr>
        <w:t xml:space="preserve"> struck out. </w:t>
      </w:r>
      <w:r w:rsidR="00DD7EAA" w:rsidRPr="001D56C6">
        <w:rPr>
          <w:sz w:val="28"/>
          <w:szCs w:val="28"/>
        </w:rPr>
        <w:t xml:space="preserve">They then discovered. </w:t>
      </w:r>
      <w:r w:rsidR="00FA0D25" w:rsidRPr="001D56C6">
        <w:rPr>
          <w:sz w:val="28"/>
          <w:szCs w:val="28"/>
        </w:rPr>
        <w:t xml:space="preserve">On </w:t>
      </w:r>
      <w:r w:rsidR="00403391" w:rsidRPr="001D56C6">
        <w:rPr>
          <w:sz w:val="28"/>
          <w:szCs w:val="28"/>
        </w:rPr>
        <w:t xml:space="preserve">12 October 2010, </w:t>
      </w:r>
      <w:r w:rsidR="00DD7EAA" w:rsidRPr="001D56C6">
        <w:rPr>
          <w:sz w:val="28"/>
          <w:szCs w:val="28"/>
        </w:rPr>
        <w:t>Ikamva delivered a notice in terms of rule 35(3) requiring further and better discovery</w:t>
      </w:r>
      <w:r w:rsidR="00DD324D" w:rsidRPr="001D56C6">
        <w:rPr>
          <w:sz w:val="28"/>
          <w:szCs w:val="28"/>
        </w:rPr>
        <w:t xml:space="preserve"> by way of making</w:t>
      </w:r>
      <w:r w:rsidR="00B95CED" w:rsidRPr="001D56C6">
        <w:rPr>
          <w:sz w:val="28"/>
          <w:szCs w:val="28"/>
        </w:rPr>
        <w:t xml:space="preserve"> </w:t>
      </w:r>
      <w:r w:rsidR="00403391" w:rsidRPr="001D56C6">
        <w:rPr>
          <w:sz w:val="28"/>
          <w:szCs w:val="28"/>
        </w:rPr>
        <w:t>additional listed</w:t>
      </w:r>
      <w:r w:rsidR="00B95CED" w:rsidRPr="001D56C6">
        <w:rPr>
          <w:sz w:val="28"/>
          <w:szCs w:val="28"/>
        </w:rPr>
        <w:t xml:space="preserve"> documents available for inspection and copying.</w:t>
      </w:r>
      <w:r w:rsidR="00DD7EAA" w:rsidRPr="001D56C6">
        <w:rPr>
          <w:sz w:val="28"/>
          <w:szCs w:val="28"/>
        </w:rPr>
        <w:t xml:space="preserve"> This </w:t>
      </w:r>
      <w:r w:rsidR="009C5CCF" w:rsidRPr="001D56C6">
        <w:rPr>
          <w:sz w:val="28"/>
          <w:szCs w:val="28"/>
        </w:rPr>
        <w:t xml:space="preserve">notice </w:t>
      </w:r>
      <w:r w:rsidR="00DD7EAA" w:rsidRPr="001D56C6">
        <w:rPr>
          <w:sz w:val="28"/>
          <w:szCs w:val="28"/>
        </w:rPr>
        <w:t>was ignored.</w:t>
      </w:r>
      <w:r w:rsidR="00216EF5" w:rsidRPr="001D56C6">
        <w:rPr>
          <w:sz w:val="28"/>
          <w:szCs w:val="28"/>
        </w:rPr>
        <w:t xml:space="preserve"> </w:t>
      </w:r>
      <w:r w:rsidR="00746FF5" w:rsidRPr="001D56C6">
        <w:rPr>
          <w:sz w:val="28"/>
          <w:szCs w:val="28"/>
        </w:rPr>
        <w:t xml:space="preserve">On 26 September 2011, </w:t>
      </w:r>
      <w:r w:rsidR="00A97CFF" w:rsidRPr="001D56C6">
        <w:rPr>
          <w:sz w:val="28"/>
          <w:szCs w:val="28"/>
        </w:rPr>
        <w:t>Ikamva</w:t>
      </w:r>
      <w:r w:rsidR="00746FF5" w:rsidRPr="001D56C6">
        <w:rPr>
          <w:sz w:val="28"/>
          <w:szCs w:val="28"/>
        </w:rPr>
        <w:t xml:space="preserve"> applied for an order compelling compliance with the rule 35(3) notice</w:t>
      </w:r>
      <w:r w:rsidR="00584039" w:rsidRPr="001D56C6">
        <w:rPr>
          <w:sz w:val="28"/>
          <w:szCs w:val="28"/>
        </w:rPr>
        <w:t xml:space="preserve"> within a period of </w:t>
      </w:r>
      <w:r w:rsidR="00A1664B" w:rsidRPr="001D56C6">
        <w:rPr>
          <w:sz w:val="28"/>
          <w:szCs w:val="28"/>
        </w:rPr>
        <w:t>ten</w:t>
      </w:r>
      <w:r w:rsidR="00584039" w:rsidRPr="001D56C6">
        <w:rPr>
          <w:sz w:val="28"/>
          <w:szCs w:val="28"/>
        </w:rPr>
        <w:t xml:space="preserve"> days, ‘failing which the [Departments’] defence</w:t>
      </w:r>
      <w:r w:rsidR="00460EB7" w:rsidRPr="001D56C6">
        <w:rPr>
          <w:sz w:val="28"/>
          <w:szCs w:val="28"/>
        </w:rPr>
        <w:t xml:space="preserve"> will be struck out and [Ikamva] will apply for judgment</w:t>
      </w:r>
      <w:r w:rsidR="00A034D9" w:rsidRPr="001D56C6">
        <w:rPr>
          <w:sz w:val="28"/>
          <w:szCs w:val="28"/>
        </w:rPr>
        <w:t xml:space="preserve"> . . . </w:t>
      </w:r>
      <w:r w:rsidR="00A034D9" w:rsidRPr="001D56C6">
        <w:rPr>
          <w:sz w:val="28"/>
          <w:szCs w:val="28"/>
        </w:rPr>
        <w:lastRenderedPageBreak/>
        <w:t>based on the same papers amplified if necessary</w:t>
      </w:r>
      <w:r w:rsidR="00192E92" w:rsidRPr="001D56C6">
        <w:rPr>
          <w:sz w:val="28"/>
          <w:szCs w:val="28"/>
        </w:rPr>
        <w:t>’</w:t>
      </w:r>
      <w:r w:rsidR="00A034D9" w:rsidRPr="001D56C6">
        <w:rPr>
          <w:sz w:val="28"/>
          <w:szCs w:val="28"/>
        </w:rPr>
        <w:t>.</w:t>
      </w:r>
      <w:r w:rsidR="00DD7EAA" w:rsidRPr="001D56C6">
        <w:rPr>
          <w:sz w:val="28"/>
          <w:szCs w:val="28"/>
        </w:rPr>
        <w:t xml:space="preserve"> </w:t>
      </w:r>
      <w:r w:rsidR="00741B8B" w:rsidRPr="001D56C6">
        <w:rPr>
          <w:sz w:val="28"/>
          <w:szCs w:val="28"/>
        </w:rPr>
        <w:t>On 10 November 201</w:t>
      </w:r>
      <w:r w:rsidR="00216EF5" w:rsidRPr="001D56C6">
        <w:rPr>
          <w:sz w:val="28"/>
          <w:szCs w:val="28"/>
        </w:rPr>
        <w:t>1</w:t>
      </w:r>
      <w:r w:rsidR="00741B8B" w:rsidRPr="001D56C6">
        <w:rPr>
          <w:sz w:val="28"/>
          <w:szCs w:val="28"/>
        </w:rPr>
        <w:t>,</w:t>
      </w:r>
      <w:r w:rsidR="00CC441D" w:rsidRPr="001D56C6">
        <w:rPr>
          <w:sz w:val="28"/>
          <w:szCs w:val="28"/>
        </w:rPr>
        <w:t xml:space="preserve"> </w:t>
      </w:r>
      <w:r w:rsidR="00A80D5D" w:rsidRPr="001D56C6">
        <w:rPr>
          <w:sz w:val="28"/>
          <w:szCs w:val="28"/>
        </w:rPr>
        <w:t>Majiki AJ</w:t>
      </w:r>
      <w:r w:rsidR="00741B8B" w:rsidRPr="001D56C6">
        <w:rPr>
          <w:sz w:val="28"/>
          <w:szCs w:val="28"/>
        </w:rPr>
        <w:t xml:space="preserve"> </w:t>
      </w:r>
      <w:r w:rsidR="00A034D9" w:rsidRPr="001D56C6">
        <w:rPr>
          <w:sz w:val="28"/>
          <w:szCs w:val="28"/>
        </w:rPr>
        <w:t xml:space="preserve">granted that relief unopposed. </w:t>
      </w:r>
      <w:r w:rsidR="007C44AF" w:rsidRPr="001D56C6">
        <w:rPr>
          <w:sz w:val="28"/>
          <w:szCs w:val="28"/>
        </w:rPr>
        <w:t xml:space="preserve">The Departments failed to comply with the order. </w:t>
      </w:r>
    </w:p>
    <w:p w14:paraId="1AD9B6FA" w14:textId="77777777" w:rsidR="00A731E4" w:rsidRPr="00127B01" w:rsidRDefault="00A731E4" w:rsidP="00A731E4">
      <w:pPr>
        <w:pStyle w:val="ListParagraph"/>
        <w:ind w:left="0"/>
        <w:rPr>
          <w:sz w:val="28"/>
          <w:szCs w:val="28"/>
        </w:rPr>
      </w:pPr>
    </w:p>
    <w:p w14:paraId="28C40566" w14:textId="5E103451" w:rsidR="00553483" w:rsidRPr="001D56C6" w:rsidRDefault="001D56C6" w:rsidP="001D56C6">
      <w:pPr>
        <w:rPr>
          <w:sz w:val="28"/>
          <w:szCs w:val="28"/>
        </w:rPr>
      </w:pPr>
      <w:r w:rsidRPr="00127B01">
        <w:rPr>
          <w:sz w:val="28"/>
          <w:szCs w:val="28"/>
        </w:rPr>
        <w:t>[7]</w:t>
      </w:r>
      <w:r w:rsidRPr="00127B01">
        <w:rPr>
          <w:sz w:val="28"/>
          <w:szCs w:val="28"/>
        </w:rPr>
        <w:tab/>
      </w:r>
      <w:r w:rsidR="001C4E37" w:rsidRPr="001D56C6">
        <w:rPr>
          <w:sz w:val="28"/>
          <w:szCs w:val="28"/>
        </w:rPr>
        <w:t xml:space="preserve">On 7 November 2012, Ikamva applied for default judgment on notice to the Departments. </w:t>
      </w:r>
      <w:r w:rsidR="00B54728" w:rsidRPr="001D56C6">
        <w:rPr>
          <w:sz w:val="28"/>
          <w:szCs w:val="28"/>
        </w:rPr>
        <w:t xml:space="preserve">The matter came before Dukada J, who </w:t>
      </w:r>
      <w:r w:rsidR="00A415AE" w:rsidRPr="001D56C6">
        <w:rPr>
          <w:sz w:val="28"/>
          <w:szCs w:val="28"/>
        </w:rPr>
        <w:t xml:space="preserve">refused default judgment and </w:t>
      </w:r>
      <w:r w:rsidR="00B54728" w:rsidRPr="001D56C6">
        <w:rPr>
          <w:sz w:val="28"/>
          <w:szCs w:val="28"/>
        </w:rPr>
        <w:t>held that</w:t>
      </w:r>
      <w:r w:rsidR="00D60C3A" w:rsidRPr="001D56C6">
        <w:rPr>
          <w:sz w:val="28"/>
          <w:szCs w:val="28"/>
        </w:rPr>
        <w:t xml:space="preserve">, despite the terms of the order, Ikamva had to apply to strike out the defence prior to moving for default judgment. </w:t>
      </w:r>
      <w:r w:rsidR="007F659B" w:rsidRPr="001D56C6">
        <w:rPr>
          <w:sz w:val="28"/>
          <w:szCs w:val="28"/>
        </w:rPr>
        <w:t xml:space="preserve">Ikamva appealed this order to the </w:t>
      </w:r>
      <w:r w:rsidR="001F69A0" w:rsidRPr="001D56C6">
        <w:rPr>
          <w:sz w:val="28"/>
          <w:szCs w:val="28"/>
        </w:rPr>
        <w:t>f</w:t>
      </w:r>
      <w:r w:rsidR="007F659B" w:rsidRPr="001D56C6">
        <w:rPr>
          <w:sz w:val="28"/>
          <w:szCs w:val="28"/>
        </w:rPr>
        <w:t xml:space="preserve">ull </w:t>
      </w:r>
      <w:r w:rsidR="001F69A0" w:rsidRPr="001D56C6">
        <w:rPr>
          <w:sz w:val="28"/>
          <w:szCs w:val="28"/>
        </w:rPr>
        <w:t>c</w:t>
      </w:r>
      <w:r w:rsidR="007F659B" w:rsidRPr="001D56C6">
        <w:rPr>
          <w:sz w:val="28"/>
          <w:szCs w:val="28"/>
        </w:rPr>
        <w:t>ourt</w:t>
      </w:r>
      <w:r w:rsidR="00835BD4" w:rsidRPr="001D56C6">
        <w:rPr>
          <w:sz w:val="28"/>
          <w:szCs w:val="28"/>
        </w:rPr>
        <w:t>,</w:t>
      </w:r>
      <w:r w:rsidR="00A415AE" w:rsidRPr="001D56C6">
        <w:rPr>
          <w:sz w:val="28"/>
          <w:szCs w:val="28"/>
        </w:rPr>
        <w:t xml:space="preserve"> which set aside his order.</w:t>
      </w:r>
      <w:r w:rsidR="00A604A3" w:rsidRPr="001D56C6">
        <w:rPr>
          <w:sz w:val="28"/>
          <w:szCs w:val="28"/>
        </w:rPr>
        <w:t xml:space="preserve"> Not only that, but the </w:t>
      </w:r>
      <w:r w:rsidR="001F69A0" w:rsidRPr="001D56C6">
        <w:rPr>
          <w:sz w:val="28"/>
          <w:szCs w:val="28"/>
        </w:rPr>
        <w:t>f</w:t>
      </w:r>
      <w:r w:rsidR="00A604A3" w:rsidRPr="001D56C6">
        <w:rPr>
          <w:sz w:val="28"/>
          <w:szCs w:val="28"/>
        </w:rPr>
        <w:t xml:space="preserve">ull </w:t>
      </w:r>
      <w:r w:rsidR="001F69A0" w:rsidRPr="001D56C6">
        <w:rPr>
          <w:sz w:val="28"/>
          <w:szCs w:val="28"/>
        </w:rPr>
        <w:t>c</w:t>
      </w:r>
      <w:r w:rsidR="00A604A3" w:rsidRPr="001D56C6">
        <w:rPr>
          <w:sz w:val="28"/>
          <w:szCs w:val="28"/>
        </w:rPr>
        <w:t xml:space="preserve">ourt </w:t>
      </w:r>
      <w:r w:rsidR="0054053E" w:rsidRPr="001D56C6">
        <w:rPr>
          <w:sz w:val="28"/>
          <w:szCs w:val="28"/>
        </w:rPr>
        <w:t xml:space="preserve">departed from the usual custom and, presumably in the light of the past misguided efforts of the Departments, </w:t>
      </w:r>
      <w:r w:rsidR="003562AE" w:rsidRPr="001D56C6">
        <w:rPr>
          <w:sz w:val="28"/>
          <w:szCs w:val="28"/>
        </w:rPr>
        <w:t xml:space="preserve">gave guidance as to the way forward. It </w:t>
      </w:r>
      <w:r w:rsidR="00A604A3" w:rsidRPr="001D56C6">
        <w:rPr>
          <w:sz w:val="28"/>
          <w:szCs w:val="28"/>
        </w:rPr>
        <w:t xml:space="preserve">indicated </w:t>
      </w:r>
      <w:r w:rsidR="00AD26E3" w:rsidRPr="001D56C6">
        <w:rPr>
          <w:sz w:val="28"/>
          <w:szCs w:val="28"/>
        </w:rPr>
        <w:t xml:space="preserve">that, even </w:t>
      </w:r>
      <w:r w:rsidR="00680930" w:rsidRPr="001D56C6">
        <w:rPr>
          <w:sz w:val="28"/>
          <w:szCs w:val="28"/>
        </w:rPr>
        <w:t>at that stage,</w:t>
      </w:r>
      <w:r w:rsidR="00AD26E3" w:rsidRPr="001D56C6">
        <w:rPr>
          <w:sz w:val="28"/>
          <w:szCs w:val="28"/>
        </w:rPr>
        <w:t xml:space="preserve"> t</w:t>
      </w:r>
      <w:r w:rsidR="00A604A3" w:rsidRPr="001D56C6">
        <w:rPr>
          <w:sz w:val="28"/>
          <w:szCs w:val="28"/>
        </w:rPr>
        <w:t>he Departments</w:t>
      </w:r>
      <w:r w:rsidR="00AD26E3" w:rsidRPr="001D56C6">
        <w:rPr>
          <w:sz w:val="28"/>
          <w:szCs w:val="28"/>
        </w:rPr>
        <w:t xml:space="preserve"> could </w:t>
      </w:r>
      <w:r w:rsidR="000334A8" w:rsidRPr="001D56C6">
        <w:rPr>
          <w:sz w:val="28"/>
          <w:szCs w:val="28"/>
        </w:rPr>
        <w:t xml:space="preserve">avoid default judgment </w:t>
      </w:r>
      <w:r w:rsidR="00FF27F0" w:rsidRPr="001D56C6">
        <w:rPr>
          <w:sz w:val="28"/>
          <w:szCs w:val="28"/>
        </w:rPr>
        <w:t xml:space="preserve">being granted </w:t>
      </w:r>
      <w:r w:rsidR="000334A8" w:rsidRPr="001D56C6">
        <w:rPr>
          <w:sz w:val="28"/>
          <w:szCs w:val="28"/>
        </w:rPr>
        <w:t xml:space="preserve">by </w:t>
      </w:r>
      <w:r w:rsidR="00AD26E3" w:rsidRPr="001D56C6">
        <w:rPr>
          <w:sz w:val="28"/>
          <w:szCs w:val="28"/>
        </w:rPr>
        <w:t>comply</w:t>
      </w:r>
      <w:r w:rsidR="000334A8" w:rsidRPr="001D56C6">
        <w:rPr>
          <w:sz w:val="28"/>
          <w:szCs w:val="28"/>
        </w:rPr>
        <w:t>ing</w:t>
      </w:r>
      <w:r w:rsidR="00AD26E3" w:rsidRPr="001D56C6">
        <w:rPr>
          <w:sz w:val="28"/>
          <w:szCs w:val="28"/>
        </w:rPr>
        <w:t xml:space="preserve"> with the order of Majiki </w:t>
      </w:r>
      <w:r w:rsidR="008D0B24" w:rsidRPr="001D56C6">
        <w:rPr>
          <w:sz w:val="28"/>
          <w:szCs w:val="28"/>
        </w:rPr>
        <w:t xml:space="preserve">AJ </w:t>
      </w:r>
      <w:r w:rsidR="000334A8" w:rsidRPr="001D56C6">
        <w:rPr>
          <w:sz w:val="28"/>
          <w:szCs w:val="28"/>
        </w:rPr>
        <w:t>and applying to have their defences reinstated</w:t>
      </w:r>
      <w:r w:rsidR="008D0B24" w:rsidRPr="001D56C6">
        <w:rPr>
          <w:sz w:val="28"/>
          <w:szCs w:val="28"/>
        </w:rPr>
        <w:t>. Th</w:t>
      </w:r>
      <w:r w:rsidR="001D5C14" w:rsidRPr="001D56C6">
        <w:rPr>
          <w:sz w:val="28"/>
          <w:szCs w:val="28"/>
        </w:rPr>
        <w:t xml:space="preserve">is </w:t>
      </w:r>
      <w:r w:rsidR="00FF27F0" w:rsidRPr="001D56C6">
        <w:rPr>
          <w:sz w:val="28"/>
          <w:szCs w:val="28"/>
        </w:rPr>
        <w:t xml:space="preserve">guidance </w:t>
      </w:r>
      <w:r w:rsidR="001D5C14" w:rsidRPr="001D56C6">
        <w:rPr>
          <w:sz w:val="28"/>
          <w:szCs w:val="28"/>
        </w:rPr>
        <w:t>notwithstanding, th</w:t>
      </w:r>
      <w:r w:rsidR="008D0B24" w:rsidRPr="001D56C6">
        <w:rPr>
          <w:sz w:val="28"/>
          <w:szCs w:val="28"/>
        </w:rPr>
        <w:t>e</w:t>
      </w:r>
      <w:r w:rsidR="003562AE" w:rsidRPr="001D56C6">
        <w:rPr>
          <w:sz w:val="28"/>
          <w:szCs w:val="28"/>
        </w:rPr>
        <w:t xml:space="preserve"> Departments</w:t>
      </w:r>
      <w:r w:rsidR="008D0B24" w:rsidRPr="001D56C6">
        <w:rPr>
          <w:sz w:val="28"/>
          <w:szCs w:val="28"/>
        </w:rPr>
        <w:t xml:space="preserve"> </w:t>
      </w:r>
      <w:r w:rsidR="00F92C99" w:rsidRPr="001D56C6">
        <w:rPr>
          <w:sz w:val="28"/>
          <w:szCs w:val="28"/>
        </w:rPr>
        <w:t>neglected</w:t>
      </w:r>
      <w:r w:rsidR="008D0B24" w:rsidRPr="001D56C6">
        <w:rPr>
          <w:sz w:val="28"/>
          <w:szCs w:val="28"/>
        </w:rPr>
        <w:t xml:space="preserve"> to </w:t>
      </w:r>
      <w:r w:rsidR="001D5C14" w:rsidRPr="001D56C6">
        <w:rPr>
          <w:sz w:val="28"/>
          <w:szCs w:val="28"/>
        </w:rPr>
        <w:t>do so</w:t>
      </w:r>
      <w:r w:rsidR="00372D26" w:rsidRPr="001D56C6">
        <w:rPr>
          <w:sz w:val="28"/>
          <w:szCs w:val="28"/>
        </w:rPr>
        <w:t xml:space="preserve">. Instead, they launched an application to </w:t>
      </w:r>
      <w:r w:rsidR="002B56ED" w:rsidRPr="001D56C6">
        <w:rPr>
          <w:sz w:val="28"/>
          <w:szCs w:val="28"/>
        </w:rPr>
        <w:t xml:space="preserve">reinstate their defence </w:t>
      </w:r>
      <w:r w:rsidR="00951B1D" w:rsidRPr="001D56C6">
        <w:rPr>
          <w:sz w:val="28"/>
          <w:szCs w:val="28"/>
        </w:rPr>
        <w:t xml:space="preserve">without having to comply </w:t>
      </w:r>
      <w:r w:rsidR="002B56ED" w:rsidRPr="001D56C6">
        <w:rPr>
          <w:sz w:val="28"/>
          <w:szCs w:val="28"/>
        </w:rPr>
        <w:t xml:space="preserve">but withdrew it </w:t>
      </w:r>
      <w:r w:rsidR="004A2958" w:rsidRPr="001D56C6">
        <w:rPr>
          <w:sz w:val="28"/>
          <w:szCs w:val="28"/>
        </w:rPr>
        <w:t>on the day of the hearing</w:t>
      </w:r>
      <w:r w:rsidR="002B56ED" w:rsidRPr="001D56C6">
        <w:rPr>
          <w:sz w:val="28"/>
          <w:szCs w:val="28"/>
        </w:rPr>
        <w:t xml:space="preserve">. </w:t>
      </w:r>
      <w:r w:rsidR="00E74F7B" w:rsidRPr="001D56C6">
        <w:rPr>
          <w:sz w:val="28"/>
          <w:szCs w:val="28"/>
        </w:rPr>
        <w:t>On 1 December 201</w:t>
      </w:r>
      <w:r w:rsidR="00D26C70" w:rsidRPr="001D56C6">
        <w:rPr>
          <w:sz w:val="28"/>
          <w:szCs w:val="28"/>
        </w:rPr>
        <w:t>5</w:t>
      </w:r>
      <w:r w:rsidR="00E74F7B" w:rsidRPr="001D56C6">
        <w:rPr>
          <w:sz w:val="28"/>
          <w:szCs w:val="28"/>
        </w:rPr>
        <w:t>, Ikamva applied for</w:t>
      </w:r>
      <w:r w:rsidR="00D26C70" w:rsidRPr="001D56C6">
        <w:rPr>
          <w:sz w:val="28"/>
          <w:szCs w:val="28"/>
        </w:rPr>
        <w:t>,</w:t>
      </w:r>
      <w:r w:rsidR="00E74F7B" w:rsidRPr="001D56C6">
        <w:rPr>
          <w:sz w:val="28"/>
          <w:szCs w:val="28"/>
        </w:rPr>
        <w:t xml:space="preserve"> </w:t>
      </w:r>
      <w:r w:rsidR="00B16E09" w:rsidRPr="001D56C6">
        <w:rPr>
          <w:sz w:val="28"/>
          <w:szCs w:val="28"/>
        </w:rPr>
        <w:t xml:space="preserve">and </w:t>
      </w:r>
      <w:r w:rsidR="00D26C70" w:rsidRPr="001D56C6">
        <w:rPr>
          <w:sz w:val="28"/>
          <w:szCs w:val="28"/>
        </w:rPr>
        <w:t xml:space="preserve">Malusi AJ </w:t>
      </w:r>
      <w:r w:rsidR="00B16E09" w:rsidRPr="001D56C6">
        <w:rPr>
          <w:sz w:val="28"/>
          <w:szCs w:val="28"/>
        </w:rPr>
        <w:t>granted</w:t>
      </w:r>
      <w:r w:rsidR="00D26C70" w:rsidRPr="001D56C6">
        <w:rPr>
          <w:sz w:val="28"/>
          <w:szCs w:val="28"/>
        </w:rPr>
        <w:t>,</w:t>
      </w:r>
      <w:r w:rsidR="00B16E09" w:rsidRPr="001D56C6">
        <w:rPr>
          <w:sz w:val="28"/>
          <w:szCs w:val="28"/>
        </w:rPr>
        <w:t xml:space="preserve"> </w:t>
      </w:r>
      <w:r w:rsidR="00E74F7B" w:rsidRPr="001D56C6">
        <w:rPr>
          <w:sz w:val="28"/>
          <w:szCs w:val="28"/>
        </w:rPr>
        <w:t>default judgment</w:t>
      </w:r>
      <w:r w:rsidR="00C07E9C" w:rsidRPr="001D56C6">
        <w:rPr>
          <w:sz w:val="28"/>
          <w:szCs w:val="28"/>
        </w:rPr>
        <w:t xml:space="preserve"> for damages in the sum of R41 031 279.58.</w:t>
      </w:r>
      <w:r w:rsidR="00A90563" w:rsidRPr="001D56C6">
        <w:rPr>
          <w:sz w:val="28"/>
          <w:szCs w:val="28"/>
        </w:rPr>
        <w:t xml:space="preserve"> </w:t>
      </w:r>
      <w:r w:rsidR="00C07E9C" w:rsidRPr="001D56C6">
        <w:rPr>
          <w:sz w:val="28"/>
          <w:szCs w:val="28"/>
        </w:rPr>
        <w:t xml:space="preserve"> </w:t>
      </w:r>
    </w:p>
    <w:p w14:paraId="119E8FAF" w14:textId="77777777" w:rsidR="00627C7C" w:rsidRPr="00127B01" w:rsidRDefault="00627C7C" w:rsidP="00627C7C">
      <w:pPr>
        <w:pStyle w:val="ListParagraph"/>
        <w:ind w:left="0"/>
        <w:rPr>
          <w:sz w:val="28"/>
          <w:szCs w:val="28"/>
        </w:rPr>
      </w:pPr>
    </w:p>
    <w:p w14:paraId="520B271E" w14:textId="5912A9D5" w:rsidR="007038C0" w:rsidRPr="001D56C6" w:rsidRDefault="001D56C6" w:rsidP="001D56C6">
      <w:pPr>
        <w:rPr>
          <w:sz w:val="28"/>
          <w:szCs w:val="28"/>
        </w:rPr>
      </w:pPr>
      <w:r w:rsidRPr="00127B01">
        <w:rPr>
          <w:sz w:val="28"/>
          <w:szCs w:val="28"/>
        </w:rPr>
        <w:t>[8]</w:t>
      </w:r>
      <w:r w:rsidRPr="00127B01">
        <w:rPr>
          <w:sz w:val="28"/>
          <w:szCs w:val="28"/>
        </w:rPr>
        <w:tab/>
      </w:r>
      <w:r w:rsidR="00A90563" w:rsidRPr="001D56C6">
        <w:rPr>
          <w:sz w:val="28"/>
          <w:szCs w:val="28"/>
        </w:rPr>
        <w:t>The Departments applied for leave to appeal</w:t>
      </w:r>
      <w:r w:rsidR="00453562" w:rsidRPr="001D56C6">
        <w:rPr>
          <w:sz w:val="28"/>
          <w:szCs w:val="28"/>
        </w:rPr>
        <w:t>. This</w:t>
      </w:r>
      <w:r w:rsidR="004803F4" w:rsidRPr="001D56C6">
        <w:rPr>
          <w:sz w:val="28"/>
          <w:szCs w:val="28"/>
        </w:rPr>
        <w:t xml:space="preserve"> was</w:t>
      </w:r>
      <w:r w:rsidR="00A90563" w:rsidRPr="001D56C6">
        <w:rPr>
          <w:sz w:val="28"/>
          <w:szCs w:val="28"/>
        </w:rPr>
        <w:t xml:space="preserve"> </w:t>
      </w:r>
      <w:r w:rsidR="004803F4" w:rsidRPr="001D56C6">
        <w:rPr>
          <w:sz w:val="28"/>
          <w:szCs w:val="28"/>
        </w:rPr>
        <w:t xml:space="preserve">refused by </w:t>
      </w:r>
      <w:r w:rsidR="00A90563" w:rsidRPr="001D56C6">
        <w:rPr>
          <w:sz w:val="28"/>
          <w:szCs w:val="28"/>
        </w:rPr>
        <w:t>Malusi</w:t>
      </w:r>
      <w:r w:rsidR="004803F4" w:rsidRPr="001D56C6">
        <w:rPr>
          <w:sz w:val="28"/>
          <w:szCs w:val="28"/>
        </w:rPr>
        <w:t> </w:t>
      </w:r>
      <w:r w:rsidR="00627C7C" w:rsidRPr="001D56C6">
        <w:rPr>
          <w:sz w:val="28"/>
          <w:szCs w:val="28"/>
        </w:rPr>
        <w:t>A</w:t>
      </w:r>
      <w:r w:rsidR="00A90563" w:rsidRPr="001D56C6">
        <w:rPr>
          <w:sz w:val="28"/>
          <w:szCs w:val="28"/>
        </w:rPr>
        <w:t>J.</w:t>
      </w:r>
      <w:r w:rsidR="00A731E4" w:rsidRPr="001D56C6">
        <w:rPr>
          <w:sz w:val="28"/>
          <w:szCs w:val="28"/>
        </w:rPr>
        <w:t xml:space="preserve"> </w:t>
      </w:r>
      <w:r w:rsidR="00A90563" w:rsidRPr="001D56C6">
        <w:rPr>
          <w:sz w:val="28"/>
          <w:szCs w:val="28"/>
        </w:rPr>
        <w:t>Th</w:t>
      </w:r>
      <w:r w:rsidR="004803F4" w:rsidRPr="001D56C6">
        <w:rPr>
          <w:sz w:val="28"/>
          <w:szCs w:val="28"/>
        </w:rPr>
        <w:t>ey then applied</w:t>
      </w:r>
      <w:r w:rsidR="00A90563" w:rsidRPr="001D56C6">
        <w:rPr>
          <w:sz w:val="28"/>
          <w:szCs w:val="28"/>
        </w:rPr>
        <w:t xml:space="preserve"> to rescind the default judgment.</w:t>
      </w:r>
      <w:r w:rsidR="00D6038A" w:rsidRPr="001D56C6">
        <w:rPr>
          <w:sz w:val="28"/>
          <w:szCs w:val="28"/>
        </w:rPr>
        <w:t xml:space="preserve"> Th</w:t>
      </w:r>
      <w:r w:rsidR="00430BD7" w:rsidRPr="001D56C6">
        <w:rPr>
          <w:sz w:val="28"/>
          <w:szCs w:val="28"/>
        </w:rPr>
        <w:t>at application</w:t>
      </w:r>
      <w:r w:rsidR="001530EC" w:rsidRPr="001D56C6">
        <w:rPr>
          <w:sz w:val="28"/>
          <w:szCs w:val="28"/>
        </w:rPr>
        <w:t xml:space="preserve"> </w:t>
      </w:r>
      <w:r w:rsidR="00D6038A" w:rsidRPr="001D56C6">
        <w:rPr>
          <w:sz w:val="28"/>
          <w:szCs w:val="28"/>
        </w:rPr>
        <w:t xml:space="preserve">was </w:t>
      </w:r>
      <w:r w:rsidR="00430BD7" w:rsidRPr="001D56C6">
        <w:rPr>
          <w:sz w:val="28"/>
          <w:szCs w:val="28"/>
        </w:rPr>
        <w:t>dismissed</w:t>
      </w:r>
      <w:r w:rsidR="00D6038A" w:rsidRPr="001D56C6">
        <w:rPr>
          <w:sz w:val="28"/>
          <w:szCs w:val="28"/>
        </w:rPr>
        <w:t xml:space="preserve"> by Hartle J</w:t>
      </w:r>
      <w:r w:rsidR="00F34878" w:rsidRPr="001D56C6">
        <w:rPr>
          <w:sz w:val="28"/>
          <w:szCs w:val="28"/>
        </w:rPr>
        <w:t xml:space="preserve">. </w:t>
      </w:r>
      <w:r w:rsidR="00430BD7" w:rsidRPr="001D56C6">
        <w:rPr>
          <w:sz w:val="28"/>
          <w:szCs w:val="28"/>
        </w:rPr>
        <w:t>Her dismissal was appealed to t</w:t>
      </w:r>
      <w:r w:rsidR="00F34878" w:rsidRPr="001D56C6">
        <w:rPr>
          <w:sz w:val="28"/>
          <w:szCs w:val="28"/>
        </w:rPr>
        <w:t xml:space="preserve">he </w:t>
      </w:r>
      <w:r w:rsidR="001F69A0" w:rsidRPr="001D56C6">
        <w:rPr>
          <w:sz w:val="28"/>
          <w:szCs w:val="28"/>
        </w:rPr>
        <w:t>f</w:t>
      </w:r>
      <w:r w:rsidR="00F34878" w:rsidRPr="001D56C6">
        <w:rPr>
          <w:sz w:val="28"/>
          <w:szCs w:val="28"/>
        </w:rPr>
        <w:t xml:space="preserve">ull </w:t>
      </w:r>
      <w:r w:rsidR="001F69A0" w:rsidRPr="001D56C6">
        <w:rPr>
          <w:sz w:val="28"/>
          <w:szCs w:val="28"/>
        </w:rPr>
        <w:t>c</w:t>
      </w:r>
      <w:r w:rsidR="00F34878" w:rsidRPr="001D56C6">
        <w:rPr>
          <w:sz w:val="28"/>
          <w:szCs w:val="28"/>
        </w:rPr>
        <w:t>ourt</w:t>
      </w:r>
      <w:r w:rsidR="00430BD7" w:rsidRPr="001D56C6">
        <w:rPr>
          <w:sz w:val="28"/>
          <w:szCs w:val="28"/>
        </w:rPr>
        <w:t>, which</w:t>
      </w:r>
      <w:r w:rsidR="00F34878" w:rsidRPr="001D56C6">
        <w:rPr>
          <w:sz w:val="28"/>
          <w:szCs w:val="28"/>
        </w:rPr>
        <w:t xml:space="preserve"> </w:t>
      </w:r>
      <w:r w:rsidR="001530EC" w:rsidRPr="001D56C6">
        <w:rPr>
          <w:sz w:val="28"/>
          <w:szCs w:val="28"/>
        </w:rPr>
        <w:t>refused</w:t>
      </w:r>
      <w:r w:rsidR="00F34878" w:rsidRPr="001D56C6">
        <w:rPr>
          <w:sz w:val="28"/>
          <w:szCs w:val="28"/>
        </w:rPr>
        <w:t xml:space="preserve"> </w:t>
      </w:r>
      <w:r w:rsidR="00430BD7" w:rsidRPr="001D56C6">
        <w:rPr>
          <w:sz w:val="28"/>
          <w:szCs w:val="28"/>
        </w:rPr>
        <w:t>the</w:t>
      </w:r>
      <w:r w:rsidR="00F34878" w:rsidRPr="001D56C6">
        <w:rPr>
          <w:sz w:val="28"/>
          <w:szCs w:val="28"/>
        </w:rPr>
        <w:t xml:space="preserve"> appeal</w:t>
      </w:r>
      <w:r w:rsidR="00FE1A39" w:rsidRPr="001D56C6">
        <w:rPr>
          <w:sz w:val="28"/>
          <w:szCs w:val="28"/>
        </w:rPr>
        <w:t>.</w:t>
      </w:r>
      <w:r w:rsidR="007038C0" w:rsidRPr="001D56C6">
        <w:rPr>
          <w:sz w:val="28"/>
          <w:szCs w:val="28"/>
        </w:rPr>
        <w:t xml:space="preserve"> </w:t>
      </w:r>
      <w:r w:rsidR="00FE1A39" w:rsidRPr="001D56C6">
        <w:rPr>
          <w:sz w:val="28"/>
          <w:szCs w:val="28"/>
        </w:rPr>
        <w:t>T</w:t>
      </w:r>
      <w:r w:rsidR="007038C0" w:rsidRPr="001D56C6">
        <w:rPr>
          <w:sz w:val="28"/>
          <w:szCs w:val="28"/>
        </w:rPr>
        <w:t>hereafter, this</w:t>
      </w:r>
      <w:r w:rsidR="00D6038A" w:rsidRPr="001D56C6">
        <w:rPr>
          <w:sz w:val="28"/>
          <w:szCs w:val="28"/>
        </w:rPr>
        <w:t xml:space="preserve"> Court and</w:t>
      </w:r>
      <w:r w:rsidR="00FE1A39" w:rsidRPr="001D56C6">
        <w:rPr>
          <w:sz w:val="28"/>
          <w:szCs w:val="28"/>
        </w:rPr>
        <w:t>, on 29 July </w:t>
      </w:r>
      <w:r w:rsidR="00A07A02" w:rsidRPr="001D56C6">
        <w:rPr>
          <w:sz w:val="28"/>
          <w:szCs w:val="28"/>
        </w:rPr>
        <w:t>2019</w:t>
      </w:r>
      <w:r w:rsidR="00D6038A" w:rsidRPr="001D56C6">
        <w:rPr>
          <w:sz w:val="28"/>
          <w:szCs w:val="28"/>
        </w:rPr>
        <w:t xml:space="preserve"> the Constitutional Court</w:t>
      </w:r>
      <w:r w:rsidR="00430BD7" w:rsidRPr="001D56C6">
        <w:rPr>
          <w:sz w:val="28"/>
          <w:szCs w:val="28"/>
        </w:rPr>
        <w:t>,</w:t>
      </w:r>
      <w:r w:rsidR="00D6038A" w:rsidRPr="001D56C6">
        <w:rPr>
          <w:sz w:val="28"/>
          <w:szCs w:val="28"/>
        </w:rPr>
        <w:t xml:space="preserve"> refused </w:t>
      </w:r>
      <w:r w:rsidR="00CF451B" w:rsidRPr="001D56C6">
        <w:rPr>
          <w:sz w:val="28"/>
          <w:szCs w:val="28"/>
        </w:rPr>
        <w:t xml:space="preserve">applications by </w:t>
      </w:r>
      <w:r w:rsidR="00D6038A" w:rsidRPr="001D56C6">
        <w:rPr>
          <w:sz w:val="28"/>
          <w:szCs w:val="28"/>
        </w:rPr>
        <w:t>the Departments</w:t>
      </w:r>
      <w:r w:rsidR="00CF451B" w:rsidRPr="001D56C6">
        <w:rPr>
          <w:sz w:val="28"/>
          <w:szCs w:val="28"/>
        </w:rPr>
        <w:t xml:space="preserve"> for </w:t>
      </w:r>
      <w:r w:rsidR="00D6038A" w:rsidRPr="001D56C6">
        <w:rPr>
          <w:sz w:val="28"/>
          <w:szCs w:val="28"/>
        </w:rPr>
        <w:t>leave to appeal</w:t>
      </w:r>
      <w:r w:rsidR="00CF451B" w:rsidRPr="001D56C6">
        <w:rPr>
          <w:sz w:val="28"/>
          <w:szCs w:val="28"/>
        </w:rPr>
        <w:t xml:space="preserve"> the order of Hartle J</w:t>
      </w:r>
      <w:r w:rsidR="00D6038A" w:rsidRPr="001D56C6">
        <w:rPr>
          <w:sz w:val="28"/>
          <w:szCs w:val="28"/>
        </w:rPr>
        <w:t>.</w:t>
      </w:r>
      <w:r w:rsidR="00FE23CB" w:rsidRPr="001D56C6">
        <w:rPr>
          <w:sz w:val="28"/>
          <w:szCs w:val="28"/>
        </w:rPr>
        <w:t xml:space="preserve"> </w:t>
      </w:r>
      <w:r w:rsidR="00882AF9" w:rsidRPr="001D56C6">
        <w:rPr>
          <w:sz w:val="28"/>
          <w:szCs w:val="28"/>
        </w:rPr>
        <w:t>In their founding papers, the Departments accepted that ‘the application for rescission has been definitively disposed of</w:t>
      </w:r>
      <w:r w:rsidR="00A927B0" w:rsidRPr="001D56C6">
        <w:rPr>
          <w:sz w:val="28"/>
          <w:szCs w:val="28"/>
        </w:rPr>
        <w:t>’</w:t>
      </w:r>
      <w:r w:rsidR="00882AF9" w:rsidRPr="001D56C6">
        <w:rPr>
          <w:sz w:val="28"/>
          <w:szCs w:val="28"/>
        </w:rPr>
        <w:t>.</w:t>
      </w:r>
    </w:p>
    <w:p w14:paraId="58A68F5C" w14:textId="77777777" w:rsidR="00A07A02" w:rsidRPr="00127B01" w:rsidRDefault="00A07A02" w:rsidP="00A07A02">
      <w:pPr>
        <w:pStyle w:val="ListParagraph"/>
        <w:ind w:left="0"/>
        <w:rPr>
          <w:sz w:val="28"/>
          <w:szCs w:val="28"/>
        </w:rPr>
      </w:pPr>
    </w:p>
    <w:p w14:paraId="0D17AEF1" w14:textId="71C50B99" w:rsidR="007038C0" w:rsidRPr="001D56C6" w:rsidRDefault="001D56C6" w:rsidP="001D56C6">
      <w:pPr>
        <w:rPr>
          <w:sz w:val="28"/>
          <w:szCs w:val="28"/>
        </w:rPr>
      </w:pPr>
      <w:r w:rsidRPr="00127B01">
        <w:rPr>
          <w:sz w:val="28"/>
          <w:szCs w:val="28"/>
        </w:rPr>
        <w:t>[9]</w:t>
      </w:r>
      <w:r w:rsidRPr="00127B01">
        <w:rPr>
          <w:sz w:val="28"/>
          <w:szCs w:val="28"/>
        </w:rPr>
        <w:tab/>
      </w:r>
      <w:r w:rsidR="00D920B9" w:rsidRPr="001D56C6">
        <w:rPr>
          <w:sz w:val="28"/>
          <w:szCs w:val="28"/>
        </w:rPr>
        <w:t xml:space="preserve">It must be clearly stated </w:t>
      </w:r>
      <w:r w:rsidR="004A0659" w:rsidRPr="001D56C6">
        <w:rPr>
          <w:sz w:val="28"/>
          <w:szCs w:val="28"/>
        </w:rPr>
        <w:t xml:space="preserve">at the outset </w:t>
      </w:r>
      <w:r w:rsidR="00D920B9" w:rsidRPr="001D56C6">
        <w:rPr>
          <w:sz w:val="28"/>
          <w:szCs w:val="28"/>
        </w:rPr>
        <w:t>that, d</w:t>
      </w:r>
      <w:r w:rsidR="007038C0" w:rsidRPr="001D56C6">
        <w:rPr>
          <w:sz w:val="28"/>
          <w:szCs w:val="28"/>
        </w:rPr>
        <w:t xml:space="preserve">uring argument, any contention that the default judgment was anything other than </w:t>
      </w:r>
      <w:r w:rsidR="004E2645" w:rsidRPr="001D56C6">
        <w:rPr>
          <w:sz w:val="28"/>
          <w:szCs w:val="28"/>
        </w:rPr>
        <w:t xml:space="preserve">competent, </w:t>
      </w:r>
      <w:r w:rsidR="007038C0" w:rsidRPr="001D56C6">
        <w:rPr>
          <w:sz w:val="28"/>
          <w:szCs w:val="28"/>
        </w:rPr>
        <w:t xml:space="preserve">valid and binding was </w:t>
      </w:r>
      <w:r w:rsidR="007038C0" w:rsidRPr="001D56C6">
        <w:rPr>
          <w:sz w:val="28"/>
          <w:szCs w:val="28"/>
        </w:rPr>
        <w:lastRenderedPageBreak/>
        <w:t>expressly abandoned. As such, this app</w:t>
      </w:r>
      <w:r w:rsidR="00FE3823" w:rsidRPr="001D56C6">
        <w:rPr>
          <w:sz w:val="28"/>
          <w:szCs w:val="28"/>
        </w:rPr>
        <w:t>lication for leave to appeal</w:t>
      </w:r>
      <w:r w:rsidR="007038C0" w:rsidRPr="001D56C6">
        <w:rPr>
          <w:sz w:val="28"/>
          <w:szCs w:val="28"/>
        </w:rPr>
        <w:t xml:space="preserve"> must be determined on that basis</w:t>
      </w:r>
      <w:r w:rsidR="00CF451B" w:rsidRPr="001D56C6">
        <w:rPr>
          <w:sz w:val="28"/>
          <w:szCs w:val="28"/>
        </w:rPr>
        <w:t xml:space="preserve"> and on th</w:t>
      </w:r>
      <w:r w:rsidR="007E48AB" w:rsidRPr="001D56C6">
        <w:rPr>
          <w:sz w:val="28"/>
          <w:szCs w:val="28"/>
        </w:rPr>
        <w:t>at</w:t>
      </w:r>
      <w:r w:rsidR="00CF451B" w:rsidRPr="001D56C6">
        <w:rPr>
          <w:sz w:val="28"/>
          <w:szCs w:val="28"/>
        </w:rPr>
        <w:t xml:space="preserve"> basis</w:t>
      </w:r>
      <w:r w:rsidR="007E48AB" w:rsidRPr="001D56C6">
        <w:rPr>
          <w:sz w:val="28"/>
          <w:szCs w:val="28"/>
        </w:rPr>
        <w:t xml:space="preserve"> alone</w:t>
      </w:r>
      <w:r w:rsidR="007038C0" w:rsidRPr="001D56C6">
        <w:rPr>
          <w:sz w:val="28"/>
          <w:szCs w:val="28"/>
        </w:rPr>
        <w:t>.</w:t>
      </w:r>
    </w:p>
    <w:p w14:paraId="43D6DACD" w14:textId="77777777" w:rsidR="00C75C9D" w:rsidRPr="00127B01" w:rsidRDefault="00C75C9D" w:rsidP="00C75C9D">
      <w:pPr>
        <w:pStyle w:val="ListParagraph"/>
        <w:ind w:left="0"/>
        <w:rPr>
          <w:sz w:val="28"/>
          <w:szCs w:val="28"/>
        </w:rPr>
      </w:pPr>
    </w:p>
    <w:p w14:paraId="310D049A" w14:textId="516D2BDF" w:rsidR="00853A6C" w:rsidRPr="001D56C6" w:rsidRDefault="001D56C6" w:rsidP="001D56C6">
      <w:pPr>
        <w:rPr>
          <w:sz w:val="28"/>
          <w:szCs w:val="28"/>
        </w:rPr>
      </w:pPr>
      <w:r w:rsidRPr="00127B01">
        <w:rPr>
          <w:sz w:val="28"/>
          <w:szCs w:val="28"/>
        </w:rPr>
        <w:t>[10]</w:t>
      </w:r>
      <w:r w:rsidRPr="00127B01">
        <w:rPr>
          <w:sz w:val="28"/>
          <w:szCs w:val="28"/>
        </w:rPr>
        <w:tab/>
      </w:r>
      <w:r w:rsidR="009D4885" w:rsidRPr="001D56C6">
        <w:rPr>
          <w:sz w:val="28"/>
          <w:szCs w:val="28"/>
        </w:rPr>
        <w:t xml:space="preserve">The </w:t>
      </w:r>
      <w:r w:rsidR="009E56BA" w:rsidRPr="001D56C6">
        <w:rPr>
          <w:sz w:val="28"/>
          <w:szCs w:val="28"/>
        </w:rPr>
        <w:t>application</w:t>
      </w:r>
      <w:r w:rsidR="009D4885" w:rsidRPr="001D56C6">
        <w:rPr>
          <w:sz w:val="28"/>
          <w:szCs w:val="28"/>
        </w:rPr>
        <w:t xml:space="preserve"> under </w:t>
      </w:r>
      <w:r w:rsidR="00BA27C6" w:rsidRPr="001D56C6">
        <w:rPr>
          <w:sz w:val="28"/>
          <w:szCs w:val="28"/>
        </w:rPr>
        <w:t>consideration</w:t>
      </w:r>
      <w:r w:rsidR="009E56BA" w:rsidRPr="001D56C6">
        <w:rPr>
          <w:sz w:val="28"/>
          <w:szCs w:val="28"/>
        </w:rPr>
        <w:t xml:space="preserve"> was </w:t>
      </w:r>
      <w:r w:rsidR="00EA2FB8" w:rsidRPr="001D56C6">
        <w:rPr>
          <w:sz w:val="28"/>
          <w:szCs w:val="28"/>
        </w:rPr>
        <w:t xml:space="preserve">brought </w:t>
      </w:r>
      <w:r w:rsidR="00BA27C6" w:rsidRPr="001D56C6">
        <w:rPr>
          <w:sz w:val="28"/>
          <w:szCs w:val="28"/>
        </w:rPr>
        <w:t xml:space="preserve">in the high court </w:t>
      </w:r>
      <w:r w:rsidR="00EA2FB8" w:rsidRPr="001D56C6">
        <w:rPr>
          <w:sz w:val="28"/>
          <w:szCs w:val="28"/>
        </w:rPr>
        <w:t>in September 2019</w:t>
      </w:r>
      <w:r w:rsidR="004E2645" w:rsidRPr="001D56C6">
        <w:rPr>
          <w:sz w:val="28"/>
          <w:szCs w:val="28"/>
        </w:rPr>
        <w:t xml:space="preserve">. </w:t>
      </w:r>
      <w:r w:rsidR="006174CC" w:rsidRPr="001D56C6">
        <w:rPr>
          <w:sz w:val="28"/>
          <w:szCs w:val="28"/>
        </w:rPr>
        <w:t>An interim order led to</w:t>
      </w:r>
      <w:r w:rsidR="004E2645" w:rsidRPr="001D56C6">
        <w:rPr>
          <w:sz w:val="28"/>
          <w:szCs w:val="28"/>
        </w:rPr>
        <w:t xml:space="preserve"> a</w:t>
      </w:r>
      <w:r w:rsidR="00C41073" w:rsidRPr="001D56C6">
        <w:rPr>
          <w:sz w:val="28"/>
          <w:szCs w:val="28"/>
        </w:rPr>
        <w:t xml:space="preserve"> stay</w:t>
      </w:r>
      <w:r w:rsidR="004E2645" w:rsidRPr="001D56C6">
        <w:rPr>
          <w:sz w:val="28"/>
          <w:szCs w:val="28"/>
        </w:rPr>
        <w:t xml:space="preserve"> of</w:t>
      </w:r>
      <w:r w:rsidR="00C41073" w:rsidRPr="001D56C6">
        <w:rPr>
          <w:sz w:val="28"/>
          <w:szCs w:val="28"/>
        </w:rPr>
        <w:t xml:space="preserve"> execution of the default judgment</w:t>
      </w:r>
      <w:r w:rsidR="00B9210E" w:rsidRPr="001D56C6">
        <w:rPr>
          <w:sz w:val="28"/>
          <w:szCs w:val="28"/>
        </w:rPr>
        <w:t xml:space="preserve"> pending the determination of</w:t>
      </w:r>
      <w:r w:rsidR="007555D3" w:rsidRPr="001D56C6">
        <w:rPr>
          <w:sz w:val="28"/>
          <w:szCs w:val="28"/>
        </w:rPr>
        <w:t xml:space="preserve"> the </w:t>
      </w:r>
      <w:r w:rsidR="006174CC" w:rsidRPr="001D56C6">
        <w:rPr>
          <w:sz w:val="28"/>
          <w:szCs w:val="28"/>
        </w:rPr>
        <w:t>relief</w:t>
      </w:r>
      <w:r w:rsidR="007555D3" w:rsidRPr="001D56C6">
        <w:rPr>
          <w:sz w:val="28"/>
          <w:szCs w:val="28"/>
        </w:rPr>
        <w:t xml:space="preserve"> referred to in paragraph 4 above. </w:t>
      </w:r>
      <w:r w:rsidR="00B83239" w:rsidRPr="001D56C6">
        <w:rPr>
          <w:sz w:val="28"/>
          <w:szCs w:val="28"/>
        </w:rPr>
        <w:t>The</w:t>
      </w:r>
      <w:r w:rsidR="000A3169" w:rsidRPr="001D56C6">
        <w:rPr>
          <w:sz w:val="28"/>
          <w:szCs w:val="28"/>
        </w:rPr>
        <w:t xml:space="preserve"> interim order</w:t>
      </w:r>
      <w:r w:rsidR="00C62AF9" w:rsidRPr="001D56C6">
        <w:rPr>
          <w:sz w:val="28"/>
          <w:szCs w:val="28"/>
        </w:rPr>
        <w:t xml:space="preserve"> was granted by consent</w:t>
      </w:r>
      <w:r w:rsidR="00B83239" w:rsidRPr="001D56C6">
        <w:rPr>
          <w:sz w:val="28"/>
          <w:szCs w:val="28"/>
        </w:rPr>
        <w:t>,</w:t>
      </w:r>
      <w:r w:rsidR="00C62AF9" w:rsidRPr="001D56C6">
        <w:rPr>
          <w:sz w:val="28"/>
          <w:szCs w:val="28"/>
        </w:rPr>
        <w:t xml:space="preserve"> along with one declaring that the </w:t>
      </w:r>
      <w:r w:rsidR="00C62AF9" w:rsidRPr="001D56C6">
        <w:rPr>
          <w:i/>
          <w:iCs/>
          <w:sz w:val="28"/>
          <w:szCs w:val="28"/>
        </w:rPr>
        <w:t>in duplum</w:t>
      </w:r>
      <w:r w:rsidR="00C62AF9" w:rsidRPr="001D56C6">
        <w:rPr>
          <w:sz w:val="28"/>
          <w:szCs w:val="28"/>
        </w:rPr>
        <w:t xml:space="preserve"> rule</w:t>
      </w:r>
      <w:r w:rsidR="00172268" w:rsidRPr="00127B01">
        <w:rPr>
          <w:rStyle w:val="FootnoteReference"/>
          <w:sz w:val="28"/>
          <w:szCs w:val="28"/>
        </w:rPr>
        <w:footnoteReference w:id="2"/>
      </w:r>
      <w:r w:rsidR="00C62AF9" w:rsidRPr="001D56C6">
        <w:rPr>
          <w:sz w:val="28"/>
          <w:szCs w:val="28"/>
        </w:rPr>
        <w:t xml:space="preserve"> would not apply to interest on the judgment debt in order to </w:t>
      </w:r>
      <w:r w:rsidR="00E12BDA" w:rsidRPr="001D56C6">
        <w:rPr>
          <w:sz w:val="28"/>
          <w:szCs w:val="28"/>
        </w:rPr>
        <w:t>ameliorate</w:t>
      </w:r>
      <w:r w:rsidR="00C62AF9" w:rsidRPr="001D56C6">
        <w:rPr>
          <w:sz w:val="28"/>
          <w:szCs w:val="28"/>
        </w:rPr>
        <w:t xml:space="preserve"> any prejudice to Ikamva. </w:t>
      </w:r>
      <w:r w:rsidR="00BA27C6" w:rsidRPr="001D56C6">
        <w:rPr>
          <w:sz w:val="28"/>
          <w:szCs w:val="28"/>
        </w:rPr>
        <w:t>P</w:t>
      </w:r>
      <w:r w:rsidR="007555D3" w:rsidRPr="001D56C6">
        <w:rPr>
          <w:sz w:val="28"/>
          <w:szCs w:val="28"/>
        </w:rPr>
        <w:t>rayers 1</w:t>
      </w:r>
      <w:r w:rsidR="005974BB" w:rsidRPr="001D56C6">
        <w:rPr>
          <w:sz w:val="28"/>
          <w:szCs w:val="28"/>
        </w:rPr>
        <w:t xml:space="preserve"> and</w:t>
      </w:r>
      <w:r w:rsidR="007555D3" w:rsidRPr="001D56C6">
        <w:rPr>
          <w:sz w:val="28"/>
          <w:szCs w:val="28"/>
        </w:rPr>
        <w:t xml:space="preserve"> 2 </w:t>
      </w:r>
      <w:r w:rsidR="00E12BDA" w:rsidRPr="001D56C6">
        <w:rPr>
          <w:sz w:val="28"/>
          <w:szCs w:val="28"/>
        </w:rPr>
        <w:t>of the notice of motion</w:t>
      </w:r>
      <w:r w:rsidR="00882AF9" w:rsidRPr="001D56C6">
        <w:rPr>
          <w:sz w:val="28"/>
          <w:szCs w:val="28"/>
        </w:rPr>
        <w:t xml:space="preserve"> </w:t>
      </w:r>
      <w:r w:rsidR="007555D3" w:rsidRPr="001D56C6">
        <w:rPr>
          <w:sz w:val="28"/>
          <w:szCs w:val="28"/>
        </w:rPr>
        <w:t>s</w:t>
      </w:r>
      <w:r w:rsidR="005974BB" w:rsidRPr="001D56C6">
        <w:rPr>
          <w:sz w:val="28"/>
          <w:szCs w:val="28"/>
        </w:rPr>
        <w:t xml:space="preserve">ought </w:t>
      </w:r>
      <w:r w:rsidR="007555D3" w:rsidRPr="001D56C6">
        <w:rPr>
          <w:sz w:val="28"/>
          <w:szCs w:val="28"/>
        </w:rPr>
        <w:t xml:space="preserve">to set aside the decisions leading to the award </w:t>
      </w:r>
      <w:r w:rsidR="00B9210E" w:rsidRPr="001D56C6">
        <w:rPr>
          <w:sz w:val="28"/>
          <w:szCs w:val="28"/>
        </w:rPr>
        <w:t xml:space="preserve">of </w:t>
      </w:r>
      <w:r w:rsidR="007555D3" w:rsidRPr="001D56C6">
        <w:rPr>
          <w:sz w:val="28"/>
          <w:szCs w:val="28"/>
        </w:rPr>
        <w:t>the contract to Ikamva</w:t>
      </w:r>
      <w:r w:rsidR="005974BB" w:rsidRPr="001D56C6">
        <w:rPr>
          <w:sz w:val="28"/>
          <w:szCs w:val="28"/>
        </w:rPr>
        <w:t>.</w:t>
      </w:r>
      <w:r w:rsidR="007555D3" w:rsidRPr="001D56C6">
        <w:rPr>
          <w:sz w:val="28"/>
          <w:szCs w:val="28"/>
        </w:rPr>
        <w:t xml:space="preserve"> </w:t>
      </w:r>
      <w:r w:rsidR="00043789" w:rsidRPr="001D56C6">
        <w:rPr>
          <w:sz w:val="28"/>
          <w:szCs w:val="28"/>
        </w:rPr>
        <w:t xml:space="preserve">Since those orders </w:t>
      </w:r>
      <w:r w:rsidR="00380BB2" w:rsidRPr="001D56C6">
        <w:rPr>
          <w:sz w:val="28"/>
          <w:szCs w:val="28"/>
        </w:rPr>
        <w:t xml:space="preserve">would </w:t>
      </w:r>
      <w:r w:rsidR="00172268" w:rsidRPr="001D56C6">
        <w:rPr>
          <w:sz w:val="28"/>
          <w:szCs w:val="28"/>
        </w:rPr>
        <w:t xml:space="preserve">be </w:t>
      </w:r>
      <w:r w:rsidR="00882AF9" w:rsidRPr="001D56C6">
        <w:rPr>
          <w:sz w:val="28"/>
          <w:szCs w:val="28"/>
        </w:rPr>
        <w:t xml:space="preserve">ones </w:t>
      </w:r>
      <w:r w:rsidR="00172268" w:rsidRPr="001D56C6">
        <w:rPr>
          <w:sz w:val="28"/>
          <w:szCs w:val="28"/>
        </w:rPr>
        <w:t>made</w:t>
      </w:r>
      <w:r w:rsidR="00043789" w:rsidRPr="001D56C6">
        <w:rPr>
          <w:sz w:val="28"/>
          <w:szCs w:val="28"/>
        </w:rPr>
        <w:t xml:space="preserve"> under s172(1)</w:t>
      </w:r>
      <w:r w:rsidR="00043789" w:rsidRPr="001D56C6">
        <w:rPr>
          <w:i/>
          <w:iCs/>
          <w:sz w:val="28"/>
          <w:szCs w:val="28"/>
        </w:rPr>
        <w:t>(a)</w:t>
      </w:r>
      <w:r w:rsidR="00043789" w:rsidRPr="001D56C6">
        <w:rPr>
          <w:sz w:val="28"/>
          <w:szCs w:val="28"/>
        </w:rPr>
        <w:t xml:space="preserve"> of the Constitution, the high court was urged to grant relief under s 172(1)</w:t>
      </w:r>
      <w:r w:rsidR="00043789" w:rsidRPr="001D56C6">
        <w:rPr>
          <w:i/>
          <w:iCs/>
          <w:sz w:val="28"/>
          <w:szCs w:val="28"/>
        </w:rPr>
        <w:t>(b)</w:t>
      </w:r>
      <w:r w:rsidR="00043789" w:rsidRPr="001D56C6">
        <w:rPr>
          <w:sz w:val="28"/>
          <w:szCs w:val="28"/>
        </w:rPr>
        <w:t xml:space="preserve"> in the form of order</w:t>
      </w:r>
      <w:r w:rsidR="00172268" w:rsidRPr="001D56C6">
        <w:rPr>
          <w:sz w:val="28"/>
          <w:szCs w:val="28"/>
        </w:rPr>
        <w:t>s</w:t>
      </w:r>
      <w:r w:rsidR="00043789" w:rsidRPr="001D56C6">
        <w:rPr>
          <w:sz w:val="28"/>
          <w:szCs w:val="28"/>
        </w:rPr>
        <w:t xml:space="preserve"> in terms of p</w:t>
      </w:r>
      <w:r w:rsidR="00882AF9" w:rsidRPr="001D56C6">
        <w:rPr>
          <w:sz w:val="28"/>
          <w:szCs w:val="28"/>
        </w:rPr>
        <w:t>rayers</w:t>
      </w:r>
      <w:r w:rsidR="00043789" w:rsidRPr="001D56C6">
        <w:rPr>
          <w:sz w:val="28"/>
          <w:szCs w:val="28"/>
        </w:rPr>
        <w:t xml:space="preserve"> 3 and 4 </w:t>
      </w:r>
      <w:r w:rsidR="005A729F" w:rsidRPr="001D56C6">
        <w:rPr>
          <w:sz w:val="28"/>
          <w:szCs w:val="28"/>
        </w:rPr>
        <w:t>thereof</w:t>
      </w:r>
      <w:r w:rsidR="00043789" w:rsidRPr="001D56C6">
        <w:rPr>
          <w:sz w:val="28"/>
          <w:szCs w:val="28"/>
        </w:rPr>
        <w:t>.</w:t>
      </w:r>
    </w:p>
    <w:p w14:paraId="68754379" w14:textId="77777777" w:rsidR="00853A6C" w:rsidRPr="00127B01" w:rsidRDefault="00853A6C" w:rsidP="00853A6C">
      <w:pPr>
        <w:pStyle w:val="ListParagraph"/>
        <w:ind w:left="0"/>
        <w:rPr>
          <w:sz w:val="28"/>
          <w:szCs w:val="28"/>
        </w:rPr>
      </w:pPr>
    </w:p>
    <w:p w14:paraId="775982EF" w14:textId="4DC7AC13" w:rsidR="00AF508F" w:rsidRPr="001D56C6" w:rsidRDefault="001D56C6" w:rsidP="001D56C6">
      <w:pPr>
        <w:rPr>
          <w:sz w:val="28"/>
          <w:szCs w:val="28"/>
        </w:rPr>
      </w:pPr>
      <w:r w:rsidRPr="00127B01">
        <w:rPr>
          <w:sz w:val="28"/>
          <w:szCs w:val="28"/>
        </w:rPr>
        <w:t>[11]</w:t>
      </w:r>
      <w:r w:rsidRPr="00127B01">
        <w:rPr>
          <w:sz w:val="28"/>
          <w:szCs w:val="28"/>
        </w:rPr>
        <w:tab/>
      </w:r>
      <w:r w:rsidR="009E3B44" w:rsidRPr="001D56C6">
        <w:rPr>
          <w:sz w:val="28"/>
          <w:szCs w:val="28"/>
        </w:rPr>
        <w:t>The application was opposed by Ikamva</w:t>
      </w:r>
      <w:r w:rsidR="00987498" w:rsidRPr="001D56C6">
        <w:rPr>
          <w:sz w:val="28"/>
          <w:szCs w:val="28"/>
        </w:rPr>
        <w:t xml:space="preserve"> on various grounds. </w:t>
      </w:r>
      <w:r w:rsidR="00AF508F" w:rsidRPr="001D56C6">
        <w:rPr>
          <w:sz w:val="28"/>
          <w:szCs w:val="28"/>
        </w:rPr>
        <w:t>Some of t</w:t>
      </w:r>
      <w:r w:rsidR="00987498" w:rsidRPr="001D56C6">
        <w:rPr>
          <w:sz w:val="28"/>
          <w:szCs w:val="28"/>
        </w:rPr>
        <w:t>hese</w:t>
      </w:r>
      <w:r w:rsidR="00AF508F" w:rsidRPr="001D56C6">
        <w:rPr>
          <w:sz w:val="28"/>
          <w:szCs w:val="28"/>
        </w:rPr>
        <w:t xml:space="preserve"> were</w:t>
      </w:r>
      <w:r w:rsidR="00335A7D" w:rsidRPr="001D56C6">
        <w:rPr>
          <w:sz w:val="28"/>
          <w:szCs w:val="28"/>
        </w:rPr>
        <w:t>:</w:t>
      </w:r>
    </w:p>
    <w:p w14:paraId="7FA424CE" w14:textId="7896E4C3" w:rsidR="00AF508F" w:rsidRPr="00127B01" w:rsidRDefault="00AF508F" w:rsidP="00AF508F">
      <w:pPr>
        <w:pStyle w:val="ListParagraph"/>
        <w:ind w:left="0"/>
        <w:rPr>
          <w:sz w:val="28"/>
          <w:szCs w:val="28"/>
        </w:rPr>
      </w:pPr>
      <w:r w:rsidRPr="00127B01">
        <w:rPr>
          <w:sz w:val="28"/>
          <w:szCs w:val="28"/>
        </w:rPr>
        <w:t>a</w:t>
      </w:r>
      <w:r w:rsidR="0072761E" w:rsidRPr="00127B01">
        <w:rPr>
          <w:sz w:val="28"/>
          <w:szCs w:val="28"/>
        </w:rPr>
        <w:t>)</w:t>
      </w:r>
      <w:r w:rsidR="006C54F3" w:rsidRPr="00127B01">
        <w:rPr>
          <w:sz w:val="28"/>
          <w:szCs w:val="28"/>
        </w:rPr>
        <w:t xml:space="preserve"> </w:t>
      </w:r>
      <w:r w:rsidR="0072761E" w:rsidRPr="00127B01">
        <w:rPr>
          <w:sz w:val="28"/>
          <w:szCs w:val="28"/>
        </w:rPr>
        <w:t xml:space="preserve">The </w:t>
      </w:r>
      <w:r w:rsidR="00335A7D" w:rsidRPr="00127B01">
        <w:rPr>
          <w:sz w:val="28"/>
          <w:szCs w:val="28"/>
        </w:rPr>
        <w:t xml:space="preserve">impugned </w:t>
      </w:r>
      <w:r w:rsidR="0072761E" w:rsidRPr="00127B01">
        <w:rPr>
          <w:sz w:val="28"/>
          <w:szCs w:val="28"/>
        </w:rPr>
        <w:t>decisions were not those which had led to the award of the contract in question but to a prior one.</w:t>
      </w:r>
      <w:r w:rsidR="00335A7D" w:rsidRPr="00127B01">
        <w:rPr>
          <w:sz w:val="28"/>
          <w:szCs w:val="28"/>
        </w:rPr>
        <w:t xml:space="preserve"> This refers to the confusion</w:t>
      </w:r>
      <w:r w:rsidR="004C3519" w:rsidRPr="00127B01">
        <w:rPr>
          <w:sz w:val="28"/>
          <w:szCs w:val="28"/>
        </w:rPr>
        <w:t xml:space="preserve"> as to whether the 2002 or 2003 contract w</w:t>
      </w:r>
      <w:r w:rsidR="00DF5EB2" w:rsidRPr="00127B01">
        <w:rPr>
          <w:sz w:val="28"/>
          <w:szCs w:val="28"/>
        </w:rPr>
        <w:t>as</w:t>
      </w:r>
      <w:r w:rsidR="004C3519" w:rsidRPr="00127B01">
        <w:rPr>
          <w:sz w:val="28"/>
          <w:szCs w:val="28"/>
        </w:rPr>
        <w:t xml:space="preserve"> implicated.</w:t>
      </w:r>
    </w:p>
    <w:p w14:paraId="497DE3BF" w14:textId="2CDBC97F" w:rsidR="0072761E" w:rsidRPr="00127B01" w:rsidRDefault="0072761E" w:rsidP="00AF508F">
      <w:pPr>
        <w:pStyle w:val="ListParagraph"/>
        <w:ind w:left="0"/>
        <w:rPr>
          <w:sz w:val="28"/>
          <w:szCs w:val="28"/>
        </w:rPr>
      </w:pPr>
      <w:r w:rsidRPr="00127B01">
        <w:rPr>
          <w:sz w:val="28"/>
          <w:szCs w:val="28"/>
        </w:rPr>
        <w:t>b)</w:t>
      </w:r>
      <w:r w:rsidR="006C54F3" w:rsidRPr="00127B01">
        <w:rPr>
          <w:sz w:val="28"/>
          <w:szCs w:val="28"/>
        </w:rPr>
        <w:t xml:space="preserve"> </w:t>
      </w:r>
      <w:r w:rsidRPr="00127B01">
        <w:rPr>
          <w:sz w:val="28"/>
          <w:szCs w:val="28"/>
        </w:rPr>
        <w:t>The delay in bringing the self-review application should non-suit the Departments.</w:t>
      </w:r>
    </w:p>
    <w:p w14:paraId="2DC2B03D" w14:textId="54BD4367" w:rsidR="0072761E" w:rsidRPr="00127B01" w:rsidRDefault="0072761E" w:rsidP="00AF508F">
      <w:pPr>
        <w:pStyle w:val="ListParagraph"/>
        <w:ind w:left="0"/>
        <w:rPr>
          <w:sz w:val="28"/>
          <w:szCs w:val="28"/>
        </w:rPr>
      </w:pPr>
      <w:r w:rsidRPr="00127B01">
        <w:rPr>
          <w:sz w:val="28"/>
          <w:szCs w:val="28"/>
        </w:rPr>
        <w:t>c)</w:t>
      </w:r>
      <w:r w:rsidR="006C54F3" w:rsidRPr="00127B01">
        <w:rPr>
          <w:sz w:val="28"/>
          <w:szCs w:val="28"/>
        </w:rPr>
        <w:t xml:space="preserve"> </w:t>
      </w:r>
      <w:r w:rsidR="009166C1" w:rsidRPr="00127B01">
        <w:rPr>
          <w:sz w:val="28"/>
          <w:szCs w:val="28"/>
        </w:rPr>
        <w:t xml:space="preserve">Even if the </w:t>
      </w:r>
      <w:r w:rsidR="004C3519" w:rsidRPr="00127B01">
        <w:rPr>
          <w:sz w:val="28"/>
          <w:szCs w:val="28"/>
        </w:rPr>
        <w:t xml:space="preserve">impugned </w:t>
      </w:r>
      <w:r w:rsidR="009166C1" w:rsidRPr="00127B01">
        <w:rPr>
          <w:sz w:val="28"/>
          <w:szCs w:val="28"/>
        </w:rPr>
        <w:t>decisions did relate to the contract</w:t>
      </w:r>
      <w:r w:rsidR="004C3519" w:rsidRPr="00127B01">
        <w:rPr>
          <w:sz w:val="28"/>
          <w:szCs w:val="28"/>
        </w:rPr>
        <w:t xml:space="preserve"> in question</w:t>
      </w:r>
      <w:r w:rsidR="009166C1" w:rsidRPr="00127B01">
        <w:rPr>
          <w:sz w:val="28"/>
          <w:szCs w:val="28"/>
        </w:rPr>
        <w:t xml:space="preserve">, the case was not made out for </w:t>
      </w:r>
      <w:r w:rsidR="00022041" w:rsidRPr="00127B01">
        <w:rPr>
          <w:sz w:val="28"/>
          <w:szCs w:val="28"/>
        </w:rPr>
        <w:t>them to be</w:t>
      </w:r>
      <w:r w:rsidR="009166C1" w:rsidRPr="00127B01">
        <w:rPr>
          <w:sz w:val="28"/>
          <w:szCs w:val="28"/>
        </w:rPr>
        <w:t xml:space="preserve"> review</w:t>
      </w:r>
      <w:r w:rsidR="00022041" w:rsidRPr="00127B01">
        <w:rPr>
          <w:sz w:val="28"/>
          <w:szCs w:val="28"/>
        </w:rPr>
        <w:t>ed</w:t>
      </w:r>
      <w:r w:rsidR="009166C1" w:rsidRPr="00127B01">
        <w:rPr>
          <w:sz w:val="28"/>
          <w:szCs w:val="28"/>
        </w:rPr>
        <w:t>.</w:t>
      </w:r>
    </w:p>
    <w:p w14:paraId="4A80573F" w14:textId="5C758198" w:rsidR="009166C1" w:rsidRPr="00127B01" w:rsidRDefault="009166C1" w:rsidP="00AF508F">
      <w:pPr>
        <w:pStyle w:val="ListParagraph"/>
        <w:ind w:left="0"/>
        <w:rPr>
          <w:sz w:val="28"/>
          <w:szCs w:val="28"/>
        </w:rPr>
      </w:pPr>
      <w:r w:rsidRPr="00127B01">
        <w:rPr>
          <w:sz w:val="28"/>
          <w:szCs w:val="28"/>
        </w:rPr>
        <w:t>d)</w:t>
      </w:r>
      <w:r w:rsidR="006C54F3" w:rsidRPr="00127B01">
        <w:rPr>
          <w:sz w:val="28"/>
          <w:szCs w:val="28"/>
        </w:rPr>
        <w:t xml:space="preserve"> </w:t>
      </w:r>
      <w:r w:rsidRPr="00127B01">
        <w:rPr>
          <w:sz w:val="28"/>
          <w:szCs w:val="28"/>
        </w:rPr>
        <w:t xml:space="preserve">The issue of the validity of the contract was rendered </w:t>
      </w:r>
      <w:r w:rsidRPr="00127B01">
        <w:rPr>
          <w:i/>
          <w:iCs/>
          <w:sz w:val="28"/>
          <w:szCs w:val="28"/>
        </w:rPr>
        <w:t>res judicata</w:t>
      </w:r>
      <w:r w:rsidRPr="00127B01">
        <w:rPr>
          <w:sz w:val="28"/>
          <w:szCs w:val="28"/>
        </w:rPr>
        <w:t xml:space="preserve"> by the default judgment.</w:t>
      </w:r>
    </w:p>
    <w:p w14:paraId="4D4AF579" w14:textId="4128FC4D" w:rsidR="009E3B44" w:rsidRPr="00127B01" w:rsidRDefault="00B21076" w:rsidP="00B21076">
      <w:pPr>
        <w:pStyle w:val="ListParagraph"/>
        <w:ind w:left="0"/>
        <w:rPr>
          <w:sz w:val="28"/>
          <w:szCs w:val="28"/>
        </w:rPr>
      </w:pPr>
      <w:r w:rsidRPr="00127B01">
        <w:rPr>
          <w:sz w:val="28"/>
          <w:szCs w:val="28"/>
        </w:rPr>
        <w:t xml:space="preserve">Beshe J </w:t>
      </w:r>
      <w:r w:rsidR="00022041" w:rsidRPr="00127B01">
        <w:rPr>
          <w:sz w:val="28"/>
          <w:szCs w:val="28"/>
        </w:rPr>
        <w:t>dealt wi</w:t>
      </w:r>
      <w:r w:rsidRPr="00127B01">
        <w:rPr>
          <w:sz w:val="28"/>
          <w:szCs w:val="28"/>
        </w:rPr>
        <w:t>th these defences and based her decision on some of them.</w:t>
      </w:r>
    </w:p>
    <w:p w14:paraId="627C1C78" w14:textId="5FC3F523" w:rsidR="0071597E" w:rsidRPr="001D56C6" w:rsidRDefault="001D56C6" w:rsidP="001D56C6">
      <w:pPr>
        <w:rPr>
          <w:sz w:val="28"/>
          <w:szCs w:val="28"/>
        </w:rPr>
      </w:pPr>
      <w:r w:rsidRPr="00127B01">
        <w:rPr>
          <w:sz w:val="28"/>
          <w:szCs w:val="28"/>
        </w:rPr>
        <w:lastRenderedPageBreak/>
        <w:t>[12]</w:t>
      </w:r>
      <w:r w:rsidRPr="00127B01">
        <w:rPr>
          <w:sz w:val="28"/>
          <w:szCs w:val="28"/>
        </w:rPr>
        <w:tab/>
      </w:r>
      <w:r w:rsidR="009E3B44" w:rsidRPr="001D56C6">
        <w:rPr>
          <w:sz w:val="28"/>
          <w:szCs w:val="28"/>
        </w:rPr>
        <w:t>In the view I t</w:t>
      </w:r>
      <w:r w:rsidR="00F01EA3" w:rsidRPr="001D56C6">
        <w:rPr>
          <w:sz w:val="28"/>
          <w:szCs w:val="28"/>
        </w:rPr>
        <w:t xml:space="preserve">ake of the matter, </w:t>
      </w:r>
      <w:r w:rsidR="00B21076" w:rsidRPr="001D56C6">
        <w:rPr>
          <w:sz w:val="28"/>
          <w:szCs w:val="28"/>
        </w:rPr>
        <w:t xml:space="preserve">however, </w:t>
      </w:r>
      <w:r w:rsidR="00F01EA3" w:rsidRPr="001D56C6">
        <w:rPr>
          <w:sz w:val="28"/>
          <w:szCs w:val="28"/>
        </w:rPr>
        <w:t>th</w:t>
      </w:r>
      <w:r w:rsidR="00572FE6" w:rsidRPr="001D56C6">
        <w:rPr>
          <w:sz w:val="28"/>
          <w:szCs w:val="28"/>
        </w:rPr>
        <w:t>e</w:t>
      </w:r>
      <w:r w:rsidR="00B21076" w:rsidRPr="001D56C6">
        <w:rPr>
          <w:sz w:val="28"/>
          <w:szCs w:val="28"/>
        </w:rPr>
        <w:t>se defences</w:t>
      </w:r>
      <w:r w:rsidR="00572FE6" w:rsidRPr="001D56C6">
        <w:rPr>
          <w:sz w:val="28"/>
          <w:szCs w:val="28"/>
        </w:rPr>
        <w:t xml:space="preserve"> need not </w:t>
      </w:r>
      <w:r w:rsidR="00C32703" w:rsidRPr="001D56C6">
        <w:rPr>
          <w:sz w:val="28"/>
          <w:szCs w:val="28"/>
        </w:rPr>
        <w:t>be determined. It is preferable to go to the heart of the relief sought by the Department</w:t>
      </w:r>
      <w:r w:rsidR="00981970" w:rsidRPr="001D56C6">
        <w:rPr>
          <w:sz w:val="28"/>
          <w:szCs w:val="28"/>
        </w:rPr>
        <w:t>s</w:t>
      </w:r>
      <w:r w:rsidR="00E27950" w:rsidRPr="001D56C6">
        <w:rPr>
          <w:sz w:val="28"/>
          <w:szCs w:val="28"/>
        </w:rPr>
        <w:t xml:space="preserve">. As mentioned, the </w:t>
      </w:r>
      <w:r w:rsidR="00410B3A" w:rsidRPr="001D56C6">
        <w:rPr>
          <w:sz w:val="28"/>
          <w:szCs w:val="28"/>
        </w:rPr>
        <w:t>object of the relief sought in p</w:t>
      </w:r>
      <w:r w:rsidR="00022041" w:rsidRPr="001D56C6">
        <w:rPr>
          <w:sz w:val="28"/>
          <w:szCs w:val="28"/>
        </w:rPr>
        <w:t>rayers</w:t>
      </w:r>
      <w:r w:rsidR="000A34A7" w:rsidRPr="001D56C6">
        <w:rPr>
          <w:sz w:val="28"/>
          <w:szCs w:val="28"/>
        </w:rPr>
        <w:t xml:space="preserve"> 1</w:t>
      </w:r>
      <w:r w:rsidR="005B0DB9" w:rsidRPr="001D56C6">
        <w:rPr>
          <w:sz w:val="28"/>
          <w:szCs w:val="28"/>
        </w:rPr>
        <w:t>-</w:t>
      </w:r>
      <w:r w:rsidR="00CF2B33" w:rsidRPr="001D56C6">
        <w:rPr>
          <w:sz w:val="28"/>
          <w:szCs w:val="28"/>
        </w:rPr>
        <w:t>3</w:t>
      </w:r>
      <w:r w:rsidR="000A34A7" w:rsidRPr="001D56C6">
        <w:rPr>
          <w:sz w:val="28"/>
          <w:szCs w:val="28"/>
        </w:rPr>
        <w:t xml:space="preserve"> of the </w:t>
      </w:r>
      <w:r w:rsidR="00A671AC" w:rsidRPr="001D56C6">
        <w:rPr>
          <w:sz w:val="28"/>
          <w:szCs w:val="28"/>
        </w:rPr>
        <w:t>n</w:t>
      </w:r>
      <w:r w:rsidR="000A34A7" w:rsidRPr="001D56C6">
        <w:rPr>
          <w:sz w:val="28"/>
          <w:szCs w:val="28"/>
        </w:rPr>
        <w:t xml:space="preserve">otice of </w:t>
      </w:r>
      <w:r w:rsidR="00A671AC" w:rsidRPr="001D56C6">
        <w:rPr>
          <w:sz w:val="28"/>
          <w:szCs w:val="28"/>
        </w:rPr>
        <w:t>m</w:t>
      </w:r>
      <w:r w:rsidR="000A34A7" w:rsidRPr="001D56C6">
        <w:rPr>
          <w:sz w:val="28"/>
          <w:szCs w:val="28"/>
        </w:rPr>
        <w:t>otion</w:t>
      </w:r>
      <w:r w:rsidR="00CF2B33" w:rsidRPr="001D56C6">
        <w:rPr>
          <w:sz w:val="28"/>
          <w:szCs w:val="28"/>
        </w:rPr>
        <w:t xml:space="preserve"> was the relief under p</w:t>
      </w:r>
      <w:r w:rsidR="00022041" w:rsidRPr="001D56C6">
        <w:rPr>
          <w:sz w:val="28"/>
          <w:szCs w:val="28"/>
        </w:rPr>
        <w:t>rayer</w:t>
      </w:r>
      <w:r w:rsidR="00CF2B33" w:rsidRPr="001D56C6">
        <w:rPr>
          <w:sz w:val="28"/>
          <w:szCs w:val="28"/>
        </w:rPr>
        <w:t xml:space="preserve"> 4.</w:t>
      </w:r>
      <w:r w:rsidR="00026A00" w:rsidRPr="001D56C6">
        <w:rPr>
          <w:sz w:val="28"/>
          <w:szCs w:val="28"/>
        </w:rPr>
        <w:t xml:space="preserve"> All of the relief flowed from</w:t>
      </w:r>
      <w:r w:rsidR="00E756FB" w:rsidRPr="001D56C6">
        <w:rPr>
          <w:sz w:val="28"/>
          <w:szCs w:val="28"/>
        </w:rPr>
        <w:t xml:space="preserve"> the provisions of</w:t>
      </w:r>
      <w:r w:rsidR="00E27950" w:rsidRPr="001D56C6">
        <w:rPr>
          <w:sz w:val="28"/>
          <w:szCs w:val="28"/>
        </w:rPr>
        <w:t xml:space="preserve"> s 172(1) of the Constitution. This reads:</w:t>
      </w:r>
    </w:p>
    <w:p w14:paraId="37F6DDB5" w14:textId="3A4D94E1" w:rsidR="003C566C" w:rsidRPr="00127B01" w:rsidRDefault="00994AB5" w:rsidP="003C566C">
      <w:pPr>
        <w:rPr>
          <w:sz w:val="24"/>
          <w:szCs w:val="24"/>
        </w:rPr>
      </w:pPr>
      <w:r w:rsidRPr="00127B01">
        <w:rPr>
          <w:sz w:val="24"/>
          <w:szCs w:val="24"/>
        </w:rPr>
        <w:t>‘</w:t>
      </w:r>
      <w:r w:rsidR="00336B0D" w:rsidRPr="00127B01">
        <w:rPr>
          <w:sz w:val="24"/>
          <w:szCs w:val="24"/>
        </w:rPr>
        <w:t xml:space="preserve">(1) </w:t>
      </w:r>
      <w:r w:rsidR="003C566C" w:rsidRPr="00127B01">
        <w:rPr>
          <w:sz w:val="24"/>
          <w:szCs w:val="24"/>
        </w:rPr>
        <w:t>When deciding a constitutional matter within its power, a court</w:t>
      </w:r>
      <w:r w:rsidR="00336B0D" w:rsidRPr="00127B01">
        <w:rPr>
          <w:sz w:val="24"/>
          <w:szCs w:val="24"/>
        </w:rPr>
        <w:t xml:space="preserve"> – </w:t>
      </w:r>
    </w:p>
    <w:p w14:paraId="14A427D9" w14:textId="3E42382C" w:rsidR="003C566C" w:rsidRPr="00127B01" w:rsidRDefault="003C566C" w:rsidP="003C566C">
      <w:pPr>
        <w:rPr>
          <w:sz w:val="24"/>
          <w:szCs w:val="24"/>
        </w:rPr>
      </w:pPr>
      <w:r w:rsidRPr="00127B01">
        <w:rPr>
          <w:i/>
          <w:iCs/>
          <w:sz w:val="24"/>
          <w:szCs w:val="24"/>
        </w:rPr>
        <w:t>(a)</w:t>
      </w:r>
      <w:r w:rsidRPr="00127B01">
        <w:rPr>
          <w:sz w:val="24"/>
          <w:szCs w:val="24"/>
        </w:rPr>
        <w:t xml:space="preserve"> must declare that any law or conduct that is inconsistent with the Constitution is invalid to the extent of its inconsistency; an</w:t>
      </w:r>
    </w:p>
    <w:p w14:paraId="78996C85" w14:textId="2A5594EA" w:rsidR="003C566C" w:rsidRPr="00127B01" w:rsidRDefault="003C566C" w:rsidP="003C566C">
      <w:pPr>
        <w:rPr>
          <w:sz w:val="24"/>
          <w:szCs w:val="24"/>
        </w:rPr>
      </w:pPr>
      <w:r w:rsidRPr="00127B01">
        <w:rPr>
          <w:i/>
          <w:iCs/>
          <w:sz w:val="24"/>
          <w:szCs w:val="24"/>
        </w:rPr>
        <w:t>(b)</w:t>
      </w:r>
      <w:r w:rsidR="00336B0D" w:rsidRPr="00127B01">
        <w:rPr>
          <w:sz w:val="24"/>
          <w:szCs w:val="24"/>
        </w:rPr>
        <w:t xml:space="preserve"> </w:t>
      </w:r>
      <w:r w:rsidRPr="00127B01">
        <w:rPr>
          <w:sz w:val="24"/>
          <w:szCs w:val="24"/>
        </w:rPr>
        <w:t>may make any order that is just and equitable, including</w:t>
      </w:r>
      <w:r w:rsidR="00336B0D" w:rsidRPr="00127B01">
        <w:rPr>
          <w:sz w:val="24"/>
          <w:szCs w:val="24"/>
        </w:rPr>
        <w:t xml:space="preserve"> – </w:t>
      </w:r>
    </w:p>
    <w:p w14:paraId="30E52F77" w14:textId="0F06B7B3" w:rsidR="003C566C" w:rsidRPr="00127B01" w:rsidRDefault="003C566C" w:rsidP="00D632E8">
      <w:pPr>
        <w:ind w:firstLine="720"/>
        <w:rPr>
          <w:sz w:val="24"/>
          <w:szCs w:val="24"/>
        </w:rPr>
      </w:pPr>
      <w:r w:rsidRPr="00127B01">
        <w:rPr>
          <w:sz w:val="24"/>
          <w:szCs w:val="24"/>
        </w:rPr>
        <w:t>(i) an order limiting the retrospective effect of the declaration of invalidity; and</w:t>
      </w:r>
    </w:p>
    <w:p w14:paraId="15A1AC67" w14:textId="7DE16175" w:rsidR="00E27950" w:rsidRPr="00127B01" w:rsidRDefault="003C566C" w:rsidP="00D632E8">
      <w:pPr>
        <w:ind w:left="720"/>
        <w:rPr>
          <w:sz w:val="24"/>
          <w:szCs w:val="24"/>
        </w:rPr>
      </w:pPr>
      <w:r w:rsidRPr="00127B01">
        <w:rPr>
          <w:sz w:val="24"/>
          <w:szCs w:val="24"/>
        </w:rPr>
        <w:t>(ii) an order suspending the declaration of invalidity for any period and on any conditions, to allow the competent authority to correct the defect.’</w:t>
      </w:r>
    </w:p>
    <w:p w14:paraId="38EB0D47" w14:textId="77777777" w:rsidR="00C148AF" w:rsidRPr="00127B01" w:rsidRDefault="00C148AF" w:rsidP="003C566C">
      <w:pPr>
        <w:pStyle w:val="ListParagraph"/>
        <w:ind w:left="0"/>
        <w:rPr>
          <w:sz w:val="28"/>
          <w:szCs w:val="28"/>
        </w:rPr>
      </w:pPr>
    </w:p>
    <w:p w14:paraId="1898866E" w14:textId="77AFD888" w:rsidR="00C148AF" w:rsidRPr="001D56C6" w:rsidRDefault="001D56C6" w:rsidP="001D56C6">
      <w:pPr>
        <w:rPr>
          <w:sz w:val="28"/>
          <w:szCs w:val="28"/>
        </w:rPr>
      </w:pPr>
      <w:r w:rsidRPr="00127B01">
        <w:rPr>
          <w:sz w:val="28"/>
          <w:szCs w:val="28"/>
        </w:rPr>
        <w:t>[13]</w:t>
      </w:r>
      <w:r w:rsidRPr="00127B01">
        <w:rPr>
          <w:sz w:val="28"/>
          <w:szCs w:val="28"/>
        </w:rPr>
        <w:tab/>
      </w:r>
      <w:r w:rsidR="00C148AF" w:rsidRPr="001D56C6">
        <w:rPr>
          <w:sz w:val="28"/>
          <w:szCs w:val="28"/>
        </w:rPr>
        <w:t xml:space="preserve">I will assume without deciding, for present purposes, that we </w:t>
      </w:r>
      <w:r w:rsidR="00E643BB" w:rsidRPr="001D56C6">
        <w:rPr>
          <w:sz w:val="28"/>
          <w:szCs w:val="28"/>
        </w:rPr>
        <w:t xml:space="preserve">would arrive at the view </w:t>
      </w:r>
      <w:r w:rsidR="00C148AF" w:rsidRPr="001D56C6">
        <w:rPr>
          <w:sz w:val="28"/>
          <w:szCs w:val="28"/>
        </w:rPr>
        <w:t xml:space="preserve">that there are prospects that an appeal court would </w:t>
      </w:r>
      <w:r w:rsidR="00276EA0" w:rsidRPr="001D56C6">
        <w:rPr>
          <w:sz w:val="28"/>
          <w:szCs w:val="28"/>
        </w:rPr>
        <w:t>find</w:t>
      </w:r>
      <w:r w:rsidR="00C148AF" w:rsidRPr="001D56C6">
        <w:rPr>
          <w:sz w:val="28"/>
          <w:szCs w:val="28"/>
        </w:rPr>
        <w:t xml:space="preserve"> that:</w:t>
      </w:r>
    </w:p>
    <w:p w14:paraId="69EBADE1" w14:textId="68BC796E" w:rsidR="0078721F" w:rsidRPr="00127B01" w:rsidRDefault="00C148AF" w:rsidP="00C148AF">
      <w:pPr>
        <w:pStyle w:val="ListParagraph"/>
        <w:ind w:left="0"/>
        <w:rPr>
          <w:sz w:val="28"/>
          <w:szCs w:val="28"/>
        </w:rPr>
      </w:pPr>
      <w:r w:rsidRPr="00127B01">
        <w:rPr>
          <w:sz w:val="28"/>
          <w:szCs w:val="28"/>
        </w:rPr>
        <w:t>a)</w:t>
      </w:r>
      <w:r w:rsidR="00336B0D" w:rsidRPr="00127B01">
        <w:rPr>
          <w:sz w:val="28"/>
          <w:szCs w:val="28"/>
        </w:rPr>
        <w:t xml:space="preserve"> </w:t>
      </w:r>
      <w:r w:rsidR="0078721F" w:rsidRPr="00127B01">
        <w:rPr>
          <w:sz w:val="28"/>
          <w:szCs w:val="28"/>
        </w:rPr>
        <w:t>The impugned decisions were those which led to the contract on which the default judgment was granted.</w:t>
      </w:r>
    </w:p>
    <w:p w14:paraId="2E69D7BE" w14:textId="0B04D4AF" w:rsidR="00C148AF" w:rsidRPr="00127B01" w:rsidRDefault="002801C3" w:rsidP="00C148AF">
      <w:pPr>
        <w:pStyle w:val="ListParagraph"/>
        <w:ind w:left="0"/>
        <w:rPr>
          <w:sz w:val="28"/>
          <w:szCs w:val="28"/>
        </w:rPr>
      </w:pPr>
      <w:r w:rsidRPr="00127B01">
        <w:rPr>
          <w:sz w:val="28"/>
          <w:szCs w:val="28"/>
        </w:rPr>
        <w:t>b)</w:t>
      </w:r>
      <w:r w:rsidR="00336B0D" w:rsidRPr="00127B01">
        <w:rPr>
          <w:sz w:val="28"/>
          <w:szCs w:val="28"/>
        </w:rPr>
        <w:t xml:space="preserve"> </w:t>
      </w:r>
      <w:r w:rsidR="00C148AF" w:rsidRPr="00127B01">
        <w:rPr>
          <w:sz w:val="28"/>
          <w:szCs w:val="28"/>
        </w:rPr>
        <w:t xml:space="preserve">The </w:t>
      </w:r>
      <w:r w:rsidR="000063E1" w:rsidRPr="00127B01">
        <w:rPr>
          <w:sz w:val="28"/>
          <w:szCs w:val="28"/>
        </w:rPr>
        <w:t>delay in the</w:t>
      </w:r>
      <w:r w:rsidR="00C148AF" w:rsidRPr="00127B01">
        <w:rPr>
          <w:sz w:val="28"/>
          <w:szCs w:val="28"/>
        </w:rPr>
        <w:t xml:space="preserve"> self-review </w:t>
      </w:r>
      <w:r w:rsidR="00B00051" w:rsidRPr="00127B01">
        <w:rPr>
          <w:sz w:val="28"/>
          <w:szCs w:val="28"/>
        </w:rPr>
        <w:t xml:space="preserve">did not non-suit the Departments </w:t>
      </w:r>
      <w:r w:rsidR="00C148AF" w:rsidRPr="00127B01">
        <w:rPr>
          <w:sz w:val="28"/>
          <w:szCs w:val="28"/>
        </w:rPr>
        <w:t>despite</w:t>
      </w:r>
      <w:r w:rsidR="00B00051" w:rsidRPr="00127B01">
        <w:rPr>
          <w:sz w:val="28"/>
          <w:szCs w:val="28"/>
        </w:rPr>
        <w:t xml:space="preserve"> their</w:t>
      </w:r>
      <w:r w:rsidR="00C148AF" w:rsidRPr="00127B01">
        <w:rPr>
          <w:sz w:val="28"/>
          <w:szCs w:val="28"/>
        </w:rPr>
        <w:t xml:space="preserve"> not having </w:t>
      </w:r>
      <w:r w:rsidR="005D06B9" w:rsidRPr="00127B01">
        <w:rPr>
          <w:sz w:val="28"/>
          <w:szCs w:val="28"/>
        </w:rPr>
        <w:t>launched it</w:t>
      </w:r>
      <w:r w:rsidR="00C148AF" w:rsidRPr="00127B01">
        <w:rPr>
          <w:sz w:val="28"/>
          <w:szCs w:val="28"/>
        </w:rPr>
        <w:t xml:space="preserve"> since 2007 when</w:t>
      </w:r>
      <w:r w:rsidR="00B00051" w:rsidRPr="00127B01">
        <w:rPr>
          <w:sz w:val="28"/>
          <w:szCs w:val="28"/>
        </w:rPr>
        <w:t xml:space="preserve"> they</w:t>
      </w:r>
      <w:r w:rsidR="00C148AF" w:rsidRPr="00127B01">
        <w:rPr>
          <w:sz w:val="28"/>
          <w:szCs w:val="28"/>
        </w:rPr>
        <w:t xml:space="preserve"> first became aware of the alleged</w:t>
      </w:r>
      <w:r w:rsidR="00B00051" w:rsidRPr="00127B01">
        <w:rPr>
          <w:sz w:val="28"/>
          <w:szCs w:val="28"/>
        </w:rPr>
        <w:t xml:space="preserve"> invalidity</w:t>
      </w:r>
      <w:r w:rsidR="00C148AF" w:rsidRPr="00127B01">
        <w:rPr>
          <w:sz w:val="28"/>
          <w:szCs w:val="28"/>
        </w:rPr>
        <w:t>.</w:t>
      </w:r>
    </w:p>
    <w:p w14:paraId="2D866D31" w14:textId="404156E0" w:rsidR="00C148AF" w:rsidRPr="00127B01" w:rsidRDefault="00B00051" w:rsidP="00C148AF">
      <w:pPr>
        <w:pStyle w:val="ListParagraph"/>
        <w:ind w:left="0"/>
        <w:rPr>
          <w:sz w:val="28"/>
          <w:szCs w:val="28"/>
        </w:rPr>
      </w:pPr>
      <w:r w:rsidRPr="00127B01">
        <w:rPr>
          <w:sz w:val="28"/>
          <w:szCs w:val="28"/>
        </w:rPr>
        <w:t>c</w:t>
      </w:r>
      <w:r w:rsidR="00C148AF" w:rsidRPr="00127B01">
        <w:rPr>
          <w:sz w:val="28"/>
          <w:szCs w:val="28"/>
        </w:rPr>
        <w:t>)</w:t>
      </w:r>
      <w:r w:rsidR="00336B0D" w:rsidRPr="00127B01">
        <w:rPr>
          <w:sz w:val="28"/>
          <w:szCs w:val="28"/>
        </w:rPr>
        <w:t xml:space="preserve"> </w:t>
      </w:r>
      <w:r w:rsidR="00C148AF" w:rsidRPr="00127B01">
        <w:rPr>
          <w:sz w:val="28"/>
          <w:szCs w:val="28"/>
        </w:rPr>
        <w:t>The Department</w:t>
      </w:r>
      <w:r w:rsidR="00767127" w:rsidRPr="00127B01">
        <w:rPr>
          <w:sz w:val="28"/>
          <w:szCs w:val="28"/>
        </w:rPr>
        <w:t>s</w:t>
      </w:r>
      <w:r w:rsidR="00C148AF" w:rsidRPr="00127B01">
        <w:rPr>
          <w:sz w:val="28"/>
          <w:szCs w:val="28"/>
        </w:rPr>
        <w:t xml:space="preserve"> had made out a case that </w:t>
      </w:r>
      <w:r w:rsidRPr="00127B01">
        <w:rPr>
          <w:sz w:val="28"/>
          <w:szCs w:val="28"/>
        </w:rPr>
        <w:t>the</w:t>
      </w:r>
      <w:r w:rsidR="00C148AF" w:rsidRPr="00127B01">
        <w:rPr>
          <w:sz w:val="28"/>
          <w:szCs w:val="28"/>
        </w:rPr>
        <w:t xml:space="preserve"> impugned decisions amounted to ‘conduct that is inconsistent with the Constitution’. </w:t>
      </w:r>
    </w:p>
    <w:p w14:paraId="1917AA20" w14:textId="37125276" w:rsidR="00C148AF" w:rsidRPr="00127B01" w:rsidRDefault="00B00051" w:rsidP="00C148AF">
      <w:pPr>
        <w:pStyle w:val="ListParagraph"/>
        <w:ind w:left="0"/>
        <w:rPr>
          <w:sz w:val="28"/>
          <w:szCs w:val="28"/>
        </w:rPr>
      </w:pPr>
      <w:r w:rsidRPr="00127B01">
        <w:rPr>
          <w:sz w:val="28"/>
          <w:szCs w:val="28"/>
        </w:rPr>
        <w:t>d</w:t>
      </w:r>
      <w:r w:rsidR="00C148AF" w:rsidRPr="00127B01">
        <w:rPr>
          <w:sz w:val="28"/>
          <w:szCs w:val="28"/>
        </w:rPr>
        <w:t>)</w:t>
      </w:r>
      <w:r w:rsidR="00336B0D" w:rsidRPr="00127B01">
        <w:rPr>
          <w:sz w:val="28"/>
          <w:szCs w:val="28"/>
        </w:rPr>
        <w:t xml:space="preserve"> </w:t>
      </w:r>
      <w:r w:rsidR="00C148AF" w:rsidRPr="00127B01">
        <w:rPr>
          <w:sz w:val="28"/>
          <w:szCs w:val="28"/>
        </w:rPr>
        <w:t>The decisions accordingly fell to be declared invalid as envisaged in s 172(1)</w:t>
      </w:r>
      <w:r w:rsidR="00C148AF" w:rsidRPr="00127B01">
        <w:rPr>
          <w:i/>
          <w:iCs/>
          <w:sz w:val="28"/>
          <w:szCs w:val="28"/>
        </w:rPr>
        <w:t>(a)</w:t>
      </w:r>
      <w:r w:rsidR="00C148AF" w:rsidRPr="00127B01">
        <w:rPr>
          <w:sz w:val="28"/>
          <w:szCs w:val="28"/>
        </w:rPr>
        <w:t xml:space="preserve"> and orders issue</w:t>
      </w:r>
      <w:r w:rsidR="00FD5FC5" w:rsidRPr="00127B01">
        <w:rPr>
          <w:sz w:val="28"/>
          <w:szCs w:val="28"/>
        </w:rPr>
        <w:t>d</w:t>
      </w:r>
      <w:r w:rsidR="00C148AF" w:rsidRPr="00127B01">
        <w:rPr>
          <w:sz w:val="28"/>
          <w:szCs w:val="28"/>
        </w:rPr>
        <w:t xml:space="preserve"> in terms of p</w:t>
      </w:r>
      <w:r w:rsidRPr="00127B01">
        <w:rPr>
          <w:sz w:val="28"/>
          <w:szCs w:val="28"/>
        </w:rPr>
        <w:t>rayers</w:t>
      </w:r>
      <w:r w:rsidR="00C148AF" w:rsidRPr="00127B01">
        <w:rPr>
          <w:sz w:val="28"/>
          <w:szCs w:val="28"/>
        </w:rPr>
        <w:t xml:space="preserve"> 1 and 2 of the </w:t>
      </w:r>
      <w:r w:rsidR="00FD5FC5" w:rsidRPr="00127B01">
        <w:rPr>
          <w:sz w:val="28"/>
          <w:szCs w:val="28"/>
        </w:rPr>
        <w:t>n</w:t>
      </w:r>
      <w:r w:rsidR="00C148AF" w:rsidRPr="00127B01">
        <w:rPr>
          <w:sz w:val="28"/>
          <w:szCs w:val="28"/>
        </w:rPr>
        <w:t xml:space="preserve">otice of </w:t>
      </w:r>
      <w:r w:rsidR="00FD5FC5" w:rsidRPr="00127B01">
        <w:rPr>
          <w:sz w:val="28"/>
          <w:szCs w:val="28"/>
        </w:rPr>
        <w:t>m</w:t>
      </w:r>
      <w:r w:rsidR="00C148AF" w:rsidRPr="00127B01">
        <w:rPr>
          <w:sz w:val="28"/>
          <w:szCs w:val="28"/>
        </w:rPr>
        <w:t xml:space="preserve">otion. </w:t>
      </w:r>
    </w:p>
    <w:p w14:paraId="6AFFF533" w14:textId="1A6B2367" w:rsidR="00A671AC" w:rsidRPr="00127B01" w:rsidRDefault="00A671AC" w:rsidP="00C148AF">
      <w:pPr>
        <w:pStyle w:val="ListParagraph"/>
        <w:ind w:left="0"/>
        <w:rPr>
          <w:sz w:val="28"/>
          <w:szCs w:val="28"/>
        </w:rPr>
      </w:pPr>
      <w:r w:rsidRPr="00127B01">
        <w:rPr>
          <w:sz w:val="28"/>
          <w:szCs w:val="28"/>
        </w:rPr>
        <w:t>e</w:t>
      </w:r>
      <w:r w:rsidR="00C148AF" w:rsidRPr="00127B01">
        <w:rPr>
          <w:sz w:val="28"/>
          <w:szCs w:val="28"/>
        </w:rPr>
        <w:t>)</w:t>
      </w:r>
      <w:r w:rsidR="00336B0D" w:rsidRPr="00127B01">
        <w:rPr>
          <w:sz w:val="28"/>
          <w:szCs w:val="28"/>
        </w:rPr>
        <w:t xml:space="preserve"> </w:t>
      </w:r>
      <w:r w:rsidR="005468A2" w:rsidRPr="00127B01">
        <w:rPr>
          <w:sz w:val="28"/>
          <w:szCs w:val="28"/>
        </w:rPr>
        <w:t xml:space="preserve">The issue of the validity of the contract is not </w:t>
      </w:r>
      <w:r w:rsidR="005468A2" w:rsidRPr="00127B01">
        <w:rPr>
          <w:i/>
          <w:iCs/>
          <w:sz w:val="28"/>
          <w:szCs w:val="28"/>
        </w:rPr>
        <w:t>res judicata</w:t>
      </w:r>
      <w:r w:rsidR="005468A2" w:rsidRPr="00127B01">
        <w:rPr>
          <w:sz w:val="28"/>
          <w:szCs w:val="28"/>
        </w:rPr>
        <w:t>.</w:t>
      </w:r>
    </w:p>
    <w:p w14:paraId="64D482D4" w14:textId="67CB48E1" w:rsidR="00C148AF" w:rsidRPr="00127B01" w:rsidRDefault="005468A2" w:rsidP="00C148AF">
      <w:pPr>
        <w:pStyle w:val="ListParagraph"/>
        <w:ind w:left="0"/>
        <w:rPr>
          <w:sz w:val="28"/>
          <w:szCs w:val="28"/>
        </w:rPr>
      </w:pPr>
      <w:r w:rsidRPr="00127B01">
        <w:rPr>
          <w:sz w:val="28"/>
          <w:szCs w:val="28"/>
        </w:rPr>
        <w:t>f)</w:t>
      </w:r>
      <w:r w:rsidR="00336B0D" w:rsidRPr="00127B01">
        <w:rPr>
          <w:sz w:val="28"/>
          <w:szCs w:val="28"/>
        </w:rPr>
        <w:t xml:space="preserve"> </w:t>
      </w:r>
      <w:r w:rsidR="00EC16F6" w:rsidRPr="00127B01">
        <w:rPr>
          <w:sz w:val="28"/>
          <w:szCs w:val="28"/>
        </w:rPr>
        <w:t>A declaration s</w:t>
      </w:r>
      <w:r w:rsidR="00C148AF" w:rsidRPr="00127B01">
        <w:rPr>
          <w:sz w:val="28"/>
          <w:szCs w:val="28"/>
        </w:rPr>
        <w:t>hould</w:t>
      </w:r>
      <w:r w:rsidR="00EC16F6" w:rsidRPr="00127B01">
        <w:rPr>
          <w:sz w:val="28"/>
          <w:szCs w:val="28"/>
        </w:rPr>
        <w:t xml:space="preserve"> </w:t>
      </w:r>
      <w:r w:rsidR="00FD5FC5" w:rsidRPr="00127B01">
        <w:rPr>
          <w:sz w:val="28"/>
          <w:szCs w:val="28"/>
        </w:rPr>
        <w:t>be mad</w:t>
      </w:r>
      <w:r w:rsidR="00EC16F6" w:rsidRPr="00127B01">
        <w:rPr>
          <w:sz w:val="28"/>
          <w:szCs w:val="28"/>
        </w:rPr>
        <w:t>e</w:t>
      </w:r>
      <w:r w:rsidR="00C148AF" w:rsidRPr="00127B01">
        <w:rPr>
          <w:sz w:val="28"/>
          <w:szCs w:val="28"/>
        </w:rPr>
        <w:t xml:space="preserve"> that the contract was void </w:t>
      </w:r>
      <w:r w:rsidR="00C148AF" w:rsidRPr="00127B01">
        <w:rPr>
          <w:i/>
          <w:iCs/>
          <w:sz w:val="28"/>
          <w:szCs w:val="28"/>
        </w:rPr>
        <w:t>ab initio</w:t>
      </w:r>
      <w:r w:rsidR="00C148AF" w:rsidRPr="00127B01">
        <w:rPr>
          <w:sz w:val="28"/>
          <w:szCs w:val="28"/>
        </w:rPr>
        <w:t>.</w:t>
      </w:r>
      <w:r w:rsidR="002B65D3" w:rsidRPr="00127B01">
        <w:rPr>
          <w:rStyle w:val="FootnoteReference"/>
          <w:sz w:val="28"/>
          <w:szCs w:val="28"/>
        </w:rPr>
        <w:footnoteReference w:id="3"/>
      </w:r>
    </w:p>
    <w:p w14:paraId="617D2669" w14:textId="77777777" w:rsidR="00C148AF" w:rsidRPr="00127B01" w:rsidRDefault="00C148AF" w:rsidP="00C148AF">
      <w:pPr>
        <w:pStyle w:val="ListParagraph"/>
        <w:ind w:left="0"/>
        <w:rPr>
          <w:sz w:val="28"/>
          <w:szCs w:val="28"/>
        </w:rPr>
      </w:pPr>
    </w:p>
    <w:p w14:paraId="142A3765" w14:textId="371A1065" w:rsidR="007E0B96" w:rsidRPr="001D56C6" w:rsidRDefault="001D56C6" w:rsidP="001D56C6">
      <w:pPr>
        <w:rPr>
          <w:sz w:val="28"/>
          <w:szCs w:val="28"/>
        </w:rPr>
      </w:pPr>
      <w:r w:rsidRPr="00127B01">
        <w:rPr>
          <w:sz w:val="28"/>
          <w:szCs w:val="28"/>
        </w:rPr>
        <w:lastRenderedPageBreak/>
        <w:t>[14]</w:t>
      </w:r>
      <w:r w:rsidRPr="00127B01">
        <w:rPr>
          <w:sz w:val="28"/>
          <w:szCs w:val="28"/>
        </w:rPr>
        <w:tab/>
      </w:r>
      <w:r w:rsidR="001C0672" w:rsidRPr="001D56C6">
        <w:rPr>
          <w:sz w:val="28"/>
          <w:szCs w:val="28"/>
        </w:rPr>
        <w:t xml:space="preserve">That brings into focus the </w:t>
      </w:r>
      <w:r w:rsidR="00AC1654" w:rsidRPr="001D56C6">
        <w:rPr>
          <w:sz w:val="28"/>
          <w:szCs w:val="28"/>
        </w:rPr>
        <w:t xml:space="preserve">sole remaining issue </w:t>
      </w:r>
      <w:r w:rsidR="005D06B9" w:rsidRPr="001D56C6">
        <w:rPr>
          <w:sz w:val="28"/>
          <w:szCs w:val="28"/>
        </w:rPr>
        <w:t>being</w:t>
      </w:r>
      <w:r w:rsidR="00AC1654" w:rsidRPr="001D56C6">
        <w:rPr>
          <w:sz w:val="28"/>
          <w:szCs w:val="28"/>
        </w:rPr>
        <w:t xml:space="preserve"> </w:t>
      </w:r>
      <w:r w:rsidR="003779FC" w:rsidRPr="001D56C6">
        <w:rPr>
          <w:sz w:val="28"/>
          <w:szCs w:val="28"/>
        </w:rPr>
        <w:t>the</w:t>
      </w:r>
      <w:r w:rsidR="00AC1654" w:rsidRPr="001D56C6">
        <w:rPr>
          <w:sz w:val="28"/>
          <w:szCs w:val="28"/>
        </w:rPr>
        <w:t xml:space="preserve"> order s</w:t>
      </w:r>
      <w:r w:rsidR="003779FC" w:rsidRPr="001D56C6">
        <w:rPr>
          <w:sz w:val="28"/>
          <w:szCs w:val="28"/>
        </w:rPr>
        <w:t>ought in</w:t>
      </w:r>
      <w:r w:rsidR="00AC1654" w:rsidRPr="001D56C6">
        <w:rPr>
          <w:sz w:val="28"/>
          <w:szCs w:val="28"/>
        </w:rPr>
        <w:t xml:space="preserve"> p</w:t>
      </w:r>
      <w:r w:rsidR="003779FC" w:rsidRPr="001D56C6">
        <w:rPr>
          <w:sz w:val="28"/>
          <w:szCs w:val="28"/>
        </w:rPr>
        <w:t>rayer</w:t>
      </w:r>
      <w:r w:rsidR="00AC1654" w:rsidRPr="001D56C6">
        <w:rPr>
          <w:sz w:val="28"/>
          <w:szCs w:val="28"/>
        </w:rPr>
        <w:t xml:space="preserve"> 4</w:t>
      </w:r>
      <w:r w:rsidR="003779FC" w:rsidRPr="001D56C6">
        <w:rPr>
          <w:sz w:val="28"/>
          <w:szCs w:val="28"/>
        </w:rPr>
        <w:t xml:space="preserve"> of the notice of motion</w:t>
      </w:r>
      <w:r w:rsidR="00AC1654" w:rsidRPr="001D56C6">
        <w:rPr>
          <w:sz w:val="28"/>
          <w:szCs w:val="28"/>
        </w:rPr>
        <w:t xml:space="preserve">. </w:t>
      </w:r>
      <w:r w:rsidR="000C7CAD" w:rsidRPr="001D56C6">
        <w:rPr>
          <w:sz w:val="28"/>
          <w:szCs w:val="28"/>
        </w:rPr>
        <w:t>Such an order would be based on</w:t>
      </w:r>
      <w:r w:rsidR="00AC1654" w:rsidRPr="001D56C6">
        <w:rPr>
          <w:sz w:val="28"/>
          <w:szCs w:val="28"/>
        </w:rPr>
        <w:t xml:space="preserve"> the </w:t>
      </w:r>
      <w:r w:rsidR="001C0672" w:rsidRPr="001D56C6">
        <w:rPr>
          <w:sz w:val="28"/>
          <w:szCs w:val="28"/>
        </w:rPr>
        <w:t>provisions of s 172(1)</w:t>
      </w:r>
      <w:r w:rsidR="001C0672" w:rsidRPr="001D56C6">
        <w:rPr>
          <w:i/>
          <w:iCs/>
          <w:sz w:val="28"/>
          <w:szCs w:val="28"/>
        </w:rPr>
        <w:t>(b)</w:t>
      </w:r>
      <w:r w:rsidR="00336B0D" w:rsidRPr="001D56C6">
        <w:rPr>
          <w:i/>
          <w:iCs/>
          <w:sz w:val="28"/>
          <w:szCs w:val="28"/>
        </w:rPr>
        <w:t>,</w:t>
      </w:r>
      <w:r w:rsidR="001C0672" w:rsidRPr="001D56C6">
        <w:rPr>
          <w:sz w:val="28"/>
          <w:szCs w:val="28"/>
        </w:rPr>
        <w:t xml:space="preserve"> which empower</w:t>
      </w:r>
      <w:r w:rsidR="000C7CAD" w:rsidRPr="001D56C6">
        <w:rPr>
          <w:sz w:val="28"/>
          <w:szCs w:val="28"/>
        </w:rPr>
        <w:t>s</w:t>
      </w:r>
      <w:r w:rsidR="001C0672" w:rsidRPr="001D56C6">
        <w:rPr>
          <w:sz w:val="28"/>
          <w:szCs w:val="28"/>
        </w:rPr>
        <w:t xml:space="preserve"> a court to make an order that is just and equitable.</w:t>
      </w:r>
      <w:r w:rsidR="00C44813" w:rsidRPr="00127B01">
        <w:rPr>
          <w:rStyle w:val="FootnoteReference"/>
          <w:sz w:val="28"/>
          <w:szCs w:val="28"/>
        </w:rPr>
        <w:footnoteReference w:id="4"/>
      </w:r>
      <w:r w:rsidR="00C44813" w:rsidRPr="001D56C6">
        <w:rPr>
          <w:sz w:val="28"/>
          <w:szCs w:val="28"/>
        </w:rPr>
        <w:t xml:space="preserve"> </w:t>
      </w:r>
      <w:r w:rsidR="00B000B3" w:rsidRPr="001D56C6">
        <w:rPr>
          <w:sz w:val="28"/>
          <w:szCs w:val="28"/>
        </w:rPr>
        <w:t xml:space="preserve">For the </w:t>
      </w:r>
      <w:r w:rsidR="000E02BE" w:rsidRPr="001D56C6">
        <w:rPr>
          <w:sz w:val="28"/>
          <w:szCs w:val="28"/>
        </w:rPr>
        <w:t>application for leave to appeal</w:t>
      </w:r>
      <w:r w:rsidR="00677796" w:rsidRPr="001D56C6">
        <w:rPr>
          <w:sz w:val="28"/>
          <w:szCs w:val="28"/>
        </w:rPr>
        <w:t xml:space="preserve"> </w:t>
      </w:r>
      <w:r w:rsidR="00B000B3" w:rsidRPr="001D56C6">
        <w:rPr>
          <w:sz w:val="28"/>
          <w:szCs w:val="28"/>
        </w:rPr>
        <w:t xml:space="preserve">to succeed, </w:t>
      </w:r>
      <w:r w:rsidR="004D0235" w:rsidRPr="001D56C6">
        <w:rPr>
          <w:sz w:val="28"/>
          <w:szCs w:val="28"/>
        </w:rPr>
        <w:t>this Court</w:t>
      </w:r>
      <w:r w:rsidR="00607E22" w:rsidRPr="001D56C6">
        <w:rPr>
          <w:sz w:val="28"/>
          <w:szCs w:val="28"/>
        </w:rPr>
        <w:t xml:space="preserve"> </w:t>
      </w:r>
      <w:r w:rsidR="00B000B3" w:rsidRPr="001D56C6">
        <w:rPr>
          <w:sz w:val="28"/>
          <w:szCs w:val="28"/>
        </w:rPr>
        <w:t>must be</w:t>
      </w:r>
      <w:r w:rsidR="00F178A8" w:rsidRPr="001D56C6">
        <w:rPr>
          <w:sz w:val="28"/>
          <w:szCs w:val="28"/>
        </w:rPr>
        <w:t xml:space="preserve"> </w:t>
      </w:r>
      <w:r w:rsidR="00D8474C" w:rsidRPr="001D56C6">
        <w:rPr>
          <w:sz w:val="28"/>
          <w:szCs w:val="28"/>
        </w:rPr>
        <w:t>‘</w:t>
      </w:r>
      <w:r w:rsidR="00F178A8" w:rsidRPr="001D56C6">
        <w:rPr>
          <w:sz w:val="28"/>
          <w:szCs w:val="28"/>
        </w:rPr>
        <w:t>of the opinion that . . . the appeal would have a reasonable prospect of success</w:t>
      </w:r>
      <w:r w:rsidR="00230271" w:rsidRPr="001D56C6">
        <w:rPr>
          <w:sz w:val="28"/>
          <w:szCs w:val="28"/>
        </w:rPr>
        <w:t>’</w:t>
      </w:r>
      <w:r w:rsidR="00F6098E" w:rsidRPr="001D56C6">
        <w:rPr>
          <w:sz w:val="28"/>
          <w:szCs w:val="28"/>
        </w:rPr>
        <w:t>.</w:t>
      </w:r>
      <w:r w:rsidR="00677796" w:rsidRPr="001D56C6">
        <w:rPr>
          <w:sz w:val="28"/>
          <w:szCs w:val="28"/>
        </w:rPr>
        <w:t xml:space="preserve"> </w:t>
      </w:r>
      <w:r w:rsidR="00F6098E" w:rsidRPr="001D56C6">
        <w:rPr>
          <w:sz w:val="28"/>
          <w:szCs w:val="28"/>
        </w:rPr>
        <w:t>In other words</w:t>
      </w:r>
      <w:r w:rsidR="00556D4B" w:rsidRPr="001D56C6">
        <w:rPr>
          <w:sz w:val="28"/>
          <w:szCs w:val="28"/>
        </w:rPr>
        <w:t xml:space="preserve"> that </w:t>
      </w:r>
      <w:r w:rsidR="00282AFD" w:rsidRPr="001D56C6">
        <w:rPr>
          <w:sz w:val="28"/>
          <w:szCs w:val="28"/>
        </w:rPr>
        <w:t xml:space="preserve">there </w:t>
      </w:r>
      <w:r w:rsidR="005D06B9" w:rsidRPr="001D56C6">
        <w:rPr>
          <w:sz w:val="28"/>
          <w:szCs w:val="28"/>
        </w:rPr>
        <w:t xml:space="preserve">is </w:t>
      </w:r>
      <w:r w:rsidR="00282AFD" w:rsidRPr="001D56C6">
        <w:rPr>
          <w:sz w:val="28"/>
          <w:szCs w:val="28"/>
        </w:rPr>
        <w:t>a</w:t>
      </w:r>
      <w:r w:rsidR="00574AC5" w:rsidRPr="001D56C6">
        <w:rPr>
          <w:sz w:val="28"/>
          <w:szCs w:val="28"/>
        </w:rPr>
        <w:t xml:space="preserve"> reasonable</w:t>
      </w:r>
      <w:r w:rsidR="00282AFD" w:rsidRPr="001D56C6">
        <w:rPr>
          <w:sz w:val="28"/>
          <w:szCs w:val="28"/>
        </w:rPr>
        <w:t xml:space="preserve"> prospect that </w:t>
      </w:r>
      <w:r w:rsidR="004D1BC8" w:rsidRPr="001D56C6">
        <w:rPr>
          <w:sz w:val="28"/>
          <w:szCs w:val="28"/>
        </w:rPr>
        <w:t>an</w:t>
      </w:r>
      <w:r w:rsidR="00A65433" w:rsidRPr="001D56C6">
        <w:rPr>
          <w:sz w:val="28"/>
          <w:szCs w:val="28"/>
        </w:rPr>
        <w:t xml:space="preserve"> </w:t>
      </w:r>
      <w:r w:rsidR="00B000B3" w:rsidRPr="001D56C6">
        <w:rPr>
          <w:sz w:val="28"/>
          <w:szCs w:val="28"/>
        </w:rPr>
        <w:t xml:space="preserve">appeal court would find that an </w:t>
      </w:r>
      <w:r w:rsidR="00A65433" w:rsidRPr="001D56C6">
        <w:rPr>
          <w:sz w:val="28"/>
          <w:szCs w:val="28"/>
        </w:rPr>
        <w:t xml:space="preserve">order </w:t>
      </w:r>
      <w:r w:rsidR="000F772D" w:rsidRPr="001D56C6">
        <w:rPr>
          <w:sz w:val="28"/>
          <w:szCs w:val="28"/>
        </w:rPr>
        <w:t>should be granted</w:t>
      </w:r>
      <w:r w:rsidR="00D8474C" w:rsidRPr="001D56C6">
        <w:rPr>
          <w:sz w:val="28"/>
          <w:szCs w:val="28"/>
        </w:rPr>
        <w:t xml:space="preserve"> </w:t>
      </w:r>
      <w:r w:rsidR="00A53BC9" w:rsidRPr="001D56C6">
        <w:rPr>
          <w:sz w:val="28"/>
          <w:szCs w:val="28"/>
        </w:rPr>
        <w:t>that</w:t>
      </w:r>
      <w:r w:rsidR="007E0B96" w:rsidRPr="001D56C6">
        <w:rPr>
          <w:sz w:val="28"/>
          <w:szCs w:val="28"/>
        </w:rPr>
        <w:t>:</w:t>
      </w:r>
    </w:p>
    <w:p w14:paraId="1027A83C" w14:textId="2DF501FF" w:rsidR="001C0672" w:rsidRPr="00127B01" w:rsidRDefault="007E0B96" w:rsidP="007E0B96">
      <w:pPr>
        <w:pStyle w:val="ListParagraph"/>
        <w:ind w:left="0"/>
        <w:rPr>
          <w:sz w:val="24"/>
          <w:szCs w:val="24"/>
        </w:rPr>
      </w:pPr>
      <w:r w:rsidRPr="00127B01">
        <w:rPr>
          <w:sz w:val="24"/>
          <w:szCs w:val="24"/>
        </w:rPr>
        <w:t>‘</w:t>
      </w:r>
      <w:bookmarkStart w:id="1" w:name="_Hlk120177794"/>
      <w:r w:rsidRPr="00127B01">
        <w:rPr>
          <w:sz w:val="24"/>
          <w:szCs w:val="24"/>
        </w:rPr>
        <w:t xml:space="preserve">The respondent is entitled to no further payments under the contract referred to in </w:t>
      </w:r>
      <w:r w:rsidR="00F6227C" w:rsidRPr="00127B01">
        <w:rPr>
          <w:sz w:val="24"/>
          <w:szCs w:val="24"/>
        </w:rPr>
        <w:t>[prayer]</w:t>
      </w:r>
      <w:r w:rsidRPr="00127B01">
        <w:rPr>
          <w:sz w:val="24"/>
          <w:szCs w:val="24"/>
        </w:rPr>
        <w:t xml:space="preserve"> 3 above and in terms of the default order of Malusi AJ</w:t>
      </w:r>
      <w:bookmarkEnd w:id="1"/>
      <w:r w:rsidRPr="00127B01">
        <w:rPr>
          <w:sz w:val="24"/>
          <w:szCs w:val="24"/>
        </w:rPr>
        <w:t xml:space="preserve"> on 1 December 2015.</w:t>
      </w:r>
      <w:r w:rsidR="007E3745" w:rsidRPr="00127B01">
        <w:rPr>
          <w:sz w:val="24"/>
          <w:szCs w:val="24"/>
        </w:rPr>
        <w:t>’</w:t>
      </w:r>
    </w:p>
    <w:p w14:paraId="347E8633" w14:textId="1E716132" w:rsidR="0071597E" w:rsidRPr="00127B01" w:rsidRDefault="00F628D1" w:rsidP="007E0B96">
      <w:pPr>
        <w:pStyle w:val="ListParagraph"/>
        <w:ind w:left="0"/>
        <w:rPr>
          <w:sz w:val="28"/>
          <w:szCs w:val="28"/>
        </w:rPr>
      </w:pPr>
      <w:r w:rsidRPr="00127B01">
        <w:rPr>
          <w:sz w:val="28"/>
          <w:szCs w:val="28"/>
        </w:rPr>
        <w:t>I now turn to</w:t>
      </w:r>
      <w:r w:rsidR="00192E68" w:rsidRPr="00127B01">
        <w:rPr>
          <w:sz w:val="28"/>
          <w:szCs w:val="28"/>
        </w:rPr>
        <w:t xml:space="preserve"> t</w:t>
      </w:r>
      <w:r w:rsidR="00096A52" w:rsidRPr="00127B01">
        <w:rPr>
          <w:sz w:val="28"/>
          <w:szCs w:val="28"/>
        </w:rPr>
        <w:t>h</w:t>
      </w:r>
      <w:r w:rsidR="0086107E" w:rsidRPr="00127B01">
        <w:rPr>
          <w:sz w:val="28"/>
          <w:szCs w:val="28"/>
        </w:rPr>
        <w:t xml:space="preserve">is </w:t>
      </w:r>
      <w:r w:rsidR="00F6227C" w:rsidRPr="00127B01">
        <w:rPr>
          <w:sz w:val="28"/>
          <w:szCs w:val="28"/>
        </w:rPr>
        <w:t>issue</w:t>
      </w:r>
      <w:r w:rsidR="00192E68" w:rsidRPr="00127B01">
        <w:rPr>
          <w:sz w:val="28"/>
          <w:szCs w:val="28"/>
        </w:rPr>
        <w:t>.</w:t>
      </w:r>
      <w:r w:rsidR="00096A52" w:rsidRPr="00127B01">
        <w:rPr>
          <w:sz w:val="28"/>
          <w:szCs w:val="28"/>
        </w:rPr>
        <w:t xml:space="preserve"> </w:t>
      </w:r>
    </w:p>
    <w:p w14:paraId="03FC9CB0" w14:textId="77777777" w:rsidR="00556D4B" w:rsidRPr="00127B01" w:rsidRDefault="00556D4B" w:rsidP="00556D4B">
      <w:pPr>
        <w:pStyle w:val="ListParagraph"/>
        <w:ind w:left="0"/>
        <w:rPr>
          <w:sz w:val="28"/>
          <w:szCs w:val="28"/>
        </w:rPr>
      </w:pPr>
    </w:p>
    <w:p w14:paraId="06C92194" w14:textId="4A4802EF" w:rsidR="00A825E8" w:rsidRPr="001D56C6" w:rsidRDefault="001D56C6" w:rsidP="001D56C6">
      <w:pPr>
        <w:rPr>
          <w:sz w:val="28"/>
          <w:szCs w:val="28"/>
        </w:rPr>
      </w:pPr>
      <w:r w:rsidRPr="00127B01">
        <w:rPr>
          <w:sz w:val="28"/>
          <w:szCs w:val="28"/>
        </w:rPr>
        <w:t>[15]</w:t>
      </w:r>
      <w:r w:rsidRPr="00127B01">
        <w:rPr>
          <w:sz w:val="28"/>
          <w:szCs w:val="28"/>
        </w:rPr>
        <w:tab/>
      </w:r>
      <w:r w:rsidR="00B41A5E" w:rsidRPr="001D56C6">
        <w:rPr>
          <w:sz w:val="28"/>
          <w:szCs w:val="28"/>
        </w:rPr>
        <w:t>Section 172(1)</w:t>
      </w:r>
      <w:r w:rsidR="00B41A5E" w:rsidRPr="001D56C6">
        <w:rPr>
          <w:i/>
          <w:iCs/>
          <w:sz w:val="28"/>
          <w:szCs w:val="28"/>
        </w:rPr>
        <w:t>(b)</w:t>
      </w:r>
      <w:r w:rsidR="00B41A5E" w:rsidRPr="001D56C6">
        <w:rPr>
          <w:sz w:val="28"/>
          <w:szCs w:val="28"/>
        </w:rPr>
        <w:t xml:space="preserve"> flows from a declaration of invalidity</w:t>
      </w:r>
      <w:r w:rsidR="00676DDE" w:rsidRPr="001D56C6">
        <w:rPr>
          <w:sz w:val="28"/>
          <w:szCs w:val="28"/>
        </w:rPr>
        <w:t xml:space="preserve"> under s 172(1)</w:t>
      </w:r>
      <w:r w:rsidR="00676DDE" w:rsidRPr="001D56C6">
        <w:rPr>
          <w:i/>
          <w:iCs/>
          <w:sz w:val="28"/>
          <w:szCs w:val="28"/>
        </w:rPr>
        <w:t>(a)</w:t>
      </w:r>
      <w:r w:rsidR="00B41A5E" w:rsidRPr="001D56C6">
        <w:rPr>
          <w:sz w:val="28"/>
          <w:szCs w:val="28"/>
        </w:rPr>
        <w:t>.</w:t>
      </w:r>
      <w:r w:rsidR="00676DDE" w:rsidRPr="001D56C6">
        <w:rPr>
          <w:sz w:val="28"/>
          <w:szCs w:val="28"/>
        </w:rPr>
        <w:t xml:space="preserve"> </w:t>
      </w:r>
      <w:r w:rsidR="00FA0FFB" w:rsidRPr="001D56C6">
        <w:rPr>
          <w:sz w:val="28"/>
          <w:szCs w:val="28"/>
        </w:rPr>
        <w:t xml:space="preserve">Unlike </w:t>
      </w:r>
      <w:r w:rsidR="009C4C9D" w:rsidRPr="001D56C6">
        <w:rPr>
          <w:sz w:val="28"/>
          <w:szCs w:val="28"/>
        </w:rPr>
        <w:t>s 172(1)</w:t>
      </w:r>
      <w:r w:rsidR="009C4C9D" w:rsidRPr="001D56C6">
        <w:rPr>
          <w:i/>
          <w:iCs/>
          <w:sz w:val="28"/>
          <w:szCs w:val="28"/>
        </w:rPr>
        <w:t>(a)</w:t>
      </w:r>
      <w:r w:rsidR="008C46F6" w:rsidRPr="001D56C6">
        <w:rPr>
          <w:sz w:val="28"/>
          <w:szCs w:val="28"/>
        </w:rPr>
        <w:t>,</w:t>
      </w:r>
      <w:r w:rsidR="009C4C9D" w:rsidRPr="001D56C6">
        <w:rPr>
          <w:sz w:val="28"/>
          <w:szCs w:val="28"/>
        </w:rPr>
        <w:t xml:space="preserve"> which obliges a cour</w:t>
      </w:r>
      <w:r w:rsidR="006D0770" w:rsidRPr="001D56C6">
        <w:rPr>
          <w:sz w:val="28"/>
          <w:szCs w:val="28"/>
        </w:rPr>
        <w:t xml:space="preserve">t to </w:t>
      </w:r>
      <w:r w:rsidR="00324936" w:rsidRPr="001D56C6">
        <w:rPr>
          <w:sz w:val="28"/>
          <w:szCs w:val="28"/>
        </w:rPr>
        <w:t>declare</w:t>
      </w:r>
      <w:r w:rsidR="006D0770" w:rsidRPr="001D56C6">
        <w:rPr>
          <w:sz w:val="28"/>
          <w:szCs w:val="28"/>
        </w:rPr>
        <w:t xml:space="preserve"> any legislation or conduct which is incompatible with </w:t>
      </w:r>
      <w:r w:rsidR="00FA0FFB" w:rsidRPr="001D56C6">
        <w:rPr>
          <w:sz w:val="28"/>
          <w:szCs w:val="28"/>
        </w:rPr>
        <w:t xml:space="preserve">the </w:t>
      </w:r>
      <w:r w:rsidR="006D0770" w:rsidRPr="001D56C6">
        <w:rPr>
          <w:sz w:val="28"/>
          <w:szCs w:val="28"/>
        </w:rPr>
        <w:t>Constitution</w:t>
      </w:r>
      <w:r w:rsidR="00324936" w:rsidRPr="001D56C6">
        <w:rPr>
          <w:sz w:val="28"/>
          <w:szCs w:val="28"/>
        </w:rPr>
        <w:t xml:space="preserve"> invalid</w:t>
      </w:r>
      <w:r w:rsidR="00FA0FFB" w:rsidRPr="001D56C6">
        <w:rPr>
          <w:sz w:val="28"/>
          <w:szCs w:val="28"/>
        </w:rPr>
        <w:t>,</w:t>
      </w:r>
      <w:r w:rsidR="007008ED" w:rsidRPr="00127B01">
        <w:rPr>
          <w:rStyle w:val="FootnoteReference"/>
          <w:sz w:val="28"/>
          <w:szCs w:val="28"/>
        </w:rPr>
        <w:footnoteReference w:id="5"/>
      </w:r>
      <w:r w:rsidR="00FA0FFB" w:rsidRPr="001D56C6">
        <w:rPr>
          <w:sz w:val="28"/>
          <w:szCs w:val="28"/>
        </w:rPr>
        <w:t xml:space="preserve"> s 172(1)</w:t>
      </w:r>
      <w:r w:rsidR="00FA0FFB" w:rsidRPr="001D56C6">
        <w:rPr>
          <w:i/>
          <w:iCs/>
          <w:sz w:val="28"/>
          <w:szCs w:val="28"/>
        </w:rPr>
        <w:t>(b)</w:t>
      </w:r>
      <w:r w:rsidR="00FA0FFB" w:rsidRPr="001D56C6">
        <w:rPr>
          <w:sz w:val="28"/>
          <w:szCs w:val="28"/>
        </w:rPr>
        <w:t xml:space="preserve"> does not make it mandatory for a court to make any order at all f</w:t>
      </w:r>
      <w:r w:rsidR="00324936" w:rsidRPr="001D56C6">
        <w:rPr>
          <w:sz w:val="28"/>
          <w:szCs w:val="28"/>
        </w:rPr>
        <w:t>ollowing</w:t>
      </w:r>
      <w:r w:rsidR="00FA0FFB" w:rsidRPr="001D56C6">
        <w:rPr>
          <w:sz w:val="28"/>
          <w:szCs w:val="28"/>
        </w:rPr>
        <w:t xml:space="preserve"> such a declaration</w:t>
      </w:r>
      <w:r w:rsidR="009C4C9D" w:rsidRPr="001D56C6">
        <w:rPr>
          <w:sz w:val="28"/>
          <w:szCs w:val="28"/>
        </w:rPr>
        <w:t xml:space="preserve">. </w:t>
      </w:r>
      <w:r w:rsidR="00CD6E62" w:rsidRPr="001D56C6">
        <w:rPr>
          <w:sz w:val="28"/>
          <w:szCs w:val="28"/>
        </w:rPr>
        <w:t xml:space="preserve">If the court exercises its discretion in favour of making such an order, the court </w:t>
      </w:r>
      <w:r w:rsidR="00E0388F" w:rsidRPr="001D56C6">
        <w:rPr>
          <w:sz w:val="28"/>
          <w:szCs w:val="28"/>
        </w:rPr>
        <w:t xml:space="preserve">may make any order, so long as it is just and equitable. </w:t>
      </w:r>
      <w:r w:rsidR="00A825E8" w:rsidRPr="001D56C6">
        <w:rPr>
          <w:sz w:val="28"/>
          <w:szCs w:val="28"/>
        </w:rPr>
        <w:t xml:space="preserve">In </w:t>
      </w:r>
      <w:r w:rsidR="00A825E8" w:rsidRPr="001D56C6">
        <w:rPr>
          <w:i/>
          <w:iCs/>
          <w:sz w:val="28"/>
          <w:szCs w:val="28"/>
        </w:rPr>
        <w:t>Bengwenyama Minerals (Pty) Ltd and Others v Genorah Resources (Pty) Ltd and Others</w:t>
      </w:r>
      <w:r w:rsidR="00A825E8" w:rsidRPr="001D56C6">
        <w:rPr>
          <w:sz w:val="28"/>
          <w:szCs w:val="28"/>
        </w:rPr>
        <w:t>, the Constitutional Court held, as regards the approach to a just and equitable remedy under s 172(1)</w:t>
      </w:r>
      <w:r w:rsidR="00A825E8" w:rsidRPr="001D56C6">
        <w:rPr>
          <w:i/>
          <w:iCs/>
          <w:sz w:val="28"/>
          <w:szCs w:val="28"/>
        </w:rPr>
        <w:t>(b)</w:t>
      </w:r>
      <w:r w:rsidR="00A825E8" w:rsidRPr="001D56C6">
        <w:rPr>
          <w:sz w:val="28"/>
          <w:szCs w:val="28"/>
        </w:rPr>
        <w:t>:</w:t>
      </w:r>
    </w:p>
    <w:p w14:paraId="6D19D3F9" w14:textId="621204C6" w:rsidR="00A825E8" w:rsidRPr="00127B01" w:rsidRDefault="00A825E8" w:rsidP="00A825E8">
      <w:pPr>
        <w:pStyle w:val="ListParagraph"/>
        <w:ind w:left="0"/>
        <w:rPr>
          <w:sz w:val="24"/>
          <w:szCs w:val="24"/>
        </w:rPr>
      </w:pPr>
      <w:r w:rsidRPr="00127B01">
        <w:rPr>
          <w:sz w:val="24"/>
          <w:szCs w:val="24"/>
        </w:rPr>
        <w:t xml:space="preserve">‘I do not think that it is wise to attempt to lay down inflexible rules in determining a just and equitable remedy following upon a declaration of unlawful administrative action. The rule of law must never be relinquished, but the circumstances of each case must be examined in order to </w:t>
      </w:r>
      <w:r w:rsidRPr="00127B01">
        <w:rPr>
          <w:sz w:val="24"/>
          <w:szCs w:val="24"/>
        </w:rPr>
        <w:lastRenderedPageBreak/>
        <w:t>determine whether factual certainty requires some amelioration of legality and, if so, to what extent.’</w:t>
      </w:r>
      <w:r w:rsidRPr="00127B01">
        <w:rPr>
          <w:rStyle w:val="FootnoteReference"/>
          <w:sz w:val="24"/>
          <w:szCs w:val="24"/>
        </w:rPr>
        <w:footnoteReference w:id="6"/>
      </w:r>
    </w:p>
    <w:p w14:paraId="71E77AF7" w14:textId="2C871835" w:rsidR="00AB0622" w:rsidRPr="00127B01" w:rsidRDefault="00E90E5F" w:rsidP="00E90E5F">
      <w:pPr>
        <w:pStyle w:val="ListParagraph"/>
        <w:ind w:left="0"/>
        <w:rPr>
          <w:sz w:val="28"/>
          <w:szCs w:val="28"/>
        </w:rPr>
      </w:pPr>
      <w:r w:rsidRPr="00127B01">
        <w:rPr>
          <w:sz w:val="28"/>
          <w:szCs w:val="28"/>
        </w:rPr>
        <w:t>And</w:t>
      </w:r>
      <w:r w:rsidR="00AB0622" w:rsidRPr="00127B01">
        <w:rPr>
          <w:sz w:val="28"/>
          <w:szCs w:val="28"/>
        </w:rPr>
        <w:t xml:space="preserve"> in </w:t>
      </w:r>
      <w:r w:rsidR="00AB0622" w:rsidRPr="00127B01">
        <w:rPr>
          <w:i/>
          <w:sz w:val="28"/>
          <w:szCs w:val="28"/>
        </w:rPr>
        <w:t>State Information Technology Agency SOC Limited v Gijima Holdings (Pty) Limited</w:t>
      </w:r>
      <w:r w:rsidR="00AB0622" w:rsidRPr="00127B01">
        <w:rPr>
          <w:sz w:val="28"/>
          <w:szCs w:val="28"/>
        </w:rPr>
        <w:t>, the Constitutional Court held:</w:t>
      </w:r>
    </w:p>
    <w:p w14:paraId="58655ACD" w14:textId="085FD903" w:rsidR="00AB0622" w:rsidRPr="00127B01" w:rsidRDefault="00AB0622" w:rsidP="00AB0622">
      <w:pPr>
        <w:pStyle w:val="ListParagraph"/>
        <w:ind w:left="0"/>
        <w:rPr>
          <w:sz w:val="24"/>
          <w:szCs w:val="24"/>
        </w:rPr>
      </w:pPr>
      <w:r w:rsidRPr="00127B01">
        <w:rPr>
          <w:sz w:val="24"/>
          <w:szCs w:val="24"/>
        </w:rPr>
        <w:t>‘</w:t>
      </w:r>
      <w:r w:rsidR="0020413B" w:rsidRPr="00127B01">
        <w:rPr>
          <w:sz w:val="24"/>
          <w:szCs w:val="24"/>
        </w:rPr>
        <w:t xml:space="preserve">. . . </w:t>
      </w:r>
      <w:r w:rsidRPr="00127B01">
        <w:rPr>
          <w:sz w:val="24"/>
          <w:szCs w:val="24"/>
        </w:rPr>
        <w:t>[U]nder section 172(1)</w:t>
      </w:r>
      <w:r w:rsidRPr="00127B01">
        <w:rPr>
          <w:i/>
          <w:iCs/>
          <w:sz w:val="24"/>
          <w:szCs w:val="24"/>
        </w:rPr>
        <w:t>(b)</w:t>
      </w:r>
      <w:r w:rsidRPr="00127B01">
        <w:rPr>
          <w:sz w:val="24"/>
          <w:szCs w:val="24"/>
        </w:rPr>
        <w:t xml:space="preserve"> of the Constitution, a court deciding a constitutional matter has a wide remedial power. It is empowered to make “any order that is just and equitable”. So wide is that power that it is bounded only by considerations of justice and equity.</w:t>
      </w:r>
      <w:r w:rsidR="000071A7" w:rsidRPr="00127B01">
        <w:rPr>
          <w:sz w:val="24"/>
          <w:szCs w:val="24"/>
        </w:rPr>
        <w:t>’</w:t>
      </w:r>
      <w:r w:rsidRPr="00127B01">
        <w:rPr>
          <w:rStyle w:val="FootnoteReference"/>
          <w:sz w:val="24"/>
          <w:szCs w:val="24"/>
        </w:rPr>
        <w:footnoteReference w:id="7"/>
      </w:r>
    </w:p>
    <w:p w14:paraId="4AB61CBA" w14:textId="77777777" w:rsidR="00B41A5E" w:rsidRPr="00127B01" w:rsidRDefault="00B41A5E" w:rsidP="00B41A5E">
      <w:pPr>
        <w:pStyle w:val="ListParagraph"/>
        <w:ind w:left="0"/>
        <w:rPr>
          <w:sz w:val="28"/>
          <w:szCs w:val="28"/>
        </w:rPr>
      </w:pPr>
    </w:p>
    <w:p w14:paraId="7D9658C1" w14:textId="78AB2A67" w:rsidR="001B20B3" w:rsidRPr="001D56C6" w:rsidRDefault="001D56C6" w:rsidP="001D56C6">
      <w:pPr>
        <w:rPr>
          <w:sz w:val="28"/>
          <w:szCs w:val="28"/>
        </w:rPr>
      </w:pPr>
      <w:r w:rsidRPr="00127B01">
        <w:rPr>
          <w:sz w:val="28"/>
          <w:szCs w:val="28"/>
        </w:rPr>
        <w:t>[16]</w:t>
      </w:r>
      <w:r w:rsidRPr="00127B01">
        <w:rPr>
          <w:sz w:val="28"/>
          <w:szCs w:val="28"/>
        </w:rPr>
        <w:tab/>
      </w:r>
      <w:r w:rsidR="00642142" w:rsidRPr="001D56C6">
        <w:rPr>
          <w:sz w:val="28"/>
          <w:szCs w:val="28"/>
        </w:rPr>
        <w:t>As a preliminary step, i</w:t>
      </w:r>
      <w:r w:rsidR="00B41A5E" w:rsidRPr="001D56C6">
        <w:rPr>
          <w:sz w:val="28"/>
          <w:szCs w:val="28"/>
        </w:rPr>
        <w:t>t is necessary</w:t>
      </w:r>
      <w:r w:rsidR="008C5850" w:rsidRPr="001D56C6">
        <w:rPr>
          <w:sz w:val="28"/>
          <w:szCs w:val="28"/>
        </w:rPr>
        <w:t xml:space="preserve"> to </w:t>
      </w:r>
      <w:r w:rsidR="00B427AE" w:rsidRPr="001D56C6">
        <w:rPr>
          <w:sz w:val="28"/>
          <w:szCs w:val="28"/>
        </w:rPr>
        <w:t>interrogate</w:t>
      </w:r>
      <w:r w:rsidR="008C5850" w:rsidRPr="001D56C6">
        <w:rPr>
          <w:sz w:val="28"/>
          <w:szCs w:val="28"/>
        </w:rPr>
        <w:t xml:space="preserve"> what </w:t>
      </w:r>
      <w:r w:rsidR="009F518C" w:rsidRPr="001D56C6">
        <w:rPr>
          <w:sz w:val="28"/>
          <w:szCs w:val="28"/>
        </w:rPr>
        <w:t>was</w:t>
      </w:r>
      <w:r w:rsidR="008C5850" w:rsidRPr="001D56C6">
        <w:rPr>
          <w:sz w:val="28"/>
          <w:szCs w:val="28"/>
        </w:rPr>
        <w:t xml:space="preserve"> requested</w:t>
      </w:r>
      <w:r w:rsidR="00090D0B" w:rsidRPr="001D56C6">
        <w:rPr>
          <w:sz w:val="28"/>
          <w:szCs w:val="28"/>
        </w:rPr>
        <w:t xml:space="preserve"> by the Departments</w:t>
      </w:r>
      <w:r w:rsidR="008C46F6" w:rsidRPr="001D56C6">
        <w:rPr>
          <w:sz w:val="28"/>
          <w:szCs w:val="28"/>
        </w:rPr>
        <w:t xml:space="preserve"> in prayer 4</w:t>
      </w:r>
      <w:r w:rsidR="008C5850" w:rsidRPr="001D56C6">
        <w:rPr>
          <w:sz w:val="28"/>
          <w:szCs w:val="28"/>
        </w:rPr>
        <w:t>. In argument before us, the</w:t>
      </w:r>
      <w:r w:rsidR="00090D0B" w:rsidRPr="001D56C6">
        <w:rPr>
          <w:sz w:val="28"/>
          <w:szCs w:val="28"/>
        </w:rPr>
        <w:t>y</w:t>
      </w:r>
      <w:r w:rsidR="008C5850" w:rsidRPr="001D56C6">
        <w:rPr>
          <w:sz w:val="28"/>
          <w:szCs w:val="28"/>
        </w:rPr>
        <w:t xml:space="preserve"> conceded that</w:t>
      </w:r>
      <w:r w:rsidR="00562C12" w:rsidRPr="001D56C6">
        <w:rPr>
          <w:sz w:val="28"/>
          <w:szCs w:val="28"/>
        </w:rPr>
        <w:t xml:space="preserve"> </w:t>
      </w:r>
      <w:r w:rsidR="005B278C" w:rsidRPr="001D56C6">
        <w:rPr>
          <w:sz w:val="28"/>
          <w:szCs w:val="28"/>
        </w:rPr>
        <w:t xml:space="preserve">there was no danger that </w:t>
      </w:r>
      <w:r w:rsidR="008C5850" w:rsidRPr="001D56C6">
        <w:rPr>
          <w:sz w:val="28"/>
          <w:szCs w:val="28"/>
        </w:rPr>
        <w:t xml:space="preserve">Ikamva </w:t>
      </w:r>
      <w:r w:rsidR="005B278C" w:rsidRPr="001D56C6">
        <w:rPr>
          <w:sz w:val="28"/>
          <w:szCs w:val="28"/>
        </w:rPr>
        <w:t>w</w:t>
      </w:r>
      <w:r w:rsidR="004F34CE" w:rsidRPr="001D56C6">
        <w:rPr>
          <w:sz w:val="28"/>
          <w:szCs w:val="28"/>
        </w:rPr>
        <w:t>ould be</w:t>
      </w:r>
      <w:r w:rsidR="00090D0B" w:rsidRPr="001D56C6">
        <w:rPr>
          <w:sz w:val="28"/>
          <w:szCs w:val="28"/>
        </w:rPr>
        <w:t>come</w:t>
      </w:r>
      <w:r w:rsidR="008C5850" w:rsidRPr="001D56C6">
        <w:rPr>
          <w:sz w:val="28"/>
          <w:szCs w:val="28"/>
        </w:rPr>
        <w:t xml:space="preserve"> entitled to any payments</w:t>
      </w:r>
      <w:r w:rsidR="00562C12" w:rsidRPr="001D56C6">
        <w:rPr>
          <w:sz w:val="28"/>
          <w:szCs w:val="28"/>
        </w:rPr>
        <w:t xml:space="preserve"> under the contract</w:t>
      </w:r>
      <w:r w:rsidR="00090D0B" w:rsidRPr="001D56C6">
        <w:rPr>
          <w:sz w:val="28"/>
          <w:szCs w:val="28"/>
        </w:rPr>
        <w:t xml:space="preserve"> in the future</w:t>
      </w:r>
      <w:r w:rsidR="00562C12" w:rsidRPr="001D56C6">
        <w:rPr>
          <w:sz w:val="28"/>
          <w:szCs w:val="28"/>
        </w:rPr>
        <w:t>. This concession was well made since, on any version, the contract c</w:t>
      </w:r>
      <w:r w:rsidR="009F518C" w:rsidRPr="001D56C6">
        <w:rPr>
          <w:sz w:val="28"/>
          <w:szCs w:val="28"/>
        </w:rPr>
        <w:t>ould</w:t>
      </w:r>
      <w:r w:rsidR="00562C12" w:rsidRPr="001D56C6">
        <w:rPr>
          <w:sz w:val="28"/>
          <w:szCs w:val="28"/>
        </w:rPr>
        <w:t xml:space="preserve"> no longer found any relief. On Ikamva’s version, it was cancelled </w:t>
      </w:r>
      <w:r w:rsidR="008C46F6" w:rsidRPr="001D56C6">
        <w:rPr>
          <w:sz w:val="28"/>
          <w:szCs w:val="28"/>
        </w:rPr>
        <w:t xml:space="preserve">after its </w:t>
      </w:r>
      <w:r w:rsidR="00562C12" w:rsidRPr="001D56C6">
        <w:rPr>
          <w:sz w:val="28"/>
          <w:szCs w:val="28"/>
        </w:rPr>
        <w:t xml:space="preserve">acceptance of the </w:t>
      </w:r>
      <w:r w:rsidR="00DF51AA" w:rsidRPr="001D56C6">
        <w:rPr>
          <w:sz w:val="28"/>
          <w:szCs w:val="28"/>
        </w:rPr>
        <w:t xml:space="preserve">repudiation by the </w:t>
      </w:r>
      <w:r w:rsidR="00562C12" w:rsidRPr="001D56C6">
        <w:rPr>
          <w:sz w:val="28"/>
          <w:szCs w:val="28"/>
        </w:rPr>
        <w:t>Department</w:t>
      </w:r>
      <w:r w:rsidR="005B278C" w:rsidRPr="001D56C6">
        <w:rPr>
          <w:sz w:val="28"/>
          <w:szCs w:val="28"/>
        </w:rPr>
        <w:t xml:space="preserve"> of Works</w:t>
      </w:r>
      <w:r w:rsidR="00562C12" w:rsidRPr="001D56C6">
        <w:rPr>
          <w:sz w:val="28"/>
          <w:szCs w:val="28"/>
        </w:rPr>
        <w:t xml:space="preserve">. </w:t>
      </w:r>
      <w:r w:rsidR="009F518C" w:rsidRPr="001D56C6">
        <w:rPr>
          <w:sz w:val="28"/>
          <w:szCs w:val="28"/>
        </w:rPr>
        <w:t xml:space="preserve">It was this </w:t>
      </w:r>
      <w:r w:rsidR="005B278C" w:rsidRPr="001D56C6">
        <w:rPr>
          <w:sz w:val="28"/>
          <w:szCs w:val="28"/>
        </w:rPr>
        <w:t xml:space="preserve">which </w:t>
      </w:r>
      <w:r w:rsidR="00DF51AA" w:rsidRPr="001D56C6">
        <w:rPr>
          <w:sz w:val="28"/>
          <w:szCs w:val="28"/>
        </w:rPr>
        <w:t>animated</w:t>
      </w:r>
      <w:r w:rsidR="00562C12" w:rsidRPr="001D56C6">
        <w:rPr>
          <w:sz w:val="28"/>
          <w:szCs w:val="28"/>
        </w:rPr>
        <w:t xml:space="preserve"> the default judgment. On the version of the Department</w:t>
      </w:r>
      <w:r w:rsidR="005B278C" w:rsidRPr="001D56C6">
        <w:rPr>
          <w:sz w:val="28"/>
          <w:szCs w:val="28"/>
        </w:rPr>
        <w:t>s</w:t>
      </w:r>
      <w:r w:rsidR="00562C12" w:rsidRPr="001D56C6">
        <w:rPr>
          <w:sz w:val="28"/>
          <w:szCs w:val="28"/>
        </w:rPr>
        <w:t>, and on the assumption</w:t>
      </w:r>
      <w:r w:rsidR="00E76B9E" w:rsidRPr="001D56C6">
        <w:rPr>
          <w:sz w:val="28"/>
          <w:szCs w:val="28"/>
        </w:rPr>
        <w:t>s</w:t>
      </w:r>
      <w:r w:rsidR="00562C12" w:rsidRPr="001D56C6">
        <w:rPr>
          <w:sz w:val="28"/>
          <w:szCs w:val="28"/>
        </w:rPr>
        <w:t xml:space="preserve"> referred to above, the Department</w:t>
      </w:r>
      <w:r w:rsidR="005B278C" w:rsidRPr="001D56C6">
        <w:rPr>
          <w:sz w:val="28"/>
          <w:szCs w:val="28"/>
        </w:rPr>
        <w:t>s</w:t>
      </w:r>
      <w:r w:rsidR="00562C12" w:rsidRPr="001D56C6">
        <w:rPr>
          <w:sz w:val="28"/>
          <w:szCs w:val="28"/>
        </w:rPr>
        <w:t xml:space="preserve"> w</w:t>
      </w:r>
      <w:r w:rsidR="005B278C" w:rsidRPr="001D56C6">
        <w:rPr>
          <w:sz w:val="28"/>
          <w:szCs w:val="28"/>
        </w:rPr>
        <w:t>ere</w:t>
      </w:r>
      <w:r w:rsidR="00562C12" w:rsidRPr="001D56C6">
        <w:rPr>
          <w:sz w:val="28"/>
          <w:szCs w:val="28"/>
        </w:rPr>
        <w:t xml:space="preserve"> entitled to have </w:t>
      </w:r>
      <w:r w:rsidR="00E76B9E" w:rsidRPr="001D56C6">
        <w:rPr>
          <w:sz w:val="28"/>
          <w:szCs w:val="28"/>
        </w:rPr>
        <w:t>the contract</w:t>
      </w:r>
      <w:r w:rsidR="00562C12" w:rsidRPr="001D56C6">
        <w:rPr>
          <w:sz w:val="28"/>
          <w:szCs w:val="28"/>
        </w:rPr>
        <w:t xml:space="preserve"> declared null and void </w:t>
      </w:r>
      <w:r w:rsidR="00562C12" w:rsidRPr="001D56C6">
        <w:rPr>
          <w:i/>
          <w:iCs/>
          <w:sz w:val="28"/>
          <w:szCs w:val="28"/>
        </w:rPr>
        <w:t>ab initio</w:t>
      </w:r>
      <w:r w:rsidR="00562C12" w:rsidRPr="001D56C6">
        <w:rPr>
          <w:sz w:val="28"/>
          <w:szCs w:val="28"/>
        </w:rPr>
        <w:t xml:space="preserve">. </w:t>
      </w:r>
      <w:r w:rsidR="00B75AEF" w:rsidRPr="001D56C6">
        <w:rPr>
          <w:sz w:val="28"/>
          <w:szCs w:val="28"/>
        </w:rPr>
        <w:t xml:space="preserve">As such, there could be no </w:t>
      </w:r>
      <w:r w:rsidR="00704493" w:rsidRPr="001D56C6">
        <w:rPr>
          <w:sz w:val="28"/>
          <w:szCs w:val="28"/>
        </w:rPr>
        <w:t xml:space="preserve">basis </w:t>
      </w:r>
      <w:r w:rsidR="00B75AEF" w:rsidRPr="001D56C6">
        <w:rPr>
          <w:sz w:val="28"/>
          <w:szCs w:val="28"/>
        </w:rPr>
        <w:t>for any order proscribing</w:t>
      </w:r>
      <w:r w:rsidR="00E33472" w:rsidRPr="001D56C6">
        <w:rPr>
          <w:sz w:val="28"/>
          <w:szCs w:val="28"/>
        </w:rPr>
        <w:t xml:space="preserve"> future</w:t>
      </w:r>
      <w:r w:rsidR="00B75AEF" w:rsidRPr="001D56C6">
        <w:rPr>
          <w:sz w:val="28"/>
          <w:szCs w:val="28"/>
        </w:rPr>
        <w:t xml:space="preserve"> </w:t>
      </w:r>
      <w:r w:rsidR="006F7014" w:rsidRPr="001D56C6">
        <w:rPr>
          <w:sz w:val="28"/>
          <w:szCs w:val="28"/>
        </w:rPr>
        <w:t>‘</w:t>
      </w:r>
      <w:r w:rsidR="00B75AEF" w:rsidRPr="001D56C6">
        <w:rPr>
          <w:sz w:val="28"/>
          <w:szCs w:val="28"/>
        </w:rPr>
        <w:t>payment</w:t>
      </w:r>
      <w:r w:rsidR="006F7014" w:rsidRPr="001D56C6">
        <w:rPr>
          <w:sz w:val="28"/>
          <w:szCs w:val="28"/>
        </w:rPr>
        <w:t>s under the contract’.</w:t>
      </w:r>
    </w:p>
    <w:p w14:paraId="71387D7C" w14:textId="77777777" w:rsidR="001B20B3" w:rsidRPr="00127B01" w:rsidRDefault="001B20B3" w:rsidP="001B20B3">
      <w:pPr>
        <w:pStyle w:val="ListParagraph"/>
        <w:ind w:left="0"/>
        <w:rPr>
          <w:sz w:val="28"/>
          <w:szCs w:val="28"/>
        </w:rPr>
      </w:pPr>
    </w:p>
    <w:p w14:paraId="6A90367F" w14:textId="69184F9A" w:rsidR="000D3660" w:rsidRPr="001D56C6" w:rsidRDefault="001D56C6" w:rsidP="001D56C6">
      <w:pPr>
        <w:rPr>
          <w:sz w:val="28"/>
          <w:szCs w:val="28"/>
        </w:rPr>
      </w:pPr>
      <w:r w:rsidRPr="00127B01">
        <w:rPr>
          <w:sz w:val="28"/>
          <w:szCs w:val="28"/>
        </w:rPr>
        <w:t>[17]</w:t>
      </w:r>
      <w:r w:rsidRPr="00127B01">
        <w:rPr>
          <w:sz w:val="28"/>
          <w:szCs w:val="28"/>
        </w:rPr>
        <w:tab/>
      </w:r>
      <w:r w:rsidR="0091127C" w:rsidRPr="001D56C6">
        <w:rPr>
          <w:sz w:val="28"/>
          <w:szCs w:val="28"/>
        </w:rPr>
        <w:t>Th</w:t>
      </w:r>
      <w:r w:rsidR="0029276F" w:rsidRPr="001D56C6">
        <w:rPr>
          <w:sz w:val="28"/>
          <w:szCs w:val="28"/>
        </w:rPr>
        <w:t>at leaves for consideration</w:t>
      </w:r>
      <w:r w:rsidR="0080296B" w:rsidRPr="001D56C6">
        <w:rPr>
          <w:sz w:val="28"/>
          <w:szCs w:val="28"/>
        </w:rPr>
        <w:t xml:space="preserve"> the refusal of </w:t>
      </w:r>
      <w:r w:rsidR="00A32BDD" w:rsidRPr="001D56C6">
        <w:rPr>
          <w:sz w:val="28"/>
          <w:szCs w:val="28"/>
        </w:rPr>
        <w:t xml:space="preserve">the high court </w:t>
      </w:r>
      <w:r w:rsidR="0080296B" w:rsidRPr="001D56C6">
        <w:rPr>
          <w:sz w:val="28"/>
          <w:szCs w:val="28"/>
        </w:rPr>
        <w:t>to</w:t>
      </w:r>
      <w:r w:rsidR="00A32BDD" w:rsidRPr="001D56C6">
        <w:rPr>
          <w:sz w:val="28"/>
          <w:szCs w:val="28"/>
        </w:rPr>
        <w:t xml:space="preserve"> grant </w:t>
      </w:r>
      <w:r w:rsidR="0091127C" w:rsidRPr="001D56C6">
        <w:rPr>
          <w:sz w:val="28"/>
          <w:szCs w:val="28"/>
        </w:rPr>
        <w:t>an order that, ‘</w:t>
      </w:r>
      <w:r w:rsidR="00C803A0" w:rsidRPr="001D56C6">
        <w:rPr>
          <w:sz w:val="28"/>
          <w:szCs w:val="28"/>
        </w:rPr>
        <w:t>[t]</w:t>
      </w:r>
      <w:r w:rsidR="0091127C" w:rsidRPr="001D56C6">
        <w:rPr>
          <w:sz w:val="28"/>
          <w:szCs w:val="28"/>
        </w:rPr>
        <w:t>he respondent is entitled to no further payments . . . in terms of the default order of Malusi AJ’.</w:t>
      </w:r>
      <w:r w:rsidR="006F70F9" w:rsidRPr="001D56C6">
        <w:rPr>
          <w:sz w:val="28"/>
          <w:szCs w:val="28"/>
        </w:rPr>
        <w:t xml:space="preserve"> </w:t>
      </w:r>
      <w:r w:rsidR="004A1FA2" w:rsidRPr="001D56C6">
        <w:rPr>
          <w:sz w:val="28"/>
          <w:szCs w:val="28"/>
        </w:rPr>
        <w:t>Th</w:t>
      </w:r>
      <w:r w:rsidR="003F3BF2" w:rsidRPr="001D56C6">
        <w:rPr>
          <w:sz w:val="28"/>
          <w:szCs w:val="28"/>
        </w:rPr>
        <w:t xml:space="preserve">e </w:t>
      </w:r>
      <w:r w:rsidR="00973C7A" w:rsidRPr="001D56C6">
        <w:rPr>
          <w:sz w:val="28"/>
          <w:szCs w:val="28"/>
        </w:rPr>
        <w:t xml:space="preserve">Departments were transparent as to their </w:t>
      </w:r>
      <w:r w:rsidR="003F3BF2" w:rsidRPr="001D56C6">
        <w:rPr>
          <w:sz w:val="28"/>
          <w:szCs w:val="28"/>
        </w:rPr>
        <w:t>objective</w:t>
      </w:r>
      <w:r w:rsidR="00973C7A" w:rsidRPr="001D56C6">
        <w:rPr>
          <w:sz w:val="28"/>
          <w:szCs w:val="28"/>
        </w:rPr>
        <w:t xml:space="preserve"> in seeking this order</w:t>
      </w:r>
      <w:r w:rsidR="004A1FA2" w:rsidRPr="001D56C6">
        <w:rPr>
          <w:sz w:val="28"/>
          <w:szCs w:val="28"/>
        </w:rPr>
        <w:t xml:space="preserve">. </w:t>
      </w:r>
      <w:r w:rsidR="00941912" w:rsidRPr="001D56C6">
        <w:rPr>
          <w:sz w:val="28"/>
          <w:szCs w:val="28"/>
        </w:rPr>
        <w:t>As the</w:t>
      </w:r>
      <w:r w:rsidR="00B077AF" w:rsidRPr="001D56C6">
        <w:rPr>
          <w:sz w:val="28"/>
          <w:szCs w:val="28"/>
        </w:rPr>
        <w:t>y</w:t>
      </w:r>
      <w:r w:rsidR="00941912" w:rsidRPr="001D56C6">
        <w:rPr>
          <w:sz w:val="28"/>
          <w:szCs w:val="28"/>
        </w:rPr>
        <w:t xml:space="preserve"> said i</w:t>
      </w:r>
      <w:r w:rsidR="008C46F6" w:rsidRPr="001D56C6">
        <w:rPr>
          <w:sz w:val="28"/>
          <w:szCs w:val="28"/>
        </w:rPr>
        <w:t>n</w:t>
      </w:r>
      <w:r w:rsidR="00941912" w:rsidRPr="001D56C6">
        <w:rPr>
          <w:sz w:val="28"/>
          <w:szCs w:val="28"/>
        </w:rPr>
        <w:t xml:space="preserve"> reply,</w:t>
      </w:r>
      <w:r w:rsidR="00B077AF" w:rsidRPr="001D56C6">
        <w:rPr>
          <w:sz w:val="28"/>
          <w:szCs w:val="28"/>
        </w:rPr>
        <w:t xml:space="preserve"> ‘the</w:t>
      </w:r>
      <w:r w:rsidR="00941912" w:rsidRPr="001D56C6">
        <w:rPr>
          <w:sz w:val="28"/>
          <w:szCs w:val="28"/>
        </w:rPr>
        <w:t xml:space="preserve"> </w:t>
      </w:r>
      <w:r w:rsidR="00B077AF" w:rsidRPr="001D56C6">
        <w:rPr>
          <w:sz w:val="28"/>
          <w:szCs w:val="28"/>
        </w:rPr>
        <w:t xml:space="preserve">Departments are resisting payment by way of self-review’. </w:t>
      </w:r>
      <w:r w:rsidR="008C46F6" w:rsidRPr="001D56C6">
        <w:rPr>
          <w:sz w:val="28"/>
          <w:szCs w:val="28"/>
        </w:rPr>
        <w:t>In sum, they sought to render the default judgment nugatory.</w:t>
      </w:r>
    </w:p>
    <w:p w14:paraId="0B4CDBB5" w14:textId="1A48DF39" w:rsidR="001A325F" w:rsidRPr="001D56C6" w:rsidRDefault="001D56C6" w:rsidP="001D56C6">
      <w:pPr>
        <w:rPr>
          <w:sz w:val="28"/>
          <w:szCs w:val="28"/>
        </w:rPr>
      </w:pPr>
      <w:r w:rsidRPr="00127B01">
        <w:rPr>
          <w:sz w:val="28"/>
          <w:szCs w:val="28"/>
        </w:rPr>
        <w:lastRenderedPageBreak/>
        <w:t>[18]</w:t>
      </w:r>
      <w:r w:rsidRPr="00127B01">
        <w:rPr>
          <w:sz w:val="28"/>
          <w:szCs w:val="28"/>
        </w:rPr>
        <w:tab/>
      </w:r>
      <w:r w:rsidR="00870783" w:rsidRPr="001D56C6">
        <w:rPr>
          <w:sz w:val="28"/>
          <w:szCs w:val="28"/>
        </w:rPr>
        <w:t>It bears mention that t</w:t>
      </w:r>
      <w:r w:rsidR="00315EF3" w:rsidRPr="001D56C6">
        <w:rPr>
          <w:sz w:val="28"/>
          <w:szCs w:val="28"/>
        </w:rPr>
        <w:t xml:space="preserve">his </w:t>
      </w:r>
      <w:r w:rsidR="008C46F6" w:rsidRPr="001D56C6">
        <w:rPr>
          <w:sz w:val="28"/>
          <w:szCs w:val="28"/>
        </w:rPr>
        <w:t>was</w:t>
      </w:r>
      <w:r w:rsidR="00315EF3" w:rsidRPr="001D56C6">
        <w:rPr>
          <w:sz w:val="28"/>
          <w:szCs w:val="28"/>
        </w:rPr>
        <w:t xml:space="preserve"> not an application for an order suspending execution pending the outcome of proceedings to set </w:t>
      </w:r>
      <w:r w:rsidR="008C46F6" w:rsidRPr="001D56C6">
        <w:rPr>
          <w:sz w:val="28"/>
          <w:szCs w:val="28"/>
        </w:rPr>
        <w:t xml:space="preserve">aside </w:t>
      </w:r>
      <w:r w:rsidR="00315EF3" w:rsidRPr="001D56C6">
        <w:rPr>
          <w:sz w:val="28"/>
          <w:szCs w:val="28"/>
        </w:rPr>
        <w:t xml:space="preserve">the order. </w:t>
      </w:r>
      <w:r w:rsidR="00870783" w:rsidRPr="001D56C6">
        <w:rPr>
          <w:sz w:val="28"/>
          <w:szCs w:val="28"/>
        </w:rPr>
        <w:t xml:space="preserve">Such </w:t>
      </w:r>
      <w:r w:rsidR="008C46F6" w:rsidRPr="001D56C6">
        <w:rPr>
          <w:sz w:val="28"/>
          <w:szCs w:val="28"/>
        </w:rPr>
        <w:t>relief is</w:t>
      </w:r>
      <w:r w:rsidR="00870783" w:rsidRPr="001D56C6">
        <w:rPr>
          <w:sz w:val="28"/>
          <w:szCs w:val="28"/>
        </w:rPr>
        <w:t xml:space="preserve"> readily granted if cause is shown. Th</w:t>
      </w:r>
      <w:r w:rsidR="00973CF0" w:rsidRPr="001D56C6">
        <w:rPr>
          <w:sz w:val="28"/>
          <w:szCs w:val="28"/>
        </w:rPr>
        <w:t>e relief</w:t>
      </w:r>
      <w:r w:rsidR="007F642B" w:rsidRPr="001D56C6">
        <w:rPr>
          <w:sz w:val="28"/>
          <w:szCs w:val="28"/>
        </w:rPr>
        <w:t xml:space="preserve"> sought by the Departments</w:t>
      </w:r>
      <w:r w:rsidR="00315EF3" w:rsidRPr="001D56C6">
        <w:rPr>
          <w:sz w:val="28"/>
          <w:szCs w:val="28"/>
        </w:rPr>
        <w:t xml:space="preserve"> is a final order</w:t>
      </w:r>
      <w:r w:rsidR="004F512F" w:rsidRPr="001D56C6">
        <w:rPr>
          <w:sz w:val="28"/>
          <w:szCs w:val="28"/>
        </w:rPr>
        <w:t>,</w:t>
      </w:r>
      <w:r w:rsidR="00315EF3" w:rsidRPr="001D56C6">
        <w:rPr>
          <w:sz w:val="28"/>
          <w:szCs w:val="28"/>
        </w:rPr>
        <w:t xml:space="preserve"> </w:t>
      </w:r>
      <w:r w:rsidR="007F642B" w:rsidRPr="001D56C6">
        <w:rPr>
          <w:sz w:val="28"/>
          <w:szCs w:val="28"/>
        </w:rPr>
        <w:t xml:space="preserve">which has the effect of </w:t>
      </w:r>
      <w:r w:rsidR="008C46F6" w:rsidRPr="001D56C6">
        <w:rPr>
          <w:sz w:val="28"/>
          <w:szCs w:val="28"/>
        </w:rPr>
        <w:t xml:space="preserve">permanently </w:t>
      </w:r>
      <w:r w:rsidR="00315EF3" w:rsidRPr="001D56C6">
        <w:rPr>
          <w:sz w:val="28"/>
          <w:szCs w:val="28"/>
        </w:rPr>
        <w:t xml:space="preserve">preventing execution by </w:t>
      </w:r>
      <w:r w:rsidR="007F642B" w:rsidRPr="001D56C6">
        <w:rPr>
          <w:sz w:val="28"/>
          <w:szCs w:val="28"/>
        </w:rPr>
        <w:t xml:space="preserve">Ikamva of a </w:t>
      </w:r>
      <w:r w:rsidR="00865E5F" w:rsidRPr="001D56C6">
        <w:rPr>
          <w:sz w:val="28"/>
          <w:szCs w:val="28"/>
        </w:rPr>
        <w:t xml:space="preserve">valid and binding </w:t>
      </w:r>
      <w:r w:rsidR="00315EF3" w:rsidRPr="001D56C6">
        <w:rPr>
          <w:sz w:val="28"/>
          <w:szCs w:val="28"/>
        </w:rPr>
        <w:t>judgment</w:t>
      </w:r>
      <w:r w:rsidR="007F642B" w:rsidRPr="001D56C6">
        <w:rPr>
          <w:sz w:val="28"/>
          <w:szCs w:val="28"/>
        </w:rPr>
        <w:t xml:space="preserve"> granted in its favour</w:t>
      </w:r>
      <w:r w:rsidR="00315EF3" w:rsidRPr="001D56C6">
        <w:rPr>
          <w:sz w:val="28"/>
          <w:szCs w:val="28"/>
        </w:rPr>
        <w:t xml:space="preserve">. </w:t>
      </w:r>
      <w:r w:rsidR="00865E5F" w:rsidRPr="001D56C6">
        <w:rPr>
          <w:sz w:val="28"/>
          <w:szCs w:val="28"/>
        </w:rPr>
        <w:t>On enquiry, t</w:t>
      </w:r>
      <w:r w:rsidR="001A325F" w:rsidRPr="001D56C6">
        <w:rPr>
          <w:sz w:val="28"/>
          <w:szCs w:val="28"/>
        </w:rPr>
        <w:t>he Department</w:t>
      </w:r>
      <w:r w:rsidR="00315EF3" w:rsidRPr="001D56C6">
        <w:rPr>
          <w:sz w:val="28"/>
          <w:szCs w:val="28"/>
        </w:rPr>
        <w:t>s</w:t>
      </w:r>
      <w:r w:rsidR="001A325F" w:rsidRPr="001D56C6">
        <w:rPr>
          <w:sz w:val="28"/>
          <w:szCs w:val="28"/>
        </w:rPr>
        <w:t xml:space="preserve"> </w:t>
      </w:r>
      <w:r w:rsidR="00865E5F" w:rsidRPr="001D56C6">
        <w:rPr>
          <w:sz w:val="28"/>
          <w:szCs w:val="28"/>
        </w:rPr>
        <w:t xml:space="preserve">accepted this to be the case. They </w:t>
      </w:r>
      <w:r w:rsidR="001A325F" w:rsidRPr="001D56C6">
        <w:rPr>
          <w:sz w:val="28"/>
          <w:szCs w:val="28"/>
        </w:rPr>
        <w:t>w</w:t>
      </w:r>
      <w:r w:rsidR="00315EF3" w:rsidRPr="001D56C6">
        <w:rPr>
          <w:sz w:val="28"/>
          <w:szCs w:val="28"/>
        </w:rPr>
        <w:t>ere</w:t>
      </w:r>
      <w:r w:rsidR="001A325F" w:rsidRPr="001D56C6">
        <w:rPr>
          <w:sz w:val="28"/>
          <w:szCs w:val="28"/>
        </w:rPr>
        <w:t xml:space="preserve"> unable to point to any direct authority </w:t>
      </w:r>
      <w:r w:rsidR="008C46F6" w:rsidRPr="001D56C6">
        <w:rPr>
          <w:sz w:val="28"/>
          <w:szCs w:val="28"/>
        </w:rPr>
        <w:t>where</w:t>
      </w:r>
      <w:r w:rsidR="001A325F" w:rsidRPr="001D56C6">
        <w:rPr>
          <w:sz w:val="28"/>
          <w:szCs w:val="28"/>
        </w:rPr>
        <w:t xml:space="preserve"> a</w:t>
      </w:r>
      <w:r w:rsidR="008C46F6" w:rsidRPr="001D56C6">
        <w:rPr>
          <w:sz w:val="28"/>
          <w:szCs w:val="28"/>
        </w:rPr>
        <w:t xml:space="preserve"> </w:t>
      </w:r>
      <w:r w:rsidR="001A325F" w:rsidRPr="001D56C6">
        <w:rPr>
          <w:sz w:val="28"/>
          <w:szCs w:val="28"/>
        </w:rPr>
        <w:t>court</w:t>
      </w:r>
      <w:r w:rsidR="008C46F6" w:rsidRPr="001D56C6">
        <w:rPr>
          <w:sz w:val="28"/>
          <w:szCs w:val="28"/>
        </w:rPr>
        <w:t xml:space="preserve"> has </w:t>
      </w:r>
      <w:r w:rsidR="001A325F" w:rsidRPr="001D56C6">
        <w:rPr>
          <w:sz w:val="28"/>
          <w:szCs w:val="28"/>
        </w:rPr>
        <w:t>order</w:t>
      </w:r>
      <w:r w:rsidR="008C46F6" w:rsidRPr="001D56C6">
        <w:rPr>
          <w:sz w:val="28"/>
          <w:szCs w:val="28"/>
        </w:rPr>
        <w:t>ed</w:t>
      </w:r>
      <w:r w:rsidR="001A325F" w:rsidRPr="001D56C6">
        <w:rPr>
          <w:sz w:val="28"/>
          <w:szCs w:val="28"/>
        </w:rPr>
        <w:t xml:space="preserve"> that, </w:t>
      </w:r>
      <w:r w:rsidR="008C46F6" w:rsidRPr="001D56C6">
        <w:rPr>
          <w:sz w:val="28"/>
          <w:szCs w:val="28"/>
        </w:rPr>
        <w:t>in the face of</w:t>
      </w:r>
      <w:r w:rsidR="001A325F" w:rsidRPr="001D56C6">
        <w:rPr>
          <w:sz w:val="28"/>
          <w:szCs w:val="28"/>
        </w:rPr>
        <w:t xml:space="preserve"> a </w:t>
      </w:r>
      <w:r w:rsidR="000D3660" w:rsidRPr="001D56C6">
        <w:rPr>
          <w:sz w:val="28"/>
          <w:szCs w:val="28"/>
        </w:rPr>
        <w:t>valid</w:t>
      </w:r>
      <w:r w:rsidR="001A325F" w:rsidRPr="001D56C6">
        <w:rPr>
          <w:sz w:val="28"/>
          <w:szCs w:val="28"/>
        </w:rPr>
        <w:t xml:space="preserve"> and binding court order</w:t>
      </w:r>
      <w:r w:rsidR="004F512F" w:rsidRPr="001D56C6">
        <w:rPr>
          <w:sz w:val="28"/>
          <w:szCs w:val="28"/>
        </w:rPr>
        <w:t>,</w:t>
      </w:r>
      <w:r w:rsidR="001A325F" w:rsidRPr="001D56C6">
        <w:rPr>
          <w:sz w:val="28"/>
          <w:szCs w:val="28"/>
        </w:rPr>
        <w:t xml:space="preserve"> </w:t>
      </w:r>
      <w:r w:rsidR="009F726F" w:rsidRPr="001D56C6">
        <w:rPr>
          <w:sz w:val="28"/>
          <w:szCs w:val="28"/>
        </w:rPr>
        <w:t xml:space="preserve">which was not susceptible of </w:t>
      </w:r>
      <w:r w:rsidR="001A325F" w:rsidRPr="001D56C6">
        <w:rPr>
          <w:sz w:val="28"/>
          <w:szCs w:val="28"/>
        </w:rPr>
        <w:t xml:space="preserve">being set aside, </w:t>
      </w:r>
      <w:r w:rsidR="0003731F" w:rsidRPr="001D56C6">
        <w:rPr>
          <w:sz w:val="28"/>
          <w:szCs w:val="28"/>
        </w:rPr>
        <w:t>a judgment creditor should be prohibited from executing on it</w:t>
      </w:r>
      <w:r w:rsidR="001A325F" w:rsidRPr="001D56C6">
        <w:rPr>
          <w:sz w:val="28"/>
          <w:szCs w:val="28"/>
        </w:rPr>
        <w:t xml:space="preserve">. Nor could I find any. </w:t>
      </w:r>
    </w:p>
    <w:p w14:paraId="1E9565AE" w14:textId="77777777" w:rsidR="001A325F" w:rsidRPr="00127B01" w:rsidRDefault="001A325F" w:rsidP="001A325F">
      <w:pPr>
        <w:pStyle w:val="ListParagraph"/>
        <w:ind w:left="0"/>
        <w:rPr>
          <w:sz w:val="28"/>
          <w:szCs w:val="28"/>
        </w:rPr>
      </w:pPr>
    </w:p>
    <w:p w14:paraId="58C1EFFC" w14:textId="19DB06F2" w:rsidR="001C1292" w:rsidRPr="001D56C6" w:rsidRDefault="001D56C6" w:rsidP="001D56C6">
      <w:pPr>
        <w:rPr>
          <w:sz w:val="28"/>
          <w:szCs w:val="28"/>
        </w:rPr>
      </w:pPr>
      <w:r w:rsidRPr="00127B01">
        <w:rPr>
          <w:sz w:val="28"/>
          <w:szCs w:val="28"/>
        </w:rPr>
        <w:t>[19]</w:t>
      </w:r>
      <w:r w:rsidRPr="00127B01">
        <w:rPr>
          <w:sz w:val="28"/>
          <w:szCs w:val="28"/>
        </w:rPr>
        <w:tab/>
      </w:r>
      <w:r w:rsidR="002D69BC" w:rsidRPr="001D56C6">
        <w:rPr>
          <w:sz w:val="28"/>
          <w:szCs w:val="28"/>
        </w:rPr>
        <w:t xml:space="preserve">The </w:t>
      </w:r>
      <w:r w:rsidR="00D15989" w:rsidRPr="001D56C6">
        <w:rPr>
          <w:sz w:val="28"/>
          <w:szCs w:val="28"/>
        </w:rPr>
        <w:t>contentions</w:t>
      </w:r>
      <w:r w:rsidR="002D69BC" w:rsidRPr="001D56C6">
        <w:rPr>
          <w:sz w:val="28"/>
          <w:szCs w:val="28"/>
        </w:rPr>
        <w:t xml:space="preserve"> </w:t>
      </w:r>
      <w:r w:rsidR="003B1982" w:rsidRPr="001D56C6">
        <w:rPr>
          <w:sz w:val="28"/>
          <w:szCs w:val="28"/>
        </w:rPr>
        <w:t xml:space="preserve">of the Departments </w:t>
      </w:r>
      <w:r w:rsidR="002D69BC" w:rsidRPr="001D56C6">
        <w:rPr>
          <w:sz w:val="28"/>
          <w:szCs w:val="28"/>
        </w:rPr>
        <w:t>fell essentially into two categories: First, that</w:t>
      </w:r>
      <w:r w:rsidR="000E2A2D" w:rsidRPr="001D56C6">
        <w:rPr>
          <w:sz w:val="28"/>
          <w:szCs w:val="28"/>
        </w:rPr>
        <w:t xml:space="preserve"> courts have </w:t>
      </w:r>
      <w:r w:rsidR="003B1982" w:rsidRPr="001D56C6">
        <w:rPr>
          <w:sz w:val="28"/>
          <w:szCs w:val="28"/>
        </w:rPr>
        <w:t xml:space="preserve">previously </w:t>
      </w:r>
      <w:r w:rsidR="000E2A2D" w:rsidRPr="001D56C6">
        <w:rPr>
          <w:sz w:val="28"/>
          <w:szCs w:val="28"/>
        </w:rPr>
        <w:t>granted orders under s 172(1)</w:t>
      </w:r>
      <w:r w:rsidR="000E2A2D" w:rsidRPr="001D56C6">
        <w:rPr>
          <w:i/>
          <w:iCs/>
          <w:sz w:val="28"/>
          <w:szCs w:val="28"/>
        </w:rPr>
        <w:t>(b)</w:t>
      </w:r>
      <w:r w:rsidR="000E2A2D" w:rsidRPr="001D56C6">
        <w:rPr>
          <w:sz w:val="28"/>
          <w:szCs w:val="28"/>
        </w:rPr>
        <w:t xml:space="preserve"> either for repayment of moneys </w:t>
      </w:r>
      <w:r w:rsidR="00AC3312" w:rsidRPr="001D56C6">
        <w:rPr>
          <w:sz w:val="28"/>
          <w:szCs w:val="28"/>
        </w:rPr>
        <w:t xml:space="preserve">or </w:t>
      </w:r>
      <w:r w:rsidR="003B1982" w:rsidRPr="001D56C6">
        <w:rPr>
          <w:sz w:val="28"/>
          <w:szCs w:val="28"/>
        </w:rPr>
        <w:t>pr</w:t>
      </w:r>
      <w:r w:rsidR="001F1EFB" w:rsidRPr="001D56C6">
        <w:rPr>
          <w:sz w:val="28"/>
          <w:szCs w:val="28"/>
        </w:rPr>
        <w:t>ohibiting</w:t>
      </w:r>
      <w:r w:rsidR="003B1982" w:rsidRPr="001D56C6">
        <w:rPr>
          <w:sz w:val="28"/>
          <w:szCs w:val="28"/>
        </w:rPr>
        <w:t xml:space="preserve"> </w:t>
      </w:r>
      <w:r w:rsidR="00AC3312" w:rsidRPr="001D56C6">
        <w:rPr>
          <w:sz w:val="28"/>
          <w:szCs w:val="28"/>
        </w:rPr>
        <w:t>any further payments</w:t>
      </w:r>
      <w:r w:rsidR="003B1982" w:rsidRPr="001D56C6">
        <w:rPr>
          <w:sz w:val="28"/>
          <w:szCs w:val="28"/>
        </w:rPr>
        <w:t xml:space="preserve"> on invalid contracts</w:t>
      </w:r>
      <w:r w:rsidR="006B70BA" w:rsidRPr="001D56C6">
        <w:rPr>
          <w:sz w:val="28"/>
          <w:szCs w:val="28"/>
        </w:rPr>
        <w:t xml:space="preserve">. </w:t>
      </w:r>
      <w:r w:rsidR="008C46F6" w:rsidRPr="001D56C6">
        <w:rPr>
          <w:sz w:val="28"/>
          <w:szCs w:val="28"/>
        </w:rPr>
        <w:t xml:space="preserve">This, they submitted, should apply equally to this matter. </w:t>
      </w:r>
      <w:r w:rsidR="006B70BA" w:rsidRPr="001D56C6">
        <w:rPr>
          <w:sz w:val="28"/>
          <w:szCs w:val="28"/>
        </w:rPr>
        <w:t xml:space="preserve">Secondly, </w:t>
      </w:r>
      <w:r w:rsidR="00EB03DB" w:rsidRPr="001D56C6">
        <w:rPr>
          <w:sz w:val="28"/>
          <w:szCs w:val="28"/>
        </w:rPr>
        <w:t xml:space="preserve">that </w:t>
      </w:r>
      <w:r w:rsidR="001B2B9C" w:rsidRPr="001D56C6">
        <w:rPr>
          <w:sz w:val="28"/>
          <w:szCs w:val="28"/>
        </w:rPr>
        <w:t xml:space="preserve">it </w:t>
      </w:r>
      <w:r w:rsidR="00506555" w:rsidRPr="001D56C6">
        <w:rPr>
          <w:sz w:val="28"/>
          <w:szCs w:val="28"/>
        </w:rPr>
        <w:t>is</w:t>
      </w:r>
      <w:r w:rsidR="001B2B9C" w:rsidRPr="001D56C6">
        <w:rPr>
          <w:sz w:val="28"/>
          <w:szCs w:val="28"/>
        </w:rPr>
        <w:t xml:space="preserve"> permissible </w:t>
      </w:r>
      <w:r w:rsidR="00D04968" w:rsidRPr="001D56C6">
        <w:rPr>
          <w:sz w:val="28"/>
          <w:szCs w:val="28"/>
        </w:rPr>
        <w:t>under</w:t>
      </w:r>
      <w:r w:rsidR="00ED555D" w:rsidRPr="001D56C6">
        <w:rPr>
          <w:sz w:val="28"/>
          <w:szCs w:val="28"/>
        </w:rPr>
        <w:t xml:space="preserve"> s 172(1)</w:t>
      </w:r>
      <w:r w:rsidR="00ED555D" w:rsidRPr="001D56C6">
        <w:rPr>
          <w:i/>
          <w:iCs/>
          <w:sz w:val="28"/>
          <w:szCs w:val="28"/>
        </w:rPr>
        <w:t>(b)</w:t>
      </w:r>
      <w:r w:rsidR="00ED555D" w:rsidRPr="001D56C6">
        <w:rPr>
          <w:sz w:val="28"/>
          <w:szCs w:val="28"/>
        </w:rPr>
        <w:t xml:space="preserve"> for a court </w:t>
      </w:r>
      <w:r w:rsidR="001B2B9C" w:rsidRPr="001D56C6">
        <w:rPr>
          <w:sz w:val="28"/>
          <w:szCs w:val="28"/>
        </w:rPr>
        <w:t>to excuse payment of a valid</w:t>
      </w:r>
      <w:r w:rsidR="00ED555D" w:rsidRPr="001D56C6">
        <w:rPr>
          <w:sz w:val="28"/>
          <w:szCs w:val="28"/>
        </w:rPr>
        <w:t xml:space="preserve"> and binding order </w:t>
      </w:r>
      <w:r w:rsidR="003C4A90" w:rsidRPr="001D56C6">
        <w:rPr>
          <w:sz w:val="28"/>
          <w:szCs w:val="28"/>
        </w:rPr>
        <w:t xml:space="preserve">of court </w:t>
      </w:r>
      <w:r w:rsidR="00ED555D" w:rsidRPr="001D56C6">
        <w:rPr>
          <w:sz w:val="28"/>
          <w:szCs w:val="28"/>
        </w:rPr>
        <w:t xml:space="preserve">which </w:t>
      </w:r>
      <w:r w:rsidR="008C5064" w:rsidRPr="001D56C6">
        <w:rPr>
          <w:sz w:val="28"/>
          <w:szCs w:val="28"/>
        </w:rPr>
        <w:t>i</w:t>
      </w:r>
      <w:r w:rsidR="00ED555D" w:rsidRPr="001D56C6">
        <w:rPr>
          <w:sz w:val="28"/>
          <w:szCs w:val="28"/>
        </w:rPr>
        <w:t>s</w:t>
      </w:r>
      <w:r w:rsidR="001B2B9C" w:rsidRPr="001D56C6">
        <w:rPr>
          <w:sz w:val="28"/>
          <w:szCs w:val="28"/>
        </w:rPr>
        <w:t xml:space="preserve"> not subject to challenge. </w:t>
      </w:r>
    </w:p>
    <w:p w14:paraId="3CF70836" w14:textId="77777777" w:rsidR="000A5F82" w:rsidRPr="00127B01" w:rsidRDefault="000A5F82" w:rsidP="000A5F82">
      <w:pPr>
        <w:pStyle w:val="ListParagraph"/>
        <w:ind w:left="0"/>
        <w:rPr>
          <w:sz w:val="28"/>
          <w:szCs w:val="28"/>
        </w:rPr>
      </w:pPr>
    </w:p>
    <w:p w14:paraId="51BE6949" w14:textId="51FF3E00" w:rsidR="00EB03DB" w:rsidRPr="00127B01" w:rsidRDefault="0097560F" w:rsidP="002D69BC">
      <w:pPr>
        <w:pStyle w:val="ListParagraph"/>
        <w:ind w:left="0"/>
        <w:rPr>
          <w:b/>
          <w:bCs/>
          <w:sz w:val="28"/>
          <w:szCs w:val="28"/>
        </w:rPr>
      </w:pPr>
      <w:r w:rsidRPr="00127B01">
        <w:rPr>
          <w:b/>
          <w:bCs/>
          <w:sz w:val="28"/>
          <w:szCs w:val="28"/>
        </w:rPr>
        <w:t>Repayments</w:t>
      </w:r>
      <w:r w:rsidR="00651CEC" w:rsidRPr="00127B01">
        <w:rPr>
          <w:b/>
          <w:bCs/>
          <w:sz w:val="28"/>
          <w:szCs w:val="28"/>
        </w:rPr>
        <w:t>,</w:t>
      </w:r>
      <w:r w:rsidRPr="00127B01">
        <w:rPr>
          <w:b/>
          <w:bCs/>
          <w:sz w:val="28"/>
          <w:szCs w:val="28"/>
        </w:rPr>
        <w:t xml:space="preserve"> or a </w:t>
      </w:r>
      <w:r w:rsidR="001F1EFB" w:rsidRPr="00127B01">
        <w:rPr>
          <w:b/>
          <w:bCs/>
          <w:sz w:val="28"/>
          <w:szCs w:val="28"/>
        </w:rPr>
        <w:t>prohibition on</w:t>
      </w:r>
      <w:r w:rsidRPr="00127B01">
        <w:rPr>
          <w:b/>
          <w:bCs/>
          <w:sz w:val="28"/>
          <w:szCs w:val="28"/>
        </w:rPr>
        <w:t xml:space="preserve"> future payments</w:t>
      </w:r>
    </w:p>
    <w:p w14:paraId="646A7D28" w14:textId="208CD3FB" w:rsidR="001A325F" w:rsidRPr="001D56C6" w:rsidRDefault="001D56C6" w:rsidP="001D56C6">
      <w:pPr>
        <w:rPr>
          <w:sz w:val="28"/>
          <w:szCs w:val="28"/>
        </w:rPr>
      </w:pPr>
      <w:r w:rsidRPr="00127B01">
        <w:rPr>
          <w:sz w:val="28"/>
          <w:szCs w:val="28"/>
        </w:rPr>
        <w:t>[20]</w:t>
      </w:r>
      <w:r w:rsidRPr="00127B01">
        <w:rPr>
          <w:sz w:val="28"/>
          <w:szCs w:val="28"/>
        </w:rPr>
        <w:tab/>
      </w:r>
      <w:r w:rsidR="001A325F" w:rsidRPr="001D56C6">
        <w:rPr>
          <w:sz w:val="28"/>
          <w:szCs w:val="28"/>
        </w:rPr>
        <w:t>Th</w:t>
      </w:r>
      <w:r w:rsidR="00C43371" w:rsidRPr="001D56C6">
        <w:rPr>
          <w:sz w:val="28"/>
          <w:szCs w:val="28"/>
        </w:rPr>
        <w:t xml:space="preserve">e </w:t>
      </w:r>
      <w:r w:rsidR="00D15989" w:rsidRPr="001D56C6">
        <w:rPr>
          <w:sz w:val="28"/>
          <w:szCs w:val="28"/>
        </w:rPr>
        <w:t>submission</w:t>
      </w:r>
      <w:r w:rsidR="00C43371" w:rsidRPr="001D56C6">
        <w:rPr>
          <w:sz w:val="28"/>
          <w:szCs w:val="28"/>
        </w:rPr>
        <w:t xml:space="preserve"> of</w:t>
      </w:r>
      <w:r w:rsidR="001A325F" w:rsidRPr="001D56C6">
        <w:rPr>
          <w:sz w:val="28"/>
          <w:szCs w:val="28"/>
        </w:rPr>
        <w:t xml:space="preserve"> the Department</w:t>
      </w:r>
      <w:r w:rsidR="0039383C" w:rsidRPr="001D56C6">
        <w:rPr>
          <w:sz w:val="28"/>
          <w:szCs w:val="28"/>
        </w:rPr>
        <w:t>s</w:t>
      </w:r>
      <w:r w:rsidR="001A325F" w:rsidRPr="001D56C6">
        <w:rPr>
          <w:sz w:val="28"/>
          <w:szCs w:val="28"/>
        </w:rPr>
        <w:t xml:space="preserve"> was that:</w:t>
      </w:r>
    </w:p>
    <w:p w14:paraId="6450432B" w14:textId="25E214DC" w:rsidR="001A325F" w:rsidRPr="00127B01" w:rsidRDefault="001A325F" w:rsidP="001A325F">
      <w:pPr>
        <w:pStyle w:val="ListParagraph"/>
        <w:ind w:left="0"/>
        <w:rPr>
          <w:sz w:val="24"/>
          <w:szCs w:val="24"/>
        </w:rPr>
      </w:pPr>
      <w:r w:rsidRPr="00127B01">
        <w:rPr>
          <w:sz w:val="24"/>
          <w:szCs w:val="24"/>
        </w:rPr>
        <w:t>‘In some cases</w:t>
      </w:r>
      <w:r w:rsidR="00045D07" w:rsidRPr="00127B01">
        <w:rPr>
          <w:sz w:val="24"/>
          <w:szCs w:val="24"/>
        </w:rPr>
        <w:t xml:space="preserve"> .</w:t>
      </w:r>
      <w:r w:rsidRPr="00127B01">
        <w:rPr>
          <w:sz w:val="24"/>
          <w:szCs w:val="24"/>
        </w:rPr>
        <w:t xml:space="preserve"> . . the Courts unravel the financial consequences of the illegal contract </w:t>
      </w:r>
      <w:r w:rsidRPr="00127B01">
        <w:rPr>
          <w:i/>
          <w:iCs/>
          <w:sz w:val="24"/>
          <w:szCs w:val="24"/>
        </w:rPr>
        <w:t>even after</w:t>
      </w:r>
      <w:r w:rsidRPr="00127B01">
        <w:rPr>
          <w:sz w:val="24"/>
          <w:szCs w:val="24"/>
        </w:rPr>
        <w:t xml:space="preserve"> any payment under the impugned contract has been made, by ordering repayment.’ </w:t>
      </w:r>
    </w:p>
    <w:p w14:paraId="762DA814" w14:textId="77777777" w:rsidR="001A325F" w:rsidRPr="00127B01" w:rsidRDefault="001A325F" w:rsidP="001A325F">
      <w:pPr>
        <w:pStyle w:val="ListParagraph"/>
        <w:ind w:left="0"/>
        <w:rPr>
          <w:sz w:val="28"/>
          <w:szCs w:val="28"/>
        </w:rPr>
      </w:pPr>
      <w:r w:rsidRPr="00127B01">
        <w:rPr>
          <w:sz w:val="28"/>
          <w:szCs w:val="28"/>
        </w:rPr>
        <w:t>Reliance was placed on such ‘return-of-payment’ orders in the following matters:</w:t>
      </w:r>
    </w:p>
    <w:p w14:paraId="5095F0D7" w14:textId="5569A520" w:rsidR="001A325F" w:rsidRPr="00127B01" w:rsidRDefault="001A325F" w:rsidP="001A325F">
      <w:pPr>
        <w:pStyle w:val="ListParagraph"/>
        <w:ind w:left="0"/>
        <w:rPr>
          <w:sz w:val="28"/>
          <w:szCs w:val="28"/>
        </w:rPr>
      </w:pPr>
      <w:r w:rsidRPr="00127B01">
        <w:rPr>
          <w:sz w:val="28"/>
          <w:szCs w:val="28"/>
        </w:rPr>
        <w:t>a)</w:t>
      </w:r>
      <w:r w:rsidR="00242134">
        <w:rPr>
          <w:sz w:val="28"/>
          <w:szCs w:val="28"/>
        </w:rPr>
        <w:tab/>
      </w:r>
      <w:r w:rsidRPr="00127B01">
        <w:rPr>
          <w:i/>
          <w:iCs/>
          <w:sz w:val="28"/>
          <w:szCs w:val="28"/>
        </w:rPr>
        <w:t>Mining Qualifications Authority v IFU Training Institute (Pty) Ltd</w:t>
      </w:r>
      <w:r w:rsidRPr="00127B01">
        <w:rPr>
          <w:sz w:val="28"/>
          <w:szCs w:val="28"/>
        </w:rPr>
        <w:t>.</w:t>
      </w:r>
      <w:r w:rsidRPr="00127B01">
        <w:rPr>
          <w:rStyle w:val="FootnoteReference"/>
          <w:sz w:val="28"/>
          <w:szCs w:val="28"/>
        </w:rPr>
        <w:footnoteReference w:id="8"/>
      </w:r>
      <w:r w:rsidRPr="00127B01">
        <w:rPr>
          <w:sz w:val="28"/>
          <w:szCs w:val="28"/>
        </w:rPr>
        <w:t xml:space="preserve"> In this matter the entity </w:t>
      </w:r>
      <w:r w:rsidR="00E95BA1" w:rsidRPr="00127B01">
        <w:rPr>
          <w:sz w:val="28"/>
          <w:szCs w:val="28"/>
        </w:rPr>
        <w:t>that</w:t>
      </w:r>
      <w:r w:rsidRPr="00127B01">
        <w:rPr>
          <w:sz w:val="28"/>
          <w:szCs w:val="28"/>
        </w:rPr>
        <w:t xml:space="preserve"> had profited from an unlawful contract was directed to repay the profits once these had been determined, along with interest.</w:t>
      </w:r>
    </w:p>
    <w:p w14:paraId="23453F66" w14:textId="3A744056" w:rsidR="001A325F" w:rsidRPr="00127B01" w:rsidRDefault="001A325F" w:rsidP="001A325F">
      <w:pPr>
        <w:pStyle w:val="ListParagraph"/>
        <w:ind w:left="0"/>
        <w:rPr>
          <w:sz w:val="28"/>
          <w:szCs w:val="28"/>
        </w:rPr>
      </w:pPr>
      <w:r w:rsidRPr="00127B01">
        <w:rPr>
          <w:sz w:val="28"/>
          <w:szCs w:val="28"/>
        </w:rPr>
        <w:lastRenderedPageBreak/>
        <w:t>b)</w:t>
      </w:r>
      <w:r w:rsidRPr="00127B01">
        <w:rPr>
          <w:sz w:val="28"/>
          <w:szCs w:val="28"/>
        </w:rPr>
        <w:tab/>
      </w:r>
      <w:r w:rsidRPr="00127B01">
        <w:rPr>
          <w:i/>
          <w:iCs/>
          <w:sz w:val="28"/>
          <w:szCs w:val="28"/>
        </w:rPr>
        <w:t>Eskom Holdings SOC Limited v McKinsey and Company Africa (Pty) Ltd and Others</w:t>
      </w:r>
      <w:r w:rsidRPr="00127B01">
        <w:rPr>
          <w:sz w:val="28"/>
          <w:szCs w:val="28"/>
        </w:rPr>
        <w:t>.</w:t>
      </w:r>
      <w:r w:rsidRPr="00127B01">
        <w:rPr>
          <w:rStyle w:val="FootnoteReference"/>
          <w:sz w:val="28"/>
          <w:szCs w:val="28"/>
        </w:rPr>
        <w:footnoteReference w:id="9"/>
      </w:r>
      <w:r w:rsidRPr="00127B01">
        <w:rPr>
          <w:sz w:val="28"/>
          <w:szCs w:val="28"/>
        </w:rPr>
        <w:t xml:space="preserve"> There, Trillian was ordered to repay to Eskom the sum of R595 228 913.29, together with</w:t>
      </w:r>
      <w:r w:rsidR="00524D5A" w:rsidRPr="00127B01">
        <w:rPr>
          <w:sz w:val="28"/>
          <w:szCs w:val="28"/>
        </w:rPr>
        <w:t xml:space="preserve"> interest</w:t>
      </w:r>
      <w:r w:rsidRPr="00127B01">
        <w:rPr>
          <w:sz w:val="28"/>
          <w:szCs w:val="28"/>
        </w:rPr>
        <w:t>.</w:t>
      </w:r>
    </w:p>
    <w:p w14:paraId="329DF6FC" w14:textId="6A657B30" w:rsidR="001A325F" w:rsidRPr="00127B01" w:rsidRDefault="001A325F" w:rsidP="001A325F">
      <w:pPr>
        <w:pStyle w:val="ListParagraph"/>
        <w:ind w:left="0"/>
        <w:rPr>
          <w:sz w:val="28"/>
          <w:szCs w:val="28"/>
        </w:rPr>
      </w:pPr>
      <w:r w:rsidRPr="00127B01">
        <w:rPr>
          <w:sz w:val="28"/>
          <w:szCs w:val="28"/>
        </w:rPr>
        <w:t>c)</w:t>
      </w:r>
      <w:r w:rsidRPr="00127B01">
        <w:rPr>
          <w:sz w:val="28"/>
          <w:szCs w:val="28"/>
        </w:rPr>
        <w:tab/>
      </w:r>
      <w:r w:rsidRPr="00127B01">
        <w:rPr>
          <w:i/>
          <w:iCs/>
          <w:sz w:val="28"/>
          <w:szCs w:val="28"/>
        </w:rPr>
        <w:t>Corruption Watch (NPC) (RF) v Chief Executive Officer of the South African Social Services and Others</w:t>
      </w:r>
      <w:r w:rsidR="00524D5A" w:rsidRPr="00127B01">
        <w:rPr>
          <w:sz w:val="28"/>
          <w:szCs w:val="28"/>
        </w:rPr>
        <w:t>,</w:t>
      </w:r>
      <w:r w:rsidRPr="00127B01">
        <w:rPr>
          <w:rStyle w:val="FootnoteReference"/>
          <w:sz w:val="28"/>
          <w:szCs w:val="28"/>
        </w:rPr>
        <w:footnoteReference w:id="10"/>
      </w:r>
      <w:r w:rsidRPr="00127B01">
        <w:rPr>
          <w:sz w:val="28"/>
          <w:szCs w:val="28"/>
        </w:rPr>
        <w:t xml:space="preserve"> </w:t>
      </w:r>
      <w:r w:rsidR="00524D5A" w:rsidRPr="00127B01">
        <w:rPr>
          <w:sz w:val="28"/>
          <w:szCs w:val="28"/>
        </w:rPr>
        <w:t>where Cash</w:t>
      </w:r>
      <w:r w:rsidRPr="00127B01">
        <w:rPr>
          <w:sz w:val="28"/>
          <w:szCs w:val="28"/>
        </w:rPr>
        <w:t xml:space="preserve"> Paymaster Services was ordered to repay some R316 million to South African Social Security Agency along with interest and costs. Th</w:t>
      </w:r>
      <w:r w:rsidR="00524D5A" w:rsidRPr="00127B01">
        <w:rPr>
          <w:sz w:val="28"/>
          <w:szCs w:val="28"/>
        </w:rPr>
        <w:t>at order</w:t>
      </w:r>
      <w:r w:rsidRPr="00127B01">
        <w:rPr>
          <w:sz w:val="28"/>
          <w:szCs w:val="28"/>
        </w:rPr>
        <w:t xml:space="preserve"> was confirmed </w:t>
      </w:r>
      <w:r w:rsidR="00524D5A" w:rsidRPr="00127B01">
        <w:rPr>
          <w:sz w:val="28"/>
          <w:szCs w:val="28"/>
        </w:rPr>
        <w:t xml:space="preserve">on appeal </w:t>
      </w:r>
      <w:r w:rsidRPr="00127B01">
        <w:rPr>
          <w:sz w:val="28"/>
          <w:szCs w:val="28"/>
        </w:rPr>
        <w:t>by this Court.</w:t>
      </w:r>
      <w:r w:rsidRPr="00127B01">
        <w:rPr>
          <w:rStyle w:val="FootnoteReference"/>
          <w:sz w:val="28"/>
          <w:szCs w:val="28"/>
        </w:rPr>
        <w:footnoteReference w:id="11"/>
      </w:r>
      <w:r w:rsidRPr="00127B01">
        <w:rPr>
          <w:sz w:val="28"/>
          <w:szCs w:val="28"/>
        </w:rPr>
        <w:t xml:space="preserve"> </w:t>
      </w:r>
    </w:p>
    <w:p w14:paraId="7118ED99" w14:textId="77777777" w:rsidR="001A325F" w:rsidRPr="00127B01" w:rsidRDefault="001A325F" w:rsidP="001A325F">
      <w:pPr>
        <w:pStyle w:val="ListParagraph"/>
        <w:ind w:left="0"/>
        <w:rPr>
          <w:sz w:val="28"/>
          <w:szCs w:val="28"/>
        </w:rPr>
      </w:pPr>
    </w:p>
    <w:p w14:paraId="07D496F8" w14:textId="43257568" w:rsidR="001A325F" w:rsidRPr="001D56C6" w:rsidRDefault="001D56C6" w:rsidP="001D56C6">
      <w:pPr>
        <w:rPr>
          <w:sz w:val="28"/>
          <w:szCs w:val="28"/>
        </w:rPr>
      </w:pPr>
      <w:r w:rsidRPr="00127B01">
        <w:rPr>
          <w:sz w:val="28"/>
          <w:szCs w:val="28"/>
        </w:rPr>
        <w:t>[21]</w:t>
      </w:r>
      <w:r w:rsidRPr="00127B01">
        <w:rPr>
          <w:sz w:val="28"/>
          <w:szCs w:val="28"/>
        </w:rPr>
        <w:tab/>
      </w:r>
      <w:r w:rsidR="001A325F" w:rsidRPr="001D56C6">
        <w:rPr>
          <w:sz w:val="28"/>
          <w:szCs w:val="28"/>
        </w:rPr>
        <w:t xml:space="preserve">The </w:t>
      </w:r>
      <w:r w:rsidR="005363FE" w:rsidRPr="001D56C6">
        <w:rPr>
          <w:sz w:val="28"/>
          <w:szCs w:val="28"/>
        </w:rPr>
        <w:t>Departments argued</w:t>
      </w:r>
      <w:r w:rsidR="001A325F" w:rsidRPr="001D56C6">
        <w:rPr>
          <w:sz w:val="28"/>
          <w:szCs w:val="28"/>
        </w:rPr>
        <w:t xml:space="preserve"> that, since no payment ha</w:t>
      </w:r>
      <w:r w:rsidR="005D00F0" w:rsidRPr="001D56C6">
        <w:rPr>
          <w:sz w:val="28"/>
          <w:szCs w:val="28"/>
        </w:rPr>
        <w:t>d</w:t>
      </w:r>
      <w:r w:rsidR="001A325F" w:rsidRPr="001D56C6">
        <w:rPr>
          <w:sz w:val="28"/>
          <w:szCs w:val="28"/>
        </w:rPr>
        <w:t xml:space="preserve"> yet been made to Ikamva, an order </w:t>
      </w:r>
      <w:r w:rsidR="00630186" w:rsidRPr="001D56C6">
        <w:rPr>
          <w:sz w:val="28"/>
          <w:szCs w:val="28"/>
        </w:rPr>
        <w:t>that it was not entitled to any</w:t>
      </w:r>
      <w:r w:rsidR="001A325F" w:rsidRPr="001D56C6">
        <w:rPr>
          <w:sz w:val="28"/>
          <w:szCs w:val="28"/>
        </w:rPr>
        <w:t xml:space="preserve"> payments would therefore be just and equitable. It would suffer no financial hardship since it would not be ordered to repay moneys. The glaring distinction between those matters and the present one</w:t>
      </w:r>
      <w:r w:rsidR="008E0CE5" w:rsidRPr="001D56C6">
        <w:rPr>
          <w:sz w:val="28"/>
          <w:szCs w:val="28"/>
        </w:rPr>
        <w:t>, however,</w:t>
      </w:r>
      <w:r w:rsidR="001A325F" w:rsidRPr="001D56C6">
        <w:rPr>
          <w:sz w:val="28"/>
          <w:szCs w:val="28"/>
        </w:rPr>
        <w:t xml:space="preserve"> is that in none of the others had a judgment been granted in favour</w:t>
      </w:r>
      <w:r w:rsidR="00174B6B" w:rsidRPr="001D56C6">
        <w:rPr>
          <w:sz w:val="28"/>
          <w:szCs w:val="28"/>
        </w:rPr>
        <w:t xml:space="preserve"> of the other contracting party</w:t>
      </w:r>
      <w:r w:rsidR="001A325F" w:rsidRPr="001D56C6">
        <w:rPr>
          <w:sz w:val="28"/>
          <w:szCs w:val="28"/>
        </w:rPr>
        <w:t xml:space="preserve">. In </w:t>
      </w:r>
      <w:r w:rsidR="004C67FB" w:rsidRPr="001D56C6">
        <w:rPr>
          <w:sz w:val="28"/>
          <w:szCs w:val="28"/>
        </w:rPr>
        <w:t>a word</w:t>
      </w:r>
      <w:r w:rsidR="001A325F" w:rsidRPr="001D56C6">
        <w:rPr>
          <w:sz w:val="28"/>
          <w:szCs w:val="28"/>
        </w:rPr>
        <w:t>, none of the matters relied upon above bears on the present enquiry.</w:t>
      </w:r>
    </w:p>
    <w:p w14:paraId="2A6AD755" w14:textId="77777777" w:rsidR="00174B6B" w:rsidRPr="00127B01" w:rsidRDefault="00174B6B" w:rsidP="00174B6B">
      <w:pPr>
        <w:pStyle w:val="ListParagraph"/>
        <w:ind w:left="0"/>
        <w:rPr>
          <w:sz w:val="28"/>
          <w:szCs w:val="28"/>
        </w:rPr>
      </w:pPr>
    </w:p>
    <w:p w14:paraId="370936F6" w14:textId="520B3EF2" w:rsidR="00174B6B" w:rsidRPr="001D56C6" w:rsidRDefault="001D56C6" w:rsidP="001D56C6">
      <w:pPr>
        <w:rPr>
          <w:sz w:val="28"/>
          <w:szCs w:val="28"/>
        </w:rPr>
      </w:pPr>
      <w:r w:rsidRPr="00127B01">
        <w:rPr>
          <w:sz w:val="28"/>
          <w:szCs w:val="28"/>
        </w:rPr>
        <w:t>[22]</w:t>
      </w:r>
      <w:r w:rsidRPr="00127B01">
        <w:rPr>
          <w:sz w:val="28"/>
          <w:szCs w:val="28"/>
        </w:rPr>
        <w:tab/>
      </w:r>
      <w:r w:rsidR="00174B6B" w:rsidRPr="001D56C6">
        <w:rPr>
          <w:sz w:val="28"/>
          <w:szCs w:val="28"/>
        </w:rPr>
        <w:t xml:space="preserve">The Department also sought </w:t>
      </w:r>
      <w:r w:rsidR="00C43371" w:rsidRPr="001D56C6">
        <w:rPr>
          <w:sz w:val="28"/>
          <w:szCs w:val="28"/>
        </w:rPr>
        <w:t>to rely</w:t>
      </w:r>
      <w:r w:rsidR="00F732FE" w:rsidRPr="001D56C6">
        <w:rPr>
          <w:sz w:val="28"/>
          <w:szCs w:val="28"/>
        </w:rPr>
        <w:t xml:space="preserve"> on</w:t>
      </w:r>
      <w:r w:rsidR="00174B6B" w:rsidRPr="001D56C6">
        <w:rPr>
          <w:sz w:val="28"/>
          <w:szCs w:val="28"/>
        </w:rPr>
        <w:t xml:space="preserve"> the dictum in </w:t>
      </w:r>
      <w:bookmarkStart w:id="2" w:name="_Hlk120565194"/>
      <w:r w:rsidR="00174B6B" w:rsidRPr="001D56C6">
        <w:rPr>
          <w:i/>
          <w:iCs/>
          <w:sz w:val="28"/>
          <w:szCs w:val="28"/>
        </w:rPr>
        <w:t>Buffalo City Metropolitan Municipality v Asla Construction (Pty) Ltd</w:t>
      </w:r>
      <w:bookmarkEnd w:id="2"/>
      <w:r w:rsidR="00174B6B" w:rsidRPr="001D56C6">
        <w:rPr>
          <w:sz w:val="28"/>
          <w:szCs w:val="28"/>
        </w:rPr>
        <w:t>,</w:t>
      </w:r>
      <w:r w:rsidR="00174B6B" w:rsidRPr="00127B01">
        <w:rPr>
          <w:rStyle w:val="FootnoteReference"/>
          <w:sz w:val="28"/>
          <w:szCs w:val="28"/>
        </w:rPr>
        <w:footnoteReference w:id="12"/>
      </w:r>
      <w:r w:rsidR="00174B6B" w:rsidRPr="001D56C6">
        <w:rPr>
          <w:sz w:val="28"/>
          <w:szCs w:val="28"/>
        </w:rPr>
        <w:t xml:space="preserve"> where the Constitutional Court held:</w:t>
      </w:r>
    </w:p>
    <w:p w14:paraId="778E4CF6" w14:textId="77777777" w:rsidR="00174B6B" w:rsidRPr="00127B01" w:rsidRDefault="00174B6B" w:rsidP="00174B6B">
      <w:pPr>
        <w:pStyle w:val="ListParagraph"/>
        <w:ind w:left="0"/>
        <w:rPr>
          <w:sz w:val="24"/>
          <w:szCs w:val="24"/>
        </w:rPr>
      </w:pPr>
      <w:r w:rsidRPr="00127B01">
        <w:rPr>
          <w:sz w:val="24"/>
          <w:szCs w:val="24"/>
        </w:rPr>
        <w:t>‘I therefore make an order declaring the Reeston contract invalid, but not setting it aside so as to preserve the rights to that the respondent might have been entitled. It should be noted that such an award preserves rights which have already accrued but does not permit a party to obtain further rights under the invalid agreement.’</w:t>
      </w:r>
    </w:p>
    <w:p w14:paraId="01B0676A" w14:textId="46B6C19D" w:rsidR="001A325F" w:rsidRPr="00127B01" w:rsidRDefault="004C67FB" w:rsidP="001A325F">
      <w:pPr>
        <w:pStyle w:val="ListParagraph"/>
        <w:ind w:left="0"/>
        <w:rPr>
          <w:sz w:val="28"/>
          <w:szCs w:val="28"/>
        </w:rPr>
      </w:pPr>
      <w:r w:rsidRPr="00127B01">
        <w:rPr>
          <w:sz w:val="28"/>
          <w:szCs w:val="28"/>
        </w:rPr>
        <w:lastRenderedPageBreak/>
        <w:t>The Departments submitted that</w:t>
      </w:r>
      <w:r w:rsidR="00630186" w:rsidRPr="00127B01">
        <w:rPr>
          <w:sz w:val="28"/>
          <w:szCs w:val="28"/>
        </w:rPr>
        <w:t xml:space="preserve"> payment of the judgment debt to Ikamva would have the effect that</w:t>
      </w:r>
      <w:r w:rsidRPr="00127B01">
        <w:rPr>
          <w:sz w:val="28"/>
          <w:szCs w:val="28"/>
        </w:rPr>
        <w:t xml:space="preserve"> further rights </w:t>
      </w:r>
      <w:r w:rsidR="00630186" w:rsidRPr="00127B01">
        <w:rPr>
          <w:sz w:val="28"/>
          <w:szCs w:val="28"/>
        </w:rPr>
        <w:t>would</w:t>
      </w:r>
      <w:r w:rsidRPr="00127B01">
        <w:rPr>
          <w:sz w:val="28"/>
          <w:szCs w:val="28"/>
        </w:rPr>
        <w:t xml:space="preserve"> accrue to </w:t>
      </w:r>
      <w:r w:rsidR="00630186" w:rsidRPr="00127B01">
        <w:rPr>
          <w:sz w:val="28"/>
          <w:szCs w:val="28"/>
        </w:rPr>
        <w:t>it under an invalid agreement</w:t>
      </w:r>
      <w:r w:rsidRPr="00127B01">
        <w:rPr>
          <w:sz w:val="28"/>
          <w:szCs w:val="28"/>
        </w:rPr>
        <w:t>.</w:t>
      </w:r>
      <w:r w:rsidR="00630186" w:rsidRPr="00127B01">
        <w:rPr>
          <w:sz w:val="28"/>
          <w:szCs w:val="28"/>
        </w:rPr>
        <w:t xml:space="preserve"> This submission fails on at least two levels.</w:t>
      </w:r>
      <w:r w:rsidRPr="00127B01">
        <w:rPr>
          <w:sz w:val="28"/>
          <w:szCs w:val="28"/>
        </w:rPr>
        <w:t xml:space="preserve"> </w:t>
      </w:r>
      <w:r w:rsidR="006922DD" w:rsidRPr="00127B01">
        <w:rPr>
          <w:sz w:val="28"/>
          <w:szCs w:val="28"/>
        </w:rPr>
        <w:t xml:space="preserve">Unlike in </w:t>
      </w:r>
      <w:r w:rsidR="00630186" w:rsidRPr="00127B01">
        <w:rPr>
          <w:i/>
          <w:iCs/>
          <w:sz w:val="28"/>
          <w:szCs w:val="28"/>
        </w:rPr>
        <w:t>Buffalo City</w:t>
      </w:r>
      <w:r w:rsidR="006922DD" w:rsidRPr="00127B01">
        <w:rPr>
          <w:sz w:val="28"/>
          <w:szCs w:val="28"/>
        </w:rPr>
        <w:t>,</w:t>
      </w:r>
      <w:r w:rsidR="00C10F5F" w:rsidRPr="00127B01">
        <w:rPr>
          <w:sz w:val="28"/>
          <w:szCs w:val="28"/>
        </w:rPr>
        <w:t xml:space="preserve"> </w:t>
      </w:r>
      <w:r w:rsidR="00FC77E1" w:rsidRPr="00127B01">
        <w:rPr>
          <w:sz w:val="28"/>
          <w:szCs w:val="28"/>
        </w:rPr>
        <w:t xml:space="preserve">as has been discussed above </w:t>
      </w:r>
      <w:r w:rsidR="00630186" w:rsidRPr="00127B01">
        <w:rPr>
          <w:sz w:val="28"/>
          <w:szCs w:val="28"/>
        </w:rPr>
        <w:t xml:space="preserve">and as conceded by the Departments, </w:t>
      </w:r>
      <w:r w:rsidR="00C10F5F" w:rsidRPr="00127B01">
        <w:rPr>
          <w:sz w:val="28"/>
          <w:szCs w:val="28"/>
        </w:rPr>
        <w:t xml:space="preserve">no </w:t>
      </w:r>
      <w:r w:rsidR="00FC77E1" w:rsidRPr="00127B01">
        <w:rPr>
          <w:sz w:val="28"/>
          <w:szCs w:val="28"/>
        </w:rPr>
        <w:t xml:space="preserve">further </w:t>
      </w:r>
      <w:r w:rsidR="00C10F5F" w:rsidRPr="00127B01">
        <w:rPr>
          <w:sz w:val="28"/>
          <w:szCs w:val="28"/>
        </w:rPr>
        <w:t xml:space="preserve">rights can accrue </w:t>
      </w:r>
      <w:r w:rsidR="00FC77E1" w:rsidRPr="00127B01">
        <w:rPr>
          <w:sz w:val="28"/>
          <w:szCs w:val="28"/>
        </w:rPr>
        <w:t xml:space="preserve">to Ikamva </w:t>
      </w:r>
      <w:r w:rsidR="00C10F5F" w:rsidRPr="00127B01">
        <w:rPr>
          <w:sz w:val="28"/>
          <w:szCs w:val="28"/>
        </w:rPr>
        <w:t>under the contract.</w:t>
      </w:r>
      <w:r w:rsidR="00F473D9" w:rsidRPr="00127B01">
        <w:rPr>
          <w:sz w:val="28"/>
          <w:szCs w:val="28"/>
        </w:rPr>
        <w:t xml:space="preserve"> </w:t>
      </w:r>
      <w:r w:rsidR="00630186" w:rsidRPr="00127B01">
        <w:rPr>
          <w:sz w:val="28"/>
          <w:szCs w:val="28"/>
        </w:rPr>
        <w:t xml:space="preserve">The right of Ikamva to execute </w:t>
      </w:r>
      <w:r w:rsidR="009A576F" w:rsidRPr="00127B01">
        <w:rPr>
          <w:sz w:val="28"/>
          <w:szCs w:val="28"/>
        </w:rPr>
        <w:t>arises</w:t>
      </w:r>
      <w:r w:rsidR="007A328B" w:rsidRPr="00127B01">
        <w:rPr>
          <w:sz w:val="28"/>
          <w:szCs w:val="28"/>
        </w:rPr>
        <w:t xml:space="preserve"> from the judgment and not the </w:t>
      </w:r>
      <w:r w:rsidR="00C10F5F" w:rsidRPr="00127B01">
        <w:rPr>
          <w:sz w:val="28"/>
          <w:szCs w:val="28"/>
        </w:rPr>
        <w:t>contract</w:t>
      </w:r>
      <w:r w:rsidR="007A328B" w:rsidRPr="00127B01">
        <w:rPr>
          <w:sz w:val="28"/>
          <w:szCs w:val="28"/>
        </w:rPr>
        <w:t>.</w:t>
      </w:r>
      <w:r w:rsidR="00630186" w:rsidRPr="00127B01">
        <w:rPr>
          <w:sz w:val="28"/>
          <w:szCs w:val="28"/>
        </w:rPr>
        <w:t xml:space="preserve"> In the second place,</w:t>
      </w:r>
      <w:r w:rsidR="0056064C" w:rsidRPr="00127B01">
        <w:rPr>
          <w:sz w:val="28"/>
          <w:szCs w:val="28"/>
        </w:rPr>
        <w:t xml:space="preserve"> it</w:t>
      </w:r>
      <w:r w:rsidR="00630186" w:rsidRPr="00127B01">
        <w:rPr>
          <w:sz w:val="28"/>
          <w:szCs w:val="28"/>
        </w:rPr>
        <w:t xml:space="preserve"> is not a ‘further’ right since it accrued on the date default judgment was granted. The </w:t>
      </w:r>
      <w:r w:rsidR="002B6821" w:rsidRPr="00127B01">
        <w:rPr>
          <w:sz w:val="28"/>
          <w:szCs w:val="28"/>
        </w:rPr>
        <w:t xml:space="preserve">crisp </w:t>
      </w:r>
      <w:r w:rsidR="00630186" w:rsidRPr="00127B01">
        <w:rPr>
          <w:sz w:val="28"/>
          <w:szCs w:val="28"/>
        </w:rPr>
        <w:t>question is whether Ikamva should be deprived of that right.</w:t>
      </w:r>
    </w:p>
    <w:p w14:paraId="7D6A7EDD" w14:textId="77777777" w:rsidR="004072E2" w:rsidRPr="00127B01" w:rsidRDefault="004072E2" w:rsidP="004072E2">
      <w:pPr>
        <w:pStyle w:val="ListParagraph"/>
        <w:ind w:left="0"/>
        <w:rPr>
          <w:sz w:val="28"/>
          <w:szCs w:val="28"/>
        </w:rPr>
      </w:pPr>
    </w:p>
    <w:p w14:paraId="49F4FF81" w14:textId="07BCF345" w:rsidR="004072E2" w:rsidRPr="001D56C6" w:rsidRDefault="001D56C6" w:rsidP="001D56C6">
      <w:pPr>
        <w:rPr>
          <w:sz w:val="28"/>
          <w:szCs w:val="28"/>
        </w:rPr>
      </w:pPr>
      <w:r w:rsidRPr="00127B01">
        <w:rPr>
          <w:sz w:val="28"/>
          <w:szCs w:val="28"/>
        </w:rPr>
        <w:t>[23]</w:t>
      </w:r>
      <w:r w:rsidRPr="00127B01">
        <w:rPr>
          <w:sz w:val="28"/>
          <w:szCs w:val="28"/>
        </w:rPr>
        <w:tab/>
      </w:r>
      <w:r w:rsidR="004072E2" w:rsidRPr="001D56C6">
        <w:rPr>
          <w:sz w:val="28"/>
          <w:szCs w:val="28"/>
        </w:rPr>
        <w:t xml:space="preserve">The above discussion shows that none of the above cases provides support for a just and equitable order which, in effect, overrides or renders nugatory an extant, valid, and binding court order. Historic awards and the underlying reasoning relating to repayments or prohibitions on future payments under contracts are clearly distinguishable. </w:t>
      </w:r>
    </w:p>
    <w:p w14:paraId="72257D92" w14:textId="77777777" w:rsidR="00630186" w:rsidRPr="00127B01" w:rsidRDefault="00630186" w:rsidP="001A325F">
      <w:pPr>
        <w:pStyle w:val="ListParagraph"/>
        <w:ind w:left="0"/>
        <w:rPr>
          <w:sz w:val="28"/>
          <w:szCs w:val="28"/>
        </w:rPr>
      </w:pPr>
    </w:p>
    <w:p w14:paraId="4C1927BF" w14:textId="0B918E02" w:rsidR="00864BD7" w:rsidRPr="00127B01" w:rsidRDefault="00F752CF" w:rsidP="001A325F">
      <w:pPr>
        <w:pStyle w:val="ListParagraph"/>
        <w:ind w:left="0"/>
        <w:rPr>
          <w:b/>
          <w:bCs/>
          <w:sz w:val="28"/>
          <w:szCs w:val="28"/>
        </w:rPr>
      </w:pPr>
      <w:r w:rsidRPr="00127B01">
        <w:rPr>
          <w:b/>
          <w:bCs/>
          <w:sz w:val="28"/>
          <w:szCs w:val="28"/>
        </w:rPr>
        <w:t>Permissible for a court to excuse payment of a valid and binding order of court?</w:t>
      </w:r>
    </w:p>
    <w:p w14:paraId="11AF8713" w14:textId="52D59FF7" w:rsidR="00BE2EB9" w:rsidRPr="001D56C6" w:rsidRDefault="001D56C6" w:rsidP="001D56C6">
      <w:pPr>
        <w:rPr>
          <w:sz w:val="28"/>
          <w:szCs w:val="28"/>
        </w:rPr>
      </w:pPr>
      <w:r w:rsidRPr="00127B01">
        <w:rPr>
          <w:sz w:val="28"/>
          <w:szCs w:val="28"/>
        </w:rPr>
        <w:t>[24]</w:t>
      </w:r>
      <w:r w:rsidRPr="00127B01">
        <w:rPr>
          <w:sz w:val="28"/>
          <w:szCs w:val="28"/>
        </w:rPr>
        <w:tab/>
      </w:r>
      <w:r w:rsidR="00864BD7" w:rsidRPr="001D56C6">
        <w:rPr>
          <w:sz w:val="28"/>
          <w:szCs w:val="28"/>
        </w:rPr>
        <w:t>Here, t</w:t>
      </w:r>
      <w:r w:rsidR="00BE2EB9" w:rsidRPr="001D56C6">
        <w:rPr>
          <w:sz w:val="28"/>
          <w:szCs w:val="28"/>
        </w:rPr>
        <w:t xml:space="preserve">he Departments set </w:t>
      </w:r>
      <w:r w:rsidR="00F35F42" w:rsidRPr="001D56C6">
        <w:rPr>
          <w:sz w:val="28"/>
          <w:szCs w:val="28"/>
        </w:rPr>
        <w:t xml:space="preserve">great </w:t>
      </w:r>
      <w:r w:rsidR="00BE2EB9" w:rsidRPr="001D56C6">
        <w:rPr>
          <w:sz w:val="28"/>
          <w:szCs w:val="28"/>
        </w:rPr>
        <w:t xml:space="preserve">store by the matter of </w:t>
      </w:r>
      <w:r w:rsidR="00BE2EB9" w:rsidRPr="001D56C6">
        <w:rPr>
          <w:i/>
          <w:iCs/>
          <w:sz w:val="28"/>
          <w:szCs w:val="28"/>
        </w:rPr>
        <w:t>Department of Transport and Others v Tasima (Pty) Ltd</w:t>
      </w:r>
      <w:r w:rsidR="00BE2EB9" w:rsidRPr="001D56C6">
        <w:rPr>
          <w:sz w:val="28"/>
          <w:szCs w:val="28"/>
        </w:rPr>
        <w:t>.</w:t>
      </w:r>
      <w:r w:rsidR="00BE2EB9" w:rsidRPr="00127B01">
        <w:rPr>
          <w:rStyle w:val="FootnoteReference"/>
          <w:sz w:val="28"/>
          <w:szCs w:val="28"/>
        </w:rPr>
        <w:footnoteReference w:id="13"/>
      </w:r>
      <w:r w:rsidR="00BE2EB9" w:rsidRPr="001D56C6">
        <w:rPr>
          <w:sz w:val="28"/>
          <w:szCs w:val="28"/>
        </w:rPr>
        <w:t xml:space="preserve"> After a fixed term contract for a period of five years in favour of Tasima had expired by effluxion of time, it was renewed on a monthly basis. Thereafter, the Director-General purported to extend it for five years to 30 April 2015. The extension was invalid. The department accordingly stopped all payments. Tasima approached the </w:t>
      </w:r>
      <w:r w:rsidR="00E71EF4" w:rsidRPr="001D56C6">
        <w:rPr>
          <w:sz w:val="28"/>
          <w:szCs w:val="28"/>
        </w:rPr>
        <w:t>h</w:t>
      </w:r>
      <w:r w:rsidR="00BE2EB9" w:rsidRPr="001D56C6">
        <w:rPr>
          <w:sz w:val="28"/>
          <w:szCs w:val="28"/>
        </w:rPr>
        <w:t xml:space="preserve">igh </w:t>
      </w:r>
      <w:r w:rsidR="00E71EF4" w:rsidRPr="001D56C6">
        <w:rPr>
          <w:sz w:val="28"/>
          <w:szCs w:val="28"/>
        </w:rPr>
        <w:t>c</w:t>
      </w:r>
      <w:r w:rsidR="00BE2EB9" w:rsidRPr="001D56C6">
        <w:rPr>
          <w:sz w:val="28"/>
          <w:szCs w:val="28"/>
        </w:rPr>
        <w:t>ourt and obtained an order that the department should comply with its obligations under the extension ‘</w:t>
      </w:r>
      <w:r w:rsidR="00E71EF4" w:rsidRPr="001D56C6">
        <w:rPr>
          <w:sz w:val="28"/>
          <w:szCs w:val="28"/>
        </w:rPr>
        <w:t xml:space="preserve">. . . </w:t>
      </w:r>
      <w:r w:rsidR="00BE2EB9" w:rsidRPr="001D56C6">
        <w:rPr>
          <w:sz w:val="28"/>
          <w:szCs w:val="28"/>
        </w:rPr>
        <w:t>pending the finalisation of the dispute resolution proceedings</w:t>
      </w:r>
      <w:r w:rsidR="00CF711B" w:rsidRPr="001D56C6">
        <w:rPr>
          <w:sz w:val="28"/>
          <w:szCs w:val="28"/>
        </w:rPr>
        <w:t xml:space="preserve"> </w:t>
      </w:r>
      <w:r w:rsidR="00E71EF4" w:rsidRPr="001D56C6">
        <w:rPr>
          <w:sz w:val="28"/>
          <w:szCs w:val="28"/>
        </w:rPr>
        <w:t xml:space="preserve">. . . </w:t>
      </w:r>
      <w:r w:rsidR="00BE2EB9" w:rsidRPr="001D56C6">
        <w:rPr>
          <w:sz w:val="28"/>
          <w:szCs w:val="28"/>
        </w:rPr>
        <w:t xml:space="preserve">’. In March 2015, Tasima launched an urgent application seeking to hold the department and others in </w:t>
      </w:r>
      <w:r w:rsidR="00BE2EB9" w:rsidRPr="001D56C6">
        <w:rPr>
          <w:sz w:val="28"/>
          <w:szCs w:val="28"/>
        </w:rPr>
        <w:lastRenderedPageBreak/>
        <w:t>contempt. This prompted a counter</w:t>
      </w:r>
      <w:r w:rsidR="00E71EF4" w:rsidRPr="001D56C6">
        <w:rPr>
          <w:sz w:val="28"/>
          <w:szCs w:val="28"/>
        </w:rPr>
        <w:t>-</w:t>
      </w:r>
      <w:r w:rsidR="00BE2EB9" w:rsidRPr="001D56C6">
        <w:rPr>
          <w:sz w:val="28"/>
          <w:szCs w:val="28"/>
        </w:rPr>
        <w:t>application to review and set aside the extension of the contract on the basis that it did not comply with s 217 of the Constitution</w:t>
      </w:r>
      <w:r w:rsidR="00BE2EB9" w:rsidRPr="00127B01">
        <w:rPr>
          <w:vertAlign w:val="superscript"/>
        </w:rPr>
        <w:footnoteReference w:id="14"/>
      </w:r>
      <w:r w:rsidR="00BE2EB9" w:rsidRPr="001D56C6">
        <w:rPr>
          <w:sz w:val="28"/>
          <w:szCs w:val="28"/>
        </w:rPr>
        <w:t xml:space="preserve"> </w:t>
      </w:r>
      <w:r w:rsidR="008D5F3C" w:rsidRPr="001D56C6">
        <w:rPr>
          <w:sz w:val="28"/>
          <w:szCs w:val="28"/>
        </w:rPr>
        <w:t>a</w:t>
      </w:r>
      <w:r w:rsidR="00BE2EB9" w:rsidRPr="001D56C6">
        <w:rPr>
          <w:sz w:val="28"/>
          <w:szCs w:val="28"/>
        </w:rPr>
        <w:t>nd s 38 of the Public Finance Management Act 29 of 1999</w:t>
      </w:r>
      <w:r w:rsidR="005865CF" w:rsidRPr="001D56C6">
        <w:rPr>
          <w:sz w:val="28"/>
          <w:szCs w:val="28"/>
        </w:rPr>
        <w:t>.</w:t>
      </w:r>
      <w:r w:rsidR="00BE2EB9" w:rsidRPr="001D56C6">
        <w:rPr>
          <w:sz w:val="28"/>
          <w:szCs w:val="28"/>
        </w:rPr>
        <w:t xml:space="preserve"> </w:t>
      </w:r>
    </w:p>
    <w:p w14:paraId="560E58BF" w14:textId="77777777" w:rsidR="00F752CF" w:rsidRPr="00127B01" w:rsidRDefault="00F752CF" w:rsidP="00F752CF">
      <w:pPr>
        <w:pStyle w:val="ListParagraph"/>
        <w:ind w:left="0"/>
        <w:rPr>
          <w:sz w:val="28"/>
          <w:szCs w:val="28"/>
        </w:rPr>
      </w:pPr>
    </w:p>
    <w:p w14:paraId="7471EE76" w14:textId="4A05455D" w:rsidR="00BE2EB9" w:rsidRPr="001D56C6" w:rsidRDefault="001D56C6" w:rsidP="001D56C6">
      <w:pPr>
        <w:rPr>
          <w:sz w:val="28"/>
          <w:szCs w:val="28"/>
        </w:rPr>
      </w:pPr>
      <w:r w:rsidRPr="00127B01">
        <w:rPr>
          <w:sz w:val="28"/>
          <w:szCs w:val="28"/>
        </w:rPr>
        <w:t>[25]</w:t>
      </w:r>
      <w:r w:rsidRPr="00127B01">
        <w:rPr>
          <w:sz w:val="28"/>
          <w:szCs w:val="28"/>
        </w:rPr>
        <w:tab/>
      </w:r>
      <w:r w:rsidR="00BE2EB9" w:rsidRPr="001D56C6">
        <w:rPr>
          <w:sz w:val="28"/>
          <w:szCs w:val="28"/>
        </w:rPr>
        <w:t>The majority in the Constitutional Court found that even if such an order based on the invalid extension of the contract was invalid, ‘. . . in light of section 165(5) of the Constitution, the order is binding, irrespective of whether or not it is valid, until set aside’</w:t>
      </w:r>
      <w:r w:rsidR="00BE2EB9" w:rsidRPr="00127B01">
        <w:rPr>
          <w:rStyle w:val="FootnoteReference"/>
          <w:sz w:val="28"/>
          <w:szCs w:val="28"/>
        </w:rPr>
        <w:footnoteReference w:id="15"/>
      </w:r>
      <w:r w:rsidR="00BE2EB9" w:rsidRPr="001D56C6">
        <w:rPr>
          <w:sz w:val="28"/>
          <w:szCs w:val="28"/>
        </w:rPr>
        <w:t xml:space="preserve"> and that, ‘[for] as long as the contract persisted, the High Court orders had to be obeyed</w:t>
      </w:r>
      <w:r w:rsidR="006D6208" w:rsidRPr="001D56C6">
        <w:rPr>
          <w:sz w:val="28"/>
          <w:szCs w:val="28"/>
        </w:rPr>
        <w:t>’</w:t>
      </w:r>
      <w:r w:rsidR="00BE2EB9" w:rsidRPr="001D56C6">
        <w:rPr>
          <w:sz w:val="28"/>
          <w:szCs w:val="28"/>
        </w:rPr>
        <w:t>.</w:t>
      </w:r>
      <w:r w:rsidR="00BE2EB9" w:rsidRPr="00127B01">
        <w:rPr>
          <w:rStyle w:val="FootnoteReference"/>
          <w:sz w:val="28"/>
          <w:szCs w:val="28"/>
        </w:rPr>
        <w:footnoteReference w:id="16"/>
      </w:r>
      <w:r w:rsidR="00BE2EB9" w:rsidRPr="001D56C6">
        <w:rPr>
          <w:sz w:val="28"/>
          <w:szCs w:val="28"/>
        </w:rPr>
        <w:t xml:space="preserve"> This was based on a finding that, at the time the interim order on which the contempt proceedings were based was granted, the judge concerned had the authority to grant such order. The Constitutional Court accordingly declined to treat the order as null and void, instead holding that:</w:t>
      </w:r>
    </w:p>
    <w:p w14:paraId="51D62DAF" w14:textId="32A0667F" w:rsidR="00BE2EB9" w:rsidRPr="00127B01" w:rsidRDefault="00BE2EB9" w:rsidP="00BE2EB9">
      <w:pPr>
        <w:pStyle w:val="ListParagraph"/>
        <w:ind w:left="0"/>
        <w:rPr>
          <w:sz w:val="24"/>
          <w:szCs w:val="24"/>
        </w:rPr>
      </w:pPr>
      <w:r w:rsidRPr="00127B01">
        <w:rPr>
          <w:sz w:val="24"/>
          <w:szCs w:val="24"/>
        </w:rPr>
        <w:t>‘The interdict granted by Mabuse J only falls away once the counter-application is upheld by a court. Until this point, it is binding and enforceable.’</w:t>
      </w:r>
      <w:r w:rsidRPr="00127B01">
        <w:rPr>
          <w:rStyle w:val="FootnoteReference"/>
          <w:sz w:val="24"/>
          <w:szCs w:val="24"/>
        </w:rPr>
        <w:footnoteReference w:id="17"/>
      </w:r>
    </w:p>
    <w:p w14:paraId="20A3867E" w14:textId="099E1F7C" w:rsidR="00BE2EB9" w:rsidRPr="00127B01" w:rsidRDefault="00BE2EB9" w:rsidP="00BE2EB9">
      <w:pPr>
        <w:pStyle w:val="ListParagraph"/>
        <w:ind w:left="0"/>
        <w:rPr>
          <w:sz w:val="28"/>
          <w:szCs w:val="28"/>
        </w:rPr>
      </w:pPr>
      <w:r w:rsidRPr="00127B01">
        <w:rPr>
          <w:sz w:val="28"/>
          <w:szCs w:val="28"/>
        </w:rPr>
        <w:t xml:space="preserve">This means that, despite finding that the extension </w:t>
      </w:r>
      <w:r w:rsidR="00843E07" w:rsidRPr="00127B01">
        <w:rPr>
          <w:sz w:val="28"/>
          <w:szCs w:val="28"/>
        </w:rPr>
        <w:t xml:space="preserve">of the contract </w:t>
      </w:r>
      <w:r w:rsidRPr="00127B01">
        <w:rPr>
          <w:sz w:val="28"/>
          <w:szCs w:val="28"/>
        </w:rPr>
        <w:t xml:space="preserve">was invalid, a court order premised on its validity remained effective until set aside. </w:t>
      </w:r>
    </w:p>
    <w:p w14:paraId="3C6B432D" w14:textId="77777777" w:rsidR="00BE2EB9" w:rsidRPr="00127B01" w:rsidRDefault="00BE2EB9" w:rsidP="00BE2EB9">
      <w:pPr>
        <w:pStyle w:val="ListParagraph"/>
        <w:ind w:left="0"/>
        <w:rPr>
          <w:sz w:val="28"/>
          <w:szCs w:val="28"/>
        </w:rPr>
      </w:pPr>
    </w:p>
    <w:p w14:paraId="3BA4559A" w14:textId="34D71399" w:rsidR="009C3801" w:rsidRPr="001D56C6" w:rsidRDefault="001D56C6" w:rsidP="001D56C6">
      <w:pPr>
        <w:rPr>
          <w:sz w:val="28"/>
          <w:szCs w:val="28"/>
        </w:rPr>
      </w:pPr>
      <w:r w:rsidRPr="00127B01">
        <w:rPr>
          <w:sz w:val="28"/>
          <w:szCs w:val="28"/>
        </w:rPr>
        <w:t>[26]</w:t>
      </w:r>
      <w:r w:rsidRPr="00127B01">
        <w:rPr>
          <w:sz w:val="28"/>
          <w:szCs w:val="28"/>
        </w:rPr>
        <w:tab/>
      </w:r>
      <w:r w:rsidR="00BE2EB9" w:rsidRPr="001D56C6">
        <w:rPr>
          <w:i/>
          <w:iCs/>
          <w:sz w:val="28"/>
          <w:szCs w:val="28"/>
        </w:rPr>
        <w:t>Tasima</w:t>
      </w:r>
      <w:r w:rsidR="00BE2EB9" w:rsidRPr="001D56C6">
        <w:rPr>
          <w:sz w:val="28"/>
          <w:szCs w:val="28"/>
        </w:rPr>
        <w:t xml:space="preserve"> is clearly distinguishable. In the light of the admitted validity of the default judgment in the present matter, it differs from a situation where the court order could be regarded as invalid. It does not provide a basis for an order which </w:t>
      </w:r>
      <w:r w:rsidR="00BE2EB9" w:rsidRPr="001D56C6">
        <w:rPr>
          <w:sz w:val="28"/>
          <w:szCs w:val="28"/>
        </w:rPr>
        <w:lastRenderedPageBreak/>
        <w:t xml:space="preserve">would prevent Ikamva from executing </w:t>
      </w:r>
      <w:r w:rsidR="00FB1FF0" w:rsidRPr="001D56C6">
        <w:rPr>
          <w:sz w:val="28"/>
          <w:szCs w:val="28"/>
        </w:rPr>
        <w:t>pursuant to</w:t>
      </w:r>
      <w:r w:rsidR="00BE2EB9" w:rsidRPr="001D56C6">
        <w:rPr>
          <w:sz w:val="28"/>
          <w:szCs w:val="28"/>
        </w:rPr>
        <w:t xml:space="preserve"> its default judgment. </w:t>
      </w:r>
      <w:r w:rsidR="00BE2EB9" w:rsidRPr="001D56C6">
        <w:rPr>
          <w:i/>
          <w:iCs/>
          <w:sz w:val="28"/>
          <w:szCs w:val="28"/>
        </w:rPr>
        <w:t>Tasima</w:t>
      </w:r>
      <w:r w:rsidR="00BE2EB9" w:rsidRPr="001D56C6">
        <w:rPr>
          <w:sz w:val="28"/>
          <w:szCs w:val="28"/>
        </w:rPr>
        <w:t xml:space="preserve"> does not assist the Departments.</w:t>
      </w:r>
      <w:r w:rsidR="006251FD" w:rsidRPr="001D56C6">
        <w:rPr>
          <w:sz w:val="28"/>
          <w:szCs w:val="28"/>
        </w:rPr>
        <w:t xml:space="preserve"> On the contrary, it</w:t>
      </w:r>
      <w:r w:rsidR="00BE2EB9" w:rsidRPr="001D56C6">
        <w:rPr>
          <w:sz w:val="28"/>
          <w:szCs w:val="28"/>
        </w:rPr>
        <w:t xml:space="preserve"> underscores the importance of </w:t>
      </w:r>
      <w:r w:rsidR="008550EA" w:rsidRPr="001D56C6">
        <w:rPr>
          <w:sz w:val="28"/>
          <w:szCs w:val="28"/>
        </w:rPr>
        <w:t xml:space="preserve">giving effect to </w:t>
      </w:r>
      <w:r w:rsidR="00BE2EB9" w:rsidRPr="001D56C6">
        <w:rPr>
          <w:sz w:val="28"/>
          <w:szCs w:val="28"/>
        </w:rPr>
        <w:t>court orders</w:t>
      </w:r>
      <w:r w:rsidR="00E8449E" w:rsidRPr="001D56C6">
        <w:rPr>
          <w:sz w:val="28"/>
          <w:szCs w:val="28"/>
        </w:rPr>
        <w:t>.</w:t>
      </w:r>
    </w:p>
    <w:p w14:paraId="42913B11" w14:textId="77777777" w:rsidR="00734E06" w:rsidRPr="00127B01" w:rsidRDefault="00734E06" w:rsidP="00734E06">
      <w:pPr>
        <w:pStyle w:val="ListParagraph"/>
        <w:ind w:left="0"/>
        <w:rPr>
          <w:sz w:val="28"/>
          <w:szCs w:val="28"/>
        </w:rPr>
      </w:pPr>
    </w:p>
    <w:p w14:paraId="199E512A" w14:textId="0A0DD191" w:rsidR="0091127C" w:rsidRPr="001D56C6" w:rsidRDefault="001D56C6" w:rsidP="001D56C6">
      <w:pPr>
        <w:rPr>
          <w:sz w:val="28"/>
          <w:szCs w:val="28"/>
        </w:rPr>
      </w:pPr>
      <w:r w:rsidRPr="00127B01">
        <w:rPr>
          <w:sz w:val="28"/>
          <w:szCs w:val="28"/>
        </w:rPr>
        <w:t>[27]</w:t>
      </w:r>
      <w:r w:rsidRPr="00127B01">
        <w:rPr>
          <w:sz w:val="28"/>
          <w:szCs w:val="28"/>
        </w:rPr>
        <w:tab/>
      </w:r>
      <w:r w:rsidR="00391ABD" w:rsidRPr="001D56C6">
        <w:rPr>
          <w:sz w:val="28"/>
          <w:szCs w:val="28"/>
        </w:rPr>
        <w:t>Turning</w:t>
      </w:r>
      <w:r w:rsidR="00F752CF" w:rsidRPr="001D56C6">
        <w:rPr>
          <w:sz w:val="28"/>
          <w:szCs w:val="28"/>
        </w:rPr>
        <w:t>, then,</w:t>
      </w:r>
      <w:r w:rsidR="00391ABD" w:rsidRPr="001D56C6">
        <w:rPr>
          <w:sz w:val="28"/>
          <w:szCs w:val="28"/>
        </w:rPr>
        <w:t xml:space="preserve"> to broader considerations</w:t>
      </w:r>
      <w:r w:rsidR="00C03896" w:rsidRPr="001D56C6">
        <w:rPr>
          <w:sz w:val="28"/>
          <w:szCs w:val="28"/>
        </w:rPr>
        <w:t xml:space="preserve"> of</w:t>
      </w:r>
      <w:r w:rsidR="007156DA" w:rsidRPr="001D56C6">
        <w:rPr>
          <w:sz w:val="28"/>
          <w:szCs w:val="28"/>
        </w:rPr>
        <w:t xml:space="preserve"> the </w:t>
      </w:r>
      <w:r w:rsidR="00760DAB" w:rsidRPr="001D56C6">
        <w:rPr>
          <w:sz w:val="28"/>
          <w:szCs w:val="28"/>
        </w:rPr>
        <w:t>nature</w:t>
      </w:r>
      <w:r w:rsidR="007156DA" w:rsidRPr="001D56C6">
        <w:rPr>
          <w:sz w:val="28"/>
          <w:szCs w:val="28"/>
        </w:rPr>
        <w:t xml:space="preserve"> of </w:t>
      </w:r>
      <w:r w:rsidR="00F752CF" w:rsidRPr="001D56C6">
        <w:rPr>
          <w:sz w:val="28"/>
          <w:szCs w:val="28"/>
        </w:rPr>
        <w:t>court orders</w:t>
      </w:r>
      <w:r w:rsidR="00760DAB" w:rsidRPr="001D56C6">
        <w:rPr>
          <w:sz w:val="28"/>
          <w:szCs w:val="28"/>
        </w:rPr>
        <w:t xml:space="preserve"> in our law</w:t>
      </w:r>
      <w:r w:rsidR="00C03896" w:rsidRPr="001D56C6">
        <w:rPr>
          <w:sz w:val="28"/>
          <w:szCs w:val="28"/>
        </w:rPr>
        <w:t>, s </w:t>
      </w:r>
      <w:r w:rsidR="00495DBB" w:rsidRPr="001D56C6">
        <w:rPr>
          <w:sz w:val="28"/>
          <w:szCs w:val="28"/>
        </w:rPr>
        <w:t>165</w:t>
      </w:r>
      <w:r w:rsidR="00310A24" w:rsidRPr="001D56C6">
        <w:rPr>
          <w:sz w:val="28"/>
          <w:szCs w:val="28"/>
        </w:rPr>
        <w:t xml:space="preserve">(5) of the Constitution </w:t>
      </w:r>
      <w:r w:rsidR="00C03896" w:rsidRPr="001D56C6">
        <w:rPr>
          <w:sz w:val="28"/>
          <w:szCs w:val="28"/>
        </w:rPr>
        <w:t>is a useful</w:t>
      </w:r>
      <w:r w:rsidR="00B75EF9" w:rsidRPr="001D56C6">
        <w:rPr>
          <w:sz w:val="28"/>
          <w:szCs w:val="28"/>
        </w:rPr>
        <w:t xml:space="preserve"> </w:t>
      </w:r>
      <w:r w:rsidR="00C03896" w:rsidRPr="001D56C6">
        <w:rPr>
          <w:sz w:val="28"/>
          <w:szCs w:val="28"/>
        </w:rPr>
        <w:t>point of departure</w:t>
      </w:r>
      <w:r w:rsidR="00310A24" w:rsidRPr="001D56C6">
        <w:rPr>
          <w:sz w:val="28"/>
          <w:szCs w:val="28"/>
        </w:rPr>
        <w:t>:</w:t>
      </w:r>
    </w:p>
    <w:p w14:paraId="05F13A14" w14:textId="36739DE9" w:rsidR="00310A24" w:rsidRPr="00127B01" w:rsidRDefault="00310A24" w:rsidP="00310A24">
      <w:pPr>
        <w:pStyle w:val="ListParagraph"/>
        <w:ind w:left="0"/>
        <w:rPr>
          <w:sz w:val="24"/>
          <w:szCs w:val="24"/>
        </w:rPr>
      </w:pPr>
      <w:r w:rsidRPr="00127B01">
        <w:rPr>
          <w:sz w:val="24"/>
          <w:szCs w:val="24"/>
        </w:rPr>
        <w:t>‘</w:t>
      </w:r>
      <w:r w:rsidR="006F2B8D" w:rsidRPr="00127B01">
        <w:rPr>
          <w:sz w:val="24"/>
          <w:szCs w:val="24"/>
        </w:rPr>
        <w:t>An order or decision issued by a court binds all persons to whom and organs of state to which it applies.</w:t>
      </w:r>
      <w:r w:rsidR="002B2F52" w:rsidRPr="00127B01">
        <w:rPr>
          <w:sz w:val="24"/>
          <w:szCs w:val="24"/>
        </w:rPr>
        <w:t>’</w:t>
      </w:r>
    </w:p>
    <w:p w14:paraId="69AC7463" w14:textId="7F41B949" w:rsidR="00C26E9E" w:rsidRPr="00127B01" w:rsidRDefault="00C26E9E" w:rsidP="00310A24">
      <w:pPr>
        <w:pStyle w:val="ListParagraph"/>
        <w:ind w:left="0"/>
        <w:rPr>
          <w:sz w:val="28"/>
          <w:szCs w:val="28"/>
        </w:rPr>
      </w:pPr>
      <w:r w:rsidRPr="00127B01">
        <w:rPr>
          <w:sz w:val="28"/>
          <w:szCs w:val="28"/>
        </w:rPr>
        <w:t xml:space="preserve">This finds </w:t>
      </w:r>
      <w:r w:rsidR="00760DAB" w:rsidRPr="00127B01">
        <w:rPr>
          <w:sz w:val="28"/>
          <w:szCs w:val="28"/>
        </w:rPr>
        <w:t>firm</w:t>
      </w:r>
      <w:r w:rsidRPr="00127B01">
        <w:rPr>
          <w:sz w:val="28"/>
          <w:szCs w:val="28"/>
        </w:rPr>
        <w:t xml:space="preserve"> support in s 2 of the Constitution:</w:t>
      </w:r>
    </w:p>
    <w:p w14:paraId="30C84DBE" w14:textId="3D474923" w:rsidR="00C26E9E" w:rsidRPr="00127B01" w:rsidRDefault="00C26E9E" w:rsidP="00310A24">
      <w:pPr>
        <w:pStyle w:val="ListParagraph"/>
        <w:ind w:left="0"/>
        <w:rPr>
          <w:sz w:val="24"/>
          <w:szCs w:val="24"/>
        </w:rPr>
      </w:pPr>
      <w:r w:rsidRPr="00127B01">
        <w:rPr>
          <w:sz w:val="24"/>
          <w:szCs w:val="24"/>
        </w:rPr>
        <w:t>‘This Constitution is the supreme law of the Republic; law or conduct inconsistent with it is invalid, and the obligations imposed by it must be fulfilled.’</w:t>
      </w:r>
    </w:p>
    <w:p w14:paraId="141E7848" w14:textId="1108F237" w:rsidR="00033400" w:rsidRPr="00127B01" w:rsidRDefault="00086C93" w:rsidP="00310A24">
      <w:pPr>
        <w:pStyle w:val="ListParagraph"/>
        <w:ind w:left="0"/>
        <w:rPr>
          <w:sz w:val="28"/>
          <w:szCs w:val="28"/>
        </w:rPr>
      </w:pPr>
      <w:r w:rsidRPr="00127B01">
        <w:rPr>
          <w:sz w:val="28"/>
          <w:szCs w:val="28"/>
        </w:rPr>
        <w:t xml:space="preserve">It is clear that, </w:t>
      </w:r>
      <w:r w:rsidR="00F82D3A" w:rsidRPr="00127B01">
        <w:rPr>
          <w:sz w:val="28"/>
          <w:szCs w:val="28"/>
        </w:rPr>
        <w:t xml:space="preserve">if the Legislature promulgated a law </w:t>
      </w:r>
      <w:r w:rsidRPr="00127B01">
        <w:rPr>
          <w:sz w:val="28"/>
          <w:szCs w:val="28"/>
        </w:rPr>
        <w:t xml:space="preserve">which had </w:t>
      </w:r>
      <w:r w:rsidR="00F82D3A" w:rsidRPr="00127B01">
        <w:rPr>
          <w:sz w:val="28"/>
          <w:szCs w:val="28"/>
        </w:rPr>
        <w:t xml:space="preserve">the effect that an order of </w:t>
      </w:r>
      <w:r w:rsidR="00AE1629" w:rsidRPr="00127B01">
        <w:rPr>
          <w:sz w:val="28"/>
          <w:szCs w:val="28"/>
        </w:rPr>
        <w:t xml:space="preserve">court </w:t>
      </w:r>
      <w:r w:rsidR="00033400" w:rsidRPr="00127B01">
        <w:rPr>
          <w:sz w:val="28"/>
          <w:szCs w:val="28"/>
        </w:rPr>
        <w:t xml:space="preserve">was not binding, </w:t>
      </w:r>
      <w:r w:rsidR="00AE1629" w:rsidRPr="00127B01">
        <w:rPr>
          <w:sz w:val="28"/>
          <w:szCs w:val="28"/>
        </w:rPr>
        <w:t>th</w:t>
      </w:r>
      <w:r w:rsidR="00033400" w:rsidRPr="00127B01">
        <w:rPr>
          <w:sz w:val="28"/>
          <w:szCs w:val="28"/>
        </w:rPr>
        <w:t xml:space="preserve">at law would </w:t>
      </w:r>
      <w:r w:rsidR="00E85CBC" w:rsidRPr="00127B01">
        <w:rPr>
          <w:sz w:val="28"/>
          <w:szCs w:val="28"/>
        </w:rPr>
        <w:t xml:space="preserve">offend the principle of </w:t>
      </w:r>
      <w:r w:rsidR="00A261E0" w:rsidRPr="00127B01">
        <w:rPr>
          <w:sz w:val="28"/>
          <w:szCs w:val="28"/>
        </w:rPr>
        <w:t xml:space="preserve">the </w:t>
      </w:r>
      <w:r w:rsidR="00E85CBC" w:rsidRPr="00127B01">
        <w:rPr>
          <w:sz w:val="28"/>
          <w:szCs w:val="28"/>
        </w:rPr>
        <w:t>separation of powers</w:t>
      </w:r>
      <w:r w:rsidR="00EC2837" w:rsidRPr="00127B01">
        <w:rPr>
          <w:rStyle w:val="FootnoteReference"/>
          <w:sz w:val="28"/>
          <w:szCs w:val="28"/>
        </w:rPr>
        <w:footnoteReference w:id="18"/>
      </w:r>
      <w:r w:rsidR="00EC2837" w:rsidRPr="00127B01">
        <w:rPr>
          <w:sz w:val="28"/>
          <w:szCs w:val="28"/>
        </w:rPr>
        <w:t xml:space="preserve"> </w:t>
      </w:r>
      <w:r w:rsidR="00E85CBC" w:rsidRPr="00127B01">
        <w:rPr>
          <w:sz w:val="28"/>
          <w:szCs w:val="28"/>
        </w:rPr>
        <w:t>a</w:t>
      </w:r>
      <w:r w:rsidR="00EC2837" w:rsidRPr="00127B01">
        <w:rPr>
          <w:sz w:val="28"/>
          <w:szCs w:val="28"/>
        </w:rPr>
        <w:t>nd</w:t>
      </w:r>
      <w:r w:rsidR="00E85CBC" w:rsidRPr="00127B01">
        <w:rPr>
          <w:sz w:val="28"/>
          <w:szCs w:val="28"/>
        </w:rPr>
        <w:t xml:space="preserve"> </w:t>
      </w:r>
      <w:r w:rsidRPr="00127B01">
        <w:rPr>
          <w:sz w:val="28"/>
          <w:szCs w:val="28"/>
        </w:rPr>
        <w:t>fall foul</w:t>
      </w:r>
      <w:r w:rsidR="00684F38" w:rsidRPr="00127B01">
        <w:rPr>
          <w:sz w:val="28"/>
          <w:szCs w:val="28"/>
        </w:rPr>
        <w:t xml:space="preserve"> of</w:t>
      </w:r>
      <w:r w:rsidR="00AE1629" w:rsidRPr="00127B01">
        <w:rPr>
          <w:sz w:val="28"/>
          <w:szCs w:val="28"/>
        </w:rPr>
        <w:t xml:space="preserve"> s 165(5) of the Constitution</w:t>
      </w:r>
      <w:r w:rsidR="00C05028" w:rsidRPr="00127B01">
        <w:rPr>
          <w:sz w:val="28"/>
          <w:szCs w:val="28"/>
        </w:rPr>
        <w:t xml:space="preserve">. </w:t>
      </w:r>
      <w:r w:rsidR="00684F38" w:rsidRPr="00127B01">
        <w:rPr>
          <w:sz w:val="28"/>
          <w:szCs w:val="28"/>
        </w:rPr>
        <w:t>What then, of</w:t>
      </w:r>
      <w:r w:rsidR="00C05028" w:rsidRPr="00127B01">
        <w:rPr>
          <w:sz w:val="28"/>
          <w:szCs w:val="28"/>
        </w:rPr>
        <w:t xml:space="preserve"> the effect of a court order</w:t>
      </w:r>
      <w:r w:rsidR="00527F4D" w:rsidRPr="00127B01">
        <w:rPr>
          <w:sz w:val="28"/>
          <w:szCs w:val="28"/>
        </w:rPr>
        <w:t xml:space="preserve"> </w:t>
      </w:r>
      <w:r w:rsidR="00684F38" w:rsidRPr="00127B01">
        <w:rPr>
          <w:sz w:val="28"/>
          <w:szCs w:val="28"/>
        </w:rPr>
        <w:t>which does so?</w:t>
      </w:r>
    </w:p>
    <w:p w14:paraId="1D76EC8C" w14:textId="77777777" w:rsidR="003F34A2" w:rsidRPr="00127B01" w:rsidRDefault="003F34A2" w:rsidP="00310A24">
      <w:pPr>
        <w:pStyle w:val="ListParagraph"/>
        <w:ind w:left="0"/>
        <w:rPr>
          <w:sz w:val="28"/>
          <w:szCs w:val="28"/>
        </w:rPr>
      </w:pPr>
    </w:p>
    <w:p w14:paraId="415DE79E" w14:textId="1DF22A96" w:rsidR="00A56076" w:rsidRPr="001D56C6" w:rsidRDefault="001D56C6" w:rsidP="001D56C6">
      <w:pPr>
        <w:rPr>
          <w:sz w:val="28"/>
          <w:szCs w:val="28"/>
        </w:rPr>
      </w:pPr>
      <w:r w:rsidRPr="00127B01">
        <w:rPr>
          <w:sz w:val="28"/>
          <w:szCs w:val="28"/>
        </w:rPr>
        <w:t>[28]</w:t>
      </w:r>
      <w:r w:rsidRPr="00127B01">
        <w:rPr>
          <w:sz w:val="28"/>
          <w:szCs w:val="28"/>
        </w:rPr>
        <w:tab/>
      </w:r>
      <w:r w:rsidR="00E85CBC" w:rsidRPr="001D56C6">
        <w:rPr>
          <w:sz w:val="28"/>
          <w:szCs w:val="28"/>
        </w:rPr>
        <w:t>The only bas</w:t>
      </w:r>
      <w:r w:rsidR="002E370A" w:rsidRPr="001D56C6">
        <w:rPr>
          <w:sz w:val="28"/>
          <w:szCs w:val="28"/>
        </w:rPr>
        <w:t>i</w:t>
      </w:r>
      <w:r w:rsidR="00E85CBC" w:rsidRPr="001D56C6">
        <w:rPr>
          <w:sz w:val="28"/>
          <w:szCs w:val="28"/>
        </w:rPr>
        <w:t>s of which I am aware</w:t>
      </w:r>
      <w:r w:rsidR="00530393" w:rsidRPr="001D56C6">
        <w:rPr>
          <w:sz w:val="28"/>
          <w:szCs w:val="28"/>
        </w:rPr>
        <w:t xml:space="preserve"> to </w:t>
      </w:r>
      <w:r w:rsidR="009F5EAF" w:rsidRPr="001D56C6">
        <w:rPr>
          <w:sz w:val="28"/>
          <w:szCs w:val="28"/>
        </w:rPr>
        <w:t>prevent execution of</w:t>
      </w:r>
      <w:r w:rsidR="00530393" w:rsidRPr="001D56C6">
        <w:rPr>
          <w:sz w:val="28"/>
          <w:szCs w:val="28"/>
        </w:rPr>
        <w:t xml:space="preserve"> a court order is if it</w:t>
      </w:r>
      <w:r w:rsidR="002E370A" w:rsidRPr="001D56C6">
        <w:rPr>
          <w:sz w:val="28"/>
          <w:szCs w:val="28"/>
        </w:rPr>
        <w:t xml:space="preserve"> is set aside</w:t>
      </w:r>
      <w:r w:rsidR="008E3BA7" w:rsidRPr="001D56C6">
        <w:rPr>
          <w:sz w:val="28"/>
          <w:szCs w:val="28"/>
        </w:rPr>
        <w:t xml:space="preserve"> or abandoned</w:t>
      </w:r>
      <w:r w:rsidR="002E370A" w:rsidRPr="001D56C6">
        <w:rPr>
          <w:sz w:val="28"/>
          <w:szCs w:val="28"/>
        </w:rPr>
        <w:t xml:space="preserve">. </w:t>
      </w:r>
      <w:r w:rsidR="00EC2837" w:rsidRPr="001D56C6">
        <w:rPr>
          <w:sz w:val="28"/>
          <w:szCs w:val="28"/>
        </w:rPr>
        <w:t>The first of these i</w:t>
      </w:r>
      <w:r w:rsidR="0009759F" w:rsidRPr="001D56C6">
        <w:rPr>
          <w:sz w:val="28"/>
          <w:szCs w:val="28"/>
        </w:rPr>
        <w:t xml:space="preserve">s in the power of </w:t>
      </w:r>
      <w:r w:rsidR="00EC2837" w:rsidRPr="001D56C6">
        <w:rPr>
          <w:sz w:val="28"/>
          <w:szCs w:val="28"/>
        </w:rPr>
        <w:t xml:space="preserve">a court and the second </w:t>
      </w:r>
      <w:r w:rsidR="0009759F" w:rsidRPr="001D56C6">
        <w:rPr>
          <w:sz w:val="28"/>
          <w:szCs w:val="28"/>
        </w:rPr>
        <w:t xml:space="preserve">in </w:t>
      </w:r>
      <w:r w:rsidR="00EC2837" w:rsidRPr="001D56C6">
        <w:rPr>
          <w:sz w:val="28"/>
          <w:szCs w:val="28"/>
        </w:rPr>
        <w:t xml:space="preserve">the party in whose favour the order was granted. </w:t>
      </w:r>
      <w:r w:rsidR="002E370A" w:rsidRPr="001D56C6">
        <w:rPr>
          <w:sz w:val="28"/>
          <w:szCs w:val="28"/>
        </w:rPr>
        <w:t xml:space="preserve">There are limited procedures </w:t>
      </w:r>
      <w:r w:rsidR="00FC4A89" w:rsidRPr="001D56C6">
        <w:rPr>
          <w:sz w:val="28"/>
          <w:szCs w:val="28"/>
        </w:rPr>
        <w:t xml:space="preserve">available </w:t>
      </w:r>
      <w:r w:rsidR="002E370A" w:rsidRPr="001D56C6">
        <w:rPr>
          <w:sz w:val="28"/>
          <w:szCs w:val="28"/>
        </w:rPr>
        <w:t xml:space="preserve">to </w:t>
      </w:r>
      <w:r w:rsidR="00EC2837" w:rsidRPr="001D56C6">
        <w:rPr>
          <w:sz w:val="28"/>
          <w:szCs w:val="28"/>
        </w:rPr>
        <w:t>set aside an order</w:t>
      </w:r>
      <w:r w:rsidR="002E370A" w:rsidRPr="001D56C6">
        <w:rPr>
          <w:sz w:val="28"/>
          <w:szCs w:val="28"/>
        </w:rPr>
        <w:t xml:space="preserve">. </w:t>
      </w:r>
      <w:r w:rsidR="009F5EAF" w:rsidRPr="001D56C6">
        <w:rPr>
          <w:sz w:val="28"/>
          <w:szCs w:val="28"/>
        </w:rPr>
        <w:t xml:space="preserve">This is for </w:t>
      </w:r>
      <w:r w:rsidR="00EC2837" w:rsidRPr="001D56C6">
        <w:rPr>
          <w:sz w:val="28"/>
          <w:szCs w:val="28"/>
        </w:rPr>
        <w:t xml:space="preserve">at least </w:t>
      </w:r>
      <w:r w:rsidR="009F5EAF" w:rsidRPr="001D56C6">
        <w:rPr>
          <w:sz w:val="28"/>
          <w:szCs w:val="28"/>
        </w:rPr>
        <w:t>two reasons, a</w:t>
      </w:r>
      <w:r w:rsidR="00600D8C" w:rsidRPr="001D56C6">
        <w:rPr>
          <w:sz w:val="28"/>
          <w:szCs w:val="28"/>
        </w:rPr>
        <w:t xml:space="preserve">s indicated in </w:t>
      </w:r>
      <w:r w:rsidR="00E26C35" w:rsidRPr="001D56C6">
        <w:rPr>
          <w:i/>
          <w:iCs/>
          <w:sz w:val="28"/>
          <w:szCs w:val="28"/>
        </w:rPr>
        <w:t>Erasmus</w:t>
      </w:r>
      <w:r w:rsidR="00B86851" w:rsidRPr="001D56C6">
        <w:rPr>
          <w:i/>
          <w:iCs/>
          <w:sz w:val="28"/>
          <w:szCs w:val="28"/>
        </w:rPr>
        <w:t>: Superior Court Practice</w:t>
      </w:r>
      <w:r w:rsidR="009F5EAF" w:rsidRPr="001D56C6">
        <w:rPr>
          <w:sz w:val="28"/>
          <w:szCs w:val="28"/>
        </w:rPr>
        <w:t>.</w:t>
      </w:r>
      <w:r w:rsidR="00D779D0" w:rsidRPr="00127B01">
        <w:rPr>
          <w:rStyle w:val="FootnoteReference"/>
          <w:sz w:val="28"/>
          <w:szCs w:val="28"/>
        </w:rPr>
        <w:footnoteReference w:id="19"/>
      </w:r>
      <w:r w:rsidR="00A4312A" w:rsidRPr="001D56C6">
        <w:rPr>
          <w:sz w:val="28"/>
          <w:szCs w:val="28"/>
        </w:rPr>
        <w:t xml:space="preserve"> First, a</w:t>
      </w:r>
      <w:r w:rsidR="00600D8C" w:rsidRPr="001D56C6">
        <w:rPr>
          <w:sz w:val="28"/>
          <w:szCs w:val="28"/>
        </w:rPr>
        <w:t xml:space="preserve"> court becomes </w:t>
      </w:r>
      <w:r w:rsidR="00600D8C" w:rsidRPr="001D56C6">
        <w:rPr>
          <w:i/>
          <w:iCs/>
          <w:sz w:val="28"/>
          <w:szCs w:val="28"/>
        </w:rPr>
        <w:t>functus officio</w:t>
      </w:r>
      <w:r w:rsidR="00600D8C" w:rsidRPr="001D56C6">
        <w:rPr>
          <w:sz w:val="28"/>
          <w:szCs w:val="28"/>
        </w:rPr>
        <w:t xml:space="preserve"> after pronouncing judgment</w:t>
      </w:r>
      <w:r w:rsidR="003235DE" w:rsidRPr="00127B01">
        <w:rPr>
          <w:rStyle w:val="FootnoteReference"/>
          <w:sz w:val="28"/>
          <w:szCs w:val="28"/>
        </w:rPr>
        <w:footnoteReference w:id="20"/>
      </w:r>
      <w:r w:rsidR="00A4312A" w:rsidRPr="001D56C6">
        <w:rPr>
          <w:sz w:val="28"/>
          <w:szCs w:val="28"/>
        </w:rPr>
        <w:t xml:space="preserve"> such that</w:t>
      </w:r>
      <w:r w:rsidR="00D163C6" w:rsidRPr="001D56C6">
        <w:rPr>
          <w:sz w:val="28"/>
          <w:szCs w:val="28"/>
        </w:rPr>
        <w:t xml:space="preserve">, unless specifically empowered to do </w:t>
      </w:r>
      <w:r w:rsidR="00D163C6" w:rsidRPr="001D56C6">
        <w:rPr>
          <w:sz w:val="28"/>
          <w:szCs w:val="28"/>
        </w:rPr>
        <w:lastRenderedPageBreak/>
        <w:t xml:space="preserve">so, it may </w:t>
      </w:r>
      <w:r w:rsidR="00EB4A9B" w:rsidRPr="001D56C6">
        <w:rPr>
          <w:sz w:val="28"/>
          <w:szCs w:val="28"/>
        </w:rPr>
        <w:t xml:space="preserve">generally </w:t>
      </w:r>
      <w:r w:rsidR="00D163C6" w:rsidRPr="001D56C6">
        <w:rPr>
          <w:sz w:val="28"/>
          <w:szCs w:val="28"/>
        </w:rPr>
        <w:t>not amend or set aside a judgment.</w:t>
      </w:r>
      <w:r w:rsidR="00C66562" w:rsidRPr="00127B01">
        <w:rPr>
          <w:rStyle w:val="FootnoteReference"/>
          <w:sz w:val="28"/>
          <w:szCs w:val="28"/>
        </w:rPr>
        <w:footnoteReference w:id="21"/>
      </w:r>
      <w:r w:rsidR="00D163C6" w:rsidRPr="001D56C6">
        <w:rPr>
          <w:sz w:val="28"/>
          <w:szCs w:val="28"/>
        </w:rPr>
        <w:t xml:space="preserve"> Secondly,</w:t>
      </w:r>
      <w:r w:rsidR="00600D8C" w:rsidRPr="001D56C6">
        <w:rPr>
          <w:sz w:val="28"/>
          <w:szCs w:val="28"/>
        </w:rPr>
        <w:t xml:space="preserve"> </w:t>
      </w:r>
      <w:r w:rsidR="00B74DC7" w:rsidRPr="001D56C6">
        <w:rPr>
          <w:sz w:val="28"/>
          <w:szCs w:val="28"/>
        </w:rPr>
        <w:t>public policy requires</w:t>
      </w:r>
      <w:r w:rsidR="00E942D5" w:rsidRPr="001D56C6">
        <w:rPr>
          <w:sz w:val="28"/>
          <w:szCs w:val="28"/>
        </w:rPr>
        <w:t xml:space="preserve"> finality in litigation</w:t>
      </w:r>
      <w:r w:rsidR="00CA6FD0" w:rsidRPr="001D56C6">
        <w:rPr>
          <w:sz w:val="28"/>
          <w:szCs w:val="28"/>
        </w:rPr>
        <w:t>.</w:t>
      </w:r>
      <w:r w:rsidR="007069F4" w:rsidRPr="00127B01">
        <w:rPr>
          <w:rStyle w:val="FootnoteReference"/>
          <w:sz w:val="28"/>
          <w:szCs w:val="28"/>
        </w:rPr>
        <w:footnoteReference w:id="22"/>
      </w:r>
      <w:r w:rsidR="00CA6FD0" w:rsidRPr="001D56C6">
        <w:rPr>
          <w:sz w:val="28"/>
          <w:szCs w:val="28"/>
        </w:rPr>
        <w:t xml:space="preserve"> </w:t>
      </w:r>
      <w:r w:rsidR="00A56076" w:rsidRPr="001D56C6">
        <w:rPr>
          <w:sz w:val="28"/>
          <w:szCs w:val="28"/>
        </w:rPr>
        <w:t xml:space="preserve">In </w:t>
      </w:r>
      <w:r w:rsidR="00EC2837" w:rsidRPr="001D56C6">
        <w:rPr>
          <w:i/>
          <w:iCs/>
          <w:sz w:val="28"/>
          <w:szCs w:val="28"/>
        </w:rPr>
        <w:t>Zondi v MEC, Traditional and Local Government Affairs and Others</w:t>
      </w:r>
      <w:r w:rsidR="00A56076" w:rsidRPr="001D56C6">
        <w:rPr>
          <w:sz w:val="28"/>
          <w:szCs w:val="28"/>
        </w:rPr>
        <w:t>, the Constitutional Court explained why this should be the case:</w:t>
      </w:r>
    </w:p>
    <w:p w14:paraId="64C9A763" w14:textId="20713E1D" w:rsidR="00A56076" w:rsidRPr="00127B01" w:rsidRDefault="00A56076" w:rsidP="00A56076">
      <w:pPr>
        <w:pStyle w:val="ListParagraph"/>
        <w:ind w:left="0"/>
        <w:rPr>
          <w:sz w:val="24"/>
          <w:szCs w:val="24"/>
        </w:rPr>
      </w:pPr>
      <w:r w:rsidRPr="00127B01">
        <w:rPr>
          <w:sz w:val="24"/>
          <w:szCs w:val="24"/>
        </w:rPr>
        <w:t>‘</w:t>
      </w:r>
      <w:r w:rsidR="00B7087D" w:rsidRPr="00127B01">
        <w:rPr>
          <w:sz w:val="24"/>
          <w:szCs w:val="24"/>
        </w:rPr>
        <w:t xml:space="preserve">The parties must be assured that once an order of </w:t>
      </w:r>
      <w:r w:rsidR="00B932D5" w:rsidRPr="00127B01">
        <w:rPr>
          <w:sz w:val="24"/>
          <w:szCs w:val="24"/>
        </w:rPr>
        <w:t>c</w:t>
      </w:r>
      <w:r w:rsidR="00B7087D" w:rsidRPr="00127B01">
        <w:rPr>
          <w:sz w:val="24"/>
          <w:szCs w:val="24"/>
        </w:rPr>
        <w:t>ourt has been made, it is final and they can arrange their affairs in accordance with that order.’</w:t>
      </w:r>
      <w:r w:rsidR="00B7087D" w:rsidRPr="00127B01">
        <w:rPr>
          <w:rStyle w:val="FootnoteReference"/>
          <w:sz w:val="24"/>
          <w:szCs w:val="24"/>
        </w:rPr>
        <w:footnoteReference w:id="23"/>
      </w:r>
    </w:p>
    <w:p w14:paraId="20A4BB27" w14:textId="17BF86AC" w:rsidR="00EC2837" w:rsidRPr="00127B01" w:rsidRDefault="00986624" w:rsidP="00EC2837">
      <w:pPr>
        <w:pStyle w:val="ListParagraph"/>
        <w:ind w:left="0"/>
        <w:rPr>
          <w:sz w:val="28"/>
          <w:szCs w:val="28"/>
        </w:rPr>
      </w:pPr>
      <w:r w:rsidRPr="00127B01">
        <w:rPr>
          <w:sz w:val="28"/>
          <w:szCs w:val="28"/>
        </w:rPr>
        <w:t xml:space="preserve">This was </w:t>
      </w:r>
      <w:r w:rsidR="007C6BF9" w:rsidRPr="00127B01">
        <w:rPr>
          <w:sz w:val="28"/>
          <w:szCs w:val="28"/>
        </w:rPr>
        <w:t xml:space="preserve">firmly </w:t>
      </w:r>
      <w:r w:rsidRPr="00127B01">
        <w:rPr>
          <w:sz w:val="28"/>
          <w:szCs w:val="28"/>
        </w:rPr>
        <w:t>underscored</w:t>
      </w:r>
      <w:r w:rsidR="007C6BF9" w:rsidRPr="00127B01">
        <w:rPr>
          <w:sz w:val="28"/>
          <w:szCs w:val="28"/>
        </w:rPr>
        <w:t>, particularly as regards the Constitutional Court,</w:t>
      </w:r>
      <w:r w:rsidRPr="00127B01">
        <w:rPr>
          <w:sz w:val="28"/>
          <w:szCs w:val="28"/>
        </w:rPr>
        <w:t xml:space="preserve"> in</w:t>
      </w:r>
      <w:r w:rsidR="005A3FFC" w:rsidRPr="00127B01">
        <w:rPr>
          <w:rFonts w:ascii="Verdana" w:eastAsia="Verdana" w:hAnsi="Verdana" w:cs="Verdana"/>
          <w:b/>
          <w:bCs/>
          <w:spacing w:val="-2"/>
          <w:sz w:val="17"/>
          <w:szCs w:val="17"/>
          <w:lang w:eastAsia="en-ZA"/>
        </w:rPr>
        <w:t xml:space="preserve"> </w:t>
      </w:r>
      <w:r w:rsidR="005A3FFC" w:rsidRPr="00127B01">
        <w:rPr>
          <w:i/>
          <w:iCs/>
          <w:sz w:val="28"/>
          <w:szCs w:val="28"/>
        </w:rPr>
        <w:t>Zuma v Secretary of the Judicial Commission of Inquiry into Allegations of State Capture, Corruption and Fraud in the Public Sector Including Organs of State and others (Council for the Advancement of the South African Constitution and another as amici curiae)</w:t>
      </w:r>
      <w:r w:rsidRPr="00127B01">
        <w:rPr>
          <w:sz w:val="28"/>
          <w:szCs w:val="28"/>
        </w:rPr>
        <w:t>:</w:t>
      </w:r>
    </w:p>
    <w:p w14:paraId="2719E771" w14:textId="464FEEBF" w:rsidR="00986624" w:rsidRPr="00127B01" w:rsidRDefault="00986624" w:rsidP="00EC2837">
      <w:pPr>
        <w:pStyle w:val="ListParagraph"/>
        <w:ind w:left="0"/>
        <w:rPr>
          <w:sz w:val="24"/>
          <w:szCs w:val="24"/>
        </w:rPr>
      </w:pPr>
      <w:r w:rsidRPr="00127B01">
        <w:rPr>
          <w:sz w:val="24"/>
          <w:szCs w:val="24"/>
        </w:rPr>
        <w:t xml:space="preserve">‘It is trite that orders of this Court are final and immune from appeal. They are, however, rescindable, and the Legislature has carefully augmented the common-law grounds of relief by expressly providing for narrow grounds of rescission by crafting rule 42. Narrow those grounds are, for good reason, for the very notion of rescission of a court order constitutes the exception to the ordinary rule that court orders, especially those of this Court, are final. By its nature the law of </w:t>
      </w:r>
      <w:r w:rsidRPr="00127B01">
        <w:rPr>
          <w:sz w:val="24"/>
          <w:szCs w:val="24"/>
        </w:rPr>
        <w:lastRenderedPageBreak/>
        <w:t>rescission invites a degree of legal uncertainty. So, to avoid chaos, the grounds upon which rescission can be sought have been deliberately carved out by the Legislature.’</w:t>
      </w:r>
      <w:r w:rsidR="00E82A0C" w:rsidRPr="00127B01">
        <w:rPr>
          <w:rStyle w:val="FootnoteReference"/>
          <w:sz w:val="24"/>
          <w:szCs w:val="24"/>
        </w:rPr>
        <w:footnoteReference w:id="24"/>
      </w:r>
    </w:p>
    <w:p w14:paraId="0ACEB7CF" w14:textId="77777777" w:rsidR="00986624" w:rsidRPr="00127B01" w:rsidRDefault="00986624" w:rsidP="00EC2837">
      <w:pPr>
        <w:pStyle w:val="ListParagraph"/>
        <w:ind w:left="0"/>
        <w:rPr>
          <w:sz w:val="28"/>
          <w:szCs w:val="28"/>
        </w:rPr>
      </w:pPr>
    </w:p>
    <w:p w14:paraId="2E99306A" w14:textId="1E8FB9CE" w:rsidR="00E85CBC" w:rsidRPr="001D56C6" w:rsidRDefault="001D56C6" w:rsidP="001D56C6">
      <w:pPr>
        <w:rPr>
          <w:sz w:val="28"/>
          <w:szCs w:val="28"/>
        </w:rPr>
      </w:pPr>
      <w:r w:rsidRPr="00127B01">
        <w:rPr>
          <w:sz w:val="28"/>
          <w:szCs w:val="28"/>
        </w:rPr>
        <w:t>[29]</w:t>
      </w:r>
      <w:r w:rsidRPr="00127B01">
        <w:rPr>
          <w:sz w:val="28"/>
          <w:szCs w:val="28"/>
        </w:rPr>
        <w:tab/>
      </w:r>
      <w:r w:rsidR="00AE2A59" w:rsidRPr="001D56C6">
        <w:rPr>
          <w:sz w:val="28"/>
          <w:szCs w:val="28"/>
        </w:rPr>
        <w:t xml:space="preserve">In the </w:t>
      </w:r>
      <w:r w:rsidR="00B932D5" w:rsidRPr="001D56C6">
        <w:rPr>
          <w:sz w:val="28"/>
          <w:szCs w:val="28"/>
        </w:rPr>
        <w:t>m</w:t>
      </w:r>
      <w:r w:rsidR="00AE2A59" w:rsidRPr="001D56C6">
        <w:rPr>
          <w:sz w:val="28"/>
          <w:szCs w:val="28"/>
        </w:rPr>
        <w:t xml:space="preserve">agistrates’ </w:t>
      </w:r>
      <w:r w:rsidR="00B932D5" w:rsidRPr="001D56C6">
        <w:rPr>
          <w:sz w:val="28"/>
          <w:szCs w:val="28"/>
        </w:rPr>
        <w:t>c</w:t>
      </w:r>
      <w:r w:rsidR="00AE2A59" w:rsidRPr="001D56C6">
        <w:rPr>
          <w:sz w:val="28"/>
          <w:szCs w:val="28"/>
        </w:rPr>
        <w:t xml:space="preserve">ourts, </w:t>
      </w:r>
      <w:r w:rsidR="008E3BA7" w:rsidRPr="001D56C6">
        <w:rPr>
          <w:sz w:val="28"/>
          <w:szCs w:val="28"/>
        </w:rPr>
        <w:t>setting aside a judgment or order</w:t>
      </w:r>
      <w:r w:rsidR="00AE2A59" w:rsidRPr="001D56C6">
        <w:rPr>
          <w:sz w:val="28"/>
          <w:szCs w:val="28"/>
        </w:rPr>
        <w:t xml:space="preserve"> can be </w:t>
      </w:r>
      <w:r w:rsidR="00F8769A" w:rsidRPr="001D56C6">
        <w:rPr>
          <w:sz w:val="28"/>
          <w:szCs w:val="28"/>
        </w:rPr>
        <w:t>achieved</w:t>
      </w:r>
      <w:r w:rsidR="00AE2A59" w:rsidRPr="001D56C6">
        <w:rPr>
          <w:sz w:val="28"/>
          <w:szCs w:val="28"/>
        </w:rPr>
        <w:t xml:space="preserve"> by way of review, rescission or appeal. In </w:t>
      </w:r>
      <w:r w:rsidR="00F8769A" w:rsidRPr="001D56C6">
        <w:rPr>
          <w:sz w:val="28"/>
          <w:szCs w:val="28"/>
        </w:rPr>
        <w:t xml:space="preserve">the </w:t>
      </w:r>
      <w:r w:rsidR="00B932D5" w:rsidRPr="001D56C6">
        <w:rPr>
          <w:sz w:val="28"/>
          <w:szCs w:val="28"/>
        </w:rPr>
        <w:t>h</w:t>
      </w:r>
      <w:r w:rsidR="00193527" w:rsidRPr="001D56C6">
        <w:rPr>
          <w:sz w:val="28"/>
          <w:szCs w:val="28"/>
        </w:rPr>
        <w:t xml:space="preserve">igh </w:t>
      </w:r>
      <w:r w:rsidR="00B932D5" w:rsidRPr="001D56C6">
        <w:rPr>
          <w:sz w:val="28"/>
          <w:szCs w:val="28"/>
        </w:rPr>
        <w:t>c</w:t>
      </w:r>
      <w:r w:rsidR="00193527" w:rsidRPr="001D56C6">
        <w:rPr>
          <w:sz w:val="28"/>
          <w:szCs w:val="28"/>
        </w:rPr>
        <w:t xml:space="preserve">ourt, it can </w:t>
      </w:r>
      <w:r w:rsidR="00F8769A" w:rsidRPr="001D56C6">
        <w:rPr>
          <w:sz w:val="28"/>
          <w:szCs w:val="28"/>
        </w:rPr>
        <w:t xml:space="preserve">only </w:t>
      </w:r>
      <w:r w:rsidR="00193527" w:rsidRPr="001D56C6">
        <w:rPr>
          <w:sz w:val="28"/>
          <w:szCs w:val="28"/>
        </w:rPr>
        <w:t xml:space="preserve">be done by way of </w:t>
      </w:r>
      <w:r w:rsidR="00FC4A89" w:rsidRPr="001D56C6">
        <w:rPr>
          <w:sz w:val="28"/>
          <w:szCs w:val="28"/>
        </w:rPr>
        <w:t xml:space="preserve">appeal </w:t>
      </w:r>
      <w:r w:rsidR="00193527" w:rsidRPr="001D56C6">
        <w:rPr>
          <w:sz w:val="28"/>
          <w:szCs w:val="28"/>
        </w:rPr>
        <w:t>or</w:t>
      </w:r>
      <w:r w:rsidR="00FC4A89" w:rsidRPr="001D56C6">
        <w:rPr>
          <w:sz w:val="28"/>
          <w:szCs w:val="28"/>
        </w:rPr>
        <w:t xml:space="preserve"> rescission</w:t>
      </w:r>
      <w:r w:rsidR="00193527" w:rsidRPr="001D56C6">
        <w:rPr>
          <w:sz w:val="28"/>
          <w:szCs w:val="28"/>
        </w:rPr>
        <w:t>.</w:t>
      </w:r>
      <w:r w:rsidR="000D5544" w:rsidRPr="001D56C6">
        <w:rPr>
          <w:sz w:val="28"/>
          <w:szCs w:val="28"/>
        </w:rPr>
        <w:t xml:space="preserve"> </w:t>
      </w:r>
      <w:r w:rsidR="00F8769A" w:rsidRPr="001D56C6">
        <w:rPr>
          <w:sz w:val="28"/>
          <w:szCs w:val="28"/>
        </w:rPr>
        <w:t>The power to a</w:t>
      </w:r>
      <w:r w:rsidR="00D76F94" w:rsidRPr="001D56C6">
        <w:rPr>
          <w:sz w:val="28"/>
          <w:szCs w:val="28"/>
        </w:rPr>
        <w:t>mend or set aside</w:t>
      </w:r>
      <w:r w:rsidR="000D5544" w:rsidRPr="001D56C6">
        <w:rPr>
          <w:sz w:val="28"/>
          <w:szCs w:val="28"/>
        </w:rPr>
        <w:t xml:space="preserve"> orders on appeal is specifically provided for in </w:t>
      </w:r>
      <w:r w:rsidR="005C7A0E" w:rsidRPr="001D56C6">
        <w:rPr>
          <w:sz w:val="28"/>
          <w:szCs w:val="28"/>
        </w:rPr>
        <w:t>s 19</w:t>
      </w:r>
      <w:r w:rsidR="00D76F94" w:rsidRPr="001D56C6">
        <w:rPr>
          <w:i/>
          <w:iCs/>
          <w:sz w:val="28"/>
          <w:szCs w:val="28"/>
        </w:rPr>
        <w:t>(d)</w:t>
      </w:r>
      <w:r w:rsidR="00D76F94" w:rsidRPr="001D56C6">
        <w:rPr>
          <w:sz w:val="28"/>
          <w:szCs w:val="28"/>
        </w:rPr>
        <w:t xml:space="preserve"> of the Act.</w:t>
      </w:r>
      <w:r w:rsidR="00D76F94" w:rsidRPr="00127B01">
        <w:rPr>
          <w:rStyle w:val="FootnoteReference"/>
          <w:sz w:val="28"/>
          <w:szCs w:val="28"/>
        </w:rPr>
        <w:footnoteReference w:id="25"/>
      </w:r>
      <w:r w:rsidR="00615C2F" w:rsidRPr="001D56C6">
        <w:rPr>
          <w:sz w:val="28"/>
          <w:szCs w:val="28"/>
        </w:rPr>
        <w:t xml:space="preserve"> The Uniform Rules of Court provide for amendment and rescission of judgments</w:t>
      </w:r>
      <w:r w:rsidR="00F76A8F" w:rsidRPr="00127B01">
        <w:rPr>
          <w:rStyle w:val="FootnoteReference"/>
          <w:sz w:val="28"/>
          <w:szCs w:val="28"/>
        </w:rPr>
        <w:footnoteReference w:id="26"/>
      </w:r>
      <w:r w:rsidR="00615C2F" w:rsidRPr="001D56C6">
        <w:rPr>
          <w:sz w:val="28"/>
          <w:szCs w:val="28"/>
        </w:rPr>
        <w:t xml:space="preserve"> as does the common law.</w:t>
      </w:r>
      <w:r w:rsidR="008E3BA7" w:rsidRPr="001D56C6">
        <w:rPr>
          <w:sz w:val="28"/>
          <w:szCs w:val="28"/>
        </w:rPr>
        <w:t xml:space="preserve"> </w:t>
      </w:r>
    </w:p>
    <w:p w14:paraId="631D2A0D" w14:textId="77777777" w:rsidR="0039353D" w:rsidRPr="00127B01" w:rsidRDefault="0039353D" w:rsidP="0039353D">
      <w:pPr>
        <w:pStyle w:val="ListParagraph"/>
        <w:ind w:left="0"/>
        <w:rPr>
          <w:sz w:val="28"/>
          <w:szCs w:val="28"/>
        </w:rPr>
      </w:pPr>
    </w:p>
    <w:p w14:paraId="6D7A329E" w14:textId="14C0FE70" w:rsidR="00B10E91" w:rsidRPr="001D56C6" w:rsidRDefault="001D56C6" w:rsidP="001D56C6">
      <w:pPr>
        <w:rPr>
          <w:sz w:val="28"/>
          <w:szCs w:val="28"/>
        </w:rPr>
      </w:pPr>
      <w:r w:rsidRPr="00127B01">
        <w:rPr>
          <w:sz w:val="28"/>
          <w:szCs w:val="28"/>
        </w:rPr>
        <w:t>[30]</w:t>
      </w:r>
      <w:r w:rsidRPr="00127B01">
        <w:rPr>
          <w:sz w:val="28"/>
          <w:szCs w:val="28"/>
        </w:rPr>
        <w:tab/>
      </w:r>
      <w:r w:rsidR="00B10E91" w:rsidRPr="001D56C6">
        <w:rPr>
          <w:sz w:val="28"/>
          <w:szCs w:val="28"/>
        </w:rPr>
        <w:t xml:space="preserve">There is a plethora of authority </w:t>
      </w:r>
      <w:r w:rsidR="00EA56F8" w:rsidRPr="001D56C6">
        <w:rPr>
          <w:sz w:val="28"/>
          <w:szCs w:val="28"/>
        </w:rPr>
        <w:t xml:space="preserve">to the effect </w:t>
      </w:r>
      <w:r w:rsidR="00B10E91" w:rsidRPr="001D56C6">
        <w:rPr>
          <w:sz w:val="28"/>
          <w:szCs w:val="28"/>
        </w:rPr>
        <w:t xml:space="preserve">that s 165(5) lies at the heart of the </w:t>
      </w:r>
      <w:r w:rsidR="0039353D" w:rsidRPr="001D56C6">
        <w:rPr>
          <w:sz w:val="28"/>
          <w:szCs w:val="28"/>
        </w:rPr>
        <w:t>r</w:t>
      </w:r>
      <w:r w:rsidR="00B10E91" w:rsidRPr="001D56C6">
        <w:rPr>
          <w:sz w:val="28"/>
          <w:szCs w:val="28"/>
        </w:rPr>
        <w:t xml:space="preserve">ule of </w:t>
      </w:r>
      <w:r w:rsidR="0039353D" w:rsidRPr="001D56C6">
        <w:rPr>
          <w:sz w:val="28"/>
          <w:szCs w:val="28"/>
        </w:rPr>
        <w:t>l</w:t>
      </w:r>
      <w:r w:rsidR="00B10E91" w:rsidRPr="001D56C6">
        <w:rPr>
          <w:sz w:val="28"/>
          <w:szCs w:val="28"/>
        </w:rPr>
        <w:t xml:space="preserve">aw. </w:t>
      </w:r>
      <w:r w:rsidR="00971EB4" w:rsidRPr="001D56C6">
        <w:rPr>
          <w:sz w:val="28"/>
          <w:szCs w:val="28"/>
        </w:rPr>
        <w:t xml:space="preserve">In </w:t>
      </w:r>
      <w:r w:rsidR="00A30711" w:rsidRPr="001D56C6">
        <w:rPr>
          <w:i/>
          <w:iCs/>
          <w:sz w:val="28"/>
          <w:szCs w:val="28"/>
        </w:rPr>
        <w:t>Pheko</w:t>
      </w:r>
      <w:r w:rsidR="00BA4D0C" w:rsidRPr="001D56C6">
        <w:rPr>
          <w:i/>
          <w:iCs/>
          <w:sz w:val="28"/>
          <w:szCs w:val="28"/>
        </w:rPr>
        <w:t xml:space="preserve"> and Others</w:t>
      </w:r>
      <w:r w:rsidR="00A30711" w:rsidRPr="001D56C6">
        <w:rPr>
          <w:i/>
          <w:iCs/>
          <w:sz w:val="28"/>
          <w:szCs w:val="28"/>
        </w:rPr>
        <w:t xml:space="preserve"> v Ekurhuleni </w:t>
      </w:r>
      <w:r w:rsidR="00EA5E7B" w:rsidRPr="001D56C6">
        <w:rPr>
          <w:i/>
          <w:iCs/>
          <w:sz w:val="28"/>
          <w:szCs w:val="28"/>
        </w:rPr>
        <w:t>Metropolitan Municipality</w:t>
      </w:r>
      <w:r w:rsidR="00BA4D0C" w:rsidRPr="001D56C6">
        <w:rPr>
          <w:i/>
          <w:iCs/>
          <w:sz w:val="28"/>
          <w:szCs w:val="28"/>
        </w:rPr>
        <w:t xml:space="preserve"> (2)</w:t>
      </w:r>
      <w:r w:rsidR="00A30711" w:rsidRPr="001D56C6">
        <w:rPr>
          <w:sz w:val="28"/>
          <w:szCs w:val="28"/>
        </w:rPr>
        <w:t xml:space="preserve">, </w:t>
      </w:r>
      <w:r w:rsidR="0086603E" w:rsidRPr="001D56C6">
        <w:rPr>
          <w:sz w:val="28"/>
          <w:szCs w:val="28"/>
        </w:rPr>
        <w:t>the Constitutional Court explained:</w:t>
      </w:r>
    </w:p>
    <w:p w14:paraId="276E83DC" w14:textId="36785FFA" w:rsidR="0086603E" w:rsidRPr="00127B01" w:rsidRDefault="0086603E" w:rsidP="0086603E">
      <w:pPr>
        <w:pStyle w:val="ListParagraph"/>
        <w:ind w:left="0"/>
        <w:rPr>
          <w:sz w:val="24"/>
          <w:szCs w:val="24"/>
        </w:rPr>
      </w:pPr>
      <w:r w:rsidRPr="00127B01">
        <w:rPr>
          <w:sz w:val="24"/>
          <w:szCs w:val="24"/>
        </w:rPr>
        <w:t>‘</w:t>
      </w:r>
      <w:r w:rsidR="005A4D87" w:rsidRPr="00127B01">
        <w:rPr>
          <w:sz w:val="24"/>
          <w:szCs w:val="24"/>
        </w:rPr>
        <w:t>T</w:t>
      </w:r>
      <w:r w:rsidRPr="00127B01">
        <w:rPr>
          <w:sz w:val="24"/>
          <w:szCs w:val="24"/>
        </w:rPr>
        <w:t xml:space="preserve">he rule of law, a foundational value of the Constitution, requires that the dignity and authority of the courts be upheld. This is crucial, as the capacity of the courts to carry out their functions depends upon it. As the Constitution commands, orders and decisions issued by a court bind all persons to whom and organs of State to which they apply, and no person or organ of </w:t>
      </w:r>
      <w:r w:rsidR="00B932D5" w:rsidRPr="00127B01">
        <w:rPr>
          <w:sz w:val="24"/>
          <w:szCs w:val="24"/>
        </w:rPr>
        <w:t>s</w:t>
      </w:r>
      <w:r w:rsidRPr="00127B01">
        <w:rPr>
          <w:sz w:val="24"/>
          <w:szCs w:val="24"/>
        </w:rPr>
        <w:t>tate may interfere, in any manner, with the functioning of the courts. It follows from this that disobedience towards court orders or decisions risks rendering our courts impotent and judicial authority a mere mockery. The effectiveness of court orders or decisions is substantially determined by the assurance that they will be enforced.</w:t>
      </w:r>
    </w:p>
    <w:p w14:paraId="5D19C170" w14:textId="373876D0" w:rsidR="00B10E91" w:rsidRPr="00127B01" w:rsidRDefault="0086603E" w:rsidP="0086603E">
      <w:pPr>
        <w:pStyle w:val="ListParagraph"/>
        <w:ind w:left="0"/>
        <w:rPr>
          <w:sz w:val="24"/>
          <w:szCs w:val="24"/>
        </w:rPr>
      </w:pPr>
      <w:r w:rsidRPr="00127B01">
        <w:rPr>
          <w:sz w:val="24"/>
          <w:szCs w:val="24"/>
        </w:rPr>
        <w:lastRenderedPageBreak/>
        <w:t xml:space="preserve">Courts have the power to ensure that their decisions or orders are complied with by all and sundry, including organs of </w:t>
      </w:r>
      <w:r w:rsidR="00B932D5" w:rsidRPr="00127B01">
        <w:rPr>
          <w:sz w:val="24"/>
          <w:szCs w:val="24"/>
        </w:rPr>
        <w:t>s</w:t>
      </w:r>
      <w:r w:rsidRPr="00127B01">
        <w:rPr>
          <w:sz w:val="24"/>
          <w:szCs w:val="24"/>
        </w:rPr>
        <w:t>tate. In doing so, courts are not only giving effect to the rights of the successful litigant but also and more importantly, by acting as guardians of the Constitution, asserting their authority in the public interest.’</w:t>
      </w:r>
      <w:r w:rsidR="00A30711" w:rsidRPr="00127B01">
        <w:rPr>
          <w:rStyle w:val="FootnoteReference"/>
          <w:sz w:val="24"/>
          <w:szCs w:val="24"/>
        </w:rPr>
        <w:footnoteReference w:id="27"/>
      </w:r>
    </w:p>
    <w:p w14:paraId="57B8B080" w14:textId="4F603836" w:rsidR="0086603E" w:rsidRPr="00127B01" w:rsidRDefault="005357D7" w:rsidP="00B10E91">
      <w:pPr>
        <w:pStyle w:val="ListParagraph"/>
        <w:ind w:left="0"/>
        <w:rPr>
          <w:sz w:val="28"/>
          <w:szCs w:val="28"/>
        </w:rPr>
      </w:pPr>
      <w:r w:rsidRPr="00127B01">
        <w:rPr>
          <w:sz w:val="28"/>
          <w:szCs w:val="28"/>
        </w:rPr>
        <w:t xml:space="preserve">The </w:t>
      </w:r>
      <w:r w:rsidR="0051527C" w:rsidRPr="00127B01">
        <w:rPr>
          <w:sz w:val="28"/>
          <w:szCs w:val="28"/>
        </w:rPr>
        <w:t>novel</w:t>
      </w:r>
      <w:r w:rsidRPr="00127B01">
        <w:rPr>
          <w:sz w:val="28"/>
          <w:szCs w:val="28"/>
        </w:rPr>
        <w:t xml:space="preserve"> question posed in the present matter is whether, when a court order is not </w:t>
      </w:r>
      <w:r w:rsidR="005460F4" w:rsidRPr="00127B01">
        <w:rPr>
          <w:sz w:val="28"/>
          <w:szCs w:val="28"/>
        </w:rPr>
        <w:t>susceptible of being set aside</w:t>
      </w:r>
      <w:r w:rsidRPr="00127B01">
        <w:rPr>
          <w:sz w:val="28"/>
          <w:szCs w:val="28"/>
        </w:rPr>
        <w:t xml:space="preserve"> by way of</w:t>
      </w:r>
      <w:r w:rsidR="007B3FE6" w:rsidRPr="00127B01">
        <w:rPr>
          <w:sz w:val="28"/>
          <w:szCs w:val="28"/>
        </w:rPr>
        <w:t xml:space="preserve"> rescission or </w:t>
      </w:r>
      <w:r w:rsidRPr="00127B01">
        <w:rPr>
          <w:sz w:val="28"/>
          <w:szCs w:val="28"/>
        </w:rPr>
        <w:t>appeal</w:t>
      </w:r>
      <w:r w:rsidR="007B3FE6" w:rsidRPr="00127B01">
        <w:rPr>
          <w:sz w:val="28"/>
          <w:szCs w:val="28"/>
        </w:rPr>
        <w:t xml:space="preserve">, </w:t>
      </w:r>
      <w:r w:rsidR="00E8047F" w:rsidRPr="00127B01">
        <w:rPr>
          <w:sz w:val="28"/>
          <w:szCs w:val="28"/>
        </w:rPr>
        <w:t xml:space="preserve">it can be held to be just and equitable that </w:t>
      </w:r>
      <w:r w:rsidR="007B3FE6" w:rsidRPr="00127B01">
        <w:rPr>
          <w:sz w:val="28"/>
          <w:szCs w:val="28"/>
        </w:rPr>
        <w:t>a</w:t>
      </w:r>
      <w:r w:rsidR="008C58AB" w:rsidRPr="00127B01">
        <w:rPr>
          <w:sz w:val="28"/>
          <w:szCs w:val="28"/>
        </w:rPr>
        <w:t>nother</w:t>
      </w:r>
      <w:r w:rsidR="007B3FE6" w:rsidRPr="00127B01">
        <w:rPr>
          <w:sz w:val="28"/>
          <w:szCs w:val="28"/>
        </w:rPr>
        <w:t xml:space="preserve"> court can </w:t>
      </w:r>
      <w:r w:rsidR="00E8047F" w:rsidRPr="00127B01">
        <w:rPr>
          <w:sz w:val="28"/>
          <w:szCs w:val="28"/>
        </w:rPr>
        <w:t>prohibit its enforcement</w:t>
      </w:r>
      <w:r w:rsidR="007B3FE6" w:rsidRPr="00127B01">
        <w:rPr>
          <w:sz w:val="28"/>
          <w:szCs w:val="28"/>
        </w:rPr>
        <w:t>.</w:t>
      </w:r>
    </w:p>
    <w:p w14:paraId="06DCF753" w14:textId="77777777" w:rsidR="00554847" w:rsidRPr="00127B01" w:rsidRDefault="00554847" w:rsidP="00554847">
      <w:pPr>
        <w:pStyle w:val="ListParagraph"/>
        <w:ind w:left="0"/>
        <w:rPr>
          <w:sz w:val="28"/>
          <w:szCs w:val="28"/>
        </w:rPr>
      </w:pPr>
    </w:p>
    <w:p w14:paraId="4EC87B9D" w14:textId="7ECE8E3F" w:rsidR="00A346A8" w:rsidRPr="001D56C6" w:rsidRDefault="001D56C6" w:rsidP="001D56C6">
      <w:pPr>
        <w:rPr>
          <w:sz w:val="28"/>
          <w:szCs w:val="28"/>
        </w:rPr>
      </w:pPr>
      <w:r w:rsidRPr="00127B01">
        <w:rPr>
          <w:sz w:val="28"/>
          <w:szCs w:val="28"/>
        </w:rPr>
        <w:t>[31]</w:t>
      </w:r>
      <w:r w:rsidRPr="00127B01">
        <w:rPr>
          <w:sz w:val="28"/>
          <w:szCs w:val="28"/>
        </w:rPr>
        <w:tab/>
      </w:r>
      <w:r w:rsidR="00A346A8" w:rsidRPr="001D56C6">
        <w:rPr>
          <w:sz w:val="28"/>
          <w:szCs w:val="28"/>
        </w:rPr>
        <w:t xml:space="preserve">In </w:t>
      </w:r>
      <w:r w:rsidR="00A346A8" w:rsidRPr="001D56C6">
        <w:rPr>
          <w:bCs/>
          <w:i/>
          <w:iCs/>
          <w:sz w:val="28"/>
          <w:szCs w:val="28"/>
        </w:rPr>
        <w:t>Provincial Government North West and Another v Tsoga Developers CC and Others</w:t>
      </w:r>
      <w:r w:rsidR="00A346A8" w:rsidRPr="001D56C6">
        <w:rPr>
          <w:bCs/>
          <w:sz w:val="28"/>
          <w:szCs w:val="28"/>
        </w:rPr>
        <w:t>,</w:t>
      </w:r>
      <w:r w:rsidR="00A346A8" w:rsidRPr="00127B01">
        <w:rPr>
          <w:rStyle w:val="FootnoteReference"/>
          <w:bCs/>
          <w:sz w:val="28"/>
          <w:szCs w:val="28"/>
        </w:rPr>
        <w:footnoteReference w:id="28"/>
      </w:r>
      <w:r w:rsidR="00A346A8" w:rsidRPr="001D56C6">
        <w:rPr>
          <w:bCs/>
          <w:sz w:val="28"/>
          <w:szCs w:val="28"/>
        </w:rPr>
        <w:t xml:space="preserve"> Constitutional Court</w:t>
      </w:r>
      <w:r w:rsidR="009B5DC3" w:rsidRPr="001D56C6">
        <w:rPr>
          <w:bCs/>
          <w:sz w:val="28"/>
          <w:szCs w:val="28"/>
        </w:rPr>
        <w:t>, after r</w:t>
      </w:r>
      <w:r w:rsidR="00A346A8" w:rsidRPr="001D56C6">
        <w:rPr>
          <w:bCs/>
          <w:sz w:val="28"/>
          <w:szCs w:val="28"/>
        </w:rPr>
        <w:t xml:space="preserve">eferring to s 165(5) of the Constitution and the need to give effect to court orders, </w:t>
      </w:r>
      <w:r w:rsidR="009B5DC3" w:rsidRPr="001D56C6">
        <w:rPr>
          <w:bCs/>
          <w:sz w:val="28"/>
          <w:szCs w:val="28"/>
        </w:rPr>
        <w:t>held</w:t>
      </w:r>
      <w:r w:rsidR="00A346A8" w:rsidRPr="001D56C6">
        <w:rPr>
          <w:bCs/>
          <w:sz w:val="28"/>
          <w:szCs w:val="28"/>
        </w:rPr>
        <w:t>:</w:t>
      </w:r>
    </w:p>
    <w:p w14:paraId="7C3B06A8" w14:textId="47B734AF" w:rsidR="00A346A8" w:rsidRPr="00127B01" w:rsidRDefault="00A346A8" w:rsidP="00A346A8">
      <w:pPr>
        <w:pStyle w:val="ListParagraph"/>
        <w:ind w:left="0"/>
        <w:rPr>
          <w:bCs/>
          <w:sz w:val="24"/>
          <w:szCs w:val="24"/>
        </w:rPr>
      </w:pPr>
      <w:r w:rsidRPr="00127B01">
        <w:rPr>
          <w:bCs/>
          <w:sz w:val="24"/>
          <w:szCs w:val="24"/>
        </w:rPr>
        <w:t>‘</w:t>
      </w:r>
      <w:r w:rsidR="00B932D5" w:rsidRPr="00127B01">
        <w:rPr>
          <w:bCs/>
          <w:sz w:val="24"/>
          <w:szCs w:val="24"/>
        </w:rPr>
        <w:t xml:space="preserve">. . . </w:t>
      </w:r>
      <w:r w:rsidRPr="00127B01">
        <w:rPr>
          <w:bCs/>
          <w:sz w:val="24"/>
          <w:szCs w:val="24"/>
        </w:rPr>
        <w:t>[O]nce the order has been made, it is an order like any other. That means it can only be set aside by means of a legally cognisable process like, for example, rescission</w:t>
      </w:r>
      <w:r w:rsidR="009B5DC3" w:rsidRPr="00127B01">
        <w:rPr>
          <w:bCs/>
          <w:sz w:val="24"/>
          <w:szCs w:val="24"/>
        </w:rPr>
        <w:t>.</w:t>
      </w:r>
      <w:r w:rsidR="00785F78" w:rsidRPr="00127B01">
        <w:rPr>
          <w:bCs/>
          <w:sz w:val="24"/>
          <w:szCs w:val="24"/>
        </w:rPr>
        <w:t>’</w:t>
      </w:r>
      <w:r w:rsidRPr="00127B01">
        <w:rPr>
          <w:bCs/>
          <w:sz w:val="24"/>
          <w:szCs w:val="24"/>
          <w:vertAlign w:val="superscript"/>
        </w:rPr>
        <w:footnoteReference w:id="29"/>
      </w:r>
    </w:p>
    <w:p w14:paraId="7F7B45F3" w14:textId="198FCE56" w:rsidR="00A346A8" w:rsidRPr="00127B01" w:rsidRDefault="00EF3F11" w:rsidP="00A346A8">
      <w:pPr>
        <w:pStyle w:val="ListParagraph"/>
        <w:ind w:left="0"/>
        <w:rPr>
          <w:sz w:val="28"/>
          <w:szCs w:val="28"/>
        </w:rPr>
      </w:pPr>
      <w:r w:rsidRPr="00127B01">
        <w:rPr>
          <w:sz w:val="28"/>
          <w:szCs w:val="28"/>
        </w:rPr>
        <w:t xml:space="preserve">This finds echo in the present matter. The only real distinction is that in the present matter, rescission was refused rather than abandoned. </w:t>
      </w:r>
      <w:r w:rsidR="009B5DC3" w:rsidRPr="00127B01">
        <w:rPr>
          <w:sz w:val="28"/>
          <w:szCs w:val="28"/>
        </w:rPr>
        <w:t>And later</w:t>
      </w:r>
      <w:r w:rsidRPr="00127B01">
        <w:rPr>
          <w:sz w:val="28"/>
          <w:szCs w:val="28"/>
        </w:rPr>
        <w:t>, it was held</w:t>
      </w:r>
      <w:r w:rsidR="009B5DC3" w:rsidRPr="00127B01">
        <w:rPr>
          <w:sz w:val="28"/>
          <w:szCs w:val="28"/>
        </w:rPr>
        <w:t>:</w:t>
      </w:r>
    </w:p>
    <w:p w14:paraId="37378346" w14:textId="77777777" w:rsidR="00A346A8" w:rsidRPr="00127B01" w:rsidRDefault="00A346A8" w:rsidP="00A346A8">
      <w:pPr>
        <w:pStyle w:val="ListParagraph"/>
        <w:ind w:left="0"/>
        <w:rPr>
          <w:sz w:val="28"/>
          <w:szCs w:val="28"/>
        </w:rPr>
      </w:pPr>
      <w:r w:rsidRPr="00127B01">
        <w:rPr>
          <w:bCs/>
          <w:sz w:val="24"/>
          <w:szCs w:val="24"/>
        </w:rPr>
        <w:t>‘Unless set aside by some competent legal process, at some point [the order] will have to be complied with.’</w:t>
      </w:r>
      <w:r w:rsidRPr="00127B01">
        <w:rPr>
          <w:rStyle w:val="FootnoteReference"/>
          <w:bCs/>
          <w:sz w:val="24"/>
          <w:szCs w:val="24"/>
        </w:rPr>
        <w:footnoteReference w:id="30"/>
      </w:r>
    </w:p>
    <w:p w14:paraId="68C92DF9" w14:textId="77777777" w:rsidR="00E30970" w:rsidRPr="00127B01" w:rsidRDefault="00E30970" w:rsidP="00E30970">
      <w:pPr>
        <w:pStyle w:val="ListParagraph"/>
        <w:ind w:left="0"/>
        <w:rPr>
          <w:sz w:val="28"/>
          <w:szCs w:val="28"/>
        </w:rPr>
      </w:pPr>
    </w:p>
    <w:p w14:paraId="0AC0F6A1" w14:textId="3BC9C380" w:rsidR="00E553B4" w:rsidRPr="001D56C6" w:rsidRDefault="001D56C6" w:rsidP="001D56C6">
      <w:pPr>
        <w:rPr>
          <w:sz w:val="28"/>
          <w:szCs w:val="28"/>
        </w:rPr>
      </w:pPr>
      <w:r w:rsidRPr="00127B01">
        <w:rPr>
          <w:sz w:val="28"/>
          <w:szCs w:val="28"/>
        </w:rPr>
        <w:t>[32]</w:t>
      </w:r>
      <w:r w:rsidRPr="00127B01">
        <w:rPr>
          <w:sz w:val="28"/>
          <w:szCs w:val="28"/>
        </w:rPr>
        <w:tab/>
      </w:r>
      <w:r w:rsidR="00011F0D" w:rsidRPr="001D56C6">
        <w:rPr>
          <w:sz w:val="28"/>
          <w:szCs w:val="28"/>
        </w:rPr>
        <w:t>R</w:t>
      </w:r>
      <w:r w:rsidR="00C825BC" w:rsidRPr="001D56C6">
        <w:rPr>
          <w:sz w:val="28"/>
          <w:szCs w:val="28"/>
        </w:rPr>
        <w:t>elief</w:t>
      </w:r>
      <w:r w:rsidR="00011F0D" w:rsidRPr="001D56C6">
        <w:rPr>
          <w:sz w:val="28"/>
          <w:szCs w:val="28"/>
        </w:rPr>
        <w:t xml:space="preserve"> under s 172(1)</w:t>
      </w:r>
      <w:r w:rsidR="00011F0D" w:rsidRPr="001D56C6">
        <w:rPr>
          <w:i/>
          <w:iCs/>
          <w:sz w:val="28"/>
          <w:szCs w:val="28"/>
        </w:rPr>
        <w:t>(b)</w:t>
      </w:r>
      <w:r w:rsidR="00011F0D" w:rsidRPr="001D56C6">
        <w:rPr>
          <w:sz w:val="28"/>
          <w:szCs w:val="28"/>
        </w:rPr>
        <w:t xml:space="preserve"> of the Constitution</w:t>
      </w:r>
      <w:r w:rsidR="00C825BC" w:rsidRPr="001D56C6">
        <w:rPr>
          <w:sz w:val="28"/>
          <w:szCs w:val="28"/>
        </w:rPr>
        <w:t xml:space="preserve"> has ranged from keeping alive a</w:t>
      </w:r>
      <w:r w:rsidR="002F4129" w:rsidRPr="001D56C6">
        <w:rPr>
          <w:sz w:val="28"/>
          <w:szCs w:val="28"/>
        </w:rPr>
        <w:t>n invalid</w:t>
      </w:r>
      <w:r w:rsidR="00C825BC" w:rsidRPr="001D56C6">
        <w:rPr>
          <w:sz w:val="28"/>
          <w:szCs w:val="28"/>
        </w:rPr>
        <w:t xml:space="preserve"> contract for the public good</w:t>
      </w:r>
      <w:r w:rsidR="00A84CAF" w:rsidRPr="00127B01">
        <w:rPr>
          <w:rStyle w:val="FootnoteReference"/>
          <w:sz w:val="28"/>
          <w:szCs w:val="28"/>
        </w:rPr>
        <w:footnoteReference w:id="31"/>
      </w:r>
      <w:r w:rsidR="002F4129" w:rsidRPr="001D56C6">
        <w:rPr>
          <w:sz w:val="28"/>
          <w:szCs w:val="28"/>
        </w:rPr>
        <w:t xml:space="preserve"> to ordering repayment of ill-gotten </w:t>
      </w:r>
      <w:r w:rsidR="00A84CAF" w:rsidRPr="001D56C6">
        <w:rPr>
          <w:sz w:val="28"/>
          <w:szCs w:val="28"/>
        </w:rPr>
        <w:t>profits derived from such a contract, as seen above.</w:t>
      </w:r>
      <w:r w:rsidR="00235008" w:rsidRPr="001D56C6">
        <w:rPr>
          <w:sz w:val="28"/>
          <w:szCs w:val="28"/>
        </w:rPr>
        <w:t xml:space="preserve"> What has n</w:t>
      </w:r>
      <w:r w:rsidR="00011F0D" w:rsidRPr="001D56C6">
        <w:rPr>
          <w:sz w:val="28"/>
          <w:szCs w:val="28"/>
        </w:rPr>
        <w:t>ot yet</w:t>
      </w:r>
      <w:r w:rsidR="00235008" w:rsidRPr="001D56C6">
        <w:rPr>
          <w:sz w:val="28"/>
          <w:szCs w:val="28"/>
        </w:rPr>
        <w:t xml:space="preserve"> been ordered is that a </w:t>
      </w:r>
      <w:r w:rsidR="00055BA3" w:rsidRPr="001D56C6">
        <w:rPr>
          <w:sz w:val="28"/>
          <w:szCs w:val="28"/>
        </w:rPr>
        <w:lastRenderedPageBreak/>
        <w:t xml:space="preserve">valid and binding </w:t>
      </w:r>
      <w:r w:rsidR="00235008" w:rsidRPr="001D56C6">
        <w:rPr>
          <w:sz w:val="28"/>
          <w:szCs w:val="28"/>
        </w:rPr>
        <w:t xml:space="preserve">judgment may not be </w:t>
      </w:r>
      <w:r w:rsidR="00011F0D" w:rsidRPr="001D56C6">
        <w:rPr>
          <w:sz w:val="28"/>
          <w:szCs w:val="28"/>
        </w:rPr>
        <w:t>given effect</w:t>
      </w:r>
      <w:r w:rsidR="00235008" w:rsidRPr="001D56C6">
        <w:rPr>
          <w:sz w:val="28"/>
          <w:szCs w:val="28"/>
        </w:rPr>
        <w:t xml:space="preserve">. </w:t>
      </w:r>
      <w:r w:rsidR="00E553B4" w:rsidRPr="001D56C6">
        <w:rPr>
          <w:sz w:val="28"/>
          <w:szCs w:val="28"/>
        </w:rPr>
        <w:t xml:space="preserve">As was previously indicated, </w:t>
      </w:r>
      <w:r w:rsidR="00E553B4" w:rsidRPr="001D56C6">
        <w:rPr>
          <w:i/>
          <w:iCs/>
          <w:sz w:val="28"/>
          <w:szCs w:val="28"/>
        </w:rPr>
        <w:t>Pheko (2)</w:t>
      </w:r>
      <w:r w:rsidR="00E553B4" w:rsidRPr="001D56C6">
        <w:rPr>
          <w:sz w:val="28"/>
          <w:szCs w:val="28"/>
        </w:rPr>
        <w:t xml:space="preserve"> held:</w:t>
      </w:r>
    </w:p>
    <w:p w14:paraId="429F9A14" w14:textId="77777777" w:rsidR="002D072E" w:rsidRPr="00127B01" w:rsidRDefault="00470693" w:rsidP="00470693">
      <w:pPr>
        <w:pStyle w:val="ListParagraph"/>
        <w:ind w:left="0"/>
        <w:rPr>
          <w:sz w:val="24"/>
          <w:szCs w:val="24"/>
        </w:rPr>
      </w:pPr>
      <w:r w:rsidRPr="00127B01">
        <w:rPr>
          <w:sz w:val="24"/>
          <w:szCs w:val="24"/>
        </w:rPr>
        <w:t>‘The rule of law, a foundational value of the Constitution, requires that the dignity and authority of the courts be upheld</w:t>
      </w:r>
      <w:r w:rsidR="002D072E" w:rsidRPr="00127B01">
        <w:rPr>
          <w:sz w:val="24"/>
          <w:szCs w:val="24"/>
        </w:rPr>
        <w:t>.</w:t>
      </w:r>
    </w:p>
    <w:p w14:paraId="58896FEC" w14:textId="2BD6D527" w:rsidR="00470693" w:rsidRPr="00127B01" w:rsidRDefault="002D072E" w:rsidP="00470693">
      <w:pPr>
        <w:pStyle w:val="ListParagraph"/>
        <w:ind w:left="0"/>
        <w:rPr>
          <w:sz w:val="24"/>
          <w:szCs w:val="24"/>
        </w:rPr>
      </w:pPr>
      <w:r w:rsidRPr="00127B01">
        <w:rPr>
          <w:sz w:val="24"/>
          <w:szCs w:val="24"/>
        </w:rPr>
        <w:t xml:space="preserve">. . . </w:t>
      </w:r>
    </w:p>
    <w:p w14:paraId="4A1EC472" w14:textId="029B7FA0" w:rsidR="00470693" w:rsidRPr="00127B01" w:rsidRDefault="001F2CA5" w:rsidP="00470693">
      <w:pPr>
        <w:pStyle w:val="ListParagraph"/>
        <w:ind w:left="0"/>
        <w:rPr>
          <w:sz w:val="28"/>
          <w:szCs w:val="28"/>
        </w:rPr>
      </w:pPr>
      <w:r w:rsidRPr="00127B01">
        <w:rPr>
          <w:sz w:val="24"/>
          <w:szCs w:val="24"/>
        </w:rPr>
        <w:t xml:space="preserve">Courts have the power to ensure that their decisions or orders are complied with by all and sundry, including organs of </w:t>
      </w:r>
      <w:r w:rsidR="002D072E" w:rsidRPr="00127B01">
        <w:rPr>
          <w:sz w:val="24"/>
          <w:szCs w:val="24"/>
        </w:rPr>
        <w:t>s</w:t>
      </w:r>
      <w:r w:rsidRPr="00127B01">
        <w:rPr>
          <w:sz w:val="24"/>
          <w:szCs w:val="24"/>
        </w:rPr>
        <w:t>tate. In doing so, courts are not only giving effect to the rights of the successful litigant but also and more importantly, by acting as guardians of the Constitution, asserting their authority in the public interest.’</w:t>
      </w:r>
      <w:r w:rsidRPr="00127B01">
        <w:rPr>
          <w:sz w:val="28"/>
          <w:szCs w:val="28"/>
          <w:vertAlign w:val="superscript"/>
        </w:rPr>
        <w:footnoteReference w:id="32"/>
      </w:r>
    </w:p>
    <w:p w14:paraId="73CE7597" w14:textId="11782975" w:rsidR="001D2C0E" w:rsidRPr="00127B01" w:rsidRDefault="001D2C0E" w:rsidP="00BB136B">
      <w:pPr>
        <w:pStyle w:val="ListParagraph"/>
        <w:ind w:left="0"/>
        <w:rPr>
          <w:sz w:val="28"/>
          <w:szCs w:val="28"/>
        </w:rPr>
      </w:pPr>
      <w:r w:rsidRPr="00127B01">
        <w:rPr>
          <w:sz w:val="28"/>
          <w:szCs w:val="28"/>
        </w:rPr>
        <w:t xml:space="preserve">This </w:t>
      </w:r>
      <w:r w:rsidR="0087197F" w:rsidRPr="00127B01">
        <w:rPr>
          <w:sz w:val="28"/>
          <w:szCs w:val="28"/>
        </w:rPr>
        <w:t>recently received</w:t>
      </w:r>
      <w:r w:rsidRPr="00127B01">
        <w:rPr>
          <w:sz w:val="28"/>
          <w:szCs w:val="28"/>
        </w:rPr>
        <w:t xml:space="preserve"> </w:t>
      </w:r>
      <w:r w:rsidR="0087197F" w:rsidRPr="00127B01">
        <w:rPr>
          <w:sz w:val="28"/>
          <w:szCs w:val="28"/>
        </w:rPr>
        <w:t>the</w:t>
      </w:r>
      <w:r w:rsidRPr="00127B01">
        <w:rPr>
          <w:sz w:val="28"/>
          <w:szCs w:val="28"/>
        </w:rPr>
        <w:t xml:space="preserve"> stamp of approval in</w:t>
      </w:r>
      <w:r w:rsidR="00A75135" w:rsidRPr="00127B01">
        <w:rPr>
          <w:sz w:val="28"/>
          <w:szCs w:val="28"/>
        </w:rPr>
        <w:t xml:space="preserve"> </w:t>
      </w:r>
      <w:r w:rsidR="00A75135" w:rsidRPr="00127B01">
        <w:rPr>
          <w:i/>
          <w:iCs/>
          <w:sz w:val="28"/>
          <w:szCs w:val="28"/>
        </w:rPr>
        <w:t>Secretary</w:t>
      </w:r>
      <w:r w:rsidR="00344FE4" w:rsidRPr="00127B01">
        <w:rPr>
          <w:i/>
          <w:iCs/>
          <w:sz w:val="28"/>
          <w:szCs w:val="28"/>
        </w:rPr>
        <w:t xml:space="preserve"> of the </w:t>
      </w:r>
      <w:r w:rsidR="00A75135" w:rsidRPr="00127B01">
        <w:rPr>
          <w:i/>
          <w:iCs/>
          <w:sz w:val="28"/>
          <w:szCs w:val="28"/>
        </w:rPr>
        <w:t>Judicial Commission of Inquiry into Allegations of State Capture</w:t>
      </w:r>
      <w:r w:rsidR="00344FE4" w:rsidRPr="00127B01">
        <w:rPr>
          <w:i/>
          <w:iCs/>
          <w:sz w:val="28"/>
          <w:szCs w:val="28"/>
        </w:rPr>
        <w:t>, Corruption and Fraud in the Public Sector including Organs of State</w:t>
      </w:r>
      <w:r w:rsidR="00A75135" w:rsidRPr="00127B01">
        <w:rPr>
          <w:i/>
          <w:iCs/>
          <w:sz w:val="28"/>
          <w:szCs w:val="28"/>
        </w:rPr>
        <w:t xml:space="preserve"> v Zuma</w:t>
      </w:r>
      <w:r w:rsidR="00344FE4" w:rsidRPr="00127B01">
        <w:rPr>
          <w:i/>
          <w:iCs/>
          <w:sz w:val="28"/>
          <w:szCs w:val="28"/>
        </w:rPr>
        <w:t xml:space="preserve"> and Others</w:t>
      </w:r>
      <w:r w:rsidRPr="00127B01">
        <w:rPr>
          <w:sz w:val="28"/>
          <w:szCs w:val="28"/>
        </w:rPr>
        <w:t>, which</w:t>
      </w:r>
      <w:r w:rsidR="002F0CAD" w:rsidRPr="00127B01">
        <w:rPr>
          <w:sz w:val="28"/>
          <w:szCs w:val="28"/>
        </w:rPr>
        <w:t>, after referring to this passage,</w:t>
      </w:r>
      <w:r w:rsidRPr="00127B01">
        <w:rPr>
          <w:sz w:val="28"/>
          <w:szCs w:val="28"/>
        </w:rPr>
        <w:t xml:space="preserve"> went on to say:</w:t>
      </w:r>
    </w:p>
    <w:p w14:paraId="23AC3912" w14:textId="00993D1A" w:rsidR="001D2C0E" w:rsidRPr="00127B01" w:rsidRDefault="001D2C0E" w:rsidP="00BB136B">
      <w:pPr>
        <w:pStyle w:val="ListParagraph"/>
        <w:ind w:left="0"/>
        <w:rPr>
          <w:sz w:val="24"/>
          <w:szCs w:val="24"/>
        </w:rPr>
      </w:pPr>
      <w:r w:rsidRPr="00127B01">
        <w:rPr>
          <w:sz w:val="24"/>
          <w:szCs w:val="24"/>
        </w:rPr>
        <w:t xml:space="preserve">‘Contempt of court proceedings exist to protect the rule of law and the authority of the judiciary. As the applicant correctly avers, “the authority of courts and obedience of their orders </w:t>
      </w:r>
      <w:r w:rsidR="00E614D9" w:rsidRPr="00127B01">
        <w:rPr>
          <w:sz w:val="24"/>
          <w:szCs w:val="24"/>
        </w:rPr>
        <w:t xml:space="preserve">– </w:t>
      </w:r>
      <w:r w:rsidRPr="00127B01">
        <w:rPr>
          <w:sz w:val="24"/>
          <w:szCs w:val="24"/>
        </w:rPr>
        <w:t xml:space="preserve">the very foundation of a constitutional order founded on the rule of law </w:t>
      </w:r>
      <w:r w:rsidR="00E614D9" w:rsidRPr="00127B01">
        <w:rPr>
          <w:sz w:val="24"/>
          <w:szCs w:val="24"/>
        </w:rPr>
        <w:t>–</w:t>
      </w:r>
      <w:r w:rsidRPr="00127B01">
        <w:rPr>
          <w:sz w:val="24"/>
          <w:szCs w:val="24"/>
        </w:rPr>
        <w:t xml:space="preserve"> depends on public trust and respect for the courts”</w:t>
      </w:r>
      <w:r w:rsidR="00344FE4" w:rsidRPr="00127B01">
        <w:rPr>
          <w:sz w:val="24"/>
          <w:szCs w:val="24"/>
        </w:rPr>
        <w:t>’</w:t>
      </w:r>
      <w:r w:rsidRPr="00127B01">
        <w:rPr>
          <w:sz w:val="24"/>
          <w:szCs w:val="24"/>
        </w:rPr>
        <w:t>.</w:t>
      </w:r>
      <w:r w:rsidRPr="00127B01">
        <w:rPr>
          <w:rStyle w:val="FootnoteReference"/>
          <w:sz w:val="24"/>
          <w:szCs w:val="24"/>
        </w:rPr>
        <w:footnoteReference w:id="33"/>
      </w:r>
    </w:p>
    <w:p w14:paraId="792A44C5" w14:textId="7311253C" w:rsidR="009127A6" w:rsidRPr="00127B01" w:rsidRDefault="00C45E50" w:rsidP="00BB136B">
      <w:pPr>
        <w:pStyle w:val="ListParagraph"/>
        <w:ind w:left="0"/>
        <w:rPr>
          <w:sz w:val="28"/>
          <w:szCs w:val="28"/>
        </w:rPr>
      </w:pPr>
      <w:r w:rsidRPr="00127B01">
        <w:rPr>
          <w:sz w:val="28"/>
          <w:szCs w:val="28"/>
        </w:rPr>
        <w:t xml:space="preserve">It is </w:t>
      </w:r>
      <w:r w:rsidR="003755C2" w:rsidRPr="00127B01">
        <w:rPr>
          <w:sz w:val="28"/>
          <w:szCs w:val="28"/>
        </w:rPr>
        <w:t xml:space="preserve">thus </w:t>
      </w:r>
      <w:r w:rsidRPr="00127B01">
        <w:rPr>
          <w:sz w:val="28"/>
          <w:szCs w:val="28"/>
        </w:rPr>
        <w:t xml:space="preserve">no exaggeration to say that giving effect to court orders is an incident of the rule of law. </w:t>
      </w:r>
      <w:r w:rsidR="00B07A64" w:rsidRPr="00127B01">
        <w:rPr>
          <w:sz w:val="28"/>
          <w:szCs w:val="28"/>
        </w:rPr>
        <w:t xml:space="preserve">In </w:t>
      </w:r>
      <w:r w:rsidR="00B07A64" w:rsidRPr="00127B01">
        <w:rPr>
          <w:i/>
          <w:iCs/>
          <w:sz w:val="28"/>
          <w:szCs w:val="28"/>
        </w:rPr>
        <w:t>Mjeni v Minister of Health and Welfare, Eastern Cape</w:t>
      </w:r>
      <w:r w:rsidR="009127A6" w:rsidRPr="00127B01">
        <w:rPr>
          <w:sz w:val="28"/>
          <w:szCs w:val="28"/>
        </w:rPr>
        <w:t>, Jafta J said:</w:t>
      </w:r>
    </w:p>
    <w:p w14:paraId="5A8D5A05" w14:textId="16656C6C" w:rsidR="009127A6" w:rsidRPr="00127B01" w:rsidRDefault="009127A6" w:rsidP="00BB136B">
      <w:pPr>
        <w:pStyle w:val="ListParagraph"/>
        <w:ind w:left="0"/>
        <w:rPr>
          <w:sz w:val="24"/>
          <w:szCs w:val="24"/>
        </w:rPr>
      </w:pPr>
      <w:r w:rsidRPr="00127B01">
        <w:rPr>
          <w:sz w:val="24"/>
          <w:szCs w:val="24"/>
        </w:rPr>
        <w:t>‘</w:t>
      </w:r>
      <w:r w:rsidRPr="00127B01">
        <w:rPr>
          <w:bCs/>
          <w:sz w:val="24"/>
          <w:szCs w:val="24"/>
        </w:rPr>
        <w:t>The constitutional right of access to courts would remain an illusion unless orders made by the courts are capable of being enforced by those in whose favour such orders were made. The process of adjudication and resolution of disputes in courts of law is not an end in itself but only a means thereto; the end being the enforcement of rights or obligations defined in the court order.’</w:t>
      </w:r>
      <w:r w:rsidRPr="00127B01">
        <w:rPr>
          <w:rStyle w:val="FootnoteReference"/>
          <w:bCs/>
          <w:sz w:val="24"/>
          <w:szCs w:val="24"/>
        </w:rPr>
        <w:footnoteReference w:id="34"/>
      </w:r>
    </w:p>
    <w:p w14:paraId="40209BF5" w14:textId="77777777" w:rsidR="0039353D" w:rsidRPr="00127B01" w:rsidRDefault="0039353D" w:rsidP="0039353D">
      <w:pPr>
        <w:rPr>
          <w:sz w:val="28"/>
          <w:szCs w:val="28"/>
        </w:rPr>
      </w:pPr>
    </w:p>
    <w:p w14:paraId="546EEFB7" w14:textId="6833323E" w:rsidR="0039353D" w:rsidRPr="001D56C6" w:rsidRDefault="001D56C6" w:rsidP="001D56C6">
      <w:pPr>
        <w:rPr>
          <w:sz w:val="28"/>
          <w:szCs w:val="28"/>
        </w:rPr>
      </w:pPr>
      <w:r w:rsidRPr="00127B01">
        <w:rPr>
          <w:sz w:val="28"/>
          <w:szCs w:val="28"/>
        </w:rPr>
        <w:lastRenderedPageBreak/>
        <w:t>[33]</w:t>
      </w:r>
      <w:r w:rsidRPr="00127B01">
        <w:rPr>
          <w:sz w:val="28"/>
          <w:szCs w:val="28"/>
        </w:rPr>
        <w:tab/>
      </w:r>
      <w:r w:rsidR="0039353D" w:rsidRPr="001D56C6">
        <w:rPr>
          <w:sz w:val="28"/>
          <w:szCs w:val="28"/>
        </w:rPr>
        <w:t xml:space="preserve">The discussion thus far has shown that </w:t>
      </w:r>
      <w:r w:rsidR="007948A7" w:rsidRPr="001D56C6">
        <w:rPr>
          <w:sz w:val="28"/>
          <w:szCs w:val="28"/>
        </w:rPr>
        <w:t>the</w:t>
      </w:r>
      <w:r w:rsidR="0039353D" w:rsidRPr="001D56C6">
        <w:rPr>
          <w:sz w:val="28"/>
          <w:szCs w:val="28"/>
        </w:rPr>
        <w:t xml:space="preserve"> cases where repayment or prohibition of payment order</w:t>
      </w:r>
      <w:r w:rsidR="0087197F" w:rsidRPr="001D56C6">
        <w:rPr>
          <w:sz w:val="28"/>
          <w:szCs w:val="28"/>
        </w:rPr>
        <w:t>s</w:t>
      </w:r>
      <w:r w:rsidR="0039353D" w:rsidRPr="001D56C6">
        <w:rPr>
          <w:sz w:val="28"/>
          <w:szCs w:val="28"/>
        </w:rPr>
        <w:t xml:space="preserve"> were granted</w:t>
      </w:r>
      <w:r w:rsidR="00F87E9C" w:rsidRPr="001D56C6">
        <w:rPr>
          <w:sz w:val="28"/>
          <w:szCs w:val="28"/>
        </w:rPr>
        <w:t xml:space="preserve"> do not</w:t>
      </w:r>
      <w:r w:rsidR="0039353D" w:rsidRPr="001D56C6">
        <w:rPr>
          <w:sz w:val="28"/>
          <w:szCs w:val="28"/>
        </w:rPr>
        <w:t xml:space="preserve"> provide authority that a court may render nugatory an extant, valid, and binding court order. </w:t>
      </w:r>
      <w:r w:rsidR="00F87E9C" w:rsidRPr="001D56C6">
        <w:rPr>
          <w:sz w:val="28"/>
          <w:szCs w:val="28"/>
        </w:rPr>
        <w:t>Likewise, n</w:t>
      </w:r>
      <w:r w:rsidR="0039353D" w:rsidRPr="001D56C6">
        <w:rPr>
          <w:sz w:val="28"/>
          <w:szCs w:val="28"/>
        </w:rPr>
        <w:t xml:space="preserve">o such authority is found in the instruments </w:t>
      </w:r>
      <w:r w:rsidR="0056573A" w:rsidRPr="001D56C6">
        <w:rPr>
          <w:sz w:val="28"/>
          <w:szCs w:val="28"/>
        </w:rPr>
        <w:t>that</w:t>
      </w:r>
      <w:r w:rsidR="0087197F" w:rsidRPr="001D56C6">
        <w:rPr>
          <w:sz w:val="28"/>
          <w:szCs w:val="28"/>
        </w:rPr>
        <w:t xml:space="preserve"> empower</w:t>
      </w:r>
      <w:r w:rsidR="0039353D" w:rsidRPr="001D56C6">
        <w:rPr>
          <w:sz w:val="28"/>
          <w:szCs w:val="28"/>
        </w:rPr>
        <w:t xml:space="preserve"> courts to set aside judgments </w:t>
      </w:r>
      <w:r w:rsidR="0087197F" w:rsidRPr="001D56C6">
        <w:rPr>
          <w:sz w:val="28"/>
          <w:szCs w:val="28"/>
        </w:rPr>
        <w:t>by way of rescission or appeal</w:t>
      </w:r>
      <w:r w:rsidR="0039353D" w:rsidRPr="001D56C6">
        <w:rPr>
          <w:sz w:val="28"/>
          <w:szCs w:val="28"/>
        </w:rPr>
        <w:t xml:space="preserve">. The Constitution </w:t>
      </w:r>
      <w:r w:rsidR="005A4B61" w:rsidRPr="001D56C6">
        <w:rPr>
          <w:sz w:val="28"/>
          <w:szCs w:val="28"/>
        </w:rPr>
        <w:t xml:space="preserve">and rule of law </w:t>
      </w:r>
      <w:r w:rsidR="0039353D" w:rsidRPr="001D56C6">
        <w:rPr>
          <w:sz w:val="28"/>
          <w:szCs w:val="28"/>
        </w:rPr>
        <w:t xml:space="preserve">establishes a strong principle supporting the sanctity of </w:t>
      </w:r>
      <w:r w:rsidR="006E4ABA" w:rsidRPr="001D56C6">
        <w:rPr>
          <w:sz w:val="28"/>
          <w:szCs w:val="28"/>
        </w:rPr>
        <w:t xml:space="preserve">valid and binding </w:t>
      </w:r>
      <w:r w:rsidR="0039353D" w:rsidRPr="001D56C6">
        <w:rPr>
          <w:sz w:val="28"/>
          <w:szCs w:val="28"/>
        </w:rPr>
        <w:t xml:space="preserve">court orders and the right of persons in whose favour they have issued to enforce them. </w:t>
      </w:r>
    </w:p>
    <w:p w14:paraId="76E1A27E" w14:textId="77777777" w:rsidR="0039353D" w:rsidRPr="00127B01" w:rsidRDefault="0039353D" w:rsidP="0039353D">
      <w:pPr>
        <w:pStyle w:val="ListParagraph"/>
        <w:ind w:left="0"/>
        <w:rPr>
          <w:sz w:val="28"/>
          <w:szCs w:val="28"/>
        </w:rPr>
      </w:pPr>
    </w:p>
    <w:p w14:paraId="71CE6565" w14:textId="01D007A7" w:rsidR="00C73E6E" w:rsidRPr="001D56C6" w:rsidRDefault="001D56C6" w:rsidP="001D56C6">
      <w:pPr>
        <w:rPr>
          <w:sz w:val="28"/>
          <w:szCs w:val="28"/>
        </w:rPr>
      </w:pPr>
      <w:r w:rsidRPr="00127B01">
        <w:rPr>
          <w:sz w:val="28"/>
          <w:szCs w:val="28"/>
        </w:rPr>
        <w:t>[34]</w:t>
      </w:r>
      <w:r w:rsidRPr="00127B01">
        <w:rPr>
          <w:sz w:val="28"/>
          <w:szCs w:val="28"/>
        </w:rPr>
        <w:tab/>
      </w:r>
      <w:r w:rsidR="0039353D" w:rsidRPr="001D56C6">
        <w:rPr>
          <w:sz w:val="28"/>
          <w:szCs w:val="28"/>
        </w:rPr>
        <w:t xml:space="preserve">All of this must </w:t>
      </w:r>
      <w:r w:rsidR="00774494" w:rsidRPr="001D56C6">
        <w:rPr>
          <w:sz w:val="28"/>
          <w:szCs w:val="28"/>
        </w:rPr>
        <w:t xml:space="preserve">inform the question whether it can ever be just and equitable for a court to grant the kind of order sought in prayer 4 of the notice of motion. </w:t>
      </w:r>
      <w:r w:rsidR="00C73E6E" w:rsidRPr="001D56C6">
        <w:rPr>
          <w:sz w:val="28"/>
          <w:szCs w:val="28"/>
        </w:rPr>
        <w:t>In the light of the sanctity of court orders</w:t>
      </w:r>
      <w:r w:rsidR="00774494" w:rsidRPr="001D56C6">
        <w:rPr>
          <w:sz w:val="28"/>
          <w:szCs w:val="28"/>
        </w:rPr>
        <w:t xml:space="preserve"> and the need to uphold the rule of law</w:t>
      </w:r>
      <w:r w:rsidR="00C73E6E" w:rsidRPr="001D56C6">
        <w:rPr>
          <w:sz w:val="28"/>
          <w:szCs w:val="28"/>
        </w:rPr>
        <w:t xml:space="preserve">, the public interest in finality, the </w:t>
      </w:r>
      <w:r w:rsidR="00D27AA1" w:rsidRPr="001D56C6">
        <w:rPr>
          <w:sz w:val="28"/>
          <w:szCs w:val="28"/>
        </w:rPr>
        <w:t>Constitutional imperative</w:t>
      </w:r>
      <w:r w:rsidR="00754253" w:rsidRPr="001D56C6">
        <w:rPr>
          <w:sz w:val="28"/>
          <w:szCs w:val="28"/>
        </w:rPr>
        <w:t xml:space="preserve"> </w:t>
      </w:r>
      <w:r w:rsidR="00C73E6E" w:rsidRPr="001D56C6">
        <w:rPr>
          <w:sz w:val="28"/>
          <w:szCs w:val="28"/>
        </w:rPr>
        <w:t>that court orders must be complied with</w:t>
      </w:r>
      <w:r w:rsidR="00774494" w:rsidRPr="001D56C6">
        <w:rPr>
          <w:sz w:val="28"/>
          <w:szCs w:val="28"/>
        </w:rPr>
        <w:t>, the lack of precedents in our law and</w:t>
      </w:r>
      <w:r w:rsidR="00C73E6E" w:rsidRPr="001D56C6">
        <w:rPr>
          <w:sz w:val="28"/>
          <w:szCs w:val="28"/>
        </w:rPr>
        <w:t xml:space="preserve"> the absence of specific powers granted to courts to render a judgment nugatory in this fashion, it is my view that the discretion under s 172(1)</w:t>
      </w:r>
      <w:r w:rsidR="00C73E6E" w:rsidRPr="001D56C6">
        <w:rPr>
          <w:i/>
          <w:iCs/>
          <w:sz w:val="28"/>
          <w:szCs w:val="28"/>
        </w:rPr>
        <w:t>(b)</w:t>
      </w:r>
      <w:r w:rsidR="00C73E6E" w:rsidRPr="001D56C6">
        <w:rPr>
          <w:sz w:val="28"/>
          <w:szCs w:val="28"/>
        </w:rPr>
        <w:t xml:space="preserve"> does not extend to orders such as that sought by the Departments</w:t>
      </w:r>
      <w:r w:rsidR="00774494" w:rsidRPr="001D56C6">
        <w:rPr>
          <w:sz w:val="28"/>
          <w:szCs w:val="28"/>
        </w:rPr>
        <w:t xml:space="preserve"> in prayer 4</w:t>
      </w:r>
      <w:r w:rsidR="00C73E6E" w:rsidRPr="001D56C6">
        <w:rPr>
          <w:sz w:val="28"/>
          <w:szCs w:val="28"/>
        </w:rPr>
        <w:t xml:space="preserve">. </w:t>
      </w:r>
      <w:r w:rsidR="00874F07" w:rsidRPr="001D56C6">
        <w:rPr>
          <w:sz w:val="28"/>
          <w:szCs w:val="28"/>
        </w:rPr>
        <w:t xml:space="preserve">Such an order is not permissible. </w:t>
      </w:r>
    </w:p>
    <w:p w14:paraId="4D50AB67" w14:textId="77777777" w:rsidR="00C73E6E" w:rsidRPr="00127B01" w:rsidRDefault="00C73E6E" w:rsidP="00C73E6E">
      <w:pPr>
        <w:pStyle w:val="ListParagraph"/>
        <w:ind w:left="0"/>
        <w:rPr>
          <w:sz w:val="28"/>
          <w:szCs w:val="28"/>
        </w:rPr>
      </w:pPr>
    </w:p>
    <w:p w14:paraId="5F595990" w14:textId="07999E09" w:rsidR="007549A7" w:rsidRPr="001D56C6" w:rsidRDefault="001D56C6" w:rsidP="001D56C6">
      <w:pPr>
        <w:rPr>
          <w:sz w:val="28"/>
          <w:szCs w:val="28"/>
        </w:rPr>
      </w:pPr>
      <w:r>
        <w:rPr>
          <w:sz w:val="28"/>
          <w:szCs w:val="28"/>
        </w:rPr>
        <w:t>[35]</w:t>
      </w:r>
      <w:r>
        <w:rPr>
          <w:sz w:val="28"/>
          <w:szCs w:val="28"/>
        </w:rPr>
        <w:tab/>
      </w:r>
      <w:r w:rsidR="00BB498A" w:rsidRPr="001D56C6">
        <w:rPr>
          <w:sz w:val="28"/>
          <w:szCs w:val="28"/>
        </w:rPr>
        <w:t xml:space="preserve">In </w:t>
      </w:r>
      <w:r w:rsidR="00AA42BE" w:rsidRPr="001D56C6">
        <w:rPr>
          <w:sz w:val="28"/>
          <w:szCs w:val="28"/>
        </w:rPr>
        <w:t>prayer 4</w:t>
      </w:r>
      <w:r w:rsidR="00BB498A" w:rsidRPr="001D56C6">
        <w:rPr>
          <w:sz w:val="28"/>
          <w:szCs w:val="28"/>
        </w:rPr>
        <w:t>,</w:t>
      </w:r>
      <w:r w:rsidR="00FD7E5C" w:rsidRPr="001D56C6">
        <w:rPr>
          <w:sz w:val="28"/>
          <w:szCs w:val="28"/>
        </w:rPr>
        <w:t xml:space="preserve"> the Departments </w:t>
      </w:r>
      <w:r w:rsidR="00900818" w:rsidRPr="001D56C6">
        <w:rPr>
          <w:sz w:val="28"/>
          <w:szCs w:val="28"/>
        </w:rPr>
        <w:t>attempt</w:t>
      </w:r>
      <w:r w:rsidR="00D87EE6" w:rsidRPr="001D56C6">
        <w:rPr>
          <w:sz w:val="28"/>
          <w:szCs w:val="28"/>
        </w:rPr>
        <w:t>ed</w:t>
      </w:r>
      <w:r w:rsidR="00900818" w:rsidRPr="001D56C6">
        <w:rPr>
          <w:sz w:val="28"/>
          <w:szCs w:val="28"/>
        </w:rPr>
        <w:t xml:space="preserve"> </w:t>
      </w:r>
      <w:r w:rsidR="00755318" w:rsidRPr="001D56C6">
        <w:rPr>
          <w:sz w:val="28"/>
          <w:szCs w:val="28"/>
        </w:rPr>
        <w:t>to</w:t>
      </w:r>
      <w:r w:rsidR="00FD7E5C" w:rsidRPr="001D56C6">
        <w:rPr>
          <w:sz w:val="28"/>
          <w:szCs w:val="28"/>
        </w:rPr>
        <w:t xml:space="preserve"> </w:t>
      </w:r>
      <w:r w:rsidR="00990D94" w:rsidRPr="001D56C6">
        <w:rPr>
          <w:sz w:val="28"/>
          <w:szCs w:val="28"/>
        </w:rPr>
        <w:t xml:space="preserve">enlist </w:t>
      </w:r>
      <w:r w:rsidR="00FD49CC" w:rsidRPr="001D56C6">
        <w:rPr>
          <w:sz w:val="28"/>
          <w:szCs w:val="28"/>
        </w:rPr>
        <w:t xml:space="preserve">the </w:t>
      </w:r>
      <w:r w:rsidR="00990D94" w:rsidRPr="001D56C6">
        <w:rPr>
          <w:sz w:val="28"/>
          <w:szCs w:val="28"/>
        </w:rPr>
        <w:t xml:space="preserve">assistance of the </w:t>
      </w:r>
      <w:r w:rsidR="00FD49CC" w:rsidRPr="001D56C6">
        <w:rPr>
          <w:sz w:val="28"/>
          <w:szCs w:val="28"/>
        </w:rPr>
        <w:t xml:space="preserve">court </w:t>
      </w:r>
      <w:r w:rsidR="00A6589A" w:rsidRPr="001D56C6">
        <w:rPr>
          <w:sz w:val="28"/>
          <w:szCs w:val="28"/>
        </w:rPr>
        <w:t xml:space="preserve">in their efforts </w:t>
      </w:r>
      <w:r w:rsidR="008F3D95" w:rsidRPr="001D56C6">
        <w:rPr>
          <w:sz w:val="28"/>
          <w:szCs w:val="28"/>
        </w:rPr>
        <w:t>to undermine ‘the dignity and authority of the courts’</w:t>
      </w:r>
      <w:r w:rsidR="008F3D95" w:rsidRPr="00127B01">
        <w:rPr>
          <w:rStyle w:val="FootnoteReference"/>
          <w:sz w:val="28"/>
          <w:szCs w:val="28"/>
        </w:rPr>
        <w:footnoteReference w:id="35"/>
      </w:r>
      <w:r w:rsidR="00990D94" w:rsidRPr="001D56C6">
        <w:rPr>
          <w:sz w:val="28"/>
          <w:szCs w:val="28"/>
        </w:rPr>
        <w:t xml:space="preserve"> by rendering nugatory a perfectly valid, </w:t>
      </w:r>
      <w:r w:rsidR="00543FF9" w:rsidRPr="001D56C6">
        <w:rPr>
          <w:sz w:val="28"/>
          <w:szCs w:val="28"/>
        </w:rPr>
        <w:t xml:space="preserve">binding, </w:t>
      </w:r>
      <w:r w:rsidR="00990D94" w:rsidRPr="001D56C6">
        <w:rPr>
          <w:sz w:val="28"/>
          <w:szCs w:val="28"/>
        </w:rPr>
        <w:t>enforceable,</w:t>
      </w:r>
      <w:r w:rsidR="00543FF9" w:rsidRPr="001D56C6">
        <w:rPr>
          <w:sz w:val="28"/>
          <w:szCs w:val="28"/>
        </w:rPr>
        <w:t xml:space="preserve"> extant</w:t>
      </w:r>
      <w:r w:rsidR="00990D94" w:rsidRPr="001D56C6">
        <w:rPr>
          <w:sz w:val="28"/>
          <w:szCs w:val="28"/>
        </w:rPr>
        <w:t xml:space="preserve"> judgment.</w:t>
      </w:r>
      <w:r w:rsidR="00B048BE" w:rsidRPr="001D56C6">
        <w:rPr>
          <w:sz w:val="28"/>
          <w:szCs w:val="28"/>
        </w:rPr>
        <w:t xml:space="preserve"> In my view, this </w:t>
      </w:r>
      <w:r w:rsidR="00236099" w:rsidRPr="001D56C6">
        <w:rPr>
          <w:sz w:val="28"/>
          <w:szCs w:val="28"/>
        </w:rPr>
        <w:t>can and shou</w:t>
      </w:r>
      <w:r w:rsidR="005F1784" w:rsidRPr="001D56C6">
        <w:rPr>
          <w:sz w:val="28"/>
          <w:szCs w:val="28"/>
        </w:rPr>
        <w:t>ld</w:t>
      </w:r>
      <w:r w:rsidR="00954132" w:rsidRPr="001D56C6">
        <w:rPr>
          <w:sz w:val="28"/>
          <w:szCs w:val="28"/>
        </w:rPr>
        <w:t xml:space="preserve"> not be countenanced.</w:t>
      </w:r>
      <w:r w:rsidR="00543FF9" w:rsidRPr="001D56C6">
        <w:rPr>
          <w:sz w:val="28"/>
          <w:szCs w:val="28"/>
        </w:rPr>
        <w:t xml:space="preserve"> </w:t>
      </w:r>
      <w:r w:rsidR="00F54FF8" w:rsidRPr="001D56C6">
        <w:rPr>
          <w:sz w:val="28"/>
          <w:szCs w:val="28"/>
        </w:rPr>
        <w:t xml:space="preserve">I am fortified in this conclusion by what was said in </w:t>
      </w:r>
      <w:r w:rsidR="00F54FF8" w:rsidRPr="001D56C6">
        <w:rPr>
          <w:i/>
          <w:iCs/>
          <w:sz w:val="28"/>
          <w:szCs w:val="28"/>
        </w:rPr>
        <w:t>Bengwenyama</w:t>
      </w:r>
      <w:r w:rsidR="00F54FF8" w:rsidRPr="001D56C6">
        <w:rPr>
          <w:sz w:val="28"/>
          <w:szCs w:val="28"/>
        </w:rPr>
        <w:t xml:space="preserve"> to the effect that, in arriving at a just and equitable order under s 172(1)</w:t>
      </w:r>
      <w:r w:rsidR="00F54FF8" w:rsidRPr="001D56C6">
        <w:rPr>
          <w:i/>
          <w:iCs/>
          <w:sz w:val="28"/>
          <w:szCs w:val="28"/>
        </w:rPr>
        <w:t>(b)</w:t>
      </w:r>
      <w:r w:rsidR="00F54FF8" w:rsidRPr="001D56C6">
        <w:rPr>
          <w:sz w:val="28"/>
          <w:szCs w:val="28"/>
        </w:rPr>
        <w:t xml:space="preserve"> of the Constitution, ‘[t]he rule of law must never be relinquished</w:t>
      </w:r>
      <w:r w:rsidR="003F08D2" w:rsidRPr="001D56C6">
        <w:rPr>
          <w:sz w:val="28"/>
          <w:szCs w:val="28"/>
        </w:rPr>
        <w:t xml:space="preserve"> </w:t>
      </w:r>
      <w:r w:rsidR="00F54FF8" w:rsidRPr="001D56C6">
        <w:rPr>
          <w:sz w:val="28"/>
          <w:szCs w:val="28"/>
        </w:rPr>
        <w:t>. . . ’.</w:t>
      </w:r>
      <w:r w:rsidR="00F54FF8" w:rsidRPr="00127B01">
        <w:rPr>
          <w:rStyle w:val="FootnoteReference"/>
          <w:sz w:val="28"/>
          <w:szCs w:val="28"/>
        </w:rPr>
        <w:footnoteReference w:id="36"/>
      </w:r>
      <w:r w:rsidR="00F54FF8" w:rsidRPr="001D56C6">
        <w:rPr>
          <w:sz w:val="28"/>
          <w:szCs w:val="28"/>
        </w:rPr>
        <w:t xml:space="preserve"> It seems to me that the relief sought strikes at the very heart of the Constitution and </w:t>
      </w:r>
      <w:r w:rsidR="00F54FF8" w:rsidRPr="001D56C6">
        <w:rPr>
          <w:sz w:val="28"/>
          <w:szCs w:val="28"/>
        </w:rPr>
        <w:lastRenderedPageBreak/>
        <w:t xml:space="preserve">the rule of law. </w:t>
      </w:r>
      <w:r w:rsidR="00543FF9" w:rsidRPr="001D56C6">
        <w:rPr>
          <w:sz w:val="28"/>
          <w:szCs w:val="28"/>
        </w:rPr>
        <w:t>In these circumstances it cannot be just and equitable to grant prayer 4 of the notice of motion.</w:t>
      </w:r>
    </w:p>
    <w:p w14:paraId="28A45835" w14:textId="77777777" w:rsidR="00A75F6F" w:rsidRPr="00127B01" w:rsidRDefault="00A75F6F" w:rsidP="00A75F6F">
      <w:pPr>
        <w:pStyle w:val="ListParagraph"/>
        <w:ind w:left="0"/>
        <w:rPr>
          <w:sz w:val="28"/>
          <w:szCs w:val="28"/>
        </w:rPr>
      </w:pPr>
    </w:p>
    <w:p w14:paraId="1FAE39CC" w14:textId="28778603" w:rsidR="002D4E3A" w:rsidRPr="001D56C6" w:rsidRDefault="001D56C6" w:rsidP="001D56C6">
      <w:pPr>
        <w:rPr>
          <w:sz w:val="28"/>
          <w:szCs w:val="28"/>
        </w:rPr>
      </w:pPr>
      <w:r w:rsidRPr="00127B01">
        <w:rPr>
          <w:sz w:val="28"/>
          <w:szCs w:val="28"/>
        </w:rPr>
        <w:t>[36]</w:t>
      </w:r>
      <w:r w:rsidRPr="00127B01">
        <w:rPr>
          <w:sz w:val="28"/>
          <w:szCs w:val="28"/>
        </w:rPr>
        <w:tab/>
      </w:r>
      <w:r w:rsidR="002F76EC" w:rsidRPr="001D56C6">
        <w:rPr>
          <w:sz w:val="28"/>
          <w:szCs w:val="28"/>
        </w:rPr>
        <w:t xml:space="preserve">All of this adds up to </w:t>
      </w:r>
      <w:r w:rsidR="00543FF9" w:rsidRPr="001D56C6">
        <w:rPr>
          <w:sz w:val="28"/>
          <w:szCs w:val="28"/>
        </w:rPr>
        <w:t>the</w:t>
      </w:r>
      <w:r w:rsidR="002F76EC" w:rsidRPr="001D56C6">
        <w:rPr>
          <w:sz w:val="28"/>
          <w:szCs w:val="28"/>
        </w:rPr>
        <w:t xml:space="preserve"> conviction that, far from </w:t>
      </w:r>
      <w:r w:rsidR="00480633" w:rsidRPr="001D56C6">
        <w:rPr>
          <w:sz w:val="28"/>
          <w:szCs w:val="28"/>
        </w:rPr>
        <w:t>coming to the opinion that the Department has prospects of succe</w:t>
      </w:r>
      <w:r w:rsidR="00FD44D6" w:rsidRPr="001D56C6">
        <w:rPr>
          <w:sz w:val="28"/>
          <w:szCs w:val="28"/>
        </w:rPr>
        <w:t>ss</w:t>
      </w:r>
      <w:r w:rsidR="00480633" w:rsidRPr="001D56C6">
        <w:rPr>
          <w:sz w:val="28"/>
          <w:szCs w:val="28"/>
        </w:rPr>
        <w:t xml:space="preserve"> in persuading </w:t>
      </w:r>
      <w:r w:rsidR="00A51545" w:rsidRPr="001D56C6">
        <w:rPr>
          <w:sz w:val="28"/>
          <w:szCs w:val="28"/>
        </w:rPr>
        <w:t>an</w:t>
      </w:r>
      <w:r w:rsidR="00480633" w:rsidRPr="001D56C6">
        <w:rPr>
          <w:sz w:val="28"/>
          <w:szCs w:val="28"/>
        </w:rPr>
        <w:t xml:space="preserve"> appeal </w:t>
      </w:r>
      <w:r w:rsidR="00A51545" w:rsidRPr="001D56C6">
        <w:rPr>
          <w:sz w:val="28"/>
          <w:szCs w:val="28"/>
        </w:rPr>
        <w:t xml:space="preserve">court that </w:t>
      </w:r>
      <w:r w:rsidR="00D54224" w:rsidRPr="001D56C6">
        <w:rPr>
          <w:sz w:val="28"/>
          <w:szCs w:val="28"/>
        </w:rPr>
        <w:t xml:space="preserve">an order should </w:t>
      </w:r>
      <w:r w:rsidR="00C359AC" w:rsidRPr="001D56C6">
        <w:rPr>
          <w:sz w:val="28"/>
          <w:szCs w:val="28"/>
        </w:rPr>
        <w:t xml:space="preserve">be </w:t>
      </w:r>
      <w:r w:rsidR="00D54224" w:rsidRPr="001D56C6">
        <w:rPr>
          <w:sz w:val="28"/>
          <w:szCs w:val="28"/>
        </w:rPr>
        <w:t>issue</w:t>
      </w:r>
      <w:r w:rsidR="00C359AC" w:rsidRPr="001D56C6">
        <w:rPr>
          <w:sz w:val="28"/>
          <w:szCs w:val="28"/>
        </w:rPr>
        <w:t>d</w:t>
      </w:r>
      <w:r w:rsidR="00D54224" w:rsidRPr="001D56C6">
        <w:rPr>
          <w:sz w:val="28"/>
          <w:szCs w:val="28"/>
        </w:rPr>
        <w:t xml:space="preserve"> </w:t>
      </w:r>
      <w:r w:rsidR="00320832" w:rsidRPr="001D56C6">
        <w:rPr>
          <w:sz w:val="28"/>
          <w:szCs w:val="28"/>
        </w:rPr>
        <w:t xml:space="preserve">in terms of prayer 4 of the notice of motion </w:t>
      </w:r>
      <w:r w:rsidR="001B1AE6" w:rsidRPr="001D56C6">
        <w:rPr>
          <w:sz w:val="28"/>
          <w:szCs w:val="28"/>
        </w:rPr>
        <w:t xml:space="preserve">under the discretion accorded </w:t>
      </w:r>
      <w:r w:rsidR="005F1784" w:rsidRPr="001D56C6">
        <w:rPr>
          <w:sz w:val="28"/>
          <w:szCs w:val="28"/>
        </w:rPr>
        <w:t>by</w:t>
      </w:r>
      <w:r w:rsidR="001B1AE6" w:rsidRPr="001D56C6">
        <w:rPr>
          <w:sz w:val="28"/>
          <w:szCs w:val="28"/>
        </w:rPr>
        <w:t xml:space="preserve"> </w:t>
      </w:r>
      <w:r w:rsidR="00D54224" w:rsidRPr="001D56C6">
        <w:rPr>
          <w:sz w:val="28"/>
          <w:szCs w:val="28"/>
        </w:rPr>
        <w:t>s 172(1)</w:t>
      </w:r>
      <w:r w:rsidR="00D54224" w:rsidRPr="001D56C6">
        <w:rPr>
          <w:i/>
          <w:iCs/>
          <w:sz w:val="28"/>
          <w:szCs w:val="28"/>
        </w:rPr>
        <w:t>(b)</w:t>
      </w:r>
      <w:r w:rsidR="00D54224" w:rsidRPr="001D56C6">
        <w:rPr>
          <w:sz w:val="28"/>
          <w:szCs w:val="28"/>
        </w:rPr>
        <w:t xml:space="preserve"> of the Constitution</w:t>
      </w:r>
      <w:r w:rsidR="00DB4446" w:rsidRPr="001D56C6">
        <w:rPr>
          <w:sz w:val="28"/>
          <w:szCs w:val="28"/>
        </w:rPr>
        <w:t>,</w:t>
      </w:r>
      <w:r w:rsidR="00D54224" w:rsidRPr="001D56C6">
        <w:rPr>
          <w:sz w:val="28"/>
          <w:szCs w:val="28"/>
        </w:rPr>
        <w:t xml:space="preserve"> </w:t>
      </w:r>
      <w:r w:rsidR="002820CC" w:rsidRPr="001D56C6">
        <w:rPr>
          <w:sz w:val="28"/>
          <w:szCs w:val="28"/>
        </w:rPr>
        <w:t xml:space="preserve">there </w:t>
      </w:r>
      <w:r w:rsidR="001B1AE6" w:rsidRPr="001D56C6">
        <w:rPr>
          <w:sz w:val="28"/>
          <w:szCs w:val="28"/>
        </w:rPr>
        <w:t>are no such prospects</w:t>
      </w:r>
      <w:r w:rsidR="002820CC" w:rsidRPr="001D56C6">
        <w:rPr>
          <w:sz w:val="28"/>
          <w:szCs w:val="28"/>
        </w:rPr>
        <w:t xml:space="preserve">. </w:t>
      </w:r>
    </w:p>
    <w:p w14:paraId="251344AC" w14:textId="77777777" w:rsidR="00C82C91" w:rsidRPr="00127B01" w:rsidRDefault="00C82C91" w:rsidP="00C82C91">
      <w:pPr>
        <w:pStyle w:val="ListParagraph"/>
        <w:ind w:left="0"/>
        <w:rPr>
          <w:sz w:val="28"/>
          <w:szCs w:val="28"/>
        </w:rPr>
      </w:pPr>
    </w:p>
    <w:p w14:paraId="1DC4C1B3" w14:textId="586D4A0D" w:rsidR="00C756C2" w:rsidRPr="001D56C6" w:rsidRDefault="001D56C6" w:rsidP="001D56C6">
      <w:pPr>
        <w:rPr>
          <w:sz w:val="28"/>
          <w:szCs w:val="28"/>
        </w:rPr>
      </w:pPr>
      <w:r w:rsidRPr="00127B01">
        <w:rPr>
          <w:sz w:val="28"/>
          <w:szCs w:val="28"/>
        </w:rPr>
        <w:t>[37]</w:t>
      </w:r>
      <w:r w:rsidRPr="00127B01">
        <w:rPr>
          <w:sz w:val="28"/>
          <w:szCs w:val="28"/>
        </w:rPr>
        <w:tab/>
      </w:r>
      <w:r w:rsidR="001007F1" w:rsidRPr="001D56C6">
        <w:rPr>
          <w:sz w:val="28"/>
          <w:szCs w:val="28"/>
        </w:rPr>
        <w:t>In the result</w:t>
      </w:r>
      <w:r w:rsidR="00C756C2" w:rsidRPr="001D56C6">
        <w:rPr>
          <w:sz w:val="28"/>
          <w:szCs w:val="28"/>
        </w:rPr>
        <w:t>:</w:t>
      </w:r>
    </w:p>
    <w:p w14:paraId="1D209DFE" w14:textId="77777777" w:rsidR="00544C98" w:rsidRPr="00127B01" w:rsidRDefault="00544C98" w:rsidP="00544C98">
      <w:pPr>
        <w:pStyle w:val="ListParagraph"/>
        <w:ind w:left="0"/>
        <w:rPr>
          <w:bCs/>
          <w:sz w:val="28"/>
          <w:szCs w:val="28"/>
        </w:rPr>
      </w:pPr>
      <w:r w:rsidRPr="00127B01">
        <w:rPr>
          <w:bCs/>
          <w:sz w:val="28"/>
          <w:szCs w:val="28"/>
        </w:rPr>
        <w:t>1</w:t>
      </w:r>
      <w:r w:rsidRPr="00127B01">
        <w:rPr>
          <w:bCs/>
          <w:sz w:val="28"/>
          <w:szCs w:val="28"/>
        </w:rPr>
        <w:tab/>
        <w:t>The application for condonation is granted. The applicants are ordered to pay the costs of that application, including those consequent on the employment of two counsel, where so employed.</w:t>
      </w:r>
    </w:p>
    <w:p w14:paraId="0759E927" w14:textId="77777777" w:rsidR="00544C98" w:rsidRPr="00127B01" w:rsidRDefault="00544C98" w:rsidP="00544C98">
      <w:pPr>
        <w:pStyle w:val="ListParagraph"/>
        <w:ind w:left="0"/>
        <w:rPr>
          <w:sz w:val="28"/>
          <w:szCs w:val="28"/>
        </w:rPr>
      </w:pPr>
      <w:r w:rsidRPr="00127B01">
        <w:rPr>
          <w:bCs/>
          <w:sz w:val="28"/>
          <w:szCs w:val="28"/>
        </w:rPr>
        <w:t>2</w:t>
      </w:r>
      <w:r w:rsidRPr="00127B01">
        <w:rPr>
          <w:bCs/>
          <w:sz w:val="28"/>
          <w:szCs w:val="28"/>
        </w:rPr>
        <w:tab/>
        <w:t>T</w:t>
      </w:r>
      <w:r w:rsidRPr="00127B01">
        <w:rPr>
          <w:sz w:val="28"/>
          <w:szCs w:val="28"/>
        </w:rPr>
        <w:t>he application for leave to appeal is dismissed with costs, including those consequent on the employment of two counsel, where so employed.</w:t>
      </w:r>
    </w:p>
    <w:p w14:paraId="7915E97D" w14:textId="77777777" w:rsidR="00C756C2" w:rsidRPr="00127B01" w:rsidRDefault="00C756C2" w:rsidP="00C756C2">
      <w:pPr>
        <w:pStyle w:val="ListParagraph"/>
        <w:ind w:left="0"/>
        <w:rPr>
          <w:sz w:val="28"/>
          <w:szCs w:val="28"/>
        </w:rPr>
      </w:pPr>
    </w:p>
    <w:p w14:paraId="428F58D7" w14:textId="77777777" w:rsidR="00752813" w:rsidRPr="00127B01" w:rsidRDefault="00752813" w:rsidP="00534664">
      <w:pPr>
        <w:jc w:val="right"/>
        <w:rPr>
          <w:sz w:val="28"/>
          <w:szCs w:val="28"/>
        </w:rPr>
      </w:pPr>
    </w:p>
    <w:p w14:paraId="5C761F23" w14:textId="6924EE83" w:rsidR="00D90435" w:rsidRDefault="00D90435" w:rsidP="00D90435">
      <w:pPr>
        <w:tabs>
          <w:tab w:val="left" w:pos="7785"/>
          <w:tab w:val="right" w:pos="9360"/>
        </w:tabs>
        <w:jc w:val="left"/>
        <w:rPr>
          <w:sz w:val="28"/>
          <w:szCs w:val="28"/>
        </w:rPr>
      </w:pPr>
      <w:r>
        <w:rPr>
          <w:sz w:val="28"/>
          <w:szCs w:val="28"/>
        </w:rPr>
        <w:tab/>
      </w:r>
    </w:p>
    <w:p w14:paraId="6235EEB2" w14:textId="08F093A9" w:rsidR="00D071A6" w:rsidRDefault="00D071A6" w:rsidP="00D071A6">
      <w:pPr>
        <w:tabs>
          <w:tab w:val="left" w:pos="1005"/>
          <w:tab w:val="left" w:pos="1245"/>
          <w:tab w:val="right" w:pos="9360"/>
        </w:tabs>
        <w:rPr>
          <w:sz w:val="28"/>
          <w:szCs w:val="28"/>
        </w:rPr>
      </w:pPr>
    </w:p>
    <w:p w14:paraId="74D2AC78" w14:textId="0A04954A" w:rsidR="00796962" w:rsidRPr="00D071A6" w:rsidRDefault="00D071A6" w:rsidP="00D071A6">
      <w:pPr>
        <w:tabs>
          <w:tab w:val="left" w:pos="1245"/>
          <w:tab w:val="right" w:pos="9360"/>
        </w:tabs>
        <w:rPr>
          <w:b/>
          <w:sz w:val="28"/>
          <w:szCs w:val="28"/>
        </w:rPr>
      </w:pPr>
      <w:r>
        <w:rPr>
          <w:b/>
          <w:sz w:val="28"/>
          <w:szCs w:val="28"/>
        </w:rPr>
        <w:tab/>
      </w:r>
      <w:r>
        <w:rPr>
          <w:b/>
          <w:sz w:val="28"/>
          <w:szCs w:val="28"/>
        </w:rPr>
        <w:tab/>
      </w:r>
      <w:r w:rsidR="00796962" w:rsidRPr="00D071A6">
        <w:rPr>
          <w:b/>
          <w:sz w:val="28"/>
          <w:szCs w:val="28"/>
        </w:rPr>
        <w:t>____________________</w:t>
      </w:r>
    </w:p>
    <w:p w14:paraId="512F62BE" w14:textId="5EAE2B50" w:rsidR="00796962" w:rsidRPr="00127B01" w:rsidRDefault="00883DE2" w:rsidP="00534664">
      <w:pPr>
        <w:jc w:val="right"/>
        <w:rPr>
          <w:sz w:val="28"/>
          <w:szCs w:val="28"/>
        </w:rPr>
      </w:pPr>
      <w:r w:rsidRPr="00127B01">
        <w:rPr>
          <w:sz w:val="28"/>
          <w:szCs w:val="28"/>
        </w:rPr>
        <w:t xml:space="preserve">T R </w:t>
      </w:r>
      <w:r w:rsidR="00796962" w:rsidRPr="00127B01">
        <w:rPr>
          <w:sz w:val="28"/>
          <w:szCs w:val="28"/>
        </w:rPr>
        <w:t>GORVEN</w:t>
      </w:r>
    </w:p>
    <w:p w14:paraId="3A6F8DF8" w14:textId="2CEBCAC7" w:rsidR="004015A5" w:rsidRPr="00127B01" w:rsidRDefault="00796962" w:rsidP="00DF5268">
      <w:pPr>
        <w:jc w:val="right"/>
        <w:rPr>
          <w:sz w:val="28"/>
          <w:szCs w:val="28"/>
        </w:rPr>
      </w:pPr>
      <w:r w:rsidRPr="00127B01">
        <w:rPr>
          <w:sz w:val="28"/>
          <w:szCs w:val="28"/>
        </w:rPr>
        <w:t>JUDGE OF APPEAL</w:t>
      </w:r>
    </w:p>
    <w:p w14:paraId="717ABC82" w14:textId="5B0254E8" w:rsidR="00796962" w:rsidRPr="00127B01" w:rsidRDefault="00C55BC7" w:rsidP="00534664">
      <w:pPr>
        <w:rPr>
          <w:sz w:val="28"/>
          <w:szCs w:val="28"/>
        </w:rPr>
      </w:pPr>
      <w:r w:rsidRPr="00127B01">
        <w:rPr>
          <w:sz w:val="28"/>
          <w:szCs w:val="28"/>
        </w:rPr>
        <w:br w:type="page"/>
      </w:r>
      <w:r w:rsidR="000D2758" w:rsidRPr="00127B01">
        <w:rPr>
          <w:sz w:val="28"/>
          <w:szCs w:val="28"/>
        </w:rPr>
        <w:lastRenderedPageBreak/>
        <w:t>A</w:t>
      </w:r>
      <w:r w:rsidR="00745E90" w:rsidRPr="00127B01">
        <w:rPr>
          <w:sz w:val="28"/>
          <w:szCs w:val="28"/>
        </w:rPr>
        <w:t>ppearances</w:t>
      </w:r>
      <w:r w:rsidR="000D2758" w:rsidRPr="00127B01">
        <w:rPr>
          <w:sz w:val="28"/>
          <w:szCs w:val="28"/>
        </w:rPr>
        <w:t xml:space="preserve"> </w:t>
      </w:r>
    </w:p>
    <w:p w14:paraId="0C9EBD64" w14:textId="77777777" w:rsidR="00796962" w:rsidRPr="00127B01" w:rsidRDefault="00796962" w:rsidP="00534664">
      <w:pPr>
        <w:rPr>
          <w:sz w:val="28"/>
          <w:szCs w:val="28"/>
        </w:rPr>
      </w:pPr>
    </w:p>
    <w:p w14:paraId="40D46A0A" w14:textId="14FD19C6" w:rsidR="00796962" w:rsidRPr="00127B01" w:rsidRDefault="00796962" w:rsidP="00E9304F">
      <w:pPr>
        <w:tabs>
          <w:tab w:val="left" w:pos="2694"/>
        </w:tabs>
        <w:rPr>
          <w:sz w:val="28"/>
          <w:szCs w:val="28"/>
        </w:rPr>
      </w:pPr>
      <w:r w:rsidRPr="00127B01">
        <w:rPr>
          <w:sz w:val="28"/>
          <w:szCs w:val="28"/>
        </w:rPr>
        <w:t>For app</w:t>
      </w:r>
      <w:r w:rsidR="00675C3B" w:rsidRPr="00127B01">
        <w:rPr>
          <w:sz w:val="28"/>
          <w:szCs w:val="28"/>
        </w:rPr>
        <w:t>licants</w:t>
      </w:r>
      <w:r w:rsidRPr="00127B01">
        <w:rPr>
          <w:sz w:val="28"/>
          <w:szCs w:val="28"/>
        </w:rPr>
        <w:t>:</w:t>
      </w:r>
      <w:r w:rsidR="00E9304F" w:rsidRPr="00127B01">
        <w:rPr>
          <w:sz w:val="28"/>
          <w:szCs w:val="28"/>
        </w:rPr>
        <w:tab/>
      </w:r>
      <w:r w:rsidR="00AA3047" w:rsidRPr="00127B01">
        <w:rPr>
          <w:sz w:val="28"/>
          <w:szCs w:val="28"/>
        </w:rPr>
        <w:t>M</w:t>
      </w:r>
      <w:r w:rsidR="008F7BCD" w:rsidRPr="00127B01">
        <w:rPr>
          <w:sz w:val="28"/>
          <w:szCs w:val="28"/>
        </w:rPr>
        <w:t xml:space="preserve"> A</w:t>
      </w:r>
      <w:r w:rsidR="00AA3047" w:rsidRPr="00127B01">
        <w:rPr>
          <w:sz w:val="28"/>
          <w:szCs w:val="28"/>
        </w:rPr>
        <w:t xml:space="preserve"> Albertus</w:t>
      </w:r>
      <w:r w:rsidR="00834E28" w:rsidRPr="00127B01">
        <w:rPr>
          <w:sz w:val="28"/>
          <w:szCs w:val="28"/>
        </w:rPr>
        <w:t xml:space="preserve"> SC</w:t>
      </w:r>
      <w:r w:rsidR="00231C00" w:rsidRPr="00127B01">
        <w:rPr>
          <w:sz w:val="28"/>
          <w:szCs w:val="28"/>
        </w:rPr>
        <w:t xml:space="preserve"> with</w:t>
      </w:r>
      <w:r w:rsidR="00892E6C" w:rsidRPr="00127B01">
        <w:rPr>
          <w:sz w:val="28"/>
          <w:szCs w:val="28"/>
        </w:rPr>
        <w:t xml:space="preserve"> </w:t>
      </w:r>
      <w:r w:rsidR="00875747" w:rsidRPr="00127B01">
        <w:rPr>
          <w:sz w:val="28"/>
          <w:szCs w:val="28"/>
        </w:rPr>
        <w:t>S</w:t>
      </w:r>
      <w:r w:rsidR="00231C00" w:rsidRPr="00127B01">
        <w:rPr>
          <w:sz w:val="28"/>
          <w:szCs w:val="28"/>
        </w:rPr>
        <w:t xml:space="preserve"> </w:t>
      </w:r>
      <w:r w:rsidR="00875747" w:rsidRPr="00127B01">
        <w:rPr>
          <w:sz w:val="28"/>
          <w:szCs w:val="28"/>
        </w:rPr>
        <w:t>Sephton</w:t>
      </w:r>
    </w:p>
    <w:p w14:paraId="3ECB3557" w14:textId="4BAC8434" w:rsidR="00341250" w:rsidRPr="00127B01" w:rsidRDefault="00796962" w:rsidP="00E9304F">
      <w:pPr>
        <w:tabs>
          <w:tab w:val="left" w:pos="2694"/>
        </w:tabs>
        <w:ind w:hanging="7860"/>
        <w:rPr>
          <w:bCs/>
          <w:sz w:val="28"/>
          <w:szCs w:val="28"/>
        </w:rPr>
      </w:pPr>
      <w:r w:rsidRPr="00127B01">
        <w:rPr>
          <w:bCs/>
          <w:sz w:val="28"/>
          <w:szCs w:val="28"/>
        </w:rPr>
        <w:t>Instructed by:</w:t>
      </w:r>
      <w:r w:rsidRPr="00127B01">
        <w:rPr>
          <w:bCs/>
          <w:sz w:val="28"/>
          <w:szCs w:val="28"/>
        </w:rPr>
        <w:tab/>
      </w:r>
      <w:r w:rsidR="004F0B46" w:rsidRPr="00127B01">
        <w:rPr>
          <w:bCs/>
          <w:sz w:val="28"/>
          <w:szCs w:val="28"/>
        </w:rPr>
        <w:tab/>
      </w:r>
      <w:r w:rsidR="00511113" w:rsidRPr="00127B01">
        <w:rPr>
          <w:bCs/>
          <w:sz w:val="28"/>
          <w:szCs w:val="28"/>
        </w:rPr>
        <w:t>State Attorney</w:t>
      </w:r>
      <w:r w:rsidRPr="00127B01">
        <w:rPr>
          <w:bCs/>
          <w:sz w:val="28"/>
          <w:szCs w:val="28"/>
        </w:rPr>
        <w:t xml:space="preserve">, </w:t>
      </w:r>
      <w:r w:rsidR="00D11551" w:rsidRPr="00127B01">
        <w:rPr>
          <w:bCs/>
          <w:sz w:val="28"/>
          <w:szCs w:val="28"/>
        </w:rPr>
        <w:t>East London</w:t>
      </w:r>
    </w:p>
    <w:p w14:paraId="5D137F78" w14:textId="0585E3DF" w:rsidR="00796962" w:rsidRPr="00127B01" w:rsidRDefault="00E9304F" w:rsidP="00E9304F">
      <w:pPr>
        <w:tabs>
          <w:tab w:val="left" w:pos="2694"/>
        </w:tabs>
        <w:ind w:firstLine="720"/>
        <w:rPr>
          <w:bCs/>
          <w:sz w:val="28"/>
          <w:szCs w:val="28"/>
        </w:rPr>
      </w:pPr>
      <w:r w:rsidRPr="00127B01">
        <w:rPr>
          <w:bCs/>
          <w:sz w:val="28"/>
          <w:szCs w:val="28"/>
        </w:rPr>
        <w:tab/>
      </w:r>
      <w:r w:rsidR="00D11551" w:rsidRPr="00127B01">
        <w:rPr>
          <w:bCs/>
          <w:sz w:val="28"/>
          <w:szCs w:val="28"/>
        </w:rPr>
        <w:t>State Attorney</w:t>
      </w:r>
      <w:r w:rsidR="003602B2" w:rsidRPr="00127B01">
        <w:rPr>
          <w:bCs/>
          <w:sz w:val="28"/>
          <w:szCs w:val="28"/>
        </w:rPr>
        <w:t xml:space="preserve">, </w:t>
      </w:r>
      <w:r w:rsidR="00796962" w:rsidRPr="00127B01">
        <w:rPr>
          <w:bCs/>
          <w:sz w:val="28"/>
          <w:szCs w:val="28"/>
        </w:rPr>
        <w:t>Bloemfontein</w:t>
      </w:r>
    </w:p>
    <w:p w14:paraId="500DF642" w14:textId="56542F36" w:rsidR="00796962" w:rsidRPr="00127B01" w:rsidRDefault="00796962" w:rsidP="00534664">
      <w:pPr>
        <w:rPr>
          <w:bCs/>
          <w:sz w:val="28"/>
          <w:szCs w:val="28"/>
        </w:rPr>
      </w:pPr>
    </w:p>
    <w:p w14:paraId="42AD2FBF" w14:textId="65B4077B" w:rsidR="00796962" w:rsidRPr="00127B01" w:rsidRDefault="00796962" w:rsidP="00E9304F">
      <w:pPr>
        <w:tabs>
          <w:tab w:val="left" w:pos="2694"/>
        </w:tabs>
        <w:rPr>
          <w:sz w:val="28"/>
          <w:szCs w:val="28"/>
        </w:rPr>
      </w:pPr>
      <w:r w:rsidRPr="00127B01">
        <w:rPr>
          <w:sz w:val="28"/>
          <w:szCs w:val="28"/>
        </w:rPr>
        <w:t>For respondent:</w:t>
      </w:r>
      <w:r w:rsidRPr="00127B01">
        <w:rPr>
          <w:sz w:val="28"/>
          <w:szCs w:val="28"/>
        </w:rPr>
        <w:tab/>
      </w:r>
      <w:r w:rsidR="00875747" w:rsidRPr="00127B01">
        <w:rPr>
          <w:sz w:val="28"/>
          <w:szCs w:val="28"/>
        </w:rPr>
        <w:t>I</w:t>
      </w:r>
      <w:r w:rsidR="00892E6C" w:rsidRPr="00127B01">
        <w:rPr>
          <w:sz w:val="28"/>
          <w:szCs w:val="28"/>
        </w:rPr>
        <w:t xml:space="preserve"> </w:t>
      </w:r>
      <w:r w:rsidR="00875747" w:rsidRPr="00127B01">
        <w:rPr>
          <w:sz w:val="28"/>
          <w:szCs w:val="28"/>
        </w:rPr>
        <w:t>J Smuts</w:t>
      </w:r>
      <w:r w:rsidR="00785342" w:rsidRPr="00127B01">
        <w:rPr>
          <w:sz w:val="28"/>
          <w:szCs w:val="28"/>
        </w:rPr>
        <w:t xml:space="preserve"> SC</w:t>
      </w:r>
      <w:r w:rsidR="00875747" w:rsidRPr="00127B01">
        <w:rPr>
          <w:sz w:val="28"/>
          <w:szCs w:val="28"/>
        </w:rPr>
        <w:t xml:space="preserve"> with A</w:t>
      </w:r>
      <w:r w:rsidR="00892E6C" w:rsidRPr="00127B01">
        <w:rPr>
          <w:sz w:val="28"/>
          <w:szCs w:val="28"/>
        </w:rPr>
        <w:t xml:space="preserve"> </w:t>
      </w:r>
      <w:r w:rsidR="00875747" w:rsidRPr="00127B01">
        <w:rPr>
          <w:sz w:val="28"/>
          <w:szCs w:val="28"/>
        </w:rPr>
        <w:t>G Dugmore SC</w:t>
      </w:r>
    </w:p>
    <w:p w14:paraId="4573B5CA" w14:textId="713E60FC" w:rsidR="004C6051" w:rsidRPr="00127B01" w:rsidRDefault="00796962" w:rsidP="00E9304F">
      <w:pPr>
        <w:tabs>
          <w:tab w:val="left" w:pos="2694"/>
        </w:tabs>
        <w:ind w:hanging="8640"/>
        <w:rPr>
          <w:bCs/>
          <w:sz w:val="28"/>
          <w:szCs w:val="28"/>
        </w:rPr>
      </w:pPr>
      <w:r w:rsidRPr="00127B01">
        <w:rPr>
          <w:bCs/>
          <w:sz w:val="28"/>
          <w:szCs w:val="28"/>
        </w:rPr>
        <w:t>Instructed by:</w:t>
      </w:r>
      <w:r w:rsidRPr="00127B01">
        <w:rPr>
          <w:bCs/>
          <w:sz w:val="28"/>
          <w:szCs w:val="28"/>
        </w:rPr>
        <w:tab/>
      </w:r>
      <w:r w:rsidR="00E9304F" w:rsidRPr="00127B01">
        <w:rPr>
          <w:bCs/>
          <w:sz w:val="28"/>
          <w:szCs w:val="28"/>
        </w:rPr>
        <w:tab/>
      </w:r>
      <w:r w:rsidR="001F7904" w:rsidRPr="00127B01">
        <w:rPr>
          <w:bCs/>
          <w:sz w:val="28"/>
          <w:szCs w:val="28"/>
        </w:rPr>
        <w:t>Stirk Yazbek A</w:t>
      </w:r>
      <w:r w:rsidR="009F5FA0" w:rsidRPr="00127B01">
        <w:rPr>
          <w:bCs/>
          <w:sz w:val="28"/>
          <w:szCs w:val="28"/>
        </w:rPr>
        <w:t>tto</w:t>
      </w:r>
      <w:r w:rsidR="00562F16" w:rsidRPr="00127B01">
        <w:rPr>
          <w:bCs/>
          <w:sz w:val="28"/>
          <w:szCs w:val="28"/>
        </w:rPr>
        <w:t>rney</w:t>
      </w:r>
      <w:r w:rsidR="009F5FA0" w:rsidRPr="00127B01">
        <w:rPr>
          <w:bCs/>
          <w:sz w:val="28"/>
          <w:szCs w:val="28"/>
        </w:rPr>
        <w:t>s</w:t>
      </w:r>
      <w:r w:rsidR="00562F16" w:rsidRPr="00127B01">
        <w:rPr>
          <w:bCs/>
          <w:sz w:val="28"/>
          <w:szCs w:val="28"/>
        </w:rPr>
        <w:t xml:space="preserve">, </w:t>
      </w:r>
      <w:r w:rsidR="001F7904" w:rsidRPr="00127B01">
        <w:rPr>
          <w:bCs/>
          <w:sz w:val="28"/>
          <w:szCs w:val="28"/>
        </w:rPr>
        <w:t>East London</w:t>
      </w:r>
    </w:p>
    <w:p w14:paraId="7695FCE5" w14:textId="3695D040" w:rsidR="00E84643" w:rsidRDefault="00E9304F" w:rsidP="00E9304F">
      <w:pPr>
        <w:tabs>
          <w:tab w:val="left" w:pos="2694"/>
        </w:tabs>
        <w:ind w:firstLine="720"/>
        <w:rPr>
          <w:bCs/>
          <w:sz w:val="28"/>
          <w:szCs w:val="28"/>
        </w:rPr>
      </w:pPr>
      <w:r w:rsidRPr="00127B01">
        <w:rPr>
          <w:bCs/>
          <w:sz w:val="28"/>
          <w:szCs w:val="28"/>
        </w:rPr>
        <w:tab/>
      </w:r>
      <w:r w:rsidR="00782FCD" w:rsidRPr="00127B01">
        <w:rPr>
          <w:bCs/>
          <w:sz w:val="28"/>
          <w:szCs w:val="28"/>
        </w:rPr>
        <w:t>Lovius Block</w:t>
      </w:r>
      <w:r w:rsidR="00675C3B" w:rsidRPr="00127B01">
        <w:rPr>
          <w:bCs/>
          <w:sz w:val="28"/>
          <w:szCs w:val="28"/>
        </w:rPr>
        <w:t xml:space="preserve"> Inc</w:t>
      </w:r>
      <w:r w:rsidR="00894D8C" w:rsidRPr="00127B01">
        <w:rPr>
          <w:bCs/>
          <w:sz w:val="28"/>
          <w:szCs w:val="28"/>
        </w:rPr>
        <w:t xml:space="preserve">, </w:t>
      </w:r>
      <w:r w:rsidR="00EE3C39" w:rsidRPr="00127B01">
        <w:rPr>
          <w:bCs/>
          <w:sz w:val="28"/>
          <w:szCs w:val="28"/>
        </w:rPr>
        <w:t>Bloemfontein</w:t>
      </w:r>
    </w:p>
    <w:p w14:paraId="602DA265" w14:textId="77777777" w:rsidR="00375744" w:rsidRDefault="00375744" w:rsidP="00534664">
      <w:pPr>
        <w:ind w:firstLine="720"/>
        <w:rPr>
          <w:bCs/>
          <w:sz w:val="28"/>
          <w:szCs w:val="28"/>
        </w:rPr>
      </w:pPr>
    </w:p>
    <w:p w14:paraId="34EE540D" w14:textId="0C4A1116" w:rsidR="00877FDE" w:rsidRPr="00B0259D" w:rsidRDefault="00877FDE" w:rsidP="00534664">
      <w:pPr>
        <w:rPr>
          <w:bCs/>
          <w:sz w:val="28"/>
          <w:szCs w:val="28"/>
        </w:rPr>
      </w:pPr>
    </w:p>
    <w:sectPr w:rsidR="00877FDE" w:rsidRPr="00B0259D"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CB08" w14:textId="77777777" w:rsidR="00D45D16" w:rsidRDefault="00D45D16">
      <w:r>
        <w:separator/>
      </w:r>
    </w:p>
  </w:endnote>
  <w:endnote w:type="continuationSeparator" w:id="0">
    <w:p w14:paraId="7584F61E" w14:textId="77777777" w:rsidR="00D45D16" w:rsidRDefault="00D45D16">
      <w:r>
        <w:continuationSeparator/>
      </w:r>
    </w:p>
  </w:endnote>
  <w:endnote w:type="continuationNotice" w:id="1">
    <w:p w14:paraId="017FC940" w14:textId="77777777" w:rsidR="00D45D16" w:rsidRDefault="00D4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8A44" w14:textId="77777777" w:rsidR="00D45D16" w:rsidRDefault="00D45D16">
      <w:r>
        <w:separator/>
      </w:r>
    </w:p>
  </w:footnote>
  <w:footnote w:type="continuationSeparator" w:id="0">
    <w:p w14:paraId="39054B26" w14:textId="77777777" w:rsidR="00D45D16" w:rsidRDefault="00D45D16">
      <w:r>
        <w:continuationSeparator/>
      </w:r>
    </w:p>
  </w:footnote>
  <w:footnote w:type="continuationNotice" w:id="1">
    <w:p w14:paraId="53477668" w14:textId="77777777" w:rsidR="00D45D16" w:rsidRDefault="00D45D16"/>
  </w:footnote>
  <w:footnote w:id="2">
    <w:p w14:paraId="3C64489F" w14:textId="28D5749D" w:rsidR="00107AF4" w:rsidRPr="00D833C1" w:rsidRDefault="00107AF4" w:rsidP="00523CE6">
      <w:pPr>
        <w:pStyle w:val="FootnoteText"/>
        <w:spacing w:line="240" w:lineRule="auto"/>
        <w:rPr>
          <w:rFonts w:cs="Times New Roman"/>
          <w:lang w:val="en-US"/>
        </w:rPr>
      </w:pPr>
      <w:r w:rsidRPr="00D833C1">
        <w:rPr>
          <w:rStyle w:val="FootnoteReference"/>
          <w:rFonts w:cs="Times New Roman"/>
        </w:rPr>
        <w:footnoteRef/>
      </w:r>
      <w:r w:rsidRPr="00D833C1">
        <w:rPr>
          <w:rFonts w:cs="Times New Roman"/>
        </w:rPr>
        <w:t xml:space="preserve"> </w:t>
      </w:r>
      <w:r w:rsidRPr="00D833C1">
        <w:rPr>
          <w:rFonts w:cs="Times New Roman"/>
          <w:lang w:val="en-US"/>
        </w:rPr>
        <w:t>This provides that interest must not exceed the capital sum.</w:t>
      </w:r>
    </w:p>
  </w:footnote>
  <w:footnote w:id="3">
    <w:p w14:paraId="6EFB835E" w14:textId="61C2FA3D" w:rsidR="00107AF4" w:rsidRPr="00D833C1" w:rsidRDefault="00107AF4" w:rsidP="00523CE6">
      <w:pPr>
        <w:pStyle w:val="FootnoteText"/>
        <w:spacing w:line="240" w:lineRule="auto"/>
        <w:rPr>
          <w:rFonts w:cs="Times New Roman"/>
          <w:lang w:val="en-US"/>
        </w:rPr>
      </w:pPr>
      <w:r w:rsidRPr="00D833C1">
        <w:rPr>
          <w:rStyle w:val="FootnoteReference"/>
          <w:rFonts w:cs="Times New Roman"/>
        </w:rPr>
        <w:footnoteRef/>
      </w:r>
      <w:r w:rsidRPr="00D833C1">
        <w:rPr>
          <w:rFonts w:cs="Times New Roman"/>
          <w:vertAlign w:val="superscript"/>
        </w:rPr>
        <w:t xml:space="preserve"> </w:t>
      </w:r>
      <w:r w:rsidRPr="00D833C1">
        <w:rPr>
          <w:rFonts w:cs="Times New Roman"/>
          <w:lang w:val="en-US"/>
        </w:rPr>
        <w:t>As was acknowledged by the Departments, such a declaration would be made as part of a just and equitable order under s 172(1)</w:t>
      </w:r>
      <w:r w:rsidRPr="00D833C1">
        <w:rPr>
          <w:rFonts w:cs="Times New Roman"/>
          <w:i/>
          <w:iCs/>
          <w:lang w:val="en-US"/>
        </w:rPr>
        <w:t>(b)</w:t>
      </w:r>
      <w:r w:rsidRPr="00D833C1">
        <w:rPr>
          <w:rFonts w:cs="Times New Roman"/>
          <w:lang w:val="en-US"/>
        </w:rPr>
        <w:t>.</w:t>
      </w:r>
    </w:p>
  </w:footnote>
  <w:footnote w:id="4">
    <w:p w14:paraId="3B487D71" w14:textId="5E9C1CC6" w:rsidR="00107AF4" w:rsidRPr="00D833C1" w:rsidRDefault="00107AF4" w:rsidP="00523CE6">
      <w:pPr>
        <w:pStyle w:val="FootnoteText"/>
        <w:spacing w:line="240" w:lineRule="auto"/>
        <w:rPr>
          <w:rStyle w:val="FootnoteReference"/>
          <w:rFonts w:cs="Times New Roman"/>
          <w:vertAlign w:val="baseline"/>
        </w:rPr>
      </w:pPr>
      <w:r w:rsidRPr="00D833C1">
        <w:rPr>
          <w:rStyle w:val="FootnoteReference"/>
          <w:rFonts w:cs="Times New Roman"/>
        </w:rPr>
        <w:footnoteRef/>
      </w:r>
      <w:r w:rsidRPr="00D833C1">
        <w:rPr>
          <w:rStyle w:val="FootnoteReference"/>
          <w:rFonts w:cs="Times New Roman"/>
          <w:vertAlign w:val="baseline"/>
        </w:rPr>
        <w:t xml:space="preserve"> The inclusive relief referred to in s 172(1)</w:t>
      </w:r>
      <w:r w:rsidRPr="00D833C1">
        <w:rPr>
          <w:rStyle w:val="FootnoteReference"/>
          <w:rFonts w:cs="Times New Roman"/>
          <w:i/>
          <w:iCs/>
          <w:vertAlign w:val="baseline"/>
        </w:rPr>
        <w:t>(b)</w:t>
      </w:r>
      <w:r w:rsidRPr="00D833C1">
        <w:rPr>
          <w:rStyle w:val="FootnoteReference"/>
          <w:rFonts w:cs="Times New Roman"/>
          <w:vertAlign w:val="baseline"/>
        </w:rPr>
        <w:t>(i) and (ii) does not apply since there is no need for:</w:t>
      </w:r>
    </w:p>
    <w:p w14:paraId="3CABF927" w14:textId="71F367CF" w:rsidR="00107AF4" w:rsidRPr="006D3736" w:rsidRDefault="00107AF4" w:rsidP="00523CE6">
      <w:pPr>
        <w:pStyle w:val="FootnoteText"/>
        <w:spacing w:line="240" w:lineRule="auto"/>
        <w:rPr>
          <w:rStyle w:val="FootnoteReference"/>
          <w:rFonts w:cs="Times New Roman"/>
          <w:vertAlign w:val="baseline"/>
        </w:rPr>
      </w:pPr>
      <w:r w:rsidRPr="00D833C1">
        <w:rPr>
          <w:rStyle w:val="FootnoteReference"/>
          <w:rFonts w:cs="Times New Roman"/>
          <w:vertAlign w:val="baseline"/>
        </w:rPr>
        <w:t xml:space="preserve">‘(i) </w:t>
      </w:r>
      <w:r w:rsidRPr="006D3736">
        <w:rPr>
          <w:rStyle w:val="FootnoteReference"/>
          <w:rFonts w:cs="Times New Roman"/>
          <w:vertAlign w:val="baseline"/>
        </w:rPr>
        <w:t>an order limiting the retrospective effect of the declaration of invalidity; and</w:t>
      </w:r>
    </w:p>
    <w:p w14:paraId="2C8218EC" w14:textId="44487EEC" w:rsidR="00107AF4" w:rsidRPr="00891D65" w:rsidRDefault="00107AF4" w:rsidP="00523CE6">
      <w:pPr>
        <w:pStyle w:val="FootnoteText"/>
        <w:spacing w:line="240" w:lineRule="auto"/>
        <w:rPr>
          <w:rStyle w:val="FootnoteReference"/>
          <w:rFonts w:cs="Times New Roman"/>
          <w:vertAlign w:val="baseline"/>
        </w:rPr>
      </w:pPr>
      <w:r w:rsidRPr="00891D65">
        <w:rPr>
          <w:rStyle w:val="FootnoteReference"/>
          <w:rFonts w:cs="Times New Roman"/>
          <w:vertAlign w:val="baseline"/>
        </w:rPr>
        <w:t>(ii) an order suspending the declaration of invalidity for any period and on any conditions, to allow the competent authority to correct the defect.’</w:t>
      </w:r>
    </w:p>
    <w:p w14:paraId="7576C426" w14:textId="60EE7171" w:rsidR="00107AF4" w:rsidRPr="00891D65" w:rsidRDefault="00107AF4" w:rsidP="00523CE6">
      <w:pPr>
        <w:pStyle w:val="FootnoteText"/>
        <w:spacing w:line="240" w:lineRule="auto"/>
        <w:rPr>
          <w:rStyle w:val="FootnoteReference"/>
          <w:rFonts w:cs="Times New Roman"/>
          <w:vertAlign w:val="baseline"/>
        </w:rPr>
      </w:pPr>
      <w:r w:rsidRPr="00891D65">
        <w:rPr>
          <w:rStyle w:val="FootnoteReference"/>
          <w:rFonts w:cs="Times New Roman"/>
          <w:vertAlign w:val="baseline"/>
        </w:rPr>
        <w:t>In any event this is not what was prayed for and does not form a ground on which leave to appeal is sought.</w:t>
      </w:r>
    </w:p>
  </w:footnote>
  <w:footnote w:id="5">
    <w:p w14:paraId="2B898B4C" w14:textId="413892D6" w:rsidR="00107AF4" w:rsidRPr="00891D65" w:rsidRDefault="00107AF4" w:rsidP="00A43085">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i/>
          <w:iCs/>
          <w:vertAlign w:val="baseline"/>
        </w:rPr>
        <w:t xml:space="preserve"> Mazibuko NO v Sisulu and Others NNO</w:t>
      </w:r>
      <w:r w:rsidRPr="00891D65">
        <w:rPr>
          <w:rStyle w:val="FootnoteReference"/>
          <w:rFonts w:cs="Times New Roman"/>
          <w:vertAlign w:val="baseline"/>
        </w:rPr>
        <w:t xml:space="preserve"> [2013] ZACC 28; 2013 (6) SA 249 (CC)</w:t>
      </w:r>
      <w:r w:rsidR="000F5D81" w:rsidRPr="00891D65">
        <w:rPr>
          <w:rFonts w:cs="Times New Roman"/>
        </w:rPr>
        <w:t>; 2013 (11) BCLR 1297 (CC)</w:t>
      </w:r>
      <w:r w:rsidRPr="00891D65">
        <w:rPr>
          <w:rStyle w:val="FootnoteReference"/>
          <w:rFonts w:cs="Times New Roman"/>
          <w:vertAlign w:val="baseline"/>
        </w:rPr>
        <w:t xml:space="preserve"> para 70.</w:t>
      </w:r>
    </w:p>
  </w:footnote>
  <w:footnote w:id="6">
    <w:p w14:paraId="1ACB269C" w14:textId="35DAC180" w:rsidR="00107AF4" w:rsidRPr="00891D65" w:rsidRDefault="00107AF4" w:rsidP="00A43085">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Bengwenyama Minerals (Pty) Ltd and Others v Genorah Resources (Pty) Ltd and Others</w:t>
      </w:r>
      <w:r w:rsidRPr="00891D65">
        <w:rPr>
          <w:rStyle w:val="FootnoteReference"/>
          <w:rFonts w:cs="Times New Roman"/>
          <w:vertAlign w:val="baseline"/>
        </w:rPr>
        <w:t xml:space="preserve"> [2010] ZACC 26; 2011 (4) SA 113 (CC); 2011 (3) BCLR 229 </w:t>
      </w:r>
      <w:r w:rsidRPr="00891D65">
        <w:rPr>
          <w:rFonts w:cs="Times New Roman"/>
        </w:rPr>
        <w:t xml:space="preserve">(CC) </w:t>
      </w:r>
      <w:r w:rsidRPr="00891D65">
        <w:rPr>
          <w:rStyle w:val="FootnoteReference"/>
          <w:rFonts w:cs="Times New Roman"/>
          <w:vertAlign w:val="baseline"/>
        </w:rPr>
        <w:t>para 85.</w:t>
      </w:r>
    </w:p>
  </w:footnote>
  <w:footnote w:id="7">
    <w:p w14:paraId="43595B17" w14:textId="77777777" w:rsidR="00107AF4" w:rsidRPr="00891D65" w:rsidRDefault="00107AF4" w:rsidP="00AB0622">
      <w:pPr>
        <w:pStyle w:val="FootnoteText"/>
        <w:spacing w:line="240" w:lineRule="auto"/>
        <w:rPr>
          <w:rFonts w:cs="Times New Roman"/>
          <w:lang w:val="en-US"/>
        </w:rPr>
      </w:pPr>
      <w:r w:rsidRPr="00891D65">
        <w:rPr>
          <w:rStyle w:val="FootnoteReference"/>
          <w:rFonts w:cs="Times New Roman"/>
        </w:rPr>
        <w:footnoteRef/>
      </w:r>
      <w:r w:rsidRPr="00891D65">
        <w:rPr>
          <w:rFonts w:cs="Times New Roman"/>
        </w:rPr>
        <w:t xml:space="preserve"> </w:t>
      </w:r>
      <w:r w:rsidRPr="00891D65">
        <w:rPr>
          <w:rFonts w:cs="Times New Roman"/>
          <w:i/>
        </w:rPr>
        <w:t xml:space="preserve">State Information Technology Agency SOC Limited v Gijima Holdings (Pty) Limited </w:t>
      </w:r>
      <w:r w:rsidRPr="00891D65">
        <w:rPr>
          <w:rFonts w:cs="Times New Roman"/>
        </w:rPr>
        <w:t xml:space="preserve">[2017] ZACC 40; 2018 (2) SA 23 (CC); 2018 (2) BCLR 240 (CC) </w:t>
      </w:r>
      <w:r w:rsidRPr="00891D65">
        <w:rPr>
          <w:rFonts w:cs="Times New Roman"/>
          <w:lang w:val="en-US"/>
        </w:rPr>
        <w:t>para 53.</w:t>
      </w:r>
    </w:p>
  </w:footnote>
  <w:footnote w:id="8">
    <w:p w14:paraId="6F93B8A1" w14:textId="77777777" w:rsidR="00107AF4" w:rsidRPr="00891D65" w:rsidRDefault="00107AF4" w:rsidP="001A325F">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Mining Qualifications Authority v IFU Training Institute (Pty) Ltd</w:t>
      </w:r>
      <w:r w:rsidRPr="00891D65">
        <w:rPr>
          <w:rStyle w:val="FootnoteReference"/>
          <w:rFonts w:cs="Times New Roman"/>
          <w:vertAlign w:val="baseline"/>
        </w:rPr>
        <w:t xml:space="preserve"> [2018] ZAGPJHC 455.</w:t>
      </w:r>
    </w:p>
  </w:footnote>
  <w:footnote w:id="9">
    <w:p w14:paraId="111EECEE" w14:textId="77777777" w:rsidR="00107AF4" w:rsidRPr="00891D65" w:rsidRDefault="00107AF4" w:rsidP="001A325F">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Eskom Holdings SOC Limited v McKinsey and Company Africa (Pty) Ltd and Others</w:t>
      </w:r>
      <w:r w:rsidRPr="00891D65">
        <w:rPr>
          <w:rStyle w:val="FootnoteReference"/>
          <w:rFonts w:cs="Times New Roman"/>
          <w:vertAlign w:val="baseline"/>
        </w:rPr>
        <w:t xml:space="preserve"> [2019] ZAGPPHC 185.</w:t>
      </w:r>
    </w:p>
  </w:footnote>
  <w:footnote w:id="10">
    <w:p w14:paraId="6A74246D" w14:textId="77777777" w:rsidR="00107AF4" w:rsidRPr="00891D65" w:rsidRDefault="00107AF4" w:rsidP="001A325F">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Corruption Watch (NPC) (RF) v Chief Executive Officer of the South African Social Services and Others</w:t>
      </w:r>
      <w:r w:rsidRPr="00891D65">
        <w:rPr>
          <w:rStyle w:val="FootnoteReference"/>
          <w:rFonts w:cs="Times New Roman"/>
          <w:vertAlign w:val="baseline"/>
        </w:rPr>
        <w:t xml:space="preserve"> [2018] ZAGPPHC 7. The first respondent was, in fact, the Chief Executive Officer of the South African Social Security Agency.</w:t>
      </w:r>
    </w:p>
  </w:footnote>
  <w:footnote w:id="11">
    <w:p w14:paraId="04A64BC2" w14:textId="2370B5B1" w:rsidR="00107AF4" w:rsidRPr="00891D65" w:rsidRDefault="00107AF4" w:rsidP="001A325F">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Cash Paymaster Services (Pty) Ltd v Chief Executive Officer of the South African Social Security Agency and Others</w:t>
      </w:r>
      <w:r w:rsidRPr="00891D65">
        <w:rPr>
          <w:rStyle w:val="FootnoteReference"/>
          <w:rFonts w:cs="Times New Roman"/>
          <w:vertAlign w:val="baseline"/>
        </w:rPr>
        <w:t xml:space="preserve"> [2019] ZA</w:t>
      </w:r>
      <w:r w:rsidRPr="00891D65">
        <w:rPr>
          <w:rFonts w:cs="Times New Roman"/>
        </w:rPr>
        <w:t>SC</w:t>
      </w:r>
      <w:r w:rsidRPr="00891D65">
        <w:rPr>
          <w:rStyle w:val="FootnoteReference"/>
          <w:rFonts w:cs="Times New Roman"/>
          <w:vertAlign w:val="baseline"/>
        </w:rPr>
        <w:t>A 131; [2019] 4 All SA 327 (SCA).</w:t>
      </w:r>
    </w:p>
  </w:footnote>
  <w:footnote w:id="12">
    <w:p w14:paraId="292B7227" w14:textId="0E636118" w:rsidR="00107AF4" w:rsidRPr="00891D65" w:rsidRDefault="00107AF4" w:rsidP="00174B6B">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Buffalo City Metropolitan Municipality v Asla Construction (Pty) Ltd</w:t>
      </w:r>
      <w:r w:rsidRPr="00891D65">
        <w:rPr>
          <w:rStyle w:val="FootnoteReference"/>
          <w:rFonts w:cs="Times New Roman"/>
          <w:vertAlign w:val="baseline"/>
        </w:rPr>
        <w:t xml:space="preserve"> [2019] ZACC 15; </w:t>
      </w:r>
      <w:r w:rsidRPr="00891D65">
        <w:rPr>
          <w:rFonts w:cs="Times New Roman"/>
        </w:rPr>
        <w:t xml:space="preserve">2019 (6) BCLR 661 (CC); </w:t>
      </w:r>
      <w:r w:rsidRPr="00891D65">
        <w:rPr>
          <w:rStyle w:val="FootnoteReference"/>
          <w:rFonts w:cs="Times New Roman"/>
          <w:vertAlign w:val="baseline"/>
        </w:rPr>
        <w:t>2019 (4) SA 331 (CC) para 105.</w:t>
      </w:r>
    </w:p>
  </w:footnote>
  <w:footnote w:id="13">
    <w:p w14:paraId="752C303B"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rPr>
        <w:t xml:space="preserve"> </w:t>
      </w:r>
      <w:r w:rsidRPr="00891D65">
        <w:rPr>
          <w:rStyle w:val="FootnoteReference"/>
          <w:rFonts w:cs="Times New Roman"/>
          <w:i/>
          <w:iCs/>
          <w:vertAlign w:val="baseline"/>
        </w:rPr>
        <w:t>Department of Transport and Others v Tasima (Pty) Ltd</w:t>
      </w:r>
      <w:r w:rsidRPr="00891D65">
        <w:rPr>
          <w:rStyle w:val="FootnoteReference"/>
          <w:rFonts w:cs="Times New Roman"/>
          <w:vertAlign w:val="baseline"/>
        </w:rPr>
        <w:t xml:space="preserve"> [2016] ZACC 39; 2017 (2) SA 622 (CC); 2017 (1) BCLR 1 (CC).</w:t>
      </w:r>
    </w:p>
  </w:footnote>
  <w:footnote w:id="14">
    <w:p w14:paraId="3B433BA6"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Section 217 of the Constitution provides:</w:t>
      </w:r>
    </w:p>
    <w:p w14:paraId="1D541EA8"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vertAlign w:val="baseline"/>
        </w:rPr>
        <w:t>‘(1)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14:paraId="3F28D438"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vertAlign w:val="baseline"/>
        </w:rPr>
        <w:t>(2) Subsection (1) does not prevent the organs of state or institutions referred to in that subsection from implementing a procurement policy providing for</w:t>
      </w:r>
      <m:oMath>
        <m:r>
          <w:rPr>
            <w:rStyle w:val="FootnoteReference"/>
            <w:rFonts w:ascii="Cambria Math" w:hAnsi="Cambria Math" w:cs="Times New Roman"/>
            <w:vertAlign w:val="baseline"/>
          </w:rPr>
          <m:t>-</m:t>
        </m:r>
      </m:oMath>
    </w:p>
    <w:p w14:paraId="1C62433C" w14:textId="0A691B13"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i/>
          <w:iCs/>
          <w:vertAlign w:val="baseline"/>
        </w:rPr>
        <w:t>(a)</w:t>
      </w:r>
      <w:r w:rsidRPr="00891D65">
        <w:rPr>
          <w:rStyle w:val="FootnoteReference"/>
          <w:rFonts w:cs="Times New Roman"/>
          <w:vertAlign w:val="baseline"/>
        </w:rPr>
        <w:t xml:space="preserve"> categories of preference in the allocation of contracts; and </w:t>
      </w:r>
    </w:p>
    <w:p w14:paraId="00BA14F1" w14:textId="2827D659"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i/>
          <w:iCs/>
          <w:vertAlign w:val="baseline"/>
        </w:rPr>
        <w:t>(b)</w:t>
      </w:r>
      <w:r w:rsidRPr="00891D65">
        <w:rPr>
          <w:rStyle w:val="FootnoteReference"/>
          <w:rFonts w:cs="Times New Roman"/>
          <w:vertAlign w:val="baseline"/>
        </w:rPr>
        <w:t xml:space="preserve"> the protection or advancement of persons, or categories of persons, disadvantaged by unfair discrimination.</w:t>
      </w:r>
    </w:p>
    <w:p w14:paraId="7DC2013E"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vertAlign w:val="baseline"/>
        </w:rPr>
        <w:t>(3) National legislation must prescribe a framework within which the policy referred to in subsection (2) must be implemented.’</w:t>
      </w:r>
    </w:p>
  </w:footnote>
  <w:footnote w:id="15">
    <w:p w14:paraId="16B6A15C" w14:textId="6AC6BF6A"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00D41013" w:rsidRPr="00891D65">
        <w:rPr>
          <w:rFonts w:cs="Times New Roman"/>
          <w:i/>
        </w:rPr>
        <w:t xml:space="preserve">Tasima </w:t>
      </w:r>
      <w:r w:rsidR="00D41013" w:rsidRPr="00891D65">
        <w:rPr>
          <w:rFonts w:cs="Times New Roman"/>
        </w:rPr>
        <w:t xml:space="preserve">fn 16 above </w:t>
      </w:r>
      <w:r w:rsidRPr="00891D65">
        <w:rPr>
          <w:rStyle w:val="FootnoteReference"/>
          <w:rFonts w:cs="Times New Roman"/>
          <w:vertAlign w:val="baseline"/>
        </w:rPr>
        <w:t>para 180.</w:t>
      </w:r>
    </w:p>
  </w:footnote>
  <w:footnote w:id="16">
    <w:p w14:paraId="775912C5"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Ibid para 185.</w:t>
      </w:r>
    </w:p>
  </w:footnote>
  <w:footnote w:id="17">
    <w:p w14:paraId="2F32134B" w14:textId="77777777" w:rsidR="00107AF4" w:rsidRPr="00891D65" w:rsidRDefault="00107AF4" w:rsidP="00BE2EB9">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rPr>
        <w:t xml:space="preserve"> </w:t>
      </w:r>
      <w:r w:rsidRPr="00891D65">
        <w:rPr>
          <w:rStyle w:val="FootnoteReference"/>
          <w:rFonts w:cs="Times New Roman"/>
          <w:vertAlign w:val="baseline"/>
        </w:rPr>
        <w:t>Ibid para 198. Emphasis in the original. References omitted.</w:t>
      </w:r>
    </w:p>
  </w:footnote>
  <w:footnote w:id="18">
    <w:p w14:paraId="5CAAEDF2" w14:textId="6DB53196" w:rsidR="00107AF4" w:rsidRPr="00891D65" w:rsidRDefault="00107AF4" w:rsidP="00EC2837">
      <w:pPr>
        <w:pStyle w:val="FootnoteText"/>
        <w:spacing w:line="240" w:lineRule="auto"/>
        <w:rPr>
          <w:rFonts w:cs="Times New Roman"/>
        </w:rPr>
      </w:pPr>
      <w:r w:rsidRPr="00891D65">
        <w:rPr>
          <w:rStyle w:val="FootnoteReference"/>
          <w:rFonts w:cs="Times New Roman"/>
        </w:rPr>
        <w:footnoteRef/>
      </w:r>
      <w:r w:rsidRPr="00891D65">
        <w:rPr>
          <w:rFonts w:cs="Times New Roman"/>
        </w:rPr>
        <w:t xml:space="preserve"> </w:t>
      </w:r>
      <w:r w:rsidRPr="00891D65">
        <w:rPr>
          <w:rFonts w:cs="Times New Roman"/>
          <w:i/>
          <w:iCs/>
        </w:rPr>
        <w:t>Ex parte Chairperson of the Constitutional Assembly: In re Certification of the Constitution of the Republic of SA,</w:t>
      </w:r>
      <w:r w:rsidR="00B52EFD">
        <w:rPr>
          <w:rFonts w:cs="Times New Roman"/>
          <w:i/>
          <w:iCs/>
        </w:rPr>
        <w:t> </w:t>
      </w:r>
      <w:r w:rsidRPr="00891D65">
        <w:rPr>
          <w:rFonts w:cs="Times New Roman"/>
          <w:i/>
          <w:iCs/>
        </w:rPr>
        <w:t>1996</w:t>
      </w:r>
      <w:r w:rsidRPr="00891D65">
        <w:rPr>
          <w:rFonts w:cs="Times New Roman"/>
        </w:rPr>
        <w:t xml:space="preserve"> [1996] ZACC 26; 1996</w:t>
      </w:r>
      <w:r w:rsidR="00375D87" w:rsidRPr="00891D65">
        <w:rPr>
          <w:rFonts w:cs="Times New Roman"/>
        </w:rPr>
        <w:t xml:space="preserve"> (</w:t>
      </w:r>
      <w:r w:rsidRPr="00891D65">
        <w:rPr>
          <w:rFonts w:cs="Times New Roman"/>
        </w:rPr>
        <w:t>4</w:t>
      </w:r>
      <w:r w:rsidR="00375D87" w:rsidRPr="00891D65">
        <w:rPr>
          <w:rFonts w:cs="Times New Roman"/>
        </w:rPr>
        <w:t>)</w:t>
      </w:r>
      <w:r w:rsidRPr="00891D65">
        <w:rPr>
          <w:rFonts w:cs="Times New Roman"/>
        </w:rPr>
        <w:t xml:space="preserve"> SA 744 (CC); 1996 </w:t>
      </w:r>
      <w:r w:rsidR="00375D87" w:rsidRPr="00891D65">
        <w:rPr>
          <w:rFonts w:cs="Times New Roman"/>
        </w:rPr>
        <w:t>(</w:t>
      </w:r>
      <w:r w:rsidRPr="00891D65">
        <w:rPr>
          <w:rFonts w:cs="Times New Roman"/>
        </w:rPr>
        <w:t>10</w:t>
      </w:r>
      <w:r w:rsidR="00375D87" w:rsidRPr="00891D65">
        <w:rPr>
          <w:rFonts w:cs="Times New Roman"/>
        </w:rPr>
        <w:t>)</w:t>
      </w:r>
      <w:r w:rsidRPr="00891D65">
        <w:rPr>
          <w:rFonts w:cs="Times New Roman"/>
        </w:rPr>
        <w:t xml:space="preserve"> BCLR 1253 (CC) para 106</w:t>
      </w:r>
      <w:r w:rsidR="00375D87" w:rsidRPr="00891D65">
        <w:rPr>
          <w:rFonts w:cs="Times New Roman"/>
        </w:rPr>
        <w:t>,</w:t>
      </w:r>
      <w:r w:rsidRPr="00891D65">
        <w:rPr>
          <w:rFonts w:cs="Times New Roman"/>
        </w:rPr>
        <w:t xml:space="preserve"> which referred to Constitutional Principle VI dealing with the separation of powers and held that the Constitution complied with it:</w:t>
      </w:r>
    </w:p>
    <w:p w14:paraId="24775028" w14:textId="77777777" w:rsidR="00107AF4" w:rsidRPr="00891D65" w:rsidRDefault="00107AF4" w:rsidP="00EC2837">
      <w:pPr>
        <w:pStyle w:val="FootnoteText"/>
        <w:spacing w:line="240" w:lineRule="auto"/>
        <w:rPr>
          <w:rFonts w:cs="Times New Roman"/>
          <w:lang w:val="en-US"/>
        </w:rPr>
      </w:pPr>
      <w:r w:rsidRPr="00891D65">
        <w:rPr>
          <w:rFonts w:cs="Times New Roman"/>
        </w:rPr>
        <w:t>‘There shall be a separation of powers between the legislature, executive and judiciary, with appropriate checks and balances to ensure accountability, responsiveness and openness.’</w:t>
      </w:r>
    </w:p>
  </w:footnote>
  <w:footnote w:id="19">
    <w:p w14:paraId="52EC17E8" w14:textId="334AD921" w:rsidR="00107AF4" w:rsidRPr="00B05E23" w:rsidRDefault="00107AF4" w:rsidP="00C42262">
      <w:pPr>
        <w:pStyle w:val="FootnoteText"/>
        <w:spacing w:line="240" w:lineRule="auto"/>
        <w:rPr>
          <w:rFonts w:cs="Times New Roman"/>
          <w:lang w:val="en-US"/>
        </w:rPr>
      </w:pPr>
      <w:r w:rsidRPr="00891D65">
        <w:rPr>
          <w:rStyle w:val="FootnoteReference"/>
          <w:rFonts w:cs="Times New Roman"/>
        </w:rPr>
        <w:footnoteRef/>
      </w:r>
      <w:r w:rsidRPr="00891D65">
        <w:rPr>
          <w:rFonts w:cs="Times New Roman"/>
          <w:vertAlign w:val="superscript"/>
        </w:rPr>
        <w:t xml:space="preserve"> </w:t>
      </w:r>
      <w:r w:rsidRPr="00B05E23">
        <w:rPr>
          <w:rFonts w:cs="Times New Roman"/>
        </w:rPr>
        <w:t>D E van Loggerenberg</w:t>
      </w:r>
      <w:r w:rsidRPr="00B05E23">
        <w:rPr>
          <w:rFonts w:cs="Times New Roman"/>
          <w:i/>
          <w:iCs/>
        </w:rPr>
        <w:t xml:space="preserve"> </w:t>
      </w:r>
      <w:r w:rsidR="00B05E23" w:rsidRPr="001F0264">
        <w:rPr>
          <w:rFonts w:cs="Times New Roman"/>
          <w:iCs/>
        </w:rPr>
        <w:t xml:space="preserve">&amp; E Bertelsmann </w:t>
      </w:r>
      <w:r w:rsidRPr="00B05E23">
        <w:rPr>
          <w:rFonts w:cs="Times New Roman"/>
          <w:i/>
          <w:iCs/>
        </w:rPr>
        <w:t>Erasmus: Superior Court Practice</w:t>
      </w:r>
      <w:r w:rsidRPr="00B05E23">
        <w:rPr>
          <w:rFonts w:cs="Times New Roman"/>
        </w:rPr>
        <w:t xml:space="preserve"> </w:t>
      </w:r>
      <w:r w:rsidR="00B05E23" w:rsidRPr="001F0264">
        <w:rPr>
          <w:rFonts w:cs="Times New Roman"/>
        </w:rPr>
        <w:t>2</w:t>
      </w:r>
      <w:r w:rsidR="00C04ABB">
        <w:rPr>
          <w:rFonts w:cs="Times New Roman"/>
        </w:rPr>
        <w:t xml:space="preserve"> </w:t>
      </w:r>
      <w:r w:rsidR="00B05E23" w:rsidRPr="001F0264">
        <w:rPr>
          <w:rFonts w:cs="Times New Roman"/>
        </w:rPr>
        <w:t xml:space="preserve">ed at </w:t>
      </w:r>
      <w:r w:rsidRPr="00B05E23">
        <w:rPr>
          <w:rFonts w:cs="Times New Roman"/>
        </w:rPr>
        <w:t xml:space="preserve">D1-561f. </w:t>
      </w:r>
    </w:p>
  </w:footnote>
  <w:footnote w:id="20">
    <w:p w14:paraId="67178DAB" w14:textId="4C658E7B" w:rsidR="00107AF4" w:rsidRPr="00891D65" w:rsidRDefault="00107AF4" w:rsidP="00C42262">
      <w:pPr>
        <w:pStyle w:val="FootnoteText"/>
        <w:spacing w:line="240" w:lineRule="auto"/>
        <w:rPr>
          <w:rFonts w:cs="Times New Roman"/>
          <w:lang w:val="en-US"/>
        </w:rPr>
      </w:pPr>
      <w:r w:rsidRPr="00891D65">
        <w:rPr>
          <w:rStyle w:val="FootnoteReference"/>
          <w:rFonts w:cs="Times New Roman"/>
        </w:rPr>
        <w:footnoteRef/>
      </w:r>
      <w:r w:rsidRPr="00891D65">
        <w:rPr>
          <w:rFonts w:cs="Times New Roman"/>
          <w:vertAlign w:val="superscript"/>
        </w:rPr>
        <w:t xml:space="preserve"> </w:t>
      </w:r>
      <w:r w:rsidRPr="00891D65">
        <w:rPr>
          <w:rFonts w:cs="Times New Roman"/>
          <w:i/>
          <w:iCs/>
        </w:rPr>
        <w:t>Firestone South Africa (Pty) Ltd v Genticuro AG</w:t>
      </w:r>
      <w:r w:rsidRPr="00891D65">
        <w:rPr>
          <w:rFonts w:cs="Times New Roman"/>
        </w:rPr>
        <w:t xml:space="preserve"> 1977 (4) SA 298 (A) at 306F-G. </w:t>
      </w:r>
    </w:p>
  </w:footnote>
  <w:footnote w:id="21">
    <w:p w14:paraId="734D0C4C" w14:textId="134B4352" w:rsidR="00107AF4" w:rsidRPr="00891D65" w:rsidRDefault="00107AF4" w:rsidP="00EF1C76">
      <w:pPr>
        <w:pStyle w:val="FootnoteText"/>
        <w:spacing w:line="240" w:lineRule="auto"/>
        <w:rPr>
          <w:rFonts w:cs="Times New Roman"/>
        </w:rPr>
      </w:pPr>
      <w:r w:rsidRPr="00891D65">
        <w:rPr>
          <w:rStyle w:val="FootnoteReference"/>
          <w:rFonts w:cs="Times New Roman"/>
        </w:rPr>
        <w:footnoteRef/>
      </w:r>
      <w:r w:rsidRPr="00891D65">
        <w:rPr>
          <w:rFonts w:cs="Times New Roman"/>
          <w:vertAlign w:val="superscript"/>
          <w:lang w:val="en-US"/>
        </w:rPr>
        <w:t xml:space="preserve"> </w:t>
      </w:r>
      <w:r w:rsidR="00375D87" w:rsidRPr="00891D65">
        <w:rPr>
          <w:rFonts w:cs="Times New Roman"/>
          <w:lang w:val="en-US"/>
        </w:rPr>
        <w:t xml:space="preserve">Ibid. </w:t>
      </w:r>
      <w:r w:rsidRPr="00891D65">
        <w:rPr>
          <w:rFonts w:cs="Times New Roman"/>
          <w:lang w:val="en-US"/>
        </w:rPr>
        <w:t xml:space="preserve">In </w:t>
      </w:r>
      <w:r w:rsidRPr="00891D65">
        <w:rPr>
          <w:rFonts w:cs="Times New Roman"/>
          <w:i/>
          <w:iCs/>
          <w:lang w:val="en-US"/>
        </w:rPr>
        <w:t>Firestone</w:t>
      </w:r>
      <w:r w:rsidRPr="00891D65">
        <w:rPr>
          <w:rFonts w:cs="Times New Roman"/>
          <w:lang w:val="en-US"/>
        </w:rPr>
        <w:t>, at 306H-307G, t</w:t>
      </w:r>
      <w:r w:rsidRPr="00891D65">
        <w:rPr>
          <w:rFonts w:cs="Times New Roman"/>
        </w:rPr>
        <w:t>his Court recognised that, in limited circumstances, a court may revisit and amend its judgment:</w:t>
      </w:r>
    </w:p>
    <w:p w14:paraId="6DDDACC7" w14:textId="77777777" w:rsidR="00107AF4" w:rsidRPr="00891D65" w:rsidRDefault="00107AF4" w:rsidP="00EB4A9B">
      <w:pPr>
        <w:pStyle w:val="FootnoteText"/>
        <w:spacing w:line="240" w:lineRule="auto"/>
        <w:rPr>
          <w:rFonts w:cs="Times New Roman"/>
        </w:rPr>
      </w:pPr>
      <w:r w:rsidRPr="00891D65">
        <w:rPr>
          <w:rFonts w:cs="Times New Roman"/>
        </w:rPr>
        <w:t>‘There are, however, a few exceptions to that rule which are mentioned in the old authorities and have been authoritatively accepted by this Court. Thus, provided the court is approached within a reasonable time of its pronouncing the judgment or order, it may correct, alter, or supplement it in one or more of the following cases:</w:t>
      </w:r>
    </w:p>
    <w:p w14:paraId="6C3A4128" w14:textId="77777777" w:rsidR="00107AF4" w:rsidRPr="00891D65" w:rsidRDefault="00107AF4" w:rsidP="00EB4A9B">
      <w:pPr>
        <w:pStyle w:val="FootnoteText"/>
        <w:spacing w:line="240" w:lineRule="auto"/>
        <w:rPr>
          <w:rFonts w:cs="Times New Roman"/>
        </w:rPr>
      </w:pPr>
      <w:r w:rsidRPr="00891D65">
        <w:rPr>
          <w:rFonts w:cs="Times New Roman"/>
        </w:rPr>
        <w:t>(i) The principal judgment or order may be supplemented in respect of accessory or consequential matters, for example, costs or interest on the judgment debt, which the Court overlooked or inadvertently omitted to grant . . .</w:t>
      </w:r>
    </w:p>
    <w:p w14:paraId="11E286E8" w14:textId="77777777" w:rsidR="00107AF4" w:rsidRPr="00891D65" w:rsidRDefault="00107AF4" w:rsidP="00EB4A9B">
      <w:pPr>
        <w:pStyle w:val="FootnoteText"/>
        <w:spacing w:line="240" w:lineRule="auto"/>
        <w:rPr>
          <w:rFonts w:cs="Times New Roman"/>
        </w:rPr>
      </w:pPr>
      <w:r w:rsidRPr="00891D65">
        <w:rPr>
          <w:rFonts w:cs="Times New Roman"/>
        </w:rPr>
        <w:t>(ii) The Court may clarify its judgment or order, if, on a proper interpretation, the meaning thereof remains obscure, ambiguous or otherwise uncertain, so as to give effect to its true intention, provided it does not thereby alter “the sense and substance” of the judgment or order . . .</w:t>
      </w:r>
    </w:p>
    <w:p w14:paraId="740FB867" w14:textId="1A222B9A" w:rsidR="00BE63E7" w:rsidRPr="00891D65" w:rsidRDefault="00BE63E7" w:rsidP="00EB4A9B">
      <w:pPr>
        <w:pStyle w:val="FootnoteText"/>
        <w:spacing w:line="240" w:lineRule="auto"/>
        <w:rPr>
          <w:rFonts w:cs="Times New Roman"/>
        </w:rPr>
      </w:pPr>
      <w:r w:rsidRPr="00891D65">
        <w:rPr>
          <w:rFonts w:cs="Times New Roman"/>
        </w:rPr>
        <w:t xml:space="preserve">. . . </w:t>
      </w:r>
    </w:p>
    <w:p w14:paraId="3A5E30FF" w14:textId="77777777" w:rsidR="00107AF4" w:rsidRPr="00891D65" w:rsidRDefault="00107AF4" w:rsidP="00F8769A">
      <w:pPr>
        <w:pStyle w:val="FootnoteText"/>
        <w:spacing w:line="240" w:lineRule="auto"/>
        <w:rPr>
          <w:rFonts w:cs="Times New Roman"/>
        </w:rPr>
      </w:pPr>
      <w:r w:rsidRPr="00891D65">
        <w:rPr>
          <w:rFonts w:cs="Times New Roman"/>
        </w:rPr>
        <w:t>(iii) The Court may correct a clerical, arithmetical or other error in it judgment or order so as to give effect to its true intention . . .</w:t>
      </w:r>
    </w:p>
    <w:p w14:paraId="2BEF60E1" w14:textId="1964587B" w:rsidR="00BE63E7" w:rsidRPr="00891D65" w:rsidRDefault="00BE63E7" w:rsidP="00F8769A">
      <w:pPr>
        <w:pStyle w:val="FootnoteText"/>
        <w:spacing w:line="240" w:lineRule="auto"/>
        <w:rPr>
          <w:rFonts w:cs="Times New Roman"/>
        </w:rPr>
      </w:pPr>
      <w:r w:rsidRPr="00891D65">
        <w:rPr>
          <w:rFonts w:cs="Times New Roman"/>
        </w:rPr>
        <w:t xml:space="preserve">. . . </w:t>
      </w:r>
    </w:p>
    <w:p w14:paraId="4E8C2F74" w14:textId="22A4147F" w:rsidR="00107AF4" w:rsidRPr="00891D65" w:rsidRDefault="00107AF4" w:rsidP="00F8769A">
      <w:pPr>
        <w:pStyle w:val="FootnoteText"/>
        <w:spacing w:line="240" w:lineRule="auto"/>
        <w:rPr>
          <w:rFonts w:cs="Times New Roman"/>
          <w:lang w:val="en-US"/>
        </w:rPr>
      </w:pPr>
      <w:r w:rsidRPr="00891D65">
        <w:rPr>
          <w:rFonts w:cs="Times New Roman"/>
        </w:rPr>
        <w:t>(iv) Where counsel has argued the merits and not the costs of a case (which nowadays often happens since the question of costs may depend upon the ultimate decision on the merits), but the Court, in granting judgment, also makes an order concerning the costs, it may thereafter correct, alter or supplement that order</w:t>
      </w:r>
      <w:r w:rsidR="001362BE" w:rsidRPr="00891D65">
        <w:rPr>
          <w:rFonts w:cs="Times New Roman"/>
        </w:rPr>
        <w:t xml:space="preserve"> </w:t>
      </w:r>
      <w:r w:rsidR="00BE63E7" w:rsidRPr="00891D65">
        <w:rPr>
          <w:rFonts w:cs="Times New Roman"/>
        </w:rPr>
        <w:t>. . ..</w:t>
      </w:r>
      <w:r w:rsidRPr="00891D65">
        <w:rPr>
          <w:rFonts w:cs="Times New Roman"/>
        </w:rPr>
        <w:t>’</w:t>
      </w:r>
    </w:p>
  </w:footnote>
  <w:footnote w:id="22">
    <w:p w14:paraId="42A1FA94" w14:textId="5486F070" w:rsidR="00107AF4" w:rsidRPr="00891D65" w:rsidRDefault="00107AF4" w:rsidP="00F8769A">
      <w:pPr>
        <w:pStyle w:val="FootnoteText"/>
        <w:spacing w:line="240" w:lineRule="auto"/>
        <w:rPr>
          <w:rFonts w:cs="Times New Roman"/>
          <w:lang w:val="en-US"/>
        </w:rPr>
      </w:pPr>
      <w:r w:rsidRPr="00891D65">
        <w:rPr>
          <w:rStyle w:val="FootnoteReference"/>
          <w:rFonts w:cs="Times New Roman"/>
        </w:rPr>
        <w:footnoteRef/>
      </w:r>
      <w:r w:rsidRPr="00891D65">
        <w:rPr>
          <w:rFonts w:cs="Times New Roman"/>
          <w:vertAlign w:val="superscript"/>
        </w:rPr>
        <w:t xml:space="preserve"> </w:t>
      </w:r>
      <w:r w:rsidRPr="00891D65">
        <w:rPr>
          <w:rFonts w:cs="Times New Roman"/>
          <w:i/>
          <w:iCs/>
        </w:rPr>
        <w:t>Zondi v MEC</w:t>
      </w:r>
      <w:r w:rsidR="0082604D" w:rsidRPr="00891D65">
        <w:rPr>
          <w:rFonts w:cs="Times New Roman"/>
          <w:i/>
          <w:iCs/>
        </w:rPr>
        <w:t xml:space="preserve"> for </w:t>
      </w:r>
      <w:r w:rsidRPr="00891D65">
        <w:rPr>
          <w:rFonts w:cs="Times New Roman"/>
          <w:i/>
          <w:iCs/>
        </w:rPr>
        <w:t>Traditional and Local Government Affairs and Others</w:t>
      </w:r>
      <w:r w:rsidRPr="00891D65">
        <w:rPr>
          <w:rFonts w:cs="Times New Roman"/>
        </w:rPr>
        <w:t xml:space="preserve"> 2006 (3) SA 1 (CC)</w:t>
      </w:r>
      <w:r w:rsidR="0082604D" w:rsidRPr="00891D65">
        <w:rPr>
          <w:rFonts w:cs="Times New Roman"/>
        </w:rPr>
        <w:t>; 2006 (3) BCLR 423 (CC)</w:t>
      </w:r>
      <w:r w:rsidRPr="00891D65">
        <w:rPr>
          <w:rFonts w:cs="Times New Roman"/>
        </w:rPr>
        <w:t xml:space="preserve"> para 2</w:t>
      </w:r>
      <w:r w:rsidR="00BE63E7" w:rsidRPr="00891D65">
        <w:rPr>
          <w:rFonts w:cs="Times New Roman"/>
        </w:rPr>
        <w:t>7</w:t>
      </w:r>
      <w:r w:rsidRPr="00891D65">
        <w:rPr>
          <w:rFonts w:cs="Times New Roman"/>
        </w:rPr>
        <w:t>.</w:t>
      </w:r>
    </w:p>
  </w:footnote>
  <w:footnote w:id="23">
    <w:p w14:paraId="3CEA5BA0" w14:textId="6DFAC0C5" w:rsidR="00107AF4" w:rsidRPr="00891D65" w:rsidRDefault="00107AF4" w:rsidP="00F8769A">
      <w:pPr>
        <w:pStyle w:val="FootnoteText"/>
        <w:spacing w:line="240" w:lineRule="auto"/>
        <w:rPr>
          <w:rFonts w:cs="Times New Roman"/>
          <w:lang w:val="en-US"/>
        </w:rPr>
      </w:pPr>
      <w:r w:rsidRPr="00891D65">
        <w:rPr>
          <w:rStyle w:val="FootnoteReference"/>
          <w:rFonts w:cs="Times New Roman"/>
        </w:rPr>
        <w:footnoteRef/>
      </w:r>
      <w:r w:rsidRPr="00891D65">
        <w:rPr>
          <w:rFonts w:cs="Times New Roman"/>
        </w:rPr>
        <w:t xml:space="preserve"> </w:t>
      </w:r>
      <w:r w:rsidRPr="00891D65">
        <w:rPr>
          <w:rFonts w:cs="Times New Roman"/>
          <w:lang w:val="en-US"/>
        </w:rPr>
        <w:t>Ibid.</w:t>
      </w:r>
    </w:p>
  </w:footnote>
  <w:footnote w:id="24">
    <w:p w14:paraId="0386F706" w14:textId="00C4D22E" w:rsidR="00E82A0C" w:rsidRPr="00E82A0C" w:rsidRDefault="00E82A0C" w:rsidP="00E711CF">
      <w:pPr>
        <w:pStyle w:val="FootnoteText"/>
        <w:spacing w:line="240" w:lineRule="auto"/>
        <w:rPr>
          <w:lang w:val="en-US"/>
        </w:rPr>
      </w:pPr>
      <w:r>
        <w:rPr>
          <w:rStyle w:val="FootnoteReference"/>
        </w:rPr>
        <w:footnoteRef/>
      </w:r>
      <w:r>
        <w:t xml:space="preserve"> </w:t>
      </w:r>
      <w:r w:rsidR="00E711CF" w:rsidRPr="00E711CF">
        <w:rPr>
          <w:i/>
          <w:iCs/>
        </w:rPr>
        <w:t>Zuma v Secretary of the Judicial Commission of Inquiry into Allegations of State Capture, Corruption and Fraud in the Public Sector Including Organs of State and others (Council for the Advancement of the South African Constitution and another as amici curiae)</w:t>
      </w:r>
      <w:r w:rsidR="00925650" w:rsidRPr="00925650">
        <w:t xml:space="preserve"> [2021] ZACC 28; 2021 (11) BCLR 1263 (CC) </w:t>
      </w:r>
      <w:r w:rsidR="00E711CF">
        <w:t>para 82, c</w:t>
      </w:r>
      <w:r w:rsidR="00367559">
        <w:t xml:space="preserve">iting with approval </w:t>
      </w:r>
      <w:r w:rsidRPr="00E82A0C">
        <w:rPr>
          <w:i/>
          <w:iCs/>
        </w:rPr>
        <w:t>Vilvanathan v Louw NO</w:t>
      </w:r>
      <w:r w:rsidRPr="00E82A0C">
        <w:t> 2010 (5) SA 17</w:t>
      </w:r>
      <w:r w:rsidR="00367559">
        <w:t xml:space="preserve"> (WCC)</w:t>
      </w:r>
      <w:r>
        <w:t>;</w:t>
      </w:r>
      <w:r w:rsidRPr="00E82A0C">
        <w:t xml:space="preserve"> [2011] 2 All SA 331</w:t>
      </w:r>
      <w:r w:rsidR="00367559">
        <w:t xml:space="preserve"> </w:t>
      </w:r>
      <w:r w:rsidRPr="00E82A0C">
        <w:t>(WCC)</w:t>
      </w:r>
      <w:r>
        <w:t xml:space="preserve"> </w:t>
      </w:r>
      <w:r w:rsidR="00477D92">
        <w:t>at 28J-29C.</w:t>
      </w:r>
    </w:p>
  </w:footnote>
  <w:footnote w:id="25">
    <w:p w14:paraId="1412567C" w14:textId="2F9EAF81" w:rsidR="00107AF4" w:rsidRPr="00891D65" w:rsidRDefault="00107AF4" w:rsidP="00E711CF">
      <w:pPr>
        <w:pStyle w:val="FootnoteText"/>
        <w:spacing w:line="240" w:lineRule="auto"/>
        <w:rPr>
          <w:rFonts w:cs="Times New Roman"/>
          <w:lang w:val="en-US"/>
        </w:rPr>
      </w:pPr>
      <w:r w:rsidRPr="00891D65">
        <w:rPr>
          <w:rStyle w:val="FootnoteReference"/>
          <w:rFonts w:cs="Times New Roman"/>
        </w:rPr>
        <w:footnoteRef/>
      </w:r>
      <w:r w:rsidRPr="00891D65">
        <w:rPr>
          <w:rFonts w:cs="Times New Roman"/>
          <w:vertAlign w:val="superscript"/>
        </w:rPr>
        <w:t xml:space="preserve"> </w:t>
      </w:r>
      <w:r w:rsidRPr="00891D65">
        <w:rPr>
          <w:rFonts w:cs="Times New Roman"/>
          <w:lang w:val="en-US"/>
        </w:rPr>
        <w:t>Section 19</w:t>
      </w:r>
      <w:r w:rsidRPr="00891D65">
        <w:rPr>
          <w:rFonts w:cs="Times New Roman"/>
          <w:i/>
          <w:iCs/>
          <w:lang w:val="en-US"/>
        </w:rPr>
        <w:t>(d)</w:t>
      </w:r>
      <w:r w:rsidRPr="00891D65">
        <w:rPr>
          <w:rFonts w:cs="Times New Roman"/>
          <w:lang w:val="en-US"/>
        </w:rPr>
        <w:t xml:space="preserve"> provides:</w:t>
      </w:r>
    </w:p>
    <w:p w14:paraId="54101AC2" w14:textId="0ADB09CE" w:rsidR="00107AF4" w:rsidRPr="00891D65" w:rsidRDefault="00107AF4" w:rsidP="00E711CF">
      <w:pPr>
        <w:pStyle w:val="FootnoteText"/>
        <w:spacing w:line="240" w:lineRule="auto"/>
        <w:rPr>
          <w:rFonts w:cs="Times New Roman"/>
          <w:lang w:val="en-US"/>
        </w:rPr>
      </w:pPr>
      <w:r w:rsidRPr="00891D65">
        <w:rPr>
          <w:rFonts w:cs="Times New Roman"/>
          <w:lang w:val="en-US"/>
        </w:rPr>
        <w:t>‘The Supreme Court of Appeal or a Division exercising appeal jurisdiction may, in addition to any power as may specifically be provided for in any other law</w:t>
      </w:r>
      <w:r w:rsidR="001362BE" w:rsidRPr="00891D65">
        <w:rPr>
          <w:rFonts w:cs="Times New Roman"/>
          <w:lang w:val="en-US"/>
        </w:rPr>
        <w:t xml:space="preserve"> – </w:t>
      </w:r>
    </w:p>
    <w:p w14:paraId="2D0B1A69" w14:textId="3DED00E7" w:rsidR="00107AF4" w:rsidRPr="00891D65" w:rsidRDefault="00107AF4" w:rsidP="00E711CF">
      <w:pPr>
        <w:pStyle w:val="FootnoteText"/>
        <w:spacing w:line="240" w:lineRule="auto"/>
        <w:rPr>
          <w:rFonts w:cs="Times New Roman"/>
          <w:lang w:val="en-US"/>
        </w:rPr>
      </w:pPr>
      <w:r w:rsidRPr="00891D65">
        <w:rPr>
          <w:rFonts w:cs="Times New Roman"/>
          <w:lang w:val="en-US"/>
        </w:rPr>
        <w:t xml:space="preserve">. . . </w:t>
      </w:r>
    </w:p>
    <w:p w14:paraId="28B3C8FA" w14:textId="0E04E7AD" w:rsidR="00107AF4" w:rsidRPr="00891D65" w:rsidRDefault="00107AF4" w:rsidP="00E711CF">
      <w:pPr>
        <w:pStyle w:val="FootnoteText"/>
        <w:spacing w:line="240" w:lineRule="auto"/>
        <w:rPr>
          <w:rFonts w:cs="Times New Roman"/>
          <w:lang w:val="en-US"/>
        </w:rPr>
      </w:pPr>
      <w:r w:rsidRPr="00891D65">
        <w:rPr>
          <w:rFonts w:cs="Times New Roman"/>
          <w:i/>
          <w:iCs/>
          <w:lang w:val="en-US"/>
        </w:rPr>
        <w:t>(d)</w:t>
      </w:r>
      <w:r w:rsidR="001362BE" w:rsidRPr="00891D65">
        <w:rPr>
          <w:rFonts w:cs="Times New Roman"/>
          <w:lang w:val="en-US"/>
        </w:rPr>
        <w:t xml:space="preserve"> </w:t>
      </w:r>
      <w:r w:rsidRPr="00891D65">
        <w:rPr>
          <w:rFonts w:cs="Times New Roman"/>
          <w:lang w:val="en-US"/>
        </w:rPr>
        <w:t>confirm, amend or set aside the decision which is the subject of the appeal and render any decision which the circumstances may require.’</w:t>
      </w:r>
    </w:p>
  </w:footnote>
  <w:footnote w:id="26">
    <w:p w14:paraId="280DD583" w14:textId="17E73153" w:rsidR="00107AF4" w:rsidRPr="00891D65" w:rsidRDefault="00107AF4" w:rsidP="00E711CF">
      <w:pPr>
        <w:pStyle w:val="FootnoteText"/>
        <w:spacing w:line="240" w:lineRule="auto"/>
        <w:rPr>
          <w:rFonts w:cs="Times New Roman"/>
          <w:lang w:val="en-US"/>
        </w:rPr>
      </w:pPr>
      <w:r w:rsidRPr="00891D65">
        <w:rPr>
          <w:rStyle w:val="FootnoteReference"/>
          <w:rFonts w:cs="Times New Roman"/>
        </w:rPr>
        <w:footnoteRef/>
      </w:r>
      <w:r w:rsidRPr="00891D65">
        <w:rPr>
          <w:rFonts w:cs="Times New Roman"/>
          <w:vertAlign w:val="superscript"/>
        </w:rPr>
        <w:t xml:space="preserve"> </w:t>
      </w:r>
      <w:r w:rsidRPr="00891D65">
        <w:rPr>
          <w:rFonts w:cs="Times New Roman"/>
          <w:lang w:val="en-US"/>
        </w:rPr>
        <w:t>Rules 31(2)</w:t>
      </w:r>
      <w:r w:rsidRPr="00891D65">
        <w:rPr>
          <w:rFonts w:cs="Times New Roman"/>
          <w:i/>
          <w:iCs/>
          <w:lang w:val="en-US"/>
        </w:rPr>
        <w:t>(b)</w:t>
      </w:r>
      <w:r w:rsidRPr="00891D65">
        <w:rPr>
          <w:rFonts w:cs="Times New Roman"/>
          <w:lang w:val="en-US"/>
        </w:rPr>
        <w:t xml:space="preserve"> and 31(6) and Rule 42 deal with the amendment or rescission of judgments.</w:t>
      </w:r>
    </w:p>
  </w:footnote>
  <w:footnote w:id="27">
    <w:p w14:paraId="490215DE" w14:textId="2847EF8C" w:rsidR="00107AF4" w:rsidRPr="00891D65" w:rsidRDefault="00107AF4" w:rsidP="007431AE">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rPr>
        <w:t xml:space="preserve"> </w:t>
      </w:r>
      <w:r w:rsidRPr="00891D65">
        <w:rPr>
          <w:rStyle w:val="FootnoteReference"/>
          <w:rFonts w:cs="Times New Roman"/>
          <w:i/>
          <w:iCs/>
          <w:vertAlign w:val="baseline"/>
        </w:rPr>
        <w:t>Pheko and Others v Ekurhuleni Metropolitan Municipality (2)</w:t>
      </w:r>
      <w:r w:rsidRPr="00891D65">
        <w:rPr>
          <w:rStyle w:val="FootnoteReference"/>
          <w:rFonts w:cs="Times New Roman"/>
          <w:vertAlign w:val="baseline"/>
        </w:rPr>
        <w:t xml:space="preserve"> [2015] ZACC 10; 2015 (5) SA 600 (CC); 2015 (6) BCLR 711 (CC) paras 1 and</w:t>
      </w:r>
      <w:r w:rsidRPr="00891D65">
        <w:rPr>
          <w:rFonts w:cs="Times New Roman"/>
        </w:rPr>
        <w:t xml:space="preserve"> </w:t>
      </w:r>
      <w:r w:rsidRPr="00891D65">
        <w:rPr>
          <w:rStyle w:val="FootnoteReference"/>
          <w:rFonts w:cs="Times New Roman"/>
          <w:vertAlign w:val="baseline"/>
        </w:rPr>
        <w:t>2.</w:t>
      </w:r>
    </w:p>
  </w:footnote>
  <w:footnote w:id="28">
    <w:p w14:paraId="7AF133F2" w14:textId="77777777" w:rsidR="00107AF4" w:rsidRPr="00891D65" w:rsidRDefault="00107AF4" w:rsidP="007431AE">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rPr>
        <w:t xml:space="preserve"> </w:t>
      </w:r>
      <w:r w:rsidRPr="00891D65">
        <w:rPr>
          <w:rStyle w:val="FootnoteReference"/>
          <w:rFonts w:cs="Times New Roman"/>
          <w:i/>
          <w:iCs/>
          <w:vertAlign w:val="baseline"/>
        </w:rPr>
        <w:t>Provincial Government North West and Another v Tsoga Developers CC and Others</w:t>
      </w:r>
      <w:r w:rsidRPr="00891D65">
        <w:rPr>
          <w:rStyle w:val="FootnoteReference"/>
          <w:rFonts w:cs="Times New Roman"/>
          <w:vertAlign w:val="baseline"/>
        </w:rPr>
        <w:t xml:space="preserve"> [2016] ZACC 9; 2016 (5) BCLR 687 (CC).</w:t>
      </w:r>
    </w:p>
  </w:footnote>
  <w:footnote w:id="29">
    <w:p w14:paraId="1262BBFC" w14:textId="33885385" w:rsidR="00107AF4" w:rsidRPr="00234513" w:rsidRDefault="00107AF4" w:rsidP="00A346A8">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rPr>
        <w:t xml:space="preserve"> </w:t>
      </w:r>
      <w:r w:rsidR="001362BE" w:rsidRPr="00006CD4">
        <w:rPr>
          <w:rFonts w:cs="Times New Roman"/>
          <w:iCs/>
        </w:rPr>
        <w:t xml:space="preserve">Ibid </w:t>
      </w:r>
      <w:r w:rsidRPr="00234513">
        <w:rPr>
          <w:rStyle w:val="FootnoteReference"/>
          <w:rFonts w:cs="Times New Roman"/>
          <w:vertAlign w:val="baseline"/>
        </w:rPr>
        <w:t>para 52.</w:t>
      </w:r>
    </w:p>
  </w:footnote>
  <w:footnote w:id="30">
    <w:p w14:paraId="70D269C4" w14:textId="6C3585D7" w:rsidR="00107AF4" w:rsidRPr="00891D65" w:rsidRDefault="00107AF4" w:rsidP="00A346A8">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Fonts w:cs="Times New Roman"/>
        </w:rPr>
        <w:t>Ibid</w:t>
      </w:r>
      <w:r w:rsidRPr="00891D65">
        <w:rPr>
          <w:rStyle w:val="FootnoteReference"/>
          <w:rFonts w:cs="Times New Roman"/>
          <w:vertAlign w:val="baseline"/>
        </w:rPr>
        <w:t xml:space="preserve"> para 57.</w:t>
      </w:r>
      <w:r w:rsidRPr="00891D65">
        <w:rPr>
          <w:rFonts w:cs="Times New Roman"/>
        </w:rPr>
        <w:t xml:space="preserve"> This followed a similar </w:t>
      </w:r>
      <w:r w:rsidRPr="00891D65">
        <w:rPr>
          <w:rFonts w:cs="Times New Roman"/>
          <w:i/>
          <w:iCs/>
        </w:rPr>
        <w:t>dictum</w:t>
      </w:r>
      <w:r w:rsidRPr="00891D65">
        <w:rPr>
          <w:rFonts w:cs="Times New Roman"/>
        </w:rPr>
        <w:t xml:space="preserve"> in </w:t>
      </w:r>
      <w:r w:rsidRPr="00891D65">
        <w:rPr>
          <w:rFonts w:cs="Times New Roman"/>
          <w:i/>
        </w:rPr>
        <w:t>Bezuidenhout v Patensie Sitrus Beherend BPK</w:t>
      </w:r>
      <w:r w:rsidRPr="00891D65">
        <w:rPr>
          <w:rFonts w:cs="Times New Roman"/>
        </w:rPr>
        <w:t xml:space="preserve"> 2001 (2) SA 224 (E) at 229B-C</w:t>
      </w:r>
      <w:r w:rsidR="001362BE" w:rsidRPr="00891D65">
        <w:rPr>
          <w:rFonts w:cs="Times New Roman"/>
        </w:rPr>
        <w:t>,</w:t>
      </w:r>
      <w:r w:rsidRPr="00891D65">
        <w:rPr>
          <w:rFonts w:cs="Times New Roman"/>
        </w:rPr>
        <w:t xml:space="preserve"> which found favour with this Court in</w:t>
      </w:r>
      <w:r w:rsidRPr="00006CD4">
        <w:rPr>
          <w:rFonts w:cs="Times New Roman"/>
          <w:i/>
        </w:rPr>
        <w:t xml:space="preserve"> </w:t>
      </w:r>
      <w:r w:rsidRPr="006D3736">
        <w:rPr>
          <w:rFonts w:cs="Times New Roman"/>
          <w:i/>
        </w:rPr>
        <w:t xml:space="preserve">Dengetenge Holdings (Pty) Ltd v Southern Sphere Mining and Development Company Ltd </w:t>
      </w:r>
      <w:r w:rsidRPr="00891D65">
        <w:rPr>
          <w:rFonts w:cs="Times New Roman"/>
          <w:i/>
        </w:rPr>
        <w:t>and Others</w:t>
      </w:r>
      <w:r w:rsidRPr="00891D65">
        <w:rPr>
          <w:rFonts w:cs="Times New Roman"/>
        </w:rPr>
        <w:t xml:space="preserve"> [2013] ZASCA 5</w:t>
      </w:r>
      <w:r w:rsidR="00D833C1" w:rsidRPr="00891D65">
        <w:rPr>
          <w:rFonts w:cs="Times New Roman"/>
        </w:rPr>
        <w:t>; [2013] 2 All SA 251 (SCA)</w:t>
      </w:r>
      <w:r w:rsidRPr="00891D65">
        <w:rPr>
          <w:rFonts w:cs="Times New Roman"/>
        </w:rPr>
        <w:t xml:space="preserve"> para 17. </w:t>
      </w:r>
    </w:p>
  </w:footnote>
  <w:footnote w:id="31">
    <w:p w14:paraId="585330A7" w14:textId="44F76107" w:rsidR="00107AF4" w:rsidRPr="00891D65" w:rsidRDefault="00107AF4" w:rsidP="00A43085">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vertAlign w:val="baseline"/>
        </w:rPr>
        <w:t xml:space="preserve"> </w:t>
      </w:r>
      <w:r w:rsidRPr="00891D65">
        <w:rPr>
          <w:rStyle w:val="FootnoteReference"/>
          <w:rFonts w:cs="Times New Roman"/>
          <w:i/>
          <w:iCs/>
          <w:vertAlign w:val="baseline"/>
        </w:rPr>
        <w:t>Allpay Consolidated Investment Holdings (Pty) Ltd and Others v Chief Executive Officer of the South African Social Security Agency and Others (No 2)</w:t>
      </w:r>
      <w:r w:rsidRPr="00891D65">
        <w:rPr>
          <w:rStyle w:val="FootnoteReference"/>
          <w:rFonts w:cs="Times New Roman"/>
          <w:vertAlign w:val="baseline"/>
        </w:rPr>
        <w:t xml:space="preserve"> [2014] ZACC 12; 2014 (4) SA 179 (CC); 2014 (6) BCLR 641 (CC).</w:t>
      </w:r>
    </w:p>
  </w:footnote>
  <w:footnote w:id="32">
    <w:p w14:paraId="1EC1FF6D" w14:textId="04EF15F6" w:rsidR="00107AF4" w:rsidRPr="00891D65" w:rsidRDefault="00107AF4" w:rsidP="00E12B93">
      <w:pPr>
        <w:pStyle w:val="FootnoteText"/>
        <w:spacing w:line="240" w:lineRule="auto"/>
        <w:rPr>
          <w:rStyle w:val="FootnoteReference"/>
          <w:rFonts w:cs="Times New Roman"/>
          <w:vertAlign w:val="baseline"/>
        </w:rPr>
      </w:pPr>
      <w:r w:rsidRPr="00891D65">
        <w:rPr>
          <w:rStyle w:val="FootnoteReference"/>
          <w:rFonts w:cs="Times New Roman"/>
        </w:rPr>
        <w:footnoteRef/>
      </w:r>
      <w:r w:rsidRPr="00891D65">
        <w:rPr>
          <w:rStyle w:val="FootnoteReference"/>
          <w:rFonts w:cs="Times New Roman"/>
        </w:rPr>
        <w:t xml:space="preserve"> </w:t>
      </w:r>
      <w:r w:rsidRPr="00891D65">
        <w:rPr>
          <w:rStyle w:val="FootnoteReference"/>
          <w:rFonts w:cs="Times New Roman"/>
          <w:i/>
          <w:iCs/>
          <w:vertAlign w:val="baseline"/>
        </w:rPr>
        <w:t>Pheko (2)</w:t>
      </w:r>
      <w:r w:rsidRPr="00891D65">
        <w:rPr>
          <w:rFonts w:cs="Times New Roman"/>
        </w:rPr>
        <w:t xml:space="preserve"> </w:t>
      </w:r>
      <w:r w:rsidR="00D833C1" w:rsidRPr="00891D65">
        <w:rPr>
          <w:rFonts w:cs="Times New Roman"/>
        </w:rPr>
        <w:t xml:space="preserve">fn 32 above </w:t>
      </w:r>
      <w:r w:rsidRPr="00891D65">
        <w:rPr>
          <w:rFonts w:cs="Times New Roman"/>
        </w:rPr>
        <w:t>pa</w:t>
      </w:r>
      <w:r w:rsidRPr="00891D65">
        <w:rPr>
          <w:rStyle w:val="FootnoteReference"/>
          <w:rFonts w:cs="Times New Roman"/>
          <w:vertAlign w:val="baseline"/>
        </w:rPr>
        <w:t>ras 1 and</w:t>
      </w:r>
      <w:r w:rsidRPr="00891D65">
        <w:rPr>
          <w:rFonts w:cs="Times New Roman"/>
        </w:rPr>
        <w:t xml:space="preserve"> </w:t>
      </w:r>
      <w:r w:rsidRPr="00891D65">
        <w:rPr>
          <w:rStyle w:val="FootnoteReference"/>
          <w:rFonts w:cs="Times New Roman"/>
          <w:vertAlign w:val="baseline"/>
        </w:rPr>
        <w:t>2.</w:t>
      </w:r>
    </w:p>
  </w:footnote>
  <w:footnote w:id="33">
    <w:p w14:paraId="2CB93E6C" w14:textId="4811DF72" w:rsidR="00107AF4" w:rsidRPr="00891D65" w:rsidRDefault="00107AF4" w:rsidP="00E12B93">
      <w:pPr>
        <w:pStyle w:val="FootnoteText"/>
        <w:spacing w:line="240" w:lineRule="auto"/>
        <w:rPr>
          <w:rFonts w:cs="Times New Roman"/>
          <w:lang w:val="en-US"/>
        </w:rPr>
      </w:pPr>
      <w:r w:rsidRPr="00891D65">
        <w:rPr>
          <w:rStyle w:val="FootnoteReference"/>
          <w:rFonts w:cs="Times New Roman"/>
        </w:rPr>
        <w:footnoteRef/>
      </w:r>
      <w:r w:rsidRPr="00891D65">
        <w:rPr>
          <w:rFonts w:cs="Times New Roman"/>
          <w:lang w:val="en-US"/>
        </w:rPr>
        <w:t xml:space="preserve"> </w:t>
      </w:r>
      <w:r w:rsidRPr="00891D65">
        <w:rPr>
          <w:rFonts w:cs="Times New Roman"/>
          <w:i/>
          <w:iCs/>
        </w:rPr>
        <w:t>Secretary, Judicial Commission of Inquiry into Allegations of State Capture</w:t>
      </w:r>
      <w:r w:rsidR="00344FE4" w:rsidRPr="00891D65">
        <w:rPr>
          <w:rFonts w:cs="Times New Roman"/>
          <w:i/>
          <w:iCs/>
        </w:rPr>
        <w:t>,</w:t>
      </w:r>
      <w:r w:rsidRPr="00891D65">
        <w:rPr>
          <w:rFonts w:cs="Times New Roman"/>
          <w:i/>
          <w:iCs/>
        </w:rPr>
        <w:t xml:space="preserve"> </w:t>
      </w:r>
      <w:r w:rsidR="00344FE4" w:rsidRPr="00891D65">
        <w:rPr>
          <w:rFonts w:cs="Times New Roman"/>
          <w:i/>
          <w:iCs/>
        </w:rPr>
        <w:t xml:space="preserve">Corruption and Fraud in the Public Sector including Organs of State </w:t>
      </w:r>
      <w:r w:rsidRPr="00891D65">
        <w:rPr>
          <w:rFonts w:cs="Times New Roman"/>
          <w:i/>
          <w:iCs/>
        </w:rPr>
        <w:t>v Zuma</w:t>
      </w:r>
      <w:r w:rsidRPr="00891D65">
        <w:rPr>
          <w:rFonts w:cs="Times New Roman"/>
        </w:rPr>
        <w:t xml:space="preserve"> [2021] ZACC 18; 2021 (5) SA 327 (CC)</w:t>
      </w:r>
      <w:r w:rsidR="002D072E" w:rsidRPr="00891D65">
        <w:rPr>
          <w:rFonts w:cs="Times New Roman"/>
        </w:rPr>
        <w:t>; 2021 (9) BCLR 992 (CC)</w:t>
      </w:r>
      <w:r w:rsidRPr="00891D65">
        <w:rPr>
          <w:rFonts w:cs="Times New Roman"/>
          <w:lang w:val="en-US"/>
        </w:rPr>
        <w:t xml:space="preserve"> para 27.</w:t>
      </w:r>
    </w:p>
  </w:footnote>
  <w:footnote w:id="34">
    <w:p w14:paraId="639BD97F" w14:textId="61F3809D" w:rsidR="00107AF4" w:rsidRPr="00891D65" w:rsidRDefault="00107AF4" w:rsidP="00E12B93">
      <w:pPr>
        <w:pStyle w:val="FootnoteText"/>
        <w:spacing w:line="240" w:lineRule="auto"/>
        <w:rPr>
          <w:rFonts w:cs="Times New Roman"/>
          <w:lang w:val="en-US"/>
        </w:rPr>
      </w:pPr>
      <w:r w:rsidRPr="00891D65">
        <w:rPr>
          <w:rStyle w:val="FootnoteReference"/>
          <w:rFonts w:cs="Times New Roman"/>
        </w:rPr>
        <w:footnoteRef/>
      </w:r>
      <w:r w:rsidRPr="00891D65">
        <w:rPr>
          <w:rFonts w:cs="Times New Roman"/>
        </w:rPr>
        <w:t xml:space="preserve"> </w:t>
      </w:r>
      <w:r w:rsidRPr="00891D65">
        <w:rPr>
          <w:rFonts w:cs="Times New Roman"/>
          <w:i/>
          <w:iCs/>
        </w:rPr>
        <w:t>Mjeni v Minister of Health and Welfare, Eastern Cape</w:t>
      </w:r>
      <w:r w:rsidRPr="00891D65">
        <w:rPr>
          <w:rFonts w:cs="Times New Roman"/>
        </w:rPr>
        <w:t xml:space="preserve"> 2000 (4) SA 446 (Tk</w:t>
      </w:r>
      <w:r w:rsidR="00006CD4">
        <w:rPr>
          <w:rFonts w:cs="Times New Roman"/>
        </w:rPr>
        <w:t>H</w:t>
      </w:r>
      <w:r w:rsidRPr="00891D65">
        <w:rPr>
          <w:rFonts w:cs="Times New Roman"/>
        </w:rPr>
        <w:t xml:space="preserve">) at </w:t>
      </w:r>
      <w:r w:rsidRPr="00891D65">
        <w:rPr>
          <w:rStyle w:val="FootnoteReference"/>
          <w:rFonts w:cs="Times New Roman"/>
          <w:vertAlign w:val="baseline"/>
        </w:rPr>
        <w:t>453C-D.</w:t>
      </w:r>
      <w:r w:rsidRPr="00891D65">
        <w:rPr>
          <w:rFonts w:cs="Times New Roman"/>
        </w:rPr>
        <w:t xml:space="preserve"> Cited with approval in </w:t>
      </w:r>
      <w:r w:rsidRPr="00891D65">
        <w:rPr>
          <w:rFonts w:cs="Times New Roman"/>
          <w:i/>
          <w:iCs/>
        </w:rPr>
        <w:t>Nyathi v Member of the Executive Council for the Department of Health Gauteng and Another</w:t>
      </w:r>
      <w:r w:rsidRPr="00891D65">
        <w:rPr>
          <w:rFonts w:cs="Times New Roman"/>
        </w:rPr>
        <w:t xml:space="preserve"> [2008] ZACC 8; 2008 (5) SA 94 (CC); 2008 (9) BCLR 865 (CC).</w:t>
      </w:r>
    </w:p>
  </w:footnote>
  <w:footnote w:id="35">
    <w:p w14:paraId="4CFE7DFA" w14:textId="6E69E049" w:rsidR="00107AF4" w:rsidRPr="00891D65" w:rsidRDefault="00107AF4">
      <w:pPr>
        <w:pStyle w:val="FootnoteText"/>
        <w:rPr>
          <w:rFonts w:cs="Times New Roman"/>
          <w:lang w:val="en-US"/>
        </w:rPr>
      </w:pPr>
      <w:r w:rsidRPr="00891D65">
        <w:rPr>
          <w:rStyle w:val="FootnoteReference"/>
          <w:rFonts w:cs="Times New Roman"/>
        </w:rPr>
        <w:footnoteRef/>
      </w:r>
      <w:r w:rsidRPr="00891D65">
        <w:rPr>
          <w:rFonts w:cs="Times New Roman"/>
        </w:rPr>
        <w:t xml:space="preserve"> </w:t>
      </w:r>
      <w:r w:rsidRPr="00891D65">
        <w:rPr>
          <w:rFonts w:cs="Times New Roman"/>
          <w:i/>
          <w:iCs/>
        </w:rPr>
        <w:t>Pheko (2)</w:t>
      </w:r>
      <w:r w:rsidRPr="00891D65">
        <w:rPr>
          <w:rFonts w:cs="Times New Roman"/>
        </w:rPr>
        <w:t xml:space="preserve"> fn 32 para 1.</w:t>
      </w:r>
    </w:p>
  </w:footnote>
  <w:footnote w:id="36">
    <w:p w14:paraId="0CB56682" w14:textId="77777777" w:rsidR="00F54FF8" w:rsidRPr="00891D65" w:rsidRDefault="00F54FF8" w:rsidP="00F54FF8">
      <w:pPr>
        <w:pStyle w:val="FootnoteText"/>
        <w:spacing w:line="240" w:lineRule="auto"/>
        <w:rPr>
          <w:rFonts w:cs="Times New Roman"/>
          <w:lang w:val="en-US"/>
        </w:rPr>
      </w:pPr>
      <w:r w:rsidRPr="00891D65">
        <w:rPr>
          <w:rStyle w:val="FootnoteReference"/>
          <w:rFonts w:cs="Times New Roman"/>
        </w:rPr>
        <w:footnoteRef/>
      </w:r>
      <w:r w:rsidRPr="00891D65">
        <w:rPr>
          <w:rFonts w:cs="Times New Roman"/>
        </w:rPr>
        <w:t xml:space="preserve"> </w:t>
      </w:r>
      <w:r w:rsidRPr="00891D65">
        <w:rPr>
          <w:rFonts w:cs="Times New Roman"/>
          <w:i/>
          <w:iCs/>
        </w:rPr>
        <w:t>Bengwenyama Minerals (Pty) Ltd and Others v Genorah Resources (Pty) Ltd and Others</w:t>
      </w:r>
      <w:r w:rsidRPr="00891D65">
        <w:rPr>
          <w:rFonts w:cs="Times New Roman"/>
        </w:rPr>
        <w:t xml:space="preserve"> [2010] ZACC 26; 2011 (4) SA 113 (CC); 2011 (3) BCLR 229 (CC) para 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107AF4" w:rsidRDefault="00107A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107AF4" w:rsidRDefault="00107AF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70AEBA4B" w:rsidR="00107AF4" w:rsidRDefault="00107A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6C6">
      <w:rPr>
        <w:rStyle w:val="PageNumber"/>
        <w:noProof/>
      </w:rPr>
      <w:t>21</w:t>
    </w:r>
    <w:r>
      <w:rPr>
        <w:rStyle w:val="PageNumber"/>
      </w:rPr>
      <w:fldChar w:fldCharType="end"/>
    </w:r>
  </w:p>
  <w:p w14:paraId="0B7E1CB3" w14:textId="77777777" w:rsidR="00107AF4" w:rsidRDefault="00107AF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C3ECCA1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A35"/>
    <w:multiLevelType w:val="hybridMultilevel"/>
    <w:tmpl w:val="E10879FC"/>
    <w:lvl w:ilvl="0" w:tplc="F9E0D32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AF73EC"/>
    <w:multiLevelType w:val="hybridMultilevel"/>
    <w:tmpl w:val="E910C608"/>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942336B"/>
    <w:multiLevelType w:val="hybridMultilevel"/>
    <w:tmpl w:val="05A4A0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296CC1"/>
    <w:multiLevelType w:val="hybridMultilevel"/>
    <w:tmpl w:val="C6960A74"/>
    <w:lvl w:ilvl="0" w:tplc="FBCC62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91554B"/>
    <w:multiLevelType w:val="hybridMultilevel"/>
    <w:tmpl w:val="80F8245C"/>
    <w:lvl w:ilvl="0" w:tplc="0CCEBB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D75064"/>
    <w:multiLevelType w:val="hybridMultilevel"/>
    <w:tmpl w:val="D0ECA0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770EB1"/>
    <w:multiLevelType w:val="hybridMultilevel"/>
    <w:tmpl w:val="A010315C"/>
    <w:lvl w:ilvl="0" w:tplc="FFFFFFFF">
      <w:start w:val="1"/>
      <w:numFmt w:val="decimal"/>
      <w:lvlText w:val="[%1]"/>
      <w:lvlJc w:val="left"/>
      <w:pPr>
        <w:ind w:left="142" w:firstLine="0"/>
      </w:pPr>
      <w:rPr>
        <w:rFonts w:ascii="Times New Roman" w:hAnsi="Times New Roman"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40"/>
  </w:num>
  <w:num w:numId="3">
    <w:abstractNumId w:val="3"/>
  </w:num>
  <w:num w:numId="4">
    <w:abstractNumId w:val="15"/>
  </w:num>
  <w:num w:numId="5">
    <w:abstractNumId w:val="20"/>
  </w:num>
  <w:num w:numId="6">
    <w:abstractNumId w:val="24"/>
  </w:num>
  <w:num w:numId="7">
    <w:abstractNumId w:val="17"/>
  </w:num>
  <w:num w:numId="8">
    <w:abstractNumId w:val="28"/>
  </w:num>
  <w:num w:numId="9">
    <w:abstractNumId w:val="29"/>
  </w:num>
  <w:num w:numId="10">
    <w:abstractNumId w:val="13"/>
  </w:num>
  <w:num w:numId="11">
    <w:abstractNumId w:val="38"/>
  </w:num>
  <w:num w:numId="12">
    <w:abstractNumId w:val="25"/>
  </w:num>
  <w:num w:numId="13">
    <w:abstractNumId w:val="39"/>
  </w:num>
  <w:num w:numId="14">
    <w:abstractNumId w:val="43"/>
  </w:num>
  <w:num w:numId="15">
    <w:abstractNumId w:val="7"/>
  </w:num>
  <w:num w:numId="16">
    <w:abstractNumId w:val="26"/>
  </w:num>
  <w:num w:numId="17">
    <w:abstractNumId w:val="18"/>
  </w:num>
  <w:num w:numId="18">
    <w:abstractNumId w:val="34"/>
  </w:num>
  <w:num w:numId="19">
    <w:abstractNumId w:val="32"/>
  </w:num>
  <w:num w:numId="20">
    <w:abstractNumId w:val="35"/>
  </w:num>
  <w:num w:numId="21">
    <w:abstractNumId w:val="0"/>
  </w:num>
  <w:num w:numId="22">
    <w:abstractNumId w:val="42"/>
  </w:num>
  <w:num w:numId="23">
    <w:abstractNumId w:val="22"/>
  </w:num>
  <w:num w:numId="24">
    <w:abstractNumId w:val="6"/>
  </w:num>
  <w:num w:numId="25">
    <w:abstractNumId w:val="37"/>
  </w:num>
  <w:num w:numId="26">
    <w:abstractNumId w:val="36"/>
  </w:num>
  <w:num w:numId="27">
    <w:abstractNumId w:val="9"/>
  </w:num>
  <w:num w:numId="28">
    <w:abstractNumId w:val="30"/>
  </w:num>
  <w:num w:numId="29">
    <w:abstractNumId w:val="16"/>
  </w:num>
  <w:num w:numId="30">
    <w:abstractNumId w:val="5"/>
  </w:num>
  <w:num w:numId="31">
    <w:abstractNumId w:val="27"/>
  </w:num>
  <w:num w:numId="32">
    <w:abstractNumId w:val="21"/>
  </w:num>
  <w:num w:numId="33">
    <w:abstractNumId w:val="31"/>
  </w:num>
  <w:num w:numId="34">
    <w:abstractNumId w:val="41"/>
  </w:num>
  <w:num w:numId="35">
    <w:abstractNumId w:val="33"/>
  </w:num>
  <w:num w:numId="36">
    <w:abstractNumId w:val="23"/>
  </w:num>
  <w:num w:numId="37">
    <w:abstractNumId w:val="14"/>
  </w:num>
  <w:num w:numId="38">
    <w:abstractNumId w:val="10"/>
  </w:num>
  <w:num w:numId="39">
    <w:abstractNumId w:val="2"/>
  </w:num>
  <w:num w:numId="40">
    <w:abstractNumId w:val="11"/>
  </w:num>
  <w:num w:numId="41">
    <w:abstractNumId w:val="12"/>
  </w:num>
  <w:num w:numId="42">
    <w:abstractNumId w:val="4"/>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0504"/>
    <w:rsid w:val="00000629"/>
    <w:rsid w:val="00000932"/>
    <w:rsid w:val="00000D64"/>
    <w:rsid w:val="00000F23"/>
    <w:rsid w:val="00001622"/>
    <w:rsid w:val="000017C6"/>
    <w:rsid w:val="00001B1B"/>
    <w:rsid w:val="00002067"/>
    <w:rsid w:val="0000238D"/>
    <w:rsid w:val="00002623"/>
    <w:rsid w:val="000027CE"/>
    <w:rsid w:val="00002868"/>
    <w:rsid w:val="00003040"/>
    <w:rsid w:val="00003149"/>
    <w:rsid w:val="00003522"/>
    <w:rsid w:val="000035F0"/>
    <w:rsid w:val="00003B46"/>
    <w:rsid w:val="000041D2"/>
    <w:rsid w:val="00004416"/>
    <w:rsid w:val="00004571"/>
    <w:rsid w:val="0000465C"/>
    <w:rsid w:val="00004956"/>
    <w:rsid w:val="00004CA7"/>
    <w:rsid w:val="00004FC6"/>
    <w:rsid w:val="00005BFB"/>
    <w:rsid w:val="00006091"/>
    <w:rsid w:val="00006309"/>
    <w:rsid w:val="000063E1"/>
    <w:rsid w:val="0000656A"/>
    <w:rsid w:val="00006BB0"/>
    <w:rsid w:val="00006BC8"/>
    <w:rsid w:val="00006CD4"/>
    <w:rsid w:val="00006E75"/>
    <w:rsid w:val="00007199"/>
    <w:rsid w:val="000071A7"/>
    <w:rsid w:val="00007206"/>
    <w:rsid w:val="000073E1"/>
    <w:rsid w:val="000073E6"/>
    <w:rsid w:val="00007967"/>
    <w:rsid w:val="00007C99"/>
    <w:rsid w:val="00007DE2"/>
    <w:rsid w:val="000101C0"/>
    <w:rsid w:val="0001026E"/>
    <w:rsid w:val="000102E1"/>
    <w:rsid w:val="00010647"/>
    <w:rsid w:val="000108BC"/>
    <w:rsid w:val="00010BBC"/>
    <w:rsid w:val="00010F72"/>
    <w:rsid w:val="00011373"/>
    <w:rsid w:val="000113AF"/>
    <w:rsid w:val="000115EA"/>
    <w:rsid w:val="00011629"/>
    <w:rsid w:val="000117C2"/>
    <w:rsid w:val="00011A40"/>
    <w:rsid w:val="00011F0D"/>
    <w:rsid w:val="00012D85"/>
    <w:rsid w:val="000132FC"/>
    <w:rsid w:val="000134D2"/>
    <w:rsid w:val="000138F1"/>
    <w:rsid w:val="00013E9B"/>
    <w:rsid w:val="00014529"/>
    <w:rsid w:val="00014547"/>
    <w:rsid w:val="000145DC"/>
    <w:rsid w:val="00014864"/>
    <w:rsid w:val="00014C66"/>
    <w:rsid w:val="000154F3"/>
    <w:rsid w:val="00015578"/>
    <w:rsid w:val="0001558A"/>
    <w:rsid w:val="0001558F"/>
    <w:rsid w:val="0001559C"/>
    <w:rsid w:val="0001591A"/>
    <w:rsid w:val="000161A5"/>
    <w:rsid w:val="00016368"/>
    <w:rsid w:val="000163A4"/>
    <w:rsid w:val="000169E1"/>
    <w:rsid w:val="00016F8C"/>
    <w:rsid w:val="000170C6"/>
    <w:rsid w:val="0001750E"/>
    <w:rsid w:val="0001771F"/>
    <w:rsid w:val="00017777"/>
    <w:rsid w:val="00017A7A"/>
    <w:rsid w:val="00017F4A"/>
    <w:rsid w:val="0002015A"/>
    <w:rsid w:val="0002055D"/>
    <w:rsid w:val="0002073D"/>
    <w:rsid w:val="00020C1A"/>
    <w:rsid w:val="00022041"/>
    <w:rsid w:val="00022E68"/>
    <w:rsid w:val="00023823"/>
    <w:rsid w:val="00023A34"/>
    <w:rsid w:val="00023B13"/>
    <w:rsid w:val="00023E92"/>
    <w:rsid w:val="000241E9"/>
    <w:rsid w:val="000242CE"/>
    <w:rsid w:val="000248C7"/>
    <w:rsid w:val="00024925"/>
    <w:rsid w:val="00024DB7"/>
    <w:rsid w:val="00024E4D"/>
    <w:rsid w:val="00024E84"/>
    <w:rsid w:val="00025133"/>
    <w:rsid w:val="0002590B"/>
    <w:rsid w:val="00025A87"/>
    <w:rsid w:val="00025B1B"/>
    <w:rsid w:val="00025B2C"/>
    <w:rsid w:val="00025F5C"/>
    <w:rsid w:val="00026197"/>
    <w:rsid w:val="00026A00"/>
    <w:rsid w:val="00026D25"/>
    <w:rsid w:val="0002710E"/>
    <w:rsid w:val="00027466"/>
    <w:rsid w:val="00027632"/>
    <w:rsid w:val="0002772B"/>
    <w:rsid w:val="00027914"/>
    <w:rsid w:val="00027931"/>
    <w:rsid w:val="00027B17"/>
    <w:rsid w:val="00027C75"/>
    <w:rsid w:val="00027E77"/>
    <w:rsid w:val="00030116"/>
    <w:rsid w:val="0003041D"/>
    <w:rsid w:val="00030613"/>
    <w:rsid w:val="00030F79"/>
    <w:rsid w:val="000310FD"/>
    <w:rsid w:val="0003112D"/>
    <w:rsid w:val="000311E7"/>
    <w:rsid w:val="000313AF"/>
    <w:rsid w:val="00031871"/>
    <w:rsid w:val="000321B2"/>
    <w:rsid w:val="0003231E"/>
    <w:rsid w:val="0003233B"/>
    <w:rsid w:val="0003246A"/>
    <w:rsid w:val="00032621"/>
    <w:rsid w:val="00032BFE"/>
    <w:rsid w:val="00032E02"/>
    <w:rsid w:val="00033400"/>
    <w:rsid w:val="000334A8"/>
    <w:rsid w:val="0003396B"/>
    <w:rsid w:val="00033B50"/>
    <w:rsid w:val="00033D59"/>
    <w:rsid w:val="000341F9"/>
    <w:rsid w:val="000342AB"/>
    <w:rsid w:val="00034DF5"/>
    <w:rsid w:val="00034FD9"/>
    <w:rsid w:val="00035199"/>
    <w:rsid w:val="000361E2"/>
    <w:rsid w:val="00036218"/>
    <w:rsid w:val="0003644F"/>
    <w:rsid w:val="00036FD3"/>
    <w:rsid w:val="0003731F"/>
    <w:rsid w:val="000378FC"/>
    <w:rsid w:val="00037A68"/>
    <w:rsid w:val="000404EA"/>
    <w:rsid w:val="000409A4"/>
    <w:rsid w:val="00040A1A"/>
    <w:rsid w:val="00040D26"/>
    <w:rsid w:val="00040D67"/>
    <w:rsid w:val="00040E09"/>
    <w:rsid w:val="0004105A"/>
    <w:rsid w:val="00041536"/>
    <w:rsid w:val="000415B2"/>
    <w:rsid w:val="000416B5"/>
    <w:rsid w:val="000417D7"/>
    <w:rsid w:val="0004224A"/>
    <w:rsid w:val="0004248F"/>
    <w:rsid w:val="0004250D"/>
    <w:rsid w:val="00042B11"/>
    <w:rsid w:val="00043435"/>
    <w:rsid w:val="00043789"/>
    <w:rsid w:val="00043FF4"/>
    <w:rsid w:val="0004403B"/>
    <w:rsid w:val="00044627"/>
    <w:rsid w:val="00044628"/>
    <w:rsid w:val="0004503C"/>
    <w:rsid w:val="00045D07"/>
    <w:rsid w:val="000465B4"/>
    <w:rsid w:val="00046C7D"/>
    <w:rsid w:val="00046CD2"/>
    <w:rsid w:val="00046D6A"/>
    <w:rsid w:val="00047451"/>
    <w:rsid w:val="000474FA"/>
    <w:rsid w:val="00047699"/>
    <w:rsid w:val="0004788A"/>
    <w:rsid w:val="0004788F"/>
    <w:rsid w:val="00047A69"/>
    <w:rsid w:val="00050019"/>
    <w:rsid w:val="00050270"/>
    <w:rsid w:val="00050372"/>
    <w:rsid w:val="00050A2C"/>
    <w:rsid w:val="00050C79"/>
    <w:rsid w:val="000511B6"/>
    <w:rsid w:val="000514C7"/>
    <w:rsid w:val="000517D2"/>
    <w:rsid w:val="0005184B"/>
    <w:rsid w:val="000518AC"/>
    <w:rsid w:val="00051E94"/>
    <w:rsid w:val="00051EB2"/>
    <w:rsid w:val="0005269A"/>
    <w:rsid w:val="00052AAC"/>
    <w:rsid w:val="00052C88"/>
    <w:rsid w:val="000537E4"/>
    <w:rsid w:val="00053A0E"/>
    <w:rsid w:val="00053B76"/>
    <w:rsid w:val="00053CD1"/>
    <w:rsid w:val="00053D0A"/>
    <w:rsid w:val="00053D62"/>
    <w:rsid w:val="00054217"/>
    <w:rsid w:val="00054487"/>
    <w:rsid w:val="000545D4"/>
    <w:rsid w:val="00054B84"/>
    <w:rsid w:val="000550C2"/>
    <w:rsid w:val="0005535D"/>
    <w:rsid w:val="0005559C"/>
    <w:rsid w:val="00055A4B"/>
    <w:rsid w:val="00055BA3"/>
    <w:rsid w:val="00055BCB"/>
    <w:rsid w:val="00055BE1"/>
    <w:rsid w:val="000560CA"/>
    <w:rsid w:val="00056342"/>
    <w:rsid w:val="00056CB4"/>
    <w:rsid w:val="00056FC7"/>
    <w:rsid w:val="000576DE"/>
    <w:rsid w:val="00057AC9"/>
    <w:rsid w:val="00057B05"/>
    <w:rsid w:val="00057FDD"/>
    <w:rsid w:val="0006044F"/>
    <w:rsid w:val="00060CCD"/>
    <w:rsid w:val="00061258"/>
    <w:rsid w:val="00061362"/>
    <w:rsid w:val="00061410"/>
    <w:rsid w:val="00061800"/>
    <w:rsid w:val="00061DB5"/>
    <w:rsid w:val="00062040"/>
    <w:rsid w:val="000620AB"/>
    <w:rsid w:val="000626DB"/>
    <w:rsid w:val="00062727"/>
    <w:rsid w:val="00062B38"/>
    <w:rsid w:val="0006320B"/>
    <w:rsid w:val="000634C7"/>
    <w:rsid w:val="000637B1"/>
    <w:rsid w:val="000637E5"/>
    <w:rsid w:val="000640FB"/>
    <w:rsid w:val="0006422E"/>
    <w:rsid w:val="00064E0C"/>
    <w:rsid w:val="000651AC"/>
    <w:rsid w:val="000651F5"/>
    <w:rsid w:val="00065739"/>
    <w:rsid w:val="00065A80"/>
    <w:rsid w:val="00066366"/>
    <w:rsid w:val="00066D57"/>
    <w:rsid w:val="00066D9A"/>
    <w:rsid w:val="00067117"/>
    <w:rsid w:val="0006786B"/>
    <w:rsid w:val="000679AF"/>
    <w:rsid w:val="00067C90"/>
    <w:rsid w:val="00067E5F"/>
    <w:rsid w:val="000708DD"/>
    <w:rsid w:val="0007138B"/>
    <w:rsid w:val="00071420"/>
    <w:rsid w:val="000716E0"/>
    <w:rsid w:val="0007184E"/>
    <w:rsid w:val="00072059"/>
    <w:rsid w:val="000722C0"/>
    <w:rsid w:val="00072BC2"/>
    <w:rsid w:val="00072D04"/>
    <w:rsid w:val="00072E6E"/>
    <w:rsid w:val="000734B9"/>
    <w:rsid w:val="00073662"/>
    <w:rsid w:val="000736B9"/>
    <w:rsid w:val="00074C9D"/>
    <w:rsid w:val="000750AF"/>
    <w:rsid w:val="0007548B"/>
    <w:rsid w:val="00076181"/>
    <w:rsid w:val="00076194"/>
    <w:rsid w:val="000762F1"/>
    <w:rsid w:val="00076360"/>
    <w:rsid w:val="00076A92"/>
    <w:rsid w:val="00076E15"/>
    <w:rsid w:val="00076ED3"/>
    <w:rsid w:val="000771A6"/>
    <w:rsid w:val="0007762C"/>
    <w:rsid w:val="000777BC"/>
    <w:rsid w:val="000779D7"/>
    <w:rsid w:val="000779EF"/>
    <w:rsid w:val="00077C4C"/>
    <w:rsid w:val="00077D8A"/>
    <w:rsid w:val="000802F2"/>
    <w:rsid w:val="000803D5"/>
    <w:rsid w:val="00080643"/>
    <w:rsid w:val="00080786"/>
    <w:rsid w:val="000807AD"/>
    <w:rsid w:val="00080D84"/>
    <w:rsid w:val="0008135D"/>
    <w:rsid w:val="000818EA"/>
    <w:rsid w:val="00081A89"/>
    <w:rsid w:val="00082A3D"/>
    <w:rsid w:val="00082E7A"/>
    <w:rsid w:val="00083BD1"/>
    <w:rsid w:val="00083CA7"/>
    <w:rsid w:val="00084154"/>
    <w:rsid w:val="00084164"/>
    <w:rsid w:val="000842F3"/>
    <w:rsid w:val="00084427"/>
    <w:rsid w:val="000845D8"/>
    <w:rsid w:val="00084AE2"/>
    <w:rsid w:val="00085609"/>
    <w:rsid w:val="00085C34"/>
    <w:rsid w:val="000863B6"/>
    <w:rsid w:val="000863F6"/>
    <w:rsid w:val="0008646A"/>
    <w:rsid w:val="000866AD"/>
    <w:rsid w:val="000866BB"/>
    <w:rsid w:val="00086942"/>
    <w:rsid w:val="00086C93"/>
    <w:rsid w:val="000870A2"/>
    <w:rsid w:val="00087302"/>
    <w:rsid w:val="000875CB"/>
    <w:rsid w:val="000875F8"/>
    <w:rsid w:val="00087BAD"/>
    <w:rsid w:val="00087BF9"/>
    <w:rsid w:val="00087D0E"/>
    <w:rsid w:val="00087F86"/>
    <w:rsid w:val="0009022C"/>
    <w:rsid w:val="000906B8"/>
    <w:rsid w:val="000906C8"/>
    <w:rsid w:val="00090AAC"/>
    <w:rsid w:val="00090B75"/>
    <w:rsid w:val="00090D0B"/>
    <w:rsid w:val="00090F1A"/>
    <w:rsid w:val="00091096"/>
    <w:rsid w:val="00091940"/>
    <w:rsid w:val="00091A6F"/>
    <w:rsid w:val="00091DCC"/>
    <w:rsid w:val="00092083"/>
    <w:rsid w:val="00092338"/>
    <w:rsid w:val="00092377"/>
    <w:rsid w:val="00092BE3"/>
    <w:rsid w:val="00092F87"/>
    <w:rsid w:val="00093030"/>
    <w:rsid w:val="000937F9"/>
    <w:rsid w:val="00093921"/>
    <w:rsid w:val="00093986"/>
    <w:rsid w:val="000939D6"/>
    <w:rsid w:val="00093EAF"/>
    <w:rsid w:val="00094098"/>
    <w:rsid w:val="00094160"/>
    <w:rsid w:val="00094465"/>
    <w:rsid w:val="0009473F"/>
    <w:rsid w:val="00094EB8"/>
    <w:rsid w:val="00094EBE"/>
    <w:rsid w:val="000956EF"/>
    <w:rsid w:val="00095ABA"/>
    <w:rsid w:val="00095C60"/>
    <w:rsid w:val="00096286"/>
    <w:rsid w:val="000962BF"/>
    <w:rsid w:val="00096910"/>
    <w:rsid w:val="00096A52"/>
    <w:rsid w:val="00096B0E"/>
    <w:rsid w:val="000974C7"/>
    <w:rsid w:val="0009759F"/>
    <w:rsid w:val="00097704"/>
    <w:rsid w:val="00097A26"/>
    <w:rsid w:val="000A089E"/>
    <w:rsid w:val="000A0A9E"/>
    <w:rsid w:val="000A0C77"/>
    <w:rsid w:val="000A17B7"/>
    <w:rsid w:val="000A1916"/>
    <w:rsid w:val="000A1F81"/>
    <w:rsid w:val="000A228F"/>
    <w:rsid w:val="000A252E"/>
    <w:rsid w:val="000A2E4C"/>
    <w:rsid w:val="000A3169"/>
    <w:rsid w:val="000A3395"/>
    <w:rsid w:val="000A34A7"/>
    <w:rsid w:val="000A3769"/>
    <w:rsid w:val="000A38D6"/>
    <w:rsid w:val="000A3D8E"/>
    <w:rsid w:val="000A3E1C"/>
    <w:rsid w:val="000A3E8C"/>
    <w:rsid w:val="000A4759"/>
    <w:rsid w:val="000A50AB"/>
    <w:rsid w:val="000A5280"/>
    <w:rsid w:val="000A5721"/>
    <w:rsid w:val="000A59D8"/>
    <w:rsid w:val="000A5B7B"/>
    <w:rsid w:val="000A5C30"/>
    <w:rsid w:val="000A5CFE"/>
    <w:rsid w:val="000A5F82"/>
    <w:rsid w:val="000A6340"/>
    <w:rsid w:val="000A6867"/>
    <w:rsid w:val="000A6908"/>
    <w:rsid w:val="000A6A1F"/>
    <w:rsid w:val="000A6E9D"/>
    <w:rsid w:val="000A70BC"/>
    <w:rsid w:val="000A756B"/>
    <w:rsid w:val="000A774D"/>
    <w:rsid w:val="000A7807"/>
    <w:rsid w:val="000A7A80"/>
    <w:rsid w:val="000A7B3E"/>
    <w:rsid w:val="000B014E"/>
    <w:rsid w:val="000B0BC9"/>
    <w:rsid w:val="000B112C"/>
    <w:rsid w:val="000B12AA"/>
    <w:rsid w:val="000B1322"/>
    <w:rsid w:val="000B176D"/>
    <w:rsid w:val="000B1BE6"/>
    <w:rsid w:val="000B24A8"/>
    <w:rsid w:val="000B2C47"/>
    <w:rsid w:val="000B30EB"/>
    <w:rsid w:val="000B3FD8"/>
    <w:rsid w:val="000B4386"/>
    <w:rsid w:val="000B4535"/>
    <w:rsid w:val="000B4B8D"/>
    <w:rsid w:val="000B4E2B"/>
    <w:rsid w:val="000B5162"/>
    <w:rsid w:val="000B52A8"/>
    <w:rsid w:val="000B58FA"/>
    <w:rsid w:val="000B6352"/>
    <w:rsid w:val="000B6733"/>
    <w:rsid w:val="000B6773"/>
    <w:rsid w:val="000B6B9C"/>
    <w:rsid w:val="000B6DF8"/>
    <w:rsid w:val="000B700A"/>
    <w:rsid w:val="000B7381"/>
    <w:rsid w:val="000B75FB"/>
    <w:rsid w:val="000B7734"/>
    <w:rsid w:val="000B7EED"/>
    <w:rsid w:val="000C02AF"/>
    <w:rsid w:val="000C05EB"/>
    <w:rsid w:val="000C076E"/>
    <w:rsid w:val="000C0A22"/>
    <w:rsid w:val="000C0D87"/>
    <w:rsid w:val="000C0DB9"/>
    <w:rsid w:val="000C0E32"/>
    <w:rsid w:val="000C10A2"/>
    <w:rsid w:val="000C1220"/>
    <w:rsid w:val="000C13E7"/>
    <w:rsid w:val="000C1BA8"/>
    <w:rsid w:val="000C21F6"/>
    <w:rsid w:val="000C23D0"/>
    <w:rsid w:val="000C2612"/>
    <w:rsid w:val="000C3A4F"/>
    <w:rsid w:val="000C3D53"/>
    <w:rsid w:val="000C3D6E"/>
    <w:rsid w:val="000C3DAA"/>
    <w:rsid w:val="000C3E95"/>
    <w:rsid w:val="000C4637"/>
    <w:rsid w:val="000C47C4"/>
    <w:rsid w:val="000C4905"/>
    <w:rsid w:val="000C49AE"/>
    <w:rsid w:val="000C4A67"/>
    <w:rsid w:val="000C4B9E"/>
    <w:rsid w:val="000C4C2F"/>
    <w:rsid w:val="000C4CB0"/>
    <w:rsid w:val="000C4D78"/>
    <w:rsid w:val="000C4DC7"/>
    <w:rsid w:val="000C631A"/>
    <w:rsid w:val="000C640E"/>
    <w:rsid w:val="000C648A"/>
    <w:rsid w:val="000C7CAD"/>
    <w:rsid w:val="000C7F6C"/>
    <w:rsid w:val="000C7FCB"/>
    <w:rsid w:val="000D0BA0"/>
    <w:rsid w:val="000D0E29"/>
    <w:rsid w:val="000D11A3"/>
    <w:rsid w:val="000D171D"/>
    <w:rsid w:val="000D26B4"/>
    <w:rsid w:val="000D2721"/>
    <w:rsid w:val="000D2758"/>
    <w:rsid w:val="000D2B28"/>
    <w:rsid w:val="000D2DE9"/>
    <w:rsid w:val="000D352C"/>
    <w:rsid w:val="000D3660"/>
    <w:rsid w:val="000D3A50"/>
    <w:rsid w:val="000D3C41"/>
    <w:rsid w:val="000D4029"/>
    <w:rsid w:val="000D42C4"/>
    <w:rsid w:val="000D4D36"/>
    <w:rsid w:val="000D4E66"/>
    <w:rsid w:val="000D5021"/>
    <w:rsid w:val="000D510A"/>
    <w:rsid w:val="000D511B"/>
    <w:rsid w:val="000D5544"/>
    <w:rsid w:val="000D5997"/>
    <w:rsid w:val="000D5A7E"/>
    <w:rsid w:val="000D64C8"/>
    <w:rsid w:val="000D6867"/>
    <w:rsid w:val="000D6EE2"/>
    <w:rsid w:val="000D72F0"/>
    <w:rsid w:val="000D77F7"/>
    <w:rsid w:val="000D7C37"/>
    <w:rsid w:val="000D7E3D"/>
    <w:rsid w:val="000D7FF9"/>
    <w:rsid w:val="000E026D"/>
    <w:rsid w:val="000E02BE"/>
    <w:rsid w:val="000E0CEA"/>
    <w:rsid w:val="000E0F82"/>
    <w:rsid w:val="000E121F"/>
    <w:rsid w:val="000E13E1"/>
    <w:rsid w:val="000E1BC0"/>
    <w:rsid w:val="000E1D38"/>
    <w:rsid w:val="000E20AF"/>
    <w:rsid w:val="000E20B3"/>
    <w:rsid w:val="000E267F"/>
    <w:rsid w:val="000E2A2D"/>
    <w:rsid w:val="000E2CD7"/>
    <w:rsid w:val="000E2D57"/>
    <w:rsid w:val="000E2DAF"/>
    <w:rsid w:val="000E3560"/>
    <w:rsid w:val="000E459A"/>
    <w:rsid w:val="000E481D"/>
    <w:rsid w:val="000E49E4"/>
    <w:rsid w:val="000E4C4C"/>
    <w:rsid w:val="000E4DA2"/>
    <w:rsid w:val="000E4DAC"/>
    <w:rsid w:val="000E5633"/>
    <w:rsid w:val="000E5C89"/>
    <w:rsid w:val="000E60D6"/>
    <w:rsid w:val="000E611B"/>
    <w:rsid w:val="000E62F0"/>
    <w:rsid w:val="000E65FA"/>
    <w:rsid w:val="000E693D"/>
    <w:rsid w:val="000E71FB"/>
    <w:rsid w:val="000E7295"/>
    <w:rsid w:val="000E77E6"/>
    <w:rsid w:val="000E7D79"/>
    <w:rsid w:val="000F0517"/>
    <w:rsid w:val="000F0609"/>
    <w:rsid w:val="000F0A0C"/>
    <w:rsid w:val="000F0BBC"/>
    <w:rsid w:val="000F0D97"/>
    <w:rsid w:val="000F0FEF"/>
    <w:rsid w:val="000F1190"/>
    <w:rsid w:val="000F1AFE"/>
    <w:rsid w:val="000F1BFA"/>
    <w:rsid w:val="000F1DBB"/>
    <w:rsid w:val="000F1F3D"/>
    <w:rsid w:val="000F2A71"/>
    <w:rsid w:val="000F2A7B"/>
    <w:rsid w:val="000F321E"/>
    <w:rsid w:val="000F33F2"/>
    <w:rsid w:val="000F3491"/>
    <w:rsid w:val="000F412C"/>
    <w:rsid w:val="000F4265"/>
    <w:rsid w:val="000F451B"/>
    <w:rsid w:val="000F45D4"/>
    <w:rsid w:val="000F48BC"/>
    <w:rsid w:val="000F5208"/>
    <w:rsid w:val="000F53C2"/>
    <w:rsid w:val="000F597C"/>
    <w:rsid w:val="000F5D81"/>
    <w:rsid w:val="000F5FE3"/>
    <w:rsid w:val="000F6022"/>
    <w:rsid w:val="000F6183"/>
    <w:rsid w:val="000F670E"/>
    <w:rsid w:val="000F6BB3"/>
    <w:rsid w:val="000F772D"/>
    <w:rsid w:val="000F7B7B"/>
    <w:rsid w:val="000F7B9F"/>
    <w:rsid w:val="000F7BAC"/>
    <w:rsid w:val="000F7EB2"/>
    <w:rsid w:val="0010009D"/>
    <w:rsid w:val="0010052F"/>
    <w:rsid w:val="00100687"/>
    <w:rsid w:val="001007F1"/>
    <w:rsid w:val="001012A3"/>
    <w:rsid w:val="00101537"/>
    <w:rsid w:val="0010182F"/>
    <w:rsid w:val="00101F50"/>
    <w:rsid w:val="00102441"/>
    <w:rsid w:val="00102972"/>
    <w:rsid w:val="001029BC"/>
    <w:rsid w:val="00102B7F"/>
    <w:rsid w:val="00102E96"/>
    <w:rsid w:val="00103033"/>
    <w:rsid w:val="00103716"/>
    <w:rsid w:val="00103B07"/>
    <w:rsid w:val="00103E0C"/>
    <w:rsid w:val="00103E9A"/>
    <w:rsid w:val="00103F66"/>
    <w:rsid w:val="00104A9B"/>
    <w:rsid w:val="00104AAA"/>
    <w:rsid w:val="00105869"/>
    <w:rsid w:val="00105CB5"/>
    <w:rsid w:val="001060F2"/>
    <w:rsid w:val="001064DD"/>
    <w:rsid w:val="00106B30"/>
    <w:rsid w:val="00106FC2"/>
    <w:rsid w:val="001074E1"/>
    <w:rsid w:val="00107512"/>
    <w:rsid w:val="00107558"/>
    <w:rsid w:val="00107884"/>
    <w:rsid w:val="00107AF4"/>
    <w:rsid w:val="00107CC3"/>
    <w:rsid w:val="00107E4F"/>
    <w:rsid w:val="00110024"/>
    <w:rsid w:val="00110585"/>
    <w:rsid w:val="00110AE0"/>
    <w:rsid w:val="00110B99"/>
    <w:rsid w:val="00110D7E"/>
    <w:rsid w:val="00110F8C"/>
    <w:rsid w:val="00111092"/>
    <w:rsid w:val="0011146B"/>
    <w:rsid w:val="00111637"/>
    <w:rsid w:val="00111728"/>
    <w:rsid w:val="001117CB"/>
    <w:rsid w:val="00112072"/>
    <w:rsid w:val="0011211A"/>
    <w:rsid w:val="00112303"/>
    <w:rsid w:val="00112EEF"/>
    <w:rsid w:val="00112FCE"/>
    <w:rsid w:val="00113136"/>
    <w:rsid w:val="001139CF"/>
    <w:rsid w:val="00113CE9"/>
    <w:rsid w:val="00114132"/>
    <w:rsid w:val="0011436D"/>
    <w:rsid w:val="001145E1"/>
    <w:rsid w:val="00114AC8"/>
    <w:rsid w:val="00114CC9"/>
    <w:rsid w:val="00114F52"/>
    <w:rsid w:val="0011516A"/>
    <w:rsid w:val="001151E8"/>
    <w:rsid w:val="00115A79"/>
    <w:rsid w:val="00116347"/>
    <w:rsid w:val="00116400"/>
    <w:rsid w:val="00116CC6"/>
    <w:rsid w:val="00116E62"/>
    <w:rsid w:val="00116F71"/>
    <w:rsid w:val="00116FB7"/>
    <w:rsid w:val="00117578"/>
    <w:rsid w:val="001179CB"/>
    <w:rsid w:val="00117B08"/>
    <w:rsid w:val="00120067"/>
    <w:rsid w:val="001200CE"/>
    <w:rsid w:val="001208AD"/>
    <w:rsid w:val="001209DA"/>
    <w:rsid w:val="0012147E"/>
    <w:rsid w:val="0012159F"/>
    <w:rsid w:val="001215C8"/>
    <w:rsid w:val="00121A92"/>
    <w:rsid w:val="0012213F"/>
    <w:rsid w:val="0012282A"/>
    <w:rsid w:val="00122CE5"/>
    <w:rsid w:val="00122D84"/>
    <w:rsid w:val="00122F87"/>
    <w:rsid w:val="001232D5"/>
    <w:rsid w:val="00123576"/>
    <w:rsid w:val="00123870"/>
    <w:rsid w:val="0012395E"/>
    <w:rsid w:val="00123C0B"/>
    <w:rsid w:val="00124018"/>
    <w:rsid w:val="00124130"/>
    <w:rsid w:val="001245BC"/>
    <w:rsid w:val="00124F21"/>
    <w:rsid w:val="00125800"/>
    <w:rsid w:val="001259B4"/>
    <w:rsid w:val="001259BD"/>
    <w:rsid w:val="00125AF2"/>
    <w:rsid w:val="00125F9E"/>
    <w:rsid w:val="00126156"/>
    <w:rsid w:val="0012633E"/>
    <w:rsid w:val="0012669A"/>
    <w:rsid w:val="001269DB"/>
    <w:rsid w:val="00126C95"/>
    <w:rsid w:val="00126ECF"/>
    <w:rsid w:val="0012734A"/>
    <w:rsid w:val="00127549"/>
    <w:rsid w:val="001277A6"/>
    <w:rsid w:val="00127927"/>
    <w:rsid w:val="00127B00"/>
    <w:rsid w:val="00127B01"/>
    <w:rsid w:val="00127BC4"/>
    <w:rsid w:val="00127C81"/>
    <w:rsid w:val="001300FB"/>
    <w:rsid w:val="00130283"/>
    <w:rsid w:val="0013032C"/>
    <w:rsid w:val="001304E2"/>
    <w:rsid w:val="001306FF"/>
    <w:rsid w:val="00130737"/>
    <w:rsid w:val="00130791"/>
    <w:rsid w:val="00130E15"/>
    <w:rsid w:val="00130F86"/>
    <w:rsid w:val="00130F98"/>
    <w:rsid w:val="00130FA8"/>
    <w:rsid w:val="0013184C"/>
    <w:rsid w:val="00132213"/>
    <w:rsid w:val="00132308"/>
    <w:rsid w:val="0013237D"/>
    <w:rsid w:val="001323D7"/>
    <w:rsid w:val="001325A7"/>
    <w:rsid w:val="00133C42"/>
    <w:rsid w:val="0013403F"/>
    <w:rsid w:val="0013410C"/>
    <w:rsid w:val="00134779"/>
    <w:rsid w:val="00134AEF"/>
    <w:rsid w:val="00134BA8"/>
    <w:rsid w:val="00134DE7"/>
    <w:rsid w:val="00134E8B"/>
    <w:rsid w:val="0013596B"/>
    <w:rsid w:val="001359B4"/>
    <w:rsid w:val="00135E32"/>
    <w:rsid w:val="00135EB1"/>
    <w:rsid w:val="001360B9"/>
    <w:rsid w:val="001361A9"/>
    <w:rsid w:val="00136257"/>
    <w:rsid w:val="001362A1"/>
    <w:rsid w:val="001362BE"/>
    <w:rsid w:val="0013666E"/>
    <w:rsid w:val="0013698F"/>
    <w:rsid w:val="00136E71"/>
    <w:rsid w:val="00137135"/>
    <w:rsid w:val="0013747F"/>
    <w:rsid w:val="0013760E"/>
    <w:rsid w:val="0013797E"/>
    <w:rsid w:val="00137D38"/>
    <w:rsid w:val="00137E49"/>
    <w:rsid w:val="00137E94"/>
    <w:rsid w:val="0014003E"/>
    <w:rsid w:val="00140C33"/>
    <w:rsid w:val="00141649"/>
    <w:rsid w:val="00141E35"/>
    <w:rsid w:val="00142A1F"/>
    <w:rsid w:val="00142B80"/>
    <w:rsid w:val="00143577"/>
    <w:rsid w:val="0014380C"/>
    <w:rsid w:val="001439EC"/>
    <w:rsid w:val="00144276"/>
    <w:rsid w:val="001442D6"/>
    <w:rsid w:val="00144704"/>
    <w:rsid w:val="00144FAE"/>
    <w:rsid w:val="001450FD"/>
    <w:rsid w:val="00145444"/>
    <w:rsid w:val="00145464"/>
    <w:rsid w:val="00145745"/>
    <w:rsid w:val="00145782"/>
    <w:rsid w:val="00146051"/>
    <w:rsid w:val="001463FD"/>
    <w:rsid w:val="00146498"/>
    <w:rsid w:val="001464E4"/>
    <w:rsid w:val="001469DE"/>
    <w:rsid w:val="001472A0"/>
    <w:rsid w:val="00147480"/>
    <w:rsid w:val="001476F3"/>
    <w:rsid w:val="0014771B"/>
    <w:rsid w:val="0014773F"/>
    <w:rsid w:val="00147ACD"/>
    <w:rsid w:val="00147DCD"/>
    <w:rsid w:val="0015002B"/>
    <w:rsid w:val="001500C6"/>
    <w:rsid w:val="00150102"/>
    <w:rsid w:val="001501BE"/>
    <w:rsid w:val="0015056E"/>
    <w:rsid w:val="001508F7"/>
    <w:rsid w:val="00150C8C"/>
    <w:rsid w:val="001517FC"/>
    <w:rsid w:val="00151A48"/>
    <w:rsid w:val="00151A93"/>
    <w:rsid w:val="00151D08"/>
    <w:rsid w:val="00151E7A"/>
    <w:rsid w:val="001527CC"/>
    <w:rsid w:val="00152BCF"/>
    <w:rsid w:val="00152D1C"/>
    <w:rsid w:val="001530EC"/>
    <w:rsid w:val="0015313C"/>
    <w:rsid w:val="0015327E"/>
    <w:rsid w:val="001533FE"/>
    <w:rsid w:val="00153F7F"/>
    <w:rsid w:val="0015417D"/>
    <w:rsid w:val="0015427C"/>
    <w:rsid w:val="001544E6"/>
    <w:rsid w:val="0015487C"/>
    <w:rsid w:val="00154EBE"/>
    <w:rsid w:val="00155C0A"/>
    <w:rsid w:val="0015609C"/>
    <w:rsid w:val="0015641F"/>
    <w:rsid w:val="0015668E"/>
    <w:rsid w:val="00156802"/>
    <w:rsid w:val="001568D1"/>
    <w:rsid w:val="00156E86"/>
    <w:rsid w:val="001578D9"/>
    <w:rsid w:val="00157BAF"/>
    <w:rsid w:val="0016016E"/>
    <w:rsid w:val="001604B8"/>
    <w:rsid w:val="00160F5F"/>
    <w:rsid w:val="001612C6"/>
    <w:rsid w:val="00161784"/>
    <w:rsid w:val="00161B7F"/>
    <w:rsid w:val="00161DD4"/>
    <w:rsid w:val="00161E81"/>
    <w:rsid w:val="0016291D"/>
    <w:rsid w:val="00162C04"/>
    <w:rsid w:val="001630BE"/>
    <w:rsid w:val="0016319E"/>
    <w:rsid w:val="00163503"/>
    <w:rsid w:val="00163812"/>
    <w:rsid w:val="00163B1E"/>
    <w:rsid w:val="00164187"/>
    <w:rsid w:val="0016442A"/>
    <w:rsid w:val="001644A5"/>
    <w:rsid w:val="001646DB"/>
    <w:rsid w:val="00164826"/>
    <w:rsid w:val="001649F2"/>
    <w:rsid w:val="00164A51"/>
    <w:rsid w:val="00164D55"/>
    <w:rsid w:val="00164D6B"/>
    <w:rsid w:val="001655AE"/>
    <w:rsid w:val="00165EF9"/>
    <w:rsid w:val="00166279"/>
    <w:rsid w:val="00166468"/>
    <w:rsid w:val="001665DE"/>
    <w:rsid w:val="00166935"/>
    <w:rsid w:val="00166A49"/>
    <w:rsid w:val="00166B27"/>
    <w:rsid w:val="00167484"/>
    <w:rsid w:val="00167AE7"/>
    <w:rsid w:val="00170265"/>
    <w:rsid w:val="0017029B"/>
    <w:rsid w:val="0017059F"/>
    <w:rsid w:val="001708E5"/>
    <w:rsid w:val="001709EA"/>
    <w:rsid w:val="00170AB8"/>
    <w:rsid w:val="00170B08"/>
    <w:rsid w:val="00171117"/>
    <w:rsid w:val="001715C3"/>
    <w:rsid w:val="00171701"/>
    <w:rsid w:val="001718F1"/>
    <w:rsid w:val="00172153"/>
    <w:rsid w:val="00172268"/>
    <w:rsid w:val="00172319"/>
    <w:rsid w:val="00172832"/>
    <w:rsid w:val="001728BC"/>
    <w:rsid w:val="001734CE"/>
    <w:rsid w:val="001735C4"/>
    <w:rsid w:val="00173A98"/>
    <w:rsid w:val="00173BD1"/>
    <w:rsid w:val="00174498"/>
    <w:rsid w:val="001747F3"/>
    <w:rsid w:val="001748B4"/>
    <w:rsid w:val="00174B6B"/>
    <w:rsid w:val="00174BA8"/>
    <w:rsid w:val="00174FDE"/>
    <w:rsid w:val="0017503F"/>
    <w:rsid w:val="00175C9F"/>
    <w:rsid w:val="00175F85"/>
    <w:rsid w:val="00176275"/>
    <w:rsid w:val="00176328"/>
    <w:rsid w:val="0017669F"/>
    <w:rsid w:val="00176A46"/>
    <w:rsid w:val="00176E2F"/>
    <w:rsid w:val="00176EB8"/>
    <w:rsid w:val="00176F59"/>
    <w:rsid w:val="00176F6F"/>
    <w:rsid w:val="0017765F"/>
    <w:rsid w:val="00177BAE"/>
    <w:rsid w:val="00177EC1"/>
    <w:rsid w:val="00177EC2"/>
    <w:rsid w:val="00177FFC"/>
    <w:rsid w:val="0018040C"/>
    <w:rsid w:val="0018052F"/>
    <w:rsid w:val="00180964"/>
    <w:rsid w:val="00180ED6"/>
    <w:rsid w:val="001811F8"/>
    <w:rsid w:val="00181DB6"/>
    <w:rsid w:val="00181F73"/>
    <w:rsid w:val="0018232D"/>
    <w:rsid w:val="00183083"/>
    <w:rsid w:val="00183AFD"/>
    <w:rsid w:val="00183D45"/>
    <w:rsid w:val="00184268"/>
    <w:rsid w:val="001845E2"/>
    <w:rsid w:val="001845FE"/>
    <w:rsid w:val="00184639"/>
    <w:rsid w:val="00184C74"/>
    <w:rsid w:val="00184D04"/>
    <w:rsid w:val="00184DAB"/>
    <w:rsid w:val="00185832"/>
    <w:rsid w:val="00185944"/>
    <w:rsid w:val="00185C48"/>
    <w:rsid w:val="00185FC6"/>
    <w:rsid w:val="00186270"/>
    <w:rsid w:val="0018636D"/>
    <w:rsid w:val="00186DB3"/>
    <w:rsid w:val="00187343"/>
    <w:rsid w:val="00187B12"/>
    <w:rsid w:val="00187C4D"/>
    <w:rsid w:val="00187C62"/>
    <w:rsid w:val="00190783"/>
    <w:rsid w:val="00190958"/>
    <w:rsid w:val="00190C5E"/>
    <w:rsid w:val="00191007"/>
    <w:rsid w:val="001914EC"/>
    <w:rsid w:val="00191614"/>
    <w:rsid w:val="00192790"/>
    <w:rsid w:val="00192CA6"/>
    <w:rsid w:val="00192DD0"/>
    <w:rsid w:val="00192E68"/>
    <w:rsid w:val="00192E92"/>
    <w:rsid w:val="00193244"/>
    <w:rsid w:val="00193495"/>
    <w:rsid w:val="00193527"/>
    <w:rsid w:val="0019352F"/>
    <w:rsid w:val="001935FC"/>
    <w:rsid w:val="00193749"/>
    <w:rsid w:val="001938C8"/>
    <w:rsid w:val="00194561"/>
    <w:rsid w:val="001946E2"/>
    <w:rsid w:val="00194FA2"/>
    <w:rsid w:val="001956DA"/>
    <w:rsid w:val="0019574A"/>
    <w:rsid w:val="00196791"/>
    <w:rsid w:val="001967C8"/>
    <w:rsid w:val="00197CB2"/>
    <w:rsid w:val="00197DAB"/>
    <w:rsid w:val="00197F99"/>
    <w:rsid w:val="001A0678"/>
    <w:rsid w:val="001A07AE"/>
    <w:rsid w:val="001A0C5C"/>
    <w:rsid w:val="001A0E8F"/>
    <w:rsid w:val="001A1248"/>
    <w:rsid w:val="001A13E0"/>
    <w:rsid w:val="001A1985"/>
    <w:rsid w:val="001A1AAD"/>
    <w:rsid w:val="001A23C7"/>
    <w:rsid w:val="001A253D"/>
    <w:rsid w:val="001A2601"/>
    <w:rsid w:val="001A2A1A"/>
    <w:rsid w:val="001A2A95"/>
    <w:rsid w:val="001A2E24"/>
    <w:rsid w:val="001A2EB9"/>
    <w:rsid w:val="001A325F"/>
    <w:rsid w:val="001A3501"/>
    <w:rsid w:val="001A35E0"/>
    <w:rsid w:val="001A3746"/>
    <w:rsid w:val="001A41E4"/>
    <w:rsid w:val="001A4330"/>
    <w:rsid w:val="001A4355"/>
    <w:rsid w:val="001A4F45"/>
    <w:rsid w:val="001A5297"/>
    <w:rsid w:val="001A65CB"/>
    <w:rsid w:val="001A6A74"/>
    <w:rsid w:val="001A6B6D"/>
    <w:rsid w:val="001A6D17"/>
    <w:rsid w:val="001A6F5F"/>
    <w:rsid w:val="001A746C"/>
    <w:rsid w:val="001A79FF"/>
    <w:rsid w:val="001A7BB2"/>
    <w:rsid w:val="001A7DDE"/>
    <w:rsid w:val="001B03B8"/>
    <w:rsid w:val="001B04E8"/>
    <w:rsid w:val="001B1559"/>
    <w:rsid w:val="001B1981"/>
    <w:rsid w:val="001B1AE6"/>
    <w:rsid w:val="001B1ED9"/>
    <w:rsid w:val="001B20B3"/>
    <w:rsid w:val="001B214D"/>
    <w:rsid w:val="001B290C"/>
    <w:rsid w:val="001B2B9C"/>
    <w:rsid w:val="001B345B"/>
    <w:rsid w:val="001B34C4"/>
    <w:rsid w:val="001B4049"/>
    <w:rsid w:val="001B44DA"/>
    <w:rsid w:val="001B4713"/>
    <w:rsid w:val="001B4E31"/>
    <w:rsid w:val="001B4F3E"/>
    <w:rsid w:val="001B4FB3"/>
    <w:rsid w:val="001B4FE6"/>
    <w:rsid w:val="001B522B"/>
    <w:rsid w:val="001B54FB"/>
    <w:rsid w:val="001B5583"/>
    <w:rsid w:val="001B5720"/>
    <w:rsid w:val="001B5907"/>
    <w:rsid w:val="001B5992"/>
    <w:rsid w:val="001B5AE7"/>
    <w:rsid w:val="001B5F78"/>
    <w:rsid w:val="001B6053"/>
    <w:rsid w:val="001B6164"/>
    <w:rsid w:val="001B637D"/>
    <w:rsid w:val="001B66B4"/>
    <w:rsid w:val="001B6937"/>
    <w:rsid w:val="001B6EB5"/>
    <w:rsid w:val="001B7013"/>
    <w:rsid w:val="001B7167"/>
    <w:rsid w:val="001B74D5"/>
    <w:rsid w:val="001B7694"/>
    <w:rsid w:val="001B7F1F"/>
    <w:rsid w:val="001B7FA2"/>
    <w:rsid w:val="001C001E"/>
    <w:rsid w:val="001C0672"/>
    <w:rsid w:val="001C08DA"/>
    <w:rsid w:val="001C0A9E"/>
    <w:rsid w:val="001C0BCD"/>
    <w:rsid w:val="001C0D3C"/>
    <w:rsid w:val="001C1292"/>
    <w:rsid w:val="001C1963"/>
    <w:rsid w:val="001C1ECE"/>
    <w:rsid w:val="001C38B6"/>
    <w:rsid w:val="001C39AC"/>
    <w:rsid w:val="001C3D87"/>
    <w:rsid w:val="001C4213"/>
    <w:rsid w:val="001C4307"/>
    <w:rsid w:val="001C4320"/>
    <w:rsid w:val="001C44AF"/>
    <w:rsid w:val="001C485E"/>
    <w:rsid w:val="001C4E37"/>
    <w:rsid w:val="001C5323"/>
    <w:rsid w:val="001C5797"/>
    <w:rsid w:val="001C5AD7"/>
    <w:rsid w:val="001C6415"/>
    <w:rsid w:val="001C6616"/>
    <w:rsid w:val="001C66DF"/>
    <w:rsid w:val="001C6F68"/>
    <w:rsid w:val="001C6FDD"/>
    <w:rsid w:val="001C7315"/>
    <w:rsid w:val="001C739A"/>
    <w:rsid w:val="001C740F"/>
    <w:rsid w:val="001C75C5"/>
    <w:rsid w:val="001C76D6"/>
    <w:rsid w:val="001C78D0"/>
    <w:rsid w:val="001C79DB"/>
    <w:rsid w:val="001C7BE4"/>
    <w:rsid w:val="001C7E89"/>
    <w:rsid w:val="001D01FD"/>
    <w:rsid w:val="001D0387"/>
    <w:rsid w:val="001D05F5"/>
    <w:rsid w:val="001D07D7"/>
    <w:rsid w:val="001D0EF4"/>
    <w:rsid w:val="001D10AA"/>
    <w:rsid w:val="001D10EE"/>
    <w:rsid w:val="001D1174"/>
    <w:rsid w:val="001D19AC"/>
    <w:rsid w:val="001D1B20"/>
    <w:rsid w:val="001D1B60"/>
    <w:rsid w:val="001D29D1"/>
    <w:rsid w:val="001D2A52"/>
    <w:rsid w:val="001D2B5F"/>
    <w:rsid w:val="001D2BB3"/>
    <w:rsid w:val="001D2C0E"/>
    <w:rsid w:val="001D2E04"/>
    <w:rsid w:val="001D37F8"/>
    <w:rsid w:val="001D3AB1"/>
    <w:rsid w:val="001D49AB"/>
    <w:rsid w:val="001D4FA9"/>
    <w:rsid w:val="001D5002"/>
    <w:rsid w:val="001D5295"/>
    <w:rsid w:val="001D542D"/>
    <w:rsid w:val="001D56C6"/>
    <w:rsid w:val="001D5868"/>
    <w:rsid w:val="001D5C14"/>
    <w:rsid w:val="001D5CFA"/>
    <w:rsid w:val="001D5DAE"/>
    <w:rsid w:val="001D613D"/>
    <w:rsid w:val="001D64DD"/>
    <w:rsid w:val="001D676D"/>
    <w:rsid w:val="001D6A3B"/>
    <w:rsid w:val="001D6DBE"/>
    <w:rsid w:val="001D6F7C"/>
    <w:rsid w:val="001D724F"/>
    <w:rsid w:val="001D79C5"/>
    <w:rsid w:val="001D7C12"/>
    <w:rsid w:val="001E0467"/>
    <w:rsid w:val="001E05A6"/>
    <w:rsid w:val="001E07F8"/>
    <w:rsid w:val="001E0D02"/>
    <w:rsid w:val="001E0FB1"/>
    <w:rsid w:val="001E0FBE"/>
    <w:rsid w:val="001E1885"/>
    <w:rsid w:val="001E1B82"/>
    <w:rsid w:val="001E1F80"/>
    <w:rsid w:val="001E272D"/>
    <w:rsid w:val="001E2970"/>
    <w:rsid w:val="001E2F1D"/>
    <w:rsid w:val="001E3070"/>
    <w:rsid w:val="001E3454"/>
    <w:rsid w:val="001E3B5B"/>
    <w:rsid w:val="001E3E48"/>
    <w:rsid w:val="001E4724"/>
    <w:rsid w:val="001E47CF"/>
    <w:rsid w:val="001E4D3C"/>
    <w:rsid w:val="001E4EFC"/>
    <w:rsid w:val="001E6440"/>
    <w:rsid w:val="001E6C11"/>
    <w:rsid w:val="001E77C2"/>
    <w:rsid w:val="001E7AE4"/>
    <w:rsid w:val="001E7EB8"/>
    <w:rsid w:val="001F0264"/>
    <w:rsid w:val="001F0C36"/>
    <w:rsid w:val="001F1308"/>
    <w:rsid w:val="001F18ED"/>
    <w:rsid w:val="001F1EFB"/>
    <w:rsid w:val="001F2463"/>
    <w:rsid w:val="001F2CA5"/>
    <w:rsid w:val="001F3343"/>
    <w:rsid w:val="001F33B1"/>
    <w:rsid w:val="001F3A45"/>
    <w:rsid w:val="001F412F"/>
    <w:rsid w:val="001F445A"/>
    <w:rsid w:val="001F4570"/>
    <w:rsid w:val="001F480A"/>
    <w:rsid w:val="001F485A"/>
    <w:rsid w:val="001F4920"/>
    <w:rsid w:val="001F4BD4"/>
    <w:rsid w:val="001F4DE7"/>
    <w:rsid w:val="001F5253"/>
    <w:rsid w:val="001F525A"/>
    <w:rsid w:val="001F59EE"/>
    <w:rsid w:val="001F5E60"/>
    <w:rsid w:val="001F61D5"/>
    <w:rsid w:val="001F6443"/>
    <w:rsid w:val="001F69A0"/>
    <w:rsid w:val="001F7224"/>
    <w:rsid w:val="001F7904"/>
    <w:rsid w:val="001F79E3"/>
    <w:rsid w:val="0020003E"/>
    <w:rsid w:val="00200441"/>
    <w:rsid w:val="00200AB3"/>
    <w:rsid w:val="00200D42"/>
    <w:rsid w:val="00200F9D"/>
    <w:rsid w:val="002012E8"/>
    <w:rsid w:val="00201336"/>
    <w:rsid w:val="00202027"/>
    <w:rsid w:val="002024A9"/>
    <w:rsid w:val="0020283C"/>
    <w:rsid w:val="00202E45"/>
    <w:rsid w:val="00204064"/>
    <w:rsid w:val="0020413B"/>
    <w:rsid w:val="00204616"/>
    <w:rsid w:val="00204B84"/>
    <w:rsid w:val="00204CA3"/>
    <w:rsid w:val="00204F27"/>
    <w:rsid w:val="00204FF3"/>
    <w:rsid w:val="00205608"/>
    <w:rsid w:val="00205833"/>
    <w:rsid w:val="00205C1E"/>
    <w:rsid w:val="00205D33"/>
    <w:rsid w:val="0020625D"/>
    <w:rsid w:val="0020688A"/>
    <w:rsid w:val="002069AB"/>
    <w:rsid w:val="00206A19"/>
    <w:rsid w:val="00206A48"/>
    <w:rsid w:val="00206B53"/>
    <w:rsid w:val="00207689"/>
    <w:rsid w:val="002078E6"/>
    <w:rsid w:val="00210177"/>
    <w:rsid w:val="0021044E"/>
    <w:rsid w:val="00210518"/>
    <w:rsid w:val="002107E2"/>
    <w:rsid w:val="0021096D"/>
    <w:rsid w:val="00210A18"/>
    <w:rsid w:val="00210D61"/>
    <w:rsid w:val="0021127A"/>
    <w:rsid w:val="00211702"/>
    <w:rsid w:val="00211B83"/>
    <w:rsid w:val="00211D8A"/>
    <w:rsid w:val="0021222B"/>
    <w:rsid w:val="00212654"/>
    <w:rsid w:val="00212726"/>
    <w:rsid w:val="002127B6"/>
    <w:rsid w:val="002127D1"/>
    <w:rsid w:val="00212A8C"/>
    <w:rsid w:val="00212FDB"/>
    <w:rsid w:val="0021350F"/>
    <w:rsid w:val="002136C8"/>
    <w:rsid w:val="00213E2B"/>
    <w:rsid w:val="002141C7"/>
    <w:rsid w:val="00214255"/>
    <w:rsid w:val="00214BFE"/>
    <w:rsid w:val="00214E8A"/>
    <w:rsid w:val="002159DA"/>
    <w:rsid w:val="00216020"/>
    <w:rsid w:val="002165C8"/>
    <w:rsid w:val="00216CE8"/>
    <w:rsid w:val="00216EF5"/>
    <w:rsid w:val="00216F2C"/>
    <w:rsid w:val="00216FAC"/>
    <w:rsid w:val="002173CA"/>
    <w:rsid w:val="00217506"/>
    <w:rsid w:val="00217577"/>
    <w:rsid w:val="002207C7"/>
    <w:rsid w:val="00220A6E"/>
    <w:rsid w:val="00221054"/>
    <w:rsid w:val="00221158"/>
    <w:rsid w:val="00221188"/>
    <w:rsid w:val="00221523"/>
    <w:rsid w:val="00221EBF"/>
    <w:rsid w:val="00221F31"/>
    <w:rsid w:val="00222636"/>
    <w:rsid w:val="00222755"/>
    <w:rsid w:val="00222A74"/>
    <w:rsid w:val="00222C17"/>
    <w:rsid w:val="0022330B"/>
    <w:rsid w:val="002238F6"/>
    <w:rsid w:val="00223906"/>
    <w:rsid w:val="00223A94"/>
    <w:rsid w:val="00224445"/>
    <w:rsid w:val="00224477"/>
    <w:rsid w:val="002245DD"/>
    <w:rsid w:val="0022460D"/>
    <w:rsid w:val="002246DA"/>
    <w:rsid w:val="00224FD4"/>
    <w:rsid w:val="00225583"/>
    <w:rsid w:val="00225B13"/>
    <w:rsid w:val="00225C05"/>
    <w:rsid w:val="00225F22"/>
    <w:rsid w:val="00226354"/>
    <w:rsid w:val="00226AF2"/>
    <w:rsid w:val="00227148"/>
    <w:rsid w:val="002275D9"/>
    <w:rsid w:val="00227D0A"/>
    <w:rsid w:val="00227EC7"/>
    <w:rsid w:val="00227F2E"/>
    <w:rsid w:val="00227F38"/>
    <w:rsid w:val="00230271"/>
    <w:rsid w:val="0023088F"/>
    <w:rsid w:val="0023111D"/>
    <w:rsid w:val="00231C00"/>
    <w:rsid w:val="00231C9E"/>
    <w:rsid w:val="00231FAC"/>
    <w:rsid w:val="00231FE5"/>
    <w:rsid w:val="002323E0"/>
    <w:rsid w:val="002327B0"/>
    <w:rsid w:val="00233666"/>
    <w:rsid w:val="00233728"/>
    <w:rsid w:val="00233ADB"/>
    <w:rsid w:val="00233C03"/>
    <w:rsid w:val="00233DA8"/>
    <w:rsid w:val="00233F81"/>
    <w:rsid w:val="00233FD6"/>
    <w:rsid w:val="002341F2"/>
    <w:rsid w:val="00234373"/>
    <w:rsid w:val="00234513"/>
    <w:rsid w:val="002349CC"/>
    <w:rsid w:val="00235008"/>
    <w:rsid w:val="00235056"/>
    <w:rsid w:val="002352E4"/>
    <w:rsid w:val="00235C9A"/>
    <w:rsid w:val="00235EEC"/>
    <w:rsid w:val="00236069"/>
    <w:rsid w:val="00236099"/>
    <w:rsid w:val="00236A82"/>
    <w:rsid w:val="00236CA2"/>
    <w:rsid w:val="00237081"/>
    <w:rsid w:val="002372B2"/>
    <w:rsid w:val="002372DB"/>
    <w:rsid w:val="00237731"/>
    <w:rsid w:val="00237C30"/>
    <w:rsid w:val="00237CF7"/>
    <w:rsid w:val="00237FDB"/>
    <w:rsid w:val="00240209"/>
    <w:rsid w:val="002404A8"/>
    <w:rsid w:val="002407E5"/>
    <w:rsid w:val="00240D76"/>
    <w:rsid w:val="00241180"/>
    <w:rsid w:val="002416C8"/>
    <w:rsid w:val="002417B4"/>
    <w:rsid w:val="00241A94"/>
    <w:rsid w:val="00241ABA"/>
    <w:rsid w:val="00241E7A"/>
    <w:rsid w:val="00242134"/>
    <w:rsid w:val="00242293"/>
    <w:rsid w:val="002428DE"/>
    <w:rsid w:val="00242A9D"/>
    <w:rsid w:val="00243BA0"/>
    <w:rsid w:val="00243BBC"/>
    <w:rsid w:val="00243BE3"/>
    <w:rsid w:val="002440E8"/>
    <w:rsid w:val="00244365"/>
    <w:rsid w:val="00244439"/>
    <w:rsid w:val="00245191"/>
    <w:rsid w:val="00245EF7"/>
    <w:rsid w:val="002460F1"/>
    <w:rsid w:val="002465CB"/>
    <w:rsid w:val="00246778"/>
    <w:rsid w:val="00246ADF"/>
    <w:rsid w:val="00246E86"/>
    <w:rsid w:val="00246F91"/>
    <w:rsid w:val="0024713A"/>
    <w:rsid w:val="00247F92"/>
    <w:rsid w:val="00247FB0"/>
    <w:rsid w:val="00250129"/>
    <w:rsid w:val="00250474"/>
    <w:rsid w:val="00250619"/>
    <w:rsid w:val="0025081E"/>
    <w:rsid w:val="00250D6B"/>
    <w:rsid w:val="002511D0"/>
    <w:rsid w:val="00251872"/>
    <w:rsid w:val="002518F4"/>
    <w:rsid w:val="00252001"/>
    <w:rsid w:val="0025206B"/>
    <w:rsid w:val="002520C3"/>
    <w:rsid w:val="002525C0"/>
    <w:rsid w:val="0025273E"/>
    <w:rsid w:val="002531B9"/>
    <w:rsid w:val="00253A92"/>
    <w:rsid w:val="00253FC6"/>
    <w:rsid w:val="00254530"/>
    <w:rsid w:val="00254BBC"/>
    <w:rsid w:val="00254CA5"/>
    <w:rsid w:val="00255174"/>
    <w:rsid w:val="00255205"/>
    <w:rsid w:val="00255792"/>
    <w:rsid w:val="00255849"/>
    <w:rsid w:val="0025606B"/>
    <w:rsid w:val="00256A36"/>
    <w:rsid w:val="00256CEC"/>
    <w:rsid w:val="0025713C"/>
    <w:rsid w:val="002573F9"/>
    <w:rsid w:val="002578FF"/>
    <w:rsid w:val="00257B89"/>
    <w:rsid w:val="00257E1D"/>
    <w:rsid w:val="00257EC1"/>
    <w:rsid w:val="00260697"/>
    <w:rsid w:val="00260826"/>
    <w:rsid w:val="00260A5B"/>
    <w:rsid w:val="00260C2E"/>
    <w:rsid w:val="00261163"/>
    <w:rsid w:val="00261828"/>
    <w:rsid w:val="00261EEA"/>
    <w:rsid w:val="002624EC"/>
    <w:rsid w:val="0026292E"/>
    <w:rsid w:val="00262BBE"/>
    <w:rsid w:val="00262EC5"/>
    <w:rsid w:val="00262FDA"/>
    <w:rsid w:val="00263239"/>
    <w:rsid w:val="00263613"/>
    <w:rsid w:val="002637C3"/>
    <w:rsid w:val="002638D6"/>
    <w:rsid w:val="0026391D"/>
    <w:rsid w:val="00263A61"/>
    <w:rsid w:val="00263D03"/>
    <w:rsid w:val="00263D34"/>
    <w:rsid w:val="00264AB9"/>
    <w:rsid w:val="00264F7F"/>
    <w:rsid w:val="00265288"/>
    <w:rsid w:val="0026533E"/>
    <w:rsid w:val="0026535A"/>
    <w:rsid w:val="002653D6"/>
    <w:rsid w:val="00265BA9"/>
    <w:rsid w:val="00265E1F"/>
    <w:rsid w:val="0026620A"/>
    <w:rsid w:val="00266424"/>
    <w:rsid w:val="00266709"/>
    <w:rsid w:val="00266C8C"/>
    <w:rsid w:val="00267301"/>
    <w:rsid w:val="0026736B"/>
    <w:rsid w:val="002674EB"/>
    <w:rsid w:val="0026796F"/>
    <w:rsid w:val="00267D0A"/>
    <w:rsid w:val="00267F81"/>
    <w:rsid w:val="00270258"/>
    <w:rsid w:val="002702F0"/>
    <w:rsid w:val="0027065D"/>
    <w:rsid w:val="002706CE"/>
    <w:rsid w:val="0027074F"/>
    <w:rsid w:val="00270F6A"/>
    <w:rsid w:val="0027136D"/>
    <w:rsid w:val="00271482"/>
    <w:rsid w:val="00271C29"/>
    <w:rsid w:val="002720B0"/>
    <w:rsid w:val="00272176"/>
    <w:rsid w:val="002721DC"/>
    <w:rsid w:val="002721F3"/>
    <w:rsid w:val="002729A9"/>
    <w:rsid w:val="0027322A"/>
    <w:rsid w:val="002732A1"/>
    <w:rsid w:val="002734BB"/>
    <w:rsid w:val="00273565"/>
    <w:rsid w:val="00273874"/>
    <w:rsid w:val="00273AA5"/>
    <w:rsid w:val="00273BA5"/>
    <w:rsid w:val="00273BE6"/>
    <w:rsid w:val="00273F4A"/>
    <w:rsid w:val="002740D5"/>
    <w:rsid w:val="002744C4"/>
    <w:rsid w:val="00274569"/>
    <w:rsid w:val="00274864"/>
    <w:rsid w:val="00274C0D"/>
    <w:rsid w:val="00274DDA"/>
    <w:rsid w:val="002751B7"/>
    <w:rsid w:val="0027529E"/>
    <w:rsid w:val="00275590"/>
    <w:rsid w:val="002755D9"/>
    <w:rsid w:val="002757B2"/>
    <w:rsid w:val="00276065"/>
    <w:rsid w:val="00276EA0"/>
    <w:rsid w:val="00276ED7"/>
    <w:rsid w:val="00277203"/>
    <w:rsid w:val="002772D4"/>
    <w:rsid w:val="00277FA0"/>
    <w:rsid w:val="002800AA"/>
    <w:rsid w:val="002801C3"/>
    <w:rsid w:val="00280442"/>
    <w:rsid w:val="00280609"/>
    <w:rsid w:val="00280AA2"/>
    <w:rsid w:val="002813B9"/>
    <w:rsid w:val="0028173A"/>
    <w:rsid w:val="00281809"/>
    <w:rsid w:val="00281E47"/>
    <w:rsid w:val="002820CC"/>
    <w:rsid w:val="00282904"/>
    <w:rsid w:val="00282AFD"/>
    <w:rsid w:val="00283FED"/>
    <w:rsid w:val="00284869"/>
    <w:rsid w:val="00284923"/>
    <w:rsid w:val="00284A2A"/>
    <w:rsid w:val="00284C61"/>
    <w:rsid w:val="0028503A"/>
    <w:rsid w:val="002856D5"/>
    <w:rsid w:val="00286064"/>
    <w:rsid w:val="0028660C"/>
    <w:rsid w:val="00286B87"/>
    <w:rsid w:val="00286BD3"/>
    <w:rsid w:val="00286EDE"/>
    <w:rsid w:val="00286F30"/>
    <w:rsid w:val="00287173"/>
    <w:rsid w:val="00287325"/>
    <w:rsid w:val="0028741B"/>
    <w:rsid w:val="002875EE"/>
    <w:rsid w:val="00287ECA"/>
    <w:rsid w:val="0029044E"/>
    <w:rsid w:val="00290B09"/>
    <w:rsid w:val="002910F0"/>
    <w:rsid w:val="002918BC"/>
    <w:rsid w:val="00292047"/>
    <w:rsid w:val="00292196"/>
    <w:rsid w:val="00292307"/>
    <w:rsid w:val="0029276F"/>
    <w:rsid w:val="00292A03"/>
    <w:rsid w:val="00293A37"/>
    <w:rsid w:val="00293B3C"/>
    <w:rsid w:val="00294973"/>
    <w:rsid w:val="00294B7A"/>
    <w:rsid w:val="00295425"/>
    <w:rsid w:val="002956CC"/>
    <w:rsid w:val="0029595A"/>
    <w:rsid w:val="00295B5B"/>
    <w:rsid w:val="00295D50"/>
    <w:rsid w:val="00296142"/>
    <w:rsid w:val="0029615D"/>
    <w:rsid w:val="00296AF9"/>
    <w:rsid w:val="0029702D"/>
    <w:rsid w:val="002972BB"/>
    <w:rsid w:val="002974FF"/>
    <w:rsid w:val="002A03C5"/>
    <w:rsid w:val="002A06F1"/>
    <w:rsid w:val="002A0B41"/>
    <w:rsid w:val="002A0D02"/>
    <w:rsid w:val="002A0EFB"/>
    <w:rsid w:val="002A126F"/>
    <w:rsid w:val="002A132A"/>
    <w:rsid w:val="002A1447"/>
    <w:rsid w:val="002A1485"/>
    <w:rsid w:val="002A14A0"/>
    <w:rsid w:val="002A19DD"/>
    <w:rsid w:val="002A1B78"/>
    <w:rsid w:val="002A1D62"/>
    <w:rsid w:val="002A1F23"/>
    <w:rsid w:val="002A251F"/>
    <w:rsid w:val="002A28AC"/>
    <w:rsid w:val="002A2910"/>
    <w:rsid w:val="002A295B"/>
    <w:rsid w:val="002A29CE"/>
    <w:rsid w:val="002A2EC7"/>
    <w:rsid w:val="002A30D1"/>
    <w:rsid w:val="002A45D9"/>
    <w:rsid w:val="002A4962"/>
    <w:rsid w:val="002A4E5B"/>
    <w:rsid w:val="002A4F29"/>
    <w:rsid w:val="002A50E0"/>
    <w:rsid w:val="002A5212"/>
    <w:rsid w:val="002A577A"/>
    <w:rsid w:val="002A57A4"/>
    <w:rsid w:val="002A5A5A"/>
    <w:rsid w:val="002A5C14"/>
    <w:rsid w:val="002A5CC4"/>
    <w:rsid w:val="002A6C25"/>
    <w:rsid w:val="002A7193"/>
    <w:rsid w:val="002A733B"/>
    <w:rsid w:val="002A7E33"/>
    <w:rsid w:val="002A7E8A"/>
    <w:rsid w:val="002A7EBB"/>
    <w:rsid w:val="002B0119"/>
    <w:rsid w:val="002B0398"/>
    <w:rsid w:val="002B079F"/>
    <w:rsid w:val="002B0970"/>
    <w:rsid w:val="002B09E4"/>
    <w:rsid w:val="002B0A24"/>
    <w:rsid w:val="002B0C00"/>
    <w:rsid w:val="002B0DC0"/>
    <w:rsid w:val="002B0E7A"/>
    <w:rsid w:val="002B11F7"/>
    <w:rsid w:val="002B1DFF"/>
    <w:rsid w:val="002B2412"/>
    <w:rsid w:val="002B2CEF"/>
    <w:rsid w:val="002B2D9F"/>
    <w:rsid w:val="002B2F03"/>
    <w:rsid w:val="002B2F52"/>
    <w:rsid w:val="002B3612"/>
    <w:rsid w:val="002B36BA"/>
    <w:rsid w:val="002B3E05"/>
    <w:rsid w:val="002B46FD"/>
    <w:rsid w:val="002B48EE"/>
    <w:rsid w:val="002B4AE3"/>
    <w:rsid w:val="002B4B9F"/>
    <w:rsid w:val="002B4C5C"/>
    <w:rsid w:val="002B4E17"/>
    <w:rsid w:val="002B5153"/>
    <w:rsid w:val="002B519E"/>
    <w:rsid w:val="002B5628"/>
    <w:rsid w:val="002B56ED"/>
    <w:rsid w:val="002B591A"/>
    <w:rsid w:val="002B5B0D"/>
    <w:rsid w:val="002B6027"/>
    <w:rsid w:val="002B620F"/>
    <w:rsid w:val="002B65D3"/>
    <w:rsid w:val="002B67AF"/>
    <w:rsid w:val="002B6821"/>
    <w:rsid w:val="002B6988"/>
    <w:rsid w:val="002B6AAD"/>
    <w:rsid w:val="002B7042"/>
    <w:rsid w:val="002B74E4"/>
    <w:rsid w:val="002C04B3"/>
    <w:rsid w:val="002C04E4"/>
    <w:rsid w:val="002C0D5A"/>
    <w:rsid w:val="002C1348"/>
    <w:rsid w:val="002C15BC"/>
    <w:rsid w:val="002C1815"/>
    <w:rsid w:val="002C1CEC"/>
    <w:rsid w:val="002C1D6B"/>
    <w:rsid w:val="002C1E92"/>
    <w:rsid w:val="002C2084"/>
    <w:rsid w:val="002C22B5"/>
    <w:rsid w:val="002C22D1"/>
    <w:rsid w:val="002C2554"/>
    <w:rsid w:val="002C302F"/>
    <w:rsid w:val="002C3472"/>
    <w:rsid w:val="002C357C"/>
    <w:rsid w:val="002C3E98"/>
    <w:rsid w:val="002C41C8"/>
    <w:rsid w:val="002C42E9"/>
    <w:rsid w:val="002C453D"/>
    <w:rsid w:val="002C4CFF"/>
    <w:rsid w:val="002C4DBE"/>
    <w:rsid w:val="002C4E05"/>
    <w:rsid w:val="002C50B8"/>
    <w:rsid w:val="002C5AD5"/>
    <w:rsid w:val="002C6D00"/>
    <w:rsid w:val="002D00F8"/>
    <w:rsid w:val="002D072E"/>
    <w:rsid w:val="002D0E15"/>
    <w:rsid w:val="002D1494"/>
    <w:rsid w:val="002D1619"/>
    <w:rsid w:val="002D17B5"/>
    <w:rsid w:val="002D19B1"/>
    <w:rsid w:val="002D19DC"/>
    <w:rsid w:val="002D1CF9"/>
    <w:rsid w:val="002D2F61"/>
    <w:rsid w:val="002D3AC9"/>
    <w:rsid w:val="002D3C62"/>
    <w:rsid w:val="002D40CE"/>
    <w:rsid w:val="002D4132"/>
    <w:rsid w:val="002D44E7"/>
    <w:rsid w:val="002D44FD"/>
    <w:rsid w:val="002D481E"/>
    <w:rsid w:val="002D4BE9"/>
    <w:rsid w:val="002D4E3A"/>
    <w:rsid w:val="002D4F8D"/>
    <w:rsid w:val="002D5EAA"/>
    <w:rsid w:val="002D6292"/>
    <w:rsid w:val="002D65EA"/>
    <w:rsid w:val="002D6635"/>
    <w:rsid w:val="002D69BC"/>
    <w:rsid w:val="002D7719"/>
    <w:rsid w:val="002D7790"/>
    <w:rsid w:val="002D7B9C"/>
    <w:rsid w:val="002E0469"/>
    <w:rsid w:val="002E069A"/>
    <w:rsid w:val="002E08E3"/>
    <w:rsid w:val="002E0A63"/>
    <w:rsid w:val="002E0B01"/>
    <w:rsid w:val="002E1039"/>
    <w:rsid w:val="002E1B5F"/>
    <w:rsid w:val="002E1FAC"/>
    <w:rsid w:val="002E22B7"/>
    <w:rsid w:val="002E26C8"/>
    <w:rsid w:val="002E327C"/>
    <w:rsid w:val="002E370A"/>
    <w:rsid w:val="002E3C15"/>
    <w:rsid w:val="002E4002"/>
    <w:rsid w:val="002E4342"/>
    <w:rsid w:val="002E452D"/>
    <w:rsid w:val="002E455E"/>
    <w:rsid w:val="002E4FB2"/>
    <w:rsid w:val="002E51C8"/>
    <w:rsid w:val="002E5E1D"/>
    <w:rsid w:val="002E61DB"/>
    <w:rsid w:val="002E6229"/>
    <w:rsid w:val="002E62BA"/>
    <w:rsid w:val="002E65BB"/>
    <w:rsid w:val="002E6B11"/>
    <w:rsid w:val="002E6CD9"/>
    <w:rsid w:val="002E6DFC"/>
    <w:rsid w:val="002E7943"/>
    <w:rsid w:val="002E7D31"/>
    <w:rsid w:val="002F094B"/>
    <w:rsid w:val="002F0AD9"/>
    <w:rsid w:val="002F0CAD"/>
    <w:rsid w:val="002F0DA2"/>
    <w:rsid w:val="002F13D7"/>
    <w:rsid w:val="002F1B9B"/>
    <w:rsid w:val="002F2326"/>
    <w:rsid w:val="002F2685"/>
    <w:rsid w:val="002F26A8"/>
    <w:rsid w:val="002F2DB9"/>
    <w:rsid w:val="002F349F"/>
    <w:rsid w:val="002F350D"/>
    <w:rsid w:val="002F3599"/>
    <w:rsid w:val="002F3C61"/>
    <w:rsid w:val="002F3D27"/>
    <w:rsid w:val="002F4129"/>
    <w:rsid w:val="002F42E5"/>
    <w:rsid w:val="002F4BE8"/>
    <w:rsid w:val="002F5029"/>
    <w:rsid w:val="002F5140"/>
    <w:rsid w:val="002F51F0"/>
    <w:rsid w:val="002F57D8"/>
    <w:rsid w:val="002F57D9"/>
    <w:rsid w:val="002F5B02"/>
    <w:rsid w:val="002F5BF1"/>
    <w:rsid w:val="002F5D36"/>
    <w:rsid w:val="002F5D42"/>
    <w:rsid w:val="002F6072"/>
    <w:rsid w:val="002F6519"/>
    <w:rsid w:val="002F6676"/>
    <w:rsid w:val="002F668D"/>
    <w:rsid w:val="002F6906"/>
    <w:rsid w:val="002F716C"/>
    <w:rsid w:val="002F75DB"/>
    <w:rsid w:val="002F76EC"/>
    <w:rsid w:val="002F7A64"/>
    <w:rsid w:val="002F7B33"/>
    <w:rsid w:val="00300173"/>
    <w:rsid w:val="0030027B"/>
    <w:rsid w:val="00301162"/>
    <w:rsid w:val="0030131B"/>
    <w:rsid w:val="0030168D"/>
    <w:rsid w:val="0030213E"/>
    <w:rsid w:val="00302928"/>
    <w:rsid w:val="00302B7D"/>
    <w:rsid w:val="00302F41"/>
    <w:rsid w:val="003032F5"/>
    <w:rsid w:val="00303549"/>
    <w:rsid w:val="00303662"/>
    <w:rsid w:val="003038DE"/>
    <w:rsid w:val="003039F5"/>
    <w:rsid w:val="00303E35"/>
    <w:rsid w:val="0030406F"/>
    <w:rsid w:val="003043EC"/>
    <w:rsid w:val="003044B6"/>
    <w:rsid w:val="0030499F"/>
    <w:rsid w:val="00304CBF"/>
    <w:rsid w:val="003053B1"/>
    <w:rsid w:val="003060F5"/>
    <w:rsid w:val="00306674"/>
    <w:rsid w:val="00306CCC"/>
    <w:rsid w:val="00307138"/>
    <w:rsid w:val="0030713F"/>
    <w:rsid w:val="00307250"/>
    <w:rsid w:val="0030751F"/>
    <w:rsid w:val="003077E1"/>
    <w:rsid w:val="00310048"/>
    <w:rsid w:val="003100AD"/>
    <w:rsid w:val="00310238"/>
    <w:rsid w:val="003106CA"/>
    <w:rsid w:val="00310A24"/>
    <w:rsid w:val="00310C03"/>
    <w:rsid w:val="00310D42"/>
    <w:rsid w:val="00310F7F"/>
    <w:rsid w:val="0031219E"/>
    <w:rsid w:val="003122BB"/>
    <w:rsid w:val="0031264C"/>
    <w:rsid w:val="0031283E"/>
    <w:rsid w:val="003128B0"/>
    <w:rsid w:val="00312C3B"/>
    <w:rsid w:val="003131A1"/>
    <w:rsid w:val="00313266"/>
    <w:rsid w:val="003133F4"/>
    <w:rsid w:val="00313833"/>
    <w:rsid w:val="003139F2"/>
    <w:rsid w:val="00313FF1"/>
    <w:rsid w:val="00314316"/>
    <w:rsid w:val="0031431B"/>
    <w:rsid w:val="003144D3"/>
    <w:rsid w:val="00314868"/>
    <w:rsid w:val="00314D24"/>
    <w:rsid w:val="00315257"/>
    <w:rsid w:val="003153DF"/>
    <w:rsid w:val="00315608"/>
    <w:rsid w:val="00315856"/>
    <w:rsid w:val="00315DAF"/>
    <w:rsid w:val="00315EF3"/>
    <w:rsid w:val="003160AC"/>
    <w:rsid w:val="00316254"/>
    <w:rsid w:val="003162F7"/>
    <w:rsid w:val="00316998"/>
    <w:rsid w:val="00316A00"/>
    <w:rsid w:val="003172C6"/>
    <w:rsid w:val="0031755C"/>
    <w:rsid w:val="0031774F"/>
    <w:rsid w:val="003178C4"/>
    <w:rsid w:val="003178E7"/>
    <w:rsid w:val="0032027C"/>
    <w:rsid w:val="00320330"/>
    <w:rsid w:val="0032038F"/>
    <w:rsid w:val="00320788"/>
    <w:rsid w:val="00320832"/>
    <w:rsid w:val="00320B4C"/>
    <w:rsid w:val="00320CE3"/>
    <w:rsid w:val="00320F36"/>
    <w:rsid w:val="003211D2"/>
    <w:rsid w:val="00321218"/>
    <w:rsid w:val="00321262"/>
    <w:rsid w:val="003212DF"/>
    <w:rsid w:val="003213A8"/>
    <w:rsid w:val="00321577"/>
    <w:rsid w:val="003218BC"/>
    <w:rsid w:val="00321BBD"/>
    <w:rsid w:val="00321E38"/>
    <w:rsid w:val="00321ECC"/>
    <w:rsid w:val="00322011"/>
    <w:rsid w:val="003224CA"/>
    <w:rsid w:val="00322C81"/>
    <w:rsid w:val="00322F87"/>
    <w:rsid w:val="003232B1"/>
    <w:rsid w:val="003235DE"/>
    <w:rsid w:val="00324214"/>
    <w:rsid w:val="003242C4"/>
    <w:rsid w:val="0032442C"/>
    <w:rsid w:val="0032458C"/>
    <w:rsid w:val="00324936"/>
    <w:rsid w:val="00324AF9"/>
    <w:rsid w:val="00324E75"/>
    <w:rsid w:val="00325A05"/>
    <w:rsid w:val="00325A75"/>
    <w:rsid w:val="00325A82"/>
    <w:rsid w:val="00325CFA"/>
    <w:rsid w:val="00325FB9"/>
    <w:rsid w:val="0032625E"/>
    <w:rsid w:val="00326365"/>
    <w:rsid w:val="00326601"/>
    <w:rsid w:val="003266BB"/>
    <w:rsid w:val="00326783"/>
    <w:rsid w:val="00326C56"/>
    <w:rsid w:val="00327204"/>
    <w:rsid w:val="003272E4"/>
    <w:rsid w:val="00330754"/>
    <w:rsid w:val="00330807"/>
    <w:rsid w:val="0033093D"/>
    <w:rsid w:val="00330C1E"/>
    <w:rsid w:val="003316BC"/>
    <w:rsid w:val="003316C0"/>
    <w:rsid w:val="003317DD"/>
    <w:rsid w:val="003317FB"/>
    <w:rsid w:val="00331839"/>
    <w:rsid w:val="003319F9"/>
    <w:rsid w:val="00331DD9"/>
    <w:rsid w:val="00332167"/>
    <w:rsid w:val="00332389"/>
    <w:rsid w:val="00332408"/>
    <w:rsid w:val="003327AD"/>
    <w:rsid w:val="00332DDD"/>
    <w:rsid w:val="00333280"/>
    <w:rsid w:val="00333647"/>
    <w:rsid w:val="003338F4"/>
    <w:rsid w:val="00333918"/>
    <w:rsid w:val="00333D25"/>
    <w:rsid w:val="00333EF9"/>
    <w:rsid w:val="0033406E"/>
    <w:rsid w:val="0033411B"/>
    <w:rsid w:val="00334137"/>
    <w:rsid w:val="003341CF"/>
    <w:rsid w:val="003342E3"/>
    <w:rsid w:val="003343DA"/>
    <w:rsid w:val="00334BBE"/>
    <w:rsid w:val="00334EA9"/>
    <w:rsid w:val="0033540A"/>
    <w:rsid w:val="00335512"/>
    <w:rsid w:val="00335594"/>
    <w:rsid w:val="00335A7D"/>
    <w:rsid w:val="0033606B"/>
    <w:rsid w:val="003361B9"/>
    <w:rsid w:val="003363A6"/>
    <w:rsid w:val="003363D3"/>
    <w:rsid w:val="00336B0D"/>
    <w:rsid w:val="00336C1C"/>
    <w:rsid w:val="00336CE0"/>
    <w:rsid w:val="0033714E"/>
    <w:rsid w:val="00337357"/>
    <w:rsid w:val="00337619"/>
    <w:rsid w:val="00337841"/>
    <w:rsid w:val="00337E98"/>
    <w:rsid w:val="00337EE3"/>
    <w:rsid w:val="003402F4"/>
    <w:rsid w:val="0034035A"/>
    <w:rsid w:val="0034049A"/>
    <w:rsid w:val="003406FF"/>
    <w:rsid w:val="00340B69"/>
    <w:rsid w:val="00340F0B"/>
    <w:rsid w:val="00341250"/>
    <w:rsid w:val="003431EF"/>
    <w:rsid w:val="00343DBE"/>
    <w:rsid w:val="0034411C"/>
    <w:rsid w:val="003442B9"/>
    <w:rsid w:val="00344579"/>
    <w:rsid w:val="00344AC6"/>
    <w:rsid w:val="00344BF6"/>
    <w:rsid w:val="00344FCE"/>
    <w:rsid w:val="00344FE4"/>
    <w:rsid w:val="00345162"/>
    <w:rsid w:val="003453B0"/>
    <w:rsid w:val="00345549"/>
    <w:rsid w:val="0034556D"/>
    <w:rsid w:val="00345CBE"/>
    <w:rsid w:val="0034701E"/>
    <w:rsid w:val="00347061"/>
    <w:rsid w:val="003471A1"/>
    <w:rsid w:val="00347438"/>
    <w:rsid w:val="00347C4A"/>
    <w:rsid w:val="00347D22"/>
    <w:rsid w:val="0035069A"/>
    <w:rsid w:val="003509AF"/>
    <w:rsid w:val="003509C4"/>
    <w:rsid w:val="00350AB9"/>
    <w:rsid w:val="00351059"/>
    <w:rsid w:val="0035106F"/>
    <w:rsid w:val="00352634"/>
    <w:rsid w:val="0035264B"/>
    <w:rsid w:val="00352803"/>
    <w:rsid w:val="00352AA8"/>
    <w:rsid w:val="003535E6"/>
    <w:rsid w:val="00353712"/>
    <w:rsid w:val="00354838"/>
    <w:rsid w:val="00354BAE"/>
    <w:rsid w:val="00354D83"/>
    <w:rsid w:val="00355406"/>
    <w:rsid w:val="00355787"/>
    <w:rsid w:val="00355BAC"/>
    <w:rsid w:val="003562AE"/>
    <w:rsid w:val="003565D5"/>
    <w:rsid w:val="00356614"/>
    <w:rsid w:val="00356A06"/>
    <w:rsid w:val="00356E7E"/>
    <w:rsid w:val="003571CA"/>
    <w:rsid w:val="00357529"/>
    <w:rsid w:val="0035799A"/>
    <w:rsid w:val="00357D59"/>
    <w:rsid w:val="00357F71"/>
    <w:rsid w:val="003602B2"/>
    <w:rsid w:val="0036046C"/>
    <w:rsid w:val="003606D8"/>
    <w:rsid w:val="00360921"/>
    <w:rsid w:val="00360BF6"/>
    <w:rsid w:val="00360E0D"/>
    <w:rsid w:val="003615EE"/>
    <w:rsid w:val="00361767"/>
    <w:rsid w:val="003618C8"/>
    <w:rsid w:val="003618D9"/>
    <w:rsid w:val="00361A91"/>
    <w:rsid w:val="00361E5D"/>
    <w:rsid w:val="00362153"/>
    <w:rsid w:val="0036273D"/>
    <w:rsid w:val="0036281C"/>
    <w:rsid w:val="003628A7"/>
    <w:rsid w:val="003629DB"/>
    <w:rsid w:val="00363230"/>
    <w:rsid w:val="0036337B"/>
    <w:rsid w:val="003634B9"/>
    <w:rsid w:val="003634F3"/>
    <w:rsid w:val="003636FA"/>
    <w:rsid w:val="0036376E"/>
    <w:rsid w:val="00363801"/>
    <w:rsid w:val="00363884"/>
    <w:rsid w:val="00363899"/>
    <w:rsid w:val="00363DFF"/>
    <w:rsid w:val="00363E10"/>
    <w:rsid w:val="00363E38"/>
    <w:rsid w:val="00363F4F"/>
    <w:rsid w:val="00364460"/>
    <w:rsid w:val="00364C58"/>
    <w:rsid w:val="0036515C"/>
    <w:rsid w:val="00365B0F"/>
    <w:rsid w:val="0036610E"/>
    <w:rsid w:val="003663DA"/>
    <w:rsid w:val="003666C6"/>
    <w:rsid w:val="00366729"/>
    <w:rsid w:val="00366DA4"/>
    <w:rsid w:val="00366DFA"/>
    <w:rsid w:val="00366E03"/>
    <w:rsid w:val="00367007"/>
    <w:rsid w:val="0036706D"/>
    <w:rsid w:val="003674F8"/>
    <w:rsid w:val="00367559"/>
    <w:rsid w:val="003701BA"/>
    <w:rsid w:val="00370B5B"/>
    <w:rsid w:val="00370DC5"/>
    <w:rsid w:val="00370E68"/>
    <w:rsid w:val="00371148"/>
    <w:rsid w:val="003713AF"/>
    <w:rsid w:val="00371832"/>
    <w:rsid w:val="00371C70"/>
    <w:rsid w:val="0037200E"/>
    <w:rsid w:val="00372799"/>
    <w:rsid w:val="00372D26"/>
    <w:rsid w:val="00373B90"/>
    <w:rsid w:val="00374134"/>
    <w:rsid w:val="003741F2"/>
    <w:rsid w:val="00374283"/>
    <w:rsid w:val="0037434B"/>
    <w:rsid w:val="0037482B"/>
    <w:rsid w:val="003755C2"/>
    <w:rsid w:val="00375744"/>
    <w:rsid w:val="00375D87"/>
    <w:rsid w:val="00375FB3"/>
    <w:rsid w:val="003763F0"/>
    <w:rsid w:val="0037686C"/>
    <w:rsid w:val="00376E39"/>
    <w:rsid w:val="003771B9"/>
    <w:rsid w:val="00377374"/>
    <w:rsid w:val="003774DD"/>
    <w:rsid w:val="003779FC"/>
    <w:rsid w:val="00377AD4"/>
    <w:rsid w:val="00377D46"/>
    <w:rsid w:val="003801A4"/>
    <w:rsid w:val="003807C1"/>
    <w:rsid w:val="00380A9E"/>
    <w:rsid w:val="00380BB2"/>
    <w:rsid w:val="00380E9D"/>
    <w:rsid w:val="00381045"/>
    <w:rsid w:val="003811DB"/>
    <w:rsid w:val="0038132F"/>
    <w:rsid w:val="00381414"/>
    <w:rsid w:val="00381731"/>
    <w:rsid w:val="00381F47"/>
    <w:rsid w:val="003824EC"/>
    <w:rsid w:val="003824F5"/>
    <w:rsid w:val="003829A9"/>
    <w:rsid w:val="00382A7E"/>
    <w:rsid w:val="00382A98"/>
    <w:rsid w:val="00382BA0"/>
    <w:rsid w:val="00382E8F"/>
    <w:rsid w:val="0038325D"/>
    <w:rsid w:val="003833EA"/>
    <w:rsid w:val="00383458"/>
    <w:rsid w:val="00383601"/>
    <w:rsid w:val="00383D04"/>
    <w:rsid w:val="00383EBB"/>
    <w:rsid w:val="003848C6"/>
    <w:rsid w:val="00384933"/>
    <w:rsid w:val="003849EA"/>
    <w:rsid w:val="0038507C"/>
    <w:rsid w:val="003851D9"/>
    <w:rsid w:val="00385FFC"/>
    <w:rsid w:val="00386297"/>
    <w:rsid w:val="0038630A"/>
    <w:rsid w:val="003869D5"/>
    <w:rsid w:val="00386C4F"/>
    <w:rsid w:val="00386C6B"/>
    <w:rsid w:val="00387033"/>
    <w:rsid w:val="00387217"/>
    <w:rsid w:val="003875E2"/>
    <w:rsid w:val="00387A5E"/>
    <w:rsid w:val="00390E5C"/>
    <w:rsid w:val="00391092"/>
    <w:rsid w:val="003910BB"/>
    <w:rsid w:val="00391381"/>
    <w:rsid w:val="00391420"/>
    <w:rsid w:val="003914F4"/>
    <w:rsid w:val="00391757"/>
    <w:rsid w:val="00391ABD"/>
    <w:rsid w:val="00391B58"/>
    <w:rsid w:val="00391DA9"/>
    <w:rsid w:val="00392403"/>
    <w:rsid w:val="00392FDC"/>
    <w:rsid w:val="0039332C"/>
    <w:rsid w:val="0039353D"/>
    <w:rsid w:val="0039383C"/>
    <w:rsid w:val="00393CC7"/>
    <w:rsid w:val="00393D73"/>
    <w:rsid w:val="00394416"/>
    <w:rsid w:val="0039442F"/>
    <w:rsid w:val="00394B7A"/>
    <w:rsid w:val="00394CA7"/>
    <w:rsid w:val="0039507F"/>
    <w:rsid w:val="00395764"/>
    <w:rsid w:val="00395AE5"/>
    <w:rsid w:val="00396026"/>
    <w:rsid w:val="0039610A"/>
    <w:rsid w:val="003964F5"/>
    <w:rsid w:val="003965E9"/>
    <w:rsid w:val="00397470"/>
    <w:rsid w:val="00397BF4"/>
    <w:rsid w:val="00397C48"/>
    <w:rsid w:val="003A0061"/>
    <w:rsid w:val="003A05CD"/>
    <w:rsid w:val="003A10CF"/>
    <w:rsid w:val="003A2326"/>
    <w:rsid w:val="003A2678"/>
    <w:rsid w:val="003A26A5"/>
    <w:rsid w:val="003A2837"/>
    <w:rsid w:val="003A2D29"/>
    <w:rsid w:val="003A3158"/>
    <w:rsid w:val="003A35C5"/>
    <w:rsid w:val="003A36D6"/>
    <w:rsid w:val="003A4073"/>
    <w:rsid w:val="003A4E3C"/>
    <w:rsid w:val="003A4F00"/>
    <w:rsid w:val="003A5208"/>
    <w:rsid w:val="003A540B"/>
    <w:rsid w:val="003A5429"/>
    <w:rsid w:val="003A59F9"/>
    <w:rsid w:val="003A5B2F"/>
    <w:rsid w:val="003A5DFF"/>
    <w:rsid w:val="003A5FAD"/>
    <w:rsid w:val="003A61DB"/>
    <w:rsid w:val="003A6BF8"/>
    <w:rsid w:val="003A7B2E"/>
    <w:rsid w:val="003A7B30"/>
    <w:rsid w:val="003A7D99"/>
    <w:rsid w:val="003B00EA"/>
    <w:rsid w:val="003B103A"/>
    <w:rsid w:val="003B15CE"/>
    <w:rsid w:val="003B1982"/>
    <w:rsid w:val="003B1B1C"/>
    <w:rsid w:val="003B1C15"/>
    <w:rsid w:val="003B2015"/>
    <w:rsid w:val="003B2A59"/>
    <w:rsid w:val="003B2C18"/>
    <w:rsid w:val="003B2D92"/>
    <w:rsid w:val="003B2FEB"/>
    <w:rsid w:val="003B3DA2"/>
    <w:rsid w:val="003B4147"/>
    <w:rsid w:val="003B4210"/>
    <w:rsid w:val="003B49DD"/>
    <w:rsid w:val="003B4AB5"/>
    <w:rsid w:val="003B4B0F"/>
    <w:rsid w:val="003B56BF"/>
    <w:rsid w:val="003B5E03"/>
    <w:rsid w:val="003B63AA"/>
    <w:rsid w:val="003C0930"/>
    <w:rsid w:val="003C0DF6"/>
    <w:rsid w:val="003C106A"/>
    <w:rsid w:val="003C1086"/>
    <w:rsid w:val="003C1158"/>
    <w:rsid w:val="003C1206"/>
    <w:rsid w:val="003C12A5"/>
    <w:rsid w:val="003C15A1"/>
    <w:rsid w:val="003C16D1"/>
    <w:rsid w:val="003C189B"/>
    <w:rsid w:val="003C1A70"/>
    <w:rsid w:val="003C1B9D"/>
    <w:rsid w:val="003C1BA3"/>
    <w:rsid w:val="003C1DE8"/>
    <w:rsid w:val="003C2103"/>
    <w:rsid w:val="003C2463"/>
    <w:rsid w:val="003C2480"/>
    <w:rsid w:val="003C266B"/>
    <w:rsid w:val="003C29AE"/>
    <w:rsid w:val="003C2F41"/>
    <w:rsid w:val="003C3315"/>
    <w:rsid w:val="003C3384"/>
    <w:rsid w:val="003C33DC"/>
    <w:rsid w:val="003C3C89"/>
    <w:rsid w:val="003C3CA5"/>
    <w:rsid w:val="003C3E57"/>
    <w:rsid w:val="003C4992"/>
    <w:rsid w:val="003C4A90"/>
    <w:rsid w:val="003C4BC6"/>
    <w:rsid w:val="003C4F26"/>
    <w:rsid w:val="003C50C2"/>
    <w:rsid w:val="003C533C"/>
    <w:rsid w:val="003C566C"/>
    <w:rsid w:val="003C5D57"/>
    <w:rsid w:val="003C602B"/>
    <w:rsid w:val="003C6524"/>
    <w:rsid w:val="003C672D"/>
    <w:rsid w:val="003C6777"/>
    <w:rsid w:val="003C6E03"/>
    <w:rsid w:val="003C6EA3"/>
    <w:rsid w:val="003C6ED3"/>
    <w:rsid w:val="003C7527"/>
    <w:rsid w:val="003C753E"/>
    <w:rsid w:val="003C79BD"/>
    <w:rsid w:val="003D0638"/>
    <w:rsid w:val="003D0B64"/>
    <w:rsid w:val="003D0BAB"/>
    <w:rsid w:val="003D16C8"/>
    <w:rsid w:val="003D1713"/>
    <w:rsid w:val="003D183A"/>
    <w:rsid w:val="003D1C0D"/>
    <w:rsid w:val="003D1D5C"/>
    <w:rsid w:val="003D1ECA"/>
    <w:rsid w:val="003D2427"/>
    <w:rsid w:val="003D2520"/>
    <w:rsid w:val="003D25CB"/>
    <w:rsid w:val="003D25D9"/>
    <w:rsid w:val="003D2716"/>
    <w:rsid w:val="003D28A8"/>
    <w:rsid w:val="003D2E6D"/>
    <w:rsid w:val="003D2E75"/>
    <w:rsid w:val="003D3632"/>
    <w:rsid w:val="003D3638"/>
    <w:rsid w:val="003D39CE"/>
    <w:rsid w:val="003D3A92"/>
    <w:rsid w:val="003D3CC6"/>
    <w:rsid w:val="003D3CFF"/>
    <w:rsid w:val="003D3DDC"/>
    <w:rsid w:val="003D3ECF"/>
    <w:rsid w:val="003D3F09"/>
    <w:rsid w:val="003D4480"/>
    <w:rsid w:val="003D44D5"/>
    <w:rsid w:val="003D59BC"/>
    <w:rsid w:val="003D5A23"/>
    <w:rsid w:val="003D644A"/>
    <w:rsid w:val="003D6A8E"/>
    <w:rsid w:val="003D6D91"/>
    <w:rsid w:val="003D763C"/>
    <w:rsid w:val="003D780F"/>
    <w:rsid w:val="003D7C43"/>
    <w:rsid w:val="003E012B"/>
    <w:rsid w:val="003E02DE"/>
    <w:rsid w:val="003E05FB"/>
    <w:rsid w:val="003E087A"/>
    <w:rsid w:val="003E0891"/>
    <w:rsid w:val="003E0A97"/>
    <w:rsid w:val="003E0D5A"/>
    <w:rsid w:val="003E0DBF"/>
    <w:rsid w:val="003E17E9"/>
    <w:rsid w:val="003E1B95"/>
    <w:rsid w:val="003E2003"/>
    <w:rsid w:val="003E20A4"/>
    <w:rsid w:val="003E2152"/>
    <w:rsid w:val="003E28FA"/>
    <w:rsid w:val="003E2AA7"/>
    <w:rsid w:val="003E30CD"/>
    <w:rsid w:val="003E33B8"/>
    <w:rsid w:val="003E3443"/>
    <w:rsid w:val="003E464C"/>
    <w:rsid w:val="003E4654"/>
    <w:rsid w:val="003E47E8"/>
    <w:rsid w:val="003E4AA6"/>
    <w:rsid w:val="003E4AC7"/>
    <w:rsid w:val="003E4E66"/>
    <w:rsid w:val="003E50E9"/>
    <w:rsid w:val="003E580C"/>
    <w:rsid w:val="003E5891"/>
    <w:rsid w:val="003E5D89"/>
    <w:rsid w:val="003E5F03"/>
    <w:rsid w:val="003E5FEE"/>
    <w:rsid w:val="003E6072"/>
    <w:rsid w:val="003E6135"/>
    <w:rsid w:val="003E613D"/>
    <w:rsid w:val="003E620D"/>
    <w:rsid w:val="003E6871"/>
    <w:rsid w:val="003E6920"/>
    <w:rsid w:val="003E6F35"/>
    <w:rsid w:val="003E7193"/>
    <w:rsid w:val="003E73D4"/>
    <w:rsid w:val="003E7555"/>
    <w:rsid w:val="003E76A0"/>
    <w:rsid w:val="003E7A5F"/>
    <w:rsid w:val="003F0044"/>
    <w:rsid w:val="003F06C3"/>
    <w:rsid w:val="003F08D2"/>
    <w:rsid w:val="003F1303"/>
    <w:rsid w:val="003F223F"/>
    <w:rsid w:val="003F2465"/>
    <w:rsid w:val="003F2A12"/>
    <w:rsid w:val="003F2AE6"/>
    <w:rsid w:val="003F2F03"/>
    <w:rsid w:val="003F34A2"/>
    <w:rsid w:val="003F3A82"/>
    <w:rsid w:val="003F3BF2"/>
    <w:rsid w:val="003F437C"/>
    <w:rsid w:val="003F47D4"/>
    <w:rsid w:val="003F4A1E"/>
    <w:rsid w:val="003F4A38"/>
    <w:rsid w:val="003F4E65"/>
    <w:rsid w:val="003F585C"/>
    <w:rsid w:val="003F58C6"/>
    <w:rsid w:val="003F598E"/>
    <w:rsid w:val="003F5B79"/>
    <w:rsid w:val="003F5B9E"/>
    <w:rsid w:val="003F5F56"/>
    <w:rsid w:val="003F63C7"/>
    <w:rsid w:val="003F67BE"/>
    <w:rsid w:val="003F67D8"/>
    <w:rsid w:val="003F6CDD"/>
    <w:rsid w:val="003F6D98"/>
    <w:rsid w:val="003F75B2"/>
    <w:rsid w:val="003F77AD"/>
    <w:rsid w:val="003F7AAE"/>
    <w:rsid w:val="003F7C53"/>
    <w:rsid w:val="00400090"/>
    <w:rsid w:val="00400C3D"/>
    <w:rsid w:val="0040119C"/>
    <w:rsid w:val="00401577"/>
    <w:rsid w:val="004015A5"/>
    <w:rsid w:val="00401A7D"/>
    <w:rsid w:val="00401D4B"/>
    <w:rsid w:val="00401DF6"/>
    <w:rsid w:val="00401EE8"/>
    <w:rsid w:val="00402020"/>
    <w:rsid w:val="00402083"/>
    <w:rsid w:val="00402183"/>
    <w:rsid w:val="00402EED"/>
    <w:rsid w:val="00403391"/>
    <w:rsid w:val="00403818"/>
    <w:rsid w:val="00403F5C"/>
    <w:rsid w:val="004048E6"/>
    <w:rsid w:val="00404CAE"/>
    <w:rsid w:val="00405111"/>
    <w:rsid w:val="00405DB6"/>
    <w:rsid w:val="0040621F"/>
    <w:rsid w:val="004063C0"/>
    <w:rsid w:val="00406AEF"/>
    <w:rsid w:val="00406C64"/>
    <w:rsid w:val="00406E16"/>
    <w:rsid w:val="004072E2"/>
    <w:rsid w:val="004074C0"/>
    <w:rsid w:val="00407F66"/>
    <w:rsid w:val="0041014C"/>
    <w:rsid w:val="00410348"/>
    <w:rsid w:val="004105DF"/>
    <w:rsid w:val="00410B3A"/>
    <w:rsid w:val="0041104F"/>
    <w:rsid w:val="00411059"/>
    <w:rsid w:val="00411532"/>
    <w:rsid w:val="00411CD5"/>
    <w:rsid w:val="00411D64"/>
    <w:rsid w:val="0041205B"/>
    <w:rsid w:val="004121DD"/>
    <w:rsid w:val="0041246E"/>
    <w:rsid w:val="00412B36"/>
    <w:rsid w:val="00412B6D"/>
    <w:rsid w:val="00412E17"/>
    <w:rsid w:val="004132EF"/>
    <w:rsid w:val="004134FD"/>
    <w:rsid w:val="0041352E"/>
    <w:rsid w:val="0041410B"/>
    <w:rsid w:val="004141BC"/>
    <w:rsid w:val="00414DF4"/>
    <w:rsid w:val="00414F3B"/>
    <w:rsid w:val="00415E09"/>
    <w:rsid w:val="0041632F"/>
    <w:rsid w:val="004164CF"/>
    <w:rsid w:val="00416689"/>
    <w:rsid w:val="00416B3E"/>
    <w:rsid w:val="00416C8F"/>
    <w:rsid w:val="00417373"/>
    <w:rsid w:val="004173D7"/>
    <w:rsid w:val="00417B21"/>
    <w:rsid w:val="00417BEA"/>
    <w:rsid w:val="00417BF8"/>
    <w:rsid w:val="00417EA4"/>
    <w:rsid w:val="00420081"/>
    <w:rsid w:val="0042044E"/>
    <w:rsid w:val="00420598"/>
    <w:rsid w:val="00420667"/>
    <w:rsid w:val="00420823"/>
    <w:rsid w:val="0042089F"/>
    <w:rsid w:val="0042169D"/>
    <w:rsid w:val="00421941"/>
    <w:rsid w:val="00421A97"/>
    <w:rsid w:val="00422796"/>
    <w:rsid w:val="00422ABB"/>
    <w:rsid w:val="00422F8A"/>
    <w:rsid w:val="004232B2"/>
    <w:rsid w:val="0042332B"/>
    <w:rsid w:val="00423747"/>
    <w:rsid w:val="004239F1"/>
    <w:rsid w:val="00423AA5"/>
    <w:rsid w:val="00423B23"/>
    <w:rsid w:val="00423B5E"/>
    <w:rsid w:val="00423C82"/>
    <w:rsid w:val="004245D6"/>
    <w:rsid w:val="00424A21"/>
    <w:rsid w:val="00425101"/>
    <w:rsid w:val="0042541A"/>
    <w:rsid w:val="004257B6"/>
    <w:rsid w:val="004257F8"/>
    <w:rsid w:val="00425880"/>
    <w:rsid w:val="00425B76"/>
    <w:rsid w:val="00425EC4"/>
    <w:rsid w:val="004264C2"/>
    <w:rsid w:val="00426BC0"/>
    <w:rsid w:val="00426D49"/>
    <w:rsid w:val="004276E9"/>
    <w:rsid w:val="00427749"/>
    <w:rsid w:val="00427B92"/>
    <w:rsid w:val="004307CC"/>
    <w:rsid w:val="0043080E"/>
    <w:rsid w:val="00430BD7"/>
    <w:rsid w:val="00430EB4"/>
    <w:rsid w:val="004311D1"/>
    <w:rsid w:val="00431681"/>
    <w:rsid w:val="00431C20"/>
    <w:rsid w:val="004322E5"/>
    <w:rsid w:val="00432831"/>
    <w:rsid w:val="00432ED3"/>
    <w:rsid w:val="00433121"/>
    <w:rsid w:val="00433858"/>
    <w:rsid w:val="00433D79"/>
    <w:rsid w:val="00434056"/>
    <w:rsid w:val="004341E9"/>
    <w:rsid w:val="0043464E"/>
    <w:rsid w:val="004349B4"/>
    <w:rsid w:val="0043533B"/>
    <w:rsid w:val="0043544C"/>
    <w:rsid w:val="004355F9"/>
    <w:rsid w:val="00435B3F"/>
    <w:rsid w:val="00435ECC"/>
    <w:rsid w:val="00436157"/>
    <w:rsid w:val="0043656E"/>
    <w:rsid w:val="004365CB"/>
    <w:rsid w:val="004369B9"/>
    <w:rsid w:val="00437330"/>
    <w:rsid w:val="00437455"/>
    <w:rsid w:val="0043796C"/>
    <w:rsid w:val="00437D5D"/>
    <w:rsid w:val="00440166"/>
    <w:rsid w:val="004401B1"/>
    <w:rsid w:val="004404F1"/>
    <w:rsid w:val="00440828"/>
    <w:rsid w:val="00441278"/>
    <w:rsid w:val="0044141F"/>
    <w:rsid w:val="00441814"/>
    <w:rsid w:val="00441D07"/>
    <w:rsid w:val="004425B3"/>
    <w:rsid w:val="0044323C"/>
    <w:rsid w:val="004432A4"/>
    <w:rsid w:val="00443644"/>
    <w:rsid w:val="004436A3"/>
    <w:rsid w:val="00443925"/>
    <w:rsid w:val="00443E86"/>
    <w:rsid w:val="004444C1"/>
    <w:rsid w:val="00444904"/>
    <w:rsid w:val="00444A3C"/>
    <w:rsid w:val="00444D4D"/>
    <w:rsid w:val="0044567A"/>
    <w:rsid w:val="004456E1"/>
    <w:rsid w:val="00445850"/>
    <w:rsid w:val="00445DDB"/>
    <w:rsid w:val="0044601B"/>
    <w:rsid w:val="004466AA"/>
    <w:rsid w:val="004466C1"/>
    <w:rsid w:val="00446FDB"/>
    <w:rsid w:val="004472CB"/>
    <w:rsid w:val="00447A86"/>
    <w:rsid w:val="004507A8"/>
    <w:rsid w:val="00450BF9"/>
    <w:rsid w:val="0045120F"/>
    <w:rsid w:val="00451378"/>
    <w:rsid w:val="00451A40"/>
    <w:rsid w:val="00451C06"/>
    <w:rsid w:val="0045222E"/>
    <w:rsid w:val="00453493"/>
    <w:rsid w:val="00453562"/>
    <w:rsid w:val="00453814"/>
    <w:rsid w:val="00453BA7"/>
    <w:rsid w:val="00453F38"/>
    <w:rsid w:val="00454B3F"/>
    <w:rsid w:val="00454D69"/>
    <w:rsid w:val="004559A3"/>
    <w:rsid w:val="00455C96"/>
    <w:rsid w:val="00456160"/>
    <w:rsid w:val="004565D9"/>
    <w:rsid w:val="0045681E"/>
    <w:rsid w:val="00456F76"/>
    <w:rsid w:val="004577DB"/>
    <w:rsid w:val="00457859"/>
    <w:rsid w:val="00457B76"/>
    <w:rsid w:val="00457F59"/>
    <w:rsid w:val="00457FBB"/>
    <w:rsid w:val="00457FE1"/>
    <w:rsid w:val="00460137"/>
    <w:rsid w:val="004604EE"/>
    <w:rsid w:val="004605CB"/>
    <w:rsid w:val="00460670"/>
    <w:rsid w:val="00460A44"/>
    <w:rsid w:val="00460A84"/>
    <w:rsid w:val="00460C01"/>
    <w:rsid w:val="00460DC2"/>
    <w:rsid w:val="00460EB7"/>
    <w:rsid w:val="00461267"/>
    <w:rsid w:val="00461B31"/>
    <w:rsid w:val="00461B82"/>
    <w:rsid w:val="00461BC1"/>
    <w:rsid w:val="00461EB5"/>
    <w:rsid w:val="00461F40"/>
    <w:rsid w:val="00462004"/>
    <w:rsid w:val="00462130"/>
    <w:rsid w:val="00462624"/>
    <w:rsid w:val="004626B0"/>
    <w:rsid w:val="00462FF3"/>
    <w:rsid w:val="00462FFE"/>
    <w:rsid w:val="00463575"/>
    <w:rsid w:val="004636B5"/>
    <w:rsid w:val="004644CC"/>
    <w:rsid w:val="0046463B"/>
    <w:rsid w:val="00464E4D"/>
    <w:rsid w:val="00464EA9"/>
    <w:rsid w:val="00464EED"/>
    <w:rsid w:val="004653D1"/>
    <w:rsid w:val="00465413"/>
    <w:rsid w:val="00465706"/>
    <w:rsid w:val="00465B99"/>
    <w:rsid w:val="00466563"/>
    <w:rsid w:val="004667E3"/>
    <w:rsid w:val="00466BEF"/>
    <w:rsid w:val="00466D4D"/>
    <w:rsid w:val="00466DD9"/>
    <w:rsid w:val="0046728A"/>
    <w:rsid w:val="00467513"/>
    <w:rsid w:val="0046760C"/>
    <w:rsid w:val="00467B40"/>
    <w:rsid w:val="00467C67"/>
    <w:rsid w:val="00467D1E"/>
    <w:rsid w:val="004700A6"/>
    <w:rsid w:val="004701A1"/>
    <w:rsid w:val="00470693"/>
    <w:rsid w:val="00470CF2"/>
    <w:rsid w:val="00471106"/>
    <w:rsid w:val="004711D9"/>
    <w:rsid w:val="0047134E"/>
    <w:rsid w:val="004717ED"/>
    <w:rsid w:val="004718C0"/>
    <w:rsid w:val="00471E72"/>
    <w:rsid w:val="00471FA1"/>
    <w:rsid w:val="0047236E"/>
    <w:rsid w:val="004724E8"/>
    <w:rsid w:val="00472972"/>
    <w:rsid w:val="00472DB0"/>
    <w:rsid w:val="00473355"/>
    <w:rsid w:val="00473390"/>
    <w:rsid w:val="004733EA"/>
    <w:rsid w:val="00473483"/>
    <w:rsid w:val="0047399F"/>
    <w:rsid w:val="00473C38"/>
    <w:rsid w:val="00473DEB"/>
    <w:rsid w:val="0047408E"/>
    <w:rsid w:val="00474176"/>
    <w:rsid w:val="004743B8"/>
    <w:rsid w:val="00474DA6"/>
    <w:rsid w:val="00474F47"/>
    <w:rsid w:val="00475001"/>
    <w:rsid w:val="0047544E"/>
    <w:rsid w:val="00475A4F"/>
    <w:rsid w:val="00475C8A"/>
    <w:rsid w:val="00475E2D"/>
    <w:rsid w:val="0047655C"/>
    <w:rsid w:val="004765C9"/>
    <w:rsid w:val="0047676D"/>
    <w:rsid w:val="00476B6A"/>
    <w:rsid w:val="00476BBE"/>
    <w:rsid w:val="00476BFC"/>
    <w:rsid w:val="00476D1E"/>
    <w:rsid w:val="004770B7"/>
    <w:rsid w:val="004770BA"/>
    <w:rsid w:val="00477427"/>
    <w:rsid w:val="00477C55"/>
    <w:rsid w:val="00477D92"/>
    <w:rsid w:val="00477F15"/>
    <w:rsid w:val="00477FA1"/>
    <w:rsid w:val="004803F4"/>
    <w:rsid w:val="0048051A"/>
    <w:rsid w:val="00480633"/>
    <w:rsid w:val="004811E8"/>
    <w:rsid w:val="00481296"/>
    <w:rsid w:val="00481AAB"/>
    <w:rsid w:val="00481B14"/>
    <w:rsid w:val="00481B70"/>
    <w:rsid w:val="00481C27"/>
    <w:rsid w:val="00481DD7"/>
    <w:rsid w:val="00482161"/>
    <w:rsid w:val="004822C1"/>
    <w:rsid w:val="0048231D"/>
    <w:rsid w:val="00482C63"/>
    <w:rsid w:val="00482DBF"/>
    <w:rsid w:val="004833AA"/>
    <w:rsid w:val="00483514"/>
    <w:rsid w:val="00483B06"/>
    <w:rsid w:val="00483F5A"/>
    <w:rsid w:val="00484014"/>
    <w:rsid w:val="00485091"/>
    <w:rsid w:val="004850D2"/>
    <w:rsid w:val="004855E6"/>
    <w:rsid w:val="004857FF"/>
    <w:rsid w:val="00485ACC"/>
    <w:rsid w:val="00485DAE"/>
    <w:rsid w:val="00486444"/>
    <w:rsid w:val="004872CA"/>
    <w:rsid w:val="00487624"/>
    <w:rsid w:val="0048762D"/>
    <w:rsid w:val="00487FFC"/>
    <w:rsid w:val="004900B0"/>
    <w:rsid w:val="004904F1"/>
    <w:rsid w:val="004908A3"/>
    <w:rsid w:val="00490B64"/>
    <w:rsid w:val="00490B91"/>
    <w:rsid w:val="00491148"/>
    <w:rsid w:val="00491158"/>
    <w:rsid w:val="0049177E"/>
    <w:rsid w:val="00491A7D"/>
    <w:rsid w:val="004921E5"/>
    <w:rsid w:val="00492322"/>
    <w:rsid w:val="004925BB"/>
    <w:rsid w:val="0049295B"/>
    <w:rsid w:val="0049309E"/>
    <w:rsid w:val="00493332"/>
    <w:rsid w:val="0049337C"/>
    <w:rsid w:val="00493AA4"/>
    <w:rsid w:val="00493B4D"/>
    <w:rsid w:val="00493B96"/>
    <w:rsid w:val="00493CE0"/>
    <w:rsid w:val="00493D18"/>
    <w:rsid w:val="00494213"/>
    <w:rsid w:val="0049425A"/>
    <w:rsid w:val="00494B71"/>
    <w:rsid w:val="00494D29"/>
    <w:rsid w:val="00494F5E"/>
    <w:rsid w:val="00495673"/>
    <w:rsid w:val="0049588F"/>
    <w:rsid w:val="00495DBB"/>
    <w:rsid w:val="00496FFD"/>
    <w:rsid w:val="004973AA"/>
    <w:rsid w:val="00497A4D"/>
    <w:rsid w:val="004A01D5"/>
    <w:rsid w:val="004A0659"/>
    <w:rsid w:val="004A098F"/>
    <w:rsid w:val="004A0B9B"/>
    <w:rsid w:val="004A0C7C"/>
    <w:rsid w:val="004A0EDE"/>
    <w:rsid w:val="004A16FD"/>
    <w:rsid w:val="004A188C"/>
    <w:rsid w:val="004A1FA2"/>
    <w:rsid w:val="004A22DA"/>
    <w:rsid w:val="004A25A1"/>
    <w:rsid w:val="004A2958"/>
    <w:rsid w:val="004A29D9"/>
    <w:rsid w:val="004A2AAE"/>
    <w:rsid w:val="004A2D43"/>
    <w:rsid w:val="004A2D69"/>
    <w:rsid w:val="004A314D"/>
    <w:rsid w:val="004A33BA"/>
    <w:rsid w:val="004A35B4"/>
    <w:rsid w:val="004A3645"/>
    <w:rsid w:val="004A3ACD"/>
    <w:rsid w:val="004A4643"/>
    <w:rsid w:val="004A4A51"/>
    <w:rsid w:val="004A5384"/>
    <w:rsid w:val="004A546C"/>
    <w:rsid w:val="004A54D1"/>
    <w:rsid w:val="004A54EF"/>
    <w:rsid w:val="004A57D5"/>
    <w:rsid w:val="004A5DFF"/>
    <w:rsid w:val="004A63D0"/>
    <w:rsid w:val="004A680E"/>
    <w:rsid w:val="004A6963"/>
    <w:rsid w:val="004A6CE0"/>
    <w:rsid w:val="004A6FBB"/>
    <w:rsid w:val="004A73D7"/>
    <w:rsid w:val="004A763C"/>
    <w:rsid w:val="004A7678"/>
    <w:rsid w:val="004A7996"/>
    <w:rsid w:val="004B0144"/>
    <w:rsid w:val="004B0206"/>
    <w:rsid w:val="004B05E5"/>
    <w:rsid w:val="004B0788"/>
    <w:rsid w:val="004B0919"/>
    <w:rsid w:val="004B0C95"/>
    <w:rsid w:val="004B0E84"/>
    <w:rsid w:val="004B0E87"/>
    <w:rsid w:val="004B0F0A"/>
    <w:rsid w:val="004B122B"/>
    <w:rsid w:val="004B15F8"/>
    <w:rsid w:val="004B1FA4"/>
    <w:rsid w:val="004B2113"/>
    <w:rsid w:val="004B251E"/>
    <w:rsid w:val="004B2AE4"/>
    <w:rsid w:val="004B2D16"/>
    <w:rsid w:val="004B3418"/>
    <w:rsid w:val="004B36DA"/>
    <w:rsid w:val="004B3AD8"/>
    <w:rsid w:val="004B3B8D"/>
    <w:rsid w:val="004B4419"/>
    <w:rsid w:val="004B46A2"/>
    <w:rsid w:val="004B57D9"/>
    <w:rsid w:val="004B593C"/>
    <w:rsid w:val="004B5B4A"/>
    <w:rsid w:val="004B5EA2"/>
    <w:rsid w:val="004B63EB"/>
    <w:rsid w:val="004B64D5"/>
    <w:rsid w:val="004B6500"/>
    <w:rsid w:val="004B6527"/>
    <w:rsid w:val="004B6FF4"/>
    <w:rsid w:val="004B707D"/>
    <w:rsid w:val="004B777A"/>
    <w:rsid w:val="004B790A"/>
    <w:rsid w:val="004C0064"/>
    <w:rsid w:val="004C09E6"/>
    <w:rsid w:val="004C0D22"/>
    <w:rsid w:val="004C0D92"/>
    <w:rsid w:val="004C132A"/>
    <w:rsid w:val="004C1499"/>
    <w:rsid w:val="004C1EC7"/>
    <w:rsid w:val="004C2032"/>
    <w:rsid w:val="004C28F9"/>
    <w:rsid w:val="004C3202"/>
    <w:rsid w:val="004C3519"/>
    <w:rsid w:val="004C3600"/>
    <w:rsid w:val="004C3C64"/>
    <w:rsid w:val="004C3F7B"/>
    <w:rsid w:val="004C40D4"/>
    <w:rsid w:val="004C4759"/>
    <w:rsid w:val="004C4A4B"/>
    <w:rsid w:val="004C5015"/>
    <w:rsid w:val="004C56E4"/>
    <w:rsid w:val="004C5793"/>
    <w:rsid w:val="004C5ACD"/>
    <w:rsid w:val="004C5DB0"/>
    <w:rsid w:val="004C5DBB"/>
    <w:rsid w:val="004C6051"/>
    <w:rsid w:val="004C65A4"/>
    <w:rsid w:val="004C67FB"/>
    <w:rsid w:val="004C6A2A"/>
    <w:rsid w:val="004C70FF"/>
    <w:rsid w:val="004C7ADC"/>
    <w:rsid w:val="004D0235"/>
    <w:rsid w:val="004D0518"/>
    <w:rsid w:val="004D0698"/>
    <w:rsid w:val="004D0716"/>
    <w:rsid w:val="004D0792"/>
    <w:rsid w:val="004D0974"/>
    <w:rsid w:val="004D0D00"/>
    <w:rsid w:val="004D1427"/>
    <w:rsid w:val="004D1628"/>
    <w:rsid w:val="004D18A6"/>
    <w:rsid w:val="004D1BC8"/>
    <w:rsid w:val="004D1F3B"/>
    <w:rsid w:val="004D23E8"/>
    <w:rsid w:val="004D28F7"/>
    <w:rsid w:val="004D2C0D"/>
    <w:rsid w:val="004D2CD3"/>
    <w:rsid w:val="004D2E9D"/>
    <w:rsid w:val="004D45A4"/>
    <w:rsid w:val="004D4B03"/>
    <w:rsid w:val="004D4B21"/>
    <w:rsid w:val="004D50D6"/>
    <w:rsid w:val="004D50F2"/>
    <w:rsid w:val="004D51EF"/>
    <w:rsid w:val="004D559F"/>
    <w:rsid w:val="004D5892"/>
    <w:rsid w:val="004D5FD8"/>
    <w:rsid w:val="004D64BE"/>
    <w:rsid w:val="004D686C"/>
    <w:rsid w:val="004D6AD6"/>
    <w:rsid w:val="004D6B4C"/>
    <w:rsid w:val="004D6D9E"/>
    <w:rsid w:val="004D7086"/>
    <w:rsid w:val="004D7211"/>
    <w:rsid w:val="004D791B"/>
    <w:rsid w:val="004D7E6C"/>
    <w:rsid w:val="004E1482"/>
    <w:rsid w:val="004E1B11"/>
    <w:rsid w:val="004E22A5"/>
    <w:rsid w:val="004E2645"/>
    <w:rsid w:val="004E2A10"/>
    <w:rsid w:val="004E2CAB"/>
    <w:rsid w:val="004E3529"/>
    <w:rsid w:val="004E395D"/>
    <w:rsid w:val="004E3AF2"/>
    <w:rsid w:val="004E3B8F"/>
    <w:rsid w:val="004E3BAF"/>
    <w:rsid w:val="004E4425"/>
    <w:rsid w:val="004E44F3"/>
    <w:rsid w:val="004E4D65"/>
    <w:rsid w:val="004E522F"/>
    <w:rsid w:val="004E5547"/>
    <w:rsid w:val="004E5958"/>
    <w:rsid w:val="004E5E18"/>
    <w:rsid w:val="004E661C"/>
    <w:rsid w:val="004E6A82"/>
    <w:rsid w:val="004E6B3A"/>
    <w:rsid w:val="004E70E8"/>
    <w:rsid w:val="004E73C5"/>
    <w:rsid w:val="004E78AE"/>
    <w:rsid w:val="004F05A0"/>
    <w:rsid w:val="004F064A"/>
    <w:rsid w:val="004F09E5"/>
    <w:rsid w:val="004F0B46"/>
    <w:rsid w:val="004F0CB9"/>
    <w:rsid w:val="004F0D46"/>
    <w:rsid w:val="004F0FDC"/>
    <w:rsid w:val="004F11EE"/>
    <w:rsid w:val="004F142E"/>
    <w:rsid w:val="004F163D"/>
    <w:rsid w:val="004F22E1"/>
    <w:rsid w:val="004F2542"/>
    <w:rsid w:val="004F25E1"/>
    <w:rsid w:val="004F3354"/>
    <w:rsid w:val="004F34CE"/>
    <w:rsid w:val="004F3645"/>
    <w:rsid w:val="004F3EAD"/>
    <w:rsid w:val="004F3FF8"/>
    <w:rsid w:val="004F446D"/>
    <w:rsid w:val="004F452F"/>
    <w:rsid w:val="004F4543"/>
    <w:rsid w:val="004F46C1"/>
    <w:rsid w:val="004F4ADF"/>
    <w:rsid w:val="004F512F"/>
    <w:rsid w:val="004F535F"/>
    <w:rsid w:val="004F536D"/>
    <w:rsid w:val="004F5CF1"/>
    <w:rsid w:val="004F64B9"/>
    <w:rsid w:val="004F7450"/>
    <w:rsid w:val="004F7D86"/>
    <w:rsid w:val="005004BB"/>
    <w:rsid w:val="0050055B"/>
    <w:rsid w:val="00500EFF"/>
    <w:rsid w:val="00501058"/>
    <w:rsid w:val="005015B5"/>
    <w:rsid w:val="00501855"/>
    <w:rsid w:val="005018D3"/>
    <w:rsid w:val="00501CDD"/>
    <w:rsid w:val="00501EDB"/>
    <w:rsid w:val="005021EB"/>
    <w:rsid w:val="00502258"/>
    <w:rsid w:val="0050286A"/>
    <w:rsid w:val="0050296F"/>
    <w:rsid w:val="00502ADA"/>
    <w:rsid w:val="005031BA"/>
    <w:rsid w:val="0050343C"/>
    <w:rsid w:val="005039AA"/>
    <w:rsid w:val="00503D1E"/>
    <w:rsid w:val="00503F7D"/>
    <w:rsid w:val="00504112"/>
    <w:rsid w:val="005042F5"/>
    <w:rsid w:val="00504462"/>
    <w:rsid w:val="0050448A"/>
    <w:rsid w:val="0050486B"/>
    <w:rsid w:val="00504960"/>
    <w:rsid w:val="00504D4E"/>
    <w:rsid w:val="005052CF"/>
    <w:rsid w:val="00505BE5"/>
    <w:rsid w:val="00505C8F"/>
    <w:rsid w:val="00505DDD"/>
    <w:rsid w:val="00505EBE"/>
    <w:rsid w:val="00506057"/>
    <w:rsid w:val="005060D4"/>
    <w:rsid w:val="005063AB"/>
    <w:rsid w:val="005063D5"/>
    <w:rsid w:val="00506555"/>
    <w:rsid w:val="00506C3D"/>
    <w:rsid w:val="00506C79"/>
    <w:rsid w:val="00506F6F"/>
    <w:rsid w:val="00507055"/>
    <w:rsid w:val="0050719B"/>
    <w:rsid w:val="005075BB"/>
    <w:rsid w:val="00507CFB"/>
    <w:rsid w:val="00510B67"/>
    <w:rsid w:val="00510FC5"/>
    <w:rsid w:val="005110E5"/>
    <w:rsid w:val="00511113"/>
    <w:rsid w:val="00511542"/>
    <w:rsid w:val="0051154D"/>
    <w:rsid w:val="00511952"/>
    <w:rsid w:val="0051195F"/>
    <w:rsid w:val="00512206"/>
    <w:rsid w:val="005123FD"/>
    <w:rsid w:val="00512700"/>
    <w:rsid w:val="005127C1"/>
    <w:rsid w:val="00512971"/>
    <w:rsid w:val="00512FD3"/>
    <w:rsid w:val="005132AA"/>
    <w:rsid w:val="00513566"/>
    <w:rsid w:val="00513604"/>
    <w:rsid w:val="00513A26"/>
    <w:rsid w:val="00513C30"/>
    <w:rsid w:val="00513FD8"/>
    <w:rsid w:val="0051447B"/>
    <w:rsid w:val="005145D2"/>
    <w:rsid w:val="00514699"/>
    <w:rsid w:val="0051488D"/>
    <w:rsid w:val="00515204"/>
    <w:rsid w:val="0051527C"/>
    <w:rsid w:val="0051582D"/>
    <w:rsid w:val="00515E18"/>
    <w:rsid w:val="00515FC7"/>
    <w:rsid w:val="00516046"/>
    <w:rsid w:val="005161BF"/>
    <w:rsid w:val="00516408"/>
    <w:rsid w:val="005168AA"/>
    <w:rsid w:val="00516C47"/>
    <w:rsid w:val="00516C6C"/>
    <w:rsid w:val="00516E29"/>
    <w:rsid w:val="00517463"/>
    <w:rsid w:val="00517B38"/>
    <w:rsid w:val="00517FF3"/>
    <w:rsid w:val="005201B5"/>
    <w:rsid w:val="0052071D"/>
    <w:rsid w:val="005207E8"/>
    <w:rsid w:val="00520D26"/>
    <w:rsid w:val="00520E25"/>
    <w:rsid w:val="00520EA0"/>
    <w:rsid w:val="00520F8A"/>
    <w:rsid w:val="00521126"/>
    <w:rsid w:val="00521186"/>
    <w:rsid w:val="005219D3"/>
    <w:rsid w:val="00521CF6"/>
    <w:rsid w:val="00522190"/>
    <w:rsid w:val="005224F3"/>
    <w:rsid w:val="005228D0"/>
    <w:rsid w:val="00522B76"/>
    <w:rsid w:val="00522C72"/>
    <w:rsid w:val="00522D65"/>
    <w:rsid w:val="00523760"/>
    <w:rsid w:val="00523CE6"/>
    <w:rsid w:val="00523D54"/>
    <w:rsid w:val="00523E0D"/>
    <w:rsid w:val="00523E97"/>
    <w:rsid w:val="00523F1B"/>
    <w:rsid w:val="00524200"/>
    <w:rsid w:val="00524456"/>
    <w:rsid w:val="00524D5A"/>
    <w:rsid w:val="00524EC4"/>
    <w:rsid w:val="00525237"/>
    <w:rsid w:val="005259C0"/>
    <w:rsid w:val="00525FA6"/>
    <w:rsid w:val="005260EB"/>
    <w:rsid w:val="00526951"/>
    <w:rsid w:val="0052716C"/>
    <w:rsid w:val="00527348"/>
    <w:rsid w:val="0052766D"/>
    <w:rsid w:val="00527DB6"/>
    <w:rsid w:val="00527E5A"/>
    <w:rsid w:val="00527F4D"/>
    <w:rsid w:val="0053011F"/>
    <w:rsid w:val="00530393"/>
    <w:rsid w:val="005303B1"/>
    <w:rsid w:val="0053046B"/>
    <w:rsid w:val="00531501"/>
    <w:rsid w:val="00531E70"/>
    <w:rsid w:val="005324BA"/>
    <w:rsid w:val="00532587"/>
    <w:rsid w:val="005326A9"/>
    <w:rsid w:val="00532783"/>
    <w:rsid w:val="00532945"/>
    <w:rsid w:val="00532A65"/>
    <w:rsid w:val="00532BFC"/>
    <w:rsid w:val="0053375A"/>
    <w:rsid w:val="00533905"/>
    <w:rsid w:val="00534015"/>
    <w:rsid w:val="00534200"/>
    <w:rsid w:val="00534664"/>
    <w:rsid w:val="005347E3"/>
    <w:rsid w:val="00534CFB"/>
    <w:rsid w:val="00534D4C"/>
    <w:rsid w:val="00535042"/>
    <w:rsid w:val="0053520A"/>
    <w:rsid w:val="00535671"/>
    <w:rsid w:val="005357D7"/>
    <w:rsid w:val="005358E1"/>
    <w:rsid w:val="00535D31"/>
    <w:rsid w:val="00536039"/>
    <w:rsid w:val="00536079"/>
    <w:rsid w:val="005360EB"/>
    <w:rsid w:val="0053630A"/>
    <w:rsid w:val="00536389"/>
    <w:rsid w:val="005363FE"/>
    <w:rsid w:val="005367BC"/>
    <w:rsid w:val="00536A37"/>
    <w:rsid w:val="0053712D"/>
    <w:rsid w:val="005377EA"/>
    <w:rsid w:val="005378DF"/>
    <w:rsid w:val="0053790D"/>
    <w:rsid w:val="00537B05"/>
    <w:rsid w:val="00537CDA"/>
    <w:rsid w:val="00537E89"/>
    <w:rsid w:val="00540054"/>
    <w:rsid w:val="0054053E"/>
    <w:rsid w:val="0054066D"/>
    <w:rsid w:val="005406EC"/>
    <w:rsid w:val="005406F2"/>
    <w:rsid w:val="00540AB9"/>
    <w:rsid w:val="00541073"/>
    <w:rsid w:val="0054141C"/>
    <w:rsid w:val="0054156C"/>
    <w:rsid w:val="005415E4"/>
    <w:rsid w:val="0054160C"/>
    <w:rsid w:val="005420C8"/>
    <w:rsid w:val="00542414"/>
    <w:rsid w:val="00542500"/>
    <w:rsid w:val="00542A25"/>
    <w:rsid w:val="00542D88"/>
    <w:rsid w:val="00542EF8"/>
    <w:rsid w:val="005433BF"/>
    <w:rsid w:val="00543FF9"/>
    <w:rsid w:val="0054417D"/>
    <w:rsid w:val="00544288"/>
    <w:rsid w:val="0054461C"/>
    <w:rsid w:val="0054463C"/>
    <w:rsid w:val="0054484B"/>
    <w:rsid w:val="0054493E"/>
    <w:rsid w:val="00544C22"/>
    <w:rsid w:val="00544C98"/>
    <w:rsid w:val="00544D42"/>
    <w:rsid w:val="00544DCB"/>
    <w:rsid w:val="005452BE"/>
    <w:rsid w:val="0054556B"/>
    <w:rsid w:val="005457D8"/>
    <w:rsid w:val="00545B71"/>
    <w:rsid w:val="005460F4"/>
    <w:rsid w:val="005465ED"/>
    <w:rsid w:val="00546793"/>
    <w:rsid w:val="005468A2"/>
    <w:rsid w:val="00546ED4"/>
    <w:rsid w:val="00546EEE"/>
    <w:rsid w:val="005470FD"/>
    <w:rsid w:val="00547722"/>
    <w:rsid w:val="00547A5C"/>
    <w:rsid w:val="00547E82"/>
    <w:rsid w:val="00547F6C"/>
    <w:rsid w:val="0055067F"/>
    <w:rsid w:val="005516B7"/>
    <w:rsid w:val="00552263"/>
    <w:rsid w:val="00552EA8"/>
    <w:rsid w:val="00553293"/>
    <w:rsid w:val="00553483"/>
    <w:rsid w:val="0055373C"/>
    <w:rsid w:val="0055373F"/>
    <w:rsid w:val="00553B40"/>
    <w:rsid w:val="005540E9"/>
    <w:rsid w:val="00554138"/>
    <w:rsid w:val="00554847"/>
    <w:rsid w:val="0055496A"/>
    <w:rsid w:val="00554ADC"/>
    <w:rsid w:val="00555048"/>
    <w:rsid w:val="00555ADF"/>
    <w:rsid w:val="00556196"/>
    <w:rsid w:val="0055666F"/>
    <w:rsid w:val="005568DB"/>
    <w:rsid w:val="00556BED"/>
    <w:rsid w:val="00556D4B"/>
    <w:rsid w:val="00557117"/>
    <w:rsid w:val="005576EC"/>
    <w:rsid w:val="00560009"/>
    <w:rsid w:val="0056015A"/>
    <w:rsid w:val="0056026A"/>
    <w:rsid w:val="00560295"/>
    <w:rsid w:val="0056064C"/>
    <w:rsid w:val="005608C8"/>
    <w:rsid w:val="00560E04"/>
    <w:rsid w:val="00560E78"/>
    <w:rsid w:val="0056162C"/>
    <w:rsid w:val="00561715"/>
    <w:rsid w:val="00561841"/>
    <w:rsid w:val="005621FF"/>
    <w:rsid w:val="0056222F"/>
    <w:rsid w:val="00562385"/>
    <w:rsid w:val="005624E1"/>
    <w:rsid w:val="00562927"/>
    <w:rsid w:val="00562C12"/>
    <w:rsid w:val="00562F16"/>
    <w:rsid w:val="00563076"/>
    <w:rsid w:val="00563697"/>
    <w:rsid w:val="0056392E"/>
    <w:rsid w:val="00563AB4"/>
    <w:rsid w:val="00563C8D"/>
    <w:rsid w:val="00564039"/>
    <w:rsid w:val="00564092"/>
    <w:rsid w:val="005641DB"/>
    <w:rsid w:val="0056426F"/>
    <w:rsid w:val="005647D6"/>
    <w:rsid w:val="00564849"/>
    <w:rsid w:val="00564C8A"/>
    <w:rsid w:val="005650FC"/>
    <w:rsid w:val="005651F3"/>
    <w:rsid w:val="005656B5"/>
    <w:rsid w:val="0056573A"/>
    <w:rsid w:val="00565B3D"/>
    <w:rsid w:val="00565EB0"/>
    <w:rsid w:val="00565F44"/>
    <w:rsid w:val="005662E5"/>
    <w:rsid w:val="0056691B"/>
    <w:rsid w:val="00566D91"/>
    <w:rsid w:val="005670A6"/>
    <w:rsid w:val="00567564"/>
    <w:rsid w:val="00567716"/>
    <w:rsid w:val="00567CF6"/>
    <w:rsid w:val="00567FDC"/>
    <w:rsid w:val="00570C81"/>
    <w:rsid w:val="00570D6C"/>
    <w:rsid w:val="00570D91"/>
    <w:rsid w:val="00571078"/>
    <w:rsid w:val="0057128F"/>
    <w:rsid w:val="00571555"/>
    <w:rsid w:val="00571678"/>
    <w:rsid w:val="00571C83"/>
    <w:rsid w:val="00571D28"/>
    <w:rsid w:val="00572139"/>
    <w:rsid w:val="00572580"/>
    <w:rsid w:val="00572758"/>
    <w:rsid w:val="00572E12"/>
    <w:rsid w:val="00572F19"/>
    <w:rsid w:val="00572FE6"/>
    <w:rsid w:val="005730FB"/>
    <w:rsid w:val="0057342F"/>
    <w:rsid w:val="005736E4"/>
    <w:rsid w:val="00573727"/>
    <w:rsid w:val="00573B50"/>
    <w:rsid w:val="00573CFE"/>
    <w:rsid w:val="00574061"/>
    <w:rsid w:val="00574728"/>
    <w:rsid w:val="00574AC5"/>
    <w:rsid w:val="00574F17"/>
    <w:rsid w:val="00574FD4"/>
    <w:rsid w:val="00575538"/>
    <w:rsid w:val="0057557E"/>
    <w:rsid w:val="005759DE"/>
    <w:rsid w:val="00575FD5"/>
    <w:rsid w:val="00576135"/>
    <w:rsid w:val="005765E2"/>
    <w:rsid w:val="0057695F"/>
    <w:rsid w:val="005769D5"/>
    <w:rsid w:val="00576EED"/>
    <w:rsid w:val="00576F21"/>
    <w:rsid w:val="005774BA"/>
    <w:rsid w:val="00577D04"/>
    <w:rsid w:val="00580024"/>
    <w:rsid w:val="00580128"/>
    <w:rsid w:val="005806B1"/>
    <w:rsid w:val="00580A01"/>
    <w:rsid w:val="00580A8D"/>
    <w:rsid w:val="00581142"/>
    <w:rsid w:val="00582BE8"/>
    <w:rsid w:val="00582C0E"/>
    <w:rsid w:val="00582E07"/>
    <w:rsid w:val="005830AC"/>
    <w:rsid w:val="005835D1"/>
    <w:rsid w:val="00584039"/>
    <w:rsid w:val="00584456"/>
    <w:rsid w:val="005844B3"/>
    <w:rsid w:val="005849DB"/>
    <w:rsid w:val="00584D37"/>
    <w:rsid w:val="00584D81"/>
    <w:rsid w:val="00584E8C"/>
    <w:rsid w:val="00584F3E"/>
    <w:rsid w:val="0058538F"/>
    <w:rsid w:val="005858BD"/>
    <w:rsid w:val="00585D39"/>
    <w:rsid w:val="00586087"/>
    <w:rsid w:val="005860FE"/>
    <w:rsid w:val="005865CF"/>
    <w:rsid w:val="00586A83"/>
    <w:rsid w:val="00586AB7"/>
    <w:rsid w:val="00587216"/>
    <w:rsid w:val="005872D3"/>
    <w:rsid w:val="00587504"/>
    <w:rsid w:val="00587713"/>
    <w:rsid w:val="00587DFD"/>
    <w:rsid w:val="005900C3"/>
    <w:rsid w:val="005901C2"/>
    <w:rsid w:val="005905C5"/>
    <w:rsid w:val="00590C66"/>
    <w:rsid w:val="005912A6"/>
    <w:rsid w:val="00591471"/>
    <w:rsid w:val="00591752"/>
    <w:rsid w:val="00591A65"/>
    <w:rsid w:val="00591C32"/>
    <w:rsid w:val="00592B9A"/>
    <w:rsid w:val="00592CBA"/>
    <w:rsid w:val="00592D21"/>
    <w:rsid w:val="005933FC"/>
    <w:rsid w:val="00593AB7"/>
    <w:rsid w:val="00593CAF"/>
    <w:rsid w:val="0059426A"/>
    <w:rsid w:val="005942F8"/>
    <w:rsid w:val="0059499F"/>
    <w:rsid w:val="00594B85"/>
    <w:rsid w:val="00594DF3"/>
    <w:rsid w:val="00594F20"/>
    <w:rsid w:val="0059510C"/>
    <w:rsid w:val="00595254"/>
    <w:rsid w:val="00595B7C"/>
    <w:rsid w:val="00595CC3"/>
    <w:rsid w:val="005962B1"/>
    <w:rsid w:val="005969C3"/>
    <w:rsid w:val="00596DC3"/>
    <w:rsid w:val="005974BB"/>
    <w:rsid w:val="00597531"/>
    <w:rsid w:val="005976FF"/>
    <w:rsid w:val="00597833"/>
    <w:rsid w:val="0059797E"/>
    <w:rsid w:val="005979D7"/>
    <w:rsid w:val="005A0865"/>
    <w:rsid w:val="005A0986"/>
    <w:rsid w:val="005A0C10"/>
    <w:rsid w:val="005A1066"/>
    <w:rsid w:val="005A1102"/>
    <w:rsid w:val="005A1F4B"/>
    <w:rsid w:val="005A1FA2"/>
    <w:rsid w:val="005A27C2"/>
    <w:rsid w:val="005A28EA"/>
    <w:rsid w:val="005A2D29"/>
    <w:rsid w:val="005A3448"/>
    <w:rsid w:val="005A3E4B"/>
    <w:rsid w:val="005A3F60"/>
    <w:rsid w:val="005A3FFC"/>
    <w:rsid w:val="005A434F"/>
    <w:rsid w:val="005A49F3"/>
    <w:rsid w:val="005A4B61"/>
    <w:rsid w:val="005A4D87"/>
    <w:rsid w:val="005A5A74"/>
    <w:rsid w:val="005A5B11"/>
    <w:rsid w:val="005A5DB6"/>
    <w:rsid w:val="005A61B8"/>
    <w:rsid w:val="005A667E"/>
    <w:rsid w:val="005A6973"/>
    <w:rsid w:val="005A6A55"/>
    <w:rsid w:val="005A729F"/>
    <w:rsid w:val="005A77FB"/>
    <w:rsid w:val="005B02EE"/>
    <w:rsid w:val="005B043E"/>
    <w:rsid w:val="005B0899"/>
    <w:rsid w:val="005B09D0"/>
    <w:rsid w:val="005B09D2"/>
    <w:rsid w:val="005B0B32"/>
    <w:rsid w:val="005B0DB9"/>
    <w:rsid w:val="005B0DEF"/>
    <w:rsid w:val="005B1114"/>
    <w:rsid w:val="005B1366"/>
    <w:rsid w:val="005B146C"/>
    <w:rsid w:val="005B1575"/>
    <w:rsid w:val="005B1C51"/>
    <w:rsid w:val="005B1CBD"/>
    <w:rsid w:val="005B21EC"/>
    <w:rsid w:val="005B22DD"/>
    <w:rsid w:val="005B248B"/>
    <w:rsid w:val="005B2697"/>
    <w:rsid w:val="005B2746"/>
    <w:rsid w:val="005B278C"/>
    <w:rsid w:val="005B2867"/>
    <w:rsid w:val="005B2B91"/>
    <w:rsid w:val="005B2C69"/>
    <w:rsid w:val="005B39A6"/>
    <w:rsid w:val="005B4090"/>
    <w:rsid w:val="005B41AF"/>
    <w:rsid w:val="005B44DE"/>
    <w:rsid w:val="005B4855"/>
    <w:rsid w:val="005B49E1"/>
    <w:rsid w:val="005B4BAD"/>
    <w:rsid w:val="005B4EFB"/>
    <w:rsid w:val="005B52A6"/>
    <w:rsid w:val="005B5554"/>
    <w:rsid w:val="005B57DE"/>
    <w:rsid w:val="005B5C45"/>
    <w:rsid w:val="005B5C50"/>
    <w:rsid w:val="005B69EF"/>
    <w:rsid w:val="005B6B58"/>
    <w:rsid w:val="005B73C3"/>
    <w:rsid w:val="005B7436"/>
    <w:rsid w:val="005B7875"/>
    <w:rsid w:val="005B7A88"/>
    <w:rsid w:val="005B7D09"/>
    <w:rsid w:val="005C0179"/>
    <w:rsid w:val="005C03EF"/>
    <w:rsid w:val="005C0690"/>
    <w:rsid w:val="005C0856"/>
    <w:rsid w:val="005C0982"/>
    <w:rsid w:val="005C0EED"/>
    <w:rsid w:val="005C1CBD"/>
    <w:rsid w:val="005C1FE9"/>
    <w:rsid w:val="005C1FFF"/>
    <w:rsid w:val="005C2924"/>
    <w:rsid w:val="005C2D95"/>
    <w:rsid w:val="005C306B"/>
    <w:rsid w:val="005C356E"/>
    <w:rsid w:val="005C35F7"/>
    <w:rsid w:val="005C3634"/>
    <w:rsid w:val="005C3944"/>
    <w:rsid w:val="005C3C2E"/>
    <w:rsid w:val="005C41DF"/>
    <w:rsid w:val="005C4375"/>
    <w:rsid w:val="005C46CA"/>
    <w:rsid w:val="005C4C26"/>
    <w:rsid w:val="005C4C53"/>
    <w:rsid w:val="005C4E60"/>
    <w:rsid w:val="005C4E90"/>
    <w:rsid w:val="005C5233"/>
    <w:rsid w:val="005C582A"/>
    <w:rsid w:val="005C63A7"/>
    <w:rsid w:val="005C68B0"/>
    <w:rsid w:val="005C68B6"/>
    <w:rsid w:val="005C6F9D"/>
    <w:rsid w:val="005C7984"/>
    <w:rsid w:val="005C7A0E"/>
    <w:rsid w:val="005C7CB7"/>
    <w:rsid w:val="005D00F0"/>
    <w:rsid w:val="005D04F4"/>
    <w:rsid w:val="005D06B9"/>
    <w:rsid w:val="005D118D"/>
    <w:rsid w:val="005D143C"/>
    <w:rsid w:val="005D14B3"/>
    <w:rsid w:val="005D19E3"/>
    <w:rsid w:val="005D1D8D"/>
    <w:rsid w:val="005D1ECF"/>
    <w:rsid w:val="005D20F9"/>
    <w:rsid w:val="005D21A2"/>
    <w:rsid w:val="005D21A5"/>
    <w:rsid w:val="005D21C7"/>
    <w:rsid w:val="005D292B"/>
    <w:rsid w:val="005D2A7C"/>
    <w:rsid w:val="005D3249"/>
    <w:rsid w:val="005D3457"/>
    <w:rsid w:val="005D3B9B"/>
    <w:rsid w:val="005D3C3D"/>
    <w:rsid w:val="005D3E04"/>
    <w:rsid w:val="005D3F4F"/>
    <w:rsid w:val="005D3F9C"/>
    <w:rsid w:val="005D440A"/>
    <w:rsid w:val="005D44D9"/>
    <w:rsid w:val="005D4930"/>
    <w:rsid w:val="005D4D13"/>
    <w:rsid w:val="005D4FF8"/>
    <w:rsid w:val="005D51C6"/>
    <w:rsid w:val="005D562E"/>
    <w:rsid w:val="005D5896"/>
    <w:rsid w:val="005D5B60"/>
    <w:rsid w:val="005D5C73"/>
    <w:rsid w:val="005D5CD3"/>
    <w:rsid w:val="005D6290"/>
    <w:rsid w:val="005D6734"/>
    <w:rsid w:val="005D6CC8"/>
    <w:rsid w:val="005D6D33"/>
    <w:rsid w:val="005D6E5B"/>
    <w:rsid w:val="005D6F6D"/>
    <w:rsid w:val="005D7476"/>
    <w:rsid w:val="005D7759"/>
    <w:rsid w:val="005D7B6D"/>
    <w:rsid w:val="005D7E37"/>
    <w:rsid w:val="005D7F0C"/>
    <w:rsid w:val="005E02BD"/>
    <w:rsid w:val="005E0607"/>
    <w:rsid w:val="005E06C0"/>
    <w:rsid w:val="005E093E"/>
    <w:rsid w:val="005E0A31"/>
    <w:rsid w:val="005E1203"/>
    <w:rsid w:val="005E15F8"/>
    <w:rsid w:val="005E186B"/>
    <w:rsid w:val="005E1E8E"/>
    <w:rsid w:val="005E202F"/>
    <w:rsid w:val="005E296A"/>
    <w:rsid w:val="005E2CF0"/>
    <w:rsid w:val="005E2D39"/>
    <w:rsid w:val="005E3011"/>
    <w:rsid w:val="005E304B"/>
    <w:rsid w:val="005E31AE"/>
    <w:rsid w:val="005E36B9"/>
    <w:rsid w:val="005E3CB4"/>
    <w:rsid w:val="005E3E02"/>
    <w:rsid w:val="005E4382"/>
    <w:rsid w:val="005E4887"/>
    <w:rsid w:val="005E4E38"/>
    <w:rsid w:val="005E4F12"/>
    <w:rsid w:val="005E550A"/>
    <w:rsid w:val="005E5807"/>
    <w:rsid w:val="005E5A2F"/>
    <w:rsid w:val="005E5AB5"/>
    <w:rsid w:val="005E5C6C"/>
    <w:rsid w:val="005E641A"/>
    <w:rsid w:val="005E6531"/>
    <w:rsid w:val="005E6668"/>
    <w:rsid w:val="005E68D3"/>
    <w:rsid w:val="005E72C7"/>
    <w:rsid w:val="005E740F"/>
    <w:rsid w:val="005E7BE2"/>
    <w:rsid w:val="005E7E56"/>
    <w:rsid w:val="005F003A"/>
    <w:rsid w:val="005F00B0"/>
    <w:rsid w:val="005F02DA"/>
    <w:rsid w:val="005F049B"/>
    <w:rsid w:val="005F05C9"/>
    <w:rsid w:val="005F094F"/>
    <w:rsid w:val="005F1055"/>
    <w:rsid w:val="005F11EE"/>
    <w:rsid w:val="005F12B3"/>
    <w:rsid w:val="005F13A3"/>
    <w:rsid w:val="005F14A1"/>
    <w:rsid w:val="005F15A5"/>
    <w:rsid w:val="005F1784"/>
    <w:rsid w:val="005F1825"/>
    <w:rsid w:val="005F1B5D"/>
    <w:rsid w:val="005F1C1A"/>
    <w:rsid w:val="005F1D95"/>
    <w:rsid w:val="005F2236"/>
    <w:rsid w:val="005F227D"/>
    <w:rsid w:val="005F249F"/>
    <w:rsid w:val="005F2CFF"/>
    <w:rsid w:val="005F2E91"/>
    <w:rsid w:val="005F32DE"/>
    <w:rsid w:val="005F3C8C"/>
    <w:rsid w:val="005F4386"/>
    <w:rsid w:val="005F5039"/>
    <w:rsid w:val="005F5483"/>
    <w:rsid w:val="005F558E"/>
    <w:rsid w:val="005F5846"/>
    <w:rsid w:val="005F5AF8"/>
    <w:rsid w:val="005F64DB"/>
    <w:rsid w:val="005F6592"/>
    <w:rsid w:val="005F6611"/>
    <w:rsid w:val="005F7420"/>
    <w:rsid w:val="005F7874"/>
    <w:rsid w:val="005F78F9"/>
    <w:rsid w:val="005F7D94"/>
    <w:rsid w:val="005F7F52"/>
    <w:rsid w:val="0060031B"/>
    <w:rsid w:val="00600439"/>
    <w:rsid w:val="0060079A"/>
    <w:rsid w:val="00600D8C"/>
    <w:rsid w:val="00600E21"/>
    <w:rsid w:val="006010CE"/>
    <w:rsid w:val="00601523"/>
    <w:rsid w:val="00601741"/>
    <w:rsid w:val="00601BF5"/>
    <w:rsid w:val="00601D4C"/>
    <w:rsid w:val="00602683"/>
    <w:rsid w:val="006026B9"/>
    <w:rsid w:val="0060282A"/>
    <w:rsid w:val="00602856"/>
    <w:rsid w:val="00602900"/>
    <w:rsid w:val="00602D31"/>
    <w:rsid w:val="00602FD6"/>
    <w:rsid w:val="0060313D"/>
    <w:rsid w:val="006031B1"/>
    <w:rsid w:val="00603832"/>
    <w:rsid w:val="00603A4A"/>
    <w:rsid w:val="00603DBE"/>
    <w:rsid w:val="00603E32"/>
    <w:rsid w:val="00604494"/>
    <w:rsid w:val="006046BA"/>
    <w:rsid w:val="00604A31"/>
    <w:rsid w:val="00604ADF"/>
    <w:rsid w:val="00604EB4"/>
    <w:rsid w:val="00604F18"/>
    <w:rsid w:val="00605440"/>
    <w:rsid w:val="00605A66"/>
    <w:rsid w:val="00605FF9"/>
    <w:rsid w:val="00606224"/>
    <w:rsid w:val="006066A4"/>
    <w:rsid w:val="0060780E"/>
    <w:rsid w:val="00607E22"/>
    <w:rsid w:val="006102AF"/>
    <w:rsid w:val="006105FD"/>
    <w:rsid w:val="00610734"/>
    <w:rsid w:val="00610B7B"/>
    <w:rsid w:val="00611631"/>
    <w:rsid w:val="006117EE"/>
    <w:rsid w:val="00611A43"/>
    <w:rsid w:val="00611B0A"/>
    <w:rsid w:val="00611CCA"/>
    <w:rsid w:val="00611F59"/>
    <w:rsid w:val="006124C2"/>
    <w:rsid w:val="006125A2"/>
    <w:rsid w:val="006126BB"/>
    <w:rsid w:val="00612771"/>
    <w:rsid w:val="006130F6"/>
    <w:rsid w:val="006134BB"/>
    <w:rsid w:val="006134F8"/>
    <w:rsid w:val="00613D1F"/>
    <w:rsid w:val="00614415"/>
    <w:rsid w:val="00614A54"/>
    <w:rsid w:val="00614AA7"/>
    <w:rsid w:val="00614C00"/>
    <w:rsid w:val="00615800"/>
    <w:rsid w:val="00615C2F"/>
    <w:rsid w:val="00616A81"/>
    <w:rsid w:val="00616B98"/>
    <w:rsid w:val="006171BF"/>
    <w:rsid w:val="00617212"/>
    <w:rsid w:val="006174CC"/>
    <w:rsid w:val="00617717"/>
    <w:rsid w:val="00617963"/>
    <w:rsid w:val="00620359"/>
    <w:rsid w:val="00620880"/>
    <w:rsid w:val="006208FE"/>
    <w:rsid w:val="00620CE3"/>
    <w:rsid w:val="00620CF7"/>
    <w:rsid w:val="0062179B"/>
    <w:rsid w:val="006217E0"/>
    <w:rsid w:val="00621811"/>
    <w:rsid w:val="006219EA"/>
    <w:rsid w:val="006225D6"/>
    <w:rsid w:val="00622633"/>
    <w:rsid w:val="00622A57"/>
    <w:rsid w:val="00623136"/>
    <w:rsid w:val="006238FB"/>
    <w:rsid w:val="00623943"/>
    <w:rsid w:val="006239B6"/>
    <w:rsid w:val="00624AF3"/>
    <w:rsid w:val="00624C10"/>
    <w:rsid w:val="00624C74"/>
    <w:rsid w:val="00624C76"/>
    <w:rsid w:val="00624D4B"/>
    <w:rsid w:val="00624EBA"/>
    <w:rsid w:val="00624F3B"/>
    <w:rsid w:val="006251FD"/>
    <w:rsid w:val="0062532A"/>
    <w:rsid w:val="0062587A"/>
    <w:rsid w:val="00625886"/>
    <w:rsid w:val="00625AAA"/>
    <w:rsid w:val="00625B45"/>
    <w:rsid w:val="00625BF0"/>
    <w:rsid w:val="00625D34"/>
    <w:rsid w:val="006267E7"/>
    <w:rsid w:val="0062691F"/>
    <w:rsid w:val="00626E65"/>
    <w:rsid w:val="00626EFC"/>
    <w:rsid w:val="0062724B"/>
    <w:rsid w:val="006272F6"/>
    <w:rsid w:val="0062738A"/>
    <w:rsid w:val="00627B7F"/>
    <w:rsid w:val="00627C7C"/>
    <w:rsid w:val="00627F4A"/>
    <w:rsid w:val="00627F52"/>
    <w:rsid w:val="0063001E"/>
    <w:rsid w:val="00630186"/>
    <w:rsid w:val="00630288"/>
    <w:rsid w:val="0063095F"/>
    <w:rsid w:val="00630C39"/>
    <w:rsid w:val="006310A3"/>
    <w:rsid w:val="006316BF"/>
    <w:rsid w:val="00631D76"/>
    <w:rsid w:val="00632039"/>
    <w:rsid w:val="0063248A"/>
    <w:rsid w:val="00632511"/>
    <w:rsid w:val="006328D8"/>
    <w:rsid w:val="00632F73"/>
    <w:rsid w:val="00632FE2"/>
    <w:rsid w:val="006331CA"/>
    <w:rsid w:val="0063320E"/>
    <w:rsid w:val="00633A91"/>
    <w:rsid w:val="00633AB3"/>
    <w:rsid w:val="00633B76"/>
    <w:rsid w:val="006342A6"/>
    <w:rsid w:val="0063444C"/>
    <w:rsid w:val="00634A6E"/>
    <w:rsid w:val="00634CD4"/>
    <w:rsid w:val="00634D2A"/>
    <w:rsid w:val="00635508"/>
    <w:rsid w:val="00635B6E"/>
    <w:rsid w:val="00635E77"/>
    <w:rsid w:val="00636A33"/>
    <w:rsid w:val="00636D8A"/>
    <w:rsid w:val="00637618"/>
    <w:rsid w:val="0063768F"/>
    <w:rsid w:val="00637733"/>
    <w:rsid w:val="00637868"/>
    <w:rsid w:val="00637FA1"/>
    <w:rsid w:val="00637FA9"/>
    <w:rsid w:val="00641196"/>
    <w:rsid w:val="00641BCC"/>
    <w:rsid w:val="00641DAD"/>
    <w:rsid w:val="00641FBF"/>
    <w:rsid w:val="006420FB"/>
    <w:rsid w:val="00642142"/>
    <w:rsid w:val="006431FD"/>
    <w:rsid w:val="0064325E"/>
    <w:rsid w:val="00643D7F"/>
    <w:rsid w:val="006440E6"/>
    <w:rsid w:val="00644117"/>
    <w:rsid w:val="0064433B"/>
    <w:rsid w:val="0064435F"/>
    <w:rsid w:val="006444A8"/>
    <w:rsid w:val="00644542"/>
    <w:rsid w:val="00644AD7"/>
    <w:rsid w:val="00644ED3"/>
    <w:rsid w:val="006450F8"/>
    <w:rsid w:val="006451EA"/>
    <w:rsid w:val="00645A2D"/>
    <w:rsid w:val="00645EBC"/>
    <w:rsid w:val="00645EFD"/>
    <w:rsid w:val="00645F9C"/>
    <w:rsid w:val="006460B8"/>
    <w:rsid w:val="006463E7"/>
    <w:rsid w:val="00646487"/>
    <w:rsid w:val="0064672D"/>
    <w:rsid w:val="0064681A"/>
    <w:rsid w:val="006479A6"/>
    <w:rsid w:val="00647B3F"/>
    <w:rsid w:val="00647C73"/>
    <w:rsid w:val="00650622"/>
    <w:rsid w:val="006509AE"/>
    <w:rsid w:val="0065136E"/>
    <w:rsid w:val="00651853"/>
    <w:rsid w:val="00651C52"/>
    <w:rsid w:val="00651CEC"/>
    <w:rsid w:val="00651D07"/>
    <w:rsid w:val="00652194"/>
    <w:rsid w:val="006522F3"/>
    <w:rsid w:val="0065266B"/>
    <w:rsid w:val="00652788"/>
    <w:rsid w:val="006529BD"/>
    <w:rsid w:val="00652D66"/>
    <w:rsid w:val="00653801"/>
    <w:rsid w:val="00653964"/>
    <w:rsid w:val="00653AB7"/>
    <w:rsid w:val="00653BFD"/>
    <w:rsid w:val="00653FB1"/>
    <w:rsid w:val="006547EA"/>
    <w:rsid w:val="00654AB6"/>
    <w:rsid w:val="0065520F"/>
    <w:rsid w:val="0065556E"/>
    <w:rsid w:val="00655EE6"/>
    <w:rsid w:val="006561D8"/>
    <w:rsid w:val="00656268"/>
    <w:rsid w:val="00656398"/>
    <w:rsid w:val="006571B7"/>
    <w:rsid w:val="006572FA"/>
    <w:rsid w:val="00657799"/>
    <w:rsid w:val="006578A0"/>
    <w:rsid w:val="00657B71"/>
    <w:rsid w:val="00657CDC"/>
    <w:rsid w:val="00657ED6"/>
    <w:rsid w:val="00660920"/>
    <w:rsid w:val="0066098C"/>
    <w:rsid w:val="00660D3E"/>
    <w:rsid w:val="006617B7"/>
    <w:rsid w:val="0066217B"/>
    <w:rsid w:val="006621AA"/>
    <w:rsid w:val="0066281F"/>
    <w:rsid w:val="00662A44"/>
    <w:rsid w:val="00662BBF"/>
    <w:rsid w:val="00662C3E"/>
    <w:rsid w:val="00662CFA"/>
    <w:rsid w:val="00663B24"/>
    <w:rsid w:val="00664056"/>
    <w:rsid w:val="006645DF"/>
    <w:rsid w:val="006650CE"/>
    <w:rsid w:val="006654A8"/>
    <w:rsid w:val="0066564F"/>
    <w:rsid w:val="006659DB"/>
    <w:rsid w:val="00665A6D"/>
    <w:rsid w:val="00665D2D"/>
    <w:rsid w:val="00665FB0"/>
    <w:rsid w:val="006662CA"/>
    <w:rsid w:val="00666A0E"/>
    <w:rsid w:val="00666AA9"/>
    <w:rsid w:val="00666AC0"/>
    <w:rsid w:val="006671EC"/>
    <w:rsid w:val="0066785B"/>
    <w:rsid w:val="00667EFE"/>
    <w:rsid w:val="00670577"/>
    <w:rsid w:val="0067067F"/>
    <w:rsid w:val="0067069B"/>
    <w:rsid w:val="00670B74"/>
    <w:rsid w:val="00670C98"/>
    <w:rsid w:val="00670E9F"/>
    <w:rsid w:val="00671148"/>
    <w:rsid w:val="006713F4"/>
    <w:rsid w:val="006714BE"/>
    <w:rsid w:val="00671E1C"/>
    <w:rsid w:val="00671F3D"/>
    <w:rsid w:val="00672064"/>
    <w:rsid w:val="006720E5"/>
    <w:rsid w:val="00672C2E"/>
    <w:rsid w:val="00672C52"/>
    <w:rsid w:val="0067317F"/>
    <w:rsid w:val="0067343D"/>
    <w:rsid w:val="00673557"/>
    <w:rsid w:val="00673C03"/>
    <w:rsid w:val="00673C4D"/>
    <w:rsid w:val="00674016"/>
    <w:rsid w:val="006740A5"/>
    <w:rsid w:val="00674204"/>
    <w:rsid w:val="00674F15"/>
    <w:rsid w:val="0067518C"/>
    <w:rsid w:val="00675195"/>
    <w:rsid w:val="0067553C"/>
    <w:rsid w:val="00675895"/>
    <w:rsid w:val="00675A40"/>
    <w:rsid w:val="00675B38"/>
    <w:rsid w:val="00675C3B"/>
    <w:rsid w:val="006760EA"/>
    <w:rsid w:val="00676800"/>
    <w:rsid w:val="00676DDE"/>
    <w:rsid w:val="00677377"/>
    <w:rsid w:val="00677796"/>
    <w:rsid w:val="00677B93"/>
    <w:rsid w:val="00677F15"/>
    <w:rsid w:val="00677F44"/>
    <w:rsid w:val="0068000F"/>
    <w:rsid w:val="0068004A"/>
    <w:rsid w:val="00680930"/>
    <w:rsid w:val="00680C67"/>
    <w:rsid w:val="006811F9"/>
    <w:rsid w:val="0068181E"/>
    <w:rsid w:val="0068185A"/>
    <w:rsid w:val="00681915"/>
    <w:rsid w:val="00681ABC"/>
    <w:rsid w:val="00681AE3"/>
    <w:rsid w:val="00682B0B"/>
    <w:rsid w:val="00682B8A"/>
    <w:rsid w:val="00682EEA"/>
    <w:rsid w:val="00683227"/>
    <w:rsid w:val="0068324C"/>
    <w:rsid w:val="00683E47"/>
    <w:rsid w:val="0068419A"/>
    <w:rsid w:val="006841BE"/>
    <w:rsid w:val="006844CB"/>
    <w:rsid w:val="006844F2"/>
    <w:rsid w:val="00684659"/>
    <w:rsid w:val="00684876"/>
    <w:rsid w:val="006849B7"/>
    <w:rsid w:val="00684D62"/>
    <w:rsid w:val="00684F38"/>
    <w:rsid w:val="00684F98"/>
    <w:rsid w:val="00685510"/>
    <w:rsid w:val="00685650"/>
    <w:rsid w:val="006857F2"/>
    <w:rsid w:val="00685982"/>
    <w:rsid w:val="00685BEC"/>
    <w:rsid w:val="00685DCD"/>
    <w:rsid w:val="00686344"/>
    <w:rsid w:val="00686377"/>
    <w:rsid w:val="0068669D"/>
    <w:rsid w:val="006868BA"/>
    <w:rsid w:val="006868F5"/>
    <w:rsid w:val="00686BD6"/>
    <w:rsid w:val="00686E2C"/>
    <w:rsid w:val="0068708D"/>
    <w:rsid w:val="006876AC"/>
    <w:rsid w:val="00687D5D"/>
    <w:rsid w:val="00687FD4"/>
    <w:rsid w:val="006900E0"/>
    <w:rsid w:val="006902EC"/>
    <w:rsid w:val="00690723"/>
    <w:rsid w:val="00690803"/>
    <w:rsid w:val="00690AA1"/>
    <w:rsid w:val="00691080"/>
    <w:rsid w:val="006910BC"/>
    <w:rsid w:val="006915CA"/>
    <w:rsid w:val="006918B2"/>
    <w:rsid w:val="00691AE6"/>
    <w:rsid w:val="0069204D"/>
    <w:rsid w:val="00692114"/>
    <w:rsid w:val="006922DD"/>
    <w:rsid w:val="006924A8"/>
    <w:rsid w:val="00692A61"/>
    <w:rsid w:val="006930E5"/>
    <w:rsid w:val="0069311E"/>
    <w:rsid w:val="00693175"/>
    <w:rsid w:val="0069350C"/>
    <w:rsid w:val="006935F3"/>
    <w:rsid w:val="00693925"/>
    <w:rsid w:val="00694007"/>
    <w:rsid w:val="00694015"/>
    <w:rsid w:val="006942CE"/>
    <w:rsid w:val="00694320"/>
    <w:rsid w:val="0069471A"/>
    <w:rsid w:val="00694780"/>
    <w:rsid w:val="00694990"/>
    <w:rsid w:val="006953AA"/>
    <w:rsid w:val="00695DA0"/>
    <w:rsid w:val="00695EA5"/>
    <w:rsid w:val="00696139"/>
    <w:rsid w:val="006961B4"/>
    <w:rsid w:val="00696240"/>
    <w:rsid w:val="00696441"/>
    <w:rsid w:val="0069669A"/>
    <w:rsid w:val="00696719"/>
    <w:rsid w:val="00696B0C"/>
    <w:rsid w:val="00697185"/>
    <w:rsid w:val="0069758E"/>
    <w:rsid w:val="00697B0A"/>
    <w:rsid w:val="00697D82"/>
    <w:rsid w:val="006A00C9"/>
    <w:rsid w:val="006A00E1"/>
    <w:rsid w:val="006A0176"/>
    <w:rsid w:val="006A01F5"/>
    <w:rsid w:val="006A0641"/>
    <w:rsid w:val="006A0BEE"/>
    <w:rsid w:val="006A14C8"/>
    <w:rsid w:val="006A1708"/>
    <w:rsid w:val="006A17C1"/>
    <w:rsid w:val="006A1BB0"/>
    <w:rsid w:val="006A1D98"/>
    <w:rsid w:val="006A1E68"/>
    <w:rsid w:val="006A2439"/>
    <w:rsid w:val="006A265C"/>
    <w:rsid w:val="006A2C98"/>
    <w:rsid w:val="006A344C"/>
    <w:rsid w:val="006A3707"/>
    <w:rsid w:val="006A3856"/>
    <w:rsid w:val="006A3D5A"/>
    <w:rsid w:val="006A447B"/>
    <w:rsid w:val="006A4737"/>
    <w:rsid w:val="006A4947"/>
    <w:rsid w:val="006A4A1D"/>
    <w:rsid w:val="006A507E"/>
    <w:rsid w:val="006A5658"/>
    <w:rsid w:val="006A5AC6"/>
    <w:rsid w:val="006A5C52"/>
    <w:rsid w:val="006A5CD2"/>
    <w:rsid w:val="006A5CFC"/>
    <w:rsid w:val="006A5E19"/>
    <w:rsid w:val="006A6938"/>
    <w:rsid w:val="006A6A6A"/>
    <w:rsid w:val="006A71F0"/>
    <w:rsid w:val="006A756D"/>
    <w:rsid w:val="006A7653"/>
    <w:rsid w:val="006A7BA0"/>
    <w:rsid w:val="006A7BCB"/>
    <w:rsid w:val="006A7CC2"/>
    <w:rsid w:val="006A7F98"/>
    <w:rsid w:val="006B093A"/>
    <w:rsid w:val="006B0A5F"/>
    <w:rsid w:val="006B0BA8"/>
    <w:rsid w:val="006B0DEA"/>
    <w:rsid w:val="006B0F25"/>
    <w:rsid w:val="006B1046"/>
    <w:rsid w:val="006B106C"/>
    <w:rsid w:val="006B1492"/>
    <w:rsid w:val="006B14FA"/>
    <w:rsid w:val="006B1611"/>
    <w:rsid w:val="006B2CAA"/>
    <w:rsid w:val="006B2E88"/>
    <w:rsid w:val="006B2FEC"/>
    <w:rsid w:val="006B357F"/>
    <w:rsid w:val="006B39FD"/>
    <w:rsid w:val="006B3E8B"/>
    <w:rsid w:val="006B3FCD"/>
    <w:rsid w:val="006B4360"/>
    <w:rsid w:val="006B480A"/>
    <w:rsid w:val="006B48F6"/>
    <w:rsid w:val="006B4926"/>
    <w:rsid w:val="006B535D"/>
    <w:rsid w:val="006B5473"/>
    <w:rsid w:val="006B57E0"/>
    <w:rsid w:val="006B5AC9"/>
    <w:rsid w:val="006B5CF6"/>
    <w:rsid w:val="006B5D6A"/>
    <w:rsid w:val="006B5E03"/>
    <w:rsid w:val="006B637E"/>
    <w:rsid w:val="006B63C4"/>
    <w:rsid w:val="006B66A7"/>
    <w:rsid w:val="006B6D61"/>
    <w:rsid w:val="006B70BA"/>
    <w:rsid w:val="006B7606"/>
    <w:rsid w:val="006B7781"/>
    <w:rsid w:val="006B780B"/>
    <w:rsid w:val="006B78FA"/>
    <w:rsid w:val="006C0583"/>
    <w:rsid w:val="006C074C"/>
    <w:rsid w:val="006C0982"/>
    <w:rsid w:val="006C0EA0"/>
    <w:rsid w:val="006C1484"/>
    <w:rsid w:val="006C154A"/>
    <w:rsid w:val="006C1BA9"/>
    <w:rsid w:val="006C2397"/>
    <w:rsid w:val="006C2D15"/>
    <w:rsid w:val="006C3129"/>
    <w:rsid w:val="006C3220"/>
    <w:rsid w:val="006C32D4"/>
    <w:rsid w:val="006C3575"/>
    <w:rsid w:val="006C38AD"/>
    <w:rsid w:val="006C3AA3"/>
    <w:rsid w:val="006C3DBB"/>
    <w:rsid w:val="006C408A"/>
    <w:rsid w:val="006C439D"/>
    <w:rsid w:val="006C48AE"/>
    <w:rsid w:val="006C4D6A"/>
    <w:rsid w:val="006C4E65"/>
    <w:rsid w:val="006C4F00"/>
    <w:rsid w:val="006C52F2"/>
    <w:rsid w:val="006C5332"/>
    <w:rsid w:val="006C54F3"/>
    <w:rsid w:val="006C55E1"/>
    <w:rsid w:val="006C673A"/>
    <w:rsid w:val="006C67C0"/>
    <w:rsid w:val="006C683E"/>
    <w:rsid w:val="006C6A2B"/>
    <w:rsid w:val="006C6D69"/>
    <w:rsid w:val="006C720E"/>
    <w:rsid w:val="006C724F"/>
    <w:rsid w:val="006C74C9"/>
    <w:rsid w:val="006C74F2"/>
    <w:rsid w:val="006C7B9A"/>
    <w:rsid w:val="006C7DFA"/>
    <w:rsid w:val="006D0454"/>
    <w:rsid w:val="006D0770"/>
    <w:rsid w:val="006D0AAE"/>
    <w:rsid w:val="006D1008"/>
    <w:rsid w:val="006D1868"/>
    <w:rsid w:val="006D1BEC"/>
    <w:rsid w:val="006D1C7D"/>
    <w:rsid w:val="006D1FEB"/>
    <w:rsid w:val="006D20F7"/>
    <w:rsid w:val="006D2450"/>
    <w:rsid w:val="006D24B7"/>
    <w:rsid w:val="006D264F"/>
    <w:rsid w:val="006D28D1"/>
    <w:rsid w:val="006D3736"/>
    <w:rsid w:val="006D3C4D"/>
    <w:rsid w:val="006D46F9"/>
    <w:rsid w:val="006D4D21"/>
    <w:rsid w:val="006D4DF0"/>
    <w:rsid w:val="006D536A"/>
    <w:rsid w:val="006D5945"/>
    <w:rsid w:val="006D59A6"/>
    <w:rsid w:val="006D5A3E"/>
    <w:rsid w:val="006D6208"/>
    <w:rsid w:val="006D64EC"/>
    <w:rsid w:val="006D667C"/>
    <w:rsid w:val="006D6930"/>
    <w:rsid w:val="006D6E2E"/>
    <w:rsid w:val="006D6E61"/>
    <w:rsid w:val="006D7599"/>
    <w:rsid w:val="006D76A3"/>
    <w:rsid w:val="006D7C24"/>
    <w:rsid w:val="006E01F9"/>
    <w:rsid w:val="006E0883"/>
    <w:rsid w:val="006E0CF6"/>
    <w:rsid w:val="006E0E47"/>
    <w:rsid w:val="006E1511"/>
    <w:rsid w:val="006E1700"/>
    <w:rsid w:val="006E17F8"/>
    <w:rsid w:val="006E19BF"/>
    <w:rsid w:val="006E1AD7"/>
    <w:rsid w:val="006E1B87"/>
    <w:rsid w:val="006E1CB8"/>
    <w:rsid w:val="006E1D9E"/>
    <w:rsid w:val="006E2357"/>
    <w:rsid w:val="006E25A8"/>
    <w:rsid w:val="006E2873"/>
    <w:rsid w:val="006E2C9B"/>
    <w:rsid w:val="006E2FCF"/>
    <w:rsid w:val="006E3928"/>
    <w:rsid w:val="006E3E0F"/>
    <w:rsid w:val="006E40C7"/>
    <w:rsid w:val="006E4650"/>
    <w:rsid w:val="006E4ABA"/>
    <w:rsid w:val="006E4B21"/>
    <w:rsid w:val="006E50A9"/>
    <w:rsid w:val="006E5859"/>
    <w:rsid w:val="006E5CB0"/>
    <w:rsid w:val="006E5D34"/>
    <w:rsid w:val="006E608A"/>
    <w:rsid w:val="006E6646"/>
    <w:rsid w:val="006E6933"/>
    <w:rsid w:val="006E7490"/>
    <w:rsid w:val="006E7622"/>
    <w:rsid w:val="006F003B"/>
    <w:rsid w:val="006F0195"/>
    <w:rsid w:val="006F0630"/>
    <w:rsid w:val="006F0DC0"/>
    <w:rsid w:val="006F15C3"/>
    <w:rsid w:val="006F1C33"/>
    <w:rsid w:val="006F1D90"/>
    <w:rsid w:val="006F1F08"/>
    <w:rsid w:val="006F2036"/>
    <w:rsid w:val="006F215A"/>
    <w:rsid w:val="006F2347"/>
    <w:rsid w:val="006F2A83"/>
    <w:rsid w:val="006F2B47"/>
    <w:rsid w:val="006F2B8D"/>
    <w:rsid w:val="006F2D2D"/>
    <w:rsid w:val="006F30F8"/>
    <w:rsid w:val="006F310C"/>
    <w:rsid w:val="006F3C81"/>
    <w:rsid w:val="006F41F0"/>
    <w:rsid w:val="006F474E"/>
    <w:rsid w:val="006F4EAC"/>
    <w:rsid w:val="006F54A6"/>
    <w:rsid w:val="006F588C"/>
    <w:rsid w:val="006F592D"/>
    <w:rsid w:val="006F59FF"/>
    <w:rsid w:val="006F5B32"/>
    <w:rsid w:val="006F62C8"/>
    <w:rsid w:val="006F68EE"/>
    <w:rsid w:val="006F6B83"/>
    <w:rsid w:val="006F6C60"/>
    <w:rsid w:val="006F7014"/>
    <w:rsid w:val="006F70F9"/>
    <w:rsid w:val="006F7245"/>
    <w:rsid w:val="006F736B"/>
    <w:rsid w:val="006F74F0"/>
    <w:rsid w:val="007008ED"/>
    <w:rsid w:val="0070098B"/>
    <w:rsid w:val="00700BC0"/>
    <w:rsid w:val="00701278"/>
    <w:rsid w:val="00701A9E"/>
    <w:rsid w:val="00701B63"/>
    <w:rsid w:val="00701F70"/>
    <w:rsid w:val="007025D5"/>
    <w:rsid w:val="00702C44"/>
    <w:rsid w:val="00702C9A"/>
    <w:rsid w:val="00702F5D"/>
    <w:rsid w:val="007038C0"/>
    <w:rsid w:val="00703E47"/>
    <w:rsid w:val="00704493"/>
    <w:rsid w:val="00704C69"/>
    <w:rsid w:val="00704DE0"/>
    <w:rsid w:val="0070500C"/>
    <w:rsid w:val="007058C4"/>
    <w:rsid w:val="00705D9C"/>
    <w:rsid w:val="00705E05"/>
    <w:rsid w:val="00706406"/>
    <w:rsid w:val="007069F4"/>
    <w:rsid w:val="00706E05"/>
    <w:rsid w:val="007070EE"/>
    <w:rsid w:val="0070712C"/>
    <w:rsid w:val="00707176"/>
    <w:rsid w:val="007075A0"/>
    <w:rsid w:val="00707AAE"/>
    <w:rsid w:val="00710F8B"/>
    <w:rsid w:val="00711218"/>
    <w:rsid w:val="00711403"/>
    <w:rsid w:val="007114B2"/>
    <w:rsid w:val="007118F2"/>
    <w:rsid w:val="00711BAD"/>
    <w:rsid w:val="00711F2D"/>
    <w:rsid w:val="007121A3"/>
    <w:rsid w:val="00712F6E"/>
    <w:rsid w:val="00713111"/>
    <w:rsid w:val="007134D5"/>
    <w:rsid w:val="00713A2E"/>
    <w:rsid w:val="00714263"/>
    <w:rsid w:val="007143DB"/>
    <w:rsid w:val="00714713"/>
    <w:rsid w:val="00714851"/>
    <w:rsid w:val="007149B1"/>
    <w:rsid w:val="00714F10"/>
    <w:rsid w:val="00715025"/>
    <w:rsid w:val="007155E7"/>
    <w:rsid w:val="007156DA"/>
    <w:rsid w:val="007157BD"/>
    <w:rsid w:val="007157CA"/>
    <w:rsid w:val="00715833"/>
    <w:rsid w:val="0071597E"/>
    <w:rsid w:val="00715A35"/>
    <w:rsid w:val="00715A7C"/>
    <w:rsid w:val="00715ACA"/>
    <w:rsid w:val="00716496"/>
    <w:rsid w:val="007164D8"/>
    <w:rsid w:val="00716700"/>
    <w:rsid w:val="00716955"/>
    <w:rsid w:val="00716C2A"/>
    <w:rsid w:val="00717044"/>
    <w:rsid w:val="00717636"/>
    <w:rsid w:val="007177BB"/>
    <w:rsid w:val="007177CF"/>
    <w:rsid w:val="00717A87"/>
    <w:rsid w:val="00720701"/>
    <w:rsid w:val="0072089D"/>
    <w:rsid w:val="00720AED"/>
    <w:rsid w:val="00720E3A"/>
    <w:rsid w:val="007210E2"/>
    <w:rsid w:val="00721501"/>
    <w:rsid w:val="007215B3"/>
    <w:rsid w:val="00721A66"/>
    <w:rsid w:val="00721D3C"/>
    <w:rsid w:val="00721DBE"/>
    <w:rsid w:val="00722142"/>
    <w:rsid w:val="007223C2"/>
    <w:rsid w:val="0072286F"/>
    <w:rsid w:val="00722923"/>
    <w:rsid w:val="00722CE7"/>
    <w:rsid w:val="00722D58"/>
    <w:rsid w:val="00722E66"/>
    <w:rsid w:val="00723075"/>
    <w:rsid w:val="00723195"/>
    <w:rsid w:val="00723E6F"/>
    <w:rsid w:val="007243AA"/>
    <w:rsid w:val="00724536"/>
    <w:rsid w:val="00724866"/>
    <w:rsid w:val="00724958"/>
    <w:rsid w:val="00724974"/>
    <w:rsid w:val="00724A34"/>
    <w:rsid w:val="00724E28"/>
    <w:rsid w:val="00724F3E"/>
    <w:rsid w:val="0072519F"/>
    <w:rsid w:val="00725211"/>
    <w:rsid w:val="00725F48"/>
    <w:rsid w:val="00726184"/>
    <w:rsid w:val="00726679"/>
    <w:rsid w:val="00727297"/>
    <w:rsid w:val="007272DB"/>
    <w:rsid w:val="0072761E"/>
    <w:rsid w:val="007279D2"/>
    <w:rsid w:val="00727ADF"/>
    <w:rsid w:val="00727DCD"/>
    <w:rsid w:val="00727E08"/>
    <w:rsid w:val="00727F09"/>
    <w:rsid w:val="00730001"/>
    <w:rsid w:val="007300F6"/>
    <w:rsid w:val="00730126"/>
    <w:rsid w:val="007308BA"/>
    <w:rsid w:val="00730B9B"/>
    <w:rsid w:val="00730C01"/>
    <w:rsid w:val="00730C74"/>
    <w:rsid w:val="007312C7"/>
    <w:rsid w:val="00731954"/>
    <w:rsid w:val="00731CA8"/>
    <w:rsid w:val="00732047"/>
    <w:rsid w:val="007324CD"/>
    <w:rsid w:val="00732501"/>
    <w:rsid w:val="0073308C"/>
    <w:rsid w:val="007344D9"/>
    <w:rsid w:val="00734E06"/>
    <w:rsid w:val="00736BF9"/>
    <w:rsid w:val="00736FAC"/>
    <w:rsid w:val="0073720C"/>
    <w:rsid w:val="00737618"/>
    <w:rsid w:val="007379BF"/>
    <w:rsid w:val="00737D40"/>
    <w:rsid w:val="007409B3"/>
    <w:rsid w:val="00741416"/>
    <w:rsid w:val="007417C2"/>
    <w:rsid w:val="007418A8"/>
    <w:rsid w:val="00741B8B"/>
    <w:rsid w:val="0074216D"/>
    <w:rsid w:val="00742248"/>
    <w:rsid w:val="0074249D"/>
    <w:rsid w:val="00742A6A"/>
    <w:rsid w:val="007431AE"/>
    <w:rsid w:val="00743596"/>
    <w:rsid w:val="0074399B"/>
    <w:rsid w:val="00743B2E"/>
    <w:rsid w:val="0074473E"/>
    <w:rsid w:val="007449E7"/>
    <w:rsid w:val="00744ABE"/>
    <w:rsid w:val="00744CFB"/>
    <w:rsid w:val="00744F3B"/>
    <w:rsid w:val="00744FAF"/>
    <w:rsid w:val="00745122"/>
    <w:rsid w:val="007458C6"/>
    <w:rsid w:val="0074591C"/>
    <w:rsid w:val="0074596B"/>
    <w:rsid w:val="00745AA3"/>
    <w:rsid w:val="00745B65"/>
    <w:rsid w:val="00745D18"/>
    <w:rsid w:val="00745E8B"/>
    <w:rsid w:val="00745E90"/>
    <w:rsid w:val="00745EE9"/>
    <w:rsid w:val="00746627"/>
    <w:rsid w:val="00746729"/>
    <w:rsid w:val="00746AA2"/>
    <w:rsid w:val="00746D7B"/>
    <w:rsid w:val="00746DC3"/>
    <w:rsid w:val="00746FCB"/>
    <w:rsid w:val="00746FF5"/>
    <w:rsid w:val="007470D8"/>
    <w:rsid w:val="007472C3"/>
    <w:rsid w:val="00747525"/>
    <w:rsid w:val="007476A1"/>
    <w:rsid w:val="00747717"/>
    <w:rsid w:val="00747C5D"/>
    <w:rsid w:val="007504A4"/>
    <w:rsid w:val="00750562"/>
    <w:rsid w:val="0075064B"/>
    <w:rsid w:val="0075070D"/>
    <w:rsid w:val="007507FA"/>
    <w:rsid w:val="007516C9"/>
    <w:rsid w:val="00751A9F"/>
    <w:rsid w:val="00751AA7"/>
    <w:rsid w:val="00751C19"/>
    <w:rsid w:val="00751C3C"/>
    <w:rsid w:val="00751C5A"/>
    <w:rsid w:val="00752436"/>
    <w:rsid w:val="0075250A"/>
    <w:rsid w:val="0075279E"/>
    <w:rsid w:val="00752813"/>
    <w:rsid w:val="00753553"/>
    <w:rsid w:val="007537BF"/>
    <w:rsid w:val="00753904"/>
    <w:rsid w:val="00753AA6"/>
    <w:rsid w:val="0075412B"/>
    <w:rsid w:val="00754253"/>
    <w:rsid w:val="007547D4"/>
    <w:rsid w:val="007549A7"/>
    <w:rsid w:val="00754B88"/>
    <w:rsid w:val="00754DC8"/>
    <w:rsid w:val="00755201"/>
    <w:rsid w:val="00755318"/>
    <w:rsid w:val="007555D3"/>
    <w:rsid w:val="00755605"/>
    <w:rsid w:val="007557FC"/>
    <w:rsid w:val="00755B9F"/>
    <w:rsid w:val="00755D3C"/>
    <w:rsid w:val="00756559"/>
    <w:rsid w:val="007567A9"/>
    <w:rsid w:val="00756920"/>
    <w:rsid w:val="00756F70"/>
    <w:rsid w:val="00756FAF"/>
    <w:rsid w:val="007571A4"/>
    <w:rsid w:val="007571DA"/>
    <w:rsid w:val="00757613"/>
    <w:rsid w:val="00757C74"/>
    <w:rsid w:val="0076066E"/>
    <w:rsid w:val="007607C3"/>
    <w:rsid w:val="00760DA1"/>
    <w:rsid w:val="00760DAB"/>
    <w:rsid w:val="00760DD6"/>
    <w:rsid w:val="00760F74"/>
    <w:rsid w:val="00761008"/>
    <w:rsid w:val="007611FE"/>
    <w:rsid w:val="00761D5B"/>
    <w:rsid w:val="00761D99"/>
    <w:rsid w:val="00761E01"/>
    <w:rsid w:val="00762100"/>
    <w:rsid w:val="00762ACB"/>
    <w:rsid w:val="00762DF2"/>
    <w:rsid w:val="007638FE"/>
    <w:rsid w:val="0076476E"/>
    <w:rsid w:val="007652D9"/>
    <w:rsid w:val="007653CA"/>
    <w:rsid w:val="00765692"/>
    <w:rsid w:val="007657F4"/>
    <w:rsid w:val="00765BEA"/>
    <w:rsid w:val="00765C11"/>
    <w:rsid w:val="00765DBD"/>
    <w:rsid w:val="00765E42"/>
    <w:rsid w:val="00765E56"/>
    <w:rsid w:val="0076616D"/>
    <w:rsid w:val="00766401"/>
    <w:rsid w:val="007664A9"/>
    <w:rsid w:val="00766DD3"/>
    <w:rsid w:val="007670DA"/>
    <w:rsid w:val="00767127"/>
    <w:rsid w:val="007679E3"/>
    <w:rsid w:val="0077007F"/>
    <w:rsid w:val="00770241"/>
    <w:rsid w:val="007702AF"/>
    <w:rsid w:val="007706BC"/>
    <w:rsid w:val="007707E1"/>
    <w:rsid w:val="00771433"/>
    <w:rsid w:val="007716F1"/>
    <w:rsid w:val="00772094"/>
    <w:rsid w:val="00772C1F"/>
    <w:rsid w:val="007730AB"/>
    <w:rsid w:val="007733D3"/>
    <w:rsid w:val="00773DD2"/>
    <w:rsid w:val="00774494"/>
    <w:rsid w:val="007745C8"/>
    <w:rsid w:val="00774A30"/>
    <w:rsid w:val="00774B99"/>
    <w:rsid w:val="00774D03"/>
    <w:rsid w:val="00775114"/>
    <w:rsid w:val="00775936"/>
    <w:rsid w:val="00775BED"/>
    <w:rsid w:val="00775CA7"/>
    <w:rsid w:val="0077664B"/>
    <w:rsid w:val="00776E4A"/>
    <w:rsid w:val="00776E59"/>
    <w:rsid w:val="00777331"/>
    <w:rsid w:val="007778E1"/>
    <w:rsid w:val="00777A03"/>
    <w:rsid w:val="00777A55"/>
    <w:rsid w:val="00777B5C"/>
    <w:rsid w:val="00777BBA"/>
    <w:rsid w:val="0078015A"/>
    <w:rsid w:val="0078078A"/>
    <w:rsid w:val="00780806"/>
    <w:rsid w:val="00780967"/>
    <w:rsid w:val="00780CBB"/>
    <w:rsid w:val="00780F12"/>
    <w:rsid w:val="007812F5"/>
    <w:rsid w:val="007816DD"/>
    <w:rsid w:val="007816E3"/>
    <w:rsid w:val="00781EC0"/>
    <w:rsid w:val="007825B6"/>
    <w:rsid w:val="00782850"/>
    <w:rsid w:val="00782FA0"/>
    <w:rsid w:val="00782FCD"/>
    <w:rsid w:val="0078311A"/>
    <w:rsid w:val="00783572"/>
    <w:rsid w:val="007839DC"/>
    <w:rsid w:val="00783AE0"/>
    <w:rsid w:val="00783FD3"/>
    <w:rsid w:val="007844F7"/>
    <w:rsid w:val="00784743"/>
    <w:rsid w:val="00784E6B"/>
    <w:rsid w:val="00785294"/>
    <w:rsid w:val="00785342"/>
    <w:rsid w:val="007856E5"/>
    <w:rsid w:val="00785B11"/>
    <w:rsid w:val="00785DDB"/>
    <w:rsid w:val="00785F78"/>
    <w:rsid w:val="0078661A"/>
    <w:rsid w:val="00786746"/>
    <w:rsid w:val="00786795"/>
    <w:rsid w:val="00786875"/>
    <w:rsid w:val="00786961"/>
    <w:rsid w:val="00786A31"/>
    <w:rsid w:val="0078700A"/>
    <w:rsid w:val="007871FD"/>
    <w:rsid w:val="0078721F"/>
    <w:rsid w:val="00787678"/>
    <w:rsid w:val="00787797"/>
    <w:rsid w:val="00787F53"/>
    <w:rsid w:val="007905FD"/>
    <w:rsid w:val="007906B6"/>
    <w:rsid w:val="00790705"/>
    <w:rsid w:val="00790D05"/>
    <w:rsid w:val="00790DFD"/>
    <w:rsid w:val="00791A36"/>
    <w:rsid w:val="00791DB8"/>
    <w:rsid w:val="00791F2B"/>
    <w:rsid w:val="007923A7"/>
    <w:rsid w:val="00792432"/>
    <w:rsid w:val="00793A9D"/>
    <w:rsid w:val="00793E25"/>
    <w:rsid w:val="007941A3"/>
    <w:rsid w:val="007944EA"/>
    <w:rsid w:val="0079453C"/>
    <w:rsid w:val="007945A1"/>
    <w:rsid w:val="007948A7"/>
    <w:rsid w:val="00794A4D"/>
    <w:rsid w:val="00794C89"/>
    <w:rsid w:val="00794E0A"/>
    <w:rsid w:val="0079583C"/>
    <w:rsid w:val="00795940"/>
    <w:rsid w:val="0079594C"/>
    <w:rsid w:val="00795AA9"/>
    <w:rsid w:val="00795E91"/>
    <w:rsid w:val="00796018"/>
    <w:rsid w:val="0079648D"/>
    <w:rsid w:val="00796962"/>
    <w:rsid w:val="00796A92"/>
    <w:rsid w:val="00796ACD"/>
    <w:rsid w:val="00796C12"/>
    <w:rsid w:val="007976BF"/>
    <w:rsid w:val="007978C2"/>
    <w:rsid w:val="00797B63"/>
    <w:rsid w:val="00797BFF"/>
    <w:rsid w:val="00797D02"/>
    <w:rsid w:val="00797D2F"/>
    <w:rsid w:val="007A00E9"/>
    <w:rsid w:val="007A05A8"/>
    <w:rsid w:val="007A0646"/>
    <w:rsid w:val="007A0C9B"/>
    <w:rsid w:val="007A0F73"/>
    <w:rsid w:val="007A127B"/>
    <w:rsid w:val="007A1358"/>
    <w:rsid w:val="007A1444"/>
    <w:rsid w:val="007A1F7F"/>
    <w:rsid w:val="007A328B"/>
    <w:rsid w:val="007A32CC"/>
    <w:rsid w:val="007A361A"/>
    <w:rsid w:val="007A37C3"/>
    <w:rsid w:val="007A3B2D"/>
    <w:rsid w:val="007A3F6B"/>
    <w:rsid w:val="007A4160"/>
    <w:rsid w:val="007A42B2"/>
    <w:rsid w:val="007A430D"/>
    <w:rsid w:val="007A450F"/>
    <w:rsid w:val="007A4631"/>
    <w:rsid w:val="007A4D3A"/>
    <w:rsid w:val="007A508C"/>
    <w:rsid w:val="007A5238"/>
    <w:rsid w:val="007A5338"/>
    <w:rsid w:val="007A5A0F"/>
    <w:rsid w:val="007A5BE6"/>
    <w:rsid w:val="007A5BE9"/>
    <w:rsid w:val="007A5D7F"/>
    <w:rsid w:val="007A5F9B"/>
    <w:rsid w:val="007A62A5"/>
    <w:rsid w:val="007A6440"/>
    <w:rsid w:val="007A672B"/>
    <w:rsid w:val="007A6FCD"/>
    <w:rsid w:val="007A7388"/>
    <w:rsid w:val="007A7538"/>
    <w:rsid w:val="007A7670"/>
    <w:rsid w:val="007A797E"/>
    <w:rsid w:val="007B040C"/>
    <w:rsid w:val="007B1399"/>
    <w:rsid w:val="007B1A70"/>
    <w:rsid w:val="007B238A"/>
    <w:rsid w:val="007B23F2"/>
    <w:rsid w:val="007B2574"/>
    <w:rsid w:val="007B25CE"/>
    <w:rsid w:val="007B2828"/>
    <w:rsid w:val="007B36B4"/>
    <w:rsid w:val="007B3783"/>
    <w:rsid w:val="007B3C34"/>
    <w:rsid w:val="007B3FE6"/>
    <w:rsid w:val="007B40C0"/>
    <w:rsid w:val="007B4103"/>
    <w:rsid w:val="007B4481"/>
    <w:rsid w:val="007B460D"/>
    <w:rsid w:val="007B4792"/>
    <w:rsid w:val="007B48CA"/>
    <w:rsid w:val="007B4964"/>
    <w:rsid w:val="007B4A68"/>
    <w:rsid w:val="007B5233"/>
    <w:rsid w:val="007B582D"/>
    <w:rsid w:val="007B5A10"/>
    <w:rsid w:val="007B5B24"/>
    <w:rsid w:val="007B5C3F"/>
    <w:rsid w:val="007B60D0"/>
    <w:rsid w:val="007B66CB"/>
    <w:rsid w:val="007B6A35"/>
    <w:rsid w:val="007B6A4F"/>
    <w:rsid w:val="007B6B26"/>
    <w:rsid w:val="007B6C00"/>
    <w:rsid w:val="007B6CD4"/>
    <w:rsid w:val="007B710F"/>
    <w:rsid w:val="007B7193"/>
    <w:rsid w:val="007B740E"/>
    <w:rsid w:val="007B7713"/>
    <w:rsid w:val="007B7798"/>
    <w:rsid w:val="007B7965"/>
    <w:rsid w:val="007B7B4A"/>
    <w:rsid w:val="007B7E7C"/>
    <w:rsid w:val="007B7F43"/>
    <w:rsid w:val="007B7F50"/>
    <w:rsid w:val="007C04E9"/>
    <w:rsid w:val="007C0A58"/>
    <w:rsid w:val="007C0AF3"/>
    <w:rsid w:val="007C1360"/>
    <w:rsid w:val="007C16A8"/>
    <w:rsid w:val="007C190D"/>
    <w:rsid w:val="007C1AB6"/>
    <w:rsid w:val="007C298A"/>
    <w:rsid w:val="007C2997"/>
    <w:rsid w:val="007C2EC1"/>
    <w:rsid w:val="007C32AE"/>
    <w:rsid w:val="007C3532"/>
    <w:rsid w:val="007C378D"/>
    <w:rsid w:val="007C3D34"/>
    <w:rsid w:val="007C3F9F"/>
    <w:rsid w:val="007C43CD"/>
    <w:rsid w:val="007C44AF"/>
    <w:rsid w:val="007C53E4"/>
    <w:rsid w:val="007C56F1"/>
    <w:rsid w:val="007C57A7"/>
    <w:rsid w:val="007C5B8B"/>
    <w:rsid w:val="007C5C98"/>
    <w:rsid w:val="007C6AC7"/>
    <w:rsid w:val="007C6BF9"/>
    <w:rsid w:val="007C6C9A"/>
    <w:rsid w:val="007C71A1"/>
    <w:rsid w:val="007C76BE"/>
    <w:rsid w:val="007C7795"/>
    <w:rsid w:val="007C78B4"/>
    <w:rsid w:val="007D003E"/>
    <w:rsid w:val="007D0290"/>
    <w:rsid w:val="007D094F"/>
    <w:rsid w:val="007D15EA"/>
    <w:rsid w:val="007D1614"/>
    <w:rsid w:val="007D161D"/>
    <w:rsid w:val="007D1997"/>
    <w:rsid w:val="007D19DC"/>
    <w:rsid w:val="007D2A1A"/>
    <w:rsid w:val="007D3000"/>
    <w:rsid w:val="007D3567"/>
    <w:rsid w:val="007D360B"/>
    <w:rsid w:val="007D3BFE"/>
    <w:rsid w:val="007D3DCD"/>
    <w:rsid w:val="007D4810"/>
    <w:rsid w:val="007D4EA9"/>
    <w:rsid w:val="007D534E"/>
    <w:rsid w:val="007D55FF"/>
    <w:rsid w:val="007D585B"/>
    <w:rsid w:val="007D589C"/>
    <w:rsid w:val="007D5A1E"/>
    <w:rsid w:val="007D5A5E"/>
    <w:rsid w:val="007D5ACF"/>
    <w:rsid w:val="007D6258"/>
    <w:rsid w:val="007D64FA"/>
    <w:rsid w:val="007D692F"/>
    <w:rsid w:val="007D6F02"/>
    <w:rsid w:val="007D725B"/>
    <w:rsid w:val="007D730B"/>
    <w:rsid w:val="007D7494"/>
    <w:rsid w:val="007D78B7"/>
    <w:rsid w:val="007D7B93"/>
    <w:rsid w:val="007D7D4B"/>
    <w:rsid w:val="007E03B7"/>
    <w:rsid w:val="007E07E5"/>
    <w:rsid w:val="007E095D"/>
    <w:rsid w:val="007E0B96"/>
    <w:rsid w:val="007E0C6F"/>
    <w:rsid w:val="007E0CE6"/>
    <w:rsid w:val="007E0DD9"/>
    <w:rsid w:val="007E1969"/>
    <w:rsid w:val="007E1AE1"/>
    <w:rsid w:val="007E1DB7"/>
    <w:rsid w:val="007E22C0"/>
    <w:rsid w:val="007E2DAE"/>
    <w:rsid w:val="007E2F65"/>
    <w:rsid w:val="007E3116"/>
    <w:rsid w:val="007E333E"/>
    <w:rsid w:val="007E3745"/>
    <w:rsid w:val="007E3A2C"/>
    <w:rsid w:val="007E44D7"/>
    <w:rsid w:val="007E48AB"/>
    <w:rsid w:val="007E528C"/>
    <w:rsid w:val="007E54C4"/>
    <w:rsid w:val="007E54E2"/>
    <w:rsid w:val="007E54EC"/>
    <w:rsid w:val="007E5729"/>
    <w:rsid w:val="007E588F"/>
    <w:rsid w:val="007E5AA5"/>
    <w:rsid w:val="007E6063"/>
    <w:rsid w:val="007E6668"/>
    <w:rsid w:val="007E705B"/>
    <w:rsid w:val="007E73CB"/>
    <w:rsid w:val="007E7474"/>
    <w:rsid w:val="007E7E83"/>
    <w:rsid w:val="007F01BA"/>
    <w:rsid w:val="007F0273"/>
    <w:rsid w:val="007F0391"/>
    <w:rsid w:val="007F084D"/>
    <w:rsid w:val="007F0D79"/>
    <w:rsid w:val="007F173D"/>
    <w:rsid w:val="007F1AC2"/>
    <w:rsid w:val="007F20BB"/>
    <w:rsid w:val="007F218B"/>
    <w:rsid w:val="007F2979"/>
    <w:rsid w:val="007F2C2C"/>
    <w:rsid w:val="007F31B1"/>
    <w:rsid w:val="007F324B"/>
    <w:rsid w:val="007F3A04"/>
    <w:rsid w:val="007F3C78"/>
    <w:rsid w:val="007F4013"/>
    <w:rsid w:val="007F40DD"/>
    <w:rsid w:val="007F45EA"/>
    <w:rsid w:val="007F5085"/>
    <w:rsid w:val="007F593A"/>
    <w:rsid w:val="007F59BC"/>
    <w:rsid w:val="007F5DC7"/>
    <w:rsid w:val="007F642B"/>
    <w:rsid w:val="007F653B"/>
    <w:rsid w:val="007F659B"/>
    <w:rsid w:val="007F695C"/>
    <w:rsid w:val="007F6B99"/>
    <w:rsid w:val="007F6C6F"/>
    <w:rsid w:val="007F6D11"/>
    <w:rsid w:val="007F758A"/>
    <w:rsid w:val="007F7A1A"/>
    <w:rsid w:val="007F7AE2"/>
    <w:rsid w:val="007F7E16"/>
    <w:rsid w:val="008000D6"/>
    <w:rsid w:val="008002D2"/>
    <w:rsid w:val="00800E0A"/>
    <w:rsid w:val="00800E92"/>
    <w:rsid w:val="0080132F"/>
    <w:rsid w:val="00801766"/>
    <w:rsid w:val="0080190E"/>
    <w:rsid w:val="00801A07"/>
    <w:rsid w:val="0080226E"/>
    <w:rsid w:val="0080296B"/>
    <w:rsid w:val="008030F4"/>
    <w:rsid w:val="008033D8"/>
    <w:rsid w:val="00803D99"/>
    <w:rsid w:val="00803FD2"/>
    <w:rsid w:val="008040F5"/>
    <w:rsid w:val="00804D4E"/>
    <w:rsid w:val="00804F7A"/>
    <w:rsid w:val="00805142"/>
    <w:rsid w:val="00805264"/>
    <w:rsid w:val="00805488"/>
    <w:rsid w:val="0080570C"/>
    <w:rsid w:val="0080634A"/>
    <w:rsid w:val="00806494"/>
    <w:rsid w:val="008068CF"/>
    <w:rsid w:val="00806E41"/>
    <w:rsid w:val="0080717D"/>
    <w:rsid w:val="00807497"/>
    <w:rsid w:val="0081060C"/>
    <w:rsid w:val="00810D09"/>
    <w:rsid w:val="00810D2B"/>
    <w:rsid w:val="00810FCE"/>
    <w:rsid w:val="00811276"/>
    <w:rsid w:val="00811E55"/>
    <w:rsid w:val="00811E9B"/>
    <w:rsid w:val="00812E63"/>
    <w:rsid w:val="008132F4"/>
    <w:rsid w:val="00813795"/>
    <w:rsid w:val="00813E7E"/>
    <w:rsid w:val="0081547A"/>
    <w:rsid w:val="008154AC"/>
    <w:rsid w:val="00815628"/>
    <w:rsid w:val="008156DA"/>
    <w:rsid w:val="0081572E"/>
    <w:rsid w:val="008158EA"/>
    <w:rsid w:val="00815C0A"/>
    <w:rsid w:val="00815E59"/>
    <w:rsid w:val="00815E7F"/>
    <w:rsid w:val="008165D5"/>
    <w:rsid w:val="00816896"/>
    <w:rsid w:val="00816976"/>
    <w:rsid w:val="00816D01"/>
    <w:rsid w:val="0081740F"/>
    <w:rsid w:val="00817619"/>
    <w:rsid w:val="00817694"/>
    <w:rsid w:val="00817960"/>
    <w:rsid w:val="00817A9E"/>
    <w:rsid w:val="00817D49"/>
    <w:rsid w:val="00817EC6"/>
    <w:rsid w:val="008202E3"/>
    <w:rsid w:val="008204EE"/>
    <w:rsid w:val="008207B9"/>
    <w:rsid w:val="00820FA7"/>
    <w:rsid w:val="00821188"/>
    <w:rsid w:val="008212D7"/>
    <w:rsid w:val="00821ABD"/>
    <w:rsid w:val="00821B46"/>
    <w:rsid w:val="00822074"/>
    <w:rsid w:val="008222A5"/>
    <w:rsid w:val="00822349"/>
    <w:rsid w:val="00822715"/>
    <w:rsid w:val="00822759"/>
    <w:rsid w:val="00822BA7"/>
    <w:rsid w:val="00822E50"/>
    <w:rsid w:val="00823620"/>
    <w:rsid w:val="008239DE"/>
    <w:rsid w:val="008239EB"/>
    <w:rsid w:val="008239F3"/>
    <w:rsid w:val="00823C8E"/>
    <w:rsid w:val="00823CD9"/>
    <w:rsid w:val="00823F84"/>
    <w:rsid w:val="008244F9"/>
    <w:rsid w:val="008248E0"/>
    <w:rsid w:val="008249BD"/>
    <w:rsid w:val="00824B1B"/>
    <w:rsid w:val="00824D5F"/>
    <w:rsid w:val="0082514E"/>
    <w:rsid w:val="0082555F"/>
    <w:rsid w:val="00825DD2"/>
    <w:rsid w:val="0082604B"/>
    <w:rsid w:val="0082604D"/>
    <w:rsid w:val="00826325"/>
    <w:rsid w:val="00826348"/>
    <w:rsid w:val="008265C3"/>
    <w:rsid w:val="008267F3"/>
    <w:rsid w:val="008269CF"/>
    <w:rsid w:val="008272C3"/>
    <w:rsid w:val="008301CB"/>
    <w:rsid w:val="00830B84"/>
    <w:rsid w:val="00830B91"/>
    <w:rsid w:val="00830E35"/>
    <w:rsid w:val="00830EAD"/>
    <w:rsid w:val="008312D9"/>
    <w:rsid w:val="00831705"/>
    <w:rsid w:val="00831C01"/>
    <w:rsid w:val="00831C7C"/>
    <w:rsid w:val="00831E0B"/>
    <w:rsid w:val="00832051"/>
    <w:rsid w:val="008324BD"/>
    <w:rsid w:val="00832928"/>
    <w:rsid w:val="00832B5F"/>
    <w:rsid w:val="00832D11"/>
    <w:rsid w:val="00832EF6"/>
    <w:rsid w:val="008333D2"/>
    <w:rsid w:val="00833888"/>
    <w:rsid w:val="00833F2A"/>
    <w:rsid w:val="0083423D"/>
    <w:rsid w:val="0083459C"/>
    <w:rsid w:val="008348C9"/>
    <w:rsid w:val="00834A62"/>
    <w:rsid w:val="00834E28"/>
    <w:rsid w:val="00835A2E"/>
    <w:rsid w:val="00835BD4"/>
    <w:rsid w:val="00835D4A"/>
    <w:rsid w:val="00836746"/>
    <w:rsid w:val="00836BA1"/>
    <w:rsid w:val="0083704D"/>
    <w:rsid w:val="008373A1"/>
    <w:rsid w:val="00837540"/>
    <w:rsid w:val="008378D4"/>
    <w:rsid w:val="00840194"/>
    <w:rsid w:val="0084029F"/>
    <w:rsid w:val="008403A5"/>
    <w:rsid w:val="008406F2"/>
    <w:rsid w:val="00840847"/>
    <w:rsid w:val="00840960"/>
    <w:rsid w:val="00840C50"/>
    <w:rsid w:val="00841377"/>
    <w:rsid w:val="00841E3A"/>
    <w:rsid w:val="008426B7"/>
    <w:rsid w:val="0084276D"/>
    <w:rsid w:val="00842EA3"/>
    <w:rsid w:val="0084392B"/>
    <w:rsid w:val="00843B08"/>
    <w:rsid w:val="00843C17"/>
    <w:rsid w:val="00843E07"/>
    <w:rsid w:val="008445F4"/>
    <w:rsid w:val="00844782"/>
    <w:rsid w:val="00844798"/>
    <w:rsid w:val="00844A80"/>
    <w:rsid w:val="00844C31"/>
    <w:rsid w:val="00845033"/>
    <w:rsid w:val="008457CF"/>
    <w:rsid w:val="00845942"/>
    <w:rsid w:val="00845AAC"/>
    <w:rsid w:val="00845C55"/>
    <w:rsid w:val="00845E45"/>
    <w:rsid w:val="0084600C"/>
    <w:rsid w:val="0084602F"/>
    <w:rsid w:val="0084631D"/>
    <w:rsid w:val="00846369"/>
    <w:rsid w:val="00846C1B"/>
    <w:rsid w:val="00846D14"/>
    <w:rsid w:val="00847009"/>
    <w:rsid w:val="008471E2"/>
    <w:rsid w:val="008471EC"/>
    <w:rsid w:val="00847B71"/>
    <w:rsid w:val="00847E08"/>
    <w:rsid w:val="00847F2B"/>
    <w:rsid w:val="00850111"/>
    <w:rsid w:val="008501B9"/>
    <w:rsid w:val="008503CE"/>
    <w:rsid w:val="008509A9"/>
    <w:rsid w:val="00850B41"/>
    <w:rsid w:val="00850BBF"/>
    <w:rsid w:val="00850C41"/>
    <w:rsid w:val="00851017"/>
    <w:rsid w:val="00852085"/>
    <w:rsid w:val="00852415"/>
    <w:rsid w:val="00852B78"/>
    <w:rsid w:val="00852DFB"/>
    <w:rsid w:val="00853238"/>
    <w:rsid w:val="00853341"/>
    <w:rsid w:val="00853388"/>
    <w:rsid w:val="008538A3"/>
    <w:rsid w:val="008539FC"/>
    <w:rsid w:val="00853A6C"/>
    <w:rsid w:val="008542D2"/>
    <w:rsid w:val="00854B92"/>
    <w:rsid w:val="00854B95"/>
    <w:rsid w:val="00855078"/>
    <w:rsid w:val="008550EA"/>
    <w:rsid w:val="008567AC"/>
    <w:rsid w:val="00856AEC"/>
    <w:rsid w:val="00856C69"/>
    <w:rsid w:val="00856D4C"/>
    <w:rsid w:val="00856F6D"/>
    <w:rsid w:val="008573C2"/>
    <w:rsid w:val="00857F0C"/>
    <w:rsid w:val="00860450"/>
    <w:rsid w:val="008604D3"/>
    <w:rsid w:val="00860794"/>
    <w:rsid w:val="0086107E"/>
    <w:rsid w:val="00862447"/>
    <w:rsid w:val="008624EA"/>
    <w:rsid w:val="00862688"/>
    <w:rsid w:val="00862764"/>
    <w:rsid w:val="008627A2"/>
    <w:rsid w:val="00862FC5"/>
    <w:rsid w:val="0086343A"/>
    <w:rsid w:val="008636AC"/>
    <w:rsid w:val="00863E68"/>
    <w:rsid w:val="00864512"/>
    <w:rsid w:val="00864684"/>
    <w:rsid w:val="00864836"/>
    <w:rsid w:val="0086493F"/>
    <w:rsid w:val="00864B07"/>
    <w:rsid w:val="00864BD7"/>
    <w:rsid w:val="00865261"/>
    <w:rsid w:val="008657BE"/>
    <w:rsid w:val="00865DA0"/>
    <w:rsid w:val="00865DA5"/>
    <w:rsid w:val="00865E2B"/>
    <w:rsid w:val="00865E5F"/>
    <w:rsid w:val="0086603E"/>
    <w:rsid w:val="0086615A"/>
    <w:rsid w:val="008664E4"/>
    <w:rsid w:val="00866EF9"/>
    <w:rsid w:val="008678E5"/>
    <w:rsid w:val="00867F32"/>
    <w:rsid w:val="008705DB"/>
    <w:rsid w:val="00870783"/>
    <w:rsid w:val="00870C3E"/>
    <w:rsid w:val="00870D4F"/>
    <w:rsid w:val="00870DC4"/>
    <w:rsid w:val="00871082"/>
    <w:rsid w:val="00871146"/>
    <w:rsid w:val="0087126A"/>
    <w:rsid w:val="0087168A"/>
    <w:rsid w:val="0087197F"/>
    <w:rsid w:val="0087247A"/>
    <w:rsid w:val="008724FC"/>
    <w:rsid w:val="00873646"/>
    <w:rsid w:val="008739E7"/>
    <w:rsid w:val="00873AB8"/>
    <w:rsid w:val="008741A8"/>
    <w:rsid w:val="008743DA"/>
    <w:rsid w:val="0087455D"/>
    <w:rsid w:val="00874D62"/>
    <w:rsid w:val="00874D96"/>
    <w:rsid w:val="00874F07"/>
    <w:rsid w:val="0087525B"/>
    <w:rsid w:val="0087537C"/>
    <w:rsid w:val="0087542B"/>
    <w:rsid w:val="00875619"/>
    <w:rsid w:val="00875747"/>
    <w:rsid w:val="0087598F"/>
    <w:rsid w:val="00875BF9"/>
    <w:rsid w:val="00876215"/>
    <w:rsid w:val="00876653"/>
    <w:rsid w:val="00876A16"/>
    <w:rsid w:val="0087724C"/>
    <w:rsid w:val="00877FDE"/>
    <w:rsid w:val="00880109"/>
    <w:rsid w:val="008802F5"/>
    <w:rsid w:val="0088060D"/>
    <w:rsid w:val="00880A80"/>
    <w:rsid w:val="00880B77"/>
    <w:rsid w:val="00880D20"/>
    <w:rsid w:val="0088150C"/>
    <w:rsid w:val="008816B0"/>
    <w:rsid w:val="00881903"/>
    <w:rsid w:val="00881BFF"/>
    <w:rsid w:val="0088206D"/>
    <w:rsid w:val="00882651"/>
    <w:rsid w:val="00882891"/>
    <w:rsid w:val="008828C9"/>
    <w:rsid w:val="00882AF9"/>
    <w:rsid w:val="00882C1C"/>
    <w:rsid w:val="0088319A"/>
    <w:rsid w:val="0088319B"/>
    <w:rsid w:val="008833DE"/>
    <w:rsid w:val="00883480"/>
    <w:rsid w:val="0088372C"/>
    <w:rsid w:val="00883B50"/>
    <w:rsid w:val="00883CDD"/>
    <w:rsid w:val="00883DE2"/>
    <w:rsid w:val="00884323"/>
    <w:rsid w:val="00884A70"/>
    <w:rsid w:val="00885258"/>
    <w:rsid w:val="00885EB4"/>
    <w:rsid w:val="00886199"/>
    <w:rsid w:val="008866D1"/>
    <w:rsid w:val="00886E85"/>
    <w:rsid w:val="00887102"/>
    <w:rsid w:val="00887243"/>
    <w:rsid w:val="008878C9"/>
    <w:rsid w:val="00887B76"/>
    <w:rsid w:val="00887E93"/>
    <w:rsid w:val="00887F70"/>
    <w:rsid w:val="0089067E"/>
    <w:rsid w:val="0089095C"/>
    <w:rsid w:val="00890F02"/>
    <w:rsid w:val="008913C9"/>
    <w:rsid w:val="00891774"/>
    <w:rsid w:val="008918AE"/>
    <w:rsid w:val="00891D65"/>
    <w:rsid w:val="00891F6A"/>
    <w:rsid w:val="00891F7C"/>
    <w:rsid w:val="008922CC"/>
    <w:rsid w:val="00892361"/>
    <w:rsid w:val="00892D50"/>
    <w:rsid w:val="00892E6C"/>
    <w:rsid w:val="00893187"/>
    <w:rsid w:val="00893522"/>
    <w:rsid w:val="008938AB"/>
    <w:rsid w:val="00893DFC"/>
    <w:rsid w:val="00894122"/>
    <w:rsid w:val="008945A2"/>
    <w:rsid w:val="008945F6"/>
    <w:rsid w:val="00894C49"/>
    <w:rsid w:val="00894D8C"/>
    <w:rsid w:val="00894E01"/>
    <w:rsid w:val="008951C9"/>
    <w:rsid w:val="008952E9"/>
    <w:rsid w:val="008953CA"/>
    <w:rsid w:val="00895A45"/>
    <w:rsid w:val="00895A8D"/>
    <w:rsid w:val="00895E9F"/>
    <w:rsid w:val="00895F00"/>
    <w:rsid w:val="00896188"/>
    <w:rsid w:val="0089632C"/>
    <w:rsid w:val="00896353"/>
    <w:rsid w:val="008964BD"/>
    <w:rsid w:val="008966C2"/>
    <w:rsid w:val="00896A3C"/>
    <w:rsid w:val="00896FD5"/>
    <w:rsid w:val="00897062"/>
    <w:rsid w:val="008973B8"/>
    <w:rsid w:val="0089745A"/>
    <w:rsid w:val="008977C7"/>
    <w:rsid w:val="008979A1"/>
    <w:rsid w:val="00897EFC"/>
    <w:rsid w:val="008A03D8"/>
    <w:rsid w:val="008A0586"/>
    <w:rsid w:val="008A0750"/>
    <w:rsid w:val="008A08AE"/>
    <w:rsid w:val="008A0915"/>
    <w:rsid w:val="008A0BC6"/>
    <w:rsid w:val="008A0D28"/>
    <w:rsid w:val="008A0F17"/>
    <w:rsid w:val="008A0FD4"/>
    <w:rsid w:val="008A1053"/>
    <w:rsid w:val="008A1D31"/>
    <w:rsid w:val="008A1D81"/>
    <w:rsid w:val="008A1DE3"/>
    <w:rsid w:val="008A209A"/>
    <w:rsid w:val="008A21C0"/>
    <w:rsid w:val="008A2CFF"/>
    <w:rsid w:val="008A30B3"/>
    <w:rsid w:val="008A35CA"/>
    <w:rsid w:val="008A3851"/>
    <w:rsid w:val="008A39F0"/>
    <w:rsid w:val="008A3C2A"/>
    <w:rsid w:val="008A3CE6"/>
    <w:rsid w:val="008A3F4B"/>
    <w:rsid w:val="008A4601"/>
    <w:rsid w:val="008A4AEB"/>
    <w:rsid w:val="008A55A3"/>
    <w:rsid w:val="008A6525"/>
    <w:rsid w:val="008A6AC4"/>
    <w:rsid w:val="008A6BDF"/>
    <w:rsid w:val="008A719D"/>
    <w:rsid w:val="008A767D"/>
    <w:rsid w:val="008A76EF"/>
    <w:rsid w:val="008B1153"/>
    <w:rsid w:val="008B143B"/>
    <w:rsid w:val="008B165D"/>
    <w:rsid w:val="008B1C7A"/>
    <w:rsid w:val="008B1D35"/>
    <w:rsid w:val="008B2073"/>
    <w:rsid w:val="008B2640"/>
    <w:rsid w:val="008B29B1"/>
    <w:rsid w:val="008B304D"/>
    <w:rsid w:val="008B375A"/>
    <w:rsid w:val="008B390F"/>
    <w:rsid w:val="008B3ACA"/>
    <w:rsid w:val="008B3D3A"/>
    <w:rsid w:val="008B42A2"/>
    <w:rsid w:val="008B4A4A"/>
    <w:rsid w:val="008B4BA8"/>
    <w:rsid w:val="008B4DBA"/>
    <w:rsid w:val="008B4DD3"/>
    <w:rsid w:val="008B51A5"/>
    <w:rsid w:val="008B5BC6"/>
    <w:rsid w:val="008B5D11"/>
    <w:rsid w:val="008B6093"/>
    <w:rsid w:val="008B66EC"/>
    <w:rsid w:val="008B699F"/>
    <w:rsid w:val="008B6D4E"/>
    <w:rsid w:val="008B7269"/>
    <w:rsid w:val="008B7481"/>
    <w:rsid w:val="008B74D3"/>
    <w:rsid w:val="008B7D44"/>
    <w:rsid w:val="008C0483"/>
    <w:rsid w:val="008C0A3F"/>
    <w:rsid w:val="008C0B43"/>
    <w:rsid w:val="008C0D4D"/>
    <w:rsid w:val="008C1190"/>
    <w:rsid w:val="008C1364"/>
    <w:rsid w:val="008C15DF"/>
    <w:rsid w:val="008C1DED"/>
    <w:rsid w:val="008C205B"/>
    <w:rsid w:val="008C2674"/>
    <w:rsid w:val="008C3205"/>
    <w:rsid w:val="008C37E2"/>
    <w:rsid w:val="008C3BEF"/>
    <w:rsid w:val="008C3C36"/>
    <w:rsid w:val="008C3D69"/>
    <w:rsid w:val="008C4147"/>
    <w:rsid w:val="008C4658"/>
    <w:rsid w:val="008C46F6"/>
    <w:rsid w:val="008C474E"/>
    <w:rsid w:val="008C4A20"/>
    <w:rsid w:val="008C4BCF"/>
    <w:rsid w:val="008C5029"/>
    <w:rsid w:val="008C5064"/>
    <w:rsid w:val="008C52E4"/>
    <w:rsid w:val="008C547C"/>
    <w:rsid w:val="008C5850"/>
    <w:rsid w:val="008C58AB"/>
    <w:rsid w:val="008C5AFE"/>
    <w:rsid w:val="008C5E00"/>
    <w:rsid w:val="008C5EED"/>
    <w:rsid w:val="008C68CF"/>
    <w:rsid w:val="008C6A62"/>
    <w:rsid w:val="008C75BA"/>
    <w:rsid w:val="008C784F"/>
    <w:rsid w:val="008C7F11"/>
    <w:rsid w:val="008D03A0"/>
    <w:rsid w:val="008D03CD"/>
    <w:rsid w:val="008D04B2"/>
    <w:rsid w:val="008D0B24"/>
    <w:rsid w:val="008D1129"/>
    <w:rsid w:val="008D14BB"/>
    <w:rsid w:val="008D174B"/>
    <w:rsid w:val="008D1BAD"/>
    <w:rsid w:val="008D1D0E"/>
    <w:rsid w:val="008D1DD5"/>
    <w:rsid w:val="008D2D1F"/>
    <w:rsid w:val="008D2E04"/>
    <w:rsid w:val="008D2E06"/>
    <w:rsid w:val="008D3045"/>
    <w:rsid w:val="008D372A"/>
    <w:rsid w:val="008D380D"/>
    <w:rsid w:val="008D40CC"/>
    <w:rsid w:val="008D461F"/>
    <w:rsid w:val="008D4870"/>
    <w:rsid w:val="008D50D1"/>
    <w:rsid w:val="008D53D5"/>
    <w:rsid w:val="008D5723"/>
    <w:rsid w:val="008D57F7"/>
    <w:rsid w:val="008D583B"/>
    <w:rsid w:val="008D5A39"/>
    <w:rsid w:val="008D5D0A"/>
    <w:rsid w:val="008D5EE2"/>
    <w:rsid w:val="008D5F3C"/>
    <w:rsid w:val="008D6008"/>
    <w:rsid w:val="008D6055"/>
    <w:rsid w:val="008D6B0B"/>
    <w:rsid w:val="008D6D9B"/>
    <w:rsid w:val="008D7151"/>
    <w:rsid w:val="008D7612"/>
    <w:rsid w:val="008D79AC"/>
    <w:rsid w:val="008E0131"/>
    <w:rsid w:val="008E0271"/>
    <w:rsid w:val="008E02FD"/>
    <w:rsid w:val="008E03D0"/>
    <w:rsid w:val="008E0604"/>
    <w:rsid w:val="008E07C7"/>
    <w:rsid w:val="008E0CE5"/>
    <w:rsid w:val="008E0D6B"/>
    <w:rsid w:val="008E1045"/>
    <w:rsid w:val="008E1087"/>
    <w:rsid w:val="008E1317"/>
    <w:rsid w:val="008E1658"/>
    <w:rsid w:val="008E221E"/>
    <w:rsid w:val="008E2604"/>
    <w:rsid w:val="008E2C09"/>
    <w:rsid w:val="008E3215"/>
    <w:rsid w:val="008E344D"/>
    <w:rsid w:val="008E357C"/>
    <w:rsid w:val="008E36A0"/>
    <w:rsid w:val="008E36BE"/>
    <w:rsid w:val="008E3BA7"/>
    <w:rsid w:val="008E3C87"/>
    <w:rsid w:val="008E3F52"/>
    <w:rsid w:val="008E42F1"/>
    <w:rsid w:val="008E4496"/>
    <w:rsid w:val="008E4655"/>
    <w:rsid w:val="008E4796"/>
    <w:rsid w:val="008E56D5"/>
    <w:rsid w:val="008E5F68"/>
    <w:rsid w:val="008E6472"/>
    <w:rsid w:val="008E65E1"/>
    <w:rsid w:val="008E6799"/>
    <w:rsid w:val="008E683D"/>
    <w:rsid w:val="008E6A3F"/>
    <w:rsid w:val="008E6B50"/>
    <w:rsid w:val="008E6B81"/>
    <w:rsid w:val="008E71A6"/>
    <w:rsid w:val="008E77F9"/>
    <w:rsid w:val="008E7930"/>
    <w:rsid w:val="008E79F2"/>
    <w:rsid w:val="008F02E7"/>
    <w:rsid w:val="008F110E"/>
    <w:rsid w:val="008F1304"/>
    <w:rsid w:val="008F144B"/>
    <w:rsid w:val="008F175A"/>
    <w:rsid w:val="008F1857"/>
    <w:rsid w:val="008F1D19"/>
    <w:rsid w:val="008F1F42"/>
    <w:rsid w:val="008F2332"/>
    <w:rsid w:val="008F2A73"/>
    <w:rsid w:val="008F2B58"/>
    <w:rsid w:val="008F2B93"/>
    <w:rsid w:val="008F2B9C"/>
    <w:rsid w:val="008F2C87"/>
    <w:rsid w:val="008F2D6D"/>
    <w:rsid w:val="008F318C"/>
    <w:rsid w:val="008F32EF"/>
    <w:rsid w:val="008F381E"/>
    <w:rsid w:val="008F3BAA"/>
    <w:rsid w:val="008F3D95"/>
    <w:rsid w:val="008F3DA7"/>
    <w:rsid w:val="008F3E6A"/>
    <w:rsid w:val="008F3E9E"/>
    <w:rsid w:val="008F4680"/>
    <w:rsid w:val="008F4D7D"/>
    <w:rsid w:val="008F5609"/>
    <w:rsid w:val="008F5A5F"/>
    <w:rsid w:val="008F5ABC"/>
    <w:rsid w:val="008F5C12"/>
    <w:rsid w:val="008F61A0"/>
    <w:rsid w:val="008F683A"/>
    <w:rsid w:val="008F6AA1"/>
    <w:rsid w:val="008F7803"/>
    <w:rsid w:val="008F7AE7"/>
    <w:rsid w:val="008F7BCD"/>
    <w:rsid w:val="00900282"/>
    <w:rsid w:val="00900309"/>
    <w:rsid w:val="00900408"/>
    <w:rsid w:val="00900705"/>
    <w:rsid w:val="00900818"/>
    <w:rsid w:val="00900DAD"/>
    <w:rsid w:val="00901020"/>
    <w:rsid w:val="0090115A"/>
    <w:rsid w:val="00901283"/>
    <w:rsid w:val="009015B2"/>
    <w:rsid w:val="00901790"/>
    <w:rsid w:val="00901CAE"/>
    <w:rsid w:val="0090220A"/>
    <w:rsid w:val="00902342"/>
    <w:rsid w:val="009023A8"/>
    <w:rsid w:val="0090365E"/>
    <w:rsid w:val="00903892"/>
    <w:rsid w:val="00903A5F"/>
    <w:rsid w:val="00903F7A"/>
    <w:rsid w:val="0090423A"/>
    <w:rsid w:val="009043FB"/>
    <w:rsid w:val="009044A9"/>
    <w:rsid w:val="0090451E"/>
    <w:rsid w:val="009045DA"/>
    <w:rsid w:val="00904D3F"/>
    <w:rsid w:val="00904F05"/>
    <w:rsid w:val="00905093"/>
    <w:rsid w:val="009054F6"/>
    <w:rsid w:val="00905A49"/>
    <w:rsid w:val="0090639B"/>
    <w:rsid w:val="00906726"/>
    <w:rsid w:val="00906B50"/>
    <w:rsid w:val="00907A5C"/>
    <w:rsid w:val="00907EC4"/>
    <w:rsid w:val="00910035"/>
    <w:rsid w:val="00910710"/>
    <w:rsid w:val="00910F1D"/>
    <w:rsid w:val="0091127C"/>
    <w:rsid w:val="0091168C"/>
    <w:rsid w:val="009118AF"/>
    <w:rsid w:val="00911EB0"/>
    <w:rsid w:val="00912072"/>
    <w:rsid w:val="009121EB"/>
    <w:rsid w:val="009127A6"/>
    <w:rsid w:val="009133F8"/>
    <w:rsid w:val="00913463"/>
    <w:rsid w:val="00913514"/>
    <w:rsid w:val="00913645"/>
    <w:rsid w:val="00913766"/>
    <w:rsid w:val="00913840"/>
    <w:rsid w:val="009139D6"/>
    <w:rsid w:val="00913E87"/>
    <w:rsid w:val="0091446A"/>
    <w:rsid w:val="00914B43"/>
    <w:rsid w:val="00914D58"/>
    <w:rsid w:val="009159D5"/>
    <w:rsid w:val="00916064"/>
    <w:rsid w:val="009166C1"/>
    <w:rsid w:val="009166F5"/>
    <w:rsid w:val="00916C72"/>
    <w:rsid w:val="00916CF5"/>
    <w:rsid w:val="00917443"/>
    <w:rsid w:val="0091762C"/>
    <w:rsid w:val="009176CB"/>
    <w:rsid w:val="009179EF"/>
    <w:rsid w:val="00920BC2"/>
    <w:rsid w:val="009210C4"/>
    <w:rsid w:val="00921395"/>
    <w:rsid w:val="009213A2"/>
    <w:rsid w:val="00921444"/>
    <w:rsid w:val="009215A2"/>
    <w:rsid w:val="00921BDB"/>
    <w:rsid w:val="00921C05"/>
    <w:rsid w:val="00921CF5"/>
    <w:rsid w:val="00921FBE"/>
    <w:rsid w:val="009222AB"/>
    <w:rsid w:val="009223E6"/>
    <w:rsid w:val="00922816"/>
    <w:rsid w:val="009229FA"/>
    <w:rsid w:val="00922A62"/>
    <w:rsid w:val="00923583"/>
    <w:rsid w:val="00923F8C"/>
    <w:rsid w:val="009241AB"/>
    <w:rsid w:val="00924657"/>
    <w:rsid w:val="00924715"/>
    <w:rsid w:val="00924805"/>
    <w:rsid w:val="00924834"/>
    <w:rsid w:val="00924DF5"/>
    <w:rsid w:val="00925178"/>
    <w:rsid w:val="009255FF"/>
    <w:rsid w:val="00925650"/>
    <w:rsid w:val="009257B8"/>
    <w:rsid w:val="009257F3"/>
    <w:rsid w:val="00925A1A"/>
    <w:rsid w:val="00925A1C"/>
    <w:rsid w:val="00925E35"/>
    <w:rsid w:val="00926E11"/>
    <w:rsid w:val="00926E93"/>
    <w:rsid w:val="00927979"/>
    <w:rsid w:val="00927B39"/>
    <w:rsid w:val="00927E1A"/>
    <w:rsid w:val="00927ED9"/>
    <w:rsid w:val="00927FFB"/>
    <w:rsid w:val="0093046D"/>
    <w:rsid w:val="009308C8"/>
    <w:rsid w:val="009310A5"/>
    <w:rsid w:val="00931317"/>
    <w:rsid w:val="00931D95"/>
    <w:rsid w:val="00931DBF"/>
    <w:rsid w:val="0093215B"/>
    <w:rsid w:val="009323A0"/>
    <w:rsid w:val="00932504"/>
    <w:rsid w:val="00932F98"/>
    <w:rsid w:val="00933D40"/>
    <w:rsid w:val="009340F1"/>
    <w:rsid w:val="0093437F"/>
    <w:rsid w:val="009346A5"/>
    <w:rsid w:val="00934CFA"/>
    <w:rsid w:val="00934DBB"/>
    <w:rsid w:val="00934ED4"/>
    <w:rsid w:val="009351B4"/>
    <w:rsid w:val="009351B8"/>
    <w:rsid w:val="009352EF"/>
    <w:rsid w:val="009353E4"/>
    <w:rsid w:val="00935656"/>
    <w:rsid w:val="00935FDA"/>
    <w:rsid w:val="00936ACF"/>
    <w:rsid w:val="00936D9C"/>
    <w:rsid w:val="00937228"/>
    <w:rsid w:val="00937237"/>
    <w:rsid w:val="009375D6"/>
    <w:rsid w:val="009377FE"/>
    <w:rsid w:val="00937B94"/>
    <w:rsid w:val="009407C4"/>
    <w:rsid w:val="00940A18"/>
    <w:rsid w:val="00940EA7"/>
    <w:rsid w:val="00940F1F"/>
    <w:rsid w:val="009412E4"/>
    <w:rsid w:val="00941501"/>
    <w:rsid w:val="00941912"/>
    <w:rsid w:val="00941F8D"/>
    <w:rsid w:val="0094266D"/>
    <w:rsid w:val="009429BF"/>
    <w:rsid w:val="009430C7"/>
    <w:rsid w:val="00943971"/>
    <w:rsid w:val="00943A5C"/>
    <w:rsid w:val="00943CF1"/>
    <w:rsid w:val="00943DD5"/>
    <w:rsid w:val="0094405A"/>
    <w:rsid w:val="0094449C"/>
    <w:rsid w:val="00944C57"/>
    <w:rsid w:val="00944D26"/>
    <w:rsid w:val="00945507"/>
    <w:rsid w:val="009456B0"/>
    <w:rsid w:val="00945D37"/>
    <w:rsid w:val="009465B8"/>
    <w:rsid w:val="00946C6C"/>
    <w:rsid w:val="00946F41"/>
    <w:rsid w:val="00946FAE"/>
    <w:rsid w:val="0094728C"/>
    <w:rsid w:val="00947CD3"/>
    <w:rsid w:val="00950487"/>
    <w:rsid w:val="00950643"/>
    <w:rsid w:val="009511B3"/>
    <w:rsid w:val="009518DF"/>
    <w:rsid w:val="00951A22"/>
    <w:rsid w:val="00951B1D"/>
    <w:rsid w:val="009520C5"/>
    <w:rsid w:val="00952185"/>
    <w:rsid w:val="009521E0"/>
    <w:rsid w:val="009523B2"/>
    <w:rsid w:val="00952468"/>
    <w:rsid w:val="00952B9A"/>
    <w:rsid w:val="00952EB0"/>
    <w:rsid w:val="009530B4"/>
    <w:rsid w:val="009531E2"/>
    <w:rsid w:val="00953770"/>
    <w:rsid w:val="009539D9"/>
    <w:rsid w:val="00953E56"/>
    <w:rsid w:val="00953FE6"/>
    <w:rsid w:val="00954132"/>
    <w:rsid w:val="009542C4"/>
    <w:rsid w:val="009543A2"/>
    <w:rsid w:val="009545F8"/>
    <w:rsid w:val="0095490A"/>
    <w:rsid w:val="00954B54"/>
    <w:rsid w:val="00956664"/>
    <w:rsid w:val="009567AE"/>
    <w:rsid w:val="0095710F"/>
    <w:rsid w:val="0095711C"/>
    <w:rsid w:val="0095724A"/>
    <w:rsid w:val="00957A3D"/>
    <w:rsid w:val="00957B15"/>
    <w:rsid w:val="00957E96"/>
    <w:rsid w:val="009602EE"/>
    <w:rsid w:val="0096039F"/>
    <w:rsid w:val="0096059C"/>
    <w:rsid w:val="009606DB"/>
    <w:rsid w:val="0096074C"/>
    <w:rsid w:val="00960A59"/>
    <w:rsid w:val="00960DB5"/>
    <w:rsid w:val="00961341"/>
    <w:rsid w:val="009616E7"/>
    <w:rsid w:val="00961C77"/>
    <w:rsid w:val="00962805"/>
    <w:rsid w:val="00962850"/>
    <w:rsid w:val="00962B9D"/>
    <w:rsid w:val="009630DF"/>
    <w:rsid w:val="00963110"/>
    <w:rsid w:val="00963199"/>
    <w:rsid w:val="0096326C"/>
    <w:rsid w:val="00963B40"/>
    <w:rsid w:val="00963F2C"/>
    <w:rsid w:val="009642B5"/>
    <w:rsid w:val="009642DA"/>
    <w:rsid w:val="00964B6D"/>
    <w:rsid w:val="00965353"/>
    <w:rsid w:val="00965534"/>
    <w:rsid w:val="00965F95"/>
    <w:rsid w:val="00966944"/>
    <w:rsid w:val="00966BC8"/>
    <w:rsid w:val="00966BD4"/>
    <w:rsid w:val="00966F80"/>
    <w:rsid w:val="00967098"/>
    <w:rsid w:val="00967962"/>
    <w:rsid w:val="00970712"/>
    <w:rsid w:val="0097076B"/>
    <w:rsid w:val="00970C28"/>
    <w:rsid w:val="00970F06"/>
    <w:rsid w:val="00971298"/>
    <w:rsid w:val="00971EB4"/>
    <w:rsid w:val="00972227"/>
    <w:rsid w:val="00972600"/>
    <w:rsid w:val="00972985"/>
    <w:rsid w:val="00972F0E"/>
    <w:rsid w:val="00972F1E"/>
    <w:rsid w:val="009732E2"/>
    <w:rsid w:val="009733DB"/>
    <w:rsid w:val="009734CA"/>
    <w:rsid w:val="009735D1"/>
    <w:rsid w:val="00973A1E"/>
    <w:rsid w:val="00973C7A"/>
    <w:rsid w:val="00973CF0"/>
    <w:rsid w:val="00974B26"/>
    <w:rsid w:val="0097560F"/>
    <w:rsid w:val="0097562E"/>
    <w:rsid w:val="0097597B"/>
    <w:rsid w:val="009765BC"/>
    <w:rsid w:val="009766E3"/>
    <w:rsid w:val="00976717"/>
    <w:rsid w:val="00976815"/>
    <w:rsid w:val="00976A0F"/>
    <w:rsid w:val="00976B2D"/>
    <w:rsid w:val="00977563"/>
    <w:rsid w:val="00977622"/>
    <w:rsid w:val="0097768C"/>
    <w:rsid w:val="009778B4"/>
    <w:rsid w:val="00977D70"/>
    <w:rsid w:val="00980188"/>
    <w:rsid w:val="0098023E"/>
    <w:rsid w:val="009802E2"/>
    <w:rsid w:val="00980789"/>
    <w:rsid w:val="00980B98"/>
    <w:rsid w:val="00980CC2"/>
    <w:rsid w:val="00980CC8"/>
    <w:rsid w:val="00980D9C"/>
    <w:rsid w:val="00981662"/>
    <w:rsid w:val="009817A8"/>
    <w:rsid w:val="00981970"/>
    <w:rsid w:val="009819FF"/>
    <w:rsid w:val="00981FAC"/>
    <w:rsid w:val="00982BD3"/>
    <w:rsid w:val="00982CA2"/>
    <w:rsid w:val="00982D17"/>
    <w:rsid w:val="0098301C"/>
    <w:rsid w:val="00983A1D"/>
    <w:rsid w:val="00983CD0"/>
    <w:rsid w:val="009845A4"/>
    <w:rsid w:val="009847EC"/>
    <w:rsid w:val="00984A0D"/>
    <w:rsid w:val="00984A89"/>
    <w:rsid w:val="00984B3C"/>
    <w:rsid w:val="009853FF"/>
    <w:rsid w:val="00985560"/>
    <w:rsid w:val="0098563A"/>
    <w:rsid w:val="009856C3"/>
    <w:rsid w:val="00985B44"/>
    <w:rsid w:val="009860F2"/>
    <w:rsid w:val="00986422"/>
    <w:rsid w:val="0098658B"/>
    <w:rsid w:val="009865B9"/>
    <w:rsid w:val="00986624"/>
    <w:rsid w:val="0098744F"/>
    <w:rsid w:val="00987498"/>
    <w:rsid w:val="00990150"/>
    <w:rsid w:val="00990358"/>
    <w:rsid w:val="00990D94"/>
    <w:rsid w:val="00991944"/>
    <w:rsid w:val="009919FC"/>
    <w:rsid w:val="00991EA7"/>
    <w:rsid w:val="00992200"/>
    <w:rsid w:val="00992A66"/>
    <w:rsid w:val="00992DC8"/>
    <w:rsid w:val="00992E2E"/>
    <w:rsid w:val="00993002"/>
    <w:rsid w:val="00993B93"/>
    <w:rsid w:val="00993E18"/>
    <w:rsid w:val="009940A0"/>
    <w:rsid w:val="009940FA"/>
    <w:rsid w:val="009941AB"/>
    <w:rsid w:val="009941AD"/>
    <w:rsid w:val="00994718"/>
    <w:rsid w:val="00994AB5"/>
    <w:rsid w:val="00994BED"/>
    <w:rsid w:val="00994FD5"/>
    <w:rsid w:val="00995331"/>
    <w:rsid w:val="009953FB"/>
    <w:rsid w:val="00995710"/>
    <w:rsid w:val="00995C94"/>
    <w:rsid w:val="0099615A"/>
    <w:rsid w:val="0099647A"/>
    <w:rsid w:val="00996516"/>
    <w:rsid w:val="00997AFD"/>
    <w:rsid w:val="00997BC2"/>
    <w:rsid w:val="00997C5C"/>
    <w:rsid w:val="00997D37"/>
    <w:rsid w:val="009A0480"/>
    <w:rsid w:val="009A089A"/>
    <w:rsid w:val="009A131B"/>
    <w:rsid w:val="009A1D61"/>
    <w:rsid w:val="009A20A3"/>
    <w:rsid w:val="009A21C2"/>
    <w:rsid w:val="009A2ABE"/>
    <w:rsid w:val="009A32BE"/>
    <w:rsid w:val="009A350F"/>
    <w:rsid w:val="009A3909"/>
    <w:rsid w:val="009A3BEF"/>
    <w:rsid w:val="009A3CE8"/>
    <w:rsid w:val="009A4326"/>
    <w:rsid w:val="009A4429"/>
    <w:rsid w:val="009A45AB"/>
    <w:rsid w:val="009A47BD"/>
    <w:rsid w:val="009A4905"/>
    <w:rsid w:val="009A53D2"/>
    <w:rsid w:val="009A5649"/>
    <w:rsid w:val="009A56F3"/>
    <w:rsid w:val="009A576F"/>
    <w:rsid w:val="009A5AEF"/>
    <w:rsid w:val="009A64E9"/>
    <w:rsid w:val="009A73FE"/>
    <w:rsid w:val="009A7709"/>
    <w:rsid w:val="009A7BE2"/>
    <w:rsid w:val="009A7F6C"/>
    <w:rsid w:val="009B032C"/>
    <w:rsid w:val="009B0503"/>
    <w:rsid w:val="009B1113"/>
    <w:rsid w:val="009B1157"/>
    <w:rsid w:val="009B1973"/>
    <w:rsid w:val="009B1B74"/>
    <w:rsid w:val="009B25CF"/>
    <w:rsid w:val="009B2701"/>
    <w:rsid w:val="009B28B6"/>
    <w:rsid w:val="009B299B"/>
    <w:rsid w:val="009B29A8"/>
    <w:rsid w:val="009B2C5F"/>
    <w:rsid w:val="009B36E2"/>
    <w:rsid w:val="009B38C3"/>
    <w:rsid w:val="009B3C50"/>
    <w:rsid w:val="009B3CA5"/>
    <w:rsid w:val="009B439A"/>
    <w:rsid w:val="009B4BBB"/>
    <w:rsid w:val="009B52CE"/>
    <w:rsid w:val="009B5611"/>
    <w:rsid w:val="009B5700"/>
    <w:rsid w:val="009B5902"/>
    <w:rsid w:val="009B5944"/>
    <w:rsid w:val="009B5C93"/>
    <w:rsid w:val="009B5DC3"/>
    <w:rsid w:val="009B5E22"/>
    <w:rsid w:val="009B6418"/>
    <w:rsid w:val="009B6DD9"/>
    <w:rsid w:val="009B6E92"/>
    <w:rsid w:val="009B6EE5"/>
    <w:rsid w:val="009B7B87"/>
    <w:rsid w:val="009C00AB"/>
    <w:rsid w:val="009C0AAF"/>
    <w:rsid w:val="009C0D1C"/>
    <w:rsid w:val="009C1438"/>
    <w:rsid w:val="009C1CF2"/>
    <w:rsid w:val="009C2423"/>
    <w:rsid w:val="009C2CB6"/>
    <w:rsid w:val="009C2D02"/>
    <w:rsid w:val="009C3235"/>
    <w:rsid w:val="009C36AC"/>
    <w:rsid w:val="009C3801"/>
    <w:rsid w:val="009C3CEF"/>
    <w:rsid w:val="009C3F5F"/>
    <w:rsid w:val="009C4403"/>
    <w:rsid w:val="009C45D7"/>
    <w:rsid w:val="009C46EC"/>
    <w:rsid w:val="009C47DE"/>
    <w:rsid w:val="009C4C49"/>
    <w:rsid w:val="009C4C9D"/>
    <w:rsid w:val="009C4EE9"/>
    <w:rsid w:val="009C4F06"/>
    <w:rsid w:val="009C4FFD"/>
    <w:rsid w:val="009C5143"/>
    <w:rsid w:val="009C526A"/>
    <w:rsid w:val="009C5535"/>
    <w:rsid w:val="009C57B3"/>
    <w:rsid w:val="009C58E4"/>
    <w:rsid w:val="009C5C94"/>
    <w:rsid w:val="009C5CCF"/>
    <w:rsid w:val="009C6107"/>
    <w:rsid w:val="009C6ABB"/>
    <w:rsid w:val="009C6CE7"/>
    <w:rsid w:val="009C6D11"/>
    <w:rsid w:val="009C716E"/>
    <w:rsid w:val="009C7229"/>
    <w:rsid w:val="009C775F"/>
    <w:rsid w:val="009C7FDE"/>
    <w:rsid w:val="009D023E"/>
    <w:rsid w:val="009D0555"/>
    <w:rsid w:val="009D10F4"/>
    <w:rsid w:val="009D17B8"/>
    <w:rsid w:val="009D1F05"/>
    <w:rsid w:val="009D2015"/>
    <w:rsid w:val="009D20C3"/>
    <w:rsid w:val="009D20E0"/>
    <w:rsid w:val="009D23F3"/>
    <w:rsid w:val="009D2554"/>
    <w:rsid w:val="009D2DDB"/>
    <w:rsid w:val="009D33BF"/>
    <w:rsid w:val="009D3851"/>
    <w:rsid w:val="009D3A52"/>
    <w:rsid w:val="009D4274"/>
    <w:rsid w:val="009D4885"/>
    <w:rsid w:val="009D4C34"/>
    <w:rsid w:val="009D50B5"/>
    <w:rsid w:val="009D50F4"/>
    <w:rsid w:val="009D5372"/>
    <w:rsid w:val="009D5516"/>
    <w:rsid w:val="009D57FE"/>
    <w:rsid w:val="009D580D"/>
    <w:rsid w:val="009D5CD4"/>
    <w:rsid w:val="009D5D62"/>
    <w:rsid w:val="009D5E6E"/>
    <w:rsid w:val="009D6384"/>
    <w:rsid w:val="009D6C7C"/>
    <w:rsid w:val="009D72FB"/>
    <w:rsid w:val="009D74C7"/>
    <w:rsid w:val="009D7AC0"/>
    <w:rsid w:val="009D7D50"/>
    <w:rsid w:val="009D7F32"/>
    <w:rsid w:val="009E04F5"/>
    <w:rsid w:val="009E0686"/>
    <w:rsid w:val="009E0D82"/>
    <w:rsid w:val="009E1061"/>
    <w:rsid w:val="009E1870"/>
    <w:rsid w:val="009E22F2"/>
    <w:rsid w:val="009E274B"/>
    <w:rsid w:val="009E2BFF"/>
    <w:rsid w:val="009E2D7F"/>
    <w:rsid w:val="009E33B9"/>
    <w:rsid w:val="009E354A"/>
    <w:rsid w:val="009E3B2D"/>
    <w:rsid w:val="009E3B44"/>
    <w:rsid w:val="009E3FDB"/>
    <w:rsid w:val="009E4051"/>
    <w:rsid w:val="009E4742"/>
    <w:rsid w:val="009E4AC6"/>
    <w:rsid w:val="009E4BFC"/>
    <w:rsid w:val="009E52D4"/>
    <w:rsid w:val="009E564F"/>
    <w:rsid w:val="009E56BA"/>
    <w:rsid w:val="009E5A76"/>
    <w:rsid w:val="009E5FD8"/>
    <w:rsid w:val="009E6167"/>
    <w:rsid w:val="009E6403"/>
    <w:rsid w:val="009E6571"/>
    <w:rsid w:val="009E6B31"/>
    <w:rsid w:val="009E6C26"/>
    <w:rsid w:val="009E6D4D"/>
    <w:rsid w:val="009E6FC8"/>
    <w:rsid w:val="009E70ED"/>
    <w:rsid w:val="009E7650"/>
    <w:rsid w:val="009E76C2"/>
    <w:rsid w:val="009E7796"/>
    <w:rsid w:val="009E7DB1"/>
    <w:rsid w:val="009F0129"/>
    <w:rsid w:val="009F051E"/>
    <w:rsid w:val="009F0EC7"/>
    <w:rsid w:val="009F12B7"/>
    <w:rsid w:val="009F1E62"/>
    <w:rsid w:val="009F26EE"/>
    <w:rsid w:val="009F2AF8"/>
    <w:rsid w:val="009F2C99"/>
    <w:rsid w:val="009F2E92"/>
    <w:rsid w:val="009F3080"/>
    <w:rsid w:val="009F330E"/>
    <w:rsid w:val="009F3373"/>
    <w:rsid w:val="009F33B0"/>
    <w:rsid w:val="009F39A7"/>
    <w:rsid w:val="009F3B66"/>
    <w:rsid w:val="009F3F40"/>
    <w:rsid w:val="009F48B7"/>
    <w:rsid w:val="009F4C0A"/>
    <w:rsid w:val="009F4FF9"/>
    <w:rsid w:val="009F5058"/>
    <w:rsid w:val="009F518C"/>
    <w:rsid w:val="009F59D6"/>
    <w:rsid w:val="009F5DA9"/>
    <w:rsid w:val="009F5EAF"/>
    <w:rsid w:val="009F5FA0"/>
    <w:rsid w:val="009F6265"/>
    <w:rsid w:val="009F6D43"/>
    <w:rsid w:val="009F726F"/>
    <w:rsid w:val="009F761B"/>
    <w:rsid w:val="009F77CE"/>
    <w:rsid w:val="009F7E47"/>
    <w:rsid w:val="00A00041"/>
    <w:rsid w:val="00A004A2"/>
    <w:rsid w:val="00A0059E"/>
    <w:rsid w:val="00A0063A"/>
    <w:rsid w:val="00A00649"/>
    <w:rsid w:val="00A009E7"/>
    <w:rsid w:val="00A00DB3"/>
    <w:rsid w:val="00A014D9"/>
    <w:rsid w:val="00A0153A"/>
    <w:rsid w:val="00A015B6"/>
    <w:rsid w:val="00A01818"/>
    <w:rsid w:val="00A0193E"/>
    <w:rsid w:val="00A01C31"/>
    <w:rsid w:val="00A01D2A"/>
    <w:rsid w:val="00A020AB"/>
    <w:rsid w:val="00A02769"/>
    <w:rsid w:val="00A02B29"/>
    <w:rsid w:val="00A02CBC"/>
    <w:rsid w:val="00A0310F"/>
    <w:rsid w:val="00A031A8"/>
    <w:rsid w:val="00A031CF"/>
    <w:rsid w:val="00A0324E"/>
    <w:rsid w:val="00A032B2"/>
    <w:rsid w:val="00A034D9"/>
    <w:rsid w:val="00A036BC"/>
    <w:rsid w:val="00A03CCB"/>
    <w:rsid w:val="00A03DA0"/>
    <w:rsid w:val="00A03E7C"/>
    <w:rsid w:val="00A03F92"/>
    <w:rsid w:val="00A042CD"/>
    <w:rsid w:val="00A048A1"/>
    <w:rsid w:val="00A04D24"/>
    <w:rsid w:val="00A04D5D"/>
    <w:rsid w:val="00A05447"/>
    <w:rsid w:val="00A056C4"/>
    <w:rsid w:val="00A059EB"/>
    <w:rsid w:val="00A05D10"/>
    <w:rsid w:val="00A05F6D"/>
    <w:rsid w:val="00A0681E"/>
    <w:rsid w:val="00A06AA8"/>
    <w:rsid w:val="00A06D56"/>
    <w:rsid w:val="00A06DD5"/>
    <w:rsid w:val="00A06F18"/>
    <w:rsid w:val="00A06FB0"/>
    <w:rsid w:val="00A070EE"/>
    <w:rsid w:val="00A077E6"/>
    <w:rsid w:val="00A07A02"/>
    <w:rsid w:val="00A07E61"/>
    <w:rsid w:val="00A07EA3"/>
    <w:rsid w:val="00A07EAC"/>
    <w:rsid w:val="00A10331"/>
    <w:rsid w:val="00A10352"/>
    <w:rsid w:val="00A10440"/>
    <w:rsid w:val="00A10521"/>
    <w:rsid w:val="00A108E1"/>
    <w:rsid w:val="00A10ACE"/>
    <w:rsid w:val="00A10B64"/>
    <w:rsid w:val="00A11397"/>
    <w:rsid w:val="00A11A12"/>
    <w:rsid w:val="00A11F8C"/>
    <w:rsid w:val="00A1272C"/>
    <w:rsid w:val="00A12FA9"/>
    <w:rsid w:val="00A1317F"/>
    <w:rsid w:val="00A1325C"/>
    <w:rsid w:val="00A134B9"/>
    <w:rsid w:val="00A13662"/>
    <w:rsid w:val="00A13AED"/>
    <w:rsid w:val="00A1494E"/>
    <w:rsid w:val="00A1497F"/>
    <w:rsid w:val="00A14DCC"/>
    <w:rsid w:val="00A153E1"/>
    <w:rsid w:val="00A15807"/>
    <w:rsid w:val="00A15AEF"/>
    <w:rsid w:val="00A15DFB"/>
    <w:rsid w:val="00A16628"/>
    <w:rsid w:val="00A1664B"/>
    <w:rsid w:val="00A172D1"/>
    <w:rsid w:val="00A1759C"/>
    <w:rsid w:val="00A1763F"/>
    <w:rsid w:val="00A17AF3"/>
    <w:rsid w:val="00A20611"/>
    <w:rsid w:val="00A20632"/>
    <w:rsid w:val="00A207EB"/>
    <w:rsid w:val="00A20AEC"/>
    <w:rsid w:val="00A212BD"/>
    <w:rsid w:val="00A214EB"/>
    <w:rsid w:val="00A21FF7"/>
    <w:rsid w:val="00A230CC"/>
    <w:rsid w:val="00A231B4"/>
    <w:rsid w:val="00A23389"/>
    <w:rsid w:val="00A2391A"/>
    <w:rsid w:val="00A240E9"/>
    <w:rsid w:val="00A242B0"/>
    <w:rsid w:val="00A2451D"/>
    <w:rsid w:val="00A24762"/>
    <w:rsid w:val="00A24A81"/>
    <w:rsid w:val="00A24CCD"/>
    <w:rsid w:val="00A24E96"/>
    <w:rsid w:val="00A24F7C"/>
    <w:rsid w:val="00A25CC9"/>
    <w:rsid w:val="00A25D7C"/>
    <w:rsid w:val="00A25DA6"/>
    <w:rsid w:val="00A2618D"/>
    <w:rsid w:val="00A261E0"/>
    <w:rsid w:val="00A26835"/>
    <w:rsid w:val="00A268F5"/>
    <w:rsid w:val="00A26C98"/>
    <w:rsid w:val="00A26ED8"/>
    <w:rsid w:val="00A27355"/>
    <w:rsid w:val="00A27508"/>
    <w:rsid w:val="00A2792C"/>
    <w:rsid w:val="00A27B7A"/>
    <w:rsid w:val="00A27E17"/>
    <w:rsid w:val="00A301AC"/>
    <w:rsid w:val="00A302ED"/>
    <w:rsid w:val="00A303E2"/>
    <w:rsid w:val="00A30496"/>
    <w:rsid w:val="00A3049D"/>
    <w:rsid w:val="00A30711"/>
    <w:rsid w:val="00A30756"/>
    <w:rsid w:val="00A313B6"/>
    <w:rsid w:val="00A31418"/>
    <w:rsid w:val="00A3165D"/>
    <w:rsid w:val="00A31DDF"/>
    <w:rsid w:val="00A31E4F"/>
    <w:rsid w:val="00A32B52"/>
    <w:rsid w:val="00A32BDD"/>
    <w:rsid w:val="00A32F6B"/>
    <w:rsid w:val="00A33182"/>
    <w:rsid w:val="00A333AE"/>
    <w:rsid w:val="00A340FC"/>
    <w:rsid w:val="00A346A8"/>
    <w:rsid w:val="00A347D5"/>
    <w:rsid w:val="00A34A03"/>
    <w:rsid w:val="00A34D41"/>
    <w:rsid w:val="00A34E2F"/>
    <w:rsid w:val="00A35124"/>
    <w:rsid w:val="00A359B9"/>
    <w:rsid w:val="00A35C72"/>
    <w:rsid w:val="00A35E37"/>
    <w:rsid w:val="00A3683E"/>
    <w:rsid w:val="00A368B1"/>
    <w:rsid w:val="00A36C7D"/>
    <w:rsid w:val="00A37492"/>
    <w:rsid w:val="00A376DE"/>
    <w:rsid w:val="00A37AFE"/>
    <w:rsid w:val="00A37C81"/>
    <w:rsid w:val="00A4031C"/>
    <w:rsid w:val="00A411D4"/>
    <w:rsid w:val="00A41301"/>
    <w:rsid w:val="00A415AE"/>
    <w:rsid w:val="00A41659"/>
    <w:rsid w:val="00A41A7B"/>
    <w:rsid w:val="00A41C02"/>
    <w:rsid w:val="00A41E9F"/>
    <w:rsid w:val="00A41ED5"/>
    <w:rsid w:val="00A41F96"/>
    <w:rsid w:val="00A421F1"/>
    <w:rsid w:val="00A42730"/>
    <w:rsid w:val="00A42856"/>
    <w:rsid w:val="00A42B8D"/>
    <w:rsid w:val="00A43085"/>
    <w:rsid w:val="00A4312A"/>
    <w:rsid w:val="00A43360"/>
    <w:rsid w:val="00A436E0"/>
    <w:rsid w:val="00A436E1"/>
    <w:rsid w:val="00A43E82"/>
    <w:rsid w:val="00A43E96"/>
    <w:rsid w:val="00A43F7B"/>
    <w:rsid w:val="00A44473"/>
    <w:rsid w:val="00A4468F"/>
    <w:rsid w:val="00A447FA"/>
    <w:rsid w:val="00A45037"/>
    <w:rsid w:val="00A45221"/>
    <w:rsid w:val="00A46AA0"/>
    <w:rsid w:val="00A46DA9"/>
    <w:rsid w:val="00A46EAE"/>
    <w:rsid w:val="00A470B1"/>
    <w:rsid w:val="00A471D3"/>
    <w:rsid w:val="00A47288"/>
    <w:rsid w:val="00A475E2"/>
    <w:rsid w:val="00A47682"/>
    <w:rsid w:val="00A47860"/>
    <w:rsid w:val="00A47906"/>
    <w:rsid w:val="00A47CD3"/>
    <w:rsid w:val="00A47DD1"/>
    <w:rsid w:val="00A47E3E"/>
    <w:rsid w:val="00A5087E"/>
    <w:rsid w:val="00A50A74"/>
    <w:rsid w:val="00A50A82"/>
    <w:rsid w:val="00A50D35"/>
    <w:rsid w:val="00A511B2"/>
    <w:rsid w:val="00A51545"/>
    <w:rsid w:val="00A516CC"/>
    <w:rsid w:val="00A517F3"/>
    <w:rsid w:val="00A51B6D"/>
    <w:rsid w:val="00A52120"/>
    <w:rsid w:val="00A52380"/>
    <w:rsid w:val="00A525F6"/>
    <w:rsid w:val="00A52A02"/>
    <w:rsid w:val="00A52D45"/>
    <w:rsid w:val="00A52DE3"/>
    <w:rsid w:val="00A52DFA"/>
    <w:rsid w:val="00A53291"/>
    <w:rsid w:val="00A5337A"/>
    <w:rsid w:val="00A53827"/>
    <w:rsid w:val="00A53BC9"/>
    <w:rsid w:val="00A53CF8"/>
    <w:rsid w:val="00A545C8"/>
    <w:rsid w:val="00A54756"/>
    <w:rsid w:val="00A54B09"/>
    <w:rsid w:val="00A55058"/>
    <w:rsid w:val="00A55074"/>
    <w:rsid w:val="00A55086"/>
    <w:rsid w:val="00A55962"/>
    <w:rsid w:val="00A55C18"/>
    <w:rsid w:val="00A56076"/>
    <w:rsid w:val="00A5623E"/>
    <w:rsid w:val="00A5638D"/>
    <w:rsid w:val="00A5662C"/>
    <w:rsid w:val="00A56C0C"/>
    <w:rsid w:val="00A56CE9"/>
    <w:rsid w:val="00A576B4"/>
    <w:rsid w:val="00A579DC"/>
    <w:rsid w:val="00A604A3"/>
    <w:rsid w:val="00A604F0"/>
    <w:rsid w:val="00A6058A"/>
    <w:rsid w:val="00A608BE"/>
    <w:rsid w:val="00A608EC"/>
    <w:rsid w:val="00A60915"/>
    <w:rsid w:val="00A60BF0"/>
    <w:rsid w:val="00A60CDA"/>
    <w:rsid w:val="00A60D2C"/>
    <w:rsid w:val="00A60D9C"/>
    <w:rsid w:val="00A60E38"/>
    <w:rsid w:val="00A61455"/>
    <w:rsid w:val="00A61722"/>
    <w:rsid w:val="00A6192D"/>
    <w:rsid w:val="00A61955"/>
    <w:rsid w:val="00A6209B"/>
    <w:rsid w:val="00A625C4"/>
    <w:rsid w:val="00A6289C"/>
    <w:rsid w:val="00A629E8"/>
    <w:rsid w:val="00A62AC7"/>
    <w:rsid w:val="00A62C1F"/>
    <w:rsid w:val="00A62DF3"/>
    <w:rsid w:val="00A62EEF"/>
    <w:rsid w:val="00A631F8"/>
    <w:rsid w:val="00A6334E"/>
    <w:rsid w:val="00A63576"/>
    <w:rsid w:val="00A635F7"/>
    <w:rsid w:val="00A63647"/>
    <w:rsid w:val="00A6380C"/>
    <w:rsid w:val="00A63CDD"/>
    <w:rsid w:val="00A64127"/>
    <w:rsid w:val="00A6459E"/>
    <w:rsid w:val="00A649CA"/>
    <w:rsid w:val="00A64DD2"/>
    <w:rsid w:val="00A64E8C"/>
    <w:rsid w:val="00A64EBC"/>
    <w:rsid w:val="00A650A0"/>
    <w:rsid w:val="00A65433"/>
    <w:rsid w:val="00A6589A"/>
    <w:rsid w:val="00A65FC8"/>
    <w:rsid w:val="00A6626E"/>
    <w:rsid w:val="00A665D7"/>
    <w:rsid w:val="00A6661C"/>
    <w:rsid w:val="00A66C2E"/>
    <w:rsid w:val="00A671AC"/>
    <w:rsid w:val="00A67CA8"/>
    <w:rsid w:val="00A70441"/>
    <w:rsid w:val="00A7086D"/>
    <w:rsid w:val="00A713EE"/>
    <w:rsid w:val="00A71639"/>
    <w:rsid w:val="00A71DFF"/>
    <w:rsid w:val="00A71EC7"/>
    <w:rsid w:val="00A7209B"/>
    <w:rsid w:val="00A728EF"/>
    <w:rsid w:val="00A72B8E"/>
    <w:rsid w:val="00A72CC7"/>
    <w:rsid w:val="00A72F38"/>
    <w:rsid w:val="00A72FCB"/>
    <w:rsid w:val="00A731E4"/>
    <w:rsid w:val="00A733F3"/>
    <w:rsid w:val="00A7369E"/>
    <w:rsid w:val="00A73C97"/>
    <w:rsid w:val="00A73DBF"/>
    <w:rsid w:val="00A73EA9"/>
    <w:rsid w:val="00A73F02"/>
    <w:rsid w:val="00A7465B"/>
    <w:rsid w:val="00A74BF5"/>
    <w:rsid w:val="00A74D46"/>
    <w:rsid w:val="00A75135"/>
    <w:rsid w:val="00A75F6F"/>
    <w:rsid w:val="00A7605E"/>
    <w:rsid w:val="00A76576"/>
    <w:rsid w:val="00A76DB0"/>
    <w:rsid w:val="00A77169"/>
    <w:rsid w:val="00A774A4"/>
    <w:rsid w:val="00A77B41"/>
    <w:rsid w:val="00A801C1"/>
    <w:rsid w:val="00A8079C"/>
    <w:rsid w:val="00A807B1"/>
    <w:rsid w:val="00A8094C"/>
    <w:rsid w:val="00A80D5D"/>
    <w:rsid w:val="00A81749"/>
    <w:rsid w:val="00A81948"/>
    <w:rsid w:val="00A81A02"/>
    <w:rsid w:val="00A81AE0"/>
    <w:rsid w:val="00A81E3D"/>
    <w:rsid w:val="00A81FFA"/>
    <w:rsid w:val="00A825A8"/>
    <w:rsid w:val="00A825E8"/>
    <w:rsid w:val="00A82613"/>
    <w:rsid w:val="00A82682"/>
    <w:rsid w:val="00A82878"/>
    <w:rsid w:val="00A82906"/>
    <w:rsid w:val="00A829EA"/>
    <w:rsid w:val="00A82AC5"/>
    <w:rsid w:val="00A82DCA"/>
    <w:rsid w:val="00A8357F"/>
    <w:rsid w:val="00A8413B"/>
    <w:rsid w:val="00A844A6"/>
    <w:rsid w:val="00A845B7"/>
    <w:rsid w:val="00A84604"/>
    <w:rsid w:val="00A848EF"/>
    <w:rsid w:val="00A84CAF"/>
    <w:rsid w:val="00A85498"/>
    <w:rsid w:val="00A85AC7"/>
    <w:rsid w:val="00A85FB2"/>
    <w:rsid w:val="00A860A4"/>
    <w:rsid w:val="00A86152"/>
    <w:rsid w:val="00A86370"/>
    <w:rsid w:val="00A86B9D"/>
    <w:rsid w:val="00A86C6E"/>
    <w:rsid w:val="00A86ED2"/>
    <w:rsid w:val="00A87251"/>
    <w:rsid w:val="00A873FD"/>
    <w:rsid w:val="00A87465"/>
    <w:rsid w:val="00A87EFB"/>
    <w:rsid w:val="00A87FDC"/>
    <w:rsid w:val="00A90117"/>
    <w:rsid w:val="00A903C6"/>
    <w:rsid w:val="00A90563"/>
    <w:rsid w:val="00A905BC"/>
    <w:rsid w:val="00A90CEF"/>
    <w:rsid w:val="00A91633"/>
    <w:rsid w:val="00A91727"/>
    <w:rsid w:val="00A919A1"/>
    <w:rsid w:val="00A91AFB"/>
    <w:rsid w:val="00A920C7"/>
    <w:rsid w:val="00A92682"/>
    <w:rsid w:val="00A927B0"/>
    <w:rsid w:val="00A92A58"/>
    <w:rsid w:val="00A92C0C"/>
    <w:rsid w:val="00A934FC"/>
    <w:rsid w:val="00A93C67"/>
    <w:rsid w:val="00A9402B"/>
    <w:rsid w:val="00A94371"/>
    <w:rsid w:val="00A943CC"/>
    <w:rsid w:val="00A94727"/>
    <w:rsid w:val="00A94EC2"/>
    <w:rsid w:val="00A95A58"/>
    <w:rsid w:val="00A9628F"/>
    <w:rsid w:val="00A96832"/>
    <w:rsid w:val="00A96E8E"/>
    <w:rsid w:val="00A970A3"/>
    <w:rsid w:val="00A973BB"/>
    <w:rsid w:val="00A97CFF"/>
    <w:rsid w:val="00AA004C"/>
    <w:rsid w:val="00AA04A9"/>
    <w:rsid w:val="00AA05C0"/>
    <w:rsid w:val="00AA0A77"/>
    <w:rsid w:val="00AA10D9"/>
    <w:rsid w:val="00AA18F0"/>
    <w:rsid w:val="00AA1CE1"/>
    <w:rsid w:val="00AA2541"/>
    <w:rsid w:val="00AA2ED0"/>
    <w:rsid w:val="00AA3047"/>
    <w:rsid w:val="00AA3C51"/>
    <w:rsid w:val="00AA3E9D"/>
    <w:rsid w:val="00AA408C"/>
    <w:rsid w:val="00AA40B1"/>
    <w:rsid w:val="00AA4200"/>
    <w:rsid w:val="00AA42BE"/>
    <w:rsid w:val="00AA4358"/>
    <w:rsid w:val="00AA4944"/>
    <w:rsid w:val="00AA4B69"/>
    <w:rsid w:val="00AA4F22"/>
    <w:rsid w:val="00AA5160"/>
    <w:rsid w:val="00AA576E"/>
    <w:rsid w:val="00AA58F2"/>
    <w:rsid w:val="00AA5957"/>
    <w:rsid w:val="00AA5DD6"/>
    <w:rsid w:val="00AA737C"/>
    <w:rsid w:val="00AA7418"/>
    <w:rsid w:val="00AA7742"/>
    <w:rsid w:val="00AA776E"/>
    <w:rsid w:val="00AA78B0"/>
    <w:rsid w:val="00AA7C4A"/>
    <w:rsid w:val="00AA7E8D"/>
    <w:rsid w:val="00AA7EFA"/>
    <w:rsid w:val="00AB01BB"/>
    <w:rsid w:val="00AB04D1"/>
    <w:rsid w:val="00AB0622"/>
    <w:rsid w:val="00AB0703"/>
    <w:rsid w:val="00AB1858"/>
    <w:rsid w:val="00AB1B0B"/>
    <w:rsid w:val="00AB26B2"/>
    <w:rsid w:val="00AB2816"/>
    <w:rsid w:val="00AB3067"/>
    <w:rsid w:val="00AB35C1"/>
    <w:rsid w:val="00AB3622"/>
    <w:rsid w:val="00AB3C20"/>
    <w:rsid w:val="00AB48E8"/>
    <w:rsid w:val="00AB4991"/>
    <w:rsid w:val="00AB4FBF"/>
    <w:rsid w:val="00AB5263"/>
    <w:rsid w:val="00AB5465"/>
    <w:rsid w:val="00AB5504"/>
    <w:rsid w:val="00AB57B1"/>
    <w:rsid w:val="00AB5C74"/>
    <w:rsid w:val="00AB644B"/>
    <w:rsid w:val="00AB6534"/>
    <w:rsid w:val="00AB663D"/>
    <w:rsid w:val="00AB6E61"/>
    <w:rsid w:val="00AB78AD"/>
    <w:rsid w:val="00AB7F8A"/>
    <w:rsid w:val="00AC020C"/>
    <w:rsid w:val="00AC033F"/>
    <w:rsid w:val="00AC06E4"/>
    <w:rsid w:val="00AC0B13"/>
    <w:rsid w:val="00AC0B60"/>
    <w:rsid w:val="00AC0E43"/>
    <w:rsid w:val="00AC1654"/>
    <w:rsid w:val="00AC252D"/>
    <w:rsid w:val="00AC2893"/>
    <w:rsid w:val="00AC2E1E"/>
    <w:rsid w:val="00AC2E21"/>
    <w:rsid w:val="00AC2FCA"/>
    <w:rsid w:val="00AC30BC"/>
    <w:rsid w:val="00AC3268"/>
    <w:rsid w:val="00AC3312"/>
    <w:rsid w:val="00AC34F0"/>
    <w:rsid w:val="00AC3823"/>
    <w:rsid w:val="00AC3D04"/>
    <w:rsid w:val="00AC40C9"/>
    <w:rsid w:val="00AC4746"/>
    <w:rsid w:val="00AC479B"/>
    <w:rsid w:val="00AC4D1C"/>
    <w:rsid w:val="00AC5109"/>
    <w:rsid w:val="00AC5AA7"/>
    <w:rsid w:val="00AC5FC7"/>
    <w:rsid w:val="00AC666F"/>
    <w:rsid w:val="00AC675D"/>
    <w:rsid w:val="00AC6CBF"/>
    <w:rsid w:val="00AC7200"/>
    <w:rsid w:val="00AC74BB"/>
    <w:rsid w:val="00AC79B2"/>
    <w:rsid w:val="00AC7CFC"/>
    <w:rsid w:val="00AD0520"/>
    <w:rsid w:val="00AD059B"/>
    <w:rsid w:val="00AD0678"/>
    <w:rsid w:val="00AD08CA"/>
    <w:rsid w:val="00AD0BA7"/>
    <w:rsid w:val="00AD0E77"/>
    <w:rsid w:val="00AD14D6"/>
    <w:rsid w:val="00AD1A5B"/>
    <w:rsid w:val="00AD26E3"/>
    <w:rsid w:val="00AD29AC"/>
    <w:rsid w:val="00AD2F83"/>
    <w:rsid w:val="00AD3351"/>
    <w:rsid w:val="00AD3BA0"/>
    <w:rsid w:val="00AD5369"/>
    <w:rsid w:val="00AD55C6"/>
    <w:rsid w:val="00AD57EC"/>
    <w:rsid w:val="00AD59E8"/>
    <w:rsid w:val="00AD5BFC"/>
    <w:rsid w:val="00AD5C0B"/>
    <w:rsid w:val="00AD60C8"/>
    <w:rsid w:val="00AD6211"/>
    <w:rsid w:val="00AD628D"/>
    <w:rsid w:val="00AD6989"/>
    <w:rsid w:val="00AD6B1F"/>
    <w:rsid w:val="00AD6B65"/>
    <w:rsid w:val="00AD75A4"/>
    <w:rsid w:val="00AD7B9C"/>
    <w:rsid w:val="00AD7CCC"/>
    <w:rsid w:val="00AD7F91"/>
    <w:rsid w:val="00AE1027"/>
    <w:rsid w:val="00AE13B8"/>
    <w:rsid w:val="00AE13EF"/>
    <w:rsid w:val="00AE142B"/>
    <w:rsid w:val="00AE1629"/>
    <w:rsid w:val="00AE1BD9"/>
    <w:rsid w:val="00AE2A59"/>
    <w:rsid w:val="00AE2D51"/>
    <w:rsid w:val="00AE2E39"/>
    <w:rsid w:val="00AE3551"/>
    <w:rsid w:val="00AE4003"/>
    <w:rsid w:val="00AE443F"/>
    <w:rsid w:val="00AE4469"/>
    <w:rsid w:val="00AE4527"/>
    <w:rsid w:val="00AE49FE"/>
    <w:rsid w:val="00AE5317"/>
    <w:rsid w:val="00AE5723"/>
    <w:rsid w:val="00AE6248"/>
    <w:rsid w:val="00AE6DF9"/>
    <w:rsid w:val="00AE6F09"/>
    <w:rsid w:val="00AE754B"/>
    <w:rsid w:val="00AE75D0"/>
    <w:rsid w:val="00AE7F7E"/>
    <w:rsid w:val="00AF00F6"/>
    <w:rsid w:val="00AF00F8"/>
    <w:rsid w:val="00AF0644"/>
    <w:rsid w:val="00AF0811"/>
    <w:rsid w:val="00AF0AB5"/>
    <w:rsid w:val="00AF1C8A"/>
    <w:rsid w:val="00AF2623"/>
    <w:rsid w:val="00AF264E"/>
    <w:rsid w:val="00AF28C3"/>
    <w:rsid w:val="00AF2B33"/>
    <w:rsid w:val="00AF357F"/>
    <w:rsid w:val="00AF3672"/>
    <w:rsid w:val="00AF38D3"/>
    <w:rsid w:val="00AF3B20"/>
    <w:rsid w:val="00AF41BF"/>
    <w:rsid w:val="00AF4655"/>
    <w:rsid w:val="00AF5072"/>
    <w:rsid w:val="00AF508F"/>
    <w:rsid w:val="00AF5242"/>
    <w:rsid w:val="00AF5599"/>
    <w:rsid w:val="00AF5792"/>
    <w:rsid w:val="00AF5A77"/>
    <w:rsid w:val="00AF676C"/>
    <w:rsid w:val="00AF6AA7"/>
    <w:rsid w:val="00AF739D"/>
    <w:rsid w:val="00AF76DE"/>
    <w:rsid w:val="00AF782A"/>
    <w:rsid w:val="00AF789F"/>
    <w:rsid w:val="00AF7C3B"/>
    <w:rsid w:val="00AF7CCF"/>
    <w:rsid w:val="00B00051"/>
    <w:rsid w:val="00B000B3"/>
    <w:rsid w:val="00B000DE"/>
    <w:rsid w:val="00B0082E"/>
    <w:rsid w:val="00B00850"/>
    <w:rsid w:val="00B0091A"/>
    <w:rsid w:val="00B00924"/>
    <w:rsid w:val="00B00AFF"/>
    <w:rsid w:val="00B00B03"/>
    <w:rsid w:val="00B01C12"/>
    <w:rsid w:val="00B022D6"/>
    <w:rsid w:val="00B0259D"/>
    <w:rsid w:val="00B02BA8"/>
    <w:rsid w:val="00B02EE8"/>
    <w:rsid w:val="00B03410"/>
    <w:rsid w:val="00B037D7"/>
    <w:rsid w:val="00B03B12"/>
    <w:rsid w:val="00B04473"/>
    <w:rsid w:val="00B046D2"/>
    <w:rsid w:val="00B048BE"/>
    <w:rsid w:val="00B0501F"/>
    <w:rsid w:val="00B054B8"/>
    <w:rsid w:val="00B05853"/>
    <w:rsid w:val="00B05E23"/>
    <w:rsid w:val="00B06137"/>
    <w:rsid w:val="00B0639C"/>
    <w:rsid w:val="00B06808"/>
    <w:rsid w:val="00B0694C"/>
    <w:rsid w:val="00B06ED4"/>
    <w:rsid w:val="00B077AF"/>
    <w:rsid w:val="00B07A64"/>
    <w:rsid w:val="00B07D01"/>
    <w:rsid w:val="00B07D2B"/>
    <w:rsid w:val="00B07E6D"/>
    <w:rsid w:val="00B07F34"/>
    <w:rsid w:val="00B100CA"/>
    <w:rsid w:val="00B10317"/>
    <w:rsid w:val="00B10A46"/>
    <w:rsid w:val="00B10C8A"/>
    <w:rsid w:val="00B10D24"/>
    <w:rsid w:val="00B10DCD"/>
    <w:rsid w:val="00B10E91"/>
    <w:rsid w:val="00B11151"/>
    <w:rsid w:val="00B11907"/>
    <w:rsid w:val="00B119F4"/>
    <w:rsid w:val="00B11A87"/>
    <w:rsid w:val="00B11CD7"/>
    <w:rsid w:val="00B125C3"/>
    <w:rsid w:val="00B125D1"/>
    <w:rsid w:val="00B127E0"/>
    <w:rsid w:val="00B12CD1"/>
    <w:rsid w:val="00B1300C"/>
    <w:rsid w:val="00B131BA"/>
    <w:rsid w:val="00B13311"/>
    <w:rsid w:val="00B1354C"/>
    <w:rsid w:val="00B1374E"/>
    <w:rsid w:val="00B13956"/>
    <w:rsid w:val="00B13A46"/>
    <w:rsid w:val="00B13B69"/>
    <w:rsid w:val="00B13CC5"/>
    <w:rsid w:val="00B13DD7"/>
    <w:rsid w:val="00B13FC2"/>
    <w:rsid w:val="00B147A6"/>
    <w:rsid w:val="00B1500A"/>
    <w:rsid w:val="00B153DA"/>
    <w:rsid w:val="00B15504"/>
    <w:rsid w:val="00B15F0E"/>
    <w:rsid w:val="00B16331"/>
    <w:rsid w:val="00B164A4"/>
    <w:rsid w:val="00B1669D"/>
    <w:rsid w:val="00B1673D"/>
    <w:rsid w:val="00B16D4B"/>
    <w:rsid w:val="00B16DAD"/>
    <w:rsid w:val="00B16E09"/>
    <w:rsid w:val="00B170A9"/>
    <w:rsid w:val="00B1736B"/>
    <w:rsid w:val="00B17468"/>
    <w:rsid w:val="00B1750D"/>
    <w:rsid w:val="00B179E9"/>
    <w:rsid w:val="00B2026E"/>
    <w:rsid w:val="00B204CA"/>
    <w:rsid w:val="00B205BF"/>
    <w:rsid w:val="00B20882"/>
    <w:rsid w:val="00B20F3F"/>
    <w:rsid w:val="00B20FA7"/>
    <w:rsid w:val="00B21076"/>
    <w:rsid w:val="00B21B41"/>
    <w:rsid w:val="00B21EE1"/>
    <w:rsid w:val="00B226F1"/>
    <w:rsid w:val="00B22A24"/>
    <w:rsid w:val="00B22A4F"/>
    <w:rsid w:val="00B22AC3"/>
    <w:rsid w:val="00B22F0C"/>
    <w:rsid w:val="00B23527"/>
    <w:rsid w:val="00B23940"/>
    <w:rsid w:val="00B24277"/>
    <w:rsid w:val="00B24D06"/>
    <w:rsid w:val="00B250CA"/>
    <w:rsid w:val="00B2519E"/>
    <w:rsid w:val="00B25571"/>
    <w:rsid w:val="00B25792"/>
    <w:rsid w:val="00B25DC6"/>
    <w:rsid w:val="00B2602D"/>
    <w:rsid w:val="00B2636E"/>
    <w:rsid w:val="00B266F2"/>
    <w:rsid w:val="00B27098"/>
    <w:rsid w:val="00B279D7"/>
    <w:rsid w:val="00B27A46"/>
    <w:rsid w:val="00B27F93"/>
    <w:rsid w:val="00B310B8"/>
    <w:rsid w:val="00B3119E"/>
    <w:rsid w:val="00B3146A"/>
    <w:rsid w:val="00B31EA2"/>
    <w:rsid w:val="00B32107"/>
    <w:rsid w:val="00B32431"/>
    <w:rsid w:val="00B32484"/>
    <w:rsid w:val="00B33674"/>
    <w:rsid w:val="00B33971"/>
    <w:rsid w:val="00B34064"/>
    <w:rsid w:val="00B340DD"/>
    <w:rsid w:val="00B343F0"/>
    <w:rsid w:val="00B34527"/>
    <w:rsid w:val="00B34598"/>
    <w:rsid w:val="00B34A3C"/>
    <w:rsid w:val="00B34A6C"/>
    <w:rsid w:val="00B3556A"/>
    <w:rsid w:val="00B35813"/>
    <w:rsid w:val="00B359DD"/>
    <w:rsid w:val="00B36034"/>
    <w:rsid w:val="00B360C6"/>
    <w:rsid w:val="00B36966"/>
    <w:rsid w:val="00B36B6A"/>
    <w:rsid w:val="00B36D41"/>
    <w:rsid w:val="00B36DD1"/>
    <w:rsid w:val="00B374CD"/>
    <w:rsid w:val="00B37740"/>
    <w:rsid w:val="00B37A3E"/>
    <w:rsid w:val="00B37ACB"/>
    <w:rsid w:val="00B37CC4"/>
    <w:rsid w:val="00B37DB2"/>
    <w:rsid w:val="00B40109"/>
    <w:rsid w:val="00B40226"/>
    <w:rsid w:val="00B402F6"/>
    <w:rsid w:val="00B40AAA"/>
    <w:rsid w:val="00B40EF0"/>
    <w:rsid w:val="00B411EF"/>
    <w:rsid w:val="00B412D4"/>
    <w:rsid w:val="00B41497"/>
    <w:rsid w:val="00B415CE"/>
    <w:rsid w:val="00B415E6"/>
    <w:rsid w:val="00B419CF"/>
    <w:rsid w:val="00B41A5E"/>
    <w:rsid w:val="00B41D55"/>
    <w:rsid w:val="00B41F18"/>
    <w:rsid w:val="00B421CF"/>
    <w:rsid w:val="00B422DA"/>
    <w:rsid w:val="00B427AE"/>
    <w:rsid w:val="00B42A2E"/>
    <w:rsid w:val="00B42ADB"/>
    <w:rsid w:val="00B42EC6"/>
    <w:rsid w:val="00B4307B"/>
    <w:rsid w:val="00B437D7"/>
    <w:rsid w:val="00B43A5F"/>
    <w:rsid w:val="00B44023"/>
    <w:rsid w:val="00B44B0C"/>
    <w:rsid w:val="00B44D91"/>
    <w:rsid w:val="00B45492"/>
    <w:rsid w:val="00B454CF"/>
    <w:rsid w:val="00B454E4"/>
    <w:rsid w:val="00B45583"/>
    <w:rsid w:val="00B4577B"/>
    <w:rsid w:val="00B4584E"/>
    <w:rsid w:val="00B46293"/>
    <w:rsid w:val="00B4663F"/>
    <w:rsid w:val="00B466DE"/>
    <w:rsid w:val="00B470A1"/>
    <w:rsid w:val="00B473A4"/>
    <w:rsid w:val="00B4756E"/>
    <w:rsid w:val="00B475FC"/>
    <w:rsid w:val="00B47BCC"/>
    <w:rsid w:val="00B500C5"/>
    <w:rsid w:val="00B502B8"/>
    <w:rsid w:val="00B5049B"/>
    <w:rsid w:val="00B5089A"/>
    <w:rsid w:val="00B50AE2"/>
    <w:rsid w:val="00B50D4D"/>
    <w:rsid w:val="00B50F8A"/>
    <w:rsid w:val="00B51240"/>
    <w:rsid w:val="00B517A3"/>
    <w:rsid w:val="00B51943"/>
    <w:rsid w:val="00B51D15"/>
    <w:rsid w:val="00B51E20"/>
    <w:rsid w:val="00B51E39"/>
    <w:rsid w:val="00B52434"/>
    <w:rsid w:val="00B5280C"/>
    <w:rsid w:val="00B529B6"/>
    <w:rsid w:val="00B52BBB"/>
    <w:rsid w:val="00B52E77"/>
    <w:rsid w:val="00B52EFD"/>
    <w:rsid w:val="00B5300D"/>
    <w:rsid w:val="00B5301C"/>
    <w:rsid w:val="00B530E2"/>
    <w:rsid w:val="00B53432"/>
    <w:rsid w:val="00B53733"/>
    <w:rsid w:val="00B538E7"/>
    <w:rsid w:val="00B53ABD"/>
    <w:rsid w:val="00B53EEC"/>
    <w:rsid w:val="00B542FE"/>
    <w:rsid w:val="00B54728"/>
    <w:rsid w:val="00B548C7"/>
    <w:rsid w:val="00B54CE4"/>
    <w:rsid w:val="00B54D8E"/>
    <w:rsid w:val="00B54FBE"/>
    <w:rsid w:val="00B559DA"/>
    <w:rsid w:val="00B55FC9"/>
    <w:rsid w:val="00B56104"/>
    <w:rsid w:val="00B56260"/>
    <w:rsid w:val="00B569F7"/>
    <w:rsid w:val="00B56F83"/>
    <w:rsid w:val="00B571F5"/>
    <w:rsid w:val="00B57450"/>
    <w:rsid w:val="00B575E6"/>
    <w:rsid w:val="00B57982"/>
    <w:rsid w:val="00B57FA0"/>
    <w:rsid w:val="00B602BD"/>
    <w:rsid w:val="00B608F4"/>
    <w:rsid w:val="00B6127B"/>
    <w:rsid w:val="00B6178B"/>
    <w:rsid w:val="00B617C2"/>
    <w:rsid w:val="00B61A36"/>
    <w:rsid w:val="00B61E3E"/>
    <w:rsid w:val="00B61EE3"/>
    <w:rsid w:val="00B62288"/>
    <w:rsid w:val="00B62442"/>
    <w:rsid w:val="00B624A5"/>
    <w:rsid w:val="00B62F69"/>
    <w:rsid w:val="00B62FC8"/>
    <w:rsid w:val="00B63907"/>
    <w:rsid w:val="00B639A5"/>
    <w:rsid w:val="00B63B77"/>
    <w:rsid w:val="00B63C68"/>
    <w:rsid w:val="00B63F0C"/>
    <w:rsid w:val="00B6457D"/>
    <w:rsid w:val="00B645E2"/>
    <w:rsid w:val="00B653C8"/>
    <w:rsid w:val="00B656DF"/>
    <w:rsid w:val="00B65973"/>
    <w:rsid w:val="00B65D13"/>
    <w:rsid w:val="00B6652B"/>
    <w:rsid w:val="00B6657D"/>
    <w:rsid w:val="00B666F4"/>
    <w:rsid w:val="00B66FCD"/>
    <w:rsid w:val="00B6706C"/>
    <w:rsid w:val="00B670CE"/>
    <w:rsid w:val="00B67338"/>
    <w:rsid w:val="00B67A85"/>
    <w:rsid w:val="00B7068C"/>
    <w:rsid w:val="00B706D8"/>
    <w:rsid w:val="00B7087D"/>
    <w:rsid w:val="00B708D0"/>
    <w:rsid w:val="00B70B3D"/>
    <w:rsid w:val="00B70EDC"/>
    <w:rsid w:val="00B711BE"/>
    <w:rsid w:val="00B71420"/>
    <w:rsid w:val="00B71439"/>
    <w:rsid w:val="00B715D6"/>
    <w:rsid w:val="00B71922"/>
    <w:rsid w:val="00B719CA"/>
    <w:rsid w:val="00B71CE3"/>
    <w:rsid w:val="00B724CC"/>
    <w:rsid w:val="00B72CDF"/>
    <w:rsid w:val="00B72D2C"/>
    <w:rsid w:val="00B7365D"/>
    <w:rsid w:val="00B73890"/>
    <w:rsid w:val="00B73BF7"/>
    <w:rsid w:val="00B73C9E"/>
    <w:rsid w:val="00B74B34"/>
    <w:rsid w:val="00B74DC7"/>
    <w:rsid w:val="00B75189"/>
    <w:rsid w:val="00B752E2"/>
    <w:rsid w:val="00B75A9F"/>
    <w:rsid w:val="00B75AEF"/>
    <w:rsid w:val="00B75EF9"/>
    <w:rsid w:val="00B76585"/>
    <w:rsid w:val="00B767F5"/>
    <w:rsid w:val="00B7685D"/>
    <w:rsid w:val="00B770E4"/>
    <w:rsid w:val="00B77869"/>
    <w:rsid w:val="00B80211"/>
    <w:rsid w:val="00B8030B"/>
    <w:rsid w:val="00B803CF"/>
    <w:rsid w:val="00B803D0"/>
    <w:rsid w:val="00B804CC"/>
    <w:rsid w:val="00B80824"/>
    <w:rsid w:val="00B80C8B"/>
    <w:rsid w:val="00B80D33"/>
    <w:rsid w:val="00B8100B"/>
    <w:rsid w:val="00B81208"/>
    <w:rsid w:val="00B81616"/>
    <w:rsid w:val="00B81813"/>
    <w:rsid w:val="00B81B6F"/>
    <w:rsid w:val="00B82188"/>
    <w:rsid w:val="00B823BB"/>
    <w:rsid w:val="00B82E92"/>
    <w:rsid w:val="00B83239"/>
    <w:rsid w:val="00B833D1"/>
    <w:rsid w:val="00B8341A"/>
    <w:rsid w:val="00B835F0"/>
    <w:rsid w:val="00B838AA"/>
    <w:rsid w:val="00B83D63"/>
    <w:rsid w:val="00B8443E"/>
    <w:rsid w:val="00B845C7"/>
    <w:rsid w:val="00B845E1"/>
    <w:rsid w:val="00B84B6E"/>
    <w:rsid w:val="00B8529D"/>
    <w:rsid w:val="00B85DA1"/>
    <w:rsid w:val="00B8631E"/>
    <w:rsid w:val="00B864E2"/>
    <w:rsid w:val="00B865EB"/>
    <w:rsid w:val="00B86851"/>
    <w:rsid w:val="00B86CB2"/>
    <w:rsid w:val="00B87733"/>
    <w:rsid w:val="00B87C14"/>
    <w:rsid w:val="00B87CA4"/>
    <w:rsid w:val="00B87CFD"/>
    <w:rsid w:val="00B90F8F"/>
    <w:rsid w:val="00B91025"/>
    <w:rsid w:val="00B9110C"/>
    <w:rsid w:val="00B911F7"/>
    <w:rsid w:val="00B91651"/>
    <w:rsid w:val="00B9210E"/>
    <w:rsid w:val="00B92C49"/>
    <w:rsid w:val="00B932D5"/>
    <w:rsid w:val="00B93C31"/>
    <w:rsid w:val="00B93E2A"/>
    <w:rsid w:val="00B93E30"/>
    <w:rsid w:val="00B9408D"/>
    <w:rsid w:val="00B94217"/>
    <w:rsid w:val="00B94335"/>
    <w:rsid w:val="00B946CF"/>
    <w:rsid w:val="00B94763"/>
    <w:rsid w:val="00B94841"/>
    <w:rsid w:val="00B94905"/>
    <w:rsid w:val="00B956AA"/>
    <w:rsid w:val="00B95B44"/>
    <w:rsid w:val="00B95CED"/>
    <w:rsid w:val="00B95E73"/>
    <w:rsid w:val="00B961C8"/>
    <w:rsid w:val="00B96AD2"/>
    <w:rsid w:val="00B9743E"/>
    <w:rsid w:val="00B97C1E"/>
    <w:rsid w:val="00BA055A"/>
    <w:rsid w:val="00BA08D9"/>
    <w:rsid w:val="00BA0961"/>
    <w:rsid w:val="00BA0B28"/>
    <w:rsid w:val="00BA1204"/>
    <w:rsid w:val="00BA1852"/>
    <w:rsid w:val="00BA18DF"/>
    <w:rsid w:val="00BA1C92"/>
    <w:rsid w:val="00BA20B5"/>
    <w:rsid w:val="00BA27C6"/>
    <w:rsid w:val="00BA28BA"/>
    <w:rsid w:val="00BA29A9"/>
    <w:rsid w:val="00BA29DC"/>
    <w:rsid w:val="00BA32E4"/>
    <w:rsid w:val="00BA3402"/>
    <w:rsid w:val="00BA34CA"/>
    <w:rsid w:val="00BA34E5"/>
    <w:rsid w:val="00BA3517"/>
    <w:rsid w:val="00BA3936"/>
    <w:rsid w:val="00BA3C7A"/>
    <w:rsid w:val="00BA3D45"/>
    <w:rsid w:val="00BA3E29"/>
    <w:rsid w:val="00BA40A3"/>
    <w:rsid w:val="00BA426D"/>
    <w:rsid w:val="00BA4512"/>
    <w:rsid w:val="00BA48A5"/>
    <w:rsid w:val="00BA4D0C"/>
    <w:rsid w:val="00BA4EB4"/>
    <w:rsid w:val="00BA5273"/>
    <w:rsid w:val="00BA56BD"/>
    <w:rsid w:val="00BA5B47"/>
    <w:rsid w:val="00BA5CBA"/>
    <w:rsid w:val="00BA5D86"/>
    <w:rsid w:val="00BA5F80"/>
    <w:rsid w:val="00BA63F5"/>
    <w:rsid w:val="00BA6556"/>
    <w:rsid w:val="00BA6855"/>
    <w:rsid w:val="00BA6912"/>
    <w:rsid w:val="00BA6AC1"/>
    <w:rsid w:val="00BA6C58"/>
    <w:rsid w:val="00BA6F2A"/>
    <w:rsid w:val="00BA701E"/>
    <w:rsid w:val="00BA7178"/>
    <w:rsid w:val="00BA71E3"/>
    <w:rsid w:val="00BA7A2B"/>
    <w:rsid w:val="00BA7DF8"/>
    <w:rsid w:val="00BB03C3"/>
    <w:rsid w:val="00BB0AA9"/>
    <w:rsid w:val="00BB0F56"/>
    <w:rsid w:val="00BB111F"/>
    <w:rsid w:val="00BB1284"/>
    <w:rsid w:val="00BB136B"/>
    <w:rsid w:val="00BB1812"/>
    <w:rsid w:val="00BB1842"/>
    <w:rsid w:val="00BB2642"/>
    <w:rsid w:val="00BB2869"/>
    <w:rsid w:val="00BB2E55"/>
    <w:rsid w:val="00BB2EC9"/>
    <w:rsid w:val="00BB31A1"/>
    <w:rsid w:val="00BB3223"/>
    <w:rsid w:val="00BB35FE"/>
    <w:rsid w:val="00BB3C11"/>
    <w:rsid w:val="00BB427A"/>
    <w:rsid w:val="00BB498A"/>
    <w:rsid w:val="00BB4CC4"/>
    <w:rsid w:val="00BB4E95"/>
    <w:rsid w:val="00BB537C"/>
    <w:rsid w:val="00BB56D7"/>
    <w:rsid w:val="00BB5776"/>
    <w:rsid w:val="00BB5912"/>
    <w:rsid w:val="00BB5F14"/>
    <w:rsid w:val="00BB5FF9"/>
    <w:rsid w:val="00BB6085"/>
    <w:rsid w:val="00BB6B6F"/>
    <w:rsid w:val="00BB6BA4"/>
    <w:rsid w:val="00BB6BC6"/>
    <w:rsid w:val="00BB6E1C"/>
    <w:rsid w:val="00BB6EDA"/>
    <w:rsid w:val="00BB71BA"/>
    <w:rsid w:val="00BB7365"/>
    <w:rsid w:val="00BB7640"/>
    <w:rsid w:val="00BB7652"/>
    <w:rsid w:val="00BB7851"/>
    <w:rsid w:val="00BB7B12"/>
    <w:rsid w:val="00BB7F9A"/>
    <w:rsid w:val="00BC048A"/>
    <w:rsid w:val="00BC04EE"/>
    <w:rsid w:val="00BC071B"/>
    <w:rsid w:val="00BC123D"/>
    <w:rsid w:val="00BC210D"/>
    <w:rsid w:val="00BC2674"/>
    <w:rsid w:val="00BC2A2E"/>
    <w:rsid w:val="00BC2BCC"/>
    <w:rsid w:val="00BC482C"/>
    <w:rsid w:val="00BC5155"/>
    <w:rsid w:val="00BC587C"/>
    <w:rsid w:val="00BC5CDA"/>
    <w:rsid w:val="00BC6514"/>
    <w:rsid w:val="00BC69A2"/>
    <w:rsid w:val="00BC69D3"/>
    <w:rsid w:val="00BC6B41"/>
    <w:rsid w:val="00BC6B9E"/>
    <w:rsid w:val="00BC6C02"/>
    <w:rsid w:val="00BC6E5F"/>
    <w:rsid w:val="00BC6E7B"/>
    <w:rsid w:val="00BC7097"/>
    <w:rsid w:val="00BC7353"/>
    <w:rsid w:val="00BC73D6"/>
    <w:rsid w:val="00BC76BC"/>
    <w:rsid w:val="00BC794F"/>
    <w:rsid w:val="00BC7E61"/>
    <w:rsid w:val="00BD031D"/>
    <w:rsid w:val="00BD0E2C"/>
    <w:rsid w:val="00BD0F33"/>
    <w:rsid w:val="00BD138D"/>
    <w:rsid w:val="00BD15AD"/>
    <w:rsid w:val="00BD1BE4"/>
    <w:rsid w:val="00BD211D"/>
    <w:rsid w:val="00BD22E6"/>
    <w:rsid w:val="00BD23D5"/>
    <w:rsid w:val="00BD2983"/>
    <w:rsid w:val="00BD29B9"/>
    <w:rsid w:val="00BD2B3F"/>
    <w:rsid w:val="00BD355C"/>
    <w:rsid w:val="00BD402B"/>
    <w:rsid w:val="00BD446E"/>
    <w:rsid w:val="00BD492A"/>
    <w:rsid w:val="00BD4BBB"/>
    <w:rsid w:val="00BD5040"/>
    <w:rsid w:val="00BD5162"/>
    <w:rsid w:val="00BD5325"/>
    <w:rsid w:val="00BD56CE"/>
    <w:rsid w:val="00BD6418"/>
    <w:rsid w:val="00BD657D"/>
    <w:rsid w:val="00BD66B5"/>
    <w:rsid w:val="00BD696F"/>
    <w:rsid w:val="00BD6FFF"/>
    <w:rsid w:val="00BD7563"/>
    <w:rsid w:val="00BD7C98"/>
    <w:rsid w:val="00BD7D64"/>
    <w:rsid w:val="00BE00F5"/>
    <w:rsid w:val="00BE0361"/>
    <w:rsid w:val="00BE079A"/>
    <w:rsid w:val="00BE0BD2"/>
    <w:rsid w:val="00BE1462"/>
    <w:rsid w:val="00BE1606"/>
    <w:rsid w:val="00BE1E53"/>
    <w:rsid w:val="00BE22BF"/>
    <w:rsid w:val="00BE242E"/>
    <w:rsid w:val="00BE254F"/>
    <w:rsid w:val="00BE25CE"/>
    <w:rsid w:val="00BE26E8"/>
    <w:rsid w:val="00BE28EA"/>
    <w:rsid w:val="00BE2983"/>
    <w:rsid w:val="00BE2EB9"/>
    <w:rsid w:val="00BE34D4"/>
    <w:rsid w:val="00BE3648"/>
    <w:rsid w:val="00BE3B86"/>
    <w:rsid w:val="00BE41DD"/>
    <w:rsid w:val="00BE421A"/>
    <w:rsid w:val="00BE4600"/>
    <w:rsid w:val="00BE4601"/>
    <w:rsid w:val="00BE462F"/>
    <w:rsid w:val="00BE469D"/>
    <w:rsid w:val="00BE47F9"/>
    <w:rsid w:val="00BE4C38"/>
    <w:rsid w:val="00BE4C43"/>
    <w:rsid w:val="00BE4ED4"/>
    <w:rsid w:val="00BE5053"/>
    <w:rsid w:val="00BE5087"/>
    <w:rsid w:val="00BE5090"/>
    <w:rsid w:val="00BE5969"/>
    <w:rsid w:val="00BE598D"/>
    <w:rsid w:val="00BE5E68"/>
    <w:rsid w:val="00BE5EBD"/>
    <w:rsid w:val="00BE5F6B"/>
    <w:rsid w:val="00BE62F5"/>
    <w:rsid w:val="00BE63E7"/>
    <w:rsid w:val="00BE650A"/>
    <w:rsid w:val="00BE676F"/>
    <w:rsid w:val="00BE6EEB"/>
    <w:rsid w:val="00BE701D"/>
    <w:rsid w:val="00BE7410"/>
    <w:rsid w:val="00BE7437"/>
    <w:rsid w:val="00BE7537"/>
    <w:rsid w:val="00BE7E0B"/>
    <w:rsid w:val="00BE7E9C"/>
    <w:rsid w:val="00BF0339"/>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442"/>
    <w:rsid w:val="00BF3642"/>
    <w:rsid w:val="00BF389C"/>
    <w:rsid w:val="00BF3BFB"/>
    <w:rsid w:val="00BF3E43"/>
    <w:rsid w:val="00BF428F"/>
    <w:rsid w:val="00BF4658"/>
    <w:rsid w:val="00BF4F10"/>
    <w:rsid w:val="00BF5069"/>
    <w:rsid w:val="00BF5E22"/>
    <w:rsid w:val="00BF5F60"/>
    <w:rsid w:val="00BF63C8"/>
    <w:rsid w:val="00BF643A"/>
    <w:rsid w:val="00BF6DF0"/>
    <w:rsid w:val="00BF7730"/>
    <w:rsid w:val="00BF7A4B"/>
    <w:rsid w:val="00BF7CD2"/>
    <w:rsid w:val="00C004FF"/>
    <w:rsid w:val="00C005DD"/>
    <w:rsid w:val="00C00F88"/>
    <w:rsid w:val="00C012E8"/>
    <w:rsid w:val="00C0190A"/>
    <w:rsid w:val="00C01C34"/>
    <w:rsid w:val="00C0227A"/>
    <w:rsid w:val="00C027AC"/>
    <w:rsid w:val="00C02FE8"/>
    <w:rsid w:val="00C03896"/>
    <w:rsid w:val="00C039C2"/>
    <w:rsid w:val="00C03F39"/>
    <w:rsid w:val="00C04155"/>
    <w:rsid w:val="00C04530"/>
    <w:rsid w:val="00C0455F"/>
    <w:rsid w:val="00C04598"/>
    <w:rsid w:val="00C04955"/>
    <w:rsid w:val="00C04ABB"/>
    <w:rsid w:val="00C04B43"/>
    <w:rsid w:val="00C04F49"/>
    <w:rsid w:val="00C05028"/>
    <w:rsid w:val="00C0581A"/>
    <w:rsid w:val="00C05AAC"/>
    <w:rsid w:val="00C05E7F"/>
    <w:rsid w:val="00C06054"/>
    <w:rsid w:val="00C07219"/>
    <w:rsid w:val="00C07B8D"/>
    <w:rsid w:val="00C07E9C"/>
    <w:rsid w:val="00C07EC8"/>
    <w:rsid w:val="00C07F96"/>
    <w:rsid w:val="00C100D3"/>
    <w:rsid w:val="00C1023E"/>
    <w:rsid w:val="00C1042F"/>
    <w:rsid w:val="00C1051F"/>
    <w:rsid w:val="00C10551"/>
    <w:rsid w:val="00C10809"/>
    <w:rsid w:val="00C10CAA"/>
    <w:rsid w:val="00C10F5F"/>
    <w:rsid w:val="00C10FBA"/>
    <w:rsid w:val="00C1120E"/>
    <w:rsid w:val="00C115A0"/>
    <w:rsid w:val="00C12831"/>
    <w:rsid w:val="00C13B4A"/>
    <w:rsid w:val="00C13EFB"/>
    <w:rsid w:val="00C143B7"/>
    <w:rsid w:val="00C147CB"/>
    <w:rsid w:val="00C148AF"/>
    <w:rsid w:val="00C149A8"/>
    <w:rsid w:val="00C14D21"/>
    <w:rsid w:val="00C14FB3"/>
    <w:rsid w:val="00C15073"/>
    <w:rsid w:val="00C1615A"/>
    <w:rsid w:val="00C16165"/>
    <w:rsid w:val="00C16223"/>
    <w:rsid w:val="00C16AB2"/>
    <w:rsid w:val="00C16D8E"/>
    <w:rsid w:val="00C170F9"/>
    <w:rsid w:val="00C17263"/>
    <w:rsid w:val="00C17270"/>
    <w:rsid w:val="00C17473"/>
    <w:rsid w:val="00C17988"/>
    <w:rsid w:val="00C17A9E"/>
    <w:rsid w:val="00C17B20"/>
    <w:rsid w:val="00C17EE0"/>
    <w:rsid w:val="00C20127"/>
    <w:rsid w:val="00C201DB"/>
    <w:rsid w:val="00C20895"/>
    <w:rsid w:val="00C20DE5"/>
    <w:rsid w:val="00C211BD"/>
    <w:rsid w:val="00C2154F"/>
    <w:rsid w:val="00C218E8"/>
    <w:rsid w:val="00C21A95"/>
    <w:rsid w:val="00C21E40"/>
    <w:rsid w:val="00C21FDD"/>
    <w:rsid w:val="00C220BB"/>
    <w:rsid w:val="00C22CFF"/>
    <w:rsid w:val="00C23613"/>
    <w:rsid w:val="00C23AAB"/>
    <w:rsid w:val="00C2483C"/>
    <w:rsid w:val="00C24BF6"/>
    <w:rsid w:val="00C2582D"/>
    <w:rsid w:val="00C2584B"/>
    <w:rsid w:val="00C260A5"/>
    <w:rsid w:val="00C263F4"/>
    <w:rsid w:val="00C26C0F"/>
    <w:rsid w:val="00C26C57"/>
    <w:rsid w:val="00C26E9E"/>
    <w:rsid w:val="00C27143"/>
    <w:rsid w:val="00C272A4"/>
    <w:rsid w:val="00C27481"/>
    <w:rsid w:val="00C274EF"/>
    <w:rsid w:val="00C2756E"/>
    <w:rsid w:val="00C27730"/>
    <w:rsid w:val="00C27736"/>
    <w:rsid w:val="00C279D5"/>
    <w:rsid w:val="00C27DE3"/>
    <w:rsid w:val="00C27EED"/>
    <w:rsid w:val="00C30EAE"/>
    <w:rsid w:val="00C3108B"/>
    <w:rsid w:val="00C3121B"/>
    <w:rsid w:val="00C31647"/>
    <w:rsid w:val="00C316BE"/>
    <w:rsid w:val="00C31B74"/>
    <w:rsid w:val="00C31FAD"/>
    <w:rsid w:val="00C322F1"/>
    <w:rsid w:val="00C32703"/>
    <w:rsid w:val="00C33933"/>
    <w:rsid w:val="00C339C0"/>
    <w:rsid w:val="00C33C1F"/>
    <w:rsid w:val="00C33C89"/>
    <w:rsid w:val="00C33CD4"/>
    <w:rsid w:val="00C33EED"/>
    <w:rsid w:val="00C34495"/>
    <w:rsid w:val="00C35198"/>
    <w:rsid w:val="00C35327"/>
    <w:rsid w:val="00C359AC"/>
    <w:rsid w:val="00C35B11"/>
    <w:rsid w:val="00C36673"/>
    <w:rsid w:val="00C36AAA"/>
    <w:rsid w:val="00C36AEA"/>
    <w:rsid w:val="00C36EDC"/>
    <w:rsid w:val="00C372C3"/>
    <w:rsid w:val="00C374AE"/>
    <w:rsid w:val="00C3785F"/>
    <w:rsid w:val="00C37A92"/>
    <w:rsid w:val="00C400B1"/>
    <w:rsid w:val="00C401C8"/>
    <w:rsid w:val="00C405BA"/>
    <w:rsid w:val="00C407C4"/>
    <w:rsid w:val="00C40CCA"/>
    <w:rsid w:val="00C41029"/>
    <w:rsid w:val="00C41073"/>
    <w:rsid w:val="00C41157"/>
    <w:rsid w:val="00C41568"/>
    <w:rsid w:val="00C41A4D"/>
    <w:rsid w:val="00C41F4E"/>
    <w:rsid w:val="00C42262"/>
    <w:rsid w:val="00C42F45"/>
    <w:rsid w:val="00C43268"/>
    <w:rsid w:val="00C43371"/>
    <w:rsid w:val="00C43D3D"/>
    <w:rsid w:val="00C43D7C"/>
    <w:rsid w:val="00C4424B"/>
    <w:rsid w:val="00C44741"/>
    <w:rsid w:val="00C44813"/>
    <w:rsid w:val="00C44AB1"/>
    <w:rsid w:val="00C45713"/>
    <w:rsid w:val="00C45BBD"/>
    <w:rsid w:val="00C45E50"/>
    <w:rsid w:val="00C45ED3"/>
    <w:rsid w:val="00C46106"/>
    <w:rsid w:val="00C46313"/>
    <w:rsid w:val="00C46D22"/>
    <w:rsid w:val="00C46DBB"/>
    <w:rsid w:val="00C46DBF"/>
    <w:rsid w:val="00C46EDD"/>
    <w:rsid w:val="00C46F95"/>
    <w:rsid w:val="00C46FE0"/>
    <w:rsid w:val="00C470AB"/>
    <w:rsid w:val="00C47118"/>
    <w:rsid w:val="00C47619"/>
    <w:rsid w:val="00C476D4"/>
    <w:rsid w:val="00C500C8"/>
    <w:rsid w:val="00C501DA"/>
    <w:rsid w:val="00C505D4"/>
    <w:rsid w:val="00C50698"/>
    <w:rsid w:val="00C507BC"/>
    <w:rsid w:val="00C50CFE"/>
    <w:rsid w:val="00C50FE5"/>
    <w:rsid w:val="00C510B8"/>
    <w:rsid w:val="00C511D9"/>
    <w:rsid w:val="00C51484"/>
    <w:rsid w:val="00C51700"/>
    <w:rsid w:val="00C51874"/>
    <w:rsid w:val="00C51968"/>
    <w:rsid w:val="00C52354"/>
    <w:rsid w:val="00C52404"/>
    <w:rsid w:val="00C52583"/>
    <w:rsid w:val="00C528B2"/>
    <w:rsid w:val="00C52D30"/>
    <w:rsid w:val="00C52FBC"/>
    <w:rsid w:val="00C530B9"/>
    <w:rsid w:val="00C53295"/>
    <w:rsid w:val="00C53F31"/>
    <w:rsid w:val="00C54535"/>
    <w:rsid w:val="00C5476B"/>
    <w:rsid w:val="00C55180"/>
    <w:rsid w:val="00C5528E"/>
    <w:rsid w:val="00C55540"/>
    <w:rsid w:val="00C55712"/>
    <w:rsid w:val="00C55959"/>
    <w:rsid w:val="00C55BC7"/>
    <w:rsid w:val="00C56591"/>
    <w:rsid w:val="00C568CD"/>
    <w:rsid w:val="00C56B5F"/>
    <w:rsid w:val="00C56C37"/>
    <w:rsid w:val="00C57525"/>
    <w:rsid w:val="00C57586"/>
    <w:rsid w:val="00C5764B"/>
    <w:rsid w:val="00C57ABC"/>
    <w:rsid w:val="00C57AC8"/>
    <w:rsid w:val="00C57ECF"/>
    <w:rsid w:val="00C57F17"/>
    <w:rsid w:val="00C602E6"/>
    <w:rsid w:val="00C608EA"/>
    <w:rsid w:val="00C60943"/>
    <w:rsid w:val="00C60995"/>
    <w:rsid w:val="00C60DD0"/>
    <w:rsid w:val="00C612E0"/>
    <w:rsid w:val="00C612E6"/>
    <w:rsid w:val="00C61B03"/>
    <w:rsid w:val="00C62143"/>
    <w:rsid w:val="00C62173"/>
    <w:rsid w:val="00C627C7"/>
    <w:rsid w:val="00C62ACB"/>
    <w:rsid w:val="00C62AF9"/>
    <w:rsid w:val="00C62DB9"/>
    <w:rsid w:val="00C631D2"/>
    <w:rsid w:val="00C6339F"/>
    <w:rsid w:val="00C63D38"/>
    <w:rsid w:val="00C63E6B"/>
    <w:rsid w:val="00C63FE4"/>
    <w:rsid w:val="00C64071"/>
    <w:rsid w:val="00C641BB"/>
    <w:rsid w:val="00C64343"/>
    <w:rsid w:val="00C648A0"/>
    <w:rsid w:val="00C64ADF"/>
    <w:rsid w:val="00C64BD7"/>
    <w:rsid w:val="00C64D67"/>
    <w:rsid w:val="00C64F05"/>
    <w:rsid w:val="00C64FB7"/>
    <w:rsid w:val="00C65369"/>
    <w:rsid w:val="00C65653"/>
    <w:rsid w:val="00C65E4A"/>
    <w:rsid w:val="00C6624A"/>
    <w:rsid w:val="00C66475"/>
    <w:rsid w:val="00C66562"/>
    <w:rsid w:val="00C665B9"/>
    <w:rsid w:val="00C6679E"/>
    <w:rsid w:val="00C668C7"/>
    <w:rsid w:val="00C66D4D"/>
    <w:rsid w:val="00C676CE"/>
    <w:rsid w:val="00C67767"/>
    <w:rsid w:val="00C679FC"/>
    <w:rsid w:val="00C67A43"/>
    <w:rsid w:val="00C703C7"/>
    <w:rsid w:val="00C703FF"/>
    <w:rsid w:val="00C717B7"/>
    <w:rsid w:val="00C7202F"/>
    <w:rsid w:val="00C72044"/>
    <w:rsid w:val="00C72685"/>
    <w:rsid w:val="00C72866"/>
    <w:rsid w:val="00C73151"/>
    <w:rsid w:val="00C731E3"/>
    <w:rsid w:val="00C7359D"/>
    <w:rsid w:val="00C73A79"/>
    <w:rsid w:val="00C73AAC"/>
    <w:rsid w:val="00C73E6E"/>
    <w:rsid w:val="00C74006"/>
    <w:rsid w:val="00C74379"/>
    <w:rsid w:val="00C74DF9"/>
    <w:rsid w:val="00C74EE7"/>
    <w:rsid w:val="00C756C2"/>
    <w:rsid w:val="00C75AEE"/>
    <w:rsid w:val="00C75C9D"/>
    <w:rsid w:val="00C75F1E"/>
    <w:rsid w:val="00C765AD"/>
    <w:rsid w:val="00C7687D"/>
    <w:rsid w:val="00C7697A"/>
    <w:rsid w:val="00C76A9D"/>
    <w:rsid w:val="00C76BD0"/>
    <w:rsid w:val="00C77249"/>
    <w:rsid w:val="00C77747"/>
    <w:rsid w:val="00C778E0"/>
    <w:rsid w:val="00C779B6"/>
    <w:rsid w:val="00C779D8"/>
    <w:rsid w:val="00C803A0"/>
    <w:rsid w:val="00C80E9C"/>
    <w:rsid w:val="00C81343"/>
    <w:rsid w:val="00C81754"/>
    <w:rsid w:val="00C81787"/>
    <w:rsid w:val="00C817EC"/>
    <w:rsid w:val="00C818A3"/>
    <w:rsid w:val="00C8196A"/>
    <w:rsid w:val="00C819CC"/>
    <w:rsid w:val="00C81CB1"/>
    <w:rsid w:val="00C825BC"/>
    <w:rsid w:val="00C82BBF"/>
    <w:rsid w:val="00C82C91"/>
    <w:rsid w:val="00C833CE"/>
    <w:rsid w:val="00C83496"/>
    <w:rsid w:val="00C834B6"/>
    <w:rsid w:val="00C8386A"/>
    <w:rsid w:val="00C83B0E"/>
    <w:rsid w:val="00C83F90"/>
    <w:rsid w:val="00C842AC"/>
    <w:rsid w:val="00C84358"/>
    <w:rsid w:val="00C846F0"/>
    <w:rsid w:val="00C8478A"/>
    <w:rsid w:val="00C84ED1"/>
    <w:rsid w:val="00C8533C"/>
    <w:rsid w:val="00C8588C"/>
    <w:rsid w:val="00C8599E"/>
    <w:rsid w:val="00C85D53"/>
    <w:rsid w:val="00C8766D"/>
    <w:rsid w:val="00C879A5"/>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4789"/>
    <w:rsid w:val="00C94FD9"/>
    <w:rsid w:val="00C955FD"/>
    <w:rsid w:val="00C9572E"/>
    <w:rsid w:val="00C95A01"/>
    <w:rsid w:val="00C9643E"/>
    <w:rsid w:val="00C96781"/>
    <w:rsid w:val="00C968E1"/>
    <w:rsid w:val="00C973B7"/>
    <w:rsid w:val="00C9740A"/>
    <w:rsid w:val="00CA01F9"/>
    <w:rsid w:val="00CA04A7"/>
    <w:rsid w:val="00CA04DD"/>
    <w:rsid w:val="00CA08B8"/>
    <w:rsid w:val="00CA0B07"/>
    <w:rsid w:val="00CA0BF3"/>
    <w:rsid w:val="00CA0DDB"/>
    <w:rsid w:val="00CA101E"/>
    <w:rsid w:val="00CA1990"/>
    <w:rsid w:val="00CA27AD"/>
    <w:rsid w:val="00CA283C"/>
    <w:rsid w:val="00CA2A45"/>
    <w:rsid w:val="00CA2E5C"/>
    <w:rsid w:val="00CA3226"/>
    <w:rsid w:val="00CA3396"/>
    <w:rsid w:val="00CA3651"/>
    <w:rsid w:val="00CA37DD"/>
    <w:rsid w:val="00CA392D"/>
    <w:rsid w:val="00CA3DF9"/>
    <w:rsid w:val="00CA3E87"/>
    <w:rsid w:val="00CA41FE"/>
    <w:rsid w:val="00CA4AD0"/>
    <w:rsid w:val="00CA4BEB"/>
    <w:rsid w:val="00CA4F29"/>
    <w:rsid w:val="00CA5018"/>
    <w:rsid w:val="00CA5655"/>
    <w:rsid w:val="00CA5A58"/>
    <w:rsid w:val="00CA63A4"/>
    <w:rsid w:val="00CA64F7"/>
    <w:rsid w:val="00CA66D5"/>
    <w:rsid w:val="00CA66E4"/>
    <w:rsid w:val="00CA696B"/>
    <w:rsid w:val="00CA6B6A"/>
    <w:rsid w:val="00CA6FD0"/>
    <w:rsid w:val="00CA708D"/>
    <w:rsid w:val="00CA712F"/>
    <w:rsid w:val="00CA72A7"/>
    <w:rsid w:val="00CA7CA6"/>
    <w:rsid w:val="00CA7E63"/>
    <w:rsid w:val="00CA7F9A"/>
    <w:rsid w:val="00CB0375"/>
    <w:rsid w:val="00CB046B"/>
    <w:rsid w:val="00CB0867"/>
    <w:rsid w:val="00CB0A6F"/>
    <w:rsid w:val="00CB1281"/>
    <w:rsid w:val="00CB1C13"/>
    <w:rsid w:val="00CB1DE5"/>
    <w:rsid w:val="00CB2235"/>
    <w:rsid w:val="00CB24B1"/>
    <w:rsid w:val="00CB272C"/>
    <w:rsid w:val="00CB29EB"/>
    <w:rsid w:val="00CB322C"/>
    <w:rsid w:val="00CB3684"/>
    <w:rsid w:val="00CB4054"/>
    <w:rsid w:val="00CB4196"/>
    <w:rsid w:val="00CB4F59"/>
    <w:rsid w:val="00CB53F3"/>
    <w:rsid w:val="00CB546B"/>
    <w:rsid w:val="00CB57C1"/>
    <w:rsid w:val="00CB57D3"/>
    <w:rsid w:val="00CB5A55"/>
    <w:rsid w:val="00CB5C31"/>
    <w:rsid w:val="00CB6061"/>
    <w:rsid w:val="00CB65E2"/>
    <w:rsid w:val="00CB676C"/>
    <w:rsid w:val="00CB69A5"/>
    <w:rsid w:val="00CB71AC"/>
    <w:rsid w:val="00CB7611"/>
    <w:rsid w:val="00CB7631"/>
    <w:rsid w:val="00CB76B5"/>
    <w:rsid w:val="00CB7983"/>
    <w:rsid w:val="00CB7A76"/>
    <w:rsid w:val="00CB7C90"/>
    <w:rsid w:val="00CB7C92"/>
    <w:rsid w:val="00CB7E0E"/>
    <w:rsid w:val="00CC0444"/>
    <w:rsid w:val="00CC0855"/>
    <w:rsid w:val="00CC0D8A"/>
    <w:rsid w:val="00CC0DC4"/>
    <w:rsid w:val="00CC1040"/>
    <w:rsid w:val="00CC1581"/>
    <w:rsid w:val="00CC19DB"/>
    <w:rsid w:val="00CC1A61"/>
    <w:rsid w:val="00CC1B6A"/>
    <w:rsid w:val="00CC2142"/>
    <w:rsid w:val="00CC21B7"/>
    <w:rsid w:val="00CC2C30"/>
    <w:rsid w:val="00CC309C"/>
    <w:rsid w:val="00CC322D"/>
    <w:rsid w:val="00CC34D1"/>
    <w:rsid w:val="00CC3618"/>
    <w:rsid w:val="00CC39D4"/>
    <w:rsid w:val="00CC41A8"/>
    <w:rsid w:val="00CC425B"/>
    <w:rsid w:val="00CC441D"/>
    <w:rsid w:val="00CC46F7"/>
    <w:rsid w:val="00CC524B"/>
    <w:rsid w:val="00CC630C"/>
    <w:rsid w:val="00CC66A2"/>
    <w:rsid w:val="00CC6F56"/>
    <w:rsid w:val="00CC7304"/>
    <w:rsid w:val="00CC7B72"/>
    <w:rsid w:val="00CC7CE1"/>
    <w:rsid w:val="00CD01A8"/>
    <w:rsid w:val="00CD064A"/>
    <w:rsid w:val="00CD0665"/>
    <w:rsid w:val="00CD0730"/>
    <w:rsid w:val="00CD0782"/>
    <w:rsid w:val="00CD078C"/>
    <w:rsid w:val="00CD0979"/>
    <w:rsid w:val="00CD0A48"/>
    <w:rsid w:val="00CD11E5"/>
    <w:rsid w:val="00CD124A"/>
    <w:rsid w:val="00CD1631"/>
    <w:rsid w:val="00CD1857"/>
    <w:rsid w:val="00CD2011"/>
    <w:rsid w:val="00CD20D7"/>
    <w:rsid w:val="00CD2407"/>
    <w:rsid w:val="00CD2792"/>
    <w:rsid w:val="00CD2CDE"/>
    <w:rsid w:val="00CD3722"/>
    <w:rsid w:val="00CD3AA1"/>
    <w:rsid w:val="00CD43DD"/>
    <w:rsid w:val="00CD43FE"/>
    <w:rsid w:val="00CD4666"/>
    <w:rsid w:val="00CD46A5"/>
    <w:rsid w:val="00CD4F4D"/>
    <w:rsid w:val="00CD4F64"/>
    <w:rsid w:val="00CD5052"/>
    <w:rsid w:val="00CD514F"/>
    <w:rsid w:val="00CD569F"/>
    <w:rsid w:val="00CD599D"/>
    <w:rsid w:val="00CD5B60"/>
    <w:rsid w:val="00CD5B8D"/>
    <w:rsid w:val="00CD5BE3"/>
    <w:rsid w:val="00CD5CB4"/>
    <w:rsid w:val="00CD5CC7"/>
    <w:rsid w:val="00CD5EA9"/>
    <w:rsid w:val="00CD5FCB"/>
    <w:rsid w:val="00CD60B0"/>
    <w:rsid w:val="00CD6A29"/>
    <w:rsid w:val="00CD6E62"/>
    <w:rsid w:val="00CD77CB"/>
    <w:rsid w:val="00CD79E1"/>
    <w:rsid w:val="00CD7C86"/>
    <w:rsid w:val="00CD7CB4"/>
    <w:rsid w:val="00CD7DC0"/>
    <w:rsid w:val="00CE01BA"/>
    <w:rsid w:val="00CE01BD"/>
    <w:rsid w:val="00CE029C"/>
    <w:rsid w:val="00CE0410"/>
    <w:rsid w:val="00CE04CC"/>
    <w:rsid w:val="00CE07CA"/>
    <w:rsid w:val="00CE0FCB"/>
    <w:rsid w:val="00CE12C2"/>
    <w:rsid w:val="00CE1729"/>
    <w:rsid w:val="00CE1AA9"/>
    <w:rsid w:val="00CE1B71"/>
    <w:rsid w:val="00CE2841"/>
    <w:rsid w:val="00CE2B41"/>
    <w:rsid w:val="00CE2E25"/>
    <w:rsid w:val="00CE3216"/>
    <w:rsid w:val="00CE346E"/>
    <w:rsid w:val="00CE3F6F"/>
    <w:rsid w:val="00CE4206"/>
    <w:rsid w:val="00CE4523"/>
    <w:rsid w:val="00CE45ED"/>
    <w:rsid w:val="00CE49C9"/>
    <w:rsid w:val="00CE49E2"/>
    <w:rsid w:val="00CE4F9E"/>
    <w:rsid w:val="00CE53FC"/>
    <w:rsid w:val="00CE56E1"/>
    <w:rsid w:val="00CE5D48"/>
    <w:rsid w:val="00CE611E"/>
    <w:rsid w:val="00CE6132"/>
    <w:rsid w:val="00CE64D4"/>
    <w:rsid w:val="00CE6675"/>
    <w:rsid w:val="00CE6E1F"/>
    <w:rsid w:val="00CE7045"/>
    <w:rsid w:val="00CE728B"/>
    <w:rsid w:val="00CE7964"/>
    <w:rsid w:val="00CE7E6A"/>
    <w:rsid w:val="00CF0063"/>
    <w:rsid w:val="00CF052E"/>
    <w:rsid w:val="00CF058A"/>
    <w:rsid w:val="00CF0EBE"/>
    <w:rsid w:val="00CF10B3"/>
    <w:rsid w:val="00CF1176"/>
    <w:rsid w:val="00CF11F3"/>
    <w:rsid w:val="00CF1682"/>
    <w:rsid w:val="00CF187E"/>
    <w:rsid w:val="00CF20B7"/>
    <w:rsid w:val="00CF2443"/>
    <w:rsid w:val="00CF28C0"/>
    <w:rsid w:val="00CF2A8F"/>
    <w:rsid w:val="00CF2B33"/>
    <w:rsid w:val="00CF2D0D"/>
    <w:rsid w:val="00CF2E8C"/>
    <w:rsid w:val="00CF2EF0"/>
    <w:rsid w:val="00CF3219"/>
    <w:rsid w:val="00CF3724"/>
    <w:rsid w:val="00CF421D"/>
    <w:rsid w:val="00CF451B"/>
    <w:rsid w:val="00CF4665"/>
    <w:rsid w:val="00CF468E"/>
    <w:rsid w:val="00CF485E"/>
    <w:rsid w:val="00CF4A2D"/>
    <w:rsid w:val="00CF4CEE"/>
    <w:rsid w:val="00CF51FD"/>
    <w:rsid w:val="00CF52FB"/>
    <w:rsid w:val="00CF5D92"/>
    <w:rsid w:val="00CF5F2D"/>
    <w:rsid w:val="00CF64A4"/>
    <w:rsid w:val="00CF687C"/>
    <w:rsid w:val="00CF6C3F"/>
    <w:rsid w:val="00CF7088"/>
    <w:rsid w:val="00CF711B"/>
    <w:rsid w:val="00CF730A"/>
    <w:rsid w:val="00CF757A"/>
    <w:rsid w:val="00CF75BE"/>
    <w:rsid w:val="00CF789A"/>
    <w:rsid w:val="00CF7A65"/>
    <w:rsid w:val="00CF7B4C"/>
    <w:rsid w:val="00CF7F13"/>
    <w:rsid w:val="00D003F1"/>
    <w:rsid w:val="00D00418"/>
    <w:rsid w:val="00D0055B"/>
    <w:rsid w:val="00D007DE"/>
    <w:rsid w:val="00D0087F"/>
    <w:rsid w:val="00D00AA3"/>
    <w:rsid w:val="00D00BA3"/>
    <w:rsid w:val="00D00C04"/>
    <w:rsid w:val="00D00EEB"/>
    <w:rsid w:val="00D01146"/>
    <w:rsid w:val="00D016E0"/>
    <w:rsid w:val="00D01B56"/>
    <w:rsid w:val="00D021DD"/>
    <w:rsid w:val="00D022DC"/>
    <w:rsid w:val="00D0257C"/>
    <w:rsid w:val="00D02E5F"/>
    <w:rsid w:val="00D03645"/>
    <w:rsid w:val="00D03675"/>
    <w:rsid w:val="00D03767"/>
    <w:rsid w:val="00D037BE"/>
    <w:rsid w:val="00D03800"/>
    <w:rsid w:val="00D03DC1"/>
    <w:rsid w:val="00D042BE"/>
    <w:rsid w:val="00D048A8"/>
    <w:rsid w:val="00D04968"/>
    <w:rsid w:val="00D0531A"/>
    <w:rsid w:val="00D05439"/>
    <w:rsid w:val="00D055D4"/>
    <w:rsid w:val="00D0567F"/>
    <w:rsid w:val="00D060F2"/>
    <w:rsid w:val="00D0659E"/>
    <w:rsid w:val="00D066CC"/>
    <w:rsid w:val="00D067F3"/>
    <w:rsid w:val="00D0690F"/>
    <w:rsid w:val="00D06A65"/>
    <w:rsid w:val="00D06B84"/>
    <w:rsid w:val="00D071A6"/>
    <w:rsid w:val="00D07224"/>
    <w:rsid w:val="00D073DA"/>
    <w:rsid w:val="00D07516"/>
    <w:rsid w:val="00D0767F"/>
    <w:rsid w:val="00D076B6"/>
    <w:rsid w:val="00D07905"/>
    <w:rsid w:val="00D106F3"/>
    <w:rsid w:val="00D10F3F"/>
    <w:rsid w:val="00D10F4E"/>
    <w:rsid w:val="00D11551"/>
    <w:rsid w:val="00D1212F"/>
    <w:rsid w:val="00D1222D"/>
    <w:rsid w:val="00D1224B"/>
    <w:rsid w:val="00D122C4"/>
    <w:rsid w:val="00D122FD"/>
    <w:rsid w:val="00D12713"/>
    <w:rsid w:val="00D127D4"/>
    <w:rsid w:val="00D1294F"/>
    <w:rsid w:val="00D12D8D"/>
    <w:rsid w:val="00D13032"/>
    <w:rsid w:val="00D13248"/>
    <w:rsid w:val="00D1329F"/>
    <w:rsid w:val="00D1393C"/>
    <w:rsid w:val="00D13B14"/>
    <w:rsid w:val="00D13C93"/>
    <w:rsid w:val="00D1415D"/>
    <w:rsid w:val="00D14B1C"/>
    <w:rsid w:val="00D14B52"/>
    <w:rsid w:val="00D15989"/>
    <w:rsid w:val="00D15D82"/>
    <w:rsid w:val="00D15DF4"/>
    <w:rsid w:val="00D15E94"/>
    <w:rsid w:val="00D163C6"/>
    <w:rsid w:val="00D16D5A"/>
    <w:rsid w:val="00D17C15"/>
    <w:rsid w:val="00D17D14"/>
    <w:rsid w:val="00D204F8"/>
    <w:rsid w:val="00D21779"/>
    <w:rsid w:val="00D21978"/>
    <w:rsid w:val="00D21A1B"/>
    <w:rsid w:val="00D22217"/>
    <w:rsid w:val="00D2250A"/>
    <w:rsid w:val="00D22B87"/>
    <w:rsid w:val="00D2410F"/>
    <w:rsid w:val="00D2425E"/>
    <w:rsid w:val="00D2450A"/>
    <w:rsid w:val="00D24B0D"/>
    <w:rsid w:val="00D25175"/>
    <w:rsid w:val="00D254F6"/>
    <w:rsid w:val="00D25772"/>
    <w:rsid w:val="00D258B9"/>
    <w:rsid w:val="00D25C13"/>
    <w:rsid w:val="00D26158"/>
    <w:rsid w:val="00D26383"/>
    <w:rsid w:val="00D268D5"/>
    <w:rsid w:val="00D269ED"/>
    <w:rsid w:val="00D26BC2"/>
    <w:rsid w:val="00D26C70"/>
    <w:rsid w:val="00D26F04"/>
    <w:rsid w:val="00D26F95"/>
    <w:rsid w:val="00D26FC5"/>
    <w:rsid w:val="00D2731F"/>
    <w:rsid w:val="00D275B4"/>
    <w:rsid w:val="00D27A8E"/>
    <w:rsid w:val="00D27AA1"/>
    <w:rsid w:val="00D27F15"/>
    <w:rsid w:val="00D301F0"/>
    <w:rsid w:val="00D309B5"/>
    <w:rsid w:val="00D30C64"/>
    <w:rsid w:val="00D30D96"/>
    <w:rsid w:val="00D31055"/>
    <w:rsid w:val="00D31511"/>
    <w:rsid w:val="00D315C2"/>
    <w:rsid w:val="00D31ACC"/>
    <w:rsid w:val="00D3208D"/>
    <w:rsid w:val="00D32A21"/>
    <w:rsid w:val="00D32B18"/>
    <w:rsid w:val="00D32C90"/>
    <w:rsid w:val="00D32E11"/>
    <w:rsid w:val="00D3330C"/>
    <w:rsid w:val="00D33A88"/>
    <w:rsid w:val="00D33BA8"/>
    <w:rsid w:val="00D343D1"/>
    <w:rsid w:val="00D34895"/>
    <w:rsid w:val="00D34A7A"/>
    <w:rsid w:val="00D34A92"/>
    <w:rsid w:val="00D34FA2"/>
    <w:rsid w:val="00D35A3F"/>
    <w:rsid w:val="00D35EA2"/>
    <w:rsid w:val="00D36F7D"/>
    <w:rsid w:val="00D36FA0"/>
    <w:rsid w:val="00D371B6"/>
    <w:rsid w:val="00D37523"/>
    <w:rsid w:val="00D376BC"/>
    <w:rsid w:val="00D40A71"/>
    <w:rsid w:val="00D41013"/>
    <w:rsid w:val="00D41089"/>
    <w:rsid w:val="00D41223"/>
    <w:rsid w:val="00D412B5"/>
    <w:rsid w:val="00D41EBE"/>
    <w:rsid w:val="00D41ED8"/>
    <w:rsid w:val="00D42912"/>
    <w:rsid w:val="00D42CA2"/>
    <w:rsid w:val="00D43039"/>
    <w:rsid w:val="00D43188"/>
    <w:rsid w:val="00D43666"/>
    <w:rsid w:val="00D438B3"/>
    <w:rsid w:val="00D43A69"/>
    <w:rsid w:val="00D4460E"/>
    <w:rsid w:val="00D446A9"/>
    <w:rsid w:val="00D449A8"/>
    <w:rsid w:val="00D44B24"/>
    <w:rsid w:val="00D44C5A"/>
    <w:rsid w:val="00D44EE0"/>
    <w:rsid w:val="00D45790"/>
    <w:rsid w:val="00D45D16"/>
    <w:rsid w:val="00D45D74"/>
    <w:rsid w:val="00D45ED5"/>
    <w:rsid w:val="00D46156"/>
    <w:rsid w:val="00D46301"/>
    <w:rsid w:val="00D46319"/>
    <w:rsid w:val="00D46602"/>
    <w:rsid w:val="00D46787"/>
    <w:rsid w:val="00D471CB"/>
    <w:rsid w:val="00D47921"/>
    <w:rsid w:val="00D47A92"/>
    <w:rsid w:val="00D47B7B"/>
    <w:rsid w:val="00D47C1A"/>
    <w:rsid w:val="00D50326"/>
    <w:rsid w:val="00D504C1"/>
    <w:rsid w:val="00D50B68"/>
    <w:rsid w:val="00D510E3"/>
    <w:rsid w:val="00D51190"/>
    <w:rsid w:val="00D51206"/>
    <w:rsid w:val="00D513CA"/>
    <w:rsid w:val="00D51759"/>
    <w:rsid w:val="00D51E08"/>
    <w:rsid w:val="00D51F7E"/>
    <w:rsid w:val="00D51FC6"/>
    <w:rsid w:val="00D5207A"/>
    <w:rsid w:val="00D52F62"/>
    <w:rsid w:val="00D534CE"/>
    <w:rsid w:val="00D535AF"/>
    <w:rsid w:val="00D53C5A"/>
    <w:rsid w:val="00D53FD0"/>
    <w:rsid w:val="00D540BF"/>
    <w:rsid w:val="00D54224"/>
    <w:rsid w:val="00D543C0"/>
    <w:rsid w:val="00D5447A"/>
    <w:rsid w:val="00D549FA"/>
    <w:rsid w:val="00D54FBE"/>
    <w:rsid w:val="00D5590D"/>
    <w:rsid w:val="00D55C76"/>
    <w:rsid w:val="00D55DE6"/>
    <w:rsid w:val="00D55E73"/>
    <w:rsid w:val="00D55FE7"/>
    <w:rsid w:val="00D5627E"/>
    <w:rsid w:val="00D57038"/>
    <w:rsid w:val="00D573AB"/>
    <w:rsid w:val="00D576B9"/>
    <w:rsid w:val="00D57747"/>
    <w:rsid w:val="00D57ADF"/>
    <w:rsid w:val="00D6000F"/>
    <w:rsid w:val="00D6038A"/>
    <w:rsid w:val="00D6040F"/>
    <w:rsid w:val="00D604BC"/>
    <w:rsid w:val="00D606B5"/>
    <w:rsid w:val="00D60953"/>
    <w:rsid w:val="00D60A3E"/>
    <w:rsid w:val="00D60C3A"/>
    <w:rsid w:val="00D60D43"/>
    <w:rsid w:val="00D60DC5"/>
    <w:rsid w:val="00D60DCF"/>
    <w:rsid w:val="00D61602"/>
    <w:rsid w:val="00D617EA"/>
    <w:rsid w:val="00D619BC"/>
    <w:rsid w:val="00D61A50"/>
    <w:rsid w:val="00D626BB"/>
    <w:rsid w:val="00D62E68"/>
    <w:rsid w:val="00D6313A"/>
    <w:rsid w:val="00D632E8"/>
    <w:rsid w:val="00D634F5"/>
    <w:rsid w:val="00D63774"/>
    <w:rsid w:val="00D63827"/>
    <w:rsid w:val="00D63860"/>
    <w:rsid w:val="00D63C0E"/>
    <w:rsid w:val="00D63FD9"/>
    <w:rsid w:val="00D64384"/>
    <w:rsid w:val="00D647FF"/>
    <w:rsid w:val="00D64B3B"/>
    <w:rsid w:val="00D6575E"/>
    <w:rsid w:val="00D65C0C"/>
    <w:rsid w:val="00D65C48"/>
    <w:rsid w:val="00D66013"/>
    <w:rsid w:val="00D6603C"/>
    <w:rsid w:val="00D66421"/>
    <w:rsid w:val="00D66802"/>
    <w:rsid w:val="00D66C4D"/>
    <w:rsid w:val="00D66F67"/>
    <w:rsid w:val="00D671D2"/>
    <w:rsid w:val="00D702CA"/>
    <w:rsid w:val="00D70409"/>
    <w:rsid w:val="00D70E1A"/>
    <w:rsid w:val="00D71659"/>
    <w:rsid w:val="00D71698"/>
    <w:rsid w:val="00D71734"/>
    <w:rsid w:val="00D717C9"/>
    <w:rsid w:val="00D7211A"/>
    <w:rsid w:val="00D7223B"/>
    <w:rsid w:val="00D7265D"/>
    <w:rsid w:val="00D727B6"/>
    <w:rsid w:val="00D72942"/>
    <w:rsid w:val="00D72D12"/>
    <w:rsid w:val="00D736BF"/>
    <w:rsid w:val="00D73A6C"/>
    <w:rsid w:val="00D74640"/>
    <w:rsid w:val="00D746A9"/>
    <w:rsid w:val="00D74B42"/>
    <w:rsid w:val="00D74CC5"/>
    <w:rsid w:val="00D74D13"/>
    <w:rsid w:val="00D754B5"/>
    <w:rsid w:val="00D75599"/>
    <w:rsid w:val="00D75866"/>
    <w:rsid w:val="00D75D5D"/>
    <w:rsid w:val="00D75DB4"/>
    <w:rsid w:val="00D7600D"/>
    <w:rsid w:val="00D7651D"/>
    <w:rsid w:val="00D7654C"/>
    <w:rsid w:val="00D76591"/>
    <w:rsid w:val="00D767BD"/>
    <w:rsid w:val="00D76E57"/>
    <w:rsid w:val="00D76F94"/>
    <w:rsid w:val="00D77005"/>
    <w:rsid w:val="00D770A8"/>
    <w:rsid w:val="00D77151"/>
    <w:rsid w:val="00D77171"/>
    <w:rsid w:val="00D779D0"/>
    <w:rsid w:val="00D77B8A"/>
    <w:rsid w:val="00D804D5"/>
    <w:rsid w:val="00D804D8"/>
    <w:rsid w:val="00D80FCC"/>
    <w:rsid w:val="00D81227"/>
    <w:rsid w:val="00D8164A"/>
    <w:rsid w:val="00D816C1"/>
    <w:rsid w:val="00D818FB"/>
    <w:rsid w:val="00D81B0A"/>
    <w:rsid w:val="00D82212"/>
    <w:rsid w:val="00D824DA"/>
    <w:rsid w:val="00D82A75"/>
    <w:rsid w:val="00D82A8F"/>
    <w:rsid w:val="00D82D88"/>
    <w:rsid w:val="00D82E39"/>
    <w:rsid w:val="00D830A9"/>
    <w:rsid w:val="00D83249"/>
    <w:rsid w:val="00D83312"/>
    <w:rsid w:val="00D833C1"/>
    <w:rsid w:val="00D8346B"/>
    <w:rsid w:val="00D837E9"/>
    <w:rsid w:val="00D83F6C"/>
    <w:rsid w:val="00D8413E"/>
    <w:rsid w:val="00D8474C"/>
    <w:rsid w:val="00D847D7"/>
    <w:rsid w:val="00D84843"/>
    <w:rsid w:val="00D84871"/>
    <w:rsid w:val="00D850AF"/>
    <w:rsid w:val="00D85312"/>
    <w:rsid w:val="00D8533A"/>
    <w:rsid w:val="00D85432"/>
    <w:rsid w:val="00D857A4"/>
    <w:rsid w:val="00D85923"/>
    <w:rsid w:val="00D859B6"/>
    <w:rsid w:val="00D85C3B"/>
    <w:rsid w:val="00D8651E"/>
    <w:rsid w:val="00D86985"/>
    <w:rsid w:val="00D86A06"/>
    <w:rsid w:val="00D86A49"/>
    <w:rsid w:val="00D86EF8"/>
    <w:rsid w:val="00D86F23"/>
    <w:rsid w:val="00D86F36"/>
    <w:rsid w:val="00D8700C"/>
    <w:rsid w:val="00D87355"/>
    <w:rsid w:val="00D87526"/>
    <w:rsid w:val="00D87B94"/>
    <w:rsid w:val="00D87EE6"/>
    <w:rsid w:val="00D901B2"/>
    <w:rsid w:val="00D90435"/>
    <w:rsid w:val="00D905AE"/>
    <w:rsid w:val="00D9094E"/>
    <w:rsid w:val="00D90AEA"/>
    <w:rsid w:val="00D90C52"/>
    <w:rsid w:val="00D90CE8"/>
    <w:rsid w:val="00D91401"/>
    <w:rsid w:val="00D9156F"/>
    <w:rsid w:val="00D91DE1"/>
    <w:rsid w:val="00D920B9"/>
    <w:rsid w:val="00D9221E"/>
    <w:rsid w:val="00D924FB"/>
    <w:rsid w:val="00D929BE"/>
    <w:rsid w:val="00D93744"/>
    <w:rsid w:val="00D939BB"/>
    <w:rsid w:val="00D94D93"/>
    <w:rsid w:val="00D94E0C"/>
    <w:rsid w:val="00D95279"/>
    <w:rsid w:val="00D9569B"/>
    <w:rsid w:val="00D95A6D"/>
    <w:rsid w:val="00D970BF"/>
    <w:rsid w:val="00D97503"/>
    <w:rsid w:val="00D9775A"/>
    <w:rsid w:val="00DA011C"/>
    <w:rsid w:val="00DA057F"/>
    <w:rsid w:val="00DA0D77"/>
    <w:rsid w:val="00DA15BC"/>
    <w:rsid w:val="00DA169D"/>
    <w:rsid w:val="00DA1706"/>
    <w:rsid w:val="00DA184E"/>
    <w:rsid w:val="00DA1871"/>
    <w:rsid w:val="00DA18A4"/>
    <w:rsid w:val="00DA207F"/>
    <w:rsid w:val="00DA25E6"/>
    <w:rsid w:val="00DA26B2"/>
    <w:rsid w:val="00DA2925"/>
    <w:rsid w:val="00DA32DA"/>
    <w:rsid w:val="00DA3B41"/>
    <w:rsid w:val="00DA3B9F"/>
    <w:rsid w:val="00DA4207"/>
    <w:rsid w:val="00DA4266"/>
    <w:rsid w:val="00DA4472"/>
    <w:rsid w:val="00DA45A2"/>
    <w:rsid w:val="00DA4830"/>
    <w:rsid w:val="00DA4875"/>
    <w:rsid w:val="00DA49DA"/>
    <w:rsid w:val="00DA54E6"/>
    <w:rsid w:val="00DA5847"/>
    <w:rsid w:val="00DA59DA"/>
    <w:rsid w:val="00DA5F00"/>
    <w:rsid w:val="00DA6094"/>
    <w:rsid w:val="00DA636E"/>
    <w:rsid w:val="00DA6609"/>
    <w:rsid w:val="00DA68A3"/>
    <w:rsid w:val="00DA6AA0"/>
    <w:rsid w:val="00DA6C3D"/>
    <w:rsid w:val="00DA6F17"/>
    <w:rsid w:val="00DA6FCF"/>
    <w:rsid w:val="00DA70F2"/>
    <w:rsid w:val="00DA7389"/>
    <w:rsid w:val="00DA75D0"/>
    <w:rsid w:val="00DA7B9A"/>
    <w:rsid w:val="00DA7CE4"/>
    <w:rsid w:val="00DA7F70"/>
    <w:rsid w:val="00DB0482"/>
    <w:rsid w:val="00DB07B7"/>
    <w:rsid w:val="00DB07EF"/>
    <w:rsid w:val="00DB0BA6"/>
    <w:rsid w:val="00DB0DD7"/>
    <w:rsid w:val="00DB0FB3"/>
    <w:rsid w:val="00DB1B27"/>
    <w:rsid w:val="00DB1FBC"/>
    <w:rsid w:val="00DB245C"/>
    <w:rsid w:val="00DB28D8"/>
    <w:rsid w:val="00DB2942"/>
    <w:rsid w:val="00DB29BB"/>
    <w:rsid w:val="00DB2A31"/>
    <w:rsid w:val="00DB3492"/>
    <w:rsid w:val="00DB415C"/>
    <w:rsid w:val="00DB4446"/>
    <w:rsid w:val="00DB4550"/>
    <w:rsid w:val="00DB4AF7"/>
    <w:rsid w:val="00DB4FC1"/>
    <w:rsid w:val="00DB5BE1"/>
    <w:rsid w:val="00DB5D3F"/>
    <w:rsid w:val="00DB6159"/>
    <w:rsid w:val="00DB63DB"/>
    <w:rsid w:val="00DB646C"/>
    <w:rsid w:val="00DB6514"/>
    <w:rsid w:val="00DB6847"/>
    <w:rsid w:val="00DB6CF8"/>
    <w:rsid w:val="00DB73AF"/>
    <w:rsid w:val="00DB79D1"/>
    <w:rsid w:val="00DB7B2C"/>
    <w:rsid w:val="00DB7C0E"/>
    <w:rsid w:val="00DB7C57"/>
    <w:rsid w:val="00DC01B5"/>
    <w:rsid w:val="00DC0211"/>
    <w:rsid w:val="00DC048F"/>
    <w:rsid w:val="00DC07A9"/>
    <w:rsid w:val="00DC0B47"/>
    <w:rsid w:val="00DC11CF"/>
    <w:rsid w:val="00DC13BA"/>
    <w:rsid w:val="00DC176D"/>
    <w:rsid w:val="00DC1F89"/>
    <w:rsid w:val="00DC2626"/>
    <w:rsid w:val="00DC28A7"/>
    <w:rsid w:val="00DC2CA5"/>
    <w:rsid w:val="00DC3181"/>
    <w:rsid w:val="00DC373D"/>
    <w:rsid w:val="00DC388B"/>
    <w:rsid w:val="00DC39BF"/>
    <w:rsid w:val="00DC3E25"/>
    <w:rsid w:val="00DC3FF2"/>
    <w:rsid w:val="00DC3FFC"/>
    <w:rsid w:val="00DC40D8"/>
    <w:rsid w:val="00DC40F6"/>
    <w:rsid w:val="00DC4D2D"/>
    <w:rsid w:val="00DC4DB3"/>
    <w:rsid w:val="00DC5359"/>
    <w:rsid w:val="00DC57F3"/>
    <w:rsid w:val="00DC587F"/>
    <w:rsid w:val="00DC5968"/>
    <w:rsid w:val="00DC5CD2"/>
    <w:rsid w:val="00DC5DD1"/>
    <w:rsid w:val="00DC60DA"/>
    <w:rsid w:val="00DC62A7"/>
    <w:rsid w:val="00DC67E7"/>
    <w:rsid w:val="00DC6C40"/>
    <w:rsid w:val="00DC6DC7"/>
    <w:rsid w:val="00DC7190"/>
    <w:rsid w:val="00DC7444"/>
    <w:rsid w:val="00DC7B11"/>
    <w:rsid w:val="00DD044F"/>
    <w:rsid w:val="00DD0783"/>
    <w:rsid w:val="00DD11BD"/>
    <w:rsid w:val="00DD1720"/>
    <w:rsid w:val="00DD1C7D"/>
    <w:rsid w:val="00DD1E32"/>
    <w:rsid w:val="00DD234D"/>
    <w:rsid w:val="00DD273D"/>
    <w:rsid w:val="00DD27C5"/>
    <w:rsid w:val="00DD2B62"/>
    <w:rsid w:val="00DD2FCD"/>
    <w:rsid w:val="00DD324D"/>
    <w:rsid w:val="00DD3531"/>
    <w:rsid w:val="00DD3BE6"/>
    <w:rsid w:val="00DD4B0D"/>
    <w:rsid w:val="00DD4D05"/>
    <w:rsid w:val="00DD4E17"/>
    <w:rsid w:val="00DD56FF"/>
    <w:rsid w:val="00DD57C8"/>
    <w:rsid w:val="00DD5F23"/>
    <w:rsid w:val="00DD651E"/>
    <w:rsid w:val="00DD68FC"/>
    <w:rsid w:val="00DD6E56"/>
    <w:rsid w:val="00DD6F8F"/>
    <w:rsid w:val="00DD772B"/>
    <w:rsid w:val="00DD7EAA"/>
    <w:rsid w:val="00DE0102"/>
    <w:rsid w:val="00DE0535"/>
    <w:rsid w:val="00DE1016"/>
    <w:rsid w:val="00DE13B5"/>
    <w:rsid w:val="00DE16E4"/>
    <w:rsid w:val="00DE181B"/>
    <w:rsid w:val="00DE1D3F"/>
    <w:rsid w:val="00DE23B8"/>
    <w:rsid w:val="00DE2E23"/>
    <w:rsid w:val="00DE34B6"/>
    <w:rsid w:val="00DE34ED"/>
    <w:rsid w:val="00DE352F"/>
    <w:rsid w:val="00DE3733"/>
    <w:rsid w:val="00DE3D37"/>
    <w:rsid w:val="00DE3E9A"/>
    <w:rsid w:val="00DE40CE"/>
    <w:rsid w:val="00DE5480"/>
    <w:rsid w:val="00DE5D6E"/>
    <w:rsid w:val="00DE5DA4"/>
    <w:rsid w:val="00DE6001"/>
    <w:rsid w:val="00DE6012"/>
    <w:rsid w:val="00DE60D8"/>
    <w:rsid w:val="00DE65D1"/>
    <w:rsid w:val="00DE6EC2"/>
    <w:rsid w:val="00DE7220"/>
    <w:rsid w:val="00DE7315"/>
    <w:rsid w:val="00DE7435"/>
    <w:rsid w:val="00DE78D3"/>
    <w:rsid w:val="00DE7A3E"/>
    <w:rsid w:val="00DE7C68"/>
    <w:rsid w:val="00DE7DCC"/>
    <w:rsid w:val="00DF0A90"/>
    <w:rsid w:val="00DF101C"/>
    <w:rsid w:val="00DF105D"/>
    <w:rsid w:val="00DF17CC"/>
    <w:rsid w:val="00DF18A3"/>
    <w:rsid w:val="00DF1D53"/>
    <w:rsid w:val="00DF1E16"/>
    <w:rsid w:val="00DF1F7E"/>
    <w:rsid w:val="00DF2294"/>
    <w:rsid w:val="00DF287F"/>
    <w:rsid w:val="00DF2AC9"/>
    <w:rsid w:val="00DF2D83"/>
    <w:rsid w:val="00DF307A"/>
    <w:rsid w:val="00DF321B"/>
    <w:rsid w:val="00DF35E0"/>
    <w:rsid w:val="00DF3AEE"/>
    <w:rsid w:val="00DF3D4F"/>
    <w:rsid w:val="00DF3D64"/>
    <w:rsid w:val="00DF41D8"/>
    <w:rsid w:val="00DF49E7"/>
    <w:rsid w:val="00DF4AD0"/>
    <w:rsid w:val="00DF4E2F"/>
    <w:rsid w:val="00DF51AA"/>
    <w:rsid w:val="00DF5268"/>
    <w:rsid w:val="00DF566F"/>
    <w:rsid w:val="00DF5821"/>
    <w:rsid w:val="00DF5D8D"/>
    <w:rsid w:val="00DF5EB2"/>
    <w:rsid w:val="00DF669B"/>
    <w:rsid w:val="00DF6B03"/>
    <w:rsid w:val="00DF6FD8"/>
    <w:rsid w:val="00DF7352"/>
    <w:rsid w:val="00DF779E"/>
    <w:rsid w:val="00E0019E"/>
    <w:rsid w:val="00E00475"/>
    <w:rsid w:val="00E013A4"/>
    <w:rsid w:val="00E01401"/>
    <w:rsid w:val="00E01470"/>
    <w:rsid w:val="00E017DA"/>
    <w:rsid w:val="00E0187D"/>
    <w:rsid w:val="00E01893"/>
    <w:rsid w:val="00E01BB8"/>
    <w:rsid w:val="00E01D9F"/>
    <w:rsid w:val="00E025AB"/>
    <w:rsid w:val="00E02BA9"/>
    <w:rsid w:val="00E02C76"/>
    <w:rsid w:val="00E02F0B"/>
    <w:rsid w:val="00E03294"/>
    <w:rsid w:val="00E03607"/>
    <w:rsid w:val="00E0388F"/>
    <w:rsid w:val="00E038BB"/>
    <w:rsid w:val="00E03ABC"/>
    <w:rsid w:val="00E03FA0"/>
    <w:rsid w:val="00E045CE"/>
    <w:rsid w:val="00E047C8"/>
    <w:rsid w:val="00E0489A"/>
    <w:rsid w:val="00E04ED8"/>
    <w:rsid w:val="00E054D0"/>
    <w:rsid w:val="00E054FC"/>
    <w:rsid w:val="00E059DC"/>
    <w:rsid w:val="00E060DB"/>
    <w:rsid w:val="00E06269"/>
    <w:rsid w:val="00E06545"/>
    <w:rsid w:val="00E06623"/>
    <w:rsid w:val="00E06854"/>
    <w:rsid w:val="00E069E0"/>
    <w:rsid w:val="00E06B6B"/>
    <w:rsid w:val="00E06FCE"/>
    <w:rsid w:val="00E071C0"/>
    <w:rsid w:val="00E072F2"/>
    <w:rsid w:val="00E074A0"/>
    <w:rsid w:val="00E0786F"/>
    <w:rsid w:val="00E07AA7"/>
    <w:rsid w:val="00E07D23"/>
    <w:rsid w:val="00E109F5"/>
    <w:rsid w:val="00E1163B"/>
    <w:rsid w:val="00E117AA"/>
    <w:rsid w:val="00E11CCE"/>
    <w:rsid w:val="00E11D49"/>
    <w:rsid w:val="00E11D81"/>
    <w:rsid w:val="00E12751"/>
    <w:rsid w:val="00E12780"/>
    <w:rsid w:val="00E12B93"/>
    <w:rsid w:val="00E12BDA"/>
    <w:rsid w:val="00E130FC"/>
    <w:rsid w:val="00E13265"/>
    <w:rsid w:val="00E13BDF"/>
    <w:rsid w:val="00E13CB5"/>
    <w:rsid w:val="00E140FB"/>
    <w:rsid w:val="00E144F8"/>
    <w:rsid w:val="00E14602"/>
    <w:rsid w:val="00E14866"/>
    <w:rsid w:val="00E14A8B"/>
    <w:rsid w:val="00E14D6A"/>
    <w:rsid w:val="00E1505A"/>
    <w:rsid w:val="00E150AE"/>
    <w:rsid w:val="00E15368"/>
    <w:rsid w:val="00E1553C"/>
    <w:rsid w:val="00E1555D"/>
    <w:rsid w:val="00E15691"/>
    <w:rsid w:val="00E1591F"/>
    <w:rsid w:val="00E15BF5"/>
    <w:rsid w:val="00E15D0F"/>
    <w:rsid w:val="00E16181"/>
    <w:rsid w:val="00E16367"/>
    <w:rsid w:val="00E16FA7"/>
    <w:rsid w:val="00E170D8"/>
    <w:rsid w:val="00E170DF"/>
    <w:rsid w:val="00E17593"/>
    <w:rsid w:val="00E17ABA"/>
    <w:rsid w:val="00E17BF4"/>
    <w:rsid w:val="00E17D2D"/>
    <w:rsid w:val="00E2060F"/>
    <w:rsid w:val="00E209E1"/>
    <w:rsid w:val="00E2182C"/>
    <w:rsid w:val="00E2197E"/>
    <w:rsid w:val="00E219E9"/>
    <w:rsid w:val="00E21C52"/>
    <w:rsid w:val="00E21E1A"/>
    <w:rsid w:val="00E21E94"/>
    <w:rsid w:val="00E22456"/>
    <w:rsid w:val="00E22CE0"/>
    <w:rsid w:val="00E22D4B"/>
    <w:rsid w:val="00E232A7"/>
    <w:rsid w:val="00E23721"/>
    <w:rsid w:val="00E238F3"/>
    <w:rsid w:val="00E23CAB"/>
    <w:rsid w:val="00E23CB3"/>
    <w:rsid w:val="00E23DDB"/>
    <w:rsid w:val="00E2405A"/>
    <w:rsid w:val="00E24132"/>
    <w:rsid w:val="00E243AF"/>
    <w:rsid w:val="00E245E6"/>
    <w:rsid w:val="00E24A5E"/>
    <w:rsid w:val="00E24D88"/>
    <w:rsid w:val="00E24E59"/>
    <w:rsid w:val="00E2514E"/>
    <w:rsid w:val="00E252CA"/>
    <w:rsid w:val="00E256DD"/>
    <w:rsid w:val="00E25956"/>
    <w:rsid w:val="00E25F60"/>
    <w:rsid w:val="00E264C4"/>
    <w:rsid w:val="00E265B0"/>
    <w:rsid w:val="00E2682A"/>
    <w:rsid w:val="00E2689D"/>
    <w:rsid w:val="00E26C35"/>
    <w:rsid w:val="00E26C3E"/>
    <w:rsid w:val="00E26DB1"/>
    <w:rsid w:val="00E26F18"/>
    <w:rsid w:val="00E27061"/>
    <w:rsid w:val="00E276A3"/>
    <w:rsid w:val="00E27950"/>
    <w:rsid w:val="00E2799F"/>
    <w:rsid w:val="00E27B32"/>
    <w:rsid w:val="00E27CDC"/>
    <w:rsid w:val="00E27FEF"/>
    <w:rsid w:val="00E30024"/>
    <w:rsid w:val="00E30195"/>
    <w:rsid w:val="00E30705"/>
    <w:rsid w:val="00E30970"/>
    <w:rsid w:val="00E30B4A"/>
    <w:rsid w:val="00E30E86"/>
    <w:rsid w:val="00E30F2A"/>
    <w:rsid w:val="00E310CC"/>
    <w:rsid w:val="00E314E2"/>
    <w:rsid w:val="00E31D60"/>
    <w:rsid w:val="00E31F3F"/>
    <w:rsid w:val="00E321CC"/>
    <w:rsid w:val="00E3226F"/>
    <w:rsid w:val="00E32A30"/>
    <w:rsid w:val="00E32C70"/>
    <w:rsid w:val="00E32DD7"/>
    <w:rsid w:val="00E33472"/>
    <w:rsid w:val="00E3394C"/>
    <w:rsid w:val="00E339BE"/>
    <w:rsid w:val="00E33A07"/>
    <w:rsid w:val="00E33B8D"/>
    <w:rsid w:val="00E33DB5"/>
    <w:rsid w:val="00E33EAF"/>
    <w:rsid w:val="00E341A7"/>
    <w:rsid w:val="00E342B0"/>
    <w:rsid w:val="00E3472B"/>
    <w:rsid w:val="00E34A45"/>
    <w:rsid w:val="00E364B1"/>
    <w:rsid w:val="00E3651C"/>
    <w:rsid w:val="00E36858"/>
    <w:rsid w:val="00E36A11"/>
    <w:rsid w:val="00E36C01"/>
    <w:rsid w:val="00E36C41"/>
    <w:rsid w:val="00E36C8F"/>
    <w:rsid w:val="00E40E76"/>
    <w:rsid w:val="00E41876"/>
    <w:rsid w:val="00E41B5D"/>
    <w:rsid w:val="00E420E2"/>
    <w:rsid w:val="00E423AF"/>
    <w:rsid w:val="00E423E6"/>
    <w:rsid w:val="00E4298A"/>
    <w:rsid w:val="00E42A97"/>
    <w:rsid w:val="00E43189"/>
    <w:rsid w:val="00E4397A"/>
    <w:rsid w:val="00E43A74"/>
    <w:rsid w:val="00E43B26"/>
    <w:rsid w:val="00E43F5E"/>
    <w:rsid w:val="00E44A50"/>
    <w:rsid w:val="00E44BB3"/>
    <w:rsid w:val="00E44D62"/>
    <w:rsid w:val="00E4511F"/>
    <w:rsid w:val="00E45223"/>
    <w:rsid w:val="00E459A7"/>
    <w:rsid w:val="00E45BB2"/>
    <w:rsid w:val="00E45F42"/>
    <w:rsid w:val="00E46091"/>
    <w:rsid w:val="00E46158"/>
    <w:rsid w:val="00E461B8"/>
    <w:rsid w:val="00E464B8"/>
    <w:rsid w:val="00E4677A"/>
    <w:rsid w:val="00E46BF0"/>
    <w:rsid w:val="00E47154"/>
    <w:rsid w:val="00E475D9"/>
    <w:rsid w:val="00E478AA"/>
    <w:rsid w:val="00E47B45"/>
    <w:rsid w:val="00E47D0E"/>
    <w:rsid w:val="00E509D9"/>
    <w:rsid w:val="00E51322"/>
    <w:rsid w:val="00E516D7"/>
    <w:rsid w:val="00E51AB8"/>
    <w:rsid w:val="00E51E68"/>
    <w:rsid w:val="00E51EDB"/>
    <w:rsid w:val="00E51FDA"/>
    <w:rsid w:val="00E52068"/>
    <w:rsid w:val="00E525DC"/>
    <w:rsid w:val="00E5277F"/>
    <w:rsid w:val="00E52A04"/>
    <w:rsid w:val="00E538FD"/>
    <w:rsid w:val="00E539D1"/>
    <w:rsid w:val="00E53C1A"/>
    <w:rsid w:val="00E53D05"/>
    <w:rsid w:val="00E53D27"/>
    <w:rsid w:val="00E53E1B"/>
    <w:rsid w:val="00E53F20"/>
    <w:rsid w:val="00E5435F"/>
    <w:rsid w:val="00E5471F"/>
    <w:rsid w:val="00E54993"/>
    <w:rsid w:val="00E54ABF"/>
    <w:rsid w:val="00E553B4"/>
    <w:rsid w:val="00E554F3"/>
    <w:rsid w:val="00E55970"/>
    <w:rsid w:val="00E55CC3"/>
    <w:rsid w:val="00E56404"/>
    <w:rsid w:val="00E5700C"/>
    <w:rsid w:val="00E5788D"/>
    <w:rsid w:val="00E5788F"/>
    <w:rsid w:val="00E579BB"/>
    <w:rsid w:val="00E57A1F"/>
    <w:rsid w:val="00E57D06"/>
    <w:rsid w:val="00E57FAD"/>
    <w:rsid w:val="00E6003F"/>
    <w:rsid w:val="00E60537"/>
    <w:rsid w:val="00E60558"/>
    <w:rsid w:val="00E60864"/>
    <w:rsid w:val="00E608CD"/>
    <w:rsid w:val="00E60EAA"/>
    <w:rsid w:val="00E614D9"/>
    <w:rsid w:val="00E61529"/>
    <w:rsid w:val="00E61A1D"/>
    <w:rsid w:val="00E61FE9"/>
    <w:rsid w:val="00E6215B"/>
    <w:rsid w:val="00E627C2"/>
    <w:rsid w:val="00E6297A"/>
    <w:rsid w:val="00E62A65"/>
    <w:rsid w:val="00E62EE5"/>
    <w:rsid w:val="00E632D4"/>
    <w:rsid w:val="00E636FB"/>
    <w:rsid w:val="00E63E46"/>
    <w:rsid w:val="00E643BB"/>
    <w:rsid w:val="00E645AB"/>
    <w:rsid w:val="00E6471D"/>
    <w:rsid w:val="00E650EE"/>
    <w:rsid w:val="00E6545B"/>
    <w:rsid w:val="00E654B2"/>
    <w:rsid w:val="00E656EE"/>
    <w:rsid w:val="00E65858"/>
    <w:rsid w:val="00E65D23"/>
    <w:rsid w:val="00E661DE"/>
    <w:rsid w:val="00E6672E"/>
    <w:rsid w:val="00E6683E"/>
    <w:rsid w:val="00E668B9"/>
    <w:rsid w:val="00E6741D"/>
    <w:rsid w:val="00E67C0C"/>
    <w:rsid w:val="00E67E13"/>
    <w:rsid w:val="00E70425"/>
    <w:rsid w:val="00E70773"/>
    <w:rsid w:val="00E70C0E"/>
    <w:rsid w:val="00E711CF"/>
    <w:rsid w:val="00E714D6"/>
    <w:rsid w:val="00E71585"/>
    <w:rsid w:val="00E718F8"/>
    <w:rsid w:val="00E71EF4"/>
    <w:rsid w:val="00E72252"/>
    <w:rsid w:val="00E723CF"/>
    <w:rsid w:val="00E723D0"/>
    <w:rsid w:val="00E723F7"/>
    <w:rsid w:val="00E72991"/>
    <w:rsid w:val="00E729B9"/>
    <w:rsid w:val="00E72AB7"/>
    <w:rsid w:val="00E72AF6"/>
    <w:rsid w:val="00E72CC6"/>
    <w:rsid w:val="00E72E9E"/>
    <w:rsid w:val="00E73243"/>
    <w:rsid w:val="00E7370C"/>
    <w:rsid w:val="00E73820"/>
    <w:rsid w:val="00E746CE"/>
    <w:rsid w:val="00E74F7B"/>
    <w:rsid w:val="00E75025"/>
    <w:rsid w:val="00E7524B"/>
    <w:rsid w:val="00E7530C"/>
    <w:rsid w:val="00E755EC"/>
    <w:rsid w:val="00E756FB"/>
    <w:rsid w:val="00E75731"/>
    <w:rsid w:val="00E759A8"/>
    <w:rsid w:val="00E75D93"/>
    <w:rsid w:val="00E76426"/>
    <w:rsid w:val="00E7660A"/>
    <w:rsid w:val="00E768D7"/>
    <w:rsid w:val="00E76B9E"/>
    <w:rsid w:val="00E76BD4"/>
    <w:rsid w:val="00E76BF3"/>
    <w:rsid w:val="00E76D01"/>
    <w:rsid w:val="00E77261"/>
    <w:rsid w:val="00E7737F"/>
    <w:rsid w:val="00E775B2"/>
    <w:rsid w:val="00E77EA8"/>
    <w:rsid w:val="00E80014"/>
    <w:rsid w:val="00E8033E"/>
    <w:rsid w:val="00E8047F"/>
    <w:rsid w:val="00E81484"/>
    <w:rsid w:val="00E8170F"/>
    <w:rsid w:val="00E81CBF"/>
    <w:rsid w:val="00E82095"/>
    <w:rsid w:val="00E82420"/>
    <w:rsid w:val="00E825C8"/>
    <w:rsid w:val="00E82A0C"/>
    <w:rsid w:val="00E82C93"/>
    <w:rsid w:val="00E82D9E"/>
    <w:rsid w:val="00E82EDF"/>
    <w:rsid w:val="00E82F31"/>
    <w:rsid w:val="00E8314E"/>
    <w:rsid w:val="00E83238"/>
    <w:rsid w:val="00E83893"/>
    <w:rsid w:val="00E839D5"/>
    <w:rsid w:val="00E83B90"/>
    <w:rsid w:val="00E84425"/>
    <w:rsid w:val="00E8449E"/>
    <w:rsid w:val="00E84643"/>
    <w:rsid w:val="00E84683"/>
    <w:rsid w:val="00E846D0"/>
    <w:rsid w:val="00E851A1"/>
    <w:rsid w:val="00E8530A"/>
    <w:rsid w:val="00E85CBC"/>
    <w:rsid w:val="00E85F60"/>
    <w:rsid w:val="00E8699D"/>
    <w:rsid w:val="00E86D87"/>
    <w:rsid w:val="00E871EB"/>
    <w:rsid w:val="00E87395"/>
    <w:rsid w:val="00E87431"/>
    <w:rsid w:val="00E87BDC"/>
    <w:rsid w:val="00E87D9C"/>
    <w:rsid w:val="00E9029E"/>
    <w:rsid w:val="00E906DA"/>
    <w:rsid w:val="00E90920"/>
    <w:rsid w:val="00E90AA7"/>
    <w:rsid w:val="00E90E5F"/>
    <w:rsid w:val="00E91547"/>
    <w:rsid w:val="00E915B1"/>
    <w:rsid w:val="00E9175D"/>
    <w:rsid w:val="00E918CC"/>
    <w:rsid w:val="00E91E7C"/>
    <w:rsid w:val="00E921DE"/>
    <w:rsid w:val="00E9225D"/>
    <w:rsid w:val="00E92325"/>
    <w:rsid w:val="00E927ED"/>
    <w:rsid w:val="00E92B66"/>
    <w:rsid w:val="00E92E0E"/>
    <w:rsid w:val="00E92F63"/>
    <w:rsid w:val="00E9304F"/>
    <w:rsid w:val="00E93654"/>
    <w:rsid w:val="00E93911"/>
    <w:rsid w:val="00E93A41"/>
    <w:rsid w:val="00E93B68"/>
    <w:rsid w:val="00E93B7D"/>
    <w:rsid w:val="00E93CAC"/>
    <w:rsid w:val="00E9426D"/>
    <w:rsid w:val="00E942D5"/>
    <w:rsid w:val="00E944D7"/>
    <w:rsid w:val="00E949B3"/>
    <w:rsid w:val="00E94E77"/>
    <w:rsid w:val="00E95456"/>
    <w:rsid w:val="00E95687"/>
    <w:rsid w:val="00E9583F"/>
    <w:rsid w:val="00E95BA1"/>
    <w:rsid w:val="00E962BD"/>
    <w:rsid w:val="00E9651D"/>
    <w:rsid w:val="00E96831"/>
    <w:rsid w:val="00E968C7"/>
    <w:rsid w:val="00E96FB9"/>
    <w:rsid w:val="00E97036"/>
    <w:rsid w:val="00E9708D"/>
    <w:rsid w:val="00E97381"/>
    <w:rsid w:val="00E97434"/>
    <w:rsid w:val="00E974A6"/>
    <w:rsid w:val="00E97685"/>
    <w:rsid w:val="00E97E68"/>
    <w:rsid w:val="00EA034B"/>
    <w:rsid w:val="00EA0368"/>
    <w:rsid w:val="00EA05A4"/>
    <w:rsid w:val="00EA06A8"/>
    <w:rsid w:val="00EA0826"/>
    <w:rsid w:val="00EA090E"/>
    <w:rsid w:val="00EA0A30"/>
    <w:rsid w:val="00EA0AF7"/>
    <w:rsid w:val="00EA0F84"/>
    <w:rsid w:val="00EA1025"/>
    <w:rsid w:val="00EA1077"/>
    <w:rsid w:val="00EA1404"/>
    <w:rsid w:val="00EA235C"/>
    <w:rsid w:val="00EA254A"/>
    <w:rsid w:val="00EA2944"/>
    <w:rsid w:val="00EA2B00"/>
    <w:rsid w:val="00EA2FB8"/>
    <w:rsid w:val="00EA34A5"/>
    <w:rsid w:val="00EA3DC4"/>
    <w:rsid w:val="00EA4575"/>
    <w:rsid w:val="00EA4733"/>
    <w:rsid w:val="00EA481B"/>
    <w:rsid w:val="00EA4961"/>
    <w:rsid w:val="00EA4CA9"/>
    <w:rsid w:val="00EA56F8"/>
    <w:rsid w:val="00EA57C4"/>
    <w:rsid w:val="00EA5BAF"/>
    <w:rsid w:val="00EA5E31"/>
    <w:rsid w:val="00EA5E7B"/>
    <w:rsid w:val="00EA602B"/>
    <w:rsid w:val="00EA63AB"/>
    <w:rsid w:val="00EA64FD"/>
    <w:rsid w:val="00EA69C9"/>
    <w:rsid w:val="00EA7021"/>
    <w:rsid w:val="00EA7284"/>
    <w:rsid w:val="00EA75C5"/>
    <w:rsid w:val="00EA78A8"/>
    <w:rsid w:val="00EA7D1C"/>
    <w:rsid w:val="00EA7E44"/>
    <w:rsid w:val="00EA7ECE"/>
    <w:rsid w:val="00EA7F55"/>
    <w:rsid w:val="00EB03DB"/>
    <w:rsid w:val="00EB0751"/>
    <w:rsid w:val="00EB1131"/>
    <w:rsid w:val="00EB14B0"/>
    <w:rsid w:val="00EB18E6"/>
    <w:rsid w:val="00EB1AF2"/>
    <w:rsid w:val="00EB1B15"/>
    <w:rsid w:val="00EB1BAB"/>
    <w:rsid w:val="00EB1E16"/>
    <w:rsid w:val="00EB1F7F"/>
    <w:rsid w:val="00EB29BB"/>
    <w:rsid w:val="00EB2EEF"/>
    <w:rsid w:val="00EB3750"/>
    <w:rsid w:val="00EB40BD"/>
    <w:rsid w:val="00EB4315"/>
    <w:rsid w:val="00EB45C2"/>
    <w:rsid w:val="00EB4A9B"/>
    <w:rsid w:val="00EB4B29"/>
    <w:rsid w:val="00EB5218"/>
    <w:rsid w:val="00EB5595"/>
    <w:rsid w:val="00EB562A"/>
    <w:rsid w:val="00EB5A75"/>
    <w:rsid w:val="00EB5D04"/>
    <w:rsid w:val="00EB5DA6"/>
    <w:rsid w:val="00EB5DD8"/>
    <w:rsid w:val="00EB6454"/>
    <w:rsid w:val="00EB677A"/>
    <w:rsid w:val="00EB6AF0"/>
    <w:rsid w:val="00EB712D"/>
    <w:rsid w:val="00EB7491"/>
    <w:rsid w:val="00EB7767"/>
    <w:rsid w:val="00EC0B25"/>
    <w:rsid w:val="00EC104A"/>
    <w:rsid w:val="00EC1156"/>
    <w:rsid w:val="00EC16F6"/>
    <w:rsid w:val="00EC1747"/>
    <w:rsid w:val="00EC1DF0"/>
    <w:rsid w:val="00EC21E0"/>
    <w:rsid w:val="00EC2837"/>
    <w:rsid w:val="00EC2D26"/>
    <w:rsid w:val="00EC2F4C"/>
    <w:rsid w:val="00EC3217"/>
    <w:rsid w:val="00EC33DC"/>
    <w:rsid w:val="00EC3523"/>
    <w:rsid w:val="00EC3FD3"/>
    <w:rsid w:val="00EC410E"/>
    <w:rsid w:val="00EC50D8"/>
    <w:rsid w:val="00EC56B4"/>
    <w:rsid w:val="00EC5DEF"/>
    <w:rsid w:val="00EC61E4"/>
    <w:rsid w:val="00EC6788"/>
    <w:rsid w:val="00EC678D"/>
    <w:rsid w:val="00EC6C99"/>
    <w:rsid w:val="00EC6E3A"/>
    <w:rsid w:val="00EC6E79"/>
    <w:rsid w:val="00EC6E81"/>
    <w:rsid w:val="00EC713A"/>
    <w:rsid w:val="00EC76E1"/>
    <w:rsid w:val="00ED017B"/>
    <w:rsid w:val="00ED0D10"/>
    <w:rsid w:val="00ED1359"/>
    <w:rsid w:val="00ED14E9"/>
    <w:rsid w:val="00ED15F2"/>
    <w:rsid w:val="00ED1902"/>
    <w:rsid w:val="00ED2654"/>
    <w:rsid w:val="00ED275B"/>
    <w:rsid w:val="00ED28C4"/>
    <w:rsid w:val="00ED3093"/>
    <w:rsid w:val="00ED30C1"/>
    <w:rsid w:val="00ED328D"/>
    <w:rsid w:val="00ED3529"/>
    <w:rsid w:val="00ED383B"/>
    <w:rsid w:val="00ED3C20"/>
    <w:rsid w:val="00ED413F"/>
    <w:rsid w:val="00ED4889"/>
    <w:rsid w:val="00ED4B42"/>
    <w:rsid w:val="00ED4ED7"/>
    <w:rsid w:val="00ED4F3B"/>
    <w:rsid w:val="00ED51FD"/>
    <w:rsid w:val="00ED555D"/>
    <w:rsid w:val="00ED566F"/>
    <w:rsid w:val="00ED5A7E"/>
    <w:rsid w:val="00ED5B4D"/>
    <w:rsid w:val="00ED5D00"/>
    <w:rsid w:val="00ED5D21"/>
    <w:rsid w:val="00ED5E19"/>
    <w:rsid w:val="00ED5FD8"/>
    <w:rsid w:val="00ED6211"/>
    <w:rsid w:val="00ED6598"/>
    <w:rsid w:val="00ED69D7"/>
    <w:rsid w:val="00ED6D77"/>
    <w:rsid w:val="00ED7284"/>
    <w:rsid w:val="00ED73CD"/>
    <w:rsid w:val="00ED7A24"/>
    <w:rsid w:val="00EE0179"/>
    <w:rsid w:val="00EE01F4"/>
    <w:rsid w:val="00EE06DD"/>
    <w:rsid w:val="00EE0771"/>
    <w:rsid w:val="00EE0D97"/>
    <w:rsid w:val="00EE0E57"/>
    <w:rsid w:val="00EE0E99"/>
    <w:rsid w:val="00EE10FC"/>
    <w:rsid w:val="00EE119A"/>
    <w:rsid w:val="00EE189F"/>
    <w:rsid w:val="00EE208F"/>
    <w:rsid w:val="00EE27B8"/>
    <w:rsid w:val="00EE29E5"/>
    <w:rsid w:val="00EE2B3D"/>
    <w:rsid w:val="00EE2BF1"/>
    <w:rsid w:val="00EE2BF7"/>
    <w:rsid w:val="00EE338C"/>
    <w:rsid w:val="00EE34D7"/>
    <w:rsid w:val="00EE3911"/>
    <w:rsid w:val="00EE395D"/>
    <w:rsid w:val="00EE3C39"/>
    <w:rsid w:val="00EE3D15"/>
    <w:rsid w:val="00EE41A6"/>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09C8"/>
    <w:rsid w:val="00EF10C8"/>
    <w:rsid w:val="00EF1283"/>
    <w:rsid w:val="00EF17FB"/>
    <w:rsid w:val="00EF1C76"/>
    <w:rsid w:val="00EF1E4E"/>
    <w:rsid w:val="00EF261C"/>
    <w:rsid w:val="00EF28FE"/>
    <w:rsid w:val="00EF2A33"/>
    <w:rsid w:val="00EF2AE0"/>
    <w:rsid w:val="00EF2F0A"/>
    <w:rsid w:val="00EF301F"/>
    <w:rsid w:val="00EF30C8"/>
    <w:rsid w:val="00EF3F11"/>
    <w:rsid w:val="00EF40F2"/>
    <w:rsid w:val="00EF44AD"/>
    <w:rsid w:val="00EF48EF"/>
    <w:rsid w:val="00EF4C2C"/>
    <w:rsid w:val="00EF4D9C"/>
    <w:rsid w:val="00EF5087"/>
    <w:rsid w:val="00EF565B"/>
    <w:rsid w:val="00EF56FA"/>
    <w:rsid w:val="00EF57B8"/>
    <w:rsid w:val="00EF5DE5"/>
    <w:rsid w:val="00EF60BB"/>
    <w:rsid w:val="00EF6846"/>
    <w:rsid w:val="00EF6E99"/>
    <w:rsid w:val="00EF742C"/>
    <w:rsid w:val="00EF7608"/>
    <w:rsid w:val="00EF76D5"/>
    <w:rsid w:val="00EF7725"/>
    <w:rsid w:val="00EF7927"/>
    <w:rsid w:val="00EF7E3B"/>
    <w:rsid w:val="00F001B2"/>
    <w:rsid w:val="00F001C4"/>
    <w:rsid w:val="00F004BD"/>
    <w:rsid w:val="00F00C42"/>
    <w:rsid w:val="00F0163F"/>
    <w:rsid w:val="00F01A1E"/>
    <w:rsid w:val="00F01C06"/>
    <w:rsid w:val="00F01E14"/>
    <w:rsid w:val="00F01EA3"/>
    <w:rsid w:val="00F01F79"/>
    <w:rsid w:val="00F02180"/>
    <w:rsid w:val="00F028CE"/>
    <w:rsid w:val="00F02DAE"/>
    <w:rsid w:val="00F02E95"/>
    <w:rsid w:val="00F03A12"/>
    <w:rsid w:val="00F03A40"/>
    <w:rsid w:val="00F03CB7"/>
    <w:rsid w:val="00F041E5"/>
    <w:rsid w:val="00F0421E"/>
    <w:rsid w:val="00F044B6"/>
    <w:rsid w:val="00F050CF"/>
    <w:rsid w:val="00F05303"/>
    <w:rsid w:val="00F057E3"/>
    <w:rsid w:val="00F057EE"/>
    <w:rsid w:val="00F05C81"/>
    <w:rsid w:val="00F05E02"/>
    <w:rsid w:val="00F0636A"/>
    <w:rsid w:val="00F06F98"/>
    <w:rsid w:val="00F06FA2"/>
    <w:rsid w:val="00F0717D"/>
    <w:rsid w:val="00F075F7"/>
    <w:rsid w:val="00F07683"/>
    <w:rsid w:val="00F100A9"/>
    <w:rsid w:val="00F109C2"/>
    <w:rsid w:val="00F1100B"/>
    <w:rsid w:val="00F11032"/>
    <w:rsid w:val="00F11384"/>
    <w:rsid w:val="00F114FB"/>
    <w:rsid w:val="00F12202"/>
    <w:rsid w:val="00F1222C"/>
    <w:rsid w:val="00F12407"/>
    <w:rsid w:val="00F1260D"/>
    <w:rsid w:val="00F12F54"/>
    <w:rsid w:val="00F13147"/>
    <w:rsid w:val="00F13451"/>
    <w:rsid w:val="00F13659"/>
    <w:rsid w:val="00F1374E"/>
    <w:rsid w:val="00F13D24"/>
    <w:rsid w:val="00F1469B"/>
    <w:rsid w:val="00F14739"/>
    <w:rsid w:val="00F148B4"/>
    <w:rsid w:val="00F14E32"/>
    <w:rsid w:val="00F14F28"/>
    <w:rsid w:val="00F154FB"/>
    <w:rsid w:val="00F156BE"/>
    <w:rsid w:val="00F15E4C"/>
    <w:rsid w:val="00F1677F"/>
    <w:rsid w:val="00F16A1C"/>
    <w:rsid w:val="00F16CD4"/>
    <w:rsid w:val="00F177AB"/>
    <w:rsid w:val="00F178A8"/>
    <w:rsid w:val="00F17CC8"/>
    <w:rsid w:val="00F17D0B"/>
    <w:rsid w:val="00F2033B"/>
    <w:rsid w:val="00F2054A"/>
    <w:rsid w:val="00F21ED8"/>
    <w:rsid w:val="00F21F77"/>
    <w:rsid w:val="00F21FE8"/>
    <w:rsid w:val="00F2200D"/>
    <w:rsid w:val="00F22123"/>
    <w:rsid w:val="00F2212F"/>
    <w:rsid w:val="00F2273F"/>
    <w:rsid w:val="00F229DB"/>
    <w:rsid w:val="00F23425"/>
    <w:rsid w:val="00F236EF"/>
    <w:rsid w:val="00F242BD"/>
    <w:rsid w:val="00F24973"/>
    <w:rsid w:val="00F2497F"/>
    <w:rsid w:val="00F24EC9"/>
    <w:rsid w:val="00F24FA2"/>
    <w:rsid w:val="00F250CA"/>
    <w:rsid w:val="00F25AAD"/>
    <w:rsid w:val="00F25CE7"/>
    <w:rsid w:val="00F2616A"/>
    <w:rsid w:val="00F261D6"/>
    <w:rsid w:val="00F26CCD"/>
    <w:rsid w:val="00F27075"/>
    <w:rsid w:val="00F27168"/>
    <w:rsid w:val="00F2729C"/>
    <w:rsid w:val="00F27309"/>
    <w:rsid w:val="00F2738F"/>
    <w:rsid w:val="00F27B69"/>
    <w:rsid w:val="00F300A1"/>
    <w:rsid w:val="00F30106"/>
    <w:rsid w:val="00F30500"/>
    <w:rsid w:val="00F30576"/>
    <w:rsid w:val="00F309C4"/>
    <w:rsid w:val="00F30A63"/>
    <w:rsid w:val="00F311D0"/>
    <w:rsid w:val="00F31209"/>
    <w:rsid w:val="00F31229"/>
    <w:rsid w:val="00F317FE"/>
    <w:rsid w:val="00F3191F"/>
    <w:rsid w:val="00F3222A"/>
    <w:rsid w:val="00F325DD"/>
    <w:rsid w:val="00F32689"/>
    <w:rsid w:val="00F32721"/>
    <w:rsid w:val="00F32A65"/>
    <w:rsid w:val="00F32D5B"/>
    <w:rsid w:val="00F33A56"/>
    <w:rsid w:val="00F33FE7"/>
    <w:rsid w:val="00F34285"/>
    <w:rsid w:val="00F3433F"/>
    <w:rsid w:val="00F34878"/>
    <w:rsid w:val="00F34E5B"/>
    <w:rsid w:val="00F34F02"/>
    <w:rsid w:val="00F35165"/>
    <w:rsid w:val="00F351C1"/>
    <w:rsid w:val="00F35477"/>
    <w:rsid w:val="00F35DDA"/>
    <w:rsid w:val="00F35F42"/>
    <w:rsid w:val="00F35F84"/>
    <w:rsid w:val="00F36516"/>
    <w:rsid w:val="00F36518"/>
    <w:rsid w:val="00F368B4"/>
    <w:rsid w:val="00F36B20"/>
    <w:rsid w:val="00F36C65"/>
    <w:rsid w:val="00F37729"/>
    <w:rsid w:val="00F3793E"/>
    <w:rsid w:val="00F37D11"/>
    <w:rsid w:val="00F37DC9"/>
    <w:rsid w:val="00F37F12"/>
    <w:rsid w:val="00F40390"/>
    <w:rsid w:val="00F40741"/>
    <w:rsid w:val="00F40C84"/>
    <w:rsid w:val="00F40DAE"/>
    <w:rsid w:val="00F41620"/>
    <w:rsid w:val="00F41911"/>
    <w:rsid w:val="00F42419"/>
    <w:rsid w:val="00F426BB"/>
    <w:rsid w:val="00F427B2"/>
    <w:rsid w:val="00F42832"/>
    <w:rsid w:val="00F429E5"/>
    <w:rsid w:val="00F42B81"/>
    <w:rsid w:val="00F42B8A"/>
    <w:rsid w:val="00F43044"/>
    <w:rsid w:val="00F4325E"/>
    <w:rsid w:val="00F43BD5"/>
    <w:rsid w:val="00F4445C"/>
    <w:rsid w:val="00F4461D"/>
    <w:rsid w:val="00F449F3"/>
    <w:rsid w:val="00F44A9B"/>
    <w:rsid w:val="00F44CEA"/>
    <w:rsid w:val="00F450BE"/>
    <w:rsid w:val="00F4547B"/>
    <w:rsid w:val="00F45687"/>
    <w:rsid w:val="00F45817"/>
    <w:rsid w:val="00F463E8"/>
    <w:rsid w:val="00F46800"/>
    <w:rsid w:val="00F4680E"/>
    <w:rsid w:val="00F4684C"/>
    <w:rsid w:val="00F46899"/>
    <w:rsid w:val="00F46AA3"/>
    <w:rsid w:val="00F473D9"/>
    <w:rsid w:val="00F47434"/>
    <w:rsid w:val="00F47443"/>
    <w:rsid w:val="00F47EC9"/>
    <w:rsid w:val="00F501F2"/>
    <w:rsid w:val="00F5036C"/>
    <w:rsid w:val="00F50601"/>
    <w:rsid w:val="00F507CE"/>
    <w:rsid w:val="00F50A2F"/>
    <w:rsid w:val="00F50D3A"/>
    <w:rsid w:val="00F5117A"/>
    <w:rsid w:val="00F514FC"/>
    <w:rsid w:val="00F51529"/>
    <w:rsid w:val="00F51726"/>
    <w:rsid w:val="00F519FF"/>
    <w:rsid w:val="00F51F3F"/>
    <w:rsid w:val="00F52004"/>
    <w:rsid w:val="00F520F4"/>
    <w:rsid w:val="00F52234"/>
    <w:rsid w:val="00F52818"/>
    <w:rsid w:val="00F5286E"/>
    <w:rsid w:val="00F5330C"/>
    <w:rsid w:val="00F538CE"/>
    <w:rsid w:val="00F53AF2"/>
    <w:rsid w:val="00F54237"/>
    <w:rsid w:val="00F5433B"/>
    <w:rsid w:val="00F54647"/>
    <w:rsid w:val="00F54C5E"/>
    <w:rsid w:val="00F54E7E"/>
    <w:rsid w:val="00F54FF8"/>
    <w:rsid w:val="00F5587F"/>
    <w:rsid w:val="00F5588E"/>
    <w:rsid w:val="00F55CF0"/>
    <w:rsid w:val="00F5613E"/>
    <w:rsid w:val="00F56494"/>
    <w:rsid w:val="00F56BE7"/>
    <w:rsid w:val="00F573C8"/>
    <w:rsid w:val="00F57897"/>
    <w:rsid w:val="00F57B6F"/>
    <w:rsid w:val="00F60006"/>
    <w:rsid w:val="00F60283"/>
    <w:rsid w:val="00F6044E"/>
    <w:rsid w:val="00F60670"/>
    <w:rsid w:val="00F6098E"/>
    <w:rsid w:val="00F60B7A"/>
    <w:rsid w:val="00F60C8D"/>
    <w:rsid w:val="00F60D34"/>
    <w:rsid w:val="00F6227C"/>
    <w:rsid w:val="00F628D1"/>
    <w:rsid w:val="00F632F6"/>
    <w:rsid w:val="00F633E8"/>
    <w:rsid w:val="00F638BB"/>
    <w:rsid w:val="00F63B1E"/>
    <w:rsid w:val="00F63EBC"/>
    <w:rsid w:val="00F64113"/>
    <w:rsid w:val="00F645B7"/>
    <w:rsid w:val="00F649BB"/>
    <w:rsid w:val="00F650A5"/>
    <w:rsid w:val="00F65492"/>
    <w:rsid w:val="00F657F4"/>
    <w:rsid w:val="00F65A6E"/>
    <w:rsid w:val="00F66251"/>
    <w:rsid w:val="00F66764"/>
    <w:rsid w:val="00F66785"/>
    <w:rsid w:val="00F667FC"/>
    <w:rsid w:val="00F668E3"/>
    <w:rsid w:val="00F66948"/>
    <w:rsid w:val="00F66E63"/>
    <w:rsid w:val="00F67373"/>
    <w:rsid w:val="00F675A1"/>
    <w:rsid w:val="00F677D6"/>
    <w:rsid w:val="00F67E2F"/>
    <w:rsid w:val="00F700DC"/>
    <w:rsid w:val="00F700F5"/>
    <w:rsid w:val="00F706D7"/>
    <w:rsid w:val="00F70CFD"/>
    <w:rsid w:val="00F70DBF"/>
    <w:rsid w:val="00F71A3A"/>
    <w:rsid w:val="00F7204B"/>
    <w:rsid w:val="00F725B4"/>
    <w:rsid w:val="00F72617"/>
    <w:rsid w:val="00F72709"/>
    <w:rsid w:val="00F732FE"/>
    <w:rsid w:val="00F738A9"/>
    <w:rsid w:val="00F73F61"/>
    <w:rsid w:val="00F74192"/>
    <w:rsid w:val="00F750B0"/>
    <w:rsid w:val="00F752CF"/>
    <w:rsid w:val="00F757FF"/>
    <w:rsid w:val="00F760FF"/>
    <w:rsid w:val="00F7636F"/>
    <w:rsid w:val="00F76A8F"/>
    <w:rsid w:val="00F7727B"/>
    <w:rsid w:val="00F77E8D"/>
    <w:rsid w:val="00F80322"/>
    <w:rsid w:val="00F80996"/>
    <w:rsid w:val="00F80ADE"/>
    <w:rsid w:val="00F80EEC"/>
    <w:rsid w:val="00F8164E"/>
    <w:rsid w:val="00F817C7"/>
    <w:rsid w:val="00F81CDB"/>
    <w:rsid w:val="00F81E85"/>
    <w:rsid w:val="00F8214C"/>
    <w:rsid w:val="00F8224F"/>
    <w:rsid w:val="00F8289D"/>
    <w:rsid w:val="00F828B7"/>
    <w:rsid w:val="00F82D3A"/>
    <w:rsid w:val="00F82E55"/>
    <w:rsid w:val="00F82F46"/>
    <w:rsid w:val="00F834ED"/>
    <w:rsid w:val="00F8355A"/>
    <w:rsid w:val="00F837CD"/>
    <w:rsid w:val="00F83A73"/>
    <w:rsid w:val="00F83BC5"/>
    <w:rsid w:val="00F83F8B"/>
    <w:rsid w:val="00F840BC"/>
    <w:rsid w:val="00F8433E"/>
    <w:rsid w:val="00F844FA"/>
    <w:rsid w:val="00F8459E"/>
    <w:rsid w:val="00F846BD"/>
    <w:rsid w:val="00F84DE0"/>
    <w:rsid w:val="00F850B7"/>
    <w:rsid w:val="00F852EB"/>
    <w:rsid w:val="00F853D2"/>
    <w:rsid w:val="00F8559F"/>
    <w:rsid w:val="00F85875"/>
    <w:rsid w:val="00F8654A"/>
    <w:rsid w:val="00F8669B"/>
    <w:rsid w:val="00F86B2A"/>
    <w:rsid w:val="00F86D96"/>
    <w:rsid w:val="00F86DC7"/>
    <w:rsid w:val="00F87066"/>
    <w:rsid w:val="00F87082"/>
    <w:rsid w:val="00F87215"/>
    <w:rsid w:val="00F875FA"/>
    <w:rsid w:val="00F8769A"/>
    <w:rsid w:val="00F879B8"/>
    <w:rsid w:val="00F87A33"/>
    <w:rsid w:val="00F87BF0"/>
    <w:rsid w:val="00F87E9C"/>
    <w:rsid w:val="00F9012A"/>
    <w:rsid w:val="00F90E68"/>
    <w:rsid w:val="00F90EFE"/>
    <w:rsid w:val="00F90F95"/>
    <w:rsid w:val="00F9125D"/>
    <w:rsid w:val="00F91746"/>
    <w:rsid w:val="00F91ABF"/>
    <w:rsid w:val="00F91BE7"/>
    <w:rsid w:val="00F92021"/>
    <w:rsid w:val="00F92031"/>
    <w:rsid w:val="00F9271F"/>
    <w:rsid w:val="00F92919"/>
    <w:rsid w:val="00F929CB"/>
    <w:rsid w:val="00F929E5"/>
    <w:rsid w:val="00F929F7"/>
    <w:rsid w:val="00F92C99"/>
    <w:rsid w:val="00F92F22"/>
    <w:rsid w:val="00F93038"/>
    <w:rsid w:val="00F9303A"/>
    <w:rsid w:val="00F931EA"/>
    <w:rsid w:val="00F93A59"/>
    <w:rsid w:val="00F9473E"/>
    <w:rsid w:val="00F94887"/>
    <w:rsid w:val="00F94B84"/>
    <w:rsid w:val="00F96163"/>
    <w:rsid w:val="00F962FC"/>
    <w:rsid w:val="00F965AE"/>
    <w:rsid w:val="00F96611"/>
    <w:rsid w:val="00F96658"/>
    <w:rsid w:val="00F96AFA"/>
    <w:rsid w:val="00F96C49"/>
    <w:rsid w:val="00F96C8D"/>
    <w:rsid w:val="00F9710E"/>
    <w:rsid w:val="00F97462"/>
    <w:rsid w:val="00F975DF"/>
    <w:rsid w:val="00FA0083"/>
    <w:rsid w:val="00FA0089"/>
    <w:rsid w:val="00FA01D8"/>
    <w:rsid w:val="00FA0D25"/>
    <w:rsid w:val="00FA0FFB"/>
    <w:rsid w:val="00FA19CB"/>
    <w:rsid w:val="00FA1CA4"/>
    <w:rsid w:val="00FA2647"/>
    <w:rsid w:val="00FA2C25"/>
    <w:rsid w:val="00FA311B"/>
    <w:rsid w:val="00FA312D"/>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888"/>
    <w:rsid w:val="00FA719C"/>
    <w:rsid w:val="00FA7D37"/>
    <w:rsid w:val="00FA7E4B"/>
    <w:rsid w:val="00FB04D9"/>
    <w:rsid w:val="00FB09AD"/>
    <w:rsid w:val="00FB0E48"/>
    <w:rsid w:val="00FB0F4E"/>
    <w:rsid w:val="00FB10EE"/>
    <w:rsid w:val="00FB1282"/>
    <w:rsid w:val="00FB1631"/>
    <w:rsid w:val="00FB1BE1"/>
    <w:rsid w:val="00FB1E45"/>
    <w:rsid w:val="00FB1FF0"/>
    <w:rsid w:val="00FB2139"/>
    <w:rsid w:val="00FB2170"/>
    <w:rsid w:val="00FB293F"/>
    <w:rsid w:val="00FB2BEA"/>
    <w:rsid w:val="00FB2E6E"/>
    <w:rsid w:val="00FB329C"/>
    <w:rsid w:val="00FB3498"/>
    <w:rsid w:val="00FB3D1C"/>
    <w:rsid w:val="00FB48E4"/>
    <w:rsid w:val="00FB492E"/>
    <w:rsid w:val="00FB4C8F"/>
    <w:rsid w:val="00FB4CF5"/>
    <w:rsid w:val="00FB528D"/>
    <w:rsid w:val="00FB58BC"/>
    <w:rsid w:val="00FB5985"/>
    <w:rsid w:val="00FB6060"/>
    <w:rsid w:val="00FB6318"/>
    <w:rsid w:val="00FB654C"/>
    <w:rsid w:val="00FB6BE0"/>
    <w:rsid w:val="00FB79DB"/>
    <w:rsid w:val="00FB7FB8"/>
    <w:rsid w:val="00FC01DC"/>
    <w:rsid w:val="00FC071F"/>
    <w:rsid w:val="00FC0F5B"/>
    <w:rsid w:val="00FC14F3"/>
    <w:rsid w:val="00FC1A4E"/>
    <w:rsid w:val="00FC1C01"/>
    <w:rsid w:val="00FC2388"/>
    <w:rsid w:val="00FC278F"/>
    <w:rsid w:val="00FC2C34"/>
    <w:rsid w:val="00FC303E"/>
    <w:rsid w:val="00FC3709"/>
    <w:rsid w:val="00FC37BE"/>
    <w:rsid w:val="00FC37F2"/>
    <w:rsid w:val="00FC3BEB"/>
    <w:rsid w:val="00FC412E"/>
    <w:rsid w:val="00FC4210"/>
    <w:rsid w:val="00FC44D0"/>
    <w:rsid w:val="00FC47DF"/>
    <w:rsid w:val="00FC4A89"/>
    <w:rsid w:val="00FC4FE1"/>
    <w:rsid w:val="00FC57A9"/>
    <w:rsid w:val="00FC5813"/>
    <w:rsid w:val="00FC58A1"/>
    <w:rsid w:val="00FC6020"/>
    <w:rsid w:val="00FC63E8"/>
    <w:rsid w:val="00FC6532"/>
    <w:rsid w:val="00FC7008"/>
    <w:rsid w:val="00FC70B0"/>
    <w:rsid w:val="00FC72D0"/>
    <w:rsid w:val="00FC73CA"/>
    <w:rsid w:val="00FC77E1"/>
    <w:rsid w:val="00FC7E57"/>
    <w:rsid w:val="00FC7E63"/>
    <w:rsid w:val="00FD06A2"/>
    <w:rsid w:val="00FD06AE"/>
    <w:rsid w:val="00FD07AA"/>
    <w:rsid w:val="00FD0A65"/>
    <w:rsid w:val="00FD109C"/>
    <w:rsid w:val="00FD14ED"/>
    <w:rsid w:val="00FD17E7"/>
    <w:rsid w:val="00FD1D5B"/>
    <w:rsid w:val="00FD2485"/>
    <w:rsid w:val="00FD31AA"/>
    <w:rsid w:val="00FD3A82"/>
    <w:rsid w:val="00FD3BC1"/>
    <w:rsid w:val="00FD3E3F"/>
    <w:rsid w:val="00FD40E6"/>
    <w:rsid w:val="00FD4123"/>
    <w:rsid w:val="00FD44D6"/>
    <w:rsid w:val="00FD49CC"/>
    <w:rsid w:val="00FD4C1E"/>
    <w:rsid w:val="00FD4C1F"/>
    <w:rsid w:val="00FD4C47"/>
    <w:rsid w:val="00FD4DD8"/>
    <w:rsid w:val="00FD5683"/>
    <w:rsid w:val="00FD5FC5"/>
    <w:rsid w:val="00FD6CA5"/>
    <w:rsid w:val="00FD6E47"/>
    <w:rsid w:val="00FD714F"/>
    <w:rsid w:val="00FD74A7"/>
    <w:rsid w:val="00FD7518"/>
    <w:rsid w:val="00FD75FA"/>
    <w:rsid w:val="00FD780C"/>
    <w:rsid w:val="00FD7E5C"/>
    <w:rsid w:val="00FE003F"/>
    <w:rsid w:val="00FE024A"/>
    <w:rsid w:val="00FE0386"/>
    <w:rsid w:val="00FE051E"/>
    <w:rsid w:val="00FE05DB"/>
    <w:rsid w:val="00FE0F72"/>
    <w:rsid w:val="00FE11D7"/>
    <w:rsid w:val="00FE1A39"/>
    <w:rsid w:val="00FE1C79"/>
    <w:rsid w:val="00FE1D19"/>
    <w:rsid w:val="00FE1DC6"/>
    <w:rsid w:val="00FE23CB"/>
    <w:rsid w:val="00FE244A"/>
    <w:rsid w:val="00FE270E"/>
    <w:rsid w:val="00FE27FA"/>
    <w:rsid w:val="00FE2822"/>
    <w:rsid w:val="00FE2F98"/>
    <w:rsid w:val="00FE3242"/>
    <w:rsid w:val="00FE3823"/>
    <w:rsid w:val="00FE387E"/>
    <w:rsid w:val="00FE39B2"/>
    <w:rsid w:val="00FE3BA2"/>
    <w:rsid w:val="00FE424E"/>
    <w:rsid w:val="00FE48DA"/>
    <w:rsid w:val="00FE4950"/>
    <w:rsid w:val="00FE4AD4"/>
    <w:rsid w:val="00FE536F"/>
    <w:rsid w:val="00FE5417"/>
    <w:rsid w:val="00FE5628"/>
    <w:rsid w:val="00FE5C3C"/>
    <w:rsid w:val="00FE5EFC"/>
    <w:rsid w:val="00FE602A"/>
    <w:rsid w:val="00FE630B"/>
    <w:rsid w:val="00FE6356"/>
    <w:rsid w:val="00FE6669"/>
    <w:rsid w:val="00FE6858"/>
    <w:rsid w:val="00FE78D0"/>
    <w:rsid w:val="00FE7E06"/>
    <w:rsid w:val="00FF09F2"/>
    <w:rsid w:val="00FF0AC0"/>
    <w:rsid w:val="00FF1588"/>
    <w:rsid w:val="00FF186F"/>
    <w:rsid w:val="00FF1AA6"/>
    <w:rsid w:val="00FF1DE6"/>
    <w:rsid w:val="00FF1EB9"/>
    <w:rsid w:val="00FF201C"/>
    <w:rsid w:val="00FF27F0"/>
    <w:rsid w:val="00FF2900"/>
    <w:rsid w:val="00FF29C4"/>
    <w:rsid w:val="00FF32D7"/>
    <w:rsid w:val="00FF33DE"/>
    <w:rsid w:val="00FF3BFB"/>
    <w:rsid w:val="00FF44F5"/>
    <w:rsid w:val="00FF45D9"/>
    <w:rsid w:val="00FF4893"/>
    <w:rsid w:val="00FF497A"/>
    <w:rsid w:val="00FF5022"/>
    <w:rsid w:val="00FF5035"/>
    <w:rsid w:val="00FF55C8"/>
    <w:rsid w:val="00FF55DF"/>
    <w:rsid w:val="00FF5A9E"/>
    <w:rsid w:val="00FF5CB8"/>
    <w:rsid w:val="00FF655B"/>
    <w:rsid w:val="00FF684F"/>
    <w:rsid w:val="00FF6A67"/>
    <w:rsid w:val="00FF6D8A"/>
    <w:rsid w:val="00FF6DC9"/>
    <w:rsid w:val="00FF6E9D"/>
    <w:rsid w:val="00FF748F"/>
    <w:rsid w:val="00FF7582"/>
    <w:rsid w:val="00FF75BC"/>
    <w:rsid w:val="00FF7AA7"/>
    <w:rsid w:val="00FF7DD7"/>
    <w:rsid w:val="00FF7E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D7"/>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eastAsia="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 w:type="paragraph" w:styleId="NormalWeb">
    <w:name w:val="Normal (Web)"/>
    <w:basedOn w:val="Normal"/>
    <w:uiPriority w:val="99"/>
    <w:semiHidden/>
    <w:unhideWhenUsed/>
    <w:rsid w:val="0008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6174">
      <w:bodyDiv w:val="1"/>
      <w:marLeft w:val="0"/>
      <w:marRight w:val="0"/>
      <w:marTop w:val="0"/>
      <w:marBottom w:val="0"/>
      <w:divBdr>
        <w:top w:val="none" w:sz="0" w:space="0" w:color="auto"/>
        <w:left w:val="none" w:sz="0" w:space="0" w:color="auto"/>
        <w:bottom w:val="none" w:sz="0" w:space="0" w:color="auto"/>
        <w:right w:val="none" w:sz="0" w:space="0" w:color="auto"/>
      </w:divBdr>
    </w:div>
    <w:div w:id="347677189">
      <w:bodyDiv w:val="1"/>
      <w:marLeft w:val="0"/>
      <w:marRight w:val="0"/>
      <w:marTop w:val="0"/>
      <w:marBottom w:val="0"/>
      <w:divBdr>
        <w:top w:val="none" w:sz="0" w:space="0" w:color="auto"/>
        <w:left w:val="none" w:sz="0" w:space="0" w:color="auto"/>
        <w:bottom w:val="none" w:sz="0" w:space="0" w:color="auto"/>
        <w:right w:val="none" w:sz="0" w:space="0" w:color="auto"/>
      </w:divBdr>
      <w:divsChild>
        <w:div w:id="1625889355">
          <w:marLeft w:val="0"/>
          <w:marRight w:val="0"/>
          <w:marTop w:val="120"/>
          <w:marBottom w:val="0"/>
          <w:divBdr>
            <w:top w:val="none" w:sz="0" w:space="0" w:color="auto"/>
            <w:left w:val="none" w:sz="0" w:space="0" w:color="auto"/>
            <w:bottom w:val="none" w:sz="0" w:space="0" w:color="auto"/>
            <w:right w:val="none" w:sz="0" w:space="0" w:color="auto"/>
          </w:divBdr>
        </w:div>
        <w:div w:id="1048838306">
          <w:marLeft w:val="0"/>
          <w:marRight w:val="0"/>
          <w:marTop w:val="240"/>
          <w:marBottom w:val="24"/>
          <w:divBdr>
            <w:top w:val="none" w:sz="0" w:space="0" w:color="auto"/>
            <w:left w:val="none" w:sz="0" w:space="0" w:color="auto"/>
            <w:bottom w:val="none" w:sz="0" w:space="0" w:color="auto"/>
            <w:right w:val="none" w:sz="0" w:space="0" w:color="auto"/>
          </w:divBdr>
        </w:div>
        <w:div w:id="280496116">
          <w:marLeft w:val="0"/>
          <w:marRight w:val="0"/>
          <w:marTop w:val="120"/>
          <w:marBottom w:val="0"/>
          <w:divBdr>
            <w:top w:val="none" w:sz="0" w:space="0" w:color="auto"/>
            <w:left w:val="none" w:sz="0" w:space="0" w:color="auto"/>
            <w:bottom w:val="none" w:sz="0" w:space="0" w:color="auto"/>
            <w:right w:val="none" w:sz="0" w:space="0" w:color="auto"/>
          </w:divBdr>
          <w:divsChild>
            <w:div w:id="1498766097">
              <w:marLeft w:val="0"/>
              <w:marRight w:val="0"/>
              <w:marTop w:val="20"/>
              <w:marBottom w:val="0"/>
              <w:divBdr>
                <w:top w:val="none" w:sz="0" w:space="0" w:color="auto"/>
                <w:left w:val="none" w:sz="0" w:space="0" w:color="auto"/>
                <w:bottom w:val="none" w:sz="0" w:space="0" w:color="auto"/>
                <w:right w:val="none" w:sz="0" w:space="0" w:color="auto"/>
              </w:divBdr>
            </w:div>
            <w:div w:id="746193044">
              <w:marLeft w:val="0"/>
              <w:marRight w:val="0"/>
              <w:marTop w:val="0"/>
              <w:marBottom w:val="0"/>
              <w:divBdr>
                <w:top w:val="none" w:sz="0" w:space="0" w:color="auto"/>
                <w:left w:val="none" w:sz="0" w:space="0" w:color="auto"/>
                <w:bottom w:val="none" w:sz="0" w:space="0" w:color="auto"/>
                <w:right w:val="none" w:sz="0" w:space="0" w:color="auto"/>
              </w:divBdr>
            </w:div>
            <w:div w:id="708843483">
              <w:marLeft w:val="0"/>
              <w:marRight w:val="0"/>
              <w:marTop w:val="20"/>
              <w:marBottom w:val="0"/>
              <w:divBdr>
                <w:top w:val="none" w:sz="0" w:space="0" w:color="auto"/>
                <w:left w:val="none" w:sz="0" w:space="0" w:color="auto"/>
                <w:bottom w:val="none" w:sz="0" w:space="0" w:color="auto"/>
                <w:right w:val="none" w:sz="0" w:space="0" w:color="auto"/>
              </w:divBdr>
            </w:div>
            <w:div w:id="993291072">
              <w:marLeft w:val="0"/>
              <w:marRight w:val="0"/>
              <w:marTop w:val="0"/>
              <w:marBottom w:val="0"/>
              <w:divBdr>
                <w:top w:val="none" w:sz="0" w:space="0" w:color="auto"/>
                <w:left w:val="none" w:sz="0" w:space="0" w:color="auto"/>
                <w:bottom w:val="none" w:sz="0" w:space="0" w:color="auto"/>
                <w:right w:val="none" w:sz="0" w:space="0" w:color="auto"/>
              </w:divBdr>
            </w:div>
            <w:div w:id="407919769">
              <w:marLeft w:val="0"/>
              <w:marRight w:val="0"/>
              <w:marTop w:val="20"/>
              <w:marBottom w:val="0"/>
              <w:divBdr>
                <w:top w:val="none" w:sz="0" w:space="0" w:color="auto"/>
                <w:left w:val="none" w:sz="0" w:space="0" w:color="auto"/>
                <w:bottom w:val="none" w:sz="0" w:space="0" w:color="auto"/>
                <w:right w:val="none" w:sz="0" w:space="0" w:color="auto"/>
              </w:divBdr>
            </w:div>
            <w:div w:id="140780428">
              <w:marLeft w:val="0"/>
              <w:marRight w:val="0"/>
              <w:marTop w:val="0"/>
              <w:marBottom w:val="0"/>
              <w:divBdr>
                <w:top w:val="none" w:sz="0" w:space="0" w:color="auto"/>
                <w:left w:val="none" w:sz="0" w:space="0" w:color="auto"/>
                <w:bottom w:val="none" w:sz="0" w:space="0" w:color="auto"/>
                <w:right w:val="none" w:sz="0" w:space="0" w:color="auto"/>
              </w:divBdr>
            </w:div>
            <w:div w:id="1307274019">
              <w:marLeft w:val="0"/>
              <w:marRight w:val="0"/>
              <w:marTop w:val="20"/>
              <w:marBottom w:val="0"/>
              <w:divBdr>
                <w:top w:val="none" w:sz="0" w:space="0" w:color="auto"/>
                <w:left w:val="none" w:sz="0" w:space="0" w:color="auto"/>
                <w:bottom w:val="none" w:sz="0" w:space="0" w:color="auto"/>
                <w:right w:val="none" w:sz="0" w:space="0" w:color="auto"/>
              </w:divBdr>
            </w:div>
            <w:div w:id="1437673217">
              <w:marLeft w:val="0"/>
              <w:marRight w:val="0"/>
              <w:marTop w:val="0"/>
              <w:marBottom w:val="0"/>
              <w:divBdr>
                <w:top w:val="none" w:sz="0" w:space="0" w:color="auto"/>
                <w:left w:val="none" w:sz="0" w:space="0" w:color="auto"/>
                <w:bottom w:val="none" w:sz="0" w:space="0" w:color="auto"/>
                <w:right w:val="none" w:sz="0" w:space="0" w:color="auto"/>
              </w:divBdr>
            </w:div>
            <w:div w:id="1557660719">
              <w:marLeft w:val="0"/>
              <w:marRight w:val="0"/>
              <w:marTop w:val="20"/>
              <w:marBottom w:val="0"/>
              <w:divBdr>
                <w:top w:val="none" w:sz="0" w:space="0" w:color="auto"/>
                <w:left w:val="none" w:sz="0" w:space="0" w:color="auto"/>
                <w:bottom w:val="none" w:sz="0" w:space="0" w:color="auto"/>
                <w:right w:val="none" w:sz="0" w:space="0" w:color="auto"/>
              </w:divBdr>
            </w:div>
            <w:div w:id="2055228017">
              <w:marLeft w:val="0"/>
              <w:marRight w:val="0"/>
              <w:marTop w:val="0"/>
              <w:marBottom w:val="0"/>
              <w:divBdr>
                <w:top w:val="none" w:sz="0" w:space="0" w:color="auto"/>
                <w:left w:val="none" w:sz="0" w:space="0" w:color="auto"/>
                <w:bottom w:val="none" w:sz="0" w:space="0" w:color="auto"/>
                <w:right w:val="none" w:sz="0" w:space="0" w:color="auto"/>
              </w:divBdr>
            </w:div>
            <w:div w:id="1836921033">
              <w:marLeft w:val="0"/>
              <w:marRight w:val="0"/>
              <w:marTop w:val="20"/>
              <w:marBottom w:val="0"/>
              <w:divBdr>
                <w:top w:val="none" w:sz="0" w:space="0" w:color="auto"/>
                <w:left w:val="none" w:sz="0" w:space="0" w:color="auto"/>
                <w:bottom w:val="none" w:sz="0" w:space="0" w:color="auto"/>
                <w:right w:val="none" w:sz="0" w:space="0" w:color="auto"/>
              </w:divBdr>
            </w:div>
            <w:div w:id="348993821">
              <w:marLeft w:val="0"/>
              <w:marRight w:val="0"/>
              <w:marTop w:val="0"/>
              <w:marBottom w:val="0"/>
              <w:divBdr>
                <w:top w:val="none" w:sz="0" w:space="0" w:color="auto"/>
                <w:left w:val="none" w:sz="0" w:space="0" w:color="auto"/>
                <w:bottom w:val="none" w:sz="0" w:space="0" w:color="auto"/>
                <w:right w:val="none" w:sz="0" w:space="0" w:color="auto"/>
              </w:divBdr>
            </w:div>
            <w:div w:id="774909614">
              <w:marLeft w:val="0"/>
              <w:marRight w:val="0"/>
              <w:marTop w:val="20"/>
              <w:marBottom w:val="0"/>
              <w:divBdr>
                <w:top w:val="none" w:sz="0" w:space="0" w:color="auto"/>
                <w:left w:val="none" w:sz="0" w:space="0" w:color="auto"/>
                <w:bottom w:val="none" w:sz="0" w:space="0" w:color="auto"/>
                <w:right w:val="none" w:sz="0" w:space="0" w:color="auto"/>
              </w:divBdr>
            </w:div>
            <w:div w:id="1873418569">
              <w:marLeft w:val="0"/>
              <w:marRight w:val="0"/>
              <w:marTop w:val="0"/>
              <w:marBottom w:val="0"/>
              <w:divBdr>
                <w:top w:val="none" w:sz="0" w:space="0" w:color="auto"/>
                <w:left w:val="none" w:sz="0" w:space="0" w:color="auto"/>
                <w:bottom w:val="none" w:sz="0" w:space="0" w:color="auto"/>
                <w:right w:val="none" w:sz="0" w:space="0" w:color="auto"/>
              </w:divBdr>
            </w:div>
            <w:div w:id="357586777">
              <w:marLeft w:val="0"/>
              <w:marRight w:val="0"/>
              <w:marTop w:val="20"/>
              <w:marBottom w:val="0"/>
              <w:divBdr>
                <w:top w:val="none" w:sz="0" w:space="0" w:color="auto"/>
                <w:left w:val="none" w:sz="0" w:space="0" w:color="auto"/>
                <w:bottom w:val="none" w:sz="0" w:space="0" w:color="auto"/>
                <w:right w:val="none" w:sz="0" w:space="0" w:color="auto"/>
              </w:divBdr>
            </w:div>
            <w:div w:id="575213004">
              <w:marLeft w:val="0"/>
              <w:marRight w:val="0"/>
              <w:marTop w:val="20"/>
              <w:marBottom w:val="0"/>
              <w:divBdr>
                <w:top w:val="none" w:sz="0" w:space="0" w:color="auto"/>
                <w:left w:val="none" w:sz="0" w:space="0" w:color="auto"/>
                <w:bottom w:val="none" w:sz="0" w:space="0" w:color="auto"/>
                <w:right w:val="none" w:sz="0" w:space="0" w:color="auto"/>
              </w:divBdr>
            </w:div>
          </w:divsChild>
        </w:div>
        <w:div w:id="379670841">
          <w:marLeft w:val="0"/>
          <w:marRight w:val="0"/>
          <w:marTop w:val="0"/>
          <w:marBottom w:val="0"/>
          <w:divBdr>
            <w:top w:val="none" w:sz="0" w:space="0" w:color="auto"/>
            <w:left w:val="none" w:sz="0" w:space="0" w:color="auto"/>
            <w:bottom w:val="none" w:sz="0" w:space="0" w:color="auto"/>
            <w:right w:val="none" w:sz="0" w:space="0" w:color="auto"/>
          </w:divBdr>
        </w:div>
        <w:div w:id="405997375">
          <w:marLeft w:val="0"/>
          <w:marRight w:val="0"/>
          <w:marTop w:val="0"/>
          <w:marBottom w:val="180"/>
          <w:divBdr>
            <w:top w:val="single" w:sz="18" w:space="0" w:color="808080"/>
            <w:left w:val="none" w:sz="0" w:space="0" w:color="auto"/>
            <w:bottom w:val="none" w:sz="0" w:space="0" w:color="auto"/>
            <w:right w:val="none" w:sz="0" w:space="0" w:color="auto"/>
          </w:divBdr>
        </w:div>
        <w:div w:id="366486015">
          <w:marLeft w:val="0"/>
          <w:marRight w:val="0"/>
          <w:marTop w:val="120"/>
          <w:marBottom w:val="0"/>
          <w:divBdr>
            <w:top w:val="none" w:sz="0" w:space="0" w:color="auto"/>
            <w:left w:val="none" w:sz="0" w:space="0" w:color="auto"/>
            <w:bottom w:val="none" w:sz="0" w:space="0" w:color="auto"/>
            <w:right w:val="none" w:sz="0" w:space="0" w:color="auto"/>
          </w:divBdr>
        </w:div>
        <w:div w:id="1114324711">
          <w:marLeft w:val="0"/>
          <w:marRight w:val="0"/>
          <w:marTop w:val="120"/>
          <w:marBottom w:val="0"/>
          <w:divBdr>
            <w:top w:val="none" w:sz="0" w:space="0" w:color="auto"/>
            <w:left w:val="none" w:sz="0" w:space="0" w:color="auto"/>
            <w:bottom w:val="none" w:sz="0" w:space="0" w:color="auto"/>
            <w:right w:val="none" w:sz="0" w:space="0" w:color="auto"/>
          </w:divBdr>
        </w:div>
        <w:div w:id="1285043403">
          <w:marLeft w:val="0"/>
          <w:marRight w:val="0"/>
          <w:marTop w:val="120"/>
          <w:marBottom w:val="0"/>
          <w:divBdr>
            <w:top w:val="none" w:sz="0" w:space="0" w:color="auto"/>
            <w:left w:val="none" w:sz="0" w:space="0" w:color="auto"/>
            <w:bottom w:val="none" w:sz="0" w:space="0" w:color="auto"/>
            <w:right w:val="none" w:sz="0" w:space="0" w:color="auto"/>
          </w:divBdr>
        </w:div>
        <w:div w:id="1478448507">
          <w:marLeft w:val="0"/>
          <w:marRight w:val="0"/>
          <w:marTop w:val="120"/>
          <w:marBottom w:val="0"/>
          <w:divBdr>
            <w:top w:val="none" w:sz="0" w:space="0" w:color="auto"/>
            <w:left w:val="none" w:sz="0" w:space="0" w:color="auto"/>
            <w:bottom w:val="none" w:sz="0" w:space="0" w:color="auto"/>
            <w:right w:val="none" w:sz="0" w:space="0" w:color="auto"/>
          </w:divBdr>
        </w:div>
        <w:div w:id="67390886">
          <w:marLeft w:val="0"/>
          <w:marRight w:val="0"/>
          <w:marTop w:val="120"/>
          <w:marBottom w:val="0"/>
          <w:divBdr>
            <w:top w:val="none" w:sz="0" w:space="0" w:color="auto"/>
            <w:left w:val="none" w:sz="0" w:space="0" w:color="auto"/>
            <w:bottom w:val="none" w:sz="0" w:space="0" w:color="auto"/>
            <w:right w:val="none" w:sz="0" w:space="0" w:color="auto"/>
          </w:divBdr>
        </w:div>
        <w:div w:id="78140578">
          <w:marLeft w:val="0"/>
          <w:marRight w:val="0"/>
          <w:marTop w:val="120"/>
          <w:marBottom w:val="0"/>
          <w:divBdr>
            <w:top w:val="none" w:sz="0" w:space="0" w:color="auto"/>
            <w:left w:val="none" w:sz="0" w:space="0" w:color="auto"/>
            <w:bottom w:val="none" w:sz="0" w:space="0" w:color="auto"/>
            <w:right w:val="none" w:sz="0" w:space="0" w:color="auto"/>
          </w:divBdr>
        </w:div>
        <w:div w:id="1584024722">
          <w:marLeft w:val="0"/>
          <w:marRight w:val="0"/>
          <w:marTop w:val="120"/>
          <w:marBottom w:val="0"/>
          <w:divBdr>
            <w:top w:val="none" w:sz="0" w:space="0" w:color="auto"/>
            <w:left w:val="none" w:sz="0" w:space="0" w:color="auto"/>
            <w:bottom w:val="none" w:sz="0" w:space="0" w:color="auto"/>
            <w:right w:val="none" w:sz="0" w:space="0" w:color="auto"/>
          </w:divBdr>
        </w:div>
        <w:div w:id="485053703">
          <w:marLeft w:val="0"/>
          <w:marRight w:val="0"/>
          <w:marTop w:val="120"/>
          <w:marBottom w:val="0"/>
          <w:divBdr>
            <w:top w:val="none" w:sz="0" w:space="0" w:color="auto"/>
            <w:left w:val="none" w:sz="0" w:space="0" w:color="auto"/>
            <w:bottom w:val="none" w:sz="0" w:space="0" w:color="auto"/>
            <w:right w:val="none" w:sz="0" w:space="0" w:color="auto"/>
          </w:divBdr>
        </w:div>
        <w:div w:id="478809020">
          <w:marLeft w:val="0"/>
          <w:marRight w:val="0"/>
          <w:marTop w:val="120"/>
          <w:marBottom w:val="0"/>
          <w:divBdr>
            <w:top w:val="none" w:sz="0" w:space="0" w:color="auto"/>
            <w:left w:val="none" w:sz="0" w:space="0" w:color="auto"/>
            <w:bottom w:val="none" w:sz="0" w:space="0" w:color="auto"/>
            <w:right w:val="none" w:sz="0" w:space="0" w:color="auto"/>
          </w:divBdr>
        </w:div>
        <w:div w:id="1045834921">
          <w:marLeft w:val="0"/>
          <w:marRight w:val="0"/>
          <w:marTop w:val="120"/>
          <w:marBottom w:val="0"/>
          <w:divBdr>
            <w:top w:val="none" w:sz="0" w:space="0" w:color="auto"/>
            <w:left w:val="none" w:sz="0" w:space="0" w:color="auto"/>
            <w:bottom w:val="none" w:sz="0" w:space="0" w:color="auto"/>
            <w:right w:val="none" w:sz="0" w:space="0" w:color="auto"/>
          </w:divBdr>
        </w:div>
        <w:div w:id="1585072943">
          <w:marLeft w:val="0"/>
          <w:marRight w:val="0"/>
          <w:marTop w:val="120"/>
          <w:marBottom w:val="0"/>
          <w:divBdr>
            <w:top w:val="none" w:sz="0" w:space="0" w:color="auto"/>
            <w:left w:val="none" w:sz="0" w:space="0" w:color="auto"/>
            <w:bottom w:val="none" w:sz="0" w:space="0" w:color="auto"/>
            <w:right w:val="none" w:sz="0" w:space="0" w:color="auto"/>
          </w:divBdr>
        </w:div>
        <w:div w:id="1520583797">
          <w:marLeft w:val="0"/>
          <w:marRight w:val="0"/>
          <w:marTop w:val="120"/>
          <w:marBottom w:val="0"/>
          <w:divBdr>
            <w:top w:val="none" w:sz="0" w:space="0" w:color="auto"/>
            <w:left w:val="none" w:sz="0" w:space="0" w:color="auto"/>
            <w:bottom w:val="none" w:sz="0" w:space="0" w:color="auto"/>
            <w:right w:val="none" w:sz="0" w:space="0" w:color="auto"/>
          </w:divBdr>
        </w:div>
        <w:div w:id="1357390034">
          <w:marLeft w:val="0"/>
          <w:marRight w:val="0"/>
          <w:marTop w:val="120"/>
          <w:marBottom w:val="0"/>
          <w:divBdr>
            <w:top w:val="none" w:sz="0" w:space="0" w:color="auto"/>
            <w:left w:val="none" w:sz="0" w:space="0" w:color="auto"/>
            <w:bottom w:val="none" w:sz="0" w:space="0" w:color="auto"/>
            <w:right w:val="none" w:sz="0" w:space="0" w:color="auto"/>
          </w:divBdr>
        </w:div>
        <w:div w:id="961304701">
          <w:marLeft w:val="0"/>
          <w:marRight w:val="0"/>
          <w:marTop w:val="120"/>
          <w:marBottom w:val="0"/>
          <w:divBdr>
            <w:top w:val="none" w:sz="0" w:space="0" w:color="auto"/>
            <w:left w:val="none" w:sz="0" w:space="0" w:color="auto"/>
            <w:bottom w:val="none" w:sz="0" w:space="0" w:color="auto"/>
            <w:right w:val="none" w:sz="0" w:space="0" w:color="auto"/>
          </w:divBdr>
        </w:div>
        <w:div w:id="1759062706">
          <w:marLeft w:val="0"/>
          <w:marRight w:val="0"/>
          <w:marTop w:val="120"/>
          <w:marBottom w:val="0"/>
          <w:divBdr>
            <w:top w:val="none" w:sz="0" w:space="0" w:color="auto"/>
            <w:left w:val="none" w:sz="0" w:space="0" w:color="auto"/>
            <w:bottom w:val="none" w:sz="0" w:space="0" w:color="auto"/>
            <w:right w:val="none" w:sz="0" w:space="0" w:color="auto"/>
          </w:divBdr>
        </w:div>
        <w:div w:id="248929785">
          <w:marLeft w:val="0"/>
          <w:marRight w:val="0"/>
          <w:marTop w:val="120"/>
          <w:marBottom w:val="0"/>
          <w:divBdr>
            <w:top w:val="none" w:sz="0" w:space="0" w:color="auto"/>
            <w:left w:val="none" w:sz="0" w:space="0" w:color="auto"/>
            <w:bottom w:val="none" w:sz="0" w:space="0" w:color="auto"/>
            <w:right w:val="none" w:sz="0" w:space="0" w:color="auto"/>
          </w:divBdr>
        </w:div>
        <w:div w:id="871379629">
          <w:marLeft w:val="0"/>
          <w:marRight w:val="0"/>
          <w:marTop w:val="120"/>
          <w:marBottom w:val="0"/>
          <w:divBdr>
            <w:top w:val="none" w:sz="0" w:space="0" w:color="auto"/>
            <w:left w:val="none" w:sz="0" w:space="0" w:color="auto"/>
            <w:bottom w:val="none" w:sz="0" w:space="0" w:color="auto"/>
            <w:right w:val="none" w:sz="0" w:space="0" w:color="auto"/>
          </w:divBdr>
        </w:div>
        <w:div w:id="572472447">
          <w:marLeft w:val="0"/>
          <w:marRight w:val="0"/>
          <w:marTop w:val="120"/>
          <w:marBottom w:val="0"/>
          <w:divBdr>
            <w:top w:val="none" w:sz="0" w:space="0" w:color="auto"/>
            <w:left w:val="none" w:sz="0" w:space="0" w:color="auto"/>
            <w:bottom w:val="none" w:sz="0" w:space="0" w:color="auto"/>
            <w:right w:val="none" w:sz="0" w:space="0" w:color="auto"/>
          </w:divBdr>
        </w:div>
        <w:div w:id="2023042493">
          <w:marLeft w:val="0"/>
          <w:marRight w:val="0"/>
          <w:marTop w:val="120"/>
          <w:marBottom w:val="0"/>
          <w:divBdr>
            <w:top w:val="none" w:sz="0" w:space="0" w:color="auto"/>
            <w:left w:val="none" w:sz="0" w:space="0" w:color="auto"/>
            <w:bottom w:val="none" w:sz="0" w:space="0" w:color="auto"/>
            <w:right w:val="none" w:sz="0" w:space="0" w:color="auto"/>
          </w:divBdr>
        </w:div>
        <w:div w:id="854463509">
          <w:marLeft w:val="0"/>
          <w:marRight w:val="0"/>
          <w:marTop w:val="120"/>
          <w:marBottom w:val="0"/>
          <w:divBdr>
            <w:top w:val="none" w:sz="0" w:space="0" w:color="auto"/>
            <w:left w:val="none" w:sz="0" w:space="0" w:color="auto"/>
            <w:bottom w:val="none" w:sz="0" w:space="0" w:color="auto"/>
            <w:right w:val="none" w:sz="0" w:space="0" w:color="auto"/>
          </w:divBdr>
        </w:div>
        <w:div w:id="2005739914">
          <w:marLeft w:val="0"/>
          <w:marRight w:val="0"/>
          <w:marTop w:val="120"/>
          <w:marBottom w:val="0"/>
          <w:divBdr>
            <w:top w:val="none" w:sz="0" w:space="0" w:color="auto"/>
            <w:left w:val="none" w:sz="0" w:space="0" w:color="auto"/>
            <w:bottom w:val="none" w:sz="0" w:space="0" w:color="auto"/>
            <w:right w:val="none" w:sz="0" w:space="0" w:color="auto"/>
          </w:divBdr>
        </w:div>
        <w:div w:id="402610174">
          <w:marLeft w:val="0"/>
          <w:marRight w:val="0"/>
          <w:marTop w:val="120"/>
          <w:marBottom w:val="0"/>
          <w:divBdr>
            <w:top w:val="none" w:sz="0" w:space="0" w:color="auto"/>
            <w:left w:val="none" w:sz="0" w:space="0" w:color="auto"/>
            <w:bottom w:val="none" w:sz="0" w:space="0" w:color="auto"/>
            <w:right w:val="none" w:sz="0" w:space="0" w:color="auto"/>
          </w:divBdr>
        </w:div>
        <w:div w:id="1062674760">
          <w:marLeft w:val="0"/>
          <w:marRight w:val="0"/>
          <w:marTop w:val="120"/>
          <w:marBottom w:val="0"/>
          <w:divBdr>
            <w:top w:val="none" w:sz="0" w:space="0" w:color="auto"/>
            <w:left w:val="none" w:sz="0" w:space="0" w:color="auto"/>
            <w:bottom w:val="none" w:sz="0" w:space="0" w:color="auto"/>
            <w:right w:val="none" w:sz="0" w:space="0" w:color="auto"/>
          </w:divBdr>
        </w:div>
        <w:div w:id="1512183835">
          <w:marLeft w:val="0"/>
          <w:marRight w:val="0"/>
          <w:marTop w:val="120"/>
          <w:marBottom w:val="0"/>
          <w:divBdr>
            <w:top w:val="none" w:sz="0" w:space="0" w:color="auto"/>
            <w:left w:val="none" w:sz="0" w:space="0" w:color="auto"/>
            <w:bottom w:val="none" w:sz="0" w:space="0" w:color="auto"/>
            <w:right w:val="none" w:sz="0" w:space="0" w:color="auto"/>
          </w:divBdr>
        </w:div>
        <w:div w:id="1568296489">
          <w:marLeft w:val="0"/>
          <w:marRight w:val="0"/>
          <w:marTop w:val="120"/>
          <w:marBottom w:val="0"/>
          <w:divBdr>
            <w:top w:val="none" w:sz="0" w:space="0" w:color="auto"/>
            <w:left w:val="none" w:sz="0" w:space="0" w:color="auto"/>
            <w:bottom w:val="none" w:sz="0" w:space="0" w:color="auto"/>
            <w:right w:val="none" w:sz="0" w:space="0" w:color="auto"/>
          </w:divBdr>
        </w:div>
        <w:div w:id="268466748">
          <w:marLeft w:val="0"/>
          <w:marRight w:val="0"/>
          <w:marTop w:val="120"/>
          <w:marBottom w:val="0"/>
          <w:divBdr>
            <w:top w:val="none" w:sz="0" w:space="0" w:color="auto"/>
            <w:left w:val="none" w:sz="0" w:space="0" w:color="auto"/>
            <w:bottom w:val="none" w:sz="0" w:space="0" w:color="auto"/>
            <w:right w:val="none" w:sz="0" w:space="0" w:color="auto"/>
          </w:divBdr>
        </w:div>
        <w:div w:id="2046515183">
          <w:marLeft w:val="0"/>
          <w:marRight w:val="0"/>
          <w:marTop w:val="120"/>
          <w:marBottom w:val="0"/>
          <w:divBdr>
            <w:top w:val="none" w:sz="0" w:space="0" w:color="auto"/>
            <w:left w:val="none" w:sz="0" w:space="0" w:color="auto"/>
            <w:bottom w:val="none" w:sz="0" w:space="0" w:color="auto"/>
            <w:right w:val="none" w:sz="0" w:space="0" w:color="auto"/>
          </w:divBdr>
        </w:div>
        <w:div w:id="396053848">
          <w:marLeft w:val="0"/>
          <w:marRight w:val="0"/>
          <w:marTop w:val="240"/>
          <w:marBottom w:val="24"/>
          <w:divBdr>
            <w:top w:val="single" w:sz="8" w:space="2" w:color="808080"/>
            <w:left w:val="none" w:sz="0" w:space="0" w:color="auto"/>
            <w:bottom w:val="none" w:sz="0" w:space="0" w:color="auto"/>
            <w:right w:val="none" w:sz="0" w:space="0" w:color="auto"/>
          </w:divBdr>
        </w:div>
        <w:div w:id="1218936626">
          <w:marLeft w:val="0"/>
          <w:marRight w:val="0"/>
          <w:marTop w:val="120"/>
          <w:marBottom w:val="0"/>
          <w:divBdr>
            <w:top w:val="none" w:sz="0" w:space="0" w:color="auto"/>
            <w:left w:val="none" w:sz="0" w:space="0" w:color="auto"/>
            <w:bottom w:val="none" w:sz="0" w:space="0" w:color="auto"/>
            <w:right w:val="none" w:sz="0" w:space="0" w:color="auto"/>
          </w:divBdr>
        </w:div>
        <w:div w:id="1123769037">
          <w:marLeft w:val="0"/>
          <w:marRight w:val="0"/>
          <w:marTop w:val="120"/>
          <w:marBottom w:val="0"/>
          <w:divBdr>
            <w:top w:val="none" w:sz="0" w:space="0" w:color="auto"/>
            <w:left w:val="none" w:sz="0" w:space="0" w:color="auto"/>
            <w:bottom w:val="none" w:sz="0" w:space="0" w:color="auto"/>
            <w:right w:val="none" w:sz="0" w:space="0" w:color="auto"/>
          </w:divBdr>
        </w:div>
        <w:div w:id="166135249">
          <w:marLeft w:val="0"/>
          <w:marRight w:val="0"/>
          <w:marTop w:val="120"/>
          <w:marBottom w:val="0"/>
          <w:divBdr>
            <w:top w:val="none" w:sz="0" w:space="0" w:color="auto"/>
            <w:left w:val="none" w:sz="0" w:space="0" w:color="auto"/>
            <w:bottom w:val="none" w:sz="0" w:space="0" w:color="auto"/>
            <w:right w:val="none" w:sz="0" w:space="0" w:color="auto"/>
          </w:divBdr>
        </w:div>
        <w:div w:id="585529437">
          <w:marLeft w:val="0"/>
          <w:marRight w:val="0"/>
          <w:marTop w:val="120"/>
          <w:marBottom w:val="0"/>
          <w:divBdr>
            <w:top w:val="none" w:sz="0" w:space="0" w:color="auto"/>
            <w:left w:val="none" w:sz="0" w:space="0" w:color="auto"/>
            <w:bottom w:val="none" w:sz="0" w:space="0" w:color="auto"/>
            <w:right w:val="none" w:sz="0" w:space="0" w:color="auto"/>
          </w:divBdr>
        </w:div>
        <w:div w:id="782917949">
          <w:marLeft w:val="0"/>
          <w:marRight w:val="0"/>
          <w:marTop w:val="120"/>
          <w:marBottom w:val="0"/>
          <w:divBdr>
            <w:top w:val="none" w:sz="0" w:space="0" w:color="auto"/>
            <w:left w:val="none" w:sz="0" w:space="0" w:color="auto"/>
            <w:bottom w:val="none" w:sz="0" w:space="0" w:color="auto"/>
            <w:right w:val="none" w:sz="0" w:space="0" w:color="auto"/>
          </w:divBdr>
        </w:div>
        <w:div w:id="364327949">
          <w:marLeft w:val="0"/>
          <w:marRight w:val="0"/>
          <w:marTop w:val="120"/>
          <w:marBottom w:val="0"/>
          <w:divBdr>
            <w:top w:val="none" w:sz="0" w:space="0" w:color="auto"/>
            <w:left w:val="none" w:sz="0" w:space="0" w:color="auto"/>
            <w:bottom w:val="none" w:sz="0" w:space="0" w:color="auto"/>
            <w:right w:val="none" w:sz="0" w:space="0" w:color="auto"/>
          </w:divBdr>
        </w:div>
        <w:div w:id="2034960718">
          <w:marLeft w:val="0"/>
          <w:marRight w:val="0"/>
          <w:marTop w:val="120"/>
          <w:marBottom w:val="0"/>
          <w:divBdr>
            <w:top w:val="none" w:sz="0" w:space="0" w:color="auto"/>
            <w:left w:val="none" w:sz="0" w:space="0" w:color="auto"/>
            <w:bottom w:val="none" w:sz="0" w:space="0" w:color="auto"/>
            <w:right w:val="none" w:sz="0" w:space="0" w:color="auto"/>
          </w:divBdr>
        </w:div>
        <w:div w:id="1937859556">
          <w:marLeft w:val="0"/>
          <w:marRight w:val="0"/>
          <w:marTop w:val="120"/>
          <w:marBottom w:val="0"/>
          <w:divBdr>
            <w:top w:val="none" w:sz="0" w:space="0" w:color="auto"/>
            <w:left w:val="none" w:sz="0" w:space="0" w:color="auto"/>
            <w:bottom w:val="none" w:sz="0" w:space="0" w:color="auto"/>
            <w:right w:val="none" w:sz="0" w:space="0" w:color="auto"/>
          </w:divBdr>
        </w:div>
        <w:div w:id="1084843617">
          <w:marLeft w:val="0"/>
          <w:marRight w:val="0"/>
          <w:marTop w:val="120"/>
          <w:marBottom w:val="0"/>
          <w:divBdr>
            <w:top w:val="none" w:sz="0" w:space="0" w:color="auto"/>
            <w:left w:val="none" w:sz="0" w:space="0" w:color="auto"/>
            <w:bottom w:val="none" w:sz="0" w:space="0" w:color="auto"/>
            <w:right w:val="none" w:sz="0" w:space="0" w:color="auto"/>
          </w:divBdr>
        </w:div>
        <w:div w:id="1057899196">
          <w:marLeft w:val="0"/>
          <w:marRight w:val="0"/>
          <w:marTop w:val="120"/>
          <w:marBottom w:val="0"/>
          <w:divBdr>
            <w:top w:val="none" w:sz="0" w:space="0" w:color="auto"/>
            <w:left w:val="none" w:sz="0" w:space="0" w:color="auto"/>
            <w:bottom w:val="none" w:sz="0" w:space="0" w:color="auto"/>
            <w:right w:val="none" w:sz="0" w:space="0" w:color="auto"/>
          </w:divBdr>
        </w:div>
        <w:div w:id="998927994">
          <w:marLeft w:val="0"/>
          <w:marRight w:val="0"/>
          <w:marTop w:val="120"/>
          <w:marBottom w:val="0"/>
          <w:divBdr>
            <w:top w:val="none" w:sz="0" w:space="0" w:color="auto"/>
            <w:left w:val="none" w:sz="0" w:space="0" w:color="auto"/>
            <w:bottom w:val="none" w:sz="0" w:space="0" w:color="auto"/>
            <w:right w:val="none" w:sz="0" w:space="0" w:color="auto"/>
          </w:divBdr>
        </w:div>
        <w:div w:id="1644240430">
          <w:marLeft w:val="0"/>
          <w:marRight w:val="0"/>
          <w:marTop w:val="240"/>
          <w:marBottom w:val="24"/>
          <w:divBdr>
            <w:top w:val="single" w:sz="8" w:space="2" w:color="808080"/>
            <w:left w:val="none" w:sz="0" w:space="0" w:color="auto"/>
            <w:bottom w:val="none" w:sz="0" w:space="0" w:color="auto"/>
            <w:right w:val="none" w:sz="0" w:space="0" w:color="auto"/>
          </w:divBdr>
        </w:div>
        <w:div w:id="1327392419">
          <w:marLeft w:val="0"/>
          <w:marRight w:val="0"/>
          <w:marTop w:val="120"/>
          <w:marBottom w:val="0"/>
          <w:divBdr>
            <w:top w:val="none" w:sz="0" w:space="0" w:color="auto"/>
            <w:left w:val="none" w:sz="0" w:space="0" w:color="auto"/>
            <w:bottom w:val="none" w:sz="0" w:space="0" w:color="auto"/>
            <w:right w:val="none" w:sz="0" w:space="0" w:color="auto"/>
          </w:divBdr>
        </w:div>
        <w:div w:id="648293336">
          <w:marLeft w:val="0"/>
          <w:marRight w:val="0"/>
          <w:marTop w:val="120"/>
          <w:marBottom w:val="0"/>
          <w:divBdr>
            <w:top w:val="none" w:sz="0" w:space="0" w:color="auto"/>
            <w:left w:val="none" w:sz="0" w:space="0" w:color="auto"/>
            <w:bottom w:val="none" w:sz="0" w:space="0" w:color="auto"/>
            <w:right w:val="none" w:sz="0" w:space="0" w:color="auto"/>
          </w:divBdr>
        </w:div>
        <w:div w:id="566645009">
          <w:marLeft w:val="0"/>
          <w:marRight w:val="0"/>
          <w:marTop w:val="120"/>
          <w:marBottom w:val="0"/>
          <w:divBdr>
            <w:top w:val="none" w:sz="0" w:space="0" w:color="auto"/>
            <w:left w:val="none" w:sz="0" w:space="0" w:color="auto"/>
            <w:bottom w:val="none" w:sz="0" w:space="0" w:color="auto"/>
            <w:right w:val="none" w:sz="0" w:space="0" w:color="auto"/>
          </w:divBdr>
        </w:div>
        <w:div w:id="349796118">
          <w:marLeft w:val="567"/>
          <w:marRight w:val="0"/>
          <w:marTop w:val="60"/>
          <w:marBottom w:val="0"/>
          <w:divBdr>
            <w:top w:val="none" w:sz="0" w:space="0" w:color="auto"/>
            <w:left w:val="none" w:sz="0" w:space="0" w:color="auto"/>
            <w:bottom w:val="none" w:sz="0" w:space="0" w:color="auto"/>
            <w:right w:val="none" w:sz="0" w:space="0" w:color="auto"/>
          </w:divBdr>
        </w:div>
        <w:div w:id="532959071">
          <w:marLeft w:val="0"/>
          <w:marRight w:val="0"/>
          <w:marTop w:val="120"/>
          <w:marBottom w:val="0"/>
          <w:divBdr>
            <w:top w:val="none" w:sz="0" w:space="0" w:color="auto"/>
            <w:left w:val="none" w:sz="0" w:space="0" w:color="auto"/>
            <w:bottom w:val="none" w:sz="0" w:space="0" w:color="auto"/>
            <w:right w:val="none" w:sz="0" w:space="0" w:color="auto"/>
          </w:divBdr>
        </w:div>
        <w:div w:id="452604470">
          <w:marLeft w:val="0"/>
          <w:marRight w:val="0"/>
          <w:marTop w:val="120"/>
          <w:marBottom w:val="0"/>
          <w:divBdr>
            <w:top w:val="none" w:sz="0" w:space="0" w:color="auto"/>
            <w:left w:val="none" w:sz="0" w:space="0" w:color="auto"/>
            <w:bottom w:val="none" w:sz="0" w:space="0" w:color="auto"/>
            <w:right w:val="none" w:sz="0" w:space="0" w:color="auto"/>
          </w:divBdr>
        </w:div>
        <w:div w:id="1567957029">
          <w:marLeft w:val="1134"/>
          <w:marRight w:val="0"/>
          <w:marTop w:val="60"/>
          <w:marBottom w:val="0"/>
          <w:divBdr>
            <w:top w:val="none" w:sz="0" w:space="0" w:color="auto"/>
            <w:left w:val="none" w:sz="0" w:space="0" w:color="auto"/>
            <w:bottom w:val="none" w:sz="0" w:space="0" w:color="auto"/>
            <w:right w:val="none" w:sz="0" w:space="0" w:color="auto"/>
          </w:divBdr>
        </w:div>
        <w:div w:id="870998575">
          <w:marLeft w:val="1134"/>
          <w:marRight w:val="0"/>
          <w:marTop w:val="60"/>
          <w:marBottom w:val="0"/>
          <w:divBdr>
            <w:top w:val="none" w:sz="0" w:space="0" w:color="auto"/>
            <w:left w:val="none" w:sz="0" w:space="0" w:color="auto"/>
            <w:bottom w:val="none" w:sz="0" w:space="0" w:color="auto"/>
            <w:right w:val="none" w:sz="0" w:space="0" w:color="auto"/>
          </w:divBdr>
        </w:div>
        <w:div w:id="1044524261">
          <w:marLeft w:val="1871"/>
          <w:marRight w:val="0"/>
          <w:marTop w:val="120"/>
          <w:marBottom w:val="0"/>
          <w:divBdr>
            <w:top w:val="none" w:sz="0" w:space="0" w:color="auto"/>
            <w:left w:val="none" w:sz="0" w:space="0" w:color="auto"/>
            <w:bottom w:val="none" w:sz="0" w:space="0" w:color="auto"/>
            <w:right w:val="none" w:sz="0" w:space="0" w:color="auto"/>
          </w:divBdr>
        </w:div>
        <w:div w:id="1890412261">
          <w:marLeft w:val="2552"/>
          <w:marRight w:val="0"/>
          <w:marTop w:val="120"/>
          <w:marBottom w:val="0"/>
          <w:divBdr>
            <w:top w:val="none" w:sz="0" w:space="0" w:color="auto"/>
            <w:left w:val="none" w:sz="0" w:space="0" w:color="auto"/>
            <w:bottom w:val="none" w:sz="0" w:space="0" w:color="auto"/>
            <w:right w:val="none" w:sz="0" w:space="0" w:color="auto"/>
          </w:divBdr>
        </w:div>
        <w:div w:id="31879745">
          <w:marLeft w:val="2552"/>
          <w:marRight w:val="0"/>
          <w:marTop w:val="120"/>
          <w:marBottom w:val="0"/>
          <w:divBdr>
            <w:top w:val="none" w:sz="0" w:space="0" w:color="auto"/>
            <w:left w:val="none" w:sz="0" w:space="0" w:color="auto"/>
            <w:bottom w:val="none" w:sz="0" w:space="0" w:color="auto"/>
            <w:right w:val="none" w:sz="0" w:space="0" w:color="auto"/>
          </w:divBdr>
        </w:div>
        <w:div w:id="1306858877">
          <w:marLeft w:val="0"/>
          <w:marRight w:val="0"/>
          <w:marTop w:val="240"/>
          <w:marBottom w:val="24"/>
          <w:divBdr>
            <w:top w:val="single" w:sz="8" w:space="2" w:color="808080"/>
            <w:left w:val="none" w:sz="0" w:space="0" w:color="auto"/>
            <w:bottom w:val="none" w:sz="0" w:space="0" w:color="auto"/>
            <w:right w:val="none" w:sz="0" w:space="0" w:color="auto"/>
          </w:divBdr>
        </w:div>
        <w:div w:id="1872641996">
          <w:marLeft w:val="0"/>
          <w:marRight w:val="0"/>
          <w:marTop w:val="120"/>
          <w:marBottom w:val="0"/>
          <w:divBdr>
            <w:top w:val="none" w:sz="0" w:space="0" w:color="auto"/>
            <w:left w:val="none" w:sz="0" w:space="0" w:color="auto"/>
            <w:bottom w:val="none" w:sz="0" w:space="0" w:color="auto"/>
            <w:right w:val="none" w:sz="0" w:space="0" w:color="auto"/>
          </w:divBdr>
        </w:div>
        <w:div w:id="368379118">
          <w:marLeft w:val="1871"/>
          <w:marRight w:val="0"/>
          <w:marTop w:val="120"/>
          <w:marBottom w:val="0"/>
          <w:divBdr>
            <w:top w:val="none" w:sz="0" w:space="0" w:color="auto"/>
            <w:left w:val="none" w:sz="0" w:space="0" w:color="auto"/>
            <w:bottom w:val="none" w:sz="0" w:space="0" w:color="auto"/>
            <w:right w:val="none" w:sz="0" w:space="0" w:color="auto"/>
          </w:divBdr>
        </w:div>
        <w:div w:id="599071393">
          <w:marLeft w:val="0"/>
          <w:marRight w:val="0"/>
          <w:marTop w:val="120"/>
          <w:marBottom w:val="0"/>
          <w:divBdr>
            <w:top w:val="none" w:sz="0" w:space="0" w:color="auto"/>
            <w:left w:val="none" w:sz="0" w:space="0" w:color="auto"/>
            <w:bottom w:val="none" w:sz="0" w:space="0" w:color="auto"/>
            <w:right w:val="none" w:sz="0" w:space="0" w:color="auto"/>
          </w:divBdr>
        </w:div>
        <w:div w:id="784614801">
          <w:marLeft w:val="0"/>
          <w:marRight w:val="0"/>
          <w:marTop w:val="120"/>
          <w:marBottom w:val="0"/>
          <w:divBdr>
            <w:top w:val="none" w:sz="0" w:space="0" w:color="auto"/>
            <w:left w:val="none" w:sz="0" w:space="0" w:color="auto"/>
            <w:bottom w:val="none" w:sz="0" w:space="0" w:color="auto"/>
            <w:right w:val="none" w:sz="0" w:space="0" w:color="auto"/>
          </w:divBdr>
        </w:div>
        <w:div w:id="1846628877">
          <w:marLeft w:val="0"/>
          <w:marRight w:val="0"/>
          <w:marTop w:val="120"/>
          <w:marBottom w:val="0"/>
          <w:divBdr>
            <w:top w:val="none" w:sz="0" w:space="0" w:color="auto"/>
            <w:left w:val="none" w:sz="0" w:space="0" w:color="auto"/>
            <w:bottom w:val="none" w:sz="0" w:space="0" w:color="auto"/>
            <w:right w:val="none" w:sz="0" w:space="0" w:color="auto"/>
          </w:divBdr>
        </w:div>
        <w:div w:id="1692027587">
          <w:marLeft w:val="0"/>
          <w:marRight w:val="0"/>
          <w:marTop w:val="120"/>
          <w:marBottom w:val="0"/>
          <w:divBdr>
            <w:top w:val="none" w:sz="0" w:space="0" w:color="auto"/>
            <w:left w:val="none" w:sz="0" w:space="0" w:color="auto"/>
            <w:bottom w:val="none" w:sz="0" w:space="0" w:color="auto"/>
            <w:right w:val="none" w:sz="0" w:space="0" w:color="auto"/>
          </w:divBdr>
        </w:div>
        <w:div w:id="773981495">
          <w:marLeft w:val="0"/>
          <w:marRight w:val="0"/>
          <w:marTop w:val="120"/>
          <w:marBottom w:val="0"/>
          <w:divBdr>
            <w:top w:val="none" w:sz="0" w:space="0" w:color="auto"/>
            <w:left w:val="none" w:sz="0" w:space="0" w:color="auto"/>
            <w:bottom w:val="none" w:sz="0" w:space="0" w:color="auto"/>
            <w:right w:val="none" w:sz="0" w:space="0" w:color="auto"/>
          </w:divBdr>
        </w:div>
        <w:div w:id="665403419">
          <w:marLeft w:val="0"/>
          <w:marRight w:val="0"/>
          <w:marTop w:val="120"/>
          <w:marBottom w:val="0"/>
          <w:divBdr>
            <w:top w:val="none" w:sz="0" w:space="0" w:color="auto"/>
            <w:left w:val="none" w:sz="0" w:space="0" w:color="auto"/>
            <w:bottom w:val="none" w:sz="0" w:space="0" w:color="auto"/>
            <w:right w:val="none" w:sz="0" w:space="0" w:color="auto"/>
          </w:divBdr>
        </w:div>
        <w:div w:id="1759522015">
          <w:marLeft w:val="0"/>
          <w:marRight w:val="0"/>
          <w:marTop w:val="120"/>
          <w:marBottom w:val="0"/>
          <w:divBdr>
            <w:top w:val="none" w:sz="0" w:space="0" w:color="auto"/>
            <w:left w:val="none" w:sz="0" w:space="0" w:color="auto"/>
            <w:bottom w:val="none" w:sz="0" w:space="0" w:color="auto"/>
            <w:right w:val="none" w:sz="0" w:space="0" w:color="auto"/>
          </w:divBdr>
        </w:div>
        <w:div w:id="1995256111">
          <w:marLeft w:val="0"/>
          <w:marRight w:val="0"/>
          <w:marTop w:val="120"/>
          <w:marBottom w:val="0"/>
          <w:divBdr>
            <w:top w:val="none" w:sz="0" w:space="0" w:color="auto"/>
            <w:left w:val="none" w:sz="0" w:space="0" w:color="auto"/>
            <w:bottom w:val="none" w:sz="0" w:space="0" w:color="auto"/>
            <w:right w:val="none" w:sz="0" w:space="0" w:color="auto"/>
          </w:divBdr>
        </w:div>
        <w:div w:id="1985768710">
          <w:marLeft w:val="0"/>
          <w:marRight w:val="0"/>
          <w:marTop w:val="240"/>
          <w:marBottom w:val="24"/>
          <w:divBdr>
            <w:top w:val="single" w:sz="8" w:space="2" w:color="808080"/>
            <w:left w:val="none" w:sz="0" w:space="0" w:color="auto"/>
            <w:bottom w:val="none" w:sz="0" w:space="0" w:color="auto"/>
            <w:right w:val="none" w:sz="0" w:space="0" w:color="auto"/>
          </w:divBdr>
        </w:div>
        <w:div w:id="487937752">
          <w:marLeft w:val="0"/>
          <w:marRight w:val="0"/>
          <w:marTop w:val="120"/>
          <w:marBottom w:val="0"/>
          <w:divBdr>
            <w:top w:val="none" w:sz="0" w:space="0" w:color="auto"/>
            <w:left w:val="none" w:sz="0" w:space="0" w:color="auto"/>
            <w:bottom w:val="none" w:sz="0" w:space="0" w:color="auto"/>
            <w:right w:val="none" w:sz="0" w:space="0" w:color="auto"/>
          </w:divBdr>
        </w:div>
        <w:div w:id="959923449">
          <w:marLeft w:val="0"/>
          <w:marRight w:val="0"/>
          <w:marTop w:val="120"/>
          <w:marBottom w:val="0"/>
          <w:divBdr>
            <w:top w:val="none" w:sz="0" w:space="0" w:color="auto"/>
            <w:left w:val="none" w:sz="0" w:space="0" w:color="auto"/>
            <w:bottom w:val="none" w:sz="0" w:space="0" w:color="auto"/>
            <w:right w:val="none" w:sz="0" w:space="0" w:color="auto"/>
          </w:divBdr>
        </w:div>
        <w:div w:id="647050210">
          <w:marLeft w:val="0"/>
          <w:marRight w:val="0"/>
          <w:marTop w:val="120"/>
          <w:marBottom w:val="0"/>
          <w:divBdr>
            <w:top w:val="none" w:sz="0" w:space="0" w:color="auto"/>
            <w:left w:val="none" w:sz="0" w:space="0" w:color="auto"/>
            <w:bottom w:val="none" w:sz="0" w:space="0" w:color="auto"/>
            <w:right w:val="none" w:sz="0" w:space="0" w:color="auto"/>
          </w:divBdr>
        </w:div>
        <w:div w:id="2077581123">
          <w:marLeft w:val="1134"/>
          <w:marRight w:val="0"/>
          <w:marTop w:val="60"/>
          <w:marBottom w:val="0"/>
          <w:divBdr>
            <w:top w:val="none" w:sz="0" w:space="0" w:color="auto"/>
            <w:left w:val="none" w:sz="0" w:space="0" w:color="auto"/>
            <w:bottom w:val="none" w:sz="0" w:space="0" w:color="auto"/>
            <w:right w:val="none" w:sz="0" w:space="0" w:color="auto"/>
          </w:divBdr>
        </w:div>
        <w:div w:id="874929402">
          <w:marLeft w:val="1871"/>
          <w:marRight w:val="0"/>
          <w:marTop w:val="120"/>
          <w:marBottom w:val="0"/>
          <w:divBdr>
            <w:top w:val="none" w:sz="0" w:space="0" w:color="auto"/>
            <w:left w:val="none" w:sz="0" w:space="0" w:color="auto"/>
            <w:bottom w:val="none" w:sz="0" w:space="0" w:color="auto"/>
            <w:right w:val="none" w:sz="0" w:space="0" w:color="auto"/>
          </w:divBdr>
        </w:div>
        <w:div w:id="370955769">
          <w:marLeft w:val="1871"/>
          <w:marRight w:val="0"/>
          <w:marTop w:val="120"/>
          <w:marBottom w:val="0"/>
          <w:divBdr>
            <w:top w:val="none" w:sz="0" w:space="0" w:color="auto"/>
            <w:left w:val="none" w:sz="0" w:space="0" w:color="auto"/>
            <w:bottom w:val="none" w:sz="0" w:space="0" w:color="auto"/>
            <w:right w:val="none" w:sz="0" w:space="0" w:color="auto"/>
          </w:divBdr>
        </w:div>
        <w:div w:id="1494829881">
          <w:marLeft w:val="1871"/>
          <w:marRight w:val="0"/>
          <w:marTop w:val="120"/>
          <w:marBottom w:val="0"/>
          <w:divBdr>
            <w:top w:val="none" w:sz="0" w:space="0" w:color="auto"/>
            <w:left w:val="none" w:sz="0" w:space="0" w:color="auto"/>
            <w:bottom w:val="none" w:sz="0" w:space="0" w:color="auto"/>
            <w:right w:val="none" w:sz="0" w:space="0" w:color="auto"/>
          </w:divBdr>
        </w:div>
        <w:div w:id="1829512730">
          <w:marLeft w:val="1871"/>
          <w:marRight w:val="0"/>
          <w:marTop w:val="120"/>
          <w:marBottom w:val="0"/>
          <w:divBdr>
            <w:top w:val="none" w:sz="0" w:space="0" w:color="auto"/>
            <w:left w:val="none" w:sz="0" w:space="0" w:color="auto"/>
            <w:bottom w:val="none" w:sz="0" w:space="0" w:color="auto"/>
            <w:right w:val="none" w:sz="0" w:space="0" w:color="auto"/>
          </w:divBdr>
        </w:div>
        <w:div w:id="1223636188">
          <w:marLeft w:val="1871"/>
          <w:marRight w:val="0"/>
          <w:marTop w:val="120"/>
          <w:marBottom w:val="0"/>
          <w:divBdr>
            <w:top w:val="none" w:sz="0" w:space="0" w:color="auto"/>
            <w:left w:val="none" w:sz="0" w:space="0" w:color="auto"/>
            <w:bottom w:val="none" w:sz="0" w:space="0" w:color="auto"/>
            <w:right w:val="none" w:sz="0" w:space="0" w:color="auto"/>
          </w:divBdr>
        </w:div>
        <w:div w:id="1961372340">
          <w:marLeft w:val="1134"/>
          <w:marRight w:val="0"/>
          <w:marTop w:val="60"/>
          <w:marBottom w:val="0"/>
          <w:divBdr>
            <w:top w:val="none" w:sz="0" w:space="0" w:color="auto"/>
            <w:left w:val="none" w:sz="0" w:space="0" w:color="auto"/>
            <w:bottom w:val="none" w:sz="0" w:space="0" w:color="auto"/>
            <w:right w:val="none" w:sz="0" w:space="0" w:color="auto"/>
          </w:divBdr>
        </w:div>
        <w:div w:id="1220482099">
          <w:marLeft w:val="0"/>
          <w:marRight w:val="0"/>
          <w:marTop w:val="120"/>
          <w:marBottom w:val="0"/>
          <w:divBdr>
            <w:top w:val="none" w:sz="0" w:space="0" w:color="auto"/>
            <w:left w:val="none" w:sz="0" w:space="0" w:color="auto"/>
            <w:bottom w:val="none" w:sz="0" w:space="0" w:color="auto"/>
            <w:right w:val="none" w:sz="0" w:space="0" w:color="auto"/>
          </w:divBdr>
        </w:div>
        <w:div w:id="1701398306">
          <w:marLeft w:val="567"/>
          <w:marRight w:val="0"/>
          <w:marTop w:val="60"/>
          <w:marBottom w:val="0"/>
          <w:divBdr>
            <w:top w:val="none" w:sz="0" w:space="0" w:color="auto"/>
            <w:left w:val="none" w:sz="0" w:space="0" w:color="auto"/>
            <w:bottom w:val="none" w:sz="0" w:space="0" w:color="auto"/>
            <w:right w:val="none" w:sz="0" w:space="0" w:color="auto"/>
          </w:divBdr>
        </w:div>
        <w:div w:id="2051803071">
          <w:marLeft w:val="0"/>
          <w:marRight w:val="0"/>
          <w:marTop w:val="240"/>
          <w:marBottom w:val="24"/>
          <w:divBdr>
            <w:top w:val="single" w:sz="8" w:space="2" w:color="808080"/>
            <w:left w:val="none" w:sz="0" w:space="0" w:color="auto"/>
            <w:bottom w:val="none" w:sz="0" w:space="0" w:color="auto"/>
            <w:right w:val="none" w:sz="0" w:space="0" w:color="auto"/>
          </w:divBdr>
        </w:div>
        <w:div w:id="621573026">
          <w:marLeft w:val="0"/>
          <w:marRight w:val="0"/>
          <w:marTop w:val="120"/>
          <w:marBottom w:val="0"/>
          <w:divBdr>
            <w:top w:val="none" w:sz="0" w:space="0" w:color="auto"/>
            <w:left w:val="none" w:sz="0" w:space="0" w:color="auto"/>
            <w:bottom w:val="none" w:sz="0" w:space="0" w:color="auto"/>
            <w:right w:val="none" w:sz="0" w:space="0" w:color="auto"/>
          </w:divBdr>
        </w:div>
        <w:div w:id="1227567440">
          <w:marLeft w:val="567"/>
          <w:marRight w:val="0"/>
          <w:marTop w:val="60"/>
          <w:marBottom w:val="0"/>
          <w:divBdr>
            <w:top w:val="none" w:sz="0" w:space="0" w:color="auto"/>
            <w:left w:val="none" w:sz="0" w:space="0" w:color="auto"/>
            <w:bottom w:val="none" w:sz="0" w:space="0" w:color="auto"/>
            <w:right w:val="none" w:sz="0" w:space="0" w:color="auto"/>
          </w:divBdr>
        </w:div>
        <w:div w:id="1515073218">
          <w:marLeft w:val="567"/>
          <w:marRight w:val="0"/>
          <w:marTop w:val="60"/>
          <w:marBottom w:val="0"/>
          <w:divBdr>
            <w:top w:val="none" w:sz="0" w:space="0" w:color="auto"/>
            <w:left w:val="none" w:sz="0" w:space="0" w:color="auto"/>
            <w:bottom w:val="none" w:sz="0" w:space="0" w:color="auto"/>
            <w:right w:val="none" w:sz="0" w:space="0" w:color="auto"/>
          </w:divBdr>
        </w:div>
        <w:div w:id="1409572140">
          <w:marLeft w:val="567"/>
          <w:marRight w:val="0"/>
          <w:marTop w:val="60"/>
          <w:marBottom w:val="0"/>
          <w:divBdr>
            <w:top w:val="none" w:sz="0" w:space="0" w:color="auto"/>
            <w:left w:val="none" w:sz="0" w:space="0" w:color="auto"/>
            <w:bottom w:val="none" w:sz="0" w:space="0" w:color="auto"/>
            <w:right w:val="none" w:sz="0" w:space="0" w:color="auto"/>
          </w:divBdr>
        </w:div>
        <w:div w:id="2090887873">
          <w:marLeft w:val="0"/>
          <w:marRight w:val="0"/>
          <w:marTop w:val="120"/>
          <w:marBottom w:val="0"/>
          <w:divBdr>
            <w:top w:val="none" w:sz="0" w:space="0" w:color="auto"/>
            <w:left w:val="none" w:sz="0" w:space="0" w:color="auto"/>
            <w:bottom w:val="none" w:sz="0" w:space="0" w:color="auto"/>
            <w:right w:val="none" w:sz="0" w:space="0" w:color="auto"/>
          </w:divBdr>
        </w:div>
        <w:div w:id="509104175">
          <w:marLeft w:val="0"/>
          <w:marRight w:val="0"/>
          <w:marTop w:val="120"/>
          <w:marBottom w:val="0"/>
          <w:divBdr>
            <w:top w:val="none" w:sz="0" w:space="0" w:color="auto"/>
            <w:left w:val="none" w:sz="0" w:space="0" w:color="auto"/>
            <w:bottom w:val="none" w:sz="0" w:space="0" w:color="auto"/>
            <w:right w:val="none" w:sz="0" w:space="0" w:color="auto"/>
          </w:divBdr>
        </w:div>
        <w:div w:id="1142385747">
          <w:marLeft w:val="0"/>
          <w:marRight w:val="0"/>
          <w:marTop w:val="120"/>
          <w:marBottom w:val="0"/>
          <w:divBdr>
            <w:top w:val="none" w:sz="0" w:space="0" w:color="auto"/>
            <w:left w:val="none" w:sz="0" w:space="0" w:color="auto"/>
            <w:bottom w:val="none" w:sz="0" w:space="0" w:color="auto"/>
            <w:right w:val="none" w:sz="0" w:space="0" w:color="auto"/>
          </w:divBdr>
        </w:div>
        <w:div w:id="1515458153">
          <w:marLeft w:val="0"/>
          <w:marRight w:val="0"/>
          <w:marTop w:val="240"/>
          <w:marBottom w:val="24"/>
          <w:divBdr>
            <w:top w:val="single" w:sz="8" w:space="2" w:color="808080"/>
            <w:left w:val="none" w:sz="0" w:space="0" w:color="auto"/>
            <w:bottom w:val="none" w:sz="0" w:space="0" w:color="auto"/>
            <w:right w:val="none" w:sz="0" w:space="0" w:color="auto"/>
          </w:divBdr>
        </w:div>
        <w:div w:id="1325234158">
          <w:marLeft w:val="0"/>
          <w:marRight w:val="0"/>
          <w:marTop w:val="120"/>
          <w:marBottom w:val="0"/>
          <w:divBdr>
            <w:top w:val="none" w:sz="0" w:space="0" w:color="auto"/>
            <w:left w:val="none" w:sz="0" w:space="0" w:color="auto"/>
            <w:bottom w:val="none" w:sz="0" w:space="0" w:color="auto"/>
            <w:right w:val="none" w:sz="0" w:space="0" w:color="auto"/>
          </w:divBdr>
        </w:div>
        <w:div w:id="366568508">
          <w:marLeft w:val="0"/>
          <w:marRight w:val="0"/>
          <w:marTop w:val="120"/>
          <w:marBottom w:val="0"/>
          <w:divBdr>
            <w:top w:val="none" w:sz="0" w:space="0" w:color="auto"/>
            <w:left w:val="none" w:sz="0" w:space="0" w:color="auto"/>
            <w:bottom w:val="none" w:sz="0" w:space="0" w:color="auto"/>
            <w:right w:val="none" w:sz="0" w:space="0" w:color="auto"/>
          </w:divBdr>
        </w:div>
        <w:div w:id="7488161">
          <w:marLeft w:val="0"/>
          <w:marRight w:val="0"/>
          <w:marTop w:val="120"/>
          <w:marBottom w:val="0"/>
          <w:divBdr>
            <w:top w:val="none" w:sz="0" w:space="0" w:color="auto"/>
            <w:left w:val="none" w:sz="0" w:space="0" w:color="auto"/>
            <w:bottom w:val="none" w:sz="0" w:space="0" w:color="auto"/>
            <w:right w:val="none" w:sz="0" w:space="0" w:color="auto"/>
          </w:divBdr>
        </w:div>
        <w:div w:id="963929186">
          <w:marLeft w:val="567"/>
          <w:marRight w:val="0"/>
          <w:marTop w:val="60"/>
          <w:marBottom w:val="0"/>
          <w:divBdr>
            <w:top w:val="none" w:sz="0" w:space="0" w:color="auto"/>
            <w:left w:val="none" w:sz="0" w:space="0" w:color="auto"/>
            <w:bottom w:val="none" w:sz="0" w:space="0" w:color="auto"/>
            <w:right w:val="none" w:sz="0" w:space="0" w:color="auto"/>
          </w:divBdr>
        </w:div>
        <w:div w:id="724764964">
          <w:marLeft w:val="0"/>
          <w:marRight w:val="0"/>
          <w:marTop w:val="120"/>
          <w:marBottom w:val="0"/>
          <w:divBdr>
            <w:top w:val="none" w:sz="0" w:space="0" w:color="auto"/>
            <w:left w:val="none" w:sz="0" w:space="0" w:color="auto"/>
            <w:bottom w:val="none" w:sz="0" w:space="0" w:color="auto"/>
            <w:right w:val="none" w:sz="0" w:space="0" w:color="auto"/>
          </w:divBdr>
        </w:div>
        <w:div w:id="709956513">
          <w:marLeft w:val="0"/>
          <w:marRight w:val="0"/>
          <w:marTop w:val="240"/>
          <w:marBottom w:val="24"/>
          <w:divBdr>
            <w:top w:val="single" w:sz="8" w:space="2" w:color="808080"/>
            <w:left w:val="none" w:sz="0" w:space="0" w:color="auto"/>
            <w:bottom w:val="none" w:sz="0" w:space="0" w:color="auto"/>
            <w:right w:val="none" w:sz="0" w:space="0" w:color="auto"/>
          </w:divBdr>
        </w:div>
        <w:div w:id="85924646">
          <w:marLeft w:val="0"/>
          <w:marRight w:val="0"/>
          <w:marTop w:val="120"/>
          <w:marBottom w:val="0"/>
          <w:divBdr>
            <w:top w:val="none" w:sz="0" w:space="0" w:color="auto"/>
            <w:left w:val="none" w:sz="0" w:space="0" w:color="auto"/>
            <w:bottom w:val="none" w:sz="0" w:space="0" w:color="auto"/>
            <w:right w:val="none" w:sz="0" w:space="0" w:color="auto"/>
          </w:divBdr>
        </w:div>
        <w:div w:id="236329926">
          <w:marLeft w:val="0"/>
          <w:marRight w:val="0"/>
          <w:marTop w:val="120"/>
          <w:marBottom w:val="0"/>
          <w:divBdr>
            <w:top w:val="none" w:sz="0" w:space="0" w:color="auto"/>
            <w:left w:val="none" w:sz="0" w:space="0" w:color="auto"/>
            <w:bottom w:val="none" w:sz="0" w:space="0" w:color="auto"/>
            <w:right w:val="none" w:sz="0" w:space="0" w:color="auto"/>
          </w:divBdr>
        </w:div>
        <w:div w:id="441994199">
          <w:marLeft w:val="0"/>
          <w:marRight w:val="0"/>
          <w:marTop w:val="120"/>
          <w:marBottom w:val="0"/>
          <w:divBdr>
            <w:top w:val="none" w:sz="0" w:space="0" w:color="auto"/>
            <w:left w:val="none" w:sz="0" w:space="0" w:color="auto"/>
            <w:bottom w:val="none" w:sz="0" w:space="0" w:color="auto"/>
            <w:right w:val="none" w:sz="0" w:space="0" w:color="auto"/>
          </w:divBdr>
        </w:div>
        <w:div w:id="632365812">
          <w:marLeft w:val="567"/>
          <w:marRight w:val="0"/>
          <w:marTop w:val="60"/>
          <w:marBottom w:val="0"/>
          <w:divBdr>
            <w:top w:val="none" w:sz="0" w:space="0" w:color="auto"/>
            <w:left w:val="none" w:sz="0" w:space="0" w:color="auto"/>
            <w:bottom w:val="none" w:sz="0" w:space="0" w:color="auto"/>
            <w:right w:val="none" w:sz="0" w:space="0" w:color="auto"/>
          </w:divBdr>
        </w:div>
        <w:div w:id="1865434783">
          <w:marLeft w:val="0"/>
          <w:marRight w:val="0"/>
          <w:marTop w:val="120"/>
          <w:marBottom w:val="0"/>
          <w:divBdr>
            <w:top w:val="none" w:sz="0" w:space="0" w:color="auto"/>
            <w:left w:val="none" w:sz="0" w:space="0" w:color="auto"/>
            <w:bottom w:val="none" w:sz="0" w:space="0" w:color="auto"/>
            <w:right w:val="none" w:sz="0" w:space="0" w:color="auto"/>
          </w:divBdr>
        </w:div>
        <w:div w:id="1757364965">
          <w:marLeft w:val="0"/>
          <w:marRight w:val="0"/>
          <w:marTop w:val="240"/>
          <w:marBottom w:val="24"/>
          <w:divBdr>
            <w:top w:val="single" w:sz="8" w:space="2" w:color="808080"/>
            <w:left w:val="none" w:sz="0" w:space="0" w:color="auto"/>
            <w:bottom w:val="none" w:sz="0" w:space="0" w:color="auto"/>
            <w:right w:val="none" w:sz="0" w:space="0" w:color="auto"/>
          </w:divBdr>
        </w:div>
        <w:div w:id="1906528700">
          <w:marLeft w:val="0"/>
          <w:marRight w:val="0"/>
          <w:marTop w:val="120"/>
          <w:marBottom w:val="0"/>
          <w:divBdr>
            <w:top w:val="none" w:sz="0" w:space="0" w:color="auto"/>
            <w:left w:val="none" w:sz="0" w:space="0" w:color="auto"/>
            <w:bottom w:val="none" w:sz="0" w:space="0" w:color="auto"/>
            <w:right w:val="none" w:sz="0" w:space="0" w:color="auto"/>
          </w:divBdr>
        </w:div>
        <w:div w:id="1144589865">
          <w:marLeft w:val="0"/>
          <w:marRight w:val="0"/>
          <w:marTop w:val="120"/>
          <w:marBottom w:val="0"/>
          <w:divBdr>
            <w:top w:val="none" w:sz="0" w:space="0" w:color="auto"/>
            <w:left w:val="none" w:sz="0" w:space="0" w:color="auto"/>
            <w:bottom w:val="none" w:sz="0" w:space="0" w:color="auto"/>
            <w:right w:val="none" w:sz="0" w:space="0" w:color="auto"/>
          </w:divBdr>
        </w:div>
        <w:div w:id="1319771685">
          <w:marLeft w:val="0"/>
          <w:marRight w:val="0"/>
          <w:marTop w:val="120"/>
          <w:marBottom w:val="0"/>
          <w:divBdr>
            <w:top w:val="none" w:sz="0" w:space="0" w:color="auto"/>
            <w:left w:val="none" w:sz="0" w:space="0" w:color="auto"/>
            <w:bottom w:val="none" w:sz="0" w:space="0" w:color="auto"/>
            <w:right w:val="none" w:sz="0" w:space="0" w:color="auto"/>
          </w:divBdr>
        </w:div>
        <w:div w:id="1912035309">
          <w:marLeft w:val="0"/>
          <w:marRight w:val="0"/>
          <w:marTop w:val="120"/>
          <w:marBottom w:val="0"/>
          <w:divBdr>
            <w:top w:val="none" w:sz="0" w:space="0" w:color="auto"/>
            <w:left w:val="none" w:sz="0" w:space="0" w:color="auto"/>
            <w:bottom w:val="none" w:sz="0" w:space="0" w:color="auto"/>
            <w:right w:val="none" w:sz="0" w:space="0" w:color="auto"/>
          </w:divBdr>
        </w:div>
        <w:div w:id="1207832313">
          <w:marLeft w:val="0"/>
          <w:marRight w:val="0"/>
          <w:marTop w:val="120"/>
          <w:marBottom w:val="0"/>
          <w:divBdr>
            <w:top w:val="none" w:sz="0" w:space="0" w:color="auto"/>
            <w:left w:val="none" w:sz="0" w:space="0" w:color="auto"/>
            <w:bottom w:val="none" w:sz="0" w:space="0" w:color="auto"/>
            <w:right w:val="none" w:sz="0" w:space="0" w:color="auto"/>
          </w:divBdr>
        </w:div>
        <w:div w:id="1900238434">
          <w:marLeft w:val="0"/>
          <w:marRight w:val="0"/>
          <w:marTop w:val="120"/>
          <w:marBottom w:val="0"/>
          <w:divBdr>
            <w:top w:val="none" w:sz="0" w:space="0" w:color="auto"/>
            <w:left w:val="none" w:sz="0" w:space="0" w:color="auto"/>
            <w:bottom w:val="none" w:sz="0" w:space="0" w:color="auto"/>
            <w:right w:val="none" w:sz="0" w:space="0" w:color="auto"/>
          </w:divBdr>
        </w:div>
        <w:div w:id="246885544">
          <w:marLeft w:val="0"/>
          <w:marRight w:val="0"/>
          <w:marTop w:val="240"/>
          <w:marBottom w:val="24"/>
          <w:divBdr>
            <w:top w:val="single" w:sz="8" w:space="2" w:color="808080"/>
            <w:left w:val="none" w:sz="0" w:space="0" w:color="auto"/>
            <w:bottom w:val="none" w:sz="0" w:space="0" w:color="auto"/>
            <w:right w:val="none" w:sz="0" w:space="0" w:color="auto"/>
          </w:divBdr>
        </w:div>
        <w:div w:id="941187341">
          <w:marLeft w:val="0"/>
          <w:marRight w:val="0"/>
          <w:marTop w:val="120"/>
          <w:marBottom w:val="0"/>
          <w:divBdr>
            <w:top w:val="none" w:sz="0" w:space="0" w:color="auto"/>
            <w:left w:val="none" w:sz="0" w:space="0" w:color="auto"/>
            <w:bottom w:val="none" w:sz="0" w:space="0" w:color="auto"/>
            <w:right w:val="none" w:sz="0" w:space="0" w:color="auto"/>
          </w:divBdr>
        </w:div>
        <w:div w:id="1322393119">
          <w:marLeft w:val="0"/>
          <w:marRight w:val="0"/>
          <w:marTop w:val="120"/>
          <w:marBottom w:val="0"/>
          <w:divBdr>
            <w:top w:val="none" w:sz="0" w:space="0" w:color="auto"/>
            <w:left w:val="none" w:sz="0" w:space="0" w:color="auto"/>
            <w:bottom w:val="none" w:sz="0" w:space="0" w:color="auto"/>
            <w:right w:val="none" w:sz="0" w:space="0" w:color="auto"/>
          </w:divBdr>
        </w:div>
        <w:div w:id="711685487">
          <w:marLeft w:val="0"/>
          <w:marRight w:val="0"/>
          <w:marTop w:val="120"/>
          <w:marBottom w:val="0"/>
          <w:divBdr>
            <w:top w:val="none" w:sz="0" w:space="0" w:color="auto"/>
            <w:left w:val="none" w:sz="0" w:space="0" w:color="auto"/>
            <w:bottom w:val="none" w:sz="0" w:space="0" w:color="auto"/>
            <w:right w:val="none" w:sz="0" w:space="0" w:color="auto"/>
          </w:divBdr>
        </w:div>
        <w:div w:id="1460800770">
          <w:marLeft w:val="0"/>
          <w:marRight w:val="0"/>
          <w:marTop w:val="120"/>
          <w:marBottom w:val="0"/>
          <w:divBdr>
            <w:top w:val="none" w:sz="0" w:space="0" w:color="auto"/>
            <w:left w:val="none" w:sz="0" w:space="0" w:color="auto"/>
            <w:bottom w:val="none" w:sz="0" w:space="0" w:color="auto"/>
            <w:right w:val="none" w:sz="0" w:space="0" w:color="auto"/>
          </w:divBdr>
        </w:div>
        <w:div w:id="377629717">
          <w:marLeft w:val="0"/>
          <w:marRight w:val="0"/>
          <w:marTop w:val="120"/>
          <w:marBottom w:val="0"/>
          <w:divBdr>
            <w:top w:val="none" w:sz="0" w:space="0" w:color="auto"/>
            <w:left w:val="none" w:sz="0" w:space="0" w:color="auto"/>
            <w:bottom w:val="none" w:sz="0" w:space="0" w:color="auto"/>
            <w:right w:val="none" w:sz="0" w:space="0" w:color="auto"/>
          </w:divBdr>
        </w:div>
        <w:div w:id="894849439">
          <w:marLeft w:val="567"/>
          <w:marRight w:val="0"/>
          <w:marTop w:val="60"/>
          <w:marBottom w:val="0"/>
          <w:divBdr>
            <w:top w:val="none" w:sz="0" w:space="0" w:color="auto"/>
            <w:left w:val="none" w:sz="0" w:space="0" w:color="auto"/>
            <w:bottom w:val="none" w:sz="0" w:space="0" w:color="auto"/>
            <w:right w:val="none" w:sz="0" w:space="0" w:color="auto"/>
          </w:divBdr>
        </w:div>
        <w:div w:id="1562449566">
          <w:marLeft w:val="0"/>
          <w:marRight w:val="0"/>
          <w:marTop w:val="120"/>
          <w:marBottom w:val="0"/>
          <w:divBdr>
            <w:top w:val="none" w:sz="0" w:space="0" w:color="auto"/>
            <w:left w:val="none" w:sz="0" w:space="0" w:color="auto"/>
            <w:bottom w:val="none" w:sz="0" w:space="0" w:color="auto"/>
            <w:right w:val="none" w:sz="0" w:space="0" w:color="auto"/>
          </w:divBdr>
        </w:div>
        <w:div w:id="1292595249">
          <w:marLeft w:val="0"/>
          <w:marRight w:val="0"/>
          <w:marTop w:val="240"/>
          <w:marBottom w:val="24"/>
          <w:divBdr>
            <w:top w:val="single" w:sz="8" w:space="2" w:color="808080"/>
            <w:left w:val="none" w:sz="0" w:space="0" w:color="auto"/>
            <w:bottom w:val="none" w:sz="0" w:space="0" w:color="auto"/>
            <w:right w:val="none" w:sz="0" w:space="0" w:color="auto"/>
          </w:divBdr>
        </w:div>
        <w:div w:id="952632044">
          <w:marLeft w:val="0"/>
          <w:marRight w:val="0"/>
          <w:marTop w:val="120"/>
          <w:marBottom w:val="0"/>
          <w:divBdr>
            <w:top w:val="none" w:sz="0" w:space="0" w:color="auto"/>
            <w:left w:val="none" w:sz="0" w:space="0" w:color="auto"/>
            <w:bottom w:val="none" w:sz="0" w:space="0" w:color="auto"/>
            <w:right w:val="none" w:sz="0" w:space="0" w:color="auto"/>
          </w:divBdr>
        </w:div>
        <w:div w:id="502161458">
          <w:marLeft w:val="0"/>
          <w:marRight w:val="0"/>
          <w:marTop w:val="120"/>
          <w:marBottom w:val="0"/>
          <w:divBdr>
            <w:top w:val="none" w:sz="0" w:space="0" w:color="auto"/>
            <w:left w:val="none" w:sz="0" w:space="0" w:color="auto"/>
            <w:bottom w:val="none" w:sz="0" w:space="0" w:color="auto"/>
            <w:right w:val="none" w:sz="0" w:space="0" w:color="auto"/>
          </w:divBdr>
        </w:div>
        <w:div w:id="2053725121">
          <w:marLeft w:val="0"/>
          <w:marRight w:val="0"/>
          <w:marTop w:val="120"/>
          <w:marBottom w:val="0"/>
          <w:divBdr>
            <w:top w:val="none" w:sz="0" w:space="0" w:color="auto"/>
            <w:left w:val="none" w:sz="0" w:space="0" w:color="auto"/>
            <w:bottom w:val="none" w:sz="0" w:space="0" w:color="auto"/>
            <w:right w:val="none" w:sz="0" w:space="0" w:color="auto"/>
          </w:divBdr>
        </w:div>
        <w:div w:id="811753745">
          <w:marLeft w:val="0"/>
          <w:marRight w:val="0"/>
          <w:marTop w:val="120"/>
          <w:marBottom w:val="0"/>
          <w:divBdr>
            <w:top w:val="none" w:sz="0" w:space="0" w:color="auto"/>
            <w:left w:val="none" w:sz="0" w:space="0" w:color="auto"/>
            <w:bottom w:val="none" w:sz="0" w:space="0" w:color="auto"/>
            <w:right w:val="none" w:sz="0" w:space="0" w:color="auto"/>
          </w:divBdr>
        </w:div>
        <w:div w:id="1684084406">
          <w:marLeft w:val="0"/>
          <w:marRight w:val="0"/>
          <w:marTop w:val="240"/>
          <w:marBottom w:val="24"/>
          <w:divBdr>
            <w:top w:val="single" w:sz="8" w:space="2" w:color="808080"/>
            <w:left w:val="none" w:sz="0" w:space="0" w:color="auto"/>
            <w:bottom w:val="none" w:sz="0" w:space="0" w:color="auto"/>
            <w:right w:val="none" w:sz="0" w:space="0" w:color="auto"/>
          </w:divBdr>
        </w:div>
        <w:div w:id="1390885901">
          <w:marLeft w:val="0"/>
          <w:marRight w:val="0"/>
          <w:marTop w:val="120"/>
          <w:marBottom w:val="0"/>
          <w:divBdr>
            <w:top w:val="none" w:sz="0" w:space="0" w:color="auto"/>
            <w:left w:val="none" w:sz="0" w:space="0" w:color="auto"/>
            <w:bottom w:val="none" w:sz="0" w:space="0" w:color="auto"/>
            <w:right w:val="none" w:sz="0" w:space="0" w:color="auto"/>
          </w:divBdr>
        </w:div>
        <w:div w:id="1615481476">
          <w:marLeft w:val="0"/>
          <w:marRight w:val="0"/>
          <w:marTop w:val="120"/>
          <w:marBottom w:val="0"/>
          <w:divBdr>
            <w:top w:val="none" w:sz="0" w:space="0" w:color="auto"/>
            <w:left w:val="none" w:sz="0" w:space="0" w:color="auto"/>
            <w:bottom w:val="none" w:sz="0" w:space="0" w:color="auto"/>
            <w:right w:val="none" w:sz="0" w:space="0" w:color="auto"/>
          </w:divBdr>
        </w:div>
        <w:div w:id="1387409803">
          <w:marLeft w:val="0"/>
          <w:marRight w:val="0"/>
          <w:marTop w:val="120"/>
          <w:marBottom w:val="0"/>
          <w:divBdr>
            <w:top w:val="none" w:sz="0" w:space="0" w:color="auto"/>
            <w:left w:val="none" w:sz="0" w:space="0" w:color="auto"/>
            <w:bottom w:val="none" w:sz="0" w:space="0" w:color="auto"/>
            <w:right w:val="none" w:sz="0" w:space="0" w:color="auto"/>
          </w:divBdr>
        </w:div>
        <w:div w:id="737360480">
          <w:marLeft w:val="0"/>
          <w:marRight w:val="0"/>
          <w:marTop w:val="120"/>
          <w:marBottom w:val="0"/>
          <w:divBdr>
            <w:top w:val="none" w:sz="0" w:space="0" w:color="auto"/>
            <w:left w:val="none" w:sz="0" w:space="0" w:color="auto"/>
            <w:bottom w:val="none" w:sz="0" w:space="0" w:color="auto"/>
            <w:right w:val="none" w:sz="0" w:space="0" w:color="auto"/>
          </w:divBdr>
        </w:div>
      </w:divsChild>
    </w:div>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971716403">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3366088">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278370683">
      <w:bodyDiv w:val="1"/>
      <w:marLeft w:val="0"/>
      <w:marRight w:val="0"/>
      <w:marTop w:val="0"/>
      <w:marBottom w:val="0"/>
      <w:divBdr>
        <w:top w:val="none" w:sz="0" w:space="0" w:color="auto"/>
        <w:left w:val="none" w:sz="0" w:space="0" w:color="auto"/>
        <w:bottom w:val="none" w:sz="0" w:space="0" w:color="auto"/>
        <w:right w:val="none" w:sz="0" w:space="0" w:color="auto"/>
      </w:divBdr>
      <w:divsChild>
        <w:div w:id="810514327">
          <w:marLeft w:val="0"/>
          <w:marRight w:val="0"/>
          <w:marTop w:val="120"/>
          <w:marBottom w:val="0"/>
          <w:divBdr>
            <w:top w:val="none" w:sz="0" w:space="0" w:color="auto"/>
            <w:left w:val="none" w:sz="0" w:space="0" w:color="auto"/>
            <w:bottom w:val="none" w:sz="0" w:space="0" w:color="auto"/>
            <w:right w:val="none" w:sz="0" w:space="0" w:color="auto"/>
          </w:divBdr>
        </w:div>
        <w:div w:id="2038769616">
          <w:marLeft w:val="0"/>
          <w:marRight w:val="0"/>
          <w:marTop w:val="240"/>
          <w:marBottom w:val="24"/>
          <w:divBdr>
            <w:top w:val="single" w:sz="8" w:space="2" w:color="808080"/>
            <w:left w:val="none" w:sz="0" w:space="0" w:color="auto"/>
            <w:bottom w:val="none" w:sz="0" w:space="0" w:color="auto"/>
            <w:right w:val="none" w:sz="0" w:space="0" w:color="auto"/>
          </w:divBdr>
        </w:div>
        <w:div w:id="1782262172">
          <w:marLeft w:val="0"/>
          <w:marRight w:val="0"/>
          <w:marTop w:val="120"/>
          <w:marBottom w:val="0"/>
          <w:divBdr>
            <w:top w:val="none" w:sz="0" w:space="0" w:color="auto"/>
            <w:left w:val="none" w:sz="0" w:space="0" w:color="auto"/>
            <w:bottom w:val="none" w:sz="0" w:space="0" w:color="auto"/>
            <w:right w:val="none" w:sz="0" w:space="0" w:color="auto"/>
          </w:divBdr>
        </w:div>
        <w:div w:id="1689524544">
          <w:marLeft w:val="0"/>
          <w:marRight w:val="0"/>
          <w:marTop w:val="120"/>
          <w:marBottom w:val="0"/>
          <w:divBdr>
            <w:top w:val="none" w:sz="0" w:space="0" w:color="auto"/>
            <w:left w:val="none" w:sz="0" w:space="0" w:color="auto"/>
            <w:bottom w:val="none" w:sz="0" w:space="0" w:color="auto"/>
            <w:right w:val="none" w:sz="0" w:space="0" w:color="auto"/>
          </w:divBdr>
        </w:div>
      </w:divsChild>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63841262">
      <w:bodyDiv w:val="1"/>
      <w:marLeft w:val="0"/>
      <w:marRight w:val="0"/>
      <w:marTop w:val="0"/>
      <w:marBottom w:val="0"/>
      <w:divBdr>
        <w:top w:val="none" w:sz="0" w:space="0" w:color="auto"/>
        <w:left w:val="none" w:sz="0" w:space="0" w:color="auto"/>
        <w:bottom w:val="none" w:sz="0" w:space="0" w:color="auto"/>
        <w:right w:val="none" w:sz="0" w:space="0" w:color="auto"/>
      </w:divBdr>
      <w:divsChild>
        <w:div w:id="296227827">
          <w:marLeft w:val="0"/>
          <w:marRight w:val="0"/>
          <w:marTop w:val="120"/>
          <w:marBottom w:val="0"/>
          <w:divBdr>
            <w:top w:val="none" w:sz="0" w:space="0" w:color="auto"/>
            <w:left w:val="none" w:sz="0" w:space="0" w:color="auto"/>
            <w:bottom w:val="none" w:sz="0" w:space="0" w:color="auto"/>
            <w:right w:val="none" w:sz="0" w:space="0" w:color="auto"/>
          </w:divBdr>
        </w:div>
        <w:div w:id="1473138002">
          <w:marLeft w:val="567"/>
          <w:marRight w:val="0"/>
          <w:marTop w:val="60"/>
          <w:marBottom w:val="0"/>
          <w:divBdr>
            <w:top w:val="none" w:sz="0" w:space="0" w:color="auto"/>
            <w:left w:val="none" w:sz="0" w:space="0" w:color="auto"/>
            <w:bottom w:val="none" w:sz="0" w:space="0" w:color="auto"/>
            <w:right w:val="none" w:sz="0" w:space="0" w:color="auto"/>
          </w:divBdr>
        </w:div>
      </w:divsChild>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557274794">
      <w:bodyDiv w:val="1"/>
      <w:marLeft w:val="0"/>
      <w:marRight w:val="0"/>
      <w:marTop w:val="0"/>
      <w:marBottom w:val="0"/>
      <w:divBdr>
        <w:top w:val="none" w:sz="0" w:space="0" w:color="auto"/>
        <w:left w:val="none" w:sz="0" w:space="0" w:color="auto"/>
        <w:bottom w:val="none" w:sz="0" w:space="0" w:color="auto"/>
        <w:right w:val="none" w:sz="0" w:space="0" w:color="auto"/>
      </w:divBdr>
      <w:divsChild>
        <w:div w:id="1608467355">
          <w:marLeft w:val="284"/>
          <w:marRight w:val="0"/>
          <w:marTop w:val="80"/>
          <w:marBottom w:val="0"/>
          <w:divBdr>
            <w:top w:val="none" w:sz="0" w:space="0" w:color="auto"/>
            <w:left w:val="none" w:sz="0" w:space="0" w:color="auto"/>
            <w:bottom w:val="none" w:sz="0" w:space="0" w:color="auto"/>
            <w:right w:val="none" w:sz="0" w:space="0" w:color="auto"/>
          </w:divBdr>
        </w:div>
        <w:div w:id="446044079">
          <w:marLeft w:val="1134"/>
          <w:marRight w:val="0"/>
          <w:marTop w:val="60"/>
          <w:marBottom w:val="0"/>
          <w:divBdr>
            <w:top w:val="none" w:sz="0" w:space="0" w:color="auto"/>
            <w:left w:val="none" w:sz="0" w:space="0" w:color="auto"/>
            <w:bottom w:val="none" w:sz="0" w:space="0" w:color="auto"/>
            <w:right w:val="none" w:sz="0" w:space="0" w:color="auto"/>
          </w:divBdr>
        </w:div>
        <w:div w:id="342392671">
          <w:marLeft w:val="1985"/>
          <w:marRight w:val="0"/>
          <w:marTop w:val="60"/>
          <w:marBottom w:val="0"/>
          <w:divBdr>
            <w:top w:val="none" w:sz="0" w:space="0" w:color="auto"/>
            <w:left w:val="none" w:sz="0" w:space="0" w:color="auto"/>
            <w:bottom w:val="none" w:sz="0" w:space="0" w:color="auto"/>
            <w:right w:val="none" w:sz="0" w:space="0" w:color="auto"/>
          </w:divBdr>
        </w:div>
        <w:div w:id="390810043">
          <w:marLeft w:val="1985"/>
          <w:marRight w:val="0"/>
          <w:marTop w:val="60"/>
          <w:marBottom w:val="0"/>
          <w:divBdr>
            <w:top w:val="none" w:sz="0" w:space="0" w:color="auto"/>
            <w:left w:val="none" w:sz="0" w:space="0" w:color="auto"/>
            <w:bottom w:val="none" w:sz="0" w:space="0" w:color="auto"/>
            <w:right w:val="none" w:sz="0" w:space="0" w:color="auto"/>
          </w:divBdr>
        </w:div>
        <w:div w:id="980617102">
          <w:marLeft w:val="1134"/>
          <w:marRight w:val="0"/>
          <w:marTop w:val="60"/>
          <w:marBottom w:val="0"/>
          <w:divBdr>
            <w:top w:val="none" w:sz="0" w:space="0" w:color="auto"/>
            <w:left w:val="none" w:sz="0" w:space="0" w:color="auto"/>
            <w:bottom w:val="none" w:sz="0" w:space="0" w:color="auto"/>
            <w:right w:val="none" w:sz="0" w:space="0" w:color="auto"/>
          </w:divBdr>
        </w:div>
        <w:div w:id="1753119515">
          <w:marLeft w:val="284"/>
          <w:marRight w:val="0"/>
          <w:marTop w:val="40"/>
          <w:marBottom w:val="0"/>
          <w:divBdr>
            <w:top w:val="none" w:sz="0" w:space="0" w:color="auto"/>
            <w:left w:val="none" w:sz="0" w:space="0" w:color="auto"/>
            <w:bottom w:val="none" w:sz="0" w:space="0" w:color="auto"/>
            <w:right w:val="none" w:sz="0" w:space="0" w:color="auto"/>
          </w:divBdr>
        </w:div>
      </w:divsChild>
    </w:div>
    <w:div w:id="1654337963">
      <w:bodyDiv w:val="1"/>
      <w:marLeft w:val="0"/>
      <w:marRight w:val="0"/>
      <w:marTop w:val="0"/>
      <w:marBottom w:val="0"/>
      <w:divBdr>
        <w:top w:val="none" w:sz="0" w:space="0" w:color="auto"/>
        <w:left w:val="none" w:sz="0" w:space="0" w:color="auto"/>
        <w:bottom w:val="none" w:sz="0" w:space="0" w:color="auto"/>
        <w:right w:val="none" w:sz="0" w:space="0" w:color="auto"/>
      </w:divBdr>
    </w:div>
    <w:div w:id="1812405576">
      <w:bodyDiv w:val="1"/>
      <w:marLeft w:val="0"/>
      <w:marRight w:val="0"/>
      <w:marTop w:val="0"/>
      <w:marBottom w:val="0"/>
      <w:divBdr>
        <w:top w:val="none" w:sz="0" w:space="0" w:color="auto"/>
        <w:left w:val="none" w:sz="0" w:space="0" w:color="auto"/>
        <w:bottom w:val="none" w:sz="0" w:space="0" w:color="auto"/>
        <w:right w:val="none" w:sz="0" w:space="0" w:color="auto"/>
      </w:divBdr>
      <w:divsChild>
        <w:div w:id="1671910600">
          <w:marLeft w:val="0"/>
          <w:marRight w:val="0"/>
          <w:marTop w:val="120"/>
          <w:marBottom w:val="0"/>
          <w:divBdr>
            <w:top w:val="none" w:sz="0" w:space="0" w:color="auto"/>
            <w:left w:val="none" w:sz="0" w:space="0" w:color="auto"/>
            <w:bottom w:val="none" w:sz="0" w:space="0" w:color="auto"/>
            <w:right w:val="none" w:sz="0" w:space="0" w:color="auto"/>
          </w:divBdr>
        </w:div>
        <w:div w:id="213205039">
          <w:marLeft w:val="567"/>
          <w:marRight w:val="0"/>
          <w:marTop w:val="60"/>
          <w:marBottom w:val="0"/>
          <w:divBdr>
            <w:top w:val="none" w:sz="0" w:space="0" w:color="auto"/>
            <w:left w:val="none" w:sz="0" w:space="0" w:color="auto"/>
            <w:bottom w:val="none" w:sz="0" w:space="0" w:color="auto"/>
            <w:right w:val="none" w:sz="0" w:space="0" w:color="auto"/>
          </w:divBdr>
        </w:div>
      </w:divsChild>
    </w:div>
    <w:div w:id="1886022486">
      <w:bodyDiv w:val="1"/>
      <w:marLeft w:val="0"/>
      <w:marRight w:val="0"/>
      <w:marTop w:val="0"/>
      <w:marBottom w:val="0"/>
      <w:divBdr>
        <w:top w:val="none" w:sz="0" w:space="0" w:color="auto"/>
        <w:left w:val="none" w:sz="0" w:space="0" w:color="auto"/>
        <w:bottom w:val="none" w:sz="0" w:space="0" w:color="auto"/>
        <w:right w:val="none" w:sz="0" w:space="0" w:color="auto"/>
      </w:divBdr>
      <w:divsChild>
        <w:div w:id="1903716091">
          <w:marLeft w:val="0"/>
          <w:marRight w:val="0"/>
          <w:marTop w:val="120"/>
          <w:marBottom w:val="0"/>
          <w:divBdr>
            <w:top w:val="none" w:sz="0" w:space="0" w:color="auto"/>
            <w:left w:val="none" w:sz="0" w:space="0" w:color="auto"/>
            <w:bottom w:val="none" w:sz="0" w:space="0" w:color="auto"/>
            <w:right w:val="none" w:sz="0" w:space="0" w:color="auto"/>
          </w:divBdr>
        </w:div>
        <w:div w:id="1243031621">
          <w:marLeft w:val="0"/>
          <w:marRight w:val="0"/>
          <w:marTop w:val="12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AC7A-89C3-4295-BA35-CCF3C15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TGorven@gmail.com</dc:creator>
  <cp:keywords/>
  <dc:description/>
  <cp:lastModifiedBy>Mary Bruce</cp:lastModifiedBy>
  <cp:revision>3</cp:revision>
  <cp:lastPrinted>2022-12-19T09:20:00Z</cp:lastPrinted>
  <dcterms:created xsi:type="dcterms:W3CDTF">2022-12-20T09:28:00Z</dcterms:created>
  <dcterms:modified xsi:type="dcterms:W3CDTF">2022-12-20T11:23:00Z</dcterms:modified>
</cp:coreProperties>
</file>