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2B3B9" w14:textId="2EE92ACB" w:rsidR="0010252F" w:rsidRPr="00D566A3" w:rsidRDefault="007F35B8" w:rsidP="00160240">
      <w:pPr>
        <w:rPr>
          <w:b/>
          <w:bCs/>
          <w:sz w:val="28"/>
          <w:szCs w:val="28"/>
        </w:rPr>
      </w:pPr>
      <w:r w:rsidRPr="00D566A3">
        <w:rPr>
          <w:noProof/>
          <w:sz w:val="28"/>
          <w:szCs w:val="28"/>
          <w:lang w:val="en-ZA" w:eastAsia="en-ZA"/>
        </w:rPr>
        <w:drawing>
          <wp:anchor distT="0" distB="0" distL="114300" distR="114300" simplePos="0" relativeHeight="251659264" behindDoc="0" locked="0" layoutInCell="1" allowOverlap="1" wp14:anchorId="17F6B44F" wp14:editId="4278362E">
            <wp:simplePos x="0" y="0"/>
            <wp:positionH relativeFrom="page">
              <wp:align>center</wp:align>
            </wp:positionH>
            <wp:positionV relativeFrom="paragraph">
              <wp:posOffset>305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7BB59B9E" w14:textId="77777777" w:rsidR="0010252F" w:rsidRPr="00D566A3" w:rsidRDefault="0010252F" w:rsidP="0010252F">
      <w:pPr>
        <w:jc w:val="center"/>
        <w:rPr>
          <w:b/>
          <w:bCs/>
          <w:sz w:val="28"/>
          <w:szCs w:val="28"/>
        </w:rPr>
      </w:pPr>
    </w:p>
    <w:p w14:paraId="40E00C13" w14:textId="15C03985" w:rsidR="0010252F" w:rsidRPr="00D566A3" w:rsidRDefault="0010252F" w:rsidP="0010252F">
      <w:pPr>
        <w:rPr>
          <w:b/>
          <w:bCs/>
          <w:sz w:val="28"/>
          <w:szCs w:val="28"/>
        </w:rPr>
      </w:pPr>
    </w:p>
    <w:p w14:paraId="0A6B687B" w14:textId="77777777" w:rsidR="007F35B8" w:rsidRPr="00D566A3" w:rsidRDefault="007F35B8" w:rsidP="007F35B8">
      <w:pPr>
        <w:spacing w:line="240" w:lineRule="auto"/>
        <w:rPr>
          <w:b/>
          <w:bCs/>
          <w:sz w:val="16"/>
          <w:szCs w:val="16"/>
        </w:rPr>
      </w:pPr>
    </w:p>
    <w:p w14:paraId="6E3C11F6" w14:textId="77777777" w:rsidR="0010252F" w:rsidRPr="00D566A3" w:rsidRDefault="0010252F" w:rsidP="0010252F">
      <w:pPr>
        <w:jc w:val="center"/>
        <w:rPr>
          <w:b/>
          <w:bCs/>
          <w:sz w:val="28"/>
          <w:szCs w:val="28"/>
        </w:rPr>
      </w:pPr>
      <w:r w:rsidRPr="00D566A3">
        <w:rPr>
          <w:b/>
          <w:bCs/>
          <w:sz w:val="28"/>
          <w:szCs w:val="28"/>
        </w:rPr>
        <w:t>THE SUPREME COURT OF APPEAL OF SOUTH AFRICA</w:t>
      </w:r>
    </w:p>
    <w:p w14:paraId="118A069A" w14:textId="77777777" w:rsidR="0010252F" w:rsidRPr="00D566A3" w:rsidRDefault="0010252F" w:rsidP="0010252F">
      <w:pPr>
        <w:pStyle w:val="Heading3"/>
        <w:jc w:val="center"/>
        <w:rPr>
          <w:rFonts w:ascii="Times New Roman" w:hAnsi="Times New Roman" w:cs="Times New Roman"/>
          <w:b/>
          <w:i w:val="0"/>
          <w:szCs w:val="28"/>
        </w:rPr>
      </w:pPr>
      <w:r w:rsidRPr="00D566A3">
        <w:rPr>
          <w:rFonts w:ascii="Times New Roman" w:hAnsi="Times New Roman" w:cs="Times New Roman"/>
          <w:b/>
          <w:i w:val="0"/>
          <w:szCs w:val="28"/>
        </w:rPr>
        <w:t>JUDGMENT</w:t>
      </w:r>
    </w:p>
    <w:p w14:paraId="772BFBB6" w14:textId="25DB8649" w:rsidR="0010252F" w:rsidRPr="00D566A3" w:rsidRDefault="0010252F" w:rsidP="007F35B8">
      <w:pPr>
        <w:jc w:val="right"/>
        <w:rPr>
          <w:b/>
          <w:sz w:val="28"/>
          <w:szCs w:val="28"/>
        </w:rPr>
      </w:pPr>
      <w:r w:rsidRPr="00D566A3">
        <w:rPr>
          <w:b/>
          <w:sz w:val="28"/>
          <w:szCs w:val="28"/>
        </w:rPr>
        <w:t>Not Reportable</w:t>
      </w:r>
    </w:p>
    <w:p w14:paraId="6D64770A" w14:textId="77777777" w:rsidR="0010252F" w:rsidRPr="00D566A3" w:rsidRDefault="0010252F" w:rsidP="007F35B8">
      <w:pPr>
        <w:jc w:val="right"/>
        <w:rPr>
          <w:sz w:val="28"/>
          <w:szCs w:val="28"/>
        </w:rPr>
      </w:pPr>
      <w:r w:rsidRPr="00D566A3">
        <w:rPr>
          <w:sz w:val="28"/>
          <w:szCs w:val="28"/>
        </w:rPr>
        <w:t>Case no: 1219/2021</w:t>
      </w:r>
    </w:p>
    <w:p w14:paraId="4237B9A3" w14:textId="77777777" w:rsidR="0010252F" w:rsidRPr="00D566A3" w:rsidRDefault="0010252F" w:rsidP="00737932">
      <w:pPr>
        <w:spacing w:line="240" w:lineRule="auto"/>
        <w:jc w:val="right"/>
        <w:rPr>
          <w:sz w:val="28"/>
          <w:szCs w:val="28"/>
        </w:rPr>
      </w:pPr>
    </w:p>
    <w:p w14:paraId="6ED9778E" w14:textId="77777777" w:rsidR="0010252F" w:rsidRPr="00D566A3" w:rsidRDefault="0010252F" w:rsidP="007F35B8">
      <w:pPr>
        <w:spacing w:after="120"/>
        <w:rPr>
          <w:sz w:val="28"/>
          <w:szCs w:val="28"/>
        </w:rPr>
      </w:pPr>
      <w:r w:rsidRPr="00D566A3">
        <w:rPr>
          <w:sz w:val="28"/>
          <w:szCs w:val="28"/>
        </w:rPr>
        <w:t>In the matter between:</w:t>
      </w:r>
    </w:p>
    <w:p w14:paraId="27CC7E85" w14:textId="2D851E2B" w:rsidR="0010252F" w:rsidRPr="00D566A3" w:rsidRDefault="0010252F" w:rsidP="007F35B8">
      <w:pPr>
        <w:tabs>
          <w:tab w:val="right" w:pos="9356"/>
        </w:tabs>
        <w:rPr>
          <w:bCs/>
          <w:sz w:val="28"/>
          <w:szCs w:val="28"/>
        </w:rPr>
      </w:pPr>
      <w:r w:rsidRPr="00D566A3">
        <w:rPr>
          <w:b/>
          <w:bCs/>
          <w:sz w:val="28"/>
          <w:szCs w:val="28"/>
        </w:rPr>
        <w:t xml:space="preserve">DOCTOR SUDHIR MOHUN                                            </w:t>
      </w:r>
      <w:r w:rsidR="007F35B8" w:rsidRPr="00D566A3">
        <w:rPr>
          <w:b/>
          <w:bCs/>
          <w:sz w:val="28"/>
          <w:szCs w:val="28"/>
        </w:rPr>
        <w:tab/>
      </w:r>
      <w:r w:rsidRPr="00D566A3">
        <w:rPr>
          <w:b/>
          <w:bCs/>
          <w:sz w:val="28"/>
          <w:szCs w:val="28"/>
        </w:rPr>
        <w:t>FIRST APPELLANT</w:t>
      </w:r>
    </w:p>
    <w:p w14:paraId="6B1E7893" w14:textId="77777777" w:rsidR="0010252F" w:rsidRPr="00D566A3" w:rsidRDefault="0010252F" w:rsidP="007F35B8">
      <w:pPr>
        <w:spacing w:line="240" w:lineRule="auto"/>
        <w:rPr>
          <w:b/>
          <w:sz w:val="28"/>
          <w:szCs w:val="28"/>
        </w:rPr>
      </w:pPr>
    </w:p>
    <w:p w14:paraId="0B048B74" w14:textId="77777777" w:rsidR="0010252F" w:rsidRPr="00D566A3" w:rsidRDefault="0010252F" w:rsidP="007F35B8">
      <w:pPr>
        <w:rPr>
          <w:b/>
          <w:sz w:val="28"/>
          <w:szCs w:val="28"/>
        </w:rPr>
      </w:pPr>
      <w:r w:rsidRPr="00D566A3">
        <w:rPr>
          <w:b/>
          <w:sz w:val="28"/>
          <w:szCs w:val="28"/>
        </w:rPr>
        <w:t>DOCTORS G SANPERSAD,</w:t>
      </w:r>
    </w:p>
    <w:p w14:paraId="486691EB" w14:textId="0772DE9F" w:rsidR="0010252F" w:rsidRPr="00D566A3" w:rsidRDefault="0010252F" w:rsidP="007F35B8">
      <w:pPr>
        <w:tabs>
          <w:tab w:val="right" w:pos="9356"/>
        </w:tabs>
        <w:rPr>
          <w:b/>
          <w:sz w:val="28"/>
          <w:szCs w:val="28"/>
        </w:rPr>
      </w:pPr>
      <w:r w:rsidRPr="00D566A3">
        <w:rPr>
          <w:b/>
          <w:sz w:val="28"/>
          <w:szCs w:val="28"/>
        </w:rPr>
        <w:t xml:space="preserve">R MAHARAJ &amp; ASSOCIATES                                   </w:t>
      </w:r>
      <w:r w:rsidR="007F35B8" w:rsidRPr="00D566A3">
        <w:rPr>
          <w:b/>
          <w:sz w:val="28"/>
          <w:szCs w:val="28"/>
        </w:rPr>
        <w:tab/>
      </w:r>
      <w:r w:rsidRPr="00D566A3">
        <w:rPr>
          <w:b/>
          <w:sz w:val="28"/>
          <w:szCs w:val="28"/>
        </w:rPr>
        <w:t>SECOND APPELLANT</w:t>
      </w:r>
    </w:p>
    <w:p w14:paraId="21F8C7BA" w14:textId="77777777" w:rsidR="00ED2087" w:rsidRPr="00D566A3" w:rsidRDefault="00ED2087" w:rsidP="007F35B8">
      <w:pPr>
        <w:tabs>
          <w:tab w:val="right" w:pos="8640"/>
        </w:tabs>
        <w:spacing w:line="240" w:lineRule="auto"/>
        <w:rPr>
          <w:sz w:val="28"/>
          <w:szCs w:val="28"/>
        </w:rPr>
      </w:pPr>
    </w:p>
    <w:p w14:paraId="6012FEDD" w14:textId="77777777" w:rsidR="0010252F" w:rsidRPr="00D566A3" w:rsidRDefault="0010252F" w:rsidP="007F35B8">
      <w:pPr>
        <w:tabs>
          <w:tab w:val="right" w:pos="8640"/>
        </w:tabs>
        <w:rPr>
          <w:sz w:val="28"/>
          <w:szCs w:val="28"/>
        </w:rPr>
      </w:pPr>
      <w:r w:rsidRPr="00D566A3">
        <w:rPr>
          <w:sz w:val="28"/>
          <w:szCs w:val="28"/>
        </w:rPr>
        <w:t>and</w:t>
      </w:r>
    </w:p>
    <w:p w14:paraId="53C84B63" w14:textId="77777777" w:rsidR="00ED2087" w:rsidRPr="00D566A3" w:rsidRDefault="00ED2087" w:rsidP="007F35B8">
      <w:pPr>
        <w:tabs>
          <w:tab w:val="right" w:pos="8640"/>
        </w:tabs>
        <w:spacing w:line="240" w:lineRule="auto"/>
        <w:rPr>
          <w:b/>
          <w:sz w:val="28"/>
          <w:szCs w:val="28"/>
        </w:rPr>
      </w:pPr>
    </w:p>
    <w:p w14:paraId="4600EC68" w14:textId="385B9A8E" w:rsidR="0010252F" w:rsidRPr="00D566A3" w:rsidRDefault="0010252F" w:rsidP="007F35B8">
      <w:pPr>
        <w:tabs>
          <w:tab w:val="right" w:pos="8640"/>
        </w:tabs>
        <w:rPr>
          <w:b/>
          <w:sz w:val="28"/>
          <w:szCs w:val="28"/>
        </w:rPr>
      </w:pPr>
      <w:r w:rsidRPr="00D566A3">
        <w:rPr>
          <w:b/>
          <w:sz w:val="28"/>
          <w:szCs w:val="28"/>
        </w:rPr>
        <w:t>ADVOCATE BRETT KINGSLEY PHILLIPS N</w:t>
      </w:r>
      <w:r w:rsidR="000E39AF" w:rsidRPr="00D566A3">
        <w:rPr>
          <w:b/>
          <w:sz w:val="28"/>
          <w:szCs w:val="28"/>
        </w:rPr>
        <w:t xml:space="preserve"> </w:t>
      </w:r>
      <w:r w:rsidRPr="00D566A3">
        <w:rPr>
          <w:b/>
          <w:sz w:val="28"/>
          <w:szCs w:val="28"/>
        </w:rPr>
        <w:t>O</w:t>
      </w:r>
    </w:p>
    <w:p w14:paraId="2C7A2AA6" w14:textId="4E3E0489" w:rsidR="0010252F" w:rsidRPr="00D566A3" w:rsidRDefault="0010252F" w:rsidP="007F35B8">
      <w:pPr>
        <w:tabs>
          <w:tab w:val="right" w:pos="9356"/>
        </w:tabs>
        <w:rPr>
          <w:b/>
          <w:sz w:val="28"/>
          <w:szCs w:val="28"/>
        </w:rPr>
      </w:pPr>
      <w:r w:rsidRPr="00D566A3">
        <w:rPr>
          <w:b/>
          <w:sz w:val="28"/>
          <w:szCs w:val="28"/>
        </w:rPr>
        <w:t xml:space="preserve">on behalf of DAVID ROBIN SHEARER                     </w:t>
      </w:r>
      <w:r w:rsidR="007F35B8" w:rsidRPr="00D566A3">
        <w:rPr>
          <w:b/>
          <w:sz w:val="28"/>
          <w:szCs w:val="28"/>
        </w:rPr>
        <w:tab/>
      </w:r>
      <w:r w:rsidRPr="00D566A3">
        <w:rPr>
          <w:b/>
          <w:sz w:val="28"/>
          <w:szCs w:val="28"/>
        </w:rPr>
        <w:t>FIRST RESPONDENT</w:t>
      </w:r>
    </w:p>
    <w:p w14:paraId="65C2E61D" w14:textId="77777777" w:rsidR="0010252F" w:rsidRPr="00D566A3" w:rsidRDefault="0010252F" w:rsidP="007F35B8">
      <w:pPr>
        <w:tabs>
          <w:tab w:val="right" w:pos="8640"/>
        </w:tabs>
        <w:spacing w:line="240" w:lineRule="auto"/>
        <w:rPr>
          <w:b/>
          <w:sz w:val="28"/>
          <w:szCs w:val="28"/>
        </w:rPr>
      </w:pPr>
    </w:p>
    <w:p w14:paraId="0102CF24" w14:textId="77777777" w:rsidR="0010252F" w:rsidRPr="00D566A3" w:rsidRDefault="0010252F" w:rsidP="007F35B8">
      <w:pPr>
        <w:tabs>
          <w:tab w:val="right" w:pos="8640"/>
        </w:tabs>
        <w:rPr>
          <w:b/>
          <w:sz w:val="28"/>
          <w:szCs w:val="28"/>
        </w:rPr>
      </w:pPr>
      <w:r w:rsidRPr="00D566A3">
        <w:rPr>
          <w:b/>
          <w:sz w:val="28"/>
          <w:szCs w:val="28"/>
        </w:rPr>
        <w:t xml:space="preserve">JUSTINE SHEARER in her personal capacity and </w:t>
      </w:r>
    </w:p>
    <w:p w14:paraId="63D13B11" w14:textId="77777777" w:rsidR="0010252F" w:rsidRPr="00D566A3" w:rsidRDefault="0010252F" w:rsidP="007F35B8">
      <w:pPr>
        <w:tabs>
          <w:tab w:val="right" w:pos="8640"/>
        </w:tabs>
        <w:rPr>
          <w:b/>
          <w:sz w:val="28"/>
          <w:szCs w:val="28"/>
        </w:rPr>
      </w:pPr>
      <w:r w:rsidRPr="00D566A3">
        <w:rPr>
          <w:b/>
          <w:sz w:val="28"/>
          <w:szCs w:val="28"/>
        </w:rPr>
        <w:t>on behalf of DECLAN GRAHAM WILLIAM TINDALE</w:t>
      </w:r>
    </w:p>
    <w:p w14:paraId="6CD3F4B5" w14:textId="7B7B51E1" w:rsidR="0010252F" w:rsidRPr="00D566A3" w:rsidRDefault="0010252F" w:rsidP="007F35B8">
      <w:pPr>
        <w:tabs>
          <w:tab w:val="right" w:pos="9356"/>
        </w:tabs>
        <w:rPr>
          <w:b/>
          <w:sz w:val="28"/>
          <w:szCs w:val="28"/>
        </w:rPr>
      </w:pPr>
      <w:r w:rsidRPr="00D566A3">
        <w:rPr>
          <w:b/>
          <w:sz w:val="28"/>
          <w:szCs w:val="28"/>
        </w:rPr>
        <w:t xml:space="preserve">and KEZIAH RHEEDER                                           </w:t>
      </w:r>
      <w:r w:rsidR="007F35B8" w:rsidRPr="00D566A3">
        <w:rPr>
          <w:b/>
          <w:sz w:val="28"/>
          <w:szCs w:val="28"/>
        </w:rPr>
        <w:tab/>
      </w:r>
      <w:r w:rsidRPr="00D566A3">
        <w:rPr>
          <w:b/>
          <w:sz w:val="28"/>
          <w:szCs w:val="28"/>
        </w:rPr>
        <w:t>SECOND RESPONDENT</w:t>
      </w:r>
    </w:p>
    <w:p w14:paraId="1A5FC0E3" w14:textId="77777777" w:rsidR="0010252F" w:rsidRPr="00D566A3" w:rsidRDefault="0010252F" w:rsidP="0010252F">
      <w:pPr>
        <w:tabs>
          <w:tab w:val="right" w:pos="8640"/>
        </w:tabs>
        <w:rPr>
          <w:b/>
          <w:bCs/>
          <w:sz w:val="28"/>
          <w:szCs w:val="28"/>
        </w:rPr>
      </w:pPr>
      <w:r w:rsidRPr="00D566A3">
        <w:rPr>
          <w:b/>
          <w:bCs/>
          <w:sz w:val="28"/>
          <w:szCs w:val="28"/>
        </w:rPr>
        <w:t xml:space="preserve"> </w:t>
      </w:r>
    </w:p>
    <w:p w14:paraId="30129072" w14:textId="641683AA" w:rsidR="00A04937" w:rsidRDefault="0010252F" w:rsidP="000063ED">
      <w:pPr>
        <w:ind w:left="2160" w:hanging="2160"/>
        <w:contextualSpacing/>
        <w:rPr>
          <w:bCs/>
          <w:sz w:val="28"/>
          <w:szCs w:val="28"/>
        </w:rPr>
      </w:pPr>
      <w:r w:rsidRPr="00D566A3">
        <w:rPr>
          <w:b/>
          <w:bCs/>
          <w:sz w:val="28"/>
          <w:szCs w:val="28"/>
        </w:rPr>
        <w:t>Neutral citation:</w:t>
      </w:r>
      <w:r w:rsidRPr="00D566A3">
        <w:rPr>
          <w:bCs/>
          <w:i/>
          <w:sz w:val="28"/>
          <w:szCs w:val="28"/>
        </w:rPr>
        <w:tab/>
      </w:r>
      <w:bookmarkStart w:id="0" w:name="_GoBack"/>
      <w:r w:rsidRPr="00D566A3">
        <w:rPr>
          <w:bCs/>
          <w:i/>
          <w:sz w:val="28"/>
          <w:szCs w:val="28"/>
        </w:rPr>
        <w:t xml:space="preserve">Mohun </w:t>
      </w:r>
      <w:r w:rsidR="000E39AF" w:rsidRPr="00D566A3">
        <w:rPr>
          <w:bCs/>
          <w:i/>
          <w:sz w:val="28"/>
          <w:szCs w:val="28"/>
        </w:rPr>
        <w:t>and</w:t>
      </w:r>
      <w:r w:rsidRPr="00D566A3">
        <w:rPr>
          <w:bCs/>
          <w:i/>
          <w:sz w:val="28"/>
          <w:szCs w:val="28"/>
        </w:rPr>
        <w:t xml:space="preserve"> Another v Phillips N</w:t>
      </w:r>
      <w:r w:rsidR="000E39AF" w:rsidRPr="00D566A3">
        <w:rPr>
          <w:bCs/>
          <w:i/>
          <w:sz w:val="28"/>
          <w:szCs w:val="28"/>
        </w:rPr>
        <w:t xml:space="preserve"> </w:t>
      </w:r>
      <w:r w:rsidRPr="00D566A3">
        <w:rPr>
          <w:bCs/>
          <w:i/>
          <w:sz w:val="28"/>
          <w:szCs w:val="28"/>
        </w:rPr>
        <w:t xml:space="preserve">O obo Shearer </w:t>
      </w:r>
      <w:r w:rsidR="000E39AF" w:rsidRPr="00D566A3">
        <w:rPr>
          <w:bCs/>
          <w:i/>
          <w:sz w:val="28"/>
          <w:szCs w:val="28"/>
        </w:rPr>
        <w:t>and</w:t>
      </w:r>
      <w:r w:rsidRPr="00D566A3">
        <w:rPr>
          <w:bCs/>
          <w:i/>
          <w:sz w:val="28"/>
          <w:szCs w:val="28"/>
        </w:rPr>
        <w:t xml:space="preserve"> Another </w:t>
      </w:r>
      <w:r w:rsidRPr="00D566A3">
        <w:rPr>
          <w:bCs/>
          <w:sz w:val="28"/>
          <w:szCs w:val="28"/>
        </w:rPr>
        <w:t>(1219/2021) [2022] ZASCA</w:t>
      </w:r>
      <w:r w:rsidR="00772D8D">
        <w:rPr>
          <w:bCs/>
          <w:sz w:val="28"/>
          <w:szCs w:val="28"/>
        </w:rPr>
        <w:t xml:space="preserve"> 186</w:t>
      </w:r>
      <w:r w:rsidRPr="00D566A3">
        <w:rPr>
          <w:bCs/>
          <w:sz w:val="28"/>
          <w:szCs w:val="28"/>
        </w:rPr>
        <w:t xml:space="preserve"> (</w:t>
      </w:r>
      <w:r w:rsidR="00772D8D">
        <w:rPr>
          <w:bCs/>
          <w:sz w:val="28"/>
          <w:szCs w:val="28"/>
        </w:rPr>
        <w:t xml:space="preserve">22 </w:t>
      </w:r>
      <w:r w:rsidR="008A12B8">
        <w:rPr>
          <w:bCs/>
          <w:sz w:val="28"/>
          <w:szCs w:val="28"/>
        </w:rPr>
        <w:t>December</w:t>
      </w:r>
      <w:r w:rsidR="00772D8D">
        <w:rPr>
          <w:bCs/>
          <w:sz w:val="28"/>
          <w:szCs w:val="28"/>
        </w:rPr>
        <w:t xml:space="preserve"> 2022</w:t>
      </w:r>
      <w:r w:rsidRPr="00D566A3">
        <w:rPr>
          <w:bCs/>
          <w:sz w:val="28"/>
          <w:szCs w:val="28"/>
        </w:rPr>
        <w:t>)</w:t>
      </w:r>
      <w:bookmarkEnd w:id="0"/>
    </w:p>
    <w:p w14:paraId="4EC5EA99" w14:textId="77777777" w:rsidR="008B4376" w:rsidRPr="000063ED" w:rsidRDefault="008B4376" w:rsidP="008B4376">
      <w:pPr>
        <w:spacing w:line="240" w:lineRule="auto"/>
        <w:ind w:left="2160" w:hanging="2160"/>
        <w:contextualSpacing/>
        <w:rPr>
          <w:bCs/>
          <w:sz w:val="28"/>
          <w:szCs w:val="28"/>
        </w:rPr>
      </w:pPr>
    </w:p>
    <w:p w14:paraId="2ACC3E04" w14:textId="6D4D524B" w:rsidR="00A04937" w:rsidRDefault="0010252F" w:rsidP="000063ED">
      <w:pPr>
        <w:ind w:left="1440" w:hanging="1440"/>
        <w:contextualSpacing/>
        <w:rPr>
          <w:sz w:val="28"/>
          <w:szCs w:val="28"/>
        </w:rPr>
      </w:pPr>
      <w:r w:rsidRPr="00D566A3">
        <w:rPr>
          <w:b/>
          <w:bCs/>
          <w:sz w:val="28"/>
          <w:szCs w:val="28"/>
        </w:rPr>
        <w:t>Coram:</w:t>
      </w:r>
      <w:r w:rsidR="000E39AF" w:rsidRPr="00D566A3">
        <w:rPr>
          <w:sz w:val="28"/>
          <w:szCs w:val="28"/>
        </w:rPr>
        <w:tab/>
      </w:r>
      <w:r w:rsidRPr="00D566A3">
        <w:rPr>
          <w:sz w:val="28"/>
          <w:szCs w:val="28"/>
        </w:rPr>
        <w:t>VAN DER MERWE, PLASKET</w:t>
      </w:r>
      <w:r w:rsidR="00C46199" w:rsidRPr="00D566A3">
        <w:rPr>
          <w:sz w:val="28"/>
          <w:szCs w:val="28"/>
        </w:rPr>
        <w:t xml:space="preserve"> </w:t>
      </w:r>
      <w:r w:rsidRPr="00D566A3">
        <w:rPr>
          <w:sz w:val="28"/>
          <w:szCs w:val="28"/>
        </w:rPr>
        <w:t>and MABINDLA-BOQWANA JJA and CHETTY and MASIPA AJJA</w:t>
      </w:r>
    </w:p>
    <w:p w14:paraId="4A5AE7E7" w14:textId="77777777" w:rsidR="008B4376" w:rsidRPr="000063ED" w:rsidRDefault="008B4376" w:rsidP="008B4376">
      <w:pPr>
        <w:spacing w:line="240" w:lineRule="auto"/>
        <w:ind w:left="1440" w:hanging="1440"/>
        <w:contextualSpacing/>
        <w:rPr>
          <w:sz w:val="28"/>
          <w:szCs w:val="28"/>
        </w:rPr>
      </w:pPr>
    </w:p>
    <w:p w14:paraId="15AC64BB" w14:textId="0C2C9365" w:rsidR="008B4376" w:rsidRDefault="0010252F" w:rsidP="008B4376">
      <w:pPr>
        <w:contextualSpacing/>
        <w:rPr>
          <w:sz w:val="28"/>
          <w:szCs w:val="28"/>
        </w:rPr>
      </w:pPr>
      <w:r w:rsidRPr="00D566A3">
        <w:rPr>
          <w:b/>
          <w:bCs/>
          <w:sz w:val="28"/>
          <w:szCs w:val="28"/>
        </w:rPr>
        <w:t>Heard</w:t>
      </w:r>
      <w:r w:rsidRPr="00D566A3">
        <w:rPr>
          <w:b/>
          <w:sz w:val="28"/>
          <w:szCs w:val="28"/>
        </w:rPr>
        <w:t>:</w:t>
      </w:r>
      <w:r w:rsidR="000E39AF" w:rsidRPr="00D566A3">
        <w:rPr>
          <w:sz w:val="28"/>
          <w:szCs w:val="28"/>
        </w:rPr>
        <w:tab/>
      </w:r>
      <w:r w:rsidRPr="00D566A3">
        <w:rPr>
          <w:sz w:val="28"/>
          <w:szCs w:val="28"/>
        </w:rPr>
        <w:t>16 November 2022</w:t>
      </w:r>
    </w:p>
    <w:p w14:paraId="251F37A0" w14:textId="77777777" w:rsidR="008B4376" w:rsidRPr="008B4376" w:rsidRDefault="008B4376" w:rsidP="008B4376">
      <w:pPr>
        <w:spacing w:line="240" w:lineRule="auto"/>
        <w:contextualSpacing/>
        <w:rPr>
          <w:sz w:val="28"/>
          <w:szCs w:val="28"/>
        </w:rPr>
      </w:pPr>
    </w:p>
    <w:p w14:paraId="476CA96A" w14:textId="5D4EA75A" w:rsidR="008B4376" w:rsidRDefault="0010252F" w:rsidP="008B4376">
      <w:pPr>
        <w:contextualSpacing/>
        <w:rPr>
          <w:sz w:val="28"/>
          <w:szCs w:val="28"/>
        </w:rPr>
      </w:pPr>
      <w:r w:rsidRPr="00D566A3">
        <w:rPr>
          <w:b/>
          <w:bCs/>
          <w:sz w:val="28"/>
          <w:szCs w:val="28"/>
        </w:rPr>
        <w:t>Delivered</w:t>
      </w:r>
      <w:r w:rsidRPr="00D566A3">
        <w:rPr>
          <w:b/>
          <w:sz w:val="28"/>
          <w:szCs w:val="28"/>
        </w:rPr>
        <w:t>:</w:t>
      </w:r>
      <w:r w:rsidR="000E39AF" w:rsidRPr="00D566A3">
        <w:rPr>
          <w:sz w:val="28"/>
          <w:szCs w:val="28"/>
        </w:rPr>
        <w:tab/>
      </w:r>
      <w:r w:rsidR="00895B7F" w:rsidRPr="00895B7F">
        <w:rPr>
          <w:sz w:val="28"/>
          <w:szCs w:val="28"/>
        </w:rPr>
        <w:t xml:space="preserve">This judgment was handed down electronically by circulation to the parties’ legal representatives by email, publication on the Supreme Court of Appeal website and release to SAFLII. The date and time for hand-down is deemed to be </w:t>
      </w:r>
      <w:r w:rsidR="00895B7F">
        <w:rPr>
          <w:sz w:val="28"/>
          <w:szCs w:val="28"/>
        </w:rPr>
        <w:t>11</w:t>
      </w:r>
      <w:r w:rsidR="00895B7F" w:rsidRPr="00895B7F">
        <w:rPr>
          <w:sz w:val="28"/>
          <w:szCs w:val="28"/>
        </w:rPr>
        <w:t>h</w:t>
      </w:r>
      <w:r w:rsidR="00895B7F">
        <w:rPr>
          <w:sz w:val="28"/>
          <w:szCs w:val="28"/>
        </w:rPr>
        <w:t>00</w:t>
      </w:r>
      <w:r w:rsidR="00895B7F" w:rsidRPr="00895B7F">
        <w:rPr>
          <w:sz w:val="28"/>
          <w:szCs w:val="28"/>
        </w:rPr>
        <w:t xml:space="preserve"> on 2</w:t>
      </w:r>
      <w:r w:rsidR="00895B7F">
        <w:rPr>
          <w:sz w:val="28"/>
          <w:szCs w:val="28"/>
        </w:rPr>
        <w:t>2</w:t>
      </w:r>
      <w:r w:rsidR="00895B7F" w:rsidRPr="00895B7F">
        <w:rPr>
          <w:sz w:val="28"/>
          <w:szCs w:val="28"/>
        </w:rPr>
        <w:t xml:space="preserve"> December 202</w:t>
      </w:r>
      <w:r w:rsidR="00895B7F">
        <w:rPr>
          <w:sz w:val="28"/>
          <w:szCs w:val="28"/>
        </w:rPr>
        <w:t>2</w:t>
      </w:r>
      <w:r w:rsidR="00895B7F" w:rsidRPr="00895B7F">
        <w:rPr>
          <w:sz w:val="28"/>
          <w:szCs w:val="28"/>
        </w:rPr>
        <w:t>.</w:t>
      </w:r>
    </w:p>
    <w:p w14:paraId="2D77182A" w14:textId="77777777" w:rsidR="008B4376" w:rsidRPr="008B4376" w:rsidRDefault="008B4376" w:rsidP="008B4376">
      <w:pPr>
        <w:spacing w:line="240" w:lineRule="auto"/>
        <w:contextualSpacing/>
        <w:rPr>
          <w:sz w:val="28"/>
          <w:szCs w:val="28"/>
        </w:rPr>
      </w:pPr>
    </w:p>
    <w:p w14:paraId="76534264" w14:textId="1637C1F4" w:rsidR="0010252F" w:rsidRPr="00D566A3" w:rsidRDefault="000E39AF" w:rsidP="00A04937">
      <w:pPr>
        <w:contextualSpacing/>
        <w:rPr>
          <w:bCs/>
          <w:sz w:val="28"/>
          <w:szCs w:val="28"/>
        </w:rPr>
      </w:pPr>
      <w:r w:rsidRPr="00D566A3">
        <w:rPr>
          <w:b/>
          <w:bCs/>
          <w:sz w:val="28"/>
          <w:szCs w:val="28"/>
        </w:rPr>
        <w:t>Summary:</w:t>
      </w:r>
      <w:r w:rsidRPr="00D566A3">
        <w:rPr>
          <w:b/>
          <w:bCs/>
          <w:sz w:val="28"/>
          <w:szCs w:val="28"/>
        </w:rPr>
        <w:tab/>
      </w:r>
      <w:r w:rsidR="0010252F" w:rsidRPr="00D566A3">
        <w:rPr>
          <w:bCs/>
          <w:sz w:val="28"/>
          <w:szCs w:val="28"/>
        </w:rPr>
        <w:t xml:space="preserve">Delict – medical negligence – medical practice engaged specialist doctor as </w:t>
      </w:r>
      <w:r w:rsidR="0010252F" w:rsidRPr="00D566A3">
        <w:rPr>
          <w:bCs/>
          <w:i/>
          <w:sz w:val="28"/>
          <w:szCs w:val="28"/>
        </w:rPr>
        <w:t>locum tenens</w:t>
      </w:r>
      <w:r w:rsidR="00750D16" w:rsidRPr="00D566A3">
        <w:rPr>
          <w:bCs/>
          <w:i/>
          <w:sz w:val="28"/>
          <w:szCs w:val="28"/>
        </w:rPr>
        <w:t xml:space="preserve"> – </w:t>
      </w:r>
      <w:r w:rsidR="0010252F" w:rsidRPr="00D566A3">
        <w:rPr>
          <w:bCs/>
          <w:sz w:val="28"/>
          <w:szCs w:val="28"/>
        </w:rPr>
        <w:t xml:space="preserve">whether doctor </w:t>
      </w:r>
      <w:r w:rsidR="000A6F12" w:rsidRPr="00D566A3">
        <w:rPr>
          <w:bCs/>
          <w:sz w:val="28"/>
          <w:szCs w:val="28"/>
        </w:rPr>
        <w:t xml:space="preserve">was </w:t>
      </w:r>
      <w:r w:rsidR="0010252F" w:rsidRPr="00D566A3">
        <w:rPr>
          <w:bCs/>
          <w:sz w:val="28"/>
          <w:szCs w:val="28"/>
        </w:rPr>
        <w:t xml:space="preserve">negligent by failing to </w:t>
      </w:r>
      <w:r w:rsidR="008C437A" w:rsidRPr="00D566A3">
        <w:rPr>
          <w:bCs/>
          <w:sz w:val="28"/>
          <w:szCs w:val="28"/>
        </w:rPr>
        <w:t xml:space="preserve">appropriately </w:t>
      </w:r>
      <w:r w:rsidR="0010252F" w:rsidRPr="00D566A3">
        <w:rPr>
          <w:bCs/>
          <w:sz w:val="28"/>
          <w:szCs w:val="28"/>
        </w:rPr>
        <w:t xml:space="preserve">monitor and </w:t>
      </w:r>
      <w:r w:rsidR="00D566A3" w:rsidRPr="00D566A3">
        <w:rPr>
          <w:bCs/>
          <w:sz w:val="28"/>
          <w:szCs w:val="28"/>
        </w:rPr>
        <w:t>treat patient</w:t>
      </w:r>
      <w:r w:rsidR="0010252F" w:rsidRPr="00D566A3">
        <w:rPr>
          <w:bCs/>
          <w:sz w:val="28"/>
          <w:szCs w:val="28"/>
        </w:rPr>
        <w:t xml:space="preserve"> in </w:t>
      </w:r>
      <w:r w:rsidR="008C437A" w:rsidRPr="00D566A3">
        <w:rPr>
          <w:bCs/>
          <w:sz w:val="28"/>
          <w:szCs w:val="28"/>
        </w:rPr>
        <w:t>e</w:t>
      </w:r>
      <w:r w:rsidR="0010252F" w:rsidRPr="00D566A3">
        <w:rPr>
          <w:bCs/>
          <w:sz w:val="28"/>
          <w:szCs w:val="28"/>
        </w:rPr>
        <w:t xml:space="preserve">mergency unit of a hospital </w:t>
      </w:r>
      <w:r w:rsidR="008C437A" w:rsidRPr="00D566A3">
        <w:rPr>
          <w:bCs/>
          <w:sz w:val="28"/>
          <w:szCs w:val="28"/>
        </w:rPr>
        <w:t xml:space="preserve">– patient sustaining hypoxia and eventual </w:t>
      </w:r>
      <w:r w:rsidR="0010252F" w:rsidRPr="00D566A3">
        <w:rPr>
          <w:bCs/>
          <w:sz w:val="28"/>
          <w:szCs w:val="28"/>
        </w:rPr>
        <w:t>brain damage</w:t>
      </w:r>
      <w:r w:rsidR="00750D16" w:rsidRPr="00D566A3">
        <w:rPr>
          <w:bCs/>
          <w:sz w:val="28"/>
          <w:szCs w:val="28"/>
        </w:rPr>
        <w:t xml:space="preserve"> – </w:t>
      </w:r>
      <w:r w:rsidR="0010252F" w:rsidRPr="00D566A3">
        <w:rPr>
          <w:bCs/>
          <w:sz w:val="28"/>
          <w:szCs w:val="28"/>
        </w:rPr>
        <w:t xml:space="preserve">whether case made out for vicarious liability </w:t>
      </w:r>
      <w:r w:rsidR="00D566A3" w:rsidRPr="00D566A3">
        <w:rPr>
          <w:bCs/>
          <w:sz w:val="28"/>
          <w:szCs w:val="28"/>
        </w:rPr>
        <w:t>of practice</w:t>
      </w:r>
      <w:r w:rsidR="0010252F" w:rsidRPr="00D566A3">
        <w:rPr>
          <w:bCs/>
          <w:sz w:val="28"/>
          <w:szCs w:val="28"/>
        </w:rPr>
        <w:t xml:space="preserve"> for actions of independent contractor</w:t>
      </w:r>
      <w:r w:rsidR="008C437A" w:rsidRPr="00D566A3">
        <w:rPr>
          <w:bCs/>
          <w:sz w:val="28"/>
          <w:szCs w:val="28"/>
        </w:rPr>
        <w:t xml:space="preserve"> </w:t>
      </w:r>
      <w:r w:rsidR="00750D16" w:rsidRPr="00D566A3">
        <w:rPr>
          <w:bCs/>
          <w:sz w:val="28"/>
          <w:szCs w:val="28"/>
        </w:rPr>
        <w:t xml:space="preserve">– </w:t>
      </w:r>
      <w:r w:rsidR="0010252F" w:rsidRPr="00D566A3">
        <w:rPr>
          <w:bCs/>
          <w:sz w:val="28"/>
          <w:szCs w:val="28"/>
        </w:rPr>
        <w:t xml:space="preserve">whether foundation laid for development of common law </w:t>
      </w:r>
      <w:r w:rsidR="00160240" w:rsidRPr="00D566A3">
        <w:rPr>
          <w:bCs/>
          <w:sz w:val="28"/>
          <w:szCs w:val="28"/>
        </w:rPr>
        <w:t>to recognise</w:t>
      </w:r>
      <w:r w:rsidR="0010252F" w:rsidRPr="00D566A3">
        <w:rPr>
          <w:bCs/>
          <w:sz w:val="28"/>
          <w:szCs w:val="28"/>
        </w:rPr>
        <w:t xml:space="preserve"> non-delegable duty of care.</w:t>
      </w:r>
    </w:p>
    <w:p w14:paraId="7326FAA6" w14:textId="77777777" w:rsidR="0010252F" w:rsidRPr="00D566A3" w:rsidRDefault="0010252F" w:rsidP="00A04937">
      <w:pPr>
        <w:pBdr>
          <w:bottom w:val="single" w:sz="12" w:space="1" w:color="auto"/>
        </w:pBdr>
        <w:rPr>
          <w:bCs/>
          <w:sz w:val="28"/>
          <w:szCs w:val="28"/>
        </w:rPr>
      </w:pPr>
      <w:r w:rsidRPr="00D566A3">
        <w:rPr>
          <w:bCs/>
          <w:sz w:val="28"/>
          <w:szCs w:val="28"/>
        </w:rPr>
        <w:br w:type="page"/>
      </w:r>
    </w:p>
    <w:p w14:paraId="396AAA1E" w14:textId="77777777" w:rsidR="0010252F" w:rsidRPr="00D566A3" w:rsidRDefault="0010252F" w:rsidP="00AC1C9B">
      <w:pPr>
        <w:pBdr>
          <w:bottom w:val="single" w:sz="12" w:space="1" w:color="auto"/>
        </w:pBdr>
        <w:spacing w:line="240" w:lineRule="auto"/>
        <w:rPr>
          <w:b/>
          <w:i/>
          <w:szCs w:val="28"/>
        </w:rPr>
      </w:pPr>
      <w:r w:rsidRPr="00D566A3">
        <w:rPr>
          <w:noProof/>
          <w:lang w:val="en-ZA" w:eastAsia="en-ZA"/>
        </w:rPr>
        <w:lastRenderedPageBreak/>
        <mc:AlternateContent>
          <mc:Choice Requires="wps">
            <w:drawing>
              <wp:anchor distT="0" distB="0" distL="114300" distR="114300" simplePos="0" relativeHeight="251660288" behindDoc="0" locked="0" layoutInCell="1" allowOverlap="1" wp14:anchorId="5994E90D" wp14:editId="40BD6EDD">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6269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4C0D0575" w14:textId="77777777" w:rsidR="0010252F" w:rsidRPr="00D566A3" w:rsidRDefault="0010252F" w:rsidP="0010252F">
      <w:pPr>
        <w:pStyle w:val="Heading3"/>
        <w:pBdr>
          <w:bottom w:val="single" w:sz="12" w:space="12" w:color="auto"/>
        </w:pBdr>
        <w:jc w:val="center"/>
        <w:rPr>
          <w:rFonts w:ascii="Times New Roman" w:hAnsi="Times New Roman" w:cs="Times New Roman"/>
          <w:b/>
          <w:i w:val="0"/>
          <w:szCs w:val="28"/>
        </w:rPr>
      </w:pPr>
    </w:p>
    <w:p w14:paraId="2A973B10" w14:textId="77777777" w:rsidR="0010252F" w:rsidRPr="00D566A3" w:rsidRDefault="0010252F" w:rsidP="0010252F">
      <w:pPr>
        <w:pStyle w:val="Heading3"/>
        <w:pBdr>
          <w:bottom w:val="single" w:sz="12" w:space="12" w:color="auto"/>
        </w:pBdr>
        <w:jc w:val="center"/>
        <w:rPr>
          <w:rFonts w:ascii="Times New Roman" w:hAnsi="Times New Roman" w:cs="Times New Roman"/>
          <w:b/>
          <w:i w:val="0"/>
          <w:szCs w:val="28"/>
        </w:rPr>
      </w:pPr>
      <w:r w:rsidRPr="00D566A3">
        <w:rPr>
          <w:rFonts w:ascii="Times New Roman" w:hAnsi="Times New Roman" w:cs="Times New Roman"/>
          <w:b/>
          <w:i w:val="0"/>
          <w:szCs w:val="28"/>
        </w:rPr>
        <w:t>ORDER</w:t>
      </w:r>
    </w:p>
    <w:p w14:paraId="06C19B53" w14:textId="77777777" w:rsidR="0010252F" w:rsidRPr="00D566A3" w:rsidRDefault="0010252F" w:rsidP="00AC1C9B">
      <w:pPr>
        <w:spacing w:line="240" w:lineRule="auto"/>
        <w:rPr>
          <w:b/>
          <w:bCs/>
          <w:sz w:val="28"/>
          <w:szCs w:val="28"/>
        </w:rPr>
      </w:pPr>
    </w:p>
    <w:p w14:paraId="4C706FB5" w14:textId="77777777" w:rsidR="0010252F" w:rsidRPr="00D566A3" w:rsidRDefault="0010252F" w:rsidP="0010252F">
      <w:pPr>
        <w:rPr>
          <w:bCs/>
          <w:sz w:val="28"/>
          <w:szCs w:val="28"/>
        </w:rPr>
      </w:pPr>
      <w:r w:rsidRPr="00D566A3">
        <w:rPr>
          <w:b/>
          <w:bCs/>
          <w:sz w:val="28"/>
          <w:szCs w:val="28"/>
        </w:rPr>
        <w:t xml:space="preserve">On appeal from: </w:t>
      </w:r>
      <w:r w:rsidRPr="00D566A3">
        <w:rPr>
          <w:bCs/>
          <w:sz w:val="28"/>
          <w:szCs w:val="28"/>
        </w:rPr>
        <w:t>KwaZulu-Natal</w:t>
      </w:r>
      <w:r w:rsidRPr="00D566A3">
        <w:rPr>
          <w:b/>
          <w:bCs/>
          <w:sz w:val="28"/>
          <w:szCs w:val="28"/>
        </w:rPr>
        <w:t xml:space="preserve"> </w:t>
      </w:r>
      <w:r w:rsidRPr="00D566A3">
        <w:rPr>
          <w:bCs/>
          <w:sz w:val="28"/>
          <w:szCs w:val="28"/>
        </w:rPr>
        <w:t xml:space="preserve">Division of the High Court, Pietermaritzburg (Mngadi J, sitting as court of first instance): </w:t>
      </w:r>
    </w:p>
    <w:p w14:paraId="107A4135" w14:textId="76DBEF89" w:rsidR="0010252F" w:rsidRPr="00D566A3" w:rsidRDefault="004738AC" w:rsidP="004738AC">
      <w:pPr>
        <w:rPr>
          <w:sz w:val="28"/>
          <w:szCs w:val="28"/>
        </w:rPr>
      </w:pPr>
      <w:r w:rsidRPr="00D566A3">
        <w:rPr>
          <w:sz w:val="28"/>
          <w:szCs w:val="28"/>
        </w:rPr>
        <w:t>1</w:t>
      </w:r>
      <w:r w:rsidR="000A6F12" w:rsidRPr="00D566A3">
        <w:rPr>
          <w:sz w:val="28"/>
          <w:szCs w:val="28"/>
        </w:rPr>
        <w:tab/>
      </w:r>
      <w:r w:rsidR="0010252F" w:rsidRPr="00D566A3">
        <w:rPr>
          <w:sz w:val="28"/>
          <w:szCs w:val="28"/>
        </w:rPr>
        <w:t>The appeal of the first appellant is dismissed with costs.</w:t>
      </w:r>
    </w:p>
    <w:p w14:paraId="3D24488C" w14:textId="6E815174" w:rsidR="0010252F" w:rsidRPr="00D566A3" w:rsidRDefault="004738AC" w:rsidP="004738AC">
      <w:pPr>
        <w:rPr>
          <w:sz w:val="28"/>
          <w:szCs w:val="28"/>
        </w:rPr>
      </w:pPr>
      <w:r w:rsidRPr="00D566A3">
        <w:rPr>
          <w:sz w:val="28"/>
          <w:szCs w:val="28"/>
        </w:rPr>
        <w:t>2</w:t>
      </w:r>
      <w:r w:rsidR="000A6F12" w:rsidRPr="00D566A3">
        <w:rPr>
          <w:sz w:val="28"/>
          <w:szCs w:val="28"/>
        </w:rPr>
        <w:tab/>
      </w:r>
      <w:r w:rsidR="0010252F" w:rsidRPr="00D566A3">
        <w:rPr>
          <w:sz w:val="28"/>
          <w:szCs w:val="28"/>
        </w:rPr>
        <w:t>The appeal of the second appellant is upheld with costs.</w:t>
      </w:r>
    </w:p>
    <w:p w14:paraId="340008D6" w14:textId="721EC48D" w:rsidR="0010252F" w:rsidRPr="00D566A3" w:rsidRDefault="004738AC" w:rsidP="004046F7">
      <w:pPr>
        <w:rPr>
          <w:sz w:val="28"/>
          <w:szCs w:val="28"/>
        </w:rPr>
      </w:pPr>
      <w:r w:rsidRPr="00D566A3">
        <w:rPr>
          <w:sz w:val="28"/>
          <w:szCs w:val="28"/>
        </w:rPr>
        <w:t>3</w:t>
      </w:r>
      <w:r w:rsidR="000A6F12" w:rsidRPr="00D566A3">
        <w:rPr>
          <w:sz w:val="28"/>
          <w:szCs w:val="28"/>
        </w:rPr>
        <w:tab/>
      </w:r>
      <w:r w:rsidR="0010252F" w:rsidRPr="00D566A3">
        <w:rPr>
          <w:sz w:val="28"/>
          <w:szCs w:val="28"/>
        </w:rPr>
        <w:t xml:space="preserve">The order of the </w:t>
      </w:r>
      <w:r w:rsidR="00C46199" w:rsidRPr="00D566A3">
        <w:rPr>
          <w:sz w:val="28"/>
          <w:szCs w:val="28"/>
        </w:rPr>
        <w:t xml:space="preserve">high </w:t>
      </w:r>
      <w:r w:rsidR="0010252F" w:rsidRPr="00D566A3">
        <w:rPr>
          <w:sz w:val="28"/>
          <w:szCs w:val="28"/>
        </w:rPr>
        <w:t>court is set aside and substituted with the following:</w:t>
      </w:r>
    </w:p>
    <w:p w14:paraId="005FDBC1" w14:textId="21674757" w:rsidR="0010252F" w:rsidRPr="00D566A3" w:rsidRDefault="0010252F" w:rsidP="0010252F">
      <w:pPr>
        <w:ind w:left="720"/>
        <w:rPr>
          <w:sz w:val="28"/>
          <w:szCs w:val="28"/>
        </w:rPr>
      </w:pPr>
      <w:r w:rsidRPr="00D566A3">
        <w:rPr>
          <w:sz w:val="28"/>
          <w:szCs w:val="28"/>
        </w:rPr>
        <w:t>‘1.</w:t>
      </w:r>
      <w:r w:rsidR="000A6F12" w:rsidRPr="00D566A3">
        <w:rPr>
          <w:sz w:val="28"/>
          <w:szCs w:val="28"/>
        </w:rPr>
        <w:tab/>
      </w:r>
      <w:r w:rsidRPr="00D566A3">
        <w:rPr>
          <w:sz w:val="28"/>
          <w:szCs w:val="28"/>
        </w:rPr>
        <w:t xml:space="preserve">The first defendant is found liable </w:t>
      </w:r>
      <w:r w:rsidR="00C46199" w:rsidRPr="00D566A3">
        <w:rPr>
          <w:sz w:val="28"/>
          <w:szCs w:val="28"/>
        </w:rPr>
        <w:t xml:space="preserve">for </w:t>
      </w:r>
      <w:r w:rsidRPr="00D566A3">
        <w:rPr>
          <w:sz w:val="28"/>
          <w:szCs w:val="28"/>
        </w:rPr>
        <w:t>65% of whatever damages the patient, Mr Shearer, represented by the first plaintiff, might prove for injuries sustained by him as a result of the cardiac arrest and resultant brain damage which Mr Shearer suffered in the emergency unit of Life Westville Hospital in Durban on 27 December 2014.</w:t>
      </w:r>
    </w:p>
    <w:p w14:paraId="342B114A" w14:textId="1228A0A9" w:rsidR="00927214" w:rsidRPr="00D566A3" w:rsidRDefault="0010252F" w:rsidP="0010252F">
      <w:pPr>
        <w:ind w:left="720"/>
        <w:rPr>
          <w:sz w:val="28"/>
          <w:szCs w:val="28"/>
        </w:rPr>
      </w:pPr>
      <w:r w:rsidRPr="00D566A3">
        <w:rPr>
          <w:sz w:val="28"/>
          <w:szCs w:val="28"/>
        </w:rPr>
        <w:t>2.</w:t>
      </w:r>
      <w:r w:rsidR="000A6F12" w:rsidRPr="00D566A3">
        <w:rPr>
          <w:sz w:val="28"/>
          <w:szCs w:val="28"/>
        </w:rPr>
        <w:tab/>
      </w:r>
      <w:r w:rsidRPr="00D566A3">
        <w:rPr>
          <w:sz w:val="28"/>
          <w:szCs w:val="28"/>
        </w:rPr>
        <w:t>The first defendant is ordered to pay the first plaintiff’s costs of suit</w:t>
      </w:r>
      <w:r w:rsidR="000A6F12" w:rsidRPr="00D566A3">
        <w:rPr>
          <w:sz w:val="28"/>
          <w:szCs w:val="28"/>
        </w:rPr>
        <w:t>,</w:t>
      </w:r>
      <w:r w:rsidRPr="00D566A3">
        <w:rPr>
          <w:sz w:val="28"/>
          <w:szCs w:val="28"/>
        </w:rPr>
        <w:t xml:space="preserve"> including costs occasioned by the employment of two counsel </w:t>
      </w:r>
      <w:r w:rsidR="00E810C0" w:rsidRPr="00D566A3">
        <w:rPr>
          <w:sz w:val="28"/>
          <w:szCs w:val="28"/>
        </w:rPr>
        <w:t>where</w:t>
      </w:r>
      <w:r w:rsidRPr="00D566A3">
        <w:rPr>
          <w:sz w:val="28"/>
          <w:szCs w:val="28"/>
        </w:rPr>
        <w:t xml:space="preserve"> so employed</w:t>
      </w:r>
      <w:r w:rsidR="00927214" w:rsidRPr="00D566A3">
        <w:rPr>
          <w:sz w:val="28"/>
          <w:szCs w:val="28"/>
        </w:rPr>
        <w:t>. These costs shall</w:t>
      </w:r>
      <w:r w:rsidRPr="00D566A3">
        <w:rPr>
          <w:sz w:val="28"/>
          <w:szCs w:val="28"/>
        </w:rPr>
        <w:t xml:space="preserve"> includ</w:t>
      </w:r>
      <w:r w:rsidR="00927214" w:rsidRPr="00D566A3">
        <w:rPr>
          <w:sz w:val="28"/>
          <w:szCs w:val="28"/>
        </w:rPr>
        <w:t>e:</w:t>
      </w:r>
    </w:p>
    <w:p w14:paraId="16D5CCC1" w14:textId="13491036" w:rsidR="00927214" w:rsidRPr="00D566A3" w:rsidRDefault="00927214" w:rsidP="005E6A4F">
      <w:pPr>
        <w:ind w:left="720"/>
        <w:rPr>
          <w:sz w:val="28"/>
          <w:szCs w:val="28"/>
        </w:rPr>
      </w:pPr>
      <w:r w:rsidRPr="00D566A3">
        <w:rPr>
          <w:sz w:val="28"/>
          <w:szCs w:val="28"/>
        </w:rPr>
        <w:t>(i)</w:t>
      </w:r>
      <w:r w:rsidR="000A6F12" w:rsidRPr="00D566A3">
        <w:rPr>
          <w:sz w:val="28"/>
          <w:szCs w:val="28"/>
        </w:rPr>
        <w:tab/>
      </w:r>
      <w:r w:rsidR="0010252F" w:rsidRPr="00D566A3">
        <w:rPr>
          <w:sz w:val="28"/>
          <w:szCs w:val="28"/>
        </w:rPr>
        <w:t>the cost of preparation for, and attendance of</w:t>
      </w:r>
      <w:r w:rsidR="000A6F12" w:rsidRPr="00D566A3">
        <w:rPr>
          <w:sz w:val="28"/>
          <w:szCs w:val="28"/>
        </w:rPr>
        <w:t>,</w:t>
      </w:r>
      <w:r w:rsidR="0010252F" w:rsidRPr="00D566A3">
        <w:rPr>
          <w:sz w:val="28"/>
          <w:szCs w:val="28"/>
        </w:rPr>
        <w:t xml:space="preserve"> all pre</w:t>
      </w:r>
      <w:r w:rsidR="00E810C0" w:rsidRPr="00D566A3">
        <w:rPr>
          <w:sz w:val="28"/>
          <w:szCs w:val="28"/>
        </w:rPr>
        <w:t>-</w:t>
      </w:r>
      <w:r w:rsidR="0010252F" w:rsidRPr="00D566A3">
        <w:rPr>
          <w:sz w:val="28"/>
          <w:szCs w:val="28"/>
        </w:rPr>
        <w:t>trial conferences that were held and attended by them, as well as the drafting and settling of the pre-trial agendas and minutes</w:t>
      </w:r>
      <w:r w:rsidR="000A6F12" w:rsidRPr="00D566A3">
        <w:rPr>
          <w:sz w:val="28"/>
          <w:szCs w:val="28"/>
        </w:rPr>
        <w:t>;</w:t>
      </w:r>
      <w:r w:rsidR="0010252F" w:rsidRPr="00D566A3">
        <w:rPr>
          <w:sz w:val="28"/>
          <w:szCs w:val="28"/>
        </w:rPr>
        <w:t xml:space="preserve"> </w:t>
      </w:r>
      <w:r w:rsidR="000A6F12" w:rsidRPr="00D566A3">
        <w:rPr>
          <w:sz w:val="28"/>
          <w:szCs w:val="28"/>
        </w:rPr>
        <w:t xml:space="preserve">and </w:t>
      </w:r>
      <w:r w:rsidR="0010252F" w:rsidRPr="00D566A3">
        <w:rPr>
          <w:sz w:val="28"/>
          <w:szCs w:val="28"/>
        </w:rPr>
        <w:t>the plaintiffs’ costs of obtaining the medical legal reports of the plaintiffs’ experts relating to the issue of liability</w:t>
      </w:r>
      <w:r w:rsidR="000A6F12" w:rsidRPr="00D566A3">
        <w:rPr>
          <w:sz w:val="28"/>
          <w:szCs w:val="28"/>
        </w:rPr>
        <w:t>,</w:t>
      </w:r>
      <w:r w:rsidR="0010252F" w:rsidRPr="00D566A3">
        <w:rPr>
          <w:sz w:val="28"/>
          <w:szCs w:val="28"/>
        </w:rPr>
        <w:t xml:space="preserve"> including the cost of counsel for drafting the plaintiffs’ expert summaries in respect of the issue of liability </w:t>
      </w:r>
      <w:r w:rsidRPr="00D566A3">
        <w:rPr>
          <w:sz w:val="28"/>
          <w:szCs w:val="28"/>
        </w:rPr>
        <w:t xml:space="preserve">in which </w:t>
      </w:r>
      <w:r w:rsidR="0010252F" w:rsidRPr="00D566A3">
        <w:rPr>
          <w:sz w:val="28"/>
          <w:szCs w:val="28"/>
        </w:rPr>
        <w:t>formal notice</w:t>
      </w:r>
      <w:r w:rsidRPr="00D566A3">
        <w:rPr>
          <w:sz w:val="28"/>
          <w:szCs w:val="28"/>
        </w:rPr>
        <w:t xml:space="preserve"> was </w:t>
      </w:r>
      <w:r w:rsidR="0010252F" w:rsidRPr="00D566A3">
        <w:rPr>
          <w:sz w:val="28"/>
          <w:szCs w:val="28"/>
        </w:rPr>
        <w:t>given in terms of</w:t>
      </w:r>
      <w:r w:rsidRPr="00D566A3">
        <w:rPr>
          <w:sz w:val="28"/>
          <w:szCs w:val="28"/>
        </w:rPr>
        <w:t xml:space="preserve"> </w:t>
      </w:r>
      <w:r w:rsidR="000A6F12" w:rsidRPr="00D566A3">
        <w:rPr>
          <w:sz w:val="28"/>
          <w:szCs w:val="28"/>
        </w:rPr>
        <w:t>r</w:t>
      </w:r>
      <w:r w:rsidR="0010252F" w:rsidRPr="00D566A3">
        <w:rPr>
          <w:sz w:val="28"/>
          <w:szCs w:val="28"/>
        </w:rPr>
        <w:t>ule 36(9)</w:t>
      </w:r>
      <w:r w:rsidR="0010252F" w:rsidRPr="00D566A3">
        <w:rPr>
          <w:i/>
          <w:sz w:val="28"/>
          <w:szCs w:val="28"/>
        </w:rPr>
        <w:t>(a)</w:t>
      </w:r>
      <w:r w:rsidR="0010252F" w:rsidRPr="00D566A3">
        <w:rPr>
          <w:sz w:val="28"/>
          <w:szCs w:val="28"/>
        </w:rPr>
        <w:t xml:space="preserve"> and </w:t>
      </w:r>
      <w:r w:rsidR="0010252F" w:rsidRPr="00D566A3">
        <w:rPr>
          <w:i/>
          <w:sz w:val="28"/>
          <w:szCs w:val="28"/>
        </w:rPr>
        <w:t>(b)</w:t>
      </w:r>
      <w:r w:rsidRPr="00D566A3">
        <w:rPr>
          <w:sz w:val="28"/>
          <w:szCs w:val="28"/>
        </w:rPr>
        <w:t>;</w:t>
      </w:r>
    </w:p>
    <w:p w14:paraId="4DDB9EAE" w14:textId="798CE215" w:rsidR="004A2C05" w:rsidRPr="00D566A3" w:rsidRDefault="00927214" w:rsidP="005E6A4F">
      <w:pPr>
        <w:ind w:left="720"/>
        <w:rPr>
          <w:sz w:val="28"/>
          <w:szCs w:val="28"/>
        </w:rPr>
      </w:pPr>
      <w:r w:rsidRPr="00D566A3">
        <w:rPr>
          <w:sz w:val="28"/>
          <w:szCs w:val="28"/>
        </w:rPr>
        <w:t>(ii)</w:t>
      </w:r>
      <w:r w:rsidR="000A6F12" w:rsidRPr="00D566A3">
        <w:rPr>
          <w:sz w:val="28"/>
          <w:szCs w:val="28"/>
        </w:rPr>
        <w:tab/>
      </w:r>
      <w:r w:rsidR="0010252F" w:rsidRPr="00D566A3">
        <w:rPr>
          <w:sz w:val="28"/>
          <w:szCs w:val="28"/>
        </w:rPr>
        <w:t xml:space="preserve">the cost of preparation, qualifying and reservation </w:t>
      </w:r>
      <w:r w:rsidR="004A2C05" w:rsidRPr="00D566A3">
        <w:rPr>
          <w:sz w:val="28"/>
          <w:szCs w:val="28"/>
        </w:rPr>
        <w:t>of the plaintiffs’ experts in respect of</w:t>
      </w:r>
      <w:r w:rsidR="0010252F" w:rsidRPr="00D566A3">
        <w:rPr>
          <w:sz w:val="28"/>
          <w:szCs w:val="28"/>
        </w:rPr>
        <w:t xml:space="preserve"> </w:t>
      </w:r>
      <w:r w:rsidRPr="00D566A3">
        <w:rPr>
          <w:sz w:val="28"/>
          <w:szCs w:val="28"/>
        </w:rPr>
        <w:t xml:space="preserve">the </w:t>
      </w:r>
      <w:r w:rsidR="0010252F" w:rsidRPr="00D566A3">
        <w:rPr>
          <w:sz w:val="28"/>
          <w:szCs w:val="28"/>
        </w:rPr>
        <w:t>liability</w:t>
      </w:r>
      <w:r w:rsidR="004A2C05" w:rsidRPr="00D566A3">
        <w:rPr>
          <w:sz w:val="28"/>
          <w:szCs w:val="28"/>
        </w:rPr>
        <w:t xml:space="preserve"> </w:t>
      </w:r>
      <w:r w:rsidR="0010252F" w:rsidRPr="00D566A3">
        <w:rPr>
          <w:sz w:val="28"/>
          <w:szCs w:val="28"/>
        </w:rPr>
        <w:t xml:space="preserve">trial of whom notice </w:t>
      </w:r>
      <w:r w:rsidRPr="00D566A3">
        <w:rPr>
          <w:sz w:val="28"/>
          <w:szCs w:val="28"/>
        </w:rPr>
        <w:t xml:space="preserve">was </w:t>
      </w:r>
      <w:r w:rsidR="0010252F" w:rsidRPr="00D566A3">
        <w:rPr>
          <w:sz w:val="28"/>
          <w:szCs w:val="28"/>
        </w:rPr>
        <w:t>given</w:t>
      </w:r>
      <w:r w:rsidR="001964C9" w:rsidRPr="00D566A3">
        <w:rPr>
          <w:sz w:val="28"/>
          <w:szCs w:val="28"/>
        </w:rPr>
        <w:t xml:space="preserve"> in</w:t>
      </w:r>
      <w:r w:rsidR="0010252F" w:rsidRPr="00D566A3">
        <w:rPr>
          <w:sz w:val="28"/>
          <w:szCs w:val="28"/>
        </w:rPr>
        <w:t xml:space="preserve"> terms of </w:t>
      </w:r>
      <w:r w:rsidR="000A6F12" w:rsidRPr="00D566A3">
        <w:rPr>
          <w:sz w:val="28"/>
          <w:szCs w:val="28"/>
        </w:rPr>
        <w:t>r</w:t>
      </w:r>
      <w:r w:rsidR="0010252F" w:rsidRPr="00D566A3">
        <w:rPr>
          <w:sz w:val="28"/>
          <w:szCs w:val="28"/>
        </w:rPr>
        <w:t>ule 36(9)</w:t>
      </w:r>
      <w:r w:rsidR="0010252F" w:rsidRPr="00D566A3">
        <w:rPr>
          <w:i/>
          <w:sz w:val="28"/>
          <w:szCs w:val="28"/>
        </w:rPr>
        <w:t>(a)</w:t>
      </w:r>
      <w:r w:rsidR="0010252F" w:rsidRPr="00D566A3">
        <w:rPr>
          <w:sz w:val="28"/>
          <w:szCs w:val="28"/>
        </w:rPr>
        <w:t xml:space="preserve"> and </w:t>
      </w:r>
      <w:r w:rsidR="0010252F" w:rsidRPr="00D566A3">
        <w:rPr>
          <w:i/>
          <w:sz w:val="28"/>
          <w:szCs w:val="28"/>
        </w:rPr>
        <w:t>(b)</w:t>
      </w:r>
      <w:r w:rsidRPr="00D566A3">
        <w:rPr>
          <w:sz w:val="28"/>
          <w:szCs w:val="28"/>
        </w:rPr>
        <w:t>,</w:t>
      </w:r>
      <w:r w:rsidR="0010252F" w:rsidRPr="00D566A3">
        <w:rPr>
          <w:sz w:val="28"/>
          <w:szCs w:val="28"/>
        </w:rPr>
        <w:t xml:space="preserve"> including the cost</w:t>
      </w:r>
      <w:r w:rsidRPr="00D566A3">
        <w:rPr>
          <w:sz w:val="28"/>
          <w:szCs w:val="28"/>
        </w:rPr>
        <w:t>s</w:t>
      </w:r>
      <w:r w:rsidR="0010252F" w:rsidRPr="00D566A3">
        <w:rPr>
          <w:sz w:val="28"/>
          <w:szCs w:val="28"/>
        </w:rPr>
        <w:t xml:space="preserve"> of consultations by the plaintiffs’ </w:t>
      </w:r>
      <w:r w:rsidR="0010252F" w:rsidRPr="00D566A3">
        <w:rPr>
          <w:sz w:val="28"/>
          <w:szCs w:val="28"/>
        </w:rPr>
        <w:lastRenderedPageBreak/>
        <w:t>legal representatives with these experts and the costs of these experts in preparation for and holding</w:t>
      </w:r>
      <w:r w:rsidRPr="00D566A3">
        <w:rPr>
          <w:sz w:val="28"/>
          <w:szCs w:val="28"/>
        </w:rPr>
        <w:t xml:space="preserve"> </w:t>
      </w:r>
      <w:r w:rsidR="0010252F" w:rsidRPr="00D566A3">
        <w:rPr>
          <w:sz w:val="28"/>
          <w:szCs w:val="28"/>
        </w:rPr>
        <w:t>joint meetings with their respective counterparts, and preparing joint minutes, if any</w:t>
      </w:r>
      <w:r w:rsidR="004A2C05" w:rsidRPr="00D566A3">
        <w:rPr>
          <w:sz w:val="28"/>
          <w:szCs w:val="28"/>
        </w:rPr>
        <w:t>. These costs are for the following experts:</w:t>
      </w:r>
      <w:r w:rsidR="0010252F" w:rsidRPr="00D566A3">
        <w:rPr>
          <w:sz w:val="28"/>
          <w:szCs w:val="28"/>
        </w:rPr>
        <w:t xml:space="preserve"> (a) Prof </w:t>
      </w:r>
      <w:r w:rsidR="002E7A7D" w:rsidRPr="00D566A3">
        <w:rPr>
          <w:sz w:val="28"/>
          <w:szCs w:val="28"/>
        </w:rPr>
        <w:t xml:space="preserve">André </w:t>
      </w:r>
      <w:r w:rsidR="0010252F" w:rsidRPr="00D566A3">
        <w:rPr>
          <w:sz w:val="28"/>
          <w:szCs w:val="28"/>
        </w:rPr>
        <w:t xml:space="preserve">Coetzee, (b) Prof Lee Wallace, (c) Prof Isabel Coetzee, </w:t>
      </w:r>
      <w:r w:rsidR="000966DC" w:rsidRPr="00D566A3">
        <w:rPr>
          <w:sz w:val="28"/>
          <w:szCs w:val="28"/>
        </w:rPr>
        <w:t xml:space="preserve">and </w:t>
      </w:r>
      <w:r w:rsidR="0010252F" w:rsidRPr="00D566A3">
        <w:rPr>
          <w:sz w:val="28"/>
          <w:szCs w:val="28"/>
        </w:rPr>
        <w:t>(d) Dr Izak A J Loftus</w:t>
      </w:r>
      <w:r w:rsidR="000966DC" w:rsidRPr="00D566A3">
        <w:rPr>
          <w:sz w:val="28"/>
          <w:szCs w:val="28"/>
        </w:rPr>
        <w:t>;</w:t>
      </w:r>
      <w:r w:rsidR="0010252F" w:rsidRPr="00D566A3">
        <w:rPr>
          <w:sz w:val="28"/>
          <w:szCs w:val="28"/>
        </w:rPr>
        <w:t xml:space="preserve"> and the fees of Prof </w:t>
      </w:r>
      <w:r w:rsidR="00381725" w:rsidRPr="00D566A3">
        <w:rPr>
          <w:sz w:val="28"/>
          <w:szCs w:val="28"/>
        </w:rPr>
        <w:t xml:space="preserve">André </w:t>
      </w:r>
      <w:r w:rsidR="0010252F" w:rsidRPr="00D566A3">
        <w:rPr>
          <w:sz w:val="28"/>
          <w:szCs w:val="28"/>
        </w:rPr>
        <w:t>Coetzee for testifying at the liability trial as an expert witness for the plaintiffs</w:t>
      </w:r>
      <w:r w:rsidR="004A2C05" w:rsidRPr="00D566A3">
        <w:rPr>
          <w:sz w:val="28"/>
          <w:szCs w:val="28"/>
        </w:rPr>
        <w:t>.</w:t>
      </w:r>
    </w:p>
    <w:p w14:paraId="787E1EB3" w14:textId="2CCA41B5" w:rsidR="0010252F" w:rsidRPr="00D566A3" w:rsidRDefault="004A2C05" w:rsidP="004046F7">
      <w:pPr>
        <w:ind w:left="709"/>
        <w:rPr>
          <w:sz w:val="28"/>
          <w:szCs w:val="28"/>
        </w:rPr>
      </w:pPr>
      <w:r w:rsidRPr="00D566A3">
        <w:rPr>
          <w:sz w:val="28"/>
          <w:szCs w:val="28"/>
        </w:rPr>
        <w:t>(ii</w:t>
      </w:r>
      <w:r w:rsidR="000966DC" w:rsidRPr="00D566A3">
        <w:rPr>
          <w:sz w:val="28"/>
          <w:szCs w:val="28"/>
        </w:rPr>
        <w:t>i</w:t>
      </w:r>
      <w:r w:rsidRPr="00D566A3">
        <w:rPr>
          <w:sz w:val="28"/>
          <w:szCs w:val="28"/>
        </w:rPr>
        <w:t>)</w:t>
      </w:r>
      <w:r w:rsidR="000966DC" w:rsidRPr="00D566A3">
        <w:rPr>
          <w:sz w:val="28"/>
          <w:szCs w:val="28"/>
        </w:rPr>
        <w:tab/>
      </w:r>
      <w:r w:rsidRPr="00D566A3">
        <w:rPr>
          <w:sz w:val="28"/>
          <w:szCs w:val="28"/>
        </w:rPr>
        <w:t>t</w:t>
      </w:r>
      <w:r w:rsidR="0010252F" w:rsidRPr="00D566A3">
        <w:rPr>
          <w:sz w:val="28"/>
          <w:szCs w:val="28"/>
        </w:rPr>
        <w:t xml:space="preserve">he costs of having the proceedings of 28 May, 29 May, 3 June and 5 June 2019 transcribed for purposes of the court and the argument submitted to the court.   </w:t>
      </w:r>
    </w:p>
    <w:p w14:paraId="196CC3F3" w14:textId="66477CD1" w:rsidR="0010252F" w:rsidRPr="00D566A3" w:rsidRDefault="00A209EA" w:rsidP="004A2C05">
      <w:pPr>
        <w:ind w:left="709"/>
        <w:rPr>
          <w:bCs/>
          <w:sz w:val="28"/>
          <w:szCs w:val="28"/>
        </w:rPr>
      </w:pPr>
      <w:r w:rsidRPr="00D566A3">
        <w:rPr>
          <w:sz w:val="28"/>
          <w:szCs w:val="28"/>
        </w:rPr>
        <w:t>3.</w:t>
      </w:r>
      <w:r w:rsidR="000966DC" w:rsidRPr="00D566A3">
        <w:rPr>
          <w:sz w:val="28"/>
          <w:szCs w:val="28"/>
        </w:rPr>
        <w:tab/>
      </w:r>
      <w:r w:rsidR="0010252F" w:rsidRPr="00D566A3">
        <w:rPr>
          <w:sz w:val="28"/>
          <w:szCs w:val="28"/>
        </w:rPr>
        <w:t xml:space="preserve">The claims of the second plaintiff in a personal capacity, and in her representative capacity, on behalf of the minor children, Declan and Keziah, are postponed </w:t>
      </w:r>
      <w:r w:rsidR="0010252F" w:rsidRPr="00D566A3">
        <w:rPr>
          <w:i/>
          <w:sz w:val="28"/>
          <w:szCs w:val="28"/>
        </w:rPr>
        <w:t xml:space="preserve">sine die </w:t>
      </w:r>
      <w:r w:rsidR="0010252F" w:rsidRPr="00D566A3">
        <w:rPr>
          <w:sz w:val="28"/>
          <w:szCs w:val="28"/>
        </w:rPr>
        <w:t xml:space="preserve">to be determined together with the quantum of the first plaintiff’s claim for damages against the first defendant. </w:t>
      </w:r>
    </w:p>
    <w:p w14:paraId="7CA5F9FF" w14:textId="0328FEAB" w:rsidR="00A209EA" w:rsidRPr="00D566A3" w:rsidRDefault="00B34BBB" w:rsidP="004A2C05">
      <w:pPr>
        <w:tabs>
          <w:tab w:val="left" w:pos="900"/>
        </w:tabs>
        <w:ind w:left="709"/>
        <w:rPr>
          <w:sz w:val="28"/>
          <w:szCs w:val="28"/>
        </w:rPr>
      </w:pPr>
      <w:r w:rsidRPr="00D566A3">
        <w:rPr>
          <w:sz w:val="28"/>
          <w:szCs w:val="28"/>
        </w:rPr>
        <w:t>4.</w:t>
      </w:r>
      <w:r w:rsidR="000966DC" w:rsidRPr="00D566A3">
        <w:rPr>
          <w:sz w:val="28"/>
          <w:szCs w:val="28"/>
        </w:rPr>
        <w:tab/>
      </w:r>
      <w:r w:rsidR="00A209EA" w:rsidRPr="00D566A3">
        <w:rPr>
          <w:sz w:val="28"/>
          <w:szCs w:val="28"/>
        </w:rPr>
        <w:t>The action against the second defendant is dismissed with costs.’</w:t>
      </w:r>
    </w:p>
    <w:p w14:paraId="6E1D3287" w14:textId="78F9BA4D" w:rsidR="0010252F" w:rsidRPr="00D566A3" w:rsidRDefault="0010252F" w:rsidP="0010252F">
      <w:pPr>
        <w:pBdr>
          <w:bottom w:val="single" w:sz="12" w:space="1" w:color="auto"/>
        </w:pBdr>
        <w:rPr>
          <w:b/>
          <w:i/>
          <w:szCs w:val="28"/>
        </w:rPr>
      </w:pPr>
    </w:p>
    <w:p w14:paraId="71284E64" w14:textId="77777777" w:rsidR="0010252F" w:rsidRPr="00D566A3" w:rsidRDefault="0010252F" w:rsidP="008C302E">
      <w:pPr>
        <w:pBdr>
          <w:bottom w:val="single" w:sz="12" w:space="1" w:color="auto"/>
        </w:pBdr>
        <w:spacing w:line="240" w:lineRule="auto"/>
        <w:rPr>
          <w:b/>
          <w:i/>
          <w:szCs w:val="28"/>
        </w:rPr>
      </w:pPr>
      <w:r w:rsidRPr="00D566A3">
        <w:rPr>
          <w:noProof/>
          <w:sz w:val="28"/>
          <w:szCs w:val="28"/>
          <w:lang w:val="en-ZA" w:eastAsia="en-ZA"/>
        </w:rPr>
        <mc:AlternateContent>
          <mc:Choice Requires="wps">
            <w:drawing>
              <wp:anchor distT="0" distB="0" distL="114300" distR="114300" simplePos="0" relativeHeight="251661312" behindDoc="0" locked="0" layoutInCell="1" allowOverlap="1" wp14:anchorId="3E52F7A4" wp14:editId="0FF322E0">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D1291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2543B27" w14:textId="77777777" w:rsidR="0010252F" w:rsidRPr="00D566A3" w:rsidRDefault="0010252F" w:rsidP="0010252F">
      <w:pPr>
        <w:pStyle w:val="Heading3"/>
        <w:pBdr>
          <w:bottom w:val="single" w:sz="12" w:space="12" w:color="auto"/>
        </w:pBdr>
        <w:jc w:val="center"/>
        <w:rPr>
          <w:rFonts w:ascii="Times New Roman" w:hAnsi="Times New Roman" w:cs="Times New Roman"/>
          <w:b/>
          <w:i w:val="0"/>
          <w:szCs w:val="28"/>
        </w:rPr>
      </w:pPr>
    </w:p>
    <w:p w14:paraId="646E2580" w14:textId="77777777" w:rsidR="0010252F" w:rsidRPr="00D566A3" w:rsidRDefault="0010252F" w:rsidP="0010252F">
      <w:pPr>
        <w:pStyle w:val="Heading3"/>
        <w:pBdr>
          <w:bottom w:val="single" w:sz="12" w:space="12" w:color="auto"/>
        </w:pBdr>
        <w:jc w:val="center"/>
      </w:pPr>
      <w:r w:rsidRPr="00D566A3">
        <w:rPr>
          <w:rFonts w:ascii="Times New Roman" w:hAnsi="Times New Roman" w:cs="Times New Roman"/>
          <w:b/>
          <w:i w:val="0"/>
          <w:szCs w:val="28"/>
        </w:rPr>
        <w:t>JUDGMENT</w:t>
      </w:r>
    </w:p>
    <w:p w14:paraId="70A193A3" w14:textId="77777777" w:rsidR="0010252F" w:rsidRPr="00D566A3" w:rsidRDefault="0010252F" w:rsidP="008C302E">
      <w:pPr>
        <w:spacing w:line="240" w:lineRule="auto"/>
        <w:rPr>
          <w:b/>
          <w:sz w:val="28"/>
          <w:szCs w:val="28"/>
        </w:rPr>
      </w:pPr>
    </w:p>
    <w:p w14:paraId="01A9C2E3" w14:textId="4B6E4208" w:rsidR="0010252F" w:rsidRPr="00D566A3" w:rsidRDefault="0010252F" w:rsidP="0010252F">
      <w:pPr>
        <w:rPr>
          <w:b/>
          <w:sz w:val="28"/>
          <w:szCs w:val="28"/>
        </w:rPr>
      </w:pPr>
      <w:r w:rsidRPr="00D566A3">
        <w:rPr>
          <w:b/>
          <w:sz w:val="28"/>
          <w:szCs w:val="28"/>
        </w:rPr>
        <w:t>Mabindla-Boqwana JA (</w:t>
      </w:r>
      <w:r w:rsidR="00413A39" w:rsidRPr="00D566A3">
        <w:rPr>
          <w:b/>
          <w:sz w:val="28"/>
          <w:szCs w:val="28"/>
        </w:rPr>
        <w:t xml:space="preserve">Van der Merwe and Plasket JJA and Chetty and Masipa AJJA </w:t>
      </w:r>
      <w:r w:rsidRPr="00D566A3">
        <w:rPr>
          <w:b/>
          <w:sz w:val="28"/>
          <w:szCs w:val="28"/>
        </w:rPr>
        <w:t>concurring):</w:t>
      </w:r>
    </w:p>
    <w:p w14:paraId="68A63CE1" w14:textId="77777777" w:rsidR="0010252F" w:rsidRPr="00D566A3" w:rsidRDefault="0010252F" w:rsidP="0010252F">
      <w:pPr>
        <w:rPr>
          <w:b/>
          <w:sz w:val="28"/>
          <w:szCs w:val="28"/>
        </w:rPr>
      </w:pPr>
    </w:p>
    <w:p w14:paraId="4C7A6957" w14:textId="77777777" w:rsidR="0010252F" w:rsidRPr="00D566A3" w:rsidRDefault="0010252F" w:rsidP="0010252F">
      <w:pPr>
        <w:rPr>
          <w:b/>
          <w:sz w:val="28"/>
          <w:szCs w:val="28"/>
        </w:rPr>
      </w:pPr>
      <w:r w:rsidRPr="00D566A3">
        <w:rPr>
          <w:b/>
          <w:sz w:val="28"/>
          <w:szCs w:val="28"/>
        </w:rPr>
        <w:t>Introduction</w:t>
      </w:r>
    </w:p>
    <w:p w14:paraId="0F281F9A" w14:textId="0F63807E" w:rsidR="00E71049" w:rsidRPr="00D566A3" w:rsidRDefault="0010252F" w:rsidP="00E71049">
      <w:pPr>
        <w:numPr>
          <w:ilvl w:val="0"/>
          <w:numId w:val="1"/>
        </w:numPr>
        <w:tabs>
          <w:tab w:val="left" w:pos="0"/>
        </w:tabs>
        <w:ind w:left="0"/>
        <w:rPr>
          <w:sz w:val="28"/>
          <w:szCs w:val="28"/>
        </w:rPr>
      </w:pPr>
      <w:r w:rsidRPr="00D566A3">
        <w:rPr>
          <w:sz w:val="28"/>
          <w:szCs w:val="28"/>
        </w:rPr>
        <w:t xml:space="preserve">The </w:t>
      </w:r>
      <w:r w:rsidR="00E71049" w:rsidRPr="00D566A3">
        <w:rPr>
          <w:sz w:val="28"/>
          <w:szCs w:val="28"/>
        </w:rPr>
        <w:t xml:space="preserve">central issue in this appeal is whether the appellants </w:t>
      </w:r>
      <w:r w:rsidR="00FA59A1" w:rsidRPr="00D566A3">
        <w:rPr>
          <w:sz w:val="28"/>
          <w:szCs w:val="28"/>
        </w:rPr>
        <w:t>a</w:t>
      </w:r>
      <w:r w:rsidR="00E71049" w:rsidRPr="00D566A3">
        <w:rPr>
          <w:sz w:val="28"/>
          <w:szCs w:val="28"/>
        </w:rPr>
        <w:t xml:space="preserve">re </w:t>
      </w:r>
      <w:r w:rsidR="00FA59A1" w:rsidRPr="00D566A3">
        <w:rPr>
          <w:sz w:val="28"/>
          <w:szCs w:val="28"/>
        </w:rPr>
        <w:t>liable for the brain injury sustained by</w:t>
      </w:r>
      <w:r w:rsidR="00497C91" w:rsidRPr="00D566A3">
        <w:rPr>
          <w:sz w:val="28"/>
          <w:szCs w:val="28"/>
        </w:rPr>
        <w:t xml:space="preserve"> </w:t>
      </w:r>
      <w:r w:rsidR="00E71049" w:rsidRPr="00D566A3">
        <w:rPr>
          <w:sz w:val="28"/>
          <w:szCs w:val="28"/>
        </w:rPr>
        <w:t xml:space="preserve">Mr David Robin Shearer, </w:t>
      </w:r>
      <w:r w:rsidR="008C302E" w:rsidRPr="00D566A3">
        <w:rPr>
          <w:sz w:val="28"/>
          <w:szCs w:val="28"/>
        </w:rPr>
        <w:t xml:space="preserve">who was admitted as a patient in </w:t>
      </w:r>
      <w:r w:rsidR="00E71049" w:rsidRPr="00D566A3">
        <w:rPr>
          <w:sz w:val="28"/>
          <w:szCs w:val="28"/>
        </w:rPr>
        <w:t xml:space="preserve">the emergency unit of Life Westville Hospital (the hospital) on 27 December 2014. Mr Shearer, who was 43 years old at the time, was brought to the hospital’s emergency </w:t>
      </w:r>
      <w:r w:rsidR="00E71049" w:rsidRPr="00D566A3">
        <w:rPr>
          <w:sz w:val="28"/>
          <w:szCs w:val="28"/>
        </w:rPr>
        <w:lastRenderedPageBreak/>
        <w:t xml:space="preserve">unit by his wife, </w:t>
      </w:r>
      <w:r w:rsidR="00B34BBB" w:rsidRPr="00D566A3">
        <w:rPr>
          <w:sz w:val="28"/>
          <w:szCs w:val="28"/>
        </w:rPr>
        <w:t xml:space="preserve">the </w:t>
      </w:r>
      <w:r w:rsidR="005B3EFF" w:rsidRPr="00D566A3">
        <w:rPr>
          <w:sz w:val="28"/>
          <w:szCs w:val="28"/>
        </w:rPr>
        <w:t xml:space="preserve">second respondent, </w:t>
      </w:r>
      <w:r w:rsidR="00E71049" w:rsidRPr="00D566A3">
        <w:rPr>
          <w:sz w:val="28"/>
          <w:szCs w:val="28"/>
        </w:rPr>
        <w:t xml:space="preserve">Mrs Justine Shearer, after he reportedly consumed an unknown quantity of tablets </w:t>
      </w:r>
      <w:r w:rsidR="00FA59A1" w:rsidRPr="00D566A3">
        <w:rPr>
          <w:sz w:val="28"/>
          <w:szCs w:val="28"/>
        </w:rPr>
        <w:t xml:space="preserve">in </w:t>
      </w:r>
      <w:r w:rsidR="004B4110" w:rsidRPr="00D566A3">
        <w:rPr>
          <w:sz w:val="28"/>
          <w:szCs w:val="28"/>
        </w:rPr>
        <w:t>combination</w:t>
      </w:r>
      <w:r w:rsidR="00E71049" w:rsidRPr="00D566A3">
        <w:rPr>
          <w:sz w:val="28"/>
          <w:szCs w:val="28"/>
        </w:rPr>
        <w:t xml:space="preserve"> with alcohol. </w:t>
      </w:r>
      <w:r w:rsidR="00FE7CC6" w:rsidRPr="00D566A3">
        <w:rPr>
          <w:sz w:val="28"/>
          <w:szCs w:val="28"/>
        </w:rPr>
        <w:t xml:space="preserve">Shortly after his arrival, </w:t>
      </w:r>
      <w:r w:rsidR="005B3EFF" w:rsidRPr="00D566A3">
        <w:rPr>
          <w:sz w:val="28"/>
          <w:szCs w:val="28"/>
        </w:rPr>
        <w:t>the first appellant, Dr Sudhir Mohun, examined him</w:t>
      </w:r>
      <w:r w:rsidR="00E71049" w:rsidRPr="00D566A3">
        <w:rPr>
          <w:sz w:val="28"/>
          <w:szCs w:val="28"/>
        </w:rPr>
        <w:t>. It is common cause that during the course of that evening, Mr Shearer became hypoxic</w:t>
      </w:r>
      <w:r w:rsidR="00E71049" w:rsidRPr="00D566A3">
        <w:rPr>
          <w:rStyle w:val="FootnoteReference"/>
          <w:sz w:val="28"/>
          <w:szCs w:val="28"/>
        </w:rPr>
        <w:footnoteReference w:id="1"/>
      </w:r>
      <w:r w:rsidR="00E71049" w:rsidRPr="00D566A3">
        <w:rPr>
          <w:sz w:val="28"/>
          <w:szCs w:val="28"/>
        </w:rPr>
        <w:t xml:space="preserve"> and suffered from cardiac arrest, which led </w:t>
      </w:r>
      <w:r w:rsidR="008C302E" w:rsidRPr="00D566A3">
        <w:rPr>
          <w:sz w:val="28"/>
          <w:szCs w:val="28"/>
        </w:rPr>
        <w:t xml:space="preserve">to </w:t>
      </w:r>
      <w:r w:rsidR="00E71049" w:rsidRPr="00D566A3">
        <w:rPr>
          <w:sz w:val="28"/>
          <w:szCs w:val="28"/>
        </w:rPr>
        <w:t>permanent brain damage.</w:t>
      </w:r>
    </w:p>
    <w:p w14:paraId="11510721" w14:textId="77777777" w:rsidR="00E71049" w:rsidRPr="00D566A3" w:rsidRDefault="00E71049" w:rsidP="00E71049">
      <w:pPr>
        <w:tabs>
          <w:tab w:val="left" w:pos="0"/>
        </w:tabs>
        <w:rPr>
          <w:sz w:val="28"/>
          <w:szCs w:val="28"/>
        </w:rPr>
      </w:pPr>
    </w:p>
    <w:p w14:paraId="6C8B2898" w14:textId="5F10A28A" w:rsidR="00E71049" w:rsidRPr="00D566A3" w:rsidRDefault="00E71049" w:rsidP="00E71049">
      <w:pPr>
        <w:numPr>
          <w:ilvl w:val="0"/>
          <w:numId w:val="1"/>
        </w:numPr>
        <w:tabs>
          <w:tab w:val="left" w:pos="0"/>
        </w:tabs>
        <w:ind w:left="0"/>
        <w:rPr>
          <w:sz w:val="28"/>
          <w:szCs w:val="28"/>
        </w:rPr>
      </w:pPr>
      <w:r w:rsidRPr="00D566A3">
        <w:rPr>
          <w:sz w:val="28"/>
          <w:szCs w:val="28"/>
        </w:rPr>
        <w:t>The first appellant is a specialist physician who was</w:t>
      </w:r>
      <w:r w:rsidR="008C302E" w:rsidRPr="00D566A3">
        <w:rPr>
          <w:sz w:val="28"/>
          <w:szCs w:val="28"/>
        </w:rPr>
        <w:t>,</w:t>
      </w:r>
      <w:r w:rsidRPr="00D566A3">
        <w:rPr>
          <w:sz w:val="28"/>
          <w:szCs w:val="28"/>
        </w:rPr>
        <w:t xml:space="preserve"> on the evening in question</w:t>
      </w:r>
      <w:r w:rsidR="008C302E" w:rsidRPr="00D566A3">
        <w:rPr>
          <w:sz w:val="28"/>
          <w:szCs w:val="28"/>
        </w:rPr>
        <w:t>,</w:t>
      </w:r>
      <w:r w:rsidRPr="00D566A3">
        <w:rPr>
          <w:sz w:val="28"/>
          <w:szCs w:val="28"/>
        </w:rPr>
        <w:t xml:space="preserve"> engaged as a </w:t>
      </w:r>
      <w:r w:rsidRPr="00D566A3">
        <w:rPr>
          <w:i/>
          <w:sz w:val="28"/>
          <w:szCs w:val="28"/>
        </w:rPr>
        <w:t>locum tenens</w:t>
      </w:r>
      <w:r w:rsidRPr="00D566A3">
        <w:rPr>
          <w:sz w:val="28"/>
          <w:szCs w:val="28"/>
        </w:rPr>
        <w:t xml:space="preserve"> by the second appellant,</w:t>
      </w:r>
      <w:r w:rsidR="005B3EFF" w:rsidRPr="00D566A3">
        <w:rPr>
          <w:sz w:val="28"/>
          <w:szCs w:val="28"/>
        </w:rPr>
        <w:t xml:space="preserve"> Doctors G Sanpersad, R Maharaj &amp; Associates,</w:t>
      </w:r>
      <w:r w:rsidRPr="00D566A3">
        <w:rPr>
          <w:sz w:val="28"/>
          <w:szCs w:val="28"/>
        </w:rPr>
        <w:t xml:space="preserve"> a </w:t>
      </w:r>
      <w:r w:rsidR="00381725" w:rsidRPr="00D566A3">
        <w:rPr>
          <w:sz w:val="28"/>
          <w:szCs w:val="28"/>
        </w:rPr>
        <w:t xml:space="preserve">medical </w:t>
      </w:r>
      <w:r w:rsidRPr="00D566A3">
        <w:rPr>
          <w:sz w:val="28"/>
          <w:szCs w:val="28"/>
        </w:rPr>
        <w:t xml:space="preserve">practice </w:t>
      </w:r>
      <w:r w:rsidR="007E4F7B" w:rsidRPr="00D566A3">
        <w:rPr>
          <w:sz w:val="28"/>
          <w:szCs w:val="28"/>
        </w:rPr>
        <w:t xml:space="preserve">which </w:t>
      </w:r>
      <w:r w:rsidRPr="00D566A3">
        <w:rPr>
          <w:sz w:val="28"/>
          <w:szCs w:val="28"/>
        </w:rPr>
        <w:t xml:space="preserve">provided clinical care in the emergency unit in terms of a memorandum of agreement with the hospital. </w:t>
      </w:r>
    </w:p>
    <w:p w14:paraId="31A1447C" w14:textId="77777777" w:rsidR="00FE7CC6" w:rsidRPr="00D566A3" w:rsidRDefault="00FE7CC6" w:rsidP="00FE7CC6">
      <w:pPr>
        <w:pStyle w:val="ListParagraph"/>
        <w:rPr>
          <w:sz w:val="28"/>
          <w:szCs w:val="28"/>
        </w:rPr>
      </w:pPr>
    </w:p>
    <w:p w14:paraId="12CD06DE" w14:textId="4A886D83" w:rsidR="0010252F" w:rsidRPr="00D566A3" w:rsidRDefault="00FE7CC6" w:rsidP="00114533">
      <w:pPr>
        <w:numPr>
          <w:ilvl w:val="0"/>
          <w:numId w:val="1"/>
        </w:numPr>
        <w:tabs>
          <w:tab w:val="left" w:pos="0"/>
        </w:tabs>
        <w:ind w:left="0"/>
        <w:rPr>
          <w:sz w:val="28"/>
          <w:szCs w:val="28"/>
        </w:rPr>
      </w:pPr>
      <w:r w:rsidRPr="00D566A3">
        <w:rPr>
          <w:sz w:val="28"/>
          <w:szCs w:val="28"/>
        </w:rPr>
        <w:t xml:space="preserve">The </w:t>
      </w:r>
      <w:r w:rsidR="0010252F" w:rsidRPr="00D566A3">
        <w:rPr>
          <w:sz w:val="28"/>
          <w:szCs w:val="28"/>
        </w:rPr>
        <w:t xml:space="preserve">respondents instituted action against the </w:t>
      </w:r>
      <w:r w:rsidRPr="00D566A3">
        <w:rPr>
          <w:sz w:val="28"/>
          <w:szCs w:val="28"/>
        </w:rPr>
        <w:t xml:space="preserve">appellants and </w:t>
      </w:r>
      <w:r w:rsidR="0010252F" w:rsidRPr="00D566A3">
        <w:rPr>
          <w:sz w:val="28"/>
          <w:szCs w:val="28"/>
        </w:rPr>
        <w:t xml:space="preserve">the </w:t>
      </w:r>
      <w:r w:rsidRPr="00D566A3">
        <w:rPr>
          <w:sz w:val="28"/>
          <w:szCs w:val="28"/>
        </w:rPr>
        <w:t xml:space="preserve">hospital in the </w:t>
      </w:r>
      <w:r w:rsidR="0010252F" w:rsidRPr="00D566A3">
        <w:rPr>
          <w:sz w:val="28"/>
          <w:szCs w:val="28"/>
        </w:rPr>
        <w:t>KwaZulu-Natal Division of the High Court, Pietermaritzburg (the high court), for damages arising from alleged negligent conduct of the appellants and the hospital</w:t>
      </w:r>
      <w:r w:rsidRPr="00D566A3">
        <w:rPr>
          <w:sz w:val="28"/>
          <w:szCs w:val="28"/>
        </w:rPr>
        <w:t xml:space="preserve">. </w:t>
      </w:r>
      <w:r w:rsidR="0010252F" w:rsidRPr="00D566A3">
        <w:rPr>
          <w:sz w:val="28"/>
          <w:szCs w:val="28"/>
        </w:rPr>
        <w:t>The first respondent, Advocate Brett Kingsley Phillips N</w:t>
      </w:r>
      <w:r w:rsidR="0046761A" w:rsidRPr="00D566A3">
        <w:rPr>
          <w:sz w:val="28"/>
          <w:szCs w:val="28"/>
        </w:rPr>
        <w:t xml:space="preserve"> </w:t>
      </w:r>
      <w:r w:rsidR="0010252F" w:rsidRPr="00D566A3">
        <w:rPr>
          <w:sz w:val="28"/>
          <w:szCs w:val="28"/>
        </w:rPr>
        <w:t>O</w:t>
      </w:r>
      <w:r w:rsidR="001323AE">
        <w:rPr>
          <w:sz w:val="28"/>
          <w:szCs w:val="28"/>
        </w:rPr>
        <w:t>,</w:t>
      </w:r>
      <w:r w:rsidR="0010252F" w:rsidRPr="00D566A3">
        <w:rPr>
          <w:sz w:val="28"/>
          <w:szCs w:val="28"/>
        </w:rPr>
        <w:t xml:space="preserve"> acted as </w:t>
      </w:r>
      <w:r w:rsidR="0010252F" w:rsidRPr="00D566A3">
        <w:rPr>
          <w:i/>
          <w:sz w:val="28"/>
          <w:szCs w:val="28"/>
        </w:rPr>
        <w:t>curator ad litem</w:t>
      </w:r>
      <w:r w:rsidR="0010252F" w:rsidRPr="00D566A3">
        <w:rPr>
          <w:sz w:val="28"/>
          <w:szCs w:val="28"/>
        </w:rPr>
        <w:t xml:space="preserve"> on behalf of Mr Shearer, while </w:t>
      </w:r>
      <w:r w:rsidR="00BE4743" w:rsidRPr="00D566A3">
        <w:rPr>
          <w:sz w:val="28"/>
          <w:szCs w:val="28"/>
        </w:rPr>
        <w:t xml:space="preserve">the second respondent </w:t>
      </w:r>
      <w:r w:rsidR="0010252F" w:rsidRPr="00D566A3">
        <w:rPr>
          <w:sz w:val="28"/>
          <w:szCs w:val="28"/>
        </w:rPr>
        <w:t>brought the action in her personal capacity and on behalf of her minor children. The action against the hospital was withdrawn before the matter went to trial, as the claim against it became settled</w:t>
      </w:r>
      <w:r w:rsidR="004B4110" w:rsidRPr="00D566A3">
        <w:rPr>
          <w:sz w:val="28"/>
          <w:szCs w:val="28"/>
        </w:rPr>
        <w:t>.</w:t>
      </w:r>
      <w:r w:rsidRPr="00D566A3">
        <w:rPr>
          <w:sz w:val="28"/>
          <w:szCs w:val="28"/>
        </w:rPr>
        <w:t xml:space="preserve"> </w:t>
      </w:r>
      <w:r w:rsidR="0010252F" w:rsidRPr="00D566A3">
        <w:rPr>
          <w:sz w:val="28"/>
          <w:szCs w:val="28"/>
        </w:rPr>
        <w:t xml:space="preserve">The parties agreed to separate </w:t>
      </w:r>
      <w:r w:rsidRPr="00D566A3">
        <w:rPr>
          <w:sz w:val="28"/>
          <w:szCs w:val="28"/>
        </w:rPr>
        <w:t xml:space="preserve">the rest </w:t>
      </w:r>
      <w:r w:rsidR="00AC0216" w:rsidRPr="00D566A3">
        <w:rPr>
          <w:sz w:val="28"/>
          <w:szCs w:val="28"/>
        </w:rPr>
        <w:t xml:space="preserve">of </w:t>
      </w:r>
      <w:r w:rsidR="00B75E17" w:rsidRPr="00D566A3">
        <w:rPr>
          <w:sz w:val="28"/>
          <w:szCs w:val="28"/>
        </w:rPr>
        <w:t xml:space="preserve">the </w:t>
      </w:r>
      <w:r w:rsidR="00AC0216" w:rsidRPr="00D566A3">
        <w:rPr>
          <w:sz w:val="28"/>
          <w:szCs w:val="28"/>
        </w:rPr>
        <w:t>issues</w:t>
      </w:r>
      <w:r w:rsidR="0010252F" w:rsidRPr="00D566A3">
        <w:rPr>
          <w:sz w:val="28"/>
          <w:szCs w:val="28"/>
        </w:rPr>
        <w:t xml:space="preserve"> </w:t>
      </w:r>
      <w:r w:rsidRPr="00D566A3">
        <w:rPr>
          <w:sz w:val="28"/>
          <w:szCs w:val="28"/>
        </w:rPr>
        <w:t>in the action from</w:t>
      </w:r>
      <w:r w:rsidR="0010252F" w:rsidRPr="00D566A3">
        <w:rPr>
          <w:sz w:val="28"/>
          <w:szCs w:val="28"/>
        </w:rPr>
        <w:t xml:space="preserve"> the appellants’ liability in relation to the first respondent’s claim. </w:t>
      </w:r>
    </w:p>
    <w:p w14:paraId="5E8D2081" w14:textId="77777777" w:rsidR="0010252F" w:rsidRPr="00D566A3" w:rsidRDefault="0010252F" w:rsidP="0010252F">
      <w:pPr>
        <w:pStyle w:val="ListParagraph"/>
        <w:rPr>
          <w:sz w:val="28"/>
          <w:szCs w:val="28"/>
        </w:rPr>
      </w:pPr>
    </w:p>
    <w:p w14:paraId="6724D4FF" w14:textId="2C0DF02C" w:rsidR="0010252F" w:rsidRPr="00D566A3" w:rsidRDefault="0010252F" w:rsidP="00114533">
      <w:pPr>
        <w:numPr>
          <w:ilvl w:val="0"/>
          <w:numId w:val="1"/>
        </w:numPr>
        <w:tabs>
          <w:tab w:val="left" w:pos="0"/>
        </w:tabs>
        <w:ind w:left="0"/>
        <w:rPr>
          <w:sz w:val="28"/>
          <w:szCs w:val="28"/>
        </w:rPr>
      </w:pPr>
      <w:r w:rsidRPr="00D566A3">
        <w:rPr>
          <w:sz w:val="28"/>
          <w:szCs w:val="28"/>
        </w:rPr>
        <w:t>The</w:t>
      </w:r>
      <w:r w:rsidR="00FE7CC6" w:rsidRPr="00D566A3">
        <w:rPr>
          <w:sz w:val="28"/>
          <w:szCs w:val="28"/>
        </w:rPr>
        <w:t xml:space="preserve"> </w:t>
      </w:r>
      <w:r w:rsidR="00BE4743" w:rsidRPr="00D566A3">
        <w:rPr>
          <w:sz w:val="28"/>
          <w:szCs w:val="28"/>
        </w:rPr>
        <w:t xml:space="preserve">essence of the </w:t>
      </w:r>
      <w:r w:rsidRPr="00D566A3">
        <w:rPr>
          <w:sz w:val="28"/>
          <w:szCs w:val="28"/>
        </w:rPr>
        <w:t>respondents</w:t>
      </w:r>
      <w:r w:rsidR="00FE7CC6" w:rsidRPr="00D566A3">
        <w:rPr>
          <w:sz w:val="28"/>
          <w:szCs w:val="28"/>
        </w:rPr>
        <w:t>’</w:t>
      </w:r>
      <w:r w:rsidRPr="00D566A3">
        <w:rPr>
          <w:sz w:val="28"/>
          <w:szCs w:val="28"/>
        </w:rPr>
        <w:t xml:space="preserve"> </w:t>
      </w:r>
      <w:r w:rsidR="00BE4743" w:rsidRPr="00D566A3">
        <w:rPr>
          <w:sz w:val="28"/>
          <w:szCs w:val="28"/>
        </w:rPr>
        <w:t xml:space="preserve">pleaded </w:t>
      </w:r>
      <w:r w:rsidR="0070228B" w:rsidRPr="00D566A3">
        <w:rPr>
          <w:sz w:val="28"/>
          <w:szCs w:val="28"/>
        </w:rPr>
        <w:t xml:space="preserve">case </w:t>
      </w:r>
      <w:r w:rsidR="00FE7CC6" w:rsidRPr="00D566A3">
        <w:rPr>
          <w:sz w:val="28"/>
          <w:szCs w:val="28"/>
        </w:rPr>
        <w:t xml:space="preserve">was </w:t>
      </w:r>
      <w:r w:rsidRPr="00D566A3">
        <w:rPr>
          <w:sz w:val="28"/>
          <w:szCs w:val="28"/>
        </w:rPr>
        <w:t xml:space="preserve">that the </w:t>
      </w:r>
      <w:r w:rsidR="00D35744" w:rsidRPr="00D566A3">
        <w:rPr>
          <w:sz w:val="28"/>
          <w:szCs w:val="28"/>
        </w:rPr>
        <w:t xml:space="preserve">first </w:t>
      </w:r>
      <w:r w:rsidR="00FE7CC6" w:rsidRPr="00D566A3">
        <w:rPr>
          <w:sz w:val="28"/>
          <w:szCs w:val="28"/>
        </w:rPr>
        <w:t>a</w:t>
      </w:r>
      <w:r w:rsidRPr="00D566A3">
        <w:rPr>
          <w:sz w:val="28"/>
          <w:szCs w:val="28"/>
        </w:rPr>
        <w:t xml:space="preserve">ppellant </w:t>
      </w:r>
      <w:r w:rsidR="00FE7CC6" w:rsidRPr="00D566A3">
        <w:rPr>
          <w:sz w:val="28"/>
          <w:szCs w:val="28"/>
        </w:rPr>
        <w:t xml:space="preserve">acted negligently by failing </w:t>
      </w:r>
      <w:r w:rsidR="0070228B" w:rsidRPr="00D566A3">
        <w:rPr>
          <w:sz w:val="28"/>
          <w:szCs w:val="28"/>
        </w:rPr>
        <w:t xml:space="preserve">to </w:t>
      </w:r>
      <w:r w:rsidRPr="00D566A3">
        <w:rPr>
          <w:sz w:val="28"/>
          <w:szCs w:val="28"/>
        </w:rPr>
        <w:t xml:space="preserve">properly assess </w:t>
      </w:r>
      <w:r w:rsidR="0070228B" w:rsidRPr="00D566A3">
        <w:rPr>
          <w:sz w:val="28"/>
          <w:szCs w:val="28"/>
        </w:rPr>
        <w:t xml:space="preserve">and monitor </w:t>
      </w:r>
      <w:r w:rsidRPr="00D566A3">
        <w:rPr>
          <w:sz w:val="28"/>
          <w:szCs w:val="28"/>
        </w:rPr>
        <w:t xml:space="preserve">Mr Shearer’s condition </w:t>
      </w:r>
      <w:r w:rsidR="0070228B" w:rsidRPr="00D566A3">
        <w:rPr>
          <w:sz w:val="28"/>
          <w:szCs w:val="28"/>
        </w:rPr>
        <w:t xml:space="preserve">so as to </w:t>
      </w:r>
      <w:r w:rsidRPr="00D566A3">
        <w:rPr>
          <w:sz w:val="28"/>
          <w:szCs w:val="28"/>
        </w:rPr>
        <w:t xml:space="preserve">timeously render appropriate treatment to him. Had </w:t>
      </w:r>
      <w:r w:rsidR="00D35744" w:rsidRPr="00D566A3">
        <w:rPr>
          <w:sz w:val="28"/>
          <w:szCs w:val="28"/>
        </w:rPr>
        <w:t xml:space="preserve">he </w:t>
      </w:r>
      <w:r w:rsidRPr="00D566A3">
        <w:rPr>
          <w:sz w:val="28"/>
          <w:szCs w:val="28"/>
        </w:rPr>
        <w:t xml:space="preserve">done so, so </w:t>
      </w:r>
      <w:r w:rsidR="00BE4743" w:rsidRPr="00D566A3">
        <w:rPr>
          <w:sz w:val="28"/>
          <w:szCs w:val="28"/>
        </w:rPr>
        <w:t>it</w:t>
      </w:r>
      <w:r w:rsidRPr="00D566A3">
        <w:rPr>
          <w:sz w:val="28"/>
          <w:szCs w:val="28"/>
        </w:rPr>
        <w:t xml:space="preserve"> was alleged, Mr Shearer would not have sustained </w:t>
      </w:r>
      <w:r w:rsidR="00FA59A1" w:rsidRPr="00D566A3">
        <w:rPr>
          <w:sz w:val="28"/>
          <w:szCs w:val="28"/>
        </w:rPr>
        <w:t xml:space="preserve">the </w:t>
      </w:r>
      <w:r w:rsidRPr="00D566A3">
        <w:rPr>
          <w:sz w:val="28"/>
          <w:szCs w:val="28"/>
        </w:rPr>
        <w:t xml:space="preserve">cardiac arrest and the ultimate brain </w:t>
      </w:r>
      <w:r w:rsidRPr="00D566A3">
        <w:rPr>
          <w:sz w:val="28"/>
          <w:szCs w:val="28"/>
        </w:rPr>
        <w:lastRenderedPageBreak/>
        <w:t>damage.</w:t>
      </w:r>
      <w:r w:rsidR="00FE7CC6" w:rsidRPr="00D566A3">
        <w:rPr>
          <w:sz w:val="28"/>
          <w:szCs w:val="28"/>
        </w:rPr>
        <w:t xml:space="preserve"> </w:t>
      </w:r>
      <w:r w:rsidR="00BE4743" w:rsidRPr="00D566A3">
        <w:rPr>
          <w:sz w:val="28"/>
          <w:szCs w:val="28"/>
        </w:rPr>
        <w:t>In respect of t</w:t>
      </w:r>
      <w:r w:rsidR="0070228B" w:rsidRPr="00D566A3">
        <w:rPr>
          <w:sz w:val="28"/>
          <w:szCs w:val="28"/>
        </w:rPr>
        <w:t>he</w:t>
      </w:r>
      <w:r w:rsidR="00FE7CC6" w:rsidRPr="00D566A3">
        <w:rPr>
          <w:sz w:val="28"/>
          <w:szCs w:val="28"/>
        </w:rPr>
        <w:t xml:space="preserve"> </w:t>
      </w:r>
      <w:r w:rsidR="00017CC7" w:rsidRPr="00D566A3">
        <w:rPr>
          <w:sz w:val="28"/>
          <w:szCs w:val="28"/>
        </w:rPr>
        <w:t xml:space="preserve">second </w:t>
      </w:r>
      <w:r w:rsidR="00BE4743" w:rsidRPr="00D566A3">
        <w:rPr>
          <w:sz w:val="28"/>
          <w:szCs w:val="28"/>
        </w:rPr>
        <w:t>appellant,</w:t>
      </w:r>
      <w:r w:rsidR="00017CC7" w:rsidRPr="00D566A3">
        <w:rPr>
          <w:sz w:val="28"/>
          <w:szCs w:val="28"/>
        </w:rPr>
        <w:t xml:space="preserve"> </w:t>
      </w:r>
      <w:r w:rsidR="00BE4743" w:rsidRPr="00D566A3">
        <w:rPr>
          <w:sz w:val="28"/>
          <w:szCs w:val="28"/>
        </w:rPr>
        <w:t xml:space="preserve">it was alleged that a </w:t>
      </w:r>
      <w:r w:rsidR="00017CC7" w:rsidRPr="00D566A3">
        <w:rPr>
          <w:sz w:val="28"/>
          <w:szCs w:val="28"/>
        </w:rPr>
        <w:t>doctor-patient relationship came into existence upon Mr Shearer’s admission in</w:t>
      </w:r>
      <w:r w:rsidR="00BE4743" w:rsidRPr="00D566A3">
        <w:rPr>
          <w:sz w:val="28"/>
          <w:szCs w:val="28"/>
        </w:rPr>
        <w:t>to</w:t>
      </w:r>
      <w:r w:rsidR="00017CC7" w:rsidRPr="00D566A3">
        <w:rPr>
          <w:sz w:val="28"/>
          <w:szCs w:val="28"/>
        </w:rPr>
        <w:t xml:space="preserve"> the emergency unit.</w:t>
      </w:r>
      <w:r w:rsidR="00BE4743" w:rsidRPr="00D566A3">
        <w:rPr>
          <w:sz w:val="28"/>
          <w:szCs w:val="28"/>
        </w:rPr>
        <w:t xml:space="preserve"> It was further alleged that,</w:t>
      </w:r>
      <w:r w:rsidR="00017CC7" w:rsidRPr="00D566A3">
        <w:rPr>
          <w:sz w:val="28"/>
          <w:szCs w:val="28"/>
        </w:rPr>
        <w:t xml:space="preserve"> </w:t>
      </w:r>
      <w:r w:rsidR="00D35744" w:rsidRPr="00D566A3">
        <w:rPr>
          <w:sz w:val="28"/>
          <w:szCs w:val="28"/>
        </w:rPr>
        <w:t xml:space="preserve">acting through the first appellant and/or the nursing and medical personnel, </w:t>
      </w:r>
      <w:r w:rsidR="00BE4743" w:rsidRPr="00D566A3">
        <w:rPr>
          <w:sz w:val="28"/>
          <w:szCs w:val="28"/>
        </w:rPr>
        <w:t>the second appellant</w:t>
      </w:r>
      <w:r w:rsidR="00D35744" w:rsidRPr="00D566A3">
        <w:rPr>
          <w:sz w:val="28"/>
          <w:szCs w:val="28"/>
        </w:rPr>
        <w:t xml:space="preserve"> owed the respondents</w:t>
      </w:r>
      <w:r w:rsidR="0070228B" w:rsidRPr="00D566A3">
        <w:rPr>
          <w:sz w:val="28"/>
          <w:szCs w:val="28"/>
        </w:rPr>
        <w:t xml:space="preserve"> a</w:t>
      </w:r>
      <w:r w:rsidR="00D35744" w:rsidRPr="00D566A3">
        <w:rPr>
          <w:sz w:val="28"/>
          <w:szCs w:val="28"/>
        </w:rPr>
        <w:t xml:space="preserve"> duty of care and ought to have taken the necessary steps to prevent the harm that was caused to Mr Shearer.</w:t>
      </w:r>
    </w:p>
    <w:p w14:paraId="0B0C1634" w14:textId="77777777" w:rsidR="0010252F" w:rsidRPr="00D566A3" w:rsidRDefault="0010252F" w:rsidP="0010252F">
      <w:pPr>
        <w:pStyle w:val="ListParagraph"/>
        <w:rPr>
          <w:sz w:val="28"/>
          <w:szCs w:val="28"/>
        </w:rPr>
      </w:pPr>
    </w:p>
    <w:p w14:paraId="69BC7B04" w14:textId="3DB6FCA9" w:rsidR="0010252F" w:rsidRPr="00D566A3" w:rsidRDefault="0010252F" w:rsidP="0010252F">
      <w:pPr>
        <w:numPr>
          <w:ilvl w:val="0"/>
          <w:numId w:val="1"/>
        </w:numPr>
        <w:tabs>
          <w:tab w:val="left" w:pos="0"/>
        </w:tabs>
        <w:ind w:left="0"/>
        <w:rPr>
          <w:sz w:val="28"/>
          <w:szCs w:val="28"/>
        </w:rPr>
      </w:pPr>
      <w:r w:rsidRPr="00D566A3">
        <w:rPr>
          <w:sz w:val="28"/>
          <w:szCs w:val="28"/>
        </w:rPr>
        <w:t>The appellants denied that the second appellant employed any nursing or medical personnel or that th</w:t>
      </w:r>
      <w:r w:rsidR="00BE4743" w:rsidRPr="00D566A3">
        <w:rPr>
          <w:sz w:val="28"/>
          <w:szCs w:val="28"/>
        </w:rPr>
        <w:t>e respective personnel</w:t>
      </w:r>
      <w:r w:rsidRPr="00D566A3">
        <w:rPr>
          <w:sz w:val="28"/>
          <w:szCs w:val="28"/>
        </w:rPr>
        <w:t xml:space="preserve"> were under its control. They </w:t>
      </w:r>
      <w:r w:rsidR="00D35744" w:rsidRPr="00D566A3">
        <w:rPr>
          <w:sz w:val="28"/>
          <w:szCs w:val="28"/>
        </w:rPr>
        <w:t xml:space="preserve">pleaded </w:t>
      </w:r>
      <w:r w:rsidRPr="00D566A3">
        <w:rPr>
          <w:sz w:val="28"/>
          <w:szCs w:val="28"/>
        </w:rPr>
        <w:t>that the second appellant, from time to time, engaged</w:t>
      </w:r>
      <w:r w:rsidRPr="00D566A3">
        <w:rPr>
          <w:i/>
          <w:sz w:val="28"/>
          <w:szCs w:val="28"/>
        </w:rPr>
        <w:t xml:space="preserve"> locum tenen</w:t>
      </w:r>
      <w:r w:rsidR="004B4110" w:rsidRPr="00D566A3">
        <w:rPr>
          <w:i/>
          <w:sz w:val="28"/>
          <w:szCs w:val="28"/>
        </w:rPr>
        <w:t>te</w:t>
      </w:r>
      <w:r w:rsidRPr="00D566A3">
        <w:rPr>
          <w:i/>
          <w:sz w:val="28"/>
          <w:szCs w:val="28"/>
        </w:rPr>
        <w:t>s</w:t>
      </w:r>
      <w:r w:rsidRPr="00D566A3">
        <w:rPr>
          <w:sz w:val="28"/>
          <w:szCs w:val="28"/>
        </w:rPr>
        <w:t xml:space="preserve"> as independent practitioners and</w:t>
      </w:r>
      <w:r w:rsidR="00FA59A1" w:rsidRPr="00D566A3">
        <w:rPr>
          <w:sz w:val="28"/>
          <w:szCs w:val="28"/>
        </w:rPr>
        <w:t xml:space="preserve"> that</w:t>
      </w:r>
      <w:r w:rsidRPr="00D566A3">
        <w:rPr>
          <w:sz w:val="28"/>
          <w:szCs w:val="28"/>
        </w:rPr>
        <w:t xml:space="preserve"> the nursing personnel were employed by and </w:t>
      </w:r>
      <w:r w:rsidR="0093014E" w:rsidRPr="00D566A3">
        <w:rPr>
          <w:sz w:val="28"/>
          <w:szCs w:val="28"/>
        </w:rPr>
        <w:t xml:space="preserve">worked </w:t>
      </w:r>
      <w:r w:rsidRPr="00D566A3">
        <w:rPr>
          <w:sz w:val="28"/>
          <w:szCs w:val="28"/>
        </w:rPr>
        <w:t>under the direct control of the hospital. The appellants further alleged that the first appellant timeously and properly examined Mr Shearer</w:t>
      </w:r>
      <w:r w:rsidR="0046761A" w:rsidRPr="00D566A3">
        <w:rPr>
          <w:sz w:val="28"/>
          <w:szCs w:val="28"/>
        </w:rPr>
        <w:t>,</w:t>
      </w:r>
      <w:r w:rsidRPr="00D566A3">
        <w:rPr>
          <w:sz w:val="28"/>
          <w:szCs w:val="28"/>
        </w:rPr>
        <w:t xml:space="preserve"> </w:t>
      </w:r>
      <w:r w:rsidR="00D35744" w:rsidRPr="00D566A3">
        <w:rPr>
          <w:sz w:val="28"/>
          <w:szCs w:val="28"/>
        </w:rPr>
        <w:t xml:space="preserve">taking into account his </w:t>
      </w:r>
      <w:r w:rsidR="0021635E" w:rsidRPr="00D566A3">
        <w:rPr>
          <w:sz w:val="28"/>
          <w:szCs w:val="28"/>
        </w:rPr>
        <w:t>history of</w:t>
      </w:r>
      <w:r w:rsidR="00BE4743" w:rsidRPr="00D566A3">
        <w:rPr>
          <w:sz w:val="28"/>
          <w:szCs w:val="28"/>
        </w:rPr>
        <w:t xml:space="preserve"> consuming </w:t>
      </w:r>
      <w:r w:rsidR="00D35744" w:rsidRPr="00D566A3">
        <w:rPr>
          <w:sz w:val="28"/>
          <w:szCs w:val="28"/>
        </w:rPr>
        <w:t xml:space="preserve">alcohol with </w:t>
      </w:r>
      <w:r w:rsidRPr="00D566A3">
        <w:rPr>
          <w:sz w:val="28"/>
          <w:szCs w:val="28"/>
        </w:rPr>
        <w:t>an unknown amount of</w:t>
      </w:r>
      <w:r w:rsidR="00D35744" w:rsidRPr="00D566A3">
        <w:rPr>
          <w:sz w:val="28"/>
          <w:szCs w:val="28"/>
        </w:rPr>
        <w:t xml:space="preserve"> tablets</w:t>
      </w:r>
      <w:r w:rsidRPr="00D566A3">
        <w:rPr>
          <w:sz w:val="28"/>
          <w:szCs w:val="28"/>
        </w:rPr>
        <w:t xml:space="preserve">. </w:t>
      </w:r>
      <w:r w:rsidR="00D35744" w:rsidRPr="00D566A3">
        <w:rPr>
          <w:sz w:val="28"/>
          <w:szCs w:val="28"/>
        </w:rPr>
        <w:t xml:space="preserve">According to </w:t>
      </w:r>
      <w:r w:rsidRPr="00D566A3">
        <w:rPr>
          <w:sz w:val="28"/>
          <w:szCs w:val="28"/>
        </w:rPr>
        <w:t>the</w:t>
      </w:r>
      <w:r w:rsidR="00D35744" w:rsidRPr="00D566A3">
        <w:rPr>
          <w:sz w:val="28"/>
          <w:szCs w:val="28"/>
        </w:rPr>
        <w:t xml:space="preserve"> appellants, the</w:t>
      </w:r>
      <w:r w:rsidRPr="00D566A3">
        <w:rPr>
          <w:sz w:val="28"/>
          <w:szCs w:val="28"/>
        </w:rPr>
        <w:t xml:space="preserve"> first appellant had satisfied himself that Mr Shearer was haemodynamically stable</w:t>
      </w:r>
      <w:r w:rsidR="000E1D06" w:rsidRPr="00D566A3">
        <w:rPr>
          <w:rStyle w:val="FootnoteReference"/>
          <w:sz w:val="28"/>
          <w:szCs w:val="28"/>
        </w:rPr>
        <w:footnoteReference w:id="2"/>
      </w:r>
      <w:r w:rsidRPr="00D566A3">
        <w:rPr>
          <w:sz w:val="28"/>
          <w:szCs w:val="28"/>
        </w:rPr>
        <w:t xml:space="preserve"> </w:t>
      </w:r>
      <w:r w:rsidR="00FA59A1" w:rsidRPr="00D566A3">
        <w:rPr>
          <w:sz w:val="28"/>
          <w:szCs w:val="28"/>
        </w:rPr>
        <w:t>before</w:t>
      </w:r>
      <w:r w:rsidRPr="00D566A3">
        <w:rPr>
          <w:sz w:val="28"/>
          <w:szCs w:val="28"/>
        </w:rPr>
        <w:t xml:space="preserve"> he left him</w:t>
      </w:r>
      <w:r w:rsidR="00BE4743" w:rsidRPr="00D566A3">
        <w:rPr>
          <w:sz w:val="28"/>
          <w:szCs w:val="28"/>
        </w:rPr>
        <w:t>. W</w:t>
      </w:r>
      <w:r w:rsidR="00D35744" w:rsidRPr="00D566A3">
        <w:rPr>
          <w:sz w:val="28"/>
          <w:szCs w:val="28"/>
        </w:rPr>
        <w:t>h</w:t>
      </w:r>
      <w:r w:rsidRPr="00D566A3">
        <w:rPr>
          <w:sz w:val="28"/>
          <w:szCs w:val="28"/>
        </w:rPr>
        <w:t xml:space="preserve">en he was informed </w:t>
      </w:r>
      <w:r w:rsidR="00D35744" w:rsidRPr="00D566A3">
        <w:rPr>
          <w:sz w:val="28"/>
          <w:szCs w:val="28"/>
        </w:rPr>
        <w:t xml:space="preserve">of </w:t>
      </w:r>
      <w:r w:rsidRPr="00D566A3">
        <w:rPr>
          <w:sz w:val="28"/>
          <w:szCs w:val="28"/>
        </w:rPr>
        <w:t>Mr Shearer’s deteriorat</w:t>
      </w:r>
      <w:r w:rsidR="00D35744" w:rsidRPr="00D566A3">
        <w:rPr>
          <w:sz w:val="28"/>
          <w:szCs w:val="28"/>
        </w:rPr>
        <w:t>ing condition</w:t>
      </w:r>
      <w:r w:rsidRPr="00D566A3">
        <w:rPr>
          <w:sz w:val="28"/>
          <w:szCs w:val="28"/>
        </w:rPr>
        <w:t>, he immediately reassessed</w:t>
      </w:r>
      <w:r w:rsidR="00FA59A1" w:rsidRPr="00D566A3">
        <w:rPr>
          <w:sz w:val="28"/>
          <w:szCs w:val="28"/>
        </w:rPr>
        <w:t xml:space="preserve"> the situation</w:t>
      </w:r>
      <w:r w:rsidRPr="00D566A3">
        <w:rPr>
          <w:sz w:val="28"/>
          <w:szCs w:val="28"/>
        </w:rPr>
        <w:t>, treated</w:t>
      </w:r>
      <w:r w:rsidR="00FA59A1" w:rsidRPr="00D566A3">
        <w:rPr>
          <w:sz w:val="28"/>
          <w:szCs w:val="28"/>
        </w:rPr>
        <w:t xml:space="preserve"> and</w:t>
      </w:r>
      <w:r w:rsidRPr="00D566A3">
        <w:rPr>
          <w:sz w:val="28"/>
          <w:szCs w:val="28"/>
        </w:rPr>
        <w:t xml:space="preserve"> resuscitated </w:t>
      </w:r>
      <w:r w:rsidR="00FA59A1" w:rsidRPr="00D566A3">
        <w:rPr>
          <w:sz w:val="28"/>
          <w:szCs w:val="28"/>
        </w:rPr>
        <w:t xml:space="preserve">Mr Shearer </w:t>
      </w:r>
      <w:r w:rsidRPr="00D566A3">
        <w:rPr>
          <w:sz w:val="28"/>
          <w:szCs w:val="28"/>
        </w:rPr>
        <w:t>and remained with him until</w:t>
      </w:r>
      <w:r w:rsidR="00BE4743" w:rsidRPr="00D566A3">
        <w:rPr>
          <w:sz w:val="28"/>
          <w:szCs w:val="28"/>
        </w:rPr>
        <w:t xml:space="preserve"> </w:t>
      </w:r>
      <w:r w:rsidR="00FA59A1" w:rsidRPr="00D566A3">
        <w:rPr>
          <w:sz w:val="28"/>
          <w:szCs w:val="28"/>
        </w:rPr>
        <w:t>h</w:t>
      </w:r>
      <w:r w:rsidR="004B4110" w:rsidRPr="00D566A3">
        <w:rPr>
          <w:sz w:val="28"/>
          <w:szCs w:val="28"/>
        </w:rPr>
        <w:t>i</w:t>
      </w:r>
      <w:r w:rsidR="00FA59A1" w:rsidRPr="00D566A3">
        <w:rPr>
          <w:sz w:val="28"/>
          <w:szCs w:val="28"/>
        </w:rPr>
        <w:t>s</w:t>
      </w:r>
      <w:r w:rsidR="00BE4743" w:rsidRPr="00D566A3">
        <w:rPr>
          <w:sz w:val="28"/>
          <w:szCs w:val="28"/>
        </w:rPr>
        <w:t xml:space="preserve"> admission</w:t>
      </w:r>
      <w:r w:rsidRPr="00D566A3">
        <w:rPr>
          <w:sz w:val="28"/>
          <w:szCs w:val="28"/>
        </w:rPr>
        <w:t xml:space="preserve"> to the intensive care unit (ICU).</w:t>
      </w:r>
    </w:p>
    <w:p w14:paraId="7EC83625" w14:textId="77777777" w:rsidR="0010252F" w:rsidRPr="00D566A3" w:rsidRDefault="0010252F" w:rsidP="0010252F">
      <w:pPr>
        <w:pStyle w:val="ListParagraph"/>
        <w:rPr>
          <w:sz w:val="28"/>
          <w:szCs w:val="28"/>
        </w:rPr>
      </w:pPr>
    </w:p>
    <w:p w14:paraId="61D226A5" w14:textId="09C63AAF" w:rsidR="0010252F" w:rsidRPr="00D566A3" w:rsidRDefault="0010252F" w:rsidP="0010252F">
      <w:pPr>
        <w:pStyle w:val="ListParagraph"/>
        <w:ind w:left="0"/>
        <w:rPr>
          <w:b/>
          <w:sz w:val="28"/>
          <w:szCs w:val="28"/>
        </w:rPr>
      </w:pPr>
      <w:r w:rsidRPr="00D566A3">
        <w:rPr>
          <w:b/>
          <w:sz w:val="28"/>
          <w:szCs w:val="28"/>
        </w:rPr>
        <w:t xml:space="preserve">The </w:t>
      </w:r>
      <w:r w:rsidR="00EE27E4" w:rsidRPr="00D566A3">
        <w:rPr>
          <w:b/>
          <w:sz w:val="28"/>
          <w:szCs w:val="28"/>
        </w:rPr>
        <w:t>background</w:t>
      </w:r>
    </w:p>
    <w:p w14:paraId="562175DC" w14:textId="16A53F07" w:rsidR="0010252F" w:rsidRPr="00D566A3" w:rsidRDefault="0010252F" w:rsidP="0010252F">
      <w:pPr>
        <w:numPr>
          <w:ilvl w:val="0"/>
          <w:numId w:val="1"/>
        </w:numPr>
        <w:tabs>
          <w:tab w:val="left" w:pos="0"/>
        </w:tabs>
        <w:ind w:left="0"/>
        <w:rPr>
          <w:sz w:val="28"/>
          <w:szCs w:val="28"/>
        </w:rPr>
      </w:pPr>
      <w:r w:rsidRPr="00D566A3">
        <w:rPr>
          <w:sz w:val="28"/>
          <w:szCs w:val="28"/>
        </w:rPr>
        <w:t xml:space="preserve">At the trial, </w:t>
      </w:r>
      <w:r w:rsidR="00F30074" w:rsidRPr="00D566A3">
        <w:rPr>
          <w:sz w:val="28"/>
          <w:szCs w:val="28"/>
        </w:rPr>
        <w:t xml:space="preserve">the first </w:t>
      </w:r>
      <w:r w:rsidRPr="00D566A3">
        <w:rPr>
          <w:sz w:val="28"/>
          <w:szCs w:val="28"/>
        </w:rPr>
        <w:t>respondent</w:t>
      </w:r>
      <w:r w:rsidR="00F30074" w:rsidRPr="00D566A3">
        <w:rPr>
          <w:sz w:val="28"/>
          <w:szCs w:val="28"/>
        </w:rPr>
        <w:t xml:space="preserve"> </w:t>
      </w:r>
      <w:r w:rsidRPr="00D566A3">
        <w:rPr>
          <w:sz w:val="28"/>
          <w:szCs w:val="28"/>
        </w:rPr>
        <w:t>called an expert witness, Professor Andr</w:t>
      </w:r>
      <w:r w:rsidR="00F130D0" w:rsidRPr="00D566A3">
        <w:rPr>
          <w:sz w:val="28"/>
          <w:szCs w:val="28"/>
        </w:rPr>
        <w:t>é</w:t>
      </w:r>
      <w:r w:rsidRPr="00D566A3">
        <w:rPr>
          <w:sz w:val="28"/>
          <w:szCs w:val="28"/>
        </w:rPr>
        <w:t xml:space="preserve"> Retief Coetzee</w:t>
      </w:r>
      <w:r w:rsidR="00111445" w:rsidRPr="00D566A3">
        <w:rPr>
          <w:sz w:val="28"/>
          <w:szCs w:val="28"/>
        </w:rPr>
        <w:t>,</w:t>
      </w:r>
      <w:r w:rsidRPr="00D566A3">
        <w:rPr>
          <w:sz w:val="28"/>
          <w:szCs w:val="28"/>
        </w:rPr>
        <w:t xml:space="preserve"> who is a specialist anaesthetist for cardiac and pulmonary procedures</w:t>
      </w:r>
      <w:r w:rsidR="00FA59A1" w:rsidRPr="00D566A3">
        <w:rPr>
          <w:sz w:val="28"/>
          <w:szCs w:val="28"/>
        </w:rPr>
        <w:t>,</w:t>
      </w:r>
      <w:r w:rsidRPr="00D566A3">
        <w:rPr>
          <w:sz w:val="28"/>
          <w:szCs w:val="28"/>
        </w:rPr>
        <w:t xml:space="preserve"> as well as an intensivist in general adult intensive care. Prof Coetzee gave an opinion primarily based on the hospital records and </w:t>
      </w:r>
      <w:r w:rsidR="00FA59A1" w:rsidRPr="00D566A3">
        <w:rPr>
          <w:sz w:val="28"/>
          <w:szCs w:val="28"/>
        </w:rPr>
        <w:t>the relevant</w:t>
      </w:r>
      <w:r w:rsidRPr="00D566A3">
        <w:rPr>
          <w:sz w:val="28"/>
          <w:szCs w:val="28"/>
        </w:rPr>
        <w:t xml:space="preserve"> clinical </w:t>
      </w:r>
      <w:r w:rsidRPr="00D566A3">
        <w:rPr>
          <w:sz w:val="28"/>
          <w:szCs w:val="28"/>
        </w:rPr>
        <w:lastRenderedPageBreak/>
        <w:t>notes written by the first appellant and the nursing staff. The appellants</w:t>
      </w:r>
      <w:r w:rsidR="00111445" w:rsidRPr="00D566A3">
        <w:rPr>
          <w:sz w:val="28"/>
          <w:szCs w:val="28"/>
        </w:rPr>
        <w:t>,</w:t>
      </w:r>
      <w:r w:rsidRPr="00D566A3">
        <w:rPr>
          <w:sz w:val="28"/>
          <w:szCs w:val="28"/>
        </w:rPr>
        <w:t xml:space="preserve"> on the other hand</w:t>
      </w:r>
      <w:r w:rsidR="00111445" w:rsidRPr="00D566A3">
        <w:rPr>
          <w:sz w:val="28"/>
          <w:szCs w:val="28"/>
        </w:rPr>
        <w:t>,</w:t>
      </w:r>
      <w:r w:rsidRPr="00D566A3">
        <w:rPr>
          <w:sz w:val="28"/>
          <w:szCs w:val="28"/>
        </w:rPr>
        <w:t xml:space="preserve"> only </w:t>
      </w:r>
      <w:r w:rsidR="00F30074" w:rsidRPr="00D566A3">
        <w:rPr>
          <w:sz w:val="28"/>
          <w:szCs w:val="28"/>
        </w:rPr>
        <w:t xml:space="preserve">called </w:t>
      </w:r>
      <w:r w:rsidRPr="00D566A3">
        <w:rPr>
          <w:sz w:val="28"/>
          <w:szCs w:val="28"/>
        </w:rPr>
        <w:t xml:space="preserve">the first appellant as a witness. </w:t>
      </w:r>
    </w:p>
    <w:p w14:paraId="5CB364AB" w14:textId="77777777" w:rsidR="0010252F" w:rsidRPr="00D566A3" w:rsidRDefault="0010252F" w:rsidP="0010252F">
      <w:pPr>
        <w:pStyle w:val="ListParagraph"/>
        <w:rPr>
          <w:sz w:val="28"/>
          <w:szCs w:val="28"/>
        </w:rPr>
      </w:pPr>
    </w:p>
    <w:p w14:paraId="6929D59A" w14:textId="2ECC1233" w:rsidR="0010252F" w:rsidRPr="00D566A3" w:rsidRDefault="00FA59A1" w:rsidP="0010252F">
      <w:pPr>
        <w:numPr>
          <w:ilvl w:val="0"/>
          <w:numId w:val="1"/>
        </w:numPr>
        <w:tabs>
          <w:tab w:val="left" w:pos="0"/>
        </w:tabs>
        <w:ind w:left="0"/>
        <w:rPr>
          <w:sz w:val="28"/>
          <w:szCs w:val="28"/>
        </w:rPr>
      </w:pPr>
      <w:r w:rsidRPr="00D566A3">
        <w:rPr>
          <w:sz w:val="28"/>
          <w:szCs w:val="28"/>
        </w:rPr>
        <w:t>In</w:t>
      </w:r>
      <w:r w:rsidR="0010252F" w:rsidRPr="00D566A3">
        <w:rPr>
          <w:sz w:val="28"/>
          <w:szCs w:val="28"/>
        </w:rPr>
        <w:t xml:space="preserve"> the hospital records and clinical notes, it was recorded that on arrival at the </w:t>
      </w:r>
      <w:r w:rsidRPr="00D566A3">
        <w:rPr>
          <w:sz w:val="28"/>
          <w:szCs w:val="28"/>
        </w:rPr>
        <w:t>emergency unit</w:t>
      </w:r>
      <w:r w:rsidR="0010252F" w:rsidRPr="00D566A3">
        <w:rPr>
          <w:sz w:val="28"/>
          <w:szCs w:val="28"/>
        </w:rPr>
        <w:t xml:space="preserve"> at 21h30, Mr Shearer was triaged</w:t>
      </w:r>
      <w:r w:rsidR="0010252F" w:rsidRPr="00D566A3">
        <w:rPr>
          <w:rStyle w:val="FootnoteReference"/>
          <w:sz w:val="28"/>
          <w:szCs w:val="28"/>
        </w:rPr>
        <w:footnoteReference w:id="3"/>
      </w:r>
      <w:r w:rsidR="0010252F" w:rsidRPr="00D566A3">
        <w:rPr>
          <w:sz w:val="28"/>
          <w:szCs w:val="28"/>
        </w:rPr>
        <w:t xml:space="preserve"> as orange with a discriminator listed as ‘overdose’. At that</w:t>
      </w:r>
      <w:r w:rsidR="0052258B" w:rsidRPr="00D566A3">
        <w:rPr>
          <w:sz w:val="28"/>
          <w:szCs w:val="28"/>
        </w:rPr>
        <w:t xml:space="preserve"> stage</w:t>
      </w:r>
      <w:r w:rsidR="0010252F" w:rsidRPr="00D566A3">
        <w:rPr>
          <w:sz w:val="28"/>
          <w:szCs w:val="28"/>
        </w:rPr>
        <w:t>, his heart rate was 108 beats/minute; blood pressure 146/82; temperature 36.2°C</w:t>
      </w:r>
      <w:r w:rsidR="00111445" w:rsidRPr="00D566A3">
        <w:rPr>
          <w:sz w:val="28"/>
          <w:szCs w:val="28"/>
        </w:rPr>
        <w:t>;</w:t>
      </w:r>
      <w:r w:rsidR="0010252F" w:rsidRPr="00D566A3">
        <w:rPr>
          <w:sz w:val="28"/>
          <w:szCs w:val="28"/>
        </w:rPr>
        <w:t xml:space="preserve"> and oxygen saturation level 93%. </w:t>
      </w:r>
      <w:r w:rsidR="0052258B" w:rsidRPr="00D566A3">
        <w:rPr>
          <w:sz w:val="28"/>
          <w:szCs w:val="28"/>
        </w:rPr>
        <w:t>At 21h35, t</w:t>
      </w:r>
      <w:r w:rsidR="00F30074" w:rsidRPr="00D566A3">
        <w:rPr>
          <w:sz w:val="28"/>
          <w:szCs w:val="28"/>
        </w:rPr>
        <w:t>he first appellant examined him</w:t>
      </w:r>
      <w:r w:rsidR="0052258B" w:rsidRPr="00D566A3">
        <w:rPr>
          <w:sz w:val="28"/>
          <w:szCs w:val="28"/>
        </w:rPr>
        <w:t>. He</w:t>
      </w:r>
      <w:r w:rsidR="0010252F" w:rsidRPr="00D566A3">
        <w:rPr>
          <w:sz w:val="28"/>
          <w:szCs w:val="28"/>
        </w:rPr>
        <w:t xml:space="preserve"> was given 40% oxygen via</w:t>
      </w:r>
      <w:r w:rsidRPr="00D566A3">
        <w:rPr>
          <w:sz w:val="28"/>
          <w:szCs w:val="28"/>
        </w:rPr>
        <w:t xml:space="preserve"> a</w:t>
      </w:r>
      <w:r w:rsidR="0010252F" w:rsidRPr="00D566A3">
        <w:rPr>
          <w:sz w:val="28"/>
          <w:szCs w:val="28"/>
        </w:rPr>
        <w:t xml:space="preserve"> </w:t>
      </w:r>
      <w:r w:rsidR="00F30074" w:rsidRPr="00D566A3">
        <w:rPr>
          <w:sz w:val="28"/>
          <w:szCs w:val="28"/>
        </w:rPr>
        <w:t>facemask</w:t>
      </w:r>
      <w:r w:rsidR="0010252F" w:rsidRPr="00D566A3">
        <w:rPr>
          <w:sz w:val="28"/>
          <w:szCs w:val="28"/>
        </w:rPr>
        <w:t xml:space="preserve">. </w:t>
      </w:r>
      <w:r w:rsidR="00F30074" w:rsidRPr="00D566A3">
        <w:rPr>
          <w:sz w:val="28"/>
          <w:szCs w:val="28"/>
        </w:rPr>
        <w:t>Upon examination by the first appellant his</w:t>
      </w:r>
      <w:r w:rsidR="0010252F" w:rsidRPr="00D566A3">
        <w:rPr>
          <w:sz w:val="28"/>
          <w:szCs w:val="28"/>
        </w:rPr>
        <w:t xml:space="preserve"> chest, cardiovascular system and abdomen </w:t>
      </w:r>
      <w:r w:rsidR="00F30074" w:rsidRPr="00D566A3">
        <w:rPr>
          <w:sz w:val="28"/>
          <w:szCs w:val="28"/>
        </w:rPr>
        <w:t xml:space="preserve">were clear and </w:t>
      </w:r>
      <w:r w:rsidR="0010252F" w:rsidRPr="00D566A3">
        <w:rPr>
          <w:sz w:val="28"/>
          <w:szCs w:val="28"/>
        </w:rPr>
        <w:t>normal.</w:t>
      </w:r>
    </w:p>
    <w:p w14:paraId="04F45ADA" w14:textId="77777777" w:rsidR="0010252F" w:rsidRPr="00D566A3" w:rsidRDefault="0010252F" w:rsidP="0010252F">
      <w:pPr>
        <w:pStyle w:val="ListParagraph"/>
        <w:rPr>
          <w:sz w:val="28"/>
          <w:szCs w:val="28"/>
        </w:rPr>
      </w:pPr>
    </w:p>
    <w:p w14:paraId="2D4E11DF" w14:textId="0F78BFA5" w:rsidR="00F30074" w:rsidRPr="00D566A3" w:rsidRDefault="0010252F" w:rsidP="0010252F">
      <w:pPr>
        <w:numPr>
          <w:ilvl w:val="0"/>
          <w:numId w:val="1"/>
        </w:numPr>
        <w:tabs>
          <w:tab w:val="left" w:pos="0"/>
        </w:tabs>
        <w:ind w:left="0"/>
        <w:rPr>
          <w:sz w:val="28"/>
          <w:szCs w:val="28"/>
        </w:rPr>
      </w:pPr>
      <w:r w:rsidRPr="00D566A3">
        <w:rPr>
          <w:sz w:val="28"/>
          <w:szCs w:val="28"/>
        </w:rPr>
        <w:t xml:space="preserve">The next entry was </w:t>
      </w:r>
      <w:r w:rsidR="00F30074" w:rsidRPr="00D566A3">
        <w:rPr>
          <w:sz w:val="28"/>
          <w:szCs w:val="28"/>
        </w:rPr>
        <w:t xml:space="preserve">made </w:t>
      </w:r>
      <w:r w:rsidRPr="00D566A3">
        <w:rPr>
          <w:sz w:val="28"/>
          <w:szCs w:val="28"/>
        </w:rPr>
        <w:t xml:space="preserve">at 21h45, when Mr Shearer’s oxygen saturation level was recorded as 82%. Apart from this lowered oxygen saturation, no other observations of Mr Shearer’s condition were noted since 21h35, when he was seen by the first appellant. The next noted observations were at 22h00 when Mr Shearer was found to be unresponsive, pale and starting to desaturate. </w:t>
      </w:r>
    </w:p>
    <w:p w14:paraId="27106617" w14:textId="77777777" w:rsidR="00F30074" w:rsidRPr="00D566A3" w:rsidRDefault="00F30074" w:rsidP="00F30074">
      <w:pPr>
        <w:pStyle w:val="ListParagraph"/>
        <w:rPr>
          <w:sz w:val="28"/>
          <w:szCs w:val="28"/>
        </w:rPr>
      </w:pPr>
    </w:p>
    <w:p w14:paraId="3B293E2C" w14:textId="3C9E8A22" w:rsidR="0010252F" w:rsidRPr="00D566A3" w:rsidRDefault="0010252F" w:rsidP="0010252F">
      <w:pPr>
        <w:numPr>
          <w:ilvl w:val="0"/>
          <w:numId w:val="1"/>
        </w:numPr>
        <w:tabs>
          <w:tab w:val="left" w:pos="0"/>
        </w:tabs>
        <w:ind w:left="0"/>
        <w:rPr>
          <w:sz w:val="28"/>
          <w:szCs w:val="28"/>
        </w:rPr>
      </w:pPr>
      <w:r w:rsidRPr="00D566A3">
        <w:rPr>
          <w:sz w:val="28"/>
          <w:szCs w:val="28"/>
        </w:rPr>
        <w:t xml:space="preserve">At approximately 22h05, Mr Shearer suffered </w:t>
      </w:r>
      <w:r w:rsidR="00FA59A1" w:rsidRPr="00D566A3">
        <w:rPr>
          <w:sz w:val="28"/>
          <w:szCs w:val="28"/>
        </w:rPr>
        <w:t xml:space="preserve">a </w:t>
      </w:r>
      <w:r w:rsidRPr="00D566A3">
        <w:rPr>
          <w:sz w:val="28"/>
          <w:szCs w:val="28"/>
        </w:rPr>
        <w:t xml:space="preserve">cardiac arrest. His peripheral pulses were absent and </w:t>
      </w:r>
      <w:r w:rsidR="00F30074" w:rsidRPr="00D566A3">
        <w:rPr>
          <w:sz w:val="28"/>
          <w:szCs w:val="28"/>
        </w:rPr>
        <w:t xml:space="preserve">he had </w:t>
      </w:r>
      <w:r w:rsidRPr="00D566A3">
        <w:rPr>
          <w:sz w:val="28"/>
          <w:szCs w:val="28"/>
        </w:rPr>
        <w:t xml:space="preserve">no heart rate. By that time, Mr Shearer’s oxygen saturation level </w:t>
      </w:r>
      <w:r w:rsidR="00FA59A1" w:rsidRPr="00D566A3">
        <w:rPr>
          <w:sz w:val="28"/>
          <w:szCs w:val="28"/>
        </w:rPr>
        <w:t>had sunk to</w:t>
      </w:r>
      <w:r w:rsidRPr="00D566A3">
        <w:rPr>
          <w:sz w:val="28"/>
          <w:szCs w:val="28"/>
        </w:rPr>
        <w:t xml:space="preserve"> 28%, </w:t>
      </w:r>
      <w:r w:rsidR="00FA59A1" w:rsidRPr="00D566A3">
        <w:rPr>
          <w:sz w:val="28"/>
          <w:szCs w:val="28"/>
        </w:rPr>
        <w:t>even though</w:t>
      </w:r>
      <w:r w:rsidRPr="00D566A3">
        <w:rPr>
          <w:sz w:val="28"/>
          <w:szCs w:val="28"/>
        </w:rPr>
        <w:t xml:space="preserve"> </w:t>
      </w:r>
      <w:r w:rsidR="00600BCC" w:rsidRPr="00D566A3">
        <w:rPr>
          <w:sz w:val="28"/>
          <w:szCs w:val="28"/>
        </w:rPr>
        <w:t>40</w:t>
      </w:r>
      <w:r w:rsidRPr="00D566A3">
        <w:rPr>
          <w:sz w:val="28"/>
          <w:szCs w:val="28"/>
        </w:rPr>
        <w:t xml:space="preserve">% oxygen </w:t>
      </w:r>
      <w:r w:rsidR="0060129A" w:rsidRPr="00D566A3">
        <w:rPr>
          <w:sz w:val="28"/>
          <w:szCs w:val="28"/>
        </w:rPr>
        <w:t>was administered</w:t>
      </w:r>
      <w:r w:rsidRPr="00D566A3">
        <w:rPr>
          <w:sz w:val="28"/>
          <w:szCs w:val="28"/>
        </w:rPr>
        <w:t>. The first appellant and the nursing staff in the emergency unit undertook resuscitation comprising chest compressions and administration of drugs from 22h05 until 22h30</w:t>
      </w:r>
      <w:r w:rsidR="00CA4424" w:rsidRPr="00D566A3">
        <w:rPr>
          <w:sz w:val="28"/>
          <w:szCs w:val="28"/>
        </w:rPr>
        <w:t>,</w:t>
      </w:r>
      <w:r w:rsidR="000144FA" w:rsidRPr="00D566A3">
        <w:rPr>
          <w:sz w:val="28"/>
          <w:szCs w:val="28"/>
        </w:rPr>
        <w:t xml:space="preserve"> after which they</w:t>
      </w:r>
      <w:r w:rsidRPr="00D566A3">
        <w:rPr>
          <w:sz w:val="28"/>
          <w:szCs w:val="28"/>
        </w:rPr>
        <w:t xml:space="preserve"> </w:t>
      </w:r>
      <w:r w:rsidR="000144FA" w:rsidRPr="00D566A3">
        <w:rPr>
          <w:sz w:val="28"/>
          <w:szCs w:val="28"/>
        </w:rPr>
        <w:t>intubated</w:t>
      </w:r>
      <w:r w:rsidRPr="00D566A3">
        <w:rPr>
          <w:sz w:val="28"/>
          <w:szCs w:val="28"/>
        </w:rPr>
        <w:t xml:space="preserve"> </w:t>
      </w:r>
      <w:r w:rsidR="000144FA" w:rsidRPr="00D566A3">
        <w:rPr>
          <w:sz w:val="28"/>
          <w:szCs w:val="28"/>
        </w:rPr>
        <w:t xml:space="preserve">Mr Shearer </w:t>
      </w:r>
      <w:r w:rsidRPr="00D566A3">
        <w:rPr>
          <w:sz w:val="28"/>
          <w:szCs w:val="28"/>
        </w:rPr>
        <w:t xml:space="preserve">with an endotracheal tube. </w:t>
      </w:r>
      <w:r w:rsidR="000144FA" w:rsidRPr="00D566A3">
        <w:rPr>
          <w:sz w:val="28"/>
          <w:szCs w:val="28"/>
        </w:rPr>
        <w:t xml:space="preserve">At 22h40, he </w:t>
      </w:r>
      <w:r w:rsidRPr="00D566A3">
        <w:rPr>
          <w:sz w:val="28"/>
          <w:szCs w:val="28"/>
        </w:rPr>
        <w:t>was</w:t>
      </w:r>
      <w:r w:rsidR="000144FA" w:rsidRPr="00D566A3">
        <w:rPr>
          <w:sz w:val="28"/>
          <w:szCs w:val="28"/>
        </w:rPr>
        <w:t xml:space="preserve"> </w:t>
      </w:r>
      <w:r w:rsidRPr="00D566A3">
        <w:rPr>
          <w:sz w:val="28"/>
          <w:szCs w:val="28"/>
        </w:rPr>
        <w:t xml:space="preserve">taken to the ICU under the care of Dr Insam. </w:t>
      </w:r>
    </w:p>
    <w:p w14:paraId="3842F234" w14:textId="77777777" w:rsidR="0010252F" w:rsidRPr="00D566A3" w:rsidRDefault="0010252F" w:rsidP="0010252F">
      <w:pPr>
        <w:pStyle w:val="ListParagraph"/>
        <w:rPr>
          <w:sz w:val="28"/>
          <w:szCs w:val="28"/>
        </w:rPr>
      </w:pPr>
    </w:p>
    <w:p w14:paraId="7B529505" w14:textId="11E2DF58" w:rsidR="000144FA" w:rsidRPr="00D566A3" w:rsidRDefault="00CA4424" w:rsidP="000144FA">
      <w:pPr>
        <w:numPr>
          <w:ilvl w:val="0"/>
          <w:numId w:val="1"/>
        </w:numPr>
        <w:tabs>
          <w:tab w:val="left" w:pos="0"/>
        </w:tabs>
        <w:ind w:left="0"/>
        <w:rPr>
          <w:sz w:val="28"/>
          <w:szCs w:val="28"/>
        </w:rPr>
      </w:pPr>
      <w:r w:rsidRPr="00D566A3">
        <w:rPr>
          <w:sz w:val="28"/>
          <w:szCs w:val="28"/>
        </w:rPr>
        <w:lastRenderedPageBreak/>
        <w:t>Prof Coetzee’s evidence focussed on th</w:t>
      </w:r>
      <w:r w:rsidR="000144FA" w:rsidRPr="00D566A3">
        <w:rPr>
          <w:sz w:val="28"/>
          <w:szCs w:val="28"/>
        </w:rPr>
        <w:t xml:space="preserve">e dangers presented by </w:t>
      </w:r>
      <w:r w:rsidRPr="00D566A3">
        <w:rPr>
          <w:sz w:val="28"/>
          <w:szCs w:val="28"/>
        </w:rPr>
        <w:t xml:space="preserve">alcohol </w:t>
      </w:r>
      <w:r w:rsidR="000144FA" w:rsidRPr="00D566A3">
        <w:rPr>
          <w:sz w:val="28"/>
          <w:szCs w:val="28"/>
        </w:rPr>
        <w:t xml:space="preserve">overindulgence </w:t>
      </w:r>
      <w:r w:rsidRPr="00D566A3">
        <w:rPr>
          <w:sz w:val="28"/>
          <w:szCs w:val="28"/>
        </w:rPr>
        <w:t xml:space="preserve">combined </w:t>
      </w:r>
      <w:r w:rsidR="0010252F" w:rsidRPr="00D566A3">
        <w:rPr>
          <w:sz w:val="28"/>
          <w:szCs w:val="28"/>
        </w:rPr>
        <w:t>with medication</w:t>
      </w:r>
      <w:r w:rsidR="000144FA" w:rsidRPr="00D566A3">
        <w:rPr>
          <w:sz w:val="28"/>
          <w:szCs w:val="28"/>
        </w:rPr>
        <w:t xml:space="preserve">. He testified that it was common knowledge in the medical field that a person who had consumed such </w:t>
      </w:r>
      <w:r w:rsidRPr="00D566A3">
        <w:rPr>
          <w:sz w:val="28"/>
          <w:szCs w:val="28"/>
        </w:rPr>
        <w:t xml:space="preserve">combination </w:t>
      </w:r>
      <w:r w:rsidR="000144FA" w:rsidRPr="00D566A3">
        <w:rPr>
          <w:sz w:val="28"/>
          <w:szCs w:val="28"/>
        </w:rPr>
        <w:t xml:space="preserve">was at risk of suffering respiratory depression and/or </w:t>
      </w:r>
      <w:r w:rsidRPr="00D566A3">
        <w:rPr>
          <w:sz w:val="28"/>
          <w:szCs w:val="28"/>
        </w:rPr>
        <w:t>airway obstruction</w:t>
      </w:r>
      <w:r w:rsidR="000144FA" w:rsidRPr="00D566A3">
        <w:rPr>
          <w:sz w:val="28"/>
          <w:szCs w:val="28"/>
        </w:rPr>
        <w:t xml:space="preserve">. This </w:t>
      </w:r>
      <w:r w:rsidR="0060129A" w:rsidRPr="00D566A3">
        <w:rPr>
          <w:sz w:val="28"/>
          <w:szCs w:val="28"/>
        </w:rPr>
        <w:t>wa</w:t>
      </w:r>
      <w:r w:rsidR="000144FA" w:rsidRPr="00D566A3">
        <w:rPr>
          <w:sz w:val="28"/>
          <w:szCs w:val="28"/>
        </w:rPr>
        <w:t xml:space="preserve">s regardless of the fact that </w:t>
      </w:r>
      <w:r w:rsidRPr="00D566A3">
        <w:rPr>
          <w:sz w:val="28"/>
          <w:szCs w:val="28"/>
        </w:rPr>
        <w:t xml:space="preserve">such a person </w:t>
      </w:r>
      <w:r w:rsidR="000144FA" w:rsidRPr="00D566A3">
        <w:rPr>
          <w:sz w:val="28"/>
          <w:szCs w:val="28"/>
        </w:rPr>
        <w:t>m</w:t>
      </w:r>
      <w:r w:rsidR="0060129A" w:rsidRPr="00D566A3">
        <w:rPr>
          <w:sz w:val="28"/>
          <w:szCs w:val="28"/>
        </w:rPr>
        <w:t>ight</w:t>
      </w:r>
      <w:r w:rsidR="000144FA" w:rsidRPr="00D566A3">
        <w:rPr>
          <w:sz w:val="28"/>
          <w:szCs w:val="28"/>
        </w:rPr>
        <w:t xml:space="preserve"> </w:t>
      </w:r>
      <w:r w:rsidRPr="00D566A3">
        <w:rPr>
          <w:sz w:val="28"/>
          <w:szCs w:val="28"/>
        </w:rPr>
        <w:t xml:space="preserve">initially </w:t>
      </w:r>
      <w:r w:rsidR="000144FA" w:rsidRPr="00D566A3">
        <w:rPr>
          <w:sz w:val="28"/>
          <w:szCs w:val="28"/>
        </w:rPr>
        <w:t>appear to be reasonably stable on admission</w:t>
      </w:r>
      <w:r w:rsidRPr="00D566A3">
        <w:rPr>
          <w:sz w:val="28"/>
          <w:szCs w:val="28"/>
        </w:rPr>
        <w:t>, such as Mr Shearer was</w:t>
      </w:r>
      <w:r w:rsidR="000144FA" w:rsidRPr="00D566A3">
        <w:rPr>
          <w:sz w:val="28"/>
          <w:szCs w:val="28"/>
        </w:rPr>
        <w:t xml:space="preserve">. </w:t>
      </w:r>
      <w:r w:rsidR="008A3D76" w:rsidRPr="00D566A3">
        <w:rPr>
          <w:sz w:val="28"/>
          <w:szCs w:val="28"/>
        </w:rPr>
        <w:t>The reason for th</w:t>
      </w:r>
      <w:r w:rsidRPr="00D566A3">
        <w:rPr>
          <w:sz w:val="28"/>
          <w:szCs w:val="28"/>
        </w:rPr>
        <w:t xml:space="preserve">e stable impression </w:t>
      </w:r>
      <w:r w:rsidR="008A3D76" w:rsidRPr="00D566A3">
        <w:rPr>
          <w:sz w:val="28"/>
          <w:szCs w:val="28"/>
        </w:rPr>
        <w:t xml:space="preserve">could </w:t>
      </w:r>
      <w:r w:rsidRPr="00D566A3">
        <w:rPr>
          <w:sz w:val="28"/>
          <w:szCs w:val="28"/>
        </w:rPr>
        <w:t xml:space="preserve">be that </w:t>
      </w:r>
      <w:r w:rsidR="008A3D76" w:rsidRPr="00D566A3">
        <w:rPr>
          <w:sz w:val="28"/>
          <w:szCs w:val="28"/>
        </w:rPr>
        <w:t>the alcohol and the drugs were still being absorbed into the</w:t>
      </w:r>
      <w:r w:rsidR="0060129A" w:rsidRPr="00D566A3">
        <w:rPr>
          <w:sz w:val="28"/>
          <w:szCs w:val="28"/>
        </w:rPr>
        <w:t xml:space="preserve"> digestive</w:t>
      </w:r>
      <w:r w:rsidR="008A3D76" w:rsidRPr="00D566A3">
        <w:rPr>
          <w:sz w:val="28"/>
          <w:szCs w:val="28"/>
        </w:rPr>
        <w:t xml:space="preserve"> system. Mr Shearer’s condition </w:t>
      </w:r>
      <w:r w:rsidR="0060129A" w:rsidRPr="00D566A3">
        <w:rPr>
          <w:sz w:val="28"/>
          <w:szCs w:val="28"/>
        </w:rPr>
        <w:t>c</w:t>
      </w:r>
      <w:r w:rsidR="008A3D76" w:rsidRPr="00D566A3">
        <w:rPr>
          <w:sz w:val="28"/>
          <w:szCs w:val="28"/>
        </w:rPr>
        <w:t>ould</w:t>
      </w:r>
      <w:r w:rsidR="0060129A" w:rsidRPr="00D566A3">
        <w:rPr>
          <w:sz w:val="28"/>
          <w:szCs w:val="28"/>
        </w:rPr>
        <w:t xml:space="preserve"> therefore</w:t>
      </w:r>
      <w:r w:rsidR="008A3D76" w:rsidRPr="00D566A3">
        <w:rPr>
          <w:sz w:val="28"/>
          <w:szCs w:val="28"/>
        </w:rPr>
        <w:t xml:space="preserve"> gradually change as those were taken up by the system.</w:t>
      </w:r>
    </w:p>
    <w:p w14:paraId="2A2BE2BE" w14:textId="77777777" w:rsidR="000144FA" w:rsidRPr="00D566A3" w:rsidRDefault="000144FA" w:rsidP="000144FA">
      <w:pPr>
        <w:pStyle w:val="ListParagraph"/>
        <w:rPr>
          <w:sz w:val="28"/>
          <w:szCs w:val="28"/>
        </w:rPr>
      </w:pPr>
    </w:p>
    <w:p w14:paraId="70A66BA9" w14:textId="5EFBCAED" w:rsidR="008A3D76" w:rsidRPr="00D566A3" w:rsidRDefault="008A3D76" w:rsidP="008A3D76">
      <w:pPr>
        <w:numPr>
          <w:ilvl w:val="0"/>
          <w:numId w:val="1"/>
        </w:numPr>
        <w:tabs>
          <w:tab w:val="left" w:pos="0"/>
        </w:tabs>
        <w:ind w:left="0"/>
        <w:rPr>
          <w:sz w:val="28"/>
          <w:szCs w:val="28"/>
        </w:rPr>
      </w:pPr>
      <w:r w:rsidRPr="00D566A3">
        <w:rPr>
          <w:sz w:val="28"/>
          <w:szCs w:val="28"/>
        </w:rPr>
        <w:t>This</w:t>
      </w:r>
      <w:r w:rsidR="00CB139F" w:rsidRPr="00D566A3">
        <w:rPr>
          <w:sz w:val="28"/>
          <w:szCs w:val="28"/>
        </w:rPr>
        <w:t xml:space="preserve"> gradual change,</w:t>
      </w:r>
      <w:r w:rsidRPr="00D566A3">
        <w:rPr>
          <w:sz w:val="28"/>
          <w:szCs w:val="28"/>
        </w:rPr>
        <w:t xml:space="preserve"> according to</w:t>
      </w:r>
      <w:r w:rsidR="00CB139F" w:rsidRPr="00D566A3">
        <w:rPr>
          <w:sz w:val="28"/>
          <w:szCs w:val="28"/>
        </w:rPr>
        <w:t xml:space="preserve"> Prof Coetzee,</w:t>
      </w:r>
      <w:r w:rsidRPr="00D566A3">
        <w:rPr>
          <w:sz w:val="28"/>
          <w:szCs w:val="28"/>
        </w:rPr>
        <w:t xml:space="preserve"> was </w:t>
      </w:r>
      <w:r w:rsidR="0060129A" w:rsidRPr="00D566A3">
        <w:rPr>
          <w:sz w:val="28"/>
          <w:szCs w:val="28"/>
        </w:rPr>
        <w:t>evidenced</w:t>
      </w:r>
      <w:r w:rsidRPr="00D566A3">
        <w:rPr>
          <w:sz w:val="28"/>
          <w:szCs w:val="28"/>
        </w:rPr>
        <w:t xml:space="preserve"> by the fact that when Mr Shearer was admitted, his oxygen saturation level w</w:t>
      </w:r>
      <w:r w:rsidR="0060129A" w:rsidRPr="00D566A3">
        <w:rPr>
          <w:sz w:val="28"/>
          <w:szCs w:val="28"/>
        </w:rPr>
        <w:t>as</w:t>
      </w:r>
      <w:r w:rsidRPr="00D566A3">
        <w:rPr>
          <w:sz w:val="28"/>
          <w:szCs w:val="28"/>
        </w:rPr>
        <w:t xml:space="preserve"> at 93% according to the </w:t>
      </w:r>
      <w:r w:rsidR="00CB139F" w:rsidRPr="00D566A3">
        <w:rPr>
          <w:sz w:val="28"/>
          <w:szCs w:val="28"/>
        </w:rPr>
        <w:t xml:space="preserve">clinical </w:t>
      </w:r>
      <w:r w:rsidRPr="00D566A3">
        <w:rPr>
          <w:sz w:val="28"/>
          <w:szCs w:val="28"/>
        </w:rPr>
        <w:t>notes</w:t>
      </w:r>
      <w:r w:rsidR="0060129A" w:rsidRPr="00D566A3">
        <w:rPr>
          <w:sz w:val="28"/>
          <w:szCs w:val="28"/>
        </w:rPr>
        <w:t>,</w:t>
      </w:r>
      <w:r w:rsidRPr="00D566A3">
        <w:rPr>
          <w:sz w:val="28"/>
          <w:szCs w:val="28"/>
        </w:rPr>
        <w:t xml:space="preserve"> or 98% according to the first appellant’s evidence. Those </w:t>
      </w:r>
      <w:r w:rsidR="00CB139F" w:rsidRPr="00D566A3">
        <w:rPr>
          <w:sz w:val="28"/>
          <w:szCs w:val="28"/>
        </w:rPr>
        <w:t xml:space="preserve">levels </w:t>
      </w:r>
      <w:r w:rsidRPr="00D566A3">
        <w:rPr>
          <w:sz w:val="28"/>
          <w:szCs w:val="28"/>
        </w:rPr>
        <w:t>gradually went down to 82% and then 28%. This</w:t>
      </w:r>
      <w:r w:rsidR="00E45532" w:rsidRPr="00D566A3">
        <w:rPr>
          <w:sz w:val="28"/>
          <w:szCs w:val="28"/>
        </w:rPr>
        <w:t>,</w:t>
      </w:r>
      <w:r w:rsidRPr="00D566A3">
        <w:rPr>
          <w:sz w:val="28"/>
          <w:szCs w:val="28"/>
        </w:rPr>
        <w:t xml:space="preserve"> according to Prof </w:t>
      </w:r>
      <w:r w:rsidR="00AC0216" w:rsidRPr="00D566A3">
        <w:rPr>
          <w:sz w:val="28"/>
          <w:szCs w:val="28"/>
        </w:rPr>
        <w:t>Coetzee</w:t>
      </w:r>
      <w:r w:rsidR="00E45532" w:rsidRPr="00D566A3">
        <w:rPr>
          <w:sz w:val="28"/>
          <w:szCs w:val="28"/>
        </w:rPr>
        <w:t>,</w:t>
      </w:r>
      <w:r w:rsidRPr="00D566A3">
        <w:rPr>
          <w:sz w:val="28"/>
          <w:szCs w:val="28"/>
        </w:rPr>
        <w:t xml:space="preserve"> necessitated the first appellant to re</w:t>
      </w:r>
      <w:r w:rsidR="0060129A" w:rsidRPr="00D566A3">
        <w:rPr>
          <w:sz w:val="28"/>
          <w:szCs w:val="28"/>
        </w:rPr>
        <w:t>gularly</w:t>
      </w:r>
      <w:r w:rsidRPr="00D566A3">
        <w:rPr>
          <w:sz w:val="28"/>
          <w:szCs w:val="28"/>
        </w:rPr>
        <w:t xml:space="preserve"> check on Mr Shearer. From </w:t>
      </w:r>
      <w:r w:rsidR="00CB139F" w:rsidRPr="00D566A3">
        <w:rPr>
          <w:sz w:val="28"/>
          <w:szCs w:val="28"/>
        </w:rPr>
        <w:t xml:space="preserve">the </w:t>
      </w:r>
      <w:r w:rsidRPr="00D566A3">
        <w:rPr>
          <w:sz w:val="28"/>
          <w:szCs w:val="28"/>
        </w:rPr>
        <w:t xml:space="preserve">hospital notes </w:t>
      </w:r>
      <w:r w:rsidR="00CB139F" w:rsidRPr="00D566A3">
        <w:rPr>
          <w:sz w:val="28"/>
          <w:szCs w:val="28"/>
        </w:rPr>
        <w:t>evaluated</w:t>
      </w:r>
      <w:r w:rsidRPr="00D566A3">
        <w:rPr>
          <w:sz w:val="28"/>
          <w:szCs w:val="28"/>
        </w:rPr>
        <w:t xml:space="preserve"> by Prof Coetzee, there was no other crisis that evening in the emergency unit that would have prevented the first appellant from doing so. </w:t>
      </w:r>
    </w:p>
    <w:p w14:paraId="3B7D2E07" w14:textId="77777777" w:rsidR="008A3D76" w:rsidRPr="00D566A3" w:rsidRDefault="008A3D76" w:rsidP="000144FA">
      <w:pPr>
        <w:pStyle w:val="ListParagraph"/>
        <w:rPr>
          <w:sz w:val="28"/>
          <w:szCs w:val="28"/>
        </w:rPr>
      </w:pPr>
    </w:p>
    <w:p w14:paraId="4C5B914B" w14:textId="75FA1CD8" w:rsidR="0010252F" w:rsidRPr="00D566A3" w:rsidRDefault="008A3D76" w:rsidP="0010252F">
      <w:pPr>
        <w:numPr>
          <w:ilvl w:val="0"/>
          <w:numId w:val="1"/>
        </w:numPr>
        <w:tabs>
          <w:tab w:val="left" w:pos="0"/>
        </w:tabs>
        <w:ind w:left="0"/>
        <w:rPr>
          <w:sz w:val="28"/>
          <w:szCs w:val="28"/>
        </w:rPr>
      </w:pPr>
      <w:r w:rsidRPr="00D566A3">
        <w:rPr>
          <w:sz w:val="28"/>
          <w:szCs w:val="28"/>
        </w:rPr>
        <w:t xml:space="preserve">Prof Coetzee </w:t>
      </w:r>
      <w:r w:rsidR="0010252F" w:rsidRPr="00D566A3">
        <w:rPr>
          <w:sz w:val="28"/>
          <w:szCs w:val="28"/>
        </w:rPr>
        <w:t xml:space="preserve">further testified that an oxygen saturation level of 93%, in the absence of chronic lung disease, should have alerted the medical personnel attending to Mr Shearer that he was already close to the lower limit of acceptable oxygenation. Under these circumstances, it was </w:t>
      </w:r>
      <w:r w:rsidR="0060129A" w:rsidRPr="00D566A3">
        <w:rPr>
          <w:sz w:val="28"/>
          <w:szCs w:val="28"/>
        </w:rPr>
        <w:t xml:space="preserve">imperative </w:t>
      </w:r>
      <w:r w:rsidR="008D75D5" w:rsidRPr="00D566A3">
        <w:rPr>
          <w:sz w:val="28"/>
          <w:szCs w:val="28"/>
        </w:rPr>
        <w:t>to continuously</w:t>
      </w:r>
      <w:r w:rsidR="0010252F" w:rsidRPr="00D566A3">
        <w:rPr>
          <w:sz w:val="28"/>
          <w:szCs w:val="28"/>
        </w:rPr>
        <w:t xml:space="preserve"> monitor </w:t>
      </w:r>
      <w:r w:rsidR="0060129A" w:rsidRPr="00D566A3">
        <w:rPr>
          <w:sz w:val="28"/>
          <w:szCs w:val="28"/>
        </w:rPr>
        <w:t xml:space="preserve">Mr Shearer </w:t>
      </w:r>
      <w:r w:rsidR="0010252F" w:rsidRPr="00D566A3">
        <w:rPr>
          <w:sz w:val="28"/>
          <w:szCs w:val="28"/>
        </w:rPr>
        <w:t>from the time he was admitted in the emergency unit at 21h30.</w:t>
      </w:r>
    </w:p>
    <w:p w14:paraId="6FE1C069" w14:textId="77777777" w:rsidR="0010252F" w:rsidRPr="00D566A3" w:rsidRDefault="0010252F" w:rsidP="0010252F">
      <w:pPr>
        <w:pStyle w:val="ListParagraph"/>
        <w:rPr>
          <w:sz w:val="28"/>
          <w:szCs w:val="28"/>
        </w:rPr>
      </w:pPr>
    </w:p>
    <w:p w14:paraId="429F7800" w14:textId="20BF5B9A" w:rsidR="0010252F" w:rsidRPr="00D566A3" w:rsidRDefault="008A3D76" w:rsidP="0010252F">
      <w:pPr>
        <w:numPr>
          <w:ilvl w:val="0"/>
          <w:numId w:val="1"/>
        </w:numPr>
        <w:tabs>
          <w:tab w:val="left" w:pos="0"/>
        </w:tabs>
        <w:ind w:left="0"/>
        <w:rPr>
          <w:sz w:val="28"/>
          <w:szCs w:val="28"/>
        </w:rPr>
      </w:pPr>
      <w:r w:rsidRPr="00D566A3">
        <w:rPr>
          <w:sz w:val="28"/>
          <w:szCs w:val="28"/>
        </w:rPr>
        <w:t>A</w:t>
      </w:r>
      <w:r w:rsidR="0010252F" w:rsidRPr="00D566A3">
        <w:rPr>
          <w:sz w:val="28"/>
          <w:szCs w:val="28"/>
        </w:rPr>
        <w:t xml:space="preserve">fter the first appellant examined Mr Shearer at 21h35, the first appellant should have </w:t>
      </w:r>
      <w:r w:rsidR="0060129A" w:rsidRPr="00D566A3">
        <w:rPr>
          <w:sz w:val="28"/>
          <w:szCs w:val="28"/>
        </w:rPr>
        <w:t>en</w:t>
      </w:r>
      <w:r w:rsidR="0010252F" w:rsidRPr="00D566A3">
        <w:rPr>
          <w:sz w:val="28"/>
          <w:szCs w:val="28"/>
        </w:rPr>
        <w:t>sure</w:t>
      </w:r>
      <w:r w:rsidR="0060129A" w:rsidRPr="00D566A3">
        <w:rPr>
          <w:sz w:val="28"/>
          <w:szCs w:val="28"/>
        </w:rPr>
        <w:t>d</w:t>
      </w:r>
      <w:r w:rsidR="0010252F" w:rsidRPr="00D566A3">
        <w:rPr>
          <w:sz w:val="28"/>
          <w:szCs w:val="28"/>
        </w:rPr>
        <w:t xml:space="preserve"> that Mr Shearer could maintain his airway, that his respiration </w:t>
      </w:r>
      <w:r w:rsidR="0010252F" w:rsidRPr="00D566A3">
        <w:rPr>
          <w:sz w:val="28"/>
          <w:szCs w:val="28"/>
        </w:rPr>
        <w:lastRenderedPageBreak/>
        <w:t xml:space="preserve">was satisfactory and that he was properly oxygenated. This could be done by intubating the trachea, and if Mr Shearer’s efforts at spontaneous breathing were insufficient, he would </w:t>
      </w:r>
      <w:r w:rsidRPr="00D566A3">
        <w:rPr>
          <w:sz w:val="28"/>
          <w:szCs w:val="28"/>
        </w:rPr>
        <w:t>then</w:t>
      </w:r>
      <w:r w:rsidR="00CB139F" w:rsidRPr="00D566A3">
        <w:rPr>
          <w:sz w:val="28"/>
          <w:szCs w:val="28"/>
        </w:rPr>
        <w:t xml:space="preserve"> have had to be</w:t>
      </w:r>
      <w:r w:rsidRPr="00D566A3">
        <w:rPr>
          <w:sz w:val="28"/>
          <w:szCs w:val="28"/>
        </w:rPr>
        <w:t xml:space="preserve"> place</w:t>
      </w:r>
      <w:r w:rsidR="00CB139F" w:rsidRPr="00D566A3">
        <w:rPr>
          <w:sz w:val="28"/>
          <w:szCs w:val="28"/>
        </w:rPr>
        <w:t>d</w:t>
      </w:r>
      <w:r w:rsidR="0010252F" w:rsidRPr="00D566A3">
        <w:rPr>
          <w:sz w:val="28"/>
          <w:szCs w:val="28"/>
        </w:rPr>
        <w:t xml:space="preserve"> on a ventilator</w:t>
      </w:r>
      <w:r w:rsidR="00A969CE" w:rsidRPr="00D566A3">
        <w:rPr>
          <w:sz w:val="28"/>
          <w:szCs w:val="28"/>
        </w:rPr>
        <w:t xml:space="preserve">. </w:t>
      </w:r>
      <w:r w:rsidR="00CB139F" w:rsidRPr="00D566A3">
        <w:rPr>
          <w:sz w:val="28"/>
          <w:szCs w:val="28"/>
        </w:rPr>
        <w:t xml:space="preserve">Prof Coetzee concluded </w:t>
      </w:r>
      <w:r w:rsidRPr="00D566A3">
        <w:rPr>
          <w:sz w:val="28"/>
          <w:szCs w:val="28"/>
        </w:rPr>
        <w:t xml:space="preserve">that the </w:t>
      </w:r>
      <w:r w:rsidR="00CB139F" w:rsidRPr="00D566A3">
        <w:rPr>
          <w:sz w:val="28"/>
          <w:szCs w:val="28"/>
        </w:rPr>
        <w:t>ensuing</w:t>
      </w:r>
      <w:r w:rsidRPr="00D566A3">
        <w:rPr>
          <w:sz w:val="28"/>
          <w:szCs w:val="28"/>
        </w:rPr>
        <w:t xml:space="preserve"> cardiac arrest was probably caused by severe and sustained hypoxia</w:t>
      </w:r>
      <w:r w:rsidR="00CB139F" w:rsidRPr="00D566A3">
        <w:rPr>
          <w:sz w:val="28"/>
          <w:szCs w:val="28"/>
        </w:rPr>
        <w:t>,</w:t>
      </w:r>
      <w:r w:rsidRPr="00D566A3">
        <w:rPr>
          <w:sz w:val="28"/>
          <w:szCs w:val="28"/>
        </w:rPr>
        <w:t xml:space="preserve"> which if prevented or reacted upon timeously would probably not have occurred.</w:t>
      </w:r>
    </w:p>
    <w:p w14:paraId="7ACB7B94" w14:textId="77777777" w:rsidR="0010252F" w:rsidRPr="00D566A3" w:rsidRDefault="0010252F" w:rsidP="0010252F">
      <w:pPr>
        <w:pStyle w:val="ListParagraph"/>
        <w:rPr>
          <w:sz w:val="28"/>
          <w:szCs w:val="28"/>
        </w:rPr>
      </w:pPr>
    </w:p>
    <w:p w14:paraId="6B50C5F6" w14:textId="0BDEDD98" w:rsidR="008A3D76" w:rsidRPr="00D566A3" w:rsidRDefault="0010252F" w:rsidP="00114533">
      <w:pPr>
        <w:numPr>
          <w:ilvl w:val="0"/>
          <w:numId w:val="1"/>
        </w:numPr>
        <w:tabs>
          <w:tab w:val="left" w:pos="0"/>
        </w:tabs>
        <w:ind w:left="0"/>
        <w:rPr>
          <w:sz w:val="28"/>
          <w:szCs w:val="28"/>
        </w:rPr>
      </w:pPr>
      <w:r w:rsidRPr="00D566A3">
        <w:rPr>
          <w:sz w:val="28"/>
          <w:szCs w:val="28"/>
        </w:rPr>
        <w:t xml:space="preserve">The first appellant’s evidence </w:t>
      </w:r>
      <w:r w:rsidR="00521A6E" w:rsidRPr="00D566A3">
        <w:rPr>
          <w:sz w:val="28"/>
          <w:szCs w:val="28"/>
        </w:rPr>
        <w:t xml:space="preserve">largely </w:t>
      </w:r>
      <w:r w:rsidRPr="00D566A3">
        <w:rPr>
          <w:sz w:val="28"/>
          <w:szCs w:val="28"/>
        </w:rPr>
        <w:t>conformed to what was in the clinical</w:t>
      </w:r>
      <w:r w:rsidR="008A3D76" w:rsidRPr="00D566A3">
        <w:rPr>
          <w:sz w:val="28"/>
          <w:szCs w:val="28"/>
        </w:rPr>
        <w:t xml:space="preserve"> </w:t>
      </w:r>
      <w:r w:rsidRPr="00D566A3">
        <w:rPr>
          <w:sz w:val="28"/>
          <w:szCs w:val="28"/>
        </w:rPr>
        <w:t xml:space="preserve">notes. </w:t>
      </w:r>
      <w:r w:rsidR="0093014E" w:rsidRPr="00D566A3">
        <w:rPr>
          <w:sz w:val="28"/>
          <w:szCs w:val="28"/>
        </w:rPr>
        <w:t>However,</w:t>
      </w:r>
      <w:r w:rsidR="008A3D76" w:rsidRPr="00D566A3">
        <w:rPr>
          <w:sz w:val="28"/>
          <w:szCs w:val="28"/>
        </w:rPr>
        <w:t xml:space="preserve"> his evidence was </w:t>
      </w:r>
      <w:r w:rsidRPr="00D566A3">
        <w:rPr>
          <w:sz w:val="28"/>
          <w:szCs w:val="28"/>
        </w:rPr>
        <w:t xml:space="preserve">that </w:t>
      </w:r>
      <w:r w:rsidR="0093014E" w:rsidRPr="00D566A3">
        <w:rPr>
          <w:sz w:val="28"/>
          <w:szCs w:val="28"/>
        </w:rPr>
        <w:t>because</w:t>
      </w:r>
      <w:r w:rsidR="008A3D76" w:rsidRPr="00D566A3">
        <w:rPr>
          <w:sz w:val="28"/>
          <w:szCs w:val="28"/>
        </w:rPr>
        <w:t xml:space="preserve"> </w:t>
      </w:r>
      <w:r w:rsidR="00521A6E" w:rsidRPr="00D566A3">
        <w:rPr>
          <w:sz w:val="28"/>
          <w:szCs w:val="28"/>
        </w:rPr>
        <w:t>Mr Shearer’s</w:t>
      </w:r>
      <w:r w:rsidRPr="00D566A3">
        <w:rPr>
          <w:sz w:val="28"/>
          <w:szCs w:val="28"/>
        </w:rPr>
        <w:t xml:space="preserve"> chest examination was clear, he reckoned that the low oxygen saturation of 93% must have been due to a problem with the oxygen probe. He replaced it correctly on Mr Shearer’s finger and after doing so, the oxygen saturation </w:t>
      </w:r>
      <w:r w:rsidR="008A3D76" w:rsidRPr="00D566A3">
        <w:rPr>
          <w:sz w:val="28"/>
          <w:szCs w:val="28"/>
        </w:rPr>
        <w:t xml:space="preserve">level </w:t>
      </w:r>
      <w:r w:rsidRPr="00D566A3">
        <w:rPr>
          <w:sz w:val="28"/>
          <w:szCs w:val="28"/>
        </w:rPr>
        <w:t>improved to 98%. This</w:t>
      </w:r>
      <w:r w:rsidR="00521A6E" w:rsidRPr="00D566A3">
        <w:rPr>
          <w:sz w:val="28"/>
          <w:szCs w:val="28"/>
        </w:rPr>
        <w:t xml:space="preserve"> improvement</w:t>
      </w:r>
      <w:r w:rsidRPr="00D566A3">
        <w:rPr>
          <w:sz w:val="28"/>
          <w:szCs w:val="28"/>
        </w:rPr>
        <w:t xml:space="preserve"> </w:t>
      </w:r>
      <w:r w:rsidR="000E1D06" w:rsidRPr="00D566A3">
        <w:rPr>
          <w:sz w:val="28"/>
          <w:szCs w:val="28"/>
        </w:rPr>
        <w:t>re</w:t>
      </w:r>
      <w:r w:rsidR="008A3D76" w:rsidRPr="00D566A3">
        <w:rPr>
          <w:sz w:val="28"/>
          <w:szCs w:val="28"/>
        </w:rPr>
        <w:t xml:space="preserve">assured him of </w:t>
      </w:r>
      <w:r w:rsidRPr="00D566A3">
        <w:rPr>
          <w:sz w:val="28"/>
          <w:szCs w:val="28"/>
        </w:rPr>
        <w:t xml:space="preserve">Mr Shearer’s stability. </w:t>
      </w:r>
      <w:r w:rsidR="008A3D76" w:rsidRPr="00D566A3">
        <w:rPr>
          <w:sz w:val="28"/>
          <w:szCs w:val="28"/>
        </w:rPr>
        <w:t>He however did not record t</w:t>
      </w:r>
      <w:r w:rsidRPr="00D566A3">
        <w:rPr>
          <w:sz w:val="28"/>
          <w:szCs w:val="28"/>
        </w:rPr>
        <w:t xml:space="preserve">his alleged changed level of oxygenation </w:t>
      </w:r>
      <w:r w:rsidR="008A3D76" w:rsidRPr="00D566A3">
        <w:rPr>
          <w:sz w:val="28"/>
          <w:szCs w:val="28"/>
        </w:rPr>
        <w:t xml:space="preserve">in </w:t>
      </w:r>
      <w:r w:rsidRPr="00D566A3">
        <w:rPr>
          <w:sz w:val="28"/>
          <w:szCs w:val="28"/>
        </w:rPr>
        <w:t xml:space="preserve">the clinical notes. </w:t>
      </w:r>
    </w:p>
    <w:p w14:paraId="14C76F79" w14:textId="77777777" w:rsidR="008A3D76" w:rsidRPr="00D566A3" w:rsidRDefault="008A3D76" w:rsidP="008A3D76">
      <w:pPr>
        <w:pStyle w:val="ListParagraph"/>
        <w:rPr>
          <w:sz w:val="28"/>
          <w:szCs w:val="28"/>
        </w:rPr>
      </w:pPr>
    </w:p>
    <w:p w14:paraId="420C273C" w14:textId="57AC741A" w:rsidR="0010252F" w:rsidRPr="00D566A3" w:rsidRDefault="008A3D76" w:rsidP="00114533">
      <w:pPr>
        <w:numPr>
          <w:ilvl w:val="0"/>
          <w:numId w:val="1"/>
        </w:numPr>
        <w:tabs>
          <w:tab w:val="left" w:pos="0"/>
        </w:tabs>
        <w:ind w:left="0"/>
        <w:rPr>
          <w:sz w:val="28"/>
          <w:szCs w:val="28"/>
        </w:rPr>
      </w:pPr>
      <w:r w:rsidRPr="00D566A3">
        <w:rPr>
          <w:sz w:val="28"/>
          <w:szCs w:val="28"/>
        </w:rPr>
        <w:t>He further testified that w</w:t>
      </w:r>
      <w:r w:rsidR="0010252F" w:rsidRPr="00D566A3">
        <w:rPr>
          <w:sz w:val="28"/>
          <w:szCs w:val="28"/>
        </w:rPr>
        <w:t xml:space="preserve">hen he last saw Mr Shearer at 21h35, his clinical judgment was that </w:t>
      </w:r>
      <w:r w:rsidRPr="00D566A3">
        <w:rPr>
          <w:sz w:val="28"/>
          <w:szCs w:val="28"/>
        </w:rPr>
        <w:t xml:space="preserve">he </w:t>
      </w:r>
      <w:r w:rsidR="0010252F" w:rsidRPr="00D566A3">
        <w:rPr>
          <w:sz w:val="28"/>
          <w:szCs w:val="28"/>
        </w:rPr>
        <w:t xml:space="preserve">was drunk but stable. His blood pressure was a little bit elevated but not adverse in that situation. A full blood count and further investigations </w:t>
      </w:r>
      <w:r w:rsidR="000E1D06" w:rsidRPr="00D566A3">
        <w:rPr>
          <w:sz w:val="28"/>
          <w:szCs w:val="28"/>
        </w:rPr>
        <w:t xml:space="preserve">revealed </w:t>
      </w:r>
      <w:r w:rsidR="0010252F" w:rsidRPr="00D566A3">
        <w:rPr>
          <w:sz w:val="28"/>
          <w:szCs w:val="28"/>
        </w:rPr>
        <w:t xml:space="preserve">that </w:t>
      </w:r>
      <w:r w:rsidR="00421F95" w:rsidRPr="00D566A3">
        <w:rPr>
          <w:sz w:val="28"/>
          <w:szCs w:val="28"/>
        </w:rPr>
        <w:t xml:space="preserve">he </w:t>
      </w:r>
      <w:r w:rsidR="0010252F" w:rsidRPr="00D566A3">
        <w:rPr>
          <w:sz w:val="28"/>
          <w:szCs w:val="28"/>
        </w:rPr>
        <w:t>had ingested high doses of aspirin</w:t>
      </w:r>
      <w:r w:rsidR="00A969CE" w:rsidRPr="00D566A3">
        <w:rPr>
          <w:sz w:val="28"/>
          <w:szCs w:val="28"/>
        </w:rPr>
        <w:t>.</w:t>
      </w:r>
      <w:r w:rsidR="0010252F" w:rsidRPr="00D566A3">
        <w:rPr>
          <w:sz w:val="28"/>
          <w:szCs w:val="28"/>
        </w:rPr>
        <w:t xml:space="preserve"> </w:t>
      </w:r>
      <w:r w:rsidR="005A6959" w:rsidRPr="00D566A3">
        <w:rPr>
          <w:sz w:val="28"/>
          <w:szCs w:val="28"/>
        </w:rPr>
        <w:t xml:space="preserve">The dextrose saline that Mr Shearer was given was to help counteract low blood sugar that could lead to irreversible brain damage following an acute ingestion of alcohol. Once he finished examining Mr Shearer, he had a conversation with Dr Insam who had known Mr Shearer as a patient from previous admissions. Dr Insam agreed with </w:t>
      </w:r>
      <w:r w:rsidR="00376DD2" w:rsidRPr="00D566A3">
        <w:rPr>
          <w:sz w:val="28"/>
          <w:szCs w:val="28"/>
        </w:rPr>
        <w:t xml:space="preserve">the </w:t>
      </w:r>
      <w:r w:rsidR="005A6959" w:rsidRPr="00D566A3">
        <w:rPr>
          <w:sz w:val="28"/>
          <w:szCs w:val="28"/>
        </w:rPr>
        <w:t xml:space="preserve">medication </w:t>
      </w:r>
      <w:r w:rsidR="00323016" w:rsidRPr="00D566A3">
        <w:rPr>
          <w:sz w:val="28"/>
          <w:szCs w:val="28"/>
        </w:rPr>
        <w:t>that the first appellant</w:t>
      </w:r>
      <w:r w:rsidR="005A6959" w:rsidRPr="00D566A3">
        <w:rPr>
          <w:sz w:val="28"/>
          <w:szCs w:val="28"/>
        </w:rPr>
        <w:t xml:space="preserve"> </w:t>
      </w:r>
      <w:r w:rsidR="00323016" w:rsidRPr="00D566A3">
        <w:rPr>
          <w:sz w:val="28"/>
          <w:szCs w:val="28"/>
        </w:rPr>
        <w:t xml:space="preserve">had </w:t>
      </w:r>
      <w:r w:rsidR="005A6959" w:rsidRPr="00D566A3">
        <w:rPr>
          <w:sz w:val="28"/>
          <w:szCs w:val="28"/>
        </w:rPr>
        <w:t>used to treat Mr Shearer. He also agreed with the first appellant’s decision to admit Mr Shearer</w:t>
      </w:r>
      <w:r w:rsidR="004B4110" w:rsidRPr="00D566A3">
        <w:rPr>
          <w:sz w:val="28"/>
          <w:szCs w:val="28"/>
        </w:rPr>
        <w:t xml:space="preserve"> to the </w:t>
      </w:r>
      <w:r w:rsidR="00E36553" w:rsidRPr="00D566A3">
        <w:rPr>
          <w:sz w:val="28"/>
          <w:szCs w:val="28"/>
        </w:rPr>
        <w:t>high care.</w:t>
      </w:r>
    </w:p>
    <w:p w14:paraId="6749FE10" w14:textId="77777777" w:rsidR="0010252F" w:rsidRPr="00D566A3" w:rsidRDefault="0010252F" w:rsidP="0010252F">
      <w:pPr>
        <w:tabs>
          <w:tab w:val="left" w:pos="0"/>
        </w:tabs>
        <w:rPr>
          <w:sz w:val="28"/>
          <w:szCs w:val="28"/>
        </w:rPr>
      </w:pPr>
    </w:p>
    <w:p w14:paraId="33D8846B" w14:textId="6EDE0E35" w:rsidR="0010252F" w:rsidRPr="00D566A3" w:rsidRDefault="0010252F" w:rsidP="000B14D7">
      <w:pPr>
        <w:numPr>
          <w:ilvl w:val="0"/>
          <w:numId w:val="1"/>
        </w:numPr>
        <w:tabs>
          <w:tab w:val="left" w:pos="0"/>
        </w:tabs>
        <w:ind w:left="0"/>
        <w:rPr>
          <w:sz w:val="28"/>
          <w:szCs w:val="28"/>
        </w:rPr>
      </w:pPr>
      <w:r w:rsidRPr="00D566A3">
        <w:rPr>
          <w:sz w:val="28"/>
          <w:szCs w:val="28"/>
        </w:rPr>
        <w:lastRenderedPageBreak/>
        <w:t xml:space="preserve">The first appellant further testified that a professional and experienced </w:t>
      </w:r>
      <w:r w:rsidR="0093014E" w:rsidRPr="00D566A3">
        <w:rPr>
          <w:sz w:val="28"/>
          <w:szCs w:val="28"/>
        </w:rPr>
        <w:t>nurse,</w:t>
      </w:r>
      <w:r w:rsidRPr="00D566A3">
        <w:rPr>
          <w:sz w:val="28"/>
          <w:szCs w:val="28"/>
        </w:rPr>
        <w:t xml:space="preserve"> Sister Phillips</w:t>
      </w:r>
      <w:r w:rsidR="001323AE">
        <w:rPr>
          <w:sz w:val="28"/>
          <w:szCs w:val="28"/>
        </w:rPr>
        <w:t>,</w:t>
      </w:r>
      <w:r w:rsidRPr="00D566A3">
        <w:rPr>
          <w:sz w:val="28"/>
          <w:szCs w:val="28"/>
        </w:rPr>
        <w:t xml:space="preserve"> assisted him. </w:t>
      </w:r>
      <w:r w:rsidR="005A6959" w:rsidRPr="00D566A3">
        <w:rPr>
          <w:sz w:val="28"/>
          <w:szCs w:val="28"/>
        </w:rPr>
        <w:t>He</w:t>
      </w:r>
      <w:r w:rsidR="00643E16" w:rsidRPr="00D566A3">
        <w:rPr>
          <w:sz w:val="28"/>
          <w:szCs w:val="28"/>
        </w:rPr>
        <w:t xml:space="preserve"> </w:t>
      </w:r>
      <w:r w:rsidRPr="00D566A3">
        <w:rPr>
          <w:sz w:val="28"/>
          <w:szCs w:val="28"/>
        </w:rPr>
        <w:t>did not stay with Mr Shearer</w:t>
      </w:r>
      <w:r w:rsidR="00323016" w:rsidRPr="00D566A3">
        <w:rPr>
          <w:sz w:val="28"/>
          <w:szCs w:val="28"/>
        </w:rPr>
        <w:t>,</w:t>
      </w:r>
      <w:r w:rsidRPr="00D566A3">
        <w:rPr>
          <w:sz w:val="28"/>
          <w:szCs w:val="28"/>
        </w:rPr>
        <w:t xml:space="preserve"> because </w:t>
      </w:r>
      <w:r w:rsidR="005A6959" w:rsidRPr="00D566A3">
        <w:rPr>
          <w:sz w:val="28"/>
          <w:szCs w:val="28"/>
        </w:rPr>
        <w:t xml:space="preserve">apart from </w:t>
      </w:r>
      <w:r w:rsidRPr="00D566A3">
        <w:rPr>
          <w:sz w:val="28"/>
          <w:szCs w:val="28"/>
        </w:rPr>
        <w:t xml:space="preserve">Mr Shearer </w:t>
      </w:r>
      <w:r w:rsidR="005A6959" w:rsidRPr="00D566A3">
        <w:rPr>
          <w:sz w:val="28"/>
          <w:szCs w:val="28"/>
        </w:rPr>
        <w:t xml:space="preserve">being </w:t>
      </w:r>
      <w:r w:rsidRPr="00D566A3">
        <w:rPr>
          <w:sz w:val="28"/>
          <w:szCs w:val="28"/>
        </w:rPr>
        <w:t>vitally stable</w:t>
      </w:r>
      <w:r w:rsidR="005A6959" w:rsidRPr="00D566A3">
        <w:rPr>
          <w:sz w:val="28"/>
          <w:szCs w:val="28"/>
        </w:rPr>
        <w:t xml:space="preserve">, </w:t>
      </w:r>
      <w:r w:rsidRPr="00D566A3">
        <w:rPr>
          <w:sz w:val="28"/>
          <w:szCs w:val="28"/>
        </w:rPr>
        <w:t>he had instructed Sister Phillips to monitor</w:t>
      </w:r>
      <w:r w:rsidR="00323016" w:rsidRPr="00D566A3">
        <w:rPr>
          <w:sz w:val="28"/>
          <w:szCs w:val="28"/>
        </w:rPr>
        <w:t xml:space="preserve"> the patient</w:t>
      </w:r>
      <w:r w:rsidRPr="00D566A3">
        <w:rPr>
          <w:sz w:val="28"/>
          <w:szCs w:val="28"/>
        </w:rPr>
        <w:t xml:space="preserve">. </w:t>
      </w:r>
      <w:r w:rsidR="000E1D06" w:rsidRPr="00D566A3">
        <w:rPr>
          <w:sz w:val="28"/>
          <w:szCs w:val="28"/>
        </w:rPr>
        <w:t xml:space="preserve">In addition, Mr Shearer’s condition was monitored by a device which would activate an alarm in the event of a deterioration in his condition. </w:t>
      </w:r>
      <w:r w:rsidRPr="00D566A3">
        <w:rPr>
          <w:sz w:val="28"/>
          <w:szCs w:val="28"/>
        </w:rPr>
        <w:t xml:space="preserve">No one called him concerning any change in Mr Shearer’s condition and he did not hear </w:t>
      </w:r>
      <w:r w:rsidR="00665CEF" w:rsidRPr="00D566A3">
        <w:rPr>
          <w:sz w:val="28"/>
          <w:szCs w:val="28"/>
        </w:rPr>
        <w:t xml:space="preserve">any </w:t>
      </w:r>
      <w:r w:rsidRPr="00D566A3">
        <w:rPr>
          <w:sz w:val="28"/>
          <w:szCs w:val="28"/>
        </w:rPr>
        <w:t xml:space="preserve">alarm going off. </w:t>
      </w:r>
    </w:p>
    <w:p w14:paraId="145CB957" w14:textId="77777777" w:rsidR="0010252F" w:rsidRPr="00D566A3" w:rsidRDefault="0010252F" w:rsidP="0010252F">
      <w:pPr>
        <w:tabs>
          <w:tab w:val="left" w:pos="0"/>
        </w:tabs>
        <w:rPr>
          <w:sz w:val="28"/>
          <w:szCs w:val="28"/>
        </w:rPr>
      </w:pPr>
    </w:p>
    <w:p w14:paraId="443F087C" w14:textId="7B173530" w:rsidR="0010252F" w:rsidRPr="00D566A3" w:rsidRDefault="0010252F" w:rsidP="0010252F">
      <w:pPr>
        <w:numPr>
          <w:ilvl w:val="0"/>
          <w:numId w:val="1"/>
        </w:numPr>
        <w:tabs>
          <w:tab w:val="left" w:pos="0"/>
        </w:tabs>
        <w:ind w:left="0"/>
        <w:rPr>
          <w:sz w:val="28"/>
          <w:szCs w:val="28"/>
        </w:rPr>
      </w:pPr>
      <w:r w:rsidRPr="00D566A3">
        <w:rPr>
          <w:sz w:val="28"/>
          <w:szCs w:val="28"/>
        </w:rPr>
        <w:t>Sister Phillips called him while he was busy with another patient. Apparently, a phlebotomist</w:t>
      </w:r>
      <w:r w:rsidR="004B4110" w:rsidRPr="00D566A3">
        <w:rPr>
          <w:rStyle w:val="FootnoteReference"/>
          <w:sz w:val="28"/>
          <w:szCs w:val="28"/>
        </w:rPr>
        <w:footnoteReference w:id="4"/>
      </w:r>
      <w:r w:rsidRPr="00D566A3">
        <w:rPr>
          <w:sz w:val="28"/>
          <w:szCs w:val="28"/>
        </w:rPr>
        <w:t xml:space="preserve"> </w:t>
      </w:r>
      <w:r w:rsidR="00665CEF" w:rsidRPr="00D566A3">
        <w:rPr>
          <w:sz w:val="28"/>
          <w:szCs w:val="28"/>
        </w:rPr>
        <w:t xml:space="preserve">had discovered that </w:t>
      </w:r>
      <w:r w:rsidRPr="00D566A3">
        <w:rPr>
          <w:sz w:val="28"/>
          <w:szCs w:val="28"/>
        </w:rPr>
        <w:t xml:space="preserve">Mr Shearer </w:t>
      </w:r>
      <w:r w:rsidR="00966240" w:rsidRPr="00D566A3">
        <w:rPr>
          <w:sz w:val="28"/>
          <w:szCs w:val="28"/>
        </w:rPr>
        <w:t>w</w:t>
      </w:r>
      <w:r w:rsidRPr="00D566A3">
        <w:rPr>
          <w:sz w:val="28"/>
          <w:szCs w:val="28"/>
        </w:rPr>
        <w:t xml:space="preserve">as unresponsive and raised the alarm with Sister Phillips. When the first appellant got there, he </w:t>
      </w:r>
      <w:r w:rsidR="0093014E" w:rsidRPr="00D566A3">
        <w:rPr>
          <w:sz w:val="28"/>
          <w:szCs w:val="28"/>
        </w:rPr>
        <w:t>established</w:t>
      </w:r>
      <w:r w:rsidRPr="00D566A3">
        <w:rPr>
          <w:sz w:val="28"/>
          <w:szCs w:val="28"/>
        </w:rPr>
        <w:t xml:space="preserve"> that Mr Shearer was in cardiac arrest. He resuscitated Mr Shearer with the help of Sister </w:t>
      </w:r>
      <w:r w:rsidR="00AC0216" w:rsidRPr="00D566A3">
        <w:rPr>
          <w:sz w:val="28"/>
          <w:szCs w:val="28"/>
        </w:rPr>
        <w:t>Phillips;</w:t>
      </w:r>
      <w:r w:rsidR="00665CEF" w:rsidRPr="00D566A3">
        <w:rPr>
          <w:sz w:val="28"/>
          <w:szCs w:val="28"/>
        </w:rPr>
        <w:t xml:space="preserve"> t</w:t>
      </w:r>
      <w:r w:rsidRPr="00D566A3">
        <w:rPr>
          <w:sz w:val="28"/>
          <w:szCs w:val="28"/>
        </w:rPr>
        <w:t xml:space="preserve">hey got his heart to beat on its own and </w:t>
      </w:r>
      <w:r w:rsidR="00665CEF" w:rsidRPr="00D566A3">
        <w:rPr>
          <w:sz w:val="28"/>
          <w:szCs w:val="28"/>
        </w:rPr>
        <w:t xml:space="preserve">his </w:t>
      </w:r>
      <w:r w:rsidRPr="00D566A3">
        <w:rPr>
          <w:sz w:val="28"/>
          <w:szCs w:val="28"/>
        </w:rPr>
        <w:t>blood pressure to normalise. They then inserted the endotracheal tube and immediately attached a bag valve mask, which pushes the air into the lungs.</w:t>
      </w:r>
    </w:p>
    <w:p w14:paraId="41355AA2" w14:textId="77777777" w:rsidR="0010252F" w:rsidRPr="00D566A3" w:rsidRDefault="0010252F" w:rsidP="0010252F">
      <w:pPr>
        <w:pStyle w:val="ListParagraph"/>
        <w:rPr>
          <w:sz w:val="28"/>
          <w:szCs w:val="28"/>
        </w:rPr>
      </w:pPr>
    </w:p>
    <w:p w14:paraId="36E2CDAC" w14:textId="6ACAF591" w:rsidR="0010252F" w:rsidRPr="00D566A3" w:rsidRDefault="0010252F" w:rsidP="0010252F">
      <w:pPr>
        <w:numPr>
          <w:ilvl w:val="0"/>
          <w:numId w:val="1"/>
        </w:numPr>
        <w:tabs>
          <w:tab w:val="left" w:pos="0"/>
          <w:tab w:val="left" w:pos="720"/>
        </w:tabs>
        <w:ind w:left="0"/>
        <w:rPr>
          <w:sz w:val="28"/>
          <w:szCs w:val="28"/>
        </w:rPr>
      </w:pPr>
      <w:r w:rsidRPr="00D566A3">
        <w:rPr>
          <w:sz w:val="28"/>
          <w:szCs w:val="28"/>
        </w:rPr>
        <w:t>The high court found the appellants to be jointly and severally liable.</w:t>
      </w:r>
      <w:r w:rsidR="00665CEF" w:rsidRPr="00D566A3">
        <w:rPr>
          <w:sz w:val="28"/>
          <w:szCs w:val="28"/>
        </w:rPr>
        <w:t xml:space="preserve"> </w:t>
      </w:r>
      <w:r w:rsidR="00B94402" w:rsidRPr="00D566A3">
        <w:rPr>
          <w:sz w:val="28"/>
          <w:szCs w:val="28"/>
        </w:rPr>
        <w:t xml:space="preserve">It held </w:t>
      </w:r>
      <w:r w:rsidRPr="00D566A3">
        <w:rPr>
          <w:sz w:val="28"/>
          <w:szCs w:val="28"/>
        </w:rPr>
        <w:t xml:space="preserve">that the first appellant was an independent contractor </w:t>
      </w:r>
      <w:r w:rsidR="0093014E" w:rsidRPr="00D566A3">
        <w:rPr>
          <w:sz w:val="28"/>
          <w:szCs w:val="28"/>
        </w:rPr>
        <w:t>appointed by</w:t>
      </w:r>
      <w:r w:rsidRPr="00D566A3">
        <w:rPr>
          <w:sz w:val="28"/>
          <w:szCs w:val="28"/>
        </w:rPr>
        <w:t xml:space="preserve"> the second appellant</w:t>
      </w:r>
      <w:r w:rsidR="00966240" w:rsidRPr="00D566A3">
        <w:rPr>
          <w:sz w:val="28"/>
          <w:szCs w:val="28"/>
        </w:rPr>
        <w:t>, that</w:t>
      </w:r>
      <w:r w:rsidRPr="00D566A3">
        <w:rPr>
          <w:sz w:val="28"/>
          <w:szCs w:val="28"/>
        </w:rPr>
        <w:t xml:space="preserve"> the nursing staff </w:t>
      </w:r>
      <w:r w:rsidR="000E1D06" w:rsidRPr="00D566A3">
        <w:rPr>
          <w:sz w:val="28"/>
          <w:szCs w:val="28"/>
        </w:rPr>
        <w:t xml:space="preserve">at the emergency unit </w:t>
      </w:r>
      <w:r w:rsidRPr="00D566A3">
        <w:rPr>
          <w:sz w:val="28"/>
          <w:szCs w:val="28"/>
        </w:rPr>
        <w:t>were employed by and</w:t>
      </w:r>
      <w:r w:rsidR="0093014E" w:rsidRPr="00D566A3">
        <w:rPr>
          <w:sz w:val="28"/>
          <w:szCs w:val="28"/>
        </w:rPr>
        <w:t xml:space="preserve"> worked</w:t>
      </w:r>
      <w:r w:rsidRPr="00D566A3">
        <w:rPr>
          <w:sz w:val="28"/>
          <w:szCs w:val="28"/>
        </w:rPr>
        <w:t xml:space="preserve"> under the control of the hospital</w:t>
      </w:r>
      <w:r w:rsidR="00AE5FC1" w:rsidRPr="00D566A3">
        <w:rPr>
          <w:sz w:val="28"/>
          <w:szCs w:val="28"/>
        </w:rPr>
        <w:t>,</w:t>
      </w:r>
      <w:r w:rsidRPr="00D566A3">
        <w:rPr>
          <w:sz w:val="28"/>
          <w:szCs w:val="28"/>
        </w:rPr>
        <w:t xml:space="preserve"> and</w:t>
      </w:r>
      <w:r w:rsidR="00966240" w:rsidRPr="00D566A3">
        <w:rPr>
          <w:sz w:val="28"/>
          <w:szCs w:val="28"/>
        </w:rPr>
        <w:t xml:space="preserve"> </w:t>
      </w:r>
      <w:r w:rsidR="00B94402" w:rsidRPr="00D566A3">
        <w:rPr>
          <w:sz w:val="28"/>
          <w:szCs w:val="28"/>
        </w:rPr>
        <w:t>that</w:t>
      </w:r>
      <w:r w:rsidRPr="00D566A3">
        <w:rPr>
          <w:sz w:val="28"/>
          <w:szCs w:val="28"/>
        </w:rPr>
        <w:t xml:space="preserve"> no evidence </w:t>
      </w:r>
      <w:r w:rsidR="00673430" w:rsidRPr="00D566A3">
        <w:rPr>
          <w:sz w:val="28"/>
          <w:szCs w:val="28"/>
        </w:rPr>
        <w:t xml:space="preserve">which </w:t>
      </w:r>
      <w:r w:rsidRPr="00D566A3">
        <w:rPr>
          <w:sz w:val="28"/>
          <w:szCs w:val="28"/>
        </w:rPr>
        <w:t>establish</w:t>
      </w:r>
      <w:r w:rsidR="00665CEF" w:rsidRPr="00D566A3">
        <w:rPr>
          <w:sz w:val="28"/>
          <w:szCs w:val="28"/>
        </w:rPr>
        <w:t>ed</w:t>
      </w:r>
      <w:r w:rsidRPr="00D566A3">
        <w:rPr>
          <w:sz w:val="28"/>
          <w:szCs w:val="28"/>
        </w:rPr>
        <w:t xml:space="preserve"> negligence on the part of the second appellant had been adduced</w:t>
      </w:r>
      <w:r w:rsidR="00B94402" w:rsidRPr="00D566A3">
        <w:rPr>
          <w:sz w:val="28"/>
          <w:szCs w:val="28"/>
        </w:rPr>
        <w:t xml:space="preserve">. It, however, </w:t>
      </w:r>
      <w:r w:rsidRPr="00D566A3">
        <w:rPr>
          <w:sz w:val="28"/>
          <w:szCs w:val="28"/>
        </w:rPr>
        <w:t xml:space="preserve">went </w:t>
      </w:r>
      <w:r w:rsidR="00673430" w:rsidRPr="00D566A3">
        <w:rPr>
          <w:sz w:val="28"/>
          <w:szCs w:val="28"/>
        </w:rPr>
        <w:t xml:space="preserve">on </w:t>
      </w:r>
      <w:r w:rsidRPr="00D566A3">
        <w:rPr>
          <w:sz w:val="28"/>
          <w:szCs w:val="28"/>
        </w:rPr>
        <w:t xml:space="preserve">to hold the second appellant liable </w:t>
      </w:r>
      <w:r w:rsidR="00B94402" w:rsidRPr="00D566A3">
        <w:rPr>
          <w:sz w:val="28"/>
          <w:szCs w:val="28"/>
        </w:rPr>
        <w:t>based on</w:t>
      </w:r>
      <w:r w:rsidRPr="00D566A3">
        <w:rPr>
          <w:sz w:val="28"/>
          <w:szCs w:val="28"/>
        </w:rPr>
        <w:t xml:space="preserve"> a contractual relationship </w:t>
      </w:r>
      <w:r w:rsidR="00966240" w:rsidRPr="00D566A3">
        <w:rPr>
          <w:sz w:val="28"/>
          <w:szCs w:val="28"/>
        </w:rPr>
        <w:t xml:space="preserve">it found </w:t>
      </w:r>
      <w:r w:rsidR="00EE27E4" w:rsidRPr="00D566A3">
        <w:rPr>
          <w:sz w:val="28"/>
          <w:szCs w:val="28"/>
        </w:rPr>
        <w:t xml:space="preserve">had been entered </w:t>
      </w:r>
      <w:r w:rsidR="00711E5E" w:rsidRPr="00D566A3">
        <w:rPr>
          <w:sz w:val="28"/>
          <w:szCs w:val="28"/>
        </w:rPr>
        <w:t>into with</w:t>
      </w:r>
      <w:r w:rsidR="00BA0563" w:rsidRPr="00D566A3">
        <w:rPr>
          <w:sz w:val="28"/>
          <w:szCs w:val="28"/>
        </w:rPr>
        <w:t xml:space="preserve"> </w:t>
      </w:r>
      <w:r w:rsidRPr="00D566A3">
        <w:rPr>
          <w:sz w:val="28"/>
          <w:szCs w:val="28"/>
        </w:rPr>
        <w:t>Mr Shearer</w:t>
      </w:r>
      <w:r w:rsidR="00B94402" w:rsidRPr="00D566A3">
        <w:rPr>
          <w:sz w:val="28"/>
          <w:szCs w:val="28"/>
        </w:rPr>
        <w:t>,</w:t>
      </w:r>
      <w:r w:rsidRPr="00D566A3">
        <w:rPr>
          <w:sz w:val="28"/>
          <w:szCs w:val="28"/>
        </w:rPr>
        <w:t xml:space="preserve"> upon </w:t>
      </w:r>
      <w:r w:rsidR="00B94402" w:rsidRPr="00D566A3">
        <w:rPr>
          <w:sz w:val="28"/>
          <w:szCs w:val="28"/>
        </w:rPr>
        <w:t xml:space="preserve">his </w:t>
      </w:r>
      <w:r w:rsidRPr="00D566A3">
        <w:rPr>
          <w:sz w:val="28"/>
          <w:szCs w:val="28"/>
        </w:rPr>
        <w:t xml:space="preserve">admission to the emergency unit. </w:t>
      </w:r>
    </w:p>
    <w:p w14:paraId="35F90AA3" w14:textId="77777777" w:rsidR="0010252F" w:rsidRPr="00D566A3" w:rsidRDefault="0010252F" w:rsidP="0010252F">
      <w:pPr>
        <w:pStyle w:val="ListParagraph"/>
        <w:rPr>
          <w:sz w:val="28"/>
          <w:szCs w:val="28"/>
        </w:rPr>
      </w:pPr>
    </w:p>
    <w:p w14:paraId="2E19F02C" w14:textId="3C97001A" w:rsidR="0010252F" w:rsidRPr="00D566A3" w:rsidRDefault="0010252F" w:rsidP="0010252F">
      <w:pPr>
        <w:numPr>
          <w:ilvl w:val="0"/>
          <w:numId w:val="1"/>
        </w:numPr>
        <w:tabs>
          <w:tab w:val="left" w:pos="0"/>
          <w:tab w:val="left" w:pos="720"/>
        </w:tabs>
        <w:ind w:left="0"/>
        <w:rPr>
          <w:sz w:val="28"/>
          <w:szCs w:val="28"/>
        </w:rPr>
      </w:pPr>
      <w:r w:rsidRPr="00D566A3">
        <w:rPr>
          <w:sz w:val="28"/>
          <w:szCs w:val="28"/>
        </w:rPr>
        <w:lastRenderedPageBreak/>
        <w:t xml:space="preserve">The </w:t>
      </w:r>
      <w:r w:rsidR="00673430" w:rsidRPr="00D566A3">
        <w:rPr>
          <w:sz w:val="28"/>
          <w:szCs w:val="28"/>
        </w:rPr>
        <w:t xml:space="preserve">high </w:t>
      </w:r>
      <w:r w:rsidRPr="00D566A3">
        <w:rPr>
          <w:sz w:val="28"/>
          <w:szCs w:val="28"/>
        </w:rPr>
        <w:t xml:space="preserve">court determined the degree of fault attributed to the appellants as 65% of whatever </w:t>
      </w:r>
      <w:r w:rsidR="00B21C9B" w:rsidRPr="00D566A3">
        <w:rPr>
          <w:sz w:val="28"/>
          <w:szCs w:val="28"/>
        </w:rPr>
        <w:t>damages might</w:t>
      </w:r>
      <w:r w:rsidRPr="00D566A3">
        <w:rPr>
          <w:sz w:val="28"/>
          <w:szCs w:val="28"/>
        </w:rPr>
        <w:t xml:space="preserve"> be prove</w:t>
      </w:r>
      <w:r w:rsidR="00B94402" w:rsidRPr="00D566A3">
        <w:rPr>
          <w:sz w:val="28"/>
          <w:szCs w:val="28"/>
        </w:rPr>
        <w:t>d</w:t>
      </w:r>
      <w:r w:rsidRPr="00D566A3">
        <w:rPr>
          <w:sz w:val="28"/>
          <w:szCs w:val="28"/>
        </w:rPr>
        <w:t xml:space="preserve"> by the first respondent. It subsequently refused the appellants leave to </w:t>
      </w:r>
      <w:r w:rsidR="00665CEF" w:rsidRPr="00D566A3">
        <w:rPr>
          <w:sz w:val="28"/>
          <w:szCs w:val="28"/>
        </w:rPr>
        <w:t>appeal, which leave</w:t>
      </w:r>
      <w:r w:rsidRPr="00D566A3">
        <w:rPr>
          <w:sz w:val="28"/>
          <w:szCs w:val="28"/>
        </w:rPr>
        <w:t xml:space="preserve"> was granted by this Court on petition.</w:t>
      </w:r>
    </w:p>
    <w:p w14:paraId="341FA379" w14:textId="77777777" w:rsidR="0010252F" w:rsidRPr="00D566A3" w:rsidRDefault="0010252F" w:rsidP="0010252F">
      <w:pPr>
        <w:pStyle w:val="ListParagraph"/>
        <w:rPr>
          <w:sz w:val="28"/>
          <w:szCs w:val="28"/>
        </w:rPr>
      </w:pPr>
    </w:p>
    <w:p w14:paraId="3CCF2A7B" w14:textId="77777777" w:rsidR="0010252F" w:rsidRPr="00D566A3" w:rsidRDefault="0010252F" w:rsidP="0010252F">
      <w:pPr>
        <w:tabs>
          <w:tab w:val="left" w:pos="0"/>
        </w:tabs>
        <w:rPr>
          <w:b/>
          <w:sz w:val="28"/>
          <w:szCs w:val="28"/>
        </w:rPr>
      </w:pPr>
      <w:r w:rsidRPr="00D566A3">
        <w:rPr>
          <w:b/>
          <w:sz w:val="28"/>
          <w:szCs w:val="28"/>
        </w:rPr>
        <w:t xml:space="preserve">Issues on appeal </w:t>
      </w:r>
    </w:p>
    <w:p w14:paraId="729D7C22" w14:textId="2C651BD3" w:rsidR="0010252F" w:rsidRPr="00D566A3" w:rsidRDefault="00665CEF" w:rsidP="0010252F">
      <w:pPr>
        <w:numPr>
          <w:ilvl w:val="0"/>
          <w:numId w:val="1"/>
        </w:numPr>
        <w:tabs>
          <w:tab w:val="left" w:pos="0"/>
        </w:tabs>
        <w:ind w:left="0"/>
        <w:rPr>
          <w:sz w:val="28"/>
          <w:szCs w:val="28"/>
        </w:rPr>
      </w:pPr>
      <w:r w:rsidRPr="00D566A3">
        <w:rPr>
          <w:sz w:val="28"/>
          <w:szCs w:val="28"/>
        </w:rPr>
        <w:t>On appeal t</w:t>
      </w:r>
      <w:r w:rsidR="0010252F" w:rsidRPr="00D566A3">
        <w:rPr>
          <w:sz w:val="28"/>
          <w:szCs w:val="28"/>
        </w:rPr>
        <w:t>he appellants contend</w:t>
      </w:r>
      <w:r w:rsidR="00EC6674" w:rsidRPr="00D566A3">
        <w:rPr>
          <w:sz w:val="28"/>
          <w:szCs w:val="28"/>
        </w:rPr>
        <w:t>ed</w:t>
      </w:r>
      <w:r w:rsidRPr="00D566A3">
        <w:rPr>
          <w:sz w:val="28"/>
          <w:szCs w:val="28"/>
        </w:rPr>
        <w:t>,</w:t>
      </w:r>
      <w:r w:rsidR="0010252F" w:rsidRPr="00D566A3">
        <w:rPr>
          <w:sz w:val="28"/>
          <w:szCs w:val="28"/>
        </w:rPr>
        <w:t xml:space="preserve"> firstly, that on the medical evidence presented, the first appellant acted reasonably by leaving a stable patient </w:t>
      </w:r>
      <w:r w:rsidR="000E1D06" w:rsidRPr="00D566A3">
        <w:rPr>
          <w:sz w:val="28"/>
          <w:szCs w:val="28"/>
        </w:rPr>
        <w:t xml:space="preserve">in </w:t>
      </w:r>
      <w:r w:rsidR="0010252F" w:rsidRPr="00D566A3">
        <w:rPr>
          <w:sz w:val="28"/>
          <w:szCs w:val="28"/>
        </w:rPr>
        <w:t>the care of an experienced and duly qualified</w:t>
      </w:r>
      <w:r w:rsidR="00673430" w:rsidRPr="00D566A3">
        <w:rPr>
          <w:sz w:val="28"/>
          <w:szCs w:val="28"/>
        </w:rPr>
        <w:t>,</w:t>
      </w:r>
      <w:r w:rsidR="0010252F" w:rsidRPr="00D566A3">
        <w:rPr>
          <w:sz w:val="28"/>
          <w:szCs w:val="28"/>
        </w:rPr>
        <w:t xml:space="preserve"> medically trained nursing sister employed by the hospital. </w:t>
      </w:r>
      <w:r w:rsidR="002817B2" w:rsidRPr="00D566A3">
        <w:rPr>
          <w:sz w:val="28"/>
          <w:szCs w:val="28"/>
        </w:rPr>
        <w:t>Further</w:t>
      </w:r>
      <w:r w:rsidRPr="00D566A3">
        <w:rPr>
          <w:sz w:val="28"/>
          <w:szCs w:val="28"/>
        </w:rPr>
        <w:t xml:space="preserve">, </w:t>
      </w:r>
      <w:r w:rsidR="0010252F" w:rsidRPr="00D566A3">
        <w:rPr>
          <w:sz w:val="28"/>
          <w:szCs w:val="28"/>
        </w:rPr>
        <w:t>Mr Shearer suffered a cardiac arrest and resultant brain damage in spite of the exercise of reasonable care by the first appellant.</w:t>
      </w:r>
    </w:p>
    <w:p w14:paraId="1EB0212F" w14:textId="77777777" w:rsidR="0010252F" w:rsidRPr="00D566A3" w:rsidRDefault="0010252F" w:rsidP="0010252F">
      <w:pPr>
        <w:tabs>
          <w:tab w:val="left" w:pos="0"/>
        </w:tabs>
        <w:rPr>
          <w:sz w:val="28"/>
          <w:szCs w:val="28"/>
        </w:rPr>
      </w:pPr>
    </w:p>
    <w:p w14:paraId="65F5D33A" w14:textId="1646E1AA" w:rsidR="0010252F" w:rsidRPr="00D566A3" w:rsidRDefault="0010252F" w:rsidP="0010252F">
      <w:pPr>
        <w:numPr>
          <w:ilvl w:val="0"/>
          <w:numId w:val="1"/>
        </w:numPr>
        <w:tabs>
          <w:tab w:val="left" w:pos="0"/>
        </w:tabs>
        <w:ind w:left="0"/>
        <w:rPr>
          <w:sz w:val="28"/>
          <w:szCs w:val="28"/>
        </w:rPr>
      </w:pPr>
      <w:r w:rsidRPr="00D566A3">
        <w:rPr>
          <w:sz w:val="28"/>
          <w:szCs w:val="28"/>
        </w:rPr>
        <w:t>Secondly, it was impossible on the probabilities to find that</w:t>
      </w:r>
      <w:r w:rsidR="00302A0D" w:rsidRPr="00D566A3">
        <w:rPr>
          <w:sz w:val="28"/>
          <w:szCs w:val="28"/>
        </w:rPr>
        <w:t>,</w:t>
      </w:r>
      <w:r w:rsidRPr="00D566A3">
        <w:rPr>
          <w:sz w:val="28"/>
          <w:szCs w:val="28"/>
        </w:rPr>
        <w:t xml:space="preserve"> had the first appellant </w:t>
      </w:r>
      <w:r w:rsidR="00BA0563" w:rsidRPr="00D566A3">
        <w:rPr>
          <w:sz w:val="28"/>
          <w:szCs w:val="28"/>
        </w:rPr>
        <w:t>regularly</w:t>
      </w:r>
      <w:r w:rsidRPr="00D566A3">
        <w:rPr>
          <w:sz w:val="28"/>
          <w:szCs w:val="28"/>
        </w:rPr>
        <w:t xml:space="preserve"> checked on Mr Shearer, the cardiac arrest and the resultant brain damage, which he suffered, could have been prevented. The evidence, so it was contended, overwhelmingly supported the appellants’ version that Mr Shearer’s deterioration was not gradual but sudden.</w:t>
      </w:r>
    </w:p>
    <w:p w14:paraId="22B53908" w14:textId="77777777" w:rsidR="0010252F" w:rsidRPr="00D566A3" w:rsidRDefault="0010252F" w:rsidP="0010252F">
      <w:pPr>
        <w:pStyle w:val="ListParagraph"/>
        <w:rPr>
          <w:sz w:val="28"/>
          <w:szCs w:val="28"/>
        </w:rPr>
      </w:pPr>
    </w:p>
    <w:p w14:paraId="1D599D08" w14:textId="33F0E9DC" w:rsidR="0010252F" w:rsidRPr="00D566A3" w:rsidRDefault="0010252F" w:rsidP="0010252F">
      <w:pPr>
        <w:numPr>
          <w:ilvl w:val="0"/>
          <w:numId w:val="1"/>
        </w:numPr>
        <w:tabs>
          <w:tab w:val="left" w:pos="0"/>
        </w:tabs>
        <w:ind w:left="0"/>
        <w:rPr>
          <w:sz w:val="28"/>
          <w:szCs w:val="28"/>
        </w:rPr>
      </w:pPr>
      <w:r w:rsidRPr="00D566A3">
        <w:rPr>
          <w:sz w:val="28"/>
          <w:szCs w:val="28"/>
        </w:rPr>
        <w:t>Thirdly, the first respondent should have called Mrs Shearer as a witness</w:t>
      </w:r>
      <w:r w:rsidR="00673430" w:rsidRPr="00D566A3">
        <w:rPr>
          <w:sz w:val="28"/>
          <w:szCs w:val="28"/>
        </w:rPr>
        <w:t>,</w:t>
      </w:r>
      <w:r w:rsidRPr="00D566A3">
        <w:rPr>
          <w:sz w:val="28"/>
          <w:szCs w:val="28"/>
        </w:rPr>
        <w:t xml:space="preserve"> who would have provided facts regarding the ingestion of drugs as well as Mr Shearer’s deteriorating condition. </w:t>
      </w:r>
      <w:r w:rsidR="002817B2" w:rsidRPr="00D566A3">
        <w:rPr>
          <w:sz w:val="28"/>
          <w:szCs w:val="28"/>
        </w:rPr>
        <w:t>An adverse inference should have been drawn</w:t>
      </w:r>
      <w:r w:rsidRPr="00D566A3">
        <w:rPr>
          <w:sz w:val="28"/>
          <w:szCs w:val="28"/>
        </w:rPr>
        <w:t xml:space="preserve"> </w:t>
      </w:r>
      <w:r w:rsidR="007E4F7B" w:rsidRPr="00D566A3">
        <w:rPr>
          <w:sz w:val="28"/>
          <w:szCs w:val="28"/>
        </w:rPr>
        <w:t xml:space="preserve">as a result </w:t>
      </w:r>
      <w:r w:rsidRPr="00D566A3">
        <w:rPr>
          <w:sz w:val="28"/>
          <w:szCs w:val="28"/>
        </w:rPr>
        <w:t>o</w:t>
      </w:r>
      <w:r w:rsidR="007E4F7B" w:rsidRPr="00D566A3">
        <w:rPr>
          <w:sz w:val="28"/>
          <w:szCs w:val="28"/>
        </w:rPr>
        <w:t>f</w:t>
      </w:r>
      <w:r w:rsidRPr="00D566A3">
        <w:rPr>
          <w:sz w:val="28"/>
          <w:szCs w:val="28"/>
        </w:rPr>
        <w:t xml:space="preserve"> </w:t>
      </w:r>
      <w:r w:rsidR="00673430" w:rsidRPr="00D566A3">
        <w:rPr>
          <w:sz w:val="28"/>
          <w:szCs w:val="28"/>
        </w:rPr>
        <w:t xml:space="preserve">the </w:t>
      </w:r>
      <w:r w:rsidRPr="00D566A3">
        <w:rPr>
          <w:sz w:val="28"/>
          <w:szCs w:val="28"/>
        </w:rPr>
        <w:t xml:space="preserve">first respondent’s failure to call her as a witness. </w:t>
      </w:r>
    </w:p>
    <w:p w14:paraId="11EA0D6E" w14:textId="77777777" w:rsidR="0010252F" w:rsidRPr="00D566A3" w:rsidRDefault="0010252F" w:rsidP="0010252F">
      <w:pPr>
        <w:pStyle w:val="ListParagraph"/>
        <w:rPr>
          <w:sz w:val="28"/>
          <w:szCs w:val="28"/>
        </w:rPr>
      </w:pPr>
    </w:p>
    <w:p w14:paraId="5B12006A" w14:textId="16FE4F69" w:rsidR="0010252F" w:rsidRPr="00D566A3" w:rsidRDefault="0010252F" w:rsidP="0010252F">
      <w:pPr>
        <w:numPr>
          <w:ilvl w:val="0"/>
          <w:numId w:val="1"/>
        </w:numPr>
        <w:tabs>
          <w:tab w:val="left" w:pos="0"/>
        </w:tabs>
        <w:ind w:left="0"/>
        <w:rPr>
          <w:sz w:val="28"/>
          <w:szCs w:val="28"/>
        </w:rPr>
      </w:pPr>
      <w:r w:rsidRPr="00D566A3">
        <w:rPr>
          <w:sz w:val="28"/>
          <w:szCs w:val="28"/>
        </w:rPr>
        <w:t xml:space="preserve">As to the second appellant, </w:t>
      </w:r>
      <w:r w:rsidR="002817B2" w:rsidRPr="00D566A3">
        <w:rPr>
          <w:sz w:val="28"/>
          <w:szCs w:val="28"/>
        </w:rPr>
        <w:t xml:space="preserve">the argument </w:t>
      </w:r>
      <w:r w:rsidR="00EC6674" w:rsidRPr="00D566A3">
        <w:rPr>
          <w:sz w:val="28"/>
          <w:szCs w:val="28"/>
        </w:rPr>
        <w:t>was</w:t>
      </w:r>
      <w:r w:rsidR="002817B2" w:rsidRPr="00D566A3">
        <w:rPr>
          <w:sz w:val="28"/>
          <w:szCs w:val="28"/>
        </w:rPr>
        <w:t xml:space="preserve"> that, in the absence of a duty of care or vicarious liability, i</w:t>
      </w:r>
      <w:r w:rsidRPr="00D566A3">
        <w:rPr>
          <w:sz w:val="28"/>
          <w:szCs w:val="28"/>
        </w:rPr>
        <w:t xml:space="preserve">t should not have been found liable. </w:t>
      </w:r>
      <w:r w:rsidR="002817B2" w:rsidRPr="00D566A3">
        <w:rPr>
          <w:sz w:val="28"/>
          <w:szCs w:val="28"/>
        </w:rPr>
        <w:t>Additionally, n</w:t>
      </w:r>
      <w:r w:rsidRPr="00D566A3">
        <w:rPr>
          <w:sz w:val="28"/>
          <w:szCs w:val="28"/>
        </w:rPr>
        <w:t xml:space="preserve">o </w:t>
      </w:r>
      <w:r w:rsidRPr="00D566A3">
        <w:rPr>
          <w:sz w:val="28"/>
          <w:szCs w:val="28"/>
        </w:rPr>
        <w:lastRenderedPageBreak/>
        <w:t>doctor/patient relationship existed between Mr Shearer and the second appellant</w:t>
      </w:r>
      <w:r w:rsidR="00673430" w:rsidRPr="00D566A3">
        <w:rPr>
          <w:sz w:val="28"/>
          <w:szCs w:val="28"/>
        </w:rPr>
        <w:t>,</w:t>
      </w:r>
      <w:r w:rsidR="002817B2" w:rsidRPr="00D566A3">
        <w:rPr>
          <w:sz w:val="28"/>
          <w:szCs w:val="28"/>
        </w:rPr>
        <w:t xml:space="preserve"> and</w:t>
      </w:r>
      <w:r w:rsidRPr="00D566A3">
        <w:rPr>
          <w:sz w:val="28"/>
          <w:szCs w:val="28"/>
        </w:rPr>
        <w:t xml:space="preserve"> consequently no legal duty </w:t>
      </w:r>
      <w:r w:rsidR="002817B2" w:rsidRPr="00D566A3">
        <w:rPr>
          <w:sz w:val="28"/>
          <w:szCs w:val="28"/>
        </w:rPr>
        <w:t xml:space="preserve">existed </w:t>
      </w:r>
      <w:r w:rsidRPr="00D566A3">
        <w:rPr>
          <w:sz w:val="28"/>
          <w:szCs w:val="28"/>
        </w:rPr>
        <w:t>to give rise to any negligence</w:t>
      </w:r>
      <w:r w:rsidR="00673430" w:rsidRPr="00D566A3">
        <w:rPr>
          <w:sz w:val="28"/>
          <w:szCs w:val="28"/>
        </w:rPr>
        <w:t xml:space="preserve"> claim</w:t>
      </w:r>
      <w:r w:rsidRPr="00D566A3">
        <w:rPr>
          <w:sz w:val="28"/>
          <w:szCs w:val="28"/>
        </w:rPr>
        <w:t xml:space="preserve">. </w:t>
      </w:r>
    </w:p>
    <w:p w14:paraId="5CA6B8F9" w14:textId="77777777" w:rsidR="0010252F" w:rsidRPr="00D566A3" w:rsidRDefault="0010252F" w:rsidP="0010252F">
      <w:pPr>
        <w:pStyle w:val="ListParagraph"/>
        <w:rPr>
          <w:sz w:val="28"/>
          <w:szCs w:val="28"/>
        </w:rPr>
      </w:pPr>
    </w:p>
    <w:p w14:paraId="031319D4" w14:textId="77777777" w:rsidR="0010252F" w:rsidRPr="00D566A3" w:rsidRDefault="0010252F" w:rsidP="0010252F">
      <w:pPr>
        <w:pStyle w:val="ListParagraph"/>
        <w:ind w:left="0"/>
        <w:rPr>
          <w:b/>
          <w:sz w:val="28"/>
          <w:szCs w:val="28"/>
        </w:rPr>
      </w:pPr>
      <w:r w:rsidRPr="00D566A3">
        <w:rPr>
          <w:b/>
          <w:sz w:val="28"/>
          <w:szCs w:val="28"/>
        </w:rPr>
        <w:t xml:space="preserve">Negligence and causation in relation to the first appellant </w:t>
      </w:r>
    </w:p>
    <w:p w14:paraId="0ED286AD" w14:textId="7742EBB4" w:rsidR="0010252F" w:rsidRPr="00D566A3" w:rsidRDefault="0010252F" w:rsidP="0010252F">
      <w:pPr>
        <w:numPr>
          <w:ilvl w:val="0"/>
          <w:numId w:val="1"/>
        </w:numPr>
        <w:tabs>
          <w:tab w:val="left" w:pos="0"/>
        </w:tabs>
        <w:ind w:left="0"/>
        <w:rPr>
          <w:sz w:val="28"/>
          <w:szCs w:val="28"/>
        </w:rPr>
      </w:pPr>
      <w:r w:rsidRPr="00D566A3">
        <w:rPr>
          <w:sz w:val="28"/>
          <w:szCs w:val="28"/>
        </w:rPr>
        <w:t xml:space="preserve">Prof Coetzee’s evidence was </w:t>
      </w:r>
      <w:r w:rsidR="005C5111" w:rsidRPr="00D566A3">
        <w:rPr>
          <w:sz w:val="28"/>
          <w:szCs w:val="28"/>
        </w:rPr>
        <w:t xml:space="preserve">cogent, </w:t>
      </w:r>
      <w:r w:rsidR="00EC6674" w:rsidRPr="00D566A3">
        <w:rPr>
          <w:sz w:val="28"/>
          <w:szCs w:val="28"/>
        </w:rPr>
        <w:t xml:space="preserve">clear and </w:t>
      </w:r>
      <w:r w:rsidR="005C5111" w:rsidRPr="00D566A3">
        <w:rPr>
          <w:sz w:val="28"/>
          <w:szCs w:val="28"/>
        </w:rPr>
        <w:t>founded on logical reasoning</w:t>
      </w:r>
      <w:r w:rsidR="00EC6674" w:rsidRPr="00D566A3">
        <w:rPr>
          <w:sz w:val="28"/>
          <w:szCs w:val="28"/>
        </w:rPr>
        <w:t>. M</w:t>
      </w:r>
      <w:r w:rsidR="005C5111" w:rsidRPr="00D566A3">
        <w:rPr>
          <w:sz w:val="28"/>
          <w:szCs w:val="28"/>
        </w:rPr>
        <w:t xml:space="preserve">ost </w:t>
      </w:r>
      <w:r w:rsidR="00EC6674" w:rsidRPr="00D566A3">
        <w:rPr>
          <w:sz w:val="28"/>
          <w:szCs w:val="28"/>
        </w:rPr>
        <w:t>importantly,</w:t>
      </w:r>
      <w:r w:rsidR="005C5111" w:rsidRPr="00D566A3">
        <w:rPr>
          <w:sz w:val="28"/>
          <w:szCs w:val="28"/>
        </w:rPr>
        <w:t xml:space="preserve"> </w:t>
      </w:r>
      <w:r w:rsidR="00EC6674" w:rsidRPr="00D566A3">
        <w:rPr>
          <w:sz w:val="28"/>
          <w:szCs w:val="28"/>
        </w:rPr>
        <w:t>it was un</w:t>
      </w:r>
      <w:r w:rsidR="005C5111" w:rsidRPr="00D566A3">
        <w:rPr>
          <w:sz w:val="28"/>
          <w:szCs w:val="28"/>
        </w:rPr>
        <w:t xml:space="preserve">disputed in material respects. The first appellant agreed with a number of statements and conclusions made by Prof Coetzee. He did not dispute </w:t>
      </w:r>
      <w:r w:rsidR="00EC6674" w:rsidRPr="00D566A3">
        <w:rPr>
          <w:sz w:val="28"/>
          <w:szCs w:val="28"/>
        </w:rPr>
        <w:t>Prof Coetzee’s</w:t>
      </w:r>
      <w:r w:rsidR="005C5111" w:rsidRPr="00D566A3">
        <w:rPr>
          <w:sz w:val="28"/>
          <w:szCs w:val="28"/>
        </w:rPr>
        <w:t xml:space="preserve"> </w:t>
      </w:r>
      <w:r w:rsidR="00EC6674" w:rsidRPr="00D566A3">
        <w:rPr>
          <w:sz w:val="28"/>
          <w:szCs w:val="28"/>
        </w:rPr>
        <w:t xml:space="preserve">testimony </w:t>
      </w:r>
      <w:r w:rsidR="00686FE3" w:rsidRPr="00D566A3">
        <w:rPr>
          <w:sz w:val="28"/>
          <w:szCs w:val="28"/>
        </w:rPr>
        <w:t>that the</w:t>
      </w:r>
      <w:r w:rsidR="00BA0563" w:rsidRPr="00D566A3">
        <w:rPr>
          <w:sz w:val="28"/>
          <w:szCs w:val="28"/>
        </w:rPr>
        <w:t xml:space="preserve"> detrimental</w:t>
      </w:r>
      <w:r w:rsidR="00686FE3" w:rsidRPr="00D566A3">
        <w:rPr>
          <w:sz w:val="28"/>
          <w:szCs w:val="28"/>
        </w:rPr>
        <w:t xml:space="preserve"> effects of </w:t>
      </w:r>
      <w:r w:rsidR="00BA0563" w:rsidRPr="00D566A3">
        <w:rPr>
          <w:sz w:val="28"/>
          <w:szCs w:val="28"/>
        </w:rPr>
        <w:t>the intake of</w:t>
      </w:r>
      <w:r w:rsidR="00686FE3" w:rsidRPr="00D566A3">
        <w:rPr>
          <w:sz w:val="28"/>
          <w:szCs w:val="28"/>
        </w:rPr>
        <w:t xml:space="preserve"> quantities of alcohol and </w:t>
      </w:r>
      <w:r w:rsidR="00F80F3B" w:rsidRPr="00D566A3">
        <w:rPr>
          <w:sz w:val="28"/>
          <w:szCs w:val="28"/>
        </w:rPr>
        <w:t>pharmaceutical</w:t>
      </w:r>
      <w:r w:rsidR="00686FE3" w:rsidRPr="00D566A3">
        <w:rPr>
          <w:sz w:val="28"/>
          <w:szCs w:val="28"/>
        </w:rPr>
        <w:t xml:space="preserve"> drugs </w:t>
      </w:r>
      <w:r w:rsidR="00F80F3B" w:rsidRPr="00D566A3">
        <w:rPr>
          <w:sz w:val="28"/>
          <w:szCs w:val="28"/>
        </w:rPr>
        <w:t>on</w:t>
      </w:r>
      <w:r w:rsidR="00686FE3" w:rsidRPr="00D566A3">
        <w:rPr>
          <w:sz w:val="28"/>
          <w:szCs w:val="28"/>
        </w:rPr>
        <w:t xml:space="preserve"> the brain and airways </w:t>
      </w:r>
      <w:r w:rsidR="00BA0563" w:rsidRPr="00D566A3">
        <w:rPr>
          <w:sz w:val="28"/>
          <w:szCs w:val="28"/>
        </w:rPr>
        <w:t>we</w:t>
      </w:r>
      <w:r w:rsidR="00686FE3" w:rsidRPr="00D566A3">
        <w:rPr>
          <w:sz w:val="28"/>
          <w:szCs w:val="28"/>
        </w:rPr>
        <w:t xml:space="preserve">re </w:t>
      </w:r>
      <w:r w:rsidR="00EC6674" w:rsidRPr="00D566A3">
        <w:rPr>
          <w:sz w:val="28"/>
          <w:szCs w:val="28"/>
        </w:rPr>
        <w:t>common knowledge</w:t>
      </w:r>
      <w:r w:rsidR="00F80F3B" w:rsidRPr="00D566A3">
        <w:rPr>
          <w:sz w:val="28"/>
          <w:szCs w:val="28"/>
        </w:rPr>
        <w:t xml:space="preserve"> in the medical field</w:t>
      </w:r>
      <w:r w:rsidR="00032174" w:rsidRPr="00D566A3">
        <w:rPr>
          <w:sz w:val="28"/>
          <w:szCs w:val="28"/>
        </w:rPr>
        <w:t>. He also</w:t>
      </w:r>
      <w:r w:rsidRPr="00D566A3">
        <w:rPr>
          <w:sz w:val="28"/>
          <w:szCs w:val="28"/>
        </w:rPr>
        <w:t xml:space="preserve"> agreed with Prof Coetzee’s opinion that the probabilities were high that the cardiac arrest that Mr Shearer </w:t>
      </w:r>
      <w:r w:rsidR="00BA0563" w:rsidRPr="00D566A3">
        <w:rPr>
          <w:sz w:val="28"/>
          <w:szCs w:val="28"/>
        </w:rPr>
        <w:t xml:space="preserve">had </w:t>
      </w:r>
      <w:r w:rsidR="00032174" w:rsidRPr="00D566A3">
        <w:rPr>
          <w:sz w:val="28"/>
          <w:szCs w:val="28"/>
        </w:rPr>
        <w:t xml:space="preserve">suffered </w:t>
      </w:r>
      <w:r w:rsidRPr="00D566A3">
        <w:rPr>
          <w:sz w:val="28"/>
          <w:szCs w:val="28"/>
        </w:rPr>
        <w:t xml:space="preserve">was caused by severe and sustained hypoxia. </w:t>
      </w:r>
    </w:p>
    <w:p w14:paraId="3D855837" w14:textId="77777777" w:rsidR="0010252F" w:rsidRPr="00D566A3" w:rsidRDefault="0010252F" w:rsidP="0010252F">
      <w:pPr>
        <w:tabs>
          <w:tab w:val="left" w:pos="0"/>
        </w:tabs>
        <w:rPr>
          <w:sz w:val="28"/>
          <w:szCs w:val="28"/>
        </w:rPr>
      </w:pPr>
    </w:p>
    <w:p w14:paraId="3F961DC2" w14:textId="29D41E02" w:rsidR="0010252F" w:rsidRPr="00D566A3" w:rsidRDefault="0010252F" w:rsidP="0010252F">
      <w:pPr>
        <w:numPr>
          <w:ilvl w:val="0"/>
          <w:numId w:val="1"/>
        </w:numPr>
        <w:tabs>
          <w:tab w:val="left" w:pos="0"/>
        </w:tabs>
        <w:ind w:left="0"/>
        <w:rPr>
          <w:sz w:val="28"/>
          <w:szCs w:val="28"/>
        </w:rPr>
      </w:pPr>
      <w:r w:rsidRPr="00D566A3">
        <w:rPr>
          <w:sz w:val="28"/>
          <w:szCs w:val="28"/>
        </w:rPr>
        <w:t>The first appellant further conceded that if the hypoxia was reacted upon timeously, even up to two minutes before the arrest, the arrest would probably not have occurred and Mr Shearer would not have suffered brain damage. He agreed with the proposition put to him in cross-examination that if he had gone to</w:t>
      </w:r>
      <w:r w:rsidR="00540DE3" w:rsidRPr="00D566A3">
        <w:rPr>
          <w:sz w:val="28"/>
          <w:szCs w:val="28"/>
        </w:rPr>
        <w:t xml:space="preserve"> check on</w:t>
      </w:r>
      <w:r w:rsidRPr="00D566A3">
        <w:rPr>
          <w:sz w:val="28"/>
          <w:szCs w:val="28"/>
        </w:rPr>
        <w:t xml:space="preserve"> Mr Shearer after 21h35 and up until 22h00, he would have been able to save him</w:t>
      </w:r>
      <w:r w:rsidR="00F80F3B" w:rsidRPr="00D566A3">
        <w:rPr>
          <w:sz w:val="28"/>
          <w:szCs w:val="28"/>
        </w:rPr>
        <w:t xml:space="preserve"> from suffering brain damage</w:t>
      </w:r>
      <w:r w:rsidRPr="00D566A3">
        <w:rPr>
          <w:sz w:val="28"/>
          <w:szCs w:val="28"/>
        </w:rPr>
        <w:t xml:space="preserve">. </w:t>
      </w:r>
    </w:p>
    <w:p w14:paraId="7D0064E7" w14:textId="77777777" w:rsidR="0010252F" w:rsidRPr="00D566A3" w:rsidRDefault="0010252F" w:rsidP="0010252F">
      <w:pPr>
        <w:tabs>
          <w:tab w:val="left" w:pos="0"/>
        </w:tabs>
        <w:rPr>
          <w:sz w:val="28"/>
          <w:szCs w:val="28"/>
        </w:rPr>
      </w:pPr>
    </w:p>
    <w:p w14:paraId="132BF26C" w14:textId="4E9DEB8C" w:rsidR="0010252F" w:rsidRPr="00D566A3" w:rsidRDefault="00032174" w:rsidP="00114533">
      <w:pPr>
        <w:numPr>
          <w:ilvl w:val="0"/>
          <w:numId w:val="1"/>
        </w:numPr>
        <w:tabs>
          <w:tab w:val="left" w:pos="0"/>
        </w:tabs>
        <w:ind w:left="0"/>
        <w:rPr>
          <w:sz w:val="28"/>
          <w:szCs w:val="28"/>
        </w:rPr>
      </w:pPr>
      <w:r w:rsidRPr="00D566A3">
        <w:rPr>
          <w:sz w:val="28"/>
          <w:szCs w:val="28"/>
        </w:rPr>
        <w:t xml:space="preserve">It </w:t>
      </w:r>
      <w:r w:rsidR="0010252F" w:rsidRPr="00D566A3">
        <w:rPr>
          <w:sz w:val="28"/>
          <w:szCs w:val="28"/>
        </w:rPr>
        <w:t xml:space="preserve">was clear from Prof Coetzee’s evidence that because of the history of the </w:t>
      </w:r>
      <w:r w:rsidR="00BA0563" w:rsidRPr="00D566A3">
        <w:rPr>
          <w:sz w:val="28"/>
          <w:szCs w:val="28"/>
        </w:rPr>
        <w:t>in</w:t>
      </w:r>
      <w:r w:rsidR="0010252F" w:rsidRPr="00D566A3">
        <w:rPr>
          <w:sz w:val="28"/>
          <w:szCs w:val="28"/>
        </w:rPr>
        <w:t>take of alcohol and drugs, Mr Shearer could not have been stable</w:t>
      </w:r>
      <w:r w:rsidR="00F80F3B" w:rsidRPr="00D566A3">
        <w:rPr>
          <w:sz w:val="28"/>
          <w:szCs w:val="28"/>
        </w:rPr>
        <w:t>,</w:t>
      </w:r>
      <w:r w:rsidR="0010252F" w:rsidRPr="00D566A3">
        <w:rPr>
          <w:sz w:val="28"/>
          <w:szCs w:val="28"/>
        </w:rPr>
        <w:t xml:space="preserve"> as </w:t>
      </w:r>
      <w:r w:rsidRPr="00D566A3">
        <w:rPr>
          <w:sz w:val="28"/>
          <w:szCs w:val="28"/>
        </w:rPr>
        <w:t>presumed</w:t>
      </w:r>
      <w:r w:rsidR="0010252F" w:rsidRPr="00D566A3">
        <w:rPr>
          <w:sz w:val="28"/>
          <w:szCs w:val="28"/>
        </w:rPr>
        <w:t xml:space="preserve"> by the first appellant. </w:t>
      </w:r>
      <w:r w:rsidRPr="00D566A3">
        <w:rPr>
          <w:sz w:val="28"/>
          <w:szCs w:val="28"/>
        </w:rPr>
        <w:t>He explain</w:t>
      </w:r>
      <w:r w:rsidR="005D04C0" w:rsidRPr="00D566A3">
        <w:rPr>
          <w:sz w:val="28"/>
          <w:szCs w:val="28"/>
        </w:rPr>
        <w:t>ed</w:t>
      </w:r>
      <w:r w:rsidRPr="00D566A3">
        <w:rPr>
          <w:sz w:val="28"/>
          <w:szCs w:val="28"/>
        </w:rPr>
        <w:t xml:space="preserve"> that </w:t>
      </w:r>
      <w:r w:rsidR="00EC6674" w:rsidRPr="00D566A3">
        <w:rPr>
          <w:sz w:val="28"/>
          <w:szCs w:val="28"/>
        </w:rPr>
        <w:t>Mr Shearer’s</w:t>
      </w:r>
      <w:r w:rsidRPr="00D566A3">
        <w:rPr>
          <w:sz w:val="28"/>
          <w:szCs w:val="28"/>
        </w:rPr>
        <w:t xml:space="preserve"> </w:t>
      </w:r>
      <w:r w:rsidR="0010252F" w:rsidRPr="00D566A3">
        <w:rPr>
          <w:sz w:val="28"/>
          <w:szCs w:val="28"/>
        </w:rPr>
        <w:t>condition would gradually change as th</w:t>
      </w:r>
      <w:r w:rsidRPr="00D566A3">
        <w:rPr>
          <w:sz w:val="28"/>
          <w:szCs w:val="28"/>
        </w:rPr>
        <w:t>e drugs and alcohol</w:t>
      </w:r>
      <w:r w:rsidR="0010252F" w:rsidRPr="00D566A3">
        <w:rPr>
          <w:sz w:val="28"/>
          <w:szCs w:val="28"/>
        </w:rPr>
        <w:t xml:space="preserve"> were </w:t>
      </w:r>
      <w:r w:rsidRPr="00D566A3">
        <w:rPr>
          <w:sz w:val="28"/>
          <w:szCs w:val="28"/>
        </w:rPr>
        <w:t xml:space="preserve">absorbed into </w:t>
      </w:r>
      <w:r w:rsidR="0010252F" w:rsidRPr="00D566A3">
        <w:rPr>
          <w:sz w:val="28"/>
          <w:szCs w:val="28"/>
        </w:rPr>
        <w:t xml:space="preserve">the system. </w:t>
      </w:r>
    </w:p>
    <w:p w14:paraId="18EAABCF" w14:textId="7D738D0A" w:rsidR="00E464A1" w:rsidRPr="00D566A3" w:rsidRDefault="00E464A1" w:rsidP="00E464A1">
      <w:pPr>
        <w:tabs>
          <w:tab w:val="left" w:pos="0"/>
        </w:tabs>
        <w:rPr>
          <w:sz w:val="28"/>
          <w:szCs w:val="28"/>
        </w:rPr>
      </w:pPr>
    </w:p>
    <w:p w14:paraId="4E5411A5" w14:textId="5933D262" w:rsidR="0010252F" w:rsidRPr="00D566A3" w:rsidRDefault="0010252F" w:rsidP="0010252F">
      <w:pPr>
        <w:numPr>
          <w:ilvl w:val="0"/>
          <w:numId w:val="1"/>
        </w:numPr>
        <w:tabs>
          <w:tab w:val="left" w:pos="0"/>
        </w:tabs>
        <w:ind w:left="0"/>
        <w:rPr>
          <w:sz w:val="28"/>
          <w:szCs w:val="28"/>
        </w:rPr>
      </w:pPr>
      <w:r w:rsidRPr="00D566A3">
        <w:rPr>
          <w:sz w:val="28"/>
          <w:szCs w:val="28"/>
        </w:rPr>
        <w:lastRenderedPageBreak/>
        <w:t xml:space="preserve">The first appellant’s </w:t>
      </w:r>
      <w:r w:rsidR="00032174" w:rsidRPr="00D566A3">
        <w:rPr>
          <w:sz w:val="28"/>
          <w:szCs w:val="28"/>
        </w:rPr>
        <w:t>evidence</w:t>
      </w:r>
      <w:r w:rsidRPr="00D566A3">
        <w:rPr>
          <w:sz w:val="28"/>
          <w:szCs w:val="28"/>
        </w:rPr>
        <w:t xml:space="preserve"> that he was </w:t>
      </w:r>
      <w:r w:rsidR="00032174" w:rsidRPr="00D566A3">
        <w:rPr>
          <w:sz w:val="28"/>
          <w:szCs w:val="28"/>
        </w:rPr>
        <w:t xml:space="preserve">assured by the improvement in </w:t>
      </w:r>
      <w:r w:rsidRPr="00D566A3">
        <w:rPr>
          <w:sz w:val="28"/>
          <w:szCs w:val="28"/>
        </w:rPr>
        <w:t xml:space="preserve">the saturation level </w:t>
      </w:r>
      <w:r w:rsidR="005D04C0" w:rsidRPr="00D566A3">
        <w:rPr>
          <w:sz w:val="28"/>
          <w:szCs w:val="28"/>
        </w:rPr>
        <w:t xml:space="preserve">that </w:t>
      </w:r>
      <w:r w:rsidRPr="00D566A3">
        <w:rPr>
          <w:sz w:val="28"/>
          <w:szCs w:val="28"/>
        </w:rPr>
        <w:t>went to 98% after he corrected the oxy</w:t>
      </w:r>
      <w:r w:rsidR="00032174" w:rsidRPr="00D566A3">
        <w:rPr>
          <w:sz w:val="28"/>
          <w:szCs w:val="28"/>
        </w:rPr>
        <w:t xml:space="preserve">gen </w:t>
      </w:r>
      <w:r w:rsidRPr="00D566A3">
        <w:rPr>
          <w:sz w:val="28"/>
          <w:szCs w:val="28"/>
        </w:rPr>
        <w:t>pro</w:t>
      </w:r>
      <w:r w:rsidR="007E4F7B" w:rsidRPr="00D566A3">
        <w:rPr>
          <w:sz w:val="28"/>
          <w:szCs w:val="28"/>
        </w:rPr>
        <w:t>b</w:t>
      </w:r>
      <w:r w:rsidRPr="00D566A3">
        <w:rPr>
          <w:sz w:val="28"/>
          <w:szCs w:val="28"/>
        </w:rPr>
        <w:t xml:space="preserve">e on Mr Shearer’s finger, does not absolve him. Apart from this not being recorded in the </w:t>
      </w:r>
      <w:r w:rsidR="00032174" w:rsidRPr="00D566A3">
        <w:rPr>
          <w:sz w:val="28"/>
          <w:szCs w:val="28"/>
        </w:rPr>
        <w:t xml:space="preserve">clinical </w:t>
      </w:r>
      <w:r w:rsidRPr="00D566A3">
        <w:rPr>
          <w:sz w:val="28"/>
          <w:szCs w:val="28"/>
        </w:rPr>
        <w:t xml:space="preserve">notes, the history of overdose of alcohol with drugs </w:t>
      </w:r>
      <w:r w:rsidR="00BA0563" w:rsidRPr="00D566A3">
        <w:rPr>
          <w:sz w:val="28"/>
          <w:szCs w:val="28"/>
        </w:rPr>
        <w:t>sh</w:t>
      </w:r>
      <w:r w:rsidRPr="00D566A3">
        <w:rPr>
          <w:sz w:val="28"/>
          <w:szCs w:val="28"/>
        </w:rPr>
        <w:t xml:space="preserve">ould have </w:t>
      </w:r>
      <w:r w:rsidR="007E4F7B" w:rsidRPr="00D566A3">
        <w:rPr>
          <w:sz w:val="28"/>
          <w:szCs w:val="28"/>
        </w:rPr>
        <w:t>caused</w:t>
      </w:r>
      <w:r w:rsidRPr="00D566A3">
        <w:rPr>
          <w:sz w:val="28"/>
          <w:szCs w:val="28"/>
        </w:rPr>
        <w:t xml:space="preserve"> </w:t>
      </w:r>
      <w:r w:rsidR="005C4FB4" w:rsidRPr="00D566A3">
        <w:rPr>
          <w:sz w:val="28"/>
          <w:szCs w:val="28"/>
        </w:rPr>
        <w:t>a</w:t>
      </w:r>
      <w:r w:rsidR="007E4F7B" w:rsidRPr="00D566A3">
        <w:rPr>
          <w:sz w:val="28"/>
          <w:szCs w:val="28"/>
        </w:rPr>
        <w:t xml:space="preserve"> reasonable medical practitioner in the first appellant’s position</w:t>
      </w:r>
      <w:r w:rsidR="005C4FB4" w:rsidRPr="00D566A3">
        <w:rPr>
          <w:sz w:val="28"/>
          <w:szCs w:val="28"/>
        </w:rPr>
        <w:t xml:space="preserve"> to expect a </w:t>
      </w:r>
      <w:r w:rsidRPr="00D566A3">
        <w:rPr>
          <w:sz w:val="28"/>
          <w:szCs w:val="28"/>
        </w:rPr>
        <w:t>gradual change</w:t>
      </w:r>
      <w:r w:rsidR="00032174" w:rsidRPr="00D566A3">
        <w:rPr>
          <w:sz w:val="28"/>
          <w:szCs w:val="28"/>
        </w:rPr>
        <w:t xml:space="preserve"> in Mr Shearer’s </w:t>
      </w:r>
      <w:r w:rsidR="005C4FB4" w:rsidRPr="00D566A3">
        <w:rPr>
          <w:sz w:val="28"/>
          <w:szCs w:val="28"/>
        </w:rPr>
        <w:t>breathing and ox</w:t>
      </w:r>
      <w:r w:rsidR="00B8435D" w:rsidRPr="00D566A3">
        <w:rPr>
          <w:sz w:val="28"/>
          <w:szCs w:val="28"/>
        </w:rPr>
        <w:t>ygenation</w:t>
      </w:r>
      <w:r w:rsidR="00032174" w:rsidRPr="00D566A3">
        <w:rPr>
          <w:sz w:val="28"/>
          <w:szCs w:val="28"/>
        </w:rPr>
        <w:t>.</w:t>
      </w:r>
      <w:r w:rsidRPr="00D566A3">
        <w:rPr>
          <w:sz w:val="28"/>
          <w:szCs w:val="28"/>
        </w:rPr>
        <w:t xml:space="preserve"> </w:t>
      </w:r>
    </w:p>
    <w:p w14:paraId="0A35D8E9" w14:textId="77777777" w:rsidR="0010252F" w:rsidRPr="00D566A3" w:rsidRDefault="0010252F" w:rsidP="0010252F">
      <w:pPr>
        <w:pStyle w:val="ListParagraph"/>
        <w:rPr>
          <w:sz w:val="28"/>
          <w:szCs w:val="28"/>
        </w:rPr>
      </w:pPr>
    </w:p>
    <w:p w14:paraId="4ECF20AF" w14:textId="64D8FFD6" w:rsidR="0010252F" w:rsidRPr="00D566A3" w:rsidRDefault="00EC6674" w:rsidP="0010252F">
      <w:pPr>
        <w:numPr>
          <w:ilvl w:val="0"/>
          <w:numId w:val="1"/>
        </w:numPr>
        <w:tabs>
          <w:tab w:val="left" w:pos="0"/>
        </w:tabs>
        <w:ind w:left="0"/>
        <w:rPr>
          <w:sz w:val="28"/>
          <w:szCs w:val="28"/>
        </w:rPr>
      </w:pPr>
      <w:r w:rsidRPr="00D566A3">
        <w:rPr>
          <w:sz w:val="28"/>
          <w:szCs w:val="28"/>
        </w:rPr>
        <w:t>Prof Coetzee testified</w:t>
      </w:r>
      <w:r w:rsidR="00540DE3" w:rsidRPr="00D566A3">
        <w:rPr>
          <w:sz w:val="28"/>
          <w:szCs w:val="28"/>
        </w:rPr>
        <w:t xml:space="preserve"> that</w:t>
      </w:r>
      <w:r w:rsidRPr="00D566A3">
        <w:rPr>
          <w:sz w:val="28"/>
          <w:szCs w:val="28"/>
        </w:rPr>
        <w:t xml:space="preserve"> i</w:t>
      </w:r>
      <w:r w:rsidR="0010252F" w:rsidRPr="00D566A3">
        <w:rPr>
          <w:sz w:val="28"/>
          <w:szCs w:val="28"/>
        </w:rPr>
        <w:t>t was not sufficient to leave Mr Shearer with the nursing staff</w:t>
      </w:r>
      <w:r w:rsidR="00540DE3" w:rsidRPr="00D566A3">
        <w:rPr>
          <w:sz w:val="28"/>
          <w:szCs w:val="28"/>
        </w:rPr>
        <w:t>,</w:t>
      </w:r>
      <w:r w:rsidR="0010252F" w:rsidRPr="00D566A3">
        <w:rPr>
          <w:sz w:val="28"/>
          <w:szCs w:val="28"/>
        </w:rPr>
        <w:t xml:space="preserve"> </w:t>
      </w:r>
      <w:r w:rsidRPr="00D566A3">
        <w:rPr>
          <w:sz w:val="28"/>
          <w:szCs w:val="28"/>
        </w:rPr>
        <w:t>because</w:t>
      </w:r>
      <w:r w:rsidR="0010252F" w:rsidRPr="00D566A3">
        <w:rPr>
          <w:sz w:val="28"/>
          <w:szCs w:val="28"/>
        </w:rPr>
        <w:t xml:space="preserve"> they would not</w:t>
      </w:r>
      <w:r w:rsidR="00B8435D" w:rsidRPr="00D566A3">
        <w:rPr>
          <w:sz w:val="28"/>
          <w:szCs w:val="28"/>
        </w:rPr>
        <w:t xml:space="preserve"> be able to</w:t>
      </w:r>
      <w:r w:rsidR="0010252F" w:rsidRPr="00D566A3">
        <w:rPr>
          <w:sz w:val="28"/>
          <w:szCs w:val="28"/>
        </w:rPr>
        <w:t xml:space="preserve"> pick up the subtle </w:t>
      </w:r>
      <w:r w:rsidRPr="00D566A3">
        <w:rPr>
          <w:sz w:val="28"/>
          <w:szCs w:val="28"/>
        </w:rPr>
        <w:t>changes which</w:t>
      </w:r>
      <w:r w:rsidR="0010252F" w:rsidRPr="00D566A3">
        <w:rPr>
          <w:sz w:val="28"/>
          <w:szCs w:val="28"/>
        </w:rPr>
        <w:t xml:space="preserve"> could occur. The</w:t>
      </w:r>
      <w:r w:rsidR="00032174" w:rsidRPr="00D566A3">
        <w:rPr>
          <w:sz w:val="28"/>
          <w:szCs w:val="28"/>
        </w:rPr>
        <w:t>y</w:t>
      </w:r>
      <w:r w:rsidR="0010252F" w:rsidRPr="00D566A3">
        <w:rPr>
          <w:sz w:val="28"/>
          <w:szCs w:val="28"/>
        </w:rPr>
        <w:t xml:space="preserve"> would</w:t>
      </w:r>
      <w:r w:rsidR="00032174" w:rsidRPr="00D566A3">
        <w:rPr>
          <w:sz w:val="28"/>
          <w:szCs w:val="28"/>
        </w:rPr>
        <w:t xml:space="preserve"> (most likely)</w:t>
      </w:r>
      <w:r w:rsidR="0010252F" w:rsidRPr="00D566A3">
        <w:rPr>
          <w:sz w:val="28"/>
          <w:szCs w:val="28"/>
        </w:rPr>
        <w:t xml:space="preserve"> not appreciate the fact that the oxygen administered to Mr Shearer would not resolve the underlying threat of his breathing</w:t>
      </w:r>
      <w:r w:rsidR="00104F06" w:rsidRPr="00D566A3">
        <w:rPr>
          <w:sz w:val="28"/>
          <w:szCs w:val="28"/>
        </w:rPr>
        <w:t xml:space="preserve"> deteriorating due to the delayed absorption of the intoxicants into his system</w:t>
      </w:r>
      <w:r w:rsidR="0010252F" w:rsidRPr="00D566A3">
        <w:rPr>
          <w:sz w:val="28"/>
          <w:szCs w:val="28"/>
        </w:rPr>
        <w:t>. In this regard</w:t>
      </w:r>
      <w:r w:rsidR="00104F06" w:rsidRPr="00D566A3">
        <w:rPr>
          <w:sz w:val="28"/>
          <w:szCs w:val="28"/>
        </w:rPr>
        <w:t>,</w:t>
      </w:r>
      <w:r w:rsidR="0010252F" w:rsidRPr="00D566A3">
        <w:rPr>
          <w:sz w:val="28"/>
          <w:szCs w:val="28"/>
        </w:rPr>
        <w:t xml:space="preserve"> the small </w:t>
      </w:r>
      <w:r w:rsidR="00B8435D" w:rsidRPr="00D566A3">
        <w:rPr>
          <w:sz w:val="28"/>
          <w:szCs w:val="28"/>
        </w:rPr>
        <w:t>matters</w:t>
      </w:r>
      <w:r w:rsidR="0010252F" w:rsidRPr="00D566A3">
        <w:rPr>
          <w:sz w:val="28"/>
          <w:szCs w:val="28"/>
        </w:rPr>
        <w:t xml:space="preserve"> such as the maintenance of the airway,</w:t>
      </w:r>
      <w:r w:rsidR="00B8435D" w:rsidRPr="00D566A3">
        <w:rPr>
          <w:sz w:val="28"/>
          <w:szCs w:val="28"/>
        </w:rPr>
        <w:t xml:space="preserve"> a change</w:t>
      </w:r>
      <w:r w:rsidR="0010252F" w:rsidRPr="00D566A3">
        <w:rPr>
          <w:sz w:val="28"/>
          <w:szCs w:val="28"/>
        </w:rPr>
        <w:t xml:space="preserve"> </w:t>
      </w:r>
      <w:r w:rsidR="001D61E3" w:rsidRPr="00D566A3">
        <w:rPr>
          <w:sz w:val="28"/>
          <w:szCs w:val="28"/>
        </w:rPr>
        <w:t xml:space="preserve">in </w:t>
      </w:r>
      <w:r w:rsidR="0010252F" w:rsidRPr="00D566A3">
        <w:rPr>
          <w:sz w:val="28"/>
          <w:szCs w:val="28"/>
        </w:rPr>
        <w:t>breathing rate</w:t>
      </w:r>
      <w:r w:rsidR="00B8435D" w:rsidRPr="00D566A3">
        <w:rPr>
          <w:sz w:val="28"/>
          <w:szCs w:val="28"/>
        </w:rPr>
        <w:t xml:space="preserve"> and</w:t>
      </w:r>
      <w:r w:rsidR="0010252F" w:rsidRPr="00D566A3">
        <w:rPr>
          <w:sz w:val="28"/>
          <w:szCs w:val="28"/>
        </w:rPr>
        <w:t xml:space="preserve"> the method of breathing and whether it was deep enough, would be lost on the nursing staff</w:t>
      </w:r>
      <w:r w:rsidR="00104F06" w:rsidRPr="00D566A3">
        <w:rPr>
          <w:sz w:val="28"/>
          <w:szCs w:val="28"/>
        </w:rPr>
        <w:t>,</w:t>
      </w:r>
      <w:r w:rsidR="0010252F" w:rsidRPr="00D566A3">
        <w:rPr>
          <w:sz w:val="28"/>
          <w:szCs w:val="28"/>
        </w:rPr>
        <w:t xml:space="preserve"> but not on </w:t>
      </w:r>
      <w:r w:rsidR="00AA24B8" w:rsidRPr="00D566A3">
        <w:rPr>
          <w:sz w:val="28"/>
          <w:szCs w:val="28"/>
        </w:rPr>
        <w:t xml:space="preserve">a </w:t>
      </w:r>
      <w:r w:rsidR="0010252F" w:rsidRPr="00D566A3">
        <w:rPr>
          <w:sz w:val="28"/>
          <w:szCs w:val="28"/>
        </w:rPr>
        <w:t>medical practitioner. The nursing staff would wait until the saturation went below 90% and the alarm went off. They would also</w:t>
      </w:r>
      <w:r w:rsidR="001D61E3" w:rsidRPr="00D566A3">
        <w:rPr>
          <w:sz w:val="28"/>
          <w:szCs w:val="28"/>
        </w:rPr>
        <w:t xml:space="preserve"> probably</w:t>
      </w:r>
      <w:r w:rsidR="0010252F" w:rsidRPr="00D566A3">
        <w:rPr>
          <w:sz w:val="28"/>
          <w:szCs w:val="28"/>
        </w:rPr>
        <w:t xml:space="preserve"> not take note of</w:t>
      </w:r>
      <w:r w:rsidR="001D61E3" w:rsidRPr="00D566A3">
        <w:rPr>
          <w:sz w:val="28"/>
          <w:szCs w:val="28"/>
        </w:rPr>
        <w:t xml:space="preserve"> the significance </w:t>
      </w:r>
      <w:r w:rsidR="00B8435D" w:rsidRPr="00D566A3">
        <w:rPr>
          <w:sz w:val="28"/>
          <w:szCs w:val="28"/>
        </w:rPr>
        <w:t xml:space="preserve">of </w:t>
      </w:r>
      <w:r w:rsidR="0010252F" w:rsidRPr="00D566A3">
        <w:rPr>
          <w:sz w:val="28"/>
          <w:szCs w:val="28"/>
        </w:rPr>
        <w:t>the fact that Mr Shearer</w:t>
      </w:r>
      <w:r w:rsidR="001C1AD9" w:rsidRPr="00D566A3">
        <w:rPr>
          <w:sz w:val="28"/>
          <w:szCs w:val="28"/>
        </w:rPr>
        <w:t>,</w:t>
      </w:r>
      <w:r w:rsidR="0010252F" w:rsidRPr="00D566A3">
        <w:rPr>
          <w:sz w:val="28"/>
          <w:szCs w:val="28"/>
        </w:rPr>
        <w:t xml:space="preserve"> </w:t>
      </w:r>
      <w:r w:rsidR="00015BC2" w:rsidRPr="00D566A3">
        <w:rPr>
          <w:sz w:val="28"/>
          <w:szCs w:val="28"/>
        </w:rPr>
        <w:t xml:space="preserve">who </w:t>
      </w:r>
      <w:r w:rsidR="0010252F" w:rsidRPr="00D566A3">
        <w:rPr>
          <w:sz w:val="28"/>
          <w:szCs w:val="28"/>
        </w:rPr>
        <w:t xml:space="preserve">was aggressive on </w:t>
      </w:r>
      <w:r w:rsidR="00D948D4" w:rsidRPr="00D566A3">
        <w:rPr>
          <w:sz w:val="28"/>
          <w:szCs w:val="28"/>
        </w:rPr>
        <w:t>admission</w:t>
      </w:r>
      <w:r w:rsidR="001C1AD9" w:rsidRPr="00D566A3">
        <w:rPr>
          <w:sz w:val="28"/>
          <w:szCs w:val="28"/>
        </w:rPr>
        <w:t>,</w:t>
      </w:r>
      <w:r w:rsidR="00015BC2" w:rsidRPr="00D566A3">
        <w:rPr>
          <w:sz w:val="28"/>
          <w:szCs w:val="28"/>
        </w:rPr>
        <w:t xml:space="preserve"> was</w:t>
      </w:r>
      <w:r w:rsidR="0010252F" w:rsidRPr="00D566A3">
        <w:rPr>
          <w:sz w:val="28"/>
          <w:szCs w:val="28"/>
        </w:rPr>
        <w:t xml:space="preserve"> becoming sleepy. </w:t>
      </w:r>
    </w:p>
    <w:p w14:paraId="7B25C2B2" w14:textId="77777777" w:rsidR="0010252F" w:rsidRPr="00D566A3" w:rsidRDefault="0010252F" w:rsidP="0010252F">
      <w:pPr>
        <w:pStyle w:val="ListParagraph"/>
        <w:rPr>
          <w:sz w:val="28"/>
          <w:szCs w:val="28"/>
        </w:rPr>
      </w:pPr>
    </w:p>
    <w:p w14:paraId="72AB20CB" w14:textId="532B5293" w:rsidR="0010252F" w:rsidRPr="00D566A3" w:rsidRDefault="0010252F" w:rsidP="00114533">
      <w:pPr>
        <w:numPr>
          <w:ilvl w:val="0"/>
          <w:numId w:val="1"/>
        </w:numPr>
        <w:tabs>
          <w:tab w:val="left" w:pos="0"/>
        </w:tabs>
        <w:ind w:left="0"/>
        <w:rPr>
          <w:sz w:val="28"/>
          <w:szCs w:val="28"/>
        </w:rPr>
      </w:pPr>
      <w:r w:rsidRPr="00D566A3">
        <w:rPr>
          <w:sz w:val="28"/>
          <w:szCs w:val="28"/>
        </w:rPr>
        <w:t xml:space="preserve">Because of these subtleties, a medical practitioner would have had to write down clear instructions as to what had to be monitored by the nursing staff. </w:t>
      </w:r>
      <w:r w:rsidR="001D61E3" w:rsidRPr="00D566A3">
        <w:rPr>
          <w:sz w:val="28"/>
          <w:szCs w:val="28"/>
        </w:rPr>
        <w:t>I</w:t>
      </w:r>
      <w:r w:rsidRPr="00D566A3">
        <w:rPr>
          <w:sz w:val="28"/>
          <w:szCs w:val="28"/>
        </w:rPr>
        <w:t>n this case, the</w:t>
      </w:r>
      <w:r w:rsidR="00015BC2" w:rsidRPr="00D566A3">
        <w:rPr>
          <w:sz w:val="28"/>
          <w:szCs w:val="28"/>
        </w:rPr>
        <w:t>re</w:t>
      </w:r>
      <w:r w:rsidRPr="00D566A3">
        <w:rPr>
          <w:sz w:val="28"/>
          <w:szCs w:val="28"/>
        </w:rPr>
        <w:t xml:space="preserve"> were no clinical notes which Prof Coetzee could find instructing the nursing staff on these matters. </w:t>
      </w:r>
      <w:r w:rsidR="00D948D4" w:rsidRPr="00D566A3">
        <w:rPr>
          <w:sz w:val="28"/>
          <w:szCs w:val="28"/>
        </w:rPr>
        <w:t xml:space="preserve">The first appellant conceded that he </w:t>
      </w:r>
      <w:r w:rsidR="00B8435D" w:rsidRPr="00D566A3">
        <w:rPr>
          <w:sz w:val="28"/>
          <w:szCs w:val="28"/>
        </w:rPr>
        <w:t>should have</w:t>
      </w:r>
      <w:r w:rsidR="00D948D4" w:rsidRPr="00D566A3">
        <w:rPr>
          <w:sz w:val="28"/>
          <w:szCs w:val="28"/>
        </w:rPr>
        <w:t xml:space="preserve"> give</w:t>
      </w:r>
      <w:r w:rsidR="00B8435D" w:rsidRPr="00D566A3">
        <w:rPr>
          <w:sz w:val="28"/>
          <w:szCs w:val="28"/>
        </w:rPr>
        <w:t>n</w:t>
      </w:r>
      <w:r w:rsidR="00D948D4" w:rsidRPr="00D566A3">
        <w:rPr>
          <w:sz w:val="28"/>
          <w:szCs w:val="28"/>
        </w:rPr>
        <w:t xml:space="preserve"> clear instructions to the nursing staff, in particular Sister Phillips, to constantly </w:t>
      </w:r>
      <w:r w:rsidR="00B8435D" w:rsidRPr="00D566A3">
        <w:rPr>
          <w:sz w:val="28"/>
          <w:szCs w:val="28"/>
        </w:rPr>
        <w:t xml:space="preserve">remain with Mr Shearer, as well as to what precisely to </w:t>
      </w:r>
      <w:r w:rsidR="00D948D4" w:rsidRPr="00D566A3">
        <w:rPr>
          <w:sz w:val="28"/>
          <w:szCs w:val="28"/>
        </w:rPr>
        <w:t xml:space="preserve">monitor </w:t>
      </w:r>
      <w:r w:rsidR="00B8435D" w:rsidRPr="00D566A3">
        <w:rPr>
          <w:sz w:val="28"/>
          <w:szCs w:val="28"/>
        </w:rPr>
        <w:t>him for</w:t>
      </w:r>
      <w:r w:rsidR="00B21C9B" w:rsidRPr="00D566A3">
        <w:rPr>
          <w:sz w:val="28"/>
          <w:szCs w:val="28"/>
        </w:rPr>
        <w:t>,</w:t>
      </w:r>
      <w:r w:rsidR="00D948D4" w:rsidRPr="00D566A3">
        <w:rPr>
          <w:sz w:val="28"/>
          <w:szCs w:val="28"/>
        </w:rPr>
        <w:t xml:space="preserve"> given</w:t>
      </w:r>
      <w:r w:rsidR="00B8435D" w:rsidRPr="00D566A3">
        <w:rPr>
          <w:sz w:val="28"/>
          <w:szCs w:val="28"/>
        </w:rPr>
        <w:t xml:space="preserve"> that</w:t>
      </w:r>
      <w:r w:rsidR="00D948D4" w:rsidRPr="00D566A3">
        <w:rPr>
          <w:sz w:val="28"/>
          <w:szCs w:val="28"/>
        </w:rPr>
        <w:t xml:space="preserve"> </w:t>
      </w:r>
      <w:r w:rsidR="00D948D4" w:rsidRPr="00D566A3">
        <w:rPr>
          <w:sz w:val="28"/>
          <w:szCs w:val="28"/>
        </w:rPr>
        <w:lastRenderedPageBreak/>
        <w:t xml:space="preserve">the ingestion of drugs and alcohol </w:t>
      </w:r>
      <w:r w:rsidR="00B8435D" w:rsidRPr="00D566A3">
        <w:rPr>
          <w:sz w:val="28"/>
          <w:szCs w:val="28"/>
        </w:rPr>
        <w:t>c</w:t>
      </w:r>
      <w:r w:rsidR="00D948D4" w:rsidRPr="00D566A3">
        <w:rPr>
          <w:sz w:val="28"/>
          <w:szCs w:val="28"/>
        </w:rPr>
        <w:t>ould affect his respiratory rate and lead to possible airway obstruction.</w:t>
      </w:r>
    </w:p>
    <w:p w14:paraId="2A160EF2" w14:textId="77777777" w:rsidR="0010252F" w:rsidRPr="00D566A3" w:rsidRDefault="0010252F" w:rsidP="0010252F">
      <w:pPr>
        <w:pStyle w:val="ListParagraph"/>
        <w:rPr>
          <w:sz w:val="28"/>
          <w:szCs w:val="28"/>
        </w:rPr>
      </w:pPr>
    </w:p>
    <w:p w14:paraId="2B4835DA" w14:textId="3609EA65" w:rsidR="0010252F" w:rsidRPr="00D566A3" w:rsidRDefault="0010252F" w:rsidP="0010252F">
      <w:pPr>
        <w:numPr>
          <w:ilvl w:val="0"/>
          <w:numId w:val="1"/>
        </w:numPr>
        <w:tabs>
          <w:tab w:val="left" w:pos="0"/>
        </w:tabs>
        <w:ind w:left="0"/>
        <w:rPr>
          <w:sz w:val="28"/>
          <w:szCs w:val="28"/>
        </w:rPr>
      </w:pPr>
      <w:r w:rsidRPr="00D566A3">
        <w:rPr>
          <w:sz w:val="28"/>
          <w:szCs w:val="28"/>
        </w:rPr>
        <w:t xml:space="preserve">According to Prof Coetzee, had all </w:t>
      </w:r>
      <w:r w:rsidR="001D61E3" w:rsidRPr="00D566A3">
        <w:rPr>
          <w:sz w:val="28"/>
          <w:szCs w:val="28"/>
        </w:rPr>
        <w:t xml:space="preserve">of </w:t>
      </w:r>
      <w:r w:rsidRPr="00D566A3">
        <w:rPr>
          <w:sz w:val="28"/>
          <w:szCs w:val="28"/>
        </w:rPr>
        <w:t xml:space="preserve">these </w:t>
      </w:r>
      <w:r w:rsidR="001D61E3" w:rsidRPr="00D566A3">
        <w:rPr>
          <w:sz w:val="28"/>
          <w:szCs w:val="28"/>
        </w:rPr>
        <w:t>processes occurred</w:t>
      </w:r>
      <w:r w:rsidRPr="00D566A3">
        <w:rPr>
          <w:sz w:val="28"/>
          <w:szCs w:val="28"/>
        </w:rPr>
        <w:t>, the changes would have been noted and timeous ventilation and oxygenation</w:t>
      </w:r>
      <w:r w:rsidR="00CD7AC0" w:rsidRPr="00D566A3">
        <w:rPr>
          <w:sz w:val="28"/>
          <w:szCs w:val="28"/>
        </w:rPr>
        <w:t>,</w:t>
      </w:r>
      <w:r w:rsidRPr="00D566A3">
        <w:rPr>
          <w:sz w:val="28"/>
          <w:szCs w:val="28"/>
        </w:rPr>
        <w:t xml:space="preserve"> which could well have included trachea intubation</w:t>
      </w:r>
      <w:r w:rsidR="00CD7AC0" w:rsidRPr="00D566A3">
        <w:rPr>
          <w:sz w:val="28"/>
          <w:szCs w:val="28"/>
        </w:rPr>
        <w:t>,</w:t>
      </w:r>
      <w:r w:rsidRPr="00D566A3">
        <w:rPr>
          <w:sz w:val="28"/>
          <w:szCs w:val="28"/>
        </w:rPr>
        <w:t xml:space="preserve"> would have prevented Mr Shearer from desaturating to the point where he became hypoxic and eventually suffered a heart arrest. </w:t>
      </w:r>
    </w:p>
    <w:p w14:paraId="0C46C12B" w14:textId="77777777" w:rsidR="0010252F" w:rsidRPr="00D566A3" w:rsidRDefault="0010252F" w:rsidP="0010252F">
      <w:pPr>
        <w:tabs>
          <w:tab w:val="left" w:pos="0"/>
        </w:tabs>
        <w:rPr>
          <w:sz w:val="28"/>
          <w:szCs w:val="28"/>
        </w:rPr>
      </w:pPr>
    </w:p>
    <w:p w14:paraId="363C32E5" w14:textId="1BCA7689" w:rsidR="002139AC" w:rsidRPr="00D566A3" w:rsidRDefault="00CD7AC0" w:rsidP="00114533">
      <w:pPr>
        <w:numPr>
          <w:ilvl w:val="0"/>
          <w:numId w:val="1"/>
        </w:numPr>
        <w:tabs>
          <w:tab w:val="left" w:pos="0"/>
        </w:tabs>
        <w:ind w:left="0"/>
        <w:rPr>
          <w:sz w:val="28"/>
          <w:szCs w:val="28"/>
        </w:rPr>
      </w:pPr>
      <w:r w:rsidRPr="00D566A3">
        <w:rPr>
          <w:sz w:val="28"/>
          <w:szCs w:val="28"/>
        </w:rPr>
        <w:t>With the first appellant h</w:t>
      </w:r>
      <w:r w:rsidR="00D948D4" w:rsidRPr="00D566A3">
        <w:rPr>
          <w:sz w:val="28"/>
          <w:szCs w:val="28"/>
        </w:rPr>
        <w:t>aving made</w:t>
      </w:r>
      <w:r w:rsidRPr="00D566A3">
        <w:rPr>
          <w:sz w:val="28"/>
          <w:szCs w:val="28"/>
        </w:rPr>
        <w:t xml:space="preserve"> material</w:t>
      </w:r>
      <w:r w:rsidR="00D948D4" w:rsidRPr="00D566A3">
        <w:rPr>
          <w:sz w:val="28"/>
          <w:szCs w:val="28"/>
        </w:rPr>
        <w:t xml:space="preserve"> concessions, the only issue in dispute was whether the first appellant discharged </w:t>
      </w:r>
      <w:r w:rsidR="001C1AD9" w:rsidRPr="00D566A3">
        <w:rPr>
          <w:sz w:val="28"/>
          <w:szCs w:val="28"/>
        </w:rPr>
        <w:t xml:space="preserve">his </w:t>
      </w:r>
      <w:r w:rsidR="00D948D4" w:rsidRPr="00D566A3">
        <w:rPr>
          <w:sz w:val="28"/>
          <w:szCs w:val="28"/>
        </w:rPr>
        <w:t>duty of care by relying on the nurses. Prof Coetzee’s evidence was clear</w:t>
      </w:r>
      <w:r w:rsidRPr="00D566A3">
        <w:rPr>
          <w:sz w:val="28"/>
          <w:szCs w:val="28"/>
        </w:rPr>
        <w:t xml:space="preserve">ly based on logical reasoning </w:t>
      </w:r>
      <w:r w:rsidR="00D948D4" w:rsidRPr="00D566A3">
        <w:rPr>
          <w:sz w:val="28"/>
          <w:szCs w:val="28"/>
        </w:rPr>
        <w:t>on this issue</w:t>
      </w:r>
      <w:r w:rsidR="002139AC" w:rsidRPr="00D566A3">
        <w:rPr>
          <w:sz w:val="28"/>
          <w:szCs w:val="28"/>
        </w:rPr>
        <w:t>,</w:t>
      </w:r>
      <w:r w:rsidR="00D948D4" w:rsidRPr="00D566A3">
        <w:rPr>
          <w:sz w:val="28"/>
          <w:szCs w:val="28"/>
        </w:rPr>
        <w:t xml:space="preserve"> as </w:t>
      </w:r>
      <w:r w:rsidRPr="00D566A3">
        <w:rPr>
          <w:sz w:val="28"/>
          <w:szCs w:val="28"/>
        </w:rPr>
        <w:t>demonstrated</w:t>
      </w:r>
      <w:r w:rsidR="00D948D4" w:rsidRPr="00D566A3">
        <w:rPr>
          <w:sz w:val="28"/>
          <w:szCs w:val="28"/>
        </w:rPr>
        <w:t xml:space="preserve"> above.</w:t>
      </w:r>
      <w:r w:rsidRPr="00D566A3">
        <w:rPr>
          <w:sz w:val="28"/>
          <w:szCs w:val="28"/>
        </w:rPr>
        <w:t xml:space="preserve"> </w:t>
      </w:r>
      <w:r w:rsidR="00D948D4" w:rsidRPr="00D566A3">
        <w:rPr>
          <w:sz w:val="28"/>
          <w:szCs w:val="28"/>
        </w:rPr>
        <w:t xml:space="preserve">The </w:t>
      </w:r>
      <w:r w:rsidRPr="00D566A3">
        <w:rPr>
          <w:sz w:val="28"/>
          <w:szCs w:val="28"/>
        </w:rPr>
        <w:t>high court was correct in accepting it.</w:t>
      </w:r>
      <w:r w:rsidR="00DD401F" w:rsidRPr="00D566A3">
        <w:rPr>
          <w:sz w:val="28"/>
          <w:szCs w:val="28"/>
        </w:rPr>
        <w:t xml:space="preserve"> Prof Coetzee </w:t>
      </w:r>
      <w:r w:rsidR="00E36553" w:rsidRPr="00D566A3">
        <w:rPr>
          <w:sz w:val="28"/>
          <w:szCs w:val="28"/>
        </w:rPr>
        <w:t xml:space="preserve">gave </w:t>
      </w:r>
      <w:r w:rsidR="0021635E" w:rsidRPr="00D566A3">
        <w:rPr>
          <w:sz w:val="28"/>
          <w:szCs w:val="28"/>
        </w:rPr>
        <w:t xml:space="preserve">his </w:t>
      </w:r>
      <w:r w:rsidR="00E36553" w:rsidRPr="00D566A3">
        <w:rPr>
          <w:sz w:val="28"/>
          <w:szCs w:val="28"/>
        </w:rPr>
        <w:t xml:space="preserve">opinion </w:t>
      </w:r>
      <w:r w:rsidR="0021635E" w:rsidRPr="00D566A3">
        <w:rPr>
          <w:sz w:val="28"/>
          <w:szCs w:val="28"/>
        </w:rPr>
        <w:t xml:space="preserve">primarily </w:t>
      </w:r>
      <w:r w:rsidR="00DD401F" w:rsidRPr="00D566A3">
        <w:rPr>
          <w:sz w:val="28"/>
          <w:szCs w:val="28"/>
        </w:rPr>
        <w:t xml:space="preserve">based on the hospital records and the emergency unit’s clinical notes, calling Mrs Shearer as a witness would not have taken the case any further. </w:t>
      </w:r>
      <w:r w:rsidR="00B8435D" w:rsidRPr="00D566A3">
        <w:rPr>
          <w:sz w:val="28"/>
          <w:szCs w:val="28"/>
        </w:rPr>
        <w:t>On his own evidence</w:t>
      </w:r>
      <w:r w:rsidR="004748DD" w:rsidRPr="00D566A3">
        <w:rPr>
          <w:sz w:val="28"/>
          <w:szCs w:val="28"/>
        </w:rPr>
        <w:t>,</w:t>
      </w:r>
      <w:r w:rsidR="00B8435D" w:rsidRPr="00D566A3">
        <w:rPr>
          <w:sz w:val="28"/>
          <w:szCs w:val="28"/>
        </w:rPr>
        <w:t xml:space="preserve"> the first appellant was negligent by leaving the patient in the care of the nursing staff without</w:t>
      </w:r>
      <w:r w:rsidR="004748DD" w:rsidRPr="00D566A3">
        <w:rPr>
          <w:sz w:val="28"/>
          <w:szCs w:val="28"/>
        </w:rPr>
        <w:t xml:space="preserve"> adequately</w:t>
      </w:r>
      <w:r w:rsidR="00B8435D" w:rsidRPr="00D566A3">
        <w:rPr>
          <w:sz w:val="28"/>
          <w:szCs w:val="28"/>
        </w:rPr>
        <w:t xml:space="preserve"> instructing them.</w:t>
      </w:r>
    </w:p>
    <w:p w14:paraId="26DF99F6" w14:textId="77777777" w:rsidR="002139AC" w:rsidRPr="00D566A3" w:rsidRDefault="002139AC" w:rsidP="004046F7">
      <w:pPr>
        <w:pStyle w:val="ListParagraph"/>
        <w:rPr>
          <w:sz w:val="28"/>
          <w:szCs w:val="28"/>
        </w:rPr>
      </w:pPr>
    </w:p>
    <w:p w14:paraId="116D415A" w14:textId="4B1B02C4" w:rsidR="0010252F" w:rsidRPr="00D566A3" w:rsidRDefault="002139AC" w:rsidP="00114533">
      <w:pPr>
        <w:numPr>
          <w:ilvl w:val="0"/>
          <w:numId w:val="1"/>
        </w:numPr>
        <w:tabs>
          <w:tab w:val="left" w:pos="0"/>
        </w:tabs>
        <w:ind w:left="0"/>
        <w:rPr>
          <w:sz w:val="28"/>
          <w:szCs w:val="28"/>
        </w:rPr>
      </w:pPr>
      <w:r w:rsidRPr="00D566A3">
        <w:rPr>
          <w:sz w:val="28"/>
          <w:szCs w:val="28"/>
        </w:rPr>
        <w:t>I am of the view, therefore, that t</w:t>
      </w:r>
      <w:r w:rsidR="00CD7AC0" w:rsidRPr="00D566A3">
        <w:rPr>
          <w:sz w:val="28"/>
          <w:szCs w:val="28"/>
        </w:rPr>
        <w:t xml:space="preserve">he </w:t>
      </w:r>
      <w:r w:rsidR="00D948D4" w:rsidRPr="00D566A3">
        <w:rPr>
          <w:sz w:val="28"/>
          <w:szCs w:val="28"/>
        </w:rPr>
        <w:t>evidence</w:t>
      </w:r>
      <w:r w:rsidR="00CD7AC0" w:rsidRPr="00D566A3">
        <w:rPr>
          <w:sz w:val="28"/>
          <w:szCs w:val="28"/>
        </w:rPr>
        <w:t xml:space="preserve"> of negligence and causation is overwhelming</w:t>
      </w:r>
      <w:r w:rsidR="00B8435D" w:rsidRPr="00D566A3">
        <w:rPr>
          <w:sz w:val="28"/>
          <w:szCs w:val="28"/>
        </w:rPr>
        <w:t>ly</w:t>
      </w:r>
      <w:r w:rsidR="00CD7AC0" w:rsidRPr="00D566A3">
        <w:rPr>
          <w:sz w:val="28"/>
          <w:szCs w:val="28"/>
        </w:rPr>
        <w:t xml:space="preserve"> against the first appellant. T</w:t>
      </w:r>
      <w:r w:rsidR="00D948D4" w:rsidRPr="00D566A3">
        <w:rPr>
          <w:sz w:val="28"/>
          <w:szCs w:val="28"/>
        </w:rPr>
        <w:t>here</w:t>
      </w:r>
      <w:r w:rsidR="00515A25" w:rsidRPr="00D566A3">
        <w:rPr>
          <w:sz w:val="28"/>
          <w:szCs w:val="28"/>
        </w:rPr>
        <w:t xml:space="preserve"> is</w:t>
      </w:r>
      <w:r w:rsidRPr="00D566A3">
        <w:rPr>
          <w:sz w:val="28"/>
          <w:szCs w:val="28"/>
        </w:rPr>
        <w:t>,</w:t>
      </w:r>
      <w:r w:rsidR="00D948D4" w:rsidRPr="00D566A3">
        <w:rPr>
          <w:sz w:val="28"/>
          <w:szCs w:val="28"/>
        </w:rPr>
        <w:t xml:space="preserve"> accordingly</w:t>
      </w:r>
      <w:r w:rsidRPr="00D566A3">
        <w:rPr>
          <w:sz w:val="28"/>
          <w:szCs w:val="28"/>
        </w:rPr>
        <w:t>,</w:t>
      </w:r>
      <w:r w:rsidR="00D948D4" w:rsidRPr="00D566A3">
        <w:rPr>
          <w:sz w:val="28"/>
          <w:szCs w:val="28"/>
        </w:rPr>
        <w:t xml:space="preserve"> no reason to interfere with the high court’s </w:t>
      </w:r>
      <w:r w:rsidR="00CD7AC0" w:rsidRPr="00D566A3">
        <w:rPr>
          <w:sz w:val="28"/>
          <w:szCs w:val="28"/>
        </w:rPr>
        <w:t xml:space="preserve">decision </w:t>
      </w:r>
      <w:r w:rsidR="00D948D4" w:rsidRPr="00D566A3">
        <w:rPr>
          <w:sz w:val="28"/>
          <w:szCs w:val="28"/>
        </w:rPr>
        <w:t xml:space="preserve">in relation to him.   </w:t>
      </w:r>
    </w:p>
    <w:p w14:paraId="2770CC0D" w14:textId="77777777" w:rsidR="00D948D4" w:rsidRPr="00D566A3" w:rsidRDefault="00D948D4" w:rsidP="00D948D4">
      <w:pPr>
        <w:tabs>
          <w:tab w:val="left" w:pos="0"/>
        </w:tabs>
        <w:rPr>
          <w:sz w:val="28"/>
          <w:szCs w:val="28"/>
        </w:rPr>
      </w:pPr>
    </w:p>
    <w:p w14:paraId="2D50C499" w14:textId="0023DE87" w:rsidR="0010252F" w:rsidRPr="00D566A3" w:rsidRDefault="00B8435D" w:rsidP="0010252F">
      <w:pPr>
        <w:pStyle w:val="ListParagraph"/>
        <w:ind w:hanging="720"/>
        <w:rPr>
          <w:b/>
          <w:sz w:val="28"/>
          <w:szCs w:val="28"/>
        </w:rPr>
      </w:pPr>
      <w:r w:rsidRPr="00D566A3">
        <w:rPr>
          <w:b/>
          <w:sz w:val="28"/>
          <w:szCs w:val="28"/>
        </w:rPr>
        <w:t>Liability of</w:t>
      </w:r>
      <w:r w:rsidR="001C1AD9" w:rsidRPr="00D566A3">
        <w:rPr>
          <w:b/>
          <w:sz w:val="28"/>
          <w:szCs w:val="28"/>
        </w:rPr>
        <w:t xml:space="preserve"> the </w:t>
      </w:r>
      <w:r w:rsidR="0010252F" w:rsidRPr="00D566A3">
        <w:rPr>
          <w:b/>
          <w:sz w:val="28"/>
          <w:szCs w:val="28"/>
        </w:rPr>
        <w:t>second appellant</w:t>
      </w:r>
    </w:p>
    <w:p w14:paraId="0E92EC10" w14:textId="4D046E01" w:rsidR="00114533" w:rsidRPr="00D566A3" w:rsidRDefault="0010252F" w:rsidP="0010252F">
      <w:pPr>
        <w:numPr>
          <w:ilvl w:val="0"/>
          <w:numId w:val="1"/>
        </w:numPr>
        <w:tabs>
          <w:tab w:val="left" w:pos="0"/>
        </w:tabs>
        <w:ind w:left="0"/>
        <w:rPr>
          <w:sz w:val="28"/>
          <w:szCs w:val="28"/>
        </w:rPr>
      </w:pPr>
      <w:r w:rsidRPr="00D566A3">
        <w:rPr>
          <w:sz w:val="28"/>
          <w:szCs w:val="28"/>
        </w:rPr>
        <w:t>The position as regards the second appellant</w:t>
      </w:r>
      <w:r w:rsidR="00D948D4" w:rsidRPr="00D566A3">
        <w:rPr>
          <w:sz w:val="28"/>
          <w:szCs w:val="28"/>
        </w:rPr>
        <w:t xml:space="preserve"> is</w:t>
      </w:r>
      <w:r w:rsidRPr="00D566A3">
        <w:rPr>
          <w:sz w:val="28"/>
          <w:szCs w:val="28"/>
        </w:rPr>
        <w:t xml:space="preserve"> different. </w:t>
      </w:r>
      <w:r w:rsidR="001B5049" w:rsidRPr="00D566A3">
        <w:rPr>
          <w:sz w:val="28"/>
          <w:szCs w:val="28"/>
        </w:rPr>
        <w:t xml:space="preserve">In this </w:t>
      </w:r>
      <w:r w:rsidR="001B2950" w:rsidRPr="00D566A3">
        <w:rPr>
          <w:sz w:val="28"/>
          <w:szCs w:val="28"/>
        </w:rPr>
        <w:t>Court,</w:t>
      </w:r>
      <w:r w:rsidR="001B5049" w:rsidRPr="00D566A3">
        <w:rPr>
          <w:sz w:val="28"/>
          <w:szCs w:val="28"/>
        </w:rPr>
        <w:t xml:space="preserve"> the only question in relation to the liability of the second appellant was whether in law it was liable for the negligence of the first appellant. </w:t>
      </w:r>
      <w:r w:rsidRPr="00D566A3">
        <w:rPr>
          <w:sz w:val="28"/>
          <w:szCs w:val="28"/>
        </w:rPr>
        <w:t xml:space="preserve">The high court found that the </w:t>
      </w:r>
      <w:r w:rsidRPr="00D566A3">
        <w:rPr>
          <w:sz w:val="28"/>
          <w:szCs w:val="28"/>
        </w:rPr>
        <w:lastRenderedPageBreak/>
        <w:t xml:space="preserve">first appellant was an independent contractor </w:t>
      </w:r>
      <w:r w:rsidR="002139AC" w:rsidRPr="00D566A3">
        <w:rPr>
          <w:sz w:val="28"/>
          <w:szCs w:val="28"/>
        </w:rPr>
        <w:t>in relation to</w:t>
      </w:r>
      <w:r w:rsidRPr="00D566A3">
        <w:rPr>
          <w:sz w:val="28"/>
          <w:szCs w:val="28"/>
        </w:rPr>
        <w:t xml:space="preserve"> the second appellant. Th</w:t>
      </w:r>
      <w:r w:rsidR="001B5049" w:rsidRPr="00D566A3">
        <w:rPr>
          <w:sz w:val="28"/>
          <w:szCs w:val="28"/>
        </w:rPr>
        <w:t>is finding was not challenged befor</w:t>
      </w:r>
      <w:r w:rsidRPr="00D566A3">
        <w:rPr>
          <w:sz w:val="28"/>
          <w:szCs w:val="28"/>
        </w:rPr>
        <w:t xml:space="preserve">e </w:t>
      </w:r>
      <w:r w:rsidR="001B5049" w:rsidRPr="00D566A3">
        <w:rPr>
          <w:sz w:val="28"/>
          <w:szCs w:val="28"/>
        </w:rPr>
        <w:t>us</w:t>
      </w:r>
      <w:r w:rsidRPr="00D566A3">
        <w:rPr>
          <w:sz w:val="28"/>
          <w:szCs w:val="28"/>
        </w:rPr>
        <w:t>.</w:t>
      </w:r>
      <w:r w:rsidR="001B5049" w:rsidRPr="00D566A3">
        <w:rPr>
          <w:sz w:val="28"/>
          <w:szCs w:val="28"/>
        </w:rPr>
        <w:t xml:space="preserve"> </w:t>
      </w:r>
    </w:p>
    <w:p w14:paraId="3576EA6B" w14:textId="77777777" w:rsidR="00114533" w:rsidRPr="00D566A3" w:rsidRDefault="00114533" w:rsidP="00114533">
      <w:pPr>
        <w:tabs>
          <w:tab w:val="left" w:pos="0"/>
        </w:tabs>
        <w:rPr>
          <w:sz w:val="28"/>
          <w:szCs w:val="28"/>
        </w:rPr>
      </w:pPr>
    </w:p>
    <w:p w14:paraId="39FFBD0D" w14:textId="09FF1D82" w:rsidR="000B14D7" w:rsidRPr="00D566A3" w:rsidRDefault="0010252F" w:rsidP="0010252F">
      <w:pPr>
        <w:numPr>
          <w:ilvl w:val="0"/>
          <w:numId w:val="1"/>
        </w:numPr>
        <w:tabs>
          <w:tab w:val="left" w:pos="0"/>
        </w:tabs>
        <w:ind w:left="0"/>
        <w:rPr>
          <w:sz w:val="28"/>
          <w:szCs w:val="28"/>
        </w:rPr>
      </w:pPr>
      <w:r w:rsidRPr="00D566A3">
        <w:rPr>
          <w:sz w:val="28"/>
          <w:szCs w:val="28"/>
        </w:rPr>
        <w:t>Our law is clear that the principal is not liable for the civil wrongs of an independent contractor</w:t>
      </w:r>
      <w:r w:rsidR="002139AC" w:rsidRPr="00D566A3">
        <w:rPr>
          <w:sz w:val="28"/>
          <w:szCs w:val="28"/>
        </w:rPr>
        <w:t>,</w:t>
      </w:r>
      <w:r w:rsidRPr="00D566A3">
        <w:rPr>
          <w:sz w:val="28"/>
          <w:szCs w:val="28"/>
        </w:rPr>
        <w:t xml:space="preserve"> except where the principal was personally at fault.</w:t>
      </w:r>
      <w:r w:rsidRPr="00D566A3">
        <w:rPr>
          <w:rStyle w:val="FootnoteReference"/>
          <w:sz w:val="28"/>
          <w:szCs w:val="28"/>
        </w:rPr>
        <w:footnoteReference w:id="5"/>
      </w:r>
      <w:r w:rsidRPr="00D566A3">
        <w:rPr>
          <w:sz w:val="28"/>
          <w:szCs w:val="28"/>
        </w:rPr>
        <w:t xml:space="preserve"> Counsel for the first respondent submitted that, whilst the first appellant was not an employee of the second appellant, </w:t>
      </w:r>
      <w:r w:rsidR="000B14D7" w:rsidRPr="00D566A3">
        <w:rPr>
          <w:sz w:val="28"/>
          <w:szCs w:val="28"/>
        </w:rPr>
        <w:t xml:space="preserve">the facts of this case </w:t>
      </w:r>
      <w:r w:rsidR="00733F55" w:rsidRPr="00D566A3">
        <w:rPr>
          <w:sz w:val="28"/>
          <w:szCs w:val="28"/>
        </w:rPr>
        <w:t xml:space="preserve">nevertheless </w:t>
      </w:r>
      <w:r w:rsidR="000B14D7" w:rsidRPr="00D566A3">
        <w:rPr>
          <w:sz w:val="28"/>
          <w:szCs w:val="28"/>
        </w:rPr>
        <w:t>call for the</w:t>
      </w:r>
      <w:r w:rsidR="001B5049" w:rsidRPr="00D566A3">
        <w:rPr>
          <w:sz w:val="28"/>
          <w:szCs w:val="28"/>
        </w:rPr>
        <w:t xml:space="preserve"> </w:t>
      </w:r>
      <w:r w:rsidRPr="00D566A3">
        <w:rPr>
          <w:sz w:val="28"/>
          <w:szCs w:val="28"/>
        </w:rPr>
        <w:t>application of general principles of vicarious liability. Alternatively, given the facts of this case</w:t>
      </w:r>
      <w:r w:rsidR="0048558F" w:rsidRPr="00D566A3">
        <w:rPr>
          <w:sz w:val="28"/>
          <w:szCs w:val="28"/>
        </w:rPr>
        <w:t>,</w:t>
      </w:r>
      <w:r w:rsidRPr="00D566A3">
        <w:rPr>
          <w:sz w:val="28"/>
          <w:szCs w:val="28"/>
        </w:rPr>
        <w:t xml:space="preserve"> it is appropriate to recognise </w:t>
      </w:r>
      <w:r w:rsidR="001B5049" w:rsidRPr="00D566A3">
        <w:rPr>
          <w:sz w:val="28"/>
          <w:szCs w:val="28"/>
        </w:rPr>
        <w:t>a</w:t>
      </w:r>
      <w:r w:rsidRPr="00D566A3">
        <w:rPr>
          <w:sz w:val="28"/>
          <w:szCs w:val="28"/>
        </w:rPr>
        <w:t xml:space="preserve"> stricter obligation on the part of the second appellant</w:t>
      </w:r>
      <w:r w:rsidR="001B2950" w:rsidRPr="00D566A3">
        <w:rPr>
          <w:sz w:val="28"/>
          <w:szCs w:val="28"/>
        </w:rPr>
        <w:t>, described</w:t>
      </w:r>
      <w:r w:rsidRPr="00D566A3">
        <w:rPr>
          <w:sz w:val="28"/>
          <w:szCs w:val="28"/>
        </w:rPr>
        <w:t xml:space="preserve"> as a non-delegable duty.</w:t>
      </w:r>
    </w:p>
    <w:p w14:paraId="3F7219B3" w14:textId="77777777" w:rsidR="000B14D7" w:rsidRPr="00D566A3" w:rsidRDefault="000B14D7" w:rsidP="000B14D7">
      <w:pPr>
        <w:pStyle w:val="ListParagraph"/>
        <w:rPr>
          <w:sz w:val="28"/>
          <w:szCs w:val="28"/>
        </w:rPr>
      </w:pPr>
    </w:p>
    <w:p w14:paraId="2E0BE516" w14:textId="0EFA9A9D" w:rsidR="0010252F" w:rsidRPr="00D566A3" w:rsidRDefault="0032559D" w:rsidP="0010252F">
      <w:pPr>
        <w:numPr>
          <w:ilvl w:val="0"/>
          <w:numId w:val="1"/>
        </w:numPr>
        <w:tabs>
          <w:tab w:val="left" w:pos="0"/>
        </w:tabs>
        <w:ind w:left="0"/>
        <w:rPr>
          <w:sz w:val="28"/>
          <w:szCs w:val="28"/>
        </w:rPr>
      </w:pPr>
      <w:r w:rsidRPr="00D566A3">
        <w:rPr>
          <w:sz w:val="28"/>
          <w:szCs w:val="28"/>
        </w:rPr>
        <w:t xml:space="preserve">In respect of vicarious liability, counsel for the first respondent submitted that </w:t>
      </w:r>
      <w:r w:rsidR="001B5049" w:rsidRPr="00D566A3">
        <w:rPr>
          <w:sz w:val="28"/>
          <w:szCs w:val="28"/>
        </w:rPr>
        <w:t>t</w:t>
      </w:r>
      <w:r w:rsidR="001D61E3" w:rsidRPr="00D566A3">
        <w:rPr>
          <w:sz w:val="28"/>
          <w:szCs w:val="28"/>
        </w:rPr>
        <w:t xml:space="preserve">he second appellant’s appeal </w:t>
      </w:r>
      <w:r w:rsidRPr="00D566A3">
        <w:rPr>
          <w:sz w:val="28"/>
          <w:szCs w:val="28"/>
        </w:rPr>
        <w:t xml:space="preserve">should </w:t>
      </w:r>
      <w:r w:rsidR="001D61E3" w:rsidRPr="00D566A3">
        <w:rPr>
          <w:sz w:val="28"/>
          <w:szCs w:val="28"/>
        </w:rPr>
        <w:t>fail</w:t>
      </w:r>
      <w:r w:rsidR="001B5049" w:rsidRPr="00D566A3">
        <w:rPr>
          <w:sz w:val="28"/>
          <w:szCs w:val="28"/>
        </w:rPr>
        <w:t xml:space="preserve"> on</w:t>
      </w:r>
      <w:r w:rsidRPr="00D566A3">
        <w:rPr>
          <w:sz w:val="28"/>
          <w:szCs w:val="28"/>
        </w:rPr>
        <w:t xml:space="preserve"> the law as it currently is. </w:t>
      </w:r>
      <w:r w:rsidR="000B14D7" w:rsidRPr="00D566A3">
        <w:rPr>
          <w:sz w:val="28"/>
          <w:szCs w:val="28"/>
        </w:rPr>
        <w:t>However, insofar as</w:t>
      </w:r>
      <w:r w:rsidRPr="00D566A3">
        <w:rPr>
          <w:sz w:val="28"/>
          <w:szCs w:val="28"/>
        </w:rPr>
        <w:t xml:space="preserve"> </w:t>
      </w:r>
      <w:r w:rsidR="001B5049" w:rsidRPr="00D566A3">
        <w:rPr>
          <w:sz w:val="28"/>
          <w:szCs w:val="28"/>
        </w:rPr>
        <w:t>a</w:t>
      </w:r>
      <w:r w:rsidR="000B14D7" w:rsidRPr="00D566A3">
        <w:rPr>
          <w:sz w:val="28"/>
          <w:szCs w:val="28"/>
        </w:rPr>
        <w:t xml:space="preserve"> non-delegable duty of care is concerned, </w:t>
      </w:r>
      <w:r w:rsidRPr="00D566A3">
        <w:rPr>
          <w:sz w:val="28"/>
          <w:szCs w:val="28"/>
        </w:rPr>
        <w:t>he invite</w:t>
      </w:r>
      <w:r w:rsidR="000B14D7" w:rsidRPr="00D566A3">
        <w:rPr>
          <w:sz w:val="28"/>
          <w:szCs w:val="28"/>
        </w:rPr>
        <w:t>d</w:t>
      </w:r>
      <w:r w:rsidRPr="00D566A3">
        <w:rPr>
          <w:sz w:val="28"/>
          <w:szCs w:val="28"/>
        </w:rPr>
        <w:t xml:space="preserve"> this Court to develop the</w:t>
      </w:r>
      <w:r w:rsidR="00A77501" w:rsidRPr="00D566A3">
        <w:rPr>
          <w:sz w:val="28"/>
          <w:szCs w:val="28"/>
        </w:rPr>
        <w:t xml:space="preserve"> common</w:t>
      </w:r>
      <w:r w:rsidRPr="00D566A3">
        <w:rPr>
          <w:sz w:val="28"/>
          <w:szCs w:val="28"/>
        </w:rPr>
        <w:t xml:space="preserve"> law</w:t>
      </w:r>
      <w:r w:rsidR="000B14D7" w:rsidRPr="00D566A3">
        <w:rPr>
          <w:sz w:val="28"/>
          <w:szCs w:val="28"/>
        </w:rPr>
        <w:t>, should the first argument fail.</w:t>
      </w:r>
      <w:r w:rsidRPr="00D566A3">
        <w:rPr>
          <w:sz w:val="28"/>
          <w:szCs w:val="28"/>
        </w:rPr>
        <w:t xml:space="preserve">    </w:t>
      </w:r>
    </w:p>
    <w:p w14:paraId="19604B25" w14:textId="77777777" w:rsidR="0010252F" w:rsidRPr="00D566A3" w:rsidRDefault="0010252F" w:rsidP="0010252F">
      <w:pPr>
        <w:tabs>
          <w:tab w:val="left" w:pos="0"/>
        </w:tabs>
        <w:rPr>
          <w:sz w:val="28"/>
          <w:szCs w:val="28"/>
        </w:rPr>
      </w:pPr>
    </w:p>
    <w:p w14:paraId="2196742C" w14:textId="4942A867" w:rsidR="0010252F" w:rsidRPr="00D566A3" w:rsidRDefault="0010252F" w:rsidP="0010252F">
      <w:pPr>
        <w:numPr>
          <w:ilvl w:val="0"/>
          <w:numId w:val="1"/>
        </w:numPr>
        <w:tabs>
          <w:tab w:val="left" w:pos="0"/>
        </w:tabs>
        <w:ind w:left="0"/>
        <w:rPr>
          <w:sz w:val="28"/>
          <w:szCs w:val="28"/>
        </w:rPr>
      </w:pPr>
      <w:r w:rsidRPr="00D566A3">
        <w:rPr>
          <w:sz w:val="28"/>
          <w:szCs w:val="28"/>
        </w:rPr>
        <w:t xml:space="preserve">The submission made on behalf of the first respondent was that vicarious liability is not limited to employer and employee relationships. It can attach to situations where the person committing the delict is undertaking an </w:t>
      </w:r>
      <w:r w:rsidR="0032559D" w:rsidRPr="00D566A3">
        <w:rPr>
          <w:sz w:val="28"/>
          <w:szCs w:val="28"/>
        </w:rPr>
        <w:t>activity which</w:t>
      </w:r>
      <w:r w:rsidRPr="00D566A3">
        <w:rPr>
          <w:sz w:val="28"/>
          <w:szCs w:val="28"/>
        </w:rPr>
        <w:t xml:space="preserve"> serves the other party’s interests. To illustrate this, an owner of a motor vehicle can be held vicariously liable for the delicts committed by the driver thereof in the absence of an employment relationship. In this regard, it is sufficient that the vehicle was driven on behalf </w:t>
      </w:r>
      <w:r w:rsidR="00083F14" w:rsidRPr="00D566A3">
        <w:rPr>
          <w:sz w:val="28"/>
          <w:szCs w:val="28"/>
        </w:rPr>
        <w:t xml:space="preserve">of </w:t>
      </w:r>
      <w:r w:rsidRPr="00D566A3">
        <w:rPr>
          <w:sz w:val="28"/>
          <w:szCs w:val="28"/>
        </w:rPr>
        <w:t xml:space="preserve">the owner, even if only partly for the purposes of the owner. </w:t>
      </w:r>
      <w:r w:rsidR="001B5049" w:rsidRPr="00D566A3">
        <w:rPr>
          <w:sz w:val="28"/>
          <w:szCs w:val="28"/>
        </w:rPr>
        <w:lastRenderedPageBreak/>
        <w:t>This is all good and well, but for the reasons that follow, does not avail the first respondent.</w:t>
      </w:r>
    </w:p>
    <w:p w14:paraId="23F37621" w14:textId="77777777" w:rsidR="0048558F" w:rsidRPr="00D566A3" w:rsidRDefault="0048558F" w:rsidP="000B14D7">
      <w:pPr>
        <w:tabs>
          <w:tab w:val="left" w:pos="0"/>
        </w:tabs>
        <w:rPr>
          <w:sz w:val="28"/>
          <w:szCs w:val="28"/>
        </w:rPr>
      </w:pPr>
    </w:p>
    <w:p w14:paraId="01FA9622" w14:textId="57D3FC5E" w:rsidR="007657D6" w:rsidRPr="00D566A3" w:rsidRDefault="00D648C4" w:rsidP="007657D6">
      <w:pPr>
        <w:numPr>
          <w:ilvl w:val="0"/>
          <w:numId w:val="1"/>
        </w:numPr>
        <w:tabs>
          <w:tab w:val="left" w:pos="0"/>
        </w:tabs>
        <w:ind w:left="0"/>
        <w:rPr>
          <w:sz w:val="28"/>
          <w:szCs w:val="28"/>
        </w:rPr>
      </w:pPr>
      <w:r w:rsidRPr="00D566A3">
        <w:rPr>
          <w:sz w:val="28"/>
          <w:szCs w:val="28"/>
        </w:rPr>
        <w:t>T</w:t>
      </w:r>
      <w:r w:rsidR="002333C9" w:rsidRPr="00D566A3">
        <w:rPr>
          <w:sz w:val="28"/>
          <w:szCs w:val="28"/>
        </w:rPr>
        <w:t>he matter must be determined on the basis that as a fact, the first appellant was an independent contractor. In this regard</w:t>
      </w:r>
      <w:r w:rsidR="001323AE">
        <w:rPr>
          <w:sz w:val="28"/>
          <w:szCs w:val="28"/>
        </w:rPr>
        <w:t>,</w:t>
      </w:r>
      <w:r w:rsidR="002333C9" w:rsidRPr="00D566A3">
        <w:rPr>
          <w:sz w:val="28"/>
          <w:szCs w:val="28"/>
        </w:rPr>
        <w:t xml:space="preserve"> </w:t>
      </w:r>
      <w:r w:rsidR="00EA61BF" w:rsidRPr="00D566A3">
        <w:rPr>
          <w:sz w:val="28"/>
          <w:szCs w:val="28"/>
        </w:rPr>
        <w:t>Nugent JA clearly state</w:t>
      </w:r>
      <w:r w:rsidR="004748DD" w:rsidRPr="00D566A3">
        <w:rPr>
          <w:sz w:val="28"/>
          <w:szCs w:val="28"/>
        </w:rPr>
        <w:t>d</w:t>
      </w:r>
      <w:r w:rsidR="00EA61BF" w:rsidRPr="00D566A3">
        <w:rPr>
          <w:sz w:val="28"/>
          <w:szCs w:val="28"/>
        </w:rPr>
        <w:t xml:space="preserve"> in </w:t>
      </w:r>
      <w:r w:rsidR="00C94565" w:rsidRPr="00D566A3">
        <w:rPr>
          <w:i/>
          <w:sz w:val="28"/>
          <w:szCs w:val="28"/>
        </w:rPr>
        <w:t>Chartaprops</w:t>
      </w:r>
      <w:r w:rsidR="00C94565" w:rsidRPr="00D566A3">
        <w:rPr>
          <w:i/>
          <w:lang w:val="en-US"/>
        </w:rPr>
        <w:t xml:space="preserve"> </w:t>
      </w:r>
      <w:r w:rsidR="00C94565" w:rsidRPr="00D566A3">
        <w:rPr>
          <w:i/>
          <w:sz w:val="28"/>
          <w:szCs w:val="28"/>
          <w:lang w:val="en-US"/>
        </w:rPr>
        <w:t>16 (Pty) Ltd and Another v Silberman</w:t>
      </w:r>
      <w:r w:rsidR="00C94565" w:rsidRPr="00D566A3">
        <w:rPr>
          <w:rStyle w:val="FootnoteReference"/>
          <w:iCs/>
          <w:sz w:val="28"/>
          <w:szCs w:val="28"/>
        </w:rPr>
        <w:footnoteReference w:id="6"/>
      </w:r>
      <w:r w:rsidR="00C94565" w:rsidRPr="00D566A3">
        <w:rPr>
          <w:iCs/>
          <w:sz w:val="28"/>
          <w:szCs w:val="28"/>
        </w:rPr>
        <w:t xml:space="preserve"> </w:t>
      </w:r>
      <w:r w:rsidR="00EA61BF" w:rsidRPr="00D566A3">
        <w:rPr>
          <w:sz w:val="28"/>
          <w:szCs w:val="28"/>
        </w:rPr>
        <w:t xml:space="preserve">that it is well established that the relationships to which vicarious liability applies do not include the relationship </w:t>
      </w:r>
      <w:r w:rsidRPr="00D566A3">
        <w:rPr>
          <w:sz w:val="28"/>
          <w:szCs w:val="28"/>
        </w:rPr>
        <w:t xml:space="preserve">of a principal and </w:t>
      </w:r>
      <w:r w:rsidR="00EA61BF" w:rsidRPr="00D566A3">
        <w:rPr>
          <w:sz w:val="28"/>
          <w:szCs w:val="28"/>
        </w:rPr>
        <w:t>an independent contractor. The party who appointe</w:t>
      </w:r>
      <w:r w:rsidR="004748DD" w:rsidRPr="00D566A3">
        <w:rPr>
          <w:sz w:val="28"/>
          <w:szCs w:val="28"/>
        </w:rPr>
        <w:t xml:space="preserve">d the independent contractor </w:t>
      </w:r>
      <w:r w:rsidR="00711E5E" w:rsidRPr="00D566A3">
        <w:rPr>
          <w:sz w:val="28"/>
          <w:szCs w:val="28"/>
        </w:rPr>
        <w:t>c</w:t>
      </w:r>
      <w:r w:rsidR="00EA61BF" w:rsidRPr="00D566A3">
        <w:rPr>
          <w:sz w:val="28"/>
          <w:szCs w:val="28"/>
        </w:rPr>
        <w:t>ould only be liable in delict</w:t>
      </w:r>
      <w:r w:rsidR="004748DD" w:rsidRPr="00D566A3">
        <w:rPr>
          <w:sz w:val="28"/>
          <w:szCs w:val="28"/>
        </w:rPr>
        <w:t xml:space="preserve"> for its own failure</w:t>
      </w:r>
      <w:r w:rsidR="00EA61BF" w:rsidRPr="00D566A3">
        <w:rPr>
          <w:sz w:val="28"/>
          <w:szCs w:val="28"/>
        </w:rPr>
        <w:t xml:space="preserve"> to take reasonable steps to guard against foreseeable harm. The same</w:t>
      </w:r>
      <w:r w:rsidR="006A2223" w:rsidRPr="00D566A3">
        <w:rPr>
          <w:sz w:val="28"/>
          <w:szCs w:val="28"/>
        </w:rPr>
        <w:t xml:space="preserve"> was said in the majority judg</w:t>
      </w:r>
      <w:r w:rsidR="00EA61BF" w:rsidRPr="00D566A3">
        <w:rPr>
          <w:sz w:val="28"/>
          <w:szCs w:val="28"/>
        </w:rPr>
        <w:t>ment of Ponnan JA</w:t>
      </w:r>
      <w:r w:rsidR="008B4376">
        <w:rPr>
          <w:sz w:val="28"/>
          <w:szCs w:val="28"/>
        </w:rPr>
        <w:t>.</w:t>
      </w:r>
      <w:r w:rsidR="00C94565" w:rsidRPr="00D566A3">
        <w:rPr>
          <w:rStyle w:val="FootnoteReference"/>
          <w:sz w:val="28"/>
          <w:szCs w:val="28"/>
        </w:rPr>
        <w:footnoteReference w:id="7"/>
      </w:r>
      <w:r w:rsidR="00EA61BF" w:rsidRPr="00D566A3">
        <w:rPr>
          <w:sz w:val="28"/>
          <w:szCs w:val="28"/>
        </w:rPr>
        <w:t xml:space="preserve"> </w:t>
      </w:r>
      <w:r w:rsidR="006A2223" w:rsidRPr="00D566A3">
        <w:rPr>
          <w:sz w:val="28"/>
          <w:szCs w:val="28"/>
        </w:rPr>
        <w:t>The first respon</w:t>
      </w:r>
      <w:r w:rsidR="004748DD" w:rsidRPr="00D566A3">
        <w:rPr>
          <w:sz w:val="28"/>
          <w:szCs w:val="28"/>
        </w:rPr>
        <w:t>d</w:t>
      </w:r>
      <w:r w:rsidR="006A2223" w:rsidRPr="00D566A3">
        <w:rPr>
          <w:sz w:val="28"/>
          <w:szCs w:val="28"/>
        </w:rPr>
        <w:t>ent</w:t>
      </w:r>
      <w:r w:rsidR="00EA61BF" w:rsidRPr="00D566A3">
        <w:rPr>
          <w:sz w:val="28"/>
          <w:szCs w:val="28"/>
        </w:rPr>
        <w:t xml:space="preserve"> </w:t>
      </w:r>
      <w:r w:rsidR="004748DD" w:rsidRPr="00D566A3">
        <w:rPr>
          <w:sz w:val="28"/>
          <w:szCs w:val="28"/>
        </w:rPr>
        <w:t>disavowed any intention to attempt to persu</w:t>
      </w:r>
      <w:r w:rsidR="00711E5E" w:rsidRPr="00D566A3">
        <w:rPr>
          <w:sz w:val="28"/>
          <w:szCs w:val="28"/>
        </w:rPr>
        <w:t>ad</w:t>
      </w:r>
      <w:r w:rsidR="004748DD" w:rsidRPr="00D566A3">
        <w:rPr>
          <w:sz w:val="28"/>
          <w:szCs w:val="28"/>
        </w:rPr>
        <w:t>e us to develop the law of vicarious liability. It foll</w:t>
      </w:r>
      <w:r w:rsidR="00711E5E" w:rsidRPr="00D566A3">
        <w:rPr>
          <w:sz w:val="28"/>
          <w:szCs w:val="28"/>
        </w:rPr>
        <w:t>o</w:t>
      </w:r>
      <w:r w:rsidR="004748DD" w:rsidRPr="00D566A3">
        <w:rPr>
          <w:sz w:val="28"/>
          <w:szCs w:val="28"/>
        </w:rPr>
        <w:t>ws that there was simply no legal basis upon which the second appellant could attract vicarious liability for the conduct of the first appellant.</w:t>
      </w:r>
      <w:r w:rsidR="0010252F" w:rsidRPr="00D566A3">
        <w:rPr>
          <w:sz w:val="28"/>
          <w:szCs w:val="28"/>
        </w:rPr>
        <w:t xml:space="preserve"> </w:t>
      </w:r>
      <w:r w:rsidR="001B2950" w:rsidRPr="00D566A3">
        <w:rPr>
          <w:sz w:val="28"/>
          <w:szCs w:val="28"/>
        </w:rPr>
        <w:t>Thus, on the evidence before us, no case has been made out for a finding that the second appellant was vicariously liable for the delicts of the first appellant.</w:t>
      </w:r>
    </w:p>
    <w:p w14:paraId="66B3345A" w14:textId="0C4303EF" w:rsidR="0010252F" w:rsidRPr="00D566A3" w:rsidRDefault="0010252F" w:rsidP="0010252F">
      <w:pPr>
        <w:pStyle w:val="ListParagraph"/>
        <w:ind w:left="0"/>
        <w:rPr>
          <w:b/>
          <w:sz w:val="28"/>
          <w:szCs w:val="28"/>
        </w:rPr>
      </w:pPr>
    </w:p>
    <w:p w14:paraId="48BEBF56" w14:textId="61286A26" w:rsidR="00023086" w:rsidRPr="00D566A3" w:rsidRDefault="0010252F" w:rsidP="0010252F">
      <w:pPr>
        <w:numPr>
          <w:ilvl w:val="0"/>
          <w:numId w:val="1"/>
        </w:numPr>
        <w:tabs>
          <w:tab w:val="left" w:pos="0"/>
        </w:tabs>
        <w:ind w:left="0"/>
        <w:rPr>
          <w:color w:val="000000"/>
        </w:rPr>
      </w:pPr>
      <w:r w:rsidRPr="00D566A3">
        <w:rPr>
          <w:sz w:val="28"/>
          <w:szCs w:val="28"/>
        </w:rPr>
        <w:t>This takes me to the alternative argument that we should develop the common law by reconsidering the principle of non-delegable duty</w:t>
      </w:r>
      <w:r w:rsidR="00023086" w:rsidRPr="00D566A3">
        <w:rPr>
          <w:sz w:val="28"/>
          <w:szCs w:val="28"/>
        </w:rPr>
        <w:t xml:space="preserve"> of care in circumstances where the victim was especially vulnerable, </w:t>
      </w:r>
      <w:r w:rsidR="00D06B47" w:rsidRPr="00D566A3">
        <w:rPr>
          <w:sz w:val="28"/>
          <w:szCs w:val="28"/>
        </w:rPr>
        <w:t>particularly</w:t>
      </w:r>
      <w:r w:rsidR="00023086" w:rsidRPr="00D566A3">
        <w:rPr>
          <w:sz w:val="28"/>
          <w:szCs w:val="28"/>
        </w:rPr>
        <w:t xml:space="preserve"> in places like hospitals and schools. In this regard, a higher standard </w:t>
      </w:r>
      <w:r w:rsidR="00D06B47" w:rsidRPr="00D566A3">
        <w:rPr>
          <w:sz w:val="28"/>
          <w:szCs w:val="28"/>
        </w:rPr>
        <w:t xml:space="preserve">of care </w:t>
      </w:r>
      <w:r w:rsidR="00023086" w:rsidRPr="00D566A3">
        <w:rPr>
          <w:sz w:val="28"/>
          <w:szCs w:val="28"/>
        </w:rPr>
        <w:t>in the sense described by Nugent JA in the minority judgment of</w:t>
      </w:r>
      <w:bookmarkStart w:id="3" w:name="_Hlk121750835"/>
      <w:r w:rsidR="00023086" w:rsidRPr="00D566A3">
        <w:rPr>
          <w:i/>
          <w:sz w:val="28"/>
          <w:szCs w:val="28"/>
        </w:rPr>
        <w:t xml:space="preserve"> </w:t>
      </w:r>
      <w:bookmarkEnd w:id="3"/>
      <w:r w:rsidR="00FC0671" w:rsidRPr="00D566A3">
        <w:rPr>
          <w:i/>
          <w:sz w:val="28"/>
          <w:szCs w:val="28"/>
        </w:rPr>
        <w:t>Chartaprops</w:t>
      </w:r>
      <w:r w:rsidR="001B2950" w:rsidRPr="008B4376">
        <w:rPr>
          <w:rStyle w:val="FootnoteReference"/>
          <w:iCs/>
          <w:sz w:val="28"/>
          <w:szCs w:val="28"/>
        </w:rPr>
        <w:footnoteReference w:id="8"/>
      </w:r>
      <w:r w:rsidR="00FC0671" w:rsidRPr="00D566A3">
        <w:rPr>
          <w:iCs/>
          <w:sz w:val="28"/>
          <w:szCs w:val="28"/>
        </w:rPr>
        <w:t xml:space="preserve"> </w:t>
      </w:r>
      <w:r w:rsidR="00023086" w:rsidRPr="00D566A3">
        <w:rPr>
          <w:iCs/>
          <w:sz w:val="28"/>
          <w:szCs w:val="28"/>
        </w:rPr>
        <w:t xml:space="preserve">and </w:t>
      </w:r>
      <w:r w:rsidR="00023086" w:rsidRPr="00D566A3">
        <w:rPr>
          <w:sz w:val="28"/>
          <w:szCs w:val="28"/>
        </w:rPr>
        <w:t xml:space="preserve">English authority to this effect is </w:t>
      </w:r>
      <w:r w:rsidR="00D648C4" w:rsidRPr="00D566A3">
        <w:rPr>
          <w:sz w:val="28"/>
          <w:szCs w:val="28"/>
        </w:rPr>
        <w:t>argu</w:t>
      </w:r>
      <w:r w:rsidR="00023086" w:rsidRPr="00D566A3">
        <w:rPr>
          <w:iCs/>
          <w:sz w:val="28"/>
          <w:szCs w:val="28"/>
        </w:rPr>
        <w:t>ed</w:t>
      </w:r>
      <w:r w:rsidR="00D648C4" w:rsidRPr="00D566A3">
        <w:rPr>
          <w:iCs/>
          <w:sz w:val="28"/>
          <w:szCs w:val="28"/>
        </w:rPr>
        <w:t xml:space="preserve"> for</w:t>
      </w:r>
      <w:r w:rsidR="00023086" w:rsidRPr="00D566A3">
        <w:rPr>
          <w:sz w:val="28"/>
          <w:szCs w:val="28"/>
        </w:rPr>
        <w:t>.</w:t>
      </w:r>
      <w:r w:rsidR="0056136C" w:rsidRPr="00D566A3">
        <w:rPr>
          <w:rStyle w:val="FootnoteReference"/>
          <w:sz w:val="28"/>
          <w:szCs w:val="28"/>
        </w:rPr>
        <w:footnoteReference w:id="9"/>
      </w:r>
      <w:r w:rsidR="0056136C" w:rsidRPr="00D566A3">
        <w:rPr>
          <w:sz w:val="28"/>
          <w:szCs w:val="28"/>
        </w:rPr>
        <w:t xml:space="preserve"> </w:t>
      </w:r>
    </w:p>
    <w:p w14:paraId="2C955F55" w14:textId="77777777" w:rsidR="00023086" w:rsidRPr="00D566A3" w:rsidRDefault="00023086" w:rsidP="00023086">
      <w:pPr>
        <w:tabs>
          <w:tab w:val="left" w:pos="0"/>
        </w:tabs>
        <w:rPr>
          <w:color w:val="000000"/>
        </w:rPr>
      </w:pPr>
    </w:p>
    <w:p w14:paraId="03EC58A9" w14:textId="2B490D00" w:rsidR="0010252F" w:rsidRPr="00D566A3" w:rsidRDefault="004748DD" w:rsidP="0010252F">
      <w:pPr>
        <w:numPr>
          <w:ilvl w:val="0"/>
          <w:numId w:val="1"/>
        </w:numPr>
        <w:tabs>
          <w:tab w:val="left" w:pos="0"/>
        </w:tabs>
        <w:ind w:left="0"/>
        <w:rPr>
          <w:color w:val="000000"/>
        </w:rPr>
      </w:pPr>
      <w:r w:rsidRPr="00D566A3">
        <w:rPr>
          <w:sz w:val="28"/>
          <w:szCs w:val="28"/>
        </w:rPr>
        <w:t>Acceptance of t</w:t>
      </w:r>
      <w:r w:rsidR="0010252F" w:rsidRPr="00D566A3">
        <w:rPr>
          <w:sz w:val="28"/>
          <w:szCs w:val="28"/>
        </w:rPr>
        <w:t>his</w:t>
      </w:r>
      <w:r w:rsidR="00D06B47" w:rsidRPr="00D566A3">
        <w:rPr>
          <w:sz w:val="28"/>
          <w:szCs w:val="28"/>
        </w:rPr>
        <w:t xml:space="preserve"> proposition</w:t>
      </w:r>
      <w:r w:rsidR="0010252F" w:rsidRPr="00D566A3">
        <w:rPr>
          <w:sz w:val="28"/>
          <w:szCs w:val="28"/>
        </w:rPr>
        <w:t xml:space="preserve"> would entail overturning the majority</w:t>
      </w:r>
      <w:r w:rsidR="00023086" w:rsidRPr="00D566A3">
        <w:rPr>
          <w:sz w:val="28"/>
          <w:szCs w:val="28"/>
        </w:rPr>
        <w:t xml:space="preserve"> view in </w:t>
      </w:r>
      <w:r w:rsidR="00023086" w:rsidRPr="00D566A3">
        <w:rPr>
          <w:i/>
          <w:sz w:val="28"/>
          <w:szCs w:val="28"/>
        </w:rPr>
        <w:t>Chartaprops</w:t>
      </w:r>
      <w:r w:rsidR="0010252F" w:rsidRPr="00D566A3">
        <w:rPr>
          <w:iCs/>
          <w:sz w:val="28"/>
          <w:szCs w:val="28"/>
        </w:rPr>
        <w:t>.</w:t>
      </w:r>
      <w:r w:rsidR="0010252F" w:rsidRPr="00D566A3">
        <w:rPr>
          <w:sz w:val="28"/>
          <w:szCs w:val="28"/>
        </w:rPr>
        <w:t xml:space="preserve"> Writing for the majority</w:t>
      </w:r>
      <w:r w:rsidR="00226B37" w:rsidRPr="00D566A3">
        <w:rPr>
          <w:sz w:val="28"/>
          <w:szCs w:val="28"/>
        </w:rPr>
        <w:t>,</w:t>
      </w:r>
      <w:r w:rsidR="0010252F" w:rsidRPr="00D566A3">
        <w:rPr>
          <w:sz w:val="28"/>
          <w:szCs w:val="28"/>
        </w:rPr>
        <w:t xml:space="preserve"> Ponnan JA criticised the application of the non-delegable duty of care as</w:t>
      </w:r>
      <w:r w:rsidR="0056136C" w:rsidRPr="00D566A3">
        <w:rPr>
          <w:sz w:val="28"/>
          <w:szCs w:val="28"/>
        </w:rPr>
        <w:t xml:space="preserve"> being inconsonant with </w:t>
      </w:r>
      <w:r w:rsidR="0010252F" w:rsidRPr="00D566A3">
        <w:rPr>
          <w:sz w:val="28"/>
          <w:szCs w:val="28"/>
        </w:rPr>
        <w:t>the principles of negligence</w:t>
      </w:r>
      <w:r w:rsidR="00597EE7" w:rsidRPr="00D566A3">
        <w:rPr>
          <w:sz w:val="28"/>
          <w:szCs w:val="28"/>
        </w:rPr>
        <w:t xml:space="preserve"> </w:t>
      </w:r>
      <w:r w:rsidR="0010252F" w:rsidRPr="00D566A3">
        <w:rPr>
          <w:sz w:val="28"/>
          <w:szCs w:val="28"/>
        </w:rPr>
        <w:t xml:space="preserve">existing in our law. </w:t>
      </w:r>
      <w:r w:rsidR="0056136C" w:rsidRPr="00D566A3">
        <w:rPr>
          <w:sz w:val="28"/>
          <w:szCs w:val="28"/>
        </w:rPr>
        <w:t>H</w:t>
      </w:r>
      <w:r w:rsidR="00597EE7" w:rsidRPr="00D566A3">
        <w:rPr>
          <w:sz w:val="28"/>
          <w:szCs w:val="28"/>
        </w:rPr>
        <w:t>e said</w:t>
      </w:r>
      <w:r w:rsidR="0056136C" w:rsidRPr="00D566A3">
        <w:rPr>
          <w:sz w:val="28"/>
          <w:szCs w:val="28"/>
        </w:rPr>
        <w:t>, inter alia, the following</w:t>
      </w:r>
      <w:r w:rsidR="00597EE7" w:rsidRPr="00D566A3">
        <w:rPr>
          <w:sz w:val="28"/>
          <w:szCs w:val="28"/>
        </w:rPr>
        <w:t xml:space="preserve"> when a</w:t>
      </w:r>
      <w:r w:rsidR="0010252F" w:rsidRPr="00D566A3">
        <w:rPr>
          <w:sz w:val="28"/>
          <w:szCs w:val="28"/>
        </w:rPr>
        <w:t xml:space="preserve">pplying the facts of that case to the law: </w:t>
      </w:r>
    </w:p>
    <w:p w14:paraId="1D11F774" w14:textId="4A2D0124" w:rsidR="0010252F" w:rsidRPr="00D566A3" w:rsidRDefault="0010252F" w:rsidP="0010252F">
      <w:pPr>
        <w:tabs>
          <w:tab w:val="left" w:pos="0"/>
        </w:tabs>
        <w:rPr>
          <w:sz w:val="28"/>
          <w:szCs w:val="28"/>
        </w:rPr>
      </w:pPr>
      <w:r w:rsidRPr="00D566A3">
        <w:t xml:space="preserve">‘. . . </w:t>
      </w:r>
      <w:r w:rsidR="00FB7AF1" w:rsidRPr="00D566A3">
        <w:t>[</w:t>
      </w:r>
      <w:r w:rsidRPr="00D566A3">
        <w:t>I</w:t>
      </w:r>
      <w:r w:rsidR="00FB7AF1" w:rsidRPr="00D566A3">
        <w:t>]</w:t>
      </w:r>
      <w:r w:rsidRPr="00D566A3">
        <w:t>t is difficult to see why the general policy of the law that the economic cost of the wrong should be borne by the legal entity immediately responsible for it, should not be enforced in this case. Furthermore, to shift the economic cost of negligent acts and omissions from Advanced Cleaning, the independent contractor with primary responsibility, to Chartaprops, because of the legal fiction of non-delegability, appears to me to be undesirable.’</w:t>
      </w:r>
      <w:r w:rsidR="00FB7AF1" w:rsidRPr="00D566A3">
        <w:rPr>
          <w:rStyle w:val="FootnoteReference"/>
        </w:rPr>
        <w:footnoteReference w:id="10"/>
      </w:r>
    </w:p>
    <w:p w14:paraId="3B91A43C" w14:textId="77777777" w:rsidR="0056156A" w:rsidRPr="00D566A3" w:rsidRDefault="0056156A" w:rsidP="0010252F">
      <w:pPr>
        <w:tabs>
          <w:tab w:val="left" w:pos="0"/>
        </w:tabs>
        <w:rPr>
          <w:sz w:val="28"/>
          <w:szCs w:val="28"/>
        </w:rPr>
      </w:pPr>
    </w:p>
    <w:p w14:paraId="267ECCBC" w14:textId="609B3333" w:rsidR="0010252F" w:rsidRPr="00D566A3" w:rsidRDefault="0010252F" w:rsidP="005C4FB4">
      <w:pPr>
        <w:numPr>
          <w:ilvl w:val="0"/>
          <w:numId w:val="1"/>
        </w:numPr>
        <w:tabs>
          <w:tab w:val="left" w:pos="0"/>
        </w:tabs>
        <w:ind w:left="0"/>
        <w:rPr>
          <w:color w:val="000000"/>
        </w:rPr>
      </w:pPr>
      <w:r w:rsidRPr="00D566A3">
        <w:rPr>
          <w:sz w:val="28"/>
          <w:szCs w:val="28"/>
        </w:rPr>
        <w:t xml:space="preserve">It </w:t>
      </w:r>
      <w:r w:rsidR="0056136C" w:rsidRPr="00D566A3">
        <w:rPr>
          <w:sz w:val="28"/>
          <w:szCs w:val="28"/>
        </w:rPr>
        <w:t xml:space="preserve">is </w:t>
      </w:r>
      <w:r w:rsidR="00D06B47" w:rsidRPr="00D566A3">
        <w:rPr>
          <w:sz w:val="28"/>
          <w:szCs w:val="28"/>
        </w:rPr>
        <w:t xml:space="preserve">established </w:t>
      </w:r>
      <w:r w:rsidRPr="00D566A3">
        <w:rPr>
          <w:sz w:val="28"/>
          <w:szCs w:val="28"/>
        </w:rPr>
        <w:t>that when</w:t>
      </w:r>
      <w:r w:rsidR="0056136C" w:rsidRPr="00D566A3">
        <w:rPr>
          <w:sz w:val="28"/>
          <w:szCs w:val="28"/>
        </w:rPr>
        <w:t xml:space="preserve"> </w:t>
      </w:r>
      <w:r w:rsidR="00D06B47" w:rsidRPr="00D566A3">
        <w:rPr>
          <w:sz w:val="28"/>
          <w:szCs w:val="28"/>
        </w:rPr>
        <w:t xml:space="preserve">circumstances are compelling </w:t>
      </w:r>
      <w:r w:rsidRPr="00D566A3">
        <w:rPr>
          <w:sz w:val="28"/>
          <w:szCs w:val="28"/>
        </w:rPr>
        <w:t xml:space="preserve">courts </w:t>
      </w:r>
      <w:r w:rsidR="0056136C" w:rsidRPr="00D566A3">
        <w:rPr>
          <w:sz w:val="28"/>
          <w:szCs w:val="28"/>
        </w:rPr>
        <w:t xml:space="preserve">must </w:t>
      </w:r>
      <w:r w:rsidRPr="00D566A3">
        <w:rPr>
          <w:sz w:val="28"/>
          <w:szCs w:val="28"/>
        </w:rPr>
        <w:t>develop</w:t>
      </w:r>
      <w:r w:rsidR="00DC22E9" w:rsidRPr="00D566A3">
        <w:rPr>
          <w:sz w:val="28"/>
          <w:szCs w:val="28"/>
        </w:rPr>
        <w:t xml:space="preserve"> the</w:t>
      </w:r>
      <w:r w:rsidRPr="00D566A3">
        <w:rPr>
          <w:sz w:val="28"/>
          <w:szCs w:val="28"/>
        </w:rPr>
        <w:t xml:space="preserve"> common law. In doing so, </w:t>
      </w:r>
      <w:r w:rsidR="00D06B47" w:rsidRPr="00D566A3">
        <w:rPr>
          <w:sz w:val="28"/>
          <w:szCs w:val="28"/>
        </w:rPr>
        <w:t xml:space="preserve">courts </w:t>
      </w:r>
      <w:r w:rsidRPr="00D566A3">
        <w:rPr>
          <w:sz w:val="28"/>
          <w:szCs w:val="28"/>
        </w:rPr>
        <w:t>are obliged to ‘promote the spirit, purport and objects of the Bill of Rights’</w:t>
      </w:r>
      <w:r w:rsidR="002756E5" w:rsidRPr="00D566A3">
        <w:rPr>
          <w:sz w:val="28"/>
          <w:szCs w:val="28"/>
        </w:rPr>
        <w:t>.</w:t>
      </w:r>
      <w:r w:rsidRPr="00D566A3">
        <w:rPr>
          <w:rStyle w:val="FootnoteReference"/>
          <w:sz w:val="28"/>
          <w:szCs w:val="28"/>
        </w:rPr>
        <w:footnoteReference w:id="11"/>
      </w:r>
      <w:r w:rsidRPr="00D566A3">
        <w:rPr>
          <w:sz w:val="28"/>
          <w:szCs w:val="28"/>
        </w:rPr>
        <w:t xml:space="preserve"> </w:t>
      </w:r>
      <w:r w:rsidR="0056136C" w:rsidRPr="00D566A3">
        <w:rPr>
          <w:sz w:val="28"/>
          <w:szCs w:val="28"/>
        </w:rPr>
        <w:t xml:space="preserve">As stated </w:t>
      </w:r>
      <w:r w:rsidRPr="00D566A3">
        <w:rPr>
          <w:sz w:val="28"/>
          <w:szCs w:val="28"/>
        </w:rPr>
        <w:t xml:space="preserve">in </w:t>
      </w:r>
      <w:r w:rsidRPr="00D566A3">
        <w:rPr>
          <w:i/>
          <w:sz w:val="28"/>
          <w:szCs w:val="28"/>
        </w:rPr>
        <w:t>Dendy v University of the Witwatersrand and Others</w:t>
      </w:r>
      <w:r w:rsidR="002756E5" w:rsidRPr="00D566A3">
        <w:rPr>
          <w:sz w:val="28"/>
          <w:szCs w:val="28"/>
        </w:rPr>
        <w:t>:</w:t>
      </w:r>
      <w:r w:rsidRPr="00D566A3">
        <w:rPr>
          <w:rStyle w:val="FootnoteReference"/>
          <w:sz w:val="28"/>
          <w:szCs w:val="28"/>
        </w:rPr>
        <w:footnoteReference w:id="12"/>
      </w:r>
    </w:p>
    <w:p w14:paraId="6981074F" w14:textId="741E44BA" w:rsidR="0010252F" w:rsidRPr="00D566A3" w:rsidRDefault="0010252F" w:rsidP="0010252F">
      <w:pPr>
        <w:tabs>
          <w:tab w:val="left" w:pos="0"/>
        </w:tabs>
        <w:rPr>
          <w:color w:val="000000"/>
        </w:rPr>
      </w:pPr>
      <w:r w:rsidRPr="00D566A3">
        <w:rPr>
          <w:color w:val="000000"/>
        </w:rPr>
        <w:t>‘</w:t>
      </w:r>
      <w:r w:rsidR="00022CF5" w:rsidRPr="00D566A3">
        <w:rPr>
          <w:color w:val="000000"/>
        </w:rPr>
        <w:t xml:space="preserve">. . . </w:t>
      </w:r>
      <w:r w:rsidRPr="00D566A3">
        <w:rPr>
          <w:color w:val="000000"/>
        </w:rPr>
        <w:t>This ensures that the common law will evolve, within the framework of the Constitution, consistently with the basic norms of the legal order that it establishes (</w:t>
      </w:r>
      <w:r w:rsidRPr="00D566A3">
        <w:rPr>
          <w:i/>
          <w:iCs/>
          <w:color w:val="000000"/>
        </w:rPr>
        <w:t>Pharmaceutical Manufacturers Association of SA: In re Ex parte President of the Republic of South Africa</w:t>
      </w:r>
      <w:r w:rsidR="00EA2D22" w:rsidRPr="00D566A3">
        <w:rPr>
          <w:i/>
          <w:iCs/>
          <w:color w:val="000000"/>
        </w:rPr>
        <w:t xml:space="preserve"> </w:t>
      </w:r>
      <w:r w:rsidR="007F52BB" w:rsidRPr="00D566A3">
        <w:rPr>
          <w:color w:val="000000"/>
        </w:rPr>
        <w:t xml:space="preserve">2000 </w:t>
      </w:r>
      <w:r w:rsidRPr="00D566A3">
        <w:rPr>
          <w:color w:val="000000"/>
        </w:rPr>
        <w:t>(2)</w:t>
      </w:r>
      <w:r w:rsidR="007F52BB" w:rsidRPr="00D566A3">
        <w:rPr>
          <w:color w:val="000000"/>
        </w:rPr>
        <w:t xml:space="preserve"> </w:t>
      </w:r>
      <w:r w:rsidRPr="00D566A3">
        <w:rPr>
          <w:color w:val="000000"/>
        </w:rPr>
        <w:t>SA</w:t>
      </w:r>
      <w:r w:rsidR="007F52BB" w:rsidRPr="00D566A3">
        <w:rPr>
          <w:color w:val="000000"/>
        </w:rPr>
        <w:t xml:space="preserve"> </w:t>
      </w:r>
      <w:r w:rsidRPr="00D566A3">
        <w:rPr>
          <w:color w:val="000000"/>
        </w:rPr>
        <w:t>674</w:t>
      </w:r>
      <w:r w:rsidR="007F52BB" w:rsidRPr="00D566A3">
        <w:rPr>
          <w:color w:val="000000"/>
        </w:rPr>
        <w:t xml:space="preserve"> </w:t>
      </w:r>
      <w:r w:rsidRPr="00D566A3">
        <w:rPr>
          <w:color w:val="000000"/>
        </w:rPr>
        <w:t>(CC) at para 49). The Constitutional Court has already cautioned against overzealous judicial reform. Thus, if the common law is to be developed, it must occur not only in a way that meets the section 39(2) objectives, but also in a way most appropriate for the development of the common law within its own paradigm (</w:t>
      </w:r>
      <w:r w:rsidRPr="00D566A3">
        <w:rPr>
          <w:i/>
          <w:iCs/>
          <w:color w:val="000000"/>
        </w:rPr>
        <w:t>Carmichele v Minister of Safety and Security</w:t>
      </w:r>
      <w:r w:rsidR="007F52BB" w:rsidRPr="00D566A3">
        <w:rPr>
          <w:i/>
          <w:iCs/>
          <w:color w:val="000000"/>
        </w:rPr>
        <w:t xml:space="preserve"> </w:t>
      </w:r>
      <w:r w:rsidR="007F52BB" w:rsidRPr="00D566A3">
        <w:rPr>
          <w:color w:val="000000"/>
        </w:rPr>
        <w:t>2001</w:t>
      </w:r>
      <w:r w:rsidRPr="00D566A3">
        <w:rPr>
          <w:color w:val="000000"/>
        </w:rPr>
        <w:t> (4) SA 938 (CC) at para 55). (See also </w:t>
      </w:r>
      <w:r w:rsidRPr="00D566A3">
        <w:rPr>
          <w:i/>
          <w:iCs/>
          <w:color w:val="000000"/>
        </w:rPr>
        <w:t>City of Tshwane Metropolitan Municipality v RPM Bricks (Pty) Ltd </w:t>
      </w:r>
      <w:r w:rsidRPr="00D566A3">
        <w:rPr>
          <w:color w:val="000000"/>
        </w:rPr>
        <w:t>[2007] SCA 28 (RSA) para 20.)</w:t>
      </w:r>
    </w:p>
    <w:p w14:paraId="160258B0" w14:textId="0295F1AE" w:rsidR="0010252F" w:rsidRPr="00D566A3" w:rsidRDefault="0010252F" w:rsidP="0010252F">
      <w:pPr>
        <w:pStyle w:val="para-10"/>
        <w:shd w:val="clear" w:color="auto" w:fill="FFFFFF"/>
        <w:spacing w:before="0" w:beforeAutospacing="0" w:after="0" w:afterAutospacing="0" w:line="360" w:lineRule="auto"/>
        <w:jc w:val="both"/>
        <w:rPr>
          <w:color w:val="000000"/>
        </w:rPr>
      </w:pPr>
      <w:r w:rsidRPr="00D566A3">
        <w:rPr>
          <w:color w:val="000000"/>
        </w:rPr>
        <w:lastRenderedPageBreak/>
        <w:t xml:space="preserve">A court, faced with such a task, is obliged to undertake a two-stage enquiry. </w:t>
      </w:r>
      <w:r w:rsidRPr="00D566A3">
        <w:rPr>
          <w:i/>
          <w:color w:val="000000"/>
        </w:rPr>
        <w:t xml:space="preserve">First, it should ask itself whether, given the objectives of s 39(2), the existing common law should be developed beyond existing precedent. </w:t>
      </w:r>
      <w:r w:rsidRPr="00D566A3">
        <w:rPr>
          <w:color w:val="000000"/>
        </w:rPr>
        <w:t>If the answer to that question is a negative one, that should be the end of the enquiry. If not, the next enquiry should be how the development should occur and which court should embark on that exercise. (See </w:t>
      </w:r>
      <w:r w:rsidRPr="00D566A3">
        <w:rPr>
          <w:i/>
          <w:iCs/>
          <w:color w:val="000000"/>
        </w:rPr>
        <w:t>S v Thebus </w:t>
      </w:r>
      <w:r w:rsidRPr="00D566A3">
        <w:rPr>
          <w:color w:val="000000"/>
        </w:rPr>
        <w:t>at para 26.)’</w:t>
      </w:r>
      <w:r w:rsidR="007F52BB" w:rsidRPr="00D566A3">
        <w:rPr>
          <w:color w:val="000000"/>
        </w:rPr>
        <w:t xml:space="preserve"> (My emphasis.)</w:t>
      </w:r>
    </w:p>
    <w:p w14:paraId="4D65552F" w14:textId="77777777" w:rsidR="00C94565" w:rsidRPr="00D566A3" w:rsidRDefault="00C94565" w:rsidP="0010252F">
      <w:pPr>
        <w:pStyle w:val="para-10"/>
        <w:shd w:val="clear" w:color="auto" w:fill="FFFFFF"/>
        <w:spacing w:before="0" w:beforeAutospacing="0" w:after="0" w:afterAutospacing="0" w:line="360" w:lineRule="auto"/>
        <w:jc w:val="both"/>
        <w:rPr>
          <w:color w:val="000000"/>
        </w:rPr>
      </w:pPr>
    </w:p>
    <w:p w14:paraId="727F15B1" w14:textId="3F3B5C0B" w:rsidR="0010252F" w:rsidRPr="00D566A3" w:rsidRDefault="001B38FB" w:rsidP="0010252F">
      <w:pPr>
        <w:numPr>
          <w:ilvl w:val="0"/>
          <w:numId w:val="1"/>
        </w:numPr>
        <w:tabs>
          <w:tab w:val="left" w:pos="0"/>
        </w:tabs>
        <w:ind w:left="0"/>
        <w:rPr>
          <w:sz w:val="28"/>
          <w:szCs w:val="28"/>
        </w:rPr>
      </w:pPr>
      <w:r w:rsidRPr="00D566A3">
        <w:rPr>
          <w:sz w:val="28"/>
          <w:szCs w:val="28"/>
        </w:rPr>
        <w:t>I</w:t>
      </w:r>
      <w:r w:rsidR="0010252F" w:rsidRPr="00D566A3">
        <w:rPr>
          <w:sz w:val="28"/>
          <w:szCs w:val="28"/>
        </w:rPr>
        <w:t xml:space="preserve">n </w:t>
      </w:r>
      <w:r w:rsidR="0010252F" w:rsidRPr="00D566A3">
        <w:rPr>
          <w:bCs/>
          <w:i/>
          <w:color w:val="000000"/>
          <w:sz w:val="28"/>
          <w:szCs w:val="28"/>
          <w:shd w:val="clear" w:color="auto" w:fill="FFFFFF"/>
        </w:rPr>
        <w:t>Mighty Solutions CC t/a Orlando Service Station v Engen Petroleum</w:t>
      </w:r>
      <w:r w:rsidR="0010252F" w:rsidRPr="00D566A3">
        <w:rPr>
          <w:b/>
          <w:bCs/>
          <w:i/>
          <w:color w:val="000000"/>
          <w:sz w:val="28"/>
          <w:szCs w:val="28"/>
          <w:shd w:val="clear" w:color="auto" w:fill="FFFFFF"/>
        </w:rPr>
        <w:t xml:space="preserve"> </w:t>
      </w:r>
      <w:r w:rsidR="0010252F" w:rsidRPr="00D566A3">
        <w:rPr>
          <w:bCs/>
          <w:i/>
          <w:color w:val="000000"/>
          <w:sz w:val="28"/>
          <w:szCs w:val="28"/>
          <w:shd w:val="clear" w:color="auto" w:fill="FFFFFF"/>
        </w:rPr>
        <w:t>Ltd</w:t>
      </w:r>
      <w:r w:rsidR="0010252F" w:rsidRPr="00D566A3">
        <w:rPr>
          <w:bCs/>
          <w:color w:val="000000"/>
          <w:sz w:val="28"/>
          <w:szCs w:val="28"/>
          <w:shd w:val="clear" w:color="auto" w:fill="FFFFFF"/>
        </w:rPr>
        <w:t xml:space="preserve"> </w:t>
      </w:r>
      <w:r w:rsidR="0010252F" w:rsidRPr="00D566A3">
        <w:rPr>
          <w:bCs/>
          <w:i/>
          <w:color w:val="000000"/>
          <w:sz w:val="28"/>
          <w:szCs w:val="28"/>
          <w:shd w:val="clear" w:color="auto" w:fill="FFFFFF"/>
        </w:rPr>
        <w:t>and Another</w:t>
      </w:r>
      <w:r w:rsidR="00164524" w:rsidRPr="00D566A3">
        <w:rPr>
          <w:bCs/>
          <w:color w:val="000000"/>
          <w:sz w:val="28"/>
          <w:szCs w:val="28"/>
          <w:shd w:val="clear" w:color="auto" w:fill="FFFFFF"/>
        </w:rPr>
        <w:t>,</w:t>
      </w:r>
      <w:r w:rsidR="00164524" w:rsidRPr="00D566A3">
        <w:rPr>
          <w:rStyle w:val="FootnoteReference"/>
          <w:bCs/>
          <w:color w:val="000000"/>
          <w:sz w:val="28"/>
          <w:szCs w:val="28"/>
          <w:shd w:val="clear" w:color="auto" w:fill="FFFFFF"/>
        </w:rPr>
        <w:footnoteReference w:id="13"/>
      </w:r>
      <w:r w:rsidR="0010252F" w:rsidRPr="00D566A3">
        <w:rPr>
          <w:bCs/>
          <w:i/>
          <w:color w:val="000000"/>
          <w:sz w:val="28"/>
          <w:szCs w:val="28"/>
          <w:shd w:val="clear" w:color="auto" w:fill="FFFFFF"/>
        </w:rPr>
        <w:t xml:space="preserve"> </w:t>
      </w:r>
      <w:r w:rsidR="0010252F" w:rsidRPr="00D566A3">
        <w:rPr>
          <w:bCs/>
          <w:color w:val="000000"/>
          <w:sz w:val="28"/>
          <w:szCs w:val="28"/>
          <w:shd w:val="clear" w:color="auto" w:fill="FFFFFF"/>
        </w:rPr>
        <w:t xml:space="preserve">the Constitutional Court </w:t>
      </w:r>
      <w:r w:rsidRPr="00D566A3">
        <w:rPr>
          <w:bCs/>
          <w:color w:val="000000"/>
          <w:sz w:val="28"/>
          <w:szCs w:val="28"/>
          <w:shd w:val="clear" w:color="auto" w:fill="FFFFFF"/>
        </w:rPr>
        <w:t xml:space="preserve">laid out what </w:t>
      </w:r>
      <w:r w:rsidR="00D06B47" w:rsidRPr="00D566A3">
        <w:rPr>
          <w:bCs/>
          <w:color w:val="000000"/>
          <w:sz w:val="28"/>
          <w:szCs w:val="28"/>
          <w:shd w:val="clear" w:color="auto" w:fill="FFFFFF"/>
        </w:rPr>
        <w:t xml:space="preserve">factors a </w:t>
      </w:r>
      <w:r w:rsidRPr="00D566A3">
        <w:rPr>
          <w:bCs/>
          <w:color w:val="000000"/>
          <w:sz w:val="28"/>
          <w:szCs w:val="28"/>
          <w:shd w:val="clear" w:color="auto" w:fill="FFFFFF"/>
        </w:rPr>
        <w:t xml:space="preserve">court should consider before developing </w:t>
      </w:r>
      <w:r w:rsidR="00164524" w:rsidRPr="00D566A3">
        <w:rPr>
          <w:bCs/>
          <w:color w:val="000000"/>
          <w:sz w:val="28"/>
          <w:szCs w:val="28"/>
          <w:shd w:val="clear" w:color="auto" w:fill="FFFFFF"/>
        </w:rPr>
        <w:t xml:space="preserve">the </w:t>
      </w:r>
      <w:r w:rsidRPr="00D566A3">
        <w:rPr>
          <w:bCs/>
          <w:color w:val="000000"/>
          <w:sz w:val="28"/>
          <w:szCs w:val="28"/>
          <w:shd w:val="clear" w:color="auto" w:fill="FFFFFF"/>
        </w:rPr>
        <w:t>common law</w:t>
      </w:r>
      <w:r w:rsidR="0010252F" w:rsidRPr="00D566A3">
        <w:rPr>
          <w:bCs/>
          <w:color w:val="000000"/>
          <w:sz w:val="28"/>
          <w:szCs w:val="28"/>
          <w:shd w:val="clear" w:color="auto" w:fill="FFFFFF"/>
        </w:rPr>
        <w:t>:</w:t>
      </w:r>
    </w:p>
    <w:p w14:paraId="10701453" w14:textId="0307E72C" w:rsidR="0010252F" w:rsidRPr="00D566A3" w:rsidRDefault="0010252F" w:rsidP="0010252F">
      <w:pPr>
        <w:pStyle w:val="n10pt-1"/>
        <w:shd w:val="clear" w:color="auto" w:fill="FFFFFF"/>
        <w:spacing w:before="0" w:beforeAutospacing="0" w:after="0" w:afterAutospacing="0" w:line="360" w:lineRule="auto"/>
        <w:jc w:val="both"/>
        <w:rPr>
          <w:color w:val="000000"/>
        </w:rPr>
      </w:pPr>
      <w:r w:rsidRPr="00D566A3">
        <w:rPr>
          <w:color w:val="000000"/>
        </w:rPr>
        <w:t>‘Before a court proceeds to develop the common law, it must (a) determine exactly what the common law position is; (b) then consider the underlying reasons for it; and (c) enquire whether the rule offends the spirit, purport and object of the Bill of Rights and thus requires development. Furthermore, it must (d) consider precisely how the common law could be amended; and (e) take into account the wider consequences of the proposed change on that area of law.</w:t>
      </w:r>
    </w:p>
    <w:p w14:paraId="36C872B8" w14:textId="6346FA5F" w:rsidR="0010252F" w:rsidRPr="00D566A3" w:rsidRDefault="0010252F" w:rsidP="0010252F">
      <w:pPr>
        <w:pStyle w:val="n10pt-1"/>
        <w:shd w:val="clear" w:color="auto" w:fill="FFFFFF"/>
        <w:spacing w:before="0" w:beforeAutospacing="0" w:after="0" w:afterAutospacing="0" w:line="360" w:lineRule="auto"/>
        <w:jc w:val="both"/>
        <w:rPr>
          <w:color w:val="000000"/>
        </w:rPr>
      </w:pPr>
      <w:r w:rsidRPr="00D566A3">
        <w:rPr>
          <w:color w:val="000000"/>
        </w:rPr>
        <w:t>In </w:t>
      </w:r>
      <w:r w:rsidRPr="00D566A3">
        <w:rPr>
          <w:i/>
          <w:iCs/>
          <w:color w:val="000000"/>
        </w:rPr>
        <w:t>Carmichele </w:t>
      </w:r>
      <w:r w:rsidRPr="00D566A3">
        <w:rPr>
          <w:color w:val="000000"/>
        </w:rPr>
        <w:t>Ackermann J and Goldstone J stated that “where the common law deviates from the spirit, purport and objects of the Bill of Rights the courts have an obligation to develop it by removing that deviation”. The Court reminded us though that, when exercising their authority to develop the common law, “[j]udges should be mindful of the fact that the major engine for law reform should be the Legislature and not the Judiciary”. The principle of separation of powers should thus be respected.’</w:t>
      </w:r>
      <w:r w:rsidRPr="00D566A3">
        <w:rPr>
          <w:rStyle w:val="FootnoteReference"/>
          <w:bCs/>
          <w:color w:val="000000"/>
          <w:shd w:val="clear" w:color="auto" w:fill="FFFFFF"/>
        </w:rPr>
        <w:footnoteReference w:id="14"/>
      </w:r>
    </w:p>
    <w:p w14:paraId="42E5CA05" w14:textId="77777777" w:rsidR="0010252F" w:rsidRPr="00D566A3" w:rsidRDefault="0010252F" w:rsidP="0010252F">
      <w:pPr>
        <w:tabs>
          <w:tab w:val="left" w:pos="0"/>
        </w:tabs>
        <w:rPr>
          <w:sz w:val="28"/>
          <w:szCs w:val="28"/>
        </w:rPr>
      </w:pPr>
    </w:p>
    <w:p w14:paraId="0F9FA639" w14:textId="0BBC85DE" w:rsidR="00AC1C9B" w:rsidRPr="00D566A3" w:rsidRDefault="001D66A2" w:rsidP="0010252F">
      <w:pPr>
        <w:numPr>
          <w:ilvl w:val="0"/>
          <w:numId w:val="1"/>
        </w:numPr>
        <w:tabs>
          <w:tab w:val="left" w:pos="0"/>
        </w:tabs>
        <w:ind w:left="0"/>
        <w:rPr>
          <w:sz w:val="28"/>
          <w:szCs w:val="28"/>
        </w:rPr>
      </w:pPr>
      <w:r w:rsidRPr="00D566A3">
        <w:rPr>
          <w:sz w:val="28"/>
          <w:szCs w:val="28"/>
        </w:rPr>
        <w:t>Therefore</w:t>
      </w:r>
      <w:r w:rsidR="001B38FB" w:rsidRPr="00D566A3">
        <w:rPr>
          <w:sz w:val="28"/>
          <w:szCs w:val="28"/>
        </w:rPr>
        <w:t xml:space="preserve">, </w:t>
      </w:r>
      <w:r w:rsidR="00DC22E9" w:rsidRPr="00D566A3">
        <w:rPr>
          <w:sz w:val="28"/>
          <w:szCs w:val="28"/>
        </w:rPr>
        <w:t>a duty rests</w:t>
      </w:r>
      <w:r w:rsidR="001B38FB" w:rsidRPr="00D566A3">
        <w:rPr>
          <w:sz w:val="28"/>
          <w:szCs w:val="28"/>
        </w:rPr>
        <w:t xml:space="preserve"> upon a litigant to present these considerations before </w:t>
      </w:r>
      <w:r w:rsidR="00164524" w:rsidRPr="00D566A3">
        <w:rPr>
          <w:sz w:val="28"/>
          <w:szCs w:val="28"/>
        </w:rPr>
        <w:t>this</w:t>
      </w:r>
      <w:r w:rsidR="001B38FB" w:rsidRPr="00D566A3">
        <w:rPr>
          <w:sz w:val="28"/>
          <w:szCs w:val="28"/>
        </w:rPr>
        <w:t xml:space="preserve"> Court. It is not sufficient to</w:t>
      </w:r>
      <w:r w:rsidR="008E140F" w:rsidRPr="00D566A3">
        <w:rPr>
          <w:sz w:val="28"/>
          <w:szCs w:val="28"/>
        </w:rPr>
        <w:t xml:space="preserve"> simply</w:t>
      </w:r>
      <w:r w:rsidR="001B38FB" w:rsidRPr="00D566A3">
        <w:rPr>
          <w:sz w:val="28"/>
          <w:szCs w:val="28"/>
        </w:rPr>
        <w:t xml:space="preserve"> submit that </w:t>
      </w:r>
      <w:r w:rsidR="00164524" w:rsidRPr="00D566A3">
        <w:rPr>
          <w:sz w:val="28"/>
          <w:szCs w:val="28"/>
        </w:rPr>
        <w:t xml:space="preserve">the </w:t>
      </w:r>
      <w:r w:rsidR="001B38FB" w:rsidRPr="00D566A3">
        <w:rPr>
          <w:sz w:val="28"/>
          <w:szCs w:val="28"/>
        </w:rPr>
        <w:t>common law must be developed in a particular way. There must be an assessment of the existing legal position, its underlying reasons and deficiencies</w:t>
      </w:r>
      <w:r w:rsidR="00164524" w:rsidRPr="00D566A3">
        <w:rPr>
          <w:sz w:val="28"/>
          <w:szCs w:val="28"/>
        </w:rPr>
        <w:t>,</w:t>
      </w:r>
      <w:r w:rsidR="001B38FB" w:rsidRPr="00D566A3">
        <w:rPr>
          <w:sz w:val="28"/>
          <w:szCs w:val="28"/>
        </w:rPr>
        <w:t xml:space="preserve"> how it deviates from the constitutional values</w:t>
      </w:r>
      <w:r w:rsidR="00CB57A8" w:rsidRPr="00D566A3">
        <w:rPr>
          <w:sz w:val="28"/>
          <w:szCs w:val="28"/>
        </w:rPr>
        <w:t>,</w:t>
      </w:r>
      <w:r w:rsidR="001B38FB" w:rsidRPr="00D566A3">
        <w:rPr>
          <w:sz w:val="28"/>
          <w:szCs w:val="28"/>
        </w:rPr>
        <w:t xml:space="preserve"> and how that should be rectified. That should be done taking </w:t>
      </w:r>
      <w:r w:rsidR="001B38FB" w:rsidRPr="00D566A3">
        <w:rPr>
          <w:sz w:val="28"/>
          <w:szCs w:val="28"/>
        </w:rPr>
        <w:lastRenderedPageBreak/>
        <w:t xml:space="preserve">into account the wider consequences of bringing change to the area of the law concerned. The first respondent has presented none of this.  </w:t>
      </w:r>
    </w:p>
    <w:p w14:paraId="7E050473" w14:textId="77777777" w:rsidR="00AC1C9B" w:rsidRPr="00D566A3" w:rsidRDefault="00AC1C9B" w:rsidP="00AC1C9B">
      <w:pPr>
        <w:tabs>
          <w:tab w:val="left" w:pos="0"/>
        </w:tabs>
        <w:rPr>
          <w:sz w:val="28"/>
          <w:szCs w:val="28"/>
        </w:rPr>
      </w:pPr>
    </w:p>
    <w:p w14:paraId="2FB82488" w14:textId="180EEC1A" w:rsidR="00AC1C9B" w:rsidRPr="00D566A3" w:rsidRDefault="00AC1C9B" w:rsidP="00AC1C9B">
      <w:pPr>
        <w:pStyle w:val="ListParagraph"/>
        <w:numPr>
          <w:ilvl w:val="0"/>
          <w:numId w:val="1"/>
        </w:numPr>
        <w:tabs>
          <w:tab w:val="left" w:pos="0"/>
        </w:tabs>
        <w:ind w:left="0"/>
        <w:rPr>
          <w:sz w:val="28"/>
          <w:szCs w:val="28"/>
        </w:rPr>
      </w:pPr>
      <w:r w:rsidRPr="00D566A3">
        <w:rPr>
          <w:sz w:val="28"/>
          <w:szCs w:val="28"/>
        </w:rPr>
        <w:t xml:space="preserve">Apart from alleging a case for the vulnerable, the underlying reasons for the current common law rule and the reasons for its existence have not been canvassed. Neither has the first respondent set out in what way the common law principle </w:t>
      </w:r>
      <w:r w:rsidR="00CB57A8" w:rsidRPr="00D566A3">
        <w:rPr>
          <w:sz w:val="28"/>
          <w:szCs w:val="28"/>
        </w:rPr>
        <w:t xml:space="preserve">is </w:t>
      </w:r>
      <w:r w:rsidRPr="00D566A3">
        <w:rPr>
          <w:sz w:val="28"/>
          <w:szCs w:val="28"/>
        </w:rPr>
        <w:t>in conflict with the values of the Constitution and the Bill of Rights or offend</w:t>
      </w:r>
      <w:r w:rsidR="00DC22E9" w:rsidRPr="00D566A3">
        <w:rPr>
          <w:sz w:val="28"/>
          <w:szCs w:val="28"/>
        </w:rPr>
        <w:t>s</w:t>
      </w:r>
      <w:r w:rsidRPr="00D566A3">
        <w:rPr>
          <w:sz w:val="28"/>
          <w:szCs w:val="28"/>
        </w:rPr>
        <w:t xml:space="preserve"> the spirit, purport and objects of the Bill of Rights</w:t>
      </w:r>
      <w:r w:rsidR="00CB57A8" w:rsidRPr="00D566A3">
        <w:rPr>
          <w:sz w:val="28"/>
          <w:szCs w:val="28"/>
        </w:rPr>
        <w:t>,</w:t>
      </w:r>
      <w:r w:rsidRPr="00D566A3">
        <w:rPr>
          <w:sz w:val="28"/>
          <w:szCs w:val="28"/>
        </w:rPr>
        <w:t xml:space="preserve"> requiring it to be developed. </w:t>
      </w:r>
      <w:r w:rsidR="009F58F1" w:rsidRPr="00D566A3">
        <w:rPr>
          <w:sz w:val="28"/>
          <w:szCs w:val="28"/>
        </w:rPr>
        <w:t>Th</w:t>
      </w:r>
      <w:r w:rsidR="00CB57A8" w:rsidRPr="00D566A3">
        <w:rPr>
          <w:sz w:val="28"/>
          <w:szCs w:val="28"/>
        </w:rPr>
        <w:t>is</w:t>
      </w:r>
      <w:r w:rsidR="009F58F1" w:rsidRPr="00D566A3">
        <w:rPr>
          <w:sz w:val="28"/>
          <w:szCs w:val="28"/>
        </w:rPr>
        <w:t xml:space="preserve"> Court cannot develop the law in a vacuum. </w:t>
      </w:r>
      <w:r w:rsidRPr="00D566A3">
        <w:rPr>
          <w:sz w:val="28"/>
          <w:szCs w:val="28"/>
        </w:rPr>
        <w:t xml:space="preserve">   </w:t>
      </w:r>
    </w:p>
    <w:p w14:paraId="16A25D1E" w14:textId="77777777" w:rsidR="00AC1C9B" w:rsidRPr="00D566A3" w:rsidRDefault="00AC1C9B" w:rsidP="00D06B47">
      <w:pPr>
        <w:tabs>
          <w:tab w:val="left" w:pos="0"/>
        </w:tabs>
        <w:rPr>
          <w:sz w:val="28"/>
          <w:szCs w:val="28"/>
        </w:rPr>
      </w:pPr>
    </w:p>
    <w:p w14:paraId="689684DE" w14:textId="1909807A" w:rsidR="00AC1C9B" w:rsidRPr="00D566A3" w:rsidRDefault="009F58F1" w:rsidP="00AC1C9B">
      <w:pPr>
        <w:numPr>
          <w:ilvl w:val="0"/>
          <w:numId w:val="1"/>
        </w:numPr>
        <w:tabs>
          <w:tab w:val="left" w:pos="0"/>
        </w:tabs>
        <w:ind w:left="0"/>
        <w:rPr>
          <w:sz w:val="28"/>
          <w:szCs w:val="28"/>
        </w:rPr>
      </w:pPr>
      <w:r w:rsidRPr="00D566A3">
        <w:rPr>
          <w:sz w:val="28"/>
          <w:szCs w:val="28"/>
        </w:rPr>
        <w:t>In addition, a case</w:t>
      </w:r>
      <w:r w:rsidR="00EF2BD1" w:rsidRPr="00D566A3">
        <w:rPr>
          <w:sz w:val="28"/>
          <w:szCs w:val="28"/>
        </w:rPr>
        <w:t xml:space="preserve"> for the development of </w:t>
      </w:r>
      <w:r w:rsidR="00CB57A8" w:rsidRPr="00D566A3">
        <w:rPr>
          <w:sz w:val="28"/>
          <w:szCs w:val="28"/>
        </w:rPr>
        <w:t xml:space="preserve">the </w:t>
      </w:r>
      <w:r w:rsidR="00EF2BD1" w:rsidRPr="00D566A3">
        <w:rPr>
          <w:sz w:val="28"/>
          <w:szCs w:val="28"/>
        </w:rPr>
        <w:t xml:space="preserve">common law must be brought at the earliest opportunity. </w:t>
      </w:r>
      <w:r w:rsidR="00AC1C9B" w:rsidRPr="00D566A3">
        <w:rPr>
          <w:sz w:val="28"/>
          <w:szCs w:val="28"/>
        </w:rPr>
        <w:t>Ideally,</w:t>
      </w:r>
      <w:r w:rsidR="00EF2BD1" w:rsidRPr="00D566A3">
        <w:rPr>
          <w:sz w:val="28"/>
          <w:szCs w:val="28"/>
        </w:rPr>
        <w:t xml:space="preserve"> this would mean</w:t>
      </w:r>
      <w:r w:rsidR="00CB57A8" w:rsidRPr="00D566A3">
        <w:rPr>
          <w:sz w:val="28"/>
          <w:szCs w:val="28"/>
        </w:rPr>
        <w:t xml:space="preserve"> that</w:t>
      </w:r>
      <w:r w:rsidR="00EF2BD1" w:rsidRPr="00D566A3">
        <w:rPr>
          <w:sz w:val="28"/>
          <w:szCs w:val="28"/>
        </w:rPr>
        <w:t xml:space="preserve"> the first respondent ought to </w:t>
      </w:r>
      <w:r w:rsidR="00817CD6" w:rsidRPr="00D566A3">
        <w:rPr>
          <w:sz w:val="28"/>
          <w:szCs w:val="28"/>
        </w:rPr>
        <w:t xml:space="preserve">have </w:t>
      </w:r>
      <w:r w:rsidR="00EF2BD1" w:rsidRPr="00D566A3">
        <w:rPr>
          <w:sz w:val="28"/>
          <w:szCs w:val="28"/>
        </w:rPr>
        <w:t>raised this issue in the high court</w:t>
      </w:r>
      <w:r w:rsidR="00817CD6" w:rsidRPr="00D566A3">
        <w:rPr>
          <w:sz w:val="28"/>
          <w:szCs w:val="28"/>
        </w:rPr>
        <w:t xml:space="preserve"> ‘in order to ensure that our jurisprudence under the Constitution develops as reliably and harmoniously as possible’</w:t>
      </w:r>
      <w:r w:rsidR="00CB57A8" w:rsidRPr="00D566A3">
        <w:rPr>
          <w:sz w:val="28"/>
          <w:szCs w:val="28"/>
        </w:rPr>
        <w:t>.</w:t>
      </w:r>
      <w:r w:rsidR="00817CD6" w:rsidRPr="00D566A3">
        <w:rPr>
          <w:rStyle w:val="FootnoteReference"/>
          <w:sz w:val="28"/>
          <w:szCs w:val="28"/>
        </w:rPr>
        <w:footnoteReference w:id="15"/>
      </w:r>
      <w:r w:rsidR="00817CD6" w:rsidRPr="00D566A3">
        <w:rPr>
          <w:sz w:val="28"/>
          <w:szCs w:val="28"/>
        </w:rPr>
        <w:t xml:space="preserve"> It would have been beneficial for this Court to have the views of the high court on this matter.</w:t>
      </w:r>
      <w:r w:rsidR="00AC1C9B" w:rsidRPr="00D566A3">
        <w:rPr>
          <w:sz w:val="28"/>
          <w:szCs w:val="28"/>
        </w:rPr>
        <w:t xml:space="preserve"> It is so that </w:t>
      </w:r>
      <w:r w:rsidRPr="00D566A3">
        <w:rPr>
          <w:sz w:val="28"/>
          <w:szCs w:val="28"/>
        </w:rPr>
        <w:t xml:space="preserve">in </w:t>
      </w:r>
      <w:r w:rsidR="00AC1C9B" w:rsidRPr="00D566A3">
        <w:rPr>
          <w:sz w:val="28"/>
          <w:szCs w:val="28"/>
        </w:rPr>
        <w:t>appropriate cases, courts will allow these points</w:t>
      </w:r>
      <w:r w:rsidRPr="00D566A3">
        <w:rPr>
          <w:sz w:val="28"/>
          <w:szCs w:val="28"/>
        </w:rPr>
        <w:t xml:space="preserve"> to be raised</w:t>
      </w:r>
      <w:r w:rsidR="00AC1C9B" w:rsidRPr="00D566A3">
        <w:rPr>
          <w:sz w:val="28"/>
          <w:szCs w:val="28"/>
        </w:rPr>
        <w:t xml:space="preserve"> on appeal or </w:t>
      </w:r>
      <w:r w:rsidRPr="00D566A3">
        <w:rPr>
          <w:sz w:val="28"/>
          <w:szCs w:val="28"/>
        </w:rPr>
        <w:t xml:space="preserve">do so </w:t>
      </w:r>
      <w:r w:rsidR="00AC1C9B" w:rsidRPr="00D566A3">
        <w:rPr>
          <w:sz w:val="28"/>
          <w:szCs w:val="28"/>
        </w:rPr>
        <w:t xml:space="preserve">even </w:t>
      </w:r>
      <w:r w:rsidR="00AC1C9B" w:rsidRPr="00D566A3">
        <w:rPr>
          <w:i/>
          <w:sz w:val="28"/>
          <w:szCs w:val="28"/>
        </w:rPr>
        <w:t>mero motu</w:t>
      </w:r>
      <w:r w:rsidR="00AC1C9B" w:rsidRPr="00D566A3">
        <w:rPr>
          <w:sz w:val="28"/>
          <w:szCs w:val="28"/>
        </w:rPr>
        <w:t>. This is</w:t>
      </w:r>
      <w:r w:rsidR="00CB57A8" w:rsidRPr="00D566A3">
        <w:rPr>
          <w:sz w:val="28"/>
          <w:szCs w:val="28"/>
        </w:rPr>
        <w:t>,</w:t>
      </w:r>
      <w:r w:rsidR="00AC1C9B" w:rsidRPr="00D566A3">
        <w:rPr>
          <w:sz w:val="28"/>
          <w:szCs w:val="28"/>
        </w:rPr>
        <w:t xml:space="preserve"> however</w:t>
      </w:r>
      <w:r w:rsidR="00CB57A8" w:rsidRPr="00D566A3">
        <w:rPr>
          <w:sz w:val="28"/>
          <w:szCs w:val="28"/>
        </w:rPr>
        <w:t>,</w:t>
      </w:r>
      <w:r w:rsidR="00AC1C9B" w:rsidRPr="00D566A3">
        <w:rPr>
          <w:sz w:val="28"/>
          <w:szCs w:val="28"/>
        </w:rPr>
        <w:t xml:space="preserve"> not a case </w:t>
      </w:r>
      <w:r w:rsidRPr="00D566A3">
        <w:rPr>
          <w:sz w:val="28"/>
          <w:szCs w:val="28"/>
        </w:rPr>
        <w:t xml:space="preserve">falling into the </w:t>
      </w:r>
      <w:r w:rsidR="00AC1C9B" w:rsidRPr="00D566A3">
        <w:rPr>
          <w:sz w:val="28"/>
          <w:szCs w:val="28"/>
        </w:rPr>
        <w:t>category</w:t>
      </w:r>
      <w:r w:rsidRPr="00D566A3">
        <w:rPr>
          <w:sz w:val="28"/>
          <w:szCs w:val="28"/>
        </w:rPr>
        <w:t xml:space="preserve"> of those compelling or exceptional cases and such argument has not been advanced</w:t>
      </w:r>
      <w:r w:rsidR="00AC1C9B" w:rsidRPr="00D566A3">
        <w:rPr>
          <w:sz w:val="28"/>
          <w:szCs w:val="28"/>
        </w:rPr>
        <w:t xml:space="preserve">. </w:t>
      </w:r>
      <w:r w:rsidR="00AC1C9B" w:rsidRPr="00D566A3">
        <w:rPr>
          <w:i/>
          <w:sz w:val="28"/>
          <w:szCs w:val="28"/>
        </w:rPr>
        <w:t>Chartaprops</w:t>
      </w:r>
      <w:r w:rsidR="00AC1C9B" w:rsidRPr="00D566A3">
        <w:rPr>
          <w:sz w:val="28"/>
          <w:szCs w:val="28"/>
        </w:rPr>
        <w:t xml:space="preserve"> is a recent precedent. Any reconsideration of the position set out therein</w:t>
      </w:r>
      <w:r w:rsidR="00CB57A8" w:rsidRPr="00D566A3">
        <w:rPr>
          <w:sz w:val="28"/>
          <w:szCs w:val="28"/>
        </w:rPr>
        <w:t>,</w:t>
      </w:r>
      <w:r w:rsidR="00AC1C9B" w:rsidRPr="00D566A3">
        <w:rPr>
          <w:sz w:val="28"/>
          <w:szCs w:val="28"/>
        </w:rPr>
        <w:t xml:space="preserve"> required a clearly set out basis.    </w:t>
      </w:r>
    </w:p>
    <w:p w14:paraId="2106D5AE" w14:textId="77777777" w:rsidR="009F58F1" w:rsidRPr="00D566A3" w:rsidRDefault="009F58F1" w:rsidP="009F58F1">
      <w:pPr>
        <w:pStyle w:val="ListParagraph"/>
        <w:rPr>
          <w:sz w:val="28"/>
          <w:szCs w:val="28"/>
        </w:rPr>
      </w:pPr>
    </w:p>
    <w:p w14:paraId="243C0DD4" w14:textId="6DB9244C" w:rsidR="0010252F" w:rsidRPr="00D566A3" w:rsidRDefault="00745387" w:rsidP="0010252F">
      <w:pPr>
        <w:numPr>
          <w:ilvl w:val="0"/>
          <w:numId w:val="1"/>
        </w:numPr>
        <w:tabs>
          <w:tab w:val="left" w:pos="0"/>
        </w:tabs>
        <w:ind w:left="0"/>
        <w:rPr>
          <w:sz w:val="28"/>
          <w:szCs w:val="28"/>
        </w:rPr>
      </w:pPr>
      <w:r w:rsidRPr="00D566A3">
        <w:rPr>
          <w:sz w:val="28"/>
          <w:szCs w:val="28"/>
        </w:rPr>
        <w:t>Consequentially, b</w:t>
      </w:r>
      <w:r w:rsidR="0010252F" w:rsidRPr="00D566A3">
        <w:rPr>
          <w:color w:val="000000"/>
          <w:sz w:val="28"/>
          <w:szCs w:val="28"/>
        </w:rPr>
        <w:t xml:space="preserve">oth arguments in relation to the liability of the second appellant must fail. </w:t>
      </w:r>
      <w:r w:rsidR="0010252F" w:rsidRPr="00D566A3">
        <w:rPr>
          <w:sz w:val="28"/>
          <w:szCs w:val="28"/>
        </w:rPr>
        <w:t>Th</w:t>
      </w:r>
      <w:r w:rsidRPr="00D566A3">
        <w:rPr>
          <w:sz w:val="28"/>
          <w:szCs w:val="28"/>
        </w:rPr>
        <w:t>is means</w:t>
      </w:r>
      <w:r w:rsidR="00CB57A8" w:rsidRPr="00D566A3">
        <w:rPr>
          <w:sz w:val="28"/>
          <w:szCs w:val="28"/>
        </w:rPr>
        <w:t xml:space="preserve"> that</w:t>
      </w:r>
      <w:r w:rsidRPr="00D566A3">
        <w:rPr>
          <w:sz w:val="28"/>
          <w:szCs w:val="28"/>
        </w:rPr>
        <w:t xml:space="preserve"> the</w:t>
      </w:r>
      <w:r w:rsidR="0010252F" w:rsidRPr="00D566A3">
        <w:rPr>
          <w:sz w:val="28"/>
          <w:szCs w:val="28"/>
        </w:rPr>
        <w:t xml:space="preserve"> high </w:t>
      </w:r>
      <w:r w:rsidR="009F58F1" w:rsidRPr="00D566A3">
        <w:rPr>
          <w:sz w:val="28"/>
          <w:szCs w:val="28"/>
        </w:rPr>
        <w:t xml:space="preserve">court’s </w:t>
      </w:r>
      <w:r w:rsidR="0010252F" w:rsidRPr="00D566A3">
        <w:rPr>
          <w:sz w:val="28"/>
          <w:szCs w:val="28"/>
        </w:rPr>
        <w:t xml:space="preserve">order </w:t>
      </w:r>
      <w:r w:rsidR="00AC0216" w:rsidRPr="00D566A3">
        <w:rPr>
          <w:sz w:val="28"/>
          <w:szCs w:val="28"/>
        </w:rPr>
        <w:t>concerning</w:t>
      </w:r>
      <w:r w:rsidRPr="00D566A3">
        <w:rPr>
          <w:sz w:val="28"/>
          <w:szCs w:val="28"/>
        </w:rPr>
        <w:t xml:space="preserve"> the second appellant </w:t>
      </w:r>
      <w:r w:rsidR="0010252F" w:rsidRPr="00D566A3">
        <w:rPr>
          <w:sz w:val="28"/>
          <w:szCs w:val="28"/>
        </w:rPr>
        <w:t>cannot stand.</w:t>
      </w:r>
    </w:p>
    <w:p w14:paraId="2EEB554F" w14:textId="77777777" w:rsidR="0010252F" w:rsidRPr="00D566A3" w:rsidRDefault="0010252F" w:rsidP="0010252F">
      <w:pPr>
        <w:pStyle w:val="ListParagraph"/>
        <w:ind w:left="0"/>
        <w:rPr>
          <w:color w:val="000000"/>
          <w:sz w:val="28"/>
          <w:szCs w:val="28"/>
        </w:rPr>
      </w:pPr>
    </w:p>
    <w:p w14:paraId="153482A1" w14:textId="77777777" w:rsidR="0010252F" w:rsidRPr="00D566A3" w:rsidRDefault="0010252F" w:rsidP="0010252F">
      <w:pPr>
        <w:pStyle w:val="ListParagraph"/>
        <w:ind w:left="0"/>
        <w:rPr>
          <w:b/>
          <w:color w:val="000000"/>
          <w:sz w:val="28"/>
          <w:szCs w:val="28"/>
        </w:rPr>
      </w:pPr>
      <w:r w:rsidRPr="00D566A3">
        <w:rPr>
          <w:b/>
          <w:color w:val="000000"/>
          <w:sz w:val="28"/>
          <w:szCs w:val="28"/>
        </w:rPr>
        <w:lastRenderedPageBreak/>
        <w:t>Conclusion</w:t>
      </w:r>
    </w:p>
    <w:p w14:paraId="1A84268B" w14:textId="1C927AAD" w:rsidR="0010252F" w:rsidRPr="00D566A3" w:rsidRDefault="0010252F" w:rsidP="0010252F">
      <w:pPr>
        <w:numPr>
          <w:ilvl w:val="0"/>
          <w:numId w:val="1"/>
        </w:numPr>
        <w:tabs>
          <w:tab w:val="left" w:pos="0"/>
        </w:tabs>
        <w:ind w:left="0"/>
        <w:rPr>
          <w:sz w:val="28"/>
          <w:szCs w:val="28"/>
        </w:rPr>
      </w:pPr>
      <w:r w:rsidRPr="00D566A3">
        <w:rPr>
          <w:color w:val="000000"/>
          <w:sz w:val="28"/>
          <w:szCs w:val="28"/>
        </w:rPr>
        <w:t xml:space="preserve"> As indicated earlier, the high</w:t>
      </w:r>
      <w:r w:rsidRPr="00D566A3">
        <w:rPr>
          <w:sz w:val="28"/>
          <w:szCs w:val="28"/>
        </w:rPr>
        <w:t xml:space="preserve"> court found the appellants</w:t>
      </w:r>
      <w:r w:rsidR="00745387" w:rsidRPr="00D566A3">
        <w:rPr>
          <w:sz w:val="28"/>
          <w:szCs w:val="28"/>
        </w:rPr>
        <w:t xml:space="preserve"> to be</w:t>
      </w:r>
      <w:r w:rsidRPr="00D566A3">
        <w:rPr>
          <w:sz w:val="28"/>
          <w:szCs w:val="28"/>
        </w:rPr>
        <w:t xml:space="preserve"> jointly and severally liable, the one paying the other to be absolved, for 65% of damages that may be proved by the first respondent. It is not clear how the </w:t>
      </w:r>
      <w:r w:rsidR="00496BCA" w:rsidRPr="00D566A3">
        <w:rPr>
          <w:sz w:val="28"/>
          <w:szCs w:val="28"/>
        </w:rPr>
        <w:t xml:space="preserve">high </w:t>
      </w:r>
      <w:r w:rsidRPr="00D566A3">
        <w:rPr>
          <w:sz w:val="28"/>
          <w:szCs w:val="28"/>
        </w:rPr>
        <w:t>court determined that</w:t>
      </w:r>
      <w:r w:rsidR="00745387" w:rsidRPr="00D566A3">
        <w:rPr>
          <w:sz w:val="28"/>
          <w:szCs w:val="28"/>
        </w:rPr>
        <w:t xml:space="preserve"> apportioned percentage</w:t>
      </w:r>
      <w:r w:rsidRPr="00D566A3">
        <w:rPr>
          <w:sz w:val="28"/>
          <w:szCs w:val="28"/>
        </w:rPr>
        <w:t>. Th</w:t>
      </w:r>
      <w:r w:rsidR="00D06B47" w:rsidRPr="00D566A3">
        <w:rPr>
          <w:sz w:val="28"/>
          <w:szCs w:val="28"/>
        </w:rPr>
        <w:t>at</w:t>
      </w:r>
      <w:r w:rsidRPr="00D566A3">
        <w:rPr>
          <w:sz w:val="28"/>
          <w:szCs w:val="28"/>
        </w:rPr>
        <w:t xml:space="preserve"> </w:t>
      </w:r>
      <w:r w:rsidR="00D06B47" w:rsidRPr="00D566A3">
        <w:rPr>
          <w:sz w:val="28"/>
          <w:szCs w:val="28"/>
        </w:rPr>
        <w:t>issue</w:t>
      </w:r>
      <w:r w:rsidR="00496BCA" w:rsidRPr="00D566A3">
        <w:rPr>
          <w:sz w:val="28"/>
          <w:szCs w:val="28"/>
        </w:rPr>
        <w:t>,</w:t>
      </w:r>
      <w:r w:rsidR="00D06B47" w:rsidRPr="00D566A3">
        <w:rPr>
          <w:sz w:val="28"/>
          <w:szCs w:val="28"/>
        </w:rPr>
        <w:t xml:space="preserve"> </w:t>
      </w:r>
      <w:r w:rsidR="00496BCA" w:rsidRPr="00D566A3">
        <w:rPr>
          <w:sz w:val="28"/>
          <w:szCs w:val="28"/>
        </w:rPr>
        <w:t xml:space="preserve">however, </w:t>
      </w:r>
      <w:r w:rsidRPr="00D566A3">
        <w:rPr>
          <w:sz w:val="28"/>
          <w:szCs w:val="28"/>
        </w:rPr>
        <w:t xml:space="preserve">is not before this </w:t>
      </w:r>
      <w:r w:rsidR="00745387" w:rsidRPr="00D566A3">
        <w:rPr>
          <w:sz w:val="28"/>
          <w:szCs w:val="28"/>
        </w:rPr>
        <w:t>C</w:t>
      </w:r>
      <w:r w:rsidRPr="00D566A3">
        <w:rPr>
          <w:sz w:val="28"/>
          <w:szCs w:val="28"/>
        </w:rPr>
        <w:t>ourt</w:t>
      </w:r>
      <w:r w:rsidR="00745387" w:rsidRPr="00D566A3">
        <w:rPr>
          <w:sz w:val="28"/>
          <w:szCs w:val="28"/>
        </w:rPr>
        <w:t>. The</w:t>
      </w:r>
      <w:r w:rsidRPr="00D566A3">
        <w:rPr>
          <w:sz w:val="28"/>
          <w:szCs w:val="28"/>
        </w:rPr>
        <w:t xml:space="preserve"> apportionment order in relation to the first appellant</w:t>
      </w:r>
      <w:r w:rsidR="00E810C0" w:rsidRPr="00D566A3">
        <w:rPr>
          <w:sz w:val="28"/>
          <w:szCs w:val="28"/>
        </w:rPr>
        <w:t xml:space="preserve"> </w:t>
      </w:r>
      <w:r w:rsidR="00AC1C9B" w:rsidRPr="00D566A3">
        <w:rPr>
          <w:sz w:val="28"/>
          <w:szCs w:val="28"/>
        </w:rPr>
        <w:t xml:space="preserve">will </w:t>
      </w:r>
      <w:r w:rsidRPr="00D566A3">
        <w:rPr>
          <w:sz w:val="28"/>
          <w:szCs w:val="28"/>
        </w:rPr>
        <w:t>remain</w:t>
      </w:r>
      <w:r w:rsidR="00AC1C9B" w:rsidRPr="00D566A3">
        <w:rPr>
          <w:sz w:val="28"/>
          <w:szCs w:val="28"/>
        </w:rPr>
        <w:t xml:space="preserve"> </w:t>
      </w:r>
      <w:r w:rsidRPr="00D566A3">
        <w:rPr>
          <w:sz w:val="28"/>
          <w:szCs w:val="28"/>
        </w:rPr>
        <w:t>undisturbed.</w:t>
      </w:r>
    </w:p>
    <w:p w14:paraId="5AC763FB" w14:textId="77777777" w:rsidR="0010252F" w:rsidRPr="00D566A3" w:rsidRDefault="0010252F" w:rsidP="0010252F">
      <w:pPr>
        <w:pStyle w:val="ListParagraph"/>
        <w:rPr>
          <w:sz w:val="28"/>
          <w:szCs w:val="28"/>
        </w:rPr>
      </w:pPr>
    </w:p>
    <w:p w14:paraId="2E538AF2" w14:textId="7D166162" w:rsidR="0010252F" w:rsidRPr="00D566A3" w:rsidRDefault="00E810C0" w:rsidP="000B14D7">
      <w:pPr>
        <w:numPr>
          <w:ilvl w:val="0"/>
          <w:numId w:val="1"/>
        </w:numPr>
        <w:tabs>
          <w:tab w:val="left" w:pos="0"/>
        </w:tabs>
        <w:ind w:left="0"/>
        <w:rPr>
          <w:sz w:val="28"/>
          <w:szCs w:val="28"/>
        </w:rPr>
      </w:pPr>
      <w:bookmarkStart w:id="4" w:name="KVWin_undostart"/>
      <w:bookmarkEnd w:id="4"/>
      <w:r w:rsidRPr="00D566A3">
        <w:rPr>
          <w:sz w:val="28"/>
          <w:szCs w:val="28"/>
        </w:rPr>
        <w:t xml:space="preserve">The appeal of the first appellant concerned an uncomplicated factual </w:t>
      </w:r>
      <w:r w:rsidR="009F58F1" w:rsidRPr="00D566A3">
        <w:rPr>
          <w:sz w:val="28"/>
          <w:szCs w:val="28"/>
        </w:rPr>
        <w:t>issue, which</w:t>
      </w:r>
      <w:r w:rsidR="00AC1C9B" w:rsidRPr="00D566A3">
        <w:rPr>
          <w:sz w:val="28"/>
          <w:szCs w:val="28"/>
        </w:rPr>
        <w:t xml:space="preserve"> did</w:t>
      </w:r>
      <w:r w:rsidRPr="00D566A3">
        <w:rPr>
          <w:sz w:val="28"/>
          <w:szCs w:val="28"/>
        </w:rPr>
        <w:t xml:space="preserve"> not reasonably warrant </w:t>
      </w:r>
      <w:r w:rsidR="00AC1C9B" w:rsidRPr="00D566A3">
        <w:rPr>
          <w:sz w:val="28"/>
          <w:szCs w:val="28"/>
        </w:rPr>
        <w:t xml:space="preserve">the employment </w:t>
      </w:r>
      <w:r w:rsidRPr="00D566A3">
        <w:rPr>
          <w:sz w:val="28"/>
          <w:szCs w:val="28"/>
        </w:rPr>
        <w:t>of two counsel</w:t>
      </w:r>
      <w:r w:rsidR="00AC1C9B" w:rsidRPr="00D566A3">
        <w:rPr>
          <w:sz w:val="28"/>
          <w:szCs w:val="28"/>
        </w:rPr>
        <w:t xml:space="preserve">. </w:t>
      </w:r>
      <w:r w:rsidRPr="00D566A3">
        <w:rPr>
          <w:sz w:val="28"/>
          <w:szCs w:val="28"/>
        </w:rPr>
        <w:t xml:space="preserve">I </w:t>
      </w:r>
      <w:r w:rsidR="00A80983" w:rsidRPr="00D566A3">
        <w:rPr>
          <w:sz w:val="28"/>
          <w:szCs w:val="28"/>
        </w:rPr>
        <w:t xml:space="preserve">will accordingly </w:t>
      </w:r>
      <w:r w:rsidRPr="00D566A3">
        <w:rPr>
          <w:sz w:val="28"/>
          <w:szCs w:val="28"/>
        </w:rPr>
        <w:t>not allow such a cost</w:t>
      </w:r>
      <w:r w:rsidR="00496BCA" w:rsidRPr="00D566A3">
        <w:rPr>
          <w:sz w:val="28"/>
          <w:szCs w:val="28"/>
        </w:rPr>
        <w:t>s</w:t>
      </w:r>
      <w:r w:rsidRPr="00D566A3">
        <w:rPr>
          <w:sz w:val="28"/>
          <w:szCs w:val="28"/>
        </w:rPr>
        <w:t xml:space="preserve"> order.</w:t>
      </w:r>
    </w:p>
    <w:p w14:paraId="05BF0803" w14:textId="77777777" w:rsidR="004A2C05" w:rsidRPr="00D566A3" w:rsidRDefault="004A2C05" w:rsidP="004A2C05">
      <w:pPr>
        <w:pStyle w:val="ListParagraph"/>
        <w:rPr>
          <w:sz w:val="28"/>
          <w:szCs w:val="28"/>
        </w:rPr>
      </w:pPr>
    </w:p>
    <w:p w14:paraId="3F79A10B" w14:textId="6508EA4C" w:rsidR="004A2C05" w:rsidRPr="00D566A3" w:rsidRDefault="004A2C05" w:rsidP="000B14D7">
      <w:pPr>
        <w:numPr>
          <w:ilvl w:val="0"/>
          <w:numId w:val="1"/>
        </w:numPr>
        <w:tabs>
          <w:tab w:val="left" w:pos="0"/>
        </w:tabs>
        <w:ind w:left="0"/>
        <w:rPr>
          <w:sz w:val="28"/>
          <w:szCs w:val="28"/>
        </w:rPr>
      </w:pPr>
      <w:r w:rsidRPr="00D566A3">
        <w:rPr>
          <w:sz w:val="28"/>
          <w:szCs w:val="28"/>
        </w:rPr>
        <w:t>In the result, I make the following order:</w:t>
      </w:r>
    </w:p>
    <w:p w14:paraId="0CFE354C" w14:textId="2B05FB31" w:rsidR="004A2C05" w:rsidRPr="00D566A3" w:rsidRDefault="004A2C05" w:rsidP="004A2C05">
      <w:pPr>
        <w:ind w:left="360" w:hanging="360"/>
        <w:rPr>
          <w:sz w:val="28"/>
          <w:szCs w:val="28"/>
        </w:rPr>
      </w:pPr>
      <w:r w:rsidRPr="00D566A3">
        <w:rPr>
          <w:sz w:val="28"/>
          <w:szCs w:val="28"/>
        </w:rPr>
        <w:t>1        The appeal of the first appellant is dismissed with costs.</w:t>
      </w:r>
    </w:p>
    <w:p w14:paraId="0F4F54F1" w14:textId="33653EE6" w:rsidR="004A2C05" w:rsidRPr="00D566A3" w:rsidRDefault="004A2C05" w:rsidP="004A2C05">
      <w:pPr>
        <w:ind w:left="360" w:hanging="360"/>
        <w:rPr>
          <w:sz w:val="28"/>
          <w:szCs w:val="28"/>
        </w:rPr>
      </w:pPr>
      <w:r w:rsidRPr="00D566A3">
        <w:rPr>
          <w:sz w:val="28"/>
          <w:szCs w:val="28"/>
        </w:rPr>
        <w:t>2        The appeal of the second appellant is upheld with costs.</w:t>
      </w:r>
    </w:p>
    <w:p w14:paraId="717A5B18" w14:textId="4D5127AF" w:rsidR="004A2C05" w:rsidRPr="00D566A3" w:rsidRDefault="004A2C05">
      <w:pPr>
        <w:tabs>
          <w:tab w:val="left" w:pos="630"/>
          <w:tab w:val="left" w:pos="900"/>
          <w:tab w:val="left" w:pos="990"/>
        </w:tabs>
        <w:ind w:left="720" w:hanging="720"/>
        <w:rPr>
          <w:sz w:val="28"/>
          <w:szCs w:val="28"/>
        </w:rPr>
      </w:pPr>
      <w:r w:rsidRPr="00D566A3">
        <w:rPr>
          <w:sz w:val="28"/>
          <w:szCs w:val="28"/>
        </w:rPr>
        <w:t xml:space="preserve">3      </w:t>
      </w:r>
      <w:r w:rsidR="00A80983" w:rsidRPr="00D566A3">
        <w:rPr>
          <w:sz w:val="28"/>
          <w:szCs w:val="28"/>
        </w:rPr>
        <w:t xml:space="preserve">  T</w:t>
      </w:r>
      <w:r w:rsidRPr="00D566A3">
        <w:rPr>
          <w:sz w:val="28"/>
          <w:szCs w:val="28"/>
        </w:rPr>
        <w:t>he order of the high court is set aside and substituted with the</w:t>
      </w:r>
      <w:r w:rsidR="00751CE7" w:rsidRPr="00D566A3">
        <w:rPr>
          <w:sz w:val="28"/>
          <w:szCs w:val="28"/>
        </w:rPr>
        <w:t xml:space="preserve"> </w:t>
      </w:r>
      <w:r w:rsidR="00A80983" w:rsidRPr="00D566A3">
        <w:rPr>
          <w:sz w:val="28"/>
          <w:szCs w:val="28"/>
        </w:rPr>
        <w:t>following:</w:t>
      </w:r>
      <w:r w:rsidRPr="00D566A3">
        <w:rPr>
          <w:sz w:val="28"/>
          <w:szCs w:val="28"/>
        </w:rPr>
        <w:t xml:space="preserve"> </w:t>
      </w:r>
    </w:p>
    <w:p w14:paraId="7E0594BC" w14:textId="2DE119D0" w:rsidR="004A2C05" w:rsidRPr="00D566A3" w:rsidRDefault="004A2C05" w:rsidP="004A2C05">
      <w:pPr>
        <w:ind w:left="720"/>
        <w:rPr>
          <w:sz w:val="28"/>
          <w:szCs w:val="28"/>
        </w:rPr>
      </w:pPr>
      <w:r w:rsidRPr="00D566A3">
        <w:rPr>
          <w:sz w:val="28"/>
          <w:szCs w:val="28"/>
        </w:rPr>
        <w:t>‘1.</w:t>
      </w:r>
      <w:r w:rsidR="00751CE7" w:rsidRPr="00D566A3">
        <w:rPr>
          <w:sz w:val="28"/>
          <w:szCs w:val="28"/>
        </w:rPr>
        <w:tab/>
      </w:r>
      <w:r w:rsidRPr="00D566A3">
        <w:rPr>
          <w:sz w:val="28"/>
          <w:szCs w:val="28"/>
        </w:rPr>
        <w:t>The first defendant is found liable for 65% of whatever damages the patient, Mr Shearer, represented by the first plaintiff, might prove for injuries sustained by him as a result of the cardiac arrest and resultant brain damage which Mr Shearer suffered in the emergency unit of Life Westville Hospital in Durban on 27 December 2014.</w:t>
      </w:r>
    </w:p>
    <w:p w14:paraId="3727FB97" w14:textId="2FA80832" w:rsidR="004A2C05" w:rsidRPr="00D566A3" w:rsidRDefault="004A2C05" w:rsidP="004A2C05">
      <w:pPr>
        <w:ind w:left="720"/>
        <w:rPr>
          <w:sz w:val="28"/>
          <w:szCs w:val="28"/>
        </w:rPr>
      </w:pPr>
      <w:r w:rsidRPr="00D566A3">
        <w:rPr>
          <w:sz w:val="28"/>
          <w:szCs w:val="28"/>
        </w:rPr>
        <w:t>2.</w:t>
      </w:r>
      <w:r w:rsidR="00751CE7" w:rsidRPr="00D566A3">
        <w:rPr>
          <w:sz w:val="28"/>
          <w:szCs w:val="28"/>
        </w:rPr>
        <w:tab/>
      </w:r>
      <w:r w:rsidRPr="00D566A3">
        <w:rPr>
          <w:sz w:val="28"/>
          <w:szCs w:val="28"/>
        </w:rPr>
        <w:t>The first defendant is ordered to pay the first plaintiff’s costs of suit</w:t>
      </w:r>
      <w:r w:rsidR="00751CE7" w:rsidRPr="00D566A3">
        <w:rPr>
          <w:sz w:val="28"/>
          <w:szCs w:val="28"/>
        </w:rPr>
        <w:t>,</w:t>
      </w:r>
      <w:r w:rsidRPr="00D566A3">
        <w:rPr>
          <w:sz w:val="28"/>
          <w:szCs w:val="28"/>
        </w:rPr>
        <w:t xml:space="preserve"> including costs occasioned by the employment of two counsel where so employed. These costs shall include:</w:t>
      </w:r>
    </w:p>
    <w:p w14:paraId="13EB9D1C" w14:textId="6C57CED4" w:rsidR="004A2C05" w:rsidRPr="00D566A3" w:rsidRDefault="004A2C05" w:rsidP="004A2C05">
      <w:pPr>
        <w:ind w:left="720"/>
        <w:rPr>
          <w:sz w:val="28"/>
          <w:szCs w:val="28"/>
        </w:rPr>
      </w:pPr>
      <w:r w:rsidRPr="00D566A3">
        <w:rPr>
          <w:sz w:val="28"/>
          <w:szCs w:val="28"/>
        </w:rPr>
        <w:t>(i)</w:t>
      </w:r>
      <w:r w:rsidR="00751CE7" w:rsidRPr="00D566A3">
        <w:rPr>
          <w:sz w:val="28"/>
          <w:szCs w:val="28"/>
        </w:rPr>
        <w:tab/>
      </w:r>
      <w:r w:rsidRPr="00D566A3">
        <w:rPr>
          <w:sz w:val="28"/>
          <w:szCs w:val="28"/>
        </w:rPr>
        <w:t>the cost of preparation for, and attendance of</w:t>
      </w:r>
      <w:r w:rsidR="00751CE7" w:rsidRPr="00D566A3">
        <w:rPr>
          <w:sz w:val="28"/>
          <w:szCs w:val="28"/>
        </w:rPr>
        <w:t>,</w:t>
      </w:r>
      <w:r w:rsidRPr="00D566A3">
        <w:rPr>
          <w:sz w:val="28"/>
          <w:szCs w:val="28"/>
        </w:rPr>
        <w:t xml:space="preserve"> all pre-trial conferences that were held and attended by them, as well as the drafting and settling of the pre-trial agendas and minutes</w:t>
      </w:r>
      <w:r w:rsidR="00751CE7" w:rsidRPr="00D566A3">
        <w:rPr>
          <w:sz w:val="28"/>
          <w:szCs w:val="28"/>
        </w:rPr>
        <w:t>; and</w:t>
      </w:r>
      <w:r w:rsidRPr="00D566A3">
        <w:rPr>
          <w:sz w:val="28"/>
          <w:szCs w:val="28"/>
        </w:rPr>
        <w:t xml:space="preserve"> the plaintiffs’ costs of obtaining the </w:t>
      </w:r>
      <w:r w:rsidRPr="00D566A3">
        <w:rPr>
          <w:sz w:val="28"/>
          <w:szCs w:val="28"/>
        </w:rPr>
        <w:lastRenderedPageBreak/>
        <w:t>medical legal reports of the plaintiffs’ experts relating to the issue of liability</w:t>
      </w:r>
      <w:r w:rsidR="00751CE7" w:rsidRPr="00D566A3">
        <w:rPr>
          <w:sz w:val="28"/>
          <w:szCs w:val="28"/>
        </w:rPr>
        <w:t>,</w:t>
      </w:r>
      <w:r w:rsidRPr="00D566A3">
        <w:rPr>
          <w:sz w:val="28"/>
          <w:szCs w:val="28"/>
        </w:rPr>
        <w:t xml:space="preserve"> including the cost of counsel for drafting the plaintiffs’ expert summaries in respect of the issue of liability in which formal notice was given in terms of </w:t>
      </w:r>
      <w:r w:rsidR="00751CE7" w:rsidRPr="00D566A3">
        <w:rPr>
          <w:sz w:val="28"/>
          <w:szCs w:val="28"/>
        </w:rPr>
        <w:t>r</w:t>
      </w:r>
      <w:r w:rsidRPr="00D566A3">
        <w:rPr>
          <w:sz w:val="28"/>
          <w:szCs w:val="28"/>
        </w:rPr>
        <w:t>ule 36(9)</w:t>
      </w:r>
      <w:r w:rsidRPr="00D566A3">
        <w:rPr>
          <w:i/>
          <w:sz w:val="28"/>
          <w:szCs w:val="28"/>
        </w:rPr>
        <w:t>(a)</w:t>
      </w:r>
      <w:r w:rsidRPr="00D566A3">
        <w:rPr>
          <w:sz w:val="28"/>
          <w:szCs w:val="28"/>
        </w:rPr>
        <w:t xml:space="preserve"> and </w:t>
      </w:r>
      <w:r w:rsidRPr="00D566A3">
        <w:rPr>
          <w:i/>
          <w:sz w:val="28"/>
          <w:szCs w:val="28"/>
        </w:rPr>
        <w:t>(b)</w:t>
      </w:r>
      <w:r w:rsidRPr="00D566A3">
        <w:rPr>
          <w:sz w:val="28"/>
          <w:szCs w:val="28"/>
        </w:rPr>
        <w:t>;</w:t>
      </w:r>
    </w:p>
    <w:p w14:paraId="50F6F910" w14:textId="6551CF50" w:rsidR="004A2C05" w:rsidRPr="00D566A3" w:rsidRDefault="004A2C05" w:rsidP="004A2C05">
      <w:pPr>
        <w:ind w:left="720"/>
        <w:rPr>
          <w:sz w:val="28"/>
          <w:szCs w:val="28"/>
        </w:rPr>
      </w:pPr>
      <w:r w:rsidRPr="00D566A3">
        <w:rPr>
          <w:sz w:val="28"/>
          <w:szCs w:val="28"/>
        </w:rPr>
        <w:t>(ii)</w:t>
      </w:r>
      <w:r w:rsidR="008B50EE">
        <w:rPr>
          <w:sz w:val="28"/>
          <w:szCs w:val="28"/>
        </w:rPr>
        <w:tab/>
      </w:r>
      <w:r w:rsidRPr="00D566A3">
        <w:rPr>
          <w:sz w:val="28"/>
          <w:szCs w:val="28"/>
        </w:rPr>
        <w:t xml:space="preserve">the cost of preparation, qualifying and reservation of the plaintiffs’ experts in respect of the liability trial of whom notice was given in terms of </w:t>
      </w:r>
      <w:r w:rsidR="00751CE7" w:rsidRPr="00D566A3">
        <w:rPr>
          <w:sz w:val="28"/>
          <w:szCs w:val="28"/>
        </w:rPr>
        <w:t>r</w:t>
      </w:r>
      <w:r w:rsidRPr="00D566A3">
        <w:rPr>
          <w:sz w:val="28"/>
          <w:szCs w:val="28"/>
        </w:rPr>
        <w:t>ule 36(9)</w:t>
      </w:r>
      <w:r w:rsidRPr="00D566A3">
        <w:rPr>
          <w:i/>
          <w:sz w:val="28"/>
          <w:szCs w:val="28"/>
        </w:rPr>
        <w:t>(a)</w:t>
      </w:r>
      <w:r w:rsidRPr="00D566A3">
        <w:rPr>
          <w:sz w:val="28"/>
          <w:szCs w:val="28"/>
        </w:rPr>
        <w:t xml:space="preserve"> and </w:t>
      </w:r>
      <w:r w:rsidRPr="00D566A3">
        <w:rPr>
          <w:i/>
          <w:sz w:val="28"/>
          <w:szCs w:val="28"/>
        </w:rPr>
        <w:t>(b)</w:t>
      </w:r>
      <w:r w:rsidRPr="00D566A3">
        <w:rPr>
          <w:sz w:val="28"/>
          <w:szCs w:val="28"/>
        </w:rPr>
        <w:t>, including the costs of consultations by the plaintiffs’ legal representatives with these experts and the costs of these experts in preparation for and holding joint meetings with their respective counterparts, and preparing joint minutes, if any. These costs are for the following experts: (a) Prof</w:t>
      </w:r>
      <w:r w:rsidR="008D75D5" w:rsidRPr="00D566A3">
        <w:rPr>
          <w:sz w:val="28"/>
          <w:szCs w:val="28"/>
        </w:rPr>
        <w:t xml:space="preserve"> André</w:t>
      </w:r>
      <w:r w:rsidRPr="00D566A3">
        <w:rPr>
          <w:sz w:val="28"/>
          <w:szCs w:val="28"/>
        </w:rPr>
        <w:t xml:space="preserve"> Coetzee, (b) Prof Lee Wallace, (c) Prof Isabel Coetzee, </w:t>
      </w:r>
      <w:r w:rsidR="009B3C49" w:rsidRPr="00D566A3">
        <w:rPr>
          <w:sz w:val="28"/>
          <w:szCs w:val="28"/>
        </w:rPr>
        <w:t xml:space="preserve">and </w:t>
      </w:r>
      <w:r w:rsidRPr="00D566A3">
        <w:rPr>
          <w:sz w:val="28"/>
          <w:szCs w:val="28"/>
        </w:rPr>
        <w:t>(d) Dr Izak A J Loftus</w:t>
      </w:r>
      <w:r w:rsidR="009B3C49" w:rsidRPr="00D566A3">
        <w:rPr>
          <w:sz w:val="28"/>
          <w:szCs w:val="28"/>
        </w:rPr>
        <w:t>;</w:t>
      </w:r>
      <w:r w:rsidRPr="00D566A3">
        <w:rPr>
          <w:sz w:val="28"/>
          <w:szCs w:val="28"/>
        </w:rPr>
        <w:t xml:space="preserve"> and the fees of Prof </w:t>
      </w:r>
      <w:r w:rsidR="001C03CF" w:rsidRPr="00D566A3">
        <w:rPr>
          <w:sz w:val="28"/>
          <w:szCs w:val="28"/>
        </w:rPr>
        <w:t xml:space="preserve">André </w:t>
      </w:r>
      <w:r w:rsidRPr="00D566A3">
        <w:rPr>
          <w:sz w:val="28"/>
          <w:szCs w:val="28"/>
        </w:rPr>
        <w:t>Coetzee for testifying at the liability trial as an expert witness for the plaintiffs.</w:t>
      </w:r>
    </w:p>
    <w:p w14:paraId="2DBDB600" w14:textId="0E8B1658" w:rsidR="004A2C05" w:rsidRPr="00D566A3" w:rsidRDefault="004A2C05" w:rsidP="004A2C05">
      <w:pPr>
        <w:ind w:left="720"/>
        <w:rPr>
          <w:sz w:val="28"/>
          <w:szCs w:val="28"/>
        </w:rPr>
      </w:pPr>
      <w:r w:rsidRPr="00D566A3">
        <w:rPr>
          <w:sz w:val="28"/>
          <w:szCs w:val="28"/>
        </w:rPr>
        <w:t>(ii</w:t>
      </w:r>
      <w:r w:rsidR="009B3C49" w:rsidRPr="00D566A3">
        <w:rPr>
          <w:sz w:val="28"/>
          <w:szCs w:val="28"/>
        </w:rPr>
        <w:t>i</w:t>
      </w:r>
      <w:r w:rsidRPr="00D566A3">
        <w:rPr>
          <w:sz w:val="28"/>
          <w:szCs w:val="28"/>
        </w:rPr>
        <w:t>)</w:t>
      </w:r>
      <w:r w:rsidR="009B3C49" w:rsidRPr="00D566A3">
        <w:rPr>
          <w:sz w:val="28"/>
          <w:szCs w:val="28"/>
        </w:rPr>
        <w:tab/>
      </w:r>
      <w:r w:rsidRPr="00D566A3">
        <w:rPr>
          <w:sz w:val="28"/>
          <w:szCs w:val="28"/>
        </w:rPr>
        <w:t xml:space="preserve">the costs of having the proceedings of 28 May, 29 May, 3 June and 5 June 2019 transcribed for purposes of the court and the argument submitted to the court.   </w:t>
      </w:r>
    </w:p>
    <w:p w14:paraId="61FBFA03" w14:textId="08E4DF20" w:rsidR="004A2C05" w:rsidRPr="00D566A3" w:rsidRDefault="004A2C05" w:rsidP="004A2C05">
      <w:pPr>
        <w:ind w:left="709"/>
        <w:rPr>
          <w:bCs/>
          <w:sz w:val="28"/>
          <w:szCs w:val="28"/>
        </w:rPr>
      </w:pPr>
      <w:r w:rsidRPr="00D566A3">
        <w:rPr>
          <w:sz w:val="28"/>
          <w:szCs w:val="28"/>
        </w:rPr>
        <w:t>3.</w:t>
      </w:r>
      <w:r w:rsidR="009B3C49" w:rsidRPr="00D566A3">
        <w:rPr>
          <w:sz w:val="28"/>
          <w:szCs w:val="28"/>
        </w:rPr>
        <w:tab/>
      </w:r>
      <w:r w:rsidRPr="00D566A3">
        <w:rPr>
          <w:sz w:val="28"/>
          <w:szCs w:val="28"/>
        </w:rPr>
        <w:t xml:space="preserve">The claims of the second plaintiff in a personal capacity, and in her representative capacity, on behalf of the minor children, Declan and Keziah, are postponed </w:t>
      </w:r>
      <w:r w:rsidRPr="00D566A3">
        <w:rPr>
          <w:i/>
          <w:sz w:val="28"/>
          <w:szCs w:val="28"/>
        </w:rPr>
        <w:t xml:space="preserve">sine die </w:t>
      </w:r>
      <w:r w:rsidRPr="00D566A3">
        <w:rPr>
          <w:sz w:val="28"/>
          <w:szCs w:val="28"/>
        </w:rPr>
        <w:t xml:space="preserve">to be determined together with the quantum of the first plaintiff’s claim for damages against the first defendant. </w:t>
      </w:r>
    </w:p>
    <w:p w14:paraId="1AB32108" w14:textId="4F508818" w:rsidR="004A2C05" w:rsidRPr="00D566A3" w:rsidRDefault="004A2C05" w:rsidP="004A2C05">
      <w:pPr>
        <w:tabs>
          <w:tab w:val="left" w:pos="900"/>
        </w:tabs>
        <w:ind w:left="709"/>
        <w:rPr>
          <w:sz w:val="28"/>
          <w:szCs w:val="28"/>
        </w:rPr>
      </w:pPr>
      <w:r w:rsidRPr="00D566A3">
        <w:rPr>
          <w:sz w:val="28"/>
          <w:szCs w:val="28"/>
        </w:rPr>
        <w:t>4.</w:t>
      </w:r>
      <w:r w:rsidR="009B3C49" w:rsidRPr="00D566A3">
        <w:rPr>
          <w:sz w:val="28"/>
          <w:szCs w:val="28"/>
        </w:rPr>
        <w:tab/>
      </w:r>
      <w:r w:rsidRPr="00D566A3">
        <w:rPr>
          <w:sz w:val="28"/>
          <w:szCs w:val="28"/>
        </w:rPr>
        <w:t>The action against the second defendant is dismissed with costs.’</w:t>
      </w:r>
    </w:p>
    <w:p w14:paraId="6AA16DFF" w14:textId="55810DB1" w:rsidR="0010252F" w:rsidRDefault="0010252F" w:rsidP="004A2C05">
      <w:pPr>
        <w:rPr>
          <w:sz w:val="28"/>
          <w:szCs w:val="28"/>
        </w:rPr>
      </w:pPr>
    </w:p>
    <w:p w14:paraId="7E7363E8" w14:textId="70CF0997" w:rsidR="00D55080" w:rsidRPr="00D566A3" w:rsidRDefault="00651343" w:rsidP="00651343">
      <w:pPr>
        <w:tabs>
          <w:tab w:val="left" w:pos="6774"/>
        </w:tabs>
        <w:rPr>
          <w:sz w:val="28"/>
          <w:szCs w:val="28"/>
        </w:rPr>
      </w:pPr>
      <w:r>
        <w:rPr>
          <w:sz w:val="28"/>
          <w:szCs w:val="28"/>
        </w:rPr>
        <w:tab/>
      </w:r>
    </w:p>
    <w:p w14:paraId="35779E7F" w14:textId="32E83BD9" w:rsidR="0010252F" w:rsidRPr="00D566A3" w:rsidRDefault="0010252F" w:rsidP="008967AA">
      <w:pPr>
        <w:tabs>
          <w:tab w:val="left" w:pos="0"/>
        </w:tabs>
        <w:jc w:val="right"/>
        <w:rPr>
          <w:sz w:val="28"/>
          <w:szCs w:val="28"/>
        </w:rPr>
      </w:pPr>
      <w:r w:rsidRPr="00D566A3">
        <w:rPr>
          <w:sz w:val="28"/>
          <w:szCs w:val="28"/>
        </w:rPr>
        <w:t xml:space="preserve">                                                                 _____________________________</w:t>
      </w:r>
    </w:p>
    <w:p w14:paraId="4908461A" w14:textId="77777777" w:rsidR="0010252F" w:rsidRPr="00D566A3" w:rsidRDefault="0010252F" w:rsidP="008967AA">
      <w:pPr>
        <w:ind w:firstLine="4860"/>
        <w:jc w:val="right"/>
        <w:rPr>
          <w:sz w:val="28"/>
          <w:szCs w:val="28"/>
        </w:rPr>
      </w:pPr>
      <w:r w:rsidRPr="00D566A3">
        <w:rPr>
          <w:sz w:val="28"/>
          <w:szCs w:val="28"/>
        </w:rPr>
        <w:tab/>
        <w:t>N P MABINDLA-BOQWANA</w:t>
      </w:r>
    </w:p>
    <w:p w14:paraId="63CEE3E9" w14:textId="43326AA8" w:rsidR="002E7A7D" w:rsidRPr="00D566A3" w:rsidRDefault="0010252F" w:rsidP="00D55080">
      <w:pPr>
        <w:ind w:firstLine="4860"/>
        <w:jc w:val="right"/>
        <w:rPr>
          <w:sz w:val="28"/>
          <w:szCs w:val="28"/>
        </w:rPr>
      </w:pPr>
      <w:r w:rsidRPr="00D566A3">
        <w:rPr>
          <w:sz w:val="28"/>
          <w:szCs w:val="28"/>
        </w:rPr>
        <w:tab/>
      </w:r>
      <w:r w:rsidRPr="00D566A3">
        <w:rPr>
          <w:sz w:val="28"/>
          <w:szCs w:val="28"/>
        </w:rPr>
        <w:tab/>
        <w:t xml:space="preserve">      JUDGE OF APPEAL</w:t>
      </w:r>
    </w:p>
    <w:p w14:paraId="299CFB45" w14:textId="5F268526" w:rsidR="0010252F" w:rsidRPr="00D566A3" w:rsidRDefault="0010252F" w:rsidP="0010252F">
      <w:pPr>
        <w:rPr>
          <w:sz w:val="28"/>
          <w:szCs w:val="28"/>
        </w:rPr>
      </w:pPr>
      <w:r w:rsidRPr="00D566A3">
        <w:rPr>
          <w:sz w:val="28"/>
          <w:szCs w:val="28"/>
        </w:rPr>
        <w:lastRenderedPageBreak/>
        <w:t>APPEARANCES</w:t>
      </w:r>
    </w:p>
    <w:p w14:paraId="0660495B" w14:textId="77777777" w:rsidR="0010252F" w:rsidRPr="00D566A3" w:rsidRDefault="0010252F" w:rsidP="0010252F">
      <w:pPr>
        <w:rPr>
          <w:sz w:val="28"/>
          <w:szCs w:val="28"/>
        </w:rPr>
      </w:pPr>
    </w:p>
    <w:p w14:paraId="36EADFE2" w14:textId="2AA0CC71" w:rsidR="0010252F" w:rsidRPr="00D566A3" w:rsidRDefault="0010252F" w:rsidP="0010252F">
      <w:pPr>
        <w:rPr>
          <w:sz w:val="28"/>
          <w:szCs w:val="28"/>
        </w:rPr>
      </w:pPr>
      <w:r w:rsidRPr="00D566A3">
        <w:rPr>
          <w:sz w:val="28"/>
          <w:szCs w:val="28"/>
        </w:rPr>
        <w:t>For</w:t>
      </w:r>
      <w:r w:rsidR="00E45728" w:rsidRPr="00D566A3">
        <w:rPr>
          <w:sz w:val="28"/>
          <w:szCs w:val="28"/>
        </w:rPr>
        <w:t xml:space="preserve"> the</w:t>
      </w:r>
      <w:r w:rsidRPr="00D566A3">
        <w:rPr>
          <w:sz w:val="28"/>
          <w:szCs w:val="28"/>
        </w:rPr>
        <w:t xml:space="preserve"> appellants:</w:t>
      </w:r>
      <w:r w:rsidRPr="00D566A3">
        <w:rPr>
          <w:sz w:val="28"/>
          <w:szCs w:val="28"/>
        </w:rPr>
        <w:tab/>
      </w:r>
      <w:r w:rsidRPr="00D566A3">
        <w:rPr>
          <w:sz w:val="28"/>
          <w:szCs w:val="28"/>
        </w:rPr>
        <w:tab/>
      </w:r>
      <w:r w:rsidR="00E45728" w:rsidRPr="00D566A3">
        <w:rPr>
          <w:sz w:val="28"/>
          <w:szCs w:val="28"/>
        </w:rPr>
        <w:t xml:space="preserve">          </w:t>
      </w:r>
      <w:r w:rsidRPr="00D566A3">
        <w:rPr>
          <w:sz w:val="28"/>
          <w:szCs w:val="28"/>
        </w:rPr>
        <w:t xml:space="preserve">N A Janse van Rensburg </w:t>
      </w:r>
    </w:p>
    <w:p w14:paraId="6B9BA0F0" w14:textId="4B717BD5" w:rsidR="0010252F" w:rsidRPr="00D566A3" w:rsidRDefault="0010252F" w:rsidP="0010252F">
      <w:pPr>
        <w:rPr>
          <w:bCs/>
          <w:sz w:val="28"/>
          <w:szCs w:val="28"/>
        </w:rPr>
      </w:pPr>
      <w:r w:rsidRPr="00D566A3">
        <w:rPr>
          <w:bCs/>
          <w:sz w:val="28"/>
          <w:szCs w:val="28"/>
        </w:rPr>
        <w:tab/>
      </w:r>
      <w:r w:rsidR="00583180" w:rsidRPr="00D566A3">
        <w:rPr>
          <w:bCs/>
          <w:sz w:val="28"/>
          <w:szCs w:val="28"/>
        </w:rPr>
        <w:tab/>
      </w:r>
      <w:r w:rsidR="004046F7" w:rsidRPr="00D566A3">
        <w:rPr>
          <w:bCs/>
          <w:sz w:val="28"/>
          <w:szCs w:val="28"/>
        </w:rPr>
        <w:t xml:space="preserve">                              </w:t>
      </w:r>
      <w:r w:rsidRPr="00D566A3">
        <w:rPr>
          <w:bCs/>
          <w:sz w:val="28"/>
          <w:szCs w:val="28"/>
        </w:rPr>
        <w:t xml:space="preserve">MacRobert </w:t>
      </w:r>
      <w:r w:rsidR="00C2213B" w:rsidRPr="00D566A3">
        <w:rPr>
          <w:bCs/>
          <w:sz w:val="28"/>
          <w:szCs w:val="28"/>
        </w:rPr>
        <w:t>Attorneys</w:t>
      </w:r>
      <w:r w:rsidRPr="00D566A3">
        <w:rPr>
          <w:bCs/>
          <w:sz w:val="28"/>
          <w:szCs w:val="28"/>
        </w:rPr>
        <w:t>, Durban</w:t>
      </w:r>
    </w:p>
    <w:p w14:paraId="4C7A0E19" w14:textId="732D120A" w:rsidR="0010252F" w:rsidRPr="00D566A3" w:rsidRDefault="0010252F" w:rsidP="0010252F">
      <w:pPr>
        <w:rPr>
          <w:bCs/>
          <w:sz w:val="28"/>
          <w:szCs w:val="28"/>
        </w:rPr>
      </w:pPr>
      <w:r w:rsidRPr="00D566A3">
        <w:rPr>
          <w:bCs/>
          <w:sz w:val="28"/>
          <w:szCs w:val="28"/>
        </w:rPr>
        <w:t xml:space="preserve">                                                   Webbers</w:t>
      </w:r>
      <w:r w:rsidR="00C2213B" w:rsidRPr="00D566A3">
        <w:rPr>
          <w:bCs/>
          <w:sz w:val="28"/>
          <w:szCs w:val="28"/>
        </w:rPr>
        <w:t xml:space="preserve"> Attorneys</w:t>
      </w:r>
      <w:r w:rsidRPr="00D566A3">
        <w:rPr>
          <w:bCs/>
          <w:sz w:val="28"/>
          <w:szCs w:val="28"/>
        </w:rPr>
        <w:t>, Bloemfontein</w:t>
      </w:r>
    </w:p>
    <w:p w14:paraId="017BB91E" w14:textId="77777777" w:rsidR="0010252F" w:rsidRPr="00D566A3" w:rsidRDefault="0010252F" w:rsidP="0010252F">
      <w:pPr>
        <w:rPr>
          <w:bCs/>
          <w:sz w:val="28"/>
          <w:szCs w:val="28"/>
        </w:rPr>
      </w:pPr>
      <w:r w:rsidRPr="00D566A3">
        <w:rPr>
          <w:bCs/>
          <w:sz w:val="28"/>
          <w:szCs w:val="28"/>
        </w:rPr>
        <w:t xml:space="preserve">                </w:t>
      </w:r>
    </w:p>
    <w:p w14:paraId="027953D2" w14:textId="42F7573A" w:rsidR="0010252F" w:rsidRPr="00D566A3" w:rsidRDefault="0010252F" w:rsidP="0010252F">
      <w:pPr>
        <w:rPr>
          <w:sz w:val="28"/>
          <w:szCs w:val="28"/>
        </w:rPr>
      </w:pPr>
      <w:r w:rsidRPr="00D566A3">
        <w:rPr>
          <w:sz w:val="28"/>
          <w:szCs w:val="28"/>
        </w:rPr>
        <w:t xml:space="preserve">For </w:t>
      </w:r>
      <w:r w:rsidR="00E45728" w:rsidRPr="00D566A3">
        <w:rPr>
          <w:sz w:val="28"/>
          <w:szCs w:val="28"/>
        </w:rPr>
        <w:t xml:space="preserve">the first </w:t>
      </w:r>
      <w:r w:rsidRPr="00D566A3">
        <w:rPr>
          <w:sz w:val="28"/>
          <w:szCs w:val="28"/>
        </w:rPr>
        <w:t>respondent:</w:t>
      </w:r>
      <w:r w:rsidRPr="00D566A3">
        <w:rPr>
          <w:sz w:val="28"/>
          <w:szCs w:val="28"/>
        </w:rPr>
        <w:tab/>
      </w:r>
      <w:r w:rsidRPr="00D566A3">
        <w:rPr>
          <w:sz w:val="28"/>
          <w:szCs w:val="28"/>
        </w:rPr>
        <w:tab/>
        <w:t xml:space="preserve">S </w:t>
      </w:r>
      <w:r w:rsidR="00F315C3" w:rsidRPr="00D566A3">
        <w:rPr>
          <w:sz w:val="28"/>
          <w:szCs w:val="28"/>
        </w:rPr>
        <w:t>R Mullins</w:t>
      </w:r>
      <w:r w:rsidRPr="00D566A3">
        <w:rPr>
          <w:sz w:val="28"/>
          <w:szCs w:val="28"/>
        </w:rPr>
        <w:t xml:space="preserve"> SC </w:t>
      </w:r>
      <w:r w:rsidR="00F315C3" w:rsidRPr="00D566A3">
        <w:rPr>
          <w:sz w:val="28"/>
          <w:szCs w:val="28"/>
        </w:rPr>
        <w:t>and J</w:t>
      </w:r>
      <w:r w:rsidRPr="00D566A3">
        <w:rPr>
          <w:sz w:val="28"/>
          <w:szCs w:val="28"/>
        </w:rPr>
        <w:t xml:space="preserve"> A Ploos van Amstel </w:t>
      </w:r>
    </w:p>
    <w:p w14:paraId="0391614E" w14:textId="076D0BFE" w:rsidR="0010252F" w:rsidRPr="00D566A3" w:rsidRDefault="0010252F" w:rsidP="0010252F">
      <w:pPr>
        <w:rPr>
          <w:bCs/>
          <w:sz w:val="28"/>
          <w:szCs w:val="28"/>
        </w:rPr>
      </w:pPr>
      <w:r w:rsidRPr="00D566A3">
        <w:rPr>
          <w:bCs/>
          <w:sz w:val="28"/>
          <w:szCs w:val="28"/>
        </w:rPr>
        <w:t>Instructed by:</w:t>
      </w:r>
      <w:r w:rsidRPr="00D566A3">
        <w:rPr>
          <w:bCs/>
          <w:sz w:val="28"/>
          <w:szCs w:val="28"/>
        </w:rPr>
        <w:tab/>
      </w:r>
      <w:r w:rsidRPr="00D566A3">
        <w:rPr>
          <w:bCs/>
          <w:sz w:val="28"/>
          <w:szCs w:val="28"/>
        </w:rPr>
        <w:tab/>
      </w:r>
      <w:r w:rsidRPr="00D566A3">
        <w:rPr>
          <w:bCs/>
          <w:sz w:val="28"/>
          <w:szCs w:val="28"/>
        </w:rPr>
        <w:tab/>
        <w:t>N Kelly Inc</w:t>
      </w:r>
      <w:r w:rsidR="00C2213B" w:rsidRPr="00D566A3">
        <w:rPr>
          <w:bCs/>
          <w:sz w:val="28"/>
          <w:szCs w:val="28"/>
        </w:rPr>
        <w:t>orporated Attorneys</w:t>
      </w:r>
      <w:r w:rsidRPr="00D566A3">
        <w:rPr>
          <w:bCs/>
          <w:sz w:val="28"/>
          <w:szCs w:val="28"/>
        </w:rPr>
        <w:t>, Illovo</w:t>
      </w:r>
    </w:p>
    <w:p w14:paraId="7B4EAD48" w14:textId="77777777" w:rsidR="0010252F" w:rsidRPr="00147C93" w:rsidRDefault="0010252F" w:rsidP="0010252F">
      <w:pPr>
        <w:rPr>
          <w:bCs/>
          <w:sz w:val="28"/>
          <w:szCs w:val="28"/>
        </w:rPr>
      </w:pPr>
      <w:r w:rsidRPr="00D566A3">
        <w:rPr>
          <w:bCs/>
          <w:sz w:val="28"/>
          <w:szCs w:val="28"/>
        </w:rPr>
        <w:t xml:space="preserve">                                                   Green Attorneys, Bloemfontein</w:t>
      </w:r>
    </w:p>
    <w:p w14:paraId="145AA0B6" w14:textId="77777777" w:rsidR="0010252F" w:rsidRPr="00147C93" w:rsidRDefault="0010252F" w:rsidP="0010252F">
      <w:pPr>
        <w:rPr>
          <w:bCs/>
          <w:sz w:val="28"/>
          <w:szCs w:val="28"/>
        </w:rPr>
      </w:pPr>
      <w:r w:rsidRPr="00147C93">
        <w:rPr>
          <w:bCs/>
          <w:sz w:val="28"/>
          <w:szCs w:val="28"/>
        </w:rPr>
        <w:t xml:space="preserve">            </w:t>
      </w:r>
    </w:p>
    <w:p w14:paraId="73D422BB" w14:textId="77777777" w:rsidR="0010252F" w:rsidRPr="00147C93" w:rsidRDefault="0010252F" w:rsidP="0010252F">
      <w:pPr>
        <w:rPr>
          <w:bCs/>
          <w:sz w:val="28"/>
          <w:szCs w:val="28"/>
        </w:rPr>
      </w:pPr>
      <w:r w:rsidRPr="00147C93">
        <w:rPr>
          <w:bCs/>
          <w:sz w:val="28"/>
          <w:szCs w:val="28"/>
        </w:rPr>
        <w:t xml:space="preserve">                                                     </w:t>
      </w:r>
    </w:p>
    <w:p w14:paraId="2C455E1D" w14:textId="77777777" w:rsidR="0010252F" w:rsidRPr="00147C93" w:rsidRDefault="0010252F" w:rsidP="0010252F">
      <w:pPr>
        <w:rPr>
          <w:sz w:val="28"/>
          <w:szCs w:val="28"/>
        </w:rPr>
      </w:pPr>
      <w:r w:rsidRPr="00147C93">
        <w:rPr>
          <w:sz w:val="28"/>
          <w:szCs w:val="28"/>
        </w:rPr>
        <w:tab/>
      </w:r>
    </w:p>
    <w:p w14:paraId="7C3853E0" w14:textId="77777777" w:rsidR="007F172C" w:rsidRDefault="007F172C"/>
    <w:sectPr w:rsidR="007F172C" w:rsidSect="007F35B8">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8445" w14:textId="77777777" w:rsidR="00B2381C" w:rsidRDefault="00B2381C" w:rsidP="0010252F">
      <w:pPr>
        <w:spacing w:line="240" w:lineRule="auto"/>
      </w:pPr>
      <w:r>
        <w:separator/>
      </w:r>
    </w:p>
  </w:endnote>
  <w:endnote w:type="continuationSeparator" w:id="0">
    <w:p w14:paraId="096BEC3A" w14:textId="77777777" w:rsidR="00B2381C" w:rsidRDefault="00B2381C" w:rsidP="00102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EE42" w14:textId="77777777" w:rsidR="00B2381C" w:rsidRDefault="00B2381C" w:rsidP="0010252F">
      <w:pPr>
        <w:spacing w:line="240" w:lineRule="auto"/>
      </w:pPr>
      <w:r>
        <w:separator/>
      </w:r>
    </w:p>
  </w:footnote>
  <w:footnote w:type="continuationSeparator" w:id="0">
    <w:p w14:paraId="1EC241EF" w14:textId="77777777" w:rsidR="00B2381C" w:rsidRDefault="00B2381C" w:rsidP="0010252F">
      <w:pPr>
        <w:spacing w:line="240" w:lineRule="auto"/>
      </w:pPr>
      <w:r>
        <w:continuationSeparator/>
      </w:r>
    </w:p>
  </w:footnote>
  <w:footnote w:id="1">
    <w:p w14:paraId="14C7745E" w14:textId="77777777" w:rsidR="00EA61BF" w:rsidRPr="00792CD5" w:rsidRDefault="00EA61BF" w:rsidP="00D566A3">
      <w:pPr>
        <w:pStyle w:val="FootnoteText"/>
        <w:spacing w:line="240" w:lineRule="auto"/>
        <w:rPr>
          <w:lang w:val="en-US"/>
        </w:rPr>
      </w:pPr>
      <w:r>
        <w:rPr>
          <w:rStyle w:val="FootnoteReference"/>
        </w:rPr>
        <w:footnoteRef/>
      </w:r>
      <w:r>
        <w:t xml:space="preserve"> </w:t>
      </w:r>
      <w:r>
        <w:rPr>
          <w:lang w:val="en-US"/>
        </w:rPr>
        <w:t>Low amount of oxygen in the blood.</w:t>
      </w:r>
    </w:p>
  </w:footnote>
  <w:footnote w:id="2">
    <w:p w14:paraId="3007C094" w14:textId="05AF1026" w:rsidR="000E1D06" w:rsidRPr="000E1D06" w:rsidRDefault="000E1D06" w:rsidP="00D566A3">
      <w:pPr>
        <w:pStyle w:val="FootnoteText"/>
        <w:spacing w:line="240" w:lineRule="auto"/>
        <w:rPr>
          <w:lang w:val="en-US"/>
        </w:rPr>
      </w:pPr>
      <w:r w:rsidRPr="00D566A3">
        <w:rPr>
          <w:rStyle w:val="FootnoteReference"/>
        </w:rPr>
        <w:footnoteRef/>
      </w:r>
      <w:r w:rsidRPr="00D566A3">
        <w:t xml:space="preserve"> </w:t>
      </w:r>
      <w:r w:rsidR="00413A39" w:rsidRPr="00D566A3">
        <w:t>S</w:t>
      </w:r>
      <w:r w:rsidRPr="00D566A3">
        <w:rPr>
          <w:lang w:val="en-US"/>
        </w:rPr>
        <w:t>table blood flow.</w:t>
      </w:r>
    </w:p>
  </w:footnote>
  <w:footnote w:id="3">
    <w:p w14:paraId="42C7F305" w14:textId="1806794E" w:rsidR="00EA61BF" w:rsidRPr="00AF66BF" w:rsidRDefault="00EA61BF" w:rsidP="00D566A3">
      <w:pPr>
        <w:pStyle w:val="FootnoteText"/>
        <w:spacing w:line="240" w:lineRule="auto"/>
        <w:rPr>
          <w:lang w:val="en-US"/>
        </w:rPr>
      </w:pPr>
      <w:r>
        <w:rPr>
          <w:rStyle w:val="FootnoteReference"/>
        </w:rPr>
        <w:footnoteRef/>
      </w:r>
      <w:r>
        <w:t xml:space="preserve"> A procedure of assigning de</w:t>
      </w:r>
      <w:r w:rsidR="008B4376">
        <w:t>g</w:t>
      </w:r>
      <w:r>
        <w:t xml:space="preserve">rees of </w:t>
      </w:r>
      <w:r w:rsidRPr="004B4110">
        <w:t>ur</w:t>
      </w:r>
      <w:r>
        <w:t>gency to illnesses to decide the order of treatment of patients.</w:t>
      </w:r>
    </w:p>
  </w:footnote>
  <w:footnote w:id="4">
    <w:p w14:paraId="1449A494" w14:textId="147963E9" w:rsidR="004B4110" w:rsidRPr="004B4110" w:rsidRDefault="004B4110" w:rsidP="00D566A3">
      <w:pPr>
        <w:pStyle w:val="FootnoteText"/>
        <w:spacing w:line="240" w:lineRule="auto"/>
        <w:rPr>
          <w:lang w:val="en-US"/>
        </w:rPr>
      </w:pPr>
      <w:r>
        <w:rPr>
          <w:rStyle w:val="FootnoteReference"/>
        </w:rPr>
        <w:footnoteRef/>
      </w:r>
      <w:r>
        <w:t xml:space="preserve"> </w:t>
      </w:r>
      <w:r>
        <w:rPr>
          <w:lang w:val="en-US"/>
        </w:rPr>
        <w:t>A techni</w:t>
      </w:r>
      <w:r w:rsidR="00711E5E">
        <w:rPr>
          <w:lang w:val="en-US"/>
        </w:rPr>
        <w:t xml:space="preserve">cian who collects blood from patients and prepare the samples for testing.  </w:t>
      </w:r>
    </w:p>
  </w:footnote>
  <w:footnote w:id="5">
    <w:p w14:paraId="0BC2DB7D" w14:textId="7308421C" w:rsidR="00EA61BF" w:rsidRPr="00087005" w:rsidRDefault="00EA61BF" w:rsidP="0010252F">
      <w:pPr>
        <w:pStyle w:val="FootnoteText"/>
        <w:spacing w:line="240" w:lineRule="auto"/>
        <w:rPr>
          <w:lang w:val="en-US"/>
        </w:rPr>
      </w:pPr>
      <w:r w:rsidRPr="00D566A3">
        <w:rPr>
          <w:rStyle w:val="FootnoteReference"/>
        </w:rPr>
        <w:footnoteRef/>
      </w:r>
      <w:r w:rsidRPr="00D566A3">
        <w:t xml:space="preserve"> </w:t>
      </w:r>
      <w:bookmarkStart w:id="1" w:name="_Hlk121742889"/>
      <w:bookmarkStart w:id="2" w:name="_Hlk121743304"/>
      <w:r w:rsidRPr="00D566A3">
        <w:rPr>
          <w:i/>
          <w:lang w:val="en-US"/>
        </w:rPr>
        <w:t>Chartaprops 16 (Pty) Ltd and Another v Silberman</w:t>
      </w:r>
      <w:r w:rsidRPr="00D566A3">
        <w:rPr>
          <w:lang w:val="en-US"/>
        </w:rPr>
        <w:t xml:space="preserve"> </w:t>
      </w:r>
      <w:bookmarkEnd w:id="1"/>
      <w:r w:rsidRPr="00D566A3">
        <w:rPr>
          <w:lang w:val="en-US"/>
        </w:rPr>
        <w:t>[2008] ZASCA 115; 2009 (1) SA 265 (SCA);</w:t>
      </w:r>
      <w:r w:rsidRPr="00D566A3">
        <w:t xml:space="preserve"> </w:t>
      </w:r>
      <w:r w:rsidRPr="00D566A3">
        <w:rPr>
          <w:lang w:val="en-US"/>
        </w:rPr>
        <w:t xml:space="preserve">[2009] 1 All SA 197 (SCA) paras </w:t>
      </w:r>
      <w:bookmarkEnd w:id="2"/>
      <w:r w:rsidRPr="00D566A3">
        <w:rPr>
          <w:lang w:val="en-US"/>
        </w:rPr>
        <w:t xml:space="preserve">6 and 42; </w:t>
      </w:r>
      <w:r w:rsidRPr="00D566A3">
        <w:rPr>
          <w:i/>
          <w:lang w:val="en-US"/>
        </w:rPr>
        <w:t>Langley Fox Building Partnership (Pty) Ltd v De Valence</w:t>
      </w:r>
      <w:r w:rsidRPr="00D566A3">
        <w:rPr>
          <w:lang w:val="en-US"/>
        </w:rPr>
        <w:t xml:space="preserve"> 1991 (1) SA 1 (A);</w:t>
      </w:r>
      <w:r w:rsidRPr="00D566A3">
        <w:t xml:space="preserve"> </w:t>
      </w:r>
      <w:r w:rsidRPr="00D566A3">
        <w:rPr>
          <w:lang w:val="en-US"/>
        </w:rPr>
        <w:t>[1991] 3 All SA 736 (A).</w:t>
      </w:r>
    </w:p>
  </w:footnote>
  <w:footnote w:id="6">
    <w:p w14:paraId="440D3E81" w14:textId="0AF92EDE" w:rsidR="00C94565" w:rsidRPr="00023086" w:rsidRDefault="00C94565" w:rsidP="001B2950">
      <w:pPr>
        <w:pStyle w:val="FootnoteText"/>
        <w:spacing w:line="240" w:lineRule="auto"/>
        <w:rPr>
          <w:lang w:val="en-US"/>
        </w:rPr>
      </w:pPr>
      <w:r>
        <w:rPr>
          <w:rStyle w:val="FootnoteReference"/>
        </w:rPr>
        <w:footnoteRef/>
      </w:r>
      <w:r>
        <w:t xml:space="preserve"> </w:t>
      </w:r>
      <w:r w:rsidRPr="00FB7AF1">
        <w:rPr>
          <w:i/>
          <w:lang w:val="en-US"/>
        </w:rPr>
        <w:t>Chartaprops 16 (Pty) Ltd and Another v Silberman</w:t>
      </w:r>
      <w:r w:rsidRPr="00FB7AF1">
        <w:rPr>
          <w:lang w:val="en-US"/>
        </w:rPr>
        <w:t xml:space="preserve"> [2008] ZASCA 115; 2009 (1) SA 265 (SCA)</w:t>
      </w:r>
      <w:r>
        <w:rPr>
          <w:lang w:val="en-US"/>
        </w:rPr>
        <w:t>;</w:t>
      </w:r>
      <w:r w:rsidRPr="00FB7AF1">
        <w:rPr>
          <w:lang w:val="en-US"/>
        </w:rPr>
        <w:t xml:space="preserve"> </w:t>
      </w:r>
      <w:r w:rsidRPr="005952E2">
        <w:rPr>
          <w:lang w:val="en-US"/>
        </w:rPr>
        <w:t>[2009] 1 All SA 197 (SCA)</w:t>
      </w:r>
      <w:r>
        <w:rPr>
          <w:lang w:val="en-US"/>
        </w:rPr>
        <w:t xml:space="preserve"> para 6.</w:t>
      </w:r>
    </w:p>
  </w:footnote>
  <w:footnote w:id="7">
    <w:p w14:paraId="21DEFC65" w14:textId="64A30692" w:rsidR="00C94565" w:rsidRPr="00C94565" w:rsidRDefault="00C94565" w:rsidP="001B2950">
      <w:pPr>
        <w:pStyle w:val="FootnoteText"/>
        <w:spacing w:line="240" w:lineRule="auto"/>
        <w:rPr>
          <w:lang w:val="en-US"/>
        </w:rPr>
      </w:pPr>
      <w:r>
        <w:rPr>
          <w:rStyle w:val="FootnoteReference"/>
        </w:rPr>
        <w:footnoteRef/>
      </w:r>
      <w:r>
        <w:t xml:space="preserve"> </w:t>
      </w:r>
      <w:r>
        <w:rPr>
          <w:lang w:val="en-US"/>
        </w:rPr>
        <w:t>Ibid para 28.</w:t>
      </w:r>
    </w:p>
  </w:footnote>
  <w:footnote w:id="8">
    <w:p w14:paraId="54D8E520" w14:textId="79104FF2" w:rsidR="001B2950" w:rsidRPr="001B2950" w:rsidRDefault="001B2950" w:rsidP="001B2950">
      <w:pPr>
        <w:pStyle w:val="FootnoteText"/>
        <w:spacing w:line="240" w:lineRule="auto"/>
        <w:rPr>
          <w:lang w:val="en-US"/>
        </w:rPr>
      </w:pPr>
      <w:r>
        <w:rPr>
          <w:rStyle w:val="FootnoteReference"/>
        </w:rPr>
        <w:footnoteRef/>
      </w:r>
      <w:r>
        <w:t xml:space="preserve"> </w:t>
      </w:r>
      <w:r>
        <w:rPr>
          <w:lang w:val="en-US"/>
        </w:rPr>
        <w:t>Ibid paras 7-26.</w:t>
      </w:r>
    </w:p>
  </w:footnote>
  <w:footnote w:id="9">
    <w:p w14:paraId="7FE53649" w14:textId="3E984938" w:rsidR="00EA61BF" w:rsidRPr="008572DD" w:rsidRDefault="00EA61BF" w:rsidP="001B2950">
      <w:pPr>
        <w:pStyle w:val="FootnoteText"/>
        <w:spacing w:line="240" w:lineRule="auto"/>
        <w:rPr>
          <w:lang w:val="en-US"/>
        </w:rPr>
      </w:pPr>
      <w:r>
        <w:rPr>
          <w:rStyle w:val="FootnoteReference"/>
        </w:rPr>
        <w:footnoteRef/>
      </w:r>
      <w:r>
        <w:t xml:space="preserve"> </w:t>
      </w:r>
      <w:r w:rsidRPr="003B7524">
        <w:rPr>
          <w:i/>
        </w:rPr>
        <w:t>Woodland v Essex County Council</w:t>
      </w:r>
      <w:r>
        <w:t xml:space="preserve"> [2013] UKSC 66; </w:t>
      </w:r>
      <w:r w:rsidRPr="003B7524">
        <w:rPr>
          <w:i/>
        </w:rPr>
        <w:t>Hughes v Rattan</w:t>
      </w:r>
      <w:r>
        <w:t xml:space="preserve"> [2021] EWHC 2032 (QB).   </w:t>
      </w:r>
    </w:p>
  </w:footnote>
  <w:footnote w:id="10">
    <w:p w14:paraId="776540E3" w14:textId="31647B94" w:rsidR="00EA61BF" w:rsidRPr="00D566A3" w:rsidRDefault="00EA61BF" w:rsidP="00AC1C9B">
      <w:pPr>
        <w:pStyle w:val="FootnoteText"/>
        <w:spacing w:line="240" w:lineRule="auto"/>
      </w:pPr>
      <w:r w:rsidRPr="00D566A3">
        <w:rPr>
          <w:rStyle w:val="FootnoteReference"/>
        </w:rPr>
        <w:footnoteRef/>
      </w:r>
      <w:r w:rsidRPr="00D566A3">
        <w:t xml:space="preserve"> </w:t>
      </w:r>
      <w:r w:rsidRPr="00D566A3">
        <w:rPr>
          <w:i/>
          <w:lang w:val="en-US"/>
        </w:rPr>
        <w:t>Chartaprops</w:t>
      </w:r>
      <w:r w:rsidRPr="00D566A3">
        <w:rPr>
          <w:lang w:val="en-US"/>
        </w:rPr>
        <w:t xml:space="preserve"> </w:t>
      </w:r>
      <w:r w:rsidR="00E36553" w:rsidRPr="00D566A3">
        <w:rPr>
          <w:lang w:val="en-US"/>
        </w:rPr>
        <w:t xml:space="preserve">fn </w:t>
      </w:r>
      <w:r w:rsidR="00CB6881" w:rsidRPr="00D566A3">
        <w:rPr>
          <w:lang w:val="en-US"/>
        </w:rPr>
        <w:t>6</w:t>
      </w:r>
      <w:r w:rsidR="00E36553" w:rsidRPr="00D566A3">
        <w:rPr>
          <w:lang w:val="en-US"/>
        </w:rPr>
        <w:t xml:space="preserve"> </w:t>
      </w:r>
      <w:r w:rsidRPr="00D566A3">
        <w:rPr>
          <w:lang w:val="en-US"/>
        </w:rPr>
        <w:t>para 44.</w:t>
      </w:r>
    </w:p>
  </w:footnote>
  <w:footnote w:id="11">
    <w:p w14:paraId="13196DBE" w14:textId="77777777" w:rsidR="00EA61BF" w:rsidRPr="00D566A3" w:rsidRDefault="00EA61BF" w:rsidP="00A02A6F">
      <w:pPr>
        <w:pStyle w:val="FootnoteText"/>
        <w:spacing w:line="240" w:lineRule="auto"/>
        <w:rPr>
          <w:lang w:val="en-US"/>
        </w:rPr>
      </w:pPr>
      <w:r w:rsidRPr="00D566A3">
        <w:rPr>
          <w:rStyle w:val="FootnoteReference"/>
        </w:rPr>
        <w:footnoteRef/>
      </w:r>
      <w:r w:rsidRPr="00D566A3">
        <w:t xml:space="preserve"> </w:t>
      </w:r>
      <w:r w:rsidRPr="00D566A3">
        <w:rPr>
          <w:lang w:val="en-US"/>
        </w:rPr>
        <w:t xml:space="preserve">Section 39(2) of the Constitution.  </w:t>
      </w:r>
    </w:p>
  </w:footnote>
  <w:footnote w:id="12">
    <w:p w14:paraId="5193C247" w14:textId="733DB5EB" w:rsidR="00EA61BF" w:rsidRPr="0043343F" w:rsidRDefault="00EA61BF" w:rsidP="00597EE7">
      <w:pPr>
        <w:pStyle w:val="FootnoteText"/>
        <w:spacing w:line="240" w:lineRule="auto"/>
        <w:rPr>
          <w:lang w:val="en-US"/>
        </w:rPr>
      </w:pPr>
      <w:r w:rsidRPr="00D566A3">
        <w:rPr>
          <w:rStyle w:val="FootnoteReference"/>
        </w:rPr>
        <w:footnoteRef/>
      </w:r>
      <w:r w:rsidRPr="00D566A3">
        <w:t xml:space="preserve"> </w:t>
      </w:r>
      <w:r w:rsidRPr="00D566A3">
        <w:rPr>
          <w:i/>
        </w:rPr>
        <w:t xml:space="preserve">Dendy v University of the Witwatersrand and Others </w:t>
      </w:r>
      <w:r w:rsidRPr="00D566A3">
        <w:rPr>
          <w:iCs/>
        </w:rPr>
        <w:t xml:space="preserve">[2007] ZASCA 30; [2007] 3 All SA 1 (SCA); </w:t>
      </w:r>
      <w:r w:rsidRPr="00D566A3">
        <w:t>2007 (8) BCLR 910 (SCA) paras 22-23.</w:t>
      </w:r>
      <w:r>
        <w:t xml:space="preserve"> </w:t>
      </w:r>
    </w:p>
  </w:footnote>
  <w:footnote w:id="13">
    <w:p w14:paraId="22EA96F5" w14:textId="6A9327B4" w:rsidR="00EA61BF" w:rsidRPr="007657D6" w:rsidRDefault="00EA61BF" w:rsidP="004046F7">
      <w:pPr>
        <w:pStyle w:val="FootnoteText"/>
        <w:spacing w:line="240" w:lineRule="auto"/>
        <w:rPr>
          <w:lang w:val="en-ZA"/>
        </w:rPr>
      </w:pPr>
      <w:r w:rsidRPr="007657D6">
        <w:rPr>
          <w:rStyle w:val="FootnoteReference"/>
        </w:rPr>
        <w:footnoteRef/>
      </w:r>
      <w:r w:rsidRPr="007657D6">
        <w:t xml:space="preserve"> </w:t>
      </w:r>
      <w:r w:rsidRPr="007657D6">
        <w:rPr>
          <w:bCs/>
          <w:i/>
          <w:color w:val="000000"/>
          <w:shd w:val="clear" w:color="auto" w:fill="FFFFFF"/>
        </w:rPr>
        <w:t>Mighty Solutions CC t/a Orlando Service Station v Engen Petroleum Ltd and Another</w:t>
      </w:r>
      <w:r w:rsidRPr="007657D6">
        <w:rPr>
          <w:bCs/>
          <w:color w:val="000000"/>
          <w:shd w:val="clear" w:color="auto" w:fill="FFFFFF"/>
        </w:rPr>
        <w:t xml:space="preserve"> [2015] ZACC 34; 2</w:t>
      </w:r>
      <w:r w:rsidRPr="007657D6">
        <w:rPr>
          <w:shd w:val="clear" w:color="auto" w:fill="FFFFFF"/>
        </w:rPr>
        <w:t>016 (1) SA 621 (CC); </w:t>
      </w:r>
      <w:r w:rsidRPr="007657D6">
        <w:rPr>
          <w:bCs/>
          <w:color w:val="000000"/>
          <w:shd w:val="clear" w:color="auto" w:fill="FFFFFF"/>
        </w:rPr>
        <w:t>2016 (1) BCLR 28 (CC).</w:t>
      </w:r>
    </w:p>
  </w:footnote>
  <w:footnote w:id="14">
    <w:p w14:paraId="2C90F6BC" w14:textId="209BB446" w:rsidR="00EA61BF" w:rsidRPr="00AC1C9B" w:rsidRDefault="00EA61BF">
      <w:pPr>
        <w:pStyle w:val="FootnoteText"/>
        <w:spacing w:line="240" w:lineRule="auto"/>
        <w:rPr>
          <w:bCs/>
          <w:color w:val="000000"/>
          <w:shd w:val="clear" w:color="auto" w:fill="FFFFFF"/>
          <w:lang w:val="en-ZA"/>
        </w:rPr>
      </w:pPr>
      <w:r w:rsidRPr="007657D6">
        <w:rPr>
          <w:rStyle w:val="FootnoteReference"/>
        </w:rPr>
        <w:footnoteRef/>
      </w:r>
      <w:r w:rsidRPr="007657D6">
        <w:rPr>
          <w:bCs/>
          <w:color w:val="000000"/>
          <w:shd w:val="clear" w:color="auto" w:fill="FFFFFF"/>
        </w:rPr>
        <w:t xml:space="preserve"> Ibid paras 38-39. See also </w:t>
      </w:r>
      <w:r w:rsidRPr="007657D6">
        <w:rPr>
          <w:bCs/>
          <w:i/>
          <w:color w:val="000000"/>
          <w:shd w:val="clear" w:color="auto" w:fill="FFFFFF"/>
        </w:rPr>
        <w:t>Carmichele v Minister</w:t>
      </w:r>
      <w:r w:rsidRPr="00AC1C9B">
        <w:rPr>
          <w:bCs/>
          <w:i/>
          <w:color w:val="000000"/>
          <w:shd w:val="clear" w:color="auto" w:fill="FFFFFF"/>
        </w:rPr>
        <w:t xml:space="preserve"> of Safety and Security and Another</w:t>
      </w:r>
      <w:r w:rsidRPr="00AC1C9B">
        <w:rPr>
          <w:bCs/>
          <w:color w:val="000000"/>
          <w:shd w:val="clear" w:color="auto" w:fill="FFFFFF"/>
        </w:rPr>
        <w:t xml:space="preserve"> </w:t>
      </w:r>
      <w:r w:rsidRPr="00516679">
        <w:rPr>
          <w:bCs/>
          <w:color w:val="000000"/>
          <w:shd w:val="clear" w:color="auto" w:fill="FFFFFF"/>
          <w:lang w:val="en-ZA"/>
        </w:rPr>
        <w:t>[2001] ZACC 22;</w:t>
      </w:r>
      <w:r>
        <w:rPr>
          <w:bCs/>
          <w:color w:val="000000"/>
          <w:shd w:val="clear" w:color="auto" w:fill="FFFFFF"/>
          <w:lang w:val="en-ZA"/>
        </w:rPr>
        <w:t xml:space="preserve"> </w:t>
      </w:r>
      <w:r w:rsidRPr="00AC1C9B">
        <w:rPr>
          <w:bCs/>
          <w:color w:val="000000"/>
          <w:shd w:val="clear" w:color="auto" w:fill="FFFFFF"/>
        </w:rPr>
        <w:t>2001 (4) SA 938 (CC) para</w:t>
      </w:r>
      <w:r>
        <w:rPr>
          <w:bCs/>
          <w:color w:val="000000"/>
          <w:shd w:val="clear" w:color="auto" w:fill="FFFFFF"/>
        </w:rPr>
        <w:t>s</w:t>
      </w:r>
      <w:r w:rsidRPr="00AC1C9B">
        <w:rPr>
          <w:bCs/>
          <w:color w:val="000000"/>
          <w:shd w:val="clear" w:color="auto" w:fill="FFFFFF"/>
        </w:rPr>
        <w:t xml:space="preserve"> </w:t>
      </w:r>
      <w:r>
        <w:rPr>
          <w:bCs/>
          <w:color w:val="000000"/>
          <w:shd w:val="clear" w:color="auto" w:fill="FFFFFF"/>
        </w:rPr>
        <w:t>40-</w:t>
      </w:r>
      <w:r w:rsidRPr="00AC1C9B">
        <w:rPr>
          <w:bCs/>
          <w:color w:val="000000"/>
          <w:shd w:val="clear" w:color="auto" w:fill="FFFFFF"/>
        </w:rPr>
        <w:t xml:space="preserve">41. </w:t>
      </w:r>
    </w:p>
  </w:footnote>
  <w:footnote w:id="15">
    <w:p w14:paraId="50565513" w14:textId="77777777" w:rsidR="00EA61BF" w:rsidRPr="00EF2BD1" w:rsidRDefault="00EA61BF" w:rsidP="00AC1C9B">
      <w:pPr>
        <w:pStyle w:val="FootnoteText"/>
        <w:spacing w:line="240" w:lineRule="auto"/>
        <w:rPr>
          <w:lang w:val="en-US"/>
        </w:rPr>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2F86" w14:textId="77777777" w:rsidR="00EA61BF" w:rsidRDefault="00EA6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90E8E" w14:textId="77777777" w:rsidR="00EA61BF" w:rsidRDefault="00EA61B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363FC839" w14:textId="18D7877C" w:rsidR="00EA61BF" w:rsidRDefault="00EA61BF">
        <w:pPr>
          <w:pStyle w:val="Header"/>
          <w:jc w:val="right"/>
        </w:pPr>
        <w:r>
          <w:fldChar w:fldCharType="begin"/>
        </w:r>
        <w:r>
          <w:instrText xml:space="preserve"> PAGE   \* MERGEFORMAT </w:instrText>
        </w:r>
        <w:r>
          <w:fldChar w:fldCharType="separate"/>
        </w:r>
        <w:r w:rsidR="0091022E">
          <w:rPr>
            <w:noProof/>
          </w:rPr>
          <w:t>4</w:t>
        </w:r>
        <w:r>
          <w:rPr>
            <w:noProof/>
          </w:rPr>
          <w:fldChar w:fldCharType="end"/>
        </w:r>
      </w:p>
    </w:sdtContent>
  </w:sdt>
  <w:p w14:paraId="47F0F83E" w14:textId="77777777" w:rsidR="00EA61BF" w:rsidRDefault="00EA61BF">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2444AA6E" w14:textId="77777777" w:rsidR="00EA61BF" w:rsidRDefault="00B2381C">
        <w:pPr>
          <w:pStyle w:val="Header"/>
          <w:jc w:val="right"/>
        </w:pPr>
      </w:p>
    </w:sdtContent>
  </w:sdt>
  <w:p w14:paraId="794AF362" w14:textId="77777777" w:rsidR="00EA61BF" w:rsidRDefault="00EA6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63"/>
    <w:multiLevelType w:val="multilevel"/>
    <w:tmpl w:val="BF84C2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71682"/>
    <w:multiLevelType w:val="hybridMultilevel"/>
    <w:tmpl w:val="084CCEAC"/>
    <w:lvl w:ilvl="0" w:tplc="1D84925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488E"/>
    <w:multiLevelType w:val="hybridMultilevel"/>
    <w:tmpl w:val="B824B3BC"/>
    <w:lvl w:ilvl="0" w:tplc="C986BBAC">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929"/>
    <w:multiLevelType w:val="hybridMultilevel"/>
    <w:tmpl w:val="ED10FE46"/>
    <w:lvl w:ilvl="0" w:tplc="4A448992">
      <w:start w:val="1"/>
      <w:numFmt w:val="decimal"/>
      <w:lvlText w:val="[%1]"/>
      <w:lvlJc w:val="left"/>
      <w:pPr>
        <w:ind w:left="99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53093"/>
    <w:multiLevelType w:val="hybridMultilevel"/>
    <w:tmpl w:val="C19C0414"/>
    <w:lvl w:ilvl="0" w:tplc="939C5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67699"/>
    <w:multiLevelType w:val="hybridMultilevel"/>
    <w:tmpl w:val="452E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48C681-3909-4600-A3C6-7C8E7FBFF5D6}"/>
    <w:docVar w:name="dgnword-eventsink" w:val="1630231053136"/>
  </w:docVars>
  <w:rsids>
    <w:rsidRoot w:val="0010252F"/>
    <w:rsid w:val="00001788"/>
    <w:rsid w:val="000063ED"/>
    <w:rsid w:val="00011E3F"/>
    <w:rsid w:val="0001441C"/>
    <w:rsid w:val="000144FA"/>
    <w:rsid w:val="00015BC2"/>
    <w:rsid w:val="00017CC7"/>
    <w:rsid w:val="00022CF5"/>
    <w:rsid w:val="00023086"/>
    <w:rsid w:val="00026C42"/>
    <w:rsid w:val="00030FFF"/>
    <w:rsid w:val="00032174"/>
    <w:rsid w:val="0005240D"/>
    <w:rsid w:val="00055AC8"/>
    <w:rsid w:val="00071830"/>
    <w:rsid w:val="0008393F"/>
    <w:rsid w:val="00083F14"/>
    <w:rsid w:val="0008465B"/>
    <w:rsid w:val="000966DC"/>
    <w:rsid w:val="000A6F12"/>
    <w:rsid w:val="000B14D7"/>
    <w:rsid w:val="000D6041"/>
    <w:rsid w:val="000E1D06"/>
    <w:rsid w:val="000E39AF"/>
    <w:rsid w:val="000E7585"/>
    <w:rsid w:val="000F2B9B"/>
    <w:rsid w:val="000F3A37"/>
    <w:rsid w:val="0010252F"/>
    <w:rsid w:val="00104F06"/>
    <w:rsid w:val="00111445"/>
    <w:rsid w:val="00114533"/>
    <w:rsid w:val="00116450"/>
    <w:rsid w:val="001323AE"/>
    <w:rsid w:val="00137320"/>
    <w:rsid w:val="00160240"/>
    <w:rsid w:val="00164524"/>
    <w:rsid w:val="001964C9"/>
    <w:rsid w:val="001B2950"/>
    <w:rsid w:val="001B38FB"/>
    <w:rsid w:val="001B5049"/>
    <w:rsid w:val="001C03CF"/>
    <w:rsid w:val="001C1AD9"/>
    <w:rsid w:val="001D61E3"/>
    <w:rsid w:val="001D66A2"/>
    <w:rsid w:val="002139AC"/>
    <w:rsid w:val="0021635E"/>
    <w:rsid w:val="00226B37"/>
    <w:rsid w:val="002333C9"/>
    <w:rsid w:val="002458FA"/>
    <w:rsid w:val="00247CA9"/>
    <w:rsid w:val="00264051"/>
    <w:rsid w:val="002756E5"/>
    <w:rsid w:val="002763A1"/>
    <w:rsid w:val="002817B2"/>
    <w:rsid w:val="0028606A"/>
    <w:rsid w:val="002C7CEF"/>
    <w:rsid w:val="002E7A7D"/>
    <w:rsid w:val="00302A0D"/>
    <w:rsid w:val="00323016"/>
    <w:rsid w:val="00323287"/>
    <w:rsid w:val="0032559D"/>
    <w:rsid w:val="00360A08"/>
    <w:rsid w:val="00376DD2"/>
    <w:rsid w:val="00381725"/>
    <w:rsid w:val="00394793"/>
    <w:rsid w:val="003B7524"/>
    <w:rsid w:val="003E0176"/>
    <w:rsid w:val="003E03F4"/>
    <w:rsid w:val="004046F7"/>
    <w:rsid w:val="00413A39"/>
    <w:rsid w:val="00421F95"/>
    <w:rsid w:val="00450D84"/>
    <w:rsid w:val="00452F74"/>
    <w:rsid w:val="0046761A"/>
    <w:rsid w:val="00470101"/>
    <w:rsid w:val="00471017"/>
    <w:rsid w:val="004738AC"/>
    <w:rsid w:val="004748DD"/>
    <w:rsid w:val="004777E6"/>
    <w:rsid w:val="0048558F"/>
    <w:rsid w:val="00487A25"/>
    <w:rsid w:val="00496BCA"/>
    <w:rsid w:val="00497C91"/>
    <w:rsid w:val="004A2C05"/>
    <w:rsid w:val="004B4110"/>
    <w:rsid w:val="004D79A7"/>
    <w:rsid w:val="00515A25"/>
    <w:rsid w:val="00516679"/>
    <w:rsid w:val="00521A6E"/>
    <w:rsid w:val="0052258B"/>
    <w:rsid w:val="00526B69"/>
    <w:rsid w:val="0053150A"/>
    <w:rsid w:val="00540DE3"/>
    <w:rsid w:val="0055599C"/>
    <w:rsid w:val="0056136C"/>
    <w:rsid w:val="0056156A"/>
    <w:rsid w:val="0057072D"/>
    <w:rsid w:val="0058275B"/>
    <w:rsid w:val="00583180"/>
    <w:rsid w:val="005952E2"/>
    <w:rsid w:val="00597EE7"/>
    <w:rsid w:val="005A6959"/>
    <w:rsid w:val="005B3EFF"/>
    <w:rsid w:val="005C4FB4"/>
    <w:rsid w:val="005C5111"/>
    <w:rsid w:val="005D04C0"/>
    <w:rsid w:val="005D713D"/>
    <w:rsid w:val="005E629C"/>
    <w:rsid w:val="005E6976"/>
    <w:rsid w:val="005E6A4F"/>
    <w:rsid w:val="00600BCC"/>
    <w:rsid w:val="0060129A"/>
    <w:rsid w:val="00643E16"/>
    <w:rsid w:val="00651343"/>
    <w:rsid w:val="006539AE"/>
    <w:rsid w:val="00654AC4"/>
    <w:rsid w:val="00665CEF"/>
    <w:rsid w:val="00673430"/>
    <w:rsid w:val="00675587"/>
    <w:rsid w:val="00686FE3"/>
    <w:rsid w:val="006A02CB"/>
    <w:rsid w:val="006A2223"/>
    <w:rsid w:val="006C61CF"/>
    <w:rsid w:val="0070228B"/>
    <w:rsid w:val="00711E5E"/>
    <w:rsid w:val="00733F55"/>
    <w:rsid w:val="007373F4"/>
    <w:rsid w:val="00737932"/>
    <w:rsid w:val="00745387"/>
    <w:rsid w:val="00750D16"/>
    <w:rsid w:val="00751CE7"/>
    <w:rsid w:val="007657D6"/>
    <w:rsid w:val="00772D8D"/>
    <w:rsid w:val="0079475C"/>
    <w:rsid w:val="007E11B2"/>
    <w:rsid w:val="007E4F7B"/>
    <w:rsid w:val="007F172C"/>
    <w:rsid w:val="007F35B8"/>
    <w:rsid w:val="007F52BB"/>
    <w:rsid w:val="00804324"/>
    <w:rsid w:val="00817CD6"/>
    <w:rsid w:val="00832D2F"/>
    <w:rsid w:val="008472D2"/>
    <w:rsid w:val="00895B7F"/>
    <w:rsid w:val="008967AA"/>
    <w:rsid w:val="008A12B8"/>
    <w:rsid w:val="008A3D76"/>
    <w:rsid w:val="008B4376"/>
    <w:rsid w:val="008B50EE"/>
    <w:rsid w:val="008C302E"/>
    <w:rsid w:val="008C437A"/>
    <w:rsid w:val="008D75D5"/>
    <w:rsid w:val="008E140F"/>
    <w:rsid w:val="008F6826"/>
    <w:rsid w:val="0091022E"/>
    <w:rsid w:val="00927214"/>
    <w:rsid w:val="0093014E"/>
    <w:rsid w:val="0093114E"/>
    <w:rsid w:val="00942C30"/>
    <w:rsid w:val="00966240"/>
    <w:rsid w:val="00971827"/>
    <w:rsid w:val="00981716"/>
    <w:rsid w:val="009843FA"/>
    <w:rsid w:val="009864C6"/>
    <w:rsid w:val="009A3A02"/>
    <w:rsid w:val="009B0DCF"/>
    <w:rsid w:val="009B3C49"/>
    <w:rsid w:val="009C6109"/>
    <w:rsid w:val="009F58F1"/>
    <w:rsid w:val="00A019A6"/>
    <w:rsid w:val="00A02A6F"/>
    <w:rsid w:val="00A04937"/>
    <w:rsid w:val="00A209EA"/>
    <w:rsid w:val="00A31324"/>
    <w:rsid w:val="00A35759"/>
    <w:rsid w:val="00A50E3D"/>
    <w:rsid w:val="00A7103D"/>
    <w:rsid w:val="00A77501"/>
    <w:rsid w:val="00A80983"/>
    <w:rsid w:val="00A969CE"/>
    <w:rsid w:val="00AA09A1"/>
    <w:rsid w:val="00AA24B8"/>
    <w:rsid w:val="00AC0216"/>
    <w:rsid w:val="00AC1C9B"/>
    <w:rsid w:val="00AE3F23"/>
    <w:rsid w:val="00AE5FC1"/>
    <w:rsid w:val="00B035A1"/>
    <w:rsid w:val="00B21C9B"/>
    <w:rsid w:val="00B2381C"/>
    <w:rsid w:val="00B34BBB"/>
    <w:rsid w:val="00B511B1"/>
    <w:rsid w:val="00B534E6"/>
    <w:rsid w:val="00B75BFC"/>
    <w:rsid w:val="00B75E17"/>
    <w:rsid w:val="00B8435D"/>
    <w:rsid w:val="00B94402"/>
    <w:rsid w:val="00B9485C"/>
    <w:rsid w:val="00BA0563"/>
    <w:rsid w:val="00BC28F2"/>
    <w:rsid w:val="00BD5353"/>
    <w:rsid w:val="00BE4743"/>
    <w:rsid w:val="00C0747D"/>
    <w:rsid w:val="00C2213B"/>
    <w:rsid w:val="00C46199"/>
    <w:rsid w:val="00C4649E"/>
    <w:rsid w:val="00C538D6"/>
    <w:rsid w:val="00C942DB"/>
    <w:rsid w:val="00C94565"/>
    <w:rsid w:val="00CA0E65"/>
    <w:rsid w:val="00CA4424"/>
    <w:rsid w:val="00CB139F"/>
    <w:rsid w:val="00CB57A8"/>
    <w:rsid w:val="00CB6881"/>
    <w:rsid w:val="00CD7AC0"/>
    <w:rsid w:val="00CE75D1"/>
    <w:rsid w:val="00CF4333"/>
    <w:rsid w:val="00D06B47"/>
    <w:rsid w:val="00D125FA"/>
    <w:rsid w:val="00D17587"/>
    <w:rsid w:val="00D35744"/>
    <w:rsid w:val="00D55080"/>
    <w:rsid w:val="00D566A3"/>
    <w:rsid w:val="00D648C4"/>
    <w:rsid w:val="00D91730"/>
    <w:rsid w:val="00D948D4"/>
    <w:rsid w:val="00D9695F"/>
    <w:rsid w:val="00DB63A7"/>
    <w:rsid w:val="00DC22E9"/>
    <w:rsid w:val="00DD401F"/>
    <w:rsid w:val="00E109DA"/>
    <w:rsid w:val="00E36553"/>
    <w:rsid w:val="00E45532"/>
    <w:rsid w:val="00E45728"/>
    <w:rsid w:val="00E464A1"/>
    <w:rsid w:val="00E53449"/>
    <w:rsid w:val="00E71049"/>
    <w:rsid w:val="00E810C0"/>
    <w:rsid w:val="00E84B8C"/>
    <w:rsid w:val="00EA2D22"/>
    <w:rsid w:val="00EA3D1C"/>
    <w:rsid w:val="00EA61BF"/>
    <w:rsid w:val="00EC6674"/>
    <w:rsid w:val="00ED2087"/>
    <w:rsid w:val="00ED7843"/>
    <w:rsid w:val="00EE27E4"/>
    <w:rsid w:val="00EF2BD1"/>
    <w:rsid w:val="00EF4927"/>
    <w:rsid w:val="00F10614"/>
    <w:rsid w:val="00F12714"/>
    <w:rsid w:val="00F130D0"/>
    <w:rsid w:val="00F30074"/>
    <w:rsid w:val="00F315C3"/>
    <w:rsid w:val="00F61981"/>
    <w:rsid w:val="00F7174F"/>
    <w:rsid w:val="00F80F3B"/>
    <w:rsid w:val="00F93523"/>
    <w:rsid w:val="00F95B15"/>
    <w:rsid w:val="00FA247B"/>
    <w:rsid w:val="00FA59A1"/>
    <w:rsid w:val="00FB7AF1"/>
    <w:rsid w:val="00FC0671"/>
    <w:rsid w:val="00FE1204"/>
    <w:rsid w:val="00FE7CC6"/>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DDEF"/>
  <w15:chartTrackingRefBased/>
  <w15:docId w15:val="{C8A569A2-2A91-473B-9F41-B7BEE247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2F"/>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025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0252F"/>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252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10252F"/>
    <w:rPr>
      <w:rFonts w:ascii="Arial" w:eastAsia="Times New Roman" w:hAnsi="Arial" w:cs="Arial"/>
      <w:i/>
      <w:iCs/>
      <w:sz w:val="28"/>
      <w:szCs w:val="24"/>
      <w:lang w:val="en-GB"/>
    </w:rPr>
  </w:style>
  <w:style w:type="paragraph" w:styleId="Header">
    <w:name w:val="header"/>
    <w:basedOn w:val="Normal"/>
    <w:link w:val="HeaderChar"/>
    <w:uiPriority w:val="99"/>
    <w:rsid w:val="0010252F"/>
    <w:pPr>
      <w:tabs>
        <w:tab w:val="center" w:pos="4153"/>
        <w:tab w:val="right" w:pos="8306"/>
      </w:tabs>
    </w:pPr>
  </w:style>
  <w:style w:type="character" w:customStyle="1" w:styleId="HeaderChar">
    <w:name w:val="Header Char"/>
    <w:basedOn w:val="DefaultParagraphFont"/>
    <w:link w:val="Header"/>
    <w:uiPriority w:val="99"/>
    <w:rsid w:val="0010252F"/>
    <w:rPr>
      <w:rFonts w:ascii="Times New Roman" w:eastAsia="Times New Roman" w:hAnsi="Times New Roman" w:cs="Times New Roman"/>
      <w:sz w:val="24"/>
      <w:szCs w:val="24"/>
      <w:lang w:val="en-GB"/>
    </w:rPr>
  </w:style>
  <w:style w:type="character" w:styleId="PageNumber">
    <w:name w:val="page number"/>
    <w:basedOn w:val="DefaultParagraphFont"/>
    <w:rsid w:val="0010252F"/>
    <w:rPr>
      <w:rFonts w:cs="Times New Roman"/>
    </w:rPr>
  </w:style>
  <w:style w:type="paragraph" w:styleId="FootnoteText">
    <w:name w:val="footnote text"/>
    <w:basedOn w:val="Normal"/>
    <w:link w:val="FootnoteTextChar"/>
    <w:uiPriority w:val="99"/>
    <w:rsid w:val="0010252F"/>
    <w:rPr>
      <w:sz w:val="20"/>
      <w:szCs w:val="20"/>
    </w:rPr>
  </w:style>
  <w:style w:type="character" w:customStyle="1" w:styleId="FootnoteTextChar">
    <w:name w:val="Footnote Text Char"/>
    <w:basedOn w:val="DefaultParagraphFont"/>
    <w:link w:val="FootnoteText"/>
    <w:uiPriority w:val="99"/>
    <w:rsid w:val="0010252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0252F"/>
    <w:pPr>
      <w:ind w:left="720"/>
      <w:contextualSpacing/>
    </w:pPr>
  </w:style>
  <w:style w:type="character" w:styleId="FootnoteReference">
    <w:name w:val="footnote reference"/>
    <w:basedOn w:val="DefaultParagraphFont"/>
    <w:uiPriority w:val="99"/>
    <w:semiHidden/>
    <w:unhideWhenUsed/>
    <w:rsid w:val="0010252F"/>
    <w:rPr>
      <w:vertAlign w:val="superscript"/>
    </w:rPr>
  </w:style>
  <w:style w:type="paragraph" w:styleId="BalloonText">
    <w:name w:val="Balloon Text"/>
    <w:basedOn w:val="Normal"/>
    <w:link w:val="BalloonTextChar"/>
    <w:uiPriority w:val="99"/>
    <w:semiHidden/>
    <w:unhideWhenUsed/>
    <w:rsid w:val="001025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2F"/>
    <w:rPr>
      <w:rFonts w:ascii="Segoe UI" w:eastAsia="Times New Roman" w:hAnsi="Segoe UI" w:cs="Segoe UI"/>
      <w:sz w:val="18"/>
      <w:szCs w:val="18"/>
      <w:lang w:val="en-GB"/>
    </w:rPr>
  </w:style>
  <w:style w:type="paragraph" w:styleId="Footer">
    <w:name w:val="footer"/>
    <w:basedOn w:val="Normal"/>
    <w:link w:val="FooterChar"/>
    <w:uiPriority w:val="99"/>
    <w:unhideWhenUsed/>
    <w:rsid w:val="0010252F"/>
    <w:pPr>
      <w:tabs>
        <w:tab w:val="center" w:pos="4680"/>
        <w:tab w:val="right" w:pos="9360"/>
      </w:tabs>
      <w:spacing w:line="240" w:lineRule="auto"/>
    </w:pPr>
  </w:style>
  <w:style w:type="character" w:customStyle="1" w:styleId="FooterChar">
    <w:name w:val="Footer Char"/>
    <w:basedOn w:val="DefaultParagraphFont"/>
    <w:link w:val="Footer"/>
    <w:uiPriority w:val="99"/>
    <w:rsid w:val="0010252F"/>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10252F"/>
    <w:rPr>
      <w:color w:val="808080"/>
    </w:rPr>
  </w:style>
  <w:style w:type="character" w:styleId="CommentReference">
    <w:name w:val="annotation reference"/>
    <w:basedOn w:val="DefaultParagraphFont"/>
    <w:uiPriority w:val="99"/>
    <w:semiHidden/>
    <w:unhideWhenUsed/>
    <w:rsid w:val="0010252F"/>
    <w:rPr>
      <w:sz w:val="16"/>
      <w:szCs w:val="16"/>
    </w:rPr>
  </w:style>
  <w:style w:type="paragraph" w:styleId="CommentText">
    <w:name w:val="annotation text"/>
    <w:basedOn w:val="Normal"/>
    <w:link w:val="CommentTextChar"/>
    <w:uiPriority w:val="99"/>
    <w:unhideWhenUsed/>
    <w:rsid w:val="0010252F"/>
    <w:pPr>
      <w:spacing w:line="240" w:lineRule="auto"/>
    </w:pPr>
    <w:rPr>
      <w:sz w:val="20"/>
      <w:szCs w:val="20"/>
    </w:rPr>
  </w:style>
  <w:style w:type="character" w:customStyle="1" w:styleId="CommentTextChar">
    <w:name w:val="Comment Text Char"/>
    <w:basedOn w:val="DefaultParagraphFont"/>
    <w:link w:val="CommentText"/>
    <w:uiPriority w:val="99"/>
    <w:rsid w:val="001025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252F"/>
    <w:rPr>
      <w:b/>
      <w:bCs/>
    </w:rPr>
  </w:style>
  <w:style w:type="character" w:customStyle="1" w:styleId="CommentSubjectChar">
    <w:name w:val="Comment Subject Char"/>
    <w:basedOn w:val="CommentTextChar"/>
    <w:link w:val="CommentSubject"/>
    <w:uiPriority w:val="99"/>
    <w:semiHidden/>
    <w:rsid w:val="0010252F"/>
    <w:rPr>
      <w:rFonts w:ascii="Times New Roman" w:eastAsia="Times New Roman" w:hAnsi="Times New Roman" w:cs="Times New Roman"/>
      <w:b/>
      <w:bCs/>
      <w:sz w:val="20"/>
      <w:szCs w:val="20"/>
      <w:lang w:val="en-GB"/>
    </w:rPr>
  </w:style>
  <w:style w:type="paragraph" w:styleId="Revision">
    <w:name w:val="Revision"/>
    <w:hidden/>
    <w:uiPriority w:val="99"/>
    <w:semiHidden/>
    <w:rsid w:val="0010252F"/>
    <w:pPr>
      <w:spacing w:after="0" w:line="240" w:lineRule="auto"/>
    </w:pPr>
    <w:rPr>
      <w:rFonts w:ascii="Times New Roman" w:eastAsia="Times New Roman" w:hAnsi="Times New Roman" w:cs="Times New Roman"/>
      <w:sz w:val="24"/>
      <w:szCs w:val="24"/>
      <w:lang w:val="en-GB"/>
    </w:rPr>
  </w:style>
  <w:style w:type="character" w:customStyle="1" w:styleId="lphit">
    <w:name w:val="lphit"/>
    <w:basedOn w:val="DefaultParagraphFont"/>
    <w:rsid w:val="0010252F"/>
  </w:style>
  <w:style w:type="paragraph" w:customStyle="1" w:styleId="n10pt-1">
    <w:name w:val="n10pt-1"/>
    <w:basedOn w:val="Normal"/>
    <w:rsid w:val="0010252F"/>
    <w:pPr>
      <w:spacing w:before="100" w:beforeAutospacing="1" w:after="100" w:afterAutospacing="1" w:line="240" w:lineRule="auto"/>
      <w:jc w:val="left"/>
    </w:pPr>
    <w:rPr>
      <w:lang w:val="en-US"/>
    </w:rPr>
  </w:style>
  <w:style w:type="character" w:customStyle="1" w:styleId="footnote-link">
    <w:name w:val="footnote-link"/>
    <w:basedOn w:val="DefaultParagraphFont"/>
    <w:rsid w:val="0010252F"/>
  </w:style>
  <w:style w:type="paragraph" w:customStyle="1" w:styleId="para-10">
    <w:name w:val="para-10"/>
    <w:basedOn w:val="Normal"/>
    <w:rsid w:val="0010252F"/>
    <w:pPr>
      <w:spacing w:before="100" w:beforeAutospacing="1" w:after="100" w:afterAutospacing="1" w:line="240" w:lineRule="auto"/>
      <w:jc w:val="left"/>
    </w:pPr>
    <w:rPr>
      <w:lang w:val="en-US"/>
    </w:rPr>
  </w:style>
  <w:style w:type="paragraph" w:customStyle="1" w:styleId="arunninghead">
    <w:name w:val="arunninghead"/>
    <w:basedOn w:val="Normal"/>
    <w:rsid w:val="0010252F"/>
    <w:pPr>
      <w:spacing w:before="100" w:beforeAutospacing="1" w:after="100" w:afterAutospacing="1" w:line="240" w:lineRule="auto"/>
      <w:jc w:val="left"/>
    </w:pPr>
    <w:rPr>
      <w:lang w:val="en-US"/>
    </w:rPr>
  </w:style>
  <w:style w:type="character" w:customStyle="1" w:styleId="popup-link">
    <w:name w:val="popup-link"/>
    <w:basedOn w:val="DefaultParagraphFont"/>
    <w:rsid w:val="0010252F"/>
  </w:style>
  <w:style w:type="paragraph" w:customStyle="1" w:styleId="normaltext">
    <w:name w:val="normaltext"/>
    <w:basedOn w:val="Normal"/>
    <w:rsid w:val="0010252F"/>
    <w:pPr>
      <w:spacing w:before="100" w:beforeAutospacing="1" w:after="100" w:afterAutospacing="1" w:line="240" w:lineRule="auto"/>
      <w:jc w:val="left"/>
    </w:pPr>
    <w:rPr>
      <w:lang w:val="en-US"/>
    </w:rPr>
  </w:style>
  <w:style w:type="paragraph" w:customStyle="1" w:styleId="blockquote-x">
    <w:name w:val="blockquote-x"/>
    <w:basedOn w:val="Normal"/>
    <w:rsid w:val="0010252F"/>
    <w:pPr>
      <w:spacing w:before="100" w:beforeAutospacing="1" w:after="100" w:afterAutospacing="1"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4112-76C2-4B83-847B-D25FB93F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Ayanda Mdletshe</cp:lastModifiedBy>
  <cp:revision>2</cp:revision>
  <dcterms:created xsi:type="dcterms:W3CDTF">2022-12-22T09:09:00Z</dcterms:created>
  <dcterms:modified xsi:type="dcterms:W3CDTF">2022-12-22T09:09:00Z</dcterms:modified>
</cp:coreProperties>
</file>