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8A" w:rsidRPr="00210B90" w:rsidRDefault="001246FF" w:rsidP="00117A2A">
      <w:pPr>
        <w:pStyle w:val="Pa3"/>
        <w:rPr>
          <w:rStyle w:val="A0"/>
          <w:rFonts w:ascii="Times New Roman" w:hAnsi="Times New Roman" w:cs="Times New Roman"/>
          <w:b w:val="0"/>
          <w:color w:val="auto"/>
          <w:szCs w:val="20"/>
        </w:rPr>
      </w:pPr>
      <w:bookmarkStart w:id="0" w:name="OLE_LINK1"/>
      <w:r w:rsidRPr="00B947B4">
        <w:rPr>
          <w:noProof/>
          <w:lang w:val="en-ZA" w:eastAsia="en-ZA"/>
        </w:rPr>
        <w:drawing>
          <wp:anchor distT="0" distB="0" distL="114300" distR="114300" simplePos="0" relativeHeight="251657728" behindDoc="0" locked="0" layoutInCell="1" allowOverlap="1" wp14:anchorId="78971F46" wp14:editId="5897A67B">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5E5E8A" w:rsidRPr="00FF127F" w:rsidRDefault="005E5E8A" w:rsidP="005E5E8A">
      <w:pPr>
        <w:pStyle w:val="Pa3"/>
        <w:jc w:val="center"/>
        <w:rPr>
          <w:rStyle w:val="A0"/>
          <w:rFonts w:ascii="Times New Roman" w:hAnsi="Times New Roman" w:cs="Times New Roman"/>
          <w:b w:val="0"/>
          <w:color w:val="auto"/>
          <w:szCs w:val="20"/>
        </w:rPr>
      </w:pPr>
    </w:p>
    <w:p w:rsidR="00E3021E" w:rsidRPr="00B947B4" w:rsidRDefault="00E3021E" w:rsidP="00E3021E">
      <w:pPr>
        <w:rPr>
          <w:lang w:val="en-US" w:eastAsia="en-US"/>
        </w:rPr>
      </w:pPr>
    </w:p>
    <w:p w:rsidR="00E3021E" w:rsidRPr="00B947B4" w:rsidRDefault="00E3021E" w:rsidP="00E3021E">
      <w:pPr>
        <w:rPr>
          <w:lang w:val="en-US" w:eastAsia="en-US"/>
        </w:rPr>
      </w:pPr>
    </w:p>
    <w:p w:rsidR="0022513F" w:rsidRPr="00520347" w:rsidRDefault="0022513F" w:rsidP="00E3021E">
      <w:pPr>
        <w:pStyle w:val="Pa3"/>
        <w:jc w:val="center"/>
        <w:rPr>
          <w:b/>
          <w:bCs/>
        </w:rPr>
      </w:pPr>
    </w:p>
    <w:p w:rsidR="0022513F" w:rsidRPr="00040207" w:rsidRDefault="0022513F" w:rsidP="00E3021E">
      <w:pPr>
        <w:pStyle w:val="Pa3"/>
        <w:jc w:val="center"/>
        <w:rPr>
          <w:b/>
          <w:bCs/>
        </w:rPr>
      </w:pPr>
    </w:p>
    <w:p w:rsidR="00E3021E" w:rsidRPr="00E95ECE" w:rsidRDefault="00E3021E" w:rsidP="008E0CEF">
      <w:pPr>
        <w:pStyle w:val="Pa3"/>
        <w:spacing w:line="276" w:lineRule="auto"/>
        <w:jc w:val="center"/>
        <w:rPr>
          <w:b/>
          <w:bCs/>
        </w:rPr>
      </w:pPr>
      <w:r w:rsidRPr="00E95ECE">
        <w:rPr>
          <w:b/>
          <w:bCs/>
        </w:rPr>
        <w:t>THE SUPREME COURT OF APPEAL OF SOUTH AFRICA</w:t>
      </w:r>
    </w:p>
    <w:p w:rsidR="00E3021E" w:rsidRPr="00E95ECE" w:rsidRDefault="00E3021E" w:rsidP="008E0CEF">
      <w:pPr>
        <w:pStyle w:val="Pa3"/>
        <w:spacing w:line="276" w:lineRule="auto"/>
        <w:jc w:val="center"/>
        <w:rPr>
          <w:rStyle w:val="A0"/>
          <w:bCs/>
          <w:color w:val="auto"/>
          <w:sz w:val="24"/>
        </w:rPr>
      </w:pPr>
    </w:p>
    <w:p w:rsidR="00E3021E" w:rsidRPr="00E95ECE" w:rsidRDefault="00E3021E" w:rsidP="008E0CEF">
      <w:pPr>
        <w:spacing w:line="276" w:lineRule="auto"/>
        <w:jc w:val="center"/>
        <w:rPr>
          <w:b/>
          <w:bCs/>
        </w:rPr>
      </w:pPr>
      <w:r w:rsidRPr="00E95ECE">
        <w:rPr>
          <w:b/>
          <w:bCs/>
        </w:rPr>
        <w:t>JUDGMENT</w:t>
      </w:r>
    </w:p>
    <w:p w:rsidR="00E3021E" w:rsidRPr="00E95ECE" w:rsidRDefault="00E3021E" w:rsidP="008E0CEF">
      <w:pPr>
        <w:spacing w:line="276" w:lineRule="auto"/>
        <w:jc w:val="center"/>
        <w:rPr>
          <w:b/>
          <w:bCs/>
          <w:lang w:val="en-US" w:eastAsia="en-US"/>
        </w:rPr>
      </w:pPr>
    </w:p>
    <w:p w:rsidR="00AA01CB" w:rsidRPr="00E95ECE" w:rsidRDefault="00E82397" w:rsidP="008E0CEF">
      <w:pPr>
        <w:spacing w:line="276" w:lineRule="auto"/>
        <w:jc w:val="right"/>
        <w:rPr>
          <w:b/>
        </w:rPr>
      </w:pPr>
      <w:r w:rsidRPr="00E95ECE">
        <w:rPr>
          <w:b/>
        </w:rPr>
        <w:t>Not reportable</w:t>
      </w:r>
    </w:p>
    <w:p w:rsidR="00AA01CB" w:rsidRPr="00E95ECE" w:rsidRDefault="00AA01CB" w:rsidP="008E0CEF">
      <w:pPr>
        <w:spacing w:line="276" w:lineRule="auto"/>
        <w:jc w:val="right"/>
      </w:pPr>
      <w:r w:rsidRPr="00E95ECE">
        <w:t xml:space="preserve">Case no: </w:t>
      </w:r>
      <w:r w:rsidR="00E82397" w:rsidRPr="00E95ECE">
        <w:t>60/2021</w:t>
      </w:r>
    </w:p>
    <w:p w:rsidR="00AA01CB" w:rsidRPr="00E95ECE" w:rsidRDefault="00AA01CB" w:rsidP="008E0CEF">
      <w:pPr>
        <w:spacing w:line="276" w:lineRule="auto"/>
      </w:pPr>
    </w:p>
    <w:p w:rsidR="00AA01CB" w:rsidRPr="00E95ECE" w:rsidRDefault="00AA01CB" w:rsidP="008E0CEF">
      <w:pPr>
        <w:spacing w:line="276" w:lineRule="auto"/>
      </w:pPr>
      <w:r w:rsidRPr="00E95ECE">
        <w:t>In the matter between:</w:t>
      </w:r>
    </w:p>
    <w:p w:rsidR="00AA01CB" w:rsidRPr="00E95ECE" w:rsidRDefault="00AA01CB" w:rsidP="008E0CEF">
      <w:pPr>
        <w:spacing w:line="276" w:lineRule="auto"/>
      </w:pPr>
    </w:p>
    <w:p w:rsidR="00AA01CB" w:rsidRPr="00E95ECE" w:rsidRDefault="00E82397" w:rsidP="008E0CEF">
      <w:pPr>
        <w:spacing w:line="276" w:lineRule="auto"/>
        <w:rPr>
          <w:b/>
        </w:rPr>
      </w:pPr>
      <w:r w:rsidRPr="00E95ECE">
        <w:rPr>
          <w:b/>
        </w:rPr>
        <w:t xml:space="preserve">SEKOKO MAMETJA INCORPORATED ATTORNEYS </w:t>
      </w:r>
      <w:r w:rsidRPr="00E95ECE">
        <w:rPr>
          <w:b/>
        </w:rPr>
        <w:tab/>
      </w:r>
      <w:r w:rsidRPr="00E95ECE">
        <w:rPr>
          <w:b/>
        </w:rPr>
        <w:tab/>
      </w:r>
      <w:r w:rsidRPr="00E95ECE">
        <w:rPr>
          <w:b/>
        </w:rPr>
        <w:tab/>
      </w:r>
      <w:r w:rsidR="00D47047" w:rsidRPr="00E95ECE">
        <w:rPr>
          <w:b/>
        </w:rPr>
        <w:t>A</w:t>
      </w:r>
      <w:r w:rsidR="00AA01CB" w:rsidRPr="00E95ECE">
        <w:rPr>
          <w:b/>
        </w:rPr>
        <w:t>PPELLANT</w:t>
      </w:r>
    </w:p>
    <w:p w:rsidR="00D47047" w:rsidRPr="00E95ECE" w:rsidRDefault="00D47047" w:rsidP="008E0CEF">
      <w:pPr>
        <w:spacing w:line="276" w:lineRule="auto"/>
        <w:rPr>
          <w:b/>
        </w:rPr>
      </w:pPr>
    </w:p>
    <w:p w:rsidR="00AA01CB" w:rsidRPr="00E95ECE" w:rsidRDefault="00AA01CB" w:rsidP="008E0CEF">
      <w:pPr>
        <w:spacing w:line="276" w:lineRule="auto"/>
      </w:pPr>
      <w:r w:rsidRPr="00E95ECE">
        <w:t>and</w:t>
      </w:r>
    </w:p>
    <w:p w:rsidR="00AA01CB" w:rsidRPr="00E95ECE" w:rsidRDefault="00AA01CB" w:rsidP="008E0CEF">
      <w:pPr>
        <w:spacing w:line="276" w:lineRule="auto"/>
      </w:pPr>
    </w:p>
    <w:p w:rsidR="00AA01CB" w:rsidRPr="00E95ECE" w:rsidRDefault="00E82397" w:rsidP="008E0CEF">
      <w:pPr>
        <w:spacing w:line="276" w:lineRule="auto"/>
        <w:ind w:right="-7"/>
        <w:rPr>
          <w:b/>
        </w:rPr>
      </w:pPr>
      <w:r w:rsidRPr="00E95ECE">
        <w:rPr>
          <w:b/>
        </w:rPr>
        <w:t>FETAKGOMO TUBATSE LOCAL MUNICIPALITY</w:t>
      </w:r>
      <w:r w:rsidR="00AA01CB" w:rsidRPr="00E95ECE">
        <w:rPr>
          <w:b/>
        </w:rPr>
        <w:tab/>
      </w:r>
      <w:r w:rsidR="00AD5C67" w:rsidRPr="00E95ECE">
        <w:rPr>
          <w:b/>
        </w:rPr>
        <w:tab/>
      </w:r>
      <w:r w:rsidR="00AD5C67" w:rsidRPr="00E95ECE">
        <w:rPr>
          <w:b/>
        </w:rPr>
        <w:tab/>
        <w:t xml:space="preserve">       </w:t>
      </w:r>
      <w:r w:rsidR="00AA01CB" w:rsidRPr="00E95ECE">
        <w:rPr>
          <w:b/>
        </w:rPr>
        <w:t>RESPONDENT</w:t>
      </w:r>
    </w:p>
    <w:p w:rsidR="00F54AC9" w:rsidRPr="00E95ECE" w:rsidRDefault="00F54AC9" w:rsidP="008E0CEF">
      <w:pPr>
        <w:spacing w:line="276" w:lineRule="auto"/>
        <w:ind w:right="-7"/>
        <w:rPr>
          <w:b/>
        </w:rPr>
      </w:pPr>
    </w:p>
    <w:p w:rsidR="00AA01CB" w:rsidRPr="00E95ECE" w:rsidRDefault="00AA01CB" w:rsidP="008E0CEF">
      <w:pPr>
        <w:spacing w:line="276" w:lineRule="auto"/>
        <w:ind w:left="2160" w:hanging="2160"/>
        <w:rPr>
          <w:bCs/>
        </w:rPr>
      </w:pPr>
      <w:r w:rsidRPr="00E95ECE">
        <w:rPr>
          <w:b/>
          <w:bCs/>
        </w:rPr>
        <w:t>Neutral citation:</w:t>
      </w:r>
      <w:r w:rsidRPr="00E95ECE">
        <w:rPr>
          <w:b/>
          <w:bCs/>
        </w:rPr>
        <w:tab/>
      </w:r>
      <w:bookmarkStart w:id="1" w:name="_GoBack"/>
      <w:r w:rsidR="00E82397" w:rsidRPr="00E95ECE">
        <w:rPr>
          <w:bCs/>
          <w:i/>
        </w:rPr>
        <w:t xml:space="preserve">Sekoko Mametja Incorporated Attorneys </w:t>
      </w:r>
      <w:r w:rsidRPr="00E95ECE">
        <w:rPr>
          <w:bCs/>
          <w:i/>
        </w:rPr>
        <w:t xml:space="preserve">v </w:t>
      </w:r>
      <w:r w:rsidR="00E82397" w:rsidRPr="00E95ECE">
        <w:rPr>
          <w:i/>
        </w:rPr>
        <w:t>Fetakgomo Tubatse Local Municipality</w:t>
      </w:r>
      <w:r w:rsidR="00B71C50" w:rsidRPr="00E95ECE">
        <w:rPr>
          <w:bCs/>
        </w:rPr>
        <w:t xml:space="preserve"> </w:t>
      </w:r>
      <w:bookmarkEnd w:id="1"/>
      <w:r w:rsidRPr="00E95ECE">
        <w:rPr>
          <w:bCs/>
        </w:rPr>
        <w:t xml:space="preserve">(Case No. </w:t>
      </w:r>
      <w:r w:rsidR="00E82397" w:rsidRPr="00E95ECE">
        <w:rPr>
          <w:bCs/>
        </w:rPr>
        <w:t>60</w:t>
      </w:r>
      <w:r w:rsidRPr="00E95ECE">
        <w:rPr>
          <w:bCs/>
        </w:rPr>
        <w:t>/20</w:t>
      </w:r>
      <w:r w:rsidR="00E82397" w:rsidRPr="00E95ECE">
        <w:rPr>
          <w:bCs/>
        </w:rPr>
        <w:t>21</w:t>
      </w:r>
      <w:r w:rsidRPr="00E95ECE">
        <w:rPr>
          <w:bCs/>
        </w:rPr>
        <w:t>) [202</w:t>
      </w:r>
      <w:r w:rsidR="00E82397" w:rsidRPr="00E95ECE">
        <w:rPr>
          <w:bCs/>
        </w:rPr>
        <w:t>2</w:t>
      </w:r>
      <w:r w:rsidRPr="00E95ECE">
        <w:rPr>
          <w:bCs/>
        </w:rPr>
        <w:t xml:space="preserve">] ZASCA </w:t>
      </w:r>
      <w:r w:rsidR="006E0085">
        <w:rPr>
          <w:bCs/>
        </w:rPr>
        <w:t>28</w:t>
      </w:r>
      <w:r w:rsidRPr="00E95ECE">
        <w:rPr>
          <w:bCs/>
        </w:rPr>
        <w:t xml:space="preserve"> </w:t>
      </w:r>
      <w:r w:rsidR="00066744" w:rsidRPr="00E95ECE">
        <w:rPr>
          <w:bCs/>
        </w:rPr>
        <w:t>(</w:t>
      </w:r>
      <w:r w:rsidR="000632E9">
        <w:rPr>
          <w:bCs/>
        </w:rPr>
        <w:t>1</w:t>
      </w:r>
      <w:r w:rsidR="006E0085">
        <w:rPr>
          <w:bCs/>
        </w:rPr>
        <w:t xml:space="preserve">8 </w:t>
      </w:r>
      <w:r w:rsidR="00E82397" w:rsidRPr="00E95ECE">
        <w:rPr>
          <w:bCs/>
        </w:rPr>
        <w:t>March 2022</w:t>
      </w:r>
      <w:r w:rsidRPr="00E95ECE">
        <w:rPr>
          <w:bCs/>
        </w:rPr>
        <w:t>)</w:t>
      </w:r>
    </w:p>
    <w:p w:rsidR="00AA01CB" w:rsidRPr="00E95ECE" w:rsidRDefault="00AA01CB" w:rsidP="008E0CEF">
      <w:pPr>
        <w:spacing w:line="276" w:lineRule="auto"/>
        <w:ind w:left="2160" w:hanging="2160"/>
      </w:pPr>
    </w:p>
    <w:p w:rsidR="00AA01CB" w:rsidRPr="00E95ECE" w:rsidRDefault="00AA01CB" w:rsidP="008E0CEF">
      <w:pPr>
        <w:spacing w:line="276" w:lineRule="auto"/>
        <w:ind w:left="2160" w:hanging="2160"/>
      </w:pPr>
      <w:r w:rsidRPr="00E95ECE">
        <w:rPr>
          <w:b/>
          <w:bCs/>
        </w:rPr>
        <w:t>Coram:</w:t>
      </w:r>
      <w:r w:rsidR="002C24DD" w:rsidRPr="00E95ECE">
        <w:tab/>
      </w:r>
      <w:r w:rsidR="00E82397" w:rsidRPr="00E95ECE">
        <w:t>PETSE DP</w:t>
      </w:r>
      <w:r w:rsidR="00B418C0" w:rsidRPr="00E95ECE">
        <w:t xml:space="preserve">, </w:t>
      </w:r>
      <w:r w:rsidR="00E82397" w:rsidRPr="00E95ECE">
        <w:t>VAN DER MERWE, DLODLO</w:t>
      </w:r>
      <w:r w:rsidR="00B418C0" w:rsidRPr="00E95ECE">
        <w:t xml:space="preserve">, </w:t>
      </w:r>
      <w:r w:rsidR="002D418C" w:rsidRPr="00E95ECE">
        <w:t>MBATHA</w:t>
      </w:r>
      <w:r w:rsidR="00B418C0" w:rsidRPr="00E95ECE">
        <w:t xml:space="preserve"> and </w:t>
      </w:r>
      <w:r w:rsidR="002D418C" w:rsidRPr="00E95ECE">
        <w:t>GORVEN</w:t>
      </w:r>
      <w:r w:rsidR="00E82397" w:rsidRPr="00E95ECE">
        <w:t xml:space="preserve"> </w:t>
      </w:r>
      <w:r w:rsidR="00F7513F" w:rsidRPr="00E95ECE">
        <w:t>J</w:t>
      </w:r>
      <w:r w:rsidR="00AD5C67" w:rsidRPr="00E95ECE">
        <w:t>JA</w:t>
      </w:r>
      <w:r w:rsidR="00B418C0" w:rsidRPr="00E95ECE">
        <w:t xml:space="preserve"> </w:t>
      </w:r>
    </w:p>
    <w:p w:rsidR="002D418C" w:rsidRPr="00E95ECE" w:rsidRDefault="002D418C" w:rsidP="008E0CEF">
      <w:pPr>
        <w:spacing w:line="276" w:lineRule="auto"/>
        <w:ind w:left="2160" w:hanging="2160"/>
        <w:rPr>
          <w:b/>
          <w:bCs/>
          <w:i/>
          <w:iCs/>
        </w:rPr>
      </w:pPr>
    </w:p>
    <w:p w:rsidR="00AA01CB" w:rsidRPr="00E95ECE" w:rsidRDefault="00AA01CB" w:rsidP="008E0CEF">
      <w:pPr>
        <w:spacing w:line="276" w:lineRule="auto"/>
        <w:ind w:left="2160" w:hanging="2160"/>
      </w:pPr>
      <w:r w:rsidRPr="00E95ECE">
        <w:rPr>
          <w:b/>
          <w:bCs/>
        </w:rPr>
        <w:t>Heard</w:t>
      </w:r>
      <w:r w:rsidRPr="00E95ECE">
        <w:t>:</w:t>
      </w:r>
      <w:r w:rsidRPr="00E95ECE">
        <w:tab/>
      </w:r>
      <w:r w:rsidR="00E82397" w:rsidRPr="00E95ECE">
        <w:t>23 February 2022</w:t>
      </w:r>
    </w:p>
    <w:p w:rsidR="00F95860" w:rsidRPr="00E95ECE" w:rsidRDefault="00F95860" w:rsidP="008E0CEF">
      <w:pPr>
        <w:spacing w:line="276" w:lineRule="auto"/>
        <w:ind w:left="2160" w:hanging="2160"/>
      </w:pPr>
    </w:p>
    <w:p w:rsidR="00AA01CB" w:rsidRPr="00E95ECE" w:rsidRDefault="00AA01CB" w:rsidP="008E0CEF">
      <w:pPr>
        <w:tabs>
          <w:tab w:val="left" w:pos="9356"/>
        </w:tabs>
        <w:spacing w:line="360" w:lineRule="auto"/>
        <w:ind w:left="2160" w:hanging="2160"/>
      </w:pPr>
      <w:r w:rsidRPr="00E95ECE">
        <w:rPr>
          <w:b/>
          <w:bCs/>
        </w:rPr>
        <w:t>Delivered</w:t>
      </w:r>
      <w:r w:rsidRPr="00E95ECE">
        <w:t>:</w:t>
      </w:r>
      <w:r w:rsidRPr="00E95ECE">
        <w:tab/>
        <w:t>This judgment was handed down electronically by circulation</w:t>
      </w:r>
      <w:r w:rsidR="00BB3AED" w:rsidRPr="00E95ECE">
        <w:t xml:space="preserve"> </w:t>
      </w:r>
      <w:r w:rsidRPr="00E95ECE">
        <w:t>to the parties’ legal representatives by email. It has been published on the website</w:t>
      </w:r>
      <w:r w:rsidR="00BB3AED" w:rsidRPr="00E95ECE">
        <w:t xml:space="preserve"> </w:t>
      </w:r>
      <w:r w:rsidRPr="00E95ECE">
        <w:t>of the Supreme Court of Appeal and released to SAFLII. The date and time for</w:t>
      </w:r>
      <w:r w:rsidR="00BB3AED" w:rsidRPr="00E95ECE">
        <w:t xml:space="preserve"> </w:t>
      </w:r>
      <w:r w:rsidRPr="00E95ECE">
        <w:t xml:space="preserve">hand-down is deemed to be 10h00 on </w:t>
      </w:r>
      <w:r w:rsidR="006E0085">
        <w:t>18</w:t>
      </w:r>
      <w:r w:rsidR="00E82397" w:rsidRPr="00E95ECE">
        <w:t xml:space="preserve"> March 2022</w:t>
      </w:r>
      <w:r w:rsidRPr="00E95ECE">
        <w:t>.</w:t>
      </w:r>
    </w:p>
    <w:p w:rsidR="00F95860" w:rsidRPr="00E95ECE" w:rsidRDefault="00F95860" w:rsidP="008E0CEF">
      <w:pPr>
        <w:tabs>
          <w:tab w:val="left" w:pos="9356"/>
        </w:tabs>
        <w:spacing w:line="360" w:lineRule="auto"/>
        <w:ind w:left="2160" w:hanging="2160"/>
        <w:jc w:val="left"/>
      </w:pPr>
    </w:p>
    <w:p w:rsidR="00333698" w:rsidRPr="00E95ECE" w:rsidRDefault="00AA01CB" w:rsidP="008E0CEF">
      <w:pPr>
        <w:spacing w:line="360" w:lineRule="auto"/>
        <w:rPr>
          <w:b/>
          <w:bCs/>
        </w:rPr>
      </w:pPr>
      <w:r w:rsidRPr="00E95ECE">
        <w:rPr>
          <w:b/>
          <w:bCs/>
        </w:rPr>
        <w:t>Summary</w:t>
      </w:r>
      <w:r w:rsidR="002C24DD" w:rsidRPr="00E95ECE">
        <w:rPr>
          <w:b/>
          <w:bCs/>
        </w:rPr>
        <w:t>:</w:t>
      </w:r>
      <w:r w:rsidR="00333698" w:rsidRPr="00E95ECE">
        <w:rPr>
          <w:b/>
          <w:bCs/>
        </w:rPr>
        <w:tab/>
      </w:r>
      <w:r w:rsidR="00333698" w:rsidRPr="00E95ECE">
        <w:rPr>
          <w:bCs/>
        </w:rPr>
        <w:t xml:space="preserve">Local Government – administrative law – tender – review – legality – </w:t>
      </w:r>
      <w:r w:rsidR="00700E00">
        <w:rPr>
          <w:bCs/>
        </w:rPr>
        <w:t xml:space="preserve">tender set aside </w:t>
      </w:r>
      <w:r w:rsidR="004C4A18">
        <w:rPr>
          <w:bCs/>
        </w:rPr>
        <w:t xml:space="preserve">as unlawful – </w:t>
      </w:r>
      <w:r w:rsidR="00EB276B">
        <w:rPr>
          <w:bCs/>
        </w:rPr>
        <w:t>discretionary remedy under s 172(1)</w:t>
      </w:r>
      <w:r w:rsidR="00EB276B" w:rsidRPr="0029029C">
        <w:rPr>
          <w:bCs/>
          <w:i/>
          <w:iCs/>
        </w:rPr>
        <w:t>(b)</w:t>
      </w:r>
      <w:r w:rsidR="00EB276B">
        <w:rPr>
          <w:bCs/>
        </w:rPr>
        <w:t xml:space="preserve"> of the Constitution</w:t>
      </w:r>
      <w:r w:rsidR="00333698" w:rsidRPr="00E95ECE">
        <w:rPr>
          <w:bCs/>
        </w:rPr>
        <w:t xml:space="preserve"> – services rendered to the respondent</w:t>
      </w:r>
      <w:r w:rsidR="00ED2091">
        <w:rPr>
          <w:bCs/>
        </w:rPr>
        <w:t xml:space="preserve"> prior to</w:t>
      </w:r>
      <w:r w:rsidR="00333698" w:rsidRPr="00E95ECE">
        <w:rPr>
          <w:bCs/>
        </w:rPr>
        <w:t xml:space="preserve"> successful legality review – </w:t>
      </w:r>
      <w:r w:rsidR="00A7128D">
        <w:rPr>
          <w:bCs/>
        </w:rPr>
        <w:t>money award to the appellant</w:t>
      </w:r>
      <w:r w:rsidR="008A0C23">
        <w:rPr>
          <w:bCs/>
        </w:rPr>
        <w:t xml:space="preserve"> appropriate</w:t>
      </w:r>
      <w:r w:rsidR="00333698" w:rsidRPr="00E95ECE">
        <w:rPr>
          <w:bCs/>
        </w:rPr>
        <w:t>.</w:t>
      </w:r>
      <w:r w:rsidR="00333698" w:rsidRPr="00E95ECE">
        <w:rPr>
          <w:b/>
          <w:bCs/>
        </w:rPr>
        <w:t xml:space="preserve"> </w:t>
      </w:r>
      <w:r w:rsidR="002C24DD" w:rsidRPr="00E95ECE">
        <w:rPr>
          <w:b/>
          <w:bCs/>
        </w:rPr>
        <w:t xml:space="preserve"> </w:t>
      </w:r>
    </w:p>
    <w:p w:rsidR="0049291A" w:rsidRPr="00E95ECE" w:rsidRDefault="0049291A" w:rsidP="0049291A">
      <w:pPr>
        <w:rPr>
          <w:b/>
        </w:rPr>
      </w:pPr>
      <w:r w:rsidRPr="00E95ECE">
        <w:rPr>
          <w:b/>
        </w:rPr>
        <w:lastRenderedPageBreak/>
        <w:t>__________________________________________________________________</w:t>
      </w:r>
      <w:r w:rsidR="00C41864" w:rsidRPr="00E95ECE">
        <w:rPr>
          <w:b/>
        </w:rPr>
        <w:softHyphen/>
        <w:t>___</w:t>
      </w:r>
      <w:r w:rsidR="00556649" w:rsidRPr="00E95ECE">
        <w:rPr>
          <w:b/>
        </w:rPr>
        <w:t>_</w:t>
      </w:r>
    </w:p>
    <w:p w:rsidR="0049291A" w:rsidRPr="00E95ECE" w:rsidRDefault="0049291A" w:rsidP="0049291A">
      <w:pPr>
        <w:jc w:val="center"/>
        <w:rPr>
          <w:b/>
        </w:rPr>
      </w:pPr>
    </w:p>
    <w:p w:rsidR="0049291A" w:rsidRPr="00E95ECE" w:rsidRDefault="0049291A" w:rsidP="0049291A">
      <w:pPr>
        <w:jc w:val="center"/>
        <w:rPr>
          <w:b/>
          <w:bCs/>
        </w:rPr>
      </w:pPr>
      <w:r w:rsidRPr="00E95ECE">
        <w:rPr>
          <w:b/>
          <w:bCs/>
        </w:rPr>
        <w:t>ORDER</w:t>
      </w:r>
    </w:p>
    <w:p w:rsidR="00E3021E" w:rsidRPr="00E95ECE" w:rsidRDefault="0049291A" w:rsidP="0049291A">
      <w:r w:rsidRPr="00E95ECE">
        <w:rPr>
          <w:b/>
        </w:rPr>
        <w:t>__________________________________________________________________</w:t>
      </w:r>
      <w:r w:rsidR="00C41864" w:rsidRPr="00E95ECE">
        <w:rPr>
          <w:b/>
        </w:rPr>
        <w:t>____</w:t>
      </w:r>
    </w:p>
    <w:p w:rsidR="000B781A" w:rsidRPr="00E95ECE" w:rsidRDefault="000B781A" w:rsidP="008E0CEF">
      <w:pPr>
        <w:spacing w:line="360" w:lineRule="auto"/>
        <w:rPr>
          <w:b/>
          <w:bCs/>
        </w:rPr>
      </w:pPr>
    </w:p>
    <w:p w:rsidR="00AA01CB" w:rsidRPr="00E95ECE" w:rsidRDefault="00AA01CB" w:rsidP="008E0CEF">
      <w:pPr>
        <w:spacing w:line="360" w:lineRule="auto"/>
        <w:rPr>
          <w:bCs/>
        </w:rPr>
      </w:pPr>
      <w:r w:rsidRPr="00E95ECE">
        <w:rPr>
          <w:b/>
          <w:bCs/>
        </w:rPr>
        <w:t xml:space="preserve">On appeal from: </w:t>
      </w:r>
      <w:r w:rsidR="00FF41CA" w:rsidRPr="00E95ECE">
        <w:rPr>
          <w:bCs/>
        </w:rPr>
        <w:t>Limpopo</w:t>
      </w:r>
      <w:r w:rsidR="00013195" w:rsidRPr="00E95ECE">
        <w:rPr>
          <w:bCs/>
        </w:rPr>
        <w:t xml:space="preserve"> </w:t>
      </w:r>
      <w:r w:rsidRPr="00E95ECE">
        <w:rPr>
          <w:bCs/>
        </w:rPr>
        <w:t xml:space="preserve">Division of the High Court, </w:t>
      </w:r>
      <w:r w:rsidR="00FF41CA" w:rsidRPr="00E95ECE">
        <w:rPr>
          <w:bCs/>
        </w:rPr>
        <w:t>Polokwane</w:t>
      </w:r>
      <w:r w:rsidRPr="00E95ECE">
        <w:rPr>
          <w:bCs/>
        </w:rPr>
        <w:t xml:space="preserve"> (</w:t>
      </w:r>
      <w:r w:rsidR="00FF41CA" w:rsidRPr="00E95ECE">
        <w:rPr>
          <w:bCs/>
        </w:rPr>
        <w:t>Semenya</w:t>
      </w:r>
      <w:r w:rsidRPr="00E95ECE">
        <w:rPr>
          <w:bCs/>
        </w:rPr>
        <w:t xml:space="preserve"> J sitting as court of first instance):</w:t>
      </w:r>
    </w:p>
    <w:p w:rsidR="001315C4" w:rsidRPr="00E95ECE" w:rsidRDefault="001315C4" w:rsidP="008E0CEF">
      <w:pPr>
        <w:shd w:val="clear" w:color="auto" w:fill="FFFFFF"/>
        <w:spacing w:line="360" w:lineRule="auto"/>
        <w:rPr>
          <w:lang w:val="en-ZA" w:eastAsia="en-ZA"/>
        </w:rPr>
      </w:pPr>
      <w:r w:rsidRPr="00E95ECE">
        <w:rPr>
          <w:lang w:val="en-ZA" w:eastAsia="en-ZA"/>
        </w:rPr>
        <w:t>1</w:t>
      </w:r>
      <w:r w:rsidRPr="00E95ECE">
        <w:rPr>
          <w:lang w:val="en-ZA" w:eastAsia="en-ZA"/>
        </w:rPr>
        <w:tab/>
        <w:t>The appeal is upheld with no order as to costs.</w:t>
      </w:r>
    </w:p>
    <w:p w:rsidR="001315C4" w:rsidRPr="00E95ECE" w:rsidRDefault="001315C4" w:rsidP="008E0CEF">
      <w:pPr>
        <w:shd w:val="clear" w:color="auto" w:fill="FFFFFF"/>
        <w:spacing w:line="360" w:lineRule="auto"/>
        <w:rPr>
          <w:lang w:val="en-ZA" w:eastAsia="en-ZA"/>
        </w:rPr>
      </w:pPr>
      <w:r w:rsidRPr="00E95ECE">
        <w:rPr>
          <w:lang w:val="en-ZA" w:eastAsia="en-ZA"/>
        </w:rPr>
        <w:t>2</w:t>
      </w:r>
      <w:r w:rsidRPr="00E95ECE">
        <w:rPr>
          <w:lang w:val="en-ZA" w:eastAsia="en-ZA"/>
        </w:rPr>
        <w:tab/>
        <w:t xml:space="preserve">Paragraph (iv) of the order of the court a quo </w:t>
      </w:r>
      <w:r w:rsidR="00E143B1">
        <w:rPr>
          <w:lang w:val="en-ZA" w:eastAsia="en-ZA"/>
        </w:rPr>
        <w:t>is set aside and</w:t>
      </w:r>
      <w:r w:rsidRPr="00E95ECE">
        <w:rPr>
          <w:lang w:val="en-ZA" w:eastAsia="en-ZA"/>
        </w:rPr>
        <w:t xml:space="preserve"> replaced with the following:</w:t>
      </w:r>
    </w:p>
    <w:p w:rsidR="001315C4" w:rsidRPr="00E95ECE" w:rsidRDefault="001315C4" w:rsidP="0085089E">
      <w:pPr>
        <w:shd w:val="clear" w:color="auto" w:fill="FFFFFF"/>
        <w:spacing w:line="360" w:lineRule="auto"/>
        <w:rPr>
          <w:lang w:val="en-ZA" w:eastAsia="en-ZA"/>
        </w:rPr>
      </w:pPr>
      <w:r w:rsidRPr="00E95ECE">
        <w:rPr>
          <w:lang w:val="en-ZA" w:eastAsia="en-ZA"/>
        </w:rPr>
        <w:t>‘</w:t>
      </w:r>
      <w:r w:rsidR="0085089E">
        <w:rPr>
          <w:lang w:val="en-ZA" w:eastAsia="en-ZA"/>
        </w:rPr>
        <w:t>(iv)</w:t>
      </w:r>
      <w:r w:rsidR="00EB5CF3">
        <w:rPr>
          <w:lang w:val="en-ZA" w:eastAsia="en-ZA"/>
        </w:rPr>
        <w:tab/>
      </w:r>
      <w:r w:rsidRPr="00E95ECE">
        <w:rPr>
          <w:lang w:val="en-ZA" w:eastAsia="en-ZA"/>
        </w:rPr>
        <w:t xml:space="preserve">The </w:t>
      </w:r>
      <w:r w:rsidRPr="009B61A2">
        <w:rPr>
          <w:lang w:val="en-ZA" w:eastAsia="en-ZA"/>
        </w:rPr>
        <w:t>applicant</w:t>
      </w:r>
      <w:r w:rsidR="00603BE1" w:rsidRPr="009B61A2">
        <w:rPr>
          <w:lang w:val="en-ZA" w:eastAsia="en-ZA"/>
        </w:rPr>
        <w:t xml:space="preserve"> (the municipality)</w:t>
      </w:r>
      <w:r w:rsidRPr="009B61A2">
        <w:rPr>
          <w:lang w:val="en-ZA" w:eastAsia="en-ZA"/>
        </w:rPr>
        <w:t xml:space="preserve"> is ordered to pay the respondent an amount of R436</w:t>
      </w:r>
      <w:r w:rsidR="00EB5CF3" w:rsidRPr="009B61A2">
        <w:rPr>
          <w:lang w:val="en-ZA" w:eastAsia="en-ZA"/>
        </w:rPr>
        <w:t> </w:t>
      </w:r>
      <w:r w:rsidRPr="009B61A2">
        <w:rPr>
          <w:lang w:val="en-ZA" w:eastAsia="en-ZA"/>
        </w:rPr>
        <w:t>250.30 plus interest of 10.25% per annum calculated as from 26 November 2019</w:t>
      </w:r>
      <w:r w:rsidR="00EB5CF3" w:rsidRPr="009B61A2">
        <w:rPr>
          <w:lang w:val="en-ZA" w:eastAsia="en-ZA"/>
        </w:rPr>
        <w:t xml:space="preserve"> to date of payment</w:t>
      </w:r>
      <w:r w:rsidRPr="009B61A2">
        <w:rPr>
          <w:lang w:val="en-ZA" w:eastAsia="en-ZA"/>
        </w:rPr>
        <w:t>.</w:t>
      </w:r>
      <w:r w:rsidR="00CA1F49" w:rsidRPr="009B61A2">
        <w:rPr>
          <w:lang w:val="en-ZA" w:eastAsia="en-ZA"/>
        </w:rPr>
        <w:t xml:space="preserve"> No order is made in respect of the costs of the counter-application.’</w:t>
      </w:r>
      <w:r w:rsidRPr="00E95ECE">
        <w:rPr>
          <w:lang w:val="en-ZA" w:eastAsia="en-ZA"/>
        </w:rPr>
        <w:t xml:space="preserve"> </w:t>
      </w:r>
    </w:p>
    <w:p w:rsidR="00E3021E" w:rsidRPr="00E95ECE" w:rsidRDefault="00E3021E" w:rsidP="008E0CEF">
      <w:pPr>
        <w:spacing w:line="360" w:lineRule="auto"/>
      </w:pPr>
      <w:r w:rsidRPr="00E95ECE">
        <w:rPr>
          <w:b/>
        </w:rPr>
        <w:t>___________________________________________________________________</w:t>
      </w:r>
      <w:r w:rsidR="00E86255" w:rsidRPr="00E95ECE">
        <w:rPr>
          <w:b/>
        </w:rPr>
        <w:t>_</w:t>
      </w:r>
      <w:r w:rsidR="00556649" w:rsidRPr="00E95ECE">
        <w:rPr>
          <w:b/>
        </w:rPr>
        <w:t>__</w:t>
      </w:r>
    </w:p>
    <w:p w:rsidR="00E3021E" w:rsidRPr="00E95ECE" w:rsidRDefault="00E3021E" w:rsidP="008E0CEF">
      <w:pPr>
        <w:spacing w:line="360" w:lineRule="auto"/>
        <w:jc w:val="center"/>
        <w:rPr>
          <w:b/>
          <w:bCs/>
        </w:rPr>
      </w:pPr>
    </w:p>
    <w:p w:rsidR="00E3021E" w:rsidRPr="00E95ECE" w:rsidRDefault="00E3021E" w:rsidP="008E0CEF">
      <w:pPr>
        <w:spacing w:line="360" w:lineRule="auto"/>
        <w:jc w:val="center"/>
        <w:rPr>
          <w:b/>
          <w:bCs/>
        </w:rPr>
      </w:pPr>
      <w:r w:rsidRPr="00E95ECE">
        <w:rPr>
          <w:b/>
          <w:bCs/>
        </w:rPr>
        <w:t>JUDGMENT</w:t>
      </w:r>
    </w:p>
    <w:p w:rsidR="00E3021E" w:rsidRPr="00E95ECE" w:rsidRDefault="00E3021E" w:rsidP="008E0CEF">
      <w:pPr>
        <w:spacing w:line="360" w:lineRule="auto"/>
        <w:jc w:val="center"/>
      </w:pPr>
      <w:r w:rsidRPr="00E95ECE">
        <w:rPr>
          <w:b/>
        </w:rPr>
        <w:t>_</w:t>
      </w:r>
      <w:r w:rsidR="00DB1F4D" w:rsidRPr="00E95ECE">
        <w:rPr>
          <w:b/>
        </w:rPr>
        <w:t>__</w:t>
      </w:r>
      <w:r w:rsidRPr="00E95ECE">
        <w:rPr>
          <w:b/>
        </w:rPr>
        <w:t>___________________________________________________________________</w:t>
      </w:r>
    </w:p>
    <w:p w:rsidR="0024091C" w:rsidRPr="00E95ECE" w:rsidRDefault="0024091C" w:rsidP="006E0085">
      <w:pPr>
        <w:spacing w:line="360" w:lineRule="auto"/>
        <w:rPr>
          <w:b/>
        </w:rPr>
      </w:pPr>
      <w:r w:rsidRPr="00E95ECE">
        <w:rPr>
          <w:b/>
        </w:rPr>
        <w:t>D</w:t>
      </w:r>
      <w:r w:rsidR="00DF34E5" w:rsidRPr="00E95ECE">
        <w:rPr>
          <w:b/>
        </w:rPr>
        <w:t>l</w:t>
      </w:r>
      <w:r w:rsidRPr="00E95ECE">
        <w:rPr>
          <w:b/>
        </w:rPr>
        <w:t>odlo JA: (</w:t>
      </w:r>
      <w:r w:rsidR="006E0085">
        <w:rPr>
          <w:b/>
        </w:rPr>
        <w:t>Petse DP, Van der Merwe, Mbatha and Gorven</w:t>
      </w:r>
      <w:r w:rsidRPr="00E95ECE">
        <w:rPr>
          <w:b/>
        </w:rPr>
        <w:t xml:space="preserve"> JJA </w:t>
      </w:r>
      <w:r w:rsidR="00210B90" w:rsidRPr="00E95ECE">
        <w:rPr>
          <w:b/>
        </w:rPr>
        <w:t>concurring</w:t>
      </w:r>
      <w:r w:rsidRPr="00E95ECE">
        <w:rPr>
          <w:b/>
        </w:rPr>
        <w:t>)</w:t>
      </w:r>
      <w:r w:rsidR="006E0085">
        <w:rPr>
          <w:b/>
        </w:rPr>
        <w:t>:</w:t>
      </w:r>
      <w:r w:rsidRPr="00E95ECE">
        <w:rPr>
          <w:b/>
        </w:rPr>
        <w:t xml:space="preserve"> </w:t>
      </w:r>
    </w:p>
    <w:p w:rsidR="00A94792" w:rsidRPr="00E95ECE" w:rsidRDefault="00A94792" w:rsidP="006E0085">
      <w:pPr>
        <w:spacing w:line="360" w:lineRule="auto"/>
        <w:rPr>
          <w:b/>
        </w:rPr>
      </w:pPr>
    </w:p>
    <w:p w:rsidR="004C44EC" w:rsidRPr="00E95ECE" w:rsidRDefault="00A94792" w:rsidP="006E0085">
      <w:pPr>
        <w:spacing w:line="360" w:lineRule="auto"/>
      </w:pPr>
      <w:r w:rsidRPr="00E95ECE">
        <w:t>[1]</w:t>
      </w:r>
      <w:r w:rsidRPr="00E95ECE">
        <w:tab/>
        <w:t xml:space="preserve">Fetakgomo Tubatse Local Municipality (the municipality) brought a review </w:t>
      </w:r>
      <w:r w:rsidR="006B0EE0" w:rsidRPr="00E95ECE">
        <w:t>based on</w:t>
      </w:r>
      <w:r w:rsidRPr="00E95ECE">
        <w:t xml:space="preserve"> legality in which </w:t>
      </w:r>
      <w:r w:rsidR="00261496">
        <w:t>i</w:t>
      </w:r>
      <w:r w:rsidR="00983A5A" w:rsidRPr="00E95ECE">
        <w:t>t</w:t>
      </w:r>
      <w:r w:rsidRPr="00E95ECE">
        <w:t xml:space="preserve"> </w:t>
      </w:r>
      <w:r w:rsidR="00864030">
        <w:t>sought</w:t>
      </w:r>
      <w:r w:rsidRPr="00E95ECE">
        <w:t xml:space="preserve"> to review and set aside its own decision to award </w:t>
      </w:r>
      <w:r w:rsidR="00581536">
        <w:t xml:space="preserve">a </w:t>
      </w:r>
      <w:r w:rsidRPr="00E95ECE">
        <w:t xml:space="preserve">tender to Sekoko Mametja Incorporated Attorneys (Sekoko Attorneys) on the grounds set out hereunder. Sekoko Attorneys opposed the review application </w:t>
      </w:r>
      <w:r w:rsidR="0091429A">
        <w:t xml:space="preserve">and </w:t>
      </w:r>
      <w:r w:rsidRPr="00E95ECE">
        <w:t>also counter</w:t>
      </w:r>
      <w:r w:rsidR="00261496">
        <w:t xml:space="preserve"> applied</w:t>
      </w:r>
      <w:r w:rsidRPr="00E95ECE">
        <w:t xml:space="preserve"> </w:t>
      </w:r>
      <w:r w:rsidR="0091429A">
        <w:t>for</w:t>
      </w:r>
      <w:r w:rsidRPr="00E95ECE">
        <w:t xml:space="preserve"> payment of the outstanding amount in respect of the invoices already</w:t>
      </w:r>
      <w:r w:rsidR="004C44EC" w:rsidRPr="00E95ECE">
        <w:t xml:space="preserve"> delivered to the municipality covering the period January 2018 to May 2018 for services rendered</w:t>
      </w:r>
      <w:r w:rsidRPr="00E95ECE">
        <w:t>.</w:t>
      </w:r>
    </w:p>
    <w:p w:rsidR="004C44EC" w:rsidRPr="00E95ECE" w:rsidRDefault="004C44EC" w:rsidP="006E0085">
      <w:pPr>
        <w:spacing w:line="360" w:lineRule="auto"/>
      </w:pPr>
    </w:p>
    <w:p w:rsidR="00A94792" w:rsidRPr="00E95ECE" w:rsidRDefault="004C44EC" w:rsidP="006E0085">
      <w:pPr>
        <w:spacing w:line="360" w:lineRule="auto"/>
      </w:pPr>
      <w:r w:rsidRPr="00E95ECE">
        <w:t>[2]</w:t>
      </w:r>
      <w:r w:rsidRPr="00E95ECE">
        <w:tab/>
        <w:t>The municipality published an invitation to tender for</w:t>
      </w:r>
      <w:r w:rsidR="00A94792" w:rsidRPr="00E95ECE">
        <w:t xml:space="preserve"> </w:t>
      </w:r>
      <w:r w:rsidRPr="00E95ECE">
        <w:t xml:space="preserve">‘the provision of debt collection services for a period of three years </w:t>
      </w:r>
      <w:r w:rsidR="002D418C" w:rsidRPr="00E95ECE">
        <w:t xml:space="preserve">as </w:t>
      </w:r>
      <w:r w:rsidRPr="00E95ECE">
        <w:t>and when required’ (the tender). Sekoko</w:t>
      </w:r>
      <w:r w:rsidR="00735831" w:rsidRPr="00E95ECE">
        <w:t xml:space="preserve"> </w:t>
      </w:r>
      <w:r w:rsidR="0020176F">
        <w:t>A</w:t>
      </w:r>
      <w:r w:rsidR="00735831" w:rsidRPr="00E95ECE">
        <w:t xml:space="preserve">ttorneys submitted a tender in </w:t>
      </w:r>
      <w:r w:rsidRPr="00E95ECE">
        <w:t>response</w:t>
      </w:r>
      <w:r w:rsidR="00735831" w:rsidRPr="00E95ECE">
        <w:t xml:space="preserve">. </w:t>
      </w:r>
      <w:r w:rsidRPr="00E95ECE">
        <w:t xml:space="preserve">The Municipality’s Bid Evaluation Committee </w:t>
      </w:r>
      <w:r w:rsidR="00E67862" w:rsidRPr="00E95ECE">
        <w:t>and Adjudication Committee</w:t>
      </w:r>
      <w:r w:rsidRPr="00E95ECE">
        <w:t xml:space="preserve"> awarded </w:t>
      </w:r>
      <w:r w:rsidR="002145AC" w:rsidRPr="00E95ECE">
        <w:t xml:space="preserve">the tender </w:t>
      </w:r>
      <w:r w:rsidRPr="00E95ECE">
        <w:t xml:space="preserve">to Sekoko </w:t>
      </w:r>
      <w:r w:rsidR="0020176F">
        <w:t>A</w:t>
      </w:r>
      <w:r w:rsidRPr="00E95ECE">
        <w:t xml:space="preserve">ttorneys and four other applicants. The municipality </w:t>
      </w:r>
      <w:r w:rsidR="000D2F89">
        <w:t>required</w:t>
      </w:r>
      <w:r w:rsidR="007404DE" w:rsidRPr="00E95ECE">
        <w:t xml:space="preserve"> </w:t>
      </w:r>
      <w:r w:rsidR="00993899" w:rsidRPr="00E95ECE">
        <w:t xml:space="preserve">the </w:t>
      </w:r>
      <w:r w:rsidRPr="00E95ECE">
        <w:t xml:space="preserve">collection of debts owed to it. Accordingly, it gave Sekoko </w:t>
      </w:r>
      <w:r w:rsidR="0020176F">
        <w:t>A</w:t>
      </w:r>
      <w:r w:rsidRPr="00E95ECE">
        <w:t xml:space="preserve">ttorneys a list of debtors from which it </w:t>
      </w:r>
      <w:r w:rsidR="00C73885">
        <w:t>was to</w:t>
      </w:r>
      <w:r w:rsidRPr="00E95ECE">
        <w:t xml:space="preserve"> recover money. Sekoko </w:t>
      </w:r>
      <w:r w:rsidR="0020176F">
        <w:lastRenderedPageBreak/>
        <w:t>A</w:t>
      </w:r>
      <w:r w:rsidRPr="00E95ECE">
        <w:t xml:space="preserve">ttorneys collected </w:t>
      </w:r>
      <w:r w:rsidR="004206AC" w:rsidRPr="00E95ECE">
        <w:t xml:space="preserve">sums of money </w:t>
      </w:r>
      <w:r w:rsidRPr="00E95ECE">
        <w:t xml:space="preserve">owed </w:t>
      </w:r>
      <w:r w:rsidR="000D2F89">
        <w:t xml:space="preserve">to the municipality </w:t>
      </w:r>
      <w:r w:rsidRPr="00E95ECE">
        <w:t>and issued invoices for payment</w:t>
      </w:r>
      <w:r w:rsidR="000D2F89">
        <w:t xml:space="preserve"> in accordance with the tender</w:t>
      </w:r>
      <w:r w:rsidRPr="00E95ECE">
        <w:t>.</w:t>
      </w:r>
    </w:p>
    <w:p w:rsidR="006A4626" w:rsidRPr="00E95ECE" w:rsidRDefault="006A4626" w:rsidP="006E0085">
      <w:pPr>
        <w:spacing w:line="360" w:lineRule="auto"/>
      </w:pPr>
    </w:p>
    <w:p w:rsidR="006A4626" w:rsidRPr="00E95ECE" w:rsidRDefault="006A4626" w:rsidP="006E0085">
      <w:pPr>
        <w:spacing w:line="360" w:lineRule="auto"/>
      </w:pPr>
      <w:r w:rsidRPr="00E95ECE">
        <w:t>[3]</w:t>
      </w:r>
      <w:r w:rsidRPr="00E95ECE">
        <w:tab/>
        <w:t>In April 2018</w:t>
      </w:r>
      <w:r w:rsidR="008F66E2" w:rsidRPr="00E95ECE">
        <w:t>,</w:t>
      </w:r>
      <w:r w:rsidRPr="00E95ECE">
        <w:t xml:space="preserve"> the municipality </w:t>
      </w:r>
      <w:r w:rsidR="005562FE" w:rsidRPr="00E95ECE">
        <w:t>realised that Sekoko attorneys had submitted a non-responsive bid in contravention of clause 43 of the Municipality’s Supply Chain Management Policy which inter alia reads:</w:t>
      </w:r>
    </w:p>
    <w:p w:rsidR="005562FE" w:rsidRPr="00E95ECE" w:rsidRDefault="005562FE" w:rsidP="006E0085">
      <w:pPr>
        <w:spacing w:line="360" w:lineRule="auto"/>
        <w:rPr>
          <w:sz w:val="22"/>
          <w:szCs w:val="22"/>
        </w:rPr>
      </w:pPr>
      <w:r w:rsidRPr="00E95ECE">
        <w:rPr>
          <w:sz w:val="22"/>
          <w:szCs w:val="22"/>
        </w:rPr>
        <w:t>‘No award above R15</w:t>
      </w:r>
      <w:r w:rsidR="00F16D2E" w:rsidRPr="00E95ECE">
        <w:rPr>
          <w:sz w:val="22"/>
          <w:szCs w:val="22"/>
        </w:rPr>
        <w:t xml:space="preserve"> </w:t>
      </w:r>
      <w:r w:rsidRPr="00E95ECE">
        <w:rPr>
          <w:sz w:val="22"/>
          <w:szCs w:val="22"/>
        </w:rPr>
        <w:t>000 may be made in terms of this policy to a person whose tax matters have not been declared by South African Revenue Services to be in order.’</w:t>
      </w:r>
    </w:p>
    <w:p w:rsidR="00A94792" w:rsidRPr="00E95ECE" w:rsidRDefault="005562FE" w:rsidP="006E0085">
      <w:pPr>
        <w:spacing w:line="360" w:lineRule="auto"/>
      </w:pPr>
      <w:r w:rsidRPr="00E95ECE">
        <w:t>According to the municipality</w:t>
      </w:r>
      <w:r w:rsidR="007110A1" w:rsidRPr="00E95ECE">
        <w:t>,</w:t>
      </w:r>
      <w:r w:rsidRPr="00E95ECE">
        <w:t xml:space="preserve"> Sekoko </w:t>
      </w:r>
      <w:r w:rsidR="00DD3A7C">
        <w:t>A</w:t>
      </w:r>
      <w:r w:rsidRPr="00E95ECE">
        <w:t xml:space="preserve">ttorneys had </w:t>
      </w:r>
      <w:r w:rsidR="000F778A">
        <w:t>failed to provide any such proof</w:t>
      </w:r>
      <w:r w:rsidR="004629F8">
        <w:t xml:space="preserve">. This was the basis of the legality revue. </w:t>
      </w:r>
    </w:p>
    <w:p w:rsidR="005562FE" w:rsidRPr="00E95ECE" w:rsidRDefault="005562FE" w:rsidP="006E0085">
      <w:pPr>
        <w:spacing w:line="360" w:lineRule="auto"/>
      </w:pPr>
    </w:p>
    <w:p w:rsidR="005562FE" w:rsidRPr="00E95ECE" w:rsidRDefault="005562FE" w:rsidP="006E0085">
      <w:pPr>
        <w:spacing w:line="360" w:lineRule="auto"/>
      </w:pPr>
      <w:r w:rsidRPr="00E95ECE">
        <w:t>[4]</w:t>
      </w:r>
      <w:r w:rsidRPr="00E95ECE">
        <w:tab/>
        <w:t xml:space="preserve">On 15 May 2018, the municipality addressed a letter to Sekoko </w:t>
      </w:r>
      <w:r w:rsidR="00AE185D">
        <w:t>A</w:t>
      </w:r>
      <w:r w:rsidRPr="00E95ECE">
        <w:t>ttorneys and sought to cancel the appointment with immediate effect citing the two reason</w:t>
      </w:r>
      <w:r w:rsidR="00EE3DF9" w:rsidRPr="00E95ECE">
        <w:t>s, namely,</w:t>
      </w:r>
    </w:p>
    <w:p w:rsidR="00C01B4E" w:rsidRPr="00E95ECE" w:rsidRDefault="00EE3DF9" w:rsidP="006E0085">
      <w:pPr>
        <w:spacing w:line="360" w:lineRule="auto"/>
      </w:pPr>
      <w:r w:rsidRPr="00E95ECE">
        <w:t xml:space="preserve">(a) </w:t>
      </w:r>
      <w:r w:rsidR="00E67862" w:rsidRPr="00E95ECE">
        <w:t>f</w:t>
      </w:r>
      <w:r w:rsidRPr="00E95ECE">
        <w:t xml:space="preserve">ailure to provide </w:t>
      </w:r>
      <w:r w:rsidR="00AE185D">
        <w:t xml:space="preserve">an </w:t>
      </w:r>
      <w:r w:rsidRPr="00E95ECE">
        <w:t xml:space="preserve">original valid Tax Certificate; (b) </w:t>
      </w:r>
      <w:r w:rsidR="00E67862" w:rsidRPr="00E95ECE">
        <w:t>f</w:t>
      </w:r>
      <w:r w:rsidRPr="00E95ECE">
        <w:t>ailure to provide proof of</w:t>
      </w:r>
      <w:r w:rsidR="00AE185D">
        <w:t xml:space="preserve"> a</w:t>
      </w:r>
      <w:r w:rsidRPr="00E95ECE">
        <w:t xml:space="preserve"> valid CSD report. The letter referred to above categorically stated that the above constituted ‘non-compliance with material terms of the bid</w:t>
      </w:r>
      <w:r w:rsidR="000E478E" w:rsidRPr="00E95ECE">
        <w:t>’</w:t>
      </w:r>
      <w:r w:rsidRPr="00E95ECE">
        <w:t>.</w:t>
      </w:r>
      <w:r w:rsidRPr="00E95ECE">
        <w:rPr>
          <w:sz w:val="22"/>
          <w:szCs w:val="22"/>
        </w:rPr>
        <w:t xml:space="preserve"> </w:t>
      </w:r>
      <w:r w:rsidR="0003432A" w:rsidRPr="00E95ECE">
        <w:t xml:space="preserve">Sekoko </w:t>
      </w:r>
      <w:r w:rsidR="00AE185D">
        <w:t>A</w:t>
      </w:r>
      <w:r w:rsidR="0003432A" w:rsidRPr="00E95ECE">
        <w:t xml:space="preserve">ttorneys, however, did not accept the termination of its appointment. It delivered an answering affidavit </w:t>
      </w:r>
      <w:r w:rsidR="00AA7088">
        <w:t xml:space="preserve">which also covered a counter application </w:t>
      </w:r>
      <w:r w:rsidR="0003432A" w:rsidRPr="00E95ECE">
        <w:t>in which it sough</w:t>
      </w:r>
      <w:r w:rsidR="00931F13" w:rsidRPr="00E95ECE">
        <w:t>t</w:t>
      </w:r>
      <w:r w:rsidR="0003432A" w:rsidRPr="00E95ECE">
        <w:t xml:space="preserve"> payment of the outstanding amount in respect of the invoices delivered to the municipality during the period January 2018 to May 2018. </w:t>
      </w:r>
      <w:r w:rsidR="00AA7088">
        <w:t>These invoices totalled R</w:t>
      </w:r>
      <w:r w:rsidR="009E072A">
        <w:t>438 260.30.</w:t>
      </w:r>
    </w:p>
    <w:p w:rsidR="00B245E7" w:rsidRPr="00E95ECE" w:rsidRDefault="00B245E7" w:rsidP="006E0085">
      <w:pPr>
        <w:spacing w:line="360" w:lineRule="auto"/>
        <w:rPr>
          <w:sz w:val="22"/>
          <w:szCs w:val="22"/>
        </w:rPr>
      </w:pPr>
    </w:p>
    <w:p w:rsidR="00B245E7" w:rsidRPr="00E95ECE" w:rsidRDefault="00B245E7" w:rsidP="006E0085">
      <w:pPr>
        <w:spacing w:line="360" w:lineRule="auto"/>
      </w:pPr>
      <w:r w:rsidRPr="00E95ECE">
        <w:t>[</w:t>
      </w:r>
      <w:r w:rsidR="009E072A">
        <w:t>5</w:t>
      </w:r>
      <w:r w:rsidRPr="00E95ECE">
        <w:t>]</w:t>
      </w:r>
      <w:r w:rsidRPr="00E95ECE">
        <w:tab/>
        <w:t>The municipality did not oppose the counter application</w:t>
      </w:r>
      <w:r w:rsidR="00E67862" w:rsidRPr="00E95ECE">
        <w:t>. I</w:t>
      </w:r>
      <w:r w:rsidRPr="00E95ECE">
        <w:t xml:space="preserve">t did not file any answering affidavit to the counter application. </w:t>
      </w:r>
      <w:r w:rsidR="002F03BD">
        <w:t>The</w:t>
      </w:r>
      <w:r w:rsidRPr="00E95ECE">
        <w:t xml:space="preserve"> municipality </w:t>
      </w:r>
      <w:r w:rsidR="002F03BD">
        <w:t>accepted that</w:t>
      </w:r>
      <w:r w:rsidR="0052587E">
        <w:t xml:space="preserve"> the invoiced</w:t>
      </w:r>
      <w:r w:rsidRPr="00E95ECE">
        <w:t xml:space="preserve"> work </w:t>
      </w:r>
      <w:r w:rsidR="0052587E">
        <w:t>had been</w:t>
      </w:r>
      <w:r w:rsidRPr="00E95ECE">
        <w:t xml:space="preserve"> performed</w:t>
      </w:r>
      <w:r w:rsidR="00CE78AD">
        <w:t xml:space="preserve"> </w:t>
      </w:r>
      <w:r w:rsidRPr="00E95ECE">
        <w:t xml:space="preserve">by Sekoko </w:t>
      </w:r>
      <w:r w:rsidR="005C1BE3">
        <w:t>A</w:t>
      </w:r>
      <w:r w:rsidRPr="00E95ECE">
        <w:t xml:space="preserve">ttorneys. However, there was no attempt made </w:t>
      </w:r>
      <w:r w:rsidR="0052587E">
        <w:t>by it</w:t>
      </w:r>
      <w:r w:rsidRPr="00E95ECE">
        <w:t xml:space="preserve"> to motivate why Sekoko </w:t>
      </w:r>
      <w:r w:rsidR="005C1BE3">
        <w:t>A</w:t>
      </w:r>
      <w:r w:rsidRPr="00E95ECE">
        <w:t>ttorneys</w:t>
      </w:r>
      <w:r w:rsidR="003D5FC3" w:rsidRPr="00E95ECE">
        <w:t xml:space="preserve"> was not entitled to payment for services already rendered</w:t>
      </w:r>
      <w:r w:rsidR="00FE68C3">
        <w:t xml:space="preserve"> other than to say that the award of the tender was void </w:t>
      </w:r>
      <w:r w:rsidR="00FE68C3" w:rsidRPr="005C1BE3">
        <w:rPr>
          <w:i/>
          <w:iCs/>
        </w:rPr>
        <w:t>ab initio</w:t>
      </w:r>
      <w:r w:rsidR="003D5FC3" w:rsidRPr="00E95ECE">
        <w:t>.</w:t>
      </w:r>
    </w:p>
    <w:p w:rsidR="003D5FC3" w:rsidRPr="00E95ECE" w:rsidRDefault="003D5FC3" w:rsidP="006E0085">
      <w:pPr>
        <w:spacing w:line="360" w:lineRule="auto"/>
      </w:pPr>
    </w:p>
    <w:p w:rsidR="003D5FC3" w:rsidRPr="00E95ECE" w:rsidRDefault="003D5FC3" w:rsidP="006E0085">
      <w:pPr>
        <w:spacing w:line="360" w:lineRule="auto"/>
      </w:pPr>
      <w:r w:rsidRPr="00E95ECE">
        <w:t>[</w:t>
      </w:r>
      <w:r w:rsidR="009E072A">
        <w:t>6</w:t>
      </w:r>
      <w:r w:rsidRPr="00E95ECE">
        <w:t>]</w:t>
      </w:r>
      <w:r w:rsidRPr="00E95ECE">
        <w:tab/>
        <w:t xml:space="preserve">The </w:t>
      </w:r>
      <w:r w:rsidR="00BF3AE3">
        <w:t xml:space="preserve">application was brought in the Limpopo Division of the </w:t>
      </w:r>
      <w:r w:rsidRPr="00E95ECE">
        <w:t>High Court</w:t>
      </w:r>
      <w:r w:rsidR="00BF3AE3">
        <w:t>, Polokwane</w:t>
      </w:r>
      <w:r w:rsidR="0062036B">
        <w:t xml:space="preserve"> (the high court) before Semenya J.</w:t>
      </w:r>
      <w:r w:rsidRPr="00E95ECE">
        <w:t xml:space="preserve"> The high court </w:t>
      </w:r>
      <w:r w:rsidR="00CC554C" w:rsidRPr="00E95ECE">
        <w:t xml:space="preserve">considered whether or not the </w:t>
      </w:r>
      <w:r w:rsidR="00CC554C" w:rsidRPr="00E95ECE">
        <w:lastRenderedPageBreak/>
        <w:t xml:space="preserve">municipality was entitled to an order </w:t>
      </w:r>
      <w:r w:rsidR="0083678A" w:rsidRPr="00E95ECE">
        <w:t>in</w:t>
      </w:r>
      <w:r w:rsidR="00CC554C" w:rsidRPr="00E95ECE">
        <w:t xml:space="preserve"> terms of s 172(1)</w:t>
      </w:r>
      <w:r w:rsidR="00CC554C" w:rsidRPr="00E95ECE">
        <w:rPr>
          <w:i/>
          <w:iCs/>
        </w:rPr>
        <w:t xml:space="preserve">(a) </w:t>
      </w:r>
      <w:r w:rsidR="00CC554C" w:rsidRPr="00E95ECE">
        <w:t>of the Constitution.</w:t>
      </w:r>
      <w:r w:rsidR="005A2C4B" w:rsidRPr="00E95ECE">
        <w:rPr>
          <w:rStyle w:val="FootnoteReference"/>
          <w:sz w:val="22"/>
          <w:szCs w:val="22"/>
          <w:shd w:val="clear" w:color="auto" w:fill="FFFFFF"/>
        </w:rPr>
        <w:t xml:space="preserve"> </w:t>
      </w:r>
      <w:r w:rsidR="005A2C4B" w:rsidRPr="00E95ECE">
        <w:rPr>
          <w:rStyle w:val="FootnoteReference"/>
          <w:sz w:val="22"/>
          <w:szCs w:val="22"/>
          <w:shd w:val="clear" w:color="auto" w:fill="FFFFFF"/>
        </w:rPr>
        <w:footnoteReference w:id="1"/>
      </w:r>
      <w:r w:rsidR="00CC554C" w:rsidRPr="00E95ECE">
        <w:t xml:space="preserve"> Section 172(1)</w:t>
      </w:r>
      <w:r w:rsidR="00CC554C" w:rsidRPr="00E95ECE">
        <w:rPr>
          <w:i/>
          <w:iCs/>
        </w:rPr>
        <w:t xml:space="preserve">(a) </w:t>
      </w:r>
      <w:r w:rsidR="00CC554C" w:rsidRPr="00E95ECE">
        <w:t>of the Constitution provides:</w:t>
      </w:r>
    </w:p>
    <w:p w:rsidR="00CC554C" w:rsidRPr="00E95ECE" w:rsidRDefault="00CC554C" w:rsidP="006E0085">
      <w:pPr>
        <w:tabs>
          <w:tab w:val="left" w:pos="851"/>
        </w:tabs>
        <w:spacing w:line="360" w:lineRule="auto"/>
        <w:rPr>
          <w:sz w:val="22"/>
          <w:szCs w:val="22"/>
          <w:shd w:val="clear" w:color="auto" w:fill="FFFFFF"/>
        </w:rPr>
      </w:pPr>
      <w:r w:rsidRPr="00E95ECE">
        <w:rPr>
          <w:sz w:val="22"/>
          <w:szCs w:val="22"/>
        </w:rPr>
        <w:t>‘</w:t>
      </w:r>
      <w:r w:rsidR="00262137" w:rsidRPr="00E95ECE">
        <w:rPr>
          <w:bCs/>
          <w:sz w:val="22"/>
          <w:szCs w:val="22"/>
          <w:shd w:val="clear" w:color="auto" w:fill="FFFFFF"/>
        </w:rPr>
        <w:t>W</w:t>
      </w:r>
      <w:r w:rsidRPr="00E95ECE">
        <w:rPr>
          <w:bCs/>
          <w:sz w:val="22"/>
          <w:szCs w:val="22"/>
          <w:shd w:val="clear" w:color="auto" w:fill="FFFFFF"/>
        </w:rPr>
        <w:t>hen deciding a constitutional matter within its powers</w:t>
      </w:r>
      <w:r w:rsidRPr="00E95ECE">
        <w:rPr>
          <w:sz w:val="22"/>
          <w:szCs w:val="22"/>
          <w:shd w:val="clear" w:color="auto" w:fill="FFFFFF"/>
        </w:rPr>
        <w:t>, a court –</w:t>
      </w:r>
    </w:p>
    <w:p w:rsidR="00F03606" w:rsidRPr="00E95ECE" w:rsidRDefault="00CC554C" w:rsidP="006E0085">
      <w:pPr>
        <w:pStyle w:val="ListParagraph"/>
        <w:numPr>
          <w:ilvl w:val="0"/>
          <w:numId w:val="15"/>
        </w:numPr>
        <w:spacing w:line="360" w:lineRule="auto"/>
        <w:ind w:left="0" w:firstLine="0"/>
        <w:rPr>
          <w:sz w:val="22"/>
          <w:szCs w:val="22"/>
          <w:shd w:val="clear" w:color="auto" w:fill="FFFFFF"/>
        </w:rPr>
      </w:pPr>
      <w:r w:rsidRPr="00E95ECE">
        <w:rPr>
          <w:color w:val="202124"/>
          <w:sz w:val="22"/>
          <w:szCs w:val="22"/>
          <w:shd w:val="clear" w:color="auto" w:fill="FFFFFF"/>
        </w:rPr>
        <w:t>must</w:t>
      </w:r>
      <w:r w:rsidRPr="00E95ECE">
        <w:rPr>
          <w:sz w:val="22"/>
          <w:szCs w:val="22"/>
          <w:shd w:val="clear" w:color="auto" w:fill="FFFFFF"/>
        </w:rPr>
        <w:t xml:space="preserve">  declare that any law or conduct that is inconsistent with the C</w:t>
      </w:r>
      <w:r w:rsidR="00F03606" w:rsidRPr="00E95ECE">
        <w:rPr>
          <w:sz w:val="22"/>
          <w:szCs w:val="22"/>
          <w:shd w:val="clear" w:color="auto" w:fill="FFFFFF"/>
        </w:rPr>
        <w:t xml:space="preserve">onstitution is invalid to </w:t>
      </w:r>
    </w:p>
    <w:p w:rsidR="006D0D53" w:rsidRDefault="00CC554C" w:rsidP="006E0085">
      <w:pPr>
        <w:spacing w:line="360" w:lineRule="auto"/>
        <w:rPr>
          <w:sz w:val="22"/>
          <w:szCs w:val="22"/>
          <w:shd w:val="clear" w:color="auto" w:fill="FFFFFF"/>
        </w:rPr>
      </w:pPr>
      <w:r w:rsidRPr="00E95ECE">
        <w:rPr>
          <w:sz w:val="22"/>
          <w:szCs w:val="22"/>
          <w:shd w:val="clear" w:color="auto" w:fill="FFFFFF"/>
        </w:rPr>
        <w:t>the extent of its inconsistency</w:t>
      </w:r>
      <w:r w:rsidR="006D0D53">
        <w:rPr>
          <w:sz w:val="22"/>
          <w:szCs w:val="22"/>
          <w:shd w:val="clear" w:color="auto" w:fill="FFFFFF"/>
        </w:rPr>
        <w:t>’.</w:t>
      </w:r>
    </w:p>
    <w:p w:rsidR="00CC554C" w:rsidRPr="00E95ECE" w:rsidRDefault="00CC554C" w:rsidP="006E0085">
      <w:pPr>
        <w:spacing w:line="360" w:lineRule="auto"/>
        <w:rPr>
          <w:sz w:val="22"/>
          <w:szCs w:val="22"/>
          <w:shd w:val="clear" w:color="auto" w:fill="FFFFFF"/>
        </w:rPr>
      </w:pPr>
    </w:p>
    <w:p w:rsidR="004A1FF3" w:rsidRPr="00E95ECE" w:rsidRDefault="006202C7" w:rsidP="006E0085">
      <w:pPr>
        <w:spacing w:line="360" w:lineRule="auto"/>
      </w:pPr>
      <w:r w:rsidRPr="00E95ECE">
        <w:t>[</w:t>
      </w:r>
      <w:r w:rsidR="00FE51F6">
        <w:t>7</w:t>
      </w:r>
      <w:r w:rsidRPr="00E95ECE">
        <w:t>]</w:t>
      </w:r>
      <w:r w:rsidRPr="00E95ECE">
        <w:tab/>
        <w:t xml:space="preserve">Having found that the </w:t>
      </w:r>
      <w:r w:rsidR="00DC3CCF" w:rsidRPr="00E95ECE">
        <w:t>tender award</w:t>
      </w:r>
      <w:r w:rsidRPr="00E95ECE">
        <w:t xml:space="preserve"> was inconsistent with the Constitution and was therefore unlawful and invalid, the high court also proceeded to dismiss Sekoko </w:t>
      </w:r>
      <w:r w:rsidR="00C924F1">
        <w:t>A</w:t>
      </w:r>
      <w:r w:rsidRPr="00E95ECE">
        <w:t xml:space="preserve">ttorneys’ counterclaim with costs. The high court made a finding that Sekoko </w:t>
      </w:r>
      <w:r w:rsidR="00C924F1">
        <w:t>A</w:t>
      </w:r>
      <w:r w:rsidRPr="00E95ECE">
        <w:t xml:space="preserve">ttorneys had performed the tasks in accordance with the terms of the agreement to the satisfaction of the municipality. It reasoned that even though </w:t>
      </w:r>
      <w:r w:rsidR="00387E7D" w:rsidRPr="00E95ECE">
        <w:t xml:space="preserve">the </w:t>
      </w:r>
      <w:r w:rsidRPr="00E95ECE">
        <w:t xml:space="preserve">municipality failed to dispute </w:t>
      </w:r>
      <w:r w:rsidR="00C924F1">
        <w:t>the</w:t>
      </w:r>
      <w:r w:rsidR="004A1FF3" w:rsidRPr="00E95ECE">
        <w:t xml:space="preserve"> counter</w:t>
      </w:r>
      <w:r w:rsidR="00D432E9">
        <w:t xml:space="preserve"> application</w:t>
      </w:r>
      <w:r w:rsidR="004A1FF3" w:rsidRPr="00E95ECE">
        <w:t xml:space="preserve">, Sekoko </w:t>
      </w:r>
      <w:r w:rsidR="00D432E9">
        <w:t>A</w:t>
      </w:r>
      <w:r w:rsidR="004A1FF3" w:rsidRPr="00E95ECE">
        <w:t>ttorneys ‘cannot be allowed to derive a benefit out of an unlawful contract</w:t>
      </w:r>
      <w:r w:rsidR="0038688C" w:rsidRPr="00E95ECE">
        <w:t>’</w:t>
      </w:r>
      <w:r w:rsidR="004A1FF3" w:rsidRPr="00E95ECE">
        <w:t>.</w:t>
      </w:r>
    </w:p>
    <w:p w:rsidR="00F57DD2" w:rsidRPr="00E95ECE" w:rsidRDefault="00F57DD2" w:rsidP="006E0085">
      <w:pPr>
        <w:spacing w:line="360" w:lineRule="auto"/>
      </w:pPr>
    </w:p>
    <w:p w:rsidR="000212B3" w:rsidRDefault="004A1FF3" w:rsidP="006E0085">
      <w:pPr>
        <w:spacing w:line="360" w:lineRule="auto"/>
      </w:pPr>
      <w:r w:rsidRPr="00E95ECE">
        <w:t>[</w:t>
      </w:r>
      <w:r w:rsidR="00FE51F6">
        <w:t>8</w:t>
      </w:r>
      <w:r w:rsidRPr="00E95ECE">
        <w:t>]</w:t>
      </w:r>
      <w:r w:rsidRPr="00E95ECE">
        <w:tab/>
        <w:t>In this Court</w:t>
      </w:r>
      <w:r w:rsidR="00BF7A25" w:rsidRPr="00E95ECE">
        <w:t>,</w:t>
      </w:r>
      <w:r w:rsidRPr="00E95ECE">
        <w:t xml:space="preserve"> Sekoko </w:t>
      </w:r>
      <w:r w:rsidR="009F67C1">
        <w:t>A</w:t>
      </w:r>
      <w:r w:rsidRPr="00E95ECE">
        <w:t xml:space="preserve">ttorneys is not </w:t>
      </w:r>
      <w:r w:rsidR="00FE51F6">
        <w:t>appealing</w:t>
      </w:r>
      <w:r w:rsidR="003C35B1">
        <w:t xml:space="preserve"> </w:t>
      </w:r>
      <w:r w:rsidRPr="00E95ECE">
        <w:t>the correctness of the declaration of invalidity</w:t>
      </w:r>
      <w:r w:rsidR="00387E7D" w:rsidRPr="00E95ECE">
        <w:t xml:space="preserve"> of the tender </w:t>
      </w:r>
      <w:r w:rsidRPr="00E95ECE">
        <w:t>awarded to it by the municipality. The appeal</w:t>
      </w:r>
      <w:r w:rsidR="0051086A">
        <w:t>, which is before us with the leave of the high court,</w:t>
      </w:r>
      <w:r w:rsidRPr="00E95ECE">
        <w:t xml:space="preserve"> deals </w:t>
      </w:r>
      <w:r w:rsidR="00FE51F6" w:rsidRPr="00E95ECE">
        <w:t xml:space="preserve">exclusively </w:t>
      </w:r>
      <w:r w:rsidRPr="00E95ECE">
        <w:t>with the dismissal of its counter</w:t>
      </w:r>
      <w:r w:rsidR="00FE51F6">
        <w:t xml:space="preserve"> application</w:t>
      </w:r>
      <w:r w:rsidRPr="00E95ECE">
        <w:t xml:space="preserve"> for </w:t>
      </w:r>
      <w:r w:rsidR="00FE51F6">
        <w:t xml:space="preserve">payment for the </w:t>
      </w:r>
      <w:r w:rsidRPr="00E95ECE">
        <w:t>services rendered by it to the municipality prior to the review and cance</w:t>
      </w:r>
      <w:r w:rsidR="00385FE7" w:rsidRPr="00E95ECE">
        <w:t>l</w:t>
      </w:r>
      <w:r w:rsidRPr="00E95ECE">
        <w:t xml:space="preserve">lation of the tender. It is correct that Sekoko </w:t>
      </w:r>
      <w:r w:rsidR="00CB63DC">
        <w:t>A</w:t>
      </w:r>
      <w:r w:rsidRPr="00E95ECE">
        <w:t>ttorneys initially disputed that the municipality was entitled to a declarator based on s 172 (1)(</w:t>
      </w:r>
      <w:r w:rsidRPr="00E95ECE">
        <w:rPr>
          <w:i/>
        </w:rPr>
        <w:t>a</w:t>
      </w:r>
      <w:r w:rsidRPr="00E95ECE">
        <w:t>) of the Constitution. That much is clear from the answering affidavit. Its argument before this Court is simply that an order declaring the decision to award the tender to it having been sought and obtained</w:t>
      </w:r>
      <w:r w:rsidR="008E0CEF" w:rsidRPr="00E95ECE">
        <w:t>,</w:t>
      </w:r>
      <w:r w:rsidRPr="00E95ECE">
        <w:t xml:space="preserve"> it </w:t>
      </w:r>
      <w:r w:rsidR="00E77D6E" w:rsidRPr="00E95ECE">
        <w:t xml:space="preserve">was </w:t>
      </w:r>
      <w:r w:rsidRPr="00E95ECE">
        <w:t xml:space="preserve">still entitled to payment based on the provisions of </w:t>
      </w:r>
      <w:r w:rsidR="00387E7D" w:rsidRPr="00E95ECE">
        <w:t>s</w:t>
      </w:r>
      <w:r w:rsidR="00ED36C0" w:rsidRPr="00E95ECE">
        <w:t> </w:t>
      </w:r>
      <w:r w:rsidR="00387E7D" w:rsidRPr="00E95ECE">
        <w:t>172(1)(</w:t>
      </w:r>
      <w:r w:rsidR="00387E7D" w:rsidRPr="00E95ECE">
        <w:rPr>
          <w:i/>
        </w:rPr>
        <w:t>b</w:t>
      </w:r>
      <w:r w:rsidR="00387E7D" w:rsidRPr="00E95ECE">
        <w:t>) of the Constitution.</w:t>
      </w:r>
      <w:r w:rsidRPr="00E95ECE">
        <w:t xml:space="preserve"> </w:t>
      </w:r>
      <w:r w:rsidR="00D0346B">
        <w:t>This provides that a court</w:t>
      </w:r>
      <w:r w:rsidR="00124408">
        <w:t xml:space="preserve">, having declared conduct </w:t>
      </w:r>
      <w:r w:rsidR="005B7DAE">
        <w:t xml:space="preserve">such as the award of a tender </w:t>
      </w:r>
      <w:r w:rsidR="00124408">
        <w:t>invalid</w:t>
      </w:r>
      <w:r w:rsidR="00D0346B">
        <w:t>:</w:t>
      </w:r>
    </w:p>
    <w:p w:rsidR="00D0346B" w:rsidRPr="0029029C" w:rsidRDefault="008D3F98" w:rsidP="006E0085">
      <w:pPr>
        <w:spacing w:line="360" w:lineRule="auto"/>
        <w:rPr>
          <w:sz w:val="22"/>
          <w:szCs w:val="22"/>
          <w:shd w:val="clear" w:color="auto" w:fill="FFFFFF"/>
        </w:rPr>
      </w:pPr>
      <w:r>
        <w:rPr>
          <w:sz w:val="22"/>
          <w:szCs w:val="22"/>
          <w:shd w:val="clear" w:color="auto" w:fill="FFFFFF"/>
        </w:rPr>
        <w:t>‘</w:t>
      </w:r>
      <w:r w:rsidR="005B7DAE">
        <w:rPr>
          <w:sz w:val="22"/>
          <w:szCs w:val="22"/>
          <w:shd w:val="clear" w:color="auto" w:fill="FFFFFF"/>
        </w:rPr>
        <w:t xml:space="preserve">. . . </w:t>
      </w:r>
      <w:r w:rsidR="00D0346B" w:rsidRPr="0029029C">
        <w:rPr>
          <w:sz w:val="22"/>
          <w:szCs w:val="22"/>
          <w:shd w:val="clear" w:color="auto" w:fill="FFFFFF"/>
        </w:rPr>
        <w:t xml:space="preserve">may make any order that is just and equitable, including – </w:t>
      </w:r>
    </w:p>
    <w:p w:rsidR="00D0346B" w:rsidRPr="00E95ECE" w:rsidRDefault="00D0346B" w:rsidP="006E0085">
      <w:pPr>
        <w:spacing w:line="360" w:lineRule="auto"/>
        <w:rPr>
          <w:sz w:val="22"/>
          <w:szCs w:val="22"/>
          <w:shd w:val="clear" w:color="auto" w:fill="FFFFFF"/>
        </w:rPr>
      </w:pPr>
      <w:r w:rsidRPr="00E95ECE">
        <w:rPr>
          <w:sz w:val="22"/>
          <w:szCs w:val="22"/>
          <w:shd w:val="clear" w:color="auto" w:fill="FFFFFF"/>
        </w:rPr>
        <w:t>(i) an order limiting the retrospective effect of the declaration of invalidity; and</w:t>
      </w:r>
    </w:p>
    <w:p w:rsidR="00D0346B" w:rsidRPr="00E95ECE" w:rsidRDefault="00D0346B" w:rsidP="006E0085">
      <w:pPr>
        <w:spacing w:line="360" w:lineRule="auto"/>
        <w:rPr>
          <w:sz w:val="22"/>
          <w:szCs w:val="22"/>
          <w:shd w:val="clear" w:color="auto" w:fill="FFFFFF"/>
        </w:rPr>
      </w:pPr>
      <w:r w:rsidRPr="00E95ECE">
        <w:rPr>
          <w:sz w:val="22"/>
          <w:szCs w:val="22"/>
          <w:shd w:val="clear" w:color="auto" w:fill="FFFFFF"/>
        </w:rPr>
        <w:t xml:space="preserve">(ii) an order suspending the declaration of invalidity for any period and on any condition, </w:t>
      </w:r>
      <w:r w:rsidRPr="00E95ECE">
        <w:rPr>
          <w:sz w:val="22"/>
          <w:szCs w:val="22"/>
          <w:shd w:val="clear" w:color="auto" w:fill="FFFFFF"/>
        </w:rPr>
        <w:tab/>
        <w:t>to allow the competent authority to correct the defect.’</w:t>
      </w:r>
    </w:p>
    <w:p w:rsidR="00D0346B" w:rsidRDefault="00D0346B" w:rsidP="006E0085">
      <w:pPr>
        <w:spacing w:line="360" w:lineRule="auto"/>
      </w:pPr>
    </w:p>
    <w:p w:rsidR="00C653FC" w:rsidRDefault="00A61FB5" w:rsidP="006E0085">
      <w:pPr>
        <w:spacing w:line="360" w:lineRule="auto"/>
      </w:pPr>
      <w:r>
        <w:lastRenderedPageBreak/>
        <w:t>[9]</w:t>
      </w:r>
      <w:r>
        <w:tab/>
      </w:r>
      <w:r w:rsidR="002A0A41">
        <w:t xml:space="preserve">The criticism of the dismissal </w:t>
      </w:r>
      <w:r w:rsidR="00E01841">
        <w:t>by</w:t>
      </w:r>
      <w:r w:rsidR="002A0A41">
        <w:t xml:space="preserve"> the high court of the counterclaim is that it failed to consider</w:t>
      </w:r>
      <w:r w:rsidR="00FD27AE">
        <w:t xml:space="preserve"> whether, despite correctly holding that the tender was void </w:t>
      </w:r>
      <w:r w:rsidR="00FD27AE" w:rsidRPr="00176403">
        <w:rPr>
          <w:i/>
          <w:iCs/>
        </w:rPr>
        <w:t>ab initio</w:t>
      </w:r>
      <w:r w:rsidR="00FD27AE">
        <w:t xml:space="preserve">, an order should </w:t>
      </w:r>
      <w:r w:rsidR="001E4EFF">
        <w:t xml:space="preserve">have </w:t>
      </w:r>
      <w:r w:rsidR="00FD27AE">
        <w:t>be</w:t>
      </w:r>
      <w:r w:rsidR="001E4EFF">
        <w:t>en</w:t>
      </w:r>
      <w:r w:rsidR="00FD27AE">
        <w:t xml:space="preserve"> made</w:t>
      </w:r>
      <w:r w:rsidR="001E4EFF">
        <w:t xml:space="preserve"> under these provisions. This is not novel. It is incumbent on a court making an order of invalidity under s 172(1)</w:t>
      </w:r>
      <w:r w:rsidR="001E4EFF" w:rsidRPr="0029029C">
        <w:rPr>
          <w:i/>
          <w:iCs/>
        </w:rPr>
        <w:t>(a)</w:t>
      </w:r>
      <w:r w:rsidR="00FB6D27">
        <w:t xml:space="preserve"> to then invoke the provisions of s 172(1)</w:t>
      </w:r>
      <w:r w:rsidR="00FB6D27" w:rsidRPr="0029029C">
        <w:rPr>
          <w:i/>
          <w:iCs/>
        </w:rPr>
        <w:t>(b)</w:t>
      </w:r>
      <w:r w:rsidR="00FB6D27">
        <w:t xml:space="preserve"> in considering whether or not to make a</w:t>
      </w:r>
      <w:r w:rsidR="004A7974">
        <w:t>n order which is</w:t>
      </w:r>
      <w:r w:rsidR="00FB6D27">
        <w:t xml:space="preserve"> just and equitable. This the high court did not do.</w:t>
      </w:r>
      <w:r w:rsidR="009B25AE">
        <w:t xml:space="preserve"> It clearly could not enforce payment under a void tender but it could consider whether an amount should be paid on the basis that it was just and equitable for the municipality to do so.</w:t>
      </w:r>
    </w:p>
    <w:p w:rsidR="002A0A41" w:rsidRDefault="002A0A41" w:rsidP="006E0085">
      <w:pPr>
        <w:spacing w:line="360" w:lineRule="auto"/>
      </w:pPr>
    </w:p>
    <w:p w:rsidR="00F57DD2" w:rsidRPr="00E95ECE" w:rsidRDefault="00A61FB5" w:rsidP="006E0085">
      <w:pPr>
        <w:spacing w:line="360" w:lineRule="auto"/>
      </w:pPr>
      <w:r>
        <w:t>[10]</w:t>
      </w:r>
      <w:r>
        <w:tab/>
      </w:r>
      <w:r w:rsidR="004A1FF3" w:rsidRPr="00E95ECE">
        <w:t xml:space="preserve">Moseneke DCJ had </w:t>
      </w:r>
      <w:r w:rsidR="008D3F98">
        <w:t>given</w:t>
      </w:r>
      <w:r w:rsidR="00723282">
        <w:t xml:space="preserve"> </w:t>
      </w:r>
      <w:r w:rsidR="0033036E" w:rsidRPr="00E95ECE">
        <w:t>guid</w:t>
      </w:r>
      <w:r w:rsidR="008D3F98">
        <w:t>ance</w:t>
      </w:r>
      <w:r w:rsidR="004A1FF3" w:rsidRPr="00E95ECE">
        <w:t xml:space="preserve"> in this regard. In </w:t>
      </w:r>
      <w:r w:rsidR="004A1FF3" w:rsidRPr="00E95ECE">
        <w:rPr>
          <w:i/>
        </w:rPr>
        <w:t>Steenkamp</w:t>
      </w:r>
      <w:r w:rsidR="00F4571E" w:rsidRPr="00F4571E">
        <w:rPr>
          <w:i/>
        </w:rPr>
        <w:t xml:space="preserve"> NO v Provincial Tender Board of the Eastern Cape</w:t>
      </w:r>
      <w:r w:rsidR="00F4571E">
        <w:rPr>
          <w:iCs/>
        </w:rPr>
        <w:t>,</w:t>
      </w:r>
      <w:r w:rsidR="004A1FF3" w:rsidRPr="00E95ECE">
        <w:rPr>
          <w:rStyle w:val="FootnoteReference"/>
        </w:rPr>
        <w:footnoteReference w:id="2"/>
      </w:r>
      <w:r w:rsidR="004A1FF3" w:rsidRPr="00E95ECE">
        <w:t xml:space="preserve"> </w:t>
      </w:r>
      <w:r w:rsidR="00DB64B0" w:rsidRPr="00E95ECE">
        <w:t xml:space="preserve"> </w:t>
      </w:r>
      <w:r w:rsidR="00F4571E">
        <w:t xml:space="preserve">he </w:t>
      </w:r>
      <w:r w:rsidR="00DB64B0" w:rsidRPr="00E95ECE">
        <w:t xml:space="preserve">said the following regarding the appropriate remedy: </w:t>
      </w:r>
    </w:p>
    <w:p w:rsidR="00DB64B0" w:rsidRPr="00E95ECE" w:rsidRDefault="00DB64B0" w:rsidP="006E0085">
      <w:pPr>
        <w:pStyle w:val="JUGMENTNUMBERED"/>
        <w:numPr>
          <w:ilvl w:val="0"/>
          <w:numId w:val="0"/>
        </w:numPr>
        <w:spacing w:line="360" w:lineRule="auto"/>
        <w:rPr>
          <w:rFonts w:ascii="Arial" w:hAnsi="Arial" w:cs="Arial"/>
          <w:sz w:val="22"/>
          <w:szCs w:val="22"/>
        </w:rPr>
      </w:pPr>
      <w:r w:rsidRPr="00E95ECE">
        <w:rPr>
          <w:rFonts w:ascii="Arial" w:hAnsi="Arial" w:cs="Arial"/>
          <w:sz w:val="22"/>
          <w:szCs w:val="22"/>
        </w:rPr>
        <w:t>‘It goes without saying that every improper performance of an administrative function would implicate the Constitution and entitle the aggrieved party to appropriate relief. 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 law remedies and not private law remedies. The purpose of a public 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 advance efficient and effective public administration compelled by constitutional precepts and at a broader level, to entrench the rule of law.’</w:t>
      </w:r>
      <w:r w:rsidR="00740E99" w:rsidRPr="00E95ECE">
        <w:rPr>
          <w:rFonts w:ascii="Arial" w:hAnsi="Arial" w:cs="Arial"/>
          <w:sz w:val="22"/>
          <w:szCs w:val="22"/>
        </w:rPr>
        <w:t xml:space="preserve"> (Footnote omitted.)</w:t>
      </w:r>
    </w:p>
    <w:p w:rsidR="004B5E5E" w:rsidRPr="00E95ECE" w:rsidRDefault="006D20B6" w:rsidP="006E0085">
      <w:pPr>
        <w:pStyle w:val="JUGMENTNUMBERED"/>
        <w:numPr>
          <w:ilvl w:val="0"/>
          <w:numId w:val="0"/>
        </w:numPr>
        <w:spacing w:line="360" w:lineRule="auto"/>
        <w:rPr>
          <w:rFonts w:ascii="Arial" w:hAnsi="Arial" w:cs="Arial"/>
          <w:sz w:val="24"/>
          <w:szCs w:val="24"/>
        </w:rPr>
      </w:pPr>
      <w:r w:rsidRPr="00E95ECE">
        <w:rPr>
          <w:rFonts w:ascii="Arial" w:hAnsi="Arial" w:cs="Arial"/>
          <w:sz w:val="24"/>
          <w:szCs w:val="24"/>
        </w:rPr>
        <w:t>If properly examined and considered, the facts of each matter</w:t>
      </w:r>
      <w:r w:rsidR="00DB64B0" w:rsidRPr="00E95ECE">
        <w:rPr>
          <w:rFonts w:ascii="Arial" w:hAnsi="Arial" w:cs="Arial"/>
          <w:sz w:val="24"/>
          <w:szCs w:val="24"/>
        </w:rPr>
        <w:t xml:space="preserve"> will often reveal whether an appropriate remedy is necessary. Once that has been established</w:t>
      </w:r>
      <w:r w:rsidR="0011124D" w:rsidRPr="00E95ECE">
        <w:rPr>
          <w:rFonts w:ascii="Arial" w:hAnsi="Arial" w:cs="Arial"/>
          <w:sz w:val="24"/>
          <w:szCs w:val="24"/>
        </w:rPr>
        <w:t>,</w:t>
      </w:r>
      <w:r w:rsidR="00DB64B0" w:rsidRPr="00E95ECE">
        <w:rPr>
          <w:rFonts w:ascii="Arial" w:hAnsi="Arial" w:cs="Arial"/>
          <w:sz w:val="24"/>
          <w:szCs w:val="24"/>
        </w:rPr>
        <w:t xml:space="preserve"> the</w:t>
      </w:r>
      <w:r w:rsidR="00286880" w:rsidRPr="00E95ECE">
        <w:rPr>
          <w:rFonts w:ascii="Arial" w:hAnsi="Arial" w:cs="Arial"/>
          <w:sz w:val="24"/>
          <w:szCs w:val="24"/>
        </w:rPr>
        <w:t xml:space="preserve"> </w:t>
      </w:r>
      <w:r w:rsidR="00DB64B0" w:rsidRPr="00E95ECE">
        <w:rPr>
          <w:rFonts w:ascii="Arial" w:hAnsi="Arial" w:cs="Arial"/>
          <w:sz w:val="24"/>
          <w:szCs w:val="24"/>
        </w:rPr>
        <w:t xml:space="preserve">remedy must be crafted to ameliorate the injustice of suffering a loss </w:t>
      </w:r>
      <w:r w:rsidR="00F00ED5" w:rsidRPr="00E95ECE">
        <w:rPr>
          <w:rFonts w:ascii="Arial" w:hAnsi="Arial" w:cs="Arial"/>
          <w:sz w:val="24"/>
          <w:szCs w:val="24"/>
        </w:rPr>
        <w:t>that</w:t>
      </w:r>
      <w:r w:rsidR="00DB64B0" w:rsidRPr="00E95ECE">
        <w:rPr>
          <w:rFonts w:ascii="Arial" w:hAnsi="Arial" w:cs="Arial"/>
          <w:sz w:val="24"/>
          <w:szCs w:val="24"/>
        </w:rPr>
        <w:t xml:space="preserve"> can be avoided. </w:t>
      </w:r>
    </w:p>
    <w:p w:rsidR="004B5E5E" w:rsidRPr="00E95ECE" w:rsidRDefault="004B5E5E" w:rsidP="006E0085">
      <w:pPr>
        <w:pStyle w:val="JUGMENTNUMBERED"/>
        <w:numPr>
          <w:ilvl w:val="0"/>
          <w:numId w:val="0"/>
        </w:numPr>
        <w:spacing w:line="360" w:lineRule="auto"/>
        <w:rPr>
          <w:rFonts w:ascii="Arial" w:hAnsi="Arial" w:cs="Arial"/>
          <w:sz w:val="24"/>
          <w:szCs w:val="24"/>
        </w:rPr>
      </w:pPr>
    </w:p>
    <w:p w:rsidR="00DB64B0" w:rsidRPr="00E95ECE" w:rsidRDefault="004B5E5E" w:rsidP="006E0085">
      <w:pPr>
        <w:pStyle w:val="JUGMENTNUMBERED"/>
        <w:numPr>
          <w:ilvl w:val="0"/>
          <w:numId w:val="0"/>
        </w:numPr>
        <w:spacing w:line="360" w:lineRule="auto"/>
        <w:rPr>
          <w:rFonts w:ascii="Arial" w:hAnsi="Arial" w:cs="Arial"/>
          <w:sz w:val="24"/>
          <w:szCs w:val="24"/>
          <w:lang w:val="en-GB" w:eastAsia="en-GB"/>
        </w:rPr>
      </w:pPr>
      <w:r w:rsidRPr="00E95ECE">
        <w:rPr>
          <w:rFonts w:ascii="Arial" w:hAnsi="Arial" w:cs="Arial"/>
          <w:sz w:val="24"/>
          <w:szCs w:val="24"/>
        </w:rPr>
        <w:lastRenderedPageBreak/>
        <w:t>[</w:t>
      </w:r>
      <w:r w:rsidR="0063619F" w:rsidRPr="00E95ECE">
        <w:rPr>
          <w:rFonts w:ascii="Arial" w:hAnsi="Arial" w:cs="Arial"/>
          <w:sz w:val="24"/>
          <w:szCs w:val="24"/>
        </w:rPr>
        <w:t>11</w:t>
      </w:r>
      <w:r w:rsidRPr="00E95ECE">
        <w:rPr>
          <w:rFonts w:ascii="Arial" w:hAnsi="Arial" w:cs="Arial"/>
          <w:sz w:val="24"/>
          <w:szCs w:val="24"/>
        </w:rPr>
        <w:t>]</w:t>
      </w:r>
      <w:r w:rsidRPr="00E95ECE">
        <w:rPr>
          <w:rFonts w:ascii="Arial" w:hAnsi="Arial" w:cs="Arial"/>
          <w:sz w:val="24"/>
          <w:szCs w:val="24"/>
        </w:rPr>
        <w:tab/>
      </w:r>
      <w:r w:rsidR="00DB64B0" w:rsidRPr="00E95ECE">
        <w:rPr>
          <w:rFonts w:ascii="Arial" w:hAnsi="Arial" w:cs="Arial"/>
          <w:sz w:val="24"/>
          <w:szCs w:val="24"/>
        </w:rPr>
        <w:t xml:space="preserve">In </w:t>
      </w:r>
      <w:r w:rsidR="00DB64B0" w:rsidRPr="00E95ECE">
        <w:rPr>
          <w:rFonts w:ascii="Arial" w:hAnsi="Arial" w:cs="Arial"/>
          <w:i/>
          <w:sz w:val="24"/>
          <w:szCs w:val="24"/>
        </w:rPr>
        <w:t>Bengwenyama</w:t>
      </w:r>
      <w:r w:rsidR="00DB64B0" w:rsidRPr="00E95ECE">
        <w:rPr>
          <w:rFonts w:ascii="Arial" w:hAnsi="Arial" w:cs="Arial"/>
          <w:sz w:val="24"/>
          <w:szCs w:val="24"/>
          <w:lang w:val="en-GB" w:eastAsia="en-GB"/>
        </w:rPr>
        <w:t xml:space="preserve"> </w:t>
      </w:r>
      <w:r w:rsidR="00DB64B0" w:rsidRPr="00E95ECE">
        <w:rPr>
          <w:rFonts w:ascii="Arial" w:hAnsi="Arial" w:cs="Arial"/>
          <w:i/>
          <w:sz w:val="24"/>
          <w:szCs w:val="24"/>
          <w:lang w:val="en-GB" w:eastAsia="en-GB"/>
        </w:rPr>
        <w:t>M</w:t>
      </w:r>
      <w:r w:rsidR="001270C6" w:rsidRPr="00E95ECE">
        <w:rPr>
          <w:rFonts w:ascii="Arial" w:hAnsi="Arial" w:cs="Arial"/>
          <w:i/>
          <w:sz w:val="24"/>
          <w:szCs w:val="24"/>
          <w:lang w:val="en-GB" w:eastAsia="en-GB"/>
        </w:rPr>
        <w:t>inerals</w:t>
      </w:r>
      <w:r w:rsidR="00285879">
        <w:rPr>
          <w:rFonts w:ascii="Arial" w:hAnsi="Arial" w:cs="Arial"/>
          <w:i/>
          <w:sz w:val="24"/>
          <w:szCs w:val="24"/>
          <w:lang w:val="en-GB" w:eastAsia="en-GB"/>
        </w:rPr>
        <w:t xml:space="preserve"> </w:t>
      </w:r>
      <w:r w:rsidR="00285879" w:rsidRPr="00285879">
        <w:rPr>
          <w:rFonts w:ascii="Arial" w:hAnsi="Arial" w:cs="Arial"/>
          <w:i/>
          <w:sz w:val="24"/>
          <w:szCs w:val="24"/>
          <w:lang w:val="en-GB" w:eastAsia="en-GB"/>
        </w:rPr>
        <w:t>(Pty) Ltd and Others v Genorah Resources (Pty) Ltd and Others</w:t>
      </w:r>
      <w:r w:rsidR="001270C6" w:rsidRPr="00E95ECE">
        <w:rPr>
          <w:rFonts w:ascii="Arial" w:hAnsi="Arial" w:cs="Arial"/>
          <w:sz w:val="24"/>
          <w:szCs w:val="24"/>
          <w:lang w:val="en-GB" w:eastAsia="en-GB"/>
        </w:rPr>
        <w:t>,</w:t>
      </w:r>
      <w:r w:rsidR="00DB64B0" w:rsidRPr="00E95ECE">
        <w:rPr>
          <w:rStyle w:val="FootnoteReference"/>
          <w:rFonts w:ascii="Arial" w:hAnsi="Arial" w:cs="Arial"/>
          <w:sz w:val="24"/>
          <w:szCs w:val="24"/>
          <w:lang w:val="en-GB" w:eastAsia="en-GB"/>
        </w:rPr>
        <w:footnoteReference w:id="3"/>
      </w:r>
      <w:r w:rsidR="00DB64B0" w:rsidRPr="00E95ECE">
        <w:rPr>
          <w:rFonts w:ascii="Arial" w:hAnsi="Arial" w:cs="Arial"/>
          <w:sz w:val="24"/>
          <w:szCs w:val="24"/>
          <w:lang w:val="en-GB" w:eastAsia="en-GB"/>
        </w:rPr>
        <w:t xml:space="preserve"> </w:t>
      </w:r>
      <w:r w:rsidR="001270C6" w:rsidRPr="00E95ECE">
        <w:rPr>
          <w:rFonts w:ascii="Arial" w:hAnsi="Arial" w:cs="Arial"/>
          <w:sz w:val="24"/>
          <w:szCs w:val="24"/>
          <w:lang w:val="en-GB" w:eastAsia="en-GB"/>
        </w:rPr>
        <w:t xml:space="preserve">Froneman </w:t>
      </w:r>
      <w:r w:rsidR="00FC011F">
        <w:rPr>
          <w:rFonts w:ascii="Arial" w:hAnsi="Arial" w:cs="Arial"/>
          <w:sz w:val="24"/>
          <w:szCs w:val="24"/>
          <w:lang w:val="en-GB" w:eastAsia="en-GB"/>
        </w:rPr>
        <w:t>J</w:t>
      </w:r>
      <w:r w:rsidR="001270C6" w:rsidRPr="00E95ECE">
        <w:rPr>
          <w:rFonts w:ascii="Arial" w:hAnsi="Arial" w:cs="Arial"/>
          <w:sz w:val="24"/>
          <w:szCs w:val="24"/>
          <w:lang w:val="en-GB" w:eastAsia="en-GB"/>
        </w:rPr>
        <w:t xml:space="preserve"> stated</w:t>
      </w:r>
      <w:r w:rsidR="00FE5286" w:rsidRPr="00E95ECE">
        <w:rPr>
          <w:rFonts w:ascii="Arial" w:hAnsi="Arial" w:cs="Arial"/>
          <w:sz w:val="24"/>
          <w:szCs w:val="24"/>
          <w:lang w:val="en-GB" w:eastAsia="en-GB"/>
        </w:rPr>
        <w:t>:</w:t>
      </w:r>
    </w:p>
    <w:p w:rsidR="006202C7" w:rsidRPr="00E95ECE" w:rsidRDefault="00FE5286" w:rsidP="006E0085">
      <w:pPr>
        <w:pStyle w:val="JUGMENTNUMBERED"/>
        <w:numPr>
          <w:ilvl w:val="0"/>
          <w:numId w:val="0"/>
        </w:numPr>
        <w:spacing w:line="360" w:lineRule="auto"/>
        <w:rPr>
          <w:rFonts w:ascii="Arial" w:hAnsi="Arial" w:cs="Arial"/>
          <w:sz w:val="22"/>
          <w:szCs w:val="22"/>
        </w:rPr>
      </w:pPr>
      <w:r w:rsidRPr="00E95ECE">
        <w:rPr>
          <w:rFonts w:ascii="Arial" w:hAnsi="Arial" w:cs="Arial"/>
          <w:sz w:val="22"/>
          <w:szCs w:val="22"/>
        </w:rPr>
        <w:t xml:space="preserve">‘The apparent anomaly that an unlawful act can produce legally effective consequences is not one that admits easy and consistently logical solutions. But then the law often is a pragmatic blend of logic and experience. The apparent rigour of declaring conduct in conflict with the Constitution and PAJA unlawful is ameliorated in both the Constitution and PAJA by providing for a just and equitable remedy in its wake. I do not think that it is wise to attempt to lay down inflexible rules in determining a just and equitable remedy following upon a declaration of unlawful administrative action. The rule of law must never be relinquished, but the circumstances of each case must be examined in order to determine whether factual certainty requires some amelioration of legality and, if so, to what extent. The approach taken will depend on the kind of challenge presented – direct or collateral; the interests involved and the extent or materiality of the breach of the constitutional right to just administrative action in each particular case.’ </w:t>
      </w:r>
      <w:r w:rsidR="00E6038D" w:rsidRPr="00E95ECE">
        <w:rPr>
          <w:rFonts w:ascii="Arial" w:hAnsi="Arial" w:cs="Arial"/>
          <w:sz w:val="22"/>
          <w:szCs w:val="22"/>
        </w:rPr>
        <w:t>(Footnotes omitted.)</w:t>
      </w:r>
    </w:p>
    <w:p w:rsidR="004B5E5E" w:rsidRPr="00E95ECE" w:rsidRDefault="004B5E5E" w:rsidP="006E0085">
      <w:pPr>
        <w:pStyle w:val="JUGMENTNUMBERED"/>
        <w:numPr>
          <w:ilvl w:val="0"/>
          <w:numId w:val="0"/>
        </w:numPr>
        <w:spacing w:line="360" w:lineRule="auto"/>
        <w:rPr>
          <w:rFonts w:ascii="Arial" w:hAnsi="Arial" w:cs="Arial"/>
          <w:sz w:val="22"/>
          <w:szCs w:val="22"/>
        </w:rPr>
      </w:pPr>
    </w:p>
    <w:p w:rsidR="002B2234" w:rsidRPr="00E95ECE" w:rsidRDefault="004B5E5E" w:rsidP="006E0085">
      <w:pPr>
        <w:pStyle w:val="JUGMENTNUMBERED"/>
        <w:numPr>
          <w:ilvl w:val="0"/>
          <w:numId w:val="0"/>
        </w:numPr>
        <w:spacing w:line="360" w:lineRule="auto"/>
        <w:rPr>
          <w:rFonts w:ascii="Arial" w:hAnsi="Arial" w:cs="Arial"/>
          <w:sz w:val="24"/>
          <w:szCs w:val="24"/>
        </w:rPr>
      </w:pPr>
      <w:r w:rsidRPr="00E95ECE">
        <w:rPr>
          <w:rFonts w:ascii="Arial" w:hAnsi="Arial" w:cs="Arial"/>
          <w:sz w:val="24"/>
          <w:szCs w:val="24"/>
        </w:rPr>
        <w:t>[1</w:t>
      </w:r>
      <w:r w:rsidR="000101F6" w:rsidRPr="00E95ECE">
        <w:rPr>
          <w:rFonts w:ascii="Arial" w:hAnsi="Arial" w:cs="Arial"/>
          <w:sz w:val="24"/>
          <w:szCs w:val="24"/>
        </w:rPr>
        <w:t>2</w:t>
      </w:r>
      <w:r w:rsidRPr="00E95ECE">
        <w:rPr>
          <w:rFonts w:ascii="Arial" w:hAnsi="Arial" w:cs="Arial"/>
          <w:sz w:val="24"/>
          <w:szCs w:val="24"/>
        </w:rPr>
        <w:t>]</w:t>
      </w:r>
      <w:r w:rsidRPr="00E95ECE">
        <w:rPr>
          <w:rFonts w:ascii="Arial" w:hAnsi="Arial" w:cs="Arial"/>
          <w:sz w:val="24"/>
          <w:szCs w:val="24"/>
        </w:rPr>
        <w:tab/>
        <w:t xml:space="preserve">The situation in </w:t>
      </w:r>
      <w:r w:rsidR="00285879" w:rsidRPr="00285879">
        <w:rPr>
          <w:rFonts w:ascii="Arial" w:hAnsi="Arial" w:cs="Arial"/>
          <w:i/>
          <w:sz w:val="24"/>
          <w:szCs w:val="24"/>
          <w:lang w:val="en-GB"/>
        </w:rPr>
        <w:t>State Information Technology Agency SOC Ltd v Gijima Holdings (Pty) Ltd</w:t>
      </w:r>
      <w:r w:rsidRPr="00E95ECE">
        <w:rPr>
          <w:rStyle w:val="FootnoteReference"/>
          <w:rFonts w:ascii="Arial" w:hAnsi="Arial" w:cs="Arial"/>
          <w:sz w:val="24"/>
          <w:szCs w:val="24"/>
        </w:rPr>
        <w:footnoteReference w:id="4"/>
      </w:r>
      <w:r w:rsidRPr="00E95ECE">
        <w:rPr>
          <w:rFonts w:ascii="Arial" w:hAnsi="Arial" w:cs="Arial"/>
          <w:sz w:val="24"/>
          <w:szCs w:val="24"/>
        </w:rPr>
        <w:t xml:space="preserve"> </w:t>
      </w:r>
      <w:r w:rsidR="00323694" w:rsidRPr="00E95ECE">
        <w:rPr>
          <w:rFonts w:ascii="Arial" w:hAnsi="Arial" w:cs="Arial"/>
          <w:sz w:val="24"/>
          <w:szCs w:val="24"/>
        </w:rPr>
        <w:t xml:space="preserve">was worse </w:t>
      </w:r>
      <w:r w:rsidRPr="00E95ECE">
        <w:rPr>
          <w:rFonts w:ascii="Arial" w:hAnsi="Arial" w:cs="Arial"/>
          <w:sz w:val="24"/>
          <w:szCs w:val="24"/>
        </w:rPr>
        <w:t>compared to what transpired in the present appeal. At least in the matter at hand</w:t>
      </w:r>
      <w:r w:rsidR="00D21D7D" w:rsidRPr="00E95ECE">
        <w:rPr>
          <w:rFonts w:ascii="Arial" w:hAnsi="Arial" w:cs="Arial"/>
          <w:sz w:val="24"/>
          <w:szCs w:val="24"/>
        </w:rPr>
        <w:t>,</w:t>
      </w:r>
      <w:r w:rsidRPr="00E95ECE">
        <w:rPr>
          <w:rFonts w:ascii="Arial" w:hAnsi="Arial" w:cs="Arial"/>
          <w:sz w:val="24"/>
          <w:szCs w:val="24"/>
        </w:rPr>
        <w:t xml:space="preserve"> an agreement was concluded between the parties following a competitive bidding process. In </w:t>
      </w:r>
      <w:r w:rsidRPr="00E95ECE">
        <w:rPr>
          <w:rFonts w:ascii="Arial" w:hAnsi="Arial" w:cs="Arial"/>
          <w:i/>
          <w:sz w:val="24"/>
          <w:szCs w:val="24"/>
        </w:rPr>
        <w:t>Gijima</w:t>
      </w:r>
      <w:r w:rsidR="0063619F" w:rsidRPr="00E95ECE">
        <w:rPr>
          <w:rFonts w:ascii="Arial" w:hAnsi="Arial" w:cs="Arial"/>
          <w:sz w:val="24"/>
          <w:szCs w:val="24"/>
        </w:rPr>
        <w:t>,</w:t>
      </w:r>
      <w:r w:rsidRPr="00E95ECE">
        <w:rPr>
          <w:rFonts w:ascii="Arial" w:hAnsi="Arial" w:cs="Arial"/>
          <w:sz w:val="24"/>
          <w:szCs w:val="24"/>
        </w:rPr>
        <w:t xml:space="preserve"> SITA concluded an agreement without any competitive process </w:t>
      </w:r>
      <w:r w:rsidR="00DB0811" w:rsidRPr="00E95ECE">
        <w:rPr>
          <w:rFonts w:ascii="Arial" w:hAnsi="Arial" w:cs="Arial"/>
          <w:sz w:val="24"/>
          <w:szCs w:val="24"/>
        </w:rPr>
        <w:t>being</w:t>
      </w:r>
      <w:r w:rsidRPr="00E95ECE">
        <w:rPr>
          <w:rFonts w:ascii="Arial" w:hAnsi="Arial" w:cs="Arial"/>
          <w:sz w:val="24"/>
          <w:szCs w:val="24"/>
        </w:rPr>
        <w:t xml:space="preserve"> followed. Despite th</w:t>
      </w:r>
      <w:r w:rsidR="00323694">
        <w:rPr>
          <w:rFonts w:ascii="Arial" w:hAnsi="Arial" w:cs="Arial"/>
          <w:sz w:val="24"/>
          <w:szCs w:val="24"/>
        </w:rPr>
        <w:t>is</w:t>
      </w:r>
      <w:r w:rsidR="00DB0811" w:rsidRPr="00E95ECE">
        <w:rPr>
          <w:rFonts w:ascii="Arial" w:hAnsi="Arial" w:cs="Arial"/>
          <w:sz w:val="24"/>
          <w:szCs w:val="24"/>
        </w:rPr>
        <w:t>,</w:t>
      </w:r>
      <w:r w:rsidRPr="00E95ECE">
        <w:rPr>
          <w:rFonts w:ascii="Arial" w:hAnsi="Arial" w:cs="Arial"/>
          <w:sz w:val="24"/>
          <w:szCs w:val="24"/>
        </w:rPr>
        <w:t xml:space="preserve"> the Constitutional Court dealt with the appropriate remedy as follows:</w:t>
      </w:r>
    </w:p>
    <w:p w:rsidR="002A5E37" w:rsidRPr="00E95ECE" w:rsidRDefault="00B45520" w:rsidP="006E0085">
      <w:pPr>
        <w:pStyle w:val="JUGMENTNUMBERED"/>
        <w:numPr>
          <w:ilvl w:val="0"/>
          <w:numId w:val="0"/>
        </w:numPr>
        <w:spacing w:line="360" w:lineRule="auto"/>
        <w:rPr>
          <w:rFonts w:ascii="Arial" w:hAnsi="Arial" w:cs="Arial"/>
          <w:sz w:val="22"/>
          <w:szCs w:val="22"/>
        </w:rPr>
      </w:pPr>
      <w:r w:rsidRPr="00E95ECE">
        <w:rPr>
          <w:rFonts w:ascii="Arial" w:hAnsi="Arial" w:cs="Arial"/>
          <w:sz w:val="22"/>
          <w:szCs w:val="22"/>
        </w:rPr>
        <w:t>‘[53]</w:t>
      </w:r>
      <w:r w:rsidR="00E95ECE">
        <w:rPr>
          <w:rFonts w:ascii="Arial" w:hAnsi="Arial" w:cs="Arial"/>
          <w:sz w:val="22"/>
          <w:szCs w:val="22"/>
        </w:rPr>
        <w:t xml:space="preserve"> </w:t>
      </w:r>
      <w:r w:rsidRPr="00E95ECE">
        <w:rPr>
          <w:rFonts w:ascii="Arial" w:hAnsi="Arial" w:cs="Arial"/>
          <w:sz w:val="22"/>
          <w:szCs w:val="22"/>
        </w:rPr>
        <w:t>However, under section 172(1)(</w:t>
      </w:r>
      <w:r w:rsidRPr="00E95ECE">
        <w:rPr>
          <w:rFonts w:ascii="Arial" w:hAnsi="Arial" w:cs="Arial"/>
          <w:i/>
          <w:sz w:val="22"/>
          <w:szCs w:val="22"/>
        </w:rPr>
        <w:t>b</w:t>
      </w:r>
      <w:r w:rsidRPr="00E95ECE">
        <w:rPr>
          <w:rFonts w:ascii="Arial" w:hAnsi="Arial" w:cs="Arial"/>
          <w:sz w:val="22"/>
          <w:szCs w:val="22"/>
        </w:rPr>
        <w:t>) of the Constitution, a court deciding a constitutional ma</w:t>
      </w:r>
      <w:r w:rsidR="00ED36C0" w:rsidRPr="00E95ECE">
        <w:rPr>
          <w:rFonts w:ascii="Arial" w:hAnsi="Arial" w:cs="Arial"/>
          <w:sz w:val="22"/>
          <w:szCs w:val="22"/>
        </w:rPr>
        <w:t>tter has a wide remedial power.</w:t>
      </w:r>
      <w:r w:rsidRPr="00E95ECE">
        <w:rPr>
          <w:rFonts w:ascii="Arial" w:hAnsi="Arial" w:cs="Arial"/>
          <w:sz w:val="22"/>
          <w:szCs w:val="22"/>
        </w:rPr>
        <w:t xml:space="preserve"> It is empowered to make “any ord</w:t>
      </w:r>
      <w:r w:rsidR="00ED36C0" w:rsidRPr="00E95ECE">
        <w:rPr>
          <w:rFonts w:ascii="Arial" w:hAnsi="Arial" w:cs="Arial"/>
          <w:sz w:val="22"/>
          <w:szCs w:val="22"/>
        </w:rPr>
        <w:t>er that is just and equitable”.</w:t>
      </w:r>
      <w:r w:rsidRPr="00E95ECE">
        <w:rPr>
          <w:rFonts w:ascii="Arial" w:hAnsi="Arial" w:cs="Arial"/>
          <w:sz w:val="22"/>
          <w:szCs w:val="22"/>
        </w:rPr>
        <w:t xml:space="preserve"> So wide is that power that it is bounded only by considerations of justice an</w:t>
      </w:r>
      <w:r w:rsidR="00ED36C0" w:rsidRPr="00E95ECE">
        <w:rPr>
          <w:rFonts w:ascii="Arial" w:hAnsi="Arial" w:cs="Arial"/>
          <w:sz w:val="22"/>
          <w:szCs w:val="22"/>
        </w:rPr>
        <w:t>d equity.</w:t>
      </w:r>
      <w:r w:rsidRPr="00E95ECE">
        <w:rPr>
          <w:rFonts w:ascii="Arial" w:hAnsi="Arial" w:cs="Arial"/>
          <w:sz w:val="22"/>
          <w:szCs w:val="22"/>
        </w:rPr>
        <w:t xml:space="preserve"> Here it must count for quite a lot that SITA has delayed for just under 22 months before seeking</w:t>
      </w:r>
      <w:r w:rsidR="00ED36C0" w:rsidRPr="00E95ECE">
        <w:rPr>
          <w:rFonts w:ascii="Arial" w:hAnsi="Arial" w:cs="Arial"/>
          <w:sz w:val="22"/>
          <w:szCs w:val="22"/>
        </w:rPr>
        <w:t xml:space="preserve"> to have the decision reviewed.</w:t>
      </w:r>
      <w:r w:rsidRPr="00E95ECE">
        <w:rPr>
          <w:rFonts w:ascii="Arial" w:hAnsi="Arial" w:cs="Arial"/>
          <w:sz w:val="22"/>
          <w:szCs w:val="22"/>
        </w:rPr>
        <w:t xml:space="preserve"> Also, from the outset, </w:t>
      </w:r>
      <w:r w:rsidRPr="00E95ECE">
        <w:rPr>
          <w:rFonts w:ascii="Arial" w:hAnsi="Arial" w:cs="Arial"/>
          <w:i/>
          <w:sz w:val="22"/>
          <w:szCs w:val="22"/>
        </w:rPr>
        <w:t xml:space="preserve">Gijima </w:t>
      </w:r>
      <w:r w:rsidRPr="00D24E9D">
        <w:rPr>
          <w:rFonts w:ascii="Arial" w:hAnsi="Arial" w:cs="Arial"/>
          <w:sz w:val="22"/>
          <w:szCs w:val="22"/>
        </w:rPr>
        <w:t>was concerned whether the award</w:t>
      </w:r>
      <w:r w:rsidRPr="00E95ECE">
        <w:rPr>
          <w:rFonts w:ascii="Arial" w:hAnsi="Arial" w:cs="Arial"/>
          <w:sz w:val="22"/>
          <w:szCs w:val="22"/>
        </w:rPr>
        <w:t xml:space="preserve"> of the contract </w:t>
      </w:r>
      <w:r w:rsidR="00ED36C0" w:rsidRPr="00E95ECE">
        <w:rPr>
          <w:rFonts w:ascii="Arial" w:hAnsi="Arial" w:cs="Arial"/>
          <w:sz w:val="22"/>
          <w:szCs w:val="22"/>
        </w:rPr>
        <w:t>complied with legal prescripts.</w:t>
      </w:r>
      <w:r w:rsidRPr="00E95ECE">
        <w:rPr>
          <w:rFonts w:ascii="Arial" w:hAnsi="Arial" w:cs="Arial"/>
          <w:sz w:val="22"/>
          <w:szCs w:val="22"/>
        </w:rPr>
        <w:t xml:space="preserve"> As a result, it raised </w:t>
      </w:r>
      <w:r w:rsidR="00ED36C0" w:rsidRPr="00E95ECE">
        <w:rPr>
          <w:rFonts w:ascii="Arial" w:hAnsi="Arial" w:cs="Arial"/>
          <w:sz w:val="22"/>
          <w:szCs w:val="22"/>
        </w:rPr>
        <w:t>the issue with SITA repeatedly.</w:t>
      </w:r>
      <w:r w:rsidRPr="00E95ECE">
        <w:rPr>
          <w:rFonts w:ascii="Arial" w:hAnsi="Arial" w:cs="Arial"/>
          <w:sz w:val="22"/>
          <w:szCs w:val="22"/>
        </w:rPr>
        <w:t xml:space="preserve"> SITA assured it that a proper procurement process had been followed.</w:t>
      </w:r>
      <w:r w:rsidR="002A5E37" w:rsidRPr="00E95ECE">
        <w:rPr>
          <w:rFonts w:ascii="Arial" w:hAnsi="Arial" w:cs="Arial"/>
          <w:sz w:val="22"/>
          <w:szCs w:val="22"/>
        </w:rPr>
        <w:t xml:space="preserve"> </w:t>
      </w:r>
    </w:p>
    <w:p w:rsidR="00B45520" w:rsidRDefault="001315C4" w:rsidP="006E0085">
      <w:pPr>
        <w:pStyle w:val="JUGMENTNUMBERED"/>
        <w:numPr>
          <w:ilvl w:val="0"/>
          <w:numId w:val="0"/>
        </w:numPr>
        <w:spacing w:line="360" w:lineRule="auto"/>
        <w:rPr>
          <w:sz w:val="24"/>
          <w:szCs w:val="24"/>
        </w:rPr>
      </w:pPr>
      <w:r w:rsidRPr="00E95ECE">
        <w:rPr>
          <w:rFonts w:ascii="Arial" w:hAnsi="Arial" w:cs="Arial"/>
          <w:sz w:val="22"/>
          <w:szCs w:val="22"/>
        </w:rPr>
        <w:t>[54]</w:t>
      </w:r>
      <w:r w:rsidR="003E68C9" w:rsidRPr="00E95ECE">
        <w:rPr>
          <w:rFonts w:ascii="Arial" w:hAnsi="Arial" w:cs="Arial"/>
          <w:sz w:val="22"/>
          <w:szCs w:val="22"/>
        </w:rPr>
        <w:t xml:space="preserve"> </w:t>
      </w:r>
      <w:r w:rsidR="00B45520" w:rsidRPr="00E95ECE">
        <w:rPr>
          <w:rFonts w:ascii="Arial" w:hAnsi="Arial" w:cs="Arial"/>
          <w:sz w:val="22"/>
          <w:szCs w:val="22"/>
        </w:rPr>
        <w:t xml:space="preserve">Overall, it seems to us that justice and equity dictate that, despite the invalidity of the award of the DoD agreement, SITA must not benefit from having given </w:t>
      </w:r>
      <w:r w:rsidR="00B45520" w:rsidRPr="00E95ECE">
        <w:rPr>
          <w:rFonts w:ascii="Arial" w:hAnsi="Arial" w:cs="Arial"/>
          <w:i/>
          <w:sz w:val="22"/>
          <w:szCs w:val="22"/>
        </w:rPr>
        <w:t>Gijima</w:t>
      </w:r>
      <w:r w:rsidR="00B45520" w:rsidRPr="00E95ECE">
        <w:rPr>
          <w:rFonts w:ascii="Arial" w:hAnsi="Arial" w:cs="Arial"/>
          <w:sz w:val="22"/>
          <w:szCs w:val="22"/>
        </w:rPr>
        <w:t xml:space="preserve"> false assurances and from its own undue de</w:t>
      </w:r>
      <w:r w:rsidR="00ED36C0" w:rsidRPr="00E95ECE">
        <w:rPr>
          <w:rFonts w:ascii="Arial" w:hAnsi="Arial" w:cs="Arial"/>
          <w:sz w:val="22"/>
          <w:szCs w:val="22"/>
        </w:rPr>
        <w:t>lay in instituting proceedings.</w:t>
      </w:r>
      <w:r w:rsidR="00B45520" w:rsidRPr="00E95ECE">
        <w:rPr>
          <w:rFonts w:ascii="Arial" w:hAnsi="Arial" w:cs="Arial"/>
          <w:sz w:val="22"/>
          <w:szCs w:val="22"/>
        </w:rPr>
        <w:t xml:space="preserve"> </w:t>
      </w:r>
      <w:r w:rsidR="00B45520" w:rsidRPr="00E95ECE">
        <w:rPr>
          <w:rFonts w:ascii="Arial" w:hAnsi="Arial" w:cs="Arial"/>
          <w:i/>
          <w:sz w:val="22"/>
          <w:szCs w:val="22"/>
        </w:rPr>
        <w:t>Gijima</w:t>
      </w:r>
      <w:r w:rsidR="00B45520" w:rsidRPr="00E95ECE">
        <w:rPr>
          <w:rFonts w:ascii="Arial" w:hAnsi="Arial" w:cs="Arial"/>
          <w:sz w:val="22"/>
          <w:szCs w:val="22"/>
        </w:rPr>
        <w:t xml:space="preserve"> may well have performed in terms of the </w:t>
      </w:r>
      <w:r w:rsidR="00B45520" w:rsidRPr="00E95ECE">
        <w:rPr>
          <w:rFonts w:ascii="Arial" w:hAnsi="Arial" w:cs="Arial"/>
          <w:sz w:val="22"/>
          <w:szCs w:val="22"/>
        </w:rPr>
        <w:lastRenderedPageBreak/>
        <w:t>contract, while SITA sat idly by and only raised the question of the invalidity of the contract when Gijima inst</w:t>
      </w:r>
      <w:r w:rsidR="00ED36C0" w:rsidRPr="00E95ECE">
        <w:rPr>
          <w:rFonts w:ascii="Arial" w:hAnsi="Arial" w:cs="Arial"/>
          <w:sz w:val="22"/>
          <w:szCs w:val="22"/>
        </w:rPr>
        <w:t>ituted arbitration proceedings.</w:t>
      </w:r>
      <w:r w:rsidR="00B45520" w:rsidRPr="00E95ECE">
        <w:rPr>
          <w:rFonts w:ascii="Arial" w:hAnsi="Arial" w:cs="Arial"/>
          <w:sz w:val="22"/>
          <w:szCs w:val="22"/>
        </w:rPr>
        <w:t xml:space="preserve"> </w:t>
      </w:r>
      <w:r w:rsidR="00B45520" w:rsidRPr="00E95ECE">
        <w:rPr>
          <w:rFonts w:ascii="Arial" w:hAnsi="Arial" w:cs="Arial"/>
          <w:i/>
          <w:iCs/>
          <w:sz w:val="22"/>
          <w:szCs w:val="22"/>
        </w:rPr>
        <w:t>In the circumstances, a just and equitable remedy is that the award of the contract and the subsequent decisions to extend it be declared invalid, with a rider that the declaration of invalidity must not have the effect of divesting Gijima of rights to which – but for the declaration of invalidity – it might have been entitled</w:t>
      </w:r>
      <w:r w:rsidR="00ED36C0" w:rsidRPr="00E95ECE">
        <w:rPr>
          <w:rFonts w:ascii="Arial" w:hAnsi="Arial" w:cs="Arial"/>
          <w:i/>
          <w:iCs/>
          <w:sz w:val="22"/>
          <w:szCs w:val="22"/>
        </w:rPr>
        <w:t>.</w:t>
      </w:r>
      <w:r w:rsidR="00B45520" w:rsidRPr="00E95ECE">
        <w:rPr>
          <w:rFonts w:ascii="Arial" w:hAnsi="Arial" w:cs="Arial"/>
          <w:sz w:val="22"/>
          <w:szCs w:val="22"/>
        </w:rPr>
        <w:t xml:space="preserve"> Whether any such rights did accrue remains a contested issue in the arbitration, the merits of which were never determined because of the arbitrator’s holding on jurisdiction.’</w:t>
      </w:r>
      <w:r w:rsidR="00B45520" w:rsidRPr="00E95ECE">
        <w:rPr>
          <w:sz w:val="22"/>
          <w:szCs w:val="22"/>
        </w:rPr>
        <w:t xml:space="preserve"> </w:t>
      </w:r>
      <w:r w:rsidR="00B45520" w:rsidRPr="00E95ECE">
        <w:rPr>
          <w:rFonts w:ascii="Arial" w:hAnsi="Arial" w:cs="Arial"/>
          <w:sz w:val="22"/>
          <w:szCs w:val="22"/>
        </w:rPr>
        <w:t>(</w:t>
      </w:r>
      <w:r w:rsidR="0005290C" w:rsidRPr="00E95ECE">
        <w:rPr>
          <w:rFonts w:ascii="Arial" w:hAnsi="Arial" w:cs="Arial"/>
          <w:sz w:val="22"/>
          <w:szCs w:val="22"/>
        </w:rPr>
        <w:t>Emphasis added.</w:t>
      </w:r>
      <w:r w:rsidR="00B45520" w:rsidRPr="00E95ECE">
        <w:rPr>
          <w:rFonts w:ascii="Arial" w:hAnsi="Arial" w:cs="Arial"/>
          <w:sz w:val="22"/>
          <w:szCs w:val="22"/>
        </w:rPr>
        <w:t>)</w:t>
      </w:r>
      <w:r w:rsidR="00B45520" w:rsidRPr="00E95ECE">
        <w:rPr>
          <w:sz w:val="24"/>
          <w:szCs w:val="24"/>
        </w:rPr>
        <w:t xml:space="preserve"> </w:t>
      </w:r>
    </w:p>
    <w:p w:rsidR="00603BE1" w:rsidRPr="00E95ECE" w:rsidRDefault="00603BE1" w:rsidP="006E0085">
      <w:pPr>
        <w:pStyle w:val="JUGMENTNUMBERED"/>
        <w:numPr>
          <w:ilvl w:val="0"/>
          <w:numId w:val="0"/>
        </w:numPr>
        <w:spacing w:line="360" w:lineRule="auto"/>
        <w:rPr>
          <w:sz w:val="22"/>
          <w:szCs w:val="22"/>
        </w:rPr>
      </w:pPr>
    </w:p>
    <w:p w:rsidR="002A5E37" w:rsidRPr="00E95ECE" w:rsidRDefault="00B45520" w:rsidP="006E0085">
      <w:pPr>
        <w:shd w:val="clear" w:color="auto" w:fill="FFFFFF"/>
        <w:spacing w:line="360" w:lineRule="auto"/>
        <w:rPr>
          <w:lang w:val="en-ZA" w:eastAsia="en-ZA"/>
        </w:rPr>
      </w:pPr>
      <w:r w:rsidRPr="00E95ECE">
        <w:rPr>
          <w:lang w:val="en-ZA" w:eastAsia="en-ZA"/>
        </w:rPr>
        <w:t>[1</w:t>
      </w:r>
      <w:r w:rsidR="000101F6" w:rsidRPr="00E95ECE">
        <w:rPr>
          <w:lang w:val="en-ZA" w:eastAsia="en-ZA"/>
        </w:rPr>
        <w:t>3</w:t>
      </w:r>
      <w:r w:rsidRPr="00E95ECE">
        <w:rPr>
          <w:lang w:val="en-ZA" w:eastAsia="en-ZA"/>
        </w:rPr>
        <w:t>]</w:t>
      </w:r>
      <w:r w:rsidRPr="00E95ECE">
        <w:rPr>
          <w:lang w:val="en-ZA" w:eastAsia="en-ZA"/>
        </w:rPr>
        <w:tab/>
        <w:t xml:space="preserve">Lastly, in </w:t>
      </w:r>
      <w:r w:rsidRPr="00E95ECE">
        <w:rPr>
          <w:i/>
          <w:lang w:val="en-ZA" w:eastAsia="en-ZA"/>
        </w:rPr>
        <w:t>Buffalo City</w:t>
      </w:r>
      <w:r w:rsidR="00741091" w:rsidRPr="00741091">
        <w:rPr>
          <w:i/>
        </w:rPr>
        <w:t xml:space="preserve"> </w:t>
      </w:r>
      <w:r w:rsidR="00741091" w:rsidRPr="00741091">
        <w:rPr>
          <w:i/>
          <w:lang w:eastAsia="en-ZA"/>
        </w:rPr>
        <w:t>Metropolitan Municipality v Asla Construction (Pty) Ltd</w:t>
      </w:r>
      <w:r w:rsidR="006666DB" w:rsidRPr="00E95ECE">
        <w:rPr>
          <w:i/>
          <w:lang w:val="en-ZA" w:eastAsia="en-ZA"/>
        </w:rPr>
        <w:t>,</w:t>
      </w:r>
      <w:r w:rsidR="00426AA9" w:rsidRPr="00E95ECE">
        <w:rPr>
          <w:rStyle w:val="FootnoteReference"/>
          <w:lang w:val="en-ZA" w:eastAsia="en-ZA"/>
        </w:rPr>
        <w:footnoteReference w:id="5"/>
      </w:r>
      <w:r w:rsidRPr="00E95ECE">
        <w:rPr>
          <w:lang w:val="en-ZA" w:eastAsia="en-ZA"/>
        </w:rPr>
        <w:t xml:space="preserve"> the Constitutional Court</w:t>
      </w:r>
      <w:r w:rsidR="00FF127F" w:rsidRPr="00E95ECE">
        <w:rPr>
          <w:lang w:val="en-ZA" w:eastAsia="en-ZA"/>
        </w:rPr>
        <w:t xml:space="preserve"> </w:t>
      </w:r>
      <w:r w:rsidR="00E80085" w:rsidRPr="00E95ECE">
        <w:rPr>
          <w:lang w:val="en-ZA" w:eastAsia="en-ZA"/>
        </w:rPr>
        <w:t>(CC)</w:t>
      </w:r>
      <w:r w:rsidR="00426AA9" w:rsidRPr="00E95ECE">
        <w:rPr>
          <w:lang w:val="en-ZA" w:eastAsia="en-ZA"/>
        </w:rPr>
        <w:t xml:space="preserve"> had </w:t>
      </w:r>
      <w:r w:rsidR="008E0CEF" w:rsidRPr="00E95ECE">
        <w:rPr>
          <w:lang w:val="en-ZA" w:eastAsia="en-ZA"/>
        </w:rPr>
        <w:t xml:space="preserve">to </w:t>
      </w:r>
      <w:r w:rsidR="00426AA9" w:rsidRPr="00E95ECE">
        <w:rPr>
          <w:lang w:val="en-ZA" w:eastAsia="en-ZA"/>
        </w:rPr>
        <w:t>consider an appropriate remedy again in the context of a legality review. In this regard</w:t>
      </w:r>
      <w:r w:rsidR="006666DB" w:rsidRPr="00E95ECE">
        <w:rPr>
          <w:lang w:val="en-ZA" w:eastAsia="en-ZA"/>
        </w:rPr>
        <w:t>,</w:t>
      </w:r>
      <w:r w:rsidR="00426AA9" w:rsidRPr="00E95ECE">
        <w:rPr>
          <w:lang w:val="en-ZA" w:eastAsia="en-ZA"/>
        </w:rPr>
        <w:t xml:space="preserve"> </w:t>
      </w:r>
      <w:r w:rsidR="00E80085" w:rsidRPr="00E95ECE">
        <w:rPr>
          <w:lang w:val="en-ZA" w:eastAsia="en-ZA"/>
        </w:rPr>
        <w:t>the CC</w:t>
      </w:r>
      <w:r w:rsidR="00426AA9" w:rsidRPr="00E95ECE">
        <w:rPr>
          <w:lang w:val="en-ZA" w:eastAsia="en-ZA"/>
        </w:rPr>
        <w:t xml:space="preserve"> said the following: </w:t>
      </w:r>
    </w:p>
    <w:p w:rsidR="002A5E37" w:rsidRPr="00E95ECE" w:rsidRDefault="00426AA9" w:rsidP="006E0085">
      <w:pPr>
        <w:shd w:val="clear" w:color="auto" w:fill="FFFFFF"/>
        <w:spacing w:line="360" w:lineRule="auto"/>
        <w:rPr>
          <w:sz w:val="22"/>
          <w:szCs w:val="22"/>
          <w:lang w:val="en-ZA" w:eastAsia="en-ZA"/>
        </w:rPr>
      </w:pPr>
      <w:r w:rsidRPr="00E95ECE">
        <w:rPr>
          <w:sz w:val="22"/>
          <w:szCs w:val="22"/>
          <w:lang w:val="en-ZA" w:eastAsia="en-ZA"/>
        </w:rPr>
        <w:t>‘[104]</w:t>
      </w:r>
      <w:r w:rsidR="00146F14" w:rsidRPr="00E95ECE">
        <w:rPr>
          <w:sz w:val="22"/>
          <w:szCs w:val="22"/>
          <w:lang w:val="en-ZA" w:eastAsia="en-ZA"/>
        </w:rPr>
        <w:t xml:space="preserve"> </w:t>
      </w:r>
      <w:r w:rsidR="00A76FAF" w:rsidRPr="00E95ECE">
        <w:rPr>
          <w:sz w:val="22"/>
          <w:szCs w:val="22"/>
          <w:lang w:val="en-ZA" w:eastAsia="en-ZA"/>
        </w:rPr>
        <w:t>W</w:t>
      </w:r>
      <w:r w:rsidR="00FF41CA" w:rsidRPr="00E95ECE">
        <w:rPr>
          <w:sz w:val="22"/>
          <w:szCs w:val="22"/>
          <w:lang w:val="en-ZA" w:eastAsia="en-ZA"/>
        </w:rPr>
        <w:t>hen</w:t>
      </w:r>
      <w:r w:rsidRPr="00E95ECE">
        <w:rPr>
          <w:sz w:val="22"/>
          <w:szCs w:val="22"/>
          <w:lang w:val="en-ZA" w:eastAsia="en-ZA"/>
        </w:rPr>
        <w:t xml:space="preserve"> the Municipality took the view that the Reeston contract was invalid, the implementation of the contract had commenced and was continuing. The Municipality was content for the respondent to complete the contract (building low-cost houses) to the benefit of the </w:t>
      </w:r>
      <w:r w:rsidR="00ED36C0" w:rsidRPr="00E95ECE">
        <w:rPr>
          <w:sz w:val="22"/>
          <w:szCs w:val="22"/>
          <w:lang w:val="en-ZA" w:eastAsia="en-ZA"/>
        </w:rPr>
        <w:t>m</w:t>
      </w:r>
      <w:r w:rsidRPr="00E95ECE">
        <w:rPr>
          <w:sz w:val="22"/>
          <w:szCs w:val="22"/>
          <w:lang w:val="en-ZA" w:eastAsia="en-ZA"/>
        </w:rPr>
        <w:t>unicipality and residents of Reeston. It was common cause that the work has been practically completed.</w:t>
      </w:r>
      <w:bookmarkStart w:id="3" w:name="_Ref5627457"/>
      <w:bookmarkEnd w:id="3"/>
    </w:p>
    <w:p w:rsidR="00426AA9" w:rsidRPr="00E95ECE" w:rsidRDefault="00426AA9" w:rsidP="006E0085">
      <w:pPr>
        <w:shd w:val="clear" w:color="auto" w:fill="FFFFFF"/>
        <w:spacing w:line="360" w:lineRule="auto"/>
        <w:rPr>
          <w:sz w:val="22"/>
          <w:szCs w:val="22"/>
          <w:lang w:val="en-ZA" w:eastAsia="en-ZA"/>
        </w:rPr>
      </w:pPr>
      <w:r w:rsidRPr="00E95ECE">
        <w:rPr>
          <w:sz w:val="22"/>
          <w:szCs w:val="22"/>
          <w:lang w:val="en-ZA" w:eastAsia="en-ZA"/>
        </w:rPr>
        <w:t>[105]</w:t>
      </w:r>
      <w:r w:rsidR="00F3094B" w:rsidRPr="00E95ECE">
        <w:rPr>
          <w:sz w:val="22"/>
          <w:szCs w:val="22"/>
          <w:lang w:val="en-ZA" w:eastAsia="en-ZA"/>
        </w:rPr>
        <w:t xml:space="preserve"> </w:t>
      </w:r>
      <w:r w:rsidR="00146F14" w:rsidRPr="00E95ECE">
        <w:rPr>
          <w:sz w:val="22"/>
          <w:szCs w:val="22"/>
          <w:lang w:val="en-ZA" w:eastAsia="en-ZA"/>
        </w:rPr>
        <w:t>I</w:t>
      </w:r>
      <w:r w:rsidR="00ED36C0" w:rsidRPr="00E95ECE">
        <w:rPr>
          <w:sz w:val="22"/>
          <w:szCs w:val="22"/>
          <w:lang w:val="en-ZA" w:eastAsia="en-ZA"/>
        </w:rPr>
        <w:t>n</w:t>
      </w:r>
      <w:r w:rsidRPr="00E95ECE">
        <w:rPr>
          <w:sz w:val="22"/>
          <w:szCs w:val="22"/>
          <w:lang w:val="en-ZA" w:eastAsia="en-ZA"/>
        </w:rPr>
        <w:t xml:space="preserve"> these circumstances, justice and equity dictate that the Municipality should not benefit from its own undue delay and in allowing the respondent to proceed to perform in terms of the contract. I therefore make an order declaring the Reeston contract invalid, but not setting it aside so as to preserve the rights to that the respondent might have been entitled. It should be noted that such an award preserves rights which have already accrued but does not permit a party to obtain further rights under the invalid agreement.</w:t>
      </w:r>
      <w:r w:rsidR="00ED36C0" w:rsidRPr="00E95ECE">
        <w:rPr>
          <w:sz w:val="22"/>
          <w:szCs w:val="22"/>
          <w:lang w:val="en-ZA" w:eastAsia="en-ZA"/>
        </w:rPr>
        <w:t>’</w:t>
      </w:r>
    </w:p>
    <w:p w:rsidR="00426AA9" w:rsidRPr="00E95ECE" w:rsidRDefault="00426AA9" w:rsidP="006E0085">
      <w:pPr>
        <w:shd w:val="clear" w:color="auto" w:fill="FFFFFF"/>
        <w:spacing w:line="360" w:lineRule="auto"/>
        <w:rPr>
          <w:sz w:val="22"/>
          <w:szCs w:val="22"/>
          <w:lang w:val="en-ZA" w:eastAsia="en-ZA"/>
        </w:rPr>
      </w:pPr>
    </w:p>
    <w:p w:rsidR="00B576C6" w:rsidRDefault="00B576C6" w:rsidP="006E0085">
      <w:pPr>
        <w:shd w:val="clear" w:color="auto" w:fill="FFFFFF"/>
        <w:spacing w:line="360" w:lineRule="auto"/>
        <w:rPr>
          <w:lang w:val="en-ZA" w:eastAsia="en-ZA"/>
        </w:rPr>
      </w:pPr>
      <w:r w:rsidRPr="00E95ECE">
        <w:rPr>
          <w:lang w:val="en-ZA" w:eastAsia="en-ZA"/>
        </w:rPr>
        <w:t>[1</w:t>
      </w:r>
      <w:r w:rsidR="003F6636">
        <w:rPr>
          <w:lang w:val="en-ZA" w:eastAsia="en-ZA"/>
        </w:rPr>
        <w:t>4</w:t>
      </w:r>
      <w:r w:rsidRPr="00E95ECE">
        <w:rPr>
          <w:lang w:val="en-ZA" w:eastAsia="en-ZA"/>
        </w:rPr>
        <w:t>]</w:t>
      </w:r>
      <w:r w:rsidRPr="00E95ECE">
        <w:rPr>
          <w:lang w:val="en-ZA" w:eastAsia="en-ZA"/>
        </w:rPr>
        <w:tab/>
      </w:r>
      <w:r w:rsidR="000C605D">
        <w:rPr>
          <w:lang w:val="en-ZA" w:eastAsia="en-ZA"/>
        </w:rPr>
        <w:t xml:space="preserve">It is common cause </w:t>
      </w:r>
      <w:r w:rsidRPr="00E95ECE">
        <w:rPr>
          <w:lang w:val="en-ZA" w:eastAsia="en-ZA"/>
        </w:rPr>
        <w:t>that the municipality ‘has never complained about the effectiveness of the respondent’s services</w:t>
      </w:r>
      <w:r w:rsidR="002261C4" w:rsidRPr="00E95ECE">
        <w:rPr>
          <w:lang w:val="en-ZA" w:eastAsia="en-ZA"/>
        </w:rPr>
        <w:t>’</w:t>
      </w:r>
      <w:r w:rsidRPr="00E95ECE">
        <w:rPr>
          <w:lang w:val="en-ZA" w:eastAsia="en-ZA"/>
        </w:rPr>
        <w:t xml:space="preserve">. </w:t>
      </w:r>
      <w:r w:rsidR="00D47E5C" w:rsidRPr="00E95ECE">
        <w:rPr>
          <w:lang w:val="en-ZA" w:eastAsia="en-ZA"/>
        </w:rPr>
        <w:t xml:space="preserve">Undoubtedly, the municipality received </w:t>
      </w:r>
      <w:r w:rsidR="008A564B" w:rsidRPr="00E95ECE">
        <w:rPr>
          <w:lang w:val="en-ZA" w:eastAsia="en-ZA"/>
        </w:rPr>
        <w:t xml:space="preserve">the </w:t>
      </w:r>
      <w:r w:rsidR="00D47E5C" w:rsidRPr="00E95ECE">
        <w:rPr>
          <w:lang w:val="en-ZA" w:eastAsia="en-ZA"/>
        </w:rPr>
        <w:t>full benefit of such services. Most certainly</w:t>
      </w:r>
      <w:r w:rsidR="008A564B" w:rsidRPr="00E95ECE">
        <w:rPr>
          <w:lang w:val="en-ZA" w:eastAsia="en-ZA"/>
        </w:rPr>
        <w:t>,</w:t>
      </w:r>
      <w:r w:rsidR="00D47E5C" w:rsidRPr="00E95ECE">
        <w:rPr>
          <w:lang w:val="en-ZA" w:eastAsia="en-ZA"/>
        </w:rPr>
        <w:t xml:space="preserve"> Sekoko </w:t>
      </w:r>
      <w:r w:rsidR="003F6636">
        <w:rPr>
          <w:lang w:val="en-ZA" w:eastAsia="en-ZA"/>
        </w:rPr>
        <w:t>A</w:t>
      </w:r>
      <w:r w:rsidR="00D47E5C" w:rsidRPr="00E95ECE">
        <w:rPr>
          <w:lang w:val="en-ZA" w:eastAsia="en-ZA"/>
        </w:rPr>
        <w:t>ttorneys incurred exp</w:t>
      </w:r>
      <w:r w:rsidR="000C74F3" w:rsidRPr="00E95ECE">
        <w:rPr>
          <w:lang w:val="en-ZA" w:eastAsia="en-ZA"/>
        </w:rPr>
        <w:t>e</w:t>
      </w:r>
      <w:r w:rsidR="00D47E5C" w:rsidRPr="00E95ECE">
        <w:rPr>
          <w:lang w:val="en-ZA" w:eastAsia="en-ZA"/>
        </w:rPr>
        <w:t>nses to enable it to render the service</w:t>
      </w:r>
      <w:r w:rsidR="005F0388">
        <w:rPr>
          <w:lang w:val="en-ZA" w:eastAsia="en-ZA"/>
        </w:rPr>
        <w:t>s</w:t>
      </w:r>
      <w:r w:rsidR="00D47E5C" w:rsidRPr="00E95ECE">
        <w:rPr>
          <w:lang w:val="en-ZA" w:eastAsia="en-ZA"/>
        </w:rPr>
        <w:t xml:space="preserve"> to the municipality. The municipality did not dispute Sekoko </w:t>
      </w:r>
      <w:r w:rsidR="003F6636">
        <w:rPr>
          <w:lang w:val="en-ZA" w:eastAsia="en-ZA"/>
        </w:rPr>
        <w:t>A</w:t>
      </w:r>
      <w:r w:rsidR="00D47E5C" w:rsidRPr="00E95ECE">
        <w:rPr>
          <w:lang w:val="en-ZA" w:eastAsia="en-ZA"/>
        </w:rPr>
        <w:t>ttorneys’ entitlement to be paid for services rendered. It did not even participate in this appeal.  On the contrary</w:t>
      </w:r>
      <w:r w:rsidR="008A564B" w:rsidRPr="00E95ECE">
        <w:rPr>
          <w:lang w:val="en-ZA" w:eastAsia="en-ZA"/>
        </w:rPr>
        <w:t>,</w:t>
      </w:r>
      <w:r w:rsidR="00D47E5C" w:rsidRPr="00E95ECE">
        <w:rPr>
          <w:lang w:val="en-ZA" w:eastAsia="en-ZA"/>
        </w:rPr>
        <w:t xml:space="preserve"> it served a notice that it will abide </w:t>
      </w:r>
      <w:r w:rsidR="00E6684A" w:rsidRPr="00E95ECE">
        <w:rPr>
          <w:lang w:val="en-ZA" w:eastAsia="en-ZA"/>
        </w:rPr>
        <w:t>by the appeal</w:t>
      </w:r>
      <w:r w:rsidR="00221C83" w:rsidRPr="00E95ECE">
        <w:rPr>
          <w:lang w:val="en-ZA" w:eastAsia="en-ZA"/>
        </w:rPr>
        <w:t xml:space="preserve"> outcome</w:t>
      </w:r>
      <w:r w:rsidR="00D47E5C" w:rsidRPr="00E95ECE">
        <w:rPr>
          <w:lang w:val="en-ZA" w:eastAsia="en-ZA"/>
        </w:rPr>
        <w:t xml:space="preserve">. </w:t>
      </w:r>
    </w:p>
    <w:p w:rsidR="005F0388" w:rsidRDefault="005F0388" w:rsidP="006E0085">
      <w:pPr>
        <w:shd w:val="clear" w:color="auto" w:fill="FFFFFF"/>
        <w:spacing w:line="360" w:lineRule="auto"/>
        <w:rPr>
          <w:lang w:val="en-ZA" w:eastAsia="en-ZA"/>
        </w:rPr>
      </w:pPr>
    </w:p>
    <w:p w:rsidR="00603BE1" w:rsidRDefault="00BB3EA1" w:rsidP="006E0085">
      <w:pPr>
        <w:shd w:val="clear" w:color="auto" w:fill="FFFFFF"/>
        <w:spacing w:line="360" w:lineRule="auto"/>
        <w:rPr>
          <w:lang w:val="en-ZA" w:eastAsia="en-ZA"/>
        </w:rPr>
      </w:pPr>
      <w:r>
        <w:rPr>
          <w:lang w:val="en-ZA" w:eastAsia="en-ZA"/>
        </w:rPr>
        <w:lastRenderedPageBreak/>
        <w:t>[1</w:t>
      </w:r>
      <w:r w:rsidR="004D67ED">
        <w:rPr>
          <w:lang w:val="en-ZA" w:eastAsia="en-ZA"/>
        </w:rPr>
        <w:t>5</w:t>
      </w:r>
      <w:r>
        <w:rPr>
          <w:lang w:val="en-ZA" w:eastAsia="en-ZA"/>
        </w:rPr>
        <w:t>]</w:t>
      </w:r>
      <w:r>
        <w:rPr>
          <w:lang w:val="en-ZA" w:eastAsia="en-ZA"/>
        </w:rPr>
        <w:tab/>
      </w:r>
      <w:r w:rsidR="00D50B83">
        <w:rPr>
          <w:lang w:val="en-ZA" w:eastAsia="en-ZA"/>
        </w:rPr>
        <w:t xml:space="preserve">Unlike some of the matters referred to above, no further services have been rendered by Sekoko Attorneys since delivering their last invoice in May 2018. There is thus no need for any order that the rights of Sekoko Attorneys under the void tender be preserved. It is appropriate, however, that where no fault lies at the door of Sekoko Attorneys and it rendered services which redounded to the benefit of the municipality, an order is granted for payment. </w:t>
      </w:r>
      <w:r w:rsidR="005F0388">
        <w:rPr>
          <w:lang w:val="en-ZA" w:eastAsia="en-ZA"/>
        </w:rPr>
        <w:t xml:space="preserve">In those circumstances, </w:t>
      </w:r>
      <w:r w:rsidR="009C44D5">
        <w:rPr>
          <w:lang w:val="en-ZA" w:eastAsia="en-ZA"/>
        </w:rPr>
        <w:t xml:space="preserve">it </w:t>
      </w:r>
      <w:r>
        <w:rPr>
          <w:lang w:val="en-ZA" w:eastAsia="en-ZA"/>
        </w:rPr>
        <w:t>i</w:t>
      </w:r>
      <w:r w:rsidR="009C44D5">
        <w:rPr>
          <w:lang w:val="en-ZA" w:eastAsia="en-ZA"/>
        </w:rPr>
        <w:t>s just and equitable to order that</w:t>
      </w:r>
      <w:r w:rsidR="0004304A">
        <w:rPr>
          <w:lang w:val="en-ZA" w:eastAsia="en-ZA"/>
        </w:rPr>
        <w:t xml:space="preserve"> the municipality pay to Sekoko </w:t>
      </w:r>
      <w:r w:rsidR="003F6636">
        <w:rPr>
          <w:lang w:val="en-ZA" w:eastAsia="en-ZA"/>
        </w:rPr>
        <w:t>A</w:t>
      </w:r>
      <w:r w:rsidR="0004304A">
        <w:rPr>
          <w:lang w:val="en-ZA" w:eastAsia="en-ZA"/>
        </w:rPr>
        <w:t>ttorneys an amount equivalent to that to which it would have been entitled under the void tender. The</w:t>
      </w:r>
      <w:r w:rsidR="005D3B0C">
        <w:rPr>
          <w:lang w:val="en-ZA" w:eastAsia="en-ZA"/>
        </w:rPr>
        <w:t xml:space="preserve"> municipality advanced no considerations against such</w:t>
      </w:r>
      <w:r w:rsidR="00904953">
        <w:rPr>
          <w:lang w:val="en-ZA" w:eastAsia="en-ZA"/>
        </w:rPr>
        <w:t xml:space="preserve"> an order. In the result, the counter</w:t>
      </w:r>
      <w:r w:rsidR="00D14B73">
        <w:rPr>
          <w:lang w:val="en-ZA" w:eastAsia="en-ZA"/>
        </w:rPr>
        <w:t xml:space="preserve"> application for payment</w:t>
      </w:r>
      <w:r w:rsidR="00904953">
        <w:rPr>
          <w:lang w:val="en-ZA" w:eastAsia="en-ZA"/>
        </w:rPr>
        <w:t xml:space="preserve"> should have been upheld by the high court on this basis.</w:t>
      </w:r>
      <w:r w:rsidR="00603BE1">
        <w:rPr>
          <w:lang w:val="en-ZA" w:eastAsia="en-ZA"/>
        </w:rPr>
        <w:t xml:space="preserve"> </w:t>
      </w:r>
    </w:p>
    <w:p w:rsidR="009B61A2" w:rsidRDefault="009B61A2" w:rsidP="006E0085">
      <w:pPr>
        <w:shd w:val="clear" w:color="auto" w:fill="FFFFFF"/>
        <w:spacing w:line="360" w:lineRule="auto"/>
        <w:rPr>
          <w:lang w:val="en-ZA" w:eastAsia="en-ZA"/>
        </w:rPr>
      </w:pPr>
    </w:p>
    <w:p w:rsidR="00603BE1" w:rsidRPr="00E95ECE" w:rsidRDefault="00603BE1" w:rsidP="006E0085">
      <w:pPr>
        <w:shd w:val="clear" w:color="auto" w:fill="FFFFFF"/>
        <w:spacing w:line="360" w:lineRule="auto"/>
        <w:rPr>
          <w:lang w:val="en-ZA" w:eastAsia="en-ZA"/>
        </w:rPr>
      </w:pPr>
      <w:r w:rsidRPr="00603BE1">
        <w:rPr>
          <w:lang w:val="en-ZA" w:eastAsia="en-ZA"/>
        </w:rPr>
        <w:t>[16]</w:t>
      </w:r>
      <w:r w:rsidRPr="00603BE1">
        <w:rPr>
          <w:lang w:val="en-ZA" w:eastAsia="en-ZA"/>
        </w:rPr>
        <w:tab/>
        <w:t>It is necessary to say something about the issue of costs. As already indicated, the appeal was not opposed. And, what is more, the issue for decision was fairly straightforward. There was therefore no need for the appellant to brief senior counsel for purposes of arguing the appeal. This is a matter that could easily and should have been disposed of without the hearing of oral argument in terms of s 19(a)</w:t>
      </w:r>
      <w:r w:rsidRPr="00603BE1">
        <w:rPr>
          <w:rStyle w:val="FootnoteReference"/>
          <w:lang w:val="en-ZA" w:eastAsia="en-ZA"/>
        </w:rPr>
        <w:footnoteReference w:id="6"/>
      </w:r>
      <w:r w:rsidRPr="00603BE1">
        <w:rPr>
          <w:lang w:val="en-ZA" w:eastAsia="en-ZA"/>
        </w:rPr>
        <w:t xml:space="preserve"> of the Superior Courts Act.</w:t>
      </w:r>
      <w:r w:rsidRPr="00603BE1">
        <w:rPr>
          <w:rStyle w:val="FootnoteReference"/>
          <w:lang w:val="en-ZA" w:eastAsia="en-ZA"/>
        </w:rPr>
        <w:footnoteReference w:id="7"/>
      </w:r>
      <w:r w:rsidRPr="00603BE1">
        <w:rPr>
          <w:lang w:val="en-ZA" w:eastAsia="en-ZA"/>
        </w:rPr>
        <w:t xml:space="preserve"> Accordingly, the interests of justice dictate that there should be no order as to costs both in the court a quo and this Court.</w:t>
      </w:r>
      <w:r>
        <w:rPr>
          <w:lang w:val="en-ZA" w:eastAsia="en-ZA"/>
        </w:rPr>
        <w:t xml:space="preserve"> </w:t>
      </w:r>
    </w:p>
    <w:p w:rsidR="00603BE1" w:rsidRPr="00E95ECE" w:rsidRDefault="00603BE1" w:rsidP="006E0085">
      <w:pPr>
        <w:shd w:val="clear" w:color="auto" w:fill="FFFFFF"/>
        <w:spacing w:line="360" w:lineRule="auto"/>
        <w:rPr>
          <w:lang w:val="en-ZA" w:eastAsia="en-ZA"/>
        </w:rPr>
      </w:pPr>
    </w:p>
    <w:p w:rsidR="00D47E5C" w:rsidRPr="00E95ECE" w:rsidRDefault="00D47E5C" w:rsidP="006E0085">
      <w:pPr>
        <w:shd w:val="clear" w:color="auto" w:fill="FFFFFF"/>
        <w:spacing w:line="360" w:lineRule="auto"/>
        <w:rPr>
          <w:lang w:val="en-ZA" w:eastAsia="en-ZA"/>
        </w:rPr>
      </w:pPr>
      <w:r w:rsidRPr="00E95ECE">
        <w:rPr>
          <w:lang w:val="en-ZA" w:eastAsia="en-ZA"/>
        </w:rPr>
        <w:t>[1</w:t>
      </w:r>
      <w:r w:rsidR="00603BE1">
        <w:rPr>
          <w:lang w:val="en-ZA" w:eastAsia="en-ZA"/>
        </w:rPr>
        <w:t>7</w:t>
      </w:r>
      <w:r w:rsidRPr="00E95ECE">
        <w:rPr>
          <w:lang w:val="en-ZA" w:eastAsia="en-ZA"/>
        </w:rPr>
        <w:t>]</w:t>
      </w:r>
      <w:r w:rsidRPr="00E95ECE">
        <w:rPr>
          <w:lang w:val="en-ZA" w:eastAsia="en-ZA"/>
        </w:rPr>
        <w:tab/>
        <w:t>The following order is made:</w:t>
      </w:r>
    </w:p>
    <w:p w:rsidR="00D47E5C" w:rsidRPr="00E95ECE" w:rsidRDefault="00D47E5C" w:rsidP="006E0085">
      <w:pPr>
        <w:shd w:val="clear" w:color="auto" w:fill="FFFFFF"/>
        <w:spacing w:line="360" w:lineRule="auto"/>
        <w:rPr>
          <w:lang w:val="en-ZA" w:eastAsia="en-ZA"/>
        </w:rPr>
      </w:pPr>
      <w:r w:rsidRPr="00E95ECE">
        <w:rPr>
          <w:lang w:val="en-ZA" w:eastAsia="en-ZA"/>
        </w:rPr>
        <w:t>1</w:t>
      </w:r>
      <w:r w:rsidRPr="00E95ECE">
        <w:rPr>
          <w:lang w:val="en-ZA" w:eastAsia="en-ZA"/>
        </w:rPr>
        <w:tab/>
        <w:t>The appeal is upheld with no order as to costs.</w:t>
      </w:r>
    </w:p>
    <w:p w:rsidR="00D47E5C" w:rsidRPr="00E95ECE" w:rsidRDefault="00D47E5C" w:rsidP="006E0085">
      <w:pPr>
        <w:shd w:val="clear" w:color="auto" w:fill="FFFFFF"/>
        <w:spacing w:line="360" w:lineRule="auto"/>
        <w:rPr>
          <w:lang w:val="en-ZA" w:eastAsia="en-ZA"/>
        </w:rPr>
      </w:pPr>
      <w:r w:rsidRPr="00E95ECE">
        <w:rPr>
          <w:lang w:val="en-ZA" w:eastAsia="en-ZA"/>
        </w:rPr>
        <w:t>2</w:t>
      </w:r>
      <w:r w:rsidRPr="00E95ECE">
        <w:rPr>
          <w:lang w:val="en-ZA" w:eastAsia="en-ZA"/>
        </w:rPr>
        <w:tab/>
        <w:t xml:space="preserve">Paragraph (iv) of the order of the court a quo </w:t>
      </w:r>
      <w:r w:rsidR="00733FE0">
        <w:rPr>
          <w:lang w:val="en-ZA" w:eastAsia="en-ZA"/>
        </w:rPr>
        <w:t>is set aside and</w:t>
      </w:r>
      <w:r w:rsidRPr="00E95ECE">
        <w:rPr>
          <w:lang w:val="en-ZA" w:eastAsia="en-ZA"/>
        </w:rPr>
        <w:t xml:space="preserve"> replaced with the following:</w:t>
      </w:r>
    </w:p>
    <w:p w:rsidR="00D47E5C" w:rsidRPr="00E95ECE" w:rsidRDefault="00D47E5C" w:rsidP="006E0085">
      <w:pPr>
        <w:shd w:val="clear" w:color="auto" w:fill="FFFFFF"/>
        <w:spacing w:line="360" w:lineRule="auto"/>
        <w:rPr>
          <w:lang w:val="en-ZA" w:eastAsia="en-ZA"/>
        </w:rPr>
      </w:pPr>
      <w:r w:rsidRPr="00E95ECE">
        <w:rPr>
          <w:lang w:val="en-ZA" w:eastAsia="en-ZA"/>
        </w:rPr>
        <w:t>‘</w:t>
      </w:r>
      <w:r w:rsidR="007222B0">
        <w:rPr>
          <w:lang w:val="en-ZA" w:eastAsia="en-ZA"/>
        </w:rPr>
        <w:t>(iv)</w:t>
      </w:r>
      <w:r w:rsidR="00CA1F49">
        <w:rPr>
          <w:lang w:val="en-ZA" w:eastAsia="en-ZA"/>
        </w:rPr>
        <w:t xml:space="preserve"> The </w:t>
      </w:r>
      <w:r w:rsidR="00CA1F49" w:rsidRPr="009B61A2">
        <w:rPr>
          <w:lang w:val="en-ZA" w:eastAsia="en-ZA"/>
        </w:rPr>
        <w:t xml:space="preserve">applicant (the municipality) </w:t>
      </w:r>
      <w:r w:rsidRPr="009B61A2">
        <w:rPr>
          <w:lang w:val="en-ZA" w:eastAsia="en-ZA"/>
        </w:rPr>
        <w:t>is ordered to pay the respondent an amount of R436</w:t>
      </w:r>
      <w:r w:rsidR="001315C4" w:rsidRPr="009B61A2">
        <w:rPr>
          <w:lang w:val="en-ZA" w:eastAsia="en-ZA"/>
        </w:rPr>
        <w:t xml:space="preserve"> 250.30</w:t>
      </w:r>
      <w:r w:rsidRPr="009B61A2">
        <w:rPr>
          <w:lang w:val="en-ZA" w:eastAsia="en-ZA"/>
        </w:rPr>
        <w:t xml:space="preserve"> plus interest of 10.25% per annum calculated as from 26</w:t>
      </w:r>
      <w:r w:rsidR="00210B90" w:rsidRPr="009B61A2">
        <w:rPr>
          <w:lang w:val="en-ZA" w:eastAsia="en-ZA"/>
        </w:rPr>
        <w:t xml:space="preserve"> November 2019</w:t>
      </w:r>
      <w:r w:rsidR="007222B0" w:rsidRPr="009B61A2">
        <w:rPr>
          <w:lang w:val="en-ZA" w:eastAsia="en-ZA"/>
        </w:rPr>
        <w:t xml:space="preserve"> to date of payment</w:t>
      </w:r>
      <w:r w:rsidR="00CA1F49" w:rsidRPr="009B61A2">
        <w:rPr>
          <w:lang w:val="en-ZA" w:eastAsia="en-ZA"/>
        </w:rPr>
        <w:t>. No order is made in respect of the costs of the counter-application.’</w:t>
      </w:r>
      <w:r w:rsidR="00CA1F49">
        <w:rPr>
          <w:lang w:val="en-ZA" w:eastAsia="en-ZA"/>
        </w:rPr>
        <w:t xml:space="preserve"> </w:t>
      </w:r>
      <w:r w:rsidR="00210B90" w:rsidRPr="00E95ECE">
        <w:rPr>
          <w:lang w:val="en-ZA" w:eastAsia="en-ZA"/>
        </w:rPr>
        <w:t xml:space="preserve"> </w:t>
      </w:r>
    </w:p>
    <w:p w:rsidR="00210B90" w:rsidRPr="00E95ECE" w:rsidRDefault="00210B90" w:rsidP="006E0085">
      <w:pPr>
        <w:shd w:val="clear" w:color="auto" w:fill="FFFFFF"/>
        <w:spacing w:line="360" w:lineRule="auto"/>
        <w:ind w:left="720"/>
        <w:rPr>
          <w:lang w:val="en-ZA" w:eastAsia="en-ZA"/>
        </w:rPr>
      </w:pPr>
    </w:p>
    <w:p w:rsidR="00426AA9" w:rsidRPr="00E95ECE" w:rsidRDefault="00426AA9" w:rsidP="006E0085">
      <w:pPr>
        <w:shd w:val="clear" w:color="auto" w:fill="FFFFFF"/>
        <w:spacing w:before="144" w:line="360" w:lineRule="auto"/>
        <w:jc w:val="right"/>
        <w:rPr>
          <w:lang w:val="en-ZA" w:eastAsia="en-ZA"/>
        </w:rPr>
      </w:pPr>
    </w:p>
    <w:p w:rsidR="00947573" w:rsidRPr="00E95ECE" w:rsidRDefault="00124B37" w:rsidP="006E0085">
      <w:pPr>
        <w:tabs>
          <w:tab w:val="left" w:pos="426"/>
        </w:tabs>
        <w:spacing w:line="360" w:lineRule="auto"/>
        <w:jc w:val="right"/>
      </w:pPr>
      <w:r w:rsidRPr="00E95ECE">
        <w:t>_________________</w:t>
      </w:r>
    </w:p>
    <w:p w:rsidR="00947573" w:rsidRPr="00E95ECE" w:rsidRDefault="009B61A2" w:rsidP="006E0085">
      <w:pPr>
        <w:spacing w:line="360" w:lineRule="auto"/>
        <w:jc w:val="right"/>
        <w:rPr>
          <w:lang w:eastAsia="en-ZA"/>
        </w:rPr>
      </w:pPr>
      <w:r>
        <w:rPr>
          <w:lang w:eastAsia="en-ZA"/>
        </w:rPr>
        <w:t xml:space="preserve">DV </w:t>
      </w:r>
      <w:r w:rsidR="002C24DD" w:rsidRPr="00E95ECE">
        <w:rPr>
          <w:lang w:eastAsia="en-ZA"/>
        </w:rPr>
        <w:t xml:space="preserve">DLODLO </w:t>
      </w:r>
    </w:p>
    <w:p w:rsidR="003E29C8" w:rsidRPr="00E95ECE" w:rsidRDefault="00947573" w:rsidP="006E0085">
      <w:pPr>
        <w:spacing w:line="360" w:lineRule="auto"/>
        <w:jc w:val="right"/>
      </w:pPr>
      <w:r w:rsidRPr="00E95ECE">
        <w:rPr>
          <w:lang w:eastAsia="en-ZA"/>
        </w:rPr>
        <w:t>J</w:t>
      </w:r>
      <w:r w:rsidR="00302550" w:rsidRPr="00E95ECE">
        <w:rPr>
          <w:lang w:eastAsia="en-ZA"/>
        </w:rPr>
        <w:t>UDGE OF APPEAL</w:t>
      </w:r>
    </w:p>
    <w:p w:rsidR="008827D3" w:rsidRPr="00E95ECE" w:rsidRDefault="00A35E74" w:rsidP="000632E9">
      <w:pPr>
        <w:spacing w:line="360" w:lineRule="auto"/>
      </w:pPr>
      <w:r w:rsidRPr="00E95ECE">
        <w:br w:type="page"/>
      </w:r>
      <w:r w:rsidR="008827D3" w:rsidRPr="00E95ECE">
        <w:lastRenderedPageBreak/>
        <w:t>APPEARANCES:</w:t>
      </w:r>
    </w:p>
    <w:p w:rsidR="00092E74" w:rsidRPr="00E95ECE" w:rsidRDefault="00092E74" w:rsidP="006E0085">
      <w:pPr>
        <w:spacing w:line="360" w:lineRule="auto"/>
      </w:pPr>
    </w:p>
    <w:p w:rsidR="008827D3" w:rsidRPr="00E95ECE" w:rsidRDefault="008827D3" w:rsidP="006E0085">
      <w:pPr>
        <w:tabs>
          <w:tab w:val="left" w:pos="0"/>
          <w:tab w:val="left" w:pos="720"/>
          <w:tab w:val="left" w:pos="1440"/>
          <w:tab w:val="left" w:pos="2160"/>
        </w:tabs>
        <w:spacing w:line="360" w:lineRule="auto"/>
      </w:pPr>
      <w:r w:rsidRPr="00E95ECE">
        <w:t xml:space="preserve">For </w:t>
      </w:r>
      <w:r w:rsidR="005E54E2" w:rsidRPr="00E95ECE">
        <w:t>the a</w:t>
      </w:r>
      <w:r w:rsidRPr="00E95ECE">
        <w:t>ppellant</w:t>
      </w:r>
      <w:r w:rsidR="00AF5250" w:rsidRPr="00E95ECE">
        <w:t>:</w:t>
      </w:r>
      <w:r w:rsidR="00AF5250" w:rsidRPr="00E95ECE">
        <w:tab/>
      </w:r>
      <w:r w:rsidR="00AF5250" w:rsidRPr="00E95ECE">
        <w:tab/>
      </w:r>
      <w:r w:rsidR="00AF5250" w:rsidRPr="00E95ECE">
        <w:tab/>
      </w:r>
      <w:r w:rsidR="0023359C" w:rsidRPr="00E95ECE">
        <w:tab/>
      </w:r>
      <w:r w:rsidR="009D240E" w:rsidRPr="00E95ECE">
        <w:t>R J A Moultrie SC</w:t>
      </w:r>
    </w:p>
    <w:p w:rsidR="00EB0981" w:rsidRPr="00E95ECE" w:rsidRDefault="00EB0981" w:rsidP="006E0085">
      <w:pPr>
        <w:tabs>
          <w:tab w:val="left" w:pos="0"/>
          <w:tab w:val="left" w:pos="720"/>
          <w:tab w:val="left" w:pos="1440"/>
          <w:tab w:val="left" w:pos="2160"/>
        </w:tabs>
        <w:spacing w:line="360" w:lineRule="auto"/>
      </w:pPr>
      <w:r w:rsidRPr="00E95ECE">
        <w:t>Instructed by:</w:t>
      </w:r>
      <w:r w:rsidRPr="00E95ECE">
        <w:tab/>
      </w:r>
      <w:r w:rsidRPr="00E95ECE">
        <w:tab/>
      </w:r>
      <w:r w:rsidRPr="00E95ECE">
        <w:tab/>
      </w:r>
      <w:r w:rsidR="0023359C" w:rsidRPr="00E95ECE">
        <w:tab/>
      </w:r>
      <w:r w:rsidR="00FF41CA" w:rsidRPr="00E95ECE">
        <w:t>Albert Hibbert Attorneys</w:t>
      </w:r>
      <w:r w:rsidRPr="00E95ECE">
        <w:t xml:space="preserve">, </w:t>
      </w:r>
      <w:r w:rsidR="00FF41CA" w:rsidRPr="00E95ECE">
        <w:t>Pretoria</w:t>
      </w:r>
    </w:p>
    <w:p w:rsidR="008827D3" w:rsidRPr="00E95ECE" w:rsidRDefault="00EB0981" w:rsidP="006E0085">
      <w:pPr>
        <w:tabs>
          <w:tab w:val="left" w:pos="0"/>
          <w:tab w:val="left" w:pos="720"/>
          <w:tab w:val="left" w:pos="1440"/>
          <w:tab w:val="left" w:pos="2160"/>
        </w:tabs>
        <w:spacing w:line="360" w:lineRule="auto"/>
      </w:pPr>
      <w:r w:rsidRPr="00E95ECE">
        <w:tab/>
      </w:r>
      <w:r w:rsidRPr="00E95ECE">
        <w:tab/>
      </w:r>
      <w:r w:rsidRPr="00E95ECE">
        <w:tab/>
      </w:r>
      <w:r w:rsidRPr="00E95ECE">
        <w:tab/>
      </w:r>
      <w:r w:rsidRPr="00E95ECE">
        <w:tab/>
      </w:r>
      <w:r w:rsidR="0023359C" w:rsidRPr="00E95ECE">
        <w:tab/>
      </w:r>
      <w:r w:rsidR="00FF41CA" w:rsidRPr="00E95ECE">
        <w:t>Webber Attorneys</w:t>
      </w:r>
      <w:r w:rsidR="008827D3" w:rsidRPr="00E95ECE">
        <w:t>,</w:t>
      </w:r>
      <w:r w:rsidR="00E56768" w:rsidRPr="00E95ECE">
        <w:t xml:space="preserve"> </w:t>
      </w:r>
      <w:r w:rsidR="00013195" w:rsidRPr="00E95ECE">
        <w:t>Bloemfontein</w:t>
      </w:r>
    </w:p>
    <w:p w:rsidR="008827D3" w:rsidRPr="00E95ECE" w:rsidRDefault="008827D3" w:rsidP="006E0085">
      <w:pPr>
        <w:tabs>
          <w:tab w:val="left" w:pos="0"/>
          <w:tab w:val="left" w:pos="720"/>
          <w:tab w:val="left" w:pos="1440"/>
          <w:tab w:val="left" w:pos="2160"/>
        </w:tabs>
        <w:spacing w:line="360" w:lineRule="auto"/>
      </w:pPr>
      <w:r w:rsidRPr="00E95ECE">
        <w:tab/>
      </w:r>
      <w:r w:rsidRPr="00E95ECE">
        <w:tab/>
      </w:r>
      <w:r w:rsidRPr="00E95ECE">
        <w:tab/>
      </w:r>
      <w:r w:rsidRPr="00E95ECE">
        <w:tab/>
      </w:r>
      <w:r w:rsidRPr="00E95ECE">
        <w:tab/>
      </w:r>
    </w:p>
    <w:p w:rsidR="008827D3" w:rsidRPr="00E95ECE" w:rsidRDefault="003E29C8" w:rsidP="006E0085">
      <w:pPr>
        <w:tabs>
          <w:tab w:val="left" w:pos="0"/>
          <w:tab w:val="left" w:pos="720"/>
          <w:tab w:val="left" w:pos="1440"/>
          <w:tab w:val="left" w:pos="2160"/>
        </w:tabs>
        <w:spacing w:line="360" w:lineRule="auto"/>
      </w:pPr>
      <w:r w:rsidRPr="00E95ECE">
        <w:t xml:space="preserve">For </w:t>
      </w:r>
      <w:r w:rsidR="00AF5250" w:rsidRPr="00E95ECE">
        <w:t xml:space="preserve">the </w:t>
      </w:r>
      <w:r w:rsidR="00092E74" w:rsidRPr="00E95ECE">
        <w:t>r</w:t>
      </w:r>
      <w:r w:rsidRPr="00E95ECE">
        <w:t>espondent</w:t>
      </w:r>
      <w:r w:rsidR="008827D3" w:rsidRPr="00E95ECE">
        <w:t>:</w:t>
      </w:r>
      <w:r w:rsidR="008827D3" w:rsidRPr="00E95ECE">
        <w:tab/>
      </w:r>
      <w:r w:rsidR="000D06F5" w:rsidRPr="00E95ECE">
        <w:tab/>
      </w:r>
      <w:r w:rsidR="00092E74" w:rsidRPr="00E95ECE">
        <w:tab/>
      </w:r>
      <w:r w:rsidR="0023359C" w:rsidRPr="00E95ECE">
        <w:tab/>
      </w:r>
      <w:r w:rsidR="007222B0">
        <w:t>No appearance</w:t>
      </w:r>
    </w:p>
    <w:p w:rsidR="008827D3" w:rsidRPr="00F3094B" w:rsidRDefault="008827D3" w:rsidP="006E0085">
      <w:pPr>
        <w:spacing w:line="360" w:lineRule="auto"/>
        <w:rPr>
          <w:b/>
          <w:bCs/>
        </w:rPr>
      </w:pPr>
    </w:p>
    <w:p w:rsidR="00F322A0" w:rsidRPr="00F3094B" w:rsidRDefault="00F322A0" w:rsidP="006E0085">
      <w:pPr>
        <w:tabs>
          <w:tab w:val="left" w:pos="0"/>
          <w:tab w:val="left" w:pos="720"/>
          <w:tab w:val="left" w:pos="1440"/>
          <w:tab w:val="left" w:pos="2160"/>
        </w:tabs>
        <w:spacing w:line="360" w:lineRule="auto"/>
      </w:pPr>
    </w:p>
    <w:p w:rsidR="00F322A0" w:rsidRPr="00F3094B" w:rsidRDefault="00F322A0" w:rsidP="006E0085">
      <w:pPr>
        <w:tabs>
          <w:tab w:val="left" w:pos="0"/>
          <w:tab w:val="left" w:pos="720"/>
          <w:tab w:val="left" w:pos="1440"/>
          <w:tab w:val="left" w:pos="2160"/>
        </w:tabs>
        <w:spacing w:line="360" w:lineRule="auto"/>
      </w:pPr>
    </w:p>
    <w:p w:rsidR="00F322A0" w:rsidRPr="00F3094B" w:rsidRDefault="00F322A0" w:rsidP="006E0085">
      <w:pPr>
        <w:tabs>
          <w:tab w:val="left" w:pos="0"/>
          <w:tab w:val="left" w:pos="720"/>
          <w:tab w:val="left" w:pos="1440"/>
          <w:tab w:val="left" w:pos="2160"/>
        </w:tabs>
        <w:spacing w:line="360" w:lineRule="auto"/>
      </w:pPr>
    </w:p>
    <w:p w:rsidR="00F322A0" w:rsidRPr="00F3094B" w:rsidRDefault="00F322A0" w:rsidP="006E0085">
      <w:pPr>
        <w:tabs>
          <w:tab w:val="left" w:pos="0"/>
          <w:tab w:val="left" w:pos="720"/>
          <w:tab w:val="left" w:pos="1440"/>
          <w:tab w:val="left" w:pos="2160"/>
        </w:tabs>
        <w:spacing w:line="360" w:lineRule="auto"/>
      </w:pPr>
    </w:p>
    <w:p w:rsidR="00F322A0" w:rsidRPr="00F3094B" w:rsidRDefault="00F322A0" w:rsidP="006E0085">
      <w:pPr>
        <w:tabs>
          <w:tab w:val="left" w:pos="0"/>
          <w:tab w:val="left" w:pos="720"/>
          <w:tab w:val="left" w:pos="1440"/>
          <w:tab w:val="left" w:pos="2160"/>
        </w:tabs>
        <w:spacing w:line="360" w:lineRule="auto"/>
        <w:rPr>
          <w:rFonts w:ascii="Times New Roman" w:hAnsi="Times New Roman" w:cs="Times New Roman"/>
          <w:sz w:val="22"/>
          <w:szCs w:val="22"/>
        </w:rPr>
      </w:pPr>
    </w:p>
    <w:p w:rsidR="00F322A0" w:rsidRPr="00F3094B" w:rsidRDefault="00F322A0" w:rsidP="006E0085">
      <w:pPr>
        <w:tabs>
          <w:tab w:val="left" w:pos="0"/>
          <w:tab w:val="left" w:pos="720"/>
          <w:tab w:val="left" w:pos="1440"/>
          <w:tab w:val="left" w:pos="2160"/>
        </w:tabs>
        <w:spacing w:line="360" w:lineRule="auto"/>
        <w:rPr>
          <w:rFonts w:ascii="Times New Roman" w:hAnsi="Times New Roman" w:cs="Times New Roman"/>
          <w:sz w:val="22"/>
          <w:szCs w:val="22"/>
        </w:rPr>
      </w:pPr>
    </w:p>
    <w:p w:rsidR="00F322A0" w:rsidRPr="00F3094B" w:rsidRDefault="00F322A0" w:rsidP="006E0085">
      <w:pPr>
        <w:tabs>
          <w:tab w:val="left" w:pos="0"/>
          <w:tab w:val="left" w:pos="720"/>
          <w:tab w:val="left" w:pos="1440"/>
          <w:tab w:val="left" w:pos="2160"/>
        </w:tabs>
        <w:spacing w:line="360" w:lineRule="auto"/>
        <w:rPr>
          <w:rFonts w:ascii="Times New Roman" w:hAnsi="Times New Roman" w:cs="Times New Roman"/>
          <w:sz w:val="22"/>
          <w:szCs w:val="22"/>
        </w:rPr>
      </w:pPr>
    </w:p>
    <w:bookmarkEnd w:id="0"/>
    <w:p w:rsidR="002F69EC" w:rsidRPr="00F3094B" w:rsidRDefault="002F69EC" w:rsidP="006E0085">
      <w:pPr>
        <w:spacing w:line="360" w:lineRule="auto"/>
        <w:rPr>
          <w:lang w:val="en-ZA"/>
        </w:rPr>
      </w:pPr>
    </w:p>
    <w:sectPr w:rsidR="002F69EC" w:rsidRPr="00F3094B" w:rsidSect="009D7292">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FB" w:rsidRDefault="00F251FB" w:rsidP="008B1580">
      <w:r>
        <w:separator/>
      </w:r>
    </w:p>
  </w:endnote>
  <w:endnote w:type="continuationSeparator" w:id="0">
    <w:p w:rsidR="00F251FB" w:rsidRDefault="00F251FB"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FB" w:rsidRDefault="00F251FB" w:rsidP="008B1580">
      <w:r>
        <w:separator/>
      </w:r>
    </w:p>
  </w:footnote>
  <w:footnote w:type="continuationSeparator" w:id="0">
    <w:p w:rsidR="00F251FB" w:rsidRDefault="00F251FB" w:rsidP="008B1580">
      <w:r>
        <w:continuationSeparator/>
      </w:r>
    </w:p>
  </w:footnote>
  <w:footnote w:id="1">
    <w:p w:rsidR="005A2C4B" w:rsidRPr="00F03606" w:rsidRDefault="005A2C4B" w:rsidP="005A2C4B">
      <w:pPr>
        <w:pStyle w:val="FootnoteText"/>
        <w:rPr>
          <w:lang w:val="en-ZA"/>
        </w:rPr>
      </w:pPr>
      <w:r w:rsidRPr="00E95ECE">
        <w:rPr>
          <w:rStyle w:val="FootnoteReference"/>
        </w:rPr>
        <w:footnoteRef/>
      </w:r>
      <w:r w:rsidRPr="00E95ECE">
        <w:t xml:space="preserve"> Section 172 of the Constitution of the Republic of South</w:t>
      </w:r>
      <w:r>
        <w:t xml:space="preserve"> Africa, 1996. </w:t>
      </w:r>
    </w:p>
  </w:footnote>
  <w:footnote w:id="2">
    <w:p w:rsidR="004A1FF3" w:rsidRPr="004A1FF3" w:rsidRDefault="004A1FF3">
      <w:pPr>
        <w:pStyle w:val="FootnoteText"/>
        <w:rPr>
          <w:lang w:val="en-ZA"/>
        </w:rPr>
      </w:pPr>
      <w:r>
        <w:rPr>
          <w:rStyle w:val="FootnoteReference"/>
        </w:rPr>
        <w:footnoteRef/>
      </w:r>
      <w:r>
        <w:t xml:space="preserve"> </w:t>
      </w:r>
      <w:r w:rsidR="001270C6" w:rsidRPr="001270C6">
        <w:rPr>
          <w:i/>
        </w:rPr>
        <w:t>Steenkamp NO v Provincial Tender Board of the Eastern Cape</w:t>
      </w:r>
      <w:r w:rsidR="001270C6">
        <w:t xml:space="preserve"> (CCT71/05) [2006] ZACC 16; 2007 (3) SA 121 (CC); 2007 (3) BCLR CC</w:t>
      </w:r>
      <w:r w:rsidR="00D02567">
        <w:t xml:space="preserve"> </w:t>
      </w:r>
      <w:r w:rsidR="00D02567" w:rsidRPr="00E95ECE">
        <w:t>para 29</w:t>
      </w:r>
      <w:r w:rsidR="001270C6" w:rsidRPr="00E95ECE">
        <w:t>.</w:t>
      </w:r>
    </w:p>
  </w:footnote>
  <w:footnote w:id="3">
    <w:p w:rsidR="00DB64B0" w:rsidRPr="00E95ECE" w:rsidRDefault="00DB64B0">
      <w:pPr>
        <w:pStyle w:val="FootnoteText"/>
        <w:rPr>
          <w:lang w:val="en-ZA"/>
        </w:rPr>
      </w:pPr>
      <w:r w:rsidRPr="00E95ECE">
        <w:rPr>
          <w:rStyle w:val="FootnoteReference"/>
        </w:rPr>
        <w:footnoteRef/>
      </w:r>
      <w:r w:rsidRPr="00E95ECE">
        <w:t xml:space="preserve"> </w:t>
      </w:r>
      <w:r w:rsidR="00FE5286" w:rsidRPr="00E95ECE">
        <w:rPr>
          <w:i/>
        </w:rPr>
        <w:t>Bengwenyama Minerals (Pty) Ltd and Others v Genorah Resources (Pty) Ltd and Others</w:t>
      </w:r>
      <w:r w:rsidR="00FE5286" w:rsidRPr="00E95ECE">
        <w:t xml:space="preserve"> </w:t>
      </w:r>
      <w:r w:rsidR="00740A09" w:rsidRPr="00E95ECE">
        <w:t xml:space="preserve">[2010] ZACC 26; </w:t>
      </w:r>
      <w:r w:rsidR="00FE5286" w:rsidRPr="00E95ECE">
        <w:t>2011 (4) SA 113 (CC)</w:t>
      </w:r>
      <w:r w:rsidR="008F5DC7" w:rsidRPr="00E95ECE">
        <w:t xml:space="preserve">; 2011 (3) BCLR 229 (CC) </w:t>
      </w:r>
      <w:r w:rsidR="00FE5286" w:rsidRPr="00E95ECE">
        <w:t>para 85.</w:t>
      </w:r>
    </w:p>
  </w:footnote>
  <w:footnote w:id="4">
    <w:p w:rsidR="004B5E5E" w:rsidRPr="004B5E5E" w:rsidRDefault="004B5E5E">
      <w:pPr>
        <w:pStyle w:val="FootnoteText"/>
        <w:rPr>
          <w:lang w:val="en-ZA"/>
        </w:rPr>
      </w:pPr>
      <w:r w:rsidRPr="00E95ECE">
        <w:rPr>
          <w:rStyle w:val="FootnoteReference"/>
        </w:rPr>
        <w:footnoteRef/>
      </w:r>
      <w:r w:rsidRPr="00E95ECE">
        <w:t xml:space="preserve"> </w:t>
      </w:r>
      <w:bookmarkStart w:id="2" w:name="_Hlk97728894"/>
      <w:r w:rsidR="00B45520" w:rsidRPr="00E95ECE">
        <w:rPr>
          <w:i/>
        </w:rPr>
        <w:t>State Information Technology Agency SOC Ltd v Gijima Holdings (Pty) Ltd</w:t>
      </w:r>
      <w:bookmarkEnd w:id="2"/>
      <w:r w:rsidR="00B45520" w:rsidRPr="00E95ECE">
        <w:t xml:space="preserve"> </w:t>
      </w:r>
      <w:r w:rsidR="00DA1313" w:rsidRPr="00E95ECE">
        <w:t xml:space="preserve">[2017] ZACC 40; 2018 (2) BCLR 240 (CC); </w:t>
      </w:r>
      <w:r w:rsidR="00B45520" w:rsidRPr="00E95ECE">
        <w:t>2018 (2) SA 23 (CC) paras 53 and 54</w:t>
      </w:r>
      <w:r w:rsidR="00D24E9D">
        <w:t xml:space="preserve"> </w:t>
      </w:r>
      <w:r w:rsidR="00DE3B30" w:rsidRPr="00E95ECE">
        <w:t>(Footnote omitted)</w:t>
      </w:r>
      <w:r w:rsidR="00B45520" w:rsidRPr="00E95ECE">
        <w:t>.</w:t>
      </w:r>
    </w:p>
  </w:footnote>
  <w:footnote w:id="5">
    <w:p w:rsidR="00426AA9" w:rsidRPr="00426AA9" w:rsidRDefault="00426AA9">
      <w:pPr>
        <w:pStyle w:val="FootnoteText"/>
        <w:rPr>
          <w:lang w:val="en-ZA"/>
        </w:rPr>
      </w:pPr>
      <w:r w:rsidRPr="00E95ECE">
        <w:rPr>
          <w:rStyle w:val="FootnoteReference"/>
        </w:rPr>
        <w:footnoteRef/>
      </w:r>
      <w:r w:rsidRPr="00E95ECE">
        <w:t xml:space="preserve"> </w:t>
      </w:r>
      <w:r w:rsidRPr="00E95ECE">
        <w:rPr>
          <w:i/>
        </w:rPr>
        <w:t>Buffalo City Metropolitan Municipality v Asla Construction (Pty) Ltd</w:t>
      </w:r>
      <w:r w:rsidRPr="00E95ECE">
        <w:t xml:space="preserve"> </w:t>
      </w:r>
      <w:r w:rsidR="00203B0B" w:rsidRPr="00E95ECE">
        <w:t xml:space="preserve">[2019] ZACC 15; 2019 (6) BCLR 661 (CC); </w:t>
      </w:r>
      <w:r w:rsidRPr="00E95ECE">
        <w:t>2019 (4) SA 331 (CC) paras 104 and 105.</w:t>
      </w:r>
      <w:r w:rsidR="00BF0791" w:rsidRPr="00BF0791">
        <w:t xml:space="preserve"> </w:t>
      </w:r>
    </w:p>
  </w:footnote>
  <w:footnote w:id="6">
    <w:p w:rsidR="00603BE1" w:rsidRPr="00CA1F49" w:rsidRDefault="00603BE1" w:rsidP="00603BE1">
      <w:pPr>
        <w:pStyle w:val="FootnoteText"/>
        <w:rPr>
          <w:lang w:val="en-ZA"/>
        </w:rPr>
      </w:pPr>
      <w:r w:rsidRPr="00CA1F49">
        <w:rPr>
          <w:rStyle w:val="FootnoteReference"/>
        </w:rPr>
        <w:footnoteRef/>
      </w:r>
      <w:r w:rsidRPr="00CA1F49">
        <w:t xml:space="preserve"> </w:t>
      </w:r>
      <w:r w:rsidRPr="00CA1F49">
        <w:rPr>
          <w:lang w:val="en-ZA"/>
        </w:rPr>
        <w:t>Section 19(a) in relevant part reads:</w:t>
      </w:r>
    </w:p>
    <w:p w:rsidR="00603BE1" w:rsidRPr="00CA1F49" w:rsidRDefault="00603BE1" w:rsidP="00603BE1">
      <w:pPr>
        <w:pStyle w:val="FootnoteText"/>
        <w:rPr>
          <w:lang w:val="en-ZA" w:eastAsia="en-ZA"/>
        </w:rPr>
      </w:pPr>
      <w:r w:rsidRPr="00CA1F49">
        <w:rPr>
          <w:lang w:val="en-ZA" w:eastAsia="en-ZA"/>
        </w:rPr>
        <w:t>‘The Supreme Court of Appeal . . . may, in addition to any power as may specifically be provide for in any other law–</w:t>
      </w:r>
    </w:p>
    <w:p w:rsidR="00603BE1" w:rsidRPr="00CA1F49" w:rsidRDefault="00603BE1" w:rsidP="00603BE1">
      <w:pPr>
        <w:pStyle w:val="FootnoteText"/>
        <w:rPr>
          <w:lang w:val="en-ZA"/>
        </w:rPr>
      </w:pPr>
      <w:r w:rsidRPr="00CA1F49">
        <w:rPr>
          <w:i/>
          <w:lang w:val="en-ZA" w:eastAsia="en-ZA"/>
        </w:rPr>
        <w:t>(a)</w:t>
      </w:r>
      <w:r w:rsidRPr="00CA1F49">
        <w:rPr>
          <w:lang w:val="en-ZA" w:eastAsia="en-ZA"/>
        </w:rPr>
        <w:t xml:space="preserve"> dispose of an appeal without the hearing of oral argument.’</w:t>
      </w:r>
    </w:p>
  </w:footnote>
  <w:footnote w:id="7">
    <w:p w:rsidR="00603BE1" w:rsidRPr="00691F49" w:rsidRDefault="00603BE1" w:rsidP="00603BE1">
      <w:pPr>
        <w:pStyle w:val="FootnoteText"/>
        <w:rPr>
          <w:lang w:val="en-ZA"/>
        </w:rPr>
      </w:pPr>
      <w:r w:rsidRPr="00CA1F49">
        <w:rPr>
          <w:rStyle w:val="FootnoteReference"/>
        </w:rPr>
        <w:footnoteRef/>
      </w:r>
      <w:r w:rsidRPr="00CA1F49">
        <w:t xml:space="preserve"> </w:t>
      </w:r>
      <w:r w:rsidRPr="00CA1F49">
        <w:rPr>
          <w:lang w:val="en-ZA"/>
        </w:rPr>
        <w:t>Superior Courts Act 10 of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06" w:rsidRDefault="00F03606" w:rsidP="002D3CE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B308DF">
      <w:rPr>
        <w:noProof/>
      </w:rPr>
      <w:t>2</w:t>
    </w:r>
    <w:r>
      <w:rPr>
        <w:noProof/>
      </w:rPr>
      <w:fldChar w:fldCharType="end"/>
    </w:r>
  </w:p>
  <w:p w:rsidR="00F03606" w:rsidRDefault="00F03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6B6"/>
    <w:multiLevelType w:val="hybridMultilevel"/>
    <w:tmpl w:val="EA32024E"/>
    <w:lvl w:ilvl="0" w:tplc="3F228724">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E7929"/>
    <w:multiLevelType w:val="hybridMultilevel"/>
    <w:tmpl w:val="45CC008A"/>
    <w:lvl w:ilvl="0" w:tplc="0598D43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2FC7E1B"/>
    <w:multiLevelType w:val="hybridMultilevel"/>
    <w:tmpl w:val="FC526B08"/>
    <w:lvl w:ilvl="0" w:tplc="8740434E">
      <w:start w:val="1"/>
      <w:numFmt w:val="lowerLetter"/>
      <w:lvlText w:val="(%1)"/>
      <w:lvlJc w:val="left"/>
      <w:pPr>
        <w:ind w:left="659" w:hanging="375"/>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D4637C"/>
    <w:multiLevelType w:val="hybridMultilevel"/>
    <w:tmpl w:val="598A6B64"/>
    <w:lvl w:ilvl="0" w:tplc="611CECA6">
      <w:start w:val="1"/>
      <w:numFmt w:val="lowerLetter"/>
      <w:pStyle w:val="JUGMENTNUMBERED"/>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3C610834"/>
    <w:multiLevelType w:val="hybridMultilevel"/>
    <w:tmpl w:val="339AECF6"/>
    <w:lvl w:ilvl="0" w:tplc="17EE4352">
      <w:start w:val="1"/>
      <w:numFmt w:val="decimal"/>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1981399"/>
    <w:multiLevelType w:val="hybridMultilevel"/>
    <w:tmpl w:val="355689EE"/>
    <w:lvl w:ilvl="0" w:tplc="06F2E260">
      <w:start w:val="9"/>
      <w:numFmt w:val="lowerLetter"/>
      <w:lvlText w:val="(%1)"/>
      <w:lvlJc w:val="left"/>
      <w:pPr>
        <w:ind w:left="1353"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12" w15:restartNumberingAfterBreak="0">
    <w:nsid w:val="461D13BD"/>
    <w:multiLevelType w:val="multilevel"/>
    <w:tmpl w:val="35AA3F80"/>
    <w:lvl w:ilvl="0">
      <w:start w:val="1"/>
      <w:numFmt w:val="decimal"/>
      <w:lvlText w:val="[%1]"/>
      <w:lvlJc w:val="left"/>
      <w:pPr>
        <w:tabs>
          <w:tab w:val="num" w:pos="680"/>
        </w:tabs>
      </w:pPr>
      <w:rPr>
        <w:rFonts w:hint="default"/>
        <w:i w:val="0"/>
        <w:iCs w:val="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3D55C78"/>
    <w:multiLevelType w:val="hybridMultilevel"/>
    <w:tmpl w:val="FC526B08"/>
    <w:lvl w:ilvl="0" w:tplc="FFFFFFFF">
      <w:start w:val="1"/>
      <w:numFmt w:val="lowerLetter"/>
      <w:lvlText w:val="(%1)"/>
      <w:lvlJc w:val="left"/>
      <w:pPr>
        <w:ind w:left="659" w:hanging="375"/>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E96E84"/>
    <w:multiLevelType w:val="hybridMultilevel"/>
    <w:tmpl w:val="2C16D0F4"/>
    <w:lvl w:ilvl="0" w:tplc="539AD69E">
      <w:start w:val="1"/>
      <w:numFmt w:val="lowerRoman"/>
      <w:lvlText w:val="(%1)"/>
      <w:lvlJc w:val="left"/>
      <w:pPr>
        <w:ind w:left="1455" w:hanging="72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num w:numId="1">
    <w:abstractNumId w:val="6"/>
  </w:num>
  <w:num w:numId="2">
    <w:abstractNumId w:val="5"/>
  </w:num>
  <w:num w:numId="3">
    <w:abstractNumId w:val="17"/>
    <w:lvlOverride w:ilvl="0">
      <w:startOverride w:val="12"/>
    </w:lvlOverride>
  </w:num>
  <w:num w:numId="4">
    <w:abstractNumId w:val="7"/>
  </w:num>
  <w:num w:numId="5">
    <w:abstractNumId w:val="8"/>
  </w:num>
  <w:num w:numId="6">
    <w:abstractNumId w:val="1"/>
  </w:num>
  <w:num w:numId="7">
    <w:abstractNumId w:val="9"/>
  </w:num>
  <w:num w:numId="8">
    <w:abstractNumId w:val="0"/>
  </w:num>
  <w:num w:numId="9">
    <w:abstractNumId w:val="15"/>
  </w:num>
  <w:num w:numId="10">
    <w:abstractNumId w:val="16"/>
  </w:num>
  <w:num w:numId="11">
    <w:abstractNumId w:val="13"/>
  </w:num>
  <w:num w:numId="12">
    <w:abstractNumId w:val="3"/>
  </w:num>
  <w:num w:numId="13">
    <w:abstractNumId w:val="10"/>
  </w:num>
  <w:num w:numId="14">
    <w:abstractNumId w:val="2"/>
  </w:num>
  <w:num w:numId="15">
    <w:abstractNumId w:val="4"/>
  </w:num>
  <w:num w:numId="16">
    <w:abstractNumId w:val="18"/>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0"/>
  <w:activeWritingStyle w:appName="MSWord" w:lang="en-Z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tDQ3sDQxNzIwNrBU0lEKTi0uzszPAykwrgUAj6s9dCwAAAA="/>
    <w:docVar w:name="dgnword-docGUID" w:val="{8AF7176A-6BD9-4D86-B36F-7DFF52478C7E}"/>
    <w:docVar w:name="dgnword-eventsink" w:val="2153107162112"/>
  </w:docVars>
  <w:rsids>
    <w:rsidRoot w:val="008B1580"/>
    <w:rsid w:val="00001262"/>
    <w:rsid w:val="00001C26"/>
    <w:rsid w:val="00002B35"/>
    <w:rsid w:val="00004490"/>
    <w:rsid w:val="00007F20"/>
    <w:rsid w:val="000101F6"/>
    <w:rsid w:val="00010A25"/>
    <w:rsid w:val="00010C2B"/>
    <w:rsid w:val="0001102C"/>
    <w:rsid w:val="00012FB7"/>
    <w:rsid w:val="00013195"/>
    <w:rsid w:val="0001340E"/>
    <w:rsid w:val="0001392C"/>
    <w:rsid w:val="0001555E"/>
    <w:rsid w:val="00017E7C"/>
    <w:rsid w:val="00020CC7"/>
    <w:rsid w:val="000212B3"/>
    <w:rsid w:val="00021C55"/>
    <w:rsid w:val="00021CBA"/>
    <w:rsid w:val="00023097"/>
    <w:rsid w:val="000231FE"/>
    <w:rsid w:val="00023C3F"/>
    <w:rsid w:val="00023CD4"/>
    <w:rsid w:val="000243C8"/>
    <w:rsid w:val="00024F76"/>
    <w:rsid w:val="00025EC2"/>
    <w:rsid w:val="000265B8"/>
    <w:rsid w:val="000272C8"/>
    <w:rsid w:val="000314CD"/>
    <w:rsid w:val="00031925"/>
    <w:rsid w:val="00031DAB"/>
    <w:rsid w:val="00032717"/>
    <w:rsid w:val="00033501"/>
    <w:rsid w:val="0003432A"/>
    <w:rsid w:val="00034BB4"/>
    <w:rsid w:val="00034CD5"/>
    <w:rsid w:val="00034E38"/>
    <w:rsid w:val="0003561F"/>
    <w:rsid w:val="00035740"/>
    <w:rsid w:val="000359D0"/>
    <w:rsid w:val="000362C6"/>
    <w:rsid w:val="000375CC"/>
    <w:rsid w:val="000376E8"/>
    <w:rsid w:val="00040207"/>
    <w:rsid w:val="0004238B"/>
    <w:rsid w:val="00042543"/>
    <w:rsid w:val="0004304A"/>
    <w:rsid w:val="000452B0"/>
    <w:rsid w:val="00045422"/>
    <w:rsid w:val="0004570A"/>
    <w:rsid w:val="0005272D"/>
    <w:rsid w:val="000527C5"/>
    <w:rsid w:val="0005290C"/>
    <w:rsid w:val="00053087"/>
    <w:rsid w:val="00053328"/>
    <w:rsid w:val="00053DDE"/>
    <w:rsid w:val="000555AD"/>
    <w:rsid w:val="000564D4"/>
    <w:rsid w:val="00057A6C"/>
    <w:rsid w:val="00057A78"/>
    <w:rsid w:val="00057D48"/>
    <w:rsid w:val="00060B81"/>
    <w:rsid w:val="00060BE5"/>
    <w:rsid w:val="00060DB1"/>
    <w:rsid w:val="00062652"/>
    <w:rsid w:val="000632E9"/>
    <w:rsid w:val="00064741"/>
    <w:rsid w:val="00064F83"/>
    <w:rsid w:val="000659CE"/>
    <w:rsid w:val="000665C8"/>
    <w:rsid w:val="00066744"/>
    <w:rsid w:val="0006693E"/>
    <w:rsid w:val="00067529"/>
    <w:rsid w:val="00067AFD"/>
    <w:rsid w:val="00067E4F"/>
    <w:rsid w:val="000705AE"/>
    <w:rsid w:val="0007075B"/>
    <w:rsid w:val="00070C43"/>
    <w:rsid w:val="00070F40"/>
    <w:rsid w:val="00071B68"/>
    <w:rsid w:val="00071EFF"/>
    <w:rsid w:val="0007263F"/>
    <w:rsid w:val="0007359D"/>
    <w:rsid w:val="00073B48"/>
    <w:rsid w:val="00074949"/>
    <w:rsid w:val="00074BDA"/>
    <w:rsid w:val="00075590"/>
    <w:rsid w:val="0007588B"/>
    <w:rsid w:val="00076A07"/>
    <w:rsid w:val="00076BE6"/>
    <w:rsid w:val="00077C1F"/>
    <w:rsid w:val="000804E9"/>
    <w:rsid w:val="000808BF"/>
    <w:rsid w:val="00080904"/>
    <w:rsid w:val="000815C6"/>
    <w:rsid w:val="00081772"/>
    <w:rsid w:val="00081A5E"/>
    <w:rsid w:val="00081C21"/>
    <w:rsid w:val="0008254F"/>
    <w:rsid w:val="00084256"/>
    <w:rsid w:val="00085979"/>
    <w:rsid w:val="00090914"/>
    <w:rsid w:val="00090921"/>
    <w:rsid w:val="00092E74"/>
    <w:rsid w:val="00092EB3"/>
    <w:rsid w:val="00094A4C"/>
    <w:rsid w:val="00094F90"/>
    <w:rsid w:val="00096A39"/>
    <w:rsid w:val="0009783E"/>
    <w:rsid w:val="00097B14"/>
    <w:rsid w:val="000A020A"/>
    <w:rsid w:val="000A0DAB"/>
    <w:rsid w:val="000A11D8"/>
    <w:rsid w:val="000A1357"/>
    <w:rsid w:val="000A1683"/>
    <w:rsid w:val="000A2D23"/>
    <w:rsid w:val="000A35D4"/>
    <w:rsid w:val="000A4850"/>
    <w:rsid w:val="000A5143"/>
    <w:rsid w:val="000A5194"/>
    <w:rsid w:val="000A5197"/>
    <w:rsid w:val="000A55C6"/>
    <w:rsid w:val="000A5715"/>
    <w:rsid w:val="000A5B84"/>
    <w:rsid w:val="000A68E6"/>
    <w:rsid w:val="000A6AA2"/>
    <w:rsid w:val="000A6D45"/>
    <w:rsid w:val="000A6DA2"/>
    <w:rsid w:val="000A7173"/>
    <w:rsid w:val="000A740D"/>
    <w:rsid w:val="000A7918"/>
    <w:rsid w:val="000A7DDA"/>
    <w:rsid w:val="000B036F"/>
    <w:rsid w:val="000B0441"/>
    <w:rsid w:val="000B085F"/>
    <w:rsid w:val="000B08E4"/>
    <w:rsid w:val="000B16AD"/>
    <w:rsid w:val="000B1898"/>
    <w:rsid w:val="000B1DDF"/>
    <w:rsid w:val="000B3331"/>
    <w:rsid w:val="000B3A83"/>
    <w:rsid w:val="000B47AA"/>
    <w:rsid w:val="000B5340"/>
    <w:rsid w:val="000B67DC"/>
    <w:rsid w:val="000B781A"/>
    <w:rsid w:val="000C0A30"/>
    <w:rsid w:val="000C132F"/>
    <w:rsid w:val="000C21F5"/>
    <w:rsid w:val="000C3B90"/>
    <w:rsid w:val="000C605D"/>
    <w:rsid w:val="000C66C0"/>
    <w:rsid w:val="000C6C56"/>
    <w:rsid w:val="000C6ED8"/>
    <w:rsid w:val="000C74F3"/>
    <w:rsid w:val="000C7E78"/>
    <w:rsid w:val="000D06F5"/>
    <w:rsid w:val="000D07EB"/>
    <w:rsid w:val="000D1924"/>
    <w:rsid w:val="000D2F89"/>
    <w:rsid w:val="000D3092"/>
    <w:rsid w:val="000D48D8"/>
    <w:rsid w:val="000D5CC5"/>
    <w:rsid w:val="000D7030"/>
    <w:rsid w:val="000E061F"/>
    <w:rsid w:val="000E0DDA"/>
    <w:rsid w:val="000E46A5"/>
    <w:rsid w:val="000E478E"/>
    <w:rsid w:val="000E48CB"/>
    <w:rsid w:val="000E5EDD"/>
    <w:rsid w:val="000E6BED"/>
    <w:rsid w:val="000E790D"/>
    <w:rsid w:val="000F0CC5"/>
    <w:rsid w:val="000F2C8F"/>
    <w:rsid w:val="000F33E7"/>
    <w:rsid w:val="000F4C7B"/>
    <w:rsid w:val="000F4FC4"/>
    <w:rsid w:val="000F51EB"/>
    <w:rsid w:val="000F5468"/>
    <w:rsid w:val="000F5786"/>
    <w:rsid w:val="000F65C2"/>
    <w:rsid w:val="000F7375"/>
    <w:rsid w:val="000F778A"/>
    <w:rsid w:val="001002D0"/>
    <w:rsid w:val="001002DE"/>
    <w:rsid w:val="00101CB6"/>
    <w:rsid w:val="00102A92"/>
    <w:rsid w:val="00102BD7"/>
    <w:rsid w:val="00102CFD"/>
    <w:rsid w:val="00102E7A"/>
    <w:rsid w:val="0010304F"/>
    <w:rsid w:val="00103B8B"/>
    <w:rsid w:val="0010533B"/>
    <w:rsid w:val="00105E52"/>
    <w:rsid w:val="00107ECF"/>
    <w:rsid w:val="001100A8"/>
    <w:rsid w:val="00110125"/>
    <w:rsid w:val="00110143"/>
    <w:rsid w:val="00110326"/>
    <w:rsid w:val="0011124D"/>
    <w:rsid w:val="001113D7"/>
    <w:rsid w:val="00111EF2"/>
    <w:rsid w:val="001138BB"/>
    <w:rsid w:val="00113DBF"/>
    <w:rsid w:val="00114899"/>
    <w:rsid w:val="00114DF5"/>
    <w:rsid w:val="00116076"/>
    <w:rsid w:val="00116D37"/>
    <w:rsid w:val="001171F4"/>
    <w:rsid w:val="0011740A"/>
    <w:rsid w:val="00117A2A"/>
    <w:rsid w:val="00120E2B"/>
    <w:rsid w:val="0012171A"/>
    <w:rsid w:val="00121F6E"/>
    <w:rsid w:val="001235E2"/>
    <w:rsid w:val="00124408"/>
    <w:rsid w:val="00124590"/>
    <w:rsid w:val="001246FF"/>
    <w:rsid w:val="00124B37"/>
    <w:rsid w:val="00124CD8"/>
    <w:rsid w:val="001256E1"/>
    <w:rsid w:val="00125807"/>
    <w:rsid w:val="00125AAF"/>
    <w:rsid w:val="00126996"/>
    <w:rsid w:val="001270C6"/>
    <w:rsid w:val="00127152"/>
    <w:rsid w:val="00127387"/>
    <w:rsid w:val="00130C2C"/>
    <w:rsid w:val="001315C4"/>
    <w:rsid w:val="0013207E"/>
    <w:rsid w:val="001328EE"/>
    <w:rsid w:val="00133CF9"/>
    <w:rsid w:val="00134821"/>
    <w:rsid w:val="00134EF5"/>
    <w:rsid w:val="00136D06"/>
    <w:rsid w:val="00136EF6"/>
    <w:rsid w:val="00142DEA"/>
    <w:rsid w:val="00143001"/>
    <w:rsid w:val="00143131"/>
    <w:rsid w:val="001441E8"/>
    <w:rsid w:val="00144DDB"/>
    <w:rsid w:val="001453A2"/>
    <w:rsid w:val="00146B58"/>
    <w:rsid w:val="00146F14"/>
    <w:rsid w:val="0014704D"/>
    <w:rsid w:val="00147677"/>
    <w:rsid w:val="00150368"/>
    <w:rsid w:val="00151DAA"/>
    <w:rsid w:val="00153669"/>
    <w:rsid w:val="00154907"/>
    <w:rsid w:val="001554EB"/>
    <w:rsid w:val="00155BB4"/>
    <w:rsid w:val="00156093"/>
    <w:rsid w:val="001604B4"/>
    <w:rsid w:val="00161DD9"/>
    <w:rsid w:val="00161E18"/>
    <w:rsid w:val="00161E43"/>
    <w:rsid w:val="00162915"/>
    <w:rsid w:val="001634C6"/>
    <w:rsid w:val="00163931"/>
    <w:rsid w:val="001642AF"/>
    <w:rsid w:val="00164944"/>
    <w:rsid w:val="00166497"/>
    <w:rsid w:val="001666B2"/>
    <w:rsid w:val="001676E2"/>
    <w:rsid w:val="00167827"/>
    <w:rsid w:val="00167911"/>
    <w:rsid w:val="0017047E"/>
    <w:rsid w:val="00172072"/>
    <w:rsid w:val="001726F1"/>
    <w:rsid w:val="0017291C"/>
    <w:rsid w:val="00173874"/>
    <w:rsid w:val="00174EE8"/>
    <w:rsid w:val="00176403"/>
    <w:rsid w:val="00176B33"/>
    <w:rsid w:val="00180983"/>
    <w:rsid w:val="00180C47"/>
    <w:rsid w:val="00184728"/>
    <w:rsid w:val="00184842"/>
    <w:rsid w:val="00185972"/>
    <w:rsid w:val="001861B8"/>
    <w:rsid w:val="00186ABF"/>
    <w:rsid w:val="00190595"/>
    <w:rsid w:val="00190B0C"/>
    <w:rsid w:val="00192709"/>
    <w:rsid w:val="001943E3"/>
    <w:rsid w:val="00195D17"/>
    <w:rsid w:val="00195E86"/>
    <w:rsid w:val="00196209"/>
    <w:rsid w:val="0019621F"/>
    <w:rsid w:val="00196556"/>
    <w:rsid w:val="00197051"/>
    <w:rsid w:val="001A072E"/>
    <w:rsid w:val="001A0A6A"/>
    <w:rsid w:val="001A0A70"/>
    <w:rsid w:val="001A1BEE"/>
    <w:rsid w:val="001A375F"/>
    <w:rsid w:val="001A3DAD"/>
    <w:rsid w:val="001A40EE"/>
    <w:rsid w:val="001A4D36"/>
    <w:rsid w:val="001A5B07"/>
    <w:rsid w:val="001A5F3A"/>
    <w:rsid w:val="001A7651"/>
    <w:rsid w:val="001B02A2"/>
    <w:rsid w:val="001B1BEF"/>
    <w:rsid w:val="001B2544"/>
    <w:rsid w:val="001B2E73"/>
    <w:rsid w:val="001B3079"/>
    <w:rsid w:val="001B32E0"/>
    <w:rsid w:val="001B48AA"/>
    <w:rsid w:val="001B5685"/>
    <w:rsid w:val="001B5782"/>
    <w:rsid w:val="001B5AA8"/>
    <w:rsid w:val="001B5F59"/>
    <w:rsid w:val="001B7BCE"/>
    <w:rsid w:val="001C0156"/>
    <w:rsid w:val="001C06E3"/>
    <w:rsid w:val="001C09BF"/>
    <w:rsid w:val="001C0F00"/>
    <w:rsid w:val="001C1104"/>
    <w:rsid w:val="001C1500"/>
    <w:rsid w:val="001C285B"/>
    <w:rsid w:val="001C2DB9"/>
    <w:rsid w:val="001C3EFE"/>
    <w:rsid w:val="001C4918"/>
    <w:rsid w:val="001C6042"/>
    <w:rsid w:val="001C6A1E"/>
    <w:rsid w:val="001C6F44"/>
    <w:rsid w:val="001C709D"/>
    <w:rsid w:val="001C7B52"/>
    <w:rsid w:val="001D002F"/>
    <w:rsid w:val="001D0B4B"/>
    <w:rsid w:val="001D0CE7"/>
    <w:rsid w:val="001D1552"/>
    <w:rsid w:val="001D1684"/>
    <w:rsid w:val="001D1D41"/>
    <w:rsid w:val="001D1DB6"/>
    <w:rsid w:val="001D1E26"/>
    <w:rsid w:val="001D3975"/>
    <w:rsid w:val="001D3B0E"/>
    <w:rsid w:val="001D725E"/>
    <w:rsid w:val="001D7A1C"/>
    <w:rsid w:val="001D7BF3"/>
    <w:rsid w:val="001D7DD0"/>
    <w:rsid w:val="001E2249"/>
    <w:rsid w:val="001E406B"/>
    <w:rsid w:val="001E4831"/>
    <w:rsid w:val="001E4EFF"/>
    <w:rsid w:val="001E5D72"/>
    <w:rsid w:val="001E66A9"/>
    <w:rsid w:val="001E66DC"/>
    <w:rsid w:val="001E7E92"/>
    <w:rsid w:val="001F020A"/>
    <w:rsid w:val="001F0BDF"/>
    <w:rsid w:val="001F0F8F"/>
    <w:rsid w:val="001F2030"/>
    <w:rsid w:val="001F2DAD"/>
    <w:rsid w:val="001F385E"/>
    <w:rsid w:val="001F3EA9"/>
    <w:rsid w:val="001F4E35"/>
    <w:rsid w:val="001F513F"/>
    <w:rsid w:val="001F5B33"/>
    <w:rsid w:val="001F6764"/>
    <w:rsid w:val="00200DCE"/>
    <w:rsid w:val="0020176F"/>
    <w:rsid w:val="0020195B"/>
    <w:rsid w:val="00203B0B"/>
    <w:rsid w:val="00203BC0"/>
    <w:rsid w:val="00204E63"/>
    <w:rsid w:val="0020630F"/>
    <w:rsid w:val="002066D2"/>
    <w:rsid w:val="00206A15"/>
    <w:rsid w:val="00210584"/>
    <w:rsid w:val="00210B90"/>
    <w:rsid w:val="00211562"/>
    <w:rsid w:val="00211BB2"/>
    <w:rsid w:val="00211D77"/>
    <w:rsid w:val="00213DCF"/>
    <w:rsid w:val="0021425E"/>
    <w:rsid w:val="002145AC"/>
    <w:rsid w:val="00215767"/>
    <w:rsid w:val="00215C34"/>
    <w:rsid w:val="00215C85"/>
    <w:rsid w:val="0021630E"/>
    <w:rsid w:val="002176E8"/>
    <w:rsid w:val="0021796C"/>
    <w:rsid w:val="00220529"/>
    <w:rsid w:val="002205D1"/>
    <w:rsid w:val="00221520"/>
    <w:rsid w:val="00221C83"/>
    <w:rsid w:val="0022422F"/>
    <w:rsid w:val="00224840"/>
    <w:rsid w:val="00224F9A"/>
    <w:rsid w:val="0022513F"/>
    <w:rsid w:val="002256FC"/>
    <w:rsid w:val="00225A84"/>
    <w:rsid w:val="00225C31"/>
    <w:rsid w:val="00225F6D"/>
    <w:rsid w:val="002261C4"/>
    <w:rsid w:val="00226451"/>
    <w:rsid w:val="0022713F"/>
    <w:rsid w:val="00227532"/>
    <w:rsid w:val="00227662"/>
    <w:rsid w:val="00230E57"/>
    <w:rsid w:val="00231777"/>
    <w:rsid w:val="00232014"/>
    <w:rsid w:val="002324F3"/>
    <w:rsid w:val="0023359C"/>
    <w:rsid w:val="00236146"/>
    <w:rsid w:val="00237343"/>
    <w:rsid w:val="002375F6"/>
    <w:rsid w:val="00240699"/>
    <w:rsid w:val="0024091C"/>
    <w:rsid w:val="002417DE"/>
    <w:rsid w:val="002422F0"/>
    <w:rsid w:val="002431F2"/>
    <w:rsid w:val="00243865"/>
    <w:rsid w:val="00244582"/>
    <w:rsid w:val="00244F82"/>
    <w:rsid w:val="00245A40"/>
    <w:rsid w:val="00250531"/>
    <w:rsid w:val="002509B3"/>
    <w:rsid w:val="00252065"/>
    <w:rsid w:val="002539BD"/>
    <w:rsid w:val="00253BB3"/>
    <w:rsid w:val="00253C77"/>
    <w:rsid w:val="00255C36"/>
    <w:rsid w:val="00255DC1"/>
    <w:rsid w:val="00256FDE"/>
    <w:rsid w:val="002579EF"/>
    <w:rsid w:val="00260767"/>
    <w:rsid w:val="00261496"/>
    <w:rsid w:val="002617D4"/>
    <w:rsid w:val="00262137"/>
    <w:rsid w:val="00262186"/>
    <w:rsid w:val="00262EB5"/>
    <w:rsid w:val="002647C4"/>
    <w:rsid w:val="0026680D"/>
    <w:rsid w:val="002673E4"/>
    <w:rsid w:val="00267D88"/>
    <w:rsid w:val="0027120E"/>
    <w:rsid w:val="00271DE4"/>
    <w:rsid w:val="0027231E"/>
    <w:rsid w:val="002728A6"/>
    <w:rsid w:val="00272FD5"/>
    <w:rsid w:val="0027332E"/>
    <w:rsid w:val="00273635"/>
    <w:rsid w:val="00274D66"/>
    <w:rsid w:val="0027545E"/>
    <w:rsid w:val="00275DBB"/>
    <w:rsid w:val="0027614E"/>
    <w:rsid w:val="002767AA"/>
    <w:rsid w:val="00276A29"/>
    <w:rsid w:val="00276E1E"/>
    <w:rsid w:val="00277553"/>
    <w:rsid w:val="0027761B"/>
    <w:rsid w:val="0027774B"/>
    <w:rsid w:val="002802FD"/>
    <w:rsid w:val="0028162E"/>
    <w:rsid w:val="002829BF"/>
    <w:rsid w:val="00282C04"/>
    <w:rsid w:val="00284827"/>
    <w:rsid w:val="00285422"/>
    <w:rsid w:val="00285879"/>
    <w:rsid w:val="00285D7D"/>
    <w:rsid w:val="00286095"/>
    <w:rsid w:val="00286880"/>
    <w:rsid w:val="00287FAE"/>
    <w:rsid w:val="0029029C"/>
    <w:rsid w:val="00290F98"/>
    <w:rsid w:val="00290FF9"/>
    <w:rsid w:val="00291489"/>
    <w:rsid w:val="00294DE0"/>
    <w:rsid w:val="00295B0F"/>
    <w:rsid w:val="002A0A41"/>
    <w:rsid w:val="002A0AA0"/>
    <w:rsid w:val="002A152C"/>
    <w:rsid w:val="002A1981"/>
    <w:rsid w:val="002A31C6"/>
    <w:rsid w:val="002A32D2"/>
    <w:rsid w:val="002A3E57"/>
    <w:rsid w:val="002A5D3B"/>
    <w:rsid w:val="002A5E37"/>
    <w:rsid w:val="002A5FB5"/>
    <w:rsid w:val="002A688D"/>
    <w:rsid w:val="002A6F18"/>
    <w:rsid w:val="002A712B"/>
    <w:rsid w:val="002A7B50"/>
    <w:rsid w:val="002B0364"/>
    <w:rsid w:val="002B0F19"/>
    <w:rsid w:val="002B11E5"/>
    <w:rsid w:val="002B1EF9"/>
    <w:rsid w:val="002B2234"/>
    <w:rsid w:val="002B2753"/>
    <w:rsid w:val="002B3E41"/>
    <w:rsid w:val="002B4D16"/>
    <w:rsid w:val="002B65C2"/>
    <w:rsid w:val="002B7D5F"/>
    <w:rsid w:val="002B7DDB"/>
    <w:rsid w:val="002C0308"/>
    <w:rsid w:val="002C144B"/>
    <w:rsid w:val="002C1D95"/>
    <w:rsid w:val="002C2201"/>
    <w:rsid w:val="002C24DD"/>
    <w:rsid w:val="002C406B"/>
    <w:rsid w:val="002C5C1A"/>
    <w:rsid w:val="002C6183"/>
    <w:rsid w:val="002C6203"/>
    <w:rsid w:val="002C67F9"/>
    <w:rsid w:val="002C77C4"/>
    <w:rsid w:val="002C7FD5"/>
    <w:rsid w:val="002D0B8D"/>
    <w:rsid w:val="002D26B6"/>
    <w:rsid w:val="002D3CEF"/>
    <w:rsid w:val="002D3EB0"/>
    <w:rsid w:val="002D418C"/>
    <w:rsid w:val="002D4370"/>
    <w:rsid w:val="002D5473"/>
    <w:rsid w:val="002D6428"/>
    <w:rsid w:val="002E2F48"/>
    <w:rsid w:val="002E38B4"/>
    <w:rsid w:val="002E57CD"/>
    <w:rsid w:val="002E63E3"/>
    <w:rsid w:val="002E7190"/>
    <w:rsid w:val="002E7339"/>
    <w:rsid w:val="002E7A5A"/>
    <w:rsid w:val="002F03BD"/>
    <w:rsid w:val="002F0739"/>
    <w:rsid w:val="002F0995"/>
    <w:rsid w:val="002F11AA"/>
    <w:rsid w:val="002F19B4"/>
    <w:rsid w:val="002F1D62"/>
    <w:rsid w:val="002F277C"/>
    <w:rsid w:val="002F2B21"/>
    <w:rsid w:val="002F3B15"/>
    <w:rsid w:val="002F440D"/>
    <w:rsid w:val="002F69EC"/>
    <w:rsid w:val="002F7096"/>
    <w:rsid w:val="002F710F"/>
    <w:rsid w:val="002F7479"/>
    <w:rsid w:val="002F78AC"/>
    <w:rsid w:val="0030013D"/>
    <w:rsid w:val="00300353"/>
    <w:rsid w:val="003003D5"/>
    <w:rsid w:val="00300787"/>
    <w:rsid w:val="00300D07"/>
    <w:rsid w:val="00300E94"/>
    <w:rsid w:val="0030104E"/>
    <w:rsid w:val="00302550"/>
    <w:rsid w:val="003025A5"/>
    <w:rsid w:val="00302959"/>
    <w:rsid w:val="003031B0"/>
    <w:rsid w:val="003044F3"/>
    <w:rsid w:val="003047B7"/>
    <w:rsid w:val="003058F5"/>
    <w:rsid w:val="00305FBA"/>
    <w:rsid w:val="00311E42"/>
    <w:rsid w:val="00312790"/>
    <w:rsid w:val="00312DEB"/>
    <w:rsid w:val="00312F8F"/>
    <w:rsid w:val="00313813"/>
    <w:rsid w:val="00313E52"/>
    <w:rsid w:val="003148AB"/>
    <w:rsid w:val="00315425"/>
    <w:rsid w:val="00315CE4"/>
    <w:rsid w:val="0031729E"/>
    <w:rsid w:val="00317348"/>
    <w:rsid w:val="00321A71"/>
    <w:rsid w:val="003226F9"/>
    <w:rsid w:val="0032368A"/>
    <w:rsid w:val="00323694"/>
    <w:rsid w:val="00323978"/>
    <w:rsid w:val="00324478"/>
    <w:rsid w:val="00325D19"/>
    <w:rsid w:val="003262D3"/>
    <w:rsid w:val="0032677B"/>
    <w:rsid w:val="0033036E"/>
    <w:rsid w:val="00330F85"/>
    <w:rsid w:val="00331089"/>
    <w:rsid w:val="003311AE"/>
    <w:rsid w:val="0033299D"/>
    <w:rsid w:val="00332A09"/>
    <w:rsid w:val="00333698"/>
    <w:rsid w:val="0033473C"/>
    <w:rsid w:val="0033500E"/>
    <w:rsid w:val="00335461"/>
    <w:rsid w:val="0033577E"/>
    <w:rsid w:val="00337037"/>
    <w:rsid w:val="00337FA3"/>
    <w:rsid w:val="00340B29"/>
    <w:rsid w:val="00342721"/>
    <w:rsid w:val="00343243"/>
    <w:rsid w:val="00343F06"/>
    <w:rsid w:val="00344135"/>
    <w:rsid w:val="00345921"/>
    <w:rsid w:val="0034746E"/>
    <w:rsid w:val="00351AA6"/>
    <w:rsid w:val="00351E24"/>
    <w:rsid w:val="00353359"/>
    <w:rsid w:val="003554FC"/>
    <w:rsid w:val="0035562B"/>
    <w:rsid w:val="00356DDC"/>
    <w:rsid w:val="0035776D"/>
    <w:rsid w:val="003614E7"/>
    <w:rsid w:val="00361BA1"/>
    <w:rsid w:val="0036277A"/>
    <w:rsid w:val="00362B8C"/>
    <w:rsid w:val="00363B9D"/>
    <w:rsid w:val="00364F13"/>
    <w:rsid w:val="00365910"/>
    <w:rsid w:val="00366386"/>
    <w:rsid w:val="00366F18"/>
    <w:rsid w:val="0036794C"/>
    <w:rsid w:val="003679AE"/>
    <w:rsid w:val="00371ABD"/>
    <w:rsid w:val="0037245E"/>
    <w:rsid w:val="00372FED"/>
    <w:rsid w:val="00374652"/>
    <w:rsid w:val="00374C6F"/>
    <w:rsid w:val="0037506C"/>
    <w:rsid w:val="003757D2"/>
    <w:rsid w:val="00376273"/>
    <w:rsid w:val="00376298"/>
    <w:rsid w:val="00376F3B"/>
    <w:rsid w:val="003775B0"/>
    <w:rsid w:val="003831C3"/>
    <w:rsid w:val="00383A5E"/>
    <w:rsid w:val="0038448F"/>
    <w:rsid w:val="00384AB0"/>
    <w:rsid w:val="00385DA3"/>
    <w:rsid w:val="00385FE7"/>
    <w:rsid w:val="0038688C"/>
    <w:rsid w:val="003873FB"/>
    <w:rsid w:val="00387B94"/>
    <w:rsid w:val="00387E7D"/>
    <w:rsid w:val="003932AA"/>
    <w:rsid w:val="00393370"/>
    <w:rsid w:val="00393A4B"/>
    <w:rsid w:val="003956FC"/>
    <w:rsid w:val="003A014A"/>
    <w:rsid w:val="003A18F9"/>
    <w:rsid w:val="003A1BA5"/>
    <w:rsid w:val="003A1BAF"/>
    <w:rsid w:val="003A1CD9"/>
    <w:rsid w:val="003A2850"/>
    <w:rsid w:val="003A3060"/>
    <w:rsid w:val="003A3229"/>
    <w:rsid w:val="003A60AE"/>
    <w:rsid w:val="003A6521"/>
    <w:rsid w:val="003A6A0C"/>
    <w:rsid w:val="003A769D"/>
    <w:rsid w:val="003A7CE1"/>
    <w:rsid w:val="003B1DDC"/>
    <w:rsid w:val="003B3ECE"/>
    <w:rsid w:val="003B47D7"/>
    <w:rsid w:val="003B5267"/>
    <w:rsid w:val="003B66BD"/>
    <w:rsid w:val="003B6C36"/>
    <w:rsid w:val="003C057A"/>
    <w:rsid w:val="003C2EC2"/>
    <w:rsid w:val="003C3312"/>
    <w:rsid w:val="003C35B1"/>
    <w:rsid w:val="003C4931"/>
    <w:rsid w:val="003C4E05"/>
    <w:rsid w:val="003C52BE"/>
    <w:rsid w:val="003C589E"/>
    <w:rsid w:val="003C5F80"/>
    <w:rsid w:val="003C6231"/>
    <w:rsid w:val="003C6873"/>
    <w:rsid w:val="003C6B7C"/>
    <w:rsid w:val="003C7839"/>
    <w:rsid w:val="003D00D0"/>
    <w:rsid w:val="003D05C5"/>
    <w:rsid w:val="003D1468"/>
    <w:rsid w:val="003D18D2"/>
    <w:rsid w:val="003D2548"/>
    <w:rsid w:val="003D4417"/>
    <w:rsid w:val="003D4CF5"/>
    <w:rsid w:val="003D4FA6"/>
    <w:rsid w:val="003D5C02"/>
    <w:rsid w:val="003D5FC3"/>
    <w:rsid w:val="003D77A3"/>
    <w:rsid w:val="003E1A02"/>
    <w:rsid w:val="003E2031"/>
    <w:rsid w:val="003E23DD"/>
    <w:rsid w:val="003E29C8"/>
    <w:rsid w:val="003E4B82"/>
    <w:rsid w:val="003E5184"/>
    <w:rsid w:val="003E6500"/>
    <w:rsid w:val="003E68C9"/>
    <w:rsid w:val="003E6B01"/>
    <w:rsid w:val="003E736A"/>
    <w:rsid w:val="003F124E"/>
    <w:rsid w:val="003F1FF3"/>
    <w:rsid w:val="003F22DD"/>
    <w:rsid w:val="003F2E90"/>
    <w:rsid w:val="003F37AC"/>
    <w:rsid w:val="003F4977"/>
    <w:rsid w:val="003F5519"/>
    <w:rsid w:val="003F610A"/>
    <w:rsid w:val="003F6636"/>
    <w:rsid w:val="003F67E9"/>
    <w:rsid w:val="003F7E94"/>
    <w:rsid w:val="003F7E99"/>
    <w:rsid w:val="00400AFC"/>
    <w:rsid w:val="00400E05"/>
    <w:rsid w:val="004014A9"/>
    <w:rsid w:val="0040168E"/>
    <w:rsid w:val="004040C9"/>
    <w:rsid w:val="0040487D"/>
    <w:rsid w:val="00405F25"/>
    <w:rsid w:val="00407FCD"/>
    <w:rsid w:val="00410A14"/>
    <w:rsid w:val="00413078"/>
    <w:rsid w:val="00414539"/>
    <w:rsid w:val="004148A2"/>
    <w:rsid w:val="004148F0"/>
    <w:rsid w:val="0041668E"/>
    <w:rsid w:val="00416786"/>
    <w:rsid w:val="00416A66"/>
    <w:rsid w:val="004204F8"/>
    <w:rsid w:val="004206AC"/>
    <w:rsid w:val="00420E2B"/>
    <w:rsid w:val="0042163B"/>
    <w:rsid w:val="004216C6"/>
    <w:rsid w:val="00422CFF"/>
    <w:rsid w:val="0042360D"/>
    <w:rsid w:val="00423E62"/>
    <w:rsid w:val="004252A4"/>
    <w:rsid w:val="00425B74"/>
    <w:rsid w:val="00426AA9"/>
    <w:rsid w:val="00426D2F"/>
    <w:rsid w:val="00426DEA"/>
    <w:rsid w:val="004304A0"/>
    <w:rsid w:val="00431321"/>
    <w:rsid w:val="004314F2"/>
    <w:rsid w:val="00431B58"/>
    <w:rsid w:val="0043342F"/>
    <w:rsid w:val="00433466"/>
    <w:rsid w:val="00434984"/>
    <w:rsid w:val="00435FBD"/>
    <w:rsid w:val="004368C0"/>
    <w:rsid w:val="00436B1F"/>
    <w:rsid w:val="004405BB"/>
    <w:rsid w:val="00440613"/>
    <w:rsid w:val="00442888"/>
    <w:rsid w:val="00443762"/>
    <w:rsid w:val="00443DB8"/>
    <w:rsid w:val="00445DEC"/>
    <w:rsid w:val="00445E41"/>
    <w:rsid w:val="00445FCD"/>
    <w:rsid w:val="0044647F"/>
    <w:rsid w:val="004464A5"/>
    <w:rsid w:val="00450B48"/>
    <w:rsid w:val="004513F5"/>
    <w:rsid w:val="0045181C"/>
    <w:rsid w:val="004533E1"/>
    <w:rsid w:val="00453AB2"/>
    <w:rsid w:val="00453DFB"/>
    <w:rsid w:val="00454172"/>
    <w:rsid w:val="004541B3"/>
    <w:rsid w:val="00455723"/>
    <w:rsid w:val="004558B8"/>
    <w:rsid w:val="00455BE1"/>
    <w:rsid w:val="004566AA"/>
    <w:rsid w:val="00457AA5"/>
    <w:rsid w:val="0046178B"/>
    <w:rsid w:val="00461B69"/>
    <w:rsid w:val="004629F8"/>
    <w:rsid w:val="00462B4C"/>
    <w:rsid w:val="00462C1F"/>
    <w:rsid w:val="00462E37"/>
    <w:rsid w:val="00463533"/>
    <w:rsid w:val="004656E1"/>
    <w:rsid w:val="00466F8B"/>
    <w:rsid w:val="00467089"/>
    <w:rsid w:val="004672F0"/>
    <w:rsid w:val="0046740E"/>
    <w:rsid w:val="00470C37"/>
    <w:rsid w:val="004726A6"/>
    <w:rsid w:val="00472A3C"/>
    <w:rsid w:val="0047325D"/>
    <w:rsid w:val="004748AB"/>
    <w:rsid w:val="00474F89"/>
    <w:rsid w:val="00476EBE"/>
    <w:rsid w:val="00480D73"/>
    <w:rsid w:val="00480FC7"/>
    <w:rsid w:val="00481A93"/>
    <w:rsid w:val="00481B16"/>
    <w:rsid w:val="004821BA"/>
    <w:rsid w:val="0048339A"/>
    <w:rsid w:val="004848EE"/>
    <w:rsid w:val="00485058"/>
    <w:rsid w:val="00487B88"/>
    <w:rsid w:val="00487FE9"/>
    <w:rsid w:val="00490183"/>
    <w:rsid w:val="00490325"/>
    <w:rsid w:val="00490C1F"/>
    <w:rsid w:val="0049291A"/>
    <w:rsid w:val="00493206"/>
    <w:rsid w:val="00493A73"/>
    <w:rsid w:val="00493E24"/>
    <w:rsid w:val="00493FE8"/>
    <w:rsid w:val="00495BD3"/>
    <w:rsid w:val="00496016"/>
    <w:rsid w:val="004969CF"/>
    <w:rsid w:val="00496D21"/>
    <w:rsid w:val="004976D3"/>
    <w:rsid w:val="00497BBB"/>
    <w:rsid w:val="004A0533"/>
    <w:rsid w:val="004A0D4E"/>
    <w:rsid w:val="004A1AE9"/>
    <w:rsid w:val="004A1FF3"/>
    <w:rsid w:val="004A2813"/>
    <w:rsid w:val="004A34D9"/>
    <w:rsid w:val="004A3D0A"/>
    <w:rsid w:val="004A435F"/>
    <w:rsid w:val="004A43FB"/>
    <w:rsid w:val="004A4DA8"/>
    <w:rsid w:val="004A5DD5"/>
    <w:rsid w:val="004A6974"/>
    <w:rsid w:val="004A6DB2"/>
    <w:rsid w:val="004A774F"/>
    <w:rsid w:val="004A7974"/>
    <w:rsid w:val="004B0933"/>
    <w:rsid w:val="004B1A84"/>
    <w:rsid w:val="004B1CF8"/>
    <w:rsid w:val="004B2863"/>
    <w:rsid w:val="004B2A0E"/>
    <w:rsid w:val="004B3BDC"/>
    <w:rsid w:val="004B5169"/>
    <w:rsid w:val="004B5E5E"/>
    <w:rsid w:val="004B6E30"/>
    <w:rsid w:val="004C017E"/>
    <w:rsid w:val="004C0BB6"/>
    <w:rsid w:val="004C1041"/>
    <w:rsid w:val="004C14A2"/>
    <w:rsid w:val="004C169E"/>
    <w:rsid w:val="004C1906"/>
    <w:rsid w:val="004C2119"/>
    <w:rsid w:val="004C24D0"/>
    <w:rsid w:val="004C2B65"/>
    <w:rsid w:val="004C44EC"/>
    <w:rsid w:val="004C4A18"/>
    <w:rsid w:val="004C51F4"/>
    <w:rsid w:val="004C5BC0"/>
    <w:rsid w:val="004C75FC"/>
    <w:rsid w:val="004D0641"/>
    <w:rsid w:val="004D0A46"/>
    <w:rsid w:val="004D1638"/>
    <w:rsid w:val="004D18FD"/>
    <w:rsid w:val="004D299F"/>
    <w:rsid w:val="004D2BFC"/>
    <w:rsid w:val="004D3454"/>
    <w:rsid w:val="004D4149"/>
    <w:rsid w:val="004D47D0"/>
    <w:rsid w:val="004D67ED"/>
    <w:rsid w:val="004E1223"/>
    <w:rsid w:val="004E12E7"/>
    <w:rsid w:val="004E142C"/>
    <w:rsid w:val="004E2E8D"/>
    <w:rsid w:val="004E399C"/>
    <w:rsid w:val="004E3B4C"/>
    <w:rsid w:val="004E4146"/>
    <w:rsid w:val="004E4BF0"/>
    <w:rsid w:val="004E5A16"/>
    <w:rsid w:val="004E65E7"/>
    <w:rsid w:val="004E7EF4"/>
    <w:rsid w:val="004F0C55"/>
    <w:rsid w:val="004F2320"/>
    <w:rsid w:val="004F293C"/>
    <w:rsid w:val="004F39B0"/>
    <w:rsid w:val="004F43AE"/>
    <w:rsid w:val="004F4498"/>
    <w:rsid w:val="004F5DAB"/>
    <w:rsid w:val="004F6D6A"/>
    <w:rsid w:val="00501469"/>
    <w:rsid w:val="0050158B"/>
    <w:rsid w:val="00503328"/>
    <w:rsid w:val="005033BD"/>
    <w:rsid w:val="00504212"/>
    <w:rsid w:val="005042B0"/>
    <w:rsid w:val="00505ED6"/>
    <w:rsid w:val="00507646"/>
    <w:rsid w:val="00507A84"/>
    <w:rsid w:val="0051086A"/>
    <w:rsid w:val="00510B49"/>
    <w:rsid w:val="00511502"/>
    <w:rsid w:val="00511A54"/>
    <w:rsid w:val="00511C5B"/>
    <w:rsid w:val="0051385E"/>
    <w:rsid w:val="00513ABC"/>
    <w:rsid w:val="00515CE0"/>
    <w:rsid w:val="005174B4"/>
    <w:rsid w:val="00517966"/>
    <w:rsid w:val="00517A18"/>
    <w:rsid w:val="00517B04"/>
    <w:rsid w:val="00520347"/>
    <w:rsid w:val="00520B29"/>
    <w:rsid w:val="0052417B"/>
    <w:rsid w:val="00524F94"/>
    <w:rsid w:val="00525221"/>
    <w:rsid w:val="005253FB"/>
    <w:rsid w:val="0052587E"/>
    <w:rsid w:val="00525C61"/>
    <w:rsid w:val="00525E5B"/>
    <w:rsid w:val="00526082"/>
    <w:rsid w:val="005303AE"/>
    <w:rsid w:val="0053112E"/>
    <w:rsid w:val="0053226F"/>
    <w:rsid w:val="00532A55"/>
    <w:rsid w:val="005330C0"/>
    <w:rsid w:val="005334BF"/>
    <w:rsid w:val="00534A70"/>
    <w:rsid w:val="00534ADA"/>
    <w:rsid w:val="00535337"/>
    <w:rsid w:val="00535B9F"/>
    <w:rsid w:val="00535D36"/>
    <w:rsid w:val="00536686"/>
    <w:rsid w:val="005370ED"/>
    <w:rsid w:val="00537E43"/>
    <w:rsid w:val="00537F3D"/>
    <w:rsid w:val="00541938"/>
    <w:rsid w:val="00541976"/>
    <w:rsid w:val="005419B7"/>
    <w:rsid w:val="00541AB5"/>
    <w:rsid w:val="00541D4C"/>
    <w:rsid w:val="0054212E"/>
    <w:rsid w:val="00542E23"/>
    <w:rsid w:val="00544290"/>
    <w:rsid w:val="00544701"/>
    <w:rsid w:val="0054473C"/>
    <w:rsid w:val="00545B18"/>
    <w:rsid w:val="00545C91"/>
    <w:rsid w:val="005465A4"/>
    <w:rsid w:val="0054783B"/>
    <w:rsid w:val="00547D3C"/>
    <w:rsid w:val="00547ED5"/>
    <w:rsid w:val="00550EA3"/>
    <w:rsid w:val="0055166A"/>
    <w:rsid w:val="00551734"/>
    <w:rsid w:val="005527CB"/>
    <w:rsid w:val="005534D0"/>
    <w:rsid w:val="00553D48"/>
    <w:rsid w:val="00554415"/>
    <w:rsid w:val="005546AC"/>
    <w:rsid w:val="00556276"/>
    <w:rsid w:val="005562FE"/>
    <w:rsid w:val="00556649"/>
    <w:rsid w:val="005576D3"/>
    <w:rsid w:val="00557769"/>
    <w:rsid w:val="00560CAF"/>
    <w:rsid w:val="00561782"/>
    <w:rsid w:val="00561E83"/>
    <w:rsid w:val="005622B2"/>
    <w:rsid w:val="005623E4"/>
    <w:rsid w:val="005635DE"/>
    <w:rsid w:val="00564347"/>
    <w:rsid w:val="00564A3A"/>
    <w:rsid w:val="0056644F"/>
    <w:rsid w:val="00570166"/>
    <w:rsid w:val="005707A0"/>
    <w:rsid w:val="00570AAF"/>
    <w:rsid w:val="00570B7C"/>
    <w:rsid w:val="00570C44"/>
    <w:rsid w:val="00570F9F"/>
    <w:rsid w:val="005716B0"/>
    <w:rsid w:val="005723C9"/>
    <w:rsid w:val="005728E0"/>
    <w:rsid w:val="00572F0F"/>
    <w:rsid w:val="005735C1"/>
    <w:rsid w:val="005739E8"/>
    <w:rsid w:val="005741DB"/>
    <w:rsid w:val="005779DF"/>
    <w:rsid w:val="005801C9"/>
    <w:rsid w:val="00580301"/>
    <w:rsid w:val="00581394"/>
    <w:rsid w:val="00581536"/>
    <w:rsid w:val="00581700"/>
    <w:rsid w:val="0058237E"/>
    <w:rsid w:val="00583846"/>
    <w:rsid w:val="00583C04"/>
    <w:rsid w:val="00583E56"/>
    <w:rsid w:val="0058416D"/>
    <w:rsid w:val="00584F6A"/>
    <w:rsid w:val="00585891"/>
    <w:rsid w:val="00586953"/>
    <w:rsid w:val="00587D61"/>
    <w:rsid w:val="00593650"/>
    <w:rsid w:val="005936D3"/>
    <w:rsid w:val="0059427C"/>
    <w:rsid w:val="005947FD"/>
    <w:rsid w:val="00595965"/>
    <w:rsid w:val="00595AA6"/>
    <w:rsid w:val="0059614C"/>
    <w:rsid w:val="00596D6C"/>
    <w:rsid w:val="005970EF"/>
    <w:rsid w:val="00597B41"/>
    <w:rsid w:val="005A0174"/>
    <w:rsid w:val="005A1325"/>
    <w:rsid w:val="005A240D"/>
    <w:rsid w:val="005A2C4B"/>
    <w:rsid w:val="005A371B"/>
    <w:rsid w:val="005A42D8"/>
    <w:rsid w:val="005A4B8D"/>
    <w:rsid w:val="005A4DCE"/>
    <w:rsid w:val="005A5F06"/>
    <w:rsid w:val="005A665F"/>
    <w:rsid w:val="005A71D0"/>
    <w:rsid w:val="005A737C"/>
    <w:rsid w:val="005A759F"/>
    <w:rsid w:val="005B030C"/>
    <w:rsid w:val="005B09AE"/>
    <w:rsid w:val="005B176A"/>
    <w:rsid w:val="005B25E7"/>
    <w:rsid w:val="005B2779"/>
    <w:rsid w:val="005B2D8B"/>
    <w:rsid w:val="005B3300"/>
    <w:rsid w:val="005B38D3"/>
    <w:rsid w:val="005B43ED"/>
    <w:rsid w:val="005B5012"/>
    <w:rsid w:val="005B5F77"/>
    <w:rsid w:val="005B64BE"/>
    <w:rsid w:val="005B6DDC"/>
    <w:rsid w:val="005B6E88"/>
    <w:rsid w:val="005B7DAE"/>
    <w:rsid w:val="005C00B5"/>
    <w:rsid w:val="005C04F5"/>
    <w:rsid w:val="005C0FE1"/>
    <w:rsid w:val="005C187A"/>
    <w:rsid w:val="005C18E4"/>
    <w:rsid w:val="005C1BE3"/>
    <w:rsid w:val="005C3F49"/>
    <w:rsid w:val="005C55CC"/>
    <w:rsid w:val="005C5D85"/>
    <w:rsid w:val="005C676C"/>
    <w:rsid w:val="005C6FEA"/>
    <w:rsid w:val="005C73C6"/>
    <w:rsid w:val="005C77DA"/>
    <w:rsid w:val="005D01C6"/>
    <w:rsid w:val="005D04A7"/>
    <w:rsid w:val="005D0924"/>
    <w:rsid w:val="005D1023"/>
    <w:rsid w:val="005D2596"/>
    <w:rsid w:val="005D3B0C"/>
    <w:rsid w:val="005D4CF7"/>
    <w:rsid w:val="005D5608"/>
    <w:rsid w:val="005D622B"/>
    <w:rsid w:val="005D71E6"/>
    <w:rsid w:val="005D74DD"/>
    <w:rsid w:val="005E111E"/>
    <w:rsid w:val="005E177A"/>
    <w:rsid w:val="005E206D"/>
    <w:rsid w:val="005E2EA7"/>
    <w:rsid w:val="005E3103"/>
    <w:rsid w:val="005E3D91"/>
    <w:rsid w:val="005E4B25"/>
    <w:rsid w:val="005E5320"/>
    <w:rsid w:val="005E54E2"/>
    <w:rsid w:val="005E550C"/>
    <w:rsid w:val="005E59A2"/>
    <w:rsid w:val="005E5E8A"/>
    <w:rsid w:val="005F0388"/>
    <w:rsid w:val="005F05D8"/>
    <w:rsid w:val="005F0ED7"/>
    <w:rsid w:val="005F108F"/>
    <w:rsid w:val="005F114D"/>
    <w:rsid w:val="005F25DC"/>
    <w:rsid w:val="005F2C93"/>
    <w:rsid w:val="005F2D5D"/>
    <w:rsid w:val="005F370D"/>
    <w:rsid w:val="005F425F"/>
    <w:rsid w:val="005F4BCA"/>
    <w:rsid w:val="005F503C"/>
    <w:rsid w:val="005F530B"/>
    <w:rsid w:val="005F5674"/>
    <w:rsid w:val="005F5BFD"/>
    <w:rsid w:val="005F68D1"/>
    <w:rsid w:val="005F7951"/>
    <w:rsid w:val="00600941"/>
    <w:rsid w:val="0060133E"/>
    <w:rsid w:val="006013B7"/>
    <w:rsid w:val="00601413"/>
    <w:rsid w:val="00601B59"/>
    <w:rsid w:val="00601E3F"/>
    <w:rsid w:val="006029BC"/>
    <w:rsid w:val="00602C7B"/>
    <w:rsid w:val="0060306F"/>
    <w:rsid w:val="006034E0"/>
    <w:rsid w:val="00603BE1"/>
    <w:rsid w:val="00603E86"/>
    <w:rsid w:val="00606349"/>
    <w:rsid w:val="00606713"/>
    <w:rsid w:val="00606833"/>
    <w:rsid w:val="00607993"/>
    <w:rsid w:val="006102EF"/>
    <w:rsid w:val="00610E0D"/>
    <w:rsid w:val="00611004"/>
    <w:rsid w:val="0061161C"/>
    <w:rsid w:val="00611C74"/>
    <w:rsid w:val="0061208B"/>
    <w:rsid w:val="00612C9D"/>
    <w:rsid w:val="00613084"/>
    <w:rsid w:val="00614E14"/>
    <w:rsid w:val="00615F1D"/>
    <w:rsid w:val="006161AE"/>
    <w:rsid w:val="00616B27"/>
    <w:rsid w:val="00616DAE"/>
    <w:rsid w:val="006170D1"/>
    <w:rsid w:val="00617AD6"/>
    <w:rsid w:val="006202C7"/>
    <w:rsid w:val="0062036B"/>
    <w:rsid w:val="00620375"/>
    <w:rsid w:val="00620ABC"/>
    <w:rsid w:val="00621B90"/>
    <w:rsid w:val="00621D4C"/>
    <w:rsid w:val="0062209A"/>
    <w:rsid w:val="006224E5"/>
    <w:rsid w:val="0062298A"/>
    <w:rsid w:val="0062330B"/>
    <w:rsid w:val="006237A8"/>
    <w:rsid w:val="0062399F"/>
    <w:rsid w:val="0062449D"/>
    <w:rsid w:val="0062453A"/>
    <w:rsid w:val="00624E84"/>
    <w:rsid w:val="00625000"/>
    <w:rsid w:val="006255FF"/>
    <w:rsid w:val="0062696E"/>
    <w:rsid w:val="00630102"/>
    <w:rsid w:val="006303A9"/>
    <w:rsid w:val="0063050E"/>
    <w:rsid w:val="00631270"/>
    <w:rsid w:val="006312A9"/>
    <w:rsid w:val="00633189"/>
    <w:rsid w:val="00633A8C"/>
    <w:rsid w:val="0063412C"/>
    <w:rsid w:val="00634B5E"/>
    <w:rsid w:val="006356EF"/>
    <w:rsid w:val="0063619F"/>
    <w:rsid w:val="00636C49"/>
    <w:rsid w:val="00637AAC"/>
    <w:rsid w:val="0064041A"/>
    <w:rsid w:val="0064358D"/>
    <w:rsid w:val="006458D8"/>
    <w:rsid w:val="006471BC"/>
    <w:rsid w:val="0065030A"/>
    <w:rsid w:val="0065083A"/>
    <w:rsid w:val="00650B9D"/>
    <w:rsid w:val="00651CDE"/>
    <w:rsid w:val="00654D43"/>
    <w:rsid w:val="006564E8"/>
    <w:rsid w:val="006565A5"/>
    <w:rsid w:val="006566E6"/>
    <w:rsid w:val="006568CA"/>
    <w:rsid w:val="006575A2"/>
    <w:rsid w:val="00657FD8"/>
    <w:rsid w:val="0066078A"/>
    <w:rsid w:val="00661403"/>
    <w:rsid w:val="006617F4"/>
    <w:rsid w:val="00664174"/>
    <w:rsid w:val="00664839"/>
    <w:rsid w:val="00664E3C"/>
    <w:rsid w:val="0066638D"/>
    <w:rsid w:val="006666DB"/>
    <w:rsid w:val="00666734"/>
    <w:rsid w:val="00667EFD"/>
    <w:rsid w:val="0067192C"/>
    <w:rsid w:val="0067193C"/>
    <w:rsid w:val="00671D47"/>
    <w:rsid w:val="00672E0C"/>
    <w:rsid w:val="00673B8D"/>
    <w:rsid w:val="00675254"/>
    <w:rsid w:val="00675389"/>
    <w:rsid w:val="00675544"/>
    <w:rsid w:val="00676712"/>
    <w:rsid w:val="00676789"/>
    <w:rsid w:val="00676F8E"/>
    <w:rsid w:val="006801D6"/>
    <w:rsid w:val="0068263D"/>
    <w:rsid w:val="00682675"/>
    <w:rsid w:val="00683AFC"/>
    <w:rsid w:val="00684C86"/>
    <w:rsid w:val="00685C08"/>
    <w:rsid w:val="00685EC8"/>
    <w:rsid w:val="006866E8"/>
    <w:rsid w:val="006869A3"/>
    <w:rsid w:val="00686DB7"/>
    <w:rsid w:val="00686E38"/>
    <w:rsid w:val="00687035"/>
    <w:rsid w:val="00690FF5"/>
    <w:rsid w:val="0069110A"/>
    <w:rsid w:val="00691696"/>
    <w:rsid w:val="0069220C"/>
    <w:rsid w:val="00692C9E"/>
    <w:rsid w:val="00692CE8"/>
    <w:rsid w:val="00693EE0"/>
    <w:rsid w:val="00694FFC"/>
    <w:rsid w:val="006A040A"/>
    <w:rsid w:val="006A0BC8"/>
    <w:rsid w:val="006A0EEA"/>
    <w:rsid w:val="006A12B3"/>
    <w:rsid w:val="006A20FD"/>
    <w:rsid w:val="006A224C"/>
    <w:rsid w:val="006A39F0"/>
    <w:rsid w:val="006A45E2"/>
    <w:rsid w:val="006A4626"/>
    <w:rsid w:val="006A6402"/>
    <w:rsid w:val="006A6790"/>
    <w:rsid w:val="006A6936"/>
    <w:rsid w:val="006A6FA3"/>
    <w:rsid w:val="006A729F"/>
    <w:rsid w:val="006B010C"/>
    <w:rsid w:val="006B0EE0"/>
    <w:rsid w:val="006B1393"/>
    <w:rsid w:val="006B1C5C"/>
    <w:rsid w:val="006B1D17"/>
    <w:rsid w:val="006B31BF"/>
    <w:rsid w:val="006B6E28"/>
    <w:rsid w:val="006B7640"/>
    <w:rsid w:val="006B79AE"/>
    <w:rsid w:val="006C0FB0"/>
    <w:rsid w:val="006C1357"/>
    <w:rsid w:val="006C1B86"/>
    <w:rsid w:val="006C1C7C"/>
    <w:rsid w:val="006C2019"/>
    <w:rsid w:val="006C2E65"/>
    <w:rsid w:val="006C4491"/>
    <w:rsid w:val="006C510E"/>
    <w:rsid w:val="006C5AB6"/>
    <w:rsid w:val="006C5D91"/>
    <w:rsid w:val="006C628F"/>
    <w:rsid w:val="006C7818"/>
    <w:rsid w:val="006C7C3A"/>
    <w:rsid w:val="006C7DA0"/>
    <w:rsid w:val="006C7DF0"/>
    <w:rsid w:val="006D03F4"/>
    <w:rsid w:val="006D0D53"/>
    <w:rsid w:val="006D1309"/>
    <w:rsid w:val="006D20B6"/>
    <w:rsid w:val="006D42E6"/>
    <w:rsid w:val="006D45F8"/>
    <w:rsid w:val="006D55FB"/>
    <w:rsid w:val="006D58E9"/>
    <w:rsid w:val="006D6EC8"/>
    <w:rsid w:val="006D6FD6"/>
    <w:rsid w:val="006D7239"/>
    <w:rsid w:val="006D7309"/>
    <w:rsid w:val="006D7720"/>
    <w:rsid w:val="006D7CE3"/>
    <w:rsid w:val="006D7D28"/>
    <w:rsid w:val="006D7E3C"/>
    <w:rsid w:val="006E0085"/>
    <w:rsid w:val="006E008E"/>
    <w:rsid w:val="006E0E2B"/>
    <w:rsid w:val="006E12D3"/>
    <w:rsid w:val="006E186F"/>
    <w:rsid w:val="006E2332"/>
    <w:rsid w:val="006E23B9"/>
    <w:rsid w:val="006E282F"/>
    <w:rsid w:val="006E39F6"/>
    <w:rsid w:val="006E3C13"/>
    <w:rsid w:val="006E5087"/>
    <w:rsid w:val="006E605D"/>
    <w:rsid w:val="006E720D"/>
    <w:rsid w:val="006E72E0"/>
    <w:rsid w:val="006E7625"/>
    <w:rsid w:val="006E7893"/>
    <w:rsid w:val="006E7CF6"/>
    <w:rsid w:val="006F0064"/>
    <w:rsid w:val="006F0225"/>
    <w:rsid w:val="006F1B0D"/>
    <w:rsid w:val="006F1ECE"/>
    <w:rsid w:val="006F30F3"/>
    <w:rsid w:val="006F33CC"/>
    <w:rsid w:val="006F350E"/>
    <w:rsid w:val="006F3B57"/>
    <w:rsid w:val="006F40AE"/>
    <w:rsid w:val="006F5F4F"/>
    <w:rsid w:val="006F6538"/>
    <w:rsid w:val="006F6A8A"/>
    <w:rsid w:val="0070025D"/>
    <w:rsid w:val="00700E00"/>
    <w:rsid w:val="0070191B"/>
    <w:rsid w:val="00701ABB"/>
    <w:rsid w:val="0070292E"/>
    <w:rsid w:val="00703B5C"/>
    <w:rsid w:val="00710AB8"/>
    <w:rsid w:val="007110A1"/>
    <w:rsid w:val="007118D0"/>
    <w:rsid w:val="00712849"/>
    <w:rsid w:val="00715BA6"/>
    <w:rsid w:val="007160A1"/>
    <w:rsid w:val="0071615A"/>
    <w:rsid w:val="00716B4E"/>
    <w:rsid w:val="007176D4"/>
    <w:rsid w:val="007204D0"/>
    <w:rsid w:val="00720732"/>
    <w:rsid w:val="007207C8"/>
    <w:rsid w:val="00720894"/>
    <w:rsid w:val="007218EE"/>
    <w:rsid w:val="00721AFD"/>
    <w:rsid w:val="00721D04"/>
    <w:rsid w:val="00721D81"/>
    <w:rsid w:val="00721D82"/>
    <w:rsid w:val="00722035"/>
    <w:rsid w:val="007222B0"/>
    <w:rsid w:val="00722748"/>
    <w:rsid w:val="00722E88"/>
    <w:rsid w:val="00723282"/>
    <w:rsid w:val="00723FF6"/>
    <w:rsid w:val="00724046"/>
    <w:rsid w:val="0072501D"/>
    <w:rsid w:val="00726E49"/>
    <w:rsid w:val="007272BD"/>
    <w:rsid w:val="00727A5B"/>
    <w:rsid w:val="007300B0"/>
    <w:rsid w:val="00730724"/>
    <w:rsid w:val="00731B68"/>
    <w:rsid w:val="00731DBC"/>
    <w:rsid w:val="00733FE0"/>
    <w:rsid w:val="00734941"/>
    <w:rsid w:val="00735831"/>
    <w:rsid w:val="007359EB"/>
    <w:rsid w:val="00735DAA"/>
    <w:rsid w:val="0073693F"/>
    <w:rsid w:val="00736997"/>
    <w:rsid w:val="00737380"/>
    <w:rsid w:val="00737557"/>
    <w:rsid w:val="007404DE"/>
    <w:rsid w:val="00740A09"/>
    <w:rsid w:val="00740B45"/>
    <w:rsid w:val="00740E99"/>
    <w:rsid w:val="00741091"/>
    <w:rsid w:val="007415B5"/>
    <w:rsid w:val="0074192F"/>
    <w:rsid w:val="00741F27"/>
    <w:rsid w:val="007425F7"/>
    <w:rsid w:val="00742636"/>
    <w:rsid w:val="007436A3"/>
    <w:rsid w:val="0074408B"/>
    <w:rsid w:val="007449FF"/>
    <w:rsid w:val="00745DAC"/>
    <w:rsid w:val="00747D43"/>
    <w:rsid w:val="00747FE3"/>
    <w:rsid w:val="007509CD"/>
    <w:rsid w:val="007516CA"/>
    <w:rsid w:val="0075174E"/>
    <w:rsid w:val="00751932"/>
    <w:rsid w:val="00751E43"/>
    <w:rsid w:val="00752D6F"/>
    <w:rsid w:val="007534EE"/>
    <w:rsid w:val="00755CEC"/>
    <w:rsid w:val="00755F06"/>
    <w:rsid w:val="007569B8"/>
    <w:rsid w:val="00756BEB"/>
    <w:rsid w:val="00756EFA"/>
    <w:rsid w:val="00757969"/>
    <w:rsid w:val="00757CD6"/>
    <w:rsid w:val="00762072"/>
    <w:rsid w:val="0076269E"/>
    <w:rsid w:val="00763718"/>
    <w:rsid w:val="00764591"/>
    <w:rsid w:val="007659BF"/>
    <w:rsid w:val="00765F09"/>
    <w:rsid w:val="007665C1"/>
    <w:rsid w:val="00767FB8"/>
    <w:rsid w:val="00772532"/>
    <w:rsid w:val="007729EC"/>
    <w:rsid w:val="0077487D"/>
    <w:rsid w:val="0077567F"/>
    <w:rsid w:val="00781FEF"/>
    <w:rsid w:val="00782BC3"/>
    <w:rsid w:val="00782E03"/>
    <w:rsid w:val="00783722"/>
    <w:rsid w:val="00783AE4"/>
    <w:rsid w:val="00784082"/>
    <w:rsid w:val="00785C46"/>
    <w:rsid w:val="00787FAF"/>
    <w:rsid w:val="00790CC2"/>
    <w:rsid w:val="00790DF4"/>
    <w:rsid w:val="007921E9"/>
    <w:rsid w:val="00793C50"/>
    <w:rsid w:val="00796DFE"/>
    <w:rsid w:val="00797E0D"/>
    <w:rsid w:val="007A044A"/>
    <w:rsid w:val="007A05F9"/>
    <w:rsid w:val="007A1307"/>
    <w:rsid w:val="007A2E75"/>
    <w:rsid w:val="007A4605"/>
    <w:rsid w:val="007A4EEF"/>
    <w:rsid w:val="007A5BFA"/>
    <w:rsid w:val="007A6A54"/>
    <w:rsid w:val="007A7759"/>
    <w:rsid w:val="007B1C1B"/>
    <w:rsid w:val="007B1E77"/>
    <w:rsid w:val="007B2A2E"/>
    <w:rsid w:val="007B3004"/>
    <w:rsid w:val="007B4F9D"/>
    <w:rsid w:val="007B54F7"/>
    <w:rsid w:val="007B662D"/>
    <w:rsid w:val="007B7430"/>
    <w:rsid w:val="007B758B"/>
    <w:rsid w:val="007C0BDD"/>
    <w:rsid w:val="007C17BB"/>
    <w:rsid w:val="007C1C26"/>
    <w:rsid w:val="007C3539"/>
    <w:rsid w:val="007C52E5"/>
    <w:rsid w:val="007C5EDF"/>
    <w:rsid w:val="007C7600"/>
    <w:rsid w:val="007C7C08"/>
    <w:rsid w:val="007D0748"/>
    <w:rsid w:val="007D2110"/>
    <w:rsid w:val="007D3388"/>
    <w:rsid w:val="007D4EB0"/>
    <w:rsid w:val="007D5BA6"/>
    <w:rsid w:val="007D7B38"/>
    <w:rsid w:val="007E009B"/>
    <w:rsid w:val="007E0C41"/>
    <w:rsid w:val="007E16A9"/>
    <w:rsid w:val="007E1BC1"/>
    <w:rsid w:val="007E1C9F"/>
    <w:rsid w:val="007E1F0B"/>
    <w:rsid w:val="007E24C8"/>
    <w:rsid w:val="007E356B"/>
    <w:rsid w:val="007E3BF6"/>
    <w:rsid w:val="007E443E"/>
    <w:rsid w:val="007E4AC8"/>
    <w:rsid w:val="007E4B8D"/>
    <w:rsid w:val="007E4BCF"/>
    <w:rsid w:val="007E548F"/>
    <w:rsid w:val="007E5702"/>
    <w:rsid w:val="007E5F8E"/>
    <w:rsid w:val="007E652A"/>
    <w:rsid w:val="007E6559"/>
    <w:rsid w:val="007F0630"/>
    <w:rsid w:val="007F1318"/>
    <w:rsid w:val="007F2168"/>
    <w:rsid w:val="007F297E"/>
    <w:rsid w:val="007F31C9"/>
    <w:rsid w:val="007F4F81"/>
    <w:rsid w:val="007F558F"/>
    <w:rsid w:val="007F6661"/>
    <w:rsid w:val="007F68CF"/>
    <w:rsid w:val="007F6BF3"/>
    <w:rsid w:val="007F71C5"/>
    <w:rsid w:val="007F79D7"/>
    <w:rsid w:val="007F7D76"/>
    <w:rsid w:val="008005D9"/>
    <w:rsid w:val="0080175C"/>
    <w:rsid w:val="00802368"/>
    <w:rsid w:val="00802792"/>
    <w:rsid w:val="00803892"/>
    <w:rsid w:val="00803E36"/>
    <w:rsid w:val="00805F12"/>
    <w:rsid w:val="00807478"/>
    <w:rsid w:val="00810649"/>
    <w:rsid w:val="008136F6"/>
    <w:rsid w:val="008144AF"/>
    <w:rsid w:val="008144F4"/>
    <w:rsid w:val="008145DE"/>
    <w:rsid w:val="00815175"/>
    <w:rsid w:val="00815F29"/>
    <w:rsid w:val="0081650E"/>
    <w:rsid w:val="00817BF7"/>
    <w:rsid w:val="00820F98"/>
    <w:rsid w:val="0082256D"/>
    <w:rsid w:val="008231DC"/>
    <w:rsid w:val="008232B7"/>
    <w:rsid w:val="00823850"/>
    <w:rsid w:val="00825B8A"/>
    <w:rsid w:val="00827682"/>
    <w:rsid w:val="008305DF"/>
    <w:rsid w:val="00830909"/>
    <w:rsid w:val="00831772"/>
    <w:rsid w:val="008334B8"/>
    <w:rsid w:val="0083419A"/>
    <w:rsid w:val="00834326"/>
    <w:rsid w:val="008346A2"/>
    <w:rsid w:val="00834BA0"/>
    <w:rsid w:val="0083605F"/>
    <w:rsid w:val="0083667D"/>
    <w:rsid w:val="0083678A"/>
    <w:rsid w:val="00836F86"/>
    <w:rsid w:val="008372D7"/>
    <w:rsid w:val="0083749F"/>
    <w:rsid w:val="008374BC"/>
    <w:rsid w:val="008377CE"/>
    <w:rsid w:val="00837C28"/>
    <w:rsid w:val="008417B9"/>
    <w:rsid w:val="00841895"/>
    <w:rsid w:val="00843296"/>
    <w:rsid w:val="00843856"/>
    <w:rsid w:val="008443F8"/>
    <w:rsid w:val="008453DA"/>
    <w:rsid w:val="00845E13"/>
    <w:rsid w:val="008476BB"/>
    <w:rsid w:val="0085089E"/>
    <w:rsid w:val="00851031"/>
    <w:rsid w:val="00852176"/>
    <w:rsid w:val="008525C3"/>
    <w:rsid w:val="00852668"/>
    <w:rsid w:val="00852C6C"/>
    <w:rsid w:val="008536A1"/>
    <w:rsid w:val="00853A96"/>
    <w:rsid w:val="00853DB0"/>
    <w:rsid w:val="008544BC"/>
    <w:rsid w:val="00855851"/>
    <w:rsid w:val="00855D31"/>
    <w:rsid w:val="00855F10"/>
    <w:rsid w:val="00857A2E"/>
    <w:rsid w:val="00857BC6"/>
    <w:rsid w:val="00860EE7"/>
    <w:rsid w:val="00861A36"/>
    <w:rsid w:val="00861BD6"/>
    <w:rsid w:val="008628E0"/>
    <w:rsid w:val="00862A79"/>
    <w:rsid w:val="00862F78"/>
    <w:rsid w:val="00863132"/>
    <w:rsid w:val="00863612"/>
    <w:rsid w:val="008637E0"/>
    <w:rsid w:val="00863CC4"/>
    <w:rsid w:val="00864030"/>
    <w:rsid w:val="00865396"/>
    <w:rsid w:val="00865B6E"/>
    <w:rsid w:val="00867831"/>
    <w:rsid w:val="00867B31"/>
    <w:rsid w:val="008702C8"/>
    <w:rsid w:val="00872511"/>
    <w:rsid w:val="00872CD4"/>
    <w:rsid w:val="0087340C"/>
    <w:rsid w:val="0087385A"/>
    <w:rsid w:val="0087392A"/>
    <w:rsid w:val="00873D8D"/>
    <w:rsid w:val="008742D7"/>
    <w:rsid w:val="00874C5F"/>
    <w:rsid w:val="008768F4"/>
    <w:rsid w:val="00876903"/>
    <w:rsid w:val="00880452"/>
    <w:rsid w:val="00880F82"/>
    <w:rsid w:val="008827D3"/>
    <w:rsid w:val="0088297E"/>
    <w:rsid w:val="00883EE7"/>
    <w:rsid w:val="008843DC"/>
    <w:rsid w:val="00884B5B"/>
    <w:rsid w:val="00886445"/>
    <w:rsid w:val="00886E30"/>
    <w:rsid w:val="0088768E"/>
    <w:rsid w:val="00887B7D"/>
    <w:rsid w:val="0089008A"/>
    <w:rsid w:val="00890E6F"/>
    <w:rsid w:val="00890FC1"/>
    <w:rsid w:val="00891610"/>
    <w:rsid w:val="0089436F"/>
    <w:rsid w:val="00895462"/>
    <w:rsid w:val="00895ADC"/>
    <w:rsid w:val="00896E2D"/>
    <w:rsid w:val="008971C0"/>
    <w:rsid w:val="00897AA9"/>
    <w:rsid w:val="00897ADF"/>
    <w:rsid w:val="00897C1D"/>
    <w:rsid w:val="008A0C23"/>
    <w:rsid w:val="008A16AF"/>
    <w:rsid w:val="008A1E16"/>
    <w:rsid w:val="008A20E4"/>
    <w:rsid w:val="008A2601"/>
    <w:rsid w:val="008A261E"/>
    <w:rsid w:val="008A2926"/>
    <w:rsid w:val="008A2A28"/>
    <w:rsid w:val="008A4121"/>
    <w:rsid w:val="008A4F57"/>
    <w:rsid w:val="008A53EA"/>
    <w:rsid w:val="008A564B"/>
    <w:rsid w:val="008A6083"/>
    <w:rsid w:val="008A72AC"/>
    <w:rsid w:val="008A765E"/>
    <w:rsid w:val="008B1580"/>
    <w:rsid w:val="008B2743"/>
    <w:rsid w:val="008B4A4A"/>
    <w:rsid w:val="008B5371"/>
    <w:rsid w:val="008B5C5F"/>
    <w:rsid w:val="008B5EC6"/>
    <w:rsid w:val="008B768D"/>
    <w:rsid w:val="008C1223"/>
    <w:rsid w:val="008C1949"/>
    <w:rsid w:val="008C25A1"/>
    <w:rsid w:val="008C2D04"/>
    <w:rsid w:val="008C2E6E"/>
    <w:rsid w:val="008C4221"/>
    <w:rsid w:val="008C49F5"/>
    <w:rsid w:val="008C5856"/>
    <w:rsid w:val="008C5CEC"/>
    <w:rsid w:val="008C6112"/>
    <w:rsid w:val="008C678A"/>
    <w:rsid w:val="008C6A2E"/>
    <w:rsid w:val="008C778B"/>
    <w:rsid w:val="008C7BE3"/>
    <w:rsid w:val="008D1066"/>
    <w:rsid w:val="008D1718"/>
    <w:rsid w:val="008D1963"/>
    <w:rsid w:val="008D1E8D"/>
    <w:rsid w:val="008D20A0"/>
    <w:rsid w:val="008D33C1"/>
    <w:rsid w:val="008D362E"/>
    <w:rsid w:val="008D3BDA"/>
    <w:rsid w:val="008D3F98"/>
    <w:rsid w:val="008D45DF"/>
    <w:rsid w:val="008D4C2E"/>
    <w:rsid w:val="008D4F23"/>
    <w:rsid w:val="008D56B6"/>
    <w:rsid w:val="008D6707"/>
    <w:rsid w:val="008D6A5E"/>
    <w:rsid w:val="008D7874"/>
    <w:rsid w:val="008E05B7"/>
    <w:rsid w:val="008E0678"/>
    <w:rsid w:val="008E0A9D"/>
    <w:rsid w:val="008E0CEF"/>
    <w:rsid w:val="008E0F40"/>
    <w:rsid w:val="008E1E6F"/>
    <w:rsid w:val="008E2F59"/>
    <w:rsid w:val="008E497B"/>
    <w:rsid w:val="008E4A1C"/>
    <w:rsid w:val="008E5B8E"/>
    <w:rsid w:val="008E65FD"/>
    <w:rsid w:val="008E6DF9"/>
    <w:rsid w:val="008E7A6D"/>
    <w:rsid w:val="008F0163"/>
    <w:rsid w:val="008F0648"/>
    <w:rsid w:val="008F08D2"/>
    <w:rsid w:val="008F09F2"/>
    <w:rsid w:val="008F1261"/>
    <w:rsid w:val="008F143F"/>
    <w:rsid w:val="008F16FF"/>
    <w:rsid w:val="008F30A8"/>
    <w:rsid w:val="008F30AC"/>
    <w:rsid w:val="008F3AE8"/>
    <w:rsid w:val="008F537A"/>
    <w:rsid w:val="008F5DC7"/>
    <w:rsid w:val="008F66E2"/>
    <w:rsid w:val="008F76F0"/>
    <w:rsid w:val="008F7E15"/>
    <w:rsid w:val="009024A9"/>
    <w:rsid w:val="00903568"/>
    <w:rsid w:val="00903603"/>
    <w:rsid w:val="009039DD"/>
    <w:rsid w:val="00903B21"/>
    <w:rsid w:val="00904953"/>
    <w:rsid w:val="00905C85"/>
    <w:rsid w:val="00905FE9"/>
    <w:rsid w:val="00906890"/>
    <w:rsid w:val="00907439"/>
    <w:rsid w:val="0090799F"/>
    <w:rsid w:val="00911467"/>
    <w:rsid w:val="009123D2"/>
    <w:rsid w:val="0091271C"/>
    <w:rsid w:val="00913D11"/>
    <w:rsid w:val="00914035"/>
    <w:rsid w:val="0091429A"/>
    <w:rsid w:val="0091610E"/>
    <w:rsid w:val="00916FA2"/>
    <w:rsid w:val="00920515"/>
    <w:rsid w:val="00922E9F"/>
    <w:rsid w:val="009234A2"/>
    <w:rsid w:val="009237F1"/>
    <w:rsid w:val="0092434B"/>
    <w:rsid w:val="00925194"/>
    <w:rsid w:val="009259A0"/>
    <w:rsid w:val="009278CE"/>
    <w:rsid w:val="00927B23"/>
    <w:rsid w:val="00927C5E"/>
    <w:rsid w:val="00927DF3"/>
    <w:rsid w:val="00930DF5"/>
    <w:rsid w:val="00931F13"/>
    <w:rsid w:val="00933232"/>
    <w:rsid w:val="00933789"/>
    <w:rsid w:val="0093378A"/>
    <w:rsid w:val="00935029"/>
    <w:rsid w:val="00935F2E"/>
    <w:rsid w:val="0093673F"/>
    <w:rsid w:val="00936B8C"/>
    <w:rsid w:val="00936B9C"/>
    <w:rsid w:val="00936BBB"/>
    <w:rsid w:val="009379A4"/>
    <w:rsid w:val="009400DD"/>
    <w:rsid w:val="00940A0E"/>
    <w:rsid w:val="0094248E"/>
    <w:rsid w:val="00942DFE"/>
    <w:rsid w:val="00943C79"/>
    <w:rsid w:val="00943E47"/>
    <w:rsid w:val="00943FEF"/>
    <w:rsid w:val="009458B8"/>
    <w:rsid w:val="0094624A"/>
    <w:rsid w:val="0094746D"/>
    <w:rsid w:val="00947573"/>
    <w:rsid w:val="00947F85"/>
    <w:rsid w:val="00950EC3"/>
    <w:rsid w:val="0095181E"/>
    <w:rsid w:val="00951FE4"/>
    <w:rsid w:val="00952002"/>
    <w:rsid w:val="009525C9"/>
    <w:rsid w:val="009525EF"/>
    <w:rsid w:val="009534C1"/>
    <w:rsid w:val="00954795"/>
    <w:rsid w:val="00955C60"/>
    <w:rsid w:val="009564EF"/>
    <w:rsid w:val="00956601"/>
    <w:rsid w:val="009566CD"/>
    <w:rsid w:val="00962B86"/>
    <w:rsid w:val="00962F57"/>
    <w:rsid w:val="00963009"/>
    <w:rsid w:val="00966575"/>
    <w:rsid w:val="00967ACF"/>
    <w:rsid w:val="009705B0"/>
    <w:rsid w:val="00971382"/>
    <w:rsid w:val="00971764"/>
    <w:rsid w:val="0097218A"/>
    <w:rsid w:val="009747A8"/>
    <w:rsid w:val="00975C89"/>
    <w:rsid w:val="00977F69"/>
    <w:rsid w:val="009802C0"/>
    <w:rsid w:val="009807A8"/>
    <w:rsid w:val="009825DF"/>
    <w:rsid w:val="0098284B"/>
    <w:rsid w:val="009829A9"/>
    <w:rsid w:val="00982AFE"/>
    <w:rsid w:val="009831EB"/>
    <w:rsid w:val="00983A5A"/>
    <w:rsid w:val="00983EEA"/>
    <w:rsid w:val="0098402C"/>
    <w:rsid w:val="009865B9"/>
    <w:rsid w:val="00986D2B"/>
    <w:rsid w:val="00987466"/>
    <w:rsid w:val="00987A22"/>
    <w:rsid w:val="00991B82"/>
    <w:rsid w:val="00991D52"/>
    <w:rsid w:val="00991F11"/>
    <w:rsid w:val="0099202C"/>
    <w:rsid w:val="00992C15"/>
    <w:rsid w:val="00992C1D"/>
    <w:rsid w:val="0099338B"/>
    <w:rsid w:val="00993899"/>
    <w:rsid w:val="009943D9"/>
    <w:rsid w:val="009969EF"/>
    <w:rsid w:val="009A0B7D"/>
    <w:rsid w:val="009A2501"/>
    <w:rsid w:val="009A2F84"/>
    <w:rsid w:val="009A31B7"/>
    <w:rsid w:val="009A3DEE"/>
    <w:rsid w:val="009A3F5E"/>
    <w:rsid w:val="009A49EF"/>
    <w:rsid w:val="009A65E1"/>
    <w:rsid w:val="009A7B3D"/>
    <w:rsid w:val="009B03E7"/>
    <w:rsid w:val="009B1C81"/>
    <w:rsid w:val="009B2256"/>
    <w:rsid w:val="009B25AE"/>
    <w:rsid w:val="009B30D7"/>
    <w:rsid w:val="009B3F54"/>
    <w:rsid w:val="009B419A"/>
    <w:rsid w:val="009B4522"/>
    <w:rsid w:val="009B4535"/>
    <w:rsid w:val="009B4A1C"/>
    <w:rsid w:val="009B56F2"/>
    <w:rsid w:val="009B5A9E"/>
    <w:rsid w:val="009B61A2"/>
    <w:rsid w:val="009B62A4"/>
    <w:rsid w:val="009B64BB"/>
    <w:rsid w:val="009B672D"/>
    <w:rsid w:val="009B6CC4"/>
    <w:rsid w:val="009B7A98"/>
    <w:rsid w:val="009C2751"/>
    <w:rsid w:val="009C2C9D"/>
    <w:rsid w:val="009C2D95"/>
    <w:rsid w:val="009C43EC"/>
    <w:rsid w:val="009C44D5"/>
    <w:rsid w:val="009C4891"/>
    <w:rsid w:val="009C4FC2"/>
    <w:rsid w:val="009C5618"/>
    <w:rsid w:val="009C7122"/>
    <w:rsid w:val="009C7CC7"/>
    <w:rsid w:val="009D235A"/>
    <w:rsid w:val="009D240E"/>
    <w:rsid w:val="009D3246"/>
    <w:rsid w:val="009D4378"/>
    <w:rsid w:val="009D4B45"/>
    <w:rsid w:val="009D7292"/>
    <w:rsid w:val="009D7ADE"/>
    <w:rsid w:val="009E072A"/>
    <w:rsid w:val="009E121F"/>
    <w:rsid w:val="009E1333"/>
    <w:rsid w:val="009E17EE"/>
    <w:rsid w:val="009E2200"/>
    <w:rsid w:val="009E2D7C"/>
    <w:rsid w:val="009E5859"/>
    <w:rsid w:val="009E630B"/>
    <w:rsid w:val="009E7696"/>
    <w:rsid w:val="009E7A36"/>
    <w:rsid w:val="009F09FC"/>
    <w:rsid w:val="009F0A92"/>
    <w:rsid w:val="009F2412"/>
    <w:rsid w:val="009F30C1"/>
    <w:rsid w:val="009F384B"/>
    <w:rsid w:val="009F38DE"/>
    <w:rsid w:val="009F41D7"/>
    <w:rsid w:val="009F42AB"/>
    <w:rsid w:val="009F4732"/>
    <w:rsid w:val="009F50CC"/>
    <w:rsid w:val="009F67C1"/>
    <w:rsid w:val="009F6AC0"/>
    <w:rsid w:val="009F6E78"/>
    <w:rsid w:val="009F7217"/>
    <w:rsid w:val="00A010F1"/>
    <w:rsid w:val="00A015AF"/>
    <w:rsid w:val="00A027BA"/>
    <w:rsid w:val="00A03D0C"/>
    <w:rsid w:val="00A044EF"/>
    <w:rsid w:val="00A0622D"/>
    <w:rsid w:val="00A0632D"/>
    <w:rsid w:val="00A07BED"/>
    <w:rsid w:val="00A10425"/>
    <w:rsid w:val="00A105C8"/>
    <w:rsid w:val="00A111BF"/>
    <w:rsid w:val="00A143DD"/>
    <w:rsid w:val="00A14AAB"/>
    <w:rsid w:val="00A150B8"/>
    <w:rsid w:val="00A1656E"/>
    <w:rsid w:val="00A16909"/>
    <w:rsid w:val="00A17428"/>
    <w:rsid w:val="00A178BB"/>
    <w:rsid w:val="00A20943"/>
    <w:rsid w:val="00A20C98"/>
    <w:rsid w:val="00A21B30"/>
    <w:rsid w:val="00A22432"/>
    <w:rsid w:val="00A228DB"/>
    <w:rsid w:val="00A23EE0"/>
    <w:rsid w:val="00A240E1"/>
    <w:rsid w:val="00A26374"/>
    <w:rsid w:val="00A26E20"/>
    <w:rsid w:val="00A27231"/>
    <w:rsid w:val="00A2728E"/>
    <w:rsid w:val="00A277BA"/>
    <w:rsid w:val="00A27A22"/>
    <w:rsid w:val="00A27E90"/>
    <w:rsid w:val="00A30145"/>
    <w:rsid w:val="00A30484"/>
    <w:rsid w:val="00A307D4"/>
    <w:rsid w:val="00A30EEC"/>
    <w:rsid w:val="00A31DCC"/>
    <w:rsid w:val="00A328D4"/>
    <w:rsid w:val="00A339FF"/>
    <w:rsid w:val="00A33EA6"/>
    <w:rsid w:val="00A34221"/>
    <w:rsid w:val="00A34E7A"/>
    <w:rsid w:val="00A35E74"/>
    <w:rsid w:val="00A36389"/>
    <w:rsid w:val="00A36F0A"/>
    <w:rsid w:val="00A37276"/>
    <w:rsid w:val="00A37BA8"/>
    <w:rsid w:val="00A40F9E"/>
    <w:rsid w:val="00A416A7"/>
    <w:rsid w:val="00A42903"/>
    <w:rsid w:val="00A43D25"/>
    <w:rsid w:val="00A444AB"/>
    <w:rsid w:val="00A44885"/>
    <w:rsid w:val="00A46A6D"/>
    <w:rsid w:val="00A46DA7"/>
    <w:rsid w:val="00A501A3"/>
    <w:rsid w:val="00A51A8B"/>
    <w:rsid w:val="00A51AF2"/>
    <w:rsid w:val="00A52A3A"/>
    <w:rsid w:val="00A52BB3"/>
    <w:rsid w:val="00A52CD9"/>
    <w:rsid w:val="00A52ED5"/>
    <w:rsid w:val="00A533A0"/>
    <w:rsid w:val="00A53495"/>
    <w:rsid w:val="00A53882"/>
    <w:rsid w:val="00A54A38"/>
    <w:rsid w:val="00A57AB8"/>
    <w:rsid w:val="00A611A6"/>
    <w:rsid w:val="00A61FB5"/>
    <w:rsid w:val="00A6205F"/>
    <w:rsid w:val="00A621D9"/>
    <w:rsid w:val="00A631AF"/>
    <w:rsid w:val="00A63BA5"/>
    <w:rsid w:val="00A63E62"/>
    <w:rsid w:val="00A649F3"/>
    <w:rsid w:val="00A64BC1"/>
    <w:rsid w:val="00A64BC4"/>
    <w:rsid w:val="00A65543"/>
    <w:rsid w:val="00A660C7"/>
    <w:rsid w:val="00A660E6"/>
    <w:rsid w:val="00A66574"/>
    <w:rsid w:val="00A66EBE"/>
    <w:rsid w:val="00A67577"/>
    <w:rsid w:val="00A6757D"/>
    <w:rsid w:val="00A703CA"/>
    <w:rsid w:val="00A7128D"/>
    <w:rsid w:val="00A726B9"/>
    <w:rsid w:val="00A72EA0"/>
    <w:rsid w:val="00A73478"/>
    <w:rsid w:val="00A7350A"/>
    <w:rsid w:val="00A74E38"/>
    <w:rsid w:val="00A76FAF"/>
    <w:rsid w:val="00A77D5B"/>
    <w:rsid w:val="00A802CC"/>
    <w:rsid w:val="00A8119A"/>
    <w:rsid w:val="00A8286C"/>
    <w:rsid w:val="00A82AB6"/>
    <w:rsid w:val="00A85B8F"/>
    <w:rsid w:val="00A87D52"/>
    <w:rsid w:val="00A917E5"/>
    <w:rsid w:val="00A9430A"/>
    <w:rsid w:val="00A944C9"/>
    <w:rsid w:val="00A94792"/>
    <w:rsid w:val="00A94C2B"/>
    <w:rsid w:val="00A9543C"/>
    <w:rsid w:val="00A968E9"/>
    <w:rsid w:val="00AA01CB"/>
    <w:rsid w:val="00AA04F7"/>
    <w:rsid w:val="00AA56D9"/>
    <w:rsid w:val="00AA5B1C"/>
    <w:rsid w:val="00AA6112"/>
    <w:rsid w:val="00AA61B8"/>
    <w:rsid w:val="00AA6858"/>
    <w:rsid w:val="00AA6FDA"/>
    <w:rsid w:val="00AA7088"/>
    <w:rsid w:val="00AA753B"/>
    <w:rsid w:val="00AB07DD"/>
    <w:rsid w:val="00AB0AAE"/>
    <w:rsid w:val="00AB2291"/>
    <w:rsid w:val="00AB26E9"/>
    <w:rsid w:val="00AB3320"/>
    <w:rsid w:val="00AB39C4"/>
    <w:rsid w:val="00AB47D3"/>
    <w:rsid w:val="00AB4CB4"/>
    <w:rsid w:val="00AB5478"/>
    <w:rsid w:val="00AB7B55"/>
    <w:rsid w:val="00AC0C79"/>
    <w:rsid w:val="00AC3959"/>
    <w:rsid w:val="00AC3CE6"/>
    <w:rsid w:val="00AC3E05"/>
    <w:rsid w:val="00AC3EA0"/>
    <w:rsid w:val="00AC72E8"/>
    <w:rsid w:val="00AD1078"/>
    <w:rsid w:val="00AD12BF"/>
    <w:rsid w:val="00AD1E46"/>
    <w:rsid w:val="00AD391B"/>
    <w:rsid w:val="00AD5C67"/>
    <w:rsid w:val="00AD60A1"/>
    <w:rsid w:val="00AD7B97"/>
    <w:rsid w:val="00AD7DAA"/>
    <w:rsid w:val="00AE023F"/>
    <w:rsid w:val="00AE056D"/>
    <w:rsid w:val="00AE06CB"/>
    <w:rsid w:val="00AE0B45"/>
    <w:rsid w:val="00AE0E5D"/>
    <w:rsid w:val="00AE185D"/>
    <w:rsid w:val="00AE3748"/>
    <w:rsid w:val="00AE4656"/>
    <w:rsid w:val="00AE4959"/>
    <w:rsid w:val="00AE5F47"/>
    <w:rsid w:val="00AE6754"/>
    <w:rsid w:val="00AE6C5A"/>
    <w:rsid w:val="00AE703D"/>
    <w:rsid w:val="00AE797F"/>
    <w:rsid w:val="00AF0C67"/>
    <w:rsid w:val="00AF1565"/>
    <w:rsid w:val="00AF339D"/>
    <w:rsid w:val="00AF36E8"/>
    <w:rsid w:val="00AF3736"/>
    <w:rsid w:val="00AF37FE"/>
    <w:rsid w:val="00AF505E"/>
    <w:rsid w:val="00AF5250"/>
    <w:rsid w:val="00AF6014"/>
    <w:rsid w:val="00AF6117"/>
    <w:rsid w:val="00AF613F"/>
    <w:rsid w:val="00AF6303"/>
    <w:rsid w:val="00B00BB1"/>
    <w:rsid w:val="00B0153F"/>
    <w:rsid w:val="00B0293B"/>
    <w:rsid w:val="00B04B96"/>
    <w:rsid w:val="00B05426"/>
    <w:rsid w:val="00B064D4"/>
    <w:rsid w:val="00B0671B"/>
    <w:rsid w:val="00B0768C"/>
    <w:rsid w:val="00B12572"/>
    <w:rsid w:val="00B12F9B"/>
    <w:rsid w:val="00B145AD"/>
    <w:rsid w:val="00B1505E"/>
    <w:rsid w:val="00B15066"/>
    <w:rsid w:val="00B1720D"/>
    <w:rsid w:val="00B17F03"/>
    <w:rsid w:val="00B20A60"/>
    <w:rsid w:val="00B21382"/>
    <w:rsid w:val="00B21E44"/>
    <w:rsid w:val="00B224B1"/>
    <w:rsid w:val="00B23A66"/>
    <w:rsid w:val="00B23BF2"/>
    <w:rsid w:val="00B240C4"/>
    <w:rsid w:val="00B245E7"/>
    <w:rsid w:val="00B2463C"/>
    <w:rsid w:val="00B24742"/>
    <w:rsid w:val="00B248CF"/>
    <w:rsid w:val="00B24AE2"/>
    <w:rsid w:val="00B254A3"/>
    <w:rsid w:val="00B26647"/>
    <w:rsid w:val="00B27518"/>
    <w:rsid w:val="00B27807"/>
    <w:rsid w:val="00B27B3C"/>
    <w:rsid w:val="00B30304"/>
    <w:rsid w:val="00B3067C"/>
    <w:rsid w:val="00B308DF"/>
    <w:rsid w:val="00B30C53"/>
    <w:rsid w:val="00B3140E"/>
    <w:rsid w:val="00B315C1"/>
    <w:rsid w:val="00B33857"/>
    <w:rsid w:val="00B33890"/>
    <w:rsid w:val="00B33D77"/>
    <w:rsid w:val="00B3447F"/>
    <w:rsid w:val="00B36A39"/>
    <w:rsid w:val="00B36E61"/>
    <w:rsid w:val="00B40811"/>
    <w:rsid w:val="00B41347"/>
    <w:rsid w:val="00B4156D"/>
    <w:rsid w:val="00B418C0"/>
    <w:rsid w:val="00B42285"/>
    <w:rsid w:val="00B42991"/>
    <w:rsid w:val="00B44602"/>
    <w:rsid w:val="00B447A2"/>
    <w:rsid w:val="00B44FFC"/>
    <w:rsid w:val="00B45520"/>
    <w:rsid w:val="00B45EAF"/>
    <w:rsid w:val="00B479CD"/>
    <w:rsid w:val="00B47F8D"/>
    <w:rsid w:val="00B50943"/>
    <w:rsid w:val="00B50CB8"/>
    <w:rsid w:val="00B52B6C"/>
    <w:rsid w:val="00B53A6B"/>
    <w:rsid w:val="00B53F97"/>
    <w:rsid w:val="00B548BE"/>
    <w:rsid w:val="00B5493F"/>
    <w:rsid w:val="00B55036"/>
    <w:rsid w:val="00B5664F"/>
    <w:rsid w:val="00B5710E"/>
    <w:rsid w:val="00B576C6"/>
    <w:rsid w:val="00B5792A"/>
    <w:rsid w:val="00B634E6"/>
    <w:rsid w:val="00B64EC6"/>
    <w:rsid w:val="00B64ED2"/>
    <w:rsid w:val="00B650BC"/>
    <w:rsid w:val="00B661CC"/>
    <w:rsid w:val="00B6624B"/>
    <w:rsid w:val="00B667A2"/>
    <w:rsid w:val="00B66942"/>
    <w:rsid w:val="00B66E51"/>
    <w:rsid w:val="00B67B76"/>
    <w:rsid w:val="00B67C0D"/>
    <w:rsid w:val="00B70039"/>
    <w:rsid w:val="00B70953"/>
    <w:rsid w:val="00B7167D"/>
    <w:rsid w:val="00B7167E"/>
    <w:rsid w:val="00B71844"/>
    <w:rsid w:val="00B71A34"/>
    <w:rsid w:val="00B71C50"/>
    <w:rsid w:val="00B71EDE"/>
    <w:rsid w:val="00B72958"/>
    <w:rsid w:val="00B76004"/>
    <w:rsid w:val="00B76072"/>
    <w:rsid w:val="00B76FBA"/>
    <w:rsid w:val="00B77A6D"/>
    <w:rsid w:val="00B77B4C"/>
    <w:rsid w:val="00B801A0"/>
    <w:rsid w:val="00B814FF"/>
    <w:rsid w:val="00B84224"/>
    <w:rsid w:val="00B84F73"/>
    <w:rsid w:val="00B85CEE"/>
    <w:rsid w:val="00B8621B"/>
    <w:rsid w:val="00B866B8"/>
    <w:rsid w:val="00B90B37"/>
    <w:rsid w:val="00B918C1"/>
    <w:rsid w:val="00B91AF3"/>
    <w:rsid w:val="00B92585"/>
    <w:rsid w:val="00B92705"/>
    <w:rsid w:val="00B92BDD"/>
    <w:rsid w:val="00B93FFC"/>
    <w:rsid w:val="00B947B4"/>
    <w:rsid w:val="00B95970"/>
    <w:rsid w:val="00B95F0A"/>
    <w:rsid w:val="00B97E53"/>
    <w:rsid w:val="00B97E6B"/>
    <w:rsid w:val="00BA0704"/>
    <w:rsid w:val="00BA25BB"/>
    <w:rsid w:val="00BA25EE"/>
    <w:rsid w:val="00BA316C"/>
    <w:rsid w:val="00BA348A"/>
    <w:rsid w:val="00BA392F"/>
    <w:rsid w:val="00BA4443"/>
    <w:rsid w:val="00BA69F8"/>
    <w:rsid w:val="00BA7B41"/>
    <w:rsid w:val="00BB0FC3"/>
    <w:rsid w:val="00BB21EC"/>
    <w:rsid w:val="00BB24D0"/>
    <w:rsid w:val="00BB2A6E"/>
    <w:rsid w:val="00BB2DF4"/>
    <w:rsid w:val="00BB3AED"/>
    <w:rsid w:val="00BB3EA1"/>
    <w:rsid w:val="00BB46B7"/>
    <w:rsid w:val="00BB5A8A"/>
    <w:rsid w:val="00BC029F"/>
    <w:rsid w:val="00BC2C2E"/>
    <w:rsid w:val="00BC52D5"/>
    <w:rsid w:val="00BC554A"/>
    <w:rsid w:val="00BC7084"/>
    <w:rsid w:val="00BC731F"/>
    <w:rsid w:val="00BC7520"/>
    <w:rsid w:val="00BD0655"/>
    <w:rsid w:val="00BD1134"/>
    <w:rsid w:val="00BD1AEC"/>
    <w:rsid w:val="00BD2338"/>
    <w:rsid w:val="00BD3A0A"/>
    <w:rsid w:val="00BD3BF9"/>
    <w:rsid w:val="00BD3C68"/>
    <w:rsid w:val="00BD3CA3"/>
    <w:rsid w:val="00BD414D"/>
    <w:rsid w:val="00BD4B16"/>
    <w:rsid w:val="00BD4C12"/>
    <w:rsid w:val="00BD4D59"/>
    <w:rsid w:val="00BD6253"/>
    <w:rsid w:val="00BD7CE9"/>
    <w:rsid w:val="00BE07D8"/>
    <w:rsid w:val="00BE0DD3"/>
    <w:rsid w:val="00BE12A4"/>
    <w:rsid w:val="00BE1AE8"/>
    <w:rsid w:val="00BE209A"/>
    <w:rsid w:val="00BE402D"/>
    <w:rsid w:val="00BE48F9"/>
    <w:rsid w:val="00BE495C"/>
    <w:rsid w:val="00BE5314"/>
    <w:rsid w:val="00BE743E"/>
    <w:rsid w:val="00BF0791"/>
    <w:rsid w:val="00BF0CFC"/>
    <w:rsid w:val="00BF1070"/>
    <w:rsid w:val="00BF1716"/>
    <w:rsid w:val="00BF1AC1"/>
    <w:rsid w:val="00BF1D22"/>
    <w:rsid w:val="00BF2494"/>
    <w:rsid w:val="00BF2D13"/>
    <w:rsid w:val="00BF341C"/>
    <w:rsid w:val="00BF3AE3"/>
    <w:rsid w:val="00BF4F70"/>
    <w:rsid w:val="00BF51E2"/>
    <w:rsid w:val="00BF579E"/>
    <w:rsid w:val="00BF6789"/>
    <w:rsid w:val="00BF7A25"/>
    <w:rsid w:val="00BF7EFF"/>
    <w:rsid w:val="00C00469"/>
    <w:rsid w:val="00C00A0B"/>
    <w:rsid w:val="00C0107C"/>
    <w:rsid w:val="00C01966"/>
    <w:rsid w:val="00C01A4D"/>
    <w:rsid w:val="00C01B4E"/>
    <w:rsid w:val="00C0261B"/>
    <w:rsid w:val="00C02AD0"/>
    <w:rsid w:val="00C033EC"/>
    <w:rsid w:val="00C03DED"/>
    <w:rsid w:val="00C04233"/>
    <w:rsid w:val="00C04F94"/>
    <w:rsid w:val="00C05093"/>
    <w:rsid w:val="00C05217"/>
    <w:rsid w:val="00C05E0F"/>
    <w:rsid w:val="00C07456"/>
    <w:rsid w:val="00C0768C"/>
    <w:rsid w:val="00C10C64"/>
    <w:rsid w:val="00C119EB"/>
    <w:rsid w:val="00C12889"/>
    <w:rsid w:val="00C1382C"/>
    <w:rsid w:val="00C140A2"/>
    <w:rsid w:val="00C151C4"/>
    <w:rsid w:val="00C155B3"/>
    <w:rsid w:val="00C15A21"/>
    <w:rsid w:val="00C15D10"/>
    <w:rsid w:val="00C1615C"/>
    <w:rsid w:val="00C16415"/>
    <w:rsid w:val="00C203D3"/>
    <w:rsid w:val="00C21296"/>
    <w:rsid w:val="00C21300"/>
    <w:rsid w:val="00C215F3"/>
    <w:rsid w:val="00C21898"/>
    <w:rsid w:val="00C22317"/>
    <w:rsid w:val="00C22E68"/>
    <w:rsid w:val="00C22FC8"/>
    <w:rsid w:val="00C2303F"/>
    <w:rsid w:val="00C26EF4"/>
    <w:rsid w:val="00C27435"/>
    <w:rsid w:val="00C30042"/>
    <w:rsid w:val="00C3057F"/>
    <w:rsid w:val="00C30D72"/>
    <w:rsid w:val="00C31F05"/>
    <w:rsid w:val="00C322F3"/>
    <w:rsid w:val="00C326AE"/>
    <w:rsid w:val="00C32A50"/>
    <w:rsid w:val="00C334AD"/>
    <w:rsid w:val="00C344DC"/>
    <w:rsid w:val="00C356E3"/>
    <w:rsid w:val="00C35BD4"/>
    <w:rsid w:val="00C371FC"/>
    <w:rsid w:val="00C372BD"/>
    <w:rsid w:val="00C37C1B"/>
    <w:rsid w:val="00C402CE"/>
    <w:rsid w:val="00C40A15"/>
    <w:rsid w:val="00C41864"/>
    <w:rsid w:val="00C42913"/>
    <w:rsid w:val="00C43088"/>
    <w:rsid w:val="00C43913"/>
    <w:rsid w:val="00C44006"/>
    <w:rsid w:val="00C44407"/>
    <w:rsid w:val="00C44CE1"/>
    <w:rsid w:val="00C45055"/>
    <w:rsid w:val="00C46077"/>
    <w:rsid w:val="00C46B68"/>
    <w:rsid w:val="00C4735B"/>
    <w:rsid w:val="00C47C6B"/>
    <w:rsid w:val="00C50083"/>
    <w:rsid w:val="00C50D3F"/>
    <w:rsid w:val="00C51E80"/>
    <w:rsid w:val="00C526FD"/>
    <w:rsid w:val="00C61923"/>
    <w:rsid w:val="00C6502B"/>
    <w:rsid w:val="00C653FC"/>
    <w:rsid w:val="00C70B26"/>
    <w:rsid w:val="00C71688"/>
    <w:rsid w:val="00C71A8F"/>
    <w:rsid w:val="00C73885"/>
    <w:rsid w:val="00C73AA8"/>
    <w:rsid w:val="00C73E5E"/>
    <w:rsid w:val="00C75354"/>
    <w:rsid w:val="00C755AB"/>
    <w:rsid w:val="00C76885"/>
    <w:rsid w:val="00C76897"/>
    <w:rsid w:val="00C76E29"/>
    <w:rsid w:val="00C806F4"/>
    <w:rsid w:val="00C812B9"/>
    <w:rsid w:val="00C81990"/>
    <w:rsid w:val="00C828CD"/>
    <w:rsid w:val="00C82EC2"/>
    <w:rsid w:val="00C83CF4"/>
    <w:rsid w:val="00C857B3"/>
    <w:rsid w:val="00C86D39"/>
    <w:rsid w:val="00C87144"/>
    <w:rsid w:val="00C906C2"/>
    <w:rsid w:val="00C90A45"/>
    <w:rsid w:val="00C91802"/>
    <w:rsid w:val="00C91828"/>
    <w:rsid w:val="00C924F1"/>
    <w:rsid w:val="00C928D7"/>
    <w:rsid w:val="00C93376"/>
    <w:rsid w:val="00C93508"/>
    <w:rsid w:val="00C94932"/>
    <w:rsid w:val="00C95528"/>
    <w:rsid w:val="00C95E50"/>
    <w:rsid w:val="00C95FEA"/>
    <w:rsid w:val="00C97C39"/>
    <w:rsid w:val="00CA0BC8"/>
    <w:rsid w:val="00CA1F49"/>
    <w:rsid w:val="00CA34A2"/>
    <w:rsid w:val="00CA455A"/>
    <w:rsid w:val="00CA4F4F"/>
    <w:rsid w:val="00CA50A8"/>
    <w:rsid w:val="00CA527D"/>
    <w:rsid w:val="00CA5D8E"/>
    <w:rsid w:val="00CA6021"/>
    <w:rsid w:val="00CA6201"/>
    <w:rsid w:val="00CA75CD"/>
    <w:rsid w:val="00CB08C4"/>
    <w:rsid w:val="00CB2734"/>
    <w:rsid w:val="00CB5B5B"/>
    <w:rsid w:val="00CB63DC"/>
    <w:rsid w:val="00CB7D41"/>
    <w:rsid w:val="00CB7E71"/>
    <w:rsid w:val="00CC03DD"/>
    <w:rsid w:val="00CC093F"/>
    <w:rsid w:val="00CC0F9B"/>
    <w:rsid w:val="00CC10EF"/>
    <w:rsid w:val="00CC17FA"/>
    <w:rsid w:val="00CC258E"/>
    <w:rsid w:val="00CC4933"/>
    <w:rsid w:val="00CC554C"/>
    <w:rsid w:val="00CC5917"/>
    <w:rsid w:val="00CC699C"/>
    <w:rsid w:val="00CC6CE5"/>
    <w:rsid w:val="00CC7253"/>
    <w:rsid w:val="00CC73D3"/>
    <w:rsid w:val="00CD0CBE"/>
    <w:rsid w:val="00CD1D66"/>
    <w:rsid w:val="00CD2B60"/>
    <w:rsid w:val="00CD31CD"/>
    <w:rsid w:val="00CD3DB3"/>
    <w:rsid w:val="00CD4412"/>
    <w:rsid w:val="00CD73B0"/>
    <w:rsid w:val="00CE009D"/>
    <w:rsid w:val="00CE20E3"/>
    <w:rsid w:val="00CE3135"/>
    <w:rsid w:val="00CE32DF"/>
    <w:rsid w:val="00CE377B"/>
    <w:rsid w:val="00CE4AF4"/>
    <w:rsid w:val="00CE53B4"/>
    <w:rsid w:val="00CE53F9"/>
    <w:rsid w:val="00CE603E"/>
    <w:rsid w:val="00CE78AD"/>
    <w:rsid w:val="00CE7D92"/>
    <w:rsid w:val="00CF0426"/>
    <w:rsid w:val="00CF0D21"/>
    <w:rsid w:val="00CF1A76"/>
    <w:rsid w:val="00CF24AF"/>
    <w:rsid w:val="00CF2CA5"/>
    <w:rsid w:val="00CF2FC5"/>
    <w:rsid w:val="00CF48AE"/>
    <w:rsid w:val="00CF6401"/>
    <w:rsid w:val="00CF6C15"/>
    <w:rsid w:val="00CF7382"/>
    <w:rsid w:val="00CF7789"/>
    <w:rsid w:val="00D006B2"/>
    <w:rsid w:val="00D01467"/>
    <w:rsid w:val="00D02567"/>
    <w:rsid w:val="00D033F2"/>
    <w:rsid w:val="00D0346B"/>
    <w:rsid w:val="00D034A5"/>
    <w:rsid w:val="00D03EFD"/>
    <w:rsid w:val="00D048F2"/>
    <w:rsid w:val="00D058F1"/>
    <w:rsid w:val="00D05AC8"/>
    <w:rsid w:val="00D06290"/>
    <w:rsid w:val="00D1346F"/>
    <w:rsid w:val="00D13CA4"/>
    <w:rsid w:val="00D14B73"/>
    <w:rsid w:val="00D14F75"/>
    <w:rsid w:val="00D16F0D"/>
    <w:rsid w:val="00D17062"/>
    <w:rsid w:val="00D17C04"/>
    <w:rsid w:val="00D17C93"/>
    <w:rsid w:val="00D2038D"/>
    <w:rsid w:val="00D21246"/>
    <w:rsid w:val="00D21918"/>
    <w:rsid w:val="00D21D7D"/>
    <w:rsid w:val="00D22517"/>
    <w:rsid w:val="00D2340A"/>
    <w:rsid w:val="00D245E6"/>
    <w:rsid w:val="00D24E9D"/>
    <w:rsid w:val="00D25472"/>
    <w:rsid w:val="00D25E69"/>
    <w:rsid w:val="00D314F5"/>
    <w:rsid w:val="00D32DB4"/>
    <w:rsid w:val="00D36EBD"/>
    <w:rsid w:val="00D4088E"/>
    <w:rsid w:val="00D40DAC"/>
    <w:rsid w:val="00D41983"/>
    <w:rsid w:val="00D42367"/>
    <w:rsid w:val="00D4272C"/>
    <w:rsid w:val="00D4312C"/>
    <w:rsid w:val="00D432E9"/>
    <w:rsid w:val="00D43848"/>
    <w:rsid w:val="00D45509"/>
    <w:rsid w:val="00D4576F"/>
    <w:rsid w:val="00D45DB7"/>
    <w:rsid w:val="00D46DE8"/>
    <w:rsid w:val="00D47047"/>
    <w:rsid w:val="00D47E5C"/>
    <w:rsid w:val="00D501B0"/>
    <w:rsid w:val="00D50B83"/>
    <w:rsid w:val="00D52570"/>
    <w:rsid w:val="00D53507"/>
    <w:rsid w:val="00D53C09"/>
    <w:rsid w:val="00D54026"/>
    <w:rsid w:val="00D548B6"/>
    <w:rsid w:val="00D55438"/>
    <w:rsid w:val="00D556A3"/>
    <w:rsid w:val="00D572E1"/>
    <w:rsid w:val="00D5738B"/>
    <w:rsid w:val="00D573CE"/>
    <w:rsid w:val="00D60DB9"/>
    <w:rsid w:val="00D61634"/>
    <w:rsid w:val="00D621B3"/>
    <w:rsid w:val="00D625E0"/>
    <w:rsid w:val="00D63712"/>
    <w:rsid w:val="00D65D33"/>
    <w:rsid w:val="00D66B35"/>
    <w:rsid w:val="00D71AC2"/>
    <w:rsid w:val="00D726CE"/>
    <w:rsid w:val="00D72B52"/>
    <w:rsid w:val="00D7386D"/>
    <w:rsid w:val="00D74A16"/>
    <w:rsid w:val="00D75A4E"/>
    <w:rsid w:val="00D76D9A"/>
    <w:rsid w:val="00D772C8"/>
    <w:rsid w:val="00D77704"/>
    <w:rsid w:val="00D77AD8"/>
    <w:rsid w:val="00D80823"/>
    <w:rsid w:val="00D80B4A"/>
    <w:rsid w:val="00D80F13"/>
    <w:rsid w:val="00D80F51"/>
    <w:rsid w:val="00D82308"/>
    <w:rsid w:val="00D82710"/>
    <w:rsid w:val="00D8399B"/>
    <w:rsid w:val="00D84049"/>
    <w:rsid w:val="00D844B9"/>
    <w:rsid w:val="00D84A53"/>
    <w:rsid w:val="00D84D7B"/>
    <w:rsid w:val="00D928C0"/>
    <w:rsid w:val="00D9292E"/>
    <w:rsid w:val="00D92EB8"/>
    <w:rsid w:val="00D930D7"/>
    <w:rsid w:val="00D93A20"/>
    <w:rsid w:val="00D96DF7"/>
    <w:rsid w:val="00D9712C"/>
    <w:rsid w:val="00DA06D0"/>
    <w:rsid w:val="00DA1313"/>
    <w:rsid w:val="00DA1830"/>
    <w:rsid w:val="00DA1F0F"/>
    <w:rsid w:val="00DA2067"/>
    <w:rsid w:val="00DA2105"/>
    <w:rsid w:val="00DA2A47"/>
    <w:rsid w:val="00DA3641"/>
    <w:rsid w:val="00DA3C0E"/>
    <w:rsid w:val="00DA46B6"/>
    <w:rsid w:val="00DA47E8"/>
    <w:rsid w:val="00DA4CE1"/>
    <w:rsid w:val="00DA4E0A"/>
    <w:rsid w:val="00DA4E12"/>
    <w:rsid w:val="00DA52F7"/>
    <w:rsid w:val="00DA5C46"/>
    <w:rsid w:val="00DA72CC"/>
    <w:rsid w:val="00DB0811"/>
    <w:rsid w:val="00DB1295"/>
    <w:rsid w:val="00DB1C3B"/>
    <w:rsid w:val="00DB1F4D"/>
    <w:rsid w:val="00DB2358"/>
    <w:rsid w:val="00DB444D"/>
    <w:rsid w:val="00DB5244"/>
    <w:rsid w:val="00DB5805"/>
    <w:rsid w:val="00DB5BAB"/>
    <w:rsid w:val="00DB64B0"/>
    <w:rsid w:val="00DB7B38"/>
    <w:rsid w:val="00DC1599"/>
    <w:rsid w:val="00DC30F9"/>
    <w:rsid w:val="00DC3CCF"/>
    <w:rsid w:val="00DC4F02"/>
    <w:rsid w:val="00DC5BC5"/>
    <w:rsid w:val="00DC606C"/>
    <w:rsid w:val="00DC6DCD"/>
    <w:rsid w:val="00DC74ED"/>
    <w:rsid w:val="00DD09D0"/>
    <w:rsid w:val="00DD0A6D"/>
    <w:rsid w:val="00DD3382"/>
    <w:rsid w:val="00DD3A7C"/>
    <w:rsid w:val="00DD3FD5"/>
    <w:rsid w:val="00DD531E"/>
    <w:rsid w:val="00DD57CF"/>
    <w:rsid w:val="00DD5A72"/>
    <w:rsid w:val="00DE119E"/>
    <w:rsid w:val="00DE15B4"/>
    <w:rsid w:val="00DE1D26"/>
    <w:rsid w:val="00DE3B30"/>
    <w:rsid w:val="00DE4122"/>
    <w:rsid w:val="00DE57F8"/>
    <w:rsid w:val="00DE58C5"/>
    <w:rsid w:val="00DE68BB"/>
    <w:rsid w:val="00DF1FE9"/>
    <w:rsid w:val="00DF257B"/>
    <w:rsid w:val="00DF29C8"/>
    <w:rsid w:val="00DF34E5"/>
    <w:rsid w:val="00DF3976"/>
    <w:rsid w:val="00DF44D7"/>
    <w:rsid w:val="00DF531A"/>
    <w:rsid w:val="00DF5901"/>
    <w:rsid w:val="00DF5CF9"/>
    <w:rsid w:val="00DF607F"/>
    <w:rsid w:val="00DF636F"/>
    <w:rsid w:val="00DF75EE"/>
    <w:rsid w:val="00DF7747"/>
    <w:rsid w:val="00DF7F3B"/>
    <w:rsid w:val="00E0041D"/>
    <w:rsid w:val="00E00455"/>
    <w:rsid w:val="00E00729"/>
    <w:rsid w:val="00E0112D"/>
    <w:rsid w:val="00E01841"/>
    <w:rsid w:val="00E03B6C"/>
    <w:rsid w:val="00E03EF0"/>
    <w:rsid w:val="00E0454E"/>
    <w:rsid w:val="00E04DA2"/>
    <w:rsid w:val="00E055E9"/>
    <w:rsid w:val="00E0659B"/>
    <w:rsid w:val="00E10E99"/>
    <w:rsid w:val="00E1105A"/>
    <w:rsid w:val="00E11534"/>
    <w:rsid w:val="00E13166"/>
    <w:rsid w:val="00E13962"/>
    <w:rsid w:val="00E13EDE"/>
    <w:rsid w:val="00E143B1"/>
    <w:rsid w:val="00E14FA2"/>
    <w:rsid w:val="00E150E6"/>
    <w:rsid w:val="00E151FB"/>
    <w:rsid w:val="00E153D4"/>
    <w:rsid w:val="00E16A5A"/>
    <w:rsid w:val="00E17077"/>
    <w:rsid w:val="00E20089"/>
    <w:rsid w:val="00E20620"/>
    <w:rsid w:val="00E20A4B"/>
    <w:rsid w:val="00E2255C"/>
    <w:rsid w:val="00E22708"/>
    <w:rsid w:val="00E22CE8"/>
    <w:rsid w:val="00E23A52"/>
    <w:rsid w:val="00E252C0"/>
    <w:rsid w:val="00E25ABA"/>
    <w:rsid w:val="00E26ADA"/>
    <w:rsid w:val="00E27713"/>
    <w:rsid w:val="00E27D9B"/>
    <w:rsid w:val="00E27EB0"/>
    <w:rsid w:val="00E3021E"/>
    <w:rsid w:val="00E3293B"/>
    <w:rsid w:val="00E331A5"/>
    <w:rsid w:val="00E3351D"/>
    <w:rsid w:val="00E34424"/>
    <w:rsid w:val="00E35D97"/>
    <w:rsid w:val="00E36A9F"/>
    <w:rsid w:val="00E36F4B"/>
    <w:rsid w:val="00E370CE"/>
    <w:rsid w:val="00E375D5"/>
    <w:rsid w:val="00E37CDF"/>
    <w:rsid w:val="00E40579"/>
    <w:rsid w:val="00E40740"/>
    <w:rsid w:val="00E4102D"/>
    <w:rsid w:val="00E418C0"/>
    <w:rsid w:val="00E41B0A"/>
    <w:rsid w:val="00E41BC3"/>
    <w:rsid w:val="00E42ECF"/>
    <w:rsid w:val="00E43345"/>
    <w:rsid w:val="00E43920"/>
    <w:rsid w:val="00E43BEA"/>
    <w:rsid w:val="00E44010"/>
    <w:rsid w:val="00E4454A"/>
    <w:rsid w:val="00E449B7"/>
    <w:rsid w:val="00E457B5"/>
    <w:rsid w:val="00E4764A"/>
    <w:rsid w:val="00E47D3F"/>
    <w:rsid w:val="00E500B8"/>
    <w:rsid w:val="00E52088"/>
    <w:rsid w:val="00E547DA"/>
    <w:rsid w:val="00E562AE"/>
    <w:rsid w:val="00E56768"/>
    <w:rsid w:val="00E56812"/>
    <w:rsid w:val="00E570D8"/>
    <w:rsid w:val="00E5738B"/>
    <w:rsid w:val="00E6009D"/>
    <w:rsid w:val="00E601E0"/>
    <w:rsid w:val="00E6038D"/>
    <w:rsid w:val="00E6453C"/>
    <w:rsid w:val="00E6610A"/>
    <w:rsid w:val="00E6684A"/>
    <w:rsid w:val="00E66B83"/>
    <w:rsid w:val="00E67722"/>
    <w:rsid w:val="00E67862"/>
    <w:rsid w:val="00E67B29"/>
    <w:rsid w:val="00E7030E"/>
    <w:rsid w:val="00E72176"/>
    <w:rsid w:val="00E72C66"/>
    <w:rsid w:val="00E73812"/>
    <w:rsid w:val="00E7583B"/>
    <w:rsid w:val="00E758BB"/>
    <w:rsid w:val="00E759EB"/>
    <w:rsid w:val="00E7675B"/>
    <w:rsid w:val="00E76D18"/>
    <w:rsid w:val="00E771DF"/>
    <w:rsid w:val="00E77D6E"/>
    <w:rsid w:val="00E80085"/>
    <w:rsid w:val="00E82178"/>
    <w:rsid w:val="00E82397"/>
    <w:rsid w:val="00E827F9"/>
    <w:rsid w:val="00E82B9C"/>
    <w:rsid w:val="00E82BEB"/>
    <w:rsid w:val="00E83053"/>
    <w:rsid w:val="00E83DD2"/>
    <w:rsid w:val="00E8529D"/>
    <w:rsid w:val="00E85D59"/>
    <w:rsid w:val="00E86255"/>
    <w:rsid w:val="00E87C03"/>
    <w:rsid w:val="00E90783"/>
    <w:rsid w:val="00E90DC4"/>
    <w:rsid w:val="00E90E40"/>
    <w:rsid w:val="00E9106B"/>
    <w:rsid w:val="00E91D35"/>
    <w:rsid w:val="00E92A14"/>
    <w:rsid w:val="00E93217"/>
    <w:rsid w:val="00E93F5B"/>
    <w:rsid w:val="00E94E1A"/>
    <w:rsid w:val="00E95ECE"/>
    <w:rsid w:val="00E96F27"/>
    <w:rsid w:val="00E97878"/>
    <w:rsid w:val="00EA0221"/>
    <w:rsid w:val="00EA0251"/>
    <w:rsid w:val="00EA4997"/>
    <w:rsid w:val="00EA4C3C"/>
    <w:rsid w:val="00EA5602"/>
    <w:rsid w:val="00EA575B"/>
    <w:rsid w:val="00EA7A28"/>
    <w:rsid w:val="00EB0981"/>
    <w:rsid w:val="00EB0C10"/>
    <w:rsid w:val="00EB142D"/>
    <w:rsid w:val="00EB276B"/>
    <w:rsid w:val="00EB46F6"/>
    <w:rsid w:val="00EB5337"/>
    <w:rsid w:val="00EB5AD5"/>
    <w:rsid w:val="00EB5CF3"/>
    <w:rsid w:val="00EB6414"/>
    <w:rsid w:val="00EB6881"/>
    <w:rsid w:val="00EB6BBA"/>
    <w:rsid w:val="00EB7ADD"/>
    <w:rsid w:val="00EB7FED"/>
    <w:rsid w:val="00EC030E"/>
    <w:rsid w:val="00EC187A"/>
    <w:rsid w:val="00EC250E"/>
    <w:rsid w:val="00EC2B4F"/>
    <w:rsid w:val="00EC4B00"/>
    <w:rsid w:val="00EC6317"/>
    <w:rsid w:val="00EC6D71"/>
    <w:rsid w:val="00EC7E3C"/>
    <w:rsid w:val="00ED0400"/>
    <w:rsid w:val="00ED0EB4"/>
    <w:rsid w:val="00ED163B"/>
    <w:rsid w:val="00ED2091"/>
    <w:rsid w:val="00ED2272"/>
    <w:rsid w:val="00ED2558"/>
    <w:rsid w:val="00ED26E9"/>
    <w:rsid w:val="00ED36C0"/>
    <w:rsid w:val="00ED375B"/>
    <w:rsid w:val="00ED41ED"/>
    <w:rsid w:val="00ED52BE"/>
    <w:rsid w:val="00ED55E1"/>
    <w:rsid w:val="00ED5F4B"/>
    <w:rsid w:val="00ED6E86"/>
    <w:rsid w:val="00ED7DC2"/>
    <w:rsid w:val="00EE0E95"/>
    <w:rsid w:val="00EE0EE4"/>
    <w:rsid w:val="00EE201A"/>
    <w:rsid w:val="00EE3026"/>
    <w:rsid w:val="00EE3DF9"/>
    <w:rsid w:val="00EE4391"/>
    <w:rsid w:val="00EE46F8"/>
    <w:rsid w:val="00EE4DD7"/>
    <w:rsid w:val="00EE4E50"/>
    <w:rsid w:val="00EE58A9"/>
    <w:rsid w:val="00EE6F44"/>
    <w:rsid w:val="00EF00B4"/>
    <w:rsid w:val="00EF0E76"/>
    <w:rsid w:val="00EF1973"/>
    <w:rsid w:val="00EF2691"/>
    <w:rsid w:val="00EF2C13"/>
    <w:rsid w:val="00EF3234"/>
    <w:rsid w:val="00EF3CF6"/>
    <w:rsid w:val="00EF4193"/>
    <w:rsid w:val="00EF453F"/>
    <w:rsid w:val="00EF5204"/>
    <w:rsid w:val="00EF7063"/>
    <w:rsid w:val="00EF7F4F"/>
    <w:rsid w:val="00F00139"/>
    <w:rsid w:val="00F002A8"/>
    <w:rsid w:val="00F00ED5"/>
    <w:rsid w:val="00F01070"/>
    <w:rsid w:val="00F0270E"/>
    <w:rsid w:val="00F0305B"/>
    <w:rsid w:val="00F03606"/>
    <w:rsid w:val="00F03726"/>
    <w:rsid w:val="00F03EBF"/>
    <w:rsid w:val="00F04089"/>
    <w:rsid w:val="00F04335"/>
    <w:rsid w:val="00F047E6"/>
    <w:rsid w:val="00F04EF6"/>
    <w:rsid w:val="00F05772"/>
    <w:rsid w:val="00F05E0A"/>
    <w:rsid w:val="00F06488"/>
    <w:rsid w:val="00F07881"/>
    <w:rsid w:val="00F13616"/>
    <w:rsid w:val="00F14077"/>
    <w:rsid w:val="00F145A8"/>
    <w:rsid w:val="00F14790"/>
    <w:rsid w:val="00F14BA1"/>
    <w:rsid w:val="00F16D2E"/>
    <w:rsid w:val="00F17E69"/>
    <w:rsid w:val="00F20360"/>
    <w:rsid w:val="00F20674"/>
    <w:rsid w:val="00F20C14"/>
    <w:rsid w:val="00F20F4B"/>
    <w:rsid w:val="00F23ACD"/>
    <w:rsid w:val="00F24132"/>
    <w:rsid w:val="00F251FB"/>
    <w:rsid w:val="00F253A7"/>
    <w:rsid w:val="00F264D9"/>
    <w:rsid w:val="00F26B95"/>
    <w:rsid w:val="00F26C24"/>
    <w:rsid w:val="00F2793A"/>
    <w:rsid w:val="00F27CD8"/>
    <w:rsid w:val="00F308BF"/>
    <w:rsid w:val="00F3094B"/>
    <w:rsid w:val="00F30CB5"/>
    <w:rsid w:val="00F31576"/>
    <w:rsid w:val="00F31AED"/>
    <w:rsid w:val="00F322A0"/>
    <w:rsid w:val="00F3235D"/>
    <w:rsid w:val="00F33563"/>
    <w:rsid w:val="00F3360F"/>
    <w:rsid w:val="00F37F15"/>
    <w:rsid w:val="00F40018"/>
    <w:rsid w:val="00F40055"/>
    <w:rsid w:val="00F41538"/>
    <w:rsid w:val="00F4174B"/>
    <w:rsid w:val="00F42545"/>
    <w:rsid w:val="00F429F4"/>
    <w:rsid w:val="00F43717"/>
    <w:rsid w:val="00F447F3"/>
    <w:rsid w:val="00F44C98"/>
    <w:rsid w:val="00F4571E"/>
    <w:rsid w:val="00F45E6E"/>
    <w:rsid w:val="00F46464"/>
    <w:rsid w:val="00F46BB5"/>
    <w:rsid w:val="00F475A6"/>
    <w:rsid w:val="00F50653"/>
    <w:rsid w:val="00F506B0"/>
    <w:rsid w:val="00F5095A"/>
    <w:rsid w:val="00F50BBD"/>
    <w:rsid w:val="00F51154"/>
    <w:rsid w:val="00F5148C"/>
    <w:rsid w:val="00F519C0"/>
    <w:rsid w:val="00F52EEC"/>
    <w:rsid w:val="00F5350A"/>
    <w:rsid w:val="00F53752"/>
    <w:rsid w:val="00F5414B"/>
    <w:rsid w:val="00F54AC9"/>
    <w:rsid w:val="00F56BBC"/>
    <w:rsid w:val="00F57DD2"/>
    <w:rsid w:val="00F60F55"/>
    <w:rsid w:val="00F61968"/>
    <w:rsid w:val="00F61CE8"/>
    <w:rsid w:val="00F62877"/>
    <w:rsid w:val="00F62BBE"/>
    <w:rsid w:val="00F648FC"/>
    <w:rsid w:val="00F6537E"/>
    <w:rsid w:val="00F665BD"/>
    <w:rsid w:val="00F668CE"/>
    <w:rsid w:val="00F66B2E"/>
    <w:rsid w:val="00F66F00"/>
    <w:rsid w:val="00F67F2C"/>
    <w:rsid w:val="00F71067"/>
    <w:rsid w:val="00F71679"/>
    <w:rsid w:val="00F71CFD"/>
    <w:rsid w:val="00F73E76"/>
    <w:rsid w:val="00F74276"/>
    <w:rsid w:val="00F74436"/>
    <w:rsid w:val="00F745A4"/>
    <w:rsid w:val="00F7513F"/>
    <w:rsid w:val="00F75DDB"/>
    <w:rsid w:val="00F7639E"/>
    <w:rsid w:val="00F80340"/>
    <w:rsid w:val="00F822E2"/>
    <w:rsid w:val="00F8470D"/>
    <w:rsid w:val="00F84806"/>
    <w:rsid w:val="00F85AB2"/>
    <w:rsid w:val="00F85DE2"/>
    <w:rsid w:val="00F872EE"/>
    <w:rsid w:val="00F873C8"/>
    <w:rsid w:val="00F87B39"/>
    <w:rsid w:val="00F90A45"/>
    <w:rsid w:val="00F91335"/>
    <w:rsid w:val="00F9335B"/>
    <w:rsid w:val="00F935DB"/>
    <w:rsid w:val="00F936C0"/>
    <w:rsid w:val="00F947E5"/>
    <w:rsid w:val="00F95039"/>
    <w:rsid w:val="00F95860"/>
    <w:rsid w:val="00FA099C"/>
    <w:rsid w:val="00FA0EB3"/>
    <w:rsid w:val="00FA15BA"/>
    <w:rsid w:val="00FA1821"/>
    <w:rsid w:val="00FA2006"/>
    <w:rsid w:val="00FA37B5"/>
    <w:rsid w:val="00FA3B16"/>
    <w:rsid w:val="00FA422A"/>
    <w:rsid w:val="00FA49FF"/>
    <w:rsid w:val="00FA50B5"/>
    <w:rsid w:val="00FA5248"/>
    <w:rsid w:val="00FA5A4B"/>
    <w:rsid w:val="00FA6870"/>
    <w:rsid w:val="00FA69B4"/>
    <w:rsid w:val="00FA6DBB"/>
    <w:rsid w:val="00FA7F66"/>
    <w:rsid w:val="00FB2C5C"/>
    <w:rsid w:val="00FB2E98"/>
    <w:rsid w:val="00FB3456"/>
    <w:rsid w:val="00FB386C"/>
    <w:rsid w:val="00FB46C6"/>
    <w:rsid w:val="00FB552E"/>
    <w:rsid w:val="00FB5BC6"/>
    <w:rsid w:val="00FB5C02"/>
    <w:rsid w:val="00FB65E5"/>
    <w:rsid w:val="00FB6A1C"/>
    <w:rsid w:val="00FB6D27"/>
    <w:rsid w:val="00FC011F"/>
    <w:rsid w:val="00FC0B2C"/>
    <w:rsid w:val="00FC0D4B"/>
    <w:rsid w:val="00FC112D"/>
    <w:rsid w:val="00FC1E90"/>
    <w:rsid w:val="00FC5061"/>
    <w:rsid w:val="00FC790F"/>
    <w:rsid w:val="00FD0116"/>
    <w:rsid w:val="00FD034A"/>
    <w:rsid w:val="00FD0C15"/>
    <w:rsid w:val="00FD13AD"/>
    <w:rsid w:val="00FD1E38"/>
    <w:rsid w:val="00FD1F90"/>
    <w:rsid w:val="00FD202C"/>
    <w:rsid w:val="00FD2159"/>
    <w:rsid w:val="00FD2739"/>
    <w:rsid w:val="00FD27AE"/>
    <w:rsid w:val="00FD3995"/>
    <w:rsid w:val="00FD42DD"/>
    <w:rsid w:val="00FD5403"/>
    <w:rsid w:val="00FD5815"/>
    <w:rsid w:val="00FD6266"/>
    <w:rsid w:val="00FE04BA"/>
    <w:rsid w:val="00FE1F2C"/>
    <w:rsid w:val="00FE2F15"/>
    <w:rsid w:val="00FE31E4"/>
    <w:rsid w:val="00FE3832"/>
    <w:rsid w:val="00FE38BE"/>
    <w:rsid w:val="00FE4B8D"/>
    <w:rsid w:val="00FE500C"/>
    <w:rsid w:val="00FE51F6"/>
    <w:rsid w:val="00FE5286"/>
    <w:rsid w:val="00FE6563"/>
    <w:rsid w:val="00FE68C3"/>
    <w:rsid w:val="00FE6DD5"/>
    <w:rsid w:val="00FE707F"/>
    <w:rsid w:val="00FE7D31"/>
    <w:rsid w:val="00FE7D96"/>
    <w:rsid w:val="00FF0BA6"/>
    <w:rsid w:val="00FF0CF6"/>
    <w:rsid w:val="00FF1074"/>
    <w:rsid w:val="00FF127F"/>
    <w:rsid w:val="00FF1D86"/>
    <w:rsid w:val="00FF2565"/>
    <w:rsid w:val="00FF275C"/>
    <w:rsid w:val="00FF2FED"/>
    <w:rsid w:val="00FF3870"/>
    <w:rsid w:val="00FF3D18"/>
    <w:rsid w:val="00FF41CA"/>
    <w:rsid w:val="00FF527F"/>
    <w:rsid w:val="00FF6C60"/>
    <w:rsid w:val="00FF78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E7528-7AC4-48A3-A134-B324200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80"/>
    <w:pPr>
      <w:jc w:val="both"/>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785C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9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unhideWhenUsed/>
    <w:rsid w:val="008B1580"/>
    <w:rPr>
      <w:rFonts w:cs="Times New Roman"/>
      <w:sz w:val="20"/>
      <w:szCs w:val="20"/>
    </w:rPr>
  </w:style>
  <w:style w:type="character" w:customStyle="1" w:styleId="FootnoteTextChar">
    <w:name w:val="Footnote Text Char"/>
    <w:link w:val="FootnoteText"/>
    <w:uiPriority w:val="99"/>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unhideWhenUsed/>
    <w:rsid w:val="00200DCE"/>
    <w:rPr>
      <w:sz w:val="20"/>
      <w:szCs w:val="20"/>
    </w:rPr>
  </w:style>
  <w:style w:type="character" w:customStyle="1" w:styleId="CommentTextChar">
    <w:name w:val="Comment Text Char"/>
    <w:link w:val="CommentText"/>
    <w:uiPriority w:val="99"/>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 w:type="character" w:customStyle="1" w:styleId="Heading3Char">
    <w:name w:val="Heading 3 Char"/>
    <w:basedOn w:val="DefaultParagraphFont"/>
    <w:link w:val="Heading3"/>
    <w:uiPriority w:val="9"/>
    <w:semiHidden/>
    <w:rsid w:val="008E497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85C4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256E1"/>
    <w:rPr>
      <w:rFonts w:ascii="Arial" w:eastAsia="Times New Roman" w:hAnsi="Arial" w:cs="Arial"/>
      <w:sz w:val="24"/>
      <w:szCs w:val="24"/>
    </w:rPr>
  </w:style>
  <w:style w:type="paragraph" w:customStyle="1" w:styleId="JUGMENTNUMBERED">
    <w:name w:val="JUGMENT NUMBERED"/>
    <w:basedOn w:val="Normal"/>
    <w:uiPriority w:val="99"/>
    <w:rsid w:val="00DB64B0"/>
    <w:pPr>
      <w:numPr>
        <w:numId w:val="1"/>
      </w:numPr>
      <w:spacing w:line="480" w:lineRule="auto"/>
    </w:pPr>
    <w:rPr>
      <w:rFonts w:ascii="Times New Roman" w:hAnsi="Times New Roman" w:cs="Times New Roman"/>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867">
      <w:bodyDiv w:val="1"/>
      <w:marLeft w:val="0"/>
      <w:marRight w:val="0"/>
      <w:marTop w:val="0"/>
      <w:marBottom w:val="0"/>
      <w:divBdr>
        <w:top w:val="none" w:sz="0" w:space="0" w:color="auto"/>
        <w:left w:val="none" w:sz="0" w:space="0" w:color="auto"/>
        <w:bottom w:val="none" w:sz="0" w:space="0" w:color="auto"/>
        <w:right w:val="none" w:sz="0" w:space="0" w:color="auto"/>
      </w:divBdr>
    </w:div>
    <w:div w:id="227499686">
      <w:bodyDiv w:val="1"/>
      <w:marLeft w:val="0"/>
      <w:marRight w:val="0"/>
      <w:marTop w:val="0"/>
      <w:marBottom w:val="0"/>
      <w:divBdr>
        <w:top w:val="none" w:sz="0" w:space="0" w:color="auto"/>
        <w:left w:val="none" w:sz="0" w:space="0" w:color="auto"/>
        <w:bottom w:val="none" w:sz="0" w:space="0" w:color="auto"/>
        <w:right w:val="none" w:sz="0" w:space="0" w:color="auto"/>
      </w:divBdr>
    </w:div>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339236641">
      <w:bodyDiv w:val="1"/>
      <w:marLeft w:val="0"/>
      <w:marRight w:val="0"/>
      <w:marTop w:val="0"/>
      <w:marBottom w:val="0"/>
      <w:divBdr>
        <w:top w:val="none" w:sz="0" w:space="0" w:color="auto"/>
        <w:left w:val="none" w:sz="0" w:space="0" w:color="auto"/>
        <w:bottom w:val="none" w:sz="0" w:space="0" w:color="auto"/>
        <w:right w:val="none" w:sz="0" w:space="0" w:color="auto"/>
      </w:divBdr>
    </w:div>
    <w:div w:id="441727455">
      <w:bodyDiv w:val="1"/>
      <w:marLeft w:val="0"/>
      <w:marRight w:val="0"/>
      <w:marTop w:val="0"/>
      <w:marBottom w:val="0"/>
      <w:divBdr>
        <w:top w:val="none" w:sz="0" w:space="0" w:color="auto"/>
        <w:left w:val="none" w:sz="0" w:space="0" w:color="auto"/>
        <w:bottom w:val="none" w:sz="0" w:space="0" w:color="auto"/>
        <w:right w:val="none" w:sz="0" w:space="0" w:color="auto"/>
      </w:divBdr>
    </w:div>
    <w:div w:id="482048756">
      <w:bodyDiv w:val="1"/>
      <w:marLeft w:val="0"/>
      <w:marRight w:val="0"/>
      <w:marTop w:val="0"/>
      <w:marBottom w:val="0"/>
      <w:divBdr>
        <w:top w:val="none" w:sz="0" w:space="0" w:color="auto"/>
        <w:left w:val="none" w:sz="0" w:space="0" w:color="auto"/>
        <w:bottom w:val="none" w:sz="0" w:space="0" w:color="auto"/>
        <w:right w:val="none" w:sz="0" w:space="0" w:color="auto"/>
      </w:divBdr>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556478163">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971904749">
      <w:bodyDiv w:val="1"/>
      <w:marLeft w:val="0"/>
      <w:marRight w:val="0"/>
      <w:marTop w:val="0"/>
      <w:marBottom w:val="0"/>
      <w:divBdr>
        <w:top w:val="none" w:sz="0" w:space="0" w:color="auto"/>
        <w:left w:val="none" w:sz="0" w:space="0" w:color="auto"/>
        <w:bottom w:val="none" w:sz="0" w:space="0" w:color="auto"/>
        <w:right w:val="none" w:sz="0" w:space="0" w:color="auto"/>
      </w:divBdr>
    </w:div>
    <w:div w:id="1021009315">
      <w:bodyDiv w:val="1"/>
      <w:marLeft w:val="0"/>
      <w:marRight w:val="0"/>
      <w:marTop w:val="0"/>
      <w:marBottom w:val="0"/>
      <w:divBdr>
        <w:top w:val="none" w:sz="0" w:space="0" w:color="auto"/>
        <w:left w:val="none" w:sz="0" w:space="0" w:color="auto"/>
        <w:bottom w:val="none" w:sz="0" w:space="0" w:color="auto"/>
        <w:right w:val="none" w:sz="0" w:space="0" w:color="auto"/>
      </w:divBdr>
      <w:divsChild>
        <w:div w:id="1524324310">
          <w:marLeft w:val="0"/>
          <w:marRight w:val="0"/>
          <w:marTop w:val="0"/>
          <w:marBottom w:val="0"/>
          <w:divBdr>
            <w:top w:val="none" w:sz="0" w:space="0" w:color="auto"/>
            <w:left w:val="none" w:sz="0" w:space="0" w:color="auto"/>
            <w:bottom w:val="none" w:sz="0" w:space="0" w:color="auto"/>
            <w:right w:val="none" w:sz="0" w:space="0" w:color="auto"/>
          </w:divBdr>
        </w:div>
        <w:div w:id="1552494428">
          <w:marLeft w:val="0"/>
          <w:marRight w:val="150"/>
          <w:marTop w:val="0"/>
          <w:marBottom w:val="0"/>
          <w:divBdr>
            <w:top w:val="none" w:sz="0" w:space="0" w:color="auto"/>
            <w:left w:val="none" w:sz="0" w:space="0" w:color="auto"/>
            <w:bottom w:val="none" w:sz="0" w:space="0" w:color="auto"/>
            <w:right w:val="none" w:sz="0" w:space="0" w:color="auto"/>
          </w:divBdr>
        </w:div>
        <w:div w:id="1836261543">
          <w:marLeft w:val="0"/>
          <w:marRight w:val="0"/>
          <w:marTop w:val="0"/>
          <w:marBottom w:val="0"/>
          <w:divBdr>
            <w:top w:val="none" w:sz="0" w:space="0" w:color="auto"/>
            <w:left w:val="none" w:sz="0" w:space="0" w:color="auto"/>
            <w:bottom w:val="none" w:sz="0" w:space="0" w:color="auto"/>
            <w:right w:val="none" w:sz="0" w:space="0" w:color="auto"/>
          </w:divBdr>
        </w:div>
        <w:div w:id="906450393">
          <w:marLeft w:val="0"/>
          <w:marRight w:val="150"/>
          <w:marTop w:val="0"/>
          <w:marBottom w:val="0"/>
          <w:divBdr>
            <w:top w:val="none" w:sz="0" w:space="0" w:color="auto"/>
            <w:left w:val="none" w:sz="0" w:space="0" w:color="auto"/>
            <w:bottom w:val="none" w:sz="0" w:space="0" w:color="auto"/>
            <w:right w:val="none" w:sz="0" w:space="0" w:color="auto"/>
          </w:divBdr>
        </w:div>
        <w:div w:id="2024242310">
          <w:marLeft w:val="0"/>
          <w:marRight w:val="0"/>
          <w:marTop w:val="0"/>
          <w:marBottom w:val="0"/>
          <w:divBdr>
            <w:top w:val="none" w:sz="0" w:space="0" w:color="auto"/>
            <w:left w:val="none" w:sz="0" w:space="0" w:color="auto"/>
            <w:bottom w:val="none" w:sz="0" w:space="0" w:color="auto"/>
            <w:right w:val="none" w:sz="0" w:space="0" w:color="auto"/>
          </w:divBdr>
        </w:div>
      </w:divsChild>
    </w:div>
    <w:div w:id="1093283791">
      <w:bodyDiv w:val="1"/>
      <w:marLeft w:val="0"/>
      <w:marRight w:val="0"/>
      <w:marTop w:val="0"/>
      <w:marBottom w:val="0"/>
      <w:divBdr>
        <w:top w:val="none" w:sz="0" w:space="0" w:color="auto"/>
        <w:left w:val="none" w:sz="0" w:space="0" w:color="auto"/>
        <w:bottom w:val="none" w:sz="0" w:space="0" w:color="auto"/>
        <w:right w:val="none" w:sz="0" w:space="0" w:color="auto"/>
      </w:divBdr>
    </w:div>
    <w:div w:id="1101532141">
      <w:bodyDiv w:val="1"/>
      <w:marLeft w:val="0"/>
      <w:marRight w:val="0"/>
      <w:marTop w:val="0"/>
      <w:marBottom w:val="0"/>
      <w:divBdr>
        <w:top w:val="none" w:sz="0" w:space="0" w:color="auto"/>
        <w:left w:val="none" w:sz="0" w:space="0" w:color="auto"/>
        <w:bottom w:val="none" w:sz="0" w:space="0" w:color="auto"/>
        <w:right w:val="none" w:sz="0" w:space="0" w:color="auto"/>
      </w:divBdr>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1539929717">
      <w:bodyDiv w:val="1"/>
      <w:marLeft w:val="0"/>
      <w:marRight w:val="0"/>
      <w:marTop w:val="0"/>
      <w:marBottom w:val="0"/>
      <w:divBdr>
        <w:top w:val="none" w:sz="0" w:space="0" w:color="auto"/>
        <w:left w:val="none" w:sz="0" w:space="0" w:color="auto"/>
        <w:bottom w:val="none" w:sz="0" w:space="0" w:color="auto"/>
        <w:right w:val="none" w:sz="0" w:space="0" w:color="auto"/>
      </w:divBdr>
    </w:div>
    <w:div w:id="1576550720">
      <w:bodyDiv w:val="1"/>
      <w:marLeft w:val="0"/>
      <w:marRight w:val="0"/>
      <w:marTop w:val="0"/>
      <w:marBottom w:val="0"/>
      <w:divBdr>
        <w:top w:val="none" w:sz="0" w:space="0" w:color="auto"/>
        <w:left w:val="none" w:sz="0" w:space="0" w:color="auto"/>
        <w:bottom w:val="none" w:sz="0" w:space="0" w:color="auto"/>
        <w:right w:val="none" w:sz="0" w:space="0" w:color="auto"/>
      </w:divBdr>
    </w:div>
    <w:div w:id="1622609127">
      <w:bodyDiv w:val="1"/>
      <w:marLeft w:val="0"/>
      <w:marRight w:val="0"/>
      <w:marTop w:val="0"/>
      <w:marBottom w:val="0"/>
      <w:divBdr>
        <w:top w:val="none" w:sz="0" w:space="0" w:color="auto"/>
        <w:left w:val="none" w:sz="0" w:space="0" w:color="auto"/>
        <w:bottom w:val="none" w:sz="0" w:space="0" w:color="auto"/>
        <w:right w:val="none" w:sz="0" w:space="0" w:color="auto"/>
      </w:divBdr>
    </w:div>
    <w:div w:id="1709256639">
      <w:bodyDiv w:val="1"/>
      <w:marLeft w:val="0"/>
      <w:marRight w:val="0"/>
      <w:marTop w:val="0"/>
      <w:marBottom w:val="0"/>
      <w:divBdr>
        <w:top w:val="none" w:sz="0" w:space="0" w:color="auto"/>
        <w:left w:val="none" w:sz="0" w:space="0" w:color="auto"/>
        <w:bottom w:val="none" w:sz="0" w:space="0" w:color="auto"/>
        <w:right w:val="none" w:sz="0" w:space="0" w:color="auto"/>
      </w:divBdr>
    </w:div>
    <w:div w:id="1890535617">
      <w:bodyDiv w:val="1"/>
      <w:marLeft w:val="0"/>
      <w:marRight w:val="0"/>
      <w:marTop w:val="0"/>
      <w:marBottom w:val="0"/>
      <w:divBdr>
        <w:top w:val="none" w:sz="0" w:space="0" w:color="auto"/>
        <w:left w:val="none" w:sz="0" w:space="0" w:color="auto"/>
        <w:bottom w:val="none" w:sz="0" w:space="0" w:color="auto"/>
        <w:right w:val="none" w:sz="0" w:space="0" w:color="auto"/>
      </w:divBdr>
    </w:div>
    <w:div w:id="1956715819">
      <w:bodyDiv w:val="1"/>
      <w:marLeft w:val="0"/>
      <w:marRight w:val="0"/>
      <w:marTop w:val="0"/>
      <w:marBottom w:val="0"/>
      <w:divBdr>
        <w:top w:val="none" w:sz="0" w:space="0" w:color="auto"/>
        <w:left w:val="none" w:sz="0" w:space="0" w:color="auto"/>
        <w:bottom w:val="none" w:sz="0" w:space="0" w:color="auto"/>
        <w:right w:val="none" w:sz="0" w:space="0" w:color="auto"/>
      </w:divBdr>
    </w:div>
    <w:div w:id="1964193147">
      <w:bodyDiv w:val="1"/>
      <w:marLeft w:val="0"/>
      <w:marRight w:val="0"/>
      <w:marTop w:val="0"/>
      <w:marBottom w:val="0"/>
      <w:divBdr>
        <w:top w:val="none" w:sz="0" w:space="0" w:color="auto"/>
        <w:left w:val="none" w:sz="0" w:space="0" w:color="auto"/>
        <w:bottom w:val="none" w:sz="0" w:space="0" w:color="auto"/>
        <w:right w:val="none" w:sz="0" w:space="0" w:color="auto"/>
      </w:divBdr>
    </w:div>
    <w:div w:id="1989356211">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C8BC-E06A-4607-87F8-2E8C668A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Mbha HM - Judge</dc:creator>
  <cp:keywords/>
  <dc:description/>
  <cp:lastModifiedBy>Ayanda Mdletshe</cp:lastModifiedBy>
  <cp:revision>2</cp:revision>
  <cp:lastPrinted>2022-03-01T10:43:00Z</cp:lastPrinted>
  <dcterms:created xsi:type="dcterms:W3CDTF">2022-03-18T08:28:00Z</dcterms:created>
  <dcterms:modified xsi:type="dcterms:W3CDTF">2022-03-18T08:28:00Z</dcterms:modified>
</cp:coreProperties>
</file>