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Arial" w:hAnsi="Arial" w:cs="Arial" w:eastAsiaTheme="minorEastAsia"/>
          <w:b/>
          <w:bCs/>
          <w:sz w:val="24"/>
          <w:szCs w:val="24"/>
          <w:lang w:val="en-US"/>
        </w:rPr>
      </w:pPr>
      <w:bookmarkStart w:id="0" w:name="_GoBack"/>
      <w:bookmarkEnd w:id="0"/>
      <w:r>
        <w:rPr>
          <w:rFonts w:ascii="Arial" w:hAnsi="Arial" w:eastAsia="MS Mincho" w:cs="Arial"/>
          <w:sz w:val="24"/>
          <w:szCs w:val="24"/>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76200</wp:posOffset>
            </wp:positionV>
            <wp:extent cx="741680" cy="925195"/>
            <wp:effectExtent l="0" t="0" r="1905" b="825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atarm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1600" cy="925200"/>
                    </a:xfrm>
                    <a:prstGeom prst="rect">
                      <a:avLst/>
                    </a:prstGeom>
                    <a:noFill/>
                  </pic:spPr>
                </pic:pic>
              </a:graphicData>
            </a:graphic>
          </wp:anchor>
        </w:drawing>
      </w:r>
    </w:p>
    <w:p>
      <w:pPr>
        <w:spacing w:after="0" w:line="360" w:lineRule="auto"/>
        <w:contextualSpacing/>
        <w:jc w:val="center"/>
        <w:rPr>
          <w:rFonts w:ascii="Arial" w:hAnsi="Arial" w:cs="Arial" w:eastAsiaTheme="minorEastAsia"/>
          <w:b/>
          <w:bCs/>
          <w:sz w:val="24"/>
          <w:szCs w:val="24"/>
          <w:lang w:val="en-US"/>
        </w:rPr>
      </w:pPr>
      <w:r>
        <w:rPr>
          <w:rFonts w:ascii="Arial" w:hAnsi="Arial" w:cs="Arial" w:eastAsiaTheme="minorEastAsia"/>
          <w:b/>
          <w:bCs/>
          <w:sz w:val="24"/>
          <w:szCs w:val="24"/>
          <w:lang w:val="en-US"/>
        </w:rPr>
        <w:t>THE SUPREME COURT OF APPEAL OF SOUTH AFRICA</w:t>
      </w:r>
    </w:p>
    <w:p>
      <w:pPr>
        <w:spacing w:after="0" w:line="360" w:lineRule="auto"/>
        <w:contextualSpacing/>
        <w:jc w:val="center"/>
        <w:outlineLvl w:val="0"/>
        <w:rPr>
          <w:rFonts w:ascii="Arial" w:hAnsi="Arial" w:cs="Arial" w:eastAsiaTheme="minorEastAsia"/>
          <w:b/>
          <w:sz w:val="24"/>
          <w:szCs w:val="24"/>
          <w:lang w:val="en-US"/>
        </w:rPr>
      </w:pPr>
      <w:r>
        <w:rPr>
          <w:rFonts w:ascii="Arial" w:hAnsi="Arial" w:cs="Arial" w:eastAsiaTheme="minorEastAsia"/>
          <w:b/>
          <w:sz w:val="24"/>
          <w:szCs w:val="24"/>
          <w:lang w:val="en-US"/>
        </w:rPr>
        <w:t>JUDGMENT</w:t>
      </w:r>
    </w:p>
    <w:p>
      <w:pPr>
        <w:spacing w:after="0" w:line="360" w:lineRule="auto"/>
        <w:ind w:left="4950" w:firstLine="90"/>
        <w:contextualSpacing/>
        <w:jc w:val="right"/>
        <w:outlineLvl w:val="0"/>
        <w:rPr>
          <w:rFonts w:ascii="Arial" w:hAnsi="Arial" w:cs="Arial" w:eastAsiaTheme="minorEastAsia"/>
          <w:b/>
          <w:sz w:val="24"/>
          <w:szCs w:val="24"/>
          <w:lang w:val="en-US"/>
        </w:rPr>
      </w:pPr>
      <w:r>
        <w:rPr>
          <w:rFonts w:ascii="Arial" w:hAnsi="Arial" w:cs="Arial" w:eastAsiaTheme="minorEastAsia"/>
          <w:b/>
          <w:sz w:val="24"/>
          <w:szCs w:val="24"/>
          <w:lang w:val="en-US"/>
        </w:rPr>
        <w:t>Not Reportable</w:t>
      </w:r>
    </w:p>
    <w:p>
      <w:pPr>
        <w:spacing w:after="0" w:line="360" w:lineRule="auto"/>
        <w:ind w:left="5760" w:right="60"/>
        <w:contextualSpacing/>
        <w:jc w:val="right"/>
        <w:outlineLvl w:val="0"/>
        <w:rPr>
          <w:rFonts w:ascii="Arial" w:hAnsi="Arial" w:cs="Arial" w:eastAsiaTheme="minorEastAsia"/>
          <w:sz w:val="24"/>
          <w:szCs w:val="24"/>
          <w:lang w:val="en-US"/>
        </w:rPr>
      </w:pPr>
      <w:r>
        <w:rPr>
          <w:rFonts w:ascii="Arial" w:hAnsi="Arial" w:cs="Arial" w:eastAsiaTheme="minorEastAsia"/>
          <w:sz w:val="24"/>
          <w:szCs w:val="24"/>
          <w:lang w:val="en-US"/>
        </w:rPr>
        <w:t>Case No: 73/2021</w:t>
      </w:r>
    </w:p>
    <w:p>
      <w:pPr>
        <w:spacing w:after="0" w:line="360" w:lineRule="auto"/>
        <w:ind w:right="72"/>
        <w:contextualSpacing/>
        <w:outlineLvl w:val="0"/>
        <w:rPr>
          <w:rFonts w:ascii="Arial" w:hAnsi="Arial" w:cs="Arial" w:eastAsiaTheme="minorEastAsia"/>
          <w:sz w:val="24"/>
          <w:szCs w:val="24"/>
          <w:lang w:val="en-US"/>
        </w:rPr>
      </w:pPr>
      <w:r>
        <w:rPr>
          <w:rFonts w:ascii="Arial" w:hAnsi="Arial" w:cs="Arial" w:eastAsiaTheme="minorEastAsia"/>
          <w:sz w:val="24"/>
          <w:szCs w:val="24"/>
          <w:lang w:val="en-US"/>
        </w:rPr>
        <w:t xml:space="preserve">In the matter between: </w:t>
      </w:r>
    </w:p>
    <w:p>
      <w:pPr>
        <w:spacing w:after="0" w:line="360" w:lineRule="auto"/>
        <w:ind w:right="72"/>
        <w:contextualSpacing/>
        <w:jc w:val="both"/>
        <w:outlineLvl w:val="0"/>
        <w:rPr>
          <w:rFonts w:ascii="Arial" w:hAnsi="Arial" w:cs="Arial" w:eastAsiaTheme="minorEastAsia"/>
          <w:sz w:val="24"/>
          <w:szCs w:val="24"/>
          <w:lang w:val="en-US"/>
        </w:rPr>
      </w:pP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MASHAO JOHN THEPANYEGA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FIRST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EPHRAIM SETLABANE RAMOHLALE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SECOND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 xml:space="preserve">LESOLE JOHANNES TEPANYEKGA N O       </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THIRD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MADUMETSA SOLOMON MACHETE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FOURTH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MOSIMA JEANETA BALOYI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FIFTH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KGOBUDI JACKSON MANKGA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SIXTH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NGWAKO FRANS MAMARIBE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SEVENTH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 xml:space="preserve">NGALETJANE CLAAS RAMAPHOKO N O </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EIGHTH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PHEEHA FRANS RAMOTLHALE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NINTH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CHIPPA DANIEL RAMOHLALE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TENTH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REKE PEGGY DIKGALE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ELEVENTH APPELLANT</w:t>
      </w:r>
    </w:p>
    <w:p>
      <w:pPr>
        <w:spacing w:after="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MOSEBJADI ISABEL DIKGALE N 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TWELFTH APPELLANT</w:t>
      </w:r>
    </w:p>
    <w:p>
      <w:pPr>
        <w:spacing w:after="0" w:line="360" w:lineRule="auto"/>
        <w:contextualSpacing/>
        <w:jc w:val="both"/>
        <w:outlineLvl w:val="0"/>
        <w:rPr>
          <w:rFonts w:ascii="Arial" w:hAnsi="Arial" w:cs="Arial" w:eastAsiaTheme="minorEastAsia"/>
          <w:sz w:val="24"/>
          <w:szCs w:val="24"/>
          <w:lang w:val="en-US"/>
        </w:rPr>
      </w:pPr>
    </w:p>
    <w:p>
      <w:pPr>
        <w:spacing w:after="0" w:line="360" w:lineRule="auto"/>
        <w:contextualSpacing/>
        <w:jc w:val="both"/>
        <w:outlineLvl w:val="0"/>
        <w:rPr>
          <w:rFonts w:ascii="Arial" w:hAnsi="Arial" w:cs="Arial" w:eastAsiaTheme="minorEastAsia"/>
          <w:sz w:val="24"/>
          <w:szCs w:val="24"/>
          <w:lang w:val="en-US"/>
        </w:rPr>
      </w:pPr>
      <w:r>
        <w:rPr>
          <w:rFonts w:ascii="Arial" w:hAnsi="Arial" w:cs="Arial" w:eastAsiaTheme="minorEastAsia"/>
          <w:sz w:val="24"/>
          <w:szCs w:val="24"/>
          <w:lang w:val="en-US"/>
        </w:rPr>
        <w:t>and</w:t>
      </w:r>
    </w:p>
    <w:p>
      <w:pPr>
        <w:spacing w:after="0" w:line="360" w:lineRule="auto"/>
        <w:contextualSpacing/>
        <w:jc w:val="both"/>
        <w:outlineLvl w:val="0"/>
        <w:rPr>
          <w:rFonts w:ascii="Arial" w:hAnsi="Arial" w:cs="Arial" w:eastAsiaTheme="minorEastAsia"/>
          <w:b/>
          <w:sz w:val="24"/>
          <w:szCs w:val="24"/>
          <w:lang w:val="en-US"/>
        </w:rPr>
      </w:pPr>
    </w:p>
    <w:p>
      <w:pPr>
        <w:spacing w:before="24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HERMAN LETSOALO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FIRST RESPONDENT</w:t>
      </w:r>
    </w:p>
    <w:p>
      <w:pPr>
        <w:spacing w:before="24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SEJA LETSOALO</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SECOND RESPONDENT</w:t>
      </w:r>
    </w:p>
    <w:p>
      <w:pPr>
        <w:spacing w:before="240" w:line="360" w:lineRule="auto"/>
        <w:contextualSpacing/>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FRANS KWETE RAMOTIHANE</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THIRD RESPONDENT</w:t>
      </w:r>
    </w:p>
    <w:p>
      <w:pPr>
        <w:spacing w:after="0" w:line="360" w:lineRule="auto"/>
        <w:contextualSpacing/>
        <w:jc w:val="both"/>
        <w:outlineLvl w:val="0"/>
        <w:rPr>
          <w:rFonts w:ascii="Arial" w:hAnsi="Arial" w:cs="Arial" w:eastAsiaTheme="minorEastAsia"/>
          <w:b/>
          <w:sz w:val="24"/>
          <w:szCs w:val="24"/>
          <w:lang w:val="en-US"/>
        </w:rPr>
      </w:pPr>
    </w:p>
    <w:p>
      <w:pPr>
        <w:spacing w:line="360" w:lineRule="auto"/>
        <w:ind w:left="2160" w:right="74" w:hanging="2160"/>
        <w:jc w:val="both"/>
        <w:outlineLvl w:val="0"/>
        <w:rPr>
          <w:rFonts w:ascii="Arial" w:hAnsi="Arial" w:cs="Arial"/>
          <w:bCs/>
          <w:sz w:val="24"/>
          <w:szCs w:val="24"/>
        </w:rPr>
      </w:pPr>
      <w:r>
        <w:rPr>
          <w:rFonts w:ascii="Arial" w:hAnsi="Arial" w:cs="Arial" w:eastAsiaTheme="minorEastAsia"/>
          <w:b/>
          <w:sz w:val="24"/>
          <w:szCs w:val="24"/>
          <w:lang w:val="en-US"/>
        </w:rPr>
        <w:t>Neutral citation:</w:t>
      </w:r>
      <w:r>
        <w:rPr>
          <w:rFonts w:ascii="Arial" w:hAnsi="Arial" w:cs="Arial" w:eastAsiaTheme="minorEastAsia"/>
          <w:b/>
          <w:sz w:val="24"/>
          <w:szCs w:val="24"/>
          <w:lang w:val="en-US"/>
        </w:rPr>
        <w:tab/>
      </w:r>
      <w:r>
        <w:rPr>
          <w:rFonts w:ascii="Arial" w:hAnsi="Arial" w:cs="Arial" w:eastAsiaTheme="minorEastAsia"/>
          <w:i/>
          <w:sz w:val="24"/>
          <w:szCs w:val="24"/>
          <w:lang w:val="en-US"/>
        </w:rPr>
        <w:t xml:space="preserve">Thepanyega N O and Others v Letsoalo and Others </w:t>
      </w:r>
      <w:r>
        <w:rPr>
          <w:rFonts w:ascii="Arial" w:hAnsi="Arial" w:cs="Arial"/>
          <w:bCs/>
          <w:sz w:val="24"/>
          <w:szCs w:val="24"/>
        </w:rPr>
        <w:t>(73/2021) [2022] ZASCA 30 (24 March 2022)</w:t>
      </w:r>
    </w:p>
    <w:p>
      <w:pPr>
        <w:spacing w:line="360" w:lineRule="auto"/>
        <w:ind w:left="2126" w:right="74" w:hanging="2126"/>
        <w:jc w:val="both"/>
        <w:rPr>
          <w:rFonts w:ascii="Arial" w:hAnsi="Arial" w:cs="Arial"/>
          <w:sz w:val="24"/>
          <w:szCs w:val="24"/>
          <w:lang w:val="en-US"/>
        </w:rPr>
      </w:pPr>
      <w:r>
        <w:rPr>
          <w:rFonts w:ascii="Arial" w:hAnsi="Arial" w:cs="Arial"/>
          <w:b/>
          <w:sz w:val="24"/>
          <w:szCs w:val="24"/>
          <w:lang w:val="en-US"/>
        </w:rPr>
        <w:t>Coram:</w:t>
      </w:r>
      <w:r>
        <w:rPr>
          <w:rFonts w:ascii="Arial" w:hAnsi="Arial" w:cs="Arial"/>
          <w:b/>
          <w:sz w:val="24"/>
          <w:szCs w:val="24"/>
          <w:lang w:val="en-US"/>
        </w:rPr>
        <w:tab/>
      </w:r>
      <w:r>
        <w:rPr>
          <w:rFonts w:ascii="Arial" w:hAnsi="Arial" w:cs="Arial"/>
          <w:sz w:val="24"/>
          <w:szCs w:val="24"/>
          <w:lang w:val="en-US"/>
        </w:rPr>
        <w:t xml:space="preserve">SALDULKER, ZONDI and HUGHES JJA, and MUSI and SMITH AJJA </w:t>
      </w:r>
    </w:p>
    <w:p>
      <w:pPr>
        <w:tabs>
          <w:tab w:val="left" w:pos="2127"/>
        </w:tabs>
        <w:spacing w:line="360" w:lineRule="auto"/>
        <w:jc w:val="both"/>
        <w:rPr>
          <w:rFonts w:ascii="Arial" w:hAnsi="Arial" w:cs="Arial"/>
          <w:sz w:val="24"/>
          <w:szCs w:val="24"/>
          <w:lang w:val="en-US"/>
        </w:rPr>
      </w:pPr>
      <w:r>
        <w:rPr>
          <w:rFonts w:ascii="Arial" w:hAnsi="Arial" w:cs="Arial"/>
          <w:b/>
          <w:sz w:val="24"/>
          <w:szCs w:val="24"/>
          <w:lang w:val="en-US"/>
        </w:rPr>
        <w:t xml:space="preserve">Heard: </w:t>
      </w:r>
      <w:r>
        <w:rPr>
          <w:rFonts w:ascii="Arial" w:hAnsi="Arial" w:cs="Arial"/>
          <w:b/>
          <w:sz w:val="24"/>
          <w:szCs w:val="24"/>
          <w:lang w:val="en-US"/>
        </w:rPr>
        <w:tab/>
      </w:r>
      <w:r>
        <w:rPr>
          <w:rFonts w:ascii="Arial" w:hAnsi="Arial" w:cs="Arial"/>
          <w:sz w:val="24"/>
          <w:szCs w:val="24"/>
          <w:lang w:val="en-US"/>
        </w:rPr>
        <w:t>24 February 2022</w:t>
      </w:r>
    </w:p>
    <w:p>
      <w:pPr>
        <w:spacing w:line="360" w:lineRule="auto"/>
        <w:ind w:right="60"/>
        <w:jc w:val="both"/>
        <w:rPr>
          <w:rFonts w:ascii="Arial" w:hAnsi="Arial" w:cs="Arial"/>
          <w:sz w:val="24"/>
          <w:szCs w:val="24"/>
        </w:rPr>
      </w:pPr>
      <w:r>
        <w:rPr>
          <w:rFonts w:ascii="Arial" w:hAnsi="Arial" w:cs="Arial"/>
          <w:b/>
          <w:sz w:val="24"/>
          <w:szCs w:val="24"/>
          <w:lang w:val="en-US"/>
        </w:rPr>
        <w:t xml:space="preserve">Delivered: </w:t>
      </w:r>
      <w:r>
        <w:rPr>
          <w:rFonts w:ascii="Arial" w:hAnsi="Arial" w:cs="Arial"/>
          <w:sz w:val="24"/>
          <w:szCs w:val="24"/>
        </w:rPr>
        <w:t>This judgment was handed down electronically by circulation to the parties' representatives by email, publication on the Supreme Court of Appeal website and release to SAFLII. The date and time for hand-down is deemed to be at 10h00 on 24 March 2022.</w:t>
      </w:r>
    </w:p>
    <w:p>
      <w:pPr>
        <w:spacing w:line="360" w:lineRule="auto"/>
        <w:jc w:val="both"/>
        <w:rPr>
          <w:rFonts w:ascii="Arial" w:hAnsi="Arial" w:cs="Arial" w:eastAsiaTheme="minorEastAsia"/>
          <w:sz w:val="24"/>
          <w:szCs w:val="24"/>
          <w:lang w:val="en-US"/>
        </w:rPr>
      </w:pPr>
      <w:r>
        <w:rPr>
          <w:rFonts w:ascii="Arial" w:hAnsi="Arial" w:cs="Arial" w:eastAsiaTheme="minorEastAsia"/>
          <w:b/>
          <w:sz w:val="24"/>
          <w:szCs w:val="24"/>
          <w:lang w:val="en-US"/>
        </w:rPr>
        <w:t>Summary:</w:t>
      </w:r>
      <w:r>
        <w:rPr>
          <w:rFonts w:ascii="Arial" w:hAnsi="Arial" w:cs="Arial" w:eastAsiaTheme="minorEastAsia"/>
          <w:sz w:val="24"/>
          <w:szCs w:val="24"/>
          <w:lang w:val="en-US"/>
        </w:rPr>
        <w:t xml:space="preserve"> Civil procedure – contract – whether a person who claims possession by way of ownership of a property must prove the termination of a contractual right of another to hold such a property prior to the institution of proceedings – agreement must be unequivocally cancelled before an application for eviction is launched.</w:t>
      </w: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p>
    <w:p>
      <w:pPr>
        <w:spacing w:after="0" w:line="360" w:lineRule="auto"/>
        <w:contextualSpacing/>
        <w:jc w:val="both"/>
        <w:rPr>
          <w:rFonts w:ascii="Arial" w:hAnsi="Arial" w:cs="Arial"/>
          <w:sz w:val="24"/>
          <w:szCs w:val="24"/>
        </w:rPr>
      </w:pPr>
      <w:r>
        <w:rPr>
          <w:rFonts w:ascii="Arial" w:hAnsi="Arial" w:cs="Arial" w:eastAsiaTheme="minorEastAsia"/>
          <w:b/>
          <w:sz w:val="24"/>
          <w:szCs w:val="24"/>
          <w:lang w:val="en-US"/>
        </w:rPr>
        <w:t>__________________________________________________________________</w:t>
      </w:r>
    </w:p>
    <w:p>
      <w:pPr>
        <w:spacing w:after="0"/>
        <w:jc w:val="both"/>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ORDER</w:t>
      </w:r>
    </w:p>
    <w:p>
      <w:pPr>
        <w:spacing w:after="0"/>
        <w:contextualSpacing/>
        <w:jc w:val="both"/>
        <w:rPr>
          <w:rFonts w:ascii="Arial" w:hAnsi="Arial" w:cs="Arial" w:eastAsiaTheme="minorEastAsia"/>
          <w:sz w:val="24"/>
          <w:szCs w:val="24"/>
          <w:lang w:val="en-US"/>
        </w:rPr>
      </w:pPr>
      <w:r>
        <w:rPr>
          <w:rFonts w:ascii="Arial" w:hAnsi="Arial" w:cs="Arial" w:eastAsiaTheme="minorEastAsia"/>
          <w:b/>
          <w:sz w:val="24"/>
          <w:szCs w:val="24"/>
          <w:lang w:val="en-US"/>
        </w:rPr>
        <w:t>__________________________________________________________________</w:t>
      </w:r>
    </w:p>
    <w:p>
      <w:pPr>
        <w:spacing w:before="240" w:after="0" w:line="360" w:lineRule="auto"/>
        <w:ind w:right="60"/>
        <w:jc w:val="both"/>
        <w:rPr>
          <w:rFonts w:ascii="Arial" w:hAnsi="Arial" w:cs="Arial" w:eastAsiaTheme="minorEastAsia"/>
          <w:b/>
          <w:sz w:val="24"/>
          <w:szCs w:val="24"/>
          <w:lang w:val="en-US"/>
        </w:rPr>
      </w:pPr>
      <w:r>
        <w:rPr>
          <w:rFonts w:ascii="Arial" w:hAnsi="Arial" w:cs="Arial" w:eastAsiaTheme="minorEastAsia"/>
          <w:b/>
          <w:sz w:val="24"/>
          <w:szCs w:val="24"/>
          <w:lang w:val="en-US"/>
        </w:rPr>
        <w:t xml:space="preserve">On appeal from: </w:t>
      </w:r>
      <w:r>
        <w:rPr>
          <w:rFonts w:ascii="Arial" w:hAnsi="Arial" w:cs="Arial"/>
          <w:sz w:val="24"/>
          <w:szCs w:val="24"/>
        </w:rPr>
        <w:t>Limpopo Division of the High Court, Polokwane</w:t>
      </w:r>
      <w:r>
        <w:rPr>
          <w:rFonts w:ascii="Arial" w:hAnsi="Arial" w:cs="Arial" w:eastAsiaTheme="minorEastAsia"/>
          <w:sz w:val="24"/>
          <w:szCs w:val="24"/>
          <w:lang w:val="en-US"/>
        </w:rPr>
        <w:t xml:space="preserve"> (Naude AJ and </w:t>
      </w:r>
      <w:r>
        <w:rPr>
          <w:rFonts w:ascii="Arial" w:hAnsi="Arial" w:eastAsia="Times New Roman" w:cs="Arial"/>
          <w:sz w:val="24"/>
          <w:szCs w:val="24"/>
          <w:lang w:eastAsia="en-ZA"/>
        </w:rPr>
        <w:t xml:space="preserve">Phatudi J, </w:t>
      </w:r>
      <w:r>
        <w:rPr>
          <w:rFonts w:ascii="Arial" w:hAnsi="Arial" w:cs="Arial" w:eastAsiaTheme="minorEastAsia"/>
          <w:sz w:val="24"/>
          <w:szCs w:val="24"/>
          <w:lang w:val="en-US"/>
        </w:rPr>
        <w:t>sitting as court of appeal):</w:t>
      </w:r>
      <w:r>
        <w:rPr>
          <w:rFonts w:ascii="Arial" w:hAnsi="Arial" w:cs="Arial"/>
          <w:sz w:val="24"/>
          <w:szCs w:val="24"/>
        </w:rPr>
        <w:t xml:space="preserve"> </w:t>
      </w:r>
    </w:p>
    <w:p>
      <w:pPr>
        <w:spacing w:line="360" w:lineRule="auto"/>
        <w:contextualSpacing/>
        <w:jc w:val="both"/>
        <w:rPr>
          <w:rFonts w:ascii="Arial" w:hAnsi="Arial" w:eastAsia="Times New Roman" w:cs="Arial"/>
          <w:bCs/>
          <w:sz w:val="24"/>
          <w:szCs w:val="24"/>
        </w:rPr>
      </w:pPr>
    </w:p>
    <w:p>
      <w:pPr>
        <w:spacing w:line="360" w:lineRule="auto"/>
        <w:contextualSpacing/>
        <w:jc w:val="both"/>
        <w:rPr>
          <w:rFonts w:ascii="Arial" w:hAnsi="Arial" w:eastAsia="Times New Roman" w:cs="Arial"/>
          <w:bCs/>
          <w:sz w:val="24"/>
          <w:szCs w:val="24"/>
        </w:rPr>
      </w:pPr>
      <w:r>
        <w:rPr>
          <w:rFonts w:ascii="Arial" w:hAnsi="Arial" w:eastAsia="Times New Roman" w:cs="Arial"/>
          <w:bCs/>
          <w:sz w:val="24"/>
          <w:szCs w:val="24"/>
        </w:rPr>
        <w:t>The appeal is dismissed with costs.</w:t>
      </w:r>
    </w:p>
    <w:p>
      <w:pPr>
        <w:pStyle w:val="13"/>
        <w:spacing w:after="0"/>
        <w:ind w:left="0"/>
        <w:jc w:val="both"/>
        <w:rPr>
          <w:rFonts w:ascii="Arial" w:hAnsi="Arial" w:cs="Arial" w:eastAsiaTheme="minorEastAsia"/>
          <w:b/>
          <w:sz w:val="24"/>
          <w:szCs w:val="24"/>
          <w:lang w:val="en-US"/>
        </w:rPr>
      </w:pPr>
      <w:r>
        <w:rPr>
          <w:rFonts w:ascii="Arial" w:hAnsi="Arial" w:cs="Arial" w:eastAsiaTheme="minorEastAsia"/>
          <w:b/>
          <w:sz w:val="24"/>
          <w:szCs w:val="24"/>
          <w:lang w:val="en-US"/>
        </w:rPr>
        <w:t>__________________________________________________________________</w:t>
      </w: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JUDGMENT</w:t>
      </w:r>
    </w:p>
    <w:p>
      <w:pPr>
        <w:spacing w:after="0"/>
        <w:jc w:val="both"/>
        <w:rPr>
          <w:rFonts w:ascii="Arial" w:hAnsi="Arial" w:cs="Arial" w:eastAsiaTheme="minorEastAsia"/>
          <w:sz w:val="24"/>
          <w:szCs w:val="24"/>
          <w:lang w:val="en-US"/>
        </w:rPr>
      </w:pPr>
      <w:r>
        <w:rPr>
          <w:rFonts w:ascii="Arial" w:hAnsi="Arial" w:cs="Arial" w:eastAsiaTheme="minorEastAsia"/>
          <w:b/>
          <w:sz w:val="24"/>
          <w:szCs w:val="24"/>
          <w:lang w:val="en-US"/>
        </w:rPr>
        <w:t>__________________________________________________________________</w:t>
      </w:r>
    </w:p>
    <w:p>
      <w:pPr>
        <w:spacing w:before="240" w:after="0" w:line="360" w:lineRule="auto"/>
        <w:ind w:right="60"/>
        <w:jc w:val="both"/>
        <w:outlineLvl w:val="0"/>
        <w:rPr>
          <w:rFonts w:ascii="Arial" w:hAnsi="Arial" w:cs="Arial"/>
          <w:b/>
          <w:sz w:val="24"/>
          <w:szCs w:val="24"/>
        </w:rPr>
      </w:pPr>
      <w:r>
        <w:rPr>
          <w:rFonts w:ascii="Arial" w:hAnsi="Arial" w:cs="Arial"/>
          <w:b/>
          <w:sz w:val="24"/>
          <w:szCs w:val="24"/>
        </w:rPr>
        <w:t>Saldulker JA (Zondi and Hughes JJA, and Musi and Smith AJJA concurring):</w:t>
      </w:r>
    </w:p>
    <w:p>
      <w:pPr>
        <w:spacing w:after="0" w:line="360" w:lineRule="auto"/>
        <w:ind w:left="1440" w:right="60" w:hanging="1440"/>
        <w:jc w:val="both"/>
        <w:outlineLvl w:val="0"/>
        <w:rPr>
          <w:rFonts w:ascii="Arial" w:hAnsi="Arial" w:cs="Arial"/>
          <w:sz w:val="24"/>
          <w:szCs w:val="24"/>
        </w:rPr>
      </w:pPr>
    </w:p>
    <w:p>
      <w:pPr>
        <w:pStyle w:val="13"/>
        <w:numPr>
          <w:ilvl w:val="0"/>
          <w:numId w:val="2"/>
        </w:numPr>
        <w:spacing w:after="0" w:line="360" w:lineRule="auto"/>
        <w:ind w:left="0" w:right="60" w:firstLine="0"/>
        <w:jc w:val="both"/>
        <w:outlineLvl w:val="0"/>
        <w:rPr>
          <w:rFonts w:ascii="Arial" w:hAnsi="Arial" w:cs="Arial"/>
          <w:sz w:val="24"/>
          <w:szCs w:val="24"/>
        </w:rPr>
      </w:pPr>
      <w:r>
        <w:rPr>
          <w:rFonts w:ascii="Arial" w:hAnsi="Arial" w:eastAsia="Times New Roman" w:cs="Arial"/>
          <w:sz w:val="24"/>
          <w:szCs w:val="24"/>
          <w:lang w:val="en-US"/>
        </w:rPr>
        <w:t xml:space="preserve">This appeal, brought by the appellants, </w:t>
      </w:r>
      <w:r>
        <w:rPr>
          <w:rFonts w:ascii="Arial" w:hAnsi="Arial" w:eastAsia="Times New Roman" w:cs="Arial"/>
          <w:sz w:val="24"/>
          <w:szCs w:val="24"/>
        </w:rPr>
        <w:t xml:space="preserve">Mashao John Thepanyega NO and eleven others, </w:t>
      </w:r>
      <w:r>
        <w:rPr>
          <w:rFonts w:ascii="Arial" w:hAnsi="Arial" w:eastAsia="Times New Roman" w:cs="Arial"/>
          <w:sz w:val="24"/>
          <w:szCs w:val="24"/>
          <w:lang w:val="en-US"/>
        </w:rPr>
        <w:t xml:space="preserve">the trustees of the Madibeng Letupi Community Trust (the Trust), is against the decision of the Limpopo Division of the High Court, Polokwane (the high court), whereby Naude AJ (Phatudi J concurring) set aside an order on appeal from the Magistrate's Court for the District of Molemole, held at Morebeng (the magistrate’s court).  </w:t>
      </w:r>
    </w:p>
    <w:p>
      <w:pPr>
        <w:pStyle w:val="13"/>
        <w:spacing w:after="0" w:line="360" w:lineRule="auto"/>
        <w:ind w:left="0" w:right="60"/>
        <w:jc w:val="both"/>
        <w:outlineLvl w:val="0"/>
        <w:rPr>
          <w:rFonts w:ascii="Arial" w:hAnsi="Arial" w:cs="Arial"/>
          <w:sz w:val="24"/>
          <w:szCs w:val="24"/>
        </w:rPr>
      </w:pPr>
    </w:p>
    <w:p>
      <w:pPr>
        <w:pStyle w:val="13"/>
        <w:numPr>
          <w:ilvl w:val="0"/>
          <w:numId w:val="2"/>
        </w:numPr>
        <w:spacing w:after="0" w:line="360" w:lineRule="auto"/>
        <w:ind w:left="0" w:right="60" w:firstLine="0"/>
        <w:jc w:val="both"/>
        <w:outlineLvl w:val="0"/>
        <w:rPr>
          <w:rFonts w:ascii="Arial" w:hAnsi="Arial" w:cs="Arial"/>
          <w:sz w:val="24"/>
          <w:szCs w:val="24"/>
        </w:rPr>
      </w:pPr>
      <w:r>
        <w:rPr>
          <w:rFonts w:ascii="Arial" w:hAnsi="Arial" w:eastAsia="Times New Roman" w:cs="Arial"/>
          <w:sz w:val="24"/>
          <w:szCs w:val="24"/>
        </w:rPr>
        <w:t xml:space="preserve">The Trust </w:t>
      </w:r>
      <w:r>
        <w:rPr>
          <w:rFonts w:ascii="Arial" w:hAnsi="Arial" w:eastAsia="Times New Roman" w:cs="Arial"/>
          <w:sz w:val="24"/>
          <w:szCs w:val="24"/>
          <w:lang w:val="en-US"/>
        </w:rPr>
        <w:t>is the registered owner of Portion 6 of the Farm Kalkfontein 812, Registration Division L.S, Limpopo Province (the farm) (the trust property).</w:t>
      </w:r>
      <w:r>
        <w:rPr>
          <w:rFonts w:ascii="Arial" w:hAnsi="Arial" w:cs="Arial"/>
          <w:sz w:val="24"/>
          <w:szCs w:val="24"/>
        </w:rPr>
        <w:t xml:space="preserve"> </w:t>
      </w:r>
      <w:r>
        <w:rPr>
          <w:rFonts w:ascii="Arial" w:hAnsi="Arial" w:eastAsia="Times New Roman" w:cs="Arial"/>
          <w:bCs/>
          <w:sz w:val="24"/>
          <w:szCs w:val="24"/>
        </w:rPr>
        <w:t>The Trust had for some time allowed the respondents, Messers Herman Letsoalo, Seja Letsoalo and Frans Ramotihane, to graze their livestock on the trust property subject to payment of a grazing fee and other related charges. The appellants, contending that the respondents had in breach of the grazing agreement failed to pay the grazing fee and other related charges, launched proceedings in the magistrate’s court against the respondents for, inter alia, the eviction of the respondents’ livestock (cattle) from the trust property; authorising the sheriff or the pound master to remove the livestock from the trust property; and to retain same until the grazing fee and related costs have been paid. During the hearing of the application, the Trust sought and obtained an amendment of the notice of motion so as to incorporate a prayer for an interdict preventing the respondents from grazing their livestock on the trust property. The magistrate granted the relief as sought by the Trust.</w:t>
      </w:r>
      <w:r>
        <w:rPr>
          <w:rFonts w:ascii="Arial" w:hAnsi="Arial" w:cs="Arial"/>
          <w:bCs/>
          <w:sz w:val="24"/>
          <w:szCs w:val="24"/>
          <w:vertAlign w:val="superscript"/>
        </w:rPr>
        <w:footnoteReference w:id="0"/>
      </w:r>
    </w:p>
    <w:p>
      <w:pPr>
        <w:pStyle w:val="13"/>
        <w:spacing w:after="0" w:line="360" w:lineRule="auto"/>
        <w:ind w:left="0" w:right="60"/>
        <w:jc w:val="both"/>
        <w:outlineLvl w:val="0"/>
        <w:rPr>
          <w:rFonts w:ascii="Arial" w:hAnsi="Arial" w:cs="Arial"/>
          <w:sz w:val="24"/>
          <w:szCs w:val="24"/>
        </w:rPr>
      </w:pPr>
    </w:p>
    <w:p>
      <w:pPr>
        <w:pStyle w:val="13"/>
        <w:numPr>
          <w:ilvl w:val="0"/>
          <w:numId w:val="2"/>
        </w:numPr>
        <w:spacing w:after="0" w:line="360" w:lineRule="auto"/>
        <w:ind w:left="0" w:right="60" w:firstLine="0"/>
        <w:jc w:val="both"/>
        <w:outlineLvl w:val="0"/>
        <w:rPr>
          <w:rFonts w:ascii="Arial" w:hAnsi="Arial" w:cs="Arial"/>
          <w:sz w:val="24"/>
          <w:szCs w:val="24"/>
        </w:rPr>
      </w:pPr>
      <w:r>
        <w:rPr>
          <w:rFonts w:ascii="Arial" w:hAnsi="Arial" w:eastAsia="Times New Roman" w:cs="Arial"/>
          <w:bCs/>
          <w:sz w:val="24"/>
          <w:szCs w:val="24"/>
        </w:rPr>
        <w:t>Aggrieved by the judgment, the respondents approached the high court. The high court upheld the appeal, and found that the magistrate’s court lacked jurisdiction, and that the appellants did not make out a case for an interdict. Importantly, the high court found that it was common cause that there was a verbal agreement between the parties, which had entitled the respondents to graze their livestock on the farm belonging to the appellants, and which agreement had not been unequivocally cancelled by the appellants before they launched the application for the eviction. This appeal is with the leave of this Court.</w:t>
      </w:r>
    </w:p>
    <w:p>
      <w:pPr>
        <w:pStyle w:val="13"/>
        <w:ind w:left="0"/>
        <w:rPr>
          <w:rFonts w:ascii="Arial" w:hAnsi="Arial" w:cs="Arial"/>
          <w:sz w:val="24"/>
          <w:szCs w:val="24"/>
        </w:rPr>
      </w:pPr>
    </w:p>
    <w:p>
      <w:pPr>
        <w:pStyle w:val="13"/>
        <w:numPr>
          <w:ilvl w:val="0"/>
          <w:numId w:val="2"/>
        </w:numPr>
        <w:spacing w:after="0" w:line="360" w:lineRule="auto"/>
        <w:ind w:left="0" w:right="60" w:firstLine="0"/>
        <w:jc w:val="both"/>
        <w:outlineLvl w:val="0"/>
        <w:rPr>
          <w:rFonts w:ascii="Arial" w:hAnsi="Arial" w:cs="Arial"/>
          <w:sz w:val="24"/>
          <w:szCs w:val="24"/>
        </w:rPr>
      </w:pPr>
      <w:r>
        <w:rPr>
          <w:rFonts w:ascii="Arial" w:hAnsi="Arial" w:eastAsia="Times New Roman" w:cs="Arial"/>
          <w:sz w:val="24"/>
          <w:szCs w:val="24"/>
          <w:lang w:val="en-US"/>
        </w:rPr>
        <w:t>The crisp issue in this matter is whether the respondents had established a right entitling them to graze their livestock on the farm. But first, the facts.</w:t>
      </w:r>
    </w:p>
    <w:p>
      <w:pPr>
        <w:pStyle w:val="13"/>
        <w:ind w:left="0"/>
        <w:rPr>
          <w:rFonts w:ascii="Arial" w:hAnsi="Arial" w:cs="Arial"/>
          <w:sz w:val="24"/>
          <w:szCs w:val="24"/>
        </w:rPr>
      </w:pPr>
    </w:p>
    <w:p>
      <w:pPr>
        <w:pStyle w:val="13"/>
        <w:numPr>
          <w:ilvl w:val="0"/>
          <w:numId w:val="2"/>
        </w:numPr>
        <w:spacing w:after="0" w:line="360" w:lineRule="auto"/>
        <w:ind w:left="0" w:right="60" w:firstLine="0"/>
        <w:jc w:val="both"/>
        <w:outlineLvl w:val="0"/>
        <w:rPr>
          <w:rFonts w:ascii="Arial" w:hAnsi="Arial" w:cs="Arial"/>
          <w:sz w:val="24"/>
          <w:szCs w:val="24"/>
        </w:rPr>
      </w:pPr>
      <w:r>
        <w:rPr>
          <w:rFonts w:ascii="Arial" w:hAnsi="Arial" w:eastAsia="Times New Roman" w:cs="Arial"/>
          <w:sz w:val="24"/>
          <w:szCs w:val="24"/>
        </w:rPr>
        <w:t xml:space="preserve">It is common cause that the respondents began to graze their livestock on the farm since 2012. According to the founding affidavit of the appellants, the respondents were allowed to graze their livestock on the farm subject to the payment of fees. However, the respondents paid no fees, and despite many requests by the appellants to formalise the </w:t>
      </w:r>
      <w:r>
        <w:rPr>
          <w:rFonts w:ascii="Arial" w:hAnsi="Arial" w:eastAsia="Times New Roman" w:cs="Arial"/>
          <w:bCs/>
          <w:sz w:val="24"/>
          <w:szCs w:val="24"/>
        </w:rPr>
        <w:t xml:space="preserve">agreement to establish their contractual grazing rights on the payment of fees, the respondents refused to comply. </w:t>
      </w:r>
      <w:r>
        <w:rPr>
          <w:rFonts w:ascii="Arial" w:hAnsi="Arial" w:cs="Arial"/>
          <w:sz w:val="24"/>
          <w:szCs w:val="24"/>
        </w:rPr>
        <w:t xml:space="preserve">It is apparent from the pleadings that the respondents had a right to graze their livestock on the farm with the appellants’ consent. Their use of the appellants’ property was therefore not unlawful. It is not alleged by the appellants that they had terminated the respondents’ right to graze their livestock. </w:t>
      </w:r>
    </w:p>
    <w:p>
      <w:pPr>
        <w:pStyle w:val="13"/>
        <w:rPr>
          <w:rFonts w:ascii="Arial" w:hAnsi="Arial" w:cs="Arial"/>
          <w:sz w:val="24"/>
          <w:szCs w:val="24"/>
        </w:rPr>
      </w:pPr>
    </w:p>
    <w:p>
      <w:pPr>
        <w:pStyle w:val="13"/>
        <w:numPr>
          <w:ilvl w:val="0"/>
          <w:numId w:val="2"/>
        </w:numPr>
        <w:spacing w:after="0" w:line="360" w:lineRule="auto"/>
        <w:ind w:left="0" w:right="60" w:firstLine="0"/>
        <w:jc w:val="both"/>
        <w:outlineLvl w:val="0"/>
        <w:rPr>
          <w:rFonts w:ascii="Arial" w:hAnsi="Arial" w:cs="Arial"/>
          <w:sz w:val="24"/>
          <w:szCs w:val="24"/>
        </w:rPr>
      </w:pPr>
      <w:r>
        <w:rPr>
          <w:rFonts w:ascii="Arial" w:hAnsi="Arial" w:cs="Arial"/>
          <w:sz w:val="24"/>
          <w:szCs w:val="24"/>
        </w:rPr>
        <w:t>At the hearing counsel for the appellants pointed out that what was being sought by the appellants was an interdict, not eviction. To succeed in their claim for a final interdict the appellants had to establish, among other things, the existence of a clear right and its infringement by the respondents. Thus, at least at the time the application was launched, there was still a valid oral agreement between the parties in terms of which the respondents were allowed to graze their livestock on the farm.</w:t>
      </w:r>
    </w:p>
    <w:p>
      <w:pPr>
        <w:pStyle w:val="13"/>
        <w:spacing w:after="0" w:line="360" w:lineRule="auto"/>
        <w:ind w:left="0" w:right="60"/>
        <w:jc w:val="both"/>
        <w:outlineLvl w:val="0"/>
        <w:rPr>
          <w:rFonts w:ascii="Arial" w:hAnsi="Arial" w:eastAsia="Times New Roman" w:cs="Arial"/>
          <w:bCs/>
          <w:sz w:val="24"/>
          <w:szCs w:val="24"/>
        </w:rPr>
      </w:pPr>
    </w:p>
    <w:p>
      <w:pPr>
        <w:pStyle w:val="13"/>
        <w:spacing w:after="0" w:line="360" w:lineRule="auto"/>
        <w:ind w:left="0" w:right="60"/>
        <w:jc w:val="both"/>
        <w:outlineLvl w:val="0"/>
        <w:rPr>
          <w:rFonts w:ascii="Arial" w:hAnsi="Arial" w:cs="Arial"/>
          <w:sz w:val="24"/>
          <w:szCs w:val="24"/>
        </w:rPr>
      </w:pPr>
      <w:r>
        <w:rPr>
          <w:rFonts w:ascii="Arial" w:hAnsi="Arial" w:eastAsia="Times New Roman" w:cs="Arial"/>
          <w:bCs/>
          <w:sz w:val="24"/>
          <w:szCs w:val="24"/>
        </w:rPr>
        <w:t>[7]</w:t>
      </w:r>
      <w:r>
        <w:rPr>
          <w:rFonts w:ascii="Arial" w:hAnsi="Arial" w:eastAsia="Times New Roman" w:cs="Arial"/>
          <w:bCs/>
          <w:sz w:val="24"/>
          <w:szCs w:val="24"/>
        </w:rPr>
        <w:tab/>
      </w:r>
      <w:r>
        <w:rPr>
          <w:rFonts w:ascii="Arial" w:hAnsi="Arial" w:eastAsia="Times New Roman" w:cs="Arial"/>
          <w:bCs/>
          <w:sz w:val="24"/>
          <w:szCs w:val="24"/>
        </w:rPr>
        <w:t xml:space="preserve">The high court accordingly correctly found that there was some tacit agreement between the parties and that agreement had not been cancelled. Furthermore, the appellants do not explain why it took them four years to enforce a claim for grazing fees. More importantly, when they eventually wrote to the respondents claiming grazing fees, there was no suggestion that an election had been made to cancel the agreement. </w:t>
      </w:r>
    </w:p>
    <w:p>
      <w:pPr>
        <w:pStyle w:val="13"/>
        <w:ind w:left="0"/>
        <w:rPr>
          <w:rFonts w:ascii="Arial" w:hAnsi="Arial" w:cs="Arial"/>
          <w:sz w:val="24"/>
          <w:szCs w:val="24"/>
          <w:highlight w:val="yellow"/>
        </w:rPr>
      </w:pPr>
    </w:p>
    <w:p>
      <w:pPr>
        <w:spacing w:after="0" w:line="360" w:lineRule="auto"/>
        <w:ind w:right="60"/>
        <w:jc w:val="both"/>
        <w:outlineLvl w:val="0"/>
        <w:rPr>
          <w:rFonts w:ascii="Arial" w:hAnsi="Arial" w:cs="Arial"/>
          <w:sz w:val="24"/>
          <w:szCs w:val="24"/>
        </w:rPr>
      </w:pPr>
      <w:r>
        <w:rPr>
          <w:rFonts w:ascii="Arial" w:hAnsi="Arial" w:eastAsia="Times New Roman" w:cs="Arial"/>
          <w:bCs/>
          <w:sz w:val="24"/>
          <w:szCs w:val="24"/>
        </w:rPr>
        <w:t>[8]</w:t>
      </w:r>
      <w:r>
        <w:rPr>
          <w:rFonts w:ascii="Arial" w:hAnsi="Arial" w:eastAsia="Times New Roman" w:cs="Arial"/>
          <w:bCs/>
          <w:sz w:val="24"/>
          <w:szCs w:val="24"/>
        </w:rPr>
        <w:tab/>
      </w:r>
      <w:r>
        <w:rPr>
          <w:rFonts w:ascii="Arial" w:hAnsi="Arial" w:eastAsia="Times New Roman" w:cs="Arial"/>
          <w:bCs/>
          <w:sz w:val="24"/>
          <w:szCs w:val="24"/>
        </w:rPr>
        <w:t xml:space="preserve">From the aforegoing, it is clear that there must have been some tacit agreement between the parties which entitled the respondents to graze their livestock. This agreement clearly conferred a personal right on the respondents. The appellants have also not proved that they would suffer any harm or the nature of such harm. The appellants can also obtain adequate redress through other remedies, such as a claim for damages, and/or cancellation of the agreement. </w:t>
      </w:r>
    </w:p>
    <w:p>
      <w:pPr>
        <w:pStyle w:val="13"/>
        <w:ind w:left="0"/>
        <w:rPr>
          <w:rFonts w:ascii="Arial" w:hAnsi="Arial" w:cs="Arial"/>
          <w:sz w:val="24"/>
          <w:szCs w:val="24"/>
        </w:rPr>
      </w:pPr>
    </w:p>
    <w:p>
      <w:pPr>
        <w:spacing w:after="0" w:line="360" w:lineRule="auto"/>
        <w:ind w:right="60"/>
        <w:jc w:val="both"/>
        <w:outlineLvl w:val="0"/>
        <w:rPr>
          <w:rFonts w:ascii="Arial" w:hAnsi="Arial" w:cs="Arial"/>
          <w:sz w:val="24"/>
          <w:szCs w:val="24"/>
        </w:rPr>
      </w:pPr>
      <w:r>
        <w:rPr>
          <w:rFonts w:ascii="Arial" w:hAnsi="Arial" w:eastAsia="Times New Roman" w:cs="Arial"/>
          <w:bCs/>
          <w:sz w:val="24"/>
          <w:szCs w:val="24"/>
        </w:rPr>
        <w:t>[9]</w:t>
      </w:r>
      <w:r>
        <w:rPr>
          <w:rFonts w:ascii="Arial" w:hAnsi="Arial" w:eastAsia="Times New Roman" w:cs="Arial"/>
          <w:bCs/>
          <w:sz w:val="24"/>
          <w:szCs w:val="24"/>
        </w:rPr>
        <w:tab/>
      </w:r>
      <w:r>
        <w:rPr>
          <w:rFonts w:ascii="Arial" w:hAnsi="Arial" w:eastAsia="Times New Roman" w:cs="Arial"/>
          <w:bCs/>
          <w:sz w:val="24"/>
          <w:szCs w:val="24"/>
        </w:rPr>
        <w:t xml:space="preserve">It is common cause that the appellants are the owners of the farm. The respondents are not beneficiaries, nor trustees of the Trust. However, there was an oral agreement in place whereby the appellants allowed the respondents the right to graze their livestock on the farm. As mentioned, the high court correctly found that the agreement between the parties was not unequivocally cancelled before the application for eviction was launched. Thus, this right has not been terminated. This is in line with the decision in </w:t>
      </w:r>
      <w:r>
        <w:rPr>
          <w:rFonts w:ascii="Arial" w:hAnsi="Arial" w:eastAsia="Times New Roman" w:cs="Arial"/>
          <w:bCs/>
          <w:i/>
          <w:sz w:val="24"/>
          <w:szCs w:val="24"/>
        </w:rPr>
        <w:t>Morkel v Thornhill</w:t>
      </w:r>
      <w:r>
        <w:rPr>
          <w:rFonts w:ascii="Arial" w:hAnsi="Arial" w:eastAsia="Times New Roman" w:cs="Arial"/>
          <w:bCs/>
          <w:sz w:val="24"/>
          <w:szCs w:val="24"/>
        </w:rPr>
        <w:t xml:space="preserve"> (A105/2009) [2010] ZAFSHC 29 (FB), where it was held that a notice of cancellation must be clear and unequivocal and only takes effect from the time it is communicated to the relevant party. Furthermore, in the seminal case of </w:t>
      </w:r>
      <w:r>
        <w:rPr>
          <w:rFonts w:ascii="Arial" w:hAnsi="Arial" w:cs="Arial"/>
          <w:i/>
          <w:sz w:val="24"/>
          <w:szCs w:val="24"/>
        </w:rPr>
        <w:t>Chetty v Naidoo</w:t>
      </w:r>
      <w:r>
        <w:rPr>
          <w:rFonts w:ascii="Arial" w:hAnsi="Arial" w:cs="Arial"/>
          <w:sz w:val="24"/>
          <w:szCs w:val="24"/>
        </w:rPr>
        <w:t xml:space="preserve"> 1974 (3) SA 13 (A), this Court held that:</w:t>
      </w:r>
      <w:r>
        <w:rPr>
          <w:rStyle w:val="9"/>
          <w:rFonts w:ascii="Arial" w:hAnsi="Arial" w:cs="Arial"/>
          <w:sz w:val="24"/>
          <w:szCs w:val="24"/>
        </w:rPr>
        <w:footnoteReference w:id="1"/>
      </w:r>
      <w:r>
        <w:rPr>
          <w:rFonts w:ascii="Arial" w:hAnsi="Arial" w:cs="Arial"/>
          <w:sz w:val="24"/>
          <w:szCs w:val="24"/>
        </w:rPr>
        <w:t xml:space="preserve"> </w:t>
      </w:r>
    </w:p>
    <w:p>
      <w:pPr>
        <w:pStyle w:val="13"/>
        <w:spacing w:after="0" w:line="360" w:lineRule="auto"/>
        <w:ind w:left="0" w:right="60"/>
        <w:jc w:val="both"/>
        <w:outlineLvl w:val="0"/>
        <w:rPr>
          <w:rFonts w:ascii="Arial" w:hAnsi="Arial" w:cs="Arial"/>
          <w:sz w:val="24"/>
          <w:szCs w:val="24"/>
        </w:rPr>
      </w:pPr>
      <w:r>
        <w:rPr>
          <w:rFonts w:ascii="Arial" w:hAnsi="Arial" w:cs="Arial"/>
        </w:rPr>
        <w:t xml:space="preserve">‘[A]lthough a plaintiff who claims possession by virtue of his ownership, must </w:t>
      </w:r>
      <w:r>
        <w:rPr>
          <w:rFonts w:ascii="Arial" w:hAnsi="Arial" w:cs="Arial"/>
          <w:i/>
        </w:rPr>
        <w:t>ex facie</w:t>
      </w:r>
      <w:r>
        <w:rPr>
          <w:rFonts w:ascii="Arial" w:hAnsi="Arial" w:cs="Arial"/>
        </w:rPr>
        <w:t xml:space="preserve"> his statement of claim prove the termination of any right to hold which he concedes the defendant would have had but for the termination, the necessity for this proof falls away if the defendant does not invoke the right conceded by the plaintiff, but denies that it existed. Then the concession becomes mere surplusage as it no longer bears upon the real issues then revealed. If, however, the defendant relies on the right conceded by the plaintiff, the latter must prove its termination. This is so, not only if the concession is made in the statement of claim, but at any stage.’</w:t>
      </w:r>
    </w:p>
    <w:p>
      <w:pPr>
        <w:pStyle w:val="13"/>
        <w:spacing w:after="0" w:line="360" w:lineRule="auto"/>
        <w:ind w:left="0" w:right="60"/>
        <w:jc w:val="both"/>
        <w:outlineLvl w:val="0"/>
        <w:rPr>
          <w:rFonts w:ascii="Arial" w:hAnsi="Arial" w:cs="Arial"/>
          <w:sz w:val="24"/>
          <w:szCs w:val="24"/>
        </w:rPr>
      </w:pPr>
    </w:p>
    <w:p>
      <w:pPr>
        <w:spacing w:after="0" w:line="360" w:lineRule="auto"/>
        <w:ind w:right="60"/>
        <w:jc w:val="both"/>
        <w:outlineLvl w:val="0"/>
        <w:rPr>
          <w:rFonts w:ascii="Arial" w:hAnsi="Arial" w:cs="Arial"/>
          <w:sz w:val="24"/>
          <w:szCs w:val="24"/>
        </w:rPr>
      </w:pPr>
      <w:r>
        <w:rPr>
          <w:rFonts w:ascii="Arial" w:hAnsi="Arial" w:cs="Arial"/>
          <w:sz w:val="24"/>
          <w:szCs w:val="24"/>
          <w:lang w:val="en-US"/>
        </w:rPr>
        <w:t>[10]</w:t>
      </w:r>
      <w:r>
        <w:rPr>
          <w:rFonts w:ascii="Arial" w:hAnsi="Arial" w:cs="Arial"/>
          <w:sz w:val="24"/>
          <w:szCs w:val="24"/>
          <w:lang w:val="en-US"/>
        </w:rPr>
        <w:tab/>
      </w:r>
      <w:r>
        <w:rPr>
          <w:rFonts w:ascii="Arial" w:hAnsi="Arial" w:cs="Arial"/>
          <w:sz w:val="24"/>
          <w:szCs w:val="24"/>
          <w:lang w:val="en-US"/>
        </w:rPr>
        <w:t xml:space="preserve">In argument before us, the appellants’ counsel conceded that they do not claim to have cancelled the agreement, but urged us, on the basis of the </w:t>
      </w:r>
      <w:r>
        <w:rPr>
          <w:rFonts w:ascii="Arial" w:hAnsi="Arial" w:cs="Arial"/>
          <w:i/>
          <w:sz w:val="24"/>
          <w:szCs w:val="24"/>
          <w:lang w:val="en-US"/>
        </w:rPr>
        <w:t>Plascon-Evans</w:t>
      </w:r>
      <w:r>
        <w:rPr>
          <w:rFonts w:ascii="Arial" w:hAnsi="Arial" w:cs="Arial"/>
          <w:sz w:val="24"/>
          <w:szCs w:val="24"/>
          <w:lang w:val="en-US"/>
        </w:rPr>
        <w:t xml:space="preserve"> rule, to ignore the appellants’ version and decide the appeal on the version proffered by the respondents. The argument being that the respondents claim that they had obtained the permission to graze their livestock from the beneficiaries of the Trust, meaning that the contract asserted by them was void </w:t>
      </w:r>
      <w:r>
        <w:rPr>
          <w:rFonts w:ascii="Arial" w:hAnsi="Arial" w:cs="Arial"/>
          <w:i/>
          <w:sz w:val="24"/>
          <w:szCs w:val="24"/>
          <w:lang w:val="en-US"/>
        </w:rPr>
        <w:t>ab initio</w:t>
      </w:r>
      <w:r>
        <w:rPr>
          <w:rFonts w:ascii="Arial" w:hAnsi="Arial" w:cs="Arial"/>
          <w:sz w:val="24"/>
          <w:szCs w:val="24"/>
          <w:lang w:val="en-US"/>
        </w:rPr>
        <w:t>, since they did not contract with the trustees. This argument, however, conveniently ignores the fact that it is common cause that the trustees ultimately accepted that there was such an agreement in place and had in fact attempted to enforce it by claiming grazing fees from the respondents.</w:t>
      </w:r>
    </w:p>
    <w:p>
      <w:pPr>
        <w:pStyle w:val="13"/>
        <w:spacing w:after="0" w:line="360" w:lineRule="auto"/>
        <w:ind w:left="0" w:right="60"/>
        <w:jc w:val="both"/>
        <w:outlineLvl w:val="0"/>
        <w:rPr>
          <w:rFonts w:ascii="Arial" w:hAnsi="Arial" w:cs="Arial"/>
          <w:sz w:val="24"/>
          <w:szCs w:val="24"/>
        </w:rPr>
      </w:pPr>
    </w:p>
    <w:p>
      <w:pPr>
        <w:spacing w:after="0" w:line="360" w:lineRule="auto"/>
        <w:ind w:right="60"/>
        <w:jc w:val="both"/>
        <w:outlineLvl w:val="0"/>
        <w:rPr>
          <w:rFonts w:ascii="Arial" w:hAnsi="Arial" w:cs="Arial"/>
          <w:sz w:val="24"/>
          <w:szCs w:val="24"/>
        </w:rPr>
      </w:pPr>
      <w:r>
        <w:rPr>
          <w:rFonts w:ascii="Arial" w:hAnsi="Arial" w:eastAsia="Times New Roman" w:cs="Arial"/>
          <w:sz w:val="24"/>
          <w:szCs w:val="24"/>
          <w:lang w:val="en-US"/>
        </w:rPr>
        <w:t>[11]</w:t>
      </w:r>
      <w:r>
        <w:rPr>
          <w:rFonts w:ascii="Arial" w:hAnsi="Arial" w:eastAsia="Times New Roman" w:cs="Arial"/>
          <w:sz w:val="24"/>
          <w:szCs w:val="24"/>
          <w:lang w:val="en-US"/>
        </w:rPr>
        <w:tab/>
      </w:r>
      <w:r>
        <w:rPr>
          <w:rFonts w:ascii="Arial" w:hAnsi="Arial" w:eastAsia="Times New Roman" w:cs="Arial"/>
          <w:sz w:val="24"/>
          <w:szCs w:val="24"/>
          <w:lang w:val="en-US"/>
        </w:rPr>
        <w:t>In view of all the aforegoing, the appeal falls to be dismissed.</w:t>
      </w:r>
      <w:r>
        <w:rPr>
          <w:rFonts w:ascii="Arial" w:hAnsi="Arial" w:eastAsia="Times New Roman" w:cs="Arial"/>
          <w:bCs/>
          <w:sz w:val="24"/>
          <w:szCs w:val="24"/>
        </w:rPr>
        <w:t xml:space="preserve"> There appears to be no equitable reason why an order for costs should not follow the result.</w:t>
      </w:r>
    </w:p>
    <w:p>
      <w:pPr>
        <w:pStyle w:val="13"/>
        <w:ind w:left="0"/>
        <w:rPr>
          <w:rFonts w:ascii="Arial" w:hAnsi="Arial" w:cs="Arial"/>
          <w:sz w:val="24"/>
          <w:szCs w:val="24"/>
        </w:rPr>
      </w:pPr>
    </w:p>
    <w:p>
      <w:pPr>
        <w:spacing w:after="0" w:line="360" w:lineRule="auto"/>
        <w:ind w:right="60"/>
        <w:jc w:val="both"/>
        <w:outlineLvl w:val="0"/>
        <w:rPr>
          <w:rFonts w:ascii="Arial" w:hAnsi="Arial" w:cs="Arial"/>
          <w:sz w:val="24"/>
          <w:szCs w:val="24"/>
        </w:rPr>
      </w:pPr>
      <w:r>
        <w:rPr>
          <w:rFonts w:ascii="Arial" w:hAnsi="Arial" w:eastAsia="Times New Roman" w:cs="Arial"/>
          <w:bCs/>
          <w:sz w:val="24"/>
          <w:szCs w:val="24"/>
        </w:rPr>
        <w:t>[12]</w:t>
      </w:r>
      <w:r>
        <w:rPr>
          <w:rFonts w:ascii="Arial" w:hAnsi="Arial" w:eastAsia="Times New Roman" w:cs="Arial"/>
          <w:bCs/>
          <w:sz w:val="24"/>
          <w:szCs w:val="24"/>
        </w:rPr>
        <w:tab/>
      </w:r>
      <w:r>
        <w:rPr>
          <w:rFonts w:ascii="Arial" w:hAnsi="Arial" w:eastAsia="Times New Roman" w:cs="Arial"/>
          <w:bCs/>
          <w:sz w:val="24"/>
          <w:szCs w:val="24"/>
        </w:rPr>
        <w:t>In the result, the following order is made:</w:t>
      </w:r>
    </w:p>
    <w:p>
      <w:pPr>
        <w:spacing w:after="0" w:line="360" w:lineRule="auto"/>
        <w:contextualSpacing/>
        <w:jc w:val="both"/>
        <w:rPr>
          <w:rFonts w:ascii="Arial" w:hAnsi="Arial" w:cs="Arial"/>
          <w:sz w:val="24"/>
          <w:szCs w:val="24"/>
        </w:rPr>
      </w:pPr>
      <w:r>
        <w:rPr>
          <w:rFonts w:ascii="Arial" w:hAnsi="Arial" w:eastAsia="Times New Roman" w:cs="Arial"/>
          <w:bCs/>
          <w:sz w:val="24"/>
          <w:szCs w:val="24"/>
        </w:rPr>
        <w:t xml:space="preserve">The appeal is dismissed with costs. </w:t>
      </w:r>
    </w:p>
    <w:p>
      <w:pPr>
        <w:spacing w:after="0" w:line="360" w:lineRule="auto"/>
        <w:jc w:val="right"/>
        <w:rPr>
          <w:rFonts w:ascii="Arial" w:hAnsi="Arial" w:cs="Arial"/>
          <w:sz w:val="24"/>
          <w:szCs w:val="24"/>
        </w:rPr>
      </w:pPr>
    </w:p>
    <w:p>
      <w:pPr>
        <w:spacing w:after="0" w:line="360" w:lineRule="auto"/>
        <w:jc w:val="right"/>
        <w:rPr>
          <w:rFonts w:ascii="Arial" w:hAnsi="Arial" w:cs="Arial"/>
          <w:sz w:val="24"/>
          <w:szCs w:val="24"/>
        </w:rPr>
      </w:pPr>
    </w:p>
    <w:p>
      <w:pPr>
        <w:spacing w:after="0" w:line="360" w:lineRule="auto"/>
        <w:jc w:val="right"/>
        <w:rPr>
          <w:rFonts w:ascii="Arial" w:hAnsi="Arial" w:cs="Arial"/>
          <w:sz w:val="24"/>
          <w:szCs w:val="24"/>
        </w:rPr>
      </w:pPr>
      <w:r>
        <w:rPr>
          <w:rFonts w:ascii="Arial" w:hAnsi="Arial" w:cs="Arial"/>
          <w:sz w:val="24"/>
          <w:szCs w:val="24"/>
        </w:rPr>
        <w:t>__________________</w:t>
      </w:r>
    </w:p>
    <w:p>
      <w:pPr>
        <w:spacing w:after="0" w:line="360" w:lineRule="auto"/>
        <w:jc w:val="right"/>
        <w:rPr>
          <w:rFonts w:ascii="Arial" w:hAnsi="Arial" w:cs="Arial"/>
          <w:sz w:val="24"/>
          <w:szCs w:val="24"/>
        </w:rPr>
      </w:pPr>
      <w:r>
        <w:rPr>
          <w:rFonts w:ascii="Arial" w:hAnsi="Arial" w:cs="Arial"/>
          <w:sz w:val="24"/>
          <w:szCs w:val="24"/>
        </w:rPr>
        <w:t>H K SALDULKER</w:t>
      </w:r>
    </w:p>
    <w:p>
      <w:pPr>
        <w:spacing w:after="0" w:line="360" w:lineRule="auto"/>
        <w:jc w:val="right"/>
        <w:rPr>
          <w:rFonts w:ascii="Arial" w:hAnsi="Arial" w:cs="Arial"/>
          <w:sz w:val="24"/>
          <w:szCs w:val="24"/>
        </w:rPr>
      </w:pPr>
      <w:r>
        <w:rPr>
          <w:rFonts w:ascii="Arial" w:hAnsi="Arial" w:cs="Arial"/>
          <w:sz w:val="24"/>
          <w:szCs w:val="24"/>
        </w:rPr>
        <w:t>JUDGE OF APPEAL</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APPEARANCES</w:t>
      </w:r>
    </w:p>
    <w:p>
      <w:pPr>
        <w:spacing w:after="0" w:line="360" w:lineRule="auto"/>
        <w:ind w:left="4320" w:hanging="4320"/>
        <w:jc w:val="both"/>
        <w:rPr>
          <w:rFonts w:ascii="Arial" w:hAnsi="Arial" w:cs="Arial"/>
          <w:sz w:val="24"/>
          <w:szCs w:val="24"/>
        </w:rPr>
      </w:pPr>
    </w:p>
    <w:p>
      <w:pPr>
        <w:spacing w:after="0" w:line="360" w:lineRule="auto"/>
        <w:ind w:left="3402" w:hanging="3402"/>
        <w:rPr>
          <w:rFonts w:ascii="Arial" w:hAnsi="Arial" w:cs="Arial"/>
          <w:sz w:val="24"/>
          <w:szCs w:val="24"/>
        </w:rPr>
      </w:pPr>
      <w:r>
        <w:rPr>
          <w:rFonts w:ascii="Arial" w:hAnsi="Arial" w:cs="Arial"/>
          <w:sz w:val="24"/>
          <w:szCs w:val="24"/>
        </w:rPr>
        <w:t>For appellants:</w:t>
      </w:r>
      <w:r>
        <w:rPr>
          <w:rFonts w:ascii="Arial" w:hAnsi="Arial" w:cs="Arial"/>
          <w:sz w:val="24"/>
          <w:szCs w:val="24"/>
        </w:rPr>
        <w:tab/>
      </w:r>
      <w:r>
        <w:rPr>
          <w:rFonts w:ascii="Arial" w:hAnsi="Arial" w:cs="Arial"/>
          <w:sz w:val="24"/>
          <w:szCs w:val="24"/>
        </w:rPr>
        <w:t>D Prinsloo (with M Bresler)</w:t>
      </w:r>
    </w:p>
    <w:p>
      <w:pPr>
        <w:spacing w:after="0" w:line="360" w:lineRule="auto"/>
        <w:ind w:left="3402" w:hanging="3402"/>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Naude &amp; Britz Attorneys, Polokwane</w:t>
      </w:r>
    </w:p>
    <w:p>
      <w:pPr>
        <w:spacing w:after="0" w:line="360" w:lineRule="auto"/>
        <w:ind w:left="3402"/>
        <w:rPr>
          <w:rFonts w:ascii="Arial" w:hAnsi="Arial" w:cs="Arial"/>
          <w:sz w:val="24"/>
          <w:szCs w:val="24"/>
        </w:rPr>
      </w:pPr>
      <w:r>
        <w:rPr>
          <w:rFonts w:ascii="Arial" w:hAnsi="Arial" w:cs="Arial"/>
          <w:sz w:val="24"/>
          <w:szCs w:val="24"/>
        </w:rPr>
        <w:t>Symington &amp; De Kok Incorporated, Bloemfontein</w:t>
      </w:r>
    </w:p>
    <w:p>
      <w:pPr>
        <w:spacing w:after="0" w:line="360" w:lineRule="auto"/>
        <w:rPr>
          <w:rFonts w:ascii="Arial" w:hAnsi="Arial" w:cs="Arial"/>
          <w:sz w:val="24"/>
          <w:szCs w:val="24"/>
        </w:rPr>
      </w:pPr>
    </w:p>
    <w:p>
      <w:pPr>
        <w:spacing w:after="0" w:line="360" w:lineRule="auto"/>
        <w:ind w:left="3402" w:hanging="3402"/>
        <w:rPr>
          <w:rFonts w:ascii="Arial" w:hAnsi="Arial" w:cs="Arial"/>
          <w:sz w:val="24"/>
          <w:szCs w:val="24"/>
        </w:rPr>
      </w:pPr>
      <w:r>
        <w:rPr>
          <w:rFonts w:ascii="Arial" w:hAnsi="Arial" w:cs="Arial"/>
          <w:sz w:val="24"/>
          <w:szCs w:val="24"/>
        </w:rPr>
        <w:t>For respondents:</w:t>
      </w:r>
      <w:r>
        <w:rPr>
          <w:rFonts w:ascii="Arial" w:hAnsi="Arial" w:cs="Arial"/>
          <w:sz w:val="24"/>
          <w:szCs w:val="24"/>
        </w:rPr>
        <w:tab/>
      </w:r>
      <w:r>
        <w:rPr>
          <w:rFonts w:ascii="Arial" w:hAnsi="Arial" w:cs="Arial"/>
          <w:sz w:val="24"/>
          <w:szCs w:val="24"/>
        </w:rPr>
        <w:t>M E Phooko</w:t>
      </w:r>
    </w:p>
    <w:p>
      <w:pPr>
        <w:spacing w:after="0" w:line="360" w:lineRule="auto"/>
        <w:ind w:left="3402" w:hanging="3402"/>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Moloko Phooko Attorneys, Polokwane</w:t>
      </w:r>
    </w:p>
    <w:p>
      <w:pPr>
        <w:spacing w:after="0" w:line="360" w:lineRule="auto"/>
        <w:ind w:left="2682" w:firstLine="720"/>
        <w:rPr>
          <w:rFonts w:ascii="Arial" w:hAnsi="Arial" w:cs="Arial"/>
          <w:sz w:val="24"/>
          <w:szCs w:val="24"/>
        </w:rPr>
      </w:pPr>
      <w:r>
        <w:rPr>
          <w:rFonts w:ascii="Arial" w:hAnsi="Arial" w:cs="Arial"/>
          <w:sz w:val="24"/>
          <w:szCs w:val="24"/>
        </w:rPr>
        <w:t>Phatshoane Henney Attorneys, Bloemfontein</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sectPr>
      <w:headerReference r:id="rId5" w:type="default"/>
      <w:pgSz w:w="11906" w:h="16838"/>
      <w:pgMar w:top="1440" w:right="1466" w:bottom="1440" w:left="156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10"/>
        <w:jc w:val="both"/>
        <w:rPr>
          <w:rFonts w:ascii="Arial" w:hAnsi="Arial" w:cs="Arial"/>
        </w:rPr>
      </w:pPr>
      <w:r>
        <w:rPr>
          <w:rStyle w:val="9"/>
          <w:rFonts w:ascii="Arial" w:hAnsi="Arial" w:cs="Arial"/>
        </w:rPr>
        <w:footnoteRef/>
      </w:r>
      <w:r>
        <w:rPr>
          <w:rFonts w:ascii="Arial" w:hAnsi="Arial" w:cs="Arial"/>
        </w:rPr>
        <w:t xml:space="preserve"> The magistrate granted the following order: the eviction of the cattle or livestock from the property; the sheriff or pound master </w:t>
      </w:r>
      <w:r>
        <w:rPr>
          <w:rFonts w:ascii="Arial" w:hAnsi="Arial" w:cs="Arial"/>
          <w:bCs/>
        </w:rPr>
        <w:t xml:space="preserve">keep the cattle or livestock in pound until the respondents have paid the costs of the application; the respondents are interdicted from grazing their cattle or livestock on the property; and the respondents to pay the party and party costs. </w:t>
      </w:r>
    </w:p>
  </w:footnote>
  <w:footnote w:id="1">
    <w:p>
      <w:pPr>
        <w:pStyle w:val="10"/>
        <w:jc w:val="both"/>
        <w:rPr>
          <w:rFonts w:ascii="Arial" w:hAnsi="Arial" w:cs="Arial"/>
        </w:rPr>
      </w:pPr>
      <w:r>
        <w:rPr>
          <w:rStyle w:val="9"/>
          <w:rFonts w:ascii="Arial" w:hAnsi="Arial" w:cs="Arial"/>
        </w:rPr>
        <w:footnoteRef/>
      </w:r>
      <w:r>
        <w:rPr>
          <w:rFonts w:ascii="Arial" w:hAnsi="Arial" w:cs="Arial"/>
        </w:rPr>
        <w:t xml:space="preserve"> </w:t>
      </w:r>
      <w:r>
        <w:rPr>
          <w:rFonts w:ascii="Arial" w:hAnsi="Arial" w:cs="Arial"/>
          <w:i/>
        </w:rPr>
        <w:t>Chetty v Naidoo</w:t>
      </w:r>
      <w:r>
        <w:rPr>
          <w:rFonts w:ascii="Arial" w:hAnsi="Arial" w:cs="Arial"/>
        </w:rPr>
        <w:t xml:space="preserve"> [1974] 3 All SA 304 (A) at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6664524"/>
      <w:docPartObj>
        <w:docPartGallery w:val="AutoText"/>
      </w:docPartObj>
    </w:sdtPr>
    <w:sdtEndPr>
      <w:rPr>
        <w:rFonts w:ascii="Arial" w:hAnsi="Arial" w:cs="Arial"/>
      </w:rPr>
    </w:sdtEndPr>
    <w:sdtContent>
      <w:p>
        <w:pPr>
          <w:pStyle w:val="11"/>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7</w:t>
        </w:r>
        <w:r>
          <w:rPr>
            <w:rFonts w:ascii="Arial" w:hAnsi="Arial" w:cs="Arial"/>
          </w:rP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A3A68"/>
    <w:multiLevelType w:val="multilevel"/>
    <w:tmpl w:val="052A3A68"/>
    <w:lvl w:ilvl="0" w:tentative="0">
      <w:start w:val="1"/>
      <w:numFmt w:val="decimal"/>
      <w:lvlText w:val="[%1]"/>
      <w:lvlJc w:val="left"/>
      <w:pPr>
        <w:ind w:left="720" w:hanging="360"/>
      </w:pPr>
      <w:rPr>
        <w:rFonts w:hint="default" w:ascii="Arial" w:hAnsi="Arial" w:cs="Arial"/>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61D13BD"/>
    <w:multiLevelType w:val="multilevel"/>
    <w:tmpl w:val="461D13BD"/>
    <w:lvl w:ilvl="0" w:tentative="0">
      <w:start w:val="1"/>
      <w:numFmt w:val="decimal"/>
      <w:pStyle w:val="22"/>
      <w:lvlText w:val="[%1]"/>
      <w:lvlJc w:val="left"/>
      <w:pPr>
        <w:tabs>
          <w:tab w:val="left" w:pos="680"/>
        </w:tabs>
      </w:pPr>
      <w:rPr>
        <w:rFonts w:hint="default"/>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8A0AE2-ACEE-46EE-A0FA-181D2F66283F}"/>
    <w:docVar w:name="dgnword-eventsink" w:val="234563984"/>
    <w:docVar w:name="dgnword-lastRevisionsView" w:val="0"/>
  </w:docVars>
  <w:rsids>
    <w:rsidRoot w:val="004F2069"/>
    <w:rsid w:val="00001118"/>
    <w:rsid w:val="000016F0"/>
    <w:rsid w:val="00004589"/>
    <w:rsid w:val="0000698E"/>
    <w:rsid w:val="000071E8"/>
    <w:rsid w:val="00011586"/>
    <w:rsid w:val="00013CBE"/>
    <w:rsid w:val="00014E1E"/>
    <w:rsid w:val="00015120"/>
    <w:rsid w:val="0001596E"/>
    <w:rsid w:val="00015BD4"/>
    <w:rsid w:val="000166C9"/>
    <w:rsid w:val="000169B7"/>
    <w:rsid w:val="0002022B"/>
    <w:rsid w:val="00021CF5"/>
    <w:rsid w:val="00021E88"/>
    <w:rsid w:val="000241E5"/>
    <w:rsid w:val="00025BD2"/>
    <w:rsid w:val="00025FBE"/>
    <w:rsid w:val="00031217"/>
    <w:rsid w:val="000324E8"/>
    <w:rsid w:val="000334AF"/>
    <w:rsid w:val="0003465F"/>
    <w:rsid w:val="0003541F"/>
    <w:rsid w:val="00036D78"/>
    <w:rsid w:val="00037C66"/>
    <w:rsid w:val="00037E0E"/>
    <w:rsid w:val="00040A5A"/>
    <w:rsid w:val="00042B33"/>
    <w:rsid w:val="000449AD"/>
    <w:rsid w:val="00045BB8"/>
    <w:rsid w:val="00046287"/>
    <w:rsid w:val="00046546"/>
    <w:rsid w:val="0004677A"/>
    <w:rsid w:val="0004722F"/>
    <w:rsid w:val="000507A7"/>
    <w:rsid w:val="00053B63"/>
    <w:rsid w:val="00055169"/>
    <w:rsid w:val="00056204"/>
    <w:rsid w:val="00056FD1"/>
    <w:rsid w:val="00060F96"/>
    <w:rsid w:val="000610E4"/>
    <w:rsid w:val="0006256D"/>
    <w:rsid w:val="000626EC"/>
    <w:rsid w:val="00063628"/>
    <w:rsid w:val="00063EE8"/>
    <w:rsid w:val="0006436E"/>
    <w:rsid w:val="0006567B"/>
    <w:rsid w:val="00065F14"/>
    <w:rsid w:val="00066EFF"/>
    <w:rsid w:val="00067681"/>
    <w:rsid w:val="00073420"/>
    <w:rsid w:val="00074FA4"/>
    <w:rsid w:val="00075010"/>
    <w:rsid w:val="00075406"/>
    <w:rsid w:val="00081FB3"/>
    <w:rsid w:val="00082278"/>
    <w:rsid w:val="00084035"/>
    <w:rsid w:val="00090AD2"/>
    <w:rsid w:val="000979BB"/>
    <w:rsid w:val="000A07C0"/>
    <w:rsid w:val="000A12B2"/>
    <w:rsid w:val="000A1D66"/>
    <w:rsid w:val="000A3350"/>
    <w:rsid w:val="000A37CF"/>
    <w:rsid w:val="000A5723"/>
    <w:rsid w:val="000A5911"/>
    <w:rsid w:val="000A6342"/>
    <w:rsid w:val="000A7850"/>
    <w:rsid w:val="000A7DE1"/>
    <w:rsid w:val="000B0347"/>
    <w:rsid w:val="000B3067"/>
    <w:rsid w:val="000B4437"/>
    <w:rsid w:val="000B4546"/>
    <w:rsid w:val="000B45C8"/>
    <w:rsid w:val="000B669C"/>
    <w:rsid w:val="000B7A3F"/>
    <w:rsid w:val="000B7A85"/>
    <w:rsid w:val="000C1044"/>
    <w:rsid w:val="000C1322"/>
    <w:rsid w:val="000C19C9"/>
    <w:rsid w:val="000C2DB3"/>
    <w:rsid w:val="000C2DDA"/>
    <w:rsid w:val="000C4B78"/>
    <w:rsid w:val="000D35B8"/>
    <w:rsid w:val="000D5BF6"/>
    <w:rsid w:val="000E35C4"/>
    <w:rsid w:val="000E4D33"/>
    <w:rsid w:val="000E6FD8"/>
    <w:rsid w:val="000E75CF"/>
    <w:rsid w:val="000E7B49"/>
    <w:rsid w:val="000F06A9"/>
    <w:rsid w:val="00104DDF"/>
    <w:rsid w:val="00105C25"/>
    <w:rsid w:val="001079B5"/>
    <w:rsid w:val="00110377"/>
    <w:rsid w:val="00113033"/>
    <w:rsid w:val="00113D53"/>
    <w:rsid w:val="001166C8"/>
    <w:rsid w:val="001203D3"/>
    <w:rsid w:val="00121F90"/>
    <w:rsid w:val="00123099"/>
    <w:rsid w:val="0012360B"/>
    <w:rsid w:val="00124A4A"/>
    <w:rsid w:val="00126389"/>
    <w:rsid w:val="00126994"/>
    <w:rsid w:val="00127AA0"/>
    <w:rsid w:val="001314F8"/>
    <w:rsid w:val="00134683"/>
    <w:rsid w:val="001347EA"/>
    <w:rsid w:val="00135287"/>
    <w:rsid w:val="001355AA"/>
    <w:rsid w:val="00135E1C"/>
    <w:rsid w:val="001366E3"/>
    <w:rsid w:val="00140B45"/>
    <w:rsid w:val="00142FF0"/>
    <w:rsid w:val="0014559A"/>
    <w:rsid w:val="00147FA7"/>
    <w:rsid w:val="001543B0"/>
    <w:rsid w:val="0015449B"/>
    <w:rsid w:val="0015623E"/>
    <w:rsid w:val="001600F3"/>
    <w:rsid w:val="00161AB7"/>
    <w:rsid w:val="001627FB"/>
    <w:rsid w:val="001629C7"/>
    <w:rsid w:val="00163EAB"/>
    <w:rsid w:val="00163F0B"/>
    <w:rsid w:val="0016519C"/>
    <w:rsid w:val="00165788"/>
    <w:rsid w:val="00166334"/>
    <w:rsid w:val="001666FF"/>
    <w:rsid w:val="001676EA"/>
    <w:rsid w:val="001725A5"/>
    <w:rsid w:val="00172C69"/>
    <w:rsid w:val="0017685C"/>
    <w:rsid w:val="00177A6A"/>
    <w:rsid w:val="0018004A"/>
    <w:rsid w:val="00180914"/>
    <w:rsid w:val="00182715"/>
    <w:rsid w:val="00184972"/>
    <w:rsid w:val="001859D4"/>
    <w:rsid w:val="00187391"/>
    <w:rsid w:val="001918A3"/>
    <w:rsid w:val="00191C40"/>
    <w:rsid w:val="001938CB"/>
    <w:rsid w:val="00194FEF"/>
    <w:rsid w:val="00195CD6"/>
    <w:rsid w:val="00195E59"/>
    <w:rsid w:val="00196A54"/>
    <w:rsid w:val="001978CF"/>
    <w:rsid w:val="001A1E69"/>
    <w:rsid w:val="001A2620"/>
    <w:rsid w:val="001A28C9"/>
    <w:rsid w:val="001B09B5"/>
    <w:rsid w:val="001B243E"/>
    <w:rsid w:val="001B2EAD"/>
    <w:rsid w:val="001B3983"/>
    <w:rsid w:val="001B4081"/>
    <w:rsid w:val="001B647B"/>
    <w:rsid w:val="001B6913"/>
    <w:rsid w:val="001B6E4F"/>
    <w:rsid w:val="001B7BF2"/>
    <w:rsid w:val="001C0862"/>
    <w:rsid w:val="001C1FFE"/>
    <w:rsid w:val="001C36C5"/>
    <w:rsid w:val="001C3A45"/>
    <w:rsid w:val="001C6687"/>
    <w:rsid w:val="001D26A3"/>
    <w:rsid w:val="001D2B95"/>
    <w:rsid w:val="001D2B9A"/>
    <w:rsid w:val="001D389B"/>
    <w:rsid w:val="001D5EAA"/>
    <w:rsid w:val="001E44C2"/>
    <w:rsid w:val="001E5EE4"/>
    <w:rsid w:val="001E6DD4"/>
    <w:rsid w:val="001E6E09"/>
    <w:rsid w:val="001E7102"/>
    <w:rsid w:val="001E7F79"/>
    <w:rsid w:val="001F0A9E"/>
    <w:rsid w:val="001F16FA"/>
    <w:rsid w:val="001F4C56"/>
    <w:rsid w:val="001F7B89"/>
    <w:rsid w:val="002041D8"/>
    <w:rsid w:val="00210DEC"/>
    <w:rsid w:val="00211431"/>
    <w:rsid w:val="00212CA7"/>
    <w:rsid w:val="002131DF"/>
    <w:rsid w:val="00216108"/>
    <w:rsid w:val="00216C29"/>
    <w:rsid w:val="00217161"/>
    <w:rsid w:val="002227A7"/>
    <w:rsid w:val="00223461"/>
    <w:rsid w:val="00223656"/>
    <w:rsid w:val="002257D8"/>
    <w:rsid w:val="00227178"/>
    <w:rsid w:val="00231792"/>
    <w:rsid w:val="00231963"/>
    <w:rsid w:val="00232BF6"/>
    <w:rsid w:val="0024032B"/>
    <w:rsid w:val="00247EA6"/>
    <w:rsid w:val="002509BB"/>
    <w:rsid w:val="00252593"/>
    <w:rsid w:val="00252F3C"/>
    <w:rsid w:val="00253CEA"/>
    <w:rsid w:val="00257812"/>
    <w:rsid w:val="002605C5"/>
    <w:rsid w:val="00260A6A"/>
    <w:rsid w:val="0026143F"/>
    <w:rsid w:val="00262391"/>
    <w:rsid w:val="0026375C"/>
    <w:rsid w:val="00264A52"/>
    <w:rsid w:val="00267863"/>
    <w:rsid w:val="00270C70"/>
    <w:rsid w:val="00272624"/>
    <w:rsid w:val="00276B9E"/>
    <w:rsid w:val="00277381"/>
    <w:rsid w:val="00277B49"/>
    <w:rsid w:val="00277D3F"/>
    <w:rsid w:val="00281954"/>
    <w:rsid w:val="0028423C"/>
    <w:rsid w:val="00287140"/>
    <w:rsid w:val="002925E2"/>
    <w:rsid w:val="00292AA1"/>
    <w:rsid w:val="002A2444"/>
    <w:rsid w:val="002A382D"/>
    <w:rsid w:val="002A443E"/>
    <w:rsid w:val="002A475F"/>
    <w:rsid w:val="002A6A44"/>
    <w:rsid w:val="002A70F6"/>
    <w:rsid w:val="002B03EA"/>
    <w:rsid w:val="002B11DB"/>
    <w:rsid w:val="002B1827"/>
    <w:rsid w:val="002B1F72"/>
    <w:rsid w:val="002B4435"/>
    <w:rsid w:val="002B6457"/>
    <w:rsid w:val="002B7541"/>
    <w:rsid w:val="002C13FE"/>
    <w:rsid w:val="002C1EDE"/>
    <w:rsid w:val="002C405B"/>
    <w:rsid w:val="002C741B"/>
    <w:rsid w:val="002C7A82"/>
    <w:rsid w:val="002C7F4F"/>
    <w:rsid w:val="002D5DD9"/>
    <w:rsid w:val="002E2E87"/>
    <w:rsid w:val="002E3DC9"/>
    <w:rsid w:val="002E6169"/>
    <w:rsid w:val="002E739E"/>
    <w:rsid w:val="002E75C9"/>
    <w:rsid w:val="002E7D6A"/>
    <w:rsid w:val="002F166A"/>
    <w:rsid w:val="002F1C2E"/>
    <w:rsid w:val="002F2FA1"/>
    <w:rsid w:val="002F4C70"/>
    <w:rsid w:val="002F548A"/>
    <w:rsid w:val="002F5D0D"/>
    <w:rsid w:val="002F70E4"/>
    <w:rsid w:val="002F7AB2"/>
    <w:rsid w:val="00300300"/>
    <w:rsid w:val="00300BD5"/>
    <w:rsid w:val="00300EEB"/>
    <w:rsid w:val="00304398"/>
    <w:rsid w:val="0030458F"/>
    <w:rsid w:val="00304763"/>
    <w:rsid w:val="00304FE5"/>
    <w:rsid w:val="00305613"/>
    <w:rsid w:val="0030614A"/>
    <w:rsid w:val="0030616F"/>
    <w:rsid w:val="00307B6F"/>
    <w:rsid w:val="00310BF2"/>
    <w:rsid w:val="00310F09"/>
    <w:rsid w:val="0031450F"/>
    <w:rsid w:val="00316461"/>
    <w:rsid w:val="00317E9E"/>
    <w:rsid w:val="0032128A"/>
    <w:rsid w:val="003217BB"/>
    <w:rsid w:val="00321D6E"/>
    <w:rsid w:val="003240C4"/>
    <w:rsid w:val="00326340"/>
    <w:rsid w:val="00326E30"/>
    <w:rsid w:val="003275D9"/>
    <w:rsid w:val="00327B4B"/>
    <w:rsid w:val="003304FC"/>
    <w:rsid w:val="00331A2C"/>
    <w:rsid w:val="00332DF5"/>
    <w:rsid w:val="00333EAB"/>
    <w:rsid w:val="00334F80"/>
    <w:rsid w:val="003360C0"/>
    <w:rsid w:val="00342252"/>
    <w:rsid w:val="00344139"/>
    <w:rsid w:val="00344A84"/>
    <w:rsid w:val="003462FE"/>
    <w:rsid w:val="00347902"/>
    <w:rsid w:val="0035102A"/>
    <w:rsid w:val="00351583"/>
    <w:rsid w:val="003518C4"/>
    <w:rsid w:val="00352D50"/>
    <w:rsid w:val="00354774"/>
    <w:rsid w:val="00354B1C"/>
    <w:rsid w:val="0035543E"/>
    <w:rsid w:val="00355B17"/>
    <w:rsid w:val="00355F90"/>
    <w:rsid w:val="00356345"/>
    <w:rsid w:val="00361485"/>
    <w:rsid w:val="003620CB"/>
    <w:rsid w:val="00364408"/>
    <w:rsid w:val="0036467F"/>
    <w:rsid w:val="00366032"/>
    <w:rsid w:val="00372BEF"/>
    <w:rsid w:val="00373C00"/>
    <w:rsid w:val="003820AB"/>
    <w:rsid w:val="00382860"/>
    <w:rsid w:val="003927B7"/>
    <w:rsid w:val="00392BD3"/>
    <w:rsid w:val="003935A6"/>
    <w:rsid w:val="00394536"/>
    <w:rsid w:val="00394D38"/>
    <w:rsid w:val="00395BE7"/>
    <w:rsid w:val="003A0DE2"/>
    <w:rsid w:val="003A1C64"/>
    <w:rsid w:val="003A2255"/>
    <w:rsid w:val="003A3CB6"/>
    <w:rsid w:val="003A4109"/>
    <w:rsid w:val="003A454C"/>
    <w:rsid w:val="003A4C09"/>
    <w:rsid w:val="003A624F"/>
    <w:rsid w:val="003A7A66"/>
    <w:rsid w:val="003A7B5A"/>
    <w:rsid w:val="003B3209"/>
    <w:rsid w:val="003B48B7"/>
    <w:rsid w:val="003B4AD6"/>
    <w:rsid w:val="003B4FD2"/>
    <w:rsid w:val="003B5028"/>
    <w:rsid w:val="003B7BC3"/>
    <w:rsid w:val="003B7CA5"/>
    <w:rsid w:val="003C523E"/>
    <w:rsid w:val="003C5BEF"/>
    <w:rsid w:val="003C670A"/>
    <w:rsid w:val="003C7714"/>
    <w:rsid w:val="003D65C7"/>
    <w:rsid w:val="003D7135"/>
    <w:rsid w:val="003E381E"/>
    <w:rsid w:val="003E4B63"/>
    <w:rsid w:val="003E570C"/>
    <w:rsid w:val="003E749D"/>
    <w:rsid w:val="003E780F"/>
    <w:rsid w:val="003F20C7"/>
    <w:rsid w:val="003F57ED"/>
    <w:rsid w:val="00400B95"/>
    <w:rsid w:val="0040636E"/>
    <w:rsid w:val="00406492"/>
    <w:rsid w:val="00407A78"/>
    <w:rsid w:val="00407B85"/>
    <w:rsid w:val="00407D52"/>
    <w:rsid w:val="00407DD4"/>
    <w:rsid w:val="004108F3"/>
    <w:rsid w:val="00411A03"/>
    <w:rsid w:val="00411E28"/>
    <w:rsid w:val="0041330F"/>
    <w:rsid w:val="004147DC"/>
    <w:rsid w:val="00414D3E"/>
    <w:rsid w:val="00415E3F"/>
    <w:rsid w:val="00424358"/>
    <w:rsid w:val="004257D8"/>
    <w:rsid w:val="004266C0"/>
    <w:rsid w:val="004269E1"/>
    <w:rsid w:val="004331D1"/>
    <w:rsid w:val="0043462E"/>
    <w:rsid w:val="00434EBE"/>
    <w:rsid w:val="00435671"/>
    <w:rsid w:val="00435F6C"/>
    <w:rsid w:val="004401A9"/>
    <w:rsid w:val="004403AC"/>
    <w:rsid w:val="004413BB"/>
    <w:rsid w:val="00441D20"/>
    <w:rsid w:val="004420BB"/>
    <w:rsid w:val="00443B0D"/>
    <w:rsid w:val="0044452A"/>
    <w:rsid w:val="004455C8"/>
    <w:rsid w:val="004460A8"/>
    <w:rsid w:val="004505BE"/>
    <w:rsid w:val="00452E8E"/>
    <w:rsid w:val="00455060"/>
    <w:rsid w:val="00456024"/>
    <w:rsid w:val="00461082"/>
    <w:rsid w:val="00461DC6"/>
    <w:rsid w:val="00462542"/>
    <w:rsid w:val="00464EAB"/>
    <w:rsid w:val="0047088F"/>
    <w:rsid w:val="004708E3"/>
    <w:rsid w:val="00473C5D"/>
    <w:rsid w:val="00475429"/>
    <w:rsid w:val="004809AE"/>
    <w:rsid w:val="00480CBF"/>
    <w:rsid w:val="004838CA"/>
    <w:rsid w:val="00487ACF"/>
    <w:rsid w:val="00487BBB"/>
    <w:rsid w:val="004952BF"/>
    <w:rsid w:val="004959DF"/>
    <w:rsid w:val="004971DB"/>
    <w:rsid w:val="0049748F"/>
    <w:rsid w:val="004A04B6"/>
    <w:rsid w:val="004A1354"/>
    <w:rsid w:val="004A272E"/>
    <w:rsid w:val="004A31E4"/>
    <w:rsid w:val="004A4C3F"/>
    <w:rsid w:val="004A56F7"/>
    <w:rsid w:val="004A5B68"/>
    <w:rsid w:val="004A7D93"/>
    <w:rsid w:val="004B11E8"/>
    <w:rsid w:val="004B1816"/>
    <w:rsid w:val="004B6177"/>
    <w:rsid w:val="004B6E7F"/>
    <w:rsid w:val="004C0D53"/>
    <w:rsid w:val="004C17AB"/>
    <w:rsid w:val="004C2716"/>
    <w:rsid w:val="004C4D30"/>
    <w:rsid w:val="004C5222"/>
    <w:rsid w:val="004C54BC"/>
    <w:rsid w:val="004C59CC"/>
    <w:rsid w:val="004C68E3"/>
    <w:rsid w:val="004D0DF3"/>
    <w:rsid w:val="004D277A"/>
    <w:rsid w:val="004D2C6A"/>
    <w:rsid w:val="004D4BC1"/>
    <w:rsid w:val="004D4F19"/>
    <w:rsid w:val="004D552E"/>
    <w:rsid w:val="004D587A"/>
    <w:rsid w:val="004E10E2"/>
    <w:rsid w:val="004E4FF1"/>
    <w:rsid w:val="004E5464"/>
    <w:rsid w:val="004F0EA4"/>
    <w:rsid w:val="004F2069"/>
    <w:rsid w:val="004F3288"/>
    <w:rsid w:val="004F435E"/>
    <w:rsid w:val="004F4BCD"/>
    <w:rsid w:val="004F52D1"/>
    <w:rsid w:val="004F55BB"/>
    <w:rsid w:val="004F5BA4"/>
    <w:rsid w:val="004F696E"/>
    <w:rsid w:val="004F6C17"/>
    <w:rsid w:val="004F6FE2"/>
    <w:rsid w:val="004F70E2"/>
    <w:rsid w:val="004F7296"/>
    <w:rsid w:val="00500C97"/>
    <w:rsid w:val="00501016"/>
    <w:rsid w:val="005011D2"/>
    <w:rsid w:val="005039D2"/>
    <w:rsid w:val="005041CA"/>
    <w:rsid w:val="0050459A"/>
    <w:rsid w:val="00505DDD"/>
    <w:rsid w:val="00510936"/>
    <w:rsid w:val="0051182F"/>
    <w:rsid w:val="00513249"/>
    <w:rsid w:val="0051338B"/>
    <w:rsid w:val="00514748"/>
    <w:rsid w:val="00516161"/>
    <w:rsid w:val="005165D3"/>
    <w:rsid w:val="00517B4F"/>
    <w:rsid w:val="00521217"/>
    <w:rsid w:val="0052124F"/>
    <w:rsid w:val="005213FA"/>
    <w:rsid w:val="00521566"/>
    <w:rsid w:val="0052251C"/>
    <w:rsid w:val="00522EB8"/>
    <w:rsid w:val="00524DAE"/>
    <w:rsid w:val="0052590C"/>
    <w:rsid w:val="00527751"/>
    <w:rsid w:val="00530E22"/>
    <w:rsid w:val="00530F7E"/>
    <w:rsid w:val="00532476"/>
    <w:rsid w:val="00532500"/>
    <w:rsid w:val="005325D9"/>
    <w:rsid w:val="0053293A"/>
    <w:rsid w:val="00533058"/>
    <w:rsid w:val="005407FD"/>
    <w:rsid w:val="005415F7"/>
    <w:rsid w:val="0055199B"/>
    <w:rsid w:val="0055415F"/>
    <w:rsid w:val="00554ED8"/>
    <w:rsid w:val="00555061"/>
    <w:rsid w:val="0055588E"/>
    <w:rsid w:val="005562A0"/>
    <w:rsid w:val="00557BE8"/>
    <w:rsid w:val="00557C63"/>
    <w:rsid w:val="00560280"/>
    <w:rsid w:val="005628FD"/>
    <w:rsid w:val="00563FD9"/>
    <w:rsid w:val="00564268"/>
    <w:rsid w:val="0056497A"/>
    <w:rsid w:val="005657EB"/>
    <w:rsid w:val="00565CC8"/>
    <w:rsid w:val="00567810"/>
    <w:rsid w:val="00571D16"/>
    <w:rsid w:val="005729B6"/>
    <w:rsid w:val="00574767"/>
    <w:rsid w:val="00575852"/>
    <w:rsid w:val="00576B4C"/>
    <w:rsid w:val="0057788F"/>
    <w:rsid w:val="00582A7D"/>
    <w:rsid w:val="00590067"/>
    <w:rsid w:val="00593A8F"/>
    <w:rsid w:val="005958A7"/>
    <w:rsid w:val="005962B5"/>
    <w:rsid w:val="005A029D"/>
    <w:rsid w:val="005A0AA2"/>
    <w:rsid w:val="005A7A3F"/>
    <w:rsid w:val="005B1AFC"/>
    <w:rsid w:val="005B1CF3"/>
    <w:rsid w:val="005B32EB"/>
    <w:rsid w:val="005B3529"/>
    <w:rsid w:val="005B516D"/>
    <w:rsid w:val="005B571B"/>
    <w:rsid w:val="005C0483"/>
    <w:rsid w:val="005C39E1"/>
    <w:rsid w:val="005D01C0"/>
    <w:rsid w:val="005D2AAB"/>
    <w:rsid w:val="005D43BD"/>
    <w:rsid w:val="005D6FE4"/>
    <w:rsid w:val="005E0F77"/>
    <w:rsid w:val="005E1366"/>
    <w:rsid w:val="005E268C"/>
    <w:rsid w:val="005E35CB"/>
    <w:rsid w:val="005E459C"/>
    <w:rsid w:val="005E47E7"/>
    <w:rsid w:val="005E4D9C"/>
    <w:rsid w:val="005F1A1E"/>
    <w:rsid w:val="005F2D5E"/>
    <w:rsid w:val="005F3187"/>
    <w:rsid w:val="005F33A1"/>
    <w:rsid w:val="005F53FD"/>
    <w:rsid w:val="005F5FD4"/>
    <w:rsid w:val="005F7235"/>
    <w:rsid w:val="0060035C"/>
    <w:rsid w:val="0060100A"/>
    <w:rsid w:val="00601C19"/>
    <w:rsid w:val="00602767"/>
    <w:rsid w:val="0060315C"/>
    <w:rsid w:val="006049BD"/>
    <w:rsid w:val="00604F82"/>
    <w:rsid w:val="00604FEA"/>
    <w:rsid w:val="00605568"/>
    <w:rsid w:val="00606938"/>
    <w:rsid w:val="006074EB"/>
    <w:rsid w:val="006112A5"/>
    <w:rsid w:val="006112F1"/>
    <w:rsid w:val="006127ED"/>
    <w:rsid w:val="0061303C"/>
    <w:rsid w:val="006157D8"/>
    <w:rsid w:val="006166F1"/>
    <w:rsid w:val="00616CD6"/>
    <w:rsid w:val="00616F3B"/>
    <w:rsid w:val="00617528"/>
    <w:rsid w:val="0061771C"/>
    <w:rsid w:val="00617B56"/>
    <w:rsid w:val="00622376"/>
    <w:rsid w:val="006224F7"/>
    <w:rsid w:val="00622C42"/>
    <w:rsid w:val="00622F53"/>
    <w:rsid w:val="00623976"/>
    <w:rsid w:val="00624985"/>
    <w:rsid w:val="00625791"/>
    <w:rsid w:val="00627CF0"/>
    <w:rsid w:val="00631477"/>
    <w:rsid w:val="00633951"/>
    <w:rsid w:val="006354BB"/>
    <w:rsid w:val="0063585C"/>
    <w:rsid w:val="00640213"/>
    <w:rsid w:val="0064178A"/>
    <w:rsid w:val="00642152"/>
    <w:rsid w:val="00642DBF"/>
    <w:rsid w:val="006434E1"/>
    <w:rsid w:val="006453FD"/>
    <w:rsid w:val="00646250"/>
    <w:rsid w:val="00646E41"/>
    <w:rsid w:val="00647235"/>
    <w:rsid w:val="00647ED5"/>
    <w:rsid w:val="00650999"/>
    <w:rsid w:val="00650F08"/>
    <w:rsid w:val="00651E2D"/>
    <w:rsid w:val="00652A15"/>
    <w:rsid w:val="00652D88"/>
    <w:rsid w:val="0066163E"/>
    <w:rsid w:val="006636B6"/>
    <w:rsid w:val="006637EF"/>
    <w:rsid w:val="00663B0C"/>
    <w:rsid w:val="00663C37"/>
    <w:rsid w:val="00664EEA"/>
    <w:rsid w:val="00666A12"/>
    <w:rsid w:val="00670D4F"/>
    <w:rsid w:val="00673311"/>
    <w:rsid w:val="006735F7"/>
    <w:rsid w:val="00677939"/>
    <w:rsid w:val="00681700"/>
    <w:rsid w:val="006860B2"/>
    <w:rsid w:val="00686FD5"/>
    <w:rsid w:val="00690373"/>
    <w:rsid w:val="00691967"/>
    <w:rsid w:val="006934D7"/>
    <w:rsid w:val="00694343"/>
    <w:rsid w:val="006965C3"/>
    <w:rsid w:val="00696CB0"/>
    <w:rsid w:val="00696E1E"/>
    <w:rsid w:val="00697D07"/>
    <w:rsid w:val="006A2B15"/>
    <w:rsid w:val="006A2F71"/>
    <w:rsid w:val="006A571E"/>
    <w:rsid w:val="006B02A4"/>
    <w:rsid w:val="006B3B37"/>
    <w:rsid w:val="006B4521"/>
    <w:rsid w:val="006B4898"/>
    <w:rsid w:val="006B5DAE"/>
    <w:rsid w:val="006B7E36"/>
    <w:rsid w:val="006C0200"/>
    <w:rsid w:val="006C2497"/>
    <w:rsid w:val="006C39F8"/>
    <w:rsid w:val="006C737E"/>
    <w:rsid w:val="006C7594"/>
    <w:rsid w:val="006C7776"/>
    <w:rsid w:val="006C7C7C"/>
    <w:rsid w:val="006D1F2A"/>
    <w:rsid w:val="006D2BF7"/>
    <w:rsid w:val="006D6845"/>
    <w:rsid w:val="006E0914"/>
    <w:rsid w:val="006E2352"/>
    <w:rsid w:val="006E2439"/>
    <w:rsid w:val="006E7834"/>
    <w:rsid w:val="006F091C"/>
    <w:rsid w:val="006F1ADB"/>
    <w:rsid w:val="006F3605"/>
    <w:rsid w:val="006F3F35"/>
    <w:rsid w:val="006F6A6F"/>
    <w:rsid w:val="00700DE5"/>
    <w:rsid w:val="00701D0B"/>
    <w:rsid w:val="0070345A"/>
    <w:rsid w:val="007046F8"/>
    <w:rsid w:val="00704B67"/>
    <w:rsid w:val="007069BC"/>
    <w:rsid w:val="0071751A"/>
    <w:rsid w:val="00722A22"/>
    <w:rsid w:val="00722AEB"/>
    <w:rsid w:val="00723E38"/>
    <w:rsid w:val="00727495"/>
    <w:rsid w:val="00727E1F"/>
    <w:rsid w:val="00730A35"/>
    <w:rsid w:val="00732479"/>
    <w:rsid w:val="00733340"/>
    <w:rsid w:val="00733682"/>
    <w:rsid w:val="0073384C"/>
    <w:rsid w:val="00733EB3"/>
    <w:rsid w:val="00734472"/>
    <w:rsid w:val="00734A5B"/>
    <w:rsid w:val="00735FAA"/>
    <w:rsid w:val="0073676C"/>
    <w:rsid w:val="00741A4A"/>
    <w:rsid w:val="0074272A"/>
    <w:rsid w:val="007429C1"/>
    <w:rsid w:val="00743E5C"/>
    <w:rsid w:val="00744B0A"/>
    <w:rsid w:val="00750B16"/>
    <w:rsid w:val="0075161A"/>
    <w:rsid w:val="00753824"/>
    <w:rsid w:val="00753BD1"/>
    <w:rsid w:val="007555F2"/>
    <w:rsid w:val="00756465"/>
    <w:rsid w:val="00756641"/>
    <w:rsid w:val="00760BDC"/>
    <w:rsid w:val="00761766"/>
    <w:rsid w:val="00761C0B"/>
    <w:rsid w:val="00762CB8"/>
    <w:rsid w:val="00763386"/>
    <w:rsid w:val="00763BA2"/>
    <w:rsid w:val="00764F3F"/>
    <w:rsid w:val="00765E24"/>
    <w:rsid w:val="007669D5"/>
    <w:rsid w:val="0076790F"/>
    <w:rsid w:val="007730FF"/>
    <w:rsid w:val="00773F50"/>
    <w:rsid w:val="00774C55"/>
    <w:rsid w:val="007750E5"/>
    <w:rsid w:val="00777AB4"/>
    <w:rsid w:val="00777EEA"/>
    <w:rsid w:val="00781150"/>
    <w:rsid w:val="00783AA4"/>
    <w:rsid w:val="007852B9"/>
    <w:rsid w:val="00785EF6"/>
    <w:rsid w:val="0078647E"/>
    <w:rsid w:val="00786AA2"/>
    <w:rsid w:val="007908AA"/>
    <w:rsid w:val="00790BC7"/>
    <w:rsid w:val="00790EF8"/>
    <w:rsid w:val="00791D34"/>
    <w:rsid w:val="0079290A"/>
    <w:rsid w:val="00796041"/>
    <w:rsid w:val="00796DCA"/>
    <w:rsid w:val="0079707E"/>
    <w:rsid w:val="007A10DE"/>
    <w:rsid w:val="007A6313"/>
    <w:rsid w:val="007A7A4C"/>
    <w:rsid w:val="007B150A"/>
    <w:rsid w:val="007B2BB7"/>
    <w:rsid w:val="007B522E"/>
    <w:rsid w:val="007B5A39"/>
    <w:rsid w:val="007C1612"/>
    <w:rsid w:val="007C1F87"/>
    <w:rsid w:val="007C2E4E"/>
    <w:rsid w:val="007C545F"/>
    <w:rsid w:val="007C54F3"/>
    <w:rsid w:val="007C7DB2"/>
    <w:rsid w:val="007D0294"/>
    <w:rsid w:val="007D3E2D"/>
    <w:rsid w:val="007D535B"/>
    <w:rsid w:val="007D5E11"/>
    <w:rsid w:val="007D66AB"/>
    <w:rsid w:val="007E3570"/>
    <w:rsid w:val="007E3972"/>
    <w:rsid w:val="007E645A"/>
    <w:rsid w:val="007E7CD7"/>
    <w:rsid w:val="007F3464"/>
    <w:rsid w:val="007F5EF8"/>
    <w:rsid w:val="007F6859"/>
    <w:rsid w:val="007F7EDE"/>
    <w:rsid w:val="00801A05"/>
    <w:rsid w:val="00806FBA"/>
    <w:rsid w:val="008071D9"/>
    <w:rsid w:val="008121D4"/>
    <w:rsid w:val="008130F7"/>
    <w:rsid w:val="00816309"/>
    <w:rsid w:val="00820D83"/>
    <w:rsid w:val="00821275"/>
    <w:rsid w:val="00822921"/>
    <w:rsid w:val="00823013"/>
    <w:rsid w:val="00823798"/>
    <w:rsid w:val="0082564C"/>
    <w:rsid w:val="00825807"/>
    <w:rsid w:val="008263D3"/>
    <w:rsid w:val="008278FD"/>
    <w:rsid w:val="00834605"/>
    <w:rsid w:val="00841565"/>
    <w:rsid w:val="008417E4"/>
    <w:rsid w:val="00842622"/>
    <w:rsid w:val="00842891"/>
    <w:rsid w:val="00844541"/>
    <w:rsid w:val="008455B3"/>
    <w:rsid w:val="00845AB8"/>
    <w:rsid w:val="00845BC4"/>
    <w:rsid w:val="00846A48"/>
    <w:rsid w:val="00852B13"/>
    <w:rsid w:val="00853C53"/>
    <w:rsid w:val="0085675D"/>
    <w:rsid w:val="0086352C"/>
    <w:rsid w:val="0086403F"/>
    <w:rsid w:val="00864237"/>
    <w:rsid w:val="0087312E"/>
    <w:rsid w:val="0087412C"/>
    <w:rsid w:val="00877259"/>
    <w:rsid w:val="0087754C"/>
    <w:rsid w:val="00880D5D"/>
    <w:rsid w:val="0088297B"/>
    <w:rsid w:val="00883AC6"/>
    <w:rsid w:val="00885D03"/>
    <w:rsid w:val="0088661C"/>
    <w:rsid w:val="00886DBB"/>
    <w:rsid w:val="00890DBD"/>
    <w:rsid w:val="00891BD9"/>
    <w:rsid w:val="008927BD"/>
    <w:rsid w:val="00892E92"/>
    <w:rsid w:val="00895A1C"/>
    <w:rsid w:val="00896010"/>
    <w:rsid w:val="00896810"/>
    <w:rsid w:val="008A20F2"/>
    <w:rsid w:val="008A300F"/>
    <w:rsid w:val="008A3AF8"/>
    <w:rsid w:val="008A5F2E"/>
    <w:rsid w:val="008A657D"/>
    <w:rsid w:val="008A7D10"/>
    <w:rsid w:val="008B0EC4"/>
    <w:rsid w:val="008B0F63"/>
    <w:rsid w:val="008B1D85"/>
    <w:rsid w:val="008B201F"/>
    <w:rsid w:val="008B242A"/>
    <w:rsid w:val="008B45F5"/>
    <w:rsid w:val="008B658A"/>
    <w:rsid w:val="008C03B1"/>
    <w:rsid w:val="008C08E6"/>
    <w:rsid w:val="008C171A"/>
    <w:rsid w:val="008C305D"/>
    <w:rsid w:val="008C3775"/>
    <w:rsid w:val="008C56D7"/>
    <w:rsid w:val="008D1C47"/>
    <w:rsid w:val="008D284D"/>
    <w:rsid w:val="008D39CD"/>
    <w:rsid w:val="008D536E"/>
    <w:rsid w:val="008D68D8"/>
    <w:rsid w:val="008D7973"/>
    <w:rsid w:val="008E0D04"/>
    <w:rsid w:val="008E0D49"/>
    <w:rsid w:val="008E145D"/>
    <w:rsid w:val="008E357C"/>
    <w:rsid w:val="008E3CE9"/>
    <w:rsid w:val="008F6840"/>
    <w:rsid w:val="008F6E02"/>
    <w:rsid w:val="008F7799"/>
    <w:rsid w:val="008F7EF9"/>
    <w:rsid w:val="00901316"/>
    <w:rsid w:val="00901B39"/>
    <w:rsid w:val="00901BE7"/>
    <w:rsid w:val="00901EF4"/>
    <w:rsid w:val="00902EE5"/>
    <w:rsid w:val="00905A31"/>
    <w:rsid w:val="009061C1"/>
    <w:rsid w:val="009062A2"/>
    <w:rsid w:val="00906691"/>
    <w:rsid w:val="009070D4"/>
    <w:rsid w:val="00911A17"/>
    <w:rsid w:val="00915E16"/>
    <w:rsid w:val="009205D3"/>
    <w:rsid w:val="00921F14"/>
    <w:rsid w:val="00923194"/>
    <w:rsid w:val="00924301"/>
    <w:rsid w:val="00925D56"/>
    <w:rsid w:val="009272E1"/>
    <w:rsid w:val="00930180"/>
    <w:rsid w:val="00932673"/>
    <w:rsid w:val="009414FB"/>
    <w:rsid w:val="009420F0"/>
    <w:rsid w:val="00942700"/>
    <w:rsid w:val="009433FF"/>
    <w:rsid w:val="0094789B"/>
    <w:rsid w:val="0095330E"/>
    <w:rsid w:val="00955795"/>
    <w:rsid w:val="00955B2B"/>
    <w:rsid w:val="00956E1A"/>
    <w:rsid w:val="009577DB"/>
    <w:rsid w:val="009645AF"/>
    <w:rsid w:val="00964F9A"/>
    <w:rsid w:val="009676B0"/>
    <w:rsid w:val="00970A0F"/>
    <w:rsid w:val="00972040"/>
    <w:rsid w:val="009725F6"/>
    <w:rsid w:val="009727D8"/>
    <w:rsid w:val="00975ADD"/>
    <w:rsid w:val="009766B1"/>
    <w:rsid w:val="00976E0A"/>
    <w:rsid w:val="00977F16"/>
    <w:rsid w:val="00980EE3"/>
    <w:rsid w:val="00982BE7"/>
    <w:rsid w:val="00982C6F"/>
    <w:rsid w:val="00983682"/>
    <w:rsid w:val="009849C7"/>
    <w:rsid w:val="00985281"/>
    <w:rsid w:val="00985624"/>
    <w:rsid w:val="00985A39"/>
    <w:rsid w:val="00985E02"/>
    <w:rsid w:val="0098686E"/>
    <w:rsid w:val="00992268"/>
    <w:rsid w:val="00993947"/>
    <w:rsid w:val="00993B2B"/>
    <w:rsid w:val="00995319"/>
    <w:rsid w:val="00996618"/>
    <w:rsid w:val="009973C2"/>
    <w:rsid w:val="009A5F04"/>
    <w:rsid w:val="009A72FE"/>
    <w:rsid w:val="009B0300"/>
    <w:rsid w:val="009B09A6"/>
    <w:rsid w:val="009B117A"/>
    <w:rsid w:val="009B1910"/>
    <w:rsid w:val="009B1C72"/>
    <w:rsid w:val="009B350E"/>
    <w:rsid w:val="009B5829"/>
    <w:rsid w:val="009B5843"/>
    <w:rsid w:val="009C02BA"/>
    <w:rsid w:val="009C02CB"/>
    <w:rsid w:val="009C0B69"/>
    <w:rsid w:val="009C2303"/>
    <w:rsid w:val="009C4C2B"/>
    <w:rsid w:val="009C4E1D"/>
    <w:rsid w:val="009C5776"/>
    <w:rsid w:val="009C5B7F"/>
    <w:rsid w:val="009C7932"/>
    <w:rsid w:val="009D04C7"/>
    <w:rsid w:val="009D124C"/>
    <w:rsid w:val="009D18F6"/>
    <w:rsid w:val="009D4208"/>
    <w:rsid w:val="009D5D36"/>
    <w:rsid w:val="009E0D28"/>
    <w:rsid w:val="009E1378"/>
    <w:rsid w:val="009E176C"/>
    <w:rsid w:val="009E18AB"/>
    <w:rsid w:val="009E197A"/>
    <w:rsid w:val="009E1A19"/>
    <w:rsid w:val="009E3177"/>
    <w:rsid w:val="009E66AA"/>
    <w:rsid w:val="009E6838"/>
    <w:rsid w:val="009E6B54"/>
    <w:rsid w:val="009F01F3"/>
    <w:rsid w:val="009F0DCD"/>
    <w:rsid w:val="009F4864"/>
    <w:rsid w:val="009F5ED7"/>
    <w:rsid w:val="009F6AE0"/>
    <w:rsid w:val="00A0560A"/>
    <w:rsid w:val="00A05E40"/>
    <w:rsid w:val="00A068F0"/>
    <w:rsid w:val="00A07E92"/>
    <w:rsid w:val="00A10479"/>
    <w:rsid w:val="00A12131"/>
    <w:rsid w:val="00A121E1"/>
    <w:rsid w:val="00A137C6"/>
    <w:rsid w:val="00A13D82"/>
    <w:rsid w:val="00A14345"/>
    <w:rsid w:val="00A14CF8"/>
    <w:rsid w:val="00A1677B"/>
    <w:rsid w:val="00A16969"/>
    <w:rsid w:val="00A17230"/>
    <w:rsid w:val="00A23416"/>
    <w:rsid w:val="00A270D7"/>
    <w:rsid w:val="00A31000"/>
    <w:rsid w:val="00A31FC1"/>
    <w:rsid w:val="00A335F4"/>
    <w:rsid w:val="00A34D56"/>
    <w:rsid w:val="00A3503E"/>
    <w:rsid w:val="00A36881"/>
    <w:rsid w:val="00A44237"/>
    <w:rsid w:val="00A44D9D"/>
    <w:rsid w:val="00A453D6"/>
    <w:rsid w:val="00A50E0D"/>
    <w:rsid w:val="00A50E5A"/>
    <w:rsid w:val="00A519C1"/>
    <w:rsid w:val="00A53E95"/>
    <w:rsid w:val="00A600B5"/>
    <w:rsid w:val="00A608F5"/>
    <w:rsid w:val="00A60F81"/>
    <w:rsid w:val="00A637B8"/>
    <w:rsid w:val="00A64DE7"/>
    <w:rsid w:val="00A66BBB"/>
    <w:rsid w:val="00A66CFE"/>
    <w:rsid w:val="00A71696"/>
    <w:rsid w:val="00A720A6"/>
    <w:rsid w:val="00A722BE"/>
    <w:rsid w:val="00A72A0E"/>
    <w:rsid w:val="00A72ED5"/>
    <w:rsid w:val="00A738CB"/>
    <w:rsid w:val="00A76300"/>
    <w:rsid w:val="00A8004D"/>
    <w:rsid w:val="00A80CD2"/>
    <w:rsid w:val="00A851E1"/>
    <w:rsid w:val="00A868AB"/>
    <w:rsid w:val="00A92AB9"/>
    <w:rsid w:val="00A9337A"/>
    <w:rsid w:val="00A93DB0"/>
    <w:rsid w:val="00A94543"/>
    <w:rsid w:val="00A94774"/>
    <w:rsid w:val="00A9485A"/>
    <w:rsid w:val="00A94CA8"/>
    <w:rsid w:val="00A94F4D"/>
    <w:rsid w:val="00A957CC"/>
    <w:rsid w:val="00A968D8"/>
    <w:rsid w:val="00A977F6"/>
    <w:rsid w:val="00AB1680"/>
    <w:rsid w:val="00AB1936"/>
    <w:rsid w:val="00AB2938"/>
    <w:rsid w:val="00AB3798"/>
    <w:rsid w:val="00AB5987"/>
    <w:rsid w:val="00AB5A08"/>
    <w:rsid w:val="00AB5AAA"/>
    <w:rsid w:val="00AB6AD3"/>
    <w:rsid w:val="00AC2491"/>
    <w:rsid w:val="00AC45D8"/>
    <w:rsid w:val="00AC4957"/>
    <w:rsid w:val="00AC56DE"/>
    <w:rsid w:val="00AC7359"/>
    <w:rsid w:val="00AD0D9B"/>
    <w:rsid w:val="00AD27B7"/>
    <w:rsid w:val="00AD55AD"/>
    <w:rsid w:val="00AD58EC"/>
    <w:rsid w:val="00AD5EFC"/>
    <w:rsid w:val="00AD63B5"/>
    <w:rsid w:val="00AD6EE9"/>
    <w:rsid w:val="00AD7347"/>
    <w:rsid w:val="00AE0237"/>
    <w:rsid w:val="00AE1684"/>
    <w:rsid w:val="00AE47DE"/>
    <w:rsid w:val="00AE4890"/>
    <w:rsid w:val="00AE4C96"/>
    <w:rsid w:val="00AE5B80"/>
    <w:rsid w:val="00AE603E"/>
    <w:rsid w:val="00AE6132"/>
    <w:rsid w:val="00AE7E96"/>
    <w:rsid w:val="00AF2358"/>
    <w:rsid w:val="00AF266C"/>
    <w:rsid w:val="00AF47F1"/>
    <w:rsid w:val="00AF4A3A"/>
    <w:rsid w:val="00AF54E6"/>
    <w:rsid w:val="00AF5D75"/>
    <w:rsid w:val="00AF7186"/>
    <w:rsid w:val="00AF7D8A"/>
    <w:rsid w:val="00B0076E"/>
    <w:rsid w:val="00B01906"/>
    <w:rsid w:val="00B044BF"/>
    <w:rsid w:val="00B056C1"/>
    <w:rsid w:val="00B11D9C"/>
    <w:rsid w:val="00B1322F"/>
    <w:rsid w:val="00B132A5"/>
    <w:rsid w:val="00B13BE2"/>
    <w:rsid w:val="00B149E9"/>
    <w:rsid w:val="00B15D1D"/>
    <w:rsid w:val="00B20972"/>
    <w:rsid w:val="00B224C4"/>
    <w:rsid w:val="00B25A0F"/>
    <w:rsid w:val="00B31F61"/>
    <w:rsid w:val="00B348F8"/>
    <w:rsid w:val="00B35038"/>
    <w:rsid w:val="00B35313"/>
    <w:rsid w:val="00B36552"/>
    <w:rsid w:val="00B378A9"/>
    <w:rsid w:val="00B405B8"/>
    <w:rsid w:val="00B42A0C"/>
    <w:rsid w:val="00B43B97"/>
    <w:rsid w:val="00B458AF"/>
    <w:rsid w:val="00B46C8F"/>
    <w:rsid w:val="00B51984"/>
    <w:rsid w:val="00B52E2E"/>
    <w:rsid w:val="00B532C5"/>
    <w:rsid w:val="00B53BF5"/>
    <w:rsid w:val="00B603CB"/>
    <w:rsid w:val="00B60BA5"/>
    <w:rsid w:val="00B627BC"/>
    <w:rsid w:val="00B66524"/>
    <w:rsid w:val="00B67E61"/>
    <w:rsid w:val="00B73BC6"/>
    <w:rsid w:val="00B75CAC"/>
    <w:rsid w:val="00B762B7"/>
    <w:rsid w:val="00B76C3C"/>
    <w:rsid w:val="00B845EB"/>
    <w:rsid w:val="00B84698"/>
    <w:rsid w:val="00B84908"/>
    <w:rsid w:val="00B86648"/>
    <w:rsid w:val="00B87618"/>
    <w:rsid w:val="00B878C1"/>
    <w:rsid w:val="00B9125D"/>
    <w:rsid w:val="00B93D44"/>
    <w:rsid w:val="00B94001"/>
    <w:rsid w:val="00B94D2F"/>
    <w:rsid w:val="00B951C4"/>
    <w:rsid w:val="00BA19FB"/>
    <w:rsid w:val="00BA20D3"/>
    <w:rsid w:val="00BA32A5"/>
    <w:rsid w:val="00BA463C"/>
    <w:rsid w:val="00BA6099"/>
    <w:rsid w:val="00BA6AA2"/>
    <w:rsid w:val="00BB0849"/>
    <w:rsid w:val="00BB2D9C"/>
    <w:rsid w:val="00BB3215"/>
    <w:rsid w:val="00BB38D9"/>
    <w:rsid w:val="00BB5554"/>
    <w:rsid w:val="00BB615D"/>
    <w:rsid w:val="00BB6E32"/>
    <w:rsid w:val="00BB704A"/>
    <w:rsid w:val="00BC3E6D"/>
    <w:rsid w:val="00BC3FF1"/>
    <w:rsid w:val="00BC6CAA"/>
    <w:rsid w:val="00BD0BE4"/>
    <w:rsid w:val="00BD3BF6"/>
    <w:rsid w:val="00BD4FF0"/>
    <w:rsid w:val="00BD52E3"/>
    <w:rsid w:val="00BD6105"/>
    <w:rsid w:val="00BE12C6"/>
    <w:rsid w:val="00BE3534"/>
    <w:rsid w:val="00BF0292"/>
    <w:rsid w:val="00BF1081"/>
    <w:rsid w:val="00BF2163"/>
    <w:rsid w:val="00BF3069"/>
    <w:rsid w:val="00BF3353"/>
    <w:rsid w:val="00BF3747"/>
    <w:rsid w:val="00BF4C9B"/>
    <w:rsid w:val="00BF4E3C"/>
    <w:rsid w:val="00BF62A1"/>
    <w:rsid w:val="00C0137A"/>
    <w:rsid w:val="00C0264E"/>
    <w:rsid w:val="00C0517C"/>
    <w:rsid w:val="00C078C4"/>
    <w:rsid w:val="00C12625"/>
    <w:rsid w:val="00C1432B"/>
    <w:rsid w:val="00C16CE9"/>
    <w:rsid w:val="00C17810"/>
    <w:rsid w:val="00C21BC6"/>
    <w:rsid w:val="00C21BD0"/>
    <w:rsid w:val="00C2667A"/>
    <w:rsid w:val="00C27232"/>
    <w:rsid w:val="00C27375"/>
    <w:rsid w:val="00C3060A"/>
    <w:rsid w:val="00C32892"/>
    <w:rsid w:val="00C33C8F"/>
    <w:rsid w:val="00C35891"/>
    <w:rsid w:val="00C362D1"/>
    <w:rsid w:val="00C36D9C"/>
    <w:rsid w:val="00C36F47"/>
    <w:rsid w:val="00C37473"/>
    <w:rsid w:val="00C4040A"/>
    <w:rsid w:val="00C40802"/>
    <w:rsid w:val="00C41334"/>
    <w:rsid w:val="00C4256E"/>
    <w:rsid w:val="00C51442"/>
    <w:rsid w:val="00C518A2"/>
    <w:rsid w:val="00C521F2"/>
    <w:rsid w:val="00C53133"/>
    <w:rsid w:val="00C60C3C"/>
    <w:rsid w:val="00C61D55"/>
    <w:rsid w:val="00C62C51"/>
    <w:rsid w:val="00C645AE"/>
    <w:rsid w:val="00C708F7"/>
    <w:rsid w:val="00C738B6"/>
    <w:rsid w:val="00C75DF9"/>
    <w:rsid w:val="00C762CE"/>
    <w:rsid w:val="00C77CE2"/>
    <w:rsid w:val="00C8087C"/>
    <w:rsid w:val="00C820C9"/>
    <w:rsid w:val="00C91276"/>
    <w:rsid w:val="00C91AAD"/>
    <w:rsid w:val="00C92705"/>
    <w:rsid w:val="00C93D8B"/>
    <w:rsid w:val="00C9508A"/>
    <w:rsid w:val="00C9530A"/>
    <w:rsid w:val="00C95503"/>
    <w:rsid w:val="00C955CF"/>
    <w:rsid w:val="00CA1CF0"/>
    <w:rsid w:val="00CA3581"/>
    <w:rsid w:val="00CA39E4"/>
    <w:rsid w:val="00CA3B2C"/>
    <w:rsid w:val="00CA713A"/>
    <w:rsid w:val="00CB22BA"/>
    <w:rsid w:val="00CB428D"/>
    <w:rsid w:val="00CB42DC"/>
    <w:rsid w:val="00CB48FE"/>
    <w:rsid w:val="00CB4C02"/>
    <w:rsid w:val="00CB59DE"/>
    <w:rsid w:val="00CB5DB2"/>
    <w:rsid w:val="00CB76CC"/>
    <w:rsid w:val="00CB7B24"/>
    <w:rsid w:val="00CC105C"/>
    <w:rsid w:val="00CC1CD4"/>
    <w:rsid w:val="00CC45F1"/>
    <w:rsid w:val="00CD0239"/>
    <w:rsid w:val="00CD29B7"/>
    <w:rsid w:val="00CD345C"/>
    <w:rsid w:val="00CD37A8"/>
    <w:rsid w:val="00CD4B2E"/>
    <w:rsid w:val="00CE0CF1"/>
    <w:rsid w:val="00CE252E"/>
    <w:rsid w:val="00CE2E96"/>
    <w:rsid w:val="00CE4EBF"/>
    <w:rsid w:val="00CE532D"/>
    <w:rsid w:val="00CE69A2"/>
    <w:rsid w:val="00CE7708"/>
    <w:rsid w:val="00CE7DBC"/>
    <w:rsid w:val="00CF0F77"/>
    <w:rsid w:val="00CF13C9"/>
    <w:rsid w:val="00CF150C"/>
    <w:rsid w:val="00CF2B86"/>
    <w:rsid w:val="00D03425"/>
    <w:rsid w:val="00D073FF"/>
    <w:rsid w:val="00D079B7"/>
    <w:rsid w:val="00D07C6B"/>
    <w:rsid w:val="00D07CF7"/>
    <w:rsid w:val="00D07F16"/>
    <w:rsid w:val="00D130C4"/>
    <w:rsid w:val="00D139EB"/>
    <w:rsid w:val="00D15A03"/>
    <w:rsid w:val="00D168FB"/>
    <w:rsid w:val="00D16C8D"/>
    <w:rsid w:val="00D22BDA"/>
    <w:rsid w:val="00D22F7E"/>
    <w:rsid w:val="00D25C18"/>
    <w:rsid w:val="00D25EFE"/>
    <w:rsid w:val="00D268CE"/>
    <w:rsid w:val="00D27695"/>
    <w:rsid w:val="00D30CBC"/>
    <w:rsid w:val="00D31D26"/>
    <w:rsid w:val="00D32DBA"/>
    <w:rsid w:val="00D34DB1"/>
    <w:rsid w:val="00D3570D"/>
    <w:rsid w:val="00D42DB2"/>
    <w:rsid w:val="00D4381B"/>
    <w:rsid w:val="00D44521"/>
    <w:rsid w:val="00D4583C"/>
    <w:rsid w:val="00D46473"/>
    <w:rsid w:val="00D54931"/>
    <w:rsid w:val="00D54939"/>
    <w:rsid w:val="00D55B00"/>
    <w:rsid w:val="00D5616E"/>
    <w:rsid w:val="00D60223"/>
    <w:rsid w:val="00D6140A"/>
    <w:rsid w:val="00D61AC8"/>
    <w:rsid w:val="00D6243F"/>
    <w:rsid w:val="00D64CFA"/>
    <w:rsid w:val="00D67417"/>
    <w:rsid w:val="00D70B69"/>
    <w:rsid w:val="00D71A10"/>
    <w:rsid w:val="00D71DF4"/>
    <w:rsid w:val="00D7397E"/>
    <w:rsid w:val="00D77AA2"/>
    <w:rsid w:val="00D77B88"/>
    <w:rsid w:val="00D80DE2"/>
    <w:rsid w:val="00D816AA"/>
    <w:rsid w:val="00D8248B"/>
    <w:rsid w:val="00D8478D"/>
    <w:rsid w:val="00D872BE"/>
    <w:rsid w:val="00D875DE"/>
    <w:rsid w:val="00D9108C"/>
    <w:rsid w:val="00D9238E"/>
    <w:rsid w:val="00D9310D"/>
    <w:rsid w:val="00D93773"/>
    <w:rsid w:val="00D94083"/>
    <w:rsid w:val="00D976BB"/>
    <w:rsid w:val="00DA367F"/>
    <w:rsid w:val="00DA3A74"/>
    <w:rsid w:val="00DA3ACC"/>
    <w:rsid w:val="00DA4ECE"/>
    <w:rsid w:val="00DB1B42"/>
    <w:rsid w:val="00DB2638"/>
    <w:rsid w:val="00DB4E0B"/>
    <w:rsid w:val="00DB6BD9"/>
    <w:rsid w:val="00DB6E59"/>
    <w:rsid w:val="00DB75EB"/>
    <w:rsid w:val="00DB7611"/>
    <w:rsid w:val="00DB76C5"/>
    <w:rsid w:val="00DC0583"/>
    <w:rsid w:val="00DC0D20"/>
    <w:rsid w:val="00DC2C87"/>
    <w:rsid w:val="00DC347C"/>
    <w:rsid w:val="00DC3F93"/>
    <w:rsid w:val="00DC4E9C"/>
    <w:rsid w:val="00DC605D"/>
    <w:rsid w:val="00DC70AB"/>
    <w:rsid w:val="00DD2498"/>
    <w:rsid w:val="00DD4683"/>
    <w:rsid w:val="00DD7B1B"/>
    <w:rsid w:val="00DE0D59"/>
    <w:rsid w:val="00DE1C8B"/>
    <w:rsid w:val="00DE3DB4"/>
    <w:rsid w:val="00DE4D7F"/>
    <w:rsid w:val="00DF0351"/>
    <w:rsid w:val="00DF0525"/>
    <w:rsid w:val="00DF11CC"/>
    <w:rsid w:val="00DF3F03"/>
    <w:rsid w:val="00DF43A1"/>
    <w:rsid w:val="00DF5E30"/>
    <w:rsid w:val="00DF690F"/>
    <w:rsid w:val="00DF7772"/>
    <w:rsid w:val="00E00337"/>
    <w:rsid w:val="00E020C1"/>
    <w:rsid w:val="00E0344E"/>
    <w:rsid w:val="00E04D16"/>
    <w:rsid w:val="00E07313"/>
    <w:rsid w:val="00E11982"/>
    <w:rsid w:val="00E1209F"/>
    <w:rsid w:val="00E12151"/>
    <w:rsid w:val="00E1278B"/>
    <w:rsid w:val="00E12F43"/>
    <w:rsid w:val="00E13372"/>
    <w:rsid w:val="00E157F5"/>
    <w:rsid w:val="00E1688F"/>
    <w:rsid w:val="00E16957"/>
    <w:rsid w:val="00E17D8B"/>
    <w:rsid w:val="00E17DD6"/>
    <w:rsid w:val="00E211F4"/>
    <w:rsid w:val="00E21D2F"/>
    <w:rsid w:val="00E2314A"/>
    <w:rsid w:val="00E2357E"/>
    <w:rsid w:val="00E34202"/>
    <w:rsid w:val="00E34EDC"/>
    <w:rsid w:val="00E36DCF"/>
    <w:rsid w:val="00E40031"/>
    <w:rsid w:val="00E40840"/>
    <w:rsid w:val="00E41AB2"/>
    <w:rsid w:val="00E41FCC"/>
    <w:rsid w:val="00E42761"/>
    <w:rsid w:val="00E45B7A"/>
    <w:rsid w:val="00E51C76"/>
    <w:rsid w:val="00E5425C"/>
    <w:rsid w:val="00E547A8"/>
    <w:rsid w:val="00E56C30"/>
    <w:rsid w:val="00E57207"/>
    <w:rsid w:val="00E633E9"/>
    <w:rsid w:val="00E637FA"/>
    <w:rsid w:val="00E6655D"/>
    <w:rsid w:val="00E67A59"/>
    <w:rsid w:val="00E67B08"/>
    <w:rsid w:val="00E7494B"/>
    <w:rsid w:val="00E76D1A"/>
    <w:rsid w:val="00E80E5A"/>
    <w:rsid w:val="00E81321"/>
    <w:rsid w:val="00E81ED8"/>
    <w:rsid w:val="00E822F4"/>
    <w:rsid w:val="00E831BB"/>
    <w:rsid w:val="00E842EB"/>
    <w:rsid w:val="00E8747E"/>
    <w:rsid w:val="00E92610"/>
    <w:rsid w:val="00E93D62"/>
    <w:rsid w:val="00E95978"/>
    <w:rsid w:val="00E97E1F"/>
    <w:rsid w:val="00EA038B"/>
    <w:rsid w:val="00EA16F4"/>
    <w:rsid w:val="00EA1D89"/>
    <w:rsid w:val="00EA21F1"/>
    <w:rsid w:val="00EA295B"/>
    <w:rsid w:val="00EA662E"/>
    <w:rsid w:val="00EA76AA"/>
    <w:rsid w:val="00EA7C6E"/>
    <w:rsid w:val="00EB1CF9"/>
    <w:rsid w:val="00EB2886"/>
    <w:rsid w:val="00EB58AA"/>
    <w:rsid w:val="00EC018E"/>
    <w:rsid w:val="00EC0AB0"/>
    <w:rsid w:val="00EC1FA1"/>
    <w:rsid w:val="00EC508F"/>
    <w:rsid w:val="00EC6A0F"/>
    <w:rsid w:val="00ED0115"/>
    <w:rsid w:val="00ED02EC"/>
    <w:rsid w:val="00ED0BA6"/>
    <w:rsid w:val="00ED3037"/>
    <w:rsid w:val="00ED466F"/>
    <w:rsid w:val="00ED54E8"/>
    <w:rsid w:val="00ED67EE"/>
    <w:rsid w:val="00ED76F6"/>
    <w:rsid w:val="00ED78F6"/>
    <w:rsid w:val="00ED7F11"/>
    <w:rsid w:val="00ED7F64"/>
    <w:rsid w:val="00EE228F"/>
    <w:rsid w:val="00EE2BF9"/>
    <w:rsid w:val="00EE2FB6"/>
    <w:rsid w:val="00EE38A1"/>
    <w:rsid w:val="00EE4008"/>
    <w:rsid w:val="00EE4E7F"/>
    <w:rsid w:val="00EE64F6"/>
    <w:rsid w:val="00EE67EE"/>
    <w:rsid w:val="00EE74B4"/>
    <w:rsid w:val="00EE7C8A"/>
    <w:rsid w:val="00EF0842"/>
    <w:rsid w:val="00EF1BE0"/>
    <w:rsid w:val="00EF1E15"/>
    <w:rsid w:val="00EF2B4C"/>
    <w:rsid w:val="00EF3513"/>
    <w:rsid w:val="00F00509"/>
    <w:rsid w:val="00F01CB0"/>
    <w:rsid w:val="00F04B7B"/>
    <w:rsid w:val="00F06205"/>
    <w:rsid w:val="00F10758"/>
    <w:rsid w:val="00F111F6"/>
    <w:rsid w:val="00F120C1"/>
    <w:rsid w:val="00F12BD6"/>
    <w:rsid w:val="00F13E9E"/>
    <w:rsid w:val="00F21CCA"/>
    <w:rsid w:val="00F27AE8"/>
    <w:rsid w:val="00F27C85"/>
    <w:rsid w:val="00F32E11"/>
    <w:rsid w:val="00F33CCE"/>
    <w:rsid w:val="00F3489F"/>
    <w:rsid w:val="00F35310"/>
    <w:rsid w:val="00F377DE"/>
    <w:rsid w:val="00F37CE0"/>
    <w:rsid w:val="00F4062C"/>
    <w:rsid w:val="00F42883"/>
    <w:rsid w:val="00F438BF"/>
    <w:rsid w:val="00F45C7E"/>
    <w:rsid w:val="00F45F06"/>
    <w:rsid w:val="00F46794"/>
    <w:rsid w:val="00F46F9C"/>
    <w:rsid w:val="00F4794C"/>
    <w:rsid w:val="00F504F1"/>
    <w:rsid w:val="00F51205"/>
    <w:rsid w:val="00F52800"/>
    <w:rsid w:val="00F53469"/>
    <w:rsid w:val="00F5372E"/>
    <w:rsid w:val="00F5429F"/>
    <w:rsid w:val="00F54C69"/>
    <w:rsid w:val="00F56C80"/>
    <w:rsid w:val="00F56ED1"/>
    <w:rsid w:val="00F607CD"/>
    <w:rsid w:val="00F60B1D"/>
    <w:rsid w:val="00F62644"/>
    <w:rsid w:val="00F6328C"/>
    <w:rsid w:val="00F64829"/>
    <w:rsid w:val="00F648CC"/>
    <w:rsid w:val="00F713BF"/>
    <w:rsid w:val="00F71591"/>
    <w:rsid w:val="00F73E79"/>
    <w:rsid w:val="00F74B4F"/>
    <w:rsid w:val="00F75741"/>
    <w:rsid w:val="00F76F7B"/>
    <w:rsid w:val="00F773CB"/>
    <w:rsid w:val="00F82B4E"/>
    <w:rsid w:val="00F83FD2"/>
    <w:rsid w:val="00F866EC"/>
    <w:rsid w:val="00F91FA1"/>
    <w:rsid w:val="00F9537F"/>
    <w:rsid w:val="00F95807"/>
    <w:rsid w:val="00F97D2F"/>
    <w:rsid w:val="00FA07BE"/>
    <w:rsid w:val="00FA0959"/>
    <w:rsid w:val="00FA1041"/>
    <w:rsid w:val="00FA2091"/>
    <w:rsid w:val="00FA21D9"/>
    <w:rsid w:val="00FA2D28"/>
    <w:rsid w:val="00FA3686"/>
    <w:rsid w:val="00FA3C6E"/>
    <w:rsid w:val="00FA4A08"/>
    <w:rsid w:val="00FA52FD"/>
    <w:rsid w:val="00FA65A0"/>
    <w:rsid w:val="00FA6B7A"/>
    <w:rsid w:val="00FA74AF"/>
    <w:rsid w:val="00FB1F6B"/>
    <w:rsid w:val="00FB2DEE"/>
    <w:rsid w:val="00FC3481"/>
    <w:rsid w:val="00FC5414"/>
    <w:rsid w:val="00FC575A"/>
    <w:rsid w:val="00FC5CBF"/>
    <w:rsid w:val="00FC6722"/>
    <w:rsid w:val="00FD0F33"/>
    <w:rsid w:val="00FD1743"/>
    <w:rsid w:val="00FD2BC2"/>
    <w:rsid w:val="00FD57DC"/>
    <w:rsid w:val="00FD7D6D"/>
    <w:rsid w:val="00FE0B22"/>
    <w:rsid w:val="00FE29CD"/>
    <w:rsid w:val="00FE3D74"/>
    <w:rsid w:val="00FE491F"/>
    <w:rsid w:val="00FE6DD9"/>
    <w:rsid w:val="00FE750C"/>
    <w:rsid w:val="00FE7CDB"/>
    <w:rsid w:val="00FF20B3"/>
    <w:rsid w:val="00FF30E3"/>
    <w:rsid w:val="00FF3272"/>
    <w:rsid w:val="00FF5A44"/>
    <w:rsid w:val="00FF5F8D"/>
    <w:rsid w:val="00FF7759"/>
    <w:rsid w:val="01730A0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ZA" w:eastAsia="en-US" w:bidi="ar-SA"/>
    </w:rPr>
  </w:style>
  <w:style w:type="paragraph" w:styleId="2">
    <w:name w:val="heading 2"/>
    <w:basedOn w:val="1"/>
    <w:next w:val="1"/>
    <w:link w:val="23"/>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pPr>
      <w:spacing w:after="0" w:line="240" w:lineRule="auto"/>
    </w:pPr>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18"/>
    <w:semiHidden/>
    <w:unhideWhenUsed/>
    <w:qFormat/>
    <w:uiPriority w:val="99"/>
    <w:pPr>
      <w:spacing w:line="240" w:lineRule="auto"/>
    </w:pPr>
    <w:rPr>
      <w:sz w:val="20"/>
      <w:szCs w:val="20"/>
    </w:rPr>
  </w:style>
  <w:style w:type="paragraph" w:styleId="8">
    <w:name w:val="annotation subject"/>
    <w:basedOn w:val="7"/>
    <w:next w:val="7"/>
    <w:link w:val="19"/>
    <w:semiHidden/>
    <w:unhideWhenUsed/>
    <w:qFormat/>
    <w:uiPriority w:val="99"/>
    <w:rPr>
      <w:b/>
      <w:bCs/>
    </w:rPr>
  </w:style>
  <w:style w:type="character" w:styleId="9">
    <w:name w:val="footnote reference"/>
    <w:basedOn w:val="3"/>
    <w:semiHidden/>
    <w:unhideWhenUsed/>
    <w:qFormat/>
    <w:uiPriority w:val="99"/>
    <w:rPr>
      <w:vertAlign w:val="superscript"/>
    </w:rPr>
  </w:style>
  <w:style w:type="paragraph" w:styleId="10">
    <w:name w:val="footnote text"/>
    <w:basedOn w:val="1"/>
    <w:link w:val="17"/>
    <w:semiHidden/>
    <w:unhideWhenUsed/>
    <w:qFormat/>
    <w:uiPriority w:val="99"/>
    <w:pPr>
      <w:spacing w:after="0" w:line="240" w:lineRule="auto"/>
    </w:pPr>
    <w:rPr>
      <w:sz w:val="20"/>
      <w:szCs w:val="20"/>
    </w:rPr>
  </w:style>
  <w:style w:type="paragraph" w:styleId="11">
    <w:name w:val="header"/>
    <w:basedOn w:val="1"/>
    <w:link w:val="14"/>
    <w:unhideWhenUsed/>
    <w:qFormat/>
    <w:uiPriority w:val="0"/>
    <w:pPr>
      <w:tabs>
        <w:tab w:val="center" w:pos="4513"/>
        <w:tab w:val="right" w:pos="9026"/>
      </w:tabs>
      <w:spacing w:after="0" w:line="240" w:lineRule="auto"/>
    </w:pPr>
  </w:style>
  <w:style w:type="paragraph" w:styleId="12">
    <w:name w:val="Normal (Web)"/>
    <w:basedOn w:val="1"/>
    <w:unhideWhenUsed/>
    <w:qFormat/>
    <w:uiPriority w:val="99"/>
    <w:rPr>
      <w:rFonts w:ascii="Times New Roman" w:hAnsi="Times New Roman" w:cs="Times New Roman"/>
      <w:sz w:val="24"/>
      <w:szCs w:val="24"/>
    </w:rPr>
  </w:style>
  <w:style w:type="paragraph" w:styleId="13">
    <w:name w:val="List Paragraph"/>
    <w:basedOn w:val="1"/>
    <w:qFormat/>
    <w:uiPriority w:val="34"/>
    <w:pPr>
      <w:ind w:left="720"/>
      <w:contextualSpacing/>
    </w:pPr>
  </w:style>
  <w:style w:type="character" w:customStyle="1" w:styleId="14">
    <w:name w:val="Header Char"/>
    <w:basedOn w:val="3"/>
    <w:link w:val="11"/>
    <w:qFormat/>
    <w:uiPriority w:val="0"/>
  </w:style>
  <w:style w:type="paragraph" w:customStyle="1" w:styleId="15">
    <w:name w:val="Default"/>
    <w:qFormat/>
    <w:uiPriority w:val="0"/>
    <w:pPr>
      <w:autoSpaceDE w:val="0"/>
      <w:autoSpaceDN w:val="0"/>
      <w:adjustRightInd w:val="0"/>
      <w:spacing w:after="0" w:line="240" w:lineRule="auto"/>
    </w:pPr>
    <w:rPr>
      <w:rFonts w:ascii="Arial" w:hAnsi="Arial" w:eastAsia="Calibri" w:cs="Arial"/>
      <w:color w:val="000000"/>
      <w:sz w:val="24"/>
      <w:szCs w:val="24"/>
      <w:lang w:val="en-US" w:eastAsia="en-US" w:bidi="ar-SA"/>
    </w:rPr>
  </w:style>
  <w:style w:type="character" w:customStyle="1" w:styleId="16">
    <w:name w:val="Balloon Text Char"/>
    <w:basedOn w:val="3"/>
    <w:link w:val="5"/>
    <w:semiHidden/>
    <w:qFormat/>
    <w:uiPriority w:val="99"/>
    <w:rPr>
      <w:rFonts w:ascii="Segoe UI" w:hAnsi="Segoe UI" w:cs="Segoe UI"/>
      <w:sz w:val="18"/>
      <w:szCs w:val="18"/>
    </w:rPr>
  </w:style>
  <w:style w:type="character" w:customStyle="1" w:styleId="17">
    <w:name w:val="Footnote Text Char"/>
    <w:basedOn w:val="3"/>
    <w:link w:val="10"/>
    <w:semiHidden/>
    <w:qFormat/>
    <w:uiPriority w:val="99"/>
    <w:rPr>
      <w:sz w:val="20"/>
      <w:szCs w:val="20"/>
    </w:rPr>
  </w:style>
  <w:style w:type="character" w:customStyle="1" w:styleId="18">
    <w:name w:val="Comment Text Char"/>
    <w:basedOn w:val="3"/>
    <w:link w:val="7"/>
    <w:semiHidden/>
    <w:qFormat/>
    <w:uiPriority w:val="99"/>
    <w:rPr>
      <w:sz w:val="20"/>
      <w:szCs w:val="20"/>
    </w:rPr>
  </w:style>
  <w:style w:type="character" w:customStyle="1" w:styleId="19">
    <w:name w:val="Comment Subject Char"/>
    <w:basedOn w:val="18"/>
    <w:link w:val="8"/>
    <w:semiHidden/>
    <w:qFormat/>
    <w:uiPriority w:val="99"/>
    <w:rPr>
      <w:b/>
      <w:bCs/>
      <w:sz w:val="20"/>
      <w:szCs w:val="20"/>
    </w:rPr>
  </w:style>
  <w:style w:type="paragraph" w:customStyle="1" w:styleId="20">
    <w:name w:val="Revision"/>
    <w:hidden/>
    <w:semiHidden/>
    <w:qFormat/>
    <w:uiPriority w:val="99"/>
    <w:pPr>
      <w:spacing w:after="0" w:line="240" w:lineRule="auto"/>
    </w:pPr>
    <w:rPr>
      <w:rFonts w:asciiTheme="minorHAnsi" w:hAnsiTheme="minorHAnsi" w:eastAsiaTheme="minorHAnsi" w:cstheme="minorBidi"/>
      <w:sz w:val="22"/>
      <w:szCs w:val="22"/>
      <w:lang w:val="en-ZA" w:eastAsia="en-US" w:bidi="ar-SA"/>
    </w:rPr>
  </w:style>
  <w:style w:type="paragraph" w:styleId="21">
    <w:name w:val="No Spacing"/>
    <w:qFormat/>
    <w:uiPriority w:val="1"/>
    <w:pPr>
      <w:spacing w:after="0" w:line="240" w:lineRule="auto"/>
    </w:pPr>
    <w:rPr>
      <w:rFonts w:asciiTheme="minorHAnsi" w:hAnsiTheme="minorHAnsi" w:eastAsiaTheme="minorHAnsi" w:cstheme="minorBidi"/>
      <w:sz w:val="22"/>
      <w:szCs w:val="22"/>
      <w:lang w:val="en-ZA" w:eastAsia="en-US" w:bidi="ar-SA"/>
    </w:rPr>
  </w:style>
  <w:style w:type="paragraph" w:customStyle="1" w:styleId="22">
    <w:name w:val="JUGMENT NUMBERED"/>
    <w:basedOn w:val="1"/>
    <w:qFormat/>
    <w:uiPriority w:val="99"/>
    <w:pPr>
      <w:numPr>
        <w:ilvl w:val="0"/>
        <w:numId w:val="1"/>
      </w:numPr>
      <w:spacing w:after="0" w:line="480" w:lineRule="auto"/>
      <w:jc w:val="both"/>
    </w:pPr>
    <w:rPr>
      <w:rFonts w:ascii="Times New Roman" w:hAnsi="Times New Roman" w:eastAsia="Times New Roman" w:cs="Times New Roman"/>
      <w:sz w:val="26"/>
      <w:szCs w:val="26"/>
      <w:lang w:eastAsia="en-ZA"/>
    </w:rPr>
  </w:style>
  <w:style w:type="character" w:customStyle="1" w:styleId="23">
    <w:name w:val="Heading 2 Char"/>
    <w:basedOn w:val="3"/>
    <w:link w:val="2"/>
    <w:semiHidden/>
    <w:qFormat/>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6FC5-E6D6-4522-9EF6-119244939F3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1430</Words>
  <Characters>8156</Characters>
  <Lines>67</Lines>
  <Paragraphs>19</Paragraphs>
  <TotalTime>1</TotalTime>
  <ScaleCrop>false</ScaleCrop>
  <LinksUpToDate>false</LinksUpToDate>
  <CharactersWithSpaces>9567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2022-03-24T10:44:00Z</dcterms:created>
  <dc:creator>Judge-Halima Saldulker</dc:creator>
  <cp:lastModifiedBy>google1592070541</cp:lastModifiedBy>
  <cp:lastPrinted>2022-03-24T06:33:00Z</cp:lastPrinted>
  <dcterms:modified xsi:type="dcterms:W3CDTF">2022-04-04T08:30:47Z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99165C1F655E4308B0C8B785A8FBBA6C</vt:lpwstr>
  </property>
</Properties>
</file>