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D612" w14:textId="0D58C647" w:rsidR="00ED4C63" w:rsidRPr="00516C28" w:rsidRDefault="002963C5" w:rsidP="00346CE5">
      <w:pPr>
        <w:rPr>
          <w:bCs/>
          <w:sz w:val="28"/>
          <w:szCs w:val="28"/>
        </w:rPr>
      </w:pPr>
      <w:bookmarkStart w:id="0" w:name="_GoBack"/>
      <w:bookmarkEnd w:id="0"/>
      <w:r w:rsidRPr="00516C28">
        <w:rPr>
          <w:noProof/>
          <w:lang w:val="en-ZA" w:eastAsia="en-ZA"/>
        </w:rPr>
        <w:drawing>
          <wp:anchor distT="0" distB="0" distL="114300" distR="114300" simplePos="0" relativeHeight="251666432" behindDoc="0" locked="0" layoutInCell="1" allowOverlap="1" wp14:anchorId="3BC73704" wp14:editId="719F9296">
            <wp:simplePos x="0" y="0"/>
            <wp:positionH relativeFrom="column">
              <wp:posOffset>2418080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6293B04" w14:textId="77777777" w:rsidR="00ED4C63" w:rsidRPr="00516C28" w:rsidRDefault="00ED4C63" w:rsidP="00346CE5">
      <w:pPr>
        <w:jc w:val="center"/>
        <w:rPr>
          <w:b/>
          <w:bCs/>
          <w:sz w:val="28"/>
          <w:szCs w:val="28"/>
        </w:rPr>
      </w:pPr>
    </w:p>
    <w:p w14:paraId="56C9F76C" w14:textId="77777777" w:rsidR="00ED4C63" w:rsidRPr="00516C28" w:rsidRDefault="00ED4C63" w:rsidP="00346CE5">
      <w:pPr>
        <w:jc w:val="center"/>
        <w:rPr>
          <w:b/>
          <w:bCs/>
          <w:sz w:val="28"/>
          <w:szCs w:val="28"/>
        </w:rPr>
      </w:pPr>
    </w:p>
    <w:p w14:paraId="1D25C473" w14:textId="33E5AE34" w:rsidR="00ED4C63" w:rsidRPr="00516C28" w:rsidRDefault="00ED4C63" w:rsidP="00346CE5">
      <w:pPr>
        <w:jc w:val="center"/>
        <w:rPr>
          <w:b/>
          <w:bCs/>
          <w:sz w:val="28"/>
          <w:szCs w:val="28"/>
        </w:rPr>
      </w:pPr>
    </w:p>
    <w:p w14:paraId="4CEE3DED" w14:textId="77777777" w:rsidR="00093030" w:rsidRPr="00516C28" w:rsidRDefault="00093030" w:rsidP="00346CE5">
      <w:pPr>
        <w:spacing w:line="360" w:lineRule="auto"/>
        <w:jc w:val="center"/>
        <w:rPr>
          <w:b/>
          <w:bCs/>
          <w:sz w:val="16"/>
          <w:szCs w:val="16"/>
        </w:rPr>
      </w:pPr>
    </w:p>
    <w:p w14:paraId="6ACA983E" w14:textId="77777777" w:rsidR="00093030" w:rsidRPr="00516C28" w:rsidRDefault="00093030" w:rsidP="00346CE5">
      <w:pPr>
        <w:spacing w:line="360" w:lineRule="auto"/>
        <w:jc w:val="center"/>
        <w:rPr>
          <w:rFonts w:ascii="Arial" w:hAnsi="Arial" w:cs="Arial"/>
          <w:b/>
          <w:bCs/>
        </w:rPr>
      </w:pPr>
      <w:r w:rsidRPr="00516C28">
        <w:rPr>
          <w:rFonts w:ascii="Arial" w:hAnsi="Arial" w:cs="Arial"/>
          <w:b/>
          <w:bCs/>
        </w:rPr>
        <w:t>THE SUPREME COURT OF APPEAL OF SOUTH AFRICA</w:t>
      </w:r>
    </w:p>
    <w:p w14:paraId="13113C22" w14:textId="4B534CC4" w:rsidR="00093030" w:rsidRPr="00516C28" w:rsidRDefault="00093030" w:rsidP="00C22888">
      <w:pPr>
        <w:pStyle w:val="Heading3"/>
        <w:jc w:val="center"/>
        <w:rPr>
          <w:rFonts w:ascii="Times New Roman" w:hAnsi="Times New Roman" w:cs="Times New Roman"/>
          <w:b/>
          <w:i w:val="0"/>
          <w:szCs w:val="28"/>
        </w:rPr>
      </w:pPr>
      <w:r w:rsidRPr="00516C28">
        <w:rPr>
          <w:b/>
          <w:i w:val="0"/>
          <w:sz w:val="24"/>
        </w:rPr>
        <w:t>JUDGMENT</w:t>
      </w:r>
    </w:p>
    <w:p w14:paraId="173C9D13" w14:textId="65BF38FB" w:rsidR="00093030" w:rsidRPr="00516C28" w:rsidRDefault="00CB01A3" w:rsidP="00346CE5">
      <w:pPr>
        <w:spacing w:line="360" w:lineRule="auto"/>
        <w:jc w:val="right"/>
        <w:rPr>
          <w:rFonts w:ascii="Arial" w:hAnsi="Arial" w:cs="Arial"/>
          <w:b/>
        </w:rPr>
      </w:pPr>
      <w:r w:rsidRPr="00516C28">
        <w:rPr>
          <w:rFonts w:ascii="Arial" w:hAnsi="Arial" w:cs="Arial"/>
          <w:b/>
        </w:rPr>
        <w:t xml:space="preserve">    </w:t>
      </w:r>
      <w:r w:rsidR="00921936" w:rsidRPr="00516C28">
        <w:rPr>
          <w:rFonts w:ascii="Arial" w:hAnsi="Arial" w:cs="Arial"/>
          <w:b/>
        </w:rPr>
        <w:t>Reportable</w:t>
      </w:r>
    </w:p>
    <w:p w14:paraId="62EC3AAC" w14:textId="79591A80" w:rsidR="001910E7" w:rsidRPr="00516C28" w:rsidRDefault="000F13E9" w:rsidP="00346CE5">
      <w:pPr>
        <w:spacing w:line="360" w:lineRule="auto"/>
        <w:jc w:val="right"/>
        <w:rPr>
          <w:rFonts w:ascii="Arial" w:hAnsi="Arial" w:cs="Arial"/>
        </w:rPr>
      </w:pPr>
      <w:r w:rsidRPr="00516C28">
        <w:rPr>
          <w:rFonts w:ascii="Arial" w:hAnsi="Arial" w:cs="Arial"/>
        </w:rPr>
        <w:t xml:space="preserve">Case no: </w:t>
      </w:r>
      <w:r w:rsidR="00DC4F6D" w:rsidRPr="00516C28">
        <w:rPr>
          <w:rFonts w:ascii="Arial" w:hAnsi="Arial" w:cs="Arial"/>
        </w:rPr>
        <w:t>846/2020</w:t>
      </w:r>
    </w:p>
    <w:p w14:paraId="55826A85" w14:textId="77777777" w:rsidR="000C0BF0" w:rsidRPr="00516C28" w:rsidRDefault="000C0BF0" w:rsidP="00346CE5">
      <w:pPr>
        <w:spacing w:line="360" w:lineRule="auto"/>
        <w:jc w:val="right"/>
        <w:rPr>
          <w:rFonts w:ascii="Arial" w:hAnsi="Arial" w:cs="Arial"/>
          <w:sz w:val="8"/>
          <w:szCs w:val="8"/>
        </w:rPr>
      </w:pPr>
    </w:p>
    <w:p w14:paraId="1B93C0F0" w14:textId="77777777" w:rsidR="001910E7" w:rsidRPr="00516C28" w:rsidRDefault="001910E7" w:rsidP="00346CE5">
      <w:pPr>
        <w:spacing w:line="360" w:lineRule="auto"/>
        <w:rPr>
          <w:rFonts w:ascii="Arial" w:hAnsi="Arial" w:cs="Arial"/>
        </w:rPr>
      </w:pPr>
      <w:r w:rsidRPr="00516C28">
        <w:rPr>
          <w:rFonts w:ascii="Arial" w:hAnsi="Arial" w:cs="Arial"/>
        </w:rPr>
        <w:t>In the matter between:</w:t>
      </w:r>
    </w:p>
    <w:p w14:paraId="0E5D729C" w14:textId="77777777" w:rsidR="006E2774" w:rsidRPr="00516C28" w:rsidRDefault="006E2774" w:rsidP="00346CE5">
      <w:pPr>
        <w:widowControl w:val="0"/>
        <w:tabs>
          <w:tab w:val="right" w:pos="9360"/>
        </w:tabs>
        <w:autoSpaceDE w:val="0"/>
        <w:autoSpaceDN w:val="0"/>
        <w:adjustRightInd w:val="0"/>
        <w:rPr>
          <w:rFonts w:ascii="Arial" w:hAnsi="Arial" w:cs="Arial"/>
          <w:b/>
          <w:bCs/>
          <w:sz w:val="12"/>
          <w:szCs w:val="12"/>
        </w:rPr>
      </w:pPr>
    </w:p>
    <w:p w14:paraId="13FBB442" w14:textId="2912FDEB" w:rsidR="00ED3EB4" w:rsidRPr="00516C28" w:rsidRDefault="00DC4F6D" w:rsidP="00ED3EB4">
      <w:pPr>
        <w:widowControl w:val="0"/>
        <w:tabs>
          <w:tab w:val="right" w:pos="9360"/>
        </w:tabs>
        <w:autoSpaceDE w:val="0"/>
        <w:autoSpaceDN w:val="0"/>
        <w:adjustRightInd w:val="0"/>
        <w:rPr>
          <w:rFonts w:ascii="Arial" w:hAnsi="Arial" w:cs="Arial"/>
          <w:b/>
          <w:bCs/>
        </w:rPr>
      </w:pPr>
      <w:r w:rsidRPr="00516C28">
        <w:rPr>
          <w:rFonts w:ascii="Arial" w:hAnsi="Arial" w:cs="Arial"/>
          <w:b/>
          <w:bCs/>
        </w:rPr>
        <w:t xml:space="preserve">YOLANDA DYANTYI </w:t>
      </w:r>
      <w:r w:rsidR="00ED3EB4" w:rsidRPr="00516C28">
        <w:rPr>
          <w:rFonts w:ascii="Arial" w:hAnsi="Arial" w:cs="Arial"/>
          <w:b/>
          <w:bCs/>
        </w:rPr>
        <w:t xml:space="preserve">                                                                                   APPELLANT</w:t>
      </w:r>
    </w:p>
    <w:p w14:paraId="4AC2E069" w14:textId="77777777" w:rsidR="00751C39" w:rsidRPr="00516C28" w:rsidRDefault="00751C39" w:rsidP="00346CE5">
      <w:pPr>
        <w:widowControl w:val="0"/>
        <w:tabs>
          <w:tab w:val="right" w:pos="9360"/>
        </w:tabs>
        <w:autoSpaceDE w:val="0"/>
        <w:autoSpaceDN w:val="0"/>
        <w:adjustRightInd w:val="0"/>
        <w:rPr>
          <w:rFonts w:ascii="Arial" w:hAnsi="Arial" w:cs="Arial"/>
          <w:b/>
          <w:bCs/>
        </w:rPr>
      </w:pPr>
    </w:p>
    <w:p w14:paraId="0C010B5A" w14:textId="452A2BA5" w:rsidR="00B84DB2" w:rsidRPr="00516C28" w:rsidRDefault="00B84DB2" w:rsidP="00346CE5">
      <w:pPr>
        <w:widowControl w:val="0"/>
        <w:tabs>
          <w:tab w:val="right" w:pos="9360"/>
        </w:tabs>
        <w:autoSpaceDE w:val="0"/>
        <w:autoSpaceDN w:val="0"/>
        <w:adjustRightInd w:val="0"/>
        <w:rPr>
          <w:rFonts w:ascii="Arial" w:hAnsi="Arial" w:cs="Arial"/>
          <w:b/>
          <w:bCs/>
          <w:sz w:val="16"/>
          <w:szCs w:val="16"/>
        </w:rPr>
      </w:pPr>
    </w:p>
    <w:p w14:paraId="263C14AF" w14:textId="451626C6" w:rsidR="007A0413" w:rsidRPr="00516C28" w:rsidRDefault="00751C39" w:rsidP="00346CE5">
      <w:pPr>
        <w:widowControl w:val="0"/>
        <w:autoSpaceDE w:val="0"/>
        <w:autoSpaceDN w:val="0"/>
        <w:adjustRightInd w:val="0"/>
        <w:spacing w:after="120"/>
        <w:rPr>
          <w:rFonts w:ascii="Arial" w:hAnsi="Arial" w:cs="Arial"/>
          <w:bCs/>
          <w:iCs/>
        </w:rPr>
      </w:pPr>
      <w:r w:rsidRPr="00516C28">
        <w:rPr>
          <w:rFonts w:ascii="Arial" w:hAnsi="Arial" w:cs="Arial"/>
          <w:bCs/>
          <w:iCs/>
        </w:rPr>
        <w:t>a</w:t>
      </w:r>
      <w:r w:rsidR="007A0413" w:rsidRPr="00516C28">
        <w:rPr>
          <w:rFonts w:ascii="Arial" w:hAnsi="Arial" w:cs="Arial"/>
          <w:bCs/>
          <w:iCs/>
        </w:rPr>
        <w:t>nd</w:t>
      </w:r>
    </w:p>
    <w:p w14:paraId="572629CA" w14:textId="77777777" w:rsidR="00751C39" w:rsidRPr="00516C28" w:rsidRDefault="00751C39" w:rsidP="00346CE5">
      <w:pPr>
        <w:widowControl w:val="0"/>
        <w:autoSpaceDE w:val="0"/>
        <w:autoSpaceDN w:val="0"/>
        <w:adjustRightInd w:val="0"/>
        <w:rPr>
          <w:rFonts w:ascii="Arial" w:hAnsi="Arial" w:cs="Arial"/>
          <w:bCs/>
          <w:iCs/>
          <w:sz w:val="16"/>
          <w:szCs w:val="16"/>
        </w:rPr>
      </w:pPr>
    </w:p>
    <w:p w14:paraId="131DA4DD" w14:textId="5BB60E8C" w:rsidR="001A24D0" w:rsidRPr="00516C28" w:rsidRDefault="00DC4F6D" w:rsidP="00DC4F6D">
      <w:pPr>
        <w:widowControl w:val="0"/>
        <w:autoSpaceDE w:val="0"/>
        <w:autoSpaceDN w:val="0"/>
        <w:adjustRightInd w:val="0"/>
        <w:spacing w:before="120" w:after="120"/>
        <w:ind w:right="-138"/>
        <w:rPr>
          <w:rFonts w:ascii="Arial" w:hAnsi="Arial" w:cs="Arial"/>
          <w:b/>
          <w:bCs/>
        </w:rPr>
      </w:pPr>
      <w:r w:rsidRPr="00516C28">
        <w:rPr>
          <w:rFonts w:ascii="Arial" w:hAnsi="Arial" w:cs="Arial"/>
          <w:b/>
          <w:bCs/>
        </w:rPr>
        <w:t xml:space="preserve">RHODES UNIVERSITY              </w:t>
      </w:r>
      <w:r w:rsidR="00921936" w:rsidRPr="00516C28">
        <w:rPr>
          <w:rFonts w:ascii="Arial" w:hAnsi="Arial" w:cs="Arial"/>
          <w:b/>
          <w:bCs/>
        </w:rPr>
        <w:t xml:space="preserve">                                                   </w:t>
      </w:r>
      <w:r w:rsidRPr="00516C28">
        <w:rPr>
          <w:rFonts w:ascii="Arial" w:hAnsi="Arial" w:cs="Arial"/>
          <w:b/>
          <w:bCs/>
        </w:rPr>
        <w:t xml:space="preserve"> </w:t>
      </w:r>
      <w:r w:rsidR="00921936" w:rsidRPr="00516C28">
        <w:rPr>
          <w:rFonts w:ascii="Arial" w:hAnsi="Arial" w:cs="Arial"/>
          <w:b/>
          <w:bCs/>
        </w:rPr>
        <w:t>FIRST RESPONDENT</w:t>
      </w:r>
      <w:r w:rsidRPr="00516C28">
        <w:rPr>
          <w:rFonts w:ascii="Arial" w:hAnsi="Arial" w:cs="Arial"/>
          <w:b/>
          <w:bCs/>
        </w:rPr>
        <w:t xml:space="preserve"> </w:t>
      </w:r>
    </w:p>
    <w:p w14:paraId="61A0F7FD" w14:textId="44A95AC7" w:rsidR="00921936" w:rsidRPr="00516C28" w:rsidRDefault="00DC4F6D" w:rsidP="00ED3EB4">
      <w:pPr>
        <w:widowControl w:val="0"/>
        <w:autoSpaceDE w:val="0"/>
        <w:autoSpaceDN w:val="0"/>
        <w:adjustRightInd w:val="0"/>
        <w:spacing w:before="120" w:after="120"/>
        <w:jc w:val="both"/>
        <w:rPr>
          <w:rFonts w:ascii="Arial" w:hAnsi="Arial" w:cs="Arial"/>
          <w:b/>
          <w:bCs/>
        </w:rPr>
      </w:pPr>
      <w:r w:rsidRPr="00516C28">
        <w:rPr>
          <w:rFonts w:ascii="Arial" w:hAnsi="Arial" w:cs="Arial"/>
          <w:b/>
          <w:bCs/>
        </w:rPr>
        <w:t xml:space="preserve">SIZWE MABIZELA NO                                           </w:t>
      </w:r>
      <w:r w:rsidR="00921936" w:rsidRPr="00516C28">
        <w:rPr>
          <w:rFonts w:ascii="Arial" w:hAnsi="Arial" w:cs="Arial"/>
          <w:b/>
          <w:bCs/>
        </w:rPr>
        <w:t xml:space="preserve">                   </w:t>
      </w:r>
      <w:r w:rsidR="00ED3EB4" w:rsidRPr="00516C28">
        <w:rPr>
          <w:rFonts w:ascii="Arial" w:hAnsi="Arial" w:cs="Arial"/>
          <w:b/>
          <w:bCs/>
        </w:rPr>
        <w:t xml:space="preserve"> </w:t>
      </w:r>
      <w:r w:rsidR="00921936" w:rsidRPr="00516C28">
        <w:rPr>
          <w:rFonts w:ascii="Arial" w:hAnsi="Arial" w:cs="Arial"/>
          <w:b/>
          <w:bCs/>
        </w:rPr>
        <w:t>SECOND RESPONDENT</w:t>
      </w:r>
    </w:p>
    <w:p w14:paraId="300C6A92" w14:textId="22AB9E65" w:rsidR="00DC4F6D" w:rsidRPr="00516C28" w:rsidRDefault="00DC4F6D" w:rsidP="00ED3EB4">
      <w:pPr>
        <w:widowControl w:val="0"/>
        <w:autoSpaceDE w:val="0"/>
        <w:autoSpaceDN w:val="0"/>
        <w:adjustRightInd w:val="0"/>
        <w:spacing w:before="120" w:after="120"/>
        <w:jc w:val="both"/>
        <w:rPr>
          <w:rFonts w:ascii="Arial" w:hAnsi="Arial" w:cs="Arial"/>
          <w:b/>
          <w:bCs/>
        </w:rPr>
      </w:pPr>
      <w:r w:rsidRPr="00516C28">
        <w:rPr>
          <w:rFonts w:ascii="Arial" w:hAnsi="Arial" w:cs="Arial"/>
          <w:b/>
          <w:bCs/>
        </w:rPr>
        <w:t>WAYNE HUTCHINSON NO                                                             THIRD RESPONDENT</w:t>
      </w:r>
    </w:p>
    <w:p w14:paraId="553A490E" w14:textId="77777777" w:rsidR="000C0BF0" w:rsidRPr="00516C28" w:rsidRDefault="000C0BF0" w:rsidP="00346CE5">
      <w:pPr>
        <w:widowControl w:val="0"/>
        <w:tabs>
          <w:tab w:val="right" w:pos="9072"/>
        </w:tabs>
        <w:autoSpaceDE w:val="0"/>
        <w:autoSpaceDN w:val="0"/>
        <w:adjustRightInd w:val="0"/>
        <w:spacing w:before="120" w:after="120"/>
        <w:rPr>
          <w:rFonts w:ascii="Arial" w:hAnsi="Arial" w:cs="Arial"/>
          <w:b/>
          <w:bCs/>
          <w:sz w:val="4"/>
          <w:szCs w:val="4"/>
        </w:rPr>
      </w:pPr>
    </w:p>
    <w:p w14:paraId="2425220E" w14:textId="65C34C3D" w:rsidR="00346CE5" w:rsidRPr="00516C28" w:rsidRDefault="000C0BF0" w:rsidP="00444EEC">
      <w:pPr>
        <w:widowControl w:val="0"/>
        <w:tabs>
          <w:tab w:val="left" w:pos="1985"/>
          <w:tab w:val="right" w:pos="9072"/>
        </w:tabs>
        <w:autoSpaceDE w:val="0"/>
        <w:autoSpaceDN w:val="0"/>
        <w:adjustRightInd w:val="0"/>
        <w:spacing w:after="120" w:line="360" w:lineRule="auto"/>
        <w:ind w:left="1979" w:hanging="1979"/>
        <w:jc w:val="both"/>
        <w:rPr>
          <w:rFonts w:ascii="Arial" w:hAnsi="Arial" w:cs="Arial"/>
          <w:bCs/>
        </w:rPr>
      </w:pPr>
      <w:r w:rsidRPr="00516C28">
        <w:rPr>
          <w:rFonts w:ascii="Arial" w:hAnsi="Arial" w:cs="Arial"/>
          <w:b/>
          <w:bCs/>
        </w:rPr>
        <w:t xml:space="preserve">Neutral citation: </w:t>
      </w:r>
      <w:r w:rsidRPr="00516C28">
        <w:rPr>
          <w:rFonts w:ascii="Arial" w:hAnsi="Arial" w:cs="Arial"/>
          <w:b/>
          <w:bCs/>
        </w:rPr>
        <w:tab/>
      </w:r>
      <w:r w:rsidR="00DC4F6D" w:rsidRPr="00516C28">
        <w:rPr>
          <w:rFonts w:ascii="Arial" w:hAnsi="Arial" w:cs="Arial"/>
          <w:bCs/>
          <w:i/>
        </w:rPr>
        <w:t>Yolanda Dyantyi v Rhodes University and Others</w:t>
      </w:r>
      <w:r w:rsidR="001A24D0" w:rsidRPr="00516C28">
        <w:rPr>
          <w:rFonts w:ascii="Arial" w:hAnsi="Arial" w:cs="Arial"/>
          <w:bCs/>
          <w:i/>
        </w:rPr>
        <w:t xml:space="preserve"> </w:t>
      </w:r>
      <w:r w:rsidR="001910E7" w:rsidRPr="00516C28">
        <w:rPr>
          <w:rFonts w:ascii="Arial" w:hAnsi="Arial" w:cs="Arial"/>
          <w:bCs/>
        </w:rPr>
        <w:t>(</w:t>
      </w:r>
      <w:r w:rsidR="00302B39" w:rsidRPr="00516C28">
        <w:rPr>
          <w:rFonts w:ascii="Arial" w:hAnsi="Arial" w:cs="Arial"/>
          <w:bCs/>
        </w:rPr>
        <w:t xml:space="preserve">Case no </w:t>
      </w:r>
      <w:r w:rsidR="00DC4F6D" w:rsidRPr="00516C28">
        <w:rPr>
          <w:rFonts w:ascii="Arial" w:hAnsi="Arial" w:cs="Arial"/>
          <w:bCs/>
        </w:rPr>
        <w:t>846</w:t>
      </w:r>
      <w:r w:rsidR="00BD3F1B" w:rsidRPr="00516C28">
        <w:rPr>
          <w:rFonts w:ascii="Arial" w:hAnsi="Arial" w:cs="Arial"/>
          <w:bCs/>
        </w:rPr>
        <w:t>/2020</w:t>
      </w:r>
      <w:r w:rsidR="00722A6E" w:rsidRPr="00516C28">
        <w:rPr>
          <w:rFonts w:ascii="Arial" w:hAnsi="Arial" w:cs="Arial"/>
          <w:bCs/>
        </w:rPr>
        <w:t>) [202</w:t>
      </w:r>
      <w:r w:rsidR="00921936" w:rsidRPr="00516C28">
        <w:rPr>
          <w:rFonts w:ascii="Arial" w:hAnsi="Arial" w:cs="Arial"/>
          <w:bCs/>
        </w:rPr>
        <w:t>2</w:t>
      </w:r>
      <w:r w:rsidR="00722A6E" w:rsidRPr="00516C28">
        <w:rPr>
          <w:rFonts w:ascii="Arial" w:hAnsi="Arial" w:cs="Arial"/>
          <w:bCs/>
        </w:rPr>
        <w:t xml:space="preserve">] </w:t>
      </w:r>
      <w:r w:rsidR="00BD108B" w:rsidRPr="00516C28">
        <w:rPr>
          <w:rFonts w:ascii="Arial" w:hAnsi="Arial" w:cs="Arial"/>
          <w:bCs/>
        </w:rPr>
        <w:t xml:space="preserve">ZASCA </w:t>
      </w:r>
      <w:r w:rsidR="00FE4A4F" w:rsidRPr="00516C28">
        <w:rPr>
          <w:rFonts w:ascii="Arial" w:hAnsi="Arial" w:cs="Arial"/>
          <w:bCs/>
        </w:rPr>
        <w:t>32</w:t>
      </w:r>
      <w:r w:rsidR="000778E9" w:rsidRPr="00516C28">
        <w:rPr>
          <w:rFonts w:ascii="Arial" w:hAnsi="Arial" w:cs="Arial"/>
          <w:bCs/>
        </w:rPr>
        <w:t xml:space="preserve"> </w:t>
      </w:r>
      <w:r w:rsidRPr="00516C28">
        <w:rPr>
          <w:rFonts w:ascii="Arial" w:hAnsi="Arial" w:cs="Arial"/>
          <w:bCs/>
        </w:rPr>
        <w:t>(</w:t>
      </w:r>
      <w:r w:rsidR="00164465" w:rsidRPr="00516C28">
        <w:rPr>
          <w:rFonts w:ascii="Arial" w:hAnsi="Arial" w:cs="Arial"/>
          <w:bCs/>
        </w:rPr>
        <w:t>29</w:t>
      </w:r>
      <w:r w:rsidR="000E4088" w:rsidRPr="00516C28">
        <w:rPr>
          <w:rFonts w:ascii="Arial" w:hAnsi="Arial" w:cs="Arial"/>
          <w:bCs/>
        </w:rPr>
        <w:t xml:space="preserve"> March</w:t>
      </w:r>
      <w:r w:rsidR="00921936" w:rsidRPr="00516C28">
        <w:rPr>
          <w:rFonts w:ascii="Arial" w:hAnsi="Arial" w:cs="Arial"/>
          <w:bCs/>
        </w:rPr>
        <w:t xml:space="preserve"> </w:t>
      </w:r>
      <w:r w:rsidR="00722A6E" w:rsidRPr="00516C28">
        <w:rPr>
          <w:rFonts w:ascii="Arial" w:hAnsi="Arial" w:cs="Arial"/>
          <w:bCs/>
        </w:rPr>
        <w:t>202</w:t>
      </w:r>
      <w:r w:rsidR="00921936" w:rsidRPr="00516C28">
        <w:rPr>
          <w:rFonts w:ascii="Arial" w:hAnsi="Arial" w:cs="Arial"/>
          <w:bCs/>
        </w:rPr>
        <w:t>2</w:t>
      </w:r>
      <w:r w:rsidR="001910E7" w:rsidRPr="00516C28">
        <w:rPr>
          <w:rFonts w:ascii="Arial" w:hAnsi="Arial" w:cs="Arial"/>
          <w:bCs/>
        </w:rPr>
        <w:t>)</w:t>
      </w:r>
    </w:p>
    <w:p w14:paraId="0A840705" w14:textId="05E23B2A" w:rsidR="001910E7" w:rsidRPr="00516C28" w:rsidRDefault="001910E7" w:rsidP="00F277C6">
      <w:pPr>
        <w:widowControl w:val="0"/>
        <w:tabs>
          <w:tab w:val="left" w:pos="1985"/>
          <w:tab w:val="right" w:pos="9072"/>
        </w:tabs>
        <w:autoSpaceDE w:val="0"/>
        <w:autoSpaceDN w:val="0"/>
        <w:adjustRightInd w:val="0"/>
        <w:spacing w:line="360" w:lineRule="auto"/>
        <w:ind w:left="1979" w:hanging="1979"/>
        <w:jc w:val="both"/>
        <w:rPr>
          <w:rFonts w:ascii="Arial" w:hAnsi="Arial" w:cs="Arial"/>
          <w:b/>
          <w:bCs/>
          <w:i/>
          <w:iCs/>
        </w:rPr>
      </w:pPr>
      <w:r w:rsidRPr="00516C28">
        <w:rPr>
          <w:rFonts w:ascii="Arial" w:hAnsi="Arial" w:cs="Arial"/>
          <w:b/>
          <w:bCs/>
        </w:rPr>
        <w:t>Coram:</w:t>
      </w:r>
      <w:r w:rsidR="00346CE5" w:rsidRPr="00516C28">
        <w:rPr>
          <w:rFonts w:ascii="Arial" w:hAnsi="Arial" w:cs="Arial"/>
        </w:rPr>
        <w:tab/>
      </w:r>
      <w:r w:rsidR="00DC4F6D" w:rsidRPr="00516C28">
        <w:rPr>
          <w:rFonts w:ascii="Arial" w:hAnsi="Arial" w:cs="Arial"/>
        </w:rPr>
        <w:t>SALDULKER, VAN DER MERWE, NICHOLLS AND HUGHES JJA AND MATOJANE AJA</w:t>
      </w:r>
    </w:p>
    <w:p w14:paraId="60DBC0AF" w14:textId="3119760D" w:rsidR="001910E7" w:rsidRPr="00516C28" w:rsidRDefault="001910E7" w:rsidP="00804EB3">
      <w:pPr>
        <w:tabs>
          <w:tab w:val="left" w:pos="851"/>
          <w:tab w:val="left" w:pos="1701"/>
          <w:tab w:val="left" w:pos="1985"/>
        </w:tabs>
        <w:spacing w:before="120" w:after="120" w:line="360" w:lineRule="auto"/>
        <w:rPr>
          <w:rFonts w:ascii="Arial" w:hAnsi="Arial" w:cs="Arial"/>
          <w:b/>
          <w:bCs/>
        </w:rPr>
      </w:pPr>
      <w:r w:rsidRPr="00516C28">
        <w:rPr>
          <w:rFonts w:ascii="Arial" w:hAnsi="Arial" w:cs="Arial"/>
          <w:b/>
          <w:bCs/>
        </w:rPr>
        <w:t>Heard</w:t>
      </w:r>
      <w:r w:rsidR="00D35C26" w:rsidRPr="00516C28">
        <w:rPr>
          <w:rFonts w:ascii="Arial" w:hAnsi="Arial" w:cs="Arial"/>
        </w:rPr>
        <w:t xml:space="preserve">:            </w:t>
      </w:r>
      <w:r w:rsidR="00804EB3" w:rsidRPr="00516C28">
        <w:rPr>
          <w:rFonts w:ascii="Arial" w:hAnsi="Arial" w:cs="Arial"/>
        </w:rPr>
        <w:tab/>
      </w:r>
      <w:r w:rsidR="00804EB3" w:rsidRPr="00516C28">
        <w:rPr>
          <w:rFonts w:ascii="Arial" w:hAnsi="Arial" w:cs="Arial"/>
        </w:rPr>
        <w:tab/>
      </w:r>
      <w:r w:rsidR="00DC4F6D" w:rsidRPr="00516C28">
        <w:rPr>
          <w:rFonts w:ascii="Arial" w:hAnsi="Arial" w:cs="Arial"/>
        </w:rPr>
        <w:t>21 February 2022</w:t>
      </w:r>
      <w:r w:rsidRPr="00516C28">
        <w:rPr>
          <w:rFonts w:ascii="Arial" w:hAnsi="Arial" w:cs="Arial"/>
        </w:rPr>
        <w:t xml:space="preserve"> </w:t>
      </w:r>
    </w:p>
    <w:p w14:paraId="52CE489D" w14:textId="52DB4C36" w:rsidR="001910E7" w:rsidRPr="00516C28" w:rsidRDefault="001910E7" w:rsidP="00F33973">
      <w:pPr>
        <w:tabs>
          <w:tab w:val="left" w:pos="1985"/>
        </w:tabs>
        <w:spacing w:after="240" w:line="360" w:lineRule="auto"/>
        <w:ind w:left="1980" w:hanging="1980"/>
        <w:jc w:val="both"/>
        <w:rPr>
          <w:rFonts w:ascii="Arial" w:hAnsi="Arial" w:cs="Arial"/>
        </w:rPr>
      </w:pPr>
      <w:r w:rsidRPr="00516C28">
        <w:rPr>
          <w:rFonts w:ascii="Arial" w:hAnsi="Arial" w:cs="Arial"/>
          <w:b/>
          <w:bCs/>
        </w:rPr>
        <w:t>Delivered</w:t>
      </w:r>
      <w:r w:rsidR="000F325E" w:rsidRPr="00516C28">
        <w:rPr>
          <w:rFonts w:ascii="Arial" w:hAnsi="Arial" w:cs="Arial"/>
        </w:rPr>
        <w:t>:</w:t>
      </w:r>
      <w:r w:rsidR="002963C5" w:rsidRPr="00516C28">
        <w:rPr>
          <w:rFonts w:ascii="Arial" w:hAnsi="Arial" w:cs="Arial"/>
        </w:rPr>
        <w:tab/>
      </w:r>
      <w:r w:rsidR="00804EB3" w:rsidRPr="00516C28">
        <w:rPr>
          <w:rFonts w:ascii="Arial" w:hAnsi="Arial" w:cs="Arial"/>
        </w:rPr>
        <w:tab/>
      </w:r>
      <w:r w:rsidR="000F325E" w:rsidRPr="00516C28">
        <w:rPr>
          <w:rFonts w:ascii="Arial" w:hAnsi="Arial" w:cs="Arial"/>
        </w:rPr>
        <w:t>This judgment was handed down electronically by circulation to the parties’ legal representatives by email</w:t>
      </w:r>
      <w:r w:rsidR="00733634" w:rsidRPr="00516C28">
        <w:rPr>
          <w:rFonts w:ascii="Arial" w:hAnsi="Arial" w:cs="Arial"/>
        </w:rPr>
        <w:t xml:space="preserve">. It has been </w:t>
      </w:r>
      <w:r w:rsidR="000F325E" w:rsidRPr="00516C28">
        <w:rPr>
          <w:rFonts w:ascii="Arial" w:hAnsi="Arial" w:cs="Arial"/>
        </w:rPr>
        <w:t>publi</w:t>
      </w:r>
      <w:r w:rsidR="00733634" w:rsidRPr="00516C28">
        <w:rPr>
          <w:rFonts w:ascii="Arial" w:hAnsi="Arial" w:cs="Arial"/>
        </w:rPr>
        <w:t>shed</w:t>
      </w:r>
      <w:r w:rsidR="000F325E" w:rsidRPr="00516C28">
        <w:rPr>
          <w:rFonts w:ascii="Arial" w:hAnsi="Arial" w:cs="Arial"/>
        </w:rPr>
        <w:t xml:space="preserve"> on the Supreme Court of Appeal website and release</w:t>
      </w:r>
      <w:r w:rsidR="00733634" w:rsidRPr="00516C28">
        <w:rPr>
          <w:rFonts w:ascii="Arial" w:hAnsi="Arial" w:cs="Arial"/>
        </w:rPr>
        <w:t>d</w:t>
      </w:r>
      <w:r w:rsidR="000F325E" w:rsidRPr="00516C28">
        <w:rPr>
          <w:rFonts w:ascii="Arial" w:hAnsi="Arial" w:cs="Arial"/>
        </w:rPr>
        <w:t xml:space="preserve"> to SAFLII. The date and time for hand-down is deemed to be </w:t>
      </w:r>
      <w:r w:rsidR="00346CE5" w:rsidRPr="00516C28">
        <w:rPr>
          <w:rFonts w:ascii="Arial" w:hAnsi="Arial" w:cs="Arial"/>
        </w:rPr>
        <w:t>09</w:t>
      </w:r>
      <w:r w:rsidR="000F325E" w:rsidRPr="00516C28">
        <w:rPr>
          <w:rFonts w:ascii="Arial" w:hAnsi="Arial" w:cs="Arial"/>
        </w:rPr>
        <w:t>h</w:t>
      </w:r>
      <w:r w:rsidR="00346CE5" w:rsidRPr="00516C28">
        <w:rPr>
          <w:rFonts w:ascii="Arial" w:hAnsi="Arial" w:cs="Arial"/>
        </w:rPr>
        <w:t>45</w:t>
      </w:r>
      <w:r w:rsidR="000F325E" w:rsidRPr="00516C28">
        <w:rPr>
          <w:rFonts w:ascii="Arial" w:hAnsi="Arial" w:cs="Arial"/>
        </w:rPr>
        <w:t xml:space="preserve"> on </w:t>
      </w:r>
      <w:r w:rsidR="00164465" w:rsidRPr="00516C28">
        <w:rPr>
          <w:rFonts w:ascii="Arial" w:hAnsi="Arial" w:cs="Arial"/>
        </w:rPr>
        <w:t>29</w:t>
      </w:r>
      <w:r w:rsidR="000E4088" w:rsidRPr="00516C28">
        <w:rPr>
          <w:rFonts w:ascii="Arial" w:hAnsi="Arial" w:cs="Arial"/>
        </w:rPr>
        <w:t xml:space="preserve"> March</w:t>
      </w:r>
      <w:r w:rsidR="000778E9" w:rsidRPr="00516C28">
        <w:rPr>
          <w:rFonts w:ascii="Arial" w:hAnsi="Arial" w:cs="Arial"/>
        </w:rPr>
        <w:t xml:space="preserve"> 2022</w:t>
      </w:r>
      <w:r w:rsidR="00B2034B" w:rsidRPr="00516C28">
        <w:rPr>
          <w:rFonts w:ascii="Arial" w:hAnsi="Arial" w:cs="Arial"/>
        </w:rPr>
        <w:t>.</w:t>
      </w:r>
    </w:p>
    <w:p w14:paraId="2C7CF11E" w14:textId="002306D0" w:rsidR="004F2F87" w:rsidRPr="00516C28" w:rsidRDefault="001910E7" w:rsidP="004F2F87">
      <w:pPr>
        <w:spacing w:line="360" w:lineRule="auto"/>
        <w:jc w:val="both"/>
        <w:rPr>
          <w:rFonts w:ascii="Arial" w:eastAsia="Calibri" w:hAnsi="Arial" w:cs="Arial"/>
          <w:lang w:val="en-ZA"/>
        </w:rPr>
      </w:pPr>
      <w:r w:rsidRPr="00516C28">
        <w:rPr>
          <w:rFonts w:ascii="Arial" w:hAnsi="Arial" w:cs="Arial"/>
          <w:b/>
          <w:bCs/>
        </w:rPr>
        <w:t>Summary:</w:t>
      </w:r>
      <w:r w:rsidR="00B91C2D" w:rsidRPr="00516C28">
        <w:rPr>
          <w:rFonts w:ascii="Arial" w:hAnsi="Arial" w:cs="Arial"/>
          <w:b/>
          <w:bCs/>
        </w:rPr>
        <w:tab/>
      </w:r>
      <w:r w:rsidR="004F2F87" w:rsidRPr="00516C28">
        <w:rPr>
          <w:rFonts w:ascii="Arial" w:eastAsia="Calibri" w:hAnsi="Arial" w:cs="Arial"/>
          <w:lang w:val="en-ZA"/>
        </w:rPr>
        <w:t>Administrative law – disciplinary proceedings against student at public higher education institution – Promotion of Administrative Justice Act 3 of 2000 (PAJA) applicable – procedural fairness and right to particular legal representation under PAJA – depend</w:t>
      </w:r>
      <w:r w:rsidR="00864ABA" w:rsidRPr="00516C28">
        <w:rPr>
          <w:rFonts w:ascii="Arial" w:eastAsia="Calibri" w:hAnsi="Arial" w:cs="Arial"/>
          <w:lang w:val="en-ZA"/>
        </w:rPr>
        <w:t>e</w:t>
      </w:r>
      <w:r w:rsidR="007F3F11" w:rsidRPr="00516C28">
        <w:rPr>
          <w:rFonts w:ascii="Arial" w:eastAsia="Calibri" w:hAnsi="Arial" w:cs="Arial"/>
          <w:lang w:val="en-ZA"/>
        </w:rPr>
        <w:t>nt</w:t>
      </w:r>
      <w:r w:rsidR="004F2F87" w:rsidRPr="00516C28">
        <w:rPr>
          <w:rFonts w:ascii="Arial" w:eastAsia="Calibri" w:hAnsi="Arial" w:cs="Arial"/>
          <w:lang w:val="en-ZA"/>
        </w:rPr>
        <w:t xml:space="preserve"> on particular circumstances of </w:t>
      </w:r>
      <w:r w:rsidR="007F3F11" w:rsidRPr="00516C28">
        <w:rPr>
          <w:rFonts w:ascii="Arial" w:eastAsia="Calibri" w:hAnsi="Arial" w:cs="Arial"/>
          <w:lang w:val="en-ZA"/>
        </w:rPr>
        <w:t xml:space="preserve">each </w:t>
      </w:r>
      <w:r w:rsidR="004F2F87" w:rsidRPr="00516C28">
        <w:rPr>
          <w:rFonts w:ascii="Arial" w:eastAsia="Calibri" w:hAnsi="Arial" w:cs="Arial"/>
          <w:lang w:val="en-ZA"/>
        </w:rPr>
        <w:t xml:space="preserve">case – </w:t>
      </w:r>
      <w:r w:rsidR="00383A69" w:rsidRPr="00516C28">
        <w:rPr>
          <w:rFonts w:ascii="Arial" w:eastAsia="Calibri" w:hAnsi="Arial" w:cs="Arial"/>
          <w:lang w:val="en-ZA"/>
        </w:rPr>
        <w:t>in absence of compelling reason</w:t>
      </w:r>
      <w:r w:rsidR="00115545" w:rsidRPr="00516C28">
        <w:rPr>
          <w:rFonts w:ascii="Arial" w:eastAsia="Calibri" w:hAnsi="Arial" w:cs="Arial"/>
          <w:lang w:val="en-ZA"/>
        </w:rPr>
        <w:t>s</w:t>
      </w:r>
      <w:r w:rsidR="004F2F87" w:rsidRPr="00516C28">
        <w:rPr>
          <w:rFonts w:ascii="Arial" w:eastAsia="Calibri" w:hAnsi="Arial" w:cs="Arial"/>
          <w:lang w:val="en-ZA"/>
        </w:rPr>
        <w:t xml:space="preserve"> to contrary procedurally unfair to require student to forgo services of counsel steeped in part-heard matter and available within reasonable time – decisions flowing from disciplinary inquiry reviewed and set aside.</w:t>
      </w:r>
    </w:p>
    <w:p w14:paraId="16B6E940" w14:textId="77777777" w:rsidR="00720667" w:rsidRPr="00516C28" w:rsidRDefault="00720667" w:rsidP="00346CE5">
      <w:pPr>
        <w:pBdr>
          <w:bottom w:val="single" w:sz="12" w:space="1" w:color="auto"/>
        </w:pBdr>
        <w:rPr>
          <w:rFonts w:ascii="Arial" w:hAnsi="Arial" w:cs="Arial"/>
          <w:bCs/>
        </w:rPr>
      </w:pPr>
    </w:p>
    <w:p w14:paraId="78752FFC" w14:textId="68566A32" w:rsidR="00B625EE" w:rsidRPr="00516C28" w:rsidRDefault="00B625EE" w:rsidP="00346CE5">
      <w:pPr>
        <w:spacing w:line="360" w:lineRule="auto"/>
        <w:jc w:val="right"/>
        <w:rPr>
          <w:rFonts w:ascii="Arial" w:eastAsia="MS Mincho" w:hAnsi="Arial" w:cs="Arial"/>
        </w:rPr>
      </w:pPr>
    </w:p>
    <w:p w14:paraId="42BECD88" w14:textId="77777777" w:rsidR="00B625EE" w:rsidRPr="00516C28" w:rsidRDefault="00B625EE" w:rsidP="00346CE5">
      <w:pPr>
        <w:pBdr>
          <w:bottom w:val="single" w:sz="12" w:space="1" w:color="auto"/>
        </w:pBdr>
        <w:spacing w:line="360" w:lineRule="auto"/>
        <w:jc w:val="center"/>
        <w:rPr>
          <w:rFonts w:ascii="Arial" w:eastAsia="MS Mincho" w:hAnsi="Arial" w:cs="Arial"/>
          <w:b/>
        </w:rPr>
      </w:pPr>
      <w:r w:rsidRPr="00516C28">
        <w:rPr>
          <w:rFonts w:ascii="Arial" w:eastAsia="MS Mincho" w:hAnsi="Arial" w:cs="Arial"/>
          <w:b/>
        </w:rPr>
        <w:t xml:space="preserve">ORDER </w:t>
      </w:r>
    </w:p>
    <w:p w14:paraId="2CDFC555" w14:textId="77777777" w:rsidR="00B625EE" w:rsidRPr="00516C28" w:rsidRDefault="00B625EE" w:rsidP="00346CE5">
      <w:pPr>
        <w:pBdr>
          <w:bottom w:val="single" w:sz="12" w:space="1" w:color="auto"/>
        </w:pBdr>
        <w:spacing w:line="360" w:lineRule="auto"/>
        <w:jc w:val="center"/>
        <w:rPr>
          <w:rFonts w:ascii="Arial" w:eastAsia="MS Mincho" w:hAnsi="Arial" w:cs="Arial"/>
          <w:b/>
          <w:sz w:val="16"/>
          <w:szCs w:val="16"/>
        </w:rPr>
      </w:pPr>
    </w:p>
    <w:p w14:paraId="1FA20913" w14:textId="77777777" w:rsidR="00B625EE" w:rsidRPr="00516C28" w:rsidRDefault="00B625EE" w:rsidP="00346CE5">
      <w:pPr>
        <w:spacing w:line="360" w:lineRule="auto"/>
        <w:jc w:val="both"/>
        <w:rPr>
          <w:rFonts w:ascii="Arial" w:eastAsia="MS Mincho" w:hAnsi="Arial" w:cs="Arial"/>
          <w:b/>
        </w:rPr>
      </w:pPr>
    </w:p>
    <w:p w14:paraId="71F661CA" w14:textId="3905FBDF" w:rsidR="005D23DC" w:rsidRPr="00516C28" w:rsidRDefault="00B625EE" w:rsidP="00921936">
      <w:pPr>
        <w:spacing w:line="360" w:lineRule="auto"/>
        <w:jc w:val="both"/>
        <w:rPr>
          <w:rFonts w:ascii="Arial" w:eastAsia="MS Mincho" w:hAnsi="Arial" w:cs="Arial"/>
        </w:rPr>
      </w:pPr>
      <w:r w:rsidRPr="00516C28">
        <w:rPr>
          <w:rFonts w:ascii="Arial" w:hAnsi="Arial" w:cs="Arial"/>
          <w:b/>
          <w:bCs/>
        </w:rPr>
        <w:t xml:space="preserve">On appeal from: </w:t>
      </w:r>
      <w:r w:rsidR="00DC4F6D" w:rsidRPr="00516C28">
        <w:rPr>
          <w:rFonts w:ascii="Arial" w:hAnsi="Arial" w:cs="Arial"/>
          <w:bCs/>
        </w:rPr>
        <w:t>Eastern Cape</w:t>
      </w:r>
      <w:r w:rsidR="006C3F6B" w:rsidRPr="00516C28">
        <w:rPr>
          <w:rFonts w:ascii="Arial" w:eastAsia="MS Mincho" w:hAnsi="Arial" w:cs="Arial"/>
        </w:rPr>
        <w:t xml:space="preserve"> Division of the High Court, </w:t>
      </w:r>
      <w:r w:rsidR="00DC4F6D" w:rsidRPr="00516C28">
        <w:rPr>
          <w:rFonts w:ascii="Arial" w:eastAsia="MS Mincho" w:hAnsi="Arial" w:cs="Arial"/>
        </w:rPr>
        <w:t>Grahamstown</w:t>
      </w:r>
      <w:r w:rsidR="006C3F6B" w:rsidRPr="00516C28">
        <w:rPr>
          <w:rFonts w:ascii="Arial" w:eastAsia="MS Mincho" w:hAnsi="Arial" w:cs="Arial"/>
        </w:rPr>
        <w:t xml:space="preserve"> (</w:t>
      </w:r>
      <w:r w:rsidR="00DC4F6D" w:rsidRPr="00516C28">
        <w:rPr>
          <w:rFonts w:ascii="Arial" w:eastAsia="MS Mincho" w:hAnsi="Arial" w:cs="Arial"/>
        </w:rPr>
        <w:t>Nhlangulela DJP</w:t>
      </w:r>
      <w:r w:rsidR="006C3F6B" w:rsidRPr="00516C28">
        <w:rPr>
          <w:rFonts w:ascii="Arial" w:eastAsia="MS Mincho" w:hAnsi="Arial" w:cs="Arial"/>
        </w:rPr>
        <w:t xml:space="preserve"> sitting as court of first instance):</w:t>
      </w:r>
    </w:p>
    <w:p w14:paraId="41EB8114" w14:textId="6854F19F" w:rsidR="00EB3147" w:rsidRPr="00516C28" w:rsidRDefault="00EB3147" w:rsidP="00EB3147">
      <w:pPr>
        <w:tabs>
          <w:tab w:val="left" w:pos="567"/>
          <w:tab w:val="left" w:pos="851"/>
        </w:tabs>
        <w:spacing w:line="360" w:lineRule="auto"/>
        <w:jc w:val="both"/>
        <w:rPr>
          <w:rFonts w:ascii="Arial" w:eastAsia="Calibri" w:hAnsi="Arial" w:cs="Arial"/>
          <w:lang w:val="en-ZA"/>
        </w:rPr>
      </w:pPr>
      <w:r w:rsidRPr="00516C28">
        <w:rPr>
          <w:rFonts w:ascii="Arial" w:eastAsia="Calibri" w:hAnsi="Arial" w:cs="Arial"/>
          <w:lang w:val="en-ZA"/>
        </w:rPr>
        <w:t>1</w:t>
      </w:r>
      <w:r w:rsidR="00AD6F99" w:rsidRPr="00516C28">
        <w:rPr>
          <w:rFonts w:ascii="Arial" w:eastAsia="Calibri" w:hAnsi="Arial" w:cs="Arial"/>
          <w:lang w:val="en-ZA"/>
        </w:rPr>
        <w:tab/>
      </w:r>
      <w:r w:rsidRPr="00516C28">
        <w:rPr>
          <w:rFonts w:ascii="Arial" w:eastAsia="Calibri" w:hAnsi="Arial" w:cs="Arial"/>
          <w:lang w:val="en-ZA"/>
        </w:rPr>
        <w:t>The appeal is upheld with costs, including the costs of two counsel.</w:t>
      </w:r>
    </w:p>
    <w:p w14:paraId="02C3A147" w14:textId="73CABB64" w:rsidR="00EB3147" w:rsidRPr="00516C28" w:rsidRDefault="00EB3147" w:rsidP="00EB3147">
      <w:pPr>
        <w:tabs>
          <w:tab w:val="left" w:pos="567"/>
        </w:tabs>
        <w:spacing w:line="360" w:lineRule="auto"/>
        <w:jc w:val="both"/>
        <w:rPr>
          <w:rFonts w:ascii="Arial" w:eastAsia="Calibri" w:hAnsi="Arial" w:cs="Arial"/>
          <w:lang w:val="en-ZA"/>
        </w:rPr>
      </w:pPr>
      <w:r w:rsidRPr="00516C28">
        <w:rPr>
          <w:rFonts w:ascii="Arial" w:eastAsia="Calibri" w:hAnsi="Arial" w:cs="Arial"/>
          <w:lang w:val="en-ZA"/>
        </w:rPr>
        <w:t>2</w:t>
      </w:r>
      <w:r w:rsidR="00AD6F99" w:rsidRPr="00516C28">
        <w:rPr>
          <w:rFonts w:ascii="Arial" w:eastAsia="Calibri" w:hAnsi="Arial" w:cs="Arial"/>
          <w:lang w:val="en-ZA"/>
        </w:rPr>
        <w:tab/>
      </w:r>
      <w:r w:rsidRPr="00516C28">
        <w:rPr>
          <w:rFonts w:ascii="Arial" w:eastAsia="Calibri" w:hAnsi="Arial" w:cs="Arial"/>
          <w:lang w:val="en-ZA"/>
        </w:rPr>
        <w:t>The order of the court a quo is set aside and replaced with the following:</w:t>
      </w:r>
    </w:p>
    <w:p w14:paraId="260EDF6F" w14:textId="64F8C123" w:rsidR="00EB3147" w:rsidRPr="00516C28" w:rsidRDefault="0083096B" w:rsidP="007F3F11">
      <w:pPr>
        <w:tabs>
          <w:tab w:val="left" w:pos="0"/>
          <w:tab w:val="left" w:pos="567"/>
          <w:tab w:val="left" w:pos="1418"/>
        </w:tabs>
        <w:spacing w:line="360" w:lineRule="auto"/>
        <w:ind w:left="567" w:hanging="567"/>
        <w:jc w:val="both"/>
        <w:rPr>
          <w:rFonts w:ascii="Arial" w:eastAsia="Calibri" w:hAnsi="Arial" w:cs="Arial"/>
          <w:lang w:val="en-ZA"/>
        </w:rPr>
      </w:pPr>
      <w:r w:rsidRPr="00516C28">
        <w:rPr>
          <w:rFonts w:ascii="Arial" w:eastAsia="Calibri" w:hAnsi="Arial" w:cs="Arial"/>
          <w:lang w:val="en-ZA"/>
        </w:rPr>
        <w:tab/>
      </w:r>
      <w:r w:rsidR="00EB3147" w:rsidRPr="00516C28">
        <w:rPr>
          <w:rFonts w:ascii="Arial" w:eastAsia="Calibri" w:hAnsi="Arial" w:cs="Arial"/>
          <w:lang w:val="en-ZA"/>
        </w:rPr>
        <w:t>‘(a)</w:t>
      </w:r>
      <w:r w:rsidR="00EB3147" w:rsidRPr="00516C28">
        <w:rPr>
          <w:rFonts w:ascii="Arial" w:eastAsia="Calibri" w:hAnsi="Arial" w:cs="Arial"/>
          <w:lang w:val="en-ZA"/>
        </w:rPr>
        <w:tab/>
        <w:t xml:space="preserve">The decision of 10 October 2017, convicting the applicant on charges of kidnapping, assault, insubordination and defamation, in terms of rules 4.3 and 4.17 (a) and (b) of the first respondent’s </w:t>
      </w:r>
      <w:r w:rsidR="003B6DEB" w:rsidRPr="00516C28">
        <w:rPr>
          <w:rFonts w:ascii="Arial" w:eastAsia="Calibri" w:hAnsi="Arial" w:cs="Arial"/>
          <w:lang w:val="en-ZA"/>
        </w:rPr>
        <w:t>S</w:t>
      </w:r>
      <w:r w:rsidR="00EB3147" w:rsidRPr="00516C28">
        <w:rPr>
          <w:rFonts w:ascii="Arial" w:eastAsia="Calibri" w:hAnsi="Arial" w:cs="Arial"/>
          <w:lang w:val="en-ZA"/>
        </w:rPr>
        <w:t>tudent Disciplinary Code, is reviewed and set aside.</w:t>
      </w:r>
    </w:p>
    <w:p w14:paraId="239E7979" w14:textId="18613E5C" w:rsidR="00EB3147" w:rsidRPr="00516C28" w:rsidRDefault="0083096B" w:rsidP="007F3F11">
      <w:pPr>
        <w:tabs>
          <w:tab w:val="left" w:pos="0"/>
          <w:tab w:val="left" w:pos="567"/>
        </w:tabs>
        <w:spacing w:line="360" w:lineRule="auto"/>
        <w:ind w:left="567" w:hanging="567"/>
        <w:jc w:val="both"/>
        <w:rPr>
          <w:rFonts w:ascii="Arial" w:eastAsia="Calibri" w:hAnsi="Arial" w:cs="Arial"/>
          <w:lang w:val="en-ZA"/>
        </w:rPr>
      </w:pPr>
      <w:r w:rsidRPr="00516C28">
        <w:rPr>
          <w:rFonts w:ascii="Arial" w:eastAsia="Calibri" w:hAnsi="Arial" w:cs="Arial"/>
          <w:lang w:val="en-ZA"/>
        </w:rPr>
        <w:tab/>
      </w:r>
      <w:r w:rsidR="00EB3147" w:rsidRPr="00516C28">
        <w:rPr>
          <w:rFonts w:ascii="Arial" w:eastAsia="Calibri" w:hAnsi="Arial" w:cs="Arial"/>
          <w:lang w:val="en-ZA"/>
        </w:rPr>
        <w:t>(b)</w:t>
      </w:r>
      <w:r w:rsidR="00EB3147" w:rsidRPr="00516C28">
        <w:rPr>
          <w:rFonts w:ascii="Arial" w:eastAsia="Calibri" w:hAnsi="Arial" w:cs="Arial"/>
          <w:lang w:val="en-ZA"/>
        </w:rPr>
        <w:tab/>
        <w:t>The decision of 17 November 2017,</w:t>
      </w:r>
      <w:r w:rsidR="00D96A36" w:rsidRPr="00516C28">
        <w:rPr>
          <w:rFonts w:ascii="Arial" w:eastAsia="Calibri" w:hAnsi="Arial" w:cs="Arial"/>
          <w:lang w:val="en-ZA"/>
        </w:rPr>
        <w:t xml:space="preserve"> </w:t>
      </w:r>
      <w:r w:rsidR="00EB3147" w:rsidRPr="00516C28">
        <w:rPr>
          <w:rFonts w:ascii="Arial" w:eastAsia="Calibri" w:hAnsi="Arial" w:cs="Arial"/>
          <w:lang w:val="en-ZA"/>
        </w:rPr>
        <w:t>sanctioning the applicant by permanently excluding her from the first respondent, in terms of rule 7.27 (b) of the first respondent’s Student Disciplinary Code, and making various ancillary orders, is reviewed and set aside.</w:t>
      </w:r>
    </w:p>
    <w:p w14:paraId="11A6E0C4" w14:textId="0D974B84" w:rsidR="00EB3147" w:rsidRPr="00516C28" w:rsidRDefault="0083096B" w:rsidP="007F3F11">
      <w:pPr>
        <w:tabs>
          <w:tab w:val="left" w:pos="0"/>
          <w:tab w:val="left" w:pos="567"/>
        </w:tabs>
        <w:spacing w:line="360" w:lineRule="auto"/>
        <w:ind w:left="567" w:hanging="567"/>
        <w:jc w:val="both"/>
        <w:rPr>
          <w:rFonts w:ascii="Arial" w:eastAsia="Calibri" w:hAnsi="Arial" w:cs="Arial"/>
          <w:lang w:val="en-ZA"/>
        </w:rPr>
      </w:pPr>
      <w:r w:rsidRPr="00516C28">
        <w:rPr>
          <w:rFonts w:ascii="Arial" w:eastAsia="Calibri" w:hAnsi="Arial" w:cs="Arial"/>
          <w:lang w:val="en-ZA"/>
        </w:rPr>
        <w:tab/>
      </w:r>
      <w:r w:rsidR="00EB3147" w:rsidRPr="00516C28">
        <w:rPr>
          <w:rFonts w:ascii="Arial" w:eastAsia="Calibri" w:hAnsi="Arial" w:cs="Arial"/>
          <w:lang w:val="en-ZA"/>
        </w:rPr>
        <w:t>(c)</w:t>
      </w:r>
      <w:r w:rsidR="00EB3147" w:rsidRPr="00516C28">
        <w:rPr>
          <w:rFonts w:ascii="Arial" w:eastAsia="Calibri" w:hAnsi="Arial" w:cs="Arial"/>
          <w:lang w:val="en-ZA"/>
        </w:rPr>
        <w:tab/>
        <w:t>The matter is remitted to the first respondent for reconsideration on condition that any continuation of the disciplinary inquiry against the applicant shall take place before another proctor.</w:t>
      </w:r>
    </w:p>
    <w:p w14:paraId="4A096F75" w14:textId="5EF97B7E" w:rsidR="00EB3147" w:rsidRPr="00516C28" w:rsidRDefault="0083096B" w:rsidP="007F3F11">
      <w:pPr>
        <w:tabs>
          <w:tab w:val="left" w:pos="0"/>
          <w:tab w:val="left" w:pos="567"/>
        </w:tabs>
        <w:spacing w:line="360" w:lineRule="auto"/>
        <w:ind w:left="567" w:hanging="567"/>
        <w:jc w:val="both"/>
        <w:rPr>
          <w:rFonts w:ascii="Arial" w:eastAsia="Calibri" w:hAnsi="Arial" w:cs="Arial"/>
          <w:lang w:val="en-ZA"/>
        </w:rPr>
      </w:pPr>
      <w:r w:rsidRPr="00516C28">
        <w:rPr>
          <w:rFonts w:ascii="Arial" w:eastAsia="Calibri" w:hAnsi="Arial" w:cs="Arial"/>
          <w:lang w:val="en-ZA"/>
        </w:rPr>
        <w:tab/>
      </w:r>
      <w:r w:rsidR="00EB3147" w:rsidRPr="00516C28">
        <w:rPr>
          <w:rFonts w:ascii="Arial" w:eastAsia="Calibri" w:hAnsi="Arial" w:cs="Arial"/>
          <w:lang w:val="en-ZA"/>
        </w:rPr>
        <w:t>(d)</w:t>
      </w:r>
      <w:r w:rsidR="00EB3147" w:rsidRPr="00516C28">
        <w:rPr>
          <w:rFonts w:ascii="Arial" w:eastAsia="Calibri" w:hAnsi="Arial" w:cs="Arial"/>
          <w:lang w:val="en-ZA"/>
        </w:rPr>
        <w:tab/>
        <w:t xml:space="preserve">The first respondent is directed to pay the applicant’s costs, including the costs of two counsel.’ </w:t>
      </w:r>
    </w:p>
    <w:p w14:paraId="5FA6212A" w14:textId="77777777" w:rsidR="00DC4F6D" w:rsidRPr="00516C28" w:rsidRDefault="00DC4F6D" w:rsidP="00346CE5">
      <w:pPr>
        <w:pBdr>
          <w:bottom w:val="single" w:sz="12" w:space="1" w:color="auto"/>
        </w:pBdr>
        <w:spacing w:line="360" w:lineRule="auto"/>
        <w:contextualSpacing/>
        <w:jc w:val="both"/>
        <w:rPr>
          <w:rFonts w:ascii="Arial" w:hAnsi="Arial" w:cs="Arial"/>
          <w:sz w:val="16"/>
          <w:szCs w:val="16"/>
        </w:rPr>
      </w:pPr>
    </w:p>
    <w:p w14:paraId="4757D57C" w14:textId="77777777" w:rsidR="00B625EE" w:rsidRPr="00516C28" w:rsidRDefault="00B625EE" w:rsidP="00346CE5">
      <w:pPr>
        <w:spacing w:line="360" w:lineRule="auto"/>
        <w:jc w:val="both"/>
        <w:rPr>
          <w:rFonts w:ascii="Arial" w:eastAsia="MS Mincho" w:hAnsi="Arial" w:cs="Arial"/>
          <w:b/>
          <w:sz w:val="20"/>
          <w:szCs w:val="20"/>
        </w:rPr>
      </w:pPr>
    </w:p>
    <w:p w14:paraId="0FA5D3EF" w14:textId="77777777" w:rsidR="00B625EE" w:rsidRPr="00516C28" w:rsidRDefault="00B625EE" w:rsidP="00346CE5">
      <w:pPr>
        <w:pBdr>
          <w:bottom w:val="single" w:sz="12" w:space="1" w:color="auto"/>
        </w:pBdr>
        <w:spacing w:line="360" w:lineRule="auto"/>
        <w:jc w:val="center"/>
        <w:rPr>
          <w:rFonts w:ascii="Arial" w:hAnsi="Arial" w:cs="Arial"/>
          <w:b/>
        </w:rPr>
      </w:pPr>
      <w:r w:rsidRPr="00516C28">
        <w:rPr>
          <w:rFonts w:ascii="Arial" w:hAnsi="Arial" w:cs="Arial"/>
          <w:b/>
        </w:rPr>
        <w:t>JUDGMENT</w:t>
      </w:r>
    </w:p>
    <w:p w14:paraId="67C04227" w14:textId="77777777" w:rsidR="00B625EE" w:rsidRPr="00516C28" w:rsidRDefault="00B625EE" w:rsidP="00346CE5">
      <w:pPr>
        <w:pBdr>
          <w:bottom w:val="single" w:sz="12" w:space="1" w:color="auto"/>
        </w:pBdr>
        <w:spacing w:line="360" w:lineRule="auto"/>
        <w:jc w:val="center"/>
        <w:rPr>
          <w:rFonts w:ascii="Arial" w:hAnsi="Arial" w:cs="Arial"/>
          <w:b/>
          <w:sz w:val="16"/>
          <w:szCs w:val="16"/>
        </w:rPr>
      </w:pPr>
    </w:p>
    <w:p w14:paraId="0F44167C" w14:textId="34553B2E" w:rsidR="00B625EE" w:rsidRPr="00516C28" w:rsidRDefault="00EA730D" w:rsidP="00A454DE">
      <w:pPr>
        <w:spacing w:before="240" w:after="120" w:line="360" w:lineRule="auto"/>
        <w:jc w:val="both"/>
        <w:rPr>
          <w:rFonts w:ascii="Arial" w:hAnsi="Arial" w:cs="Arial"/>
          <w:b/>
          <w:lang w:val="en-ZA"/>
        </w:rPr>
      </w:pPr>
      <w:r w:rsidRPr="00516C28">
        <w:rPr>
          <w:rFonts w:ascii="Arial" w:hAnsi="Arial" w:cs="Arial"/>
          <w:b/>
        </w:rPr>
        <w:t>Van der Merwe JA</w:t>
      </w:r>
      <w:r w:rsidR="00751C39" w:rsidRPr="00516C28">
        <w:rPr>
          <w:rFonts w:ascii="Arial" w:hAnsi="Arial" w:cs="Arial"/>
          <w:b/>
        </w:rPr>
        <w:t xml:space="preserve"> </w:t>
      </w:r>
      <w:r w:rsidR="00B625EE" w:rsidRPr="00516C28">
        <w:rPr>
          <w:rFonts w:ascii="Arial" w:hAnsi="Arial" w:cs="Arial"/>
          <w:b/>
        </w:rPr>
        <w:t>(</w:t>
      </w:r>
      <w:r w:rsidR="00164465" w:rsidRPr="00516C28">
        <w:rPr>
          <w:rFonts w:ascii="Arial" w:hAnsi="Arial" w:cs="Arial"/>
          <w:b/>
        </w:rPr>
        <w:t xml:space="preserve">Saldulker, Nicholls and Hughes JJA and Matojane AJA </w:t>
      </w:r>
      <w:r w:rsidR="00B625EE" w:rsidRPr="00516C28">
        <w:rPr>
          <w:rFonts w:ascii="Arial" w:hAnsi="Arial" w:cs="Arial"/>
          <w:b/>
        </w:rPr>
        <w:t>concurring)</w:t>
      </w:r>
    </w:p>
    <w:p w14:paraId="0F00EB95" w14:textId="03BC8440"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[1]</w:t>
      </w:r>
      <w:r w:rsidRPr="00516C28">
        <w:rPr>
          <w:rFonts w:ascii="Arial" w:eastAsia="Calibri" w:hAnsi="Arial" w:cs="Arial"/>
          <w:lang w:val="en-ZA"/>
        </w:rPr>
        <w:tab/>
        <w:t xml:space="preserve">During 2017, the appellant, Ms Yolanda Dyantyi, was in her third and final year of study for a Bachelor of Arts degree at Rhodes University (the university). As a public higher education institution the university is a juristic person in terms of s 20(4) of the Higher Education Act 101 of 1997. It is the first respondent in the appeal. The second </w:t>
      </w:r>
      <w:r w:rsidRPr="00516C28">
        <w:rPr>
          <w:rFonts w:ascii="Arial" w:eastAsia="Calibri" w:hAnsi="Arial" w:cs="Arial"/>
          <w:lang w:val="en-ZA"/>
        </w:rPr>
        <w:lastRenderedPageBreak/>
        <w:t>respondent is the vice-chancellor of the university in his official capacity. During 2016 the university</w:t>
      </w:r>
      <w:r w:rsidR="00310342" w:rsidRPr="00516C28">
        <w:rPr>
          <w:rFonts w:ascii="Arial" w:eastAsia="Calibri" w:hAnsi="Arial" w:cs="Arial"/>
          <w:lang w:val="en-ZA"/>
        </w:rPr>
        <w:t xml:space="preserve"> </w:t>
      </w:r>
      <w:r w:rsidRPr="00516C28">
        <w:rPr>
          <w:rFonts w:ascii="Arial" w:eastAsia="Calibri" w:hAnsi="Arial" w:cs="Arial"/>
          <w:lang w:val="en-ZA"/>
        </w:rPr>
        <w:t xml:space="preserve">instituted disciplinary proceedings against Ms Dyantyi (and others). The third respondent, Mr Wayne Hutchinson NO (the proctor), chaired the disciplinary inquiry. </w:t>
      </w:r>
      <w:r w:rsidR="0076113E" w:rsidRPr="00516C28">
        <w:rPr>
          <w:rFonts w:ascii="Arial" w:eastAsia="Calibri" w:hAnsi="Arial" w:cs="Arial"/>
          <w:lang w:val="en-ZA"/>
        </w:rPr>
        <w:t xml:space="preserve">      </w:t>
      </w:r>
      <w:r w:rsidRPr="00516C28">
        <w:rPr>
          <w:rFonts w:ascii="Arial" w:eastAsia="Calibri" w:hAnsi="Arial" w:cs="Arial"/>
          <w:lang w:val="en-ZA"/>
        </w:rPr>
        <w:t xml:space="preserve">He found that Ms Dyantyi was guilty of the misconduct that she had been charged with and ordered her permanent exclusion from the university, with effect from 17 November 2017. Ms Dyantyi launched an application for the review and setting aside of the decisions of the proctor in the Eastern Cape Division of the High Court, Grahamstown. </w:t>
      </w:r>
      <w:r w:rsidR="0076113E" w:rsidRPr="00516C28">
        <w:rPr>
          <w:rFonts w:ascii="Arial" w:eastAsia="Calibri" w:hAnsi="Arial" w:cs="Arial"/>
          <w:lang w:val="en-ZA"/>
        </w:rPr>
        <w:t xml:space="preserve">                     </w:t>
      </w:r>
      <w:r w:rsidRPr="00516C28">
        <w:rPr>
          <w:rFonts w:ascii="Arial" w:eastAsia="Calibri" w:hAnsi="Arial" w:cs="Arial"/>
          <w:lang w:val="en-ZA"/>
        </w:rPr>
        <w:t xml:space="preserve">The university and the vice-chancellor opposed the application. Nhlangulela DJP dismissed the application with costs but granted leave to Ms Dyantyi to appeal to this court on the limited ground that I shall allude to. It suffices to say at this stage that the issue </w:t>
      </w:r>
      <w:r w:rsidR="00B5730A" w:rsidRPr="00516C28">
        <w:rPr>
          <w:rFonts w:ascii="Arial" w:eastAsia="Calibri" w:hAnsi="Arial" w:cs="Arial"/>
          <w:lang w:val="en-ZA"/>
        </w:rPr>
        <w:t>o</w:t>
      </w:r>
      <w:r w:rsidRPr="00516C28">
        <w:rPr>
          <w:rFonts w:ascii="Arial" w:eastAsia="Calibri" w:hAnsi="Arial" w:cs="Arial"/>
          <w:lang w:val="en-ZA"/>
        </w:rPr>
        <w:t>n appeal is whether procedural unfairness tainted the decisions of the proctor in respect of Ms</w:t>
      </w:r>
      <w:r w:rsidR="00B5730A" w:rsidRPr="00516C28">
        <w:rPr>
          <w:rFonts w:ascii="Arial" w:eastAsia="Calibri" w:hAnsi="Arial" w:cs="Arial"/>
          <w:lang w:val="en-ZA"/>
        </w:rPr>
        <w:t> </w:t>
      </w:r>
      <w:r w:rsidRPr="00516C28">
        <w:rPr>
          <w:rFonts w:ascii="Arial" w:eastAsia="Calibri" w:hAnsi="Arial" w:cs="Arial"/>
          <w:lang w:val="en-ZA"/>
        </w:rPr>
        <w:t xml:space="preserve">Dyantyi. </w:t>
      </w:r>
    </w:p>
    <w:p w14:paraId="315A7B5C" w14:textId="77777777" w:rsidR="004F2F87" w:rsidRPr="00516C28" w:rsidRDefault="004F2F87" w:rsidP="004F2F87">
      <w:pPr>
        <w:spacing w:line="360" w:lineRule="auto"/>
        <w:jc w:val="both"/>
        <w:rPr>
          <w:rFonts w:ascii="Arial" w:eastAsia="Calibri" w:hAnsi="Arial" w:cs="Arial"/>
          <w:lang w:val="en-ZA"/>
        </w:rPr>
      </w:pPr>
    </w:p>
    <w:p w14:paraId="773B5627" w14:textId="77777777" w:rsidR="004F2F87" w:rsidRPr="00516C28" w:rsidRDefault="004F2F87" w:rsidP="004F2F87">
      <w:pPr>
        <w:spacing w:line="360" w:lineRule="auto"/>
        <w:jc w:val="both"/>
        <w:rPr>
          <w:rFonts w:ascii="Arial" w:eastAsia="Calibri" w:hAnsi="Arial" w:cs="Arial"/>
          <w:b/>
          <w:lang w:val="en-ZA"/>
        </w:rPr>
      </w:pPr>
      <w:r w:rsidRPr="00516C28">
        <w:rPr>
          <w:rFonts w:ascii="Arial" w:eastAsia="Calibri" w:hAnsi="Arial" w:cs="Arial"/>
          <w:b/>
          <w:lang w:val="en-ZA"/>
        </w:rPr>
        <w:t>The facts</w:t>
      </w:r>
    </w:p>
    <w:p w14:paraId="3A651F4A" w14:textId="55267EE8"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[2]</w:t>
      </w:r>
      <w:r w:rsidRPr="00516C28">
        <w:rPr>
          <w:rFonts w:ascii="Arial" w:eastAsia="Calibri" w:hAnsi="Arial" w:cs="Arial"/>
          <w:lang w:val="en-ZA"/>
        </w:rPr>
        <w:tab/>
        <w:t>During the period from 17 to 20 April 2016, the university was affected by student protests. The protests were precipitated by the emergence, on social media, of a list of male students and former students of the university who had allegedly committed rape or act</w:t>
      </w:r>
      <w:r w:rsidR="00383A69" w:rsidRPr="00516C28">
        <w:rPr>
          <w:rFonts w:ascii="Arial" w:eastAsia="Calibri" w:hAnsi="Arial" w:cs="Arial"/>
          <w:lang w:val="en-ZA"/>
        </w:rPr>
        <w:t>s</w:t>
      </w:r>
      <w:r w:rsidRPr="00516C28">
        <w:rPr>
          <w:rFonts w:ascii="Arial" w:eastAsia="Calibri" w:hAnsi="Arial" w:cs="Arial"/>
          <w:lang w:val="en-ZA"/>
        </w:rPr>
        <w:t xml:space="preserve"> of sexual assault at the university. The protests were directed at the perceived ‘rape</w:t>
      </w:r>
      <w:r w:rsidR="00E13212" w:rsidRPr="00516C28">
        <w:rPr>
          <w:rFonts w:ascii="Arial" w:eastAsia="Calibri" w:hAnsi="Arial" w:cs="Arial"/>
          <w:lang w:val="en-ZA"/>
        </w:rPr>
        <w:t> </w:t>
      </w:r>
      <w:r w:rsidRPr="00516C28">
        <w:rPr>
          <w:rFonts w:ascii="Arial" w:eastAsia="Calibri" w:hAnsi="Arial" w:cs="Arial"/>
          <w:lang w:val="en-ZA"/>
        </w:rPr>
        <w:t>cultur</w:t>
      </w:r>
      <w:r w:rsidR="00383A69" w:rsidRPr="00516C28">
        <w:rPr>
          <w:rFonts w:ascii="Arial" w:eastAsia="Calibri" w:hAnsi="Arial" w:cs="Arial"/>
          <w:lang w:val="en-ZA"/>
        </w:rPr>
        <w:t>e</w:t>
      </w:r>
      <w:r w:rsidRPr="00516C28">
        <w:rPr>
          <w:rFonts w:ascii="Arial" w:eastAsia="Calibri" w:hAnsi="Arial" w:cs="Arial"/>
          <w:lang w:val="en-ZA"/>
        </w:rPr>
        <w:t>’ at the university. The protestors believed that the university failed to effectively address the existence of pervasive sexual violence on its campus.</w:t>
      </w:r>
    </w:p>
    <w:p w14:paraId="546E1CF1" w14:textId="77777777" w:rsidR="004F2F87" w:rsidRPr="00516C28" w:rsidRDefault="004F2F87" w:rsidP="004F2F87">
      <w:pPr>
        <w:spacing w:line="360" w:lineRule="auto"/>
        <w:jc w:val="both"/>
        <w:rPr>
          <w:rFonts w:ascii="Arial" w:eastAsia="Calibri" w:hAnsi="Arial" w:cs="Arial"/>
          <w:lang w:val="en-ZA"/>
        </w:rPr>
      </w:pPr>
    </w:p>
    <w:p w14:paraId="1F593932" w14:textId="7CC22927"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[3]</w:t>
      </w:r>
      <w:r w:rsidRPr="00516C28">
        <w:rPr>
          <w:rFonts w:ascii="Arial" w:eastAsia="Calibri" w:hAnsi="Arial" w:cs="Arial"/>
          <w:lang w:val="en-ZA"/>
        </w:rPr>
        <w:tab/>
        <w:t>During the protests, three male students were physically removed from their rooms at university residences, manhandled and deprived of their freedom of movement. Despite calls by the vice-chancellor and other members of the senior management of the university to release him, one of the students w</w:t>
      </w:r>
      <w:r w:rsidR="00E13212" w:rsidRPr="00516C28">
        <w:rPr>
          <w:rFonts w:ascii="Arial" w:eastAsia="Calibri" w:hAnsi="Arial" w:cs="Arial"/>
          <w:lang w:val="en-ZA"/>
        </w:rPr>
        <w:t>as</w:t>
      </w:r>
      <w:r w:rsidRPr="00516C28">
        <w:rPr>
          <w:rFonts w:ascii="Arial" w:eastAsia="Calibri" w:hAnsi="Arial" w:cs="Arial"/>
          <w:lang w:val="en-ZA"/>
        </w:rPr>
        <w:t xml:space="preserve"> held against his will for about 11</w:t>
      </w:r>
      <w:r w:rsidR="0073289E" w:rsidRPr="00516C28">
        <w:rPr>
          <w:rFonts w:ascii="Arial" w:eastAsia="Calibri" w:hAnsi="Arial" w:cs="Arial"/>
          <w:lang w:val="en-ZA"/>
        </w:rPr>
        <w:t> </w:t>
      </w:r>
      <w:r w:rsidRPr="00516C28">
        <w:rPr>
          <w:rFonts w:ascii="Arial" w:eastAsia="Calibri" w:hAnsi="Arial" w:cs="Arial"/>
          <w:lang w:val="en-ZA"/>
        </w:rPr>
        <w:t>hours. The protests continued until the university obtained a comprehensive interim interdict on 20 April 2016. Ms Dyantyi participated in the protests but at all times maintained that she had done nothing unlawful.</w:t>
      </w:r>
    </w:p>
    <w:p w14:paraId="3CF3FF5E" w14:textId="77777777" w:rsidR="004F2F87" w:rsidRPr="00516C28" w:rsidRDefault="004F2F87" w:rsidP="004F2F87">
      <w:pPr>
        <w:spacing w:line="360" w:lineRule="auto"/>
        <w:jc w:val="both"/>
        <w:rPr>
          <w:rFonts w:ascii="Arial" w:eastAsia="Calibri" w:hAnsi="Arial" w:cs="Arial"/>
          <w:lang w:val="en-ZA"/>
        </w:rPr>
      </w:pPr>
    </w:p>
    <w:p w14:paraId="77988892" w14:textId="0212F91D"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[4]</w:t>
      </w:r>
      <w:r w:rsidRPr="00516C28">
        <w:rPr>
          <w:rFonts w:ascii="Arial" w:eastAsia="Calibri" w:hAnsi="Arial" w:cs="Arial"/>
          <w:lang w:val="en-ZA"/>
        </w:rPr>
        <w:tab/>
        <w:t xml:space="preserve">On 28 March 2017, nearly a year after the protests, the university gave written notice of a disciplinary </w:t>
      </w:r>
      <w:r w:rsidR="0076113E" w:rsidRPr="00516C28">
        <w:rPr>
          <w:rFonts w:ascii="Arial" w:eastAsia="Calibri" w:hAnsi="Arial" w:cs="Arial"/>
          <w:lang w:val="en-ZA"/>
        </w:rPr>
        <w:t>i</w:t>
      </w:r>
      <w:r w:rsidRPr="00516C28">
        <w:rPr>
          <w:rFonts w:ascii="Arial" w:eastAsia="Calibri" w:hAnsi="Arial" w:cs="Arial"/>
          <w:lang w:val="en-ZA"/>
        </w:rPr>
        <w:t xml:space="preserve">nquiry to Ms Dyantyi. In terms of the notice, Ms Dyantyi had to answer to four charges of misconduct. The first was that she had committed the common </w:t>
      </w:r>
      <w:r w:rsidRPr="00516C28">
        <w:rPr>
          <w:rFonts w:ascii="Arial" w:eastAsia="Calibri" w:hAnsi="Arial" w:cs="Arial"/>
          <w:lang w:val="en-ZA"/>
        </w:rPr>
        <w:lastRenderedPageBreak/>
        <w:t xml:space="preserve">law crime of kidnapping in that, acting in common purpose with others, she deprived the aforesaid three male students of their freedom of movement and held them hostage. </w:t>
      </w:r>
      <w:r w:rsidR="0076113E" w:rsidRPr="00516C28">
        <w:rPr>
          <w:rFonts w:ascii="Arial" w:eastAsia="Calibri" w:hAnsi="Arial" w:cs="Arial"/>
          <w:lang w:val="en-ZA"/>
        </w:rPr>
        <w:t xml:space="preserve">    </w:t>
      </w:r>
      <w:r w:rsidRPr="00516C28">
        <w:rPr>
          <w:rFonts w:ascii="Arial" w:eastAsia="Calibri" w:hAnsi="Arial" w:cs="Arial"/>
          <w:lang w:val="en-ZA"/>
        </w:rPr>
        <w:t>The second charge was one of insubordination, consisting of a failure to adhere to the lawful instructions of the vice-chancellor</w:t>
      </w:r>
      <w:r w:rsidR="00383A69" w:rsidRPr="00516C28">
        <w:rPr>
          <w:rFonts w:ascii="Arial" w:eastAsia="Calibri" w:hAnsi="Arial" w:cs="Arial"/>
          <w:lang w:val="en-ZA"/>
        </w:rPr>
        <w:t xml:space="preserve"> and his in-house legal advisor</w:t>
      </w:r>
      <w:r w:rsidRPr="00516C28">
        <w:rPr>
          <w:rFonts w:ascii="Arial" w:eastAsia="Calibri" w:hAnsi="Arial" w:cs="Arial"/>
          <w:lang w:val="en-ZA"/>
        </w:rPr>
        <w:t xml:space="preserve"> to release all or any of the three students. In the third place Ms Dyantyi was charged with having committed the common law crime of assault. It was alleged that she had manhandled and/or grabbed one of the said three students by his collar, continuously pushed him and spat in his face. The fourth charge was that Ms Dyantyi had defamed another student (not one of the three already mentioned) by referring to him as a rapist on social media. </w:t>
      </w:r>
    </w:p>
    <w:p w14:paraId="31BC378F" w14:textId="77777777" w:rsidR="004F2F87" w:rsidRPr="00516C28" w:rsidRDefault="004F2F87" w:rsidP="004F2F87">
      <w:pPr>
        <w:spacing w:line="360" w:lineRule="auto"/>
        <w:jc w:val="both"/>
        <w:rPr>
          <w:rFonts w:ascii="Arial" w:eastAsia="Calibri" w:hAnsi="Arial" w:cs="Arial"/>
          <w:lang w:val="en-ZA"/>
        </w:rPr>
      </w:pPr>
    </w:p>
    <w:p w14:paraId="1CAC3FCB" w14:textId="1569A6DD"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[5]</w:t>
      </w:r>
      <w:r w:rsidRPr="00516C28">
        <w:rPr>
          <w:rFonts w:ascii="Arial" w:eastAsia="Calibri" w:hAnsi="Arial" w:cs="Arial"/>
          <w:lang w:val="en-ZA"/>
        </w:rPr>
        <w:tab/>
        <w:t>The notice alerted Ms Dyantyi to the provisions of clause 7.1 of the Student</w:t>
      </w:r>
      <w:r w:rsidR="003B6DEB" w:rsidRPr="00516C28">
        <w:rPr>
          <w:rFonts w:ascii="Arial" w:eastAsia="Calibri" w:hAnsi="Arial" w:cs="Arial"/>
          <w:lang w:val="en-ZA"/>
        </w:rPr>
        <w:t> </w:t>
      </w:r>
      <w:r w:rsidRPr="00516C28">
        <w:rPr>
          <w:rFonts w:ascii="Arial" w:eastAsia="Calibri" w:hAnsi="Arial" w:cs="Arial"/>
          <w:lang w:val="en-ZA"/>
        </w:rPr>
        <w:t xml:space="preserve">Disciplinary Code of the university (the disciplinary code). It provides for the rights of representation of a student at a disciplinary hearing, including the right to legal representation at own cost. It transpired that two fellow female students had to face the first and second charges at the same disciplinary inquiry. </w:t>
      </w:r>
    </w:p>
    <w:p w14:paraId="1718163B" w14:textId="77777777" w:rsidR="004F2F87" w:rsidRPr="00516C28" w:rsidRDefault="004F2F87" w:rsidP="004F2F87">
      <w:pPr>
        <w:spacing w:line="360" w:lineRule="auto"/>
        <w:jc w:val="both"/>
        <w:rPr>
          <w:rFonts w:ascii="Arial" w:eastAsia="Calibri" w:hAnsi="Arial" w:cs="Arial"/>
          <w:lang w:val="en-ZA"/>
        </w:rPr>
      </w:pPr>
    </w:p>
    <w:p w14:paraId="121993DA" w14:textId="7BFD8ADC"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[6]</w:t>
      </w:r>
      <w:r w:rsidRPr="00516C28">
        <w:rPr>
          <w:rFonts w:ascii="Arial" w:eastAsia="Calibri" w:hAnsi="Arial" w:cs="Arial"/>
          <w:lang w:val="en-ZA"/>
        </w:rPr>
        <w:tab/>
        <w:t xml:space="preserve">The vice-chancellor appointed the proctor in terms of the disciplinary code to preside over the disciplinary </w:t>
      </w:r>
      <w:r w:rsidR="00383A69" w:rsidRPr="00516C28">
        <w:rPr>
          <w:rFonts w:ascii="Arial" w:eastAsia="Calibri" w:hAnsi="Arial" w:cs="Arial"/>
          <w:lang w:val="en-ZA"/>
        </w:rPr>
        <w:t>inquiry</w:t>
      </w:r>
      <w:r w:rsidRPr="00516C28">
        <w:rPr>
          <w:rFonts w:ascii="Arial" w:eastAsia="Calibri" w:hAnsi="Arial" w:cs="Arial"/>
          <w:lang w:val="en-ZA"/>
        </w:rPr>
        <w:t xml:space="preserve">. The disciplinary code spells out the procedure to be followed at the hearing. It provides that in the event that the proctor finds a student guilty of a disciplinary offence, he or she has jurisdiction to impose any one or more of a variety of sanctions, ranging from a suspended fine to permanent exclusion from the university. In terms of the disciplinary code the university appointed two prosecutors to represent it before the proctor. They were Mr Sandro Milo and Mr Fundile Sangoni, both attorneys in private practice. </w:t>
      </w:r>
    </w:p>
    <w:p w14:paraId="7A49D16E" w14:textId="77777777" w:rsidR="004F2F87" w:rsidRPr="00516C28" w:rsidRDefault="004F2F87" w:rsidP="004F2F87">
      <w:pPr>
        <w:spacing w:line="360" w:lineRule="auto"/>
        <w:jc w:val="both"/>
        <w:rPr>
          <w:rFonts w:ascii="Arial" w:eastAsia="Calibri" w:hAnsi="Arial" w:cs="Arial"/>
          <w:lang w:val="en-ZA"/>
        </w:rPr>
      </w:pPr>
    </w:p>
    <w:p w14:paraId="7CF474D9" w14:textId="3BF6AE66"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[7]</w:t>
      </w:r>
      <w:r w:rsidRPr="00516C28">
        <w:rPr>
          <w:rFonts w:ascii="Arial" w:eastAsia="Calibri" w:hAnsi="Arial" w:cs="Arial"/>
          <w:lang w:val="en-ZA"/>
        </w:rPr>
        <w:tab/>
        <w:t>The disciplinary hearing commenced on 26 June 2017. Ms Dyantyi was represented pro bono by two counsel, Ms Irene de Vos (not the lead counsel for Ms</w:t>
      </w:r>
      <w:r w:rsidR="00F4161C" w:rsidRPr="00516C28">
        <w:rPr>
          <w:rFonts w:ascii="Arial" w:eastAsia="Calibri" w:hAnsi="Arial" w:cs="Arial"/>
          <w:lang w:val="en-ZA"/>
        </w:rPr>
        <w:t> </w:t>
      </w:r>
      <w:r w:rsidRPr="00516C28">
        <w:rPr>
          <w:rFonts w:ascii="Arial" w:eastAsia="Calibri" w:hAnsi="Arial" w:cs="Arial"/>
          <w:lang w:val="en-ZA"/>
        </w:rPr>
        <w:t>Dyantyi before us) and Mr Zweli Makgalemele, as well as an attorney (Mr</w:t>
      </w:r>
      <w:r w:rsidR="00F4161C" w:rsidRPr="00516C28">
        <w:rPr>
          <w:rFonts w:ascii="Arial" w:eastAsia="Calibri" w:hAnsi="Arial" w:cs="Arial"/>
          <w:lang w:val="en-ZA"/>
        </w:rPr>
        <w:t> </w:t>
      </w:r>
      <w:r w:rsidRPr="00516C28">
        <w:rPr>
          <w:rFonts w:ascii="Arial" w:eastAsia="Calibri" w:hAnsi="Arial" w:cs="Arial"/>
          <w:lang w:val="en-ZA"/>
        </w:rPr>
        <w:t>Lindokuhle</w:t>
      </w:r>
      <w:r w:rsidR="00F4161C" w:rsidRPr="00516C28">
        <w:rPr>
          <w:rFonts w:ascii="Arial" w:eastAsia="Calibri" w:hAnsi="Arial" w:cs="Arial"/>
          <w:lang w:val="en-ZA"/>
        </w:rPr>
        <w:t> </w:t>
      </w:r>
      <w:r w:rsidRPr="00516C28">
        <w:rPr>
          <w:rFonts w:ascii="Arial" w:eastAsia="Calibri" w:hAnsi="Arial" w:cs="Arial"/>
          <w:lang w:val="en-ZA"/>
        </w:rPr>
        <w:t xml:space="preserve">Mdabe) and a candidate attorney. The members of this legal team were either attached to or instructed by the Socio-Economic Rights Institute (SERI), a </w:t>
      </w:r>
      <w:r w:rsidR="0076113E" w:rsidRPr="00516C28">
        <w:rPr>
          <w:rFonts w:ascii="Arial" w:eastAsia="Calibri" w:hAnsi="Arial" w:cs="Arial"/>
          <w:lang w:val="en-ZA"/>
        </w:rPr>
        <w:t xml:space="preserve">           </w:t>
      </w:r>
      <w:r w:rsidRPr="00516C28">
        <w:rPr>
          <w:rFonts w:ascii="Arial" w:eastAsia="Calibri" w:hAnsi="Arial" w:cs="Arial"/>
          <w:lang w:val="en-ZA"/>
        </w:rPr>
        <w:t xml:space="preserve">non-profit company registered as a law clinic. Counsel acted for one of the two other charged students on the instructions of an attorney. After the commencement of the </w:t>
      </w:r>
      <w:r w:rsidRPr="00516C28">
        <w:rPr>
          <w:rFonts w:ascii="Arial" w:eastAsia="Calibri" w:hAnsi="Arial" w:cs="Arial"/>
          <w:lang w:val="en-ZA"/>
        </w:rPr>
        <w:lastRenderedPageBreak/>
        <w:t>hearing, she ceased to be a registered student at the university and the disciplinary charges against her were not proceeded with. An attorney, Mr Justin Powers, appeared for the third student.</w:t>
      </w:r>
    </w:p>
    <w:p w14:paraId="4933ADD4" w14:textId="77777777" w:rsidR="004F2F87" w:rsidRPr="00516C28" w:rsidRDefault="004F2F87" w:rsidP="004F2F87">
      <w:pPr>
        <w:spacing w:line="360" w:lineRule="auto"/>
        <w:jc w:val="both"/>
        <w:rPr>
          <w:rFonts w:ascii="Arial" w:eastAsia="Calibri" w:hAnsi="Arial" w:cs="Arial"/>
          <w:lang w:val="en-ZA"/>
        </w:rPr>
      </w:pPr>
    </w:p>
    <w:p w14:paraId="5EA087BD" w14:textId="45323D66"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[8]</w:t>
      </w:r>
      <w:r w:rsidRPr="00516C28">
        <w:rPr>
          <w:rFonts w:ascii="Arial" w:eastAsia="Calibri" w:hAnsi="Arial" w:cs="Arial"/>
          <w:lang w:val="en-ZA"/>
        </w:rPr>
        <w:tab/>
        <w:t>Some preliminary skirmishes, including an unsuccessful application on behalf of all three students for the recusal of the proctor, preceded the calling of witnesses. Thereafter</w:t>
      </w:r>
      <w:r w:rsidR="002834C6" w:rsidRPr="00516C28">
        <w:rPr>
          <w:rFonts w:ascii="Arial" w:eastAsia="Calibri" w:hAnsi="Arial" w:cs="Arial"/>
          <w:lang w:val="en-ZA"/>
        </w:rPr>
        <w:t>,</w:t>
      </w:r>
      <w:r w:rsidRPr="00516C28">
        <w:rPr>
          <w:rFonts w:ascii="Arial" w:eastAsia="Calibri" w:hAnsi="Arial" w:cs="Arial"/>
          <w:lang w:val="en-ZA"/>
        </w:rPr>
        <w:t xml:space="preserve"> the prosecutors presented the evidence of four witnesses. Two of them were the victims of the kidnapping referred to in the first charge. One of these two was also the victim of the assault alleged in the third charge. The third </w:t>
      </w:r>
      <w:r w:rsidR="003C686A" w:rsidRPr="00516C28">
        <w:rPr>
          <w:rFonts w:ascii="Arial" w:eastAsia="Calibri" w:hAnsi="Arial" w:cs="Arial"/>
          <w:lang w:val="en-ZA"/>
        </w:rPr>
        <w:t xml:space="preserve">witness </w:t>
      </w:r>
      <w:r w:rsidR="00730B26" w:rsidRPr="00516C28">
        <w:rPr>
          <w:rFonts w:ascii="Arial" w:eastAsia="Calibri" w:hAnsi="Arial" w:cs="Arial"/>
          <w:lang w:val="en-ZA"/>
        </w:rPr>
        <w:t xml:space="preserve">observed </w:t>
      </w:r>
      <w:r w:rsidRPr="00516C28">
        <w:rPr>
          <w:rFonts w:ascii="Arial" w:eastAsia="Calibri" w:hAnsi="Arial" w:cs="Arial"/>
          <w:lang w:val="en-ZA"/>
        </w:rPr>
        <w:t xml:space="preserve">some of the events during the protests and the fourth was the complainant in respect of the fourth charge (defamation). Counsel for Ms Dyantyi </w:t>
      </w:r>
      <w:r w:rsidR="00383A69" w:rsidRPr="00516C28">
        <w:rPr>
          <w:rFonts w:ascii="Arial" w:eastAsia="Calibri" w:hAnsi="Arial" w:cs="Arial"/>
          <w:lang w:val="en-ZA"/>
        </w:rPr>
        <w:t>cross-examined</w:t>
      </w:r>
      <w:r w:rsidRPr="00516C28">
        <w:rPr>
          <w:rFonts w:ascii="Arial" w:eastAsia="Calibri" w:hAnsi="Arial" w:cs="Arial"/>
          <w:lang w:val="en-ZA"/>
        </w:rPr>
        <w:t xml:space="preserve"> the witnesses and put to each of them that she denied any wrongdoing or that she had been a leader of the protests. </w:t>
      </w:r>
    </w:p>
    <w:p w14:paraId="4F8442D0" w14:textId="77777777" w:rsidR="004F2F87" w:rsidRPr="00516C28" w:rsidRDefault="004F2F87" w:rsidP="004F2F87">
      <w:pPr>
        <w:spacing w:line="360" w:lineRule="auto"/>
        <w:jc w:val="both"/>
        <w:rPr>
          <w:rFonts w:ascii="Arial" w:eastAsia="Calibri" w:hAnsi="Arial" w:cs="Arial"/>
          <w:lang w:val="en-ZA"/>
        </w:rPr>
      </w:pPr>
    </w:p>
    <w:p w14:paraId="200407A5" w14:textId="6FBAC381"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[9]</w:t>
      </w:r>
      <w:r w:rsidRPr="00516C28">
        <w:rPr>
          <w:rFonts w:ascii="Arial" w:eastAsia="Calibri" w:hAnsi="Arial" w:cs="Arial"/>
          <w:lang w:val="en-ZA"/>
        </w:rPr>
        <w:tab/>
        <w:t>The hearing stretched over several days (26 to 28 June, 7 to 8 August and 4 to 7 September 2017) and was then set down for hearing on 9, 10 and 11 October 2017. After lunch on 9 October 2017, the proctor excused Ms Dyantyi and Mr Makgalemele to prepare for her testimony on the following day. On 10 October 2017, however, Mr Powers proceeded to present his client’s case. This was the result of an agreement between Ms</w:t>
      </w:r>
      <w:r w:rsidR="0083273E" w:rsidRPr="00516C28">
        <w:rPr>
          <w:rFonts w:ascii="Arial" w:eastAsia="Calibri" w:hAnsi="Arial" w:cs="Arial"/>
          <w:lang w:val="en-ZA"/>
        </w:rPr>
        <w:t> </w:t>
      </w:r>
      <w:r w:rsidRPr="00516C28">
        <w:rPr>
          <w:rFonts w:ascii="Arial" w:eastAsia="Calibri" w:hAnsi="Arial" w:cs="Arial"/>
          <w:lang w:val="en-ZA"/>
        </w:rPr>
        <w:t>Dyantyi’s legal representatives and Mr Powers, to accommodate witnesses for his client that were present. The prosecutors did not object to this. So it transpired that the case for the fellow student was not concluded by the close of proceedings on 11</w:t>
      </w:r>
      <w:r w:rsidR="0083273E" w:rsidRPr="00516C28">
        <w:rPr>
          <w:rFonts w:ascii="Arial" w:eastAsia="Calibri" w:hAnsi="Arial" w:cs="Arial"/>
          <w:lang w:val="en-ZA"/>
        </w:rPr>
        <w:t> </w:t>
      </w:r>
      <w:r w:rsidRPr="00516C28">
        <w:rPr>
          <w:rFonts w:ascii="Arial" w:eastAsia="Calibri" w:hAnsi="Arial" w:cs="Arial"/>
          <w:lang w:val="en-ZA"/>
        </w:rPr>
        <w:t>October</w:t>
      </w:r>
      <w:r w:rsidR="0083273E" w:rsidRPr="00516C28">
        <w:rPr>
          <w:rFonts w:ascii="Arial" w:eastAsia="Calibri" w:hAnsi="Arial" w:cs="Arial"/>
          <w:lang w:val="en-ZA"/>
        </w:rPr>
        <w:t> </w:t>
      </w:r>
      <w:r w:rsidRPr="00516C28">
        <w:rPr>
          <w:rFonts w:ascii="Arial" w:eastAsia="Calibri" w:hAnsi="Arial" w:cs="Arial"/>
          <w:lang w:val="en-ZA"/>
        </w:rPr>
        <w:t xml:space="preserve">2017. </w:t>
      </w:r>
    </w:p>
    <w:p w14:paraId="55A615DD" w14:textId="77777777" w:rsidR="004F2F87" w:rsidRPr="00516C28" w:rsidRDefault="004F2F87" w:rsidP="004F2F87">
      <w:pPr>
        <w:spacing w:line="360" w:lineRule="auto"/>
        <w:jc w:val="both"/>
        <w:rPr>
          <w:rFonts w:ascii="Arial" w:eastAsia="Calibri" w:hAnsi="Arial" w:cs="Arial"/>
          <w:lang w:val="en-ZA"/>
        </w:rPr>
      </w:pPr>
    </w:p>
    <w:p w14:paraId="5FA19FB7" w14:textId="40C7D1AC"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[10]</w:t>
      </w:r>
      <w:r w:rsidRPr="00516C28">
        <w:rPr>
          <w:rFonts w:ascii="Arial" w:eastAsia="Calibri" w:hAnsi="Arial" w:cs="Arial"/>
          <w:lang w:val="en-ZA"/>
        </w:rPr>
        <w:tab/>
        <w:t xml:space="preserve">In the result, dates for the continuation of the inquiry had to be determined. </w:t>
      </w:r>
      <w:r w:rsidR="0076113E" w:rsidRPr="00516C28">
        <w:rPr>
          <w:rFonts w:ascii="Arial" w:eastAsia="Calibri" w:hAnsi="Arial" w:cs="Arial"/>
          <w:lang w:val="en-ZA"/>
        </w:rPr>
        <w:t xml:space="preserve">              </w:t>
      </w:r>
      <w:r w:rsidRPr="00516C28">
        <w:rPr>
          <w:rFonts w:ascii="Arial" w:eastAsia="Calibri" w:hAnsi="Arial" w:cs="Arial"/>
          <w:lang w:val="en-ZA"/>
        </w:rPr>
        <w:t>It appeared from the discussion on the record that the proctor was available on 25 to 27</w:t>
      </w:r>
      <w:r w:rsidR="00BC36DF" w:rsidRPr="00516C28">
        <w:rPr>
          <w:rFonts w:ascii="Arial" w:eastAsia="Calibri" w:hAnsi="Arial" w:cs="Arial"/>
          <w:lang w:val="en-ZA"/>
        </w:rPr>
        <w:t> </w:t>
      </w:r>
      <w:r w:rsidRPr="00516C28">
        <w:rPr>
          <w:rFonts w:ascii="Arial" w:eastAsia="Calibri" w:hAnsi="Arial" w:cs="Arial"/>
          <w:lang w:val="en-ZA"/>
        </w:rPr>
        <w:t>October, 6 to 8 November and 13 to 15 November 2017. So, apparently</w:t>
      </w:r>
      <w:r w:rsidR="00383A69" w:rsidRPr="00516C28">
        <w:rPr>
          <w:rFonts w:ascii="Arial" w:eastAsia="Calibri" w:hAnsi="Arial" w:cs="Arial"/>
          <w:lang w:val="en-ZA"/>
        </w:rPr>
        <w:t>,</w:t>
      </w:r>
      <w:r w:rsidRPr="00516C28">
        <w:rPr>
          <w:rFonts w:ascii="Arial" w:eastAsia="Calibri" w:hAnsi="Arial" w:cs="Arial"/>
          <w:lang w:val="en-ZA"/>
        </w:rPr>
        <w:t xml:space="preserve"> were the prosecutors. In respect of these dates, Mr Powers was only available on 26 and 27</w:t>
      </w:r>
      <w:r w:rsidR="00BC36DF" w:rsidRPr="00516C28">
        <w:rPr>
          <w:rFonts w:ascii="Arial" w:eastAsia="Calibri" w:hAnsi="Arial" w:cs="Arial"/>
          <w:lang w:val="en-ZA"/>
        </w:rPr>
        <w:t> </w:t>
      </w:r>
      <w:r w:rsidRPr="00516C28">
        <w:rPr>
          <w:rFonts w:ascii="Arial" w:eastAsia="Calibri" w:hAnsi="Arial" w:cs="Arial"/>
          <w:lang w:val="en-ZA"/>
        </w:rPr>
        <w:t xml:space="preserve">October. He said that he had several weeks before proposed these dates to Mr Milo. There was no indication, however, that counsel for Ms Dyantyi had been involved in any such discussion. Mr Powers also pointed out that his client was due to write examinations during the week of Monday 6 November to Friday 10 November 2017. </w:t>
      </w:r>
      <w:r w:rsidR="00383A69" w:rsidRPr="00516C28">
        <w:rPr>
          <w:rFonts w:ascii="Arial" w:eastAsia="Calibri" w:hAnsi="Arial" w:cs="Arial"/>
          <w:lang w:val="en-ZA"/>
        </w:rPr>
        <w:t>(</w:t>
      </w:r>
      <w:r w:rsidRPr="00516C28">
        <w:rPr>
          <w:rFonts w:ascii="Arial" w:eastAsia="Calibri" w:hAnsi="Arial" w:cs="Arial"/>
          <w:lang w:val="en-ZA"/>
        </w:rPr>
        <w:t xml:space="preserve">The same applied </w:t>
      </w:r>
      <w:r w:rsidRPr="00516C28">
        <w:rPr>
          <w:rFonts w:ascii="Arial" w:eastAsia="Calibri" w:hAnsi="Arial" w:cs="Arial"/>
          <w:lang w:val="en-ZA"/>
        </w:rPr>
        <w:lastRenderedPageBreak/>
        <w:t>to Ms Dyantyi). Mr Powers was also available on 2</w:t>
      </w:r>
      <w:r w:rsidR="00383A69" w:rsidRPr="00516C28">
        <w:rPr>
          <w:rFonts w:ascii="Arial" w:eastAsia="Calibri" w:hAnsi="Arial" w:cs="Arial"/>
          <w:lang w:val="en-ZA"/>
        </w:rPr>
        <w:t>9</w:t>
      </w:r>
      <w:r w:rsidRPr="00516C28">
        <w:rPr>
          <w:rFonts w:ascii="Arial" w:eastAsia="Calibri" w:hAnsi="Arial" w:cs="Arial"/>
          <w:lang w:val="en-ZA"/>
        </w:rPr>
        <w:t xml:space="preserve"> and 30 November and 1</w:t>
      </w:r>
      <w:r w:rsidR="001D0FA4" w:rsidRPr="00516C28">
        <w:rPr>
          <w:rFonts w:ascii="Arial" w:eastAsia="Calibri" w:hAnsi="Arial" w:cs="Arial"/>
          <w:lang w:val="en-ZA"/>
        </w:rPr>
        <w:t> </w:t>
      </w:r>
      <w:r w:rsidRPr="00516C28">
        <w:rPr>
          <w:rFonts w:ascii="Arial" w:eastAsia="Calibri" w:hAnsi="Arial" w:cs="Arial"/>
          <w:lang w:val="en-ZA"/>
        </w:rPr>
        <w:t>December</w:t>
      </w:r>
      <w:r w:rsidR="001D0FA4" w:rsidRPr="00516C28">
        <w:rPr>
          <w:rFonts w:ascii="Arial" w:eastAsia="Calibri" w:hAnsi="Arial" w:cs="Arial"/>
          <w:lang w:val="en-ZA"/>
        </w:rPr>
        <w:t> </w:t>
      </w:r>
      <w:r w:rsidRPr="00516C28">
        <w:rPr>
          <w:rFonts w:ascii="Arial" w:eastAsia="Calibri" w:hAnsi="Arial" w:cs="Arial"/>
          <w:lang w:val="en-ZA"/>
        </w:rPr>
        <w:t>2017, which in the circumstances were the first available dates of counsel for Ms Dyantyi.</w:t>
      </w:r>
    </w:p>
    <w:p w14:paraId="567926EA" w14:textId="77777777" w:rsidR="004F2F87" w:rsidRPr="00516C28" w:rsidRDefault="004F2F87" w:rsidP="004F2F87">
      <w:pPr>
        <w:spacing w:line="360" w:lineRule="auto"/>
        <w:jc w:val="both"/>
        <w:rPr>
          <w:rFonts w:ascii="Arial" w:eastAsia="Calibri" w:hAnsi="Arial" w:cs="Arial"/>
          <w:lang w:val="en-ZA"/>
        </w:rPr>
      </w:pPr>
    </w:p>
    <w:p w14:paraId="00D6CD62" w14:textId="5E2B3E50"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[11]</w:t>
      </w:r>
      <w:r w:rsidRPr="00516C28">
        <w:rPr>
          <w:rFonts w:ascii="Arial" w:eastAsia="Calibri" w:hAnsi="Arial" w:cs="Arial"/>
          <w:lang w:val="en-ZA"/>
        </w:rPr>
        <w:tab/>
        <w:t>Mr Milo proceed</w:t>
      </w:r>
      <w:r w:rsidR="0076113E" w:rsidRPr="00516C28">
        <w:rPr>
          <w:rFonts w:ascii="Arial" w:eastAsia="Calibri" w:hAnsi="Arial" w:cs="Arial"/>
          <w:lang w:val="en-ZA"/>
        </w:rPr>
        <w:t>ed</w:t>
      </w:r>
      <w:r w:rsidRPr="00516C28">
        <w:rPr>
          <w:rFonts w:ascii="Arial" w:eastAsia="Calibri" w:hAnsi="Arial" w:cs="Arial"/>
          <w:lang w:val="en-ZA"/>
        </w:rPr>
        <w:t xml:space="preserve"> to say ‘</w:t>
      </w:r>
      <w:r w:rsidR="003216CB" w:rsidRPr="00516C28">
        <w:rPr>
          <w:rFonts w:ascii="Arial" w:eastAsia="Calibri" w:hAnsi="Arial" w:cs="Arial"/>
          <w:lang w:val="en-ZA"/>
        </w:rPr>
        <w:t xml:space="preserve">. . . </w:t>
      </w:r>
      <w:r w:rsidRPr="00516C28">
        <w:rPr>
          <w:rFonts w:ascii="Arial" w:eastAsia="Calibri" w:hAnsi="Arial" w:cs="Arial"/>
          <w:lang w:val="en-ZA"/>
        </w:rPr>
        <w:t>we made it very clear that the University’s imperative is to conclude with these proceedings by 20</w:t>
      </w:r>
      <w:r w:rsidRPr="00516C28">
        <w:rPr>
          <w:rFonts w:ascii="Arial" w:eastAsia="Calibri" w:hAnsi="Arial" w:cs="Arial"/>
          <w:vertAlign w:val="superscript"/>
          <w:lang w:val="en-ZA"/>
        </w:rPr>
        <w:t>th</w:t>
      </w:r>
      <w:r w:rsidRPr="00516C28">
        <w:rPr>
          <w:rFonts w:ascii="Arial" w:eastAsia="Calibri" w:hAnsi="Arial" w:cs="Arial"/>
          <w:lang w:val="en-ZA"/>
        </w:rPr>
        <w:t xml:space="preserve"> October. That is the imperative and we did make it clear that if we were unable to achieve finality by then, the University would unfortunately be left with no alternative but to schedule the matter on dates without reference to the availability of the parties. It’s a step I’m loathe to request that we do but it’s something which I fear we have to do</w:t>
      </w:r>
      <w:r w:rsidR="00BC58ED" w:rsidRPr="00516C28">
        <w:rPr>
          <w:rFonts w:ascii="Arial" w:eastAsia="Calibri" w:hAnsi="Arial" w:cs="Arial"/>
          <w:lang w:val="en-ZA"/>
        </w:rPr>
        <w:t>’</w:t>
      </w:r>
      <w:r w:rsidRPr="00516C28">
        <w:rPr>
          <w:rFonts w:ascii="Arial" w:eastAsia="Calibri" w:hAnsi="Arial" w:cs="Arial"/>
          <w:lang w:val="en-ZA"/>
        </w:rPr>
        <w:t>. (I accept that the reference to the 20</w:t>
      </w:r>
      <w:r w:rsidRPr="00516C28">
        <w:rPr>
          <w:rFonts w:ascii="Arial" w:eastAsia="Calibri" w:hAnsi="Arial" w:cs="Arial"/>
          <w:vertAlign w:val="superscript"/>
          <w:lang w:val="en-ZA"/>
        </w:rPr>
        <w:t>th</w:t>
      </w:r>
      <w:r w:rsidRPr="00516C28">
        <w:rPr>
          <w:rFonts w:ascii="Arial" w:eastAsia="Calibri" w:hAnsi="Arial" w:cs="Arial"/>
          <w:lang w:val="en-ZA"/>
        </w:rPr>
        <w:t xml:space="preserve"> October was due to a slip of the tongue and should be understood as 30</w:t>
      </w:r>
      <w:r w:rsidRPr="00516C28">
        <w:rPr>
          <w:rFonts w:ascii="Arial" w:eastAsia="Calibri" w:hAnsi="Arial" w:cs="Arial"/>
          <w:vertAlign w:val="superscript"/>
          <w:lang w:val="en-ZA"/>
        </w:rPr>
        <w:t>th</w:t>
      </w:r>
      <w:r w:rsidRPr="00516C28">
        <w:rPr>
          <w:rFonts w:ascii="Arial" w:eastAsia="Calibri" w:hAnsi="Arial" w:cs="Arial"/>
          <w:lang w:val="en-ZA"/>
        </w:rPr>
        <w:t xml:space="preserve"> October). He did not say why it was so important for the university to conclude the proceedings before </w:t>
      </w:r>
      <w:r w:rsidR="0076113E" w:rsidRPr="00516C28">
        <w:rPr>
          <w:rFonts w:ascii="Arial" w:eastAsia="Calibri" w:hAnsi="Arial" w:cs="Arial"/>
          <w:lang w:val="en-ZA"/>
        </w:rPr>
        <w:t xml:space="preserve">              </w:t>
      </w:r>
      <w:r w:rsidRPr="00516C28">
        <w:rPr>
          <w:rFonts w:ascii="Arial" w:eastAsia="Calibri" w:hAnsi="Arial" w:cs="Arial"/>
          <w:lang w:val="en-ZA"/>
        </w:rPr>
        <w:t xml:space="preserve">30 October 2017. However, this statement caused the focus to be placed on continuation of the hearing on 26 and 27 October 2017. </w:t>
      </w:r>
    </w:p>
    <w:p w14:paraId="4B91CB11" w14:textId="77777777" w:rsidR="004F2F87" w:rsidRPr="00516C28" w:rsidRDefault="004F2F87" w:rsidP="004F2F87">
      <w:pPr>
        <w:spacing w:line="360" w:lineRule="auto"/>
        <w:jc w:val="both"/>
        <w:rPr>
          <w:rFonts w:ascii="Arial" w:eastAsia="Calibri" w:hAnsi="Arial" w:cs="Arial"/>
          <w:lang w:val="en-ZA"/>
        </w:rPr>
      </w:pPr>
    </w:p>
    <w:p w14:paraId="33283A4C" w14:textId="4F327AFF"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[12]</w:t>
      </w:r>
      <w:r w:rsidRPr="00516C28">
        <w:rPr>
          <w:rFonts w:ascii="Arial" w:eastAsia="Calibri" w:hAnsi="Arial" w:cs="Arial"/>
          <w:lang w:val="en-ZA"/>
        </w:rPr>
        <w:tab/>
        <w:t>Ms de Vos said that there was no intention to delay the matter. She explained that both she and Mr Makgalemele had prior commitments for these dates. Ms de Vos was engaged in an application in the Gauteng Local Division, Johannesburg to restrain the deportation of a person who faced the death penalty in Botswana. Mr Makgalemele was engaged in a matter between the President of the R</w:t>
      </w:r>
      <w:r w:rsidR="00CE7E53" w:rsidRPr="00516C28">
        <w:rPr>
          <w:rFonts w:ascii="Arial" w:eastAsia="Calibri" w:hAnsi="Arial" w:cs="Arial"/>
          <w:lang w:val="en-ZA"/>
        </w:rPr>
        <w:t xml:space="preserve">epublic of </w:t>
      </w:r>
      <w:r w:rsidRPr="00516C28">
        <w:rPr>
          <w:rFonts w:ascii="Arial" w:eastAsia="Calibri" w:hAnsi="Arial" w:cs="Arial"/>
          <w:lang w:val="en-ZA"/>
        </w:rPr>
        <w:t>S</w:t>
      </w:r>
      <w:r w:rsidR="00CE7E53" w:rsidRPr="00516C28">
        <w:rPr>
          <w:rFonts w:ascii="Arial" w:eastAsia="Calibri" w:hAnsi="Arial" w:cs="Arial"/>
          <w:lang w:val="en-ZA"/>
        </w:rPr>
        <w:t xml:space="preserve">outh </w:t>
      </w:r>
      <w:r w:rsidRPr="00516C28">
        <w:rPr>
          <w:rFonts w:ascii="Arial" w:eastAsia="Calibri" w:hAnsi="Arial" w:cs="Arial"/>
          <w:lang w:val="en-ZA"/>
        </w:rPr>
        <w:t>A</w:t>
      </w:r>
      <w:r w:rsidR="00CE7E53" w:rsidRPr="00516C28">
        <w:rPr>
          <w:rFonts w:ascii="Arial" w:eastAsia="Calibri" w:hAnsi="Arial" w:cs="Arial"/>
          <w:lang w:val="en-ZA"/>
        </w:rPr>
        <w:t>frica</w:t>
      </w:r>
      <w:r w:rsidRPr="00516C28">
        <w:rPr>
          <w:rFonts w:ascii="Arial" w:eastAsia="Calibri" w:hAnsi="Arial" w:cs="Arial"/>
          <w:lang w:val="en-ZA"/>
        </w:rPr>
        <w:t xml:space="preserve"> and the Office</w:t>
      </w:r>
      <w:r w:rsidR="00CE7E53" w:rsidRPr="00516C28">
        <w:rPr>
          <w:rFonts w:ascii="Arial" w:eastAsia="Calibri" w:hAnsi="Arial" w:cs="Arial"/>
          <w:lang w:val="en-ZA"/>
        </w:rPr>
        <w:t> </w:t>
      </w:r>
      <w:r w:rsidRPr="00516C28">
        <w:rPr>
          <w:rFonts w:ascii="Arial" w:eastAsia="Calibri" w:hAnsi="Arial" w:cs="Arial"/>
          <w:lang w:val="en-ZA"/>
        </w:rPr>
        <w:t xml:space="preserve">of the Public Protector, which had many weeks before been set down for the week of 23 to 27 October 2017. At no stage were these averments disputed. </w:t>
      </w:r>
    </w:p>
    <w:p w14:paraId="295142DD" w14:textId="77777777" w:rsidR="004F2F87" w:rsidRPr="00516C28" w:rsidRDefault="004F2F87" w:rsidP="004F2F87">
      <w:pPr>
        <w:spacing w:line="360" w:lineRule="auto"/>
        <w:jc w:val="both"/>
        <w:rPr>
          <w:rFonts w:ascii="Arial" w:eastAsia="Calibri" w:hAnsi="Arial" w:cs="Arial"/>
          <w:lang w:val="en-ZA"/>
        </w:rPr>
      </w:pPr>
    </w:p>
    <w:p w14:paraId="2D7ED62D" w14:textId="1A43C88C"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[13]</w:t>
      </w:r>
      <w:r w:rsidRPr="00516C28">
        <w:rPr>
          <w:rFonts w:ascii="Arial" w:eastAsia="Calibri" w:hAnsi="Arial" w:cs="Arial"/>
          <w:lang w:val="en-ZA"/>
        </w:rPr>
        <w:tab/>
        <w:t xml:space="preserve">Ms de Vos said that Ms Dyantyi was a poor student who could not afford other legal representation and was unlikely to obtain pro bono legal representation at short notice. She pointed out that through no fault of Ms Dyantyi or her representatives, the disciplinary hearing commenced more than a year after the protests and that there was no rational reason why the matter should be concluded by 20 (30) October 2017. </w:t>
      </w:r>
      <w:r w:rsidR="0076113E" w:rsidRPr="00516C28">
        <w:rPr>
          <w:rFonts w:ascii="Arial" w:eastAsia="Calibri" w:hAnsi="Arial" w:cs="Arial"/>
          <w:lang w:val="en-ZA"/>
        </w:rPr>
        <w:t xml:space="preserve">           </w:t>
      </w:r>
      <w:r w:rsidRPr="00516C28">
        <w:rPr>
          <w:rFonts w:ascii="Arial" w:eastAsia="Calibri" w:hAnsi="Arial" w:cs="Arial"/>
          <w:lang w:val="en-ZA"/>
        </w:rPr>
        <w:t xml:space="preserve">She also mentioned that the practice on the three previous similar occasions had been that the dates for the continuation of the proceedings were agreed upon. </w:t>
      </w:r>
    </w:p>
    <w:p w14:paraId="75EB5788" w14:textId="77777777" w:rsidR="004F2F87" w:rsidRPr="00516C28" w:rsidRDefault="004F2F87" w:rsidP="004F2F87">
      <w:pPr>
        <w:spacing w:line="360" w:lineRule="auto"/>
        <w:jc w:val="both"/>
        <w:rPr>
          <w:rFonts w:ascii="Arial" w:eastAsia="Calibri" w:hAnsi="Arial" w:cs="Arial"/>
          <w:lang w:val="en-ZA"/>
        </w:rPr>
      </w:pPr>
    </w:p>
    <w:p w14:paraId="6089FEC8" w14:textId="77777777"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lastRenderedPageBreak/>
        <w:t>[14]</w:t>
      </w:r>
      <w:r w:rsidRPr="00516C28">
        <w:rPr>
          <w:rFonts w:ascii="Arial" w:eastAsia="Calibri" w:hAnsi="Arial" w:cs="Arial"/>
          <w:lang w:val="en-ZA"/>
        </w:rPr>
        <w:tab/>
        <w:t>Ms de Vos concluded by contending that to set the matter down for dates on which counsel for Ms Dyantyi were unavailable would in these circumstances constitute a gross irregularity. Despite similar protestations by Mr Powers, the proctor simply ruled:</w:t>
      </w:r>
    </w:p>
    <w:p w14:paraId="5476A575" w14:textId="30241B6F" w:rsidR="00833920" w:rsidRPr="00516C28" w:rsidRDefault="004F2F87" w:rsidP="004F2F87">
      <w:pPr>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t>‘Mr Milo, I think I must do the dates now. Alright. 26</w:t>
      </w:r>
      <w:r w:rsidRPr="00516C28">
        <w:rPr>
          <w:rFonts w:ascii="Arial" w:eastAsia="Calibri" w:hAnsi="Arial" w:cs="Arial"/>
          <w:sz w:val="22"/>
          <w:szCs w:val="22"/>
          <w:vertAlign w:val="superscript"/>
          <w:lang w:val="en-ZA"/>
        </w:rPr>
        <w:t>th</w:t>
      </w:r>
      <w:r w:rsidRPr="00516C28">
        <w:rPr>
          <w:rFonts w:ascii="Arial" w:eastAsia="Calibri" w:hAnsi="Arial" w:cs="Arial"/>
          <w:sz w:val="22"/>
          <w:szCs w:val="22"/>
          <w:lang w:val="en-ZA"/>
        </w:rPr>
        <w:t>, 27</w:t>
      </w:r>
      <w:r w:rsidRPr="00516C28">
        <w:rPr>
          <w:rFonts w:ascii="Arial" w:eastAsia="Calibri" w:hAnsi="Arial" w:cs="Arial"/>
          <w:sz w:val="22"/>
          <w:szCs w:val="22"/>
          <w:vertAlign w:val="superscript"/>
          <w:lang w:val="en-ZA"/>
        </w:rPr>
        <w:t>th</w:t>
      </w:r>
      <w:r w:rsidRPr="00516C28">
        <w:rPr>
          <w:rFonts w:ascii="Arial" w:eastAsia="Calibri" w:hAnsi="Arial" w:cs="Arial"/>
          <w:sz w:val="22"/>
          <w:szCs w:val="22"/>
          <w:lang w:val="en-ZA"/>
        </w:rPr>
        <w:t>, 6</w:t>
      </w:r>
      <w:r w:rsidRPr="00516C28">
        <w:rPr>
          <w:rFonts w:ascii="Arial" w:eastAsia="Calibri" w:hAnsi="Arial" w:cs="Arial"/>
          <w:sz w:val="22"/>
          <w:szCs w:val="22"/>
          <w:vertAlign w:val="superscript"/>
          <w:lang w:val="en-ZA"/>
        </w:rPr>
        <w:t>th</w:t>
      </w:r>
      <w:r w:rsidRPr="00516C28">
        <w:rPr>
          <w:rFonts w:ascii="Arial" w:eastAsia="Calibri" w:hAnsi="Arial" w:cs="Arial"/>
          <w:sz w:val="22"/>
          <w:szCs w:val="22"/>
          <w:lang w:val="en-ZA"/>
        </w:rPr>
        <w:t>, 7</w:t>
      </w:r>
      <w:r w:rsidRPr="00516C28">
        <w:rPr>
          <w:rFonts w:ascii="Arial" w:eastAsia="Calibri" w:hAnsi="Arial" w:cs="Arial"/>
          <w:sz w:val="22"/>
          <w:szCs w:val="22"/>
          <w:vertAlign w:val="superscript"/>
          <w:lang w:val="en-ZA"/>
        </w:rPr>
        <w:t>th</w:t>
      </w:r>
      <w:r w:rsidRPr="00516C28">
        <w:rPr>
          <w:rFonts w:ascii="Arial" w:eastAsia="Calibri" w:hAnsi="Arial" w:cs="Arial"/>
          <w:sz w:val="22"/>
          <w:szCs w:val="22"/>
          <w:lang w:val="en-ZA"/>
        </w:rPr>
        <w:t xml:space="preserve"> and 8</w:t>
      </w:r>
      <w:r w:rsidRPr="00516C28">
        <w:rPr>
          <w:rFonts w:ascii="Arial" w:eastAsia="Calibri" w:hAnsi="Arial" w:cs="Arial"/>
          <w:sz w:val="22"/>
          <w:szCs w:val="22"/>
          <w:vertAlign w:val="superscript"/>
          <w:lang w:val="en-ZA"/>
        </w:rPr>
        <w:t>th</w:t>
      </w:r>
      <w:r w:rsidRPr="00516C28">
        <w:rPr>
          <w:rFonts w:ascii="Arial" w:eastAsia="Calibri" w:hAnsi="Arial" w:cs="Arial"/>
          <w:sz w:val="22"/>
          <w:szCs w:val="22"/>
          <w:lang w:val="en-ZA"/>
        </w:rPr>
        <w:t xml:space="preserve"> November. Thank you. You can pack up.’ </w:t>
      </w:r>
    </w:p>
    <w:p w14:paraId="743D38A7" w14:textId="77777777" w:rsidR="00AE4977" w:rsidRPr="00516C28" w:rsidRDefault="00AE4977" w:rsidP="004F2F87">
      <w:pPr>
        <w:spacing w:line="360" w:lineRule="auto"/>
        <w:jc w:val="both"/>
        <w:rPr>
          <w:rFonts w:ascii="Arial" w:eastAsia="Calibri" w:hAnsi="Arial" w:cs="Arial"/>
          <w:lang w:val="en-ZA"/>
        </w:rPr>
      </w:pPr>
    </w:p>
    <w:p w14:paraId="6A722086" w14:textId="661260CB"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[15]</w:t>
      </w:r>
      <w:r w:rsidRPr="00516C28">
        <w:rPr>
          <w:rFonts w:ascii="Arial" w:eastAsia="Calibri" w:hAnsi="Arial" w:cs="Arial"/>
          <w:lang w:val="en-ZA"/>
        </w:rPr>
        <w:tab/>
        <w:t>On 20 October 2017 Ms Dyantyi submitted a formal application to the proctor for the postponement of the hearing that had been set down for the aforementioned dates</w:t>
      </w:r>
      <w:r w:rsidR="00864ABA" w:rsidRPr="00516C28">
        <w:rPr>
          <w:rFonts w:ascii="Arial" w:eastAsia="Calibri" w:hAnsi="Arial" w:cs="Arial"/>
          <w:lang w:val="en-ZA"/>
        </w:rPr>
        <w:t>,</w:t>
      </w:r>
      <w:r w:rsidRPr="00516C28">
        <w:rPr>
          <w:rFonts w:ascii="Arial" w:eastAsia="Calibri" w:hAnsi="Arial" w:cs="Arial"/>
          <w:lang w:val="en-ZA"/>
        </w:rPr>
        <w:t xml:space="preserve"> to dates on which her legal representatives were ‘objectively’ able to attend. </w:t>
      </w:r>
      <w:r w:rsidR="0076113E" w:rsidRPr="00516C28">
        <w:rPr>
          <w:rFonts w:ascii="Arial" w:eastAsia="Calibri" w:hAnsi="Arial" w:cs="Arial"/>
          <w:lang w:val="en-ZA"/>
        </w:rPr>
        <w:t xml:space="preserve">                     </w:t>
      </w:r>
      <w:r w:rsidRPr="00516C28">
        <w:rPr>
          <w:rFonts w:ascii="Arial" w:eastAsia="Calibri" w:hAnsi="Arial" w:cs="Arial"/>
          <w:lang w:val="en-ZA"/>
        </w:rPr>
        <w:t xml:space="preserve">The application was essentially based on the same grounds </w:t>
      </w:r>
      <w:r w:rsidR="00864ABA" w:rsidRPr="00516C28">
        <w:rPr>
          <w:rFonts w:ascii="Arial" w:eastAsia="Calibri" w:hAnsi="Arial" w:cs="Arial"/>
          <w:lang w:val="en-ZA"/>
        </w:rPr>
        <w:t>than</w:t>
      </w:r>
      <w:r w:rsidRPr="00516C28">
        <w:rPr>
          <w:rFonts w:ascii="Arial" w:eastAsia="Calibri" w:hAnsi="Arial" w:cs="Arial"/>
          <w:lang w:val="en-ZA"/>
        </w:rPr>
        <w:t xml:space="preserve"> those that had been put forward on 11</w:t>
      </w:r>
      <w:r w:rsidR="005663FF" w:rsidRPr="00516C28">
        <w:rPr>
          <w:rFonts w:ascii="Arial" w:eastAsia="Calibri" w:hAnsi="Arial" w:cs="Arial"/>
          <w:lang w:val="en-ZA"/>
        </w:rPr>
        <w:t> </w:t>
      </w:r>
      <w:r w:rsidRPr="00516C28">
        <w:rPr>
          <w:rFonts w:ascii="Arial" w:eastAsia="Calibri" w:hAnsi="Arial" w:cs="Arial"/>
          <w:lang w:val="en-ZA"/>
        </w:rPr>
        <w:t>October 2017. It was submitted in the postponement application that should the inquiry not be postponed</w:t>
      </w:r>
      <w:r w:rsidR="0076113E" w:rsidRPr="00516C28">
        <w:rPr>
          <w:rFonts w:ascii="Arial" w:eastAsia="Calibri" w:hAnsi="Arial" w:cs="Arial"/>
          <w:lang w:val="en-ZA"/>
        </w:rPr>
        <w:t>,</w:t>
      </w:r>
      <w:r w:rsidRPr="00516C28">
        <w:rPr>
          <w:rFonts w:ascii="Arial" w:eastAsia="Calibri" w:hAnsi="Arial" w:cs="Arial"/>
          <w:lang w:val="en-ZA"/>
        </w:rPr>
        <w:t xml:space="preserve"> the proceedings against Ms Dyantyi would be tainted by procedural</w:t>
      </w:r>
      <w:r w:rsidR="005663FF" w:rsidRPr="00516C28">
        <w:rPr>
          <w:rFonts w:ascii="Arial" w:eastAsia="Calibri" w:hAnsi="Arial" w:cs="Arial"/>
          <w:lang w:val="en-ZA"/>
        </w:rPr>
        <w:t> </w:t>
      </w:r>
      <w:r w:rsidRPr="00516C28">
        <w:rPr>
          <w:rFonts w:ascii="Arial" w:eastAsia="Calibri" w:hAnsi="Arial" w:cs="Arial"/>
          <w:lang w:val="en-ZA"/>
        </w:rPr>
        <w:t>unfairness. The university opposed the application.</w:t>
      </w:r>
    </w:p>
    <w:p w14:paraId="3756B3C2" w14:textId="77777777" w:rsidR="004F2F87" w:rsidRPr="00516C28" w:rsidRDefault="004F2F87" w:rsidP="004F2F87">
      <w:pPr>
        <w:spacing w:line="360" w:lineRule="auto"/>
        <w:jc w:val="both"/>
        <w:rPr>
          <w:rFonts w:ascii="Arial" w:eastAsia="Calibri" w:hAnsi="Arial" w:cs="Arial"/>
          <w:lang w:val="en-ZA"/>
        </w:rPr>
      </w:pPr>
    </w:p>
    <w:p w14:paraId="143AF5B7" w14:textId="77777777"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[16]</w:t>
      </w:r>
      <w:r w:rsidRPr="00516C28">
        <w:rPr>
          <w:rFonts w:ascii="Arial" w:eastAsia="Calibri" w:hAnsi="Arial" w:cs="Arial"/>
          <w:lang w:val="en-ZA"/>
        </w:rPr>
        <w:tab/>
        <w:t>The proctor made a ruling on 24 October 2017, in these terms:</w:t>
      </w:r>
    </w:p>
    <w:p w14:paraId="3F42B5F8" w14:textId="3B5B2FC7" w:rsidR="00383A69" w:rsidRPr="00516C28" w:rsidRDefault="004F2F87" w:rsidP="00AE4977">
      <w:pPr>
        <w:tabs>
          <w:tab w:val="left" w:pos="284"/>
          <w:tab w:val="left" w:pos="426"/>
        </w:tabs>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t>‘1.</w:t>
      </w:r>
      <w:r w:rsidRPr="00516C28">
        <w:rPr>
          <w:rFonts w:ascii="Arial" w:eastAsia="Calibri" w:hAnsi="Arial" w:cs="Arial"/>
          <w:sz w:val="22"/>
          <w:szCs w:val="22"/>
          <w:lang w:val="en-ZA"/>
        </w:rPr>
        <w:tab/>
      </w:r>
      <w:r w:rsidR="00D96A36" w:rsidRPr="00516C28">
        <w:rPr>
          <w:rFonts w:ascii="Arial" w:eastAsia="Calibri" w:hAnsi="Arial" w:cs="Arial"/>
          <w:sz w:val="22"/>
          <w:szCs w:val="22"/>
          <w:lang w:val="en-ZA"/>
        </w:rPr>
        <w:tab/>
      </w:r>
      <w:r w:rsidR="00383A69" w:rsidRPr="00516C28">
        <w:rPr>
          <w:rFonts w:ascii="Arial" w:eastAsia="Calibri" w:hAnsi="Arial" w:cs="Arial"/>
          <w:sz w:val="22"/>
          <w:szCs w:val="22"/>
          <w:lang w:val="en-ZA"/>
        </w:rPr>
        <w:t>I have considered the application by Ms Dyantyi’s representatives for the postponement of the hearing and the University’s response thereto.</w:t>
      </w:r>
    </w:p>
    <w:p w14:paraId="34F137F6" w14:textId="7A2F6BD8" w:rsidR="004F2F87" w:rsidRPr="00516C28" w:rsidRDefault="00383A69" w:rsidP="00AE4977">
      <w:pPr>
        <w:tabs>
          <w:tab w:val="left" w:pos="284"/>
          <w:tab w:val="left" w:pos="426"/>
        </w:tabs>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t>2.</w:t>
      </w:r>
      <w:r w:rsidRPr="00516C28">
        <w:rPr>
          <w:rFonts w:ascii="Arial" w:eastAsia="Calibri" w:hAnsi="Arial" w:cs="Arial"/>
          <w:sz w:val="22"/>
          <w:szCs w:val="22"/>
          <w:lang w:val="en-ZA"/>
        </w:rPr>
        <w:tab/>
      </w:r>
      <w:r w:rsidRPr="00516C28">
        <w:rPr>
          <w:rFonts w:ascii="Arial" w:eastAsia="Calibri" w:hAnsi="Arial" w:cs="Arial"/>
          <w:sz w:val="22"/>
          <w:szCs w:val="22"/>
          <w:lang w:val="en-ZA"/>
        </w:rPr>
        <w:tab/>
      </w:r>
      <w:r w:rsidR="004F2F87" w:rsidRPr="00516C28">
        <w:rPr>
          <w:rFonts w:ascii="Arial" w:eastAsia="Calibri" w:hAnsi="Arial" w:cs="Arial"/>
          <w:sz w:val="22"/>
          <w:szCs w:val="22"/>
          <w:lang w:val="en-ZA"/>
        </w:rPr>
        <w:t>On the last sitting of the hearing on 11 October 2017, I duly considered the objections that were raised by Adv. De Vos to the proposed dates. I overruled her objections.</w:t>
      </w:r>
    </w:p>
    <w:p w14:paraId="24FCA0FA" w14:textId="47BE05BD" w:rsidR="004F2F87" w:rsidRPr="00516C28" w:rsidRDefault="00383A69" w:rsidP="001D34DB">
      <w:pPr>
        <w:tabs>
          <w:tab w:val="left" w:pos="426"/>
        </w:tabs>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t>3</w:t>
      </w:r>
      <w:r w:rsidR="00D96A36" w:rsidRPr="00516C28">
        <w:rPr>
          <w:rFonts w:ascii="Arial" w:eastAsia="Calibri" w:hAnsi="Arial" w:cs="Arial"/>
          <w:sz w:val="22"/>
          <w:szCs w:val="22"/>
          <w:lang w:val="en-ZA"/>
        </w:rPr>
        <w:t>.</w:t>
      </w:r>
      <w:r w:rsidR="00D96A36" w:rsidRPr="00516C28">
        <w:rPr>
          <w:rFonts w:ascii="Arial" w:eastAsia="Calibri" w:hAnsi="Arial" w:cs="Arial"/>
          <w:sz w:val="22"/>
          <w:szCs w:val="22"/>
          <w:lang w:val="en-ZA"/>
        </w:rPr>
        <w:tab/>
      </w:r>
      <w:r w:rsidR="004F2F87" w:rsidRPr="00516C28">
        <w:rPr>
          <w:rFonts w:ascii="Arial" w:eastAsia="Calibri" w:hAnsi="Arial" w:cs="Arial"/>
          <w:sz w:val="22"/>
          <w:szCs w:val="22"/>
          <w:lang w:val="en-ZA"/>
        </w:rPr>
        <w:t xml:space="preserve">I am not persuaded that my decision should revisited and in the result, the application is dismissed.’ </w:t>
      </w:r>
    </w:p>
    <w:p w14:paraId="0AB84AAD" w14:textId="2EF395CC"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Thus, the proctor gave no reasons for his rulings of 11 October and 24 October 2017 (the</w:t>
      </w:r>
      <w:r w:rsidR="00CF0017" w:rsidRPr="00516C28">
        <w:rPr>
          <w:rFonts w:ascii="Arial" w:eastAsia="Calibri" w:hAnsi="Arial" w:cs="Arial"/>
          <w:lang w:val="en-ZA"/>
        </w:rPr>
        <w:t> </w:t>
      </w:r>
      <w:r w:rsidRPr="00516C28">
        <w:rPr>
          <w:rFonts w:ascii="Arial" w:eastAsia="Calibri" w:hAnsi="Arial" w:cs="Arial"/>
          <w:lang w:val="en-ZA"/>
        </w:rPr>
        <w:t>rulings). As a consequence of the rulings, neither Ms Dyantyi nor her representatives further participated in the disciplinary proceedings.</w:t>
      </w:r>
    </w:p>
    <w:p w14:paraId="5B1576A2" w14:textId="77777777" w:rsidR="004F2F87" w:rsidRPr="00516C28" w:rsidRDefault="004F2F87" w:rsidP="004F2F87">
      <w:pPr>
        <w:spacing w:line="360" w:lineRule="auto"/>
        <w:jc w:val="both"/>
        <w:rPr>
          <w:rFonts w:ascii="Arial" w:eastAsia="Calibri" w:hAnsi="Arial" w:cs="Arial"/>
          <w:lang w:val="en-ZA"/>
        </w:rPr>
      </w:pPr>
    </w:p>
    <w:p w14:paraId="61750FFF" w14:textId="70D2639B"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[17]</w:t>
      </w:r>
      <w:r w:rsidRPr="00516C28">
        <w:rPr>
          <w:rFonts w:ascii="Arial" w:eastAsia="Calibri" w:hAnsi="Arial" w:cs="Arial"/>
          <w:lang w:val="en-ZA"/>
        </w:rPr>
        <w:tab/>
        <w:t xml:space="preserve">The proctor produced his judgment on the merits on 10 November 2017. He found that Ms Dyantyi was guilty of kidnapping, insubordination, assault and defamation as charged. (He also found her fellow student guilty on the two charges put against her). </w:t>
      </w:r>
      <w:r w:rsidR="0076113E" w:rsidRPr="00516C28">
        <w:rPr>
          <w:rFonts w:ascii="Arial" w:eastAsia="Calibri" w:hAnsi="Arial" w:cs="Arial"/>
          <w:lang w:val="en-ZA"/>
        </w:rPr>
        <w:t xml:space="preserve">     </w:t>
      </w:r>
      <w:r w:rsidRPr="00516C28">
        <w:rPr>
          <w:rFonts w:ascii="Arial" w:eastAsia="Calibri" w:hAnsi="Arial" w:cs="Arial"/>
          <w:lang w:val="en-ZA"/>
        </w:rPr>
        <w:t>On 17 November 2017, the proctor handed down the sanction in respect of Ms Dyantyi, as follows:</w:t>
      </w:r>
    </w:p>
    <w:p w14:paraId="62F3A019" w14:textId="77777777" w:rsidR="004F2F87" w:rsidRPr="00516C28" w:rsidRDefault="004F2F87" w:rsidP="00AE4977">
      <w:pPr>
        <w:tabs>
          <w:tab w:val="left" w:pos="426"/>
        </w:tabs>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t>‘9.1</w:t>
      </w:r>
      <w:r w:rsidRPr="00516C28">
        <w:rPr>
          <w:rFonts w:ascii="Arial" w:eastAsia="Calibri" w:hAnsi="Arial" w:cs="Arial"/>
          <w:sz w:val="22"/>
          <w:szCs w:val="22"/>
          <w:lang w:val="en-ZA"/>
        </w:rPr>
        <w:tab/>
        <w:t>Ms Dyantyi is excluded permanently from Rhodes University, forthwith as of the date of this order;</w:t>
      </w:r>
    </w:p>
    <w:p w14:paraId="3751BF97" w14:textId="33C4109A" w:rsidR="004F2F87" w:rsidRPr="00516C28" w:rsidRDefault="004F2F87" w:rsidP="00AE4977">
      <w:pPr>
        <w:tabs>
          <w:tab w:val="left" w:pos="426"/>
        </w:tabs>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lastRenderedPageBreak/>
        <w:t>9.2</w:t>
      </w:r>
      <w:r w:rsidRPr="00516C28">
        <w:rPr>
          <w:rFonts w:ascii="Arial" w:eastAsia="Calibri" w:hAnsi="Arial" w:cs="Arial"/>
          <w:sz w:val="22"/>
          <w:szCs w:val="22"/>
          <w:lang w:val="en-ZA"/>
        </w:rPr>
        <w:tab/>
        <w:t>No credit/s that Ms Dyantyi may obtain at any other institution during any period that she was excluded from Rhodes University will count towards any qualification issued by Rhodes</w:t>
      </w:r>
      <w:r w:rsidR="00E75932" w:rsidRPr="00516C28">
        <w:rPr>
          <w:rFonts w:ascii="Arial" w:eastAsia="Calibri" w:hAnsi="Arial" w:cs="Arial"/>
          <w:sz w:val="22"/>
          <w:szCs w:val="22"/>
          <w:lang w:val="en-ZA"/>
        </w:rPr>
        <w:t> </w:t>
      </w:r>
      <w:r w:rsidRPr="00516C28">
        <w:rPr>
          <w:rFonts w:ascii="Arial" w:eastAsia="Calibri" w:hAnsi="Arial" w:cs="Arial"/>
          <w:sz w:val="22"/>
          <w:szCs w:val="22"/>
          <w:lang w:val="en-ZA"/>
        </w:rPr>
        <w:t>University; and</w:t>
      </w:r>
    </w:p>
    <w:p w14:paraId="562FDBE5" w14:textId="168E880F" w:rsidR="004F2F87" w:rsidRPr="00516C28" w:rsidRDefault="004F2F87" w:rsidP="00AE4977">
      <w:pPr>
        <w:tabs>
          <w:tab w:val="left" w:pos="426"/>
        </w:tabs>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t>9.3</w:t>
      </w:r>
      <w:r w:rsidRPr="00516C28">
        <w:rPr>
          <w:rFonts w:ascii="Arial" w:eastAsia="Calibri" w:hAnsi="Arial" w:cs="Arial"/>
          <w:sz w:val="22"/>
          <w:szCs w:val="22"/>
          <w:lang w:val="en-ZA"/>
        </w:rPr>
        <w:tab/>
        <w:t>Ms Dyanty’s academic transcript shall be endorsed to read “</w:t>
      </w:r>
      <w:r w:rsidRPr="00516C28">
        <w:rPr>
          <w:rFonts w:ascii="Arial" w:eastAsia="Calibri" w:hAnsi="Arial" w:cs="Arial"/>
          <w:i/>
          <w:sz w:val="22"/>
          <w:szCs w:val="22"/>
          <w:lang w:val="en-ZA"/>
        </w:rPr>
        <w:t>Conduct Unsatisfactory – Student permanently excluded for: Kidnapping; Assault; Insubordination; Defamation</w:t>
      </w:r>
      <w:r w:rsidRPr="00516C28">
        <w:rPr>
          <w:rFonts w:ascii="Arial" w:eastAsia="Calibri" w:hAnsi="Arial" w:cs="Arial"/>
          <w:sz w:val="22"/>
          <w:szCs w:val="22"/>
          <w:lang w:val="en-ZA"/>
        </w:rPr>
        <w:t>”.</w:t>
      </w:r>
    </w:p>
    <w:p w14:paraId="0513CA72" w14:textId="77777777" w:rsidR="004F2F87" w:rsidRPr="00516C28" w:rsidRDefault="004F2F87" w:rsidP="00AE4977">
      <w:pPr>
        <w:tabs>
          <w:tab w:val="left" w:pos="426"/>
        </w:tabs>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t>9.4</w:t>
      </w:r>
      <w:r w:rsidRPr="00516C28">
        <w:rPr>
          <w:rFonts w:ascii="Arial" w:eastAsia="Calibri" w:hAnsi="Arial" w:cs="Arial"/>
          <w:sz w:val="22"/>
          <w:szCs w:val="22"/>
          <w:lang w:val="en-ZA"/>
        </w:rPr>
        <w:tab/>
        <w:t>Ms Dyantyi must vacate the Rhodes University premises by close of business on the date of this order and may not attend on the Rhodes University campus for the duration of her exclusion.</w:t>
      </w:r>
    </w:p>
    <w:p w14:paraId="634A1A41" w14:textId="77777777" w:rsidR="004F2F87" w:rsidRPr="00516C28" w:rsidRDefault="004F2F87" w:rsidP="00AE4977">
      <w:pPr>
        <w:tabs>
          <w:tab w:val="left" w:pos="426"/>
        </w:tabs>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t>9.5</w:t>
      </w:r>
      <w:r w:rsidRPr="00516C28">
        <w:rPr>
          <w:rFonts w:ascii="Arial" w:eastAsia="Calibri" w:hAnsi="Arial" w:cs="Arial"/>
          <w:sz w:val="22"/>
          <w:szCs w:val="22"/>
          <w:lang w:val="en-ZA"/>
        </w:rPr>
        <w:tab/>
        <w:t>The order set out in paragraph 9.4 specifically prohibits Ms Dyantyi from attending the Rhodes University campus for any academic, administrative, social or any other purpose whatsoever, including, but not limited to, the writing of any outstanding examinations;</w:t>
      </w:r>
    </w:p>
    <w:p w14:paraId="2CDE1B36" w14:textId="29BB9DDD" w:rsidR="004F2F87" w:rsidRPr="00516C28" w:rsidRDefault="004F2F87" w:rsidP="009D3035">
      <w:pPr>
        <w:tabs>
          <w:tab w:val="left" w:pos="426"/>
        </w:tabs>
        <w:spacing w:line="360" w:lineRule="auto"/>
        <w:jc w:val="both"/>
        <w:rPr>
          <w:rFonts w:ascii="Arial" w:eastAsia="Calibri" w:hAnsi="Arial" w:cs="Arial"/>
          <w:lang w:val="en-ZA"/>
        </w:rPr>
      </w:pPr>
      <w:r w:rsidRPr="00516C28">
        <w:rPr>
          <w:rFonts w:ascii="Arial" w:eastAsia="Calibri" w:hAnsi="Arial" w:cs="Arial"/>
          <w:sz w:val="22"/>
          <w:szCs w:val="22"/>
          <w:lang w:val="en-ZA"/>
        </w:rPr>
        <w:t>9.6</w:t>
      </w:r>
      <w:r w:rsidRPr="00516C28">
        <w:rPr>
          <w:rFonts w:ascii="Arial" w:eastAsia="Calibri" w:hAnsi="Arial" w:cs="Arial"/>
          <w:sz w:val="22"/>
          <w:szCs w:val="22"/>
          <w:lang w:val="en-ZA"/>
        </w:rPr>
        <w:tab/>
        <w:t xml:space="preserve">Any examinations, practicals or any other means of assessment that Ms Dyantyi may have written or done during the November 2017 examination period, which have not been finalised in terms of the Rhodes University Institutional rules as at the date of this order, shall be regarded as </w:t>
      </w:r>
      <w:r w:rsidRPr="00516C28">
        <w:rPr>
          <w:rFonts w:ascii="Arial" w:eastAsia="Calibri" w:hAnsi="Arial" w:cs="Arial"/>
          <w:i/>
          <w:sz w:val="22"/>
          <w:szCs w:val="22"/>
          <w:lang w:val="en-ZA"/>
        </w:rPr>
        <w:t>pro non scripto</w:t>
      </w:r>
      <w:r w:rsidRPr="00516C28">
        <w:rPr>
          <w:rFonts w:ascii="Arial" w:eastAsia="Calibri" w:hAnsi="Arial" w:cs="Arial"/>
          <w:sz w:val="22"/>
          <w:szCs w:val="22"/>
          <w:lang w:val="en-ZA"/>
        </w:rPr>
        <w:t xml:space="preserve">.’ </w:t>
      </w:r>
    </w:p>
    <w:p w14:paraId="5FC6BA29" w14:textId="77777777" w:rsidR="004F2F87" w:rsidRPr="00516C28" w:rsidRDefault="004F2F87" w:rsidP="004F2F87">
      <w:pPr>
        <w:spacing w:line="360" w:lineRule="auto"/>
        <w:jc w:val="both"/>
        <w:rPr>
          <w:rFonts w:ascii="Arial" w:eastAsia="Calibri" w:hAnsi="Arial" w:cs="Arial"/>
          <w:lang w:val="en-ZA"/>
        </w:rPr>
      </w:pPr>
    </w:p>
    <w:p w14:paraId="65E0A50A" w14:textId="3857F6D4"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[18]</w:t>
      </w:r>
      <w:r w:rsidRPr="00516C28">
        <w:rPr>
          <w:rFonts w:ascii="Arial" w:eastAsia="Calibri" w:hAnsi="Arial" w:cs="Arial"/>
          <w:lang w:val="en-ZA"/>
        </w:rPr>
        <w:tab/>
        <w:t>As I have said, Ms Dyantyi launched an application for the review and setting aside of both the decisions of the proctor of 10 November and 17 November 2017 (the</w:t>
      </w:r>
      <w:r w:rsidR="00663F9E" w:rsidRPr="00516C28">
        <w:rPr>
          <w:rFonts w:ascii="Arial" w:eastAsia="Calibri" w:hAnsi="Arial" w:cs="Arial"/>
          <w:lang w:val="en-ZA"/>
        </w:rPr>
        <w:t> </w:t>
      </w:r>
      <w:r w:rsidRPr="00516C28">
        <w:rPr>
          <w:rFonts w:ascii="Arial" w:eastAsia="Calibri" w:hAnsi="Arial" w:cs="Arial"/>
          <w:lang w:val="en-ZA"/>
        </w:rPr>
        <w:t xml:space="preserve">decisions). The grounds of review were that the decisions had been materially affected by procedural unfairness and were unreasonable and/or irrational. In a supplementary founding affidavit filed under Uniform </w:t>
      </w:r>
      <w:r w:rsidR="00E30E2E" w:rsidRPr="00516C28">
        <w:rPr>
          <w:rFonts w:ascii="Arial" w:eastAsia="Calibri" w:hAnsi="Arial" w:cs="Arial"/>
          <w:lang w:val="en-ZA"/>
        </w:rPr>
        <w:t>r</w:t>
      </w:r>
      <w:r w:rsidRPr="00516C28">
        <w:rPr>
          <w:rFonts w:ascii="Arial" w:eastAsia="Calibri" w:hAnsi="Arial" w:cs="Arial"/>
          <w:lang w:val="en-ZA"/>
        </w:rPr>
        <w:t xml:space="preserve">ule 53(4), Ms Dyantyi also alleged that the decisions were </w:t>
      </w:r>
      <w:r w:rsidRPr="00516C28">
        <w:rPr>
          <w:rFonts w:ascii="Arial" w:eastAsia="Calibri" w:hAnsi="Arial" w:cs="Arial"/>
          <w:i/>
          <w:lang w:val="en-ZA"/>
        </w:rPr>
        <w:t>ultra vires</w:t>
      </w:r>
      <w:r w:rsidRPr="00516C28">
        <w:rPr>
          <w:rFonts w:ascii="Arial" w:eastAsia="Calibri" w:hAnsi="Arial" w:cs="Arial"/>
          <w:lang w:val="en-ZA"/>
        </w:rPr>
        <w:t xml:space="preserve"> the powers of the proctor and that she reasonably perceived the proctor to have been biased against her. The court a quo found no merit in any of the review grounds but subsequently granted leave to appeal limited to the procedural unfairness review ground. </w:t>
      </w:r>
    </w:p>
    <w:p w14:paraId="76284AEB" w14:textId="77777777" w:rsidR="004F2F87" w:rsidRPr="00516C28" w:rsidRDefault="004F2F87" w:rsidP="004F2F87">
      <w:pPr>
        <w:spacing w:line="360" w:lineRule="auto"/>
        <w:jc w:val="both"/>
        <w:rPr>
          <w:rFonts w:ascii="Arial" w:eastAsia="Calibri" w:hAnsi="Arial" w:cs="Arial"/>
          <w:lang w:val="en-ZA"/>
        </w:rPr>
      </w:pPr>
    </w:p>
    <w:p w14:paraId="02CF14DB" w14:textId="77777777"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b/>
          <w:lang w:val="en-ZA"/>
        </w:rPr>
        <w:t>The law</w:t>
      </w:r>
    </w:p>
    <w:p w14:paraId="03E5FB23" w14:textId="269B15EF" w:rsidR="00B3353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[19]</w:t>
      </w:r>
      <w:r w:rsidRPr="00516C28">
        <w:rPr>
          <w:rFonts w:ascii="Arial" w:eastAsia="Calibri" w:hAnsi="Arial" w:cs="Arial"/>
          <w:lang w:val="en-ZA"/>
        </w:rPr>
        <w:tab/>
        <w:t>As a public higher education institution, the university is publicly funded for the purpose of achieving the obligation of the state under s 29(1)</w:t>
      </w:r>
      <w:r w:rsidRPr="00516C28">
        <w:rPr>
          <w:rFonts w:ascii="Arial" w:eastAsia="Calibri" w:hAnsi="Arial" w:cs="Arial"/>
          <w:i/>
          <w:lang w:val="en-ZA"/>
        </w:rPr>
        <w:t>(a)</w:t>
      </w:r>
      <w:r w:rsidRPr="00516C28">
        <w:rPr>
          <w:rFonts w:ascii="Arial" w:eastAsia="Calibri" w:hAnsi="Arial" w:cs="Arial"/>
          <w:lang w:val="en-ZA"/>
        </w:rPr>
        <w:t xml:space="preserve"> of the Constitution to make the right to higher education progressively available and accessible. It follows that the university is an organ of </w:t>
      </w:r>
      <w:r w:rsidR="00383A69" w:rsidRPr="00516C28">
        <w:rPr>
          <w:rFonts w:ascii="Arial" w:eastAsia="Calibri" w:hAnsi="Arial" w:cs="Arial"/>
          <w:lang w:val="en-ZA"/>
        </w:rPr>
        <w:t>s</w:t>
      </w:r>
      <w:r w:rsidRPr="00516C28">
        <w:rPr>
          <w:rFonts w:ascii="Arial" w:eastAsia="Calibri" w:hAnsi="Arial" w:cs="Arial"/>
          <w:lang w:val="en-ZA"/>
        </w:rPr>
        <w:t>tate as defined in s 239 of the Constitution and thus in s 1 of the Promotion of Administrative Justice Act 3 of 2000 (PAJA). In terms of s 27(1) of the Higher Education Act, the university is governed by its council. Section 32(2)</w:t>
      </w:r>
      <w:r w:rsidRPr="00516C28">
        <w:rPr>
          <w:rFonts w:ascii="Arial" w:eastAsia="Calibri" w:hAnsi="Arial" w:cs="Arial"/>
          <w:i/>
          <w:lang w:val="en-ZA"/>
        </w:rPr>
        <w:t>(d)</w:t>
      </w:r>
      <w:r w:rsidRPr="00516C28">
        <w:rPr>
          <w:rFonts w:ascii="Arial" w:eastAsia="Calibri" w:hAnsi="Arial" w:cs="Arial"/>
          <w:lang w:val="en-ZA"/>
        </w:rPr>
        <w:t xml:space="preserve">, </w:t>
      </w:r>
      <w:r w:rsidRPr="00516C28">
        <w:rPr>
          <w:rFonts w:ascii="Arial" w:eastAsia="Calibri" w:hAnsi="Arial" w:cs="Arial"/>
          <w:i/>
          <w:lang w:val="en-ZA"/>
        </w:rPr>
        <w:t>inter alia</w:t>
      </w:r>
      <w:r w:rsidRPr="00516C28">
        <w:rPr>
          <w:rFonts w:ascii="Arial" w:eastAsia="Calibri" w:hAnsi="Arial" w:cs="Arial"/>
          <w:lang w:val="en-ZA"/>
        </w:rPr>
        <w:t xml:space="preserve">, provides that the council may make institutional rules regarding disciplinary measures </w:t>
      </w:r>
      <w:r w:rsidRPr="00516C28">
        <w:rPr>
          <w:rFonts w:ascii="Arial" w:eastAsia="Calibri" w:hAnsi="Arial" w:cs="Arial"/>
          <w:lang w:val="en-ZA"/>
        </w:rPr>
        <w:lastRenderedPageBreak/>
        <w:t>and disciplinary procedures relating to students. In terms of s 36, every student at a public higher education institution is subject to the disciplinary measures and disciplinary procedures determined by its institutional rules. The council of the university approved and the university applied the disciplinary code under these empowering provisions.</w:t>
      </w:r>
    </w:p>
    <w:p w14:paraId="26A53CD4" w14:textId="77777777" w:rsidR="00AE4977" w:rsidRPr="00516C28" w:rsidRDefault="00AE4977" w:rsidP="004F2F87">
      <w:pPr>
        <w:spacing w:line="360" w:lineRule="auto"/>
        <w:jc w:val="both"/>
        <w:rPr>
          <w:rFonts w:ascii="Arial" w:eastAsia="Calibri" w:hAnsi="Arial" w:cs="Arial"/>
          <w:lang w:val="en-ZA"/>
        </w:rPr>
      </w:pPr>
    </w:p>
    <w:p w14:paraId="5894EDB3" w14:textId="34A53E71"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[20]</w:t>
      </w:r>
      <w:r w:rsidRPr="00516C28">
        <w:rPr>
          <w:rFonts w:ascii="Arial" w:eastAsia="Calibri" w:hAnsi="Arial" w:cs="Arial"/>
          <w:lang w:val="en-ZA"/>
        </w:rPr>
        <w:tab/>
        <w:t xml:space="preserve">Therefore, in subjecting Ms Dyantyi to a disciplinary inquiry, the university exercised </w:t>
      </w:r>
      <w:r w:rsidR="00383A69" w:rsidRPr="00516C28">
        <w:rPr>
          <w:rFonts w:ascii="Arial" w:eastAsia="Calibri" w:hAnsi="Arial" w:cs="Arial"/>
          <w:lang w:val="en-ZA"/>
        </w:rPr>
        <w:t>a</w:t>
      </w:r>
      <w:r w:rsidRPr="00516C28">
        <w:rPr>
          <w:rFonts w:ascii="Arial" w:eastAsia="Calibri" w:hAnsi="Arial" w:cs="Arial"/>
          <w:lang w:val="en-ZA"/>
        </w:rPr>
        <w:t xml:space="preserve"> public power and/or performed a public function in terms of legislation, within the meaning of the definition of ‘administrative action’ in s 1 of PAJA. The decisions clearly affected Ms Dyantyi’s rights adversely by direct external legal effect. It follows that PAJA was applicable and that Ms Dyantyi had the right to procedural fairness encapsulated in s 3 of PAJA.</w:t>
      </w:r>
    </w:p>
    <w:p w14:paraId="646FCCC2" w14:textId="77777777" w:rsidR="004F2F87" w:rsidRPr="00516C28" w:rsidRDefault="004F2F87" w:rsidP="004F2F87">
      <w:pPr>
        <w:spacing w:line="360" w:lineRule="auto"/>
        <w:jc w:val="both"/>
        <w:rPr>
          <w:rFonts w:ascii="Arial" w:eastAsia="Calibri" w:hAnsi="Arial" w:cs="Arial"/>
          <w:lang w:val="en-ZA"/>
        </w:rPr>
      </w:pPr>
    </w:p>
    <w:p w14:paraId="300F1B6C" w14:textId="3453D3CC"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[21]</w:t>
      </w:r>
      <w:r w:rsidRPr="00516C28">
        <w:rPr>
          <w:rFonts w:ascii="Arial" w:eastAsia="Calibri" w:hAnsi="Arial" w:cs="Arial"/>
          <w:lang w:val="en-ZA"/>
        </w:rPr>
        <w:tab/>
        <w:t>In C Hoexter</w:t>
      </w:r>
      <w:r w:rsidR="00117E9F" w:rsidRPr="00516C28">
        <w:rPr>
          <w:rFonts w:ascii="Arial" w:eastAsia="Calibri" w:hAnsi="Arial" w:cs="Arial"/>
          <w:lang w:val="en-ZA"/>
        </w:rPr>
        <w:t xml:space="preserve"> &amp; G Penfold</w:t>
      </w:r>
      <w:r w:rsidRPr="00516C28">
        <w:rPr>
          <w:rFonts w:ascii="Arial" w:eastAsia="Calibri" w:hAnsi="Arial" w:cs="Arial"/>
          <w:lang w:val="en-ZA"/>
        </w:rPr>
        <w:t xml:space="preserve"> </w:t>
      </w:r>
      <w:r w:rsidRPr="00516C28">
        <w:rPr>
          <w:rFonts w:ascii="Arial" w:eastAsia="Calibri" w:hAnsi="Arial" w:cs="Arial"/>
          <w:i/>
          <w:lang w:val="en-ZA"/>
        </w:rPr>
        <w:t>Administrative Law in South Africa</w:t>
      </w:r>
      <w:r w:rsidRPr="00516C28">
        <w:rPr>
          <w:rFonts w:ascii="Arial" w:eastAsia="Calibri" w:hAnsi="Arial" w:cs="Arial"/>
          <w:lang w:val="en-ZA"/>
        </w:rPr>
        <w:t xml:space="preserve"> </w:t>
      </w:r>
      <w:r w:rsidR="00DA14A1" w:rsidRPr="00516C28">
        <w:rPr>
          <w:rFonts w:ascii="Arial" w:eastAsia="Calibri" w:hAnsi="Arial" w:cs="Arial"/>
          <w:lang w:val="en-ZA"/>
        </w:rPr>
        <w:t>3</w:t>
      </w:r>
      <w:r w:rsidRPr="00516C28">
        <w:rPr>
          <w:rFonts w:ascii="Arial" w:eastAsia="Calibri" w:hAnsi="Arial" w:cs="Arial"/>
          <w:lang w:val="en-ZA"/>
        </w:rPr>
        <w:t xml:space="preserve"> ed</w:t>
      </w:r>
      <w:r w:rsidR="00674C30" w:rsidRPr="00516C28">
        <w:rPr>
          <w:rFonts w:ascii="Arial" w:eastAsia="Calibri" w:hAnsi="Arial" w:cs="Arial"/>
          <w:lang w:val="en-ZA"/>
        </w:rPr>
        <w:t xml:space="preserve"> (20</w:t>
      </w:r>
      <w:r w:rsidR="00DA14A1" w:rsidRPr="00516C28">
        <w:rPr>
          <w:rFonts w:ascii="Arial" w:eastAsia="Calibri" w:hAnsi="Arial" w:cs="Arial"/>
          <w:lang w:val="en-ZA"/>
        </w:rPr>
        <w:t>21</w:t>
      </w:r>
      <w:r w:rsidR="00674C30" w:rsidRPr="00516C28">
        <w:rPr>
          <w:rFonts w:ascii="Arial" w:eastAsia="Calibri" w:hAnsi="Arial" w:cs="Arial"/>
          <w:lang w:val="en-ZA"/>
        </w:rPr>
        <w:t xml:space="preserve">) </w:t>
      </w:r>
      <w:r w:rsidRPr="00516C28">
        <w:rPr>
          <w:rFonts w:ascii="Arial" w:eastAsia="Calibri" w:hAnsi="Arial" w:cs="Arial"/>
          <w:lang w:val="en-ZA"/>
        </w:rPr>
        <w:t xml:space="preserve">at </w:t>
      </w:r>
      <w:r w:rsidR="00DA14A1" w:rsidRPr="00516C28">
        <w:rPr>
          <w:rFonts w:ascii="Arial" w:eastAsia="Calibri" w:hAnsi="Arial" w:cs="Arial"/>
          <w:lang w:val="en-ZA"/>
        </w:rPr>
        <w:t>501</w:t>
      </w:r>
      <w:r w:rsidRPr="00516C28">
        <w:rPr>
          <w:rFonts w:ascii="Arial" w:eastAsia="Calibri" w:hAnsi="Arial" w:cs="Arial"/>
          <w:lang w:val="en-ZA"/>
        </w:rPr>
        <w:t xml:space="preserve"> it is said that:</w:t>
      </w:r>
      <w:r w:rsidR="00EB3147" w:rsidRPr="00516C28">
        <w:rPr>
          <w:rFonts w:ascii="Arial" w:eastAsia="Calibri" w:hAnsi="Arial" w:cs="Arial"/>
          <w:lang w:val="en-ZA"/>
        </w:rPr>
        <w:t xml:space="preserve"> </w:t>
      </w:r>
    </w:p>
    <w:p w14:paraId="4E9BDC1E" w14:textId="3416F3E2" w:rsidR="004F2F87" w:rsidRPr="00516C28" w:rsidRDefault="004F2F87" w:rsidP="004F2F87">
      <w:pPr>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t xml:space="preserve">‘. . . procedural fairness is a principle of good administration that requires a sensitive rather than heavy-handed application. Context is all-important: the content of fairness is not static but must be tailored to the particular circumstances of each case. There is no room </w:t>
      </w:r>
      <w:r w:rsidR="00DC01FD" w:rsidRPr="00516C28">
        <w:rPr>
          <w:rFonts w:ascii="Arial" w:eastAsia="Calibri" w:hAnsi="Arial" w:cs="Arial"/>
          <w:sz w:val="22"/>
          <w:szCs w:val="22"/>
          <w:lang w:val="en-ZA"/>
        </w:rPr>
        <w:t xml:space="preserve">now </w:t>
      </w:r>
      <w:r w:rsidRPr="00516C28">
        <w:rPr>
          <w:rFonts w:ascii="Arial" w:eastAsia="Calibri" w:hAnsi="Arial" w:cs="Arial"/>
          <w:sz w:val="22"/>
          <w:szCs w:val="22"/>
          <w:lang w:val="en-ZA"/>
        </w:rPr>
        <w:t xml:space="preserve">for the all-or-nothing approach to fairness that characterised our pre-democratic law, </w:t>
      </w:r>
      <w:r w:rsidR="00383A69" w:rsidRPr="00516C28">
        <w:rPr>
          <w:rFonts w:ascii="Arial" w:eastAsia="Calibri" w:hAnsi="Arial" w:cs="Arial"/>
          <w:sz w:val="22"/>
          <w:szCs w:val="22"/>
          <w:lang w:val="en-ZA"/>
        </w:rPr>
        <w:t>an approach that tende</w:t>
      </w:r>
      <w:r w:rsidRPr="00516C28">
        <w:rPr>
          <w:rFonts w:ascii="Arial" w:eastAsia="Calibri" w:hAnsi="Arial" w:cs="Arial"/>
          <w:sz w:val="22"/>
          <w:szCs w:val="22"/>
          <w:lang w:val="en-ZA"/>
        </w:rPr>
        <w:t>d to produce results that were either overly burdensome for the administration or entirely unhelpful to the complainant.’</w:t>
      </w:r>
    </w:p>
    <w:p w14:paraId="4C585B97" w14:textId="719ABE49"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At common law the opportunity of an individual to present evidence that supports his or her case and to controvert the evidence against him or her ‘</w:t>
      </w:r>
      <w:r w:rsidR="009670B4" w:rsidRPr="00516C28">
        <w:rPr>
          <w:rFonts w:ascii="Arial" w:eastAsia="Calibri" w:hAnsi="Arial" w:cs="Arial"/>
          <w:lang w:val="en-ZA"/>
        </w:rPr>
        <w:t>. . .</w:t>
      </w:r>
      <w:r w:rsidR="00D96A36" w:rsidRPr="00516C28">
        <w:rPr>
          <w:rFonts w:ascii="Arial" w:eastAsia="Calibri" w:hAnsi="Arial" w:cs="Arial"/>
          <w:lang w:val="en-ZA"/>
        </w:rPr>
        <w:t xml:space="preserve"> </w:t>
      </w:r>
      <w:r w:rsidRPr="00516C28">
        <w:rPr>
          <w:rFonts w:ascii="Arial" w:eastAsia="Calibri" w:hAnsi="Arial" w:cs="Arial"/>
          <w:lang w:val="en-ZA"/>
        </w:rPr>
        <w:t xml:space="preserve">is the essence of a fair hearing and the courts have always insisted upon it’. See Lawrence Baxter </w:t>
      </w:r>
      <w:r w:rsidRPr="00516C28">
        <w:rPr>
          <w:rFonts w:ascii="Arial" w:eastAsia="Calibri" w:hAnsi="Arial" w:cs="Arial"/>
          <w:i/>
          <w:lang w:val="en-ZA"/>
        </w:rPr>
        <w:t>Administrative Law</w:t>
      </w:r>
      <w:r w:rsidRPr="00516C28">
        <w:rPr>
          <w:rFonts w:ascii="Arial" w:eastAsia="Calibri" w:hAnsi="Arial" w:cs="Arial"/>
          <w:lang w:val="en-ZA"/>
        </w:rPr>
        <w:t xml:space="preserve"> </w:t>
      </w:r>
      <w:r w:rsidR="00117E9F" w:rsidRPr="00516C28">
        <w:rPr>
          <w:rFonts w:ascii="Arial" w:eastAsia="Calibri" w:hAnsi="Arial" w:cs="Arial"/>
          <w:lang w:val="en-ZA"/>
        </w:rPr>
        <w:t>1</w:t>
      </w:r>
      <w:r w:rsidR="00674C30" w:rsidRPr="00516C28">
        <w:rPr>
          <w:rFonts w:ascii="Arial" w:eastAsia="Calibri" w:hAnsi="Arial" w:cs="Arial"/>
          <w:lang w:val="en-ZA"/>
        </w:rPr>
        <w:t xml:space="preserve"> ed (19</w:t>
      </w:r>
      <w:r w:rsidR="00117E9F" w:rsidRPr="00516C28">
        <w:rPr>
          <w:rFonts w:ascii="Arial" w:eastAsia="Calibri" w:hAnsi="Arial" w:cs="Arial"/>
          <w:lang w:val="en-ZA"/>
        </w:rPr>
        <w:t>8</w:t>
      </w:r>
      <w:r w:rsidR="00674C30" w:rsidRPr="00516C28">
        <w:rPr>
          <w:rFonts w:ascii="Arial" w:eastAsia="Calibri" w:hAnsi="Arial" w:cs="Arial"/>
          <w:lang w:val="en-ZA"/>
        </w:rPr>
        <w:t xml:space="preserve">4) </w:t>
      </w:r>
      <w:r w:rsidR="00117E9F" w:rsidRPr="00516C28">
        <w:rPr>
          <w:rFonts w:ascii="Arial" w:eastAsia="Calibri" w:hAnsi="Arial" w:cs="Arial"/>
          <w:lang w:val="en-ZA"/>
        </w:rPr>
        <w:t>(3</w:t>
      </w:r>
      <w:r w:rsidR="00117E9F" w:rsidRPr="00516C28">
        <w:rPr>
          <w:rFonts w:ascii="Arial" w:eastAsia="Calibri" w:hAnsi="Arial" w:cs="Arial"/>
          <w:vertAlign w:val="superscript"/>
          <w:lang w:val="en-ZA"/>
        </w:rPr>
        <w:t>rd</w:t>
      </w:r>
      <w:r w:rsidR="00117E9F" w:rsidRPr="00516C28">
        <w:rPr>
          <w:rFonts w:ascii="Arial" w:eastAsia="Calibri" w:hAnsi="Arial" w:cs="Arial"/>
          <w:lang w:val="en-ZA"/>
        </w:rPr>
        <w:t xml:space="preserve"> impression 1991) </w:t>
      </w:r>
      <w:r w:rsidR="00674C30" w:rsidRPr="00516C28">
        <w:rPr>
          <w:rFonts w:ascii="Arial" w:eastAsia="Calibri" w:hAnsi="Arial" w:cs="Arial"/>
          <w:lang w:val="en-ZA"/>
        </w:rPr>
        <w:t>at</w:t>
      </w:r>
      <w:r w:rsidRPr="00516C28">
        <w:rPr>
          <w:rFonts w:ascii="Arial" w:eastAsia="Calibri" w:hAnsi="Arial" w:cs="Arial"/>
          <w:lang w:val="en-ZA"/>
        </w:rPr>
        <w:t xml:space="preserve"> 553. Today this forms part of the reasonable opportunity to make representations under section 3(2)</w:t>
      </w:r>
      <w:r w:rsidRPr="00516C28">
        <w:rPr>
          <w:rFonts w:ascii="Arial" w:eastAsia="Calibri" w:hAnsi="Arial" w:cs="Arial"/>
          <w:i/>
          <w:lang w:val="en-ZA"/>
        </w:rPr>
        <w:t>(b)</w:t>
      </w:r>
      <w:r w:rsidRPr="00516C28">
        <w:rPr>
          <w:rFonts w:ascii="Arial" w:eastAsia="Calibri" w:hAnsi="Arial" w:cs="Arial"/>
          <w:lang w:val="en-ZA"/>
        </w:rPr>
        <w:t xml:space="preserve">(1)(ii) of PAJA. In </w:t>
      </w:r>
      <w:r w:rsidRPr="00516C28">
        <w:rPr>
          <w:rFonts w:ascii="Arial" w:eastAsia="Calibri" w:hAnsi="Arial" w:cs="Arial"/>
          <w:i/>
          <w:lang w:val="en-ZA"/>
        </w:rPr>
        <w:t xml:space="preserve">Bel Porto School Governing Body and Others v Premier of the Western Cape Province and Another </w:t>
      </w:r>
      <w:r w:rsidR="003216CB" w:rsidRPr="00516C28">
        <w:rPr>
          <w:rFonts w:ascii="Arial" w:eastAsia="Calibri" w:hAnsi="Arial" w:cs="Arial"/>
          <w:lang w:val="en-ZA"/>
        </w:rPr>
        <w:t xml:space="preserve">[2002] </w:t>
      </w:r>
      <w:r w:rsidRPr="00516C28">
        <w:rPr>
          <w:rFonts w:ascii="Arial" w:eastAsia="Calibri" w:hAnsi="Arial" w:cs="Arial"/>
          <w:lang w:val="en-ZA"/>
        </w:rPr>
        <w:t>ZACC 2; 2002 (3) SA 265; 2002</w:t>
      </w:r>
      <w:r w:rsidR="00E8631B" w:rsidRPr="00516C28">
        <w:rPr>
          <w:rFonts w:ascii="Arial" w:eastAsia="Calibri" w:hAnsi="Arial" w:cs="Arial"/>
          <w:lang w:val="en-ZA"/>
        </w:rPr>
        <w:t> </w:t>
      </w:r>
      <w:r w:rsidRPr="00516C28">
        <w:rPr>
          <w:rFonts w:ascii="Arial" w:eastAsia="Calibri" w:hAnsi="Arial" w:cs="Arial"/>
          <w:lang w:val="en-ZA"/>
        </w:rPr>
        <w:t xml:space="preserve">(9) BCLR 891 para 104 Chaskalson P said that </w:t>
      </w:r>
      <w:r w:rsidR="003523FF" w:rsidRPr="00516C28">
        <w:rPr>
          <w:rFonts w:ascii="Arial" w:eastAsia="Calibri" w:hAnsi="Arial" w:cs="Arial"/>
          <w:lang w:val="en-ZA"/>
        </w:rPr>
        <w:t>‘</w:t>
      </w:r>
      <w:r w:rsidRPr="00516C28">
        <w:rPr>
          <w:rFonts w:ascii="Arial" w:eastAsia="Calibri" w:hAnsi="Arial" w:cs="Arial"/>
          <w:lang w:val="en-ZA"/>
        </w:rPr>
        <w:t>what procedural fairness requires depends on the particular circumstances of each case</w:t>
      </w:r>
      <w:r w:rsidR="003523FF" w:rsidRPr="00516C28">
        <w:rPr>
          <w:rFonts w:ascii="Arial" w:eastAsia="Calibri" w:hAnsi="Arial" w:cs="Arial"/>
          <w:lang w:val="en-ZA"/>
        </w:rPr>
        <w:t>’</w:t>
      </w:r>
      <w:r w:rsidRPr="00516C28">
        <w:rPr>
          <w:rFonts w:ascii="Arial" w:eastAsia="Calibri" w:hAnsi="Arial" w:cs="Arial"/>
          <w:lang w:val="en-ZA"/>
        </w:rPr>
        <w:t xml:space="preserve">. And in </w:t>
      </w:r>
      <w:r w:rsidRPr="00516C28">
        <w:rPr>
          <w:rFonts w:ascii="Arial" w:eastAsia="Calibri" w:hAnsi="Arial" w:cs="Arial"/>
          <w:i/>
          <w:lang w:val="en-ZA"/>
        </w:rPr>
        <w:t xml:space="preserve">Minister of Public Works and Others v Kyalami Ridge Environmental Association and Others (Mukhwevho Intervening) </w:t>
      </w:r>
      <w:r w:rsidR="003216CB" w:rsidRPr="00516C28">
        <w:rPr>
          <w:rFonts w:ascii="Arial" w:eastAsia="Calibri" w:hAnsi="Arial" w:cs="Arial"/>
          <w:lang w:val="en-ZA"/>
        </w:rPr>
        <w:t xml:space="preserve">[2001] </w:t>
      </w:r>
      <w:r w:rsidRPr="00516C28">
        <w:rPr>
          <w:rFonts w:ascii="Arial" w:eastAsia="Calibri" w:hAnsi="Arial" w:cs="Arial"/>
          <w:lang w:val="en-ZA"/>
        </w:rPr>
        <w:t>ZACC 19; 2001 (3) SA 1151 (CC); 2001 (7) BCLR 652 (CC) para 10</w:t>
      </w:r>
      <w:r w:rsidR="00AE5407" w:rsidRPr="00516C28">
        <w:rPr>
          <w:rFonts w:ascii="Arial" w:eastAsia="Calibri" w:hAnsi="Arial" w:cs="Arial"/>
          <w:lang w:val="en-ZA"/>
        </w:rPr>
        <w:t>2</w:t>
      </w:r>
      <w:r w:rsidRPr="00516C28">
        <w:rPr>
          <w:rFonts w:ascii="Arial" w:eastAsia="Calibri" w:hAnsi="Arial" w:cs="Arial"/>
          <w:lang w:val="en-ZA"/>
        </w:rPr>
        <w:t xml:space="preserve"> he said:</w:t>
      </w:r>
    </w:p>
    <w:p w14:paraId="74BE90E2" w14:textId="3B564D7D" w:rsidR="004F2F87" w:rsidRPr="00516C28" w:rsidRDefault="003414BD" w:rsidP="004F2F87">
      <w:pPr>
        <w:spacing w:line="360" w:lineRule="auto"/>
        <w:jc w:val="both"/>
        <w:rPr>
          <w:rFonts w:ascii="Arial" w:eastAsia="Calibri" w:hAnsi="Arial" w:cs="Arial"/>
          <w:sz w:val="22"/>
          <w:szCs w:val="22"/>
          <w:lang w:val="en-ZA"/>
        </w:rPr>
      </w:pPr>
      <w:r w:rsidRPr="00516C28">
        <w:rPr>
          <w:rFonts w:ascii="Arial" w:eastAsia="Calibri" w:hAnsi="Arial" w:cs="Arial"/>
          <w:sz w:val="22"/>
          <w:szCs w:val="22"/>
          <w:lang w:val="en-ZA"/>
        </w:rPr>
        <w:lastRenderedPageBreak/>
        <w:t>‘</w:t>
      </w:r>
      <w:r w:rsidR="004F2F87" w:rsidRPr="00516C28">
        <w:rPr>
          <w:rFonts w:ascii="Arial" w:eastAsia="Calibri" w:hAnsi="Arial" w:cs="Arial"/>
          <w:sz w:val="22"/>
          <w:szCs w:val="22"/>
          <w:lang w:val="en-ZA"/>
        </w:rPr>
        <w:t>Ultimately, procedural fairness depends in each case upon the balancing of various relevant factors including the nature of the decision, the “rights” affected by it, the circumstances in which it is made, and the consequences resulting from it.’</w:t>
      </w:r>
    </w:p>
    <w:p w14:paraId="4DC936EC" w14:textId="77777777" w:rsidR="004F2F87" w:rsidRPr="00516C28" w:rsidRDefault="004F2F87" w:rsidP="004F2F87">
      <w:pPr>
        <w:spacing w:line="360" w:lineRule="auto"/>
        <w:jc w:val="both"/>
        <w:rPr>
          <w:rFonts w:ascii="Arial" w:eastAsia="Calibri" w:hAnsi="Arial" w:cs="Arial"/>
          <w:lang w:val="en-ZA"/>
        </w:rPr>
      </w:pPr>
    </w:p>
    <w:p w14:paraId="3B4CC949" w14:textId="58A0A3B9"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[22]</w:t>
      </w:r>
      <w:r w:rsidRPr="00516C28">
        <w:rPr>
          <w:rFonts w:ascii="Arial" w:eastAsia="Calibri" w:hAnsi="Arial" w:cs="Arial"/>
          <w:lang w:val="en-ZA"/>
        </w:rPr>
        <w:tab/>
        <w:t>In accordance with the position at common law, there is no general right to legal representation</w:t>
      </w:r>
      <w:r w:rsidR="00383A69" w:rsidRPr="00516C28">
        <w:rPr>
          <w:rFonts w:ascii="Arial" w:eastAsia="Calibri" w:hAnsi="Arial" w:cs="Arial"/>
          <w:lang w:val="en-ZA"/>
        </w:rPr>
        <w:t xml:space="preserve"> under PAJA</w:t>
      </w:r>
      <w:r w:rsidRPr="00516C28">
        <w:rPr>
          <w:rFonts w:ascii="Arial" w:eastAsia="Calibri" w:hAnsi="Arial" w:cs="Arial"/>
          <w:lang w:val="en-ZA"/>
        </w:rPr>
        <w:t>. Unless a relevant instrument extends the right to legal representation, it is limited by s 3(3)</w:t>
      </w:r>
      <w:r w:rsidRPr="00516C28">
        <w:rPr>
          <w:rFonts w:ascii="Arial" w:eastAsia="Calibri" w:hAnsi="Arial" w:cs="Arial"/>
          <w:i/>
          <w:lang w:val="en-ZA"/>
        </w:rPr>
        <w:t xml:space="preserve">(a) </w:t>
      </w:r>
      <w:r w:rsidRPr="00516C28">
        <w:rPr>
          <w:rFonts w:ascii="Arial" w:eastAsia="Calibri" w:hAnsi="Arial" w:cs="Arial"/>
          <w:lang w:val="en-ZA"/>
        </w:rPr>
        <w:t>to serious or complex cases. Even in such cases there is no general right to the services of a specific legal representative or representatives. Whether, when and to what extent an affected person should be permitted or enabled to obtain or retain the services of a particular legal representative has to be determined by a similar balancing exercise than the one referred to in the previous paragraph.</w:t>
      </w:r>
    </w:p>
    <w:p w14:paraId="0BD2CF4A" w14:textId="77777777" w:rsidR="004F2F87" w:rsidRPr="00516C28" w:rsidRDefault="004F2F87" w:rsidP="004F2F87">
      <w:pPr>
        <w:spacing w:line="360" w:lineRule="auto"/>
        <w:jc w:val="both"/>
        <w:rPr>
          <w:rFonts w:ascii="Arial" w:eastAsia="Calibri" w:hAnsi="Arial" w:cs="Arial"/>
          <w:lang w:val="en-ZA"/>
        </w:rPr>
      </w:pPr>
    </w:p>
    <w:p w14:paraId="3166EE39" w14:textId="6619F55A"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[23]</w:t>
      </w:r>
      <w:r w:rsidRPr="00516C28">
        <w:rPr>
          <w:rFonts w:ascii="Arial" w:eastAsia="Calibri" w:hAnsi="Arial" w:cs="Arial"/>
          <w:lang w:val="en-ZA"/>
        </w:rPr>
        <w:tab/>
        <w:t>Thus, the question in such a case (that is, where the affected person is entitled to legal representation) is whether in the specific circumstances procedural fairness in terms of PAJA requires that the affected person obtain or retain the services of a particular legal representative. A weighing of considerations of timing and delay, prejudice to any affected party, availability of suitable alternative legal representation together with all other relevant factors</w:t>
      </w:r>
      <w:r w:rsidR="00383A69" w:rsidRPr="00516C28">
        <w:rPr>
          <w:rFonts w:ascii="Arial" w:eastAsia="Calibri" w:hAnsi="Arial" w:cs="Arial"/>
          <w:lang w:val="en-ZA"/>
        </w:rPr>
        <w:t>,</w:t>
      </w:r>
      <w:r w:rsidRPr="00516C28">
        <w:rPr>
          <w:rFonts w:ascii="Arial" w:eastAsia="Calibri" w:hAnsi="Arial" w:cs="Arial"/>
          <w:lang w:val="en-ZA"/>
        </w:rPr>
        <w:t xml:space="preserve"> should provide the answer to this question. And it has to be said that the answer should seldom be in the affirmative.</w:t>
      </w:r>
    </w:p>
    <w:p w14:paraId="54CDDE37" w14:textId="77777777" w:rsidR="004F2F87" w:rsidRPr="00516C28" w:rsidRDefault="004F2F87" w:rsidP="004F2F87">
      <w:pPr>
        <w:spacing w:line="360" w:lineRule="auto"/>
        <w:jc w:val="both"/>
        <w:rPr>
          <w:rFonts w:ascii="Arial" w:eastAsia="Calibri" w:hAnsi="Arial" w:cs="Arial"/>
          <w:lang w:val="en-ZA"/>
        </w:rPr>
      </w:pPr>
    </w:p>
    <w:p w14:paraId="78D2D831" w14:textId="77777777" w:rsidR="004F2F87" w:rsidRPr="00516C28" w:rsidRDefault="004F2F87" w:rsidP="004F2F87">
      <w:pPr>
        <w:spacing w:line="360" w:lineRule="auto"/>
        <w:jc w:val="both"/>
        <w:rPr>
          <w:rFonts w:ascii="Arial" w:eastAsia="Calibri" w:hAnsi="Arial" w:cs="Arial"/>
          <w:b/>
          <w:lang w:val="en-ZA"/>
        </w:rPr>
      </w:pPr>
      <w:r w:rsidRPr="00516C28">
        <w:rPr>
          <w:rFonts w:ascii="Arial" w:eastAsia="Calibri" w:hAnsi="Arial" w:cs="Arial"/>
          <w:b/>
          <w:lang w:val="en-ZA"/>
        </w:rPr>
        <w:t>Application of the law to the facts</w:t>
      </w:r>
    </w:p>
    <w:p w14:paraId="4BBCC570" w14:textId="1A1B56BA"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[24]</w:t>
      </w:r>
      <w:r w:rsidRPr="00516C28">
        <w:rPr>
          <w:rFonts w:ascii="Arial" w:eastAsia="Calibri" w:hAnsi="Arial" w:cs="Arial"/>
          <w:lang w:val="en-ZA"/>
        </w:rPr>
        <w:tab/>
        <w:t>Was Ms Dyantyi’s case such an exceptional instance? The following factors had to be balanced. On the one hand the university took a predetermined stance that it would seek the exclusion of all the accused students, including Ms Dyantyi. It made this attitude clear from the outset and at all stages during the disciplinary inquiry. In the result, Ms</w:t>
      </w:r>
      <w:r w:rsidR="00C20C5D" w:rsidRPr="00516C28">
        <w:rPr>
          <w:rFonts w:ascii="Arial" w:eastAsia="Calibri" w:hAnsi="Arial" w:cs="Arial"/>
          <w:lang w:val="en-ZA"/>
        </w:rPr>
        <w:t> </w:t>
      </w:r>
      <w:r w:rsidRPr="00516C28">
        <w:rPr>
          <w:rFonts w:ascii="Arial" w:eastAsia="Calibri" w:hAnsi="Arial" w:cs="Arial"/>
          <w:lang w:val="en-ZA"/>
        </w:rPr>
        <w:t>Dyantyi, an impecunious young student, faced grave potential consequences, including three wasted years at the university, the compromising of her ability to obtain admission at another university and dashed dreams and career prospects. Presentation of her case at the disciplinary inquiry was a matter of some factual and legal complexity. It was</w:t>
      </w:r>
      <w:r w:rsidR="00C20C5D" w:rsidRPr="00516C28">
        <w:rPr>
          <w:rFonts w:ascii="Arial" w:eastAsia="Calibri" w:hAnsi="Arial" w:cs="Arial"/>
          <w:lang w:val="en-ZA"/>
        </w:rPr>
        <w:t>,</w:t>
      </w:r>
      <w:r w:rsidRPr="00516C28">
        <w:rPr>
          <w:rFonts w:ascii="Arial" w:eastAsia="Calibri" w:hAnsi="Arial" w:cs="Arial"/>
          <w:lang w:val="en-ZA"/>
        </w:rPr>
        <w:t xml:space="preserve"> therefore</w:t>
      </w:r>
      <w:r w:rsidR="00C20C5D" w:rsidRPr="00516C28">
        <w:rPr>
          <w:rFonts w:ascii="Arial" w:eastAsia="Calibri" w:hAnsi="Arial" w:cs="Arial"/>
          <w:lang w:val="en-ZA"/>
        </w:rPr>
        <w:t>,</w:t>
      </w:r>
      <w:r w:rsidRPr="00516C28">
        <w:rPr>
          <w:rFonts w:ascii="Arial" w:eastAsia="Calibri" w:hAnsi="Arial" w:cs="Arial"/>
          <w:lang w:val="en-ZA"/>
        </w:rPr>
        <w:t xml:space="preserve"> rightly accepted that legal complexities and potential seriousness of the consequences of an adverse finding entitled Ms Dyantyi to adequate legal representation </w:t>
      </w:r>
      <w:r w:rsidRPr="00516C28">
        <w:rPr>
          <w:rFonts w:ascii="Arial" w:eastAsia="Calibri" w:hAnsi="Arial" w:cs="Arial"/>
          <w:lang w:val="en-ZA"/>
        </w:rPr>
        <w:lastRenderedPageBreak/>
        <w:t xml:space="preserve">for the duration of the inquiry. See </w:t>
      </w:r>
      <w:r w:rsidRPr="00516C28">
        <w:rPr>
          <w:rFonts w:ascii="Arial" w:eastAsia="Calibri" w:hAnsi="Arial" w:cs="Arial"/>
          <w:i/>
          <w:lang w:val="en-ZA"/>
        </w:rPr>
        <w:t>Hamata and Another v Chairperson, Peninsula Technikon Internal Disciplinary Committee and Others</w:t>
      </w:r>
      <w:r w:rsidR="003216CB" w:rsidRPr="00516C28">
        <w:rPr>
          <w:rFonts w:ascii="Arial" w:eastAsia="Calibri" w:hAnsi="Arial" w:cs="Arial"/>
          <w:i/>
          <w:lang w:val="en-ZA"/>
        </w:rPr>
        <w:t xml:space="preserve"> </w:t>
      </w:r>
      <w:r w:rsidR="003216CB" w:rsidRPr="00516C28">
        <w:rPr>
          <w:rFonts w:ascii="Arial" w:eastAsia="Calibri" w:hAnsi="Arial" w:cs="Arial"/>
          <w:lang w:val="en-ZA"/>
        </w:rPr>
        <w:t xml:space="preserve">[2002] ZASCA 102; </w:t>
      </w:r>
      <w:r w:rsidRPr="00516C28">
        <w:rPr>
          <w:rFonts w:ascii="Arial" w:eastAsia="Calibri" w:hAnsi="Arial" w:cs="Arial"/>
          <w:lang w:val="en-ZA"/>
        </w:rPr>
        <w:t>2002 (5) SA 449 (SCA) para 21.</w:t>
      </w:r>
    </w:p>
    <w:p w14:paraId="23EF3A6C" w14:textId="77777777" w:rsidR="004F2F87" w:rsidRPr="00516C28" w:rsidRDefault="004F2F87" w:rsidP="004F2F87">
      <w:pPr>
        <w:spacing w:line="360" w:lineRule="auto"/>
        <w:jc w:val="both"/>
        <w:rPr>
          <w:rFonts w:ascii="Arial" w:eastAsia="Calibri" w:hAnsi="Arial" w:cs="Arial"/>
          <w:lang w:val="en-ZA"/>
        </w:rPr>
      </w:pPr>
    </w:p>
    <w:p w14:paraId="2BA107D2" w14:textId="619264D2" w:rsidR="004F2F87" w:rsidRPr="00516C28" w:rsidRDefault="004F2F87" w:rsidP="003E07F0">
      <w:pPr>
        <w:spacing w:line="360" w:lineRule="auto"/>
        <w:jc w:val="both"/>
        <w:rPr>
          <w:rFonts w:ascii="Arial" w:eastAsia="Calibri" w:hAnsi="Arial" w:cs="Arial"/>
          <w:lang w:val="en-ZA"/>
        </w:rPr>
      </w:pPr>
      <w:r w:rsidRPr="00516C28">
        <w:rPr>
          <w:rFonts w:ascii="Arial" w:eastAsia="Calibri" w:hAnsi="Arial" w:cs="Arial"/>
          <w:lang w:val="en-ZA"/>
        </w:rPr>
        <w:t>[25]</w:t>
      </w:r>
      <w:r w:rsidRPr="00516C28">
        <w:rPr>
          <w:rFonts w:ascii="Arial" w:eastAsia="Calibri" w:hAnsi="Arial" w:cs="Arial"/>
          <w:lang w:val="en-ZA"/>
        </w:rPr>
        <w:tab/>
        <w:t>Ms de Vos and Mr Makgalemele represented Ms Dyantyi over the 12 days of the disciplinary hearing up to 11 October 2017. The transcript of the proceedings up to then came to over 700 pages. In such circumstances, the role of the instructing attorney (and</w:t>
      </w:r>
      <w:r w:rsidR="00E069BD" w:rsidRPr="00516C28">
        <w:rPr>
          <w:rFonts w:ascii="Arial" w:eastAsia="Calibri" w:hAnsi="Arial" w:cs="Arial"/>
          <w:lang w:val="en-ZA"/>
        </w:rPr>
        <w:t> </w:t>
      </w:r>
      <w:r w:rsidRPr="00516C28">
        <w:rPr>
          <w:rFonts w:ascii="Arial" w:eastAsia="Calibri" w:hAnsi="Arial" w:cs="Arial"/>
          <w:lang w:val="en-ZA"/>
        </w:rPr>
        <w:t xml:space="preserve">his or her candidate attorney) is usually more of an administrative and logistical nature. There was no reason to believe that this was not the position in this matter. </w:t>
      </w:r>
      <w:r w:rsidR="0076113E" w:rsidRPr="00516C28">
        <w:rPr>
          <w:rFonts w:ascii="Arial" w:eastAsia="Calibri" w:hAnsi="Arial" w:cs="Arial"/>
          <w:lang w:val="en-ZA"/>
        </w:rPr>
        <w:t xml:space="preserve">    </w:t>
      </w:r>
      <w:r w:rsidRPr="00516C28">
        <w:rPr>
          <w:rFonts w:ascii="Arial" w:eastAsia="Calibri" w:hAnsi="Arial" w:cs="Arial"/>
          <w:lang w:val="en-ZA"/>
        </w:rPr>
        <w:t>Thus, the rulings deprived Ms Dyantyi of the services of two counsel steeped in the matter. Moreover, they did so at a crucial stage of the proceedings, when Ms Dyantyi was about to testify and to otherwise present her case. The suggestion of the university that Ms</w:t>
      </w:r>
      <w:r w:rsidR="00E069BD" w:rsidRPr="00516C28">
        <w:rPr>
          <w:rFonts w:ascii="Arial" w:eastAsia="Calibri" w:hAnsi="Arial" w:cs="Arial"/>
          <w:lang w:val="en-ZA"/>
        </w:rPr>
        <w:t> </w:t>
      </w:r>
      <w:r w:rsidRPr="00516C28">
        <w:rPr>
          <w:rFonts w:ascii="Arial" w:eastAsia="Calibri" w:hAnsi="Arial" w:cs="Arial"/>
          <w:lang w:val="en-ZA"/>
        </w:rPr>
        <w:t>Dyantyi should have proceeded with only the assistance of Mr Mdabe and the candidate attorney was quite unreasonable in the circumstances. It would have been difficult to obtain the services of counsel willing to act pro bono and able to properly prepare within the 10 working days between 11 October and 26 October 2017. And after the ruling of 24 October 2017 that was virtually impossible. This caused prejudice to Ms</w:t>
      </w:r>
      <w:r w:rsidR="003E07F0" w:rsidRPr="00516C28">
        <w:rPr>
          <w:rFonts w:ascii="Arial" w:eastAsia="Calibri" w:hAnsi="Arial" w:cs="Arial"/>
          <w:lang w:val="en-ZA"/>
        </w:rPr>
        <w:t> </w:t>
      </w:r>
      <w:r w:rsidRPr="00516C28">
        <w:rPr>
          <w:rFonts w:ascii="Arial" w:eastAsia="Calibri" w:hAnsi="Arial" w:cs="Arial"/>
          <w:lang w:val="en-ZA"/>
        </w:rPr>
        <w:t>Dyantyi that could only have been justified by powerful considerations. Th</w:t>
      </w:r>
      <w:r w:rsidR="00117E9F" w:rsidRPr="00516C28">
        <w:rPr>
          <w:rFonts w:ascii="Arial" w:eastAsia="Calibri" w:hAnsi="Arial" w:cs="Arial"/>
          <w:lang w:val="en-ZA"/>
        </w:rPr>
        <w:t>at</w:t>
      </w:r>
      <w:r w:rsidRPr="00516C28">
        <w:rPr>
          <w:rFonts w:ascii="Arial" w:eastAsia="Calibri" w:hAnsi="Arial" w:cs="Arial"/>
          <w:lang w:val="en-ZA"/>
        </w:rPr>
        <w:t xml:space="preserve"> was especially so because all of this could have been avoided by the simple expedient of setting down the matter for 29 and 30 November and 1 December 2017, which dates were not unreasonably distant.</w:t>
      </w:r>
    </w:p>
    <w:p w14:paraId="5BB5BACF" w14:textId="77777777" w:rsidR="004F2F87" w:rsidRPr="00516C28" w:rsidRDefault="004F2F87" w:rsidP="004F2F87">
      <w:pPr>
        <w:spacing w:line="360" w:lineRule="auto"/>
        <w:jc w:val="both"/>
        <w:rPr>
          <w:rFonts w:ascii="Arial" w:eastAsia="Calibri" w:hAnsi="Arial" w:cs="Arial"/>
          <w:lang w:val="en-ZA"/>
        </w:rPr>
      </w:pPr>
    </w:p>
    <w:p w14:paraId="7CA3833A" w14:textId="77777777" w:rsidR="00334CC8"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[26]</w:t>
      </w:r>
      <w:r w:rsidRPr="00516C28">
        <w:rPr>
          <w:rFonts w:ascii="Arial" w:eastAsia="Calibri" w:hAnsi="Arial" w:cs="Arial"/>
          <w:lang w:val="en-ZA"/>
        </w:rPr>
        <w:tab/>
        <w:t xml:space="preserve">What had to be placed on the other side of the scale? Nothing really, apart from the general principle that student disciplinary proceedings should be finalised with reasonable expedition. As I have demonstrated, the proctor gave no reasons for any of the rulings. It was a recurring theme in the answering affidavit in the review application, deposed to by the in-house legal advisor to the vice-chancellor, that Ms Dyantyi had no defence to the charges and throughout employed delaying tactics. But the prosecutors said nothing of the sort at the time, no doubt because they had no justification to say so.  </w:t>
      </w:r>
    </w:p>
    <w:p w14:paraId="7C792B8D" w14:textId="77777777" w:rsidR="00334CC8" w:rsidRPr="00516C28" w:rsidRDefault="00334CC8" w:rsidP="004F2F87">
      <w:pPr>
        <w:spacing w:line="360" w:lineRule="auto"/>
        <w:jc w:val="both"/>
        <w:rPr>
          <w:rFonts w:ascii="Arial" w:eastAsia="Calibri" w:hAnsi="Arial" w:cs="Arial"/>
          <w:lang w:val="en-ZA"/>
        </w:rPr>
      </w:pPr>
    </w:p>
    <w:p w14:paraId="1D27D861" w14:textId="03E108D4" w:rsidR="004F2F87" w:rsidRPr="00516C28" w:rsidRDefault="00334CC8" w:rsidP="004F2F87">
      <w:pPr>
        <w:spacing w:line="360" w:lineRule="auto"/>
        <w:jc w:val="both"/>
        <w:rPr>
          <w:rFonts w:ascii="Arial" w:eastAsia="Calibri" w:hAnsi="Arial" w:cs="Arial"/>
          <w:lang w:val="en-ZA"/>
        </w:rPr>
      </w:pPr>
      <w:r w:rsidRPr="00516C28">
        <w:rPr>
          <w:rFonts w:ascii="Arial" w:eastAsia="Calibri" w:hAnsi="Arial" w:cs="Arial"/>
          <w:lang w:val="en-ZA"/>
        </w:rPr>
        <w:lastRenderedPageBreak/>
        <w:t>[27]</w:t>
      </w:r>
      <w:r w:rsidRPr="00516C28">
        <w:rPr>
          <w:rFonts w:ascii="Arial" w:eastAsia="Calibri" w:hAnsi="Arial" w:cs="Arial"/>
          <w:lang w:val="en-ZA"/>
        </w:rPr>
        <w:tab/>
      </w:r>
      <w:r w:rsidR="004F2F87" w:rsidRPr="00516C28">
        <w:rPr>
          <w:rFonts w:ascii="Arial" w:eastAsia="Calibri" w:hAnsi="Arial" w:cs="Arial"/>
          <w:lang w:val="en-ZA"/>
        </w:rPr>
        <w:t>As I have said, Mr Milo did not at the time explain why the university regarded it as imperative that the proceedings be concluded by 30 October 2017. In the said answering affidavit, the following explanation was offered:</w:t>
      </w:r>
    </w:p>
    <w:p w14:paraId="1CA4CECB" w14:textId="25CC74AF" w:rsidR="004F2F87" w:rsidRPr="00516C28" w:rsidRDefault="004F2F87" w:rsidP="003414BD">
      <w:pPr>
        <w:spacing w:after="120" w:line="360" w:lineRule="auto"/>
        <w:jc w:val="both"/>
        <w:rPr>
          <w:rFonts w:ascii="Arial" w:eastAsia="Calibri" w:hAnsi="Arial" w:cs="Arial"/>
          <w:sz w:val="22"/>
          <w:szCs w:val="22"/>
          <w:lang w:val="en-ZA"/>
        </w:rPr>
      </w:pPr>
      <w:r w:rsidRPr="00516C28">
        <w:rPr>
          <w:rFonts w:ascii="Arial" w:eastAsia="Calibri" w:hAnsi="Arial" w:cs="Arial"/>
          <w:sz w:val="22"/>
          <w:szCs w:val="22"/>
          <w:lang w:val="en-ZA"/>
        </w:rPr>
        <w:t>‘162.1</w:t>
      </w:r>
      <w:r w:rsidRPr="00516C28">
        <w:rPr>
          <w:rFonts w:ascii="Arial" w:eastAsia="Calibri" w:hAnsi="Arial" w:cs="Arial"/>
          <w:sz w:val="22"/>
          <w:szCs w:val="22"/>
          <w:lang w:val="en-ZA"/>
        </w:rPr>
        <w:tab/>
        <w:t>The urgency to concluding the matter by 30 October 2017 was grounded in the fact that the University semester was coming to an end and the University would be entering its semester SWOT week period.</w:t>
      </w:r>
    </w:p>
    <w:p w14:paraId="799DF525" w14:textId="044B6C09" w:rsidR="004F2F87" w:rsidRPr="00516C28" w:rsidRDefault="004F2F87" w:rsidP="00AF1B60">
      <w:pPr>
        <w:spacing w:line="360" w:lineRule="auto"/>
        <w:jc w:val="both"/>
        <w:rPr>
          <w:rFonts w:ascii="Arial" w:eastAsia="Calibri" w:hAnsi="Arial" w:cs="Arial"/>
          <w:lang w:val="en-ZA"/>
        </w:rPr>
      </w:pPr>
      <w:r w:rsidRPr="00516C28">
        <w:rPr>
          <w:rFonts w:ascii="Arial" w:eastAsia="Calibri" w:hAnsi="Arial" w:cs="Arial"/>
          <w:sz w:val="22"/>
          <w:szCs w:val="22"/>
          <w:lang w:val="en-ZA"/>
        </w:rPr>
        <w:t>162.2</w:t>
      </w:r>
      <w:r w:rsidRPr="00516C28">
        <w:rPr>
          <w:rFonts w:ascii="Arial" w:eastAsia="Calibri" w:hAnsi="Arial" w:cs="Arial"/>
          <w:sz w:val="22"/>
          <w:szCs w:val="22"/>
          <w:lang w:val="en-ZA"/>
        </w:rPr>
        <w:tab/>
        <w:t xml:space="preserve">During this time the University does not generally schedule any events or disciplinary hearings, but reserves that time for academic engagements and examination preparation. This ground of urgency is not unique to the applicant’s disciplinary hearing but applies generally to the University’s disciplinary process.’ </w:t>
      </w:r>
    </w:p>
    <w:p w14:paraId="3BD27D82" w14:textId="0F47F9C1"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 xml:space="preserve">But that could only (possibly) have been a reason </w:t>
      </w:r>
      <w:r w:rsidR="00C92B60" w:rsidRPr="00516C28">
        <w:rPr>
          <w:rFonts w:ascii="Arial" w:eastAsia="Calibri" w:hAnsi="Arial" w:cs="Arial"/>
          <w:lang w:val="en-ZA"/>
        </w:rPr>
        <w:t xml:space="preserve">to </w:t>
      </w:r>
      <w:r w:rsidRPr="00516C28">
        <w:rPr>
          <w:rFonts w:ascii="Arial" w:eastAsia="Calibri" w:hAnsi="Arial" w:cs="Arial"/>
          <w:lang w:val="en-ZA"/>
        </w:rPr>
        <w:t>not have a disciplinary hearing during the week from Monday 30 October to Friday 3 November 2017. In the circumstances it must be accepted that there was no compelling reason to conclude the disciplinary inquiry before 30 October 2017.</w:t>
      </w:r>
    </w:p>
    <w:p w14:paraId="1525C1D1" w14:textId="77777777" w:rsidR="004F2F87" w:rsidRPr="00516C28" w:rsidRDefault="004F2F87" w:rsidP="004F2F87">
      <w:pPr>
        <w:spacing w:line="360" w:lineRule="auto"/>
        <w:jc w:val="both"/>
        <w:rPr>
          <w:rFonts w:ascii="Arial" w:eastAsia="Calibri" w:hAnsi="Arial" w:cs="Arial"/>
          <w:lang w:val="en-ZA"/>
        </w:rPr>
      </w:pPr>
    </w:p>
    <w:p w14:paraId="64891D61" w14:textId="0DB540E5"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[2</w:t>
      </w:r>
      <w:r w:rsidR="00334CC8" w:rsidRPr="00516C28">
        <w:rPr>
          <w:rFonts w:ascii="Arial" w:eastAsia="Calibri" w:hAnsi="Arial" w:cs="Arial"/>
          <w:lang w:val="en-ZA"/>
        </w:rPr>
        <w:t>8</w:t>
      </w:r>
      <w:r w:rsidRPr="00516C28">
        <w:rPr>
          <w:rFonts w:ascii="Arial" w:eastAsia="Calibri" w:hAnsi="Arial" w:cs="Arial"/>
          <w:lang w:val="en-ZA"/>
        </w:rPr>
        <w:t>]</w:t>
      </w:r>
      <w:r w:rsidRPr="00516C28">
        <w:rPr>
          <w:rFonts w:ascii="Arial" w:eastAsia="Calibri" w:hAnsi="Arial" w:cs="Arial"/>
          <w:lang w:val="en-ZA"/>
        </w:rPr>
        <w:tab/>
        <w:t xml:space="preserve">It remains to address two findings that the proctor made in his judgment on the merits. In the first place, he recorded that Mr Sangoni had contacted Mr Mdabe when the hearing resumed on 26 October 2017 and </w:t>
      </w:r>
      <w:r w:rsidR="00334CC8" w:rsidRPr="00516C28">
        <w:rPr>
          <w:rFonts w:ascii="Arial" w:eastAsia="Calibri" w:hAnsi="Arial" w:cs="Arial"/>
          <w:lang w:val="en-ZA"/>
        </w:rPr>
        <w:t xml:space="preserve">that </w:t>
      </w:r>
      <w:r w:rsidRPr="00516C28">
        <w:rPr>
          <w:rFonts w:ascii="Arial" w:eastAsia="Calibri" w:hAnsi="Arial" w:cs="Arial"/>
          <w:lang w:val="en-ZA"/>
        </w:rPr>
        <w:t>the latter confirmed that there would be no appearance by and on behalf of Ms Dyantyi. When asked whether ‘there was any reason that he wish</w:t>
      </w:r>
      <w:r w:rsidR="00117E9F" w:rsidRPr="00516C28">
        <w:rPr>
          <w:rFonts w:ascii="Arial" w:eastAsia="Calibri" w:hAnsi="Arial" w:cs="Arial"/>
          <w:lang w:val="en-ZA"/>
        </w:rPr>
        <w:t>ed</w:t>
      </w:r>
      <w:r w:rsidRPr="00516C28">
        <w:rPr>
          <w:rFonts w:ascii="Arial" w:eastAsia="Calibri" w:hAnsi="Arial" w:cs="Arial"/>
          <w:lang w:val="en-ZA"/>
        </w:rPr>
        <w:t xml:space="preserve"> to advance for their absence’, Mr Mdabe said that the reasons were set out in the postponement application. The proctor proceeded to say:</w:t>
      </w:r>
    </w:p>
    <w:p w14:paraId="7B3903C0" w14:textId="312EAAAC"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sz w:val="22"/>
          <w:szCs w:val="22"/>
          <w:lang w:val="en-ZA"/>
        </w:rPr>
        <w:t xml:space="preserve">‘In the result, I was satisfied that Ms Dyantyi and her legal representatives had waived their right to participate further in the proceedings.’ </w:t>
      </w:r>
    </w:p>
    <w:p w14:paraId="5551E412" w14:textId="77777777" w:rsidR="004F2F87" w:rsidRPr="00516C28" w:rsidRDefault="004F2F87" w:rsidP="004F2F87">
      <w:pPr>
        <w:spacing w:line="360" w:lineRule="auto"/>
        <w:jc w:val="both"/>
        <w:rPr>
          <w:rFonts w:ascii="Arial" w:eastAsia="Calibri" w:hAnsi="Arial" w:cs="Arial"/>
          <w:lang w:val="en-ZA"/>
        </w:rPr>
      </w:pPr>
    </w:p>
    <w:p w14:paraId="41A7622D" w14:textId="4D4E09AB"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[2</w:t>
      </w:r>
      <w:r w:rsidR="00334CC8" w:rsidRPr="00516C28">
        <w:rPr>
          <w:rFonts w:ascii="Arial" w:eastAsia="Calibri" w:hAnsi="Arial" w:cs="Arial"/>
          <w:lang w:val="en-ZA"/>
        </w:rPr>
        <w:t>9</w:t>
      </w:r>
      <w:r w:rsidRPr="00516C28">
        <w:rPr>
          <w:rFonts w:ascii="Arial" w:eastAsia="Calibri" w:hAnsi="Arial" w:cs="Arial"/>
          <w:lang w:val="en-ZA"/>
        </w:rPr>
        <w:t>]</w:t>
      </w:r>
      <w:r w:rsidRPr="00516C28">
        <w:rPr>
          <w:rFonts w:ascii="Arial" w:eastAsia="Calibri" w:hAnsi="Arial" w:cs="Arial"/>
          <w:lang w:val="en-ZA"/>
        </w:rPr>
        <w:tab/>
        <w:t xml:space="preserve">This finding was plainly wrong. It did not follow from the recordal that Ms Dyantyi had waived the right to participate further in the hearing. Mr Mdabe’s reference to the reasons put forward in the postponement application indicated quite the contrary, namely that the refusal of the postponement tainted the proceedings with fundamental unfairness. In line herewith, and </w:t>
      </w:r>
      <w:r w:rsidR="00334CC8" w:rsidRPr="00516C28">
        <w:rPr>
          <w:rFonts w:ascii="Arial" w:eastAsia="Calibri" w:hAnsi="Arial" w:cs="Arial"/>
          <w:lang w:val="en-ZA"/>
        </w:rPr>
        <w:t xml:space="preserve">with </w:t>
      </w:r>
      <w:r w:rsidRPr="00516C28">
        <w:rPr>
          <w:rFonts w:ascii="Arial" w:eastAsia="Calibri" w:hAnsi="Arial" w:cs="Arial"/>
          <w:lang w:val="en-ZA"/>
        </w:rPr>
        <w:t>what Ms de Vos had foreshadowed in her address on 11</w:t>
      </w:r>
      <w:r w:rsidR="004B7E2B" w:rsidRPr="00516C28">
        <w:rPr>
          <w:rFonts w:ascii="Arial" w:eastAsia="Calibri" w:hAnsi="Arial" w:cs="Arial"/>
          <w:lang w:val="en-ZA"/>
        </w:rPr>
        <w:t> </w:t>
      </w:r>
      <w:r w:rsidRPr="00516C28">
        <w:rPr>
          <w:rFonts w:ascii="Arial" w:eastAsia="Calibri" w:hAnsi="Arial" w:cs="Arial"/>
          <w:lang w:val="en-ZA"/>
        </w:rPr>
        <w:t>October 2017, the court a quo made the following finding, which was rightly not challenged before us:</w:t>
      </w:r>
    </w:p>
    <w:p w14:paraId="4D6E37CE" w14:textId="49BFA9E3"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sz w:val="22"/>
          <w:szCs w:val="22"/>
          <w:lang w:val="en-ZA"/>
        </w:rPr>
        <w:lastRenderedPageBreak/>
        <w:t xml:space="preserve">‘Having resisted such a postponement, </w:t>
      </w:r>
      <w:r w:rsidRPr="00516C28">
        <w:rPr>
          <w:rFonts w:ascii="Arial" w:eastAsia="Calibri" w:hAnsi="Arial" w:cs="Arial"/>
          <w:i/>
          <w:sz w:val="22"/>
          <w:szCs w:val="22"/>
          <w:lang w:val="en-ZA"/>
        </w:rPr>
        <w:t>albeit</w:t>
      </w:r>
      <w:r w:rsidRPr="00516C28">
        <w:rPr>
          <w:rFonts w:ascii="Arial" w:eastAsia="Calibri" w:hAnsi="Arial" w:cs="Arial"/>
          <w:sz w:val="22"/>
          <w:szCs w:val="22"/>
          <w:lang w:val="en-ZA"/>
        </w:rPr>
        <w:t xml:space="preserve"> unsuccessfully, both the applicant and her legal team decided not to engage in the disciplinary proceedings as they had already formed a view that the refusal by the third respondent to postpone the matter to 29 November 2017 was unreasonable.’ </w:t>
      </w:r>
    </w:p>
    <w:p w14:paraId="185FC36A" w14:textId="77777777" w:rsidR="004F2F87" w:rsidRPr="00516C28" w:rsidRDefault="004F2F87" w:rsidP="004F2F87">
      <w:pPr>
        <w:spacing w:line="360" w:lineRule="auto"/>
        <w:jc w:val="both"/>
        <w:rPr>
          <w:rFonts w:ascii="Arial" w:eastAsia="Calibri" w:hAnsi="Arial" w:cs="Arial"/>
          <w:lang w:val="en-ZA"/>
        </w:rPr>
      </w:pPr>
    </w:p>
    <w:p w14:paraId="2CD86A5D" w14:textId="32387477"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w:t>
      </w:r>
      <w:r w:rsidR="00334CC8" w:rsidRPr="00516C28">
        <w:rPr>
          <w:rFonts w:ascii="Arial" w:eastAsia="Calibri" w:hAnsi="Arial" w:cs="Arial"/>
          <w:lang w:val="en-ZA"/>
        </w:rPr>
        <w:t>30</w:t>
      </w:r>
      <w:r w:rsidRPr="00516C28">
        <w:rPr>
          <w:rFonts w:ascii="Arial" w:eastAsia="Calibri" w:hAnsi="Arial" w:cs="Arial"/>
          <w:lang w:val="en-ZA"/>
        </w:rPr>
        <w:t>]</w:t>
      </w:r>
      <w:r w:rsidRPr="00516C28">
        <w:rPr>
          <w:rFonts w:ascii="Arial" w:eastAsia="Calibri" w:hAnsi="Arial" w:cs="Arial"/>
          <w:lang w:val="en-ZA"/>
        </w:rPr>
        <w:tab/>
        <w:t>Secondly, the proctor held that from the outset Ms Dyantyi had no intention of testifying in her own defence. This finding was gratuitous and wrong. Ms Dyantyi’s legal</w:t>
      </w:r>
      <w:r w:rsidR="00344C68" w:rsidRPr="00516C28">
        <w:rPr>
          <w:rFonts w:ascii="Arial" w:eastAsia="Calibri" w:hAnsi="Arial" w:cs="Arial"/>
          <w:lang w:val="en-ZA"/>
        </w:rPr>
        <w:t> </w:t>
      </w:r>
      <w:r w:rsidRPr="00516C28">
        <w:rPr>
          <w:rFonts w:ascii="Arial" w:eastAsia="Calibri" w:hAnsi="Arial" w:cs="Arial"/>
          <w:lang w:val="en-ZA"/>
        </w:rPr>
        <w:t xml:space="preserve">representatives repeatedly stated without question that she would testify (she was excused </w:t>
      </w:r>
      <w:r w:rsidR="00334CC8" w:rsidRPr="00516C28">
        <w:rPr>
          <w:rFonts w:ascii="Arial" w:eastAsia="Calibri" w:hAnsi="Arial" w:cs="Arial"/>
          <w:lang w:val="en-ZA"/>
        </w:rPr>
        <w:t xml:space="preserve">from the hearing </w:t>
      </w:r>
      <w:r w:rsidRPr="00516C28">
        <w:rPr>
          <w:rFonts w:ascii="Arial" w:eastAsia="Calibri" w:hAnsi="Arial" w:cs="Arial"/>
          <w:lang w:val="en-ZA"/>
        </w:rPr>
        <w:t>on more than one occasion to prepare for her testimony, particularly on 9 October 2017) and she had not been called upon to answer such a proposition. Had this motivated the rulings, they would have been affected by a gross</w:t>
      </w:r>
      <w:r w:rsidR="00344C68" w:rsidRPr="00516C28">
        <w:rPr>
          <w:rFonts w:ascii="Arial" w:eastAsia="Calibri" w:hAnsi="Arial" w:cs="Arial"/>
          <w:lang w:val="en-ZA"/>
        </w:rPr>
        <w:t> </w:t>
      </w:r>
      <w:r w:rsidRPr="00516C28">
        <w:rPr>
          <w:rFonts w:ascii="Arial" w:eastAsia="Calibri" w:hAnsi="Arial" w:cs="Arial"/>
          <w:lang w:val="en-ZA"/>
        </w:rPr>
        <w:t xml:space="preserve">misdirection. </w:t>
      </w:r>
    </w:p>
    <w:p w14:paraId="33D4F037" w14:textId="77777777" w:rsidR="00334CC8" w:rsidRPr="00516C28" w:rsidRDefault="00334CC8" w:rsidP="004F2F87">
      <w:pPr>
        <w:spacing w:line="360" w:lineRule="auto"/>
        <w:jc w:val="both"/>
        <w:rPr>
          <w:rFonts w:ascii="Arial" w:eastAsia="Calibri" w:hAnsi="Arial" w:cs="Arial"/>
          <w:lang w:val="en-ZA"/>
        </w:rPr>
      </w:pPr>
    </w:p>
    <w:p w14:paraId="7C9BB08E" w14:textId="6C5411D9"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[3</w:t>
      </w:r>
      <w:r w:rsidR="00334CC8" w:rsidRPr="00516C28">
        <w:rPr>
          <w:rFonts w:ascii="Arial" w:eastAsia="Calibri" w:hAnsi="Arial" w:cs="Arial"/>
          <w:lang w:val="en-ZA"/>
        </w:rPr>
        <w:t>1</w:t>
      </w:r>
      <w:r w:rsidRPr="00516C28">
        <w:rPr>
          <w:rFonts w:ascii="Arial" w:eastAsia="Calibri" w:hAnsi="Arial" w:cs="Arial"/>
          <w:lang w:val="en-ZA"/>
        </w:rPr>
        <w:t>]</w:t>
      </w:r>
      <w:r w:rsidRPr="00516C28">
        <w:rPr>
          <w:rFonts w:ascii="Arial" w:eastAsia="Calibri" w:hAnsi="Arial" w:cs="Arial"/>
          <w:lang w:val="en-ZA"/>
        </w:rPr>
        <w:tab/>
        <w:t>In the particular circumstance</w:t>
      </w:r>
      <w:r w:rsidR="0076113E" w:rsidRPr="00516C28">
        <w:rPr>
          <w:rFonts w:ascii="Arial" w:eastAsia="Calibri" w:hAnsi="Arial" w:cs="Arial"/>
          <w:lang w:val="en-ZA"/>
        </w:rPr>
        <w:t>s</w:t>
      </w:r>
      <w:r w:rsidRPr="00516C28">
        <w:rPr>
          <w:rFonts w:ascii="Arial" w:eastAsia="Calibri" w:hAnsi="Arial" w:cs="Arial"/>
          <w:lang w:val="en-ZA"/>
        </w:rPr>
        <w:t xml:space="preserve"> of this case, a proper balancing of the relevant considerations would have dictated that the inquiry had to be postponed to the dates on which counsel for Ms Dyantyi were available. The failure to do so violated Ms Dyantyi’s right to procedural fairness under PAJA. It follows that the court a quo should have reviewed and set aside the decisions. Costs should follow this result in both courts, including the costs of two counsel.</w:t>
      </w:r>
    </w:p>
    <w:p w14:paraId="7BD1456C" w14:textId="77777777" w:rsidR="004F2F87" w:rsidRPr="00516C28" w:rsidRDefault="004F2F87" w:rsidP="004F2F87">
      <w:pPr>
        <w:spacing w:line="360" w:lineRule="auto"/>
        <w:jc w:val="both"/>
        <w:rPr>
          <w:rFonts w:ascii="Arial" w:eastAsia="Calibri" w:hAnsi="Arial" w:cs="Arial"/>
          <w:lang w:val="en-ZA"/>
        </w:rPr>
      </w:pPr>
    </w:p>
    <w:p w14:paraId="26613A98" w14:textId="79D09F12" w:rsidR="004F2F87" w:rsidRPr="00516C28" w:rsidRDefault="00334CC8" w:rsidP="004F2F87">
      <w:pPr>
        <w:spacing w:line="360" w:lineRule="auto"/>
        <w:jc w:val="both"/>
        <w:rPr>
          <w:rFonts w:ascii="Arial" w:eastAsia="Calibri" w:hAnsi="Arial" w:cs="Arial"/>
          <w:lang w:val="en-ZA"/>
        </w:rPr>
      </w:pPr>
      <w:r w:rsidRPr="00516C28">
        <w:rPr>
          <w:rFonts w:ascii="Arial" w:eastAsia="Calibri" w:hAnsi="Arial" w:cs="Arial"/>
          <w:lang w:val="en-ZA"/>
        </w:rPr>
        <w:t>[32</w:t>
      </w:r>
      <w:r w:rsidR="004F2F87" w:rsidRPr="00516C28">
        <w:rPr>
          <w:rFonts w:ascii="Arial" w:eastAsia="Calibri" w:hAnsi="Arial" w:cs="Arial"/>
          <w:lang w:val="en-ZA"/>
        </w:rPr>
        <w:t>]</w:t>
      </w:r>
      <w:r w:rsidR="004F2F87" w:rsidRPr="00516C28">
        <w:rPr>
          <w:rFonts w:ascii="Arial" w:eastAsia="Calibri" w:hAnsi="Arial" w:cs="Arial"/>
          <w:lang w:val="en-ZA"/>
        </w:rPr>
        <w:tab/>
        <w:t>In accordance with the notice of motion in the review application, counsel for Ms</w:t>
      </w:r>
      <w:r w:rsidR="00BE0610" w:rsidRPr="00516C28">
        <w:rPr>
          <w:rFonts w:ascii="Arial" w:eastAsia="Calibri" w:hAnsi="Arial" w:cs="Arial"/>
          <w:lang w:val="en-ZA"/>
        </w:rPr>
        <w:t> </w:t>
      </w:r>
      <w:r w:rsidR="004F2F87" w:rsidRPr="00516C28">
        <w:rPr>
          <w:rFonts w:ascii="Arial" w:eastAsia="Calibri" w:hAnsi="Arial" w:cs="Arial"/>
          <w:lang w:val="en-ZA"/>
        </w:rPr>
        <w:t>Dyantyi asked that the matter be remitted to the university ‘for reconsideration before another proctor’. In the light of the findings of the proctor in respect of credibility and otherwise, the disciplinary proceedings should not continue before him. In my view, however, the proposed direction in this regard should allow for the lapse of time and possible changed circumstances. The matter should be remitted to the university for reconsideration in its discretion, on the condition that any continuation of the disciplinary inquiry against Ms Dyantyi should take place before another proctor.</w:t>
      </w:r>
    </w:p>
    <w:p w14:paraId="7B11A485" w14:textId="77777777" w:rsidR="004F2F87" w:rsidRPr="00516C28" w:rsidRDefault="004F2F87" w:rsidP="004F2F87">
      <w:pPr>
        <w:spacing w:line="360" w:lineRule="auto"/>
        <w:jc w:val="both"/>
        <w:rPr>
          <w:rFonts w:ascii="Arial" w:eastAsia="Calibri" w:hAnsi="Arial" w:cs="Arial"/>
          <w:lang w:val="en-ZA"/>
        </w:rPr>
      </w:pPr>
    </w:p>
    <w:p w14:paraId="6EE17135" w14:textId="6CACEA2A" w:rsidR="004F2F87" w:rsidRPr="00516C28" w:rsidRDefault="004F2F87" w:rsidP="004F2F87">
      <w:pPr>
        <w:spacing w:line="360" w:lineRule="auto"/>
        <w:jc w:val="both"/>
        <w:rPr>
          <w:rFonts w:ascii="Arial" w:eastAsia="Calibri" w:hAnsi="Arial" w:cs="Arial"/>
          <w:lang w:val="en-ZA"/>
        </w:rPr>
      </w:pPr>
      <w:r w:rsidRPr="00516C28">
        <w:rPr>
          <w:rFonts w:ascii="Arial" w:eastAsia="Calibri" w:hAnsi="Arial" w:cs="Arial"/>
          <w:lang w:val="en-ZA"/>
        </w:rPr>
        <w:t>[3</w:t>
      </w:r>
      <w:r w:rsidR="00334CC8" w:rsidRPr="00516C28">
        <w:rPr>
          <w:rFonts w:ascii="Arial" w:eastAsia="Calibri" w:hAnsi="Arial" w:cs="Arial"/>
          <w:lang w:val="en-ZA"/>
        </w:rPr>
        <w:t>3</w:t>
      </w:r>
      <w:r w:rsidRPr="00516C28">
        <w:rPr>
          <w:rFonts w:ascii="Arial" w:eastAsia="Calibri" w:hAnsi="Arial" w:cs="Arial"/>
          <w:lang w:val="en-ZA"/>
        </w:rPr>
        <w:t>]</w:t>
      </w:r>
      <w:r w:rsidRPr="00516C28">
        <w:rPr>
          <w:rFonts w:ascii="Arial" w:eastAsia="Calibri" w:hAnsi="Arial" w:cs="Arial"/>
          <w:lang w:val="en-ZA"/>
        </w:rPr>
        <w:tab/>
        <w:t>For these reasons the following order is issued:</w:t>
      </w:r>
    </w:p>
    <w:p w14:paraId="5B0F1E4B" w14:textId="77777777" w:rsidR="00164465" w:rsidRPr="00516C28" w:rsidRDefault="00164465" w:rsidP="00164465">
      <w:pPr>
        <w:tabs>
          <w:tab w:val="left" w:pos="567"/>
          <w:tab w:val="left" w:pos="851"/>
        </w:tabs>
        <w:spacing w:line="360" w:lineRule="auto"/>
        <w:jc w:val="both"/>
        <w:rPr>
          <w:rFonts w:ascii="Arial" w:eastAsia="Calibri" w:hAnsi="Arial" w:cs="Arial"/>
          <w:lang w:val="en-ZA"/>
        </w:rPr>
      </w:pPr>
      <w:r w:rsidRPr="00516C28">
        <w:rPr>
          <w:rFonts w:ascii="Arial" w:eastAsia="Calibri" w:hAnsi="Arial" w:cs="Arial"/>
          <w:lang w:val="en-ZA"/>
        </w:rPr>
        <w:t>1</w:t>
      </w:r>
      <w:r w:rsidRPr="00516C28">
        <w:rPr>
          <w:rFonts w:ascii="Arial" w:eastAsia="Calibri" w:hAnsi="Arial" w:cs="Arial"/>
          <w:lang w:val="en-ZA"/>
        </w:rPr>
        <w:tab/>
        <w:t>The appeal is upheld with costs, including the costs of two counsel.</w:t>
      </w:r>
    </w:p>
    <w:p w14:paraId="6E09FAD6" w14:textId="77777777" w:rsidR="00164465" w:rsidRPr="00516C28" w:rsidRDefault="00164465" w:rsidP="00164465">
      <w:pPr>
        <w:tabs>
          <w:tab w:val="left" w:pos="567"/>
        </w:tabs>
        <w:spacing w:line="360" w:lineRule="auto"/>
        <w:jc w:val="both"/>
        <w:rPr>
          <w:rFonts w:ascii="Arial" w:eastAsia="Calibri" w:hAnsi="Arial" w:cs="Arial"/>
          <w:lang w:val="en-ZA"/>
        </w:rPr>
      </w:pPr>
      <w:r w:rsidRPr="00516C28">
        <w:rPr>
          <w:rFonts w:ascii="Arial" w:eastAsia="Calibri" w:hAnsi="Arial" w:cs="Arial"/>
          <w:lang w:val="en-ZA"/>
        </w:rPr>
        <w:t>2</w:t>
      </w:r>
      <w:r w:rsidRPr="00516C28">
        <w:rPr>
          <w:rFonts w:ascii="Arial" w:eastAsia="Calibri" w:hAnsi="Arial" w:cs="Arial"/>
          <w:lang w:val="en-ZA"/>
        </w:rPr>
        <w:tab/>
        <w:t>The order of the court a quo is set aside and replaced with the following:</w:t>
      </w:r>
    </w:p>
    <w:p w14:paraId="0FE8CA8C" w14:textId="77777777" w:rsidR="00164465" w:rsidRPr="00516C28" w:rsidRDefault="00164465" w:rsidP="00164465">
      <w:pPr>
        <w:tabs>
          <w:tab w:val="left" w:pos="0"/>
          <w:tab w:val="left" w:pos="567"/>
          <w:tab w:val="left" w:pos="1418"/>
        </w:tabs>
        <w:spacing w:line="360" w:lineRule="auto"/>
        <w:ind w:left="567" w:hanging="567"/>
        <w:jc w:val="both"/>
        <w:rPr>
          <w:rFonts w:ascii="Arial" w:eastAsia="Calibri" w:hAnsi="Arial" w:cs="Arial"/>
          <w:lang w:val="en-ZA"/>
        </w:rPr>
      </w:pPr>
      <w:r w:rsidRPr="00516C28">
        <w:rPr>
          <w:rFonts w:ascii="Arial" w:eastAsia="Calibri" w:hAnsi="Arial" w:cs="Arial"/>
          <w:lang w:val="en-ZA"/>
        </w:rPr>
        <w:lastRenderedPageBreak/>
        <w:tab/>
        <w:t>‘(a)</w:t>
      </w:r>
      <w:r w:rsidRPr="00516C28">
        <w:rPr>
          <w:rFonts w:ascii="Arial" w:eastAsia="Calibri" w:hAnsi="Arial" w:cs="Arial"/>
          <w:lang w:val="en-ZA"/>
        </w:rPr>
        <w:tab/>
        <w:t>The decision of 10 October 2017, convicting the applicant on charges of kidnapping, assault, insubordination and defamation, in terms of rules 4.3 and 4.17 (a) and (b) of the first respondent’s Student Disciplinary Code, is reviewed and set aside.</w:t>
      </w:r>
    </w:p>
    <w:p w14:paraId="70AF186D" w14:textId="77777777" w:rsidR="00164465" w:rsidRPr="00516C28" w:rsidRDefault="00164465" w:rsidP="00164465">
      <w:pPr>
        <w:tabs>
          <w:tab w:val="left" w:pos="0"/>
          <w:tab w:val="left" w:pos="567"/>
        </w:tabs>
        <w:spacing w:line="360" w:lineRule="auto"/>
        <w:ind w:left="567" w:hanging="567"/>
        <w:jc w:val="both"/>
        <w:rPr>
          <w:rFonts w:ascii="Arial" w:eastAsia="Calibri" w:hAnsi="Arial" w:cs="Arial"/>
          <w:lang w:val="en-ZA"/>
        </w:rPr>
      </w:pPr>
      <w:r w:rsidRPr="00516C28">
        <w:rPr>
          <w:rFonts w:ascii="Arial" w:eastAsia="Calibri" w:hAnsi="Arial" w:cs="Arial"/>
          <w:lang w:val="en-ZA"/>
        </w:rPr>
        <w:tab/>
        <w:t>(b)</w:t>
      </w:r>
      <w:r w:rsidRPr="00516C28">
        <w:rPr>
          <w:rFonts w:ascii="Arial" w:eastAsia="Calibri" w:hAnsi="Arial" w:cs="Arial"/>
          <w:lang w:val="en-ZA"/>
        </w:rPr>
        <w:tab/>
        <w:t>The decision of 17 November 2017, sanctioning the applicant by permanently excluding her from the first respondent, in terms of rule 7.27 (b) of the first respondent’s Student Disciplinary Code, and making various ancillary orders, is reviewed and set aside.</w:t>
      </w:r>
    </w:p>
    <w:p w14:paraId="0848F6F3" w14:textId="77777777" w:rsidR="00164465" w:rsidRPr="00516C28" w:rsidRDefault="00164465" w:rsidP="00164465">
      <w:pPr>
        <w:tabs>
          <w:tab w:val="left" w:pos="0"/>
          <w:tab w:val="left" w:pos="567"/>
        </w:tabs>
        <w:spacing w:line="360" w:lineRule="auto"/>
        <w:ind w:left="567" w:hanging="567"/>
        <w:jc w:val="both"/>
        <w:rPr>
          <w:rFonts w:ascii="Arial" w:eastAsia="Calibri" w:hAnsi="Arial" w:cs="Arial"/>
          <w:lang w:val="en-ZA"/>
        </w:rPr>
      </w:pPr>
      <w:r w:rsidRPr="00516C28">
        <w:rPr>
          <w:rFonts w:ascii="Arial" w:eastAsia="Calibri" w:hAnsi="Arial" w:cs="Arial"/>
          <w:lang w:val="en-ZA"/>
        </w:rPr>
        <w:tab/>
        <w:t>(c)</w:t>
      </w:r>
      <w:r w:rsidRPr="00516C28">
        <w:rPr>
          <w:rFonts w:ascii="Arial" w:eastAsia="Calibri" w:hAnsi="Arial" w:cs="Arial"/>
          <w:lang w:val="en-ZA"/>
        </w:rPr>
        <w:tab/>
        <w:t>The matter is remitted to the first respondent for reconsideration on condition that any continuation of the disciplinary inquiry against the applicant shall take place before another proctor.</w:t>
      </w:r>
    </w:p>
    <w:p w14:paraId="72368ABC" w14:textId="77777777" w:rsidR="00164465" w:rsidRPr="00516C28" w:rsidRDefault="00164465" w:rsidP="00164465">
      <w:pPr>
        <w:tabs>
          <w:tab w:val="left" w:pos="0"/>
          <w:tab w:val="left" w:pos="567"/>
        </w:tabs>
        <w:spacing w:line="360" w:lineRule="auto"/>
        <w:ind w:left="567" w:hanging="567"/>
        <w:jc w:val="both"/>
        <w:rPr>
          <w:rFonts w:ascii="Arial" w:eastAsia="Calibri" w:hAnsi="Arial" w:cs="Arial"/>
          <w:lang w:val="en-ZA"/>
        </w:rPr>
      </w:pPr>
      <w:r w:rsidRPr="00516C28">
        <w:rPr>
          <w:rFonts w:ascii="Arial" w:eastAsia="Calibri" w:hAnsi="Arial" w:cs="Arial"/>
          <w:lang w:val="en-ZA"/>
        </w:rPr>
        <w:tab/>
        <w:t>(d)</w:t>
      </w:r>
      <w:r w:rsidRPr="00516C28">
        <w:rPr>
          <w:rFonts w:ascii="Arial" w:eastAsia="Calibri" w:hAnsi="Arial" w:cs="Arial"/>
          <w:lang w:val="en-ZA"/>
        </w:rPr>
        <w:tab/>
        <w:t xml:space="preserve">The first respondent is directed to pay the applicant’s costs, including the costs of two counsel.’ </w:t>
      </w:r>
    </w:p>
    <w:p w14:paraId="3B2E9C9A" w14:textId="3BC1FF5C" w:rsidR="00921936" w:rsidRPr="00516C28" w:rsidRDefault="00921936" w:rsidP="00DC4F6D">
      <w:pPr>
        <w:spacing w:line="360" w:lineRule="auto"/>
        <w:jc w:val="both"/>
        <w:rPr>
          <w:rFonts w:ascii="Arial" w:eastAsia="Calibri" w:hAnsi="Arial" w:cs="Arial"/>
          <w:lang w:val="en-ZA"/>
        </w:rPr>
      </w:pPr>
      <w:r w:rsidRPr="00516C28">
        <w:rPr>
          <w:rFonts w:ascii="Arial" w:eastAsia="Calibri" w:hAnsi="Arial" w:cs="Arial"/>
          <w:lang w:val="en-ZA"/>
        </w:rPr>
        <w:tab/>
      </w:r>
    </w:p>
    <w:p w14:paraId="0CEF5BC6" w14:textId="77777777" w:rsidR="00346CE5" w:rsidRPr="00516C28" w:rsidRDefault="00346CE5" w:rsidP="00346CE5">
      <w:pPr>
        <w:tabs>
          <w:tab w:val="left" w:pos="142"/>
          <w:tab w:val="left" w:pos="284"/>
        </w:tabs>
        <w:spacing w:line="360" w:lineRule="auto"/>
        <w:jc w:val="both"/>
        <w:rPr>
          <w:rFonts w:ascii="Arial" w:hAnsi="Arial" w:cs="Arial"/>
        </w:rPr>
      </w:pPr>
    </w:p>
    <w:p w14:paraId="7905AD7B" w14:textId="5C162DA4" w:rsidR="00722A6E" w:rsidRPr="00516C28" w:rsidRDefault="00722A6E" w:rsidP="00346CE5">
      <w:pPr>
        <w:tabs>
          <w:tab w:val="left" w:pos="284"/>
        </w:tabs>
        <w:spacing w:line="360" w:lineRule="auto"/>
        <w:ind w:hanging="426"/>
        <w:jc w:val="both"/>
        <w:rPr>
          <w:rFonts w:ascii="Arial" w:hAnsi="Arial" w:cs="Arial"/>
        </w:rPr>
      </w:pPr>
    </w:p>
    <w:p w14:paraId="1ACA8325" w14:textId="77777777" w:rsidR="00D94001" w:rsidRPr="00516C28" w:rsidRDefault="00D94001" w:rsidP="00346CE5">
      <w:pPr>
        <w:spacing w:line="360" w:lineRule="auto"/>
        <w:ind w:left="425" w:hanging="425"/>
        <w:contextualSpacing/>
        <w:jc w:val="right"/>
        <w:rPr>
          <w:rFonts w:ascii="Arial" w:eastAsia="MS Mincho" w:hAnsi="Arial" w:cs="Arial"/>
          <w:noProof/>
          <w:lang w:eastAsia="en-ZA"/>
        </w:rPr>
      </w:pPr>
      <w:r w:rsidRPr="00516C28">
        <w:rPr>
          <w:rFonts w:ascii="Arial" w:eastAsia="MS Mincho" w:hAnsi="Arial" w:cs="Arial"/>
          <w:noProof/>
          <w:lang w:eastAsia="en-ZA"/>
        </w:rPr>
        <w:t>_______________________</w:t>
      </w:r>
    </w:p>
    <w:p w14:paraId="6615D52A" w14:textId="77777777" w:rsidR="00D94001" w:rsidRPr="00516C28" w:rsidRDefault="00D94001" w:rsidP="00346CE5">
      <w:pPr>
        <w:spacing w:line="360" w:lineRule="auto"/>
        <w:ind w:left="425" w:hanging="425"/>
        <w:contextualSpacing/>
        <w:jc w:val="right"/>
        <w:rPr>
          <w:rFonts w:ascii="Arial" w:eastAsia="MS Mincho" w:hAnsi="Arial" w:cs="Arial"/>
        </w:rPr>
      </w:pPr>
      <w:r w:rsidRPr="00516C28">
        <w:rPr>
          <w:rFonts w:ascii="Arial" w:eastAsia="MS Mincho" w:hAnsi="Arial" w:cs="Arial"/>
        </w:rPr>
        <w:t>C H G VAN DER MERWE</w:t>
      </w:r>
    </w:p>
    <w:p w14:paraId="6E9FAB55" w14:textId="77777777" w:rsidR="00D94001" w:rsidRPr="00516C28" w:rsidRDefault="00D94001" w:rsidP="00346CE5">
      <w:pPr>
        <w:spacing w:line="360" w:lineRule="auto"/>
        <w:ind w:left="425" w:hanging="425"/>
        <w:contextualSpacing/>
        <w:jc w:val="right"/>
        <w:rPr>
          <w:rFonts w:ascii="Arial" w:hAnsi="Arial" w:cs="Arial"/>
          <w:i/>
        </w:rPr>
      </w:pPr>
      <w:r w:rsidRPr="00516C28">
        <w:rPr>
          <w:rFonts w:ascii="Arial" w:eastAsia="MS Mincho" w:hAnsi="Arial" w:cs="Arial"/>
        </w:rPr>
        <w:t>JUDGE OF APPEAL</w:t>
      </w:r>
    </w:p>
    <w:p w14:paraId="2ADE645A" w14:textId="77777777" w:rsidR="00A80372" w:rsidRPr="00516C28" w:rsidRDefault="00A80372" w:rsidP="00346CE5">
      <w:pPr>
        <w:ind w:hanging="426"/>
        <w:rPr>
          <w:rFonts w:ascii="Arial" w:hAnsi="Arial" w:cs="Arial"/>
        </w:rPr>
      </w:pPr>
    </w:p>
    <w:p w14:paraId="06F74919" w14:textId="77777777" w:rsidR="00A80372" w:rsidRPr="00516C28" w:rsidRDefault="00A80372" w:rsidP="00346CE5">
      <w:pPr>
        <w:ind w:hanging="426"/>
        <w:rPr>
          <w:rFonts w:ascii="Arial" w:hAnsi="Arial" w:cs="Arial"/>
        </w:rPr>
      </w:pPr>
    </w:p>
    <w:p w14:paraId="226C6003" w14:textId="77777777" w:rsidR="00A80372" w:rsidRPr="00516C28" w:rsidRDefault="00A80372" w:rsidP="00346CE5">
      <w:pPr>
        <w:ind w:hanging="426"/>
        <w:rPr>
          <w:rFonts w:ascii="Arial" w:hAnsi="Arial" w:cs="Arial"/>
        </w:rPr>
      </w:pPr>
    </w:p>
    <w:p w14:paraId="4AC52F53" w14:textId="77777777" w:rsidR="003216CB" w:rsidRPr="00516C28" w:rsidRDefault="003216CB" w:rsidP="00A80372">
      <w:pPr>
        <w:rPr>
          <w:rFonts w:ascii="Arial" w:hAnsi="Arial" w:cs="Arial"/>
        </w:rPr>
      </w:pPr>
    </w:p>
    <w:p w14:paraId="59DE3672" w14:textId="77777777" w:rsidR="003216CB" w:rsidRPr="00516C28" w:rsidRDefault="003216CB" w:rsidP="00A80372">
      <w:pPr>
        <w:rPr>
          <w:rFonts w:ascii="Arial" w:hAnsi="Arial" w:cs="Arial"/>
        </w:rPr>
      </w:pPr>
    </w:p>
    <w:p w14:paraId="1CFC758F" w14:textId="77777777" w:rsidR="003216CB" w:rsidRPr="00516C28" w:rsidRDefault="003216CB" w:rsidP="00A80372">
      <w:pPr>
        <w:rPr>
          <w:rFonts w:ascii="Arial" w:hAnsi="Arial" w:cs="Arial"/>
        </w:rPr>
      </w:pPr>
    </w:p>
    <w:p w14:paraId="3AA29CA9" w14:textId="77777777" w:rsidR="003216CB" w:rsidRPr="00516C28" w:rsidRDefault="003216CB" w:rsidP="00A80372">
      <w:pPr>
        <w:rPr>
          <w:rFonts w:ascii="Arial" w:hAnsi="Arial" w:cs="Arial"/>
        </w:rPr>
      </w:pPr>
    </w:p>
    <w:p w14:paraId="1A72F0AB" w14:textId="77777777" w:rsidR="003216CB" w:rsidRPr="00516C28" w:rsidRDefault="003216CB" w:rsidP="00A80372">
      <w:pPr>
        <w:rPr>
          <w:rFonts w:ascii="Arial" w:hAnsi="Arial" w:cs="Arial"/>
        </w:rPr>
      </w:pPr>
    </w:p>
    <w:p w14:paraId="3CA8E1CF" w14:textId="77777777" w:rsidR="003216CB" w:rsidRPr="00516C28" w:rsidRDefault="003216CB" w:rsidP="00A80372">
      <w:pPr>
        <w:rPr>
          <w:rFonts w:ascii="Arial" w:hAnsi="Arial" w:cs="Arial"/>
        </w:rPr>
      </w:pPr>
    </w:p>
    <w:p w14:paraId="11C7E1D4" w14:textId="77777777" w:rsidR="003216CB" w:rsidRPr="00516C28" w:rsidRDefault="003216CB" w:rsidP="00A80372">
      <w:pPr>
        <w:rPr>
          <w:rFonts w:ascii="Arial" w:hAnsi="Arial" w:cs="Arial"/>
        </w:rPr>
      </w:pPr>
    </w:p>
    <w:p w14:paraId="631F284B" w14:textId="77777777" w:rsidR="003216CB" w:rsidRPr="00516C28" w:rsidRDefault="003216CB" w:rsidP="00A80372">
      <w:pPr>
        <w:rPr>
          <w:rFonts w:ascii="Arial" w:hAnsi="Arial" w:cs="Arial"/>
        </w:rPr>
      </w:pPr>
    </w:p>
    <w:p w14:paraId="3A285AE5" w14:textId="77777777" w:rsidR="003216CB" w:rsidRPr="00516C28" w:rsidRDefault="003216CB" w:rsidP="00A80372">
      <w:pPr>
        <w:rPr>
          <w:rFonts w:ascii="Arial" w:hAnsi="Arial" w:cs="Arial"/>
        </w:rPr>
      </w:pPr>
    </w:p>
    <w:p w14:paraId="7487B850" w14:textId="77777777" w:rsidR="003216CB" w:rsidRPr="00516C28" w:rsidRDefault="003216CB" w:rsidP="00A80372">
      <w:pPr>
        <w:rPr>
          <w:rFonts w:ascii="Arial" w:hAnsi="Arial" w:cs="Arial"/>
        </w:rPr>
      </w:pPr>
    </w:p>
    <w:p w14:paraId="29401D90" w14:textId="77777777" w:rsidR="003216CB" w:rsidRPr="00516C28" w:rsidRDefault="003216CB" w:rsidP="00A80372">
      <w:pPr>
        <w:rPr>
          <w:rFonts w:ascii="Arial" w:hAnsi="Arial" w:cs="Arial"/>
        </w:rPr>
      </w:pPr>
    </w:p>
    <w:p w14:paraId="2214B119" w14:textId="77777777" w:rsidR="003216CB" w:rsidRPr="00516C28" w:rsidRDefault="003216CB" w:rsidP="00A80372">
      <w:pPr>
        <w:rPr>
          <w:rFonts w:ascii="Arial" w:hAnsi="Arial" w:cs="Arial"/>
        </w:rPr>
      </w:pPr>
    </w:p>
    <w:p w14:paraId="2C313B4A" w14:textId="77777777" w:rsidR="003216CB" w:rsidRPr="00516C28" w:rsidRDefault="003216CB" w:rsidP="00A80372">
      <w:pPr>
        <w:rPr>
          <w:rFonts w:ascii="Arial" w:hAnsi="Arial" w:cs="Arial"/>
        </w:rPr>
      </w:pPr>
    </w:p>
    <w:p w14:paraId="198ADFBE" w14:textId="77777777" w:rsidR="003216CB" w:rsidRPr="00516C28" w:rsidRDefault="003216CB" w:rsidP="00A80372">
      <w:pPr>
        <w:rPr>
          <w:rFonts w:ascii="Arial" w:hAnsi="Arial" w:cs="Arial"/>
        </w:rPr>
      </w:pPr>
    </w:p>
    <w:p w14:paraId="743C4EC6" w14:textId="77777777" w:rsidR="003216CB" w:rsidRPr="00516C28" w:rsidRDefault="003216CB" w:rsidP="00A80372">
      <w:pPr>
        <w:rPr>
          <w:rFonts w:ascii="Arial" w:hAnsi="Arial" w:cs="Arial"/>
        </w:rPr>
      </w:pPr>
    </w:p>
    <w:p w14:paraId="615372C4" w14:textId="77777777" w:rsidR="003216CB" w:rsidRPr="00516C28" w:rsidRDefault="003216CB" w:rsidP="00A80372">
      <w:pPr>
        <w:rPr>
          <w:rFonts w:ascii="Arial" w:hAnsi="Arial" w:cs="Arial"/>
        </w:rPr>
      </w:pPr>
    </w:p>
    <w:p w14:paraId="63CFC473" w14:textId="2AE90F93" w:rsidR="00093030" w:rsidRPr="00516C28" w:rsidRDefault="00093030" w:rsidP="00A80372">
      <w:pPr>
        <w:rPr>
          <w:rFonts w:ascii="Arial" w:hAnsi="Arial" w:cs="Arial"/>
        </w:rPr>
      </w:pPr>
      <w:r w:rsidRPr="00516C28">
        <w:rPr>
          <w:rFonts w:ascii="Arial" w:hAnsi="Arial" w:cs="Arial"/>
        </w:rPr>
        <w:lastRenderedPageBreak/>
        <w:t>Appearances</w:t>
      </w:r>
    </w:p>
    <w:p w14:paraId="34B06EC8" w14:textId="77777777" w:rsidR="003B40A2" w:rsidRPr="00516C28" w:rsidRDefault="003B40A2" w:rsidP="00346CE5">
      <w:pPr>
        <w:spacing w:line="360" w:lineRule="auto"/>
        <w:ind w:hanging="426"/>
        <w:rPr>
          <w:rFonts w:ascii="Arial" w:hAnsi="Arial" w:cs="Arial"/>
        </w:rPr>
      </w:pPr>
    </w:p>
    <w:p w14:paraId="6F96C3EC" w14:textId="2BFFF66B" w:rsidR="003B40A2" w:rsidRPr="00516C28" w:rsidRDefault="003B40A2" w:rsidP="008F637F">
      <w:pPr>
        <w:spacing w:line="360" w:lineRule="auto"/>
        <w:ind w:left="3970" w:right="-279" w:hanging="3970"/>
        <w:rPr>
          <w:rFonts w:ascii="Arial" w:hAnsi="Arial" w:cs="Arial"/>
        </w:rPr>
      </w:pPr>
      <w:r w:rsidRPr="00516C28">
        <w:rPr>
          <w:rFonts w:ascii="Arial" w:hAnsi="Arial" w:cs="Arial"/>
        </w:rPr>
        <w:t>For appellant:</w:t>
      </w:r>
      <w:r w:rsidRPr="00516C28">
        <w:rPr>
          <w:rFonts w:ascii="Arial" w:hAnsi="Arial" w:cs="Arial"/>
        </w:rPr>
        <w:tab/>
      </w:r>
      <w:r w:rsidR="00DC4F6D" w:rsidRPr="00516C28">
        <w:rPr>
          <w:rFonts w:ascii="Arial" w:hAnsi="Arial" w:cs="Arial"/>
        </w:rPr>
        <w:t>A de Vos</w:t>
      </w:r>
      <w:r w:rsidR="00A80372" w:rsidRPr="00516C28">
        <w:rPr>
          <w:rFonts w:ascii="Arial" w:hAnsi="Arial" w:cs="Arial"/>
        </w:rPr>
        <w:t xml:space="preserve"> SC</w:t>
      </w:r>
      <w:r w:rsidR="0003592B" w:rsidRPr="00516C28">
        <w:rPr>
          <w:rFonts w:ascii="Arial" w:hAnsi="Arial" w:cs="Arial"/>
        </w:rPr>
        <w:t xml:space="preserve"> (</w:t>
      </w:r>
      <w:r w:rsidR="00A80372" w:rsidRPr="00516C28">
        <w:rPr>
          <w:rFonts w:ascii="Arial" w:hAnsi="Arial" w:cs="Arial"/>
        </w:rPr>
        <w:t>with h</w:t>
      </w:r>
      <w:r w:rsidR="00DC4F6D" w:rsidRPr="00516C28">
        <w:rPr>
          <w:rFonts w:ascii="Arial" w:hAnsi="Arial" w:cs="Arial"/>
        </w:rPr>
        <w:t>er</w:t>
      </w:r>
      <w:r w:rsidR="00A80372" w:rsidRPr="00516C28">
        <w:rPr>
          <w:rFonts w:ascii="Arial" w:hAnsi="Arial" w:cs="Arial"/>
        </w:rPr>
        <w:t xml:space="preserve"> </w:t>
      </w:r>
      <w:r w:rsidR="00DC4F6D" w:rsidRPr="00516C28">
        <w:rPr>
          <w:rFonts w:ascii="Arial" w:hAnsi="Arial" w:cs="Arial"/>
        </w:rPr>
        <w:t>O Motlhasedi</w:t>
      </w:r>
      <w:r w:rsidR="0003592B" w:rsidRPr="00516C28">
        <w:rPr>
          <w:rFonts w:ascii="Arial" w:hAnsi="Arial" w:cs="Arial"/>
        </w:rPr>
        <w:t>)</w:t>
      </w:r>
      <w:r w:rsidR="008F637F" w:rsidRPr="00516C28">
        <w:rPr>
          <w:rFonts w:ascii="Arial" w:hAnsi="Arial" w:cs="Arial"/>
        </w:rPr>
        <w:t xml:space="preserve"> (heads also prepared by S Wilson)</w:t>
      </w:r>
    </w:p>
    <w:p w14:paraId="05E729B4" w14:textId="1D89806C" w:rsidR="00DC4F6D" w:rsidRPr="00516C28" w:rsidRDefault="00432F90" w:rsidP="00DC4F6D">
      <w:pPr>
        <w:spacing w:line="360" w:lineRule="auto"/>
        <w:rPr>
          <w:rFonts w:ascii="Arial" w:hAnsi="Arial" w:cs="Arial"/>
          <w:bCs/>
        </w:rPr>
      </w:pPr>
      <w:r w:rsidRPr="00516C28">
        <w:rPr>
          <w:rFonts w:ascii="Arial" w:hAnsi="Arial" w:cs="Arial"/>
          <w:bCs/>
        </w:rPr>
        <w:t>Instructed by:</w:t>
      </w:r>
      <w:r w:rsidRPr="00516C28">
        <w:rPr>
          <w:rFonts w:ascii="Arial" w:hAnsi="Arial" w:cs="Arial"/>
          <w:bCs/>
        </w:rPr>
        <w:tab/>
      </w:r>
      <w:r w:rsidRPr="00516C28">
        <w:rPr>
          <w:rFonts w:ascii="Arial" w:hAnsi="Arial" w:cs="Arial"/>
          <w:bCs/>
        </w:rPr>
        <w:tab/>
      </w:r>
      <w:r w:rsidR="004F2F87" w:rsidRPr="00516C28">
        <w:rPr>
          <w:rFonts w:ascii="Arial" w:hAnsi="Arial" w:cs="Arial"/>
          <w:bCs/>
        </w:rPr>
        <w:tab/>
      </w:r>
      <w:r w:rsidR="004F2F87" w:rsidRPr="00516C28">
        <w:rPr>
          <w:rFonts w:ascii="Arial" w:hAnsi="Arial" w:cs="Arial"/>
          <w:bCs/>
        </w:rPr>
        <w:tab/>
        <w:t>SERI Law Clinic, Johannesburg</w:t>
      </w:r>
    </w:p>
    <w:p w14:paraId="10378056" w14:textId="7FBC4EBE" w:rsidR="003B40A2" w:rsidRPr="00516C28" w:rsidRDefault="004F2F87" w:rsidP="004F2F87">
      <w:pPr>
        <w:spacing w:line="360" w:lineRule="auto"/>
        <w:ind w:left="3176" w:firstLine="794"/>
        <w:rPr>
          <w:rFonts w:ascii="Arial" w:hAnsi="Arial" w:cs="Arial"/>
          <w:bCs/>
        </w:rPr>
      </w:pPr>
      <w:r w:rsidRPr="00516C28">
        <w:rPr>
          <w:rFonts w:ascii="Arial" w:hAnsi="Arial" w:cs="Arial"/>
          <w:bCs/>
        </w:rPr>
        <w:t>Webbers Attorneys</w:t>
      </w:r>
      <w:r w:rsidR="00D70653" w:rsidRPr="00516C28">
        <w:rPr>
          <w:rFonts w:ascii="Arial" w:hAnsi="Arial" w:cs="Arial"/>
          <w:bCs/>
        </w:rPr>
        <w:t xml:space="preserve">, </w:t>
      </w:r>
      <w:r w:rsidR="003B40A2" w:rsidRPr="00516C28">
        <w:rPr>
          <w:rFonts w:ascii="Arial" w:hAnsi="Arial" w:cs="Arial"/>
          <w:bCs/>
        </w:rPr>
        <w:t>Bloemfontein</w:t>
      </w:r>
    </w:p>
    <w:p w14:paraId="3C432195" w14:textId="77777777" w:rsidR="003B40A2" w:rsidRPr="00516C28" w:rsidRDefault="003B40A2" w:rsidP="00346CE5">
      <w:pPr>
        <w:spacing w:line="360" w:lineRule="auto"/>
        <w:ind w:hanging="426"/>
        <w:rPr>
          <w:rFonts w:ascii="Arial" w:hAnsi="Arial" w:cs="Arial"/>
          <w:bCs/>
        </w:rPr>
      </w:pPr>
      <w:r w:rsidRPr="00516C28">
        <w:rPr>
          <w:rFonts w:ascii="Arial" w:hAnsi="Arial" w:cs="Arial"/>
          <w:bCs/>
        </w:rPr>
        <w:t xml:space="preserve"> </w:t>
      </w:r>
    </w:p>
    <w:p w14:paraId="766C2FC3" w14:textId="4F98BC95" w:rsidR="003B40A2" w:rsidRPr="00516C28" w:rsidRDefault="003B40A2" w:rsidP="00A80372">
      <w:pPr>
        <w:spacing w:line="360" w:lineRule="auto"/>
        <w:rPr>
          <w:rFonts w:ascii="Arial" w:hAnsi="Arial" w:cs="Arial"/>
        </w:rPr>
      </w:pPr>
      <w:r w:rsidRPr="00516C28">
        <w:rPr>
          <w:rFonts w:ascii="Arial" w:hAnsi="Arial" w:cs="Arial"/>
        </w:rPr>
        <w:t>For</w:t>
      </w:r>
      <w:r w:rsidR="00DC4F6D" w:rsidRPr="00516C28">
        <w:rPr>
          <w:rFonts w:ascii="Arial" w:hAnsi="Arial" w:cs="Arial"/>
        </w:rPr>
        <w:t xml:space="preserve"> 1</w:t>
      </w:r>
      <w:r w:rsidR="00DC4F6D" w:rsidRPr="00516C28">
        <w:rPr>
          <w:rFonts w:ascii="Arial" w:hAnsi="Arial" w:cs="Arial"/>
          <w:vertAlign w:val="superscript"/>
        </w:rPr>
        <w:t>st</w:t>
      </w:r>
      <w:r w:rsidR="00DC4F6D" w:rsidRPr="00516C28">
        <w:rPr>
          <w:rFonts w:ascii="Arial" w:hAnsi="Arial" w:cs="Arial"/>
        </w:rPr>
        <w:t xml:space="preserve"> and 2</w:t>
      </w:r>
      <w:r w:rsidR="00DC4F6D" w:rsidRPr="00516C28">
        <w:rPr>
          <w:rFonts w:ascii="Arial" w:hAnsi="Arial" w:cs="Arial"/>
          <w:vertAlign w:val="superscript"/>
        </w:rPr>
        <w:t>nd</w:t>
      </w:r>
      <w:r w:rsidR="00DC4F6D" w:rsidRPr="00516C28">
        <w:rPr>
          <w:rFonts w:ascii="Arial" w:hAnsi="Arial" w:cs="Arial"/>
        </w:rPr>
        <w:t xml:space="preserve"> </w:t>
      </w:r>
      <w:r w:rsidRPr="00516C28">
        <w:rPr>
          <w:rFonts w:ascii="Arial" w:hAnsi="Arial" w:cs="Arial"/>
        </w:rPr>
        <w:t>respondent</w:t>
      </w:r>
      <w:r w:rsidR="00A80372" w:rsidRPr="00516C28">
        <w:rPr>
          <w:rFonts w:ascii="Arial" w:hAnsi="Arial" w:cs="Arial"/>
        </w:rPr>
        <w:t>s</w:t>
      </w:r>
      <w:r w:rsidRPr="00516C28">
        <w:rPr>
          <w:rFonts w:ascii="Arial" w:hAnsi="Arial" w:cs="Arial"/>
        </w:rPr>
        <w:t>:</w:t>
      </w:r>
      <w:r w:rsidRPr="00516C28">
        <w:rPr>
          <w:rFonts w:ascii="Arial" w:hAnsi="Arial" w:cs="Arial"/>
        </w:rPr>
        <w:tab/>
      </w:r>
      <w:r w:rsidR="00DC4F6D" w:rsidRPr="00516C28">
        <w:rPr>
          <w:rFonts w:ascii="Arial" w:hAnsi="Arial" w:cs="Arial"/>
        </w:rPr>
        <w:tab/>
        <w:t>I J Smuts</w:t>
      </w:r>
      <w:r w:rsidR="00A80372" w:rsidRPr="00516C28">
        <w:rPr>
          <w:rFonts w:ascii="Arial" w:hAnsi="Arial" w:cs="Arial"/>
        </w:rPr>
        <w:t xml:space="preserve"> SC</w:t>
      </w:r>
      <w:r w:rsidR="0003592B" w:rsidRPr="00516C28">
        <w:rPr>
          <w:rFonts w:ascii="Arial" w:hAnsi="Arial" w:cs="Arial"/>
        </w:rPr>
        <w:t xml:space="preserve"> (</w:t>
      </w:r>
      <w:r w:rsidR="00A80372" w:rsidRPr="00516C28">
        <w:rPr>
          <w:rFonts w:ascii="Arial" w:hAnsi="Arial" w:cs="Arial"/>
        </w:rPr>
        <w:t xml:space="preserve">with him </w:t>
      </w:r>
      <w:r w:rsidR="00DC4F6D" w:rsidRPr="00516C28">
        <w:rPr>
          <w:rFonts w:ascii="Arial" w:hAnsi="Arial" w:cs="Arial"/>
        </w:rPr>
        <w:t>N Molony</w:t>
      </w:r>
      <w:r w:rsidR="0003592B" w:rsidRPr="00516C28">
        <w:rPr>
          <w:rFonts w:ascii="Arial" w:hAnsi="Arial" w:cs="Arial"/>
        </w:rPr>
        <w:t>)</w:t>
      </w:r>
    </w:p>
    <w:p w14:paraId="4273027D" w14:textId="69E12EA5" w:rsidR="00D70653" w:rsidRPr="00F152B9" w:rsidRDefault="003B40A2" w:rsidP="003216CB">
      <w:pPr>
        <w:spacing w:line="360" w:lineRule="auto"/>
        <w:rPr>
          <w:rFonts w:ascii="Arial" w:hAnsi="Arial" w:cs="Arial"/>
          <w:bCs/>
        </w:rPr>
      </w:pPr>
      <w:r w:rsidRPr="00516C28">
        <w:rPr>
          <w:rFonts w:ascii="Arial" w:hAnsi="Arial" w:cs="Arial"/>
          <w:bCs/>
        </w:rPr>
        <w:t>Instructed by:</w:t>
      </w:r>
      <w:r w:rsidRPr="00516C28">
        <w:rPr>
          <w:rFonts w:ascii="Arial" w:hAnsi="Arial" w:cs="Arial"/>
          <w:bCs/>
        </w:rPr>
        <w:tab/>
      </w:r>
      <w:r w:rsidR="00432F90" w:rsidRPr="00516C28">
        <w:rPr>
          <w:rFonts w:ascii="Arial" w:hAnsi="Arial" w:cs="Arial"/>
          <w:bCs/>
        </w:rPr>
        <w:tab/>
      </w:r>
      <w:r w:rsidR="00DC4F6D" w:rsidRPr="00516C28">
        <w:rPr>
          <w:rFonts w:ascii="Arial" w:hAnsi="Arial" w:cs="Arial"/>
          <w:bCs/>
        </w:rPr>
        <w:tab/>
      </w:r>
      <w:r w:rsidR="00DC4F6D" w:rsidRPr="00516C28">
        <w:rPr>
          <w:rFonts w:ascii="Arial" w:hAnsi="Arial" w:cs="Arial"/>
          <w:bCs/>
        </w:rPr>
        <w:tab/>
      </w:r>
      <w:r w:rsidR="003216CB" w:rsidRPr="00516C28">
        <w:rPr>
          <w:rFonts w:ascii="Arial" w:hAnsi="Arial" w:cs="Arial"/>
          <w:bCs/>
        </w:rPr>
        <w:t>Eversheds Sutherland (SA) Inc., Johannesburg</w:t>
      </w:r>
      <w:r w:rsidR="003216CB" w:rsidRPr="00516C28">
        <w:rPr>
          <w:rFonts w:ascii="Arial" w:hAnsi="Arial" w:cs="Arial"/>
          <w:bCs/>
        </w:rPr>
        <w:tab/>
      </w:r>
      <w:r w:rsidR="003216CB" w:rsidRPr="00516C28">
        <w:rPr>
          <w:rFonts w:ascii="Arial" w:hAnsi="Arial" w:cs="Arial"/>
          <w:bCs/>
        </w:rPr>
        <w:tab/>
      </w:r>
      <w:r w:rsidR="003216CB" w:rsidRPr="00516C28">
        <w:rPr>
          <w:rFonts w:ascii="Arial" w:hAnsi="Arial" w:cs="Arial"/>
          <w:bCs/>
        </w:rPr>
        <w:tab/>
      </w:r>
      <w:r w:rsidR="003216CB" w:rsidRPr="00516C28">
        <w:rPr>
          <w:rFonts w:ascii="Arial" w:hAnsi="Arial" w:cs="Arial"/>
          <w:bCs/>
        </w:rPr>
        <w:tab/>
      </w:r>
      <w:r w:rsidR="003216CB" w:rsidRPr="00516C28">
        <w:rPr>
          <w:rFonts w:ascii="Arial" w:hAnsi="Arial" w:cs="Arial"/>
          <w:bCs/>
        </w:rPr>
        <w:tab/>
        <w:t xml:space="preserve">Lovius Block Inc., </w:t>
      </w:r>
      <w:r w:rsidR="00D70653" w:rsidRPr="00516C28">
        <w:rPr>
          <w:rFonts w:ascii="Arial" w:hAnsi="Arial" w:cs="Arial"/>
          <w:bCs/>
        </w:rPr>
        <w:t>Bloemfontein</w:t>
      </w:r>
    </w:p>
    <w:p w14:paraId="73AFD690" w14:textId="57EBDE9A" w:rsidR="004D6BB8" w:rsidRPr="00F152B9" w:rsidRDefault="004D6BB8" w:rsidP="00346CE5">
      <w:pPr>
        <w:spacing w:line="360" w:lineRule="auto"/>
        <w:ind w:hanging="426"/>
        <w:rPr>
          <w:rFonts w:ascii="Arial" w:hAnsi="Arial" w:cs="Arial"/>
          <w:bCs/>
        </w:rPr>
      </w:pPr>
    </w:p>
    <w:sectPr w:rsidR="004D6BB8" w:rsidRPr="00F152B9" w:rsidSect="00C22888">
      <w:headerReference w:type="even" r:id="rId9"/>
      <w:headerReference w:type="default" r:id="rId10"/>
      <w:pgSz w:w="12240" w:h="15840"/>
      <w:pgMar w:top="5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60DCB" w14:textId="77777777" w:rsidR="00C74996" w:rsidRDefault="00C74996">
      <w:r>
        <w:separator/>
      </w:r>
    </w:p>
  </w:endnote>
  <w:endnote w:type="continuationSeparator" w:id="0">
    <w:p w14:paraId="67E0B133" w14:textId="77777777" w:rsidR="00C74996" w:rsidRDefault="00C7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505F" w14:textId="77777777" w:rsidR="00C74996" w:rsidRDefault="00C74996" w:rsidP="00E1555B">
      <w:pPr>
        <w:ind w:left="-567"/>
      </w:pPr>
      <w:r>
        <w:separator/>
      </w:r>
    </w:p>
  </w:footnote>
  <w:footnote w:type="continuationSeparator" w:id="0">
    <w:p w14:paraId="2B2E9AD1" w14:textId="77777777" w:rsidR="00C74996" w:rsidRDefault="00C749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114D" w14:textId="77777777" w:rsidR="002B37B5" w:rsidRDefault="002B37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9443" w14:textId="77777777" w:rsidR="002B37B5" w:rsidRDefault="002B37B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58301855"/>
      <w:docPartObj>
        <w:docPartGallery w:val="Page Numbers (Top of Page)"/>
        <w:docPartUnique/>
      </w:docPartObj>
    </w:sdtPr>
    <w:sdtEndPr>
      <w:rPr>
        <w:noProof/>
      </w:rPr>
    </w:sdtEndPr>
    <w:sdtContent>
      <w:p w14:paraId="3BCBD728" w14:textId="4B6BDA3E" w:rsidR="002B37B5" w:rsidRPr="00E90B15" w:rsidRDefault="002B37B5">
        <w:pPr>
          <w:pStyle w:val="Header"/>
          <w:jc w:val="right"/>
          <w:rPr>
            <w:rFonts w:ascii="Arial" w:hAnsi="Arial" w:cs="Arial"/>
          </w:rPr>
        </w:pPr>
        <w:r w:rsidRPr="00E90B15">
          <w:rPr>
            <w:rFonts w:ascii="Arial" w:hAnsi="Arial" w:cs="Arial"/>
          </w:rPr>
          <w:fldChar w:fldCharType="begin"/>
        </w:r>
        <w:r w:rsidRPr="00E90B15">
          <w:rPr>
            <w:rFonts w:ascii="Arial" w:hAnsi="Arial" w:cs="Arial"/>
          </w:rPr>
          <w:instrText xml:space="preserve"> PAGE   \* MERGEFORMAT </w:instrText>
        </w:r>
        <w:r w:rsidRPr="00E90B15">
          <w:rPr>
            <w:rFonts w:ascii="Arial" w:hAnsi="Arial" w:cs="Arial"/>
          </w:rPr>
          <w:fldChar w:fldCharType="separate"/>
        </w:r>
        <w:r w:rsidR="0089623D">
          <w:rPr>
            <w:rFonts w:ascii="Arial" w:hAnsi="Arial" w:cs="Arial"/>
            <w:noProof/>
          </w:rPr>
          <w:t>2</w:t>
        </w:r>
        <w:r w:rsidRPr="00E90B15">
          <w:rPr>
            <w:rFonts w:ascii="Arial" w:hAnsi="Arial" w:cs="Arial"/>
            <w:noProof/>
          </w:rPr>
          <w:fldChar w:fldCharType="end"/>
        </w:r>
      </w:p>
    </w:sdtContent>
  </w:sdt>
  <w:p w14:paraId="1609F8FE" w14:textId="77777777" w:rsidR="002B37B5" w:rsidRPr="00E90B15" w:rsidRDefault="002B37B5">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51F20"/>
    <w:multiLevelType w:val="hybridMultilevel"/>
    <w:tmpl w:val="92EE4100"/>
    <w:lvl w:ilvl="0" w:tplc="D8C466B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8434DE"/>
    <w:multiLevelType w:val="hybridMultilevel"/>
    <w:tmpl w:val="E56E2A04"/>
    <w:lvl w:ilvl="0" w:tplc="6308897E">
      <w:start w:val="2"/>
      <w:numFmt w:val="decimal"/>
      <w:lvlText w:val="(%1)"/>
      <w:lvlJc w:val="left"/>
      <w:pPr>
        <w:ind w:left="3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2B78DEDC">
      <w:start w:val="1"/>
      <w:numFmt w:val="lowerLetter"/>
      <w:lvlText w:val="%2"/>
      <w:lvlJc w:val="left"/>
      <w:pPr>
        <w:ind w:left="14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365234AE">
      <w:start w:val="1"/>
      <w:numFmt w:val="lowerRoman"/>
      <w:lvlText w:val="%3"/>
      <w:lvlJc w:val="left"/>
      <w:pPr>
        <w:ind w:left="21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709EE972">
      <w:start w:val="1"/>
      <w:numFmt w:val="decimal"/>
      <w:lvlText w:val="%4"/>
      <w:lvlJc w:val="left"/>
      <w:pPr>
        <w:ind w:left="29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6BA0428C">
      <w:start w:val="1"/>
      <w:numFmt w:val="lowerLetter"/>
      <w:lvlText w:val="%5"/>
      <w:lvlJc w:val="left"/>
      <w:pPr>
        <w:ind w:left="36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45CAD50E">
      <w:start w:val="1"/>
      <w:numFmt w:val="lowerRoman"/>
      <w:lvlText w:val="%6"/>
      <w:lvlJc w:val="left"/>
      <w:pPr>
        <w:ind w:left="43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262017C8">
      <w:start w:val="1"/>
      <w:numFmt w:val="decimal"/>
      <w:lvlText w:val="%7"/>
      <w:lvlJc w:val="left"/>
      <w:pPr>
        <w:ind w:left="50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C2A6DB72">
      <w:start w:val="1"/>
      <w:numFmt w:val="lowerLetter"/>
      <w:lvlText w:val="%8"/>
      <w:lvlJc w:val="left"/>
      <w:pPr>
        <w:ind w:left="57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423AFB9E">
      <w:start w:val="1"/>
      <w:numFmt w:val="lowerRoman"/>
      <w:lvlText w:val="%9"/>
      <w:lvlJc w:val="left"/>
      <w:pPr>
        <w:ind w:left="65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3" w15:restartNumberingAfterBreak="0">
    <w:nsid w:val="232C7955"/>
    <w:multiLevelType w:val="hybridMultilevel"/>
    <w:tmpl w:val="FB92D934"/>
    <w:lvl w:ilvl="0" w:tplc="B906CE3A">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4" w15:restartNumberingAfterBreak="0">
    <w:nsid w:val="246E4886"/>
    <w:multiLevelType w:val="hybridMultilevel"/>
    <w:tmpl w:val="E9FE7D3E"/>
    <w:lvl w:ilvl="0" w:tplc="4D52A3FE">
      <w:start w:val="2"/>
      <w:numFmt w:val="decimal"/>
      <w:lvlText w:val="(%1)"/>
      <w:lvlJc w:val="left"/>
      <w:pPr>
        <w:ind w:left="3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C78E15A0">
      <w:start w:val="1"/>
      <w:numFmt w:val="lowerLetter"/>
      <w:lvlText w:val="(%2)"/>
      <w:lvlJc w:val="left"/>
      <w:pPr>
        <w:ind w:left="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2248723C">
      <w:start w:val="1"/>
      <w:numFmt w:val="lowerRoman"/>
      <w:lvlText w:val="%3"/>
      <w:lvlJc w:val="left"/>
      <w:pPr>
        <w:ind w:left="17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F3F8181E">
      <w:start w:val="1"/>
      <w:numFmt w:val="decimal"/>
      <w:lvlText w:val="%4"/>
      <w:lvlJc w:val="left"/>
      <w:pPr>
        <w:ind w:left="24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A90002DA">
      <w:start w:val="1"/>
      <w:numFmt w:val="lowerLetter"/>
      <w:lvlText w:val="%5"/>
      <w:lvlJc w:val="left"/>
      <w:pPr>
        <w:ind w:left="32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A5A41D70">
      <w:start w:val="1"/>
      <w:numFmt w:val="lowerRoman"/>
      <w:lvlText w:val="%6"/>
      <w:lvlJc w:val="left"/>
      <w:pPr>
        <w:ind w:left="3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A844E182">
      <w:start w:val="1"/>
      <w:numFmt w:val="decimal"/>
      <w:lvlText w:val="%7"/>
      <w:lvlJc w:val="left"/>
      <w:pPr>
        <w:ind w:left="46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B6D212E2">
      <w:start w:val="1"/>
      <w:numFmt w:val="lowerLetter"/>
      <w:lvlText w:val="%8"/>
      <w:lvlJc w:val="left"/>
      <w:pPr>
        <w:ind w:left="5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A91ADD84">
      <w:start w:val="1"/>
      <w:numFmt w:val="lowerRoman"/>
      <w:lvlText w:val="%9"/>
      <w:lvlJc w:val="left"/>
      <w:pPr>
        <w:ind w:left="60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5" w15:restartNumberingAfterBreak="0">
    <w:nsid w:val="291412E1"/>
    <w:multiLevelType w:val="hybridMultilevel"/>
    <w:tmpl w:val="72C4262A"/>
    <w:lvl w:ilvl="0" w:tplc="18548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8B4551"/>
    <w:multiLevelType w:val="hybridMultilevel"/>
    <w:tmpl w:val="D1D448D2"/>
    <w:lvl w:ilvl="0" w:tplc="03C043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9960C6"/>
    <w:multiLevelType w:val="hybridMultilevel"/>
    <w:tmpl w:val="B6A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574E6"/>
    <w:multiLevelType w:val="hybridMultilevel"/>
    <w:tmpl w:val="D7F8FCC2"/>
    <w:lvl w:ilvl="0" w:tplc="4F280A1A">
      <w:start w:val="1"/>
      <w:numFmt w:val="decimal"/>
      <w:lvlText w:val="%1"/>
      <w:lvlJc w:val="left"/>
      <w:pPr>
        <w:ind w:left="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080E51B0">
      <w:start w:val="1"/>
      <w:numFmt w:val="lowerLetter"/>
      <w:lvlRestart w:val="0"/>
      <w:lvlText w:val="(%2)"/>
      <w:lvlJc w:val="left"/>
      <w:pPr>
        <w:ind w:left="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1BEC9A9A">
      <w:start w:val="1"/>
      <w:numFmt w:val="lowerRoman"/>
      <w:lvlText w:val="%3"/>
      <w:lvlJc w:val="left"/>
      <w:pPr>
        <w:ind w:left="17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840650A6">
      <w:start w:val="1"/>
      <w:numFmt w:val="decimal"/>
      <w:lvlText w:val="%4"/>
      <w:lvlJc w:val="left"/>
      <w:pPr>
        <w:ind w:left="24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8214AEAC">
      <w:start w:val="1"/>
      <w:numFmt w:val="lowerLetter"/>
      <w:lvlText w:val="%5"/>
      <w:lvlJc w:val="left"/>
      <w:pPr>
        <w:ind w:left="32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6AF250C8">
      <w:start w:val="1"/>
      <w:numFmt w:val="lowerRoman"/>
      <w:lvlText w:val="%6"/>
      <w:lvlJc w:val="left"/>
      <w:pPr>
        <w:ind w:left="3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652CC7EC">
      <w:start w:val="1"/>
      <w:numFmt w:val="decimal"/>
      <w:lvlText w:val="%7"/>
      <w:lvlJc w:val="left"/>
      <w:pPr>
        <w:ind w:left="46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358CCE9E">
      <w:start w:val="1"/>
      <w:numFmt w:val="lowerLetter"/>
      <w:lvlText w:val="%8"/>
      <w:lvlJc w:val="left"/>
      <w:pPr>
        <w:ind w:left="5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1FA44708">
      <w:start w:val="1"/>
      <w:numFmt w:val="lowerRoman"/>
      <w:lvlText w:val="%9"/>
      <w:lvlJc w:val="left"/>
      <w:pPr>
        <w:ind w:left="60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9" w15:restartNumberingAfterBreak="0">
    <w:nsid w:val="4F040F31"/>
    <w:multiLevelType w:val="hybridMultilevel"/>
    <w:tmpl w:val="F4760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8AB7330"/>
    <w:multiLevelType w:val="hybridMultilevel"/>
    <w:tmpl w:val="968ACACE"/>
    <w:lvl w:ilvl="0" w:tplc="A4F4CE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6087BCF"/>
    <w:multiLevelType w:val="hybridMultilevel"/>
    <w:tmpl w:val="0EA088AC"/>
    <w:lvl w:ilvl="0" w:tplc="27BA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73A3241"/>
    <w:multiLevelType w:val="hybridMultilevel"/>
    <w:tmpl w:val="3B383396"/>
    <w:lvl w:ilvl="0" w:tplc="4D68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1"/>
  </w:num>
  <w:num w:numId="5">
    <w:abstractNumId w:val="7"/>
  </w:num>
  <w:num w:numId="6">
    <w:abstractNumId w:val="5"/>
  </w:num>
  <w:num w:numId="7">
    <w:abstractNumId w:val="6"/>
  </w:num>
  <w:num w:numId="8">
    <w:abstractNumId w:val="1"/>
  </w:num>
  <w:num w:numId="9">
    <w:abstractNumId w:val="10"/>
  </w:num>
  <w:num w:numId="10">
    <w:abstractNumId w:val="12"/>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F94AC4-3E37-45C9-9123-85A26A90B31B}"/>
    <w:docVar w:name="dgnword-eventsink" w:val="2084409187264"/>
  </w:docVars>
  <w:rsids>
    <w:rsidRoot w:val="00093030"/>
    <w:rsid w:val="00000D60"/>
    <w:rsid w:val="00000DDF"/>
    <w:rsid w:val="00001193"/>
    <w:rsid w:val="000049B7"/>
    <w:rsid w:val="00004A38"/>
    <w:rsid w:val="00005095"/>
    <w:rsid w:val="0000616B"/>
    <w:rsid w:val="00006C1C"/>
    <w:rsid w:val="00011532"/>
    <w:rsid w:val="00013602"/>
    <w:rsid w:val="00014965"/>
    <w:rsid w:val="00023D16"/>
    <w:rsid w:val="0002608C"/>
    <w:rsid w:val="000266AC"/>
    <w:rsid w:val="0002709F"/>
    <w:rsid w:val="00027C48"/>
    <w:rsid w:val="00032669"/>
    <w:rsid w:val="0003511F"/>
    <w:rsid w:val="0003592B"/>
    <w:rsid w:val="0003646C"/>
    <w:rsid w:val="00037EE9"/>
    <w:rsid w:val="000450F7"/>
    <w:rsid w:val="000525B7"/>
    <w:rsid w:val="00052FD2"/>
    <w:rsid w:val="000532CE"/>
    <w:rsid w:val="000544D3"/>
    <w:rsid w:val="0006092F"/>
    <w:rsid w:val="00062146"/>
    <w:rsid w:val="00062BAE"/>
    <w:rsid w:val="00063FE4"/>
    <w:rsid w:val="00067A07"/>
    <w:rsid w:val="00067CF8"/>
    <w:rsid w:val="00071B68"/>
    <w:rsid w:val="0007303C"/>
    <w:rsid w:val="0007319C"/>
    <w:rsid w:val="00073E5C"/>
    <w:rsid w:val="00074A73"/>
    <w:rsid w:val="00075E95"/>
    <w:rsid w:val="000778E9"/>
    <w:rsid w:val="00080C93"/>
    <w:rsid w:val="000824FE"/>
    <w:rsid w:val="00090B24"/>
    <w:rsid w:val="00093030"/>
    <w:rsid w:val="000943C6"/>
    <w:rsid w:val="000967AE"/>
    <w:rsid w:val="000A21DB"/>
    <w:rsid w:val="000A5052"/>
    <w:rsid w:val="000B1685"/>
    <w:rsid w:val="000B1799"/>
    <w:rsid w:val="000C0BF0"/>
    <w:rsid w:val="000C16AA"/>
    <w:rsid w:val="000C3E2A"/>
    <w:rsid w:val="000C7263"/>
    <w:rsid w:val="000D10B8"/>
    <w:rsid w:val="000D4D7A"/>
    <w:rsid w:val="000D6DD4"/>
    <w:rsid w:val="000D71B8"/>
    <w:rsid w:val="000E03A7"/>
    <w:rsid w:val="000E07D7"/>
    <w:rsid w:val="000E3A05"/>
    <w:rsid w:val="000E4018"/>
    <w:rsid w:val="000E4088"/>
    <w:rsid w:val="000E4C8A"/>
    <w:rsid w:val="000F012A"/>
    <w:rsid w:val="000F0ADB"/>
    <w:rsid w:val="000F13E9"/>
    <w:rsid w:val="000F1680"/>
    <w:rsid w:val="000F2D4B"/>
    <w:rsid w:val="000F325E"/>
    <w:rsid w:val="000F36A8"/>
    <w:rsid w:val="000F7403"/>
    <w:rsid w:val="00101D5F"/>
    <w:rsid w:val="001028B5"/>
    <w:rsid w:val="00102C8C"/>
    <w:rsid w:val="00107072"/>
    <w:rsid w:val="00107449"/>
    <w:rsid w:val="00107BC6"/>
    <w:rsid w:val="00115545"/>
    <w:rsid w:val="00115DE2"/>
    <w:rsid w:val="00116A08"/>
    <w:rsid w:val="00117958"/>
    <w:rsid w:val="00117E9F"/>
    <w:rsid w:val="001205BB"/>
    <w:rsid w:val="00120C7D"/>
    <w:rsid w:val="00122058"/>
    <w:rsid w:val="00123BD2"/>
    <w:rsid w:val="00127B00"/>
    <w:rsid w:val="00130454"/>
    <w:rsid w:val="001323CA"/>
    <w:rsid w:val="00133AD0"/>
    <w:rsid w:val="00133EBC"/>
    <w:rsid w:val="001405B2"/>
    <w:rsid w:val="001439F5"/>
    <w:rsid w:val="00145BF9"/>
    <w:rsid w:val="0014686F"/>
    <w:rsid w:val="00146E95"/>
    <w:rsid w:val="001536E7"/>
    <w:rsid w:val="00153BD0"/>
    <w:rsid w:val="0015450E"/>
    <w:rsid w:val="00155979"/>
    <w:rsid w:val="00155F7E"/>
    <w:rsid w:val="00156012"/>
    <w:rsid w:val="001602BF"/>
    <w:rsid w:val="001603E8"/>
    <w:rsid w:val="0016084C"/>
    <w:rsid w:val="00161722"/>
    <w:rsid w:val="001624C6"/>
    <w:rsid w:val="00162FB6"/>
    <w:rsid w:val="00164465"/>
    <w:rsid w:val="00165280"/>
    <w:rsid w:val="00167CF1"/>
    <w:rsid w:val="00175473"/>
    <w:rsid w:val="00177CD2"/>
    <w:rsid w:val="00180441"/>
    <w:rsid w:val="0018188C"/>
    <w:rsid w:val="001834CD"/>
    <w:rsid w:val="00183ACB"/>
    <w:rsid w:val="00184743"/>
    <w:rsid w:val="00185E39"/>
    <w:rsid w:val="00187B8A"/>
    <w:rsid w:val="001910E7"/>
    <w:rsid w:val="00191D15"/>
    <w:rsid w:val="00197563"/>
    <w:rsid w:val="0019759D"/>
    <w:rsid w:val="001A05FB"/>
    <w:rsid w:val="001A2186"/>
    <w:rsid w:val="001A24D0"/>
    <w:rsid w:val="001A5A92"/>
    <w:rsid w:val="001B5808"/>
    <w:rsid w:val="001B5A79"/>
    <w:rsid w:val="001B68B1"/>
    <w:rsid w:val="001B7AD7"/>
    <w:rsid w:val="001B7F4B"/>
    <w:rsid w:val="001C01C3"/>
    <w:rsid w:val="001C48DD"/>
    <w:rsid w:val="001C5050"/>
    <w:rsid w:val="001C5729"/>
    <w:rsid w:val="001C6AE5"/>
    <w:rsid w:val="001C7DDB"/>
    <w:rsid w:val="001D05EE"/>
    <w:rsid w:val="001D0FA4"/>
    <w:rsid w:val="001D24D5"/>
    <w:rsid w:val="001D34DB"/>
    <w:rsid w:val="001D5000"/>
    <w:rsid w:val="001D5248"/>
    <w:rsid w:val="001D5363"/>
    <w:rsid w:val="001D6CB3"/>
    <w:rsid w:val="001E22C1"/>
    <w:rsid w:val="001E24ED"/>
    <w:rsid w:val="001F1F0F"/>
    <w:rsid w:val="001F39B0"/>
    <w:rsid w:val="001F5BA5"/>
    <w:rsid w:val="001F79B3"/>
    <w:rsid w:val="001F7B80"/>
    <w:rsid w:val="001F7E9F"/>
    <w:rsid w:val="00200121"/>
    <w:rsid w:val="00201A3E"/>
    <w:rsid w:val="00202B5A"/>
    <w:rsid w:val="00202C83"/>
    <w:rsid w:val="002044D1"/>
    <w:rsid w:val="00204958"/>
    <w:rsid w:val="00205595"/>
    <w:rsid w:val="0020601B"/>
    <w:rsid w:val="00214DD9"/>
    <w:rsid w:val="00220881"/>
    <w:rsid w:val="00225BBC"/>
    <w:rsid w:val="00230082"/>
    <w:rsid w:val="0023283A"/>
    <w:rsid w:val="00232EBF"/>
    <w:rsid w:val="00233D66"/>
    <w:rsid w:val="002341A3"/>
    <w:rsid w:val="002349F8"/>
    <w:rsid w:val="00236C2D"/>
    <w:rsid w:val="00241863"/>
    <w:rsid w:val="002439D6"/>
    <w:rsid w:val="002456E0"/>
    <w:rsid w:val="002467C8"/>
    <w:rsid w:val="00247A40"/>
    <w:rsid w:val="002504A4"/>
    <w:rsid w:val="002520B6"/>
    <w:rsid w:val="002541BF"/>
    <w:rsid w:val="0025430E"/>
    <w:rsid w:val="002558B3"/>
    <w:rsid w:val="00256D1C"/>
    <w:rsid w:val="00257159"/>
    <w:rsid w:val="00257896"/>
    <w:rsid w:val="00260BA0"/>
    <w:rsid w:val="00260E0F"/>
    <w:rsid w:val="002632AB"/>
    <w:rsid w:val="00265865"/>
    <w:rsid w:val="00265BE6"/>
    <w:rsid w:val="00271F83"/>
    <w:rsid w:val="0027337F"/>
    <w:rsid w:val="00274EF3"/>
    <w:rsid w:val="00280F22"/>
    <w:rsid w:val="00281468"/>
    <w:rsid w:val="002831CE"/>
    <w:rsid w:val="002834C6"/>
    <w:rsid w:val="00284FB0"/>
    <w:rsid w:val="002856AB"/>
    <w:rsid w:val="00285944"/>
    <w:rsid w:val="002878A7"/>
    <w:rsid w:val="00290A48"/>
    <w:rsid w:val="00291EBA"/>
    <w:rsid w:val="00292053"/>
    <w:rsid w:val="00292DC0"/>
    <w:rsid w:val="002963C5"/>
    <w:rsid w:val="002A0965"/>
    <w:rsid w:val="002A34C7"/>
    <w:rsid w:val="002A34EE"/>
    <w:rsid w:val="002A4CF0"/>
    <w:rsid w:val="002A5121"/>
    <w:rsid w:val="002B1180"/>
    <w:rsid w:val="002B2C7F"/>
    <w:rsid w:val="002B37B5"/>
    <w:rsid w:val="002B4830"/>
    <w:rsid w:val="002B529D"/>
    <w:rsid w:val="002B5C45"/>
    <w:rsid w:val="002B6307"/>
    <w:rsid w:val="002B635F"/>
    <w:rsid w:val="002B68BA"/>
    <w:rsid w:val="002B7133"/>
    <w:rsid w:val="002C0533"/>
    <w:rsid w:val="002C7593"/>
    <w:rsid w:val="002C76EE"/>
    <w:rsid w:val="002D2121"/>
    <w:rsid w:val="002D749D"/>
    <w:rsid w:val="002D7CE1"/>
    <w:rsid w:val="002E196B"/>
    <w:rsid w:val="002E1A1B"/>
    <w:rsid w:val="002E3500"/>
    <w:rsid w:val="002E4B3D"/>
    <w:rsid w:val="002F3AB0"/>
    <w:rsid w:val="002F65FE"/>
    <w:rsid w:val="002F797D"/>
    <w:rsid w:val="00300756"/>
    <w:rsid w:val="003012FC"/>
    <w:rsid w:val="003020E7"/>
    <w:rsid w:val="003028BA"/>
    <w:rsid w:val="00302B39"/>
    <w:rsid w:val="00304276"/>
    <w:rsid w:val="00304ACD"/>
    <w:rsid w:val="00305BAC"/>
    <w:rsid w:val="00310342"/>
    <w:rsid w:val="00310D00"/>
    <w:rsid w:val="003120B7"/>
    <w:rsid w:val="00314E0C"/>
    <w:rsid w:val="00315704"/>
    <w:rsid w:val="00315CC1"/>
    <w:rsid w:val="0031737A"/>
    <w:rsid w:val="003216CB"/>
    <w:rsid w:val="00322059"/>
    <w:rsid w:val="00322491"/>
    <w:rsid w:val="003225C8"/>
    <w:rsid w:val="0032305C"/>
    <w:rsid w:val="00323579"/>
    <w:rsid w:val="00325D86"/>
    <w:rsid w:val="00325F9F"/>
    <w:rsid w:val="00326179"/>
    <w:rsid w:val="00333427"/>
    <w:rsid w:val="00334CC8"/>
    <w:rsid w:val="00334EEF"/>
    <w:rsid w:val="0033563E"/>
    <w:rsid w:val="003414BD"/>
    <w:rsid w:val="0034280C"/>
    <w:rsid w:val="00343ECA"/>
    <w:rsid w:val="00344264"/>
    <w:rsid w:val="00344C68"/>
    <w:rsid w:val="00344FB1"/>
    <w:rsid w:val="00346CE5"/>
    <w:rsid w:val="00346F59"/>
    <w:rsid w:val="0035047C"/>
    <w:rsid w:val="003516D2"/>
    <w:rsid w:val="003523FF"/>
    <w:rsid w:val="00353B16"/>
    <w:rsid w:val="00356768"/>
    <w:rsid w:val="003623E5"/>
    <w:rsid w:val="00364E5A"/>
    <w:rsid w:val="00371293"/>
    <w:rsid w:val="00375A98"/>
    <w:rsid w:val="00375AFD"/>
    <w:rsid w:val="003826D3"/>
    <w:rsid w:val="00382A78"/>
    <w:rsid w:val="00383461"/>
    <w:rsid w:val="00383A69"/>
    <w:rsid w:val="00385031"/>
    <w:rsid w:val="00387552"/>
    <w:rsid w:val="003924A0"/>
    <w:rsid w:val="00392ED9"/>
    <w:rsid w:val="003934DF"/>
    <w:rsid w:val="0039647E"/>
    <w:rsid w:val="003974AD"/>
    <w:rsid w:val="003A29B8"/>
    <w:rsid w:val="003A3165"/>
    <w:rsid w:val="003A52DD"/>
    <w:rsid w:val="003A545B"/>
    <w:rsid w:val="003A624F"/>
    <w:rsid w:val="003A6621"/>
    <w:rsid w:val="003B24E2"/>
    <w:rsid w:val="003B28E7"/>
    <w:rsid w:val="003B40A2"/>
    <w:rsid w:val="003B4203"/>
    <w:rsid w:val="003B6DEB"/>
    <w:rsid w:val="003B7622"/>
    <w:rsid w:val="003C43A7"/>
    <w:rsid w:val="003C59DB"/>
    <w:rsid w:val="003C61DD"/>
    <w:rsid w:val="003C6743"/>
    <w:rsid w:val="003C686A"/>
    <w:rsid w:val="003D4290"/>
    <w:rsid w:val="003D5438"/>
    <w:rsid w:val="003D573B"/>
    <w:rsid w:val="003D64FA"/>
    <w:rsid w:val="003D6611"/>
    <w:rsid w:val="003D68B9"/>
    <w:rsid w:val="003E0255"/>
    <w:rsid w:val="003E07F0"/>
    <w:rsid w:val="003E10F0"/>
    <w:rsid w:val="003E4BF6"/>
    <w:rsid w:val="003E5065"/>
    <w:rsid w:val="003E5992"/>
    <w:rsid w:val="003F08B9"/>
    <w:rsid w:val="003F0B55"/>
    <w:rsid w:val="003F3243"/>
    <w:rsid w:val="003F3EA7"/>
    <w:rsid w:val="00401532"/>
    <w:rsid w:val="0040175B"/>
    <w:rsid w:val="00402CE2"/>
    <w:rsid w:val="0040480D"/>
    <w:rsid w:val="00404851"/>
    <w:rsid w:val="0040572E"/>
    <w:rsid w:val="00406576"/>
    <w:rsid w:val="00406D52"/>
    <w:rsid w:val="0040727B"/>
    <w:rsid w:val="00407413"/>
    <w:rsid w:val="004101C3"/>
    <w:rsid w:val="0041180C"/>
    <w:rsid w:val="004122EA"/>
    <w:rsid w:val="00412851"/>
    <w:rsid w:val="00413647"/>
    <w:rsid w:val="00413F81"/>
    <w:rsid w:val="00414DEB"/>
    <w:rsid w:val="004166AD"/>
    <w:rsid w:val="0041718C"/>
    <w:rsid w:val="0041769D"/>
    <w:rsid w:val="00420828"/>
    <w:rsid w:val="004226A5"/>
    <w:rsid w:val="00422FAE"/>
    <w:rsid w:val="004238B5"/>
    <w:rsid w:val="004240DB"/>
    <w:rsid w:val="0042576E"/>
    <w:rsid w:val="00425FC1"/>
    <w:rsid w:val="00431E8C"/>
    <w:rsid w:val="00432C2B"/>
    <w:rsid w:val="00432D09"/>
    <w:rsid w:val="00432F90"/>
    <w:rsid w:val="00433743"/>
    <w:rsid w:val="004337D7"/>
    <w:rsid w:val="00434417"/>
    <w:rsid w:val="00436887"/>
    <w:rsid w:val="00436BDE"/>
    <w:rsid w:val="00440514"/>
    <w:rsid w:val="00444EEC"/>
    <w:rsid w:val="004461E0"/>
    <w:rsid w:val="004520E7"/>
    <w:rsid w:val="004527E5"/>
    <w:rsid w:val="00453AAA"/>
    <w:rsid w:val="00453D6A"/>
    <w:rsid w:val="0045749D"/>
    <w:rsid w:val="00457C70"/>
    <w:rsid w:val="00460B39"/>
    <w:rsid w:val="00461E34"/>
    <w:rsid w:val="00461F7D"/>
    <w:rsid w:val="00463C61"/>
    <w:rsid w:val="00466714"/>
    <w:rsid w:val="004667E3"/>
    <w:rsid w:val="00471529"/>
    <w:rsid w:val="004719E8"/>
    <w:rsid w:val="00471A81"/>
    <w:rsid w:val="00475708"/>
    <w:rsid w:val="00476861"/>
    <w:rsid w:val="00477228"/>
    <w:rsid w:val="00481774"/>
    <w:rsid w:val="00483BA1"/>
    <w:rsid w:val="004845AA"/>
    <w:rsid w:val="00487172"/>
    <w:rsid w:val="00493BFC"/>
    <w:rsid w:val="0049401F"/>
    <w:rsid w:val="00494105"/>
    <w:rsid w:val="004A05E1"/>
    <w:rsid w:val="004A2349"/>
    <w:rsid w:val="004A279C"/>
    <w:rsid w:val="004A36DE"/>
    <w:rsid w:val="004A3799"/>
    <w:rsid w:val="004A4475"/>
    <w:rsid w:val="004A4743"/>
    <w:rsid w:val="004A7988"/>
    <w:rsid w:val="004A7C82"/>
    <w:rsid w:val="004B2B82"/>
    <w:rsid w:val="004B2ED1"/>
    <w:rsid w:val="004B2EDA"/>
    <w:rsid w:val="004B54B1"/>
    <w:rsid w:val="004B7E2B"/>
    <w:rsid w:val="004C0805"/>
    <w:rsid w:val="004C36DC"/>
    <w:rsid w:val="004C4EBE"/>
    <w:rsid w:val="004C6C92"/>
    <w:rsid w:val="004D2265"/>
    <w:rsid w:val="004D2673"/>
    <w:rsid w:val="004D355B"/>
    <w:rsid w:val="004D5D7E"/>
    <w:rsid w:val="004D6BB8"/>
    <w:rsid w:val="004D7874"/>
    <w:rsid w:val="004D7D31"/>
    <w:rsid w:val="004D7EF2"/>
    <w:rsid w:val="004E22D6"/>
    <w:rsid w:val="004E27BD"/>
    <w:rsid w:val="004E2B99"/>
    <w:rsid w:val="004E444A"/>
    <w:rsid w:val="004E469D"/>
    <w:rsid w:val="004E4E9D"/>
    <w:rsid w:val="004E5081"/>
    <w:rsid w:val="004E75C7"/>
    <w:rsid w:val="004F10C6"/>
    <w:rsid w:val="004F2F87"/>
    <w:rsid w:val="004F3287"/>
    <w:rsid w:val="005011FF"/>
    <w:rsid w:val="005016B6"/>
    <w:rsid w:val="005018BB"/>
    <w:rsid w:val="00507868"/>
    <w:rsid w:val="00507A8F"/>
    <w:rsid w:val="00511BE0"/>
    <w:rsid w:val="005144B8"/>
    <w:rsid w:val="0051479D"/>
    <w:rsid w:val="00515B18"/>
    <w:rsid w:val="0051612A"/>
    <w:rsid w:val="00516C28"/>
    <w:rsid w:val="00517E1C"/>
    <w:rsid w:val="00520FF2"/>
    <w:rsid w:val="00521DD2"/>
    <w:rsid w:val="0052219D"/>
    <w:rsid w:val="005221B5"/>
    <w:rsid w:val="00524E89"/>
    <w:rsid w:val="00525212"/>
    <w:rsid w:val="0052534E"/>
    <w:rsid w:val="00526F26"/>
    <w:rsid w:val="00527B5C"/>
    <w:rsid w:val="00531489"/>
    <w:rsid w:val="00535C2A"/>
    <w:rsid w:val="00535EF8"/>
    <w:rsid w:val="005423DB"/>
    <w:rsid w:val="0054282E"/>
    <w:rsid w:val="005441A8"/>
    <w:rsid w:val="005460EA"/>
    <w:rsid w:val="00547091"/>
    <w:rsid w:val="005510AF"/>
    <w:rsid w:val="005520C9"/>
    <w:rsid w:val="00552B76"/>
    <w:rsid w:val="0055488E"/>
    <w:rsid w:val="0055507F"/>
    <w:rsid w:val="00555C2A"/>
    <w:rsid w:val="0056072F"/>
    <w:rsid w:val="005608BE"/>
    <w:rsid w:val="00562686"/>
    <w:rsid w:val="005663FF"/>
    <w:rsid w:val="00566DD4"/>
    <w:rsid w:val="005711DB"/>
    <w:rsid w:val="00571430"/>
    <w:rsid w:val="005737EE"/>
    <w:rsid w:val="00576C20"/>
    <w:rsid w:val="00576CE3"/>
    <w:rsid w:val="00577CB4"/>
    <w:rsid w:val="00582667"/>
    <w:rsid w:val="0058502F"/>
    <w:rsid w:val="005851F6"/>
    <w:rsid w:val="00585711"/>
    <w:rsid w:val="00586D74"/>
    <w:rsid w:val="00591B51"/>
    <w:rsid w:val="00593BB6"/>
    <w:rsid w:val="00593F76"/>
    <w:rsid w:val="00594FC7"/>
    <w:rsid w:val="005952EA"/>
    <w:rsid w:val="0059598C"/>
    <w:rsid w:val="00596307"/>
    <w:rsid w:val="005979BD"/>
    <w:rsid w:val="005A0DF6"/>
    <w:rsid w:val="005A1696"/>
    <w:rsid w:val="005A258A"/>
    <w:rsid w:val="005A300D"/>
    <w:rsid w:val="005A58C3"/>
    <w:rsid w:val="005A6BF5"/>
    <w:rsid w:val="005B00C5"/>
    <w:rsid w:val="005B0828"/>
    <w:rsid w:val="005B157C"/>
    <w:rsid w:val="005B2D6A"/>
    <w:rsid w:val="005C086A"/>
    <w:rsid w:val="005C0A19"/>
    <w:rsid w:val="005C27E6"/>
    <w:rsid w:val="005C4E46"/>
    <w:rsid w:val="005C4E8D"/>
    <w:rsid w:val="005C75AC"/>
    <w:rsid w:val="005C7F86"/>
    <w:rsid w:val="005D0CD5"/>
    <w:rsid w:val="005D1E39"/>
    <w:rsid w:val="005D23DC"/>
    <w:rsid w:val="005D24A5"/>
    <w:rsid w:val="005D275F"/>
    <w:rsid w:val="005D39DA"/>
    <w:rsid w:val="005D52D6"/>
    <w:rsid w:val="005D56F0"/>
    <w:rsid w:val="005D6967"/>
    <w:rsid w:val="005D7AA0"/>
    <w:rsid w:val="005E1557"/>
    <w:rsid w:val="005E28EC"/>
    <w:rsid w:val="005E31D8"/>
    <w:rsid w:val="005E3B05"/>
    <w:rsid w:val="005E693A"/>
    <w:rsid w:val="005F7C5D"/>
    <w:rsid w:val="00600947"/>
    <w:rsid w:val="00602670"/>
    <w:rsid w:val="00606CA2"/>
    <w:rsid w:val="00606DBD"/>
    <w:rsid w:val="00610974"/>
    <w:rsid w:val="00611443"/>
    <w:rsid w:val="00611D93"/>
    <w:rsid w:val="00613BCC"/>
    <w:rsid w:val="00614449"/>
    <w:rsid w:val="0061489A"/>
    <w:rsid w:val="00615DCB"/>
    <w:rsid w:val="00617CF9"/>
    <w:rsid w:val="00617E09"/>
    <w:rsid w:val="006236BD"/>
    <w:rsid w:val="00623893"/>
    <w:rsid w:val="0062637C"/>
    <w:rsid w:val="00627F4E"/>
    <w:rsid w:val="00630CB7"/>
    <w:rsid w:val="00631F7F"/>
    <w:rsid w:val="00632E6A"/>
    <w:rsid w:val="00632F67"/>
    <w:rsid w:val="00637C57"/>
    <w:rsid w:val="00640039"/>
    <w:rsid w:val="0064124A"/>
    <w:rsid w:val="00643092"/>
    <w:rsid w:val="00645224"/>
    <w:rsid w:val="00645F52"/>
    <w:rsid w:val="00646C74"/>
    <w:rsid w:val="0065005D"/>
    <w:rsid w:val="006529D8"/>
    <w:rsid w:val="00657BE7"/>
    <w:rsid w:val="00663F9E"/>
    <w:rsid w:val="006641A4"/>
    <w:rsid w:val="00666F38"/>
    <w:rsid w:val="00670A6A"/>
    <w:rsid w:val="00672C35"/>
    <w:rsid w:val="00674C30"/>
    <w:rsid w:val="00674F7C"/>
    <w:rsid w:val="006770FC"/>
    <w:rsid w:val="00680A5A"/>
    <w:rsid w:val="00681BED"/>
    <w:rsid w:val="00684049"/>
    <w:rsid w:val="006850AF"/>
    <w:rsid w:val="006852D4"/>
    <w:rsid w:val="00686AE8"/>
    <w:rsid w:val="00690872"/>
    <w:rsid w:val="006923B4"/>
    <w:rsid w:val="00692B43"/>
    <w:rsid w:val="0069328B"/>
    <w:rsid w:val="00693ACF"/>
    <w:rsid w:val="00695F69"/>
    <w:rsid w:val="00697435"/>
    <w:rsid w:val="006A0D38"/>
    <w:rsid w:val="006A2A51"/>
    <w:rsid w:val="006A3462"/>
    <w:rsid w:val="006A4D8F"/>
    <w:rsid w:val="006A5651"/>
    <w:rsid w:val="006A58AC"/>
    <w:rsid w:val="006A6DBF"/>
    <w:rsid w:val="006B2812"/>
    <w:rsid w:val="006B759F"/>
    <w:rsid w:val="006C25A6"/>
    <w:rsid w:val="006C348B"/>
    <w:rsid w:val="006C3F6B"/>
    <w:rsid w:val="006C4205"/>
    <w:rsid w:val="006C4556"/>
    <w:rsid w:val="006D0426"/>
    <w:rsid w:val="006D1B8D"/>
    <w:rsid w:val="006D455C"/>
    <w:rsid w:val="006D5984"/>
    <w:rsid w:val="006D5DB0"/>
    <w:rsid w:val="006D6A06"/>
    <w:rsid w:val="006D71AA"/>
    <w:rsid w:val="006E2774"/>
    <w:rsid w:val="006E37E1"/>
    <w:rsid w:val="006E56E3"/>
    <w:rsid w:val="006E5EBB"/>
    <w:rsid w:val="006F184A"/>
    <w:rsid w:val="006F4DC6"/>
    <w:rsid w:val="006F4FD4"/>
    <w:rsid w:val="006F70FD"/>
    <w:rsid w:val="006F77CD"/>
    <w:rsid w:val="007036E1"/>
    <w:rsid w:val="007052F5"/>
    <w:rsid w:val="007070A9"/>
    <w:rsid w:val="00707B8F"/>
    <w:rsid w:val="007138C9"/>
    <w:rsid w:val="00720667"/>
    <w:rsid w:val="00720B6C"/>
    <w:rsid w:val="00722431"/>
    <w:rsid w:val="00722A6E"/>
    <w:rsid w:val="00724D4A"/>
    <w:rsid w:val="007255D6"/>
    <w:rsid w:val="00725876"/>
    <w:rsid w:val="00726CC8"/>
    <w:rsid w:val="00730B26"/>
    <w:rsid w:val="0073289E"/>
    <w:rsid w:val="00732B65"/>
    <w:rsid w:val="00733634"/>
    <w:rsid w:val="00733C87"/>
    <w:rsid w:val="0073414D"/>
    <w:rsid w:val="00735EE8"/>
    <w:rsid w:val="00736D56"/>
    <w:rsid w:val="00741EFF"/>
    <w:rsid w:val="007479DD"/>
    <w:rsid w:val="00750832"/>
    <w:rsid w:val="00751747"/>
    <w:rsid w:val="00751C39"/>
    <w:rsid w:val="00755B7D"/>
    <w:rsid w:val="00756448"/>
    <w:rsid w:val="00756EA6"/>
    <w:rsid w:val="0075743F"/>
    <w:rsid w:val="00760F88"/>
    <w:rsid w:val="0076113E"/>
    <w:rsid w:val="0076332B"/>
    <w:rsid w:val="00772089"/>
    <w:rsid w:val="00772766"/>
    <w:rsid w:val="0077286E"/>
    <w:rsid w:val="00772F27"/>
    <w:rsid w:val="007741D5"/>
    <w:rsid w:val="00774648"/>
    <w:rsid w:val="00780954"/>
    <w:rsid w:val="007817F4"/>
    <w:rsid w:val="00793A9B"/>
    <w:rsid w:val="00794105"/>
    <w:rsid w:val="00797D13"/>
    <w:rsid w:val="007A0413"/>
    <w:rsid w:val="007A0EB0"/>
    <w:rsid w:val="007A18DA"/>
    <w:rsid w:val="007A1F55"/>
    <w:rsid w:val="007A3175"/>
    <w:rsid w:val="007A34DB"/>
    <w:rsid w:val="007A633F"/>
    <w:rsid w:val="007A7440"/>
    <w:rsid w:val="007B3692"/>
    <w:rsid w:val="007B3CA4"/>
    <w:rsid w:val="007B3FE9"/>
    <w:rsid w:val="007B45F0"/>
    <w:rsid w:val="007B5C09"/>
    <w:rsid w:val="007B623F"/>
    <w:rsid w:val="007C0861"/>
    <w:rsid w:val="007C3E99"/>
    <w:rsid w:val="007C5B01"/>
    <w:rsid w:val="007C5FE4"/>
    <w:rsid w:val="007D29E1"/>
    <w:rsid w:val="007D77A7"/>
    <w:rsid w:val="007D78F7"/>
    <w:rsid w:val="007E092A"/>
    <w:rsid w:val="007E35C8"/>
    <w:rsid w:val="007E71CA"/>
    <w:rsid w:val="007F0440"/>
    <w:rsid w:val="007F10D4"/>
    <w:rsid w:val="007F3DEA"/>
    <w:rsid w:val="007F3F11"/>
    <w:rsid w:val="007F45CF"/>
    <w:rsid w:val="007F69DE"/>
    <w:rsid w:val="007F6CE2"/>
    <w:rsid w:val="007F6F11"/>
    <w:rsid w:val="0080190D"/>
    <w:rsid w:val="00804EB3"/>
    <w:rsid w:val="00807DCF"/>
    <w:rsid w:val="00810C18"/>
    <w:rsid w:val="00811073"/>
    <w:rsid w:val="0081781F"/>
    <w:rsid w:val="008213A9"/>
    <w:rsid w:val="00821536"/>
    <w:rsid w:val="00822E92"/>
    <w:rsid w:val="00823489"/>
    <w:rsid w:val="00823D61"/>
    <w:rsid w:val="00824F3B"/>
    <w:rsid w:val="008307E9"/>
    <w:rsid w:val="0083096B"/>
    <w:rsid w:val="0083273E"/>
    <w:rsid w:val="00833920"/>
    <w:rsid w:val="00834EE5"/>
    <w:rsid w:val="0084056F"/>
    <w:rsid w:val="00840A7A"/>
    <w:rsid w:val="008424BA"/>
    <w:rsid w:val="0084558B"/>
    <w:rsid w:val="00851466"/>
    <w:rsid w:val="00851969"/>
    <w:rsid w:val="00854482"/>
    <w:rsid w:val="008545B9"/>
    <w:rsid w:val="008548F2"/>
    <w:rsid w:val="00854A40"/>
    <w:rsid w:val="00855D0B"/>
    <w:rsid w:val="00857612"/>
    <w:rsid w:val="0086014D"/>
    <w:rsid w:val="008604B0"/>
    <w:rsid w:val="00861EBD"/>
    <w:rsid w:val="00864296"/>
    <w:rsid w:val="00864ABA"/>
    <w:rsid w:val="0086616F"/>
    <w:rsid w:val="008711AB"/>
    <w:rsid w:val="0087408D"/>
    <w:rsid w:val="008742B8"/>
    <w:rsid w:val="008756F3"/>
    <w:rsid w:val="00880CAC"/>
    <w:rsid w:val="008810F3"/>
    <w:rsid w:val="008815E6"/>
    <w:rsid w:val="0088221B"/>
    <w:rsid w:val="00882FF4"/>
    <w:rsid w:val="008839E5"/>
    <w:rsid w:val="0088444D"/>
    <w:rsid w:val="008869E1"/>
    <w:rsid w:val="00892CF6"/>
    <w:rsid w:val="00894922"/>
    <w:rsid w:val="0089623D"/>
    <w:rsid w:val="00896F2B"/>
    <w:rsid w:val="008A078D"/>
    <w:rsid w:val="008A38D5"/>
    <w:rsid w:val="008A53E6"/>
    <w:rsid w:val="008A590D"/>
    <w:rsid w:val="008A5B61"/>
    <w:rsid w:val="008A76E1"/>
    <w:rsid w:val="008B02EE"/>
    <w:rsid w:val="008B1839"/>
    <w:rsid w:val="008B2116"/>
    <w:rsid w:val="008B23FE"/>
    <w:rsid w:val="008B25BB"/>
    <w:rsid w:val="008B2761"/>
    <w:rsid w:val="008B2E57"/>
    <w:rsid w:val="008B45FE"/>
    <w:rsid w:val="008B5DCD"/>
    <w:rsid w:val="008B67FB"/>
    <w:rsid w:val="008C337F"/>
    <w:rsid w:val="008C523E"/>
    <w:rsid w:val="008C52D4"/>
    <w:rsid w:val="008C574F"/>
    <w:rsid w:val="008C62BE"/>
    <w:rsid w:val="008C6D98"/>
    <w:rsid w:val="008C6F52"/>
    <w:rsid w:val="008C764B"/>
    <w:rsid w:val="008D0155"/>
    <w:rsid w:val="008D4AAA"/>
    <w:rsid w:val="008D6D2E"/>
    <w:rsid w:val="008E16BF"/>
    <w:rsid w:val="008E2564"/>
    <w:rsid w:val="008E2936"/>
    <w:rsid w:val="008E46AA"/>
    <w:rsid w:val="008E6C69"/>
    <w:rsid w:val="008F0AA1"/>
    <w:rsid w:val="008F0ACC"/>
    <w:rsid w:val="008F1070"/>
    <w:rsid w:val="008F1177"/>
    <w:rsid w:val="008F38AB"/>
    <w:rsid w:val="008F3E5B"/>
    <w:rsid w:val="008F637F"/>
    <w:rsid w:val="008F7245"/>
    <w:rsid w:val="00900CC0"/>
    <w:rsid w:val="009012AA"/>
    <w:rsid w:val="0090225E"/>
    <w:rsid w:val="0090251C"/>
    <w:rsid w:val="00904B1E"/>
    <w:rsid w:val="00906403"/>
    <w:rsid w:val="009074D7"/>
    <w:rsid w:val="00907A7E"/>
    <w:rsid w:val="009105B7"/>
    <w:rsid w:val="00910E1B"/>
    <w:rsid w:val="009114B7"/>
    <w:rsid w:val="009119EC"/>
    <w:rsid w:val="009132D5"/>
    <w:rsid w:val="00915029"/>
    <w:rsid w:val="00915A24"/>
    <w:rsid w:val="0091618A"/>
    <w:rsid w:val="00916F5E"/>
    <w:rsid w:val="00921936"/>
    <w:rsid w:val="00924AC6"/>
    <w:rsid w:val="0092681D"/>
    <w:rsid w:val="00927190"/>
    <w:rsid w:val="00931833"/>
    <w:rsid w:val="00931933"/>
    <w:rsid w:val="00931A31"/>
    <w:rsid w:val="00931C1F"/>
    <w:rsid w:val="00931F7E"/>
    <w:rsid w:val="0093294A"/>
    <w:rsid w:val="009344C4"/>
    <w:rsid w:val="00935988"/>
    <w:rsid w:val="00936916"/>
    <w:rsid w:val="00940109"/>
    <w:rsid w:val="009419F6"/>
    <w:rsid w:val="009421F2"/>
    <w:rsid w:val="00942940"/>
    <w:rsid w:val="009435CF"/>
    <w:rsid w:val="00943917"/>
    <w:rsid w:val="0094406A"/>
    <w:rsid w:val="009440C6"/>
    <w:rsid w:val="00944739"/>
    <w:rsid w:val="009451D6"/>
    <w:rsid w:val="00947894"/>
    <w:rsid w:val="009503D4"/>
    <w:rsid w:val="0095118B"/>
    <w:rsid w:val="00951483"/>
    <w:rsid w:val="00953219"/>
    <w:rsid w:val="009543E9"/>
    <w:rsid w:val="00954677"/>
    <w:rsid w:val="0096041F"/>
    <w:rsid w:val="009623EC"/>
    <w:rsid w:val="00962E1E"/>
    <w:rsid w:val="009648AC"/>
    <w:rsid w:val="00965BAF"/>
    <w:rsid w:val="00966544"/>
    <w:rsid w:val="009670B4"/>
    <w:rsid w:val="009676B8"/>
    <w:rsid w:val="009732E6"/>
    <w:rsid w:val="00973787"/>
    <w:rsid w:val="00973F2C"/>
    <w:rsid w:val="009747DC"/>
    <w:rsid w:val="00977D10"/>
    <w:rsid w:val="009914F8"/>
    <w:rsid w:val="0099355C"/>
    <w:rsid w:val="0099533D"/>
    <w:rsid w:val="00996F20"/>
    <w:rsid w:val="009A1AFF"/>
    <w:rsid w:val="009A278C"/>
    <w:rsid w:val="009A3876"/>
    <w:rsid w:val="009A5F28"/>
    <w:rsid w:val="009A7C37"/>
    <w:rsid w:val="009B1A7C"/>
    <w:rsid w:val="009B6E07"/>
    <w:rsid w:val="009C1E94"/>
    <w:rsid w:val="009C3584"/>
    <w:rsid w:val="009C4BDB"/>
    <w:rsid w:val="009C7EB6"/>
    <w:rsid w:val="009D0BD5"/>
    <w:rsid w:val="009D2A8E"/>
    <w:rsid w:val="009D3035"/>
    <w:rsid w:val="009D3BA4"/>
    <w:rsid w:val="009D4C40"/>
    <w:rsid w:val="009D5061"/>
    <w:rsid w:val="009D7AA2"/>
    <w:rsid w:val="009E2CB6"/>
    <w:rsid w:val="009E3003"/>
    <w:rsid w:val="009E3A3C"/>
    <w:rsid w:val="009E3E7D"/>
    <w:rsid w:val="009F015E"/>
    <w:rsid w:val="009F168E"/>
    <w:rsid w:val="009F57D6"/>
    <w:rsid w:val="009F77A0"/>
    <w:rsid w:val="00A00A07"/>
    <w:rsid w:val="00A02155"/>
    <w:rsid w:val="00A034AC"/>
    <w:rsid w:val="00A0530B"/>
    <w:rsid w:val="00A05F0C"/>
    <w:rsid w:val="00A07FB1"/>
    <w:rsid w:val="00A10D62"/>
    <w:rsid w:val="00A13D03"/>
    <w:rsid w:val="00A13E4B"/>
    <w:rsid w:val="00A14022"/>
    <w:rsid w:val="00A17D8F"/>
    <w:rsid w:val="00A213B1"/>
    <w:rsid w:val="00A22CA7"/>
    <w:rsid w:val="00A23B01"/>
    <w:rsid w:val="00A23D93"/>
    <w:rsid w:val="00A25777"/>
    <w:rsid w:val="00A262F5"/>
    <w:rsid w:val="00A302B6"/>
    <w:rsid w:val="00A302D2"/>
    <w:rsid w:val="00A303B5"/>
    <w:rsid w:val="00A324B7"/>
    <w:rsid w:val="00A32737"/>
    <w:rsid w:val="00A34750"/>
    <w:rsid w:val="00A40AD7"/>
    <w:rsid w:val="00A42358"/>
    <w:rsid w:val="00A454DE"/>
    <w:rsid w:val="00A5048F"/>
    <w:rsid w:val="00A51032"/>
    <w:rsid w:val="00A52A52"/>
    <w:rsid w:val="00A5422A"/>
    <w:rsid w:val="00A55A91"/>
    <w:rsid w:val="00A60286"/>
    <w:rsid w:val="00A61A94"/>
    <w:rsid w:val="00A670AA"/>
    <w:rsid w:val="00A70ECA"/>
    <w:rsid w:val="00A74668"/>
    <w:rsid w:val="00A74A64"/>
    <w:rsid w:val="00A7779D"/>
    <w:rsid w:val="00A80372"/>
    <w:rsid w:val="00A80895"/>
    <w:rsid w:val="00A80F7D"/>
    <w:rsid w:val="00A815D7"/>
    <w:rsid w:val="00A816F2"/>
    <w:rsid w:val="00A81DFD"/>
    <w:rsid w:val="00A82241"/>
    <w:rsid w:val="00A8288E"/>
    <w:rsid w:val="00A83F34"/>
    <w:rsid w:val="00A86707"/>
    <w:rsid w:val="00A9022D"/>
    <w:rsid w:val="00A9431F"/>
    <w:rsid w:val="00A951C0"/>
    <w:rsid w:val="00A960E7"/>
    <w:rsid w:val="00A96C8B"/>
    <w:rsid w:val="00AA124D"/>
    <w:rsid w:val="00AA505A"/>
    <w:rsid w:val="00AA6187"/>
    <w:rsid w:val="00AB33AF"/>
    <w:rsid w:val="00AB5850"/>
    <w:rsid w:val="00AC05B6"/>
    <w:rsid w:val="00AC0F5E"/>
    <w:rsid w:val="00AC2403"/>
    <w:rsid w:val="00AC2DD0"/>
    <w:rsid w:val="00AC2FF7"/>
    <w:rsid w:val="00AC3C37"/>
    <w:rsid w:val="00AC4F9D"/>
    <w:rsid w:val="00AC53AE"/>
    <w:rsid w:val="00AC5489"/>
    <w:rsid w:val="00AC551E"/>
    <w:rsid w:val="00AC5F9B"/>
    <w:rsid w:val="00AC66FC"/>
    <w:rsid w:val="00AC7B2D"/>
    <w:rsid w:val="00AD0EDB"/>
    <w:rsid w:val="00AD1272"/>
    <w:rsid w:val="00AD1FC0"/>
    <w:rsid w:val="00AD2534"/>
    <w:rsid w:val="00AD25AC"/>
    <w:rsid w:val="00AD3F3B"/>
    <w:rsid w:val="00AD4DEB"/>
    <w:rsid w:val="00AD5E6A"/>
    <w:rsid w:val="00AD6F99"/>
    <w:rsid w:val="00AD6FD1"/>
    <w:rsid w:val="00AD721F"/>
    <w:rsid w:val="00AD7A38"/>
    <w:rsid w:val="00AE1852"/>
    <w:rsid w:val="00AE4977"/>
    <w:rsid w:val="00AE5407"/>
    <w:rsid w:val="00AE62C0"/>
    <w:rsid w:val="00AE681D"/>
    <w:rsid w:val="00AE75D1"/>
    <w:rsid w:val="00AE7655"/>
    <w:rsid w:val="00AE7715"/>
    <w:rsid w:val="00AF1B60"/>
    <w:rsid w:val="00AF1E5E"/>
    <w:rsid w:val="00AF4244"/>
    <w:rsid w:val="00AF73B7"/>
    <w:rsid w:val="00B05A08"/>
    <w:rsid w:val="00B0769A"/>
    <w:rsid w:val="00B11D77"/>
    <w:rsid w:val="00B12BBF"/>
    <w:rsid w:val="00B13CF5"/>
    <w:rsid w:val="00B13E9D"/>
    <w:rsid w:val="00B14DB3"/>
    <w:rsid w:val="00B16F39"/>
    <w:rsid w:val="00B2034B"/>
    <w:rsid w:val="00B20B7A"/>
    <w:rsid w:val="00B232C2"/>
    <w:rsid w:val="00B23305"/>
    <w:rsid w:val="00B247E8"/>
    <w:rsid w:val="00B24915"/>
    <w:rsid w:val="00B26BAD"/>
    <w:rsid w:val="00B2799D"/>
    <w:rsid w:val="00B304E1"/>
    <w:rsid w:val="00B319DA"/>
    <w:rsid w:val="00B33537"/>
    <w:rsid w:val="00B3508A"/>
    <w:rsid w:val="00B4740C"/>
    <w:rsid w:val="00B5086F"/>
    <w:rsid w:val="00B5230F"/>
    <w:rsid w:val="00B53C0F"/>
    <w:rsid w:val="00B55207"/>
    <w:rsid w:val="00B56C25"/>
    <w:rsid w:val="00B572A4"/>
    <w:rsid w:val="00B5730A"/>
    <w:rsid w:val="00B60218"/>
    <w:rsid w:val="00B60C9E"/>
    <w:rsid w:val="00B625EE"/>
    <w:rsid w:val="00B6451A"/>
    <w:rsid w:val="00B64F93"/>
    <w:rsid w:val="00B71EF5"/>
    <w:rsid w:val="00B72179"/>
    <w:rsid w:val="00B72687"/>
    <w:rsid w:val="00B8010F"/>
    <w:rsid w:val="00B80433"/>
    <w:rsid w:val="00B80866"/>
    <w:rsid w:val="00B81091"/>
    <w:rsid w:val="00B81E98"/>
    <w:rsid w:val="00B835AF"/>
    <w:rsid w:val="00B835BC"/>
    <w:rsid w:val="00B84DB2"/>
    <w:rsid w:val="00B91139"/>
    <w:rsid w:val="00B91C2D"/>
    <w:rsid w:val="00B925C4"/>
    <w:rsid w:val="00BA0447"/>
    <w:rsid w:val="00BA0932"/>
    <w:rsid w:val="00BA0C39"/>
    <w:rsid w:val="00BA1906"/>
    <w:rsid w:val="00BA3A48"/>
    <w:rsid w:val="00BA46C1"/>
    <w:rsid w:val="00BA5EB8"/>
    <w:rsid w:val="00BA6469"/>
    <w:rsid w:val="00BA6988"/>
    <w:rsid w:val="00BA6C04"/>
    <w:rsid w:val="00BA7B86"/>
    <w:rsid w:val="00BB0D67"/>
    <w:rsid w:val="00BB4DEE"/>
    <w:rsid w:val="00BB51F1"/>
    <w:rsid w:val="00BB5239"/>
    <w:rsid w:val="00BC0EF6"/>
    <w:rsid w:val="00BC187D"/>
    <w:rsid w:val="00BC1C42"/>
    <w:rsid w:val="00BC36DF"/>
    <w:rsid w:val="00BC3776"/>
    <w:rsid w:val="00BC4346"/>
    <w:rsid w:val="00BC4979"/>
    <w:rsid w:val="00BC4A2B"/>
    <w:rsid w:val="00BC58ED"/>
    <w:rsid w:val="00BD066A"/>
    <w:rsid w:val="00BD108B"/>
    <w:rsid w:val="00BD24AD"/>
    <w:rsid w:val="00BD2A51"/>
    <w:rsid w:val="00BD3E06"/>
    <w:rsid w:val="00BD3F1B"/>
    <w:rsid w:val="00BD57B9"/>
    <w:rsid w:val="00BE0610"/>
    <w:rsid w:val="00BE11C2"/>
    <w:rsid w:val="00BE328F"/>
    <w:rsid w:val="00BE51F6"/>
    <w:rsid w:val="00BE541E"/>
    <w:rsid w:val="00BE6822"/>
    <w:rsid w:val="00BE76C0"/>
    <w:rsid w:val="00BF08AF"/>
    <w:rsid w:val="00BF2777"/>
    <w:rsid w:val="00BF39B0"/>
    <w:rsid w:val="00BF3FB4"/>
    <w:rsid w:val="00BF6C9F"/>
    <w:rsid w:val="00C03942"/>
    <w:rsid w:val="00C0524F"/>
    <w:rsid w:val="00C05260"/>
    <w:rsid w:val="00C05486"/>
    <w:rsid w:val="00C054C8"/>
    <w:rsid w:val="00C06697"/>
    <w:rsid w:val="00C11270"/>
    <w:rsid w:val="00C1196D"/>
    <w:rsid w:val="00C13282"/>
    <w:rsid w:val="00C1417E"/>
    <w:rsid w:val="00C147B6"/>
    <w:rsid w:val="00C16F96"/>
    <w:rsid w:val="00C17E75"/>
    <w:rsid w:val="00C2022E"/>
    <w:rsid w:val="00C20C5D"/>
    <w:rsid w:val="00C21FE8"/>
    <w:rsid w:val="00C22888"/>
    <w:rsid w:val="00C23198"/>
    <w:rsid w:val="00C24CF4"/>
    <w:rsid w:val="00C2679F"/>
    <w:rsid w:val="00C268C7"/>
    <w:rsid w:val="00C32405"/>
    <w:rsid w:val="00C336F9"/>
    <w:rsid w:val="00C3370B"/>
    <w:rsid w:val="00C3371A"/>
    <w:rsid w:val="00C3376F"/>
    <w:rsid w:val="00C376F3"/>
    <w:rsid w:val="00C378CD"/>
    <w:rsid w:val="00C37E10"/>
    <w:rsid w:val="00C409CA"/>
    <w:rsid w:val="00C40B19"/>
    <w:rsid w:val="00C40D3A"/>
    <w:rsid w:val="00C44A66"/>
    <w:rsid w:val="00C4624B"/>
    <w:rsid w:val="00C46B33"/>
    <w:rsid w:val="00C4764A"/>
    <w:rsid w:val="00C51403"/>
    <w:rsid w:val="00C516FD"/>
    <w:rsid w:val="00C5206C"/>
    <w:rsid w:val="00C538E7"/>
    <w:rsid w:val="00C55AE0"/>
    <w:rsid w:val="00C5694D"/>
    <w:rsid w:val="00C56F00"/>
    <w:rsid w:val="00C5757F"/>
    <w:rsid w:val="00C5789A"/>
    <w:rsid w:val="00C61BB1"/>
    <w:rsid w:val="00C61BC9"/>
    <w:rsid w:val="00C63086"/>
    <w:rsid w:val="00C6385F"/>
    <w:rsid w:val="00C649FD"/>
    <w:rsid w:val="00C67679"/>
    <w:rsid w:val="00C71358"/>
    <w:rsid w:val="00C71566"/>
    <w:rsid w:val="00C738AA"/>
    <w:rsid w:val="00C7404F"/>
    <w:rsid w:val="00C7483A"/>
    <w:rsid w:val="00C74996"/>
    <w:rsid w:val="00C75170"/>
    <w:rsid w:val="00C76CA7"/>
    <w:rsid w:val="00C7741A"/>
    <w:rsid w:val="00C776BB"/>
    <w:rsid w:val="00C81C25"/>
    <w:rsid w:val="00C82F66"/>
    <w:rsid w:val="00C8473B"/>
    <w:rsid w:val="00C84FB3"/>
    <w:rsid w:val="00C85B7F"/>
    <w:rsid w:val="00C867DE"/>
    <w:rsid w:val="00C901BD"/>
    <w:rsid w:val="00C9043B"/>
    <w:rsid w:val="00C92B60"/>
    <w:rsid w:val="00C92D30"/>
    <w:rsid w:val="00C9365D"/>
    <w:rsid w:val="00C93929"/>
    <w:rsid w:val="00C96441"/>
    <w:rsid w:val="00CA10B8"/>
    <w:rsid w:val="00CA3BEA"/>
    <w:rsid w:val="00CA7813"/>
    <w:rsid w:val="00CB01A3"/>
    <w:rsid w:val="00CB1A99"/>
    <w:rsid w:val="00CB39E6"/>
    <w:rsid w:val="00CB4921"/>
    <w:rsid w:val="00CB6EA1"/>
    <w:rsid w:val="00CC1132"/>
    <w:rsid w:val="00CC1ECC"/>
    <w:rsid w:val="00CC2E71"/>
    <w:rsid w:val="00CC3F9D"/>
    <w:rsid w:val="00CC4C9E"/>
    <w:rsid w:val="00CC6A69"/>
    <w:rsid w:val="00CD0A78"/>
    <w:rsid w:val="00CD1D16"/>
    <w:rsid w:val="00CD243E"/>
    <w:rsid w:val="00CD76B5"/>
    <w:rsid w:val="00CE0F74"/>
    <w:rsid w:val="00CE1509"/>
    <w:rsid w:val="00CE3354"/>
    <w:rsid w:val="00CE63B3"/>
    <w:rsid w:val="00CE66ED"/>
    <w:rsid w:val="00CE6F5E"/>
    <w:rsid w:val="00CE7E53"/>
    <w:rsid w:val="00CF0017"/>
    <w:rsid w:val="00CF0A3F"/>
    <w:rsid w:val="00CF1B8F"/>
    <w:rsid w:val="00CF310A"/>
    <w:rsid w:val="00CF4A88"/>
    <w:rsid w:val="00CF5A2B"/>
    <w:rsid w:val="00CF79C9"/>
    <w:rsid w:val="00D01CDA"/>
    <w:rsid w:val="00D02517"/>
    <w:rsid w:val="00D037AF"/>
    <w:rsid w:val="00D05CA1"/>
    <w:rsid w:val="00D125D8"/>
    <w:rsid w:val="00D128AA"/>
    <w:rsid w:val="00D169E4"/>
    <w:rsid w:val="00D176E8"/>
    <w:rsid w:val="00D23B25"/>
    <w:rsid w:val="00D253E2"/>
    <w:rsid w:val="00D25CA1"/>
    <w:rsid w:val="00D262BE"/>
    <w:rsid w:val="00D3366A"/>
    <w:rsid w:val="00D35C26"/>
    <w:rsid w:val="00D35C70"/>
    <w:rsid w:val="00D36D4B"/>
    <w:rsid w:val="00D3748D"/>
    <w:rsid w:val="00D37F8F"/>
    <w:rsid w:val="00D45159"/>
    <w:rsid w:val="00D45597"/>
    <w:rsid w:val="00D50D67"/>
    <w:rsid w:val="00D52794"/>
    <w:rsid w:val="00D5419A"/>
    <w:rsid w:val="00D5447D"/>
    <w:rsid w:val="00D55C04"/>
    <w:rsid w:val="00D56A45"/>
    <w:rsid w:val="00D60567"/>
    <w:rsid w:val="00D617EA"/>
    <w:rsid w:val="00D65EC3"/>
    <w:rsid w:val="00D66608"/>
    <w:rsid w:val="00D66B84"/>
    <w:rsid w:val="00D66DD3"/>
    <w:rsid w:val="00D70653"/>
    <w:rsid w:val="00D72AEB"/>
    <w:rsid w:val="00D740D7"/>
    <w:rsid w:val="00D80F9F"/>
    <w:rsid w:val="00D83012"/>
    <w:rsid w:val="00D83E03"/>
    <w:rsid w:val="00D90899"/>
    <w:rsid w:val="00D9242C"/>
    <w:rsid w:val="00D927EA"/>
    <w:rsid w:val="00D930A0"/>
    <w:rsid w:val="00D94001"/>
    <w:rsid w:val="00D9429F"/>
    <w:rsid w:val="00D96A36"/>
    <w:rsid w:val="00D978FA"/>
    <w:rsid w:val="00DA07D6"/>
    <w:rsid w:val="00DA14A1"/>
    <w:rsid w:val="00DA30FD"/>
    <w:rsid w:val="00DA39FD"/>
    <w:rsid w:val="00DA466E"/>
    <w:rsid w:val="00DA7E96"/>
    <w:rsid w:val="00DB385C"/>
    <w:rsid w:val="00DB3DF8"/>
    <w:rsid w:val="00DB50A3"/>
    <w:rsid w:val="00DC01FD"/>
    <w:rsid w:val="00DC4F6D"/>
    <w:rsid w:val="00DC5726"/>
    <w:rsid w:val="00DC7CB0"/>
    <w:rsid w:val="00DC7CD7"/>
    <w:rsid w:val="00DD221B"/>
    <w:rsid w:val="00DD27FA"/>
    <w:rsid w:val="00DD2B15"/>
    <w:rsid w:val="00DD5128"/>
    <w:rsid w:val="00DD645D"/>
    <w:rsid w:val="00DD64B3"/>
    <w:rsid w:val="00DD7A0B"/>
    <w:rsid w:val="00DE1189"/>
    <w:rsid w:val="00DE3F76"/>
    <w:rsid w:val="00DE6F61"/>
    <w:rsid w:val="00DF0B3A"/>
    <w:rsid w:val="00DF104C"/>
    <w:rsid w:val="00DF3D9A"/>
    <w:rsid w:val="00DF4A4A"/>
    <w:rsid w:val="00DF6C70"/>
    <w:rsid w:val="00DF73A5"/>
    <w:rsid w:val="00E022D0"/>
    <w:rsid w:val="00E042C7"/>
    <w:rsid w:val="00E049FD"/>
    <w:rsid w:val="00E05863"/>
    <w:rsid w:val="00E069BD"/>
    <w:rsid w:val="00E11C79"/>
    <w:rsid w:val="00E13212"/>
    <w:rsid w:val="00E1555B"/>
    <w:rsid w:val="00E156D5"/>
    <w:rsid w:val="00E30E2E"/>
    <w:rsid w:val="00E3130D"/>
    <w:rsid w:val="00E31B86"/>
    <w:rsid w:val="00E3253C"/>
    <w:rsid w:val="00E326CD"/>
    <w:rsid w:val="00E34A54"/>
    <w:rsid w:val="00E42368"/>
    <w:rsid w:val="00E447AF"/>
    <w:rsid w:val="00E47C34"/>
    <w:rsid w:val="00E47EE9"/>
    <w:rsid w:val="00E51923"/>
    <w:rsid w:val="00E52954"/>
    <w:rsid w:val="00E52CFB"/>
    <w:rsid w:val="00E54523"/>
    <w:rsid w:val="00E5502D"/>
    <w:rsid w:val="00E61137"/>
    <w:rsid w:val="00E61887"/>
    <w:rsid w:val="00E643B9"/>
    <w:rsid w:val="00E64F1D"/>
    <w:rsid w:val="00E65012"/>
    <w:rsid w:val="00E6588F"/>
    <w:rsid w:val="00E66BF8"/>
    <w:rsid w:val="00E70B47"/>
    <w:rsid w:val="00E73AB2"/>
    <w:rsid w:val="00E73BBB"/>
    <w:rsid w:val="00E73F78"/>
    <w:rsid w:val="00E74525"/>
    <w:rsid w:val="00E75932"/>
    <w:rsid w:val="00E7661B"/>
    <w:rsid w:val="00E76BDF"/>
    <w:rsid w:val="00E77CC1"/>
    <w:rsid w:val="00E82162"/>
    <w:rsid w:val="00E833D5"/>
    <w:rsid w:val="00E8380B"/>
    <w:rsid w:val="00E839A3"/>
    <w:rsid w:val="00E85A27"/>
    <w:rsid w:val="00E85E6E"/>
    <w:rsid w:val="00E85F19"/>
    <w:rsid w:val="00E8631B"/>
    <w:rsid w:val="00E86477"/>
    <w:rsid w:val="00E87C36"/>
    <w:rsid w:val="00E90B15"/>
    <w:rsid w:val="00E90DB6"/>
    <w:rsid w:val="00E91FA5"/>
    <w:rsid w:val="00E93003"/>
    <w:rsid w:val="00E95890"/>
    <w:rsid w:val="00E967A2"/>
    <w:rsid w:val="00E9688D"/>
    <w:rsid w:val="00E97643"/>
    <w:rsid w:val="00EA16F3"/>
    <w:rsid w:val="00EA413E"/>
    <w:rsid w:val="00EA69C9"/>
    <w:rsid w:val="00EA730D"/>
    <w:rsid w:val="00EB151E"/>
    <w:rsid w:val="00EB2904"/>
    <w:rsid w:val="00EB2C6C"/>
    <w:rsid w:val="00EB3147"/>
    <w:rsid w:val="00EB55AE"/>
    <w:rsid w:val="00EB5E55"/>
    <w:rsid w:val="00EC310C"/>
    <w:rsid w:val="00EC4BD8"/>
    <w:rsid w:val="00EC538A"/>
    <w:rsid w:val="00EC5F87"/>
    <w:rsid w:val="00EC6B99"/>
    <w:rsid w:val="00EC72EC"/>
    <w:rsid w:val="00ED0C75"/>
    <w:rsid w:val="00ED312D"/>
    <w:rsid w:val="00ED3347"/>
    <w:rsid w:val="00ED3EB4"/>
    <w:rsid w:val="00ED4C63"/>
    <w:rsid w:val="00ED533F"/>
    <w:rsid w:val="00ED74ED"/>
    <w:rsid w:val="00EE136C"/>
    <w:rsid w:val="00EE2EC9"/>
    <w:rsid w:val="00EE343B"/>
    <w:rsid w:val="00EE3C58"/>
    <w:rsid w:val="00EE4970"/>
    <w:rsid w:val="00EE4D20"/>
    <w:rsid w:val="00EE5D84"/>
    <w:rsid w:val="00EE7047"/>
    <w:rsid w:val="00EE76AE"/>
    <w:rsid w:val="00EE7CCF"/>
    <w:rsid w:val="00EF03DB"/>
    <w:rsid w:val="00EF1051"/>
    <w:rsid w:val="00EF1C1C"/>
    <w:rsid w:val="00EF3C40"/>
    <w:rsid w:val="00EF536B"/>
    <w:rsid w:val="00EF6742"/>
    <w:rsid w:val="00F000D3"/>
    <w:rsid w:val="00F02805"/>
    <w:rsid w:val="00F043C7"/>
    <w:rsid w:val="00F05AA4"/>
    <w:rsid w:val="00F064F9"/>
    <w:rsid w:val="00F0676F"/>
    <w:rsid w:val="00F1059F"/>
    <w:rsid w:val="00F105A4"/>
    <w:rsid w:val="00F106B0"/>
    <w:rsid w:val="00F11D00"/>
    <w:rsid w:val="00F132D3"/>
    <w:rsid w:val="00F1331F"/>
    <w:rsid w:val="00F152B9"/>
    <w:rsid w:val="00F15BD7"/>
    <w:rsid w:val="00F174A6"/>
    <w:rsid w:val="00F207B6"/>
    <w:rsid w:val="00F23990"/>
    <w:rsid w:val="00F243B3"/>
    <w:rsid w:val="00F260C9"/>
    <w:rsid w:val="00F26734"/>
    <w:rsid w:val="00F26739"/>
    <w:rsid w:val="00F26E63"/>
    <w:rsid w:val="00F277C6"/>
    <w:rsid w:val="00F3041D"/>
    <w:rsid w:val="00F33973"/>
    <w:rsid w:val="00F3564B"/>
    <w:rsid w:val="00F4161C"/>
    <w:rsid w:val="00F420B4"/>
    <w:rsid w:val="00F427F8"/>
    <w:rsid w:val="00F4305F"/>
    <w:rsid w:val="00F4393A"/>
    <w:rsid w:val="00F45480"/>
    <w:rsid w:val="00F4712A"/>
    <w:rsid w:val="00F51402"/>
    <w:rsid w:val="00F51EAC"/>
    <w:rsid w:val="00F5246B"/>
    <w:rsid w:val="00F5274C"/>
    <w:rsid w:val="00F54699"/>
    <w:rsid w:val="00F551E9"/>
    <w:rsid w:val="00F55DEE"/>
    <w:rsid w:val="00F56462"/>
    <w:rsid w:val="00F57E31"/>
    <w:rsid w:val="00F600D9"/>
    <w:rsid w:val="00F67695"/>
    <w:rsid w:val="00F67D00"/>
    <w:rsid w:val="00F67D22"/>
    <w:rsid w:val="00F762BD"/>
    <w:rsid w:val="00F77CCA"/>
    <w:rsid w:val="00F85F12"/>
    <w:rsid w:val="00F860D3"/>
    <w:rsid w:val="00F863EB"/>
    <w:rsid w:val="00F86A12"/>
    <w:rsid w:val="00F90E7C"/>
    <w:rsid w:val="00F9320D"/>
    <w:rsid w:val="00F95313"/>
    <w:rsid w:val="00F954D4"/>
    <w:rsid w:val="00F955EF"/>
    <w:rsid w:val="00F95E73"/>
    <w:rsid w:val="00FA02C8"/>
    <w:rsid w:val="00FA40F6"/>
    <w:rsid w:val="00FB13F0"/>
    <w:rsid w:val="00FB3597"/>
    <w:rsid w:val="00FC026E"/>
    <w:rsid w:val="00FC0A58"/>
    <w:rsid w:val="00FC32B3"/>
    <w:rsid w:val="00FC670D"/>
    <w:rsid w:val="00FC6A6F"/>
    <w:rsid w:val="00FC6AD9"/>
    <w:rsid w:val="00FC7D19"/>
    <w:rsid w:val="00FD0C49"/>
    <w:rsid w:val="00FD2724"/>
    <w:rsid w:val="00FD388F"/>
    <w:rsid w:val="00FD4F22"/>
    <w:rsid w:val="00FD68BA"/>
    <w:rsid w:val="00FD6AD2"/>
    <w:rsid w:val="00FE12EE"/>
    <w:rsid w:val="00FE280D"/>
    <w:rsid w:val="00FE4A4F"/>
    <w:rsid w:val="00FF1D43"/>
    <w:rsid w:val="00FF5737"/>
    <w:rsid w:val="00FF5D0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0EF"/>
  <w15:docId w15:val="{E78DD984-0D8B-4E42-8B1D-AE09DCE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65"/>
    <w:rPr>
      <w:rFonts w:ascii="Times New Roman" w:eastAsia="Times New Roman" w:hAnsi="Times New Roman" w:cs="Times New Roman"/>
      <w:lang w:val="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C16F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paragraph" w:styleId="BalloonText">
    <w:name w:val="Balloon Text"/>
    <w:basedOn w:val="Normal"/>
    <w:link w:val="BalloonTextChar"/>
    <w:uiPriority w:val="99"/>
    <w:semiHidden/>
    <w:unhideWhenUsed/>
    <w:rsid w:val="0019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D"/>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18188C"/>
    <w:rPr>
      <w:vertAlign w:val="superscript"/>
    </w:rPr>
  </w:style>
  <w:style w:type="paragraph" w:styleId="Footer">
    <w:name w:val="footer"/>
    <w:basedOn w:val="Normal"/>
    <w:link w:val="FooterChar"/>
    <w:uiPriority w:val="99"/>
    <w:unhideWhenUsed/>
    <w:rsid w:val="004527E5"/>
    <w:pPr>
      <w:tabs>
        <w:tab w:val="center" w:pos="4513"/>
        <w:tab w:val="right" w:pos="9026"/>
      </w:tabs>
    </w:pPr>
  </w:style>
  <w:style w:type="character" w:customStyle="1" w:styleId="FooterChar">
    <w:name w:val="Footer Char"/>
    <w:basedOn w:val="DefaultParagraphFont"/>
    <w:link w:val="Footer"/>
    <w:uiPriority w:val="99"/>
    <w:rsid w:val="004527E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71F83"/>
    <w:rPr>
      <w:sz w:val="16"/>
      <w:szCs w:val="16"/>
    </w:rPr>
  </w:style>
  <w:style w:type="paragraph" w:styleId="CommentText">
    <w:name w:val="annotation text"/>
    <w:basedOn w:val="Normal"/>
    <w:link w:val="CommentTextChar"/>
    <w:uiPriority w:val="99"/>
    <w:semiHidden/>
    <w:unhideWhenUsed/>
    <w:rsid w:val="00271F83"/>
    <w:rPr>
      <w:sz w:val="20"/>
      <w:szCs w:val="20"/>
    </w:rPr>
  </w:style>
  <w:style w:type="character" w:customStyle="1" w:styleId="CommentTextChar">
    <w:name w:val="Comment Text Char"/>
    <w:basedOn w:val="DefaultParagraphFont"/>
    <w:link w:val="CommentText"/>
    <w:uiPriority w:val="99"/>
    <w:semiHidden/>
    <w:rsid w:val="00271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1F83"/>
    <w:rPr>
      <w:b/>
      <w:bCs/>
    </w:rPr>
  </w:style>
  <w:style w:type="character" w:customStyle="1" w:styleId="CommentSubjectChar">
    <w:name w:val="Comment Subject Char"/>
    <w:basedOn w:val="CommentTextChar"/>
    <w:link w:val="CommentSubject"/>
    <w:uiPriority w:val="99"/>
    <w:semiHidden/>
    <w:rsid w:val="00271F8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C3376F"/>
    <w:rPr>
      <w:color w:val="0563C1" w:themeColor="hyperlink"/>
      <w:u w:val="single"/>
    </w:rPr>
  </w:style>
  <w:style w:type="character" w:customStyle="1" w:styleId="Heading2Char">
    <w:name w:val="Heading 2 Char"/>
    <w:basedOn w:val="DefaultParagraphFont"/>
    <w:link w:val="Heading2"/>
    <w:uiPriority w:val="9"/>
    <w:semiHidden/>
    <w:rsid w:val="00C16F96"/>
    <w:rPr>
      <w:rFonts w:asciiTheme="majorHAnsi" w:eastAsiaTheme="majorEastAsia" w:hAnsiTheme="majorHAnsi" w:cstheme="majorBidi"/>
      <w:color w:val="2F5496" w:themeColor="accent1" w:themeShade="BF"/>
      <w:sz w:val="26"/>
      <w:szCs w:val="26"/>
      <w:lang w:val="en-GB"/>
    </w:rPr>
  </w:style>
  <w:style w:type="character" w:styleId="Emphasis">
    <w:name w:val="Emphasis"/>
    <w:basedOn w:val="DefaultParagraphFont"/>
    <w:uiPriority w:val="20"/>
    <w:qFormat/>
    <w:rsid w:val="00385031"/>
    <w:rPr>
      <w:i/>
      <w:iCs/>
    </w:rPr>
  </w:style>
  <w:style w:type="paragraph" w:styleId="Revision">
    <w:name w:val="Revision"/>
    <w:hidden/>
    <w:uiPriority w:val="99"/>
    <w:semiHidden/>
    <w:rsid w:val="00AA505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50489">
      <w:bodyDiv w:val="1"/>
      <w:marLeft w:val="0"/>
      <w:marRight w:val="0"/>
      <w:marTop w:val="0"/>
      <w:marBottom w:val="0"/>
      <w:divBdr>
        <w:top w:val="none" w:sz="0" w:space="0" w:color="auto"/>
        <w:left w:val="none" w:sz="0" w:space="0" w:color="auto"/>
        <w:bottom w:val="none" w:sz="0" w:space="0" w:color="auto"/>
        <w:right w:val="none" w:sz="0" w:space="0" w:color="auto"/>
      </w:divBdr>
    </w:div>
    <w:div w:id="407116719">
      <w:bodyDiv w:val="1"/>
      <w:marLeft w:val="0"/>
      <w:marRight w:val="0"/>
      <w:marTop w:val="0"/>
      <w:marBottom w:val="0"/>
      <w:divBdr>
        <w:top w:val="none" w:sz="0" w:space="0" w:color="auto"/>
        <w:left w:val="none" w:sz="0" w:space="0" w:color="auto"/>
        <w:bottom w:val="none" w:sz="0" w:space="0" w:color="auto"/>
        <w:right w:val="none" w:sz="0" w:space="0" w:color="auto"/>
      </w:divBdr>
    </w:div>
    <w:div w:id="870612886">
      <w:bodyDiv w:val="1"/>
      <w:marLeft w:val="0"/>
      <w:marRight w:val="0"/>
      <w:marTop w:val="0"/>
      <w:marBottom w:val="0"/>
      <w:divBdr>
        <w:top w:val="none" w:sz="0" w:space="0" w:color="auto"/>
        <w:left w:val="none" w:sz="0" w:space="0" w:color="auto"/>
        <w:bottom w:val="none" w:sz="0" w:space="0" w:color="auto"/>
        <w:right w:val="none" w:sz="0" w:space="0" w:color="auto"/>
      </w:divBdr>
    </w:div>
    <w:div w:id="1362048343">
      <w:bodyDiv w:val="1"/>
      <w:marLeft w:val="0"/>
      <w:marRight w:val="0"/>
      <w:marTop w:val="0"/>
      <w:marBottom w:val="0"/>
      <w:divBdr>
        <w:top w:val="none" w:sz="0" w:space="0" w:color="auto"/>
        <w:left w:val="none" w:sz="0" w:space="0" w:color="auto"/>
        <w:bottom w:val="none" w:sz="0" w:space="0" w:color="auto"/>
        <w:right w:val="none" w:sz="0" w:space="0" w:color="auto"/>
      </w:divBdr>
    </w:div>
    <w:div w:id="1940411913">
      <w:bodyDiv w:val="1"/>
      <w:marLeft w:val="0"/>
      <w:marRight w:val="0"/>
      <w:marTop w:val="0"/>
      <w:marBottom w:val="0"/>
      <w:divBdr>
        <w:top w:val="none" w:sz="0" w:space="0" w:color="auto"/>
        <w:left w:val="none" w:sz="0" w:space="0" w:color="auto"/>
        <w:bottom w:val="none" w:sz="0" w:space="0" w:color="auto"/>
        <w:right w:val="none" w:sz="0" w:space="0" w:color="auto"/>
      </w:divBdr>
    </w:div>
    <w:div w:id="19515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F28F-57DC-49F2-A107-6E606C3A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Ayanda Mdletshe</cp:lastModifiedBy>
  <cp:revision>2</cp:revision>
  <cp:lastPrinted>2022-03-28T10:39:00Z</cp:lastPrinted>
  <dcterms:created xsi:type="dcterms:W3CDTF">2022-03-29T08:46:00Z</dcterms:created>
  <dcterms:modified xsi:type="dcterms:W3CDTF">2022-03-29T08:46:00Z</dcterms:modified>
</cp:coreProperties>
</file>