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80" w:lineRule="auto"/>
        <w:jc w:val="center"/>
        <w:rPr>
          <w:rFonts w:ascii="Arial" w:hAnsi="Arial" w:cs="Arial" w:eastAsiaTheme="minorEastAsia"/>
          <w:b/>
          <w:bCs/>
          <w:color w:val="221E1F"/>
          <w:sz w:val="24"/>
          <w:szCs w:val="24"/>
          <w:lang w:val="en-US"/>
        </w:rPr>
      </w:pPr>
      <w:bookmarkStart w:id="0" w:name="_GoBack"/>
      <w:bookmarkEnd w:id="0"/>
      <w:r>
        <w:rPr>
          <w:rFonts w:ascii="Arial" w:hAnsi="Arial" w:eastAsia="MS Mincho" w:cs="Arial"/>
          <w:sz w:val="24"/>
          <w:szCs w:val="24"/>
          <w:lang w:eastAsia="en-ZA"/>
        </w:rPr>
        <w:drawing>
          <wp:anchor distT="0" distB="0" distL="114300" distR="114300" simplePos="0" relativeHeight="251659264" behindDoc="0" locked="0" layoutInCell="1" allowOverlap="1">
            <wp:simplePos x="0" y="0"/>
            <wp:positionH relativeFrom="column">
              <wp:posOffset>2533650</wp:posOffset>
            </wp:positionH>
            <wp:positionV relativeFrom="paragraph">
              <wp:posOffset>76200</wp:posOffset>
            </wp:positionV>
            <wp:extent cx="740410" cy="923925"/>
            <wp:effectExtent l="0" t="0" r="2540" b="9525"/>
            <wp:wrapTopAndBottom/>
            <wp:docPr id="1" name="Picture 1" descr="coatarm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atarms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740410" cy="923925"/>
                    </a:xfrm>
                    <a:prstGeom prst="rect">
                      <a:avLst/>
                    </a:prstGeom>
                    <a:noFill/>
                  </pic:spPr>
                </pic:pic>
              </a:graphicData>
            </a:graphic>
          </wp:anchor>
        </w:drawing>
      </w:r>
    </w:p>
    <w:p>
      <w:pPr>
        <w:spacing w:after="120" w:line="480" w:lineRule="auto"/>
        <w:jc w:val="center"/>
        <w:rPr>
          <w:rFonts w:ascii="Arial" w:hAnsi="Arial" w:cs="Arial" w:eastAsiaTheme="minorEastAsia"/>
          <w:b/>
          <w:bCs/>
          <w:color w:val="221E1F"/>
          <w:sz w:val="24"/>
          <w:szCs w:val="24"/>
          <w:lang w:val="en-US"/>
        </w:rPr>
      </w:pPr>
      <w:r>
        <w:rPr>
          <w:rFonts w:ascii="Arial" w:hAnsi="Arial" w:cs="Arial" w:eastAsiaTheme="minorEastAsia"/>
          <w:b/>
          <w:bCs/>
          <w:color w:val="221E1F"/>
          <w:sz w:val="24"/>
          <w:szCs w:val="24"/>
          <w:lang w:val="en-US"/>
        </w:rPr>
        <w:t>THE SUPREME COURT OF APPEAL OF SOUTH AFRICA</w:t>
      </w:r>
    </w:p>
    <w:p>
      <w:pPr>
        <w:spacing w:after="120" w:line="480" w:lineRule="auto"/>
        <w:jc w:val="center"/>
        <w:outlineLvl w:val="0"/>
        <w:rPr>
          <w:rFonts w:ascii="Arial" w:hAnsi="Arial" w:cs="Arial" w:eastAsiaTheme="minorEastAsia"/>
          <w:b/>
          <w:sz w:val="24"/>
          <w:szCs w:val="24"/>
          <w:lang w:val="en-US"/>
        </w:rPr>
      </w:pPr>
      <w:r>
        <w:rPr>
          <w:rFonts w:ascii="Arial" w:hAnsi="Arial" w:cs="Arial" w:eastAsiaTheme="minorEastAsia"/>
          <w:b/>
          <w:sz w:val="24"/>
          <w:szCs w:val="24"/>
          <w:lang w:val="en-US"/>
        </w:rPr>
        <w:t>JUDGMENT</w:t>
      </w:r>
    </w:p>
    <w:p>
      <w:pPr>
        <w:spacing w:after="0" w:line="360" w:lineRule="auto"/>
        <w:ind w:left="720" w:firstLine="720"/>
        <w:jc w:val="right"/>
        <w:outlineLvl w:val="0"/>
        <w:rPr>
          <w:rFonts w:ascii="Arial" w:hAnsi="Arial" w:cs="Arial" w:eastAsiaTheme="minorEastAsia"/>
          <w:b/>
          <w:sz w:val="24"/>
          <w:szCs w:val="24"/>
          <w:lang w:val="en-US"/>
        </w:rPr>
      </w:pPr>
      <w:r>
        <w:rPr>
          <w:rFonts w:ascii="Arial" w:hAnsi="Arial" w:cs="Arial" w:eastAsiaTheme="minorEastAsia"/>
          <w:b/>
          <w:sz w:val="24"/>
          <w:szCs w:val="24"/>
          <w:lang w:val="en-US"/>
        </w:rPr>
        <w:t>Not Reportable</w:t>
      </w:r>
    </w:p>
    <w:p>
      <w:pPr>
        <w:spacing w:after="0" w:line="360" w:lineRule="auto"/>
        <w:jc w:val="right"/>
        <w:outlineLvl w:val="0"/>
        <w:rPr>
          <w:rFonts w:ascii="Arial" w:hAnsi="Arial" w:cs="Arial" w:eastAsiaTheme="minorEastAsia"/>
          <w:sz w:val="24"/>
          <w:szCs w:val="24"/>
          <w:lang w:val="en-US"/>
        </w:rPr>
      </w:pPr>
      <w:r>
        <w:rPr>
          <w:rFonts w:ascii="Arial" w:hAnsi="Arial" w:cs="Arial" w:eastAsiaTheme="minorEastAsia"/>
          <w:sz w:val="24"/>
          <w:szCs w:val="24"/>
          <w:lang w:val="en-US"/>
        </w:rPr>
        <w:t>Case No: 115/2021</w:t>
      </w:r>
    </w:p>
    <w:p>
      <w:pPr>
        <w:spacing w:after="240" w:line="360" w:lineRule="auto"/>
        <w:jc w:val="both"/>
        <w:outlineLvl w:val="0"/>
        <w:rPr>
          <w:rFonts w:ascii="Arial" w:hAnsi="Arial" w:cs="Arial" w:eastAsiaTheme="minorEastAsia"/>
          <w:sz w:val="24"/>
          <w:szCs w:val="24"/>
          <w:lang w:val="en-US"/>
        </w:rPr>
      </w:pPr>
      <w:r>
        <w:rPr>
          <w:rFonts w:ascii="Arial" w:hAnsi="Arial" w:cs="Arial" w:eastAsiaTheme="minorEastAsia"/>
          <w:sz w:val="24"/>
          <w:szCs w:val="24"/>
          <w:lang w:val="en-US"/>
        </w:rPr>
        <w:t>In the matter between:</w:t>
      </w:r>
    </w:p>
    <w:p>
      <w:pPr>
        <w:spacing w:after="240" w:line="360" w:lineRule="auto"/>
        <w:outlineLvl w:val="0"/>
        <w:rPr>
          <w:rFonts w:ascii="Arial" w:hAnsi="Arial" w:cs="Arial" w:eastAsiaTheme="minorEastAsia"/>
          <w:b/>
          <w:sz w:val="24"/>
          <w:szCs w:val="24"/>
          <w:lang w:val="en-US"/>
        </w:rPr>
      </w:pPr>
      <w:r>
        <w:rPr>
          <w:rFonts w:ascii="Arial" w:hAnsi="Arial" w:cs="Arial" w:eastAsiaTheme="minorEastAsia"/>
          <w:b/>
          <w:sz w:val="24"/>
          <w:szCs w:val="24"/>
          <w:lang w:val="en-US"/>
        </w:rPr>
        <w:t>MINISTER OF POLICE</w:t>
      </w:r>
      <w:r>
        <w:rPr>
          <w:rFonts w:ascii="Arial" w:hAnsi="Arial" w:cs="Arial" w:eastAsiaTheme="minorEastAsia"/>
          <w:b/>
          <w:sz w:val="24"/>
          <w:szCs w:val="24"/>
          <w:lang w:val="en-US"/>
        </w:rPr>
        <w:tab/>
      </w:r>
      <w:r>
        <w:rPr>
          <w:rFonts w:ascii="Arial" w:hAnsi="Arial" w:cs="Arial" w:eastAsiaTheme="minorEastAsia"/>
          <w:b/>
          <w:sz w:val="24"/>
          <w:szCs w:val="24"/>
          <w:lang w:val="en-US"/>
        </w:rPr>
        <w:tab/>
      </w:r>
      <w:r>
        <w:rPr>
          <w:rFonts w:ascii="Arial" w:hAnsi="Arial" w:cs="Arial" w:eastAsiaTheme="minorEastAsia"/>
          <w:b/>
          <w:sz w:val="24"/>
          <w:szCs w:val="24"/>
          <w:lang w:val="en-US"/>
        </w:rPr>
        <w:tab/>
      </w:r>
      <w:r>
        <w:rPr>
          <w:rFonts w:ascii="Arial" w:hAnsi="Arial" w:cs="Arial" w:eastAsiaTheme="minorEastAsia"/>
          <w:b/>
          <w:sz w:val="24"/>
          <w:szCs w:val="24"/>
          <w:lang w:val="en-US"/>
        </w:rPr>
        <w:tab/>
      </w:r>
      <w:r>
        <w:rPr>
          <w:rFonts w:ascii="Arial" w:hAnsi="Arial" w:cs="Arial" w:eastAsiaTheme="minorEastAsia"/>
          <w:b/>
          <w:sz w:val="24"/>
          <w:szCs w:val="24"/>
          <w:lang w:val="en-US"/>
        </w:rPr>
        <w:tab/>
      </w:r>
      <w:r>
        <w:rPr>
          <w:rFonts w:ascii="Arial" w:hAnsi="Arial" w:cs="Arial" w:eastAsiaTheme="minorEastAsia"/>
          <w:b/>
          <w:sz w:val="24"/>
          <w:szCs w:val="24"/>
          <w:lang w:val="en-US"/>
        </w:rPr>
        <w:tab/>
      </w:r>
      <w:r>
        <w:rPr>
          <w:rFonts w:ascii="Arial" w:hAnsi="Arial" w:cs="Arial" w:eastAsiaTheme="minorEastAsia"/>
          <w:b/>
          <w:sz w:val="24"/>
          <w:szCs w:val="24"/>
          <w:lang w:val="en-US"/>
        </w:rPr>
        <w:tab/>
      </w:r>
      <w:r>
        <w:rPr>
          <w:rFonts w:ascii="Arial" w:hAnsi="Arial" w:cs="Arial" w:eastAsiaTheme="minorEastAsia"/>
          <w:b/>
          <w:sz w:val="24"/>
          <w:szCs w:val="24"/>
          <w:lang w:val="en-US"/>
        </w:rPr>
        <w:t xml:space="preserve">      APPELLANT</w:t>
      </w:r>
    </w:p>
    <w:p>
      <w:pPr>
        <w:spacing w:after="0" w:line="360" w:lineRule="auto"/>
        <w:jc w:val="both"/>
        <w:outlineLvl w:val="0"/>
        <w:rPr>
          <w:rFonts w:ascii="Arial" w:hAnsi="Arial" w:cs="Arial" w:eastAsiaTheme="minorEastAsia"/>
          <w:sz w:val="24"/>
          <w:szCs w:val="24"/>
          <w:lang w:val="en-US"/>
        </w:rPr>
      </w:pPr>
      <w:r>
        <w:rPr>
          <w:rFonts w:ascii="Arial" w:hAnsi="Arial" w:cs="Arial" w:eastAsiaTheme="minorEastAsia"/>
          <w:sz w:val="24"/>
          <w:szCs w:val="24"/>
          <w:lang w:val="en-US"/>
        </w:rPr>
        <w:t>and</w:t>
      </w:r>
    </w:p>
    <w:p>
      <w:pPr>
        <w:spacing w:after="0" w:line="360" w:lineRule="auto"/>
        <w:jc w:val="both"/>
        <w:outlineLvl w:val="0"/>
        <w:rPr>
          <w:rFonts w:ascii="Arial" w:hAnsi="Arial" w:cs="Arial" w:eastAsiaTheme="minorEastAsia"/>
          <w:b/>
          <w:sz w:val="24"/>
          <w:szCs w:val="24"/>
          <w:lang w:val="en-US"/>
        </w:rPr>
      </w:pPr>
      <w:r>
        <w:rPr>
          <w:rFonts w:ascii="Arial" w:hAnsi="Arial" w:cs="Arial" w:eastAsiaTheme="minorEastAsia"/>
          <w:b/>
          <w:sz w:val="24"/>
          <w:szCs w:val="24"/>
          <w:lang w:val="en-US"/>
        </w:rPr>
        <w:t>XOLILE MZINGELI</w:t>
      </w:r>
      <w:r>
        <w:rPr>
          <w:rFonts w:ascii="Arial" w:hAnsi="Arial" w:cs="Arial" w:eastAsiaTheme="minorEastAsia"/>
          <w:b/>
          <w:sz w:val="24"/>
          <w:szCs w:val="24"/>
          <w:lang w:val="en-US"/>
        </w:rPr>
        <w:tab/>
      </w:r>
      <w:r>
        <w:rPr>
          <w:rFonts w:ascii="Arial" w:hAnsi="Arial" w:cs="Arial" w:eastAsiaTheme="minorEastAsia"/>
          <w:b/>
          <w:sz w:val="24"/>
          <w:szCs w:val="24"/>
          <w:lang w:val="en-US"/>
        </w:rPr>
        <w:tab/>
      </w:r>
      <w:r>
        <w:rPr>
          <w:rFonts w:ascii="Arial" w:hAnsi="Arial" w:cs="Arial" w:eastAsiaTheme="minorEastAsia"/>
          <w:b/>
          <w:sz w:val="24"/>
          <w:szCs w:val="24"/>
          <w:lang w:val="en-US"/>
        </w:rPr>
        <w:tab/>
      </w:r>
      <w:r>
        <w:rPr>
          <w:rFonts w:ascii="Arial" w:hAnsi="Arial" w:cs="Arial" w:eastAsiaTheme="minorEastAsia"/>
          <w:b/>
          <w:sz w:val="24"/>
          <w:szCs w:val="24"/>
          <w:lang w:val="en-US"/>
        </w:rPr>
        <w:tab/>
      </w:r>
      <w:r>
        <w:rPr>
          <w:rFonts w:ascii="Arial" w:hAnsi="Arial" w:cs="Arial" w:eastAsiaTheme="minorEastAsia"/>
          <w:b/>
          <w:sz w:val="24"/>
          <w:szCs w:val="24"/>
          <w:lang w:val="en-US"/>
        </w:rPr>
        <w:tab/>
      </w:r>
      <w:r>
        <w:rPr>
          <w:rFonts w:ascii="Arial" w:hAnsi="Arial" w:cs="Arial" w:eastAsiaTheme="minorEastAsia"/>
          <w:b/>
          <w:sz w:val="24"/>
          <w:szCs w:val="24"/>
          <w:lang w:val="en-US"/>
        </w:rPr>
        <w:tab/>
      </w:r>
      <w:r>
        <w:rPr>
          <w:rFonts w:ascii="Arial" w:hAnsi="Arial" w:cs="Arial" w:eastAsiaTheme="minorEastAsia"/>
          <w:b/>
          <w:sz w:val="24"/>
          <w:szCs w:val="24"/>
          <w:lang w:val="en-US"/>
        </w:rPr>
        <w:tab/>
      </w:r>
      <w:r>
        <w:rPr>
          <w:rFonts w:ascii="Arial" w:hAnsi="Arial" w:cs="Arial" w:eastAsiaTheme="minorEastAsia"/>
          <w:b/>
          <w:sz w:val="24"/>
          <w:szCs w:val="24"/>
          <w:lang w:val="en-US"/>
        </w:rPr>
        <w:t xml:space="preserve">  FIRST RESPONDENT</w:t>
      </w:r>
    </w:p>
    <w:p>
      <w:pPr>
        <w:spacing w:after="0" w:line="360" w:lineRule="auto"/>
        <w:jc w:val="both"/>
        <w:outlineLvl w:val="0"/>
        <w:rPr>
          <w:rFonts w:ascii="Arial" w:hAnsi="Arial" w:cs="Arial" w:eastAsiaTheme="minorEastAsia"/>
          <w:b/>
          <w:sz w:val="24"/>
          <w:szCs w:val="24"/>
          <w:lang w:val="en-US"/>
        </w:rPr>
      </w:pPr>
      <w:r>
        <w:rPr>
          <w:rFonts w:ascii="Arial" w:hAnsi="Arial" w:cs="Arial" w:eastAsiaTheme="minorEastAsia"/>
          <w:b/>
          <w:sz w:val="24"/>
          <w:szCs w:val="24"/>
          <w:lang w:val="en-US"/>
        </w:rPr>
        <w:t>LUTHANDO NDAYI</w:t>
      </w:r>
      <w:r>
        <w:rPr>
          <w:rFonts w:ascii="Arial" w:hAnsi="Arial" w:cs="Arial" w:eastAsiaTheme="minorEastAsia"/>
          <w:b/>
          <w:sz w:val="24"/>
          <w:szCs w:val="24"/>
          <w:lang w:val="en-US"/>
        </w:rPr>
        <w:tab/>
      </w:r>
      <w:r>
        <w:rPr>
          <w:rFonts w:ascii="Arial" w:hAnsi="Arial" w:cs="Arial" w:eastAsiaTheme="minorEastAsia"/>
          <w:b/>
          <w:sz w:val="24"/>
          <w:szCs w:val="24"/>
          <w:lang w:val="en-US"/>
        </w:rPr>
        <w:tab/>
      </w:r>
      <w:r>
        <w:rPr>
          <w:rFonts w:ascii="Arial" w:hAnsi="Arial" w:cs="Arial" w:eastAsiaTheme="minorEastAsia"/>
          <w:b/>
          <w:sz w:val="24"/>
          <w:szCs w:val="24"/>
          <w:lang w:val="en-US"/>
        </w:rPr>
        <w:tab/>
      </w:r>
      <w:r>
        <w:rPr>
          <w:rFonts w:ascii="Arial" w:hAnsi="Arial" w:cs="Arial" w:eastAsiaTheme="minorEastAsia"/>
          <w:b/>
          <w:sz w:val="24"/>
          <w:szCs w:val="24"/>
          <w:lang w:val="en-US"/>
        </w:rPr>
        <w:tab/>
      </w:r>
      <w:r>
        <w:rPr>
          <w:rFonts w:ascii="Arial" w:hAnsi="Arial" w:cs="Arial" w:eastAsiaTheme="minorEastAsia"/>
          <w:b/>
          <w:sz w:val="24"/>
          <w:szCs w:val="24"/>
          <w:lang w:val="en-US"/>
        </w:rPr>
        <w:tab/>
      </w:r>
      <w:r>
        <w:rPr>
          <w:rFonts w:ascii="Arial" w:hAnsi="Arial" w:cs="Arial" w:eastAsiaTheme="minorEastAsia"/>
          <w:b/>
          <w:sz w:val="24"/>
          <w:szCs w:val="24"/>
          <w:lang w:val="en-US"/>
        </w:rPr>
        <w:tab/>
      </w:r>
      <w:r>
        <w:rPr>
          <w:rFonts w:ascii="Arial" w:hAnsi="Arial" w:cs="Arial" w:eastAsiaTheme="minorEastAsia"/>
          <w:b/>
          <w:sz w:val="24"/>
          <w:szCs w:val="24"/>
          <w:lang w:val="en-US"/>
        </w:rPr>
        <w:t xml:space="preserve">        SECOND RESPONDENT</w:t>
      </w:r>
    </w:p>
    <w:p>
      <w:pPr>
        <w:spacing w:after="0" w:line="360" w:lineRule="auto"/>
        <w:jc w:val="both"/>
        <w:outlineLvl w:val="0"/>
        <w:rPr>
          <w:rFonts w:ascii="Arial" w:hAnsi="Arial" w:cs="Arial" w:eastAsiaTheme="minorEastAsia"/>
          <w:b/>
          <w:sz w:val="24"/>
          <w:szCs w:val="24"/>
          <w:lang w:val="en-US"/>
        </w:rPr>
      </w:pPr>
      <w:r>
        <w:rPr>
          <w:rFonts w:ascii="Arial" w:hAnsi="Arial" w:cs="Arial" w:eastAsiaTheme="minorEastAsia"/>
          <w:b/>
          <w:sz w:val="24"/>
          <w:szCs w:val="24"/>
          <w:lang w:val="en-US"/>
        </w:rPr>
        <w:t>MPUMEZO XABADIYA</w:t>
      </w:r>
      <w:r>
        <w:rPr>
          <w:rFonts w:ascii="Arial" w:hAnsi="Arial" w:cs="Arial" w:eastAsiaTheme="minorEastAsia"/>
          <w:b/>
          <w:sz w:val="24"/>
          <w:szCs w:val="24"/>
          <w:lang w:val="en-US"/>
        </w:rPr>
        <w:tab/>
      </w:r>
      <w:r>
        <w:rPr>
          <w:rFonts w:ascii="Arial" w:hAnsi="Arial" w:cs="Arial" w:eastAsiaTheme="minorEastAsia"/>
          <w:b/>
          <w:sz w:val="24"/>
          <w:szCs w:val="24"/>
          <w:lang w:val="en-US"/>
        </w:rPr>
        <w:tab/>
      </w:r>
      <w:r>
        <w:rPr>
          <w:rFonts w:ascii="Arial" w:hAnsi="Arial" w:cs="Arial" w:eastAsiaTheme="minorEastAsia"/>
          <w:b/>
          <w:sz w:val="24"/>
          <w:szCs w:val="24"/>
          <w:lang w:val="en-US"/>
        </w:rPr>
        <w:tab/>
      </w:r>
      <w:r>
        <w:rPr>
          <w:rFonts w:ascii="Arial" w:hAnsi="Arial" w:cs="Arial" w:eastAsiaTheme="minorEastAsia"/>
          <w:b/>
          <w:sz w:val="24"/>
          <w:szCs w:val="24"/>
          <w:lang w:val="en-US"/>
        </w:rPr>
        <w:tab/>
      </w:r>
      <w:r>
        <w:rPr>
          <w:rFonts w:ascii="Arial" w:hAnsi="Arial" w:cs="Arial" w:eastAsiaTheme="minorEastAsia"/>
          <w:b/>
          <w:sz w:val="24"/>
          <w:szCs w:val="24"/>
          <w:lang w:val="en-US"/>
        </w:rPr>
        <w:tab/>
      </w:r>
      <w:r>
        <w:rPr>
          <w:rFonts w:ascii="Arial" w:hAnsi="Arial" w:cs="Arial" w:eastAsiaTheme="minorEastAsia"/>
          <w:b/>
          <w:sz w:val="24"/>
          <w:szCs w:val="24"/>
          <w:lang w:val="en-US"/>
        </w:rPr>
        <w:tab/>
      </w:r>
      <w:r>
        <w:rPr>
          <w:rFonts w:ascii="Arial" w:hAnsi="Arial" w:cs="Arial" w:eastAsiaTheme="minorEastAsia"/>
          <w:b/>
          <w:sz w:val="24"/>
          <w:szCs w:val="24"/>
          <w:lang w:val="en-US"/>
        </w:rPr>
        <w:t xml:space="preserve">  THIRD RESPONDENT</w:t>
      </w:r>
    </w:p>
    <w:p>
      <w:pPr>
        <w:spacing w:after="0" w:line="360" w:lineRule="auto"/>
        <w:jc w:val="both"/>
        <w:outlineLvl w:val="0"/>
        <w:rPr>
          <w:rFonts w:ascii="Arial" w:hAnsi="Arial" w:cs="Arial" w:eastAsiaTheme="minorEastAsia"/>
          <w:b/>
          <w:sz w:val="24"/>
          <w:szCs w:val="24"/>
          <w:lang w:val="en-US"/>
        </w:rPr>
      </w:pPr>
    </w:p>
    <w:p>
      <w:pPr>
        <w:spacing w:after="240" w:line="360" w:lineRule="auto"/>
        <w:jc w:val="both"/>
        <w:outlineLvl w:val="0"/>
        <w:rPr>
          <w:rFonts w:ascii="Arial" w:hAnsi="Arial" w:cs="Arial" w:eastAsiaTheme="minorEastAsia"/>
          <w:sz w:val="24"/>
          <w:szCs w:val="24"/>
          <w:lang w:val="en-US"/>
        </w:rPr>
      </w:pPr>
      <w:r>
        <w:rPr>
          <w:rFonts w:ascii="Arial" w:hAnsi="Arial" w:cs="Arial" w:eastAsiaTheme="minorEastAsia"/>
          <w:b/>
          <w:sz w:val="24"/>
          <w:szCs w:val="24"/>
          <w:lang w:val="en-US"/>
        </w:rPr>
        <w:t xml:space="preserve">Neutral citation: </w:t>
      </w:r>
      <w:r>
        <w:rPr>
          <w:rFonts w:ascii="Arial" w:hAnsi="Arial" w:cs="Arial" w:eastAsiaTheme="minorEastAsia"/>
          <w:i/>
          <w:sz w:val="24"/>
          <w:szCs w:val="24"/>
          <w:lang w:val="en-US"/>
        </w:rPr>
        <w:t xml:space="preserve">Minister of Police v Mzingeli and Others </w:t>
      </w:r>
      <w:r>
        <w:rPr>
          <w:rFonts w:ascii="Arial" w:hAnsi="Arial" w:cs="Arial" w:eastAsiaTheme="minorEastAsia"/>
          <w:sz w:val="24"/>
          <w:szCs w:val="24"/>
          <w:lang w:val="en-US"/>
        </w:rPr>
        <w:t xml:space="preserve">(115/2021) [2022] ZASCA 42 (5 April 2022) </w:t>
      </w:r>
    </w:p>
    <w:p>
      <w:pPr>
        <w:spacing w:after="0" w:line="360" w:lineRule="auto"/>
        <w:jc w:val="both"/>
        <w:outlineLvl w:val="0"/>
        <w:rPr>
          <w:rFonts w:ascii="Arial" w:hAnsi="Arial" w:cs="Arial" w:eastAsiaTheme="minorEastAsia"/>
          <w:sz w:val="24"/>
          <w:szCs w:val="24"/>
          <w:lang w:val="en-US"/>
        </w:rPr>
      </w:pPr>
      <w:r>
        <w:rPr>
          <w:rFonts w:ascii="Arial" w:hAnsi="Arial" w:cs="Arial" w:eastAsiaTheme="minorEastAsia"/>
          <w:b/>
          <w:sz w:val="24"/>
          <w:szCs w:val="24"/>
          <w:lang w:val="en-US"/>
        </w:rPr>
        <w:t xml:space="preserve">Coram: </w:t>
      </w:r>
      <w:r>
        <w:rPr>
          <w:rFonts w:ascii="Arial" w:hAnsi="Arial" w:cs="Arial" w:eastAsiaTheme="minorEastAsia"/>
          <w:sz w:val="24"/>
          <w:szCs w:val="24"/>
          <w:lang w:val="en-US"/>
        </w:rPr>
        <w:t xml:space="preserve">Petse DP, Van der Merwe and Hughes JJA, and Tsoka and Makaula AJJA </w:t>
      </w:r>
    </w:p>
    <w:p>
      <w:pPr>
        <w:spacing w:after="0" w:line="360" w:lineRule="auto"/>
        <w:jc w:val="both"/>
        <w:outlineLvl w:val="0"/>
        <w:rPr>
          <w:rFonts w:ascii="Arial" w:hAnsi="Arial" w:cs="Arial" w:eastAsiaTheme="minorEastAsia"/>
          <w:sz w:val="24"/>
          <w:szCs w:val="24"/>
          <w:lang w:val="en-US"/>
        </w:rPr>
      </w:pPr>
      <w:r>
        <w:rPr>
          <w:rFonts w:ascii="Arial" w:hAnsi="Arial" w:cs="Arial" w:eastAsiaTheme="minorEastAsia"/>
          <w:b/>
          <w:sz w:val="24"/>
          <w:szCs w:val="24"/>
          <w:lang w:val="en-US"/>
        </w:rPr>
        <w:t xml:space="preserve">Heard: </w:t>
      </w:r>
      <w:r>
        <w:rPr>
          <w:rFonts w:ascii="Arial" w:hAnsi="Arial" w:cs="Arial" w:eastAsiaTheme="minorEastAsia"/>
          <w:sz w:val="24"/>
          <w:szCs w:val="24"/>
          <w:lang w:val="en-US"/>
        </w:rPr>
        <w:t>16 February 2022</w:t>
      </w:r>
    </w:p>
    <w:p>
      <w:pPr>
        <w:spacing w:after="0" w:line="360" w:lineRule="auto"/>
        <w:jc w:val="both"/>
        <w:outlineLvl w:val="0"/>
        <w:rPr>
          <w:rFonts w:ascii="Arial" w:hAnsi="Arial" w:cs="Arial"/>
          <w:sz w:val="24"/>
          <w:szCs w:val="24"/>
        </w:rPr>
      </w:pPr>
      <w:r>
        <w:rPr>
          <w:rFonts w:ascii="Arial" w:hAnsi="Arial" w:cs="Arial" w:eastAsiaTheme="minorEastAsia"/>
          <w:b/>
          <w:sz w:val="24"/>
          <w:szCs w:val="24"/>
          <w:lang w:val="en-US"/>
        </w:rPr>
        <w:t xml:space="preserve">Delivered: </w:t>
      </w:r>
      <w:r>
        <w:rPr>
          <w:rFonts w:ascii="Arial" w:hAnsi="Arial" w:cs="Arial"/>
          <w:sz w:val="24"/>
          <w:szCs w:val="24"/>
        </w:rPr>
        <w:t>This judgment was handed down electronically by circulation to the parties’ legal representatives by email, publication on the website of the Supreme Court of Appeal and release to SAFLII. The date and time for hand-down are deemed to be 10h00 on 5 April 2022.</w:t>
      </w:r>
    </w:p>
    <w:p>
      <w:pPr>
        <w:spacing w:after="0" w:line="360" w:lineRule="auto"/>
        <w:jc w:val="both"/>
        <w:outlineLvl w:val="0"/>
        <w:rPr>
          <w:rFonts w:ascii="Arial" w:hAnsi="Arial" w:cs="Arial" w:eastAsiaTheme="minorEastAsia"/>
          <w:sz w:val="24"/>
          <w:szCs w:val="24"/>
          <w:lang w:val="en-US"/>
        </w:rPr>
      </w:pPr>
    </w:p>
    <w:p>
      <w:pPr>
        <w:spacing w:after="120" w:line="360" w:lineRule="auto"/>
        <w:jc w:val="both"/>
        <w:outlineLvl w:val="0"/>
        <w:rPr>
          <w:rFonts w:ascii="Arial" w:hAnsi="Arial" w:cs="Arial" w:eastAsiaTheme="minorEastAsia"/>
          <w:sz w:val="24"/>
          <w:szCs w:val="24"/>
          <w:lang w:val="en-US"/>
        </w:rPr>
      </w:pPr>
      <w:r>
        <w:rPr>
          <w:rFonts w:ascii="Arial" w:hAnsi="Arial" w:cs="Arial" w:eastAsiaTheme="minorEastAsia"/>
          <w:b/>
          <w:sz w:val="24"/>
          <w:szCs w:val="24"/>
          <w:lang w:val="en-US"/>
        </w:rPr>
        <w:t>Summary:</w:t>
      </w:r>
      <w:r>
        <w:rPr>
          <w:rFonts w:ascii="Arial" w:hAnsi="Arial" w:cs="Arial" w:eastAsiaTheme="minorEastAsia"/>
          <w:sz w:val="24"/>
          <w:szCs w:val="24"/>
          <w:lang w:val="en-US"/>
        </w:rPr>
        <w:t xml:space="preserve"> Delict – claim for damages – quantum of unliquidated damages – no oral evidence – stated case – whether properly formulated in terms of Rule 33 – requirements restated.</w:t>
      </w:r>
    </w:p>
    <w:p>
      <w:pPr>
        <w:rPr>
          <w:rFonts w:ascii="Arial" w:hAnsi="Arial" w:cs="Arial" w:eastAsiaTheme="minorEastAsia"/>
          <w:sz w:val="24"/>
          <w:szCs w:val="24"/>
          <w:lang w:val="en-US"/>
        </w:rPr>
      </w:pPr>
      <w:r>
        <w:rPr>
          <w:rFonts w:ascii="Arial" w:hAnsi="Arial" w:cs="Arial" w:eastAsiaTheme="minorEastAsia"/>
          <w:sz w:val="24"/>
          <w:szCs w:val="24"/>
          <w:lang w:val="en-US"/>
        </w:rPr>
        <w:br w:type="page"/>
      </w:r>
    </w:p>
    <w:p>
      <w:pPr>
        <w:spacing w:after="0" w:line="360" w:lineRule="auto"/>
        <w:jc w:val="both"/>
        <w:rPr>
          <w:rFonts w:ascii="Arial" w:hAnsi="Arial" w:cs="Arial" w:eastAsiaTheme="minorEastAsia"/>
          <w:sz w:val="24"/>
          <w:szCs w:val="24"/>
          <w:lang w:val="en-US"/>
        </w:rPr>
      </w:pPr>
      <w:r>
        <w:rPr>
          <w:rFonts w:ascii="Arial" w:hAnsi="Arial" w:cs="Arial" w:eastAsiaTheme="minorEastAsia"/>
          <w:sz w:val="24"/>
          <w:szCs w:val="24"/>
          <w:lang w:val="en-US"/>
        </w:rPr>
        <w:t>___________________________________________________________________</w:t>
      </w:r>
    </w:p>
    <w:p>
      <w:pPr>
        <w:spacing w:after="0" w:line="360" w:lineRule="auto"/>
        <w:jc w:val="center"/>
        <w:rPr>
          <w:rFonts w:ascii="Arial" w:hAnsi="Arial" w:cs="Arial" w:eastAsiaTheme="minorEastAsia"/>
          <w:b/>
          <w:sz w:val="24"/>
          <w:szCs w:val="24"/>
          <w:lang w:val="en-US"/>
        </w:rPr>
      </w:pPr>
    </w:p>
    <w:p>
      <w:pPr>
        <w:spacing w:after="0" w:line="360" w:lineRule="auto"/>
        <w:jc w:val="center"/>
        <w:rPr>
          <w:rFonts w:ascii="Arial" w:hAnsi="Arial" w:cs="Arial" w:eastAsiaTheme="minorEastAsia"/>
          <w:b/>
          <w:sz w:val="24"/>
          <w:szCs w:val="24"/>
          <w:lang w:val="en-US"/>
        </w:rPr>
      </w:pPr>
      <w:r>
        <w:rPr>
          <w:rFonts w:ascii="Arial" w:hAnsi="Arial" w:cs="Arial" w:eastAsiaTheme="minorEastAsia"/>
          <w:b/>
          <w:sz w:val="24"/>
          <w:szCs w:val="24"/>
          <w:lang w:val="en-US"/>
        </w:rPr>
        <w:t xml:space="preserve">ORDER </w:t>
      </w:r>
    </w:p>
    <w:p>
      <w:pPr>
        <w:spacing w:after="0" w:line="360" w:lineRule="auto"/>
        <w:jc w:val="both"/>
        <w:rPr>
          <w:rFonts w:ascii="Arial" w:hAnsi="Arial" w:cs="Arial" w:eastAsiaTheme="minorEastAsia"/>
          <w:sz w:val="24"/>
          <w:szCs w:val="24"/>
          <w:lang w:val="en-US"/>
        </w:rPr>
      </w:pPr>
      <w:r>
        <w:rPr>
          <w:rFonts w:ascii="Arial" w:hAnsi="Arial" w:cs="Arial" w:eastAsiaTheme="minorEastAsia"/>
          <w:sz w:val="24"/>
          <w:szCs w:val="24"/>
          <w:lang w:val="en-US"/>
        </w:rPr>
        <w:t>___________________________________________________________________</w:t>
      </w:r>
    </w:p>
    <w:p>
      <w:pPr>
        <w:spacing w:after="0" w:line="360" w:lineRule="auto"/>
        <w:jc w:val="both"/>
        <w:rPr>
          <w:rFonts w:ascii="Arial" w:hAnsi="Arial" w:cs="Arial" w:eastAsiaTheme="minorEastAsia"/>
          <w:b/>
          <w:sz w:val="24"/>
          <w:szCs w:val="24"/>
          <w:lang w:val="en-US"/>
        </w:rPr>
      </w:pPr>
    </w:p>
    <w:p>
      <w:pPr>
        <w:spacing w:after="0" w:line="360" w:lineRule="auto"/>
        <w:jc w:val="both"/>
        <w:rPr>
          <w:rFonts w:ascii="Arial" w:hAnsi="Arial" w:cs="Arial" w:eastAsiaTheme="minorEastAsia"/>
          <w:sz w:val="24"/>
          <w:szCs w:val="24"/>
          <w:lang w:val="en-US"/>
        </w:rPr>
      </w:pPr>
      <w:r>
        <w:rPr>
          <w:rFonts w:ascii="Arial" w:hAnsi="Arial" w:cs="Arial" w:eastAsiaTheme="minorEastAsia"/>
          <w:b/>
          <w:sz w:val="24"/>
          <w:szCs w:val="24"/>
          <w:lang w:val="en-US"/>
        </w:rPr>
        <w:t>On appeal from:</w:t>
      </w:r>
      <w:r>
        <w:rPr>
          <w:rFonts w:ascii="Arial" w:hAnsi="Arial" w:cs="Arial" w:eastAsiaTheme="minorEastAsia"/>
          <w:sz w:val="24"/>
          <w:szCs w:val="24"/>
          <w:lang w:val="en-US"/>
        </w:rPr>
        <w:t xml:space="preserve"> The Eastern Cape Division of the High Court, Mthatha (Zono AJ sitting</w:t>
      </w:r>
      <w:r>
        <w:t xml:space="preserve"> </w:t>
      </w:r>
      <w:r>
        <w:rPr>
          <w:rFonts w:ascii="Arial" w:hAnsi="Arial" w:cs="Arial" w:eastAsiaTheme="minorEastAsia"/>
          <w:sz w:val="24"/>
          <w:szCs w:val="24"/>
          <w:lang w:val="en-US"/>
        </w:rPr>
        <w:t>as court of first instance):</w:t>
      </w:r>
    </w:p>
    <w:p>
      <w:pPr>
        <w:spacing w:after="0" w:line="360" w:lineRule="auto"/>
        <w:jc w:val="both"/>
        <w:rPr>
          <w:rFonts w:ascii="Arial" w:hAnsi="Arial" w:cs="Arial" w:eastAsiaTheme="minorEastAsia"/>
          <w:sz w:val="24"/>
          <w:szCs w:val="24"/>
          <w:lang w:val="en-US"/>
        </w:rPr>
      </w:pPr>
    </w:p>
    <w:p>
      <w:pPr>
        <w:spacing w:after="0" w:line="360" w:lineRule="auto"/>
        <w:ind w:left="426" w:hanging="426"/>
        <w:jc w:val="both"/>
        <w:rPr>
          <w:rFonts w:ascii="Arial" w:hAnsi="Arial" w:cs="Arial" w:eastAsiaTheme="minorEastAsia"/>
          <w:sz w:val="24"/>
          <w:szCs w:val="24"/>
          <w:lang w:val="en-US"/>
        </w:rPr>
      </w:pPr>
      <w:r>
        <w:rPr>
          <w:rFonts w:ascii="Arial" w:hAnsi="Arial" w:cs="Arial" w:eastAsiaTheme="minorEastAsia"/>
          <w:sz w:val="24"/>
          <w:szCs w:val="24"/>
          <w:lang w:val="en-US"/>
        </w:rPr>
        <w:t>1</w:t>
      </w:r>
      <w:r>
        <w:rPr>
          <w:rFonts w:ascii="Arial" w:hAnsi="Arial" w:cs="Arial" w:eastAsiaTheme="minorEastAsia"/>
          <w:sz w:val="24"/>
          <w:szCs w:val="24"/>
          <w:lang w:val="en-US"/>
        </w:rPr>
        <w:tab/>
      </w:r>
      <w:r>
        <w:rPr>
          <w:rFonts w:ascii="Arial" w:hAnsi="Arial" w:cs="Arial" w:eastAsiaTheme="minorEastAsia"/>
          <w:sz w:val="24"/>
          <w:szCs w:val="24"/>
          <w:lang w:val="en-US"/>
        </w:rPr>
        <w:t xml:space="preserve">The appeal succeeds with no order as to costs. </w:t>
      </w:r>
    </w:p>
    <w:p>
      <w:pPr>
        <w:spacing w:after="0" w:line="360" w:lineRule="auto"/>
        <w:ind w:left="426" w:hanging="426"/>
        <w:jc w:val="both"/>
        <w:rPr>
          <w:rFonts w:ascii="Arial" w:hAnsi="Arial" w:cs="Arial" w:eastAsiaTheme="minorEastAsia"/>
          <w:sz w:val="24"/>
          <w:szCs w:val="24"/>
          <w:lang w:val="en-US"/>
        </w:rPr>
      </w:pPr>
      <w:r>
        <w:rPr>
          <w:rFonts w:ascii="Arial" w:hAnsi="Arial" w:cs="Arial" w:eastAsiaTheme="minorEastAsia"/>
          <w:sz w:val="24"/>
          <w:szCs w:val="24"/>
          <w:lang w:val="en-US"/>
        </w:rPr>
        <w:t>2</w:t>
      </w:r>
      <w:r>
        <w:rPr>
          <w:rFonts w:ascii="Arial" w:hAnsi="Arial" w:cs="Arial" w:eastAsiaTheme="minorEastAsia"/>
          <w:sz w:val="24"/>
          <w:szCs w:val="24"/>
          <w:lang w:val="en-US"/>
        </w:rPr>
        <w:tab/>
      </w:r>
      <w:r>
        <w:rPr>
          <w:rFonts w:ascii="Arial" w:hAnsi="Arial" w:cs="Arial" w:eastAsiaTheme="minorEastAsia"/>
          <w:sz w:val="24"/>
          <w:szCs w:val="24"/>
          <w:lang w:val="en-US"/>
        </w:rPr>
        <w:t>The order of the court a quo is set aside.</w:t>
      </w:r>
    </w:p>
    <w:p>
      <w:pPr>
        <w:spacing w:after="0" w:line="360" w:lineRule="auto"/>
        <w:ind w:left="426" w:hanging="426"/>
        <w:jc w:val="both"/>
        <w:rPr>
          <w:rFonts w:ascii="Arial" w:hAnsi="Arial" w:cs="Arial" w:eastAsiaTheme="minorEastAsia"/>
          <w:sz w:val="24"/>
          <w:szCs w:val="24"/>
          <w:lang w:val="en-US"/>
        </w:rPr>
      </w:pPr>
      <w:r>
        <w:rPr>
          <w:rFonts w:ascii="Arial" w:hAnsi="Arial" w:cs="Arial" w:eastAsiaTheme="minorEastAsia"/>
          <w:sz w:val="24"/>
          <w:szCs w:val="24"/>
          <w:lang w:val="en-US"/>
        </w:rPr>
        <w:t>3</w:t>
      </w:r>
      <w:r>
        <w:rPr>
          <w:rFonts w:ascii="Arial" w:hAnsi="Arial" w:cs="Arial" w:eastAsiaTheme="minorEastAsia"/>
          <w:sz w:val="24"/>
          <w:szCs w:val="24"/>
          <w:lang w:val="en-US"/>
        </w:rPr>
        <w:tab/>
      </w:r>
      <w:r>
        <w:rPr>
          <w:rFonts w:ascii="Arial" w:hAnsi="Arial" w:cs="Arial" w:eastAsiaTheme="minorEastAsia"/>
          <w:sz w:val="24"/>
          <w:szCs w:val="24"/>
          <w:lang w:val="en-US"/>
        </w:rPr>
        <w:t>The matter is remitted to the court a quo for the determination of the quantum of damages.</w:t>
      </w:r>
    </w:p>
    <w:p>
      <w:pPr>
        <w:spacing w:after="0" w:line="360" w:lineRule="auto"/>
        <w:ind w:left="426" w:hanging="426"/>
        <w:jc w:val="both"/>
        <w:rPr>
          <w:rFonts w:ascii="Arial" w:hAnsi="Arial" w:cs="Arial" w:eastAsiaTheme="minorEastAsia"/>
          <w:sz w:val="24"/>
          <w:szCs w:val="24"/>
          <w:lang w:val="en-US"/>
        </w:rPr>
      </w:pPr>
    </w:p>
    <w:p>
      <w:pPr>
        <w:spacing w:after="0" w:line="360" w:lineRule="auto"/>
        <w:jc w:val="both"/>
        <w:rPr>
          <w:rFonts w:ascii="Arial" w:hAnsi="Arial" w:cs="Arial" w:eastAsiaTheme="minorEastAsia"/>
          <w:sz w:val="24"/>
          <w:szCs w:val="24"/>
          <w:lang w:val="en-US"/>
        </w:rPr>
      </w:pPr>
      <w:r>
        <w:rPr>
          <w:rFonts w:ascii="Arial" w:hAnsi="Arial" w:cs="Arial" w:eastAsiaTheme="minorEastAsia"/>
          <w:sz w:val="24"/>
          <w:szCs w:val="24"/>
          <w:lang w:val="en-US"/>
        </w:rPr>
        <w:t>___________________________________________________________________</w:t>
      </w:r>
    </w:p>
    <w:p>
      <w:pPr>
        <w:spacing w:after="0" w:line="360" w:lineRule="auto"/>
        <w:rPr>
          <w:rFonts w:ascii="Arial" w:hAnsi="Arial" w:cs="Arial"/>
          <w:b/>
          <w:sz w:val="24"/>
          <w:szCs w:val="24"/>
        </w:rPr>
      </w:pPr>
    </w:p>
    <w:p>
      <w:pPr>
        <w:spacing w:after="0" w:line="360" w:lineRule="auto"/>
        <w:jc w:val="center"/>
        <w:rPr>
          <w:rFonts w:ascii="Arial" w:hAnsi="Arial" w:cs="Arial"/>
          <w:b/>
          <w:sz w:val="24"/>
          <w:szCs w:val="24"/>
        </w:rPr>
      </w:pPr>
      <w:r>
        <w:rPr>
          <w:rFonts w:ascii="Arial" w:hAnsi="Arial" w:cs="Arial"/>
          <w:b/>
          <w:sz w:val="24"/>
          <w:szCs w:val="24"/>
        </w:rPr>
        <w:t>JUDGMENT</w:t>
      </w:r>
    </w:p>
    <w:p>
      <w:pPr>
        <w:spacing w:after="0" w:line="360" w:lineRule="auto"/>
        <w:jc w:val="both"/>
        <w:rPr>
          <w:rFonts w:ascii="Arial" w:hAnsi="Arial" w:cs="Arial" w:eastAsiaTheme="minorEastAsia"/>
          <w:sz w:val="24"/>
          <w:szCs w:val="24"/>
          <w:lang w:val="en-US"/>
        </w:rPr>
      </w:pPr>
      <w:r>
        <w:rPr>
          <w:rFonts w:ascii="Arial" w:hAnsi="Arial" w:cs="Arial" w:eastAsiaTheme="minorEastAsia"/>
          <w:sz w:val="24"/>
          <w:szCs w:val="24"/>
          <w:lang w:val="en-US"/>
        </w:rPr>
        <w:t>___________________________________________________________________</w:t>
      </w:r>
    </w:p>
    <w:p>
      <w:pPr>
        <w:spacing w:before="240" w:after="0" w:line="360" w:lineRule="auto"/>
        <w:jc w:val="both"/>
        <w:rPr>
          <w:rFonts w:ascii="Arial" w:hAnsi="Arial" w:cs="Arial"/>
          <w:b/>
          <w:sz w:val="24"/>
          <w:szCs w:val="24"/>
        </w:rPr>
      </w:pPr>
      <w:r>
        <w:rPr>
          <w:rFonts w:ascii="Arial" w:hAnsi="Arial" w:cs="Arial"/>
          <w:b/>
          <w:sz w:val="24"/>
          <w:szCs w:val="24"/>
        </w:rPr>
        <w:t>Hughes JA (Petse DP, Van der Merwe JA, and Tsoka and Makaula AJJA</w:t>
      </w:r>
      <w:r>
        <w:rPr>
          <w:rFonts w:ascii="Arial" w:hAnsi="Arial" w:cs="Arial" w:eastAsiaTheme="minorEastAsia"/>
          <w:b/>
          <w:sz w:val="24"/>
          <w:szCs w:val="24"/>
          <w:lang w:val="en-US"/>
        </w:rPr>
        <w:t xml:space="preserve"> </w:t>
      </w:r>
      <w:r>
        <w:rPr>
          <w:rFonts w:ascii="Arial" w:hAnsi="Arial" w:cs="Arial"/>
          <w:b/>
          <w:sz w:val="24"/>
          <w:szCs w:val="24"/>
        </w:rPr>
        <w:t>concurring):</w:t>
      </w:r>
    </w:p>
    <w:p>
      <w:pPr>
        <w:spacing w:after="0" w:line="360" w:lineRule="auto"/>
        <w:jc w:val="both"/>
        <w:rPr>
          <w:rFonts w:ascii="Arial" w:hAnsi="Arial" w:cs="Arial"/>
          <w:sz w:val="24"/>
          <w:szCs w:val="24"/>
        </w:rPr>
      </w:pPr>
    </w:p>
    <w:p>
      <w:pPr>
        <w:pStyle w:val="21"/>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This appeal is with the leave of this Court, granted on the following terms: </w:t>
      </w:r>
    </w:p>
    <w:p>
      <w:pPr>
        <w:pStyle w:val="21"/>
        <w:spacing w:after="0" w:line="360" w:lineRule="auto"/>
        <w:ind w:left="0"/>
        <w:jc w:val="both"/>
        <w:rPr>
          <w:rFonts w:ascii="Arial" w:hAnsi="Arial" w:cs="Arial"/>
        </w:rPr>
      </w:pPr>
      <w:r>
        <w:rPr>
          <w:rFonts w:ascii="Arial" w:hAnsi="Arial" w:cs="Arial"/>
        </w:rPr>
        <w:t>‘The leave to appeal is limited to the following:</w:t>
      </w:r>
    </w:p>
    <w:p>
      <w:pPr>
        <w:pStyle w:val="21"/>
        <w:numPr>
          <w:ilvl w:val="0"/>
          <w:numId w:val="3"/>
        </w:numPr>
        <w:spacing w:after="0" w:line="360" w:lineRule="auto"/>
        <w:jc w:val="both"/>
        <w:rPr>
          <w:rFonts w:ascii="Arial" w:hAnsi="Arial" w:cs="Arial"/>
        </w:rPr>
      </w:pPr>
      <w:r>
        <w:rPr>
          <w:rFonts w:ascii="Arial" w:hAnsi="Arial" w:cs="Arial"/>
        </w:rPr>
        <w:t xml:space="preserve">Whether it was permissible for the court to determine the quantum of unliquidated damages without hearing oral evidence in light of the decision of </w:t>
      </w:r>
      <w:r>
        <w:rPr>
          <w:rFonts w:ascii="Arial" w:hAnsi="Arial" w:cs="Arial"/>
          <w:i/>
        </w:rPr>
        <w:t>EFF and Others v</w:t>
      </w:r>
      <w:r>
        <w:rPr>
          <w:rFonts w:ascii="Arial" w:hAnsi="Arial" w:cs="Arial"/>
        </w:rPr>
        <w:t xml:space="preserve"> </w:t>
      </w:r>
      <w:r>
        <w:rPr>
          <w:rFonts w:ascii="Arial" w:hAnsi="Arial" w:cs="Arial"/>
          <w:i/>
        </w:rPr>
        <w:t>Manuel</w:t>
      </w:r>
      <w:r>
        <w:rPr>
          <w:rFonts w:ascii="Arial" w:hAnsi="Arial" w:cs="Arial"/>
        </w:rPr>
        <w:t xml:space="preserve"> [2020] ZASCA 172;</w:t>
      </w:r>
    </w:p>
    <w:p>
      <w:pPr>
        <w:pStyle w:val="21"/>
        <w:numPr>
          <w:ilvl w:val="0"/>
          <w:numId w:val="3"/>
        </w:numPr>
        <w:spacing w:after="0" w:line="360" w:lineRule="auto"/>
        <w:jc w:val="both"/>
        <w:rPr>
          <w:rFonts w:ascii="Arial" w:hAnsi="Arial" w:cs="Arial"/>
        </w:rPr>
      </w:pPr>
      <w:r>
        <w:rPr>
          <w:rFonts w:ascii="Arial" w:hAnsi="Arial" w:cs="Arial"/>
        </w:rPr>
        <w:t>Whether the stated case was properly formulated in accordance with the rules of court and the requirements for such a stated case, so as to be sufficient to enable the court to determine the issue of the quantum of damages;</w:t>
      </w:r>
    </w:p>
    <w:p>
      <w:pPr>
        <w:pStyle w:val="21"/>
        <w:numPr>
          <w:ilvl w:val="0"/>
          <w:numId w:val="3"/>
        </w:numPr>
        <w:spacing w:after="0" w:line="360" w:lineRule="auto"/>
        <w:jc w:val="both"/>
        <w:rPr>
          <w:rFonts w:ascii="Arial" w:hAnsi="Arial" w:cs="Arial"/>
        </w:rPr>
      </w:pPr>
      <w:r>
        <w:rPr>
          <w:rFonts w:ascii="Arial" w:hAnsi="Arial" w:cs="Arial"/>
        </w:rPr>
        <w:t xml:space="preserve">The quantum of damages awarded to each of the plaintiffs.’ </w:t>
      </w:r>
    </w:p>
    <w:p>
      <w:pPr>
        <w:pStyle w:val="21"/>
        <w:spacing w:after="0" w:line="360" w:lineRule="auto"/>
        <w:jc w:val="both"/>
        <w:rPr>
          <w:rFonts w:ascii="Arial" w:hAnsi="Arial" w:cs="Arial"/>
          <w:sz w:val="24"/>
          <w:szCs w:val="24"/>
        </w:rPr>
      </w:pPr>
      <w:r>
        <w:rPr>
          <w:rFonts w:ascii="Arial" w:hAnsi="Arial" w:cs="Arial"/>
          <w:sz w:val="24"/>
          <w:szCs w:val="24"/>
        </w:rPr>
        <w:t xml:space="preserve"> </w:t>
      </w:r>
    </w:p>
    <w:p>
      <w:pPr>
        <w:pStyle w:val="21"/>
        <w:numPr>
          <w:ilvl w:val="0"/>
          <w:numId w:val="2"/>
        </w:numPr>
        <w:spacing w:after="0" w:line="360" w:lineRule="auto"/>
        <w:ind w:left="0" w:firstLine="0"/>
        <w:jc w:val="both"/>
        <w:rPr>
          <w:rFonts w:ascii="Arial" w:hAnsi="Arial" w:cs="Arial"/>
          <w:sz w:val="24"/>
          <w:szCs w:val="24"/>
        </w:rPr>
      </w:pPr>
      <w:r>
        <w:rPr>
          <w:rFonts w:ascii="Arial" w:hAnsi="Arial" w:cs="Arial"/>
          <w:sz w:val="24"/>
          <w:szCs w:val="24"/>
        </w:rPr>
        <w:t>The respondents did not file heads of argument and opted to abide by this Court’s decision. The appellant sought condonation in terms of rule 12 of the Rules of the Supreme Court of Appeal for the late filing of the record and heads of argument. Both applications were unopposed by the respondents. In support of the condonation application, the appellant stated that the courier company entrusted with the task of delivering the record to the Court failed to provide a plausible explanation for the late delivery to the Court. This Court, having satisfied itself that a proper case for condonation was made out, grants condonation in both instances.</w:t>
      </w:r>
    </w:p>
    <w:p>
      <w:pPr>
        <w:pStyle w:val="21"/>
        <w:spacing w:after="0" w:line="360" w:lineRule="auto"/>
        <w:ind w:left="0"/>
        <w:jc w:val="both"/>
        <w:rPr>
          <w:rFonts w:ascii="Arial" w:hAnsi="Arial" w:cs="Arial"/>
          <w:sz w:val="24"/>
          <w:szCs w:val="24"/>
        </w:rPr>
      </w:pPr>
    </w:p>
    <w:p>
      <w:pPr>
        <w:pStyle w:val="21"/>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Briefly, the following are the facts. The respondents, Messrs Xolile Mzingeli, Luthando Ndayi and Mpumezo Xabadiya, instituted an action against the appellant, the Minister of Police, claiming damages for unlawful arrest, detention and malicious prosecution. </w:t>
      </w:r>
    </w:p>
    <w:p>
      <w:pPr>
        <w:spacing w:after="0" w:line="360" w:lineRule="auto"/>
        <w:jc w:val="both"/>
        <w:rPr>
          <w:rFonts w:ascii="Arial" w:hAnsi="Arial" w:cs="Arial"/>
          <w:sz w:val="24"/>
          <w:szCs w:val="24"/>
        </w:rPr>
      </w:pPr>
    </w:p>
    <w:p>
      <w:pPr>
        <w:pStyle w:val="21"/>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And this is how the claims came about: On 13 September 2009 the respondents were arrested and charged with housebreaking, theft and murder. They were detained and, on 17 September 2009, the first and third respondents were found guilty of theft and were sentenced to 12 months’ imprisonment. The murder charge was still being investigated. After serving their sentence of 12 months, the first and third respondents remained incarcerated together with the second respondent in respect of the murder charge. The respondents remained in custody until 24 July 2014, when the murder charge was withdrawn against them. The first and third respondents claimed damages for the period 14 September 2010 to 24 July 2014 and the second respondent for the period 13 September 2009 to 24 July 2014. </w:t>
      </w:r>
    </w:p>
    <w:p>
      <w:pPr>
        <w:pStyle w:val="21"/>
        <w:spacing w:after="0" w:line="360" w:lineRule="auto"/>
        <w:ind w:left="0"/>
        <w:jc w:val="both"/>
        <w:rPr>
          <w:rFonts w:ascii="Arial" w:hAnsi="Arial" w:cs="Arial"/>
          <w:sz w:val="24"/>
          <w:szCs w:val="24"/>
        </w:rPr>
      </w:pPr>
    </w:p>
    <w:p>
      <w:pPr>
        <w:pStyle w:val="21"/>
        <w:numPr>
          <w:ilvl w:val="0"/>
          <w:numId w:val="2"/>
        </w:numPr>
        <w:spacing w:after="0" w:line="360" w:lineRule="auto"/>
        <w:ind w:left="0" w:firstLine="0"/>
        <w:jc w:val="both"/>
        <w:rPr>
          <w:rFonts w:ascii="Arial" w:hAnsi="Arial" w:cs="Arial"/>
          <w:sz w:val="24"/>
          <w:szCs w:val="24"/>
        </w:rPr>
      </w:pPr>
      <w:r>
        <w:rPr>
          <w:rFonts w:ascii="Arial" w:hAnsi="Arial" w:cs="Arial"/>
          <w:sz w:val="24"/>
          <w:szCs w:val="24"/>
        </w:rPr>
        <w:t>The trial was scheduled to proceed on 15 October 2019. However, the parties attempted to settle both the issue of liability and quantum, but were not successful in respect of quantum. The court a quo (Zono AJ) made an order in terms of rule 33(4) of the Uniform Rules of Court, thereby separating the issues of liability and quantum.  It was further recorded in the order that the appellant was found liable on the merits and the only issue left for determination was the quantum for general damages arising from the detention of the respondents. The respondents did not persist with the claim for malicious prosecution and the issue of quantum was then adjourned to the following day.</w:t>
      </w:r>
    </w:p>
    <w:p>
      <w:pPr>
        <w:pStyle w:val="21"/>
        <w:rPr>
          <w:rFonts w:ascii="Arial" w:hAnsi="Arial" w:cs="Arial"/>
          <w:sz w:val="24"/>
          <w:szCs w:val="24"/>
        </w:rPr>
      </w:pPr>
    </w:p>
    <w:p>
      <w:pPr>
        <w:pStyle w:val="21"/>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On 16 October 2019, the court a quo acceded to hear the issue of quantum by way of a stated case as formulated by the parties. After hearing oral argument, the court a quo awarded the first and third respondents an amount of R3 000 000 as a reasonable and fair compensation, whilst, the second respondent was awarded an amount of R4 000 000 as reasonable and fair compensation. </w:t>
      </w:r>
    </w:p>
    <w:p>
      <w:pPr>
        <w:spacing w:after="0"/>
        <w:rPr>
          <w:rFonts w:ascii="Arial" w:hAnsi="Arial" w:cs="Arial"/>
          <w:sz w:val="24"/>
          <w:szCs w:val="24"/>
        </w:rPr>
      </w:pPr>
    </w:p>
    <w:p>
      <w:pPr>
        <w:pStyle w:val="21"/>
        <w:numPr>
          <w:ilvl w:val="0"/>
          <w:numId w:val="2"/>
        </w:numPr>
        <w:spacing w:after="0" w:line="360" w:lineRule="auto"/>
        <w:ind w:left="0" w:firstLine="0"/>
        <w:jc w:val="both"/>
        <w:rPr>
          <w:rFonts w:ascii="Arial" w:hAnsi="Arial" w:cs="Arial"/>
          <w:sz w:val="24"/>
          <w:szCs w:val="24"/>
        </w:rPr>
      </w:pPr>
      <w:r>
        <w:rPr>
          <w:rFonts w:ascii="Arial" w:hAnsi="Arial" w:cs="Arial"/>
          <w:sz w:val="24"/>
          <w:szCs w:val="24"/>
        </w:rPr>
        <w:t>I now turn to the merits of the appeal. Rule 33(1) and (2) of the Uniform Rules provides:</w:t>
      </w:r>
    </w:p>
    <w:p>
      <w:pPr>
        <w:jc w:val="both"/>
        <w:rPr>
          <w:rFonts w:ascii="Arial" w:hAnsi="Arial" w:cs="Arial"/>
          <w:color w:val="242121"/>
        </w:rPr>
      </w:pPr>
    </w:p>
    <w:p>
      <w:pPr>
        <w:pStyle w:val="21"/>
        <w:spacing w:after="0" w:line="360" w:lineRule="auto"/>
        <w:ind w:left="0"/>
        <w:jc w:val="both"/>
        <w:rPr>
          <w:rFonts w:ascii="Arial" w:hAnsi="Arial" w:cs="Arial"/>
          <w:sz w:val="24"/>
          <w:szCs w:val="24"/>
        </w:rPr>
      </w:pPr>
      <w:r>
        <w:rPr>
          <w:rFonts w:ascii="Arial" w:hAnsi="Arial" w:cs="Arial"/>
          <w:color w:val="242121"/>
        </w:rPr>
        <w:t>‘(1) The parties to any dispute may, after institution of proceedings, agree upon a written statement of facts in the form of a special case for the adjudication of the court.</w:t>
      </w:r>
    </w:p>
    <w:p>
      <w:pPr>
        <w:pStyle w:val="13"/>
        <w:shd w:val="clear" w:color="auto" w:fill="FFFFFF"/>
        <w:spacing w:before="144" w:beforeAutospacing="0" w:after="288" w:afterAutospacing="0" w:line="360" w:lineRule="auto"/>
        <w:jc w:val="both"/>
        <w:rPr>
          <w:rFonts w:ascii="Arial" w:hAnsi="Arial" w:cs="Arial"/>
          <w:color w:val="242121"/>
          <w:sz w:val="22"/>
          <w:szCs w:val="22"/>
        </w:rPr>
      </w:pPr>
      <w:r>
        <w:rPr>
          <w:rFonts w:ascii="Arial" w:hAnsi="Arial" w:cs="Arial"/>
          <w:color w:val="242121"/>
          <w:sz w:val="22"/>
          <w:szCs w:val="22"/>
        </w:rPr>
        <w:t>(2)</w:t>
      </w:r>
      <w:r>
        <w:rPr>
          <w:rFonts w:ascii="Arial" w:hAnsi="Arial" w:cs="Arial"/>
          <w:i/>
          <w:iCs/>
          <w:color w:val="242121"/>
          <w:sz w:val="22"/>
          <w:szCs w:val="22"/>
        </w:rPr>
        <w:t>(a)</w:t>
      </w:r>
      <w:r>
        <w:rPr>
          <w:rFonts w:ascii="Arial" w:hAnsi="Arial" w:cs="Arial"/>
          <w:color w:val="242121"/>
          <w:sz w:val="22"/>
          <w:szCs w:val="22"/>
        </w:rPr>
        <w:t xml:space="preserve"> Such statement shall set forth the facts agreed upon, the questions of law in dispute between the parties and their contentions thereon. Such statement shall be divided into consecutively numbered paragraphs and there shall be annexed thereto copies of documents necessary to enable the court to decide upon such questions. It shall be signed by an advocate and an attorney on behalf of each party, or where a party sues or defends personally, by such party. </w:t>
      </w:r>
    </w:p>
    <w:p>
      <w:pPr>
        <w:pStyle w:val="13"/>
        <w:shd w:val="clear" w:color="auto" w:fill="FFFFFF"/>
        <w:spacing w:before="144" w:beforeAutospacing="0" w:after="288" w:afterAutospacing="0" w:line="360" w:lineRule="auto"/>
        <w:jc w:val="both"/>
        <w:rPr>
          <w:rFonts w:ascii="Arial" w:hAnsi="Arial" w:cs="Arial"/>
          <w:color w:val="242121"/>
          <w:sz w:val="22"/>
          <w:szCs w:val="22"/>
        </w:rPr>
      </w:pPr>
      <w:r>
        <w:rPr>
          <w:rFonts w:ascii="Arial" w:hAnsi="Arial" w:cs="Arial"/>
          <w:i/>
          <w:color w:val="242121"/>
          <w:sz w:val="22"/>
          <w:szCs w:val="22"/>
        </w:rPr>
        <w:t xml:space="preserve">(b) </w:t>
      </w:r>
      <w:r>
        <w:rPr>
          <w:rFonts w:ascii="Arial" w:hAnsi="Arial" w:cs="Arial"/>
          <w:color w:val="242121"/>
          <w:sz w:val="22"/>
          <w:szCs w:val="22"/>
        </w:rPr>
        <w:t>Such special case shall be set down for hearing in the manner provided for trials or opposed applications, whichever may be more convenient</w:t>
      </w:r>
    </w:p>
    <w:p>
      <w:pPr>
        <w:pStyle w:val="13"/>
        <w:shd w:val="clear" w:color="auto" w:fill="FFFFFF"/>
        <w:spacing w:before="144" w:beforeAutospacing="0" w:after="288" w:afterAutospacing="0" w:line="360" w:lineRule="atLeast"/>
        <w:jc w:val="both"/>
        <w:rPr>
          <w:rFonts w:ascii="Arial" w:hAnsi="Arial" w:cs="Arial"/>
          <w:color w:val="242121"/>
          <w:sz w:val="22"/>
          <w:szCs w:val="22"/>
        </w:rPr>
      </w:pPr>
      <w:r>
        <w:rPr>
          <w:rFonts w:ascii="Arial" w:hAnsi="Arial" w:cs="Arial"/>
          <w:color w:val="242121"/>
          <w:sz w:val="22"/>
          <w:szCs w:val="22"/>
        </w:rPr>
        <w:t>(c) …’</w:t>
      </w:r>
    </w:p>
    <w:p>
      <w:pPr>
        <w:pStyle w:val="21"/>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It is important to restate the approach to be adopted whenever litigants request a court to invoke rule 33 and determine the issues by way of a stated case. It is incumbent upon the parties to ensure that the stated case contains adequate facts as agreed upon between them. Further, the statement ought to also contain the question of law in dispute between the parties and their contentions regarding these questions of law. Wallis JA reaffirmed this in </w:t>
      </w:r>
      <w:r>
        <w:rPr>
          <w:rFonts w:ascii="Arial" w:hAnsi="Arial" w:cs="Arial"/>
          <w:i/>
          <w:sz w:val="24"/>
          <w:szCs w:val="24"/>
        </w:rPr>
        <w:t>Minister of Police v Mboweni and Another</w:t>
      </w:r>
      <w:r>
        <w:rPr>
          <w:rFonts w:ascii="Arial" w:hAnsi="Arial" w:cs="Arial"/>
          <w:sz w:val="24"/>
          <w:szCs w:val="24"/>
        </w:rPr>
        <w:t>:</w:t>
      </w:r>
    </w:p>
    <w:p>
      <w:pPr>
        <w:pStyle w:val="21"/>
        <w:spacing w:after="0" w:line="360" w:lineRule="auto"/>
        <w:ind w:left="0"/>
        <w:jc w:val="both"/>
        <w:rPr>
          <w:rFonts w:ascii="Arial" w:hAnsi="Arial" w:cs="Arial"/>
        </w:rPr>
      </w:pPr>
      <w:r>
        <w:rPr>
          <w:rFonts w:ascii="Arial" w:hAnsi="Arial" w:cs="Arial"/>
        </w:rPr>
        <w:t>‘</w:t>
      </w:r>
      <w:r>
        <w:rPr>
          <w:rFonts w:ascii="Arial" w:hAnsi="Arial" w:cs="Arial"/>
          <w:color w:val="242121"/>
          <w:shd w:val="clear" w:color="auto" w:fill="FFFFFF"/>
          <w:lang w:val="en-GB"/>
        </w:rPr>
        <w:t>It is clear therefore that a special case must set out agreed facts, not assumptions. The point was re-emphasised in </w:t>
      </w:r>
      <w:r>
        <w:rPr>
          <w:rFonts w:ascii="Arial" w:hAnsi="Arial" w:cs="Arial"/>
          <w:i/>
          <w:iCs/>
          <w:color w:val="242121"/>
          <w:shd w:val="clear" w:color="auto" w:fill="FFFFFF"/>
          <w:lang w:val="en-GB"/>
        </w:rPr>
        <w:t>Bane v D’Ambrosi</w:t>
      </w:r>
      <w:r>
        <w:rPr>
          <w:rFonts w:ascii="Arial" w:hAnsi="Arial" w:cs="Arial"/>
          <w:color w:val="242121"/>
          <w:shd w:val="clear" w:color="auto" w:fill="FFFFFF"/>
          <w:lang w:val="en-GB"/>
        </w:rPr>
        <w:t>, where it was said that deciding such a case on assumptions as to the facts defeats the purpose of the rule, which is to enable a case to be determined without the necessity of hearing all, or at least a major part, of the evidence. A judge faced with a request to determine a special case where the facts are inadequately stated should decline to accede to the request. The proceedings in </w:t>
      </w:r>
      <w:r>
        <w:rPr>
          <w:rFonts w:ascii="Arial" w:hAnsi="Arial" w:cs="Arial"/>
          <w:i/>
          <w:iCs/>
          <w:color w:val="242121"/>
          <w:shd w:val="clear" w:color="auto" w:fill="FFFFFF"/>
          <w:lang w:val="en-GB"/>
        </w:rPr>
        <w:t>Bane v D’Ambrosi</w:t>
      </w:r>
      <w:r>
        <w:rPr>
          <w:rFonts w:ascii="Arial" w:hAnsi="Arial" w:cs="Arial"/>
          <w:color w:val="242121"/>
          <w:shd w:val="clear" w:color="auto" w:fill="FFFFFF"/>
          <w:lang w:val="en-GB"/>
        </w:rPr>
        <w:t> were only saved because the parties agreed that in any event the evidence that was excluded by the judge’s ruling should be led, with the result that the record was complete and this court could then rectify the consequences of the error in deciding the special case.’</w:t>
      </w:r>
      <w:r>
        <w:rPr>
          <w:rStyle w:val="9"/>
          <w:rFonts w:ascii="Arial" w:hAnsi="Arial" w:cs="Arial"/>
          <w:color w:val="242121"/>
          <w:shd w:val="clear" w:color="auto" w:fill="FFFFFF"/>
          <w:lang w:val="en-GB"/>
        </w:rPr>
        <w:footnoteReference w:id="0"/>
      </w:r>
      <w:r>
        <w:rPr>
          <w:rFonts w:ascii="Arial" w:hAnsi="Arial" w:cs="Arial"/>
          <w:color w:val="242121"/>
          <w:shd w:val="clear" w:color="auto" w:fill="FFFFFF"/>
          <w:lang w:val="en-GB"/>
        </w:rPr>
        <w:t xml:space="preserve"> </w:t>
      </w:r>
    </w:p>
    <w:p>
      <w:pPr>
        <w:pStyle w:val="21"/>
        <w:spacing w:after="0" w:line="360" w:lineRule="auto"/>
        <w:ind w:left="0"/>
        <w:jc w:val="both"/>
        <w:rPr>
          <w:rFonts w:ascii="Arial" w:hAnsi="Arial" w:cs="Arial"/>
          <w:sz w:val="24"/>
          <w:szCs w:val="24"/>
        </w:rPr>
      </w:pPr>
    </w:p>
    <w:p>
      <w:pPr>
        <w:pStyle w:val="21"/>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In the present matter it is prudent to point out that there were facts included in the stated case which were disputed by the appellant. There were also unsubstantiated statements and no evidence advanced to substantiate these statements. Though the statement of facts informed the court a quo of the detention of the respondents and the period thereof, it did not provide details of the allegations of the acts of assault perpetrated on the respondents by both the police and the inmates, nor did it deal in detail with the acts of sodomy alleged by the respondents. Further, no details can be found in the statement demonstrating the ‘inhumane, degrading and unhygienic’ conditions to which the respondents were allegedly subjected. In essence, the factual material presented in the stated case was not sufficient for a court to make a determination on the quantum and required evidence to be adduced to substantiate the respondents’ claims.  </w:t>
      </w:r>
    </w:p>
    <w:p>
      <w:pPr>
        <w:pStyle w:val="21"/>
        <w:spacing w:after="0" w:line="360" w:lineRule="auto"/>
        <w:ind w:left="0"/>
        <w:jc w:val="both"/>
        <w:rPr>
          <w:rFonts w:ascii="Arial" w:hAnsi="Arial" w:cs="Arial"/>
          <w:sz w:val="24"/>
          <w:szCs w:val="24"/>
        </w:rPr>
      </w:pPr>
    </w:p>
    <w:p>
      <w:pPr>
        <w:pStyle w:val="21"/>
        <w:numPr>
          <w:ilvl w:val="0"/>
          <w:numId w:val="2"/>
        </w:numPr>
        <w:spacing w:after="0" w:line="360" w:lineRule="auto"/>
        <w:ind w:left="0" w:firstLine="0"/>
        <w:jc w:val="both"/>
        <w:rPr>
          <w:rFonts w:ascii="Arial" w:hAnsi="Arial" w:cs="Arial"/>
          <w:sz w:val="24"/>
          <w:szCs w:val="24"/>
        </w:rPr>
      </w:pPr>
      <w:r>
        <w:rPr>
          <w:rFonts w:ascii="Arial" w:hAnsi="Arial" w:cs="Arial"/>
          <w:sz w:val="24"/>
          <w:szCs w:val="24"/>
        </w:rPr>
        <w:t>Notably, the court a quo acknowledged that the stated case was lacking in details and evidence relating to the manner, extent and duration that the respondents were allegedly subjected to assault, torture and sodomy whilst in detention. Despite these shortcomings in the stated case, the court a quo proceeded to make assumptions and draw inferences in order to arrive at the ultimate conclusions reached. The court a quo acknowledged this in its judgment.</w:t>
      </w:r>
      <w:r>
        <w:rPr>
          <w:rStyle w:val="9"/>
          <w:rFonts w:ascii="Arial" w:hAnsi="Arial" w:cs="Arial"/>
          <w:sz w:val="24"/>
          <w:szCs w:val="24"/>
        </w:rPr>
        <w:footnoteReference w:id="1"/>
      </w:r>
      <w:r>
        <w:rPr>
          <w:rFonts w:ascii="Arial" w:hAnsi="Arial" w:cs="Arial"/>
          <w:sz w:val="24"/>
          <w:szCs w:val="24"/>
        </w:rPr>
        <w:t xml:space="preserve"> </w:t>
      </w:r>
    </w:p>
    <w:p>
      <w:pPr>
        <w:pStyle w:val="21"/>
        <w:spacing w:after="0" w:line="360" w:lineRule="auto"/>
        <w:ind w:left="0"/>
        <w:jc w:val="both"/>
        <w:rPr>
          <w:rFonts w:ascii="Arial" w:hAnsi="Arial" w:cs="Arial"/>
          <w:sz w:val="24"/>
          <w:szCs w:val="24"/>
        </w:rPr>
      </w:pPr>
    </w:p>
    <w:p>
      <w:pPr>
        <w:pStyle w:val="21"/>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The court a quo, in finding for the respondents, made the awards set out above and stated:  </w:t>
      </w:r>
    </w:p>
    <w:p>
      <w:pPr>
        <w:pStyle w:val="21"/>
        <w:spacing w:after="0" w:line="360" w:lineRule="auto"/>
        <w:ind w:left="0"/>
        <w:jc w:val="both"/>
        <w:rPr>
          <w:rFonts w:ascii="Arial" w:hAnsi="Arial" w:cs="Arial"/>
        </w:rPr>
      </w:pPr>
      <w:r>
        <w:rPr>
          <w:rFonts w:ascii="Arial" w:hAnsi="Arial" w:cs="Arial"/>
          <w:sz w:val="24"/>
          <w:szCs w:val="24"/>
        </w:rPr>
        <w:t>‘</w:t>
      </w:r>
      <w:r>
        <w:rPr>
          <w:rFonts w:ascii="Arial" w:hAnsi="Arial" w:cs="Arial"/>
        </w:rPr>
        <w:t xml:space="preserve">It is the parties’ minds that all three plaintiffs must be compensated </w:t>
      </w:r>
      <w:r>
        <w:rPr>
          <w:rFonts w:ascii="Arial" w:hAnsi="Arial" w:cs="Arial"/>
          <w:i/>
        </w:rPr>
        <w:t>but they do not agree on the amounts.</w:t>
      </w:r>
      <w:r>
        <w:rPr>
          <w:rFonts w:ascii="Arial" w:hAnsi="Arial" w:cs="Arial"/>
        </w:rPr>
        <w:t xml:space="preserve"> I am called upon and I set out to decide this case </w:t>
      </w:r>
      <w:r>
        <w:rPr>
          <w:rFonts w:ascii="Arial" w:hAnsi="Arial" w:cs="Arial"/>
          <w:i/>
        </w:rPr>
        <w:t>on the basis of the contended amounts.</w:t>
      </w:r>
      <w:r>
        <w:rPr>
          <w:rFonts w:ascii="Arial" w:hAnsi="Arial" w:cs="Arial"/>
        </w:rPr>
        <w:t xml:space="preserve"> It is from </w:t>
      </w:r>
      <w:r>
        <w:rPr>
          <w:rFonts w:ascii="Arial" w:hAnsi="Arial" w:cs="Arial"/>
          <w:i/>
        </w:rPr>
        <w:t>the contentions of the parties that the question of law sought to be decided emerges</w:t>
      </w:r>
      <w:r>
        <w:rPr>
          <w:rFonts w:ascii="Arial" w:hAnsi="Arial" w:cs="Arial"/>
        </w:rPr>
        <w:t>…..</w:t>
      </w:r>
    </w:p>
    <w:p>
      <w:pPr>
        <w:pStyle w:val="21"/>
        <w:spacing w:after="0" w:line="360" w:lineRule="auto"/>
        <w:ind w:left="0"/>
        <w:jc w:val="both"/>
        <w:rPr>
          <w:rFonts w:ascii="Arial" w:hAnsi="Arial" w:cs="Arial"/>
          <w:sz w:val="24"/>
          <w:szCs w:val="24"/>
        </w:rPr>
      </w:pPr>
      <w:r>
        <w:rPr>
          <w:rFonts w:ascii="Arial" w:hAnsi="Arial" w:cs="Arial"/>
        </w:rPr>
        <w:t>On the conspectus of the agreed facts, parties’ contentions and relief sought in the stated case coupled with the authorities I have considered on the subject, I find as follows….’</w:t>
      </w:r>
      <w:r>
        <w:rPr>
          <w:rStyle w:val="9"/>
          <w:rFonts w:ascii="Arial" w:hAnsi="Arial" w:cs="Arial"/>
        </w:rPr>
        <w:footnoteReference w:id="2"/>
      </w:r>
      <w:r>
        <w:rPr>
          <w:rFonts w:ascii="Arial" w:hAnsi="Arial" w:cs="Arial"/>
        </w:rPr>
        <w:t xml:space="preserve"> [My emphasis.]</w:t>
      </w:r>
    </w:p>
    <w:p>
      <w:pPr>
        <w:pStyle w:val="21"/>
        <w:spacing w:after="0" w:line="360" w:lineRule="auto"/>
        <w:ind w:left="0"/>
        <w:jc w:val="both"/>
        <w:rPr>
          <w:rFonts w:ascii="Arial" w:hAnsi="Arial" w:cs="Arial"/>
          <w:sz w:val="24"/>
          <w:szCs w:val="24"/>
        </w:rPr>
      </w:pPr>
    </w:p>
    <w:p>
      <w:pPr>
        <w:pStyle w:val="21"/>
        <w:numPr>
          <w:ilvl w:val="0"/>
          <w:numId w:val="2"/>
        </w:numPr>
        <w:spacing w:after="0" w:line="360" w:lineRule="auto"/>
        <w:ind w:left="0" w:firstLine="0"/>
        <w:jc w:val="both"/>
        <w:rPr>
          <w:rFonts w:ascii="Arial" w:hAnsi="Arial" w:cs="Arial"/>
          <w:color w:val="242121"/>
          <w:shd w:val="clear" w:color="auto" w:fill="FFFFFF"/>
          <w:lang w:val="en-GB"/>
        </w:rPr>
      </w:pPr>
      <w:r>
        <w:rPr>
          <w:rFonts w:ascii="Arial" w:hAnsi="Arial" w:cs="Arial"/>
          <w:sz w:val="24"/>
          <w:szCs w:val="24"/>
        </w:rPr>
        <w:t>Therefore, I find that the approach adopted by the court a quo to be inappropriate, especially so, in respect of determining the quantum of unliquidated damages. It is correct that a court may draw inferences from the facts in a stated case, however, these are to be drawn from satisfactorily and adequately stated facts, as would have been proven at trial.</w:t>
      </w:r>
      <w:r>
        <w:rPr>
          <w:rStyle w:val="9"/>
          <w:rFonts w:ascii="Arial" w:hAnsi="Arial" w:cs="Arial"/>
          <w:sz w:val="24"/>
          <w:szCs w:val="24"/>
        </w:rPr>
        <w:footnoteReference w:id="3"/>
      </w:r>
      <w:r>
        <w:rPr>
          <w:rFonts w:ascii="Arial" w:hAnsi="Arial" w:cs="Arial"/>
          <w:sz w:val="24"/>
          <w:szCs w:val="24"/>
        </w:rPr>
        <w:t xml:space="preserve"> </w:t>
      </w:r>
    </w:p>
    <w:p>
      <w:pPr>
        <w:pStyle w:val="21"/>
        <w:spacing w:after="0" w:line="360" w:lineRule="auto"/>
        <w:ind w:left="0"/>
        <w:jc w:val="both"/>
        <w:rPr>
          <w:rFonts w:ascii="Arial" w:hAnsi="Arial" w:cs="Arial"/>
          <w:color w:val="242121"/>
          <w:shd w:val="clear" w:color="auto" w:fill="FFFFFF"/>
          <w:lang w:val="en-GB"/>
        </w:rPr>
      </w:pPr>
    </w:p>
    <w:p>
      <w:pPr>
        <w:pStyle w:val="21"/>
        <w:numPr>
          <w:ilvl w:val="0"/>
          <w:numId w:val="2"/>
        </w:numPr>
        <w:spacing w:after="0" w:line="360" w:lineRule="auto"/>
        <w:ind w:left="0" w:firstLine="0"/>
        <w:jc w:val="both"/>
        <w:rPr>
          <w:rFonts w:ascii="Arial" w:hAnsi="Arial" w:cs="Arial"/>
          <w:color w:val="242121"/>
          <w:shd w:val="clear" w:color="auto" w:fill="FFFFFF"/>
          <w:lang w:val="en-GB"/>
        </w:rPr>
      </w:pPr>
      <w:r>
        <w:rPr>
          <w:rFonts w:ascii="Arial" w:hAnsi="Arial" w:cs="Arial"/>
          <w:sz w:val="24"/>
          <w:szCs w:val="24"/>
        </w:rPr>
        <w:t xml:space="preserve">In this case the quantum of the unliquidated damages claimed by the respondents was hotly disputed. Evidently, damages of the kind claimed by the respondents are by their very nature indeterminate and, as such, require proper assessment by the court. The court a quo acknowledged this much. However, even in the face of such acknowledgement, no evidence was adduced to aid with the assessment and quantification of these damages. </w:t>
      </w:r>
    </w:p>
    <w:p>
      <w:pPr>
        <w:pStyle w:val="21"/>
        <w:spacing w:after="0" w:line="360" w:lineRule="auto"/>
        <w:ind w:left="0"/>
        <w:jc w:val="both"/>
        <w:rPr>
          <w:rFonts w:ascii="Arial" w:hAnsi="Arial" w:cs="Arial"/>
          <w:color w:val="242121"/>
          <w:shd w:val="clear" w:color="auto" w:fill="FFFFFF"/>
          <w:lang w:val="en-GB"/>
        </w:rPr>
      </w:pPr>
    </w:p>
    <w:p>
      <w:pPr>
        <w:pStyle w:val="21"/>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It was accepted by the parties during argument on appeal that determining quantum in this matter by way of a stated case – such as it was – was not the correct approach to adopt. This stance was correct as nowhere in the stated case or the pleadings had the parties agreed on the relevant facts necessary to determine and prove the quantum awarded by the court a quo. </w:t>
      </w:r>
    </w:p>
    <w:p>
      <w:pPr>
        <w:pStyle w:val="21"/>
        <w:spacing w:after="0" w:line="360" w:lineRule="auto"/>
        <w:ind w:left="0"/>
        <w:jc w:val="both"/>
        <w:rPr>
          <w:rFonts w:ascii="Arial" w:hAnsi="Arial" w:cs="Arial"/>
          <w:sz w:val="24"/>
          <w:szCs w:val="24"/>
        </w:rPr>
      </w:pPr>
    </w:p>
    <w:p>
      <w:pPr>
        <w:pStyle w:val="21"/>
        <w:numPr>
          <w:ilvl w:val="0"/>
          <w:numId w:val="2"/>
        </w:numPr>
        <w:spacing w:after="0" w:line="360" w:lineRule="auto"/>
        <w:ind w:left="0" w:firstLine="0"/>
        <w:jc w:val="both"/>
        <w:rPr>
          <w:rFonts w:ascii="Arial" w:hAnsi="Arial" w:cs="Arial"/>
          <w:sz w:val="24"/>
          <w:szCs w:val="24"/>
        </w:rPr>
      </w:pPr>
      <w:r>
        <w:rPr>
          <w:rFonts w:ascii="Arial" w:hAnsi="Arial" w:cs="Arial"/>
          <w:sz w:val="24"/>
          <w:szCs w:val="24"/>
        </w:rPr>
        <w:t>I must express this Court’s displeasure at the state of the record that included some 178 pages unnecessarily incorporated into the record. This Court has repeatedly admonished practitioners for including unnecessary documents in the appeal record. It would seem that some of the practitioners have not heeded these warnings and, thus, need to be reminded of this Court’s previous admonitions.</w:t>
      </w:r>
      <w:r>
        <w:rPr>
          <w:rStyle w:val="9"/>
          <w:rFonts w:ascii="Arial" w:hAnsi="Arial" w:cs="Arial"/>
          <w:sz w:val="24"/>
          <w:szCs w:val="24"/>
        </w:rPr>
        <w:footnoteReference w:id="4"/>
      </w:r>
      <w:r>
        <w:rPr>
          <w:rFonts w:ascii="Arial" w:hAnsi="Arial" w:cs="Arial"/>
          <w:sz w:val="24"/>
          <w:szCs w:val="24"/>
        </w:rPr>
        <w:t xml:space="preserve"> </w:t>
      </w:r>
    </w:p>
    <w:p>
      <w:pPr>
        <w:pStyle w:val="21"/>
        <w:rPr>
          <w:rFonts w:ascii="Arial" w:hAnsi="Arial" w:cs="Arial"/>
          <w:sz w:val="24"/>
          <w:szCs w:val="24"/>
        </w:rPr>
      </w:pPr>
    </w:p>
    <w:p>
      <w:pPr>
        <w:pStyle w:val="21"/>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Turning to the issue of costs, I am mindful of the fact that the respondents sought to abide with this Court’s decision. In the circumstances the appeal was unopposed. In addition, during the appeal the parties conceded that the stated case was an incorrect course of action to have adopted for which they must share equal blame. The proper order in these circumstances is that there be no order as to costs.     </w:t>
      </w:r>
    </w:p>
    <w:p>
      <w:pPr>
        <w:pStyle w:val="21"/>
        <w:spacing w:after="0" w:line="360" w:lineRule="auto"/>
        <w:ind w:left="0"/>
        <w:jc w:val="both"/>
        <w:rPr>
          <w:rFonts w:ascii="Arial" w:hAnsi="Arial" w:cs="Arial"/>
          <w:sz w:val="24"/>
          <w:szCs w:val="24"/>
        </w:rPr>
      </w:pPr>
    </w:p>
    <w:p>
      <w:pPr>
        <w:pStyle w:val="21"/>
        <w:numPr>
          <w:ilvl w:val="0"/>
          <w:numId w:val="2"/>
        </w:numPr>
        <w:spacing w:after="0" w:line="360" w:lineRule="auto"/>
        <w:jc w:val="both"/>
        <w:rPr>
          <w:rFonts w:ascii="Arial" w:hAnsi="Arial" w:cs="Arial"/>
          <w:sz w:val="24"/>
          <w:szCs w:val="24"/>
        </w:rPr>
      </w:pPr>
      <w:r>
        <w:rPr>
          <w:rFonts w:ascii="Arial" w:hAnsi="Arial" w:cs="Arial"/>
          <w:sz w:val="24"/>
          <w:szCs w:val="24"/>
        </w:rPr>
        <w:t>Accordingly, the following order is made:</w:t>
      </w:r>
    </w:p>
    <w:p>
      <w:pPr>
        <w:spacing w:after="0" w:line="360" w:lineRule="auto"/>
        <w:ind w:left="142"/>
        <w:jc w:val="both"/>
        <w:rPr>
          <w:rFonts w:ascii="Arial" w:hAnsi="Arial" w:cs="Arial" w:eastAsiaTheme="minorEastAsia"/>
          <w:sz w:val="24"/>
          <w:szCs w:val="24"/>
          <w:lang w:val="en-US"/>
        </w:rPr>
      </w:pPr>
      <w:r>
        <w:rPr>
          <w:rFonts w:ascii="Arial" w:hAnsi="Arial" w:cs="Arial" w:eastAsiaTheme="minorEastAsia"/>
          <w:sz w:val="24"/>
          <w:szCs w:val="24"/>
          <w:lang w:val="en-US"/>
        </w:rPr>
        <w:t>1</w:t>
      </w:r>
      <w:r>
        <w:rPr>
          <w:rFonts w:ascii="Arial" w:hAnsi="Arial" w:cs="Arial" w:eastAsiaTheme="minorEastAsia"/>
          <w:sz w:val="24"/>
          <w:szCs w:val="24"/>
          <w:lang w:val="en-US"/>
        </w:rPr>
        <w:tab/>
      </w:r>
      <w:r>
        <w:rPr>
          <w:rFonts w:ascii="Arial" w:hAnsi="Arial" w:cs="Arial" w:eastAsiaTheme="minorEastAsia"/>
          <w:sz w:val="24"/>
          <w:szCs w:val="24"/>
          <w:lang w:val="en-US"/>
        </w:rPr>
        <w:t xml:space="preserve">The appeal succeeds with no order as to costs. </w:t>
      </w:r>
    </w:p>
    <w:p>
      <w:pPr>
        <w:spacing w:after="0" w:line="360" w:lineRule="auto"/>
        <w:ind w:left="142"/>
        <w:jc w:val="both"/>
        <w:rPr>
          <w:rFonts w:ascii="Arial" w:hAnsi="Arial" w:cs="Arial" w:eastAsiaTheme="minorEastAsia"/>
          <w:sz w:val="24"/>
          <w:szCs w:val="24"/>
          <w:lang w:val="en-US"/>
        </w:rPr>
      </w:pPr>
      <w:r>
        <w:rPr>
          <w:rFonts w:ascii="Arial" w:hAnsi="Arial" w:cs="Arial" w:eastAsiaTheme="minorEastAsia"/>
          <w:sz w:val="24"/>
          <w:szCs w:val="24"/>
          <w:lang w:val="en-US"/>
        </w:rPr>
        <w:t>2</w:t>
      </w:r>
      <w:r>
        <w:rPr>
          <w:rFonts w:ascii="Arial" w:hAnsi="Arial" w:cs="Arial" w:eastAsiaTheme="minorEastAsia"/>
          <w:sz w:val="24"/>
          <w:szCs w:val="24"/>
          <w:lang w:val="en-US"/>
        </w:rPr>
        <w:tab/>
      </w:r>
      <w:r>
        <w:rPr>
          <w:rFonts w:ascii="Arial" w:hAnsi="Arial" w:cs="Arial" w:eastAsiaTheme="minorEastAsia"/>
          <w:sz w:val="24"/>
          <w:szCs w:val="24"/>
          <w:lang w:val="en-US"/>
        </w:rPr>
        <w:t>The order of the court a quo is set aside.</w:t>
      </w:r>
    </w:p>
    <w:p>
      <w:pPr>
        <w:spacing w:after="0" w:line="360" w:lineRule="auto"/>
        <w:ind w:left="142"/>
        <w:jc w:val="both"/>
        <w:rPr>
          <w:rFonts w:ascii="Arial" w:hAnsi="Arial" w:cs="Arial" w:eastAsiaTheme="minorEastAsia"/>
          <w:sz w:val="24"/>
          <w:szCs w:val="24"/>
          <w:lang w:val="en-US"/>
        </w:rPr>
      </w:pPr>
      <w:r>
        <w:rPr>
          <w:rFonts w:ascii="Arial" w:hAnsi="Arial" w:cs="Arial" w:eastAsiaTheme="minorEastAsia"/>
          <w:sz w:val="24"/>
          <w:szCs w:val="24"/>
          <w:lang w:val="en-US"/>
        </w:rPr>
        <w:t>3</w:t>
      </w:r>
      <w:r>
        <w:rPr>
          <w:rFonts w:ascii="Arial" w:hAnsi="Arial" w:cs="Arial" w:eastAsiaTheme="minorEastAsia"/>
          <w:sz w:val="24"/>
          <w:szCs w:val="24"/>
          <w:lang w:val="en-US"/>
        </w:rPr>
        <w:tab/>
      </w:r>
      <w:r>
        <w:rPr>
          <w:rFonts w:ascii="Arial" w:hAnsi="Arial" w:cs="Arial" w:eastAsiaTheme="minorEastAsia"/>
          <w:sz w:val="24"/>
          <w:szCs w:val="24"/>
          <w:lang w:val="en-US"/>
        </w:rPr>
        <w:t>The matter is remitted to the court a quo for the determination of the quantum of damages.</w:t>
      </w:r>
    </w:p>
    <w:p>
      <w:pPr>
        <w:spacing w:after="0" w:line="360" w:lineRule="auto"/>
        <w:ind w:left="426" w:hanging="426"/>
        <w:jc w:val="both"/>
        <w:rPr>
          <w:rFonts w:ascii="Arial" w:hAnsi="Arial" w:cs="Arial" w:eastAsiaTheme="minorEastAsia"/>
          <w:sz w:val="24"/>
          <w:szCs w:val="24"/>
          <w:lang w:val="en-US"/>
        </w:rPr>
      </w:pP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p>
    <w:p>
      <w:pPr>
        <w:spacing w:before="240" w:after="0"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pPr>
        <w:spacing w:before="240" w:after="0" w:line="360" w:lineRule="auto"/>
        <w:jc w:val="both"/>
        <w:rPr>
          <w:rFonts w:ascii="Arial" w:hAnsi="Arial" w:cs="Arial"/>
          <w:b/>
          <w:sz w:val="24"/>
          <w:szCs w:val="24"/>
        </w:rPr>
      </w:pPr>
      <w:r>
        <w:rPr>
          <w:rFonts w:ascii="Arial" w:hAnsi="Arial" w:cs="Arial"/>
          <w:b/>
          <w:sz w:val="24"/>
          <w:szCs w:val="24"/>
        </w:rPr>
        <w:tab/>
      </w:r>
    </w:p>
    <w:p>
      <w:pPr>
        <w:spacing w:after="0" w:line="360" w:lineRule="auto"/>
        <w:jc w:val="right"/>
        <w:rPr>
          <w:rFonts w:ascii="Arial" w:hAnsi="Arial" w:cs="Arial"/>
          <w:sz w:val="24"/>
          <w:szCs w:val="24"/>
          <w:lang w:val="en-US"/>
        </w:rPr>
      </w:pPr>
      <w:r>
        <w:rPr>
          <w:rFonts w:ascii="Arial" w:hAnsi="Arial" w:cs="Arial"/>
          <w:sz w:val="24"/>
          <w:szCs w:val="24"/>
          <w:lang w:val="en-US"/>
        </w:rPr>
        <w:t>_________________</w:t>
      </w:r>
    </w:p>
    <w:p>
      <w:pPr>
        <w:spacing w:after="0" w:line="360" w:lineRule="auto"/>
        <w:jc w:val="right"/>
        <w:rPr>
          <w:rFonts w:ascii="Arial" w:hAnsi="Arial" w:cs="Arial"/>
          <w:sz w:val="24"/>
          <w:szCs w:val="24"/>
          <w:lang w:val="en-US"/>
        </w:rPr>
      </w:pPr>
      <w:r>
        <w:rPr>
          <w:rFonts w:ascii="Arial" w:hAnsi="Arial" w:cs="Arial"/>
          <w:sz w:val="24"/>
          <w:szCs w:val="24"/>
          <w:lang w:val="en-US"/>
        </w:rPr>
        <w:t xml:space="preserve">W HUGHES </w:t>
      </w:r>
    </w:p>
    <w:p>
      <w:pPr>
        <w:spacing w:after="0" w:line="360" w:lineRule="auto"/>
        <w:jc w:val="right"/>
        <w:rPr>
          <w:rFonts w:ascii="Arial" w:hAnsi="Arial" w:cs="Arial"/>
          <w:sz w:val="24"/>
          <w:szCs w:val="24"/>
          <w:lang w:val="en-US"/>
        </w:rPr>
      </w:pPr>
      <w:r>
        <w:rPr>
          <w:rFonts w:ascii="Arial" w:hAnsi="Arial" w:cs="Arial"/>
          <w:sz w:val="24"/>
          <w:szCs w:val="24"/>
          <w:lang w:val="en-US"/>
        </w:rPr>
        <w:t>JUDGE OF APPEAL</w:t>
      </w:r>
    </w:p>
    <w:p>
      <w:pPr>
        <w:spacing w:after="0" w:line="360" w:lineRule="auto"/>
        <w:jc w:val="right"/>
        <w:rPr>
          <w:rFonts w:ascii="Arial" w:hAnsi="Arial" w:cs="Arial"/>
          <w:sz w:val="24"/>
          <w:szCs w:val="24"/>
          <w:lang w:val="en-US"/>
        </w:rPr>
      </w:pPr>
    </w:p>
    <w:p>
      <w:pPr>
        <w:spacing w:after="0" w:line="360" w:lineRule="auto"/>
        <w:jc w:val="right"/>
        <w:rPr>
          <w:rFonts w:ascii="Arial" w:hAnsi="Arial" w:cs="Arial"/>
          <w:sz w:val="24"/>
          <w:szCs w:val="24"/>
          <w:lang w:val="en-US"/>
        </w:rPr>
      </w:pPr>
    </w:p>
    <w:p>
      <w:pPr>
        <w:spacing w:after="0" w:line="360" w:lineRule="auto"/>
        <w:jc w:val="right"/>
        <w:rPr>
          <w:rFonts w:ascii="Arial" w:hAnsi="Arial" w:cs="Arial"/>
          <w:sz w:val="24"/>
          <w:szCs w:val="24"/>
          <w:lang w:val="en-US"/>
        </w:rPr>
      </w:pPr>
    </w:p>
    <w:p>
      <w:pPr>
        <w:spacing w:line="360" w:lineRule="auto"/>
        <w:rPr>
          <w:rFonts w:ascii="Arial" w:hAnsi="Arial" w:cs="Arial" w:eastAsiaTheme="minorEastAsia"/>
          <w:sz w:val="24"/>
          <w:szCs w:val="24"/>
          <w:lang w:val="en-US"/>
        </w:rPr>
      </w:pPr>
      <w:r>
        <w:rPr>
          <w:rFonts w:ascii="Arial" w:hAnsi="Arial" w:cs="Arial" w:eastAsiaTheme="minorEastAsia"/>
          <w:sz w:val="24"/>
          <w:szCs w:val="24"/>
          <w:lang w:val="en-US"/>
        </w:rPr>
        <w:br w:type="page"/>
      </w:r>
    </w:p>
    <w:p>
      <w:pPr>
        <w:spacing w:after="0" w:line="360" w:lineRule="auto"/>
        <w:rPr>
          <w:rFonts w:ascii="Arial" w:hAnsi="Arial" w:cs="Arial" w:eastAsiaTheme="minorEastAsia"/>
          <w:sz w:val="24"/>
          <w:szCs w:val="24"/>
          <w:lang w:val="en-US"/>
        </w:rPr>
      </w:pPr>
      <w:r>
        <w:rPr>
          <w:rFonts w:ascii="Arial" w:hAnsi="Arial" w:cs="Arial" w:eastAsiaTheme="minorEastAsia"/>
          <w:sz w:val="24"/>
          <w:szCs w:val="24"/>
          <w:lang w:val="en-US"/>
        </w:rPr>
        <w:t>APPEARANCES</w:t>
      </w:r>
    </w:p>
    <w:p>
      <w:pPr>
        <w:spacing w:after="0" w:line="360" w:lineRule="auto"/>
        <w:rPr>
          <w:rFonts w:ascii="Arial" w:hAnsi="Arial" w:cs="Arial"/>
          <w:sz w:val="24"/>
          <w:szCs w:val="24"/>
          <w:lang w:val="en-US"/>
        </w:rPr>
      </w:pPr>
    </w:p>
    <w:p>
      <w:pPr>
        <w:tabs>
          <w:tab w:val="left" w:pos="3686"/>
        </w:tabs>
        <w:spacing w:after="0" w:line="360" w:lineRule="auto"/>
        <w:ind w:left="4320" w:hanging="4320"/>
        <w:jc w:val="both"/>
        <w:rPr>
          <w:rFonts w:ascii="Arial" w:hAnsi="Arial" w:cs="Arial" w:eastAsiaTheme="minorEastAsia"/>
          <w:sz w:val="24"/>
          <w:szCs w:val="24"/>
          <w:lang w:val="en-US"/>
        </w:rPr>
      </w:pPr>
      <w:r>
        <w:rPr>
          <w:rFonts w:ascii="Arial" w:hAnsi="Arial" w:cs="Arial" w:eastAsiaTheme="minorEastAsia"/>
          <w:sz w:val="24"/>
          <w:szCs w:val="24"/>
          <w:lang w:val="en-US"/>
        </w:rPr>
        <w:t xml:space="preserve">For the Appellant: </w:t>
      </w:r>
      <w:r>
        <w:rPr>
          <w:rFonts w:ascii="Arial" w:hAnsi="Arial" w:cs="Arial" w:eastAsiaTheme="minorEastAsia"/>
          <w:sz w:val="24"/>
          <w:szCs w:val="24"/>
          <w:lang w:val="en-US"/>
        </w:rPr>
        <w:tab/>
      </w:r>
      <w:r>
        <w:rPr>
          <w:rFonts w:ascii="Arial" w:hAnsi="Arial" w:cs="Arial" w:eastAsiaTheme="minorEastAsia"/>
          <w:sz w:val="24"/>
          <w:szCs w:val="24"/>
          <w:lang w:val="en-US"/>
        </w:rPr>
        <w:tab/>
      </w:r>
      <w:r>
        <w:rPr>
          <w:rFonts w:ascii="Arial" w:hAnsi="Arial" w:cs="Arial" w:eastAsiaTheme="minorEastAsia"/>
          <w:sz w:val="24"/>
          <w:szCs w:val="24"/>
          <w:lang w:val="en-US"/>
        </w:rPr>
        <w:t>D V Pitt (heads of argument prepared by Z Z Matebese SC with him D V Pitt)</w:t>
      </w:r>
    </w:p>
    <w:p>
      <w:pPr>
        <w:tabs>
          <w:tab w:val="left" w:pos="3686"/>
        </w:tabs>
        <w:spacing w:after="0" w:line="360" w:lineRule="auto"/>
        <w:jc w:val="both"/>
        <w:rPr>
          <w:rFonts w:ascii="Arial" w:hAnsi="Arial" w:cs="Arial" w:eastAsiaTheme="minorEastAsia"/>
          <w:sz w:val="24"/>
          <w:szCs w:val="24"/>
          <w:lang w:val="en-US"/>
        </w:rPr>
      </w:pPr>
      <w:r>
        <w:rPr>
          <w:rFonts w:ascii="Arial" w:hAnsi="Arial" w:cs="Arial" w:eastAsiaTheme="minorEastAsia"/>
          <w:sz w:val="24"/>
          <w:szCs w:val="24"/>
          <w:lang w:val="en-US"/>
        </w:rPr>
        <w:t xml:space="preserve">Instructed by: </w:t>
      </w:r>
      <w:r>
        <w:rPr>
          <w:rFonts w:ascii="Arial" w:hAnsi="Arial" w:cs="Arial" w:eastAsiaTheme="minorEastAsia"/>
          <w:sz w:val="24"/>
          <w:szCs w:val="24"/>
          <w:lang w:val="en-US"/>
        </w:rPr>
        <w:tab/>
      </w:r>
      <w:r>
        <w:rPr>
          <w:rFonts w:ascii="Arial" w:hAnsi="Arial" w:cs="Arial" w:eastAsiaTheme="minorEastAsia"/>
          <w:sz w:val="24"/>
          <w:szCs w:val="24"/>
          <w:lang w:val="en-US"/>
        </w:rPr>
        <w:tab/>
      </w:r>
      <w:r>
        <w:rPr>
          <w:rFonts w:ascii="Arial" w:hAnsi="Arial" w:cs="Arial" w:eastAsiaTheme="minorEastAsia"/>
          <w:sz w:val="24"/>
          <w:szCs w:val="24"/>
          <w:lang w:val="en-US"/>
        </w:rPr>
        <w:t>State Attorney, Mthatha</w:t>
      </w:r>
    </w:p>
    <w:p>
      <w:pPr>
        <w:tabs>
          <w:tab w:val="left" w:pos="3686"/>
        </w:tabs>
        <w:spacing w:after="0" w:line="360" w:lineRule="auto"/>
        <w:jc w:val="both"/>
        <w:rPr>
          <w:rFonts w:ascii="Arial" w:hAnsi="Arial" w:cs="Arial" w:eastAsiaTheme="minorEastAsia"/>
          <w:sz w:val="24"/>
          <w:szCs w:val="24"/>
          <w:lang w:val="en-US"/>
        </w:rPr>
      </w:pPr>
      <w:r>
        <w:rPr>
          <w:rFonts w:ascii="Arial" w:hAnsi="Arial" w:cs="Arial" w:eastAsiaTheme="minorEastAsia"/>
          <w:sz w:val="24"/>
          <w:szCs w:val="24"/>
          <w:lang w:val="en-US"/>
        </w:rPr>
        <w:tab/>
      </w:r>
      <w:r>
        <w:rPr>
          <w:rFonts w:ascii="Arial" w:hAnsi="Arial" w:cs="Arial" w:eastAsiaTheme="minorEastAsia"/>
          <w:sz w:val="24"/>
          <w:szCs w:val="24"/>
          <w:lang w:val="en-US"/>
        </w:rPr>
        <w:tab/>
      </w:r>
      <w:r>
        <w:rPr>
          <w:rFonts w:ascii="Arial" w:hAnsi="Arial" w:cs="Arial" w:eastAsiaTheme="minorEastAsia"/>
          <w:sz w:val="24"/>
          <w:szCs w:val="24"/>
          <w:lang w:val="en-US"/>
        </w:rPr>
        <w:t>State Attorney, Bloemfontein</w:t>
      </w:r>
      <w:r>
        <w:rPr>
          <w:rFonts w:ascii="Arial" w:hAnsi="Arial" w:cs="Arial" w:eastAsiaTheme="minorEastAsia"/>
          <w:sz w:val="24"/>
          <w:szCs w:val="24"/>
          <w:lang w:val="en-US"/>
        </w:rPr>
        <w:tab/>
      </w:r>
    </w:p>
    <w:p>
      <w:pPr>
        <w:tabs>
          <w:tab w:val="left" w:pos="3686"/>
        </w:tabs>
        <w:spacing w:after="0" w:line="360" w:lineRule="auto"/>
        <w:jc w:val="both"/>
        <w:rPr>
          <w:rFonts w:ascii="Arial" w:hAnsi="Arial" w:cs="Arial" w:eastAsiaTheme="minorEastAsia"/>
          <w:sz w:val="24"/>
          <w:szCs w:val="24"/>
          <w:lang w:val="en-US"/>
        </w:rPr>
      </w:pPr>
      <w:r>
        <w:rPr>
          <w:rFonts w:ascii="Arial" w:hAnsi="Arial" w:cs="Arial" w:eastAsiaTheme="minorEastAsia"/>
          <w:sz w:val="24"/>
          <w:szCs w:val="24"/>
          <w:lang w:val="en-US"/>
        </w:rPr>
        <w:t xml:space="preserve"> </w:t>
      </w:r>
    </w:p>
    <w:p>
      <w:pPr>
        <w:tabs>
          <w:tab w:val="left" w:pos="3686"/>
        </w:tabs>
        <w:spacing w:after="0" w:line="360" w:lineRule="auto"/>
        <w:jc w:val="both"/>
        <w:rPr>
          <w:rFonts w:ascii="Arial" w:hAnsi="Arial" w:cs="Arial" w:eastAsiaTheme="minorEastAsia"/>
          <w:sz w:val="24"/>
          <w:szCs w:val="24"/>
          <w:lang w:val="en-US"/>
        </w:rPr>
      </w:pPr>
    </w:p>
    <w:p>
      <w:pPr>
        <w:tabs>
          <w:tab w:val="left" w:pos="3686"/>
        </w:tabs>
        <w:spacing w:after="0" w:line="360" w:lineRule="auto"/>
        <w:jc w:val="both"/>
        <w:rPr>
          <w:rFonts w:ascii="Arial" w:hAnsi="Arial" w:cs="Arial" w:eastAsiaTheme="minorEastAsia"/>
          <w:sz w:val="24"/>
          <w:szCs w:val="24"/>
          <w:lang w:val="en-US"/>
        </w:rPr>
      </w:pPr>
      <w:r>
        <w:rPr>
          <w:rFonts w:ascii="Arial" w:hAnsi="Arial" w:cs="Arial" w:eastAsiaTheme="minorEastAsia"/>
          <w:sz w:val="24"/>
          <w:szCs w:val="24"/>
          <w:lang w:val="en-US"/>
        </w:rPr>
        <w:t xml:space="preserve">For the Respondent: </w:t>
      </w:r>
      <w:r>
        <w:rPr>
          <w:rFonts w:ascii="Arial" w:hAnsi="Arial" w:cs="Arial" w:eastAsiaTheme="minorEastAsia"/>
          <w:sz w:val="24"/>
          <w:szCs w:val="24"/>
          <w:lang w:val="en-US"/>
        </w:rPr>
        <w:tab/>
      </w:r>
      <w:r>
        <w:rPr>
          <w:rFonts w:ascii="Arial" w:hAnsi="Arial" w:cs="Arial" w:eastAsiaTheme="minorEastAsia"/>
          <w:sz w:val="24"/>
          <w:szCs w:val="24"/>
          <w:lang w:val="en-US"/>
        </w:rPr>
        <w:tab/>
      </w:r>
      <w:r>
        <w:rPr>
          <w:rFonts w:ascii="Arial" w:hAnsi="Arial" w:cs="Arial" w:eastAsiaTheme="minorEastAsia"/>
          <w:sz w:val="24"/>
          <w:szCs w:val="24"/>
          <w:lang w:val="en-US"/>
        </w:rPr>
        <w:t>A M Bodlani</w:t>
      </w:r>
      <w:r>
        <w:rPr>
          <w:rFonts w:ascii="Arial" w:hAnsi="Arial" w:cs="Arial" w:eastAsiaTheme="minorEastAsia"/>
          <w:sz w:val="24"/>
          <w:szCs w:val="24"/>
          <w:lang w:val="en-US"/>
        </w:rPr>
        <w:tab/>
      </w:r>
    </w:p>
    <w:p>
      <w:pPr>
        <w:tabs>
          <w:tab w:val="left" w:pos="3686"/>
        </w:tabs>
        <w:spacing w:after="0" w:line="360" w:lineRule="auto"/>
        <w:jc w:val="both"/>
        <w:rPr>
          <w:rFonts w:ascii="Arial" w:hAnsi="Arial" w:cs="Arial" w:eastAsiaTheme="minorEastAsia"/>
          <w:sz w:val="24"/>
          <w:szCs w:val="24"/>
          <w:lang w:val="en-US"/>
        </w:rPr>
      </w:pPr>
      <w:r>
        <w:rPr>
          <w:rFonts w:ascii="Arial" w:hAnsi="Arial" w:cs="Arial" w:eastAsiaTheme="minorEastAsia"/>
          <w:sz w:val="24"/>
          <w:szCs w:val="24"/>
          <w:lang w:val="en-US"/>
        </w:rPr>
        <w:t xml:space="preserve">Instructed by: </w:t>
      </w:r>
      <w:r>
        <w:rPr>
          <w:rFonts w:ascii="Arial" w:hAnsi="Arial" w:cs="Arial" w:eastAsiaTheme="minorEastAsia"/>
          <w:sz w:val="24"/>
          <w:szCs w:val="24"/>
          <w:lang w:val="en-US"/>
        </w:rPr>
        <w:tab/>
      </w:r>
      <w:r>
        <w:rPr>
          <w:rFonts w:ascii="Arial" w:hAnsi="Arial" w:cs="Arial" w:eastAsiaTheme="minorEastAsia"/>
          <w:sz w:val="24"/>
          <w:szCs w:val="24"/>
          <w:lang w:val="en-US"/>
        </w:rPr>
        <w:tab/>
      </w:r>
      <w:r>
        <w:rPr>
          <w:rFonts w:ascii="Arial" w:hAnsi="Arial" w:cs="Arial" w:eastAsiaTheme="minorEastAsia"/>
          <w:sz w:val="24"/>
          <w:szCs w:val="24"/>
          <w:lang w:val="en-US"/>
        </w:rPr>
        <w:t>T A Noah &amp; Sons Attorney, Mthatha</w:t>
      </w:r>
    </w:p>
    <w:p>
      <w:pPr>
        <w:tabs>
          <w:tab w:val="left" w:pos="3686"/>
        </w:tabs>
        <w:spacing w:after="0" w:line="360" w:lineRule="auto"/>
        <w:jc w:val="both"/>
        <w:rPr>
          <w:rFonts w:ascii="Arial" w:hAnsi="Arial" w:cs="Arial" w:eastAsiaTheme="minorEastAsia"/>
          <w:sz w:val="24"/>
          <w:szCs w:val="24"/>
          <w:lang w:val="en-US"/>
        </w:rPr>
      </w:pPr>
      <w:r>
        <w:rPr>
          <w:rFonts w:ascii="Arial" w:hAnsi="Arial" w:cs="Arial" w:eastAsiaTheme="minorEastAsia"/>
          <w:sz w:val="24"/>
          <w:szCs w:val="24"/>
          <w:lang w:val="en-US"/>
        </w:rPr>
        <w:tab/>
      </w:r>
      <w:r>
        <w:rPr>
          <w:rFonts w:ascii="Arial" w:hAnsi="Arial" w:cs="Arial" w:eastAsiaTheme="minorEastAsia"/>
          <w:sz w:val="24"/>
          <w:szCs w:val="24"/>
          <w:lang w:val="en-US"/>
        </w:rPr>
        <w:tab/>
      </w:r>
      <w:r>
        <w:rPr>
          <w:rFonts w:ascii="Arial" w:hAnsi="Arial" w:cs="Arial" w:eastAsiaTheme="minorEastAsia"/>
          <w:sz w:val="24"/>
          <w:szCs w:val="24"/>
          <w:lang w:val="en-US"/>
        </w:rPr>
        <w:t>No correspondent in Bloemfontein</w:t>
      </w:r>
    </w:p>
    <w:p>
      <w:pPr>
        <w:tabs>
          <w:tab w:val="left" w:pos="3686"/>
        </w:tabs>
        <w:spacing w:after="0" w:line="360" w:lineRule="auto"/>
        <w:jc w:val="both"/>
        <w:rPr>
          <w:rFonts w:ascii="Arial" w:hAnsi="Arial" w:cs="Arial" w:eastAsiaTheme="minorEastAsia"/>
          <w:sz w:val="24"/>
          <w:szCs w:val="24"/>
          <w:lang w:val="en-US"/>
        </w:rPr>
      </w:pPr>
      <w:r>
        <w:rPr>
          <w:rFonts w:ascii="Arial" w:hAnsi="Arial" w:cs="Arial" w:eastAsiaTheme="minorEastAsia"/>
          <w:sz w:val="24"/>
          <w:szCs w:val="24"/>
          <w:lang w:val="en-US"/>
        </w:rPr>
        <w:tab/>
      </w:r>
      <w:r>
        <w:rPr>
          <w:rFonts w:ascii="Arial" w:hAnsi="Arial" w:cs="Arial" w:eastAsiaTheme="minorEastAsia"/>
          <w:sz w:val="24"/>
          <w:szCs w:val="24"/>
          <w:lang w:val="en-US"/>
        </w:rPr>
        <w:t xml:space="preserve">  </w:t>
      </w:r>
    </w:p>
    <w:sectPr>
      <w:headerReference r:id="rId5" w:type="default"/>
      <w:pgSz w:w="11906" w:h="16838"/>
      <w:pgMar w:top="1440" w:right="1274" w:bottom="1440" w:left="1560" w:header="708"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0">
    <w:p>
      <w:pPr>
        <w:spacing w:before="0" w:after="0" w:line="276" w:lineRule="auto"/>
      </w:pPr>
      <w:r>
        <w:separator/>
      </w:r>
    </w:p>
  </w:footnote>
  <w:footnote w:type="continuationSeparator" w:id="11">
    <w:p>
      <w:pPr>
        <w:spacing w:before="0" w:after="0" w:line="276" w:lineRule="auto"/>
      </w:pPr>
      <w:r>
        <w:continuationSeparator/>
      </w:r>
    </w:p>
  </w:footnote>
  <w:footnote w:id="0">
    <w:p>
      <w:pPr>
        <w:pStyle w:val="10"/>
        <w:jc w:val="both"/>
        <w:rPr>
          <w:rFonts w:ascii="Arial" w:hAnsi="Arial" w:cs="Arial"/>
        </w:rPr>
      </w:pPr>
      <w:r>
        <w:rPr>
          <w:rStyle w:val="9"/>
          <w:rFonts w:ascii="Arial" w:hAnsi="Arial" w:cs="Arial"/>
        </w:rPr>
        <w:footnoteRef/>
      </w:r>
      <w:r>
        <w:rPr>
          <w:rFonts w:ascii="Arial" w:hAnsi="Arial" w:cs="Arial"/>
        </w:rPr>
        <w:t xml:space="preserve"> </w:t>
      </w:r>
      <w:r>
        <w:rPr>
          <w:rFonts w:ascii="Arial" w:hAnsi="Arial" w:cs="Arial"/>
          <w:i/>
        </w:rPr>
        <w:t>Minister of Police v Mboweni and Another</w:t>
      </w:r>
      <w:r>
        <w:rPr>
          <w:rFonts w:ascii="Arial" w:hAnsi="Arial" w:cs="Arial"/>
        </w:rPr>
        <w:t xml:space="preserve"> [2014] ZASCA 107, 2014 (6) SA 256 (SCA) at para 8; </w:t>
      </w:r>
      <w:r>
        <w:rPr>
          <w:rFonts w:ascii="Arial" w:hAnsi="Arial" w:cs="Arial"/>
          <w:i/>
        </w:rPr>
        <w:t>Bane and Others v</w:t>
      </w:r>
      <w:r>
        <w:rPr>
          <w:rFonts w:ascii="Arial" w:hAnsi="Arial" w:cs="Arial"/>
        </w:rPr>
        <w:t xml:space="preserve"> </w:t>
      </w:r>
      <w:r>
        <w:rPr>
          <w:rFonts w:ascii="Arial" w:hAnsi="Arial" w:cs="Arial"/>
          <w:i/>
        </w:rPr>
        <w:t xml:space="preserve">D’Ambrosi </w:t>
      </w:r>
      <w:r>
        <w:rPr>
          <w:rFonts w:ascii="Arial" w:hAnsi="Arial" w:cs="Arial"/>
          <w:iCs/>
        </w:rPr>
        <w:t xml:space="preserve">[2009] ZASCA 98; </w:t>
      </w:r>
      <w:r>
        <w:rPr>
          <w:rFonts w:ascii="Arial" w:hAnsi="Arial" w:cs="Arial"/>
        </w:rPr>
        <w:t>2010 (2) SA 539 (SCA) at para 7.</w:t>
      </w:r>
    </w:p>
  </w:footnote>
  <w:footnote w:id="1">
    <w:p>
      <w:pPr>
        <w:pStyle w:val="10"/>
        <w:jc w:val="both"/>
        <w:rPr>
          <w:rFonts w:ascii="Arial" w:hAnsi="Arial" w:cs="Arial"/>
        </w:rPr>
      </w:pPr>
      <w:r>
        <w:rPr>
          <w:rStyle w:val="9"/>
          <w:rFonts w:ascii="Arial" w:hAnsi="Arial" w:cs="Arial"/>
        </w:rPr>
        <w:footnoteRef/>
      </w:r>
      <w:r>
        <w:rPr>
          <w:rFonts w:ascii="Arial" w:hAnsi="Arial" w:cs="Arial"/>
        </w:rPr>
        <w:t xml:space="preserve"> Paras 5, 9, 10, 22 and 23 of the judgment of the court a quo by Zono AJ.</w:t>
      </w:r>
    </w:p>
  </w:footnote>
  <w:footnote w:id="2">
    <w:p>
      <w:pPr>
        <w:pStyle w:val="10"/>
        <w:jc w:val="both"/>
        <w:rPr>
          <w:rFonts w:ascii="Arial" w:hAnsi="Arial" w:cs="Arial"/>
        </w:rPr>
      </w:pPr>
      <w:r>
        <w:rPr>
          <w:rStyle w:val="9"/>
          <w:rFonts w:ascii="Arial" w:hAnsi="Arial" w:cs="Arial"/>
        </w:rPr>
        <w:footnoteRef/>
      </w:r>
      <w:r>
        <w:rPr>
          <w:rFonts w:ascii="Arial" w:hAnsi="Arial" w:cs="Arial"/>
        </w:rPr>
        <w:t xml:space="preserve"> Para 40 and 41 of the judgment of the court.</w:t>
      </w:r>
    </w:p>
  </w:footnote>
  <w:footnote w:id="3">
    <w:p>
      <w:pPr>
        <w:pStyle w:val="10"/>
        <w:jc w:val="both"/>
        <w:rPr>
          <w:rFonts w:ascii="Arial" w:hAnsi="Arial" w:cs="Arial"/>
        </w:rPr>
      </w:pPr>
      <w:r>
        <w:rPr>
          <w:rStyle w:val="9"/>
          <w:rFonts w:ascii="Arial" w:hAnsi="Arial" w:cs="Arial"/>
        </w:rPr>
        <w:footnoteRef/>
      </w:r>
      <w:r>
        <w:rPr>
          <w:rFonts w:ascii="Arial" w:hAnsi="Arial" w:cs="Arial"/>
        </w:rPr>
        <w:t xml:space="preserve"> </w:t>
      </w:r>
      <w:r>
        <w:rPr>
          <w:rFonts w:ascii="Arial" w:hAnsi="Arial" w:cs="Arial"/>
          <w:i/>
        </w:rPr>
        <w:t>Feedpro Animal Nutrition (Pty) Ltd v Nienaber NO and Another</w:t>
      </w:r>
      <w:r>
        <w:rPr>
          <w:rFonts w:ascii="Arial" w:hAnsi="Arial" w:cs="Arial"/>
        </w:rPr>
        <w:t xml:space="preserve"> [2016] ZASCA 32 at para 9 &amp;10.</w:t>
      </w:r>
    </w:p>
  </w:footnote>
  <w:footnote w:id="4">
    <w:p>
      <w:pPr>
        <w:pStyle w:val="25"/>
        <w:shd w:val="clear" w:color="auto" w:fill="FFFFFF"/>
        <w:spacing w:before="0" w:beforeAutospacing="0" w:after="288" w:afterAutospacing="0"/>
        <w:jc w:val="both"/>
        <w:rPr>
          <w:rFonts w:ascii="Arial" w:hAnsi="Arial" w:cs="Arial"/>
          <w:color w:val="242121"/>
          <w:sz w:val="20"/>
          <w:szCs w:val="20"/>
        </w:rPr>
      </w:pPr>
      <w:r>
        <w:rPr>
          <w:rStyle w:val="9"/>
          <w:rFonts w:ascii="Arial" w:hAnsi="Arial" w:cs="Arial"/>
        </w:rPr>
        <w:footnoteRef/>
      </w:r>
      <w:r>
        <w:rPr>
          <w:rFonts w:ascii="Arial" w:hAnsi="Arial" w:cs="Arial"/>
        </w:rPr>
        <w:t xml:space="preserve"> </w:t>
      </w:r>
      <w:r>
        <w:rPr>
          <w:rFonts w:ascii="Arial" w:hAnsi="Arial" w:cs="Arial"/>
          <w:i/>
          <w:iCs/>
          <w:color w:val="242121"/>
          <w:sz w:val="20"/>
          <w:szCs w:val="20"/>
        </w:rPr>
        <w:t>Government of the RSA v Maskam Boukontrakteurs (Edms) Bpk </w:t>
      </w:r>
      <w:r>
        <w:fldChar w:fldCharType="begin"/>
      </w:r>
      <w:r>
        <w:instrText xml:space="preserve"> HYPERLINK "http://www.saflii.org/cgi-bin/LawCite?cit=1984%20%281%29%20SA%20680" \o "View LawCiteRecord" </w:instrText>
      </w:r>
      <w:r>
        <w:fldChar w:fldCharType="separate"/>
      </w:r>
      <w:r>
        <w:rPr>
          <w:rStyle w:val="12"/>
          <w:rFonts w:ascii="Arial" w:hAnsi="Arial" w:cs="Arial"/>
          <w:bCs/>
          <w:color w:val="auto"/>
          <w:sz w:val="20"/>
          <w:szCs w:val="20"/>
          <w:u w:val="none"/>
        </w:rPr>
        <w:t>1984 (1) SA 680</w:t>
      </w:r>
      <w:r>
        <w:rPr>
          <w:rStyle w:val="12"/>
          <w:rFonts w:ascii="Arial" w:hAnsi="Arial" w:cs="Arial"/>
          <w:bCs/>
          <w:color w:val="auto"/>
          <w:sz w:val="20"/>
          <w:szCs w:val="20"/>
          <w:u w:val="none"/>
        </w:rPr>
        <w:fldChar w:fldCharType="end"/>
      </w:r>
      <w:r>
        <w:rPr>
          <w:rFonts w:ascii="Arial" w:hAnsi="Arial" w:cs="Arial"/>
          <w:color w:val="242121"/>
          <w:sz w:val="20"/>
          <w:szCs w:val="20"/>
        </w:rPr>
        <w:t> (A) at 692E–693A; </w:t>
      </w:r>
      <w:r>
        <w:rPr>
          <w:rFonts w:ascii="Arial" w:hAnsi="Arial" w:cs="Arial"/>
          <w:i/>
          <w:iCs/>
          <w:color w:val="242121"/>
          <w:sz w:val="20"/>
          <w:szCs w:val="20"/>
        </w:rPr>
        <w:t>Salviati &amp; Santori (Pty) Ltd v Primesite Outdoor Advertising (Pty) Ltd </w:t>
      </w:r>
      <w:r>
        <w:rPr>
          <w:rFonts w:ascii="Arial" w:hAnsi="Arial" w:cs="Arial"/>
          <w:bCs/>
          <w:sz w:val="20"/>
          <w:szCs w:val="20"/>
        </w:rPr>
        <w:t>2001 (3) SA 766</w:t>
      </w:r>
      <w:r>
        <w:rPr>
          <w:rFonts w:ascii="Arial" w:hAnsi="Arial" w:cs="Arial"/>
          <w:color w:val="242121"/>
          <w:sz w:val="20"/>
          <w:szCs w:val="20"/>
        </w:rPr>
        <w:t> (SCA) paras 16–17;</w:t>
      </w:r>
      <w:r>
        <w:rPr>
          <w:rFonts w:ascii="Arial" w:hAnsi="Arial" w:cs="Arial"/>
          <w:i/>
          <w:iCs/>
          <w:color w:val="242121"/>
          <w:sz w:val="20"/>
          <w:szCs w:val="20"/>
          <w:shd w:val="clear" w:color="auto" w:fill="FFFFFF"/>
          <w:lang w:val="af-ZA"/>
        </w:rPr>
        <w:t xml:space="preserve"> Nkengana v Schnetler</w:t>
      </w:r>
      <w:r>
        <w:rPr>
          <w:rFonts w:ascii="Arial" w:hAnsi="Arial" w:cs="Arial"/>
          <w:color w:val="242121"/>
          <w:sz w:val="20"/>
          <w:szCs w:val="20"/>
          <w:shd w:val="clear" w:color="auto" w:fill="FFFFFF"/>
          <w:lang w:val="af-ZA"/>
        </w:rPr>
        <w:t> </w:t>
      </w:r>
      <w:r>
        <w:rPr>
          <w:rFonts w:ascii="Arial" w:hAnsi="Arial" w:cs="Arial"/>
          <w:bCs/>
          <w:color w:val="242121"/>
          <w:sz w:val="20"/>
          <w:szCs w:val="20"/>
          <w:shd w:val="clear" w:color="auto" w:fill="FFFFFF"/>
          <w:lang w:val="af-ZA"/>
        </w:rPr>
        <w:t>[2010] ZASCA 64</w:t>
      </w:r>
      <w:r>
        <w:rPr>
          <w:rFonts w:ascii="Arial" w:hAnsi="Arial" w:cs="Arial"/>
          <w:color w:val="242121"/>
          <w:sz w:val="20"/>
          <w:szCs w:val="20"/>
          <w:shd w:val="clear" w:color="auto" w:fill="FFFFFF"/>
          <w:lang w:val="af-ZA"/>
        </w:rPr>
        <w:t>; [2011] 1 All SA 272 (SCA) para 16</w:t>
      </w:r>
      <w:r>
        <w:rPr>
          <w:rFonts w:ascii="Arial" w:hAnsi="Arial" w:cs="Arial"/>
          <w:color w:val="242121"/>
          <w:sz w:val="20"/>
          <w:szCs w:val="20"/>
        </w:rPr>
        <w:t>.</w:t>
      </w:r>
    </w:p>
    <w:p>
      <w:pPr>
        <w:pStyle w:val="1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19621178"/>
      <w:docPartObj>
        <w:docPartGallery w:val="AutoText"/>
      </w:docPartObj>
    </w:sdtPr>
    <w:sdtEndPr>
      <w:rPr>
        <w:rFonts w:ascii="Arial" w:hAnsi="Arial" w:cs="Arial"/>
      </w:rPr>
    </w:sdtEndPr>
    <w:sdtContent>
      <w:p>
        <w:pPr>
          <w:pStyle w:val="11"/>
          <w:jc w:val="right"/>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rPr>
          <w:t>2</w:t>
        </w:r>
        <w:r>
          <w:rPr>
            <w:rFonts w:ascii="Arial" w:hAnsi="Arial" w:cs="Arial"/>
          </w:rPr>
          <w:fldChar w:fldCharType="end"/>
        </w:r>
      </w:p>
    </w:sdtContent>
  </w:sdt>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FF3FA4"/>
    <w:multiLevelType w:val="multilevel"/>
    <w:tmpl w:val="05FF3FA4"/>
    <w:lvl w:ilvl="0" w:tentative="0">
      <w:start w:val="1"/>
      <w:numFmt w:val="decimal"/>
      <w:lvlText w:val="[%1]"/>
      <w:lvlJc w:val="left"/>
      <w:pPr>
        <w:ind w:left="502"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6EE1178"/>
    <w:multiLevelType w:val="multilevel"/>
    <w:tmpl w:val="06EE1178"/>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461D13BD"/>
    <w:multiLevelType w:val="multilevel"/>
    <w:tmpl w:val="461D13BD"/>
    <w:lvl w:ilvl="0" w:tentative="0">
      <w:start w:val="1"/>
      <w:numFmt w:val="decimal"/>
      <w:pStyle w:val="15"/>
      <w:lvlText w:val="[%1]"/>
      <w:lvlJc w:val="left"/>
      <w:pPr>
        <w:tabs>
          <w:tab w:val="left" w:pos="680"/>
        </w:tabs>
        <w:ind w:left="0" w:firstLine="0"/>
      </w:pPr>
      <w:rPr>
        <w:rFonts w:hint="default"/>
      </w:rPr>
    </w:lvl>
    <w:lvl w:ilvl="1" w:tentative="0">
      <w:start w:val="1"/>
      <w:numFmt w:val="lowerLetter"/>
      <w:lvlText w:val="(%2)"/>
      <w:lvlJc w:val="left"/>
      <w:pPr>
        <w:tabs>
          <w:tab w:val="left" w:pos="720"/>
        </w:tabs>
        <w:ind w:left="720" w:hanging="360"/>
      </w:pPr>
      <w:rPr>
        <w:rFonts w:hint="default"/>
      </w:rPr>
    </w:lvl>
    <w:lvl w:ilvl="2" w:tentative="0">
      <w:start w:val="1"/>
      <w:numFmt w:val="lowerRoman"/>
      <w:lvlText w:val="%3)"/>
      <w:lvlJc w:val="left"/>
      <w:pPr>
        <w:tabs>
          <w:tab w:val="left" w:pos="1080"/>
        </w:tabs>
        <w:ind w:left="1080" w:hanging="360"/>
      </w:pPr>
      <w:rPr>
        <w:rFonts w:hint="default"/>
      </w:rPr>
    </w:lvl>
    <w:lvl w:ilvl="3" w:tentative="0">
      <w:start w:val="1"/>
      <w:numFmt w:val="decimal"/>
      <w:lvlText w:val="(%4)"/>
      <w:lvlJc w:val="left"/>
      <w:pPr>
        <w:tabs>
          <w:tab w:val="left" w:pos="1440"/>
        </w:tabs>
        <w:ind w:left="1440" w:hanging="360"/>
      </w:pPr>
      <w:rPr>
        <w:rFonts w:hint="default"/>
      </w:rPr>
    </w:lvl>
    <w:lvl w:ilvl="4" w:tentative="0">
      <w:start w:val="1"/>
      <w:numFmt w:val="lowerLetter"/>
      <w:lvlText w:val="(%5)"/>
      <w:lvlJc w:val="left"/>
      <w:pPr>
        <w:tabs>
          <w:tab w:val="left" w:pos="1800"/>
        </w:tabs>
        <w:ind w:left="1800" w:hanging="360"/>
      </w:pPr>
      <w:rPr>
        <w:rFonts w:hint="default"/>
        <w:sz w:val="26"/>
        <w:szCs w:val="26"/>
      </w:rPr>
    </w:lvl>
    <w:lvl w:ilvl="5" w:tentative="0">
      <w:start w:val="1"/>
      <w:numFmt w:val="lowerRoman"/>
      <w:lvlText w:val="(%6)"/>
      <w:lvlJc w:val="left"/>
      <w:pPr>
        <w:tabs>
          <w:tab w:val="left" w:pos="2160"/>
        </w:tabs>
        <w:ind w:left="2160" w:hanging="360"/>
      </w:pPr>
      <w:rPr>
        <w:rFonts w:hint="default"/>
      </w:rPr>
    </w:lvl>
    <w:lvl w:ilvl="6" w:tentative="0">
      <w:start w:val="1"/>
      <w:numFmt w:val="decimal"/>
      <w:lvlText w:val="%7."/>
      <w:lvlJc w:val="left"/>
      <w:pPr>
        <w:tabs>
          <w:tab w:val="left" w:pos="2520"/>
        </w:tabs>
        <w:ind w:left="2520" w:hanging="360"/>
      </w:pPr>
      <w:rPr>
        <w:rFonts w:hint="default"/>
      </w:rPr>
    </w:lvl>
    <w:lvl w:ilvl="7" w:tentative="0">
      <w:start w:val="1"/>
      <w:numFmt w:val="lowerLetter"/>
      <w:lvlText w:val="%8."/>
      <w:lvlJc w:val="left"/>
      <w:pPr>
        <w:tabs>
          <w:tab w:val="left" w:pos="2880"/>
        </w:tabs>
        <w:ind w:left="2880" w:hanging="360"/>
      </w:pPr>
      <w:rPr>
        <w:rFonts w:hint="default"/>
      </w:rPr>
    </w:lvl>
    <w:lvl w:ilvl="8" w:tentative="0">
      <w:start w:val="1"/>
      <w:numFmt w:val="lowerRoman"/>
      <w:lvlText w:val="%9."/>
      <w:lvlJc w:val="left"/>
      <w:pPr>
        <w:tabs>
          <w:tab w:val="left" w:pos="3240"/>
        </w:tabs>
        <w:ind w:left="324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cumentProtection w:enforcement="0"/>
  <w:defaultTabStop w:val="720"/>
  <w:characterSpacingControl w:val="doNotCompress"/>
  <w:footnotePr>
    <w:footnote w:id="10"/>
    <w:footnote w:id="1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766"/>
    <w:rsid w:val="00003305"/>
    <w:rsid w:val="00003355"/>
    <w:rsid w:val="0000506E"/>
    <w:rsid w:val="000121A3"/>
    <w:rsid w:val="00013554"/>
    <w:rsid w:val="00013C7F"/>
    <w:rsid w:val="0001456A"/>
    <w:rsid w:val="000176C2"/>
    <w:rsid w:val="0001789A"/>
    <w:rsid w:val="00020805"/>
    <w:rsid w:val="00021385"/>
    <w:rsid w:val="00025674"/>
    <w:rsid w:val="000269B0"/>
    <w:rsid w:val="000359E9"/>
    <w:rsid w:val="00040957"/>
    <w:rsid w:val="0004110D"/>
    <w:rsid w:val="0004481B"/>
    <w:rsid w:val="00051A05"/>
    <w:rsid w:val="00053CEF"/>
    <w:rsid w:val="0005461F"/>
    <w:rsid w:val="0005667F"/>
    <w:rsid w:val="000571D5"/>
    <w:rsid w:val="00060100"/>
    <w:rsid w:val="0006056B"/>
    <w:rsid w:val="00061231"/>
    <w:rsid w:val="00061902"/>
    <w:rsid w:val="00062D73"/>
    <w:rsid w:val="000652A0"/>
    <w:rsid w:val="00067322"/>
    <w:rsid w:val="00067E0F"/>
    <w:rsid w:val="00070758"/>
    <w:rsid w:val="0007089B"/>
    <w:rsid w:val="000709F0"/>
    <w:rsid w:val="00071B22"/>
    <w:rsid w:val="00074D00"/>
    <w:rsid w:val="00076B7C"/>
    <w:rsid w:val="00077A70"/>
    <w:rsid w:val="000806D9"/>
    <w:rsid w:val="00080D03"/>
    <w:rsid w:val="0008222F"/>
    <w:rsid w:val="0008238C"/>
    <w:rsid w:val="00082E5F"/>
    <w:rsid w:val="0008307A"/>
    <w:rsid w:val="00091D3A"/>
    <w:rsid w:val="00093B21"/>
    <w:rsid w:val="00097852"/>
    <w:rsid w:val="000A1C83"/>
    <w:rsid w:val="000A221A"/>
    <w:rsid w:val="000A2C3F"/>
    <w:rsid w:val="000A36C5"/>
    <w:rsid w:val="000B10B0"/>
    <w:rsid w:val="000B1C98"/>
    <w:rsid w:val="000B5766"/>
    <w:rsid w:val="000B5D7E"/>
    <w:rsid w:val="000B6CEC"/>
    <w:rsid w:val="000B6E42"/>
    <w:rsid w:val="000C1701"/>
    <w:rsid w:val="000C1B67"/>
    <w:rsid w:val="000C5192"/>
    <w:rsid w:val="000C583A"/>
    <w:rsid w:val="000C61D7"/>
    <w:rsid w:val="000C6706"/>
    <w:rsid w:val="000D2649"/>
    <w:rsid w:val="000D3EFD"/>
    <w:rsid w:val="000D657A"/>
    <w:rsid w:val="000D671C"/>
    <w:rsid w:val="000D6F36"/>
    <w:rsid w:val="000E036C"/>
    <w:rsid w:val="000E0CD5"/>
    <w:rsid w:val="000E1641"/>
    <w:rsid w:val="000E3E19"/>
    <w:rsid w:val="000F0717"/>
    <w:rsid w:val="000F0C7C"/>
    <w:rsid w:val="000F33DC"/>
    <w:rsid w:val="000F4E7A"/>
    <w:rsid w:val="000F53C4"/>
    <w:rsid w:val="000F6198"/>
    <w:rsid w:val="000F6490"/>
    <w:rsid w:val="00102DA4"/>
    <w:rsid w:val="00105F86"/>
    <w:rsid w:val="00106B20"/>
    <w:rsid w:val="00114CD1"/>
    <w:rsid w:val="00116036"/>
    <w:rsid w:val="0012083B"/>
    <w:rsid w:val="00120D2D"/>
    <w:rsid w:val="00124E09"/>
    <w:rsid w:val="00124FDD"/>
    <w:rsid w:val="0012611B"/>
    <w:rsid w:val="00130155"/>
    <w:rsid w:val="00130C70"/>
    <w:rsid w:val="00131F41"/>
    <w:rsid w:val="00132FAE"/>
    <w:rsid w:val="00134552"/>
    <w:rsid w:val="00135D4C"/>
    <w:rsid w:val="00136515"/>
    <w:rsid w:val="00136B35"/>
    <w:rsid w:val="0013701E"/>
    <w:rsid w:val="00142A64"/>
    <w:rsid w:val="00144656"/>
    <w:rsid w:val="00146FC5"/>
    <w:rsid w:val="0014703E"/>
    <w:rsid w:val="00147083"/>
    <w:rsid w:val="00151018"/>
    <w:rsid w:val="00152C00"/>
    <w:rsid w:val="00152E8E"/>
    <w:rsid w:val="001542D9"/>
    <w:rsid w:val="001544E8"/>
    <w:rsid w:val="00154C0A"/>
    <w:rsid w:val="00154EDC"/>
    <w:rsid w:val="00156628"/>
    <w:rsid w:val="00160D0B"/>
    <w:rsid w:val="00161559"/>
    <w:rsid w:val="0016160D"/>
    <w:rsid w:val="0016170F"/>
    <w:rsid w:val="00162FB9"/>
    <w:rsid w:val="0016364B"/>
    <w:rsid w:val="0016367C"/>
    <w:rsid w:val="0016443E"/>
    <w:rsid w:val="00165B3D"/>
    <w:rsid w:val="00166A48"/>
    <w:rsid w:val="001709C7"/>
    <w:rsid w:val="00170C05"/>
    <w:rsid w:val="00172436"/>
    <w:rsid w:val="00172A3D"/>
    <w:rsid w:val="00172B43"/>
    <w:rsid w:val="00175087"/>
    <w:rsid w:val="00175674"/>
    <w:rsid w:val="00176A25"/>
    <w:rsid w:val="00182B34"/>
    <w:rsid w:val="00186189"/>
    <w:rsid w:val="001866F2"/>
    <w:rsid w:val="00186DDF"/>
    <w:rsid w:val="0018770D"/>
    <w:rsid w:val="00187B7E"/>
    <w:rsid w:val="00191BD1"/>
    <w:rsid w:val="00194370"/>
    <w:rsid w:val="00195F21"/>
    <w:rsid w:val="001973D0"/>
    <w:rsid w:val="001A084A"/>
    <w:rsid w:val="001A1972"/>
    <w:rsid w:val="001A2773"/>
    <w:rsid w:val="001A425F"/>
    <w:rsid w:val="001A76EA"/>
    <w:rsid w:val="001B0703"/>
    <w:rsid w:val="001B1C81"/>
    <w:rsid w:val="001B2E80"/>
    <w:rsid w:val="001B40DF"/>
    <w:rsid w:val="001B66AE"/>
    <w:rsid w:val="001C13E3"/>
    <w:rsid w:val="001C3AFF"/>
    <w:rsid w:val="001C4EBC"/>
    <w:rsid w:val="001C52EE"/>
    <w:rsid w:val="001C7CFF"/>
    <w:rsid w:val="001D02CB"/>
    <w:rsid w:val="001D0495"/>
    <w:rsid w:val="001D0AF4"/>
    <w:rsid w:val="001D4D42"/>
    <w:rsid w:val="001D5E9D"/>
    <w:rsid w:val="001E0834"/>
    <w:rsid w:val="001E4D16"/>
    <w:rsid w:val="001E5812"/>
    <w:rsid w:val="001E6D04"/>
    <w:rsid w:val="001E7E31"/>
    <w:rsid w:val="001F0027"/>
    <w:rsid w:val="001F2F7B"/>
    <w:rsid w:val="00203A9E"/>
    <w:rsid w:val="0020566F"/>
    <w:rsid w:val="00207C40"/>
    <w:rsid w:val="0021184A"/>
    <w:rsid w:val="002119C2"/>
    <w:rsid w:val="00212856"/>
    <w:rsid w:val="00215CC7"/>
    <w:rsid w:val="002162B0"/>
    <w:rsid w:val="00220C51"/>
    <w:rsid w:val="0022130A"/>
    <w:rsid w:val="00222238"/>
    <w:rsid w:val="002228DF"/>
    <w:rsid w:val="002307E0"/>
    <w:rsid w:val="00230E02"/>
    <w:rsid w:val="00233D03"/>
    <w:rsid w:val="00234460"/>
    <w:rsid w:val="002363CE"/>
    <w:rsid w:val="00240D8B"/>
    <w:rsid w:val="00240ED1"/>
    <w:rsid w:val="0024174B"/>
    <w:rsid w:val="00243B9F"/>
    <w:rsid w:val="00244315"/>
    <w:rsid w:val="0024579B"/>
    <w:rsid w:val="002475C1"/>
    <w:rsid w:val="002511D9"/>
    <w:rsid w:val="00254258"/>
    <w:rsid w:val="00257D92"/>
    <w:rsid w:val="00260019"/>
    <w:rsid w:val="0027159C"/>
    <w:rsid w:val="00272B5E"/>
    <w:rsid w:val="00274E74"/>
    <w:rsid w:val="002776BD"/>
    <w:rsid w:val="002839C9"/>
    <w:rsid w:val="002846FE"/>
    <w:rsid w:val="00284B39"/>
    <w:rsid w:val="002855F1"/>
    <w:rsid w:val="00285FB9"/>
    <w:rsid w:val="00286906"/>
    <w:rsid w:val="00287EA4"/>
    <w:rsid w:val="00291AA1"/>
    <w:rsid w:val="0029288A"/>
    <w:rsid w:val="00292A4C"/>
    <w:rsid w:val="00293502"/>
    <w:rsid w:val="002943E7"/>
    <w:rsid w:val="002A008A"/>
    <w:rsid w:val="002A0131"/>
    <w:rsid w:val="002A0C19"/>
    <w:rsid w:val="002A1A07"/>
    <w:rsid w:val="002A1B04"/>
    <w:rsid w:val="002A1BED"/>
    <w:rsid w:val="002A1FE5"/>
    <w:rsid w:val="002A2D74"/>
    <w:rsid w:val="002A38A1"/>
    <w:rsid w:val="002A4FEB"/>
    <w:rsid w:val="002A520F"/>
    <w:rsid w:val="002A54BC"/>
    <w:rsid w:val="002A7BE1"/>
    <w:rsid w:val="002B01B5"/>
    <w:rsid w:val="002B2899"/>
    <w:rsid w:val="002B65A7"/>
    <w:rsid w:val="002B671D"/>
    <w:rsid w:val="002C0921"/>
    <w:rsid w:val="002C159A"/>
    <w:rsid w:val="002C3D16"/>
    <w:rsid w:val="002C5C22"/>
    <w:rsid w:val="002D0C85"/>
    <w:rsid w:val="002D0D9A"/>
    <w:rsid w:val="002D0EF8"/>
    <w:rsid w:val="002D132F"/>
    <w:rsid w:val="002E038A"/>
    <w:rsid w:val="002E04AE"/>
    <w:rsid w:val="002E5C2C"/>
    <w:rsid w:val="002F1D55"/>
    <w:rsid w:val="002F30B3"/>
    <w:rsid w:val="002F3E34"/>
    <w:rsid w:val="002F4E36"/>
    <w:rsid w:val="002F6125"/>
    <w:rsid w:val="00302389"/>
    <w:rsid w:val="003050BA"/>
    <w:rsid w:val="003056C9"/>
    <w:rsid w:val="00306C94"/>
    <w:rsid w:val="0031268B"/>
    <w:rsid w:val="00314107"/>
    <w:rsid w:val="00314D21"/>
    <w:rsid w:val="0031656B"/>
    <w:rsid w:val="0031662C"/>
    <w:rsid w:val="00323509"/>
    <w:rsid w:val="00324AF0"/>
    <w:rsid w:val="003263AE"/>
    <w:rsid w:val="003266C2"/>
    <w:rsid w:val="0032758A"/>
    <w:rsid w:val="0033077B"/>
    <w:rsid w:val="00330EB6"/>
    <w:rsid w:val="0033234E"/>
    <w:rsid w:val="003340BF"/>
    <w:rsid w:val="003342A0"/>
    <w:rsid w:val="003375F6"/>
    <w:rsid w:val="003400B5"/>
    <w:rsid w:val="00341482"/>
    <w:rsid w:val="00341566"/>
    <w:rsid w:val="00342ED1"/>
    <w:rsid w:val="0034345F"/>
    <w:rsid w:val="00344305"/>
    <w:rsid w:val="00350B87"/>
    <w:rsid w:val="003511D9"/>
    <w:rsid w:val="00351E50"/>
    <w:rsid w:val="003543DD"/>
    <w:rsid w:val="00354952"/>
    <w:rsid w:val="00355A58"/>
    <w:rsid w:val="003573BF"/>
    <w:rsid w:val="00360624"/>
    <w:rsid w:val="00361D55"/>
    <w:rsid w:val="00361EF6"/>
    <w:rsid w:val="003639AD"/>
    <w:rsid w:val="00363F6A"/>
    <w:rsid w:val="003654D4"/>
    <w:rsid w:val="00365F63"/>
    <w:rsid w:val="00366D0C"/>
    <w:rsid w:val="0036719E"/>
    <w:rsid w:val="00372062"/>
    <w:rsid w:val="00372FAA"/>
    <w:rsid w:val="00374720"/>
    <w:rsid w:val="00376884"/>
    <w:rsid w:val="00380AC9"/>
    <w:rsid w:val="00380AEF"/>
    <w:rsid w:val="0038232E"/>
    <w:rsid w:val="003868CF"/>
    <w:rsid w:val="003906C2"/>
    <w:rsid w:val="00390A0B"/>
    <w:rsid w:val="00393992"/>
    <w:rsid w:val="00393AA0"/>
    <w:rsid w:val="00397597"/>
    <w:rsid w:val="003A0EDA"/>
    <w:rsid w:val="003A736A"/>
    <w:rsid w:val="003A7A1C"/>
    <w:rsid w:val="003B3CD4"/>
    <w:rsid w:val="003B5424"/>
    <w:rsid w:val="003B5550"/>
    <w:rsid w:val="003C0102"/>
    <w:rsid w:val="003C2606"/>
    <w:rsid w:val="003C3A8F"/>
    <w:rsid w:val="003C4247"/>
    <w:rsid w:val="003C6647"/>
    <w:rsid w:val="003C6F68"/>
    <w:rsid w:val="003D0393"/>
    <w:rsid w:val="003D04D5"/>
    <w:rsid w:val="003D0F31"/>
    <w:rsid w:val="003D1113"/>
    <w:rsid w:val="003E3659"/>
    <w:rsid w:val="003E3FA6"/>
    <w:rsid w:val="003E4B95"/>
    <w:rsid w:val="003E5ADA"/>
    <w:rsid w:val="003F1E49"/>
    <w:rsid w:val="003F55CC"/>
    <w:rsid w:val="00403067"/>
    <w:rsid w:val="00403948"/>
    <w:rsid w:val="0040564C"/>
    <w:rsid w:val="00406CBF"/>
    <w:rsid w:val="004105AF"/>
    <w:rsid w:val="00410EC4"/>
    <w:rsid w:val="00413453"/>
    <w:rsid w:val="004139BD"/>
    <w:rsid w:val="00413CEB"/>
    <w:rsid w:val="00415E71"/>
    <w:rsid w:val="004172EC"/>
    <w:rsid w:val="0042060F"/>
    <w:rsid w:val="00422D4E"/>
    <w:rsid w:val="00424294"/>
    <w:rsid w:val="00425CA0"/>
    <w:rsid w:val="0042650E"/>
    <w:rsid w:val="0043516D"/>
    <w:rsid w:val="00437464"/>
    <w:rsid w:val="004377D5"/>
    <w:rsid w:val="00443053"/>
    <w:rsid w:val="00444C2A"/>
    <w:rsid w:val="00450B72"/>
    <w:rsid w:val="004523C6"/>
    <w:rsid w:val="0045245F"/>
    <w:rsid w:val="004528F6"/>
    <w:rsid w:val="00454200"/>
    <w:rsid w:val="00454842"/>
    <w:rsid w:val="00454D04"/>
    <w:rsid w:val="004551D9"/>
    <w:rsid w:val="00456991"/>
    <w:rsid w:val="00457232"/>
    <w:rsid w:val="00457A97"/>
    <w:rsid w:val="00461730"/>
    <w:rsid w:val="0046296D"/>
    <w:rsid w:val="004650BD"/>
    <w:rsid w:val="00465648"/>
    <w:rsid w:val="00466B58"/>
    <w:rsid w:val="00467685"/>
    <w:rsid w:val="004702D7"/>
    <w:rsid w:val="00470EAF"/>
    <w:rsid w:val="00471DA4"/>
    <w:rsid w:val="00474525"/>
    <w:rsid w:val="004757D5"/>
    <w:rsid w:val="004758F9"/>
    <w:rsid w:val="00476030"/>
    <w:rsid w:val="00477270"/>
    <w:rsid w:val="004809BD"/>
    <w:rsid w:val="00483080"/>
    <w:rsid w:val="00483232"/>
    <w:rsid w:val="00483841"/>
    <w:rsid w:val="00485268"/>
    <w:rsid w:val="004855AB"/>
    <w:rsid w:val="00485A05"/>
    <w:rsid w:val="00485C4C"/>
    <w:rsid w:val="004862AC"/>
    <w:rsid w:val="00486E4C"/>
    <w:rsid w:val="00487678"/>
    <w:rsid w:val="00487BB8"/>
    <w:rsid w:val="00487CDC"/>
    <w:rsid w:val="0049039F"/>
    <w:rsid w:val="00491C0D"/>
    <w:rsid w:val="004A067F"/>
    <w:rsid w:val="004A0989"/>
    <w:rsid w:val="004A11D3"/>
    <w:rsid w:val="004A1BF4"/>
    <w:rsid w:val="004A6EA8"/>
    <w:rsid w:val="004A70D1"/>
    <w:rsid w:val="004B0DC6"/>
    <w:rsid w:val="004B113B"/>
    <w:rsid w:val="004B2CEE"/>
    <w:rsid w:val="004B2ECB"/>
    <w:rsid w:val="004B544B"/>
    <w:rsid w:val="004B7B59"/>
    <w:rsid w:val="004C09CB"/>
    <w:rsid w:val="004C0D85"/>
    <w:rsid w:val="004C3E09"/>
    <w:rsid w:val="004C3E73"/>
    <w:rsid w:val="004C4348"/>
    <w:rsid w:val="004C4D70"/>
    <w:rsid w:val="004C5745"/>
    <w:rsid w:val="004D0AED"/>
    <w:rsid w:val="004D3BCD"/>
    <w:rsid w:val="004D410A"/>
    <w:rsid w:val="004D513F"/>
    <w:rsid w:val="004D673B"/>
    <w:rsid w:val="004E6A38"/>
    <w:rsid w:val="004F0F11"/>
    <w:rsid w:val="004F1240"/>
    <w:rsid w:val="004F1C2D"/>
    <w:rsid w:val="004F247B"/>
    <w:rsid w:val="004F2864"/>
    <w:rsid w:val="004F2E73"/>
    <w:rsid w:val="004F44BD"/>
    <w:rsid w:val="004F5DD6"/>
    <w:rsid w:val="0050111C"/>
    <w:rsid w:val="00502C1C"/>
    <w:rsid w:val="00504B8B"/>
    <w:rsid w:val="00506C99"/>
    <w:rsid w:val="00506ED0"/>
    <w:rsid w:val="005101F9"/>
    <w:rsid w:val="00513690"/>
    <w:rsid w:val="00514708"/>
    <w:rsid w:val="00515E42"/>
    <w:rsid w:val="0051608C"/>
    <w:rsid w:val="005170EB"/>
    <w:rsid w:val="005172D9"/>
    <w:rsid w:val="005201FD"/>
    <w:rsid w:val="00520A05"/>
    <w:rsid w:val="00521DD7"/>
    <w:rsid w:val="00522496"/>
    <w:rsid w:val="00522D2A"/>
    <w:rsid w:val="0052512E"/>
    <w:rsid w:val="00527F8C"/>
    <w:rsid w:val="0053011F"/>
    <w:rsid w:val="0053472D"/>
    <w:rsid w:val="005439D2"/>
    <w:rsid w:val="005452FE"/>
    <w:rsid w:val="00545824"/>
    <w:rsid w:val="00546BEF"/>
    <w:rsid w:val="005477A0"/>
    <w:rsid w:val="005511FF"/>
    <w:rsid w:val="00552372"/>
    <w:rsid w:val="005531D4"/>
    <w:rsid w:val="00554957"/>
    <w:rsid w:val="005571E5"/>
    <w:rsid w:val="00557921"/>
    <w:rsid w:val="00560CB0"/>
    <w:rsid w:val="00562ED6"/>
    <w:rsid w:val="00562F11"/>
    <w:rsid w:val="00571D7F"/>
    <w:rsid w:val="005736D2"/>
    <w:rsid w:val="00580F21"/>
    <w:rsid w:val="005811E1"/>
    <w:rsid w:val="0058170E"/>
    <w:rsid w:val="00581769"/>
    <w:rsid w:val="005832CF"/>
    <w:rsid w:val="00583ACA"/>
    <w:rsid w:val="00583F60"/>
    <w:rsid w:val="00587482"/>
    <w:rsid w:val="0059081C"/>
    <w:rsid w:val="005936AF"/>
    <w:rsid w:val="0059385F"/>
    <w:rsid w:val="005A043E"/>
    <w:rsid w:val="005B14F3"/>
    <w:rsid w:val="005B2947"/>
    <w:rsid w:val="005B2B9F"/>
    <w:rsid w:val="005B30FB"/>
    <w:rsid w:val="005B516A"/>
    <w:rsid w:val="005B6ECA"/>
    <w:rsid w:val="005C2110"/>
    <w:rsid w:val="005C323A"/>
    <w:rsid w:val="005C477E"/>
    <w:rsid w:val="005D2606"/>
    <w:rsid w:val="005D6E10"/>
    <w:rsid w:val="005E09CE"/>
    <w:rsid w:val="005E2561"/>
    <w:rsid w:val="005E2EBA"/>
    <w:rsid w:val="005E4AC0"/>
    <w:rsid w:val="005E4E1F"/>
    <w:rsid w:val="005E5B60"/>
    <w:rsid w:val="005E5EDF"/>
    <w:rsid w:val="005F0E8C"/>
    <w:rsid w:val="005F1528"/>
    <w:rsid w:val="005F17CA"/>
    <w:rsid w:val="005F3921"/>
    <w:rsid w:val="005F4433"/>
    <w:rsid w:val="005F4B80"/>
    <w:rsid w:val="005F6494"/>
    <w:rsid w:val="005F7D63"/>
    <w:rsid w:val="00600238"/>
    <w:rsid w:val="00600C29"/>
    <w:rsid w:val="00601576"/>
    <w:rsid w:val="00601D6B"/>
    <w:rsid w:val="00602901"/>
    <w:rsid w:val="0060427E"/>
    <w:rsid w:val="00604A9F"/>
    <w:rsid w:val="00605B2D"/>
    <w:rsid w:val="006062C8"/>
    <w:rsid w:val="006071A7"/>
    <w:rsid w:val="006128B0"/>
    <w:rsid w:val="00612D0D"/>
    <w:rsid w:val="006142C0"/>
    <w:rsid w:val="00614E1A"/>
    <w:rsid w:val="006200A5"/>
    <w:rsid w:val="00622C30"/>
    <w:rsid w:val="0062471B"/>
    <w:rsid w:val="0062502C"/>
    <w:rsid w:val="006256DB"/>
    <w:rsid w:val="00625B41"/>
    <w:rsid w:val="006313EF"/>
    <w:rsid w:val="00631F5D"/>
    <w:rsid w:val="00632407"/>
    <w:rsid w:val="00634CFE"/>
    <w:rsid w:val="00635594"/>
    <w:rsid w:val="00644CE0"/>
    <w:rsid w:val="00644E64"/>
    <w:rsid w:val="00646DD9"/>
    <w:rsid w:val="00647CC4"/>
    <w:rsid w:val="00650E62"/>
    <w:rsid w:val="00650F76"/>
    <w:rsid w:val="0065471F"/>
    <w:rsid w:val="00665747"/>
    <w:rsid w:val="0066592B"/>
    <w:rsid w:val="00671BB0"/>
    <w:rsid w:val="00673681"/>
    <w:rsid w:val="00677BF5"/>
    <w:rsid w:val="0068227F"/>
    <w:rsid w:val="00682813"/>
    <w:rsid w:val="0068313A"/>
    <w:rsid w:val="006865D5"/>
    <w:rsid w:val="00686BBA"/>
    <w:rsid w:val="00692255"/>
    <w:rsid w:val="00693035"/>
    <w:rsid w:val="00693C60"/>
    <w:rsid w:val="006942E2"/>
    <w:rsid w:val="00695A3A"/>
    <w:rsid w:val="00696449"/>
    <w:rsid w:val="006968EA"/>
    <w:rsid w:val="006A0537"/>
    <w:rsid w:val="006A1B6E"/>
    <w:rsid w:val="006A36AB"/>
    <w:rsid w:val="006A44D9"/>
    <w:rsid w:val="006A775E"/>
    <w:rsid w:val="006B3435"/>
    <w:rsid w:val="006B72F8"/>
    <w:rsid w:val="006C245C"/>
    <w:rsid w:val="006C25BF"/>
    <w:rsid w:val="006C27AC"/>
    <w:rsid w:val="006C446D"/>
    <w:rsid w:val="006C710E"/>
    <w:rsid w:val="006D2D3A"/>
    <w:rsid w:val="006D3527"/>
    <w:rsid w:val="006D52A0"/>
    <w:rsid w:val="006E1142"/>
    <w:rsid w:val="006E1C7B"/>
    <w:rsid w:val="006E3019"/>
    <w:rsid w:val="006E422A"/>
    <w:rsid w:val="006E7E67"/>
    <w:rsid w:val="006F1D46"/>
    <w:rsid w:val="006F27D3"/>
    <w:rsid w:val="006F4446"/>
    <w:rsid w:val="006F5E6E"/>
    <w:rsid w:val="006F6368"/>
    <w:rsid w:val="006F64DD"/>
    <w:rsid w:val="00700434"/>
    <w:rsid w:val="0070077D"/>
    <w:rsid w:val="00701895"/>
    <w:rsid w:val="007038A0"/>
    <w:rsid w:val="0070398D"/>
    <w:rsid w:val="007045D7"/>
    <w:rsid w:val="00704E30"/>
    <w:rsid w:val="00705BF9"/>
    <w:rsid w:val="00706018"/>
    <w:rsid w:val="00706ADF"/>
    <w:rsid w:val="00706B05"/>
    <w:rsid w:val="00707CED"/>
    <w:rsid w:val="00710EBB"/>
    <w:rsid w:val="00713629"/>
    <w:rsid w:val="00714566"/>
    <w:rsid w:val="00715DAE"/>
    <w:rsid w:val="00717073"/>
    <w:rsid w:val="00720738"/>
    <w:rsid w:val="00721046"/>
    <w:rsid w:val="00724C61"/>
    <w:rsid w:val="00725004"/>
    <w:rsid w:val="0073017A"/>
    <w:rsid w:val="007322E4"/>
    <w:rsid w:val="00732E9E"/>
    <w:rsid w:val="0073445E"/>
    <w:rsid w:val="00734C74"/>
    <w:rsid w:val="0073537B"/>
    <w:rsid w:val="0073680F"/>
    <w:rsid w:val="00737918"/>
    <w:rsid w:val="00742CD0"/>
    <w:rsid w:val="0074320F"/>
    <w:rsid w:val="0074369A"/>
    <w:rsid w:val="00743968"/>
    <w:rsid w:val="00745674"/>
    <w:rsid w:val="007466D3"/>
    <w:rsid w:val="00747ECC"/>
    <w:rsid w:val="007532B3"/>
    <w:rsid w:val="00754154"/>
    <w:rsid w:val="00754B42"/>
    <w:rsid w:val="0076275A"/>
    <w:rsid w:val="00762A43"/>
    <w:rsid w:val="00764471"/>
    <w:rsid w:val="00766059"/>
    <w:rsid w:val="00766DF2"/>
    <w:rsid w:val="00767C62"/>
    <w:rsid w:val="007730D3"/>
    <w:rsid w:val="007731AD"/>
    <w:rsid w:val="00775842"/>
    <w:rsid w:val="0077629E"/>
    <w:rsid w:val="00776ABF"/>
    <w:rsid w:val="00777E40"/>
    <w:rsid w:val="0078013A"/>
    <w:rsid w:val="007824C5"/>
    <w:rsid w:val="00782E1D"/>
    <w:rsid w:val="0078318C"/>
    <w:rsid w:val="0078344E"/>
    <w:rsid w:val="007834A5"/>
    <w:rsid w:val="00786072"/>
    <w:rsid w:val="00786919"/>
    <w:rsid w:val="00792D0A"/>
    <w:rsid w:val="007931CF"/>
    <w:rsid w:val="00794691"/>
    <w:rsid w:val="0079683E"/>
    <w:rsid w:val="007972CC"/>
    <w:rsid w:val="007976F2"/>
    <w:rsid w:val="007A1213"/>
    <w:rsid w:val="007A1A8D"/>
    <w:rsid w:val="007A1E8C"/>
    <w:rsid w:val="007A2ECC"/>
    <w:rsid w:val="007B4CB7"/>
    <w:rsid w:val="007B7E0D"/>
    <w:rsid w:val="007C003F"/>
    <w:rsid w:val="007C2EED"/>
    <w:rsid w:val="007C483B"/>
    <w:rsid w:val="007C7D23"/>
    <w:rsid w:val="007D02F5"/>
    <w:rsid w:val="007D3EB4"/>
    <w:rsid w:val="007D4ECA"/>
    <w:rsid w:val="007D4ED3"/>
    <w:rsid w:val="007D775A"/>
    <w:rsid w:val="007E00EA"/>
    <w:rsid w:val="007E1147"/>
    <w:rsid w:val="007E5011"/>
    <w:rsid w:val="007E67B5"/>
    <w:rsid w:val="007E7BBD"/>
    <w:rsid w:val="007F0432"/>
    <w:rsid w:val="007F0ABC"/>
    <w:rsid w:val="007F1153"/>
    <w:rsid w:val="007F3ADD"/>
    <w:rsid w:val="007F6AD3"/>
    <w:rsid w:val="007F735B"/>
    <w:rsid w:val="008007CC"/>
    <w:rsid w:val="00801BCF"/>
    <w:rsid w:val="0080202D"/>
    <w:rsid w:val="00803599"/>
    <w:rsid w:val="00805024"/>
    <w:rsid w:val="0080644D"/>
    <w:rsid w:val="00807A03"/>
    <w:rsid w:val="00811BCF"/>
    <w:rsid w:val="008138AB"/>
    <w:rsid w:val="008170D3"/>
    <w:rsid w:val="008205E6"/>
    <w:rsid w:val="0082397A"/>
    <w:rsid w:val="008325D1"/>
    <w:rsid w:val="008336A6"/>
    <w:rsid w:val="00833926"/>
    <w:rsid w:val="00834D15"/>
    <w:rsid w:val="00835DF6"/>
    <w:rsid w:val="008364BB"/>
    <w:rsid w:val="008416B0"/>
    <w:rsid w:val="00841A85"/>
    <w:rsid w:val="00842A02"/>
    <w:rsid w:val="00842E80"/>
    <w:rsid w:val="00846687"/>
    <w:rsid w:val="00847CF4"/>
    <w:rsid w:val="00851268"/>
    <w:rsid w:val="00853651"/>
    <w:rsid w:val="008554F4"/>
    <w:rsid w:val="00856DD4"/>
    <w:rsid w:val="00857B17"/>
    <w:rsid w:val="0086011C"/>
    <w:rsid w:val="008601E4"/>
    <w:rsid w:val="008621D3"/>
    <w:rsid w:val="00865017"/>
    <w:rsid w:val="00865D2B"/>
    <w:rsid w:val="00866EF6"/>
    <w:rsid w:val="00866F10"/>
    <w:rsid w:val="008677B5"/>
    <w:rsid w:val="008746BA"/>
    <w:rsid w:val="008758B2"/>
    <w:rsid w:val="008800CF"/>
    <w:rsid w:val="00880177"/>
    <w:rsid w:val="008815F7"/>
    <w:rsid w:val="00881F3B"/>
    <w:rsid w:val="00884043"/>
    <w:rsid w:val="00884F1A"/>
    <w:rsid w:val="00887EB9"/>
    <w:rsid w:val="00890221"/>
    <w:rsid w:val="00894FDF"/>
    <w:rsid w:val="008958DD"/>
    <w:rsid w:val="00896130"/>
    <w:rsid w:val="008A0633"/>
    <w:rsid w:val="008A0683"/>
    <w:rsid w:val="008A0B52"/>
    <w:rsid w:val="008A0C6A"/>
    <w:rsid w:val="008A1193"/>
    <w:rsid w:val="008A215C"/>
    <w:rsid w:val="008A278A"/>
    <w:rsid w:val="008A5266"/>
    <w:rsid w:val="008A6180"/>
    <w:rsid w:val="008A6C87"/>
    <w:rsid w:val="008B1031"/>
    <w:rsid w:val="008B1033"/>
    <w:rsid w:val="008B4FFB"/>
    <w:rsid w:val="008B50A6"/>
    <w:rsid w:val="008B5183"/>
    <w:rsid w:val="008B584C"/>
    <w:rsid w:val="008B63FF"/>
    <w:rsid w:val="008B66AA"/>
    <w:rsid w:val="008B6BFB"/>
    <w:rsid w:val="008B7818"/>
    <w:rsid w:val="008C1694"/>
    <w:rsid w:val="008C17DD"/>
    <w:rsid w:val="008C1E25"/>
    <w:rsid w:val="008C3594"/>
    <w:rsid w:val="008C45F1"/>
    <w:rsid w:val="008C6492"/>
    <w:rsid w:val="008D252B"/>
    <w:rsid w:val="008D4932"/>
    <w:rsid w:val="008D645F"/>
    <w:rsid w:val="008D771F"/>
    <w:rsid w:val="008E3D5C"/>
    <w:rsid w:val="008F0988"/>
    <w:rsid w:val="008F0F6D"/>
    <w:rsid w:val="008F1DAB"/>
    <w:rsid w:val="008F2E14"/>
    <w:rsid w:val="008F4A0E"/>
    <w:rsid w:val="008F7643"/>
    <w:rsid w:val="008F7664"/>
    <w:rsid w:val="008F7BB4"/>
    <w:rsid w:val="00901805"/>
    <w:rsid w:val="009020B7"/>
    <w:rsid w:val="00902AFA"/>
    <w:rsid w:val="00903A98"/>
    <w:rsid w:val="00903E32"/>
    <w:rsid w:val="00904ACB"/>
    <w:rsid w:val="00905156"/>
    <w:rsid w:val="0090560D"/>
    <w:rsid w:val="00910DC5"/>
    <w:rsid w:val="00911075"/>
    <w:rsid w:val="009122C3"/>
    <w:rsid w:val="009125A7"/>
    <w:rsid w:val="00912A6D"/>
    <w:rsid w:val="0091469C"/>
    <w:rsid w:val="0091476C"/>
    <w:rsid w:val="00914BE3"/>
    <w:rsid w:val="00916E9A"/>
    <w:rsid w:val="0092134A"/>
    <w:rsid w:val="00926154"/>
    <w:rsid w:val="00926822"/>
    <w:rsid w:val="00930478"/>
    <w:rsid w:val="00930749"/>
    <w:rsid w:val="00930EE4"/>
    <w:rsid w:val="009313C9"/>
    <w:rsid w:val="00935907"/>
    <w:rsid w:val="0093624A"/>
    <w:rsid w:val="00937135"/>
    <w:rsid w:val="00937BBE"/>
    <w:rsid w:val="0094127C"/>
    <w:rsid w:val="00942134"/>
    <w:rsid w:val="009479B1"/>
    <w:rsid w:val="00950624"/>
    <w:rsid w:val="00951110"/>
    <w:rsid w:val="009521BA"/>
    <w:rsid w:val="009543A8"/>
    <w:rsid w:val="00955B52"/>
    <w:rsid w:val="00955D5E"/>
    <w:rsid w:val="009560BF"/>
    <w:rsid w:val="009637B2"/>
    <w:rsid w:val="00964527"/>
    <w:rsid w:val="009656BC"/>
    <w:rsid w:val="00965921"/>
    <w:rsid w:val="00966B49"/>
    <w:rsid w:val="00966D43"/>
    <w:rsid w:val="009675A9"/>
    <w:rsid w:val="00972048"/>
    <w:rsid w:val="009744A4"/>
    <w:rsid w:val="00974FE4"/>
    <w:rsid w:val="00977EAF"/>
    <w:rsid w:val="00982F4D"/>
    <w:rsid w:val="00984F9B"/>
    <w:rsid w:val="00986C54"/>
    <w:rsid w:val="009901B6"/>
    <w:rsid w:val="0099112A"/>
    <w:rsid w:val="009944E6"/>
    <w:rsid w:val="00995AC4"/>
    <w:rsid w:val="009967E3"/>
    <w:rsid w:val="00996A3F"/>
    <w:rsid w:val="009A08E7"/>
    <w:rsid w:val="009A2CB0"/>
    <w:rsid w:val="009A3801"/>
    <w:rsid w:val="009A4ADE"/>
    <w:rsid w:val="009A68C4"/>
    <w:rsid w:val="009A7C69"/>
    <w:rsid w:val="009B0648"/>
    <w:rsid w:val="009B1236"/>
    <w:rsid w:val="009B131E"/>
    <w:rsid w:val="009B1C6A"/>
    <w:rsid w:val="009B4665"/>
    <w:rsid w:val="009B5FFC"/>
    <w:rsid w:val="009C2AB0"/>
    <w:rsid w:val="009C2D60"/>
    <w:rsid w:val="009C4040"/>
    <w:rsid w:val="009C597E"/>
    <w:rsid w:val="009D0A64"/>
    <w:rsid w:val="009D12A8"/>
    <w:rsid w:val="009D252C"/>
    <w:rsid w:val="009D2B25"/>
    <w:rsid w:val="009D3B86"/>
    <w:rsid w:val="009D3D79"/>
    <w:rsid w:val="009D4824"/>
    <w:rsid w:val="009D5843"/>
    <w:rsid w:val="009D765F"/>
    <w:rsid w:val="009D7895"/>
    <w:rsid w:val="009D7E40"/>
    <w:rsid w:val="009F0385"/>
    <w:rsid w:val="009F069C"/>
    <w:rsid w:val="009F0CDD"/>
    <w:rsid w:val="009F2CEB"/>
    <w:rsid w:val="009F318F"/>
    <w:rsid w:val="009F367C"/>
    <w:rsid w:val="009F63FC"/>
    <w:rsid w:val="00A01A9A"/>
    <w:rsid w:val="00A02625"/>
    <w:rsid w:val="00A077BB"/>
    <w:rsid w:val="00A07ECB"/>
    <w:rsid w:val="00A109DF"/>
    <w:rsid w:val="00A112FD"/>
    <w:rsid w:val="00A13DB8"/>
    <w:rsid w:val="00A15C4C"/>
    <w:rsid w:val="00A17B7A"/>
    <w:rsid w:val="00A17D3E"/>
    <w:rsid w:val="00A22EAD"/>
    <w:rsid w:val="00A244FA"/>
    <w:rsid w:val="00A33A9A"/>
    <w:rsid w:val="00A34135"/>
    <w:rsid w:val="00A428B0"/>
    <w:rsid w:val="00A44743"/>
    <w:rsid w:val="00A45DB1"/>
    <w:rsid w:val="00A461E6"/>
    <w:rsid w:val="00A469DE"/>
    <w:rsid w:val="00A46D17"/>
    <w:rsid w:val="00A50EC8"/>
    <w:rsid w:val="00A5139C"/>
    <w:rsid w:val="00A52CCA"/>
    <w:rsid w:val="00A54459"/>
    <w:rsid w:val="00A60EE8"/>
    <w:rsid w:val="00A61F3B"/>
    <w:rsid w:val="00A657F4"/>
    <w:rsid w:val="00A6602B"/>
    <w:rsid w:val="00A70011"/>
    <w:rsid w:val="00A71B69"/>
    <w:rsid w:val="00A7375A"/>
    <w:rsid w:val="00A75B61"/>
    <w:rsid w:val="00A76D77"/>
    <w:rsid w:val="00A8111A"/>
    <w:rsid w:val="00A87A28"/>
    <w:rsid w:val="00A906A5"/>
    <w:rsid w:val="00A93F6E"/>
    <w:rsid w:val="00A971E7"/>
    <w:rsid w:val="00A976B7"/>
    <w:rsid w:val="00A977E7"/>
    <w:rsid w:val="00AA371E"/>
    <w:rsid w:val="00AA4314"/>
    <w:rsid w:val="00AA5223"/>
    <w:rsid w:val="00AA5E2A"/>
    <w:rsid w:val="00AA64A6"/>
    <w:rsid w:val="00AB11B1"/>
    <w:rsid w:val="00AB1BB8"/>
    <w:rsid w:val="00AB2C7B"/>
    <w:rsid w:val="00AB56B0"/>
    <w:rsid w:val="00AB6AE4"/>
    <w:rsid w:val="00AB7718"/>
    <w:rsid w:val="00AB7E82"/>
    <w:rsid w:val="00AC375D"/>
    <w:rsid w:val="00AC4085"/>
    <w:rsid w:val="00AC581E"/>
    <w:rsid w:val="00AC5C17"/>
    <w:rsid w:val="00AC7609"/>
    <w:rsid w:val="00AC7D0D"/>
    <w:rsid w:val="00AD1058"/>
    <w:rsid w:val="00AD12B4"/>
    <w:rsid w:val="00AD185D"/>
    <w:rsid w:val="00AD1DC4"/>
    <w:rsid w:val="00AD2121"/>
    <w:rsid w:val="00AD3B6B"/>
    <w:rsid w:val="00AD3E41"/>
    <w:rsid w:val="00AE00B3"/>
    <w:rsid w:val="00AE1B42"/>
    <w:rsid w:val="00AE1C69"/>
    <w:rsid w:val="00AE2743"/>
    <w:rsid w:val="00AE63F8"/>
    <w:rsid w:val="00AF09B0"/>
    <w:rsid w:val="00AF12B8"/>
    <w:rsid w:val="00AF220C"/>
    <w:rsid w:val="00B02F51"/>
    <w:rsid w:val="00B05BB2"/>
    <w:rsid w:val="00B07869"/>
    <w:rsid w:val="00B10702"/>
    <w:rsid w:val="00B13101"/>
    <w:rsid w:val="00B131E5"/>
    <w:rsid w:val="00B140E0"/>
    <w:rsid w:val="00B152A8"/>
    <w:rsid w:val="00B21282"/>
    <w:rsid w:val="00B21F7C"/>
    <w:rsid w:val="00B22464"/>
    <w:rsid w:val="00B23032"/>
    <w:rsid w:val="00B230EB"/>
    <w:rsid w:val="00B23807"/>
    <w:rsid w:val="00B23D2F"/>
    <w:rsid w:val="00B25655"/>
    <w:rsid w:val="00B27E05"/>
    <w:rsid w:val="00B31CA4"/>
    <w:rsid w:val="00B33D0B"/>
    <w:rsid w:val="00B33E9A"/>
    <w:rsid w:val="00B3418F"/>
    <w:rsid w:val="00B34A40"/>
    <w:rsid w:val="00B34E79"/>
    <w:rsid w:val="00B415DC"/>
    <w:rsid w:val="00B421D5"/>
    <w:rsid w:val="00B43706"/>
    <w:rsid w:val="00B45F6D"/>
    <w:rsid w:val="00B4754B"/>
    <w:rsid w:val="00B476FF"/>
    <w:rsid w:val="00B47C55"/>
    <w:rsid w:val="00B515FE"/>
    <w:rsid w:val="00B5471C"/>
    <w:rsid w:val="00B5609C"/>
    <w:rsid w:val="00B57EB3"/>
    <w:rsid w:val="00B614F7"/>
    <w:rsid w:val="00B63F7E"/>
    <w:rsid w:val="00B64121"/>
    <w:rsid w:val="00B659A0"/>
    <w:rsid w:val="00B65CEA"/>
    <w:rsid w:val="00B66374"/>
    <w:rsid w:val="00B67361"/>
    <w:rsid w:val="00B677BE"/>
    <w:rsid w:val="00B70CCA"/>
    <w:rsid w:val="00B7264E"/>
    <w:rsid w:val="00B74504"/>
    <w:rsid w:val="00B775BC"/>
    <w:rsid w:val="00B827C6"/>
    <w:rsid w:val="00B83E11"/>
    <w:rsid w:val="00B84C2C"/>
    <w:rsid w:val="00B84D95"/>
    <w:rsid w:val="00B863FF"/>
    <w:rsid w:val="00B86519"/>
    <w:rsid w:val="00B916FF"/>
    <w:rsid w:val="00B93913"/>
    <w:rsid w:val="00B960F2"/>
    <w:rsid w:val="00B97CA3"/>
    <w:rsid w:val="00BA2518"/>
    <w:rsid w:val="00BA2A69"/>
    <w:rsid w:val="00BA6DBF"/>
    <w:rsid w:val="00BB0DCE"/>
    <w:rsid w:val="00BB1251"/>
    <w:rsid w:val="00BB2778"/>
    <w:rsid w:val="00BB4392"/>
    <w:rsid w:val="00BB49F6"/>
    <w:rsid w:val="00BB4E73"/>
    <w:rsid w:val="00BB5C3B"/>
    <w:rsid w:val="00BB647F"/>
    <w:rsid w:val="00BB6757"/>
    <w:rsid w:val="00BB69C1"/>
    <w:rsid w:val="00BC0511"/>
    <w:rsid w:val="00BC0F85"/>
    <w:rsid w:val="00BC1069"/>
    <w:rsid w:val="00BC1082"/>
    <w:rsid w:val="00BC29F5"/>
    <w:rsid w:val="00BC2C93"/>
    <w:rsid w:val="00BC3701"/>
    <w:rsid w:val="00BC5349"/>
    <w:rsid w:val="00BC6C11"/>
    <w:rsid w:val="00BC6CDF"/>
    <w:rsid w:val="00BD0620"/>
    <w:rsid w:val="00BD256D"/>
    <w:rsid w:val="00BD31D8"/>
    <w:rsid w:val="00BD62E3"/>
    <w:rsid w:val="00BD714C"/>
    <w:rsid w:val="00BE4062"/>
    <w:rsid w:val="00BF0AF3"/>
    <w:rsid w:val="00BF133D"/>
    <w:rsid w:val="00BF18DB"/>
    <w:rsid w:val="00BF1CBF"/>
    <w:rsid w:val="00BF3B1F"/>
    <w:rsid w:val="00BF5555"/>
    <w:rsid w:val="00BF6223"/>
    <w:rsid w:val="00C0021D"/>
    <w:rsid w:val="00C002DC"/>
    <w:rsid w:val="00C017C7"/>
    <w:rsid w:val="00C01A17"/>
    <w:rsid w:val="00C01ED3"/>
    <w:rsid w:val="00C02FD2"/>
    <w:rsid w:val="00C05B48"/>
    <w:rsid w:val="00C105F2"/>
    <w:rsid w:val="00C10A13"/>
    <w:rsid w:val="00C139BF"/>
    <w:rsid w:val="00C1418D"/>
    <w:rsid w:val="00C2044C"/>
    <w:rsid w:val="00C221C6"/>
    <w:rsid w:val="00C2236C"/>
    <w:rsid w:val="00C232AA"/>
    <w:rsid w:val="00C25372"/>
    <w:rsid w:val="00C268CF"/>
    <w:rsid w:val="00C30DE9"/>
    <w:rsid w:val="00C32025"/>
    <w:rsid w:val="00C328C6"/>
    <w:rsid w:val="00C35951"/>
    <w:rsid w:val="00C360B4"/>
    <w:rsid w:val="00C36F1E"/>
    <w:rsid w:val="00C407E9"/>
    <w:rsid w:val="00C41090"/>
    <w:rsid w:val="00C42932"/>
    <w:rsid w:val="00C430D2"/>
    <w:rsid w:val="00C56824"/>
    <w:rsid w:val="00C6032A"/>
    <w:rsid w:val="00C61511"/>
    <w:rsid w:val="00C623EB"/>
    <w:rsid w:val="00C63ABC"/>
    <w:rsid w:val="00C66B98"/>
    <w:rsid w:val="00C700D5"/>
    <w:rsid w:val="00C75354"/>
    <w:rsid w:val="00C7732A"/>
    <w:rsid w:val="00C8135B"/>
    <w:rsid w:val="00C81E13"/>
    <w:rsid w:val="00C834B2"/>
    <w:rsid w:val="00C83F34"/>
    <w:rsid w:val="00C869A7"/>
    <w:rsid w:val="00C910BD"/>
    <w:rsid w:val="00C91B6A"/>
    <w:rsid w:val="00C92EF5"/>
    <w:rsid w:val="00C945A7"/>
    <w:rsid w:val="00C95501"/>
    <w:rsid w:val="00C97551"/>
    <w:rsid w:val="00CA1917"/>
    <w:rsid w:val="00CA1DFB"/>
    <w:rsid w:val="00CA2C5F"/>
    <w:rsid w:val="00CA315C"/>
    <w:rsid w:val="00CA3E0B"/>
    <w:rsid w:val="00CA3E24"/>
    <w:rsid w:val="00CB0D89"/>
    <w:rsid w:val="00CB1BF3"/>
    <w:rsid w:val="00CB3D45"/>
    <w:rsid w:val="00CB413D"/>
    <w:rsid w:val="00CB4851"/>
    <w:rsid w:val="00CB5086"/>
    <w:rsid w:val="00CB6ECF"/>
    <w:rsid w:val="00CB7968"/>
    <w:rsid w:val="00CC0ECF"/>
    <w:rsid w:val="00CC33F5"/>
    <w:rsid w:val="00CC33F7"/>
    <w:rsid w:val="00CC4190"/>
    <w:rsid w:val="00CC44C7"/>
    <w:rsid w:val="00CC498C"/>
    <w:rsid w:val="00CC62C8"/>
    <w:rsid w:val="00CD47EF"/>
    <w:rsid w:val="00CD5B26"/>
    <w:rsid w:val="00CD7B46"/>
    <w:rsid w:val="00CE0128"/>
    <w:rsid w:val="00CE3B07"/>
    <w:rsid w:val="00CE3BFB"/>
    <w:rsid w:val="00CE4836"/>
    <w:rsid w:val="00CE4E9C"/>
    <w:rsid w:val="00CE74E0"/>
    <w:rsid w:val="00CE7619"/>
    <w:rsid w:val="00CE7C15"/>
    <w:rsid w:val="00CF0809"/>
    <w:rsid w:val="00CF0D56"/>
    <w:rsid w:val="00CF29A8"/>
    <w:rsid w:val="00CF29C3"/>
    <w:rsid w:val="00CF302B"/>
    <w:rsid w:val="00CF3905"/>
    <w:rsid w:val="00CF4C48"/>
    <w:rsid w:val="00CF4D03"/>
    <w:rsid w:val="00CF50D0"/>
    <w:rsid w:val="00CF540B"/>
    <w:rsid w:val="00CF567C"/>
    <w:rsid w:val="00CF7DB2"/>
    <w:rsid w:val="00D000A9"/>
    <w:rsid w:val="00D002B8"/>
    <w:rsid w:val="00D06F35"/>
    <w:rsid w:val="00D10467"/>
    <w:rsid w:val="00D10BE7"/>
    <w:rsid w:val="00D11858"/>
    <w:rsid w:val="00D12E6D"/>
    <w:rsid w:val="00D1444A"/>
    <w:rsid w:val="00D17754"/>
    <w:rsid w:val="00D21602"/>
    <w:rsid w:val="00D21822"/>
    <w:rsid w:val="00D21E61"/>
    <w:rsid w:val="00D23BEE"/>
    <w:rsid w:val="00D33393"/>
    <w:rsid w:val="00D33E23"/>
    <w:rsid w:val="00D3478A"/>
    <w:rsid w:val="00D3599D"/>
    <w:rsid w:val="00D36F4A"/>
    <w:rsid w:val="00D377E7"/>
    <w:rsid w:val="00D40023"/>
    <w:rsid w:val="00D4187C"/>
    <w:rsid w:val="00D47EB0"/>
    <w:rsid w:val="00D56CF4"/>
    <w:rsid w:val="00D64235"/>
    <w:rsid w:val="00D67C34"/>
    <w:rsid w:val="00D7129F"/>
    <w:rsid w:val="00D7157B"/>
    <w:rsid w:val="00D72ACF"/>
    <w:rsid w:val="00D72B7C"/>
    <w:rsid w:val="00D7335D"/>
    <w:rsid w:val="00D73D6B"/>
    <w:rsid w:val="00D75AA1"/>
    <w:rsid w:val="00D86C0A"/>
    <w:rsid w:val="00D87767"/>
    <w:rsid w:val="00D906B6"/>
    <w:rsid w:val="00D90D56"/>
    <w:rsid w:val="00D9545C"/>
    <w:rsid w:val="00D97451"/>
    <w:rsid w:val="00DA310C"/>
    <w:rsid w:val="00DA79A0"/>
    <w:rsid w:val="00DB1670"/>
    <w:rsid w:val="00DB32EA"/>
    <w:rsid w:val="00DB359B"/>
    <w:rsid w:val="00DB41F3"/>
    <w:rsid w:val="00DB5419"/>
    <w:rsid w:val="00DB54BE"/>
    <w:rsid w:val="00DB6944"/>
    <w:rsid w:val="00DC2114"/>
    <w:rsid w:val="00DC351B"/>
    <w:rsid w:val="00DC3A28"/>
    <w:rsid w:val="00DC3C71"/>
    <w:rsid w:val="00DC670E"/>
    <w:rsid w:val="00DD12CD"/>
    <w:rsid w:val="00DD3567"/>
    <w:rsid w:val="00DD69B0"/>
    <w:rsid w:val="00DE1E24"/>
    <w:rsid w:val="00DE456F"/>
    <w:rsid w:val="00DF1585"/>
    <w:rsid w:val="00DF4874"/>
    <w:rsid w:val="00DF4B1C"/>
    <w:rsid w:val="00DF4F23"/>
    <w:rsid w:val="00DF6333"/>
    <w:rsid w:val="00DF7F95"/>
    <w:rsid w:val="00E01561"/>
    <w:rsid w:val="00E01BE9"/>
    <w:rsid w:val="00E031CE"/>
    <w:rsid w:val="00E044D3"/>
    <w:rsid w:val="00E11439"/>
    <w:rsid w:val="00E16B55"/>
    <w:rsid w:val="00E16F49"/>
    <w:rsid w:val="00E17CBA"/>
    <w:rsid w:val="00E2021B"/>
    <w:rsid w:val="00E21383"/>
    <w:rsid w:val="00E214F2"/>
    <w:rsid w:val="00E22D5C"/>
    <w:rsid w:val="00E247A8"/>
    <w:rsid w:val="00E24A52"/>
    <w:rsid w:val="00E2610A"/>
    <w:rsid w:val="00E26FF2"/>
    <w:rsid w:val="00E273E8"/>
    <w:rsid w:val="00E3046B"/>
    <w:rsid w:val="00E3170E"/>
    <w:rsid w:val="00E323ED"/>
    <w:rsid w:val="00E32B82"/>
    <w:rsid w:val="00E33449"/>
    <w:rsid w:val="00E33EC0"/>
    <w:rsid w:val="00E36DDE"/>
    <w:rsid w:val="00E41795"/>
    <w:rsid w:val="00E42DCB"/>
    <w:rsid w:val="00E44BE6"/>
    <w:rsid w:val="00E47FCE"/>
    <w:rsid w:val="00E51B8C"/>
    <w:rsid w:val="00E51E2E"/>
    <w:rsid w:val="00E54625"/>
    <w:rsid w:val="00E54782"/>
    <w:rsid w:val="00E55926"/>
    <w:rsid w:val="00E5621C"/>
    <w:rsid w:val="00E56731"/>
    <w:rsid w:val="00E5710A"/>
    <w:rsid w:val="00E5718C"/>
    <w:rsid w:val="00E57BBD"/>
    <w:rsid w:val="00E60423"/>
    <w:rsid w:val="00E61B3D"/>
    <w:rsid w:val="00E63231"/>
    <w:rsid w:val="00E718C1"/>
    <w:rsid w:val="00E72E6C"/>
    <w:rsid w:val="00E75C3B"/>
    <w:rsid w:val="00E770B1"/>
    <w:rsid w:val="00E828D4"/>
    <w:rsid w:val="00E85466"/>
    <w:rsid w:val="00E85F1A"/>
    <w:rsid w:val="00E945EC"/>
    <w:rsid w:val="00E9545C"/>
    <w:rsid w:val="00E96642"/>
    <w:rsid w:val="00EA18A7"/>
    <w:rsid w:val="00EA30B3"/>
    <w:rsid w:val="00EA46C0"/>
    <w:rsid w:val="00EA7B34"/>
    <w:rsid w:val="00EA7C33"/>
    <w:rsid w:val="00EB0279"/>
    <w:rsid w:val="00EB3717"/>
    <w:rsid w:val="00EB4DAC"/>
    <w:rsid w:val="00EB5920"/>
    <w:rsid w:val="00EC1AE2"/>
    <w:rsid w:val="00EC3BE7"/>
    <w:rsid w:val="00EC4F15"/>
    <w:rsid w:val="00EC678F"/>
    <w:rsid w:val="00ED062E"/>
    <w:rsid w:val="00ED1793"/>
    <w:rsid w:val="00ED182D"/>
    <w:rsid w:val="00ED24E3"/>
    <w:rsid w:val="00ED26EF"/>
    <w:rsid w:val="00ED2E0E"/>
    <w:rsid w:val="00ED576F"/>
    <w:rsid w:val="00ED5C66"/>
    <w:rsid w:val="00ED6B28"/>
    <w:rsid w:val="00EE1595"/>
    <w:rsid w:val="00EE2A1B"/>
    <w:rsid w:val="00EE77AF"/>
    <w:rsid w:val="00EF1194"/>
    <w:rsid w:val="00EF463B"/>
    <w:rsid w:val="00EF59CF"/>
    <w:rsid w:val="00EF667C"/>
    <w:rsid w:val="00F03AE8"/>
    <w:rsid w:val="00F04010"/>
    <w:rsid w:val="00F04D96"/>
    <w:rsid w:val="00F059D8"/>
    <w:rsid w:val="00F07436"/>
    <w:rsid w:val="00F07EFC"/>
    <w:rsid w:val="00F100DB"/>
    <w:rsid w:val="00F1467B"/>
    <w:rsid w:val="00F1521B"/>
    <w:rsid w:val="00F16292"/>
    <w:rsid w:val="00F2136C"/>
    <w:rsid w:val="00F227D2"/>
    <w:rsid w:val="00F230B6"/>
    <w:rsid w:val="00F257EB"/>
    <w:rsid w:val="00F27AD2"/>
    <w:rsid w:val="00F30235"/>
    <w:rsid w:val="00F30CCD"/>
    <w:rsid w:val="00F32D8C"/>
    <w:rsid w:val="00F32DB7"/>
    <w:rsid w:val="00F341C0"/>
    <w:rsid w:val="00F37B12"/>
    <w:rsid w:val="00F40232"/>
    <w:rsid w:val="00F4102B"/>
    <w:rsid w:val="00F41F8B"/>
    <w:rsid w:val="00F43BCB"/>
    <w:rsid w:val="00F444BB"/>
    <w:rsid w:val="00F45645"/>
    <w:rsid w:val="00F466C3"/>
    <w:rsid w:val="00F47746"/>
    <w:rsid w:val="00F50362"/>
    <w:rsid w:val="00F50BAA"/>
    <w:rsid w:val="00F564FC"/>
    <w:rsid w:val="00F57104"/>
    <w:rsid w:val="00F6137B"/>
    <w:rsid w:val="00F658A2"/>
    <w:rsid w:val="00F71C2F"/>
    <w:rsid w:val="00F71F5B"/>
    <w:rsid w:val="00F72F71"/>
    <w:rsid w:val="00F735AB"/>
    <w:rsid w:val="00F74604"/>
    <w:rsid w:val="00F74F04"/>
    <w:rsid w:val="00F75644"/>
    <w:rsid w:val="00F7663F"/>
    <w:rsid w:val="00F76DF7"/>
    <w:rsid w:val="00F77C79"/>
    <w:rsid w:val="00F809EF"/>
    <w:rsid w:val="00F829F3"/>
    <w:rsid w:val="00F83A43"/>
    <w:rsid w:val="00F84A38"/>
    <w:rsid w:val="00FA0176"/>
    <w:rsid w:val="00FA090D"/>
    <w:rsid w:val="00FA1E04"/>
    <w:rsid w:val="00FA2AB0"/>
    <w:rsid w:val="00FA4674"/>
    <w:rsid w:val="00FA6503"/>
    <w:rsid w:val="00FA76C3"/>
    <w:rsid w:val="00FB0712"/>
    <w:rsid w:val="00FB1238"/>
    <w:rsid w:val="00FB2639"/>
    <w:rsid w:val="00FB462F"/>
    <w:rsid w:val="00FB469A"/>
    <w:rsid w:val="00FB6526"/>
    <w:rsid w:val="00FD0101"/>
    <w:rsid w:val="00FD09C6"/>
    <w:rsid w:val="00FD274B"/>
    <w:rsid w:val="00FD4858"/>
    <w:rsid w:val="00FD4A7A"/>
    <w:rsid w:val="00FE01CE"/>
    <w:rsid w:val="00FE1A8F"/>
    <w:rsid w:val="00FE30D3"/>
    <w:rsid w:val="00FE57CC"/>
    <w:rsid w:val="00FE62C6"/>
    <w:rsid w:val="00FE66E3"/>
    <w:rsid w:val="00FE69AA"/>
    <w:rsid w:val="00FE6C6A"/>
    <w:rsid w:val="00FE7C6E"/>
    <w:rsid w:val="00FF09E2"/>
    <w:rsid w:val="00FF1A50"/>
    <w:rsid w:val="00FF41DE"/>
    <w:rsid w:val="00FF51D5"/>
    <w:rsid w:val="00FF61A1"/>
    <w:rsid w:val="4629310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ZA"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22"/>
    <w:semiHidden/>
    <w:unhideWhenUsed/>
    <w:qFormat/>
    <w:uiPriority w:val="99"/>
    <w:pPr>
      <w:spacing w:after="0" w:line="240" w:lineRule="auto"/>
    </w:pPr>
    <w:rPr>
      <w:rFonts w:ascii="Tahoma" w:hAnsi="Tahoma" w:cs="Tahoma"/>
      <w:sz w:val="16"/>
      <w:szCs w:val="16"/>
    </w:rPr>
  </w:style>
  <w:style w:type="character" w:styleId="5">
    <w:name w:val="annotation reference"/>
    <w:basedOn w:val="2"/>
    <w:semiHidden/>
    <w:unhideWhenUsed/>
    <w:qFormat/>
    <w:uiPriority w:val="99"/>
    <w:rPr>
      <w:sz w:val="16"/>
      <w:szCs w:val="16"/>
    </w:rPr>
  </w:style>
  <w:style w:type="paragraph" w:styleId="6">
    <w:name w:val="annotation text"/>
    <w:basedOn w:val="1"/>
    <w:link w:val="27"/>
    <w:semiHidden/>
    <w:unhideWhenUsed/>
    <w:qFormat/>
    <w:uiPriority w:val="99"/>
    <w:pPr>
      <w:spacing w:line="240" w:lineRule="auto"/>
    </w:pPr>
    <w:rPr>
      <w:sz w:val="20"/>
      <w:szCs w:val="20"/>
    </w:rPr>
  </w:style>
  <w:style w:type="paragraph" w:styleId="7">
    <w:name w:val="annotation subject"/>
    <w:basedOn w:val="6"/>
    <w:next w:val="6"/>
    <w:link w:val="28"/>
    <w:semiHidden/>
    <w:unhideWhenUsed/>
    <w:qFormat/>
    <w:uiPriority w:val="99"/>
    <w:rPr>
      <w:b/>
      <w:bCs/>
    </w:rPr>
  </w:style>
  <w:style w:type="paragraph" w:styleId="8">
    <w:name w:val="footer"/>
    <w:basedOn w:val="1"/>
    <w:link w:val="24"/>
    <w:unhideWhenUsed/>
    <w:qFormat/>
    <w:uiPriority w:val="99"/>
    <w:pPr>
      <w:tabs>
        <w:tab w:val="center" w:pos="4513"/>
        <w:tab w:val="right" w:pos="9026"/>
      </w:tabs>
      <w:spacing w:after="0" w:line="240" w:lineRule="auto"/>
    </w:pPr>
  </w:style>
  <w:style w:type="character" w:styleId="9">
    <w:name w:val="footnote reference"/>
    <w:basedOn w:val="2"/>
    <w:semiHidden/>
    <w:unhideWhenUsed/>
    <w:uiPriority w:val="99"/>
    <w:rPr>
      <w:vertAlign w:val="superscript"/>
    </w:rPr>
  </w:style>
  <w:style w:type="paragraph" w:styleId="10">
    <w:name w:val="footnote text"/>
    <w:basedOn w:val="1"/>
    <w:link w:val="14"/>
    <w:semiHidden/>
    <w:unhideWhenUsed/>
    <w:uiPriority w:val="99"/>
    <w:pPr>
      <w:spacing w:after="0" w:line="240" w:lineRule="auto"/>
    </w:pPr>
    <w:rPr>
      <w:sz w:val="20"/>
      <w:szCs w:val="20"/>
    </w:rPr>
  </w:style>
  <w:style w:type="paragraph" w:styleId="11">
    <w:name w:val="header"/>
    <w:basedOn w:val="1"/>
    <w:link w:val="23"/>
    <w:unhideWhenUsed/>
    <w:qFormat/>
    <w:uiPriority w:val="99"/>
    <w:pPr>
      <w:tabs>
        <w:tab w:val="center" w:pos="4513"/>
        <w:tab w:val="right" w:pos="9026"/>
      </w:tabs>
      <w:spacing w:after="0" w:line="240" w:lineRule="auto"/>
    </w:pPr>
  </w:style>
  <w:style w:type="character" w:styleId="12">
    <w:name w:val="Hyperlink"/>
    <w:basedOn w:val="2"/>
    <w:unhideWhenUsed/>
    <w:qFormat/>
    <w:uiPriority w:val="99"/>
    <w:rPr>
      <w:color w:val="0000FF" w:themeColor="hyperlink"/>
      <w:u w:val="single"/>
      <w14:textFill>
        <w14:solidFill>
          <w14:schemeClr w14:val="hlink"/>
        </w14:solidFill>
      </w14:textFill>
    </w:rPr>
  </w:style>
  <w:style w:type="paragraph" w:styleId="13">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ZA"/>
    </w:rPr>
  </w:style>
  <w:style w:type="character" w:customStyle="1" w:styleId="14">
    <w:name w:val="Footnote Text Char"/>
    <w:basedOn w:val="2"/>
    <w:link w:val="10"/>
    <w:uiPriority w:val="99"/>
    <w:rPr>
      <w:sz w:val="20"/>
      <w:szCs w:val="20"/>
    </w:rPr>
  </w:style>
  <w:style w:type="paragraph" w:customStyle="1" w:styleId="15">
    <w:name w:val="JUGMENT NUMBERED"/>
    <w:basedOn w:val="1"/>
    <w:link w:val="18"/>
    <w:qFormat/>
    <w:uiPriority w:val="0"/>
    <w:pPr>
      <w:numPr>
        <w:ilvl w:val="0"/>
        <w:numId w:val="1"/>
      </w:numPr>
      <w:spacing w:after="0" w:line="480" w:lineRule="auto"/>
      <w:jc w:val="both"/>
    </w:pPr>
    <w:rPr>
      <w:rFonts w:ascii="Times New Roman" w:hAnsi="Times New Roman" w:eastAsia="Times New Roman" w:cs="Times New Roman"/>
      <w:sz w:val="26"/>
      <w:szCs w:val="26"/>
      <w:lang w:eastAsia="en-ZA"/>
    </w:rPr>
  </w:style>
  <w:style w:type="paragraph" w:customStyle="1" w:styleId="16">
    <w:name w:val="QUOTE IN FOOTNOTE"/>
    <w:basedOn w:val="10"/>
    <w:link w:val="17"/>
    <w:qFormat/>
    <w:uiPriority w:val="0"/>
    <w:pPr>
      <w:ind w:left="720" w:right="720"/>
      <w:jc w:val="both"/>
    </w:pPr>
    <w:rPr>
      <w:rFonts w:ascii="Times New Roman" w:hAnsi="Times New Roman" w:eastAsia="Times New Roman" w:cs="Times New Roman"/>
      <w:iCs/>
      <w:lang w:val="en-US" w:eastAsia="en-ZA"/>
    </w:rPr>
  </w:style>
  <w:style w:type="character" w:customStyle="1" w:styleId="17">
    <w:name w:val="QUOTE IN FOOTNOTE Char"/>
    <w:basedOn w:val="14"/>
    <w:link w:val="16"/>
    <w:qFormat/>
    <w:uiPriority w:val="0"/>
    <w:rPr>
      <w:rFonts w:ascii="Times New Roman" w:hAnsi="Times New Roman" w:eastAsia="Times New Roman" w:cs="Times New Roman"/>
      <w:iCs/>
      <w:sz w:val="20"/>
      <w:szCs w:val="20"/>
      <w:lang w:val="en-US" w:eastAsia="en-ZA"/>
    </w:rPr>
  </w:style>
  <w:style w:type="character" w:customStyle="1" w:styleId="18">
    <w:name w:val="JUGMENT NUMBERED Char"/>
    <w:basedOn w:val="2"/>
    <w:link w:val="15"/>
    <w:qFormat/>
    <w:locked/>
    <w:uiPriority w:val="0"/>
    <w:rPr>
      <w:rFonts w:ascii="Times New Roman" w:hAnsi="Times New Roman" w:eastAsia="Times New Roman" w:cs="Times New Roman"/>
      <w:sz w:val="26"/>
      <w:szCs w:val="26"/>
      <w:lang w:eastAsia="en-ZA"/>
    </w:rPr>
  </w:style>
  <w:style w:type="paragraph" w:customStyle="1" w:styleId="19">
    <w:name w:val="QUOTATION"/>
    <w:basedOn w:val="1"/>
    <w:link w:val="20"/>
    <w:qFormat/>
    <w:uiPriority w:val="0"/>
    <w:pPr>
      <w:spacing w:after="0" w:line="360" w:lineRule="auto"/>
      <w:ind w:left="720" w:right="720"/>
      <w:jc w:val="both"/>
    </w:pPr>
    <w:rPr>
      <w:rFonts w:ascii="Times New Roman" w:hAnsi="Times New Roman" w:eastAsia="Times New Roman" w:cs="Times New Roman"/>
      <w:lang w:eastAsia="en-ZA"/>
    </w:rPr>
  </w:style>
  <w:style w:type="character" w:customStyle="1" w:styleId="20">
    <w:name w:val="QUOTATION Char"/>
    <w:basedOn w:val="2"/>
    <w:link w:val="19"/>
    <w:qFormat/>
    <w:uiPriority w:val="0"/>
    <w:rPr>
      <w:rFonts w:ascii="Times New Roman" w:hAnsi="Times New Roman" w:eastAsia="Times New Roman" w:cs="Times New Roman"/>
      <w:lang w:eastAsia="en-ZA"/>
    </w:rPr>
  </w:style>
  <w:style w:type="paragraph" w:styleId="21">
    <w:name w:val="List Paragraph"/>
    <w:basedOn w:val="1"/>
    <w:qFormat/>
    <w:uiPriority w:val="34"/>
    <w:pPr>
      <w:ind w:left="720"/>
      <w:contextualSpacing/>
    </w:pPr>
  </w:style>
  <w:style w:type="character" w:customStyle="1" w:styleId="22">
    <w:name w:val="Balloon Text Char"/>
    <w:basedOn w:val="2"/>
    <w:link w:val="4"/>
    <w:semiHidden/>
    <w:qFormat/>
    <w:uiPriority w:val="99"/>
    <w:rPr>
      <w:rFonts w:ascii="Tahoma" w:hAnsi="Tahoma" w:cs="Tahoma"/>
      <w:sz w:val="16"/>
      <w:szCs w:val="16"/>
    </w:rPr>
  </w:style>
  <w:style w:type="character" w:customStyle="1" w:styleId="23">
    <w:name w:val="Header Char"/>
    <w:basedOn w:val="2"/>
    <w:link w:val="11"/>
    <w:qFormat/>
    <w:uiPriority w:val="99"/>
  </w:style>
  <w:style w:type="character" w:customStyle="1" w:styleId="24">
    <w:name w:val="Footer Char"/>
    <w:basedOn w:val="2"/>
    <w:link w:val="8"/>
    <w:qFormat/>
    <w:uiPriority w:val="99"/>
  </w:style>
  <w:style w:type="paragraph" w:customStyle="1" w:styleId="25">
    <w:name w:val="sdfootnote-western"/>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en-ZA"/>
    </w:rPr>
  </w:style>
  <w:style w:type="paragraph" w:customStyle="1" w:styleId="26">
    <w:name w:val="Revision"/>
    <w:hidden/>
    <w:semiHidden/>
    <w:qFormat/>
    <w:uiPriority w:val="99"/>
    <w:pPr>
      <w:spacing w:after="0" w:line="240" w:lineRule="auto"/>
    </w:pPr>
    <w:rPr>
      <w:rFonts w:asciiTheme="minorHAnsi" w:hAnsiTheme="minorHAnsi" w:eastAsiaTheme="minorHAnsi" w:cstheme="minorBidi"/>
      <w:sz w:val="22"/>
      <w:szCs w:val="22"/>
      <w:lang w:val="en-ZA" w:eastAsia="en-US" w:bidi="ar-SA"/>
    </w:rPr>
  </w:style>
  <w:style w:type="character" w:customStyle="1" w:styleId="27">
    <w:name w:val="Comment Text Char"/>
    <w:basedOn w:val="2"/>
    <w:link w:val="6"/>
    <w:semiHidden/>
    <w:qFormat/>
    <w:uiPriority w:val="99"/>
    <w:rPr>
      <w:sz w:val="20"/>
      <w:szCs w:val="20"/>
    </w:rPr>
  </w:style>
  <w:style w:type="character" w:customStyle="1" w:styleId="28">
    <w:name w:val="Comment Subject Char"/>
    <w:basedOn w:val="27"/>
    <w:link w:val="7"/>
    <w:semiHidden/>
    <w:qFormat/>
    <w:uiPriority w:val="99"/>
    <w:rPr>
      <w:b/>
      <w:bCs/>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9FF8B-842B-4F38-904B-28E96CB46097}">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8</Pages>
  <Words>1755</Words>
  <Characters>10005</Characters>
  <Lines>83</Lines>
  <Paragraphs>23</Paragraphs>
  <TotalTime>1</TotalTime>
  <ScaleCrop>false</ScaleCrop>
  <LinksUpToDate>false</LinksUpToDate>
  <CharactersWithSpaces>11737</CharactersWithSpaces>
  <Application>WPS Office_11.2.0.11029_F1E327BC-269C-435d-A152-05C5408002CA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2022-04-05T09:39:00Z</dcterms:created>
  <dc:creator>Tshiqi ZLL - Judge</dc:creator>
  <cp:lastModifiedBy>google1592070541</cp:lastModifiedBy>
  <cp:lastPrinted>2022-04-04T09:03:00Z</cp:lastPrinted>
  <dcterms:modified xsi:type="dcterms:W3CDTF">2022-04-06T09:09:37Z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9D3A6CE354E4496FA40B83D5C344EBBA</vt:lpwstr>
  </property>
</Properties>
</file>