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EB10" w14:textId="77777777" w:rsidR="00F41D45" w:rsidRDefault="00F41D45" w:rsidP="002923EB">
      <w:pPr>
        <w:pStyle w:val="Pa3"/>
        <w:jc w:val="center"/>
        <w:rPr>
          <w:noProof/>
          <w:lang w:val="en-GB" w:eastAsia="en-GB"/>
        </w:rPr>
      </w:pPr>
      <w:bookmarkStart w:id="0" w:name="OLE_LINK1"/>
    </w:p>
    <w:p w14:paraId="059477B1" w14:textId="0BA6F0A8" w:rsidR="002923EB" w:rsidRPr="00D5098D" w:rsidRDefault="002B0761" w:rsidP="002923EB">
      <w:pPr>
        <w:pStyle w:val="Pa3"/>
        <w:jc w:val="center"/>
        <w:rPr>
          <w:rStyle w:val="A0"/>
          <w:b w:val="0"/>
          <w:bCs w:val="0"/>
          <w:sz w:val="24"/>
          <w:szCs w:val="24"/>
        </w:rPr>
      </w:pPr>
      <w:r>
        <w:rPr>
          <w:noProof/>
          <w:lang w:val="en-ZA" w:eastAsia="en-ZA"/>
        </w:rPr>
        <w:drawing>
          <wp:inline distT="0" distB="0" distL="0" distR="0" wp14:anchorId="151B7CC5" wp14:editId="0EEBEB1A">
            <wp:extent cx="800100" cy="9144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2BC08197" w14:textId="77777777" w:rsidR="002923EB" w:rsidRPr="00D5098D" w:rsidRDefault="002923EB" w:rsidP="002923EB">
      <w:pPr>
        <w:pStyle w:val="Pa3"/>
        <w:jc w:val="center"/>
        <w:rPr>
          <w:rStyle w:val="A0"/>
          <w:b w:val="0"/>
          <w:bCs w:val="0"/>
          <w:sz w:val="24"/>
          <w:szCs w:val="24"/>
        </w:rPr>
      </w:pPr>
    </w:p>
    <w:p w14:paraId="133851DA" w14:textId="77777777" w:rsidR="00B527A5" w:rsidRPr="00D5098D" w:rsidRDefault="00B527A5" w:rsidP="00B527A5">
      <w:pPr>
        <w:rPr>
          <w:lang w:val="en-US"/>
        </w:rPr>
      </w:pPr>
    </w:p>
    <w:p w14:paraId="72A8E36C" w14:textId="77777777" w:rsidR="002923EB" w:rsidRPr="00D5098D" w:rsidRDefault="002923EB" w:rsidP="009123F0">
      <w:pPr>
        <w:pStyle w:val="Pa3"/>
        <w:spacing w:line="360" w:lineRule="auto"/>
        <w:jc w:val="center"/>
        <w:rPr>
          <w:rStyle w:val="A0"/>
          <w:sz w:val="24"/>
          <w:szCs w:val="24"/>
        </w:rPr>
      </w:pPr>
      <w:r w:rsidRPr="00D5098D">
        <w:rPr>
          <w:rStyle w:val="A0"/>
          <w:bCs w:val="0"/>
          <w:sz w:val="24"/>
          <w:szCs w:val="24"/>
        </w:rPr>
        <w:t>THE SUPREME COURT OF APPEAL</w:t>
      </w:r>
      <w:r w:rsidR="009123F0" w:rsidRPr="00D5098D">
        <w:rPr>
          <w:rStyle w:val="A0"/>
          <w:bCs w:val="0"/>
          <w:sz w:val="24"/>
          <w:szCs w:val="24"/>
        </w:rPr>
        <w:t xml:space="preserve"> </w:t>
      </w:r>
      <w:r w:rsidRPr="00D5098D">
        <w:rPr>
          <w:rStyle w:val="A0"/>
          <w:sz w:val="24"/>
          <w:szCs w:val="24"/>
        </w:rPr>
        <w:t xml:space="preserve">OF SOUTH AFRICA </w:t>
      </w:r>
    </w:p>
    <w:p w14:paraId="54298E29" w14:textId="77777777" w:rsidR="002923EB" w:rsidRPr="00D5098D" w:rsidRDefault="009123F0" w:rsidP="009123F0">
      <w:pPr>
        <w:spacing w:line="360" w:lineRule="auto"/>
        <w:jc w:val="center"/>
        <w:rPr>
          <w:sz w:val="24"/>
        </w:rPr>
      </w:pPr>
      <w:r w:rsidRPr="00D5098D">
        <w:rPr>
          <w:b/>
          <w:sz w:val="24"/>
        </w:rPr>
        <w:t>JUDGMENT</w:t>
      </w:r>
    </w:p>
    <w:bookmarkEnd w:id="0"/>
    <w:p w14:paraId="593F9256" w14:textId="77777777" w:rsidR="00CA616C" w:rsidRPr="00D5098D" w:rsidRDefault="00CA616C" w:rsidP="00CA616C">
      <w:pPr>
        <w:ind w:right="26"/>
        <w:jc w:val="right"/>
        <w:rPr>
          <w:bCs/>
          <w:sz w:val="24"/>
        </w:rPr>
      </w:pPr>
    </w:p>
    <w:p w14:paraId="76DDC61B" w14:textId="3CFA37C9" w:rsidR="00CA616C" w:rsidRPr="00D5098D" w:rsidRDefault="00CA616C" w:rsidP="00926D22">
      <w:pPr>
        <w:spacing w:line="360" w:lineRule="auto"/>
        <w:ind w:right="26"/>
        <w:jc w:val="right"/>
        <w:rPr>
          <w:b/>
          <w:bCs/>
          <w:sz w:val="24"/>
        </w:rPr>
      </w:pPr>
      <w:r w:rsidRPr="00D5098D">
        <w:rPr>
          <w:b/>
          <w:bCs/>
          <w:sz w:val="24"/>
        </w:rPr>
        <w:t>Reportable</w:t>
      </w:r>
    </w:p>
    <w:p w14:paraId="3505E3FC" w14:textId="77777777" w:rsidR="0058036E" w:rsidRPr="00D5098D" w:rsidRDefault="0058036E" w:rsidP="00926D22">
      <w:pPr>
        <w:widowControl w:val="0"/>
        <w:autoSpaceDE w:val="0"/>
        <w:autoSpaceDN w:val="0"/>
        <w:adjustRightInd w:val="0"/>
        <w:spacing w:line="360" w:lineRule="auto"/>
        <w:rPr>
          <w:b/>
          <w:sz w:val="24"/>
        </w:rPr>
      </w:pPr>
      <w:bookmarkStart w:id="1" w:name="_GoBack"/>
      <w:bookmarkEnd w:id="1"/>
    </w:p>
    <w:p w14:paraId="3E07FCDC" w14:textId="0212D882" w:rsidR="002533B8" w:rsidRPr="00D5098D" w:rsidRDefault="002533B8" w:rsidP="00926D22">
      <w:pPr>
        <w:spacing w:line="360" w:lineRule="auto"/>
        <w:ind w:right="26"/>
        <w:jc w:val="right"/>
        <w:rPr>
          <w:bCs/>
          <w:sz w:val="24"/>
        </w:rPr>
      </w:pPr>
      <w:r w:rsidRPr="00D5098D">
        <w:rPr>
          <w:b/>
          <w:sz w:val="24"/>
        </w:rPr>
        <w:tab/>
      </w:r>
      <w:r w:rsidRPr="00D5098D">
        <w:rPr>
          <w:bCs/>
          <w:sz w:val="24"/>
        </w:rPr>
        <w:t>Case No:</w:t>
      </w:r>
      <w:r w:rsidR="00B32B78" w:rsidRPr="00D5098D">
        <w:rPr>
          <w:bCs/>
          <w:sz w:val="24"/>
        </w:rPr>
        <w:t>1104/2020</w:t>
      </w:r>
    </w:p>
    <w:p w14:paraId="537C543F" w14:textId="77777777" w:rsidR="0058036E" w:rsidRPr="00D5098D" w:rsidRDefault="0058036E" w:rsidP="00926D22">
      <w:pPr>
        <w:spacing w:line="360" w:lineRule="auto"/>
        <w:ind w:right="-328"/>
        <w:jc w:val="both"/>
        <w:rPr>
          <w:bCs/>
          <w:sz w:val="24"/>
        </w:rPr>
      </w:pPr>
    </w:p>
    <w:p w14:paraId="63B8C3EF" w14:textId="77777777" w:rsidR="00B527A5" w:rsidRPr="00D5098D" w:rsidRDefault="00B527A5" w:rsidP="00926D22">
      <w:pPr>
        <w:spacing w:line="360" w:lineRule="auto"/>
        <w:ind w:right="-328"/>
        <w:jc w:val="both"/>
        <w:rPr>
          <w:bCs/>
          <w:sz w:val="24"/>
        </w:rPr>
      </w:pPr>
    </w:p>
    <w:p w14:paraId="424199DE" w14:textId="77777777" w:rsidR="002533B8" w:rsidRPr="00D5098D" w:rsidRDefault="009123F0" w:rsidP="00926D22">
      <w:pPr>
        <w:spacing w:line="360" w:lineRule="auto"/>
        <w:ind w:right="-328"/>
        <w:jc w:val="both"/>
        <w:rPr>
          <w:bCs/>
          <w:sz w:val="24"/>
        </w:rPr>
      </w:pPr>
      <w:r w:rsidRPr="00D5098D">
        <w:rPr>
          <w:bCs/>
          <w:sz w:val="24"/>
        </w:rPr>
        <w:t>In the matter between:</w:t>
      </w:r>
    </w:p>
    <w:p w14:paraId="69B89EA8" w14:textId="77777777" w:rsidR="0058036E" w:rsidRPr="00D5098D" w:rsidRDefault="0058036E" w:rsidP="00926D22">
      <w:pPr>
        <w:tabs>
          <w:tab w:val="right" w:pos="8900"/>
        </w:tabs>
        <w:spacing w:line="360" w:lineRule="auto"/>
        <w:ind w:right="-328"/>
        <w:jc w:val="both"/>
        <w:rPr>
          <w:bCs/>
          <w:sz w:val="24"/>
        </w:rPr>
      </w:pPr>
    </w:p>
    <w:p w14:paraId="6AAB7808" w14:textId="77777777" w:rsidR="00F44778" w:rsidRPr="00D5098D" w:rsidRDefault="00F44778" w:rsidP="00926D22">
      <w:pPr>
        <w:tabs>
          <w:tab w:val="right" w:pos="8280"/>
        </w:tabs>
        <w:spacing w:line="360" w:lineRule="auto"/>
        <w:ind w:right="26"/>
        <w:jc w:val="both"/>
        <w:rPr>
          <w:b/>
          <w:sz w:val="24"/>
        </w:rPr>
      </w:pPr>
      <w:r w:rsidRPr="00D5098D">
        <w:rPr>
          <w:b/>
          <w:sz w:val="24"/>
        </w:rPr>
        <w:t xml:space="preserve">ASTRAL OPERATIONS LTD t/a </w:t>
      </w:r>
    </w:p>
    <w:p w14:paraId="4F28C56A" w14:textId="77777777" w:rsidR="00EB728F" w:rsidRPr="00D5098D" w:rsidRDefault="00F44778" w:rsidP="00926D22">
      <w:pPr>
        <w:tabs>
          <w:tab w:val="right" w:pos="8280"/>
        </w:tabs>
        <w:spacing w:line="360" w:lineRule="auto"/>
        <w:ind w:right="26"/>
        <w:jc w:val="both"/>
        <w:rPr>
          <w:b/>
          <w:sz w:val="24"/>
        </w:rPr>
      </w:pPr>
      <w:r w:rsidRPr="00D5098D">
        <w:rPr>
          <w:b/>
          <w:sz w:val="24"/>
        </w:rPr>
        <w:t>COUNTRY FAIR FOODS</w:t>
      </w:r>
      <w:r w:rsidR="00EB728F" w:rsidRPr="00D5098D">
        <w:rPr>
          <w:b/>
          <w:sz w:val="24"/>
        </w:rPr>
        <w:tab/>
      </w:r>
      <w:r w:rsidRPr="00D5098D">
        <w:rPr>
          <w:b/>
          <w:sz w:val="24"/>
        </w:rPr>
        <w:t xml:space="preserve">First </w:t>
      </w:r>
      <w:r w:rsidR="001B0720" w:rsidRPr="00D5098D">
        <w:rPr>
          <w:b/>
          <w:sz w:val="24"/>
        </w:rPr>
        <w:t>A</w:t>
      </w:r>
      <w:r w:rsidRPr="00D5098D">
        <w:rPr>
          <w:b/>
          <w:sz w:val="24"/>
        </w:rPr>
        <w:t>ppellant</w:t>
      </w:r>
    </w:p>
    <w:p w14:paraId="6A2A4CAC" w14:textId="77777777" w:rsidR="00F44778" w:rsidRPr="00D5098D" w:rsidRDefault="00F44778" w:rsidP="00926D22">
      <w:pPr>
        <w:tabs>
          <w:tab w:val="right" w:pos="8280"/>
        </w:tabs>
        <w:spacing w:line="360" w:lineRule="auto"/>
        <w:ind w:right="26"/>
        <w:jc w:val="both"/>
        <w:rPr>
          <w:b/>
          <w:sz w:val="24"/>
        </w:rPr>
      </w:pPr>
    </w:p>
    <w:p w14:paraId="73CC422A" w14:textId="77777777" w:rsidR="00F44778" w:rsidRPr="00D5098D" w:rsidRDefault="00F44778" w:rsidP="00926D22">
      <w:pPr>
        <w:tabs>
          <w:tab w:val="right" w:pos="8280"/>
        </w:tabs>
        <w:spacing w:line="360" w:lineRule="auto"/>
        <w:ind w:right="26"/>
        <w:jc w:val="both"/>
        <w:rPr>
          <w:b/>
          <w:sz w:val="24"/>
        </w:rPr>
      </w:pPr>
      <w:r w:rsidRPr="00D5098D">
        <w:rPr>
          <w:b/>
          <w:sz w:val="24"/>
        </w:rPr>
        <w:t>PIONEER FOODS (PTY) LTD t/a</w:t>
      </w:r>
    </w:p>
    <w:p w14:paraId="7E1343BC" w14:textId="77777777" w:rsidR="00F44778" w:rsidRPr="00D5098D" w:rsidRDefault="00F44778" w:rsidP="00926D22">
      <w:pPr>
        <w:tabs>
          <w:tab w:val="right" w:pos="8280"/>
        </w:tabs>
        <w:spacing w:line="360" w:lineRule="auto"/>
        <w:ind w:right="26"/>
        <w:jc w:val="both"/>
        <w:rPr>
          <w:b/>
          <w:sz w:val="24"/>
        </w:rPr>
      </w:pPr>
      <w:r w:rsidRPr="00D5098D">
        <w:rPr>
          <w:b/>
          <w:sz w:val="24"/>
        </w:rPr>
        <w:t>TYDSTROOM POULTRY</w:t>
      </w:r>
      <w:r w:rsidRPr="00D5098D">
        <w:rPr>
          <w:b/>
          <w:sz w:val="24"/>
        </w:rPr>
        <w:tab/>
        <w:t>Second Appellant</w:t>
      </w:r>
    </w:p>
    <w:p w14:paraId="441A7483" w14:textId="77777777" w:rsidR="00F44778" w:rsidRPr="00D5098D" w:rsidRDefault="00F44778" w:rsidP="00926D22">
      <w:pPr>
        <w:tabs>
          <w:tab w:val="right" w:pos="8280"/>
        </w:tabs>
        <w:spacing w:line="360" w:lineRule="auto"/>
        <w:ind w:right="26"/>
        <w:jc w:val="both"/>
        <w:rPr>
          <w:b/>
          <w:sz w:val="24"/>
        </w:rPr>
      </w:pPr>
    </w:p>
    <w:p w14:paraId="45F4B11D" w14:textId="77777777" w:rsidR="00F44778" w:rsidRPr="00D5098D" w:rsidRDefault="00F44778" w:rsidP="00926D22">
      <w:pPr>
        <w:tabs>
          <w:tab w:val="right" w:pos="8280"/>
        </w:tabs>
        <w:spacing w:line="360" w:lineRule="auto"/>
        <w:ind w:right="26"/>
        <w:jc w:val="both"/>
        <w:rPr>
          <w:b/>
          <w:sz w:val="24"/>
        </w:rPr>
      </w:pPr>
      <w:r w:rsidRPr="00D5098D">
        <w:rPr>
          <w:b/>
          <w:sz w:val="24"/>
        </w:rPr>
        <w:t>BOTTELFONTEIN ACTION GROUP</w:t>
      </w:r>
      <w:r w:rsidRPr="00D5098D">
        <w:rPr>
          <w:b/>
          <w:sz w:val="24"/>
        </w:rPr>
        <w:tab/>
        <w:t>Third Appellant</w:t>
      </w:r>
    </w:p>
    <w:p w14:paraId="573B721C" w14:textId="77777777" w:rsidR="0058036E" w:rsidRPr="00D5098D" w:rsidRDefault="0058036E" w:rsidP="00926D22">
      <w:pPr>
        <w:tabs>
          <w:tab w:val="right" w:pos="8280"/>
        </w:tabs>
        <w:spacing w:line="360" w:lineRule="auto"/>
        <w:ind w:right="26"/>
        <w:jc w:val="both"/>
        <w:rPr>
          <w:sz w:val="24"/>
        </w:rPr>
      </w:pPr>
    </w:p>
    <w:p w14:paraId="1E958E71" w14:textId="77777777" w:rsidR="00F44778" w:rsidRPr="00D5098D" w:rsidRDefault="00F44778" w:rsidP="00926D22">
      <w:pPr>
        <w:tabs>
          <w:tab w:val="right" w:pos="8280"/>
        </w:tabs>
        <w:spacing w:line="360" w:lineRule="auto"/>
        <w:ind w:right="26"/>
        <w:jc w:val="both"/>
        <w:rPr>
          <w:bCs/>
          <w:sz w:val="24"/>
        </w:rPr>
      </w:pPr>
      <w:r w:rsidRPr="00D5098D">
        <w:rPr>
          <w:bCs/>
          <w:sz w:val="24"/>
        </w:rPr>
        <w:t>a</w:t>
      </w:r>
      <w:r w:rsidR="002533B8" w:rsidRPr="00D5098D">
        <w:rPr>
          <w:bCs/>
          <w:sz w:val="24"/>
        </w:rPr>
        <w:t>nd</w:t>
      </w:r>
    </w:p>
    <w:p w14:paraId="6A863899" w14:textId="77777777" w:rsidR="00F44778" w:rsidRPr="00D5098D" w:rsidRDefault="00F44778" w:rsidP="00926D22">
      <w:pPr>
        <w:tabs>
          <w:tab w:val="right" w:pos="8280"/>
        </w:tabs>
        <w:spacing w:line="360" w:lineRule="auto"/>
        <w:ind w:right="26"/>
        <w:jc w:val="both"/>
        <w:rPr>
          <w:bCs/>
          <w:sz w:val="24"/>
        </w:rPr>
      </w:pPr>
    </w:p>
    <w:p w14:paraId="3A364496" w14:textId="77777777" w:rsidR="0058036E" w:rsidRPr="00D5098D" w:rsidRDefault="00F44778" w:rsidP="00926D22">
      <w:pPr>
        <w:tabs>
          <w:tab w:val="right" w:pos="8280"/>
        </w:tabs>
        <w:spacing w:line="360" w:lineRule="auto"/>
        <w:ind w:right="26"/>
        <w:jc w:val="both"/>
        <w:rPr>
          <w:b/>
          <w:bCs/>
          <w:sz w:val="24"/>
        </w:rPr>
      </w:pPr>
      <w:r w:rsidRPr="00D5098D">
        <w:rPr>
          <w:b/>
          <w:bCs/>
          <w:sz w:val="24"/>
        </w:rPr>
        <w:t>THE MINISTER FOR LOCAL GOVERNMENT,</w:t>
      </w:r>
    </w:p>
    <w:p w14:paraId="4EF203C3" w14:textId="77777777" w:rsidR="00F44778" w:rsidRPr="00D5098D" w:rsidRDefault="00F44778" w:rsidP="00926D22">
      <w:pPr>
        <w:tabs>
          <w:tab w:val="right" w:pos="8280"/>
        </w:tabs>
        <w:spacing w:line="360" w:lineRule="auto"/>
        <w:ind w:right="26"/>
        <w:jc w:val="both"/>
        <w:rPr>
          <w:b/>
          <w:bCs/>
          <w:sz w:val="24"/>
        </w:rPr>
      </w:pPr>
      <w:r w:rsidRPr="00D5098D">
        <w:rPr>
          <w:b/>
          <w:bCs/>
          <w:sz w:val="24"/>
        </w:rPr>
        <w:t>ENVIRONMENTAL AFFAIRS AND DEVELOPMENT</w:t>
      </w:r>
    </w:p>
    <w:p w14:paraId="35871E71" w14:textId="77777777" w:rsidR="002533B8" w:rsidRPr="00D5098D" w:rsidRDefault="00F44778" w:rsidP="00926D22">
      <w:pPr>
        <w:tabs>
          <w:tab w:val="right" w:pos="8280"/>
        </w:tabs>
        <w:spacing w:line="360" w:lineRule="auto"/>
        <w:ind w:right="26"/>
        <w:jc w:val="both"/>
        <w:rPr>
          <w:b/>
          <w:bCs/>
          <w:sz w:val="24"/>
        </w:rPr>
      </w:pPr>
      <w:r w:rsidRPr="00D5098D">
        <w:rPr>
          <w:b/>
          <w:bCs/>
          <w:sz w:val="24"/>
        </w:rPr>
        <w:t>PLANNING (WESTERN CAPE)</w:t>
      </w:r>
      <w:r w:rsidRPr="00D5098D">
        <w:rPr>
          <w:b/>
          <w:bCs/>
          <w:sz w:val="24"/>
        </w:rPr>
        <w:tab/>
        <w:t xml:space="preserve">First </w:t>
      </w:r>
      <w:r w:rsidR="001B0720" w:rsidRPr="00D5098D">
        <w:rPr>
          <w:b/>
          <w:bCs/>
          <w:sz w:val="24"/>
        </w:rPr>
        <w:t>R</w:t>
      </w:r>
      <w:r w:rsidRPr="00D5098D">
        <w:rPr>
          <w:b/>
          <w:bCs/>
          <w:sz w:val="24"/>
        </w:rPr>
        <w:t>espondent</w:t>
      </w:r>
    </w:p>
    <w:p w14:paraId="1BA79D49" w14:textId="77777777" w:rsidR="00F44778" w:rsidRPr="00D5098D" w:rsidRDefault="00F44778" w:rsidP="00926D22">
      <w:pPr>
        <w:tabs>
          <w:tab w:val="right" w:pos="8280"/>
        </w:tabs>
        <w:spacing w:line="360" w:lineRule="auto"/>
        <w:ind w:right="26"/>
        <w:jc w:val="both"/>
        <w:rPr>
          <w:b/>
          <w:bCs/>
          <w:sz w:val="24"/>
        </w:rPr>
      </w:pPr>
    </w:p>
    <w:p w14:paraId="0849B0E5" w14:textId="77777777" w:rsidR="00F44778" w:rsidRPr="00D5098D" w:rsidRDefault="00F44778" w:rsidP="00926D22">
      <w:pPr>
        <w:tabs>
          <w:tab w:val="right" w:pos="8280"/>
        </w:tabs>
        <w:spacing w:line="360" w:lineRule="auto"/>
        <w:ind w:right="26"/>
        <w:jc w:val="both"/>
        <w:rPr>
          <w:b/>
          <w:bCs/>
          <w:sz w:val="24"/>
        </w:rPr>
      </w:pPr>
      <w:r w:rsidRPr="00D5098D">
        <w:rPr>
          <w:b/>
          <w:bCs/>
          <w:sz w:val="24"/>
        </w:rPr>
        <w:t>THE CITY OF CAPE TOWN</w:t>
      </w:r>
      <w:r w:rsidRPr="00D5098D">
        <w:rPr>
          <w:b/>
          <w:bCs/>
          <w:sz w:val="24"/>
        </w:rPr>
        <w:tab/>
        <w:t>Second Respondent</w:t>
      </w:r>
    </w:p>
    <w:p w14:paraId="0E13FD96" w14:textId="77777777" w:rsidR="00F44778" w:rsidRPr="00D5098D" w:rsidRDefault="00F44778" w:rsidP="00926D22">
      <w:pPr>
        <w:tabs>
          <w:tab w:val="right" w:pos="8280"/>
        </w:tabs>
        <w:spacing w:line="360" w:lineRule="auto"/>
        <w:ind w:right="26"/>
        <w:jc w:val="both"/>
        <w:rPr>
          <w:b/>
          <w:bCs/>
          <w:sz w:val="24"/>
        </w:rPr>
      </w:pPr>
    </w:p>
    <w:p w14:paraId="2FF42668" w14:textId="77777777" w:rsidR="00F44778" w:rsidRPr="00D5098D" w:rsidRDefault="00F44778" w:rsidP="00926D22">
      <w:pPr>
        <w:tabs>
          <w:tab w:val="right" w:pos="8280"/>
        </w:tabs>
        <w:spacing w:line="360" w:lineRule="auto"/>
        <w:ind w:right="26"/>
        <w:jc w:val="both"/>
        <w:rPr>
          <w:b/>
          <w:bCs/>
          <w:sz w:val="24"/>
        </w:rPr>
      </w:pPr>
      <w:r w:rsidRPr="00D5098D">
        <w:rPr>
          <w:b/>
          <w:bCs/>
          <w:sz w:val="24"/>
        </w:rPr>
        <w:t>THE MINISTER FOR ENVIRONMENTAL AFFAIRS,</w:t>
      </w:r>
    </w:p>
    <w:p w14:paraId="44721F20" w14:textId="77777777" w:rsidR="00AC0AD4" w:rsidRPr="00D5098D" w:rsidRDefault="00F44778" w:rsidP="00E34AE3">
      <w:pPr>
        <w:tabs>
          <w:tab w:val="right" w:pos="8280"/>
        </w:tabs>
        <w:spacing w:line="360" w:lineRule="auto"/>
        <w:ind w:right="26"/>
        <w:jc w:val="both"/>
        <w:rPr>
          <w:b/>
          <w:bCs/>
          <w:sz w:val="24"/>
        </w:rPr>
      </w:pPr>
      <w:r w:rsidRPr="00D5098D">
        <w:rPr>
          <w:b/>
          <w:bCs/>
          <w:sz w:val="24"/>
        </w:rPr>
        <w:t>FORESTRY AND FISHERIES</w:t>
      </w:r>
      <w:r w:rsidRPr="00D5098D">
        <w:rPr>
          <w:b/>
          <w:bCs/>
          <w:sz w:val="24"/>
        </w:rPr>
        <w:tab/>
        <w:t>Third Respondent</w:t>
      </w:r>
    </w:p>
    <w:p w14:paraId="6920E311" w14:textId="77777777" w:rsidR="00B527A5" w:rsidRPr="00D5098D" w:rsidRDefault="00B527A5" w:rsidP="00926D22">
      <w:pPr>
        <w:tabs>
          <w:tab w:val="left" w:pos="-1440"/>
        </w:tabs>
        <w:spacing w:line="360" w:lineRule="auto"/>
        <w:ind w:left="2160" w:right="-329" w:hanging="2160"/>
        <w:jc w:val="both"/>
        <w:rPr>
          <w:bCs/>
          <w:sz w:val="24"/>
        </w:rPr>
      </w:pPr>
    </w:p>
    <w:p w14:paraId="2DB3F837" w14:textId="4A82E5A6" w:rsidR="002533B8" w:rsidRPr="00D5098D" w:rsidRDefault="00B57EC6" w:rsidP="00080C43">
      <w:pPr>
        <w:spacing w:line="360" w:lineRule="auto"/>
        <w:ind w:left="2160" w:right="26" w:hanging="2160"/>
        <w:jc w:val="both"/>
        <w:rPr>
          <w:bCs/>
          <w:sz w:val="24"/>
        </w:rPr>
      </w:pPr>
      <w:r w:rsidRPr="00D5098D">
        <w:rPr>
          <w:b/>
          <w:bCs/>
          <w:sz w:val="24"/>
        </w:rPr>
        <w:t>Neutral C</w:t>
      </w:r>
      <w:r w:rsidR="002533B8" w:rsidRPr="00D5098D">
        <w:rPr>
          <w:b/>
          <w:bCs/>
          <w:sz w:val="24"/>
        </w:rPr>
        <w:t>itation:</w:t>
      </w:r>
      <w:r w:rsidR="002533B8" w:rsidRPr="00D5098D">
        <w:rPr>
          <w:bCs/>
          <w:sz w:val="24"/>
        </w:rPr>
        <w:tab/>
      </w:r>
      <w:r w:rsidR="002A6E42" w:rsidRPr="00D5098D">
        <w:rPr>
          <w:bCs/>
          <w:i/>
          <w:iCs/>
          <w:sz w:val="24"/>
        </w:rPr>
        <w:t>Astral Operations Ltd t/a Country Fair Foods</w:t>
      </w:r>
      <w:r w:rsidR="002A6E42" w:rsidRPr="00D5098D">
        <w:rPr>
          <w:bCs/>
          <w:sz w:val="24"/>
        </w:rPr>
        <w:t xml:space="preserve"> </w:t>
      </w:r>
      <w:r w:rsidR="002A6E42" w:rsidRPr="00D5098D">
        <w:rPr>
          <w:bCs/>
          <w:i/>
          <w:iCs/>
          <w:sz w:val="24"/>
        </w:rPr>
        <w:t>and</w:t>
      </w:r>
      <w:r w:rsidR="002A6E42" w:rsidRPr="00D5098D">
        <w:rPr>
          <w:bCs/>
          <w:sz w:val="24"/>
        </w:rPr>
        <w:t xml:space="preserve"> </w:t>
      </w:r>
      <w:r w:rsidR="002A6E42" w:rsidRPr="00D5098D">
        <w:rPr>
          <w:bCs/>
          <w:i/>
          <w:sz w:val="24"/>
        </w:rPr>
        <w:t>O</w:t>
      </w:r>
      <w:r w:rsidR="00B233F1" w:rsidRPr="00D5098D">
        <w:rPr>
          <w:bCs/>
          <w:i/>
          <w:sz w:val="24"/>
        </w:rPr>
        <w:t xml:space="preserve">thers </w:t>
      </w:r>
      <w:r w:rsidR="00975A01" w:rsidRPr="00D5098D">
        <w:rPr>
          <w:bCs/>
          <w:i/>
          <w:sz w:val="24"/>
        </w:rPr>
        <w:t>v</w:t>
      </w:r>
      <w:r w:rsidR="00B233F1" w:rsidRPr="00D5098D">
        <w:rPr>
          <w:bCs/>
          <w:i/>
          <w:sz w:val="24"/>
        </w:rPr>
        <w:t xml:space="preserve"> </w:t>
      </w:r>
      <w:r w:rsidR="002A6E42" w:rsidRPr="00D5098D">
        <w:rPr>
          <w:bCs/>
          <w:i/>
          <w:sz w:val="24"/>
        </w:rPr>
        <w:t>The Minister for Local Government, Environmental Affairs and Development Planning (Western Cape)</w:t>
      </w:r>
      <w:r w:rsidR="002533B8" w:rsidRPr="00D5098D">
        <w:rPr>
          <w:bCs/>
          <w:sz w:val="24"/>
        </w:rPr>
        <w:t xml:space="preserve"> </w:t>
      </w:r>
      <w:r w:rsidR="002A6E42" w:rsidRPr="00D5098D">
        <w:rPr>
          <w:bCs/>
          <w:i/>
          <w:iCs/>
          <w:sz w:val="24"/>
        </w:rPr>
        <w:t xml:space="preserve">and Others </w:t>
      </w:r>
      <w:r w:rsidR="002533B8" w:rsidRPr="00D5098D">
        <w:rPr>
          <w:bCs/>
          <w:sz w:val="24"/>
        </w:rPr>
        <w:t>(</w:t>
      </w:r>
      <w:r w:rsidR="009A4A27" w:rsidRPr="00D5098D">
        <w:rPr>
          <w:bCs/>
          <w:sz w:val="24"/>
        </w:rPr>
        <w:t>3509/2014</w:t>
      </w:r>
      <w:r w:rsidR="00AF3EBA" w:rsidRPr="00D5098D">
        <w:rPr>
          <w:bCs/>
          <w:sz w:val="24"/>
        </w:rPr>
        <w:t>) [20</w:t>
      </w:r>
      <w:r w:rsidR="002A6E42" w:rsidRPr="00D5098D">
        <w:rPr>
          <w:bCs/>
          <w:sz w:val="24"/>
        </w:rPr>
        <w:t>22</w:t>
      </w:r>
      <w:r w:rsidR="002533B8" w:rsidRPr="00D5098D">
        <w:rPr>
          <w:bCs/>
          <w:sz w:val="24"/>
        </w:rPr>
        <w:t>] ZASCA</w:t>
      </w:r>
      <w:r w:rsidR="00FD09D6" w:rsidRPr="00D5098D">
        <w:rPr>
          <w:bCs/>
          <w:sz w:val="24"/>
        </w:rPr>
        <w:t xml:space="preserve"> </w:t>
      </w:r>
      <w:r w:rsidR="000F1A60">
        <w:rPr>
          <w:bCs/>
          <w:sz w:val="24"/>
        </w:rPr>
        <w:t>62</w:t>
      </w:r>
      <w:r w:rsidR="00B0731F" w:rsidRPr="00D5098D">
        <w:rPr>
          <w:bCs/>
          <w:sz w:val="24"/>
        </w:rPr>
        <w:t xml:space="preserve"> </w:t>
      </w:r>
      <w:r w:rsidR="00FD09D6" w:rsidRPr="00D5098D">
        <w:rPr>
          <w:bCs/>
          <w:sz w:val="24"/>
        </w:rPr>
        <w:t>(</w:t>
      </w:r>
      <w:r w:rsidR="00700177">
        <w:rPr>
          <w:bCs/>
          <w:sz w:val="24"/>
        </w:rPr>
        <w:t>29 April</w:t>
      </w:r>
      <w:r w:rsidR="002F69AC" w:rsidRPr="00D5098D">
        <w:rPr>
          <w:bCs/>
          <w:sz w:val="24"/>
        </w:rPr>
        <w:t xml:space="preserve"> 20</w:t>
      </w:r>
      <w:r w:rsidR="002A6E42" w:rsidRPr="00D5098D">
        <w:rPr>
          <w:bCs/>
          <w:sz w:val="24"/>
        </w:rPr>
        <w:t>22</w:t>
      </w:r>
      <w:r w:rsidR="002533B8" w:rsidRPr="00D5098D">
        <w:rPr>
          <w:bCs/>
          <w:sz w:val="24"/>
        </w:rPr>
        <w:t>)</w:t>
      </w:r>
    </w:p>
    <w:p w14:paraId="6C46252D" w14:textId="77777777" w:rsidR="002533B8" w:rsidRPr="00D5098D" w:rsidRDefault="002533B8" w:rsidP="00667EE8">
      <w:pPr>
        <w:tabs>
          <w:tab w:val="left" w:pos="-1440"/>
        </w:tabs>
        <w:spacing w:before="120" w:line="360" w:lineRule="auto"/>
        <w:ind w:left="2160" w:right="28" w:hanging="2160"/>
        <w:jc w:val="both"/>
        <w:rPr>
          <w:bCs/>
          <w:sz w:val="24"/>
        </w:rPr>
      </w:pPr>
      <w:r w:rsidRPr="00D5098D">
        <w:rPr>
          <w:b/>
          <w:bCs/>
          <w:sz w:val="24"/>
        </w:rPr>
        <w:t>Coram:</w:t>
      </w:r>
      <w:r w:rsidR="002A6E42" w:rsidRPr="00D5098D">
        <w:rPr>
          <w:bCs/>
          <w:sz w:val="24"/>
        </w:rPr>
        <w:tab/>
        <w:t>ZONDI, MOLEMELA, DLODLO and GORVEN JJA and MUSI AJA</w:t>
      </w:r>
    </w:p>
    <w:p w14:paraId="5A0D2F53" w14:textId="77777777" w:rsidR="002533B8" w:rsidRPr="00D5098D" w:rsidRDefault="002533B8" w:rsidP="007C0013">
      <w:pPr>
        <w:tabs>
          <w:tab w:val="left" w:pos="-1440"/>
        </w:tabs>
        <w:spacing w:before="120" w:line="360" w:lineRule="auto"/>
        <w:ind w:left="2160" w:right="-329" w:hanging="2160"/>
        <w:jc w:val="both"/>
        <w:rPr>
          <w:bCs/>
          <w:sz w:val="24"/>
        </w:rPr>
      </w:pPr>
      <w:r w:rsidRPr="00D5098D">
        <w:rPr>
          <w:b/>
          <w:bCs/>
          <w:sz w:val="24"/>
        </w:rPr>
        <w:t>Heard:</w:t>
      </w:r>
      <w:r w:rsidRPr="00D5098D">
        <w:rPr>
          <w:bCs/>
          <w:sz w:val="24"/>
        </w:rPr>
        <w:tab/>
      </w:r>
      <w:r w:rsidR="00812A07" w:rsidRPr="00D5098D">
        <w:rPr>
          <w:bCs/>
          <w:sz w:val="24"/>
        </w:rPr>
        <w:t xml:space="preserve">21 February </w:t>
      </w:r>
      <w:r w:rsidR="009B4BE5" w:rsidRPr="00D5098D">
        <w:rPr>
          <w:bCs/>
          <w:sz w:val="24"/>
        </w:rPr>
        <w:t>20</w:t>
      </w:r>
      <w:r w:rsidR="003E1525" w:rsidRPr="00D5098D">
        <w:rPr>
          <w:bCs/>
          <w:sz w:val="24"/>
        </w:rPr>
        <w:t>22</w:t>
      </w:r>
    </w:p>
    <w:p w14:paraId="1E60C32F" w14:textId="7D8D0A5F" w:rsidR="009D6BE2" w:rsidRPr="00D5098D" w:rsidRDefault="002533B8" w:rsidP="00B23218">
      <w:pPr>
        <w:tabs>
          <w:tab w:val="left" w:pos="-1440"/>
        </w:tabs>
        <w:spacing w:before="120" w:line="360" w:lineRule="auto"/>
        <w:ind w:left="2127" w:right="84" w:hanging="2160"/>
        <w:jc w:val="both"/>
        <w:rPr>
          <w:sz w:val="24"/>
        </w:rPr>
      </w:pPr>
      <w:r w:rsidRPr="00D5098D">
        <w:rPr>
          <w:b/>
          <w:bCs/>
          <w:sz w:val="24"/>
        </w:rPr>
        <w:t xml:space="preserve">Delivered: </w:t>
      </w:r>
      <w:r w:rsidRPr="00D5098D">
        <w:rPr>
          <w:b/>
          <w:sz w:val="24"/>
        </w:rPr>
        <w:tab/>
      </w:r>
      <w:r w:rsidR="009D6BE2" w:rsidRPr="00D5098D">
        <w:rPr>
          <w:bCs/>
          <w:sz w:val="24"/>
        </w:rPr>
        <w:t xml:space="preserve">This judgment was handed down electronically by circulation to the parties' representatives by email, publication on the Supreme Court of Appeal website and release to SAFLII. The date and time for hand-down is deemed to be </w:t>
      </w:r>
      <w:r w:rsidR="00D5098D">
        <w:rPr>
          <w:bCs/>
          <w:sz w:val="24"/>
        </w:rPr>
        <w:t>1</w:t>
      </w:r>
      <w:r w:rsidR="00B20E46">
        <w:rPr>
          <w:bCs/>
          <w:sz w:val="24"/>
        </w:rPr>
        <w:t>4</w:t>
      </w:r>
      <w:r w:rsidR="00D5098D">
        <w:rPr>
          <w:bCs/>
          <w:sz w:val="24"/>
        </w:rPr>
        <w:t xml:space="preserve">h00 on </w:t>
      </w:r>
      <w:r w:rsidR="007165C2">
        <w:rPr>
          <w:bCs/>
          <w:sz w:val="24"/>
        </w:rPr>
        <w:t xml:space="preserve">29 </w:t>
      </w:r>
      <w:r w:rsidR="00D5098D">
        <w:rPr>
          <w:bCs/>
          <w:sz w:val="24"/>
        </w:rPr>
        <w:t xml:space="preserve">April </w:t>
      </w:r>
      <w:r w:rsidR="009D6BE2" w:rsidRPr="00D5098D">
        <w:rPr>
          <w:bCs/>
          <w:sz w:val="24"/>
        </w:rPr>
        <w:t>2022.</w:t>
      </w:r>
    </w:p>
    <w:p w14:paraId="36A9BDE9" w14:textId="42A74FC7" w:rsidR="009123F0" w:rsidRPr="00D5098D" w:rsidRDefault="002533B8" w:rsidP="00E61812">
      <w:pPr>
        <w:tabs>
          <w:tab w:val="left" w:pos="2127"/>
        </w:tabs>
        <w:spacing w:before="120" w:line="360" w:lineRule="auto"/>
        <w:ind w:right="28"/>
        <w:jc w:val="both"/>
        <w:rPr>
          <w:sz w:val="24"/>
        </w:rPr>
      </w:pPr>
      <w:r w:rsidRPr="00D5098D">
        <w:rPr>
          <w:b/>
          <w:bCs/>
          <w:sz w:val="24"/>
        </w:rPr>
        <w:t>Summary:</w:t>
      </w:r>
      <w:r w:rsidR="008B6DE7" w:rsidRPr="00D5098D">
        <w:rPr>
          <w:b/>
          <w:bCs/>
          <w:sz w:val="24"/>
        </w:rPr>
        <w:tab/>
      </w:r>
      <w:r w:rsidR="00B47C28" w:rsidRPr="00D5098D">
        <w:rPr>
          <w:sz w:val="24"/>
        </w:rPr>
        <w:t>Environmental law – application for environmental authorisation in terms of s 22 of the Environment Conservation Act 73 of 1989 (ECA) – Appeal against the decision of the competent authority – powers of the appeal authority under s 35 of the ECA – appeal authority has wide powers including the power to substitute or replace the decision of the competent</w:t>
      </w:r>
      <w:r w:rsidR="00E61812">
        <w:rPr>
          <w:sz w:val="24"/>
        </w:rPr>
        <w:t xml:space="preserve"> </w:t>
      </w:r>
      <w:r w:rsidR="00B47C28" w:rsidRPr="00D5098D">
        <w:rPr>
          <w:sz w:val="24"/>
        </w:rPr>
        <w:t>authority</w:t>
      </w:r>
      <w:r w:rsidR="00E61812">
        <w:rPr>
          <w:sz w:val="24"/>
        </w:rPr>
        <w:t xml:space="preserve"> </w:t>
      </w:r>
      <w:r w:rsidR="00B47C28" w:rsidRPr="00D5098D">
        <w:rPr>
          <w:sz w:val="24"/>
        </w:rPr>
        <w:t>appeal</w:t>
      </w:r>
      <w:r w:rsidR="008B6DE7" w:rsidRPr="00D5098D">
        <w:rPr>
          <w:sz w:val="24"/>
        </w:rPr>
        <w:t xml:space="preserve"> </w:t>
      </w:r>
      <w:r w:rsidR="00B47C28" w:rsidRPr="00D5098D">
        <w:rPr>
          <w:sz w:val="24"/>
        </w:rPr>
        <w:t>dismissed.</w:t>
      </w:r>
      <w:r w:rsidR="00B47C28" w:rsidRPr="00D5098D">
        <w:rPr>
          <w:b/>
          <w:bCs/>
          <w:sz w:val="24"/>
        </w:rPr>
        <w:t xml:space="preserve">    </w:t>
      </w:r>
      <w:r w:rsidR="0074273A" w:rsidRPr="00D5098D">
        <w:rPr>
          <w:bCs/>
          <w:sz w:val="24"/>
        </w:rPr>
        <w:br w:type="page"/>
      </w:r>
      <w:r w:rsidR="009123F0" w:rsidRPr="00D5098D">
        <w:rPr>
          <w:bCs/>
          <w:sz w:val="24"/>
        </w:rPr>
        <w:lastRenderedPageBreak/>
        <w:t>_______________________________________</w:t>
      </w:r>
      <w:r w:rsidR="00B77B45" w:rsidRPr="00D5098D">
        <w:rPr>
          <w:bCs/>
          <w:sz w:val="24"/>
        </w:rPr>
        <w:t>____________________</w:t>
      </w:r>
      <w:r w:rsidR="00FB471F" w:rsidRPr="00D5098D">
        <w:rPr>
          <w:bCs/>
          <w:sz w:val="24"/>
        </w:rPr>
        <w:t>___</w:t>
      </w:r>
    </w:p>
    <w:p w14:paraId="28E760BF" w14:textId="77777777" w:rsidR="009123F0" w:rsidRPr="00D5098D" w:rsidRDefault="009123F0" w:rsidP="00FB471F">
      <w:pPr>
        <w:ind w:left="720" w:right="26" w:hanging="720"/>
        <w:jc w:val="center"/>
        <w:rPr>
          <w:bCs/>
          <w:sz w:val="24"/>
        </w:rPr>
      </w:pPr>
    </w:p>
    <w:p w14:paraId="4F7755B4" w14:textId="77777777" w:rsidR="002533B8" w:rsidRPr="00D5098D" w:rsidRDefault="002533B8" w:rsidP="00B77B45">
      <w:pPr>
        <w:tabs>
          <w:tab w:val="right" w:pos="8197"/>
        </w:tabs>
        <w:ind w:left="720" w:right="26" w:hanging="720"/>
        <w:jc w:val="center"/>
        <w:rPr>
          <w:b/>
          <w:bCs/>
          <w:sz w:val="24"/>
        </w:rPr>
      </w:pPr>
      <w:r w:rsidRPr="00D5098D">
        <w:rPr>
          <w:b/>
          <w:bCs/>
          <w:sz w:val="24"/>
        </w:rPr>
        <w:t>ORDER</w:t>
      </w:r>
    </w:p>
    <w:p w14:paraId="301FBDD2" w14:textId="77777777" w:rsidR="009123F0" w:rsidRPr="00D5098D" w:rsidRDefault="009123F0" w:rsidP="00B77B45">
      <w:pPr>
        <w:ind w:right="26"/>
        <w:jc w:val="both"/>
        <w:rPr>
          <w:bCs/>
          <w:sz w:val="24"/>
        </w:rPr>
      </w:pPr>
      <w:r w:rsidRPr="00D5098D">
        <w:rPr>
          <w:bCs/>
          <w:sz w:val="24"/>
        </w:rPr>
        <w:t>_______________________________________</w:t>
      </w:r>
      <w:r w:rsidR="00B77B45" w:rsidRPr="00D5098D">
        <w:rPr>
          <w:bCs/>
          <w:sz w:val="24"/>
        </w:rPr>
        <w:t>____________________</w:t>
      </w:r>
      <w:r w:rsidR="00FB471F" w:rsidRPr="00D5098D">
        <w:rPr>
          <w:bCs/>
          <w:sz w:val="24"/>
        </w:rPr>
        <w:t>___</w:t>
      </w:r>
    </w:p>
    <w:p w14:paraId="4CC1FC8D" w14:textId="77777777" w:rsidR="002533B8" w:rsidRPr="00D5098D" w:rsidRDefault="002533B8" w:rsidP="00A845F7">
      <w:pPr>
        <w:spacing w:line="360" w:lineRule="auto"/>
        <w:jc w:val="both"/>
        <w:rPr>
          <w:sz w:val="24"/>
        </w:rPr>
      </w:pPr>
    </w:p>
    <w:p w14:paraId="49029034" w14:textId="77777777" w:rsidR="002533B8" w:rsidRPr="00D5098D" w:rsidRDefault="0084574A" w:rsidP="00172FDF">
      <w:pPr>
        <w:spacing w:line="480" w:lineRule="auto"/>
        <w:jc w:val="both"/>
        <w:rPr>
          <w:sz w:val="24"/>
        </w:rPr>
      </w:pPr>
      <w:r w:rsidRPr="00D5098D">
        <w:rPr>
          <w:b/>
          <w:sz w:val="24"/>
        </w:rPr>
        <w:t>On appeal from</w:t>
      </w:r>
      <w:r w:rsidR="00BF5112" w:rsidRPr="00D5098D">
        <w:rPr>
          <w:sz w:val="24"/>
        </w:rPr>
        <w:t>:</w:t>
      </w:r>
      <w:r w:rsidR="002A4A52" w:rsidRPr="00D5098D">
        <w:rPr>
          <w:sz w:val="24"/>
        </w:rPr>
        <w:t xml:space="preserve"> </w:t>
      </w:r>
      <w:r w:rsidR="00BF5112" w:rsidRPr="00D5098D">
        <w:rPr>
          <w:sz w:val="24"/>
        </w:rPr>
        <w:t>T</w:t>
      </w:r>
      <w:r w:rsidR="00CC0919" w:rsidRPr="00D5098D">
        <w:rPr>
          <w:sz w:val="24"/>
        </w:rPr>
        <w:t xml:space="preserve">he </w:t>
      </w:r>
      <w:r w:rsidR="00507774" w:rsidRPr="00D5098D">
        <w:rPr>
          <w:sz w:val="24"/>
          <w:lang w:val="en-ZA"/>
        </w:rPr>
        <w:t>Western Cape Division of the High Court</w:t>
      </w:r>
      <w:r w:rsidR="00024355" w:rsidRPr="00D5098D">
        <w:rPr>
          <w:sz w:val="24"/>
        </w:rPr>
        <w:t>,</w:t>
      </w:r>
      <w:r w:rsidR="00CC0919" w:rsidRPr="00D5098D">
        <w:rPr>
          <w:sz w:val="24"/>
        </w:rPr>
        <w:t xml:space="preserve"> </w:t>
      </w:r>
      <w:r w:rsidR="00507774" w:rsidRPr="00D5098D">
        <w:rPr>
          <w:sz w:val="24"/>
        </w:rPr>
        <w:t>Cape Town</w:t>
      </w:r>
      <w:r w:rsidR="00F46667" w:rsidRPr="00D5098D">
        <w:rPr>
          <w:sz w:val="24"/>
        </w:rPr>
        <w:t xml:space="preserve"> </w:t>
      </w:r>
      <w:r w:rsidR="002A4A52" w:rsidRPr="00D5098D">
        <w:rPr>
          <w:sz w:val="24"/>
        </w:rPr>
        <w:t>(</w:t>
      </w:r>
      <w:r w:rsidR="00507774" w:rsidRPr="00D5098D">
        <w:rPr>
          <w:sz w:val="24"/>
          <w:lang w:val="en-ZA"/>
        </w:rPr>
        <w:t>Desai J</w:t>
      </w:r>
      <w:r w:rsidR="00507774" w:rsidRPr="00D5098D">
        <w:rPr>
          <w:sz w:val="24"/>
        </w:rPr>
        <w:t xml:space="preserve"> </w:t>
      </w:r>
      <w:r w:rsidR="00C479AE" w:rsidRPr="00D5098D">
        <w:rPr>
          <w:sz w:val="24"/>
        </w:rPr>
        <w:t>sitting as court of first instance</w:t>
      </w:r>
      <w:r w:rsidR="00CB3B78" w:rsidRPr="00D5098D">
        <w:rPr>
          <w:sz w:val="24"/>
        </w:rPr>
        <w:t>)</w:t>
      </w:r>
      <w:r w:rsidR="00FB582B" w:rsidRPr="00D5098D">
        <w:rPr>
          <w:sz w:val="24"/>
        </w:rPr>
        <w:t>:</w:t>
      </w:r>
    </w:p>
    <w:p w14:paraId="0262F2B6" w14:textId="77777777" w:rsidR="001B0720" w:rsidRPr="00D5098D" w:rsidRDefault="00B32B78" w:rsidP="00172FDF">
      <w:pPr>
        <w:spacing w:line="480" w:lineRule="auto"/>
        <w:jc w:val="both"/>
        <w:rPr>
          <w:sz w:val="24"/>
          <w:lang w:val="en-ZA"/>
        </w:rPr>
      </w:pPr>
      <w:r w:rsidRPr="00D5098D">
        <w:rPr>
          <w:sz w:val="24"/>
          <w:lang w:val="en-ZA"/>
        </w:rPr>
        <w:t>The appeal is dismissed, with costs, including the costs of two counsel.</w:t>
      </w:r>
    </w:p>
    <w:p w14:paraId="2905DF19" w14:textId="77777777" w:rsidR="009123F0" w:rsidRPr="00D5098D" w:rsidRDefault="009123F0" w:rsidP="00EE369D">
      <w:pPr>
        <w:jc w:val="both"/>
        <w:rPr>
          <w:bCs/>
          <w:sz w:val="24"/>
        </w:rPr>
      </w:pPr>
      <w:r w:rsidRPr="00D5098D">
        <w:rPr>
          <w:bCs/>
          <w:sz w:val="24"/>
        </w:rPr>
        <w:t>_______________________________________</w:t>
      </w:r>
      <w:r w:rsidR="00B77B45" w:rsidRPr="00D5098D">
        <w:rPr>
          <w:bCs/>
          <w:sz w:val="24"/>
        </w:rPr>
        <w:t>____________________</w:t>
      </w:r>
      <w:r w:rsidR="00FB471F" w:rsidRPr="00D5098D">
        <w:rPr>
          <w:bCs/>
          <w:sz w:val="24"/>
        </w:rPr>
        <w:t>___</w:t>
      </w:r>
    </w:p>
    <w:p w14:paraId="614C97A7" w14:textId="77777777" w:rsidR="002533B8" w:rsidRPr="00D5098D" w:rsidRDefault="002533B8" w:rsidP="00EE369D">
      <w:pPr>
        <w:tabs>
          <w:tab w:val="right" w:pos="8197"/>
        </w:tabs>
        <w:ind w:left="720" w:right="26" w:hanging="720"/>
        <w:jc w:val="center"/>
        <w:rPr>
          <w:bCs/>
          <w:sz w:val="24"/>
        </w:rPr>
      </w:pPr>
    </w:p>
    <w:p w14:paraId="5262BCC8" w14:textId="77777777" w:rsidR="002533B8" w:rsidRPr="00D5098D" w:rsidRDefault="002533B8" w:rsidP="00EE369D">
      <w:pPr>
        <w:tabs>
          <w:tab w:val="right" w:pos="8197"/>
        </w:tabs>
        <w:ind w:left="720" w:right="26" w:hanging="720"/>
        <w:jc w:val="center"/>
        <w:rPr>
          <w:b/>
          <w:bCs/>
          <w:sz w:val="24"/>
        </w:rPr>
      </w:pPr>
      <w:r w:rsidRPr="00D5098D">
        <w:rPr>
          <w:b/>
          <w:bCs/>
          <w:sz w:val="24"/>
        </w:rPr>
        <w:t>JUDGMENT</w:t>
      </w:r>
    </w:p>
    <w:p w14:paraId="30F119B3" w14:textId="77777777" w:rsidR="009123F0" w:rsidRPr="00D5098D" w:rsidRDefault="009123F0" w:rsidP="00EE369D">
      <w:pPr>
        <w:ind w:right="26"/>
        <w:jc w:val="both"/>
        <w:rPr>
          <w:bCs/>
          <w:sz w:val="24"/>
        </w:rPr>
      </w:pPr>
      <w:r w:rsidRPr="00D5098D">
        <w:rPr>
          <w:bCs/>
          <w:sz w:val="24"/>
        </w:rPr>
        <w:t>_______________________________________</w:t>
      </w:r>
      <w:r w:rsidR="00B77B45" w:rsidRPr="00D5098D">
        <w:rPr>
          <w:bCs/>
          <w:sz w:val="24"/>
        </w:rPr>
        <w:t>____________________</w:t>
      </w:r>
      <w:r w:rsidR="00FB471F" w:rsidRPr="00D5098D">
        <w:rPr>
          <w:bCs/>
          <w:sz w:val="24"/>
        </w:rPr>
        <w:t>___</w:t>
      </w:r>
    </w:p>
    <w:p w14:paraId="2C73C816" w14:textId="77777777" w:rsidR="00F05373" w:rsidRPr="00D5098D" w:rsidRDefault="00F05373" w:rsidP="00EF0EB5">
      <w:pPr>
        <w:tabs>
          <w:tab w:val="left" w:pos="-1440"/>
        </w:tabs>
        <w:spacing w:line="360" w:lineRule="auto"/>
        <w:ind w:right="-329"/>
        <w:jc w:val="both"/>
        <w:rPr>
          <w:sz w:val="24"/>
        </w:rPr>
      </w:pPr>
    </w:p>
    <w:p w14:paraId="6E4EFF1A" w14:textId="5F3CE4E5" w:rsidR="003E1525" w:rsidRPr="00D5098D" w:rsidRDefault="003E1525" w:rsidP="003E1525">
      <w:pPr>
        <w:tabs>
          <w:tab w:val="left" w:pos="-1440"/>
        </w:tabs>
        <w:spacing w:line="360" w:lineRule="auto"/>
        <w:ind w:right="26"/>
        <w:jc w:val="both"/>
        <w:rPr>
          <w:b/>
          <w:sz w:val="24"/>
        </w:rPr>
      </w:pPr>
      <w:r w:rsidRPr="00D5098D">
        <w:rPr>
          <w:b/>
          <w:sz w:val="24"/>
        </w:rPr>
        <w:t>Zondi</w:t>
      </w:r>
      <w:r w:rsidR="00A12DF3" w:rsidRPr="00D5098D">
        <w:rPr>
          <w:b/>
          <w:sz w:val="24"/>
        </w:rPr>
        <w:t xml:space="preserve"> </w:t>
      </w:r>
      <w:r w:rsidR="002533B8" w:rsidRPr="00D5098D">
        <w:rPr>
          <w:b/>
          <w:sz w:val="24"/>
        </w:rPr>
        <w:t xml:space="preserve">JA </w:t>
      </w:r>
      <w:r w:rsidR="00AE1CDC" w:rsidRPr="00D5098D">
        <w:rPr>
          <w:b/>
          <w:sz w:val="24"/>
        </w:rPr>
        <w:t>(</w:t>
      </w:r>
      <w:r w:rsidR="007165C2">
        <w:rPr>
          <w:b/>
          <w:sz w:val="24"/>
        </w:rPr>
        <w:t>Molemela, Dlodlo and Gorven JJA and Musi AJA</w:t>
      </w:r>
      <w:r w:rsidR="00C628A1" w:rsidRPr="00D5098D">
        <w:rPr>
          <w:b/>
          <w:sz w:val="24"/>
        </w:rPr>
        <w:t xml:space="preserve"> </w:t>
      </w:r>
      <w:r w:rsidR="004D79BE" w:rsidRPr="00D5098D">
        <w:rPr>
          <w:b/>
          <w:sz w:val="24"/>
        </w:rPr>
        <w:t>concurring</w:t>
      </w:r>
      <w:r w:rsidR="002533B8" w:rsidRPr="00D5098D">
        <w:rPr>
          <w:b/>
          <w:sz w:val="24"/>
        </w:rPr>
        <w:t>)</w:t>
      </w:r>
      <w:r w:rsidR="00B94BA9" w:rsidRPr="00D5098D">
        <w:rPr>
          <w:b/>
          <w:sz w:val="24"/>
        </w:rPr>
        <w:t>:</w:t>
      </w:r>
    </w:p>
    <w:p w14:paraId="679D75C3" w14:textId="77777777" w:rsidR="003E1525" w:rsidRPr="00D5098D" w:rsidRDefault="004F48E5" w:rsidP="003E1525">
      <w:pPr>
        <w:spacing w:line="360" w:lineRule="auto"/>
        <w:jc w:val="both"/>
        <w:rPr>
          <w:sz w:val="24"/>
          <w:lang w:val="en-ZA"/>
        </w:rPr>
      </w:pPr>
      <w:r w:rsidRPr="00D5098D">
        <w:rPr>
          <w:sz w:val="24"/>
        </w:rPr>
        <w:t>[1]</w:t>
      </w:r>
      <w:r w:rsidR="003E1525" w:rsidRPr="00D5098D">
        <w:rPr>
          <w:sz w:val="24"/>
        </w:rPr>
        <w:tab/>
      </w:r>
      <w:r w:rsidR="003E1525" w:rsidRPr="00D5098D">
        <w:rPr>
          <w:sz w:val="24"/>
          <w:lang w:val="en-ZA"/>
        </w:rPr>
        <w:t xml:space="preserve">This is an appeal against a declaratory order granted by the </w:t>
      </w:r>
      <w:bookmarkStart w:id="2" w:name="_Hlk100314936"/>
      <w:r w:rsidR="003E1525" w:rsidRPr="00D5098D">
        <w:rPr>
          <w:sz w:val="24"/>
          <w:lang w:val="en-ZA"/>
        </w:rPr>
        <w:t>Western Cape Division of the High Court</w:t>
      </w:r>
      <w:r w:rsidR="00080C43" w:rsidRPr="00D5098D">
        <w:rPr>
          <w:sz w:val="24"/>
          <w:lang w:val="en-ZA"/>
        </w:rPr>
        <w:t>, Cape Town</w:t>
      </w:r>
      <w:r w:rsidR="003E1525" w:rsidRPr="00D5098D">
        <w:rPr>
          <w:sz w:val="24"/>
          <w:lang w:val="en-ZA"/>
        </w:rPr>
        <w:t xml:space="preserve"> </w:t>
      </w:r>
      <w:bookmarkEnd w:id="2"/>
      <w:r w:rsidR="003E1525" w:rsidRPr="00D5098D">
        <w:rPr>
          <w:sz w:val="24"/>
          <w:lang w:val="en-ZA"/>
        </w:rPr>
        <w:t xml:space="preserve">(the high court) </w:t>
      </w:r>
      <w:r w:rsidR="00DB438F" w:rsidRPr="00D5098D">
        <w:rPr>
          <w:sz w:val="24"/>
          <w:lang w:val="en-ZA"/>
        </w:rPr>
        <w:t>(</w:t>
      </w:r>
      <w:r w:rsidR="003E1525" w:rsidRPr="00D5098D">
        <w:rPr>
          <w:sz w:val="24"/>
          <w:lang w:val="en-ZA"/>
        </w:rPr>
        <w:t>per Desai J</w:t>
      </w:r>
      <w:r w:rsidR="00DB438F" w:rsidRPr="00D5098D">
        <w:rPr>
          <w:sz w:val="24"/>
          <w:lang w:val="en-ZA"/>
        </w:rPr>
        <w:t>)</w:t>
      </w:r>
      <w:r w:rsidR="003E1525" w:rsidRPr="00D5098D">
        <w:rPr>
          <w:sz w:val="24"/>
          <w:lang w:val="en-ZA"/>
        </w:rPr>
        <w:t xml:space="preserve"> in favour of the first respondent</w:t>
      </w:r>
      <w:r w:rsidR="00623A1D" w:rsidRPr="00D5098D">
        <w:rPr>
          <w:sz w:val="24"/>
          <w:lang w:val="en-ZA"/>
        </w:rPr>
        <w:t>,</w:t>
      </w:r>
      <w:r w:rsidR="00623A1D" w:rsidRPr="00D5098D">
        <w:rPr>
          <w:bCs/>
          <w:sz w:val="24"/>
          <w:lang w:val="en-ZA"/>
        </w:rPr>
        <w:t xml:space="preserve"> the Member of the Executive Council for Environmental Affairs and Development Planning in the Western Cape Provincial Administration (the MEC)</w:t>
      </w:r>
      <w:r w:rsidR="00623A1D" w:rsidRPr="00D5098D">
        <w:rPr>
          <w:sz w:val="24"/>
          <w:lang w:val="en-ZA"/>
        </w:rPr>
        <w:t xml:space="preserve"> and</w:t>
      </w:r>
      <w:r w:rsidR="003E1525" w:rsidRPr="00D5098D">
        <w:rPr>
          <w:sz w:val="24"/>
          <w:lang w:val="en-ZA"/>
        </w:rPr>
        <w:t xml:space="preserve"> the second respondent</w:t>
      </w:r>
      <w:r w:rsidR="00DB438F" w:rsidRPr="00D5098D">
        <w:rPr>
          <w:sz w:val="24"/>
          <w:lang w:val="en-ZA"/>
        </w:rPr>
        <w:t>,</w:t>
      </w:r>
      <w:r w:rsidR="003E1525" w:rsidRPr="00D5098D">
        <w:rPr>
          <w:sz w:val="24"/>
          <w:lang w:val="en-ZA"/>
        </w:rPr>
        <w:t xml:space="preserve"> the City of Cape Town (the City)</w:t>
      </w:r>
      <w:r w:rsidR="00F35210" w:rsidRPr="00D5098D">
        <w:rPr>
          <w:sz w:val="24"/>
          <w:lang w:val="en-ZA"/>
        </w:rPr>
        <w:t xml:space="preserve"> (the respondents)</w:t>
      </w:r>
      <w:r w:rsidR="003E1525" w:rsidRPr="00D5098D">
        <w:rPr>
          <w:sz w:val="24"/>
          <w:lang w:val="en-ZA"/>
        </w:rPr>
        <w:t xml:space="preserve">. </w:t>
      </w:r>
      <w:r w:rsidR="00F35210" w:rsidRPr="00D5098D">
        <w:rPr>
          <w:sz w:val="24"/>
          <w:lang w:val="en-ZA"/>
        </w:rPr>
        <w:t>The</w:t>
      </w:r>
      <w:r w:rsidR="00107BB1" w:rsidRPr="00D5098D">
        <w:rPr>
          <w:sz w:val="24"/>
          <w:lang w:val="en-ZA"/>
        </w:rPr>
        <w:t xml:space="preserve"> national Minister of Environmental Affairs </w:t>
      </w:r>
      <w:r w:rsidR="00F35210" w:rsidRPr="00D5098D">
        <w:rPr>
          <w:sz w:val="24"/>
          <w:lang w:val="en-ZA"/>
        </w:rPr>
        <w:t>was joined as a third respondent in the review</w:t>
      </w:r>
      <w:r w:rsidR="00080C43" w:rsidRPr="00D5098D">
        <w:rPr>
          <w:sz w:val="24"/>
          <w:lang w:val="en-ZA"/>
        </w:rPr>
        <w:t>,</w:t>
      </w:r>
      <w:r w:rsidR="00F35210" w:rsidRPr="00D5098D">
        <w:rPr>
          <w:sz w:val="24"/>
          <w:lang w:val="en-ZA"/>
        </w:rPr>
        <w:t xml:space="preserve"> but took no part in the proceedings.</w:t>
      </w:r>
      <w:r w:rsidR="009173AF" w:rsidRPr="00D5098D">
        <w:rPr>
          <w:sz w:val="24"/>
          <w:lang w:val="en-ZA"/>
        </w:rPr>
        <w:t xml:space="preserve"> </w:t>
      </w:r>
      <w:r w:rsidR="003E1525" w:rsidRPr="00D5098D">
        <w:rPr>
          <w:sz w:val="24"/>
          <w:lang w:val="en-ZA"/>
        </w:rPr>
        <w:t>The appeal concerns a question that was reserved for separate determination by agreement between the parties, when a set of separate decisions relating to environmental authorisation for a proposed new</w:t>
      </w:r>
      <w:r w:rsidR="00F35210" w:rsidRPr="00D5098D">
        <w:rPr>
          <w:sz w:val="24"/>
          <w:lang w:val="en-ZA"/>
        </w:rPr>
        <w:t xml:space="preserve"> landfill site for the City was</w:t>
      </w:r>
      <w:r w:rsidR="003E1525" w:rsidRPr="00D5098D">
        <w:rPr>
          <w:sz w:val="24"/>
          <w:lang w:val="en-ZA"/>
        </w:rPr>
        <w:t xml:space="preserve"> reviewed and set aside.</w:t>
      </w:r>
    </w:p>
    <w:p w14:paraId="1EBBBAA5" w14:textId="77777777" w:rsidR="003E1525" w:rsidRPr="00D5098D" w:rsidRDefault="003E1525" w:rsidP="003E1525">
      <w:pPr>
        <w:rPr>
          <w:sz w:val="24"/>
          <w:lang w:val="en-ZA"/>
        </w:rPr>
      </w:pPr>
    </w:p>
    <w:p w14:paraId="22F408A3" w14:textId="7478907E" w:rsidR="003E1525" w:rsidRPr="00D5098D" w:rsidRDefault="003E1525" w:rsidP="003E1525">
      <w:pPr>
        <w:spacing w:line="360" w:lineRule="auto"/>
        <w:jc w:val="both"/>
        <w:rPr>
          <w:sz w:val="24"/>
          <w:lang w:val="en-ZA"/>
        </w:rPr>
      </w:pPr>
      <w:r w:rsidRPr="00D5098D">
        <w:rPr>
          <w:sz w:val="24"/>
          <w:lang w:val="en-ZA"/>
        </w:rPr>
        <w:t>[2]</w:t>
      </w:r>
      <w:r w:rsidRPr="00D5098D">
        <w:rPr>
          <w:sz w:val="24"/>
          <w:lang w:val="en-ZA"/>
        </w:rPr>
        <w:tab/>
        <w:t xml:space="preserve">The question that was </w:t>
      </w:r>
      <w:r w:rsidR="004A7FFD" w:rsidRPr="00D5098D">
        <w:rPr>
          <w:sz w:val="24"/>
          <w:lang w:val="en-ZA"/>
        </w:rPr>
        <w:t xml:space="preserve">reserved for </w:t>
      </w:r>
      <w:r w:rsidRPr="00D5098D">
        <w:rPr>
          <w:sz w:val="24"/>
          <w:lang w:val="en-ZA"/>
        </w:rPr>
        <w:t>separate</w:t>
      </w:r>
      <w:r w:rsidR="004A7FFD" w:rsidRPr="00D5098D">
        <w:rPr>
          <w:sz w:val="24"/>
          <w:lang w:val="en-ZA"/>
        </w:rPr>
        <w:t xml:space="preserve"> determination</w:t>
      </w:r>
      <w:r w:rsidRPr="00D5098D">
        <w:rPr>
          <w:sz w:val="24"/>
          <w:lang w:val="en-ZA"/>
        </w:rPr>
        <w:t xml:space="preserve"> was the following:</w:t>
      </w:r>
    </w:p>
    <w:p w14:paraId="06FC0DA4" w14:textId="5B4631A3" w:rsidR="003E1525" w:rsidRPr="00D5098D" w:rsidRDefault="003E1525" w:rsidP="003E1525">
      <w:pPr>
        <w:spacing w:line="360" w:lineRule="auto"/>
        <w:jc w:val="both"/>
        <w:rPr>
          <w:sz w:val="22"/>
          <w:szCs w:val="22"/>
          <w:lang w:val="en-ZA"/>
        </w:rPr>
      </w:pPr>
      <w:r w:rsidRPr="00D5098D">
        <w:rPr>
          <w:sz w:val="22"/>
          <w:szCs w:val="22"/>
          <w:lang w:val="en-ZA"/>
        </w:rPr>
        <w:t xml:space="preserve">‘Whether in dealing with the appeal against the decision of the Director: Integrated Environmental Management (Region B) in the Department Environmental Affairs and Development Planning of the Western Cape Province (per the record of the decision dated 16 July 2007, “the record of decision”), to grant authorisation under section 22 of the </w:t>
      </w:r>
      <w:r w:rsidR="00107BB1" w:rsidRPr="00D5098D">
        <w:rPr>
          <w:sz w:val="22"/>
          <w:szCs w:val="22"/>
          <w:lang w:val="en-ZA"/>
        </w:rPr>
        <w:t xml:space="preserve">Environment Conservation Act, </w:t>
      </w:r>
      <w:r w:rsidRPr="00D5098D">
        <w:rPr>
          <w:sz w:val="22"/>
          <w:szCs w:val="22"/>
          <w:lang w:val="en-ZA"/>
        </w:rPr>
        <w:t>73 of 1989, for activities related to the establishment and operation of a regional landfill at the location described in Part B of the record of decision known as Brakkefontein, the appeal authority will be entitled to authorise the activities at the Kalbaskraal location.’</w:t>
      </w:r>
    </w:p>
    <w:p w14:paraId="2EEB237E" w14:textId="77777777" w:rsidR="004A7FFD" w:rsidRPr="00D5098D" w:rsidRDefault="004A7FFD" w:rsidP="003E1525">
      <w:pPr>
        <w:spacing w:line="360" w:lineRule="auto"/>
        <w:jc w:val="both"/>
        <w:rPr>
          <w:sz w:val="22"/>
          <w:szCs w:val="22"/>
          <w:lang w:val="en-ZA"/>
        </w:rPr>
      </w:pPr>
    </w:p>
    <w:p w14:paraId="0EA3F771" w14:textId="0A93984B" w:rsidR="003E1525" w:rsidRPr="00D5098D" w:rsidRDefault="003E1525" w:rsidP="003E1525">
      <w:pPr>
        <w:spacing w:line="360" w:lineRule="auto"/>
        <w:jc w:val="both"/>
        <w:rPr>
          <w:sz w:val="24"/>
          <w:lang w:val="en-ZA"/>
        </w:rPr>
      </w:pPr>
      <w:r w:rsidRPr="00D5098D">
        <w:rPr>
          <w:sz w:val="24"/>
          <w:lang w:val="en-ZA"/>
        </w:rPr>
        <w:t>[3]</w:t>
      </w:r>
      <w:r w:rsidRPr="00D5098D">
        <w:rPr>
          <w:sz w:val="24"/>
          <w:lang w:val="en-ZA"/>
        </w:rPr>
        <w:tab/>
        <w:t>The high court answered the question in the affirmative</w:t>
      </w:r>
      <w:r w:rsidR="005B7922" w:rsidRPr="00D5098D">
        <w:rPr>
          <w:sz w:val="24"/>
          <w:lang w:val="en-ZA"/>
        </w:rPr>
        <w:t xml:space="preserve"> and</w:t>
      </w:r>
      <w:r w:rsidRPr="00D5098D">
        <w:rPr>
          <w:sz w:val="24"/>
          <w:lang w:val="en-ZA"/>
        </w:rPr>
        <w:t xml:space="preserve"> granted the appellants leave to appeal to this </w:t>
      </w:r>
      <w:r w:rsidR="004A7FFD" w:rsidRPr="00D5098D">
        <w:rPr>
          <w:sz w:val="24"/>
          <w:lang w:val="en-ZA"/>
        </w:rPr>
        <w:t>C</w:t>
      </w:r>
      <w:r w:rsidRPr="00D5098D">
        <w:rPr>
          <w:sz w:val="24"/>
          <w:lang w:val="en-ZA"/>
        </w:rPr>
        <w:t>ourt. The issue is whether the high court was correct in its determination.</w:t>
      </w:r>
    </w:p>
    <w:p w14:paraId="435859A1" w14:textId="77777777" w:rsidR="00623A1D" w:rsidRPr="00D5098D" w:rsidRDefault="00623A1D" w:rsidP="003E1525">
      <w:pPr>
        <w:spacing w:line="360" w:lineRule="auto"/>
        <w:jc w:val="both"/>
        <w:rPr>
          <w:sz w:val="24"/>
          <w:lang w:val="en-ZA"/>
        </w:rPr>
      </w:pPr>
    </w:p>
    <w:p w14:paraId="2F735C71" w14:textId="75C8F3A2" w:rsidR="00C94D17" w:rsidRPr="00D5098D" w:rsidRDefault="00C94D17" w:rsidP="003E1525">
      <w:pPr>
        <w:spacing w:line="360" w:lineRule="auto"/>
        <w:jc w:val="both"/>
        <w:rPr>
          <w:sz w:val="24"/>
          <w:lang w:val="en-ZA"/>
        </w:rPr>
      </w:pPr>
      <w:r w:rsidRPr="00D5098D">
        <w:rPr>
          <w:sz w:val="24"/>
          <w:lang w:val="en-ZA"/>
        </w:rPr>
        <w:t>[4]</w:t>
      </w:r>
      <w:r w:rsidRPr="00D5098D">
        <w:rPr>
          <w:sz w:val="24"/>
          <w:lang w:val="en-ZA"/>
        </w:rPr>
        <w:tab/>
        <w:t xml:space="preserve">The </w:t>
      </w:r>
      <w:r w:rsidR="00AE6BE6">
        <w:rPr>
          <w:sz w:val="24"/>
          <w:lang w:val="en-ZA"/>
        </w:rPr>
        <w:t xml:space="preserve">factual background is </w:t>
      </w:r>
      <w:r w:rsidR="00AE6BE6" w:rsidRPr="00D5098D">
        <w:rPr>
          <w:sz w:val="24"/>
          <w:lang w:val="en-ZA"/>
        </w:rPr>
        <w:t>briefly</w:t>
      </w:r>
      <w:r w:rsidRPr="00D5098D">
        <w:rPr>
          <w:sz w:val="24"/>
          <w:lang w:val="en-ZA"/>
        </w:rPr>
        <w:t xml:space="preserve"> the following</w:t>
      </w:r>
      <w:r w:rsidR="00107BB1" w:rsidRPr="00D5098D">
        <w:rPr>
          <w:sz w:val="24"/>
          <w:lang w:val="en-ZA"/>
        </w:rPr>
        <w:t>:</w:t>
      </w:r>
      <w:r w:rsidR="002945CF" w:rsidRPr="00D5098D">
        <w:rPr>
          <w:sz w:val="24"/>
          <w:lang w:val="en-ZA"/>
        </w:rPr>
        <w:t xml:space="preserve"> </w:t>
      </w:r>
      <w:r w:rsidR="00336FC8" w:rsidRPr="00D5098D">
        <w:rPr>
          <w:sz w:val="24"/>
          <w:lang w:val="en-ZA"/>
        </w:rPr>
        <w:t>t</w:t>
      </w:r>
      <w:r w:rsidR="002945CF" w:rsidRPr="00D5098D">
        <w:rPr>
          <w:sz w:val="24"/>
          <w:lang w:val="en-ZA"/>
        </w:rPr>
        <w:t>he first and second appellants are commercial enterprises with extensive broiler chicken farming interests close to the footprint of the proposed regional landfill for the City, near the Bott</w:t>
      </w:r>
      <w:r w:rsidR="006C670F" w:rsidRPr="00D5098D">
        <w:rPr>
          <w:sz w:val="24"/>
          <w:lang w:val="en-ZA"/>
        </w:rPr>
        <w:t>el</w:t>
      </w:r>
      <w:r w:rsidR="002945CF" w:rsidRPr="00D5098D">
        <w:rPr>
          <w:sz w:val="24"/>
          <w:lang w:val="en-ZA"/>
        </w:rPr>
        <w:t>fontein Farm in the Western Cape, for which environmental authorisation was granted by the MEC on 30 August 2013.</w:t>
      </w:r>
    </w:p>
    <w:p w14:paraId="77AE248D" w14:textId="77777777" w:rsidR="002945CF" w:rsidRPr="00D5098D" w:rsidRDefault="002945CF" w:rsidP="003E1525">
      <w:pPr>
        <w:spacing w:line="360" w:lineRule="auto"/>
        <w:jc w:val="both"/>
        <w:rPr>
          <w:sz w:val="24"/>
          <w:lang w:val="en-ZA"/>
        </w:rPr>
      </w:pPr>
    </w:p>
    <w:p w14:paraId="6EBD3CB1" w14:textId="77777777" w:rsidR="006C670F" w:rsidRPr="00D5098D" w:rsidRDefault="002945CF" w:rsidP="003E1525">
      <w:pPr>
        <w:spacing w:line="360" w:lineRule="auto"/>
        <w:jc w:val="both"/>
        <w:rPr>
          <w:sz w:val="24"/>
          <w:lang w:val="en-ZA"/>
        </w:rPr>
      </w:pPr>
      <w:r w:rsidRPr="00D5098D">
        <w:rPr>
          <w:sz w:val="24"/>
          <w:lang w:val="en-ZA"/>
        </w:rPr>
        <w:t>[5]</w:t>
      </w:r>
      <w:r w:rsidRPr="00D5098D">
        <w:rPr>
          <w:sz w:val="24"/>
          <w:lang w:val="en-ZA"/>
        </w:rPr>
        <w:tab/>
        <w:t>The third appellant</w:t>
      </w:r>
      <w:r w:rsidR="006C670F" w:rsidRPr="00D5098D">
        <w:rPr>
          <w:sz w:val="24"/>
          <w:lang w:val="en-ZA"/>
        </w:rPr>
        <w:t xml:space="preserve"> is an association of farmers who carry on mixed farming activities, primarily the cultivation of cereal crops, on farms around Bottelfontein. The farms are located in an important wheat producing area of the Western Cape. </w:t>
      </w:r>
    </w:p>
    <w:p w14:paraId="6CCE3BB9" w14:textId="77777777" w:rsidR="006C670F" w:rsidRPr="00D5098D" w:rsidRDefault="006C670F" w:rsidP="003E1525">
      <w:pPr>
        <w:spacing w:line="360" w:lineRule="auto"/>
        <w:jc w:val="both"/>
        <w:rPr>
          <w:sz w:val="24"/>
          <w:lang w:val="en-ZA"/>
        </w:rPr>
      </w:pPr>
    </w:p>
    <w:p w14:paraId="3ED617ED" w14:textId="77777777" w:rsidR="00CA15FA" w:rsidRPr="00D5098D" w:rsidRDefault="006C670F" w:rsidP="00CA15FA">
      <w:pPr>
        <w:spacing w:line="360" w:lineRule="auto"/>
        <w:jc w:val="both"/>
        <w:rPr>
          <w:sz w:val="24"/>
          <w:lang w:val="en-ZA"/>
        </w:rPr>
      </w:pPr>
      <w:r w:rsidRPr="00D5098D">
        <w:rPr>
          <w:sz w:val="24"/>
          <w:lang w:val="en-ZA"/>
        </w:rPr>
        <w:t>[6]</w:t>
      </w:r>
      <w:r w:rsidRPr="00D5098D">
        <w:rPr>
          <w:sz w:val="24"/>
          <w:lang w:val="en-ZA"/>
        </w:rPr>
        <w:tab/>
        <w:t>The first and second appellants</w:t>
      </w:r>
      <w:r w:rsidR="00107BB1" w:rsidRPr="00D5098D">
        <w:rPr>
          <w:sz w:val="24"/>
          <w:lang w:val="en-ZA"/>
        </w:rPr>
        <w:t>’</w:t>
      </w:r>
      <w:r w:rsidRPr="00D5098D">
        <w:rPr>
          <w:sz w:val="24"/>
          <w:lang w:val="en-ZA"/>
        </w:rPr>
        <w:t xml:space="preserve"> main practical concerns relate to the impact of the landfill on the groundwater used at the broiler houses, and vectors (</w:t>
      </w:r>
      <w:r w:rsidR="005B7922" w:rsidRPr="00D5098D">
        <w:rPr>
          <w:sz w:val="24"/>
          <w:lang w:val="en-ZA"/>
        </w:rPr>
        <w:t xml:space="preserve">namely </w:t>
      </w:r>
      <w:r w:rsidRPr="00D5098D">
        <w:rPr>
          <w:sz w:val="24"/>
          <w:lang w:val="en-ZA"/>
        </w:rPr>
        <w:t>flies, rodents</w:t>
      </w:r>
      <w:r w:rsidR="005B7922" w:rsidRPr="00D5098D">
        <w:rPr>
          <w:sz w:val="24"/>
          <w:lang w:val="en-ZA"/>
        </w:rPr>
        <w:t xml:space="preserve"> and</w:t>
      </w:r>
      <w:r w:rsidRPr="00D5098D">
        <w:rPr>
          <w:sz w:val="24"/>
          <w:lang w:val="en-ZA"/>
        </w:rPr>
        <w:t xml:space="preserve"> birds) transporting pathogens from the landfill to the broiler houses. The third appellant’s main concerns are that the operation of the landfill will give rise to the contamination of the groundwater upon which the vast</w:t>
      </w:r>
      <w:r w:rsidR="00B231A5" w:rsidRPr="00D5098D">
        <w:rPr>
          <w:sz w:val="24"/>
          <w:lang w:val="en-ZA"/>
        </w:rPr>
        <w:t xml:space="preserve"> majority of its members depend for their farming activities. </w:t>
      </w:r>
      <w:r w:rsidRPr="00D5098D">
        <w:rPr>
          <w:sz w:val="24"/>
          <w:lang w:val="en-ZA"/>
        </w:rPr>
        <w:t xml:space="preserve">  </w:t>
      </w:r>
    </w:p>
    <w:p w14:paraId="3660B258" w14:textId="77777777" w:rsidR="00CA15FA" w:rsidRPr="00D5098D" w:rsidRDefault="00CA15FA" w:rsidP="003E1525">
      <w:pPr>
        <w:spacing w:line="360" w:lineRule="auto"/>
        <w:jc w:val="both"/>
        <w:rPr>
          <w:sz w:val="24"/>
          <w:lang w:val="en-ZA"/>
        </w:rPr>
      </w:pPr>
    </w:p>
    <w:p w14:paraId="36A6AC3E" w14:textId="77777777" w:rsidR="002945CF" w:rsidRPr="00D5098D" w:rsidRDefault="00CA15FA" w:rsidP="003E1525">
      <w:pPr>
        <w:spacing w:line="360" w:lineRule="auto"/>
        <w:jc w:val="both"/>
        <w:rPr>
          <w:sz w:val="24"/>
          <w:lang w:val="en-ZA"/>
        </w:rPr>
      </w:pPr>
      <w:r w:rsidRPr="00D5098D">
        <w:rPr>
          <w:sz w:val="24"/>
          <w:lang w:val="en-ZA"/>
        </w:rPr>
        <w:t>[</w:t>
      </w:r>
      <w:r w:rsidR="000C338F" w:rsidRPr="00D5098D">
        <w:rPr>
          <w:sz w:val="24"/>
          <w:lang w:val="en-ZA"/>
        </w:rPr>
        <w:t>7</w:t>
      </w:r>
      <w:r w:rsidRPr="00D5098D">
        <w:rPr>
          <w:sz w:val="24"/>
          <w:lang w:val="en-ZA"/>
        </w:rPr>
        <w:t>]</w:t>
      </w:r>
      <w:r w:rsidRPr="00D5098D">
        <w:rPr>
          <w:sz w:val="24"/>
          <w:lang w:val="en-ZA"/>
        </w:rPr>
        <w:tab/>
      </w:r>
      <w:r w:rsidR="006C670F" w:rsidRPr="00D5098D">
        <w:rPr>
          <w:sz w:val="24"/>
          <w:lang w:val="en-ZA"/>
        </w:rPr>
        <w:t xml:space="preserve"> </w:t>
      </w:r>
      <w:r w:rsidRPr="00D5098D">
        <w:rPr>
          <w:sz w:val="24"/>
          <w:lang w:val="en-ZA"/>
        </w:rPr>
        <w:t>In 2000</w:t>
      </w:r>
      <w:r w:rsidR="00D10F8C" w:rsidRPr="00D5098D">
        <w:rPr>
          <w:sz w:val="24"/>
          <w:lang w:val="en-ZA"/>
        </w:rPr>
        <w:t>,</w:t>
      </w:r>
      <w:r w:rsidRPr="00D5098D">
        <w:rPr>
          <w:sz w:val="24"/>
          <w:lang w:val="en-ZA"/>
        </w:rPr>
        <w:t xml:space="preserve"> </w:t>
      </w:r>
      <w:r w:rsidR="009173AF" w:rsidRPr="00D5098D">
        <w:rPr>
          <w:sz w:val="24"/>
          <w:lang w:val="en-ZA"/>
        </w:rPr>
        <w:t>t</w:t>
      </w:r>
      <w:r w:rsidRPr="00D5098D">
        <w:rPr>
          <w:sz w:val="24"/>
          <w:lang w:val="en-ZA"/>
        </w:rPr>
        <w:t>he City appointed consultants to identify and assess potential site</w:t>
      </w:r>
      <w:r w:rsidR="00336FC8" w:rsidRPr="00D5098D">
        <w:rPr>
          <w:sz w:val="24"/>
          <w:lang w:val="en-ZA"/>
        </w:rPr>
        <w:t>s</w:t>
      </w:r>
      <w:r w:rsidRPr="00D5098D">
        <w:rPr>
          <w:sz w:val="24"/>
          <w:lang w:val="en-ZA"/>
        </w:rPr>
        <w:t xml:space="preserve"> for a </w:t>
      </w:r>
      <w:r w:rsidR="009173AF" w:rsidRPr="00D5098D">
        <w:rPr>
          <w:sz w:val="24"/>
          <w:lang w:val="en-ZA"/>
        </w:rPr>
        <w:t>new landfill to service it</w:t>
      </w:r>
      <w:r w:rsidRPr="00D5098D">
        <w:rPr>
          <w:sz w:val="24"/>
          <w:lang w:val="en-ZA"/>
        </w:rPr>
        <w:t>. In June 2002</w:t>
      </w:r>
      <w:r w:rsidR="00D10F8C" w:rsidRPr="00D5098D">
        <w:rPr>
          <w:sz w:val="24"/>
          <w:lang w:val="en-ZA"/>
        </w:rPr>
        <w:t>,</w:t>
      </w:r>
      <w:r w:rsidRPr="00D5098D">
        <w:rPr>
          <w:sz w:val="24"/>
          <w:lang w:val="en-ZA"/>
        </w:rPr>
        <w:t xml:space="preserve"> four sites were short-listed and then selected for a more detailed site ranking process</w:t>
      </w:r>
      <w:r w:rsidR="00336FC8" w:rsidRPr="00D5098D">
        <w:rPr>
          <w:sz w:val="24"/>
          <w:lang w:val="en-ZA"/>
        </w:rPr>
        <w:t>. These sites were</w:t>
      </w:r>
      <w:r w:rsidR="00153CCC" w:rsidRPr="00D5098D">
        <w:rPr>
          <w:sz w:val="24"/>
          <w:lang w:val="en-ZA"/>
        </w:rPr>
        <w:t xml:space="preserve"> </w:t>
      </w:r>
      <w:r w:rsidRPr="00D5098D">
        <w:rPr>
          <w:sz w:val="24"/>
          <w:lang w:val="en-ZA"/>
        </w:rPr>
        <w:t>Kalbaskraal, Atlantis, Visser</w:t>
      </w:r>
      <w:r w:rsidR="00100DE3" w:rsidRPr="00D5098D">
        <w:rPr>
          <w:sz w:val="24"/>
          <w:lang w:val="en-ZA"/>
        </w:rPr>
        <w:t>s</w:t>
      </w:r>
      <w:r w:rsidRPr="00D5098D">
        <w:rPr>
          <w:sz w:val="24"/>
          <w:lang w:val="en-ZA"/>
        </w:rPr>
        <w:t>hoek and Eendekuil.</w:t>
      </w:r>
    </w:p>
    <w:p w14:paraId="332A8AEF" w14:textId="77777777" w:rsidR="00CA15FA" w:rsidRPr="00D5098D" w:rsidRDefault="00CA15FA" w:rsidP="003E1525">
      <w:pPr>
        <w:spacing w:line="360" w:lineRule="auto"/>
        <w:jc w:val="both"/>
        <w:rPr>
          <w:sz w:val="24"/>
          <w:lang w:val="en-ZA"/>
        </w:rPr>
      </w:pPr>
    </w:p>
    <w:p w14:paraId="0220C673" w14:textId="776B89AD" w:rsidR="00CA15FA" w:rsidRPr="00D5098D" w:rsidRDefault="00CA15FA" w:rsidP="003E1525">
      <w:pPr>
        <w:spacing w:line="360" w:lineRule="auto"/>
        <w:jc w:val="both"/>
        <w:rPr>
          <w:sz w:val="24"/>
          <w:lang w:val="en-ZA"/>
        </w:rPr>
      </w:pPr>
      <w:r w:rsidRPr="00D5098D">
        <w:rPr>
          <w:sz w:val="24"/>
          <w:lang w:val="en-ZA"/>
        </w:rPr>
        <w:t>[</w:t>
      </w:r>
      <w:r w:rsidR="000C338F" w:rsidRPr="00D5098D">
        <w:rPr>
          <w:sz w:val="24"/>
          <w:lang w:val="en-ZA"/>
        </w:rPr>
        <w:t>8</w:t>
      </w:r>
      <w:r w:rsidRPr="00D5098D">
        <w:rPr>
          <w:sz w:val="24"/>
          <w:lang w:val="en-ZA"/>
        </w:rPr>
        <w:t>]</w:t>
      </w:r>
      <w:r w:rsidRPr="00D5098D">
        <w:rPr>
          <w:sz w:val="24"/>
          <w:lang w:val="en-ZA"/>
        </w:rPr>
        <w:tab/>
        <w:t>On 30 April 2007</w:t>
      </w:r>
      <w:r w:rsidR="00D10F8C" w:rsidRPr="00D5098D">
        <w:rPr>
          <w:sz w:val="24"/>
          <w:lang w:val="en-ZA"/>
        </w:rPr>
        <w:t>,</w:t>
      </w:r>
      <w:r w:rsidRPr="00D5098D">
        <w:rPr>
          <w:sz w:val="24"/>
          <w:lang w:val="en-ZA"/>
        </w:rPr>
        <w:t xml:space="preserve"> the City applied to the Western Cape Department of Environmental Affairs and Development Planning (the department) for an environmental authorisation in terms of s 22(3)</w:t>
      </w:r>
      <w:r w:rsidR="00B04D29" w:rsidRPr="00D5098D">
        <w:rPr>
          <w:sz w:val="24"/>
          <w:lang w:val="en-ZA"/>
        </w:rPr>
        <w:t xml:space="preserve"> of</w:t>
      </w:r>
      <w:r w:rsidR="00590044" w:rsidRPr="00D5098D">
        <w:rPr>
          <w:sz w:val="24"/>
          <w:lang w:val="en-ZA"/>
        </w:rPr>
        <w:t xml:space="preserve"> </w:t>
      </w:r>
      <w:r w:rsidR="009173AF" w:rsidRPr="00D5098D">
        <w:rPr>
          <w:sz w:val="24"/>
          <w:lang w:val="en-ZA"/>
        </w:rPr>
        <w:t>the E</w:t>
      </w:r>
      <w:r w:rsidR="00DC686C" w:rsidRPr="00D5098D">
        <w:rPr>
          <w:sz w:val="24"/>
          <w:lang w:val="en-ZA"/>
        </w:rPr>
        <w:t xml:space="preserve">nvironment </w:t>
      </w:r>
      <w:r w:rsidR="009173AF" w:rsidRPr="00D5098D">
        <w:rPr>
          <w:sz w:val="24"/>
          <w:lang w:val="en-ZA"/>
        </w:rPr>
        <w:t>Conservation Act 73 of 1989 (the ECA)</w:t>
      </w:r>
      <w:r w:rsidR="004A7FFD" w:rsidRPr="00D5098D">
        <w:rPr>
          <w:sz w:val="24"/>
          <w:lang w:val="en-ZA"/>
        </w:rPr>
        <w:t>,</w:t>
      </w:r>
      <w:r w:rsidRPr="00D5098D">
        <w:rPr>
          <w:sz w:val="24"/>
          <w:lang w:val="en-ZA"/>
        </w:rPr>
        <w:t xml:space="preserve"> for the establishment of the new regional landfill on one of two shortlisted sites, namely a site near Atlantis and a site </w:t>
      </w:r>
      <w:r w:rsidR="000F4916" w:rsidRPr="00D5098D">
        <w:rPr>
          <w:sz w:val="24"/>
          <w:lang w:val="en-ZA"/>
        </w:rPr>
        <w:t>near</w:t>
      </w:r>
      <w:r w:rsidRPr="00D5098D">
        <w:rPr>
          <w:sz w:val="24"/>
          <w:lang w:val="en-ZA"/>
        </w:rPr>
        <w:t xml:space="preserve"> Kalbaskraal. The application form described the ‘Project’ as the ‘Identification of a new regional landfill site to service the CMA’ (</w:t>
      </w:r>
      <w:r w:rsidR="00574905" w:rsidRPr="00D5098D">
        <w:rPr>
          <w:sz w:val="24"/>
          <w:lang w:val="en-ZA"/>
        </w:rPr>
        <w:t>ie</w:t>
      </w:r>
      <w:r w:rsidRPr="00D5098D">
        <w:rPr>
          <w:sz w:val="24"/>
          <w:lang w:val="en-ZA"/>
        </w:rPr>
        <w:t xml:space="preserve"> the Cape Metropolitan Area) and gave the location and certain further particulars of the ‘Atlantis site’ and the ‘Kalbaskraal site</w:t>
      </w:r>
      <w:r w:rsidR="00574905" w:rsidRPr="00D5098D">
        <w:rPr>
          <w:sz w:val="24"/>
          <w:lang w:val="en-ZA"/>
        </w:rPr>
        <w:t>.</w:t>
      </w:r>
      <w:r w:rsidRPr="00D5098D">
        <w:rPr>
          <w:sz w:val="24"/>
          <w:lang w:val="en-ZA"/>
        </w:rPr>
        <w:t>’</w:t>
      </w:r>
    </w:p>
    <w:p w14:paraId="3E69D22A" w14:textId="77777777" w:rsidR="00574905" w:rsidRPr="00D5098D" w:rsidRDefault="00574905" w:rsidP="003E1525">
      <w:pPr>
        <w:spacing w:line="360" w:lineRule="auto"/>
        <w:jc w:val="both"/>
        <w:rPr>
          <w:sz w:val="24"/>
          <w:lang w:val="en-ZA"/>
        </w:rPr>
      </w:pPr>
    </w:p>
    <w:p w14:paraId="7CB06B6D" w14:textId="77777777" w:rsidR="002359CA" w:rsidRPr="00D5098D" w:rsidRDefault="00574905" w:rsidP="00F46364">
      <w:pPr>
        <w:spacing w:line="360" w:lineRule="auto"/>
        <w:jc w:val="both"/>
        <w:rPr>
          <w:sz w:val="24"/>
        </w:rPr>
      </w:pPr>
      <w:r w:rsidRPr="00D5098D">
        <w:rPr>
          <w:sz w:val="24"/>
          <w:lang w:val="en-ZA"/>
        </w:rPr>
        <w:t>[</w:t>
      </w:r>
      <w:r w:rsidR="001934C8" w:rsidRPr="00D5098D">
        <w:rPr>
          <w:sz w:val="24"/>
          <w:lang w:val="en-ZA"/>
        </w:rPr>
        <w:t>9</w:t>
      </w:r>
      <w:r w:rsidRPr="00D5098D">
        <w:rPr>
          <w:sz w:val="24"/>
          <w:lang w:val="en-ZA"/>
        </w:rPr>
        <w:t>]</w:t>
      </w:r>
      <w:r w:rsidR="00F6603D" w:rsidRPr="00D5098D">
        <w:rPr>
          <w:sz w:val="24"/>
          <w:lang w:val="en-ZA"/>
        </w:rPr>
        <w:tab/>
      </w:r>
      <w:bookmarkStart w:id="3" w:name="_Ref74921680"/>
      <w:r w:rsidR="002359CA" w:rsidRPr="00D5098D">
        <w:rPr>
          <w:sz w:val="24"/>
        </w:rPr>
        <w:t>The submission of the application form was preceded by the following:</w:t>
      </w:r>
      <w:bookmarkEnd w:id="3"/>
      <w:r w:rsidR="002359CA" w:rsidRPr="00D5098D">
        <w:rPr>
          <w:sz w:val="24"/>
        </w:rPr>
        <w:t xml:space="preserve"> On 28 January 2004</w:t>
      </w:r>
      <w:r w:rsidR="00DA75D8" w:rsidRPr="00D5098D">
        <w:rPr>
          <w:sz w:val="24"/>
        </w:rPr>
        <w:t>,</w:t>
      </w:r>
      <w:r w:rsidR="002359CA" w:rsidRPr="00D5098D">
        <w:rPr>
          <w:sz w:val="24"/>
        </w:rPr>
        <w:t xml:space="preserve"> the City’s environmental assessment practitioner, Crowther Campbell &amp; Associates (CCA), submitted to the department</w:t>
      </w:r>
      <w:r w:rsidR="009173AF" w:rsidRPr="00D5098D">
        <w:rPr>
          <w:sz w:val="24"/>
        </w:rPr>
        <w:t xml:space="preserve"> a final s</w:t>
      </w:r>
      <w:r w:rsidR="002359CA" w:rsidRPr="00D5098D">
        <w:rPr>
          <w:sz w:val="24"/>
        </w:rPr>
        <w:t>c</w:t>
      </w:r>
      <w:r w:rsidR="009173AF" w:rsidRPr="00D5098D">
        <w:rPr>
          <w:sz w:val="24"/>
        </w:rPr>
        <w:t>oping r</w:t>
      </w:r>
      <w:r w:rsidR="002359CA" w:rsidRPr="00D5098D">
        <w:rPr>
          <w:sz w:val="24"/>
        </w:rPr>
        <w:t>eport (</w:t>
      </w:r>
      <w:r w:rsidR="009173AF" w:rsidRPr="00D5098D">
        <w:rPr>
          <w:sz w:val="24"/>
        </w:rPr>
        <w:t>FSR</w:t>
      </w:r>
      <w:r w:rsidR="002359CA" w:rsidRPr="00D5098D">
        <w:rPr>
          <w:sz w:val="24"/>
        </w:rPr>
        <w:t>) relating to four possible sites, namely the Atlantis site, the Kalbaskraal site and two further sites that were subsequently eliminated, being the Eendekuil site and the Vissersho</w:t>
      </w:r>
      <w:r w:rsidR="009173AF" w:rsidRPr="00D5098D">
        <w:rPr>
          <w:sz w:val="24"/>
        </w:rPr>
        <w:t>e</w:t>
      </w:r>
      <w:r w:rsidR="002359CA" w:rsidRPr="00D5098D">
        <w:rPr>
          <w:sz w:val="24"/>
        </w:rPr>
        <w:t>k site.</w:t>
      </w:r>
    </w:p>
    <w:p w14:paraId="17162119" w14:textId="77777777" w:rsidR="002359CA" w:rsidRPr="00D5098D" w:rsidRDefault="002359CA" w:rsidP="002359CA">
      <w:pPr>
        <w:spacing w:line="360" w:lineRule="auto"/>
        <w:rPr>
          <w:sz w:val="24"/>
          <w:lang w:val="en-ZA"/>
        </w:rPr>
      </w:pPr>
    </w:p>
    <w:p w14:paraId="677BD7AB" w14:textId="77777777" w:rsidR="00A40296" w:rsidRPr="00D5098D" w:rsidRDefault="001316DB" w:rsidP="002359CA">
      <w:pPr>
        <w:spacing w:line="360" w:lineRule="auto"/>
        <w:jc w:val="both"/>
        <w:rPr>
          <w:sz w:val="24"/>
        </w:rPr>
      </w:pPr>
      <w:r w:rsidRPr="00D5098D">
        <w:rPr>
          <w:sz w:val="24"/>
          <w:lang w:val="en-ZA"/>
        </w:rPr>
        <w:t>[1</w:t>
      </w:r>
      <w:r w:rsidR="001934C8" w:rsidRPr="00D5098D">
        <w:rPr>
          <w:sz w:val="24"/>
          <w:lang w:val="en-ZA"/>
        </w:rPr>
        <w:t>0</w:t>
      </w:r>
      <w:r w:rsidRPr="00D5098D">
        <w:rPr>
          <w:sz w:val="24"/>
          <w:lang w:val="en-ZA"/>
        </w:rPr>
        <w:t>]</w:t>
      </w:r>
      <w:r w:rsidR="00767DAD" w:rsidRPr="00D5098D">
        <w:rPr>
          <w:sz w:val="24"/>
          <w:lang w:val="en-ZA"/>
        </w:rPr>
        <w:tab/>
      </w:r>
      <w:r w:rsidR="002359CA" w:rsidRPr="00D5098D">
        <w:rPr>
          <w:sz w:val="24"/>
        </w:rPr>
        <w:t xml:space="preserve">One of the relevant factors in determining how many sites should be shortlisted was the requirement of the </w:t>
      </w:r>
      <w:r w:rsidR="00627B36" w:rsidRPr="00D5098D">
        <w:rPr>
          <w:sz w:val="24"/>
        </w:rPr>
        <w:t>E</w:t>
      </w:r>
      <w:r w:rsidR="002359CA" w:rsidRPr="00D5098D">
        <w:rPr>
          <w:sz w:val="24"/>
        </w:rPr>
        <w:t xml:space="preserve">nvironmental </w:t>
      </w:r>
      <w:r w:rsidR="00627B36" w:rsidRPr="00D5098D">
        <w:rPr>
          <w:sz w:val="24"/>
        </w:rPr>
        <w:t>I</w:t>
      </w:r>
      <w:r w:rsidR="002359CA" w:rsidRPr="00D5098D">
        <w:rPr>
          <w:sz w:val="24"/>
        </w:rPr>
        <w:t xml:space="preserve">mpact </w:t>
      </w:r>
      <w:r w:rsidR="00627B36" w:rsidRPr="00D5098D">
        <w:rPr>
          <w:sz w:val="24"/>
        </w:rPr>
        <w:t>A</w:t>
      </w:r>
      <w:r w:rsidR="002359CA" w:rsidRPr="00D5098D">
        <w:rPr>
          <w:sz w:val="24"/>
        </w:rPr>
        <w:t>ssessment (EIA) regulations and the National Environmental Management Act 107 of 1998 (NEMA) that alternatives be given due consideration</w:t>
      </w:r>
      <w:r w:rsidR="00D94A0A" w:rsidRPr="00D5098D">
        <w:rPr>
          <w:sz w:val="24"/>
        </w:rPr>
        <w:t>.</w:t>
      </w:r>
      <w:r w:rsidR="002359CA" w:rsidRPr="00D5098D">
        <w:rPr>
          <w:sz w:val="24"/>
        </w:rPr>
        <w:t xml:space="preserve"> The sites were consequently investigated as alternatives. Although in terms of the </w:t>
      </w:r>
      <w:r w:rsidR="002359CA" w:rsidRPr="00D5098D">
        <w:rPr>
          <w:i/>
          <w:sz w:val="24"/>
        </w:rPr>
        <w:t>Minimum Requirements for Waste Disposal by Landfill</w:t>
      </w:r>
      <w:r w:rsidR="002359CA" w:rsidRPr="00D5098D">
        <w:rPr>
          <w:iCs/>
          <w:sz w:val="24"/>
        </w:rPr>
        <w:t>,</w:t>
      </w:r>
      <w:r w:rsidR="00667EE8" w:rsidRPr="00D5098D">
        <w:rPr>
          <w:rStyle w:val="FootnoteReference"/>
          <w:iCs/>
          <w:sz w:val="24"/>
        </w:rPr>
        <w:footnoteReference w:id="1"/>
      </w:r>
      <w:r w:rsidR="002359CA" w:rsidRPr="00D5098D">
        <w:rPr>
          <w:sz w:val="24"/>
        </w:rPr>
        <w:t xml:space="preserve"> the City was required to proceed with an EIA on only the top ranked site, namely Kalbaskraal, the City obtained legal advice to the effect that the EIA should include at least two </w:t>
      </w:r>
    </w:p>
    <w:p w14:paraId="47007028" w14:textId="2FBC57AA" w:rsidR="002359CA" w:rsidRPr="00D5098D" w:rsidRDefault="002359CA" w:rsidP="002359CA">
      <w:pPr>
        <w:spacing w:line="360" w:lineRule="auto"/>
        <w:jc w:val="both"/>
        <w:rPr>
          <w:sz w:val="24"/>
        </w:rPr>
      </w:pPr>
      <w:r w:rsidRPr="00D5098D">
        <w:rPr>
          <w:sz w:val="24"/>
        </w:rPr>
        <w:t xml:space="preserve">sites to meet the requirement that alternatives be assessed. This accorded with the stance of the department, which required that ‘at least two site alternatives, preferably more, </w:t>
      </w:r>
      <w:r w:rsidR="005263CF" w:rsidRPr="00D5098D">
        <w:rPr>
          <w:sz w:val="24"/>
        </w:rPr>
        <w:t>be considered as part of the EIA</w:t>
      </w:r>
      <w:r w:rsidRPr="00D5098D">
        <w:rPr>
          <w:sz w:val="24"/>
        </w:rPr>
        <w:t xml:space="preserve"> phase’.</w:t>
      </w:r>
    </w:p>
    <w:p w14:paraId="76DB9195" w14:textId="77777777" w:rsidR="002359CA" w:rsidRPr="00D5098D" w:rsidRDefault="002359CA" w:rsidP="002359CA">
      <w:pPr>
        <w:spacing w:line="360" w:lineRule="auto"/>
        <w:rPr>
          <w:sz w:val="24"/>
          <w:lang w:val="en-ZA"/>
        </w:rPr>
      </w:pPr>
    </w:p>
    <w:p w14:paraId="5196A317" w14:textId="2D72D136" w:rsidR="00653F70" w:rsidRDefault="00767DAD" w:rsidP="00653F70">
      <w:pPr>
        <w:spacing w:line="360" w:lineRule="auto"/>
        <w:jc w:val="both"/>
        <w:rPr>
          <w:sz w:val="24"/>
        </w:rPr>
      </w:pPr>
      <w:r w:rsidRPr="00D5098D">
        <w:rPr>
          <w:sz w:val="24"/>
          <w:lang w:val="en-ZA"/>
        </w:rPr>
        <w:t>[1</w:t>
      </w:r>
      <w:r w:rsidR="001934C8" w:rsidRPr="00D5098D">
        <w:rPr>
          <w:sz w:val="24"/>
          <w:lang w:val="en-ZA"/>
        </w:rPr>
        <w:t>1</w:t>
      </w:r>
      <w:r w:rsidRPr="00D5098D">
        <w:rPr>
          <w:sz w:val="24"/>
          <w:lang w:val="en-ZA"/>
        </w:rPr>
        <w:t>]</w:t>
      </w:r>
      <w:r w:rsidRPr="00D5098D">
        <w:rPr>
          <w:sz w:val="24"/>
          <w:lang w:val="en-ZA"/>
        </w:rPr>
        <w:tab/>
      </w:r>
      <w:r w:rsidR="002359CA" w:rsidRPr="00D5098D">
        <w:rPr>
          <w:sz w:val="24"/>
        </w:rPr>
        <w:t>On 10 May 2004</w:t>
      </w:r>
      <w:r w:rsidR="00D10F8C" w:rsidRPr="00D5098D">
        <w:rPr>
          <w:sz w:val="24"/>
        </w:rPr>
        <w:t>,</w:t>
      </w:r>
      <w:r w:rsidR="002359CA" w:rsidRPr="00D5098D">
        <w:rPr>
          <w:sz w:val="24"/>
        </w:rPr>
        <w:t xml:space="preserve"> the department accepted the FSR, and when doing so advised that, having considered the four sites, the EIA phase of the project should ‘proceed for the two top ranking sites, namely Kalbaskraal and Atlantis’.</w:t>
      </w:r>
    </w:p>
    <w:p w14:paraId="28D0D22B" w14:textId="77777777" w:rsidR="0048653A" w:rsidRPr="00D5098D" w:rsidRDefault="0048653A" w:rsidP="00653F70">
      <w:pPr>
        <w:spacing w:line="360" w:lineRule="auto"/>
        <w:jc w:val="both"/>
        <w:rPr>
          <w:sz w:val="24"/>
        </w:rPr>
      </w:pPr>
    </w:p>
    <w:p w14:paraId="1AFB8645" w14:textId="46D9E4CF" w:rsidR="002359CA" w:rsidRPr="00D5098D" w:rsidRDefault="00767DAD" w:rsidP="00653F70">
      <w:pPr>
        <w:spacing w:line="360" w:lineRule="auto"/>
        <w:jc w:val="both"/>
        <w:rPr>
          <w:sz w:val="24"/>
        </w:rPr>
      </w:pPr>
      <w:r w:rsidRPr="00D5098D">
        <w:rPr>
          <w:sz w:val="24"/>
          <w:lang w:val="en-ZA"/>
        </w:rPr>
        <w:t>[1</w:t>
      </w:r>
      <w:r w:rsidR="001934C8" w:rsidRPr="00D5098D">
        <w:rPr>
          <w:sz w:val="24"/>
          <w:lang w:val="en-ZA"/>
        </w:rPr>
        <w:t>2</w:t>
      </w:r>
      <w:r w:rsidRPr="00D5098D">
        <w:rPr>
          <w:sz w:val="24"/>
          <w:lang w:val="en-ZA"/>
        </w:rPr>
        <w:t>]</w:t>
      </w:r>
      <w:r w:rsidRPr="00D5098D">
        <w:rPr>
          <w:sz w:val="24"/>
          <w:lang w:val="en-ZA"/>
        </w:rPr>
        <w:tab/>
      </w:r>
      <w:r w:rsidR="002359CA" w:rsidRPr="00D5098D">
        <w:rPr>
          <w:rFonts w:eastAsia="Calibri"/>
          <w:sz w:val="24"/>
          <w:lang w:val="en-ZA"/>
        </w:rPr>
        <w:t>On 23 January 2007</w:t>
      </w:r>
      <w:r w:rsidR="00D10F8C" w:rsidRPr="00D5098D">
        <w:rPr>
          <w:rFonts w:eastAsia="Calibri"/>
          <w:sz w:val="24"/>
          <w:lang w:val="en-ZA"/>
        </w:rPr>
        <w:t>,</w:t>
      </w:r>
      <w:r w:rsidR="002359CA" w:rsidRPr="00D5098D">
        <w:rPr>
          <w:rFonts w:eastAsia="Calibri"/>
          <w:sz w:val="24"/>
          <w:lang w:val="en-ZA"/>
        </w:rPr>
        <w:t xml:space="preserve"> CCA submitted to the department a Final Environmental Impact Assessment Report (the FEIR) relating to </w:t>
      </w:r>
      <w:r w:rsidR="002359CA" w:rsidRPr="00D5098D">
        <w:rPr>
          <w:rFonts w:eastAsia="Calibri"/>
          <w:sz w:val="24"/>
          <w:lang w:val="en-ZA" w:eastAsia="en-GB"/>
        </w:rPr>
        <w:t>the</w:t>
      </w:r>
      <w:r w:rsidR="002359CA" w:rsidRPr="00D5098D">
        <w:rPr>
          <w:rFonts w:eastAsia="Calibri"/>
          <w:sz w:val="24"/>
          <w:lang w:val="en-ZA"/>
        </w:rPr>
        <w:t xml:space="preserve"> Atlantis and</w:t>
      </w:r>
      <w:r w:rsidR="00EE467E" w:rsidRPr="00D5098D">
        <w:rPr>
          <w:rFonts w:eastAsia="Calibri"/>
          <w:sz w:val="24"/>
          <w:lang w:val="en-ZA"/>
        </w:rPr>
        <w:t xml:space="preserve"> </w:t>
      </w:r>
      <w:r w:rsidR="002359CA" w:rsidRPr="00D5098D">
        <w:rPr>
          <w:rFonts w:eastAsia="Calibri"/>
          <w:sz w:val="24"/>
          <w:lang w:val="en-ZA"/>
        </w:rPr>
        <w:t>Kalbaskraal site</w:t>
      </w:r>
      <w:r w:rsidR="00EE467E" w:rsidRPr="00D5098D">
        <w:rPr>
          <w:rFonts w:eastAsia="Calibri"/>
          <w:sz w:val="24"/>
          <w:lang w:val="en-ZA"/>
        </w:rPr>
        <w:t>s respectively</w:t>
      </w:r>
      <w:r w:rsidR="002359CA" w:rsidRPr="00D5098D">
        <w:rPr>
          <w:rFonts w:eastAsia="Calibri"/>
          <w:sz w:val="24"/>
          <w:lang w:val="en-ZA"/>
        </w:rPr>
        <w:t>, which contained a comparative evaluation of the environmental impacts of a regional landfill at each of the two potential sites</w:t>
      </w:r>
      <w:r w:rsidR="00EE467E" w:rsidRPr="00D5098D">
        <w:rPr>
          <w:rFonts w:eastAsia="Calibri"/>
          <w:sz w:val="24"/>
          <w:lang w:val="en-ZA"/>
        </w:rPr>
        <w:t>. It also listed</w:t>
      </w:r>
      <w:r w:rsidR="002359CA" w:rsidRPr="00D5098D">
        <w:rPr>
          <w:rFonts w:eastAsia="Calibri"/>
          <w:sz w:val="24"/>
          <w:lang w:val="en-ZA"/>
        </w:rPr>
        <w:t xml:space="preserve"> the advantages and disadvantages of each of the sites</w:t>
      </w:r>
      <w:r w:rsidR="002359CA" w:rsidRPr="00D5098D">
        <w:rPr>
          <w:sz w:val="24"/>
        </w:rPr>
        <w:t>,</w:t>
      </w:r>
      <w:r w:rsidR="002359CA" w:rsidRPr="00D5098D">
        <w:rPr>
          <w:rFonts w:eastAsia="Calibri"/>
          <w:sz w:val="24"/>
          <w:lang w:val="en-ZA"/>
        </w:rPr>
        <w:t xml:space="preserve"> but no recommendation as to which of the two should be authorised</w:t>
      </w:r>
      <w:r w:rsidR="002359CA" w:rsidRPr="00D5098D">
        <w:rPr>
          <w:sz w:val="24"/>
        </w:rPr>
        <w:t>.</w:t>
      </w:r>
      <w:r w:rsidR="002359CA" w:rsidRPr="00D5098D">
        <w:rPr>
          <w:rFonts w:eastAsia="Calibri"/>
          <w:sz w:val="24"/>
          <w:lang w:val="en-ZA"/>
        </w:rPr>
        <w:t xml:space="preserve"> The choice of either site would require mitigation measures to be put in place. It was left to the decision-maker to weigh the various considerations and reach a conclusion as to which of the two sites was preferable</w:t>
      </w:r>
      <w:r w:rsidR="002359CA" w:rsidRPr="00D5098D">
        <w:rPr>
          <w:sz w:val="24"/>
        </w:rPr>
        <w:t>.</w:t>
      </w:r>
    </w:p>
    <w:p w14:paraId="3E5AC189" w14:textId="77777777" w:rsidR="00767DAD" w:rsidRPr="00D5098D" w:rsidRDefault="00767DAD" w:rsidP="003E1525">
      <w:pPr>
        <w:spacing w:line="360" w:lineRule="auto"/>
        <w:jc w:val="both"/>
        <w:rPr>
          <w:sz w:val="24"/>
          <w:lang w:val="en-ZA"/>
        </w:rPr>
      </w:pPr>
    </w:p>
    <w:p w14:paraId="3ABF6EA6" w14:textId="737329FF" w:rsidR="00C4099A" w:rsidRPr="00D5098D" w:rsidRDefault="00767DAD" w:rsidP="00C4099A">
      <w:pPr>
        <w:spacing w:line="360" w:lineRule="auto"/>
        <w:jc w:val="both"/>
        <w:rPr>
          <w:sz w:val="24"/>
        </w:rPr>
      </w:pPr>
      <w:r w:rsidRPr="00D5098D">
        <w:rPr>
          <w:sz w:val="24"/>
          <w:lang w:val="en-ZA"/>
        </w:rPr>
        <w:t>[1</w:t>
      </w:r>
      <w:r w:rsidR="001934C8" w:rsidRPr="00D5098D">
        <w:rPr>
          <w:sz w:val="24"/>
          <w:lang w:val="en-ZA"/>
        </w:rPr>
        <w:t>3</w:t>
      </w:r>
      <w:r w:rsidRPr="00D5098D">
        <w:rPr>
          <w:sz w:val="24"/>
          <w:lang w:val="en-ZA"/>
        </w:rPr>
        <w:t>]</w:t>
      </w:r>
      <w:r w:rsidRPr="00D5098D">
        <w:rPr>
          <w:sz w:val="24"/>
          <w:lang w:val="en-ZA"/>
        </w:rPr>
        <w:tab/>
      </w:r>
      <w:r w:rsidR="00C4099A" w:rsidRPr="00D5098D">
        <w:rPr>
          <w:sz w:val="24"/>
        </w:rPr>
        <w:t>On 16 July 2007</w:t>
      </w:r>
      <w:r w:rsidR="00DA75D8" w:rsidRPr="00D5098D">
        <w:rPr>
          <w:sz w:val="24"/>
        </w:rPr>
        <w:t>,</w:t>
      </w:r>
      <w:r w:rsidR="00C4099A" w:rsidRPr="00D5098D">
        <w:rPr>
          <w:sz w:val="24"/>
          <w:vertAlign w:val="superscript"/>
        </w:rPr>
        <w:t xml:space="preserve"> </w:t>
      </w:r>
      <w:r w:rsidR="00C4099A" w:rsidRPr="00D5098D">
        <w:rPr>
          <w:sz w:val="24"/>
        </w:rPr>
        <w:t>the Director</w:t>
      </w:r>
      <w:r w:rsidR="00B01C46" w:rsidRPr="00D5098D">
        <w:rPr>
          <w:sz w:val="24"/>
        </w:rPr>
        <w:t>: Integrated Environmental Management in the Department Environmental Affairs and Development Planning of the Western Cape Province</w:t>
      </w:r>
      <w:r w:rsidR="00C4099A" w:rsidRPr="00D5098D">
        <w:rPr>
          <w:sz w:val="24"/>
        </w:rPr>
        <w:t>, Mr Barnes, (the Director) acting under authority delegated by the MEC, granted the City an environmental authorisation in terms of s 22(3) for the establishment of the new regional landfill at the Atlantis site. In reaching that decision</w:t>
      </w:r>
      <w:r w:rsidR="00B01C46" w:rsidRPr="00D5098D">
        <w:rPr>
          <w:sz w:val="24"/>
        </w:rPr>
        <w:t>,</w:t>
      </w:r>
      <w:r w:rsidR="00C4099A" w:rsidRPr="00D5098D">
        <w:rPr>
          <w:sz w:val="24"/>
        </w:rPr>
        <w:t xml:space="preserve"> the Director: (a) </w:t>
      </w:r>
      <w:r w:rsidR="00C4099A" w:rsidRPr="00D5098D">
        <w:rPr>
          <w:sz w:val="24"/>
          <w:lang w:val="en-ZA"/>
        </w:rPr>
        <w:t>concluded that the ‘No-Go Option’ (ie the option of not proceeding with the establishment of a regional landfill site) was unacceptable given the expected volume of waste to be generated during the next 30 years; and</w:t>
      </w:r>
      <w:r w:rsidR="00C4099A" w:rsidRPr="00D5098D">
        <w:rPr>
          <w:sz w:val="24"/>
        </w:rPr>
        <w:t xml:space="preserve"> (b) considered the relative environmental impacts of a regional landfill on the Atlantis site and on the Kalbaskraal site, being ‘</w:t>
      </w:r>
      <w:r w:rsidR="00C4099A" w:rsidRPr="00D5098D">
        <w:rPr>
          <w:sz w:val="24"/>
          <w:lang w:val="en-ZA"/>
        </w:rPr>
        <w:t>the two alternative sites to be comparatively assessed</w:t>
      </w:r>
      <w:r w:rsidR="00C4099A" w:rsidRPr="00D5098D">
        <w:rPr>
          <w:sz w:val="24"/>
        </w:rPr>
        <w:t>’.</w:t>
      </w:r>
    </w:p>
    <w:p w14:paraId="5D04B3E4" w14:textId="77777777" w:rsidR="009423F6" w:rsidRPr="00D5098D" w:rsidRDefault="009423F6" w:rsidP="003E1525">
      <w:pPr>
        <w:spacing w:line="360" w:lineRule="auto"/>
        <w:jc w:val="both"/>
        <w:rPr>
          <w:sz w:val="24"/>
          <w:lang w:val="en-ZA"/>
        </w:rPr>
      </w:pPr>
    </w:p>
    <w:p w14:paraId="187606A6" w14:textId="77777777" w:rsidR="00653F70" w:rsidRPr="00D5098D" w:rsidRDefault="009423F6" w:rsidP="00653F70">
      <w:pPr>
        <w:spacing w:line="360" w:lineRule="auto"/>
        <w:jc w:val="both"/>
        <w:rPr>
          <w:rFonts w:eastAsia="Calibri"/>
          <w:sz w:val="24"/>
          <w:lang w:val="en-ZA"/>
        </w:rPr>
      </w:pPr>
      <w:r w:rsidRPr="00D5098D">
        <w:rPr>
          <w:sz w:val="24"/>
          <w:lang w:val="en-ZA"/>
        </w:rPr>
        <w:t>[1</w:t>
      </w:r>
      <w:r w:rsidR="001934C8" w:rsidRPr="00D5098D">
        <w:rPr>
          <w:sz w:val="24"/>
          <w:lang w:val="en-ZA"/>
        </w:rPr>
        <w:t>4</w:t>
      </w:r>
      <w:r w:rsidRPr="00D5098D">
        <w:rPr>
          <w:sz w:val="24"/>
          <w:lang w:val="en-ZA"/>
        </w:rPr>
        <w:t>]</w:t>
      </w:r>
      <w:r w:rsidRPr="00D5098D">
        <w:rPr>
          <w:sz w:val="24"/>
          <w:lang w:val="en-ZA"/>
        </w:rPr>
        <w:tab/>
      </w:r>
      <w:r w:rsidR="00C4099A" w:rsidRPr="00D5098D">
        <w:rPr>
          <w:rFonts w:eastAsia="Calibri"/>
          <w:sz w:val="24"/>
          <w:lang w:val="en-ZA"/>
        </w:rPr>
        <w:t>Thereafter</w:t>
      </w:r>
      <w:r w:rsidR="00633F95" w:rsidRPr="00D5098D">
        <w:rPr>
          <w:rFonts w:eastAsia="Calibri"/>
          <w:sz w:val="24"/>
          <w:lang w:val="en-ZA"/>
        </w:rPr>
        <w:t>,</w:t>
      </w:r>
      <w:r w:rsidR="00C4099A" w:rsidRPr="00D5098D">
        <w:rPr>
          <w:rFonts w:eastAsia="Calibri"/>
          <w:sz w:val="24"/>
          <w:lang w:val="en-ZA"/>
        </w:rPr>
        <w:t xml:space="preserve"> 348 appeals were lodged in terms of s 35(3) of the </w:t>
      </w:r>
      <w:r w:rsidR="00DC686C" w:rsidRPr="00D5098D">
        <w:rPr>
          <w:rFonts w:eastAsia="Calibri"/>
          <w:sz w:val="24"/>
          <w:lang w:val="en-ZA"/>
        </w:rPr>
        <w:t>ECA</w:t>
      </w:r>
      <w:r w:rsidR="00C4099A" w:rsidRPr="00D5098D">
        <w:rPr>
          <w:rFonts w:eastAsia="Calibri"/>
          <w:sz w:val="24"/>
          <w:lang w:val="en-ZA"/>
        </w:rPr>
        <w:t xml:space="preserve"> against the Director’s decision. On 23 July 2</w:t>
      </w:r>
      <w:r w:rsidR="005263CF" w:rsidRPr="00D5098D">
        <w:rPr>
          <w:rFonts w:eastAsia="Calibri"/>
          <w:sz w:val="24"/>
          <w:lang w:val="en-ZA"/>
        </w:rPr>
        <w:t>008 the erstwhile Mayor of the City</w:t>
      </w:r>
      <w:r w:rsidR="00C4099A" w:rsidRPr="00D5098D">
        <w:rPr>
          <w:rFonts w:eastAsia="Calibri"/>
          <w:sz w:val="24"/>
          <w:lang w:val="en-ZA"/>
        </w:rPr>
        <w:t xml:space="preserve"> wrote to the MEC stating that the City would like her, in dealing with the appeal, to review the decision that instructs the City to use only the Atlantis site, and to ‘leave open to the City the option of using the Kalbaskraal site’</w:t>
      </w:r>
      <w:r w:rsidR="00543643" w:rsidRPr="00D5098D">
        <w:rPr>
          <w:rFonts w:eastAsia="Calibri"/>
          <w:sz w:val="24"/>
          <w:lang w:val="en-ZA"/>
        </w:rPr>
        <w:t>.</w:t>
      </w:r>
    </w:p>
    <w:p w14:paraId="02E9D976" w14:textId="77777777" w:rsidR="00653F70" w:rsidRPr="00D5098D" w:rsidRDefault="00653F70" w:rsidP="00653F70">
      <w:pPr>
        <w:spacing w:line="360" w:lineRule="auto"/>
        <w:jc w:val="both"/>
        <w:rPr>
          <w:rFonts w:eastAsia="Calibri"/>
          <w:sz w:val="24"/>
          <w:lang w:val="en-ZA"/>
        </w:rPr>
      </w:pPr>
    </w:p>
    <w:p w14:paraId="4E91105B" w14:textId="1363692C" w:rsidR="00653F70" w:rsidRDefault="00E3225D" w:rsidP="00653F70">
      <w:pPr>
        <w:spacing w:line="360" w:lineRule="auto"/>
        <w:jc w:val="both"/>
        <w:rPr>
          <w:sz w:val="24"/>
        </w:rPr>
      </w:pPr>
      <w:r w:rsidRPr="00D5098D">
        <w:rPr>
          <w:rFonts w:eastAsia="Calibri"/>
          <w:sz w:val="24"/>
          <w:lang w:val="en-ZA"/>
        </w:rPr>
        <w:t>[1</w:t>
      </w:r>
      <w:r w:rsidR="001934C8" w:rsidRPr="00D5098D">
        <w:rPr>
          <w:rFonts w:eastAsia="Calibri"/>
          <w:sz w:val="24"/>
          <w:lang w:val="en-ZA"/>
        </w:rPr>
        <w:t>5</w:t>
      </w:r>
      <w:r w:rsidRPr="00D5098D">
        <w:rPr>
          <w:rFonts w:eastAsia="Calibri"/>
          <w:sz w:val="24"/>
          <w:lang w:val="en-ZA"/>
        </w:rPr>
        <w:t>]</w:t>
      </w:r>
      <w:r w:rsidRPr="00D5098D">
        <w:rPr>
          <w:rFonts w:eastAsia="Calibri"/>
          <w:sz w:val="24"/>
          <w:lang w:val="en-ZA"/>
        </w:rPr>
        <w:tab/>
        <w:t>On 7 April 2009</w:t>
      </w:r>
      <w:r w:rsidR="00DA75D8" w:rsidRPr="00D5098D">
        <w:rPr>
          <w:rFonts w:eastAsia="Calibri"/>
          <w:sz w:val="24"/>
          <w:lang w:val="en-ZA"/>
        </w:rPr>
        <w:t>,</w:t>
      </w:r>
      <w:r w:rsidRPr="00D5098D">
        <w:rPr>
          <w:rFonts w:eastAsia="Calibri"/>
          <w:sz w:val="24"/>
          <w:lang w:val="en-ZA"/>
        </w:rPr>
        <w:t xml:space="preserve"> the then MEC, Mr</w:t>
      </w:r>
      <w:r w:rsidRPr="00D5098D">
        <w:rPr>
          <w:sz w:val="24"/>
        </w:rPr>
        <w:t xml:space="preserve"> </w:t>
      </w:r>
      <w:r w:rsidRPr="00D5098D">
        <w:rPr>
          <w:rFonts w:eastAsia="Calibri"/>
          <w:sz w:val="24"/>
          <w:lang w:val="en-ZA"/>
        </w:rPr>
        <w:t>Uys, upheld the appeals and granted environmental authorisation for the establishment of the new regional landfill at the Kalbaskraal site</w:t>
      </w:r>
      <w:r w:rsidR="00FC5DA0" w:rsidRPr="00D5098D">
        <w:rPr>
          <w:rFonts w:eastAsia="Calibri"/>
          <w:sz w:val="24"/>
          <w:lang w:val="en-ZA"/>
        </w:rPr>
        <w:t xml:space="preserve"> (the first decision)</w:t>
      </w:r>
      <w:r w:rsidRPr="00D5098D">
        <w:rPr>
          <w:sz w:val="24"/>
        </w:rPr>
        <w:t>.</w:t>
      </w:r>
      <w:r w:rsidRPr="00D5098D">
        <w:rPr>
          <w:rFonts w:eastAsia="Calibri"/>
          <w:sz w:val="24"/>
          <w:lang w:val="en-ZA"/>
        </w:rPr>
        <w:t xml:space="preserve"> In determining the appeals</w:t>
      </w:r>
      <w:r w:rsidR="00633F95" w:rsidRPr="00D5098D">
        <w:rPr>
          <w:rFonts w:eastAsia="Calibri"/>
          <w:sz w:val="24"/>
          <w:lang w:val="en-ZA"/>
        </w:rPr>
        <w:t>,</w:t>
      </w:r>
      <w:r w:rsidRPr="00D5098D">
        <w:rPr>
          <w:rFonts w:eastAsia="Calibri"/>
          <w:sz w:val="24"/>
          <w:lang w:val="en-ZA"/>
        </w:rPr>
        <w:t xml:space="preserve"> the MEC considered the merits of both the Atlantis site and the Kalbaskraal site, as alternatives</w:t>
      </w:r>
      <w:r w:rsidRPr="00D5098D">
        <w:rPr>
          <w:sz w:val="24"/>
        </w:rPr>
        <w:t>.</w:t>
      </w:r>
    </w:p>
    <w:p w14:paraId="67C68AB8" w14:textId="77777777" w:rsidR="00C044FC" w:rsidRPr="00D5098D" w:rsidRDefault="00C044FC" w:rsidP="00653F70">
      <w:pPr>
        <w:spacing w:line="360" w:lineRule="auto"/>
        <w:jc w:val="both"/>
        <w:rPr>
          <w:sz w:val="24"/>
        </w:rPr>
      </w:pPr>
    </w:p>
    <w:p w14:paraId="2E2D5B96" w14:textId="77777777" w:rsidR="00653F70" w:rsidRPr="00D5098D" w:rsidRDefault="00E3225D" w:rsidP="00653F70">
      <w:pPr>
        <w:spacing w:line="360" w:lineRule="auto"/>
        <w:jc w:val="both"/>
        <w:rPr>
          <w:sz w:val="24"/>
        </w:rPr>
      </w:pPr>
      <w:r w:rsidRPr="00D5098D">
        <w:rPr>
          <w:sz w:val="24"/>
        </w:rPr>
        <w:t>[1</w:t>
      </w:r>
      <w:r w:rsidR="001934C8" w:rsidRPr="00D5098D">
        <w:rPr>
          <w:sz w:val="24"/>
        </w:rPr>
        <w:t>6</w:t>
      </w:r>
      <w:r w:rsidRPr="00D5098D">
        <w:rPr>
          <w:sz w:val="24"/>
        </w:rPr>
        <w:t>]</w:t>
      </w:r>
      <w:r w:rsidRPr="00D5098D">
        <w:rPr>
          <w:sz w:val="24"/>
        </w:rPr>
        <w:tab/>
      </w:r>
      <w:r w:rsidRPr="00D5098D">
        <w:rPr>
          <w:rFonts w:eastAsia="Calibri"/>
          <w:sz w:val="24"/>
          <w:lang w:val="en-ZA"/>
        </w:rPr>
        <w:t>On 25 September 2009</w:t>
      </w:r>
      <w:r w:rsidR="00360911" w:rsidRPr="00D5098D">
        <w:rPr>
          <w:rFonts w:eastAsia="Calibri"/>
          <w:sz w:val="24"/>
          <w:lang w:val="en-ZA"/>
        </w:rPr>
        <w:t>,</w:t>
      </w:r>
      <w:r w:rsidRPr="00D5098D">
        <w:rPr>
          <w:rFonts w:eastAsia="Calibri"/>
          <w:sz w:val="24"/>
          <w:lang w:val="en-ZA"/>
        </w:rPr>
        <w:t xml:space="preserve"> the </w:t>
      </w:r>
      <w:r w:rsidR="00360911" w:rsidRPr="00D5098D">
        <w:rPr>
          <w:rFonts w:eastAsia="Calibri"/>
          <w:sz w:val="24"/>
          <w:lang w:val="en-ZA"/>
        </w:rPr>
        <w:t>a</w:t>
      </w:r>
      <w:r w:rsidRPr="00D5098D">
        <w:rPr>
          <w:rFonts w:eastAsia="Calibri"/>
          <w:sz w:val="24"/>
          <w:lang w:val="en-ZA"/>
        </w:rPr>
        <w:t xml:space="preserve">ppellants applied for judicial review of the MEC’s decision. Their grounds of review included </w:t>
      </w:r>
      <w:r w:rsidR="005263CF" w:rsidRPr="00D5098D">
        <w:rPr>
          <w:rFonts w:eastAsia="Calibri"/>
          <w:sz w:val="24"/>
          <w:lang w:val="en-ZA"/>
        </w:rPr>
        <w:t>t</w:t>
      </w:r>
      <w:r w:rsidRPr="00D5098D">
        <w:rPr>
          <w:rFonts w:eastAsia="Calibri"/>
          <w:sz w:val="24"/>
          <w:lang w:val="en-ZA"/>
        </w:rPr>
        <w:t>he</w:t>
      </w:r>
      <w:r w:rsidR="00DF331F" w:rsidRPr="00D5098D">
        <w:rPr>
          <w:rFonts w:eastAsia="Calibri"/>
          <w:sz w:val="24"/>
          <w:lang w:val="en-ZA"/>
        </w:rPr>
        <w:t xml:space="preserve"> allegation that the</w:t>
      </w:r>
      <w:r w:rsidR="005263CF" w:rsidRPr="00D5098D">
        <w:rPr>
          <w:rFonts w:eastAsia="Calibri"/>
          <w:sz w:val="24"/>
          <w:lang w:val="en-ZA"/>
        </w:rPr>
        <w:t xml:space="preserve"> MEC</w:t>
      </w:r>
      <w:r w:rsidRPr="00D5098D">
        <w:rPr>
          <w:rFonts w:eastAsia="Calibri"/>
          <w:sz w:val="24"/>
          <w:lang w:val="en-ZA"/>
        </w:rPr>
        <w:t xml:space="preserve"> had acted in a procedurally unfair manner because they were not given any prior notice of the possibility of his authorising the establishment of the landfill at the Kalbaskraal site</w:t>
      </w:r>
      <w:r w:rsidRPr="00D5098D">
        <w:rPr>
          <w:sz w:val="24"/>
        </w:rPr>
        <w:t>.</w:t>
      </w:r>
    </w:p>
    <w:p w14:paraId="1D1F4BE2" w14:textId="77777777" w:rsidR="00653F70" w:rsidRPr="00D5098D" w:rsidRDefault="00653F70" w:rsidP="00653F70">
      <w:pPr>
        <w:spacing w:line="360" w:lineRule="auto"/>
        <w:jc w:val="both"/>
        <w:rPr>
          <w:sz w:val="24"/>
        </w:rPr>
      </w:pPr>
    </w:p>
    <w:p w14:paraId="54AECE07" w14:textId="6FE95529" w:rsidR="00653F70" w:rsidRPr="00D5098D" w:rsidRDefault="00A72709" w:rsidP="00653F70">
      <w:pPr>
        <w:spacing w:line="360" w:lineRule="auto"/>
        <w:jc w:val="both"/>
        <w:rPr>
          <w:sz w:val="24"/>
        </w:rPr>
      </w:pPr>
      <w:r w:rsidRPr="00D5098D">
        <w:rPr>
          <w:sz w:val="24"/>
        </w:rPr>
        <w:t>[1</w:t>
      </w:r>
      <w:r w:rsidR="001934C8" w:rsidRPr="00D5098D">
        <w:rPr>
          <w:sz w:val="24"/>
        </w:rPr>
        <w:t>7</w:t>
      </w:r>
      <w:r w:rsidRPr="00D5098D">
        <w:rPr>
          <w:sz w:val="24"/>
        </w:rPr>
        <w:t>]</w:t>
      </w:r>
      <w:r w:rsidRPr="00D5098D">
        <w:rPr>
          <w:sz w:val="24"/>
        </w:rPr>
        <w:tab/>
      </w:r>
      <w:r w:rsidRPr="00D5098D">
        <w:rPr>
          <w:rFonts w:eastAsia="Calibri"/>
          <w:sz w:val="24"/>
          <w:lang w:val="en-ZA"/>
        </w:rPr>
        <w:t>On 16 October 2009</w:t>
      </w:r>
      <w:r w:rsidR="00360911" w:rsidRPr="00D5098D">
        <w:rPr>
          <w:rFonts w:eastAsia="Calibri"/>
          <w:sz w:val="24"/>
          <w:lang w:val="en-ZA"/>
        </w:rPr>
        <w:t>,</w:t>
      </w:r>
      <w:r w:rsidRPr="00D5098D">
        <w:rPr>
          <w:rFonts w:eastAsia="Calibri"/>
          <w:sz w:val="24"/>
          <w:lang w:val="en-ZA"/>
        </w:rPr>
        <w:t xml:space="preserve"> the City conceded the review on the ground that the MEC’s decision was procedurally unfair because</w:t>
      </w:r>
      <w:r w:rsidR="00827F28">
        <w:rPr>
          <w:rFonts w:eastAsia="Calibri"/>
          <w:sz w:val="24"/>
          <w:lang w:val="en-ZA"/>
        </w:rPr>
        <w:t xml:space="preserve"> the MEC</w:t>
      </w:r>
      <w:r w:rsidRPr="00D5098D">
        <w:rPr>
          <w:rFonts w:eastAsia="Calibri"/>
          <w:sz w:val="24"/>
          <w:lang w:val="en-ZA"/>
        </w:rPr>
        <w:t xml:space="preserve"> ought to have informed all the registered interested and affected parties (the I&amp;APs)  that he was contemplating authorising the establishment of the regional landfill at the Kalbaskraal site instead of at the Atlantis site and outlined the reasons why he was doing so, so that the I&amp;A</w:t>
      </w:r>
      <w:r w:rsidR="00827F28" w:rsidRPr="00D5098D">
        <w:rPr>
          <w:rFonts w:eastAsia="Calibri"/>
          <w:sz w:val="24"/>
          <w:lang w:val="en-ZA"/>
        </w:rPr>
        <w:t>p</w:t>
      </w:r>
      <w:r w:rsidRPr="00D5098D">
        <w:rPr>
          <w:rFonts w:eastAsia="Calibri"/>
          <w:sz w:val="24"/>
          <w:lang w:val="en-ZA"/>
        </w:rPr>
        <w:t>s</w:t>
      </w:r>
      <w:r w:rsidR="00827F28">
        <w:rPr>
          <w:rFonts w:eastAsia="Calibri"/>
          <w:sz w:val="24"/>
          <w:lang w:val="en-ZA"/>
        </w:rPr>
        <w:t>,</w:t>
      </w:r>
      <w:r w:rsidRPr="00D5098D">
        <w:rPr>
          <w:rFonts w:eastAsia="Calibri"/>
          <w:sz w:val="24"/>
          <w:lang w:val="en-ZA"/>
        </w:rPr>
        <w:t xml:space="preserve"> who would be adversely affected</w:t>
      </w:r>
      <w:r w:rsidR="00827F28">
        <w:rPr>
          <w:rFonts w:eastAsia="Calibri"/>
          <w:sz w:val="24"/>
          <w:lang w:val="en-ZA"/>
        </w:rPr>
        <w:t>,</w:t>
      </w:r>
      <w:r w:rsidRPr="00D5098D">
        <w:rPr>
          <w:rFonts w:eastAsia="Calibri"/>
          <w:sz w:val="24"/>
          <w:lang w:val="en-ZA"/>
        </w:rPr>
        <w:t xml:space="preserve"> could make representations to him regarding his intended decision and the reasons for it</w:t>
      </w:r>
      <w:r w:rsidRPr="00D5098D">
        <w:rPr>
          <w:sz w:val="24"/>
        </w:rPr>
        <w:t>.</w:t>
      </w:r>
    </w:p>
    <w:p w14:paraId="5122D3D5" w14:textId="77777777" w:rsidR="00653F70" w:rsidRPr="00D5098D" w:rsidRDefault="00653F70" w:rsidP="00653F70">
      <w:pPr>
        <w:spacing w:line="360" w:lineRule="auto"/>
        <w:jc w:val="both"/>
        <w:rPr>
          <w:sz w:val="24"/>
        </w:rPr>
      </w:pPr>
    </w:p>
    <w:p w14:paraId="402584CB" w14:textId="77777777" w:rsidR="00360911" w:rsidRPr="00D5098D" w:rsidRDefault="00A72709" w:rsidP="00360911">
      <w:pPr>
        <w:spacing w:line="360" w:lineRule="auto"/>
        <w:jc w:val="both"/>
        <w:rPr>
          <w:rFonts w:eastAsia="Calibri"/>
          <w:sz w:val="24"/>
          <w:lang w:val="en-ZA"/>
        </w:rPr>
      </w:pPr>
      <w:r w:rsidRPr="00D5098D">
        <w:rPr>
          <w:sz w:val="24"/>
        </w:rPr>
        <w:t>[1</w:t>
      </w:r>
      <w:r w:rsidR="001934C8" w:rsidRPr="00D5098D">
        <w:rPr>
          <w:sz w:val="24"/>
        </w:rPr>
        <w:t>8</w:t>
      </w:r>
      <w:r w:rsidRPr="00D5098D">
        <w:rPr>
          <w:sz w:val="24"/>
        </w:rPr>
        <w:t>]</w:t>
      </w:r>
      <w:r w:rsidRPr="00D5098D">
        <w:rPr>
          <w:sz w:val="24"/>
        </w:rPr>
        <w:tab/>
      </w:r>
      <w:r w:rsidRPr="00D5098D">
        <w:rPr>
          <w:rFonts w:eastAsia="Calibri"/>
          <w:sz w:val="24"/>
          <w:lang w:val="en-ZA"/>
        </w:rPr>
        <w:t xml:space="preserve">After the exchange of correspondence between the parties regarding the terms of the referral of the first decision to the MEC, on 5 January 2010, by agreement between the parties, a rule </w:t>
      </w:r>
      <w:r w:rsidRPr="00D5098D">
        <w:rPr>
          <w:rFonts w:eastAsia="Calibri"/>
          <w:i/>
          <w:sz w:val="24"/>
          <w:lang w:val="en-ZA"/>
        </w:rPr>
        <w:t>nisi</w:t>
      </w:r>
      <w:r w:rsidRPr="00D5098D">
        <w:rPr>
          <w:rFonts w:eastAsia="Calibri"/>
          <w:sz w:val="24"/>
          <w:lang w:val="en-ZA"/>
        </w:rPr>
        <w:t xml:space="preserve"> was issued calling upon all interested parties to show cause on 20 April 2010 why the following order should not be made</w:t>
      </w:r>
      <w:r w:rsidRPr="00D5098D">
        <w:rPr>
          <w:sz w:val="24"/>
        </w:rPr>
        <w:t>:</w:t>
      </w:r>
    </w:p>
    <w:p w14:paraId="7A644798" w14:textId="77777777" w:rsidR="00A72709" w:rsidRPr="00D5098D" w:rsidRDefault="00A72709" w:rsidP="00360911">
      <w:pPr>
        <w:spacing w:line="360" w:lineRule="auto"/>
        <w:jc w:val="both"/>
        <w:rPr>
          <w:rFonts w:eastAsia="Calibri"/>
          <w:sz w:val="24"/>
          <w:lang w:val="en-ZA"/>
        </w:rPr>
      </w:pPr>
      <w:r w:rsidRPr="00D5098D">
        <w:rPr>
          <w:rFonts w:eastAsia="Calibri"/>
          <w:sz w:val="22"/>
          <w:szCs w:val="22"/>
          <w:lang w:val="en-ZA"/>
        </w:rPr>
        <w:t>‘1.1</w:t>
      </w:r>
      <w:r w:rsidRPr="00D5098D">
        <w:rPr>
          <w:rFonts w:eastAsia="Calibri"/>
          <w:sz w:val="22"/>
          <w:szCs w:val="22"/>
          <w:lang w:val="en-ZA"/>
        </w:rPr>
        <w:tab/>
        <w:t xml:space="preserve">The decision taken on 7 April 2009 by the First Respondent [the MEC] in terms of sections 22(3) and 35(4) of the </w:t>
      </w:r>
      <w:bookmarkStart w:id="4" w:name="_Hlk100325312"/>
      <w:r w:rsidRPr="00D5098D">
        <w:rPr>
          <w:rFonts w:eastAsia="Calibri"/>
          <w:sz w:val="22"/>
          <w:szCs w:val="22"/>
          <w:lang w:val="en-ZA"/>
        </w:rPr>
        <w:t xml:space="preserve">Environment Conservation Act 73 of 1989 </w:t>
      </w:r>
      <w:bookmarkEnd w:id="4"/>
      <w:r w:rsidRPr="00D5098D">
        <w:rPr>
          <w:rFonts w:eastAsia="Calibri"/>
          <w:sz w:val="22"/>
          <w:szCs w:val="22"/>
          <w:lang w:val="en-ZA"/>
        </w:rPr>
        <w:t>(hereinafter “the ECA”):</w:t>
      </w:r>
    </w:p>
    <w:p w14:paraId="741B88FA" w14:textId="77777777" w:rsidR="00A72709" w:rsidRPr="00D5098D" w:rsidRDefault="00A72709" w:rsidP="00A72709">
      <w:pPr>
        <w:spacing w:before="240" w:line="360" w:lineRule="auto"/>
        <w:jc w:val="both"/>
        <w:rPr>
          <w:rFonts w:eastAsia="Calibri"/>
          <w:sz w:val="22"/>
          <w:szCs w:val="22"/>
          <w:lang w:val="en-ZA"/>
        </w:rPr>
      </w:pPr>
      <w:r w:rsidRPr="00D5098D">
        <w:rPr>
          <w:rFonts w:eastAsia="Calibri"/>
          <w:sz w:val="22"/>
          <w:szCs w:val="22"/>
          <w:lang w:val="en-ZA"/>
        </w:rPr>
        <w:t>1.1.1</w:t>
      </w:r>
      <w:r w:rsidRPr="00D5098D">
        <w:rPr>
          <w:rFonts w:eastAsia="Calibri"/>
          <w:sz w:val="22"/>
          <w:szCs w:val="22"/>
          <w:lang w:val="en-ZA"/>
        </w:rPr>
        <w:tab/>
      </w:r>
      <w:bookmarkStart w:id="5" w:name="_Ref244650666"/>
      <w:r w:rsidRPr="00D5098D">
        <w:rPr>
          <w:rFonts w:eastAsia="Calibri"/>
          <w:sz w:val="22"/>
          <w:szCs w:val="22"/>
          <w:lang w:val="en-ZA"/>
        </w:rPr>
        <w:t>upholding appeals in terms of section 35(3) of the ECA against the decision by the Director: Integrated Environmental Management (Region B) in the Western Cape Department of Environmental Affairs and Development Planning (hereinafter “the Director”) on 16 July 2007 to authorise the establishment of a new regional landfill site and associated infrastructure to service the City of Cape Town (hereinafter “the new regional landfill”) on Portion 1 of the Farm Brakkefontein, No. 32 (known as “Donkergat”), located approximately 40km north of Cape Town, approximately 3.6km north-east of Duynefontein, approximately 6.5km south of Atlantis, approximately 5.5km south of the Witsand informal settlement and approximately 7km west of the N7 national road, hereinafter “the Atlantis site”; and</w:t>
      </w:r>
      <w:bookmarkEnd w:id="5"/>
    </w:p>
    <w:p w14:paraId="5F62DB46" w14:textId="77777777" w:rsidR="007C0013" w:rsidRPr="00D5098D" w:rsidRDefault="00A72709" w:rsidP="00A72709">
      <w:pPr>
        <w:spacing w:before="240" w:line="360" w:lineRule="auto"/>
        <w:jc w:val="both"/>
        <w:rPr>
          <w:rFonts w:eastAsia="Calibri"/>
          <w:sz w:val="22"/>
          <w:szCs w:val="22"/>
          <w:lang w:val="en-ZA"/>
        </w:rPr>
      </w:pPr>
      <w:r w:rsidRPr="00D5098D">
        <w:rPr>
          <w:rFonts w:eastAsia="Calibri"/>
          <w:sz w:val="22"/>
          <w:szCs w:val="22"/>
          <w:lang w:val="en-ZA"/>
        </w:rPr>
        <w:t>1.1.2</w:t>
      </w:r>
      <w:r w:rsidRPr="00D5098D">
        <w:rPr>
          <w:rFonts w:eastAsia="Calibri"/>
          <w:sz w:val="22"/>
          <w:szCs w:val="22"/>
          <w:lang w:val="en-ZA"/>
        </w:rPr>
        <w:tab/>
        <w:t>replacing the Director’s decision with a decision in terms of section 22(3) of the ECA authorising the establishment of the new regional landfill on the alternative site, being Portions 2, 10 and 13 of the farm Munniks Dam and a portion of farm 1098 (together known as “Bottelfontein”) located approximately 50km north-east of Cape Town, approximately 20km south of Malmesbury, approximately 8km east of Philadelphia, approximately 7km south of Kalbaskraal, approximately 5km north of Klipheuwel and approximately 10km east of the N7 national road, hereinafter “the Kalbaskraal site”,</w:t>
      </w:r>
    </w:p>
    <w:p w14:paraId="6E830164" w14:textId="77777777" w:rsidR="00A72709" w:rsidRPr="00D5098D" w:rsidRDefault="00A72709" w:rsidP="00A72709">
      <w:pPr>
        <w:spacing w:before="240" w:line="360" w:lineRule="auto"/>
        <w:jc w:val="both"/>
        <w:rPr>
          <w:rFonts w:eastAsia="Calibri"/>
          <w:sz w:val="22"/>
          <w:szCs w:val="22"/>
          <w:lang w:val="en-ZA"/>
        </w:rPr>
      </w:pPr>
      <w:r w:rsidRPr="00D5098D">
        <w:rPr>
          <w:rFonts w:eastAsia="Calibri"/>
          <w:sz w:val="22"/>
          <w:szCs w:val="22"/>
          <w:lang w:val="en-ZA"/>
        </w:rPr>
        <w:t>is reviewed and set aside.</w:t>
      </w:r>
    </w:p>
    <w:p w14:paraId="32D947EC" w14:textId="77777777" w:rsidR="00653F70" w:rsidRPr="00D5098D" w:rsidRDefault="00A72709" w:rsidP="00653F70">
      <w:pPr>
        <w:spacing w:before="240" w:line="360" w:lineRule="auto"/>
        <w:jc w:val="both"/>
        <w:rPr>
          <w:rFonts w:eastAsia="Calibri"/>
          <w:sz w:val="22"/>
          <w:szCs w:val="22"/>
          <w:lang w:val="en-ZA"/>
        </w:rPr>
      </w:pPr>
      <w:r w:rsidRPr="00D5098D">
        <w:rPr>
          <w:rFonts w:eastAsia="Calibri"/>
          <w:sz w:val="22"/>
          <w:szCs w:val="22"/>
          <w:lang w:val="en-ZA"/>
        </w:rPr>
        <w:t>1.2</w:t>
      </w:r>
      <w:r w:rsidRPr="00D5098D">
        <w:rPr>
          <w:rFonts w:eastAsia="Calibri"/>
          <w:sz w:val="22"/>
          <w:szCs w:val="22"/>
          <w:lang w:val="en-ZA"/>
        </w:rPr>
        <w:tab/>
        <w:t>The said appeals are referred back to the First Respondent for reconsideration.’</w:t>
      </w:r>
    </w:p>
    <w:p w14:paraId="54A90678" w14:textId="77777777" w:rsidR="00653F70" w:rsidRPr="00D5098D" w:rsidRDefault="00D321DC" w:rsidP="00653F70">
      <w:pPr>
        <w:spacing w:before="240" w:line="360" w:lineRule="auto"/>
        <w:jc w:val="both"/>
        <w:rPr>
          <w:rFonts w:eastAsia="Calibri"/>
          <w:sz w:val="24"/>
          <w:lang w:val="en-ZA"/>
        </w:rPr>
      </w:pPr>
      <w:r w:rsidRPr="00D5098D">
        <w:rPr>
          <w:rFonts w:eastAsia="Calibri"/>
          <w:sz w:val="24"/>
          <w:lang w:val="en-ZA"/>
        </w:rPr>
        <w:t>[</w:t>
      </w:r>
      <w:r w:rsidR="001934C8" w:rsidRPr="00D5098D">
        <w:rPr>
          <w:rFonts w:eastAsia="Calibri"/>
          <w:sz w:val="24"/>
          <w:lang w:val="en-ZA"/>
        </w:rPr>
        <w:t>19</w:t>
      </w:r>
      <w:r w:rsidRPr="00D5098D">
        <w:rPr>
          <w:rFonts w:eastAsia="Calibri"/>
          <w:sz w:val="24"/>
          <w:lang w:val="en-ZA"/>
        </w:rPr>
        <w:t>]</w:t>
      </w:r>
      <w:r w:rsidRPr="00D5098D">
        <w:rPr>
          <w:rFonts w:eastAsia="Calibri"/>
          <w:sz w:val="24"/>
          <w:lang w:val="en-ZA"/>
        </w:rPr>
        <w:tab/>
        <w:t>On 11 May 2010</w:t>
      </w:r>
      <w:r w:rsidR="00360911" w:rsidRPr="00D5098D">
        <w:rPr>
          <w:rFonts w:eastAsia="Calibri"/>
          <w:sz w:val="24"/>
          <w:lang w:val="en-ZA"/>
        </w:rPr>
        <w:t>,</w:t>
      </w:r>
      <w:r w:rsidRPr="00D5098D">
        <w:rPr>
          <w:rFonts w:eastAsia="Calibri"/>
          <w:sz w:val="24"/>
          <w:lang w:val="en-ZA"/>
        </w:rPr>
        <w:t xml:space="preserve"> the rule </w:t>
      </w:r>
      <w:r w:rsidRPr="00D5098D">
        <w:rPr>
          <w:rFonts w:eastAsia="Calibri"/>
          <w:i/>
          <w:sz w:val="24"/>
          <w:lang w:val="en-ZA"/>
        </w:rPr>
        <w:t>nisi</w:t>
      </w:r>
      <w:r w:rsidRPr="00D5098D">
        <w:rPr>
          <w:rFonts w:eastAsia="Calibri"/>
          <w:sz w:val="24"/>
          <w:lang w:val="en-ZA"/>
        </w:rPr>
        <w:t xml:space="preserve"> was made final, thus setting aside the first decision, and remitting the appeals to the MEC for reconsideration</w:t>
      </w:r>
      <w:r w:rsidRPr="00D5098D">
        <w:rPr>
          <w:sz w:val="24"/>
        </w:rPr>
        <w:t>.</w:t>
      </w:r>
      <w:bookmarkStart w:id="6" w:name="_Ref74928668"/>
      <w:r w:rsidR="00A6397A" w:rsidRPr="00D5098D">
        <w:rPr>
          <w:rFonts w:eastAsia="Calibri"/>
          <w:sz w:val="24"/>
          <w:lang w:val="en-ZA"/>
        </w:rPr>
        <w:t xml:space="preserve"> </w:t>
      </w:r>
      <w:r w:rsidRPr="00D5098D">
        <w:rPr>
          <w:rFonts w:eastAsia="Calibri"/>
          <w:sz w:val="24"/>
          <w:lang w:val="en-ZA"/>
        </w:rPr>
        <w:t xml:space="preserve">In due course a comprehensive supplementary </w:t>
      </w:r>
      <w:r w:rsidR="007C0013" w:rsidRPr="00D5098D">
        <w:rPr>
          <w:rFonts w:eastAsia="Calibri"/>
          <w:sz w:val="24"/>
          <w:lang w:val="en-ZA"/>
        </w:rPr>
        <w:t>EIA</w:t>
      </w:r>
      <w:r w:rsidRPr="00D5098D">
        <w:rPr>
          <w:rFonts w:eastAsia="Calibri"/>
          <w:sz w:val="24"/>
          <w:lang w:val="en-ZA"/>
        </w:rPr>
        <w:t xml:space="preserve"> and public participation process was undertaken to ensure that updated specialist input from the various experts and further comment by I&amp;APs in relation to the establishment of the regional landfill site on the Atlantis site or the Kalbaskraal site would be placed before the MEC with a view to his taking a fresh decision.</w:t>
      </w:r>
      <w:bookmarkEnd w:id="6"/>
    </w:p>
    <w:p w14:paraId="736A0C59" w14:textId="77777777" w:rsidR="00653F70" w:rsidRPr="00D5098D" w:rsidRDefault="00D321DC" w:rsidP="00653F70">
      <w:pPr>
        <w:spacing w:before="240" w:line="360" w:lineRule="auto"/>
        <w:jc w:val="both"/>
        <w:rPr>
          <w:sz w:val="24"/>
        </w:rPr>
      </w:pPr>
      <w:r w:rsidRPr="00D5098D">
        <w:rPr>
          <w:sz w:val="24"/>
        </w:rPr>
        <w:t>[2</w:t>
      </w:r>
      <w:r w:rsidR="001934C8" w:rsidRPr="00D5098D">
        <w:rPr>
          <w:sz w:val="24"/>
        </w:rPr>
        <w:t>0</w:t>
      </w:r>
      <w:r w:rsidRPr="00D5098D">
        <w:rPr>
          <w:sz w:val="24"/>
        </w:rPr>
        <w:t>]</w:t>
      </w:r>
      <w:r w:rsidRPr="00D5098D">
        <w:rPr>
          <w:sz w:val="24"/>
        </w:rPr>
        <w:tab/>
      </w:r>
      <w:r w:rsidRPr="00D5098D">
        <w:rPr>
          <w:rFonts w:eastAsia="Calibri"/>
          <w:sz w:val="24"/>
        </w:rPr>
        <w:t xml:space="preserve">On </w:t>
      </w:r>
      <w:r w:rsidRPr="00D5098D">
        <w:rPr>
          <w:rFonts w:eastAsia="Calibri"/>
          <w:sz w:val="24"/>
          <w:lang w:val="en-ZA"/>
        </w:rPr>
        <w:t>14 November 2012</w:t>
      </w:r>
      <w:r w:rsidR="00360911" w:rsidRPr="00D5098D">
        <w:rPr>
          <w:rFonts w:eastAsia="Calibri"/>
          <w:sz w:val="24"/>
          <w:lang w:val="en-ZA"/>
        </w:rPr>
        <w:t>,</w:t>
      </w:r>
      <w:r w:rsidRPr="00D5098D">
        <w:rPr>
          <w:rFonts w:eastAsia="Calibri"/>
          <w:sz w:val="24"/>
          <w:lang w:val="en-ZA"/>
        </w:rPr>
        <w:t xml:space="preserve"> CCA submitted and advertised for public comment a final supplementary environmental impact report (</w:t>
      </w:r>
      <w:r w:rsidR="00DF331F" w:rsidRPr="00D5098D">
        <w:rPr>
          <w:rFonts w:eastAsia="Calibri"/>
          <w:sz w:val="24"/>
          <w:lang w:val="en-ZA"/>
        </w:rPr>
        <w:t>F</w:t>
      </w:r>
      <w:r w:rsidRPr="00D5098D">
        <w:rPr>
          <w:rFonts w:eastAsia="Calibri"/>
          <w:sz w:val="24"/>
          <w:lang w:val="en-ZA"/>
        </w:rPr>
        <w:t>SEIR)</w:t>
      </w:r>
      <w:r w:rsidRPr="00D5098D">
        <w:rPr>
          <w:sz w:val="24"/>
        </w:rPr>
        <w:t>,</w:t>
      </w:r>
      <w:r w:rsidR="00A6397A" w:rsidRPr="00D5098D">
        <w:rPr>
          <w:rFonts w:eastAsia="Calibri"/>
          <w:sz w:val="24"/>
          <w:lang w:val="en-ZA"/>
        </w:rPr>
        <w:t xml:space="preserve"> </w:t>
      </w:r>
      <w:r w:rsidRPr="00D5098D">
        <w:rPr>
          <w:rFonts w:eastAsia="Calibri"/>
          <w:sz w:val="24"/>
          <w:lang w:val="en-ZA"/>
        </w:rPr>
        <w:t>containing updated information about both sites including updated assessments of the environmental impacts of the regional landfill on each of them, and recommending that one or the other be approved as the site for the landfill. The FSEIR contained a section dealing with the advantages and disadvantages in relation to each site</w:t>
      </w:r>
      <w:r w:rsidRPr="00D5098D">
        <w:rPr>
          <w:sz w:val="24"/>
        </w:rPr>
        <w:t>.</w:t>
      </w:r>
      <w:r w:rsidRPr="00D5098D">
        <w:rPr>
          <w:rFonts w:eastAsia="Calibri"/>
          <w:sz w:val="24"/>
          <w:lang w:val="en-ZA"/>
        </w:rPr>
        <w:t xml:space="preserve"> As before, the FSEIR did not contain a recommendation as to which site was preferable. In the section headed ‘Reasoned Opinion on Authorisation’ it argued strongly against the alternative of not going ahead with the establishment of a new regional landfill site, ie in favour of authorising its establishment on either the Atlantis site or the Kalbaskraal site</w:t>
      </w:r>
      <w:r w:rsidRPr="00D5098D">
        <w:rPr>
          <w:sz w:val="24"/>
        </w:rPr>
        <w:t>.</w:t>
      </w:r>
    </w:p>
    <w:p w14:paraId="46689B9B" w14:textId="241F1E2A" w:rsidR="002C4236" w:rsidRPr="00D5098D" w:rsidRDefault="00D321DC" w:rsidP="00653F70">
      <w:pPr>
        <w:spacing w:before="240" w:line="360" w:lineRule="auto"/>
        <w:jc w:val="both"/>
        <w:rPr>
          <w:sz w:val="24"/>
        </w:rPr>
      </w:pPr>
      <w:r w:rsidRPr="00D5098D">
        <w:rPr>
          <w:sz w:val="24"/>
        </w:rPr>
        <w:t>[2</w:t>
      </w:r>
      <w:r w:rsidR="001934C8" w:rsidRPr="00D5098D">
        <w:rPr>
          <w:sz w:val="24"/>
        </w:rPr>
        <w:t>1</w:t>
      </w:r>
      <w:r w:rsidRPr="00D5098D">
        <w:rPr>
          <w:sz w:val="24"/>
        </w:rPr>
        <w:t>]</w:t>
      </w:r>
      <w:r w:rsidRPr="00D5098D">
        <w:rPr>
          <w:sz w:val="24"/>
        </w:rPr>
        <w:tab/>
      </w:r>
      <w:bookmarkStart w:id="7" w:name="_Ref74928673"/>
      <w:r w:rsidR="00A6257E" w:rsidRPr="00D5098D">
        <w:rPr>
          <w:rFonts w:eastAsia="Calibri"/>
          <w:sz w:val="24"/>
          <w:lang w:val="en-ZA"/>
        </w:rPr>
        <w:t>On 25 January 2013</w:t>
      </w:r>
      <w:r w:rsidR="00360911" w:rsidRPr="00D5098D">
        <w:rPr>
          <w:rFonts w:eastAsia="Calibri"/>
          <w:sz w:val="24"/>
          <w:lang w:val="en-ZA"/>
        </w:rPr>
        <w:t>, the</w:t>
      </w:r>
      <w:r w:rsidR="00A6257E" w:rsidRPr="00D5098D">
        <w:rPr>
          <w:rFonts w:eastAsia="Calibri"/>
          <w:sz w:val="24"/>
          <w:lang w:val="en-ZA"/>
        </w:rPr>
        <w:t xml:space="preserve"> attorneys for the first appellant submitted comments to CCA regarding the FSEIR and specialist reports</w:t>
      </w:r>
      <w:r w:rsidR="00A6257E" w:rsidRPr="00D5098D">
        <w:rPr>
          <w:sz w:val="24"/>
        </w:rPr>
        <w:t>.</w:t>
      </w:r>
      <w:bookmarkEnd w:id="7"/>
      <w:r w:rsidR="00A6257E" w:rsidRPr="00D5098D">
        <w:rPr>
          <w:sz w:val="24"/>
        </w:rPr>
        <w:t xml:space="preserve"> </w:t>
      </w:r>
      <w:r w:rsidR="00A6257E" w:rsidRPr="00D5098D">
        <w:rPr>
          <w:rFonts w:eastAsia="Calibri"/>
          <w:sz w:val="24"/>
          <w:lang w:val="en-ZA"/>
        </w:rPr>
        <w:t>On 31 August 2013</w:t>
      </w:r>
      <w:r w:rsidR="00360911" w:rsidRPr="00D5098D">
        <w:rPr>
          <w:rFonts w:eastAsia="Calibri"/>
          <w:sz w:val="24"/>
          <w:lang w:val="en-ZA"/>
        </w:rPr>
        <w:t>,</w:t>
      </w:r>
      <w:r w:rsidR="00A6257E" w:rsidRPr="00D5098D">
        <w:rPr>
          <w:rFonts w:eastAsia="Calibri"/>
          <w:sz w:val="24"/>
          <w:lang w:val="en-ZA"/>
        </w:rPr>
        <w:t xml:space="preserve"> the MEC</w:t>
      </w:r>
      <w:r w:rsidR="00B01C46" w:rsidRPr="00D5098D">
        <w:rPr>
          <w:rFonts w:eastAsia="Calibri"/>
          <w:sz w:val="24"/>
          <w:lang w:val="en-ZA"/>
        </w:rPr>
        <w:t>,</w:t>
      </w:r>
      <w:r w:rsidR="00A6257E" w:rsidRPr="00D5098D">
        <w:rPr>
          <w:rFonts w:eastAsia="Calibri"/>
          <w:sz w:val="24"/>
          <w:lang w:val="en-ZA"/>
        </w:rPr>
        <w:t xml:space="preserve"> acting in terms of s 35(3) and (4) of the ECA, again upheld the appeals against the Director’s decision and granted the City an environmental authorisation in terms of s 22 of the ECA for the establishment of the new regional landfill at the Kalbaskraal site</w:t>
      </w:r>
      <w:r w:rsidR="00FC5DA0" w:rsidRPr="00D5098D">
        <w:rPr>
          <w:rFonts w:eastAsia="Calibri"/>
          <w:sz w:val="24"/>
          <w:lang w:val="en-ZA"/>
        </w:rPr>
        <w:t xml:space="preserve"> (the second decision)</w:t>
      </w:r>
      <w:r w:rsidR="00A6257E" w:rsidRPr="00D5098D">
        <w:rPr>
          <w:rFonts w:eastAsia="Calibri"/>
          <w:sz w:val="24"/>
          <w:lang w:val="en-ZA"/>
        </w:rPr>
        <w:t>.</w:t>
      </w:r>
      <w:r w:rsidR="00641A3A" w:rsidRPr="00D5098D">
        <w:rPr>
          <w:sz w:val="24"/>
        </w:rPr>
        <w:t xml:space="preserve"> </w:t>
      </w:r>
      <w:r w:rsidR="00A6257E" w:rsidRPr="00D5098D">
        <w:rPr>
          <w:rFonts w:eastAsia="Calibri"/>
          <w:sz w:val="24"/>
          <w:lang w:val="en-ZA"/>
        </w:rPr>
        <w:t xml:space="preserve">Like the Director, the MEC considered and rejected the </w:t>
      </w:r>
      <w:r w:rsidR="00727C42" w:rsidRPr="00D5098D">
        <w:rPr>
          <w:rFonts w:eastAsia="Calibri"/>
          <w:sz w:val="24"/>
          <w:lang w:val="en-ZA"/>
        </w:rPr>
        <w:t>‘</w:t>
      </w:r>
      <w:r w:rsidR="00A6257E" w:rsidRPr="00D5098D">
        <w:rPr>
          <w:rFonts w:eastAsia="Calibri"/>
          <w:sz w:val="24"/>
          <w:lang w:val="en-ZA"/>
        </w:rPr>
        <w:t>No-Go Option</w:t>
      </w:r>
      <w:r w:rsidR="00727C42" w:rsidRPr="00D5098D">
        <w:rPr>
          <w:rFonts w:eastAsia="Calibri"/>
          <w:sz w:val="24"/>
          <w:lang w:val="en-ZA"/>
        </w:rPr>
        <w:t>’</w:t>
      </w:r>
      <w:r w:rsidR="00A6257E" w:rsidRPr="00D5098D">
        <w:rPr>
          <w:rFonts w:eastAsia="Calibri"/>
          <w:sz w:val="24"/>
          <w:lang w:val="en-ZA"/>
        </w:rPr>
        <w:t xml:space="preserve"> and undertook a detailed comparative assessment of the two sites</w:t>
      </w:r>
      <w:r w:rsidR="00A6257E" w:rsidRPr="00D5098D">
        <w:rPr>
          <w:sz w:val="24"/>
        </w:rPr>
        <w:t>.</w:t>
      </w:r>
    </w:p>
    <w:p w14:paraId="36266B17" w14:textId="31A8684D" w:rsidR="00A6257E" w:rsidRPr="00D5098D" w:rsidRDefault="00A6257E" w:rsidP="00653F70">
      <w:pPr>
        <w:spacing w:before="240" w:line="360" w:lineRule="auto"/>
        <w:jc w:val="both"/>
        <w:rPr>
          <w:rFonts w:eastAsia="Calibri"/>
          <w:sz w:val="24"/>
          <w:lang w:val="en-ZA"/>
        </w:rPr>
      </w:pPr>
      <w:r w:rsidRPr="00D5098D">
        <w:rPr>
          <w:sz w:val="24"/>
        </w:rPr>
        <w:t>[2</w:t>
      </w:r>
      <w:r w:rsidR="001934C8" w:rsidRPr="00D5098D">
        <w:rPr>
          <w:sz w:val="24"/>
        </w:rPr>
        <w:t>2</w:t>
      </w:r>
      <w:r w:rsidRPr="00D5098D">
        <w:rPr>
          <w:sz w:val="24"/>
        </w:rPr>
        <w:t>]</w:t>
      </w:r>
      <w:r w:rsidRPr="00D5098D">
        <w:rPr>
          <w:sz w:val="24"/>
        </w:rPr>
        <w:tab/>
        <w:t>As appears from his record of decision, the main reasons the MEC preferred the Kalbaskraal site over the Atlantis site were</w:t>
      </w:r>
      <w:r w:rsidR="00B01C46" w:rsidRPr="00D5098D">
        <w:rPr>
          <w:sz w:val="24"/>
        </w:rPr>
        <w:t xml:space="preserve"> outlined as follows</w:t>
      </w:r>
      <w:r w:rsidRPr="00D5098D">
        <w:rPr>
          <w:sz w:val="24"/>
        </w:rPr>
        <w:t>:</w:t>
      </w:r>
    </w:p>
    <w:p w14:paraId="7AE72CC4" w14:textId="77777777" w:rsidR="00A6257E" w:rsidRPr="00D5098D" w:rsidRDefault="00A6257E" w:rsidP="00497605">
      <w:pPr>
        <w:numPr>
          <w:ilvl w:val="1"/>
          <w:numId w:val="21"/>
        </w:numPr>
        <w:spacing w:after="160" w:line="360" w:lineRule="auto"/>
        <w:ind w:left="426" w:hanging="426"/>
        <w:jc w:val="both"/>
        <w:rPr>
          <w:rFonts w:eastAsia="Calibri"/>
          <w:sz w:val="24"/>
        </w:rPr>
      </w:pPr>
      <w:r w:rsidRPr="00D5098D">
        <w:rPr>
          <w:rFonts w:eastAsia="Calibri"/>
          <w:sz w:val="24"/>
          <w:lang w:val="en-ZA"/>
        </w:rPr>
        <w:t>the town of Atlantis was created by the Apartheid regime;</w:t>
      </w:r>
    </w:p>
    <w:p w14:paraId="11AD4C20" w14:textId="77777777" w:rsidR="00A6257E" w:rsidRPr="00D5098D" w:rsidRDefault="00A6257E" w:rsidP="00497605">
      <w:pPr>
        <w:numPr>
          <w:ilvl w:val="1"/>
          <w:numId w:val="21"/>
        </w:numPr>
        <w:spacing w:after="160" w:line="360" w:lineRule="auto"/>
        <w:ind w:left="426" w:hanging="426"/>
        <w:jc w:val="both"/>
        <w:rPr>
          <w:rFonts w:eastAsia="Calibri"/>
          <w:sz w:val="24"/>
        </w:rPr>
      </w:pPr>
      <w:r w:rsidRPr="00D5098D">
        <w:rPr>
          <w:rFonts w:eastAsia="Calibri"/>
          <w:sz w:val="24"/>
          <w:lang w:val="en-ZA"/>
        </w:rPr>
        <w:t>the Atlantis community has low social morale associated with its residents’ perception as the neglected stepchild of Cape Town where people have been ‘dumped’ over the years;</w:t>
      </w:r>
    </w:p>
    <w:p w14:paraId="404E10E9" w14:textId="77777777" w:rsidR="00A6257E" w:rsidRPr="00D5098D" w:rsidRDefault="00A6257E" w:rsidP="00497605">
      <w:pPr>
        <w:numPr>
          <w:ilvl w:val="1"/>
          <w:numId w:val="21"/>
        </w:numPr>
        <w:spacing w:after="160" w:line="360" w:lineRule="auto"/>
        <w:ind w:left="426" w:hanging="426"/>
        <w:jc w:val="both"/>
        <w:rPr>
          <w:rFonts w:eastAsia="Calibri"/>
          <w:sz w:val="24"/>
        </w:rPr>
      </w:pPr>
      <w:r w:rsidRPr="00D5098D">
        <w:rPr>
          <w:rFonts w:eastAsia="Calibri"/>
          <w:sz w:val="24"/>
        </w:rPr>
        <w:t>there was strong opposition to the proposed Atlantis site from the surrounding communities;</w:t>
      </w:r>
    </w:p>
    <w:p w14:paraId="0DEB97B5" w14:textId="77777777" w:rsidR="00A6257E" w:rsidRPr="00D5098D" w:rsidRDefault="00A6257E" w:rsidP="00497605">
      <w:pPr>
        <w:numPr>
          <w:ilvl w:val="1"/>
          <w:numId w:val="21"/>
        </w:numPr>
        <w:spacing w:after="160" w:line="360" w:lineRule="auto"/>
        <w:ind w:left="426" w:hanging="426"/>
        <w:jc w:val="both"/>
        <w:rPr>
          <w:rFonts w:eastAsia="Calibri"/>
          <w:sz w:val="24"/>
        </w:rPr>
      </w:pPr>
      <w:r w:rsidRPr="00D5098D">
        <w:rPr>
          <w:rFonts w:eastAsia="Calibri"/>
          <w:sz w:val="24"/>
          <w:lang w:val="en-ZA"/>
        </w:rPr>
        <w:t>the establishment of a regional landfill in the vicinity of Atlantis is likely to contribute to the community’s social self-perception as a ‘dumped’ unvalued community; and</w:t>
      </w:r>
    </w:p>
    <w:p w14:paraId="2227C529" w14:textId="77777777" w:rsidR="00497605" w:rsidRPr="00D5098D" w:rsidRDefault="00A6257E" w:rsidP="00497605">
      <w:pPr>
        <w:numPr>
          <w:ilvl w:val="1"/>
          <w:numId w:val="21"/>
        </w:numPr>
        <w:spacing w:after="160" w:line="360" w:lineRule="auto"/>
        <w:ind w:left="426" w:hanging="426"/>
        <w:jc w:val="both"/>
        <w:rPr>
          <w:rFonts w:eastAsia="Calibri"/>
          <w:sz w:val="24"/>
        </w:rPr>
      </w:pPr>
      <w:r w:rsidRPr="00D5098D">
        <w:rPr>
          <w:rFonts w:eastAsia="Calibri"/>
          <w:sz w:val="24"/>
          <w:lang w:val="en-ZA"/>
        </w:rPr>
        <w:t>this negative social impact is not associated with the Kalbaskraal site</w:t>
      </w:r>
      <w:r w:rsidR="002230A9" w:rsidRPr="00D5098D">
        <w:rPr>
          <w:rFonts w:eastAsia="Calibri"/>
          <w:sz w:val="24"/>
          <w:lang w:val="en-ZA"/>
        </w:rPr>
        <w:t>.</w:t>
      </w:r>
    </w:p>
    <w:p w14:paraId="6AC37788" w14:textId="77777777" w:rsidR="00653F70" w:rsidRPr="00D5098D" w:rsidRDefault="00653F70" w:rsidP="00653F70">
      <w:pPr>
        <w:pStyle w:val="ListParagraph"/>
        <w:spacing w:before="240" w:after="0" w:line="360" w:lineRule="auto"/>
        <w:ind w:left="0"/>
        <w:contextualSpacing w:val="0"/>
        <w:jc w:val="both"/>
        <w:rPr>
          <w:rFonts w:ascii="Arial" w:hAnsi="Arial"/>
          <w:sz w:val="24"/>
        </w:rPr>
      </w:pPr>
      <w:r w:rsidRPr="00D5098D">
        <w:rPr>
          <w:rFonts w:ascii="Arial" w:hAnsi="Arial"/>
          <w:sz w:val="24"/>
        </w:rPr>
        <w:t>[2</w:t>
      </w:r>
      <w:r w:rsidR="001934C8" w:rsidRPr="00D5098D">
        <w:rPr>
          <w:rFonts w:ascii="Arial" w:hAnsi="Arial"/>
          <w:sz w:val="24"/>
        </w:rPr>
        <w:t>3</w:t>
      </w:r>
      <w:r w:rsidRPr="00D5098D">
        <w:rPr>
          <w:rFonts w:ascii="Arial" w:hAnsi="Arial"/>
          <w:sz w:val="24"/>
        </w:rPr>
        <w:t>]</w:t>
      </w:r>
      <w:r w:rsidRPr="00D5098D">
        <w:rPr>
          <w:rFonts w:ascii="Arial" w:hAnsi="Arial"/>
          <w:sz w:val="24"/>
        </w:rPr>
        <w:tab/>
      </w:r>
      <w:r w:rsidR="00DF331F" w:rsidRPr="00D5098D">
        <w:rPr>
          <w:rFonts w:ascii="Arial" w:hAnsi="Arial"/>
          <w:sz w:val="24"/>
        </w:rPr>
        <w:t xml:space="preserve">Dissatisfied with the MEC’s decision the appellants, </w:t>
      </w:r>
      <w:r w:rsidR="00DF331F" w:rsidRPr="00D5098D">
        <w:rPr>
          <w:rFonts w:ascii="Arial" w:hAnsi="Arial"/>
          <w:sz w:val="24"/>
          <w:lang w:val="en-GB"/>
        </w:rPr>
        <w:t>o</w:t>
      </w:r>
      <w:r w:rsidRPr="00D5098D">
        <w:rPr>
          <w:rFonts w:ascii="Arial" w:hAnsi="Arial"/>
          <w:sz w:val="24"/>
          <w:lang w:val="en-GB"/>
        </w:rPr>
        <w:t>n 28 January 2014</w:t>
      </w:r>
      <w:r w:rsidR="002230A9" w:rsidRPr="00D5098D">
        <w:rPr>
          <w:rFonts w:ascii="Arial" w:hAnsi="Arial"/>
          <w:sz w:val="24"/>
          <w:lang w:val="en-GB"/>
        </w:rPr>
        <w:t>,</w:t>
      </w:r>
      <w:r w:rsidRPr="00D5098D">
        <w:rPr>
          <w:rFonts w:ascii="Arial" w:hAnsi="Arial"/>
          <w:sz w:val="24"/>
          <w:lang w:val="en-GB"/>
        </w:rPr>
        <w:t xml:space="preserve"> instituted proceedings for judicial review </w:t>
      </w:r>
      <w:r w:rsidRPr="00D5098D">
        <w:rPr>
          <w:rFonts w:ascii="Arial" w:hAnsi="Arial"/>
          <w:sz w:val="24"/>
        </w:rPr>
        <w:t xml:space="preserve">in the </w:t>
      </w:r>
      <w:r w:rsidR="002230A9" w:rsidRPr="00D5098D">
        <w:rPr>
          <w:rFonts w:ascii="Arial" w:hAnsi="Arial"/>
          <w:sz w:val="24"/>
        </w:rPr>
        <w:t>h</w:t>
      </w:r>
      <w:r w:rsidRPr="00D5098D">
        <w:rPr>
          <w:rFonts w:ascii="Arial" w:hAnsi="Arial"/>
          <w:sz w:val="24"/>
        </w:rPr>
        <w:t xml:space="preserve">igh </w:t>
      </w:r>
      <w:r w:rsidR="002230A9" w:rsidRPr="00D5098D">
        <w:rPr>
          <w:rFonts w:ascii="Arial" w:hAnsi="Arial"/>
          <w:sz w:val="24"/>
        </w:rPr>
        <w:t>c</w:t>
      </w:r>
      <w:r w:rsidRPr="00D5098D">
        <w:rPr>
          <w:rFonts w:ascii="Arial" w:hAnsi="Arial"/>
          <w:sz w:val="24"/>
        </w:rPr>
        <w:t>ourt in which they sought</w:t>
      </w:r>
      <w:r w:rsidR="00590044" w:rsidRPr="00D5098D">
        <w:rPr>
          <w:rFonts w:ascii="Arial" w:hAnsi="Arial"/>
          <w:sz w:val="24"/>
        </w:rPr>
        <w:t xml:space="preserve"> an order</w:t>
      </w:r>
      <w:r w:rsidR="002230A9" w:rsidRPr="00D5098D">
        <w:rPr>
          <w:rFonts w:ascii="Arial" w:hAnsi="Arial"/>
          <w:sz w:val="24"/>
        </w:rPr>
        <w:t>:</w:t>
      </w:r>
      <w:r w:rsidRPr="00D5098D">
        <w:rPr>
          <w:rFonts w:ascii="Arial" w:hAnsi="Arial"/>
          <w:sz w:val="24"/>
        </w:rPr>
        <w:t xml:space="preserve"> (a) reviewing and setting aside the MEC’s decision to grant the City an environmental authorisation in terms of s 22 of the ECA for the establishment of the new regional landfill at the Kalbaskraal site, </w:t>
      </w:r>
      <w:r w:rsidR="00590044" w:rsidRPr="00D5098D">
        <w:rPr>
          <w:rFonts w:ascii="Arial" w:hAnsi="Arial"/>
          <w:sz w:val="24"/>
        </w:rPr>
        <w:t>(b)</w:t>
      </w:r>
      <w:r w:rsidRPr="00D5098D">
        <w:rPr>
          <w:rFonts w:ascii="Arial" w:hAnsi="Arial"/>
          <w:sz w:val="24"/>
        </w:rPr>
        <w:t xml:space="preserve"> reviewi</w:t>
      </w:r>
      <w:r w:rsidR="00590044" w:rsidRPr="00D5098D">
        <w:rPr>
          <w:rFonts w:ascii="Arial" w:hAnsi="Arial"/>
          <w:sz w:val="24"/>
        </w:rPr>
        <w:t>ng and setting aside the MEC’s</w:t>
      </w:r>
      <w:r w:rsidRPr="00D5098D">
        <w:rPr>
          <w:rFonts w:ascii="Arial" w:hAnsi="Arial"/>
          <w:sz w:val="24"/>
        </w:rPr>
        <w:t xml:space="preserve"> decision to uphold the appeals against the Director’s decision granting the City an environmental authorisation for the establishment of the new regional landfill at the Atlantis site and</w:t>
      </w:r>
      <w:r w:rsidR="002230A9" w:rsidRPr="00D5098D">
        <w:rPr>
          <w:rFonts w:ascii="Arial" w:hAnsi="Arial"/>
          <w:sz w:val="24"/>
        </w:rPr>
        <w:t>,</w:t>
      </w:r>
      <w:r w:rsidRPr="00D5098D">
        <w:rPr>
          <w:rFonts w:ascii="Arial" w:hAnsi="Arial"/>
          <w:sz w:val="24"/>
        </w:rPr>
        <w:t xml:space="preserve"> </w:t>
      </w:r>
      <w:r w:rsidR="00590044" w:rsidRPr="00D5098D">
        <w:rPr>
          <w:rFonts w:ascii="Arial" w:hAnsi="Arial"/>
          <w:sz w:val="24"/>
        </w:rPr>
        <w:t xml:space="preserve">(c) </w:t>
      </w:r>
      <w:r w:rsidRPr="00D5098D">
        <w:rPr>
          <w:rFonts w:ascii="Arial" w:hAnsi="Arial"/>
          <w:sz w:val="24"/>
        </w:rPr>
        <w:t>remitting the appeals to the MEC for reconsideration.</w:t>
      </w:r>
    </w:p>
    <w:p w14:paraId="67CD7ABD" w14:textId="201018A2" w:rsidR="00A37089" w:rsidRPr="00D5098D" w:rsidRDefault="00653F70" w:rsidP="00A37089">
      <w:pPr>
        <w:pStyle w:val="ListParagraph"/>
        <w:spacing w:before="240" w:after="0" w:line="360" w:lineRule="auto"/>
        <w:ind w:left="0"/>
        <w:contextualSpacing w:val="0"/>
        <w:jc w:val="both"/>
        <w:rPr>
          <w:rFonts w:ascii="Arial" w:hAnsi="Arial"/>
          <w:sz w:val="24"/>
        </w:rPr>
      </w:pPr>
      <w:r w:rsidRPr="00D5098D">
        <w:rPr>
          <w:rFonts w:ascii="Arial" w:hAnsi="Arial"/>
          <w:sz w:val="24"/>
        </w:rPr>
        <w:t>[2</w:t>
      </w:r>
      <w:r w:rsidR="001934C8" w:rsidRPr="00D5098D">
        <w:rPr>
          <w:rFonts w:ascii="Arial" w:hAnsi="Arial"/>
          <w:sz w:val="24"/>
        </w:rPr>
        <w:t>4</w:t>
      </w:r>
      <w:r w:rsidRPr="00D5098D">
        <w:rPr>
          <w:rFonts w:ascii="Arial" w:hAnsi="Arial"/>
          <w:sz w:val="24"/>
        </w:rPr>
        <w:t>]</w:t>
      </w:r>
      <w:r w:rsidRPr="00D5098D">
        <w:rPr>
          <w:rFonts w:ascii="Arial" w:hAnsi="Arial"/>
          <w:sz w:val="24"/>
        </w:rPr>
        <w:tab/>
      </w:r>
      <w:r w:rsidR="00A37089" w:rsidRPr="00D5098D">
        <w:rPr>
          <w:rFonts w:ascii="Arial" w:hAnsi="Arial"/>
          <w:sz w:val="24"/>
          <w:lang w:val="en-GB"/>
        </w:rPr>
        <w:t xml:space="preserve">By agreement between the parties, </w:t>
      </w:r>
      <w:r w:rsidR="00A37089" w:rsidRPr="00D5098D">
        <w:rPr>
          <w:rFonts w:ascii="Arial" w:hAnsi="Arial"/>
          <w:sz w:val="24"/>
        </w:rPr>
        <w:t>on 29 April 2019, the high court reviewed and set aside the MEC’s decisions, referred the appeals back to the MEC for reconsideration and reserved for determi</w:t>
      </w:r>
      <w:r w:rsidR="00590044" w:rsidRPr="00D5098D">
        <w:rPr>
          <w:rFonts w:ascii="Arial" w:hAnsi="Arial"/>
          <w:sz w:val="24"/>
        </w:rPr>
        <w:t>nation and decision by the high court</w:t>
      </w:r>
      <w:r w:rsidR="00A37089" w:rsidRPr="00D5098D">
        <w:rPr>
          <w:rFonts w:ascii="Arial" w:hAnsi="Arial"/>
          <w:sz w:val="24"/>
        </w:rPr>
        <w:t xml:space="preserve"> </w:t>
      </w:r>
      <w:r w:rsidR="00590044" w:rsidRPr="00D5098D">
        <w:rPr>
          <w:rFonts w:ascii="Arial" w:hAnsi="Arial"/>
          <w:sz w:val="24"/>
        </w:rPr>
        <w:t>the issue set out</w:t>
      </w:r>
      <w:r w:rsidR="00A37089" w:rsidRPr="00D5098D">
        <w:rPr>
          <w:rFonts w:ascii="Arial" w:hAnsi="Arial"/>
          <w:sz w:val="24"/>
        </w:rPr>
        <w:t xml:space="preserve"> in </w:t>
      </w:r>
      <w:r w:rsidR="00590044" w:rsidRPr="00D5098D">
        <w:rPr>
          <w:rFonts w:ascii="Arial" w:hAnsi="Arial"/>
          <w:sz w:val="24"/>
        </w:rPr>
        <w:t>paragraph 2 of this judgment</w:t>
      </w:r>
      <w:r w:rsidR="00A37089" w:rsidRPr="00D5098D">
        <w:rPr>
          <w:rFonts w:ascii="Arial" w:hAnsi="Arial"/>
          <w:sz w:val="24"/>
        </w:rPr>
        <w:t>. As already stated, the high court in a judgment delivered on 17 June 2020 determined the reserved question in favour of the MEC and</w:t>
      </w:r>
      <w:r w:rsidR="00590044" w:rsidRPr="00D5098D">
        <w:rPr>
          <w:rFonts w:ascii="Arial" w:hAnsi="Arial"/>
          <w:sz w:val="24"/>
        </w:rPr>
        <w:t xml:space="preserve"> the City and</w:t>
      </w:r>
      <w:r w:rsidR="00A37089" w:rsidRPr="00D5098D">
        <w:rPr>
          <w:rFonts w:ascii="Arial" w:hAnsi="Arial"/>
          <w:sz w:val="24"/>
        </w:rPr>
        <w:t xml:space="preserve"> ordered the appellants to pay </w:t>
      </w:r>
      <w:r w:rsidR="00584471" w:rsidRPr="00D5098D">
        <w:rPr>
          <w:rFonts w:ascii="Arial" w:hAnsi="Arial"/>
          <w:sz w:val="24"/>
        </w:rPr>
        <w:t xml:space="preserve">the </w:t>
      </w:r>
      <w:r w:rsidR="00A37089" w:rsidRPr="00D5098D">
        <w:rPr>
          <w:rFonts w:ascii="Arial" w:hAnsi="Arial"/>
          <w:sz w:val="24"/>
        </w:rPr>
        <w:t xml:space="preserve">costs jointly and severally, including costs of two counsel. </w:t>
      </w:r>
    </w:p>
    <w:p w14:paraId="50EA98CC" w14:textId="77777777" w:rsidR="00A37089" w:rsidRPr="00D5098D" w:rsidRDefault="00A37089" w:rsidP="00A37089">
      <w:pPr>
        <w:pStyle w:val="ListParagraph"/>
        <w:spacing w:before="240" w:after="0" w:line="360" w:lineRule="auto"/>
        <w:ind w:left="0"/>
        <w:contextualSpacing w:val="0"/>
        <w:jc w:val="both"/>
        <w:rPr>
          <w:rFonts w:ascii="Arial" w:hAnsi="Arial"/>
          <w:sz w:val="24"/>
        </w:rPr>
      </w:pPr>
      <w:r w:rsidRPr="00D5098D">
        <w:rPr>
          <w:rFonts w:ascii="Arial" w:hAnsi="Arial"/>
          <w:sz w:val="24"/>
        </w:rPr>
        <w:t>[2</w:t>
      </w:r>
      <w:r w:rsidR="001934C8" w:rsidRPr="00D5098D">
        <w:rPr>
          <w:rFonts w:ascii="Arial" w:hAnsi="Arial"/>
          <w:sz w:val="24"/>
        </w:rPr>
        <w:t>5</w:t>
      </w:r>
      <w:r w:rsidRPr="00D5098D">
        <w:rPr>
          <w:rFonts w:ascii="Arial" w:hAnsi="Arial"/>
          <w:sz w:val="24"/>
        </w:rPr>
        <w:t>]</w:t>
      </w:r>
      <w:r w:rsidRPr="00D5098D">
        <w:rPr>
          <w:rFonts w:ascii="Arial" w:hAnsi="Arial"/>
          <w:sz w:val="24"/>
        </w:rPr>
        <w:tab/>
        <w:t>Before considering the appellants’ grounds of appeal it is necessary</w:t>
      </w:r>
      <w:r w:rsidR="003D2AD0" w:rsidRPr="00D5098D">
        <w:rPr>
          <w:rFonts w:ascii="Arial" w:hAnsi="Arial"/>
          <w:sz w:val="24"/>
        </w:rPr>
        <w:t>,</w:t>
      </w:r>
      <w:r w:rsidRPr="00D5098D">
        <w:rPr>
          <w:rFonts w:ascii="Arial" w:hAnsi="Arial"/>
          <w:sz w:val="24"/>
        </w:rPr>
        <w:t xml:space="preserve"> briefly</w:t>
      </w:r>
      <w:r w:rsidR="003D2AD0" w:rsidRPr="00D5098D">
        <w:rPr>
          <w:rFonts w:ascii="Arial" w:hAnsi="Arial"/>
          <w:sz w:val="24"/>
        </w:rPr>
        <w:t>,</w:t>
      </w:r>
      <w:r w:rsidRPr="00D5098D">
        <w:rPr>
          <w:rFonts w:ascii="Arial" w:hAnsi="Arial"/>
          <w:sz w:val="24"/>
        </w:rPr>
        <w:t xml:space="preserve"> to set out the applicable statutory provisions. The provisions that are relevant to the determination of this appeal are ss 21, 22, 33 and 35 of the ECA. Section 21(1) provides that the national Minister may</w:t>
      </w:r>
      <w:r w:rsidR="002230A9" w:rsidRPr="00D5098D">
        <w:rPr>
          <w:rFonts w:ascii="Arial" w:hAnsi="Arial"/>
          <w:sz w:val="24"/>
        </w:rPr>
        <w:t>,</w:t>
      </w:r>
      <w:r w:rsidRPr="00D5098D">
        <w:rPr>
          <w:rFonts w:ascii="Arial" w:hAnsi="Arial"/>
          <w:sz w:val="24"/>
        </w:rPr>
        <w:t xml:space="preserve"> by notice in the Government Gazette, identify those activities which in his or her opinion may have a substantial detrimental effect on the environment, whether in general or in respect of certain areas. It is common cause that the establishment and operation of the City’s proposed regional l</w:t>
      </w:r>
      <w:r w:rsidR="00DC686C" w:rsidRPr="00D5098D">
        <w:rPr>
          <w:rFonts w:ascii="Arial" w:hAnsi="Arial"/>
          <w:sz w:val="24"/>
        </w:rPr>
        <w:t xml:space="preserve">andfill site </w:t>
      </w:r>
      <w:r w:rsidR="00131753" w:rsidRPr="00D5098D">
        <w:rPr>
          <w:rFonts w:ascii="Arial" w:hAnsi="Arial"/>
          <w:sz w:val="24"/>
        </w:rPr>
        <w:t>will involve undertaking</w:t>
      </w:r>
      <w:r w:rsidR="00DC686C" w:rsidRPr="00D5098D">
        <w:rPr>
          <w:rFonts w:ascii="Arial" w:hAnsi="Arial"/>
          <w:sz w:val="24"/>
        </w:rPr>
        <w:t xml:space="preserve"> some of the identified activities in respect of</w:t>
      </w:r>
      <w:r w:rsidR="00131753" w:rsidRPr="00D5098D">
        <w:rPr>
          <w:rFonts w:ascii="Arial" w:hAnsi="Arial"/>
          <w:sz w:val="24"/>
        </w:rPr>
        <w:t xml:space="preserve"> which</w:t>
      </w:r>
      <w:r w:rsidR="00DC686C" w:rsidRPr="00D5098D">
        <w:rPr>
          <w:rFonts w:ascii="Arial" w:hAnsi="Arial"/>
          <w:sz w:val="24"/>
        </w:rPr>
        <w:t xml:space="preserve"> authorization will be required.</w:t>
      </w:r>
    </w:p>
    <w:p w14:paraId="52F4B8C7" w14:textId="5B285AE4" w:rsidR="00826F1E" w:rsidRPr="00D5098D" w:rsidRDefault="00A37089" w:rsidP="00826F1E">
      <w:pPr>
        <w:pStyle w:val="ListParagraph"/>
        <w:spacing w:before="240" w:after="0" w:line="360" w:lineRule="auto"/>
        <w:ind w:left="0"/>
        <w:contextualSpacing w:val="0"/>
        <w:jc w:val="both"/>
        <w:rPr>
          <w:rFonts w:ascii="Arial" w:hAnsi="Arial"/>
          <w:sz w:val="24"/>
        </w:rPr>
      </w:pPr>
      <w:r w:rsidRPr="00D5098D">
        <w:rPr>
          <w:rFonts w:ascii="Arial" w:hAnsi="Arial"/>
          <w:sz w:val="24"/>
        </w:rPr>
        <w:t>[2</w:t>
      </w:r>
      <w:r w:rsidR="001934C8" w:rsidRPr="00D5098D">
        <w:rPr>
          <w:rFonts w:ascii="Arial" w:hAnsi="Arial"/>
          <w:sz w:val="24"/>
        </w:rPr>
        <w:t>6</w:t>
      </w:r>
      <w:r w:rsidRPr="00D5098D">
        <w:rPr>
          <w:rFonts w:ascii="Arial" w:hAnsi="Arial"/>
          <w:sz w:val="24"/>
        </w:rPr>
        <w:t>]</w:t>
      </w:r>
      <w:r w:rsidRPr="00D5098D">
        <w:rPr>
          <w:rFonts w:ascii="Arial" w:hAnsi="Arial"/>
          <w:sz w:val="24"/>
        </w:rPr>
        <w:tab/>
      </w:r>
      <w:r w:rsidR="00826F1E" w:rsidRPr="00D5098D">
        <w:rPr>
          <w:rFonts w:ascii="Arial" w:hAnsi="Arial"/>
          <w:sz w:val="24"/>
        </w:rPr>
        <w:t>In broad terms</w:t>
      </w:r>
      <w:r w:rsidR="005654AC" w:rsidRPr="00D5098D">
        <w:rPr>
          <w:rFonts w:ascii="Arial" w:hAnsi="Arial"/>
          <w:sz w:val="24"/>
        </w:rPr>
        <w:t>,</w:t>
      </w:r>
      <w:r w:rsidR="00826F1E" w:rsidRPr="00D5098D">
        <w:rPr>
          <w:rFonts w:ascii="Arial" w:hAnsi="Arial"/>
          <w:sz w:val="24"/>
        </w:rPr>
        <w:t xml:space="preserve"> s 22(1) provides that no person shall undertake an activity identified in terms of s 21(1)</w:t>
      </w:r>
      <w:r w:rsidR="00497605" w:rsidRPr="00D5098D">
        <w:rPr>
          <w:rFonts w:ascii="Arial" w:hAnsi="Arial"/>
          <w:sz w:val="24"/>
        </w:rPr>
        <w:t>,</w:t>
      </w:r>
      <w:r w:rsidR="00826F1E" w:rsidRPr="00D5098D">
        <w:rPr>
          <w:rFonts w:ascii="Arial" w:hAnsi="Arial"/>
          <w:sz w:val="24"/>
        </w:rPr>
        <w:t xml:space="preserve"> or cause such an activity to be undertaken</w:t>
      </w:r>
      <w:r w:rsidR="002230A9" w:rsidRPr="00D5098D">
        <w:rPr>
          <w:rFonts w:ascii="Arial" w:hAnsi="Arial"/>
          <w:sz w:val="24"/>
        </w:rPr>
        <w:t>,</w:t>
      </w:r>
      <w:r w:rsidR="00826F1E" w:rsidRPr="00D5098D">
        <w:rPr>
          <w:rFonts w:ascii="Arial" w:hAnsi="Arial"/>
          <w:sz w:val="24"/>
        </w:rPr>
        <w:t xml:space="preserve"> except by virtue of a written authorisation issued by the national Minister or by a competent authority designated by the national Minister.  It is common cause</w:t>
      </w:r>
      <w:r w:rsidR="005654AC" w:rsidRPr="00D5098D">
        <w:rPr>
          <w:rFonts w:ascii="Arial" w:hAnsi="Arial"/>
          <w:sz w:val="24"/>
        </w:rPr>
        <w:t xml:space="preserve"> that</w:t>
      </w:r>
      <w:r w:rsidR="00826F1E" w:rsidRPr="00D5098D">
        <w:rPr>
          <w:rFonts w:ascii="Arial" w:hAnsi="Arial"/>
          <w:sz w:val="24"/>
        </w:rPr>
        <w:t xml:space="preserve"> the MEC is the competent authority in the Western Cape Province.</w:t>
      </w:r>
      <w:r w:rsidR="000711BB" w:rsidRPr="00D5098D">
        <w:rPr>
          <w:rFonts w:ascii="Arial" w:hAnsi="Arial"/>
          <w:sz w:val="24"/>
        </w:rPr>
        <w:t xml:space="preserve"> Section 22(2) provides that an authorisation under s 22(1) shall only be issued after reports concerning the impact of the proposed activity and of alternative proposed activities on the environment have been complied with and submitted to the decision-maker.</w:t>
      </w:r>
    </w:p>
    <w:p w14:paraId="11618F00" w14:textId="133438A0" w:rsidR="00826F1E" w:rsidRPr="00D5098D" w:rsidRDefault="00826F1E" w:rsidP="00826F1E">
      <w:pPr>
        <w:pStyle w:val="ListParagraph"/>
        <w:spacing w:before="240" w:after="0" w:line="360" w:lineRule="auto"/>
        <w:ind w:left="0"/>
        <w:contextualSpacing w:val="0"/>
        <w:jc w:val="both"/>
        <w:rPr>
          <w:rFonts w:ascii="Arial" w:hAnsi="Arial"/>
          <w:sz w:val="24"/>
        </w:rPr>
      </w:pPr>
      <w:r w:rsidRPr="00D5098D">
        <w:rPr>
          <w:rFonts w:ascii="Arial" w:hAnsi="Arial"/>
          <w:sz w:val="24"/>
        </w:rPr>
        <w:t>[2</w:t>
      </w:r>
      <w:r w:rsidR="000711BB" w:rsidRPr="00D5098D">
        <w:rPr>
          <w:rFonts w:ascii="Arial" w:hAnsi="Arial"/>
          <w:sz w:val="24"/>
        </w:rPr>
        <w:t>7</w:t>
      </w:r>
      <w:r w:rsidRPr="00D5098D">
        <w:rPr>
          <w:rFonts w:ascii="Arial" w:hAnsi="Arial"/>
          <w:sz w:val="24"/>
        </w:rPr>
        <w:t>]</w:t>
      </w:r>
      <w:r w:rsidRPr="00D5098D">
        <w:rPr>
          <w:rFonts w:ascii="Arial" w:hAnsi="Arial"/>
          <w:sz w:val="24"/>
        </w:rPr>
        <w:tab/>
        <w:t>Section 22(3) states that the Minister or competent authority may, in his or her discretion, refuse or grant the authorisation for the proposed activity or an alternative proposed activity on such conditions, if any, as he or she may deem necessary. Section 33(1)</w:t>
      </w:r>
      <w:r w:rsidR="00FB1C29" w:rsidRPr="00D5098D">
        <w:rPr>
          <w:rFonts w:ascii="Arial" w:hAnsi="Arial"/>
          <w:sz w:val="24"/>
        </w:rPr>
        <w:t>,</w:t>
      </w:r>
      <w:r w:rsidRPr="00D5098D">
        <w:rPr>
          <w:rFonts w:ascii="Arial" w:hAnsi="Arial"/>
          <w:sz w:val="24"/>
        </w:rPr>
        <w:t xml:space="preserve"> which deals with delegation</w:t>
      </w:r>
      <w:r w:rsidR="005654AC" w:rsidRPr="00D5098D">
        <w:rPr>
          <w:rFonts w:ascii="Arial" w:hAnsi="Arial"/>
          <w:sz w:val="24"/>
        </w:rPr>
        <w:t xml:space="preserve"> of powers</w:t>
      </w:r>
      <w:r w:rsidR="00FB1C29" w:rsidRPr="00D5098D">
        <w:rPr>
          <w:rFonts w:ascii="Arial" w:hAnsi="Arial"/>
          <w:sz w:val="24"/>
        </w:rPr>
        <w:t>,</w:t>
      </w:r>
      <w:r w:rsidRPr="00D5098D">
        <w:rPr>
          <w:rFonts w:ascii="Arial" w:hAnsi="Arial"/>
          <w:sz w:val="24"/>
        </w:rPr>
        <w:t xml:space="preserve"> provides that the MEC may delegate the powers conferred on him or her under the ECA to any officer or employee of the provincial administration.</w:t>
      </w:r>
      <w:r w:rsidR="00C71935" w:rsidRPr="00D5098D">
        <w:rPr>
          <w:rFonts w:ascii="Arial" w:hAnsi="Arial"/>
          <w:sz w:val="24"/>
        </w:rPr>
        <w:t xml:space="preserve"> In the instant matter the MEC delegated his powers to the Director.</w:t>
      </w:r>
    </w:p>
    <w:p w14:paraId="66B7AB45" w14:textId="77777777" w:rsidR="00826F1E" w:rsidRPr="00D5098D" w:rsidRDefault="00826F1E" w:rsidP="00826F1E">
      <w:pPr>
        <w:pStyle w:val="ListParagraph"/>
        <w:spacing w:before="240" w:after="0" w:line="360" w:lineRule="auto"/>
        <w:ind w:left="0"/>
        <w:contextualSpacing w:val="0"/>
        <w:jc w:val="both"/>
        <w:rPr>
          <w:rFonts w:ascii="Arial" w:hAnsi="Arial"/>
          <w:sz w:val="24"/>
        </w:rPr>
      </w:pPr>
      <w:r w:rsidRPr="00D5098D">
        <w:rPr>
          <w:rFonts w:ascii="Arial" w:hAnsi="Arial"/>
          <w:sz w:val="24"/>
        </w:rPr>
        <w:t>[</w:t>
      </w:r>
      <w:r w:rsidR="001934C8" w:rsidRPr="00D5098D">
        <w:rPr>
          <w:rFonts w:ascii="Arial" w:hAnsi="Arial"/>
          <w:sz w:val="24"/>
        </w:rPr>
        <w:t>2</w:t>
      </w:r>
      <w:r w:rsidR="000711BB" w:rsidRPr="00D5098D">
        <w:rPr>
          <w:rFonts w:ascii="Arial" w:hAnsi="Arial"/>
          <w:sz w:val="24"/>
        </w:rPr>
        <w:t>8</w:t>
      </w:r>
      <w:r w:rsidRPr="00D5098D">
        <w:rPr>
          <w:rFonts w:ascii="Arial" w:hAnsi="Arial"/>
          <w:sz w:val="24"/>
        </w:rPr>
        <w:t>]</w:t>
      </w:r>
      <w:r w:rsidRPr="00D5098D">
        <w:rPr>
          <w:rFonts w:ascii="Arial" w:hAnsi="Arial"/>
          <w:sz w:val="24"/>
        </w:rPr>
        <w:tab/>
        <w:t xml:space="preserve">Section 35(3) provides that any person who feels aggrieved </w:t>
      </w:r>
      <w:r w:rsidR="00FC5DA0" w:rsidRPr="00D5098D">
        <w:rPr>
          <w:rFonts w:ascii="Arial" w:hAnsi="Arial"/>
          <w:sz w:val="24"/>
        </w:rPr>
        <w:t>at</w:t>
      </w:r>
      <w:r w:rsidRPr="00D5098D">
        <w:rPr>
          <w:rFonts w:ascii="Arial" w:hAnsi="Arial"/>
          <w:sz w:val="24"/>
        </w:rPr>
        <w:t xml:space="preserve"> a decision of an officer or employee of the provincial administration exercising any power delegated to them in terms of the ECA by the MEC, may appeal against such decision to the MEC. Section 35(4) provides that the MEC ‘…may, after considering such an appeal, confirm, set aside or vary the decision of the officer or employee or make such order as he may deem fit…’.</w:t>
      </w:r>
    </w:p>
    <w:p w14:paraId="2F325FB7" w14:textId="699477B7" w:rsidR="00826F1E" w:rsidRPr="00D5098D" w:rsidRDefault="00826F1E" w:rsidP="00826F1E">
      <w:pPr>
        <w:pStyle w:val="ListParagraph"/>
        <w:spacing w:before="240" w:after="0" w:line="360" w:lineRule="auto"/>
        <w:ind w:left="0"/>
        <w:contextualSpacing w:val="0"/>
        <w:jc w:val="both"/>
        <w:rPr>
          <w:rFonts w:ascii="Arial" w:hAnsi="Arial"/>
          <w:sz w:val="24"/>
        </w:rPr>
      </w:pPr>
      <w:r w:rsidRPr="00D5098D">
        <w:rPr>
          <w:rFonts w:ascii="Arial" w:hAnsi="Arial"/>
          <w:sz w:val="24"/>
        </w:rPr>
        <w:t>[</w:t>
      </w:r>
      <w:r w:rsidR="000711BB" w:rsidRPr="00D5098D">
        <w:rPr>
          <w:rFonts w:ascii="Arial" w:hAnsi="Arial"/>
          <w:sz w:val="24"/>
        </w:rPr>
        <w:t>29</w:t>
      </w:r>
      <w:r w:rsidRPr="00D5098D">
        <w:rPr>
          <w:rFonts w:ascii="Arial" w:hAnsi="Arial"/>
          <w:sz w:val="24"/>
        </w:rPr>
        <w:t>]</w:t>
      </w:r>
      <w:r w:rsidRPr="00D5098D">
        <w:rPr>
          <w:rFonts w:ascii="Arial" w:hAnsi="Arial"/>
          <w:sz w:val="24"/>
        </w:rPr>
        <w:tab/>
        <w:t>The appellants raise</w:t>
      </w:r>
      <w:r w:rsidR="00286EC3" w:rsidRPr="00D5098D">
        <w:rPr>
          <w:rFonts w:ascii="Arial" w:hAnsi="Arial"/>
          <w:sz w:val="24"/>
        </w:rPr>
        <w:t>d</w:t>
      </w:r>
      <w:r w:rsidRPr="00D5098D">
        <w:rPr>
          <w:rFonts w:ascii="Arial" w:hAnsi="Arial"/>
          <w:sz w:val="24"/>
        </w:rPr>
        <w:t xml:space="preserve"> two main issues concerning the interpretation of these provisions. The first</w:t>
      </w:r>
      <w:r w:rsidR="00793C93">
        <w:rPr>
          <w:rFonts w:ascii="Arial" w:hAnsi="Arial"/>
          <w:sz w:val="24"/>
        </w:rPr>
        <w:t>,</w:t>
      </w:r>
      <w:r w:rsidRPr="00D5098D">
        <w:rPr>
          <w:rFonts w:ascii="Arial" w:hAnsi="Arial"/>
          <w:sz w:val="24"/>
        </w:rPr>
        <w:t xml:space="preserve"> is whether the same activity (establishment of a new regional landfill) proposed at different locations is an alternative proposed activity contemplated by s</w:t>
      </w:r>
      <w:r w:rsidR="00BD6407" w:rsidRPr="00D5098D">
        <w:rPr>
          <w:rFonts w:ascii="Arial" w:hAnsi="Arial"/>
          <w:sz w:val="24"/>
        </w:rPr>
        <w:t>s</w:t>
      </w:r>
      <w:r w:rsidRPr="00D5098D">
        <w:rPr>
          <w:rFonts w:ascii="Arial" w:hAnsi="Arial"/>
          <w:sz w:val="24"/>
        </w:rPr>
        <w:t xml:space="preserve"> 22(2) and (3) (the section 22 point). The second is whether, when determining an appeal in terms of s 35(3) and (4), the MEC may step into the shoes of the first-instance decision-maker (in this case the Director) and take any decision which the Director could have taken, or conversely</w:t>
      </w:r>
      <w:r w:rsidR="002230A9" w:rsidRPr="00D5098D">
        <w:rPr>
          <w:rFonts w:ascii="Arial" w:hAnsi="Arial"/>
          <w:sz w:val="24"/>
        </w:rPr>
        <w:t>,</w:t>
      </w:r>
      <w:r w:rsidRPr="00D5098D">
        <w:rPr>
          <w:rFonts w:ascii="Arial" w:hAnsi="Arial"/>
          <w:sz w:val="24"/>
        </w:rPr>
        <w:t xml:space="preserve"> whether when the MEC upholds an appeal he or she must remit the matter to the Director for a fresh decision (the section 35 point). </w:t>
      </w:r>
    </w:p>
    <w:p w14:paraId="3A8ECDAA" w14:textId="132F92D5" w:rsidR="002E6C0F" w:rsidRPr="00D5098D" w:rsidRDefault="002E6C0F" w:rsidP="00826F1E">
      <w:pPr>
        <w:pStyle w:val="ListParagraph"/>
        <w:spacing w:before="240" w:after="0" w:line="360" w:lineRule="auto"/>
        <w:ind w:left="0"/>
        <w:contextualSpacing w:val="0"/>
        <w:jc w:val="both"/>
        <w:rPr>
          <w:rFonts w:ascii="Arial" w:hAnsi="Arial"/>
          <w:sz w:val="24"/>
        </w:rPr>
      </w:pPr>
      <w:r w:rsidRPr="00D5098D">
        <w:rPr>
          <w:rFonts w:ascii="Arial" w:hAnsi="Arial"/>
          <w:sz w:val="24"/>
        </w:rPr>
        <w:t>[3</w:t>
      </w:r>
      <w:r w:rsidR="000711BB" w:rsidRPr="00D5098D">
        <w:rPr>
          <w:rFonts w:ascii="Arial" w:hAnsi="Arial"/>
          <w:sz w:val="24"/>
        </w:rPr>
        <w:t>0</w:t>
      </w:r>
      <w:r w:rsidRPr="00D5098D">
        <w:rPr>
          <w:rFonts w:ascii="Arial" w:hAnsi="Arial"/>
          <w:sz w:val="24"/>
        </w:rPr>
        <w:t>]</w:t>
      </w:r>
      <w:r w:rsidRPr="00D5098D">
        <w:rPr>
          <w:rFonts w:ascii="Arial" w:hAnsi="Arial"/>
          <w:sz w:val="24"/>
        </w:rPr>
        <w:tab/>
      </w:r>
      <w:r w:rsidR="00286EC3" w:rsidRPr="00D5098D">
        <w:rPr>
          <w:rFonts w:ascii="Arial" w:hAnsi="Arial"/>
          <w:sz w:val="24"/>
        </w:rPr>
        <w:t>In relation to the first point (the section 22 point)</w:t>
      </w:r>
      <w:r w:rsidR="00C93ADF" w:rsidRPr="00D5098D">
        <w:rPr>
          <w:rFonts w:ascii="Arial" w:hAnsi="Arial"/>
          <w:sz w:val="24"/>
        </w:rPr>
        <w:t>,</w:t>
      </w:r>
      <w:r w:rsidR="00286EC3" w:rsidRPr="00D5098D">
        <w:rPr>
          <w:rFonts w:ascii="Arial" w:hAnsi="Arial"/>
          <w:sz w:val="24"/>
        </w:rPr>
        <w:t xml:space="preserve"> t</w:t>
      </w:r>
      <w:r w:rsidR="001020BA" w:rsidRPr="00D5098D">
        <w:rPr>
          <w:rFonts w:ascii="Arial" w:hAnsi="Arial"/>
          <w:sz w:val="24"/>
        </w:rPr>
        <w:t xml:space="preserve">he appellants </w:t>
      </w:r>
      <w:r w:rsidR="00286EC3" w:rsidRPr="00D5098D">
        <w:rPr>
          <w:rFonts w:ascii="Arial" w:hAnsi="Arial"/>
          <w:sz w:val="24"/>
        </w:rPr>
        <w:t>submitted</w:t>
      </w:r>
      <w:r w:rsidRPr="00D5098D">
        <w:rPr>
          <w:rFonts w:ascii="Arial" w:hAnsi="Arial"/>
          <w:sz w:val="24"/>
        </w:rPr>
        <w:t xml:space="preserve"> that establishing a regional landfill at the Atlantis site and establishing a regional landfill at the Kalbaskraal site are not ‘alternative proposed activities’ as contemplated in s 22(2), and consequently the MEC was not entitled</w:t>
      </w:r>
      <w:r w:rsidR="00F77633" w:rsidRPr="00D5098D">
        <w:rPr>
          <w:rFonts w:ascii="Arial" w:hAnsi="Arial"/>
          <w:sz w:val="24"/>
        </w:rPr>
        <w:t>,</w:t>
      </w:r>
      <w:r w:rsidR="00286EC3" w:rsidRPr="00D5098D">
        <w:rPr>
          <w:rFonts w:ascii="Arial" w:hAnsi="Arial"/>
          <w:sz w:val="24"/>
        </w:rPr>
        <w:t xml:space="preserve"> on appeal</w:t>
      </w:r>
      <w:r w:rsidR="00F77633" w:rsidRPr="00D5098D">
        <w:rPr>
          <w:rFonts w:ascii="Arial" w:hAnsi="Arial"/>
          <w:sz w:val="24"/>
        </w:rPr>
        <w:t>,</w:t>
      </w:r>
      <w:r w:rsidRPr="00D5098D">
        <w:rPr>
          <w:rFonts w:ascii="Arial" w:hAnsi="Arial"/>
          <w:sz w:val="24"/>
        </w:rPr>
        <w:t xml:space="preserve"> to authorise the Kalbaskraal site as an alternative proposed activity in terms of s 22(3).</w:t>
      </w:r>
      <w:r w:rsidR="001020BA" w:rsidRPr="00D5098D">
        <w:rPr>
          <w:rFonts w:ascii="Arial" w:hAnsi="Arial"/>
          <w:sz w:val="24"/>
        </w:rPr>
        <w:t xml:space="preserve"> </w:t>
      </w:r>
      <w:r w:rsidR="00286EC3" w:rsidRPr="00D5098D">
        <w:rPr>
          <w:rFonts w:ascii="Arial" w:hAnsi="Arial"/>
          <w:sz w:val="24"/>
        </w:rPr>
        <w:t>In support of their contention</w:t>
      </w:r>
      <w:r w:rsidR="00F77633" w:rsidRPr="00D5098D">
        <w:rPr>
          <w:rFonts w:ascii="Arial" w:hAnsi="Arial"/>
          <w:sz w:val="24"/>
        </w:rPr>
        <w:t>,</w:t>
      </w:r>
      <w:r w:rsidR="00286EC3" w:rsidRPr="00D5098D">
        <w:rPr>
          <w:rFonts w:ascii="Arial" w:hAnsi="Arial"/>
          <w:sz w:val="24"/>
        </w:rPr>
        <w:t xml:space="preserve"> the appellants referred to the City’s application for authorisation which they </w:t>
      </w:r>
      <w:r w:rsidR="00F35210" w:rsidRPr="00D5098D">
        <w:rPr>
          <w:rFonts w:ascii="Arial" w:hAnsi="Arial"/>
          <w:sz w:val="24"/>
        </w:rPr>
        <w:t>claimed makes it clear that an application was for authorisation at two different sites.</w:t>
      </w:r>
      <w:r w:rsidR="00131753" w:rsidRPr="00D5098D">
        <w:rPr>
          <w:rFonts w:ascii="Arial" w:hAnsi="Arial"/>
          <w:sz w:val="24"/>
        </w:rPr>
        <w:t xml:space="preserve"> </w:t>
      </w:r>
    </w:p>
    <w:p w14:paraId="1374D8F7" w14:textId="754D33A5" w:rsidR="007F338E" w:rsidRPr="00D5098D" w:rsidRDefault="002E6C0F" w:rsidP="006078CA">
      <w:pPr>
        <w:pStyle w:val="ListParagraph"/>
        <w:spacing w:before="240" w:after="0" w:line="360" w:lineRule="auto"/>
        <w:ind w:left="0"/>
        <w:contextualSpacing w:val="0"/>
        <w:jc w:val="both"/>
        <w:rPr>
          <w:rFonts w:ascii="Arial" w:hAnsi="Arial"/>
          <w:sz w:val="22"/>
          <w:szCs w:val="22"/>
        </w:rPr>
      </w:pPr>
      <w:r w:rsidRPr="00D5098D">
        <w:rPr>
          <w:rFonts w:ascii="Arial" w:hAnsi="Arial"/>
          <w:sz w:val="24"/>
        </w:rPr>
        <w:t>[</w:t>
      </w:r>
      <w:r w:rsidR="001934C8" w:rsidRPr="00D5098D">
        <w:rPr>
          <w:rFonts w:ascii="Arial" w:hAnsi="Arial"/>
          <w:sz w:val="24"/>
        </w:rPr>
        <w:t>3</w:t>
      </w:r>
      <w:r w:rsidR="000711BB" w:rsidRPr="00D5098D">
        <w:rPr>
          <w:rFonts w:ascii="Arial" w:hAnsi="Arial"/>
          <w:sz w:val="24"/>
        </w:rPr>
        <w:t>1</w:t>
      </w:r>
      <w:r w:rsidRPr="00D5098D">
        <w:rPr>
          <w:rFonts w:ascii="Arial" w:hAnsi="Arial"/>
          <w:sz w:val="24"/>
        </w:rPr>
        <w:t>]</w:t>
      </w:r>
      <w:r w:rsidRPr="00D5098D">
        <w:rPr>
          <w:rFonts w:ascii="Arial" w:hAnsi="Arial"/>
          <w:sz w:val="24"/>
        </w:rPr>
        <w:tab/>
      </w:r>
      <w:r w:rsidR="00286EC3" w:rsidRPr="00D5098D">
        <w:rPr>
          <w:rFonts w:ascii="Arial" w:hAnsi="Arial"/>
          <w:sz w:val="24"/>
        </w:rPr>
        <w:t>I disagree with the appellants.</w:t>
      </w:r>
      <w:r w:rsidR="006078CA" w:rsidRPr="00D5098D">
        <w:rPr>
          <w:rFonts w:ascii="Arial" w:hAnsi="Arial"/>
          <w:sz w:val="24"/>
        </w:rPr>
        <w:t xml:space="preserve"> The MEC was entitled on appeal to authorise the landfill activity to be carried out at Kalbaskraal as </w:t>
      </w:r>
      <w:r w:rsidR="00EB79F1" w:rsidRPr="00D5098D">
        <w:rPr>
          <w:rFonts w:ascii="Arial" w:hAnsi="Arial"/>
          <w:sz w:val="24"/>
        </w:rPr>
        <w:t xml:space="preserve">an </w:t>
      </w:r>
      <w:r w:rsidR="006078CA" w:rsidRPr="00D5098D">
        <w:rPr>
          <w:rFonts w:ascii="Arial" w:hAnsi="Arial"/>
          <w:sz w:val="24"/>
        </w:rPr>
        <w:t>alternative proposed site. The words ‘alternative proposed activities’ appearing in s 22(2) and s 22(3) must be interpreted contextually and purposively. T</w:t>
      </w:r>
      <w:r w:rsidR="00800864" w:rsidRPr="00D5098D">
        <w:rPr>
          <w:rFonts w:ascii="Arial" w:hAnsi="Arial"/>
          <w:sz w:val="24"/>
        </w:rPr>
        <w:t>here is no good reason – textual, contextual or purposive</w:t>
      </w:r>
      <w:r w:rsidR="00800864" w:rsidRPr="00D5098D">
        <w:rPr>
          <w:rFonts w:ascii="Arial" w:hAnsi="Arial"/>
          <w:sz w:val="24"/>
          <w:vertAlign w:val="superscript"/>
        </w:rPr>
        <w:footnoteReference w:id="2"/>
      </w:r>
      <w:r w:rsidR="00800864" w:rsidRPr="00D5098D">
        <w:rPr>
          <w:rFonts w:ascii="Arial" w:hAnsi="Arial"/>
          <w:sz w:val="24"/>
        </w:rPr>
        <w:t xml:space="preserve"> – to interpret ‘alternative proposed activities’ as being limited to different types of activities</w:t>
      </w:r>
      <w:r w:rsidR="00131753" w:rsidRPr="00D5098D">
        <w:rPr>
          <w:rFonts w:ascii="Arial" w:hAnsi="Arial"/>
          <w:sz w:val="24"/>
        </w:rPr>
        <w:t xml:space="preserve"> at the same location</w:t>
      </w:r>
      <w:r w:rsidR="00800864" w:rsidRPr="00D5098D">
        <w:rPr>
          <w:rFonts w:ascii="Arial" w:hAnsi="Arial"/>
          <w:sz w:val="24"/>
        </w:rPr>
        <w:t>, and not also as including the same activity at different locations. In the present case it is common cause that the Director</w:t>
      </w:r>
      <w:r w:rsidR="00EB79F1" w:rsidRPr="00D5098D">
        <w:rPr>
          <w:rFonts w:ascii="Arial" w:hAnsi="Arial"/>
          <w:sz w:val="24"/>
        </w:rPr>
        <w:t>,</w:t>
      </w:r>
      <w:r w:rsidR="00800864" w:rsidRPr="00D5098D">
        <w:rPr>
          <w:rFonts w:ascii="Arial" w:hAnsi="Arial"/>
          <w:sz w:val="24"/>
        </w:rPr>
        <w:t xml:space="preserve"> in undertaking</w:t>
      </w:r>
      <w:r w:rsidR="009F4054" w:rsidRPr="00D5098D">
        <w:rPr>
          <w:rFonts w:ascii="Arial" w:hAnsi="Arial"/>
          <w:sz w:val="24"/>
        </w:rPr>
        <w:t xml:space="preserve"> a</w:t>
      </w:r>
      <w:r w:rsidR="00800864" w:rsidRPr="00D5098D">
        <w:rPr>
          <w:rFonts w:ascii="Arial" w:hAnsi="Arial"/>
          <w:sz w:val="24"/>
        </w:rPr>
        <w:t xml:space="preserve"> comparative assessment of the two sites</w:t>
      </w:r>
      <w:r w:rsidR="00EB79F1" w:rsidRPr="00D5098D">
        <w:rPr>
          <w:rFonts w:ascii="Arial" w:hAnsi="Arial"/>
          <w:sz w:val="24"/>
        </w:rPr>
        <w:t>,</w:t>
      </w:r>
      <w:r w:rsidR="00800864" w:rsidRPr="00D5098D">
        <w:rPr>
          <w:rFonts w:ascii="Arial" w:hAnsi="Arial"/>
          <w:sz w:val="24"/>
        </w:rPr>
        <w:t xml:space="preserve"> had regard to the fact that the study which had been undertaken by the City </w:t>
      </w:r>
      <w:r w:rsidR="009F4054" w:rsidRPr="00D5098D">
        <w:rPr>
          <w:rFonts w:ascii="Arial" w:hAnsi="Arial"/>
          <w:sz w:val="24"/>
        </w:rPr>
        <w:t xml:space="preserve">had </w:t>
      </w:r>
      <w:r w:rsidR="00800864" w:rsidRPr="00D5098D">
        <w:rPr>
          <w:rFonts w:ascii="Arial" w:hAnsi="Arial"/>
          <w:sz w:val="24"/>
        </w:rPr>
        <w:t xml:space="preserve">considered the alternatives to waste disposal by landfill. The study found that the alternatives identified did not negate the need for a new regional landfill site. </w:t>
      </w:r>
      <w:r w:rsidR="00131753" w:rsidRPr="00D5098D">
        <w:rPr>
          <w:rFonts w:ascii="Arial" w:hAnsi="Arial"/>
          <w:sz w:val="24"/>
        </w:rPr>
        <w:t>Again</w:t>
      </w:r>
      <w:r w:rsidR="00310C84" w:rsidRPr="00D5098D">
        <w:rPr>
          <w:rFonts w:ascii="Arial" w:hAnsi="Arial"/>
          <w:sz w:val="24"/>
        </w:rPr>
        <w:t>,</w:t>
      </w:r>
      <w:r w:rsidR="00131753" w:rsidRPr="00D5098D">
        <w:rPr>
          <w:rFonts w:ascii="Arial" w:hAnsi="Arial"/>
          <w:sz w:val="24"/>
        </w:rPr>
        <w:t xml:space="preserve"> t</w:t>
      </w:r>
      <w:r w:rsidR="00800864" w:rsidRPr="00D5098D">
        <w:rPr>
          <w:rFonts w:ascii="Arial" w:hAnsi="Arial"/>
          <w:sz w:val="24"/>
        </w:rPr>
        <w:t>he MEC</w:t>
      </w:r>
      <w:r w:rsidR="002C4236" w:rsidRPr="00D5098D">
        <w:rPr>
          <w:rFonts w:ascii="Arial" w:hAnsi="Arial"/>
          <w:sz w:val="24"/>
        </w:rPr>
        <w:t>,</w:t>
      </w:r>
      <w:r w:rsidR="00800864" w:rsidRPr="00D5098D">
        <w:rPr>
          <w:rFonts w:ascii="Arial" w:hAnsi="Arial"/>
          <w:sz w:val="24"/>
        </w:rPr>
        <w:t xml:space="preserve"> in his reasons for the decision</w:t>
      </w:r>
      <w:r w:rsidR="002C4236" w:rsidRPr="00D5098D">
        <w:rPr>
          <w:rFonts w:ascii="Arial" w:hAnsi="Arial"/>
          <w:sz w:val="24"/>
        </w:rPr>
        <w:t>,</w:t>
      </w:r>
      <w:r w:rsidR="00800864" w:rsidRPr="00D5098D">
        <w:rPr>
          <w:rFonts w:ascii="Arial" w:hAnsi="Arial"/>
          <w:sz w:val="24"/>
        </w:rPr>
        <w:t xml:space="preserve"> </w:t>
      </w:r>
      <w:r w:rsidR="00131753" w:rsidRPr="00D5098D">
        <w:rPr>
          <w:rFonts w:ascii="Arial" w:hAnsi="Arial"/>
          <w:sz w:val="24"/>
        </w:rPr>
        <w:t>considered</w:t>
      </w:r>
      <w:r w:rsidR="00623F7B" w:rsidRPr="00D5098D">
        <w:rPr>
          <w:rFonts w:ascii="Arial" w:hAnsi="Arial"/>
          <w:sz w:val="24"/>
        </w:rPr>
        <w:t xml:space="preserve"> the availability of alternatives and </w:t>
      </w:r>
      <w:r w:rsidR="00800864" w:rsidRPr="00D5098D">
        <w:rPr>
          <w:rFonts w:ascii="Arial" w:hAnsi="Arial"/>
          <w:sz w:val="24"/>
        </w:rPr>
        <w:t>concluded that no reasonable or feasible alternatives exist</w:t>
      </w:r>
      <w:r w:rsidR="00623F7B" w:rsidRPr="00D5098D">
        <w:rPr>
          <w:rFonts w:ascii="Arial" w:hAnsi="Arial"/>
          <w:sz w:val="24"/>
        </w:rPr>
        <w:t>ed</w:t>
      </w:r>
      <w:r w:rsidR="00800864" w:rsidRPr="00D5098D">
        <w:rPr>
          <w:rFonts w:ascii="Arial" w:hAnsi="Arial"/>
          <w:sz w:val="24"/>
        </w:rPr>
        <w:t xml:space="preserve"> to the</w:t>
      </w:r>
      <w:r w:rsidR="00623F7B" w:rsidRPr="00D5098D">
        <w:rPr>
          <w:rFonts w:ascii="Arial" w:hAnsi="Arial"/>
          <w:sz w:val="24"/>
        </w:rPr>
        <w:t xml:space="preserve"> landfilling of waste. He regarded </w:t>
      </w:r>
      <w:r w:rsidR="00800864" w:rsidRPr="00D5098D">
        <w:rPr>
          <w:rFonts w:ascii="Arial" w:hAnsi="Arial"/>
          <w:sz w:val="24"/>
        </w:rPr>
        <w:t>alternative waste managem</w:t>
      </w:r>
      <w:r w:rsidR="00623F7B" w:rsidRPr="00D5098D">
        <w:rPr>
          <w:rFonts w:ascii="Arial" w:hAnsi="Arial"/>
          <w:sz w:val="24"/>
        </w:rPr>
        <w:t>ent methods and technologies as</w:t>
      </w:r>
      <w:r w:rsidR="00800864" w:rsidRPr="00D5098D">
        <w:rPr>
          <w:rFonts w:ascii="Arial" w:hAnsi="Arial"/>
          <w:sz w:val="24"/>
        </w:rPr>
        <w:t xml:space="preserve"> complementary strategies to disposal by landfill. He also considered the option of not proceeding with the establishment of the landfill site (</w:t>
      </w:r>
      <w:r w:rsidR="00117424" w:rsidRPr="00D5098D">
        <w:rPr>
          <w:rFonts w:ascii="Arial" w:hAnsi="Arial"/>
          <w:sz w:val="24"/>
        </w:rPr>
        <w:t>namely, the ‘</w:t>
      </w:r>
      <w:r w:rsidR="00800864" w:rsidRPr="00D5098D">
        <w:rPr>
          <w:rFonts w:ascii="Arial" w:hAnsi="Arial"/>
          <w:sz w:val="24"/>
        </w:rPr>
        <w:t>No-Go Option</w:t>
      </w:r>
      <w:r w:rsidR="00117424" w:rsidRPr="00D5098D">
        <w:rPr>
          <w:rFonts w:ascii="Arial" w:hAnsi="Arial"/>
          <w:sz w:val="24"/>
        </w:rPr>
        <w:t>’</w:t>
      </w:r>
      <w:r w:rsidR="00800864" w:rsidRPr="00D5098D">
        <w:rPr>
          <w:rFonts w:ascii="Arial" w:hAnsi="Arial"/>
          <w:sz w:val="24"/>
        </w:rPr>
        <w:t xml:space="preserve">). He found the implications associated with the option of not proceeding with the establishment of a new </w:t>
      </w:r>
      <w:r w:rsidR="00623F7B" w:rsidRPr="00D5098D">
        <w:rPr>
          <w:rFonts w:ascii="Arial" w:hAnsi="Arial"/>
          <w:sz w:val="24"/>
        </w:rPr>
        <w:t>landfill site</w:t>
      </w:r>
      <w:r w:rsidR="00800864" w:rsidRPr="00D5098D">
        <w:rPr>
          <w:rFonts w:ascii="Arial" w:hAnsi="Arial"/>
          <w:sz w:val="24"/>
        </w:rPr>
        <w:t xml:space="preserve"> to be unacceptable.</w:t>
      </w:r>
    </w:p>
    <w:p w14:paraId="04B425EB" w14:textId="77777777" w:rsidR="00800864" w:rsidRPr="00D5098D" w:rsidRDefault="00800864" w:rsidP="00484390">
      <w:pPr>
        <w:pStyle w:val="ListParagraph"/>
        <w:spacing w:before="240" w:line="360" w:lineRule="auto"/>
        <w:ind w:left="0"/>
        <w:jc w:val="both"/>
        <w:rPr>
          <w:rFonts w:ascii="Arial" w:hAnsi="Arial"/>
          <w:sz w:val="24"/>
        </w:rPr>
      </w:pPr>
    </w:p>
    <w:p w14:paraId="0E1F65F7" w14:textId="37B52E08" w:rsidR="007B1A21" w:rsidRPr="00D5098D" w:rsidRDefault="00800864" w:rsidP="00484390">
      <w:pPr>
        <w:pStyle w:val="ListParagraph"/>
        <w:spacing w:before="240" w:line="360" w:lineRule="auto"/>
        <w:ind w:left="0"/>
        <w:jc w:val="both"/>
        <w:rPr>
          <w:rFonts w:ascii="Arial" w:hAnsi="Arial"/>
          <w:sz w:val="24"/>
        </w:rPr>
      </w:pPr>
      <w:r w:rsidRPr="00D5098D">
        <w:rPr>
          <w:rFonts w:ascii="Arial" w:hAnsi="Arial"/>
          <w:sz w:val="24"/>
        </w:rPr>
        <w:t>[3</w:t>
      </w:r>
      <w:r w:rsidR="003C5713" w:rsidRPr="00D5098D">
        <w:rPr>
          <w:rFonts w:ascii="Arial" w:hAnsi="Arial"/>
          <w:sz w:val="24"/>
        </w:rPr>
        <w:t>2</w:t>
      </w:r>
      <w:r w:rsidRPr="00D5098D">
        <w:rPr>
          <w:rFonts w:ascii="Arial" w:hAnsi="Arial"/>
          <w:sz w:val="24"/>
        </w:rPr>
        <w:t>]</w:t>
      </w:r>
      <w:r w:rsidRPr="00D5098D">
        <w:rPr>
          <w:rFonts w:ascii="Arial" w:hAnsi="Arial"/>
          <w:sz w:val="24"/>
        </w:rPr>
        <w:tab/>
      </w:r>
      <w:r w:rsidR="00FE7693" w:rsidRPr="00D5098D">
        <w:rPr>
          <w:rFonts w:ascii="Arial" w:hAnsi="Arial"/>
          <w:sz w:val="24"/>
        </w:rPr>
        <w:t>I agree with the respondents’ submission that</w:t>
      </w:r>
      <w:r w:rsidR="00AE18A9" w:rsidRPr="00D5098D">
        <w:rPr>
          <w:rFonts w:ascii="Arial" w:hAnsi="Arial"/>
          <w:sz w:val="24"/>
        </w:rPr>
        <w:t>,</w:t>
      </w:r>
      <w:r w:rsidR="00FE7693" w:rsidRPr="00D5098D">
        <w:rPr>
          <w:rFonts w:ascii="Arial" w:hAnsi="Arial"/>
          <w:sz w:val="24"/>
        </w:rPr>
        <w:t xml:space="preserve"> c</w:t>
      </w:r>
      <w:r w:rsidRPr="00D5098D">
        <w:rPr>
          <w:rFonts w:ascii="Arial" w:hAnsi="Arial"/>
          <w:sz w:val="24"/>
        </w:rPr>
        <w:t>ontextually, it is possible to read s 22(2)</w:t>
      </w:r>
      <w:r w:rsidR="00FE7693" w:rsidRPr="00D5098D">
        <w:rPr>
          <w:rFonts w:ascii="Arial" w:hAnsi="Arial"/>
          <w:sz w:val="24"/>
        </w:rPr>
        <w:t xml:space="preserve"> of the ECA</w:t>
      </w:r>
      <w:r w:rsidRPr="00D5098D">
        <w:rPr>
          <w:rFonts w:ascii="Arial" w:hAnsi="Arial"/>
          <w:sz w:val="24"/>
        </w:rPr>
        <w:t xml:space="preserve"> as permitting the undertaking of comparative assessment of the proposed site and alternative proposed sites in circumstances where there are no available alternatives to the proposed activities by which the solid waste can be disposed of. In such circumstances it will permissible for the decision maker to consider reports concerning the impact on the environment of establishing the landfill on the proposed site and of doing so at one or more alternative proposed sites. This </w:t>
      </w:r>
      <w:r w:rsidR="00623F7B" w:rsidRPr="00D5098D">
        <w:rPr>
          <w:rFonts w:ascii="Arial" w:hAnsi="Arial"/>
          <w:sz w:val="24"/>
        </w:rPr>
        <w:t xml:space="preserve">is exactly </w:t>
      </w:r>
      <w:r w:rsidRPr="00D5098D">
        <w:rPr>
          <w:rFonts w:ascii="Arial" w:hAnsi="Arial"/>
          <w:sz w:val="24"/>
        </w:rPr>
        <w:t>what the Director and the MEC did in this case. They each considered the impact on the environment of granting authori</w:t>
      </w:r>
      <w:r w:rsidR="00224050" w:rsidRPr="00D5098D">
        <w:rPr>
          <w:rFonts w:ascii="Arial" w:hAnsi="Arial"/>
          <w:sz w:val="24"/>
        </w:rPr>
        <w:t>s</w:t>
      </w:r>
      <w:r w:rsidRPr="00D5098D">
        <w:rPr>
          <w:rFonts w:ascii="Arial" w:hAnsi="Arial"/>
          <w:sz w:val="24"/>
        </w:rPr>
        <w:t>ation for</w:t>
      </w:r>
      <w:r w:rsidR="009F4054" w:rsidRPr="00D5098D">
        <w:rPr>
          <w:rFonts w:ascii="Arial" w:hAnsi="Arial"/>
          <w:sz w:val="24"/>
        </w:rPr>
        <w:t xml:space="preserve"> a</w:t>
      </w:r>
      <w:r w:rsidRPr="00D5098D">
        <w:rPr>
          <w:rFonts w:ascii="Arial" w:hAnsi="Arial"/>
          <w:sz w:val="24"/>
        </w:rPr>
        <w:t xml:space="preserve"> landfill in Atlantis or Ka</w:t>
      </w:r>
      <w:r w:rsidR="009C455D" w:rsidRPr="00D5098D">
        <w:rPr>
          <w:rFonts w:ascii="Arial" w:hAnsi="Arial"/>
          <w:sz w:val="24"/>
        </w:rPr>
        <w:t>l</w:t>
      </w:r>
      <w:r w:rsidRPr="00D5098D">
        <w:rPr>
          <w:rFonts w:ascii="Arial" w:hAnsi="Arial"/>
          <w:sz w:val="24"/>
        </w:rPr>
        <w:t>baskraal or of not granting authori</w:t>
      </w:r>
      <w:r w:rsidR="007B1A21" w:rsidRPr="00D5098D">
        <w:rPr>
          <w:rFonts w:ascii="Arial" w:hAnsi="Arial"/>
          <w:sz w:val="24"/>
        </w:rPr>
        <w:t>s</w:t>
      </w:r>
      <w:r w:rsidRPr="00D5098D">
        <w:rPr>
          <w:rFonts w:ascii="Arial" w:hAnsi="Arial"/>
          <w:sz w:val="24"/>
        </w:rPr>
        <w:t>ation at all.</w:t>
      </w:r>
      <w:r w:rsidR="00623F7B" w:rsidRPr="00D5098D">
        <w:rPr>
          <w:rFonts w:ascii="Arial" w:hAnsi="Arial"/>
          <w:sz w:val="24"/>
        </w:rPr>
        <w:t xml:space="preserve"> I</w:t>
      </w:r>
      <w:r w:rsidR="00A07257" w:rsidRPr="00D5098D">
        <w:rPr>
          <w:rFonts w:ascii="Arial" w:hAnsi="Arial"/>
          <w:sz w:val="24"/>
        </w:rPr>
        <w:t xml:space="preserve">t is clear that </w:t>
      </w:r>
      <w:r w:rsidR="009C455D" w:rsidRPr="00D5098D">
        <w:rPr>
          <w:rFonts w:ascii="Arial" w:hAnsi="Arial"/>
          <w:sz w:val="24"/>
        </w:rPr>
        <w:t>the</w:t>
      </w:r>
      <w:r w:rsidR="00A07257" w:rsidRPr="00D5098D">
        <w:rPr>
          <w:rFonts w:ascii="Arial" w:hAnsi="Arial"/>
          <w:sz w:val="24"/>
        </w:rPr>
        <w:t xml:space="preserve"> sites were presented as alternatives and were equally subj</w:t>
      </w:r>
      <w:r w:rsidR="007103C7" w:rsidRPr="00D5098D">
        <w:rPr>
          <w:rFonts w:ascii="Arial" w:hAnsi="Arial"/>
          <w:sz w:val="24"/>
        </w:rPr>
        <w:t>ected to environmental scrutiny as required by s 22(2).</w:t>
      </w:r>
    </w:p>
    <w:p w14:paraId="6597740B" w14:textId="77777777" w:rsidR="00805B73" w:rsidRPr="00D5098D" w:rsidRDefault="00805B73" w:rsidP="00484390">
      <w:pPr>
        <w:pStyle w:val="ListParagraph"/>
        <w:spacing w:before="240" w:line="360" w:lineRule="auto"/>
        <w:ind w:left="0"/>
        <w:jc w:val="both"/>
        <w:rPr>
          <w:rFonts w:ascii="Arial" w:hAnsi="Arial"/>
          <w:sz w:val="24"/>
        </w:rPr>
      </w:pPr>
    </w:p>
    <w:p w14:paraId="7E4BB67D" w14:textId="77777777" w:rsidR="007B1A21" w:rsidRPr="00D5098D" w:rsidRDefault="007B1A21" w:rsidP="007B1A21">
      <w:pPr>
        <w:pStyle w:val="ListParagraph"/>
        <w:spacing w:after="0" w:line="360" w:lineRule="auto"/>
        <w:ind w:left="0"/>
        <w:contextualSpacing w:val="0"/>
        <w:jc w:val="both"/>
        <w:rPr>
          <w:rFonts w:ascii="Arial" w:hAnsi="Arial"/>
          <w:sz w:val="24"/>
        </w:rPr>
      </w:pPr>
      <w:r w:rsidRPr="00D5098D">
        <w:rPr>
          <w:rFonts w:ascii="Arial" w:hAnsi="Arial"/>
          <w:sz w:val="24"/>
        </w:rPr>
        <w:t>[3</w:t>
      </w:r>
      <w:r w:rsidR="003C5713" w:rsidRPr="00D5098D">
        <w:rPr>
          <w:rFonts w:ascii="Arial" w:hAnsi="Arial"/>
          <w:sz w:val="24"/>
        </w:rPr>
        <w:t>3</w:t>
      </w:r>
      <w:r w:rsidRPr="00D5098D">
        <w:rPr>
          <w:rFonts w:ascii="Arial" w:hAnsi="Arial"/>
          <w:sz w:val="24"/>
        </w:rPr>
        <w:t>]</w:t>
      </w:r>
      <w:r w:rsidRPr="00D5098D">
        <w:rPr>
          <w:rFonts w:ascii="Arial" w:hAnsi="Arial"/>
          <w:sz w:val="24"/>
        </w:rPr>
        <w:tab/>
        <w:t>As counsel for the respondents correctly pointed out, in the Regulations made in terms of NEMA on 21 April 2006,</w:t>
      </w:r>
      <w:r w:rsidRPr="00D5098D">
        <w:rPr>
          <w:rFonts w:ascii="Arial" w:hAnsi="Arial"/>
          <w:sz w:val="24"/>
          <w:vertAlign w:val="superscript"/>
        </w:rPr>
        <w:footnoteReference w:id="3"/>
      </w:r>
      <w:r w:rsidRPr="00D5098D">
        <w:rPr>
          <w:rFonts w:ascii="Arial" w:hAnsi="Arial"/>
          <w:sz w:val="24"/>
        </w:rPr>
        <w:t xml:space="preserve"> ‘alternatives’, in relation to a proposed activity, is defined as meaning:</w:t>
      </w:r>
    </w:p>
    <w:p w14:paraId="39A4DA36" w14:textId="77777777" w:rsidR="00B04D29" w:rsidRPr="00D5098D" w:rsidRDefault="007B1A21" w:rsidP="007B1A21">
      <w:pPr>
        <w:pStyle w:val="ListParagraph"/>
        <w:spacing w:after="0" w:line="360" w:lineRule="auto"/>
        <w:ind w:left="0"/>
        <w:contextualSpacing w:val="0"/>
        <w:jc w:val="both"/>
        <w:rPr>
          <w:rFonts w:ascii="Arial" w:hAnsi="Arial"/>
          <w:sz w:val="22"/>
          <w:szCs w:val="22"/>
        </w:rPr>
      </w:pPr>
      <w:r w:rsidRPr="00D5098D">
        <w:rPr>
          <w:rFonts w:ascii="Arial" w:hAnsi="Arial"/>
          <w:sz w:val="22"/>
          <w:szCs w:val="22"/>
        </w:rPr>
        <w:t xml:space="preserve">‘…different means of meeting the general purpose and requirements of the activity, which may include alternatives to </w:t>
      </w:r>
      <w:r w:rsidR="00B04D29" w:rsidRPr="00D5098D">
        <w:rPr>
          <w:rFonts w:ascii="Arial" w:hAnsi="Arial"/>
          <w:sz w:val="22"/>
          <w:szCs w:val="22"/>
        </w:rPr>
        <w:t>–</w:t>
      </w:r>
      <w:r w:rsidRPr="00D5098D">
        <w:rPr>
          <w:rFonts w:ascii="Arial" w:hAnsi="Arial"/>
          <w:sz w:val="22"/>
          <w:szCs w:val="22"/>
        </w:rPr>
        <w:t xml:space="preserve"> </w:t>
      </w:r>
    </w:p>
    <w:p w14:paraId="04542CC0" w14:textId="77777777" w:rsidR="00B04D29" w:rsidRPr="00D5098D" w:rsidRDefault="007B1A21" w:rsidP="007B1A21">
      <w:pPr>
        <w:pStyle w:val="ListParagraph"/>
        <w:spacing w:after="0" w:line="360" w:lineRule="auto"/>
        <w:ind w:left="0"/>
        <w:contextualSpacing w:val="0"/>
        <w:jc w:val="both"/>
        <w:rPr>
          <w:rFonts w:ascii="Arial" w:hAnsi="Arial"/>
          <w:sz w:val="22"/>
          <w:szCs w:val="22"/>
        </w:rPr>
      </w:pPr>
      <w:r w:rsidRPr="00D5098D">
        <w:rPr>
          <w:rFonts w:ascii="Arial" w:hAnsi="Arial"/>
          <w:sz w:val="22"/>
          <w:szCs w:val="22"/>
        </w:rPr>
        <w:t xml:space="preserve">(a) the property on which or location where it is proposed to undertake the activity; (b) the type of activity to be undertaken; </w:t>
      </w:r>
    </w:p>
    <w:p w14:paraId="2C458124" w14:textId="77777777" w:rsidR="00B04D29" w:rsidRPr="00D5098D" w:rsidRDefault="007B1A21" w:rsidP="007B1A21">
      <w:pPr>
        <w:pStyle w:val="ListParagraph"/>
        <w:spacing w:after="0" w:line="360" w:lineRule="auto"/>
        <w:ind w:left="0"/>
        <w:contextualSpacing w:val="0"/>
        <w:jc w:val="both"/>
        <w:rPr>
          <w:rFonts w:ascii="Arial" w:hAnsi="Arial"/>
          <w:sz w:val="22"/>
          <w:szCs w:val="22"/>
        </w:rPr>
      </w:pPr>
      <w:r w:rsidRPr="00D5098D">
        <w:rPr>
          <w:rFonts w:ascii="Arial" w:hAnsi="Arial"/>
          <w:sz w:val="22"/>
          <w:szCs w:val="22"/>
        </w:rPr>
        <w:t xml:space="preserve">(c) the design or layout of the activity; </w:t>
      </w:r>
    </w:p>
    <w:p w14:paraId="01780F2F" w14:textId="77777777" w:rsidR="00B04D29" w:rsidRPr="00D5098D" w:rsidRDefault="007B1A21" w:rsidP="007B1A21">
      <w:pPr>
        <w:pStyle w:val="ListParagraph"/>
        <w:spacing w:after="0" w:line="360" w:lineRule="auto"/>
        <w:ind w:left="0"/>
        <w:contextualSpacing w:val="0"/>
        <w:jc w:val="both"/>
        <w:rPr>
          <w:rFonts w:ascii="Arial" w:hAnsi="Arial"/>
          <w:sz w:val="22"/>
          <w:szCs w:val="22"/>
        </w:rPr>
      </w:pPr>
      <w:r w:rsidRPr="00D5098D">
        <w:rPr>
          <w:rFonts w:ascii="Arial" w:hAnsi="Arial"/>
          <w:sz w:val="22"/>
          <w:szCs w:val="22"/>
        </w:rPr>
        <w:t xml:space="preserve">(d) the technology to be used in the activity; and </w:t>
      </w:r>
    </w:p>
    <w:p w14:paraId="75EB2E06" w14:textId="77777777" w:rsidR="007B1A21" w:rsidRPr="00D5098D" w:rsidRDefault="007B1A21" w:rsidP="007B1A21">
      <w:pPr>
        <w:pStyle w:val="ListParagraph"/>
        <w:spacing w:after="0" w:line="360" w:lineRule="auto"/>
        <w:ind w:left="0"/>
        <w:contextualSpacing w:val="0"/>
        <w:jc w:val="both"/>
        <w:rPr>
          <w:rFonts w:ascii="Arial" w:hAnsi="Arial"/>
          <w:sz w:val="22"/>
          <w:szCs w:val="22"/>
        </w:rPr>
      </w:pPr>
      <w:r w:rsidRPr="00D5098D">
        <w:rPr>
          <w:rFonts w:ascii="Arial" w:hAnsi="Arial"/>
          <w:sz w:val="22"/>
          <w:szCs w:val="22"/>
        </w:rPr>
        <w:t xml:space="preserve">(e) the operational aspects of the </w:t>
      </w:r>
      <w:r w:rsidR="00B04D29" w:rsidRPr="00D5098D">
        <w:rPr>
          <w:rFonts w:ascii="Arial" w:hAnsi="Arial"/>
          <w:sz w:val="22"/>
          <w:szCs w:val="22"/>
        </w:rPr>
        <w:t>activity;…</w:t>
      </w:r>
      <w:r w:rsidRPr="00D5098D">
        <w:rPr>
          <w:rFonts w:ascii="Arial" w:hAnsi="Arial"/>
          <w:sz w:val="22"/>
          <w:szCs w:val="22"/>
        </w:rPr>
        <w:t>’</w:t>
      </w:r>
    </w:p>
    <w:p w14:paraId="5A51A5F9" w14:textId="77777777" w:rsidR="00B04D29" w:rsidRPr="00D5098D" w:rsidRDefault="00B04D29" w:rsidP="007B1A21">
      <w:pPr>
        <w:pStyle w:val="ListParagraph"/>
        <w:spacing w:after="0" w:line="360" w:lineRule="auto"/>
        <w:ind w:left="0"/>
        <w:contextualSpacing w:val="0"/>
        <w:jc w:val="both"/>
        <w:rPr>
          <w:rFonts w:ascii="Arial" w:hAnsi="Arial"/>
          <w:sz w:val="22"/>
          <w:szCs w:val="22"/>
        </w:rPr>
      </w:pPr>
    </w:p>
    <w:p w14:paraId="09592856" w14:textId="77777777" w:rsidR="00C45DBA" w:rsidRPr="00D5098D" w:rsidRDefault="00B04D29" w:rsidP="00C45DBA">
      <w:pPr>
        <w:pStyle w:val="ListParagraph"/>
        <w:spacing w:after="0" w:line="360" w:lineRule="auto"/>
        <w:ind w:left="0"/>
        <w:contextualSpacing w:val="0"/>
        <w:jc w:val="both"/>
        <w:rPr>
          <w:rFonts w:ascii="Arial" w:hAnsi="Arial"/>
          <w:sz w:val="22"/>
          <w:szCs w:val="22"/>
        </w:rPr>
      </w:pPr>
      <w:r w:rsidRPr="00D5098D">
        <w:rPr>
          <w:rFonts w:ascii="Arial" w:hAnsi="Arial"/>
          <w:sz w:val="24"/>
        </w:rPr>
        <w:t>[3</w:t>
      </w:r>
      <w:r w:rsidR="003C5713" w:rsidRPr="00D5098D">
        <w:rPr>
          <w:rFonts w:ascii="Arial" w:hAnsi="Arial"/>
          <w:sz w:val="24"/>
        </w:rPr>
        <w:t>4</w:t>
      </w:r>
      <w:r w:rsidRPr="00D5098D">
        <w:rPr>
          <w:rFonts w:ascii="Arial" w:hAnsi="Arial"/>
          <w:sz w:val="24"/>
        </w:rPr>
        <w:t>]</w:t>
      </w:r>
      <w:r w:rsidRPr="00D5098D">
        <w:rPr>
          <w:rFonts w:ascii="Arial" w:hAnsi="Arial"/>
          <w:sz w:val="24"/>
        </w:rPr>
        <w:tab/>
        <w:t>The 2010 EIA Regulations,</w:t>
      </w:r>
      <w:r w:rsidRPr="00D5098D">
        <w:rPr>
          <w:rFonts w:ascii="Arial" w:hAnsi="Arial"/>
          <w:sz w:val="24"/>
          <w:vertAlign w:val="superscript"/>
        </w:rPr>
        <w:footnoteReference w:id="4"/>
      </w:r>
      <w:r w:rsidRPr="00D5098D">
        <w:rPr>
          <w:rFonts w:ascii="Arial" w:hAnsi="Arial"/>
          <w:sz w:val="24"/>
        </w:rPr>
        <w:t xml:space="preserve"> which govern the present appeals, were formulated in a very similar way to the 2006 Regulations,</w:t>
      </w:r>
      <w:r w:rsidRPr="00D5098D">
        <w:rPr>
          <w:rFonts w:ascii="Arial" w:hAnsi="Arial"/>
          <w:sz w:val="24"/>
          <w:vertAlign w:val="superscript"/>
        </w:rPr>
        <w:footnoteReference w:id="5"/>
      </w:r>
      <w:r w:rsidRPr="00D5098D">
        <w:rPr>
          <w:rFonts w:ascii="Arial" w:hAnsi="Arial"/>
          <w:sz w:val="24"/>
        </w:rPr>
        <w:t xml:space="preserve"> and the definition of ‘alternatives’ in relation to a proposed activity expressly includes:</w:t>
      </w:r>
      <w:r w:rsidRPr="00D5098D">
        <w:t xml:space="preserve"> </w:t>
      </w:r>
      <w:r w:rsidR="00C45DBA" w:rsidRPr="00D5098D">
        <w:rPr>
          <w:rFonts w:ascii="Arial" w:hAnsi="Arial"/>
          <w:sz w:val="22"/>
          <w:szCs w:val="22"/>
        </w:rPr>
        <w:t xml:space="preserve">‘…alternatives to- </w:t>
      </w:r>
    </w:p>
    <w:p w14:paraId="3C6D2DC7" w14:textId="77777777" w:rsidR="005F7CC7" w:rsidRPr="00D5098D" w:rsidRDefault="00C45DBA" w:rsidP="00C45DBA">
      <w:pPr>
        <w:pStyle w:val="ListParagraph"/>
        <w:spacing w:after="0" w:line="360" w:lineRule="auto"/>
        <w:ind w:left="0"/>
        <w:contextualSpacing w:val="0"/>
        <w:jc w:val="both"/>
        <w:rPr>
          <w:rFonts w:ascii="Arial" w:hAnsi="Arial"/>
          <w:sz w:val="22"/>
          <w:szCs w:val="22"/>
        </w:rPr>
      </w:pPr>
      <w:r w:rsidRPr="00D5098D">
        <w:rPr>
          <w:rFonts w:ascii="Arial" w:hAnsi="Arial"/>
          <w:sz w:val="22"/>
          <w:szCs w:val="22"/>
        </w:rPr>
        <w:t>(a) the property on which or location where it is proposed to undertake the activity;</w:t>
      </w:r>
      <w:r w:rsidR="005F7CC7" w:rsidRPr="00D5098D">
        <w:rPr>
          <w:rFonts w:ascii="Arial" w:hAnsi="Arial"/>
          <w:sz w:val="22"/>
          <w:szCs w:val="22"/>
        </w:rPr>
        <w:t>…’</w:t>
      </w:r>
    </w:p>
    <w:p w14:paraId="43821085" w14:textId="77777777" w:rsidR="00D21909" w:rsidRPr="00D5098D" w:rsidRDefault="00B04D29" w:rsidP="00C45DBA">
      <w:pPr>
        <w:pStyle w:val="ListParagraph"/>
        <w:spacing w:after="0" w:line="360" w:lineRule="auto"/>
        <w:ind w:left="0"/>
        <w:contextualSpacing w:val="0"/>
        <w:jc w:val="both"/>
        <w:rPr>
          <w:rFonts w:ascii="Arial" w:hAnsi="Arial"/>
          <w:sz w:val="24"/>
        </w:rPr>
      </w:pPr>
      <w:r w:rsidRPr="00D5098D">
        <w:rPr>
          <w:rFonts w:ascii="Arial" w:hAnsi="Arial"/>
          <w:sz w:val="24"/>
        </w:rPr>
        <w:t>The first point raised by the appellants must therefore fail.</w:t>
      </w:r>
    </w:p>
    <w:p w14:paraId="6FC0A75D" w14:textId="2C410D5F" w:rsidR="00D21909" w:rsidRPr="00D5098D" w:rsidRDefault="00D21909" w:rsidP="00D21909">
      <w:pPr>
        <w:pStyle w:val="ListParagraph"/>
        <w:spacing w:before="240" w:after="0" w:line="360" w:lineRule="auto"/>
        <w:ind w:left="0"/>
        <w:contextualSpacing w:val="0"/>
        <w:jc w:val="both"/>
        <w:rPr>
          <w:rFonts w:ascii="Arial" w:hAnsi="Arial"/>
          <w:sz w:val="24"/>
        </w:rPr>
      </w:pPr>
      <w:r w:rsidRPr="00D5098D">
        <w:rPr>
          <w:rFonts w:ascii="Arial" w:hAnsi="Arial"/>
          <w:sz w:val="24"/>
        </w:rPr>
        <w:t>[3</w:t>
      </w:r>
      <w:r w:rsidR="003C5713" w:rsidRPr="00D5098D">
        <w:rPr>
          <w:rFonts w:ascii="Arial" w:hAnsi="Arial"/>
          <w:sz w:val="24"/>
        </w:rPr>
        <w:t>5</w:t>
      </w:r>
      <w:r w:rsidRPr="00D5098D">
        <w:rPr>
          <w:rFonts w:ascii="Arial" w:hAnsi="Arial"/>
          <w:sz w:val="24"/>
        </w:rPr>
        <w:t>]</w:t>
      </w:r>
      <w:r w:rsidRPr="00D5098D">
        <w:rPr>
          <w:rFonts w:ascii="Arial" w:hAnsi="Arial"/>
          <w:sz w:val="24"/>
        </w:rPr>
        <w:tab/>
      </w:r>
      <w:r w:rsidR="007103C7" w:rsidRPr="00D5098D">
        <w:rPr>
          <w:rFonts w:ascii="Arial" w:hAnsi="Arial"/>
          <w:sz w:val="24"/>
        </w:rPr>
        <w:t>As regards the second point</w:t>
      </w:r>
      <w:r w:rsidR="001357BE" w:rsidRPr="00D5098D">
        <w:rPr>
          <w:rFonts w:ascii="Arial" w:hAnsi="Arial"/>
          <w:sz w:val="24"/>
        </w:rPr>
        <w:t>,</w:t>
      </w:r>
      <w:r w:rsidR="007103C7" w:rsidRPr="00D5098D">
        <w:rPr>
          <w:rFonts w:ascii="Arial" w:hAnsi="Arial"/>
          <w:sz w:val="24"/>
        </w:rPr>
        <w:t xml:space="preserve"> (the section 35 point) </w:t>
      </w:r>
      <w:r w:rsidR="0003485E" w:rsidRPr="00D5098D">
        <w:rPr>
          <w:rFonts w:ascii="Arial" w:hAnsi="Arial"/>
          <w:sz w:val="24"/>
        </w:rPr>
        <w:t>it was</w:t>
      </w:r>
      <w:r w:rsidRPr="00D5098D">
        <w:rPr>
          <w:rFonts w:ascii="Arial" w:hAnsi="Arial"/>
          <w:sz w:val="24"/>
        </w:rPr>
        <w:t xml:space="preserve"> submitted by the appellants that the MEC’s powers on appeal were limited to a consideration of the application and the decision in respect of Atlantis site. Those powers, it was contended</w:t>
      </w:r>
      <w:r w:rsidR="0003485E" w:rsidRPr="00D5098D">
        <w:rPr>
          <w:rFonts w:ascii="Arial" w:hAnsi="Arial"/>
          <w:sz w:val="24"/>
        </w:rPr>
        <w:t>,</w:t>
      </w:r>
      <w:r w:rsidRPr="00D5098D">
        <w:rPr>
          <w:rFonts w:ascii="Arial" w:hAnsi="Arial"/>
          <w:sz w:val="24"/>
        </w:rPr>
        <w:t xml:space="preserve"> did not include the power to grant environmental authorisation for the activities at a different site, namely Kalbaskraal. This was so, proceeded the argument, because the subject matter of the appeal to the MEC was the Director’s decision granting environmental authorisation for the listed activities at the Atlantis site, there having been no decision </w:t>
      </w:r>
      <w:r w:rsidR="00247BA3" w:rsidRPr="00D5098D">
        <w:rPr>
          <w:rFonts w:ascii="Arial" w:hAnsi="Arial"/>
          <w:sz w:val="24"/>
        </w:rPr>
        <w:t xml:space="preserve">made and thus </w:t>
      </w:r>
      <w:r w:rsidRPr="00D5098D">
        <w:rPr>
          <w:rFonts w:ascii="Arial" w:hAnsi="Arial"/>
          <w:sz w:val="24"/>
        </w:rPr>
        <w:t xml:space="preserve">capable of appeal in respect of Kalbaskraal site. </w:t>
      </w:r>
      <w:r w:rsidR="007103C7" w:rsidRPr="00D5098D">
        <w:rPr>
          <w:rFonts w:ascii="Arial" w:hAnsi="Arial"/>
          <w:sz w:val="24"/>
        </w:rPr>
        <w:t xml:space="preserve">The appellants emphasised that s 35(3) confers an entitlement on a person who feels aggrieved </w:t>
      </w:r>
      <w:r w:rsidR="00FE7693" w:rsidRPr="00D5098D">
        <w:rPr>
          <w:rFonts w:ascii="Arial" w:hAnsi="Arial"/>
          <w:sz w:val="24"/>
        </w:rPr>
        <w:t>at</w:t>
      </w:r>
      <w:r w:rsidR="007103C7" w:rsidRPr="00D5098D">
        <w:rPr>
          <w:rFonts w:ascii="Arial" w:hAnsi="Arial"/>
          <w:sz w:val="24"/>
        </w:rPr>
        <w:t xml:space="preserve"> </w:t>
      </w:r>
      <w:r w:rsidR="00793C93">
        <w:rPr>
          <w:rFonts w:ascii="Arial" w:hAnsi="Arial"/>
          <w:sz w:val="24"/>
        </w:rPr>
        <w:t>‘a</w:t>
      </w:r>
      <w:r w:rsidR="007103C7" w:rsidRPr="00D5098D">
        <w:rPr>
          <w:rFonts w:ascii="Arial" w:hAnsi="Arial"/>
          <w:sz w:val="24"/>
        </w:rPr>
        <w:t xml:space="preserve"> decision</w:t>
      </w:r>
      <w:r w:rsidR="00793C93">
        <w:rPr>
          <w:rFonts w:ascii="Arial" w:hAnsi="Arial"/>
          <w:sz w:val="24"/>
        </w:rPr>
        <w:t>’</w:t>
      </w:r>
      <w:r w:rsidR="007103C7" w:rsidRPr="00D5098D">
        <w:rPr>
          <w:rFonts w:ascii="Arial" w:hAnsi="Arial"/>
          <w:sz w:val="24"/>
        </w:rPr>
        <w:t xml:space="preserve"> of the employee or officer exercising the delegated power</w:t>
      </w:r>
      <w:r w:rsidR="009F4054" w:rsidRPr="00D5098D">
        <w:rPr>
          <w:rFonts w:ascii="Arial" w:hAnsi="Arial"/>
          <w:sz w:val="24"/>
        </w:rPr>
        <w:t xml:space="preserve"> to appeal against that decision</w:t>
      </w:r>
      <w:r w:rsidR="00793C93">
        <w:rPr>
          <w:rFonts w:ascii="Arial" w:hAnsi="Arial"/>
          <w:sz w:val="24"/>
        </w:rPr>
        <w:t xml:space="preserve"> and</w:t>
      </w:r>
      <w:r w:rsidR="009F4054" w:rsidRPr="00D5098D">
        <w:rPr>
          <w:rFonts w:ascii="Arial" w:hAnsi="Arial"/>
          <w:sz w:val="24"/>
        </w:rPr>
        <w:t xml:space="preserve"> </w:t>
      </w:r>
      <w:r w:rsidR="007103C7" w:rsidRPr="00D5098D">
        <w:rPr>
          <w:rFonts w:ascii="Arial" w:hAnsi="Arial"/>
          <w:sz w:val="24"/>
        </w:rPr>
        <w:t>that the powers conferred upon the appellate decision-maker by s 35(4)</w:t>
      </w:r>
      <w:r w:rsidR="00C22EA5" w:rsidRPr="00D5098D">
        <w:rPr>
          <w:rFonts w:ascii="Arial" w:hAnsi="Arial"/>
          <w:sz w:val="24"/>
        </w:rPr>
        <w:t xml:space="preserve"> must be exercised after considering ‘such an appeal.’</w:t>
      </w:r>
    </w:p>
    <w:p w14:paraId="4CE18DF3" w14:textId="36617222" w:rsidR="00D21909" w:rsidRPr="00D5098D" w:rsidRDefault="00D21909" w:rsidP="00D21909">
      <w:pPr>
        <w:pStyle w:val="ListParagraph"/>
        <w:spacing w:before="240" w:after="0" w:line="360" w:lineRule="auto"/>
        <w:ind w:left="0"/>
        <w:contextualSpacing w:val="0"/>
        <w:jc w:val="both"/>
        <w:rPr>
          <w:rFonts w:ascii="Arial" w:hAnsi="Arial"/>
          <w:sz w:val="24"/>
        </w:rPr>
      </w:pPr>
      <w:r w:rsidRPr="00D5098D">
        <w:rPr>
          <w:rFonts w:ascii="Arial" w:hAnsi="Arial"/>
          <w:sz w:val="24"/>
        </w:rPr>
        <w:t>[</w:t>
      </w:r>
      <w:r w:rsidR="001934C8" w:rsidRPr="00D5098D">
        <w:rPr>
          <w:rFonts w:ascii="Arial" w:hAnsi="Arial"/>
          <w:sz w:val="24"/>
        </w:rPr>
        <w:t>3</w:t>
      </w:r>
      <w:r w:rsidR="003C5713" w:rsidRPr="00D5098D">
        <w:rPr>
          <w:rFonts w:ascii="Arial" w:hAnsi="Arial"/>
          <w:sz w:val="24"/>
        </w:rPr>
        <w:t>6</w:t>
      </w:r>
      <w:r w:rsidRPr="00D5098D">
        <w:rPr>
          <w:rFonts w:ascii="Arial" w:hAnsi="Arial"/>
          <w:sz w:val="24"/>
        </w:rPr>
        <w:t>]</w:t>
      </w:r>
      <w:r w:rsidRPr="00D5098D">
        <w:rPr>
          <w:rFonts w:ascii="Arial" w:hAnsi="Arial"/>
          <w:sz w:val="24"/>
        </w:rPr>
        <w:tab/>
        <w:t xml:space="preserve">The appellants </w:t>
      </w:r>
      <w:r w:rsidR="00D94BBD">
        <w:rPr>
          <w:rFonts w:ascii="Arial" w:hAnsi="Arial"/>
          <w:sz w:val="24"/>
        </w:rPr>
        <w:t>submitted</w:t>
      </w:r>
      <w:r w:rsidRPr="00D5098D">
        <w:rPr>
          <w:rFonts w:ascii="Arial" w:hAnsi="Arial"/>
          <w:sz w:val="24"/>
        </w:rPr>
        <w:t xml:space="preserve"> that, when determining an appeal in terms of ss 35(3) and (4), the appeal authority may not step into the shoes of the first-instance decision-maker and take any decision which the first-instance decision-maker could have taken. </w:t>
      </w:r>
      <w:r w:rsidR="0003485E" w:rsidRPr="00D5098D">
        <w:rPr>
          <w:rFonts w:ascii="Arial" w:hAnsi="Arial"/>
          <w:sz w:val="24"/>
        </w:rPr>
        <w:t>Building on this subm</w:t>
      </w:r>
      <w:r w:rsidR="00C22EA5" w:rsidRPr="00D5098D">
        <w:rPr>
          <w:rFonts w:ascii="Arial" w:hAnsi="Arial"/>
          <w:sz w:val="24"/>
        </w:rPr>
        <w:t xml:space="preserve">ission, the appellants </w:t>
      </w:r>
      <w:r w:rsidR="00D94BBD">
        <w:rPr>
          <w:rFonts w:ascii="Arial" w:hAnsi="Arial"/>
          <w:sz w:val="24"/>
        </w:rPr>
        <w:t>argued</w:t>
      </w:r>
      <w:r w:rsidR="0003485E" w:rsidRPr="00D5098D">
        <w:rPr>
          <w:rFonts w:ascii="Arial" w:hAnsi="Arial"/>
          <w:sz w:val="24"/>
        </w:rPr>
        <w:t xml:space="preserve"> that</w:t>
      </w:r>
      <w:r w:rsidRPr="00D5098D">
        <w:rPr>
          <w:rFonts w:ascii="Arial" w:hAnsi="Arial"/>
          <w:sz w:val="24"/>
        </w:rPr>
        <w:t xml:space="preserve"> if the appeal authority decides to set aside the decision under appeal (as opposed to merely varying it), he or she may not replace it with an entirely different decision which the first-instance decision-maker could have taken. Thus, where the decision appealed against is the granting of authorisation for a proposed activity, the appeal authority may not set aside the granting of that authorisation and replace it with the granting of an authorisation for an alternative proposed activity. Ins</w:t>
      </w:r>
      <w:r w:rsidR="0003485E" w:rsidRPr="00D5098D">
        <w:rPr>
          <w:rFonts w:ascii="Arial" w:hAnsi="Arial"/>
          <w:sz w:val="24"/>
        </w:rPr>
        <w:t>tead, the appellants</w:t>
      </w:r>
      <w:r w:rsidRPr="00D5098D">
        <w:rPr>
          <w:rFonts w:ascii="Arial" w:hAnsi="Arial"/>
          <w:sz w:val="24"/>
        </w:rPr>
        <w:t xml:space="preserve"> contend</w:t>
      </w:r>
      <w:r w:rsidR="0003485E" w:rsidRPr="00D5098D">
        <w:rPr>
          <w:rFonts w:ascii="Arial" w:hAnsi="Arial"/>
          <w:sz w:val="24"/>
        </w:rPr>
        <w:t>ed</w:t>
      </w:r>
      <w:r w:rsidRPr="00D5098D">
        <w:rPr>
          <w:rFonts w:ascii="Arial" w:hAnsi="Arial"/>
          <w:sz w:val="24"/>
        </w:rPr>
        <w:t>, an appeal authority who sets aside a decision under appeal must remit the matter to the first-instance decision-maker for the taking of a fresh decision.</w:t>
      </w:r>
      <w:r w:rsidR="00C22EA5" w:rsidRPr="00D5098D">
        <w:rPr>
          <w:rFonts w:ascii="Arial" w:hAnsi="Arial"/>
          <w:sz w:val="24"/>
        </w:rPr>
        <w:t xml:space="preserve"> This was so, it was argued, because the remedial powers conferred by s 35(4) to ‘confirm, set aside or vary the decision’ do not also include the power to substitute.</w:t>
      </w:r>
    </w:p>
    <w:p w14:paraId="040F842A" w14:textId="470A9EB7" w:rsidR="0010505C" w:rsidRPr="00D5098D" w:rsidRDefault="0010505C" w:rsidP="0010505C">
      <w:pPr>
        <w:pStyle w:val="ListParagraph"/>
        <w:spacing w:before="240" w:after="0" w:line="360" w:lineRule="auto"/>
        <w:ind w:left="0"/>
        <w:contextualSpacing w:val="0"/>
        <w:jc w:val="both"/>
        <w:rPr>
          <w:rFonts w:ascii="Arial" w:hAnsi="Arial"/>
          <w:sz w:val="24"/>
        </w:rPr>
      </w:pPr>
      <w:r w:rsidRPr="00D5098D">
        <w:rPr>
          <w:rFonts w:ascii="Arial" w:hAnsi="Arial"/>
          <w:sz w:val="24"/>
        </w:rPr>
        <w:t>[</w:t>
      </w:r>
      <w:r w:rsidR="001934C8" w:rsidRPr="00D5098D">
        <w:rPr>
          <w:rFonts w:ascii="Arial" w:hAnsi="Arial"/>
          <w:sz w:val="24"/>
        </w:rPr>
        <w:t>3</w:t>
      </w:r>
      <w:r w:rsidR="003C5713" w:rsidRPr="00D5098D">
        <w:rPr>
          <w:rFonts w:ascii="Arial" w:hAnsi="Arial"/>
          <w:sz w:val="24"/>
        </w:rPr>
        <w:t>7</w:t>
      </w:r>
      <w:r w:rsidRPr="00D5098D">
        <w:rPr>
          <w:rFonts w:ascii="Arial" w:hAnsi="Arial"/>
          <w:sz w:val="24"/>
        </w:rPr>
        <w:t>]</w:t>
      </w:r>
      <w:r w:rsidRPr="00D5098D">
        <w:rPr>
          <w:rFonts w:ascii="Arial" w:hAnsi="Arial"/>
          <w:sz w:val="24"/>
        </w:rPr>
        <w:tab/>
        <w:t xml:space="preserve">The correctness </w:t>
      </w:r>
      <w:r w:rsidR="00A479E5" w:rsidRPr="00D5098D">
        <w:rPr>
          <w:rFonts w:ascii="Arial" w:hAnsi="Arial"/>
          <w:sz w:val="24"/>
        </w:rPr>
        <w:t>of the appellants’ submissions</w:t>
      </w:r>
      <w:r w:rsidRPr="00D5098D">
        <w:rPr>
          <w:rFonts w:ascii="Arial" w:hAnsi="Arial"/>
          <w:sz w:val="24"/>
        </w:rPr>
        <w:t xml:space="preserve"> depend</w:t>
      </w:r>
      <w:r w:rsidR="00A479E5" w:rsidRPr="00D5098D">
        <w:rPr>
          <w:rFonts w:ascii="Arial" w:hAnsi="Arial"/>
          <w:sz w:val="24"/>
        </w:rPr>
        <w:t>s</w:t>
      </w:r>
      <w:r w:rsidRPr="00D5098D">
        <w:rPr>
          <w:rFonts w:ascii="Arial" w:hAnsi="Arial"/>
          <w:sz w:val="24"/>
        </w:rPr>
        <w:t xml:space="preserve"> on the construction of</w:t>
      </w:r>
      <w:r w:rsidR="003D5708" w:rsidRPr="00D5098D">
        <w:rPr>
          <w:rFonts w:ascii="Arial" w:hAnsi="Arial"/>
          <w:sz w:val="24"/>
        </w:rPr>
        <w:t xml:space="preserve"> the provisions of</w:t>
      </w:r>
      <w:r w:rsidRPr="00D5098D">
        <w:rPr>
          <w:rFonts w:ascii="Arial" w:hAnsi="Arial"/>
          <w:sz w:val="24"/>
        </w:rPr>
        <w:t xml:space="preserve"> s 35(3) and s 35(4) of the ECA</w:t>
      </w:r>
      <w:r w:rsidR="003D5708" w:rsidRPr="00D5098D">
        <w:rPr>
          <w:rFonts w:ascii="Arial" w:hAnsi="Arial"/>
          <w:sz w:val="24"/>
        </w:rPr>
        <w:t xml:space="preserve"> considered textually, contextually and purposively</w:t>
      </w:r>
      <w:r w:rsidRPr="00D5098D">
        <w:rPr>
          <w:rFonts w:ascii="Arial" w:hAnsi="Arial"/>
          <w:sz w:val="24"/>
        </w:rPr>
        <w:t xml:space="preserve"> and the nature of the appeals </w:t>
      </w:r>
      <w:r w:rsidR="003D5708" w:rsidRPr="00D5098D">
        <w:rPr>
          <w:rFonts w:ascii="Arial" w:hAnsi="Arial"/>
          <w:sz w:val="24"/>
        </w:rPr>
        <w:t>they envisage.</w:t>
      </w:r>
      <w:r w:rsidR="00553DA5" w:rsidRPr="00D5098D">
        <w:rPr>
          <w:rFonts w:ascii="Arial" w:hAnsi="Arial"/>
          <w:sz w:val="24"/>
        </w:rPr>
        <w:t xml:space="preserve"> </w:t>
      </w:r>
      <w:r w:rsidRPr="00D5098D">
        <w:rPr>
          <w:rFonts w:ascii="Arial" w:hAnsi="Arial"/>
          <w:sz w:val="24"/>
        </w:rPr>
        <w:t xml:space="preserve">As already alluded to, where a decision has been made by someone acting under powers delegated by a competent authority, referred to in s 22, any person who feels aggrieved </w:t>
      </w:r>
      <w:r w:rsidR="00BD6407" w:rsidRPr="00D5098D">
        <w:rPr>
          <w:rFonts w:ascii="Arial" w:hAnsi="Arial"/>
          <w:sz w:val="24"/>
        </w:rPr>
        <w:t>at</w:t>
      </w:r>
      <w:r w:rsidRPr="00D5098D">
        <w:rPr>
          <w:rFonts w:ascii="Arial" w:hAnsi="Arial"/>
          <w:sz w:val="24"/>
        </w:rPr>
        <w:t xml:space="preserve"> the decision is entitled to appeal against it to the competent authority in terms of s 35(3) and s 35(4) of the ECA.</w:t>
      </w:r>
    </w:p>
    <w:p w14:paraId="624DED69" w14:textId="77777777" w:rsidR="0010505C" w:rsidRPr="00D5098D" w:rsidRDefault="0010505C" w:rsidP="0010505C">
      <w:pPr>
        <w:pStyle w:val="ListParagraph"/>
        <w:spacing w:before="240" w:after="0" w:line="360" w:lineRule="auto"/>
        <w:ind w:left="0"/>
        <w:contextualSpacing w:val="0"/>
        <w:jc w:val="both"/>
        <w:rPr>
          <w:rFonts w:ascii="Arial" w:hAnsi="Arial"/>
          <w:sz w:val="24"/>
        </w:rPr>
      </w:pPr>
      <w:r w:rsidRPr="00D5098D">
        <w:rPr>
          <w:rFonts w:ascii="Arial" w:hAnsi="Arial"/>
          <w:sz w:val="24"/>
        </w:rPr>
        <w:t>[</w:t>
      </w:r>
      <w:r w:rsidR="001934C8" w:rsidRPr="00D5098D">
        <w:rPr>
          <w:rFonts w:ascii="Arial" w:hAnsi="Arial"/>
          <w:sz w:val="24"/>
        </w:rPr>
        <w:t>3</w:t>
      </w:r>
      <w:r w:rsidR="003C5713" w:rsidRPr="00D5098D">
        <w:rPr>
          <w:rFonts w:ascii="Arial" w:hAnsi="Arial"/>
          <w:sz w:val="24"/>
        </w:rPr>
        <w:t>8</w:t>
      </w:r>
      <w:r w:rsidRPr="00D5098D">
        <w:rPr>
          <w:rFonts w:ascii="Arial" w:hAnsi="Arial"/>
          <w:sz w:val="24"/>
        </w:rPr>
        <w:t>]</w:t>
      </w:r>
      <w:r w:rsidRPr="00D5098D">
        <w:rPr>
          <w:rFonts w:ascii="Arial" w:hAnsi="Arial"/>
          <w:sz w:val="24"/>
        </w:rPr>
        <w:tab/>
        <w:t>Section</w:t>
      </w:r>
      <w:r w:rsidR="00C37816" w:rsidRPr="00D5098D">
        <w:rPr>
          <w:rFonts w:ascii="Arial" w:hAnsi="Arial"/>
          <w:sz w:val="24"/>
        </w:rPr>
        <w:t>s</w:t>
      </w:r>
      <w:r w:rsidRPr="00D5098D">
        <w:rPr>
          <w:rFonts w:ascii="Arial" w:hAnsi="Arial"/>
          <w:sz w:val="24"/>
        </w:rPr>
        <w:t xml:space="preserve"> 35(3) and (4)</w:t>
      </w:r>
      <w:r w:rsidR="00C22EA5" w:rsidRPr="00D5098D">
        <w:rPr>
          <w:rFonts w:ascii="Arial" w:hAnsi="Arial"/>
          <w:sz w:val="24"/>
        </w:rPr>
        <w:t xml:space="preserve"> </w:t>
      </w:r>
      <w:r w:rsidRPr="00D5098D">
        <w:rPr>
          <w:rFonts w:ascii="Arial" w:hAnsi="Arial"/>
          <w:sz w:val="24"/>
        </w:rPr>
        <w:t>read as follows:</w:t>
      </w:r>
    </w:p>
    <w:p w14:paraId="6299D126" w14:textId="77777777" w:rsidR="0010505C" w:rsidRPr="00D5098D" w:rsidRDefault="0010505C" w:rsidP="0010505C">
      <w:pPr>
        <w:pStyle w:val="ListParagraph"/>
        <w:spacing w:line="360" w:lineRule="auto"/>
        <w:ind w:left="0"/>
        <w:jc w:val="both"/>
        <w:rPr>
          <w:rFonts w:ascii="Arial" w:hAnsi="Arial"/>
          <w:sz w:val="22"/>
          <w:szCs w:val="22"/>
        </w:rPr>
      </w:pPr>
      <w:r w:rsidRPr="00D5098D">
        <w:rPr>
          <w:rFonts w:ascii="Arial" w:hAnsi="Arial"/>
          <w:sz w:val="22"/>
          <w:szCs w:val="22"/>
        </w:rPr>
        <w:t xml:space="preserve">‘(3) </w:t>
      </w:r>
      <w:r w:rsidR="004A3567" w:rsidRPr="00D5098D">
        <w:rPr>
          <w:rFonts w:ascii="Arial" w:hAnsi="Arial"/>
          <w:sz w:val="22"/>
          <w:szCs w:val="22"/>
          <w:lang w:val="en-GB"/>
        </w:rPr>
        <w:t>Subject to the provisions of subsections (1) and (2) any person who feels aggrieved at a decision of an officer or employee exercising any power delegated to him in terms of this Act or conferred upon him by regulation, may appeal against such decision to the Minister</w:t>
      </w:r>
      <w:r w:rsidR="00850B8A" w:rsidRPr="00D5098D">
        <w:rPr>
          <w:rFonts w:ascii="Arial" w:hAnsi="Arial"/>
          <w:sz w:val="22"/>
          <w:szCs w:val="22"/>
          <w:lang w:val="en-GB"/>
        </w:rPr>
        <w:t xml:space="preserve"> . . .</w:t>
      </w:r>
      <w:r w:rsidR="004A3567" w:rsidRPr="00D5098D">
        <w:rPr>
          <w:rFonts w:ascii="Arial" w:hAnsi="Arial"/>
          <w:sz w:val="22"/>
          <w:szCs w:val="22"/>
          <w:lang w:val="en-GB"/>
        </w:rPr>
        <w:t xml:space="preserve"> in the prescribed manner, within the prescribed period and upon payment of the prescribed fee.</w:t>
      </w:r>
    </w:p>
    <w:p w14:paraId="41F9903F" w14:textId="77777777" w:rsidR="0010505C" w:rsidRPr="00D5098D" w:rsidRDefault="0010505C" w:rsidP="0010505C">
      <w:pPr>
        <w:pStyle w:val="ListParagraph"/>
        <w:spacing w:line="360" w:lineRule="auto"/>
        <w:ind w:left="0"/>
        <w:jc w:val="both"/>
        <w:rPr>
          <w:rFonts w:ascii="Arial" w:hAnsi="Arial"/>
          <w:sz w:val="22"/>
          <w:szCs w:val="22"/>
        </w:rPr>
      </w:pPr>
    </w:p>
    <w:p w14:paraId="1E1F9AE1" w14:textId="77777777" w:rsidR="001934C8" w:rsidRPr="00D5098D" w:rsidRDefault="0010505C" w:rsidP="0010505C">
      <w:pPr>
        <w:pStyle w:val="ListParagraph"/>
        <w:spacing w:line="360" w:lineRule="auto"/>
        <w:ind w:left="0"/>
        <w:jc w:val="both"/>
        <w:rPr>
          <w:rFonts w:ascii="Arial" w:hAnsi="Arial"/>
          <w:sz w:val="22"/>
          <w:szCs w:val="22"/>
        </w:rPr>
      </w:pPr>
      <w:r w:rsidRPr="00D5098D">
        <w:rPr>
          <w:rFonts w:ascii="Arial" w:hAnsi="Arial"/>
          <w:sz w:val="22"/>
          <w:szCs w:val="22"/>
        </w:rPr>
        <w:t xml:space="preserve">(4) </w:t>
      </w:r>
      <w:r w:rsidR="004A3567" w:rsidRPr="00D5098D">
        <w:rPr>
          <w:rFonts w:ascii="Arial" w:hAnsi="Arial"/>
          <w:sz w:val="22"/>
          <w:szCs w:val="22"/>
          <w:lang w:val="en-GB"/>
        </w:rPr>
        <w:t>The Minister, the Minister of Water Affairs or a</w:t>
      </w:r>
      <w:r w:rsidR="00850B8A" w:rsidRPr="00D5098D">
        <w:rPr>
          <w:rFonts w:ascii="Arial" w:hAnsi="Arial"/>
          <w:sz w:val="22"/>
          <w:szCs w:val="22"/>
          <w:lang w:val="en-GB"/>
        </w:rPr>
        <w:t xml:space="preserve"> competent authority</w:t>
      </w:r>
      <w:r w:rsidR="004A3567" w:rsidRPr="00D5098D">
        <w:rPr>
          <w:rFonts w:ascii="Arial" w:hAnsi="Arial"/>
          <w:sz w:val="22"/>
          <w:szCs w:val="22"/>
          <w:lang w:val="en-GB"/>
        </w:rPr>
        <w:t>, as the case may be, may, after considering such an appeal, confirm, set aside or vary the decision of the officer or employee or make such order as he may deem fit, including an order that the prescribed fee paid by the applicant or such part thereof as the Minister or Administrator concerned may determine be refunded to that person.</w:t>
      </w:r>
      <w:r w:rsidRPr="00D5098D">
        <w:rPr>
          <w:rFonts w:ascii="Arial" w:hAnsi="Arial"/>
          <w:sz w:val="22"/>
          <w:szCs w:val="22"/>
        </w:rPr>
        <w:t>’</w:t>
      </w:r>
    </w:p>
    <w:p w14:paraId="3D8562FC" w14:textId="77777777" w:rsidR="00C93ADF" w:rsidRPr="00D5098D" w:rsidRDefault="00C93ADF" w:rsidP="0010505C">
      <w:pPr>
        <w:pStyle w:val="ListParagraph"/>
        <w:spacing w:line="360" w:lineRule="auto"/>
        <w:ind w:left="0"/>
        <w:jc w:val="both"/>
        <w:rPr>
          <w:rFonts w:ascii="Arial" w:hAnsi="Arial"/>
          <w:sz w:val="22"/>
          <w:szCs w:val="22"/>
        </w:rPr>
      </w:pPr>
    </w:p>
    <w:p w14:paraId="41332EB2" w14:textId="7D77AE7D" w:rsidR="003C5713" w:rsidRPr="00D5098D" w:rsidRDefault="00B15251" w:rsidP="003C5713">
      <w:pPr>
        <w:pStyle w:val="ListParagraph"/>
        <w:spacing w:before="240" w:after="0" w:line="360" w:lineRule="auto"/>
        <w:ind w:left="0"/>
        <w:contextualSpacing w:val="0"/>
        <w:jc w:val="both"/>
        <w:rPr>
          <w:rFonts w:ascii="Arial" w:hAnsi="Arial"/>
          <w:sz w:val="24"/>
        </w:rPr>
      </w:pPr>
      <w:r w:rsidRPr="00D5098D">
        <w:rPr>
          <w:rFonts w:ascii="Arial" w:hAnsi="Arial"/>
          <w:sz w:val="24"/>
        </w:rPr>
        <w:t>[</w:t>
      </w:r>
      <w:r w:rsidR="003C5713" w:rsidRPr="00D5098D">
        <w:rPr>
          <w:rFonts w:ascii="Arial" w:hAnsi="Arial"/>
          <w:sz w:val="24"/>
        </w:rPr>
        <w:t>39</w:t>
      </w:r>
      <w:r w:rsidRPr="00D5098D">
        <w:rPr>
          <w:rFonts w:ascii="Arial" w:hAnsi="Arial"/>
          <w:sz w:val="24"/>
        </w:rPr>
        <w:t>]</w:t>
      </w:r>
      <w:r w:rsidRPr="00D5098D">
        <w:rPr>
          <w:rFonts w:ascii="Arial" w:hAnsi="Arial"/>
          <w:sz w:val="24"/>
        </w:rPr>
        <w:tab/>
        <w:t>Appeals under s</w:t>
      </w:r>
      <w:r w:rsidR="00B112B7" w:rsidRPr="00D5098D">
        <w:rPr>
          <w:rFonts w:ascii="Arial" w:hAnsi="Arial"/>
          <w:sz w:val="24"/>
        </w:rPr>
        <w:t>s</w:t>
      </w:r>
      <w:r w:rsidRPr="00D5098D">
        <w:rPr>
          <w:rFonts w:ascii="Arial" w:hAnsi="Arial"/>
          <w:sz w:val="24"/>
        </w:rPr>
        <w:t xml:space="preserve"> 35(3) and (4) are appeals in the wide sense described in </w:t>
      </w:r>
      <w:r w:rsidRPr="00D5098D">
        <w:rPr>
          <w:rFonts w:ascii="Arial" w:hAnsi="Arial"/>
          <w:i/>
          <w:sz w:val="24"/>
        </w:rPr>
        <w:t>Tikly and Others v Johannes NO and Others</w:t>
      </w:r>
      <w:r w:rsidR="00664815" w:rsidRPr="00D5098D">
        <w:rPr>
          <w:rFonts w:ascii="Arial" w:hAnsi="Arial"/>
          <w:i/>
          <w:sz w:val="24"/>
        </w:rPr>
        <w:t>,</w:t>
      </w:r>
      <w:r w:rsidR="00A870FE" w:rsidRPr="00D5098D">
        <w:rPr>
          <w:rStyle w:val="FootnoteReference"/>
          <w:rFonts w:ascii="Arial" w:hAnsi="Arial"/>
          <w:iCs/>
          <w:sz w:val="24"/>
        </w:rPr>
        <w:footnoteReference w:id="6"/>
      </w:r>
      <w:r w:rsidR="00430FE9" w:rsidRPr="00D5098D">
        <w:rPr>
          <w:rFonts w:ascii="Arial" w:hAnsi="Arial"/>
          <w:sz w:val="24"/>
        </w:rPr>
        <w:t xml:space="preserve"> </w:t>
      </w:r>
      <w:r w:rsidRPr="00D5098D">
        <w:rPr>
          <w:rFonts w:ascii="Arial" w:hAnsi="Arial"/>
          <w:sz w:val="24"/>
        </w:rPr>
        <w:t>namely a complete re-hearing of, and fresh determination on the merits of the matter with or without additional evidence or information.</w:t>
      </w:r>
      <w:r w:rsidR="003C5713" w:rsidRPr="00D5098D">
        <w:rPr>
          <w:rFonts w:ascii="Arial" w:hAnsi="Arial"/>
          <w:sz w:val="24"/>
          <w:lang w:val="en-GB"/>
        </w:rPr>
        <w:t xml:space="preserve"> In </w:t>
      </w:r>
      <w:r w:rsidR="003C5713" w:rsidRPr="00D5098D">
        <w:rPr>
          <w:rFonts w:ascii="Arial" w:hAnsi="Arial"/>
          <w:i/>
          <w:iCs/>
          <w:sz w:val="24"/>
          <w:lang w:val="en-GB"/>
        </w:rPr>
        <w:t>Hangklip/Kleinmond Federation of Ratepayers Associations v MEC for Environmental Planning and Economic Development: Western Cape</w:t>
      </w:r>
      <w:r w:rsidR="003C5713" w:rsidRPr="00D5098D">
        <w:rPr>
          <w:rStyle w:val="FootnoteReference"/>
          <w:rFonts w:ascii="Arial" w:hAnsi="Arial"/>
          <w:i/>
          <w:iCs/>
          <w:sz w:val="24"/>
          <w:lang w:val="en-GB"/>
        </w:rPr>
        <w:footnoteReference w:id="7"/>
      </w:r>
      <w:r w:rsidR="003C5713" w:rsidRPr="00D5098D">
        <w:rPr>
          <w:rFonts w:ascii="Arial" w:hAnsi="Arial"/>
          <w:i/>
          <w:iCs/>
          <w:sz w:val="24"/>
          <w:lang w:val="en-GB"/>
        </w:rPr>
        <w:t xml:space="preserve"> </w:t>
      </w:r>
      <w:r w:rsidR="003C5713" w:rsidRPr="00D5098D">
        <w:rPr>
          <w:rFonts w:ascii="Arial" w:hAnsi="Arial"/>
          <w:sz w:val="24"/>
          <w:lang w:val="en-GB"/>
        </w:rPr>
        <w:t>(</w:t>
      </w:r>
      <w:r w:rsidR="003C5713" w:rsidRPr="00D5098D">
        <w:rPr>
          <w:rFonts w:ascii="Arial" w:hAnsi="Arial"/>
          <w:i/>
          <w:iCs/>
          <w:sz w:val="24"/>
          <w:lang w:val="en-GB"/>
        </w:rPr>
        <w:t>Hangklip/Kleinmond</w:t>
      </w:r>
      <w:r w:rsidR="003C5713" w:rsidRPr="00D5098D">
        <w:rPr>
          <w:rFonts w:ascii="Arial" w:hAnsi="Arial"/>
          <w:sz w:val="24"/>
          <w:lang w:val="en-GB"/>
        </w:rPr>
        <w:t>)</w:t>
      </w:r>
      <w:r w:rsidR="003C5713" w:rsidRPr="00D5098D">
        <w:rPr>
          <w:rFonts w:ascii="Arial" w:hAnsi="Arial"/>
          <w:i/>
          <w:sz w:val="24"/>
          <w:lang w:val="en-GB"/>
        </w:rPr>
        <w:t xml:space="preserve">, </w:t>
      </w:r>
      <w:r w:rsidR="003C5713" w:rsidRPr="00D5098D">
        <w:rPr>
          <w:rFonts w:ascii="Arial" w:hAnsi="Arial"/>
          <w:sz w:val="24"/>
        </w:rPr>
        <w:t>the high court held that an appeal to the MEC under s 35(3) of the ECA is an appeal in the wide sense.</w:t>
      </w:r>
      <w:r w:rsidR="003C5713" w:rsidRPr="00D5098D">
        <w:t xml:space="preserve"> </w:t>
      </w:r>
      <w:r w:rsidR="003C5713" w:rsidRPr="00D5098D">
        <w:rPr>
          <w:rFonts w:ascii="Arial" w:hAnsi="Arial"/>
          <w:sz w:val="24"/>
        </w:rPr>
        <w:t>The court had this to say regarding the nature of the appeal under s 35(3) and s 35(4) of the ECA:</w:t>
      </w:r>
      <w:r w:rsidR="003C5713" w:rsidRPr="00D5098D">
        <w:rPr>
          <w:rStyle w:val="FootnoteReference"/>
          <w:rFonts w:ascii="Arial" w:hAnsi="Arial"/>
          <w:sz w:val="24"/>
        </w:rPr>
        <w:footnoteReference w:id="8"/>
      </w:r>
    </w:p>
    <w:p w14:paraId="639331A3" w14:textId="77777777" w:rsidR="003C5713" w:rsidRPr="00D5098D" w:rsidRDefault="003C5713" w:rsidP="003C5713">
      <w:pPr>
        <w:pStyle w:val="ListParagraph"/>
        <w:spacing w:line="360" w:lineRule="auto"/>
        <w:ind w:left="0"/>
        <w:jc w:val="both"/>
        <w:rPr>
          <w:rFonts w:ascii="Arial" w:hAnsi="Arial"/>
          <w:iCs/>
          <w:sz w:val="22"/>
          <w:szCs w:val="22"/>
        </w:rPr>
      </w:pPr>
      <w:r w:rsidRPr="00D5098D">
        <w:rPr>
          <w:rFonts w:ascii="Arial" w:hAnsi="Arial"/>
          <w:iCs/>
          <w:sz w:val="22"/>
          <w:szCs w:val="22"/>
        </w:rPr>
        <w:t>‘In considering and in the end upholding the appeal, the minister acted in terms of section 35(4) of ECA which provides that the minister “</w:t>
      </w:r>
      <w:r w:rsidRPr="00D5098D">
        <w:rPr>
          <w:rFonts w:ascii="Arial" w:hAnsi="Arial"/>
          <w:i/>
          <w:sz w:val="22"/>
          <w:szCs w:val="22"/>
        </w:rPr>
        <w:t>may, after considering such appeal, confirm, set aside or vary the decision of the officer or employee or make such order as he may deem fit</w:t>
      </w:r>
      <w:r w:rsidRPr="00D5098D">
        <w:rPr>
          <w:rFonts w:ascii="Arial" w:hAnsi="Arial"/>
          <w:iCs/>
          <w:sz w:val="22"/>
          <w:szCs w:val="22"/>
        </w:rPr>
        <w:t>. . .”. The appeal under section 35(4) is an appeal in the wide sense. It involves a complete rehearing and a fresh determination on the merits of the application with or without additional evidence or information.</w:t>
      </w:r>
    </w:p>
    <w:p w14:paraId="20E4254A" w14:textId="77777777" w:rsidR="003C5713" w:rsidRPr="00D5098D" w:rsidRDefault="003C5713" w:rsidP="003C5713">
      <w:pPr>
        <w:pStyle w:val="ListParagraph"/>
        <w:spacing w:line="360" w:lineRule="auto"/>
        <w:ind w:left="142"/>
        <w:jc w:val="both"/>
        <w:rPr>
          <w:rFonts w:ascii="Arial" w:hAnsi="Arial"/>
          <w:iCs/>
          <w:sz w:val="22"/>
          <w:szCs w:val="22"/>
        </w:rPr>
      </w:pPr>
    </w:p>
    <w:p w14:paraId="6B775103" w14:textId="77777777" w:rsidR="003C5713" w:rsidRPr="00D5098D" w:rsidRDefault="003C5713" w:rsidP="003C5713">
      <w:pPr>
        <w:pStyle w:val="ListParagraph"/>
        <w:spacing w:line="360" w:lineRule="auto"/>
        <w:ind w:left="0"/>
        <w:jc w:val="both"/>
        <w:rPr>
          <w:rFonts w:ascii="Arial" w:hAnsi="Arial"/>
          <w:iCs/>
          <w:sz w:val="22"/>
          <w:szCs w:val="22"/>
        </w:rPr>
      </w:pPr>
      <w:r w:rsidRPr="00D5098D">
        <w:rPr>
          <w:rFonts w:ascii="Arial" w:hAnsi="Arial"/>
          <w:iCs/>
          <w:sz w:val="22"/>
          <w:szCs w:val="22"/>
        </w:rPr>
        <w:t>The minister came to the conclusion that authorisation should be granted. Mr Jamie SC, who appeared with Ms Bawa for the fourth respondent submitted that in giving her approval, the minister acted under section 35(4) and not, as was submitted by counsel for all the other parties, under section 22(3) of ECA. We do not agree with Mr Jamie’s submission. Having decided to uphold the appeal, the minister then decided to substitute the director’s decision with her own decision. In deciding which decision she should make she must act in terms of the provision under which the first decision-maker (the director) acted. That provision is section 22(3) of ECA.</w:t>
      </w:r>
    </w:p>
    <w:p w14:paraId="5B6BC4B8" w14:textId="77777777" w:rsidR="003C5713" w:rsidRPr="00D5098D" w:rsidRDefault="003C5713" w:rsidP="003C5713">
      <w:pPr>
        <w:pStyle w:val="ListParagraph"/>
        <w:spacing w:line="360" w:lineRule="auto"/>
        <w:ind w:left="142"/>
        <w:jc w:val="both"/>
        <w:rPr>
          <w:rFonts w:ascii="Arial" w:hAnsi="Arial"/>
          <w:iCs/>
          <w:sz w:val="22"/>
          <w:szCs w:val="22"/>
        </w:rPr>
      </w:pPr>
    </w:p>
    <w:p w14:paraId="50669E96" w14:textId="6E73D45A" w:rsidR="00CF0492" w:rsidRPr="00D5098D" w:rsidRDefault="003C5713" w:rsidP="003C5713">
      <w:pPr>
        <w:pStyle w:val="ListParagraph"/>
        <w:spacing w:line="360" w:lineRule="auto"/>
        <w:ind w:left="0"/>
        <w:jc w:val="both"/>
        <w:rPr>
          <w:rFonts w:ascii="Arial" w:hAnsi="Arial"/>
          <w:sz w:val="24"/>
        </w:rPr>
      </w:pPr>
      <w:r w:rsidRPr="00D5098D">
        <w:rPr>
          <w:rFonts w:ascii="Arial" w:hAnsi="Arial"/>
          <w:iCs/>
          <w:sz w:val="22"/>
          <w:szCs w:val="22"/>
        </w:rPr>
        <w:t>Section 22(3) confers a wide discretion on the competent authority who “may at his or its discretion refuse or grant the authorisation for the proposed activity or an alternative proposed activity on such conditions, if any, as he or it may deem necessary”.  The minister is therefore empowered, in granting authorisation to impose such conditions as she deemed necessary, provided such condition is within the authority given to her under the provisions of ECA read with the relevant provisions of NEMA.’</w:t>
      </w:r>
      <w:r w:rsidR="00216156" w:rsidRPr="00D5098D">
        <w:rPr>
          <w:rFonts w:ascii="Arial" w:hAnsi="Arial"/>
          <w:sz w:val="24"/>
        </w:rPr>
        <w:tab/>
      </w:r>
    </w:p>
    <w:p w14:paraId="6CA66EFD" w14:textId="77777777" w:rsidR="005958F5" w:rsidRPr="00D5098D" w:rsidRDefault="005958F5" w:rsidP="003C5713">
      <w:pPr>
        <w:pStyle w:val="ListParagraph"/>
        <w:spacing w:line="360" w:lineRule="auto"/>
        <w:ind w:left="0"/>
        <w:jc w:val="both"/>
        <w:rPr>
          <w:rFonts w:ascii="Arial" w:hAnsi="Arial"/>
          <w:iCs/>
          <w:sz w:val="22"/>
          <w:szCs w:val="22"/>
        </w:rPr>
      </w:pPr>
    </w:p>
    <w:p w14:paraId="0BDEAEDF" w14:textId="77777777" w:rsidR="00CF0492" w:rsidRPr="00D5098D" w:rsidRDefault="00CF0492" w:rsidP="00CF0492">
      <w:pPr>
        <w:pStyle w:val="ListParagraph"/>
        <w:spacing w:line="360" w:lineRule="auto"/>
        <w:ind w:left="0"/>
        <w:jc w:val="both"/>
        <w:rPr>
          <w:rFonts w:ascii="Arial" w:hAnsi="Arial"/>
          <w:iCs/>
          <w:sz w:val="24"/>
        </w:rPr>
      </w:pPr>
      <w:r w:rsidRPr="00D5098D">
        <w:rPr>
          <w:rFonts w:ascii="Arial" w:hAnsi="Arial"/>
          <w:iCs/>
          <w:sz w:val="24"/>
        </w:rPr>
        <w:t>[4</w:t>
      </w:r>
      <w:r w:rsidR="003C5713" w:rsidRPr="00D5098D">
        <w:rPr>
          <w:rFonts w:ascii="Arial" w:hAnsi="Arial"/>
          <w:iCs/>
          <w:sz w:val="24"/>
        </w:rPr>
        <w:t>0</w:t>
      </w:r>
      <w:r w:rsidRPr="00D5098D">
        <w:rPr>
          <w:rFonts w:ascii="Arial" w:hAnsi="Arial"/>
          <w:iCs/>
          <w:sz w:val="24"/>
        </w:rPr>
        <w:t>]</w:t>
      </w:r>
      <w:r w:rsidRPr="00D5098D">
        <w:rPr>
          <w:rFonts w:ascii="Arial" w:hAnsi="Arial"/>
          <w:iCs/>
          <w:sz w:val="24"/>
        </w:rPr>
        <w:tab/>
      </w:r>
      <w:r w:rsidRPr="00D5098D">
        <w:rPr>
          <w:rFonts w:ascii="Arial" w:hAnsi="Arial"/>
          <w:iCs/>
          <w:sz w:val="24"/>
          <w:lang w:val="en-GB"/>
        </w:rPr>
        <w:t xml:space="preserve">In </w:t>
      </w:r>
      <w:r w:rsidR="00C528AB" w:rsidRPr="00D5098D">
        <w:rPr>
          <w:rFonts w:ascii="Arial" w:hAnsi="Arial"/>
          <w:i/>
          <w:iCs/>
          <w:sz w:val="24"/>
          <w:lang w:val="en-GB"/>
        </w:rPr>
        <w:t>Sea Front for All and Another v MEC: Environmental and Development Planning, Western Cape Provincial Government and Others</w:t>
      </w:r>
      <w:r w:rsidRPr="00D5098D">
        <w:rPr>
          <w:rFonts w:ascii="Arial" w:hAnsi="Arial"/>
          <w:iCs/>
          <w:sz w:val="24"/>
          <w:vertAlign w:val="superscript"/>
          <w:lang w:val="en-GB"/>
        </w:rPr>
        <w:footnoteReference w:id="9"/>
      </w:r>
      <w:r w:rsidR="00A870FE" w:rsidRPr="00D5098D">
        <w:rPr>
          <w:rFonts w:ascii="Arial" w:hAnsi="Arial"/>
          <w:i/>
          <w:iCs/>
          <w:sz w:val="24"/>
          <w:lang w:val="en-GB"/>
        </w:rPr>
        <w:t xml:space="preserve"> </w:t>
      </w:r>
      <w:r w:rsidR="00D94A0A" w:rsidRPr="00D5098D">
        <w:rPr>
          <w:rFonts w:ascii="Arial" w:hAnsi="Arial"/>
          <w:sz w:val="24"/>
          <w:lang w:val="en-GB"/>
        </w:rPr>
        <w:t>(</w:t>
      </w:r>
      <w:r w:rsidR="00D94A0A" w:rsidRPr="00D5098D">
        <w:rPr>
          <w:rFonts w:ascii="Arial" w:hAnsi="Arial"/>
          <w:i/>
          <w:iCs/>
          <w:sz w:val="24"/>
          <w:lang w:val="en-GB"/>
        </w:rPr>
        <w:t>Sea Front for All</w:t>
      </w:r>
      <w:r w:rsidR="00D94A0A" w:rsidRPr="00D5098D">
        <w:rPr>
          <w:rFonts w:ascii="Arial" w:hAnsi="Arial"/>
          <w:sz w:val="24"/>
          <w:lang w:val="en-GB"/>
        </w:rPr>
        <w:t>)</w:t>
      </w:r>
      <w:r w:rsidR="00D94A0A" w:rsidRPr="00D5098D">
        <w:rPr>
          <w:rFonts w:ascii="Arial" w:hAnsi="Arial"/>
          <w:i/>
          <w:iCs/>
          <w:sz w:val="24"/>
          <w:lang w:val="en-GB"/>
        </w:rPr>
        <w:t>,</w:t>
      </w:r>
      <w:r w:rsidRPr="00D5098D">
        <w:rPr>
          <w:rFonts w:ascii="Arial" w:hAnsi="Arial"/>
          <w:iCs/>
          <w:sz w:val="24"/>
        </w:rPr>
        <w:t xml:space="preserve"> the high court, without citing </w:t>
      </w:r>
      <w:r w:rsidRPr="00D5098D">
        <w:rPr>
          <w:rFonts w:ascii="Arial" w:hAnsi="Arial"/>
          <w:i/>
          <w:iCs/>
          <w:sz w:val="24"/>
        </w:rPr>
        <w:t>Hangklip/Kleinmond</w:t>
      </w:r>
      <w:r w:rsidRPr="00D5098D">
        <w:rPr>
          <w:rFonts w:ascii="Arial" w:hAnsi="Arial"/>
          <w:iCs/>
          <w:sz w:val="24"/>
        </w:rPr>
        <w:t xml:space="preserve">, held that: </w:t>
      </w:r>
    </w:p>
    <w:p w14:paraId="78E75456" w14:textId="77777777" w:rsidR="00CF0492" w:rsidRPr="00D5098D" w:rsidRDefault="00CF0492" w:rsidP="00CF0492">
      <w:pPr>
        <w:pStyle w:val="ListParagraph"/>
        <w:spacing w:line="360" w:lineRule="auto"/>
        <w:ind w:left="0"/>
        <w:jc w:val="both"/>
        <w:rPr>
          <w:rFonts w:ascii="Arial" w:hAnsi="Arial"/>
          <w:iCs/>
          <w:sz w:val="22"/>
          <w:szCs w:val="22"/>
        </w:rPr>
      </w:pPr>
      <w:r w:rsidRPr="00D5098D">
        <w:rPr>
          <w:rFonts w:ascii="Arial" w:hAnsi="Arial"/>
          <w:iCs/>
          <w:sz w:val="22"/>
          <w:szCs w:val="22"/>
        </w:rPr>
        <w:t xml:space="preserve">‘As emphasised by Baxter </w:t>
      </w:r>
      <w:r w:rsidRPr="00D5098D">
        <w:rPr>
          <w:rFonts w:ascii="Arial" w:hAnsi="Arial"/>
          <w:i/>
          <w:sz w:val="22"/>
          <w:szCs w:val="22"/>
        </w:rPr>
        <w:t>Administrative Law</w:t>
      </w:r>
      <w:r w:rsidRPr="00D5098D">
        <w:rPr>
          <w:rFonts w:ascii="Arial" w:hAnsi="Arial"/>
          <w:iCs/>
          <w:sz w:val="22"/>
          <w:szCs w:val="22"/>
        </w:rPr>
        <w:t xml:space="preserve"> (1984) at 255, the precise form that an administrative appeal must take and the powers of the appellate body will always depend on the terms of the relevant statutory provisions. In regard to an inter</w:t>
      </w:r>
      <w:r w:rsidR="005C6B08" w:rsidRPr="00D5098D">
        <w:rPr>
          <w:rFonts w:ascii="Arial" w:hAnsi="Arial"/>
          <w:iCs/>
          <w:sz w:val="22"/>
          <w:szCs w:val="22"/>
        </w:rPr>
        <w:t>-</w:t>
      </w:r>
      <w:r w:rsidRPr="00D5098D">
        <w:rPr>
          <w:rFonts w:ascii="Arial" w:hAnsi="Arial"/>
          <w:iCs/>
          <w:sz w:val="22"/>
          <w:szCs w:val="22"/>
        </w:rPr>
        <w:t>departmental appeal, such as the present appeal to the MEC, the learned author expresses the following view at 264-</w:t>
      </w:r>
      <w:r w:rsidR="005C6B08" w:rsidRPr="00D5098D">
        <w:rPr>
          <w:rFonts w:ascii="Arial" w:hAnsi="Arial"/>
          <w:iCs/>
          <w:sz w:val="22"/>
          <w:szCs w:val="22"/>
        </w:rPr>
        <w:t>26</w:t>
      </w:r>
      <w:r w:rsidRPr="00D5098D">
        <w:rPr>
          <w:rFonts w:ascii="Arial" w:hAnsi="Arial"/>
          <w:iCs/>
          <w:sz w:val="22"/>
          <w:szCs w:val="22"/>
        </w:rPr>
        <w:t>5:</w:t>
      </w:r>
    </w:p>
    <w:p w14:paraId="5D9B5157" w14:textId="77777777" w:rsidR="009F3BA2" w:rsidRPr="00D5098D" w:rsidRDefault="00CF0492" w:rsidP="00CF0492">
      <w:pPr>
        <w:pStyle w:val="ListParagraph"/>
        <w:spacing w:line="360" w:lineRule="auto"/>
        <w:ind w:left="0"/>
        <w:jc w:val="both"/>
        <w:rPr>
          <w:rFonts w:ascii="Arial" w:hAnsi="Arial"/>
          <w:iCs/>
          <w:sz w:val="22"/>
          <w:szCs w:val="22"/>
        </w:rPr>
      </w:pPr>
      <w:r w:rsidRPr="00D5098D">
        <w:rPr>
          <w:rFonts w:ascii="Arial" w:hAnsi="Arial"/>
          <w:iCs/>
          <w:sz w:val="22"/>
          <w:szCs w:val="22"/>
        </w:rPr>
        <w:t xml:space="preserve">“If an appeal does lie to a Minister the power of decision is thereby kept fully within the departmental hierarchy and the appellate body (the Minister) is usually in a position to exercise the widest appellate jurisdiction. Such appeals therefore normally take the form of ‘wide’ appeals, or re-hearings </w:t>
      </w:r>
      <w:r w:rsidRPr="00D5098D">
        <w:rPr>
          <w:rFonts w:ascii="Arial" w:hAnsi="Arial"/>
          <w:i/>
          <w:sz w:val="22"/>
          <w:szCs w:val="22"/>
        </w:rPr>
        <w:t>de novo</w:t>
      </w:r>
      <w:r w:rsidRPr="00D5098D">
        <w:rPr>
          <w:rFonts w:ascii="Arial" w:hAnsi="Arial"/>
          <w:iCs/>
          <w:sz w:val="22"/>
          <w:szCs w:val="22"/>
        </w:rPr>
        <w:t>.”’</w:t>
      </w:r>
    </w:p>
    <w:p w14:paraId="2A8C583D" w14:textId="77777777" w:rsidR="00CF0492" w:rsidRPr="00D5098D" w:rsidRDefault="009F3BA2" w:rsidP="00CF0492">
      <w:pPr>
        <w:pStyle w:val="ListParagraph"/>
        <w:spacing w:line="360" w:lineRule="auto"/>
        <w:ind w:left="0"/>
        <w:jc w:val="both"/>
        <w:rPr>
          <w:rFonts w:ascii="Arial" w:hAnsi="Arial"/>
          <w:iCs/>
          <w:sz w:val="22"/>
          <w:szCs w:val="22"/>
        </w:rPr>
      </w:pPr>
      <w:r w:rsidRPr="00D5098D">
        <w:rPr>
          <w:rFonts w:ascii="Arial" w:hAnsi="Arial"/>
          <w:iCs/>
          <w:sz w:val="22"/>
          <w:szCs w:val="22"/>
        </w:rPr>
        <w:t>…</w:t>
      </w:r>
    </w:p>
    <w:p w14:paraId="6521E9A2" w14:textId="77777777" w:rsidR="00CF0492" w:rsidRPr="00D5098D" w:rsidRDefault="00CF0492" w:rsidP="00CF0492">
      <w:pPr>
        <w:pStyle w:val="ListParagraph"/>
        <w:spacing w:line="360" w:lineRule="auto"/>
        <w:ind w:left="0"/>
        <w:jc w:val="both"/>
        <w:rPr>
          <w:rFonts w:ascii="Arial" w:hAnsi="Arial"/>
          <w:iCs/>
          <w:sz w:val="22"/>
          <w:szCs w:val="22"/>
        </w:rPr>
      </w:pPr>
      <w:r w:rsidRPr="00D5098D">
        <w:rPr>
          <w:rFonts w:ascii="Arial" w:hAnsi="Arial"/>
          <w:iCs/>
          <w:sz w:val="22"/>
          <w:szCs w:val="22"/>
        </w:rPr>
        <w:t xml:space="preserve">In the instant matter the power of decision on appeal is also kept fully within the departmental hierarchy, which, as pointed out by Baxter </w:t>
      </w:r>
      <w:r w:rsidRPr="00D5098D">
        <w:rPr>
          <w:rFonts w:ascii="Arial" w:hAnsi="Arial"/>
          <w:i/>
          <w:sz w:val="22"/>
          <w:szCs w:val="22"/>
        </w:rPr>
        <w:t>supra</w:t>
      </w:r>
      <w:r w:rsidRPr="00D5098D">
        <w:rPr>
          <w:rFonts w:ascii="Arial" w:hAnsi="Arial"/>
          <w:iCs/>
          <w:sz w:val="22"/>
          <w:szCs w:val="22"/>
        </w:rPr>
        <w:t>, results in the appeal normally taking the form of a re</w:t>
      </w:r>
      <w:r w:rsidR="005C6B08" w:rsidRPr="00D5098D">
        <w:rPr>
          <w:rFonts w:ascii="Arial" w:hAnsi="Arial"/>
          <w:iCs/>
          <w:sz w:val="22"/>
          <w:szCs w:val="22"/>
        </w:rPr>
        <w:t>-</w:t>
      </w:r>
      <w:r w:rsidRPr="00D5098D">
        <w:rPr>
          <w:rFonts w:ascii="Arial" w:hAnsi="Arial"/>
          <w:iCs/>
          <w:sz w:val="22"/>
          <w:szCs w:val="22"/>
        </w:rPr>
        <w:t xml:space="preserve">hearing </w:t>
      </w:r>
      <w:r w:rsidRPr="00D5098D">
        <w:rPr>
          <w:rFonts w:ascii="Arial" w:hAnsi="Arial"/>
          <w:i/>
          <w:sz w:val="22"/>
          <w:szCs w:val="22"/>
        </w:rPr>
        <w:t>de novo</w:t>
      </w:r>
      <w:r w:rsidRPr="00D5098D">
        <w:rPr>
          <w:rFonts w:ascii="Arial" w:hAnsi="Arial"/>
          <w:iCs/>
          <w:sz w:val="22"/>
          <w:szCs w:val="22"/>
        </w:rPr>
        <w:t>. Notably too, s</w:t>
      </w:r>
      <w:r w:rsidR="007E11BD" w:rsidRPr="00D5098D">
        <w:rPr>
          <w:rFonts w:ascii="Arial" w:hAnsi="Arial"/>
          <w:iCs/>
          <w:sz w:val="22"/>
          <w:szCs w:val="22"/>
        </w:rPr>
        <w:t>ection</w:t>
      </w:r>
      <w:r w:rsidRPr="00D5098D">
        <w:rPr>
          <w:rFonts w:ascii="Arial" w:hAnsi="Arial"/>
          <w:iCs/>
          <w:sz w:val="22"/>
          <w:szCs w:val="22"/>
        </w:rPr>
        <w:t> 35(4) confers wider powers on the MEC than would be the case in a “normal” appeal, namely</w:t>
      </w:r>
      <w:r w:rsidR="007E11BD" w:rsidRPr="00D5098D">
        <w:rPr>
          <w:rFonts w:ascii="Arial" w:hAnsi="Arial"/>
          <w:iCs/>
          <w:sz w:val="22"/>
          <w:szCs w:val="22"/>
        </w:rPr>
        <w:t>,</w:t>
      </w:r>
      <w:r w:rsidRPr="00D5098D">
        <w:rPr>
          <w:rFonts w:ascii="Arial" w:hAnsi="Arial"/>
          <w:iCs/>
          <w:sz w:val="22"/>
          <w:szCs w:val="22"/>
        </w:rPr>
        <w:t xml:space="preserve"> to confirm, set aside or vary the decision of the second respondent, or to make such order as she may deem fit</w:t>
      </w:r>
      <w:r w:rsidR="007E11BD" w:rsidRPr="00D5098D">
        <w:rPr>
          <w:rFonts w:ascii="Arial" w:hAnsi="Arial"/>
          <w:iCs/>
          <w:sz w:val="22"/>
          <w:szCs w:val="22"/>
        </w:rPr>
        <w:t>.</w:t>
      </w:r>
    </w:p>
    <w:p w14:paraId="610CE502" w14:textId="77777777" w:rsidR="00CF0492" w:rsidRPr="00D5098D" w:rsidRDefault="00E225B0" w:rsidP="00CF0492">
      <w:pPr>
        <w:pStyle w:val="ListParagraph"/>
        <w:spacing w:line="360" w:lineRule="auto"/>
        <w:ind w:left="142"/>
        <w:jc w:val="both"/>
        <w:rPr>
          <w:rFonts w:ascii="Arial" w:hAnsi="Arial"/>
          <w:iCs/>
          <w:sz w:val="22"/>
          <w:szCs w:val="22"/>
        </w:rPr>
      </w:pPr>
      <w:r w:rsidRPr="00D5098D">
        <w:rPr>
          <w:rFonts w:ascii="Arial" w:hAnsi="Arial"/>
          <w:iCs/>
          <w:sz w:val="22"/>
          <w:szCs w:val="22"/>
        </w:rPr>
        <w:t>…</w:t>
      </w:r>
    </w:p>
    <w:p w14:paraId="46BA72EA" w14:textId="77777777" w:rsidR="00CF0492" w:rsidRPr="00D5098D" w:rsidRDefault="00CF0492" w:rsidP="00CF0492">
      <w:pPr>
        <w:pStyle w:val="ListParagraph"/>
        <w:spacing w:line="360" w:lineRule="auto"/>
        <w:ind w:left="0"/>
        <w:jc w:val="both"/>
        <w:rPr>
          <w:rFonts w:ascii="Arial" w:hAnsi="Arial"/>
          <w:iCs/>
          <w:sz w:val="22"/>
          <w:szCs w:val="22"/>
        </w:rPr>
      </w:pPr>
      <w:r w:rsidRPr="00D5098D">
        <w:rPr>
          <w:rFonts w:ascii="Arial" w:hAnsi="Arial"/>
          <w:iCs/>
          <w:sz w:val="22"/>
          <w:szCs w:val="22"/>
        </w:rPr>
        <w:t>In these circumstances, I incline to the view that the MEC, in dealing with an appeal in terms of s 35(3) and (4) of the ECA, does not exercise appeal powers in the ordinary legal sense, but in the wider sense, which empowers her not only to substitute her own findings of fact and legal conclusions for those of the second respondent, but to conduct a re</w:t>
      </w:r>
      <w:r w:rsidR="007E11BD" w:rsidRPr="00D5098D">
        <w:rPr>
          <w:rFonts w:ascii="Arial" w:hAnsi="Arial"/>
          <w:iCs/>
          <w:sz w:val="22"/>
          <w:szCs w:val="22"/>
        </w:rPr>
        <w:t>-</w:t>
      </w:r>
      <w:r w:rsidRPr="00D5098D">
        <w:rPr>
          <w:rFonts w:ascii="Arial" w:hAnsi="Arial"/>
          <w:iCs/>
          <w:sz w:val="22"/>
          <w:szCs w:val="22"/>
        </w:rPr>
        <w:t xml:space="preserve">hearing of the matter. Whilst I agree with Mr Newdigate that the 96 appeals which were lodged would be the MEC’s point of departure, she was, in considering the appeals, entitled to consider, and in the instant case did consider, On Track’s application afresh. That is why the review before this </w:t>
      </w:r>
      <w:r w:rsidR="007E11BD" w:rsidRPr="00D5098D">
        <w:rPr>
          <w:rFonts w:ascii="Arial" w:hAnsi="Arial"/>
          <w:iCs/>
          <w:sz w:val="22"/>
          <w:szCs w:val="22"/>
        </w:rPr>
        <w:t>C</w:t>
      </w:r>
      <w:r w:rsidRPr="00D5098D">
        <w:rPr>
          <w:rFonts w:ascii="Arial" w:hAnsi="Arial"/>
          <w:iCs/>
          <w:sz w:val="22"/>
          <w:szCs w:val="22"/>
        </w:rPr>
        <w:t>ourt is a review of the decision of the MEC taken in terms of the 2007 ROD, and not a review of the original ROD.’</w:t>
      </w:r>
      <w:r w:rsidR="00664815" w:rsidRPr="00D5098D">
        <w:rPr>
          <w:rStyle w:val="FootnoteReference"/>
          <w:rFonts w:ascii="Arial" w:hAnsi="Arial"/>
          <w:iCs/>
          <w:sz w:val="22"/>
          <w:szCs w:val="22"/>
        </w:rPr>
        <w:footnoteReference w:id="10"/>
      </w:r>
    </w:p>
    <w:p w14:paraId="79D75824" w14:textId="77777777" w:rsidR="00E225B0" w:rsidRPr="00D5098D" w:rsidRDefault="00E225B0" w:rsidP="00E225B0">
      <w:pPr>
        <w:pStyle w:val="ListParagraph"/>
        <w:spacing w:line="360" w:lineRule="auto"/>
        <w:ind w:left="0"/>
        <w:jc w:val="both"/>
        <w:rPr>
          <w:rFonts w:ascii="Arial" w:hAnsi="Arial"/>
          <w:iCs/>
          <w:sz w:val="22"/>
          <w:szCs w:val="22"/>
        </w:rPr>
      </w:pPr>
    </w:p>
    <w:p w14:paraId="555D54D0" w14:textId="5203BB98" w:rsidR="00E225B0" w:rsidRPr="00D5098D" w:rsidRDefault="00E225B0" w:rsidP="00E225B0">
      <w:pPr>
        <w:pStyle w:val="ListParagraph"/>
        <w:spacing w:line="360" w:lineRule="auto"/>
        <w:ind w:left="0"/>
        <w:jc w:val="both"/>
        <w:rPr>
          <w:rFonts w:ascii="Arial" w:hAnsi="Arial"/>
          <w:iCs/>
          <w:sz w:val="24"/>
        </w:rPr>
      </w:pPr>
      <w:r w:rsidRPr="00D5098D">
        <w:rPr>
          <w:rFonts w:ascii="Arial" w:hAnsi="Arial"/>
          <w:iCs/>
          <w:sz w:val="24"/>
        </w:rPr>
        <w:t>[</w:t>
      </w:r>
      <w:r w:rsidR="001934C8" w:rsidRPr="00D5098D">
        <w:rPr>
          <w:rFonts w:ascii="Arial" w:hAnsi="Arial"/>
          <w:iCs/>
          <w:sz w:val="24"/>
        </w:rPr>
        <w:t>4</w:t>
      </w:r>
      <w:r w:rsidR="003C5713" w:rsidRPr="00D5098D">
        <w:rPr>
          <w:rFonts w:ascii="Arial" w:hAnsi="Arial"/>
          <w:iCs/>
          <w:sz w:val="24"/>
        </w:rPr>
        <w:t>1</w:t>
      </w:r>
      <w:r w:rsidRPr="00D5098D">
        <w:rPr>
          <w:rFonts w:ascii="Arial" w:hAnsi="Arial"/>
          <w:iCs/>
          <w:sz w:val="24"/>
        </w:rPr>
        <w:t>]</w:t>
      </w:r>
      <w:r w:rsidRPr="00D5098D">
        <w:rPr>
          <w:rFonts w:ascii="Arial" w:hAnsi="Arial"/>
          <w:iCs/>
          <w:sz w:val="24"/>
        </w:rPr>
        <w:tab/>
      </w:r>
      <w:r w:rsidRPr="00D5098D">
        <w:rPr>
          <w:rFonts w:ascii="Arial" w:hAnsi="Arial"/>
          <w:iCs/>
          <w:sz w:val="24"/>
          <w:lang w:val="en-GB"/>
        </w:rPr>
        <w:t>The specific context of an appeal under s</w:t>
      </w:r>
      <w:r w:rsidR="001357BE" w:rsidRPr="00D5098D">
        <w:rPr>
          <w:rFonts w:ascii="Arial" w:hAnsi="Arial"/>
          <w:iCs/>
          <w:sz w:val="24"/>
          <w:lang w:val="en-GB"/>
        </w:rPr>
        <w:t xml:space="preserve"> </w:t>
      </w:r>
      <w:r w:rsidRPr="00D5098D">
        <w:rPr>
          <w:rFonts w:ascii="Arial" w:hAnsi="Arial"/>
          <w:iCs/>
          <w:sz w:val="24"/>
          <w:lang w:val="en-GB"/>
        </w:rPr>
        <w:t xml:space="preserve">35(3) and (4), is a first-instance decision taken by an officer or employee exercising a power or authority delegated or assigned to them by the appellate decision-maker.  As the first-instance decision-maker was exercising the power of </w:t>
      </w:r>
      <w:r w:rsidRPr="00D5098D">
        <w:rPr>
          <w:rFonts w:ascii="Arial" w:hAnsi="Arial"/>
          <w:iCs/>
          <w:sz w:val="24"/>
        </w:rPr>
        <w:t xml:space="preserve">the </w:t>
      </w:r>
      <w:r w:rsidR="00750715" w:rsidRPr="00D5098D">
        <w:rPr>
          <w:rFonts w:ascii="Arial" w:hAnsi="Arial"/>
          <w:iCs/>
          <w:sz w:val="24"/>
        </w:rPr>
        <w:t xml:space="preserve">appellate decision-maker, </w:t>
      </w:r>
      <w:r w:rsidRPr="00D5098D">
        <w:rPr>
          <w:rFonts w:ascii="Arial" w:hAnsi="Arial"/>
          <w:iCs/>
          <w:sz w:val="24"/>
        </w:rPr>
        <w:t>it</w:t>
      </w:r>
      <w:r w:rsidR="00750715" w:rsidRPr="00D5098D">
        <w:rPr>
          <w:rFonts w:ascii="Arial" w:hAnsi="Arial"/>
          <w:iCs/>
          <w:sz w:val="24"/>
        </w:rPr>
        <w:t xml:space="preserve"> follows that </w:t>
      </w:r>
      <w:r w:rsidRPr="00D5098D">
        <w:rPr>
          <w:rFonts w:ascii="Arial" w:hAnsi="Arial"/>
          <w:iCs/>
          <w:sz w:val="24"/>
        </w:rPr>
        <w:t>in determining appeals under s</w:t>
      </w:r>
      <w:r w:rsidR="001357BE" w:rsidRPr="00D5098D">
        <w:rPr>
          <w:rFonts w:ascii="Arial" w:hAnsi="Arial"/>
          <w:iCs/>
          <w:sz w:val="24"/>
        </w:rPr>
        <w:t xml:space="preserve"> </w:t>
      </w:r>
      <w:r w:rsidRPr="00D5098D">
        <w:rPr>
          <w:rFonts w:ascii="Arial" w:hAnsi="Arial"/>
          <w:iCs/>
          <w:sz w:val="24"/>
        </w:rPr>
        <w:t>35(3) and (4) the appellate decision-maker should be able to exercise the decision-making powers to the full extent conferred upon him or her by the underlying empowering provision – which, in the present case is s</w:t>
      </w:r>
      <w:r w:rsidR="001357BE" w:rsidRPr="00D5098D">
        <w:rPr>
          <w:rFonts w:ascii="Arial" w:hAnsi="Arial"/>
          <w:iCs/>
          <w:sz w:val="24"/>
        </w:rPr>
        <w:t xml:space="preserve"> </w:t>
      </w:r>
      <w:r w:rsidRPr="00D5098D">
        <w:rPr>
          <w:rFonts w:ascii="Arial" w:hAnsi="Arial"/>
          <w:iCs/>
          <w:sz w:val="24"/>
        </w:rPr>
        <w:t>22(3) of the ECA.</w:t>
      </w:r>
      <w:r w:rsidR="00B177CC" w:rsidRPr="00D5098D">
        <w:rPr>
          <w:rFonts w:ascii="Arial" w:hAnsi="Arial"/>
          <w:iCs/>
          <w:sz w:val="24"/>
        </w:rPr>
        <w:t xml:space="preserve"> In this case</w:t>
      </w:r>
      <w:r w:rsidR="005958F5" w:rsidRPr="00D5098D">
        <w:rPr>
          <w:rFonts w:ascii="Arial" w:hAnsi="Arial"/>
          <w:iCs/>
          <w:sz w:val="24"/>
        </w:rPr>
        <w:t>,</w:t>
      </w:r>
      <w:r w:rsidR="00B177CC" w:rsidRPr="00D5098D">
        <w:rPr>
          <w:rFonts w:ascii="Arial" w:hAnsi="Arial"/>
          <w:iCs/>
          <w:sz w:val="24"/>
        </w:rPr>
        <w:t xml:space="preserve"> the Atlantis and Kalbaskraal site</w:t>
      </w:r>
      <w:r w:rsidR="00B9400B" w:rsidRPr="00D5098D">
        <w:rPr>
          <w:rFonts w:ascii="Arial" w:hAnsi="Arial"/>
          <w:iCs/>
          <w:sz w:val="24"/>
        </w:rPr>
        <w:t>s</w:t>
      </w:r>
      <w:r w:rsidR="00B177CC" w:rsidRPr="00D5098D">
        <w:rPr>
          <w:rFonts w:ascii="Arial" w:hAnsi="Arial"/>
          <w:iCs/>
          <w:sz w:val="24"/>
        </w:rPr>
        <w:t xml:space="preserve"> were presented as alternatives. The decision-maker could grant or refuse authorisation in respect of either of the two sites or both. The appeal authority could</w:t>
      </w:r>
      <w:r w:rsidR="00B9400B" w:rsidRPr="00D5098D">
        <w:rPr>
          <w:rFonts w:ascii="Arial" w:hAnsi="Arial"/>
          <w:iCs/>
          <w:sz w:val="24"/>
        </w:rPr>
        <w:t>,</w:t>
      </w:r>
      <w:r w:rsidR="00B177CC" w:rsidRPr="00D5098D">
        <w:rPr>
          <w:rFonts w:ascii="Arial" w:hAnsi="Arial"/>
          <w:iCs/>
          <w:sz w:val="24"/>
        </w:rPr>
        <w:t xml:space="preserve"> on appeal</w:t>
      </w:r>
      <w:r w:rsidR="00B9400B" w:rsidRPr="00D5098D">
        <w:rPr>
          <w:rFonts w:ascii="Arial" w:hAnsi="Arial"/>
          <w:iCs/>
          <w:sz w:val="24"/>
        </w:rPr>
        <w:t>,</w:t>
      </w:r>
      <w:r w:rsidR="00B177CC" w:rsidRPr="00D5098D">
        <w:rPr>
          <w:rFonts w:ascii="Arial" w:hAnsi="Arial"/>
          <w:iCs/>
          <w:sz w:val="24"/>
        </w:rPr>
        <w:t xml:space="preserve"> also grant or refuse authori</w:t>
      </w:r>
      <w:r w:rsidR="007837A3">
        <w:rPr>
          <w:rFonts w:ascii="Arial" w:hAnsi="Arial"/>
          <w:iCs/>
          <w:sz w:val="24"/>
        </w:rPr>
        <w:t>s</w:t>
      </w:r>
      <w:r w:rsidR="00B177CC" w:rsidRPr="00D5098D">
        <w:rPr>
          <w:rFonts w:ascii="Arial" w:hAnsi="Arial"/>
          <w:iCs/>
          <w:sz w:val="24"/>
        </w:rPr>
        <w:t>ation in respect of either of the two sites or both sites.</w:t>
      </w:r>
    </w:p>
    <w:p w14:paraId="788B9397" w14:textId="77777777" w:rsidR="00E225B0" w:rsidRPr="00D5098D" w:rsidRDefault="00E225B0" w:rsidP="00E225B0">
      <w:pPr>
        <w:pStyle w:val="ListParagraph"/>
        <w:spacing w:line="360" w:lineRule="auto"/>
        <w:ind w:left="0"/>
        <w:jc w:val="both"/>
        <w:rPr>
          <w:rFonts w:ascii="Arial" w:hAnsi="Arial"/>
          <w:iCs/>
          <w:sz w:val="24"/>
        </w:rPr>
      </w:pPr>
    </w:p>
    <w:p w14:paraId="1DA9F481" w14:textId="77777777" w:rsidR="00E225B0" w:rsidRPr="00D5098D" w:rsidRDefault="00E225B0" w:rsidP="00E225B0">
      <w:pPr>
        <w:pStyle w:val="ListParagraph"/>
        <w:spacing w:line="360" w:lineRule="auto"/>
        <w:ind w:left="0"/>
        <w:jc w:val="both"/>
        <w:rPr>
          <w:rFonts w:ascii="Arial" w:hAnsi="Arial"/>
          <w:iCs/>
          <w:sz w:val="24"/>
          <w:lang w:val="en-GB"/>
        </w:rPr>
      </w:pPr>
      <w:r w:rsidRPr="00D5098D">
        <w:rPr>
          <w:rFonts w:ascii="Arial" w:hAnsi="Arial"/>
          <w:iCs/>
          <w:sz w:val="24"/>
        </w:rPr>
        <w:t>[</w:t>
      </w:r>
      <w:r w:rsidR="001934C8" w:rsidRPr="00D5098D">
        <w:rPr>
          <w:rFonts w:ascii="Arial" w:hAnsi="Arial"/>
          <w:iCs/>
          <w:sz w:val="24"/>
        </w:rPr>
        <w:t>4</w:t>
      </w:r>
      <w:r w:rsidR="003C5713" w:rsidRPr="00D5098D">
        <w:rPr>
          <w:rFonts w:ascii="Arial" w:hAnsi="Arial"/>
          <w:iCs/>
          <w:sz w:val="24"/>
        </w:rPr>
        <w:t>2</w:t>
      </w:r>
      <w:r w:rsidRPr="00D5098D">
        <w:rPr>
          <w:rFonts w:ascii="Arial" w:hAnsi="Arial"/>
          <w:iCs/>
          <w:sz w:val="24"/>
        </w:rPr>
        <w:t>]</w:t>
      </w:r>
      <w:r w:rsidRPr="00D5098D">
        <w:rPr>
          <w:rFonts w:ascii="Arial" w:hAnsi="Arial"/>
          <w:iCs/>
          <w:sz w:val="24"/>
        </w:rPr>
        <w:tab/>
        <w:t xml:space="preserve">This is confirmed by the remedial </w:t>
      </w:r>
      <w:r w:rsidRPr="00D5098D">
        <w:rPr>
          <w:rFonts w:ascii="Arial" w:hAnsi="Arial"/>
          <w:iCs/>
          <w:sz w:val="24"/>
          <w:lang w:val="en-GB"/>
        </w:rPr>
        <w:t>powers conferred upon the appellate decision-maker by the language of s 35(4).  They are not limited to confirming, setting aside or varying the decision of the first-instance decision-maker. The appellate decision-maker may also ‘make such order as he may deem fit.’</w:t>
      </w:r>
    </w:p>
    <w:p w14:paraId="1C15BB07" w14:textId="77777777" w:rsidR="001B2791" w:rsidRPr="00D5098D" w:rsidRDefault="001B2791" w:rsidP="00E225B0">
      <w:pPr>
        <w:pStyle w:val="ListParagraph"/>
        <w:spacing w:line="360" w:lineRule="auto"/>
        <w:ind w:left="0"/>
        <w:jc w:val="both"/>
        <w:rPr>
          <w:rFonts w:ascii="Arial" w:hAnsi="Arial"/>
          <w:iCs/>
          <w:sz w:val="24"/>
          <w:lang w:val="en-GB"/>
        </w:rPr>
      </w:pPr>
    </w:p>
    <w:p w14:paraId="08B4BDEF" w14:textId="50E1DF07" w:rsidR="001B2791" w:rsidRPr="00D5098D" w:rsidRDefault="001B2791" w:rsidP="001B2791">
      <w:pPr>
        <w:pStyle w:val="ListParagraph"/>
        <w:spacing w:after="0" w:line="360" w:lineRule="auto"/>
        <w:ind w:left="0"/>
        <w:contextualSpacing w:val="0"/>
        <w:jc w:val="both"/>
        <w:rPr>
          <w:rFonts w:ascii="Arial" w:hAnsi="Arial"/>
          <w:sz w:val="24"/>
        </w:rPr>
      </w:pPr>
      <w:r w:rsidRPr="00D5098D">
        <w:rPr>
          <w:rFonts w:ascii="Arial" w:hAnsi="Arial"/>
          <w:sz w:val="24"/>
          <w:lang w:val="en-GB"/>
        </w:rPr>
        <w:t>[4</w:t>
      </w:r>
      <w:r w:rsidR="003C5713" w:rsidRPr="00D5098D">
        <w:rPr>
          <w:rFonts w:ascii="Arial" w:hAnsi="Arial"/>
          <w:sz w:val="24"/>
          <w:lang w:val="en-GB"/>
        </w:rPr>
        <w:t>3</w:t>
      </w:r>
      <w:r w:rsidRPr="00D5098D">
        <w:rPr>
          <w:rFonts w:ascii="Arial" w:hAnsi="Arial"/>
          <w:sz w:val="24"/>
          <w:lang w:val="en-GB"/>
        </w:rPr>
        <w:t>]</w:t>
      </w:r>
      <w:r w:rsidRPr="00D5098D">
        <w:rPr>
          <w:rFonts w:ascii="Arial" w:hAnsi="Arial"/>
          <w:sz w:val="24"/>
          <w:lang w:val="en-GB"/>
        </w:rPr>
        <w:tab/>
      </w:r>
      <w:r w:rsidRPr="00D5098D">
        <w:rPr>
          <w:rFonts w:ascii="Arial" w:hAnsi="Arial"/>
          <w:sz w:val="24"/>
        </w:rPr>
        <w:t xml:space="preserve"> It is apparent from this analysis that an appeal under ss</w:t>
      </w:r>
      <w:r w:rsidR="00685F7D" w:rsidRPr="00D5098D">
        <w:rPr>
          <w:rFonts w:ascii="Arial" w:hAnsi="Arial"/>
          <w:sz w:val="24"/>
        </w:rPr>
        <w:t xml:space="preserve"> </w:t>
      </w:r>
      <w:r w:rsidRPr="00D5098D">
        <w:rPr>
          <w:rFonts w:ascii="Arial" w:hAnsi="Arial"/>
          <w:sz w:val="24"/>
        </w:rPr>
        <w:t>35(3) and (4) against a decision of an officer or employee exercising delegated authority on an application for an environmental authorisation under s</w:t>
      </w:r>
      <w:r w:rsidR="00685F7D" w:rsidRPr="00D5098D">
        <w:rPr>
          <w:rFonts w:ascii="Arial" w:hAnsi="Arial"/>
          <w:sz w:val="24"/>
        </w:rPr>
        <w:t xml:space="preserve"> </w:t>
      </w:r>
      <w:r w:rsidRPr="00D5098D">
        <w:rPr>
          <w:rFonts w:ascii="Arial" w:hAnsi="Arial"/>
          <w:sz w:val="24"/>
        </w:rPr>
        <w:t>22, involves a complete rehearing and a fresh determination of the merits of the application with or without additional evidence or information; and, further, that the appellate decision-maker is free to substitute his or her own decision for the decision under appeal.</w:t>
      </w:r>
      <w:r w:rsidR="002F2227">
        <w:rPr>
          <w:rFonts w:ascii="Arial" w:hAnsi="Arial"/>
          <w:sz w:val="24"/>
        </w:rPr>
        <w:t xml:space="preserve"> The high court was</w:t>
      </w:r>
      <w:r w:rsidR="00513EBE">
        <w:rPr>
          <w:rFonts w:ascii="Arial" w:hAnsi="Arial"/>
          <w:sz w:val="24"/>
        </w:rPr>
        <w:t xml:space="preserve"> therefore</w:t>
      </w:r>
      <w:r w:rsidR="002F2227">
        <w:rPr>
          <w:rFonts w:ascii="Arial" w:hAnsi="Arial"/>
          <w:sz w:val="24"/>
        </w:rPr>
        <w:t xml:space="preserve"> correct in determining the </w:t>
      </w:r>
      <w:r w:rsidR="00513EBE">
        <w:rPr>
          <w:rFonts w:ascii="Arial" w:hAnsi="Arial"/>
          <w:sz w:val="24"/>
        </w:rPr>
        <w:t xml:space="preserve">separated </w:t>
      </w:r>
      <w:r w:rsidR="002F2227">
        <w:rPr>
          <w:rFonts w:ascii="Arial" w:hAnsi="Arial"/>
          <w:sz w:val="24"/>
        </w:rPr>
        <w:t xml:space="preserve">question in favour of the respondents.  </w:t>
      </w:r>
    </w:p>
    <w:p w14:paraId="18E72AC1" w14:textId="6EFD8AC8" w:rsidR="0023749D" w:rsidRPr="00D5098D" w:rsidRDefault="00E225B0" w:rsidP="00E70F21">
      <w:pPr>
        <w:pStyle w:val="ListParagraph"/>
        <w:spacing w:before="240" w:after="0" w:line="360" w:lineRule="auto"/>
        <w:ind w:left="0"/>
        <w:contextualSpacing w:val="0"/>
        <w:jc w:val="both"/>
        <w:rPr>
          <w:rFonts w:ascii="Arial" w:hAnsi="Arial"/>
          <w:sz w:val="24"/>
          <w:lang w:val="en-GB"/>
        </w:rPr>
      </w:pPr>
      <w:r w:rsidRPr="00D5098D">
        <w:rPr>
          <w:rFonts w:ascii="Arial" w:hAnsi="Arial"/>
          <w:iCs/>
          <w:sz w:val="24"/>
          <w:lang w:val="en-GB"/>
        </w:rPr>
        <w:t>[</w:t>
      </w:r>
      <w:r w:rsidR="001934C8" w:rsidRPr="00D5098D">
        <w:rPr>
          <w:rFonts w:ascii="Arial" w:hAnsi="Arial"/>
          <w:iCs/>
          <w:sz w:val="24"/>
          <w:lang w:val="en-GB"/>
        </w:rPr>
        <w:t>4</w:t>
      </w:r>
      <w:r w:rsidR="003C5713" w:rsidRPr="00D5098D">
        <w:rPr>
          <w:rFonts w:ascii="Arial" w:hAnsi="Arial"/>
          <w:iCs/>
          <w:sz w:val="24"/>
          <w:lang w:val="en-GB"/>
        </w:rPr>
        <w:t>4</w:t>
      </w:r>
      <w:r w:rsidRPr="00D5098D">
        <w:rPr>
          <w:rFonts w:ascii="Arial" w:hAnsi="Arial"/>
          <w:iCs/>
          <w:sz w:val="24"/>
          <w:lang w:val="en-GB"/>
        </w:rPr>
        <w:t>]</w:t>
      </w:r>
      <w:r w:rsidRPr="00D5098D">
        <w:rPr>
          <w:rFonts w:ascii="Arial" w:hAnsi="Arial"/>
          <w:iCs/>
          <w:sz w:val="24"/>
          <w:lang w:val="en-GB"/>
        </w:rPr>
        <w:tab/>
      </w:r>
      <w:r w:rsidRPr="00D5098D">
        <w:rPr>
          <w:rFonts w:ascii="Arial" w:hAnsi="Arial"/>
          <w:sz w:val="24"/>
          <w:lang w:val="en-GB"/>
        </w:rPr>
        <w:t>T</w:t>
      </w:r>
      <w:r w:rsidR="007A326E" w:rsidRPr="00D5098D">
        <w:rPr>
          <w:rFonts w:ascii="Arial" w:hAnsi="Arial"/>
          <w:sz w:val="24"/>
          <w:lang w:val="en-GB"/>
        </w:rPr>
        <w:t>he a</w:t>
      </w:r>
      <w:r w:rsidRPr="00D5098D">
        <w:rPr>
          <w:rFonts w:ascii="Arial" w:hAnsi="Arial"/>
          <w:sz w:val="24"/>
          <w:lang w:val="en-GB"/>
        </w:rPr>
        <w:t>ppellants</w:t>
      </w:r>
      <w:r w:rsidR="007A326E" w:rsidRPr="00D5098D">
        <w:rPr>
          <w:rFonts w:ascii="Arial" w:hAnsi="Arial"/>
          <w:sz w:val="24"/>
          <w:lang w:val="en-GB"/>
        </w:rPr>
        <w:t>,</w:t>
      </w:r>
      <w:r w:rsidR="004C4847" w:rsidRPr="00D5098D">
        <w:rPr>
          <w:rFonts w:ascii="Arial" w:hAnsi="Arial"/>
          <w:sz w:val="24"/>
          <w:lang w:val="en-GB"/>
        </w:rPr>
        <w:t xml:space="preserve"> </w:t>
      </w:r>
      <w:r w:rsidRPr="00D5098D">
        <w:rPr>
          <w:rFonts w:ascii="Arial" w:hAnsi="Arial"/>
          <w:sz w:val="24"/>
          <w:lang w:val="en-GB"/>
        </w:rPr>
        <w:t>however</w:t>
      </w:r>
      <w:r w:rsidR="007A326E" w:rsidRPr="00D5098D">
        <w:rPr>
          <w:rFonts w:ascii="Arial" w:hAnsi="Arial"/>
          <w:sz w:val="24"/>
          <w:lang w:val="en-GB"/>
        </w:rPr>
        <w:t>, submitted</w:t>
      </w:r>
      <w:r w:rsidRPr="00D5098D">
        <w:rPr>
          <w:rFonts w:ascii="Arial" w:hAnsi="Arial"/>
          <w:sz w:val="24"/>
          <w:lang w:val="en-GB"/>
        </w:rPr>
        <w:t xml:space="preserve"> that</w:t>
      </w:r>
      <w:r w:rsidR="007A326E" w:rsidRPr="00D5098D">
        <w:rPr>
          <w:rFonts w:ascii="Arial" w:hAnsi="Arial"/>
          <w:sz w:val="24"/>
          <w:lang w:val="en-GB"/>
        </w:rPr>
        <w:t xml:space="preserve"> </w:t>
      </w:r>
      <w:r w:rsidRPr="00D5098D">
        <w:rPr>
          <w:rFonts w:ascii="Arial" w:hAnsi="Arial"/>
          <w:i/>
          <w:iCs/>
          <w:sz w:val="24"/>
          <w:lang w:val="en-GB"/>
        </w:rPr>
        <w:t>Hangklip/Kleinmond</w:t>
      </w:r>
      <w:r w:rsidRPr="00D5098D">
        <w:rPr>
          <w:rFonts w:ascii="Arial" w:hAnsi="Arial"/>
          <w:sz w:val="24"/>
          <w:lang w:val="en-GB"/>
        </w:rPr>
        <w:t xml:space="preserve"> and </w:t>
      </w:r>
      <w:r w:rsidRPr="00D5098D">
        <w:rPr>
          <w:rFonts w:ascii="Arial" w:hAnsi="Arial"/>
          <w:i/>
          <w:sz w:val="24"/>
        </w:rPr>
        <w:t>Sea Front for All</w:t>
      </w:r>
      <w:r w:rsidR="007A326E" w:rsidRPr="00D5098D">
        <w:rPr>
          <w:rFonts w:ascii="Arial" w:hAnsi="Arial"/>
          <w:i/>
          <w:sz w:val="24"/>
        </w:rPr>
        <w:t>,</w:t>
      </w:r>
      <w:r w:rsidRPr="00D5098D">
        <w:rPr>
          <w:rFonts w:ascii="Arial" w:hAnsi="Arial"/>
          <w:sz w:val="24"/>
        </w:rPr>
        <w:t xml:space="preserve"> </w:t>
      </w:r>
      <w:r w:rsidR="007A326E" w:rsidRPr="00D5098D">
        <w:rPr>
          <w:rFonts w:ascii="Arial" w:hAnsi="Arial"/>
          <w:sz w:val="24"/>
        </w:rPr>
        <w:t>on which the high court relied for the proposition that the appeal authority has any power beyond an appeal against a decision to grant or refuse environmental authori</w:t>
      </w:r>
      <w:r w:rsidR="005A43EF" w:rsidRPr="00D5098D">
        <w:rPr>
          <w:rFonts w:ascii="Arial" w:hAnsi="Arial"/>
          <w:sz w:val="24"/>
        </w:rPr>
        <w:t>s</w:t>
      </w:r>
      <w:r w:rsidR="007A326E" w:rsidRPr="00D5098D">
        <w:rPr>
          <w:rFonts w:ascii="Arial" w:hAnsi="Arial"/>
          <w:sz w:val="24"/>
        </w:rPr>
        <w:t>ation</w:t>
      </w:r>
      <w:r w:rsidR="005A43EF" w:rsidRPr="00D5098D">
        <w:rPr>
          <w:rFonts w:ascii="Arial" w:hAnsi="Arial"/>
          <w:sz w:val="24"/>
        </w:rPr>
        <w:t>,</w:t>
      </w:r>
      <w:r w:rsidR="007A326E" w:rsidRPr="00D5098D">
        <w:rPr>
          <w:rFonts w:ascii="Arial" w:hAnsi="Arial"/>
          <w:sz w:val="24"/>
        </w:rPr>
        <w:t xml:space="preserve"> do not justify the finding that</w:t>
      </w:r>
      <w:r w:rsidR="004C4847" w:rsidRPr="00D5098D">
        <w:rPr>
          <w:rFonts w:ascii="Arial" w:hAnsi="Arial"/>
          <w:sz w:val="24"/>
        </w:rPr>
        <w:t xml:space="preserve"> the appeal authority can</w:t>
      </w:r>
      <w:r w:rsidR="005856A2" w:rsidRPr="00D5098D">
        <w:rPr>
          <w:rFonts w:ascii="Arial" w:hAnsi="Arial"/>
          <w:sz w:val="24"/>
        </w:rPr>
        <w:t>,</w:t>
      </w:r>
      <w:r w:rsidR="004C4847" w:rsidRPr="00D5098D">
        <w:rPr>
          <w:rFonts w:ascii="Arial" w:hAnsi="Arial"/>
          <w:sz w:val="24"/>
        </w:rPr>
        <w:t xml:space="preserve"> on app</w:t>
      </w:r>
      <w:r w:rsidR="007A326E" w:rsidRPr="00D5098D">
        <w:rPr>
          <w:rFonts w:ascii="Arial" w:hAnsi="Arial"/>
          <w:sz w:val="24"/>
        </w:rPr>
        <w:t>eal against a decision in respect of one site, grant authori</w:t>
      </w:r>
      <w:r w:rsidR="005A43EF" w:rsidRPr="00D5098D">
        <w:rPr>
          <w:rFonts w:ascii="Arial" w:hAnsi="Arial"/>
          <w:sz w:val="24"/>
        </w:rPr>
        <w:t>s</w:t>
      </w:r>
      <w:r w:rsidR="007A326E" w:rsidRPr="00D5098D">
        <w:rPr>
          <w:rFonts w:ascii="Arial" w:hAnsi="Arial"/>
          <w:sz w:val="24"/>
        </w:rPr>
        <w:t xml:space="preserve">ation of another in respect of which there had been no antecedent decision. </w:t>
      </w:r>
      <w:r w:rsidR="00826F6A" w:rsidRPr="00D5098D">
        <w:rPr>
          <w:rFonts w:ascii="Arial" w:hAnsi="Arial"/>
          <w:sz w:val="24"/>
        </w:rPr>
        <w:t>They argued that these cases are distinguishable from the facts of the instant case in that those cases dealt with the</w:t>
      </w:r>
      <w:r w:rsidR="0023749D" w:rsidRPr="00D5098D">
        <w:rPr>
          <w:rFonts w:ascii="Arial" w:hAnsi="Arial"/>
          <w:sz w:val="24"/>
        </w:rPr>
        <w:t xml:space="preserve"> unitary applications for environmental authori</w:t>
      </w:r>
      <w:r w:rsidR="005A43EF" w:rsidRPr="00D5098D">
        <w:rPr>
          <w:rFonts w:ascii="Arial" w:hAnsi="Arial"/>
          <w:sz w:val="24"/>
        </w:rPr>
        <w:t>s</w:t>
      </w:r>
      <w:r w:rsidR="0023749D" w:rsidRPr="00D5098D">
        <w:rPr>
          <w:rFonts w:ascii="Arial" w:hAnsi="Arial"/>
          <w:sz w:val="24"/>
        </w:rPr>
        <w:t>ation at single locations at first instance, whereas the MEC’s decision related to</w:t>
      </w:r>
      <w:r w:rsidR="00826F6A" w:rsidRPr="00D5098D">
        <w:rPr>
          <w:rFonts w:ascii="Arial" w:hAnsi="Arial"/>
          <w:sz w:val="24"/>
        </w:rPr>
        <w:t xml:space="preserve"> an application at the first instance for environmental authori</w:t>
      </w:r>
      <w:r w:rsidR="005A43EF" w:rsidRPr="00D5098D">
        <w:rPr>
          <w:rFonts w:ascii="Arial" w:hAnsi="Arial"/>
          <w:sz w:val="24"/>
        </w:rPr>
        <w:t>s</w:t>
      </w:r>
      <w:r w:rsidR="00826F6A" w:rsidRPr="00D5098D">
        <w:rPr>
          <w:rFonts w:ascii="Arial" w:hAnsi="Arial"/>
          <w:sz w:val="24"/>
        </w:rPr>
        <w:t>ation of the same activities, but at two different locations that were geographically remote from one another. There we</w:t>
      </w:r>
      <w:r w:rsidR="0023749D" w:rsidRPr="00D5098D">
        <w:rPr>
          <w:rFonts w:ascii="Arial" w:hAnsi="Arial"/>
          <w:sz w:val="24"/>
        </w:rPr>
        <w:t xml:space="preserve">re, in effect, two applications and the fact that they were contained in one set of documents is of no moment. </w:t>
      </w:r>
      <w:r w:rsidR="007A326E" w:rsidRPr="00D5098D">
        <w:rPr>
          <w:rFonts w:ascii="Arial" w:hAnsi="Arial"/>
          <w:sz w:val="24"/>
        </w:rPr>
        <w:t>T</w:t>
      </w:r>
      <w:r w:rsidR="0023749D" w:rsidRPr="00D5098D">
        <w:rPr>
          <w:rFonts w:ascii="Arial" w:hAnsi="Arial"/>
          <w:sz w:val="24"/>
        </w:rPr>
        <w:t>he appellants contended</w:t>
      </w:r>
      <w:r w:rsidR="007A326E" w:rsidRPr="00D5098D">
        <w:rPr>
          <w:rFonts w:ascii="Arial" w:hAnsi="Arial"/>
          <w:sz w:val="24"/>
        </w:rPr>
        <w:t xml:space="preserve"> that the high court should have applied the </w:t>
      </w:r>
      <w:r w:rsidR="00916A13" w:rsidRPr="00D5098D">
        <w:rPr>
          <w:rFonts w:ascii="Arial" w:hAnsi="Arial"/>
          <w:iCs/>
          <w:sz w:val="24"/>
        </w:rPr>
        <w:t>principles established</w:t>
      </w:r>
      <w:r w:rsidR="004C4847" w:rsidRPr="00D5098D">
        <w:rPr>
          <w:rFonts w:ascii="Arial" w:hAnsi="Arial"/>
          <w:sz w:val="24"/>
        </w:rPr>
        <w:t xml:space="preserve"> in </w:t>
      </w:r>
      <w:r w:rsidR="004C4847" w:rsidRPr="00D5098D">
        <w:rPr>
          <w:rFonts w:ascii="Arial" w:hAnsi="Arial"/>
          <w:i/>
          <w:sz w:val="24"/>
        </w:rPr>
        <w:t xml:space="preserve">Groenewald </w:t>
      </w:r>
      <w:r w:rsidR="00B137C8" w:rsidRPr="00D5098D">
        <w:rPr>
          <w:rFonts w:ascii="Arial" w:hAnsi="Arial"/>
          <w:i/>
          <w:sz w:val="24"/>
        </w:rPr>
        <w:t xml:space="preserve">NO and Others </w:t>
      </w:r>
      <w:r w:rsidR="004C4847" w:rsidRPr="00D5098D">
        <w:rPr>
          <w:rFonts w:ascii="Arial" w:hAnsi="Arial"/>
          <w:i/>
          <w:sz w:val="24"/>
        </w:rPr>
        <w:t>v M5 Development</w:t>
      </w:r>
      <w:r w:rsidR="00B137C8" w:rsidRPr="00D5098D">
        <w:rPr>
          <w:rFonts w:ascii="Arial" w:hAnsi="Arial"/>
          <w:i/>
          <w:sz w:val="24"/>
        </w:rPr>
        <w:t>s (Cape) (Pty) Ltd</w:t>
      </w:r>
      <w:r w:rsidR="00D94DFB" w:rsidRPr="00D5098D">
        <w:rPr>
          <w:rStyle w:val="FootnoteReference"/>
          <w:rFonts w:ascii="Arial" w:hAnsi="Arial"/>
          <w:iCs/>
          <w:sz w:val="24"/>
        </w:rPr>
        <w:footnoteReference w:id="11"/>
      </w:r>
      <w:r w:rsidR="00C95F5A" w:rsidRPr="00D5098D">
        <w:rPr>
          <w:rFonts w:ascii="Arial" w:hAnsi="Arial"/>
          <w:iCs/>
          <w:sz w:val="24"/>
        </w:rPr>
        <w:t xml:space="preserve"> (</w:t>
      </w:r>
      <w:r w:rsidR="00C95F5A" w:rsidRPr="00D5098D">
        <w:rPr>
          <w:rFonts w:ascii="Arial" w:hAnsi="Arial"/>
          <w:i/>
          <w:sz w:val="24"/>
        </w:rPr>
        <w:t>Groenewald</w:t>
      </w:r>
      <w:r w:rsidR="00C95F5A" w:rsidRPr="00D5098D">
        <w:rPr>
          <w:rFonts w:ascii="Arial" w:hAnsi="Arial"/>
          <w:iCs/>
          <w:sz w:val="24"/>
        </w:rPr>
        <w:t>)</w:t>
      </w:r>
      <w:r w:rsidR="004C4847" w:rsidRPr="00D5098D">
        <w:rPr>
          <w:rFonts w:ascii="Arial" w:hAnsi="Arial"/>
          <w:iCs/>
          <w:sz w:val="24"/>
        </w:rPr>
        <w:t>;</w:t>
      </w:r>
      <w:r w:rsidR="004C4847" w:rsidRPr="00D5098D">
        <w:rPr>
          <w:rFonts w:ascii="Arial" w:hAnsi="Arial"/>
          <w:i/>
          <w:sz w:val="24"/>
        </w:rPr>
        <w:t xml:space="preserve"> Potgieter v Howie</w:t>
      </w:r>
      <w:r w:rsidR="006E2B25" w:rsidRPr="00D5098D">
        <w:rPr>
          <w:rFonts w:ascii="Arial" w:hAnsi="Arial"/>
          <w:i/>
          <w:sz w:val="24"/>
        </w:rPr>
        <w:t xml:space="preserve"> NO</w:t>
      </w:r>
      <w:r w:rsidR="004C4847" w:rsidRPr="00D5098D">
        <w:rPr>
          <w:rFonts w:ascii="Arial" w:hAnsi="Arial"/>
          <w:i/>
          <w:sz w:val="24"/>
        </w:rPr>
        <w:t xml:space="preserve"> and Others</w:t>
      </w:r>
      <w:r w:rsidR="00D94DFB" w:rsidRPr="00D5098D">
        <w:rPr>
          <w:rStyle w:val="FootnoteReference"/>
          <w:rFonts w:ascii="Arial" w:hAnsi="Arial"/>
          <w:iCs/>
          <w:sz w:val="24"/>
        </w:rPr>
        <w:footnoteReference w:id="12"/>
      </w:r>
      <w:r w:rsidR="00B9284D" w:rsidRPr="00D5098D">
        <w:rPr>
          <w:rFonts w:ascii="Arial" w:hAnsi="Arial"/>
          <w:iCs/>
          <w:sz w:val="24"/>
        </w:rPr>
        <w:t xml:space="preserve"> (</w:t>
      </w:r>
      <w:r w:rsidR="00B9284D" w:rsidRPr="00D5098D">
        <w:rPr>
          <w:rFonts w:ascii="Arial" w:hAnsi="Arial"/>
          <w:i/>
          <w:sz w:val="24"/>
        </w:rPr>
        <w:t>Potgieter</w:t>
      </w:r>
      <w:r w:rsidR="00B9284D" w:rsidRPr="00D5098D">
        <w:rPr>
          <w:rFonts w:ascii="Arial" w:hAnsi="Arial"/>
          <w:iCs/>
          <w:sz w:val="24"/>
        </w:rPr>
        <w:t>)</w:t>
      </w:r>
      <w:r w:rsidR="004C4847" w:rsidRPr="00D5098D">
        <w:rPr>
          <w:rFonts w:ascii="Arial" w:hAnsi="Arial"/>
          <w:iCs/>
          <w:sz w:val="24"/>
        </w:rPr>
        <w:t>;</w:t>
      </w:r>
      <w:r w:rsidR="004C4847" w:rsidRPr="00D5098D">
        <w:rPr>
          <w:rFonts w:ascii="Arial" w:hAnsi="Arial"/>
          <w:i/>
          <w:sz w:val="24"/>
        </w:rPr>
        <w:t xml:space="preserve"> Ocean Ecological Adventure</w:t>
      </w:r>
      <w:r w:rsidR="00077EA4" w:rsidRPr="00D5098D">
        <w:rPr>
          <w:rFonts w:ascii="Arial" w:hAnsi="Arial"/>
          <w:i/>
          <w:sz w:val="24"/>
        </w:rPr>
        <w:t>s</w:t>
      </w:r>
      <w:r w:rsidR="004C4847" w:rsidRPr="00D5098D">
        <w:rPr>
          <w:rFonts w:ascii="Arial" w:hAnsi="Arial"/>
          <w:i/>
          <w:sz w:val="24"/>
        </w:rPr>
        <w:t xml:space="preserve"> (Pty) Ltd v Minister of Environmental Affairs</w:t>
      </w:r>
      <w:r w:rsidR="00D94DFB" w:rsidRPr="00D5098D">
        <w:rPr>
          <w:rStyle w:val="FootnoteReference"/>
          <w:rFonts w:ascii="Arial" w:hAnsi="Arial"/>
          <w:iCs/>
          <w:sz w:val="24"/>
        </w:rPr>
        <w:footnoteReference w:id="13"/>
      </w:r>
      <w:r w:rsidR="00077EA4" w:rsidRPr="00D5098D">
        <w:rPr>
          <w:rFonts w:ascii="Arial" w:hAnsi="Arial"/>
          <w:i/>
          <w:sz w:val="24"/>
        </w:rPr>
        <w:t xml:space="preserve"> </w:t>
      </w:r>
      <w:r w:rsidR="00077EA4" w:rsidRPr="00D5098D">
        <w:rPr>
          <w:rFonts w:ascii="Arial" w:hAnsi="Arial"/>
          <w:iCs/>
          <w:sz w:val="24"/>
        </w:rPr>
        <w:t>(</w:t>
      </w:r>
      <w:r w:rsidR="00077EA4" w:rsidRPr="00D5098D">
        <w:rPr>
          <w:rFonts w:ascii="Arial" w:hAnsi="Arial"/>
          <w:i/>
          <w:sz w:val="24"/>
        </w:rPr>
        <w:t>Ocean Ecological Adventures</w:t>
      </w:r>
      <w:r w:rsidR="00077EA4" w:rsidRPr="00D5098D">
        <w:rPr>
          <w:rFonts w:ascii="Arial" w:hAnsi="Arial"/>
          <w:iCs/>
          <w:sz w:val="24"/>
        </w:rPr>
        <w:t>)</w:t>
      </w:r>
      <w:r w:rsidR="00B17C6E" w:rsidRPr="00D5098D">
        <w:rPr>
          <w:rFonts w:ascii="Arial" w:hAnsi="Arial"/>
          <w:i/>
          <w:sz w:val="24"/>
        </w:rPr>
        <w:t xml:space="preserve"> </w:t>
      </w:r>
      <w:r w:rsidR="004C4847" w:rsidRPr="00D5098D">
        <w:rPr>
          <w:rFonts w:ascii="Arial" w:hAnsi="Arial"/>
          <w:sz w:val="24"/>
        </w:rPr>
        <w:t xml:space="preserve">and </w:t>
      </w:r>
      <w:r w:rsidR="004C4847" w:rsidRPr="00D5098D">
        <w:rPr>
          <w:rFonts w:ascii="Arial" w:hAnsi="Arial"/>
          <w:i/>
          <w:sz w:val="24"/>
        </w:rPr>
        <w:t>Meyer v Iscor Pension Fund</w:t>
      </w:r>
      <w:r w:rsidR="00D94DFB" w:rsidRPr="00D5098D">
        <w:rPr>
          <w:rStyle w:val="FootnoteReference"/>
          <w:rFonts w:ascii="Arial" w:hAnsi="Arial"/>
          <w:iCs/>
          <w:sz w:val="24"/>
        </w:rPr>
        <w:footnoteReference w:id="14"/>
      </w:r>
      <w:r w:rsidR="00A11453" w:rsidRPr="00D5098D">
        <w:rPr>
          <w:rFonts w:ascii="Arial" w:hAnsi="Arial"/>
          <w:i/>
          <w:sz w:val="24"/>
        </w:rPr>
        <w:t xml:space="preserve"> </w:t>
      </w:r>
      <w:r w:rsidR="00A11453" w:rsidRPr="00D5098D">
        <w:rPr>
          <w:rFonts w:ascii="Arial" w:hAnsi="Arial"/>
          <w:iCs/>
          <w:sz w:val="24"/>
        </w:rPr>
        <w:t>(</w:t>
      </w:r>
      <w:r w:rsidR="00A11453" w:rsidRPr="00D5098D">
        <w:rPr>
          <w:rFonts w:ascii="Arial" w:hAnsi="Arial"/>
          <w:i/>
          <w:sz w:val="24"/>
        </w:rPr>
        <w:t>Meyer</w:t>
      </w:r>
      <w:r w:rsidR="00A11453" w:rsidRPr="00D5098D">
        <w:rPr>
          <w:rFonts w:ascii="Arial" w:hAnsi="Arial"/>
          <w:iCs/>
          <w:sz w:val="24"/>
        </w:rPr>
        <w:t>).</w:t>
      </w:r>
    </w:p>
    <w:p w14:paraId="775FF90A" w14:textId="77777777" w:rsidR="00685F7D" w:rsidRPr="00D5098D" w:rsidRDefault="0023749D" w:rsidP="001B2791">
      <w:pPr>
        <w:pStyle w:val="ListParagraph"/>
        <w:spacing w:before="240" w:after="0" w:line="360" w:lineRule="auto"/>
        <w:ind w:left="0"/>
        <w:contextualSpacing w:val="0"/>
        <w:jc w:val="both"/>
        <w:rPr>
          <w:rFonts w:ascii="Arial" w:hAnsi="Arial"/>
          <w:sz w:val="24"/>
          <w:lang w:val="en-GB"/>
        </w:rPr>
      </w:pPr>
      <w:r w:rsidRPr="00D5098D">
        <w:rPr>
          <w:rFonts w:ascii="Arial" w:hAnsi="Arial"/>
          <w:sz w:val="24"/>
          <w:lang w:val="en-GB"/>
        </w:rPr>
        <w:t>[</w:t>
      </w:r>
      <w:r w:rsidR="001934C8" w:rsidRPr="00D5098D">
        <w:rPr>
          <w:rFonts w:ascii="Arial" w:hAnsi="Arial"/>
          <w:sz w:val="24"/>
          <w:lang w:val="en-GB"/>
        </w:rPr>
        <w:t>4</w:t>
      </w:r>
      <w:r w:rsidR="003C5713" w:rsidRPr="00D5098D">
        <w:rPr>
          <w:rFonts w:ascii="Arial" w:hAnsi="Arial"/>
          <w:sz w:val="24"/>
          <w:lang w:val="en-GB"/>
        </w:rPr>
        <w:t>5</w:t>
      </w:r>
      <w:r w:rsidRPr="00D5098D">
        <w:rPr>
          <w:rFonts w:ascii="Arial" w:hAnsi="Arial"/>
          <w:sz w:val="24"/>
          <w:lang w:val="en-GB"/>
        </w:rPr>
        <w:t>]</w:t>
      </w:r>
      <w:r w:rsidR="00E70F21" w:rsidRPr="00D5098D">
        <w:rPr>
          <w:rFonts w:ascii="Arial" w:hAnsi="Arial"/>
          <w:sz w:val="24"/>
          <w:lang w:val="en-GB"/>
        </w:rPr>
        <w:tab/>
        <w:t>It is not correct that the City’s application</w:t>
      </w:r>
      <w:r w:rsidR="005A43EF" w:rsidRPr="00D5098D">
        <w:rPr>
          <w:rFonts w:ascii="Arial" w:hAnsi="Arial"/>
          <w:sz w:val="24"/>
          <w:lang w:val="en-GB"/>
        </w:rPr>
        <w:t xml:space="preserve"> for authorisation</w:t>
      </w:r>
      <w:r w:rsidR="00E70F21" w:rsidRPr="00D5098D">
        <w:rPr>
          <w:rFonts w:ascii="Arial" w:hAnsi="Arial"/>
          <w:sz w:val="24"/>
          <w:lang w:val="en-GB"/>
        </w:rPr>
        <w:t xml:space="preserve"> comprised two applications. In the application form</w:t>
      </w:r>
      <w:r w:rsidR="00B17C6E" w:rsidRPr="00D5098D">
        <w:rPr>
          <w:rFonts w:ascii="Arial" w:hAnsi="Arial"/>
          <w:sz w:val="24"/>
          <w:lang w:val="en-GB"/>
        </w:rPr>
        <w:t>,</w:t>
      </w:r>
      <w:r w:rsidR="00E70F21" w:rsidRPr="00D5098D">
        <w:rPr>
          <w:rFonts w:ascii="Arial" w:hAnsi="Arial"/>
          <w:sz w:val="24"/>
          <w:lang w:val="en-GB"/>
        </w:rPr>
        <w:t xml:space="preserve"> the City identified the project as ‘Identification of a new regional landfill site to service the CMA’ and the project location is identified as ‘Atlantis site’ and ‘Kalbaskraal site.’ </w:t>
      </w:r>
      <w:r w:rsidR="00F00A49" w:rsidRPr="00D5098D">
        <w:rPr>
          <w:rFonts w:ascii="Arial" w:hAnsi="Arial"/>
          <w:sz w:val="24"/>
          <w:lang w:val="en-GB"/>
        </w:rPr>
        <w:t>The two sites were presented as alternatives</w:t>
      </w:r>
      <w:r w:rsidR="004C1DD7" w:rsidRPr="00D5098D">
        <w:rPr>
          <w:rFonts w:ascii="Arial" w:hAnsi="Arial"/>
          <w:sz w:val="24"/>
          <w:lang w:val="en-GB"/>
        </w:rPr>
        <w:t xml:space="preserve"> and were comparatively assessed. </w:t>
      </w:r>
      <w:r w:rsidR="00E70F21" w:rsidRPr="00D5098D">
        <w:rPr>
          <w:rFonts w:ascii="Arial" w:hAnsi="Arial"/>
          <w:sz w:val="24"/>
          <w:lang w:val="en-GB"/>
        </w:rPr>
        <w:t xml:space="preserve">This means that the application that was before the Director was the application for environmental authorisation at one or both of the two sites and the decision could have been granted either granting or refusing authorisation in one or both of the two sites. In terms of the principle established in </w:t>
      </w:r>
      <w:r w:rsidR="00E70F21" w:rsidRPr="00D5098D">
        <w:rPr>
          <w:rFonts w:ascii="Arial" w:hAnsi="Arial"/>
          <w:i/>
          <w:iCs/>
          <w:sz w:val="24"/>
          <w:lang w:val="en-GB"/>
        </w:rPr>
        <w:t>Hangklip/Kleinmond</w:t>
      </w:r>
      <w:r w:rsidR="00E70F21" w:rsidRPr="00D5098D">
        <w:rPr>
          <w:rFonts w:ascii="Arial" w:hAnsi="Arial"/>
          <w:sz w:val="24"/>
          <w:lang w:val="en-GB"/>
        </w:rPr>
        <w:t xml:space="preserve"> and </w:t>
      </w:r>
      <w:r w:rsidR="00E70F21" w:rsidRPr="00D5098D">
        <w:rPr>
          <w:rFonts w:ascii="Arial" w:hAnsi="Arial"/>
          <w:i/>
          <w:iCs/>
          <w:sz w:val="24"/>
          <w:lang w:val="en-GB"/>
        </w:rPr>
        <w:t>Sea Front for All,</w:t>
      </w:r>
      <w:r w:rsidR="00E70F21" w:rsidRPr="00D5098D">
        <w:rPr>
          <w:rFonts w:ascii="Arial" w:hAnsi="Arial"/>
          <w:sz w:val="24"/>
          <w:lang w:val="en-GB"/>
        </w:rPr>
        <w:t xml:space="preserve"> the appeal authority, when considering the appeal under s 35, was entitled to consider the application</w:t>
      </w:r>
      <w:r w:rsidR="004C1DD7" w:rsidRPr="00D5098D">
        <w:rPr>
          <w:rFonts w:ascii="Arial" w:hAnsi="Arial"/>
          <w:sz w:val="24"/>
          <w:lang w:val="en-GB"/>
        </w:rPr>
        <w:t xml:space="preserve"> that was placed before the Director</w:t>
      </w:r>
      <w:r w:rsidR="00E70F21" w:rsidRPr="00D5098D">
        <w:rPr>
          <w:rFonts w:ascii="Arial" w:hAnsi="Arial"/>
          <w:sz w:val="24"/>
          <w:lang w:val="en-GB"/>
        </w:rPr>
        <w:t xml:space="preserve"> together with further information afresh.</w:t>
      </w:r>
    </w:p>
    <w:p w14:paraId="37E1E70D" w14:textId="77777777" w:rsidR="00685F7D" w:rsidRPr="00D5098D" w:rsidRDefault="00685F7D" w:rsidP="001B2791">
      <w:pPr>
        <w:pStyle w:val="ListParagraph"/>
        <w:spacing w:before="240" w:after="0" w:line="360" w:lineRule="auto"/>
        <w:ind w:left="0"/>
        <w:contextualSpacing w:val="0"/>
        <w:jc w:val="both"/>
        <w:rPr>
          <w:rFonts w:ascii="Arial" w:hAnsi="Arial"/>
          <w:sz w:val="24"/>
          <w:lang w:val="en-GB"/>
        </w:rPr>
      </w:pPr>
    </w:p>
    <w:p w14:paraId="70699F48" w14:textId="607858D7" w:rsidR="00086059" w:rsidRPr="00D5098D" w:rsidRDefault="00086059" w:rsidP="00410764">
      <w:pPr>
        <w:pStyle w:val="ListParagraph"/>
        <w:spacing w:after="0" w:line="360" w:lineRule="auto"/>
        <w:ind w:left="0"/>
        <w:contextualSpacing w:val="0"/>
        <w:jc w:val="both"/>
        <w:rPr>
          <w:rFonts w:ascii="Arial" w:hAnsi="Arial"/>
          <w:sz w:val="24"/>
          <w:lang w:val="en-GB"/>
        </w:rPr>
      </w:pPr>
      <w:r w:rsidRPr="00D5098D">
        <w:rPr>
          <w:rFonts w:ascii="Arial" w:hAnsi="Arial"/>
          <w:sz w:val="24"/>
        </w:rPr>
        <w:t>[</w:t>
      </w:r>
      <w:r w:rsidR="001934C8" w:rsidRPr="00D5098D">
        <w:rPr>
          <w:rFonts w:ascii="Arial" w:hAnsi="Arial"/>
          <w:sz w:val="24"/>
        </w:rPr>
        <w:t>4</w:t>
      </w:r>
      <w:r w:rsidR="003C5713" w:rsidRPr="00D5098D">
        <w:rPr>
          <w:rFonts w:ascii="Arial" w:hAnsi="Arial"/>
          <w:sz w:val="24"/>
        </w:rPr>
        <w:t>6</w:t>
      </w:r>
      <w:r w:rsidRPr="00D5098D">
        <w:rPr>
          <w:rFonts w:ascii="Arial" w:hAnsi="Arial"/>
          <w:sz w:val="24"/>
        </w:rPr>
        <w:t>]</w:t>
      </w:r>
      <w:r w:rsidRPr="00D5098D">
        <w:rPr>
          <w:rFonts w:ascii="Arial" w:hAnsi="Arial"/>
          <w:sz w:val="24"/>
        </w:rPr>
        <w:tab/>
      </w:r>
      <w:r w:rsidR="00916A13" w:rsidRPr="00D5098D">
        <w:rPr>
          <w:rFonts w:ascii="Arial" w:hAnsi="Arial"/>
          <w:sz w:val="24"/>
        </w:rPr>
        <w:t>The cases on which the appellants rely are</w:t>
      </w:r>
      <w:r w:rsidR="002F2227">
        <w:rPr>
          <w:rFonts w:ascii="Arial" w:hAnsi="Arial"/>
          <w:sz w:val="24"/>
        </w:rPr>
        <w:t xml:space="preserve"> </w:t>
      </w:r>
      <w:r w:rsidR="00916A13" w:rsidRPr="00D5098D">
        <w:rPr>
          <w:rFonts w:ascii="Arial" w:hAnsi="Arial"/>
          <w:sz w:val="24"/>
        </w:rPr>
        <w:t xml:space="preserve">distinguishable. </w:t>
      </w:r>
      <w:r w:rsidRPr="00D5098D">
        <w:rPr>
          <w:rFonts w:ascii="Arial" w:hAnsi="Arial"/>
          <w:sz w:val="24"/>
        </w:rPr>
        <w:t xml:space="preserve">The appeal provision at issue in </w:t>
      </w:r>
      <w:r w:rsidRPr="00D5098D">
        <w:rPr>
          <w:rFonts w:ascii="Arial" w:hAnsi="Arial"/>
          <w:i/>
          <w:iCs/>
          <w:sz w:val="24"/>
          <w:lang w:val="en-GB"/>
        </w:rPr>
        <w:t>Potgieter</w:t>
      </w:r>
      <w:r w:rsidR="00410764" w:rsidRPr="00D5098D">
        <w:rPr>
          <w:rFonts w:ascii="Arial" w:hAnsi="Arial"/>
          <w:i/>
          <w:iCs/>
          <w:sz w:val="24"/>
          <w:lang w:val="en-GB"/>
        </w:rPr>
        <w:t xml:space="preserve"> </w:t>
      </w:r>
      <w:r w:rsidR="00410764" w:rsidRPr="00D5098D">
        <w:rPr>
          <w:rFonts w:ascii="Arial" w:hAnsi="Arial"/>
          <w:sz w:val="24"/>
          <w:lang w:val="en-GB"/>
        </w:rPr>
        <w:t>was s 26B(15) of the Financial Services Board Act 97 of 1990 which read:</w:t>
      </w:r>
    </w:p>
    <w:p w14:paraId="1F108AE3" w14:textId="77777777" w:rsidR="00410764" w:rsidRPr="00D5098D" w:rsidRDefault="00410764" w:rsidP="00410764">
      <w:pPr>
        <w:pStyle w:val="ListParagraph"/>
        <w:spacing w:after="0" w:line="360" w:lineRule="auto"/>
        <w:ind w:left="0"/>
        <w:contextualSpacing w:val="0"/>
        <w:jc w:val="both"/>
        <w:rPr>
          <w:rFonts w:ascii="Arial" w:hAnsi="Arial"/>
          <w:sz w:val="22"/>
          <w:szCs w:val="22"/>
          <w:lang w:val="en-GB"/>
        </w:rPr>
      </w:pPr>
      <w:r w:rsidRPr="00D5098D">
        <w:rPr>
          <w:rFonts w:ascii="Arial" w:hAnsi="Arial"/>
          <w:sz w:val="22"/>
          <w:szCs w:val="22"/>
          <w:lang w:val="en-GB"/>
        </w:rPr>
        <w:t>‘The appeal board may – (a) confirm, set aside or vary the decision under appeal, and order that any such decision of the appeal board be given effect to; or (b) remit the matter for reconsideration by the decision-maker concerned in accordance with such directions, if any, as the appeal board may determine.’</w:t>
      </w:r>
    </w:p>
    <w:p w14:paraId="58ACF883" w14:textId="77777777" w:rsidR="00DC159A" w:rsidRPr="00D5098D" w:rsidRDefault="00DC159A" w:rsidP="00410764">
      <w:pPr>
        <w:pStyle w:val="ListParagraph"/>
        <w:spacing w:after="0" w:line="360" w:lineRule="auto"/>
        <w:ind w:left="0"/>
        <w:contextualSpacing w:val="0"/>
        <w:jc w:val="both"/>
        <w:rPr>
          <w:rFonts w:ascii="Arial" w:hAnsi="Arial"/>
          <w:sz w:val="22"/>
          <w:szCs w:val="22"/>
          <w:lang w:val="en-GB"/>
        </w:rPr>
      </w:pPr>
    </w:p>
    <w:p w14:paraId="7EC68F74" w14:textId="103149A1" w:rsidR="00DC159A" w:rsidRPr="00D5098D" w:rsidRDefault="00DC159A" w:rsidP="00940F2F">
      <w:pPr>
        <w:pStyle w:val="ListParagraph"/>
        <w:spacing w:after="0" w:line="360" w:lineRule="auto"/>
        <w:ind w:left="0"/>
        <w:contextualSpacing w:val="0"/>
        <w:jc w:val="both"/>
        <w:rPr>
          <w:rFonts w:ascii="Arial" w:hAnsi="Arial"/>
          <w:sz w:val="24"/>
          <w:lang w:val="en-GB"/>
        </w:rPr>
      </w:pPr>
      <w:r w:rsidRPr="00D5098D">
        <w:rPr>
          <w:rFonts w:ascii="Arial" w:hAnsi="Arial"/>
          <w:sz w:val="24"/>
          <w:lang w:val="en-GB"/>
        </w:rPr>
        <w:t>[</w:t>
      </w:r>
      <w:r w:rsidR="001934C8" w:rsidRPr="00D5098D">
        <w:rPr>
          <w:rFonts w:ascii="Arial" w:hAnsi="Arial"/>
          <w:sz w:val="24"/>
          <w:lang w:val="en-GB"/>
        </w:rPr>
        <w:t>4</w:t>
      </w:r>
      <w:r w:rsidR="003C5713" w:rsidRPr="00D5098D">
        <w:rPr>
          <w:rFonts w:ascii="Arial" w:hAnsi="Arial"/>
          <w:sz w:val="24"/>
          <w:lang w:val="en-GB"/>
        </w:rPr>
        <w:t>7</w:t>
      </w:r>
      <w:r w:rsidRPr="00D5098D">
        <w:rPr>
          <w:rFonts w:ascii="Arial" w:hAnsi="Arial"/>
          <w:sz w:val="24"/>
          <w:lang w:val="en-GB"/>
        </w:rPr>
        <w:t>]</w:t>
      </w:r>
      <w:r w:rsidRPr="00D5098D">
        <w:rPr>
          <w:rFonts w:ascii="Arial" w:hAnsi="Arial"/>
          <w:sz w:val="24"/>
          <w:lang w:val="en-GB"/>
        </w:rPr>
        <w:tab/>
        <w:t>As is apparent, unlike s 35(4) of the ECA</w:t>
      </w:r>
      <w:r w:rsidR="00685F7D" w:rsidRPr="00D5098D">
        <w:rPr>
          <w:rFonts w:ascii="Arial" w:hAnsi="Arial"/>
          <w:sz w:val="24"/>
          <w:lang w:val="en-GB"/>
        </w:rPr>
        <w:t>,</w:t>
      </w:r>
      <w:r w:rsidRPr="00D5098D">
        <w:rPr>
          <w:rFonts w:ascii="Arial" w:hAnsi="Arial"/>
          <w:sz w:val="24"/>
          <w:lang w:val="en-GB"/>
        </w:rPr>
        <w:t xml:space="preserve"> </w:t>
      </w:r>
      <w:r w:rsidR="00685F7D" w:rsidRPr="00D5098D">
        <w:rPr>
          <w:rFonts w:ascii="Arial" w:hAnsi="Arial"/>
          <w:sz w:val="24"/>
          <w:lang w:val="en-GB"/>
        </w:rPr>
        <w:t>s</w:t>
      </w:r>
      <w:r w:rsidR="001960B4" w:rsidRPr="00D5098D">
        <w:rPr>
          <w:rFonts w:ascii="Arial" w:hAnsi="Arial"/>
          <w:sz w:val="24"/>
          <w:lang w:val="en-GB"/>
        </w:rPr>
        <w:t xml:space="preserve"> 26B(15) of that Act</w:t>
      </w:r>
      <w:r w:rsidRPr="00D5098D">
        <w:rPr>
          <w:rFonts w:ascii="Arial" w:hAnsi="Arial"/>
          <w:sz w:val="24"/>
          <w:lang w:val="en-GB"/>
        </w:rPr>
        <w:t xml:space="preserve"> did not permit the appeal</w:t>
      </w:r>
      <w:r w:rsidR="001960B4" w:rsidRPr="00D5098D">
        <w:rPr>
          <w:rFonts w:ascii="Arial" w:hAnsi="Arial"/>
          <w:sz w:val="24"/>
          <w:lang w:val="en-GB"/>
        </w:rPr>
        <w:t xml:space="preserve"> board</w:t>
      </w:r>
      <w:r w:rsidRPr="00D5098D">
        <w:rPr>
          <w:rFonts w:ascii="Arial" w:hAnsi="Arial"/>
          <w:sz w:val="24"/>
          <w:lang w:val="en-GB"/>
        </w:rPr>
        <w:t xml:space="preserve"> to ‘make any order [it] may deem fit’, nor did it make any other provision for the appeal board to substitute an entirely </w:t>
      </w:r>
      <w:r w:rsidR="00220FEE" w:rsidRPr="00D5098D">
        <w:rPr>
          <w:rFonts w:ascii="Arial" w:hAnsi="Arial"/>
          <w:sz w:val="24"/>
          <w:lang w:val="en-GB"/>
        </w:rPr>
        <w:t xml:space="preserve">different decision for that of the first-instance decision-maker. On the contrary, paragraph (a) only permitted the appeal board to vary the decision under appeal and paragraph (b) required the appeal board to remit the matter for reconsideration by the decision-maker concerned in accordance with such directions as it may determine. </w:t>
      </w:r>
    </w:p>
    <w:p w14:paraId="227A5B7D" w14:textId="77777777" w:rsidR="00220FEE" w:rsidRPr="00D5098D" w:rsidRDefault="00220FEE" w:rsidP="00410764">
      <w:pPr>
        <w:pStyle w:val="ListParagraph"/>
        <w:spacing w:after="0" w:line="360" w:lineRule="auto"/>
        <w:ind w:left="0"/>
        <w:contextualSpacing w:val="0"/>
        <w:jc w:val="both"/>
        <w:rPr>
          <w:rFonts w:ascii="Arial" w:hAnsi="Arial"/>
          <w:sz w:val="24"/>
          <w:lang w:val="en-GB"/>
        </w:rPr>
      </w:pPr>
    </w:p>
    <w:p w14:paraId="4B14981C" w14:textId="77777777" w:rsidR="000D7775" w:rsidRPr="00D5098D" w:rsidRDefault="00220FEE" w:rsidP="000D7775">
      <w:pPr>
        <w:pStyle w:val="ListParagraph"/>
        <w:spacing w:after="0" w:line="360" w:lineRule="auto"/>
        <w:ind w:left="0"/>
        <w:contextualSpacing w:val="0"/>
        <w:jc w:val="both"/>
        <w:rPr>
          <w:rFonts w:ascii="Arial" w:hAnsi="Arial"/>
          <w:sz w:val="24"/>
        </w:rPr>
      </w:pPr>
      <w:r w:rsidRPr="00D5098D">
        <w:rPr>
          <w:rFonts w:ascii="Arial" w:hAnsi="Arial"/>
          <w:sz w:val="24"/>
          <w:lang w:val="en-GB"/>
        </w:rPr>
        <w:t>[</w:t>
      </w:r>
      <w:r w:rsidR="003C5713" w:rsidRPr="00D5098D">
        <w:rPr>
          <w:rFonts w:ascii="Arial" w:hAnsi="Arial"/>
          <w:sz w:val="24"/>
          <w:lang w:val="en-GB"/>
        </w:rPr>
        <w:t>48</w:t>
      </w:r>
      <w:r w:rsidRPr="00D5098D">
        <w:rPr>
          <w:rFonts w:ascii="Arial" w:hAnsi="Arial"/>
          <w:sz w:val="24"/>
          <w:lang w:val="en-GB"/>
        </w:rPr>
        <w:t>]</w:t>
      </w:r>
      <w:r w:rsidRPr="00D5098D">
        <w:rPr>
          <w:rFonts w:ascii="Arial" w:hAnsi="Arial"/>
          <w:sz w:val="24"/>
          <w:lang w:val="en-GB"/>
        </w:rPr>
        <w:tab/>
      </w:r>
      <w:r w:rsidR="000D7775" w:rsidRPr="00D5098D">
        <w:rPr>
          <w:rFonts w:ascii="Arial" w:hAnsi="Arial"/>
          <w:sz w:val="24"/>
        </w:rPr>
        <w:t xml:space="preserve">The appellants </w:t>
      </w:r>
      <w:r w:rsidR="001960B4" w:rsidRPr="00D5098D">
        <w:rPr>
          <w:rFonts w:ascii="Arial" w:hAnsi="Arial"/>
          <w:sz w:val="24"/>
        </w:rPr>
        <w:t xml:space="preserve">further </w:t>
      </w:r>
      <w:r w:rsidR="000D7775" w:rsidRPr="00D5098D">
        <w:rPr>
          <w:rFonts w:ascii="Arial" w:hAnsi="Arial"/>
          <w:sz w:val="24"/>
        </w:rPr>
        <w:t>r</w:t>
      </w:r>
      <w:r w:rsidR="001D1C1B" w:rsidRPr="00D5098D">
        <w:rPr>
          <w:rFonts w:ascii="Arial" w:hAnsi="Arial"/>
          <w:sz w:val="24"/>
        </w:rPr>
        <w:t>eferred to the passages in paragraphs</w:t>
      </w:r>
      <w:r w:rsidR="000D7775" w:rsidRPr="00D5098D">
        <w:rPr>
          <w:rFonts w:ascii="Arial" w:hAnsi="Arial"/>
          <w:sz w:val="24"/>
        </w:rPr>
        <w:t xml:space="preserve"> 25 and 26 in </w:t>
      </w:r>
      <w:r w:rsidR="000D7775" w:rsidRPr="00D5098D">
        <w:rPr>
          <w:rFonts w:ascii="Arial" w:hAnsi="Arial"/>
          <w:i/>
          <w:iCs/>
          <w:sz w:val="24"/>
          <w:lang w:val="en-GB"/>
        </w:rPr>
        <w:t>Groenewald</w:t>
      </w:r>
      <w:r w:rsidR="000D7775" w:rsidRPr="00D5098D">
        <w:rPr>
          <w:rFonts w:ascii="Arial" w:hAnsi="Arial"/>
          <w:sz w:val="24"/>
        </w:rPr>
        <w:t xml:space="preserve"> in support of their contention that a power to vary does not entail the power to substitute</w:t>
      </w:r>
      <w:r w:rsidR="001D1C1B" w:rsidRPr="00D5098D">
        <w:rPr>
          <w:rFonts w:ascii="Arial" w:hAnsi="Arial"/>
          <w:sz w:val="24"/>
        </w:rPr>
        <w:t xml:space="preserve"> or replace</w:t>
      </w:r>
      <w:r w:rsidR="000D7775" w:rsidRPr="00D5098D">
        <w:rPr>
          <w:rFonts w:ascii="Arial" w:hAnsi="Arial"/>
          <w:sz w:val="24"/>
        </w:rPr>
        <w:t xml:space="preserve">. </w:t>
      </w:r>
      <w:r w:rsidR="000D7775" w:rsidRPr="00D5098D">
        <w:rPr>
          <w:rFonts w:ascii="Arial" w:hAnsi="Arial"/>
          <w:i/>
          <w:iCs/>
          <w:sz w:val="24"/>
        </w:rPr>
        <w:t>Groenewald</w:t>
      </w:r>
      <w:r w:rsidR="000D7775" w:rsidRPr="00D5098D">
        <w:rPr>
          <w:rFonts w:ascii="Arial" w:hAnsi="Arial"/>
          <w:sz w:val="24"/>
        </w:rPr>
        <w:t xml:space="preserve"> concerned an appeal in terms of s 62(3) of the Local Government: Municipal Systems Act 32 of 2000 (the Systems Act) against a decision in a municipal procurement process involving multiple competing bidders. Section 62(3)</w:t>
      </w:r>
      <w:r w:rsidR="00916A13" w:rsidRPr="00D5098D">
        <w:rPr>
          <w:rFonts w:ascii="Arial" w:hAnsi="Arial"/>
          <w:sz w:val="24"/>
        </w:rPr>
        <w:t xml:space="preserve"> confers on the appeal authority the following power:</w:t>
      </w:r>
    </w:p>
    <w:p w14:paraId="701C51DF" w14:textId="77777777" w:rsidR="000D7775" w:rsidRPr="00D5098D" w:rsidRDefault="000D7775" w:rsidP="000D7775">
      <w:pPr>
        <w:pStyle w:val="ListParagraph"/>
        <w:spacing w:line="360" w:lineRule="auto"/>
        <w:ind w:left="0"/>
        <w:jc w:val="both"/>
        <w:rPr>
          <w:rFonts w:ascii="Arial" w:hAnsi="Arial"/>
          <w:sz w:val="22"/>
          <w:szCs w:val="22"/>
        </w:rPr>
      </w:pPr>
      <w:r w:rsidRPr="00D5098D">
        <w:rPr>
          <w:rFonts w:ascii="Arial" w:hAnsi="Arial"/>
          <w:sz w:val="22"/>
          <w:szCs w:val="22"/>
        </w:rPr>
        <w:t>‘The appeal authority must consider the appeal, and confirm, vary or revoke the decision, but no such variation or revocation of a decision may detract from any rights that may have accrued as a result of the decision.’</w:t>
      </w:r>
    </w:p>
    <w:p w14:paraId="097DC0D7" w14:textId="77777777" w:rsidR="000D7775" w:rsidRPr="00D5098D" w:rsidRDefault="000D7775" w:rsidP="000D7775">
      <w:pPr>
        <w:pStyle w:val="ListParagraph"/>
        <w:spacing w:line="360" w:lineRule="auto"/>
        <w:ind w:left="0"/>
        <w:jc w:val="both"/>
        <w:rPr>
          <w:rFonts w:ascii="Arial" w:hAnsi="Arial"/>
          <w:sz w:val="22"/>
          <w:szCs w:val="22"/>
        </w:rPr>
      </w:pPr>
    </w:p>
    <w:p w14:paraId="385BB014" w14:textId="77777777" w:rsidR="00CE7330" w:rsidRPr="00D5098D" w:rsidRDefault="000D7775" w:rsidP="00CE7330">
      <w:pPr>
        <w:pStyle w:val="ListParagraph"/>
        <w:spacing w:line="360" w:lineRule="auto"/>
        <w:ind w:left="0"/>
        <w:jc w:val="both"/>
        <w:rPr>
          <w:rFonts w:ascii="Arial" w:hAnsi="Arial"/>
          <w:sz w:val="24"/>
        </w:rPr>
      </w:pPr>
      <w:r w:rsidRPr="00D5098D">
        <w:rPr>
          <w:rFonts w:ascii="Arial" w:hAnsi="Arial"/>
          <w:sz w:val="24"/>
        </w:rPr>
        <w:t>[</w:t>
      </w:r>
      <w:r w:rsidR="003C5713" w:rsidRPr="00D5098D">
        <w:rPr>
          <w:rFonts w:ascii="Arial" w:hAnsi="Arial"/>
          <w:sz w:val="24"/>
        </w:rPr>
        <w:t>49</w:t>
      </w:r>
      <w:r w:rsidRPr="00D5098D">
        <w:rPr>
          <w:rFonts w:ascii="Arial" w:hAnsi="Arial"/>
          <w:sz w:val="24"/>
        </w:rPr>
        <w:t>]</w:t>
      </w:r>
      <w:r w:rsidRPr="00D5098D">
        <w:rPr>
          <w:rFonts w:ascii="Arial" w:hAnsi="Arial"/>
          <w:sz w:val="24"/>
        </w:rPr>
        <w:tab/>
      </w:r>
      <w:r w:rsidR="00CE7330" w:rsidRPr="00D5098D">
        <w:rPr>
          <w:rFonts w:ascii="Arial" w:hAnsi="Arial"/>
          <w:sz w:val="24"/>
        </w:rPr>
        <w:t xml:space="preserve">In view of the considerable reliance placed by the appellants on the decision in </w:t>
      </w:r>
      <w:r w:rsidR="00CE7330" w:rsidRPr="00D5098D">
        <w:rPr>
          <w:rFonts w:ascii="Arial" w:hAnsi="Arial"/>
          <w:i/>
          <w:iCs/>
          <w:sz w:val="24"/>
        </w:rPr>
        <w:t>Groenewald</w:t>
      </w:r>
      <w:r w:rsidR="00CE7330" w:rsidRPr="00D5098D">
        <w:rPr>
          <w:rFonts w:ascii="Arial" w:hAnsi="Arial"/>
          <w:sz w:val="24"/>
        </w:rPr>
        <w:t xml:space="preserve">, it would be appropriate to analyse that decision in a little detail. In </w:t>
      </w:r>
      <w:r w:rsidR="00CE7330" w:rsidRPr="00D5098D">
        <w:rPr>
          <w:rFonts w:ascii="Arial" w:hAnsi="Arial"/>
          <w:i/>
          <w:iCs/>
          <w:sz w:val="24"/>
        </w:rPr>
        <w:t>Groenewald,</w:t>
      </w:r>
      <w:r w:rsidR="00CE7330" w:rsidRPr="00D5098D">
        <w:rPr>
          <w:rFonts w:ascii="Arial" w:hAnsi="Arial"/>
          <w:sz w:val="24"/>
        </w:rPr>
        <w:t xml:space="preserve"> the appeal arose out of the award of tender of a municipal contract by the </w:t>
      </w:r>
      <w:r w:rsidR="00C95F5A" w:rsidRPr="00D5098D">
        <w:rPr>
          <w:rFonts w:ascii="Arial" w:hAnsi="Arial"/>
          <w:sz w:val="24"/>
        </w:rPr>
        <w:t>m</w:t>
      </w:r>
      <w:r w:rsidR="00CE7330" w:rsidRPr="00D5098D">
        <w:rPr>
          <w:rFonts w:ascii="Arial" w:hAnsi="Arial"/>
          <w:sz w:val="24"/>
        </w:rPr>
        <w:t>unicipality to one of several entities who had tendered. M5</w:t>
      </w:r>
      <w:r w:rsidR="00C95F5A" w:rsidRPr="00D5098D">
        <w:rPr>
          <w:rFonts w:ascii="Arial" w:hAnsi="Arial"/>
          <w:sz w:val="24"/>
        </w:rPr>
        <w:t xml:space="preserve"> Development’s</w:t>
      </w:r>
      <w:r w:rsidR="00CE7330" w:rsidRPr="00D5098D">
        <w:rPr>
          <w:rFonts w:ascii="Arial" w:hAnsi="Arial"/>
          <w:sz w:val="24"/>
        </w:rPr>
        <w:t xml:space="preserve"> </w:t>
      </w:r>
      <w:r w:rsidR="00C95F5A" w:rsidRPr="00D5098D">
        <w:rPr>
          <w:rFonts w:ascii="Arial" w:hAnsi="Arial"/>
          <w:sz w:val="24"/>
        </w:rPr>
        <w:t xml:space="preserve">(M5) </w:t>
      </w:r>
      <w:r w:rsidR="00CE7330" w:rsidRPr="00D5098D">
        <w:rPr>
          <w:rFonts w:ascii="Arial" w:hAnsi="Arial"/>
          <w:sz w:val="24"/>
        </w:rPr>
        <w:t>tender was initially accepted, but pursuant to an appeal Groenewald, who was at the time the acting manager, reversed that decision</w:t>
      </w:r>
      <w:r w:rsidR="00916A13" w:rsidRPr="00D5098D">
        <w:rPr>
          <w:rFonts w:ascii="Arial" w:hAnsi="Arial"/>
          <w:sz w:val="24"/>
        </w:rPr>
        <w:t xml:space="preserve"> and awarded the contract to</w:t>
      </w:r>
      <w:r w:rsidR="00CE7330" w:rsidRPr="00D5098D">
        <w:rPr>
          <w:rFonts w:ascii="Arial" w:hAnsi="Arial"/>
          <w:sz w:val="24"/>
        </w:rPr>
        <w:t xml:space="preserve"> ASLA. On review the high court set aside the municipal manager’s decision to award the contract to ASLA and declared M5 to be entitled to enter into a contract with the municipality pursuant to the allocation of the tender. Aggrieved by the high court decision, Groenewald, the Municipality and ASLA appealed to this Court. </w:t>
      </w:r>
    </w:p>
    <w:p w14:paraId="307EBD0B" w14:textId="77777777" w:rsidR="00CE7330" w:rsidRPr="00D5098D" w:rsidRDefault="00CE7330" w:rsidP="00CE7330">
      <w:pPr>
        <w:pStyle w:val="ListParagraph"/>
        <w:spacing w:line="360" w:lineRule="auto"/>
        <w:ind w:left="0"/>
        <w:jc w:val="both"/>
        <w:rPr>
          <w:rFonts w:ascii="Arial" w:hAnsi="Arial"/>
          <w:sz w:val="24"/>
        </w:rPr>
      </w:pPr>
    </w:p>
    <w:p w14:paraId="0927174E" w14:textId="73A28D82" w:rsidR="00CE7330" w:rsidRPr="00D5098D" w:rsidRDefault="00CE7330" w:rsidP="00CE7330">
      <w:pPr>
        <w:pStyle w:val="ListParagraph"/>
        <w:spacing w:line="360" w:lineRule="auto"/>
        <w:ind w:left="0"/>
        <w:jc w:val="both"/>
        <w:rPr>
          <w:rFonts w:ascii="Arial" w:hAnsi="Arial"/>
          <w:sz w:val="24"/>
        </w:rPr>
      </w:pPr>
      <w:r w:rsidRPr="00D5098D">
        <w:rPr>
          <w:rFonts w:ascii="Arial" w:hAnsi="Arial"/>
          <w:sz w:val="24"/>
        </w:rPr>
        <w:t>[</w:t>
      </w:r>
      <w:r w:rsidR="001934C8" w:rsidRPr="00D5098D">
        <w:rPr>
          <w:rFonts w:ascii="Arial" w:hAnsi="Arial"/>
          <w:sz w:val="24"/>
        </w:rPr>
        <w:t>5</w:t>
      </w:r>
      <w:r w:rsidR="003C5713" w:rsidRPr="00D5098D">
        <w:rPr>
          <w:rFonts w:ascii="Arial" w:hAnsi="Arial"/>
          <w:sz w:val="24"/>
        </w:rPr>
        <w:t>0</w:t>
      </w:r>
      <w:r w:rsidRPr="00D5098D">
        <w:rPr>
          <w:rFonts w:ascii="Arial" w:hAnsi="Arial"/>
          <w:sz w:val="24"/>
        </w:rPr>
        <w:t>]</w:t>
      </w:r>
      <w:r w:rsidRPr="00D5098D">
        <w:rPr>
          <w:rFonts w:ascii="Arial" w:hAnsi="Arial"/>
          <w:sz w:val="24"/>
        </w:rPr>
        <w:tab/>
        <w:t xml:space="preserve">One of the issues before this Court was whether Groenewald, as appeal authority, was entitled to award the contract to an unsuccessful tenderer who had not appealed against the initial decision to award it to another. Arguing that Groenewald had been perfectly entitled to do so, counsel for the appellants, as </w:t>
      </w:r>
      <w:r w:rsidR="00033B2E" w:rsidRPr="00D5098D">
        <w:rPr>
          <w:rFonts w:ascii="Arial" w:hAnsi="Arial"/>
          <w:sz w:val="24"/>
        </w:rPr>
        <w:t xml:space="preserve">a </w:t>
      </w:r>
      <w:r w:rsidRPr="00D5098D">
        <w:rPr>
          <w:rFonts w:ascii="Arial" w:hAnsi="Arial"/>
          <w:sz w:val="24"/>
        </w:rPr>
        <w:t>starting point, contended that an appeal in terms of s 62 is a wide appeal involving a re-hearing of the issues and that Groenewald was bound in his re-hearing of the matter to award the contract to the party to whom it should have been awarded in the first place, even if that party had not appealed.</w:t>
      </w:r>
    </w:p>
    <w:p w14:paraId="3BB5C9AD" w14:textId="77777777" w:rsidR="00CE7330" w:rsidRPr="00D5098D" w:rsidRDefault="00CE7330" w:rsidP="00CE7330">
      <w:pPr>
        <w:pStyle w:val="ListParagraph"/>
        <w:spacing w:line="360" w:lineRule="auto"/>
        <w:ind w:left="0"/>
        <w:jc w:val="both"/>
        <w:rPr>
          <w:rFonts w:ascii="Arial" w:hAnsi="Arial"/>
          <w:sz w:val="24"/>
        </w:rPr>
      </w:pPr>
    </w:p>
    <w:p w14:paraId="4806D07B" w14:textId="440E0A5F" w:rsidR="000A18C1" w:rsidRPr="00D5098D" w:rsidRDefault="00534029" w:rsidP="000D7775">
      <w:pPr>
        <w:pStyle w:val="ListParagraph"/>
        <w:spacing w:line="360" w:lineRule="auto"/>
        <w:ind w:left="0"/>
        <w:jc w:val="both"/>
        <w:rPr>
          <w:rFonts w:ascii="Arial" w:hAnsi="Arial"/>
          <w:sz w:val="24"/>
          <w:lang w:val="en-GB"/>
        </w:rPr>
      </w:pPr>
      <w:r w:rsidRPr="00D5098D">
        <w:rPr>
          <w:rFonts w:ascii="Arial" w:hAnsi="Arial"/>
          <w:sz w:val="24"/>
        </w:rPr>
        <w:t>[</w:t>
      </w:r>
      <w:r w:rsidR="001934C8" w:rsidRPr="00D5098D">
        <w:rPr>
          <w:rFonts w:ascii="Arial" w:hAnsi="Arial"/>
          <w:sz w:val="24"/>
        </w:rPr>
        <w:t>5</w:t>
      </w:r>
      <w:r w:rsidR="003C5713" w:rsidRPr="00D5098D">
        <w:rPr>
          <w:rFonts w:ascii="Arial" w:hAnsi="Arial"/>
          <w:sz w:val="24"/>
        </w:rPr>
        <w:t>1</w:t>
      </w:r>
      <w:r w:rsidRPr="00D5098D">
        <w:rPr>
          <w:rFonts w:ascii="Arial" w:hAnsi="Arial"/>
          <w:sz w:val="24"/>
        </w:rPr>
        <w:t>]</w:t>
      </w:r>
      <w:r w:rsidRPr="00D5098D">
        <w:rPr>
          <w:rFonts w:ascii="Arial" w:hAnsi="Arial"/>
          <w:sz w:val="24"/>
        </w:rPr>
        <w:tab/>
      </w:r>
      <w:r w:rsidR="00A27A94" w:rsidRPr="00D5098D">
        <w:rPr>
          <w:rFonts w:ascii="Arial" w:hAnsi="Arial"/>
          <w:sz w:val="24"/>
          <w:lang w:val="en-GB"/>
        </w:rPr>
        <w:t xml:space="preserve">In rejecting </w:t>
      </w:r>
      <w:r w:rsidR="0094519E">
        <w:rPr>
          <w:rFonts w:ascii="Arial" w:hAnsi="Arial"/>
          <w:sz w:val="24"/>
          <w:lang w:val="en-GB"/>
        </w:rPr>
        <w:t>counsel’s</w:t>
      </w:r>
      <w:r w:rsidR="00A27A94" w:rsidRPr="00D5098D">
        <w:rPr>
          <w:rFonts w:ascii="Arial" w:hAnsi="Arial"/>
          <w:sz w:val="24"/>
          <w:lang w:val="en-GB"/>
        </w:rPr>
        <w:t xml:space="preserve"> argument</w:t>
      </w:r>
      <w:r w:rsidR="008E0881" w:rsidRPr="00D5098D">
        <w:rPr>
          <w:rFonts w:ascii="Arial" w:hAnsi="Arial"/>
          <w:sz w:val="24"/>
          <w:lang w:val="en-GB"/>
        </w:rPr>
        <w:t>,</w:t>
      </w:r>
      <w:r w:rsidR="00A27A94" w:rsidRPr="00D5098D">
        <w:rPr>
          <w:rFonts w:ascii="Arial" w:hAnsi="Arial"/>
          <w:sz w:val="24"/>
          <w:lang w:val="en-GB"/>
        </w:rPr>
        <w:t xml:space="preserve"> this Court stated the following:</w:t>
      </w:r>
      <w:r w:rsidR="00AA1985" w:rsidRPr="00D5098D">
        <w:rPr>
          <w:rStyle w:val="FootnoteReference"/>
          <w:rFonts w:ascii="Arial" w:hAnsi="Arial"/>
          <w:sz w:val="24"/>
          <w:lang w:val="en-GB"/>
        </w:rPr>
        <w:footnoteReference w:id="15"/>
      </w:r>
      <w:r w:rsidR="00A27A94" w:rsidRPr="00D5098D">
        <w:rPr>
          <w:rFonts w:ascii="Arial" w:hAnsi="Arial"/>
          <w:sz w:val="24"/>
          <w:lang w:val="en-GB"/>
        </w:rPr>
        <w:t xml:space="preserve"> </w:t>
      </w:r>
      <w:r w:rsidR="00AA1985" w:rsidRPr="00D5098D">
        <w:rPr>
          <w:rFonts w:ascii="Arial" w:hAnsi="Arial"/>
          <w:sz w:val="22"/>
          <w:szCs w:val="22"/>
          <w:lang w:val="en-GB"/>
        </w:rPr>
        <w:t>‘</w:t>
      </w:r>
      <w:r w:rsidR="000A18C1" w:rsidRPr="00D5098D">
        <w:rPr>
          <w:rFonts w:ascii="Arial" w:hAnsi="Arial"/>
          <w:sz w:val="22"/>
          <w:szCs w:val="22"/>
          <w:lang w:val="en-GB"/>
        </w:rPr>
        <w:t xml:space="preserve">The obvious fallacy in the appellants’ argument is found on an examination of the section under which the appeal authority is empowered to act. Section 62(1) allows a person to appeal by giving ‘written notice of the appeal and reasons’ to the municipal manager who, under s 62(2) has then to submit ‘the appeal’ – obviously the notice of appeal and the reasons lodged therewith under s 62(1) – to the appeal authority for it to consider ‘the appeal’ under s 62(3). Although in terms of this latter subsection the appeal authority is empowered to ‘confirm, vary or revoke the decision’ it exercises that power in the context of hearing ‘the appeal’ viz the appeal and the reasons lodged by the aggrieved person under s 62(1). That defines the ambit of the appeal, the sole issue being whether that aggrieved person should succeed for the reasons it has advanced. It is not for the appeal authority to reconsider all the tenders that had been submitted. If that had been the legislature’s intention, it would have said so. It did not, and for obvious reasons. There is a need in matters of this nature for decisions to be made without unreasonable delay. If each and every tender had to be revisited it could easily become an administrative nightmare with the appeal authority having to hear representations from all parties who tendered, some of whom might have no realistic prospect of success, in regard to a myriad of issues, many of which might in due course be proved to be wholly irrelevant. This could never have been the legislature’s intention. It is inconsistent with the requirement that a person aggrieved must file a notice of appeal with reasons within a fairly short period. </w:t>
      </w:r>
    </w:p>
    <w:p w14:paraId="4878E855" w14:textId="77777777" w:rsidR="00AA1985" w:rsidRPr="00D5098D" w:rsidRDefault="00AA1985" w:rsidP="000D7775">
      <w:pPr>
        <w:pStyle w:val="ListParagraph"/>
        <w:spacing w:line="360" w:lineRule="auto"/>
        <w:ind w:left="0"/>
        <w:jc w:val="both"/>
        <w:rPr>
          <w:rFonts w:ascii="Arial" w:hAnsi="Arial"/>
          <w:sz w:val="22"/>
          <w:szCs w:val="22"/>
          <w:lang w:val="en-GB"/>
        </w:rPr>
      </w:pPr>
    </w:p>
    <w:p w14:paraId="6175E310" w14:textId="77777777" w:rsidR="000A18C1" w:rsidRPr="00D5098D" w:rsidRDefault="000A18C1" w:rsidP="000D7775">
      <w:pPr>
        <w:pStyle w:val="ListParagraph"/>
        <w:spacing w:line="360" w:lineRule="auto"/>
        <w:ind w:left="0"/>
        <w:jc w:val="both"/>
        <w:rPr>
          <w:rFonts w:ascii="Arial" w:hAnsi="Arial"/>
          <w:sz w:val="22"/>
          <w:szCs w:val="22"/>
          <w:lang w:val="en-GB"/>
        </w:rPr>
      </w:pPr>
      <w:r w:rsidRPr="00D5098D">
        <w:rPr>
          <w:rFonts w:ascii="Arial" w:hAnsi="Arial"/>
          <w:sz w:val="22"/>
          <w:szCs w:val="22"/>
          <w:lang w:val="en-GB"/>
        </w:rPr>
        <w:t>Thus</w:t>
      </w:r>
      <w:r w:rsidR="00AA1985" w:rsidRPr="00D5098D">
        <w:rPr>
          <w:rFonts w:ascii="Arial" w:hAnsi="Arial"/>
          <w:sz w:val="22"/>
          <w:szCs w:val="22"/>
          <w:lang w:val="en-GB"/>
        </w:rPr>
        <w:t>,</w:t>
      </w:r>
      <w:r w:rsidRPr="00D5098D">
        <w:rPr>
          <w:rFonts w:ascii="Arial" w:hAnsi="Arial"/>
          <w:sz w:val="22"/>
          <w:szCs w:val="22"/>
          <w:lang w:val="en-GB"/>
        </w:rPr>
        <w:t xml:space="preserve"> while I accept that the appeal is a wide one in the sense of a rehearing, it is a re-hearing related to the limited issue of whether the party appealing should have been successful. In the context of a municipal tender, an appeal by a person whose tender was unsuccessful therefore does not entitle the appeal authority to reconsider all the tenders that were lodged and to decide whether the committee which adjudicated upon the tender ought to have awarded the contract to a person whose tender was not accepted, but who did not appeal against that decision (and who might no longer have any interest in being awarded the contract). In the present case, the appeal related solely to whether the contract should have been awarded to Blue Whale rather than M5 and, having concluded that issue against Blue Whale and declining to consider ASLA’s appeal, the appeal should merely have been dismissed and the adjudication committee’s decision left undisturbed. </w:t>
      </w:r>
    </w:p>
    <w:p w14:paraId="0294C305" w14:textId="77777777" w:rsidR="00AA1985" w:rsidRPr="00D5098D" w:rsidRDefault="00AA1985" w:rsidP="000D7775">
      <w:pPr>
        <w:pStyle w:val="ListParagraph"/>
        <w:spacing w:line="360" w:lineRule="auto"/>
        <w:ind w:left="0"/>
        <w:jc w:val="both"/>
        <w:rPr>
          <w:rFonts w:ascii="Arial" w:hAnsi="Arial"/>
          <w:sz w:val="22"/>
          <w:szCs w:val="22"/>
          <w:lang w:val="en-GB"/>
        </w:rPr>
      </w:pPr>
    </w:p>
    <w:p w14:paraId="200A4101" w14:textId="77777777" w:rsidR="000D7775" w:rsidRPr="00D5098D" w:rsidRDefault="000A18C1" w:rsidP="000D7775">
      <w:pPr>
        <w:pStyle w:val="ListParagraph"/>
        <w:spacing w:line="360" w:lineRule="auto"/>
        <w:ind w:left="0"/>
        <w:jc w:val="both"/>
        <w:rPr>
          <w:rFonts w:ascii="Arial" w:hAnsi="Arial"/>
          <w:sz w:val="22"/>
          <w:szCs w:val="22"/>
          <w:lang w:val="en-GB"/>
        </w:rPr>
      </w:pPr>
      <w:r w:rsidRPr="00D5098D">
        <w:rPr>
          <w:rFonts w:ascii="Arial" w:hAnsi="Arial"/>
          <w:sz w:val="22"/>
          <w:szCs w:val="22"/>
          <w:lang w:val="en-GB"/>
        </w:rPr>
        <w:t>Furthermore, while Groenewald may have had concerns about the legality of the award of the tender, it is important to bear in mind that those concerns were based on his perceptions flowing from his own investigations on issues identified by him and that his conclusions were challenged by M5.</w:t>
      </w:r>
      <w:r w:rsidR="00AA1985" w:rsidRPr="00D5098D">
        <w:rPr>
          <w:rFonts w:ascii="Arial" w:hAnsi="Arial"/>
          <w:sz w:val="22"/>
          <w:szCs w:val="22"/>
          <w:lang w:val="en-GB"/>
        </w:rPr>
        <w:t>’</w:t>
      </w:r>
    </w:p>
    <w:p w14:paraId="446C80F5" w14:textId="77777777" w:rsidR="00741483" w:rsidRPr="00D5098D" w:rsidRDefault="00741483" w:rsidP="00741483">
      <w:pPr>
        <w:pStyle w:val="ListParagraph"/>
        <w:spacing w:line="360" w:lineRule="auto"/>
        <w:ind w:left="0"/>
        <w:jc w:val="both"/>
        <w:rPr>
          <w:rFonts w:ascii="Arial" w:hAnsi="Arial"/>
          <w:sz w:val="22"/>
          <w:szCs w:val="22"/>
          <w:lang w:val="en-GB"/>
        </w:rPr>
      </w:pPr>
    </w:p>
    <w:p w14:paraId="119C0D53" w14:textId="63F4C2AF" w:rsidR="008774CD" w:rsidRPr="00D5098D" w:rsidRDefault="00AA1985" w:rsidP="00741483">
      <w:pPr>
        <w:pStyle w:val="ListParagraph"/>
        <w:spacing w:line="360" w:lineRule="auto"/>
        <w:ind w:left="0"/>
        <w:jc w:val="both"/>
        <w:rPr>
          <w:rFonts w:ascii="Arial" w:hAnsi="Arial"/>
          <w:sz w:val="24"/>
        </w:rPr>
      </w:pPr>
      <w:r w:rsidRPr="00D5098D">
        <w:rPr>
          <w:rFonts w:ascii="Arial" w:hAnsi="Arial"/>
          <w:sz w:val="24"/>
          <w:lang w:val="en-GB"/>
        </w:rPr>
        <w:t>[</w:t>
      </w:r>
      <w:r w:rsidR="001934C8" w:rsidRPr="00D5098D">
        <w:rPr>
          <w:rFonts w:ascii="Arial" w:hAnsi="Arial"/>
          <w:sz w:val="24"/>
          <w:lang w:val="en-GB"/>
        </w:rPr>
        <w:t>5</w:t>
      </w:r>
      <w:r w:rsidR="003C5713" w:rsidRPr="00D5098D">
        <w:rPr>
          <w:rFonts w:ascii="Arial" w:hAnsi="Arial"/>
          <w:sz w:val="24"/>
          <w:lang w:val="en-GB"/>
        </w:rPr>
        <w:t>2</w:t>
      </w:r>
      <w:r w:rsidRPr="00D5098D">
        <w:rPr>
          <w:rFonts w:ascii="Arial" w:hAnsi="Arial"/>
          <w:sz w:val="24"/>
          <w:lang w:val="en-GB"/>
        </w:rPr>
        <w:t>]</w:t>
      </w:r>
      <w:r w:rsidRPr="00D5098D">
        <w:rPr>
          <w:rFonts w:ascii="Arial" w:hAnsi="Arial"/>
          <w:sz w:val="24"/>
          <w:lang w:val="en-GB"/>
        </w:rPr>
        <w:tab/>
      </w:r>
      <w:r w:rsidR="00741483" w:rsidRPr="00D5098D">
        <w:rPr>
          <w:rFonts w:ascii="Arial" w:hAnsi="Arial"/>
          <w:sz w:val="24"/>
        </w:rPr>
        <w:t>The appeal authority has limited powers under s 62 of the Systems Act.  It is for this reason that this Court found in</w:t>
      </w:r>
      <w:r w:rsidR="00741483" w:rsidRPr="00D5098D">
        <w:rPr>
          <w:rFonts w:ascii="Arial" w:hAnsi="Arial"/>
          <w:i/>
          <w:iCs/>
          <w:sz w:val="24"/>
        </w:rPr>
        <w:t xml:space="preserve"> Groenewald</w:t>
      </w:r>
      <w:r w:rsidR="00741483" w:rsidRPr="00D5098D">
        <w:rPr>
          <w:rFonts w:ascii="Arial" w:hAnsi="Arial"/>
          <w:sz w:val="24"/>
        </w:rPr>
        <w:t xml:space="preserve"> that ‘</w:t>
      </w:r>
      <w:r w:rsidR="00E34FF6" w:rsidRPr="00D5098D">
        <w:rPr>
          <w:rFonts w:ascii="Arial" w:hAnsi="Arial"/>
          <w:sz w:val="24"/>
          <w:lang w:val="en-GB"/>
        </w:rPr>
        <w:t>[i]</w:t>
      </w:r>
      <w:r w:rsidR="008774CD" w:rsidRPr="00D5098D">
        <w:rPr>
          <w:rFonts w:ascii="Arial" w:hAnsi="Arial"/>
          <w:sz w:val="24"/>
          <w:lang w:val="en-GB"/>
        </w:rPr>
        <w:t>n the context of a municipal tender, an appeal by a person whose tender was unsuccessful therefore does not entitle the appeal authority to reconsider all the tenders that were lodged</w:t>
      </w:r>
      <w:r w:rsidR="00741483" w:rsidRPr="00D5098D">
        <w:rPr>
          <w:rFonts w:ascii="Arial" w:hAnsi="Arial"/>
          <w:sz w:val="24"/>
        </w:rPr>
        <w:t>…’</w:t>
      </w:r>
      <w:r w:rsidR="008774CD" w:rsidRPr="00D5098D">
        <w:rPr>
          <w:rFonts w:ascii="Arial" w:hAnsi="Arial"/>
          <w:sz w:val="24"/>
        </w:rPr>
        <w:t>.</w:t>
      </w:r>
      <w:r w:rsidR="008774CD" w:rsidRPr="00D5098D">
        <w:rPr>
          <w:rStyle w:val="FootnoteReference"/>
          <w:rFonts w:ascii="Arial" w:hAnsi="Arial"/>
          <w:sz w:val="24"/>
        </w:rPr>
        <w:footnoteReference w:id="16"/>
      </w:r>
      <w:r w:rsidR="00741483" w:rsidRPr="00D5098D">
        <w:rPr>
          <w:rFonts w:ascii="Arial" w:hAnsi="Arial"/>
          <w:sz w:val="24"/>
        </w:rPr>
        <w:t xml:space="preserve"> An appeal authority under s 35 of the ECA has wider powers including the additional power to ‘make such order as he may deem fit’</w:t>
      </w:r>
      <w:r w:rsidR="008774CD" w:rsidRPr="00D5098D">
        <w:rPr>
          <w:rFonts w:ascii="Arial" w:hAnsi="Arial"/>
          <w:sz w:val="24"/>
        </w:rPr>
        <w:t>.</w:t>
      </w:r>
      <w:r w:rsidR="001D1C1B" w:rsidRPr="00D5098D">
        <w:rPr>
          <w:rFonts w:ascii="Arial" w:hAnsi="Arial"/>
          <w:sz w:val="24"/>
        </w:rPr>
        <w:t xml:space="preserve"> </w:t>
      </w:r>
      <w:r w:rsidR="00814FB3" w:rsidRPr="00D5098D">
        <w:rPr>
          <w:rFonts w:ascii="Arial" w:hAnsi="Arial"/>
          <w:sz w:val="24"/>
        </w:rPr>
        <w:t xml:space="preserve">The challenges which faced the appeal authority in </w:t>
      </w:r>
      <w:r w:rsidR="00814FB3" w:rsidRPr="00D5098D">
        <w:rPr>
          <w:rFonts w:ascii="Arial" w:hAnsi="Arial"/>
          <w:i/>
          <w:sz w:val="24"/>
        </w:rPr>
        <w:t xml:space="preserve">Groenewald </w:t>
      </w:r>
      <w:r w:rsidR="00814FB3" w:rsidRPr="00D5098D">
        <w:rPr>
          <w:rFonts w:ascii="Arial" w:hAnsi="Arial"/>
          <w:iCs/>
          <w:sz w:val="24"/>
        </w:rPr>
        <w:t>are absent in this matter. The MEC in this matter</w:t>
      </w:r>
      <w:r w:rsidR="00FC2E0B" w:rsidRPr="00D5098D">
        <w:rPr>
          <w:rFonts w:ascii="Arial" w:hAnsi="Arial"/>
          <w:iCs/>
          <w:sz w:val="24"/>
        </w:rPr>
        <w:t>,</w:t>
      </w:r>
      <w:r w:rsidR="00814FB3" w:rsidRPr="00D5098D">
        <w:rPr>
          <w:rFonts w:ascii="Arial" w:hAnsi="Arial"/>
          <w:iCs/>
          <w:sz w:val="24"/>
        </w:rPr>
        <w:t xml:space="preserve"> in considering the appeals</w:t>
      </w:r>
      <w:r w:rsidR="00FC2E0B" w:rsidRPr="00D5098D">
        <w:rPr>
          <w:rFonts w:ascii="Arial" w:hAnsi="Arial"/>
          <w:iCs/>
          <w:sz w:val="24"/>
        </w:rPr>
        <w:t>,</w:t>
      </w:r>
      <w:r w:rsidR="00814FB3" w:rsidRPr="00D5098D">
        <w:rPr>
          <w:rFonts w:ascii="Arial" w:hAnsi="Arial"/>
          <w:iCs/>
          <w:sz w:val="24"/>
        </w:rPr>
        <w:t xml:space="preserve"> had to decide whether authori</w:t>
      </w:r>
      <w:r w:rsidR="001960B4" w:rsidRPr="00D5098D">
        <w:rPr>
          <w:rFonts w:ascii="Arial" w:hAnsi="Arial"/>
          <w:iCs/>
          <w:sz w:val="24"/>
        </w:rPr>
        <w:t>s</w:t>
      </w:r>
      <w:r w:rsidR="00814FB3" w:rsidRPr="00D5098D">
        <w:rPr>
          <w:rFonts w:ascii="Arial" w:hAnsi="Arial"/>
          <w:iCs/>
          <w:sz w:val="24"/>
        </w:rPr>
        <w:t>ation should be granted or refused in respect of Atlantis site or Kalbaskraal site or both sites.</w:t>
      </w:r>
    </w:p>
    <w:p w14:paraId="2AB7E638" w14:textId="77777777" w:rsidR="008774CD" w:rsidRPr="00D5098D" w:rsidRDefault="008774CD" w:rsidP="00741483">
      <w:pPr>
        <w:pStyle w:val="ListParagraph"/>
        <w:spacing w:line="360" w:lineRule="auto"/>
        <w:ind w:left="0"/>
        <w:jc w:val="both"/>
        <w:rPr>
          <w:rFonts w:ascii="Arial" w:hAnsi="Arial"/>
          <w:sz w:val="24"/>
        </w:rPr>
      </w:pPr>
    </w:p>
    <w:p w14:paraId="6C07CD9B" w14:textId="77777777" w:rsidR="00B32B78" w:rsidRPr="00D5098D" w:rsidRDefault="008774CD" w:rsidP="00B32B78">
      <w:pPr>
        <w:pStyle w:val="ListParagraph"/>
        <w:spacing w:line="360" w:lineRule="auto"/>
        <w:ind w:left="0"/>
        <w:jc w:val="both"/>
        <w:rPr>
          <w:rFonts w:ascii="Arial" w:hAnsi="Arial"/>
          <w:sz w:val="24"/>
        </w:rPr>
      </w:pPr>
      <w:r w:rsidRPr="00D5098D">
        <w:rPr>
          <w:rFonts w:ascii="Arial" w:hAnsi="Arial"/>
          <w:sz w:val="24"/>
        </w:rPr>
        <w:t>[</w:t>
      </w:r>
      <w:r w:rsidR="001934C8" w:rsidRPr="00D5098D">
        <w:rPr>
          <w:rFonts w:ascii="Arial" w:hAnsi="Arial"/>
          <w:sz w:val="24"/>
        </w:rPr>
        <w:t>5</w:t>
      </w:r>
      <w:r w:rsidR="003C5713" w:rsidRPr="00D5098D">
        <w:rPr>
          <w:rFonts w:ascii="Arial" w:hAnsi="Arial"/>
          <w:sz w:val="24"/>
        </w:rPr>
        <w:t>3</w:t>
      </w:r>
      <w:r w:rsidRPr="00D5098D">
        <w:rPr>
          <w:rFonts w:ascii="Arial" w:hAnsi="Arial"/>
          <w:sz w:val="24"/>
        </w:rPr>
        <w:t>]</w:t>
      </w:r>
      <w:r w:rsidRPr="00D5098D">
        <w:rPr>
          <w:rFonts w:ascii="Arial" w:hAnsi="Arial"/>
          <w:sz w:val="24"/>
        </w:rPr>
        <w:tab/>
      </w:r>
      <w:bookmarkStart w:id="8" w:name="_Hlk100675406"/>
      <w:r w:rsidR="00B32B78" w:rsidRPr="00D5098D">
        <w:rPr>
          <w:rFonts w:ascii="Arial" w:hAnsi="Arial"/>
          <w:i/>
          <w:sz w:val="24"/>
        </w:rPr>
        <w:t>Ocean Ecological Adventures</w:t>
      </w:r>
      <w:bookmarkEnd w:id="8"/>
      <w:r w:rsidR="00B32B78" w:rsidRPr="00D5098D">
        <w:rPr>
          <w:rFonts w:ascii="Arial" w:hAnsi="Arial"/>
          <w:iCs/>
          <w:sz w:val="24"/>
        </w:rPr>
        <w:t xml:space="preserve"> does not assist the appellants. In that case </w:t>
      </w:r>
      <w:r w:rsidR="00B32B78" w:rsidRPr="00D5098D">
        <w:rPr>
          <w:rFonts w:ascii="Arial" w:hAnsi="Arial"/>
          <w:sz w:val="24"/>
        </w:rPr>
        <w:t xml:space="preserve">the high court, following </w:t>
      </w:r>
      <w:r w:rsidR="00B32B78" w:rsidRPr="00D5098D">
        <w:rPr>
          <w:rFonts w:ascii="Arial" w:hAnsi="Arial"/>
          <w:i/>
          <w:iCs/>
          <w:sz w:val="24"/>
        </w:rPr>
        <w:t>Groenewald</w:t>
      </w:r>
      <w:r w:rsidR="00B32B78" w:rsidRPr="00D5098D">
        <w:rPr>
          <w:rFonts w:ascii="Arial" w:hAnsi="Arial"/>
          <w:sz w:val="24"/>
        </w:rPr>
        <w:t xml:space="preserve">, held, </w:t>
      </w:r>
      <w:r w:rsidR="00B32B78" w:rsidRPr="00D5098D">
        <w:rPr>
          <w:rFonts w:ascii="Arial" w:hAnsi="Arial"/>
          <w:i/>
          <w:iCs/>
          <w:sz w:val="24"/>
        </w:rPr>
        <w:t>obiter,</w:t>
      </w:r>
      <w:r w:rsidR="00B32B78" w:rsidRPr="00D5098D">
        <w:rPr>
          <w:rFonts w:ascii="Arial" w:hAnsi="Arial"/>
          <w:sz w:val="24"/>
          <w:vertAlign w:val="superscript"/>
        </w:rPr>
        <w:footnoteReference w:id="17"/>
      </w:r>
      <w:r w:rsidR="00B32B78" w:rsidRPr="00D5098D">
        <w:rPr>
          <w:rFonts w:ascii="Arial" w:hAnsi="Arial"/>
          <w:sz w:val="24"/>
        </w:rPr>
        <w:t xml:space="preserve"> that where an applicant for a permit required by regulations made under the National Environmental Management: Biodiversity Act 10 of 2004 appealed in terms of s 43 of </w:t>
      </w:r>
      <w:r w:rsidR="000E46FE" w:rsidRPr="00D5098D">
        <w:rPr>
          <w:rFonts w:ascii="Arial" w:hAnsi="Arial"/>
          <w:sz w:val="24"/>
        </w:rPr>
        <w:t xml:space="preserve">the </w:t>
      </w:r>
      <w:r w:rsidR="00B32B78" w:rsidRPr="00D5098D">
        <w:rPr>
          <w:rFonts w:ascii="Arial" w:hAnsi="Arial"/>
          <w:sz w:val="24"/>
        </w:rPr>
        <w:t>N</w:t>
      </w:r>
      <w:r w:rsidR="000E46FE" w:rsidRPr="00D5098D">
        <w:rPr>
          <w:rFonts w:ascii="Arial" w:hAnsi="Arial"/>
          <w:sz w:val="24"/>
        </w:rPr>
        <w:t xml:space="preserve">ational </w:t>
      </w:r>
      <w:r w:rsidR="00B32B78" w:rsidRPr="00D5098D">
        <w:rPr>
          <w:rFonts w:ascii="Arial" w:hAnsi="Arial"/>
          <w:sz w:val="24"/>
        </w:rPr>
        <w:t>E</w:t>
      </w:r>
      <w:r w:rsidR="000E46FE" w:rsidRPr="00D5098D">
        <w:rPr>
          <w:rFonts w:ascii="Arial" w:hAnsi="Arial"/>
          <w:sz w:val="24"/>
        </w:rPr>
        <w:t xml:space="preserve">nvironmental </w:t>
      </w:r>
      <w:r w:rsidR="00B32B78" w:rsidRPr="00D5098D">
        <w:rPr>
          <w:rFonts w:ascii="Arial" w:hAnsi="Arial"/>
          <w:sz w:val="24"/>
        </w:rPr>
        <w:t>M</w:t>
      </w:r>
      <w:r w:rsidR="000E46FE" w:rsidRPr="00D5098D">
        <w:rPr>
          <w:rFonts w:ascii="Arial" w:hAnsi="Arial"/>
          <w:sz w:val="24"/>
        </w:rPr>
        <w:t xml:space="preserve">anagement </w:t>
      </w:r>
      <w:r w:rsidR="00B32B78" w:rsidRPr="00D5098D">
        <w:rPr>
          <w:rFonts w:ascii="Arial" w:hAnsi="Arial"/>
          <w:sz w:val="24"/>
        </w:rPr>
        <w:t>A</w:t>
      </w:r>
      <w:r w:rsidR="000E46FE" w:rsidRPr="00D5098D">
        <w:rPr>
          <w:rFonts w:ascii="Arial" w:hAnsi="Arial"/>
          <w:sz w:val="24"/>
        </w:rPr>
        <w:t>ct 107 of 1998</w:t>
      </w:r>
      <w:r w:rsidR="00B32B78" w:rsidRPr="00D5098D">
        <w:rPr>
          <w:rFonts w:ascii="Arial" w:hAnsi="Arial"/>
          <w:sz w:val="24"/>
        </w:rPr>
        <w:t xml:space="preserve"> against the refusal of its application on the ground that it did not comply with one of three relevant compulsory requirements, the appellate decision-maker was not </w:t>
      </w:r>
      <w:r w:rsidR="00B32B78" w:rsidRPr="00D5098D">
        <w:rPr>
          <w:rFonts w:ascii="Arial" w:hAnsi="Arial"/>
          <w:i/>
          <w:iCs/>
          <w:sz w:val="24"/>
        </w:rPr>
        <w:t>obliged</w:t>
      </w:r>
      <w:r w:rsidR="00B32B78" w:rsidRPr="00D5098D">
        <w:rPr>
          <w:rFonts w:ascii="Arial" w:hAnsi="Arial"/>
          <w:sz w:val="24"/>
        </w:rPr>
        <w:t xml:space="preserve"> to reconsider whether the permit applicant complied with the other two compulsory requirements.</w:t>
      </w:r>
      <w:r w:rsidR="00B32B78" w:rsidRPr="00D5098D">
        <w:rPr>
          <w:rFonts w:ascii="Arial" w:hAnsi="Arial"/>
          <w:sz w:val="24"/>
          <w:vertAlign w:val="superscript"/>
        </w:rPr>
        <w:footnoteReference w:id="18"/>
      </w:r>
      <w:r w:rsidR="00B32B78" w:rsidRPr="00D5098D">
        <w:rPr>
          <w:rFonts w:ascii="Arial" w:hAnsi="Arial"/>
          <w:sz w:val="24"/>
        </w:rPr>
        <w:t xml:space="preserve">  The court reasoned that there was nothing in the appeal to suggest that the appellate decision-maker </w:t>
      </w:r>
      <w:r w:rsidR="00B32B78" w:rsidRPr="00D5098D">
        <w:rPr>
          <w:rFonts w:ascii="Arial" w:hAnsi="Arial"/>
          <w:i/>
          <w:iCs/>
          <w:sz w:val="24"/>
        </w:rPr>
        <w:t>had to</w:t>
      </w:r>
      <w:r w:rsidR="00B32B78" w:rsidRPr="00D5098D">
        <w:rPr>
          <w:rFonts w:ascii="Arial" w:hAnsi="Arial"/>
          <w:sz w:val="24"/>
        </w:rPr>
        <w:t xml:space="preserve"> look anew at the two other compulsory requirements. In the present case the MEC could not properly determine the appeals against the Director’s decision without considering the City’s application afresh.</w:t>
      </w:r>
      <w:r w:rsidR="00916A13" w:rsidRPr="00D5098D">
        <w:rPr>
          <w:rFonts w:ascii="Arial" w:hAnsi="Arial"/>
          <w:sz w:val="24"/>
        </w:rPr>
        <w:t xml:space="preserve"> He was bound to </w:t>
      </w:r>
      <w:r w:rsidR="001960B4" w:rsidRPr="00D5098D">
        <w:rPr>
          <w:rFonts w:ascii="Arial" w:hAnsi="Arial"/>
          <w:sz w:val="24"/>
        </w:rPr>
        <w:t>look at it when he considered</w:t>
      </w:r>
      <w:r w:rsidR="00916A13" w:rsidRPr="00D5098D">
        <w:rPr>
          <w:rFonts w:ascii="Arial" w:hAnsi="Arial"/>
          <w:sz w:val="24"/>
        </w:rPr>
        <w:t xml:space="preserve"> the appeals.</w:t>
      </w:r>
    </w:p>
    <w:p w14:paraId="0267964B" w14:textId="77777777" w:rsidR="00814FB3" w:rsidRPr="00D5098D" w:rsidRDefault="00814FB3" w:rsidP="00B32B78">
      <w:pPr>
        <w:pStyle w:val="ListParagraph"/>
        <w:spacing w:line="360" w:lineRule="auto"/>
        <w:ind w:left="0"/>
        <w:jc w:val="both"/>
        <w:rPr>
          <w:rFonts w:ascii="Arial" w:hAnsi="Arial"/>
          <w:sz w:val="24"/>
        </w:rPr>
      </w:pPr>
    </w:p>
    <w:p w14:paraId="5AFD6CC6" w14:textId="77777777" w:rsidR="003B78DE" w:rsidRPr="00D5098D" w:rsidRDefault="00916A13" w:rsidP="00B32B78">
      <w:pPr>
        <w:pStyle w:val="ListParagraph"/>
        <w:spacing w:line="360" w:lineRule="auto"/>
        <w:ind w:left="0"/>
        <w:jc w:val="both"/>
      </w:pPr>
      <w:r w:rsidRPr="00D5098D">
        <w:rPr>
          <w:rFonts w:ascii="Arial" w:hAnsi="Arial"/>
          <w:sz w:val="24"/>
        </w:rPr>
        <w:t>[</w:t>
      </w:r>
      <w:r w:rsidR="001934C8" w:rsidRPr="00D5098D">
        <w:rPr>
          <w:rFonts w:ascii="Arial" w:hAnsi="Arial"/>
          <w:sz w:val="24"/>
        </w:rPr>
        <w:t>5</w:t>
      </w:r>
      <w:r w:rsidR="003C5713" w:rsidRPr="00D5098D">
        <w:rPr>
          <w:rFonts w:ascii="Arial" w:hAnsi="Arial"/>
          <w:sz w:val="24"/>
        </w:rPr>
        <w:t>4</w:t>
      </w:r>
      <w:r w:rsidRPr="00D5098D">
        <w:rPr>
          <w:rFonts w:ascii="Arial" w:hAnsi="Arial"/>
          <w:sz w:val="24"/>
        </w:rPr>
        <w:t xml:space="preserve">]    Finally, </w:t>
      </w:r>
      <w:r w:rsidR="00D53869" w:rsidRPr="00D5098D">
        <w:rPr>
          <w:rFonts w:ascii="Arial" w:hAnsi="Arial"/>
          <w:sz w:val="24"/>
        </w:rPr>
        <w:t xml:space="preserve">the appellants referred to </w:t>
      </w:r>
      <w:r w:rsidR="00C93ADF" w:rsidRPr="00D5098D">
        <w:rPr>
          <w:rFonts w:ascii="Arial" w:hAnsi="Arial"/>
          <w:i/>
          <w:iCs/>
          <w:sz w:val="24"/>
          <w:lang w:val="en-GB"/>
        </w:rPr>
        <w:t>Meyer</w:t>
      </w:r>
      <w:r w:rsidR="00DA4DEF" w:rsidRPr="00D5098D">
        <w:rPr>
          <w:rFonts w:ascii="Arial" w:hAnsi="Arial"/>
          <w:i/>
          <w:iCs/>
          <w:sz w:val="24"/>
          <w:lang w:val="en-GB"/>
        </w:rPr>
        <w:t>,</w:t>
      </w:r>
      <w:r w:rsidR="00B177CC" w:rsidRPr="00D5098D">
        <w:rPr>
          <w:rFonts w:ascii="Arial" w:hAnsi="Arial"/>
          <w:sz w:val="24"/>
        </w:rPr>
        <w:t xml:space="preserve"> which they contended</w:t>
      </w:r>
      <w:r w:rsidR="00D53869" w:rsidRPr="00D5098D">
        <w:rPr>
          <w:rFonts w:ascii="Arial" w:hAnsi="Arial"/>
          <w:sz w:val="24"/>
        </w:rPr>
        <w:t xml:space="preserve"> was authority for the proposition that the powers of the appeal authority on appeal are limi</w:t>
      </w:r>
      <w:r w:rsidR="00101A06" w:rsidRPr="00D5098D">
        <w:rPr>
          <w:rFonts w:ascii="Arial" w:hAnsi="Arial"/>
          <w:sz w:val="24"/>
        </w:rPr>
        <w:t xml:space="preserve">ted to a consideration </w:t>
      </w:r>
      <w:r w:rsidR="00D53869" w:rsidRPr="00D5098D">
        <w:rPr>
          <w:rFonts w:ascii="Arial" w:hAnsi="Arial"/>
          <w:sz w:val="24"/>
        </w:rPr>
        <w:t>of a decision which is the subject matter of the appeal</w:t>
      </w:r>
      <w:r w:rsidR="00101A06" w:rsidRPr="00D5098D">
        <w:rPr>
          <w:rFonts w:ascii="Arial" w:hAnsi="Arial"/>
          <w:sz w:val="24"/>
        </w:rPr>
        <w:t xml:space="preserve">. </w:t>
      </w:r>
      <w:r w:rsidRPr="00D5098D">
        <w:rPr>
          <w:rFonts w:ascii="Arial" w:hAnsi="Arial"/>
          <w:i/>
          <w:sz w:val="24"/>
        </w:rPr>
        <w:t>Meyer</w:t>
      </w:r>
      <w:r w:rsidR="00814FB3" w:rsidRPr="00D5098D">
        <w:rPr>
          <w:rFonts w:ascii="Arial" w:hAnsi="Arial"/>
          <w:sz w:val="24"/>
        </w:rPr>
        <w:t xml:space="preserve"> concerned the powers of the </w:t>
      </w:r>
      <w:r w:rsidR="003B78DE" w:rsidRPr="00D5098D">
        <w:rPr>
          <w:rFonts w:ascii="Arial" w:hAnsi="Arial"/>
          <w:sz w:val="24"/>
        </w:rPr>
        <w:t>h</w:t>
      </w:r>
      <w:r w:rsidR="00814FB3" w:rsidRPr="00D5098D">
        <w:rPr>
          <w:rFonts w:ascii="Arial" w:hAnsi="Arial"/>
          <w:sz w:val="24"/>
        </w:rPr>
        <w:t xml:space="preserve">igh </w:t>
      </w:r>
      <w:r w:rsidR="003B78DE" w:rsidRPr="00D5098D">
        <w:rPr>
          <w:rFonts w:ascii="Arial" w:hAnsi="Arial"/>
          <w:sz w:val="24"/>
        </w:rPr>
        <w:t>c</w:t>
      </w:r>
      <w:r w:rsidR="00814FB3" w:rsidRPr="00D5098D">
        <w:rPr>
          <w:rFonts w:ascii="Arial" w:hAnsi="Arial"/>
          <w:sz w:val="24"/>
        </w:rPr>
        <w:t>ourt when it entertains an appeal under s 30P of the</w:t>
      </w:r>
      <w:r w:rsidR="00BE0094" w:rsidRPr="00D5098D">
        <w:rPr>
          <w:rFonts w:ascii="Arial" w:hAnsi="Arial"/>
          <w:sz w:val="24"/>
        </w:rPr>
        <w:t xml:space="preserve"> Pension Fund Act 24 of 1956 against a determination by the Adjudicator. Section 30P deals with access to court. </w:t>
      </w:r>
      <w:r w:rsidR="00596D1C" w:rsidRPr="00D5098D">
        <w:rPr>
          <w:rFonts w:ascii="Arial" w:hAnsi="Arial"/>
          <w:sz w:val="24"/>
        </w:rPr>
        <w:t>It</w:t>
      </w:r>
      <w:r w:rsidR="00BE0094" w:rsidRPr="00D5098D">
        <w:rPr>
          <w:rFonts w:ascii="Arial" w:hAnsi="Arial"/>
          <w:sz w:val="24"/>
        </w:rPr>
        <w:t xml:space="preserve"> provides:</w:t>
      </w:r>
      <w:r w:rsidR="003B78DE" w:rsidRPr="00D5098D">
        <w:t xml:space="preserve"> </w:t>
      </w:r>
    </w:p>
    <w:p w14:paraId="01E68260" w14:textId="77777777" w:rsidR="006B24D4" w:rsidRDefault="003B78DE" w:rsidP="00B32B78">
      <w:pPr>
        <w:pStyle w:val="ListParagraph"/>
        <w:spacing w:line="360" w:lineRule="auto"/>
        <w:ind w:left="0"/>
        <w:jc w:val="both"/>
        <w:rPr>
          <w:rFonts w:ascii="Arial" w:hAnsi="Arial"/>
          <w:sz w:val="22"/>
          <w:szCs w:val="22"/>
        </w:rPr>
      </w:pPr>
      <w:r w:rsidRPr="00D5098D">
        <w:rPr>
          <w:rFonts w:ascii="Arial" w:hAnsi="Arial"/>
          <w:sz w:val="22"/>
          <w:szCs w:val="22"/>
        </w:rPr>
        <w:t xml:space="preserve">‘(1) Any party who feels aggrieved by a determination of the Adjudicator may, within six weeks after the date of the determination, apply to the division of the High Court which has jurisdiction, for relief, and shall at the same time give written notice of his or her intention so to apply to the other parties to the complaint. </w:t>
      </w:r>
    </w:p>
    <w:p w14:paraId="24FFE94B" w14:textId="77777777" w:rsidR="006B24D4" w:rsidRDefault="003B78DE" w:rsidP="00B32B78">
      <w:pPr>
        <w:pStyle w:val="ListParagraph"/>
        <w:spacing w:line="360" w:lineRule="auto"/>
        <w:ind w:left="0"/>
        <w:jc w:val="both"/>
        <w:rPr>
          <w:rFonts w:ascii="Arial" w:hAnsi="Arial"/>
          <w:sz w:val="22"/>
          <w:szCs w:val="22"/>
        </w:rPr>
      </w:pPr>
      <w:r w:rsidRPr="00D5098D">
        <w:rPr>
          <w:rFonts w:ascii="Arial" w:hAnsi="Arial"/>
          <w:sz w:val="22"/>
          <w:szCs w:val="22"/>
        </w:rPr>
        <w:t xml:space="preserve">(2) The division of the High Court contemplated in subsection (1) may consider the merits of the complaint made to the Adjudicator under section 30A (3) and on which the Adjudicator's determination was based, and may make any order it deems fit. </w:t>
      </w:r>
    </w:p>
    <w:p w14:paraId="676F66F9" w14:textId="65834B29" w:rsidR="003C5713" w:rsidRPr="006B24D4" w:rsidRDefault="003B78DE" w:rsidP="00B32B78">
      <w:pPr>
        <w:pStyle w:val="ListParagraph"/>
        <w:spacing w:line="360" w:lineRule="auto"/>
        <w:ind w:left="0"/>
        <w:jc w:val="both"/>
        <w:rPr>
          <w:rFonts w:ascii="Arial" w:hAnsi="Arial"/>
          <w:sz w:val="22"/>
          <w:szCs w:val="22"/>
        </w:rPr>
      </w:pPr>
      <w:r w:rsidRPr="00D5098D">
        <w:rPr>
          <w:rFonts w:ascii="Arial" w:hAnsi="Arial"/>
          <w:sz w:val="22"/>
          <w:szCs w:val="22"/>
        </w:rPr>
        <w:t>(3) Subsection (2) shall not affect the court's power to decide that sufficient evidence has been adduced on which a decision can be arrived at, and to order that no further evidence shall be adduced.’</w:t>
      </w:r>
    </w:p>
    <w:p w14:paraId="37CE403D" w14:textId="0AD62829" w:rsidR="0013465F" w:rsidRPr="00D5098D" w:rsidRDefault="00B177CC" w:rsidP="00B32B78">
      <w:pPr>
        <w:pStyle w:val="ListParagraph"/>
        <w:spacing w:line="360" w:lineRule="auto"/>
        <w:ind w:left="0"/>
        <w:jc w:val="both"/>
        <w:rPr>
          <w:rFonts w:ascii="Arial" w:hAnsi="Arial"/>
          <w:sz w:val="24"/>
        </w:rPr>
      </w:pPr>
      <w:r w:rsidRPr="00D5098D">
        <w:rPr>
          <w:rFonts w:ascii="Arial" w:hAnsi="Arial"/>
          <w:sz w:val="24"/>
        </w:rPr>
        <w:t>[</w:t>
      </w:r>
      <w:r w:rsidR="001934C8" w:rsidRPr="00D5098D">
        <w:rPr>
          <w:rFonts w:ascii="Arial" w:hAnsi="Arial"/>
          <w:sz w:val="24"/>
        </w:rPr>
        <w:t>5</w:t>
      </w:r>
      <w:r w:rsidR="003C5713" w:rsidRPr="00D5098D">
        <w:rPr>
          <w:rFonts w:ascii="Arial" w:hAnsi="Arial"/>
          <w:sz w:val="24"/>
        </w:rPr>
        <w:t>5</w:t>
      </w:r>
      <w:r w:rsidRPr="00D5098D">
        <w:rPr>
          <w:rFonts w:ascii="Arial" w:hAnsi="Arial"/>
          <w:sz w:val="24"/>
        </w:rPr>
        <w:t>]     This Court stated</w:t>
      </w:r>
      <w:r w:rsidR="00BE0094" w:rsidRPr="00D5098D">
        <w:rPr>
          <w:rFonts w:ascii="Arial" w:hAnsi="Arial"/>
          <w:sz w:val="24"/>
        </w:rPr>
        <w:t xml:space="preserve"> in </w:t>
      </w:r>
      <w:r w:rsidR="00BE0094" w:rsidRPr="00D5098D">
        <w:rPr>
          <w:rFonts w:ascii="Arial" w:hAnsi="Arial"/>
          <w:i/>
          <w:sz w:val="24"/>
        </w:rPr>
        <w:t>Meyer</w:t>
      </w:r>
      <w:r w:rsidR="00BE0094" w:rsidRPr="00D5098D">
        <w:rPr>
          <w:rFonts w:ascii="Arial" w:hAnsi="Arial"/>
          <w:sz w:val="24"/>
        </w:rPr>
        <w:t xml:space="preserve"> that the appeal under s 30P is an appeal in the wide sense and that the </w:t>
      </w:r>
      <w:r w:rsidR="001563D4" w:rsidRPr="00D5098D">
        <w:rPr>
          <w:rFonts w:ascii="Arial" w:hAnsi="Arial"/>
          <w:sz w:val="24"/>
        </w:rPr>
        <w:t>h</w:t>
      </w:r>
      <w:r w:rsidR="00BE0094" w:rsidRPr="00D5098D">
        <w:rPr>
          <w:rFonts w:ascii="Arial" w:hAnsi="Arial"/>
          <w:sz w:val="24"/>
        </w:rPr>
        <w:t xml:space="preserve">igh </w:t>
      </w:r>
      <w:r w:rsidR="001563D4" w:rsidRPr="00D5098D">
        <w:rPr>
          <w:rFonts w:ascii="Arial" w:hAnsi="Arial"/>
          <w:sz w:val="24"/>
        </w:rPr>
        <w:t>c</w:t>
      </w:r>
      <w:r w:rsidR="00BE0094" w:rsidRPr="00D5098D">
        <w:rPr>
          <w:rFonts w:ascii="Arial" w:hAnsi="Arial"/>
          <w:sz w:val="24"/>
        </w:rPr>
        <w:t>ourt is therefore not limited to a decision whether the Adjudicator’</w:t>
      </w:r>
      <w:r w:rsidR="0013465F" w:rsidRPr="00D5098D">
        <w:rPr>
          <w:rFonts w:ascii="Arial" w:hAnsi="Arial"/>
          <w:sz w:val="24"/>
        </w:rPr>
        <w:t xml:space="preserve">s determination was right or wrong, neither is it confined to the evidence or grounds upon which the Adjudicator’s determination was based. The court can consider the matter afresh and make any order it deems fit but that in doing so it is limited by s 30P to a consideration of ‘the merits of the complaint in question’ </w:t>
      </w:r>
      <w:r w:rsidR="00596D1C" w:rsidRPr="00D5098D">
        <w:rPr>
          <w:rFonts w:ascii="Arial" w:hAnsi="Arial"/>
          <w:sz w:val="24"/>
        </w:rPr>
        <w:t xml:space="preserve">not to a consideration of the Adjudicator’s determination as the appellants contended. This Court made it clear in para 8 of the judgment that ‘the dispute submitted to the High Court for adjudication must still be a “complaint” as defined. Moreover, it must be substantially the same “complaint” as the one determined by the Adjudicator.’ </w:t>
      </w:r>
      <w:r w:rsidRPr="00D5098D">
        <w:rPr>
          <w:rFonts w:ascii="Arial" w:hAnsi="Arial"/>
          <w:sz w:val="24"/>
        </w:rPr>
        <w:t>This is what the MEC had to do in considering the appeal in this matter. He had to determine the appeal on the basis of the City’s application together with any further material that was placed before him. The ‘complaint’ under the Pension Fund Act</w:t>
      </w:r>
      <w:r w:rsidR="00BD5E5E" w:rsidRPr="00D5098D">
        <w:rPr>
          <w:rFonts w:ascii="Arial" w:hAnsi="Arial"/>
          <w:sz w:val="24"/>
        </w:rPr>
        <w:t xml:space="preserve"> is the equivalent of the application under s 22 of the ECA. </w:t>
      </w:r>
      <w:r w:rsidR="00D53869" w:rsidRPr="00D5098D">
        <w:rPr>
          <w:rFonts w:ascii="Arial" w:hAnsi="Arial"/>
          <w:sz w:val="24"/>
        </w:rPr>
        <w:t xml:space="preserve">It is therefore apparent that the </w:t>
      </w:r>
      <w:r w:rsidR="00D53869" w:rsidRPr="00D5098D">
        <w:rPr>
          <w:rFonts w:ascii="Arial" w:hAnsi="Arial"/>
          <w:i/>
          <w:sz w:val="24"/>
        </w:rPr>
        <w:t>Meyer</w:t>
      </w:r>
      <w:r w:rsidR="00D53869" w:rsidRPr="00D5098D">
        <w:rPr>
          <w:rFonts w:ascii="Arial" w:hAnsi="Arial"/>
          <w:sz w:val="24"/>
        </w:rPr>
        <w:t xml:space="preserve"> case does not support the appellants’ contention.</w:t>
      </w:r>
    </w:p>
    <w:p w14:paraId="7E833F92" w14:textId="77777777" w:rsidR="00BD5E5E" w:rsidRPr="00D5098D" w:rsidRDefault="00BD5E5E" w:rsidP="00B32B78">
      <w:pPr>
        <w:pStyle w:val="ListParagraph"/>
        <w:spacing w:line="360" w:lineRule="auto"/>
        <w:ind w:left="0"/>
        <w:jc w:val="both"/>
        <w:rPr>
          <w:rFonts w:ascii="Arial" w:hAnsi="Arial"/>
          <w:sz w:val="24"/>
        </w:rPr>
      </w:pPr>
    </w:p>
    <w:p w14:paraId="0C2AB4F6" w14:textId="77777777" w:rsidR="00BD5E5E" w:rsidRPr="00D5098D" w:rsidRDefault="00BD5E5E" w:rsidP="00B32B78">
      <w:pPr>
        <w:pStyle w:val="ListParagraph"/>
        <w:spacing w:line="360" w:lineRule="auto"/>
        <w:ind w:left="0"/>
        <w:jc w:val="both"/>
        <w:rPr>
          <w:rFonts w:ascii="Arial" w:hAnsi="Arial"/>
          <w:sz w:val="24"/>
        </w:rPr>
      </w:pPr>
      <w:r w:rsidRPr="00D5098D">
        <w:rPr>
          <w:rFonts w:ascii="Arial" w:hAnsi="Arial"/>
          <w:sz w:val="24"/>
        </w:rPr>
        <w:t>[</w:t>
      </w:r>
      <w:r w:rsidR="001934C8" w:rsidRPr="00D5098D">
        <w:rPr>
          <w:rFonts w:ascii="Arial" w:hAnsi="Arial"/>
          <w:sz w:val="24"/>
        </w:rPr>
        <w:t>5</w:t>
      </w:r>
      <w:r w:rsidR="0044480E" w:rsidRPr="00D5098D">
        <w:rPr>
          <w:rFonts w:ascii="Arial" w:hAnsi="Arial"/>
          <w:sz w:val="24"/>
        </w:rPr>
        <w:t>6</w:t>
      </w:r>
      <w:r w:rsidRPr="00D5098D">
        <w:rPr>
          <w:rFonts w:ascii="Arial" w:hAnsi="Arial"/>
          <w:sz w:val="24"/>
        </w:rPr>
        <w:t>]</w:t>
      </w:r>
      <w:r w:rsidR="001B2791" w:rsidRPr="00D5098D">
        <w:rPr>
          <w:rFonts w:ascii="Arial" w:hAnsi="Arial"/>
          <w:sz w:val="24"/>
        </w:rPr>
        <w:tab/>
      </w:r>
      <w:r w:rsidR="008A5193" w:rsidRPr="00D5098D">
        <w:rPr>
          <w:rFonts w:ascii="Arial" w:hAnsi="Arial"/>
          <w:sz w:val="24"/>
        </w:rPr>
        <w:t>I</w:t>
      </w:r>
      <w:r w:rsidR="001563D4" w:rsidRPr="00D5098D">
        <w:rPr>
          <w:rFonts w:ascii="Arial" w:hAnsi="Arial"/>
          <w:sz w:val="24"/>
        </w:rPr>
        <w:t>,</w:t>
      </w:r>
      <w:r w:rsidR="008A5193" w:rsidRPr="00D5098D">
        <w:rPr>
          <w:rFonts w:ascii="Arial" w:hAnsi="Arial"/>
          <w:sz w:val="24"/>
        </w:rPr>
        <w:t xml:space="preserve"> therefore</w:t>
      </w:r>
      <w:r w:rsidR="001563D4" w:rsidRPr="00D5098D">
        <w:rPr>
          <w:rFonts w:ascii="Arial" w:hAnsi="Arial"/>
          <w:sz w:val="24"/>
        </w:rPr>
        <w:t>,</w:t>
      </w:r>
      <w:r w:rsidR="008A5193" w:rsidRPr="00D5098D">
        <w:rPr>
          <w:rFonts w:ascii="Arial" w:hAnsi="Arial"/>
          <w:sz w:val="24"/>
        </w:rPr>
        <w:t xml:space="preserve"> hold that an appeal under s</w:t>
      </w:r>
      <w:r w:rsidR="00342C1F" w:rsidRPr="00D5098D">
        <w:rPr>
          <w:rFonts w:ascii="Arial" w:hAnsi="Arial"/>
          <w:sz w:val="24"/>
        </w:rPr>
        <w:t>s</w:t>
      </w:r>
      <w:r w:rsidR="008A5193" w:rsidRPr="00D5098D">
        <w:rPr>
          <w:rFonts w:ascii="Arial" w:hAnsi="Arial"/>
          <w:sz w:val="24"/>
        </w:rPr>
        <w:t xml:space="preserve"> 35(3) and (4) against a decision of an officer or employee exercis</w:t>
      </w:r>
      <w:r w:rsidR="00342C1F" w:rsidRPr="00D5098D">
        <w:rPr>
          <w:rFonts w:ascii="Arial" w:hAnsi="Arial"/>
          <w:sz w:val="24"/>
        </w:rPr>
        <w:t>ing</w:t>
      </w:r>
      <w:r w:rsidR="008A5193" w:rsidRPr="00D5098D">
        <w:rPr>
          <w:rFonts w:ascii="Arial" w:hAnsi="Arial"/>
          <w:sz w:val="24"/>
        </w:rPr>
        <w:t xml:space="preserve"> delegated authority on an application for an environmental authori</w:t>
      </w:r>
      <w:r w:rsidR="00342C1F" w:rsidRPr="00D5098D">
        <w:rPr>
          <w:rFonts w:ascii="Arial" w:hAnsi="Arial"/>
          <w:sz w:val="24"/>
        </w:rPr>
        <w:t>s</w:t>
      </w:r>
      <w:r w:rsidR="008A5193" w:rsidRPr="00D5098D">
        <w:rPr>
          <w:rFonts w:ascii="Arial" w:hAnsi="Arial"/>
          <w:sz w:val="24"/>
        </w:rPr>
        <w:t>ation under s 22, involves a complete rehearing and a fresh determination of the merits of the application with or without additional evidence or information; and further that the appeal authority is free to substitute his or her own decision for the decision under appeal.</w:t>
      </w:r>
    </w:p>
    <w:p w14:paraId="5D6CEAA7" w14:textId="77777777" w:rsidR="00B32B78" w:rsidRPr="00D5098D" w:rsidRDefault="00B32B78" w:rsidP="00B32B78">
      <w:pPr>
        <w:pStyle w:val="ListParagraph"/>
        <w:spacing w:line="360" w:lineRule="auto"/>
        <w:ind w:left="0"/>
        <w:jc w:val="both"/>
        <w:rPr>
          <w:rFonts w:ascii="Arial" w:hAnsi="Arial"/>
          <w:sz w:val="24"/>
        </w:rPr>
      </w:pPr>
    </w:p>
    <w:p w14:paraId="3672E5BB" w14:textId="77777777" w:rsidR="00B32B78" w:rsidRPr="00D5098D" w:rsidRDefault="00B32B78" w:rsidP="00B32B78">
      <w:pPr>
        <w:pStyle w:val="ListParagraph"/>
        <w:spacing w:line="360" w:lineRule="auto"/>
        <w:ind w:left="0"/>
        <w:jc w:val="both"/>
        <w:rPr>
          <w:rFonts w:ascii="Arial" w:hAnsi="Arial"/>
          <w:sz w:val="24"/>
        </w:rPr>
      </w:pPr>
      <w:r w:rsidRPr="00D5098D">
        <w:rPr>
          <w:rFonts w:ascii="Arial" w:hAnsi="Arial"/>
          <w:sz w:val="24"/>
        </w:rPr>
        <w:t>[</w:t>
      </w:r>
      <w:r w:rsidR="001934C8" w:rsidRPr="00D5098D">
        <w:rPr>
          <w:rFonts w:ascii="Arial" w:hAnsi="Arial"/>
          <w:sz w:val="24"/>
        </w:rPr>
        <w:t>5</w:t>
      </w:r>
      <w:r w:rsidR="0044480E" w:rsidRPr="00D5098D">
        <w:rPr>
          <w:rFonts w:ascii="Arial" w:hAnsi="Arial"/>
          <w:sz w:val="24"/>
        </w:rPr>
        <w:t>7</w:t>
      </w:r>
      <w:r w:rsidRPr="00D5098D">
        <w:rPr>
          <w:rFonts w:ascii="Arial" w:hAnsi="Arial"/>
          <w:sz w:val="24"/>
        </w:rPr>
        <w:t>]</w:t>
      </w:r>
      <w:r w:rsidRPr="00D5098D">
        <w:rPr>
          <w:rFonts w:ascii="Arial" w:hAnsi="Arial"/>
          <w:sz w:val="24"/>
        </w:rPr>
        <w:tab/>
        <w:t>In the result the appeal is dismissed, with costs, including the costs of two counsel.</w:t>
      </w:r>
    </w:p>
    <w:p w14:paraId="70E40156" w14:textId="77777777" w:rsidR="00805B73" w:rsidRPr="00D5098D" w:rsidRDefault="00805B73" w:rsidP="004A3567">
      <w:pPr>
        <w:pStyle w:val="ListParagraph"/>
        <w:spacing w:line="360" w:lineRule="auto"/>
        <w:ind w:left="0"/>
        <w:jc w:val="both"/>
        <w:rPr>
          <w:rFonts w:ascii="Arial" w:hAnsi="Arial"/>
          <w:sz w:val="24"/>
        </w:rPr>
      </w:pPr>
    </w:p>
    <w:p w14:paraId="7E58B0DB" w14:textId="77777777" w:rsidR="003B78DE" w:rsidRPr="00D5098D" w:rsidRDefault="003B78DE" w:rsidP="004A3567">
      <w:pPr>
        <w:pStyle w:val="ListParagraph"/>
        <w:spacing w:line="360" w:lineRule="auto"/>
        <w:ind w:left="0"/>
        <w:jc w:val="both"/>
        <w:rPr>
          <w:rFonts w:ascii="Arial" w:hAnsi="Arial"/>
          <w:sz w:val="24"/>
        </w:rPr>
      </w:pPr>
    </w:p>
    <w:p w14:paraId="2B85B5C6" w14:textId="77777777" w:rsidR="009B4BE5" w:rsidRPr="00D5098D" w:rsidRDefault="00695439" w:rsidP="004C00C9">
      <w:pPr>
        <w:widowControl w:val="0"/>
        <w:autoSpaceDE w:val="0"/>
        <w:autoSpaceDN w:val="0"/>
        <w:adjustRightInd w:val="0"/>
        <w:jc w:val="right"/>
        <w:rPr>
          <w:sz w:val="24"/>
        </w:rPr>
      </w:pPr>
      <w:r w:rsidRPr="00D5098D">
        <w:rPr>
          <w:sz w:val="24"/>
        </w:rPr>
        <w:t>__</w:t>
      </w:r>
      <w:r w:rsidR="009A5EDA" w:rsidRPr="00D5098D">
        <w:rPr>
          <w:sz w:val="24"/>
        </w:rPr>
        <w:t>__</w:t>
      </w:r>
      <w:r w:rsidR="00FF1D26" w:rsidRPr="00D5098D">
        <w:rPr>
          <w:sz w:val="24"/>
        </w:rPr>
        <w:t>___</w:t>
      </w:r>
      <w:r w:rsidR="009A5EDA" w:rsidRPr="00D5098D">
        <w:rPr>
          <w:sz w:val="24"/>
        </w:rPr>
        <w:t>_________</w:t>
      </w:r>
      <w:r w:rsidR="00B27899" w:rsidRPr="00D5098D">
        <w:rPr>
          <w:sz w:val="24"/>
        </w:rPr>
        <w:t>________</w:t>
      </w:r>
    </w:p>
    <w:p w14:paraId="439B3C47" w14:textId="77777777" w:rsidR="009B4BE5" w:rsidRPr="00D5098D" w:rsidRDefault="00C94D17" w:rsidP="004C00C9">
      <w:pPr>
        <w:widowControl w:val="0"/>
        <w:autoSpaceDE w:val="0"/>
        <w:autoSpaceDN w:val="0"/>
        <w:adjustRightInd w:val="0"/>
        <w:jc w:val="right"/>
        <w:rPr>
          <w:sz w:val="24"/>
        </w:rPr>
      </w:pPr>
      <w:r w:rsidRPr="00D5098D">
        <w:rPr>
          <w:sz w:val="24"/>
        </w:rPr>
        <w:t>D</w:t>
      </w:r>
      <w:r w:rsidR="00A12DF3" w:rsidRPr="00D5098D">
        <w:rPr>
          <w:sz w:val="24"/>
        </w:rPr>
        <w:t xml:space="preserve"> </w:t>
      </w:r>
      <w:r w:rsidRPr="00D5098D">
        <w:rPr>
          <w:sz w:val="24"/>
        </w:rPr>
        <w:t>H</w:t>
      </w:r>
      <w:r w:rsidR="00A12DF3" w:rsidRPr="00D5098D">
        <w:rPr>
          <w:sz w:val="24"/>
        </w:rPr>
        <w:t xml:space="preserve"> </w:t>
      </w:r>
      <w:r w:rsidRPr="00D5098D">
        <w:rPr>
          <w:sz w:val="24"/>
        </w:rPr>
        <w:t>Zondi</w:t>
      </w:r>
    </w:p>
    <w:p w14:paraId="35645758" w14:textId="77777777" w:rsidR="002533B8" w:rsidRPr="00D5098D" w:rsidRDefault="000402CB" w:rsidP="00E0733E">
      <w:pPr>
        <w:widowControl w:val="0"/>
        <w:autoSpaceDE w:val="0"/>
        <w:autoSpaceDN w:val="0"/>
        <w:adjustRightInd w:val="0"/>
        <w:jc w:val="right"/>
        <w:rPr>
          <w:sz w:val="24"/>
        </w:rPr>
      </w:pPr>
      <w:r w:rsidRPr="00D5098D">
        <w:rPr>
          <w:sz w:val="24"/>
        </w:rPr>
        <w:t>Judge of Appeal</w:t>
      </w:r>
    </w:p>
    <w:p w14:paraId="6577A5DB" w14:textId="77777777" w:rsidR="00812A07" w:rsidRPr="00D5098D" w:rsidRDefault="00241AAC" w:rsidP="00812A07">
      <w:pPr>
        <w:widowControl w:val="0"/>
        <w:autoSpaceDE w:val="0"/>
        <w:autoSpaceDN w:val="0"/>
        <w:adjustRightInd w:val="0"/>
        <w:spacing w:line="360" w:lineRule="auto"/>
        <w:rPr>
          <w:sz w:val="24"/>
        </w:rPr>
      </w:pPr>
      <w:r w:rsidRPr="00D5098D">
        <w:rPr>
          <w:sz w:val="24"/>
        </w:rPr>
        <w:br w:type="page"/>
      </w:r>
      <w:r w:rsidR="00812A07" w:rsidRPr="00D5098D">
        <w:rPr>
          <w:sz w:val="24"/>
        </w:rPr>
        <w:t>Appearances</w:t>
      </w:r>
    </w:p>
    <w:p w14:paraId="3A22A910" w14:textId="77777777" w:rsidR="00812A07" w:rsidRPr="00D5098D" w:rsidRDefault="00812A07" w:rsidP="00812A07">
      <w:pPr>
        <w:widowControl w:val="0"/>
        <w:autoSpaceDE w:val="0"/>
        <w:autoSpaceDN w:val="0"/>
        <w:adjustRightInd w:val="0"/>
        <w:spacing w:line="360" w:lineRule="auto"/>
        <w:rPr>
          <w:sz w:val="24"/>
        </w:rPr>
      </w:pPr>
    </w:p>
    <w:p w14:paraId="5EBC90DE" w14:textId="77777777" w:rsidR="00812A07" w:rsidRPr="00D5098D" w:rsidRDefault="00812A07" w:rsidP="00812A07">
      <w:pPr>
        <w:widowControl w:val="0"/>
        <w:autoSpaceDE w:val="0"/>
        <w:autoSpaceDN w:val="0"/>
        <w:adjustRightInd w:val="0"/>
        <w:spacing w:line="360" w:lineRule="auto"/>
        <w:rPr>
          <w:sz w:val="24"/>
        </w:rPr>
      </w:pPr>
      <w:r w:rsidRPr="00D5098D">
        <w:rPr>
          <w:sz w:val="24"/>
        </w:rPr>
        <w:t>For appellant:</w:t>
      </w:r>
      <w:r w:rsidRPr="00D5098D">
        <w:rPr>
          <w:sz w:val="24"/>
        </w:rPr>
        <w:tab/>
        <w:t>W Duminy SC (with him E Edmunds)</w:t>
      </w:r>
    </w:p>
    <w:p w14:paraId="030E8E7C" w14:textId="77777777" w:rsidR="00812A07" w:rsidRPr="00D5098D" w:rsidRDefault="00812A07" w:rsidP="00812A07">
      <w:pPr>
        <w:widowControl w:val="0"/>
        <w:autoSpaceDE w:val="0"/>
        <w:autoSpaceDN w:val="0"/>
        <w:adjustRightInd w:val="0"/>
        <w:spacing w:line="360" w:lineRule="auto"/>
        <w:rPr>
          <w:sz w:val="24"/>
        </w:rPr>
      </w:pPr>
      <w:r w:rsidRPr="00D5098D">
        <w:rPr>
          <w:sz w:val="24"/>
        </w:rPr>
        <w:t>Instructed by:</w:t>
      </w:r>
      <w:r w:rsidRPr="00D5098D">
        <w:rPr>
          <w:sz w:val="24"/>
        </w:rPr>
        <w:tab/>
      </w:r>
      <w:r w:rsidR="0068518C" w:rsidRPr="00D5098D">
        <w:rPr>
          <w:sz w:val="24"/>
        </w:rPr>
        <w:t>Edward Nathan Sonnenbergs</w:t>
      </w:r>
      <w:r w:rsidRPr="00D5098D">
        <w:rPr>
          <w:sz w:val="24"/>
        </w:rPr>
        <w:t>, Cape Town</w:t>
      </w:r>
    </w:p>
    <w:p w14:paraId="607CEBDC" w14:textId="77777777" w:rsidR="00812A07" w:rsidRPr="00D5098D" w:rsidRDefault="00812A07" w:rsidP="00812A07">
      <w:pPr>
        <w:widowControl w:val="0"/>
        <w:autoSpaceDE w:val="0"/>
        <w:autoSpaceDN w:val="0"/>
        <w:adjustRightInd w:val="0"/>
        <w:spacing w:line="360" w:lineRule="auto"/>
        <w:rPr>
          <w:sz w:val="24"/>
        </w:rPr>
      </w:pPr>
      <w:r w:rsidRPr="00D5098D">
        <w:rPr>
          <w:sz w:val="24"/>
        </w:rPr>
        <w:tab/>
        <w:t xml:space="preserve">                      </w:t>
      </w:r>
      <w:r w:rsidR="0068518C" w:rsidRPr="00D5098D">
        <w:rPr>
          <w:sz w:val="24"/>
        </w:rPr>
        <w:t>Lovius Block Inc.</w:t>
      </w:r>
      <w:r w:rsidRPr="00D5098D">
        <w:rPr>
          <w:sz w:val="24"/>
        </w:rPr>
        <w:t>, Bloemfontein</w:t>
      </w:r>
    </w:p>
    <w:p w14:paraId="33713556" w14:textId="77777777" w:rsidR="00812A07" w:rsidRPr="00D5098D" w:rsidRDefault="00812A07" w:rsidP="00812A07">
      <w:pPr>
        <w:widowControl w:val="0"/>
        <w:autoSpaceDE w:val="0"/>
        <w:autoSpaceDN w:val="0"/>
        <w:adjustRightInd w:val="0"/>
        <w:spacing w:line="360" w:lineRule="auto"/>
        <w:rPr>
          <w:sz w:val="24"/>
        </w:rPr>
      </w:pPr>
      <w:r w:rsidRPr="00D5098D">
        <w:rPr>
          <w:sz w:val="24"/>
        </w:rPr>
        <w:tab/>
      </w:r>
    </w:p>
    <w:p w14:paraId="1917E9A1" w14:textId="77777777" w:rsidR="00812A07" w:rsidRPr="00D5098D" w:rsidRDefault="00812A07" w:rsidP="00812A07">
      <w:pPr>
        <w:widowControl w:val="0"/>
        <w:autoSpaceDE w:val="0"/>
        <w:autoSpaceDN w:val="0"/>
        <w:adjustRightInd w:val="0"/>
        <w:spacing w:line="360" w:lineRule="auto"/>
        <w:rPr>
          <w:sz w:val="24"/>
        </w:rPr>
      </w:pPr>
      <w:r w:rsidRPr="00D5098D">
        <w:rPr>
          <w:sz w:val="24"/>
        </w:rPr>
        <w:tab/>
      </w:r>
    </w:p>
    <w:p w14:paraId="456A809B" w14:textId="77777777" w:rsidR="00812A07" w:rsidRPr="00D5098D" w:rsidRDefault="00812A07" w:rsidP="00812A07">
      <w:pPr>
        <w:widowControl w:val="0"/>
        <w:autoSpaceDE w:val="0"/>
        <w:autoSpaceDN w:val="0"/>
        <w:adjustRightInd w:val="0"/>
        <w:spacing w:line="360" w:lineRule="auto"/>
        <w:rPr>
          <w:sz w:val="24"/>
        </w:rPr>
      </w:pPr>
    </w:p>
    <w:p w14:paraId="21D4A037" w14:textId="3FDD8F70" w:rsidR="00812A07" w:rsidRPr="00D5098D" w:rsidRDefault="00812A07" w:rsidP="00812A07">
      <w:pPr>
        <w:widowControl w:val="0"/>
        <w:autoSpaceDE w:val="0"/>
        <w:autoSpaceDN w:val="0"/>
        <w:adjustRightInd w:val="0"/>
        <w:spacing w:line="360" w:lineRule="auto"/>
        <w:rPr>
          <w:sz w:val="24"/>
        </w:rPr>
      </w:pPr>
      <w:r w:rsidRPr="00D5098D">
        <w:rPr>
          <w:sz w:val="24"/>
        </w:rPr>
        <w:t>For respondent</w:t>
      </w:r>
      <w:r w:rsidR="00FC2E0B" w:rsidRPr="00D5098D">
        <w:rPr>
          <w:sz w:val="24"/>
        </w:rPr>
        <w:t>s</w:t>
      </w:r>
      <w:r w:rsidRPr="00D5098D">
        <w:rPr>
          <w:sz w:val="24"/>
        </w:rPr>
        <w:t>:</w:t>
      </w:r>
      <w:r w:rsidRPr="00D5098D">
        <w:rPr>
          <w:sz w:val="24"/>
        </w:rPr>
        <w:tab/>
        <w:t>AM Breitenbach SC (with him M O’Sullivan)</w:t>
      </w:r>
    </w:p>
    <w:p w14:paraId="751312A7" w14:textId="77777777" w:rsidR="00812A07" w:rsidRPr="00D5098D" w:rsidRDefault="00812A07" w:rsidP="00812A07">
      <w:pPr>
        <w:widowControl w:val="0"/>
        <w:autoSpaceDE w:val="0"/>
        <w:autoSpaceDN w:val="0"/>
        <w:adjustRightInd w:val="0"/>
        <w:spacing w:line="360" w:lineRule="auto"/>
        <w:rPr>
          <w:sz w:val="24"/>
        </w:rPr>
      </w:pPr>
      <w:r w:rsidRPr="00D5098D">
        <w:rPr>
          <w:sz w:val="24"/>
        </w:rPr>
        <w:t>Instructed by:</w:t>
      </w:r>
      <w:r w:rsidRPr="00D5098D">
        <w:rPr>
          <w:sz w:val="24"/>
        </w:rPr>
        <w:tab/>
        <w:t>State Attorney, Cape Town</w:t>
      </w:r>
    </w:p>
    <w:p w14:paraId="77BF851A" w14:textId="77777777" w:rsidR="00812A07" w:rsidRPr="00D5098D" w:rsidRDefault="00812A07" w:rsidP="00812A07">
      <w:pPr>
        <w:widowControl w:val="0"/>
        <w:autoSpaceDE w:val="0"/>
        <w:autoSpaceDN w:val="0"/>
        <w:adjustRightInd w:val="0"/>
        <w:spacing w:line="360" w:lineRule="auto"/>
        <w:rPr>
          <w:sz w:val="24"/>
        </w:rPr>
      </w:pPr>
      <w:r w:rsidRPr="00D5098D">
        <w:rPr>
          <w:sz w:val="24"/>
        </w:rPr>
        <w:tab/>
        <w:t xml:space="preserve">                     State Attorney, Bloemfontein</w:t>
      </w:r>
    </w:p>
    <w:p w14:paraId="09624124" w14:textId="77777777" w:rsidR="0068518C" w:rsidRPr="00D5098D" w:rsidRDefault="0068518C" w:rsidP="00812A07">
      <w:pPr>
        <w:widowControl w:val="0"/>
        <w:autoSpaceDE w:val="0"/>
        <w:autoSpaceDN w:val="0"/>
        <w:adjustRightInd w:val="0"/>
        <w:spacing w:line="360" w:lineRule="auto"/>
        <w:rPr>
          <w:sz w:val="24"/>
        </w:rPr>
      </w:pPr>
      <w:r w:rsidRPr="00D5098D">
        <w:rPr>
          <w:sz w:val="24"/>
        </w:rPr>
        <w:tab/>
      </w:r>
      <w:r w:rsidRPr="00D5098D">
        <w:rPr>
          <w:sz w:val="24"/>
        </w:rPr>
        <w:tab/>
      </w:r>
      <w:r w:rsidRPr="00D5098D">
        <w:rPr>
          <w:sz w:val="24"/>
        </w:rPr>
        <w:tab/>
        <w:t>Winstanley Inc., Cape Town</w:t>
      </w:r>
    </w:p>
    <w:p w14:paraId="1969BDF3" w14:textId="77777777" w:rsidR="0068518C" w:rsidRPr="00812A07" w:rsidRDefault="0068518C" w:rsidP="00812A07">
      <w:pPr>
        <w:widowControl w:val="0"/>
        <w:autoSpaceDE w:val="0"/>
        <w:autoSpaceDN w:val="0"/>
        <w:adjustRightInd w:val="0"/>
        <w:spacing w:line="360" w:lineRule="auto"/>
        <w:rPr>
          <w:sz w:val="24"/>
        </w:rPr>
      </w:pPr>
      <w:r w:rsidRPr="00D5098D">
        <w:rPr>
          <w:sz w:val="24"/>
        </w:rPr>
        <w:tab/>
      </w:r>
      <w:r w:rsidRPr="00D5098D">
        <w:rPr>
          <w:sz w:val="24"/>
        </w:rPr>
        <w:tab/>
      </w:r>
      <w:r w:rsidRPr="00D5098D">
        <w:rPr>
          <w:sz w:val="24"/>
        </w:rPr>
        <w:tab/>
        <w:t>Claud Reid Inc., Bloemfontein</w:t>
      </w:r>
      <w:r>
        <w:rPr>
          <w:sz w:val="24"/>
        </w:rPr>
        <w:t xml:space="preserve"> </w:t>
      </w:r>
    </w:p>
    <w:p w14:paraId="08A8CBC7" w14:textId="77777777" w:rsidR="002533B8" w:rsidRPr="00C85625" w:rsidRDefault="009F79C6" w:rsidP="00812A07">
      <w:pPr>
        <w:widowControl w:val="0"/>
        <w:autoSpaceDE w:val="0"/>
        <w:autoSpaceDN w:val="0"/>
        <w:adjustRightInd w:val="0"/>
        <w:spacing w:line="360" w:lineRule="auto"/>
        <w:rPr>
          <w:sz w:val="24"/>
        </w:rPr>
      </w:pPr>
      <w:r w:rsidRPr="00C85625">
        <w:rPr>
          <w:sz w:val="24"/>
        </w:rPr>
        <w:tab/>
      </w:r>
    </w:p>
    <w:p w14:paraId="4E9E431F" w14:textId="77777777" w:rsidR="002533B8" w:rsidRPr="00C85625" w:rsidRDefault="00B233F1" w:rsidP="00A77C49">
      <w:pPr>
        <w:widowControl w:val="0"/>
        <w:tabs>
          <w:tab w:val="left" w:pos="2127"/>
        </w:tabs>
        <w:autoSpaceDE w:val="0"/>
        <w:autoSpaceDN w:val="0"/>
        <w:adjustRightInd w:val="0"/>
        <w:spacing w:line="360" w:lineRule="auto"/>
        <w:rPr>
          <w:sz w:val="24"/>
        </w:rPr>
      </w:pPr>
      <w:r>
        <w:rPr>
          <w:sz w:val="24"/>
        </w:rPr>
        <w:tab/>
      </w:r>
    </w:p>
    <w:p w14:paraId="65EE0772" w14:textId="77777777" w:rsidR="00FC2964" w:rsidRDefault="00FC2964" w:rsidP="00F47B77">
      <w:pPr>
        <w:tabs>
          <w:tab w:val="left" w:pos="0"/>
          <w:tab w:val="left" w:pos="720"/>
          <w:tab w:val="left" w:pos="1440"/>
          <w:tab w:val="left" w:pos="2160"/>
          <w:tab w:val="left" w:pos="3060"/>
        </w:tabs>
        <w:spacing w:line="480" w:lineRule="auto"/>
        <w:rPr>
          <w:bCs/>
          <w:sz w:val="24"/>
        </w:rPr>
      </w:pPr>
    </w:p>
    <w:sectPr w:rsidR="00FC2964" w:rsidSect="00F71936">
      <w:headerReference w:type="even" r:id="rId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8B95" w14:textId="77777777" w:rsidR="00DE6923" w:rsidRDefault="00DE6923">
      <w:r>
        <w:separator/>
      </w:r>
    </w:p>
  </w:endnote>
  <w:endnote w:type="continuationSeparator" w:id="0">
    <w:p w14:paraId="4431FC7A" w14:textId="77777777" w:rsidR="00DE6923" w:rsidRDefault="00D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BA0E" w14:textId="77777777" w:rsidR="00DE6923" w:rsidRDefault="00DE6923">
      <w:r>
        <w:separator/>
      </w:r>
    </w:p>
  </w:footnote>
  <w:footnote w:type="continuationSeparator" w:id="0">
    <w:p w14:paraId="29707E98" w14:textId="77777777" w:rsidR="00DE6923" w:rsidRDefault="00DE6923">
      <w:r>
        <w:continuationSeparator/>
      </w:r>
    </w:p>
  </w:footnote>
  <w:footnote w:id="1">
    <w:p w14:paraId="11C3E03A" w14:textId="41433672" w:rsidR="00667EE8" w:rsidRPr="007165C2" w:rsidRDefault="00667EE8" w:rsidP="00F46364">
      <w:pPr>
        <w:pStyle w:val="FootnoteText"/>
        <w:jc w:val="both"/>
        <w:rPr>
          <w:rFonts w:ascii="Arial" w:hAnsi="Arial" w:cs="Arial"/>
          <w:lang w:val="en-ZA"/>
        </w:rPr>
      </w:pPr>
      <w:r w:rsidRPr="007165C2">
        <w:rPr>
          <w:rStyle w:val="FootnoteReference"/>
          <w:rFonts w:ascii="Arial" w:hAnsi="Arial" w:cs="Arial"/>
        </w:rPr>
        <w:footnoteRef/>
      </w:r>
      <w:r w:rsidRPr="007165C2">
        <w:rPr>
          <w:rFonts w:ascii="Arial" w:hAnsi="Arial" w:cs="Arial"/>
        </w:rPr>
        <w:t xml:space="preserve"> </w:t>
      </w:r>
      <w:r w:rsidRPr="007165C2">
        <w:rPr>
          <w:rFonts w:ascii="Arial" w:hAnsi="Arial" w:cs="Arial"/>
          <w:lang w:val="en-ZA"/>
        </w:rPr>
        <w:t>(2</w:t>
      </w:r>
      <w:r w:rsidRPr="007165C2">
        <w:rPr>
          <w:rFonts w:ascii="Arial" w:hAnsi="Arial" w:cs="Arial"/>
          <w:vertAlign w:val="superscript"/>
          <w:lang w:val="en-ZA"/>
        </w:rPr>
        <w:t>nd</w:t>
      </w:r>
      <w:r w:rsidRPr="007165C2">
        <w:rPr>
          <w:rFonts w:ascii="Arial" w:hAnsi="Arial" w:cs="Arial"/>
          <w:lang w:val="en-ZA"/>
        </w:rPr>
        <w:t xml:space="preserve"> ed., 1998. Department of Water Affairs and Forestry).</w:t>
      </w:r>
      <w:r w:rsidR="00C2461F" w:rsidRPr="007165C2">
        <w:rPr>
          <w:rFonts w:ascii="Arial" w:hAnsi="Arial" w:cs="Arial"/>
          <w:lang w:val="en-ZA"/>
        </w:rPr>
        <w:t xml:space="preserve"> </w:t>
      </w:r>
      <w:r w:rsidR="00C2461F" w:rsidRPr="007165C2">
        <w:rPr>
          <w:rFonts w:ascii="Arial" w:hAnsi="Arial" w:cs="Arial"/>
        </w:rPr>
        <w:t>One of three documents produced by the then Department of Water Affairs and Forestry in 1998 dealing with waste management</w:t>
      </w:r>
      <w:r w:rsidR="00A0060F" w:rsidRPr="007165C2">
        <w:rPr>
          <w:rFonts w:ascii="Arial" w:hAnsi="Arial" w:cs="Arial"/>
        </w:rPr>
        <w:t xml:space="preserve"> </w:t>
      </w:r>
      <w:r w:rsidR="00AA61AE" w:rsidRPr="007165C2">
        <w:rPr>
          <w:rFonts w:ascii="Arial" w:hAnsi="Arial" w:cs="Arial"/>
        </w:rPr>
        <w:t xml:space="preserve">is </w:t>
      </w:r>
      <w:r w:rsidR="00A0060F" w:rsidRPr="007165C2">
        <w:rPr>
          <w:rFonts w:ascii="Arial" w:hAnsi="Arial" w:cs="Arial"/>
        </w:rPr>
        <w:t xml:space="preserve">available at </w:t>
      </w:r>
      <w:hyperlink r:id="rId1" w:history="1">
        <w:r w:rsidR="00A0060F" w:rsidRPr="007165C2">
          <w:rPr>
            <w:rStyle w:val="Hyperlink"/>
            <w:rFonts w:ascii="Arial" w:hAnsi="Arial" w:cs="Arial"/>
          </w:rPr>
          <w:t>http://sawic.environment.gov.za/documents/266.PDF</w:t>
        </w:r>
      </w:hyperlink>
      <w:r w:rsidR="00A0060F" w:rsidRPr="007165C2">
        <w:rPr>
          <w:rFonts w:ascii="Arial" w:hAnsi="Arial" w:cs="Arial"/>
        </w:rPr>
        <w:t xml:space="preserve">. Retrieved on 13 April 2022. </w:t>
      </w:r>
    </w:p>
  </w:footnote>
  <w:footnote w:id="2">
    <w:p w14:paraId="227DD46F" w14:textId="77777777" w:rsidR="00800864" w:rsidRPr="00FC5DA0" w:rsidRDefault="00800864" w:rsidP="00AD2E48">
      <w:pPr>
        <w:pStyle w:val="FootnoteText"/>
        <w:spacing w:before="60"/>
        <w:jc w:val="both"/>
        <w:rPr>
          <w:rFonts w:ascii="Arial" w:hAnsi="Arial" w:cs="Arial"/>
        </w:rPr>
      </w:pPr>
      <w:r w:rsidRPr="00767454">
        <w:rPr>
          <w:rStyle w:val="FootnoteReference"/>
          <w:rFonts w:ascii="Arial" w:hAnsi="Arial" w:cs="Arial"/>
        </w:rPr>
        <w:footnoteRef/>
      </w:r>
      <w:r w:rsidRPr="00767454">
        <w:rPr>
          <w:rFonts w:ascii="Arial" w:hAnsi="Arial" w:cs="Arial"/>
        </w:rPr>
        <w:t xml:space="preserve"> </w:t>
      </w:r>
      <w:r w:rsidRPr="005B7922">
        <w:rPr>
          <w:rFonts w:ascii="Arial" w:hAnsi="Arial" w:cs="Arial"/>
          <w:i/>
          <w:iCs/>
        </w:rPr>
        <w:t>Commissioner, South African Revenue Service v United Manganese of Kalahari (Pty) Ltd</w:t>
      </w:r>
      <w:r w:rsidRPr="005B7922">
        <w:rPr>
          <w:rFonts w:ascii="Arial" w:hAnsi="Arial" w:cs="Arial"/>
        </w:rPr>
        <w:t xml:space="preserve"> </w:t>
      </w:r>
      <w:r w:rsidR="00EB79F1" w:rsidRPr="005B7922">
        <w:rPr>
          <w:rFonts w:ascii="Arial" w:hAnsi="Arial" w:cs="Arial"/>
        </w:rPr>
        <w:t>[2020] ZASCA 1</w:t>
      </w:r>
      <w:r w:rsidR="00EB79F1" w:rsidRPr="00AD2E48">
        <w:rPr>
          <w:rFonts w:ascii="Arial" w:hAnsi="Arial" w:cs="Arial"/>
        </w:rPr>
        <w:t xml:space="preserve">6; </w:t>
      </w:r>
      <w:r w:rsidRPr="00AD2E48">
        <w:rPr>
          <w:rFonts w:ascii="Arial" w:hAnsi="Arial" w:cs="Arial"/>
        </w:rPr>
        <w:t>2020 (4) SA 428 (</w:t>
      </w:r>
      <w:r w:rsidRPr="007D7DC7">
        <w:rPr>
          <w:rFonts w:ascii="Arial" w:hAnsi="Arial" w:cs="Arial"/>
        </w:rPr>
        <w:t>SCA)</w:t>
      </w:r>
      <w:r w:rsidRPr="00DB438F">
        <w:rPr>
          <w:rFonts w:ascii="Arial" w:hAnsi="Arial" w:cs="Arial"/>
        </w:rPr>
        <w:t xml:space="preserve"> </w:t>
      </w:r>
      <w:r w:rsidRPr="00FC5DA0">
        <w:rPr>
          <w:rFonts w:ascii="Arial" w:hAnsi="Arial" w:cs="Arial"/>
        </w:rPr>
        <w:t>para 8.</w:t>
      </w:r>
    </w:p>
  </w:footnote>
  <w:footnote w:id="3">
    <w:p w14:paraId="504B651D" w14:textId="77777777" w:rsidR="007B1A21" w:rsidRPr="005B7922" w:rsidRDefault="007B1A21" w:rsidP="00AD2E48">
      <w:pPr>
        <w:pStyle w:val="FootnoteText"/>
        <w:spacing w:before="60"/>
        <w:jc w:val="both"/>
        <w:rPr>
          <w:rFonts w:ascii="Arial" w:hAnsi="Arial" w:cs="Arial"/>
        </w:rPr>
      </w:pPr>
      <w:r w:rsidRPr="00767454">
        <w:rPr>
          <w:rStyle w:val="FootnoteReference"/>
          <w:rFonts w:ascii="Arial" w:hAnsi="Arial" w:cs="Arial"/>
        </w:rPr>
        <w:footnoteRef/>
      </w:r>
      <w:r w:rsidRPr="00767454">
        <w:rPr>
          <w:rFonts w:ascii="Arial" w:hAnsi="Arial" w:cs="Arial"/>
        </w:rPr>
        <w:t xml:space="preserve"> GN R385 in Government Gazette 28753 of 21 April 2006.</w:t>
      </w:r>
    </w:p>
  </w:footnote>
  <w:footnote w:id="4">
    <w:p w14:paraId="7772EB9D" w14:textId="77777777" w:rsidR="00B04D29" w:rsidRPr="00767454" w:rsidRDefault="00B04D29" w:rsidP="00AD2E48">
      <w:pPr>
        <w:pStyle w:val="FootnoteText"/>
        <w:spacing w:before="60"/>
        <w:jc w:val="both"/>
        <w:rPr>
          <w:rFonts w:ascii="Arial" w:hAnsi="Arial" w:cs="Arial"/>
        </w:rPr>
      </w:pPr>
      <w:r w:rsidRPr="00767454">
        <w:rPr>
          <w:rStyle w:val="FootnoteReference"/>
          <w:rFonts w:ascii="Arial" w:hAnsi="Arial" w:cs="Arial"/>
        </w:rPr>
        <w:footnoteRef/>
      </w:r>
      <w:r w:rsidRPr="00767454">
        <w:rPr>
          <w:rFonts w:ascii="Arial" w:hAnsi="Arial" w:cs="Arial"/>
        </w:rPr>
        <w:t xml:space="preserve"> GN R543 in Government Gazette 33306 of 18 June 2010, as amended by GN 660 in Government</w:t>
      </w:r>
      <w:r w:rsidRPr="005B7922">
        <w:rPr>
          <w:rFonts w:ascii="Arial" w:hAnsi="Arial" w:cs="Arial"/>
        </w:rPr>
        <w:t xml:space="preserve"> Gazette 33411 of 30 July 2010.</w:t>
      </w:r>
    </w:p>
  </w:footnote>
  <w:footnote w:id="5">
    <w:p w14:paraId="0EC5DD53" w14:textId="77777777" w:rsidR="00B04D29" w:rsidRPr="00F46364" w:rsidRDefault="00B04D29" w:rsidP="00AD2E48">
      <w:pPr>
        <w:pStyle w:val="FootnoteText"/>
        <w:spacing w:before="60"/>
        <w:jc w:val="both"/>
        <w:rPr>
          <w:rFonts w:ascii="Arial" w:hAnsi="Arial" w:cs="Arial"/>
          <w:i/>
          <w:iCs/>
        </w:rPr>
      </w:pPr>
      <w:r w:rsidRPr="00767454">
        <w:rPr>
          <w:rStyle w:val="FootnoteReference"/>
          <w:rFonts w:ascii="Arial" w:hAnsi="Arial" w:cs="Arial"/>
        </w:rPr>
        <w:footnoteRef/>
      </w:r>
      <w:r w:rsidRPr="00767454">
        <w:rPr>
          <w:rFonts w:ascii="Arial" w:hAnsi="Arial" w:cs="Arial"/>
        </w:rPr>
        <w:t xml:space="preserve"> </w:t>
      </w:r>
      <w:r w:rsidRPr="005B7922">
        <w:rPr>
          <w:rFonts w:ascii="Arial" w:hAnsi="Arial" w:cs="Arial"/>
          <w:i/>
          <w:iCs/>
        </w:rPr>
        <w:t>S</w:t>
      </w:r>
      <w:r w:rsidRPr="005B7922">
        <w:rPr>
          <w:rStyle w:val="Emphasis"/>
          <w:rFonts w:ascii="Arial" w:hAnsi="Arial" w:cs="Arial"/>
          <w:i w:val="0"/>
          <w:iCs w:val="0"/>
          <w:shd w:val="clear" w:color="auto" w:fill="FFFFFF"/>
        </w:rPr>
        <w:t xml:space="preserve">ave that an additional subsection </w:t>
      </w:r>
      <w:r w:rsidRPr="00F46364">
        <w:rPr>
          <w:rStyle w:val="Emphasis"/>
          <w:rFonts w:ascii="Arial" w:hAnsi="Arial" w:cs="Arial"/>
          <w:shd w:val="clear" w:color="auto" w:fill="FFFFFF"/>
        </w:rPr>
        <w:t>(e)</w:t>
      </w:r>
      <w:r w:rsidRPr="00767454">
        <w:rPr>
          <w:rStyle w:val="Emphasis"/>
          <w:rFonts w:ascii="Arial" w:hAnsi="Arial" w:cs="Arial"/>
          <w:i w:val="0"/>
          <w:iCs w:val="0"/>
          <w:shd w:val="clear" w:color="auto" w:fill="FFFFFF"/>
        </w:rPr>
        <w:t xml:space="preserve"> was added to the definition of ‘alternatives’, namely ‘the option of not implementing the activity’. The EIA Report also had to contain a</w:t>
      </w:r>
      <w:r w:rsidRPr="005B7922">
        <w:rPr>
          <w:rStyle w:val="Emphasis"/>
          <w:rFonts w:ascii="Arial" w:hAnsi="Arial" w:cs="Arial"/>
          <w:i w:val="0"/>
          <w:iCs w:val="0"/>
          <w:shd w:val="clear" w:color="auto" w:fill="FFFFFF"/>
        </w:rPr>
        <w:t xml:space="preserve"> ‘description and comparative assessment of all alternatives identified during the [EIA] process’ (</w:t>
      </w:r>
      <w:r w:rsidRPr="00117424">
        <w:rPr>
          <w:rStyle w:val="Emphasis"/>
          <w:rFonts w:ascii="Arial" w:hAnsi="Arial" w:cs="Arial"/>
          <w:i w:val="0"/>
          <w:iCs w:val="0"/>
          <w:shd w:val="clear" w:color="auto" w:fill="FFFFFF"/>
        </w:rPr>
        <w:t>regulation 31(2)(i)).</w:t>
      </w:r>
    </w:p>
  </w:footnote>
  <w:footnote w:id="6">
    <w:p w14:paraId="57C87338" w14:textId="77777777" w:rsidR="00A870FE" w:rsidRPr="00F97394" w:rsidRDefault="00A870FE" w:rsidP="00F97394">
      <w:pPr>
        <w:pStyle w:val="FootnoteText"/>
        <w:jc w:val="both"/>
        <w:rPr>
          <w:rFonts w:ascii="Arial" w:hAnsi="Arial" w:cs="Arial"/>
          <w:lang w:val="en-ZA"/>
        </w:rPr>
      </w:pPr>
      <w:r w:rsidRPr="00F97394">
        <w:rPr>
          <w:rStyle w:val="FootnoteReference"/>
          <w:rFonts w:ascii="Arial" w:hAnsi="Arial" w:cs="Arial"/>
        </w:rPr>
        <w:footnoteRef/>
      </w:r>
      <w:r w:rsidRPr="00F97394">
        <w:rPr>
          <w:rFonts w:ascii="Arial" w:hAnsi="Arial" w:cs="Arial"/>
        </w:rPr>
        <w:t xml:space="preserve"> </w:t>
      </w:r>
      <w:r w:rsidRPr="00F97394">
        <w:rPr>
          <w:rFonts w:ascii="Arial" w:hAnsi="Arial" w:cs="Arial"/>
          <w:i/>
        </w:rPr>
        <w:t>Tikly and Others v Johannes NO and Others</w:t>
      </w:r>
      <w:r w:rsidRPr="00F97394">
        <w:rPr>
          <w:rFonts w:ascii="Arial" w:hAnsi="Arial" w:cs="Arial"/>
        </w:rPr>
        <w:t xml:space="preserve"> 1963 (2) SA 588 (T) at 590F-591A</w:t>
      </w:r>
      <w:r w:rsidRPr="00767454">
        <w:rPr>
          <w:rFonts w:ascii="Arial" w:hAnsi="Arial" w:cs="Arial"/>
        </w:rPr>
        <w:t>.</w:t>
      </w:r>
    </w:p>
  </w:footnote>
  <w:footnote w:id="7">
    <w:p w14:paraId="3FF922C8" w14:textId="77777777" w:rsidR="003C5713" w:rsidRPr="00F97394" w:rsidRDefault="003C5713" w:rsidP="003C5713">
      <w:pPr>
        <w:pStyle w:val="FootnoteText"/>
        <w:jc w:val="both"/>
        <w:rPr>
          <w:rFonts w:ascii="Arial" w:hAnsi="Arial" w:cs="Arial"/>
          <w:lang w:val="en-ZA"/>
        </w:rPr>
      </w:pPr>
      <w:r w:rsidRPr="00F97394">
        <w:rPr>
          <w:rStyle w:val="FootnoteReference"/>
          <w:rFonts w:ascii="Arial" w:hAnsi="Arial" w:cs="Arial"/>
        </w:rPr>
        <w:footnoteRef/>
      </w:r>
      <w:r w:rsidRPr="00F97394">
        <w:rPr>
          <w:rFonts w:ascii="Arial" w:hAnsi="Arial" w:cs="Arial"/>
        </w:rPr>
        <w:t xml:space="preserve"> </w:t>
      </w:r>
      <w:r w:rsidRPr="00767454">
        <w:rPr>
          <w:rFonts w:ascii="Arial" w:hAnsi="Arial" w:cs="Arial"/>
          <w:i/>
          <w:iCs/>
          <w:lang w:val="en-GB"/>
        </w:rPr>
        <w:t>Hangklip/Kleinmond Federation</w:t>
      </w:r>
      <w:r w:rsidRPr="005B7922">
        <w:rPr>
          <w:rFonts w:ascii="Arial" w:hAnsi="Arial" w:cs="Arial"/>
          <w:i/>
          <w:iCs/>
          <w:lang w:val="en-GB"/>
        </w:rPr>
        <w:t xml:space="preserve"> of Ratepayers Associations v MEC for Environmental Planning and Economic Development: Western Cape</w:t>
      </w:r>
      <w:r w:rsidRPr="005B7922">
        <w:rPr>
          <w:rFonts w:ascii="Arial" w:hAnsi="Arial" w:cs="Arial"/>
          <w:lang w:val="en-GB"/>
        </w:rPr>
        <w:t xml:space="preserve"> [2009] ZAWCHC 151</w:t>
      </w:r>
      <w:r>
        <w:rPr>
          <w:rFonts w:ascii="Arial" w:hAnsi="Arial" w:cs="Arial"/>
          <w:lang w:val="en-GB"/>
        </w:rPr>
        <w:t>.</w:t>
      </w:r>
    </w:p>
  </w:footnote>
  <w:footnote w:id="8">
    <w:p w14:paraId="53B81AA9" w14:textId="2C27B346" w:rsidR="003C5713" w:rsidRPr="00DB438F" w:rsidRDefault="003C5713" w:rsidP="003C5713">
      <w:pPr>
        <w:pStyle w:val="FootnoteText"/>
        <w:jc w:val="both"/>
        <w:rPr>
          <w:rFonts w:ascii="Arial" w:hAnsi="Arial" w:cs="Arial"/>
          <w:lang w:val="en-ZA"/>
        </w:rPr>
      </w:pPr>
      <w:r w:rsidRPr="00767454">
        <w:rPr>
          <w:rStyle w:val="FootnoteReference"/>
          <w:rFonts w:ascii="Arial" w:hAnsi="Arial" w:cs="Arial"/>
        </w:rPr>
        <w:footnoteRef/>
      </w:r>
      <w:r w:rsidRPr="00767454">
        <w:rPr>
          <w:rFonts w:ascii="Arial" w:hAnsi="Arial" w:cs="Arial"/>
        </w:rPr>
        <w:t xml:space="preserve"> </w:t>
      </w:r>
      <w:r w:rsidR="00B2455D" w:rsidRPr="0048653A">
        <w:rPr>
          <w:rFonts w:ascii="Arial" w:hAnsi="Arial" w:cs="Arial"/>
          <w:lang w:val="en-GB"/>
        </w:rPr>
        <w:t>Ibid</w:t>
      </w:r>
      <w:r w:rsidRPr="0048653A">
        <w:rPr>
          <w:rFonts w:ascii="Arial" w:hAnsi="Arial" w:cs="Arial"/>
          <w:lang w:val="en-GB"/>
        </w:rPr>
        <w:t xml:space="preserve"> paras 42-44.</w:t>
      </w:r>
    </w:p>
  </w:footnote>
  <w:footnote w:id="9">
    <w:p w14:paraId="58E3B496" w14:textId="77777777" w:rsidR="00CF0492" w:rsidRPr="00DB438F" w:rsidRDefault="00CF0492" w:rsidP="00AD2E48">
      <w:pPr>
        <w:pStyle w:val="FootnoteText"/>
        <w:spacing w:before="60"/>
        <w:jc w:val="both"/>
        <w:rPr>
          <w:rFonts w:ascii="Arial" w:hAnsi="Arial" w:cs="Arial"/>
        </w:rPr>
      </w:pPr>
      <w:r w:rsidRPr="00767454">
        <w:rPr>
          <w:rStyle w:val="FootnoteReference"/>
          <w:rFonts w:ascii="Arial" w:hAnsi="Arial" w:cs="Arial"/>
        </w:rPr>
        <w:footnoteRef/>
      </w:r>
      <w:r w:rsidRPr="00767454">
        <w:rPr>
          <w:rFonts w:ascii="Arial" w:hAnsi="Arial" w:cs="Arial"/>
        </w:rPr>
        <w:t xml:space="preserve"> </w:t>
      </w:r>
      <w:r w:rsidR="00D94A0A" w:rsidRPr="00767454">
        <w:rPr>
          <w:rFonts w:ascii="Arial" w:hAnsi="Arial" w:cs="Arial"/>
          <w:i/>
          <w:iCs/>
          <w:lang w:val="en-GB"/>
        </w:rPr>
        <w:t>Sea Front for All and Another v MEC: Environmental and Developm</w:t>
      </w:r>
      <w:r w:rsidR="00D94A0A" w:rsidRPr="005B7922">
        <w:rPr>
          <w:rFonts w:ascii="Arial" w:hAnsi="Arial" w:cs="Arial"/>
          <w:i/>
          <w:iCs/>
          <w:lang w:val="en-GB"/>
        </w:rPr>
        <w:t>ent Planning, Western Cape Provincial Government and Others</w:t>
      </w:r>
      <w:r w:rsidR="00D94A0A" w:rsidRPr="00AD2E48">
        <w:rPr>
          <w:rFonts w:ascii="Arial" w:hAnsi="Arial" w:cs="Arial"/>
          <w:lang w:val="en-GB"/>
        </w:rPr>
        <w:t xml:space="preserve"> </w:t>
      </w:r>
      <w:r w:rsidR="00D94DFB" w:rsidRPr="00AD2E48">
        <w:rPr>
          <w:rFonts w:ascii="Arial" w:hAnsi="Arial" w:cs="Arial"/>
          <w:lang w:val="en-GB"/>
        </w:rPr>
        <w:t xml:space="preserve">[2010] ZAWCHC 69; </w:t>
      </w:r>
      <w:r w:rsidR="00D94A0A" w:rsidRPr="007D7DC7">
        <w:rPr>
          <w:rFonts w:ascii="Arial" w:hAnsi="Arial" w:cs="Arial"/>
          <w:lang w:val="en-GB"/>
        </w:rPr>
        <w:t>2011 (3) SA 55 (WCC)</w:t>
      </w:r>
      <w:r w:rsidRPr="00DB438F">
        <w:rPr>
          <w:rFonts w:ascii="Arial" w:hAnsi="Arial" w:cs="Arial"/>
        </w:rPr>
        <w:t>.</w:t>
      </w:r>
    </w:p>
  </w:footnote>
  <w:footnote w:id="10">
    <w:p w14:paraId="3293CD9D" w14:textId="77777777" w:rsidR="00664815" w:rsidRPr="00075C40" w:rsidRDefault="00664815" w:rsidP="00075C40">
      <w:pPr>
        <w:pStyle w:val="FootnoteText"/>
        <w:jc w:val="both"/>
        <w:rPr>
          <w:rFonts w:ascii="Arial" w:hAnsi="Arial" w:cs="Arial"/>
          <w:lang w:val="en-ZA"/>
        </w:rPr>
      </w:pPr>
      <w:r w:rsidRPr="00075C40">
        <w:rPr>
          <w:rStyle w:val="FootnoteReference"/>
          <w:rFonts w:ascii="Arial" w:hAnsi="Arial" w:cs="Arial"/>
        </w:rPr>
        <w:footnoteRef/>
      </w:r>
      <w:r w:rsidRPr="00075C40">
        <w:rPr>
          <w:rFonts w:ascii="Arial" w:hAnsi="Arial" w:cs="Arial"/>
        </w:rPr>
        <w:t xml:space="preserve"> Ibid </w:t>
      </w:r>
      <w:r w:rsidRPr="00767454">
        <w:rPr>
          <w:rFonts w:ascii="Arial" w:hAnsi="Arial" w:cs="Arial"/>
        </w:rPr>
        <w:t>paras 23, 25 &amp; 28.</w:t>
      </w:r>
    </w:p>
  </w:footnote>
  <w:footnote w:id="11">
    <w:p w14:paraId="6B43C1D2" w14:textId="77777777" w:rsidR="00D94DFB" w:rsidRPr="005532EA" w:rsidRDefault="00D94DFB" w:rsidP="00075C40">
      <w:pPr>
        <w:pStyle w:val="FootnoteText"/>
        <w:jc w:val="both"/>
        <w:rPr>
          <w:rFonts w:ascii="Arial" w:hAnsi="Arial" w:cs="Arial"/>
          <w:lang w:val="en-ZA"/>
        </w:rPr>
      </w:pPr>
      <w:r w:rsidRPr="005532EA">
        <w:rPr>
          <w:rStyle w:val="FootnoteReference"/>
          <w:rFonts w:ascii="Arial" w:hAnsi="Arial" w:cs="Arial"/>
        </w:rPr>
        <w:footnoteRef/>
      </w:r>
      <w:r w:rsidRPr="005532EA">
        <w:rPr>
          <w:rFonts w:ascii="Arial" w:hAnsi="Arial" w:cs="Arial"/>
        </w:rPr>
        <w:t xml:space="preserve"> </w:t>
      </w:r>
      <w:r w:rsidRPr="005532EA">
        <w:rPr>
          <w:rFonts w:ascii="Arial" w:hAnsi="Arial" w:cs="Arial"/>
          <w:i/>
        </w:rPr>
        <w:t xml:space="preserve">Groenewald NO and Others v M5 Developments (Cape) (Pty) Ltd </w:t>
      </w:r>
      <w:r w:rsidRPr="005532EA">
        <w:rPr>
          <w:rFonts w:ascii="Arial" w:hAnsi="Arial" w:cs="Arial"/>
          <w:iCs/>
        </w:rPr>
        <w:t>[2010] ZASCA 47;</w:t>
      </w:r>
      <w:r w:rsidRPr="005532EA">
        <w:rPr>
          <w:rFonts w:ascii="Arial" w:hAnsi="Arial" w:cs="Arial"/>
          <w:i/>
        </w:rPr>
        <w:t xml:space="preserve"> </w:t>
      </w:r>
      <w:r w:rsidRPr="005532EA">
        <w:rPr>
          <w:rFonts w:ascii="Arial" w:hAnsi="Arial" w:cs="Arial"/>
          <w:iCs/>
        </w:rPr>
        <w:t>2010 (5) SA 82 (SCA)</w:t>
      </w:r>
      <w:r w:rsidR="00767454">
        <w:rPr>
          <w:rFonts w:ascii="Arial" w:hAnsi="Arial" w:cs="Arial"/>
          <w:iCs/>
        </w:rPr>
        <w:t>.</w:t>
      </w:r>
    </w:p>
  </w:footnote>
  <w:footnote w:id="12">
    <w:p w14:paraId="216F8190" w14:textId="77777777" w:rsidR="00D94DFB" w:rsidRPr="005532EA" w:rsidRDefault="00D94DFB" w:rsidP="00075C40">
      <w:pPr>
        <w:pStyle w:val="FootnoteText"/>
        <w:jc w:val="both"/>
        <w:rPr>
          <w:rFonts w:ascii="Arial" w:hAnsi="Arial" w:cs="Arial"/>
          <w:lang w:val="en-ZA"/>
        </w:rPr>
      </w:pPr>
      <w:r w:rsidRPr="005532EA">
        <w:rPr>
          <w:rStyle w:val="FootnoteReference"/>
          <w:rFonts w:ascii="Arial" w:hAnsi="Arial" w:cs="Arial"/>
        </w:rPr>
        <w:footnoteRef/>
      </w:r>
      <w:r w:rsidRPr="005532EA">
        <w:rPr>
          <w:rFonts w:ascii="Arial" w:hAnsi="Arial" w:cs="Arial"/>
        </w:rPr>
        <w:t xml:space="preserve"> </w:t>
      </w:r>
      <w:r w:rsidRPr="005532EA">
        <w:rPr>
          <w:rFonts w:ascii="Arial" w:hAnsi="Arial" w:cs="Arial"/>
          <w:i/>
        </w:rPr>
        <w:t xml:space="preserve">Potgieter v Howie NO and Others </w:t>
      </w:r>
      <w:r w:rsidRPr="005532EA">
        <w:rPr>
          <w:rFonts w:ascii="Arial" w:hAnsi="Arial" w:cs="Arial"/>
          <w:iCs/>
        </w:rPr>
        <w:t>[2013) ZAGPPHC 313; 2014 (3) SA 336 (GP)</w:t>
      </w:r>
      <w:r w:rsidR="00767454">
        <w:rPr>
          <w:rFonts w:ascii="Arial" w:hAnsi="Arial" w:cs="Arial"/>
          <w:iCs/>
        </w:rPr>
        <w:t>.</w:t>
      </w:r>
    </w:p>
  </w:footnote>
  <w:footnote w:id="13">
    <w:p w14:paraId="4DCA36EC" w14:textId="77777777" w:rsidR="00D94DFB" w:rsidRPr="005532EA" w:rsidRDefault="00D94DFB" w:rsidP="00075C40">
      <w:pPr>
        <w:pStyle w:val="FootnoteText"/>
        <w:jc w:val="both"/>
        <w:rPr>
          <w:rFonts w:ascii="Arial" w:hAnsi="Arial" w:cs="Arial"/>
          <w:lang w:val="en-ZA"/>
        </w:rPr>
      </w:pPr>
      <w:r w:rsidRPr="005532EA">
        <w:rPr>
          <w:rStyle w:val="FootnoteReference"/>
          <w:rFonts w:ascii="Arial" w:hAnsi="Arial" w:cs="Arial"/>
        </w:rPr>
        <w:footnoteRef/>
      </w:r>
      <w:r w:rsidRPr="005532EA">
        <w:rPr>
          <w:rFonts w:ascii="Arial" w:hAnsi="Arial" w:cs="Arial"/>
        </w:rPr>
        <w:t xml:space="preserve"> </w:t>
      </w:r>
      <w:r w:rsidRPr="005532EA">
        <w:rPr>
          <w:rFonts w:ascii="Arial" w:hAnsi="Arial" w:cs="Arial"/>
          <w:i/>
        </w:rPr>
        <w:t xml:space="preserve">Ocean Ecological Adventure (Pty) Ltd v Minister of Environmental Affairs </w:t>
      </w:r>
      <w:r w:rsidRPr="005532EA">
        <w:rPr>
          <w:rFonts w:ascii="Arial" w:hAnsi="Arial" w:cs="Arial"/>
          <w:iCs/>
        </w:rPr>
        <w:t>[2019] ZAWCHC 42; [2019] 3 All SA 259 (WCC).</w:t>
      </w:r>
    </w:p>
  </w:footnote>
  <w:footnote w:id="14">
    <w:p w14:paraId="61A9CBC2" w14:textId="77777777" w:rsidR="00D94DFB" w:rsidRPr="005532EA" w:rsidRDefault="00D94DFB" w:rsidP="00075C40">
      <w:pPr>
        <w:pStyle w:val="FootnoteText"/>
        <w:jc w:val="both"/>
        <w:rPr>
          <w:rFonts w:ascii="Arial" w:hAnsi="Arial" w:cs="Arial"/>
          <w:lang w:val="en-ZA"/>
        </w:rPr>
      </w:pPr>
      <w:r w:rsidRPr="005532EA">
        <w:rPr>
          <w:rStyle w:val="FootnoteReference"/>
          <w:rFonts w:ascii="Arial" w:hAnsi="Arial" w:cs="Arial"/>
        </w:rPr>
        <w:footnoteRef/>
      </w:r>
      <w:r w:rsidRPr="005532EA">
        <w:rPr>
          <w:rFonts w:ascii="Arial" w:hAnsi="Arial" w:cs="Arial"/>
        </w:rPr>
        <w:t xml:space="preserve"> </w:t>
      </w:r>
      <w:r w:rsidRPr="005532EA">
        <w:rPr>
          <w:rFonts w:ascii="Arial" w:hAnsi="Arial" w:cs="Arial"/>
          <w:i/>
        </w:rPr>
        <w:t xml:space="preserve">Meyer v Iscor Pension Fund </w:t>
      </w:r>
      <w:r w:rsidRPr="005532EA">
        <w:rPr>
          <w:rFonts w:ascii="Arial" w:hAnsi="Arial" w:cs="Arial"/>
          <w:iCs/>
        </w:rPr>
        <w:t>[2002] ZASCA 148;</w:t>
      </w:r>
      <w:r w:rsidRPr="005532EA">
        <w:rPr>
          <w:rFonts w:ascii="Arial" w:hAnsi="Arial" w:cs="Arial"/>
          <w:i/>
        </w:rPr>
        <w:t xml:space="preserve"> </w:t>
      </w:r>
      <w:r w:rsidRPr="005532EA">
        <w:rPr>
          <w:rFonts w:ascii="Arial" w:hAnsi="Arial" w:cs="Arial"/>
          <w:iCs/>
        </w:rPr>
        <w:t>[2003] 1 All SA 40 (SCA).</w:t>
      </w:r>
    </w:p>
  </w:footnote>
  <w:footnote w:id="15">
    <w:p w14:paraId="49FAAB04" w14:textId="77777777" w:rsidR="00AA1985" w:rsidRPr="00B76F43" w:rsidRDefault="00AA1985" w:rsidP="00AD2E48">
      <w:pPr>
        <w:pStyle w:val="FootnoteText"/>
        <w:jc w:val="both"/>
        <w:rPr>
          <w:rFonts w:ascii="Arial" w:hAnsi="Arial" w:cs="Arial"/>
          <w:lang w:val="en-ZA"/>
        </w:rPr>
      </w:pPr>
      <w:r w:rsidRPr="00767454">
        <w:rPr>
          <w:rStyle w:val="FootnoteReference"/>
          <w:rFonts w:ascii="Arial" w:hAnsi="Arial" w:cs="Arial"/>
        </w:rPr>
        <w:footnoteRef/>
      </w:r>
      <w:r w:rsidRPr="00767454">
        <w:rPr>
          <w:rFonts w:ascii="Arial" w:hAnsi="Arial" w:cs="Arial"/>
          <w:i/>
          <w:iCs/>
          <w:lang w:val="en-GB"/>
        </w:rPr>
        <w:t xml:space="preserve"> Groenewa</w:t>
      </w:r>
      <w:r w:rsidRPr="00077EA4">
        <w:rPr>
          <w:rFonts w:ascii="Arial" w:hAnsi="Arial" w:cs="Arial"/>
          <w:i/>
          <w:iCs/>
          <w:lang w:val="en-GB"/>
        </w:rPr>
        <w:t xml:space="preserve">ld </w:t>
      </w:r>
      <w:r w:rsidRPr="00DB438F">
        <w:rPr>
          <w:rFonts w:ascii="Arial" w:hAnsi="Arial" w:cs="Arial"/>
          <w:lang w:val="en-GB"/>
        </w:rPr>
        <w:t>paras 24-26.</w:t>
      </w:r>
      <w:r w:rsidRPr="00DB438F">
        <w:rPr>
          <w:rFonts w:ascii="Arial" w:hAnsi="Arial" w:cs="Arial"/>
        </w:rPr>
        <w:t xml:space="preserve"> </w:t>
      </w:r>
    </w:p>
  </w:footnote>
  <w:footnote w:id="16">
    <w:p w14:paraId="307F949E" w14:textId="77777777" w:rsidR="008774CD" w:rsidRPr="00DB438F" w:rsidRDefault="008774CD" w:rsidP="00AD2E48">
      <w:pPr>
        <w:pStyle w:val="FootnoteText"/>
        <w:jc w:val="both"/>
        <w:rPr>
          <w:rFonts w:ascii="Arial" w:hAnsi="Arial" w:cs="Arial"/>
          <w:lang w:val="en-ZA"/>
        </w:rPr>
      </w:pPr>
      <w:r w:rsidRPr="00767454">
        <w:rPr>
          <w:rStyle w:val="FootnoteReference"/>
          <w:rFonts w:ascii="Arial" w:hAnsi="Arial" w:cs="Arial"/>
        </w:rPr>
        <w:footnoteRef/>
      </w:r>
      <w:r w:rsidRPr="00767454">
        <w:rPr>
          <w:rFonts w:ascii="Arial" w:hAnsi="Arial" w:cs="Arial"/>
        </w:rPr>
        <w:t xml:space="preserve"> Ibid</w:t>
      </w:r>
      <w:r w:rsidRPr="007D7DC7">
        <w:rPr>
          <w:rFonts w:ascii="Arial" w:hAnsi="Arial" w:cs="Arial"/>
        </w:rPr>
        <w:t xml:space="preserve"> para 25. </w:t>
      </w:r>
    </w:p>
  </w:footnote>
  <w:footnote w:id="17">
    <w:p w14:paraId="297534E9" w14:textId="77777777" w:rsidR="00B32B78" w:rsidRPr="00E44284" w:rsidRDefault="00B32B78" w:rsidP="00AD2E48">
      <w:pPr>
        <w:pStyle w:val="FootnoteText"/>
        <w:spacing w:before="60"/>
        <w:jc w:val="both"/>
        <w:rPr>
          <w:rFonts w:ascii="Arial" w:hAnsi="Arial" w:cs="Arial"/>
        </w:rPr>
      </w:pPr>
      <w:r w:rsidRPr="00767454">
        <w:rPr>
          <w:rStyle w:val="FootnoteReference"/>
          <w:rFonts w:ascii="Arial" w:hAnsi="Arial" w:cs="Arial"/>
        </w:rPr>
        <w:footnoteRef/>
      </w:r>
      <w:r w:rsidRPr="00767454">
        <w:rPr>
          <w:rFonts w:ascii="Arial" w:hAnsi="Arial" w:cs="Arial"/>
        </w:rPr>
        <w:t xml:space="preserve"> </w:t>
      </w:r>
      <w:r w:rsidR="00C93ADF" w:rsidRPr="00767454">
        <w:rPr>
          <w:rFonts w:ascii="Arial" w:hAnsi="Arial" w:cs="Arial"/>
          <w:i/>
          <w:lang w:val="en-GB"/>
        </w:rPr>
        <w:t>Ocean Ecological Adventures</w:t>
      </w:r>
      <w:r w:rsidR="00C93ADF" w:rsidRPr="00B76F43">
        <w:rPr>
          <w:rFonts w:ascii="Arial" w:hAnsi="Arial" w:cs="Arial"/>
        </w:rPr>
        <w:t xml:space="preserve"> </w:t>
      </w:r>
      <w:r w:rsidRPr="00FE7693">
        <w:rPr>
          <w:rFonts w:ascii="Arial" w:hAnsi="Arial" w:cs="Arial"/>
        </w:rPr>
        <w:t>para</w:t>
      </w:r>
      <w:r w:rsidR="00E44284">
        <w:rPr>
          <w:rFonts w:ascii="Arial" w:hAnsi="Arial" w:cs="Arial"/>
        </w:rPr>
        <w:t>s</w:t>
      </w:r>
      <w:r w:rsidRPr="00E44284">
        <w:rPr>
          <w:rFonts w:ascii="Arial" w:hAnsi="Arial" w:cs="Arial"/>
        </w:rPr>
        <w:t xml:space="preserve"> 40.</w:t>
      </w:r>
    </w:p>
  </w:footnote>
  <w:footnote w:id="18">
    <w:p w14:paraId="107B9B60" w14:textId="77777777" w:rsidR="00B32B78" w:rsidRPr="001F269A" w:rsidRDefault="00B32B78" w:rsidP="007D7DC7">
      <w:pPr>
        <w:pStyle w:val="FootnoteText"/>
        <w:spacing w:before="60"/>
        <w:jc w:val="both"/>
        <w:rPr>
          <w:rFonts w:ascii="Arial" w:hAnsi="Arial" w:cs="Arial"/>
        </w:rPr>
      </w:pPr>
      <w:r w:rsidRPr="00767454">
        <w:rPr>
          <w:rStyle w:val="FootnoteReference"/>
          <w:rFonts w:ascii="Arial" w:hAnsi="Arial" w:cs="Arial"/>
        </w:rPr>
        <w:footnoteRef/>
      </w:r>
      <w:r w:rsidRPr="00767454">
        <w:rPr>
          <w:rFonts w:ascii="Arial" w:hAnsi="Arial" w:cs="Arial"/>
        </w:rPr>
        <w:t xml:space="preserve"> </w:t>
      </w:r>
      <w:r w:rsidR="00A11453" w:rsidRPr="001F269A">
        <w:rPr>
          <w:rFonts w:ascii="Arial" w:hAnsi="Arial" w:cs="Arial"/>
          <w:iCs/>
          <w:lang w:val="en-GB"/>
        </w:rPr>
        <w:t>Ibid</w:t>
      </w:r>
      <w:r w:rsidRPr="00077EA4">
        <w:rPr>
          <w:rFonts w:ascii="Arial" w:hAnsi="Arial" w:cs="Arial"/>
        </w:rPr>
        <w:t xml:space="preserve"> paras 42-</w:t>
      </w:r>
      <w:r w:rsidR="00C93ADF" w:rsidRPr="00E44284">
        <w:rPr>
          <w:rFonts w:ascii="Arial" w:hAnsi="Arial" w:cs="Arial"/>
        </w:rPr>
        <w:t>4</w:t>
      </w:r>
      <w:r w:rsidRPr="00E44284">
        <w:rPr>
          <w:rFonts w:ascii="Arial" w:hAnsi="Arial" w:cs="Arial"/>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AD13" w14:textId="77777777" w:rsidR="00B65CD1" w:rsidRDefault="00B65CD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06A7A" w14:textId="77777777" w:rsidR="00B65CD1" w:rsidRDefault="00B65CD1" w:rsidP="00F719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E398" w14:textId="2D14BD75" w:rsidR="00B65CD1" w:rsidRPr="003A1840" w:rsidRDefault="00B65CD1"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2B0761">
      <w:rPr>
        <w:rStyle w:val="PageNumber"/>
        <w:noProof/>
        <w:sz w:val="24"/>
      </w:rPr>
      <w:t>2</w:t>
    </w:r>
    <w:r w:rsidRPr="003A1840">
      <w:rPr>
        <w:rStyle w:val="PageNumber"/>
        <w:sz w:val="24"/>
      </w:rPr>
      <w:fldChar w:fldCharType="end"/>
    </w:r>
  </w:p>
  <w:p w14:paraId="02BB4C49" w14:textId="77777777" w:rsidR="00B65CD1" w:rsidRPr="002533B8" w:rsidRDefault="00B65CD1"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511F96"/>
    <w:multiLevelType w:val="multilevel"/>
    <w:tmpl w:val="A464303C"/>
    <w:lvl w:ilvl="0">
      <w:start w:val="1"/>
      <w:numFmt w:val="decimal"/>
      <w:lvlText w:val="%1."/>
      <w:lvlJc w:val="left"/>
      <w:pPr>
        <w:ind w:left="502" w:hanging="360"/>
      </w:pPr>
      <w:rPr>
        <w:rFonts w:hint="default"/>
        <w:b w:val="0"/>
        <w:i w:val="0"/>
        <w:iCs w:val="0"/>
      </w:r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85639E"/>
    <w:multiLevelType w:val="hybridMultilevel"/>
    <w:tmpl w:val="71C4D9D6"/>
    <w:lvl w:ilvl="0" w:tplc="E1AAE0DA">
      <w:start w:val="11"/>
      <w:numFmt w:val="decimal"/>
      <w:lvlText w:val="%1."/>
      <w:lvlJc w:val="left"/>
      <w:pPr>
        <w:ind w:left="502" w:hanging="360"/>
      </w:pPr>
      <w:rPr>
        <w:rFonts w:hint="default"/>
      </w:rPr>
    </w:lvl>
    <w:lvl w:ilvl="1" w:tplc="DA767BEC">
      <w:start w:val="1"/>
      <w:numFmt w:val="lowerLetter"/>
      <w:lvlText w:val="(%2)"/>
      <w:lvlJc w:val="left"/>
      <w:pPr>
        <w:ind w:left="1222" w:hanging="360"/>
      </w:pPr>
      <w:rPr>
        <w:rFonts w:hint="default"/>
      </w:r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0"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4"/>
  </w:num>
  <w:num w:numId="5">
    <w:abstractNumId w:val="17"/>
  </w:num>
  <w:num w:numId="6">
    <w:abstractNumId w:val="6"/>
  </w:num>
  <w:num w:numId="7">
    <w:abstractNumId w:val="10"/>
  </w:num>
  <w:num w:numId="8">
    <w:abstractNumId w:val="1"/>
  </w:num>
  <w:num w:numId="9">
    <w:abstractNumId w:val="8"/>
  </w:num>
  <w:num w:numId="10">
    <w:abstractNumId w:val="19"/>
  </w:num>
  <w:num w:numId="11">
    <w:abstractNumId w:val="13"/>
  </w:num>
  <w:num w:numId="12">
    <w:abstractNumId w:val="18"/>
  </w:num>
  <w:num w:numId="13">
    <w:abstractNumId w:val="3"/>
  </w:num>
  <w:num w:numId="14">
    <w:abstractNumId w:val="14"/>
  </w:num>
  <w:num w:numId="15">
    <w:abstractNumId w:val="16"/>
  </w:num>
  <w:num w:numId="16">
    <w:abstractNumId w:val="11"/>
  </w:num>
  <w:num w:numId="17">
    <w:abstractNumId w:val="20"/>
  </w:num>
  <w:num w:numId="18">
    <w:abstractNumId w:val="0"/>
  </w:num>
  <w:num w:numId="19">
    <w:abstractNumId w:val="1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53"/>
    <w:rsid w:val="00000D39"/>
    <w:rsid w:val="00001378"/>
    <w:rsid w:val="00002A84"/>
    <w:rsid w:val="00003107"/>
    <w:rsid w:val="00004DB6"/>
    <w:rsid w:val="00007A21"/>
    <w:rsid w:val="000120B2"/>
    <w:rsid w:val="00014191"/>
    <w:rsid w:val="000143C7"/>
    <w:rsid w:val="000149AA"/>
    <w:rsid w:val="00014DE2"/>
    <w:rsid w:val="000204F5"/>
    <w:rsid w:val="000206E0"/>
    <w:rsid w:val="00021330"/>
    <w:rsid w:val="00021D79"/>
    <w:rsid w:val="0002311F"/>
    <w:rsid w:val="00024355"/>
    <w:rsid w:val="00026C55"/>
    <w:rsid w:val="00027127"/>
    <w:rsid w:val="000326E5"/>
    <w:rsid w:val="00033B2E"/>
    <w:rsid w:val="0003485E"/>
    <w:rsid w:val="000374D8"/>
    <w:rsid w:val="00037C1B"/>
    <w:rsid w:val="000402CB"/>
    <w:rsid w:val="000403B5"/>
    <w:rsid w:val="000438B2"/>
    <w:rsid w:val="00045AF9"/>
    <w:rsid w:val="00045C2A"/>
    <w:rsid w:val="0004631F"/>
    <w:rsid w:val="00046409"/>
    <w:rsid w:val="00046CC1"/>
    <w:rsid w:val="000478A4"/>
    <w:rsid w:val="00051D31"/>
    <w:rsid w:val="00053428"/>
    <w:rsid w:val="00053B31"/>
    <w:rsid w:val="0006197D"/>
    <w:rsid w:val="00062A55"/>
    <w:rsid w:val="0006357A"/>
    <w:rsid w:val="000639E6"/>
    <w:rsid w:val="000657C6"/>
    <w:rsid w:val="00065CA7"/>
    <w:rsid w:val="00066162"/>
    <w:rsid w:val="00066CD8"/>
    <w:rsid w:val="00066F61"/>
    <w:rsid w:val="000671FB"/>
    <w:rsid w:val="000711BB"/>
    <w:rsid w:val="00073A64"/>
    <w:rsid w:val="00073AA7"/>
    <w:rsid w:val="00075C40"/>
    <w:rsid w:val="0007691C"/>
    <w:rsid w:val="000776C7"/>
    <w:rsid w:val="00077EA4"/>
    <w:rsid w:val="000807F9"/>
    <w:rsid w:val="00080C43"/>
    <w:rsid w:val="00082ED2"/>
    <w:rsid w:val="000837F1"/>
    <w:rsid w:val="00083A24"/>
    <w:rsid w:val="00084C73"/>
    <w:rsid w:val="00084D14"/>
    <w:rsid w:val="000855D3"/>
    <w:rsid w:val="00086059"/>
    <w:rsid w:val="00086CC1"/>
    <w:rsid w:val="000919AE"/>
    <w:rsid w:val="000922D1"/>
    <w:rsid w:val="0009281E"/>
    <w:rsid w:val="0009418E"/>
    <w:rsid w:val="00094B00"/>
    <w:rsid w:val="000A18C1"/>
    <w:rsid w:val="000A265C"/>
    <w:rsid w:val="000A559D"/>
    <w:rsid w:val="000A699A"/>
    <w:rsid w:val="000A6ABA"/>
    <w:rsid w:val="000B2145"/>
    <w:rsid w:val="000B2F01"/>
    <w:rsid w:val="000B4223"/>
    <w:rsid w:val="000B4B5D"/>
    <w:rsid w:val="000B6DC0"/>
    <w:rsid w:val="000C0739"/>
    <w:rsid w:val="000C338F"/>
    <w:rsid w:val="000D6B27"/>
    <w:rsid w:val="000D7775"/>
    <w:rsid w:val="000E1A90"/>
    <w:rsid w:val="000E256F"/>
    <w:rsid w:val="000E2EE2"/>
    <w:rsid w:val="000E46FE"/>
    <w:rsid w:val="000E703C"/>
    <w:rsid w:val="000F1112"/>
    <w:rsid w:val="000F1A60"/>
    <w:rsid w:val="000F4916"/>
    <w:rsid w:val="000F6470"/>
    <w:rsid w:val="00100DE3"/>
    <w:rsid w:val="00101A06"/>
    <w:rsid w:val="00101C51"/>
    <w:rsid w:val="001020BA"/>
    <w:rsid w:val="00102D33"/>
    <w:rsid w:val="00102F64"/>
    <w:rsid w:val="0010505C"/>
    <w:rsid w:val="0010535E"/>
    <w:rsid w:val="0010546D"/>
    <w:rsid w:val="001055CC"/>
    <w:rsid w:val="00105FF0"/>
    <w:rsid w:val="00107576"/>
    <w:rsid w:val="00107BB1"/>
    <w:rsid w:val="0011250B"/>
    <w:rsid w:val="00112E36"/>
    <w:rsid w:val="00117424"/>
    <w:rsid w:val="001174B8"/>
    <w:rsid w:val="00117ED1"/>
    <w:rsid w:val="00120866"/>
    <w:rsid w:val="0012164C"/>
    <w:rsid w:val="001223C6"/>
    <w:rsid w:val="0012501D"/>
    <w:rsid w:val="001251DA"/>
    <w:rsid w:val="00125714"/>
    <w:rsid w:val="00126D56"/>
    <w:rsid w:val="00130858"/>
    <w:rsid w:val="001316DB"/>
    <w:rsid w:val="00131753"/>
    <w:rsid w:val="00133AEC"/>
    <w:rsid w:val="00133E5B"/>
    <w:rsid w:val="0013465F"/>
    <w:rsid w:val="001357BE"/>
    <w:rsid w:val="00140356"/>
    <w:rsid w:val="001428EE"/>
    <w:rsid w:val="0014571F"/>
    <w:rsid w:val="00147914"/>
    <w:rsid w:val="00147B0C"/>
    <w:rsid w:val="0015019F"/>
    <w:rsid w:val="00151A5D"/>
    <w:rsid w:val="00153CCC"/>
    <w:rsid w:val="0015523A"/>
    <w:rsid w:val="00155DDC"/>
    <w:rsid w:val="001563D4"/>
    <w:rsid w:val="00161437"/>
    <w:rsid w:val="00161914"/>
    <w:rsid w:val="00163273"/>
    <w:rsid w:val="001663F6"/>
    <w:rsid w:val="0016740A"/>
    <w:rsid w:val="00170496"/>
    <w:rsid w:val="00170C6E"/>
    <w:rsid w:val="0017292D"/>
    <w:rsid w:val="00172FDF"/>
    <w:rsid w:val="00173866"/>
    <w:rsid w:val="00174392"/>
    <w:rsid w:val="00174FC5"/>
    <w:rsid w:val="00177662"/>
    <w:rsid w:val="00177E02"/>
    <w:rsid w:val="001850B5"/>
    <w:rsid w:val="0018607B"/>
    <w:rsid w:val="0018663D"/>
    <w:rsid w:val="00187D24"/>
    <w:rsid w:val="00191601"/>
    <w:rsid w:val="001919D2"/>
    <w:rsid w:val="00192287"/>
    <w:rsid w:val="001934C8"/>
    <w:rsid w:val="00195772"/>
    <w:rsid w:val="001960B4"/>
    <w:rsid w:val="0019615D"/>
    <w:rsid w:val="00197469"/>
    <w:rsid w:val="00197AD1"/>
    <w:rsid w:val="001A5E7E"/>
    <w:rsid w:val="001A6EFF"/>
    <w:rsid w:val="001A74C0"/>
    <w:rsid w:val="001B0720"/>
    <w:rsid w:val="001B1E5D"/>
    <w:rsid w:val="001B2791"/>
    <w:rsid w:val="001B3135"/>
    <w:rsid w:val="001B357F"/>
    <w:rsid w:val="001B5C8E"/>
    <w:rsid w:val="001B5C9F"/>
    <w:rsid w:val="001B7DA0"/>
    <w:rsid w:val="001C00ED"/>
    <w:rsid w:val="001C111C"/>
    <w:rsid w:val="001C3CD8"/>
    <w:rsid w:val="001C3F3D"/>
    <w:rsid w:val="001C3F89"/>
    <w:rsid w:val="001C4381"/>
    <w:rsid w:val="001C46BC"/>
    <w:rsid w:val="001C4D70"/>
    <w:rsid w:val="001D1C1B"/>
    <w:rsid w:val="001D2842"/>
    <w:rsid w:val="001D35BF"/>
    <w:rsid w:val="001D7B78"/>
    <w:rsid w:val="001E031A"/>
    <w:rsid w:val="001E0DCC"/>
    <w:rsid w:val="001E0E42"/>
    <w:rsid w:val="001E1212"/>
    <w:rsid w:val="001E1899"/>
    <w:rsid w:val="001E4DF3"/>
    <w:rsid w:val="001E6401"/>
    <w:rsid w:val="001F1137"/>
    <w:rsid w:val="001F269A"/>
    <w:rsid w:val="001F4E27"/>
    <w:rsid w:val="001F689A"/>
    <w:rsid w:val="001F7C48"/>
    <w:rsid w:val="002014E8"/>
    <w:rsid w:val="00202A7F"/>
    <w:rsid w:val="00202BF3"/>
    <w:rsid w:val="00204B20"/>
    <w:rsid w:val="0020633C"/>
    <w:rsid w:val="00206D51"/>
    <w:rsid w:val="002073D0"/>
    <w:rsid w:val="002101BB"/>
    <w:rsid w:val="00211B12"/>
    <w:rsid w:val="002144B5"/>
    <w:rsid w:val="00214DA3"/>
    <w:rsid w:val="00215034"/>
    <w:rsid w:val="00215C50"/>
    <w:rsid w:val="00216156"/>
    <w:rsid w:val="002169EB"/>
    <w:rsid w:val="00220DAB"/>
    <w:rsid w:val="00220FEE"/>
    <w:rsid w:val="00221F46"/>
    <w:rsid w:val="002223A9"/>
    <w:rsid w:val="002230A9"/>
    <w:rsid w:val="00224050"/>
    <w:rsid w:val="00224562"/>
    <w:rsid w:val="0022533E"/>
    <w:rsid w:val="0022733B"/>
    <w:rsid w:val="00231956"/>
    <w:rsid w:val="00234BD0"/>
    <w:rsid w:val="00234CA2"/>
    <w:rsid w:val="002352E0"/>
    <w:rsid w:val="002359CA"/>
    <w:rsid w:val="0023636B"/>
    <w:rsid w:val="0023749D"/>
    <w:rsid w:val="00241AAC"/>
    <w:rsid w:val="00243629"/>
    <w:rsid w:val="00243BD2"/>
    <w:rsid w:val="002456E6"/>
    <w:rsid w:val="002457B3"/>
    <w:rsid w:val="002466A5"/>
    <w:rsid w:val="00247559"/>
    <w:rsid w:val="00247BA3"/>
    <w:rsid w:val="002529ED"/>
    <w:rsid w:val="002533B8"/>
    <w:rsid w:val="00256158"/>
    <w:rsid w:val="002568CF"/>
    <w:rsid w:val="00256BD8"/>
    <w:rsid w:val="002574C7"/>
    <w:rsid w:val="002636E4"/>
    <w:rsid w:val="0026394D"/>
    <w:rsid w:val="002659C5"/>
    <w:rsid w:val="002702EB"/>
    <w:rsid w:val="00270412"/>
    <w:rsid w:val="0027255E"/>
    <w:rsid w:val="002735AB"/>
    <w:rsid w:val="0027648C"/>
    <w:rsid w:val="002773A1"/>
    <w:rsid w:val="00281D2D"/>
    <w:rsid w:val="00282181"/>
    <w:rsid w:val="00283EB0"/>
    <w:rsid w:val="00285FAA"/>
    <w:rsid w:val="00286EC3"/>
    <w:rsid w:val="002903B0"/>
    <w:rsid w:val="002912F4"/>
    <w:rsid w:val="002923EB"/>
    <w:rsid w:val="002945CF"/>
    <w:rsid w:val="0029730C"/>
    <w:rsid w:val="002A24A5"/>
    <w:rsid w:val="002A2684"/>
    <w:rsid w:val="002A30ED"/>
    <w:rsid w:val="002A45FC"/>
    <w:rsid w:val="002A4A52"/>
    <w:rsid w:val="002A5DB0"/>
    <w:rsid w:val="002A6E42"/>
    <w:rsid w:val="002A7B17"/>
    <w:rsid w:val="002B06A4"/>
    <w:rsid w:val="002B0761"/>
    <w:rsid w:val="002B0C02"/>
    <w:rsid w:val="002B2C82"/>
    <w:rsid w:val="002B4BA6"/>
    <w:rsid w:val="002B58B9"/>
    <w:rsid w:val="002B5942"/>
    <w:rsid w:val="002C0C3E"/>
    <w:rsid w:val="002C0ED2"/>
    <w:rsid w:val="002C4236"/>
    <w:rsid w:val="002C53F3"/>
    <w:rsid w:val="002C6CDF"/>
    <w:rsid w:val="002D09EC"/>
    <w:rsid w:val="002D3CFD"/>
    <w:rsid w:val="002D4743"/>
    <w:rsid w:val="002D4C9C"/>
    <w:rsid w:val="002D64B4"/>
    <w:rsid w:val="002E0CCD"/>
    <w:rsid w:val="002E1ED7"/>
    <w:rsid w:val="002E468A"/>
    <w:rsid w:val="002E4ED4"/>
    <w:rsid w:val="002E54E7"/>
    <w:rsid w:val="002E67B5"/>
    <w:rsid w:val="002E6C0F"/>
    <w:rsid w:val="002F14FB"/>
    <w:rsid w:val="002F2227"/>
    <w:rsid w:val="002F4AAC"/>
    <w:rsid w:val="002F5AF7"/>
    <w:rsid w:val="002F6848"/>
    <w:rsid w:val="002F69AC"/>
    <w:rsid w:val="00301B68"/>
    <w:rsid w:val="0030418D"/>
    <w:rsid w:val="00304810"/>
    <w:rsid w:val="00305298"/>
    <w:rsid w:val="00305ABB"/>
    <w:rsid w:val="00310A33"/>
    <w:rsid w:val="00310C84"/>
    <w:rsid w:val="00310EA7"/>
    <w:rsid w:val="00314AB4"/>
    <w:rsid w:val="00316E46"/>
    <w:rsid w:val="00320378"/>
    <w:rsid w:val="0032386A"/>
    <w:rsid w:val="0032471E"/>
    <w:rsid w:val="00324AEB"/>
    <w:rsid w:val="00324C2A"/>
    <w:rsid w:val="00326E83"/>
    <w:rsid w:val="00326F81"/>
    <w:rsid w:val="00327637"/>
    <w:rsid w:val="00330BED"/>
    <w:rsid w:val="00330D50"/>
    <w:rsid w:val="003352DC"/>
    <w:rsid w:val="00336FC8"/>
    <w:rsid w:val="00340F93"/>
    <w:rsid w:val="00342C1F"/>
    <w:rsid w:val="00343569"/>
    <w:rsid w:val="00343C11"/>
    <w:rsid w:val="00345382"/>
    <w:rsid w:val="00346E14"/>
    <w:rsid w:val="003470B5"/>
    <w:rsid w:val="0035076E"/>
    <w:rsid w:val="00350EB8"/>
    <w:rsid w:val="00351AA1"/>
    <w:rsid w:val="00352B53"/>
    <w:rsid w:val="00360911"/>
    <w:rsid w:val="00361EB3"/>
    <w:rsid w:val="0036258F"/>
    <w:rsid w:val="003639DB"/>
    <w:rsid w:val="00364351"/>
    <w:rsid w:val="0036575B"/>
    <w:rsid w:val="00367396"/>
    <w:rsid w:val="003712A1"/>
    <w:rsid w:val="00373168"/>
    <w:rsid w:val="00374B8A"/>
    <w:rsid w:val="003762A0"/>
    <w:rsid w:val="00376475"/>
    <w:rsid w:val="00376F14"/>
    <w:rsid w:val="003812F7"/>
    <w:rsid w:val="00386374"/>
    <w:rsid w:val="003864F1"/>
    <w:rsid w:val="0038712C"/>
    <w:rsid w:val="00391FC1"/>
    <w:rsid w:val="00394B7C"/>
    <w:rsid w:val="00395BF2"/>
    <w:rsid w:val="00395C8B"/>
    <w:rsid w:val="0039711C"/>
    <w:rsid w:val="003978AB"/>
    <w:rsid w:val="003A168C"/>
    <w:rsid w:val="003A1840"/>
    <w:rsid w:val="003A41DD"/>
    <w:rsid w:val="003A719F"/>
    <w:rsid w:val="003A76B6"/>
    <w:rsid w:val="003A7790"/>
    <w:rsid w:val="003B058E"/>
    <w:rsid w:val="003B05DA"/>
    <w:rsid w:val="003B09BC"/>
    <w:rsid w:val="003B10CC"/>
    <w:rsid w:val="003B246A"/>
    <w:rsid w:val="003B50C6"/>
    <w:rsid w:val="003B54CB"/>
    <w:rsid w:val="003B6205"/>
    <w:rsid w:val="003B6527"/>
    <w:rsid w:val="003B78DE"/>
    <w:rsid w:val="003C139B"/>
    <w:rsid w:val="003C1912"/>
    <w:rsid w:val="003C2C09"/>
    <w:rsid w:val="003C384F"/>
    <w:rsid w:val="003C402D"/>
    <w:rsid w:val="003C53BA"/>
    <w:rsid w:val="003C5713"/>
    <w:rsid w:val="003C6623"/>
    <w:rsid w:val="003D2365"/>
    <w:rsid w:val="003D2AD0"/>
    <w:rsid w:val="003D30A8"/>
    <w:rsid w:val="003D56FB"/>
    <w:rsid w:val="003D5708"/>
    <w:rsid w:val="003D75DA"/>
    <w:rsid w:val="003E0477"/>
    <w:rsid w:val="003E1525"/>
    <w:rsid w:val="003F2F95"/>
    <w:rsid w:val="003F3862"/>
    <w:rsid w:val="003F4299"/>
    <w:rsid w:val="003F4F08"/>
    <w:rsid w:val="003F742C"/>
    <w:rsid w:val="004000F3"/>
    <w:rsid w:val="004022D5"/>
    <w:rsid w:val="00402C4C"/>
    <w:rsid w:val="004032BA"/>
    <w:rsid w:val="00405CBF"/>
    <w:rsid w:val="004067A0"/>
    <w:rsid w:val="004103FA"/>
    <w:rsid w:val="00410764"/>
    <w:rsid w:val="00410A1E"/>
    <w:rsid w:val="00410A77"/>
    <w:rsid w:val="00410AF1"/>
    <w:rsid w:val="0041392F"/>
    <w:rsid w:val="00414C08"/>
    <w:rsid w:val="00420285"/>
    <w:rsid w:val="00421708"/>
    <w:rsid w:val="0042704F"/>
    <w:rsid w:val="00430539"/>
    <w:rsid w:val="00430FE9"/>
    <w:rsid w:val="00432A15"/>
    <w:rsid w:val="00432A17"/>
    <w:rsid w:val="004341ED"/>
    <w:rsid w:val="00434262"/>
    <w:rsid w:val="00434371"/>
    <w:rsid w:val="00434D39"/>
    <w:rsid w:val="0044480E"/>
    <w:rsid w:val="00444F74"/>
    <w:rsid w:val="00447713"/>
    <w:rsid w:val="00450B14"/>
    <w:rsid w:val="00451A5D"/>
    <w:rsid w:val="00453BE1"/>
    <w:rsid w:val="00455253"/>
    <w:rsid w:val="00456CCC"/>
    <w:rsid w:val="004576F4"/>
    <w:rsid w:val="00463E18"/>
    <w:rsid w:val="00464703"/>
    <w:rsid w:val="004657E5"/>
    <w:rsid w:val="00466392"/>
    <w:rsid w:val="00467BF1"/>
    <w:rsid w:val="00470BD4"/>
    <w:rsid w:val="00473D0A"/>
    <w:rsid w:val="0047558E"/>
    <w:rsid w:val="00481F20"/>
    <w:rsid w:val="004827E6"/>
    <w:rsid w:val="00484390"/>
    <w:rsid w:val="004845D8"/>
    <w:rsid w:val="0048653A"/>
    <w:rsid w:val="00486C8D"/>
    <w:rsid w:val="00492274"/>
    <w:rsid w:val="00494082"/>
    <w:rsid w:val="00495B0E"/>
    <w:rsid w:val="00496365"/>
    <w:rsid w:val="004969F7"/>
    <w:rsid w:val="00496A1D"/>
    <w:rsid w:val="00497605"/>
    <w:rsid w:val="004978D6"/>
    <w:rsid w:val="00497C3B"/>
    <w:rsid w:val="004A1267"/>
    <w:rsid w:val="004A3567"/>
    <w:rsid w:val="004A5EC4"/>
    <w:rsid w:val="004A6934"/>
    <w:rsid w:val="004A7FFD"/>
    <w:rsid w:val="004B06B1"/>
    <w:rsid w:val="004B1526"/>
    <w:rsid w:val="004B1958"/>
    <w:rsid w:val="004B3B05"/>
    <w:rsid w:val="004B70E5"/>
    <w:rsid w:val="004B7418"/>
    <w:rsid w:val="004C00C9"/>
    <w:rsid w:val="004C08CB"/>
    <w:rsid w:val="004C17F1"/>
    <w:rsid w:val="004C1DD7"/>
    <w:rsid w:val="004C1DDF"/>
    <w:rsid w:val="004C32B5"/>
    <w:rsid w:val="004C4847"/>
    <w:rsid w:val="004C4DD8"/>
    <w:rsid w:val="004C505B"/>
    <w:rsid w:val="004C6CE4"/>
    <w:rsid w:val="004C74EC"/>
    <w:rsid w:val="004D6F45"/>
    <w:rsid w:val="004D79BE"/>
    <w:rsid w:val="004E074E"/>
    <w:rsid w:val="004E1970"/>
    <w:rsid w:val="004E35D1"/>
    <w:rsid w:val="004F1EED"/>
    <w:rsid w:val="004F345C"/>
    <w:rsid w:val="004F38C3"/>
    <w:rsid w:val="004F48E5"/>
    <w:rsid w:val="004F72DD"/>
    <w:rsid w:val="00501794"/>
    <w:rsid w:val="00504C17"/>
    <w:rsid w:val="00507122"/>
    <w:rsid w:val="00507774"/>
    <w:rsid w:val="00507C03"/>
    <w:rsid w:val="00510B11"/>
    <w:rsid w:val="00513991"/>
    <w:rsid w:val="00513EBE"/>
    <w:rsid w:val="00515DCE"/>
    <w:rsid w:val="00516570"/>
    <w:rsid w:val="0051769C"/>
    <w:rsid w:val="005200ED"/>
    <w:rsid w:val="0052511E"/>
    <w:rsid w:val="005263CF"/>
    <w:rsid w:val="005263FA"/>
    <w:rsid w:val="00526993"/>
    <w:rsid w:val="00530D3F"/>
    <w:rsid w:val="00531397"/>
    <w:rsid w:val="005333D7"/>
    <w:rsid w:val="00534029"/>
    <w:rsid w:val="00536CF2"/>
    <w:rsid w:val="0054154D"/>
    <w:rsid w:val="00541C70"/>
    <w:rsid w:val="00541ECD"/>
    <w:rsid w:val="00543643"/>
    <w:rsid w:val="00544AB9"/>
    <w:rsid w:val="00545351"/>
    <w:rsid w:val="00545F05"/>
    <w:rsid w:val="005460DA"/>
    <w:rsid w:val="00546910"/>
    <w:rsid w:val="00552441"/>
    <w:rsid w:val="00552FBA"/>
    <w:rsid w:val="005532EA"/>
    <w:rsid w:val="005539DC"/>
    <w:rsid w:val="00553DA5"/>
    <w:rsid w:val="005543A0"/>
    <w:rsid w:val="00554C86"/>
    <w:rsid w:val="005565F0"/>
    <w:rsid w:val="00557A00"/>
    <w:rsid w:val="0056360C"/>
    <w:rsid w:val="005641CC"/>
    <w:rsid w:val="005651C6"/>
    <w:rsid w:val="005652B6"/>
    <w:rsid w:val="00565442"/>
    <w:rsid w:val="005654AC"/>
    <w:rsid w:val="00565FA2"/>
    <w:rsid w:val="0056665C"/>
    <w:rsid w:val="005667A2"/>
    <w:rsid w:val="00570CEE"/>
    <w:rsid w:val="00574905"/>
    <w:rsid w:val="00575CE1"/>
    <w:rsid w:val="00577B4E"/>
    <w:rsid w:val="0058036E"/>
    <w:rsid w:val="00580C26"/>
    <w:rsid w:val="0058341F"/>
    <w:rsid w:val="00584471"/>
    <w:rsid w:val="00584615"/>
    <w:rsid w:val="00585272"/>
    <w:rsid w:val="005856A2"/>
    <w:rsid w:val="00586129"/>
    <w:rsid w:val="00586627"/>
    <w:rsid w:val="005871E1"/>
    <w:rsid w:val="00590044"/>
    <w:rsid w:val="0059045A"/>
    <w:rsid w:val="00594C73"/>
    <w:rsid w:val="00595294"/>
    <w:rsid w:val="005958F5"/>
    <w:rsid w:val="00596D1C"/>
    <w:rsid w:val="00597BA1"/>
    <w:rsid w:val="005A0EDD"/>
    <w:rsid w:val="005A11C4"/>
    <w:rsid w:val="005A2138"/>
    <w:rsid w:val="005A3B07"/>
    <w:rsid w:val="005A43EF"/>
    <w:rsid w:val="005A53D9"/>
    <w:rsid w:val="005A776E"/>
    <w:rsid w:val="005B046E"/>
    <w:rsid w:val="005B1B71"/>
    <w:rsid w:val="005B2539"/>
    <w:rsid w:val="005B2810"/>
    <w:rsid w:val="005B3B49"/>
    <w:rsid w:val="005B7922"/>
    <w:rsid w:val="005B7D06"/>
    <w:rsid w:val="005C025F"/>
    <w:rsid w:val="005C15DD"/>
    <w:rsid w:val="005C3CEF"/>
    <w:rsid w:val="005C5315"/>
    <w:rsid w:val="005C6517"/>
    <w:rsid w:val="005C667D"/>
    <w:rsid w:val="005C6B08"/>
    <w:rsid w:val="005D08EB"/>
    <w:rsid w:val="005D1272"/>
    <w:rsid w:val="005D187A"/>
    <w:rsid w:val="005D34DA"/>
    <w:rsid w:val="005D3576"/>
    <w:rsid w:val="005D42EA"/>
    <w:rsid w:val="005D4CD7"/>
    <w:rsid w:val="005D680C"/>
    <w:rsid w:val="005E1307"/>
    <w:rsid w:val="005E13E7"/>
    <w:rsid w:val="005E2104"/>
    <w:rsid w:val="005E5774"/>
    <w:rsid w:val="005E645D"/>
    <w:rsid w:val="005E765A"/>
    <w:rsid w:val="005F0DEA"/>
    <w:rsid w:val="005F1CFC"/>
    <w:rsid w:val="005F3BE7"/>
    <w:rsid w:val="005F4595"/>
    <w:rsid w:val="005F5709"/>
    <w:rsid w:val="005F595D"/>
    <w:rsid w:val="005F5E10"/>
    <w:rsid w:val="005F7CC7"/>
    <w:rsid w:val="00602649"/>
    <w:rsid w:val="00603049"/>
    <w:rsid w:val="006032D4"/>
    <w:rsid w:val="00603BC5"/>
    <w:rsid w:val="00604432"/>
    <w:rsid w:val="00605834"/>
    <w:rsid w:val="00606B2A"/>
    <w:rsid w:val="006078CA"/>
    <w:rsid w:val="00610EB1"/>
    <w:rsid w:val="00616B2B"/>
    <w:rsid w:val="00617A8F"/>
    <w:rsid w:val="00620889"/>
    <w:rsid w:val="00620B12"/>
    <w:rsid w:val="00623A1D"/>
    <w:rsid w:val="00623F7B"/>
    <w:rsid w:val="00624B7F"/>
    <w:rsid w:val="006264E9"/>
    <w:rsid w:val="00626E39"/>
    <w:rsid w:val="00627B36"/>
    <w:rsid w:val="00627BEB"/>
    <w:rsid w:val="006307F5"/>
    <w:rsid w:val="00630C57"/>
    <w:rsid w:val="00630E2F"/>
    <w:rsid w:val="0063144E"/>
    <w:rsid w:val="00631DEF"/>
    <w:rsid w:val="00631FF0"/>
    <w:rsid w:val="00633721"/>
    <w:rsid w:val="00633F95"/>
    <w:rsid w:val="00636A00"/>
    <w:rsid w:val="006375E5"/>
    <w:rsid w:val="006378EF"/>
    <w:rsid w:val="006415EA"/>
    <w:rsid w:val="006419FB"/>
    <w:rsid w:val="00641A3A"/>
    <w:rsid w:val="0064638E"/>
    <w:rsid w:val="00646D19"/>
    <w:rsid w:val="00651784"/>
    <w:rsid w:val="006519DA"/>
    <w:rsid w:val="00651E2E"/>
    <w:rsid w:val="00653F70"/>
    <w:rsid w:val="006558E1"/>
    <w:rsid w:val="00656864"/>
    <w:rsid w:val="0065759D"/>
    <w:rsid w:val="00660495"/>
    <w:rsid w:val="0066168F"/>
    <w:rsid w:val="006624FB"/>
    <w:rsid w:val="00662A75"/>
    <w:rsid w:val="00664815"/>
    <w:rsid w:val="00664BC4"/>
    <w:rsid w:val="00665A95"/>
    <w:rsid w:val="006662DC"/>
    <w:rsid w:val="006673C0"/>
    <w:rsid w:val="00667EE8"/>
    <w:rsid w:val="00670EC9"/>
    <w:rsid w:val="00671C6B"/>
    <w:rsid w:val="00672609"/>
    <w:rsid w:val="00672D10"/>
    <w:rsid w:val="00672D57"/>
    <w:rsid w:val="00674C75"/>
    <w:rsid w:val="00675345"/>
    <w:rsid w:val="00676087"/>
    <w:rsid w:val="00682266"/>
    <w:rsid w:val="00682300"/>
    <w:rsid w:val="006834A6"/>
    <w:rsid w:val="0068518C"/>
    <w:rsid w:val="00685F7D"/>
    <w:rsid w:val="00686A4F"/>
    <w:rsid w:val="00693CF4"/>
    <w:rsid w:val="00695439"/>
    <w:rsid w:val="00695C53"/>
    <w:rsid w:val="00695E1E"/>
    <w:rsid w:val="006A025C"/>
    <w:rsid w:val="006A16EB"/>
    <w:rsid w:val="006A2C3C"/>
    <w:rsid w:val="006A35F4"/>
    <w:rsid w:val="006A3E61"/>
    <w:rsid w:val="006A623A"/>
    <w:rsid w:val="006A748B"/>
    <w:rsid w:val="006A763D"/>
    <w:rsid w:val="006B15A8"/>
    <w:rsid w:val="006B24D4"/>
    <w:rsid w:val="006B503A"/>
    <w:rsid w:val="006B524B"/>
    <w:rsid w:val="006B564E"/>
    <w:rsid w:val="006C1034"/>
    <w:rsid w:val="006C17ED"/>
    <w:rsid w:val="006C2603"/>
    <w:rsid w:val="006C670F"/>
    <w:rsid w:val="006D3241"/>
    <w:rsid w:val="006D41DE"/>
    <w:rsid w:val="006D48D1"/>
    <w:rsid w:val="006D4F69"/>
    <w:rsid w:val="006D6809"/>
    <w:rsid w:val="006D73A0"/>
    <w:rsid w:val="006E2B25"/>
    <w:rsid w:val="006E6387"/>
    <w:rsid w:val="006E66B2"/>
    <w:rsid w:val="006E6EFD"/>
    <w:rsid w:val="006E7342"/>
    <w:rsid w:val="006F15C1"/>
    <w:rsid w:val="006F2A37"/>
    <w:rsid w:val="006F4402"/>
    <w:rsid w:val="006F6AF1"/>
    <w:rsid w:val="00700177"/>
    <w:rsid w:val="00702384"/>
    <w:rsid w:val="0070417E"/>
    <w:rsid w:val="007045C4"/>
    <w:rsid w:val="00707486"/>
    <w:rsid w:val="00707B28"/>
    <w:rsid w:val="00707C1B"/>
    <w:rsid w:val="007103C7"/>
    <w:rsid w:val="00713E31"/>
    <w:rsid w:val="00715D16"/>
    <w:rsid w:val="007165C2"/>
    <w:rsid w:val="007165EB"/>
    <w:rsid w:val="00720925"/>
    <w:rsid w:val="00724713"/>
    <w:rsid w:val="00727C42"/>
    <w:rsid w:val="00727E2F"/>
    <w:rsid w:val="00730800"/>
    <w:rsid w:val="007327F2"/>
    <w:rsid w:val="00734A1D"/>
    <w:rsid w:val="00734F25"/>
    <w:rsid w:val="00736950"/>
    <w:rsid w:val="00741483"/>
    <w:rsid w:val="0074273A"/>
    <w:rsid w:val="00745CD3"/>
    <w:rsid w:val="00745D78"/>
    <w:rsid w:val="00750715"/>
    <w:rsid w:val="00750A48"/>
    <w:rsid w:val="00752359"/>
    <w:rsid w:val="00752529"/>
    <w:rsid w:val="00753226"/>
    <w:rsid w:val="00753584"/>
    <w:rsid w:val="007536F3"/>
    <w:rsid w:val="00753D2F"/>
    <w:rsid w:val="0075530C"/>
    <w:rsid w:val="00757823"/>
    <w:rsid w:val="007613FC"/>
    <w:rsid w:val="007654F7"/>
    <w:rsid w:val="00765F21"/>
    <w:rsid w:val="0076694D"/>
    <w:rsid w:val="00766B7A"/>
    <w:rsid w:val="00766E0B"/>
    <w:rsid w:val="007670D7"/>
    <w:rsid w:val="00767454"/>
    <w:rsid w:val="00767DAD"/>
    <w:rsid w:val="00772D3F"/>
    <w:rsid w:val="00773BA6"/>
    <w:rsid w:val="00775CBE"/>
    <w:rsid w:val="00776212"/>
    <w:rsid w:val="0078030A"/>
    <w:rsid w:val="00780FC8"/>
    <w:rsid w:val="00781345"/>
    <w:rsid w:val="00781D9B"/>
    <w:rsid w:val="00782086"/>
    <w:rsid w:val="007837A3"/>
    <w:rsid w:val="00783A01"/>
    <w:rsid w:val="00785148"/>
    <w:rsid w:val="007855BD"/>
    <w:rsid w:val="00786D4B"/>
    <w:rsid w:val="00787156"/>
    <w:rsid w:val="00790681"/>
    <w:rsid w:val="00790D5D"/>
    <w:rsid w:val="00793C93"/>
    <w:rsid w:val="00794474"/>
    <w:rsid w:val="00795710"/>
    <w:rsid w:val="00796BDA"/>
    <w:rsid w:val="007A191E"/>
    <w:rsid w:val="007A268E"/>
    <w:rsid w:val="007A326E"/>
    <w:rsid w:val="007A35BA"/>
    <w:rsid w:val="007A3D7F"/>
    <w:rsid w:val="007A73AB"/>
    <w:rsid w:val="007A7FF4"/>
    <w:rsid w:val="007B043C"/>
    <w:rsid w:val="007B16F4"/>
    <w:rsid w:val="007B1705"/>
    <w:rsid w:val="007B1A21"/>
    <w:rsid w:val="007B317A"/>
    <w:rsid w:val="007C0013"/>
    <w:rsid w:val="007C2FCA"/>
    <w:rsid w:val="007C33BF"/>
    <w:rsid w:val="007C3695"/>
    <w:rsid w:val="007C769A"/>
    <w:rsid w:val="007D0C22"/>
    <w:rsid w:val="007D38CD"/>
    <w:rsid w:val="007D397C"/>
    <w:rsid w:val="007D4CAA"/>
    <w:rsid w:val="007D504E"/>
    <w:rsid w:val="007D7DC7"/>
    <w:rsid w:val="007E01A1"/>
    <w:rsid w:val="007E0AF4"/>
    <w:rsid w:val="007E11BD"/>
    <w:rsid w:val="007E17B2"/>
    <w:rsid w:val="007E3228"/>
    <w:rsid w:val="007E4623"/>
    <w:rsid w:val="007E598D"/>
    <w:rsid w:val="007E5E77"/>
    <w:rsid w:val="007E6B55"/>
    <w:rsid w:val="007E70AD"/>
    <w:rsid w:val="007E7E53"/>
    <w:rsid w:val="007E7F1D"/>
    <w:rsid w:val="007F020D"/>
    <w:rsid w:val="007F26BF"/>
    <w:rsid w:val="007F2E06"/>
    <w:rsid w:val="007F338E"/>
    <w:rsid w:val="007F784D"/>
    <w:rsid w:val="008007D3"/>
    <w:rsid w:val="00800864"/>
    <w:rsid w:val="00800AB7"/>
    <w:rsid w:val="00802757"/>
    <w:rsid w:val="00803DBD"/>
    <w:rsid w:val="00804D70"/>
    <w:rsid w:val="008052DD"/>
    <w:rsid w:val="00805899"/>
    <w:rsid w:val="00805B73"/>
    <w:rsid w:val="008060E2"/>
    <w:rsid w:val="008073F2"/>
    <w:rsid w:val="00812A07"/>
    <w:rsid w:val="00812A62"/>
    <w:rsid w:val="00812C6B"/>
    <w:rsid w:val="00814FB3"/>
    <w:rsid w:val="0081587C"/>
    <w:rsid w:val="0082251F"/>
    <w:rsid w:val="008241D8"/>
    <w:rsid w:val="0082524D"/>
    <w:rsid w:val="00825AE6"/>
    <w:rsid w:val="00826630"/>
    <w:rsid w:val="00826F1E"/>
    <w:rsid w:val="00826F6A"/>
    <w:rsid w:val="00827ACF"/>
    <w:rsid w:val="00827F28"/>
    <w:rsid w:val="0083041D"/>
    <w:rsid w:val="00831234"/>
    <w:rsid w:val="00831BC0"/>
    <w:rsid w:val="00842B46"/>
    <w:rsid w:val="0084574A"/>
    <w:rsid w:val="008476BE"/>
    <w:rsid w:val="00847F7F"/>
    <w:rsid w:val="00850B8A"/>
    <w:rsid w:val="00851A80"/>
    <w:rsid w:val="00852AD0"/>
    <w:rsid w:val="00852BCB"/>
    <w:rsid w:val="008547D6"/>
    <w:rsid w:val="0085488E"/>
    <w:rsid w:val="008558F5"/>
    <w:rsid w:val="00856285"/>
    <w:rsid w:val="00862709"/>
    <w:rsid w:val="00863DF4"/>
    <w:rsid w:val="00867B9C"/>
    <w:rsid w:val="00867C81"/>
    <w:rsid w:val="00872ED4"/>
    <w:rsid w:val="008734CE"/>
    <w:rsid w:val="00873539"/>
    <w:rsid w:val="00873E75"/>
    <w:rsid w:val="008757D4"/>
    <w:rsid w:val="0087748E"/>
    <w:rsid w:val="008774CD"/>
    <w:rsid w:val="00883462"/>
    <w:rsid w:val="00883564"/>
    <w:rsid w:val="00885A38"/>
    <w:rsid w:val="00885E88"/>
    <w:rsid w:val="008900B9"/>
    <w:rsid w:val="00891085"/>
    <w:rsid w:val="00891B8A"/>
    <w:rsid w:val="008920A9"/>
    <w:rsid w:val="008A359B"/>
    <w:rsid w:val="008A35E5"/>
    <w:rsid w:val="008A4057"/>
    <w:rsid w:val="008A5193"/>
    <w:rsid w:val="008A5A6A"/>
    <w:rsid w:val="008A6405"/>
    <w:rsid w:val="008A7417"/>
    <w:rsid w:val="008B50AD"/>
    <w:rsid w:val="008B6176"/>
    <w:rsid w:val="008B6DE7"/>
    <w:rsid w:val="008C02D0"/>
    <w:rsid w:val="008C0932"/>
    <w:rsid w:val="008C248F"/>
    <w:rsid w:val="008C2B10"/>
    <w:rsid w:val="008C3356"/>
    <w:rsid w:val="008C5465"/>
    <w:rsid w:val="008C64B4"/>
    <w:rsid w:val="008C6B6F"/>
    <w:rsid w:val="008D0387"/>
    <w:rsid w:val="008D2C76"/>
    <w:rsid w:val="008D2E29"/>
    <w:rsid w:val="008D6832"/>
    <w:rsid w:val="008D6CBE"/>
    <w:rsid w:val="008D7502"/>
    <w:rsid w:val="008D75EE"/>
    <w:rsid w:val="008E0881"/>
    <w:rsid w:val="008E0BE4"/>
    <w:rsid w:val="008E13A7"/>
    <w:rsid w:val="008E360B"/>
    <w:rsid w:val="008E4BAD"/>
    <w:rsid w:val="008E511D"/>
    <w:rsid w:val="008E5F06"/>
    <w:rsid w:val="008E6BF2"/>
    <w:rsid w:val="008F2FF8"/>
    <w:rsid w:val="008F3105"/>
    <w:rsid w:val="008F46DE"/>
    <w:rsid w:val="008F474A"/>
    <w:rsid w:val="008F4F09"/>
    <w:rsid w:val="008F5249"/>
    <w:rsid w:val="008F72D2"/>
    <w:rsid w:val="0090640A"/>
    <w:rsid w:val="00910556"/>
    <w:rsid w:val="0091081F"/>
    <w:rsid w:val="00910EFD"/>
    <w:rsid w:val="009123F0"/>
    <w:rsid w:val="0091299D"/>
    <w:rsid w:val="00913665"/>
    <w:rsid w:val="00913962"/>
    <w:rsid w:val="00913C00"/>
    <w:rsid w:val="00914679"/>
    <w:rsid w:val="009165D6"/>
    <w:rsid w:val="00916A13"/>
    <w:rsid w:val="009173AF"/>
    <w:rsid w:val="00917D2A"/>
    <w:rsid w:val="00926772"/>
    <w:rsid w:val="00926D22"/>
    <w:rsid w:val="0093017F"/>
    <w:rsid w:val="009336C1"/>
    <w:rsid w:val="00933B1C"/>
    <w:rsid w:val="009371C8"/>
    <w:rsid w:val="0093736D"/>
    <w:rsid w:val="00940447"/>
    <w:rsid w:val="00940F2F"/>
    <w:rsid w:val="009411B0"/>
    <w:rsid w:val="009423F6"/>
    <w:rsid w:val="00943858"/>
    <w:rsid w:val="0094519E"/>
    <w:rsid w:val="009463F5"/>
    <w:rsid w:val="00947D5F"/>
    <w:rsid w:val="00952A3B"/>
    <w:rsid w:val="0095333B"/>
    <w:rsid w:val="0095460D"/>
    <w:rsid w:val="00956566"/>
    <w:rsid w:val="0095785F"/>
    <w:rsid w:val="00957FB6"/>
    <w:rsid w:val="00960AF4"/>
    <w:rsid w:val="00961F5A"/>
    <w:rsid w:val="00962275"/>
    <w:rsid w:val="00963D96"/>
    <w:rsid w:val="0096414B"/>
    <w:rsid w:val="00964B6A"/>
    <w:rsid w:val="009652DC"/>
    <w:rsid w:val="00965722"/>
    <w:rsid w:val="00965E44"/>
    <w:rsid w:val="009669B6"/>
    <w:rsid w:val="00966EFF"/>
    <w:rsid w:val="00967A7D"/>
    <w:rsid w:val="00970C5F"/>
    <w:rsid w:val="009720BB"/>
    <w:rsid w:val="009722E1"/>
    <w:rsid w:val="00972E70"/>
    <w:rsid w:val="00974D0D"/>
    <w:rsid w:val="00975A01"/>
    <w:rsid w:val="00976132"/>
    <w:rsid w:val="00976D17"/>
    <w:rsid w:val="00977897"/>
    <w:rsid w:val="00981B56"/>
    <w:rsid w:val="0098294E"/>
    <w:rsid w:val="00982A31"/>
    <w:rsid w:val="00982C4A"/>
    <w:rsid w:val="00986753"/>
    <w:rsid w:val="0098690C"/>
    <w:rsid w:val="00986F22"/>
    <w:rsid w:val="00992232"/>
    <w:rsid w:val="00994A27"/>
    <w:rsid w:val="00994D29"/>
    <w:rsid w:val="00995256"/>
    <w:rsid w:val="00997442"/>
    <w:rsid w:val="00997847"/>
    <w:rsid w:val="009A01AC"/>
    <w:rsid w:val="009A11BF"/>
    <w:rsid w:val="009A47D3"/>
    <w:rsid w:val="009A4A27"/>
    <w:rsid w:val="009A5EDA"/>
    <w:rsid w:val="009B145E"/>
    <w:rsid w:val="009B4BE5"/>
    <w:rsid w:val="009B7432"/>
    <w:rsid w:val="009C0278"/>
    <w:rsid w:val="009C0891"/>
    <w:rsid w:val="009C0E54"/>
    <w:rsid w:val="009C2AA7"/>
    <w:rsid w:val="009C4157"/>
    <w:rsid w:val="009C455D"/>
    <w:rsid w:val="009C49C2"/>
    <w:rsid w:val="009C7509"/>
    <w:rsid w:val="009D0BEB"/>
    <w:rsid w:val="009D6BE2"/>
    <w:rsid w:val="009E004D"/>
    <w:rsid w:val="009E45EF"/>
    <w:rsid w:val="009E64C6"/>
    <w:rsid w:val="009F3BA2"/>
    <w:rsid w:val="009F4054"/>
    <w:rsid w:val="009F4DCD"/>
    <w:rsid w:val="009F501F"/>
    <w:rsid w:val="009F5FF8"/>
    <w:rsid w:val="009F6DE5"/>
    <w:rsid w:val="009F79C6"/>
    <w:rsid w:val="00A0060F"/>
    <w:rsid w:val="00A01823"/>
    <w:rsid w:val="00A03875"/>
    <w:rsid w:val="00A03ACD"/>
    <w:rsid w:val="00A04760"/>
    <w:rsid w:val="00A05404"/>
    <w:rsid w:val="00A05F6B"/>
    <w:rsid w:val="00A07257"/>
    <w:rsid w:val="00A10537"/>
    <w:rsid w:val="00A10D33"/>
    <w:rsid w:val="00A11453"/>
    <w:rsid w:val="00A12DF3"/>
    <w:rsid w:val="00A12E59"/>
    <w:rsid w:val="00A14D60"/>
    <w:rsid w:val="00A16085"/>
    <w:rsid w:val="00A214EC"/>
    <w:rsid w:val="00A2277F"/>
    <w:rsid w:val="00A2568E"/>
    <w:rsid w:val="00A277F7"/>
    <w:rsid w:val="00A27A94"/>
    <w:rsid w:val="00A27E36"/>
    <w:rsid w:val="00A302AA"/>
    <w:rsid w:val="00A3206E"/>
    <w:rsid w:val="00A323FF"/>
    <w:rsid w:val="00A36314"/>
    <w:rsid w:val="00A36DD7"/>
    <w:rsid w:val="00A37089"/>
    <w:rsid w:val="00A3757E"/>
    <w:rsid w:val="00A37849"/>
    <w:rsid w:val="00A40296"/>
    <w:rsid w:val="00A42DB3"/>
    <w:rsid w:val="00A475E8"/>
    <w:rsid w:val="00A479E5"/>
    <w:rsid w:val="00A521CC"/>
    <w:rsid w:val="00A541E3"/>
    <w:rsid w:val="00A56EA8"/>
    <w:rsid w:val="00A6257E"/>
    <w:rsid w:val="00A62B08"/>
    <w:rsid w:val="00A6397A"/>
    <w:rsid w:val="00A63D77"/>
    <w:rsid w:val="00A641BE"/>
    <w:rsid w:val="00A66EDC"/>
    <w:rsid w:val="00A726A6"/>
    <w:rsid w:val="00A72709"/>
    <w:rsid w:val="00A740D1"/>
    <w:rsid w:val="00A75D64"/>
    <w:rsid w:val="00A75E93"/>
    <w:rsid w:val="00A77C04"/>
    <w:rsid w:val="00A77C49"/>
    <w:rsid w:val="00A8108A"/>
    <w:rsid w:val="00A823C2"/>
    <w:rsid w:val="00A845F7"/>
    <w:rsid w:val="00A870FE"/>
    <w:rsid w:val="00A911D2"/>
    <w:rsid w:val="00A91E39"/>
    <w:rsid w:val="00A93EA8"/>
    <w:rsid w:val="00A940FD"/>
    <w:rsid w:val="00A943E3"/>
    <w:rsid w:val="00AA120D"/>
    <w:rsid w:val="00AA1985"/>
    <w:rsid w:val="00AA1A7F"/>
    <w:rsid w:val="00AA2E74"/>
    <w:rsid w:val="00AA46DB"/>
    <w:rsid w:val="00AA5207"/>
    <w:rsid w:val="00AA61AE"/>
    <w:rsid w:val="00AA7506"/>
    <w:rsid w:val="00AA7D79"/>
    <w:rsid w:val="00AB27BE"/>
    <w:rsid w:val="00AB48DD"/>
    <w:rsid w:val="00AB547E"/>
    <w:rsid w:val="00AB7871"/>
    <w:rsid w:val="00AC0AD4"/>
    <w:rsid w:val="00AC13FF"/>
    <w:rsid w:val="00AC3344"/>
    <w:rsid w:val="00AC3732"/>
    <w:rsid w:val="00AC3DCB"/>
    <w:rsid w:val="00AC554E"/>
    <w:rsid w:val="00AC56A9"/>
    <w:rsid w:val="00AD14BD"/>
    <w:rsid w:val="00AD1693"/>
    <w:rsid w:val="00AD223F"/>
    <w:rsid w:val="00AD2E48"/>
    <w:rsid w:val="00AD795A"/>
    <w:rsid w:val="00AE18A9"/>
    <w:rsid w:val="00AE1CB2"/>
    <w:rsid w:val="00AE1CDC"/>
    <w:rsid w:val="00AE378A"/>
    <w:rsid w:val="00AE3E25"/>
    <w:rsid w:val="00AE4115"/>
    <w:rsid w:val="00AE56C7"/>
    <w:rsid w:val="00AE6BE6"/>
    <w:rsid w:val="00AE7531"/>
    <w:rsid w:val="00AE768F"/>
    <w:rsid w:val="00AF26CE"/>
    <w:rsid w:val="00AF3070"/>
    <w:rsid w:val="00AF3ADB"/>
    <w:rsid w:val="00AF3EBA"/>
    <w:rsid w:val="00AF6C7F"/>
    <w:rsid w:val="00AF7A48"/>
    <w:rsid w:val="00B011E0"/>
    <w:rsid w:val="00B01456"/>
    <w:rsid w:val="00B01BCA"/>
    <w:rsid w:val="00B01C46"/>
    <w:rsid w:val="00B0332B"/>
    <w:rsid w:val="00B038BD"/>
    <w:rsid w:val="00B04D29"/>
    <w:rsid w:val="00B05A34"/>
    <w:rsid w:val="00B0731F"/>
    <w:rsid w:val="00B112B7"/>
    <w:rsid w:val="00B13058"/>
    <w:rsid w:val="00B137C8"/>
    <w:rsid w:val="00B145D1"/>
    <w:rsid w:val="00B15251"/>
    <w:rsid w:val="00B177CC"/>
    <w:rsid w:val="00B17C6E"/>
    <w:rsid w:val="00B20E46"/>
    <w:rsid w:val="00B231A5"/>
    <w:rsid w:val="00B23218"/>
    <w:rsid w:val="00B233F1"/>
    <w:rsid w:val="00B2455D"/>
    <w:rsid w:val="00B2694E"/>
    <w:rsid w:val="00B2706C"/>
    <w:rsid w:val="00B27899"/>
    <w:rsid w:val="00B30573"/>
    <w:rsid w:val="00B3088B"/>
    <w:rsid w:val="00B31002"/>
    <w:rsid w:val="00B316BB"/>
    <w:rsid w:val="00B32B78"/>
    <w:rsid w:val="00B3571A"/>
    <w:rsid w:val="00B35D10"/>
    <w:rsid w:val="00B3608E"/>
    <w:rsid w:val="00B36BC4"/>
    <w:rsid w:val="00B37856"/>
    <w:rsid w:val="00B44321"/>
    <w:rsid w:val="00B45B42"/>
    <w:rsid w:val="00B47C28"/>
    <w:rsid w:val="00B5017F"/>
    <w:rsid w:val="00B502F5"/>
    <w:rsid w:val="00B5086F"/>
    <w:rsid w:val="00B52236"/>
    <w:rsid w:val="00B527A5"/>
    <w:rsid w:val="00B5354D"/>
    <w:rsid w:val="00B5419A"/>
    <w:rsid w:val="00B54E5F"/>
    <w:rsid w:val="00B54F5A"/>
    <w:rsid w:val="00B55D72"/>
    <w:rsid w:val="00B571DF"/>
    <w:rsid w:val="00B57E63"/>
    <w:rsid w:val="00B57EC6"/>
    <w:rsid w:val="00B636D4"/>
    <w:rsid w:val="00B65CD1"/>
    <w:rsid w:val="00B716A4"/>
    <w:rsid w:val="00B71F68"/>
    <w:rsid w:val="00B7336C"/>
    <w:rsid w:val="00B73B81"/>
    <w:rsid w:val="00B757F6"/>
    <w:rsid w:val="00B75A1F"/>
    <w:rsid w:val="00B76F43"/>
    <w:rsid w:val="00B7730E"/>
    <w:rsid w:val="00B77B45"/>
    <w:rsid w:val="00B80AFC"/>
    <w:rsid w:val="00B80F41"/>
    <w:rsid w:val="00B82FC7"/>
    <w:rsid w:val="00B83AD3"/>
    <w:rsid w:val="00B85195"/>
    <w:rsid w:val="00B86BC5"/>
    <w:rsid w:val="00B91D43"/>
    <w:rsid w:val="00B9284D"/>
    <w:rsid w:val="00B939AD"/>
    <w:rsid w:val="00B9400B"/>
    <w:rsid w:val="00B94BA9"/>
    <w:rsid w:val="00BA2077"/>
    <w:rsid w:val="00BA299B"/>
    <w:rsid w:val="00BA3776"/>
    <w:rsid w:val="00BA3C3D"/>
    <w:rsid w:val="00BA4525"/>
    <w:rsid w:val="00BA475B"/>
    <w:rsid w:val="00BA7FF9"/>
    <w:rsid w:val="00BB008D"/>
    <w:rsid w:val="00BB3324"/>
    <w:rsid w:val="00BB339C"/>
    <w:rsid w:val="00BB4D9C"/>
    <w:rsid w:val="00BB66D7"/>
    <w:rsid w:val="00BC2429"/>
    <w:rsid w:val="00BC2CF3"/>
    <w:rsid w:val="00BC2D3B"/>
    <w:rsid w:val="00BC3571"/>
    <w:rsid w:val="00BC377D"/>
    <w:rsid w:val="00BC3CB2"/>
    <w:rsid w:val="00BD03DA"/>
    <w:rsid w:val="00BD286D"/>
    <w:rsid w:val="00BD2B60"/>
    <w:rsid w:val="00BD5E5E"/>
    <w:rsid w:val="00BD6407"/>
    <w:rsid w:val="00BE0094"/>
    <w:rsid w:val="00BE1643"/>
    <w:rsid w:val="00BE2DA9"/>
    <w:rsid w:val="00BE5228"/>
    <w:rsid w:val="00BE67EC"/>
    <w:rsid w:val="00BE6CD9"/>
    <w:rsid w:val="00BF053E"/>
    <w:rsid w:val="00BF05AF"/>
    <w:rsid w:val="00BF1E41"/>
    <w:rsid w:val="00BF4CEE"/>
    <w:rsid w:val="00BF5112"/>
    <w:rsid w:val="00BF7915"/>
    <w:rsid w:val="00BF7C4B"/>
    <w:rsid w:val="00C03FA7"/>
    <w:rsid w:val="00C044FC"/>
    <w:rsid w:val="00C06B11"/>
    <w:rsid w:val="00C072EF"/>
    <w:rsid w:val="00C0764E"/>
    <w:rsid w:val="00C118EB"/>
    <w:rsid w:val="00C11C68"/>
    <w:rsid w:val="00C13063"/>
    <w:rsid w:val="00C13662"/>
    <w:rsid w:val="00C14C8E"/>
    <w:rsid w:val="00C16C8B"/>
    <w:rsid w:val="00C17382"/>
    <w:rsid w:val="00C202F7"/>
    <w:rsid w:val="00C21E0A"/>
    <w:rsid w:val="00C22EA5"/>
    <w:rsid w:val="00C24225"/>
    <w:rsid w:val="00C2461F"/>
    <w:rsid w:val="00C24BB8"/>
    <w:rsid w:val="00C25D78"/>
    <w:rsid w:val="00C2689E"/>
    <w:rsid w:val="00C26C88"/>
    <w:rsid w:val="00C31C0A"/>
    <w:rsid w:val="00C32222"/>
    <w:rsid w:val="00C32378"/>
    <w:rsid w:val="00C326C4"/>
    <w:rsid w:val="00C3333C"/>
    <w:rsid w:val="00C343E9"/>
    <w:rsid w:val="00C34798"/>
    <w:rsid w:val="00C34D57"/>
    <w:rsid w:val="00C35123"/>
    <w:rsid w:val="00C35E6D"/>
    <w:rsid w:val="00C37816"/>
    <w:rsid w:val="00C4042D"/>
    <w:rsid w:val="00C40446"/>
    <w:rsid w:val="00C4099A"/>
    <w:rsid w:val="00C40DF1"/>
    <w:rsid w:val="00C40F25"/>
    <w:rsid w:val="00C410C0"/>
    <w:rsid w:val="00C438E4"/>
    <w:rsid w:val="00C45177"/>
    <w:rsid w:val="00C45DBA"/>
    <w:rsid w:val="00C479AE"/>
    <w:rsid w:val="00C528AB"/>
    <w:rsid w:val="00C54D47"/>
    <w:rsid w:val="00C56701"/>
    <w:rsid w:val="00C628A1"/>
    <w:rsid w:val="00C6312A"/>
    <w:rsid w:val="00C641B5"/>
    <w:rsid w:val="00C6429A"/>
    <w:rsid w:val="00C70B45"/>
    <w:rsid w:val="00C70F38"/>
    <w:rsid w:val="00C71935"/>
    <w:rsid w:val="00C71F77"/>
    <w:rsid w:val="00C73225"/>
    <w:rsid w:val="00C74A6E"/>
    <w:rsid w:val="00C75338"/>
    <w:rsid w:val="00C77B20"/>
    <w:rsid w:val="00C84959"/>
    <w:rsid w:val="00C85625"/>
    <w:rsid w:val="00C85B0F"/>
    <w:rsid w:val="00C9057C"/>
    <w:rsid w:val="00C93ADF"/>
    <w:rsid w:val="00C9416E"/>
    <w:rsid w:val="00C94AF1"/>
    <w:rsid w:val="00C94D17"/>
    <w:rsid w:val="00C95F5A"/>
    <w:rsid w:val="00C962B7"/>
    <w:rsid w:val="00C9775E"/>
    <w:rsid w:val="00C97C32"/>
    <w:rsid w:val="00CA02B9"/>
    <w:rsid w:val="00CA0D62"/>
    <w:rsid w:val="00CA15FA"/>
    <w:rsid w:val="00CA3B3D"/>
    <w:rsid w:val="00CA41FD"/>
    <w:rsid w:val="00CA616C"/>
    <w:rsid w:val="00CA6E56"/>
    <w:rsid w:val="00CA7F2D"/>
    <w:rsid w:val="00CB3B78"/>
    <w:rsid w:val="00CB4C58"/>
    <w:rsid w:val="00CB4D18"/>
    <w:rsid w:val="00CB5458"/>
    <w:rsid w:val="00CB571F"/>
    <w:rsid w:val="00CB6BF3"/>
    <w:rsid w:val="00CC0919"/>
    <w:rsid w:val="00CC248B"/>
    <w:rsid w:val="00CC3C58"/>
    <w:rsid w:val="00CC6B69"/>
    <w:rsid w:val="00CC7703"/>
    <w:rsid w:val="00CD2615"/>
    <w:rsid w:val="00CD3F6E"/>
    <w:rsid w:val="00CD4ED1"/>
    <w:rsid w:val="00CD6B7F"/>
    <w:rsid w:val="00CD73C2"/>
    <w:rsid w:val="00CE0D4A"/>
    <w:rsid w:val="00CE1B01"/>
    <w:rsid w:val="00CE1DA4"/>
    <w:rsid w:val="00CE2EB4"/>
    <w:rsid w:val="00CE3D57"/>
    <w:rsid w:val="00CE7330"/>
    <w:rsid w:val="00CE76A0"/>
    <w:rsid w:val="00CE7B8A"/>
    <w:rsid w:val="00CF0492"/>
    <w:rsid w:val="00CF1047"/>
    <w:rsid w:val="00CF27BA"/>
    <w:rsid w:val="00CF4193"/>
    <w:rsid w:val="00CF42BB"/>
    <w:rsid w:val="00CF73A8"/>
    <w:rsid w:val="00D0002A"/>
    <w:rsid w:val="00D026EF"/>
    <w:rsid w:val="00D03973"/>
    <w:rsid w:val="00D04137"/>
    <w:rsid w:val="00D049F1"/>
    <w:rsid w:val="00D04F81"/>
    <w:rsid w:val="00D06423"/>
    <w:rsid w:val="00D06804"/>
    <w:rsid w:val="00D06838"/>
    <w:rsid w:val="00D10F8C"/>
    <w:rsid w:val="00D12C62"/>
    <w:rsid w:val="00D12FBC"/>
    <w:rsid w:val="00D12FE8"/>
    <w:rsid w:val="00D13765"/>
    <w:rsid w:val="00D15EDF"/>
    <w:rsid w:val="00D16E6B"/>
    <w:rsid w:val="00D1752F"/>
    <w:rsid w:val="00D21101"/>
    <w:rsid w:val="00D218B3"/>
    <w:rsid w:val="00D21909"/>
    <w:rsid w:val="00D24303"/>
    <w:rsid w:val="00D27F5E"/>
    <w:rsid w:val="00D31D78"/>
    <w:rsid w:val="00D321DC"/>
    <w:rsid w:val="00D328D8"/>
    <w:rsid w:val="00D32FE5"/>
    <w:rsid w:val="00D330B6"/>
    <w:rsid w:val="00D33669"/>
    <w:rsid w:val="00D34772"/>
    <w:rsid w:val="00D3491A"/>
    <w:rsid w:val="00D34DC0"/>
    <w:rsid w:val="00D356A4"/>
    <w:rsid w:val="00D358D0"/>
    <w:rsid w:val="00D35AC5"/>
    <w:rsid w:val="00D40139"/>
    <w:rsid w:val="00D42672"/>
    <w:rsid w:val="00D4277C"/>
    <w:rsid w:val="00D43994"/>
    <w:rsid w:val="00D43CC3"/>
    <w:rsid w:val="00D45671"/>
    <w:rsid w:val="00D45B02"/>
    <w:rsid w:val="00D47628"/>
    <w:rsid w:val="00D47FCD"/>
    <w:rsid w:val="00D5098D"/>
    <w:rsid w:val="00D5312E"/>
    <w:rsid w:val="00D5383F"/>
    <w:rsid w:val="00D53869"/>
    <w:rsid w:val="00D5419D"/>
    <w:rsid w:val="00D61280"/>
    <w:rsid w:val="00D61C18"/>
    <w:rsid w:val="00D6210D"/>
    <w:rsid w:val="00D63B86"/>
    <w:rsid w:val="00D65667"/>
    <w:rsid w:val="00D6576A"/>
    <w:rsid w:val="00D67792"/>
    <w:rsid w:val="00D725F8"/>
    <w:rsid w:val="00D72CFD"/>
    <w:rsid w:val="00D76F80"/>
    <w:rsid w:val="00D76F9C"/>
    <w:rsid w:val="00D81FC0"/>
    <w:rsid w:val="00D844AC"/>
    <w:rsid w:val="00D8694E"/>
    <w:rsid w:val="00D92836"/>
    <w:rsid w:val="00D94303"/>
    <w:rsid w:val="00D94A0A"/>
    <w:rsid w:val="00D94BBD"/>
    <w:rsid w:val="00D94DFB"/>
    <w:rsid w:val="00DA03F6"/>
    <w:rsid w:val="00DA1988"/>
    <w:rsid w:val="00DA248F"/>
    <w:rsid w:val="00DA285C"/>
    <w:rsid w:val="00DA2906"/>
    <w:rsid w:val="00DA2E32"/>
    <w:rsid w:val="00DA32FF"/>
    <w:rsid w:val="00DA3767"/>
    <w:rsid w:val="00DA41DD"/>
    <w:rsid w:val="00DA4DEF"/>
    <w:rsid w:val="00DA5202"/>
    <w:rsid w:val="00DA666F"/>
    <w:rsid w:val="00DA75D8"/>
    <w:rsid w:val="00DB0D07"/>
    <w:rsid w:val="00DB2718"/>
    <w:rsid w:val="00DB3C88"/>
    <w:rsid w:val="00DB438F"/>
    <w:rsid w:val="00DB7BA6"/>
    <w:rsid w:val="00DC047A"/>
    <w:rsid w:val="00DC07CD"/>
    <w:rsid w:val="00DC159A"/>
    <w:rsid w:val="00DC18BC"/>
    <w:rsid w:val="00DC1907"/>
    <w:rsid w:val="00DC2A16"/>
    <w:rsid w:val="00DC3A22"/>
    <w:rsid w:val="00DC3B85"/>
    <w:rsid w:val="00DC4D4E"/>
    <w:rsid w:val="00DC4E0E"/>
    <w:rsid w:val="00DC4EDA"/>
    <w:rsid w:val="00DC5841"/>
    <w:rsid w:val="00DC686C"/>
    <w:rsid w:val="00DC6E71"/>
    <w:rsid w:val="00DC6ECD"/>
    <w:rsid w:val="00DC7402"/>
    <w:rsid w:val="00DC77BA"/>
    <w:rsid w:val="00DC7D49"/>
    <w:rsid w:val="00DD06F0"/>
    <w:rsid w:val="00DD5A75"/>
    <w:rsid w:val="00DD634C"/>
    <w:rsid w:val="00DD79C2"/>
    <w:rsid w:val="00DE1898"/>
    <w:rsid w:val="00DE1C3A"/>
    <w:rsid w:val="00DE2CA4"/>
    <w:rsid w:val="00DE3152"/>
    <w:rsid w:val="00DE3C3E"/>
    <w:rsid w:val="00DE46AC"/>
    <w:rsid w:val="00DE656E"/>
    <w:rsid w:val="00DE6923"/>
    <w:rsid w:val="00DE7A38"/>
    <w:rsid w:val="00DF123E"/>
    <w:rsid w:val="00DF240B"/>
    <w:rsid w:val="00DF2A6A"/>
    <w:rsid w:val="00DF331F"/>
    <w:rsid w:val="00DF714F"/>
    <w:rsid w:val="00E01AB9"/>
    <w:rsid w:val="00E035C0"/>
    <w:rsid w:val="00E0468A"/>
    <w:rsid w:val="00E0733E"/>
    <w:rsid w:val="00E07BB3"/>
    <w:rsid w:val="00E1266B"/>
    <w:rsid w:val="00E146B2"/>
    <w:rsid w:val="00E16513"/>
    <w:rsid w:val="00E20871"/>
    <w:rsid w:val="00E225B0"/>
    <w:rsid w:val="00E23E03"/>
    <w:rsid w:val="00E261B7"/>
    <w:rsid w:val="00E27E08"/>
    <w:rsid w:val="00E31726"/>
    <w:rsid w:val="00E3225D"/>
    <w:rsid w:val="00E32B90"/>
    <w:rsid w:val="00E32EDB"/>
    <w:rsid w:val="00E3386F"/>
    <w:rsid w:val="00E33D68"/>
    <w:rsid w:val="00E34AE3"/>
    <w:rsid w:val="00E34FF6"/>
    <w:rsid w:val="00E35878"/>
    <w:rsid w:val="00E35D7D"/>
    <w:rsid w:val="00E373FC"/>
    <w:rsid w:val="00E4054F"/>
    <w:rsid w:val="00E4080A"/>
    <w:rsid w:val="00E4175B"/>
    <w:rsid w:val="00E41A37"/>
    <w:rsid w:val="00E43D9A"/>
    <w:rsid w:val="00E44284"/>
    <w:rsid w:val="00E44688"/>
    <w:rsid w:val="00E44B1C"/>
    <w:rsid w:val="00E46C8B"/>
    <w:rsid w:val="00E50027"/>
    <w:rsid w:val="00E52039"/>
    <w:rsid w:val="00E530D5"/>
    <w:rsid w:val="00E5356E"/>
    <w:rsid w:val="00E53F22"/>
    <w:rsid w:val="00E540F9"/>
    <w:rsid w:val="00E54A31"/>
    <w:rsid w:val="00E60835"/>
    <w:rsid w:val="00E60B80"/>
    <w:rsid w:val="00E61689"/>
    <w:rsid w:val="00E61812"/>
    <w:rsid w:val="00E62574"/>
    <w:rsid w:val="00E63463"/>
    <w:rsid w:val="00E64B7E"/>
    <w:rsid w:val="00E64BFE"/>
    <w:rsid w:val="00E678AD"/>
    <w:rsid w:val="00E70D08"/>
    <w:rsid w:val="00E70F21"/>
    <w:rsid w:val="00E70F62"/>
    <w:rsid w:val="00E72E94"/>
    <w:rsid w:val="00E730C3"/>
    <w:rsid w:val="00E74CC7"/>
    <w:rsid w:val="00E76BA2"/>
    <w:rsid w:val="00E83DF5"/>
    <w:rsid w:val="00E84528"/>
    <w:rsid w:val="00E845DF"/>
    <w:rsid w:val="00E86229"/>
    <w:rsid w:val="00E86D77"/>
    <w:rsid w:val="00E87C06"/>
    <w:rsid w:val="00E87F96"/>
    <w:rsid w:val="00E901F5"/>
    <w:rsid w:val="00E90D2E"/>
    <w:rsid w:val="00E93BFB"/>
    <w:rsid w:val="00E9446F"/>
    <w:rsid w:val="00E9666E"/>
    <w:rsid w:val="00E9679A"/>
    <w:rsid w:val="00E9764C"/>
    <w:rsid w:val="00EA34A0"/>
    <w:rsid w:val="00EA448A"/>
    <w:rsid w:val="00EA6D12"/>
    <w:rsid w:val="00EA753F"/>
    <w:rsid w:val="00EB2E42"/>
    <w:rsid w:val="00EB4249"/>
    <w:rsid w:val="00EB549A"/>
    <w:rsid w:val="00EB70CB"/>
    <w:rsid w:val="00EB728F"/>
    <w:rsid w:val="00EB79F1"/>
    <w:rsid w:val="00EC1ECB"/>
    <w:rsid w:val="00EC3037"/>
    <w:rsid w:val="00EC4BB9"/>
    <w:rsid w:val="00EC795D"/>
    <w:rsid w:val="00EC7A65"/>
    <w:rsid w:val="00ED02CB"/>
    <w:rsid w:val="00ED1427"/>
    <w:rsid w:val="00ED38CD"/>
    <w:rsid w:val="00ED5484"/>
    <w:rsid w:val="00ED59D8"/>
    <w:rsid w:val="00ED5CED"/>
    <w:rsid w:val="00EE2A39"/>
    <w:rsid w:val="00EE2FD8"/>
    <w:rsid w:val="00EE369D"/>
    <w:rsid w:val="00EE467E"/>
    <w:rsid w:val="00EE478D"/>
    <w:rsid w:val="00EE4EC2"/>
    <w:rsid w:val="00EF0EB5"/>
    <w:rsid w:val="00EF2E9A"/>
    <w:rsid w:val="00EF358E"/>
    <w:rsid w:val="00EF3F78"/>
    <w:rsid w:val="00F00A49"/>
    <w:rsid w:val="00F02E63"/>
    <w:rsid w:val="00F04CD2"/>
    <w:rsid w:val="00F05373"/>
    <w:rsid w:val="00F073A6"/>
    <w:rsid w:val="00F07E31"/>
    <w:rsid w:val="00F12E42"/>
    <w:rsid w:val="00F14BB7"/>
    <w:rsid w:val="00F14FC1"/>
    <w:rsid w:val="00F2676A"/>
    <w:rsid w:val="00F27156"/>
    <w:rsid w:val="00F31613"/>
    <w:rsid w:val="00F31A1B"/>
    <w:rsid w:val="00F31C4F"/>
    <w:rsid w:val="00F32554"/>
    <w:rsid w:val="00F33163"/>
    <w:rsid w:val="00F34FD0"/>
    <w:rsid w:val="00F35210"/>
    <w:rsid w:val="00F35541"/>
    <w:rsid w:val="00F35C56"/>
    <w:rsid w:val="00F36AA7"/>
    <w:rsid w:val="00F40698"/>
    <w:rsid w:val="00F41264"/>
    <w:rsid w:val="00F41D45"/>
    <w:rsid w:val="00F43AB9"/>
    <w:rsid w:val="00F4412C"/>
    <w:rsid w:val="00F44778"/>
    <w:rsid w:val="00F44C9D"/>
    <w:rsid w:val="00F46364"/>
    <w:rsid w:val="00F46667"/>
    <w:rsid w:val="00F469AC"/>
    <w:rsid w:val="00F46AE6"/>
    <w:rsid w:val="00F479D4"/>
    <w:rsid w:val="00F47B77"/>
    <w:rsid w:val="00F513A8"/>
    <w:rsid w:val="00F51C9B"/>
    <w:rsid w:val="00F55901"/>
    <w:rsid w:val="00F55DD0"/>
    <w:rsid w:val="00F571F0"/>
    <w:rsid w:val="00F6603D"/>
    <w:rsid w:val="00F67904"/>
    <w:rsid w:val="00F71936"/>
    <w:rsid w:val="00F72A0C"/>
    <w:rsid w:val="00F75748"/>
    <w:rsid w:val="00F77633"/>
    <w:rsid w:val="00F81B84"/>
    <w:rsid w:val="00F8385C"/>
    <w:rsid w:val="00F9025D"/>
    <w:rsid w:val="00F94140"/>
    <w:rsid w:val="00F9577C"/>
    <w:rsid w:val="00F97394"/>
    <w:rsid w:val="00FA252C"/>
    <w:rsid w:val="00FA2D25"/>
    <w:rsid w:val="00FA413D"/>
    <w:rsid w:val="00FA54AD"/>
    <w:rsid w:val="00FA6617"/>
    <w:rsid w:val="00FA7349"/>
    <w:rsid w:val="00FB1C29"/>
    <w:rsid w:val="00FB3CFE"/>
    <w:rsid w:val="00FB471F"/>
    <w:rsid w:val="00FB5269"/>
    <w:rsid w:val="00FB582B"/>
    <w:rsid w:val="00FB5C97"/>
    <w:rsid w:val="00FC0BE4"/>
    <w:rsid w:val="00FC2964"/>
    <w:rsid w:val="00FC2E0B"/>
    <w:rsid w:val="00FC3948"/>
    <w:rsid w:val="00FC5DA0"/>
    <w:rsid w:val="00FC68AA"/>
    <w:rsid w:val="00FC6986"/>
    <w:rsid w:val="00FC7AB0"/>
    <w:rsid w:val="00FD09D6"/>
    <w:rsid w:val="00FD41C5"/>
    <w:rsid w:val="00FD5AA4"/>
    <w:rsid w:val="00FD5F83"/>
    <w:rsid w:val="00FE0E44"/>
    <w:rsid w:val="00FE263B"/>
    <w:rsid w:val="00FE6362"/>
    <w:rsid w:val="00FE6D16"/>
    <w:rsid w:val="00FE7693"/>
    <w:rsid w:val="00FE7C5B"/>
    <w:rsid w:val="00FF1D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192B0"/>
  <w15:chartTrackingRefBased/>
  <w15:docId w15:val="{56995172-2CD2-4053-B20B-DA2A7BD8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jc w:val="both"/>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semiHidden/>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semiHidden/>
    <w:rsid w:val="007045C4"/>
    <w:rPr>
      <w:rFonts w:cs="Times New Roman"/>
      <w:vertAlign w:val="superscript"/>
    </w:rPr>
  </w:style>
  <w:style w:type="paragraph" w:customStyle="1" w:styleId="ColorfulList-Accent11">
    <w:name w:val="Colorful List - Accent 1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semiHidden/>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styleId="ListParagraph">
    <w:name w:val="List Paragraph"/>
    <w:basedOn w:val="Normal"/>
    <w:uiPriority w:val="34"/>
    <w:qFormat/>
    <w:rsid w:val="003E1525"/>
    <w:pPr>
      <w:spacing w:after="160" w:line="259" w:lineRule="auto"/>
      <w:ind w:left="720"/>
      <w:contextualSpacing/>
    </w:pPr>
    <w:rPr>
      <w:rFonts w:ascii="Times New Roman" w:eastAsia="Calibri" w:hAnsi="Times New Roman"/>
      <w:sz w:val="26"/>
      <w:lang w:val="en-ZA"/>
    </w:rPr>
  </w:style>
  <w:style w:type="character" w:styleId="Emphasis">
    <w:name w:val="Emphasis"/>
    <w:uiPriority w:val="20"/>
    <w:qFormat/>
    <w:rsid w:val="00B04D29"/>
    <w:rPr>
      <w:i/>
      <w:iCs/>
    </w:rPr>
  </w:style>
  <w:style w:type="character" w:styleId="Hyperlink">
    <w:name w:val="Hyperlink"/>
    <w:rsid w:val="00A0060F"/>
    <w:rPr>
      <w:color w:val="0563C1"/>
      <w:u w:val="single"/>
    </w:rPr>
  </w:style>
  <w:style w:type="character" w:customStyle="1" w:styleId="UnresolvedMention1">
    <w:name w:val="Unresolved Mention1"/>
    <w:uiPriority w:val="99"/>
    <w:semiHidden/>
    <w:unhideWhenUsed/>
    <w:rsid w:val="00A0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wic.environment.gov.za/documents/2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95F7-6E67-4DFE-90D4-AC5BBCCA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6957</Words>
  <Characters>39656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46520</CharactersWithSpaces>
  <SharedDoc>false</SharedDoc>
  <HLinks>
    <vt:vector size="6" baseType="variant">
      <vt:variant>
        <vt:i4>5111881</vt:i4>
      </vt:variant>
      <vt:variant>
        <vt:i4>0</vt:i4>
      </vt:variant>
      <vt:variant>
        <vt:i4>0</vt:i4>
      </vt:variant>
      <vt:variant>
        <vt:i4>5</vt:i4>
      </vt:variant>
      <vt:variant>
        <vt:lpwstr>http://sawic.environment.gov.za/documents/266.PDF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AMdletshe</cp:lastModifiedBy>
  <cp:revision>2</cp:revision>
  <cp:lastPrinted>2022-04-29T10:01:00Z</cp:lastPrinted>
  <dcterms:created xsi:type="dcterms:W3CDTF">2022-04-29T13:44:00Z</dcterms:created>
  <dcterms:modified xsi:type="dcterms:W3CDTF">2022-04-29T13:44:00Z</dcterms:modified>
</cp:coreProperties>
</file>