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9E26" w14:textId="77777777" w:rsidR="005E5E8A" w:rsidRPr="00182B28" w:rsidRDefault="001246FF" w:rsidP="00117A2A">
      <w:pPr>
        <w:pStyle w:val="Pa3"/>
        <w:rPr>
          <w:rStyle w:val="A0"/>
          <w:b w:val="0"/>
          <w:color w:val="auto"/>
          <w:szCs w:val="20"/>
        </w:rPr>
      </w:pPr>
      <w:bookmarkStart w:id="0" w:name="OLE_LINK1"/>
      <w:r w:rsidRPr="00182B28">
        <w:rPr>
          <w:noProof/>
          <w:lang w:val="en-ZA" w:eastAsia="en-ZA"/>
        </w:rPr>
        <w:drawing>
          <wp:anchor distT="0" distB="0" distL="114300" distR="114300" simplePos="0" relativeHeight="251657728" behindDoc="0" locked="0" layoutInCell="1" allowOverlap="1" wp14:anchorId="4F1BCE1A" wp14:editId="78BE9668">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1548DB78" w14:textId="77777777" w:rsidR="005E5E8A" w:rsidRPr="00182B28" w:rsidRDefault="005E5E8A" w:rsidP="005E5E8A">
      <w:pPr>
        <w:pStyle w:val="Pa3"/>
        <w:jc w:val="center"/>
        <w:rPr>
          <w:rStyle w:val="A0"/>
          <w:b w:val="0"/>
          <w:color w:val="auto"/>
          <w:szCs w:val="20"/>
        </w:rPr>
      </w:pPr>
    </w:p>
    <w:p w14:paraId="27183EE5" w14:textId="77777777" w:rsidR="00E3021E" w:rsidRPr="00182B28" w:rsidRDefault="00E3021E" w:rsidP="00E3021E">
      <w:pPr>
        <w:rPr>
          <w:lang w:val="en-US" w:eastAsia="en-US"/>
        </w:rPr>
      </w:pPr>
    </w:p>
    <w:p w14:paraId="6831A8C9" w14:textId="77777777" w:rsidR="00E3021E" w:rsidRPr="00182B28" w:rsidRDefault="00E3021E" w:rsidP="00E3021E">
      <w:pPr>
        <w:rPr>
          <w:lang w:val="en-US" w:eastAsia="en-US"/>
        </w:rPr>
      </w:pPr>
    </w:p>
    <w:p w14:paraId="54251FCE" w14:textId="77777777" w:rsidR="0022513F" w:rsidRPr="00182B28" w:rsidRDefault="0022513F" w:rsidP="00E3021E">
      <w:pPr>
        <w:pStyle w:val="Pa3"/>
        <w:jc w:val="center"/>
        <w:rPr>
          <w:b/>
          <w:bCs/>
        </w:rPr>
      </w:pPr>
    </w:p>
    <w:p w14:paraId="2F41F42F" w14:textId="77777777" w:rsidR="0022513F" w:rsidRPr="00182B28" w:rsidRDefault="0022513F" w:rsidP="00E3021E">
      <w:pPr>
        <w:pStyle w:val="Pa3"/>
        <w:jc w:val="center"/>
        <w:rPr>
          <w:b/>
          <w:bCs/>
        </w:rPr>
      </w:pPr>
    </w:p>
    <w:p w14:paraId="10417A75" w14:textId="77777777" w:rsidR="00E3021E" w:rsidRPr="00182B28" w:rsidRDefault="00E3021E" w:rsidP="008E0CEF">
      <w:pPr>
        <w:pStyle w:val="Pa3"/>
        <w:spacing w:line="276" w:lineRule="auto"/>
        <w:jc w:val="center"/>
        <w:rPr>
          <w:b/>
          <w:bCs/>
        </w:rPr>
      </w:pPr>
      <w:r w:rsidRPr="00182B28">
        <w:rPr>
          <w:b/>
          <w:bCs/>
        </w:rPr>
        <w:t>THE SUPREME COURT OF APPEAL OF SOUTH AFRICA</w:t>
      </w:r>
    </w:p>
    <w:p w14:paraId="3B0383A4" w14:textId="77777777" w:rsidR="00E3021E" w:rsidRPr="00182B28" w:rsidRDefault="00E3021E" w:rsidP="008E0CEF">
      <w:pPr>
        <w:pStyle w:val="Pa3"/>
        <w:spacing w:line="276" w:lineRule="auto"/>
        <w:jc w:val="center"/>
        <w:rPr>
          <w:rStyle w:val="A0"/>
          <w:bCs/>
          <w:color w:val="auto"/>
          <w:sz w:val="24"/>
        </w:rPr>
      </w:pPr>
    </w:p>
    <w:p w14:paraId="10DDF9B5" w14:textId="77777777" w:rsidR="00E3021E" w:rsidRPr="00182B28" w:rsidRDefault="00E3021E" w:rsidP="008E0CEF">
      <w:pPr>
        <w:spacing w:line="276" w:lineRule="auto"/>
        <w:jc w:val="center"/>
        <w:rPr>
          <w:b/>
          <w:bCs/>
        </w:rPr>
      </w:pPr>
      <w:r w:rsidRPr="00182B28">
        <w:rPr>
          <w:b/>
          <w:bCs/>
        </w:rPr>
        <w:t>JUDGMENT</w:t>
      </w:r>
    </w:p>
    <w:p w14:paraId="2EC1410A" w14:textId="77777777" w:rsidR="00E3021E" w:rsidRPr="00182B28" w:rsidRDefault="00E3021E" w:rsidP="008E0CEF">
      <w:pPr>
        <w:spacing w:line="276" w:lineRule="auto"/>
        <w:jc w:val="center"/>
        <w:rPr>
          <w:b/>
          <w:bCs/>
          <w:lang w:val="en-US" w:eastAsia="en-US"/>
        </w:rPr>
      </w:pPr>
    </w:p>
    <w:p w14:paraId="46E8DD85" w14:textId="7FC534B4" w:rsidR="00AA01CB" w:rsidRPr="00182B28" w:rsidRDefault="00E82397" w:rsidP="003F72CE">
      <w:pPr>
        <w:jc w:val="right"/>
        <w:rPr>
          <w:b/>
        </w:rPr>
      </w:pPr>
      <w:r w:rsidRPr="00182B28">
        <w:rPr>
          <w:b/>
        </w:rPr>
        <w:t>Not reportable</w:t>
      </w:r>
    </w:p>
    <w:p w14:paraId="6E871CB1" w14:textId="77777777" w:rsidR="00AA01CB" w:rsidRPr="00182B28" w:rsidRDefault="00AA01CB" w:rsidP="003F72CE">
      <w:pPr>
        <w:jc w:val="right"/>
      </w:pPr>
      <w:r w:rsidRPr="00182B28">
        <w:t xml:space="preserve">Case no: </w:t>
      </w:r>
      <w:r w:rsidR="00BE6B59" w:rsidRPr="00182B28">
        <w:t>145</w:t>
      </w:r>
      <w:r w:rsidR="00EB4B47" w:rsidRPr="00182B28">
        <w:t>/</w:t>
      </w:r>
      <w:r w:rsidR="00E82397" w:rsidRPr="00182B28">
        <w:t>2021</w:t>
      </w:r>
    </w:p>
    <w:p w14:paraId="5064A949" w14:textId="77777777" w:rsidR="00AA01CB" w:rsidRPr="00182B28" w:rsidRDefault="00AA01CB" w:rsidP="008E0CEF">
      <w:pPr>
        <w:spacing w:line="276" w:lineRule="auto"/>
      </w:pPr>
    </w:p>
    <w:p w14:paraId="0418109D" w14:textId="5C52D4DA" w:rsidR="00AA01CB" w:rsidRPr="00182B28" w:rsidRDefault="00AA01CB" w:rsidP="008E0CEF">
      <w:pPr>
        <w:spacing w:line="276" w:lineRule="auto"/>
      </w:pPr>
      <w:r w:rsidRPr="00182B28">
        <w:t>In the matter between:</w:t>
      </w:r>
    </w:p>
    <w:p w14:paraId="2A41F72E" w14:textId="77777777" w:rsidR="00AA01CB" w:rsidRPr="00182B28" w:rsidRDefault="008F1421" w:rsidP="003F72CE">
      <w:pPr>
        <w:rPr>
          <w:b/>
        </w:rPr>
      </w:pPr>
      <w:r w:rsidRPr="00182B28">
        <w:rPr>
          <w:b/>
        </w:rPr>
        <w:t>RTS INDUSTRIES</w:t>
      </w:r>
      <w:r w:rsidR="00EB4B47" w:rsidRPr="00182B28">
        <w:rPr>
          <w:b/>
        </w:rPr>
        <w:tab/>
      </w:r>
      <w:r w:rsidR="00EB4B47" w:rsidRPr="00182B28">
        <w:rPr>
          <w:b/>
        </w:rPr>
        <w:tab/>
      </w:r>
      <w:r w:rsidR="00EB4B47" w:rsidRPr="00182B28">
        <w:rPr>
          <w:b/>
        </w:rPr>
        <w:tab/>
      </w:r>
      <w:r w:rsidR="00EB4B47" w:rsidRPr="00182B28">
        <w:rPr>
          <w:b/>
        </w:rPr>
        <w:tab/>
      </w:r>
      <w:r w:rsidR="00E82397" w:rsidRPr="00182B28">
        <w:rPr>
          <w:b/>
        </w:rPr>
        <w:t xml:space="preserve"> </w:t>
      </w:r>
      <w:r w:rsidR="00E82397" w:rsidRPr="00182B28">
        <w:rPr>
          <w:b/>
        </w:rPr>
        <w:tab/>
      </w:r>
      <w:r w:rsidR="00E82397" w:rsidRPr="00182B28">
        <w:rPr>
          <w:b/>
        </w:rPr>
        <w:tab/>
      </w:r>
      <w:r w:rsidR="00E82397" w:rsidRPr="00182B28">
        <w:rPr>
          <w:b/>
        </w:rPr>
        <w:tab/>
      </w:r>
      <w:r w:rsidRPr="00182B28">
        <w:rPr>
          <w:b/>
        </w:rPr>
        <w:t xml:space="preserve">          FIRST </w:t>
      </w:r>
      <w:r w:rsidR="00D47047" w:rsidRPr="00182B28">
        <w:rPr>
          <w:b/>
        </w:rPr>
        <w:t>A</w:t>
      </w:r>
      <w:r w:rsidR="00AA01CB" w:rsidRPr="00182B28">
        <w:rPr>
          <w:b/>
        </w:rPr>
        <w:t>PPELLANT</w:t>
      </w:r>
    </w:p>
    <w:p w14:paraId="3FB476A1" w14:textId="77777777" w:rsidR="008F1421" w:rsidRPr="00182B28" w:rsidRDefault="008F1421" w:rsidP="003F72CE">
      <w:pPr>
        <w:rPr>
          <w:b/>
        </w:rPr>
      </w:pPr>
      <w:r w:rsidRPr="00182B28">
        <w:rPr>
          <w:b/>
        </w:rPr>
        <w:t>CGC INDUSTRIES (PTY)</w:t>
      </w:r>
      <w:r w:rsidR="009B62AA" w:rsidRPr="00182B28">
        <w:rPr>
          <w:b/>
        </w:rPr>
        <w:t xml:space="preserve"> LTD</w:t>
      </w:r>
      <w:r w:rsidR="009B62AA" w:rsidRPr="00182B28">
        <w:rPr>
          <w:b/>
        </w:rPr>
        <w:tab/>
      </w:r>
      <w:r w:rsidR="009B62AA" w:rsidRPr="00182B28">
        <w:rPr>
          <w:b/>
        </w:rPr>
        <w:tab/>
      </w:r>
      <w:r w:rsidR="009B62AA" w:rsidRPr="00182B28">
        <w:rPr>
          <w:b/>
        </w:rPr>
        <w:tab/>
      </w:r>
      <w:r w:rsidR="009B62AA" w:rsidRPr="00182B28">
        <w:rPr>
          <w:b/>
        </w:rPr>
        <w:tab/>
      </w:r>
      <w:r w:rsidR="009B62AA" w:rsidRPr="00182B28">
        <w:rPr>
          <w:b/>
        </w:rPr>
        <w:tab/>
        <w:t xml:space="preserve">     </w:t>
      </w:r>
      <w:r w:rsidRPr="00182B28">
        <w:rPr>
          <w:b/>
        </w:rPr>
        <w:t>SECOND APPELLANT</w:t>
      </w:r>
    </w:p>
    <w:p w14:paraId="0937CCF1" w14:textId="77777777" w:rsidR="008F1421" w:rsidRPr="00182B28" w:rsidRDefault="008F1421" w:rsidP="003F72CE">
      <w:pPr>
        <w:rPr>
          <w:b/>
        </w:rPr>
      </w:pPr>
      <w:r w:rsidRPr="00182B28">
        <w:rPr>
          <w:b/>
        </w:rPr>
        <w:t>CHRISTI</w:t>
      </w:r>
      <w:r w:rsidR="00042B4A" w:rsidRPr="00182B28">
        <w:rPr>
          <w:b/>
        </w:rPr>
        <w:t>A</w:t>
      </w:r>
      <w:r w:rsidRPr="00182B28">
        <w:rPr>
          <w:b/>
        </w:rPr>
        <w:t>AN ARNOLDUS KURTZ</w:t>
      </w:r>
      <w:r w:rsidRPr="00182B28">
        <w:rPr>
          <w:b/>
        </w:rPr>
        <w:tab/>
      </w:r>
      <w:r w:rsidRPr="00182B28">
        <w:rPr>
          <w:b/>
        </w:rPr>
        <w:tab/>
      </w:r>
      <w:r w:rsidRPr="00182B28">
        <w:rPr>
          <w:b/>
        </w:rPr>
        <w:tab/>
      </w:r>
      <w:r w:rsidRPr="00182B28">
        <w:rPr>
          <w:b/>
        </w:rPr>
        <w:tab/>
        <w:t xml:space="preserve">         THIRD APPELLANT</w:t>
      </w:r>
    </w:p>
    <w:p w14:paraId="3CBDF3D8" w14:textId="77777777" w:rsidR="008F1421" w:rsidRPr="00182B28" w:rsidRDefault="008F1421" w:rsidP="003F72CE">
      <w:pPr>
        <w:rPr>
          <w:b/>
        </w:rPr>
      </w:pPr>
      <w:r w:rsidRPr="00182B28">
        <w:rPr>
          <w:b/>
        </w:rPr>
        <w:t>CARL WILLIAM RICHTER</w:t>
      </w:r>
      <w:r w:rsidRPr="00182B28">
        <w:rPr>
          <w:b/>
        </w:rPr>
        <w:tab/>
      </w:r>
      <w:r w:rsidRPr="00182B28">
        <w:rPr>
          <w:b/>
        </w:rPr>
        <w:tab/>
      </w:r>
      <w:r w:rsidRPr="00182B28">
        <w:rPr>
          <w:b/>
        </w:rPr>
        <w:tab/>
      </w:r>
      <w:r w:rsidRPr="00182B28">
        <w:rPr>
          <w:b/>
        </w:rPr>
        <w:tab/>
      </w:r>
      <w:r w:rsidRPr="00182B28">
        <w:rPr>
          <w:b/>
        </w:rPr>
        <w:tab/>
        <w:t xml:space="preserve">     FOURTH APPELLANT</w:t>
      </w:r>
    </w:p>
    <w:p w14:paraId="5C2A0D49" w14:textId="1EC52C95" w:rsidR="00C71A07" w:rsidRPr="00182B28" w:rsidRDefault="007F48A8" w:rsidP="003F72CE">
      <w:pPr>
        <w:rPr>
          <w:b/>
        </w:rPr>
      </w:pPr>
      <w:r w:rsidRPr="00182B28">
        <w:rPr>
          <w:b/>
        </w:rPr>
        <w:t>C-QUIPTECH (PTY) LTD</w:t>
      </w:r>
      <w:r w:rsidRPr="00182B28">
        <w:rPr>
          <w:b/>
        </w:rPr>
        <w:tab/>
      </w:r>
      <w:r w:rsidRPr="00182B28">
        <w:rPr>
          <w:b/>
        </w:rPr>
        <w:tab/>
      </w:r>
      <w:r w:rsidRPr="00182B28">
        <w:rPr>
          <w:b/>
        </w:rPr>
        <w:tab/>
      </w:r>
      <w:r w:rsidRPr="00182B28">
        <w:rPr>
          <w:b/>
        </w:rPr>
        <w:tab/>
      </w:r>
      <w:r w:rsidRPr="00182B28">
        <w:rPr>
          <w:b/>
        </w:rPr>
        <w:tab/>
      </w:r>
      <w:r w:rsidRPr="00182B28">
        <w:rPr>
          <w:b/>
        </w:rPr>
        <w:tab/>
        <w:t xml:space="preserve">          FIFTH APPELLANT</w:t>
      </w:r>
    </w:p>
    <w:p w14:paraId="0531E734" w14:textId="77777777" w:rsidR="00624C5F" w:rsidRDefault="00624C5F" w:rsidP="003F72CE"/>
    <w:p w14:paraId="544C86F4" w14:textId="22F80525" w:rsidR="00C71A07" w:rsidRDefault="00C71A07" w:rsidP="003F72CE">
      <w:r>
        <w:t>a</w:t>
      </w:r>
      <w:r w:rsidR="00AA01CB" w:rsidRPr="00182B28">
        <w:t>nd</w:t>
      </w:r>
    </w:p>
    <w:p w14:paraId="38BD1CC6" w14:textId="77777777" w:rsidR="00624C5F" w:rsidRPr="00182B28" w:rsidRDefault="00624C5F" w:rsidP="003F72CE"/>
    <w:p w14:paraId="43F5D730" w14:textId="77777777" w:rsidR="00AA01CB" w:rsidRPr="00182B28" w:rsidRDefault="008F1421" w:rsidP="00E3692E">
      <w:pPr>
        <w:ind w:right="-7"/>
        <w:rPr>
          <w:b/>
        </w:rPr>
      </w:pPr>
      <w:r w:rsidRPr="00182B28">
        <w:rPr>
          <w:b/>
        </w:rPr>
        <w:t>TECHNICAL SYSTEMS (PTY</w:t>
      </w:r>
      <w:r w:rsidR="00A800E2" w:rsidRPr="00182B28">
        <w:rPr>
          <w:b/>
        </w:rPr>
        <w:t xml:space="preserve">) LTD </w:t>
      </w:r>
      <w:r w:rsidR="00AA01CB" w:rsidRPr="00182B28">
        <w:rPr>
          <w:b/>
        </w:rPr>
        <w:tab/>
      </w:r>
      <w:r w:rsidR="00AD5C67" w:rsidRPr="00182B28">
        <w:rPr>
          <w:b/>
        </w:rPr>
        <w:tab/>
      </w:r>
      <w:r w:rsidR="00AD5C67" w:rsidRPr="00182B28">
        <w:rPr>
          <w:b/>
        </w:rPr>
        <w:tab/>
        <w:t xml:space="preserve"> </w:t>
      </w:r>
      <w:r w:rsidR="00A800E2" w:rsidRPr="00182B28">
        <w:rPr>
          <w:b/>
        </w:rPr>
        <w:tab/>
        <w:t xml:space="preserve">       </w:t>
      </w:r>
      <w:r w:rsidR="00EB4B47" w:rsidRPr="00182B28">
        <w:rPr>
          <w:b/>
        </w:rPr>
        <w:t xml:space="preserve">FIRST </w:t>
      </w:r>
      <w:r w:rsidR="00AA01CB" w:rsidRPr="00182B28">
        <w:rPr>
          <w:b/>
        </w:rPr>
        <w:t>RESPONDENT</w:t>
      </w:r>
    </w:p>
    <w:p w14:paraId="494D3111" w14:textId="77777777" w:rsidR="00EB4B47" w:rsidRPr="00182B28" w:rsidRDefault="00A800E2" w:rsidP="00E3692E">
      <w:pPr>
        <w:ind w:right="-7"/>
        <w:rPr>
          <w:b/>
        </w:rPr>
      </w:pPr>
      <w:r w:rsidRPr="00182B28">
        <w:rPr>
          <w:b/>
        </w:rPr>
        <w:t>LAVIRCO BELEGGINGS (PTY) LTD</w:t>
      </w:r>
      <w:r w:rsidRPr="00182B28">
        <w:rPr>
          <w:b/>
        </w:rPr>
        <w:tab/>
      </w:r>
      <w:r w:rsidRPr="00182B28">
        <w:rPr>
          <w:b/>
        </w:rPr>
        <w:tab/>
      </w:r>
      <w:r w:rsidRPr="00182B28">
        <w:rPr>
          <w:b/>
        </w:rPr>
        <w:tab/>
        <w:t xml:space="preserve"> </w:t>
      </w:r>
      <w:r w:rsidR="00EB4B47" w:rsidRPr="00182B28">
        <w:rPr>
          <w:b/>
        </w:rPr>
        <w:t xml:space="preserve">           SECOND RESPONDENT</w:t>
      </w:r>
    </w:p>
    <w:p w14:paraId="316030D8" w14:textId="77777777" w:rsidR="00F54AC9" w:rsidRPr="00182B28" w:rsidRDefault="00F54AC9" w:rsidP="008E0CEF">
      <w:pPr>
        <w:spacing w:line="276" w:lineRule="auto"/>
        <w:ind w:right="-7"/>
        <w:rPr>
          <w:b/>
        </w:rPr>
      </w:pPr>
    </w:p>
    <w:p w14:paraId="4608902F" w14:textId="5CD13469" w:rsidR="00AA01CB" w:rsidRPr="00624C5F" w:rsidRDefault="00AA01CB" w:rsidP="003E0E5E">
      <w:pPr>
        <w:ind w:left="2160" w:hanging="2160"/>
      </w:pPr>
      <w:r w:rsidRPr="00624C5F">
        <w:rPr>
          <w:b/>
          <w:bCs/>
        </w:rPr>
        <w:t>Neutral citation:</w:t>
      </w:r>
      <w:r w:rsidRPr="00624C5F">
        <w:rPr>
          <w:b/>
          <w:bCs/>
        </w:rPr>
        <w:tab/>
      </w:r>
      <w:bookmarkStart w:id="1" w:name="_GoBack"/>
      <w:r w:rsidR="00B84B5B" w:rsidRPr="00624C5F">
        <w:rPr>
          <w:bCs/>
          <w:i/>
        </w:rPr>
        <w:t>RTS Industries and Others v Technica</w:t>
      </w:r>
      <w:r w:rsidR="00BE6B59" w:rsidRPr="00624C5F">
        <w:rPr>
          <w:bCs/>
          <w:i/>
        </w:rPr>
        <w:t>l Systems (Pty) Ltd and Another</w:t>
      </w:r>
      <w:r w:rsidR="00B71C50" w:rsidRPr="00624C5F">
        <w:rPr>
          <w:bCs/>
        </w:rPr>
        <w:t xml:space="preserve"> </w:t>
      </w:r>
      <w:r w:rsidRPr="00624C5F">
        <w:rPr>
          <w:bCs/>
        </w:rPr>
        <w:t xml:space="preserve">(Case No. </w:t>
      </w:r>
      <w:r w:rsidR="008F1421" w:rsidRPr="00624C5F">
        <w:rPr>
          <w:bCs/>
        </w:rPr>
        <w:t>145</w:t>
      </w:r>
      <w:r w:rsidRPr="00624C5F">
        <w:rPr>
          <w:bCs/>
        </w:rPr>
        <w:t>/20</w:t>
      </w:r>
      <w:r w:rsidR="00E82397" w:rsidRPr="00624C5F">
        <w:rPr>
          <w:bCs/>
        </w:rPr>
        <w:t>21</w:t>
      </w:r>
      <w:r w:rsidRPr="00624C5F">
        <w:rPr>
          <w:bCs/>
        </w:rPr>
        <w:t>) [202</w:t>
      </w:r>
      <w:r w:rsidR="00E82397" w:rsidRPr="00624C5F">
        <w:rPr>
          <w:bCs/>
        </w:rPr>
        <w:t>2</w:t>
      </w:r>
      <w:r w:rsidRPr="00624C5F">
        <w:rPr>
          <w:bCs/>
        </w:rPr>
        <w:t xml:space="preserve">] ZASCA </w:t>
      </w:r>
      <w:r w:rsidR="00FC1CCA">
        <w:rPr>
          <w:bCs/>
        </w:rPr>
        <w:t>64</w:t>
      </w:r>
      <w:r w:rsidRPr="00624C5F">
        <w:rPr>
          <w:bCs/>
        </w:rPr>
        <w:t xml:space="preserve"> </w:t>
      </w:r>
      <w:r w:rsidR="00066744" w:rsidRPr="00624C5F">
        <w:rPr>
          <w:bCs/>
        </w:rPr>
        <w:t>(</w:t>
      </w:r>
      <w:r w:rsidR="00FC1CCA">
        <w:rPr>
          <w:bCs/>
        </w:rPr>
        <w:t>5</w:t>
      </w:r>
      <w:r w:rsidR="006E0085" w:rsidRPr="00624C5F">
        <w:rPr>
          <w:bCs/>
        </w:rPr>
        <w:t xml:space="preserve"> </w:t>
      </w:r>
      <w:r w:rsidR="00BA1341">
        <w:rPr>
          <w:bCs/>
        </w:rPr>
        <w:t>May</w:t>
      </w:r>
      <w:r w:rsidR="00E82397" w:rsidRPr="00624C5F">
        <w:rPr>
          <w:bCs/>
        </w:rPr>
        <w:t xml:space="preserve"> 2022</w:t>
      </w:r>
      <w:r w:rsidRPr="00624C5F">
        <w:rPr>
          <w:bCs/>
        </w:rPr>
        <w:t>)</w:t>
      </w:r>
      <w:bookmarkEnd w:id="1"/>
    </w:p>
    <w:p w14:paraId="519044CC" w14:textId="77777777" w:rsidR="002D418C" w:rsidRPr="00624C5F" w:rsidRDefault="00AA01CB" w:rsidP="003E0E5E">
      <w:pPr>
        <w:ind w:left="2160" w:hanging="2160"/>
        <w:rPr>
          <w:b/>
          <w:bCs/>
          <w:i/>
          <w:iCs/>
        </w:rPr>
      </w:pPr>
      <w:r w:rsidRPr="00624C5F">
        <w:rPr>
          <w:b/>
          <w:bCs/>
        </w:rPr>
        <w:t>Coram:</w:t>
      </w:r>
      <w:r w:rsidR="002C24DD" w:rsidRPr="00624C5F">
        <w:tab/>
      </w:r>
      <w:r w:rsidR="008F1421" w:rsidRPr="00624C5F">
        <w:t>PETSE DP and ZONDI,</w:t>
      </w:r>
      <w:r w:rsidR="00EB4B47" w:rsidRPr="00624C5F">
        <w:t xml:space="preserve"> DLODLO</w:t>
      </w:r>
      <w:r w:rsidR="008F1421" w:rsidRPr="00624C5F">
        <w:t xml:space="preserve"> and GORVEN</w:t>
      </w:r>
      <w:r w:rsidR="00EB4B47" w:rsidRPr="00624C5F">
        <w:t xml:space="preserve"> JJA </w:t>
      </w:r>
      <w:r w:rsidR="00B418C0" w:rsidRPr="00624C5F">
        <w:t xml:space="preserve">and </w:t>
      </w:r>
      <w:r w:rsidR="00EB4B47" w:rsidRPr="00624C5F">
        <w:t xml:space="preserve">MOLEFE </w:t>
      </w:r>
      <w:r w:rsidR="00312D93" w:rsidRPr="00624C5F">
        <w:t>A</w:t>
      </w:r>
      <w:r w:rsidR="00AD5C67" w:rsidRPr="00624C5F">
        <w:t>JA</w:t>
      </w:r>
      <w:r w:rsidR="00B418C0" w:rsidRPr="00624C5F">
        <w:t xml:space="preserve"> </w:t>
      </w:r>
    </w:p>
    <w:p w14:paraId="26AC2B44" w14:textId="77777777" w:rsidR="00F95860" w:rsidRPr="00624C5F" w:rsidRDefault="00AA01CB" w:rsidP="003E0E5E">
      <w:pPr>
        <w:ind w:left="2160" w:hanging="2160"/>
      </w:pPr>
      <w:r w:rsidRPr="00624C5F">
        <w:rPr>
          <w:b/>
          <w:bCs/>
        </w:rPr>
        <w:t>Heard</w:t>
      </w:r>
      <w:r w:rsidRPr="00624C5F">
        <w:t>:</w:t>
      </w:r>
      <w:r w:rsidRPr="00624C5F">
        <w:tab/>
      </w:r>
      <w:r w:rsidR="008F1421" w:rsidRPr="00624C5F">
        <w:t>4</w:t>
      </w:r>
      <w:r w:rsidR="00EB4B47" w:rsidRPr="00624C5F">
        <w:t xml:space="preserve"> March</w:t>
      </w:r>
      <w:r w:rsidR="00E82397" w:rsidRPr="00624C5F">
        <w:t xml:space="preserve"> 2022</w:t>
      </w:r>
    </w:p>
    <w:p w14:paraId="36048B6C" w14:textId="56B75D6B" w:rsidR="00F95860" w:rsidRPr="00624C5F" w:rsidRDefault="00AA01CB" w:rsidP="00115C71">
      <w:pPr>
        <w:tabs>
          <w:tab w:val="left" w:pos="9356"/>
        </w:tabs>
        <w:ind w:left="2160" w:hanging="2160"/>
      </w:pPr>
      <w:r w:rsidRPr="00624C5F">
        <w:rPr>
          <w:b/>
          <w:bCs/>
        </w:rPr>
        <w:t>Delivered</w:t>
      </w:r>
      <w:r w:rsidRPr="00624C5F">
        <w:t>:</w:t>
      </w:r>
      <w:r w:rsidRPr="00624C5F">
        <w:tab/>
        <w:t>This judgment was handed down electronically by circulation</w:t>
      </w:r>
      <w:r w:rsidR="00BB3AED" w:rsidRPr="00624C5F">
        <w:t xml:space="preserve"> </w:t>
      </w:r>
      <w:r w:rsidRPr="00624C5F">
        <w:t>to the parties’ legal representatives by email</w:t>
      </w:r>
      <w:r w:rsidR="00E97BEF" w:rsidRPr="00624C5F">
        <w:t>, publication</w:t>
      </w:r>
      <w:r w:rsidRPr="00624C5F">
        <w:t xml:space="preserve"> on the Supreme Court of Appeal </w:t>
      </w:r>
      <w:r w:rsidR="00E97BEF" w:rsidRPr="00624C5F">
        <w:t>website and release</w:t>
      </w:r>
      <w:r w:rsidRPr="00624C5F">
        <w:t xml:space="preserve"> to SAFLII. The date and time for</w:t>
      </w:r>
      <w:r w:rsidR="00BB3AED" w:rsidRPr="00624C5F">
        <w:t xml:space="preserve"> </w:t>
      </w:r>
      <w:r w:rsidR="00BE6B59" w:rsidRPr="00624C5F">
        <w:t>hand-down is deemed to be 09h45</w:t>
      </w:r>
      <w:r w:rsidRPr="00624C5F">
        <w:t xml:space="preserve"> on </w:t>
      </w:r>
      <w:r w:rsidR="00FC1CCA">
        <w:t>5</w:t>
      </w:r>
      <w:r w:rsidR="00E82397" w:rsidRPr="00624C5F">
        <w:t xml:space="preserve"> </w:t>
      </w:r>
      <w:r w:rsidR="00BA1341">
        <w:t>May</w:t>
      </w:r>
      <w:r w:rsidR="00E82397" w:rsidRPr="00624C5F">
        <w:t xml:space="preserve"> 2022</w:t>
      </w:r>
      <w:r w:rsidRPr="00624C5F">
        <w:t>.</w:t>
      </w:r>
    </w:p>
    <w:p w14:paraId="3BCC01F7" w14:textId="2A36B72C" w:rsidR="004A5556" w:rsidRPr="00182B28" w:rsidRDefault="00AA01CB" w:rsidP="00A274B7">
      <w:pPr>
        <w:rPr>
          <w:rFonts w:eastAsia="Calibri"/>
          <w:lang w:val="en-ZA" w:eastAsia="en-ZA"/>
        </w:rPr>
      </w:pPr>
      <w:r w:rsidRPr="00624C5F">
        <w:rPr>
          <w:b/>
          <w:bCs/>
        </w:rPr>
        <w:lastRenderedPageBreak/>
        <w:t>Summary</w:t>
      </w:r>
      <w:r w:rsidR="002C24DD" w:rsidRPr="00624C5F">
        <w:rPr>
          <w:b/>
          <w:bCs/>
        </w:rPr>
        <w:t>:</w:t>
      </w:r>
      <w:r w:rsidR="00C52D4B" w:rsidRPr="00624C5F">
        <w:rPr>
          <w:b/>
          <w:bCs/>
        </w:rPr>
        <w:tab/>
      </w:r>
      <w:r w:rsidR="00770E3B" w:rsidRPr="00624C5F">
        <w:rPr>
          <w:rFonts w:eastAsia="Calibri"/>
          <w:lang w:val="en-ZA" w:eastAsia="en-ZA"/>
        </w:rPr>
        <w:t xml:space="preserve">Interim interdict – appealability of </w:t>
      </w:r>
      <w:r w:rsidR="00E97BEF" w:rsidRPr="00624C5F">
        <w:rPr>
          <w:rFonts w:eastAsia="Calibri"/>
          <w:lang w:val="en-ZA" w:eastAsia="en-ZA"/>
        </w:rPr>
        <w:t>interim</w:t>
      </w:r>
      <w:r w:rsidR="00770E3B" w:rsidRPr="00624C5F">
        <w:rPr>
          <w:rFonts w:eastAsia="Calibri"/>
          <w:lang w:val="en-ZA" w:eastAsia="en-ZA"/>
        </w:rPr>
        <w:t xml:space="preserve"> interdictory relief and refusal of counter-application – int</w:t>
      </w:r>
      <w:r w:rsidR="00BE6B59" w:rsidRPr="00624C5F">
        <w:rPr>
          <w:rFonts w:eastAsia="Calibri"/>
          <w:lang w:val="en-ZA" w:eastAsia="en-ZA"/>
        </w:rPr>
        <w:t>erest</w:t>
      </w:r>
      <w:r w:rsidR="002811B9" w:rsidRPr="00624C5F">
        <w:rPr>
          <w:rFonts w:eastAsia="Calibri"/>
          <w:lang w:val="en-ZA" w:eastAsia="en-ZA"/>
        </w:rPr>
        <w:t>s</w:t>
      </w:r>
      <w:r w:rsidR="00BE6B59" w:rsidRPr="00624C5F">
        <w:rPr>
          <w:rFonts w:eastAsia="Calibri"/>
          <w:lang w:val="en-ZA" w:eastAsia="en-ZA"/>
        </w:rPr>
        <w:t xml:space="preserve"> of justice do not </w:t>
      </w:r>
      <w:r w:rsidR="00C91ECA" w:rsidRPr="00624C5F">
        <w:rPr>
          <w:rFonts w:eastAsia="Calibri"/>
          <w:lang w:val="en-ZA" w:eastAsia="en-ZA"/>
        </w:rPr>
        <w:t>require that appeal be entertained.</w:t>
      </w:r>
      <w:r w:rsidR="00711747" w:rsidRPr="00182B28">
        <w:rPr>
          <w:rFonts w:eastAsia="Calibri"/>
          <w:lang w:val="en-ZA" w:eastAsia="en-ZA"/>
        </w:rPr>
        <w:t xml:space="preserve"> </w:t>
      </w:r>
      <w:r w:rsidR="004A5556" w:rsidRPr="00182B28">
        <w:rPr>
          <w:rFonts w:eastAsia="Calibri"/>
          <w:lang w:val="en-ZA" w:eastAsia="en-ZA"/>
        </w:rPr>
        <w:br w:type="page"/>
      </w:r>
    </w:p>
    <w:p w14:paraId="1C7431CE" w14:textId="77777777" w:rsidR="0049291A" w:rsidRPr="00182B28" w:rsidRDefault="0049291A" w:rsidP="00C52D4B">
      <w:pPr>
        <w:rPr>
          <w:b/>
        </w:rPr>
      </w:pPr>
      <w:r w:rsidRPr="00182B28">
        <w:rPr>
          <w:b/>
        </w:rPr>
        <w:lastRenderedPageBreak/>
        <w:t>__________________________________________________________________</w:t>
      </w:r>
      <w:r w:rsidR="00C41864" w:rsidRPr="00182B28">
        <w:rPr>
          <w:b/>
        </w:rPr>
        <w:t>___</w:t>
      </w:r>
      <w:r w:rsidR="00556649" w:rsidRPr="00182B28">
        <w:rPr>
          <w:b/>
        </w:rPr>
        <w:t>_</w:t>
      </w:r>
    </w:p>
    <w:p w14:paraId="30A773D8" w14:textId="77777777" w:rsidR="0049291A" w:rsidRPr="00182B28" w:rsidRDefault="0049291A" w:rsidP="0049291A">
      <w:pPr>
        <w:jc w:val="center"/>
        <w:rPr>
          <w:b/>
        </w:rPr>
      </w:pPr>
    </w:p>
    <w:p w14:paraId="2313EE4D" w14:textId="77777777" w:rsidR="0049291A" w:rsidRPr="00182B28" w:rsidRDefault="0049291A" w:rsidP="0049291A">
      <w:pPr>
        <w:jc w:val="center"/>
        <w:rPr>
          <w:b/>
          <w:bCs/>
        </w:rPr>
      </w:pPr>
      <w:r w:rsidRPr="00182B28">
        <w:rPr>
          <w:b/>
          <w:bCs/>
        </w:rPr>
        <w:t>ORDER</w:t>
      </w:r>
    </w:p>
    <w:p w14:paraId="4EA9C8BA" w14:textId="77777777" w:rsidR="00E3021E" w:rsidRPr="00182B28" w:rsidRDefault="0049291A" w:rsidP="0049291A">
      <w:r w:rsidRPr="00182B28">
        <w:rPr>
          <w:b/>
        </w:rPr>
        <w:t>__________________________________________________________________</w:t>
      </w:r>
      <w:r w:rsidR="00C41864" w:rsidRPr="00182B28">
        <w:rPr>
          <w:b/>
        </w:rPr>
        <w:t>____</w:t>
      </w:r>
    </w:p>
    <w:p w14:paraId="62866FB8" w14:textId="77777777" w:rsidR="000B781A" w:rsidRPr="00182B28" w:rsidRDefault="000B781A" w:rsidP="008E0CEF">
      <w:pPr>
        <w:rPr>
          <w:b/>
          <w:bCs/>
        </w:rPr>
      </w:pPr>
    </w:p>
    <w:p w14:paraId="5A78D21D" w14:textId="281C3153" w:rsidR="00AA01CB" w:rsidRPr="00182B28" w:rsidRDefault="00AA01CB" w:rsidP="00C81EC6">
      <w:pPr>
        <w:keepLines/>
        <w:rPr>
          <w:bCs/>
        </w:rPr>
      </w:pPr>
      <w:r w:rsidRPr="00182B28">
        <w:rPr>
          <w:b/>
          <w:bCs/>
        </w:rPr>
        <w:t xml:space="preserve">On appeal from: </w:t>
      </w:r>
      <w:r w:rsidR="00770E3B" w:rsidRPr="00182B28">
        <w:rPr>
          <w:bCs/>
        </w:rPr>
        <w:t>Western Cape</w:t>
      </w:r>
      <w:r w:rsidR="00013195" w:rsidRPr="00182B28">
        <w:rPr>
          <w:bCs/>
        </w:rPr>
        <w:t xml:space="preserve"> </w:t>
      </w:r>
      <w:r w:rsidRPr="00182B28">
        <w:rPr>
          <w:bCs/>
        </w:rPr>
        <w:t xml:space="preserve">Division of the High Court, </w:t>
      </w:r>
      <w:r w:rsidR="00770E3B" w:rsidRPr="00182B28">
        <w:rPr>
          <w:bCs/>
        </w:rPr>
        <w:t>Cape Town</w:t>
      </w:r>
      <w:r w:rsidRPr="00182B28">
        <w:rPr>
          <w:bCs/>
        </w:rPr>
        <w:t xml:space="preserve"> (</w:t>
      </w:r>
      <w:r w:rsidR="00115C71" w:rsidRPr="00182B28">
        <w:rPr>
          <w:bCs/>
        </w:rPr>
        <w:t>Mangcu</w:t>
      </w:r>
      <w:r w:rsidR="00115C71" w:rsidRPr="00182B28">
        <w:rPr>
          <w:bCs/>
        </w:rPr>
        <w:noBreakHyphen/>
      </w:r>
      <w:r w:rsidR="00770E3B" w:rsidRPr="00182B28">
        <w:rPr>
          <w:bCs/>
        </w:rPr>
        <w:t>Lockwood</w:t>
      </w:r>
      <w:r w:rsidRPr="00182B28">
        <w:rPr>
          <w:bCs/>
        </w:rPr>
        <w:t xml:space="preserve"> </w:t>
      </w:r>
      <w:r w:rsidR="00770E3B" w:rsidRPr="00182B28">
        <w:rPr>
          <w:bCs/>
        </w:rPr>
        <w:t>A</w:t>
      </w:r>
      <w:r w:rsidRPr="00182B28">
        <w:rPr>
          <w:bCs/>
        </w:rPr>
        <w:t>J sitting as court of first instance):</w:t>
      </w:r>
    </w:p>
    <w:p w14:paraId="68218E6E" w14:textId="77777777" w:rsidR="00D241E2" w:rsidRPr="00182B28" w:rsidRDefault="00D241E2" w:rsidP="00770E3B">
      <w:r w:rsidRPr="00182B28">
        <w:t>1</w:t>
      </w:r>
      <w:r w:rsidRPr="00182B28">
        <w:tab/>
        <w:t xml:space="preserve">The appeal is </w:t>
      </w:r>
      <w:r w:rsidR="00770E3B" w:rsidRPr="00182B28">
        <w:t>struck from the roll.</w:t>
      </w:r>
    </w:p>
    <w:p w14:paraId="6A620161" w14:textId="5AC368A8" w:rsidR="001315C4" w:rsidRDefault="00D241E2" w:rsidP="00CE7F16">
      <w:pPr>
        <w:ind w:left="720" w:hanging="720"/>
      </w:pPr>
      <w:r w:rsidRPr="00182B28">
        <w:t>2</w:t>
      </w:r>
      <w:r w:rsidRPr="00182B28">
        <w:tab/>
      </w:r>
      <w:r w:rsidR="00C91ECA" w:rsidRPr="00182B28">
        <w:t>The a</w:t>
      </w:r>
      <w:r w:rsidR="00770E3B" w:rsidRPr="00182B28">
        <w:t>ppellants</w:t>
      </w:r>
      <w:r w:rsidR="00C91ECA" w:rsidRPr="00182B28">
        <w:t xml:space="preserve"> </w:t>
      </w:r>
      <w:r w:rsidR="002735D5" w:rsidRPr="00182B28">
        <w:t xml:space="preserve">shall </w:t>
      </w:r>
      <w:r w:rsidR="00C91ECA" w:rsidRPr="00182B28">
        <w:t>jointly and severally</w:t>
      </w:r>
      <w:r w:rsidR="00770E3B" w:rsidRPr="00182B28">
        <w:t xml:space="preserve"> bear the respondents’ costs</w:t>
      </w:r>
      <w:r w:rsidR="00E97BEF" w:rsidRPr="00182B28">
        <w:t>,</w:t>
      </w:r>
      <w:r w:rsidR="00786F22" w:rsidRPr="00182B28">
        <w:t xml:space="preserve"> the one paying the others to be absolved,</w:t>
      </w:r>
      <w:r w:rsidR="00770E3B" w:rsidRPr="00182B28">
        <w:t xml:space="preserve"> including the costs of two counsel.</w:t>
      </w:r>
    </w:p>
    <w:p w14:paraId="1243BF33" w14:textId="77777777" w:rsidR="00C94B4E" w:rsidRPr="00182B28" w:rsidRDefault="00C94B4E" w:rsidP="006620D7">
      <w:pPr>
        <w:rPr>
          <w:lang w:val="en-ZA" w:eastAsia="en-ZA"/>
        </w:rPr>
      </w:pPr>
    </w:p>
    <w:p w14:paraId="4CDBC3E6" w14:textId="77777777" w:rsidR="00E3021E" w:rsidRPr="00182B28" w:rsidRDefault="00E3021E" w:rsidP="008E0CEF">
      <w:r w:rsidRPr="00182B28">
        <w:rPr>
          <w:b/>
        </w:rPr>
        <w:t>___________________________________________________________________</w:t>
      </w:r>
      <w:r w:rsidR="00E86255" w:rsidRPr="00182B28">
        <w:rPr>
          <w:b/>
        </w:rPr>
        <w:t>_</w:t>
      </w:r>
      <w:r w:rsidR="00556649" w:rsidRPr="00182B28">
        <w:rPr>
          <w:b/>
        </w:rPr>
        <w:t>__</w:t>
      </w:r>
    </w:p>
    <w:p w14:paraId="25F72A58" w14:textId="77777777" w:rsidR="00E3021E" w:rsidRPr="00182B28" w:rsidRDefault="00E3021E" w:rsidP="002B1FA6">
      <w:pPr>
        <w:jc w:val="center"/>
        <w:rPr>
          <w:b/>
          <w:bCs/>
        </w:rPr>
      </w:pPr>
    </w:p>
    <w:p w14:paraId="16203901" w14:textId="77777777" w:rsidR="00E3021E" w:rsidRPr="00182B28" w:rsidRDefault="00E3021E" w:rsidP="008E0CEF">
      <w:pPr>
        <w:jc w:val="center"/>
        <w:rPr>
          <w:b/>
          <w:bCs/>
        </w:rPr>
      </w:pPr>
      <w:r w:rsidRPr="00182B28">
        <w:rPr>
          <w:b/>
          <w:bCs/>
        </w:rPr>
        <w:t>JUDGMENT</w:t>
      </w:r>
    </w:p>
    <w:p w14:paraId="6D379654" w14:textId="77777777" w:rsidR="00E3021E" w:rsidRPr="00182B28" w:rsidRDefault="00E3021E" w:rsidP="008E0CEF">
      <w:pPr>
        <w:jc w:val="center"/>
      </w:pPr>
      <w:r w:rsidRPr="00182B28">
        <w:rPr>
          <w:b/>
        </w:rPr>
        <w:t>_</w:t>
      </w:r>
      <w:r w:rsidR="00DB1F4D" w:rsidRPr="00182B28">
        <w:rPr>
          <w:b/>
        </w:rPr>
        <w:t>__</w:t>
      </w:r>
      <w:r w:rsidRPr="00182B28">
        <w:rPr>
          <w:b/>
        </w:rPr>
        <w:t>___________________________________________________________________</w:t>
      </w:r>
    </w:p>
    <w:p w14:paraId="73D2CBE5" w14:textId="7BAD50D5" w:rsidR="00C91ECA" w:rsidRPr="00182B28" w:rsidRDefault="00770E3B" w:rsidP="001A6B5A">
      <w:pPr>
        <w:spacing w:before="240"/>
        <w:rPr>
          <w:b/>
        </w:rPr>
      </w:pPr>
      <w:r w:rsidRPr="00182B28">
        <w:rPr>
          <w:b/>
        </w:rPr>
        <w:t>Molefe A</w:t>
      </w:r>
      <w:r w:rsidR="0024091C" w:rsidRPr="00182B28">
        <w:rPr>
          <w:b/>
        </w:rPr>
        <w:t>JA: (</w:t>
      </w:r>
      <w:r w:rsidR="00DF7934">
        <w:rPr>
          <w:b/>
        </w:rPr>
        <w:t>Petse DP and Zondi, Gorven and Dlodlo</w:t>
      </w:r>
      <w:r w:rsidR="0024091C" w:rsidRPr="00182B28">
        <w:rPr>
          <w:b/>
        </w:rPr>
        <w:t xml:space="preserve"> JJA </w:t>
      </w:r>
      <w:r w:rsidR="00210B90" w:rsidRPr="00182B28">
        <w:rPr>
          <w:b/>
        </w:rPr>
        <w:t>concurring</w:t>
      </w:r>
      <w:r w:rsidR="0024091C" w:rsidRPr="00182B28">
        <w:rPr>
          <w:b/>
        </w:rPr>
        <w:t>)</w:t>
      </w:r>
      <w:r w:rsidR="006E0085" w:rsidRPr="00182B28">
        <w:rPr>
          <w:b/>
        </w:rPr>
        <w:t>:</w:t>
      </w:r>
      <w:r w:rsidR="0024091C" w:rsidRPr="00182B28">
        <w:rPr>
          <w:b/>
        </w:rPr>
        <w:t xml:space="preserve"> </w:t>
      </w:r>
      <w:bookmarkEnd w:id="0"/>
    </w:p>
    <w:p w14:paraId="78E511D0" w14:textId="35801F9D" w:rsidR="00770E3B" w:rsidRPr="00182B28" w:rsidRDefault="00770E3B" w:rsidP="00312D93">
      <w:pPr>
        <w:contextualSpacing/>
        <w:rPr>
          <w:rFonts w:eastAsia="Calibri"/>
          <w:b/>
          <w:lang w:val="en-ZA" w:eastAsia="en-US"/>
        </w:rPr>
      </w:pPr>
      <w:r w:rsidRPr="00182B28">
        <w:rPr>
          <w:rFonts w:eastAsia="Calibri"/>
          <w:lang w:val="en-ZA" w:eastAsia="en-US"/>
        </w:rPr>
        <w:t>[1]</w:t>
      </w:r>
      <w:r w:rsidRPr="00182B28">
        <w:rPr>
          <w:rFonts w:eastAsia="Calibri"/>
          <w:lang w:val="en-ZA" w:eastAsia="en-US"/>
        </w:rPr>
        <w:tab/>
        <w:t xml:space="preserve">This appeal turns on the </w:t>
      </w:r>
      <w:r w:rsidR="00E97BEF" w:rsidRPr="00182B28">
        <w:rPr>
          <w:rFonts w:eastAsia="Calibri"/>
          <w:lang w:val="en-ZA" w:eastAsia="en-US"/>
        </w:rPr>
        <w:t>appealability</w:t>
      </w:r>
      <w:r w:rsidRPr="00182B28">
        <w:rPr>
          <w:rFonts w:eastAsia="Calibri"/>
          <w:lang w:val="en-ZA" w:eastAsia="en-US"/>
        </w:rPr>
        <w:t xml:space="preserve"> of </w:t>
      </w:r>
      <w:r w:rsidR="00E97BEF" w:rsidRPr="00182B28">
        <w:rPr>
          <w:rFonts w:eastAsia="Calibri"/>
          <w:lang w:val="en-ZA" w:eastAsia="en-US"/>
        </w:rPr>
        <w:t>the</w:t>
      </w:r>
      <w:r w:rsidRPr="00182B28">
        <w:rPr>
          <w:rFonts w:eastAsia="Calibri"/>
          <w:lang w:val="en-ZA" w:eastAsia="en-US"/>
        </w:rPr>
        <w:t xml:space="preserve"> order made by the Western</w:t>
      </w:r>
      <w:r w:rsidR="007614E2" w:rsidRPr="00182B28">
        <w:rPr>
          <w:rFonts w:eastAsia="Calibri"/>
          <w:lang w:val="en-ZA" w:eastAsia="en-US"/>
        </w:rPr>
        <w:t> </w:t>
      </w:r>
      <w:r w:rsidRPr="00182B28">
        <w:rPr>
          <w:rFonts w:eastAsia="Calibri"/>
          <w:lang w:val="en-ZA" w:eastAsia="en-US"/>
        </w:rPr>
        <w:t>Cape</w:t>
      </w:r>
      <w:r w:rsidR="007614E2" w:rsidRPr="00182B28">
        <w:rPr>
          <w:rFonts w:eastAsia="Calibri"/>
          <w:lang w:val="en-ZA" w:eastAsia="en-US"/>
        </w:rPr>
        <w:t> </w:t>
      </w:r>
      <w:r w:rsidRPr="00182B28">
        <w:rPr>
          <w:rFonts w:eastAsia="Calibri"/>
          <w:lang w:val="en-ZA" w:eastAsia="en-US"/>
        </w:rPr>
        <w:t>Division of the High Court</w:t>
      </w:r>
      <w:r w:rsidR="00632524">
        <w:rPr>
          <w:rFonts w:eastAsia="Calibri"/>
          <w:lang w:val="en-ZA" w:eastAsia="en-US"/>
        </w:rPr>
        <w:t>, Cape Town</w:t>
      </w:r>
      <w:r w:rsidR="00E97BEF" w:rsidRPr="00182B28">
        <w:rPr>
          <w:rFonts w:eastAsia="Calibri"/>
          <w:lang w:val="en-ZA" w:eastAsia="en-US"/>
        </w:rPr>
        <w:t xml:space="preserve"> (the high court)</w:t>
      </w:r>
      <w:r w:rsidRPr="00182B28">
        <w:rPr>
          <w:rFonts w:eastAsia="Calibri"/>
          <w:lang w:val="en-ZA" w:eastAsia="en-US"/>
        </w:rPr>
        <w:t xml:space="preserve"> on </w:t>
      </w:r>
      <w:r w:rsidR="00E97BEF" w:rsidRPr="00182B28">
        <w:rPr>
          <w:rFonts w:eastAsia="Calibri"/>
          <w:lang w:val="en-ZA" w:eastAsia="en-US"/>
        </w:rPr>
        <w:t>9 March 2020 (</w:t>
      </w:r>
      <w:r w:rsidRPr="00182B28">
        <w:rPr>
          <w:rFonts w:eastAsia="Calibri"/>
          <w:lang w:val="en-ZA" w:eastAsia="en-US"/>
        </w:rPr>
        <w:t xml:space="preserve">the </w:t>
      </w:r>
      <w:r w:rsidR="0035098A" w:rsidRPr="00182B28">
        <w:rPr>
          <w:rFonts w:eastAsia="Calibri"/>
          <w:lang w:val="en-ZA" w:eastAsia="en-US"/>
        </w:rPr>
        <w:t>20</w:t>
      </w:r>
      <w:r w:rsidR="00E97BEF" w:rsidRPr="00182B28">
        <w:rPr>
          <w:rFonts w:eastAsia="Calibri"/>
          <w:lang w:val="en-ZA" w:eastAsia="en-US"/>
        </w:rPr>
        <w:t>20</w:t>
      </w:r>
      <w:r w:rsidR="0035098A" w:rsidRPr="00182B28">
        <w:rPr>
          <w:rFonts w:eastAsia="Calibri"/>
          <w:lang w:val="en-ZA" w:eastAsia="en-US"/>
        </w:rPr>
        <w:t xml:space="preserve"> o</w:t>
      </w:r>
      <w:r w:rsidR="00E97BEF" w:rsidRPr="00182B28">
        <w:rPr>
          <w:rFonts w:eastAsia="Calibri"/>
          <w:lang w:val="en-ZA" w:eastAsia="en-US"/>
        </w:rPr>
        <w:t>rder</w:t>
      </w:r>
      <w:r w:rsidRPr="00182B28">
        <w:rPr>
          <w:rFonts w:eastAsia="Calibri"/>
          <w:lang w:val="en-ZA" w:eastAsia="en-US"/>
        </w:rPr>
        <w:t>)</w:t>
      </w:r>
      <w:r w:rsidR="00C91ECA" w:rsidRPr="00182B28">
        <w:rPr>
          <w:rFonts w:eastAsia="Calibri"/>
          <w:lang w:val="en-ZA" w:eastAsia="en-US"/>
        </w:rPr>
        <w:t>,</w:t>
      </w:r>
      <w:r w:rsidRPr="00182B28">
        <w:rPr>
          <w:rFonts w:eastAsia="Calibri"/>
          <w:lang w:val="en-ZA" w:eastAsia="en-US"/>
        </w:rPr>
        <w:t xml:space="preserve"> </w:t>
      </w:r>
      <w:r w:rsidR="00E97BEF" w:rsidRPr="00182B28">
        <w:rPr>
          <w:rFonts w:eastAsia="Calibri"/>
          <w:lang w:val="en-ZA" w:eastAsia="en-US"/>
        </w:rPr>
        <w:t>enforcing the terms of the order –</w:t>
      </w:r>
      <w:r w:rsidRPr="00182B28">
        <w:rPr>
          <w:rFonts w:eastAsia="Calibri"/>
          <w:lang w:val="en-ZA" w:eastAsia="en-US"/>
        </w:rPr>
        <w:t xml:space="preserve"> granted by agreement between the parties</w:t>
      </w:r>
      <w:r w:rsidR="00E97BEF" w:rsidRPr="00182B28">
        <w:rPr>
          <w:rFonts w:eastAsia="Calibri"/>
          <w:lang w:val="en-ZA" w:eastAsia="en-US"/>
        </w:rPr>
        <w:t xml:space="preserve"> – on 2 June 2015 (the 2015 order)</w:t>
      </w:r>
      <w:r w:rsidRPr="00182B28">
        <w:rPr>
          <w:rFonts w:eastAsia="Calibri"/>
          <w:lang w:val="en-ZA" w:eastAsia="en-US"/>
        </w:rPr>
        <w:t xml:space="preserve">. </w:t>
      </w:r>
      <w:r w:rsidR="00E97BEF" w:rsidRPr="00182B28">
        <w:rPr>
          <w:rFonts w:eastAsia="Calibri"/>
          <w:lang w:val="en-ZA" w:eastAsia="en-US"/>
        </w:rPr>
        <w:t xml:space="preserve">The 2020 order (per Mangcu-Lockwood AJ) in </w:t>
      </w:r>
      <w:r w:rsidR="002B64BE" w:rsidRPr="00182B28">
        <w:rPr>
          <w:rFonts w:eastAsia="Calibri"/>
          <w:lang w:val="en-ZA" w:eastAsia="en-US"/>
        </w:rPr>
        <w:t>essence</w:t>
      </w:r>
      <w:r w:rsidR="00A02175" w:rsidRPr="00182B28">
        <w:rPr>
          <w:rFonts w:eastAsia="Calibri"/>
          <w:lang w:val="en-ZA" w:eastAsia="en-US"/>
        </w:rPr>
        <w:t xml:space="preserve">, </w:t>
      </w:r>
      <w:r w:rsidRPr="00182B28">
        <w:rPr>
          <w:rFonts w:eastAsia="Calibri"/>
          <w:lang w:val="en-ZA" w:eastAsia="en-US"/>
        </w:rPr>
        <w:t>confirmed the 2015 order and ordered compliance therewith. It is against this 2020 order that this appeal is directed</w:t>
      </w:r>
      <w:r w:rsidR="00E97BEF" w:rsidRPr="00182B28">
        <w:rPr>
          <w:rFonts w:eastAsia="Calibri"/>
          <w:lang w:val="en-ZA" w:eastAsia="en-US"/>
        </w:rPr>
        <w:t xml:space="preserve"> and is before us with the leave of </w:t>
      </w:r>
      <w:r w:rsidR="002B64BE" w:rsidRPr="00182B28">
        <w:rPr>
          <w:rFonts w:eastAsia="Calibri"/>
          <w:lang w:val="en-ZA" w:eastAsia="en-US"/>
        </w:rPr>
        <w:t>this Court</w:t>
      </w:r>
      <w:r w:rsidRPr="00182B28">
        <w:rPr>
          <w:rFonts w:eastAsia="Calibri"/>
          <w:lang w:val="en-ZA" w:eastAsia="en-US"/>
        </w:rPr>
        <w:t>.</w:t>
      </w:r>
    </w:p>
    <w:p w14:paraId="06E9620F" w14:textId="77777777" w:rsidR="00770E3B" w:rsidRPr="00182B28" w:rsidRDefault="00770E3B" w:rsidP="00312D93">
      <w:pPr>
        <w:contextualSpacing/>
        <w:rPr>
          <w:rFonts w:eastAsia="Calibri"/>
          <w:lang w:val="en-ZA" w:eastAsia="en-US"/>
        </w:rPr>
      </w:pPr>
    </w:p>
    <w:p w14:paraId="426398EA" w14:textId="41ED3AA8" w:rsidR="00770E3B" w:rsidRPr="00182B28" w:rsidRDefault="00770E3B" w:rsidP="00312D93">
      <w:pPr>
        <w:contextualSpacing/>
        <w:rPr>
          <w:rFonts w:eastAsia="Calibri"/>
          <w:b/>
          <w:lang w:val="en-ZA" w:eastAsia="en-US"/>
        </w:rPr>
      </w:pPr>
      <w:r w:rsidRPr="00182B28">
        <w:rPr>
          <w:rFonts w:eastAsia="Calibri"/>
          <w:lang w:val="en-ZA" w:eastAsia="en-US"/>
        </w:rPr>
        <w:t>[2]</w:t>
      </w:r>
      <w:r w:rsidRPr="00182B28">
        <w:rPr>
          <w:rFonts w:eastAsia="Calibri"/>
          <w:lang w:val="en-ZA" w:eastAsia="en-US"/>
        </w:rPr>
        <w:tab/>
        <w:t>The 2015 order was granted pursuant to proceedings instituted by the respondent</w:t>
      </w:r>
      <w:r w:rsidR="00C91ECA" w:rsidRPr="00182B28">
        <w:rPr>
          <w:rFonts w:eastAsia="Calibri"/>
          <w:lang w:val="en-ZA" w:eastAsia="en-US"/>
        </w:rPr>
        <w:t>s</w:t>
      </w:r>
      <w:r w:rsidRPr="00182B28">
        <w:rPr>
          <w:rFonts w:eastAsia="Calibri"/>
          <w:lang w:val="en-ZA" w:eastAsia="en-US"/>
        </w:rPr>
        <w:t xml:space="preserve"> for relief arising from the </w:t>
      </w:r>
      <w:r w:rsidR="00295BD8" w:rsidRPr="00182B28">
        <w:rPr>
          <w:rFonts w:eastAsia="Calibri"/>
          <w:lang w:val="en-ZA" w:eastAsia="en-US"/>
        </w:rPr>
        <w:t>appellants</w:t>
      </w:r>
      <w:r w:rsidR="002522A9">
        <w:rPr>
          <w:rFonts w:eastAsia="Calibri"/>
          <w:lang w:val="en-ZA" w:eastAsia="en-US"/>
        </w:rPr>
        <w:t>’</w:t>
      </w:r>
      <w:r w:rsidR="00295BD8" w:rsidRPr="00182B28">
        <w:rPr>
          <w:rFonts w:eastAsia="Calibri"/>
          <w:lang w:val="en-ZA" w:eastAsia="en-US"/>
        </w:rPr>
        <w:t xml:space="preserve"> </w:t>
      </w:r>
      <w:r w:rsidR="002735D5" w:rsidRPr="00182B28">
        <w:rPr>
          <w:rFonts w:eastAsia="Calibri"/>
          <w:lang w:val="en-ZA" w:eastAsia="en-US"/>
        </w:rPr>
        <w:t xml:space="preserve">alleged </w:t>
      </w:r>
      <w:r w:rsidRPr="00182B28">
        <w:rPr>
          <w:rFonts w:eastAsia="Calibri"/>
          <w:lang w:val="en-ZA" w:eastAsia="en-US"/>
        </w:rPr>
        <w:t>misappropriation of the confidenti</w:t>
      </w:r>
      <w:r w:rsidR="0035098A" w:rsidRPr="00182B28">
        <w:rPr>
          <w:rFonts w:eastAsia="Calibri"/>
          <w:lang w:val="en-ZA" w:eastAsia="en-US"/>
        </w:rPr>
        <w:t>al information relating to the auger</w:t>
      </w:r>
      <w:r w:rsidRPr="00182B28">
        <w:rPr>
          <w:rFonts w:eastAsia="Calibri"/>
          <w:lang w:val="en-ZA" w:eastAsia="en-US"/>
        </w:rPr>
        <w:t xml:space="preserve"> manufacturing process and machinery of the first respondent, as well as the unlawful use of such information, thereby unlawfully competing with the first respondent.</w:t>
      </w:r>
    </w:p>
    <w:p w14:paraId="01EE1D15" w14:textId="77777777" w:rsidR="00770E3B" w:rsidRPr="00182B28" w:rsidRDefault="00770E3B" w:rsidP="00312D93">
      <w:pPr>
        <w:contextualSpacing/>
        <w:rPr>
          <w:rFonts w:eastAsia="Calibri"/>
          <w:lang w:val="en-ZA" w:eastAsia="en-US"/>
        </w:rPr>
      </w:pPr>
    </w:p>
    <w:p w14:paraId="26DE5A77" w14:textId="26D3B2BB" w:rsidR="00770E3B" w:rsidRPr="00182B28" w:rsidRDefault="00770E3B" w:rsidP="00312D93">
      <w:pPr>
        <w:contextualSpacing/>
        <w:rPr>
          <w:rFonts w:eastAsia="Calibri"/>
          <w:b/>
          <w:lang w:val="en-ZA" w:eastAsia="en-US"/>
        </w:rPr>
      </w:pPr>
      <w:r w:rsidRPr="00182B28">
        <w:rPr>
          <w:rFonts w:eastAsia="Calibri"/>
          <w:lang w:val="en-ZA" w:eastAsia="en-US"/>
        </w:rPr>
        <w:lastRenderedPageBreak/>
        <w:t>[3]</w:t>
      </w:r>
      <w:r w:rsidRPr="00182B28">
        <w:rPr>
          <w:rFonts w:eastAsia="Calibri"/>
          <w:lang w:val="en-ZA" w:eastAsia="en-US"/>
        </w:rPr>
        <w:tab/>
        <w:t xml:space="preserve">The relevant background of the 2015 order is briefly as follows. The third </w:t>
      </w:r>
      <w:r w:rsidR="000C6E09" w:rsidRPr="00182B28">
        <w:rPr>
          <w:rFonts w:eastAsia="Calibri"/>
          <w:lang w:val="en-ZA" w:eastAsia="en-US"/>
        </w:rPr>
        <w:t>appellant</w:t>
      </w:r>
      <w:r w:rsidRPr="00182B28">
        <w:rPr>
          <w:rFonts w:eastAsia="Calibri"/>
          <w:lang w:val="en-ZA" w:eastAsia="en-US"/>
        </w:rPr>
        <w:t>, Mr Christia</w:t>
      </w:r>
      <w:r w:rsidR="00681BF6" w:rsidRPr="00182B28">
        <w:rPr>
          <w:rFonts w:eastAsia="Calibri"/>
          <w:lang w:val="en-ZA" w:eastAsia="en-US"/>
        </w:rPr>
        <w:t>a</w:t>
      </w:r>
      <w:r w:rsidRPr="00182B28">
        <w:rPr>
          <w:rFonts w:eastAsia="Calibri"/>
          <w:lang w:val="en-ZA" w:eastAsia="en-US"/>
        </w:rPr>
        <w:t>n Arnoldus Kurtz</w:t>
      </w:r>
      <w:r w:rsidR="002522A9">
        <w:rPr>
          <w:rFonts w:eastAsia="Calibri"/>
          <w:lang w:val="en-ZA" w:eastAsia="en-US"/>
        </w:rPr>
        <w:t xml:space="preserve"> (Mr Kurtz),</w:t>
      </w:r>
      <w:r w:rsidRPr="00182B28">
        <w:rPr>
          <w:rFonts w:eastAsia="Calibri"/>
          <w:lang w:val="en-ZA" w:eastAsia="en-US"/>
        </w:rPr>
        <w:t xml:space="preserve"> </w:t>
      </w:r>
      <w:r w:rsidR="00295BD8" w:rsidRPr="00182B28">
        <w:rPr>
          <w:rFonts w:eastAsia="Calibri"/>
          <w:lang w:val="en-ZA" w:eastAsia="en-US"/>
        </w:rPr>
        <w:t>was previously employed by</w:t>
      </w:r>
      <w:r w:rsidRPr="00182B28">
        <w:rPr>
          <w:rFonts w:eastAsia="Calibri"/>
          <w:lang w:val="en-ZA" w:eastAsia="en-US"/>
        </w:rPr>
        <w:t xml:space="preserve"> the first res</w:t>
      </w:r>
      <w:r w:rsidR="00295BD8" w:rsidRPr="00182B28">
        <w:rPr>
          <w:rFonts w:eastAsia="Calibri"/>
          <w:lang w:val="en-ZA" w:eastAsia="en-US"/>
        </w:rPr>
        <w:t xml:space="preserve">pondent as a plant engineer and, in the course of his employment, </w:t>
      </w:r>
      <w:r w:rsidRPr="00182B28">
        <w:rPr>
          <w:rFonts w:eastAsia="Calibri"/>
          <w:lang w:val="en-ZA" w:eastAsia="en-US"/>
        </w:rPr>
        <w:t>gained intimate knowledge of the ma</w:t>
      </w:r>
      <w:r w:rsidR="00337ED2" w:rsidRPr="00182B28">
        <w:rPr>
          <w:rFonts w:eastAsia="Calibri"/>
          <w:lang w:val="en-ZA" w:eastAsia="en-US"/>
        </w:rPr>
        <w:t>nufacturing process</w:t>
      </w:r>
      <w:r w:rsidR="00295BD8" w:rsidRPr="00182B28">
        <w:rPr>
          <w:rFonts w:eastAsia="Calibri"/>
          <w:lang w:val="en-ZA" w:eastAsia="en-US"/>
        </w:rPr>
        <w:t>es</w:t>
      </w:r>
      <w:r w:rsidR="00337ED2" w:rsidRPr="00182B28">
        <w:rPr>
          <w:rFonts w:eastAsia="Calibri"/>
          <w:lang w:val="en-ZA" w:eastAsia="en-US"/>
        </w:rPr>
        <w:t xml:space="preserve"> of the first</w:t>
      </w:r>
      <w:r w:rsidRPr="00182B28">
        <w:rPr>
          <w:rFonts w:eastAsia="Calibri"/>
          <w:lang w:val="en-ZA" w:eastAsia="en-US"/>
        </w:rPr>
        <w:t xml:space="preserve"> respondent. He had unfettered access to the first respondent’s technical drawings and technical data relating to the manufacturing process</w:t>
      </w:r>
      <w:r w:rsidR="00295BD8" w:rsidRPr="00182B28">
        <w:rPr>
          <w:rFonts w:eastAsia="Calibri"/>
          <w:lang w:val="en-ZA" w:eastAsia="en-US"/>
        </w:rPr>
        <w:t>es</w:t>
      </w:r>
      <w:r w:rsidRPr="00182B28">
        <w:rPr>
          <w:rFonts w:eastAsia="Calibri"/>
          <w:lang w:val="en-ZA" w:eastAsia="en-US"/>
        </w:rPr>
        <w:t>. As part of Mr Kurtz’s conditions of employment with the first respondent, he was obliged to enter into a confidentiality undertaking and restraint of trade agreement in favour of the first respondent.</w:t>
      </w:r>
    </w:p>
    <w:p w14:paraId="3B4144AD" w14:textId="77777777" w:rsidR="00770E3B" w:rsidRPr="00182B28" w:rsidRDefault="00770E3B" w:rsidP="00312D93">
      <w:pPr>
        <w:contextualSpacing/>
        <w:rPr>
          <w:rFonts w:eastAsia="Calibri"/>
          <w:lang w:val="en-ZA" w:eastAsia="en-US"/>
        </w:rPr>
      </w:pPr>
    </w:p>
    <w:p w14:paraId="51F4693A" w14:textId="65D56E8F" w:rsidR="00770E3B" w:rsidRPr="00182B28" w:rsidRDefault="00770E3B" w:rsidP="00312D93">
      <w:pPr>
        <w:contextualSpacing/>
        <w:rPr>
          <w:rFonts w:eastAsia="Calibri"/>
          <w:b/>
          <w:lang w:val="en-ZA" w:eastAsia="en-US"/>
        </w:rPr>
      </w:pPr>
      <w:r w:rsidRPr="00182B28">
        <w:rPr>
          <w:rFonts w:eastAsia="Calibri"/>
          <w:lang w:val="en-ZA" w:eastAsia="en-US"/>
        </w:rPr>
        <w:t>[4]</w:t>
      </w:r>
      <w:r w:rsidRPr="00182B28">
        <w:rPr>
          <w:rFonts w:eastAsia="Calibri"/>
          <w:lang w:val="en-ZA" w:eastAsia="en-US"/>
        </w:rPr>
        <w:tab/>
      </w:r>
      <w:r w:rsidR="00295BD8" w:rsidRPr="00182B28">
        <w:rPr>
          <w:rFonts w:eastAsia="Calibri"/>
          <w:lang w:val="en-ZA" w:eastAsia="en-US"/>
        </w:rPr>
        <w:t>During 2009</w:t>
      </w:r>
      <w:r w:rsidR="00EC6B98">
        <w:rPr>
          <w:rFonts w:eastAsia="Calibri"/>
          <w:lang w:val="en-ZA" w:eastAsia="en-US"/>
        </w:rPr>
        <w:t>,</w:t>
      </w:r>
      <w:r w:rsidR="00295BD8" w:rsidRPr="00182B28">
        <w:rPr>
          <w:rFonts w:eastAsia="Calibri"/>
          <w:lang w:val="en-ZA" w:eastAsia="en-US"/>
        </w:rPr>
        <w:t xml:space="preserve"> </w:t>
      </w:r>
      <w:r w:rsidRPr="00182B28">
        <w:rPr>
          <w:rFonts w:eastAsia="Calibri"/>
          <w:lang w:val="en-ZA" w:eastAsia="en-US"/>
        </w:rPr>
        <w:t>Mr Kurtz left the employ of the first respondent. Shortly thereafter, rumours emerged of a competitor</w:t>
      </w:r>
      <w:r w:rsidR="00EC6B98">
        <w:rPr>
          <w:rFonts w:eastAsia="Calibri"/>
          <w:lang w:val="en-ZA" w:eastAsia="en-US"/>
        </w:rPr>
        <w:t xml:space="preserve"> </w:t>
      </w:r>
      <w:r w:rsidRPr="00182B28">
        <w:rPr>
          <w:rFonts w:eastAsia="Calibri"/>
          <w:lang w:val="en-ZA" w:eastAsia="en-US"/>
        </w:rPr>
        <w:t xml:space="preserve">in </w:t>
      </w:r>
      <w:r w:rsidR="00295BD8" w:rsidRPr="00182B28">
        <w:rPr>
          <w:rFonts w:eastAsia="Calibri"/>
          <w:lang w:val="en-ZA" w:eastAsia="en-US"/>
        </w:rPr>
        <w:t>the</w:t>
      </w:r>
      <w:r w:rsidRPr="00182B28">
        <w:rPr>
          <w:rFonts w:eastAsia="Calibri"/>
          <w:lang w:val="en-ZA" w:eastAsia="en-US"/>
        </w:rPr>
        <w:t xml:space="preserve"> market </w:t>
      </w:r>
      <w:r w:rsidR="00295BD8" w:rsidRPr="00182B28">
        <w:rPr>
          <w:rFonts w:eastAsia="Calibri"/>
          <w:lang w:val="en-ZA" w:eastAsia="en-US"/>
        </w:rPr>
        <w:t>selling</w:t>
      </w:r>
      <w:r w:rsidRPr="00182B28">
        <w:rPr>
          <w:rFonts w:eastAsia="Calibri"/>
          <w:lang w:val="en-ZA" w:eastAsia="en-US"/>
        </w:rPr>
        <w:t xml:space="preserve"> a product similar to that of the first</w:t>
      </w:r>
      <w:r w:rsidR="00E402E8" w:rsidRPr="00182B28">
        <w:rPr>
          <w:rFonts w:eastAsia="Calibri"/>
          <w:lang w:val="en-ZA" w:eastAsia="en-US"/>
        </w:rPr>
        <w:t> </w:t>
      </w:r>
      <w:r w:rsidRPr="00182B28">
        <w:rPr>
          <w:rFonts w:eastAsia="Calibri"/>
          <w:lang w:val="en-ZA" w:eastAsia="en-US"/>
        </w:rPr>
        <w:t>respondent</w:t>
      </w:r>
      <w:r w:rsidR="00295BD8" w:rsidRPr="00182B28">
        <w:rPr>
          <w:rFonts w:eastAsia="Calibri"/>
          <w:lang w:val="en-ZA" w:eastAsia="en-US"/>
        </w:rPr>
        <w:t>. T</w:t>
      </w:r>
      <w:r w:rsidR="00C91ECA" w:rsidRPr="00182B28">
        <w:rPr>
          <w:rFonts w:eastAsia="Calibri"/>
          <w:lang w:val="en-ZA" w:eastAsia="en-US"/>
        </w:rPr>
        <w:t xml:space="preserve">he </w:t>
      </w:r>
      <w:r w:rsidR="00EC6B98">
        <w:rPr>
          <w:rFonts w:eastAsia="Calibri"/>
          <w:lang w:val="en-ZA" w:eastAsia="en-US"/>
        </w:rPr>
        <w:t>competitor’s</w:t>
      </w:r>
      <w:r w:rsidR="00295BD8" w:rsidRPr="00182B28">
        <w:rPr>
          <w:rFonts w:eastAsia="Calibri"/>
          <w:lang w:val="en-ZA" w:eastAsia="en-US"/>
        </w:rPr>
        <w:t xml:space="preserve"> </w:t>
      </w:r>
      <w:r w:rsidR="00C91ECA" w:rsidRPr="00182B28">
        <w:rPr>
          <w:rFonts w:eastAsia="Calibri"/>
          <w:lang w:val="en-ZA" w:eastAsia="en-US"/>
        </w:rPr>
        <w:t>product was</w:t>
      </w:r>
      <w:r w:rsidR="00F60771" w:rsidRPr="00182B28">
        <w:rPr>
          <w:rFonts w:eastAsia="Calibri"/>
          <w:lang w:val="en-ZA" w:eastAsia="en-US"/>
        </w:rPr>
        <w:t xml:space="preserve"> </w:t>
      </w:r>
      <w:r w:rsidR="00295BD8" w:rsidRPr="00182B28">
        <w:rPr>
          <w:rFonts w:eastAsia="Calibri"/>
          <w:lang w:val="en-ZA" w:eastAsia="en-US"/>
        </w:rPr>
        <w:t>offered for sale</w:t>
      </w:r>
      <w:r w:rsidRPr="00182B28">
        <w:rPr>
          <w:rFonts w:eastAsia="Calibri"/>
          <w:lang w:val="en-ZA" w:eastAsia="en-US"/>
        </w:rPr>
        <w:t xml:space="preserve"> </w:t>
      </w:r>
      <w:r w:rsidR="00E402E8" w:rsidRPr="00182B28">
        <w:rPr>
          <w:rFonts w:eastAsia="Calibri"/>
          <w:lang w:val="en-ZA" w:eastAsia="en-US"/>
        </w:rPr>
        <w:t xml:space="preserve">at </w:t>
      </w:r>
      <w:r w:rsidR="00295BD8" w:rsidRPr="00182B28">
        <w:rPr>
          <w:rFonts w:eastAsia="Calibri"/>
          <w:lang w:val="en-ZA" w:eastAsia="en-US"/>
        </w:rPr>
        <w:t xml:space="preserve">a </w:t>
      </w:r>
      <w:r w:rsidRPr="00182B28">
        <w:rPr>
          <w:rFonts w:eastAsia="Calibri"/>
          <w:lang w:val="en-ZA" w:eastAsia="en-US"/>
        </w:rPr>
        <w:t>lower price</w:t>
      </w:r>
      <w:r w:rsidR="00F60771" w:rsidRPr="00182B28">
        <w:rPr>
          <w:rFonts w:eastAsia="Calibri"/>
          <w:lang w:val="en-ZA" w:eastAsia="en-US"/>
        </w:rPr>
        <w:t xml:space="preserve"> than that of the first respondent</w:t>
      </w:r>
      <w:r w:rsidRPr="00182B28">
        <w:rPr>
          <w:rFonts w:eastAsia="Calibri"/>
          <w:lang w:val="en-ZA" w:eastAsia="en-US"/>
        </w:rPr>
        <w:t>. The competing enti</w:t>
      </w:r>
      <w:r w:rsidR="00337ED2" w:rsidRPr="00182B28">
        <w:rPr>
          <w:rFonts w:eastAsia="Calibri"/>
          <w:lang w:val="en-ZA" w:eastAsia="en-US"/>
        </w:rPr>
        <w:t>ty appeared to be RTS I</w:t>
      </w:r>
      <w:r w:rsidRPr="00182B28">
        <w:rPr>
          <w:rFonts w:eastAsia="Calibri"/>
          <w:lang w:val="en-ZA" w:eastAsia="en-US"/>
        </w:rPr>
        <w:t>ndustries</w:t>
      </w:r>
      <w:r w:rsidR="00893F54" w:rsidRPr="00182B28">
        <w:rPr>
          <w:rFonts w:eastAsia="Calibri"/>
          <w:lang w:val="en-ZA" w:eastAsia="en-US"/>
        </w:rPr>
        <w:t>,</w:t>
      </w:r>
      <w:r w:rsidRPr="00182B28">
        <w:rPr>
          <w:rFonts w:eastAsia="Calibri"/>
          <w:lang w:val="en-ZA" w:eastAsia="en-US"/>
        </w:rPr>
        <w:t xml:space="preserve"> the first appellant, but the first respondent was not able to ascertain the identity of the individual </w:t>
      </w:r>
      <w:r w:rsidR="00295BD8" w:rsidRPr="00182B28">
        <w:rPr>
          <w:rFonts w:eastAsia="Calibri"/>
          <w:lang w:val="en-ZA" w:eastAsia="en-US"/>
        </w:rPr>
        <w:t>who was the first appellant</w:t>
      </w:r>
      <w:r w:rsidR="00EC6B98">
        <w:rPr>
          <w:rFonts w:eastAsia="Calibri"/>
          <w:lang w:val="en-ZA" w:eastAsia="en-US"/>
        </w:rPr>
        <w:t>’</w:t>
      </w:r>
      <w:r w:rsidR="00295BD8" w:rsidRPr="00182B28">
        <w:rPr>
          <w:rFonts w:eastAsia="Calibri"/>
          <w:lang w:val="en-ZA" w:eastAsia="en-US"/>
        </w:rPr>
        <w:t xml:space="preserve">s controlling mind </w:t>
      </w:r>
      <w:r w:rsidRPr="00182B28">
        <w:rPr>
          <w:rFonts w:eastAsia="Calibri"/>
          <w:lang w:val="en-ZA" w:eastAsia="en-US"/>
        </w:rPr>
        <w:t xml:space="preserve">for </w:t>
      </w:r>
      <w:r w:rsidR="00F60771" w:rsidRPr="00182B28">
        <w:rPr>
          <w:rFonts w:eastAsia="Calibri"/>
          <w:lang w:val="en-ZA" w:eastAsia="en-US"/>
        </w:rPr>
        <w:t>some time</w:t>
      </w:r>
      <w:r w:rsidRPr="00182B28">
        <w:rPr>
          <w:rFonts w:eastAsia="Calibri"/>
          <w:lang w:val="en-ZA" w:eastAsia="en-US"/>
        </w:rPr>
        <w:t>. It was only in July 2014 that the first</w:t>
      </w:r>
      <w:r w:rsidR="00415A0E" w:rsidRPr="00182B28">
        <w:rPr>
          <w:rFonts w:eastAsia="Calibri"/>
          <w:lang w:val="en-ZA" w:eastAsia="en-US"/>
        </w:rPr>
        <w:t> </w:t>
      </w:r>
      <w:r w:rsidRPr="00182B28">
        <w:rPr>
          <w:rFonts w:eastAsia="Calibri"/>
          <w:lang w:val="en-ZA" w:eastAsia="en-US"/>
        </w:rPr>
        <w:t>respondent was able to confirm the in</w:t>
      </w:r>
      <w:r w:rsidR="00337ED2" w:rsidRPr="00182B28">
        <w:rPr>
          <w:rFonts w:eastAsia="Calibri"/>
          <w:lang w:val="en-ZA" w:eastAsia="en-US"/>
        </w:rPr>
        <w:t>volvement of Mr Kurtz with RTS I</w:t>
      </w:r>
      <w:r w:rsidRPr="00182B28">
        <w:rPr>
          <w:rFonts w:eastAsia="Calibri"/>
          <w:lang w:val="en-ZA" w:eastAsia="en-US"/>
        </w:rPr>
        <w:t>ndustries</w:t>
      </w:r>
      <w:r w:rsidR="003E0E5E" w:rsidRPr="00182B28">
        <w:rPr>
          <w:rFonts w:eastAsia="Calibri"/>
          <w:lang w:val="en-ZA" w:eastAsia="en-US"/>
        </w:rPr>
        <w:t xml:space="preserve"> and</w:t>
      </w:r>
      <w:r w:rsidR="002E1F33" w:rsidRPr="00182B28">
        <w:rPr>
          <w:rFonts w:eastAsia="Calibri"/>
          <w:lang w:val="en-ZA" w:eastAsia="en-US"/>
        </w:rPr>
        <w:t>, as a result,</w:t>
      </w:r>
      <w:r w:rsidRPr="00182B28">
        <w:rPr>
          <w:rFonts w:eastAsia="Calibri"/>
          <w:lang w:val="en-ZA" w:eastAsia="en-US"/>
        </w:rPr>
        <w:t xml:space="preserve"> the 2014 application</w:t>
      </w:r>
      <w:r w:rsidR="00EC6B98">
        <w:rPr>
          <w:rFonts w:eastAsia="Calibri"/>
          <w:lang w:val="en-ZA" w:eastAsia="en-US"/>
        </w:rPr>
        <w:t>,</w:t>
      </w:r>
      <w:r w:rsidR="002E1F33" w:rsidRPr="00182B28">
        <w:rPr>
          <w:rFonts w:eastAsia="Calibri"/>
          <w:lang w:val="en-ZA" w:eastAsia="en-US"/>
        </w:rPr>
        <w:t xml:space="preserve"> which culminated in the 2015 order</w:t>
      </w:r>
      <w:r w:rsidR="00EC6B98">
        <w:rPr>
          <w:rFonts w:eastAsia="Calibri"/>
          <w:lang w:val="en-ZA" w:eastAsia="en-US"/>
        </w:rPr>
        <w:t>,</w:t>
      </w:r>
      <w:r w:rsidR="00A02175" w:rsidRPr="00182B28">
        <w:rPr>
          <w:rFonts w:eastAsia="Calibri"/>
          <w:lang w:val="en-ZA" w:eastAsia="en-US"/>
        </w:rPr>
        <w:t xml:space="preserve"> was launched</w:t>
      </w:r>
      <w:r w:rsidR="003E0E5E" w:rsidRPr="00182B28">
        <w:rPr>
          <w:rFonts w:eastAsia="Calibri"/>
          <w:lang w:val="en-ZA" w:eastAsia="en-US"/>
        </w:rPr>
        <w:t>.</w:t>
      </w:r>
      <w:r w:rsidRPr="00182B28">
        <w:rPr>
          <w:rFonts w:eastAsia="Calibri"/>
          <w:lang w:val="en-ZA" w:eastAsia="en-US"/>
        </w:rPr>
        <w:t xml:space="preserve"> </w:t>
      </w:r>
    </w:p>
    <w:p w14:paraId="2875C1BE" w14:textId="77777777" w:rsidR="00770E3B" w:rsidRPr="00182B28" w:rsidRDefault="00770E3B" w:rsidP="00312D93">
      <w:pPr>
        <w:contextualSpacing/>
        <w:rPr>
          <w:rFonts w:eastAsia="Calibri"/>
          <w:lang w:val="en-ZA" w:eastAsia="en-US"/>
        </w:rPr>
      </w:pPr>
    </w:p>
    <w:p w14:paraId="48967089" w14:textId="3C40B173" w:rsidR="00770E3B" w:rsidRPr="00182B28" w:rsidRDefault="00770E3B" w:rsidP="00770E3B">
      <w:pPr>
        <w:spacing w:after="160"/>
        <w:contextualSpacing/>
        <w:rPr>
          <w:rFonts w:eastAsia="Calibri"/>
          <w:lang w:val="en-ZA" w:eastAsia="en-US"/>
        </w:rPr>
      </w:pPr>
      <w:r w:rsidRPr="00182B28">
        <w:rPr>
          <w:rFonts w:eastAsia="Calibri"/>
          <w:lang w:val="en-ZA" w:eastAsia="en-US"/>
        </w:rPr>
        <w:t>[5]</w:t>
      </w:r>
      <w:r w:rsidRPr="00182B28">
        <w:rPr>
          <w:rFonts w:eastAsia="Calibri"/>
          <w:lang w:val="en-ZA" w:eastAsia="en-US"/>
        </w:rPr>
        <w:tab/>
        <w:t>Following the l</w:t>
      </w:r>
      <w:r w:rsidR="00F60771" w:rsidRPr="00182B28">
        <w:rPr>
          <w:rFonts w:eastAsia="Calibri"/>
          <w:lang w:val="en-ZA" w:eastAsia="en-US"/>
        </w:rPr>
        <w:t>a</w:t>
      </w:r>
      <w:r w:rsidRPr="00182B28">
        <w:rPr>
          <w:rFonts w:eastAsia="Calibri"/>
          <w:lang w:val="en-ZA" w:eastAsia="en-US"/>
        </w:rPr>
        <w:t>unch of the 2014 application, the first respondent came into possession of technical draw</w:t>
      </w:r>
      <w:r w:rsidR="002E1F33" w:rsidRPr="00182B28">
        <w:rPr>
          <w:rFonts w:eastAsia="Calibri"/>
          <w:lang w:val="en-ZA" w:eastAsia="en-US"/>
        </w:rPr>
        <w:t xml:space="preserve">ings prepared by the appellants. It was then discovered that </w:t>
      </w:r>
      <w:r w:rsidRPr="00182B28">
        <w:rPr>
          <w:rFonts w:eastAsia="Calibri"/>
          <w:lang w:val="en-ZA" w:eastAsia="en-US"/>
        </w:rPr>
        <w:t>these drawing</w:t>
      </w:r>
      <w:r w:rsidR="002E1F33" w:rsidRPr="00182B28">
        <w:rPr>
          <w:rFonts w:eastAsia="Calibri"/>
          <w:lang w:val="en-ZA" w:eastAsia="en-US"/>
        </w:rPr>
        <w:t>s</w:t>
      </w:r>
      <w:r w:rsidRPr="00182B28">
        <w:rPr>
          <w:rFonts w:eastAsia="Calibri"/>
          <w:lang w:val="en-ZA" w:eastAsia="en-US"/>
        </w:rPr>
        <w:t xml:space="preserve"> infringed the copyright of the first respondent in 1179 of its technical drawings. The appellants had made reproductions and adaptations of the copyrighted work. </w:t>
      </w:r>
      <w:r w:rsidR="00670FDE" w:rsidRPr="00182B28">
        <w:rPr>
          <w:rFonts w:eastAsia="Calibri"/>
          <w:lang w:val="en-ZA" w:eastAsia="en-US"/>
        </w:rPr>
        <w:t>Subsequently, t</w:t>
      </w:r>
      <w:r w:rsidRPr="00182B28">
        <w:rPr>
          <w:rFonts w:eastAsia="Calibri"/>
          <w:lang w:val="en-ZA" w:eastAsia="en-US"/>
        </w:rPr>
        <w:t xml:space="preserve">he notice of motion of </w:t>
      </w:r>
      <w:r w:rsidR="00337ED2" w:rsidRPr="00182B28">
        <w:rPr>
          <w:rFonts w:eastAsia="Calibri"/>
          <w:lang w:val="en-ZA" w:eastAsia="en-US"/>
        </w:rPr>
        <w:t xml:space="preserve">the </w:t>
      </w:r>
      <w:r w:rsidR="002B1FA6" w:rsidRPr="00182B28">
        <w:rPr>
          <w:rFonts w:eastAsia="Calibri"/>
          <w:lang w:val="en-ZA" w:eastAsia="en-US"/>
        </w:rPr>
        <w:t xml:space="preserve">2014 application was </w:t>
      </w:r>
      <w:r w:rsidRPr="00182B28">
        <w:rPr>
          <w:rFonts w:eastAsia="Calibri"/>
          <w:lang w:val="en-ZA" w:eastAsia="en-US"/>
        </w:rPr>
        <w:t xml:space="preserve">amended to include a prayer for relief based on </w:t>
      </w:r>
      <w:r w:rsidR="00EC6B98">
        <w:rPr>
          <w:rFonts w:eastAsia="Calibri"/>
          <w:lang w:val="en-ZA" w:eastAsia="en-US"/>
        </w:rPr>
        <w:t xml:space="preserve">the </w:t>
      </w:r>
      <w:r w:rsidRPr="00182B28">
        <w:rPr>
          <w:rFonts w:eastAsia="Calibri"/>
          <w:lang w:val="en-ZA" w:eastAsia="en-US"/>
        </w:rPr>
        <w:t>copyright infringement of the first respondent’s tech</w:t>
      </w:r>
      <w:r w:rsidR="00337ED2" w:rsidRPr="00182B28">
        <w:rPr>
          <w:rFonts w:eastAsia="Calibri"/>
          <w:lang w:val="en-ZA" w:eastAsia="en-US"/>
        </w:rPr>
        <w:t>nical drawings relating to its auger</w:t>
      </w:r>
      <w:r w:rsidRPr="00182B28">
        <w:rPr>
          <w:rFonts w:eastAsia="Calibri"/>
          <w:lang w:val="en-ZA" w:eastAsia="en-US"/>
        </w:rPr>
        <w:t xml:space="preserve"> machinery and equipment. It became clear from </w:t>
      </w:r>
      <w:r w:rsidR="00670FDE" w:rsidRPr="00182B28">
        <w:rPr>
          <w:rFonts w:eastAsia="Calibri"/>
          <w:lang w:val="en-ZA" w:eastAsia="en-US"/>
        </w:rPr>
        <w:t>the</w:t>
      </w:r>
      <w:r w:rsidRPr="00182B28">
        <w:rPr>
          <w:rFonts w:eastAsia="Calibri"/>
          <w:lang w:val="en-ZA" w:eastAsia="en-US"/>
        </w:rPr>
        <w:t xml:space="preserve"> discover</w:t>
      </w:r>
      <w:r w:rsidR="00670FDE" w:rsidRPr="00182B28">
        <w:rPr>
          <w:rFonts w:eastAsia="Calibri"/>
          <w:lang w:val="en-ZA" w:eastAsia="en-US"/>
        </w:rPr>
        <w:t>y</w:t>
      </w:r>
      <w:r w:rsidRPr="00182B28">
        <w:rPr>
          <w:rFonts w:eastAsia="Calibri"/>
          <w:lang w:val="en-ZA" w:eastAsia="en-US"/>
        </w:rPr>
        <w:t xml:space="preserve"> </w:t>
      </w:r>
      <w:r w:rsidR="00EC6B98">
        <w:rPr>
          <w:rFonts w:eastAsia="Calibri"/>
          <w:lang w:val="en-ZA" w:eastAsia="en-US"/>
        </w:rPr>
        <w:t xml:space="preserve">process </w:t>
      </w:r>
      <w:r w:rsidRPr="00182B28">
        <w:rPr>
          <w:rFonts w:eastAsia="Calibri"/>
          <w:lang w:val="en-ZA" w:eastAsia="en-US"/>
        </w:rPr>
        <w:t>that the second appellant</w:t>
      </w:r>
      <w:r w:rsidR="00EC6B98">
        <w:rPr>
          <w:rFonts w:eastAsia="Calibri"/>
          <w:lang w:val="en-ZA" w:eastAsia="en-US"/>
        </w:rPr>
        <w:t>, CGC Industries (Pty) Ltd,</w:t>
      </w:r>
      <w:r w:rsidRPr="00182B28">
        <w:rPr>
          <w:rFonts w:eastAsia="Calibri"/>
          <w:lang w:val="en-ZA" w:eastAsia="en-US"/>
        </w:rPr>
        <w:t xml:space="preserve"> and Mr Kurtz had unlawfully com</w:t>
      </w:r>
      <w:r w:rsidR="002B64BE" w:rsidRPr="00182B28">
        <w:rPr>
          <w:rFonts w:eastAsia="Calibri"/>
          <w:lang w:val="en-ZA" w:eastAsia="en-US"/>
        </w:rPr>
        <w:t>peted with the first respondent</w:t>
      </w:r>
      <w:r w:rsidR="005A6C97" w:rsidRPr="00182B28">
        <w:rPr>
          <w:rFonts w:eastAsia="Calibri"/>
          <w:lang w:val="en-ZA" w:eastAsia="en-US"/>
        </w:rPr>
        <w:t xml:space="preserve"> between</w:t>
      </w:r>
      <w:r w:rsidRPr="00182B28">
        <w:rPr>
          <w:rFonts w:eastAsia="Calibri"/>
          <w:lang w:val="en-ZA" w:eastAsia="en-US"/>
        </w:rPr>
        <w:t xml:space="preserve"> 2009 </w:t>
      </w:r>
      <w:r w:rsidR="005A6C97" w:rsidRPr="00182B28">
        <w:rPr>
          <w:rFonts w:eastAsia="Calibri"/>
          <w:lang w:val="en-ZA" w:eastAsia="en-US"/>
        </w:rPr>
        <w:t>and</w:t>
      </w:r>
      <w:r w:rsidRPr="00182B28">
        <w:rPr>
          <w:rFonts w:eastAsia="Calibri"/>
          <w:lang w:val="en-ZA" w:eastAsia="en-US"/>
        </w:rPr>
        <w:t xml:space="preserve"> June 2015. Thereupon</w:t>
      </w:r>
      <w:r w:rsidR="00F56F12" w:rsidRPr="00182B28">
        <w:rPr>
          <w:rFonts w:eastAsia="Calibri"/>
          <w:lang w:val="en-ZA" w:eastAsia="en-US"/>
        </w:rPr>
        <w:t>,</w:t>
      </w:r>
      <w:r w:rsidRPr="00182B28">
        <w:rPr>
          <w:rFonts w:eastAsia="Calibri"/>
          <w:lang w:val="en-ZA" w:eastAsia="en-US"/>
        </w:rPr>
        <w:t xml:space="preserve"> they had no choice but to capitulat</w:t>
      </w:r>
      <w:r w:rsidR="00711747" w:rsidRPr="00182B28">
        <w:rPr>
          <w:rFonts w:eastAsia="Calibri"/>
          <w:lang w:val="en-ZA" w:eastAsia="en-US"/>
        </w:rPr>
        <w:t xml:space="preserve">e and </w:t>
      </w:r>
      <w:r w:rsidR="005A6C97" w:rsidRPr="00182B28">
        <w:rPr>
          <w:rFonts w:eastAsia="Calibri"/>
          <w:lang w:val="en-ZA" w:eastAsia="en-US"/>
        </w:rPr>
        <w:t>accede</w:t>
      </w:r>
      <w:r w:rsidR="00711747" w:rsidRPr="00182B28">
        <w:rPr>
          <w:rFonts w:eastAsia="Calibri"/>
          <w:lang w:val="en-ZA" w:eastAsia="en-US"/>
        </w:rPr>
        <w:t xml:space="preserve"> to </w:t>
      </w:r>
      <w:r w:rsidR="00F56F12" w:rsidRPr="00182B28">
        <w:rPr>
          <w:rFonts w:eastAsia="Calibri"/>
          <w:lang w:val="en-ZA" w:eastAsia="en-US"/>
        </w:rPr>
        <w:t xml:space="preserve">the </w:t>
      </w:r>
      <w:r w:rsidR="005A6C97" w:rsidRPr="00182B28">
        <w:rPr>
          <w:rFonts w:eastAsia="Calibri"/>
          <w:lang w:val="en-ZA" w:eastAsia="en-US"/>
        </w:rPr>
        <w:t>2015</w:t>
      </w:r>
      <w:r w:rsidR="00F56F12" w:rsidRPr="00182B28">
        <w:rPr>
          <w:rFonts w:eastAsia="Calibri"/>
          <w:lang w:val="en-ZA" w:eastAsia="en-US"/>
        </w:rPr>
        <w:t xml:space="preserve"> </w:t>
      </w:r>
      <w:r w:rsidR="00711747" w:rsidRPr="00182B28">
        <w:rPr>
          <w:rFonts w:eastAsia="Calibri"/>
          <w:lang w:val="en-ZA" w:eastAsia="en-US"/>
        </w:rPr>
        <w:t>order</w:t>
      </w:r>
      <w:r w:rsidRPr="00182B28">
        <w:rPr>
          <w:rFonts w:eastAsia="Calibri"/>
          <w:lang w:val="en-ZA" w:eastAsia="en-US"/>
        </w:rPr>
        <w:t xml:space="preserve">. </w:t>
      </w:r>
    </w:p>
    <w:p w14:paraId="4E6821CB" w14:textId="77777777" w:rsidR="00770E3B" w:rsidRPr="00182B28" w:rsidRDefault="00770E3B" w:rsidP="00770E3B">
      <w:pPr>
        <w:spacing w:after="160"/>
        <w:contextualSpacing/>
        <w:rPr>
          <w:rFonts w:eastAsia="Calibri"/>
          <w:lang w:val="en-ZA" w:eastAsia="en-US"/>
        </w:rPr>
      </w:pPr>
    </w:p>
    <w:p w14:paraId="0BE5436A" w14:textId="6BB41CD5" w:rsidR="00770E3B" w:rsidRPr="00182B28" w:rsidRDefault="00770E3B" w:rsidP="00770E3B">
      <w:pPr>
        <w:spacing w:after="160"/>
        <w:contextualSpacing/>
        <w:rPr>
          <w:rFonts w:eastAsia="Calibri"/>
          <w:lang w:val="en-ZA" w:eastAsia="en-US"/>
        </w:rPr>
      </w:pPr>
      <w:r w:rsidRPr="00182B28">
        <w:rPr>
          <w:rFonts w:eastAsia="Calibri"/>
          <w:lang w:val="en-ZA" w:eastAsia="en-US"/>
        </w:rPr>
        <w:t>[6]</w:t>
      </w:r>
      <w:r w:rsidRPr="00182B28">
        <w:rPr>
          <w:rFonts w:eastAsia="Calibri"/>
          <w:lang w:val="en-ZA" w:eastAsia="en-US"/>
        </w:rPr>
        <w:tab/>
      </w:r>
      <w:r w:rsidR="005A6C97" w:rsidRPr="00182B28">
        <w:rPr>
          <w:rFonts w:eastAsia="Calibri"/>
          <w:lang w:val="en-ZA" w:eastAsia="en-US"/>
        </w:rPr>
        <w:t>In terms of t</w:t>
      </w:r>
      <w:r w:rsidRPr="00182B28">
        <w:rPr>
          <w:rFonts w:eastAsia="Calibri"/>
          <w:lang w:val="en-ZA" w:eastAsia="en-US"/>
        </w:rPr>
        <w:t xml:space="preserve">he 2015 </w:t>
      </w:r>
      <w:r w:rsidR="005A6C97" w:rsidRPr="00182B28">
        <w:rPr>
          <w:rFonts w:eastAsia="Calibri"/>
          <w:lang w:val="en-ZA" w:eastAsia="en-US"/>
        </w:rPr>
        <w:t xml:space="preserve">consent </w:t>
      </w:r>
      <w:r w:rsidRPr="00182B28">
        <w:rPr>
          <w:rFonts w:eastAsia="Calibri"/>
          <w:lang w:val="en-ZA" w:eastAsia="en-US"/>
        </w:rPr>
        <w:t>order</w:t>
      </w:r>
      <w:r w:rsidR="00D91F04">
        <w:rPr>
          <w:rFonts w:eastAsia="Calibri"/>
          <w:lang w:val="en-ZA" w:eastAsia="en-US"/>
        </w:rPr>
        <w:t>,</w:t>
      </w:r>
      <w:r w:rsidRPr="00182B28">
        <w:rPr>
          <w:rFonts w:eastAsia="Calibri"/>
          <w:lang w:val="en-ZA" w:eastAsia="en-US"/>
        </w:rPr>
        <w:t xml:space="preserve"> the appellant</w:t>
      </w:r>
      <w:r w:rsidR="00C735B0" w:rsidRPr="00182B28">
        <w:rPr>
          <w:rFonts w:eastAsia="Calibri"/>
          <w:lang w:val="en-ZA" w:eastAsia="en-US"/>
        </w:rPr>
        <w:t>s</w:t>
      </w:r>
      <w:r w:rsidRPr="00182B28">
        <w:rPr>
          <w:rFonts w:eastAsia="Calibri"/>
          <w:lang w:val="en-ZA" w:eastAsia="en-US"/>
        </w:rPr>
        <w:t xml:space="preserve"> recognised the confidentiality of the first respondent’s production p</w:t>
      </w:r>
      <w:r w:rsidR="00C735B0" w:rsidRPr="00182B28">
        <w:rPr>
          <w:rFonts w:eastAsia="Calibri"/>
          <w:lang w:val="en-ZA" w:eastAsia="en-US"/>
        </w:rPr>
        <w:t>rocess for the production of auger. T</w:t>
      </w:r>
      <w:r w:rsidRPr="00182B28">
        <w:rPr>
          <w:rFonts w:eastAsia="Calibri"/>
          <w:lang w:val="en-ZA" w:eastAsia="en-US"/>
        </w:rPr>
        <w:t>he</w:t>
      </w:r>
      <w:r w:rsidR="00920DCF" w:rsidRPr="00182B28">
        <w:rPr>
          <w:rFonts w:eastAsia="Calibri"/>
          <w:lang w:val="en-ZA" w:eastAsia="en-US"/>
        </w:rPr>
        <w:t xml:space="preserve"> order</w:t>
      </w:r>
      <w:r w:rsidRPr="00182B28">
        <w:rPr>
          <w:rFonts w:eastAsia="Calibri"/>
          <w:lang w:val="en-ZA" w:eastAsia="en-US"/>
        </w:rPr>
        <w:t xml:space="preserve"> interdicted</w:t>
      </w:r>
      <w:r w:rsidR="0077684F" w:rsidRPr="00182B28">
        <w:rPr>
          <w:rFonts w:eastAsia="Calibri"/>
          <w:lang w:val="en-ZA" w:eastAsia="en-US"/>
        </w:rPr>
        <w:t xml:space="preserve"> </w:t>
      </w:r>
      <w:r w:rsidR="00D56ADF" w:rsidRPr="00182B28">
        <w:rPr>
          <w:rFonts w:eastAsia="Calibri"/>
          <w:lang w:val="en-ZA" w:eastAsia="en-US"/>
        </w:rPr>
        <w:lastRenderedPageBreak/>
        <w:t>the respondents</w:t>
      </w:r>
      <w:r w:rsidRPr="00182B28">
        <w:rPr>
          <w:rFonts w:eastAsia="Calibri"/>
          <w:lang w:val="en-ZA" w:eastAsia="en-US"/>
        </w:rPr>
        <w:t xml:space="preserve"> from using this information for as long as it retained its confidentiality. They were also interdicted from infringing the copyright of the first respondent in its artistic works comprising its 1179 technical drawings for a period of </w:t>
      </w:r>
      <w:r w:rsidR="00D56ADF" w:rsidRPr="00182B28">
        <w:rPr>
          <w:rFonts w:eastAsia="Calibri"/>
          <w:lang w:val="en-ZA" w:eastAsia="en-US"/>
        </w:rPr>
        <w:t xml:space="preserve">three </w:t>
      </w:r>
      <w:r w:rsidRPr="00182B28">
        <w:rPr>
          <w:rFonts w:eastAsia="Calibri"/>
          <w:lang w:val="en-ZA" w:eastAsia="en-US"/>
        </w:rPr>
        <w:t>years from the date of the granting of the order. The 2015 order obliged the appellants to deliver up to the first respondent all works infringing the</w:t>
      </w:r>
      <w:r w:rsidR="00D56ADF" w:rsidRPr="00182B28">
        <w:rPr>
          <w:rFonts w:eastAsia="Calibri"/>
          <w:lang w:val="en-ZA" w:eastAsia="en-US"/>
        </w:rPr>
        <w:t xml:space="preserve"> latter</w:t>
      </w:r>
      <w:r w:rsidR="00D91F04">
        <w:rPr>
          <w:rFonts w:eastAsia="Calibri"/>
          <w:lang w:val="en-ZA" w:eastAsia="en-US"/>
        </w:rPr>
        <w:t>’</w:t>
      </w:r>
      <w:r w:rsidR="00D56ADF" w:rsidRPr="00182B28">
        <w:rPr>
          <w:rFonts w:eastAsia="Calibri"/>
          <w:lang w:val="en-ZA" w:eastAsia="en-US"/>
        </w:rPr>
        <w:t>s</w:t>
      </w:r>
      <w:r w:rsidRPr="00182B28">
        <w:rPr>
          <w:rFonts w:eastAsia="Calibri"/>
          <w:lang w:val="en-ZA" w:eastAsia="en-US"/>
        </w:rPr>
        <w:t xml:space="preserve"> copyright </w:t>
      </w:r>
      <w:r w:rsidR="00D56ADF" w:rsidRPr="00182B28">
        <w:rPr>
          <w:rFonts w:eastAsia="Calibri"/>
          <w:lang w:val="en-ZA" w:eastAsia="en-US"/>
        </w:rPr>
        <w:t>for destruction.</w:t>
      </w:r>
      <w:r w:rsidRPr="00182B28">
        <w:rPr>
          <w:rFonts w:eastAsia="Calibri"/>
          <w:lang w:val="en-ZA" w:eastAsia="en-US"/>
        </w:rPr>
        <w:t xml:space="preserve"> </w:t>
      </w:r>
      <w:r w:rsidR="00D56ADF" w:rsidRPr="00182B28">
        <w:rPr>
          <w:rFonts w:eastAsia="Calibri"/>
          <w:lang w:val="en-ZA" w:eastAsia="en-US"/>
        </w:rPr>
        <w:t>In addition,</w:t>
      </w:r>
      <w:r w:rsidRPr="00182B28">
        <w:rPr>
          <w:rFonts w:eastAsia="Calibri"/>
          <w:lang w:val="en-ZA" w:eastAsia="en-US"/>
        </w:rPr>
        <w:t xml:space="preserve"> the appellants were restrained from competing in the field of manufacturing, marketing and sale of flat wire, auger and auger coiling machinery.</w:t>
      </w:r>
    </w:p>
    <w:p w14:paraId="7557E4BD" w14:textId="77777777" w:rsidR="00770E3B" w:rsidRPr="00182B28" w:rsidRDefault="00770E3B" w:rsidP="00770E3B">
      <w:pPr>
        <w:spacing w:after="160"/>
        <w:contextualSpacing/>
        <w:rPr>
          <w:rFonts w:eastAsia="Calibri"/>
          <w:lang w:val="en-ZA" w:eastAsia="en-US"/>
        </w:rPr>
      </w:pPr>
    </w:p>
    <w:p w14:paraId="47EF1F72" w14:textId="3E4EF75F" w:rsidR="00770E3B" w:rsidRPr="00182B28" w:rsidRDefault="00770E3B" w:rsidP="00770E3B">
      <w:pPr>
        <w:spacing w:after="160"/>
        <w:contextualSpacing/>
        <w:rPr>
          <w:rFonts w:eastAsia="Calibri"/>
          <w:lang w:val="en-ZA" w:eastAsia="en-US"/>
        </w:rPr>
      </w:pPr>
      <w:r w:rsidRPr="00182B28">
        <w:rPr>
          <w:rFonts w:eastAsia="Calibri"/>
          <w:lang w:val="en-ZA" w:eastAsia="en-US"/>
        </w:rPr>
        <w:t>[7]</w:t>
      </w:r>
      <w:r w:rsidRPr="00182B28">
        <w:rPr>
          <w:rFonts w:eastAsia="Calibri"/>
          <w:lang w:val="en-ZA" w:eastAsia="en-US"/>
        </w:rPr>
        <w:tab/>
        <w:t xml:space="preserve">The scheme of the 2015 order </w:t>
      </w:r>
      <w:r w:rsidR="000C6E09" w:rsidRPr="00182B28">
        <w:rPr>
          <w:rFonts w:eastAsia="Calibri"/>
          <w:lang w:val="en-ZA" w:eastAsia="en-US"/>
        </w:rPr>
        <w:t>regulated</w:t>
      </w:r>
      <w:r w:rsidRPr="00182B28">
        <w:rPr>
          <w:rFonts w:eastAsia="Calibri"/>
          <w:lang w:val="en-ZA" w:eastAsia="en-US"/>
        </w:rPr>
        <w:t xml:space="preserve"> the manner in which the appellants would </w:t>
      </w:r>
      <w:r w:rsidR="00D56ADF" w:rsidRPr="00182B28">
        <w:rPr>
          <w:rFonts w:eastAsia="Calibri"/>
          <w:lang w:val="en-ZA" w:eastAsia="en-US"/>
        </w:rPr>
        <w:t xml:space="preserve">be free to </w:t>
      </w:r>
      <w:r w:rsidRPr="00182B28">
        <w:rPr>
          <w:rFonts w:eastAsia="Calibri"/>
          <w:lang w:val="en-ZA" w:eastAsia="en-US"/>
        </w:rPr>
        <w:t>resume competition with the respondents. Paragraph 23 of that order i</w:t>
      </w:r>
      <w:r w:rsidR="00D56ADF" w:rsidRPr="00182B28">
        <w:rPr>
          <w:rFonts w:eastAsia="Calibri"/>
          <w:lang w:val="en-ZA" w:eastAsia="en-US"/>
        </w:rPr>
        <w:t>n</w:t>
      </w:r>
      <w:r w:rsidRPr="00182B28">
        <w:rPr>
          <w:rFonts w:eastAsia="Calibri"/>
          <w:lang w:val="en-ZA" w:eastAsia="en-US"/>
        </w:rPr>
        <w:t xml:space="preserve"> clear </w:t>
      </w:r>
      <w:r w:rsidR="00D56ADF" w:rsidRPr="00182B28">
        <w:rPr>
          <w:rFonts w:eastAsia="Calibri"/>
          <w:lang w:val="en-ZA" w:eastAsia="en-US"/>
        </w:rPr>
        <w:t xml:space="preserve">terms provided </w:t>
      </w:r>
      <w:r w:rsidRPr="00182B28">
        <w:rPr>
          <w:rFonts w:eastAsia="Calibri"/>
          <w:lang w:val="en-ZA" w:eastAsia="en-US"/>
        </w:rPr>
        <w:t xml:space="preserve">that upon the expiry of </w:t>
      </w:r>
      <w:r w:rsidR="001F5463" w:rsidRPr="00182B28">
        <w:rPr>
          <w:rFonts w:eastAsia="Calibri"/>
          <w:lang w:val="en-ZA" w:eastAsia="en-US"/>
        </w:rPr>
        <w:t>three</w:t>
      </w:r>
      <w:r w:rsidRPr="00182B28">
        <w:rPr>
          <w:rFonts w:eastAsia="Calibri"/>
          <w:lang w:val="en-ZA" w:eastAsia="en-US"/>
        </w:rPr>
        <w:t xml:space="preserve"> years, and in the event of the appellants manufacturing flat wire or auger or</w:t>
      </w:r>
      <w:r w:rsidR="00F60771" w:rsidRPr="00182B28">
        <w:rPr>
          <w:rFonts w:eastAsia="Calibri"/>
          <w:lang w:val="en-ZA" w:eastAsia="en-US"/>
        </w:rPr>
        <w:t xml:space="preserve"> equipment for the manufacture of</w:t>
      </w:r>
      <w:r w:rsidRPr="00182B28">
        <w:rPr>
          <w:rFonts w:eastAsia="Calibri"/>
          <w:lang w:val="en-ZA" w:eastAsia="en-US"/>
        </w:rPr>
        <w:t xml:space="preserve"> flat wire or auger, such manufacture </w:t>
      </w:r>
      <w:r w:rsidR="00952CD3" w:rsidRPr="00182B28">
        <w:rPr>
          <w:rFonts w:eastAsia="Calibri"/>
          <w:lang w:val="en-ZA" w:eastAsia="en-US"/>
        </w:rPr>
        <w:t>would</w:t>
      </w:r>
      <w:r w:rsidR="002B64BE" w:rsidRPr="00182B28">
        <w:rPr>
          <w:rFonts w:eastAsia="Calibri"/>
          <w:lang w:val="en-ZA" w:eastAsia="en-US"/>
        </w:rPr>
        <w:t xml:space="preserve"> not infringe</w:t>
      </w:r>
      <w:r w:rsidRPr="00182B28">
        <w:rPr>
          <w:rFonts w:eastAsia="Calibri"/>
          <w:lang w:val="en-ZA" w:eastAsia="en-US"/>
        </w:rPr>
        <w:t xml:space="preserve"> the confidential information or copyright of the respondents. Paragraph 24 of the ord</w:t>
      </w:r>
      <w:r w:rsidR="006620D7" w:rsidRPr="00182B28">
        <w:rPr>
          <w:rFonts w:eastAsia="Calibri"/>
          <w:lang w:val="en-ZA" w:eastAsia="en-US"/>
        </w:rPr>
        <w:t xml:space="preserve">er prescribes a procedure to be </w:t>
      </w:r>
      <w:r w:rsidR="00C735B0" w:rsidRPr="00182B28">
        <w:rPr>
          <w:rFonts w:eastAsia="Calibri"/>
          <w:lang w:val="en-ZA" w:eastAsia="en-US"/>
        </w:rPr>
        <w:t>followed</w:t>
      </w:r>
      <w:r w:rsidRPr="00182B28">
        <w:rPr>
          <w:rFonts w:eastAsia="Calibri"/>
          <w:lang w:val="en-ZA" w:eastAsia="en-US"/>
        </w:rPr>
        <w:t xml:space="preserve"> for the determination of compliance by the</w:t>
      </w:r>
      <w:r w:rsidR="006620D7" w:rsidRPr="00182B28">
        <w:rPr>
          <w:rFonts w:eastAsia="Calibri"/>
          <w:lang w:val="en-ZA" w:eastAsia="en-US"/>
        </w:rPr>
        <w:t xml:space="preserve"> appellants with paragraph 23. </w:t>
      </w:r>
      <w:r w:rsidR="00C735B0" w:rsidRPr="00182B28">
        <w:rPr>
          <w:rFonts w:eastAsia="Calibri"/>
          <w:lang w:val="en-ZA" w:eastAsia="en-US"/>
        </w:rPr>
        <w:t>E</w:t>
      </w:r>
      <w:r w:rsidR="006620D7" w:rsidRPr="00182B28">
        <w:rPr>
          <w:rFonts w:eastAsia="Calibri"/>
          <w:lang w:val="en-ZA" w:eastAsia="en-US"/>
        </w:rPr>
        <w:t>xperts</w:t>
      </w:r>
      <w:r w:rsidRPr="00182B28">
        <w:rPr>
          <w:rFonts w:eastAsia="Calibri"/>
          <w:lang w:val="en-ZA" w:eastAsia="en-US"/>
        </w:rPr>
        <w:t xml:space="preserve"> </w:t>
      </w:r>
      <w:r w:rsidR="003B2703" w:rsidRPr="00182B28">
        <w:rPr>
          <w:rFonts w:eastAsia="Calibri"/>
          <w:lang w:val="en-ZA" w:eastAsia="en-US"/>
        </w:rPr>
        <w:t>for the</w:t>
      </w:r>
      <w:r w:rsidRPr="00182B28">
        <w:rPr>
          <w:rFonts w:eastAsia="Calibri"/>
          <w:lang w:val="en-ZA" w:eastAsia="en-US"/>
        </w:rPr>
        <w:t xml:space="preserve"> </w:t>
      </w:r>
      <w:r w:rsidR="00D56ADF" w:rsidRPr="00182B28">
        <w:rPr>
          <w:rFonts w:eastAsia="Calibri"/>
          <w:lang w:val="en-ZA" w:eastAsia="en-US"/>
        </w:rPr>
        <w:t>parties</w:t>
      </w:r>
      <w:r w:rsidRPr="00182B28">
        <w:rPr>
          <w:rFonts w:eastAsia="Calibri"/>
          <w:lang w:val="en-ZA" w:eastAsia="en-US"/>
        </w:rPr>
        <w:t xml:space="preserve"> </w:t>
      </w:r>
      <w:r w:rsidR="003B2703" w:rsidRPr="00182B28">
        <w:rPr>
          <w:rFonts w:eastAsia="Calibri"/>
          <w:lang w:val="en-ZA" w:eastAsia="en-US"/>
        </w:rPr>
        <w:t xml:space="preserve">would </w:t>
      </w:r>
      <w:r w:rsidR="00D56ADF" w:rsidRPr="00182B28">
        <w:rPr>
          <w:rFonts w:eastAsia="Calibri"/>
          <w:lang w:val="en-ZA" w:eastAsia="en-US"/>
        </w:rPr>
        <w:t xml:space="preserve">independently </w:t>
      </w:r>
      <w:r w:rsidR="003B2703" w:rsidRPr="00182B28">
        <w:rPr>
          <w:rFonts w:eastAsia="Calibri"/>
          <w:lang w:val="en-ZA" w:eastAsia="en-US"/>
        </w:rPr>
        <w:t>be appointed to</w:t>
      </w:r>
      <w:r w:rsidRPr="00182B28">
        <w:rPr>
          <w:rFonts w:eastAsia="Calibri"/>
          <w:lang w:val="en-ZA" w:eastAsia="en-US"/>
        </w:rPr>
        <w:t xml:space="preserve"> inspect the proposed production facility and thereupon compile a joint re</w:t>
      </w:r>
      <w:r w:rsidR="00F60771" w:rsidRPr="00182B28">
        <w:rPr>
          <w:rFonts w:eastAsia="Calibri"/>
          <w:lang w:val="en-ZA" w:eastAsia="en-US"/>
        </w:rPr>
        <w:t>port in respect of the extent to</w:t>
      </w:r>
      <w:r w:rsidRPr="00182B28">
        <w:rPr>
          <w:rFonts w:eastAsia="Calibri"/>
          <w:lang w:val="en-ZA" w:eastAsia="en-US"/>
        </w:rPr>
        <w:t xml:space="preserve"> which</w:t>
      </w:r>
      <w:r w:rsidR="003B2703" w:rsidRPr="00182B28">
        <w:rPr>
          <w:rFonts w:eastAsia="Calibri"/>
          <w:lang w:val="en-ZA" w:eastAsia="en-US"/>
        </w:rPr>
        <w:t xml:space="preserve"> the production facility complies</w:t>
      </w:r>
      <w:r w:rsidRPr="00182B28">
        <w:rPr>
          <w:rFonts w:eastAsia="Calibri"/>
          <w:lang w:val="en-ZA" w:eastAsia="en-US"/>
        </w:rPr>
        <w:t xml:space="preserve"> with paragraph 23</w:t>
      </w:r>
      <w:r w:rsidR="003B2703" w:rsidRPr="00182B28">
        <w:rPr>
          <w:rFonts w:eastAsia="Calibri"/>
          <w:lang w:val="en-ZA" w:eastAsia="en-US"/>
        </w:rPr>
        <w:t xml:space="preserve"> of the 2015</w:t>
      </w:r>
      <w:r w:rsidR="001F5463" w:rsidRPr="00182B28">
        <w:rPr>
          <w:rFonts w:eastAsia="Calibri"/>
          <w:lang w:val="en-ZA" w:eastAsia="en-US"/>
        </w:rPr>
        <w:t xml:space="preserve"> order</w:t>
      </w:r>
      <w:r w:rsidRPr="00182B28">
        <w:rPr>
          <w:rFonts w:eastAsia="Calibri"/>
          <w:lang w:val="en-ZA" w:eastAsia="en-US"/>
        </w:rPr>
        <w:t>. The experts would record their agreement</w:t>
      </w:r>
      <w:r w:rsidR="00952CD3" w:rsidRPr="00182B28">
        <w:rPr>
          <w:rFonts w:eastAsia="Calibri"/>
          <w:lang w:val="en-ZA" w:eastAsia="en-US"/>
        </w:rPr>
        <w:t>s</w:t>
      </w:r>
      <w:r w:rsidRPr="00182B28">
        <w:rPr>
          <w:rFonts w:eastAsia="Calibri"/>
          <w:lang w:val="en-ZA" w:eastAsia="en-US"/>
        </w:rPr>
        <w:t xml:space="preserve"> and disagreements, </w:t>
      </w:r>
      <w:r w:rsidR="00D56ADF" w:rsidRPr="00182B28">
        <w:rPr>
          <w:rFonts w:eastAsia="Calibri"/>
          <w:lang w:val="en-ZA" w:eastAsia="en-US"/>
        </w:rPr>
        <w:t>after which</w:t>
      </w:r>
      <w:r w:rsidRPr="00182B28">
        <w:rPr>
          <w:rFonts w:eastAsia="Calibri"/>
          <w:lang w:val="en-ZA" w:eastAsia="en-US"/>
        </w:rPr>
        <w:t xml:space="preserve"> each party would have </w:t>
      </w:r>
      <w:r w:rsidR="00D56ADF" w:rsidRPr="00182B28">
        <w:rPr>
          <w:rFonts w:eastAsia="Calibri"/>
          <w:lang w:val="en-ZA" w:eastAsia="en-US"/>
        </w:rPr>
        <w:t>the</w:t>
      </w:r>
      <w:r w:rsidRPr="00182B28">
        <w:rPr>
          <w:rFonts w:eastAsia="Calibri"/>
          <w:lang w:val="en-ZA" w:eastAsia="en-US"/>
        </w:rPr>
        <w:t xml:space="preserve"> opportunity of commenting on the report, whereupon the experts would submit their final report.</w:t>
      </w:r>
    </w:p>
    <w:p w14:paraId="3B962AC3" w14:textId="77777777" w:rsidR="00770E3B" w:rsidRPr="00182B28" w:rsidRDefault="00770E3B" w:rsidP="00770E3B">
      <w:pPr>
        <w:spacing w:after="160"/>
        <w:contextualSpacing/>
        <w:rPr>
          <w:rFonts w:eastAsia="Calibri"/>
          <w:lang w:val="en-ZA" w:eastAsia="en-US"/>
        </w:rPr>
      </w:pPr>
    </w:p>
    <w:p w14:paraId="0AF34639" w14:textId="08F06CD9" w:rsidR="00770E3B" w:rsidRPr="00182B28" w:rsidRDefault="00770E3B" w:rsidP="00770E3B">
      <w:pPr>
        <w:spacing w:after="160"/>
        <w:contextualSpacing/>
        <w:rPr>
          <w:rFonts w:eastAsia="Calibri"/>
          <w:lang w:val="en-ZA" w:eastAsia="en-US"/>
        </w:rPr>
      </w:pPr>
      <w:r w:rsidRPr="00182B28">
        <w:rPr>
          <w:rFonts w:eastAsia="Calibri"/>
          <w:lang w:val="en-ZA" w:eastAsia="en-US"/>
        </w:rPr>
        <w:t>[8]</w:t>
      </w:r>
      <w:r w:rsidRPr="00182B28">
        <w:rPr>
          <w:rFonts w:eastAsia="Calibri"/>
          <w:lang w:val="en-ZA" w:eastAsia="en-US"/>
        </w:rPr>
        <w:tab/>
        <w:t xml:space="preserve">The 2015 order also prescribes a procedure </w:t>
      </w:r>
      <w:r w:rsidR="00D56ADF" w:rsidRPr="00182B28">
        <w:rPr>
          <w:rFonts w:eastAsia="Calibri"/>
          <w:lang w:val="en-ZA" w:eastAsia="en-US"/>
        </w:rPr>
        <w:t xml:space="preserve">designed </w:t>
      </w:r>
      <w:r w:rsidRPr="00182B28">
        <w:rPr>
          <w:rFonts w:eastAsia="Calibri"/>
          <w:lang w:val="en-ZA" w:eastAsia="en-US"/>
        </w:rPr>
        <w:t>to resolve disagreements between the parties in respect of the final report. An application would be made to court, and the court would be entitled to determine the procedures neces</w:t>
      </w:r>
      <w:r w:rsidR="00F60771" w:rsidRPr="00182B28">
        <w:rPr>
          <w:rFonts w:eastAsia="Calibri"/>
          <w:lang w:val="en-ZA" w:eastAsia="en-US"/>
        </w:rPr>
        <w:t>sary to determine th</w:t>
      </w:r>
      <w:r w:rsidR="00D56ADF" w:rsidRPr="00182B28">
        <w:rPr>
          <w:rFonts w:eastAsia="Calibri"/>
          <w:lang w:val="en-ZA" w:eastAsia="en-US"/>
        </w:rPr>
        <w:t>e</w:t>
      </w:r>
      <w:r w:rsidR="00F60771" w:rsidRPr="00182B28">
        <w:rPr>
          <w:rFonts w:eastAsia="Calibri"/>
          <w:lang w:val="en-ZA" w:eastAsia="en-US"/>
        </w:rPr>
        <w:t xml:space="preserve"> disputes. U</w:t>
      </w:r>
      <w:r w:rsidRPr="00182B28">
        <w:rPr>
          <w:rFonts w:eastAsia="Calibri"/>
          <w:lang w:val="en-ZA" w:eastAsia="en-US"/>
        </w:rPr>
        <w:t xml:space="preserve">ntil such time that a court had made a </w:t>
      </w:r>
      <w:r w:rsidR="00114405" w:rsidRPr="00182B28">
        <w:rPr>
          <w:rFonts w:eastAsia="Calibri"/>
          <w:lang w:val="en-ZA" w:eastAsia="en-US"/>
        </w:rPr>
        <w:t>determination</w:t>
      </w:r>
      <w:r w:rsidRPr="00182B28">
        <w:rPr>
          <w:rFonts w:eastAsia="Calibri"/>
          <w:lang w:val="en-ZA" w:eastAsia="en-US"/>
        </w:rPr>
        <w:t>, the appellants would not be entitled to commission</w:t>
      </w:r>
      <w:r w:rsidR="000C6E09" w:rsidRPr="00182B28">
        <w:rPr>
          <w:rFonts w:eastAsia="Calibri"/>
          <w:lang w:val="en-ZA" w:eastAsia="en-US"/>
        </w:rPr>
        <w:t xml:space="preserve"> the production facility</w:t>
      </w:r>
      <w:r w:rsidR="002C4BCE">
        <w:rPr>
          <w:rFonts w:eastAsia="Calibri"/>
          <w:lang w:val="en-ZA" w:eastAsia="en-US"/>
        </w:rPr>
        <w:t>.</w:t>
      </w:r>
      <w:r w:rsidRPr="00182B28">
        <w:rPr>
          <w:rFonts w:eastAsia="Calibri"/>
          <w:vertAlign w:val="superscript"/>
          <w:lang w:val="en-ZA" w:eastAsia="en-US"/>
        </w:rPr>
        <w:footnoteReference w:id="1"/>
      </w:r>
      <w:r w:rsidRPr="00182B28">
        <w:rPr>
          <w:rFonts w:eastAsia="Calibri"/>
          <w:lang w:val="en-ZA" w:eastAsia="en-US"/>
        </w:rPr>
        <w:t xml:space="preserve"> Evidently, and until such time that the process had been completed, the</w:t>
      </w:r>
      <w:r w:rsidR="00D56ADF" w:rsidRPr="00182B28">
        <w:rPr>
          <w:rFonts w:eastAsia="Calibri"/>
          <w:lang w:val="en-ZA" w:eastAsia="en-US"/>
        </w:rPr>
        <w:t xml:space="preserve"> appellants</w:t>
      </w:r>
      <w:r w:rsidR="00D91F04">
        <w:rPr>
          <w:rFonts w:eastAsia="Calibri"/>
          <w:lang w:val="en-ZA" w:eastAsia="en-US"/>
        </w:rPr>
        <w:t>’</w:t>
      </w:r>
      <w:r w:rsidRPr="00182B28">
        <w:rPr>
          <w:rFonts w:eastAsia="Calibri"/>
          <w:lang w:val="en-ZA" w:eastAsia="en-US"/>
        </w:rPr>
        <w:t xml:space="preserve"> proposed production facility </w:t>
      </w:r>
      <w:r w:rsidR="00D56ADF" w:rsidRPr="00182B28">
        <w:rPr>
          <w:rFonts w:eastAsia="Calibri"/>
          <w:lang w:val="en-ZA" w:eastAsia="en-US"/>
        </w:rPr>
        <w:t>w</w:t>
      </w:r>
      <w:r w:rsidRPr="00182B28">
        <w:rPr>
          <w:rFonts w:eastAsia="Calibri"/>
          <w:lang w:val="en-ZA" w:eastAsia="en-US"/>
        </w:rPr>
        <w:t xml:space="preserve">ould not be put into service for the commercial production of auger. </w:t>
      </w:r>
      <w:r w:rsidR="00072225">
        <w:rPr>
          <w:rFonts w:eastAsia="Calibri"/>
          <w:lang w:val="en-ZA" w:eastAsia="en-US"/>
        </w:rPr>
        <w:t>On 22 August 2019, t</w:t>
      </w:r>
      <w:r w:rsidR="00F011E8" w:rsidRPr="00182B28">
        <w:rPr>
          <w:rFonts w:eastAsia="Calibri"/>
          <w:lang w:val="en-ZA" w:eastAsia="en-US"/>
        </w:rPr>
        <w:t xml:space="preserve">he </w:t>
      </w:r>
      <w:r w:rsidR="00F011E8" w:rsidRPr="00182B28">
        <w:rPr>
          <w:rFonts w:eastAsia="Calibri"/>
          <w:lang w:val="en-ZA" w:eastAsia="en-US"/>
        </w:rPr>
        <w:lastRenderedPageBreak/>
        <w:t>respondents discovered that</w:t>
      </w:r>
      <w:r w:rsidR="00A1274E" w:rsidRPr="00182B28">
        <w:rPr>
          <w:rFonts w:eastAsia="Calibri"/>
          <w:lang w:val="en-ZA" w:eastAsia="en-US"/>
        </w:rPr>
        <w:t xml:space="preserve"> the first appellant had </w:t>
      </w:r>
      <w:r w:rsidR="009376C2" w:rsidRPr="00182B28">
        <w:rPr>
          <w:rFonts w:eastAsia="Calibri"/>
          <w:lang w:val="en-ZA" w:eastAsia="en-US"/>
        </w:rPr>
        <w:t xml:space="preserve">allegedly </w:t>
      </w:r>
      <w:r w:rsidR="00A1274E" w:rsidRPr="00182B28">
        <w:rPr>
          <w:rFonts w:eastAsia="Calibri"/>
          <w:lang w:val="en-ZA" w:eastAsia="en-US"/>
        </w:rPr>
        <w:t xml:space="preserve">sold auger to an Egyptian company, </w:t>
      </w:r>
      <w:r w:rsidR="00A1274E" w:rsidRPr="00624C5F">
        <w:rPr>
          <w:rFonts w:eastAsia="Calibri"/>
          <w:lang w:val="en-ZA" w:eastAsia="en-US"/>
        </w:rPr>
        <w:t>Techno</w:t>
      </w:r>
      <w:r w:rsidR="00AB2EF1" w:rsidRPr="00624C5F">
        <w:rPr>
          <w:rFonts w:eastAsia="Calibri"/>
          <w:lang w:val="en-ZA" w:eastAsia="en-US"/>
        </w:rPr>
        <w:t xml:space="preserve"> </w:t>
      </w:r>
      <w:r w:rsidR="00A1274E" w:rsidRPr="00624C5F">
        <w:rPr>
          <w:rFonts w:eastAsia="Calibri"/>
          <w:lang w:val="en-ZA" w:eastAsia="en-US"/>
        </w:rPr>
        <w:t>Max</w:t>
      </w:r>
      <w:r w:rsidR="00A1274E" w:rsidRPr="00182B28">
        <w:rPr>
          <w:rFonts w:eastAsia="Calibri"/>
          <w:lang w:val="en-ZA" w:eastAsia="en-US"/>
        </w:rPr>
        <w:t>, which is one of the respondents</w:t>
      </w:r>
      <w:r w:rsidR="00507F5E">
        <w:rPr>
          <w:rFonts w:eastAsia="Calibri"/>
          <w:lang w:val="en-ZA" w:eastAsia="en-US"/>
        </w:rPr>
        <w:t>’</w:t>
      </w:r>
      <w:r w:rsidR="00A1274E" w:rsidRPr="00182B28">
        <w:rPr>
          <w:rFonts w:eastAsia="Calibri"/>
          <w:lang w:val="en-ZA" w:eastAsia="en-US"/>
        </w:rPr>
        <w:t xml:space="preserve"> existing clients. The shipment was destined to depart on </w:t>
      </w:r>
      <w:r w:rsidR="00A1274E" w:rsidRPr="00624C5F">
        <w:rPr>
          <w:rFonts w:eastAsia="Calibri"/>
          <w:lang w:val="en-ZA" w:eastAsia="en-US"/>
        </w:rPr>
        <w:t>30 September 2019. The</w:t>
      </w:r>
      <w:r w:rsidR="00A1274E" w:rsidRPr="00182B28">
        <w:rPr>
          <w:rFonts w:eastAsia="Calibri"/>
          <w:lang w:val="en-ZA" w:eastAsia="en-US"/>
        </w:rPr>
        <w:t xml:space="preserve"> appellants admitted to issuing a quote (pro</w:t>
      </w:r>
      <w:r w:rsidR="00507F5E">
        <w:rPr>
          <w:rFonts w:eastAsia="Calibri"/>
          <w:lang w:val="en-ZA" w:eastAsia="en-US"/>
        </w:rPr>
        <w:t>-</w:t>
      </w:r>
      <w:r w:rsidR="00A1274E" w:rsidRPr="00182B28">
        <w:rPr>
          <w:rFonts w:eastAsia="Calibri"/>
          <w:lang w:val="en-ZA" w:eastAsia="en-US"/>
        </w:rPr>
        <w:t xml:space="preserve">forma invoice) to </w:t>
      </w:r>
      <w:r w:rsidR="00A1274E" w:rsidRPr="00624C5F">
        <w:rPr>
          <w:rFonts w:eastAsia="Calibri"/>
          <w:lang w:val="en-ZA" w:eastAsia="en-US"/>
        </w:rPr>
        <w:t>Techno</w:t>
      </w:r>
      <w:r w:rsidR="00AB2EF1" w:rsidRPr="00624C5F">
        <w:rPr>
          <w:rFonts w:eastAsia="Calibri"/>
          <w:lang w:val="en-ZA" w:eastAsia="en-US"/>
        </w:rPr>
        <w:t xml:space="preserve"> </w:t>
      </w:r>
      <w:r w:rsidR="00A1274E" w:rsidRPr="00624C5F">
        <w:rPr>
          <w:rFonts w:eastAsia="Calibri"/>
          <w:lang w:val="en-ZA" w:eastAsia="en-US"/>
        </w:rPr>
        <w:t>Max, but</w:t>
      </w:r>
      <w:r w:rsidR="00A1274E" w:rsidRPr="00182B28">
        <w:rPr>
          <w:rFonts w:eastAsia="Calibri"/>
          <w:lang w:val="en-ZA" w:eastAsia="en-US"/>
        </w:rPr>
        <w:t xml:space="preserve"> denied issuing a stamped invoice or that a sale was made and claimed that the invoice relied upon by the respondents was </w:t>
      </w:r>
      <w:r w:rsidR="00A1274E" w:rsidRPr="00695F21">
        <w:rPr>
          <w:rFonts w:eastAsia="Calibri"/>
          <w:lang w:val="en-ZA" w:eastAsia="en-US"/>
        </w:rPr>
        <w:t>‘a fake [document] generated solely for the purpose of this litigation’.</w:t>
      </w:r>
      <w:r w:rsidR="00A1274E" w:rsidRPr="00182B28">
        <w:rPr>
          <w:rFonts w:eastAsia="Calibri"/>
          <w:lang w:val="en-ZA" w:eastAsia="en-US"/>
        </w:rPr>
        <w:t xml:space="preserve"> </w:t>
      </w:r>
    </w:p>
    <w:p w14:paraId="31D9A1D8" w14:textId="77777777" w:rsidR="00770E3B" w:rsidRPr="00182B28" w:rsidRDefault="00770E3B" w:rsidP="00770E3B">
      <w:pPr>
        <w:spacing w:after="160"/>
        <w:contextualSpacing/>
        <w:rPr>
          <w:rFonts w:eastAsia="Calibri"/>
          <w:lang w:val="en-ZA" w:eastAsia="en-US"/>
        </w:rPr>
      </w:pPr>
    </w:p>
    <w:p w14:paraId="358C148A" w14:textId="65FC31E9" w:rsidR="00770E3B" w:rsidRPr="00182B28" w:rsidRDefault="00770E3B" w:rsidP="00770E3B">
      <w:pPr>
        <w:spacing w:after="160"/>
        <w:contextualSpacing/>
        <w:rPr>
          <w:rFonts w:eastAsia="Calibri"/>
          <w:lang w:val="en-ZA" w:eastAsia="en-US"/>
        </w:rPr>
      </w:pPr>
      <w:r w:rsidRPr="00182B28">
        <w:rPr>
          <w:rFonts w:eastAsia="Calibri"/>
          <w:lang w:val="en-ZA" w:eastAsia="en-US"/>
        </w:rPr>
        <w:t>[9]</w:t>
      </w:r>
      <w:r w:rsidRPr="00182B28">
        <w:rPr>
          <w:rFonts w:eastAsia="Calibri"/>
          <w:lang w:val="en-ZA" w:eastAsia="en-US"/>
        </w:rPr>
        <w:tab/>
        <w:t>The respondent</w:t>
      </w:r>
      <w:r w:rsidR="002F646F" w:rsidRPr="00182B28">
        <w:rPr>
          <w:rFonts w:eastAsia="Calibri"/>
          <w:lang w:val="en-ZA" w:eastAsia="en-US"/>
        </w:rPr>
        <w:t xml:space="preserve">s </w:t>
      </w:r>
      <w:r w:rsidR="00F60771" w:rsidRPr="00182B28">
        <w:rPr>
          <w:rFonts w:eastAsia="Calibri"/>
          <w:lang w:val="en-ZA" w:eastAsia="en-US"/>
        </w:rPr>
        <w:t>then</w:t>
      </w:r>
      <w:r w:rsidRPr="00182B28">
        <w:rPr>
          <w:rFonts w:eastAsia="Calibri"/>
          <w:lang w:val="en-ZA" w:eastAsia="en-US"/>
        </w:rPr>
        <w:t xml:space="preserve"> launched the 2019 proceedings seeking a rule </w:t>
      </w:r>
      <w:r w:rsidRPr="00182B28">
        <w:rPr>
          <w:rFonts w:eastAsia="Calibri"/>
          <w:i/>
          <w:lang w:val="en-ZA" w:eastAsia="en-US"/>
        </w:rPr>
        <w:t>nisi</w:t>
      </w:r>
      <w:r w:rsidRPr="00182B28">
        <w:rPr>
          <w:rFonts w:eastAsia="Calibri"/>
          <w:lang w:val="en-ZA" w:eastAsia="en-US"/>
        </w:rPr>
        <w:t xml:space="preserve"> interdicting and restraining the appellants from manufacturing, pro</w:t>
      </w:r>
      <w:r w:rsidR="00114405" w:rsidRPr="00182B28">
        <w:rPr>
          <w:rFonts w:eastAsia="Calibri"/>
          <w:lang w:val="en-ZA" w:eastAsia="en-US"/>
        </w:rPr>
        <w:t xml:space="preserve">cessing, marketing for sale </w:t>
      </w:r>
      <w:r w:rsidRPr="00182B28">
        <w:rPr>
          <w:rFonts w:eastAsia="Calibri"/>
          <w:lang w:val="en-ZA" w:eastAsia="en-US"/>
        </w:rPr>
        <w:t xml:space="preserve">or selling flat wire and auger, pending the completion of </w:t>
      </w:r>
      <w:r w:rsidR="00D56ADF" w:rsidRPr="00182B28">
        <w:rPr>
          <w:rFonts w:eastAsia="Calibri"/>
          <w:lang w:val="en-ZA" w:eastAsia="en-US"/>
        </w:rPr>
        <w:t>the</w:t>
      </w:r>
      <w:r w:rsidRPr="00182B28">
        <w:rPr>
          <w:rFonts w:eastAsia="Calibri"/>
          <w:lang w:val="en-ZA" w:eastAsia="en-US"/>
        </w:rPr>
        <w:t xml:space="preserve"> process stipulated in the </w:t>
      </w:r>
      <w:r w:rsidR="00114405" w:rsidRPr="00182B28">
        <w:rPr>
          <w:rFonts w:eastAsia="Calibri"/>
          <w:lang w:val="en-ZA" w:eastAsia="en-US"/>
        </w:rPr>
        <w:t>2015 order. They also sought an</w:t>
      </w:r>
      <w:r w:rsidRPr="00182B28">
        <w:rPr>
          <w:rFonts w:eastAsia="Calibri"/>
          <w:lang w:val="en-ZA" w:eastAsia="en-US"/>
        </w:rPr>
        <w:t xml:space="preserve"> order declaring the appellants to be in contempt of the 2015 court order and their committal to prison, alternatively payment of a fine.</w:t>
      </w:r>
    </w:p>
    <w:p w14:paraId="59FCB125" w14:textId="77777777" w:rsidR="00770E3B" w:rsidRPr="00182B28" w:rsidRDefault="00770E3B" w:rsidP="00770E3B">
      <w:pPr>
        <w:spacing w:after="160"/>
        <w:contextualSpacing/>
        <w:rPr>
          <w:rFonts w:eastAsia="Calibri"/>
          <w:lang w:val="en-ZA" w:eastAsia="en-US"/>
        </w:rPr>
      </w:pPr>
    </w:p>
    <w:p w14:paraId="4E24CF6D" w14:textId="40E3B348" w:rsidR="00770E3B" w:rsidRPr="00182B28" w:rsidRDefault="00F011E8" w:rsidP="00770E3B">
      <w:pPr>
        <w:spacing w:after="160"/>
        <w:contextualSpacing/>
        <w:rPr>
          <w:rFonts w:eastAsia="Calibri"/>
          <w:lang w:val="en-ZA" w:eastAsia="en-US"/>
        </w:rPr>
      </w:pPr>
      <w:r w:rsidRPr="00182B28">
        <w:rPr>
          <w:rFonts w:eastAsia="Calibri"/>
          <w:lang w:val="en-ZA" w:eastAsia="en-US"/>
        </w:rPr>
        <w:t>[10</w:t>
      </w:r>
      <w:r w:rsidR="00305B2A" w:rsidRPr="00182B28">
        <w:rPr>
          <w:rFonts w:eastAsia="Calibri"/>
          <w:lang w:val="en-ZA" w:eastAsia="en-US"/>
        </w:rPr>
        <w:t>]</w:t>
      </w:r>
      <w:r w:rsidR="00305B2A" w:rsidRPr="00182B28">
        <w:rPr>
          <w:rFonts w:eastAsia="Calibri"/>
          <w:lang w:val="en-ZA" w:eastAsia="en-US"/>
        </w:rPr>
        <w:tab/>
      </w:r>
      <w:r w:rsidR="002F646F" w:rsidRPr="00182B28">
        <w:rPr>
          <w:rFonts w:eastAsia="Calibri"/>
          <w:lang w:val="en-ZA" w:eastAsia="en-US"/>
        </w:rPr>
        <w:t>T</w:t>
      </w:r>
      <w:r w:rsidR="00770E3B" w:rsidRPr="00182B28">
        <w:rPr>
          <w:rFonts w:eastAsia="Calibri"/>
          <w:lang w:val="en-ZA" w:eastAsia="en-US"/>
        </w:rPr>
        <w:t>he appellants submitted that the lawfulness of the agreement</w:t>
      </w:r>
      <w:r w:rsidR="00AB57D6" w:rsidRPr="00182B28">
        <w:rPr>
          <w:rFonts w:eastAsia="Calibri"/>
          <w:lang w:val="en-ZA" w:eastAsia="en-US"/>
        </w:rPr>
        <w:t>,</w:t>
      </w:r>
      <w:r w:rsidR="00770E3B" w:rsidRPr="00182B28">
        <w:rPr>
          <w:rFonts w:eastAsia="Calibri"/>
          <w:lang w:val="en-ZA" w:eastAsia="en-US"/>
        </w:rPr>
        <w:t xml:space="preserve"> which</w:t>
      </w:r>
      <w:r w:rsidR="009376C2" w:rsidRPr="00182B28">
        <w:rPr>
          <w:rFonts w:eastAsia="Calibri"/>
          <w:lang w:val="en-ZA" w:eastAsia="en-US"/>
        </w:rPr>
        <w:t xml:space="preserve"> culminated in</w:t>
      </w:r>
      <w:r w:rsidR="00770E3B" w:rsidRPr="00182B28">
        <w:rPr>
          <w:rFonts w:eastAsia="Calibri"/>
          <w:lang w:val="en-ZA" w:eastAsia="en-US"/>
        </w:rPr>
        <w:t xml:space="preserve"> the 2015 order</w:t>
      </w:r>
      <w:r w:rsidR="002F646F" w:rsidRPr="00182B28">
        <w:rPr>
          <w:rFonts w:eastAsia="Calibri"/>
          <w:lang w:val="en-ZA" w:eastAsia="en-US"/>
        </w:rPr>
        <w:t>,</w:t>
      </w:r>
      <w:r w:rsidR="00770E3B" w:rsidRPr="00182B28">
        <w:rPr>
          <w:rFonts w:eastAsia="Calibri"/>
          <w:lang w:val="en-ZA" w:eastAsia="en-US"/>
        </w:rPr>
        <w:t xml:space="preserve"> was the subject </w:t>
      </w:r>
      <w:r w:rsidR="00CE5671" w:rsidRPr="00182B28">
        <w:rPr>
          <w:rFonts w:eastAsia="Calibri"/>
          <w:lang w:val="en-ZA" w:eastAsia="en-US"/>
        </w:rPr>
        <w:t>of</w:t>
      </w:r>
      <w:r w:rsidR="00770E3B" w:rsidRPr="00182B28">
        <w:rPr>
          <w:rFonts w:eastAsia="Calibri"/>
          <w:lang w:val="en-ZA" w:eastAsia="en-US"/>
        </w:rPr>
        <w:t xml:space="preserve"> an </w:t>
      </w:r>
      <w:r w:rsidR="009376C2" w:rsidRPr="00182B28">
        <w:rPr>
          <w:rFonts w:eastAsia="Calibri"/>
          <w:lang w:val="en-ZA" w:eastAsia="en-US"/>
        </w:rPr>
        <w:t>investigation by</w:t>
      </w:r>
      <w:r w:rsidR="00770E3B" w:rsidRPr="00182B28">
        <w:rPr>
          <w:rFonts w:eastAsia="Calibri"/>
          <w:lang w:val="en-ZA" w:eastAsia="en-US"/>
        </w:rPr>
        <w:t xml:space="preserve"> the Competition</w:t>
      </w:r>
      <w:r w:rsidR="00A151CB" w:rsidRPr="00182B28">
        <w:rPr>
          <w:rFonts w:eastAsia="Calibri"/>
          <w:lang w:val="en-ZA" w:eastAsia="en-US"/>
        </w:rPr>
        <w:t xml:space="preserve"> Commission</w:t>
      </w:r>
      <w:r w:rsidR="00AB57D6" w:rsidRPr="00182B28">
        <w:rPr>
          <w:rFonts w:eastAsia="Calibri"/>
          <w:lang w:val="en-ZA" w:eastAsia="en-US"/>
        </w:rPr>
        <w:t>.</w:t>
      </w:r>
      <w:r w:rsidR="00770E3B" w:rsidRPr="00182B28">
        <w:rPr>
          <w:rFonts w:eastAsia="Calibri"/>
          <w:lang w:val="en-ZA" w:eastAsia="en-US"/>
        </w:rPr>
        <w:t xml:space="preserve"> </w:t>
      </w:r>
      <w:r w:rsidR="004C750C" w:rsidRPr="00182B28">
        <w:rPr>
          <w:rFonts w:eastAsia="Calibri"/>
          <w:lang w:val="en-ZA" w:eastAsia="en-US"/>
        </w:rPr>
        <w:t xml:space="preserve">Further, the appellants </w:t>
      </w:r>
      <w:r w:rsidR="00790A60" w:rsidRPr="00182B28">
        <w:rPr>
          <w:rFonts w:eastAsia="Calibri"/>
          <w:lang w:val="en-ZA" w:eastAsia="en-US"/>
        </w:rPr>
        <w:t>contended</w:t>
      </w:r>
      <w:r w:rsidR="00770E3B" w:rsidRPr="00182B28">
        <w:rPr>
          <w:rFonts w:eastAsia="Calibri"/>
          <w:lang w:val="en-ZA" w:eastAsia="en-US"/>
        </w:rPr>
        <w:t xml:space="preserve"> that the respondents had deliberately delayed and frustrated the appellants’ efforts to give effect to the terms of </w:t>
      </w:r>
      <w:r w:rsidR="00D26234" w:rsidRPr="00182B28">
        <w:rPr>
          <w:rFonts w:eastAsia="Calibri"/>
          <w:lang w:val="en-ZA" w:eastAsia="en-US"/>
        </w:rPr>
        <w:t xml:space="preserve">the </w:t>
      </w:r>
      <w:r w:rsidR="00770E3B" w:rsidRPr="00182B28">
        <w:rPr>
          <w:rFonts w:eastAsia="Calibri"/>
          <w:lang w:val="en-ZA" w:eastAsia="en-US"/>
        </w:rPr>
        <w:t>2015 order to prevent</w:t>
      </w:r>
      <w:r w:rsidR="00BB5276">
        <w:rPr>
          <w:rFonts w:eastAsia="Calibri"/>
          <w:lang w:val="en-ZA" w:eastAsia="en-US"/>
        </w:rPr>
        <w:t xml:space="preserve"> </w:t>
      </w:r>
      <w:r w:rsidR="00770E3B" w:rsidRPr="00182B28">
        <w:rPr>
          <w:rFonts w:eastAsia="Calibri"/>
          <w:lang w:val="en-ZA" w:eastAsia="en-US"/>
        </w:rPr>
        <w:t xml:space="preserve">the appellants from competing with them. It was the appellants’ contention that no part of the respondents’ manufacturing process was in fact confidential, and that the prohibitions contained in the 2015 order had ceased to be of </w:t>
      </w:r>
      <w:r w:rsidR="008D7A51" w:rsidRPr="00182B28">
        <w:rPr>
          <w:rFonts w:eastAsia="Calibri"/>
          <w:lang w:val="en-ZA" w:eastAsia="en-US"/>
        </w:rPr>
        <w:t xml:space="preserve">any </w:t>
      </w:r>
      <w:r w:rsidR="00790A60" w:rsidRPr="00182B28">
        <w:rPr>
          <w:rFonts w:eastAsia="Calibri"/>
          <w:lang w:val="en-ZA" w:eastAsia="en-US"/>
        </w:rPr>
        <w:t xml:space="preserve">force and </w:t>
      </w:r>
      <w:r w:rsidR="00770E3B" w:rsidRPr="00182B28">
        <w:rPr>
          <w:rFonts w:eastAsia="Calibri"/>
          <w:lang w:val="en-ZA" w:eastAsia="en-US"/>
        </w:rPr>
        <w:t>effect.</w:t>
      </w:r>
    </w:p>
    <w:p w14:paraId="75367384" w14:textId="77777777" w:rsidR="00770E3B" w:rsidRPr="00182B28" w:rsidRDefault="00770E3B" w:rsidP="00770E3B">
      <w:pPr>
        <w:spacing w:after="160"/>
        <w:contextualSpacing/>
        <w:rPr>
          <w:rFonts w:eastAsia="Calibri"/>
          <w:lang w:val="en-ZA" w:eastAsia="en-US"/>
        </w:rPr>
      </w:pPr>
    </w:p>
    <w:p w14:paraId="44FA96E0" w14:textId="0006B80A" w:rsidR="00C37F4E" w:rsidRPr="00182B28" w:rsidRDefault="00F011E8" w:rsidP="00770E3B">
      <w:pPr>
        <w:spacing w:after="160"/>
        <w:contextualSpacing/>
        <w:rPr>
          <w:rFonts w:eastAsia="Calibri"/>
          <w:lang w:val="en-ZA" w:eastAsia="en-US"/>
        </w:rPr>
      </w:pPr>
      <w:r w:rsidRPr="00182B28">
        <w:rPr>
          <w:rFonts w:eastAsia="Calibri"/>
          <w:lang w:val="en-ZA" w:eastAsia="en-US"/>
        </w:rPr>
        <w:t>[11</w:t>
      </w:r>
      <w:r w:rsidR="002F646F" w:rsidRPr="00182B28">
        <w:rPr>
          <w:rFonts w:eastAsia="Calibri"/>
          <w:lang w:val="en-ZA" w:eastAsia="en-US"/>
        </w:rPr>
        <w:t>]</w:t>
      </w:r>
      <w:r w:rsidR="002F646F" w:rsidRPr="00182B28">
        <w:rPr>
          <w:rFonts w:eastAsia="Calibri"/>
          <w:lang w:val="en-ZA" w:eastAsia="en-US"/>
        </w:rPr>
        <w:tab/>
        <w:t>O</w:t>
      </w:r>
      <w:r w:rsidR="00770E3B" w:rsidRPr="00182B28">
        <w:rPr>
          <w:rFonts w:eastAsia="Calibri"/>
          <w:lang w:val="en-ZA" w:eastAsia="en-US"/>
        </w:rPr>
        <w:t>n 9 March 2020, Ma</w:t>
      </w:r>
      <w:r w:rsidR="002F646F" w:rsidRPr="00182B28">
        <w:rPr>
          <w:rFonts w:eastAsia="Calibri"/>
          <w:lang w:val="en-ZA" w:eastAsia="en-US"/>
        </w:rPr>
        <w:t>ngcu-Lockwood AJ delivered her j</w:t>
      </w:r>
      <w:r w:rsidR="00770E3B" w:rsidRPr="00182B28">
        <w:rPr>
          <w:rFonts w:eastAsia="Calibri"/>
          <w:lang w:val="en-ZA" w:eastAsia="en-US"/>
        </w:rPr>
        <w:t>udgment and granted the following order:</w:t>
      </w:r>
    </w:p>
    <w:p w14:paraId="5C7AD608" w14:textId="08DB63EB" w:rsidR="00770E3B" w:rsidRPr="00182B28" w:rsidRDefault="00C37F4E" w:rsidP="00C37F4E">
      <w:pPr>
        <w:spacing w:after="160"/>
        <w:contextualSpacing/>
        <w:rPr>
          <w:rFonts w:eastAsia="Calibri"/>
          <w:sz w:val="22"/>
          <w:szCs w:val="22"/>
          <w:lang w:val="en-ZA" w:eastAsia="en-US"/>
        </w:rPr>
      </w:pPr>
      <w:r w:rsidRPr="00182B28">
        <w:rPr>
          <w:rFonts w:eastAsia="Calibri"/>
          <w:sz w:val="22"/>
          <w:szCs w:val="22"/>
          <w:lang w:val="en-ZA" w:eastAsia="en-US"/>
        </w:rPr>
        <w:t>‘1</w:t>
      </w:r>
      <w:r w:rsidR="00156438">
        <w:rPr>
          <w:rFonts w:eastAsia="Calibri"/>
          <w:sz w:val="22"/>
          <w:szCs w:val="22"/>
          <w:lang w:val="en-ZA" w:eastAsia="en-US"/>
        </w:rPr>
        <w:t xml:space="preserve">) </w:t>
      </w:r>
      <w:r w:rsidR="006C315B" w:rsidRPr="00182B28">
        <w:rPr>
          <w:rFonts w:eastAsia="Calibri"/>
          <w:sz w:val="22"/>
          <w:szCs w:val="22"/>
          <w:lang w:val="en-ZA" w:eastAsia="en-US"/>
        </w:rPr>
        <w:t>That a</w:t>
      </w:r>
      <w:r w:rsidRPr="00182B28">
        <w:rPr>
          <w:rFonts w:eastAsia="Calibri"/>
          <w:sz w:val="22"/>
          <w:szCs w:val="22"/>
          <w:lang w:val="en-ZA" w:eastAsia="en-US"/>
        </w:rPr>
        <w:t>n interim interdict is granted in the following</w:t>
      </w:r>
      <w:r w:rsidR="002B64BE" w:rsidRPr="00182B28">
        <w:rPr>
          <w:rFonts w:eastAsia="Calibri"/>
          <w:sz w:val="22"/>
          <w:szCs w:val="22"/>
          <w:lang w:val="en-ZA" w:eastAsia="en-US"/>
        </w:rPr>
        <w:t xml:space="preserve"> terms</w:t>
      </w:r>
      <w:r w:rsidRPr="00182B28">
        <w:rPr>
          <w:rFonts w:eastAsia="Calibri"/>
          <w:sz w:val="22"/>
          <w:szCs w:val="22"/>
          <w:lang w:val="en-ZA" w:eastAsia="en-US"/>
        </w:rPr>
        <w:t>:</w:t>
      </w:r>
      <w:r w:rsidR="00770E3B" w:rsidRPr="00182B28">
        <w:rPr>
          <w:rFonts w:eastAsia="Calibri"/>
          <w:sz w:val="22"/>
          <w:szCs w:val="22"/>
          <w:lang w:val="en-ZA" w:eastAsia="en-US"/>
        </w:rPr>
        <w:t xml:space="preserve"> </w:t>
      </w:r>
    </w:p>
    <w:p w14:paraId="6F71D5C2" w14:textId="4F3C4F90" w:rsidR="00C37F4E" w:rsidRPr="00182B28" w:rsidRDefault="00C37F4E" w:rsidP="00CE7F16">
      <w:pPr>
        <w:spacing w:after="160"/>
        <w:ind w:left="720"/>
        <w:contextualSpacing/>
        <w:rPr>
          <w:rFonts w:eastAsia="Calibri"/>
          <w:sz w:val="22"/>
          <w:szCs w:val="22"/>
          <w:lang w:val="en-ZA" w:eastAsia="en-US"/>
        </w:rPr>
      </w:pPr>
      <w:r w:rsidRPr="00182B28">
        <w:rPr>
          <w:rFonts w:eastAsia="Calibri"/>
          <w:sz w:val="22"/>
          <w:szCs w:val="22"/>
          <w:lang w:val="en-ZA" w:eastAsia="en-US"/>
        </w:rPr>
        <w:t>1.1</w:t>
      </w:r>
      <w:r w:rsidR="00156438">
        <w:rPr>
          <w:rFonts w:eastAsia="Calibri"/>
          <w:sz w:val="22"/>
          <w:szCs w:val="22"/>
          <w:lang w:val="en-ZA" w:eastAsia="en-US"/>
        </w:rPr>
        <w:t xml:space="preserve"> </w:t>
      </w:r>
      <w:r w:rsidRPr="00182B28">
        <w:rPr>
          <w:rFonts w:eastAsia="Calibri"/>
          <w:sz w:val="22"/>
          <w:szCs w:val="22"/>
          <w:lang w:val="en-ZA" w:eastAsia="en-US"/>
        </w:rPr>
        <w:t xml:space="preserve">Pending the finalisation of the process provided for in paragraphs 23 to 25 of the order granted by this </w:t>
      </w:r>
      <w:r w:rsidR="00262A25" w:rsidRPr="00182B28">
        <w:rPr>
          <w:rFonts w:eastAsia="Calibri"/>
          <w:sz w:val="22"/>
          <w:szCs w:val="22"/>
          <w:lang w:val="en-ZA" w:eastAsia="en-US"/>
        </w:rPr>
        <w:t>C</w:t>
      </w:r>
      <w:r w:rsidRPr="00182B28">
        <w:rPr>
          <w:rFonts w:eastAsia="Calibri"/>
          <w:sz w:val="22"/>
          <w:szCs w:val="22"/>
          <w:lang w:val="en-ZA" w:eastAsia="en-US"/>
        </w:rPr>
        <w:t>ourt under case number 17470/14 on 2 June 2015 (the Court Order), the respondents are i</w:t>
      </w:r>
      <w:r w:rsidR="002F646F" w:rsidRPr="00182B28">
        <w:rPr>
          <w:rFonts w:eastAsia="Calibri"/>
          <w:sz w:val="22"/>
          <w:szCs w:val="22"/>
          <w:lang w:val="en-ZA" w:eastAsia="en-US"/>
        </w:rPr>
        <w:t>nterdicted and restrained from</w:t>
      </w:r>
      <w:r w:rsidR="00156438">
        <w:rPr>
          <w:rFonts w:eastAsia="Calibri"/>
          <w:sz w:val="22"/>
          <w:szCs w:val="22"/>
          <w:lang w:val="en-ZA" w:eastAsia="en-US"/>
        </w:rPr>
        <w:t xml:space="preserve"> – </w:t>
      </w:r>
    </w:p>
    <w:p w14:paraId="7D22600B" w14:textId="7C97C6EF" w:rsidR="00770E3B" w:rsidRPr="00182B28" w:rsidRDefault="00A800E2" w:rsidP="00CE7F16">
      <w:pPr>
        <w:spacing w:after="160"/>
        <w:ind w:left="1440"/>
        <w:contextualSpacing/>
        <w:rPr>
          <w:rFonts w:eastAsia="Calibri"/>
          <w:sz w:val="22"/>
          <w:szCs w:val="22"/>
          <w:lang w:val="en-ZA" w:eastAsia="en-US"/>
        </w:rPr>
      </w:pPr>
      <w:r w:rsidRPr="00182B28">
        <w:rPr>
          <w:rFonts w:eastAsia="Calibri"/>
          <w:sz w:val="22"/>
          <w:szCs w:val="22"/>
          <w:lang w:val="en-ZA" w:eastAsia="en-US"/>
        </w:rPr>
        <w:t>1.1.1</w:t>
      </w:r>
      <w:r w:rsidR="00156438">
        <w:rPr>
          <w:rFonts w:eastAsia="Calibri"/>
          <w:sz w:val="22"/>
          <w:szCs w:val="22"/>
          <w:lang w:val="en-ZA" w:eastAsia="en-US"/>
        </w:rPr>
        <w:t xml:space="preserve"> </w:t>
      </w:r>
      <w:r w:rsidRPr="00182B28">
        <w:rPr>
          <w:rFonts w:eastAsia="Calibri"/>
          <w:sz w:val="22"/>
          <w:szCs w:val="22"/>
          <w:lang w:val="en-ZA" w:eastAsia="en-US"/>
        </w:rPr>
        <w:t>manufacturing and/or producing flat wire for purpose</w:t>
      </w:r>
      <w:r w:rsidR="00262A25" w:rsidRPr="00182B28">
        <w:rPr>
          <w:rFonts w:eastAsia="Calibri"/>
          <w:sz w:val="22"/>
          <w:szCs w:val="22"/>
          <w:lang w:val="en-ZA" w:eastAsia="en-US"/>
        </w:rPr>
        <w:t>s</w:t>
      </w:r>
      <w:r w:rsidRPr="00182B28">
        <w:rPr>
          <w:rFonts w:eastAsia="Calibri"/>
          <w:sz w:val="22"/>
          <w:szCs w:val="22"/>
          <w:lang w:val="en-ZA" w:eastAsia="en-US"/>
        </w:rPr>
        <w:t xml:space="preserve"> of manufacturing auger;</w:t>
      </w:r>
    </w:p>
    <w:p w14:paraId="2ACB8DD8" w14:textId="77777777" w:rsidR="00A800E2" w:rsidRPr="00182B28" w:rsidRDefault="00A800E2" w:rsidP="00CE7F16">
      <w:pPr>
        <w:spacing w:after="160"/>
        <w:ind w:left="720" w:firstLine="720"/>
        <w:contextualSpacing/>
        <w:rPr>
          <w:rFonts w:eastAsia="Calibri"/>
          <w:sz w:val="22"/>
          <w:szCs w:val="22"/>
          <w:lang w:val="en-ZA" w:eastAsia="en-US"/>
        </w:rPr>
      </w:pPr>
      <w:r w:rsidRPr="00182B28">
        <w:rPr>
          <w:rFonts w:eastAsia="Calibri"/>
          <w:sz w:val="22"/>
          <w:szCs w:val="22"/>
          <w:lang w:val="en-ZA" w:eastAsia="en-US"/>
        </w:rPr>
        <w:t>1.1.2</w:t>
      </w:r>
      <w:r w:rsidRPr="00182B28">
        <w:rPr>
          <w:rFonts w:eastAsia="Calibri"/>
          <w:sz w:val="22"/>
          <w:szCs w:val="22"/>
          <w:lang w:val="en-ZA" w:eastAsia="en-US"/>
        </w:rPr>
        <w:tab/>
        <w:t>manufacturing and/or producing auger;</w:t>
      </w:r>
    </w:p>
    <w:p w14:paraId="5E0D5715" w14:textId="77777777" w:rsidR="00A800E2" w:rsidRPr="00182B28" w:rsidRDefault="00A800E2" w:rsidP="00CE7F16">
      <w:pPr>
        <w:spacing w:after="160"/>
        <w:ind w:left="1440"/>
        <w:contextualSpacing/>
        <w:rPr>
          <w:rFonts w:eastAsia="Calibri"/>
          <w:sz w:val="22"/>
          <w:szCs w:val="22"/>
          <w:lang w:val="en-ZA" w:eastAsia="en-US"/>
        </w:rPr>
      </w:pPr>
      <w:r w:rsidRPr="00182B28">
        <w:rPr>
          <w:rFonts w:eastAsia="Calibri"/>
          <w:sz w:val="22"/>
          <w:szCs w:val="22"/>
          <w:lang w:val="en-ZA" w:eastAsia="en-US"/>
        </w:rPr>
        <w:t>1.1.3</w:t>
      </w:r>
      <w:r w:rsidRPr="00182B28">
        <w:rPr>
          <w:rFonts w:eastAsia="Calibri"/>
          <w:sz w:val="22"/>
          <w:szCs w:val="22"/>
          <w:lang w:val="en-ZA" w:eastAsia="en-US"/>
        </w:rPr>
        <w:tab/>
        <w:t>marketing for sale and/or selling any flat wire and/or auger produced by any of the respondents;</w:t>
      </w:r>
    </w:p>
    <w:p w14:paraId="40D2A2A3" w14:textId="68532DF9" w:rsidR="003A2EFD" w:rsidRPr="00182B28" w:rsidRDefault="002F646F" w:rsidP="00CE7F16">
      <w:pPr>
        <w:spacing w:after="160"/>
        <w:ind w:left="720"/>
        <w:contextualSpacing/>
        <w:rPr>
          <w:rFonts w:eastAsia="Calibri"/>
          <w:sz w:val="22"/>
          <w:szCs w:val="22"/>
          <w:lang w:val="en-ZA" w:eastAsia="en-US"/>
        </w:rPr>
      </w:pPr>
      <w:r w:rsidRPr="00182B28">
        <w:rPr>
          <w:rFonts w:eastAsia="Calibri"/>
          <w:sz w:val="22"/>
          <w:szCs w:val="22"/>
          <w:lang w:val="en-ZA" w:eastAsia="en-US"/>
        </w:rPr>
        <w:lastRenderedPageBreak/>
        <w:t>1.2</w:t>
      </w:r>
      <w:r w:rsidR="00156438">
        <w:rPr>
          <w:rFonts w:eastAsia="Calibri"/>
          <w:sz w:val="22"/>
          <w:szCs w:val="22"/>
          <w:lang w:val="en-ZA" w:eastAsia="en-US"/>
        </w:rPr>
        <w:t xml:space="preserve"> </w:t>
      </w:r>
      <w:r w:rsidRPr="00182B28">
        <w:rPr>
          <w:rFonts w:eastAsia="Calibri"/>
          <w:sz w:val="22"/>
          <w:szCs w:val="22"/>
          <w:lang w:val="en-ZA" w:eastAsia="en-US"/>
        </w:rPr>
        <w:t>T</w:t>
      </w:r>
      <w:r w:rsidR="00A800E2" w:rsidRPr="00182B28">
        <w:rPr>
          <w:rFonts w:eastAsia="Calibri"/>
          <w:sz w:val="22"/>
          <w:szCs w:val="22"/>
          <w:lang w:val="en-ZA" w:eastAsia="en-US"/>
        </w:rPr>
        <w:t xml:space="preserve">he respondents are restrained and interdicted from removing, causing or permitting the removal of any of the unlawfully </w:t>
      </w:r>
      <w:r w:rsidR="003A2EFD" w:rsidRPr="00182B28">
        <w:rPr>
          <w:rFonts w:eastAsia="Calibri"/>
          <w:sz w:val="22"/>
          <w:szCs w:val="22"/>
          <w:lang w:val="en-ZA" w:eastAsia="en-US"/>
        </w:rPr>
        <w:t>produced products from the premises situated at 6 Distillery Way, BAT Building, Paarl, Western Cape, or from any other premise</w:t>
      </w:r>
      <w:r w:rsidR="00394658" w:rsidRPr="00182B28">
        <w:rPr>
          <w:rFonts w:eastAsia="Calibri"/>
          <w:sz w:val="22"/>
          <w:szCs w:val="22"/>
          <w:lang w:val="en-ZA" w:eastAsia="en-US"/>
        </w:rPr>
        <w:t>s</w:t>
      </w:r>
      <w:r w:rsidR="003A2EFD" w:rsidRPr="00182B28">
        <w:rPr>
          <w:rFonts w:eastAsia="Calibri"/>
          <w:sz w:val="22"/>
          <w:szCs w:val="22"/>
          <w:lang w:val="en-ZA" w:eastAsia="en-US"/>
        </w:rPr>
        <w:t xml:space="preserve"> where same may be located.</w:t>
      </w:r>
    </w:p>
    <w:p w14:paraId="6BB6112B" w14:textId="2413570B" w:rsidR="003A2EFD" w:rsidRPr="00182B28" w:rsidRDefault="002F646F" w:rsidP="00CE7F16">
      <w:pPr>
        <w:spacing w:after="160"/>
        <w:ind w:left="720"/>
        <w:contextualSpacing/>
        <w:rPr>
          <w:rFonts w:eastAsia="Calibri"/>
          <w:sz w:val="22"/>
          <w:szCs w:val="22"/>
          <w:lang w:val="en-ZA" w:eastAsia="en-US"/>
        </w:rPr>
      </w:pPr>
      <w:r w:rsidRPr="00182B28">
        <w:rPr>
          <w:rFonts w:eastAsia="Calibri"/>
          <w:sz w:val="22"/>
          <w:szCs w:val="22"/>
          <w:lang w:val="en-ZA" w:eastAsia="en-US"/>
        </w:rPr>
        <w:t>1.3 W</w:t>
      </w:r>
      <w:r w:rsidR="003A2EFD" w:rsidRPr="00182B28">
        <w:rPr>
          <w:rFonts w:eastAsia="Calibri"/>
          <w:sz w:val="22"/>
          <w:szCs w:val="22"/>
          <w:lang w:val="en-ZA" w:eastAsia="en-US"/>
        </w:rPr>
        <w:t xml:space="preserve">ithin 5 court days of the issue of this </w:t>
      </w:r>
      <w:r w:rsidR="00394658" w:rsidRPr="00182B28">
        <w:rPr>
          <w:rFonts w:eastAsia="Calibri"/>
          <w:sz w:val="22"/>
          <w:szCs w:val="22"/>
          <w:lang w:val="en-ZA" w:eastAsia="en-US"/>
        </w:rPr>
        <w:t>O</w:t>
      </w:r>
      <w:r w:rsidR="003A2EFD" w:rsidRPr="00182B28">
        <w:rPr>
          <w:rFonts w:eastAsia="Calibri"/>
          <w:sz w:val="22"/>
          <w:szCs w:val="22"/>
          <w:lang w:val="en-ZA" w:eastAsia="en-US"/>
        </w:rPr>
        <w:t>rder, the respondents are directed to furnish the applicants with the addresses of all premises where the respondents are storing the unlawfully produced products.</w:t>
      </w:r>
    </w:p>
    <w:p w14:paraId="42BD832D" w14:textId="442E6A06" w:rsidR="00C81241" w:rsidRPr="00182B28" w:rsidRDefault="003A2EFD" w:rsidP="00C37F4E">
      <w:pPr>
        <w:spacing w:after="160"/>
        <w:contextualSpacing/>
        <w:rPr>
          <w:rFonts w:eastAsia="Calibri"/>
          <w:sz w:val="22"/>
          <w:szCs w:val="22"/>
          <w:lang w:val="en-ZA" w:eastAsia="en-US"/>
        </w:rPr>
      </w:pPr>
      <w:r w:rsidRPr="00182B28">
        <w:rPr>
          <w:rFonts w:eastAsia="Calibri"/>
          <w:sz w:val="22"/>
          <w:szCs w:val="22"/>
          <w:lang w:val="en-ZA" w:eastAsia="en-US"/>
        </w:rPr>
        <w:t>2</w:t>
      </w:r>
      <w:r w:rsidR="00156438">
        <w:rPr>
          <w:rFonts w:eastAsia="Calibri"/>
          <w:sz w:val="22"/>
          <w:szCs w:val="22"/>
          <w:lang w:val="en-ZA" w:eastAsia="en-US"/>
        </w:rPr>
        <w:t xml:space="preserve">) </w:t>
      </w:r>
      <w:r w:rsidR="00C81241" w:rsidRPr="00182B28">
        <w:rPr>
          <w:rFonts w:eastAsia="Calibri"/>
          <w:sz w:val="22"/>
          <w:szCs w:val="22"/>
          <w:lang w:val="en-ZA" w:eastAsia="en-US"/>
        </w:rPr>
        <w:t xml:space="preserve">That the respondents are in contempt of the </w:t>
      </w:r>
      <w:r w:rsidR="006949D0" w:rsidRPr="00182B28">
        <w:rPr>
          <w:rFonts w:eastAsia="Calibri"/>
          <w:sz w:val="22"/>
          <w:szCs w:val="22"/>
          <w:lang w:val="en-ZA" w:eastAsia="en-US"/>
        </w:rPr>
        <w:t>C</w:t>
      </w:r>
      <w:r w:rsidR="00C81241" w:rsidRPr="00182B28">
        <w:rPr>
          <w:rFonts w:eastAsia="Calibri"/>
          <w:sz w:val="22"/>
          <w:szCs w:val="22"/>
          <w:lang w:val="en-ZA" w:eastAsia="en-US"/>
        </w:rPr>
        <w:t xml:space="preserve">ourt </w:t>
      </w:r>
      <w:r w:rsidR="006949D0" w:rsidRPr="00182B28">
        <w:rPr>
          <w:rFonts w:eastAsia="Calibri"/>
          <w:sz w:val="22"/>
          <w:szCs w:val="22"/>
          <w:lang w:val="en-ZA" w:eastAsia="en-US"/>
        </w:rPr>
        <w:t>O</w:t>
      </w:r>
      <w:r w:rsidR="00C81241" w:rsidRPr="00182B28">
        <w:rPr>
          <w:rFonts w:eastAsia="Calibri"/>
          <w:sz w:val="22"/>
          <w:szCs w:val="22"/>
          <w:lang w:val="en-ZA" w:eastAsia="en-US"/>
        </w:rPr>
        <w:t>rder of 2 June 2015.</w:t>
      </w:r>
    </w:p>
    <w:p w14:paraId="7B5E2631" w14:textId="514822B0" w:rsidR="003A2EFD" w:rsidRPr="00182B28" w:rsidRDefault="00C81241" w:rsidP="00C37F4E">
      <w:pPr>
        <w:spacing w:after="160"/>
        <w:contextualSpacing/>
        <w:rPr>
          <w:rFonts w:eastAsia="Calibri"/>
          <w:sz w:val="22"/>
          <w:szCs w:val="22"/>
          <w:lang w:val="en-ZA" w:eastAsia="en-US"/>
        </w:rPr>
      </w:pPr>
      <w:r w:rsidRPr="00182B28">
        <w:rPr>
          <w:rFonts w:eastAsia="Calibri"/>
          <w:sz w:val="22"/>
          <w:szCs w:val="22"/>
          <w:lang w:val="en-ZA" w:eastAsia="en-US"/>
        </w:rPr>
        <w:t>3</w:t>
      </w:r>
      <w:r w:rsidR="00A36D04">
        <w:rPr>
          <w:rFonts w:eastAsia="Calibri"/>
          <w:sz w:val="22"/>
          <w:szCs w:val="22"/>
          <w:lang w:val="en-ZA" w:eastAsia="en-US"/>
        </w:rPr>
        <w:t xml:space="preserve">) </w:t>
      </w:r>
      <w:r w:rsidRPr="00182B28">
        <w:rPr>
          <w:rFonts w:eastAsia="Calibri"/>
          <w:sz w:val="22"/>
          <w:szCs w:val="22"/>
          <w:lang w:val="en-ZA" w:eastAsia="en-US"/>
        </w:rPr>
        <w:t>T</w:t>
      </w:r>
      <w:r w:rsidR="003A2EFD" w:rsidRPr="00182B28">
        <w:rPr>
          <w:rFonts w:eastAsia="Calibri"/>
          <w:sz w:val="22"/>
          <w:szCs w:val="22"/>
          <w:lang w:val="en-ZA" w:eastAsia="en-US"/>
        </w:rPr>
        <w:t>hat the respondents are directed to pay to th</w:t>
      </w:r>
      <w:r w:rsidR="00711747" w:rsidRPr="00182B28">
        <w:rPr>
          <w:rFonts w:eastAsia="Calibri"/>
          <w:sz w:val="22"/>
          <w:szCs w:val="22"/>
          <w:lang w:val="en-ZA" w:eastAsia="en-US"/>
        </w:rPr>
        <w:t>e applicants a fine of R450 000.</w:t>
      </w:r>
      <w:r w:rsidR="003A2EFD" w:rsidRPr="00182B28">
        <w:rPr>
          <w:rFonts w:eastAsia="Calibri"/>
          <w:sz w:val="22"/>
          <w:szCs w:val="22"/>
          <w:lang w:val="en-ZA" w:eastAsia="en-US"/>
        </w:rPr>
        <w:t>00 (four</w:t>
      </w:r>
      <w:r w:rsidR="00725F4E" w:rsidRPr="00182B28">
        <w:rPr>
          <w:rFonts w:eastAsia="Calibri"/>
          <w:sz w:val="22"/>
          <w:szCs w:val="22"/>
          <w:lang w:val="en-ZA" w:eastAsia="en-US"/>
        </w:rPr>
        <w:t> </w:t>
      </w:r>
      <w:r w:rsidR="003A2EFD" w:rsidRPr="00182B28">
        <w:rPr>
          <w:rFonts w:eastAsia="Calibri"/>
          <w:sz w:val="22"/>
          <w:szCs w:val="22"/>
          <w:lang w:val="en-ZA" w:eastAsia="en-US"/>
        </w:rPr>
        <w:t>hundred and fifty thousand rand) jointly and severally, the one paying the other to be absolved, by no later than 30 April 2020.</w:t>
      </w:r>
    </w:p>
    <w:p w14:paraId="65EC25A0" w14:textId="288E2D9A" w:rsidR="00C81241" w:rsidRPr="00182B28" w:rsidRDefault="00C81241" w:rsidP="00C37F4E">
      <w:pPr>
        <w:spacing w:after="160"/>
        <w:contextualSpacing/>
        <w:rPr>
          <w:rFonts w:eastAsia="Calibri"/>
          <w:lang w:val="en-ZA" w:eastAsia="en-US"/>
        </w:rPr>
      </w:pPr>
      <w:r w:rsidRPr="00182B28">
        <w:rPr>
          <w:rFonts w:eastAsia="Calibri"/>
          <w:sz w:val="22"/>
          <w:szCs w:val="22"/>
          <w:lang w:val="en-ZA" w:eastAsia="en-US"/>
        </w:rPr>
        <w:t>4</w:t>
      </w:r>
      <w:r w:rsidR="00A36D04">
        <w:rPr>
          <w:rFonts w:eastAsia="Calibri"/>
          <w:sz w:val="22"/>
          <w:szCs w:val="22"/>
          <w:lang w:val="en-ZA" w:eastAsia="en-US"/>
        </w:rPr>
        <w:t xml:space="preserve">) </w:t>
      </w:r>
      <w:r w:rsidRPr="00182B28">
        <w:rPr>
          <w:rFonts w:eastAsia="Calibri"/>
          <w:sz w:val="22"/>
          <w:szCs w:val="22"/>
          <w:lang w:val="en-ZA" w:eastAsia="en-US"/>
        </w:rPr>
        <w:t>The respondents are to pay the costs of all the proceedings to date, including cost</w:t>
      </w:r>
      <w:r w:rsidR="002F646F" w:rsidRPr="00182B28">
        <w:rPr>
          <w:rFonts w:eastAsia="Calibri"/>
          <w:sz w:val="22"/>
          <w:szCs w:val="22"/>
          <w:lang w:val="en-ZA" w:eastAsia="en-US"/>
        </w:rPr>
        <w:t>s</w:t>
      </w:r>
      <w:r w:rsidRPr="00182B28">
        <w:rPr>
          <w:rFonts w:eastAsia="Calibri"/>
          <w:sz w:val="22"/>
          <w:szCs w:val="22"/>
          <w:lang w:val="en-ZA" w:eastAsia="en-US"/>
        </w:rPr>
        <w:t xml:space="preserve"> of two counsel, save for costs relating to the respondents’ application to strike out portions of the applicants’ founding affidavit</w:t>
      </w:r>
      <w:r w:rsidRPr="00182B28">
        <w:rPr>
          <w:rFonts w:eastAsia="Calibri"/>
          <w:lang w:val="en-ZA" w:eastAsia="en-US"/>
        </w:rPr>
        <w:t>.</w:t>
      </w:r>
      <w:r w:rsidR="00133FCA" w:rsidRPr="00182B28">
        <w:rPr>
          <w:rFonts w:eastAsia="Calibri"/>
          <w:sz w:val="22"/>
          <w:szCs w:val="22"/>
          <w:lang w:val="en-ZA" w:eastAsia="en-US"/>
        </w:rPr>
        <w:t>’</w:t>
      </w:r>
    </w:p>
    <w:p w14:paraId="2F6C66D5" w14:textId="73FD132E" w:rsidR="00044023" w:rsidRPr="00182B28" w:rsidRDefault="00C81241" w:rsidP="00C37F4E">
      <w:pPr>
        <w:spacing w:after="160"/>
        <w:contextualSpacing/>
        <w:rPr>
          <w:rFonts w:eastAsia="Calibri"/>
          <w:lang w:val="en-ZA" w:eastAsia="en-US"/>
        </w:rPr>
      </w:pPr>
      <w:r w:rsidRPr="00182B28">
        <w:rPr>
          <w:rFonts w:eastAsia="Calibri"/>
          <w:lang w:val="en-ZA" w:eastAsia="en-US"/>
        </w:rPr>
        <w:t>Following the notice of the current appellants</w:t>
      </w:r>
      <w:r w:rsidR="00717091" w:rsidRPr="00182B28">
        <w:rPr>
          <w:rFonts w:eastAsia="Calibri"/>
          <w:lang w:val="en-ZA" w:eastAsia="en-US"/>
        </w:rPr>
        <w:t>’</w:t>
      </w:r>
      <w:r w:rsidRPr="00182B28">
        <w:rPr>
          <w:rFonts w:eastAsia="Calibri"/>
          <w:lang w:val="en-ZA" w:eastAsia="en-US"/>
        </w:rPr>
        <w:t xml:space="preserve"> intention to apply for leave to appeal against the </w:t>
      </w:r>
      <w:r w:rsidR="002F646F" w:rsidRPr="00182B28">
        <w:rPr>
          <w:rFonts w:eastAsia="Calibri"/>
          <w:lang w:val="en-ZA" w:eastAsia="en-US"/>
        </w:rPr>
        <w:t xml:space="preserve">2020 </w:t>
      </w:r>
      <w:r w:rsidRPr="00182B28">
        <w:rPr>
          <w:rFonts w:eastAsia="Calibri"/>
          <w:lang w:val="en-ZA" w:eastAsia="en-US"/>
        </w:rPr>
        <w:t xml:space="preserve">judgment, the respondents </w:t>
      </w:r>
      <w:r w:rsidR="00044023" w:rsidRPr="00182B28">
        <w:rPr>
          <w:rFonts w:eastAsia="Calibri"/>
          <w:lang w:val="en-ZA" w:eastAsia="en-US"/>
        </w:rPr>
        <w:t xml:space="preserve">abandoned all the relief granted to them save for the </w:t>
      </w:r>
      <w:r w:rsidR="0059389D" w:rsidRPr="00182B28">
        <w:rPr>
          <w:rFonts w:eastAsia="Calibri"/>
          <w:lang w:val="en-ZA" w:eastAsia="en-US"/>
        </w:rPr>
        <w:t xml:space="preserve">interim </w:t>
      </w:r>
      <w:r w:rsidR="00044023" w:rsidRPr="00182B28">
        <w:rPr>
          <w:rFonts w:eastAsia="Calibri"/>
          <w:lang w:val="en-ZA" w:eastAsia="en-US"/>
        </w:rPr>
        <w:t xml:space="preserve">interdicts and the </w:t>
      </w:r>
      <w:r w:rsidR="0059389D" w:rsidRPr="00182B28">
        <w:rPr>
          <w:rFonts w:eastAsia="Calibri"/>
          <w:lang w:val="en-ZA" w:eastAsia="en-US"/>
        </w:rPr>
        <w:t xml:space="preserve">costs </w:t>
      </w:r>
      <w:r w:rsidR="00044023" w:rsidRPr="00182B28">
        <w:rPr>
          <w:rFonts w:eastAsia="Calibri"/>
          <w:lang w:val="en-ZA" w:eastAsia="en-US"/>
        </w:rPr>
        <w:t>order.</w:t>
      </w:r>
    </w:p>
    <w:p w14:paraId="6CB1CEF2" w14:textId="77777777" w:rsidR="00044023" w:rsidRPr="00182B28" w:rsidRDefault="00044023" w:rsidP="00CE7F16">
      <w:pPr>
        <w:contextualSpacing/>
        <w:rPr>
          <w:rFonts w:eastAsia="Calibri"/>
          <w:lang w:val="en-ZA" w:eastAsia="en-US"/>
        </w:rPr>
      </w:pPr>
    </w:p>
    <w:p w14:paraId="7C5D0462" w14:textId="77777777" w:rsidR="003A2EFD" w:rsidRPr="00182B28" w:rsidRDefault="00044023" w:rsidP="00770E3B">
      <w:pPr>
        <w:spacing w:after="160"/>
        <w:contextualSpacing/>
        <w:rPr>
          <w:rFonts w:eastAsia="Calibri"/>
          <w:b/>
          <w:lang w:val="en-ZA" w:eastAsia="en-US"/>
        </w:rPr>
      </w:pPr>
      <w:r w:rsidRPr="00182B28">
        <w:rPr>
          <w:rFonts w:eastAsia="Calibri"/>
          <w:b/>
          <w:lang w:val="en-ZA" w:eastAsia="en-US"/>
        </w:rPr>
        <w:t>Leave to adduce new evidence</w:t>
      </w:r>
      <w:r w:rsidR="00C81241" w:rsidRPr="00182B28">
        <w:rPr>
          <w:rFonts w:eastAsia="Calibri"/>
          <w:b/>
          <w:lang w:val="en-ZA" w:eastAsia="en-US"/>
        </w:rPr>
        <w:t xml:space="preserve"> </w:t>
      </w:r>
    </w:p>
    <w:p w14:paraId="177E2827" w14:textId="0AA747B8" w:rsidR="00044023" w:rsidRPr="00182B28" w:rsidRDefault="00F011E8" w:rsidP="00770E3B">
      <w:pPr>
        <w:spacing w:after="160"/>
        <w:contextualSpacing/>
        <w:rPr>
          <w:rFonts w:eastAsia="Calibri"/>
          <w:lang w:val="en-ZA" w:eastAsia="en-US"/>
        </w:rPr>
      </w:pPr>
      <w:r w:rsidRPr="00182B28">
        <w:rPr>
          <w:rFonts w:eastAsia="Calibri"/>
          <w:lang w:val="en-ZA" w:eastAsia="en-US"/>
        </w:rPr>
        <w:t>[12</w:t>
      </w:r>
      <w:r w:rsidR="002F646F" w:rsidRPr="00182B28">
        <w:rPr>
          <w:rFonts w:eastAsia="Calibri"/>
          <w:lang w:val="en-ZA" w:eastAsia="en-US"/>
        </w:rPr>
        <w:t>]</w:t>
      </w:r>
      <w:r w:rsidR="002F646F" w:rsidRPr="00182B28">
        <w:rPr>
          <w:rFonts w:eastAsia="Calibri"/>
          <w:lang w:val="en-ZA" w:eastAsia="en-US"/>
        </w:rPr>
        <w:tab/>
      </w:r>
      <w:r w:rsidR="00987062" w:rsidRPr="00182B28">
        <w:rPr>
          <w:rFonts w:eastAsia="Calibri"/>
          <w:lang w:val="en-ZA" w:eastAsia="en-US"/>
        </w:rPr>
        <w:t>On the date of the hearing of this appeal, t</w:t>
      </w:r>
      <w:r w:rsidR="00044023" w:rsidRPr="00182B28">
        <w:rPr>
          <w:rFonts w:eastAsia="Calibri"/>
          <w:lang w:val="en-ZA" w:eastAsia="en-US"/>
        </w:rPr>
        <w:t>he respondents made an application in terms of s 19</w:t>
      </w:r>
      <w:r w:rsidR="00044023" w:rsidRPr="00182B28">
        <w:rPr>
          <w:rFonts w:eastAsia="Calibri"/>
          <w:i/>
          <w:lang w:val="en-ZA" w:eastAsia="en-US"/>
        </w:rPr>
        <w:t>(b)</w:t>
      </w:r>
      <w:r w:rsidR="00044023" w:rsidRPr="00182B28">
        <w:rPr>
          <w:rFonts w:eastAsia="Calibri"/>
          <w:lang w:val="en-ZA" w:eastAsia="en-US"/>
        </w:rPr>
        <w:t xml:space="preserve"> of the Superior Court</w:t>
      </w:r>
      <w:r w:rsidR="00A31A7F" w:rsidRPr="00182B28">
        <w:rPr>
          <w:rFonts w:eastAsia="Calibri"/>
          <w:lang w:val="en-ZA" w:eastAsia="en-US"/>
        </w:rPr>
        <w:t>s</w:t>
      </w:r>
      <w:r w:rsidR="00044023" w:rsidRPr="00182B28">
        <w:rPr>
          <w:rFonts w:eastAsia="Calibri"/>
          <w:lang w:val="en-ZA" w:eastAsia="en-US"/>
        </w:rPr>
        <w:t xml:space="preserve"> Act</w:t>
      </w:r>
      <w:r w:rsidR="005266EE" w:rsidRPr="00182B28">
        <w:rPr>
          <w:rFonts w:eastAsia="Calibri"/>
          <w:lang w:val="en-ZA" w:eastAsia="en-US"/>
        </w:rPr>
        <w:t xml:space="preserve"> </w:t>
      </w:r>
      <w:r w:rsidR="005266EE" w:rsidRPr="00182B28">
        <w:rPr>
          <w:lang w:val="en-ZA"/>
        </w:rPr>
        <w:t>10 of 2013</w:t>
      </w:r>
      <w:r w:rsidR="005266EE" w:rsidRPr="00182B28">
        <w:rPr>
          <w:rFonts w:eastAsia="Calibri"/>
          <w:lang w:val="en-ZA" w:eastAsia="en-US"/>
        </w:rPr>
        <w:t xml:space="preserve"> (the Act)</w:t>
      </w:r>
      <w:r w:rsidR="00F07B4D" w:rsidRPr="00182B28">
        <w:rPr>
          <w:rFonts w:eastAsia="Calibri"/>
          <w:lang w:val="en-ZA" w:eastAsia="en-US"/>
        </w:rPr>
        <w:t>. The application was</w:t>
      </w:r>
      <w:r w:rsidR="00044023" w:rsidRPr="00182B28">
        <w:rPr>
          <w:rFonts w:eastAsia="Calibri"/>
          <w:lang w:val="en-ZA" w:eastAsia="en-US"/>
        </w:rPr>
        <w:t xml:space="preserve"> </w:t>
      </w:r>
      <w:r w:rsidR="00720B0F" w:rsidRPr="00182B28">
        <w:rPr>
          <w:rFonts w:eastAsia="Calibri"/>
          <w:lang w:val="en-ZA" w:eastAsia="en-US"/>
        </w:rPr>
        <w:t xml:space="preserve">for leave </w:t>
      </w:r>
      <w:r w:rsidR="00044023" w:rsidRPr="00182B28">
        <w:rPr>
          <w:rFonts w:eastAsia="Calibri"/>
          <w:lang w:val="en-ZA" w:eastAsia="en-US"/>
        </w:rPr>
        <w:t>to adduce further evidence contained in the founding affidavit of their expert, Mr</w:t>
      </w:r>
      <w:r w:rsidR="00ED1B75" w:rsidRPr="00182B28">
        <w:rPr>
          <w:rFonts w:eastAsia="Calibri"/>
          <w:lang w:val="en-ZA" w:eastAsia="en-US"/>
        </w:rPr>
        <w:t> </w:t>
      </w:r>
      <w:r w:rsidR="00E10716" w:rsidRPr="00182B28">
        <w:rPr>
          <w:rFonts w:eastAsia="Calibri"/>
          <w:lang w:val="en-ZA" w:eastAsia="en-US"/>
        </w:rPr>
        <w:t>Mattheus</w:t>
      </w:r>
      <w:r w:rsidR="00ED1B75" w:rsidRPr="00182B28">
        <w:rPr>
          <w:rFonts w:eastAsia="Calibri"/>
          <w:lang w:val="en-ZA" w:eastAsia="en-US"/>
        </w:rPr>
        <w:t> </w:t>
      </w:r>
      <w:r w:rsidR="00E10716" w:rsidRPr="00182B28">
        <w:rPr>
          <w:rFonts w:eastAsia="Calibri"/>
          <w:lang w:val="en-ZA" w:eastAsia="en-US"/>
        </w:rPr>
        <w:t>Willem Johannes Kühn</w:t>
      </w:r>
      <w:r w:rsidR="007D4CE7" w:rsidRPr="00182B28">
        <w:rPr>
          <w:rFonts w:eastAsia="Calibri"/>
          <w:lang w:val="en-ZA" w:eastAsia="en-US"/>
        </w:rPr>
        <w:t xml:space="preserve"> </w:t>
      </w:r>
      <w:r w:rsidR="002D291A">
        <w:rPr>
          <w:rFonts w:eastAsia="Calibri"/>
          <w:lang w:val="en-ZA" w:eastAsia="en-US"/>
        </w:rPr>
        <w:t xml:space="preserve">(Mr </w:t>
      </w:r>
      <w:r w:rsidR="002D291A" w:rsidRPr="00182B28">
        <w:rPr>
          <w:rFonts w:eastAsia="Calibri"/>
          <w:lang w:val="en-ZA" w:eastAsia="en-US"/>
        </w:rPr>
        <w:t>Kühn</w:t>
      </w:r>
      <w:r w:rsidR="002D291A">
        <w:rPr>
          <w:rFonts w:eastAsia="Calibri"/>
          <w:lang w:val="en-ZA" w:eastAsia="en-US"/>
        </w:rPr>
        <w:t xml:space="preserve">) </w:t>
      </w:r>
      <w:r w:rsidR="007D4CE7" w:rsidRPr="00182B28">
        <w:rPr>
          <w:rFonts w:eastAsia="Calibri"/>
          <w:lang w:val="en-ZA" w:eastAsia="en-US"/>
        </w:rPr>
        <w:t>dated 2</w:t>
      </w:r>
      <w:r w:rsidR="00A02A68">
        <w:rPr>
          <w:rFonts w:eastAsia="Calibri"/>
          <w:lang w:val="en-ZA" w:eastAsia="en-US"/>
        </w:rPr>
        <w:t>5</w:t>
      </w:r>
      <w:r w:rsidR="007D4CE7" w:rsidRPr="00182B28">
        <w:rPr>
          <w:rFonts w:eastAsia="Calibri"/>
          <w:lang w:val="en-ZA" w:eastAsia="en-US"/>
        </w:rPr>
        <w:t xml:space="preserve"> January 2022, and </w:t>
      </w:r>
      <w:r w:rsidR="00720B0F" w:rsidRPr="00182B28">
        <w:rPr>
          <w:rFonts w:eastAsia="Calibri"/>
          <w:lang w:val="en-ZA" w:eastAsia="en-US"/>
        </w:rPr>
        <w:t>ancillary relief</w:t>
      </w:r>
      <w:r w:rsidR="007D4CE7" w:rsidRPr="00182B28">
        <w:rPr>
          <w:rFonts w:eastAsia="Calibri"/>
          <w:lang w:val="en-ZA" w:eastAsia="en-US"/>
        </w:rPr>
        <w:t xml:space="preserve">. The </w:t>
      </w:r>
      <w:r w:rsidR="00C24E03" w:rsidRPr="00182B28">
        <w:rPr>
          <w:rFonts w:eastAsia="Calibri"/>
          <w:lang w:val="en-ZA" w:eastAsia="en-US"/>
        </w:rPr>
        <w:t xml:space="preserve">appellants </w:t>
      </w:r>
      <w:r w:rsidR="007D4CE7" w:rsidRPr="00182B28">
        <w:rPr>
          <w:rFonts w:eastAsia="Calibri"/>
          <w:lang w:val="en-ZA" w:eastAsia="en-US"/>
        </w:rPr>
        <w:t xml:space="preserve">opposed </w:t>
      </w:r>
      <w:r w:rsidR="002B6A39" w:rsidRPr="00182B28">
        <w:rPr>
          <w:rFonts w:eastAsia="Calibri"/>
          <w:lang w:val="en-ZA" w:eastAsia="en-US"/>
        </w:rPr>
        <w:t xml:space="preserve">the </w:t>
      </w:r>
      <w:r w:rsidR="00C24E03" w:rsidRPr="00182B28">
        <w:rPr>
          <w:rFonts w:eastAsia="Calibri"/>
          <w:lang w:val="en-ZA" w:eastAsia="en-US"/>
        </w:rPr>
        <w:t>application</w:t>
      </w:r>
      <w:r w:rsidR="007D4CE7" w:rsidRPr="00182B28">
        <w:rPr>
          <w:rFonts w:eastAsia="Calibri"/>
          <w:lang w:val="en-ZA" w:eastAsia="en-US"/>
        </w:rPr>
        <w:t>.</w:t>
      </w:r>
    </w:p>
    <w:p w14:paraId="5DD72015" w14:textId="77777777" w:rsidR="007D4CE7" w:rsidRPr="00182B28" w:rsidRDefault="007D4CE7" w:rsidP="00770E3B">
      <w:pPr>
        <w:spacing w:after="160"/>
        <w:contextualSpacing/>
        <w:rPr>
          <w:rFonts w:eastAsia="Calibri"/>
          <w:lang w:val="en-ZA" w:eastAsia="en-US"/>
        </w:rPr>
      </w:pPr>
    </w:p>
    <w:p w14:paraId="20F69D26" w14:textId="5B33AA77" w:rsidR="007D4CE7" w:rsidRPr="00182B28" w:rsidRDefault="00F011E8" w:rsidP="00770E3B">
      <w:pPr>
        <w:spacing w:after="160"/>
        <w:contextualSpacing/>
        <w:rPr>
          <w:rFonts w:eastAsia="Calibri"/>
          <w:lang w:val="en-ZA" w:eastAsia="en-US"/>
        </w:rPr>
      </w:pPr>
      <w:r w:rsidRPr="00182B28">
        <w:rPr>
          <w:rFonts w:eastAsia="Calibri"/>
          <w:lang w:val="en-ZA" w:eastAsia="en-US"/>
        </w:rPr>
        <w:t>[13</w:t>
      </w:r>
      <w:r w:rsidR="002F646F" w:rsidRPr="00182B28">
        <w:rPr>
          <w:rFonts w:eastAsia="Calibri"/>
          <w:lang w:val="en-ZA" w:eastAsia="en-US"/>
        </w:rPr>
        <w:t>]</w:t>
      </w:r>
      <w:r w:rsidR="002F646F" w:rsidRPr="00182B28">
        <w:rPr>
          <w:rFonts w:eastAsia="Calibri"/>
          <w:lang w:val="en-ZA" w:eastAsia="en-US"/>
        </w:rPr>
        <w:tab/>
        <w:t>C</w:t>
      </w:r>
      <w:r w:rsidR="007D4CE7" w:rsidRPr="00182B28">
        <w:rPr>
          <w:rFonts w:eastAsia="Calibri"/>
          <w:lang w:val="en-ZA" w:eastAsia="en-US"/>
        </w:rPr>
        <w:t>ounsel for the respondents submitted that this application was necessitated by the narrative advanced by the appellants in the appeal that the respondent</w:t>
      </w:r>
      <w:r w:rsidR="003B2703" w:rsidRPr="00182B28">
        <w:rPr>
          <w:rFonts w:eastAsia="Calibri"/>
          <w:lang w:val="en-ZA" w:eastAsia="en-US"/>
        </w:rPr>
        <w:t>s</w:t>
      </w:r>
      <w:r w:rsidR="007D4CE7" w:rsidRPr="00182B28">
        <w:rPr>
          <w:rFonts w:eastAsia="Calibri"/>
          <w:lang w:val="en-ZA" w:eastAsia="en-US"/>
        </w:rPr>
        <w:t xml:space="preserve"> had frustrated the execution of paragraph</w:t>
      </w:r>
      <w:r w:rsidR="002F646F" w:rsidRPr="00182B28">
        <w:rPr>
          <w:rFonts w:eastAsia="Calibri"/>
          <w:lang w:val="en-ZA" w:eastAsia="en-US"/>
        </w:rPr>
        <w:t>s</w:t>
      </w:r>
      <w:r w:rsidR="007D4CE7" w:rsidRPr="00182B28">
        <w:rPr>
          <w:rFonts w:eastAsia="Calibri"/>
          <w:lang w:val="en-ZA" w:eastAsia="en-US"/>
        </w:rPr>
        <w:t xml:space="preserve"> 24 and 25 of the 2015 order, alternatively that paragraph</w:t>
      </w:r>
      <w:r w:rsidR="002F646F" w:rsidRPr="00182B28">
        <w:rPr>
          <w:rFonts w:eastAsia="Calibri"/>
          <w:lang w:val="en-ZA" w:eastAsia="en-US"/>
        </w:rPr>
        <w:t>s</w:t>
      </w:r>
      <w:r w:rsidR="007D4CE7" w:rsidRPr="00182B28">
        <w:rPr>
          <w:rFonts w:eastAsia="Calibri"/>
          <w:lang w:val="en-ZA" w:eastAsia="en-US"/>
        </w:rPr>
        <w:t xml:space="preserve"> 24 and 25 are not capable of execution</w:t>
      </w:r>
      <w:r w:rsidR="003B2703" w:rsidRPr="00182B28">
        <w:rPr>
          <w:rFonts w:eastAsia="Calibri"/>
          <w:lang w:val="en-ZA" w:eastAsia="en-US"/>
        </w:rPr>
        <w:t>.</w:t>
      </w:r>
      <w:r w:rsidR="007D4CE7" w:rsidRPr="00182B28">
        <w:rPr>
          <w:rFonts w:eastAsia="Calibri"/>
          <w:lang w:val="en-ZA" w:eastAsia="en-US"/>
        </w:rPr>
        <w:t xml:space="preserve"> Mr Broekhuizen</w:t>
      </w:r>
      <w:r w:rsidR="00720B0F" w:rsidRPr="00182B28">
        <w:rPr>
          <w:rFonts w:eastAsia="Calibri"/>
          <w:lang w:val="en-ZA" w:eastAsia="en-US"/>
        </w:rPr>
        <w:t>,</w:t>
      </w:r>
      <w:r w:rsidR="00A064CA" w:rsidRPr="00182B28">
        <w:rPr>
          <w:rFonts w:eastAsia="Calibri"/>
          <w:lang w:val="en-ZA" w:eastAsia="en-US"/>
        </w:rPr>
        <w:t xml:space="preserve"> the </w:t>
      </w:r>
      <w:r w:rsidR="003B2703" w:rsidRPr="00182B28">
        <w:rPr>
          <w:rFonts w:eastAsia="Calibri"/>
          <w:lang w:val="en-ZA" w:eastAsia="en-US"/>
        </w:rPr>
        <w:t>respo</w:t>
      </w:r>
      <w:r w:rsidR="00A064CA" w:rsidRPr="00182B28">
        <w:rPr>
          <w:rFonts w:eastAsia="Calibri"/>
          <w:lang w:val="en-ZA" w:eastAsia="en-US"/>
        </w:rPr>
        <w:t>ndent’s</w:t>
      </w:r>
      <w:r w:rsidR="003B2703" w:rsidRPr="00182B28">
        <w:rPr>
          <w:rFonts w:eastAsia="Calibri"/>
          <w:lang w:val="en-ZA" w:eastAsia="en-US"/>
        </w:rPr>
        <w:t xml:space="preserve"> expert</w:t>
      </w:r>
      <w:r w:rsidR="00720B0F" w:rsidRPr="00182B28">
        <w:rPr>
          <w:rFonts w:eastAsia="Calibri"/>
          <w:lang w:val="en-ZA" w:eastAsia="en-US"/>
        </w:rPr>
        <w:t>,</w:t>
      </w:r>
      <w:r w:rsidR="007D4CE7" w:rsidRPr="00182B28">
        <w:rPr>
          <w:rFonts w:eastAsia="Calibri"/>
          <w:lang w:val="en-ZA" w:eastAsia="en-US"/>
        </w:rPr>
        <w:t xml:space="preserve"> had prior to the appellants </w:t>
      </w:r>
      <w:r w:rsidR="00720B0F" w:rsidRPr="00182B28">
        <w:rPr>
          <w:rFonts w:eastAsia="Calibri"/>
          <w:lang w:val="en-ZA" w:eastAsia="en-US"/>
        </w:rPr>
        <w:t>launching their</w:t>
      </w:r>
      <w:r w:rsidR="007D4CE7" w:rsidRPr="00182B28">
        <w:rPr>
          <w:rFonts w:eastAsia="Calibri"/>
          <w:lang w:val="en-ZA" w:eastAsia="en-US"/>
        </w:rPr>
        <w:t xml:space="preserve"> application for leave to appeal</w:t>
      </w:r>
      <w:r w:rsidR="008B61C7">
        <w:rPr>
          <w:rFonts w:eastAsia="Calibri"/>
          <w:lang w:val="en-ZA" w:eastAsia="en-US"/>
        </w:rPr>
        <w:t>,</w:t>
      </w:r>
      <w:r w:rsidR="007D4CE7" w:rsidRPr="00182B28">
        <w:rPr>
          <w:rFonts w:eastAsia="Calibri"/>
          <w:lang w:val="en-ZA" w:eastAsia="en-US"/>
        </w:rPr>
        <w:t xml:space="preserve"> produced his report and the appellants’</w:t>
      </w:r>
      <w:r w:rsidR="00720B0F" w:rsidRPr="00182B28">
        <w:rPr>
          <w:rFonts w:eastAsia="Calibri"/>
          <w:lang w:val="en-ZA" w:eastAsia="en-US"/>
        </w:rPr>
        <w:t xml:space="preserve"> expert</w:t>
      </w:r>
      <w:r w:rsidR="00A151CB" w:rsidRPr="00182B28">
        <w:rPr>
          <w:rFonts w:eastAsia="Calibri"/>
          <w:lang w:val="en-ZA" w:eastAsia="en-US"/>
        </w:rPr>
        <w:t>,</w:t>
      </w:r>
      <w:r w:rsidR="00720B0F" w:rsidRPr="00182B28">
        <w:rPr>
          <w:rFonts w:eastAsia="Calibri"/>
          <w:lang w:val="en-ZA" w:eastAsia="en-US"/>
        </w:rPr>
        <w:t xml:space="preserve"> Mr Bowles had responded</w:t>
      </w:r>
      <w:r w:rsidR="007D4CE7" w:rsidRPr="00182B28">
        <w:rPr>
          <w:rFonts w:eastAsia="Calibri"/>
          <w:lang w:val="en-ZA" w:eastAsia="en-US"/>
        </w:rPr>
        <w:t xml:space="preserve"> to the report. It </w:t>
      </w:r>
      <w:r w:rsidR="00DE22F8" w:rsidRPr="00182B28">
        <w:rPr>
          <w:rFonts w:eastAsia="Calibri"/>
          <w:lang w:val="en-ZA" w:eastAsia="en-US"/>
        </w:rPr>
        <w:t>wa</w:t>
      </w:r>
      <w:r w:rsidR="007D4CE7" w:rsidRPr="00182B28">
        <w:rPr>
          <w:rFonts w:eastAsia="Calibri"/>
          <w:lang w:val="en-ZA" w:eastAsia="en-US"/>
        </w:rPr>
        <w:t xml:space="preserve">s further </w:t>
      </w:r>
      <w:r w:rsidR="007D4CE7" w:rsidRPr="00182B28">
        <w:rPr>
          <w:rFonts w:eastAsia="Calibri"/>
          <w:lang w:val="en-ZA" w:eastAsia="en-US"/>
        </w:rPr>
        <w:lastRenderedPageBreak/>
        <w:t>submi</w:t>
      </w:r>
      <w:r w:rsidR="00DE22F8" w:rsidRPr="00182B28">
        <w:rPr>
          <w:rFonts w:eastAsia="Calibri"/>
          <w:lang w:val="en-ZA" w:eastAsia="en-US"/>
        </w:rPr>
        <w:t xml:space="preserve">tted </w:t>
      </w:r>
      <w:r w:rsidR="007D4CE7" w:rsidRPr="00182B28">
        <w:rPr>
          <w:rFonts w:eastAsia="Calibri"/>
          <w:lang w:val="en-ZA" w:eastAsia="en-US"/>
        </w:rPr>
        <w:t xml:space="preserve">that </w:t>
      </w:r>
      <w:r w:rsidR="00720B0F" w:rsidRPr="00182B28">
        <w:rPr>
          <w:rFonts w:eastAsia="Calibri"/>
          <w:lang w:val="en-ZA" w:eastAsia="en-US"/>
        </w:rPr>
        <w:t>when</w:t>
      </w:r>
      <w:r w:rsidR="007D4CE7" w:rsidRPr="00182B28">
        <w:rPr>
          <w:rFonts w:eastAsia="Calibri"/>
          <w:lang w:val="en-ZA" w:eastAsia="en-US"/>
        </w:rPr>
        <w:t xml:space="preserve"> the application for leave to appeal served before this</w:t>
      </w:r>
      <w:r w:rsidR="004E16FC" w:rsidRPr="00182B28">
        <w:rPr>
          <w:rFonts w:eastAsia="Calibri"/>
          <w:lang w:val="en-ZA" w:eastAsia="en-US"/>
        </w:rPr>
        <w:t> </w:t>
      </w:r>
      <w:r w:rsidR="00DE22F8" w:rsidRPr="00182B28">
        <w:rPr>
          <w:rFonts w:eastAsia="Calibri"/>
          <w:lang w:val="en-ZA" w:eastAsia="en-US"/>
        </w:rPr>
        <w:t>C</w:t>
      </w:r>
      <w:r w:rsidR="00A151CB" w:rsidRPr="00182B28">
        <w:rPr>
          <w:rFonts w:eastAsia="Calibri"/>
          <w:lang w:val="en-ZA" w:eastAsia="en-US"/>
        </w:rPr>
        <w:t>ourt, Mr Broek</w:t>
      </w:r>
      <w:r w:rsidR="007D4CE7" w:rsidRPr="00182B28">
        <w:rPr>
          <w:rFonts w:eastAsia="Calibri"/>
          <w:lang w:val="en-ZA" w:eastAsia="en-US"/>
        </w:rPr>
        <w:t>huizen was in the process of considering and responding to Mr</w:t>
      </w:r>
      <w:r w:rsidR="004E16FC" w:rsidRPr="00182B28">
        <w:rPr>
          <w:rFonts w:eastAsia="Calibri"/>
          <w:lang w:val="en-ZA" w:eastAsia="en-US"/>
        </w:rPr>
        <w:t> </w:t>
      </w:r>
      <w:r w:rsidR="007D4CE7" w:rsidRPr="00182B28">
        <w:rPr>
          <w:rFonts w:eastAsia="Calibri"/>
          <w:lang w:val="en-ZA" w:eastAsia="en-US"/>
        </w:rPr>
        <w:t>Bowles’ inputs.</w:t>
      </w:r>
    </w:p>
    <w:p w14:paraId="2FF77447" w14:textId="77777777" w:rsidR="007D4CE7" w:rsidRPr="00182B28" w:rsidRDefault="007D4CE7" w:rsidP="00770E3B">
      <w:pPr>
        <w:spacing w:after="160"/>
        <w:contextualSpacing/>
        <w:rPr>
          <w:rFonts w:eastAsia="Calibri"/>
          <w:lang w:val="en-ZA" w:eastAsia="en-US"/>
        </w:rPr>
      </w:pPr>
    </w:p>
    <w:p w14:paraId="4334877B" w14:textId="5221F40A" w:rsidR="00C446BA" w:rsidRPr="00182B28" w:rsidRDefault="00F011E8" w:rsidP="00770E3B">
      <w:pPr>
        <w:spacing w:after="160"/>
        <w:contextualSpacing/>
        <w:rPr>
          <w:rFonts w:eastAsia="Calibri"/>
          <w:lang w:val="en-ZA" w:eastAsia="en-US"/>
        </w:rPr>
      </w:pPr>
      <w:r w:rsidRPr="00182B28">
        <w:rPr>
          <w:rFonts w:eastAsia="Calibri"/>
          <w:lang w:val="en-ZA" w:eastAsia="en-US"/>
        </w:rPr>
        <w:t>[14</w:t>
      </w:r>
      <w:r w:rsidR="007D4CE7" w:rsidRPr="00182B28">
        <w:rPr>
          <w:rFonts w:eastAsia="Calibri"/>
          <w:lang w:val="en-ZA" w:eastAsia="en-US"/>
        </w:rPr>
        <w:t>]</w:t>
      </w:r>
      <w:r w:rsidR="007D4CE7" w:rsidRPr="00182B28">
        <w:rPr>
          <w:rFonts w:eastAsia="Calibri"/>
          <w:lang w:val="en-ZA" w:eastAsia="en-US"/>
        </w:rPr>
        <w:tab/>
      </w:r>
      <w:r w:rsidR="009303AC" w:rsidRPr="00182B28">
        <w:rPr>
          <w:rFonts w:eastAsia="Calibri"/>
          <w:lang w:val="en-ZA" w:eastAsia="en-US"/>
        </w:rPr>
        <w:t>The respondents argued that the process contemplated in paragraph</w:t>
      </w:r>
      <w:r w:rsidR="00AC7A6F" w:rsidRPr="00182B28">
        <w:rPr>
          <w:rFonts w:eastAsia="Calibri"/>
          <w:lang w:val="en-ZA" w:eastAsia="en-US"/>
        </w:rPr>
        <w:t>s</w:t>
      </w:r>
      <w:r w:rsidR="003F0B83" w:rsidRPr="00182B28">
        <w:rPr>
          <w:rFonts w:eastAsia="Calibri"/>
          <w:lang w:val="en-ZA" w:eastAsia="en-US"/>
        </w:rPr>
        <w:t xml:space="preserve"> 24 and 25 of the 2015 order had</w:t>
      </w:r>
      <w:r w:rsidR="009303AC" w:rsidRPr="00182B28">
        <w:rPr>
          <w:rFonts w:eastAsia="Calibri"/>
          <w:lang w:val="en-ZA" w:eastAsia="en-US"/>
        </w:rPr>
        <w:t xml:space="preserve"> been implemented and completed as the experts’ report was finalised</w:t>
      </w:r>
      <w:r w:rsidR="006975EE" w:rsidRPr="00182B28">
        <w:rPr>
          <w:rFonts w:eastAsia="Calibri"/>
          <w:lang w:val="en-ZA" w:eastAsia="en-US"/>
        </w:rPr>
        <w:t>.</w:t>
      </w:r>
      <w:r w:rsidR="009303AC" w:rsidRPr="00182B28">
        <w:rPr>
          <w:rFonts w:eastAsia="Calibri"/>
          <w:lang w:val="en-ZA" w:eastAsia="en-US"/>
        </w:rPr>
        <w:t xml:space="preserve"> </w:t>
      </w:r>
      <w:r w:rsidR="006975EE" w:rsidRPr="00182B28">
        <w:rPr>
          <w:rFonts w:eastAsia="Calibri"/>
          <w:lang w:val="en-ZA" w:eastAsia="en-US"/>
        </w:rPr>
        <w:t>T</w:t>
      </w:r>
      <w:r w:rsidR="009303AC" w:rsidRPr="00182B28">
        <w:rPr>
          <w:rFonts w:eastAsia="Calibri"/>
          <w:lang w:val="en-ZA" w:eastAsia="en-US"/>
        </w:rPr>
        <w:t>he parties had</w:t>
      </w:r>
      <w:r w:rsidR="00875387">
        <w:rPr>
          <w:rFonts w:eastAsia="Calibri"/>
          <w:lang w:val="en-ZA" w:eastAsia="en-US"/>
        </w:rPr>
        <w:t>,</w:t>
      </w:r>
      <w:r w:rsidR="009303AC" w:rsidRPr="00182B28">
        <w:rPr>
          <w:rFonts w:eastAsia="Calibri"/>
          <w:lang w:val="en-ZA" w:eastAsia="en-US"/>
        </w:rPr>
        <w:t xml:space="preserve"> on 16 November 2021</w:t>
      </w:r>
      <w:r w:rsidR="008B61C7">
        <w:rPr>
          <w:rFonts w:eastAsia="Calibri"/>
          <w:lang w:val="en-ZA" w:eastAsia="en-US"/>
        </w:rPr>
        <w:t>,</w:t>
      </w:r>
      <w:r w:rsidR="009303AC" w:rsidRPr="00182B28">
        <w:rPr>
          <w:rFonts w:eastAsia="Calibri"/>
          <w:lang w:val="en-ZA" w:eastAsia="en-US"/>
        </w:rPr>
        <w:t xml:space="preserve"> delivered their respective commentary </w:t>
      </w:r>
      <w:r w:rsidR="00A151CB" w:rsidRPr="00182B28">
        <w:rPr>
          <w:rFonts w:eastAsia="Calibri"/>
          <w:lang w:val="en-ZA" w:eastAsia="en-US"/>
        </w:rPr>
        <w:t>on</w:t>
      </w:r>
      <w:r w:rsidR="009303AC" w:rsidRPr="00182B28">
        <w:rPr>
          <w:rFonts w:eastAsia="Calibri"/>
          <w:lang w:val="en-ZA" w:eastAsia="en-US"/>
        </w:rPr>
        <w:t xml:space="preserve"> the report. The opinions, findings and conclusions of the respective experts are not uniform but are widely divergent. Following the delivery of the experts’ fi</w:t>
      </w:r>
      <w:r w:rsidR="00711747" w:rsidRPr="00182B28">
        <w:rPr>
          <w:rFonts w:eastAsia="Calibri"/>
          <w:lang w:val="en-ZA" w:eastAsia="en-US"/>
        </w:rPr>
        <w:t>nal report, the</w:t>
      </w:r>
      <w:r w:rsidR="00875387">
        <w:rPr>
          <w:rFonts w:eastAsia="Calibri"/>
          <w:lang w:val="en-ZA" w:eastAsia="en-US"/>
        </w:rPr>
        <w:t xml:space="preserve"> respondents</w:t>
      </w:r>
      <w:r w:rsidR="00711747" w:rsidRPr="00182B28">
        <w:rPr>
          <w:rFonts w:eastAsia="Calibri"/>
          <w:lang w:val="en-ZA" w:eastAsia="en-US"/>
        </w:rPr>
        <w:t xml:space="preserve"> </w:t>
      </w:r>
      <w:r w:rsidR="009303AC" w:rsidRPr="00182B28">
        <w:rPr>
          <w:rFonts w:eastAsia="Calibri"/>
          <w:lang w:val="en-ZA" w:eastAsia="en-US"/>
        </w:rPr>
        <w:t>l</w:t>
      </w:r>
      <w:r w:rsidR="003F0B83" w:rsidRPr="00182B28">
        <w:rPr>
          <w:rFonts w:eastAsia="Calibri"/>
          <w:lang w:val="en-ZA" w:eastAsia="en-US"/>
        </w:rPr>
        <w:t>a</w:t>
      </w:r>
      <w:r w:rsidR="009303AC" w:rsidRPr="00182B28">
        <w:rPr>
          <w:rFonts w:eastAsia="Calibri"/>
          <w:lang w:val="en-ZA" w:eastAsia="en-US"/>
        </w:rPr>
        <w:t>unched</w:t>
      </w:r>
      <w:r w:rsidR="002358F9" w:rsidRPr="00182B28">
        <w:rPr>
          <w:rFonts w:eastAsia="Calibri"/>
          <w:lang w:val="en-ZA" w:eastAsia="en-US"/>
        </w:rPr>
        <w:t xml:space="preserve"> the</w:t>
      </w:r>
      <w:r w:rsidR="009303AC" w:rsidRPr="00182B28">
        <w:rPr>
          <w:rFonts w:eastAsia="Calibri"/>
          <w:lang w:val="en-ZA" w:eastAsia="en-US"/>
        </w:rPr>
        <w:t xml:space="preserve"> </w:t>
      </w:r>
      <w:r w:rsidR="002358F9" w:rsidRPr="00182B28">
        <w:rPr>
          <w:rFonts w:eastAsia="Calibri"/>
          <w:lang w:val="en-ZA" w:eastAsia="en-US"/>
        </w:rPr>
        <w:t xml:space="preserve">application </w:t>
      </w:r>
      <w:r w:rsidR="009303AC" w:rsidRPr="00182B28">
        <w:rPr>
          <w:rFonts w:eastAsia="Calibri"/>
          <w:lang w:val="en-ZA" w:eastAsia="en-US"/>
        </w:rPr>
        <w:t>under case number 17470/2014 on 30 November 2021 for the court a quo to determine the process to be foll</w:t>
      </w:r>
      <w:r w:rsidR="003F0B83" w:rsidRPr="00182B28">
        <w:rPr>
          <w:rFonts w:eastAsia="Calibri"/>
          <w:lang w:val="en-ZA" w:eastAsia="en-US"/>
        </w:rPr>
        <w:t>owed in terms of paragraph 24 for</w:t>
      </w:r>
      <w:r w:rsidR="009303AC" w:rsidRPr="00182B28">
        <w:rPr>
          <w:rFonts w:eastAsia="Calibri"/>
          <w:lang w:val="en-ZA" w:eastAsia="en-US"/>
        </w:rPr>
        <w:t xml:space="preserve"> the determination of the disputes between the parties. It is the respondents’ contention that the determination of the disputes identified in the report now fall to be determined by the court a quo, </w:t>
      </w:r>
      <w:r w:rsidR="003A2D39" w:rsidRPr="00182B28">
        <w:rPr>
          <w:rFonts w:eastAsia="Calibri"/>
          <w:lang w:val="en-ZA" w:eastAsia="en-US"/>
        </w:rPr>
        <w:t>which therefore</w:t>
      </w:r>
      <w:r w:rsidR="009303AC" w:rsidRPr="00182B28">
        <w:rPr>
          <w:rFonts w:eastAsia="Calibri"/>
          <w:lang w:val="en-ZA" w:eastAsia="en-US"/>
        </w:rPr>
        <w:t xml:space="preserve"> renders the relief to </w:t>
      </w:r>
      <w:r w:rsidR="00C446BA" w:rsidRPr="00182B28">
        <w:rPr>
          <w:rFonts w:eastAsia="Calibri"/>
          <w:lang w:val="en-ZA" w:eastAsia="en-US"/>
        </w:rPr>
        <w:t>set aside the provisions of paragraph</w:t>
      </w:r>
      <w:r w:rsidR="00AC7A6F" w:rsidRPr="00182B28">
        <w:rPr>
          <w:rFonts w:eastAsia="Calibri"/>
          <w:lang w:val="en-ZA" w:eastAsia="en-US"/>
        </w:rPr>
        <w:t>s</w:t>
      </w:r>
      <w:r w:rsidR="00C446BA" w:rsidRPr="00182B28">
        <w:rPr>
          <w:rFonts w:eastAsia="Calibri"/>
          <w:lang w:val="en-ZA" w:eastAsia="en-US"/>
        </w:rPr>
        <w:t xml:space="preserve"> 24 and 25 of </w:t>
      </w:r>
      <w:r w:rsidR="003F0B83" w:rsidRPr="00182B28">
        <w:rPr>
          <w:rFonts w:eastAsia="Calibri"/>
          <w:lang w:val="en-ZA" w:eastAsia="en-US"/>
        </w:rPr>
        <w:t xml:space="preserve">the </w:t>
      </w:r>
      <w:r w:rsidR="00C446BA" w:rsidRPr="00182B28">
        <w:rPr>
          <w:rFonts w:eastAsia="Calibri"/>
          <w:lang w:val="en-ZA" w:eastAsia="en-US"/>
        </w:rPr>
        <w:t>2015 order moot.</w:t>
      </w:r>
    </w:p>
    <w:p w14:paraId="513E62A8" w14:textId="77777777" w:rsidR="00C446BA" w:rsidRPr="00182B28" w:rsidRDefault="00C446BA" w:rsidP="00770E3B">
      <w:pPr>
        <w:spacing w:after="160"/>
        <w:contextualSpacing/>
        <w:rPr>
          <w:rFonts w:eastAsia="Calibri"/>
          <w:lang w:val="en-ZA" w:eastAsia="en-US"/>
        </w:rPr>
      </w:pPr>
    </w:p>
    <w:p w14:paraId="615BB33A" w14:textId="747607AC" w:rsidR="00C446BA" w:rsidRPr="00182B28" w:rsidRDefault="00F011E8" w:rsidP="00770E3B">
      <w:pPr>
        <w:spacing w:after="160"/>
        <w:contextualSpacing/>
        <w:rPr>
          <w:rFonts w:eastAsia="Calibri"/>
          <w:lang w:val="en-ZA" w:eastAsia="en-US"/>
        </w:rPr>
      </w:pPr>
      <w:r w:rsidRPr="00182B28">
        <w:rPr>
          <w:rFonts w:eastAsia="Calibri"/>
          <w:lang w:val="en-ZA" w:eastAsia="en-US"/>
        </w:rPr>
        <w:t>[15</w:t>
      </w:r>
      <w:r w:rsidR="00C446BA" w:rsidRPr="00182B28">
        <w:rPr>
          <w:rFonts w:eastAsia="Calibri"/>
          <w:lang w:val="en-ZA" w:eastAsia="en-US"/>
        </w:rPr>
        <w:t>]</w:t>
      </w:r>
      <w:r w:rsidR="00C446BA" w:rsidRPr="00182B28">
        <w:rPr>
          <w:rFonts w:eastAsia="Calibri"/>
          <w:lang w:val="en-ZA" w:eastAsia="en-US"/>
        </w:rPr>
        <w:tab/>
        <w:t>The respondents further submitted that it is in the interest</w:t>
      </w:r>
      <w:r w:rsidR="003A2D39" w:rsidRPr="00182B28">
        <w:rPr>
          <w:rFonts w:eastAsia="Calibri"/>
          <w:lang w:val="en-ZA" w:eastAsia="en-US"/>
        </w:rPr>
        <w:t>s</w:t>
      </w:r>
      <w:r w:rsidR="00C446BA" w:rsidRPr="00182B28">
        <w:rPr>
          <w:rFonts w:eastAsia="Calibri"/>
          <w:lang w:val="en-ZA" w:eastAsia="en-US"/>
        </w:rPr>
        <w:t xml:space="preserve"> of justice and fairness that they be all</w:t>
      </w:r>
      <w:r w:rsidR="003B2703" w:rsidRPr="00182B28">
        <w:rPr>
          <w:rFonts w:eastAsia="Calibri"/>
          <w:lang w:val="en-ZA" w:eastAsia="en-US"/>
        </w:rPr>
        <w:t>owed to adduce further evidence and</w:t>
      </w:r>
      <w:r w:rsidR="00C446BA" w:rsidRPr="00182B28">
        <w:rPr>
          <w:rFonts w:eastAsia="Calibri"/>
          <w:lang w:val="en-ZA" w:eastAsia="en-US"/>
        </w:rPr>
        <w:t xml:space="preserve"> that the evidence is dispositive of substantial issues that the appellants </w:t>
      </w:r>
      <w:r w:rsidR="003B2703" w:rsidRPr="00182B28">
        <w:rPr>
          <w:rFonts w:eastAsia="Calibri"/>
          <w:lang w:val="en-ZA" w:eastAsia="en-US"/>
        </w:rPr>
        <w:t xml:space="preserve">require this </w:t>
      </w:r>
      <w:r w:rsidR="003A2D39" w:rsidRPr="00182B28">
        <w:rPr>
          <w:rFonts w:eastAsia="Calibri"/>
          <w:lang w:val="en-ZA" w:eastAsia="en-US"/>
        </w:rPr>
        <w:t>C</w:t>
      </w:r>
      <w:r w:rsidR="003B2703" w:rsidRPr="00182B28">
        <w:rPr>
          <w:rFonts w:eastAsia="Calibri"/>
          <w:lang w:val="en-ZA" w:eastAsia="en-US"/>
        </w:rPr>
        <w:t xml:space="preserve">ourt to determine. It was argued </w:t>
      </w:r>
      <w:r w:rsidR="00A064CA" w:rsidRPr="00182B28">
        <w:rPr>
          <w:rFonts w:eastAsia="Calibri"/>
          <w:lang w:val="en-ZA" w:eastAsia="en-US"/>
        </w:rPr>
        <w:t xml:space="preserve">that </w:t>
      </w:r>
      <w:r w:rsidR="00C446BA" w:rsidRPr="00182B28">
        <w:rPr>
          <w:rFonts w:eastAsia="Calibri"/>
          <w:lang w:val="en-ZA" w:eastAsia="en-US"/>
        </w:rPr>
        <w:t>the respondents will be severely prejudiced if the false narrative of the frustration of the implementation of the order and the purported non-executability of the 2015 order is not addressed.</w:t>
      </w:r>
    </w:p>
    <w:p w14:paraId="15F79D00" w14:textId="77777777" w:rsidR="00C446BA" w:rsidRPr="00182B28" w:rsidRDefault="00C446BA" w:rsidP="00770E3B">
      <w:pPr>
        <w:spacing w:after="160"/>
        <w:contextualSpacing/>
        <w:rPr>
          <w:rFonts w:eastAsia="Calibri"/>
          <w:lang w:val="en-ZA" w:eastAsia="en-US"/>
        </w:rPr>
      </w:pPr>
    </w:p>
    <w:p w14:paraId="574ED62D" w14:textId="1439FC32" w:rsidR="007D4CE7" w:rsidRPr="00182B28" w:rsidRDefault="00F011E8" w:rsidP="00770E3B">
      <w:pPr>
        <w:spacing w:after="160"/>
        <w:contextualSpacing/>
        <w:rPr>
          <w:rFonts w:eastAsia="Calibri"/>
          <w:lang w:val="en-ZA" w:eastAsia="en-US"/>
        </w:rPr>
      </w:pPr>
      <w:r w:rsidRPr="00182B28">
        <w:rPr>
          <w:rFonts w:eastAsia="Calibri"/>
          <w:lang w:val="en-ZA" w:eastAsia="en-US"/>
        </w:rPr>
        <w:t>[16</w:t>
      </w:r>
      <w:r w:rsidR="00C446BA" w:rsidRPr="00182B28">
        <w:rPr>
          <w:rFonts w:eastAsia="Calibri"/>
          <w:lang w:val="en-ZA" w:eastAsia="en-US"/>
        </w:rPr>
        <w:t>]</w:t>
      </w:r>
      <w:r w:rsidR="00C446BA" w:rsidRPr="00182B28">
        <w:rPr>
          <w:rFonts w:eastAsia="Calibri"/>
          <w:lang w:val="en-ZA" w:eastAsia="en-US"/>
        </w:rPr>
        <w:tab/>
        <w:t>Section 19 of the Act</w:t>
      </w:r>
      <w:r w:rsidR="003F0B83" w:rsidRPr="00182B28">
        <w:rPr>
          <w:rFonts w:eastAsia="Calibri"/>
          <w:lang w:val="en-ZA" w:eastAsia="en-US"/>
        </w:rPr>
        <w:t xml:space="preserve"> </w:t>
      </w:r>
      <w:r w:rsidR="00C446BA" w:rsidRPr="00182B28">
        <w:rPr>
          <w:rFonts w:eastAsia="Calibri"/>
          <w:lang w:val="en-ZA" w:eastAsia="en-US"/>
        </w:rPr>
        <w:t>provides:</w:t>
      </w:r>
    </w:p>
    <w:p w14:paraId="067B59A3" w14:textId="7AB4F21A" w:rsidR="000A17C6" w:rsidRPr="00182B28" w:rsidRDefault="000A17C6" w:rsidP="000A17C6">
      <w:pPr>
        <w:spacing w:after="160"/>
        <w:contextualSpacing/>
        <w:rPr>
          <w:rFonts w:eastAsia="Calibri"/>
          <w:sz w:val="22"/>
          <w:szCs w:val="22"/>
          <w:lang w:val="en-ZA" w:eastAsia="en-US"/>
        </w:rPr>
      </w:pPr>
      <w:r w:rsidRPr="00182B28">
        <w:rPr>
          <w:rFonts w:eastAsia="Calibri"/>
          <w:sz w:val="22"/>
          <w:szCs w:val="22"/>
          <w:lang w:val="en-ZA" w:eastAsia="en-US"/>
        </w:rPr>
        <w:t>‘The Supreme Court of Appeal or a Division exercising appeal jurisdiction may, in addition to any power as may specifically be provided for in any other law</w:t>
      </w:r>
      <w:r w:rsidR="00E90509">
        <w:rPr>
          <w:rFonts w:eastAsia="Calibri"/>
          <w:sz w:val="22"/>
          <w:szCs w:val="22"/>
          <w:lang w:val="en-ZA" w:eastAsia="en-US"/>
        </w:rPr>
        <w:t xml:space="preserve"> </w:t>
      </w:r>
      <w:r w:rsidR="00105422" w:rsidRPr="00182B28">
        <w:rPr>
          <w:rFonts w:eastAsia="Calibri"/>
          <w:sz w:val="22"/>
          <w:szCs w:val="22"/>
          <w:lang w:val="en-ZA" w:eastAsia="en-US"/>
        </w:rPr>
        <w:t>–</w:t>
      </w:r>
      <w:r w:rsidR="00E90509">
        <w:rPr>
          <w:rFonts w:eastAsia="Calibri"/>
          <w:sz w:val="22"/>
          <w:szCs w:val="22"/>
          <w:lang w:val="en-ZA" w:eastAsia="en-US"/>
        </w:rPr>
        <w:t xml:space="preserve"> </w:t>
      </w:r>
    </w:p>
    <w:p w14:paraId="452A7B29" w14:textId="3615E2A5" w:rsidR="000A17C6" w:rsidRPr="00182B28" w:rsidRDefault="000A17C6" w:rsidP="000A17C6">
      <w:pPr>
        <w:spacing w:after="160"/>
        <w:contextualSpacing/>
        <w:rPr>
          <w:rFonts w:eastAsia="Calibri"/>
          <w:sz w:val="22"/>
          <w:szCs w:val="22"/>
          <w:lang w:val="en-ZA" w:eastAsia="en-US"/>
        </w:rPr>
      </w:pPr>
      <w:bookmarkStart w:id="2" w:name="0-0-0-188323"/>
      <w:bookmarkEnd w:id="2"/>
      <w:r w:rsidRPr="00182B28">
        <w:rPr>
          <w:rFonts w:eastAsia="Calibri"/>
          <w:i/>
          <w:iCs/>
          <w:sz w:val="22"/>
          <w:szCs w:val="22"/>
          <w:lang w:val="en-ZA" w:eastAsia="en-US"/>
        </w:rPr>
        <w:t>(a)</w:t>
      </w:r>
      <w:r w:rsidR="00E90509">
        <w:rPr>
          <w:rFonts w:eastAsia="Calibri"/>
          <w:sz w:val="22"/>
          <w:szCs w:val="22"/>
          <w:lang w:val="en-ZA" w:eastAsia="en-US"/>
        </w:rPr>
        <w:t xml:space="preserve"> </w:t>
      </w:r>
      <w:r w:rsidRPr="00182B28">
        <w:rPr>
          <w:rFonts w:eastAsia="Calibri"/>
          <w:sz w:val="22"/>
          <w:szCs w:val="22"/>
          <w:lang w:val="en-ZA" w:eastAsia="en-US"/>
        </w:rPr>
        <w:t>dispose of an appeal without the hearing of oral argument;</w:t>
      </w:r>
    </w:p>
    <w:p w14:paraId="09C3AF89" w14:textId="1FA977CF" w:rsidR="000A17C6" w:rsidRPr="00182B28" w:rsidRDefault="000A17C6" w:rsidP="000A17C6">
      <w:pPr>
        <w:spacing w:after="160"/>
        <w:contextualSpacing/>
        <w:rPr>
          <w:rFonts w:eastAsia="Calibri"/>
          <w:sz w:val="22"/>
          <w:szCs w:val="22"/>
          <w:lang w:val="en-ZA" w:eastAsia="en-US"/>
        </w:rPr>
      </w:pPr>
      <w:bookmarkStart w:id="3" w:name="0-0-0-188325"/>
      <w:bookmarkEnd w:id="3"/>
      <w:r w:rsidRPr="00182B28">
        <w:rPr>
          <w:rFonts w:eastAsia="Calibri"/>
          <w:i/>
          <w:iCs/>
          <w:sz w:val="22"/>
          <w:szCs w:val="22"/>
          <w:lang w:val="en-ZA" w:eastAsia="en-US"/>
        </w:rPr>
        <w:t>(b)</w:t>
      </w:r>
      <w:r w:rsidR="00E90509">
        <w:rPr>
          <w:rFonts w:eastAsia="Calibri"/>
          <w:sz w:val="22"/>
          <w:szCs w:val="22"/>
          <w:lang w:val="en-ZA" w:eastAsia="en-US"/>
        </w:rPr>
        <w:t xml:space="preserve"> </w:t>
      </w:r>
      <w:r w:rsidRPr="00182B28">
        <w:rPr>
          <w:rFonts w:eastAsia="Calibri"/>
          <w:sz w:val="22"/>
          <w:szCs w:val="22"/>
          <w:lang w:val="en-ZA" w:eastAsia="en-US"/>
        </w:rPr>
        <w:t>receive further evidence;</w:t>
      </w:r>
    </w:p>
    <w:p w14:paraId="3331D3DE" w14:textId="70BA039E" w:rsidR="000A17C6" w:rsidRPr="00182B28" w:rsidRDefault="000A17C6" w:rsidP="000A17C6">
      <w:pPr>
        <w:spacing w:after="160"/>
        <w:contextualSpacing/>
        <w:rPr>
          <w:rFonts w:eastAsia="Calibri"/>
          <w:sz w:val="22"/>
          <w:szCs w:val="22"/>
          <w:lang w:val="en-ZA" w:eastAsia="en-US"/>
        </w:rPr>
      </w:pPr>
      <w:bookmarkStart w:id="4" w:name="0-0-0-188327"/>
      <w:bookmarkEnd w:id="4"/>
      <w:r w:rsidRPr="00182B28">
        <w:rPr>
          <w:rFonts w:eastAsia="Calibri"/>
          <w:i/>
          <w:iCs/>
          <w:sz w:val="22"/>
          <w:szCs w:val="22"/>
          <w:lang w:val="en-ZA" w:eastAsia="en-US"/>
        </w:rPr>
        <w:t>(c)</w:t>
      </w:r>
      <w:r w:rsidR="00E90509">
        <w:rPr>
          <w:rFonts w:eastAsia="Calibri"/>
          <w:sz w:val="22"/>
          <w:szCs w:val="22"/>
          <w:lang w:val="en-ZA" w:eastAsia="en-US"/>
        </w:rPr>
        <w:t xml:space="preserve"> </w:t>
      </w:r>
      <w:r w:rsidRPr="00182B28">
        <w:rPr>
          <w:rFonts w:eastAsia="Calibri"/>
          <w:sz w:val="22"/>
          <w:szCs w:val="22"/>
          <w:lang w:val="en-ZA" w:eastAsia="en-US"/>
        </w:rPr>
        <w:t>remit the case to the court of first instance, or to the court whose decision is the subject of the appeal, for further hearing, with such instructions as regards the taking of further evidence or otherwise as the Supreme Court of Appeal or the Division deems necessary; or</w:t>
      </w:r>
    </w:p>
    <w:bookmarkStart w:id="5" w:name="0-0-0-188329"/>
    <w:bookmarkEnd w:id="5"/>
    <w:p w14:paraId="1999AEDD" w14:textId="42ABF262" w:rsidR="000A17C6" w:rsidRPr="00182B28" w:rsidRDefault="000A17C6" w:rsidP="000A17C6">
      <w:pPr>
        <w:spacing w:after="160"/>
        <w:contextualSpacing/>
        <w:rPr>
          <w:rFonts w:eastAsia="Calibri"/>
          <w:sz w:val="22"/>
          <w:szCs w:val="22"/>
          <w:lang w:val="en-ZA" w:eastAsia="en-US"/>
        </w:rPr>
      </w:pPr>
      <w:r w:rsidRPr="00182B28">
        <w:rPr>
          <w:rFonts w:eastAsia="Calibri"/>
          <w:color w:val="000000" w:themeColor="text1"/>
          <w:sz w:val="22"/>
          <w:szCs w:val="22"/>
          <w:lang w:val="en-ZA" w:eastAsia="en-US"/>
        </w:rPr>
        <w:fldChar w:fldCharType="begin"/>
      </w:r>
      <w:r w:rsidRPr="00182B28">
        <w:rPr>
          <w:rFonts w:eastAsia="Calibri"/>
          <w:color w:val="000000" w:themeColor="text1"/>
          <w:sz w:val="22"/>
          <w:szCs w:val="22"/>
          <w:lang w:val="en-ZA" w:eastAsia="en-US"/>
        </w:rPr>
        <w:instrText xml:space="preserve"> HYPERLINK "https://jutastat-juta-co-za.ufs.idm.oclc.org/nxt/foliolinks.asp?f=xhitlist&amp;xhitlist_x=Advanced&amp;xhitlist_vpc=first&amp;xhitlist_xsl=querylink.xsl&amp;xhitlist_sel=title;path;content-type;home-title&amp;xhitlist_d=%7bstatreg%7d&amp;xhitlist_q=%5bfield%20folio-destination-name:%27LJC_a10y2013s19(d)%27%5d&amp;xhitlist_md=target-id=0-0-0-188331" \t "main" </w:instrText>
      </w:r>
      <w:r w:rsidRPr="00182B28">
        <w:rPr>
          <w:rFonts w:eastAsia="Calibri"/>
          <w:color w:val="000000" w:themeColor="text1"/>
          <w:sz w:val="22"/>
          <w:szCs w:val="22"/>
          <w:lang w:val="en-ZA" w:eastAsia="en-US"/>
        </w:rPr>
        <w:fldChar w:fldCharType="separate"/>
      </w:r>
      <w:r w:rsidRPr="00182B28">
        <w:rPr>
          <w:rStyle w:val="Hyperlink"/>
          <w:rFonts w:eastAsia="Calibri"/>
          <w:i/>
          <w:iCs/>
          <w:color w:val="000000" w:themeColor="text1"/>
          <w:sz w:val="22"/>
          <w:szCs w:val="22"/>
          <w:u w:val="none"/>
          <w:lang w:val="en-ZA" w:eastAsia="en-US"/>
        </w:rPr>
        <w:t>(d)</w:t>
      </w:r>
      <w:r w:rsidRPr="00182B28">
        <w:rPr>
          <w:rFonts w:eastAsia="Calibri"/>
          <w:color w:val="000000" w:themeColor="text1"/>
          <w:sz w:val="22"/>
          <w:szCs w:val="22"/>
          <w:lang w:val="en-ZA" w:eastAsia="en-US"/>
        </w:rPr>
        <w:fldChar w:fldCharType="end"/>
      </w:r>
      <w:r w:rsidR="00E90509">
        <w:rPr>
          <w:rFonts w:eastAsia="Calibri"/>
          <w:color w:val="000000" w:themeColor="text1"/>
          <w:sz w:val="22"/>
          <w:szCs w:val="22"/>
          <w:lang w:val="en-ZA" w:eastAsia="en-US"/>
        </w:rPr>
        <w:t xml:space="preserve"> </w:t>
      </w:r>
      <w:r w:rsidRPr="00182B28">
        <w:rPr>
          <w:rFonts w:eastAsia="Calibri"/>
          <w:sz w:val="22"/>
          <w:szCs w:val="22"/>
          <w:lang w:val="en-ZA" w:eastAsia="en-US"/>
        </w:rPr>
        <w:t xml:space="preserve">confirm, amend or set aside the decision which is the subject of the appeal and render any decision which the circumstances may require.’ </w:t>
      </w:r>
    </w:p>
    <w:p w14:paraId="37D60524" w14:textId="77777777" w:rsidR="000A17C6" w:rsidRPr="00182B28" w:rsidRDefault="000A17C6" w:rsidP="000A17C6">
      <w:pPr>
        <w:spacing w:after="160"/>
        <w:contextualSpacing/>
        <w:rPr>
          <w:rFonts w:eastAsia="Calibri"/>
          <w:sz w:val="22"/>
          <w:szCs w:val="22"/>
          <w:lang w:val="en-ZA" w:eastAsia="en-US"/>
        </w:rPr>
      </w:pPr>
    </w:p>
    <w:p w14:paraId="288FFA0A" w14:textId="15782CE4" w:rsidR="000A17C6" w:rsidRPr="00182B28" w:rsidRDefault="00F011E8" w:rsidP="000A17C6">
      <w:pPr>
        <w:spacing w:after="160"/>
        <w:contextualSpacing/>
        <w:rPr>
          <w:rFonts w:eastAsia="Calibri"/>
          <w:lang w:val="en-ZA" w:eastAsia="en-US"/>
        </w:rPr>
      </w:pPr>
      <w:r w:rsidRPr="00182B28">
        <w:rPr>
          <w:rFonts w:eastAsia="Calibri"/>
          <w:lang w:val="en-ZA" w:eastAsia="en-US"/>
        </w:rPr>
        <w:t>[17</w:t>
      </w:r>
      <w:r w:rsidR="000A17C6" w:rsidRPr="00182B28">
        <w:rPr>
          <w:rFonts w:eastAsia="Calibri"/>
          <w:lang w:val="en-ZA" w:eastAsia="en-US"/>
        </w:rPr>
        <w:t>]</w:t>
      </w:r>
      <w:r w:rsidR="000A17C6" w:rsidRPr="00182B28">
        <w:rPr>
          <w:rFonts w:eastAsia="Calibri"/>
          <w:lang w:val="en-ZA" w:eastAsia="en-US"/>
        </w:rPr>
        <w:tab/>
      </w:r>
      <w:r w:rsidR="00197DA5" w:rsidRPr="00182B28">
        <w:rPr>
          <w:rFonts w:eastAsia="Calibri"/>
          <w:lang w:val="en-ZA" w:eastAsia="en-US"/>
        </w:rPr>
        <w:t xml:space="preserve">Our </w:t>
      </w:r>
      <w:r w:rsidR="000A17C6" w:rsidRPr="00182B28">
        <w:rPr>
          <w:rFonts w:eastAsia="Calibri"/>
          <w:lang w:val="en-ZA" w:eastAsia="en-US"/>
        </w:rPr>
        <w:t>Courts have laid down basic requirement</w:t>
      </w:r>
      <w:r w:rsidR="003F0B83" w:rsidRPr="00182B28">
        <w:rPr>
          <w:rFonts w:eastAsia="Calibri"/>
          <w:lang w:val="en-ZA" w:eastAsia="en-US"/>
        </w:rPr>
        <w:t>s</w:t>
      </w:r>
      <w:r w:rsidR="000A17C6" w:rsidRPr="00182B28">
        <w:rPr>
          <w:rFonts w:eastAsia="Calibri"/>
          <w:lang w:val="en-ZA" w:eastAsia="en-US"/>
        </w:rPr>
        <w:t xml:space="preserve"> to emphasi</w:t>
      </w:r>
      <w:r w:rsidR="009A67DC" w:rsidRPr="00182B28">
        <w:rPr>
          <w:rFonts w:eastAsia="Calibri"/>
          <w:lang w:val="en-ZA" w:eastAsia="en-US"/>
        </w:rPr>
        <w:t>s</w:t>
      </w:r>
      <w:r w:rsidR="000A17C6" w:rsidRPr="00182B28">
        <w:rPr>
          <w:rFonts w:eastAsia="Calibri"/>
          <w:lang w:val="en-ZA" w:eastAsia="en-US"/>
        </w:rPr>
        <w:t>e the court</w:t>
      </w:r>
      <w:r w:rsidR="00E90509">
        <w:rPr>
          <w:rFonts w:eastAsia="Calibri"/>
          <w:lang w:val="en-ZA" w:eastAsia="en-US"/>
        </w:rPr>
        <w:t>’</w:t>
      </w:r>
      <w:r w:rsidR="000A17C6" w:rsidRPr="00182B28">
        <w:rPr>
          <w:rFonts w:eastAsia="Calibri"/>
          <w:lang w:val="en-ZA" w:eastAsia="en-US"/>
        </w:rPr>
        <w:t>s reluctance to reopen the trial. They may be summarised as follows</w:t>
      </w:r>
      <w:r w:rsidR="009A67DC" w:rsidRPr="00182B28">
        <w:rPr>
          <w:rFonts w:eastAsia="Calibri"/>
          <w:lang w:val="en-ZA" w:eastAsia="en-US"/>
        </w:rPr>
        <w:t>:</w:t>
      </w:r>
      <w:r w:rsidR="00997602" w:rsidRPr="00182B28">
        <w:rPr>
          <w:rStyle w:val="FootnoteReference"/>
          <w:rFonts w:eastAsia="Calibri"/>
          <w:lang w:val="en-ZA" w:eastAsia="en-US"/>
        </w:rPr>
        <w:footnoteReference w:id="2"/>
      </w:r>
    </w:p>
    <w:p w14:paraId="367821CF" w14:textId="61310307" w:rsidR="00F93F14" w:rsidRPr="00182B28" w:rsidRDefault="00E90509" w:rsidP="000A17C6">
      <w:pPr>
        <w:spacing w:after="160"/>
        <w:contextualSpacing/>
        <w:rPr>
          <w:rFonts w:eastAsia="Calibri"/>
          <w:lang w:val="en-ZA" w:eastAsia="en-US"/>
        </w:rPr>
      </w:pPr>
      <w:r>
        <w:rPr>
          <w:rFonts w:eastAsia="Calibri"/>
          <w:lang w:val="en-ZA" w:eastAsia="en-US"/>
        </w:rPr>
        <w:t xml:space="preserve">(a) </w:t>
      </w:r>
      <w:r w:rsidR="00F93F14" w:rsidRPr="00182B28">
        <w:rPr>
          <w:rFonts w:eastAsia="Calibri"/>
          <w:lang w:val="en-ZA" w:eastAsia="en-US"/>
        </w:rPr>
        <w:t xml:space="preserve">There should be </w:t>
      </w:r>
      <w:r w:rsidR="00016285" w:rsidRPr="00182B28">
        <w:rPr>
          <w:rFonts w:eastAsia="Calibri"/>
          <w:lang w:val="en-ZA" w:eastAsia="en-US"/>
        </w:rPr>
        <w:t xml:space="preserve">a </w:t>
      </w:r>
      <w:r w:rsidR="00F93F14" w:rsidRPr="00182B28">
        <w:rPr>
          <w:rFonts w:eastAsia="Calibri"/>
          <w:lang w:val="en-ZA" w:eastAsia="en-US"/>
        </w:rPr>
        <w:t>reasonabl</w:t>
      </w:r>
      <w:r w:rsidR="000E073F" w:rsidRPr="00182B28">
        <w:rPr>
          <w:rFonts w:eastAsia="Calibri"/>
          <w:lang w:val="en-ZA" w:eastAsia="en-US"/>
        </w:rPr>
        <w:t>y</w:t>
      </w:r>
      <w:r w:rsidR="00F93F14" w:rsidRPr="00182B28">
        <w:rPr>
          <w:rFonts w:eastAsia="Calibri"/>
          <w:lang w:val="en-ZA" w:eastAsia="en-US"/>
        </w:rPr>
        <w:t xml:space="preserve"> sufficient explanation, based on </w:t>
      </w:r>
      <w:r w:rsidR="00F939AF" w:rsidRPr="00182B28">
        <w:rPr>
          <w:rFonts w:eastAsia="Calibri"/>
          <w:lang w:val="en-ZA" w:eastAsia="en-US"/>
        </w:rPr>
        <w:t xml:space="preserve">true </w:t>
      </w:r>
      <w:r w:rsidR="00F93F14" w:rsidRPr="00182B28">
        <w:rPr>
          <w:rFonts w:eastAsia="Calibri"/>
          <w:lang w:val="en-ZA" w:eastAsia="en-US"/>
        </w:rPr>
        <w:t>allegations</w:t>
      </w:r>
      <w:r w:rsidR="008E2B07" w:rsidRPr="00182B28">
        <w:rPr>
          <w:rFonts w:eastAsia="Calibri"/>
          <w:lang w:val="en-ZA" w:eastAsia="en-US"/>
        </w:rPr>
        <w:t>,</w:t>
      </w:r>
      <w:r w:rsidR="00F93F14" w:rsidRPr="00182B28">
        <w:rPr>
          <w:rFonts w:eastAsia="Calibri"/>
          <w:lang w:val="en-ZA" w:eastAsia="en-US"/>
        </w:rPr>
        <w:t xml:space="preserve"> why </w:t>
      </w:r>
      <w:r w:rsidR="00B16C13" w:rsidRPr="00182B28">
        <w:rPr>
          <w:rFonts w:eastAsia="Calibri"/>
          <w:lang w:val="en-ZA" w:eastAsia="en-US"/>
        </w:rPr>
        <w:t xml:space="preserve">the </w:t>
      </w:r>
      <w:r w:rsidR="0005566C" w:rsidRPr="00182B28">
        <w:rPr>
          <w:rFonts w:eastAsia="Calibri"/>
          <w:lang w:val="en-ZA" w:eastAsia="en-US"/>
        </w:rPr>
        <w:t>evidence sought was not led at the trial;</w:t>
      </w:r>
    </w:p>
    <w:p w14:paraId="39B5C350" w14:textId="1363E964" w:rsidR="0005566C" w:rsidRPr="00182B28" w:rsidRDefault="00E90509" w:rsidP="000A17C6">
      <w:pPr>
        <w:spacing w:after="160"/>
        <w:contextualSpacing/>
        <w:rPr>
          <w:rFonts w:eastAsia="Calibri"/>
          <w:lang w:val="en-ZA" w:eastAsia="en-US"/>
        </w:rPr>
      </w:pPr>
      <w:r>
        <w:rPr>
          <w:rFonts w:eastAsia="Calibri"/>
          <w:lang w:val="en-ZA" w:eastAsia="en-US"/>
        </w:rPr>
        <w:t xml:space="preserve">(b) </w:t>
      </w:r>
      <w:r w:rsidR="0005566C" w:rsidRPr="00182B28">
        <w:rPr>
          <w:rFonts w:eastAsia="Calibri"/>
          <w:lang w:val="en-ZA" w:eastAsia="en-US"/>
        </w:rPr>
        <w:t>There should be</w:t>
      </w:r>
      <w:r w:rsidR="00016285" w:rsidRPr="00182B28">
        <w:rPr>
          <w:rFonts w:eastAsia="Calibri"/>
          <w:lang w:val="en-ZA" w:eastAsia="en-US"/>
        </w:rPr>
        <w:t xml:space="preserve"> a</w:t>
      </w:r>
      <w:r w:rsidR="0005566C" w:rsidRPr="00182B28">
        <w:rPr>
          <w:rFonts w:eastAsia="Calibri"/>
          <w:lang w:val="en-ZA" w:eastAsia="en-US"/>
        </w:rPr>
        <w:t xml:space="preserve"> </w:t>
      </w:r>
      <w:r w:rsidR="0005566C" w:rsidRPr="00CE7F16">
        <w:rPr>
          <w:rFonts w:eastAsia="Calibri"/>
          <w:lang w:val="en-ZA" w:eastAsia="en-US"/>
        </w:rPr>
        <w:t>prima facie</w:t>
      </w:r>
      <w:r w:rsidR="003B2703" w:rsidRPr="00182B28">
        <w:rPr>
          <w:rFonts w:eastAsia="Calibri"/>
          <w:lang w:val="en-ZA" w:eastAsia="en-US"/>
        </w:rPr>
        <w:t xml:space="preserve"> likelihood of the truth</w:t>
      </w:r>
      <w:r w:rsidR="000E073F" w:rsidRPr="00182B28">
        <w:rPr>
          <w:rFonts w:eastAsia="Calibri"/>
          <w:lang w:val="en-ZA" w:eastAsia="en-US"/>
        </w:rPr>
        <w:t>fulness</w:t>
      </w:r>
      <w:r w:rsidR="003B2703" w:rsidRPr="00182B28">
        <w:rPr>
          <w:rFonts w:eastAsia="Calibri"/>
          <w:lang w:val="en-ZA" w:eastAsia="en-US"/>
        </w:rPr>
        <w:t xml:space="preserve"> </w:t>
      </w:r>
      <w:r w:rsidR="000E073F" w:rsidRPr="00182B28">
        <w:rPr>
          <w:rFonts w:eastAsia="Calibri"/>
          <w:lang w:val="en-ZA" w:eastAsia="en-US"/>
        </w:rPr>
        <w:t>of</w:t>
      </w:r>
      <w:r w:rsidR="003B2703" w:rsidRPr="00182B28">
        <w:rPr>
          <w:rFonts w:eastAsia="Calibri"/>
          <w:lang w:val="en-ZA" w:eastAsia="en-US"/>
        </w:rPr>
        <w:t xml:space="preserve"> t</w:t>
      </w:r>
      <w:r w:rsidR="0005566C" w:rsidRPr="00182B28">
        <w:rPr>
          <w:rFonts w:eastAsia="Calibri"/>
          <w:lang w:val="en-ZA" w:eastAsia="en-US"/>
        </w:rPr>
        <w:t>he evidence;</w:t>
      </w:r>
    </w:p>
    <w:p w14:paraId="0D12A7FC" w14:textId="0A6B9738" w:rsidR="0005566C" w:rsidRPr="00182B28" w:rsidRDefault="00E90509" w:rsidP="000A17C6">
      <w:pPr>
        <w:spacing w:after="160"/>
        <w:contextualSpacing/>
        <w:rPr>
          <w:rFonts w:eastAsia="Calibri"/>
          <w:lang w:val="en-ZA" w:eastAsia="en-US"/>
        </w:rPr>
      </w:pPr>
      <w:r>
        <w:rPr>
          <w:rFonts w:eastAsia="Calibri"/>
          <w:lang w:val="en-ZA" w:eastAsia="en-US"/>
        </w:rPr>
        <w:t xml:space="preserve">(c) </w:t>
      </w:r>
      <w:r w:rsidR="0005566C" w:rsidRPr="00182B28">
        <w:rPr>
          <w:rFonts w:eastAsia="Calibri"/>
          <w:lang w:val="en-ZA" w:eastAsia="en-US"/>
        </w:rPr>
        <w:t>The evidence should be materially relevant to the outcome of the trial.</w:t>
      </w:r>
      <w:r w:rsidR="0005566C" w:rsidRPr="00182B28">
        <w:rPr>
          <w:rStyle w:val="FootnoteReference"/>
          <w:rFonts w:eastAsia="Calibri"/>
          <w:lang w:val="en-ZA" w:eastAsia="en-US"/>
        </w:rPr>
        <w:footnoteReference w:id="3"/>
      </w:r>
    </w:p>
    <w:p w14:paraId="1FC332CF" w14:textId="77777777" w:rsidR="000A17C6" w:rsidRPr="00182B28" w:rsidRDefault="000A17C6" w:rsidP="000A17C6">
      <w:pPr>
        <w:spacing w:after="160"/>
        <w:contextualSpacing/>
        <w:rPr>
          <w:rFonts w:eastAsia="Calibri"/>
          <w:lang w:val="en-ZA" w:eastAsia="en-US"/>
        </w:rPr>
      </w:pPr>
    </w:p>
    <w:p w14:paraId="1E80F4E3" w14:textId="416E9DFA" w:rsidR="000F40BA" w:rsidRPr="00182B28" w:rsidRDefault="00F011E8" w:rsidP="000A17C6">
      <w:pPr>
        <w:spacing w:after="160"/>
        <w:contextualSpacing/>
        <w:rPr>
          <w:rFonts w:eastAsia="Calibri"/>
          <w:lang w:val="en-ZA" w:eastAsia="en-US"/>
        </w:rPr>
      </w:pPr>
      <w:r w:rsidRPr="00182B28">
        <w:rPr>
          <w:rFonts w:eastAsia="Calibri"/>
          <w:lang w:val="en-ZA" w:eastAsia="en-US"/>
        </w:rPr>
        <w:t>[18</w:t>
      </w:r>
      <w:r w:rsidR="000F40BA" w:rsidRPr="00182B28">
        <w:rPr>
          <w:rFonts w:eastAsia="Calibri"/>
          <w:lang w:val="en-ZA" w:eastAsia="en-US"/>
        </w:rPr>
        <w:t>]</w:t>
      </w:r>
      <w:r w:rsidR="000F40BA" w:rsidRPr="00182B28">
        <w:rPr>
          <w:rFonts w:eastAsia="Calibri"/>
          <w:lang w:val="en-ZA" w:eastAsia="en-US"/>
        </w:rPr>
        <w:tab/>
        <w:t>A court of appeal will exercise its discretion to receive further evidence on the hearing of an appeal only if the circumstances are exceptional.</w:t>
      </w:r>
      <w:r w:rsidR="000F40BA" w:rsidRPr="00182B28">
        <w:rPr>
          <w:rStyle w:val="FootnoteReference"/>
          <w:rFonts w:eastAsia="Calibri"/>
          <w:lang w:val="en-ZA" w:eastAsia="en-US"/>
        </w:rPr>
        <w:footnoteReference w:id="4"/>
      </w:r>
      <w:r w:rsidR="000F40BA" w:rsidRPr="00182B28">
        <w:rPr>
          <w:rFonts w:eastAsia="Calibri"/>
          <w:lang w:val="en-ZA" w:eastAsia="en-US"/>
        </w:rPr>
        <w:t xml:space="preserve"> A court of appeal should</w:t>
      </w:r>
      <w:r w:rsidR="003A2D39" w:rsidRPr="00182B28">
        <w:rPr>
          <w:rFonts w:eastAsia="Calibri"/>
          <w:lang w:val="en-ZA" w:eastAsia="en-US"/>
        </w:rPr>
        <w:t>, in the normal course,</w:t>
      </w:r>
      <w:r w:rsidR="000F40BA" w:rsidRPr="00182B28">
        <w:rPr>
          <w:rFonts w:eastAsia="Calibri"/>
          <w:lang w:val="en-ZA" w:eastAsia="en-US"/>
        </w:rPr>
        <w:t xml:space="preserve"> decide whether the judgment appealed from is right or wrong according to the </w:t>
      </w:r>
      <w:r w:rsidR="00E433F3" w:rsidRPr="00182B28">
        <w:rPr>
          <w:rFonts w:eastAsia="Calibri"/>
          <w:lang w:val="en-ZA" w:eastAsia="en-US"/>
        </w:rPr>
        <w:t xml:space="preserve">existing </w:t>
      </w:r>
      <w:r w:rsidR="000F40BA" w:rsidRPr="00182B28">
        <w:rPr>
          <w:rFonts w:eastAsia="Calibri"/>
          <w:lang w:val="en-ZA" w:eastAsia="en-US"/>
        </w:rPr>
        <w:t xml:space="preserve">facts and not according to new circumstances. </w:t>
      </w:r>
      <w:r w:rsidR="00FC6E4D" w:rsidRPr="00182B28">
        <w:rPr>
          <w:rFonts w:eastAsia="Calibri"/>
          <w:lang w:val="en-ZA" w:eastAsia="en-US"/>
        </w:rPr>
        <w:t xml:space="preserve">Therefore, </w:t>
      </w:r>
      <w:r w:rsidR="003A2D39" w:rsidRPr="00182B28">
        <w:rPr>
          <w:rFonts w:eastAsia="Calibri"/>
          <w:lang w:val="en-ZA" w:eastAsia="en-US"/>
        </w:rPr>
        <w:t>as a general rule</w:t>
      </w:r>
      <w:r w:rsidR="003F0B83" w:rsidRPr="00182B28">
        <w:rPr>
          <w:rFonts w:eastAsia="Calibri"/>
          <w:lang w:val="en-ZA" w:eastAsia="en-US"/>
        </w:rPr>
        <w:t>,</w:t>
      </w:r>
      <w:r w:rsidR="000F40BA" w:rsidRPr="00182B28">
        <w:rPr>
          <w:rFonts w:eastAsia="Calibri"/>
          <w:lang w:val="en-ZA" w:eastAsia="en-US"/>
        </w:rPr>
        <w:t xml:space="preserve"> evidence of events subsequent to the judgment under appeal should not be admitted </w:t>
      </w:r>
      <w:r w:rsidR="002B64BE" w:rsidRPr="00182B28">
        <w:rPr>
          <w:rFonts w:eastAsia="Calibri"/>
          <w:lang w:val="en-ZA" w:eastAsia="en-US"/>
        </w:rPr>
        <w:t>in deciding</w:t>
      </w:r>
      <w:r w:rsidR="000F40BA" w:rsidRPr="00182B28">
        <w:rPr>
          <w:rFonts w:eastAsia="Calibri"/>
          <w:lang w:val="en-ZA" w:eastAsia="en-US"/>
        </w:rPr>
        <w:t xml:space="preserve"> the appeal.</w:t>
      </w:r>
      <w:r w:rsidR="00997602" w:rsidRPr="00182B28">
        <w:rPr>
          <w:rStyle w:val="FootnoteReference"/>
          <w:rFonts w:eastAsia="Calibri"/>
          <w:lang w:val="en-ZA" w:eastAsia="en-US"/>
        </w:rPr>
        <w:footnoteReference w:id="5"/>
      </w:r>
      <w:r w:rsidR="000F40BA" w:rsidRPr="00182B28">
        <w:rPr>
          <w:rFonts w:eastAsia="Calibri"/>
          <w:lang w:val="en-ZA" w:eastAsia="en-US"/>
        </w:rPr>
        <w:t xml:space="preserve"> In general, a court of appeal should exercise the power conferred by s</w:t>
      </w:r>
      <w:r w:rsidR="00FC6E4D" w:rsidRPr="00182B28">
        <w:rPr>
          <w:rFonts w:eastAsia="Calibri"/>
          <w:lang w:val="en-ZA" w:eastAsia="en-US"/>
        </w:rPr>
        <w:t xml:space="preserve"> </w:t>
      </w:r>
      <w:r w:rsidR="000F40BA" w:rsidRPr="00182B28">
        <w:rPr>
          <w:rFonts w:eastAsia="Calibri"/>
          <w:lang w:val="en-ZA" w:eastAsia="en-US"/>
        </w:rPr>
        <w:t>19</w:t>
      </w:r>
      <w:r w:rsidR="000F40BA" w:rsidRPr="00182B28">
        <w:rPr>
          <w:rFonts w:eastAsia="Calibri"/>
          <w:i/>
          <w:lang w:val="en-ZA" w:eastAsia="en-US"/>
        </w:rPr>
        <w:t>(b)</w:t>
      </w:r>
      <w:r w:rsidR="000F40BA" w:rsidRPr="00182B28">
        <w:rPr>
          <w:rFonts w:eastAsia="Calibri"/>
          <w:lang w:val="en-ZA" w:eastAsia="en-US"/>
        </w:rPr>
        <w:t xml:space="preserve"> of the Act sparingly.</w:t>
      </w:r>
      <w:r w:rsidR="002F11C9" w:rsidRPr="00182B28">
        <w:rPr>
          <w:rStyle w:val="FootnoteReference"/>
          <w:rFonts w:eastAsia="Calibri"/>
          <w:lang w:val="en-ZA" w:eastAsia="en-US"/>
        </w:rPr>
        <w:footnoteReference w:id="6"/>
      </w:r>
    </w:p>
    <w:p w14:paraId="543F5918" w14:textId="77777777" w:rsidR="000F40BA" w:rsidRPr="00182B28" w:rsidRDefault="000F40BA" w:rsidP="000A17C6">
      <w:pPr>
        <w:spacing w:after="160"/>
        <w:contextualSpacing/>
        <w:rPr>
          <w:rFonts w:eastAsia="Calibri"/>
          <w:lang w:val="en-ZA" w:eastAsia="en-US"/>
        </w:rPr>
      </w:pPr>
    </w:p>
    <w:p w14:paraId="118D679B" w14:textId="29BD0EDB" w:rsidR="000A17C6" w:rsidRPr="00182B28" w:rsidRDefault="007D5DD2" w:rsidP="00770E3B">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19</w:t>
      </w:r>
      <w:r w:rsidRPr="00182B28">
        <w:rPr>
          <w:rFonts w:eastAsia="Calibri"/>
          <w:lang w:val="en-ZA" w:eastAsia="en-US"/>
        </w:rPr>
        <w:t>]</w:t>
      </w:r>
      <w:r w:rsidRPr="00182B28">
        <w:rPr>
          <w:rFonts w:eastAsia="Calibri"/>
          <w:lang w:val="en-ZA" w:eastAsia="en-US"/>
        </w:rPr>
        <w:tab/>
        <w:t xml:space="preserve">In </w:t>
      </w:r>
      <w:r w:rsidR="00947B74" w:rsidRPr="00182B28">
        <w:rPr>
          <w:rFonts w:eastAsia="Calibri"/>
          <w:lang w:val="en-ZA" w:eastAsia="en-US"/>
        </w:rPr>
        <w:t xml:space="preserve">the case of </w:t>
      </w:r>
      <w:r w:rsidR="00947B74" w:rsidRPr="00182B28">
        <w:rPr>
          <w:rFonts w:eastAsia="Calibri"/>
          <w:i/>
          <w:lang w:eastAsia="en-US"/>
        </w:rPr>
        <w:t xml:space="preserve">In </w:t>
      </w:r>
      <w:r w:rsidR="00FC53F9">
        <w:rPr>
          <w:rFonts w:eastAsia="Calibri"/>
          <w:i/>
          <w:lang w:eastAsia="en-US"/>
        </w:rPr>
        <w:t>r</w:t>
      </w:r>
      <w:r w:rsidR="00947B74" w:rsidRPr="00182B28">
        <w:rPr>
          <w:rFonts w:eastAsia="Calibri"/>
          <w:i/>
          <w:lang w:eastAsia="en-US"/>
        </w:rPr>
        <w:t>e</w:t>
      </w:r>
      <w:r w:rsidR="00947B74" w:rsidRPr="00182B28">
        <w:rPr>
          <w:rFonts w:eastAsia="Calibri"/>
          <w:lang w:val="en-ZA" w:eastAsia="en-US"/>
        </w:rPr>
        <w:t xml:space="preserve"> </w:t>
      </w:r>
      <w:r w:rsidR="00947B74" w:rsidRPr="00182B28">
        <w:rPr>
          <w:rFonts w:eastAsia="Calibri"/>
          <w:i/>
          <w:lang w:val="en-ZA" w:eastAsia="en-US"/>
        </w:rPr>
        <w:t>Certain Amic</w:t>
      </w:r>
      <w:r w:rsidR="00FC53F9">
        <w:rPr>
          <w:rFonts w:eastAsia="Calibri"/>
          <w:i/>
          <w:lang w:val="en-ZA" w:eastAsia="en-US"/>
        </w:rPr>
        <w:t>i</w:t>
      </w:r>
      <w:r w:rsidR="00947B74" w:rsidRPr="00182B28">
        <w:rPr>
          <w:rFonts w:eastAsia="Calibri"/>
          <w:i/>
          <w:lang w:val="en-ZA" w:eastAsia="en-US"/>
        </w:rPr>
        <w:t xml:space="preserve"> Curiae</w:t>
      </w:r>
      <w:r w:rsidR="00FC53F9">
        <w:rPr>
          <w:rFonts w:eastAsia="Calibri"/>
          <w:lang w:val="en-ZA" w:eastAsia="en-US"/>
        </w:rPr>
        <w:t xml:space="preserve">: </w:t>
      </w:r>
      <w:r w:rsidRPr="00182B28">
        <w:rPr>
          <w:rFonts w:eastAsia="Calibri"/>
          <w:i/>
          <w:lang w:val="en-ZA" w:eastAsia="en-US"/>
        </w:rPr>
        <w:t>Minister of Health and Others v Treatment Action Campaign and Others</w:t>
      </w:r>
      <w:r w:rsidR="00B94C03" w:rsidRPr="00182B28">
        <w:rPr>
          <w:rFonts w:eastAsia="Calibri"/>
          <w:lang w:val="en-ZA" w:eastAsia="en-US"/>
        </w:rPr>
        <w:t>,</w:t>
      </w:r>
      <w:r w:rsidR="002F11C9" w:rsidRPr="00182B28">
        <w:rPr>
          <w:rStyle w:val="FootnoteReference"/>
          <w:rFonts w:eastAsia="Calibri"/>
          <w:i/>
          <w:lang w:val="en-ZA" w:eastAsia="en-US"/>
        </w:rPr>
        <w:footnoteReference w:id="7"/>
      </w:r>
      <w:r w:rsidRPr="00182B28">
        <w:rPr>
          <w:rFonts w:eastAsia="Calibri"/>
          <w:lang w:val="en-ZA" w:eastAsia="en-US"/>
        </w:rPr>
        <w:t xml:space="preserve"> the Constitutional Court</w:t>
      </w:r>
      <w:r w:rsidR="00D217D5" w:rsidRPr="00182B28">
        <w:rPr>
          <w:rFonts w:eastAsia="Calibri"/>
          <w:lang w:val="en-ZA" w:eastAsia="en-US"/>
        </w:rPr>
        <w:t>,</w:t>
      </w:r>
      <w:r w:rsidRPr="00182B28">
        <w:rPr>
          <w:rFonts w:eastAsia="Calibri"/>
          <w:lang w:val="en-ZA" w:eastAsia="en-US"/>
        </w:rPr>
        <w:t xml:space="preserve"> in the context of an application to </w:t>
      </w:r>
      <w:r w:rsidR="003A2D39" w:rsidRPr="00182B28">
        <w:rPr>
          <w:rFonts w:eastAsia="Calibri"/>
          <w:lang w:val="en-ZA" w:eastAsia="en-US"/>
        </w:rPr>
        <w:t>introduce</w:t>
      </w:r>
      <w:r w:rsidRPr="00182B28">
        <w:rPr>
          <w:rFonts w:eastAsia="Calibri"/>
          <w:lang w:val="en-ZA" w:eastAsia="en-US"/>
        </w:rPr>
        <w:t xml:space="preserve"> further evidence said:</w:t>
      </w:r>
    </w:p>
    <w:p w14:paraId="78CC5D6D" w14:textId="5528F1E7" w:rsidR="007D5DD2" w:rsidRPr="00182B28" w:rsidRDefault="009B7163" w:rsidP="00770E3B">
      <w:pPr>
        <w:spacing w:after="160"/>
        <w:contextualSpacing/>
        <w:rPr>
          <w:rFonts w:eastAsia="Calibri"/>
          <w:sz w:val="22"/>
          <w:szCs w:val="22"/>
          <w:lang w:val="en-ZA" w:eastAsia="en-US"/>
        </w:rPr>
      </w:pPr>
      <w:r w:rsidRPr="00182B28">
        <w:rPr>
          <w:rFonts w:eastAsia="Calibri"/>
          <w:sz w:val="22"/>
          <w:szCs w:val="22"/>
          <w:lang w:val="en-ZA" w:eastAsia="en-US"/>
        </w:rPr>
        <w:t>‘</w:t>
      </w:r>
      <w:r w:rsidR="00B6220F" w:rsidRPr="00182B28">
        <w:rPr>
          <w:rFonts w:eastAsia="Calibri"/>
          <w:sz w:val="22"/>
          <w:szCs w:val="22"/>
          <w:lang w:val="en-ZA" w:eastAsia="en-US"/>
        </w:rPr>
        <w:t xml:space="preserve">. . . </w:t>
      </w:r>
      <w:r w:rsidR="007D5DD2" w:rsidRPr="00182B28">
        <w:rPr>
          <w:rFonts w:eastAsia="Calibri"/>
          <w:sz w:val="22"/>
          <w:szCs w:val="22"/>
          <w:lang w:val="en-ZA" w:eastAsia="en-US"/>
        </w:rPr>
        <w:t xml:space="preserve">However, this is subject to the condition that such facts </w:t>
      </w:r>
      <w:r w:rsidR="00B6220F" w:rsidRPr="00182B28">
        <w:rPr>
          <w:rFonts w:eastAsia="Calibri"/>
          <w:sz w:val="22"/>
          <w:szCs w:val="22"/>
          <w:lang w:val="en-ZA" w:eastAsia="en-US"/>
        </w:rPr>
        <w:t>“</w:t>
      </w:r>
      <w:r w:rsidR="007D5DD2" w:rsidRPr="00182B28">
        <w:rPr>
          <w:rFonts w:eastAsia="Calibri"/>
          <w:sz w:val="22"/>
          <w:szCs w:val="22"/>
          <w:lang w:val="en-ZA" w:eastAsia="en-US"/>
        </w:rPr>
        <w:t>are common cause or otherwise incontrovertible</w:t>
      </w:r>
      <w:r w:rsidR="00587F15" w:rsidRPr="00182B28">
        <w:rPr>
          <w:rFonts w:eastAsia="Calibri"/>
          <w:sz w:val="22"/>
          <w:szCs w:val="22"/>
          <w:lang w:val="en-ZA" w:eastAsia="en-US"/>
        </w:rPr>
        <w:t>”</w:t>
      </w:r>
      <w:r w:rsidR="007D5DD2" w:rsidRPr="00182B28">
        <w:rPr>
          <w:rFonts w:eastAsia="Calibri"/>
          <w:sz w:val="22"/>
          <w:szCs w:val="22"/>
          <w:lang w:val="en-ZA" w:eastAsia="en-US"/>
        </w:rPr>
        <w:t xml:space="preserve"> or </w:t>
      </w:r>
      <w:r w:rsidR="00587F15" w:rsidRPr="00182B28">
        <w:rPr>
          <w:rFonts w:eastAsia="Calibri"/>
          <w:sz w:val="22"/>
          <w:szCs w:val="22"/>
          <w:lang w:val="en-ZA" w:eastAsia="en-US"/>
        </w:rPr>
        <w:t>“</w:t>
      </w:r>
      <w:r w:rsidR="007D5DD2" w:rsidRPr="00182B28">
        <w:rPr>
          <w:rFonts w:eastAsia="Calibri"/>
          <w:sz w:val="22"/>
          <w:szCs w:val="22"/>
          <w:lang w:val="en-ZA" w:eastAsia="en-US"/>
        </w:rPr>
        <w:t>are of an official, scientific, technical or statistical nature</w:t>
      </w:r>
      <w:r w:rsidR="00587F15" w:rsidRPr="00182B28">
        <w:rPr>
          <w:rFonts w:eastAsia="Calibri"/>
          <w:sz w:val="22"/>
          <w:szCs w:val="22"/>
          <w:lang w:val="en-ZA" w:eastAsia="en-US"/>
        </w:rPr>
        <w:t>,</w:t>
      </w:r>
      <w:r w:rsidR="007D5DD2" w:rsidRPr="00182B28">
        <w:rPr>
          <w:rFonts w:eastAsia="Calibri"/>
          <w:sz w:val="22"/>
          <w:szCs w:val="22"/>
          <w:lang w:val="en-ZA" w:eastAsia="en-US"/>
        </w:rPr>
        <w:t xml:space="preserve"> capable of easy verification</w:t>
      </w:r>
      <w:r w:rsidR="00162258" w:rsidRPr="00182B28">
        <w:rPr>
          <w:rFonts w:eastAsia="Calibri"/>
          <w:sz w:val="22"/>
          <w:szCs w:val="22"/>
          <w:lang w:val="en-ZA" w:eastAsia="en-US"/>
        </w:rPr>
        <w:t>”</w:t>
      </w:r>
      <w:r w:rsidR="007D5DD2" w:rsidRPr="00182B28">
        <w:rPr>
          <w:rFonts w:eastAsia="Calibri"/>
          <w:sz w:val="22"/>
          <w:szCs w:val="22"/>
          <w:lang w:val="en-ZA" w:eastAsia="en-US"/>
        </w:rPr>
        <w:t xml:space="preserve">. This rule has no application where the facts sought to be canvased </w:t>
      </w:r>
      <w:r w:rsidR="00157F09" w:rsidRPr="00182B28">
        <w:rPr>
          <w:rFonts w:eastAsia="Calibri"/>
          <w:sz w:val="22"/>
          <w:szCs w:val="22"/>
          <w:lang w:val="en-ZA" w:eastAsia="en-US"/>
        </w:rPr>
        <w:t>are disputed</w:t>
      </w:r>
      <w:r w:rsidR="002D291A">
        <w:rPr>
          <w:rFonts w:eastAsia="Calibri"/>
        </w:rPr>
        <w:t>.</w:t>
      </w:r>
      <w:r w:rsidR="00157F09" w:rsidRPr="00182B28">
        <w:rPr>
          <w:rFonts w:eastAsia="Calibri"/>
          <w:sz w:val="22"/>
          <w:szCs w:val="22"/>
          <w:lang w:val="en-ZA" w:eastAsia="en-US"/>
        </w:rPr>
        <w:t>’</w:t>
      </w:r>
    </w:p>
    <w:p w14:paraId="532920AC" w14:textId="77777777" w:rsidR="00157F09" w:rsidRPr="00182B28" w:rsidRDefault="00157F09" w:rsidP="00770E3B">
      <w:pPr>
        <w:spacing w:after="160"/>
        <w:contextualSpacing/>
        <w:rPr>
          <w:rFonts w:eastAsia="Calibri"/>
          <w:lang w:val="en-ZA" w:eastAsia="en-US"/>
        </w:rPr>
      </w:pPr>
    </w:p>
    <w:p w14:paraId="6BD74CE9" w14:textId="54D32C3B" w:rsidR="00157F09" w:rsidRPr="00182B28" w:rsidRDefault="00157F09" w:rsidP="00770E3B">
      <w:pPr>
        <w:spacing w:after="160"/>
        <w:contextualSpacing/>
        <w:rPr>
          <w:rFonts w:eastAsia="Calibri"/>
          <w:lang w:val="en-ZA" w:eastAsia="en-US"/>
        </w:rPr>
      </w:pPr>
      <w:r w:rsidRPr="00182B28">
        <w:rPr>
          <w:rFonts w:eastAsia="Calibri"/>
          <w:lang w:val="en-ZA" w:eastAsia="en-US"/>
        </w:rPr>
        <w:lastRenderedPageBreak/>
        <w:t>[</w:t>
      </w:r>
      <w:r w:rsidR="00F011E8" w:rsidRPr="00182B28">
        <w:rPr>
          <w:rFonts w:eastAsia="Calibri"/>
          <w:lang w:val="en-ZA" w:eastAsia="en-US"/>
        </w:rPr>
        <w:t>20</w:t>
      </w:r>
      <w:r w:rsidRPr="00182B28">
        <w:rPr>
          <w:rFonts w:eastAsia="Calibri"/>
          <w:lang w:val="en-ZA" w:eastAsia="en-US"/>
        </w:rPr>
        <w:t>]</w:t>
      </w:r>
      <w:r w:rsidRPr="00182B28">
        <w:rPr>
          <w:rFonts w:eastAsia="Calibri"/>
          <w:lang w:val="en-ZA" w:eastAsia="en-US"/>
        </w:rPr>
        <w:tab/>
      </w:r>
      <w:r w:rsidR="003A2D39" w:rsidRPr="00182B28">
        <w:rPr>
          <w:rFonts w:eastAsia="Calibri"/>
          <w:lang w:val="en-ZA" w:eastAsia="en-US"/>
        </w:rPr>
        <w:t xml:space="preserve">The evidence in </w:t>
      </w:r>
      <w:r w:rsidRPr="00182B28">
        <w:rPr>
          <w:rFonts w:eastAsia="Calibri"/>
          <w:lang w:val="en-ZA" w:eastAsia="en-US"/>
        </w:rPr>
        <w:t xml:space="preserve">Mr </w:t>
      </w:r>
      <w:r w:rsidR="009B7163" w:rsidRPr="00182B28">
        <w:rPr>
          <w:rFonts w:eastAsia="Calibri"/>
          <w:lang w:val="en-ZA" w:eastAsia="en-US"/>
        </w:rPr>
        <w:t>Kü</w:t>
      </w:r>
      <w:r w:rsidRPr="00182B28">
        <w:rPr>
          <w:rFonts w:eastAsia="Calibri"/>
          <w:lang w:val="en-ZA" w:eastAsia="en-US"/>
        </w:rPr>
        <w:t>hn</w:t>
      </w:r>
      <w:r w:rsidR="00D217D5" w:rsidRPr="00182B28">
        <w:rPr>
          <w:rFonts w:eastAsia="Calibri"/>
          <w:lang w:val="en-ZA" w:eastAsia="en-US"/>
        </w:rPr>
        <w:t>’</w:t>
      </w:r>
      <w:r w:rsidRPr="00182B28">
        <w:rPr>
          <w:rFonts w:eastAsia="Calibri"/>
          <w:lang w:val="en-ZA" w:eastAsia="en-US"/>
        </w:rPr>
        <w:t>s</w:t>
      </w:r>
      <w:r w:rsidR="003F0B83" w:rsidRPr="00182B28">
        <w:rPr>
          <w:rFonts w:eastAsia="Calibri"/>
          <w:lang w:val="en-ZA" w:eastAsia="en-US"/>
        </w:rPr>
        <w:t xml:space="preserve"> founding affidavit</w:t>
      </w:r>
      <w:r w:rsidRPr="00182B28">
        <w:rPr>
          <w:rFonts w:eastAsia="Calibri"/>
          <w:lang w:val="en-ZA" w:eastAsia="en-US"/>
        </w:rPr>
        <w:t xml:space="preserve"> </w:t>
      </w:r>
      <w:r w:rsidR="003A2D39" w:rsidRPr="00182B28">
        <w:rPr>
          <w:rFonts w:eastAsia="Calibri"/>
          <w:lang w:val="en-ZA" w:eastAsia="en-US"/>
        </w:rPr>
        <w:t xml:space="preserve">that the applicants seek to introduce on appeal </w:t>
      </w:r>
      <w:r w:rsidR="00134A55" w:rsidRPr="00182B28">
        <w:rPr>
          <w:rFonts w:eastAsia="Calibri"/>
          <w:lang w:val="en-ZA" w:eastAsia="en-US"/>
        </w:rPr>
        <w:t>is clearly controversial</w:t>
      </w:r>
      <w:r w:rsidR="00B77229" w:rsidRPr="00182B28">
        <w:rPr>
          <w:rFonts w:eastAsia="Calibri"/>
          <w:lang w:val="en-ZA" w:eastAsia="en-US"/>
        </w:rPr>
        <w:t xml:space="preserve">. </w:t>
      </w:r>
      <w:r w:rsidR="002724F3" w:rsidRPr="00182B28">
        <w:rPr>
          <w:rFonts w:eastAsia="Calibri"/>
          <w:lang w:val="en-ZA" w:eastAsia="en-US"/>
        </w:rPr>
        <w:t>It is not only</w:t>
      </w:r>
      <w:r w:rsidR="00B77229" w:rsidRPr="00182B28">
        <w:rPr>
          <w:rFonts w:eastAsia="Calibri"/>
          <w:lang w:val="en-ZA" w:eastAsia="en-US"/>
        </w:rPr>
        <w:t xml:space="preserve"> </w:t>
      </w:r>
      <w:r w:rsidR="00134A55" w:rsidRPr="00182B28">
        <w:rPr>
          <w:rFonts w:eastAsia="Calibri"/>
          <w:lang w:val="en-ZA" w:eastAsia="en-US"/>
        </w:rPr>
        <w:t>disputed</w:t>
      </w:r>
      <w:r w:rsidRPr="00182B28">
        <w:rPr>
          <w:rFonts w:eastAsia="Calibri"/>
          <w:lang w:val="en-ZA" w:eastAsia="en-US"/>
        </w:rPr>
        <w:t xml:space="preserve"> </w:t>
      </w:r>
      <w:r w:rsidR="002724F3" w:rsidRPr="00182B28">
        <w:rPr>
          <w:rFonts w:eastAsia="Calibri"/>
          <w:lang w:val="en-ZA" w:eastAsia="en-US"/>
        </w:rPr>
        <w:t>by the respondents but is also not germane to the issues raised in</w:t>
      </w:r>
      <w:r w:rsidRPr="00182B28">
        <w:rPr>
          <w:rFonts w:eastAsia="Calibri"/>
          <w:lang w:val="en-ZA" w:eastAsia="en-US"/>
        </w:rPr>
        <w:t xml:space="preserve"> this appeal</w:t>
      </w:r>
      <w:r w:rsidR="00B77229" w:rsidRPr="00182B28">
        <w:rPr>
          <w:rFonts w:eastAsia="Calibri"/>
          <w:lang w:val="en-ZA" w:eastAsia="en-US"/>
        </w:rPr>
        <w:t>. Accordingly</w:t>
      </w:r>
      <w:r w:rsidRPr="00182B28">
        <w:rPr>
          <w:rFonts w:eastAsia="Calibri"/>
          <w:lang w:val="en-ZA" w:eastAsia="en-US"/>
        </w:rPr>
        <w:t>, there is no basis for its admissibility. The</w:t>
      </w:r>
      <w:r w:rsidR="006813FC" w:rsidRPr="00182B28">
        <w:rPr>
          <w:rFonts w:eastAsia="Calibri"/>
          <w:lang w:val="en-ZA" w:eastAsia="en-US"/>
        </w:rPr>
        <w:t xml:space="preserve">refore, </w:t>
      </w:r>
      <w:r w:rsidR="00C006E6" w:rsidRPr="00182B28">
        <w:rPr>
          <w:rFonts w:eastAsia="Calibri"/>
          <w:lang w:val="en-ZA" w:eastAsia="en-US"/>
        </w:rPr>
        <w:t>the</w:t>
      </w:r>
      <w:r w:rsidRPr="00182B28">
        <w:rPr>
          <w:rFonts w:eastAsia="Calibri"/>
          <w:lang w:val="en-ZA" w:eastAsia="en-US"/>
        </w:rPr>
        <w:t xml:space="preserve"> application to adduce</w:t>
      </w:r>
      <w:r w:rsidR="002724F3" w:rsidRPr="00182B28">
        <w:rPr>
          <w:rFonts w:eastAsia="Calibri"/>
          <w:lang w:val="en-ZA" w:eastAsia="en-US"/>
        </w:rPr>
        <w:t xml:space="preserve"> such</w:t>
      </w:r>
      <w:r w:rsidRPr="00182B28">
        <w:rPr>
          <w:rFonts w:eastAsia="Calibri"/>
          <w:lang w:val="en-ZA" w:eastAsia="en-US"/>
        </w:rPr>
        <w:t xml:space="preserve"> evidence</w:t>
      </w:r>
      <w:r w:rsidR="002724F3" w:rsidRPr="00182B28">
        <w:rPr>
          <w:rFonts w:eastAsia="Calibri"/>
          <w:lang w:val="en-ZA" w:eastAsia="en-US"/>
        </w:rPr>
        <w:t xml:space="preserve"> falls to be dismissed</w:t>
      </w:r>
      <w:r w:rsidRPr="00182B28">
        <w:rPr>
          <w:rFonts w:eastAsia="Calibri"/>
          <w:lang w:val="en-ZA" w:eastAsia="en-US"/>
        </w:rPr>
        <w:t>.</w:t>
      </w:r>
    </w:p>
    <w:p w14:paraId="3DAE6C19" w14:textId="77777777" w:rsidR="00157F09" w:rsidRPr="00182B28" w:rsidRDefault="00157F09" w:rsidP="00770E3B">
      <w:pPr>
        <w:spacing w:after="160"/>
        <w:contextualSpacing/>
        <w:rPr>
          <w:rFonts w:eastAsia="Calibri"/>
          <w:lang w:val="en-ZA" w:eastAsia="en-US"/>
        </w:rPr>
      </w:pPr>
    </w:p>
    <w:p w14:paraId="2E25B707" w14:textId="42ED67BB" w:rsidR="00157F09" w:rsidRPr="00182B28" w:rsidRDefault="00157F09" w:rsidP="00770E3B">
      <w:pPr>
        <w:spacing w:after="160"/>
        <w:contextualSpacing/>
        <w:rPr>
          <w:rFonts w:eastAsia="Calibri"/>
          <w:b/>
          <w:lang w:val="en-ZA" w:eastAsia="en-US"/>
        </w:rPr>
      </w:pPr>
      <w:r w:rsidRPr="00182B28">
        <w:rPr>
          <w:rFonts w:eastAsia="Calibri"/>
          <w:b/>
          <w:lang w:val="en-ZA" w:eastAsia="en-US"/>
        </w:rPr>
        <w:t>Appealability of the March 2020 order</w:t>
      </w:r>
    </w:p>
    <w:p w14:paraId="77EB613B" w14:textId="289FC7F7" w:rsidR="00157F09" w:rsidRPr="00182B28" w:rsidRDefault="00157F09" w:rsidP="00770E3B">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21</w:t>
      </w:r>
      <w:r w:rsidRPr="00182B28">
        <w:rPr>
          <w:rFonts w:eastAsia="Calibri"/>
          <w:lang w:val="en-ZA" w:eastAsia="en-US"/>
        </w:rPr>
        <w:t>]</w:t>
      </w:r>
      <w:r w:rsidRPr="00182B28">
        <w:rPr>
          <w:rFonts w:eastAsia="Calibri"/>
          <w:lang w:val="en-ZA" w:eastAsia="en-US"/>
        </w:rPr>
        <w:tab/>
        <w:t xml:space="preserve">I </w:t>
      </w:r>
      <w:r w:rsidR="002724F3" w:rsidRPr="00182B28">
        <w:rPr>
          <w:rFonts w:eastAsia="Calibri"/>
          <w:lang w:val="en-ZA" w:eastAsia="en-US"/>
        </w:rPr>
        <w:t>now turn to</w:t>
      </w:r>
      <w:r w:rsidRPr="00182B28">
        <w:rPr>
          <w:rFonts w:eastAsia="Calibri"/>
          <w:lang w:val="en-ZA" w:eastAsia="en-US"/>
        </w:rPr>
        <w:t xml:space="preserve"> the question whether the </w:t>
      </w:r>
      <w:r w:rsidR="00033A93" w:rsidRPr="00182B28">
        <w:rPr>
          <w:rFonts w:eastAsia="Calibri"/>
          <w:lang w:val="en-ZA" w:eastAsia="en-US"/>
        </w:rPr>
        <w:t>20</w:t>
      </w:r>
      <w:r w:rsidR="002724F3" w:rsidRPr="00182B28">
        <w:rPr>
          <w:rFonts w:eastAsia="Calibri"/>
          <w:lang w:val="en-ZA" w:eastAsia="en-US"/>
        </w:rPr>
        <w:t>20</w:t>
      </w:r>
      <w:r w:rsidR="00033A93" w:rsidRPr="00182B28">
        <w:rPr>
          <w:rFonts w:eastAsia="Calibri"/>
          <w:lang w:val="en-ZA" w:eastAsia="en-US"/>
        </w:rPr>
        <w:t xml:space="preserve"> </w:t>
      </w:r>
      <w:r w:rsidRPr="00182B28">
        <w:rPr>
          <w:rFonts w:eastAsia="Calibri"/>
          <w:lang w:val="en-ZA" w:eastAsia="en-US"/>
        </w:rPr>
        <w:t>order is appealable</w:t>
      </w:r>
      <w:r w:rsidR="002724F3" w:rsidRPr="00182B28">
        <w:rPr>
          <w:rFonts w:eastAsia="Calibri"/>
          <w:lang w:val="en-ZA" w:eastAsia="en-US"/>
        </w:rPr>
        <w:t>.</w:t>
      </w:r>
      <w:r w:rsidRPr="00182B28">
        <w:rPr>
          <w:rFonts w:eastAsia="Calibri"/>
          <w:lang w:val="en-ZA" w:eastAsia="en-US"/>
        </w:rPr>
        <w:t xml:space="preserve"> </w:t>
      </w:r>
      <w:r w:rsidR="002724F3" w:rsidRPr="00182B28">
        <w:rPr>
          <w:rFonts w:eastAsia="Calibri"/>
          <w:lang w:val="en-ZA" w:eastAsia="en-US"/>
        </w:rPr>
        <w:t>On this score it bears mentioning that</w:t>
      </w:r>
      <w:r w:rsidRPr="00182B28">
        <w:rPr>
          <w:rFonts w:eastAsia="Calibri"/>
          <w:lang w:val="en-ZA" w:eastAsia="en-US"/>
        </w:rPr>
        <w:t xml:space="preserve"> </w:t>
      </w:r>
      <w:r w:rsidR="009B7163" w:rsidRPr="00182B28">
        <w:rPr>
          <w:rFonts w:eastAsia="Calibri"/>
          <w:lang w:val="en-ZA" w:eastAsia="en-US"/>
        </w:rPr>
        <w:t>I am alive to the fact</w:t>
      </w:r>
      <w:r w:rsidRPr="00182B28">
        <w:rPr>
          <w:rFonts w:eastAsia="Calibri"/>
          <w:lang w:val="en-ZA" w:eastAsia="en-US"/>
        </w:rPr>
        <w:t xml:space="preserve"> that this </w:t>
      </w:r>
      <w:r w:rsidR="003A0917" w:rsidRPr="00182B28">
        <w:rPr>
          <w:rFonts w:eastAsia="Calibri"/>
          <w:lang w:val="en-ZA" w:eastAsia="en-US"/>
        </w:rPr>
        <w:t>C</w:t>
      </w:r>
      <w:r w:rsidRPr="00182B28">
        <w:rPr>
          <w:rFonts w:eastAsia="Calibri"/>
          <w:lang w:val="en-ZA" w:eastAsia="en-US"/>
        </w:rPr>
        <w:t>ourt is under no obligation to entertain an appeal against an unappealable order merely because</w:t>
      </w:r>
      <w:r w:rsidR="002724F3" w:rsidRPr="00182B28">
        <w:rPr>
          <w:rFonts w:eastAsia="Calibri"/>
          <w:lang w:val="en-ZA" w:eastAsia="en-US"/>
        </w:rPr>
        <w:t xml:space="preserve"> the appellants were</w:t>
      </w:r>
      <w:r w:rsidR="00723964" w:rsidRPr="00182B28">
        <w:rPr>
          <w:rFonts w:eastAsia="Calibri"/>
          <w:lang w:val="en-ZA" w:eastAsia="en-US"/>
        </w:rPr>
        <w:t xml:space="preserve"> granted</w:t>
      </w:r>
      <w:r w:rsidRPr="00182B28">
        <w:rPr>
          <w:rFonts w:eastAsia="Calibri"/>
          <w:lang w:val="en-ZA" w:eastAsia="en-US"/>
        </w:rPr>
        <w:t xml:space="preserve"> leave to appeal</w:t>
      </w:r>
      <w:r w:rsidR="002724F3" w:rsidRPr="00182B28">
        <w:rPr>
          <w:rFonts w:eastAsia="Calibri"/>
          <w:lang w:val="en-ZA" w:eastAsia="en-US"/>
        </w:rPr>
        <w:t xml:space="preserve"> by this Court</w:t>
      </w:r>
      <w:r w:rsidRPr="00182B28">
        <w:rPr>
          <w:rFonts w:eastAsia="Calibri"/>
          <w:lang w:val="en-ZA" w:eastAsia="en-US"/>
        </w:rPr>
        <w:t xml:space="preserve">. If we find that </w:t>
      </w:r>
      <w:r w:rsidR="002724F3" w:rsidRPr="00182B28">
        <w:rPr>
          <w:rFonts w:eastAsia="Calibri"/>
          <w:lang w:val="en-ZA" w:eastAsia="en-US"/>
        </w:rPr>
        <w:t>the 2020 order</w:t>
      </w:r>
      <w:r w:rsidRPr="00182B28">
        <w:rPr>
          <w:rFonts w:eastAsia="Calibri"/>
          <w:lang w:val="en-ZA" w:eastAsia="en-US"/>
        </w:rPr>
        <w:t xml:space="preserve"> is not appealable, then it will not be necessary </w:t>
      </w:r>
      <w:r w:rsidR="007364AD" w:rsidRPr="00182B28">
        <w:rPr>
          <w:rFonts w:eastAsia="Calibri"/>
          <w:lang w:val="en-ZA" w:eastAsia="en-US"/>
        </w:rPr>
        <w:t xml:space="preserve">to </w:t>
      </w:r>
      <w:r w:rsidRPr="00182B28">
        <w:rPr>
          <w:rFonts w:eastAsia="Calibri"/>
          <w:lang w:val="en-ZA" w:eastAsia="en-US"/>
        </w:rPr>
        <w:t>deal with the</w:t>
      </w:r>
      <w:r w:rsidR="002724F3" w:rsidRPr="00182B28">
        <w:rPr>
          <w:rFonts w:eastAsia="Calibri"/>
          <w:lang w:val="en-ZA" w:eastAsia="en-US"/>
        </w:rPr>
        <w:t xml:space="preserve"> </w:t>
      </w:r>
      <w:r w:rsidRPr="00182B28">
        <w:rPr>
          <w:rFonts w:eastAsia="Calibri"/>
          <w:lang w:val="en-ZA" w:eastAsia="en-US"/>
        </w:rPr>
        <w:t>merit</w:t>
      </w:r>
      <w:r w:rsidR="002724F3" w:rsidRPr="00182B28">
        <w:rPr>
          <w:rFonts w:eastAsia="Calibri"/>
          <w:lang w:val="en-ZA" w:eastAsia="en-US"/>
        </w:rPr>
        <w:t xml:space="preserve">s </w:t>
      </w:r>
      <w:r w:rsidRPr="00182B28">
        <w:rPr>
          <w:rFonts w:eastAsia="Calibri"/>
          <w:lang w:val="en-ZA" w:eastAsia="en-US"/>
        </w:rPr>
        <w:t xml:space="preserve">of the </w:t>
      </w:r>
      <w:r w:rsidR="002724F3" w:rsidRPr="00182B28">
        <w:rPr>
          <w:rFonts w:eastAsia="Calibri"/>
          <w:lang w:val="en-ZA" w:eastAsia="en-US"/>
        </w:rPr>
        <w:t>appeal</w:t>
      </w:r>
      <w:r w:rsidRPr="00182B28">
        <w:rPr>
          <w:rFonts w:eastAsia="Calibri"/>
          <w:lang w:val="en-ZA" w:eastAsia="en-US"/>
        </w:rPr>
        <w:t>.</w:t>
      </w:r>
    </w:p>
    <w:p w14:paraId="1BFDFE89" w14:textId="77777777" w:rsidR="00157F09" w:rsidRPr="00182B28" w:rsidRDefault="00157F09" w:rsidP="00770E3B">
      <w:pPr>
        <w:spacing w:after="160"/>
        <w:contextualSpacing/>
        <w:rPr>
          <w:rFonts w:eastAsia="Calibri"/>
          <w:lang w:val="en-ZA" w:eastAsia="en-US"/>
        </w:rPr>
      </w:pPr>
    </w:p>
    <w:p w14:paraId="6708121B" w14:textId="780BBDA2" w:rsidR="00C446BA" w:rsidRPr="00182B28" w:rsidRDefault="00157F09" w:rsidP="00770E3B">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22</w:t>
      </w:r>
      <w:r w:rsidRPr="00182B28">
        <w:rPr>
          <w:rFonts w:eastAsia="Calibri"/>
          <w:lang w:val="en-ZA" w:eastAsia="en-US"/>
        </w:rPr>
        <w:t>]</w:t>
      </w:r>
      <w:r w:rsidRPr="00182B28">
        <w:rPr>
          <w:rFonts w:eastAsia="Calibri"/>
          <w:lang w:val="en-ZA" w:eastAsia="en-US"/>
        </w:rPr>
        <w:tab/>
        <w:t xml:space="preserve">As </w:t>
      </w:r>
      <w:r w:rsidR="00F774B5" w:rsidRPr="00182B28">
        <w:rPr>
          <w:rFonts w:eastAsia="Calibri"/>
          <w:lang w:val="en-ZA" w:eastAsia="en-US"/>
        </w:rPr>
        <w:t>already indicated above</w:t>
      </w:r>
      <w:r w:rsidRPr="00182B28">
        <w:rPr>
          <w:rFonts w:eastAsia="Calibri"/>
          <w:lang w:val="en-ZA" w:eastAsia="en-US"/>
        </w:rPr>
        <w:t xml:space="preserve">, </w:t>
      </w:r>
      <w:r w:rsidR="00A151CB" w:rsidRPr="00182B28">
        <w:rPr>
          <w:rFonts w:eastAsia="Calibri"/>
          <w:lang w:val="en-ZA" w:eastAsia="en-US"/>
        </w:rPr>
        <w:t>what gave</w:t>
      </w:r>
      <w:r w:rsidRPr="00182B28">
        <w:rPr>
          <w:rFonts w:eastAsia="Calibri"/>
          <w:lang w:val="en-ZA" w:eastAsia="en-US"/>
        </w:rPr>
        <w:t xml:space="preserve"> rise to this </w:t>
      </w:r>
      <w:r w:rsidR="00F774B5" w:rsidRPr="00182B28">
        <w:rPr>
          <w:rFonts w:eastAsia="Calibri"/>
          <w:lang w:val="en-ZA" w:eastAsia="en-US"/>
        </w:rPr>
        <w:t>appeal</w:t>
      </w:r>
      <w:r w:rsidRPr="00182B28">
        <w:rPr>
          <w:rFonts w:eastAsia="Calibri"/>
          <w:lang w:val="en-ZA" w:eastAsia="en-US"/>
        </w:rPr>
        <w:t xml:space="preserve"> was the 2015 order granted by </w:t>
      </w:r>
      <w:r w:rsidR="00CD19A7" w:rsidRPr="00182B28">
        <w:rPr>
          <w:rFonts w:eastAsia="Calibri"/>
          <w:lang w:val="en-ZA" w:eastAsia="en-US"/>
        </w:rPr>
        <w:t xml:space="preserve">agreement between the parties. The respondents </w:t>
      </w:r>
      <w:r w:rsidR="00134A55" w:rsidRPr="00182B28">
        <w:rPr>
          <w:rFonts w:eastAsia="Calibri"/>
          <w:lang w:val="en-ZA" w:eastAsia="en-US"/>
        </w:rPr>
        <w:t>s</w:t>
      </w:r>
      <w:r w:rsidR="00CD19A7" w:rsidRPr="00182B28">
        <w:rPr>
          <w:rFonts w:eastAsia="Calibri"/>
          <w:lang w:val="en-ZA" w:eastAsia="en-US"/>
        </w:rPr>
        <w:t>ought to ensure compliance with the 2015 order. It was not in dispute that the appellants were in breach of that order in that they were manufacturing and selling flat wire and auger before completion of the</w:t>
      </w:r>
      <w:r w:rsidR="00A151CB" w:rsidRPr="00182B28">
        <w:rPr>
          <w:rFonts w:eastAsia="Calibri"/>
          <w:lang w:val="en-ZA" w:eastAsia="en-US"/>
        </w:rPr>
        <w:t xml:space="preserve"> process envisaged in</w:t>
      </w:r>
      <w:r w:rsidR="00CD19A7" w:rsidRPr="00182B28">
        <w:rPr>
          <w:rFonts w:eastAsia="Calibri"/>
          <w:lang w:val="en-ZA" w:eastAsia="en-US"/>
        </w:rPr>
        <w:t xml:space="preserve"> paragraph 24</w:t>
      </w:r>
      <w:r w:rsidR="00A151CB" w:rsidRPr="00182B28">
        <w:rPr>
          <w:rFonts w:eastAsia="Calibri"/>
          <w:lang w:val="en-ZA" w:eastAsia="en-US"/>
        </w:rPr>
        <w:t xml:space="preserve"> of</w:t>
      </w:r>
      <w:r w:rsidR="00CD19A7" w:rsidRPr="00182B28">
        <w:rPr>
          <w:rFonts w:eastAsia="Calibri"/>
          <w:lang w:val="en-ZA" w:eastAsia="en-US"/>
        </w:rPr>
        <w:t xml:space="preserve"> the 2015 order. The March 2020 order is </w:t>
      </w:r>
      <w:r w:rsidR="00F774B5" w:rsidRPr="00182B28">
        <w:rPr>
          <w:rFonts w:eastAsia="Calibri"/>
          <w:lang w:val="en-ZA" w:eastAsia="en-US"/>
        </w:rPr>
        <w:t>manifestly an</w:t>
      </w:r>
      <w:r w:rsidR="00CD19A7" w:rsidRPr="00182B28">
        <w:rPr>
          <w:rFonts w:eastAsia="Calibri"/>
          <w:lang w:val="en-ZA" w:eastAsia="en-US"/>
        </w:rPr>
        <w:t xml:space="preserve"> interim interdict pending the finalisation of the process provided for in paragraph</w:t>
      </w:r>
      <w:r w:rsidR="00134A55" w:rsidRPr="00182B28">
        <w:rPr>
          <w:rFonts w:eastAsia="Calibri"/>
          <w:lang w:val="en-ZA" w:eastAsia="en-US"/>
        </w:rPr>
        <w:t>s</w:t>
      </w:r>
      <w:r w:rsidR="00CD19A7" w:rsidRPr="00182B28">
        <w:rPr>
          <w:rFonts w:eastAsia="Calibri"/>
          <w:lang w:val="en-ZA" w:eastAsia="en-US"/>
        </w:rPr>
        <w:t xml:space="preserve"> 23 to 25 of the 2015 order</w:t>
      </w:r>
      <w:r w:rsidR="00F774B5" w:rsidRPr="00182B28">
        <w:rPr>
          <w:rFonts w:eastAsia="Calibri"/>
          <w:lang w:val="en-ZA" w:eastAsia="en-US"/>
        </w:rPr>
        <w:t>.</w:t>
      </w:r>
      <w:r w:rsidR="00CD19A7" w:rsidRPr="00182B28">
        <w:rPr>
          <w:rFonts w:eastAsia="Calibri"/>
          <w:lang w:val="en-ZA" w:eastAsia="en-US"/>
        </w:rPr>
        <w:t xml:space="preserve"> </w:t>
      </w:r>
    </w:p>
    <w:p w14:paraId="3BAB8F1E" w14:textId="77777777" w:rsidR="00CD19A7" w:rsidRPr="00182B28" w:rsidRDefault="00CD19A7" w:rsidP="00770E3B">
      <w:pPr>
        <w:spacing w:after="160"/>
        <w:contextualSpacing/>
        <w:rPr>
          <w:rFonts w:eastAsia="Calibri"/>
          <w:lang w:val="en-ZA" w:eastAsia="en-US"/>
        </w:rPr>
      </w:pPr>
    </w:p>
    <w:p w14:paraId="3F9E4EA9" w14:textId="3C5EAA3F" w:rsidR="00CD19A7" w:rsidRPr="00182B28" w:rsidRDefault="00CD19A7" w:rsidP="00770E3B">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23</w:t>
      </w:r>
      <w:r w:rsidRPr="00182B28">
        <w:rPr>
          <w:rFonts w:eastAsia="Calibri"/>
          <w:lang w:val="en-ZA" w:eastAsia="en-US"/>
        </w:rPr>
        <w:t>]</w:t>
      </w:r>
      <w:r w:rsidRPr="00182B28">
        <w:rPr>
          <w:rFonts w:eastAsia="Calibri"/>
          <w:lang w:val="en-ZA" w:eastAsia="en-US"/>
        </w:rPr>
        <w:tab/>
        <w:t xml:space="preserve">The crux of the matter is </w:t>
      </w:r>
      <w:r w:rsidR="00A565CC" w:rsidRPr="00182B28">
        <w:rPr>
          <w:rFonts w:eastAsia="Calibri"/>
          <w:lang w:val="en-ZA" w:eastAsia="en-US"/>
        </w:rPr>
        <w:t xml:space="preserve">firstly, </w:t>
      </w:r>
      <w:r w:rsidRPr="00182B28">
        <w:rPr>
          <w:rFonts w:eastAsia="Calibri"/>
          <w:lang w:val="en-ZA" w:eastAsia="en-US"/>
        </w:rPr>
        <w:t xml:space="preserve">whether this order was ‘final in effect’ and was therefore appealable even if its </w:t>
      </w:r>
      <w:r w:rsidR="00D217D5" w:rsidRPr="00182B28">
        <w:rPr>
          <w:rFonts w:eastAsia="Calibri"/>
          <w:lang w:val="en-ZA" w:eastAsia="en-US"/>
        </w:rPr>
        <w:t>stated</w:t>
      </w:r>
      <w:r w:rsidR="002B64BE" w:rsidRPr="00182B28">
        <w:rPr>
          <w:rFonts w:eastAsia="Calibri"/>
          <w:lang w:val="en-ZA" w:eastAsia="en-US"/>
        </w:rPr>
        <w:t xml:space="preserve"> </w:t>
      </w:r>
      <w:r w:rsidRPr="00182B28">
        <w:rPr>
          <w:rFonts w:eastAsia="Calibri"/>
          <w:lang w:val="en-ZA" w:eastAsia="en-US"/>
        </w:rPr>
        <w:t>character was interim</w:t>
      </w:r>
      <w:r w:rsidR="00A565CC" w:rsidRPr="00182B28">
        <w:rPr>
          <w:rFonts w:eastAsia="Calibri"/>
          <w:lang w:val="en-ZA" w:eastAsia="en-US"/>
        </w:rPr>
        <w:t>. Secondly,</w:t>
      </w:r>
      <w:r w:rsidRPr="00182B28">
        <w:rPr>
          <w:rFonts w:eastAsia="Calibri"/>
          <w:lang w:val="en-ZA" w:eastAsia="en-US"/>
        </w:rPr>
        <w:t xml:space="preserve"> whether the interest</w:t>
      </w:r>
      <w:r w:rsidR="00F774B5" w:rsidRPr="00182B28">
        <w:rPr>
          <w:rFonts w:eastAsia="Calibri"/>
          <w:lang w:val="en-ZA" w:eastAsia="en-US"/>
        </w:rPr>
        <w:t>s</w:t>
      </w:r>
      <w:r w:rsidRPr="00182B28">
        <w:rPr>
          <w:rFonts w:eastAsia="Calibri"/>
          <w:lang w:val="en-ZA" w:eastAsia="en-US"/>
        </w:rPr>
        <w:t xml:space="preserve"> of justice warrant</w:t>
      </w:r>
      <w:r w:rsidR="00F774B5" w:rsidRPr="00182B28">
        <w:rPr>
          <w:rFonts w:eastAsia="Calibri"/>
          <w:lang w:val="en-ZA" w:eastAsia="en-US"/>
        </w:rPr>
        <w:t xml:space="preserve"> that</w:t>
      </w:r>
      <w:r w:rsidRPr="00182B28">
        <w:rPr>
          <w:rFonts w:eastAsia="Calibri"/>
          <w:lang w:val="en-ZA" w:eastAsia="en-US"/>
        </w:rPr>
        <w:t xml:space="preserve"> an appeal against the order </w:t>
      </w:r>
      <w:r w:rsidR="00F774B5" w:rsidRPr="00182B28">
        <w:rPr>
          <w:rFonts w:eastAsia="Calibri"/>
          <w:lang w:val="en-ZA" w:eastAsia="en-US"/>
        </w:rPr>
        <w:t>in issue should</w:t>
      </w:r>
      <w:r w:rsidRPr="00182B28">
        <w:rPr>
          <w:rFonts w:eastAsia="Calibri"/>
          <w:lang w:val="en-ZA" w:eastAsia="en-US"/>
        </w:rPr>
        <w:t xml:space="preserve"> be entertained. </w:t>
      </w:r>
      <w:r w:rsidR="003F6965" w:rsidRPr="00182B28">
        <w:rPr>
          <w:rFonts w:eastAsia="Calibri"/>
          <w:lang w:val="en-ZA" w:eastAsia="en-US"/>
        </w:rPr>
        <w:t xml:space="preserve">Our courts have </w:t>
      </w:r>
      <w:r w:rsidRPr="00182B28">
        <w:rPr>
          <w:rFonts w:eastAsia="Calibri"/>
          <w:lang w:val="en-ZA" w:eastAsia="en-US"/>
        </w:rPr>
        <w:t>established that an interim order may</w:t>
      </w:r>
      <w:r w:rsidR="00F774B5" w:rsidRPr="00182B28">
        <w:rPr>
          <w:rFonts w:eastAsia="Calibri"/>
          <w:lang w:val="en-ZA" w:eastAsia="en-US"/>
        </w:rPr>
        <w:t>,</w:t>
      </w:r>
      <w:r w:rsidRPr="00182B28">
        <w:rPr>
          <w:rFonts w:eastAsia="Calibri"/>
          <w:lang w:val="en-ZA" w:eastAsia="en-US"/>
        </w:rPr>
        <w:t xml:space="preserve"> if the interest</w:t>
      </w:r>
      <w:r w:rsidR="003F6965" w:rsidRPr="00182B28">
        <w:rPr>
          <w:rFonts w:eastAsia="Calibri"/>
          <w:lang w:val="en-ZA" w:eastAsia="en-US"/>
        </w:rPr>
        <w:t>s</w:t>
      </w:r>
      <w:r w:rsidRPr="00182B28">
        <w:rPr>
          <w:rFonts w:eastAsia="Calibri"/>
          <w:lang w:val="en-ZA" w:eastAsia="en-US"/>
        </w:rPr>
        <w:t xml:space="preserve"> of </w:t>
      </w:r>
      <w:r w:rsidR="003F6965" w:rsidRPr="00182B28">
        <w:rPr>
          <w:rFonts w:eastAsia="Calibri"/>
          <w:lang w:val="en-ZA" w:eastAsia="en-US"/>
        </w:rPr>
        <w:t>justice</w:t>
      </w:r>
      <w:r w:rsidRPr="00182B28">
        <w:rPr>
          <w:rFonts w:eastAsia="Calibri"/>
          <w:lang w:val="en-ZA" w:eastAsia="en-US"/>
        </w:rPr>
        <w:t xml:space="preserve"> </w:t>
      </w:r>
      <w:r w:rsidR="00C003F7" w:rsidRPr="00182B28">
        <w:rPr>
          <w:rFonts w:eastAsia="Calibri"/>
          <w:lang w:val="en-ZA" w:eastAsia="en-US"/>
        </w:rPr>
        <w:t xml:space="preserve">in </w:t>
      </w:r>
      <w:r w:rsidRPr="00182B28">
        <w:rPr>
          <w:rFonts w:eastAsia="Calibri"/>
          <w:lang w:val="en-ZA" w:eastAsia="en-US"/>
        </w:rPr>
        <w:t>a particular case so dictate</w:t>
      </w:r>
      <w:r w:rsidR="00C003F7" w:rsidRPr="00182B28">
        <w:rPr>
          <w:rFonts w:eastAsia="Calibri"/>
          <w:lang w:val="en-ZA" w:eastAsia="en-US"/>
        </w:rPr>
        <w:t>, be appealable</w:t>
      </w:r>
      <w:r w:rsidRPr="00182B28">
        <w:rPr>
          <w:rFonts w:eastAsia="Calibri"/>
          <w:lang w:val="en-ZA" w:eastAsia="en-US"/>
        </w:rPr>
        <w:t>.</w:t>
      </w:r>
      <w:r w:rsidR="00172A72" w:rsidRPr="00182B28">
        <w:rPr>
          <w:rStyle w:val="FootnoteReference"/>
          <w:rFonts w:eastAsia="Calibri"/>
          <w:lang w:val="en-ZA" w:eastAsia="en-US"/>
        </w:rPr>
        <w:footnoteReference w:id="8"/>
      </w:r>
      <w:r w:rsidRPr="00182B28">
        <w:rPr>
          <w:rFonts w:eastAsia="Calibri"/>
          <w:lang w:val="en-ZA" w:eastAsia="en-US"/>
        </w:rPr>
        <w:t xml:space="preserve"> The constitutional</w:t>
      </w:r>
      <w:r w:rsidR="00B84B5B" w:rsidRPr="00182B28">
        <w:rPr>
          <w:rFonts w:eastAsia="Calibri"/>
          <w:lang w:val="en-ZA" w:eastAsia="en-US"/>
        </w:rPr>
        <w:t xml:space="preserve"> standard for </w:t>
      </w:r>
      <w:r w:rsidR="006C335B" w:rsidRPr="00182B28">
        <w:rPr>
          <w:rFonts w:eastAsia="Calibri"/>
          <w:lang w:val="en-ZA" w:eastAsia="en-US"/>
        </w:rPr>
        <w:t>appealing</w:t>
      </w:r>
      <w:r w:rsidR="00B84B5B" w:rsidRPr="00182B28">
        <w:rPr>
          <w:rFonts w:eastAsia="Calibri"/>
          <w:lang w:val="en-ZA" w:eastAsia="en-US"/>
        </w:rPr>
        <w:t xml:space="preserve"> an interim order whe</w:t>
      </w:r>
      <w:r w:rsidR="00965BC8" w:rsidRPr="00182B28">
        <w:rPr>
          <w:rFonts w:eastAsia="Calibri"/>
          <w:lang w:val="en-ZA" w:eastAsia="en-US"/>
        </w:rPr>
        <w:t>n it</w:t>
      </w:r>
      <w:r w:rsidR="00B84B5B" w:rsidRPr="00182B28">
        <w:rPr>
          <w:rFonts w:eastAsia="Calibri"/>
          <w:lang w:val="en-ZA" w:eastAsia="en-US"/>
        </w:rPr>
        <w:t xml:space="preserve"> best serve</w:t>
      </w:r>
      <w:r w:rsidR="00965BC8" w:rsidRPr="00182B28">
        <w:rPr>
          <w:rFonts w:eastAsia="Calibri"/>
          <w:lang w:val="en-ZA" w:eastAsia="en-US"/>
        </w:rPr>
        <w:t>s</w:t>
      </w:r>
      <w:r w:rsidR="00B84B5B" w:rsidRPr="00182B28">
        <w:rPr>
          <w:rFonts w:eastAsia="Calibri"/>
          <w:lang w:val="en-ZA" w:eastAsia="en-US"/>
        </w:rPr>
        <w:t xml:space="preserve"> the interest</w:t>
      </w:r>
      <w:r w:rsidR="00C003F7" w:rsidRPr="00182B28">
        <w:rPr>
          <w:rFonts w:eastAsia="Calibri"/>
          <w:lang w:val="en-ZA" w:eastAsia="en-US"/>
        </w:rPr>
        <w:t>s</w:t>
      </w:r>
      <w:r w:rsidR="00B84B5B" w:rsidRPr="00182B28">
        <w:rPr>
          <w:rFonts w:eastAsia="Calibri"/>
          <w:lang w:val="en-ZA" w:eastAsia="en-US"/>
        </w:rPr>
        <w:t xml:space="preserve"> of justice was </w:t>
      </w:r>
      <w:r w:rsidR="00C003F7" w:rsidRPr="00182B28">
        <w:rPr>
          <w:rFonts w:eastAsia="Calibri"/>
          <w:lang w:val="en-ZA" w:eastAsia="en-US"/>
        </w:rPr>
        <w:t>reiterated</w:t>
      </w:r>
      <w:r w:rsidR="00B84B5B" w:rsidRPr="00182B28">
        <w:rPr>
          <w:rFonts w:eastAsia="Calibri"/>
          <w:lang w:val="en-ZA" w:eastAsia="en-US"/>
        </w:rPr>
        <w:t xml:space="preserve"> by the Constitutional Court in </w:t>
      </w:r>
      <w:r w:rsidR="00B84B5B" w:rsidRPr="00182B28">
        <w:rPr>
          <w:rFonts w:eastAsia="Calibri"/>
          <w:i/>
          <w:lang w:val="en-ZA" w:eastAsia="en-US"/>
        </w:rPr>
        <w:t>City of Tshwane Metropolitan Municipality v Afriforum and Another</w:t>
      </w:r>
      <w:r w:rsidR="00E60028" w:rsidRPr="00182B28">
        <w:rPr>
          <w:rFonts w:eastAsia="Calibri"/>
          <w:i/>
          <w:lang w:val="en-ZA" w:eastAsia="en-US"/>
        </w:rPr>
        <w:t>.</w:t>
      </w:r>
      <w:r w:rsidR="00B84B5B" w:rsidRPr="00182B28">
        <w:rPr>
          <w:rFonts w:eastAsia="Calibri"/>
          <w:lang w:val="en-ZA" w:eastAsia="en-US"/>
        </w:rPr>
        <w:t xml:space="preserve"> </w:t>
      </w:r>
      <w:r w:rsidR="00E60028" w:rsidRPr="007331D7">
        <w:rPr>
          <w:rFonts w:eastAsia="Calibri"/>
          <w:lang w:val="en-ZA" w:eastAsia="en-US"/>
        </w:rPr>
        <w:t>The</w:t>
      </w:r>
      <w:r w:rsidR="00C003F7" w:rsidRPr="007331D7">
        <w:rPr>
          <w:rFonts w:eastAsia="Calibri"/>
          <w:lang w:val="en-ZA" w:eastAsia="en-US"/>
        </w:rPr>
        <w:t>re the</w:t>
      </w:r>
      <w:r w:rsidR="00E60028" w:rsidRPr="007331D7">
        <w:rPr>
          <w:rFonts w:eastAsia="Calibri"/>
          <w:lang w:val="en-ZA" w:eastAsia="en-US"/>
        </w:rPr>
        <w:t xml:space="preserve"> </w:t>
      </w:r>
      <w:r w:rsidR="005F7133" w:rsidRPr="007331D7">
        <w:rPr>
          <w:rFonts w:eastAsia="Calibri"/>
          <w:lang w:val="en-ZA" w:eastAsia="en-US"/>
        </w:rPr>
        <w:t>Constitutional Court</w:t>
      </w:r>
      <w:r w:rsidR="00E60028" w:rsidRPr="007331D7">
        <w:rPr>
          <w:rFonts w:eastAsia="Calibri"/>
          <w:lang w:val="en-ZA" w:eastAsia="en-US"/>
        </w:rPr>
        <w:t xml:space="preserve"> </w:t>
      </w:r>
      <w:r w:rsidR="000723DC" w:rsidRPr="007331D7">
        <w:rPr>
          <w:rFonts w:eastAsia="Calibri"/>
          <w:lang w:val="en-ZA" w:eastAsia="en-US"/>
        </w:rPr>
        <w:t>emphasised</w:t>
      </w:r>
      <w:r w:rsidR="00B84B5B" w:rsidRPr="007331D7">
        <w:rPr>
          <w:rFonts w:eastAsia="Calibri"/>
          <w:lang w:val="en-ZA" w:eastAsia="en-US"/>
        </w:rPr>
        <w:t xml:space="preserve"> that </w:t>
      </w:r>
      <w:r w:rsidR="000F09FD" w:rsidRPr="007331D7">
        <w:rPr>
          <w:rFonts w:eastAsia="Calibri"/>
          <w:lang w:val="en-ZA" w:eastAsia="en-US"/>
        </w:rPr>
        <w:t>‘</w:t>
      </w:r>
      <w:r w:rsidR="00D77BC3" w:rsidRPr="007331D7">
        <w:rPr>
          <w:rFonts w:eastAsia="Calibri"/>
          <w:lang w:val="en-ZA" w:eastAsia="en-US"/>
        </w:rPr>
        <w:t>[</w:t>
      </w:r>
      <w:r w:rsidR="000F09FD" w:rsidRPr="007331D7">
        <w:rPr>
          <w:rFonts w:eastAsia="Calibri"/>
          <w:lang w:val="en-ZA" w:eastAsia="en-US"/>
        </w:rPr>
        <w:t>i</w:t>
      </w:r>
      <w:r w:rsidR="00D77BC3" w:rsidRPr="007331D7">
        <w:rPr>
          <w:rFonts w:eastAsia="Calibri"/>
          <w:lang w:val="en-ZA" w:eastAsia="en-US"/>
        </w:rPr>
        <w:t>]</w:t>
      </w:r>
      <w:r w:rsidR="000F09FD" w:rsidRPr="007331D7">
        <w:rPr>
          <w:rFonts w:eastAsia="Calibri"/>
          <w:lang w:val="en-ZA" w:eastAsia="en-US"/>
        </w:rPr>
        <w:t xml:space="preserve">f appealability or the grant of leave to </w:t>
      </w:r>
      <w:r w:rsidR="000F09FD" w:rsidRPr="007331D7">
        <w:rPr>
          <w:rFonts w:eastAsia="Calibri"/>
          <w:lang w:val="en-ZA" w:eastAsia="en-US"/>
        </w:rPr>
        <w:lastRenderedPageBreak/>
        <w:t>appeal</w:t>
      </w:r>
      <w:r w:rsidR="00134A55" w:rsidRPr="007331D7">
        <w:rPr>
          <w:rFonts w:eastAsia="Calibri"/>
          <w:lang w:val="en-ZA" w:eastAsia="en-US"/>
        </w:rPr>
        <w:t xml:space="preserve"> would best serve the interest of justice, then the appeal</w:t>
      </w:r>
      <w:r w:rsidR="000F09FD" w:rsidRPr="007331D7">
        <w:rPr>
          <w:rFonts w:eastAsia="Calibri"/>
          <w:lang w:val="en-ZA" w:eastAsia="en-US"/>
        </w:rPr>
        <w:t xml:space="preserve"> should be procee</w:t>
      </w:r>
      <w:r w:rsidR="00A064CA" w:rsidRPr="007331D7">
        <w:rPr>
          <w:rFonts w:eastAsia="Calibri"/>
          <w:lang w:val="en-ZA" w:eastAsia="en-US"/>
        </w:rPr>
        <w:t>ded with no matter what the pre</w:t>
      </w:r>
      <w:r w:rsidR="00A064CA" w:rsidRPr="007331D7">
        <w:rPr>
          <w:rFonts w:eastAsia="Calibri"/>
          <w:lang w:val="en-ZA" w:eastAsia="en-US"/>
        </w:rPr>
        <w:noBreakHyphen/>
      </w:r>
      <w:r w:rsidR="00D77BC3" w:rsidRPr="007331D7">
        <w:rPr>
          <w:rFonts w:eastAsia="Calibri"/>
          <w:lang w:val="en-ZA" w:eastAsia="en-US"/>
        </w:rPr>
        <w:t>C</w:t>
      </w:r>
      <w:r w:rsidR="000F09FD" w:rsidRPr="007331D7">
        <w:rPr>
          <w:rFonts w:eastAsia="Calibri"/>
          <w:lang w:val="en-ZA" w:eastAsia="en-US"/>
        </w:rPr>
        <w:t>onstitution common law impediments may suggest’</w:t>
      </w:r>
      <w:r w:rsidR="007331D7" w:rsidRPr="00CE7F16">
        <w:rPr>
          <w:rFonts w:eastAsia="Calibri"/>
          <w:lang w:val="en-ZA" w:eastAsia="en-US"/>
        </w:rPr>
        <w:t>.</w:t>
      </w:r>
      <w:r w:rsidR="00890ED0">
        <w:rPr>
          <w:rStyle w:val="FootnoteReference"/>
          <w:rFonts w:eastAsia="Calibri"/>
          <w:lang w:val="en-ZA" w:eastAsia="en-US"/>
        </w:rPr>
        <w:footnoteReference w:id="9"/>
      </w:r>
    </w:p>
    <w:p w14:paraId="373C7E4A" w14:textId="77777777" w:rsidR="000F09FD" w:rsidRPr="00182B28" w:rsidRDefault="000F09FD" w:rsidP="00770E3B">
      <w:pPr>
        <w:spacing w:after="160"/>
        <w:contextualSpacing/>
        <w:rPr>
          <w:rFonts w:eastAsia="Calibri"/>
          <w:lang w:val="en-ZA" w:eastAsia="en-US"/>
        </w:rPr>
      </w:pPr>
    </w:p>
    <w:p w14:paraId="26C5AF02" w14:textId="041331CB" w:rsidR="002F69EC" w:rsidRPr="00182B28" w:rsidRDefault="000F09FD" w:rsidP="006F2462">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24</w:t>
      </w:r>
      <w:r w:rsidRPr="00182B28">
        <w:rPr>
          <w:rFonts w:eastAsia="Calibri"/>
          <w:lang w:val="en-ZA" w:eastAsia="en-US"/>
        </w:rPr>
        <w:t>]</w:t>
      </w:r>
      <w:r w:rsidRPr="00182B28">
        <w:rPr>
          <w:rFonts w:eastAsia="Calibri"/>
          <w:lang w:val="en-ZA" w:eastAsia="en-US"/>
        </w:rPr>
        <w:tab/>
        <w:t xml:space="preserve">Whether or not an interim order is appealable is fact-specific. This </w:t>
      </w:r>
      <w:r w:rsidR="00C003F7" w:rsidRPr="00182B28">
        <w:rPr>
          <w:rFonts w:eastAsia="Calibri"/>
          <w:lang w:val="en-ZA" w:eastAsia="en-US"/>
        </w:rPr>
        <w:t>was affirmed</w:t>
      </w:r>
      <w:r w:rsidRPr="00182B28">
        <w:rPr>
          <w:rFonts w:eastAsia="Calibri"/>
          <w:lang w:val="en-ZA" w:eastAsia="en-US"/>
        </w:rPr>
        <w:t xml:space="preserve"> in </w:t>
      </w:r>
      <w:r w:rsidRPr="00182B28">
        <w:rPr>
          <w:rFonts w:eastAsia="Calibri"/>
          <w:i/>
          <w:lang w:val="en-ZA" w:eastAsia="en-US"/>
        </w:rPr>
        <w:t>South African Informal Traders Forum v City of Johannesburg</w:t>
      </w:r>
      <w:r w:rsidR="007331D7">
        <w:rPr>
          <w:rFonts w:eastAsia="Calibri"/>
          <w:i/>
          <w:lang w:val="en-ZA" w:eastAsia="en-US"/>
        </w:rPr>
        <w:t>,</w:t>
      </w:r>
      <w:r w:rsidR="006D2827" w:rsidRPr="00182B28">
        <w:rPr>
          <w:rStyle w:val="FootnoteReference"/>
          <w:rFonts w:eastAsia="Calibri"/>
          <w:lang w:val="en-ZA" w:eastAsia="en-US"/>
        </w:rPr>
        <w:footnoteReference w:id="10"/>
      </w:r>
      <w:r w:rsidR="006F2462" w:rsidRPr="00182B28">
        <w:rPr>
          <w:rFonts w:eastAsia="Calibri"/>
          <w:i/>
          <w:lang w:val="en-ZA" w:eastAsia="en-US"/>
        </w:rPr>
        <w:t xml:space="preserve"> </w:t>
      </w:r>
      <w:r w:rsidR="006F2462" w:rsidRPr="00182B28">
        <w:rPr>
          <w:rFonts w:eastAsia="Calibri"/>
          <w:lang w:val="en-ZA" w:eastAsia="en-US"/>
        </w:rPr>
        <w:t>where the Constitutional Court held that when determining whether it is in the best interest</w:t>
      </w:r>
      <w:r w:rsidR="00C003F7" w:rsidRPr="00182B28">
        <w:rPr>
          <w:rFonts w:eastAsia="Calibri"/>
          <w:lang w:val="en-ZA" w:eastAsia="en-US"/>
        </w:rPr>
        <w:t>s</w:t>
      </w:r>
      <w:r w:rsidR="006F2462" w:rsidRPr="00182B28">
        <w:rPr>
          <w:rFonts w:eastAsia="Calibri"/>
          <w:lang w:val="en-ZA" w:eastAsia="en-US"/>
        </w:rPr>
        <w:t xml:space="preserve"> of justice to appeal an in</w:t>
      </w:r>
      <w:r w:rsidR="009B7163" w:rsidRPr="00182B28">
        <w:rPr>
          <w:rFonts w:eastAsia="Calibri"/>
          <w:lang w:val="en-ZA" w:eastAsia="en-US"/>
        </w:rPr>
        <w:t>t</w:t>
      </w:r>
      <w:r w:rsidR="006F2462" w:rsidRPr="00182B28">
        <w:rPr>
          <w:rFonts w:eastAsia="Calibri"/>
          <w:lang w:val="en-ZA" w:eastAsia="en-US"/>
        </w:rPr>
        <w:t>erim order</w:t>
      </w:r>
      <w:r w:rsidR="00134A55" w:rsidRPr="00182B28">
        <w:rPr>
          <w:rFonts w:eastAsia="Calibri"/>
          <w:lang w:val="en-ZA" w:eastAsia="en-US"/>
        </w:rPr>
        <w:t>,</w:t>
      </w:r>
      <w:r w:rsidR="006F2462" w:rsidRPr="00182B28">
        <w:rPr>
          <w:rFonts w:eastAsia="Calibri"/>
          <w:lang w:val="en-ZA" w:eastAsia="en-US"/>
        </w:rPr>
        <w:t xml:space="preserve"> the court must have regard to and weigh carefully all relevant circumstances. The factors that are relevant or decisive in a particular instance, will vary from case to case.</w:t>
      </w:r>
    </w:p>
    <w:p w14:paraId="08D79634" w14:textId="77777777" w:rsidR="006F2462" w:rsidRPr="00182B28" w:rsidRDefault="006F2462" w:rsidP="006F2462">
      <w:pPr>
        <w:spacing w:after="160"/>
        <w:contextualSpacing/>
        <w:rPr>
          <w:rFonts w:eastAsia="Calibri"/>
          <w:lang w:val="en-ZA" w:eastAsia="en-US"/>
        </w:rPr>
      </w:pPr>
    </w:p>
    <w:p w14:paraId="51A9FE64" w14:textId="7BC44B5D" w:rsidR="006F2462" w:rsidRPr="00182B28" w:rsidRDefault="006F2462" w:rsidP="006F2462">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25</w:t>
      </w:r>
      <w:r w:rsidRPr="00182B28">
        <w:rPr>
          <w:rFonts w:eastAsia="Calibri"/>
          <w:lang w:val="en-ZA" w:eastAsia="en-US"/>
        </w:rPr>
        <w:t>]</w:t>
      </w:r>
      <w:r w:rsidRPr="00182B28">
        <w:rPr>
          <w:rFonts w:eastAsia="Calibri"/>
          <w:lang w:val="en-ZA" w:eastAsia="en-US"/>
        </w:rPr>
        <w:tab/>
        <w:t xml:space="preserve">The appellants’ complaint is that the </w:t>
      </w:r>
      <w:r w:rsidR="00C003F7" w:rsidRPr="00182B28">
        <w:rPr>
          <w:rFonts w:eastAsia="Calibri"/>
          <w:lang w:val="en-ZA" w:eastAsia="en-US"/>
        </w:rPr>
        <w:t xml:space="preserve">high </w:t>
      </w:r>
      <w:r w:rsidRPr="00182B28">
        <w:rPr>
          <w:rFonts w:eastAsia="Calibri"/>
          <w:lang w:val="en-ZA" w:eastAsia="en-US"/>
        </w:rPr>
        <w:t xml:space="preserve">court failed to issue a rule </w:t>
      </w:r>
      <w:r w:rsidRPr="00182B28">
        <w:rPr>
          <w:rFonts w:eastAsia="Calibri"/>
          <w:i/>
          <w:lang w:val="en-ZA" w:eastAsia="en-US"/>
        </w:rPr>
        <w:t>nisi</w:t>
      </w:r>
      <w:r w:rsidRPr="00182B28">
        <w:rPr>
          <w:rFonts w:eastAsia="Calibri"/>
          <w:lang w:val="en-ZA" w:eastAsia="en-US"/>
        </w:rPr>
        <w:t xml:space="preserve"> (operati</w:t>
      </w:r>
      <w:r w:rsidR="00136D45" w:rsidRPr="00182B28">
        <w:rPr>
          <w:rFonts w:eastAsia="Calibri"/>
          <w:lang w:val="en-ZA" w:eastAsia="en-US"/>
        </w:rPr>
        <w:t>ng</w:t>
      </w:r>
      <w:r w:rsidR="00F2637B" w:rsidRPr="00182B28">
        <w:rPr>
          <w:rFonts w:eastAsia="Calibri"/>
          <w:lang w:val="en-ZA" w:eastAsia="en-US"/>
        </w:rPr>
        <w:t> </w:t>
      </w:r>
      <w:r w:rsidR="00136D45" w:rsidRPr="00182B28">
        <w:rPr>
          <w:rFonts w:eastAsia="Calibri"/>
          <w:lang w:val="en-ZA" w:eastAsia="en-US"/>
        </w:rPr>
        <w:t>in part as an interim interdict) in circumstances where this was the only relief which the respondents had sought at the hearing of this matter. In support of the complaint, the appellants submit</w:t>
      </w:r>
      <w:r w:rsidR="00F2637B" w:rsidRPr="00182B28">
        <w:rPr>
          <w:rFonts w:eastAsia="Calibri"/>
          <w:lang w:val="en-ZA" w:eastAsia="en-US"/>
        </w:rPr>
        <w:t>ted</w:t>
      </w:r>
      <w:r w:rsidR="00136D45" w:rsidRPr="00182B28">
        <w:rPr>
          <w:rFonts w:eastAsia="Calibri"/>
          <w:lang w:val="en-ZA" w:eastAsia="en-US"/>
        </w:rPr>
        <w:t xml:space="preserve"> that the relief granted in paragraph</w:t>
      </w:r>
      <w:r w:rsidR="00AC7A6F" w:rsidRPr="00182B28">
        <w:rPr>
          <w:rFonts w:eastAsia="Calibri"/>
          <w:lang w:val="en-ZA" w:eastAsia="en-US"/>
        </w:rPr>
        <w:t>s</w:t>
      </w:r>
      <w:r w:rsidR="00136D45" w:rsidRPr="00182B28">
        <w:rPr>
          <w:rFonts w:eastAsia="Calibri"/>
          <w:lang w:val="en-ZA" w:eastAsia="en-US"/>
        </w:rPr>
        <w:t xml:space="preserve"> 1.3 and 2 of the</w:t>
      </w:r>
      <w:r w:rsidR="00D60F85" w:rsidRPr="00182B28">
        <w:rPr>
          <w:rFonts w:eastAsia="Calibri"/>
          <w:lang w:val="en-ZA" w:eastAsia="en-US"/>
        </w:rPr>
        <w:t> </w:t>
      </w:r>
      <w:r w:rsidR="00136D45" w:rsidRPr="00182B28">
        <w:rPr>
          <w:rFonts w:eastAsia="Calibri"/>
          <w:lang w:val="en-ZA" w:eastAsia="en-US"/>
        </w:rPr>
        <w:t>2020 order was final</w:t>
      </w:r>
      <w:r w:rsidR="00C003F7" w:rsidRPr="00182B28">
        <w:rPr>
          <w:rFonts w:eastAsia="Calibri"/>
          <w:lang w:val="en-ZA" w:eastAsia="en-US"/>
        </w:rPr>
        <w:t xml:space="preserve"> in effect</w:t>
      </w:r>
      <w:r w:rsidR="00136D45" w:rsidRPr="00182B28">
        <w:rPr>
          <w:rFonts w:eastAsia="Calibri"/>
          <w:lang w:val="en-ZA" w:eastAsia="en-US"/>
        </w:rPr>
        <w:t xml:space="preserve">. </w:t>
      </w:r>
      <w:r w:rsidR="006A719F" w:rsidRPr="00182B28">
        <w:rPr>
          <w:rFonts w:eastAsia="Calibri"/>
          <w:lang w:val="en-ZA" w:eastAsia="en-US"/>
        </w:rPr>
        <w:t>It is common cause that t</w:t>
      </w:r>
      <w:r w:rsidR="00136D45" w:rsidRPr="00182B28">
        <w:rPr>
          <w:rFonts w:eastAsia="Calibri"/>
          <w:lang w:val="en-ZA" w:eastAsia="en-US"/>
        </w:rPr>
        <w:t xml:space="preserve">he </w:t>
      </w:r>
      <w:r w:rsidR="0030101C" w:rsidRPr="00182B28">
        <w:rPr>
          <w:rFonts w:eastAsia="Calibri"/>
          <w:lang w:val="en-ZA" w:eastAsia="en-US"/>
        </w:rPr>
        <w:t xml:space="preserve">respondents had abandoned the </w:t>
      </w:r>
      <w:r w:rsidR="00136D45" w:rsidRPr="00182B28">
        <w:rPr>
          <w:rFonts w:eastAsia="Calibri"/>
          <w:lang w:val="en-ZA" w:eastAsia="en-US"/>
        </w:rPr>
        <w:t>relief in paragraph 2.</w:t>
      </w:r>
      <w:r w:rsidR="00D60F85" w:rsidRPr="00182B28">
        <w:rPr>
          <w:rStyle w:val="FootnoteReference"/>
          <w:rFonts w:eastAsia="Calibri"/>
          <w:lang w:val="en-ZA" w:eastAsia="en-US"/>
        </w:rPr>
        <w:footnoteReference w:id="11"/>
      </w:r>
      <w:r w:rsidR="00C003F7" w:rsidRPr="00182B28">
        <w:rPr>
          <w:rFonts w:eastAsia="Calibri"/>
          <w:lang w:val="en-ZA" w:eastAsia="en-US"/>
        </w:rPr>
        <w:t xml:space="preserve"> Different considerations apply in respect of paragraph 1.3.</w:t>
      </w:r>
    </w:p>
    <w:p w14:paraId="01911055" w14:textId="77777777" w:rsidR="00136D45" w:rsidRPr="00182B28" w:rsidRDefault="00136D45" w:rsidP="006F2462">
      <w:pPr>
        <w:spacing w:after="160"/>
        <w:contextualSpacing/>
        <w:rPr>
          <w:rFonts w:eastAsia="Calibri"/>
          <w:lang w:val="en-ZA" w:eastAsia="en-US"/>
        </w:rPr>
      </w:pPr>
    </w:p>
    <w:p w14:paraId="1AD24BFC" w14:textId="4765D463" w:rsidR="002676BC" w:rsidRPr="00182B28" w:rsidRDefault="009B62AA" w:rsidP="006F2462">
      <w:pPr>
        <w:spacing w:after="160"/>
        <w:contextualSpacing/>
        <w:rPr>
          <w:rFonts w:eastAsia="Calibri"/>
          <w:lang w:val="en-ZA" w:eastAsia="en-US"/>
        </w:rPr>
      </w:pPr>
      <w:r w:rsidRPr="00F37813">
        <w:rPr>
          <w:rFonts w:eastAsia="Calibri"/>
          <w:lang w:val="en-ZA" w:eastAsia="en-US"/>
        </w:rPr>
        <w:t>[</w:t>
      </w:r>
      <w:r w:rsidR="00F011E8" w:rsidRPr="00F37813">
        <w:rPr>
          <w:rFonts w:eastAsia="Calibri"/>
          <w:lang w:val="en-ZA" w:eastAsia="en-US"/>
        </w:rPr>
        <w:t>26</w:t>
      </w:r>
      <w:r w:rsidR="006A719F" w:rsidRPr="00F37813">
        <w:rPr>
          <w:rFonts w:eastAsia="Calibri"/>
          <w:lang w:val="en-ZA" w:eastAsia="en-US"/>
        </w:rPr>
        <w:t>]</w:t>
      </w:r>
      <w:r w:rsidR="006A719F" w:rsidRPr="00F37813">
        <w:rPr>
          <w:rFonts w:eastAsia="Calibri"/>
          <w:lang w:val="en-ZA" w:eastAsia="en-US"/>
        </w:rPr>
        <w:tab/>
        <w:t>The</w:t>
      </w:r>
      <w:r w:rsidR="006A719F" w:rsidRPr="00182B28">
        <w:rPr>
          <w:rFonts w:eastAsia="Calibri"/>
          <w:lang w:val="en-ZA" w:eastAsia="en-US"/>
        </w:rPr>
        <w:t xml:space="preserve"> a</w:t>
      </w:r>
      <w:r w:rsidR="00E024EB" w:rsidRPr="00182B28">
        <w:rPr>
          <w:rFonts w:eastAsia="Calibri"/>
          <w:lang w:val="en-ZA" w:eastAsia="en-US"/>
        </w:rPr>
        <w:t>ppellants’ argument</w:t>
      </w:r>
      <w:r w:rsidR="00C003F7" w:rsidRPr="00182B28">
        <w:rPr>
          <w:rFonts w:eastAsia="Calibri"/>
          <w:lang w:val="en-ZA" w:eastAsia="en-US"/>
        </w:rPr>
        <w:t>, in essence,</w:t>
      </w:r>
      <w:r w:rsidR="00E024EB" w:rsidRPr="00182B28">
        <w:rPr>
          <w:rFonts w:eastAsia="Calibri"/>
          <w:lang w:val="en-ZA" w:eastAsia="en-US"/>
        </w:rPr>
        <w:t xml:space="preserve"> is that </w:t>
      </w:r>
      <w:r w:rsidR="00C003F7" w:rsidRPr="00182B28">
        <w:rPr>
          <w:rFonts w:eastAsia="Calibri"/>
          <w:lang w:val="en-ZA" w:eastAsia="en-US"/>
        </w:rPr>
        <w:t xml:space="preserve">had </w:t>
      </w:r>
      <w:r w:rsidR="00E024EB" w:rsidRPr="00182B28">
        <w:rPr>
          <w:rFonts w:eastAsia="Calibri"/>
          <w:lang w:val="en-ZA" w:eastAsia="en-US"/>
        </w:rPr>
        <w:t xml:space="preserve">the 2020 order taken </w:t>
      </w:r>
      <w:r w:rsidR="00B81B2D" w:rsidRPr="00182B28">
        <w:rPr>
          <w:rFonts w:eastAsia="Calibri"/>
          <w:lang w:val="en-ZA" w:eastAsia="en-US"/>
        </w:rPr>
        <w:t>the</w:t>
      </w:r>
      <w:r w:rsidR="00E024EB" w:rsidRPr="00182B28">
        <w:rPr>
          <w:rFonts w:eastAsia="Calibri"/>
          <w:lang w:val="en-ZA" w:eastAsia="en-US"/>
        </w:rPr>
        <w:t xml:space="preserve"> </w:t>
      </w:r>
      <w:r w:rsidR="00C003F7" w:rsidRPr="00182B28">
        <w:rPr>
          <w:rFonts w:eastAsia="Calibri"/>
          <w:lang w:val="en-ZA" w:eastAsia="en-US"/>
        </w:rPr>
        <w:t xml:space="preserve">form of a </w:t>
      </w:r>
      <w:r w:rsidR="00E024EB" w:rsidRPr="00182B28">
        <w:rPr>
          <w:rFonts w:eastAsia="Calibri"/>
          <w:lang w:val="en-ZA" w:eastAsia="en-US"/>
        </w:rPr>
        <w:t xml:space="preserve">rule </w:t>
      </w:r>
      <w:r w:rsidR="00E024EB" w:rsidRPr="00182B28">
        <w:rPr>
          <w:rFonts w:eastAsia="Calibri"/>
          <w:i/>
          <w:lang w:val="en-ZA" w:eastAsia="en-US"/>
        </w:rPr>
        <w:t>nisi</w:t>
      </w:r>
      <w:r w:rsidR="00E024EB" w:rsidRPr="00182B28">
        <w:rPr>
          <w:rFonts w:eastAsia="Calibri"/>
          <w:lang w:val="en-ZA" w:eastAsia="en-US"/>
        </w:rPr>
        <w:t>, returnable on a specified date, such a</w:t>
      </w:r>
      <w:r w:rsidR="002676BC" w:rsidRPr="00182B28">
        <w:rPr>
          <w:rFonts w:eastAsia="Calibri"/>
          <w:lang w:val="en-ZA" w:eastAsia="en-US"/>
        </w:rPr>
        <w:t>n order would have afforded the appellants the opportunity to deliver such further affidavit</w:t>
      </w:r>
      <w:r w:rsidR="00160B5B" w:rsidRPr="00182B28">
        <w:rPr>
          <w:rFonts w:eastAsia="Calibri"/>
          <w:lang w:val="en-ZA" w:eastAsia="en-US"/>
        </w:rPr>
        <w:t>s</w:t>
      </w:r>
      <w:r w:rsidR="006A719F" w:rsidRPr="00182B28">
        <w:rPr>
          <w:rFonts w:eastAsia="Calibri"/>
          <w:lang w:val="en-ZA" w:eastAsia="en-US"/>
        </w:rPr>
        <w:t xml:space="preserve"> as they considered appropriate. </w:t>
      </w:r>
      <w:r w:rsidR="00C003F7" w:rsidRPr="00182B28">
        <w:rPr>
          <w:rFonts w:eastAsia="Calibri"/>
          <w:lang w:val="en-ZA" w:eastAsia="en-US"/>
        </w:rPr>
        <w:t>And t</w:t>
      </w:r>
      <w:r w:rsidR="002676BC" w:rsidRPr="00182B28">
        <w:rPr>
          <w:rFonts w:eastAsia="Calibri"/>
          <w:lang w:val="en-ZA" w:eastAsia="en-US"/>
        </w:rPr>
        <w:t>o the extent that the court was minded to grant relief as it did, it was obliged to apply the</w:t>
      </w:r>
      <w:r w:rsidR="006A719F" w:rsidRPr="00182B28">
        <w:rPr>
          <w:rFonts w:eastAsia="Calibri"/>
          <w:lang w:val="en-ZA" w:eastAsia="en-US"/>
        </w:rPr>
        <w:t xml:space="preserve"> P</w:t>
      </w:r>
      <w:r w:rsidR="002676BC" w:rsidRPr="00182B28">
        <w:rPr>
          <w:rFonts w:eastAsia="Calibri"/>
          <w:lang w:val="en-ZA" w:eastAsia="en-US"/>
        </w:rPr>
        <w:t>lascon-Evans</w:t>
      </w:r>
      <w:r w:rsidR="00CE5671" w:rsidRPr="00182B28">
        <w:rPr>
          <w:rStyle w:val="FootnoteReference"/>
          <w:rFonts w:eastAsia="Calibri"/>
          <w:lang w:val="en-ZA" w:eastAsia="en-US"/>
        </w:rPr>
        <w:footnoteReference w:id="12"/>
      </w:r>
      <w:r w:rsidR="007331D7">
        <w:rPr>
          <w:rFonts w:eastAsia="Calibri"/>
          <w:lang w:val="en-ZA" w:eastAsia="en-US"/>
        </w:rPr>
        <w:t xml:space="preserve"> rule</w:t>
      </w:r>
      <w:r w:rsidR="002676BC" w:rsidRPr="00182B28">
        <w:rPr>
          <w:rFonts w:eastAsia="Calibri"/>
          <w:lang w:val="en-ZA" w:eastAsia="en-US"/>
        </w:rPr>
        <w:t xml:space="preserve"> in assessing the evidence. Had the court done so, it </w:t>
      </w:r>
      <w:r w:rsidR="00C003F7" w:rsidRPr="00182B28">
        <w:rPr>
          <w:rFonts w:eastAsia="Calibri"/>
          <w:lang w:val="en-ZA" w:eastAsia="en-US"/>
        </w:rPr>
        <w:t>was</w:t>
      </w:r>
      <w:r w:rsidR="002676BC" w:rsidRPr="00182B28">
        <w:rPr>
          <w:rFonts w:eastAsia="Calibri"/>
          <w:lang w:val="en-ZA" w:eastAsia="en-US"/>
        </w:rPr>
        <w:t xml:space="preserve"> argued, all factual d</w:t>
      </w:r>
      <w:r w:rsidR="006A719F" w:rsidRPr="00182B28">
        <w:rPr>
          <w:rFonts w:eastAsia="Calibri"/>
          <w:lang w:val="en-ZA" w:eastAsia="en-US"/>
        </w:rPr>
        <w:t xml:space="preserve">isputes </w:t>
      </w:r>
      <w:r w:rsidR="00C003F7" w:rsidRPr="00182B28">
        <w:rPr>
          <w:rFonts w:eastAsia="Calibri"/>
          <w:lang w:val="en-ZA" w:eastAsia="en-US"/>
        </w:rPr>
        <w:t>would</w:t>
      </w:r>
      <w:r w:rsidR="006A719F" w:rsidRPr="00182B28">
        <w:rPr>
          <w:rFonts w:eastAsia="Calibri"/>
          <w:lang w:val="en-ZA" w:eastAsia="en-US"/>
        </w:rPr>
        <w:t xml:space="preserve"> be determined on</w:t>
      </w:r>
      <w:r w:rsidR="002676BC" w:rsidRPr="00182B28">
        <w:rPr>
          <w:rFonts w:eastAsia="Calibri"/>
          <w:lang w:val="en-ZA" w:eastAsia="en-US"/>
        </w:rPr>
        <w:t xml:space="preserve"> the basis of the</w:t>
      </w:r>
      <w:r w:rsidR="006A719F" w:rsidRPr="00182B28">
        <w:rPr>
          <w:rFonts w:eastAsia="Calibri"/>
          <w:lang w:val="en-ZA" w:eastAsia="en-US"/>
        </w:rPr>
        <w:t xml:space="preserve"> appellants’ </w:t>
      </w:r>
      <w:r w:rsidR="006A719F" w:rsidRPr="00182B28">
        <w:rPr>
          <w:rFonts w:eastAsia="Calibri"/>
          <w:lang w:val="en-ZA" w:eastAsia="en-US"/>
        </w:rPr>
        <w:lastRenderedPageBreak/>
        <w:t>(the</w:t>
      </w:r>
      <w:r w:rsidR="002676BC" w:rsidRPr="00182B28">
        <w:rPr>
          <w:rFonts w:eastAsia="Calibri"/>
          <w:lang w:val="en-ZA" w:eastAsia="en-US"/>
        </w:rPr>
        <w:t xml:space="preserve"> respondents</w:t>
      </w:r>
      <w:r w:rsidR="00E63CB1" w:rsidRPr="00182B28">
        <w:rPr>
          <w:rFonts w:eastAsia="Calibri"/>
          <w:lang w:val="en-ZA" w:eastAsia="en-US"/>
        </w:rPr>
        <w:t xml:space="preserve"> in the high court</w:t>
      </w:r>
      <w:r w:rsidR="006A719F" w:rsidRPr="00182B28">
        <w:rPr>
          <w:rFonts w:eastAsia="Calibri"/>
          <w:lang w:val="en-ZA" w:eastAsia="en-US"/>
        </w:rPr>
        <w:t>)</w:t>
      </w:r>
      <w:r w:rsidR="002676BC" w:rsidRPr="00182B28">
        <w:rPr>
          <w:rFonts w:eastAsia="Calibri"/>
          <w:lang w:val="en-ZA" w:eastAsia="en-US"/>
        </w:rPr>
        <w:t xml:space="preserve"> version, and the appellants would have succeeded in their opposition.</w:t>
      </w:r>
    </w:p>
    <w:p w14:paraId="10B9BD38" w14:textId="77777777" w:rsidR="002676BC" w:rsidRPr="00182B28" w:rsidRDefault="002676BC" w:rsidP="006F2462">
      <w:pPr>
        <w:spacing w:after="160"/>
        <w:contextualSpacing/>
        <w:rPr>
          <w:rFonts w:eastAsia="Calibri"/>
          <w:lang w:val="en-ZA" w:eastAsia="en-US"/>
        </w:rPr>
      </w:pPr>
    </w:p>
    <w:p w14:paraId="409CC970" w14:textId="6E95F8D4" w:rsidR="00E024EB" w:rsidRPr="00182B28" w:rsidRDefault="009B62AA" w:rsidP="006F2462">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27</w:t>
      </w:r>
      <w:r w:rsidR="002676BC" w:rsidRPr="00182B28">
        <w:rPr>
          <w:rFonts w:eastAsia="Calibri"/>
          <w:lang w:val="en-ZA" w:eastAsia="en-US"/>
        </w:rPr>
        <w:t>]</w:t>
      </w:r>
      <w:r w:rsidR="002676BC" w:rsidRPr="00182B28">
        <w:rPr>
          <w:rFonts w:eastAsia="Calibri"/>
          <w:lang w:val="en-ZA" w:eastAsia="en-US"/>
        </w:rPr>
        <w:tab/>
        <w:t>The appellants’ argument is</w:t>
      </w:r>
      <w:r w:rsidR="0071216E">
        <w:rPr>
          <w:rFonts w:eastAsia="Calibri"/>
          <w:lang w:val="en-ZA" w:eastAsia="en-US"/>
        </w:rPr>
        <w:t>,</w:t>
      </w:r>
      <w:r w:rsidR="002676BC" w:rsidRPr="00182B28">
        <w:rPr>
          <w:rFonts w:eastAsia="Calibri"/>
          <w:lang w:val="en-ZA" w:eastAsia="en-US"/>
        </w:rPr>
        <w:t xml:space="preserve"> in my view</w:t>
      </w:r>
      <w:r w:rsidR="0071216E">
        <w:rPr>
          <w:rFonts w:eastAsia="Calibri"/>
          <w:lang w:val="en-ZA" w:eastAsia="en-US"/>
        </w:rPr>
        <w:t>,</w:t>
      </w:r>
      <w:r w:rsidR="002676BC" w:rsidRPr="00182B28">
        <w:rPr>
          <w:rFonts w:eastAsia="Calibri"/>
          <w:lang w:val="en-ZA" w:eastAsia="en-US"/>
        </w:rPr>
        <w:t xml:space="preserve"> without any merit. On </w:t>
      </w:r>
      <w:r w:rsidR="00C003F7" w:rsidRPr="00182B28">
        <w:rPr>
          <w:rFonts w:eastAsia="Calibri"/>
          <w:lang w:val="en-ZA" w:eastAsia="en-US"/>
        </w:rPr>
        <w:t xml:space="preserve">a </w:t>
      </w:r>
      <w:r w:rsidR="002676BC" w:rsidRPr="00182B28">
        <w:rPr>
          <w:rFonts w:eastAsia="Calibri"/>
          <w:lang w:val="en-ZA" w:eastAsia="en-US"/>
        </w:rPr>
        <w:t>proper interpretation of paragraph 1.3 of the 2020 order, it is ancillary to that granted</w:t>
      </w:r>
      <w:r w:rsidR="006A719F" w:rsidRPr="00182B28">
        <w:rPr>
          <w:rFonts w:eastAsia="Calibri"/>
          <w:lang w:val="en-ZA" w:eastAsia="en-US"/>
        </w:rPr>
        <w:t xml:space="preserve"> in paragraph</w:t>
      </w:r>
      <w:r w:rsidR="002676BC" w:rsidRPr="00182B28">
        <w:rPr>
          <w:rFonts w:eastAsia="Calibri"/>
          <w:lang w:val="en-ZA" w:eastAsia="en-US"/>
        </w:rPr>
        <w:t xml:space="preserve"> 1.1 and the remainder of the relief is evidently interim. The order stands, pending the finalisation of the process provided for in paragraph</w:t>
      </w:r>
      <w:r w:rsidR="00AC7A6F" w:rsidRPr="00182B28">
        <w:rPr>
          <w:rFonts w:eastAsia="Calibri"/>
          <w:lang w:val="en-ZA" w:eastAsia="en-US"/>
        </w:rPr>
        <w:t>s</w:t>
      </w:r>
      <w:r w:rsidR="002676BC" w:rsidRPr="00182B28">
        <w:rPr>
          <w:rFonts w:eastAsia="Calibri"/>
          <w:lang w:val="en-ZA" w:eastAsia="en-US"/>
        </w:rPr>
        <w:t xml:space="preserve"> 23 and 25 of the 2015 order. Where both parties </w:t>
      </w:r>
      <w:r w:rsidR="0039481F" w:rsidRPr="00182B28">
        <w:rPr>
          <w:rFonts w:eastAsia="Calibri"/>
          <w:lang w:val="en-ZA" w:eastAsia="en-US"/>
        </w:rPr>
        <w:t xml:space="preserve">are before </w:t>
      </w:r>
      <w:r w:rsidR="00A73A84" w:rsidRPr="00182B28">
        <w:rPr>
          <w:rFonts w:eastAsia="Calibri"/>
          <w:lang w:val="en-ZA" w:eastAsia="en-US"/>
        </w:rPr>
        <w:t xml:space="preserve">the </w:t>
      </w:r>
      <w:r w:rsidR="0039481F" w:rsidRPr="00182B28">
        <w:rPr>
          <w:rFonts w:eastAsia="Calibri"/>
          <w:lang w:val="en-ZA" w:eastAsia="en-US"/>
        </w:rPr>
        <w:t>court</w:t>
      </w:r>
      <w:r w:rsidR="00890ED0">
        <w:rPr>
          <w:rFonts w:eastAsia="Calibri"/>
          <w:lang w:val="en-ZA" w:eastAsia="en-US"/>
        </w:rPr>
        <w:t>;</w:t>
      </w:r>
      <w:r w:rsidR="0039481F" w:rsidRPr="00182B28">
        <w:rPr>
          <w:rFonts w:eastAsia="Calibri"/>
          <w:lang w:val="en-ZA" w:eastAsia="en-US"/>
        </w:rPr>
        <w:t xml:space="preserve"> the issues raised </w:t>
      </w:r>
      <w:r w:rsidR="00C003F7" w:rsidRPr="00182B28">
        <w:rPr>
          <w:rFonts w:eastAsia="Calibri"/>
          <w:lang w:val="en-ZA" w:eastAsia="en-US"/>
        </w:rPr>
        <w:t>have been fully ventilated</w:t>
      </w:r>
      <w:r w:rsidR="00890ED0">
        <w:rPr>
          <w:rFonts w:eastAsia="Calibri"/>
          <w:lang w:val="en-ZA" w:eastAsia="en-US"/>
        </w:rPr>
        <w:t>;</w:t>
      </w:r>
      <w:r w:rsidR="00E63CB1" w:rsidRPr="00182B28">
        <w:rPr>
          <w:rFonts w:eastAsia="Calibri"/>
          <w:lang w:val="en-ZA" w:eastAsia="en-US"/>
        </w:rPr>
        <w:t xml:space="preserve"> and an order granted</w:t>
      </w:r>
      <w:r w:rsidR="00890ED0">
        <w:rPr>
          <w:rFonts w:eastAsia="Calibri"/>
          <w:lang w:val="en-ZA" w:eastAsia="en-US"/>
        </w:rPr>
        <w:t>,</w:t>
      </w:r>
      <w:r w:rsidR="00E63CB1" w:rsidRPr="00182B28">
        <w:rPr>
          <w:rFonts w:eastAsia="Calibri"/>
          <w:lang w:val="en-ZA" w:eastAsia="en-US"/>
        </w:rPr>
        <w:t xml:space="preserve"> which clearly endures only until paragraphs 23 and 25 of the 2015 order have been complied with</w:t>
      </w:r>
      <w:r w:rsidR="00512F37" w:rsidRPr="00182B28">
        <w:rPr>
          <w:rFonts w:eastAsia="Calibri"/>
          <w:lang w:val="en-ZA" w:eastAsia="en-US"/>
        </w:rPr>
        <w:t>, t</w:t>
      </w:r>
      <w:r w:rsidR="0039481F" w:rsidRPr="00182B28">
        <w:rPr>
          <w:rFonts w:eastAsia="Calibri"/>
          <w:lang w:val="en-ZA" w:eastAsia="en-US"/>
        </w:rPr>
        <w:t xml:space="preserve">here is no point in issuing a rule </w:t>
      </w:r>
      <w:r w:rsidR="0039481F" w:rsidRPr="00182B28">
        <w:rPr>
          <w:rFonts w:eastAsia="Calibri"/>
          <w:i/>
          <w:lang w:val="en-ZA" w:eastAsia="en-US"/>
        </w:rPr>
        <w:t>nisi</w:t>
      </w:r>
      <w:r w:rsidR="00E63CB1" w:rsidRPr="00182B28">
        <w:rPr>
          <w:rFonts w:eastAsia="Calibri"/>
          <w:lang w:val="en-ZA" w:eastAsia="en-US"/>
        </w:rPr>
        <w:t>.</w:t>
      </w:r>
      <w:r w:rsidR="005040A4" w:rsidRPr="00182B28">
        <w:rPr>
          <w:rStyle w:val="FootnoteReference"/>
          <w:rFonts w:eastAsia="Calibri"/>
          <w:lang w:val="en-ZA" w:eastAsia="en-US"/>
        </w:rPr>
        <w:footnoteReference w:id="13"/>
      </w:r>
    </w:p>
    <w:p w14:paraId="59E89B16" w14:textId="77777777" w:rsidR="0039481F" w:rsidRPr="00182B28" w:rsidRDefault="0039481F" w:rsidP="006F2462">
      <w:pPr>
        <w:spacing w:after="160"/>
        <w:contextualSpacing/>
        <w:rPr>
          <w:rFonts w:eastAsia="Calibri"/>
          <w:lang w:val="en-ZA" w:eastAsia="en-US"/>
        </w:rPr>
      </w:pPr>
    </w:p>
    <w:p w14:paraId="4B928D2F" w14:textId="110EED56" w:rsidR="0039481F" w:rsidRPr="00182B28" w:rsidRDefault="009B62AA" w:rsidP="006F2462">
      <w:pPr>
        <w:spacing w:after="160"/>
        <w:contextualSpacing/>
        <w:rPr>
          <w:rFonts w:eastAsia="Calibri"/>
          <w:lang w:val="en-ZA" w:eastAsia="en-US"/>
        </w:rPr>
      </w:pPr>
      <w:r w:rsidRPr="00182B28">
        <w:rPr>
          <w:rFonts w:eastAsia="Calibri"/>
          <w:lang w:val="en-ZA" w:eastAsia="en-US"/>
        </w:rPr>
        <w:t>[</w:t>
      </w:r>
      <w:r w:rsidR="00F011E8" w:rsidRPr="00182B28">
        <w:rPr>
          <w:rFonts w:eastAsia="Calibri"/>
          <w:lang w:val="en-ZA" w:eastAsia="en-US"/>
        </w:rPr>
        <w:t>28</w:t>
      </w:r>
      <w:r w:rsidR="0039481F" w:rsidRPr="00182B28">
        <w:rPr>
          <w:rFonts w:eastAsia="Calibri"/>
          <w:lang w:val="en-ZA" w:eastAsia="en-US"/>
        </w:rPr>
        <w:t>]</w:t>
      </w:r>
      <w:r w:rsidR="0039481F" w:rsidRPr="00182B28">
        <w:rPr>
          <w:rFonts w:eastAsia="Calibri"/>
          <w:lang w:val="en-ZA" w:eastAsia="en-US"/>
        </w:rPr>
        <w:tab/>
        <w:t xml:space="preserve">In </w:t>
      </w:r>
      <w:r w:rsidR="0039481F" w:rsidRPr="00182B28">
        <w:rPr>
          <w:rFonts w:eastAsia="Calibri"/>
          <w:i/>
          <w:lang w:val="en-ZA" w:eastAsia="en-US"/>
        </w:rPr>
        <w:t xml:space="preserve">International Trade Administration Commission </w:t>
      </w:r>
      <w:r w:rsidR="00DF2D94" w:rsidRPr="00182B28">
        <w:rPr>
          <w:rFonts w:eastAsia="Calibri"/>
          <w:i/>
          <w:lang w:val="en-ZA" w:eastAsia="en-US"/>
        </w:rPr>
        <w:t>v SCAW South Africa (Pty) Ltd</w:t>
      </w:r>
      <w:r w:rsidR="00A73A84" w:rsidRPr="00182B28">
        <w:rPr>
          <w:rFonts w:eastAsia="Calibri"/>
          <w:lang w:val="en-ZA" w:eastAsia="en-US"/>
        </w:rPr>
        <w:t>,</w:t>
      </w:r>
      <w:r w:rsidR="00CA4404" w:rsidRPr="00182B28">
        <w:rPr>
          <w:rStyle w:val="FootnoteReference"/>
          <w:rFonts w:eastAsia="Calibri"/>
          <w:lang w:val="en-ZA" w:eastAsia="en-US"/>
        </w:rPr>
        <w:footnoteReference w:id="14"/>
      </w:r>
      <w:r w:rsidR="00DF2D94" w:rsidRPr="00182B28">
        <w:rPr>
          <w:rFonts w:eastAsia="Calibri"/>
          <w:lang w:val="en-ZA" w:eastAsia="en-US"/>
        </w:rPr>
        <w:t xml:space="preserve"> the Constitutional Court, in the course of addressing the controversy about whether the order</w:t>
      </w:r>
      <w:r w:rsidR="006D7D1E" w:rsidRPr="00182B28">
        <w:rPr>
          <w:rFonts w:eastAsia="Calibri"/>
          <w:lang w:val="en-ZA" w:eastAsia="en-US"/>
        </w:rPr>
        <w:t xml:space="preserve"> under consideration</w:t>
      </w:r>
      <w:r w:rsidR="00DF2D94" w:rsidRPr="00182B28">
        <w:rPr>
          <w:rFonts w:eastAsia="Calibri"/>
          <w:lang w:val="en-ZA" w:eastAsia="en-US"/>
        </w:rPr>
        <w:t xml:space="preserve"> was appealable, remarked: </w:t>
      </w:r>
    </w:p>
    <w:p w14:paraId="503F1705" w14:textId="1BA59D4A" w:rsidR="00402602" w:rsidRPr="00182B28" w:rsidRDefault="00402602" w:rsidP="00402602">
      <w:pPr>
        <w:rPr>
          <w:sz w:val="22"/>
          <w:szCs w:val="22"/>
          <w:lang w:val="en-ZA" w:eastAsia="en-US"/>
        </w:rPr>
      </w:pPr>
      <w:r w:rsidRPr="00182B28">
        <w:rPr>
          <w:sz w:val="22"/>
          <w:szCs w:val="22"/>
          <w:lang w:val="en-ZA" w:eastAsia="en-US"/>
        </w:rPr>
        <w:t xml:space="preserve">‘In this sense, the jurisprudence of the Supreme Court of Appeal on whether a “judgment or order” is appealable remains an important consideration in assessing where the interests of justice lie. An authoritative restatement of the jurisprudence is to be found in </w:t>
      </w:r>
      <w:r w:rsidRPr="00182B28">
        <w:rPr>
          <w:i/>
          <w:sz w:val="22"/>
          <w:szCs w:val="22"/>
          <w:lang w:val="en-ZA" w:eastAsia="en-US"/>
        </w:rPr>
        <w:t xml:space="preserve">Zweni v Minister of Law and Order </w:t>
      </w:r>
      <w:r w:rsidRPr="00182B28">
        <w:rPr>
          <w:sz w:val="22"/>
          <w:szCs w:val="22"/>
          <w:lang w:val="en-ZA" w:eastAsia="en-US"/>
        </w:rPr>
        <w:t>which has laid down that the decision must be final in effect and not open to alteration by the court of first instance; it must be definitive of the rights of the parties; and lastly, it must have the effect of disposing of at least a substantial portion of the relief claimed in the main proceedings. On these general principles the Supreme Court of Appeal has often held that the grant of an interim interdict is not susceptible to an appeal.</w:t>
      </w:r>
    </w:p>
    <w:p w14:paraId="2738CE85" w14:textId="66077A4D" w:rsidR="00ED6FF3" w:rsidRDefault="00402602" w:rsidP="00402602">
      <w:pPr>
        <w:tabs>
          <w:tab w:val="num" w:pos="650"/>
        </w:tabs>
        <w:rPr>
          <w:sz w:val="22"/>
          <w:szCs w:val="22"/>
          <w:lang w:val="en-ZA" w:eastAsia="en-US"/>
        </w:rPr>
      </w:pPr>
      <w:r w:rsidRPr="00182B28">
        <w:rPr>
          <w:sz w:val="22"/>
          <w:szCs w:val="22"/>
          <w:lang w:val="en-ZA" w:eastAsia="en-US"/>
        </w:rPr>
        <w:t>The “policy considerations” that underlie these principles are self-evident. Courts are loath to encourage wasteful use of judicial resources and of legal costs by allowing appeals against interim orders that have no final effect and that are susceptible to reconsideration by a court</w:t>
      </w:r>
      <w:r w:rsidRPr="00182B28">
        <w:rPr>
          <w:i/>
          <w:sz w:val="22"/>
          <w:szCs w:val="22"/>
          <w:lang w:val="en-ZA" w:eastAsia="en-US"/>
        </w:rPr>
        <w:t xml:space="preserve"> </w:t>
      </w:r>
      <w:r w:rsidRPr="00CE7F16">
        <w:rPr>
          <w:i/>
          <w:sz w:val="22"/>
          <w:szCs w:val="22"/>
          <w:lang w:val="en-ZA" w:eastAsia="en-US"/>
        </w:rPr>
        <w:t>a quo</w:t>
      </w:r>
      <w:r w:rsidRPr="00182B28">
        <w:rPr>
          <w:sz w:val="22"/>
          <w:szCs w:val="22"/>
          <w:lang w:val="en-ZA" w:eastAsia="en-US"/>
        </w:rPr>
        <w:t xml:space="preserve"> when final relief is determined. Also allowing appeals at an interlocutory stage would lead to piecemeal adjudication and delay the final determination of disputes.’</w:t>
      </w:r>
      <w:r w:rsidR="003A062F" w:rsidRPr="00182B28">
        <w:rPr>
          <w:rStyle w:val="FootnoteReference"/>
          <w:sz w:val="22"/>
          <w:szCs w:val="22"/>
          <w:lang w:val="en-ZA" w:eastAsia="en-US"/>
        </w:rPr>
        <w:footnoteReference w:id="15"/>
      </w:r>
      <w:r w:rsidRPr="00182B28">
        <w:rPr>
          <w:sz w:val="22"/>
          <w:szCs w:val="22"/>
          <w:lang w:val="en-ZA" w:eastAsia="en-US"/>
        </w:rPr>
        <w:t xml:space="preserve"> </w:t>
      </w:r>
    </w:p>
    <w:p w14:paraId="47EBCA44" w14:textId="77777777" w:rsidR="009B6F6D" w:rsidRPr="00182B28" w:rsidRDefault="009B6F6D" w:rsidP="00402602">
      <w:pPr>
        <w:tabs>
          <w:tab w:val="num" w:pos="650"/>
        </w:tabs>
        <w:rPr>
          <w:sz w:val="22"/>
          <w:szCs w:val="22"/>
          <w:lang w:val="en-ZA" w:eastAsia="en-US"/>
        </w:rPr>
      </w:pPr>
    </w:p>
    <w:p w14:paraId="116805E4" w14:textId="73DC7626" w:rsidR="00ED6FF3" w:rsidRPr="00182B28" w:rsidRDefault="009B62AA" w:rsidP="00402602">
      <w:pPr>
        <w:tabs>
          <w:tab w:val="num" w:pos="650"/>
        </w:tabs>
        <w:rPr>
          <w:lang w:val="en-ZA" w:eastAsia="en-US"/>
        </w:rPr>
      </w:pPr>
      <w:r w:rsidRPr="00182B28">
        <w:rPr>
          <w:lang w:val="en-ZA" w:eastAsia="en-US"/>
        </w:rPr>
        <w:t>[</w:t>
      </w:r>
      <w:r w:rsidR="00F011E8" w:rsidRPr="00182B28">
        <w:rPr>
          <w:lang w:val="en-ZA" w:eastAsia="en-US"/>
        </w:rPr>
        <w:t>29</w:t>
      </w:r>
      <w:r w:rsidR="00ED6FF3" w:rsidRPr="00182B28">
        <w:rPr>
          <w:lang w:val="en-ZA" w:eastAsia="en-US"/>
        </w:rPr>
        <w:t>]</w:t>
      </w:r>
      <w:r w:rsidR="00ED6FF3" w:rsidRPr="00182B28">
        <w:rPr>
          <w:lang w:val="en-ZA" w:eastAsia="en-US"/>
        </w:rPr>
        <w:tab/>
        <w:t xml:space="preserve">The question before Mangcu-Lockwood AJ was simply whether the appellants </w:t>
      </w:r>
      <w:r w:rsidR="006A719F" w:rsidRPr="00182B28">
        <w:rPr>
          <w:lang w:val="en-ZA" w:eastAsia="en-US"/>
        </w:rPr>
        <w:t>compli</w:t>
      </w:r>
      <w:r w:rsidR="00612984" w:rsidRPr="00182B28">
        <w:rPr>
          <w:lang w:val="en-ZA" w:eastAsia="en-US"/>
        </w:rPr>
        <w:t>ed</w:t>
      </w:r>
      <w:r w:rsidR="006A719F" w:rsidRPr="00182B28">
        <w:rPr>
          <w:lang w:val="en-ZA" w:eastAsia="en-US"/>
        </w:rPr>
        <w:t xml:space="preserve"> with the 2015 order. </w:t>
      </w:r>
      <w:r w:rsidR="00ED6FF3" w:rsidRPr="00182B28">
        <w:rPr>
          <w:lang w:val="en-ZA" w:eastAsia="en-US"/>
        </w:rPr>
        <w:t>Evidently, until the</w:t>
      </w:r>
      <w:r w:rsidR="00873E66" w:rsidRPr="00182B28">
        <w:rPr>
          <w:lang w:val="en-ZA" w:eastAsia="en-US"/>
        </w:rPr>
        <w:t xml:space="preserve"> process ordained in</w:t>
      </w:r>
      <w:r w:rsidR="00ED6FF3" w:rsidRPr="00182B28">
        <w:rPr>
          <w:lang w:val="en-ZA" w:eastAsia="en-US"/>
        </w:rPr>
        <w:t xml:space="preserve"> paragraph 24 </w:t>
      </w:r>
      <w:r w:rsidR="0088589E" w:rsidRPr="00182B28">
        <w:rPr>
          <w:lang w:val="en-ZA" w:eastAsia="en-US"/>
        </w:rPr>
        <w:t>is</w:t>
      </w:r>
      <w:r w:rsidR="00ED6FF3" w:rsidRPr="00182B28">
        <w:rPr>
          <w:lang w:val="en-ZA" w:eastAsia="en-US"/>
        </w:rPr>
        <w:t xml:space="preserve"> completed, the proposed production facility of the appellants </w:t>
      </w:r>
      <w:r w:rsidR="0046224D" w:rsidRPr="00182B28">
        <w:rPr>
          <w:lang w:val="en-ZA" w:eastAsia="en-US"/>
        </w:rPr>
        <w:t xml:space="preserve">will be out of </w:t>
      </w:r>
      <w:r w:rsidR="00ED6FF3" w:rsidRPr="00182B28">
        <w:rPr>
          <w:lang w:val="en-ZA" w:eastAsia="en-US"/>
        </w:rPr>
        <w:t xml:space="preserve">service for the commercial production of auger. Considering </w:t>
      </w:r>
      <w:r w:rsidR="00A274B7" w:rsidRPr="00182B28">
        <w:rPr>
          <w:lang w:val="en-ZA" w:eastAsia="en-US"/>
        </w:rPr>
        <w:t xml:space="preserve">the </w:t>
      </w:r>
      <w:r w:rsidR="00ED6FF3" w:rsidRPr="00182B28">
        <w:rPr>
          <w:lang w:val="en-ZA" w:eastAsia="en-US"/>
        </w:rPr>
        <w:t xml:space="preserve">evidence </w:t>
      </w:r>
      <w:r w:rsidR="00A274B7" w:rsidRPr="00182B28">
        <w:rPr>
          <w:lang w:val="en-ZA" w:eastAsia="en-US"/>
        </w:rPr>
        <w:t>relating to</w:t>
      </w:r>
      <w:r w:rsidR="00ED6FF3" w:rsidRPr="00182B28">
        <w:rPr>
          <w:lang w:val="en-ZA" w:eastAsia="en-US"/>
        </w:rPr>
        <w:t xml:space="preserve"> background facts</w:t>
      </w:r>
      <w:r w:rsidR="008A7FA8" w:rsidRPr="00182B28">
        <w:rPr>
          <w:lang w:val="en-ZA" w:eastAsia="en-US"/>
        </w:rPr>
        <w:t xml:space="preserve"> </w:t>
      </w:r>
      <w:r w:rsidR="006A719F" w:rsidRPr="00182B28">
        <w:rPr>
          <w:lang w:val="en-ZA" w:eastAsia="en-US"/>
        </w:rPr>
        <w:t xml:space="preserve">and </w:t>
      </w:r>
      <w:r w:rsidR="005040A4" w:rsidRPr="00182B28">
        <w:rPr>
          <w:lang w:val="en-ZA" w:eastAsia="en-US"/>
        </w:rPr>
        <w:t xml:space="preserve">‘surrounding circumstances’, it is clear that the 2020 order was not final in effect and was </w:t>
      </w:r>
      <w:r w:rsidR="00A274B7" w:rsidRPr="00182B28">
        <w:rPr>
          <w:lang w:val="en-ZA" w:eastAsia="en-US"/>
        </w:rPr>
        <w:t xml:space="preserve">thus </w:t>
      </w:r>
      <w:r w:rsidR="005040A4" w:rsidRPr="00182B28">
        <w:rPr>
          <w:lang w:val="en-ZA" w:eastAsia="en-US"/>
        </w:rPr>
        <w:t xml:space="preserve">open to </w:t>
      </w:r>
      <w:r w:rsidR="00A274B7" w:rsidRPr="00182B28">
        <w:rPr>
          <w:lang w:val="en-ZA" w:eastAsia="en-US"/>
        </w:rPr>
        <w:t>alteration</w:t>
      </w:r>
      <w:r w:rsidR="005040A4" w:rsidRPr="00182B28">
        <w:rPr>
          <w:lang w:val="en-ZA" w:eastAsia="en-US"/>
        </w:rPr>
        <w:t xml:space="preserve"> by the court of first instance.</w:t>
      </w:r>
      <w:r w:rsidR="00786F22" w:rsidRPr="00182B28">
        <w:rPr>
          <w:lang w:val="en-ZA" w:eastAsia="en-US"/>
        </w:rPr>
        <w:t xml:space="preserve"> All of this means that</w:t>
      </w:r>
      <w:r w:rsidR="00F37813">
        <w:rPr>
          <w:lang w:val="en-ZA" w:eastAsia="en-US"/>
        </w:rPr>
        <w:t>,</w:t>
      </w:r>
      <w:r w:rsidR="00786F22" w:rsidRPr="00182B28">
        <w:rPr>
          <w:lang w:val="en-ZA" w:eastAsia="en-US"/>
        </w:rPr>
        <w:t xml:space="preserve"> in my view, the order of the high court is not appealable. In such an instance, the appropriate order is that </w:t>
      </w:r>
      <w:r w:rsidR="00F37813">
        <w:rPr>
          <w:lang w:val="en-ZA" w:eastAsia="en-US"/>
        </w:rPr>
        <w:t xml:space="preserve">this application </w:t>
      </w:r>
      <w:r w:rsidR="00786F22" w:rsidRPr="00182B28">
        <w:rPr>
          <w:lang w:val="en-ZA" w:eastAsia="en-US"/>
        </w:rPr>
        <w:t>be struck from the roll. As for the question of costs, the failure of the appellants to have the appeal heard requires that they bear the costs jointly and severally.</w:t>
      </w:r>
    </w:p>
    <w:p w14:paraId="5EB6B2AD" w14:textId="77777777" w:rsidR="005040A4" w:rsidRPr="00182B28" w:rsidRDefault="005040A4" w:rsidP="00402602">
      <w:pPr>
        <w:tabs>
          <w:tab w:val="num" w:pos="650"/>
        </w:tabs>
        <w:rPr>
          <w:lang w:val="en-ZA" w:eastAsia="en-US"/>
        </w:rPr>
      </w:pPr>
    </w:p>
    <w:p w14:paraId="21F16F31" w14:textId="7F8A2C14" w:rsidR="005040A4" w:rsidRPr="00182B28" w:rsidRDefault="009B62AA" w:rsidP="00402602">
      <w:pPr>
        <w:tabs>
          <w:tab w:val="num" w:pos="650"/>
        </w:tabs>
        <w:rPr>
          <w:lang w:val="en-ZA" w:eastAsia="en-US"/>
        </w:rPr>
      </w:pPr>
      <w:r w:rsidRPr="00182B28">
        <w:rPr>
          <w:lang w:val="en-ZA" w:eastAsia="en-US"/>
        </w:rPr>
        <w:t>[</w:t>
      </w:r>
      <w:r w:rsidR="00F011E8" w:rsidRPr="00182B28">
        <w:rPr>
          <w:lang w:val="en-ZA" w:eastAsia="en-US"/>
        </w:rPr>
        <w:t>30</w:t>
      </w:r>
      <w:r w:rsidR="005040A4" w:rsidRPr="00182B28">
        <w:rPr>
          <w:lang w:val="en-ZA" w:eastAsia="en-US"/>
        </w:rPr>
        <w:t>]</w:t>
      </w:r>
      <w:r w:rsidR="005040A4" w:rsidRPr="00182B28">
        <w:rPr>
          <w:lang w:val="en-ZA" w:eastAsia="en-US"/>
        </w:rPr>
        <w:tab/>
      </w:r>
      <w:r w:rsidRPr="00182B28">
        <w:rPr>
          <w:lang w:val="en-ZA" w:eastAsia="en-US"/>
        </w:rPr>
        <w:t>In</w:t>
      </w:r>
      <w:r w:rsidR="005040A4" w:rsidRPr="00182B28">
        <w:rPr>
          <w:lang w:val="en-ZA" w:eastAsia="en-US"/>
        </w:rPr>
        <w:t xml:space="preserve"> the circumstances, </w:t>
      </w:r>
      <w:r w:rsidR="00F37813">
        <w:rPr>
          <w:lang w:val="en-ZA" w:eastAsia="en-US"/>
        </w:rPr>
        <w:t>I make the following order:</w:t>
      </w:r>
    </w:p>
    <w:p w14:paraId="46436432" w14:textId="77777777" w:rsidR="005040A4" w:rsidRPr="00182B28" w:rsidRDefault="005040A4" w:rsidP="00402602">
      <w:pPr>
        <w:tabs>
          <w:tab w:val="num" w:pos="650"/>
        </w:tabs>
        <w:rPr>
          <w:lang w:val="en-ZA" w:eastAsia="en-US"/>
        </w:rPr>
      </w:pPr>
      <w:r w:rsidRPr="00182B28">
        <w:rPr>
          <w:lang w:val="en-ZA" w:eastAsia="en-US"/>
        </w:rPr>
        <w:t>1</w:t>
      </w:r>
      <w:r w:rsidRPr="00182B28">
        <w:rPr>
          <w:lang w:val="en-ZA" w:eastAsia="en-US"/>
        </w:rPr>
        <w:tab/>
        <w:t>The appeal is struck from the roll.</w:t>
      </w:r>
    </w:p>
    <w:p w14:paraId="7F07AAFB" w14:textId="7FD708D6" w:rsidR="00A70FBF" w:rsidRDefault="005040A4" w:rsidP="00CE7F16">
      <w:pPr>
        <w:tabs>
          <w:tab w:val="num" w:pos="650"/>
        </w:tabs>
        <w:ind w:left="645" w:hanging="645"/>
        <w:rPr>
          <w:lang w:val="en-ZA" w:eastAsia="en-US"/>
        </w:rPr>
      </w:pPr>
      <w:r w:rsidRPr="00182B28">
        <w:rPr>
          <w:lang w:val="en-ZA" w:eastAsia="en-US"/>
        </w:rPr>
        <w:t>2</w:t>
      </w:r>
      <w:r w:rsidRPr="00182B28">
        <w:rPr>
          <w:lang w:val="en-ZA" w:eastAsia="en-US"/>
        </w:rPr>
        <w:tab/>
        <w:t>The appellant</w:t>
      </w:r>
      <w:r w:rsidR="006A719F" w:rsidRPr="00182B28">
        <w:rPr>
          <w:lang w:val="en-ZA" w:eastAsia="en-US"/>
        </w:rPr>
        <w:t>s</w:t>
      </w:r>
      <w:r w:rsidRPr="00182B28">
        <w:rPr>
          <w:lang w:val="en-ZA" w:eastAsia="en-US"/>
        </w:rPr>
        <w:t xml:space="preserve"> </w:t>
      </w:r>
      <w:r w:rsidR="00786F22" w:rsidRPr="00182B28">
        <w:rPr>
          <w:lang w:val="en-ZA" w:eastAsia="en-US"/>
        </w:rPr>
        <w:t xml:space="preserve">shall </w:t>
      </w:r>
      <w:r w:rsidR="009B62AA" w:rsidRPr="00182B28">
        <w:rPr>
          <w:lang w:eastAsia="en-US"/>
        </w:rPr>
        <w:t xml:space="preserve">jointly and severally </w:t>
      </w:r>
      <w:r w:rsidRPr="00182B28">
        <w:rPr>
          <w:lang w:val="en-ZA" w:eastAsia="en-US"/>
        </w:rPr>
        <w:t>bear the respondents’ costs</w:t>
      </w:r>
      <w:r w:rsidR="00A274B7" w:rsidRPr="00182B28">
        <w:rPr>
          <w:lang w:val="en-ZA" w:eastAsia="en-US"/>
        </w:rPr>
        <w:t>,</w:t>
      </w:r>
      <w:r w:rsidR="00786F22" w:rsidRPr="00182B28">
        <w:rPr>
          <w:lang w:val="en-ZA" w:eastAsia="en-US"/>
        </w:rPr>
        <w:t xml:space="preserve"> the one paying the others to be absolved,</w:t>
      </w:r>
      <w:r w:rsidRPr="00182B28">
        <w:rPr>
          <w:lang w:val="en-ZA" w:eastAsia="en-US"/>
        </w:rPr>
        <w:t xml:space="preserve"> including the costs of two counsel.</w:t>
      </w:r>
    </w:p>
    <w:p w14:paraId="26D9890B" w14:textId="77777777" w:rsidR="00F37813" w:rsidRPr="00182B28" w:rsidRDefault="00F37813" w:rsidP="00CE7F16">
      <w:pPr>
        <w:tabs>
          <w:tab w:val="num" w:pos="650"/>
        </w:tabs>
        <w:ind w:left="645" w:hanging="645"/>
        <w:rPr>
          <w:lang w:val="en-ZA" w:eastAsia="en-US"/>
        </w:rPr>
      </w:pPr>
    </w:p>
    <w:p w14:paraId="17317F5C" w14:textId="77777777" w:rsidR="00411F82" w:rsidRPr="00182B28" w:rsidRDefault="00411F82" w:rsidP="00A064CA">
      <w:pPr>
        <w:tabs>
          <w:tab w:val="num" w:pos="650"/>
        </w:tabs>
        <w:rPr>
          <w:rFonts w:eastAsia="Calibri"/>
          <w:lang w:val="en-US" w:eastAsia="en-US"/>
        </w:rPr>
      </w:pPr>
    </w:p>
    <w:p w14:paraId="60EFB879" w14:textId="77777777" w:rsidR="00F23192" w:rsidRPr="00182B28" w:rsidRDefault="00F23192" w:rsidP="00411F82">
      <w:pPr>
        <w:spacing w:after="160"/>
        <w:contextualSpacing/>
        <w:jc w:val="right"/>
        <w:rPr>
          <w:rFonts w:eastAsia="Calibri"/>
          <w:lang w:val="en-US" w:eastAsia="en-US"/>
        </w:rPr>
      </w:pPr>
      <w:r w:rsidRPr="00182B28">
        <w:rPr>
          <w:rFonts w:eastAsia="Calibri"/>
          <w:lang w:val="en-US" w:eastAsia="en-US"/>
        </w:rPr>
        <w:t>___________________</w:t>
      </w:r>
    </w:p>
    <w:p w14:paraId="6784E1CE" w14:textId="77777777" w:rsidR="00F23192" w:rsidRPr="00182B28" w:rsidRDefault="00411F82" w:rsidP="00411F82">
      <w:pPr>
        <w:spacing w:after="160"/>
        <w:contextualSpacing/>
        <w:jc w:val="right"/>
        <w:rPr>
          <w:rFonts w:eastAsia="Calibri"/>
          <w:bCs/>
          <w:lang w:val="en-US" w:eastAsia="en-US"/>
        </w:rPr>
      </w:pPr>
      <w:r w:rsidRPr="00182B28">
        <w:rPr>
          <w:rFonts w:eastAsia="Calibri"/>
          <w:bCs/>
          <w:lang w:val="en-US" w:eastAsia="en-US"/>
        </w:rPr>
        <w:t>DS MOLEFE</w:t>
      </w:r>
    </w:p>
    <w:p w14:paraId="6607A807" w14:textId="5D93BE04" w:rsidR="009F7337" w:rsidRPr="00182B28" w:rsidRDefault="00411F82" w:rsidP="002B1FA6">
      <w:pPr>
        <w:spacing w:after="160"/>
        <w:contextualSpacing/>
        <w:jc w:val="right"/>
        <w:rPr>
          <w:rFonts w:eastAsia="Calibri"/>
          <w:lang w:val="en-US" w:eastAsia="en-US"/>
        </w:rPr>
      </w:pPr>
      <w:r w:rsidRPr="00182B28">
        <w:rPr>
          <w:rFonts w:eastAsia="Calibri"/>
          <w:lang w:val="en-US" w:eastAsia="en-US"/>
        </w:rPr>
        <w:t>ACTING JUDGE OF APPEAL</w:t>
      </w:r>
    </w:p>
    <w:p w14:paraId="48E50E5B" w14:textId="16649992" w:rsidR="00A274B7" w:rsidRPr="00182B28" w:rsidRDefault="00A274B7">
      <w:pPr>
        <w:jc w:val="left"/>
        <w:rPr>
          <w:rFonts w:eastAsia="Calibri"/>
          <w:lang w:val="en-US" w:eastAsia="en-US"/>
        </w:rPr>
      </w:pPr>
      <w:r w:rsidRPr="00182B28">
        <w:rPr>
          <w:rFonts w:eastAsia="Calibri"/>
          <w:lang w:val="en-US" w:eastAsia="en-US"/>
        </w:rPr>
        <w:br w:type="page"/>
      </w:r>
    </w:p>
    <w:p w14:paraId="2C6427B8" w14:textId="77777777" w:rsidR="00A274B7" w:rsidRPr="00182B28" w:rsidRDefault="00A274B7" w:rsidP="002B1FA6">
      <w:pPr>
        <w:spacing w:after="160"/>
        <w:contextualSpacing/>
        <w:jc w:val="right"/>
        <w:rPr>
          <w:rFonts w:eastAsia="Calibri"/>
          <w:lang w:val="en-US" w:eastAsia="en-US"/>
        </w:rPr>
      </w:pPr>
    </w:p>
    <w:p w14:paraId="4EC60F93" w14:textId="77777777" w:rsidR="00F23192" w:rsidRPr="00182B28" w:rsidRDefault="00D1381A" w:rsidP="00F23192">
      <w:pPr>
        <w:spacing w:after="160"/>
        <w:contextualSpacing/>
        <w:rPr>
          <w:rFonts w:eastAsia="Calibri"/>
          <w:lang w:eastAsia="en-US"/>
        </w:rPr>
      </w:pPr>
      <w:r w:rsidRPr="00182B28">
        <w:rPr>
          <w:rFonts w:eastAsia="Calibri"/>
          <w:lang w:eastAsia="en-US"/>
        </w:rPr>
        <w:t>Appearances</w:t>
      </w:r>
    </w:p>
    <w:p w14:paraId="1F505DFC" w14:textId="77777777" w:rsidR="00F23192" w:rsidRPr="00182B28" w:rsidRDefault="00F23192" w:rsidP="00F23192">
      <w:pPr>
        <w:spacing w:after="160"/>
        <w:contextualSpacing/>
        <w:rPr>
          <w:rFonts w:eastAsia="Calibri"/>
          <w:lang w:eastAsia="en-US"/>
        </w:rPr>
      </w:pPr>
    </w:p>
    <w:p w14:paraId="69324F61" w14:textId="133961D5" w:rsidR="00F23192" w:rsidRPr="00182B28" w:rsidRDefault="00F23192" w:rsidP="00F23192">
      <w:pPr>
        <w:spacing w:after="160"/>
        <w:contextualSpacing/>
        <w:rPr>
          <w:rFonts w:eastAsia="Calibri"/>
          <w:lang w:eastAsia="en-US"/>
        </w:rPr>
      </w:pPr>
      <w:r w:rsidRPr="00182B28">
        <w:rPr>
          <w:rFonts w:eastAsia="Calibri"/>
          <w:lang w:eastAsia="en-US"/>
        </w:rPr>
        <w:t xml:space="preserve">For </w:t>
      </w:r>
      <w:r w:rsidR="00786F22" w:rsidRPr="00182B28">
        <w:rPr>
          <w:rFonts w:eastAsia="Calibri"/>
          <w:lang w:eastAsia="en-US"/>
        </w:rPr>
        <w:t xml:space="preserve">the </w:t>
      </w:r>
      <w:r w:rsidRPr="00182B28">
        <w:rPr>
          <w:rFonts w:eastAsia="Calibri"/>
          <w:lang w:eastAsia="en-US"/>
        </w:rPr>
        <w:t>appellant</w:t>
      </w:r>
      <w:r w:rsidR="00786F22" w:rsidRPr="00182B28">
        <w:rPr>
          <w:rFonts w:eastAsia="Calibri"/>
          <w:lang w:eastAsia="en-US"/>
        </w:rPr>
        <w:t>s</w:t>
      </w:r>
      <w:r w:rsidRPr="00182B28">
        <w:rPr>
          <w:rFonts w:eastAsia="Calibri"/>
          <w:lang w:eastAsia="en-US"/>
        </w:rPr>
        <w:t>:</w:t>
      </w:r>
      <w:r w:rsidRPr="00182B28">
        <w:rPr>
          <w:rFonts w:eastAsia="Calibri"/>
          <w:lang w:eastAsia="en-US"/>
        </w:rPr>
        <w:tab/>
      </w:r>
      <w:r w:rsidRPr="00182B28">
        <w:rPr>
          <w:rFonts w:eastAsia="Calibri"/>
          <w:lang w:eastAsia="en-US"/>
        </w:rPr>
        <w:tab/>
      </w:r>
      <w:r w:rsidRPr="00182B28">
        <w:rPr>
          <w:rFonts w:eastAsia="Calibri"/>
          <w:lang w:eastAsia="en-US"/>
        </w:rPr>
        <w:tab/>
      </w:r>
      <w:r w:rsidRPr="00182B28">
        <w:rPr>
          <w:rFonts w:eastAsia="Calibri"/>
          <w:lang w:eastAsia="en-US"/>
        </w:rPr>
        <w:tab/>
      </w:r>
      <w:r w:rsidR="00411F82" w:rsidRPr="00182B28">
        <w:rPr>
          <w:rFonts w:eastAsia="Calibri"/>
          <w:bCs/>
          <w:lang w:eastAsia="en-US"/>
        </w:rPr>
        <w:t>G S Myburgh SC</w:t>
      </w:r>
      <w:r w:rsidRPr="00182B28">
        <w:rPr>
          <w:rFonts w:eastAsia="Calibri"/>
          <w:lang w:eastAsia="en-US"/>
        </w:rPr>
        <w:t xml:space="preserve"> </w:t>
      </w:r>
      <w:r w:rsidR="00F37813">
        <w:rPr>
          <w:rFonts w:eastAsia="Calibri"/>
          <w:lang w:eastAsia="en-US"/>
        </w:rPr>
        <w:t xml:space="preserve">appearing </w:t>
      </w:r>
      <w:r w:rsidR="00411F82" w:rsidRPr="00182B28">
        <w:rPr>
          <w:rFonts w:eastAsia="Calibri"/>
          <w:bCs/>
          <w:lang w:eastAsia="en-US"/>
        </w:rPr>
        <w:t>R</w:t>
      </w:r>
      <w:r w:rsidR="006A72D9" w:rsidRPr="00182B28">
        <w:rPr>
          <w:rFonts w:eastAsia="Calibri"/>
          <w:bCs/>
          <w:lang w:eastAsia="en-US"/>
        </w:rPr>
        <w:t xml:space="preserve"> D E</w:t>
      </w:r>
      <w:r w:rsidR="00411F82" w:rsidRPr="00182B28">
        <w:rPr>
          <w:rFonts w:eastAsia="Calibri"/>
          <w:bCs/>
          <w:lang w:eastAsia="en-US"/>
        </w:rPr>
        <w:t xml:space="preserve"> Gordon</w:t>
      </w:r>
    </w:p>
    <w:p w14:paraId="4A1C3D57" w14:textId="77777777" w:rsidR="00F23192" w:rsidRPr="00182B28" w:rsidRDefault="00F23192" w:rsidP="00F23192">
      <w:pPr>
        <w:spacing w:after="160"/>
        <w:contextualSpacing/>
        <w:rPr>
          <w:rFonts w:eastAsia="Calibri"/>
          <w:bCs/>
          <w:lang w:eastAsia="en-US"/>
        </w:rPr>
      </w:pPr>
      <w:r w:rsidRPr="00182B28">
        <w:rPr>
          <w:rFonts w:eastAsia="Calibri"/>
          <w:bCs/>
          <w:lang w:eastAsia="en-US"/>
        </w:rPr>
        <w:t>Instructed by:</w:t>
      </w: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r>
      <w:r w:rsidR="00411F82" w:rsidRPr="00182B28">
        <w:rPr>
          <w:rFonts w:eastAsia="Calibri"/>
          <w:bCs/>
          <w:lang w:eastAsia="en-US"/>
        </w:rPr>
        <w:t>Faure &amp; Faure Inc</w:t>
      </w:r>
      <w:r w:rsidRPr="00182B28">
        <w:rPr>
          <w:rFonts w:eastAsia="Calibri"/>
          <w:bCs/>
          <w:lang w:eastAsia="en-US"/>
        </w:rPr>
        <w:t>.</w:t>
      </w:r>
      <w:r w:rsidR="00B401D0" w:rsidRPr="00182B28">
        <w:rPr>
          <w:rFonts w:eastAsia="Calibri"/>
          <w:bCs/>
          <w:lang w:eastAsia="en-US"/>
        </w:rPr>
        <w:t>,</w:t>
      </w:r>
      <w:r w:rsidR="00856302" w:rsidRPr="00182B28">
        <w:rPr>
          <w:rFonts w:eastAsia="Calibri"/>
          <w:bCs/>
          <w:lang w:eastAsia="en-US"/>
        </w:rPr>
        <w:t xml:space="preserve"> Paarl</w:t>
      </w:r>
    </w:p>
    <w:p w14:paraId="386A0B2C" w14:textId="0D35A651" w:rsidR="00F23192" w:rsidRPr="00182B28" w:rsidRDefault="00856302" w:rsidP="00F23192">
      <w:pPr>
        <w:spacing w:after="160"/>
        <w:contextualSpacing/>
        <w:rPr>
          <w:rFonts w:eastAsia="Calibri"/>
          <w:bCs/>
          <w:lang w:eastAsia="en-US"/>
        </w:rPr>
      </w:pP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t xml:space="preserve">Symington </w:t>
      </w:r>
      <w:r w:rsidR="00A274B7" w:rsidRPr="00182B28">
        <w:rPr>
          <w:rFonts w:eastAsia="Calibri"/>
          <w:bCs/>
          <w:lang w:eastAsia="en-US"/>
        </w:rPr>
        <w:t>De Kok Attorneys, Bloemfontein</w:t>
      </w:r>
    </w:p>
    <w:p w14:paraId="573B6549" w14:textId="77777777" w:rsidR="00856302" w:rsidRPr="00182B28" w:rsidRDefault="00856302" w:rsidP="00F23192">
      <w:pPr>
        <w:spacing w:after="160"/>
        <w:contextualSpacing/>
        <w:rPr>
          <w:rFonts w:eastAsia="Calibri"/>
          <w:bCs/>
          <w:lang w:eastAsia="en-US"/>
        </w:rPr>
      </w:pPr>
    </w:p>
    <w:p w14:paraId="1CA9743E" w14:textId="1001A0B9" w:rsidR="00F23192" w:rsidRPr="00182B28" w:rsidRDefault="00F23192" w:rsidP="00CE7F16">
      <w:pPr>
        <w:spacing w:after="160"/>
        <w:ind w:left="4320" w:hanging="4320"/>
        <w:contextualSpacing/>
        <w:rPr>
          <w:rFonts w:eastAsia="Calibri"/>
          <w:bCs/>
          <w:lang w:eastAsia="en-US"/>
        </w:rPr>
      </w:pPr>
      <w:r w:rsidRPr="00182B28">
        <w:rPr>
          <w:rFonts w:eastAsia="Calibri"/>
          <w:bCs/>
          <w:lang w:eastAsia="en-US"/>
        </w:rPr>
        <w:t>For the first respondent:</w:t>
      </w:r>
      <w:r w:rsidRPr="00182B28">
        <w:rPr>
          <w:rFonts w:eastAsia="Calibri"/>
          <w:bCs/>
          <w:lang w:eastAsia="en-US"/>
        </w:rPr>
        <w:tab/>
      </w:r>
      <w:r w:rsidR="00411F82" w:rsidRPr="00182B28">
        <w:rPr>
          <w:rFonts w:eastAsia="Calibri"/>
          <w:bCs/>
          <w:lang w:eastAsia="en-US"/>
        </w:rPr>
        <w:t xml:space="preserve">R </w:t>
      </w:r>
      <w:r w:rsidR="00F37813">
        <w:rPr>
          <w:rFonts w:eastAsia="Calibri"/>
          <w:bCs/>
          <w:lang w:eastAsia="en-US"/>
        </w:rPr>
        <w:t xml:space="preserve">M </w:t>
      </w:r>
      <w:r w:rsidR="00411F82" w:rsidRPr="00182B28">
        <w:rPr>
          <w:rFonts w:eastAsia="Calibri"/>
          <w:bCs/>
          <w:lang w:eastAsia="en-US"/>
        </w:rPr>
        <w:t xml:space="preserve">Robinson SC </w:t>
      </w:r>
      <w:r w:rsidR="00F37813">
        <w:rPr>
          <w:rFonts w:eastAsia="Calibri"/>
          <w:bCs/>
          <w:lang w:eastAsia="en-US"/>
        </w:rPr>
        <w:t xml:space="preserve">appearing </w:t>
      </w:r>
      <w:r w:rsidRPr="00182B28">
        <w:rPr>
          <w:rFonts w:eastAsia="Calibri"/>
          <w:bCs/>
          <w:lang w:eastAsia="en-US"/>
        </w:rPr>
        <w:t xml:space="preserve">with </w:t>
      </w:r>
      <w:r w:rsidR="00411F82" w:rsidRPr="00182B28">
        <w:rPr>
          <w:rFonts w:eastAsia="Calibri"/>
          <w:bCs/>
          <w:lang w:eastAsia="en-US"/>
        </w:rPr>
        <w:t xml:space="preserve">F </w:t>
      </w:r>
      <w:r w:rsidR="00F37813">
        <w:rPr>
          <w:rFonts w:eastAsia="Calibri"/>
          <w:bCs/>
          <w:lang w:eastAsia="en-US"/>
        </w:rPr>
        <w:t xml:space="preserve">W </w:t>
      </w:r>
      <w:r w:rsidR="00411F82" w:rsidRPr="00182B28">
        <w:rPr>
          <w:rFonts w:eastAsia="Calibri"/>
          <w:bCs/>
          <w:lang w:eastAsia="en-US"/>
        </w:rPr>
        <w:t>Landman</w:t>
      </w:r>
      <w:r w:rsidR="00F37813">
        <w:rPr>
          <w:rFonts w:eastAsia="Calibri"/>
          <w:bCs/>
          <w:lang w:eastAsia="en-US"/>
        </w:rPr>
        <w:t xml:space="preserve"> and M de Wet</w:t>
      </w:r>
    </w:p>
    <w:p w14:paraId="2BDD3662" w14:textId="5A60CBE1" w:rsidR="00F23192" w:rsidRPr="00182B28" w:rsidRDefault="00F23192" w:rsidP="00F23192">
      <w:pPr>
        <w:spacing w:after="160"/>
        <w:contextualSpacing/>
        <w:rPr>
          <w:rFonts w:eastAsia="Calibri"/>
          <w:bCs/>
          <w:lang w:eastAsia="en-US"/>
        </w:rPr>
      </w:pPr>
      <w:r w:rsidRPr="00182B28">
        <w:rPr>
          <w:rFonts w:eastAsia="Calibri"/>
          <w:bCs/>
          <w:lang w:eastAsia="en-US"/>
        </w:rPr>
        <w:t>Instructed by:</w:t>
      </w:r>
      <w:r w:rsidRPr="00182B28">
        <w:rPr>
          <w:rFonts w:eastAsia="Calibri"/>
          <w:bCs/>
          <w:lang w:eastAsia="en-US"/>
        </w:rPr>
        <w:tab/>
      </w:r>
      <w:r w:rsidRPr="00182B28">
        <w:rPr>
          <w:rFonts w:eastAsia="Calibri"/>
          <w:bCs/>
          <w:lang w:eastAsia="en-US"/>
        </w:rPr>
        <w:tab/>
      </w:r>
      <w:r w:rsidRPr="00182B28">
        <w:rPr>
          <w:rFonts w:eastAsia="Calibri"/>
          <w:bCs/>
          <w:lang w:eastAsia="en-US"/>
        </w:rPr>
        <w:tab/>
      </w:r>
      <w:r w:rsidR="00F37813">
        <w:rPr>
          <w:rFonts w:eastAsia="Calibri"/>
          <w:bCs/>
          <w:lang w:eastAsia="en-US"/>
        </w:rPr>
        <w:tab/>
      </w:r>
      <w:r w:rsidR="00411F82" w:rsidRPr="00182B28">
        <w:rPr>
          <w:rFonts w:eastAsia="Calibri"/>
          <w:bCs/>
          <w:lang w:eastAsia="en-US"/>
        </w:rPr>
        <w:t>Nabal Attorneys</w:t>
      </w:r>
      <w:r w:rsidR="00B401D0" w:rsidRPr="00182B28">
        <w:rPr>
          <w:rFonts w:eastAsia="Calibri"/>
          <w:bCs/>
          <w:lang w:eastAsia="en-US"/>
        </w:rPr>
        <w:t>,</w:t>
      </w:r>
      <w:r w:rsidR="00856302" w:rsidRPr="00182B28">
        <w:rPr>
          <w:rFonts w:eastAsia="Calibri"/>
          <w:bCs/>
          <w:lang w:eastAsia="en-US"/>
        </w:rPr>
        <w:t xml:space="preserve"> Durbanville</w:t>
      </w:r>
    </w:p>
    <w:p w14:paraId="607C087E" w14:textId="76FDAD4D" w:rsidR="00856302" w:rsidRPr="00AC7A6F" w:rsidRDefault="00856302" w:rsidP="00F23192">
      <w:pPr>
        <w:spacing w:after="160"/>
        <w:contextualSpacing/>
        <w:rPr>
          <w:rFonts w:eastAsia="Calibri"/>
          <w:bCs/>
          <w:lang w:eastAsia="en-US"/>
        </w:rPr>
      </w:pP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r>
      <w:r w:rsidRPr="00182B28">
        <w:rPr>
          <w:rFonts w:eastAsia="Calibri"/>
          <w:bCs/>
          <w:lang w:eastAsia="en-US"/>
        </w:rPr>
        <w:tab/>
        <w:t>Webbers Attorneys, Bloemfontein</w:t>
      </w:r>
      <w:r w:rsidR="00F37813">
        <w:rPr>
          <w:rFonts w:eastAsia="Calibri"/>
          <w:bCs/>
          <w:lang w:eastAsia="en-US"/>
        </w:rPr>
        <w:t>.</w:t>
      </w:r>
    </w:p>
    <w:p w14:paraId="115EC123" w14:textId="77777777" w:rsidR="00F23192" w:rsidRPr="00AC7A6F" w:rsidRDefault="00F23192" w:rsidP="006F2462">
      <w:pPr>
        <w:spacing w:after="160"/>
        <w:contextualSpacing/>
        <w:rPr>
          <w:rFonts w:eastAsia="Calibri"/>
          <w:lang w:val="en-ZA" w:eastAsia="en-US"/>
        </w:rPr>
      </w:pPr>
    </w:p>
    <w:sectPr w:rsidR="00F23192" w:rsidRPr="00AC7A6F" w:rsidSect="009D7292">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B3C7" w14:textId="77777777" w:rsidR="002A0BB4" w:rsidRDefault="002A0BB4" w:rsidP="008B1580">
      <w:r>
        <w:separator/>
      </w:r>
    </w:p>
  </w:endnote>
  <w:endnote w:type="continuationSeparator" w:id="0">
    <w:p w14:paraId="53B18023" w14:textId="77777777" w:rsidR="002A0BB4" w:rsidRDefault="002A0BB4"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D29B" w14:textId="77777777" w:rsidR="002A0BB4" w:rsidRDefault="002A0BB4" w:rsidP="008B1580">
      <w:r>
        <w:separator/>
      </w:r>
    </w:p>
  </w:footnote>
  <w:footnote w:type="continuationSeparator" w:id="0">
    <w:p w14:paraId="510BDE5B" w14:textId="77777777" w:rsidR="002A0BB4" w:rsidRDefault="002A0BB4" w:rsidP="008B1580">
      <w:r>
        <w:continuationSeparator/>
      </w:r>
    </w:p>
  </w:footnote>
  <w:footnote w:id="1">
    <w:p w14:paraId="5128B0A0" w14:textId="77777777" w:rsidR="00972C9C" w:rsidRPr="00445A57" w:rsidRDefault="00972C9C" w:rsidP="00CE7F16">
      <w:pPr>
        <w:pStyle w:val="FootnoteText"/>
        <w:spacing w:line="240" w:lineRule="auto"/>
      </w:pPr>
      <w:r w:rsidRPr="00445A57">
        <w:rPr>
          <w:rStyle w:val="FootnoteReference"/>
        </w:rPr>
        <w:footnoteRef/>
      </w:r>
      <w:r w:rsidRPr="00445A57">
        <w:t xml:space="preserve"> The meaning of ‘commission’ is:</w:t>
      </w:r>
    </w:p>
    <w:p w14:paraId="210CC3BE" w14:textId="07156410" w:rsidR="00972C9C" w:rsidRPr="00CE7F16" w:rsidRDefault="001A6B5A" w:rsidP="001A6B5A">
      <w:pPr>
        <w:pStyle w:val="FootnoteText"/>
        <w:spacing w:line="240" w:lineRule="auto"/>
        <w:rPr>
          <w:color w:val="FF0000"/>
        </w:rPr>
      </w:pPr>
      <w:r w:rsidRPr="002C4BCE">
        <w:t xml:space="preserve">‘order or authorize the production of [something, such as a building, piece of equipment etc]; order or authorise (someone) to do r produce something.’ </w:t>
      </w:r>
      <w:r w:rsidR="00972C9C" w:rsidRPr="002C4BCE">
        <w:t>(</w:t>
      </w:r>
      <w:r w:rsidR="002C4BCE" w:rsidRPr="002C4BCE">
        <w:t xml:space="preserve">Concise Oxford English Dictionary 12 </w:t>
      </w:r>
      <w:r w:rsidR="002C4BCE" w:rsidRPr="002C4BCE">
        <w:rPr>
          <w:i/>
        </w:rPr>
        <w:t>ed</w:t>
      </w:r>
      <w:r w:rsidR="002C4BCE" w:rsidRPr="002C4BCE">
        <w:t xml:space="preserve"> (2011)</w:t>
      </w:r>
      <w:r w:rsidR="00972C9C" w:rsidRPr="002C4BCE">
        <w:t>)</w:t>
      </w:r>
    </w:p>
  </w:footnote>
  <w:footnote w:id="2">
    <w:p w14:paraId="033616D3" w14:textId="3E2B762B" w:rsidR="00972C9C" w:rsidRPr="00445A57" w:rsidRDefault="00972C9C" w:rsidP="00CE7F16">
      <w:pPr>
        <w:pStyle w:val="FootnoteText"/>
        <w:spacing w:line="240" w:lineRule="auto"/>
        <w:rPr>
          <w:i/>
          <w:lang w:val="en-ZA"/>
        </w:rPr>
      </w:pPr>
      <w:r w:rsidRPr="00445A57">
        <w:rPr>
          <w:rStyle w:val="FootnoteReference"/>
        </w:rPr>
        <w:footnoteRef/>
      </w:r>
      <w:r w:rsidRPr="00445A57">
        <w:t xml:space="preserve"> </w:t>
      </w:r>
      <w:r w:rsidR="005070AC">
        <w:t xml:space="preserve">See </w:t>
      </w:r>
      <w:r w:rsidRPr="00445A57">
        <w:rPr>
          <w:i/>
          <w:lang w:val="en-ZA"/>
        </w:rPr>
        <w:t xml:space="preserve">Pepkor Holdings Ltd and Others v AJVH Holdings (Pty) Ltd and Others; Steinhoff International Holdings NV and Another v AJVH Holdings (Pty) Ltd and Others </w:t>
      </w:r>
      <w:r w:rsidRPr="00445A57">
        <w:rPr>
          <w:lang w:val="en-ZA"/>
        </w:rPr>
        <w:t>[2020] ZASCA 134; [2021] 1 All SA 42 (SCA); 2021 (5) SA 115 (SCA)</w:t>
      </w:r>
      <w:r w:rsidRPr="00445A57">
        <w:rPr>
          <w:i/>
          <w:lang w:val="en-ZA"/>
        </w:rPr>
        <w:t xml:space="preserve"> </w:t>
      </w:r>
      <w:r w:rsidRPr="00445A57">
        <w:rPr>
          <w:lang w:val="en-ZA"/>
        </w:rPr>
        <w:t>para 49</w:t>
      </w:r>
      <w:r w:rsidR="005070AC">
        <w:rPr>
          <w:lang w:val="en-ZA"/>
        </w:rPr>
        <w:t xml:space="preserve"> </w:t>
      </w:r>
    </w:p>
  </w:footnote>
  <w:footnote w:id="3">
    <w:p w14:paraId="4D163D3F" w14:textId="7E791C2A"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Johannesburg Society of Advocates and Another v Nthai and Others</w:t>
      </w:r>
      <w:r w:rsidRPr="00445A57">
        <w:rPr>
          <w:lang w:val="en-ZA"/>
        </w:rPr>
        <w:t xml:space="preserve"> [2020] ZASCA 171; 2021 (2) SA 343 (SCA); [2021] 2 All SA 37 (SCA), the Supreme Court of Appeal refused to receive further evidence which amounted to </w:t>
      </w:r>
      <w:r w:rsidRPr="00445A57">
        <w:t xml:space="preserve">mere surplusage </w:t>
      </w:r>
      <w:r w:rsidRPr="00445A57">
        <w:rPr>
          <w:lang w:val="en-ZA"/>
        </w:rPr>
        <w:t>para 115.</w:t>
      </w:r>
    </w:p>
  </w:footnote>
  <w:footnote w:id="4">
    <w:p w14:paraId="69387440" w14:textId="073A7943"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rPr>
        <w:t>Goudini Chrome (Pty) Ltd v MCC Contracts (Pty) Ltd</w:t>
      </w:r>
      <w:r w:rsidRPr="00445A57">
        <w:t xml:space="preserve"> </w:t>
      </w:r>
      <w:r w:rsidR="00B94C03" w:rsidRPr="00445A57">
        <w:t>[1993] 1 All SA 259 (A)</w:t>
      </w:r>
      <w:r w:rsidRPr="00445A57">
        <w:t>; 1993 (1) SA 77 (A).</w:t>
      </w:r>
    </w:p>
  </w:footnote>
  <w:footnote w:id="5">
    <w:p w14:paraId="35D0AE57" w14:textId="694AB882"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Weber-Stephen Products Co v Alrite Engineering (Pty) Ltd and Others</w:t>
      </w:r>
      <w:r w:rsidRPr="00445A57">
        <w:rPr>
          <w:lang w:val="en-ZA"/>
        </w:rPr>
        <w:t xml:space="preserve"> [1992] 4 All SA 453 (A); 1992 (2) SA 489 (A) at 507D.</w:t>
      </w:r>
    </w:p>
  </w:footnote>
  <w:footnote w:id="6">
    <w:p w14:paraId="21BD1972" w14:textId="09ECDD9C"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Rail Commuters Action Group and Others v Transnet Ltd t/a Metrorail</w:t>
      </w:r>
      <w:r w:rsidRPr="00445A57">
        <w:rPr>
          <w:lang w:val="en-ZA"/>
        </w:rPr>
        <w:t xml:space="preserve"> </w:t>
      </w:r>
      <w:r w:rsidRPr="00445A57">
        <w:rPr>
          <w:i/>
          <w:lang w:val="en-ZA"/>
        </w:rPr>
        <w:t>and Others</w:t>
      </w:r>
      <w:r w:rsidR="00B3176C">
        <w:rPr>
          <w:i/>
          <w:lang w:val="en-ZA"/>
        </w:rPr>
        <w:t xml:space="preserve"> </w:t>
      </w:r>
      <w:r w:rsidRPr="00445A57">
        <w:rPr>
          <w:lang w:val="en-ZA"/>
        </w:rPr>
        <w:t xml:space="preserve">2005 (2) SA 359 </w:t>
      </w:r>
      <w:r w:rsidR="00B3176C">
        <w:rPr>
          <w:lang w:val="en-ZA"/>
        </w:rPr>
        <w:t xml:space="preserve">(CC) </w:t>
      </w:r>
      <w:r w:rsidRPr="00445A57">
        <w:rPr>
          <w:lang w:val="en-ZA"/>
        </w:rPr>
        <w:t>at 388F-389A.</w:t>
      </w:r>
    </w:p>
  </w:footnote>
  <w:footnote w:id="7">
    <w:p w14:paraId="6E85FC15" w14:textId="77777777"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rPr>
        <w:t>In Re</w:t>
      </w:r>
      <w:r w:rsidRPr="00445A57">
        <w:rPr>
          <w:lang w:val="en-ZA"/>
        </w:rPr>
        <w:t xml:space="preserve"> </w:t>
      </w:r>
      <w:r w:rsidRPr="00445A57">
        <w:rPr>
          <w:i/>
          <w:lang w:val="en-ZA"/>
        </w:rPr>
        <w:t>Certain Amicus Curiae Applications:</w:t>
      </w:r>
      <w:r w:rsidRPr="00445A57">
        <w:rPr>
          <w:lang w:val="en-ZA"/>
        </w:rPr>
        <w:t xml:space="preserve"> </w:t>
      </w:r>
      <w:r w:rsidRPr="00445A57">
        <w:rPr>
          <w:i/>
          <w:lang w:val="en-ZA"/>
        </w:rPr>
        <w:t>Minister of Health and Others v Treatment Action Campaign and Others</w:t>
      </w:r>
      <w:r w:rsidRPr="00445A57">
        <w:rPr>
          <w:lang w:val="en-ZA"/>
        </w:rPr>
        <w:t xml:space="preserve"> </w:t>
      </w:r>
      <w:r w:rsidR="00F62715" w:rsidRPr="00445A57">
        <w:t>2002 (10) BCLR 1023 (CC)</w:t>
      </w:r>
      <w:r w:rsidRPr="00445A57">
        <w:rPr>
          <w:lang w:val="en-ZA"/>
        </w:rPr>
        <w:t>; 2002 (5) SA 713 (CC) para 8.</w:t>
      </w:r>
    </w:p>
  </w:footnote>
  <w:footnote w:id="8">
    <w:p w14:paraId="2524B162" w14:textId="35DB9CC8"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 xml:space="preserve">Philani-Ma-Afrika and </w:t>
      </w:r>
      <w:r w:rsidR="008D7A51" w:rsidRPr="00445A57">
        <w:rPr>
          <w:i/>
          <w:lang w:val="en-ZA"/>
        </w:rPr>
        <w:t>O</w:t>
      </w:r>
      <w:r w:rsidRPr="00445A57">
        <w:rPr>
          <w:i/>
          <w:lang w:val="en-ZA"/>
        </w:rPr>
        <w:t>thers v Mailula and Others</w:t>
      </w:r>
      <w:r w:rsidRPr="00445A57">
        <w:rPr>
          <w:lang w:val="en-ZA"/>
        </w:rPr>
        <w:t xml:space="preserve"> [2009] ZASCA 115; 2010 (2) SA 573 (SCA) para 20.</w:t>
      </w:r>
    </w:p>
  </w:footnote>
  <w:footnote w:id="9">
    <w:p w14:paraId="50E9CF91" w14:textId="7B9B7D42" w:rsidR="00890ED0" w:rsidRPr="00CE7F16" w:rsidRDefault="00890ED0" w:rsidP="00CE7F16">
      <w:pPr>
        <w:pStyle w:val="FootnoteText"/>
        <w:spacing w:line="240" w:lineRule="auto"/>
        <w:rPr>
          <w:lang w:val="en-ZA"/>
        </w:rPr>
      </w:pPr>
      <w:r>
        <w:rPr>
          <w:rStyle w:val="FootnoteReference"/>
        </w:rPr>
        <w:footnoteRef/>
      </w:r>
      <w:r>
        <w:t xml:space="preserve"> </w:t>
      </w:r>
      <w:r w:rsidRPr="00445A57">
        <w:rPr>
          <w:i/>
          <w:lang w:val="en-ZA"/>
        </w:rPr>
        <w:t>City of Tshwane Metropolitan Municipality v Afriforum and Another</w:t>
      </w:r>
      <w:r w:rsidRPr="00445A57">
        <w:rPr>
          <w:lang w:val="en-ZA"/>
        </w:rPr>
        <w:t xml:space="preserve"> [2016] ZACC 19; 2016 (9) BCRL 1133 (CC); 2016 (6) SA 279 (CC) para 41.</w:t>
      </w:r>
    </w:p>
  </w:footnote>
  <w:footnote w:id="10">
    <w:p w14:paraId="5835D2A3" w14:textId="77777777" w:rsidR="00972C9C" w:rsidRPr="00445A57"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South African Informal Traders Forum</w:t>
      </w:r>
      <w:r w:rsidR="00E3600D" w:rsidRPr="00445A57">
        <w:rPr>
          <w:i/>
          <w:lang w:val="en-ZA"/>
        </w:rPr>
        <w:t xml:space="preserve"> and Others</w:t>
      </w:r>
      <w:r w:rsidRPr="00445A57">
        <w:rPr>
          <w:i/>
          <w:lang w:val="en-ZA"/>
        </w:rPr>
        <w:t xml:space="preserve"> v City of Johannesburg</w:t>
      </w:r>
      <w:r w:rsidR="00E3600D" w:rsidRPr="00445A57">
        <w:t xml:space="preserve"> a</w:t>
      </w:r>
      <w:r w:rsidR="00E3600D" w:rsidRPr="00445A57">
        <w:rPr>
          <w:i/>
          <w:lang w:val="en-ZA"/>
        </w:rPr>
        <w:t>nd Others; South African National Traders Retail Association v City of Johannesburg and Others</w:t>
      </w:r>
      <w:r w:rsidRPr="00445A57">
        <w:rPr>
          <w:lang w:val="en-ZA"/>
        </w:rPr>
        <w:t xml:space="preserve"> [2014] ZACC 8; 2014 (6) BCLR 726 (CC); 2014 (4) SA 371 (CC) para 20.</w:t>
      </w:r>
    </w:p>
  </w:footnote>
  <w:footnote w:id="11">
    <w:p w14:paraId="2F7D7495" w14:textId="669857F9" w:rsidR="00D60F85" w:rsidRPr="00445A57" w:rsidRDefault="00D60F85" w:rsidP="00CE7F16">
      <w:pPr>
        <w:pStyle w:val="FootnoteText"/>
        <w:spacing w:line="240" w:lineRule="auto"/>
        <w:rPr>
          <w:lang w:val="en-ZA"/>
        </w:rPr>
      </w:pPr>
      <w:r w:rsidRPr="00445A57">
        <w:rPr>
          <w:rStyle w:val="FootnoteReference"/>
        </w:rPr>
        <w:footnoteRef/>
      </w:r>
      <w:r w:rsidRPr="00445A57">
        <w:t xml:space="preserve"> </w:t>
      </w:r>
      <w:r w:rsidR="0030101C" w:rsidRPr="00445A57">
        <w:rPr>
          <w:lang w:val="en-ZA"/>
        </w:rPr>
        <w:t>Paragraph 2 stipulate</w:t>
      </w:r>
      <w:r w:rsidR="0049344B">
        <w:rPr>
          <w:lang w:val="en-ZA"/>
        </w:rPr>
        <w:t>s</w:t>
      </w:r>
      <w:r w:rsidR="009D1285" w:rsidRPr="00445A57">
        <w:rPr>
          <w:lang w:val="en-ZA"/>
        </w:rPr>
        <w:t xml:space="preserve"> ‘[</w:t>
      </w:r>
      <w:r w:rsidRPr="00445A57">
        <w:rPr>
          <w:lang w:val="en-ZA"/>
        </w:rPr>
        <w:t>t</w:t>
      </w:r>
      <w:r w:rsidR="009D1285" w:rsidRPr="00445A57">
        <w:rPr>
          <w:lang w:val="en-ZA"/>
        </w:rPr>
        <w:t>]</w:t>
      </w:r>
      <w:r w:rsidRPr="00445A57">
        <w:rPr>
          <w:lang w:val="en-ZA"/>
        </w:rPr>
        <w:t>hat the resp</w:t>
      </w:r>
      <w:r w:rsidR="009D1285" w:rsidRPr="00445A57">
        <w:rPr>
          <w:lang w:val="en-ZA"/>
        </w:rPr>
        <w:t>ondents are in contempt of the C</w:t>
      </w:r>
      <w:r w:rsidRPr="00445A57">
        <w:rPr>
          <w:lang w:val="en-ZA"/>
        </w:rPr>
        <w:t>ourt</w:t>
      </w:r>
      <w:r w:rsidR="00C43F58" w:rsidRPr="00445A57">
        <w:rPr>
          <w:lang w:val="en-ZA"/>
        </w:rPr>
        <w:t xml:space="preserve"> O</w:t>
      </w:r>
      <w:r w:rsidRPr="00445A57">
        <w:rPr>
          <w:lang w:val="en-ZA"/>
        </w:rPr>
        <w:t>rder of 2 June 2015’.</w:t>
      </w:r>
    </w:p>
  </w:footnote>
  <w:footnote w:id="12">
    <w:p w14:paraId="4044B8C7" w14:textId="6A97C186" w:rsidR="00CE5671" w:rsidRPr="00CE5671" w:rsidRDefault="00CE5671" w:rsidP="00CE7F16">
      <w:pPr>
        <w:pStyle w:val="FootnoteText"/>
        <w:spacing w:line="240" w:lineRule="auto"/>
        <w:rPr>
          <w:lang w:val="en-ZA"/>
        </w:rPr>
      </w:pPr>
      <w:r>
        <w:rPr>
          <w:rStyle w:val="FootnoteReference"/>
        </w:rPr>
        <w:footnoteRef/>
      </w:r>
      <w:r>
        <w:t xml:space="preserve"> </w:t>
      </w:r>
      <w:r w:rsidR="00182B28">
        <w:rPr>
          <w:i/>
          <w:lang w:val="en-ZA"/>
        </w:rPr>
        <w:t xml:space="preserve">Plascon-Evans Paints </w:t>
      </w:r>
      <w:r w:rsidR="0049344B">
        <w:rPr>
          <w:i/>
          <w:lang w:val="en-ZA"/>
        </w:rPr>
        <w:t xml:space="preserve">(TVL) </w:t>
      </w:r>
      <w:r w:rsidR="00182B28">
        <w:rPr>
          <w:i/>
          <w:lang w:val="en-ZA"/>
        </w:rPr>
        <w:t>L</w:t>
      </w:r>
      <w:r w:rsidRPr="00CE5671">
        <w:rPr>
          <w:i/>
          <w:lang w:val="en-ZA"/>
        </w:rPr>
        <w:t>td v Van Riebeck Paints (Pty) Ltd</w:t>
      </w:r>
      <w:r w:rsidR="0049344B">
        <w:rPr>
          <w:i/>
          <w:lang w:val="en-ZA"/>
        </w:rPr>
        <w:t xml:space="preserve"> </w:t>
      </w:r>
      <w:r w:rsidRPr="00CE5671">
        <w:rPr>
          <w:lang w:val="en-ZA"/>
        </w:rPr>
        <w:t>[1984] 2 All SA 366 (A); 1984 (3) SA 623</w:t>
      </w:r>
      <w:r w:rsidR="00182B28">
        <w:rPr>
          <w:lang w:val="en-ZA"/>
        </w:rPr>
        <w:t xml:space="preserve"> (A)</w:t>
      </w:r>
      <w:r w:rsidR="0049344B">
        <w:rPr>
          <w:lang w:val="en-ZA"/>
        </w:rPr>
        <w:t>; 1984 (3) SA 620.</w:t>
      </w:r>
    </w:p>
  </w:footnote>
  <w:footnote w:id="13">
    <w:p w14:paraId="3DB4B826" w14:textId="7358A177" w:rsidR="009B6F6D" w:rsidRDefault="00972C9C" w:rsidP="00CE7F16">
      <w:pPr>
        <w:pStyle w:val="FootnoteText"/>
        <w:spacing w:line="240" w:lineRule="auto"/>
        <w:rPr>
          <w:lang w:val="en-ZA"/>
        </w:rPr>
      </w:pPr>
      <w:r w:rsidRPr="00445A57">
        <w:rPr>
          <w:rStyle w:val="FootnoteReference"/>
        </w:rPr>
        <w:footnoteRef/>
      </w:r>
      <w:r w:rsidRPr="00445A57">
        <w:t xml:space="preserve"> </w:t>
      </w:r>
      <w:r w:rsidRPr="00445A57">
        <w:rPr>
          <w:i/>
          <w:lang w:val="en-ZA"/>
        </w:rPr>
        <w:t>Bosman NO v Tworeck en Adere</w:t>
      </w:r>
      <w:r w:rsidRPr="00445A57">
        <w:rPr>
          <w:lang w:val="en-ZA"/>
        </w:rPr>
        <w:t xml:space="preserve"> 2000 (3) SA 590 (C)</w:t>
      </w:r>
      <w:r w:rsidR="0049344B">
        <w:rPr>
          <w:lang w:val="en-ZA"/>
        </w:rPr>
        <w:t xml:space="preserve">; See also </w:t>
      </w:r>
      <w:r w:rsidRPr="00445A57">
        <w:rPr>
          <w:i/>
          <w:lang w:val="en-ZA"/>
        </w:rPr>
        <w:t>Turquoise River Incorporated v</w:t>
      </w:r>
      <w:r w:rsidRPr="00445A57">
        <w:rPr>
          <w:lang w:val="en-ZA"/>
        </w:rPr>
        <w:t xml:space="preserve"> </w:t>
      </w:r>
      <w:r w:rsidRPr="00445A57">
        <w:rPr>
          <w:i/>
          <w:lang w:val="en-ZA"/>
        </w:rPr>
        <w:t>McMenamin and Others</w:t>
      </w:r>
      <w:r w:rsidRPr="00445A57">
        <w:rPr>
          <w:lang w:val="en-ZA"/>
        </w:rPr>
        <w:t xml:space="preserve"> 1992 (3) SA 653 (D) at 658A.</w:t>
      </w:r>
    </w:p>
    <w:p w14:paraId="2A374C97" w14:textId="5A557A69" w:rsidR="009B6F6D" w:rsidRPr="00445A57" w:rsidRDefault="009B6F6D" w:rsidP="009B6F6D">
      <w:pPr>
        <w:pStyle w:val="FootnoteText"/>
        <w:spacing w:line="240" w:lineRule="auto"/>
        <w:rPr>
          <w:lang w:val="en-ZA"/>
        </w:rPr>
      </w:pPr>
      <w:r>
        <w:rPr>
          <w:vertAlign w:val="superscript"/>
        </w:rPr>
        <w:t>14</w:t>
      </w:r>
      <w:r w:rsidRPr="009B6F6D">
        <w:t xml:space="preserve"> </w:t>
      </w:r>
      <w:r w:rsidRPr="009B6F6D">
        <w:rPr>
          <w:i/>
          <w:lang w:val="en-ZA"/>
        </w:rPr>
        <w:t>International Trade Administration Commission v SCAW South Africa</w:t>
      </w:r>
      <w:r w:rsidRPr="009B6F6D">
        <w:rPr>
          <w:lang w:val="en-ZA"/>
        </w:rPr>
        <w:t xml:space="preserve"> </w:t>
      </w:r>
      <w:r w:rsidRPr="009B6F6D">
        <w:rPr>
          <w:i/>
          <w:lang w:val="en-ZA"/>
        </w:rPr>
        <w:t>(Pty) Ltd</w:t>
      </w:r>
      <w:r w:rsidRPr="009B6F6D">
        <w:rPr>
          <w:lang w:val="en-ZA"/>
        </w:rPr>
        <w:t xml:space="preserve"> [2010] ZACC 6; 2010 (5) BCLR 457 (CC); 2012 (4) SA 618 (CC)</w:t>
      </w:r>
      <w:r w:rsidRPr="009B6F6D" w:rsidDel="004148B3">
        <w:rPr>
          <w:lang w:val="en-ZA"/>
        </w:rPr>
        <w:t xml:space="preserve"> </w:t>
      </w:r>
      <w:r w:rsidRPr="009B6F6D">
        <w:rPr>
          <w:lang w:val="en-ZA"/>
        </w:rPr>
        <w:t>paras 49 &amp; 50.</w:t>
      </w:r>
    </w:p>
  </w:footnote>
  <w:footnote w:id="14">
    <w:p w14:paraId="790A317E" w14:textId="594641A1" w:rsidR="00972C9C" w:rsidRDefault="00972C9C" w:rsidP="009B6F6D">
      <w:pPr>
        <w:pStyle w:val="FootnoteText"/>
        <w:keepLines/>
        <w:widowControl w:val="0"/>
        <w:spacing w:line="240" w:lineRule="auto"/>
        <w:rPr>
          <w:lang w:val="en-ZA"/>
        </w:rPr>
      </w:pPr>
    </w:p>
    <w:p w14:paraId="7750AACF" w14:textId="77777777" w:rsidR="009B6F6D" w:rsidRPr="00445A57" w:rsidRDefault="009B6F6D" w:rsidP="009B6F6D">
      <w:pPr>
        <w:pStyle w:val="FootnoteText"/>
        <w:keepLines/>
        <w:widowControl w:val="0"/>
        <w:spacing w:line="240" w:lineRule="auto"/>
        <w:rPr>
          <w:lang w:val="en-ZA"/>
        </w:rPr>
      </w:pPr>
    </w:p>
  </w:footnote>
  <w:footnote w:id="15">
    <w:p w14:paraId="17199D85" w14:textId="0AD1056B" w:rsidR="003A062F" w:rsidRPr="00A064CA" w:rsidRDefault="003A062F" w:rsidP="00CE7F16">
      <w:pPr>
        <w:pStyle w:val="FootnoteText"/>
        <w:spacing w:line="240" w:lineRule="auto"/>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BCC6" w14:textId="7B77E8EF" w:rsidR="00972C9C" w:rsidRDefault="00972C9C"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CF4A73">
      <w:rPr>
        <w:noProof/>
      </w:rPr>
      <w:t>2</w:t>
    </w:r>
    <w:r>
      <w:rPr>
        <w:noProof/>
      </w:rPr>
      <w:fldChar w:fldCharType="end"/>
    </w:r>
  </w:p>
  <w:p w14:paraId="7FA2E060" w14:textId="77777777" w:rsidR="00972C9C" w:rsidRDefault="00972C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98D"/>
    <w:multiLevelType w:val="hybridMultilevel"/>
    <w:tmpl w:val="C85048CC"/>
    <w:lvl w:ilvl="0" w:tplc="A8D47FF4">
      <w:start w:val="1"/>
      <w:numFmt w:val="decimal"/>
      <w:lvlText w:val="[%1]"/>
      <w:lvlJc w:val="left"/>
      <w:pPr>
        <w:tabs>
          <w:tab w:val="num" w:pos="-680"/>
        </w:tabs>
        <w:ind w:left="678" w:hanging="678"/>
      </w:pPr>
      <w:rPr>
        <w:rFonts w:ascii="Times New Roman" w:hAnsi="Times New Roman" w:cs="Times New Roman" w:hint="default"/>
        <w:caps w:val="0"/>
        <w:strike w:val="0"/>
        <w:dstrike w:val="0"/>
        <w:shadow w:val="0"/>
        <w:emboss w:val="0"/>
        <w:imprint w:val="0"/>
        <w:vanish w:val="0"/>
        <w:sz w:val="26"/>
        <w:vertAlign w:val="baseline"/>
      </w:rPr>
    </w:lvl>
    <w:lvl w:ilvl="1" w:tplc="4F9A5D76">
      <w:start w:val="1"/>
      <w:numFmt w:val="lowerLetter"/>
      <w:lvlText w:val="(%2)"/>
      <w:lvlJc w:val="left"/>
      <w:pPr>
        <w:tabs>
          <w:tab w:val="num" w:pos="1800"/>
        </w:tabs>
        <w:ind w:left="1800" w:hanging="720"/>
      </w:pPr>
      <w:rPr>
        <w:rFonts w:cs="Times New Roman" w:hint="default"/>
      </w:rPr>
    </w:lvl>
    <w:lvl w:ilvl="2" w:tplc="08090003">
      <w:start w:val="1"/>
      <w:numFmt w:val="bullet"/>
      <w:lvlText w:val="o"/>
      <w:lvlJc w:val="left"/>
      <w:pPr>
        <w:tabs>
          <w:tab w:val="num" w:pos="2340"/>
        </w:tabs>
        <w:ind w:left="2340" w:hanging="360"/>
      </w:pPr>
      <w:rPr>
        <w:rFonts w:ascii="Courier New" w:hAnsi="Courier New" w:hint="default"/>
        <w:caps w:val="0"/>
        <w:strike w:val="0"/>
        <w:dstrike w:val="0"/>
        <w:shadow w:val="0"/>
        <w:emboss w:val="0"/>
        <w:imprint w:val="0"/>
        <w:vanish w:val="0"/>
        <w:sz w:val="26"/>
        <w:vertAlign w:val="baseline"/>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5636B6"/>
    <w:multiLevelType w:val="hybridMultilevel"/>
    <w:tmpl w:val="EA32024E"/>
    <w:lvl w:ilvl="0" w:tplc="3F22872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FE7929"/>
    <w:multiLevelType w:val="hybridMultilevel"/>
    <w:tmpl w:val="45CC008A"/>
    <w:lvl w:ilvl="0" w:tplc="0598D43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2FC7E1B"/>
    <w:multiLevelType w:val="hybridMultilevel"/>
    <w:tmpl w:val="FC526B08"/>
    <w:lvl w:ilvl="0" w:tplc="8740434E">
      <w:start w:val="1"/>
      <w:numFmt w:val="lowerLetter"/>
      <w:lvlText w:val="(%1)"/>
      <w:lvlJc w:val="left"/>
      <w:pPr>
        <w:ind w:left="659" w:hanging="375"/>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D4637C"/>
    <w:multiLevelType w:val="hybridMultilevel"/>
    <w:tmpl w:val="598A6B64"/>
    <w:lvl w:ilvl="0" w:tplc="611CECA6">
      <w:start w:val="1"/>
      <w:numFmt w:val="lowerLetter"/>
      <w:pStyle w:val="JUGMENTNUMBERED"/>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C610834"/>
    <w:multiLevelType w:val="hybridMultilevel"/>
    <w:tmpl w:val="339AECF6"/>
    <w:lvl w:ilvl="0" w:tplc="17EE435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981399"/>
    <w:multiLevelType w:val="hybridMultilevel"/>
    <w:tmpl w:val="355689EE"/>
    <w:lvl w:ilvl="0" w:tplc="06F2E260">
      <w:start w:val="9"/>
      <w:numFmt w:val="lowerLetter"/>
      <w:lvlText w:val="(%1)"/>
      <w:lvlJc w:val="left"/>
      <w:pPr>
        <w:ind w:left="1353"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13" w15:restartNumberingAfterBreak="0">
    <w:nsid w:val="461D13BD"/>
    <w:multiLevelType w:val="multilevel"/>
    <w:tmpl w:val="35AA3F80"/>
    <w:lvl w:ilvl="0">
      <w:start w:val="1"/>
      <w:numFmt w:val="decimal"/>
      <w:lvlText w:val="[%1]"/>
      <w:lvlJc w:val="left"/>
      <w:pPr>
        <w:tabs>
          <w:tab w:val="num" w:pos="680"/>
        </w:tabs>
      </w:pPr>
      <w:rPr>
        <w:rFonts w:hint="default"/>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3D55C78"/>
    <w:multiLevelType w:val="hybridMultilevel"/>
    <w:tmpl w:val="FC526B08"/>
    <w:lvl w:ilvl="0" w:tplc="FFFFFFFF">
      <w:start w:val="1"/>
      <w:numFmt w:val="lowerLetter"/>
      <w:lvlText w:val="(%1)"/>
      <w:lvlJc w:val="left"/>
      <w:pPr>
        <w:ind w:left="659" w:hanging="375"/>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E96E84"/>
    <w:multiLevelType w:val="hybridMultilevel"/>
    <w:tmpl w:val="2C16D0F4"/>
    <w:lvl w:ilvl="0" w:tplc="539AD69E">
      <w:start w:val="1"/>
      <w:numFmt w:val="lowerRoman"/>
      <w:lvlText w:val="(%1)"/>
      <w:lvlJc w:val="left"/>
      <w:pPr>
        <w:ind w:left="1455" w:hanging="72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num w:numId="1">
    <w:abstractNumId w:val="7"/>
  </w:num>
  <w:num w:numId="2">
    <w:abstractNumId w:val="6"/>
  </w:num>
  <w:num w:numId="3">
    <w:abstractNumId w:val="18"/>
    <w:lvlOverride w:ilvl="0">
      <w:startOverride w:val="12"/>
    </w:lvlOverride>
  </w:num>
  <w:num w:numId="4">
    <w:abstractNumId w:val="8"/>
  </w:num>
  <w:num w:numId="5">
    <w:abstractNumId w:val="9"/>
  </w:num>
  <w:num w:numId="6">
    <w:abstractNumId w:val="2"/>
  </w:num>
  <w:num w:numId="7">
    <w:abstractNumId w:val="10"/>
  </w:num>
  <w:num w:numId="8">
    <w:abstractNumId w:val="1"/>
  </w:num>
  <w:num w:numId="9">
    <w:abstractNumId w:val="16"/>
  </w:num>
  <w:num w:numId="10">
    <w:abstractNumId w:val="17"/>
  </w:num>
  <w:num w:numId="11">
    <w:abstractNumId w:val="14"/>
  </w:num>
  <w:num w:numId="12">
    <w:abstractNumId w:val="4"/>
  </w:num>
  <w:num w:numId="13">
    <w:abstractNumId w:val="11"/>
  </w:num>
  <w:num w:numId="14">
    <w:abstractNumId w:val="3"/>
  </w:num>
  <w:num w:numId="15">
    <w:abstractNumId w:val="5"/>
  </w:num>
  <w:num w:numId="16">
    <w:abstractNumId w:val="19"/>
  </w:num>
  <w:num w:numId="17">
    <w:abstractNumId w:val="12"/>
  </w:num>
  <w:num w:numId="18">
    <w:abstractNumId w:val="1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0"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tDQ3sDQxNzIwNrBU0lEKTi0uzszPAykwrgUAj6s9dCwAAAA="/>
    <w:docVar w:name="dgnword-docGUID" w:val="{8AF7176A-6BD9-4D86-B36F-7DFF52478C7E}"/>
    <w:docVar w:name="dgnword-eventsink" w:val="2153107162112"/>
  </w:docVars>
  <w:rsids>
    <w:rsidRoot w:val="008B1580"/>
    <w:rsid w:val="00001262"/>
    <w:rsid w:val="00001C26"/>
    <w:rsid w:val="00002B35"/>
    <w:rsid w:val="00004490"/>
    <w:rsid w:val="00007F20"/>
    <w:rsid w:val="000101F6"/>
    <w:rsid w:val="00010A25"/>
    <w:rsid w:val="00010C2B"/>
    <w:rsid w:val="0001102C"/>
    <w:rsid w:val="00012FB7"/>
    <w:rsid w:val="00013195"/>
    <w:rsid w:val="0001340E"/>
    <w:rsid w:val="0001392C"/>
    <w:rsid w:val="0001555E"/>
    <w:rsid w:val="00016285"/>
    <w:rsid w:val="00017E7C"/>
    <w:rsid w:val="00020CC7"/>
    <w:rsid w:val="000212B3"/>
    <w:rsid w:val="00021C55"/>
    <w:rsid w:val="00021CBA"/>
    <w:rsid w:val="00023097"/>
    <w:rsid w:val="000231FE"/>
    <w:rsid w:val="00023C3F"/>
    <w:rsid w:val="00023CD4"/>
    <w:rsid w:val="000243C8"/>
    <w:rsid w:val="00024F76"/>
    <w:rsid w:val="00025EC2"/>
    <w:rsid w:val="000265B8"/>
    <w:rsid w:val="000272C8"/>
    <w:rsid w:val="00027F4D"/>
    <w:rsid w:val="000314CD"/>
    <w:rsid w:val="00031925"/>
    <w:rsid w:val="00031DAB"/>
    <w:rsid w:val="00032717"/>
    <w:rsid w:val="00033501"/>
    <w:rsid w:val="00033A93"/>
    <w:rsid w:val="0003432A"/>
    <w:rsid w:val="00034BB4"/>
    <w:rsid w:val="00034CD5"/>
    <w:rsid w:val="00034E38"/>
    <w:rsid w:val="0003561F"/>
    <w:rsid w:val="00035740"/>
    <w:rsid w:val="000359D0"/>
    <w:rsid w:val="000362C6"/>
    <w:rsid w:val="000375CC"/>
    <w:rsid w:val="000376E8"/>
    <w:rsid w:val="00040207"/>
    <w:rsid w:val="0004238B"/>
    <w:rsid w:val="00042543"/>
    <w:rsid w:val="00042B4A"/>
    <w:rsid w:val="0004304A"/>
    <w:rsid w:val="00044023"/>
    <w:rsid w:val="000452B0"/>
    <w:rsid w:val="00045422"/>
    <w:rsid w:val="0004570A"/>
    <w:rsid w:val="0005272D"/>
    <w:rsid w:val="000527C5"/>
    <w:rsid w:val="0005290C"/>
    <w:rsid w:val="00053087"/>
    <w:rsid w:val="00053328"/>
    <w:rsid w:val="00053DDE"/>
    <w:rsid w:val="000555AD"/>
    <w:rsid w:val="0005566C"/>
    <w:rsid w:val="000564D4"/>
    <w:rsid w:val="00057A6C"/>
    <w:rsid w:val="00057A78"/>
    <w:rsid w:val="00057D48"/>
    <w:rsid w:val="00060B81"/>
    <w:rsid w:val="00060BE5"/>
    <w:rsid w:val="00060DB1"/>
    <w:rsid w:val="00062652"/>
    <w:rsid w:val="00062B79"/>
    <w:rsid w:val="00064741"/>
    <w:rsid w:val="00064F83"/>
    <w:rsid w:val="000659CE"/>
    <w:rsid w:val="000665C8"/>
    <w:rsid w:val="00066744"/>
    <w:rsid w:val="0006693E"/>
    <w:rsid w:val="00067529"/>
    <w:rsid w:val="00067AFD"/>
    <w:rsid w:val="00067E4F"/>
    <w:rsid w:val="000705AE"/>
    <w:rsid w:val="0007075B"/>
    <w:rsid w:val="00070C43"/>
    <w:rsid w:val="00070F40"/>
    <w:rsid w:val="00071B68"/>
    <w:rsid w:val="00071EFF"/>
    <w:rsid w:val="00072225"/>
    <w:rsid w:val="000723DC"/>
    <w:rsid w:val="0007263F"/>
    <w:rsid w:val="0007359D"/>
    <w:rsid w:val="00073B48"/>
    <w:rsid w:val="00074949"/>
    <w:rsid w:val="00074BDA"/>
    <w:rsid w:val="00075590"/>
    <w:rsid w:val="0007588B"/>
    <w:rsid w:val="00076A07"/>
    <w:rsid w:val="00076BE6"/>
    <w:rsid w:val="000775B2"/>
    <w:rsid w:val="00077C1F"/>
    <w:rsid w:val="000804E9"/>
    <w:rsid w:val="000808BF"/>
    <w:rsid w:val="00080904"/>
    <w:rsid w:val="000815C6"/>
    <w:rsid w:val="00081772"/>
    <w:rsid w:val="00081A5E"/>
    <w:rsid w:val="00081C21"/>
    <w:rsid w:val="0008254F"/>
    <w:rsid w:val="00084256"/>
    <w:rsid w:val="00085979"/>
    <w:rsid w:val="00090914"/>
    <w:rsid w:val="00090921"/>
    <w:rsid w:val="00092E74"/>
    <w:rsid w:val="00092EB3"/>
    <w:rsid w:val="000932CA"/>
    <w:rsid w:val="00094A4C"/>
    <w:rsid w:val="00094B2B"/>
    <w:rsid w:val="00094F90"/>
    <w:rsid w:val="00096A39"/>
    <w:rsid w:val="0009783E"/>
    <w:rsid w:val="00097B14"/>
    <w:rsid w:val="000A020A"/>
    <w:rsid w:val="000A0DAB"/>
    <w:rsid w:val="000A11D8"/>
    <w:rsid w:val="000A1357"/>
    <w:rsid w:val="000A1683"/>
    <w:rsid w:val="000A17C6"/>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441"/>
    <w:rsid w:val="000B085F"/>
    <w:rsid w:val="000B08E4"/>
    <w:rsid w:val="000B16AD"/>
    <w:rsid w:val="000B1898"/>
    <w:rsid w:val="000B1DDF"/>
    <w:rsid w:val="000B3331"/>
    <w:rsid w:val="000B3623"/>
    <w:rsid w:val="000B3A83"/>
    <w:rsid w:val="000B47AA"/>
    <w:rsid w:val="000B5340"/>
    <w:rsid w:val="000B67DC"/>
    <w:rsid w:val="000B781A"/>
    <w:rsid w:val="000C0A30"/>
    <w:rsid w:val="000C132F"/>
    <w:rsid w:val="000C21F5"/>
    <w:rsid w:val="000C3803"/>
    <w:rsid w:val="000C3B90"/>
    <w:rsid w:val="000C605D"/>
    <w:rsid w:val="000C66C0"/>
    <w:rsid w:val="000C6C56"/>
    <w:rsid w:val="000C6E09"/>
    <w:rsid w:val="000C6ED8"/>
    <w:rsid w:val="000C74F3"/>
    <w:rsid w:val="000C7E78"/>
    <w:rsid w:val="000D06F5"/>
    <w:rsid w:val="000D07EB"/>
    <w:rsid w:val="000D1924"/>
    <w:rsid w:val="000D2F89"/>
    <w:rsid w:val="000D3092"/>
    <w:rsid w:val="000D5CC5"/>
    <w:rsid w:val="000D7030"/>
    <w:rsid w:val="000E061F"/>
    <w:rsid w:val="000E073F"/>
    <w:rsid w:val="000E0DDA"/>
    <w:rsid w:val="000E46A5"/>
    <w:rsid w:val="000E478E"/>
    <w:rsid w:val="000E48CB"/>
    <w:rsid w:val="000E5EDD"/>
    <w:rsid w:val="000E6BED"/>
    <w:rsid w:val="000E790D"/>
    <w:rsid w:val="000F09FD"/>
    <w:rsid w:val="000F0CC5"/>
    <w:rsid w:val="000F2C8F"/>
    <w:rsid w:val="000F33E7"/>
    <w:rsid w:val="000F40BA"/>
    <w:rsid w:val="000F4C7B"/>
    <w:rsid w:val="000F4FC4"/>
    <w:rsid w:val="000F51EB"/>
    <w:rsid w:val="000F5468"/>
    <w:rsid w:val="000F5786"/>
    <w:rsid w:val="000F65C2"/>
    <w:rsid w:val="000F7375"/>
    <w:rsid w:val="000F778A"/>
    <w:rsid w:val="001002D0"/>
    <w:rsid w:val="001002DE"/>
    <w:rsid w:val="00101CB6"/>
    <w:rsid w:val="00102A92"/>
    <w:rsid w:val="00102BD7"/>
    <w:rsid w:val="00102CFD"/>
    <w:rsid w:val="00102E7A"/>
    <w:rsid w:val="0010304F"/>
    <w:rsid w:val="00103B8B"/>
    <w:rsid w:val="0010533B"/>
    <w:rsid w:val="00105422"/>
    <w:rsid w:val="00105E52"/>
    <w:rsid w:val="00107ECF"/>
    <w:rsid w:val="001100A8"/>
    <w:rsid w:val="00110125"/>
    <w:rsid w:val="00110143"/>
    <w:rsid w:val="00110326"/>
    <w:rsid w:val="0011110E"/>
    <w:rsid w:val="0011124D"/>
    <w:rsid w:val="001113D7"/>
    <w:rsid w:val="00111637"/>
    <w:rsid w:val="00111EF2"/>
    <w:rsid w:val="001138BB"/>
    <w:rsid w:val="00113DBF"/>
    <w:rsid w:val="00114405"/>
    <w:rsid w:val="00114899"/>
    <w:rsid w:val="00114DF5"/>
    <w:rsid w:val="00115C71"/>
    <w:rsid w:val="00116076"/>
    <w:rsid w:val="00116D37"/>
    <w:rsid w:val="001171F4"/>
    <w:rsid w:val="0011740A"/>
    <w:rsid w:val="00117A2A"/>
    <w:rsid w:val="00120E2B"/>
    <w:rsid w:val="0012171A"/>
    <w:rsid w:val="00121F6E"/>
    <w:rsid w:val="001235E2"/>
    <w:rsid w:val="00124408"/>
    <w:rsid w:val="00124590"/>
    <w:rsid w:val="001246FF"/>
    <w:rsid w:val="00124B37"/>
    <w:rsid w:val="00124CD8"/>
    <w:rsid w:val="001256E1"/>
    <w:rsid w:val="00125807"/>
    <w:rsid w:val="00125AAF"/>
    <w:rsid w:val="00126996"/>
    <w:rsid w:val="001270C6"/>
    <w:rsid w:val="00127152"/>
    <w:rsid w:val="00127387"/>
    <w:rsid w:val="00130C2C"/>
    <w:rsid w:val="001315C4"/>
    <w:rsid w:val="0013207E"/>
    <w:rsid w:val="001328EE"/>
    <w:rsid w:val="00133CF9"/>
    <w:rsid w:val="00133FCA"/>
    <w:rsid w:val="00134821"/>
    <w:rsid w:val="00134A55"/>
    <w:rsid w:val="00134EF5"/>
    <w:rsid w:val="00135DD2"/>
    <w:rsid w:val="00136D06"/>
    <w:rsid w:val="00136D45"/>
    <w:rsid w:val="00136EF6"/>
    <w:rsid w:val="00142DEA"/>
    <w:rsid w:val="00143001"/>
    <w:rsid w:val="00143131"/>
    <w:rsid w:val="001441E8"/>
    <w:rsid w:val="00144DDB"/>
    <w:rsid w:val="001453A2"/>
    <w:rsid w:val="00146B58"/>
    <w:rsid w:val="00146F14"/>
    <w:rsid w:val="0014704D"/>
    <w:rsid w:val="00147677"/>
    <w:rsid w:val="00150368"/>
    <w:rsid w:val="00151DAA"/>
    <w:rsid w:val="00153669"/>
    <w:rsid w:val="00154907"/>
    <w:rsid w:val="001554EB"/>
    <w:rsid w:val="00155BB4"/>
    <w:rsid w:val="00156093"/>
    <w:rsid w:val="00156438"/>
    <w:rsid w:val="001575DD"/>
    <w:rsid w:val="00157F09"/>
    <w:rsid w:val="001604B4"/>
    <w:rsid w:val="00160B5B"/>
    <w:rsid w:val="00161DD9"/>
    <w:rsid w:val="00161E18"/>
    <w:rsid w:val="00161E43"/>
    <w:rsid w:val="00162258"/>
    <w:rsid w:val="00162915"/>
    <w:rsid w:val="001634C6"/>
    <w:rsid w:val="00163931"/>
    <w:rsid w:val="001642AF"/>
    <w:rsid w:val="00164944"/>
    <w:rsid w:val="00166437"/>
    <w:rsid w:val="00166497"/>
    <w:rsid w:val="001666B2"/>
    <w:rsid w:val="001676E2"/>
    <w:rsid w:val="00167827"/>
    <w:rsid w:val="00167911"/>
    <w:rsid w:val="0017047E"/>
    <w:rsid w:val="00172072"/>
    <w:rsid w:val="001726F1"/>
    <w:rsid w:val="0017291C"/>
    <w:rsid w:val="00172A72"/>
    <w:rsid w:val="00173874"/>
    <w:rsid w:val="00174EE8"/>
    <w:rsid w:val="00176403"/>
    <w:rsid w:val="00176B33"/>
    <w:rsid w:val="0018061E"/>
    <w:rsid w:val="00180983"/>
    <w:rsid w:val="00180C47"/>
    <w:rsid w:val="00182B28"/>
    <w:rsid w:val="00184728"/>
    <w:rsid w:val="00184842"/>
    <w:rsid w:val="00184C02"/>
    <w:rsid w:val="00185972"/>
    <w:rsid w:val="001861B8"/>
    <w:rsid w:val="00186ABF"/>
    <w:rsid w:val="00190595"/>
    <w:rsid w:val="00190B0C"/>
    <w:rsid w:val="00192709"/>
    <w:rsid w:val="001943E3"/>
    <w:rsid w:val="00195D17"/>
    <w:rsid w:val="00195E86"/>
    <w:rsid w:val="00196209"/>
    <w:rsid w:val="0019621F"/>
    <w:rsid w:val="00196556"/>
    <w:rsid w:val="00197051"/>
    <w:rsid w:val="00197DA5"/>
    <w:rsid w:val="001A072E"/>
    <w:rsid w:val="001A0A6A"/>
    <w:rsid w:val="001A0A70"/>
    <w:rsid w:val="001A1BEE"/>
    <w:rsid w:val="001A375F"/>
    <w:rsid w:val="001A3DAD"/>
    <w:rsid w:val="001A40EE"/>
    <w:rsid w:val="001A4D36"/>
    <w:rsid w:val="001A5B07"/>
    <w:rsid w:val="001A5F3A"/>
    <w:rsid w:val="001A6B5A"/>
    <w:rsid w:val="001A7651"/>
    <w:rsid w:val="001B02A2"/>
    <w:rsid w:val="001B1BEF"/>
    <w:rsid w:val="001B2544"/>
    <w:rsid w:val="001B2E73"/>
    <w:rsid w:val="001B3079"/>
    <w:rsid w:val="001B32E0"/>
    <w:rsid w:val="001B48AA"/>
    <w:rsid w:val="001B5685"/>
    <w:rsid w:val="001B5782"/>
    <w:rsid w:val="001B5AA8"/>
    <w:rsid w:val="001B5F59"/>
    <w:rsid w:val="001B700F"/>
    <w:rsid w:val="001B7BCE"/>
    <w:rsid w:val="001C0156"/>
    <w:rsid w:val="001C06E3"/>
    <w:rsid w:val="001C09BF"/>
    <w:rsid w:val="001C0A0C"/>
    <w:rsid w:val="001C0F00"/>
    <w:rsid w:val="001C1104"/>
    <w:rsid w:val="001C1500"/>
    <w:rsid w:val="001C285B"/>
    <w:rsid w:val="001C2DB9"/>
    <w:rsid w:val="001C3EFE"/>
    <w:rsid w:val="001C4918"/>
    <w:rsid w:val="001C6042"/>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725E"/>
    <w:rsid w:val="001D7A1C"/>
    <w:rsid w:val="001D7BF3"/>
    <w:rsid w:val="001D7DD0"/>
    <w:rsid w:val="001E2249"/>
    <w:rsid w:val="001E3FDB"/>
    <w:rsid w:val="001E406B"/>
    <w:rsid w:val="001E4831"/>
    <w:rsid w:val="001E4EFF"/>
    <w:rsid w:val="001E5D72"/>
    <w:rsid w:val="001E66A9"/>
    <w:rsid w:val="001E66DC"/>
    <w:rsid w:val="001E7E92"/>
    <w:rsid w:val="001F020A"/>
    <w:rsid w:val="001F0BDF"/>
    <w:rsid w:val="001F0F8F"/>
    <w:rsid w:val="001F1AD2"/>
    <w:rsid w:val="001F2030"/>
    <w:rsid w:val="001F2DAD"/>
    <w:rsid w:val="001F385E"/>
    <w:rsid w:val="001F3EA9"/>
    <w:rsid w:val="001F4E35"/>
    <w:rsid w:val="001F513F"/>
    <w:rsid w:val="001F5463"/>
    <w:rsid w:val="001F5B33"/>
    <w:rsid w:val="001F6764"/>
    <w:rsid w:val="00200DCE"/>
    <w:rsid w:val="002011ED"/>
    <w:rsid w:val="0020176F"/>
    <w:rsid w:val="0020195B"/>
    <w:rsid w:val="00203B0B"/>
    <w:rsid w:val="00203BC0"/>
    <w:rsid w:val="00204E63"/>
    <w:rsid w:val="0020630F"/>
    <w:rsid w:val="002066D2"/>
    <w:rsid w:val="00206A15"/>
    <w:rsid w:val="00210584"/>
    <w:rsid w:val="00210B90"/>
    <w:rsid w:val="00211562"/>
    <w:rsid w:val="00211BB2"/>
    <w:rsid w:val="00211D77"/>
    <w:rsid w:val="00213DCF"/>
    <w:rsid w:val="0021425E"/>
    <w:rsid w:val="002145AC"/>
    <w:rsid w:val="00215767"/>
    <w:rsid w:val="00215C34"/>
    <w:rsid w:val="00215C85"/>
    <w:rsid w:val="0021630E"/>
    <w:rsid w:val="002176E8"/>
    <w:rsid w:val="0021796C"/>
    <w:rsid w:val="00220529"/>
    <w:rsid w:val="002205D1"/>
    <w:rsid w:val="00221520"/>
    <w:rsid w:val="00221C83"/>
    <w:rsid w:val="0022422F"/>
    <w:rsid w:val="00224840"/>
    <w:rsid w:val="00224F9A"/>
    <w:rsid w:val="0022513F"/>
    <w:rsid w:val="002256FC"/>
    <w:rsid w:val="00225A84"/>
    <w:rsid w:val="00225C31"/>
    <w:rsid w:val="00225F6D"/>
    <w:rsid w:val="002261C4"/>
    <w:rsid w:val="00226451"/>
    <w:rsid w:val="0022713F"/>
    <w:rsid w:val="00227532"/>
    <w:rsid w:val="00227662"/>
    <w:rsid w:val="00230E57"/>
    <w:rsid w:val="00231777"/>
    <w:rsid w:val="00232014"/>
    <w:rsid w:val="002324F3"/>
    <w:rsid w:val="0023359C"/>
    <w:rsid w:val="002358F9"/>
    <w:rsid w:val="00236146"/>
    <w:rsid w:val="00237343"/>
    <w:rsid w:val="002375F6"/>
    <w:rsid w:val="00240699"/>
    <w:rsid w:val="0024091C"/>
    <w:rsid w:val="002417DE"/>
    <w:rsid w:val="002422F0"/>
    <w:rsid w:val="002431F2"/>
    <w:rsid w:val="00243865"/>
    <w:rsid w:val="00244582"/>
    <w:rsid w:val="00244F82"/>
    <w:rsid w:val="00245A40"/>
    <w:rsid w:val="00250531"/>
    <w:rsid w:val="002509B3"/>
    <w:rsid w:val="00252065"/>
    <w:rsid w:val="002522A9"/>
    <w:rsid w:val="002539BD"/>
    <w:rsid w:val="00253BB3"/>
    <w:rsid w:val="00253C77"/>
    <w:rsid w:val="00255C36"/>
    <w:rsid w:val="00255DC1"/>
    <w:rsid w:val="00256FDE"/>
    <w:rsid w:val="002579EF"/>
    <w:rsid w:val="00257FD9"/>
    <w:rsid w:val="00260767"/>
    <w:rsid w:val="00261496"/>
    <w:rsid w:val="002617D4"/>
    <w:rsid w:val="00262137"/>
    <w:rsid w:val="00262186"/>
    <w:rsid w:val="00262A25"/>
    <w:rsid w:val="00262EB5"/>
    <w:rsid w:val="002647C4"/>
    <w:rsid w:val="00264A76"/>
    <w:rsid w:val="0026680D"/>
    <w:rsid w:val="002673E4"/>
    <w:rsid w:val="002676BC"/>
    <w:rsid w:val="00267D88"/>
    <w:rsid w:val="0027120E"/>
    <w:rsid w:val="00271DE4"/>
    <w:rsid w:val="0027231E"/>
    <w:rsid w:val="002724F3"/>
    <w:rsid w:val="002728A6"/>
    <w:rsid w:val="00272FD5"/>
    <w:rsid w:val="0027332E"/>
    <w:rsid w:val="002735D5"/>
    <w:rsid w:val="00273635"/>
    <w:rsid w:val="00274D66"/>
    <w:rsid w:val="0027545E"/>
    <w:rsid w:val="00275DBB"/>
    <w:rsid w:val="0027614E"/>
    <w:rsid w:val="002767AA"/>
    <w:rsid w:val="00276A29"/>
    <w:rsid w:val="00276E1E"/>
    <w:rsid w:val="00277553"/>
    <w:rsid w:val="0027761B"/>
    <w:rsid w:val="0027774B"/>
    <w:rsid w:val="002802FD"/>
    <w:rsid w:val="002811B9"/>
    <w:rsid w:val="0028162E"/>
    <w:rsid w:val="002829BF"/>
    <w:rsid w:val="00282C04"/>
    <w:rsid w:val="00284827"/>
    <w:rsid w:val="00285422"/>
    <w:rsid w:val="00285879"/>
    <w:rsid w:val="00285D7D"/>
    <w:rsid w:val="00286095"/>
    <w:rsid w:val="00286880"/>
    <w:rsid w:val="00287FAE"/>
    <w:rsid w:val="0029029C"/>
    <w:rsid w:val="00290F98"/>
    <w:rsid w:val="00290FF9"/>
    <w:rsid w:val="00291489"/>
    <w:rsid w:val="00294DE0"/>
    <w:rsid w:val="00295B0F"/>
    <w:rsid w:val="00295BD8"/>
    <w:rsid w:val="002A0A41"/>
    <w:rsid w:val="002A0AA0"/>
    <w:rsid w:val="002A0BB4"/>
    <w:rsid w:val="002A13FC"/>
    <w:rsid w:val="002A152C"/>
    <w:rsid w:val="002A1981"/>
    <w:rsid w:val="002A31C6"/>
    <w:rsid w:val="002A3259"/>
    <w:rsid w:val="002A32D2"/>
    <w:rsid w:val="002A3E57"/>
    <w:rsid w:val="002A5D3B"/>
    <w:rsid w:val="002A5E37"/>
    <w:rsid w:val="002A5FB5"/>
    <w:rsid w:val="002A688D"/>
    <w:rsid w:val="002A6F18"/>
    <w:rsid w:val="002A712B"/>
    <w:rsid w:val="002A7B50"/>
    <w:rsid w:val="002B0F19"/>
    <w:rsid w:val="002B11E5"/>
    <w:rsid w:val="002B1EF9"/>
    <w:rsid w:val="002B1FA6"/>
    <w:rsid w:val="002B2234"/>
    <w:rsid w:val="002B2753"/>
    <w:rsid w:val="002B3E41"/>
    <w:rsid w:val="002B4D16"/>
    <w:rsid w:val="002B64BE"/>
    <w:rsid w:val="002B65C2"/>
    <w:rsid w:val="002B6A39"/>
    <w:rsid w:val="002B7D5F"/>
    <w:rsid w:val="002B7DDB"/>
    <w:rsid w:val="002C0308"/>
    <w:rsid w:val="002C144B"/>
    <w:rsid w:val="002C1D95"/>
    <w:rsid w:val="002C2201"/>
    <w:rsid w:val="002C24DD"/>
    <w:rsid w:val="002C2841"/>
    <w:rsid w:val="002C406B"/>
    <w:rsid w:val="002C4BCE"/>
    <w:rsid w:val="002C5C1A"/>
    <w:rsid w:val="002C6183"/>
    <w:rsid w:val="002C6203"/>
    <w:rsid w:val="002C67F9"/>
    <w:rsid w:val="002C77C4"/>
    <w:rsid w:val="002C7C07"/>
    <w:rsid w:val="002C7FD5"/>
    <w:rsid w:val="002D0B8D"/>
    <w:rsid w:val="002D26B6"/>
    <w:rsid w:val="002D2890"/>
    <w:rsid w:val="002D291A"/>
    <w:rsid w:val="002D3CEF"/>
    <w:rsid w:val="002D3EB0"/>
    <w:rsid w:val="002D418C"/>
    <w:rsid w:val="002D4370"/>
    <w:rsid w:val="002D5473"/>
    <w:rsid w:val="002D6428"/>
    <w:rsid w:val="002E0EA7"/>
    <w:rsid w:val="002E1F33"/>
    <w:rsid w:val="002E2F48"/>
    <w:rsid w:val="002E38B4"/>
    <w:rsid w:val="002E57CD"/>
    <w:rsid w:val="002E63E3"/>
    <w:rsid w:val="002E7190"/>
    <w:rsid w:val="002E7339"/>
    <w:rsid w:val="002E7A5A"/>
    <w:rsid w:val="002F03BD"/>
    <w:rsid w:val="002F0739"/>
    <w:rsid w:val="002F0995"/>
    <w:rsid w:val="002F11AA"/>
    <w:rsid w:val="002F11C9"/>
    <w:rsid w:val="002F19B4"/>
    <w:rsid w:val="002F1D62"/>
    <w:rsid w:val="002F277C"/>
    <w:rsid w:val="002F2B21"/>
    <w:rsid w:val="002F3B15"/>
    <w:rsid w:val="002F440D"/>
    <w:rsid w:val="002F5DBA"/>
    <w:rsid w:val="002F646F"/>
    <w:rsid w:val="002F69EC"/>
    <w:rsid w:val="002F7096"/>
    <w:rsid w:val="002F710F"/>
    <w:rsid w:val="002F7289"/>
    <w:rsid w:val="002F7479"/>
    <w:rsid w:val="002F78AC"/>
    <w:rsid w:val="0030013D"/>
    <w:rsid w:val="00300353"/>
    <w:rsid w:val="003003D5"/>
    <w:rsid w:val="00300787"/>
    <w:rsid w:val="00300D07"/>
    <w:rsid w:val="00300E94"/>
    <w:rsid w:val="0030101C"/>
    <w:rsid w:val="0030104E"/>
    <w:rsid w:val="00302550"/>
    <w:rsid w:val="003025A5"/>
    <w:rsid w:val="00302959"/>
    <w:rsid w:val="003031B0"/>
    <w:rsid w:val="003044F3"/>
    <w:rsid w:val="003047B7"/>
    <w:rsid w:val="003058F5"/>
    <w:rsid w:val="00305B2A"/>
    <w:rsid w:val="00305FBA"/>
    <w:rsid w:val="00306777"/>
    <w:rsid w:val="00311E42"/>
    <w:rsid w:val="00312790"/>
    <w:rsid w:val="00312D93"/>
    <w:rsid w:val="00312DEB"/>
    <w:rsid w:val="00312F8F"/>
    <w:rsid w:val="00313813"/>
    <w:rsid w:val="00313E52"/>
    <w:rsid w:val="003148AB"/>
    <w:rsid w:val="00315425"/>
    <w:rsid w:val="00315CE4"/>
    <w:rsid w:val="0031729E"/>
    <w:rsid w:val="00317348"/>
    <w:rsid w:val="00321A71"/>
    <w:rsid w:val="003226F9"/>
    <w:rsid w:val="0032368A"/>
    <w:rsid w:val="00323694"/>
    <w:rsid w:val="00323978"/>
    <w:rsid w:val="00324478"/>
    <w:rsid w:val="00325D19"/>
    <w:rsid w:val="003262D3"/>
    <w:rsid w:val="0032677B"/>
    <w:rsid w:val="0033036E"/>
    <w:rsid w:val="00330F85"/>
    <w:rsid w:val="00331089"/>
    <w:rsid w:val="003311AE"/>
    <w:rsid w:val="0033299D"/>
    <w:rsid w:val="00332A09"/>
    <w:rsid w:val="00333698"/>
    <w:rsid w:val="0033473C"/>
    <w:rsid w:val="0033500E"/>
    <w:rsid w:val="00335461"/>
    <w:rsid w:val="0033577E"/>
    <w:rsid w:val="00337037"/>
    <w:rsid w:val="00337ED2"/>
    <w:rsid w:val="00337FA3"/>
    <w:rsid w:val="00340B29"/>
    <w:rsid w:val="00342721"/>
    <w:rsid w:val="00343243"/>
    <w:rsid w:val="00343F06"/>
    <w:rsid w:val="00344135"/>
    <w:rsid w:val="00345921"/>
    <w:rsid w:val="00346CFA"/>
    <w:rsid w:val="0034746E"/>
    <w:rsid w:val="0035098A"/>
    <w:rsid w:val="00351AA6"/>
    <w:rsid w:val="00351E24"/>
    <w:rsid w:val="00353359"/>
    <w:rsid w:val="003554FC"/>
    <w:rsid w:val="0035562B"/>
    <w:rsid w:val="00356DDC"/>
    <w:rsid w:val="0035776D"/>
    <w:rsid w:val="003614E7"/>
    <w:rsid w:val="00361BA1"/>
    <w:rsid w:val="0036277A"/>
    <w:rsid w:val="00362B8C"/>
    <w:rsid w:val="00363B9D"/>
    <w:rsid w:val="00364962"/>
    <w:rsid w:val="00364F13"/>
    <w:rsid w:val="00365910"/>
    <w:rsid w:val="00366386"/>
    <w:rsid w:val="00366F18"/>
    <w:rsid w:val="0036794C"/>
    <w:rsid w:val="003679AE"/>
    <w:rsid w:val="00371ABD"/>
    <w:rsid w:val="0037245E"/>
    <w:rsid w:val="003729D1"/>
    <w:rsid w:val="00372FED"/>
    <w:rsid w:val="00374652"/>
    <w:rsid w:val="00374C6F"/>
    <w:rsid w:val="0037506C"/>
    <w:rsid w:val="003757D2"/>
    <w:rsid w:val="00376273"/>
    <w:rsid w:val="00376298"/>
    <w:rsid w:val="00376F3B"/>
    <w:rsid w:val="003775B0"/>
    <w:rsid w:val="0038280B"/>
    <w:rsid w:val="003831C3"/>
    <w:rsid w:val="00383A5E"/>
    <w:rsid w:val="0038448F"/>
    <w:rsid w:val="00384AB0"/>
    <w:rsid w:val="00385DA3"/>
    <w:rsid w:val="00385FE7"/>
    <w:rsid w:val="0038688C"/>
    <w:rsid w:val="003871D3"/>
    <w:rsid w:val="003873FB"/>
    <w:rsid w:val="00387B94"/>
    <w:rsid w:val="00387E7D"/>
    <w:rsid w:val="003932AA"/>
    <w:rsid w:val="00393370"/>
    <w:rsid w:val="00393A4B"/>
    <w:rsid w:val="00394658"/>
    <w:rsid w:val="0039481F"/>
    <w:rsid w:val="003956FC"/>
    <w:rsid w:val="00397A1C"/>
    <w:rsid w:val="003A014A"/>
    <w:rsid w:val="003A062F"/>
    <w:rsid w:val="003A0917"/>
    <w:rsid w:val="003A18F9"/>
    <w:rsid w:val="003A1BA5"/>
    <w:rsid w:val="003A1BAF"/>
    <w:rsid w:val="003A1CD9"/>
    <w:rsid w:val="003A2850"/>
    <w:rsid w:val="003A2D39"/>
    <w:rsid w:val="003A2EFD"/>
    <w:rsid w:val="003A3060"/>
    <w:rsid w:val="003A3229"/>
    <w:rsid w:val="003A4226"/>
    <w:rsid w:val="003A60AE"/>
    <w:rsid w:val="003A6521"/>
    <w:rsid w:val="003A6A0C"/>
    <w:rsid w:val="003A769D"/>
    <w:rsid w:val="003A7CE1"/>
    <w:rsid w:val="003B1DDC"/>
    <w:rsid w:val="003B2703"/>
    <w:rsid w:val="003B3ECE"/>
    <w:rsid w:val="003B47D7"/>
    <w:rsid w:val="003B5267"/>
    <w:rsid w:val="003B66BD"/>
    <w:rsid w:val="003B6C36"/>
    <w:rsid w:val="003C057A"/>
    <w:rsid w:val="003C2EC2"/>
    <w:rsid w:val="003C3312"/>
    <w:rsid w:val="003C35B1"/>
    <w:rsid w:val="003C460B"/>
    <w:rsid w:val="003C4931"/>
    <w:rsid w:val="003C4E05"/>
    <w:rsid w:val="003C52BE"/>
    <w:rsid w:val="003C589E"/>
    <w:rsid w:val="003C5F80"/>
    <w:rsid w:val="003C6231"/>
    <w:rsid w:val="003C6873"/>
    <w:rsid w:val="003C6B7C"/>
    <w:rsid w:val="003C7839"/>
    <w:rsid w:val="003D00D0"/>
    <w:rsid w:val="003D05C5"/>
    <w:rsid w:val="003D0B39"/>
    <w:rsid w:val="003D1468"/>
    <w:rsid w:val="003D18D2"/>
    <w:rsid w:val="003D2548"/>
    <w:rsid w:val="003D31F3"/>
    <w:rsid w:val="003D4417"/>
    <w:rsid w:val="003D4CF5"/>
    <w:rsid w:val="003D4FA6"/>
    <w:rsid w:val="003D5C02"/>
    <w:rsid w:val="003D5FC3"/>
    <w:rsid w:val="003D77A3"/>
    <w:rsid w:val="003E0E5E"/>
    <w:rsid w:val="003E1A02"/>
    <w:rsid w:val="003E2031"/>
    <w:rsid w:val="003E23DD"/>
    <w:rsid w:val="003E29C8"/>
    <w:rsid w:val="003E4B82"/>
    <w:rsid w:val="003E5184"/>
    <w:rsid w:val="003E6500"/>
    <w:rsid w:val="003E68C9"/>
    <w:rsid w:val="003E6B01"/>
    <w:rsid w:val="003E736A"/>
    <w:rsid w:val="003F0B83"/>
    <w:rsid w:val="003F124E"/>
    <w:rsid w:val="003F1FF3"/>
    <w:rsid w:val="003F22DD"/>
    <w:rsid w:val="003F2E90"/>
    <w:rsid w:val="003F37AC"/>
    <w:rsid w:val="003F4977"/>
    <w:rsid w:val="003F5519"/>
    <w:rsid w:val="003F610A"/>
    <w:rsid w:val="003F6636"/>
    <w:rsid w:val="003F67E9"/>
    <w:rsid w:val="003F6965"/>
    <w:rsid w:val="003F72CE"/>
    <w:rsid w:val="003F748E"/>
    <w:rsid w:val="003F7E94"/>
    <w:rsid w:val="003F7E99"/>
    <w:rsid w:val="003F7EF9"/>
    <w:rsid w:val="00400AFC"/>
    <w:rsid w:val="00400E05"/>
    <w:rsid w:val="004014A9"/>
    <w:rsid w:val="0040168E"/>
    <w:rsid w:val="00401F49"/>
    <w:rsid w:val="00402602"/>
    <w:rsid w:val="004040C9"/>
    <w:rsid w:val="0040487D"/>
    <w:rsid w:val="00405F25"/>
    <w:rsid w:val="00407FCD"/>
    <w:rsid w:val="00410A14"/>
    <w:rsid w:val="00411395"/>
    <w:rsid w:val="00411F82"/>
    <w:rsid w:val="00413078"/>
    <w:rsid w:val="00414539"/>
    <w:rsid w:val="004148A2"/>
    <w:rsid w:val="004148B3"/>
    <w:rsid w:val="004148F0"/>
    <w:rsid w:val="00414C80"/>
    <w:rsid w:val="00415A0E"/>
    <w:rsid w:val="0041668E"/>
    <w:rsid w:val="00416786"/>
    <w:rsid w:val="00416A66"/>
    <w:rsid w:val="004204F8"/>
    <w:rsid w:val="004206AC"/>
    <w:rsid w:val="00420E2B"/>
    <w:rsid w:val="0042163B"/>
    <w:rsid w:val="004216C6"/>
    <w:rsid w:val="00422CFF"/>
    <w:rsid w:val="0042360D"/>
    <w:rsid w:val="00423E62"/>
    <w:rsid w:val="004252A4"/>
    <w:rsid w:val="00425B74"/>
    <w:rsid w:val="00426AA9"/>
    <w:rsid w:val="00426D2F"/>
    <w:rsid w:val="00426DEA"/>
    <w:rsid w:val="004304A0"/>
    <w:rsid w:val="00431321"/>
    <w:rsid w:val="004314F2"/>
    <w:rsid w:val="00431B58"/>
    <w:rsid w:val="0043342F"/>
    <w:rsid w:val="00433466"/>
    <w:rsid w:val="00434924"/>
    <w:rsid w:val="00434984"/>
    <w:rsid w:val="00435E61"/>
    <w:rsid w:val="00435FBD"/>
    <w:rsid w:val="004368C0"/>
    <w:rsid w:val="00436B1F"/>
    <w:rsid w:val="004405BB"/>
    <w:rsid w:val="00440613"/>
    <w:rsid w:val="00442888"/>
    <w:rsid w:val="00443762"/>
    <w:rsid w:val="00443DB8"/>
    <w:rsid w:val="00445A57"/>
    <w:rsid w:val="00445DEC"/>
    <w:rsid w:val="00445E41"/>
    <w:rsid w:val="00445FCD"/>
    <w:rsid w:val="0044647F"/>
    <w:rsid w:val="004464A5"/>
    <w:rsid w:val="00447C1C"/>
    <w:rsid w:val="00450B48"/>
    <w:rsid w:val="004513F5"/>
    <w:rsid w:val="0045181C"/>
    <w:rsid w:val="004533E1"/>
    <w:rsid w:val="00453AB2"/>
    <w:rsid w:val="00453DFB"/>
    <w:rsid w:val="00454172"/>
    <w:rsid w:val="004541B3"/>
    <w:rsid w:val="004554A6"/>
    <w:rsid w:val="00455723"/>
    <w:rsid w:val="004558B8"/>
    <w:rsid w:val="00455BE1"/>
    <w:rsid w:val="004566AA"/>
    <w:rsid w:val="00457AA5"/>
    <w:rsid w:val="0046178B"/>
    <w:rsid w:val="00461B69"/>
    <w:rsid w:val="0046224D"/>
    <w:rsid w:val="004629F8"/>
    <w:rsid w:val="00462B4C"/>
    <w:rsid w:val="00462C1F"/>
    <w:rsid w:val="00462E37"/>
    <w:rsid w:val="00463533"/>
    <w:rsid w:val="004656E1"/>
    <w:rsid w:val="00466F8B"/>
    <w:rsid w:val="00467089"/>
    <w:rsid w:val="004672F0"/>
    <w:rsid w:val="0046740E"/>
    <w:rsid w:val="00470C37"/>
    <w:rsid w:val="004726A6"/>
    <w:rsid w:val="00472A3C"/>
    <w:rsid w:val="0047325D"/>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44B"/>
    <w:rsid w:val="00493A73"/>
    <w:rsid w:val="00493E24"/>
    <w:rsid w:val="00493FE8"/>
    <w:rsid w:val="00495BD3"/>
    <w:rsid w:val="00496016"/>
    <w:rsid w:val="004969CF"/>
    <w:rsid w:val="00496D21"/>
    <w:rsid w:val="004976D3"/>
    <w:rsid w:val="00497BBB"/>
    <w:rsid w:val="004A0533"/>
    <w:rsid w:val="004A0D4E"/>
    <w:rsid w:val="004A1AE9"/>
    <w:rsid w:val="004A1FF3"/>
    <w:rsid w:val="004A2813"/>
    <w:rsid w:val="004A34D9"/>
    <w:rsid w:val="004A3D0A"/>
    <w:rsid w:val="004A435F"/>
    <w:rsid w:val="004A43FB"/>
    <w:rsid w:val="004A4DA8"/>
    <w:rsid w:val="004A5556"/>
    <w:rsid w:val="004A5DD5"/>
    <w:rsid w:val="004A6974"/>
    <w:rsid w:val="004A6DB2"/>
    <w:rsid w:val="004A774F"/>
    <w:rsid w:val="004A7974"/>
    <w:rsid w:val="004B0933"/>
    <w:rsid w:val="004B1A84"/>
    <w:rsid w:val="004B1CF8"/>
    <w:rsid w:val="004B2863"/>
    <w:rsid w:val="004B298A"/>
    <w:rsid w:val="004B2A0E"/>
    <w:rsid w:val="004B33A9"/>
    <w:rsid w:val="004B3BDC"/>
    <w:rsid w:val="004B5169"/>
    <w:rsid w:val="004B5E5E"/>
    <w:rsid w:val="004B6CEC"/>
    <w:rsid w:val="004B6E30"/>
    <w:rsid w:val="004B738A"/>
    <w:rsid w:val="004C017E"/>
    <w:rsid w:val="004C0BB6"/>
    <w:rsid w:val="004C1041"/>
    <w:rsid w:val="004C14A2"/>
    <w:rsid w:val="004C169E"/>
    <w:rsid w:val="004C1906"/>
    <w:rsid w:val="004C2119"/>
    <w:rsid w:val="004C24D0"/>
    <w:rsid w:val="004C2B65"/>
    <w:rsid w:val="004C44EC"/>
    <w:rsid w:val="004C4A18"/>
    <w:rsid w:val="004C51F4"/>
    <w:rsid w:val="004C5BC0"/>
    <w:rsid w:val="004C645E"/>
    <w:rsid w:val="004C750C"/>
    <w:rsid w:val="004C75FC"/>
    <w:rsid w:val="004D0641"/>
    <w:rsid w:val="004D0A46"/>
    <w:rsid w:val="004D1638"/>
    <w:rsid w:val="004D18FD"/>
    <w:rsid w:val="004D299F"/>
    <w:rsid w:val="004D2BFC"/>
    <w:rsid w:val="004D3454"/>
    <w:rsid w:val="004D4149"/>
    <w:rsid w:val="004D47D0"/>
    <w:rsid w:val="004D67ED"/>
    <w:rsid w:val="004E1223"/>
    <w:rsid w:val="004E12E7"/>
    <w:rsid w:val="004E142C"/>
    <w:rsid w:val="004E16FC"/>
    <w:rsid w:val="004E2E8D"/>
    <w:rsid w:val="004E399C"/>
    <w:rsid w:val="004E3B4C"/>
    <w:rsid w:val="004E4146"/>
    <w:rsid w:val="004E4BF0"/>
    <w:rsid w:val="004E5A16"/>
    <w:rsid w:val="004E65E7"/>
    <w:rsid w:val="004E7EF4"/>
    <w:rsid w:val="004F0C55"/>
    <w:rsid w:val="004F2320"/>
    <w:rsid w:val="004F293C"/>
    <w:rsid w:val="004F39B0"/>
    <w:rsid w:val="004F43AE"/>
    <w:rsid w:val="004F4498"/>
    <w:rsid w:val="004F5DAB"/>
    <w:rsid w:val="004F6D6A"/>
    <w:rsid w:val="00501469"/>
    <w:rsid w:val="0050158B"/>
    <w:rsid w:val="00503328"/>
    <w:rsid w:val="005033BD"/>
    <w:rsid w:val="005040A4"/>
    <w:rsid w:val="00504212"/>
    <w:rsid w:val="005042B0"/>
    <w:rsid w:val="00505ED6"/>
    <w:rsid w:val="005070AC"/>
    <w:rsid w:val="00507646"/>
    <w:rsid w:val="00507A84"/>
    <w:rsid w:val="00507F5E"/>
    <w:rsid w:val="0051086A"/>
    <w:rsid w:val="00510B49"/>
    <w:rsid w:val="00511502"/>
    <w:rsid w:val="005116E0"/>
    <w:rsid w:val="00511A54"/>
    <w:rsid w:val="00511C5B"/>
    <w:rsid w:val="00512F37"/>
    <w:rsid w:val="0051385E"/>
    <w:rsid w:val="00513ABC"/>
    <w:rsid w:val="0051432F"/>
    <w:rsid w:val="00515CE0"/>
    <w:rsid w:val="005174B4"/>
    <w:rsid w:val="00517966"/>
    <w:rsid w:val="00517A18"/>
    <w:rsid w:val="00517B04"/>
    <w:rsid w:val="00520347"/>
    <w:rsid w:val="00520B29"/>
    <w:rsid w:val="0052417B"/>
    <w:rsid w:val="00524F94"/>
    <w:rsid w:val="00525221"/>
    <w:rsid w:val="005253FB"/>
    <w:rsid w:val="0052587E"/>
    <w:rsid w:val="00525C61"/>
    <w:rsid w:val="00525E5B"/>
    <w:rsid w:val="00526082"/>
    <w:rsid w:val="005266EE"/>
    <w:rsid w:val="00526CB3"/>
    <w:rsid w:val="005303AE"/>
    <w:rsid w:val="0053112E"/>
    <w:rsid w:val="0053226F"/>
    <w:rsid w:val="00532A55"/>
    <w:rsid w:val="005330C0"/>
    <w:rsid w:val="005334BF"/>
    <w:rsid w:val="0053411F"/>
    <w:rsid w:val="00534A70"/>
    <w:rsid w:val="00534ADA"/>
    <w:rsid w:val="00535337"/>
    <w:rsid w:val="00535B9F"/>
    <w:rsid w:val="00535D36"/>
    <w:rsid w:val="00536686"/>
    <w:rsid w:val="005370ED"/>
    <w:rsid w:val="00537E43"/>
    <w:rsid w:val="00537F3D"/>
    <w:rsid w:val="00541938"/>
    <w:rsid w:val="00541976"/>
    <w:rsid w:val="005419B7"/>
    <w:rsid w:val="00541AB5"/>
    <w:rsid w:val="00541D4C"/>
    <w:rsid w:val="0054212E"/>
    <w:rsid w:val="00542E23"/>
    <w:rsid w:val="00544290"/>
    <w:rsid w:val="00544701"/>
    <w:rsid w:val="0054473C"/>
    <w:rsid w:val="00545B18"/>
    <w:rsid w:val="00545C91"/>
    <w:rsid w:val="005465A4"/>
    <w:rsid w:val="0054783B"/>
    <w:rsid w:val="00547D3C"/>
    <w:rsid w:val="00547ED5"/>
    <w:rsid w:val="00550354"/>
    <w:rsid w:val="00550EA3"/>
    <w:rsid w:val="0055166A"/>
    <w:rsid w:val="00551734"/>
    <w:rsid w:val="005527CB"/>
    <w:rsid w:val="005534D0"/>
    <w:rsid w:val="00553D48"/>
    <w:rsid w:val="00554415"/>
    <w:rsid w:val="005546AC"/>
    <w:rsid w:val="00556276"/>
    <w:rsid w:val="005562FE"/>
    <w:rsid w:val="00556649"/>
    <w:rsid w:val="005576D3"/>
    <w:rsid w:val="00557769"/>
    <w:rsid w:val="005577F6"/>
    <w:rsid w:val="00560CAF"/>
    <w:rsid w:val="00561782"/>
    <w:rsid w:val="00561E83"/>
    <w:rsid w:val="005622B2"/>
    <w:rsid w:val="005623E4"/>
    <w:rsid w:val="005635C7"/>
    <w:rsid w:val="005635DE"/>
    <w:rsid w:val="00564347"/>
    <w:rsid w:val="00564A3A"/>
    <w:rsid w:val="0056644F"/>
    <w:rsid w:val="00570166"/>
    <w:rsid w:val="005707A0"/>
    <w:rsid w:val="00570AAF"/>
    <w:rsid w:val="00570B7C"/>
    <w:rsid w:val="00570C44"/>
    <w:rsid w:val="00570F9F"/>
    <w:rsid w:val="005716B0"/>
    <w:rsid w:val="005723C9"/>
    <w:rsid w:val="005728E0"/>
    <w:rsid w:val="00572F0F"/>
    <w:rsid w:val="005735C1"/>
    <w:rsid w:val="005739E8"/>
    <w:rsid w:val="005741DB"/>
    <w:rsid w:val="005779DF"/>
    <w:rsid w:val="005801C9"/>
    <w:rsid w:val="00580301"/>
    <w:rsid w:val="00581394"/>
    <w:rsid w:val="00581536"/>
    <w:rsid w:val="00581700"/>
    <w:rsid w:val="0058237E"/>
    <w:rsid w:val="00583846"/>
    <w:rsid w:val="00583C04"/>
    <w:rsid w:val="00583E56"/>
    <w:rsid w:val="0058416D"/>
    <w:rsid w:val="00584F6A"/>
    <w:rsid w:val="00585891"/>
    <w:rsid w:val="00586953"/>
    <w:rsid w:val="00587D61"/>
    <w:rsid w:val="00587F15"/>
    <w:rsid w:val="00593650"/>
    <w:rsid w:val="005936D3"/>
    <w:rsid w:val="0059389D"/>
    <w:rsid w:val="0059427C"/>
    <w:rsid w:val="005947FD"/>
    <w:rsid w:val="00595965"/>
    <w:rsid w:val="00595AA6"/>
    <w:rsid w:val="00595B6F"/>
    <w:rsid w:val="00595D16"/>
    <w:rsid w:val="0059614C"/>
    <w:rsid w:val="00596D6C"/>
    <w:rsid w:val="005970EF"/>
    <w:rsid w:val="00597B41"/>
    <w:rsid w:val="005A0174"/>
    <w:rsid w:val="005A09FD"/>
    <w:rsid w:val="005A1325"/>
    <w:rsid w:val="005A240D"/>
    <w:rsid w:val="005A2C4B"/>
    <w:rsid w:val="005A34D4"/>
    <w:rsid w:val="005A371B"/>
    <w:rsid w:val="005A3CF3"/>
    <w:rsid w:val="005A42D8"/>
    <w:rsid w:val="005A4B8D"/>
    <w:rsid w:val="005A4DCE"/>
    <w:rsid w:val="005A5F06"/>
    <w:rsid w:val="005A665F"/>
    <w:rsid w:val="005A6C97"/>
    <w:rsid w:val="005A71D0"/>
    <w:rsid w:val="005A737C"/>
    <w:rsid w:val="005A759F"/>
    <w:rsid w:val="005B030C"/>
    <w:rsid w:val="005B09AE"/>
    <w:rsid w:val="005B176A"/>
    <w:rsid w:val="005B25E7"/>
    <w:rsid w:val="005B2779"/>
    <w:rsid w:val="005B2D8B"/>
    <w:rsid w:val="005B3300"/>
    <w:rsid w:val="005B38D3"/>
    <w:rsid w:val="005B43ED"/>
    <w:rsid w:val="005B5012"/>
    <w:rsid w:val="005B5F77"/>
    <w:rsid w:val="005B64BE"/>
    <w:rsid w:val="005B6DDC"/>
    <w:rsid w:val="005B6E88"/>
    <w:rsid w:val="005B7DAE"/>
    <w:rsid w:val="005C00B5"/>
    <w:rsid w:val="005C04F5"/>
    <w:rsid w:val="005C0FE1"/>
    <w:rsid w:val="005C187A"/>
    <w:rsid w:val="005C18E4"/>
    <w:rsid w:val="005C1BE3"/>
    <w:rsid w:val="005C3F49"/>
    <w:rsid w:val="005C55CC"/>
    <w:rsid w:val="005C5D85"/>
    <w:rsid w:val="005C676C"/>
    <w:rsid w:val="005C6FEA"/>
    <w:rsid w:val="005C73C6"/>
    <w:rsid w:val="005C77DA"/>
    <w:rsid w:val="005D01C6"/>
    <w:rsid w:val="005D04A7"/>
    <w:rsid w:val="005D0924"/>
    <w:rsid w:val="005D1023"/>
    <w:rsid w:val="005D2596"/>
    <w:rsid w:val="005D3B0C"/>
    <w:rsid w:val="005D4CF7"/>
    <w:rsid w:val="005D5608"/>
    <w:rsid w:val="005D622B"/>
    <w:rsid w:val="005D71E6"/>
    <w:rsid w:val="005D74DD"/>
    <w:rsid w:val="005E111E"/>
    <w:rsid w:val="005E177A"/>
    <w:rsid w:val="005E206D"/>
    <w:rsid w:val="005E2EA7"/>
    <w:rsid w:val="005E3103"/>
    <w:rsid w:val="005E3D91"/>
    <w:rsid w:val="005E4B25"/>
    <w:rsid w:val="005E5320"/>
    <w:rsid w:val="005E54E2"/>
    <w:rsid w:val="005E550C"/>
    <w:rsid w:val="005E59A2"/>
    <w:rsid w:val="005E5E8A"/>
    <w:rsid w:val="005F0388"/>
    <w:rsid w:val="005F05D8"/>
    <w:rsid w:val="005F0ED7"/>
    <w:rsid w:val="005F108F"/>
    <w:rsid w:val="005F114D"/>
    <w:rsid w:val="005F25DC"/>
    <w:rsid w:val="005F2C93"/>
    <w:rsid w:val="005F2D5D"/>
    <w:rsid w:val="005F370D"/>
    <w:rsid w:val="005F425F"/>
    <w:rsid w:val="005F4BCA"/>
    <w:rsid w:val="005F503C"/>
    <w:rsid w:val="005F530B"/>
    <w:rsid w:val="005F5674"/>
    <w:rsid w:val="005F5BFD"/>
    <w:rsid w:val="005F68D1"/>
    <w:rsid w:val="005F7133"/>
    <w:rsid w:val="005F7951"/>
    <w:rsid w:val="00600941"/>
    <w:rsid w:val="0060133E"/>
    <w:rsid w:val="006013B7"/>
    <w:rsid w:val="00601413"/>
    <w:rsid w:val="00601B59"/>
    <w:rsid w:val="00601E3F"/>
    <w:rsid w:val="006029BC"/>
    <w:rsid w:val="00602C7B"/>
    <w:rsid w:val="0060306F"/>
    <w:rsid w:val="006034E0"/>
    <w:rsid w:val="00603978"/>
    <w:rsid w:val="00603BE1"/>
    <w:rsid w:val="00603E86"/>
    <w:rsid w:val="00606349"/>
    <w:rsid w:val="00606713"/>
    <w:rsid w:val="00606833"/>
    <w:rsid w:val="00607993"/>
    <w:rsid w:val="00607D68"/>
    <w:rsid w:val="006102EF"/>
    <w:rsid w:val="00610E0D"/>
    <w:rsid w:val="00611004"/>
    <w:rsid w:val="0061161C"/>
    <w:rsid w:val="00611C74"/>
    <w:rsid w:val="0061208B"/>
    <w:rsid w:val="00612984"/>
    <w:rsid w:val="00612C9D"/>
    <w:rsid w:val="00613084"/>
    <w:rsid w:val="00614E14"/>
    <w:rsid w:val="00615F1D"/>
    <w:rsid w:val="006161AE"/>
    <w:rsid w:val="00616B27"/>
    <w:rsid w:val="00616DAE"/>
    <w:rsid w:val="006170D1"/>
    <w:rsid w:val="00617722"/>
    <w:rsid w:val="00617AD6"/>
    <w:rsid w:val="006202C7"/>
    <w:rsid w:val="0062036B"/>
    <w:rsid w:val="00620375"/>
    <w:rsid w:val="00620ABC"/>
    <w:rsid w:val="00621B90"/>
    <w:rsid w:val="00621D4C"/>
    <w:rsid w:val="0062209A"/>
    <w:rsid w:val="006224E5"/>
    <w:rsid w:val="0062285D"/>
    <w:rsid w:val="0062298A"/>
    <w:rsid w:val="0062330B"/>
    <w:rsid w:val="006237A8"/>
    <w:rsid w:val="0062399F"/>
    <w:rsid w:val="0062449D"/>
    <w:rsid w:val="0062453A"/>
    <w:rsid w:val="00624C5F"/>
    <w:rsid w:val="00624E84"/>
    <w:rsid w:val="00625000"/>
    <w:rsid w:val="006255FF"/>
    <w:rsid w:val="0062696E"/>
    <w:rsid w:val="00630102"/>
    <w:rsid w:val="006303A9"/>
    <w:rsid w:val="0063050E"/>
    <w:rsid w:val="00631270"/>
    <w:rsid w:val="006312A9"/>
    <w:rsid w:val="00632524"/>
    <w:rsid w:val="00633189"/>
    <w:rsid w:val="00633A8C"/>
    <w:rsid w:val="0063412C"/>
    <w:rsid w:val="00634B5E"/>
    <w:rsid w:val="006356EF"/>
    <w:rsid w:val="0063619F"/>
    <w:rsid w:val="00636C49"/>
    <w:rsid w:val="00637AAC"/>
    <w:rsid w:val="0064041A"/>
    <w:rsid w:val="006428E7"/>
    <w:rsid w:val="0064358D"/>
    <w:rsid w:val="00644938"/>
    <w:rsid w:val="006458D8"/>
    <w:rsid w:val="006471BC"/>
    <w:rsid w:val="0065030A"/>
    <w:rsid w:val="0065083A"/>
    <w:rsid w:val="00650B9D"/>
    <w:rsid w:val="00651CDE"/>
    <w:rsid w:val="00654D43"/>
    <w:rsid w:val="006564E8"/>
    <w:rsid w:val="006565A5"/>
    <w:rsid w:val="006566E6"/>
    <w:rsid w:val="006568CA"/>
    <w:rsid w:val="006575A2"/>
    <w:rsid w:val="00657FD8"/>
    <w:rsid w:val="0066078A"/>
    <w:rsid w:val="00661403"/>
    <w:rsid w:val="006617F4"/>
    <w:rsid w:val="006620D7"/>
    <w:rsid w:val="00664174"/>
    <w:rsid w:val="00664839"/>
    <w:rsid w:val="00664E3C"/>
    <w:rsid w:val="00665692"/>
    <w:rsid w:val="0066638D"/>
    <w:rsid w:val="006666DB"/>
    <w:rsid w:val="00666734"/>
    <w:rsid w:val="00667EFD"/>
    <w:rsid w:val="00670FDE"/>
    <w:rsid w:val="0067192C"/>
    <w:rsid w:val="0067193C"/>
    <w:rsid w:val="00671D47"/>
    <w:rsid w:val="00672E0C"/>
    <w:rsid w:val="00673B8D"/>
    <w:rsid w:val="00675254"/>
    <w:rsid w:val="00675389"/>
    <w:rsid w:val="00675544"/>
    <w:rsid w:val="00676712"/>
    <w:rsid w:val="00676789"/>
    <w:rsid w:val="00676F8E"/>
    <w:rsid w:val="006801D6"/>
    <w:rsid w:val="006813FC"/>
    <w:rsid w:val="00681BF6"/>
    <w:rsid w:val="0068263D"/>
    <w:rsid w:val="00682675"/>
    <w:rsid w:val="00683AFC"/>
    <w:rsid w:val="00684C86"/>
    <w:rsid w:val="00685C08"/>
    <w:rsid w:val="00685EC8"/>
    <w:rsid w:val="006866E8"/>
    <w:rsid w:val="006869A3"/>
    <w:rsid w:val="00686DB7"/>
    <w:rsid w:val="00686E38"/>
    <w:rsid w:val="00687035"/>
    <w:rsid w:val="00690FF5"/>
    <w:rsid w:val="0069110A"/>
    <w:rsid w:val="00691696"/>
    <w:rsid w:val="0069220C"/>
    <w:rsid w:val="00692C9E"/>
    <w:rsid w:val="00692CE8"/>
    <w:rsid w:val="00693EE0"/>
    <w:rsid w:val="006949D0"/>
    <w:rsid w:val="00694FFC"/>
    <w:rsid w:val="00695F21"/>
    <w:rsid w:val="006975EE"/>
    <w:rsid w:val="006A040A"/>
    <w:rsid w:val="006A0BC8"/>
    <w:rsid w:val="006A0EEA"/>
    <w:rsid w:val="006A12B3"/>
    <w:rsid w:val="006A20FD"/>
    <w:rsid w:val="006A224C"/>
    <w:rsid w:val="006A39F0"/>
    <w:rsid w:val="006A45E2"/>
    <w:rsid w:val="006A4626"/>
    <w:rsid w:val="006A6402"/>
    <w:rsid w:val="006A6790"/>
    <w:rsid w:val="006A6936"/>
    <w:rsid w:val="006A6FA3"/>
    <w:rsid w:val="006A719F"/>
    <w:rsid w:val="006A729F"/>
    <w:rsid w:val="006A72D9"/>
    <w:rsid w:val="006B010C"/>
    <w:rsid w:val="006B0EE0"/>
    <w:rsid w:val="006B1393"/>
    <w:rsid w:val="006B1C5C"/>
    <w:rsid w:val="006B1D17"/>
    <w:rsid w:val="006B31BF"/>
    <w:rsid w:val="006B4F4B"/>
    <w:rsid w:val="006B5B29"/>
    <w:rsid w:val="006B6E28"/>
    <w:rsid w:val="006B7640"/>
    <w:rsid w:val="006B79AE"/>
    <w:rsid w:val="006C0FB0"/>
    <w:rsid w:val="006C1357"/>
    <w:rsid w:val="006C1B86"/>
    <w:rsid w:val="006C1C7C"/>
    <w:rsid w:val="006C2019"/>
    <w:rsid w:val="006C2E65"/>
    <w:rsid w:val="006C315B"/>
    <w:rsid w:val="006C335B"/>
    <w:rsid w:val="006C3C9C"/>
    <w:rsid w:val="006C4491"/>
    <w:rsid w:val="006C510E"/>
    <w:rsid w:val="006C5AB6"/>
    <w:rsid w:val="006C5D91"/>
    <w:rsid w:val="006C628F"/>
    <w:rsid w:val="006C7818"/>
    <w:rsid w:val="006C7C3A"/>
    <w:rsid w:val="006C7DA0"/>
    <w:rsid w:val="006C7DF0"/>
    <w:rsid w:val="006D03F4"/>
    <w:rsid w:val="006D0D53"/>
    <w:rsid w:val="006D1309"/>
    <w:rsid w:val="006D20B6"/>
    <w:rsid w:val="006D2827"/>
    <w:rsid w:val="006D42E6"/>
    <w:rsid w:val="006D45F8"/>
    <w:rsid w:val="006D55FB"/>
    <w:rsid w:val="006D58E9"/>
    <w:rsid w:val="006D6EC8"/>
    <w:rsid w:val="006D6FD6"/>
    <w:rsid w:val="006D7239"/>
    <w:rsid w:val="006D7309"/>
    <w:rsid w:val="006D7720"/>
    <w:rsid w:val="006D7CE3"/>
    <w:rsid w:val="006D7D1E"/>
    <w:rsid w:val="006D7D28"/>
    <w:rsid w:val="006D7E3C"/>
    <w:rsid w:val="006E0085"/>
    <w:rsid w:val="006E008E"/>
    <w:rsid w:val="006E0E2B"/>
    <w:rsid w:val="006E0EBE"/>
    <w:rsid w:val="006E12D3"/>
    <w:rsid w:val="006E186F"/>
    <w:rsid w:val="006E2332"/>
    <w:rsid w:val="006E23B9"/>
    <w:rsid w:val="006E282F"/>
    <w:rsid w:val="006E39F6"/>
    <w:rsid w:val="006E3C13"/>
    <w:rsid w:val="006E5087"/>
    <w:rsid w:val="006E605D"/>
    <w:rsid w:val="006E720D"/>
    <w:rsid w:val="006E72E0"/>
    <w:rsid w:val="006E7625"/>
    <w:rsid w:val="006E7893"/>
    <w:rsid w:val="006E7CF6"/>
    <w:rsid w:val="006F0064"/>
    <w:rsid w:val="006F0225"/>
    <w:rsid w:val="006F0C14"/>
    <w:rsid w:val="006F1B0D"/>
    <w:rsid w:val="006F1ECE"/>
    <w:rsid w:val="006F2462"/>
    <w:rsid w:val="006F30F3"/>
    <w:rsid w:val="006F33CC"/>
    <w:rsid w:val="006F350E"/>
    <w:rsid w:val="006F3B57"/>
    <w:rsid w:val="006F40AE"/>
    <w:rsid w:val="006F5F4F"/>
    <w:rsid w:val="006F6538"/>
    <w:rsid w:val="006F6A8A"/>
    <w:rsid w:val="007001DA"/>
    <w:rsid w:val="0070025D"/>
    <w:rsid w:val="00700E00"/>
    <w:rsid w:val="0070191B"/>
    <w:rsid w:val="00701ABB"/>
    <w:rsid w:val="0070292E"/>
    <w:rsid w:val="00703B5C"/>
    <w:rsid w:val="00710AB8"/>
    <w:rsid w:val="007110A1"/>
    <w:rsid w:val="00711747"/>
    <w:rsid w:val="007118D0"/>
    <w:rsid w:val="0071216E"/>
    <w:rsid w:val="00712849"/>
    <w:rsid w:val="00715BA6"/>
    <w:rsid w:val="007160A1"/>
    <w:rsid w:val="0071615A"/>
    <w:rsid w:val="00716B4E"/>
    <w:rsid w:val="00717091"/>
    <w:rsid w:val="007176D4"/>
    <w:rsid w:val="007204D0"/>
    <w:rsid w:val="00720732"/>
    <w:rsid w:val="007207C8"/>
    <w:rsid w:val="00720894"/>
    <w:rsid w:val="00720B0F"/>
    <w:rsid w:val="007218EE"/>
    <w:rsid w:val="00721AFD"/>
    <w:rsid w:val="00721D04"/>
    <w:rsid w:val="00721D81"/>
    <w:rsid w:val="00721D82"/>
    <w:rsid w:val="00722035"/>
    <w:rsid w:val="007222B0"/>
    <w:rsid w:val="00722748"/>
    <w:rsid w:val="00722E88"/>
    <w:rsid w:val="00723282"/>
    <w:rsid w:val="00723964"/>
    <w:rsid w:val="00723FF6"/>
    <w:rsid w:val="00724046"/>
    <w:rsid w:val="0072501D"/>
    <w:rsid w:val="0072566A"/>
    <w:rsid w:val="00725F4E"/>
    <w:rsid w:val="00726E49"/>
    <w:rsid w:val="007272BD"/>
    <w:rsid w:val="00727A5B"/>
    <w:rsid w:val="007300B0"/>
    <w:rsid w:val="00730724"/>
    <w:rsid w:val="00731B68"/>
    <w:rsid w:val="00731DBC"/>
    <w:rsid w:val="007331D7"/>
    <w:rsid w:val="00733FE0"/>
    <w:rsid w:val="00734941"/>
    <w:rsid w:val="00735831"/>
    <w:rsid w:val="007359EB"/>
    <w:rsid w:val="00735DAA"/>
    <w:rsid w:val="007364AD"/>
    <w:rsid w:val="0073693F"/>
    <w:rsid w:val="00736997"/>
    <w:rsid w:val="00737380"/>
    <w:rsid w:val="00737557"/>
    <w:rsid w:val="007404DE"/>
    <w:rsid w:val="00740A09"/>
    <w:rsid w:val="00740B45"/>
    <w:rsid w:val="00740E99"/>
    <w:rsid w:val="00741091"/>
    <w:rsid w:val="007415B5"/>
    <w:rsid w:val="0074192F"/>
    <w:rsid w:val="00741F27"/>
    <w:rsid w:val="007425F7"/>
    <w:rsid w:val="00742636"/>
    <w:rsid w:val="007436A3"/>
    <w:rsid w:val="0074408B"/>
    <w:rsid w:val="007449FF"/>
    <w:rsid w:val="00745DAC"/>
    <w:rsid w:val="00747D43"/>
    <w:rsid w:val="00747FE3"/>
    <w:rsid w:val="007509CD"/>
    <w:rsid w:val="007516CA"/>
    <w:rsid w:val="0075174E"/>
    <w:rsid w:val="00751932"/>
    <w:rsid w:val="00751E43"/>
    <w:rsid w:val="00752D6F"/>
    <w:rsid w:val="007534EE"/>
    <w:rsid w:val="00754292"/>
    <w:rsid w:val="00755CEC"/>
    <w:rsid w:val="00755F06"/>
    <w:rsid w:val="007569B8"/>
    <w:rsid w:val="00756BEB"/>
    <w:rsid w:val="00756EFA"/>
    <w:rsid w:val="00757969"/>
    <w:rsid w:val="00757CD6"/>
    <w:rsid w:val="007614E2"/>
    <w:rsid w:val="00762072"/>
    <w:rsid w:val="0076269E"/>
    <w:rsid w:val="00763718"/>
    <w:rsid w:val="00764591"/>
    <w:rsid w:val="007659BF"/>
    <w:rsid w:val="00765F09"/>
    <w:rsid w:val="007665C1"/>
    <w:rsid w:val="00767FB8"/>
    <w:rsid w:val="00770E3B"/>
    <w:rsid w:val="00772532"/>
    <w:rsid w:val="007729EC"/>
    <w:rsid w:val="0077487D"/>
    <w:rsid w:val="0077567F"/>
    <w:rsid w:val="007758B7"/>
    <w:rsid w:val="0077684F"/>
    <w:rsid w:val="00777162"/>
    <w:rsid w:val="00781FEF"/>
    <w:rsid w:val="00782BC3"/>
    <w:rsid w:val="00782E03"/>
    <w:rsid w:val="00783722"/>
    <w:rsid w:val="00783AE4"/>
    <w:rsid w:val="00784082"/>
    <w:rsid w:val="00785C46"/>
    <w:rsid w:val="00786F22"/>
    <w:rsid w:val="00787FAF"/>
    <w:rsid w:val="00790A60"/>
    <w:rsid w:val="00790CC2"/>
    <w:rsid w:val="00790DF4"/>
    <w:rsid w:val="007921E9"/>
    <w:rsid w:val="00793C50"/>
    <w:rsid w:val="00796DFE"/>
    <w:rsid w:val="00797E0D"/>
    <w:rsid w:val="007A044A"/>
    <w:rsid w:val="007A05F9"/>
    <w:rsid w:val="007A1307"/>
    <w:rsid w:val="007A2E75"/>
    <w:rsid w:val="007A313B"/>
    <w:rsid w:val="007A4605"/>
    <w:rsid w:val="007A4EEF"/>
    <w:rsid w:val="007A5BFA"/>
    <w:rsid w:val="007A6A54"/>
    <w:rsid w:val="007A7759"/>
    <w:rsid w:val="007B1C1B"/>
    <w:rsid w:val="007B1E77"/>
    <w:rsid w:val="007B2A2E"/>
    <w:rsid w:val="007B3004"/>
    <w:rsid w:val="007B4F9D"/>
    <w:rsid w:val="007B54F7"/>
    <w:rsid w:val="007B662D"/>
    <w:rsid w:val="007B7430"/>
    <w:rsid w:val="007B758B"/>
    <w:rsid w:val="007C0BDD"/>
    <w:rsid w:val="007C17BB"/>
    <w:rsid w:val="007C1C26"/>
    <w:rsid w:val="007C3539"/>
    <w:rsid w:val="007C52E5"/>
    <w:rsid w:val="007C5EDF"/>
    <w:rsid w:val="007C7600"/>
    <w:rsid w:val="007C7C08"/>
    <w:rsid w:val="007D0542"/>
    <w:rsid w:val="007D0748"/>
    <w:rsid w:val="007D2110"/>
    <w:rsid w:val="007D3388"/>
    <w:rsid w:val="007D4CE7"/>
    <w:rsid w:val="007D4EB0"/>
    <w:rsid w:val="007D5BA6"/>
    <w:rsid w:val="007D5DD2"/>
    <w:rsid w:val="007D601D"/>
    <w:rsid w:val="007D7692"/>
    <w:rsid w:val="007D7B38"/>
    <w:rsid w:val="007E009B"/>
    <w:rsid w:val="007E0C41"/>
    <w:rsid w:val="007E16A9"/>
    <w:rsid w:val="007E1BC1"/>
    <w:rsid w:val="007E1C9F"/>
    <w:rsid w:val="007E1F0B"/>
    <w:rsid w:val="007E24C8"/>
    <w:rsid w:val="007E356B"/>
    <w:rsid w:val="007E3BF6"/>
    <w:rsid w:val="007E443E"/>
    <w:rsid w:val="007E4AC8"/>
    <w:rsid w:val="007E4B8D"/>
    <w:rsid w:val="007E4BCF"/>
    <w:rsid w:val="007E548F"/>
    <w:rsid w:val="007E5702"/>
    <w:rsid w:val="007E5F8E"/>
    <w:rsid w:val="007E652A"/>
    <w:rsid w:val="007E6559"/>
    <w:rsid w:val="007F0630"/>
    <w:rsid w:val="007F1318"/>
    <w:rsid w:val="007F174E"/>
    <w:rsid w:val="007F2168"/>
    <w:rsid w:val="007F297E"/>
    <w:rsid w:val="007F31C9"/>
    <w:rsid w:val="007F48A8"/>
    <w:rsid w:val="007F4F81"/>
    <w:rsid w:val="007F558F"/>
    <w:rsid w:val="007F6661"/>
    <w:rsid w:val="007F68CF"/>
    <w:rsid w:val="007F6BF3"/>
    <w:rsid w:val="007F71C5"/>
    <w:rsid w:val="007F79D7"/>
    <w:rsid w:val="007F7D76"/>
    <w:rsid w:val="008005D9"/>
    <w:rsid w:val="0080175C"/>
    <w:rsid w:val="00802368"/>
    <w:rsid w:val="00802792"/>
    <w:rsid w:val="00803892"/>
    <w:rsid w:val="00803E36"/>
    <w:rsid w:val="00804ECA"/>
    <w:rsid w:val="00805F12"/>
    <w:rsid w:val="00807478"/>
    <w:rsid w:val="00810649"/>
    <w:rsid w:val="00810898"/>
    <w:rsid w:val="008136F6"/>
    <w:rsid w:val="008144AF"/>
    <w:rsid w:val="008144F4"/>
    <w:rsid w:val="008145DE"/>
    <w:rsid w:val="00815175"/>
    <w:rsid w:val="00815F29"/>
    <w:rsid w:val="0081650E"/>
    <w:rsid w:val="00817BF7"/>
    <w:rsid w:val="00820EB9"/>
    <w:rsid w:val="00820F98"/>
    <w:rsid w:val="0082256D"/>
    <w:rsid w:val="008231DC"/>
    <w:rsid w:val="008232B7"/>
    <w:rsid w:val="00823850"/>
    <w:rsid w:val="00825B8A"/>
    <w:rsid w:val="00827682"/>
    <w:rsid w:val="00827AF5"/>
    <w:rsid w:val="008305DF"/>
    <w:rsid w:val="00830909"/>
    <w:rsid w:val="00831772"/>
    <w:rsid w:val="008334B8"/>
    <w:rsid w:val="0083419A"/>
    <w:rsid w:val="00834326"/>
    <w:rsid w:val="008346A2"/>
    <w:rsid w:val="00834BA0"/>
    <w:rsid w:val="0083605F"/>
    <w:rsid w:val="0083667D"/>
    <w:rsid w:val="0083678A"/>
    <w:rsid w:val="00836F86"/>
    <w:rsid w:val="008372D7"/>
    <w:rsid w:val="0083749F"/>
    <w:rsid w:val="008374BC"/>
    <w:rsid w:val="008377CE"/>
    <w:rsid w:val="00837C28"/>
    <w:rsid w:val="008417B9"/>
    <w:rsid w:val="00841895"/>
    <w:rsid w:val="008425E7"/>
    <w:rsid w:val="00843296"/>
    <w:rsid w:val="00843856"/>
    <w:rsid w:val="008443F8"/>
    <w:rsid w:val="0084515B"/>
    <w:rsid w:val="008453DA"/>
    <w:rsid w:val="00845E13"/>
    <w:rsid w:val="008476BB"/>
    <w:rsid w:val="0085089E"/>
    <w:rsid w:val="00851031"/>
    <w:rsid w:val="00852176"/>
    <w:rsid w:val="008525C3"/>
    <w:rsid w:val="00852668"/>
    <w:rsid w:val="00852C6C"/>
    <w:rsid w:val="008536A1"/>
    <w:rsid w:val="00853A96"/>
    <w:rsid w:val="00853DB0"/>
    <w:rsid w:val="008544BC"/>
    <w:rsid w:val="00855851"/>
    <w:rsid w:val="00855D31"/>
    <w:rsid w:val="00855F10"/>
    <w:rsid w:val="00856263"/>
    <w:rsid w:val="00856302"/>
    <w:rsid w:val="00857A2E"/>
    <w:rsid w:val="00857BC6"/>
    <w:rsid w:val="00860EE7"/>
    <w:rsid w:val="00861A36"/>
    <w:rsid w:val="00861BD6"/>
    <w:rsid w:val="00861E0B"/>
    <w:rsid w:val="008628E0"/>
    <w:rsid w:val="00862A79"/>
    <w:rsid w:val="00862F78"/>
    <w:rsid w:val="00863132"/>
    <w:rsid w:val="00863612"/>
    <w:rsid w:val="008637E0"/>
    <w:rsid w:val="00863CC4"/>
    <w:rsid w:val="00864030"/>
    <w:rsid w:val="00865396"/>
    <w:rsid w:val="00865B6E"/>
    <w:rsid w:val="00867831"/>
    <w:rsid w:val="00867B31"/>
    <w:rsid w:val="008702C8"/>
    <w:rsid w:val="00871AED"/>
    <w:rsid w:val="00872511"/>
    <w:rsid w:val="00872CD4"/>
    <w:rsid w:val="0087340C"/>
    <w:rsid w:val="0087385A"/>
    <w:rsid w:val="0087392A"/>
    <w:rsid w:val="00873D8D"/>
    <w:rsid w:val="00873E66"/>
    <w:rsid w:val="008742D7"/>
    <w:rsid w:val="00874C5F"/>
    <w:rsid w:val="00875387"/>
    <w:rsid w:val="008768F4"/>
    <w:rsid w:val="00876903"/>
    <w:rsid w:val="00880452"/>
    <w:rsid w:val="00880F82"/>
    <w:rsid w:val="008827D3"/>
    <w:rsid w:val="0088297E"/>
    <w:rsid w:val="00883EE7"/>
    <w:rsid w:val="008843DC"/>
    <w:rsid w:val="00884B5B"/>
    <w:rsid w:val="0088589E"/>
    <w:rsid w:val="00886445"/>
    <w:rsid w:val="00886E30"/>
    <w:rsid w:val="0088768E"/>
    <w:rsid w:val="00887B7D"/>
    <w:rsid w:val="0089008A"/>
    <w:rsid w:val="008907A4"/>
    <w:rsid w:val="00890E6F"/>
    <w:rsid w:val="00890ED0"/>
    <w:rsid w:val="00890FC1"/>
    <w:rsid w:val="008912EB"/>
    <w:rsid w:val="00891610"/>
    <w:rsid w:val="00893F54"/>
    <w:rsid w:val="0089436F"/>
    <w:rsid w:val="00895462"/>
    <w:rsid w:val="00895ADC"/>
    <w:rsid w:val="00896E2D"/>
    <w:rsid w:val="008971C0"/>
    <w:rsid w:val="00897AA9"/>
    <w:rsid w:val="00897ADF"/>
    <w:rsid w:val="00897C1D"/>
    <w:rsid w:val="008A0C23"/>
    <w:rsid w:val="008A16AF"/>
    <w:rsid w:val="008A1E16"/>
    <w:rsid w:val="008A20E4"/>
    <w:rsid w:val="008A2601"/>
    <w:rsid w:val="008A261E"/>
    <w:rsid w:val="008A2926"/>
    <w:rsid w:val="008A2A28"/>
    <w:rsid w:val="008A4121"/>
    <w:rsid w:val="008A4F57"/>
    <w:rsid w:val="008A53EA"/>
    <w:rsid w:val="008A564B"/>
    <w:rsid w:val="008A6083"/>
    <w:rsid w:val="008A72AC"/>
    <w:rsid w:val="008A765E"/>
    <w:rsid w:val="008A7FA8"/>
    <w:rsid w:val="008B1580"/>
    <w:rsid w:val="008B2743"/>
    <w:rsid w:val="008B4A4A"/>
    <w:rsid w:val="008B5371"/>
    <w:rsid w:val="008B5C5F"/>
    <w:rsid w:val="008B5EC6"/>
    <w:rsid w:val="008B61C7"/>
    <w:rsid w:val="008B768D"/>
    <w:rsid w:val="008C1223"/>
    <w:rsid w:val="008C1949"/>
    <w:rsid w:val="008C25A1"/>
    <w:rsid w:val="008C2D04"/>
    <w:rsid w:val="008C2E6E"/>
    <w:rsid w:val="008C4221"/>
    <w:rsid w:val="008C49F5"/>
    <w:rsid w:val="008C5856"/>
    <w:rsid w:val="008C5CEC"/>
    <w:rsid w:val="008C6112"/>
    <w:rsid w:val="008C678A"/>
    <w:rsid w:val="008C6A2E"/>
    <w:rsid w:val="008C778B"/>
    <w:rsid w:val="008C7BE3"/>
    <w:rsid w:val="008D1066"/>
    <w:rsid w:val="008D1718"/>
    <w:rsid w:val="008D173A"/>
    <w:rsid w:val="008D1963"/>
    <w:rsid w:val="008D1E8D"/>
    <w:rsid w:val="008D20A0"/>
    <w:rsid w:val="008D33C1"/>
    <w:rsid w:val="008D362E"/>
    <w:rsid w:val="008D3BDA"/>
    <w:rsid w:val="008D3DE4"/>
    <w:rsid w:val="008D3F98"/>
    <w:rsid w:val="008D45DF"/>
    <w:rsid w:val="008D4C2E"/>
    <w:rsid w:val="008D4F23"/>
    <w:rsid w:val="008D56B6"/>
    <w:rsid w:val="008D6707"/>
    <w:rsid w:val="008D6A5E"/>
    <w:rsid w:val="008D7874"/>
    <w:rsid w:val="008D7A51"/>
    <w:rsid w:val="008E05B7"/>
    <w:rsid w:val="008E0678"/>
    <w:rsid w:val="008E0A9D"/>
    <w:rsid w:val="008E0CEF"/>
    <w:rsid w:val="008E0F40"/>
    <w:rsid w:val="008E1E6F"/>
    <w:rsid w:val="008E2B07"/>
    <w:rsid w:val="008E2F59"/>
    <w:rsid w:val="008E497B"/>
    <w:rsid w:val="008E4A1C"/>
    <w:rsid w:val="008E532E"/>
    <w:rsid w:val="008E5B8E"/>
    <w:rsid w:val="008E65FD"/>
    <w:rsid w:val="008E6DF9"/>
    <w:rsid w:val="008E7A6D"/>
    <w:rsid w:val="008F0163"/>
    <w:rsid w:val="008F0648"/>
    <w:rsid w:val="008F08D2"/>
    <w:rsid w:val="008F09F2"/>
    <w:rsid w:val="008F1261"/>
    <w:rsid w:val="008F1421"/>
    <w:rsid w:val="008F143F"/>
    <w:rsid w:val="008F16FF"/>
    <w:rsid w:val="008F30A8"/>
    <w:rsid w:val="008F30AC"/>
    <w:rsid w:val="008F3AE8"/>
    <w:rsid w:val="008F537A"/>
    <w:rsid w:val="008F5DC7"/>
    <w:rsid w:val="008F66E2"/>
    <w:rsid w:val="008F76F0"/>
    <w:rsid w:val="008F7E15"/>
    <w:rsid w:val="009024A9"/>
    <w:rsid w:val="00903568"/>
    <w:rsid w:val="00903603"/>
    <w:rsid w:val="009036DB"/>
    <w:rsid w:val="009039DD"/>
    <w:rsid w:val="00903B21"/>
    <w:rsid w:val="00904953"/>
    <w:rsid w:val="00905C85"/>
    <w:rsid w:val="00905F48"/>
    <w:rsid w:val="00905FE9"/>
    <w:rsid w:val="00906890"/>
    <w:rsid w:val="00907439"/>
    <w:rsid w:val="0090799F"/>
    <w:rsid w:val="00911467"/>
    <w:rsid w:val="009123D2"/>
    <w:rsid w:val="0091271C"/>
    <w:rsid w:val="00913D11"/>
    <w:rsid w:val="00914035"/>
    <w:rsid w:val="0091429A"/>
    <w:rsid w:val="009156F2"/>
    <w:rsid w:val="0091610E"/>
    <w:rsid w:val="00916FA2"/>
    <w:rsid w:val="00920515"/>
    <w:rsid w:val="00920DCF"/>
    <w:rsid w:val="00922E9F"/>
    <w:rsid w:val="009234A2"/>
    <w:rsid w:val="009237F1"/>
    <w:rsid w:val="0092434B"/>
    <w:rsid w:val="00925194"/>
    <w:rsid w:val="009259A0"/>
    <w:rsid w:val="009278CE"/>
    <w:rsid w:val="00927B23"/>
    <w:rsid w:val="00927C5E"/>
    <w:rsid w:val="00927DF3"/>
    <w:rsid w:val="009303AC"/>
    <w:rsid w:val="00930DF5"/>
    <w:rsid w:val="0093185A"/>
    <w:rsid w:val="00931F13"/>
    <w:rsid w:val="00933232"/>
    <w:rsid w:val="00933789"/>
    <w:rsid w:val="0093378A"/>
    <w:rsid w:val="00935029"/>
    <w:rsid w:val="00935261"/>
    <w:rsid w:val="00935F2E"/>
    <w:rsid w:val="0093673F"/>
    <w:rsid w:val="00936B8C"/>
    <w:rsid w:val="00936B9C"/>
    <w:rsid w:val="00936BBB"/>
    <w:rsid w:val="009376C2"/>
    <w:rsid w:val="009379A4"/>
    <w:rsid w:val="009400DD"/>
    <w:rsid w:val="00940A0E"/>
    <w:rsid w:val="0094248E"/>
    <w:rsid w:val="00942DFE"/>
    <w:rsid w:val="00943C79"/>
    <w:rsid w:val="00943E47"/>
    <w:rsid w:val="00943FEF"/>
    <w:rsid w:val="009458B8"/>
    <w:rsid w:val="0094624A"/>
    <w:rsid w:val="0094746D"/>
    <w:rsid w:val="00947573"/>
    <w:rsid w:val="00947B74"/>
    <w:rsid w:val="00947F85"/>
    <w:rsid w:val="00950EC3"/>
    <w:rsid w:val="0095181E"/>
    <w:rsid w:val="00951FE4"/>
    <w:rsid w:val="00952002"/>
    <w:rsid w:val="009525C9"/>
    <w:rsid w:val="009525EF"/>
    <w:rsid w:val="00952CD3"/>
    <w:rsid w:val="009534C1"/>
    <w:rsid w:val="00954795"/>
    <w:rsid w:val="00955C60"/>
    <w:rsid w:val="009564EF"/>
    <w:rsid w:val="00956601"/>
    <w:rsid w:val="009566CD"/>
    <w:rsid w:val="00956E68"/>
    <w:rsid w:val="00962B86"/>
    <w:rsid w:val="00962C91"/>
    <w:rsid w:val="00962F57"/>
    <w:rsid w:val="00963009"/>
    <w:rsid w:val="00965BC8"/>
    <w:rsid w:val="00966575"/>
    <w:rsid w:val="00967ACF"/>
    <w:rsid w:val="009705B0"/>
    <w:rsid w:val="00971382"/>
    <w:rsid w:val="00971764"/>
    <w:rsid w:val="0097218A"/>
    <w:rsid w:val="009729BA"/>
    <w:rsid w:val="00972C9C"/>
    <w:rsid w:val="009747A8"/>
    <w:rsid w:val="00975C89"/>
    <w:rsid w:val="00977F69"/>
    <w:rsid w:val="009802C0"/>
    <w:rsid w:val="009807A8"/>
    <w:rsid w:val="00981F5E"/>
    <w:rsid w:val="009825DF"/>
    <w:rsid w:val="0098284B"/>
    <w:rsid w:val="009829A9"/>
    <w:rsid w:val="00982AFE"/>
    <w:rsid w:val="009831EB"/>
    <w:rsid w:val="00983A5A"/>
    <w:rsid w:val="00983EEA"/>
    <w:rsid w:val="0098402C"/>
    <w:rsid w:val="009865B9"/>
    <w:rsid w:val="00986D2B"/>
    <w:rsid w:val="00986F93"/>
    <w:rsid w:val="00987062"/>
    <w:rsid w:val="00987466"/>
    <w:rsid w:val="00987A22"/>
    <w:rsid w:val="00991B82"/>
    <w:rsid w:val="00991D52"/>
    <w:rsid w:val="00991F11"/>
    <w:rsid w:val="0099202C"/>
    <w:rsid w:val="00992C15"/>
    <w:rsid w:val="00992C1D"/>
    <w:rsid w:val="0099338B"/>
    <w:rsid w:val="00993899"/>
    <w:rsid w:val="009943D9"/>
    <w:rsid w:val="009969EF"/>
    <w:rsid w:val="00997602"/>
    <w:rsid w:val="009A0B7D"/>
    <w:rsid w:val="009A2501"/>
    <w:rsid w:val="009A2F84"/>
    <w:rsid w:val="009A31B7"/>
    <w:rsid w:val="009A3DEE"/>
    <w:rsid w:val="009A3F5E"/>
    <w:rsid w:val="009A49EF"/>
    <w:rsid w:val="009A65E1"/>
    <w:rsid w:val="009A67DC"/>
    <w:rsid w:val="009A7B3D"/>
    <w:rsid w:val="009B03E7"/>
    <w:rsid w:val="009B09EB"/>
    <w:rsid w:val="009B1C81"/>
    <w:rsid w:val="009B2256"/>
    <w:rsid w:val="009B25AE"/>
    <w:rsid w:val="009B30D7"/>
    <w:rsid w:val="009B3F54"/>
    <w:rsid w:val="009B419A"/>
    <w:rsid w:val="009B4522"/>
    <w:rsid w:val="009B4535"/>
    <w:rsid w:val="009B4A1C"/>
    <w:rsid w:val="009B56F2"/>
    <w:rsid w:val="009B5A9E"/>
    <w:rsid w:val="009B61A2"/>
    <w:rsid w:val="009B62A4"/>
    <w:rsid w:val="009B62AA"/>
    <w:rsid w:val="009B64BB"/>
    <w:rsid w:val="009B672D"/>
    <w:rsid w:val="009B6CC4"/>
    <w:rsid w:val="009B6F6D"/>
    <w:rsid w:val="009B7163"/>
    <w:rsid w:val="009B7A98"/>
    <w:rsid w:val="009C2751"/>
    <w:rsid w:val="009C2780"/>
    <w:rsid w:val="009C2C9D"/>
    <w:rsid w:val="009C2D95"/>
    <w:rsid w:val="009C43EC"/>
    <w:rsid w:val="009C44D5"/>
    <w:rsid w:val="009C4891"/>
    <w:rsid w:val="009C4FC2"/>
    <w:rsid w:val="009C5618"/>
    <w:rsid w:val="009C7122"/>
    <w:rsid w:val="009C7CC7"/>
    <w:rsid w:val="009D1285"/>
    <w:rsid w:val="009D235A"/>
    <w:rsid w:val="009D240E"/>
    <w:rsid w:val="009D3246"/>
    <w:rsid w:val="009D4378"/>
    <w:rsid w:val="009D4B45"/>
    <w:rsid w:val="009D7292"/>
    <w:rsid w:val="009D7ADE"/>
    <w:rsid w:val="009E072A"/>
    <w:rsid w:val="009E121F"/>
    <w:rsid w:val="009E1333"/>
    <w:rsid w:val="009E17EE"/>
    <w:rsid w:val="009E2200"/>
    <w:rsid w:val="009E2D7C"/>
    <w:rsid w:val="009E4D4B"/>
    <w:rsid w:val="009E5859"/>
    <w:rsid w:val="009E630B"/>
    <w:rsid w:val="009E7696"/>
    <w:rsid w:val="009E7A36"/>
    <w:rsid w:val="009F09FC"/>
    <w:rsid w:val="009F0A92"/>
    <w:rsid w:val="009F2412"/>
    <w:rsid w:val="009F30C1"/>
    <w:rsid w:val="009F384B"/>
    <w:rsid w:val="009F38DE"/>
    <w:rsid w:val="009F41D7"/>
    <w:rsid w:val="009F42AB"/>
    <w:rsid w:val="009F4732"/>
    <w:rsid w:val="009F50CC"/>
    <w:rsid w:val="009F67C1"/>
    <w:rsid w:val="009F6AC0"/>
    <w:rsid w:val="009F6E78"/>
    <w:rsid w:val="009F7217"/>
    <w:rsid w:val="009F7337"/>
    <w:rsid w:val="00A010F1"/>
    <w:rsid w:val="00A015AF"/>
    <w:rsid w:val="00A02175"/>
    <w:rsid w:val="00A027BA"/>
    <w:rsid w:val="00A02A68"/>
    <w:rsid w:val="00A03D0C"/>
    <w:rsid w:val="00A044EF"/>
    <w:rsid w:val="00A0622D"/>
    <w:rsid w:val="00A0632D"/>
    <w:rsid w:val="00A064CA"/>
    <w:rsid w:val="00A07BED"/>
    <w:rsid w:val="00A10425"/>
    <w:rsid w:val="00A105C8"/>
    <w:rsid w:val="00A111BF"/>
    <w:rsid w:val="00A1274E"/>
    <w:rsid w:val="00A143DD"/>
    <w:rsid w:val="00A14AAB"/>
    <w:rsid w:val="00A150B8"/>
    <w:rsid w:val="00A151CB"/>
    <w:rsid w:val="00A1656E"/>
    <w:rsid w:val="00A16909"/>
    <w:rsid w:val="00A17428"/>
    <w:rsid w:val="00A178BB"/>
    <w:rsid w:val="00A20943"/>
    <w:rsid w:val="00A20C98"/>
    <w:rsid w:val="00A21B30"/>
    <w:rsid w:val="00A22432"/>
    <w:rsid w:val="00A228DB"/>
    <w:rsid w:val="00A2312E"/>
    <w:rsid w:val="00A23EE0"/>
    <w:rsid w:val="00A240E1"/>
    <w:rsid w:val="00A26374"/>
    <w:rsid w:val="00A26E20"/>
    <w:rsid w:val="00A27231"/>
    <w:rsid w:val="00A2728E"/>
    <w:rsid w:val="00A274B7"/>
    <w:rsid w:val="00A277BA"/>
    <w:rsid w:val="00A27A22"/>
    <w:rsid w:val="00A27E90"/>
    <w:rsid w:val="00A30145"/>
    <w:rsid w:val="00A30484"/>
    <w:rsid w:val="00A307D4"/>
    <w:rsid w:val="00A30EEC"/>
    <w:rsid w:val="00A31A7F"/>
    <w:rsid w:val="00A31DCC"/>
    <w:rsid w:val="00A328D4"/>
    <w:rsid w:val="00A339FF"/>
    <w:rsid w:val="00A33CA3"/>
    <w:rsid w:val="00A33EA6"/>
    <w:rsid w:val="00A34221"/>
    <w:rsid w:val="00A34E7A"/>
    <w:rsid w:val="00A35E74"/>
    <w:rsid w:val="00A36389"/>
    <w:rsid w:val="00A36D04"/>
    <w:rsid w:val="00A36F0A"/>
    <w:rsid w:val="00A37276"/>
    <w:rsid w:val="00A37BA8"/>
    <w:rsid w:val="00A40F9E"/>
    <w:rsid w:val="00A416A7"/>
    <w:rsid w:val="00A42903"/>
    <w:rsid w:val="00A43D25"/>
    <w:rsid w:val="00A444AB"/>
    <w:rsid w:val="00A44885"/>
    <w:rsid w:val="00A46A6D"/>
    <w:rsid w:val="00A46DA7"/>
    <w:rsid w:val="00A501A3"/>
    <w:rsid w:val="00A51A8B"/>
    <w:rsid w:val="00A51AF2"/>
    <w:rsid w:val="00A52A3A"/>
    <w:rsid w:val="00A52BB3"/>
    <w:rsid w:val="00A52CD9"/>
    <w:rsid w:val="00A52ED5"/>
    <w:rsid w:val="00A533A0"/>
    <w:rsid w:val="00A53495"/>
    <w:rsid w:val="00A53882"/>
    <w:rsid w:val="00A54A38"/>
    <w:rsid w:val="00A565CC"/>
    <w:rsid w:val="00A57AB8"/>
    <w:rsid w:val="00A611A6"/>
    <w:rsid w:val="00A61FB5"/>
    <w:rsid w:val="00A6205F"/>
    <w:rsid w:val="00A621D9"/>
    <w:rsid w:val="00A62E84"/>
    <w:rsid w:val="00A631AF"/>
    <w:rsid w:val="00A63BA5"/>
    <w:rsid w:val="00A63E62"/>
    <w:rsid w:val="00A649F3"/>
    <w:rsid w:val="00A64BC1"/>
    <w:rsid w:val="00A64BC4"/>
    <w:rsid w:val="00A65543"/>
    <w:rsid w:val="00A660C7"/>
    <w:rsid w:val="00A660E6"/>
    <w:rsid w:val="00A66574"/>
    <w:rsid w:val="00A66EBE"/>
    <w:rsid w:val="00A67553"/>
    <w:rsid w:val="00A67577"/>
    <w:rsid w:val="00A6757D"/>
    <w:rsid w:val="00A703CA"/>
    <w:rsid w:val="00A70FBF"/>
    <w:rsid w:val="00A7128D"/>
    <w:rsid w:val="00A71C64"/>
    <w:rsid w:val="00A726B9"/>
    <w:rsid w:val="00A72EA0"/>
    <w:rsid w:val="00A73478"/>
    <w:rsid w:val="00A7350A"/>
    <w:rsid w:val="00A73A84"/>
    <w:rsid w:val="00A74E38"/>
    <w:rsid w:val="00A76FAF"/>
    <w:rsid w:val="00A77D5B"/>
    <w:rsid w:val="00A800E2"/>
    <w:rsid w:val="00A802CC"/>
    <w:rsid w:val="00A8119A"/>
    <w:rsid w:val="00A8286C"/>
    <w:rsid w:val="00A82AB6"/>
    <w:rsid w:val="00A847E4"/>
    <w:rsid w:val="00A85B8F"/>
    <w:rsid w:val="00A87D52"/>
    <w:rsid w:val="00A917E5"/>
    <w:rsid w:val="00A9430A"/>
    <w:rsid w:val="00A944C9"/>
    <w:rsid w:val="00A94792"/>
    <w:rsid w:val="00A94C2B"/>
    <w:rsid w:val="00A9543C"/>
    <w:rsid w:val="00A968E9"/>
    <w:rsid w:val="00AA01CB"/>
    <w:rsid w:val="00AA04F7"/>
    <w:rsid w:val="00AA56D9"/>
    <w:rsid w:val="00AA5B1C"/>
    <w:rsid w:val="00AA6112"/>
    <w:rsid w:val="00AA61B8"/>
    <w:rsid w:val="00AA6858"/>
    <w:rsid w:val="00AA6FDA"/>
    <w:rsid w:val="00AA7088"/>
    <w:rsid w:val="00AA753B"/>
    <w:rsid w:val="00AB07DD"/>
    <w:rsid w:val="00AB0AAE"/>
    <w:rsid w:val="00AB2291"/>
    <w:rsid w:val="00AB26E9"/>
    <w:rsid w:val="00AB2EF1"/>
    <w:rsid w:val="00AB3320"/>
    <w:rsid w:val="00AB39C4"/>
    <w:rsid w:val="00AB47D3"/>
    <w:rsid w:val="00AB4CB4"/>
    <w:rsid w:val="00AB5478"/>
    <w:rsid w:val="00AB57D6"/>
    <w:rsid w:val="00AB7B55"/>
    <w:rsid w:val="00AC0C79"/>
    <w:rsid w:val="00AC3959"/>
    <w:rsid w:val="00AC3CE6"/>
    <w:rsid w:val="00AC3E05"/>
    <w:rsid w:val="00AC3EA0"/>
    <w:rsid w:val="00AC72E8"/>
    <w:rsid w:val="00AC7A6F"/>
    <w:rsid w:val="00AD1078"/>
    <w:rsid w:val="00AD12BF"/>
    <w:rsid w:val="00AD1E46"/>
    <w:rsid w:val="00AD391B"/>
    <w:rsid w:val="00AD5267"/>
    <w:rsid w:val="00AD5C67"/>
    <w:rsid w:val="00AD5FEB"/>
    <w:rsid w:val="00AD60A1"/>
    <w:rsid w:val="00AD7B97"/>
    <w:rsid w:val="00AD7DAA"/>
    <w:rsid w:val="00AE023F"/>
    <w:rsid w:val="00AE056D"/>
    <w:rsid w:val="00AE06CB"/>
    <w:rsid w:val="00AE0B45"/>
    <w:rsid w:val="00AE0E5D"/>
    <w:rsid w:val="00AE185D"/>
    <w:rsid w:val="00AE3748"/>
    <w:rsid w:val="00AE4656"/>
    <w:rsid w:val="00AE4959"/>
    <w:rsid w:val="00AE57B5"/>
    <w:rsid w:val="00AE5F47"/>
    <w:rsid w:val="00AE6754"/>
    <w:rsid w:val="00AE6C5A"/>
    <w:rsid w:val="00AE703D"/>
    <w:rsid w:val="00AE797F"/>
    <w:rsid w:val="00AF0C67"/>
    <w:rsid w:val="00AF1565"/>
    <w:rsid w:val="00AF339D"/>
    <w:rsid w:val="00AF36E8"/>
    <w:rsid w:val="00AF3736"/>
    <w:rsid w:val="00AF37FE"/>
    <w:rsid w:val="00AF505E"/>
    <w:rsid w:val="00AF5250"/>
    <w:rsid w:val="00AF6014"/>
    <w:rsid w:val="00AF6117"/>
    <w:rsid w:val="00AF613F"/>
    <w:rsid w:val="00AF6303"/>
    <w:rsid w:val="00AF7DBD"/>
    <w:rsid w:val="00B00BB1"/>
    <w:rsid w:val="00B0153F"/>
    <w:rsid w:val="00B0293B"/>
    <w:rsid w:val="00B04B96"/>
    <w:rsid w:val="00B05426"/>
    <w:rsid w:val="00B064D4"/>
    <w:rsid w:val="00B0671B"/>
    <w:rsid w:val="00B07340"/>
    <w:rsid w:val="00B0768C"/>
    <w:rsid w:val="00B12572"/>
    <w:rsid w:val="00B12F9B"/>
    <w:rsid w:val="00B145AD"/>
    <w:rsid w:val="00B14B36"/>
    <w:rsid w:val="00B1505E"/>
    <w:rsid w:val="00B15066"/>
    <w:rsid w:val="00B16C13"/>
    <w:rsid w:val="00B1720D"/>
    <w:rsid w:val="00B17F03"/>
    <w:rsid w:val="00B20A60"/>
    <w:rsid w:val="00B21382"/>
    <w:rsid w:val="00B21E44"/>
    <w:rsid w:val="00B224B1"/>
    <w:rsid w:val="00B23A66"/>
    <w:rsid w:val="00B23BF2"/>
    <w:rsid w:val="00B240C4"/>
    <w:rsid w:val="00B245E7"/>
    <w:rsid w:val="00B2463C"/>
    <w:rsid w:val="00B24742"/>
    <w:rsid w:val="00B248CF"/>
    <w:rsid w:val="00B24AE2"/>
    <w:rsid w:val="00B254A3"/>
    <w:rsid w:val="00B26647"/>
    <w:rsid w:val="00B27518"/>
    <w:rsid w:val="00B27807"/>
    <w:rsid w:val="00B27B3C"/>
    <w:rsid w:val="00B30304"/>
    <w:rsid w:val="00B3067C"/>
    <w:rsid w:val="00B30C53"/>
    <w:rsid w:val="00B3140E"/>
    <w:rsid w:val="00B315C1"/>
    <w:rsid w:val="00B3176C"/>
    <w:rsid w:val="00B33857"/>
    <w:rsid w:val="00B33890"/>
    <w:rsid w:val="00B33D77"/>
    <w:rsid w:val="00B3447F"/>
    <w:rsid w:val="00B3684F"/>
    <w:rsid w:val="00B36A39"/>
    <w:rsid w:val="00B36E61"/>
    <w:rsid w:val="00B401D0"/>
    <w:rsid w:val="00B40811"/>
    <w:rsid w:val="00B41347"/>
    <w:rsid w:val="00B4156D"/>
    <w:rsid w:val="00B418C0"/>
    <w:rsid w:val="00B42285"/>
    <w:rsid w:val="00B42991"/>
    <w:rsid w:val="00B42EF3"/>
    <w:rsid w:val="00B44602"/>
    <w:rsid w:val="00B447A2"/>
    <w:rsid w:val="00B44FFC"/>
    <w:rsid w:val="00B45520"/>
    <w:rsid w:val="00B45EAF"/>
    <w:rsid w:val="00B4640F"/>
    <w:rsid w:val="00B479CD"/>
    <w:rsid w:val="00B47F14"/>
    <w:rsid w:val="00B47F8D"/>
    <w:rsid w:val="00B50943"/>
    <w:rsid w:val="00B50CB8"/>
    <w:rsid w:val="00B52B6C"/>
    <w:rsid w:val="00B53A6B"/>
    <w:rsid w:val="00B53F97"/>
    <w:rsid w:val="00B548BE"/>
    <w:rsid w:val="00B5493F"/>
    <w:rsid w:val="00B55036"/>
    <w:rsid w:val="00B5664F"/>
    <w:rsid w:val="00B5710E"/>
    <w:rsid w:val="00B576C6"/>
    <w:rsid w:val="00B5792A"/>
    <w:rsid w:val="00B6220F"/>
    <w:rsid w:val="00B634E6"/>
    <w:rsid w:val="00B63D8D"/>
    <w:rsid w:val="00B64EC6"/>
    <w:rsid w:val="00B64ED2"/>
    <w:rsid w:val="00B650BC"/>
    <w:rsid w:val="00B661CC"/>
    <w:rsid w:val="00B6624B"/>
    <w:rsid w:val="00B667A2"/>
    <w:rsid w:val="00B66942"/>
    <w:rsid w:val="00B66E51"/>
    <w:rsid w:val="00B67855"/>
    <w:rsid w:val="00B67B76"/>
    <w:rsid w:val="00B67C0D"/>
    <w:rsid w:val="00B70039"/>
    <w:rsid w:val="00B70953"/>
    <w:rsid w:val="00B7167D"/>
    <w:rsid w:val="00B7167E"/>
    <w:rsid w:val="00B71844"/>
    <w:rsid w:val="00B71A34"/>
    <w:rsid w:val="00B71C50"/>
    <w:rsid w:val="00B71EDE"/>
    <w:rsid w:val="00B72958"/>
    <w:rsid w:val="00B74F1C"/>
    <w:rsid w:val="00B76004"/>
    <w:rsid w:val="00B76072"/>
    <w:rsid w:val="00B76FBA"/>
    <w:rsid w:val="00B77229"/>
    <w:rsid w:val="00B77A6D"/>
    <w:rsid w:val="00B77B4C"/>
    <w:rsid w:val="00B801A0"/>
    <w:rsid w:val="00B814FF"/>
    <w:rsid w:val="00B81B2D"/>
    <w:rsid w:val="00B84224"/>
    <w:rsid w:val="00B84951"/>
    <w:rsid w:val="00B84B5B"/>
    <w:rsid w:val="00B84F73"/>
    <w:rsid w:val="00B85A90"/>
    <w:rsid w:val="00B85CEE"/>
    <w:rsid w:val="00B8621B"/>
    <w:rsid w:val="00B866B8"/>
    <w:rsid w:val="00B90B37"/>
    <w:rsid w:val="00B918C1"/>
    <w:rsid w:val="00B91AF3"/>
    <w:rsid w:val="00B92585"/>
    <w:rsid w:val="00B92705"/>
    <w:rsid w:val="00B92BDD"/>
    <w:rsid w:val="00B93FFC"/>
    <w:rsid w:val="00B947B4"/>
    <w:rsid w:val="00B94C03"/>
    <w:rsid w:val="00B95970"/>
    <w:rsid w:val="00B95F0A"/>
    <w:rsid w:val="00B97E53"/>
    <w:rsid w:val="00B97E6B"/>
    <w:rsid w:val="00BA0704"/>
    <w:rsid w:val="00BA1341"/>
    <w:rsid w:val="00BA25BB"/>
    <w:rsid w:val="00BA25EE"/>
    <w:rsid w:val="00BA316C"/>
    <w:rsid w:val="00BA348A"/>
    <w:rsid w:val="00BA392F"/>
    <w:rsid w:val="00BA4443"/>
    <w:rsid w:val="00BA69F8"/>
    <w:rsid w:val="00BA7B41"/>
    <w:rsid w:val="00BB0FC3"/>
    <w:rsid w:val="00BB21EC"/>
    <w:rsid w:val="00BB24D0"/>
    <w:rsid w:val="00BB2A6E"/>
    <w:rsid w:val="00BB2DF4"/>
    <w:rsid w:val="00BB3AED"/>
    <w:rsid w:val="00BB3EA1"/>
    <w:rsid w:val="00BB46B7"/>
    <w:rsid w:val="00BB5276"/>
    <w:rsid w:val="00BB5A8A"/>
    <w:rsid w:val="00BB730A"/>
    <w:rsid w:val="00BC029F"/>
    <w:rsid w:val="00BC2C2E"/>
    <w:rsid w:val="00BC52D5"/>
    <w:rsid w:val="00BC554A"/>
    <w:rsid w:val="00BC7084"/>
    <w:rsid w:val="00BC731F"/>
    <w:rsid w:val="00BC7520"/>
    <w:rsid w:val="00BD0655"/>
    <w:rsid w:val="00BD1134"/>
    <w:rsid w:val="00BD1AEC"/>
    <w:rsid w:val="00BD2338"/>
    <w:rsid w:val="00BD3A0A"/>
    <w:rsid w:val="00BD3BF9"/>
    <w:rsid w:val="00BD3C68"/>
    <w:rsid w:val="00BD3CA3"/>
    <w:rsid w:val="00BD414D"/>
    <w:rsid w:val="00BD4B16"/>
    <w:rsid w:val="00BD4C12"/>
    <w:rsid w:val="00BD4D59"/>
    <w:rsid w:val="00BD6253"/>
    <w:rsid w:val="00BD7CE9"/>
    <w:rsid w:val="00BE07D8"/>
    <w:rsid w:val="00BE0DD3"/>
    <w:rsid w:val="00BE12A4"/>
    <w:rsid w:val="00BE1AE8"/>
    <w:rsid w:val="00BE209A"/>
    <w:rsid w:val="00BE402D"/>
    <w:rsid w:val="00BE48F9"/>
    <w:rsid w:val="00BE495C"/>
    <w:rsid w:val="00BE5314"/>
    <w:rsid w:val="00BE6B59"/>
    <w:rsid w:val="00BE743E"/>
    <w:rsid w:val="00BE74C2"/>
    <w:rsid w:val="00BF0791"/>
    <w:rsid w:val="00BF0CFC"/>
    <w:rsid w:val="00BF1070"/>
    <w:rsid w:val="00BF1716"/>
    <w:rsid w:val="00BF1AC1"/>
    <w:rsid w:val="00BF1D22"/>
    <w:rsid w:val="00BF2494"/>
    <w:rsid w:val="00BF2D13"/>
    <w:rsid w:val="00BF341C"/>
    <w:rsid w:val="00BF387B"/>
    <w:rsid w:val="00BF3AE3"/>
    <w:rsid w:val="00BF4F70"/>
    <w:rsid w:val="00BF51E2"/>
    <w:rsid w:val="00BF579E"/>
    <w:rsid w:val="00BF6789"/>
    <w:rsid w:val="00BF7A25"/>
    <w:rsid w:val="00BF7EFF"/>
    <w:rsid w:val="00C003F7"/>
    <w:rsid w:val="00C00469"/>
    <w:rsid w:val="00C006E6"/>
    <w:rsid w:val="00C00A0B"/>
    <w:rsid w:val="00C0107C"/>
    <w:rsid w:val="00C01966"/>
    <w:rsid w:val="00C01A4D"/>
    <w:rsid w:val="00C01B4E"/>
    <w:rsid w:val="00C0261B"/>
    <w:rsid w:val="00C02AD0"/>
    <w:rsid w:val="00C033EC"/>
    <w:rsid w:val="00C03DED"/>
    <w:rsid w:val="00C04233"/>
    <w:rsid w:val="00C04F94"/>
    <w:rsid w:val="00C05093"/>
    <w:rsid w:val="00C05217"/>
    <w:rsid w:val="00C05E0F"/>
    <w:rsid w:val="00C07456"/>
    <w:rsid w:val="00C0768C"/>
    <w:rsid w:val="00C10922"/>
    <w:rsid w:val="00C10C64"/>
    <w:rsid w:val="00C119EB"/>
    <w:rsid w:val="00C12889"/>
    <w:rsid w:val="00C1382C"/>
    <w:rsid w:val="00C140A2"/>
    <w:rsid w:val="00C151C4"/>
    <w:rsid w:val="00C155B3"/>
    <w:rsid w:val="00C1570C"/>
    <w:rsid w:val="00C15A21"/>
    <w:rsid w:val="00C15D10"/>
    <w:rsid w:val="00C1615C"/>
    <w:rsid w:val="00C16415"/>
    <w:rsid w:val="00C203D3"/>
    <w:rsid w:val="00C211FC"/>
    <w:rsid w:val="00C21296"/>
    <w:rsid w:val="00C21300"/>
    <w:rsid w:val="00C215F3"/>
    <w:rsid w:val="00C21898"/>
    <w:rsid w:val="00C22317"/>
    <w:rsid w:val="00C22E68"/>
    <w:rsid w:val="00C22FC8"/>
    <w:rsid w:val="00C2303F"/>
    <w:rsid w:val="00C24E03"/>
    <w:rsid w:val="00C26EF4"/>
    <w:rsid w:val="00C27435"/>
    <w:rsid w:val="00C27C4A"/>
    <w:rsid w:val="00C30042"/>
    <w:rsid w:val="00C3057F"/>
    <w:rsid w:val="00C30D72"/>
    <w:rsid w:val="00C31F05"/>
    <w:rsid w:val="00C322F3"/>
    <w:rsid w:val="00C326AE"/>
    <w:rsid w:val="00C32A50"/>
    <w:rsid w:val="00C334AD"/>
    <w:rsid w:val="00C344DC"/>
    <w:rsid w:val="00C356E3"/>
    <w:rsid w:val="00C35BD4"/>
    <w:rsid w:val="00C371FC"/>
    <w:rsid w:val="00C372BD"/>
    <w:rsid w:val="00C37C1B"/>
    <w:rsid w:val="00C37F4E"/>
    <w:rsid w:val="00C402CE"/>
    <w:rsid w:val="00C40A15"/>
    <w:rsid w:val="00C41864"/>
    <w:rsid w:val="00C42913"/>
    <w:rsid w:val="00C43088"/>
    <w:rsid w:val="00C43913"/>
    <w:rsid w:val="00C43F58"/>
    <w:rsid w:val="00C44006"/>
    <w:rsid w:val="00C44407"/>
    <w:rsid w:val="00C446BA"/>
    <w:rsid w:val="00C44CE1"/>
    <w:rsid w:val="00C45055"/>
    <w:rsid w:val="00C46077"/>
    <w:rsid w:val="00C46B68"/>
    <w:rsid w:val="00C4735B"/>
    <w:rsid w:val="00C47C6B"/>
    <w:rsid w:val="00C50083"/>
    <w:rsid w:val="00C50D3F"/>
    <w:rsid w:val="00C51E80"/>
    <w:rsid w:val="00C526FD"/>
    <w:rsid w:val="00C52D4B"/>
    <w:rsid w:val="00C61923"/>
    <w:rsid w:val="00C61AC6"/>
    <w:rsid w:val="00C622BE"/>
    <w:rsid w:val="00C6502B"/>
    <w:rsid w:val="00C653FC"/>
    <w:rsid w:val="00C70B26"/>
    <w:rsid w:val="00C71688"/>
    <w:rsid w:val="00C71A07"/>
    <w:rsid w:val="00C71A8F"/>
    <w:rsid w:val="00C735B0"/>
    <w:rsid w:val="00C73885"/>
    <w:rsid w:val="00C73AA8"/>
    <w:rsid w:val="00C73E5E"/>
    <w:rsid w:val="00C74773"/>
    <w:rsid w:val="00C75354"/>
    <w:rsid w:val="00C755AB"/>
    <w:rsid w:val="00C76885"/>
    <w:rsid w:val="00C76897"/>
    <w:rsid w:val="00C76E29"/>
    <w:rsid w:val="00C806F4"/>
    <w:rsid w:val="00C81241"/>
    <w:rsid w:val="00C8125A"/>
    <w:rsid w:val="00C812B9"/>
    <w:rsid w:val="00C81990"/>
    <w:rsid w:val="00C81EC6"/>
    <w:rsid w:val="00C828CD"/>
    <w:rsid w:val="00C82EC2"/>
    <w:rsid w:val="00C83CF4"/>
    <w:rsid w:val="00C857B3"/>
    <w:rsid w:val="00C86D39"/>
    <w:rsid w:val="00C87144"/>
    <w:rsid w:val="00C906C2"/>
    <w:rsid w:val="00C90A45"/>
    <w:rsid w:val="00C91802"/>
    <w:rsid w:val="00C91828"/>
    <w:rsid w:val="00C91ECA"/>
    <w:rsid w:val="00C924F1"/>
    <w:rsid w:val="00C928D7"/>
    <w:rsid w:val="00C93376"/>
    <w:rsid w:val="00C93508"/>
    <w:rsid w:val="00C94932"/>
    <w:rsid w:val="00C94B4E"/>
    <w:rsid w:val="00C95528"/>
    <w:rsid w:val="00C95E50"/>
    <w:rsid w:val="00C95FEA"/>
    <w:rsid w:val="00C97C39"/>
    <w:rsid w:val="00CA0BC8"/>
    <w:rsid w:val="00CA1F49"/>
    <w:rsid w:val="00CA34A2"/>
    <w:rsid w:val="00CA3CFA"/>
    <w:rsid w:val="00CA4404"/>
    <w:rsid w:val="00CA455A"/>
    <w:rsid w:val="00CA495A"/>
    <w:rsid w:val="00CA4F4F"/>
    <w:rsid w:val="00CA50A8"/>
    <w:rsid w:val="00CA527D"/>
    <w:rsid w:val="00CA533C"/>
    <w:rsid w:val="00CA5D8E"/>
    <w:rsid w:val="00CA6021"/>
    <w:rsid w:val="00CA6201"/>
    <w:rsid w:val="00CA6B7C"/>
    <w:rsid w:val="00CA75CD"/>
    <w:rsid w:val="00CB08C4"/>
    <w:rsid w:val="00CB2734"/>
    <w:rsid w:val="00CB5B5B"/>
    <w:rsid w:val="00CB63DC"/>
    <w:rsid w:val="00CB7D41"/>
    <w:rsid w:val="00CB7E71"/>
    <w:rsid w:val="00CC03DD"/>
    <w:rsid w:val="00CC093F"/>
    <w:rsid w:val="00CC0F9B"/>
    <w:rsid w:val="00CC10EF"/>
    <w:rsid w:val="00CC15F9"/>
    <w:rsid w:val="00CC17FA"/>
    <w:rsid w:val="00CC258E"/>
    <w:rsid w:val="00CC4933"/>
    <w:rsid w:val="00CC554C"/>
    <w:rsid w:val="00CC5917"/>
    <w:rsid w:val="00CC699C"/>
    <w:rsid w:val="00CC6CE5"/>
    <w:rsid w:val="00CC7253"/>
    <w:rsid w:val="00CC73D3"/>
    <w:rsid w:val="00CC7F42"/>
    <w:rsid w:val="00CD0CBE"/>
    <w:rsid w:val="00CD19A7"/>
    <w:rsid w:val="00CD1D66"/>
    <w:rsid w:val="00CD2B60"/>
    <w:rsid w:val="00CD31CD"/>
    <w:rsid w:val="00CD3DB3"/>
    <w:rsid w:val="00CD4412"/>
    <w:rsid w:val="00CD4DEF"/>
    <w:rsid w:val="00CD73B0"/>
    <w:rsid w:val="00CD7710"/>
    <w:rsid w:val="00CE009D"/>
    <w:rsid w:val="00CE20E3"/>
    <w:rsid w:val="00CE3135"/>
    <w:rsid w:val="00CE32DF"/>
    <w:rsid w:val="00CE362F"/>
    <w:rsid w:val="00CE377B"/>
    <w:rsid w:val="00CE4AF4"/>
    <w:rsid w:val="00CE53B4"/>
    <w:rsid w:val="00CE53F9"/>
    <w:rsid w:val="00CE5671"/>
    <w:rsid w:val="00CE603E"/>
    <w:rsid w:val="00CE78AD"/>
    <w:rsid w:val="00CE7D92"/>
    <w:rsid w:val="00CE7F16"/>
    <w:rsid w:val="00CF0426"/>
    <w:rsid w:val="00CF043E"/>
    <w:rsid w:val="00CF0D21"/>
    <w:rsid w:val="00CF1A76"/>
    <w:rsid w:val="00CF24AF"/>
    <w:rsid w:val="00CF2CA5"/>
    <w:rsid w:val="00CF2FC5"/>
    <w:rsid w:val="00CF48AE"/>
    <w:rsid w:val="00CF4A73"/>
    <w:rsid w:val="00CF6401"/>
    <w:rsid w:val="00CF6C15"/>
    <w:rsid w:val="00CF7382"/>
    <w:rsid w:val="00CF7789"/>
    <w:rsid w:val="00D006B2"/>
    <w:rsid w:val="00D01467"/>
    <w:rsid w:val="00D02567"/>
    <w:rsid w:val="00D033F2"/>
    <w:rsid w:val="00D0346B"/>
    <w:rsid w:val="00D034A5"/>
    <w:rsid w:val="00D03EFD"/>
    <w:rsid w:val="00D048F2"/>
    <w:rsid w:val="00D058F1"/>
    <w:rsid w:val="00D05AC8"/>
    <w:rsid w:val="00D06290"/>
    <w:rsid w:val="00D1346F"/>
    <w:rsid w:val="00D1381A"/>
    <w:rsid w:val="00D13CA4"/>
    <w:rsid w:val="00D14B73"/>
    <w:rsid w:val="00D14F75"/>
    <w:rsid w:val="00D16F0D"/>
    <w:rsid w:val="00D17062"/>
    <w:rsid w:val="00D17C04"/>
    <w:rsid w:val="00D17C93"/>
    <w:rsid w:val="00D2038D"/>
    <w:rsid w:val="00D21246"/>
    <w:rsid w:val="00D217D5"/>
    <w:rsid w:val="00D21918"/>
    <w:rsid w:val="00D21D7D"/>
    <w:rsid w:val="00D22517"/>
    <w:rsid w:val="00D2340A"/>
    <w:rsid w:val="00D241E2"/>
    <w:rsid w:val="00D245E6"/>
    <w:rsid w:val="00D24E9D"/>
    <w:rsid w:val="00D250DE"/>
    <w:rsid w:val="00D25472"/>
    <w:rsid w:val="00D25E69"/>
    <w:rsid w:val="00D26234"/>
    <w:rsid w:val="00D314F5"/>
    <w:rsid w:val="00D32DB4"/>
    <w:rsid w:val="00D36EBD"/>
    <w:rsid w:val="00D4076A"/>
    <w:rsid w:val="00D4088E"/>
    <w:rsid w:val="00D40DAC"/>
    <w:rsid w:val="00D41983"/>
    <w:rsid w:val="00D42367"/>
    <w:rsid w:val="00D4272C"/>
    <w:rsid w:val="00D4312C"/>
    <w:rsid w:val="00D432E9"/>
    <w:rsid w:val="00D43848"/>
    <w:rsid w:val="00D45509"/>
    <w:rsid w:val="00D4576F"/>
    <w:rsid w:val="00D45DB7"/>
    <w:rsid w:val="00D46DE8"/>
    <w:rsid w:val="00D47047"/>
    <w:rsid w:val="00D47E5C"/>
    <w:rsid w:val="00D501B0"/>
    <w:rsid w:val="00D50B83"/>
    <w:rsid w:val="00D52570"/>
    <w:rsid w:val="00D53507"/>
    <w:rsid w:val="00D53C09"/>
    <w:rsid w:val="00D54026"/>
    <w:rsid w:val="00D548B6"/>
    <w:rsid w:val="00D55438"/>
    <w:rsid w:val="00D556A3"/>
    <w:rsid w:val="00D56ADF"/>
    <w:rsid w:val="00D572E1"/>
    <w:rsid w:val="00D5738B"/>
    <w:rsid w:val="00D573CE"/>
    <w:rsid w:val="00D60DB9"/>
    <w:rsid w:val="00D60F85"/>
    <w:rsid w:val="00D61634"/>
    <w:rsid w:val="00D621B3"/>
    <w:rsid w:val="00D625E0"/>
    <w:rsid w:val="00D63712"/>
    <w:rsid w:val="00D65D33"/>
    <w:rsid w:val="00D66B35"/>
    <w:rsid w:val="00D71AC2"/>
    <w:rsid w:val="00D726CE"/>
    <w:rsid w:val="00D72B52"/>
    <w:rsid w:val="00D7321F"/>
    <w:rsid w:val="00D7386D"/>
    <w:rsid w:val="00D74A16"/>
    <w:rsid w:val="00D75A4E"/>
    <w:rsid w:val="00D76D9A"/>
    <w:rsid w:val="00D772C8"/>
    <w:rsid w:val="00D77704"/>
    <w:rsid w:val="00D77AD8"/>
    <w:rsid w:val="00D77BC3"/>
    <w:rsid w:val="00D80823"/>
    <w:rsid w:val="00D80B4A"/>
    <w:rsid w:val="00D80F13"/>
    <w:rsid w:val="00D80F51"/>
    <w:rsid w:val="00D82308"/>
    <w:rsid w:val="00D82710"/>
    <w:rsid w:val="00D8399B"/>
    <w:rsid w:val="00D84049"/>
    <w:rsid w:val="00D844B9"/>
    <w:rsid w:val="00D84A53"/>
    <w:rsid w:val="00D84D7B"/>
    <w:rsid w:val="00D86AB7"/>
    <w:rsid w:val="00D91F04"/>
    <w:rsid w:val="00D928C0"/>
    <w:rsid w:val="00D9292E"/>
    <w:rsid w:val="00D92DCD"/>
    <w:rsid w:val="00D92EB8"/>
    <w:rsid w:val="00D930D7"/>
    <w:rsid w:val="00D93A20"/>
    <w:rsid w:val="00D96DF7"/>
    <w:rsid w:val="00D9712C"/>
    <w:rsid w:val="00D97B34"/>
    <w:rsid w:val="00DA06D0"/>
    <w:rsid w:val="00DA1313"/>
    <w:rsid w:val="00DA183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B0811"/>
    <w:rsid w:val="00DB1295"/>
    <w:rsid w:val="00DB1C3B"/>
    <w:rsid w:val="00DB1F4D"/>
    <w:rsid w:val="00DB2358"/>
    <w:rsid w:val="00DB444D"/>
    <w:rsid w:val="00DB5244"/>
    <w:rsid w:val="00DB5805"/>
    <w:rsid w:val="00DB5BAB"/>
    <w:rsid w:val="00DB64B0"/>
    <w:rsid w:val="00DB7B38"/>
    <w:rsid w:val="00DC1599"/>
    <w:rsid w:val="00DC30F9"/>
    <w:rsid w:val="00DC3CCF"/>
    <w:rsid w:val="00DC4F02"/>
    <w:rsid w:val="00DC5BC5"/>
    <w:rsid w:val="00DC606C"/>
    <w:rsid w:val="00DC6DCD"/>
    <w:rsid w:val="00DC74ED"/>
    <w:rsid w:val="00DD09D0"/>
    <w:rsid w:val="00DD0A6D"/>
    <w:rsid w:val="00DD3382"/>
    <w:rsid w:val="00DD3A7C"/>
    <w:rsid w:val="00DD3FD5"/>
    <w:rsid w:val="00DD531E"/>
    <w:rsid w:val="00DD57CF"/>
    <w:rsid w:val="00DD5A72"/>
    <w:rsid w:val="00DD721A"/>
    <w:rsid w:val="00DE119E"/>
    <w:rsid w:val="00DE15B4"/>
    <w:rsid w:val="00DE1D26"/>
    <w:rsid w:val="00DE22F8"/>
    <w:rsid w:val="00DE3B30"/>
    <w:rsid w:val="00DE4122"/>
    <w:rsid w:val="00DE57F8"/>
    <w:rsid w:val="00DE58C5"/>
    <w:rsid w:val="00DE68BB"/>
    <w:rsid w:val="00DF0355"/>
    <w:rsid w:val="00DF1FE9"/>
    <w:rsid w:val="00DF257B"/>
    <w:rsid w:val="00DF29C8"/>
    <w:rsid w:val="00DF2D94"/>
    <w:rsid w:val="00DF34E5"/>
    <w:rsid w:val="00DF3976"/>
    <w:rsid w:val="00DF44D7"/>
    <w:rsid w:val="00DF531A"/>
    <w:rsid w:val="00DF5901"/>
    <w:rsid w:val="00DF5CF9"/>
    <w:rsid w:val="00DF6023"/>
    <w:rsid w:val="00DF607F"/>
    <w:rsid w:val="00DF636F"/>
    <w:rsid w:val="00DF6C4E"/>
    <w:rsid w:val="00DF75EE"/>
    <w:rsid w:val="00DF7747"/>
    <w:rsid w:val="00DF7934"/>
    <w:rsid w:val="00DF7F3B"/>
    <w:rsid w:val="00E0041D"/>
    <w:rsid w:val="00E00455"/>
    <w:rsid w:val="00E00729"/>
    <w:rsid w:val="00E0112D"/>
    <w:rsid w:val="00E01841"/>
    <w:rsid w:val="00E024EB"/>
    <w:rsid w:val="00E03B6C"/>
    <w:rsid w:val="00E03EF0"/>
    <w:rsid w:val="00E0454E"/>
    <w:rsid w:val="00E04DA2"/>
    <w:rsid w:val="00E04E2E"/>
    <w:rsid w:val="00E055E9"/>
    <w:rsid w:val="00E0659B"/>
    <w:rsid w:val="00E10716"/>
    <w:rsid w:val="00E10E99"/>
    <w:rsid w:val="00E1105A"/>
    <w:rsid w:val="00E11534"/>
    <w:rsid w:val="00E13166"/>
    <w:rsid w:val="00E13962"/>
    <w:rsid w:val="00E13EDE"/>
    <w:rsid w:val="00E143B1"/>
    <w:rsid w:val="00E14FA2"/>
    <w:rsid w:val="00E150E6"/>
    <w:rsid w:val="00E151FB"/>
    <w:rsid w:val="00E153D4"/>
    <w:rsid w:val="00E16A5A"/>
    <w:rsid w:val="00E17077"/>
    <w:rsid w:val="00E20089"/>
    <w:rsid w:val="00E20620"/>
    <w:rsid w:val="00E20A4B"/>
    <w:rsid w:val="00E2255C"/>
    <w:rsid w:val="00E22708"/>
    <w:rsid w:val="00E22CE8"/>
    <w:rsid w:val="00E23A52"/>
    <w:rsid w:val="00E2511E"/>
    <w:rsid w:val="00E252C0"/>
    <w:rsid w:val="00E25ABA"/>
    <w:rsid w:val="00E26ADA"/>
    <w:rsid w:val="00E27713"/>
    <w:rsid w:val="00E27D9B"/>
    <w:rsid w:val="00E27EB0"/>
    <w:rsid w:val="00E3021E"/>
    <w:rsid w:val="00E3293B"/>
    <w:rsid w:val="00E331A5"/>
    <w:rsid w:val="00E3351D"/>
    <w:rsid w:val="00E34424"/>
    <w:rsid w:val="00E35D97"/>
    <w:rsid w:val="00E3600D"/>
    <w:rsid w:val="00E3692E"/>
    <w:rsid w:val="00E36A9F"/>
    <w:rsid w:val="00E36F4B"/>
    <w:rsid w:val="00E370CE"/>
    <w:rsid w:val="00E375D5"/>
    <w:rsid w:val="00E37CDF"/>
    <w:rsid w:val="00E402E8"/>
    <w:rsid w:val="00E40579"/>
    <w:rsid w:val="00E40740"/>
    <w:rsid w:val="00E4102D"/>
    <w:rsid w:val="00E418C0"/>
    <w:rsid w:val="00E41B0A"/>
    <w:rsid w:val="00E41BC3"/>
    <w:rsid w:val="00E42ECF"/>
    <w:rsid w:val="00E43345"/>
    <w:rsid w:val="00E433F3"/>
    <w:rsid w:val="00E43920"/>
    <w:rsid w:val="00E43BEA"/>
    <w:rsid w:val="00E44010"/>
    <w:rsid w:val="00E4454A"/>
    <w:rsid w:val="00E449B7"/>
    <w:rsid w:val="00E457B5"/>
    <w:rsid w:val="00E472B3"/>
    <w:rsid w:val="00E4764A"/>
    <w:rsid w:val="00E47D3F"/>
    <w:rsid w:val="00E500B8"/>
    <w:rsid w:val="00E52088"/>
    <w:rsid w:val="00E547DA"/>
    <w:rsid w:val="00E562AE"/>
    <w:rsid w:val="00E56768"/>
    <w:rsid w:val="00E56812"/>
    <w:rsid w:val="00E570D8"/>
    <w:rsid w:val="00E5738B"/>
    <w:rsid w:val="00E57EAE"/>
    <w:rsid w:val="00E60028"/>
    <w:rsid w:val="00E6009D"/>
    <w:rsid w:val="00E601E0"/>
    <w:rsid w:val="00E6038D"/>
    <w:rsid w:val="00E63CB1"/>
    <w:rsid w:val="00E6453C"/>
    <w:rsid w:val="00E6610A"/>
    <w:rsid w:val="00E6684A"/>
    <w:rsid w:val="00E66B83"/>
    <w:rsid w:val="00E67722"/>
    <w:rsid w:val="00E67862"/>
    <w:rsid w:val="00E67B29"/>
    <w:rsid w:val="00E7030E"/>
    <w:rsid w:val="00E72176"/>
    <w:rsid w:val="00E72C66"/>
    <w:rsid w:val="00E73812"/>
    <w:rsid w:val="00E746E2"/>
    <w:rsid w:val="00E7583B"/>
    <w:rsid w:val="00E758BB"/>
    <w:rsid w:val="00E759EB"/>
    <w:rsid w:val="00E7675B"/>
    <w:rsid w:val="00E76D18"/>
    <w:rsid w:val="00E771DF"/>
    <w:rsid w:val="00E77D6E"/>
    <w:rsid w:val="00E80085"/>
    <w:rsid w:val="00E80589"/>
    <w:rsid w:val="00E82178"/>
    <w:rsid w:val="00E82397"/>
    <w:rsid w:val="00E827F9"/>
    <w:rsid w:val="00E82B9C"/>
    <w:rsid w:val="00E82BEB"/>
    <w:rsid w:val="00E83053"/>
    <w:rsid w:val="00E83DD2"/>
    <w:rsid w:val="00E8529D"/>
    <w:rsid w:val="00E85D59"/>
    <w:rsid w:val="00E86255"/>
    <w:rsid w:val="00E8714B"/>
    <w:rsid w:val="00E87C03"/>
    <w:rsid w:val="00E90509"/>
    <w:rsid w:val="00E90783"/>
    <w:rsid w:val="00E90DC4"/>
    <w:rsid w:val="00E90E40"/>
    <w:rsid w:val="00E9106B"/>
    <w:rsid w:val="00E91D35"/>
    <w:rsid w:val="00E92A14"/>
    <w:rsid w:val="00E93217"/>
    <w:rsid w:val="00E93F5B"/>
    <w:rsid w:val="00E94E1A"/>
    <w:rsid w:val="00E95ECE"/>
    <w:rsid w:val="00E96F27"/>
    <w:rsid w:val="00E97878"/>
    <w:rsid w:val="00E97BEF"/>
    <w:rsid w:val="00EA0221"/>
    <w:rsid w:val="00EA0251"/>
    <w:rsid w:val="00EA4997"/>
    <w:rsid w:val="00EA4C3C"/>
    <w:rsid w:val="00EA5602"/>
    <w:rsid w:val="00EA575B"/>
    <w:rsid w:val="00EA61A4"/>
    <w:rsid w:val="00EA7A28"/>
    <w:rsid w:val="00EB0981"/>
    <w:rsid w:val="00EB0C10"/>
    <w:rsid w:val="00EB142D"/>
    <w:rsid w:val="00EB276B"/>
    <w:rsid w:val="00EB46F6"/>
    <w:rsid w:val="00EB4B47"/>
    <w:rsid w:val="00EB5337"/>
    <w:rsid w:val="00EB5AD5"/>
    <w:rsid w:val="00EB5CF3"/>
    <w:rsid w:val="00EB6414"/>
    <w:rsid w:val="00EB6881"/>
    <w:rsid w:val="00EB6BBA"/>
    <w:rsid w:val="00EB7ADD"/>
    <w:rsid w:val="00EB7FED"/>
    <w:rsid w:val="00EC030E"/>
    <w:rsid w:val="00EC187A"/>
    <w:rsid w:val="00EC250E"/>
    <w:rsid w:val="00EC2B4F"/>
    <w:rsid w:val="00EC4B00"/>
    <w:rsid w:val="00EC6317"/>
    <w:rsid w:val="00EC6B98"/>
    <w:rsid w:val="00EC6D71"/>
    <w:rsid w:val="00EC7E3C"/>
    <w:rsid w:val="00ED0400"/>
    <w:rsid w:val="00ED0EB4"/>
    <w:rsid w:val="00ED163B"/>
    <w:rsid w:val="00ED1B75"/>
    <w:rsid w:val="00ED2091"/>
    <w:rsid w:val="00ED2272"/>
    <w:rsid w:val="00ED2558"/>
    <w:rsid w:val="00ED26E9"/>
    <w:rsid w:val="00ED36C0"/>
    <w:rsid w:val="00ED375B"/>
    <w:rsid w:val="00ED41ED"/>
    <w:rsid w:val="00ED52BE"/>
    <w:rsid w:val="00ED55E1"/>
    <w:rsid w:val="00ED5F4B"/>
    <w:rsid w:val="00ED6E86"/>
    <w:rsid w:val="00ED6FF3"/>
    <w:rsid w:val="00ED7DC2"/>
    <w:rsid w:val="00EE0E95"/>
    <w:rsid w:val="00EE0EE4"/>
    <w:rsid w:val="00EE201A"/>
    <w:rsid w:val="00EE3026"/>
    <w:rsid w:val="00EE3DF9"/>
    <w:rsid w:val="00EE4391"/>
    <w:rsid w:val="00EE46F8"/>
    <w:rsid w:val="00EE4DD7"/>
    <w:rsid w:val="00EE4E50"/>
    <w:rsid w:val="00EE58A9"/>
    <w:rsid w:val="00EE6F44"/>
    <w:rsid w:val="00EF00B4"/>
    <w:rsid w:val="00EF0E76"/>
    <w:rsid w:val="00EF1973"/>
    <w:rsid w:val="00EF2691"/>
    <w:rsid w:val="00EF2C13"/>
    <w:rsid w:val="00EF3234"/>
    <w:rsid w:val="00EF3CF6"/>
    <w:rsid w:val="00EF4193"/>
    <w:rsid w:val="00EF453F"/>
    <w:rsid w:val="00EF5204"/>
    <w:rsid w:val="00EF7063"/>
    <w:rsid w:val="00EF7F4F"/>
    <w:rsid w:val="00F00139"/>
    <w:rsid w:val="00F002A8"/>
    <w:rsid w:val="00F00ED5"/>
    <w:rsid w:val="00F01070"/>
    <w:rsid w:val="00F011E8"/>
    <w:rsid w:val="00F0270E"/>
    <w:rsid w:val="00F0305B"/>
    <w:rsid w:val="00F03606"/>
    <w:rsid w:val="00F03726"/>
    <w:rsid w:val="00F03EBF"/>
    <w:rsid w:val="00F04089"/>
    <w:rsid w:val="00F04335"/>
    <w:rsid w:val="00F047E6"/>
    <w:rsid w:val="00F04EF6"/>
    <w:rsid w:val="00F05772"/>
    <w:rsid w:val="00F05E0A"/>
    <w:rsid w:val="00F06488"/>
    <w:rsid w:val="00F07881"/>
    <w:rsid w:val="00F07B4D"/>
    <w:rsid w:val="00F13616"/>
    <w:rsid w:val="00F14077"/>
    <w:rsid w:val="00F145A8"/>
    <w:rsid w:val="00F14790"/>
    <w:rsid w:val="00F14BA1"/>
    <w:rsid w:val="00F16D2E"/>
    <w:rsid w:val="00F17E69"/>
    <w:rsid w:val="00F20360"/>
    <w:rsid w:val="00F20674"/>
    <w:rsid w:val="00F20C14"/>
    <w:rsid w:val="00F20F4B"/>
    <w:rsid w:val="00F2283E"/>
    <w:rsid w:val="00F23192"/>
    <w:rsid w:val="00F23ACD"/>
    <w:rsid w:val="00F24132"/>
    <w:rsid w:val="00F253A7"/>
    <w:rsid w:val="00F2637B"/>
    <w:rsid w:val="00F264D9"/>
    <w:rsid w:val="00F26B95"/>
    <w:rsid w:val="00F26C24"/>
    <w:rsid w:val="00F2793A"/>
    <w:rsid w:val="00F27CD8"/>
    <w:rsid w:val="00F308BF"/>
    <w:rsid w:val="00F3094B"/>
    <w:rsid w:val="00F30CB5"/>
    <w:rsid w:val="00F31576"/>
    <w:rsid w:val="00F31AED"/>
    <w:rsid w:val="00F322A0"/>
    <w:rsid w:val="00F3235D"/>
    <w:rsid w:val="00F32FAE"/>
    <w:rsid w:val="00F33563"/>
    <w:rsid w:val="00F3360F"/>
    <w:rsid w:val="00F34927"/>
    <w:rsid w:val="00F37813"/>
    <w:rsid w:val="00F37F15"/>
    <w:rsid w:val="00F40018"/>
    <w:rsid w:val="00F40055"/>
    <w:rsid w:val="00F41538"/>
    <w:rsid w:val="00F4174B"/>
    <w:rsid w:val="00F42545"/>
    <w:rsid w:val="00F429F4"/>
    <w:rsid w:val="00F43717"/>
    <w:rsid w:val="00F447F3"/>
    <w:rsid w:val="00F44C98"/>
    <w:rsid w:val="00F4571E"/>
    <w:rsid w:val="00F45E6E"/>
    <w:rsid w:val="00F46464"/>
    <w:rsid w:val="00F46BB5"/>
    <w:rsid w:val="00F475A6"/>
    <w:rsid w:val="00F50653"/>
    <w:rsid w:val="00F506B0"/>
    <w:rsid w:val="00F5095A"/>
    <w:rsid w:val="00F50BBD"/>
    <w:rsid w:val="00F51154"/>
    <w:rsid w:val="00F5148C"/>
    <w:rsid w:val="00F519C0"/>
    <w:rsid w:val="00F52EEC"/>
    <w:rsid w:val="00F5350A"/>
    <w:rsid w:val="00F53752"/>
    <w:rsid w:val="00F5414B"/>
    <w:rsid w:val="00F549D5"/>
    <w:rsid w:val="00F54AC9"/>
    <w:rsid w:val="00F56BBC"/>
    <w:rsid w:val="00F56F12"/>
    <w:rsid w:val="00F57DD2"/>
    <w:rsid w:val="00F60771"/>
    <w:rsid w:val="00F60F55"/>
    <w:rsid w:val="00F61968"/>
    <w:rsid w:val="00F61CE8"/>
    <w:rsid w:val="00F62715"/>
    <w:rsid w:val="00F62877"/>
    <w:rsid w:val="00F62BBE"/>
    <w:rsid w:val="00F648FC"/>
    <w:rsid w:val="00F6537E"/>
    <w:rsid w:val="00F65392"/>
    <w:rsid w:val="00F665BD"/>
    <w:rsid w:val="00F668CE"/>
    <w:rsid w:val="00F66B2E"/>
    <w:rsid w:val="00F66F00"/>
    <w:rsid w:val="00F67F2C"/>
    <w:rsid w:val="00F71067"/>
    <w:rsid w:val="00F71679"/>
    <w:rsid w:val="00F71CFD"/>
    <w:rsid w:val="00F73E76"/>
    <w:rsid w:val="00F74276"/>
    <w:rsid w:val="00F74436"/>
    <w:rsid w:val="00F745A4"/>
    <w:rsid w:val="00F7513F"/>
    <w:rsid w:val="00F75DDB"/>
    <w:rsid w:val="00F7639E"/>
    <w:rsid w:val="00F774B5"/>
    <w:rsid w:val="00F80340"/>
    <w:rsid w:val="00F822E2"/>
    <w:rsid w:val="00F8470D"/>
    <w:rsid w:val="00F84806"/>
    <w:rsid w:val="00F85AB2"/>
    <w:rsid w:val="00F85DE2"/>
    <w:rsid w:val="00F872EE"/>
    <w:rsid w:val="00F873C8"/>
    <w:rsid w:val="00F87B39"/>
    <w:rsid w:val="00F90A45"/>
    <w:rsid w:val="00F91335"/>
    <w:rsid w:val="00F9252C"/>
    <w:rsid w:val="00F9335B"/>
    <w:rsid w:val="00F935DB"/>
    <w:rsid w:val="00F936C0"/>
    <w:rsid w:val="00F939AF"/>
    <w:rsid w:val="00F93F14"/>
    <w:rsid w:val="00F947E5"/>
    <w:rsid w:val="00F95039"/>
    <w:rsid w:val="00F95860"/>
    <w:rsid w:val="00FA099C"/>
    <w:rsid w:val="00FA0EB3"/>
    <w:rsid w:val="00FA15BA"/>
    <w:rsid w:val="00FA1821"/>
    <w:rsid w:val="00FA2006"/>
    <w:rsid w:val="00FA3074"/>
    <w:rsid w:val="00FA37B5"/>
    <w:rsid w:val="00FA3B16"/>
    <w:rsid w:val="00FA422A"/>
    <w:rsid w:val="00FA49FF"/>
    <w:rsid w:val="00FA50B5"/>
    <w:rsid w:val="00FA5248"/>
    <w:rsid w:val="00FA5A4B"/>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B6D27"/>
    <w:rsid w:val="00FC011F"/>
    <w:rsid w:val="00FC0B2C"/>
    <w:rsid w:val="00FC0D4B"/>
    <w:rsid w:val="00FC112D"/>
    <w:rsid w:val="00FC1201"/>
    <w:rsid w:val="00FC1CCA"/>
    <w:rsid w:val="00FC1E90"/>
    <w:rsid w:val="00FC41EF"/>
    <w:rsid w:val="00FC5061"/>
    <w:rsid w:val="00FC53F9"/>
    <w:rsid w:val="00FC6E4D"/>
    <w:rsid w:val="00FC790F"/>
    <w:rsid w:val="00FD0116"/>
    <w:rsid w:val="00FD034A"/>
    <w:rsid w:val="00FD0C15"/>
    <w:rsid w:val="00FD13AD"/>
    <w:rsid w:val="00FD1E38"/>
    <w:rsid w:val="00FD1F90"/>
    <w:rsid w:val="00FD202C"/>
    <w:rsid w:val="00FD2159"/>
    <w:rsid w:val="00FD2739"/>
    <w:rsid w:val="00FD27AE"/>
    <w:rsid w:val="00FD3995"/>
    <w:rsid w:val="00FD42DD"/>
    <w:rsid w:val="00FD5403"/>
    <w:rsid w:val="00FD5815"/>
    <w:rsid w:val="00FD6266"/>
    <w:rsid w:val="00FE04BA"/>
    <w:rsid w:val="00FE1F2C"/>
    <w:rsid w:val="00FE2F15"/>
    <w:rsid w:val="00FE31E4"/>
    <w:rsid w:val="00FE3832"/>
    <w:rsid w:val="00FE38BE"/>
    <w:rsid w:val="00FE4B8D"/>
    <w:rsid w:val="00FE500C"/>
    <w:rsid w:val="00FE51F6"/>
    <w:rsid w:val="00FE5286"/>
    <w:rsid w:val="00FE6563"/>
    <w:rsid w:val="00FE68C3"/>
    <w:rsid w:val="00FE6DD5"/>
    <w:rsid w:val="00FE707F"/>
    <w:rsid w:val="00FE7D31"/>
    <w:rsid w:val="00FE7D96"/>
    <w:rsid w:val="00FE7F8A"/>
    <w:rsid w:val="00FF0BA6"/>
    <w:rsid w:val="00FF0CF6"/>
    <w:rsid w:val="00FF1074"/>
    <w:rsid w:val="00FF127F"/>
    <w:rsid w:val="00FF1D86"/>
    <w:rsid w:val="00FF2565"/>
    <w:rsid w:val="00FF275C"/>
    <w:rsid w:val="00FF2FED"/>
    <w:rsid w:val="00FF3870"/>
    <w:rsid w:val="00FF3D18"/>
    <w:rsid w:val="00FF41CA"/>
    <w:rsid w:val="00FF527F"/>
    <w:rsid w:val="00FF6C60"/>
    <w:rsid w:val="00FF78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9187"/>
  <w15:docId w15:val="{79AE7528-7AC4-48A3-A134-B324200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785C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9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unhideWhenUsed/>
    <w:rsid w:val="008B1580"/>
    <w:rPr>
      <w:rFonts w:cs="Times New Roman"/>
      <w:sz w:val="20"/>
      <w:szCs w:val="20"/>
    </w:rPr>
  </w:style>
  <w:style w:type="character" w:customStyle="1" w:styleId="FootnoteTextChar">
    <w:name w:val="Footnote Text Char"/>
    <w:link w:val="FootnoteText"/>
    <w:uiPriority w:val="99"/>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unhideWhenUsed/>
    <w:rsid w:val="00200DCE"/>
    <w:rPr>
      <w:sz w:val="20"/>
      <w:szCs w:val="20"/>
    </w:rPr>
  </w:style>
  <w:style w:type="character" w:customStyle="1" w:styleId="CommentTextChar">
    <w:name w:val="Comment Text Char"/>
    <w:link w:val="CommentText"/>
    <w:uiPriority w:val="99"/>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character" w:customStyle="1" w:styleId="Heading3Char">
    <w:name w:val="Heading 3 Char"/>
    <w:basedOn w:val="DefaultParagraphFont"/>
    <w:link w:val="Heading3"/>
    <w:uiPriority w:val="9"/>
    <w:semiHidden/>
    <w:rsid w:val="008E49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85C4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56E1"/>
    <w:rPr>
      <w:rFonts w:ascii="Arial" w:eastAsia="Times New Roman" w:hAnsi="Arial" w:cs="Arial"/>
      <w:sz w:val="24"/>
      <w:szCs w:val="24"/>
    </w:rPr>
  </w:style>
  <w:style w:type="paragraph" w:customStyle="1" w:styleId="JUGMENTNUMBERED">
    <w:name w:val="JUGMENT NUMBERED"/>
    <w:basedOn w:val="Normal"/>
    <w:uiPriority w:val="99"/>
    <w:rsid w:val="00DB64B0"/>
    <w:pPr>
      <w:numPr>
        <w:numId w:val="1"/>
      </w:numPr>
      <w:spacing w:line="480" w:lineRule="auto"/>
    </w:pPr>
    <w:rPr>
      <w:rFonts w:ascii="Times New Roman" w:hAnsi="Times New Roman" w:cs="Times New Roman"/>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67">
      <w:bodyDiv w:val="1"/>
      <w:marLeft w:val="0"/>
      <w:marRight w:val="0"/>
      <w:marTop w:val="0"/>
      <w:marBottom w:val="0"/>
      <w:divBdr>
        <w:top w:val="none" w:sz="0" w:space="0" w:color="auto"/>
        <w:left w:val="none" w:sz="0" w:space="0" w:color="auto"/>
        <w:bottom w:val="none" w:sz="0" w:space="0" w:color="auto"/>
        <w:right w:val="none" w:sz="0" w:space="0" w:color="auto"/>
      </w:divBdr>
    </w:div>
    <w:div w:id="227499686">
      <w:bodyDiv w:val="1"/>
      <w:marLeft w:val="0"/>
      <w:marRight w:val="0"/>
      <w:marTop w:val="0"/>
      <w:marBottom w:val="0"/>
      <w:divBdr>
        <w:top w:val="none" w:sz="0" w:space="0" w:color="auto"/>
        <w:left w:val="none" w:sz="0" w:space="0" w:color="auto"/>
        <w:bottom w:val="none" w:sz="0" w:space="0" w:color="auto"/>
        <w:right w:val="none" w:sz="0" w:space="0" w:color="auto"/>
      </w:divBdr>
    </w:div>
    <w:div w:id="254365874">
      <w:bodyDiv w:val="1"/>
      <w:marLeft w:val="0"/>
      <w:marRight w:val="0"/>
      <w:marTop w:val="0"/>
      <w:marBottom w:val="0"/>
      <w:divBdr>
        <w:top w:val="none" w:sz="0" w:space="0" w:color="auto"/>
        <w:left w:val="none" w:sz="0" w:space="0" w:color="auto"/>
        <w:bottom w:val="none" w:sz="0" w:space="0" w:color="auto"/>
        <w:right w:val="none" w:sz="0" w:space="0" w:color="auto"/>
      </w:divBdr>
    </w:div>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339236641">
      <w:bodyDiv w:val="1"/>
      <w:marLeft w:val="0"/>
      <w:marRight w:val="0"/>
      <w:marTop w:val="0"/>
      <w:marBottom w:val="0"/>
      <w:divBdr>
        <w:top w:val="none" w:sz="0" w:space="0" w:color="auto"/>
        <w:left w:val="none" w:sz="0" w:space="0" w:color="auto"/>
        <w:bottom w:val="none" w:sz="0" w:space="0" w:color="auto"/>
        <w:right w:val="none" w:sz="0" w:space="0" w:color="auto"/>
      </w:divBdr>
    </w:div>
    <w:div w:id="441727455">
      <w:bodyDiv w:val="1"/>
      <w:marLeft w:val="0"/>
      <w:marRight w:val="0"/>
      <w:marTop w:val="0"/>
      <w:marBottom w:val="0"/>
      <w:divBdr>
        <w:top w:val="none" w:sz="0" w:space="0" w:color="auto"/>
        <w:left w:val="none" w:sz="0" w:space="0" w:color="auto"/>
        <w:bottom w:val="none" w:sz="0" w:space="0" w:color="auto"/>
        <w:right w:val="none" w:sz="0" w:space="0" w:color="auto"/>
      </w:divBdr>
    </w:div>
    <w:div w:id="482048756">
      <w:bodyDiv w:val="1"/>
      <w:marLeft w:val="0"/>
      <w:marRight w:val="0"/>
      <w:marTop w:val="0"/>
      <w:marBottom w:val="0"/>
      <w:divBdr>
        <w:top w:val="none" w:sz="0" w:space="0" w:color="auto"/>
        <w:left w:val="none" w:sz="0" w:space="0" w:color="auto"/>
        <w:bottom w:val="none" w:sz="0" w:space="0" w:color="auto"/>
        <w:right w:val="none" w:sz="0" w:space="0" w:color="auto"/>
      </w:divBdr>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556478163">
      <w:bodyDiv w:val="1"/>
      <w:marLeft w:val="0"/>
      <w:marRight w:val="0"/>
      <w:marTop w:val="0"/>
      <w:marBottom w:val="0"/>
      <w:divBdr>
        <w:top w:val="none" w:sz="0" w:space="0" w:color="auto"/>
        <w:left w:val="none" w:sz="0" w:space="0" w:color="auto"/>
        <w:bottom w:val="none" w:sz="0" w:space="0" w:color="auto"/>
        <w:right w:val="none" w:sz="0" w:space="0" w:color="auto"/>
      </w:divBdr>
    </w:div>
    <w:div w:id="672076333">
      <w:bodyDiv w:val="1"/>
      <w:marLeft w:val="0"/>
      <w:marRight w:val="0"/>
      <w:marTop w:val="0"/>
      <w:marBottom w:val="0"/>
      <w:divBdr>
        <w:top w:val="none" w:sz="0" w:space="0" w:color="auto"/>
        <w:left w:val="none" w:sz="0" w:space="0" w:color="auto"/>
        <w:bottom w:val="none" w:sz="0" w:space="0" w:color="auto"/>
        <w:right w:val="none" w:sz="0" w:space="0" w:color="auto"/>
      </w:divBdr>
      <w:divsChild>
        <w:div w:id="1077557467">
          <w:marLeft w:val="0"/>
          <w:marRight w:val="0"/>
          <w:marTop w:val="120"/>
          <w:marBottom w:val="0"/>
          <w:divBdr>
            <w:top w:val="none" w:sz="0" w:space="0" w:color="auto"/>
            <w:left w:val="none" w:sz="0" w:space="0" w:color="auto"/>
            <w:bottom w:val="none" w:sz="0" w:space="0" w:color="auto"/>
            <w:right w:val="none" w:sz="0" w:space="0" w:color="auto"/>
          </w:divBdr>
        </w:div>
        <w:div w:id="858422678">
          <w:marLeft w:val="1134"/>
          <w:marRight w:val="0"/>
          <w:marTop w:val="60"/>
          <w:marBottom w:val="0"/>
          <w:divBdr>
            <w:top w:val="none" w:sz="0" w:space="0" w:color="auto"/>
            <w:left w:val="none" w:sz="0" w:space="0" w:color="auto"/>
            <w:bottom w:val="none" w:sz="0" w:space="0" w:color="auto"/>
            <w:right w:val="none" w:sz="0" w:space="0" w:color="auto"/>
          </w:divBdr>
        </w:div>
        <w:div w:id="249432593">
          <w:marLeft w:val="1134"/>
          <w:marRight w:val="0"/>
          <w:marTop w:val="60"/>
          <w:marBottom w:val="0"/>
          <w:divBdr>
            <w:top w:val="none" w:sz="0" w:space="0" w:color="auto"/>
            <w:left w:val="none" w:sz="0" w:space="0" w:color="auto"/>
            <w:bottom w:val="none" w:sz="0" w:space="0" w:color="auto"/>
            <w:right w:val="none" w:sz="0" w:space="0" w:color="auto"/>
          </w:divBdr>
        </w:div>
        <w:div w:id="1075591838">
          <w:marLeft w:val="1134"/>
          <w:marRight w:val="0"/>
          <w:marTop w:val="60"/>
          <w:marBottom w:val="0"/>
          <w:divBdr>
            <w:top w:val="none" w:sz="0" w:space="0" w:color="auto"/>
            <w:left w:val="none" w:sz="0" w:space="0" w:color="auto"/>
            <w:bottom w:val="none" w:sz="0" w:space="0" w:color="auto"/>
            <w:right w:val="none" w:sz="0" w:space="0" w:color="auto"/>
          </w:divBdr>
        </w:div>
        <w:div w:id="1625958911">
          <w:marLeft w:val="1134"/>
          <w:marRight w:val="0"/>
          <w:marTop w:val="60"/>
          <w:marBottom w:val="0"/>
          <w:divBdr>
            <w:top w:val="none" w:sz="0" w:space="0" w:color="auto"/>
            <w:left w:val="none" w:sz="0" w:space="0" w:color="auto"/>
            <w:bottom w:val="none" w:sz="0" w:space="0" w:color="auto"/>
            <w:right w:val="none" w:sz="0" w:space="0" w:color="auto"/>
          </w:divBdr>
        </w:div>
      </w:divsChild>
    </w:div>
    <w:div w:id="718629321">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971904749">
      <w:bodyDiv w:val="1"/>
      <w:marLeft w:val="0"/>
      <w:marRight w:val="0"/>
      <w:marTop w:val="0"/>
      <w:marBottom w:val="0"/>
      <w:divBdr>
        <w:top w:val="none" w:sz="0" w:space="0" w:color="auto"/>
        <w:left w:val="none" w:sz="0" w:space="0" w:color="auto"/>
        <w:bottom w:val="none" w:sz="0" w:space="0" w:color="auto"/>
        <w:right w:val="none" w:sz="0" w:space="0" w:color="auto"/>
      </w:divBdr>
    </w:div>
    <w:div w:id="1021009315">
      <w:bodyDiv w:val="1"/>
      <w:marLeft w:val="0"/>
      <w:marRight w:val="0"/>
      <w:marTop w:val="0"/>
      <w:marBottom w:val="0"/>
      <w:divBdr>
        <w:top w:val="none" w:sz="0" w:space="0" w:color="auto"/>
        <w:left w:val="none" w:sz="0" w:space="0" w:color="auto"/>
        <w:bottom w:val="none" w:sz="0" w:space="0" w:color="auto"/>
        <w:right w:val="none" w:sz="0" w:space="0" w:color="auto"/>
      </w:divBdr>
      <w:divsChild>
        <w:div w:id="1524324310">
          <w:marLeft w:val="0"/>
          <w:marRight w:val="0"/>
          <w:marTop w:val="0"/>
          <w:marBottom w:val="0"/>
          <w:divBdr>
            <w:top w:val="none" w:sz="0" w:space="0" w:color="auto"/>
            <w:left w:val="none" w:sz="0" w:space="0" w:color="auto"/>
            <w:bottom w:val="none" w:sz="0" w:space="0" w:color="auto"/>
            <w:right w:val="none" w:sz="0" w:space="0" w:color="auto"/>
          </w:divBdr>
        </w:div>
        <w:div w:id="1552494428">
          <w:marLeft w:val="0"/>
          <w:marRight w:val="150"/>
          <w:marTop w:val="0"/>
          <w:marBottom w:val="0"/>
          <w:divBdr>
            <w:top w:val="none" w:sz="0" w:space="0" w:color="auto"/>
            <w:left w:val="none" w:sz="0" w:space="0" w:color="auto"/>
            <w:bottom w:val="none" w:sz="0" w:space="0" w:color="auto"/>
            <w:right w:val="none" w:sz="0" w:space="0" w:color="auto"/>
          </w:divBdr>
        </w:div>
        <w:div w:id="1836261543">
          <w:marLeft w:val="0"/>
          <w:marRight w:val="0"/>
          <w:marTop w:val="0"/>
          <w:marBottom w:val="0"/>
          <w:divBdr>
            <w:top w:val="none" w:sz="0" w:space="0" w:color="auto"/>
            <w:left w:val="none" w:sz="0" w:space="0" w:color="auto"/>
            <w:bottom w:val="none" w:sz="0" w:space="0" w:color="auto"/>
            <w:right w:val="none" w:sz="0" w:space="0" w:color="auto"/>
          </w:divBdr>
        </w:div>
        <w:div w:id="906450393">
          <w:marLeft w:val="0"/>
          <w:marRight w:val="15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sChild>
    </w:div>
    <w:div w:id="1093283791">
      <w:bodyDiv w:val="1"/>
      <w:marLeft w:val="0"/>
      <w:marRight w:val="0"/>
      <w:marTop w:val="0"/>
      <w:marBottom w:val="0"/>
      <w:divBdr>
        <w:top w:val="none" w:sz="0" w:space="0" w:color="auto"/>
        <w:left w:val="none" w:sz="0" w:space="0" w:color="auto"/>
        <w:bottom w:val="none" w:sz="0" w:space="0" w:color="auto"/>
        <w:right w:val="none" w:sz="0" w:space="0" w:color="auto"/>
      </w:divBdr>
    </w:div>
    <w:div w:id="1101532141">
      <w:bodyDiv w:val="1"/>
      <w:marLeft w:val="0"/>
      <w:marRight w:val="0"/>
      <w:marTop w:val="0"/>
      <w:marBottom w:val="0"/>
      <w:divBdr>
        <w:top w:val="none" w:sz="0" w:space="0" w:color="auto"/>
        <w:left w:val="none" w:sz="0" w:space="0" w:color="auto"/>
        <w:bottom w:val="none" w:sz="0" w:space="0" w:color="auto"/>
        <w:right w:val="none" w:sz="0" w:space="0" w:color="auto"/>
      </w:divBdr>
    </w:div>
    <w:div w:id="1147745278">
      <w:bodyDiv w:val="1"/>
      <w:marLeft w:val="0"/>
      <w:marRight w:val="0"/>
      <w:marTop w:val="0"/>
      <w:marBottom w:val="0"/>
      <w:divBdr>
        <w:top w:val="none" w:sz="0" w:space="0" w:color="auto"/>
        <w:left w:val="none" w:sz="0" w:space="0" w:color="auto"/>
        <w:bottom w:val="none" w:sz="0" w:space="0" w:color="auto"/>
        <w:right w:val="none" w:sz="0" w:space="0" w:color="auto"/>
      </w:divBdr>
    </w:div>
    <w:div w:id="1282692514">
      <w:bodyDiv w:val="1"/>
      <w:marLeft w:val="0"/>
      <w:marRight w:val="0"/>
      <w:marTop w:val="0"/>
      <w:marBottom w:val="0"/>
      <w:divBdr>
        <w:top w:val="none" w:sz="0" w:space="0" w:color="auto"/>
        <w:left w:val="none" w:sz="0" w:space="0" w:color="auto"/>
        <w:bottom w:val="none" w:sz="0" w:space="0" w:color="auto"/>
        <w:right w:val="none" w:sz="0" w:space="0" w:color="auto"/>
      </w:divBdr>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1539929717">
      <w:bodyDiv w:val="1"/>
      <w:marLeft w:val="0"/>
      <w:marRight w:val="0"/>
      <w:marTop w:val="0"/>
      <w:marBottom w:val="0"/>
      <w:divBdr>
        <w:top w:val="none" w:sz="0" w:space="0" w:color="auto"/>
        <w:left w:val="none" w:sz="0" w:space="0" w:color="auto"/>
        <w:bottom w:val="none" w:sz="0" w:space="0" w:color="auto"/>
        <w:right w:val="none" w:sz="0" w:space="0" w:color="auto"/>
      </w:divBdr>
    </w:div>
    <w:div w:id="1576550720">
      <w:bodyDiv w:val="1"/>
      <w:marLeft w:val="0"/>
      <w:marRight w:val="0"/>
      <w:marTop w:val="0"/>
      <w:marBottom w:val="0"/>
      <w:divBdr>
        <w:top w:val="none" w:sz="0" w:space="0" w:color="auto"/>
        <w:left w:val="none" w:sz="0" w:space="0" w:color="auto"/>
        <w:bottom w:val="none" w:sz="0" w:space="0" w:color="auto"/>
        <w:right w:val="none" w:sz="0" w:space="0" w:color="auto"/>
      </w:divBdr>
    </w:div>
    <w:div w:id="1591698745">
      <w:bodyDiv w:val="1"/>
      <w:marLeft w:val="0"/>
      <w:marRight w:val="0"/>
      <w:marTop w:val="0"/>
      <w:marBottom w:val="0"/>
      <w:divBdr>
        <w:top w:val="none" w:sz="0" w:space="0" w:color="auto"/>
        <w:left w:val="none" w:sz="0" w:space="0" w:color="auto"/>
        <w:bottom w:val="none" w:sz="0" w:space="0" w:color="auto"/>
        <w:right w:val="none" w:sz="0" w:space="0" w:color="auto"/>
      </w:divBdr>
    </w:div>
    <w:div w:id="1622609127">
      <w:bodyDiv w:val="1"/>
      <w:marLeft w:val="0"/>
      <w:marRight w:val="0"/>
      <w:marTop w:val="0"/>
      <w:marBottom w:val="0"/>
      <w:divBdr>
        <w:top w:val="none" w:sz="0" w:space="0" w:color="auto"/>
        <w:left w:val="none" w:sz="0" w:space="0" w:color="auto"/>
        <w:bottom w:val="none" w:sz="0" w:space="0" w:color="auto"/>
        <w:right w:val="none" w:sz="0" w:space="0" w:color="auto"/>
      </w:divBdr>
    </w:div>
    <w:div w:id="1709256639">
      <w:bodyDiv w:val="1"/>
      <w:marLeft w:val="0"/>
      <w:marRight w:val="0"/>
      <w:marTop w:val="0"/>
      <w:marBottom w:val="0"/>
      <w:divBdr>
        <w:top w:val="none" w:sz="0" w:space="0" w:color="auto"/>
        <w:left w:val="none" w:sz="0" w:space="0" w:color="auto"/>
        <w:bottom w:val="none" w:sz="0" w:space="0" w:color="auto"/>
        <w:right w:val="none" w:sz="0" w:space="0" w:color="auto"/>
      </w:divBdr>
    </w:div>
    <w:div w:id="1840343468">
      <w:bodyDiv w:val="1"/>
      <w:marLeft w:val="0"/>
      <w:marRight w:val="0"/>
      <w:marTop w:val="0"/>
      <w:marBottom w:val="0"/>
      <w:divBdr>
        <w:top w:val="none" w:sz="0" w:space="0" w:color="auto"/>
        <w:left w:val="none" w:sz="0" w:space="0" w:color="auto"/>
        <w:bottom w:val="none" w:sz="0" w:space="0" w:color="auto"/>
        <w:right w:val="none" w:sz="0" w:space="0" w:color="auto"/>
      </w:divBdr>
    </w:div>
    <w:div w:id="1890535617">
      <w:bodyDiv w:val="1"/>
      <w:marLeft w:val="0"/>
      <w:marRight w:val="0"/>
      <w:marTop w:val="0"/>
      <w:marBottom w:val="0"/>
      <w:divBdr>
        <w:top w:val="none" w:sz="0" w:space="0" w:color="auto"/>
        <w:left w:val="none" w:sz="0" w:space="0" w:color="auto"/>
        <w:bottom w:val="none" w:sz="0" w:space="0" w:color="auto"/>
        <w:right w:val="none" w:sz="0" w:space="0" w:color="auto"/>
      </w:divBdr>
    </w:div>
    <w:div w:id="1956715819">
      <w:bodyDiv w:val="1"/>
      <w:marLeft w:val="0"/>
      <w:marRight w:val="0"/>
      <w:marTop w:val="0"/>
      <w:marBottom w:val="0"/>
      <w:divBdr>
        <w:top w:val="none" w:sz="0" w:space="0" w:color="auto"/>
        <w:left w:val="none" w:sz="0" w:space="0" w:color="auto"/>
        <w:bottom w:val="none" w:sz="0" w:space="0" w:color="auto"/>
        <w:right w:val="none" w:sz="0" w:space="0" w:color="auto"/>
      </w:divBdr>
    </w:div>
    <w:div w:id="1964193147">
      <w:bodyDiv w:val="1"/>
      <w:marLeft w:val="0"/>
      <w:marRight w:val="0"/>
      <w:marTop w:val="0"/>
      <w:marBottom w:val="0"/>
      <w:divBdr>
        <w:top w:val="none" w:sz="0" w:space="0" w:color="auto"/>
        <w:left w:val="none" w:sz="0" w:space="0" w:color="auto"/>
        <w:bottom w:val="none" w:sz="0" w:space="0" w:color="auto"/>
        <w:right w:val="none" w:sz="0" w:space="0" w:color="auto"/>
      </w:divBdr>
    </w:div>
    <w:div w:id="1989356211">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CAFE-1E8F-47C3-A008-6BAD64E7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Ayanda Mdletshe</dc:creator>
  <cp:keywords/>
  <dc:description/>
  <cp:lastModifiedBy>Ayanda Mdletshe</cp:lastModifiedBy>
  <cp:revision>2</cp:revision>
  <cp:lastPrinted>2022-04-11T10:46:00Z</cp:lastPrinted>
  <dcterms:created xsi:type="dcterms:W3CDTF">2022-05-05T08:35:00Z</dcterms:created>
  <dcterms:modified xsi:type="dcterms:W3CDTF">2022-05-05T08:35:00Z</dcterms:modified>
</cp:coreProperties>
</file>