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54C8C" w14:textId="77777777"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303902E1" wp14:editId="16304416">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5766B3B"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7AFC7E23"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437FFE66" w14:textId="77777777"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14:paraId="204F684C" w14:textId="77777777" w:rsidR="00651D25" w:rsidRPr="00026BF4" w:rsidRDefault="00651D25" w:rsidP="00651D25">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 xml:space="preserve">     THE SUPREME COURT OF APPEAL OF SOUTH AFRICA</w:t>
      </w:r>
    </w:p>
    <w:p w14:paraId="2160EBE6" w14:textId="77777777" w:rsidR="00651D25" w:rsidRPr="00026BF4"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026BF4">
        <w:rPr>
          <w:rFonts w:ascii="Times New Roman" w:eastAsia="Times New Roman" w:hAnsi="Times New Roman" w:cs="Times New Roman"/>
          <w:b/>
          <w:bCs/>
          <w:sz w:val="28"/>
          <w:szCs w:val="28"/>
          <w:lang w:val="en-GB" w:eastAsia="en-GB"/>
        </w:rPr>
        <w:t>JUDGMENT</w:t>
      </w:r>
    </w:p>
    <w:p w14:paraId="1E46AA8D" w14:textId="77777777" w:rsidR="00651D25" w:rsidRPr="00026BF4" w:rsidRDefault="00651D25" w:rsidP="00651D25">
      <w:pPr>
        <w:spacing w:after="0" w:line="360" w:lineRule="auto"/>
        <w:jc w:val="center"/>
        <w:rPr>
          <w:rFonts w:ascii="Times New Roman" w:eastAsia="Times New Roman" w:hAnsi="Times New Roman" w:cs="Times New Roman"/>
          <w:b/>
          <w:bCs/>
          <w:sz w:val="28"/>
          <w:szCs w:val="28"/>
          <w:lang w:val="en-GB" w:eastAsia="en-GB"/>
        </w:rPr>
      </w:pPr>
    </w:p>
    <w:p w14:paraId="1809AE74" w14:textId="40005029" w:rsidR="00651D25" w:rsidRPr="00026BF4" w:rsidRDefault="00651D25" w:rsidP="00651D25">
      <w:pPr>
        <w:spacing w:after="120" w:line="240" w:lineRule="auto"/>
        <w:jc w:val="right"/>
        <w:rPr>
          <w:rFonts w:ascii="Times New Roman" w:eastAsia="Times New Roman" w:hAnsi="Times New Roman" w:cs="Times New Roman"/>
          <w:b/>
          <w:bCs/>
          <w:sz w:val="28"/>
          <w:szCs w:val="28"/>
        </w:rPr>
      </w:pPr>
      <w:r w:rsidRPr="00026BF4">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Reportable</w:t>
      </w:r>
    </w:p>
    <w:p w14:paraId="467659B4" w14:textId="77777777" w:rsidR="00651D25" w:rsidRPr="00026BF4" w:rsidRDefault="00CD2EB5" w:rsidP="00651D25">
      <w:pPr>
        <w:spacing w:after="0" w:line="240" w:lineRule="auto"/>
        <w:jc w:val="righ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Case No: 065/2021</w:t>
      </w:r>
    </w:p>
    <w:p w14:paraId="455C25C2" w14:textId="77777777" w:rsidR="00651D25" w:rsidRPr="00026BF4" w:rsidRDefault="00651D25" w:rsidP="00651D25">
      <w:pPr>
        <w:spacing w:after="0" w:line="240" w:lineRule="auto"/>
        <w:jc w:val="right"/>
        <w:rPr>
          <w:rFonts w:ascii="Times New Roman" w:eastAsia="Times New Roman" w:hAnsi="Times New Roman" w:cs="Times New Roman"/>
          <w:sz w:val="28"/>
          <w:szCs w:val="28"/>
          <w:lang w:val="en-GB" w:eastAsia="en-GB"/>
        </w:rPr>
      </w:pPr>
    </w:p>
    <w:p w14:paraId="7B21555F" w14:textId="77777777" w:rsidR="00651D25" w:rsidRPr="00026BF4" w:rsidRDefault="00651D25" w:rsidP="00651D25">
      <w:pPr>
        <w:spacing w:after="0" w:line="240" w:lineRule="auto"/>
        <w:jc w:val="both"/>
        <w:rPr>
          <w:rFonts w:ascii="Times New Roman" w:eastAsia="Times New Roman" w:hAnsi="Times New Roman" w:cs="Times New Roman"/>
          <w:sz w:val="16"/>
          <w:szCs w:val="16"/>
          <w:lang w:val="en-GB" w:eastAsia="en-GB"/>
        </w:rPr>
      </w:pPr>
    </w:p>
    <w:p w14:paraId="48D50BCE" w14:textId="77777777" w:rsidR="00651D25" w:rsidRDefault="00651D25" w:rsidP="00651D25">
      <w:pPr>
        <w:spacing w:after="0" w:line="240" w:lineRule="auto"/>
        <w:jc w:val="both"/>
        <w:rPr>
          <w:rFonts w:ascii="Times New Roman" w:eastAsia="Times New Roman" w:hAnsi="Times New Roman" w:cs="Times New Roman"/>
          <w:sz w:val="28"/>
          <w:szCs w:val="28"/>
          <w:lang w:val="en-GB" w:eastAsia="en-GB"/>
        </w:rPr>
      </w:pPr>
      <w:r w:rsidRPr="00026BF4">
        <w:rPr>
          <w:rFonts w:ascii="Times New Roman" w:eastAsia="Times New Roman" w:hAnsi="Times New Roman" w:cs="Times New Roman"/>
          <w:sz w:val="28"/>
          <w:szCs w:val="28"/>
          <w:lang w:val="en-GB" w:eastAsia="en-GB"/>
        </w:rPr>
        <w:t>In the matter between:</w:t>
      </w:r>
    </w:p>
    <w:p w14:paraId="3032C610" w14:textId="77777777" w:rsidR="00CD2EB5" w:rsidRPr="00CD2EB5" w:rsidRDefault="00CD2EB5" w:rsidP="00651D25">
      <w:pPr>
        <w:spacing w:after="0" w:line="240" w:lineRule="auto"/>
        <w:jc w:val="both"/>
        <w:rPr>
          <w:rFonts w:ascii="Times New Roman" w:eastAsia="Times New Roman" w:hAnsi="Times New Roman" w:cs="Times New Roman"/>
          <w:sz w:val="28"/>
          <w:szCs w:val="28"/>
          <w:lang w:val="en-GB" w:eastAsia="en-GB"/>
        </w:rPr>
      </w:pPr>
    </w:p>
    <w:p w14:paraId="26E520B1" w14:textId="60346F03" w:rsidR="00651D25" w:rsidRPr="00CD2EB5" w:rsidRDefault="00CD2EB5" w:rsidP="00651D25">
      <w:pPr>
        <w:tabs>
          <w:tab w:val="right" w:pos="9480"/>
        </w:tabs>
        <w:spacing w:after="0" w:line="24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TEE QUE TRADING SERVICES</w:t>
      </w:r>
      <w:r w:rsidR="00953073">
        <w:rPr>
          <w:rFonts w:ascii="Times New Roman" w:eastAsia="Times New Roman" w:hAnsi="Times New Roman" w:cs="Times New Roman"/>
          <w:b/>
          <w:sz w:val="28"/>
          <w:szCs w:val="28"/>
          <w:lang w:eastAsia="en-GB"/>
        </w:rPr>
        <w:t xml:space="preserve"> (PTY) LTD</w:t>
      </w:r>
      <w:r w:rsidR="00651D25" w:rsidRPr="00026BF4">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 xml:space="preserve"> </w:t>
      </w:r>
      <w:r w:rsidR="00651D25">
        <w:rPr>
          <w:rFonts w:ascii="Times New Roman" w:eastAsia="Times New Roman" w:hAnsi="Times New Roman" w:cs="Times New Roman"/>
          <w:b/>
          <w:sz w:val="28"/>
          <w:szCs w:val="28"/>
          <w:lang w:eastAsia="en-GB"/>
        </w:rPr>
        <w:t xml:space="preserve"> </w:t>
      </w:r>
      <w:r w:rsidR="00651D25" w:rsidRPr="00026BF4">
        <w:rPr>
          <w:rFonts w:ascii="Times New Roman" w:eastAsia="Times New Roman" w:hAnsi="Times New Roman" w:cs="Times New Roman"/>
          <w:b/>
          <w:sz w:val="28"/>
          <w:szCs w:val="28"/>
          <w:lang w:val="en-GB" w:eastAsia="en-GB"/>
        </w:rPr>
        <w:t>APPELLANT</w:t>
      </w:r>
    </w:p>
    <w:p w14:paraId="3F23E7B7"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
          <w:sz w:val="28"/>
          <w:szCs w:val="28"/>
          <w:lang w:val="en-GB" w:eastAsia="en-GB"/>
        </w:rPr>
      </w:pPr>
    </w:p>
    <w:p w14:paraId="5F7D20E9"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r>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nd</w:t>
      </w:r>
    </w:p>
    <w:p w14:paraId="5E6464C8" w14:textId="77777777" w:rsidR="00651D25" w:rsidRPr="00026BF4" w:rsidRDefault="00651D25" w:rsidP="00651D25">
      <w:pPr>
        <w:tabs>
          <w:tab w:val="right" w:pos="9480"/>
        </w:tabs>
        <w:spacing w:after="0" w:line="240" w:lineRule="auto"/>
        <w:jc w:val="both"/>
        <w:rPr>
          <w:rFonts w:ascii="Times New Roman" w:eastAsia="Times New Roman" w:hAnsi="Times New Roman" w:cs="Times New Roman"/>
          <w:bCs/>
          <w:sz w:val="28"/>
          <w:szCs w:val="28"/>
          <w:lang w:val="en-GB" w:eastAsia="en-GB"/>
        </w:rPr>
      </w:pPr>
    </w:p>
    <w:p w14:paraId="4C7B3A33" w14:textId="77777777" w:rsidR="00CD2EB5" w:rsidRDefault="00CD2EB5"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ORACLE CORPORATION SOUTH </w:t>
      </w:r>
    </w:p>
    <w:p w14:paraId="2E74A5CC" w14:textId="77777777" w:rsidR="00651D25" w:rsidRPr="00164765" w:rsidRDefault="00CD2EB5" w:rsidP="00651D25">
      <w:pPr>
        <w:tabs>
          <w:tab w:val="left" w:pos="720"/>
          <w:tab w:val="right" w:pos="9498"/>
        </w:tabs>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AFRICA (PTY) LTD                                                    </w:t>
      </w:r>
      <w:r w:rsidR="00651D25">
        <w:rPr>
          <w:rFonts w:ascii="Times New Roman" w:eastAsia="Times New Roman" w:hAnsi="Times New Roman" w:cs="Times New Roman"/>
          <w:b/>
          <w:sz w:val="28"/>
          <w:szCs w:val="28"/>
          <w:lang w:eastAsia="en-GB"/>
        </w:rPr>
        <w:t xml:space="preserve">FIRST </w:t>
      </w:r>
      <w:r w:rsidR="00651D25" w:rsidRPr="00026BF4">
        <w:rPr>
          <w:rFonts w:ascii="Times New Roman" w:eastAsia="Times New Roman" w:hAnsi="Times New Roman" w:cs="Times New Roman"/>
          <w:b/>
          <w:sz w:val="28"/>
          <w:szCs w:val="28"/>
          <w:lang w:eastAsia="en-GB"/>
        </w:rPr>
        <w:tab/>
      </w:r>
      <w:r w:rsidR="00651D25" w:rsidRPr="00026BF4">
        <w:rPr>
          <w:rFonts w:ascii="Times New Roman" w:eastAsia="Times New Roman" w:hAnsi="Times New Roman" w:cs="Times New Roman"/>
          <w:b/>
          <w:sz w:val="28"/>
          <w:szCs w:val="28"/>
          <w:lang w:val="en-GB" w:eastAsia="en-GB"/>
        </w:rPr>
        <w:t>RESPONDENT</w:t>
      </w:r>
    </w:p>
    <w:p w14:paraId="4C0952D5" w14:textId="77777777" w:rsidR="00651D25" w:rsidRDefault="00651D25" w:rsidP="00651D25">
      <w:pPr>
        <w:tabs>
          <w:tab w:val="left" w:pos="720"/>
          <w:tab w:val="right" w:pos="9498"/>
        </w:tabs>
        <w:spacing w:after="0" w:line="240" w:lineRule="auto"/>
        <w:rPr>
          <w:rFonts w:ascii="Times New Roman" w:eastAsia="Times New Roman" w:hAnsi="Times New Roman" w:cs="Times New Roman"/>
          <w:b/>
          <w:sz w:val="28"/>
          <w:szCs w:val="28"/>
          <w:lang w:val="en-GB" w:eastAsia="en-GB"/>
        </w:rPr>
      </w:pPr>
    </w:p>
    <w:p w14:paraId="1CBB9969" w14:textId="77777777" w:rsidR="00651D25" w:rsidRDefault="00CD2EB5" w:rsidP="00205628">
      <w:pPr>
        <w:tabs>
          <w:tab w:val="left" w:pos="720"/>
          <w:tab w:val="right" w:pos="9498"/>
        </w:tabs>
        <w:spacing w:after="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SOUTH AFRICAN POST OFFICE</w:t>
      </w:r>
      <w:r w:rsidR="00651D25">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 xml:space="preserve">     </w:t>
      </w:r>
      <w:r w:rsidR="00953073">
        <w:rPr>
          <w:rFonts w:ascii="Times New Roman" w:eastAsia="Times New Roman" w:hAnsi="Times New Roman" w:cs="Times New Roman"/>
          <w:b/>
          <w:sz w:val="28"/>
          <w:szCs w:val="28"/>
          <w:lang w:val="en-GB" w:eastAsia="en-GB"/>
        </w:rPr>
        <w:t xml:space="preserve"> </w:t>
      </w:r>
      <w:r w:rsidR="00651D25">
        <w:rPr>
          <w:rFonts w:ascii="Times New Roman" w:eastAsia="Times New Roman" w:hAnsi="Times New Roman" w:cs="Times New Roman"/>
          <w:b/>
          <w:sz w:val="28"/>
          <w:szCs w:val="28"/>
          <w:lang w:val="en-GB" w:eastAsia="en-GB"/>
        </w:rPr>
        <w:t>SECOND RESPONDENT</w:t>
      </w:r>
    </w:p>
    <w:p w14:paraId="660498F9" w14:textId="77777777" w:rsidR="00CD2EB5" w:rsidRPr="00026BF4" w:rsidRDefault="00CD2EB5" w:rsidP="00205628">
      <w:pPr>
        <w:spacing w:after="0" w:line="240" w:lineRule="auto"/>
        <w:jc w:val="both"/>
        <w:rPr>
          <w:rFonts w:ascii="Times New Roman" w:eastAsia="Times New Roman" w:hAnsi="Times New Roman" w:cs="Times New Roman"/>
          <w:b/>
          <w:bCs/>
          <w:sz w:val="16"/>
          <w:szCs w:val="16"/>
          <w:lang w:val="en-GB" w:eastAsia="en-GB"/>
        </w:rPr>
      </w:pPr>
    </w:p>
    <w:p w14:paraId="596D6345" w14:textId="0D7BBA8C" w:rsidR="00651D25" w:rsidRPr="00026BF4" w:rsidRDefault="00651D25" w:rsidP="00205628">
      <w:pPr>
        <w:spacing w:before="240"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Neutral citation:</w:t>
      </w:r>
      <w:r w:rsidRPr="00026BF4">
        <w:rPr>
          <w:rFonts w:ascii="Times New Roman" w:eastAsia="Times New Roman" w:hAnsi="Times New Roman" w:cs="Times New Roman"/>
          <w:b/>
          <w:bCs/>
          <w:sz w:val="28"/>
          <w:szCs w:val="28"/>
          <w:lang w:val="en-GB" w:eastAsia="en-GB"/>
        </w:rPr>
        <w:tab/>
      </w:r>
      <w:r w:rsidR="00CD2EB5">
        <w:rPr>
          <w:rFonts w:ascii="Times New Roman" w:eastAsia="Times New Roman" w:hAnsi="Times New Roman" w:cs="Times New Roman"/>
          <w:i/>
          <w:iCs/>
          <w:sz w:val="28"/>
          <w:szCs w:val="28"/>
          <w:lang w:eastAsia="en-GB"/>
        </w:rPr>
        <w:t>Tee Que Trading Services (Pty) Ltd</w:t>
      </w:r>
      <w:r>
        <w:rPr>
          <w:rFonts w:ascii="Times New Roman" w:eastAsia="Times New Roman" w:hAnsi="Times New Roman" w:cs="Times New Roman"/>
          <w:i/>
          <w:iCs/>
          <w:sz w:val="28"/>
          <w:szCs w:val="28"/>
          <w:lang w:eastAsia="en-GB"/>
        </w:rPr>
        <w:t xml:space="preserve"> </w:t>
      </w:r>
      <w:r w:rsidRPr="00026BF4">
        <w:rPr>
          <w:rFonts w:ascii="Times New Roman" w:eastAsia="Times New Roman" w:hAnsi="Times New Roman" w:cs="Times New Roman"/>
          <w:bCs/>
          <w:i/>
          <w:iCs/>
          <w:sz w:val="28"/>
          <w:szCs w:val="28"/>
          <w:lang w:val="en-GB" w:eastAsia="en-GB"/>
        </w:rPr>
        <w:t xml:space="preserve">v </w:t>
      </w:r>
      <w:r w:rsidR="00CD2EB5">
        <w:rPr>
          <w:rFonts w:ascii="Times New Roman" w:eastAsia="Times New Roman" w:hAnsi="Times New Roman" w:cs="Times New Roman"/>
          <w:bCs/>
          <w:i/>
          <w:iCs/>
          <w:sz w:val="28"/>
          <w:szCs w:val="28"/>
          <w:lang w:val="en-GB" w:eastAsia="en-GB"/>
        </w:rPr>
        <w:t>Oracle Corporation South Africa (Pty) Ltd</w:t>
      </w:r>
      <w:r w:rsidR="007B23A1">
        <w:rPr>
          <w:rFonts w:ascii="Times New Roman" w:eastAsia="Times New Roman" w:hAnsi="Times New Roman" w:cs="Times New Roman"/>
          <w:bCs/>
          <w:i/>
          <w:iCs/>
          <w:sz w:val="28"/>
          <w:szCs w:val="28"/>
          <w:lang w:val="en-GB" w:eastAsia="en-GB"/>
        </w:rPr>
        <w:t xml:space="preserve"> </w:t>
      </w:r>
      <w:r w:rsidR="00CD2EB5">
        <w:rPr>
          <w:rFonts w:ascii="Times New Roman" w:eastAsia="Times New Roman" w:hAnsi="Times New Roman" w:cs="Times New Roman"/>
          <w:bCs/>
          <w:i/>
          <w:iCs/>
          <w:sz w:val="28"/>
          <w:szCs w:val="28"/>
          <w:lang w:val="en-GB" w:eastAsia="en-GB"/>
        </w:rPr>
        <w:t xml:space="preserve">and </w:t>
      </w:r>
      <w:r w:rsidR="00133594">
        <w:rPr>
          <w:rFonts w:ascii="Times New Roman" w:eastAsia="Times New Roman" w:hAnsi="Times New Roman" w:cs="Times New Roman"/>
          <w:bCs/>
          <w:i/>
          <w:iCs/>
          <w:sz w:val="28"/>
          <w:szCs w:val="28"/>
          <w:lang w:val="en-GB" w:eastAsia="en-GB"/>
        </w:rPr>
        <w:t>Another</w:t>
      </w:r>
      <w:r w:rsidRPr="00026BF4">
        <w:rPr>
          <w:rFonts w:ascii="Times New Roman" w:eastAsia="Times New Roman" w:hAnsi="Times New Roman" w:cs="Times New Roman"/>
          <w:bCs/>
          <w:i/>
          <w:sz w:val="28"/>
          <w:szCs w:val="28"/>
          <w:lang w:val="en-GB" w:eastAsia="en-GB"/>
        </w:rPr>
        <w:t xml:space="preserve"> </w:t>
      </w:r>
      <w:r w:rsidR="00CD2EB5">
        <w:rPr>
          <w:rFonts w:ascii="Times New Roman" w:eastAsia="Times New Roman" w:hAnsi="Times New Roman" w:cs="Times New Roman"/>
          <w:bCs/>
          <w:sz w:val="28"/>
          <w:szCs w:val="28"/>
          <w:lang w:val="en-GB" w:eastAsia="en-GB"/>
        </w:rPr>
        <w:t>(case no 065/2021</w:t>
      </w:r>
      <w:r w:rsidRPr="00026BF4">
        <w:rPr>
          <w:rFonts w:ascii="Times New Roman" w:eastAsia="Times New Roman" w:hAnsi="Times New Roman" w:cs="Times New Roman"/>
          <w:bCs/>
          <w:sz w:val="28"/>
          <w:szCs w:val="28"/>
          <w:lang w:val="en-GB" w:eastAsia="en-GB"/>
        </w:rPr>
        <w:t>)</w:t>
      </w:r>
      <w:r w:rsidRPr="00026BF4">
        <w:rPr>
          <w:rFonts w:ascii="Times New Roman" w:eastAsia="Times New Roman" w:hAnsi="Times New Roman" w:cs="Times New Roman"/>
          <w:bCs/>
          <w:i/>
          <w:sz w:val="28"/>
          <w:szCs w:val="28"/>
          <w:lang w:val="en-GB" w:eastAsia="en-GB"/>
        </w:rPr>
        <w:t xml:space="preserve"> </w:t>
      </w:r>
      <w:r w:rsidR="00CD2EB5">
        <w:rPr>
          <w:rFonts w:ascii="Times New Roman" w:eastAsia="Times New Roman" w:hAnsi="Times New Roman" w:cs="Times New Roman"/>
          <w:bCs/>
          <w:sz w:val="28"/>
          <w:szCs w:val="28"/>
          <w:lang w:val="en-GB" w:eastAsia="en-GB"/>
        </w:rPr>
        <w:t>[2022</w:t>
      </w:r>
      <w:r w:rsidRPr="00026BF4">
        <w:rPr>
          <w:rFonts w:ascii="Times New Roman" w:eastAsia="Times New Roman" w:hAnsi="Times New Roman" w:cs="Times New Roman"/>
          <w:bCs/>
          <w:sz w:val="28"/>
          <w:szCs w:val="28"/>
          <w:lang w:val="en-GB" w:eastAsia="en-GB"/>
        </w:rPr>
        <w:t>] ZASCA</w:t>
      </w:r>
      <w:r w:rsidRPr="00026BF4">
        <w:rPr>
          <w:rFonts w:ascii="Times New Roman" w:eastAsia="Times New Roman" w:hAnsi="Times New Roman" w:cs="Times New Roman"/>
          <w:bCs/>
          <w:i/>
          <w:sz w:val="28"/>
          <w:szCs w:val="28"/>
          <w:lang w:val="en-GB" w:eastAsia="en-GB"/>
        </w:rPr>
        <w:t xml:space="preserve"> </w:t>
      </w:r>
      <w:r w:rsidR="00021FE1">
        <w:rPr>
          <w:rFonts w:ascii="Times New Roman" w:eastAsia="Times New Roman" w:hAnsi="Times New Roman" w:cs="Times New Roman"/>
          <w:bCs/>
          <w:sz w:val="28"/>
          <w:szCs w:val="28"/>
          <w:lang w:eastAsia="en-GB"/>
        </w:rPr>
        <w:t>68</w:t>
      </w:r>
      <w:r w:rsidRPr="00026BF4">
        <w:rPr>
          <w:rFonts w:ascii="Times New Roman" w:eastAsia="Times New Roman" w:hAnsi="Times New Roman" w:cs="Times New Roman"/>
          <w:bCs/>
          <w:sz w:val="28"/>
          <w:szCs w:val="28"/>
          <w:lang w:val="en-GB" w:eastAsia="en-GB"/>
        </w:rPr>
        <w:t xml:space="preserve"> (</w:t>
      </w:r>
      <w:r w:rsidR="009D5825">
        <w:rPr>
          <w:rFonts w:ascii="Times New Roman" w:eastAsia="Times New Roman" w:hAnsi="Times New Roman" w:cs="Times New Roman"/>
          <w:bCs/>
          <w:sz w:val="28"/>
          <w:szCs w:val="28"/>
          <w:lang w:val="en-GB" w:eastAsia="en-GB"/>
        </w:rPr>
        <w:t>17</w:t>
      </w:r>
      <w:r w:rsidR="00B37A69">
        <w:rPr>
          <w:rFonts w:ascii="Times New Roman" w:eastAsia="Times New Roman" w:hAnsi="Times New Roman" w:cs="Times New Roman"/>
          <w:bCs/>
          <w:sz w:val="28"/>
          <w:szCs w:val="28"/>
          <w:lang w:val="en-GB" w:eastAsia="en-GB"/>
        </w:rPr>
        <w:t xml:space="preserve"> May</w:t>
      </w:r>
      <w:r w:rsidRPr="00026BF4">
        <w:rPr>
          <w:rFonts w:ascii="Times New Roman" w:eastAsia="Times New Roman" w:hAnsi="Times New Roman" w:cs="Times New Roman"/>
          <w:bCs/>
          <w:sz w:val="28"/>
          <w:szCs w:val="28"/>
          <w:lang w:eastAsia="en-GB"/>
        </w:rPr>
        <w:t xml:space="preserve"> </w:t>
      </w:r>
      <w:r w:rsidR="00CD2EB5">
        <w:rPr>
          <w:rFonts w:ascii="Times New Roman" w:eastAsia="Times New Roman" w:hAnsi="Times New Roman" w:cs="Times New Roman"/>
          <w:bCs/>
          <w:sz w:val="28"/>
          <w:szCs w:val="28"/>
          <w:lang w:val="en-GB" w:eastAsia="en-GB"/>
        </w:rPr>
        <w:t>2022</w:t>
      </w:r>
      <w:r w:rsidRPr="00026BF4">
        <w:rPr>
          <w:rFonts w:ascii="Times New Roman" w:eastAsia="Times New Roman" w:hAnsi="Times New Roman" w:cs="Times New Roman"/>
          <w:bCs/>
          <w:sz w:val="28"/>
          <w:szCs w:val="28"/>
          <w:lang w:val="en-GB" w:eastAsia="en-GB"/>
        </w:rPr>
        <w:t>)</w:t>
      </w:r>
      <w:r w:rsidRPr="00026BF4">
        <w:rPr>
          <w:rFonts w:ascii="Times New Roman" w:eastAsia="Times New Roman" w:hAnsi="Times New Roman" w:cs="Times New Roman"/>
          <w:b/>
          <w:bCs/>
          <w:sz w:val="28"/>
          <w:szCs w:val="28"/>
          <w:u w:val="single"/>
          <w:lang w:val="en-GB" w:eastAsia="en-GB"/>
        </w:rPr>
        <w:t xml:space="preserve"> </w:t>
      </w:r>
    </w:p>
    <w:p w14:paraId="54862D99" w14:textId="77777777" w:rsidR="00651D25" w:rsidRPr="00026BF4"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6BF4">
        <w:rPr>
          <w:rFonts w:ascii="Times New Roman" w:eastAsia="Times New Roman" w:hAnsi="Times New Roman" w:cs="Times New Roman"/>
          <w:b/>
          <w:bCs/>
          <w:sz w:val="28"/>
          <w:szCs w:val="28"/>
          <w:lang w:val="en-GB" w:eastAsia="en-GB"/>
        </w:rPr>
        <w:t>Coram:</w:t>
      </w:r>
      <w:r w:rsidRPr="00026BF4">
        <w:rPr>
          <w:rFonts w:ascii="Times New Roman" w:eastAsia="Times New Roman" w:hAnsi="Times New Roman" w:cs="Times New Roman"/>
          <w:b/>
          <w:bCs/>
          <w:sz w:val="28"/>
          <w:szCs w:val="28"/>
          <w:lang w:val="en-GB" w:eastAsia="en-GB"/>
        </w:rPr>
        <w:tab/>
      </w:r>
      <w:r w:rsidR="00CD2EB5">
        <w:rPr>
          <w:rFonts w:ascii="Times New Roman" w:eastAsia="Times New Roman" w:hAnsi="Times New Roman" w:cs="Times New Roman"/>
          <w:bCs/>
          <w:sz w:val="28"/>
          <w:szCs w:val="28"/>
          <w:lang w:val="en-GB" w:eastAsia="en-GB"/>
        </w:rPr>
        <w:t>DAMBUZA, MOCUMIE and DLODLO JJA</w:t>
      </w:r>
      <w:r>
        <w:rPr>
          <w:rFonts w:ascii="Times New Roman" w:eastAsia="Times New Roman" w:hAnsi="Times New Roman" w:cs="Times New Roman"/>
          <w:bCs/>
          <w:sz w:val="28"/>
          <w:szCs w:val="28"/>
          <w:lang w:val="en-GB" w:eastAsia="en-GB"/>
        </w:rPr>
        <w:t>,</w:t>
      </w:r>
      <w:r w:rsidR="00CD2EB5">
        <w:rPr>
          <w:rFonts w:ascii="Times New Roman" w:eastAsia="Times New Roman" w:hAnsi="Times New Roman" w:cs="Times New Roman"/>
          <w:bCs/>
          <w:sz w:val="28"/>
          <w:szCs w:val="28"/>
          <w:lang w:val="en-GB" w:eastAsia="en-GB"/>
        </w:rPr>
        <w:t xml:space="preserve"> MEYER and SMITH</w:t>
      </w:r>
      <w:r w:rsidR="007B23A1">
        <w:rPr>
          <w:rFonts w:ascii="Times New Roman" w:eastAsia="Times New Roman" w:hAnsi="Times New Roman" w:cs="Times New Roman"/>
          <w:bCs/>
          <w:sz w:val="28"/>
          <w:szCs w:val="28"/>
          <w:lang w:val="en-GB" w:eastAsia="en-GB"/>
        </w:rPr>
        <w:t xml:space="preserve"> </w:t>
      </w:r>
      <w:r w:rsidR="00CD2EB5">
        <w:rPr>
          <w:rFonts w:ascii="Times New Roman" w:eastAsia="Times New Roman" w:hAnsi="Times New Roman" w:cs="Times New Roman"/>
          <w:bCs/>
          <w:sz w:val="28"/>
          <w:szCs w:val="28"/>
          <w:lang w:val="en-GB" w:eastAsia="en-GB"/>
        </w:rPr>
        <w:t>A</w:t>
      </w:r>
      <w:r w:rsidRPr="00026BF4">
        <w:rPr>
          <w:rFonts w:ascii="Times New Roman" w:eastAsia="Times New Roman" w:hAnsi="Times New Roman" w:cs="Times New Roman"/>
          <w:bCs/>
          <w:sz w:val="28"/>
          <w:szCs w:val="28"/>
          <w:lang w:val="en-GB" w:eastAsia="en-GB"/>
        </w:rPr>
        <w:t>JJA</w:t>
      </w:r>
    </w:p>
    <w:p w14:paraId="3A903720" w14:textId="77777777" w:rsidR="00651D25" w:rsidRPr="00026BF4" w:rsidRDefault="00651D25" w:rsidP="00651D25">
      <w:pPr>
        <w:spacing w:after="0" w:line="360" w:lineRule="auto"/>
        <w:jc w:val="both"/>
        <w:rPr>
          <w:rFonts w:ascii="Times New Roman" w:eastAsia="Times New Roman" w:hAnsi="Times New Roman" w:cs="Times New Roman"/>
          <w:b/>
          <w:bCs/>
          <w:sz w:val="28"/>
          <w:szCs w:val="28"/>
          <w:lang w:val="en-GB" w:eastAsia="en-GB"/>
        </w:rPr>
      </w:pPr>
      <w:r w:rsidRPr="00026BF4">
        <w:rPr>
          <w:rFonts w:ascii="Times New Roman" w:eastAsia="Times New Roman" w:hAnsi="Times New Roman" w:cs="Times New Roman"/>
          <w:b/>
          <w:bCs/>
          <w:sz w:val="28"/>
          <w:szCs w:val="28"/>
          <w:lang w:val="en-GB" w:eastAsia="en-GB"/>
        </w:rPr>
        <w:t>Heard:</w:t>
      </w:r>
      <w:r w:rsidRPr="00026BF4">
        <w:rPr>
          <w:rFonts w:ascii="Times New Roman" w:eastAsia="Times New Roman" w:hAnsi="Times New Roman" w:cs="Times New Roman"/>
          <w:b/>
          <w:bCs/>
          <w:sz w:val="28"/>
          <w:szCs w:val="28"/>
          <w:lang w:val="en-GB" w:eastAsia="en-GB"/>
        </w:rPr>
        <w:tab/>
      </w:r>
      <w:r w:rsidRPr="00026BF4">
        <w:rPr>
          <w:rFonts w:ascii="Times New Roman" w:eastAsia="Times New Roman" w:hAnsi="Times New Roman" w:cs="Times New Roman"/>
          <w:b/>
          <w:bCs/>
          <w:sz w:val="28"/>
          <w:szCs w:val="28"/>
          <w:lang w:val="en-GB" w:eastAsia="en-GB"/>
        </w:rPr>
        <w:tab/>
      </w:r>
      <w:r w:rsidR="00CD2EB5">
        <w:rPr>
          <w:rFonts w:ascii="Times New Roman" w:eastAsia="Times New Roman" w:hAnsi="Times New Roman" w:cs="Times New Roman"/>
          <w:bCs/>
          <w:sz w:val="28"/>
          <w:szCs w:val="28"/>
          <w:lang w:val="en-GB" w:eastAsia="en-GB"/>
        </w:rPr>
        <w:t>28 February 2022</w:t>
      </w:r>
    </w:p>
    <w:p w14:paraId="499F99B8" w14:textId="15C92AA1" w:rsidR="00651D25" w:rsidRPr="00026BF4" w:rsidRDefault="00205628" w:rsidP="00205628">
      <w:pPr>
        <w:spacing w:after="0" w:line="360" w:lineRule="auto"/>
        <w:ind w:left="2160" w:hanging="2160"/>
        <w:jc w:val="both"/>
        <w:outlineLvl w:val="0"/>
        <w:rPr>
          <w:rFonts w:ascii="Times New Roman" w:eastAsia="Times New Roman" w:hAnsi="Times New Roman" w:cs="Times New Roman"/>
          <w:sz w:val="28"/>
          <w:szCs w:val="28"/>
          <w:lang w:val="en-US" w:eastAsia="en-ZA"/>
        </w:rPr>
      </w:pPr>
      <w:r>
        <w:rPr>
          <w:rFonts w:ascii="Times New Roman" w:eastAsia="Times New Roman" w:hAnsi="Times New Roman" w:cs="Times New Roman"/>
          <w:b/>
          <w:bCs/>
          <w:sz w:val="28"/>
          <w:szCs w:val="28"/>
          <w:lang w:val="en-GB" w:eastAsia="en-GB"/>
        </w:rPr>
        <w:t>Delivered:</w:t>
      </w:r>
      <w:r>
        <w:rPr>
          <w:rFonts w:ascii="Times New Roman" w:eastAsia="Times New Roman" w:hAnsi="Times New Roman" w:cs="Times New Roman"/>
          <w:b/>
          <w:bCs/>
          <w:sz w:val="28"/>
          <w:szCs w:val="28"/>
          <w:lang w:val="en-GB" w:eastAsia="en-GB"/>
        </w:rPr>
        <w:tab/>
      </w:r>
      <w:r w:rsidR="009D5825">
        <w:rPr>
          <w:rFonts w:ascii="Times New Roman" w:eastAsia="Times New Roman" w:hAnsi="Times New Roman" w:cs="Times New Roman"/>
          <w:sz w:val="28"/>
          <w:szCs w:val="28"/>
          <w:lang w:val="en-US" w:eastAsia="en-ZA"/>
        </w:rPr>
        <w:t>17</w:t>
      </w:r>
      <w:r w:rsidR="00B37A69">
        <w:rPr>
          <w:rFonts w:ascii="Times New Roman" w:eastAsia="Times New Roman" w:hAnsi="Times New Roman" w:cs="Times New Roman"/>
          <w:sz w:val="28"/>
          <w:szCs w:val="28"/>
          <w:lang w:val="en-US" w:eastAsia="en-ZA"/>
        </w:rPr>
        <w:t xml:space="preserve"> May</w:t>
      </w:r>
      <w:r w:rsidR="00CD2EB5">
        <w:rPr>
          <w:rFonts w:ascii="Times New Roman" w:eastAsia="Times New Roman" w:hAnsi="Times New Roman" w:cs="Times New Roman"/>
          <w:sz w:val="28"/>
          <w:szCs w:val="28"/>
          <w:lang w:val="en-GB" w:eastAsia="en-ZA"/>
        </w:rPr>
        <w:t xml:space="preserve"> 2022</w:t>
      </w:r>
    </w:p>
    <w:p w14:paraId="6386A5C0" w14:textId="69ACD12A" w:rsidR="00F67EB7" w:rsidRPr="00205628" w:rsidRDefault="00651D25" w:rsidP="00205628">
      <w:pPr>
        <w:spacing w:before="120" w:after="0" w:line="360" w:lineRule="auto"/>
        <w:jc w:val="both"/>
        <w:rPr>
          <w:rFonts w:ascii="Times New Roman" w:eastAsia="Times New Roman" w:hAnsi="Times New Roman" w:cs="Times New Roman"/>
          <w:sz w:val="28"/>
          <w:szCs w:val="28"/>
          <w:lang w:eastAsia="en-GB"/>
        </w:rPr>
      </w:pPr>
      <w:r w:rsidRPr="00026BF4">
        <w:rPr>
          <w:rFonts w:ascii="Times New Roman" w:eastAsia="Times New Roman" w:hAnsi="Times New Roman" w:cs="Times New Roman"/>
          <w:b/>
          <w:sz w:val="28"/>
          <w:szCs w:val="28"/>
          <w:lang w:eastAsia="en-GB"/>
        </w:rPr>
        <w:t>Summary:</w:t>
      </w:r>
      <w:r w:rsidR="00497470">
        <w:rPr>
          <w:rFonts w:ascii="Times New Roman" w:eastAsia="Times New Roman" w:hAnsi="Times New Roman" w:cs="Times New Roman"/>
          <w:b/>
          <w:sz w:val="28"/>
          <w:szCs w:val="28"/>
          <w:lang w:eastAsia="en-GB"/>
        </w:rPr>
        <w:tab/>
      </w:r>
      <w:r w:rsidR="00497470">
        <w:rPr>
          <w:rFonts w:ascii="Times New Roman" w:eastAsia="Times New Roman" w:hAnsi="Times New Roman" w:cs="Times New Roman"/>
          <w:b/>
          <w:sz w:val="28"/>
          <w:szCs w:val="28"/>
          <w:lang w:eastAsia="en-GB"/>
        </w:rPr>
        <w:tab/>
      </w:r>
      <w:r w:rsidR="00F67EB7" w:rsidRPr="009D5825">
        <w:rPr>
          <w:rFonts w:ascii="Times New Roman" w:eastAsia="Times New Roman" w:hAnsi="Times New Roman" w:cs="Times New Roman"/>
          <w:sz w:val="28"/>
          <w:szCs w:val="28"/>
          <w:lang w:eastAsia="en-GB"/>
        </w:rPr>
        <w:t xml:space="preserve">Contract law – arbitration </w:t>
      </w:r>
      <w:r w:rsidR="00041CFE" w:rsidRPr="009D5825">
        <w:rPr>
          <w:rFonts w:ascii="Times New Roman" w:eastAsia="Times New Roman" w:hAnsi="Times New Roman" w:cs="Times New Roman"/>
          <w:sz w:val="28"/>
          <w:szCs w:val="28"/>
          <w:lang w:eastAsia="en-GB"/>
        </w:rPr>
        <w:t xml:space="preserve">and </w:t>
      </w:r>
      <w:r w:rsidR="000E309A" w:rsidRPr="009D5825">
        <w:rPr>
          <w:rFonts w:ascii="Times New Roman" w:eastAsia="Times New Roman" w:hAnsi="Times New Roman" w:cs="Times New Roman"/>
          <w:sz w:val="28"/>
          <w:szCs w:val="28"/>
          <w:lang w:eastAsia="en-GB"/>
        </w:rPr>
        <w:t>governing</w:t>
      </w:r>
      <w:r w:rsidR="00041CFE" w:rsidRPr="009D5825">
        <w:rPr>
          <w:rFonts w:ascii="Times New Roman" w:eastAsia="Times New Roman" w:hAnsi="Times New Roman" w:cs="Times New Roman"/>
          <w:sz w:val="28"/>
          <w:szCs w:val="28"/>
          <w:lang w:eastAsia="en-GB"/>
        </w:rPr>
        <w:t xml:space="preserve"> law </w:t>
      </w:r>
      <w:r w:rsidR="00F67EB7" w:rsidRPr="009D5825">
        <w:rPr>
          <w:rFonts w:ascii="Times New Roman" w:eastAsia="Times New Roman" w:hAnsi="Times New Roman" w:cs="Times New Roman"/>
          <w:sz w:val="28"/>
          <w:szCs w:val="28"/>
          <w:lang w:eastAsia="en-GB"/>
        </w:rPr>
        <w:t>clauses in licence agreements – wheth</w:t>
      </w:r>
      <w:r w:rsidR="008763E0" w:rsidRPr="009D5825">
        <w:rPr>
          <w:rFonts w:ascii="Times New Roman" w:eastAsia="Times New Roman" w:hAnsi="Times New Roman" w:cs="Times New Roman"/>
          <w:sz w:val="28"/>
          <w:szCs w:val="28"/>
          <w:lang w:eastAsia="en-GB"/>
        </w:rPr>
        <w:t>er subsequent con</w:t>
      </w:r>
      <w:r w:rsidR="00041CFE" w:rsidRPr="009D5825">
        <w:rPr>
          <w:rFonts w:ascii="Times New Roman" w:eastAsia="Times New Roman" w:hAnsi="Times New Roman" w:cs="Times New Roman"/>
          <w:sz w:val="28"/>
          <w:szCs w:val="28"/>
          <w:lang w:eastAsia="en-GB"/>
        </w:rPr>
        <w:t>tracts replaced or rendered clauses</w:t>
      </w:r>
      <w:r w:rsidR="00F67EB7" w:rsidRPr="009D5825">
        <w:rPr>
          <w:rFonts w:ascii="Times New Roman" w:eastAsia="Times New Roman" w:hAnsi="Times New Roman" w:cs="Times New Roman"/>
          <w:sz w:val="28"/>
          <w:szCs w:val="28"/>
          <w:lang w:eastAsia="en-GB"/>
        </w:rPr>
        <w:t xml:space="preserve"> inoperative – no variation of the licence agreements – subsequent contracts regulating different aspects of business – ar</w:t>
      </w:r>
      <w:r w:rsidR="00041CFE" w:rsidRPr="009D5825">
        <w:rPr>
          <w:rFonts w:ascii="Times New Roman" w:eastAsia="Times New Roman" w:hAnsi="Times New Roman" w:cs="Times New Roman"/>
          <w:sz w:val="28"/>
          <w:szCs w:val="28"/>
          <w:lang w:eastAsia="en-GB"/>
        </w:rPr>
        <w:t>bitra</w:t>
      </w:r>
      <w:r w:rsidR="009D5825">
        <w:rPr>
          <w:rFonts w:ascii="Times New Roman" w:eastAsia="Times New Roman" w:hAnsi="Times New Roman" w:cs="Times New Roman"/>
          <w:sz w:val="28"/>
          <w:szCs w:val="28"/>
          <w:lang w:eastAsia="en-GB"/>
        </w:rPr>
        <w:t>tion</w:t>
      </w:r>
      <w:r w:rsidR="000E309A" w:rsidRPr="009D5825">
        <w:rPr>
          <w:rFonts w:ascii="Times New Roman" w:eastAsia="Times New Roman" w:hAnsi="Times New Roman" w:cs="Times New Roman"/>
          <w:sz w:val="28"/>
          <w:szCs w:val="28"/>
          <w:lang w:eastAsia="en-GB"/>
        </w:rPr>
        <w:t xml:space="preserve"> </w:t>
      </w:r>
      <w:r w:rsidR="00FF0A7C">
        <w:rPr>
          <w:rFonts w:ascii="Times New Roman" w:eastAsia="Times New Roman" w:hAnsi="Times New Roman" w:cs="Times New Roman"/>
          <w:sz w:val="28"/>
          <w:szCs w:val="28"/>
          <w:lang w:eastAsia="en-GB"/>
        </w:rPr>
        <w:t xml:space="preserve">clause </w:t>
      </w:r>
      <w:r w:rsidR="000E309A" w:rsidRPr="009D5825">
        <w:rPr>
          <w:rFonts w:ascii="Times New Roman" w:eastAsia="Times New Roman" w:hAnsi="Times New Roman" w:cs="Times New Roman"/>
          <w:sz w:val="28"/>
          <w:szCs w:val="28"/>
          <w:lang w:eastAsia="en-GB"/>
        </w:rPr>
        <w:t xml:space="preserve">and </w:t>
      </w:r>
      <w:r w:rsidR="00B37A69" w:rsidRPr="009D5825">
        <w:rPr>
          <w:rFonts w:ascii="Times New Roman" w:eastAsia="Times New Roman" w:hAnsi="Times New Roman" w:cs="Times New Roman"/>
          <w:sz w:val="28"/>
          <w:szCs w:val="28"/>
          <w:lang w:eastAsia="en-GB"/>
        </w:rPr>
        <w:t>governing law clause</w:t>
      </w:r>
      <w:r w:rsidR="001418DC" w:rsidRPr="009D5825">
        <w:rPr>
          <w:rFonts w:ascii="Times New Roman" w:eastAsia="Times New Roman" w:hAnsi="Times New Roman" w:cs="Times New Roman"/>
          <w:sz w:val="28"/>
          <w:szCs w:val="28"/>
          <w:lang w:eastAsia="en-GB"/>
        </w:rPr>
        <w:t xml:space="preserve"> not</w:t>
      </w:r>
      <w:r w:rsidR="00041CFE" w:rsidRPr="009D5825">
        <w:rPr>
          <w:rFonts w:ascii="Times New Roman" w:eastAsia="Times New Roman" w:hAnsi="Times New Roman" w:cs="Times New Roman"/>
          <w:sz w:val="28"/>
          <w:szCs w:val="28"/>
          <w:lang w:eastAsia="en-GB"/>
        </w:rPr>
        <w:t xml:space="preserve"> </w:t>
      </w:r>
      <w:r w:rsidR="001418DC" w:rsidRPr="009D5825">
        <w:rPr>
          <w:rFonts w:ascii="Times New Roman" w:eastAsia="Times New Roman" w:hAnsi="Times New Roman" w:cs="Times New Roman"/>
          <w:sz w:val="28"/>
          <w:szCs w:val="28"/>
          <w:lang w:eastAsia="en-GB"/>
        </w:rPr>
        <w:t>in</w:t>
      </w:r>
      <w:r w:rsidR="00041CFE" w:rsidRPr="009D5825">
        <w:rPr>
          <w:rFonts w:ascii="Times New Roman" w:eastAsia="Times New Roman" w:hAnsi="Times New Roman" w:cs="Times New Roman"/>
          <w:sz w:val="28"/>
          <w:szCs w:val="28"/>
          <w:lang w:eastAsia="en-GB"/>
        </w:rPr>
        <w:t>valid</w:t>
      </w:r>
      <w:r w:rsidR="00F67EB7" w:rsidRPr="009D5825">
        <w:rPr>
          <w:rFonts w:ascii="Times New Roman" w:eastAsia="Times New Roman" w:hAnsi="Times New Roman" w:cs="Times New Roman"/>
          <w:sz w:val="28"/>
          <w:szCs w:val="28"/>
          <w:lang w:eastAsia="en-GB"/>
        </w:rPr>
        <w:t>.</w:t>
      </w:r>
      <w:r w:rsidR="00F67EB7">
        <w:rPr>
          <w:rFonts w:ascii="Times New Roman" w:eastAsia="Times New Roman" w:hAnsi="Times New Roman" w:cs="Times New Roman"/>
          <w:sz w:val="28"/>
          <w:szCs w:val="28"/>
          <w:lang w:eastAsia="en-GB"/>
        </w:rPr>
        <w:t xml:space="preserve"> </w:t>
      </w:r>
    </w:p>
    <w:p w14:paraId="3F91A738" w14:textId="77777777" w:rsidR="00651D25" w:rsidRDefault="00DA44A5"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54B0CB5E">
          <v:rect id="_x0000_i1025" alt="" style="width:451.3pt;height:1.5pt;mso-width-percent:0;mso-height-percent:0;mso-width-percent:0;mso-height-percent:0" o:hralign="center" o:hrstd="t" o:hrnoshade="t" o:hr="t" fillcolor="black [3213]" stroked="f"/>
        </w:pict>
      </w:r>
    </w:p>
    <w:p w14:paraId="51C8DB78" w14:textId="77777777" w:rsidR="00651D25"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ORDER</w:t>
      </w:r>
    </w:p>
    <w:p w14:paraId="2198796A" w14:textId="77777777" w:rsidR="00651D25" w:rsidRDefault="00DA44A5"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1D76CB03">
          <v:rect id="_x0000_i1026" alt="" style="width:451.3pt;height:1.5pt;mso-width-percent:0;mso-height-percent:0;mso-width-percent:0;mso-height-percent:0" o:hralign="center" o:hrstd="t" o:hrnoshade="t" o:hr="t" fillcolor="black [3213]" stroked="f"/>
        </w:pict>
      </w:r>
    </w:p>
    <w:p w14:paraId="7176A3C8" w14:textId="77777777" w:rsidR="00651D25" w:rsidRDefault="00651D25" w:rsidP="00651D25">
      <w:pPr>
        <w:shd w:val="clear" w:color="auto" w:fill="FFFFFF"/>
        <w:tabs>
          <w:tab w:val="left" w:pos="900"/>
        </w:tabs>
        <w:spacing w:before="240" w:after="0" w:line="360" w:lineRule="auto"/>
        <w:jc w:val="both"/>
        <w:rPr>
          <w:rFonts w:ascii="Times New Roman" w:eastAsia="Times New Roman" w:hAnsi="Times New Roman" w:cs="Times New Roman"/>
          <w:bCs/>
          <w:sz w:val="28"/>
          <w:szCs w:val="28"/>
          <w:lang w:val="en-US"/>
        </w:rPr>
      </w:pPr>
      <w:r w:rsidRPr="00172872">
        <w:rPr>
          <w:rFonts w:ascii="Times New Roman" w:eastAsia="Times New Roman" w:hAnsi="Times New Roman" w:cs="Times New Roman"/>
          <w:b/>
          <w:bCs/>
          <w:sz w:val="28"/>
          <w:szCs w:val="28"/>
          <w:lang w:val="en-US"/>
        </w:rPr>
        <w:t>On appeal from:</w:t>
      </w:r>
      <w:r w:rsidRPr="0017287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Gauteng</w:t>
      </w:r>
      <w:r w:rsidRPr="009E6CCC">
        <w:rPr>
          <w:rFonts w:ascii="Times New Roman" w:eastAsia="Times New Roman" w:hAnsi="Times New Roman" w:cs="Times New Roman"/>
          <w:bCs/>
          <w:sz w:val="28"/>
          <w:szCs w:val="28"/>
          <w:lang w:val="en-US"/>
        </w:rPr>
        <w:t xml:space="preserve"> Division of the High</w:t>
      </w:r>
      <w:r w:rsidR="00781738">
        <w:rPr>
          <w:rFonts w:ascii="Times New Roman" w:eastAsia="Times New Roman" w:hAnsi="Times New Roman" w:cs="Times New Roman"/>
          <w:bCs/>
          <w:sz w:val="28"/>
          <w:szCs w:val="28"/>
          <w:lang w:val="en-US"/>
        </w:rPr>
        <w:t xml:space="preserve"> Court, Pretoria (Verster</w:t>
      </w:r>
      <w:r w:rsidR="005150D1">
        <w:rPr>
          <w:rFonts w:ascii="Times New Roman" w:eastAsia="Times New Roman" w:hAnsi="Times New Roman" w:cs="Times New Roman"/>
          <w:bCs/>
          <w:sz w:val="28"/>
          <w:szCs w:val="28"/>
          <w:lang w:val="en-US"/>
        </w:rPr>
        <w:t xml:space="preserve"> </w:t>
      </w:r>
      <w:r w:rsidR="00781738">
        <w:rPr>
          <w:rFonts w:ascii="Times New Roman" w:eastAsia="Times New Roman" w:hAnsi="Times New Roman" w:cs="Times New Roman"/>
          <w:bCs/>
          <w:sz w:val="28"/>
          <w:szCs w:val="28"/>
          <w:lang w:val="en-US"/>
        </w:rPr>
        <w:t>A</w:t>
      </w:r>
      <w:r>
        <w:rPr>
          <w:rFonts w:ascii="Times New Roman" w:eastAsia="Times New Roman" w:hAnsi="Times New Roman" w:cs="Times New Roman"/>
          <w:bCs/>
          <w:sz w:val="28"/>
          <w:szCs w:val="28"/>
          <w:lang w:val="en-US"/>
        </w:rPr>
        <w:t>J si</w:t>
      </w:r>
      <w:r w:rsidR="00781738">
        <w:rPr>
          <w:rFonts w:ascii="Times New Roman" w:eastAsia="Times New Roman" w:hAnsi="Times New Roman" w:cs="Times New Roman"/>
          <w:bCs/>
          <w:sz w:val="28"/>
          <w:szCs w:val="28"/>
          <w:lang w:val="en-US"/>
        </w:rPr>
        <w:t>tting as court of first instance</w:t>
      </w:r>
      <w:r>
        <w:rPr>
          <w:rFonts w:ascii="Times New Roman" w:eastAsia="Times New Roman" w:hAnsi="Times New Roman" w:cs="Times New Roman"/>
          <w:bCs/>
          <w:sz w:val="28"/>
          <w:szCs w:val="28"/>
          <w:lang w:val="en-US"/>
        </w:rPr>
        <w:t>):</w:t>
      </w:r>
    </w:p>
    <w:p w14:paraId="6F762C69" w14:textId="77777777" w:rsidR="00651D25" w:rsidRPr="00964B01" w:rsidRDefault="00651D25" w:rsidP="00651D25">
      <w:pPr>
        <w:pStyle w:val="ListParagraph"/>
        <w:numPr>
          <w:ilvl w:val="0"/>
          <w:numId w:val="1"/>
        </w:numPr>
        <w:spacing w:before="240" w:after="0" w:line="360" w:lineRule="auto"/>
        <w:jc w:val="both"/>
        <w:rPr>
          <w:rFonts w:ascii="Times New Roman" w:hAnsi="Times New Roman" w:cs="Times New Roman"/>
          <w:sz w:val="28"/>
          <w:szCs w:val="28"/>
        </w:rPr>
      </w:pPr>
      <w:r w:rsidRPr="00964B01">
        <w:rPr>
          <w:rFonts w:ascii="Times New Roman" w:hAnsi="Times New Roman" w:cs="Times New Roman"/>
          <w:sz w:val="28"/>
          <w:szCs w:val="28"/>
        </w:rPr>
        <w:t xml:space="preserve">The appeal is </w:t>
      </w:r>
      <w:r w:rsidR="0064053B">
        <w:rPr>
          <w:rFonts w:ascii="Times New Roman" w:hAnsi="Times New Roman" w:cs="Times New Roman"/>
          <w:sz w:val="28"/>
          <w:szCs w:val="28"/>
        </w:rPr>
        <w:t>dismissed with costs including the costs of two counsel.</w:t>
      </w:r>
    </w:p>
    <w:p w14:paraId="2392A29F" w14:textId="77777777" w:rsidR="00651D25" w:rsidRDefault="00DA44A5"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71570136">
          <v:rect id="_x0000_i1027" alt="" style="width:451.3pt;height:1.5pt;mso-width-percent:0;mso-height-percent:0;mso-width-percent:0;mso-height-percent:0" o:hralign="center" o:hrstd="t" o:hrnoshade="t" o:hr="t" fillcolor="black [3213]" stroked="f"/>
        </w:pict>
      </w:r>
    </w:p>
    <w:p w14:paraId="4B756595" w14:textId="77777777" w:rsidR="00651D25"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JUDGMENT</w:t>
      </w:r>
    </w:p>
    <w:p w14:paraId="71C6EB54" w14:textId="77777777" w:rsidR="00651D25" w:rsidRPr="00172872" w:rsidRDefault="00DA44A5"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31D66DA1">
          <v:rect id="_x0000_i1028" alt="" style="width:451.3pt;height:1.5pt;mso-width-percent:0;mso-height-percent:0;mso-width-percent:0;mso-height-percent:0" o:hralign="center" o:hrstd="t" o:hrnoshade="t" o:hr="t" fillcolor="black [3213]" stroked="f"/>
        </w:pict>
      </w:r>
    </w:p>
    <w:p w14:paraId="773EEC6C" w14:textId="452709DB" w:rsidR="00651D25" w:rsidRDefault="001A755B" w:rsidP="00651D25">
      <w:pPr>
        <w:spacing w:before="240"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Dambuza JA (Mocumie</w:t>
      </w:r>
      <w:r w:rsidR="00781738">
        <w:rPr>
          <w:rFonts w:ascii="Times New Roman" w:eastAsia="Times New Roman" w:hAnsi="Times New Roman" w:cs="Times New Roman"/>
          <w:b/>
          <w:sz w:val="28"/>
          <w:szCs w:val="28"/>
          <w:lang w:val="en-GB"/>
        </w:rPr>
        <w:t xml:space="preserve"> and</w:t>
      </w:r>
      <w:r>
        <w:rPr>
          <w:rFonts w:ascii="Times New Roman" w:eastAsia="Times New Roman" w:hAnsi="Times New Roman" w:cs="Times New Roman"/>
          <w:b/>
          <w:sz w:val="28"/>
          <w:szCs w:val="28"/>
          <w:lang w:val="en-GB"/>
        </w:rPr>
        <w:t xml:space="preserve"> </w:t>
      </w:r>
      <w:r w:rsidR="00B002A6">
        <w:rPr>
          <w:rFonts w:ascii="Times New Roman" w:eastAsia="Times New Roman" w:hAnsi="Times New Roman" w:cs="Times New Roman"/>
          <w:b/>
          <w:sz w:val="28"/>
          <w:szCs w:val="28"/>
          <w:lang w:val="en-GB"/>
        </w:rPr>
        <w:t>Dlodlo JJA, Meyer and Smith</w:t>
      </w:r>
      <w:r w:rsidR="00651D25">
        <w:rPr>
          <w:rFonts w:ascii="Times New Roman" w:eastAsia="Times New Roman" w:hAnsi="Times New Roman" w:cs="Times New Roman"/>
          <w:b/>
          <w:sz w:val="28"/>
          <w:szCs w:val="28"/>
          <w:lang w:val="en-GB"/>
        </w:rPr>
        <w:t xml:space="preserve"> </w:t>
      </w:r>
      <w:r w:rsidR="00781738">
        <w:rPr>
          <w:rFonts w:ascii="Times New Roman" w:eastAsia="Times New Roman" w:hAnsi="Times New Roman" w:cs="Times New Roman"/>
          <w:b/>
          <w:sz w:val="28"/>
          <w:szCs w:val="28"/>
          <w:lang w:val="en-GB"/>
        </w:rPr>
        <w:t>A</w:t>
      </w:r>
      <w:r w:rsidR="00651D25">
        <w:rPr>
          <w:rFonts w:ascii="Times New Roman" w:eastAsia="Times New Roman" w:hAnsi="Times New Roman" w:cs="Times New Roman"/>
          <w:b/>
          <w:sz w:val="28"/>
          <w:szCs w:val="28"/>
          <w:lang w:val="en-GB"/>
        </w:rPr>
        <w:t>JJA</w:t>
      </w:r>
      <w:r w:rsidR="00651D25" w:rsidRPr="00B57BEB">
        <w:rPr>
          <w:rFonts w:ascii="Times New Roman" w:eastAsia="Times New Roman" w:hAnsi="Times New Roman" w:cs="Times New Roman"/>
          <w:b/>
          <w:sz w:val="28"/>
          <w:szCs w:val="28"/>
          <w:lang w:val="en-GB"/>
        </w:rPr>
        <w:t xml:space="preserve"> concurring)</w:t>
      </w:r>
    </w:p>
    <w:p w14:paraId="4400F5A1" w14:textId="77777777" w:rsidR="0093397A" w:rsidRDefault="0093397A" w:rsidP="00651D25">
      <w:pPr>
        <w:spacing w:before="240"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Introduction</w:t>
      </w:r>
    </w:p>
    <w:p w14:paraId="73DBE7D8" w14:textId="1C36FAEF" w:rsidR="00AC34BA" w:rsidRDefault="00BB3B0B" w:rsidP="00383CFC">
      <w:pPr>
        <w:spacing w:after="0" w:line="360" w:lineRule="auto"/>
        <w:jc w:val="both"/>
        <w:rPr>
          <w:rFonts w:ascii="Times New Roman" w:eastAsia="Times New Roman" w:hAnsi="Times New Roman" w:cs="Times New Roman"/>
          <w:sz w:val="28"/>
          <w:szCs w:val="28"/>
          <w:lang w:val="en-GB"/>
        </w:rPr>
      </w:pPr>
      <w:r w:rsidRPr="009D5825">
        <w:rPr>
          <w:rFonts w:ascii="Times New Roman" w:eastAsia="Times New Roman" w:hAnsi="Times New Roman" w:cs="Times New Roman"/>
          <w:sz w:val="28"/>
          <w:szCs w:val="28"/>
          <w:lang w:val="en-GB"/>
        </w:rPr>
        <w:t>[</w:t>
      </w:r>
      <w:r w:rsidR="0093397A" w:rsidRPr="009D5825">
        <w:rPr>
          <w:rFonts w:ascii="Times New Roman" w:eastAsia="Times New Roman" w:hAnsi="Times New Roman" w:cs="Times New Roman"/>
          <w:sz w:val="28"/>
          <w:szCs w:val="28"/>
          <w:lang w:val="en-GB"/>
        </w:rPr>
        <w:t>1</w:t>
      </w:r>
      <w:r w:rsidRPr="009D5825">
        <w:rPr>
          <w:rFonts w:ascii="Times New Roman" w:eastAsia="Times New Roman" w:hAnsi="Times New Roman" w:cs="Times New Roman"/>
          <w:sz w:val="28"/>
          <w:szCs w:val="28"/>
          <w:lang w:val="en-GB"/>
        </w:rPr>
        <w:t>]</w:t>
      </w:r>
      <w:r w:rsidRPr="009D5825">
        <w:rPr>
          <w:rFonts w:ascii="Times New Roman" w:eastAsia="Times New Roman" w:hAnsi="Times New Roman" w:cs="Times New Roman"/>
          <w:sz w:val="28"/>
          <w:szCs w:val="28"/>
          <w:lang w:val="en-GB"/>
        </w:rPr>
        <w:tab/>
        <w:t>The issue in this appeal is whether</w:t>
      </w:r>
      <w:r w:rsidR="008763E0" w:rsidRPr="009D5825">
        <w:rPr>
          <w:rFonts w:ascii="Times New Roman" w:eastAsia="Times New Roman" w:hAnsi="Times New Roman" w:cs="Times New Roman"/>
          <w:sz w:val="28"/>
          <w:szCs w:val="28"/>
          <w:lang w:val="en-GB"/>
        </w:rPr>
        <w:t xml:space="preserve"> an</w:t>
      </w:r>
      <w:r w:rsidRPr="009D5825">
        <w:rPr>
          <w:rFonts w:ascii="Times New Roman" w:eastAsia="Times New Roman" w:hAnsi="Times New Roman" w:cs="Times New Roman"/>
          <w:sz w:val="28"/>
          <w:szCs w:val="28"/>
          <w:lang w:val="en-GB"/>
        </w:rPr>
        <w:t xml:space="preserve"> </w:t>
      </w:r>
      <w:r w:rsidR="008763E0" w:rsidRPr="009D5825">
        <w:rPr>
          <w:rFonts w:ascii="Times New Roman" w:eastAsia="Times New Roman" w:hAnsi="Times New Roman" w:cs="Times New Roman"/>
          <w:sz w:val="28"/>
          <w:szCs w:val="28"/>
          <w:lang w:val="en-GB"/>
        </w:rPr>
        <w:t xml:space="preserve">arbitration clause and a </w:t>
      </w:r>
      <w:r w:rsidR="000E309A" w:rsidRPr="009D5825">
        <w:rPr>
          <w:rFonts w:ascii="Times New Roman" w:eastAsia="Times New Roman" w:hAnsi="Times New Roman" w:cs="Times New Roman"/>
          <w:sz w:val="28"/>
          <w:szCs w:val="28"/>
          <w:lang w:val="en-GB"/>
        </w:rPr>
        <w:t>governing</w:t>
      </w:r>
      <w:r w:rsidR="008763E0" w:rsidRPr="009D5825">
        <w:rPr>
          <w:rFonts w:ascii="Times New Roman" w:eastAsia="Times New Roman" w:hAnsi="Times New Roman" w:cs="Times New Roman"/>
          <w:sz w:val="28"/>
          <w:szCs w:val="28"/>
          <w:lang w:val="en-GB"/>
        </w:rPr>
        <w:t xml:space="preserve"> law clause</w:t>
      </w:r>
      <w:r w:rsidR="0064053B" w:rsidRPr="009D5825">
        <w:rPr>
          <w:rFonts w:ascii="Times New Roman" w:eastAsia="Times New Roman" w:hAnsi="Times New Roman" w:cs="Times New Roman"/>
          <w:sz w:val="28"/>
          <w:szCs w:val="28"/>
          <w:lang w:val="en-GB"/>
        </w:rPr>
        <w:t xml:space="preserve"> in </w:t>
      </w:r>
      <w:r w:rsidR="004C7893" w:rsidRPr="009D5825">
        <w:rPr>
          <w:rFonts w:ascii="Times New Roman" w:eastAsia="Times New Roman" w:hAnsi="Times New Roman" w:cs="Times New Roman"/>
          <w:sz w:val="28"/>
          <w:szCs w:val="28"/>
          <w:lang w:val="en-GB"/>
        </w:rPr>
        <w:t xml:space="preserve">a </w:t>
      </w:r>
      <w:r w:rsidR="0064053B" w:rsidRPr="009D5825">
        <w:rPr>
          <w:rFonts w:ascii="Times New Roman" w:eastAsia="Times New Roman" w:hAnsi="Times New Roman" w:cs="Times New Roman"/>
          <w:sz w:val="28"/>
          <w:szCs w:val="28"/>
          <w:lang w:val="en-GB"/>
        </w:rPr>
        <w:t xml:space="preserve">licence </w:t>
      </w:r>
      <w:r w:rsidRPr="009D5825">
        <w:rPr>
          <w:rFonts w:ascii="Times New Roman" w:eastAsia="Times New Roman" w:hAnsi="Times New Roman" w:cs="Times New Roman"/>
          <w:sz w:val="28"/>
          <w:szCs w:val="28"/>
          <w:lang w:val="en-GB"/>
        </w:rPr>
        <w:t xml:space="preserve">agreement </w:t>
      </w:r>
      <w:r w:rsidR="00AD507B" w:rsidRPr="009D5825">
        <w:rPr>
          <w:rFonts w:ascii="Times New Roman" w:eastAsia="Times New Roman" w:hAnsi="Times New Roman" w:cs="Times New Roman"/>
          <w:sz w:val="28"/>
          <w:szCs w:val="28"/>
          <w:lang w:val="en-GB"/>
        </w:rPr>
        <w:t>concluded between the appellant, Tee Que Trading</w:t>
      </w:r>
      <w:r w:rsidR="00AD507B">
        <w:rPr>
          <w:rFonts w:ascii="Times New Roman" w:eastAsia="Times New Roman" w:hAnsi="Times New Roman" w:cs="Times New Roman"/>
          <w:sz w:val="28"/>
          <w:szCs w:val="28"/>
          <w:lang w:val="en-GB"/>
        </w:rPr>
        <w:t xml:space="preserve"> Services (Pty) Ltd (TQ)</w:t>
      </w:r>
      <w:r w:rsidR="001C03AC">
        <w:rPr>
          <w:rFonts w:ascii="Times New Roman" w:eastAsia="Times New Roman" w:hAnsi="Times New Roman" w:cs="Times New Roman"/>
          <w:sz w:val="28"/>
          <w:szCs w:val="28"/>
          <w:lang w:val="en-GB"/>
        </w:rPr>
        <w:t>,</w:t>
      </w:r>
      <w:r w:rsidR="00AD507B">
        <w:rPr>
          <w:rFonts w:ascii="Times New Roman" w:eastAsia="Times New Roman" w:hAnsi="Times New Roman" w:cs="Times New Roman"/>
          <w:sz w:val="28"/>
          <w:szCs w:val="28"/>
          <w:lang w:val="en-GB"/>
        </w:rPr>
        <w:t xml:space="preserve"> and </w:t>
      </w:r>
      <w:r w:rsidR="007775F1">
        <w:rPr>
          <w:rFonts w:ascii="Times New Roman" w:eastAsia="Times New Roman" w:hAnsi="Times New Roman" w:cs="Times New Roman"/>
          <w:sz w:val="28"/>
          <w:szCs w:val="28"/>
          <w:lang w:val="en-GB"/>
        </w:rPr>
        <w:t xml:space="preserve">the first respondent, Oracle Corporation South Africa (Pty) Ltd (Oracle), </w:t>
      </w:r>
      <w:r w:rsidR="004C7893">
        <w:rPr>
          <w:rFonts w:ascii="Times New Roman" w:eastAsia="Times New Roman" w:hAnsi="Times New Roman" w:cs="Times New Roman"/>
          <w:sz w:val="28"/>
          <w:szCs w:val="28"/>
          <w:lang w:val="en-GB"/>
        </w:rPr>
        <w:t>were rendered</w:t>
      </w:r>
      <w:r w:rsidR="0064053B">
        <w:rPr>
          <w:rFonts w:ascii="Times New Roman" w:eastAsia="Times New Roman" w:hAnsi="Times New Roman" w:cs="Times New Roman"/>
          <w:sz w:val="28"/>
          <w:szCs w:val="28"/>
          <w:lang w:val="en-GB"/>
        </w:rPr>
        <w:t xml:space="preserve"> inoperative by three agreements which were later concluded by the</w:t>
      </w:r>
      <w:r w:rsidR="009A542A">
        <w:rPr>
          <w:rFonts w:ascii="Times New Roman" w:eastAsia="Times New Roman" w:hAnsi="Times New Roman" w:cs="Times New Roman"/>
          <w:sz w:val="28"/>
          <w:szCs w:val="28"/>
          <w:lang w:val="en-GB"/>
        </w:rPr>
        <w:t xml:space="preserve"> same</w:t>
      </w:r>
      <w:r w:rsidR="0064053B">
        <w:rPr>
          <w:rFonts w:ascii="Times New Roman" w:eastAsia="Times New Roman" w:hAnsi="Times New Roman" w:cs="Times New Roman"/>
          <w:sz w:val="28"/>
          <w:szCs w:val="28"/>
          <w:lang w:val="en-GB"/>
        </w:rPr>
        <w:t xml:space="preserve"> parties</w:t>
      </w:r>
      <w:r w:rsidR="007775F1">
        <w:rPr>
          <w:rFonts w:ascii="Times New Roman" w:eastAsia="Times New Roman" w:hAnsi="Times New Roman" w:cs="Times New Roman"/>
          <w:sz w:val="28"/>
          <w:szCs w:val="28"/>
          <w:lang w:val="en-GB"/>
        </w:rPr>
        <w:t xml:space="preserve">. </w:t>
      </w:r>
      <w:r w:rsidR="008763E0">
        <w:rPr>
          <w:rFonts w:ascii="Times New Roman" w:eastAsia="Times New Roman" w:hAnsi="Times New Roman" w:cs="Times New Roman"/>
          <w:sz w:val="28"/>
          <w:szCs w:val="28"/>
          <w:lang w:val="en-GB"/>
        </w:rPr>
        <w:t xml:space="preserve">Allied to that is the question whether similar </w:t>
      </w:r>
      <w:r w:rsidR="00E36D46">
        <w:rPr>
          <w:rFonts w:ascii="Times New Roman" w:eastAsia="Times New Roman" w:hAnsi="Times New Roman" w:cs="Times New Roman"/>
          <w:sz w:val="28"/>
          <w:szCs w:val="28"/>
          <w:lang w:val="en-GB"/>
        </w:rPr>
        <w:t>clauses</w:t>
      </w:r>
      <w:r w:rsidR="008763E0">
        <w:rPr>
          <w:rFonts w:ascii="Times New Roman" w:eastAsia="Times New Roman" w:hAnsi="Times New Roman" w:cs="Times New Roman"/>
          <w:sz w:val="28"/>
          <w:szCs w:val="28"/>
          <w:lang w:val="en-GB"/>
        </w:rPr>
        <w:t xml:space="preserve"> in a related sub-licence agreement between TQ and the South African Post Office (SAPO) were replaced by the dispute r</w:t>
      </w:r>
      <w:r w:rsidR="009A542A">
        <w:rPr>
          <w:rFonts w:ascii="Times New Roman" w:eastAsia="Times New Roman" w:hAnsi="Times New Roman" w:cs="Times New Roman"/>
          <w:sz w:val="28"/>
          <w:szCs w:val="28"/>
          <w:lang w:val="en-GB"/>
        </w:rPr>
        <w:t>esolution clauses in the</w:t>
      </w:r>
      <w:r w:rsidR="008763E0">
        <w:rPr>
          <w:rFonts w:ascii="Times New Roman" w:eastAsia="Times New Roman" w:hAnsi="Times New Roman" w:cs="Times New Roman"/>
          <w:sz w:val="28"/>
          <w:szCs w:val="28"/>
          <w:lang w:val="en-GB"/>
        </w:rPr>
        <w:t xml:space="preserve"> three agreements concluded between TQ and Oracle. </w:t>
      </w:r>
      <w:r w:rsidR="007775F1">
        <w:rPr>
          <w:rFonts w:ascii="Times New Roman" w:eastAsia="Times New Roman" w:hAnsi="Times New Roman" w:cs="Times New Roman"/>
          <w:sz w:val="28"/>
          <w:szCs w:val="28"/>
          <w:lang w:val="en-GB"/>
        </w:rPr>
        <w:t>The Gauteng Division of the High Court, Pretoria (</w:t>
      </w:r>
      <w:r w:rsidR="001C03AC">
        <w:rPr>
          <w:rFonts w:ascii="Times New Roman" w:eastAsia="Times New Roman" w:hAnsi="Times New Roman" w:cs="Times New Roman"/>
          <w:sz w:val="28"/>
          <w:szCs w:val="28"/>
          <w:lang w:val="en-GB"/>
        </w:rPr>
        <w:t>h</w:t>
      </w:r>
      <w:r w:rsidR="007775F1">
        <w:rPr>
          <w:rFonts w:ascii="Times New Roman" w:eastAsia="Times New Roman" w:hAnsi="Times New Roman" w:cs="Times New Roman"/>
          <w:sz w:val="28"/>
          <w:szCs w:val="28"/>
          <w:lang w:val="en-GB"/>
        </w:rPr>
        <w:t xml:space="preserve">igh </w:t>
      </w:r>
      <w:r w:rsidR="001C03AC">
        <w:rPr>
          <w:rFonts w:ascii="Times New Roman" w:eastAsia="Times New Roman" w:hAnsi="Times New Roman" w:cs="Times New Roman"/>
          <w:sz w:val="28"/>
          <w:szCs w:val="28"/>
          <w:lang w:val="en-GB"/>
        </w:rPr>
        <w:t>c</w:t>
      </w:r>
      <w:r w:rsidR="007775F1">
        <w:rPr>
          <w:rFonts w:ascii="Times New Roman" w:eastAsia="Times New Roman" w:hAnsi="Times New Roman" w:cs="Times New Roman"/>
          <w:sz w:val="28"/>
          <w:szCs w:val="28"/>
          <w:lang w:val="en-GB"/>
        </w:rPr>
        <w:t>ourt)</w:t>
      </w:r>
      <w:r w:rsidR="001C03AC">
        <w:rPr>
          <w:rFonts w:ascii="Times New Roman" w:eastAsia="Times New Roman" w:hAnsi="Times New Roman" w:cs="Times New Roman"/>
          <w:sz w:val="28"/>
          <w:szCs w:val="28"/>
          <w:lang w:val="en-GB"/>
        </w:rPr>
        <w:t xml:space="preserve">, per </w:t>
      </w:r>
      <w:r w:rsidR="001C03AC" w:rsidRPr="001C03AC">
        <w:rPr>
          <w:rFonts w:ascii="Times New Roman" w:eastAsia="Times New Roman" w:hAnsi="Times New Roman" w:cs="Times New Roman"/>
          <w:sz w:val="28"/>
          <w:szCs w:val="28"/>
          <w:lang w:val="en-GB"/>
        </w:rPr>
        <w:t>Ve</w:t>
      </w:r>
      <w:r w:rsidR="00095BA5">
        <w:rPr>
          <w:rFonts w:ascii="Times New Roman" w:eastAsia="Times New Roman" w:hAnsi="Times New Roman" w:cs="Times New Roman"/>
          <w:sz w:val="28"/>
          <w:szCs w:val="28"/>
          <w:lang w:val="en-GB"/>
        </w:rPr>
        <w:t>r</w:t>
      </w:r>
      <w:r w:rsidR="001C03AC" w:rsidRPr="001C03AC">
        <w:rPr>
          <w:rFonts w:ascii="Times New Roman" w:eastAsia="Times New Roman" w:hAnsi="Times New Roman" w:cs="Times New Roman"/>
          <w:sz w:val="28"/>
          <w:szCs w:val="28"/>
          <w:lang w:val="en-GB"/>
        </w:rPr>
        <w:t>ster AJ</w:t>
      </w:r>
      <w:r w:rsidR="001C03AC">
        <w:rPr>
          <w:rFonts w:ascii="Times New Roman" w:eastAsia="Times New Roman" w:hAnsi="Times New Roman" w:cs="Times New Roman"/>
          <w:sz w:val="28"/>
          <w:szCs w:val="28"/>
          <w:lang w:val="en-GB"/>
        </w:rPr>
        <w:t>,</w:t>
      </w:r>
      <w:r w:rsidR="007775F1">
        <w:rPr>
          <w:rFonts w:ascii="Times New Roman" w:eastAsia="Times New Roman" w:hAnsi="Times New Roman" w:cs="Times New Roman"/>
          <w:sz w:val="28"/>
          <w:szCs w:val="28"/>
          <w:lang w:val="en-GB"/>
        </w:rPr>
        <w:t xml:space="preserve"> </w:t>
      </w:r>
      <w:r w:rsidR="00885AAC">
        <w:rPr>
          <w:rFonts w:ascii="Times New Roman" w:eastAsia="Times New Roman" w:hAnsi="Times New Roman" w:cs="Times New Roman"/>
          <w:sz w:val="28"/>
          <w:szCs w:val="28"/>
          <w:lang w:val="en-GB"/>
        </w:rPr>
        <w:t>held that the</w:t>
      </w:r>
      <w:r w:rsidR="0093397A">
        <w:rPr>
          <w:rFonts w:ascii="Times New Roman" w:eastAsia="Times New Roman" w:hAnsi="Times New Roman" w:cs="Times New Roman"/>
          <w:sz w:val="28"/>
          <w:szCs w:val="28"/>
          <w:lang w:val="en-GB"/>
        </w:rPr>
        <w:t xml:space="preserve"> clause</w:t>
      </w:r>
      <w:r w:rsidR="004C7893">
        <w:rPr>
          <w:rFonts w:ascii="Times New Roman" w:eastAsia="Times New Roman" w:hAnsi="Times New Roman" w:cs="Times New Roman"/>
          <w:sz w:val="28"/>
          <w:szCs w:val="28"/>
          <w:lang w:val="en-GB"/>
        </w:rPr>
        <w:t>s</w:t>
      </w:r>
      <w:r w:rsidR="0093397A">
        <w:rPr>
          <w:rFonts w:ascii="Times New Roman" w:eastAsia="Times New Roman" w:hAnsi="Times New Roman" w:cs="Times New Roman"/>
          <w:sz w:val="28"/>
          <w:szCs w:val="28"/>
          <w:lang w:val="en-GB"/>
        </w:rPr>
        <w:t xml:space="preserve"> in the earlier </w:t>
      </w:r>
      <w:r w:rsidR="004C7893">
        <w:rPr>
          <w:rFonts w:ascii="Times New Roman" w:eastAsia="Times New Roman" w:hAnsi="Times New Roman" w:cs="Times New Roman"/>
          <w:sz w:val="28"/>
          <w:szCs w:val="28"/>
          <w:lang w:val="en-GB"/>
        </w:rPr>
        <w:t xml:space="preserve">licence </w:t>
      </w:r>
      <w:r w:rsidR="00E36D46">
        <w:rPr>
          <w:rFonts w:ascii="Times New Roman" w:eastAsia="Times New Roman" w:hAnsi="Times New Roman" w:cs="Times New Roman"/>
          <w:sz w:val="28"/>
          <w:szCs w:val="28"/>
          <w:lang w:val="en-GB"/>
        </w:rPr>
        <w:t xml:space="preserve">and sub-licence </w:t>
      </w:r>
      <w:r w:rsidR="0093397A">
        <w:rPr>
          <w:rFonts w:ascii="Times New Roman" w:eastAsia="Times New Roman" w:hAnsi="Times New Roman" w:cs="Times New Roman"/>
          <w:sz w:val="28"/>
          <w:szCs w:val="28"/>
          <w:lang w:val="en-GB"/>
        </w:rPr>
        <w:t>agreement</w:t>
      </w:r>
      <w:r w:rsidR="00E36D46">
        <w:rPr>
          <w:rFonts w:ascii="Times New Roman" w:eastAsia="Times New Roman" w:hAnsi="Times New Roman" w:cs="Times New Roman"/>
          <w:sz w:val="28"/>
          <w:szCs w:val="28"/>
          <w:lang w:val="en-GB"/>
        </w:rPr>
        <w:t>s</w:t>
      </w:r>
      <w:r w:rsidR="0093397A">
        <w:rPr>
          <w:rFonts w:ascii="Times New Roman" w:eastAsia="Times New Roman" w:hAnsi="Times New Roman" w:cs="Times New Roman"/>
          <w:sz w:val="28"/>
          <w:szCs w:val="28"/>
          <w:lang w:val="en-GB"/>
        </w:rPr>
        <w:t xml:space="preserve"> remained valid and ordered a stay of the action proceedings instituted by TQ against Oracle</w:t>
      </w:r>
      <w:r w:rsidR="00885AAC">
        <w:rPr>
          <w:rFonts w:ascii="Times New Roman" w:eastAsia="Times New Roman" w:hAnsi="Times New Roman" w:cs="Times New Roman"/>
          <w:sz w:val="28"/>
          <w:szCs w:val="28"/>
          <w:lang w:val="en-GB"/>
        </w:rPr>
        <w:t xml:space="preserve"> and SAPO</w:t>
      </w:r>
      <w:r w:rsidR="004C7893">
        <w:rPr>
          <w:rFonts w:ascii="Times New Roman" w:eastAsia="Times New Roman" w:hAnsi="Times New Roman" w:cs="Times New Roman"/>
          <w:sz w:val="28"/>
          <w:szCs w:val="28"/>
          <w:lang w:val="en-GB"/>
        </w:rPr>
        <w:t>,</w:t>
      </w:r>
      <w:r w:rsidR="0093397A">
        <w:rPr>
          <w:rFonts w:ascii="Times New Roman" w:eastAsia="Times New Roman" w:hAnsi="Times New Roman" w:cs="Times New Roman"/>
          <w:sz w:val="28"/>
          <w:szCs w:val="28"/>
          <w:lang w:val="en-GB"/>
        </w:rPr>
        <w:t xml:space="preserve"> pending referral of the dispute between these parties to arbitration. This </w:t>
      </w:r>
      <w:r w:rsidR="00CB6296">
        <w:rPr>
          <w:rFonts w:ascii="Times New Roman" w:eastAsia="Times New Roman" w:hAnsi="Times New Roman" w:cs="Times New Roman"/>
          <w:sz w:val="28"/>
          <w:szCs w:val="28"/>
          <w:lang w:val="en-GB"/>
        </w:rPr>
        <w:t>appeal, with the leave of this C</w:t>
      </w:r>
      <w:r w:rsidR="0093397A">
        <w:rPr>
          <w:rFonts w:ascii="Times New Roman" w:eastAsia="Times New Roman" w:hAnsi="Times New Roman" w:cs="Times New Roman"/>
          <w:sz w:val="28"/>
          <w:szCs w:val="28"/>
          <w:lang w:val="en-GB"/>
        </w:rPr>
        <w:t>ourt, is against that order of the high court.</w:t>
      </w:r>
    </w:p>
    <w:p w14:paraId="66F72E2A" w14:textId="77777777" w:rsidR="00E36D46" w:rsidRDefault="00E36D46" w:rsidP="00383CFC">
      <w:pPr>
        <w:spacing w:after="0" w:line="360" w:lineRule="auto"/>
        <w:jc w:val="both"/>
        <w:rPr>
          <w:rFonts w:ascii="Times New Roman" w:hAnsi="Times New Roman" w:cs="Times New Roman"/>
          <w:sz w:val="28"/>
          <w:szCs w:val="28"/>
        </w:rPr>
      </w:pPr>
    </w:p>
    <w:p w14:paraId="5E425A67" w14:textId="77777777" w:rsidR="00D71520" w:rsidRPr="0093397A" w:rsidRDefault="0093397A" w:rsidP="00D715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Background</w:t>
      </w:r>
    </w:p>
    <w:p w14:paraId="32930F44" w14:textId="6E074091" w:rsidR="00D71520" w:rsidRDefault="0093397A" w:rsidP="00D71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A7FC1">
        <w:rPr>
          <w:rFonts w:ascii="Times New Roman" w:hAnsi="Times New Roman" w:cs="Times New Roman"/>
          <w:sz w:val="28"/>
          <w:szCs w:val="28"/>
        </w:rPr>
        <w:t>During 2004 I-Flex</w:t>
      </w:r>
      <w:r w:rsidR="00093D9A">
        <w:rPr>
          <w:rFonts w:ascii="Times New Roman" w:hAnsi="Times New Roman" w:cs="Times New Roman"/>
          <w:sz w:val="28"/>
          <w:szCs w:val="28"/>
        </w:rPr>
        <w:t xml:space="preserve"> Solutions Limited (I-Flex)</w:t>
      </w:r>
      <w:r w:rsidR="00DA7FC1">
        <w:rPr>
          <w:rFonts w:ascii="Times New Roman" w:hAnsi="Times New Roman" w:cs="Times New Roman"/>
          <w:sz w:val="28"/>
          <w:szCs w:val="28"/>
        </w:rPr>
        <w:t xml:space="preserve">, a company based in India, </w:t>
      </w:r>
      <w:r>
        <w:rPr>
          <w:rFonts w:ascii="Times New Roman" w:hAnsi="Times New Roman" w:cs="Times New Roman"/>
          <w:sz w:val="28"/>
          <w:szCs w:val="28"/>
        </w:rPr>
        <w:t xml:space="preserve">concluded </w:t>
      </w:r>
      <w:r w:rsidR="00D71520" w:rsidRPr="00170BD2">
        <w:rPr>
          <w:rFonts w:ascii="Times New Roman" w:hAnsi="Times New Roman" w:cs="Times New Roman"/>
          <w:sz w:val="28"/>
          <w:szCs w:val="28"/>
        </w:rPr>
        <w:t xml:space="preserve">a written licence agreement </w:t>
      </w:r>
      <w:r w:rsidR="00DA7FC1">
        <w:rPr>
          <w:rFonts w:ascii="Times New Roman" w:hAnsi="Times New Roman" w:cs="Times New Roman"/>
          <w:sz w:val="28"/>
          <w:szCs w:val="28"/>
        </w:rPr>
        <w:t>with TQ</w:t>
      </w:r>
      <w:r w:rsidR="00D71520" w:rsidRPr="00170BD2">
        <w:rPr>
          <w:rFonts w:ascii="Times New Roman" w:hAnsi="Times New Roman" w:cs="Times New Roman"/>
          <w:sz w:val="28"/>
          <w:szCs w:val="28"/>
        </w:rPr>
        <w:t xml:space="preserve"> </w:t>
      </w:r>
      <w:r>
        <w:rPr>
          <w:rFonts w:ascii="Times New Roman" w:hAnsi="Times New Roman" w:cs="Times New Roman"/>
          <w:sz w:val="28"/>
          <w:szCs w:val="28"/>
        </w:rPr>
        <w:t>in terms of which</w:t>
      </w:r>
      <w:r w:rsidR="00D71520" w:rsidRPr="00170BD2">
        <w:rPr>
          <w:rFonts w:ascii="Times New Roman" w:hAnsi="Times New Roman" w:cs="Times New Roman"/>
          <w:sz w:val="28"/>
          <w:szCs w:val="28"/>
        </w:rPr>
        <w:t xml:space="preserve"> </w:t>
      </w:r>
      <w:r w:rsidR="00DA7FC1">
        <w:rPr>
          <w:rFonts w:ascii="Times New Roman" w:hAnsi="Times New Roman" w:cs="Times New Roman"/>
          <w:sz w:val="28"/>
          <w:szCs w:val="28"/>
        </w:rPr>
        <w:t>it</w:t>
      </w:r>
      <w:r w:rsidR="00D71520" w:rsidRPr="00170BD2">
        <w:rPr>
          <w:rFonts w:ascii="Times New Roman" w:hAnsi="Times New Roman" w:cs="Times New Roman"/>
          <w:sz w:val="28"/>
          <w:szCs w:val="28"/>
        </w:rPr>
        <w:t xml:space="preserve"> granted </w:t>
      </w:r>
      <w:r w:rsidR="00DA7FC1">
        <w:rPr>
          <w:rFonts w:ascii="Times New Roman" w:hAnsi="Times New Roman" w:cs="Times New Roman"/>
          <w:sz w:val="28"/>
          <w:szCs w:val="28"/>
        </w:rPr>
        <w:t>to TQ a</w:t>
      </w:r>
      <w:r w:rsidR="00D71520" w:rsidRPr="00170BD2">
        <w:rPr>
          <w:rFonts w:ascii="Times New Roman" w:hAnsi="Times New Roman" w:cs="Times New Roman"/>
          <w:sz w:val="28"/>
          <w:szCs w:val="28"/>
        </w:rPr>
        <w:t xml:space="preserve"> non-exclusive, personal</w:t>
      </w:r>
      <w:r w:rsidR="008B0C55">
        <w:rPr>
          <w:rFonts w:ascii="Times New Roman" w:hAnsi="Times New Roman" w:cs="Times New Roman"/>
          <w:sz w:val="28"/>
          <w:szCs w:val="28"/>
        </w:rPr>
        <w:t>,</w:t>
      </w:r>
      <w:r w:rsidR="00D71520" w:rsidRPr="00170BD2">
        <w:rPr>
          <w:rFonts w:ascii="Times New Roman" w:hAnsi="Times New Roman" w:cs="Times New Roman"/>
          <w:sz w:val="28"/>
          <w:szCs w:val="28"/>
        </w:rPr>
        <w:t xml:space="preserve"> non-transferable</w:t>
      </w:r>
      <w:r w:rsidR="008B0C55">
        <w:rPr>
          <w:rFonts w:ascii="Times New Roman" w:hAnsi="Times New Roman" w:cs="Times New Roman"/>
          <w:sz w:val="28"/>
          <w:szCs w:val="28"/>
        </w:rPr>
        <w:t>, royalty free and intangible</w:t>
      </w:r>
      <w:r w:rsidR="00D71520" w:rsidRPr="00170BD2">
        <w:rPr>
          <w:rFonts w:ascii="Times New Roman" w:hAnsi="Times New Roman" w:cs="Times New Roman"/>
          <w:sz w:val="28"/>
          <w:szCs w:val="28"/>
        </w:rPr>
        <w:t xml:space="preserve"> right </w:t>
      </w:r>
      <w:r w:rsidR="00DA7FC1">
        <w:rPr>
          <w:rFonts w:ascii="Times New Roman" w:hAnsi="Times New Roman" w:cs="Times New Roman"/>
          <w:sz w:val="28"/>
          <w:szCs w:val="28"/>
        </w:rPr>
        <w:t>to sub-</w:t>
      </w:r>
      <w:r w:rsidR="00DA7FC1" w:rsidRPr="00561C6F">
        <w:rPr>
          <w:rFonts w:ascii="Times New Roman" w:hAnsi="Times New Roman" w:cs="Times New Roman"/>
          <w:sz w:val="28"/>
          <w:szCs w:val="28"/>
        </w:rPr>
        <w:t xml:space="preserve">licence </w:t>
      </w:r>
      <w:r w:rsidR="000E309A" w:rsidRPr="00561C6F">
        <w:rPr>
          <w:rFonts w:ascii="Times New Roman" w:hAnsi="Times New Roman" w:cs="Times New Roman"/>
          <w:sz w:val="28"/>
          <w:szCs w:val="28"/>
        </w:rPr>
        <w:t>a specific</w:t>
      </w:r>
      <w:r w:rsidR="00DA7FC1" w:rsidRPr="0033267A">
        <w:rPr>
          <w:rFonts w:ascii="Times New Roman" w:hAnsi="Times New Roman" w:cs="Times New Roman"/>
          <w:sz w:val="28"/>
          <w:szCs w:val="28"/>
        </w:rPr>
        <w:t xml:space="preserve"> s</w:t>
      </w:r>
      <w:r w:rsidR="00D71520" w:rsidRPr="0033267A">
        <w:rPr>
          <w:rFonts w:ascii="Times New Roman" w:hAnsi="Times New Roman" w:cs="Times New Roman"/>
          <w:sz w:val="28"/>
          <w:szCs w:val="28"/>
        </w:rPr>
        <w:t xml:space="preserve">oftware </w:t>
      </w:r>
      <w:r w:rsidR="00DA7FC1" w:rsidRPr="0033267A">
        <w:rPr>
          <w:rFonts w:ascii="Times New Roman" w:hAnsi="Times New Roman" w:cs="Times New Roman"/>
          <w:sz w:val="28"/>
          <w:szCs w:val="28"/>
        </w:rPr>
        <w:t>s</w:t>
      </w:r>
      <w:r w:rsidR="00D71520" w:rsidRPr="0033267A">
        <w:rPr>
          <w:rFonts w:ascii="Times New Roman" w:hAnsi="Times New Roman" w:cs="Times New Roman"/>
          <w:sz w:val="28"/>
          <w:szCs w:val="28"/>
        </w:rPr>
        <w:t xml:space="preserve">ystem to </w:t>
      </w:r>
      <w:r w:rsidR="00DA7FC1" w:rsidRPr="0033267A">
        <w:rPr>
          <w:rFonts w:ascii="Times New Roman" w:hAnsi="Times New Roman" w:cs="Times New Roman"/>
          <w:sz w:val="28"/>
          <w:szCs w:val="28"/>
        </w:rPr>
        <w:t>the second respondent</w:t>
      </w:r>
      <w:r w:rsidR="00DA7FC1" w:rsidRPr="00F050F9">
        <w:rPr>
          <w:rFonts w:ascii="Times New Roman" w:hAnsi="Times New Roman" w:cs="Times New Roman"/>
          <w:sz w:val="28"/>
          <w:szCs w:val="28"/>
        </w:rPr>
        <w:t>,</w:t>
      </w:r>
      <w:r w:rsidR="00F050F9">
        <w:rPr>
          <w:rFonts w:ascii="Times New Roman" w:hAnsi="Times New Roman" w:cs="Times New Roman"/>
          <w:sz w:val="28"/>
          <w:szCs w:val="28"/>
        </w:rPr>
        <w:t xml:space="preserve"> </w:t>
      </w:r>
      <w:r w:rsidR="003A087A" w:rsidRPr="0033267A">
        <w:rPr>
          <w:rFonts w:ascii="Times New Roman" w:hAnsi="Times New Roman" w:cs="Times New Roman"/>
          <w:sz w:val="28"/>
          <w:szCs w:val="28"/>
        </w:rPr>
        <w:t>SAPO</w:t>
      </w:r>
      <w:r w:rsidR="00D71520" w:rsidRPr="0033267A">
        <w:rPr>
          <w:rFonts w:ascii="Times New Roman" w:hAnsi="Times New Roman" w:cs="Times New Roman"/>
          <w:sz w:val="28"/>
          <w:szCs w:val="28"/>
        </w:rPr>
        <w:t xml:space="preserve">. </w:t>
      </w:r>
      <w:r w:rsidR="00046654" w:rsidRPr="0033267A">
        <w:rPr>
          <w:rFonts w:ascii="Times New Roman" w:hAnsi="Times New Roman" w:cs="Times New Roman"/>
          <w:sz w:val="28"/>
          <w:szCs w:val="28"/>
        </w:rPr>
        <w:t>A</w:t>
      </w:r>
      <w:r w:rsidR="00D71520" w:rsidRPr="0033267A">
        <w:rPr>
          <w:rFonts w:ascii="Times New Roman" w:hAnsi="Times New Roman" w:cs="Times New Roman"/>
          <w:sz w:val="28"/>
          <w:szCs w:val="28"/>
        </w:rPr>
        <w:t xml:space="preserve"> </w:t>
      </w:r>
      <w:r w:rsidR="00046654" w:rsidRPr="0033267A">
        <w:rPr>
          <w:rFonts w:ascii="Times New Roman" w:hAnsi="Times New Roman" w:cs="Times New Roman"/>
          <w:sz w:val="28"/>
          <w:szCs w:val="28"/>
        </w:rPr>
        <w:t>related</w:t>
      </w:r>
      <w:r w:rsidR="00046654">
        <w:rPr>
          <w:rFonts w:ascii="Times New Roman" w:hAnsi="Times New Roman" w:cs="Times New Roman"/>
          <w:sz w:val="28"/>
          <w:szCs w:val="28"/>
        </w:rPr>
        <w:t xml:space="preserve"> sub-licence agreement</w:t>
      </w:r>
      <w:r w:rsidR="00D71520" w:rsidRPr="00170BD2">
        <w:rPr>
          <w:rFonts w:ascii="Times New Roman" w:hAnsi="Times New Roman" w:cs="Times New Roman"/>
          <w:sz w:val="28"/>
          <w:szCs w:val="28"/>
        </w:rPr>
        <w:t xml:space="preserve"> concluded between TQ and SAPO </w:t>
      </w:r>
      <w:r w:rsidR="00046654">
        <w:rPr>
          <w:rFonts w:ascii="Times New Roman" w:hAnsi="Times New Roman" w:cs="Times New Roman"/>
          <w:sz w:val="28"/>
          <w:szCs w:val="28"/>
        </w:rPr>
        <w:t xml:space="preserve">authorised TQ to </w:t>
      </w:r>
      <w:r w:rsidR="00046654" w:rsidRPr="0064053B">
        <w:rPr>
          <w:rFonts w:ascii="Times New Roman" w:hAnsi="Times New Roman" w:cs="Times New Roman"/>
          <w:sz w:val="28"/>
          <w:szCs w:val="28"/>
        </w:rPr>
        <w:t>‘</w:t>
      </w:r>
      <w:r w:rsidR="000450C6" w:rsidRPr="0064053B">
        <w:rPr>
          <w:rFonts w:ascii="Times New Roman" w:hAnsi="Times New Roman" w:cs="Times New Roman"/>
          <w:sz w:val="28"/>
          <w:szCs w:val="28"/>
        </w:rPr>
        <w:t xml:space="preserve">. . . </w:t>
      </w:r>
      <w:r w:rsidR="000450C6" w:rsidRPr="00DA688C">
        <w:rPr>
          <w:rFonts w:ascii="Times New Roman" w:hAnsi="Times New Roman" w:cs="Times New Roman"/>
          <w:bCs/>
          <w:sz w:val="28"/>
          <w:szCs w:val="28"/>
          <w:lang w:val="en-US"/>
        </w:rPr>
        <w:t>grant to the Bank</w:t>
      </w:r>
      <w:r w:rsidR="008B0C55">
        <w:rPr>
          <w:rFonts w:ascii="Times New Roman" w:hAnsi="Times New Roman" w:cs="Times New Roman"/>
          <w:bCs/>
          <w:sz w:val="28"/>
          <w:szCs w:val="28"/>
          <w:lang w:val="en-US"/>
        </w:rPr>
        <w:t xml:space="preserve"> </w:t>
      </w:r>
      <w:r w:rsidR="0064053B">
        <w:rPr>
          <w:rFonts w:ascii="Times New Roman" w:hAnsi="Times New Roman" w:cs="Times New Roman"/>
          <w:bCs/>
          <w:sz w:val="28"/>
          <w:szCs w:val="28"/>
          <w:lang w:val="en-US"/>
        </w:rPr>
        <w:t>[</w:t>
      </w:r>
      <w:r w:rsidR="000450C6" w:rsidRPr="00DA688C">
        <w:rPr>
          <w:rFonts w:ascii="Times New Roman" w:hAnsi="Times New Roman" w:cs="Times New Roman"/>
          <w:bCs/>
          <w:sz w:val="28"/>
          <w:szCs w:val="28"/>
          <w:lang w:val="en-US"/>
        </w:rPr>
        <w:t>SAPO</w:t>
      </w:r>
      <w:r w:rsidR="0064053B">
        <w:rPr>
          <w:rFonts w:ascii="Times New Roman" w:hAnsi="Times New Roman" w:cs="Times New Roman"/>
          <w:bCs/>
          <w:sz w:val="28"/>
          <w:szCs w:val="28"/>
          <w:lang w:val="en-US"/>
        </w:rPr>
        <w:t>]</w:t>
      </w:r>
      <w:r w:rsidR="000450C6" w:rsidRPr="00DA688C">
        <w:rPr>
          <w:rFonts w:ascii="Times New Roman" w:hAnsi="Times New Roman" w:cs="Times New Roman"/>
          <w:bCs/>
          <w:sz w:val="28"/>
          <w:szCs w:val="28"/>
          <w:lang w:val="en-US"/>
        </w:rPr>
        <w:t xml:space="preserve"> and the Bank [to] accept the non-exclusive, personal, non-transferable, royalty-free and in</w:t>
      </w:r>
      <w:r w:rsidR="00A17369">
        <w:rPr>
          <w:rFonts w:ascii="Times New Roman" w:hAnsi="Times New Roman" w:cs="Times New Roman"/>
          <w:bCs/>
          <w:sz w:val="28"/>
          <w:szCs w:val="28"/>
          <w:lang w:val="en-US"/>
        </w:rPr>
        <w:t>tangible right [the Sub-licence]</w:t>
      </w:r>
      <w:r w:rsidR="000450C6" w:rsidRPr="00DA688C">
        <w:rPr>
          <w:rFonts w:ascii="Times New Roman" w:hAnsi="Times New Roman" w:cs="Times New Roman"/>
          <w:bCs/>
          <w:sz w:val="28"/>
          <w:szCs w:val="28"/>
          <w:lang w:val="en-US"/>
        </w:rPr>
        <w:t xml:space="preserve"> to </w:t>
      </w:r>
      <w:r w:rsidR="0064053B">
        <w:rPr>
          <w:rFonts w:ascii="Times New Roman" w:hAnsi="Times New Roman" w:cs="Times New Roman"/>
          <w:bCs/>
          <w:sz w:val="28"/>
          <w:szCs w:val="28"/>
          <w:lang w:val="en-US"/>
        </w:rPr>
        <w:t>[u]</w:t>
      </w:r>
      <w:r w:rsidR="000450C6" w:rsidRPr="00DA688C">
        <w:rPr>
          <w:rFonts w:ascii="Times New Roman" w:hAnsi="Times New Roman" w:cs="Times New Roman"/>
          <w:bCs/>
          <w:sz w:val="28"/>
          <w:szCs w:val="28"/>
          <w:lang w:val="en-US"/>
        </w:rPr>
        <w:t>se the Software System’</w:t>
      </w:r>
      <w:r w:rsidR="00046654" w:rsidRPr="0064053B">
        <w:rPr>
          <w:rFonts w:ascii="Times New Roman" w:hAnsi="Times New Roman" w:cs="Times New Roman"/>
          <w:sz w:val="28"/>
          <w:szCs w:val="28"/>
        </w:rPr>
        <w:t xml:space="preserve"> </w:t>
      </w:r>
      <w:r w:rsidR="00D71520" w:rsidRPr="0064053B">
        <w:rPr>
          <w:rFonts w:ascii="Times New Roman" w:hAnsi="Times New Roman" w:cs="Times New Roman"/>
          <w:sz w:val="28"/>
          <w:szCs w:val="28"/>
        </w:rPr>
        <w:t>f</w:t>
      </w:r>
      <w:r w:rsidR="00D71520" w:rsidRPr="00170BD2">
        <w:rPr>
          <w:rFonts w:ascii="Times New Roman" w:hAnsi="Times New Roman" w:cs="Times New Roman"/>
          <w:sz w:val="28"/>
          <w:szCs w:val="28"/>
        </w:rPr>
        <w:t>or its own business purposes.</w:t>
      </w:r>
    </w:p>
    <w:p w14:paraId="4EBD621E" w14:textId="77777777" w:rsidR="00D71520" w:rsidRPr="00170BD2" w:rsidRDefault="00D71520" w:rsidP="00D71520">
      <w:pPr>
        <w:spacing w:after="0" w:line="360" w:lineRule="auto"/>
        <w:jc w:val="both"/>
        <w:rPr>
          <w:rFonts w:ascii="Times New Roman" w:hAnsi="Times New Roman" w:cs="Times New Roman"/>
          <w:sz w:val="28"/>
          <w:szCs w:val="28"/>
        </w:rPr>
      </w:pPr>
    </w:p>
    <w:p w14:paraId="5269FE80" w14:textId="2D315853" w:rsidR="00330D3D" w:rsidRDefault="00330D3D" w:rsidP="00D71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0450C6">
        <w:rPr>
          <w:rFonts w:ascii="Times New Roman" w:hAnsi="Times New Roman" w:cs="Times New Roman"/>
          <w:sz w:val="28"/>
          <w:szCs w:val="28"/>
        </w:rPr>
        <w:t>Both the licence and sub-</w:t>
      </w:r>
      <w:r w:rsidR="000450C6" w:rsidRPr="00274576">
        <w:rPr>
          <w:rFonts w:ascii="Times New Roman" w:hAnsi="Times New Roman" w:cs="Times New Roman"/>
          <w:sz w:val="28"/>
          <w:szCs w:val="28"/>
        </w:rPr>
        <w:t>licence agreements</w:t>
      </w:r>
      <w:r w:rsidR="008A277C" w:rsidRPr="00274576">
        <w:rPr>
          <w:rFonts w:ascii="Times New Roman" w:hAnsi="Times New Roman" w:cs="Times New Roman"/>
          <w:sz w:val="28"/>
          <w:szCs w:val="28"/>
        </w:rPr>
        <w:t xml:space="preserve"> (</w:t>
      </w:r>
      <w:r w:rsidR="000E309A" w:rsidRPr="00274576">
        <w:rPr>
          <w:rFonts w:ascii="Times New Roman" w:hAnsi="Times New Roman" w:cs="Times New Roman"/>
          <w:sz w:val="28"/>
          <w:szCs w:val="28"/>
        </w:rPr>
        <w:t>collectively referred to as the</w:t>
      </w:r>
      <w:r w:rsidR="000E309A">
        <w:rPr>
          <w:rFonts w:ascii="Times New Roman" w:hAnsi="Times New Roman" w:cs="Times New Roman"/>
          <w:sz w:val="28"/>
          <w:szCs w:val="28"/>
        </w:rPr>
        <w:t xml:space="preserve"> </w:t>
      </w:r>
      <w:r w:rsidR="008A277C">
        <w:rPr>
          <w:rFonts w:ascii="Times New Roman" w:hAnsi="Times New Roman" w:cs="Times New Roman"/>
          <w:sz w:val="28"/>
          <w:szCs w:val="28"/>
        </w:rPr>
        <w:t>licence agreements)</w:t>
      </w:r>
      <w:r w:rsidR="007F504A">
        <w:rPr>
          <w:rFonts w:ascii="Times New Roman" w:hAnsi="Times New Roman" w:cs="Times New Roman"/>
          <w:sz w:val="28"/>
          <w:szCs w:val="28"/>
        </w:rPr>
        <w:t xml:space="preserve"> contained</w:t>
      </w:r>
      <w:r w:rsidR="000450C6">
        <w:rPr>
          <w:rFonts w:ascii="Times New Roman" w:hAnsi="Times New Roman" w:cs="Times New Roman"/>
          <w:sz w:val="28"/>
          <w:szCs w:val="28"/>
        </w:rPr>
        <w:t xml:space="preserve"> </w:t>
      </w:r>
      <w:r w:rsidR="00D71520" w:rsidRPr="00170BD2">
        <w:rPr>
          <w:rFonts w:ascii="Times New Roman" w:hAnsi="Times New Roman" w:cs="Times New Roman"/>
          <w:sz w:val="28"/>
          <w:szCs w:val="28"/>
        </w:rPr>
        <w:t>arb</w:t>
      </w:r>
      <w:r w:rsidR="007F504A">
        <w:rPr>
          <w:rFonts w:ascii="Times New Roman" w:hAnsi="Times New Roman" w:cs="Times New Roman"/>
          <w:sz w:val="28"/>
          <w:szCs w:val="28"/>
        </w:rPr>
        <w:t>itration and</w:t>
      </w:r>
      <w:r w:rsidR="000450C6">
        <w:rPr>
          <w:rFonts w:ascii="Times New Roman" w:hAnsi="Times New Roman" w:cs="Times New Roman"/>
          <w:sz w:val="28"/>
          <w:szCs w:val="28"/>
        </w:rPr>
        <w:t xml:space="preserve"> governing law</w:t>
      </w:r>
      <w:r w:rsidR="007F504A">
        <w:rPr>
          <w:rFonts w:ascii="Times New Roman" w:hAnsi="Times New Roman" w:cs="Times New Roman"/>
          <w:sz w:val="28"/>
          <w:szCs w:val="28"/>
        </w:rPr>
        <w:t>s</w:t>
      </w:r>
      <w:r w:rsidR="000450C6">
        <w:rPr>
          <w:rFonts w:ascii="Times New Roman" w:hAnsi="Times New Roman" w:cs="Times New Roman"/>
          <w:sz w:val="28"/>
          <w:szCs w:val="28"/>
        </w:rPr>
        <w:t xml:space="preserve"> clause</w:t>
      </w:r>
      <w:r w:rsidR="007F504A">
        <w:rPr>
          <w:rFonts w:ascii="Times New Roman" w:hAnsi="Times New Roman" w:cs="Times New Roman"/>
          <w:sz w:val="28"/>
          <w:szCs w:val="28"/>
        </w:rPr>
        <w:t>s</w:t>
      </w:r>
      <w:r w:rsidR="000450C6">
        <w:rPr>
          <w:rFonts w:ascii="Times New Roman" w:hAnsi="Times New Roman" w:cs="Times New Roman"/>
          <w:sz w:val="28"/>
          <w:szCs w:val="28"/>
        </w:rPr>
        <w:t xml:space="preserve"> in terms of which disputes between the parties </w:t>
      </w:r>
      <w:r w:rsidR="00A17369">
        <w:rPr>
          <w:rFonts w:ascii="Times New Roman" w:hAnsi="Times New Roman" w:cs="Times New Roman"/>
          <w:sz w:val="28"/>
          <w:szCs w:val="28"/>
        </w:rPr>
        <w:t xml:space="preserve">thereto </w:t>
      </w:r>
      <w:r w:rsidR="000450C6">
        <w:rPr>
          <w:rFonts w:ascii="Times New Roman" w:hAnsi="Times New Roman" w:cs="Times New Roman"/>
          <w:sz w:val="28"/>
          <w:szCs w:val="28"/>
        </w:rPr>
        <w:t>would be referred</w:t>
      </w:r>
      <w:r w:rsidR="007F504A">
        <w:rPr>
          <w:rFonts w:ascii="Times New Roman" w:hAnsi="Times New Roman" w:cs="Times New Roman"/>
          <w:sz w:val="28"/>
          <w:szCs w:val="28"/>
        </w:rPr>
        <w:t xml:space="preserve"> to arbitration. T</w:t>
      </w:r>
      <w:r w:rsidR="008A277C">
        <w:rPr>
          <w:rFonts w:ascii="Times New Roman" w:hAnsi="Times New Roman" w:cs="Times New Roman"/>
          <w:sz w:val="28"/>
          <w:szCs w:val="28"/>
        </w:rPr>
        <w:t xml:space="preserve">he </w:t>
      </w:r>
      <w:r w:rsidR="000450C6">
        <w:rPr>
          <w:rFonts w:ascii="Times New Roman" w:hAnsi="Times New Roman" w:cs="Times New Roman"/>
          <w:sz w:val="28"/>
          <w:szCs w:val="28"/>
        </w:rPr>
        <w:t xml:space="preserve">licence </w:t>
      </w:r>
      <w:r w:rsidR="007F504A">
        <w:rPr>
          <w:rFonts w:ascii="Times New Roman" w:hAnsi="Times New Roman" w:cs="Times New Roman"/>
          <w:sz w:val="28"/>
          <w:szCs w:val="28"/>
        </w:rPr>
        <w:t xml:space="preserve">agreement </w:t>
      </w:r>
      <w:r w:rsidR="00DA688C">
        <w:rPr>
          <w:rFonts w:ascii="Times New Roman" w:hAnsi="Times New Roman" w:cs="Times New Roman"/>
          <w:sz w:val="28"/>
          <w:szCs w:val="28"/>
        </w:rPr>
        <w:t>stipulated that any</w:t>
      </w:r>
      <w:r w:rsidR="000450C6">
        <w:rPr>
          <w:rFonts w:ascii="Times New Roman" w:hAnsi="Times New Roman" w:cs="Times New Roman"/>
          <w:sz w:val="28"/>
          <w:szCs w:val="28"/>
        </w:rPr>
        <w:t xml:space="preserve"> dispute </w:t>
      </w:r>
      <w:r w:rsidR="00DA688C">
        <w:rPr>
          <w:rFonts w:ascii="Times New Roman" w:hAnsi="Times New Roman" w:cs="Times New Roman"/>
          <w:sz w:val="28"/>
          <w:szCs w:val="28"/>
        </w:rPr>
        <w:t xml:space="preserve">between I-Flex and TQ </w:t>
      </w:r>
      <w:r w:rsidR="000450C6">
        <w:rPr>
          <w:rFonts w:ascii="Times New Roman" w:hAnsi="Times New Roman" w:cs="Times New Roman"/>
          <w:sz w:val="28"/>
          <w:szCs w:val="28"/>
        </w:rPr>
        <w:t>would be referred to international arbitration in London</w:t>
      </w:r>
      <w:r w:rsidR="007F504A">
        <w:rPr>
          <w:rFonts w:ascii="Times New Roman" w:hAnsi="Times New Roman" w:cs="Times New Roman"/>
          <w:sz w:val="28"/>
          <w:szCs w:val="28"/>
        </w:rPr>
        <w:t>,</w:t>
      </w:r>
      <w:r w:rsidR="000450C6">
        <w:rPr>
          <w:rFonts w:ascii="Times New Roman" w:hAnsi="Times New Roman" w:cs="Times New Roman"/>
          <w:sz w:val="28"/>
          <w:szCs w:val="28"/>
        </w:rPr>
        <w:t xml:space="preserve"> England to be determined in terms of the </w:t>
      </w:r>
      <w:r w:rsidR="007F504A">
        <w:rPr>
          <w:rFonts w:ascii="Times New Roman" w:hAnsi="Times New Roman" w:cs="Times New Roman"/>
          <w:sz w:val="28"/>
          <w:szCs w:val="28"/>
        </w:rPr>
        <w:t>l</w:t>
      </w:r>
      <w:r w:rsidR="000450C6">
        <w:rPr>
          <w:rFonts w:ascii="Times New Roman" w:hAnsi="Times New Roman" w:cs="Times New Roman"/>
          <w:sz w:val="28"/>
          <w:szCs w:val="28"/>
        </w:rPr>
        <w:t>aws of England</w:t>
      </w:r>
      <w:r w:rsidR="007E5E05">
        <w:rPr>
          <w:rFonts w:ascii="Times New Roman" w:hAnsi="Times New Roman" w:cs="Times New Roman"/>
          <w:sz w:val="28"/>
          <w:szCs w:val="28"/>
        </w:rPr>
        <w:t>.</w:t>
      </w:r>
      <w:r w:rsidR="000450C6">
        <w:rPr>
          <w:rFonts w:ascii="Times New Roman" w:hAnsi="Times New Roman" w:cs="Times New Roman"/>
          <w:sz w:val="28"/>
          <w:szCs w:val="28"/>
        </w:rPr>
        <w:t xml:space="preserve"> </w:t>
      </w:r>
      <w:r w:rsidR="007E5E05">
        <w:rPr>
          <w:rFonts w:ascii="Times New Roman" w:hAnsi="Times New Roman" w:cs="Times New Roman"/>
          <w:sz w:val="28"/>
          <w:szCs w:val="28"/>
        </w:rPr>
        <w:t>The</w:t>
      </w:r>
      <w:r w:rsidR="000450C6">
        <w:rPr>
          <w:rFonts w:ascii="Times New Roman" w:hAnsi="Times New Roman" w:cs="Times New Roman"/>
          <w:sz w:val="28"/>
          <w:szCs w:val="28"/>
        </w:rPr>
        <w:t xml:space="preserve"> sub</w:t>
      </w:r>
      <w:r w:rsidR="007F504A">
        <w:rPr>
          <w:rFonts w:ascii="Times New Roman" w:hAnsi="Times New Roman" w:cs="Times New Roman"/>
          <w:sz w:val="28"/>
          <w:szCs w:val="28"/>
        </w:rPr>
        <w:t>-</w:t>
      </w:r>
      <w:r w:rsidR="000450C6">
        <w:rPr>
          <w:rFonts w:ascii="Times New Roman" w:hAnsi="Times New Roman" w:cs="Times New Roman"/>
          <w:sz w:val="28"/>
          <w:szCs w:val="28"/>
        </w:rPr>
        <w:t>li</w:t>
      </w:r>
      <w:r w:rsidR="00DA688C">
        <w:rPr>
          <w:rFonts w:ascii="Times New Roman" w:hAnsi="Times New Roman" w:cs="Times New Roman"/>
          <w:sz w:val="28"/>
          <w:szCs w:val="28"/>
        </w:rPr>
        <w:t>cence agreement provided that any</w:t>
      </w:r>
      <w:r w:rsidR="00795876">
        <w:rPr>
          <w:rFonts w:ascii="Times New Roman" w:hAnsi="Times New Roman" w:cs="Times New Roman"/>
          <w:sz w:val="28"/>
          <w:szCs w:val="28"/>
        </w:rPr>
        <w:t xml:space="preserve"> dispute </w:t>
      </w:r>
      <w:r w:rsidR="00DA688C">
        <w:rPr>
          <w:rFonts w:ascii="Times New Roman" w:hAnsi="Times New Roman" w:cs="Times New Roman"/>
          <w:sz w:val="28"/>
          <w:szCs w:val="28"/>
        </w:rPr>
        <w:t xml:space="preserve">between TQ and SAPO </w:t>
      </w:r>
      <w:r w:rsidR="00795876">
        <w:rPr>
          <w:rFonts w:ascii="Times New Roman" w:hAnsi="Times New Roman" w:cs="Times New Roman"/>
          <w:sz w:val="28"/>
          <w:szCs w:val="28"/>
        </w:rPr>
        <w:t>would be determined in South A</w:t>
      </w:r>
      <w:r w:rsidR="007F504A">
        <w:rPr>
          <w:rFonts w:ascii="Times New Roman" w:hAnsi="Times New Roman" w:cs="Times New Roman"/>
          <w:sz w:val="28"/>
          <w:szCs w:val="28"/>
        </w:rPr>
        <w:t>frica, according to</w:t>
      </w:r>
      <w:r w:rsidR="00795876">
        <w:rPr>
          <w:rFonts w:ascii="Times New Roman" w:hAnsi="Times New Roman" w:cs="Times New Roman"/>
          <w:sz w:val="28"/>
          <w:szCs w:val="28"/>
        </w:rPr>
        <w:t xml:space="preserve"> South African laws</w:t>
      </w:r>
      <w:r w:rsidR="007E5E05">
        <w:rPr>
          <w:rFonts w:ascii="Times New Roman" w:hAnsi="Times New Roman" w:cs="Times New Roman"/>
          <w:sz w:val="28"/>
          <w:szCs w:val="28"/>
        </w:rPr>
        <w:t>,</w:t>
      </w:r>
      <w:r w:rsidR="00795876">
        <w:rPr>
          <w:rFonts w:ascii="Times New Roman" w:hAnsi="Times New Roman" w:cs="Times New Roman"/>
          <w:sz w:val="28"/>
          <w:szCs w:val="28"/>
        </w:rPr>
        <w:t xml:space="preserve"> and the rules of arbitration of the International Chamber of Commerce</w:t>
      </w:r>
      <w:r w:rsidR="007F504A">
        <w:rPr>
          <w:rFonts w:ascii="Times New Roman" w:hAnsi="Times New Roman" w:cs="Times New Roman"/>
          <w:sz w:val="28"/>
          <w:szCs w:val="28"/>
        </w:rPr>
        <w:t xml:space="preserve"> </w:t>
      </w:r>
      <w:r w:rsidR="003A087A">
        <w:rPr>
          <w:rFonts w:ascii="Times New Roman" w:hAnsi="Times New Roman" w:cs="Times New Roman"/>
          <w:sz w:val="28"/>
          <w:szCs w:val="28"/>
        </w:rPr>
        <w:t>(ICC)</w:t>
      </w:r>
      <w:r w:rsidR="00CE5486">
        <w:rPr>
          <w:rStyle w:val="FootnoteReference"/>
          <w:rFonts w:ascii="Times New Roman" w:hAnsi="Times New Roman" w:cs="Times New Roman"/>
          <w:sz w:val="28"/>
          <w:szCs w:val="28"/>
        </w:rPr>
        <w:footnoteReference w:id="1"/>
      </w:r>
      <w:r w:rsidR="003A087A">
        <w:rPr>
          <w:rFonts w:ascii="Times New Roman" w:hAnsi="Times New Roman" w:cs="Times New Roman"/>
          <w:sz w:val="28"/>
          <w:szCs w:val="28"/>
        </w:rPr>
        <w:t xml:space="preserve"> </w:t>
      </w:r>
      <w:r w:rsidR="007F504A">
        <w:rPr>
          <w:rFonts w:ascii="Times New Roman" w:hAnsi="Times New Roman" w:cs="Times New Roman"/>
          <w:sz w:val="28"/>
          <w:szCs w:val="28"/>
        </w:rPr>
        <w:t>would b</w:t>
      </w:r>
      <w:r w:rsidR="00BE1ECA">
        <w:rPr>
          <w:rFonts w:ascii="Times New Roman" w:hAnsi="Times New Roman" w:cs="Times New Roman"/>
          <w:sz w:val="28"/>
          <w:szCs w:val="28"/>
        </w:rPr>
        <w:t>e</w:t>
      </w:r>
      <w:r w:rsidR="007F504A">
        <w:rPr>
          <w:rFonts w:ascii="Times New Roman" w:hAnsi="Times New Roman" w:cs="Times New Roman"/>
          <w:sz w:val="28"/>
          <w:szCs w:val="28"/>
        </w:rPr>
        <w:t xml:space="preserve"> applicable</w:t>
      </w:r>
      <w:r w:rsidR="00795876">
        <w:rPr>
          <w:rFonts w:ascii="Times New Roman" w:hAnsi="Times New Roman" w:cs="Times New Roman"/>
          <w:sz w:val="28"/>
          <w:szCs w:val="28"/>
        </w:rPr>
        <w:t>.</w:t>
      </w:r>
      <w:r w:rsidR="00795876">
        <w:rPr>
          <w:rStyle w:val="FootnoteReference"/>
          <w:rFonts w:ascii="Times New Roman" w:hAnsi="Times New Roman" w:cs="Times New Roman"/>
          <w:sz w:val="28"/>
          <w:szCs w:val="28"/>
        </w:rPr>
        <w:footnoteReference w:id="2"/>
      </w:r>
    </w:p>
    <w:p w14:paraId="306B9D1B" w14:textId="0BE47B71" w:rsidR="00E22E4B" w:rsidRDefault="008E181A" w:rsidP="00E22E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E22E4B">
        <w:rPr>
          <w:rFonts w:ascii="Times New Roman" w:hAnsi="Times New Roman" w:cs="Times New Roman"/>
          <w:sz w:val="28"/>
          <w:szCs w:val="28"/>
        </w:rPr>
        <w:t>]</w:t>
      </w:r>
      <w:r w:rsidR="00E22E4B">
        <w:rPr>
          <w:rFonts w:ascii="Times New Roman" w:hAnsi="Times New Roman" w:cs="Times New Roman"/>
          <w:sz w:val="28"/>
          <w:szCs w:val="28"/>
        </w:rPr>
        <w:tab/>
      </w:r>
      <w:r w:rsidR="00BE1ECA">
        <w:rPr>
          <w:rFonts w:ascii="Times New Roman" w:hAnsi="Times New Roman" w:cs="Times New Roman"/>
          <w:sz w:val="28"/>
          <w:szCs w:val="28"/>
        </w:rPr>
        <w:t xml:space="preserve">Both agreements </w:t>
      </w:r>
      <w:r w:rsidR="00E22E4B">
        <w:rPr>
          <w:rFonts w:ascii="Times New Roman" w:hAnsi="Times New Roman" w:cs="Times New Roman"/>
          <w:sz w:val="28"/>
          <w:szCs w:val="28"/>
        </w:rPr>
        <w:t>had a non-variation clause in ter</w:t>
      </w:r>
      <w:r w:rsidR="007B74DA">
        <w:rPr>
          <w:rFonts w:ascii="Times New Roman" w:hAnsi="Times New Roman" w:cs="Times New Roman"/>
          <w:sz w:val="28"/>
          <w:szCs w:val="28"/>
        </w:rPr>
        <w:t>ms of which each</w:t>
      </w:r>
      <w:r w:rsidR="00003955">
        <w:rPr>
          <w:rFonts w:ascii="Times New Roman" w:hAnsi="Times New Roman" w:cs="Times New Roman"/>
          <w:sz w:val="28"/>
          <w:szCs w:val="28"/>
        </w:rPr>
        <w:t xml:space="preserve"> written </w:t>
      </w:r>
      <w:r w:rsidR="00E22E4B" w:rsidRPr="00003955">
        <w:rPr>
          <w:rFonts w:ascii="Times New Roman" w:hAnsi="Times New Roman" w:cs="Times New Roman"/>
          <w:sz w:val="28"/>
          <w:szCs w:val="28"/>
        </w:rPr>
        <w:t>agreement</w:t>
      </w:r>
      <w:r w:rsidR="00E22E4B">
        <w:rPr>
          <w:rFonts w:ascii="Times New Roman" w:hAnsi="Times New Roman" w:cs="Times New Roman"/>
          <w:sz w:val="28"/>
          <w:szCs w:val="28"/>
        </w:rPr>
        <w:t xml:space="preserve"> c</w:t>
      </w:r>
      <w:r w:rsidR="00BE1ECA">
        <w:rPr>
          <w:rFonts w:ascii="Times New Roman" w:hAnsi="Times New Roman" w:cs="Times New Roman"/>
          <w:sz w:val="28"/>
          <w:szCs w:val="28"/>
        </w:rPr>
        <w:t>onstituted the entire agreement.</w:t>
      </w:r>
      <w:r w:rsidR="00E22E4B">
        <w:rPr>
          <w:rFonts w:ascii="Times New Roman" w:hAnsi="Times New Roman" w:cs="Times New Roman"/>
          <w:sz w:val="28"/>
          <w:szCs w:val="28"/>
        </w:rPr>
        <w:t xml:space="preserve"> </w:t>
      </w:r>
      <w:r w:rsidR="00BE1ECA">
        <w:rPr>
          <w:rFonts w:ascii="Times New Roman" w:hAnsi="Times New Roman" w:cs="Times New Roman"/>
          <w:sz w:val="28"/>
          <w:szCs w:val="28"/>
        </w:rPr>
        <w:t>N</w:t>
      </w:r>
      <w:r w:rsidR="00E22E4B" w:rsidRPr="00170BD2">
        <w:rPr>
          <w:rFonts w:ascii="Times New Roman" w:hAnsi="Times New Roman" w:cs="Times New Roman"/>
          <w:sz w:val="28"/>
          <w:szCs w:val="28"/>
        </w:rPr>
        <w:t xml:space="preserve">o variation thereof would be binding unless </w:t>
      </w:r>
      <w:r w:rsidR="00E22E4B">
        <w:rPr>
          <w:rFonts w:ascii="Times New Roman" w:hAnsi="Times New Roman" w:cs="Times New Roman"/>
          <w:sz w:val="28"/>
          <w:szCs w:val="28"/>
        </w:rPr>
        <w:t>it</w:t>
      </w:r>
      <w:r w:rsidR="00E22E4B" w:rsidRPr="00170BD2">
        <w:rPr>
          <w:rFonts w:ascii="Times New Roman" w:hAnsi="Times New Roman" w:cs="Times New Roman"/>
          <w:sz w:val="28"/>
          <w:szCs w:val="28"/>
        </w:rPr>
        <w:t xml:space="preserve"> was incorporated in a revised schedule to the agreement and signed by the </w:t>
      </w:r>
      <w:r w:rsidR="00E824C1">
        <w:rPr>
          <w:rFonts w:ascii="Times New Roman" w:hAnsi="Times New Roman" w:cs="Times New Roman"/>
          <w:sz w:val="28"/>
          <w:szCs w:val="28"/>
        </w:rPr>
        <w:t xml:space="preserve">respective </w:t>
      </w:r>
      <w:r w:rsidR="00E22E4B" w:rsidRPr="00170BD2">
        <w:rPr>
          <w:rFonts w:ascii="Times New Roman" w:hAnsi="Times New Roman" w:cs="Times New Roman"/>
          <w:sz w:val="28"/>
          <w:szCs w:val="28"/>
        </w:rPr>
        <w:t xml:space="preserve">parties. </w:t>
      </w:r>
    </w:p>
    <w:p w14:paraId="3ECEB92F" w14:textId="77777777" w:rsidR="00003955" w:rsidRDefault="00003955" w:rsidP="00E22E4B">
      <w:pPr>
        <w:spacing w:after="0" w:line="360" w:lineRule="auto"/>
        <w:jc w:val="both"/>
        <w:rPr>
          <w:rFonts w:ascii="Times New Roman" w:hAnsi="Times New Roman" w:cs="Times New Roman"/>
          <w:sz w:val="28"/>
          <w:szCs w:val="28"/>
        </w:rPr>
      </w:pPr>
    </w:p>
    <w:p w14:paraId="2B76D121" w14:textId="03332CFE" w:rsidR="00AE1009" w:rsidRDefault="008E181A" w:rsidP="007E5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22E4B" w:rsidRPr="00E65036">
        <w:rPr>
          <w:rFonts w:ascii="Times New Roman" w:hAnsi="Times New Roman" w:cs="Times New Roman"/>
          <w:sz w:val="28"/>
          <w:szCs w:val="28"/>
        </w:rPr>
        <w:t>]</w:t>
      </w:r>
      <w:r w:rsidR="00E22E4B" w:rsidRPr="00E65036">
        <w:rPr>
          <w:rFonts w:ascii="Times New Roman" w:hAnsi="Times New Roman" w:cs="Times New Roman"/>
          <w:sz w:val="28"/>
          <w:szCs w:val="28"/>
        </w:rPr>
        <w:tab/>
      </w:r>
      <w:r w:rsidR="00D71520" w:rsidRPr="00E65036">
        <w:rPr>
          <w:rFonts w:ascii="Times New Roman" w:hAnsi="Times New Roman" w:cs="Times New Roman"/>
          <w:sz w:val="28"/>
          <w:szCs w:val="28"/>
        </w:rPr>
        <w:t xml:space="preserve">In 2005 Oracle </w:t>
      </w:r>
      <w:r w:rsidR="00E22E4B" w:rsidRPr="00E65036">
        <w:rPr>
          <w:rFonts w:ascii="Times New Roman" w:hAnsi="Times New Roman" w:cs="Times New Roman"/>
          <w:sz w:val="28"/>
          <w:szCs w:val="28"/>
        </w:rPr>
        <w:t>acquired</w:t>
      </w:r>
      <w:r w:rsidR="003C1964">
        <w:rPr>
          <w:rFonts w:ascii="Times New Roman" w:hAnsi="Times New Roman" w:cs="Times New Roman"/>
          <w:sz w:val="28"/>
          <w:szCs w:val="28"/>
        </w:rPr>
        <w:t xml:space="preserve"> the I-Flex</w:t>
      </w:r>
      <w:r w:rsidR="00D71520" w:rsidRPr="00E65036">
        <w:rPr>
          <w:rFonts w:ascii="Times New Roman" w:hAnsi="Times New Roman" w:cs="Times New Roman"/>
          <w:sz w:val="28"/>
          <w:szCs w:val="28"/>
        </w:rPr>
        <w:t xml:space="preserve"> business and beca</w:t>
      </w:r>
      <w:r w:rsidR="003C1964">
        <w:rPr>
          <w:rFonts w:ascii="Times New Roman" w:hAnsi="Times New Roman" w:cs="Times New Roman"/>
          <w:sz w:val="28"/>
          <w:szCs w:val="28"/>
        </w:rPr>
        <w:t>me the latter’s</w:t>
      </w:r>
      <w:r w:rsidR="00E65036">
        <w:rPr>
          <w:rFonts w:ascii="Times New Roman" w:hAnsi="Times New Roman" w:cs="Times New Roman"/>
          <w:sz w:val="28"/>
          <w:szCs w:val="28"/>
        </w:rPr>
        <w:t xml:space="preserve"> successor in tittle in respect of</w:t>
      </w:r>
      <w:r w:rsidR="00D71520" w:rsidRPr="00E65036">
        <w:rPr>
          <w:rFonts w:ascii="Times New Roman" w:hAnsi="Times New Roman" w:cs="Times New Roman"/>
          <w:sz w:val="28"/>
          <w:szCs w:val="28"/>
        </w:rPr>
        <w:t xml:space="preserve"> the licence agreement.</w:t>
      </w:r>
      <w:r w:rsidR="00E22E4B" w:rsidRPr="00E65036">
        <w:rPr>
          <w:rFonts w:ascii="Times New Roman" w:hAnsi="Times New Roman" w:cs="Times New Roman"/>
          <w:sz w:val="28"/>
          <w:szCs w:val="28"/>
        </w:rPr>
        <w:t xml:space="preserve"> In addition to the existing licence agreement</w:t>
      </w:r>
      <w:r w:rsidR="007E5E05">
        <w:rPr>
          <w:rFonts w:ascii="Times New Roman" w:hAnsi="Times New Roman" w:cs="Times New Roman"/>
          <w:sz w:val="28"/>
          <w:szCs w:val="28"/>
        </w:rPr>
        <w:t>,</w:t>
      </w:r>
      <w:r w:rsidR="00E22E4B" w:rsidRPr="00E65036">
        <w:rPr>
          <w:rFonts w:ascii="Times New Roman" w:hAnsi="Times New Roman" w:cs="Times New Roman"/>
          <w:sz w:val="28"/>
          <w:szCs w:val="28"/>
        </w:rPr>
        <w:t xml:space="preserve"> </w:t>
      </w:r>
      <w:r w:rsidR="00D71520" w:rsidRPr="00E65036">
        <w:rPr>
          <w:rFonts w:ascii="Times New Roman" w:hAnsi="Times New Roman" w:cs="Times New Roman"/>
          <w:sz w:val="28"/>
          <w:szCs w:val="28"/>
        </w:rPr>
        <w:t xml:space="preserve">TQ was required by Oracle to </w:t>
      </w:r>
      <w:r w:rsidR="003C1964">
        <w:rPr>
          <w:rFonts w:ascii="Times New Roman" w:hAnsi="Times New Roman" w:cs="Times New Roman"/>
          <w:sz w:val="28"/>
          <w:szCs w:val="28"/>
        </w:rPr>
        <w:t>assume membership</w:t>
      </w:r>
      <w:r w:rsidR="00D71520" w:rsidRPr="00E65036">
        <w:rPr>
          <w:rFonts w:ascii="Times New Roman" w:hAnsi="Times New Roman" w:cs="Times New Roman"/>
          <w:sz w:val="28"/>
          <w:szCs w:val="28"/>
        </w:rPr>
        <w:t xml:space="preserve"> of the Oracle Partner Network</w:t>
      </w:r>
      <w:r w:rsidR="00AE1009">
        <w:rPr>
          <w:rFonts w:ascii="Times New Roman" w:hAnsi="Times New Roman" w:cs="Times New Roman"/>
          <w:sz w:val="28"/>
          <w:szCs w:val="28"/>
        </w:rPr>
        <w:t xml:space="preserve"> so that the relationship that it (TQ) had with I-Flex could be extended to Oracle and </w:t>
      </w:r>
      <w:r w:rsidR="003C1964">
        <w:rPr>
          <w:rFonts w:ascii="Times New Roman" w:hAnsi="Times New Roman" w:cs="Times New Roman"/>
          <w:sz w:val="28"/>
          <w:szCs w:val="28"/>
        </w:rPr>
        <w:t xml:space="preserve">also that </w:t>
      </w:r>
      <w:r w:rsidR="00AE1009">
        <w:rPr>
          <w:rFonts w:ascii="Times New Roman" w:hAnsi="Times New Roman" w:cs="Times New Roman"/>
          <w:sz w:val="28"/>
          <w:szCs w:val="28"/>
        </w:rPr>
        <w:t xml:space="preserve">TQ could </w:t>
      </w:r>
      <w:r w:rsidR="006B5885">
        <w:rPr>
          <w:rFonts w:ascii="Times New Roman" w:hAnsi="Times New Roman" w:cs="Times New Roman"/>
          <w:sz w:val="28"/>
          <w:szCs w:val="28"/>
        </w:rPr>
        <w:t>distribute Oracle</w:t>
      </w:r>
      <w:r w:rsidR="007E5E05">
        <w:rPr>
          <w:rFonts w:ascii="Times New Roman" w:hAnsi="Times New Roman" w:cs="Times New Roman"/>
          <w:sz w:val="28"/>
          <w:szCs w:val="28"/>
        </w:rPr>
        <w:t>’s other</w:t>
      </w:r>
      <w:r w:rsidR="006B5885">
        <w:rPr>
          <w:rFonts w:ascii="Times New Roman" w:hAnsi="Times New Roman" w:cs="Times New Roman"/>
          <w:sz w:val="28"/>
          <w:szCs w:val="28"/>
        </w:rPr>
        <w:t xml:space="preserve"> programs</w:t>
      </w:r>
      <w:r w:rsidR="003C1964">
        <w:rPr>
          <w:rFonts w:ascii="Times New Roman" w:hAnsi="Times New Roman" w:cs="Times New Roman"/>
          <w:sz w:val="28"/>
          <w:szCs w:val="28"/>
        </w:rPr>
        <w:t>,</w:t>
      </w:r>
      <w:r w:rsidR="006B5885">
        <w:rPr>
          <w:rFonts w:ascii="Times New Roman" w:hAnsi="Times New Roman" w:cs="Times New Roman"/>
          <w:sz w:val="28"/>
          <w:szCs w:val="28"/>
        </w:rPr>
        <w:t xml:space="preserve"> services</w:t>
      </w:r>
      <w:r w:rsidR="003C1964">
        <w:rPr>
          <w:rFonts w:ascii="Times New Roman" w:hAnsi="Times New Roman" w:cs="Times New Roman"/>
          <w:sz w:val="28"/>
          <w:szCs w:val="28"/>
        </w:rPr>
        <w:t xml:space="preserve"> and equipment</w:t>
      </w:r>
      <w:r w:rsidR="00E22E4B" w:rsidRPr="00E65036">
        <w:rPr>
          <w:rFonts w:ascii="Times New Roman" w:hAnsi="Times New Roman" w:cs="Times New Roman"/>
          <w:sz w:val="28"/>
          <w:szCs w:val="28"/>
        </w:rPr>
        <w:t xml:space="preserve">. </w:t>
      </w:r>
      <w:r w:rsidR="0046467F">
        <w:rPr>
          <w:rFonts w:ascii="Times New Roman" w:hAnsi="Times New Roman" w:cs="Times New Roman"/>
          <w:sz w:val="28"/>
          <w:szCs w:val="28"/>
        </w:rPr>
        <w:t xml:space="preserve">The membership was renewable annually. </w:t>
      </w:r>
      <w:r w:rsidR="003C1964">
        <w:rPr>
          <w:rFonts w:ascii="Times New Roman" w:hAnsi="Times New Roman" w:cs="Times New Roman"/>
          <w:sz w:val="28"/>
          <w:szCs w:val="28"/>
        </w:rPr>
        <w:t xml:space="preserve">For that purpose TQ and Oracle </w:t>
      </w:r>
      <w:r w:rsidR="007E5E05">
        <w:rPr>
          <w:rFonts w:ascii="Times New Roman" w:hAnsi="Times New Roman" w:cs="Times New Roman"/>
          <w:sz w:val="28"/>
          <w:szCs w:val="28"/>
        </w:rPr>
        <w:t>concluded an agreement termed the ‘Oracle Partner Network Agreement’ (OPNA</w:t>
      </w:r>
      <w:r w:rsidR="003C1964">
        <w:rPr>
          <w:rFonts w:ascii="Times New Roman" w:hAnsi="Times New Roman" w:cs="Times New Roman"/>
          <w:sz w:val="28"/>
          <w:szCs w:val="28"/>
        </w:rPr>
        <w:t xml:space="preserve"> or OPN agreement</w:t>
      </w:r>
      <w:r w:rsidR="007E5E05">
        <w:rPr>
          <w:rFonts w:ascii="Times New Roman" w:hAnsi="Times New Roman" w:cs="Times New Roman"/>
          <w:sz w:val="28"/>
          <w:szCs w:val="28"/>
        </w:rPr>
        <w:t>).</w:t>
      </w:r>
    </w:p>
    <w:p w14:paraId="08419AEF" w14:textId="77777777" w:rsidR="007E5E05" w:rsidRDefault="007E5E05" w:rsidP="007E5E05">
      <w:pPr>
        <w:spacing w:after="0" w:line="360" w:lineRule="auto"/>
        <w:jc w:val="both"/>
        <w:rPr>
          <w:rFonts w:ascii="Times New Roman" w:hAnsi="Times New Roman" w:cs="Times New Roman"/>
          <w:sz w:val="28"/>
          <w:szCs w:val="28"/>
        </w:rPr>
      </w:pPr>
    </w:p>
    <w:p w14:paraId="57E1824A" w14:textId="77777777" w:rsidR="0046467F" w:rsidRDefault="008E181A" w:rsidP="007E5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AE1009">
        <w:rPr>
          <w:rFonts w:ascii="Times New Roman" w:hAnsi="Times New Roman" w:cs="Times New Roman"/>
          <w:sz w:val="28"/>
          <w:szCs w:val="28"/>
        </w:rPr>
        <w:t>]</w:t>
      </w:r>
      <w:r w:rsidR="00AE1009">
        <w:rPr>
          <w:rFonts w:ascii="Times New Roman" w:hAnsi="Times New Roman" w:cs="Times New Roman"/>
          <w:sz w:val="28"/>
          <w:szCs w:val="28"/>
        </w:rPr>
        <w:tab/>
      </w:r>
      <w:r w:rsidR="006B5885">
        <w:rPr>
          <w:rFonts w:ascii="Times New Roman" w:hAnsi="Times New Roman" w:cs="Times New Roman"/>
          <w:sz w:val="28"/>
          <w:szCs w:val="28"/>
        </w:rPr>
        <w:t xml:space="preserve">TQ first became a member of the Oracle network in 2008. </w:t>
      </w:r>
      <w:r w:rsidR="00E65036">
        <w:rPr>
          <w:rFonts w:ascii="Times New Roman" w:hAnsi="Times New Roman" w:cs="Times New Roman"/>
          <w:sz w:val="28"/>
          <w:szCs w:val="28"/>
        </w:rPr>
        <w:t>Over time, and i</w:t>
      </w:r>
      <w:r w:rsidR="00E22E4B" w:rsidRPr="00E65036">
        <w:rPr>
          <w:rFonts w:ascii="Times New Roman" w:hAnsi="Times New Roman" w:cs="Times New Roman"/>
          <w:sz w:val="28"/>
          <w:szCs w:val="28"/>
        </w:rPr>
        <w:t>n line with th</w:t>
      </w:r>
      <w:r w:rsidR="006B5885">
        <w:rPr>
          <w:rFonts w:ascii="Times New Roman" w:hAnsi="Times New Roman" w:cs="Times New Roman"/>
          <w:sz w:val="28"/>
          <w:szCs w:val="28"/>
        </w:rPr>
        <w:t xml:space="preserve">e </w:t>
      </w:r>
      <w:r>
        <w:rPr>
          <w:rFonts w:ascii="Times New Roman" w:hAnsi="Times New Roman" w:cs="Times New Roman"/>
          <w:sz w:val="28"/>
          <w:szCs w:val="28"/>
        </w:rPr>
        <w:t xml:space="preserve">Oracle network </w:t>
      </w:r>
      <w:r w:rsidR="006B5885">
        <w:rPr>
          <w:rFonts w:ascii="Times New Roman" w:hAnsi="Times New Roman" w:cs="Times New Roman"/>
          <w:sz w:val="28"/>
          <w:szCs w:val="28"/>
        </w:rPr>
        <w:t xml:space="preserve">membership </w:t>
      </w:r>
      <w:r w:rsidR="00E22E4B" w:rsidRPr="00E65036">
        <w:rPr>
          <w:rFonts w:ascii="Times New Roman" w:hAnsi="Times New Roman" w:cs="Times New Roman"/>
          <w:sz w:val="28"/>
          <w:szCs w:val="28"/>
        </w:rPr>
        <w:t>requirement</w:t>
      </w:r>
      <w:r w:rsidR="007E5E05">
        <w:rPr>
          <w:rFonts w:ascii="Times New Roman" w:hAnsi="Times New Roman" w:cs="Times New Roman"/>
          <w:sz w:val="28"/>
          <w:szCs w:val="28"/>
        </w:rPr>
        <w:t>,</w:t>
      </w:r>
      <w:r w:rsidR="00E22E4B" w:rsidRPr="00E65036">
        <w:rPr>
          <w:rFonts w:ascii="Times New Roman" w:hAnsi="Times New Roman" w:cs="Times New Roman"/>
          <w:sz w:val="28"/>
          <w:szCs w:val="28"/>
        </w:rPr>
        <w:t xml:space="preserve"> t</w:t>
      </w:r>
      <w:r w:rsidR="006B5885">
        <w:rPr>
          <w:rFonts w:ascii="Times New Roman" w:hAnsi="Times New Roman" w:cs="Times New Roman"/>
          <w:sz w:val="28"/>
          <w:szCs w:val="28"/>
        </w:rPr>
        <w:t>wo</w:t>
      </w:r>
      <w:r w:rsidR="00D71520" w:rsidRPr="00E65036">
        <w:rPr>
          <w:rFonts w:ascii="Times New Roman" w:hAnsi="Times New Roman" w:cs="Times New Roman"/>
          <w:sz w:val="28"/>
          <w:szCs w:val="28"/>
        </w:rPr>
        <w:t xml:space="preserve"> more agreements were conclude</w:t>
      </w:r>
      <w:r w:rsidR="006B5885">
        <w:rPr>
          <w:rFonts w:ascii="Times New Roman" w:hAnsi="Times New Roman" w:cs="Times New Roman"/>
          <w:sz w:val="28"/>
          <w:szCs w:val="28"/>
        </w:rPr>
        <w:t>d between TQ and Oracle</w:t>
      </w:r>
      <w:r w:rsidR="007E5E05">
        <w:rPr>
          <w:rFonts w:ascii="Times New Roman" w:hAnsi="Times New Roman" w:cs="Times New Roman"/>
          <w:sz w:val="28"/>
          <w:szCs w:val="28"/>
        </w:rPr>
        <w:t>.</w:t>
      </w:r>
      <w:r w:rsidR="00E65036" w:rsidRPr="00E65036">
        <w:rPr>
          <w:rFonts w:ascii="Times New Roman" w:hAnsi="Times New Roman" w:cs="Times New Roman"/>
          <w:sz w:val="28"/>
          <w:szCs w:val="28"/>
        </w:rPr>
        <w:t xml:space="preserve"> </w:t>
      </w:r>
      <w:r w:rsidR="006B5885">
        <w:rPr>
          <w:rFonts w:ascii="Times New Roman" w:hAnsi="Times New Roman" w:cs="Times New Roman"/>
          <w:sz w:val="28"/>
          <w:szCs w:val="28"/>
        </w:rPr>
        <w:t xml:space="preserve">These were:  </w:t>
      </w:r>
      <w:r w:rsidR="00E65036" w:rsidRPr="00E65036">
        <w:rPr>
          <w:rFonts w:ascii="Times New Roman" w:hAnsi="Times New Roman" w:cs="Times New Roman"/>
          <w:sz w:val="28"/>
          <w:szCs w:val="28"/>
        </w:rPr>
        <w:t>the Oracle Licenc</w:t>
      </w:r>
      <w:r w:rsidR="006B5885">
        <w:rPr>
          <w:rFonts w:ascii="Times New Roman" w:hAnsi="Times New Roman" w:cs="Times New Roman"/>
          <w:sz w:val="28"/>
          <w:szCs w:val="28"/>
        </w:rPr>
        <w:t>e and Services Agreement (OLSA)</w:t>
      </w:r>
      <w:r w:rsidR="00E65036" w:rsidRPr="00E65036">
        <w:rPr>
          <w:rFonts w:ascii="Times New Roman" w:hAnsi="Times New Roman" w:cs="Times New Roman"/>
          <w:sz w:val="28"/>
          <w:szCs w:val="28"/>
        </w:rPr>
        <w:t xml:space="preserve"> and the Oracle Partner Network Full Use </w:t>
      </w:r>
      <w:r w:rsidR="00E65036">
        <w:rPr>
          <w:rFonts w:ascii="Times New Roman" w:hAnsi="Times New Roman" w:cs="Times New Roman"/>
          <w:sz w:val="28"/>
          <w:szCs w:val="28"/>
        </w:rPr>
        <w:t>Distribution Agreement (FUDA)</w:t>
      </w:r>
      <w:r w:rsidR="006B5885">
        <w:rPr>
          <w:rFonts w:ascii="Times New Roman" w:hAnsi="Times New Roman" w:cs="Times New Roman"/>
          <w:sz w:val="28"/>
          <w:szCs w:val="28"/>
        </w:rPr>
        <w:t>.</w:t>
      </w:r>
      <w:r w:rsidR="00E65036">
        <w:rPr>
          <w:rFonts w:ascii="Times New Roman" w:hAnsi="Times New Roman" w:cs="Times New Roman"/>
          <w:sz w:val="28"/>
          <w:szCs w:val="28"/>
        </w:rPr>
        <w:t xml:space="preserve"> </w:t>
      </w:r>
      <w:r w:rsidR="0046467F" w:rsidRPr="00657D30">
        <w:rPr>
          <w:rFonts w:ascii="Times New Roman" w:hAnsi="Times New Roman" w:cs="Times New Roman"/>
          <w:sz w:val="28"/>
          <w:szCs w:val="28"/>
        </w:rPr>
        <w:t>Eac</w:t>
      </w:r>
      <w:r w:rsidR="0046467F">
        <w:rPr>
          <w:rFonts w:ascii="Times New Roman" w:hAnsi="Times New Roman" w:cs="Times New Roman"/>
          <w:sz w:val="28"/>
          <w:szCs w:val="28"/>
        </w:rPr>
        <w:t xml:space="preserve">h of these </w:t>
      </w:r>
      <w:r w:rsidR="0046467F" w:rsidRPr="00657D30">
        <w:rPr>
          <w:rFonts w:ascii="Times New Roman" w:hAnsi="Times New Roman" w:cs="Times New Roman"/>
          <w:sz w:val="28"/>
          <w:szCs w:val="28"/>
        </w:rPr>
        <w:t>additional agreements</w:t>
      </w:r>
      <w:r w:rsidR="00483EB1">
        <w:rPr>
          <w:rFonts w:ascii="Times New Roman" w:hAnsi="Times New Roman" w:cs="Times New Roman"/>
          <w:sz w:val="28"/>
          <w:szCs w:val="28"/>
        </w:rPr>
        <w:t xml:space="preserve"> (the OPNA, OLSA and FUDA</w:t>
      </w:r>
      <w:r w:rsidR="00AE1009">
        <w:rPr>
          <w:rFonts w:ascii="Times New Roman" w:hAnsi="Times New Roman" w:cs="Times New Roman"/>
          <w:sz w:val="28"/>
          <w:szCs w:val="28"/>
        </w:rPr>
        <w:t>)</w:t>
      </w:r>
      <w:r w:rsidR="0046467F" w:rsidRPr="00657D30">
        <w:rPr>
          <w:rFonts w:ascii="Times New Roman" w:hAnsi="Times New Roman" w:cs="Times New Roman"/>
          <w:sz w:val="28"/>
          <w:szCs w:val="28"/>
        </w:rPr>
        <w:t xml:space="preserve"> </w:t>
      </w:r>
      <w:r w:rsidR="0046467F">
        <w:rPr>
          <w:rFonts w:ascii="Times New Roman" w:hAnsi="Times New Roman" w:cs="Times New Roman"/>
          <w:sz w:val="28"/>
          <w:szCs w:val="28"/>
        </w:rPr>
        <w:t>stipulated</w:t>
      </w:r>
      <w:r w:rsidR="0046467F" w:rsidRPr="00657D30">
        <w:rPr>
          <w:rFonts w:ascii="Times New Roman" w:hAnsi="Times New Roman" w:cs="Times New Roman"/>
          <w:sz w:val="28"/>
          <w:szCs w:val="28"/>
        </w:rPr>
        <w:t xml:space="preserve"> that disputes relating </w:t>
      </w:r>
      <w:r w:rsidR="0046467F">
        <w:rPr>
          <w:rFonts w:ascii="Times New Roman" w:hAnsi="Times New Roman" w:cs="Times New Roman"/>
          <w:sz w:val="28"/>
          <w:szCs w:val="28"/>
        </w:rPr>
        <w:t>thereto w</w:t>
      </w:r>
      <w:r w:rsidR="0046467F" w:rsidRPr="00657D30">
        <w:rPr>
          <w:rFonts w:ascii="Times New Roman" w:hAnsi="Times New Roman" w:cs="Times New Roman"/>
          <w:sz w:val="28"/>
          <w:szCs w:val="28"/>
        </w:rPr>
        <w:t xml:space="preserve">ould be </w:t>
      </w:r>
      <w:r w:rsidR="0046467F">
        <w:rPr>
          <w:rFonts w:ascii="Times New Roman" w:hAnsi="Times New Roman" w:cs="Times New Roman"/>
          <w:sz w:val="28"/>
          <w:szCs w:val="28"/>
        </w:rPr>
        <w:t xml:space="preserve">determined by </w:t>
      </w:r>
      <w:r w:rsidR="0046467F" w:rsidRPr="00657D30">
        <w:rPr>
          <w:rFonts w:ascii="Times New Roman" w:hAnsi="Times New Roman" w:cs="Times New Roman"/>
          <w:sz w:val="28"/>
          <w:szCs w:val="28"/>
        </w:rPr>
        <w:t>S</w:t>
      </w:r>
      <w:r w:rsidR="0046467F">
        <w:rPr>
          <w:rFonts w:ascii="Times New Roman" w:hAnsi="Times New Roman" w:cs="Times New Roman"/>
          <w:sz w:val="28"/>
          <w:szCs w:val="28"/>
        </w:rPr>
        <w:t xml:space="preserve">outh </w:t>
      </w:r>
      <w:r w:rsidR="0046467F" w:rsidRPr="00657D30">
        <w:rPr>
          <w:rFonts w:ascii="Times New Roman" w:hAnsi="Times New Roman" w:cs="Times New Roman"/>
          <w:sz w:val="28"/>
          <w:szCs w:val="28"/>
        </w:rPr>
        <w:t>A</w:t>
      </w:r>
      <w:r w:rsidR="0046467F">
        <w:rPr>
          <w:rFonts w:ascii="Times New Roman" w:hAnsi="Times New Roman" w:cs="Times New Roman"/>
          <w:sz w:val="28"/>
          <w:szCs w:val="28"/>
        </w:rPr>
        <w:t>frican</w:t>
      </w:r>
      <w:r w:rsidR="00BE1ECA">
        <w:rPr>
          <w:rFonts w:ascii="Times New Roman" w:hAnsi="Times New Roman" w:cs="Times New Roman"/>
          <w:sz w:val="28"/>
          <w:szCs w:val="28"/>
        </w:rPr>
        <w:t xml:space="preserve"> courts, in accordance with South African </w:t>
      </w:r>
      <w:r w:rsidR="0046467F" w:rsidRPr="00657D30">
        <w:rPr>
          <w:rFonts w:ascii="Times New Roman" w:hAnsi="Times New Roman" w:cs="Times New Roman"/>
          <w:sz w:val="28"/>
          <w:szCs w:val="28"/>
        </w:rPr>
        <w:t>laws</w:t>
      </w:r>
      <w:r w:rsidR="00BE1ECA">
        <w:rPr>
          <w:rFonts w:ascii="Times New Roman" w:hAnsi="Times New Roman" w:cs="Times New Roman"/>
          <w:sz w:val="28"/>
          <w:szCs w:val="28"/>
        </w:rPr>
        <w:t>.</w:t>
      </w:r>
      <w:r w:rsidR="0046467F" w:rsidRPr="00657D30">
        <w:rPr>
          <w:rFonts w:ascii="Times New Roman" w:hAnsi="Times New Roman" w:cs="Times New Roman"/>
          <w:sz w:val="28"/>
          <w:szCs w:val="28"/>
        </w:rPr>
        <w:t xml:space="preserve"> </w:t>
      </w:r>
    </w:p>
    <w:p w14:paraId="015024F5" w14:textId="77777777" w:rsidR="0046467F" w:rsidRDefault="0046467F" w:rsidP="007E5E05">
      <w:pPr>
        <w:spacing w:after="0" w:line="360" w:lineRule="auto"/>
        <w:jc w:val="both"/>
        <w:rPr>
          <w:rFonts w:ascii="Times New Roman" w:hAnsi="Times New Roman" w:cs="Times New Roman"/>
          <w:sz w:val="28"/>
          <w:szCs w:val="28"/>
        </w:rPr>
      </w:pPr>
    </w:p>
    <w:p w14:paraId="7AA676D5" w14:textId="77777777" w:rsidR="00D71520" w:rsidRPr="00CF7B24" w:rsidRDefault="0046467F" w:rsidP="00D715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dispute</w:t>
      </w:r>
    </w:p>
    <w:p w14:paraId="5F29D38C" w14:textId="66924AA7" w:rsidR="00D26F95" w:rsidRDefault="008E181A" w:rsidP="007E5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C0C5C">
        <w:rPr>
          <w:rFonts w:ascii="Times New Roman" w:hAnsi="Times New Roman" w:cs="Times New Roman"/>
          <w:sz w:val="28"/>
          <w:szCs w:val="28"/>
        </w:rPr>
        <w:t>]</w:t>
      </w:r>
      <w:r w:rsidR="003C0C5C">
        <w:rPr>
          <w:rFonts w:ascii="Times New Roman" w:hAnsi="Times New Roman" w:cs="Times New Roman"/>
          <w:sz w:val="28"/>
          <w:szCs w:val="28"/>
        </w:rPr>
        <w:tab/>
      </w:r>
      <w:r w:rsidR="00D71520" w:rsidRPr="00657D30">
        <w:rPr>
          <w:rFonts w:ascii="Times New Roman" w:hAnsi="Times New Roman" w:cs="Times New Roman"/>
          <w:sz w:val="28"/>
          <w:szCs w:val="28"/>
        </w:rPr>
        <w:t xml:space="preserve">In March 2018 TQ instituted </w:t>
      </w:r>
      <w:r w:rsidR="003C0C5C">
        <w:rPr>
          <w:rFonts w:ascii="Times New Roman" w:hAnsi="Times New Roman" w:cs="Times New Roman"/>
          <w:sz w:val="28"/>
          <w:szCs w:val="28"/>
        </w:rPr>
        <w:t xml:space="preserve">a </w:t>
      </w:r>
      <w:r w:rsidR="006257C9">
        <w:rPr>
          <w:rFonts w:ascii="Times New Roman" w:hAnsi="Times New Roman" w:cs="Times New Roman"/>
          <w:sz w:val="28"/>
          <w:szCs w:val="28"/>
        </w:rPr>
        <w:t>civil claim</w:t>
      </w:r>
      <w:r w:rsidR="00D71520" w:rsidRPr="00657D30">
        <w:rPr>
          <w:rFonts w:ascii="Times New Roman" w:hAnsi="Times New Roman" w:cs="Times New Roman"/>
          <w:sz w:val="28"/>
          <w:szCs w:val="28"/>
        </w:rPr>
        <w:t xml:space="preserve"> </w:t>
      </w:r>
      <w:r w:rsidR="002B0554">
        <w:rPr>
          <w:rFonts w:ascii="Times New Roman" w:hAnsi="Times New Roman" w:cs="Times New Roman"/>
          <w:sz w:val="28"/>
          <w:szCs w:val="28"/>
        </w:rPr>
        <w:t xml:space="preserve">against Oracle and SAPO </w:t>
      </w:r>
      <w:r w:rsidR="00D71520" w:rsidRPr="00657D30">
        <w:rPr>
          <w:rFonts w:ascii="Times New Roman" w:hAnsi="Times New Roman" w:cs="Times New Roman"/>
          <w:sz w:val="28"/>
          <w:szCs w:val="28"/>
        </w:rPr>
        <w:t xml:space="preserve">in the </w:t>
      </w:r>
      <w:r w:rsidR="0052618A">
        <w:rPr>
          <w:rFonts w:ascii="Times New Roman" w:hAnsi="Times New Roman" w:cs="Times New Roman"/>
          <w:sz w:val="28"/>
          <w:szCs w:val="28"/>
        </w:rPr>
        <w:t>h</w:t>
      </w:r>
      <w:r w:rsidR="00D71520" w:rsidRPr="00657D30">
        <w:rPr>
          <w:rFonts w:ascii="Times New Roman" w:hAnsi="Times New Roman" w:cs="Times New Roman"/>
          <w:sz w:val="28"/>
          <w:szCs w:val="28"/>
        </w:rPr>
        <w:t xml:space="preserve">igh </w:t>
      </w:r>
      <w:r w:rsidR="0052618A">
        <w:rPr>
          <w:rFonts w:ascii="Times New Roman" w:hAnsi="Times New Roman" w:cs="Times New Roman"/>
          <w:sz w:val="28"/>
          <w:szCs w:val="28"/>
        </w:rPr>
        <w:t>c</w:t>
      </w:r>
      <w:r w:rsidR="00D71520" w:rsidRPr="00657D30">
        <w:rPr>
          <w:rFonts w:ascii="Times New Roman" w:hAnsi="Times New Roman" w:cs="Times New Roman"/>
          <w:sz w:val="28"/>
          <w:szCs w:val="28"/>
        </w:rPr>
        <w:t xml:space="preserve">ourt </w:t>
      </w:r>
      <w:r w:rsidR="006257C9">
        <w:rPr>
          <w:rFonts w:ascii="Times New Roman" w:hAnsi="Times New Roman" w:cs="Times New Roman"/>
          <w:sz w:val="28"/>
          <w:szCs w:val="28"/>
        </w:rPr>
        <w:t>for</w:t>
      </w:r>
      <w:r w:rsidR="003C0C5C">
        <w:rPr>
          <w:rFonts w:ascii="Times New Roman" w:hAnsi="Times New Roman" w:cs="Times New Roman"/>
          <w:sz w:val="28"/>
          <w:szCs w:val="28"/>
        </w:rPr>
        <w:t xml:space="preserve"> damages </w:t>
      </w:r>
      <w:r w:rsidR="006257C9">
        <w:rPr>
          <w:rFonts w:ascii="Times New Roman" w:hAnsi="Times New Roman" w:cs="Times New Roman"/>
          <w:sz w:val="28"/>
          <w:szCs w:val="28"/>
        </w:rPr>
        <w:t xml:space="preserve">in the amount of </w:t>
      </w:r>
      <w:r w:rsidR="00D26F95">
        <w:rPr>
          <w:rFonts w:ascii="Times New Roman" w:hAnsi="Times New Roman" w:cs="Times New Roman"/>
          <w:sz w:val="28"/>
          <w:szCs w:val="28"/>
        </w:rPr>
        <w:t>R61 603 515.00</w:t>
      </w:r>
      <w:r w:rsidR="0052618A">
        <w:rPr>
          <w:rFonts w:ascii="Times New Roman" w:hAnsi="Times New Roman" w:cs="Times New Roman"/>
          <w:sz w:val="28"/>
          <w:szCs w:val="28"/>
        </w:rPr>
        <w:t xml:space="preserve"> for breach of the licence</w:t>
      </w:r>
      <w:r w:rsidR="003C0C5C">
        <w:rPr>
          <w:rFonts w:ascii="Times New Roman" w:hAnsi="Times New Roman" w:cs="Times New Roman"/>
          <w:sz w:val="28"/>
          <w:szCs w:val="28"/>
        </w:rPr>
        <w:t xml:space="preserve"> agreements. It alleged that</w:t>
      </w:r>
      <w:r w:rsidR="00D71520" w:rsidRPr="00657D30">
        <w:rPr>
          <w:rFonts w:ascii="Times New Roman" w:hAnsi="Times New Roman" w:cs="Times New Roman"/>
          <w:sz w:val="28"/>
          <w:szCs w:val="28"/>
        </w:rPr>
        <w:t xml:space="preserve"> </w:t>
      </w:r>
      <w:r w:rsidR="003C0C5C">
        <w:rPr>
          <w:rFonts w:ascii="Times New Roman" w:hAnsi="Times New Roman" w:cs="Times New Roman"/>
          <w:sz w:val="28"/>
          <w:szCs w:val="28"/>
        </w:rPr>
        <w:t>contra</w:t>
      </w:r>
      <w:r w:rsidR="0014619C">
        <w:rPr>
          <w:rFonts w:ascii="Times New Roman" w:hAnsi="Times New Roman" w:cs="Times New Roman"/>
          <w:sz w:val="28"/>
          <w:szCs w:val="28"/>
        </w:rPr>
        <w:t>ry to the terms of the licence</w:t>
      </w:r>
      <w:r w:rsidR="003C0C5C">
        <w:rPr>
          <w:rFonts w:ascii="Times New Roman" w:hAnsi="Times New Roman" w:cs="Times New Roman"/>
          <w:sz w:val="28"/>
          <w:szCs w:val="28"/>
        </w:rPr>
        <w:t xml:space="preserve"> agreement</w:t>
      </w:r>
      <w:r w:rsidR="0014619C">
        <w:rPr>
          <w:rFonts w:ascii="Times New Roman" w:hAnsi="Times New Roman" w:cs="Times New Roman"/>
          <w:sz w:val="28"/>
          <w:szCs w:val="28"/>
        </w:rPr>
        <w:t>s,</w:t>
      </w:r>
      <w:r w:rsidR="003C0C5C">
        <w:rPr>
          <w:rFonts w:ascii="Times New Roman" w:hAnsi="Times New Roman" w:cs="Times New Roman"/>
          <w:sz w:val="28"/>
          <w:szCs w:val="28"/>
        </w:rPr>
        <w:t xml:space="preserve"> Oracle and SAPO </w:t>
      </w:r>
      <w:r w:rsidR="005955FB">
        <w:rPr>
          <w:rFonts w:ascii="Times New Roman" w:hAnsi="Times New Roman" w:cs="Times New Roman"/>
          <w:sz w:val="28"/>
          <w:szCs w:val="28"/>
        </w:rPr>
        <w:t xml:space="preserve">had negotiated and contracted </w:t>
      </w:r>
      <w:r w:rsidR="00D71520" w:rsidRPr="00657D30">
        <w:rPr>
          <w:rFonts w:ascii="Times New Roman" w:hAnsi="Times New Roman" w:cs="Times New Roman"/>
          <w:sz w:val="28"/>
          <w:szCs w:val="28"/>
        </w:rPr>
        <w:t>directly with each other</w:t>
      </w:r>
      <w:r w:rsidR="0014619C">
        <w:rPr>
          <w:rFonts w:ascii="Times New Roman" w:hAnsi="Times New Roman" w:cs="Times New Roman"/>
          <w:sz w:val="28"/>
          <w:szCs w:val="28"/>
        </w:rPr>
        <w:t>,</w:t>
      </w:r>
      <w:r w:rsidR="005955FB">
        <w:rPr>
          <w:rFonts w:ascii="Times New Roman" w:hAnsi="Times New Roman" w:cs="Times New Roman"/>
          <w:sz w:val="28"/>
          <w:szCs w:val="28"/>
        </w:rPr>
        <w:t xml:space="preserve"> </w:t>
      </w:r>
      <w:r w:rsidR="00BE1ECA">
        <w:rPr>
          <w:rFonts w:ascii="Times New Roman" w:hAnsi="Times New Roman" w:cs="Times New Roman"/>
          <w:sz w:val="28"/>
          <w:szCs w:val="28"/>
        </w:rPr>
        <w:t>that the</w:t>
      </w:r>
      <w:r w:rsidR="0014619C">
        <w:rPr>
          <w:rFonts w:ascii="Times New Roman" w:hAnsi="Times New Roman" w:cs="Times New Roman"/>
          <w:sz w:val="28"/>
          <w:szCs w:val="28"/>
        </w:rPr>
        <w:t>y</w:t>
      </w:r>
      <w:r w:rsidR="00BE1ECA">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5955FB">
        <w:rPr>
          <w:rFonts w:ascii="Times New Roman" w:hAnsi="Times New Roman" w:cs="Times New Roman"/>
          <w:sz w:val="28"/>
          <w:szCs w:val="28"/>
        </w:rPr>
        <w:t>‘purported</w:t>
      </w:r>
      <w:r w:rsidR="00D26F95">
        <w:rPr>
          <w:rFonts w:ascii="Times New Roman" w:hAnsi="Times New Roman" w:cs="Times New Roman"/>
          <w:sz w:val="28"/>
          <w:szCs w:val="28"/>
        </w:rPr>
        <w:t>’</w:t>
      </w:r>
      <w:r w:rsidR="005955FB">
        <w:rPr>
          <w:rFonts w:ascii="Times New Roman" w:hAnsi="Times New Roman" w:cs="Times New Roman"/>
          <w:sz w:val="28"/>
          <w:szCs w:val="28"/>
        </w:rPr>
        <w:t xml:space="preserve"> to </w:t>
      </w:r>
      <w:r w:rsidR="00D26F95">
        <w:rPr>
          <w:rFonts w:ascii="Times New Roman" w:hAnsi="Times New Roman" w:cs="Times New Roman"/>
          <w:sz w:val="28"/>
          <w:szCs w:val="28"/>
        </w:rPr>
        <w:t>transfer licences from TQ to SAPO</w:t>
      </w:r>
      <w:r w:rsidR="0014619C">
        <w:rPr>
          <w:rFonts w:ascii="Times New Roman" w:hAnsi="Times New Roman" w:cs="Times New Roman"/>
          <w:sz w:val="28"/>
          <w:szCs w:val="28"/>
        </w:rPr>
        <w:t>,</w:t>
      </w:r>
      <w:r w:rsidR="00D26F95">
        <w:rPr>
          <w:rFonts w:ascii="Times New Roman" w:hAnsi="Times New Roman" w:cs="Times New Roman"/>
          <w:sz w:val="28"/>
          <w:szCs w:val="28"/>
        </w:rPr>
        <w:t xml:space="preserve"> </w:t>
      </w:r>
      <w:r w:rsidR="00BE1ECA">
        <w:rPr>
          <w:rFonts w:ascii="Times New Roman" w:hAnsi="Times New Roman" w:cs="Times New Roman"/>
          <w:sz w:val="28"/>
          <w:szCs w:val="28"/>
        </w:rPr>
        <w:t xml:space="preserve">that Oracle </w:t>
      </w:r>
      <w:r w:rsidR="00D26F95">
        <w:rPr>
          <w:rFonts w:ascii="Times New Roman" w:hAnsi="Times New Roman" w:cs="Times New Roman"/>
          <w:sz w:val="28"/>
          <w:szCs w:val="28"/>
        </w:rPr>
        <w:t xml:space="preserve">issued additional licences and sold additional modules of the </w:t>
      </w:r>
      <w:r w:rsidR="0014619C">
        <w:rPr>
          <w:rFonts w:ascii="Times New Roman" w:hAnsi="Times New Roman" w:cs="Times New Roman"/>
          <w:sz w:val="28"/>
          <w:szCs w:val="28"/>
        </w:rPr>
        <w:t xml:space="preserve">I-Flex </w:t>
      </w:r>
      <w:r w:rsidR="00D26F95">
        <w:rPr>
          <w:rFonts w:ascii="Times New Roman" w:hAnsi="Times New Roman" w:cs="Times New Roman"/>
          <w:sz w:val="28"/>
          <w:szCs w:val="28"/>
        </w:rPr>
        <w:t xml:space="preserve">software system to SAPO, and </w:t>
      </w:r>
      <w:r w:rsidR="00BE1ECA">
        <w:rPr>
          <w:rFonts w:ascii="Times New Roman" w:hAnsi="Times New Roman" w:cs="Times New Roman"/>
          <w:sz w:val="28"/>
          <w:szCs w:val="28"/>
        </w:rPr>
        <w:lastRenderedPageBreak/>
        <w:t xml:space="preserve">that Oracle and SAPO </w:t>
      </w:r>
      <w:r w:rsidR="00D26F95">
        <w:rPr>
          <w:rFonts w:ascii="Times New Roman" w:hAnsi="Times New Roman" w:cs="Times New Roman"/>
          <w:sz w:val="28"/>
          <w:szCs w:val="28"/>
        </w:rPr>
        <w:t xml:space="preserve">had concluded a </w:t>
      </w:r>
      <w:r w:rsidR="00C01473">
        <w:rPr>
          <w:rFonts w:ascii="Times New Roman" w:hAnsi="Times New Roman" w:cs="Times New Roman"/>
          <w:sz w:val="28"/>
          <w:szCs w:val="28"/>
        </w:rPr>
        <w:t xml:space="preserve">software </w:t>
      </w:r>
      <w:r w:rsidR="00D26F95">
        <w:rPr>
          <w:rFonts w:ascii="Times New Roman" w:hAnsi="Times New Roman" w:cs="Times New Roman"/>
          <w:sz w:val="28"/>
          <w:szCs w:val="28"/>
        </w:rPr>
        <w:t>maintenance a</w:t>
      </w:r>
      <w:r w:rsidR="002B05B7">
        <w:rPr>
          <w:rFonts w:ascii="Times New Roman" w:hAnsi="Times New Roman" w:cs="Times New Roman"/>
          <w:sz w:val="28"/>
          <w:szCs w:val="28"/>
        </w:rPr>
        <w:t>greement to the exclusion of TQ</w:t>
      </w:r>
      <w:r w:rsidR="00D26F95">
        <w:rPr>
          <w:rFonts w:ascii="Times New Roman" w:hAnsi="Times New Roman" w:cs="Times New Roman"/>
          <w:sz w:val="28"/>
          <w:szCs w:val="28"/>
        </w:rPr>
        <w:t xml:space="preserve">. </w:t>
      </w:r>
      <w:r w:rsidR="005955FB">
        <w:rPr>
          <w:rFonts w:ascii="Times New Roman" w:hAnsi="Times New Roman" w:cs="Times New Roman"/>
          <w:sz w:val="28"/>
          <w:szCs w:val="28"/>
        </w:rPr>
        <w:t xml:space="preserve"> </w:t>
      </w:r>
    </w:p>
    <w:p w14:paraId="62A58523" w14:textId="77777777" w:rsidR="007E5E05" w:rsidRDefault="007E5E05" w:rsidP="007E5E05">
      <w:pPr>
        <w:spacing w:after="0" w:line="360" w:lineRule="auto"/>
        <w:jc w:val="both"/>
        <w:rPr>
          <w:rFonts w:ascii="Times New Roman" w:hAnsi="Times New Roman" w:cs="Times New Roman"/>
          <w:sz w:val="28"/>
          <w:szCs w:val="28"/>
        </w:rPr>
      </w:pPr>
    </w:p>
    <w:p w14:paraId="02F18368" w14:textId="6272606C" w:rsidR="002E5B8F" w:rsidRDefault="00D26F95" w:rsidP="00E77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BE6E1F">
        <w:rPr>
          <w:rFonts w:ascii="Times New Roman" w:hAnsi="Times New Roman" w:cs="Times New Roman"/>
          <w:sz w:val="28"/>
          <w:szCs w:val="28"/>
        </w:rPr>
        <w:t>In response to the summons</w:t>
      </w:r>
      <w:r w:rsidR="00C01473">
        <w:rPr>
          <w:rFonts w:ascii="Times New Roman" w:hAnsi="Times New Roman" w:cs="Times New Roman"/>
          <w:sz w:val="28"/>
          <w:szCs w:val="28"/>
        </w:rPr>
        <w:t>,</w:t>
      </w:r>
      <w:r w:rsidR="00BE6E1F">
        <w:rPr>
          <w:rFonts w:ascii="Times New Roman" w:hAnsi="Times New Roman" w:cs="Times New Roman"/>
          <w:sz w:val="28"/>
          <w:szCs w:val="28"/>
        </w:rPr>
        <w:t xml:space="preserve"> </w:t>
      </w:r>
      <w:r w:rsidR="00D71520" w:rsidRPr="00657D30">
        <w:rPr>
          <w:rFonts w:ascii="Times New Roman" w:hAnsi="Times New Roman" w:cs="Times New Roman"/>
          <w:sz w:val="28"/>
          <w:szCs w:val="28"/>
        </w:rPr>
        <w:t xml:space="preserve">Oracle </w:t>
      </w:r>
      <w:r w:rsidR="00BE6E1F">
        <w:rPr>
          <w:rFonts w:ascii="Times New Roman" w:hAnsi="Times New Roman" w:cs="Times New Roman"/>
          <w:sz w:val="28"/>
          <w:szCs w:val="28"/>
        </w:rPr>
        <w:t>brought an application for a</w:t>
      </w:r>
      <w:r w:rsidR="00D71520" w:rsidRPr="00657D30">
        <w:rPr>
          <w:rFonts w:ascii="Times New Roman" w:hAnsi="Times New Roman" w:cs="Times New Roman"/>
          <w:sz w:val="28"/>
          <w:szCs w:val="28"/>
        </w:rPr>
        <w:t xml:space="preserve"> stay </w:t>
      </w:r>
      <w:r w:rsidR="00BE6E1F">
        <w:rPr>
          <w:rFonts w:ascii="Times New Roman" w:hAnsi="Times New Roman" w:cs="Times New Roman"/>
          <w:sz w:val="28"/>
          <w:szCs w:val="28"/>
        </w:rPr>
        <w:t xml:space="preserve">of the action pending </w:t>
      </w:r>
      <w:r w:rsidR="00D71520" w:rsidRPr="00657D30">
        <w:rPr>
          <w:rFonts w:ascii="Times New Roman" w:hAnsi="Times New Roman" w:cs="Times New Roman"/>
          <w:sz w:val="28"/>
          <w:szCs w:val="28"/>
        </w:rPr>
        <w:t>referra</w:t>
      </w:r>
      <w:r w:rsidR="00C01473">
        <w:rPr>
          <w:rFonts w:ascii="Times New Roman" w:hAnsi="Times New Roman" w:cs="Times New Roman"/>
          <w:sz w:val="28"/>
          <w:szCs w:val="28"/>
        </w:rPr>
        <w:t xml:space="preserve">l of the dispute to arbitration. It invoked the provisions of </w:t>
      </w:r>
      <w:r w:rsidR="00D71520" w:rsidRPr="00657D30">
        <w:rPr>
          <w:rFonts w:ascii="Times New Roman" w:hAnsi="Times New Roman" w:cs="Times New Roman"/>
          <w:sz w:val="28"/>
          <w:szCs w:val="28"/>
        </w:rPr>
        <w:t>c</w:t>
      </w:r>
      <w:r w:rsidR="00C01473">
        <w:rPr>
          <w:rFonts w:ascii="Times New Roman" w:hAnsi="Times New Roman" w:cs="Times New Roman"/>
          <w:sz w:val="28"/>
          <w:szCs w:val="28"/>
        </w:rPr>
        <w:t>lauses 25 and 26 of the licence</w:t>
      </w:r>
      <w:r w:rsidR="00D059B7">
        <w:rPr>
          <w:rFonts w:ascii="Times New Roman" w:hAnsi="Times New Roman" w:cs="Times New Roman"/>
          <w:sz w:val="28"/>
          <w:szCs w:val="28"/>
        </w:rPr>
        <w:t xml:space="preserve"> </w:t>
      </w:r>
      <w:r w:rsidR="00D71520" w:rsidRPr="00657D30">
        <w:rPr>
          <w:rFonts w:ascii="Times New Roman" w:hAnsi="Times New Roman" w:cs="Times New Roman"/>
          <w:sz w:val="28"/>
          <w:szCs w:val="28"/>
        </w:rPr>
        <w:t>agreement</w:t>
      </w:r>
      <w:r w:rsidR="00D059B7">
        <w:rPr>
          <w:rFonts w:ascii="Times New Roman" w:hAnsi="Times New Roman" w:cs="Times New Roman"/>
          <w:sz w:val="28"/>
          <w:szCs w:val="28"/>
        </w:rPr>
        <w:t>s</w:t>
      </w:r>
      <w:r w:rsidR="00C01473">
        <w:rPr>
          <w:rFonts w:ascii="Times New Roman" w:hAnsi="Times New Roman" w:cs="Times New Roman"/>
          <w:sz w:val="28"/>
          <w:szCs w:val="28"/>
        </w:rPr>
        <w:t xml:space="preserve"> and pleaded</w:t>
      </w:r>
      <w:r w:rsidR="00D059B7">
        <w:rPr>
          <w:rFonts w:ascii="Times New Roman" w:hAnsi="Times New Roman" w:cs="Times New Roman"/>
          <w:sz w:val="28"/>
          <w:szCs w:val="28"/>
        </w:rPr>
        <w:t xml:space="preserve"> that the dispute</w:t>
      </w:r>
      <w:r w:rsidR="00D71520" w:rsidRPr="00657D30">
        <w:rPr>
          <w:rFonts w:ascii="Times New Roman" w:hAnsi="Times New Roman" w:cs="Times New Roman"/>
          <w:sz w:val="28"/>
          <w:szCs w:val="28"/>
        </w:rPr>
        <w:t xml:space="preserve"> </w:t>
      </w:r>
      <w:r w:rsidR="00D059B7">
        <w:rPr>
          <w:rFonts w:ascii="Times New Roman" w:hAnsi="Times New Roman" w:cs="Times New Roman"/>
          <w:sz w:val="28"/>
          <w:szCs w:val="28"/>
        </w:rPr>
        <w:t xml:space="preserve">had to </w:t>
      </w:r>
      <w:r w:rsidR="00D71520" w:rsidRPr="00657D30">
        <w:rPr>
          <w:rFonts w:ascii="Times New Roman" w:hAnsi="Times New Roman" w:cs="Times New Roman"/>
          <w:sz w:val="28"/>
          <w:szCs w:val="28"/>
        </w:rPr>
        <w:t xml:space="preserve">be </w:t>
      </w:r>
      <w:r w:rsidR="008E181A">
        <w:rPr>
          <w:rFonts w:ascii="Times New Roman" w:hAnsi="Times New Roman" w:cs="Times New Roman"/>
          <w:sz w:val="28"/>
          <w:szCs w:val="28"/>
        </w:rPr>
        <w:t>referred to international arbitration under the auspices of the ICC</w:t>
      </w:r>
      <w:r w:rsidR="00C01473">
        <w:rPr>
          <w:rFonts w:ascii="Times New Roman" w:hAnsi="Times New Roman" w:cs="Times New Roman"/>
          <w:sz w:val="28"/>
          <w:szCs w:val="28"/>
        </w:rPr>
        <w:t>.</w:t>
      </w:r>
      <w:r w:rsidR="008E181A">
        <w:rPr>
          <w:rFonts w:ascii="Times New Roman" w:hAnsi="Times New Roman" w:cs="Times New Roman"/>
          <w:sz w:val="28"/>
          <w:szCs w:val="28"/>
        </w:rPr>
        <w:t xml:space="preserve"> </w:t>
      </w:r>
      <w:r w:rsidR="00E77F33">
        <w:rPr>
          <w:rFonts w:ascii="Times New Roman" w:hAnsi="Times New Roman" w:cs="Times New Roman"/>
          <w:sz w:val="28"/>
          <w:szCs w:val="28"/>
        </w:rPr>
        <w:t>Oracle also pleaded</w:t>
      </w:r>
      <w:r w:rsidR="00E77F33" w:rsidRPr="00E77F33">
        <w:rPr>
          <w:rFonts w:ascii="Times New Roman" w:hAnsi="Times New Roman" w:cs="Times New Roman"/>
          <w:sz w:val="28"/>
          <w:szCs w:val="28"/>
        </w:rPr>
        <w:t xml:space="preserve"> that the South African Arbitration Act 42 of 1965 was not applicable to the licence agreements</w:t>
      </w:r>
      <w:r w:rsidR="00E77F33">
        <w:rPr>
          <w:rFonts w:ascii="Times New Roman" w:hAnsi="Times New Roman" w:cs="Times New Roman"/>
          <w:sz w:val="28"/>
          <w:szCs w:val="28"/>
        </w:rPr>
        <w:t xml:space="preserve">. </w:t>
      </w:r>
    </w:p>
    <w:p w14:paraId="064AF1A5" w14:textId="77777777" w:rsidR="007E5E05" w:rsidRDefault="007E5E05" w:rsidP="007E5E05">
      <w:pPr>
        <w:spacing w:after="0" w:line="360" w:lineRule="auto"/>
        <w:jc w:val="both"/>
        <w:rPr>
          <w:rFonts w:ascii="Times New Roman" w:hAnsi="Times New Roman" w:cs="Times New Roman"/>
          <w:sz w:val="28"/>
          <w:szCs w:val="28"/>
        </w:rPr>
      </w:pPr>
    </w:p>
    <w:p w14:paraId="0424F7A7" w14:textId="24D61415" w:rsidR="008C6034" w:rsidRDefault="00E77F33" w:rsidP="00E77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C6034">
        <w:rPr>
          <w:rFonts w:ascii="Times New Roman" w:hAnsi="Times New Roman" w:cs="Times New Roman"/>
          <w:sz w:val="28"/>
          <w:szCs w:val="28"/>
        </w:rPr>
        <w:t>]</w:t>
      </w:r>
      <w:r w:rsidR="008C6034">
        <w:rPr>
          <w:rFonts w:ascii="Times New Roman" w:hAnsi="Times New Roman" w:cs="Times New Roman"/>
          <w:sz w:val="28"/>
          <w:szCs w:val="28"/>
        </w:rPr>
        <w:tab/>
        <w:t>An alternative contention by Oracle was that even if the high court were to find that domestic arbitration was envisaged, it was entitled to a stay of the pending action</w:t>
      </w:r>
      <w:r w:rsidR="0012029E">
        <w:rPr>
          <w:rFonts w:ascii="Times New Roman" w:hAnsi="Times New Roman" w:cs="Times New Roman"/>
          <w:sz w:val="28"/>
          <w:szCs w:val="28"/>
        </w:rPr>
        <w:t>,</w:t>
      </w:r>
      <w:r w:rsidR="008C6034">
        <w:rPr>
          <w:rFonts w:ascii="Times New Roman" w:hAnsi="Times New Roman" w:cs="Times New Roman"/>
          <w:sz w:val="28"/>
          <w:szCs w:val="28"/>
        </w:rPr>
        <w:t xml:space="preserve"> pending referral of the dispute in accordance with s</w:t>
      </w:r>
      <w:r>
        <w:rPr>
          <w:rFonts w:ascii="Times New Roman" w:hAnsi="Times New Roman" w:cs="Times New Roman"/>
          <w:sz w:val="28"/>
          <w:szCs w:val="28"/>
        </w:rPr>
        <w:t xml:space="preserve"> </w:t>
      </w:r>
      <w:r w:rsidR="008C6034">
        <w:rPr>
          <w:rFonts w:ascii="Times New Roman" w:hAnsi="Times New Roman" w:cs="Times New Roman"/>
          <w:sz w:val="28"/>
          <w:szCs w:val="28"/>
        </w:rPr>
        <w:t>6 of the domestic Arbitration Act.</w:t>
      </w:r>
      <w:r>
        <w:rPr>
          <w:rStyle w:val="FootnoteReference"/>
          <w:rFonts w:ascii="Times New Roman" w:hAnsi="Times New Roman" w:cs="Times New Roman"/>
          <w:sz w:val="28"/>
          <w:szCs w:val="28"/>
        </w:rPr>
        <w:footnoteReference w:id="3"/>
      </w:r>
      <w:r w:rsidR="008C6034">
        <w:rPr>
          <w:rFonts w:ascii="Times New Roman" w:hAnsi="Times New Roman" w:cs="Times New Roman"/>
          <w:sz w:val="28"/>
          <w:szCs w:val="28"/>
        </w:rPr>
        <w:t xml:space="preserve"> And even if the court were to determine that the licence agreement</w:t>
      </w:r>
      <w:r w:rsidR="0012029E">
        <w:rPr>
          <w:rFonts w:ascii="Times New Roman" w:hAnsi="Times New Roman" w:cs="Times New Roman"/>
          <w:sz w:val="28"/>
          <w:szCs w:val="28"/>
        </w:rPr>
        <w:t>s</w:t>
      </w:r>
      <w:r w:rsidR="008C6034">
        <w:rPr>
          <w:rFonts w:ascii="Times New Roman" w:hAnsi="Times New Roman" w:cs="Times New Roman"/>
          <w:sz w:val="28"/>
          <w:szCs w:val="28"/>
        </w:rPr>
        <w:t xml:space="preserve"> provided for a choice of arbitration court, the parties thereto had chosen</w:t>
      </w:r>
      <w:r w:rsidR="00D56770">
        <w:rPr>
          <w:rFonts w:ascii="Times New Roman" w:hAnsi="Times New Roman" w:cs="Times New Roman"/>
          <w:sz w:val="28"/>
          <w:szCs w:val="28"/>
        </w:rPr>
        <w:t xml:space="preserve"> the courts of London, England, so it was contended</w:t>
      </w:r>
      <w:r w:rsidR="000E309A">
        <w:rPr>
          <w:rFonts w:ascii="Times New Roman" w:hAnsi="Times New Roman" w:cs="Times New Roman"/>
          <w:sz w:val="28"/>
          <w:szCs w:val="28"/>
        </w:rPr>
        <w:t>.</w:t>
      </w:r>
    </w:p>
    <w:p w14:paraId="193D6853" w14:textId="77777777" w:rsidR="007E5E05" w:rsidRDefault="007E5E05" w:rsidP="00E77F33">
      <w:pPr>
        <w:spacing w:after="0" w:line="360" w:lineRule="auto"/>
        <w:jc w:val="both"/>
        <w:rPr>
          <w:rFonts w:ascii="Times New Roman" w:hAnsi="Times New Roman" w:cs="Times New Roman"/>
          <w:sz w:val="28"/>
          <w:szCs w:val="28"/>
        </w:rPr>
      </w:pPr>
    </w:p>
    <w:p w14:paraId="63D7F83E" w14:textId="4CC494F7" w:rsidR="00D71520" w:rsidRDefault="00E77F33" w:rsidP="00E77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D059B7">
        <w:rPr>
          <w:rFonts w:ascii="Times New Roman" w:hAnsi="Times New Roman" w:cs="Times New Roman"/>
          <w:sz w:val="28"/>
          <w:szCs w:val="28"/>
        </w:rPr>
        <w:t>]</w:t>
      </w:r>
      <w:r w:rsidR="00D059B7">
        <w:rPr>
          <w:rFonts w:ascii="Times New Roman" w:hAnsi="Times New Roman" w:cs="Times New Roman"/>
          <w:sz w:val="28"/>
          <w:szCs w:val="28"/>
        </w:rPr>
        <w:tab/>
        <w:t>N</w:t>
      </w:r>
      <w:r w:rsidR="00D71520" w:rsidRPr="00657D30">
        <w:rPr>
          <w:rFonts w:ascii="Times New Roman" w:hAnsi="Times New Roman" w:cs="Times New Roman"/>
          <w:sz w:val="28"/>
          <w:szCs w:val="28"/>
        </w:rPr>
        <w:t xml:space="preserve">otwithstanding </w:t>
      </w:r>
      <w:r w:rsidR="00D059B7">
        <w:rPr>
          <w:rFonts w:ascii="Times New Roman" w:hAnsi="Times New Roman" w:cs="Times New Roman"/>
          <w:sz w:val="28"/>
          <w:szCs w:val="28"/>
        </w:rPr>
        <w:t xml:space="preserve">its </w:t>
      </w:r>
      <w:r w:rsidR="00D71520" w:rsidRPr="00657D30">
        <w:rPr>
          <w:rFonts w:ascii="Times New Roman" w:hAnsi="Times New Roman" w:cs="Times New Roman"/>
          <w:sz w:val="28"/>
          <w:szCs w:val="28"/>
        </w:rPr>
        <w:t>con</w:t>
      </w:r>
      <w:r w:rsidR="00D059B7">
        <w:rPr>
          <w:rFonts w:ascii="Times New Roman" w:hAnsi="Times New Roman" w:cs="Times New Roman"/>
          <w:sz w:val="28"/>
          <w:szCs w:val="28"/>
        </w:rPr>
        <w:t>cession that the dispute related</w:t>
      </w:r>
      <w:r w:rsidR="00D71520" w:rsidRPr="00657D30">
        <w:rPr>
          <w:rFonts w:ascii="Times New Roman" w:hAnsi="Times New Roman" w:cs="Times New Roman"/>
          <w:sz w:val="28"/>
          <w:szCs w:val="28"/>
        </w:rPr>
        <w:t xml:space="preserve"> to the licence agreement</w:t>
      </w:r>
      <w:r w:rsidR="0012029E">
        <w:rPr>
          <w:rFonts w:ascii="Times New Roman" w:hAnsi="Times New Roman" w:cs="Times New Roman"/>
          <w:sz w:val="28"/>
          <w:szCs w:val="28"/>
        </w:rPr>
        <w:t>s</w:t>
      </w:r>
      <w:r w:rsidR="00D71520" w:rsidRPr="00657D30">
        <w:rPr>
          <w:rFonts w:ascii="Times New Roman" w:hAnsi="Times New Roman" w:cs="Times New Roman"/>
          <w:sz w:val="28"/>
          <w:szCs w:val="28"/>
        </w:rPr>
        <w:t xml:space="preserve">, </w:t>
      </w:r>
      <w:r w:rsidR="00D059B7">
        <w:rPr>
          <w:rFonts w:ascii="Times New Roman" w:hAnsi="Times New Roman" w:cs="Times New Roman"/>
          <w:sz w:val="28"/>
          <w:szCs w:val="28"/>
        </w:rPr>
        <w:t xml:space="preserve">TQ </w:t>
      </w:r>
      <w:r w:rsidR="00D12752">
        <w:rPr>
          <w:rFonts w:ascii="Times New Roman" w:hAnsi="Times New Roman" w:cs="Times New Roman"/>
          <w:sz w:val="28"/>
          <w:szCs w:val="28"/>
        </w:rPr>
        <w:t>insisted</w:t>
      </w:r>
      <w:r w:rsidR="00D059B7">
        <w:rPr>
          <w:rFonts w:ascii="Times New Roman" w:hAnsi="Times New Roman" w:cs="Times New Roman"/>
          <w:sz w:val="28"/>
          <w:szCs w:val="28"/>
        </w:rPr>
        <w:t xml:space="preserve"> that </w:t>
      </w:r>
      <w:r w:rsidR="00D71520" w:rsidRPr="00657D30">
        <w:rPr>
          <w:rFonts w:ascii="Times New Roman" w:hAnsi="Times New Roman" w:cs="Times New Roman"/>
          <w:sz w:val="28"/>
          <w:szCs w:val="28"/>
        </w:rPr>
        <w:t xml:space="preserve">the dispute resolution </w:t>
      </w:r>
      <w:r w:rsidR="00D059B7">
        <w:rPr>
          <w:rFonts w:ascii="Times New Roman" w:hAnsi="Times New Roman" w:cs="Times New Roman"/>
          <w:sz w:val="28"/>
          <w:szCs w:val="28"/>
        </w:rPr>
        <w:t xml:space="preserve">mechanism specified in </w:t>
      </w:r>
      <w:r w:rsidR="00F11767">
        <w:rPr>
          <w:rFonts w:ascii="Times New Roman" w:hAnsi="Times New Roman" w:cs="Times New Roman"/>
          <w:sz w:val="28"/>
          <w:szCs w:val="28"/>
        </w:rPr>
        <w:t xml:space="preserve">the </w:t>
      </w:r>
      <w:r w:rsidR="0012029E">
        <w:rPr>
          <w:rFonts w:ascii="Times New Roman" w:hAnsi="Times New Roman" w:cs="Times New Roman"/>
          <w:sz w:val="28"/>
          <w:szCs w:val="28"/>
        </w:rPr>
        <w:t xml:space="preserve">Oracle </w:t>
      </w:r>
      <w:r w:rsidR="00F11767">
        <w:rPr>
          <w:rFonts w:ascii="Times New Roman" w:hAnsi="Times New Roman" w:cs="Times New Roman"/>
          <w:sz w:val="28"/>
          <w:szCs w:val="28"/>
        </w:rPr>
        <w:t>network membership</w:t>
      </w:r>
      <w:r w:rsidR="00D71520" w:rsidRPr="00657D30">
        <w:rPr>
          <w:rFonts w:ascii="Times New Roman" w:hAnsi="Times New Roman" w:cs="Times New Roman"/>
          <w:sz w:val="28"/>
          <w:szCs w:val="28"/>
        </w:rPr>
        <w:t xml:space="preserve"> agreements</w:t>
      </w:r>
      <w:r w:rsidR="00D12752">
        <w:rPr>
          <w:rFonts w:ascii="Times New Roman" w:hAnsi="Times New Roman" w:cs="Times New Roman"/>
          <w:sz w:val="28"/>
          <w:szCs w:val="28"/>
        </w:rPr>
        <w:t xml:space="preserve"> was </w:t>
      </w:r>
      <w:r w:rsidR="00DD18D0">
        <w:rPr>
          <w:rFonts w:ascii="Times New Roman" w:hAnsi="Times New Roman" w:cs="Times New Roman"/>
          <w:sz w:val="28"/>
          <w:szCs w:val="28"/>
        </w:rPr>
        <w:t xml:space="preserve">the </w:t>
      </w:r>
      <w:r w:rsidR="00D12752">
        <w:rPr>
          <w:rFonts w:ascii="Times New Roman" w:hAnsi="Times New Roman" w:cs="Times New Roman"/>
          <w:sz w:val="28"/>
          <w:szCs w:val="28"/>
        </w:rPr>
        <w:t>applicable dispute</w:t>
      </w:r>
      <w:r w:rsidR="00DD18D0">
        <w:rPr>
          <w:rFonts w:ascii="Times New Roman" w:hAnsi="Times New Roman" w:cs="Times New Roman"/>
          <w:sz w:val="28"/>
          <w:szCs w:val="28"/>
        </w:rPr>
        <w:t xml:space="preserve"> resolution mechanism</w:t>
      </w:r>
      <w:r w:rsidR="00F11767">
        <w:rPr>
          <w:rFonts w:ascii="Times New Roman" w:hAnsi="Times New Roman" w:cs="Times New Roman"/>
          <w:sz w:val="28"/>
          <w:szCs w:val="28"/>
        </w:rPr>
        <w:t xml:space="preserve">. </w:t>
      </w:r>
      <w:r w:rsidR="00DD18D0">
        <w:rPr>
          <w:rFonts w:ascii="Times New Roman" w:hAnsi="Times New Roman" w:cs="Times New Roman"/>
          <w:sz w:val="28"/>
          <w:szCs w:val="28"/>
        </w:rPr>
        <w:t xml:space="preserve">It contended </w:t>
      </w:r>
      <w:r w:rsidR="00F11767">
        <w:rPr>
          <w:rFonts w:ascii="Times New Roman" w:hAnsi="Times New Roman" w:cs="Times New Roman"/>
          <w:sz w:val="28"/>
          <w:szCs w:val="28"/>
        </w:rPr>
        <w:t>that the</w:t>
      </w:r>
      <w:r w:rsidR="00D71520" w:rsidRPr="00657D30">
        <w:rPr>
          <w:rFonts w:ascii="Times New Roman" w:hAnsi="Times New Roman" w:cs="Times New Roman"/>
          <w:sz w:val="28"/>
          <w:szCs w:val="28"/>
        </w:rPr>
        <w:t xml:space="preserve"> business relationship </w:t>
      </w:r>
      <w:r w:rsidR="00F11767">
        <w:rPr>
          <w:rFonts w:ascii="Times New Roman" w:hAnsi="Times New Roman" w:cs="Times New Roman"/>
          <w:sz w:val="28"/>
          <w:szCs w:val="28"/>
        </w:rPr>
        <w:t>between the parties was governed by the network membership agreem</w:t>
      </w:r>
      <w:r w:rsidR="006B543B">
        <w:rPr>
          <w:rFonts w:ascii="Times New Roman" w:hAnsi="Times New Roman" w:cs="Times New Roman"/>
          <w:sz w:val="28"/>
          <w:szCs w:val="28"/>
        </w:rPr>
        <w:t xml:space="preserve">ents. </w:t>
      </w:r>
      <w:r w:rsidR="00F11767">
        <w:rPr>
          <w:rFonts w:ascii="Times New Roman" w:hAnsi="Times New Roman" w:cs="Times New Roman"/>
          <w:sz w:val="28"/>
          <w:szCs w:val="28"/>
        </w:rPr>
        <w:t xml:space="preserve">Without those agreements </w:t>
      </w:r>
      <w:r w:rsidR="00D71520" w:rsidRPr="00657D30">
        <w:rPr>
          <w:rFonts w:ascii="Times New Roman" w:hAnsi="Times New Roman" w:cs="Times New Roman"/>
          <w:sz w:val="28"/>
          <w:szCs w:val="28"/>
        </w:rPr>
        <w:t>the licence agreement</w:t>
      </w:r>
      <w:r w:rsidR="00535ED7">
        <w:rPr>
          <w:rFonts w:ascii="Times New Roman" w:hAnsi="Times New Roman" w:cs="Times New Roman"/>
          <w:sz w:val="28"/>
          <w:szCs w:val="28"/>
        </w:rPr>
        <w:t>s</w:t>
      </w:r>
      <w:r w:rsidR="00F11767">
        <w:rPr>
          <w:rFonts w:ascii="Times New Roman" w:hAnsi="Times New Roman" w:cs="Times New Roman"/>
          <w:sz w:val="28"/>
          <w:szCs w:val="28"/>
        </w:rPr>
        <w:t xml:space="preserve"> w</w:t>
      </w:r>
      <w:r w:rsidR="00535ED7">
        <w:rPr>
          <w:rFonts w:ascii="Times New Roman" w:hAnsi="Times New Roman" w:cs="Times New Roman"/>
          <w:sz w:val="28"/>
          <w:szCs w:val="28"/>
        </w:rPr>
        <w:t>ere</w:t>
      </w:r>
      <w:r w:rsidR="00F11767">
        <w:rPr>
          <w:rFonts w:ascii="Times New Roman" w:hAnsi="Times New Roman" w:cs="Times New Roman"/>
          <w:sz w:val="28"/>
          <w:szCs w:val="28"/>
        </w:rPr>
        <w:t xml:space="preserve"> impracticable</w:t>
      </w:r>
      <w:r w:rsidR="0012029E">
        <w:rPr>
          <w:rFonts w:ascii="Times New Roman" w:hAnsi="Times New Roman" w:cs="Times New Roman"/>
          <w:sz w:val="28"/>
          <w:szCs w:val="28"/>
        </w:rPr>
        <w:t>,</w:t>
      </w:r>
      <w:r w:rsidR="00DD18D0">
        <w:rPr>
          <w:rFonts w:ascii="Times New Roman" w:hAnsi="Times New Roman" w:cs="Times New Roman"/>
          <w:sz w:val="28"/>
          <w:szCs w:val="28"/>
        </w:rPr>
        <w:t xml:space="preserve"> because </w:t>
      </w:r>
      <w:r w:rsidR="00774131">
        <w:rPr>
          <w:rFonts w:ascii="Times New Roman" w:hAnsi="Times New Roman" w:cs="Times New Roman"/>
          <w:sz w:val="28"/>
          <w:szCs w:val="28"/>
        </w:rPr>
        <w:t>execution of</w:t>
      </w:r>
      <w:r w:rsidR="009C0ECE">
        <w:rPr>
          <w:rFonts w:ascii="Times New Roman" w:hAnsi="Times New Roman" w:cs="Times New Roman"/>
          <w:sz w:val="28"/>
          <w:szCs w:val="28"/>
        </w:rPr>
        <w:t xml:space="preserve"> the</w:t>
      </w:r>
      <w:r w:rsidR="00DD18D0">
        <w:rPr>
          <w:rFonts w:ascii="Times New Roman" w:hAnsi="Times New Roman" w:cs="Times New Roman"/>
          <w:sz w:val="28"/>
          <w:szCs w:val="28"/>
        </w:rPr>
        <w:t xml:space="preserve"> software maintenance obligations </w:t>
      </w:r>
      <w:r w:rsidR="00774131">
        <w:rPr>
          <w:rFonts w:ascii="Times New Roman" w:hAnsi="Times New Roman" w:cs="Times New Roman"/>
          <w:sz w:val="28"/>
          <w:szCs w:val="28"/>
        </w:rPr>
        <w:t xml:space="preserve">were dependant on its membership in the Oracle </w:t>
      </w:r>
      <w:r w:rsidR="00774131">
        <w:rPr>
          <w:rFonts w:ascii="Times New Roman" w:hAnsi="Times New Roman" w:cs="Times New Roman"/>
          <w:sz w:val="28"/>
          <w:szCs w:val="28"/>
        </w:rPr>
        <w:lastRenderedPageBreak/>
        <w:t>network</w:t>
      </w:r>
      <w:r w:rsidR="00F11767">
        <w:rPr>
          <w:rFonts w:ascii="Times New Roman" w:hAnsi="Times New Roman" w:cs="Times New Roman"/>
          <w:sz w:val="28"/>
          <w:szCs w:val="28"/>
        </w:rPr>
        <w:t xml:space="preserve">. The </w:t>
      </w:r>
      <w:r w:rsidR="00F962EF">
        <w:rPr>
          <w:rFonts w:ascii="Times New Roman" w:hAnsi="Times New Roman" w:cs="Times New Roman"/>
          <w:sz w:val="28"/>
          <w:szCs w:val="28"/>
        </w:rPr>
        <w:t>gist</w:t>
      </w:r>
      <w:r w:rsidR="00F11767">
        <w:rPr>
          <w:rFonts w:ascii="Times New Roman" w:hAnsi="Times New Roman" w:cs="Times New Roman"/>
          <w:sz w:val="28"/>
          <w:szCs w:val="28"/>
        </w:rPr>
        <w:t xml:space="preserve"> of </w:t>
      </w:r>
      <w:r w:rsidR="00F962EF">
        <w:rPr>
          <w:rFonts w:ascii="Times New Roman" w:hAnsi="Times New Roman" w:cs="Times New Roman"/>
          <w:sz w:val="28"/>
          <w:szCs w:val="28"/>
        </w:rPr>
        <w:t>this</w:t>
      </w:r>
      <w:r w:rsidR="00F11767">
        <w:rPr>
          <w:rFonts w:ascii="Times New Roman" w:hAnsi="Times New Roman" w:cs="Times New Roman"/>
          <w:sz w:val="28"/>
          <w:szCs w:val="28"/>
        </w:rPr>
        <w:t xml:space="preserve"> argument was that</w:t>
      </w:r>
      <w:r w:rsidR="00D71520" w:rsidRPr="00657D30">
        <w:rPr>
          <w:rFonts w:ascii="Times New Roman" w:hAnsi="Times New Roman" w:cs="Times New Roman"/>
          <w:sz w:val="28"/>
          <w:szCs w:val="28"/>
        </w:rPr>
        <w:t xml:space="preserve"> </w:t>
      </w:r>
      <w:r w:rsidR="00F962EF">
        <w:rPr>
          <w:rFonts w:ascii="Times New Roman" w:hAnsi="Times New Roman" w:cs="Times New Roman"/>
          <w:sz w:val="28"/>
          <w:szCs w:val="28"/>
        </w:rPr>
        <w:t xml:space="preserve">the network membership agreements </w:t>
      </w:r>
      <w:r w:rsidR="0012029E">
        <w:rPr>
          <w:rFonts w:ascii="Times New Roman" w:hAnsi="Times New Roman" w:cs="Times New Roman"/>
          <w:sz w:val="28"/>
          <w:szCs w:val="28"/>
        </w:rPr>
        <w:t xml:space="preserve">and the dispute resolution clauses therein </w:t>
      </w:r>
      <w:r w:rsidR="00F962EF">
        <w:rPr>
          <w:rFonts w:ascii="Times New Roman" w:hAnsi="Times New Roman" w:cs="Times New Roman"/>
          <w:sz w:val="28"/>
          <w:szCs w:val="28"/>
        </w:rPr>
        <w:t xml:space="preserve">superseded </w:t>
      </w:r>
      <w:r w:rsidR="00F11767">
        <w:rPr>
          <w:rFonts w:ascii="Times New Roman" w:hAnsi="Times New Roman" w:cs="Times New Roman"/>
          <w:sz w:val="28"/>
          <w:szCs w:val="28"/>
        </w:rPr>
        <w:t>c</w:t>
      </w:r>
      <w:r w:rsidR="00D71520" w:rsidRPr="00657D30">
        <w:rPr>
          <w:rFonts w:ascii="Times New Roman" w:hAnsi="Times New Roman" w:cs="Times New Roman"/>
          <w:sz w:val="28"/>
          <w:szCs w:val="28"/>
        </w:rPr>
        <w:t xml:space="preserve">lauses 25 </w:t>
      </w:r>
      <w:r w:rsidR="00F962EF">
        <w:rPr>
          <w:rFonts w:ascii="Times New Roman" w:hAnsi="Times New Roman" w:cs="Times New Roman"/>
          <w:sz w:val="28"/>
          <w:szCs w:val="28"/>
        </w:rPr>
        <w:t>and 26 of the licence agreement</w:t>
      </w:r>
      <w:r w:rsidR="0012029E">
        <w:rPr>
          <w:rFonts w:ascii="Times New Roman" w:hAnsi="Times New Roman" w:cs="Times New Roman"/>
          <w:sz w:val="28"/>
          <w:szCs w:val="28"/>
        </w:rPr>
        <w:t>s</w:t>
      </w:r>
      <w:r w:rsidR="00F962EF">
        <w:rPr>
          <w:rFonts w:ascii="Times New Roman" w:hAnsi="Times New Roman" w:cs="Times New Roman"/>
          <w:sz w:val="28"/>
          <w:szCs w:val="28"/>
        </w:rPr>
        <w:t>.</w:t>
      </w:r>
      <w:r w:rsidR="00D71520" w:rsidRPr="00657D30">
        <w:rPr>
          <w:rFonts w:ascii="Times New Roman" w:hAnsi="Times New Roman" w:cs="Times New Roman"/>
          <w:sz w:val="28"/>
          <w:szCs w:val="28"/>
        </w:rPr>
        <w:t xml:space="preserve"> </w:t>
      </w:r>
      <w:r w:rsidR="00F962EF">
        <w:rPr>
          <w:rFonts w:ascii="Times New Roman" w:hAnsi="Times New Roman" w:cs="Times New Roman"/>
          <w:sz w:val="28"/>
          <w:szCs w:val="28"/>
        </w:rPr>
        <w:t xml:space="preserve">It was also asserted that </w:t>
      </w:r>
      <w:r w:rsidR="00D71520" w:rsidRPr="00657D30">
        <w:rPr>
          <w:rFonts w:ascii="Times New Roman" w:hAnsi="Times New Roman" w:cs="Times New Roman"/>
          <w:sz w:val="28"/>
          <w:szCs w:val="28"/>
        </w:rPr>
        <w:t>refer</w:t>
      </w:r>
      <w:r w:rsidR="00F962EF">
        <w:rPr>
          <w:rFonts w:ascii="Times New Roman" w:hAnsi="Times New Roman" w:cs="Times New Roman"/>
          <w:sz w:val="28"/>
          <w:szCs w:val="28"/>
        </w:rPr>
        <w:t>ral of</w:t>
      </w:r>
      <w:r w:rsidR="00D71520" w:rsidRPr="00657D30">
        <w:rPr>
          <w:rFonts w:ascii="Times New Roman" w:hAnsi="Times New Roman" w:cs="Times New Roman"/>
          <w:sz w:val="28"/>
          <w:szCs w:val="28"/>
        </w:rPr>
        <w:t xml:space="preserve"> the </w:t>
      </w:r>
      <w:r w:rsidR="00F962EF">
        <w:rPr>
          <w:rFonts w:ascii="Times New Roman" w:hAnsi="Times New Roman" w:cs="Times New Roman"/>
          <w:sz w:val="28"/>
          <w:szCs w:val="28"/>
        </w:rPr>
        <w:t>dispute</w:t>
      </w:r>
      <w:r w:rsidR="00D71520" w:rsidRPr="00657D30">
        <w:rPr>
          <w:rFonts w:ascii="Times New Roman" w:hAnsi="Times New Roman" w:cs="Times New Roman"/>
          <w:sz w:val="28"/>
          <w:szCs w:val="28"/>
        </w:rPr>
        <w:t xml:space="preserve"> </w:t>
      </w:r>
      <w:r w:rsidR="00F962EF">
        <w:rPr>
          <w:rFonts w:ascii="Times New Roman" w:hAnsi="Times New Roman" w:cs="Times New Roman"/>
          <w:sz w:val="28"/>
          <w:szCs w:val="28"/>
        </w:rPr>
        <w:t>to</w:t>
      </w:r>
      <w:r w:rsidR="00D71520" w:rsidRPr="00657D30">
        <w:rPr>
          <w:rFonts w:ascii="Times New Roman" w:hAnsi="Times New Roman" w:cs="Times New Roman"/>
          <w:sz w:val="28"/>
          <w:szCs w:val="28"/>
        </w:rPr>
        <w:t xml:space="preserve"> </w:t>
      </w:r>
      <w:r w:rsidR="00F11767">
        <w:rPr>
          <w:rFonts w:ascii="Times New Roman" w:hAnsi="Times New Roman" w:cs="Times New Roman"/>
          <w:sz w:val="28"/>
          <w:szCs w:val="28"/>
        </w:rPr>
        <w:t xml:space="preserve">international </w:t>
      </w:r>
      <w:r w:rsidR="00D71520" w:rsidRPr="00657D30">
        <w:rPr>
          <w:rFonts w:ascii="Times New Roman" w:hAnsi="Times New Roman" w:cs="Times New Roman"/>
          <w:sz w:val="28"/>
          <w:szCs w:val="28"/>
        </w:rPr>
        <w:t xml:space="preserve">arbitration </w:t>
      </w:r>
      <w:r w:rsidR="00F962EF">
        <w:rPr>
          <w:rFonts w:ascii="Times New Roman" w:hAnsi="Times New Roman" w:cs="Times New Roman"/>
          <w:sz w:val="28"/>
          <w:szCs w:val="28"/>
        </w:rPr>
        <w:t xml:space="preserve">would not be in the interests of any </w:t>
      </w:r>
      <w:r w:rsidR="00774131">
        <w:rPr>
          <w:rFonts w:ascii="Times New Roman" w:hAnsi="Times New Roman" w:cs="Times New Roman"/>
          <w:sz w:val="28"/>
          <w:szCs w:val="28"/>
        </w:rPr>
        <w:t>of the parties as they were all</w:t>
      </w:r>
      <w:r w:rsidR="00F962EF">
        <w:rPr>
          <w:rFonts w:ascii="Times New Roman" w:hAnsi="Times New Roman" w:cs="Times New Roman"/>
          <w:sz w:val="28"/>
          <w:szCs w:val="28"/>
        </w:rPr>
        <w:t xml:space="preserve"> </w:t>
      </w:r>
      <w:r w:rsidR="00D71520" w:rsidRPr="00657D30">
        <w:rPr>
          <w:rFonts w:ascii="Times New Roman" w:hAnsi="Times New Roman" w:cs="Times New Roman"/>
          <w:sz w:val="28"/>
          <w:szCs w:val="28"/>
        </w:rPr>
        <w:t xml:space="preserve">based in South Africa and the cause of action arose </w:t>
      </w:r>
      <w:r w:rsidR="00F11767">
        <w:rPr>
          <w:rFonts w:ascii="Times New Roman" w:hAnsi="Times New Roman" w:cs="Times New Roman"/>
          <w:sz w:val="28"/>
          <w:szCs w:val="28"/>
        </w:rPr>
        <w:t>within</w:t>
      </w:r>
      <w:r w:rsidR="00D71520" w:rsidRPr="00657D30">
        <w:rPr>
          <w:rFonts w:ascii="Times New Roman" w:hAnsi="Times New Roman" w:cs="Times New Roman"/>
          <w:sz w:val="28"/>
          <w:szCs w:val="28"/>
        </w:rPr>
        <w:t xml:space="preserve"> the Republic. </w:t>
      </w:r>
    </w:p>
    <w:p w14:paraId="3CD43AD3" w14:textId="77777777" w:rsidR="00774131" w:rsidRDefault="00774131" w:rsidP="00E77F33">
      <w:pPr>
        <w:spacing w:after="0" w:line="360" w:lineRule="auto"/>
        <w:jc w:val="both"/>
        <w:rPr>
          <w:rFonts w:ascii="Times New Roman" w:hAnsi="Times New Roman" w:cs="Times New Roman"/>
          <w:sz w:val="28"/>
          <w:szCs w:val="28"/>
        </w:rPr>
      </w:pPr>
    </w:p>
    <w:p w14:paraId="6F5B4F64" w14:textId="4EBB5F80" w:rsidR="0046467F" w:rsidRDefault="00535ED7" w:rsidP="00D71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DB13F5">
        <w:rPr>
          <w:rFonts w:ascii="Times New Roman" w:hAnsi="Times New Roman" w:cs="Times New Roman"/>
          <w:sz w:val="28"/>
          <w:szCs w:val="28"/>
        </w:rPr>
        <w:t>]</w:t>
      </w:r>
      <w:r w:rsidR="00DB13F5">
        <w:rPr>
          <w:rFonts w:ascii="Times New Roman" w:hAnsi="Times New Roman" w:cs="Times New Roman"/>
          <w:sz w:val="28"/>
          <w:szCs w:val="28"/>
        </w:rPr>
        <w:tab/>
        <w:t>In granting the order of stay of the action</w:t>
      </w:r>
      <w:r>
        <w:rPr>
          <w:rFonts w:ascii="Times New Roman" w:hAnsi="Times New Roman" w:cs="Times New Roman"/>
          <w:sz w:val="28"/>
          <w:szCs w:val="28"/>
        </w:rPr>
        <w:t>,</w:t>
      </w:r>
      <w:r w:rsidR="00DB13F5">
        <w:rPr>
          <w:rFonts w:ascii="Times New Roman" w:hAnsi="Times New Roman" w:cs="Times New Roman"/>
          <w:sz w:val="28"/>
          <w:szCs w:val="28"/>
        </w:rPr>
        <w:t xml:space="preserve"> the high court </w:t>
      </w:r>
      <w:r w:rsidR="00D71520" w:rsidRPr="00657D30">
        <w:rPr>
          <w:rFonts w:ascii="Times New Roman" w:hAnsi="Times New Roman" w:cs="Times New Roman"/>
          <w:sz w:val="28"/>
          <w:szCs w:val="28"/>
        </w:rPr>
        <w:t xml:space="preserve">rejected </w:t>
      </w:r>
      <w:r w:rsidR="00285A6B">
        <w:rPr>
          <w:rFonts w:ascii="Times New Roman" w:hAnsi="Times New Roman" w:cs="Times New Roman"/>
          <w:sz w:val="28"/>
          <w:szCs w:val="28"/>
        </w:rPr>
        <w:t>TQ’s</w:t>
      </w:r>
      <w:r w:rsidR="00F962EF">
        <w:rPr>
          <w:rFonts w:ascii="Times New Roman" w:hAnsi="Times New Roman" w:cs="Times New Roman"/>
          <w:sz w:val="28"/>
          <w:szCs w:val="28"/>
        </w:rPr>
        <w:t xml:space="preserve"> contentions.</w:t>
      </w:r>
      <w:r w:rsidR="00D71520" w:rsidRPr="00657D30">
        <w:rPr>
          <w:rFonts w:ascii="Times New Roman" w:hAnsi="Times New Roman" w:cs="Times New Roman"/>
          <w:sz w:val="28"/>
          <w:szCs w:val="28"/>
        </w:rPr>
        <w:t xml:space="preserve"> </w:t>
      </w:r>
      <w:r w:rsidR="00DB13F5">
        <w:rPr>
          <w:rFonts w:ascii="Times New Roman" w:hAnsi="Times New Roman" w:cs="Times New Roman"/>
          <w:sz w:val="28"/>
          <w:szCs w:val="28"/>
        </w:rPr>
        <w:t xml:space="preserve">The high court found that </w:t>
      </w:r>
      <w:r w:rsidR="00F962EF">
        <w:rPr>
          <w:rFonts w:ascii="Times New Roman" w:hAnsi="Times New Roman" w:cs="Times New Roman"/>
          <w:sz w:val="28"/>
          <w:szCs w:val="28"/>
        </w:rPr>
        <w:t>the</w:t>
      </w:r>
      <w:r>
        <w:rPr>
          <w:rFonts w:ascii="Times New Roman" w:hAnsi="Times New Roman" w:cs="Times New Roman"/>
          <w:sz w:val="28"/>
          <w:szCs w:val="28"/>
        </w:rPr>
        <w:t xml:space="preserve"> provisions of the</w:t>
      </w:r>
      <w:r w:rsidR="00F962EF">
        <w:rPr>
          <w:rFonts w:ascii="Times New Roman" w:hAnsi="Times New Roman" w:cs="Times New Roman"/>
          <w:sz w:val="28"/>
          <w:szCs w:val="28"/>
        </w:rPr>
        <w:t xml:space="preserve"> </w:t>
      </w:r>
      <w:r w:rsidR="00285A6B" w:rsidRPr="00285A6B">
        <w:rPr>
          <w:rFonts w:ascii="Times New Roman" w:hAnsi="Times New Roman" w:cs="Times New Roman"/>
          <w:sz w:val="28"/>
          <w:szCs w:val="28"/>
        </w:rPr>
        <w:t>United Nations Commis</w:t>
      </w:r>
      <w:r w:rsidR="00285A6B">
        <w:rPr>
          <w:rFonts w:ascii="Times New Roman" w:hAnsi="Times New Roman" w:cs="Times New Roman"/>
          <w:sz w:val="28"/>
          <w:szCs w:val="28"/>
        </w:rPr>
        <w:t>sion on International Trade Law (</w:t>
      </w:r>
      <w:r w:rsidR="00306894">
        <w:rPr>
          <w:rFonts w:ascii="Times New Roman" w:hAnsi="Times New Roman" w:cs="Times New Roman"/>
          <w:sz w:val="28"/>
          <w:szCs w:val="28"/>
        </w:rPr>
        <w:t>UNCITRAL</w:t>
      </w:r>
      <w:r w:rsidR="00285A6B">
        <w:rPr>
          <w:rFonts w:ascii="Times New Roman" w:hAnsi="Times New Roman" w:cs="Times New Roman"/>
          <w:sz w:val="28"/>
          <w:szCs w:val="28"/>
        </w:rPr>
        <w:t>)</w:t>
      </w:r>
      <w:r w:rsidR="00306894">
        <w:rPr>
          <w:rFonts w:ascii="Times New Roman" w:hAnsi="Times New Roman" w:cs="Times New Roman"/>
          <w:sz w:val="28"/>
          <w:szCs w:val="28"/>
        </w:rPr>
        <w:t xml:space="preserve"> </w:t>
      </w:r>
      <w:r w:rsidR="00F962EF">
        <w:rPr>
          <w:rFonts w:ascii="Times New Roman" w:hAnsi="Times New Roman" w:cs="Times New Roman"/>
          <w:sz w:val="28"/>
          <w:szCs w:val="28"/>
        </w:rPr>
        <w:t>Model Law</w:t>
      </w:r>
      <w:r>
        <w:rPr>
          <w:rFonts w:ascii="Times New Roman" w:hAnsi="Times New Roman" w:cs="Times New Roman"/>
          <w:sz w:val="28"/>
          <w:szCs w:val="28"/>
        </w:rPr>
        <w:t xml:space="preserve"> on </w:t>
      </w:r>
      <w:r w:rsidR="00306894">
        <w:rPr>
          <w:rFonts w:ascii="Times New Roman" w:hAnsi="Times New Roman" w:cs="Times New Roman"/>
          <w:sz w:val="28"/>
          <w:szCs w:val="28"/>
        </w:rPr>
        <w:t>International C</w:t>
      </w:r>
      <w:r>
        <w:rPr>
          <w:rFonts w:ascii="Times New Roman" w:hAnsi="Times New Roman" w:cs="Times New Roman"/>
          <w:sz w:val="28"/>
          <w:szCs w:val="28"/>
        </w:rPr>
        <w:t>ommercial Arbitration of 1985 (Model Law), which form</w:t>
      </w:r>
      <w:r w:rsidR="006D3844">
        <w:rPr>
          <w:rFonts w:ascii="Times New Roman" w:hAnsi="Times New Roman" w:cs="Times New Roman"/>
          <w:sz w:val="28"/>
          <w:szCs w:val="28"/>
        </w:rPr>
        <w:t>s</w:t>
      </w:r>
      <w:r>
        <w:rPr>
          <w:rFonts w:ascii="Times New Roman" w:hAnsi="Times New Roman" w:cs="Times New Roman"/>
          <w:sz w:val="28"/>
          <w:szCs w:val="28"/>
        </w:rPr>
        <w:t xml:space="preserve"> part of the International Arbitration Act 15 of 2017</w:t>
      </w:r>
      <w:r w:rsidR="0049302A">
        <w:rPr>
          <w:rFonts w:ascii="Times New Roman" w:hAnsi="Times New Roman" w:cs="Times New Roman"/>
          <w:sz w:val="28"/>
          <w:szCs w:val="28"/>
        </w:rPr>
        <w:t xml:space="preserve"> (IAA)</w:t>
      </w:r>
      <w:r>
        <w:rPr>
          <w:rFonts w:ascii="Times New Roman" w:hAnsi="Times New Roman" w:cs="Times New Roman"/>
          <w:sz w:val="28"/>
          <w:szCs w:val="28"/>
        </w:rPr>
        <w:t>,</w:t>
      </w:r>
      <w:r w:rsidR="00F962EF">
        <w:rPr>
          <w:rFonts w:ascii="Times New Roman" w:hAnsi="Times New Roman" w:cs="Times New Roman"/>
          <w:sz w:val="28"/>
          <w:szCs w:val="28"/>
        </w:rPr>
        <w:t xml:space="preserve"> applied to the licence agreements</w:t>
      </w:r>
      <w:r w:rsidR="00DB13F5">
        <w:rPr>
          <w:rFonts w:ascii="Times New Roman" w:hAnsi="Times New Roman" w:cs="Times New Roman"/>
          <w:sz w:val="28"/>
          <w:szCs w:val="28"/>
        </w:rPr>
        <w:t>. Further, in terms of Ar</w:t>
      </w:r>
      <w:r w:rsidR="00D71520" w:rsidRPr="00657D30">
        <w:rPr>
          <w:rFonts w:ascii="Times New Roman" w:hAnsi="Times New Roman" w:cs="Times New Roman"/>
          <w:sz w:val="28"/>
          <w:szCs w:val="28"/>
        </w:rPr>
        <w:t>ticle 8</w:t>
      </w:r>
      <w:r>
        <w:rPr>
          <w:rFonts w:ascii="Times New Roman" w:hAnsi="Times New Roman" w:cs="Times New Roman"/>
          <w:sz w:val="28"/>
          <w:szCs w:val="28"/>
        </w:rPr>
        <w:t xml:space="preserve"> of the Model Law</w:t>
      </w:r>
      <w:r w:rsidR="0083500A">
        <w:rPr>
          <w:rStyle w:val="FootnoteReference"/>
          <w:rFonts w:ascii="Times New Roman" w:hAnsi="Times New Roman" w:cs="Times New Roman"/>
          <w:sz w:val="28"/>
          <w:szCs w:val="28"/>
        </w:rPr>
        <w:footnoteReference w:id="4"/>
      </w:r>
      <w:r w:rsidR="002C6910">
        <w:rPr>
          <w:rFonts w:ascii="Times New Roman" w:hAnsi="Times New Roman" w:cs="Times New Roman"/>
          <w:sz w:val="28"/>
          <w:szCs w:val="28"/>
        </w:rPr>
        <w:t>,</w:t>
      </w:r>
      <w:r w:rsidR="00D71520" w:rsidRPr="00657D30">
        <w:rPr>
          <w:rFonts w:ascii="Times New Roman" w:hAnsi="Times New Roman" w:cs="Times New Roman"/>
          <w:sz w:val="28"/>
          <w:szCs w:val="28"/>
        </w:rPr>
        <w:t xml:space="preserve"> </w:t>
      </w:r>
      <w:r w:rsidR="002C6910">
        <w:rPr>
          <w:rFonts w:ascii="Times New Roman" w:hAnsi="Times New Roman" w:cs="Times New Roman"/>
          <w:sz w:val="28"/>
          <w:szCs w:val="28"/>
        </w:rPr>
        <w:t>on a proper interpretation</w:t>
      </w:r>
      <w:r>
        <w:rPr>
          <w:rFonts w:ascii="Times New Roman" w:hAnsi="Times New Roman" w:cs="Times New Roman"/>
          <w:sz w:val="28"/>
          <w:szCs w:val="28"/>
        </w:rPr>
        <w:t xml:space="preserve"> of the licence agreements, the</w:t>
      </w:r>
      <w:r w:rsidR="002C6910">
        <w:rPr>
          <w:rFonts w:ascii="Times New Roman" w:hAnsi="Times New Roman" w:cs="Times New Roman"/>
          <w:sz w:val="28"/>
          <w:szCs w:val="28"/>
        </w:rPr>
        <w:t xml:space="preserve"> court was compelled to order a stay of the action proceedings pending referral of the dispute </w:t>
      </w:r>
      <w:r w:rsidR="002C6910" w:rsidRPr="00657D30">
        <w:rPr>
          <w:rFonts w:ascii="Times New Roman" w:hAnsi="Times New Roman" w:cs="Times New Roman"/>
          <w:sz w:val="28"/>
          <w:szCs w:val="28"/>
        </w:rPr>
        <w:t>to arbitration</w:t>
      </w:r>
      <w:r w:rsidR="002C6910">
        <w:rPr>
          <w:rFonts w:ascii="Times New Roman" w:hAnsi="Times New Roman" w:cs="Times New Roman"/>
          <w:sz w:val="28"/>
          <w:szCs w:val="28"/>
        </w:rPr>
        <w:t xml:space="preserve">. </w:t>
      </w:r>
      <w:r w:rsidR="00285A6B">
        <w:rPr>
          <w:rFonts w:ascii="Times New Roman" w:hAnsi="Times New Roman" w:cs="Times New Roman"/>
          <w:sz w:val="28"/>
          <w:szCs w:val="28"/>
        </w:rPr>
        <w:t xml:space="preserve">The court held that </w:t>
      </w:r>
      <w:r w:rsidR="006D3844">
        <w:rPr>
          <w:rFonts w:ascii="Times New Roman" w:hAnsi="Times New Roman" w:cs="Times New Roman"/>
          <w:sz w:val="28"/>
          <w:szCs w:val="28"/>
        </w:rPr>
        <w:t xml:space="preserve">unlike with the provisions of </w:t>
      </w:r>
      <w:r w:rsidR="002C6910">
        <w:rPr>
          <w:rFonts w:ascii="Times New Roman" w:hAnsi="Times New Roman" w:cs="Times New Roman"/>
          <w:sz w:val="28"/>
          <w:szCs w:val="28"/>
        </w:rPr>
        <w:t xml:space="preserve">the domestic Arbitration Act, </w:t>
      </w:r>
      <w:r w:rsidR="006D3844">
        <w:rPr>
          <w:rFonts w:ascii="Times New Roman" w:hAnsi="Times New Roman" w:cs="Times New Roman"/>
          <w:sz w:val="28"/>
          <w:szCs w:val="28"/>
        </w:rPr>
        <w:t xml:space="preserve">under the IAA </w:t>
      </w:r>
      <w:r w:rsidR="002C6910">
        <w:rPr>
          <w:rFonts w:ascii="Times New Roman" w:hAnsi="Times New Roman" w:cs="Times New Roman"/>
          <w:sz w:val="28"/>
          <w:szCs w:val="28"/>
        </w:rPr>
        <w:t>the court had no</w:t>
      </w:r>
      <w:r w:rsidR="00DB13F5">
        <w:rPr>
          <w:rFonts w:ascii="Times New Roman" w:hAnsi="Times New Roman" w:cs="Times New Roman"/>
          <w:sz w:val="28"/>
          <w:szCs w:val="28"/>
        </w:rPr>
        <w:t xml:space="preserve"> </w:t>
      </w:r>
      <w:r w:rsidR="00D71520" w:rsidRPr="00657D30">
        <w:rPr>
          <w:rFonts w:ascii="Times New Roman" w:hAnsi="Times New Roman" w:cs="Times New Roman"/>
          <w:sz w:val="28"/>
          <w:szCs w:val="28"/>
        </w:rPr>
        <w:t>discretion.</w:t>
      </w:r>
    </w:p>
    <w:p w14:paraId="1D01AC9C" w14:textId="77777777" w:rsidR="008C6034" w:rsidRDefault="008C6034" w:rsidP="00D71520">
      <w:pPr>
        <w:spacing w:after="0" w:line="360" w:lineRule="auto"/>
        <w:jc w:val="both"/>
        <w:rPr>
          <w:rFonts w:ascii="Times New Roman" w:hAnsi="Times New Roman" w:cs="Times New Roman"/>
          <w:sz w:val="28"/>
          <w:szCs w:val="28"/>
        </w:rPr>
      </w:pPr>
    </w:p>
    <w:p w14:paraId="6447AB1F" w14:textId="77777777" w:rsidR="00D71520" w:rsidRPr="00AB6A43" w:rsidRDefault="008C6034" w:rsidP="00D715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On appeal</w:t>
      </w:r>
      <w:r w:rsidR="00D71520" w:rsidRPr="00657D30">
        <w:rPr>
          <w:rFonts w:ascii="Times New Roman" w:hAnsi="Times New Roman" w:cs="Times New Roman"/>
          <w:sz w:val="28"/>
          <w:szCs w:val="28"/>
        </w:rPr>
        <w:t xml:space="preserve"> </w:t>
      </w:r>
    </w:p>
    <w:p w14:paraId="2C7CA4EC" w14:textId="243BA431" w:rsidR="00D71520" w:rsidRDefault="00535ED7" w:rsidP="0053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AB6A43">
        <w:rPr>
          <w:rFonts w:ascii="Times New Roman" w:hAnsi="Times New Roman" w:cs="Times New Roman"/>
          <w:sz w:val="28"/>
          <w:szCs w:val="28"/>
        </w:rPr>
        <w:t>]</w:t>
      </w:r>
      <w:r w:rsidR="00AB6A43">
        <w:rPr>
          <w:rFonts w:ascii="Times New Roman" w:hAnsi="Times New Roman" w:cs="Times New Roman"/>
          <w:sz w:val="28"/>
          <w:szCs w:val="28"/>
        </w:rPr>
        <w:tab/>
      </w:r>
      <w:r w:rsidR="00AC5BCB">
        <w:rPr>
          <w:rFonts w:ascii="Times New Roman" w:hAnsi="Times New Roman" w:cs="Times New Roman"/>
          <w:sz w:val="28"/>
          <w:szCs w:val="28"/>
        </w:rPr>
        <w:t>In this Court both TQ and Oracle repeated more</w:t>
      </w:r>
      <w:r w:rsidR="007B74DA">
        <w:rPr>
          <w:rFonts w:ascii="Times New Roman" w:hAnsi="Times New Roman" w:cs="Times New Roman"/>
          <w:sz w:val="28"/>
          <w:szCs w:val="28"/>
        </w:rPr>
        <w:t xml:space="preserve"> or less the same submissions</w:t>
      </w:r>
      <w:r w:rsidR="00AC5BCB">
        <w:rPr>
          <w:rFonts w:ascii="Times New Roman" w:hAnsi="Times New Roman" w:cs="Times New Roman"/>
          <w:sz w:val="28"/>
          <w:szCs w:val="28"/>
        </w:rPr>
        <w:t xml:space="preserve"> they had made in the high court</w:t>
      </w:r>
      <w:r w:rsidR="00EB3550">
        <w:rPr>
          <w:rFonts w:ascii="Times New Roman" w:hAnsi="Times New Roman" w:cs="Times New Roman"/>
          <w:sz w:val="28"/>
          <w:szCs w:val="28"/>
        </w:rPr>
        <w:t xml:space="preserve">. </w:t>
      </w:r>
      <w:r w:rsidR="00306894">
        <w:rPr>
          <w:rFonts w:ascii="Times New Roman" w:hAnsi="Times New Roman" w:cs="Times New Roman"/>
          <w:sz w:val="28"/>
          <w:szCs w:val="28"/>
        </w:rPr>
        <w:t xml:space="preserve">At the heart of the submissions made on behalf of TQ was that </w:t>
      </w:r>
      <w:r w:rsidR="00007E6A">
        <w:rPr>
          <w:rFonts w:ascii="Times New Roman" w:hAnsi="Times New Roman" w:cs="Times New Roman"/>
          <w:sz w:val="28"/>
          <w:szCs w:val="28"/>
        </w:rPr>
        <w:t>the dispute wa</w:t>
      </w:r>
      <w:r w:rsidR="00007E6A" w:rsidRPr="003E4D61">
        <w:rPr>
          <w:rFonts w:ascii="Times New Roman" w:hAnsi="Times New Roman" w:cs="Times New Roman"/>
          <w:sz w:val="28"/>
          <w:szCs w:val="28"/>
        </w:rPr>
        <w:t xml:space="preserve">s not an </w:t>
      </w:r>
      <w:r w:rsidR="00007E6A" w:rsidRPr="00306894">
        <w:rPr>
          <w:rFonts w:ascii="Times New Roman" w:hAnsi="Times New Roman" w:cs="Times New Roman"/>
          <w:sz w:val="28"/>
          <w:szCs w:val="28"/>
        </w:rPr>
        <w:t>international commercial</w:t>
      </w:r>
      <w:r w:rsidR="00007E6A" w:rsidRPr="003E4D61">
        <w:rPr>
          <w:rFonts w:ascii="Times New Roman" w:hAnsi="Times New Roman" w:cs="Times New Roman"/>
          <w:sz w:val="28"/>
          <w:szCs w:val="28"/>
        </w:rPr>
        <w:t xml:space="preserve"> dispute because </w:t>
      </w:r>
      <w:r w:rsidR="00007E6A">
        <w:rPr>
          <w:rFonts w:ascii="Times New Roman" w:hAnsi="Times New Roman" w:cs="Times New Roman"/>
          <w:sz w:val="28"/>
          <w:szCs w:val="28"/>
        </w:rPr>
        <w:t>I-Flex wa</w:t>
      </w:r>
      <w:r w:rsidR="00007E6A" w:rsidRPr="003E4D61">
        <w:rPr>
          <w:rFonts w:ascii="Times New Roman" w:hAnsi="Times New Roman" w:cs="Times New Roman"/>
          <w:sz w:val="28"/>
          <w:szCs w:val="28"/>
        </w:rPr>
        <w:t>s no</w:t>
      </w:r>
      <w:r w:rsidR="00306894">
        <w:rPr>
          <w:rFonts w:ascii="Times New Roman" w:hAnsi="Times New Roman" w:cs="Times New Roman"/>
          <w:sz w:val="28"/>
          <w:szCs w:val="28"/>
        </w:rPr>
        <w:t xml:space="preserve"> longer</w:t>
      </w:r>
      <w:r w:rsidR="00007E6A" w:rsidRPr="003E4D61">
        <w:rPr>
          <w:rFonts w:ascii="Times New Roman" w:hAnsi="Times New Roman" w:cs="Times New Roman"/>
          <w:sz w:val="28"/>
          <w:szCs w:val="28"/>
        </w:rPr>
        <w:t xml:space="preserve"> party </w:t>
      </w:r>
      <w:r w:rsidR="000A6D82">
        <w:rPr>
          <w:rFonts w:ascii="Times New Roman" w:hAnsi="Times New Roman" w:cs="Times New Roman"/>
          <w:sz w:val="28"/>
          <w:szCs w:val="28"/>
        </w:rPr>
        <w:t>to the</w:t>
      </w:r>
      <w:r w:rsidR="00306894">
        <w:rPr>
          <w:rFonts w:ascii="Times New Roman" w:hAnsi="Times New Roman" w:cs="Times New Roman"/>
          <w:sz w:val="28"/>
          <w:szCs w:val="28"/>
        </w:rPr>
        <w:t xml:space="preserve"> licence agreements</w:t>
      </w:r>
      <w:r w:rsidR="00EA10AB">
        <w:rPr>
          <w:rFonts w:ascii="Times New Roman" w:hAnsi="Times New Roman" w:cs="Times New Roman"/>
          <w:sz w:val="28"/>
          <w:szCs w:val="28"/>
        </w:rPr>
        <w:t xml:space="preserve"> and</w:t>
      </w:r>
      <w:r w:rsidR="00007E6A">
        <w:rPr>
          <w:rFonts w:ascii="Times New Roman" w:hAnsi="Times New Roman" w:cs="Times New Roman"/>
          <w:sz w:val="28"/>
          <w:szCs w:val="28"/>
        </w:rPr>
        <w:t xml:space="preserve"> </w:t>
      </w:r>
      <w:r w:rsidR="00007E6A" w:rsidRPr="003E4D61">
        <w:rPr>
          <w:rFonts w:ascii="Times New Roman" w:hAnsi="Times New Roman" w:cs="Times New Roman"/>
          <w:sz w:val="28"/>
          <w:szCs w:val="28"/>
        </w:rPr>
        <w:t xml:space="preserve">the entities </w:t>
      </w:r>
      <w:r w:rsidR="001A5124">
        <w:rPr>
          <w:rFonts w:ascii="Times New Roman" w:hAnsi="Times New Roman" w:cs="Times New Roman"/>
          <w:sz w:val="28"/>
          <w:szCs w:val="28"/>
        </w:rPr>
        <w:t>involved were</w:t>
      </w:r>
      <w:r w:rsidR="00007E6A" w:rsidRPr="003E4D61">
        <w:rPr>
          <w:rFonts w:ascii="Times New Roman" w:hAnsi="Times New Roman" w:cs="Times New Roman"/>
          <w:sz w:val="28"/>
          <w:szCs w:val="28"/>
        </w:rPr>
        <w:t xml:space="preserve"> based in S</w:t>
      </w:r>
      <w:r w:rsidR="00007E6A">
        <w:rPr>
          <w:rFonts w:ascii="Times New Roman" w:hAnsi="Times New Roman" w:cs="Times New Roman"/>
          <w:sz w:val="28"/>
          <w:szCs w:val="28"/>
        </w:rPr>
        <w:t xml:space="preserve">outh </w:t>
      </w:r>
      <w:r w:rsidR="00007E6A" w:rsidRPr="003E4D61">
        <w:rPr>
          <w:rFonts w:ascii="Times New Roman" w:hAnsi="Times New Roman" w:cs="Times New Roman"/>
          <w:sz w:val="28"/>
          <w:szCs w:val="28"/>
        </w:rPr>
        <w:t>A</w:t>
      </w:r>
      <w:r>
        <w:rPr>
          <w:rFonts w:ascii="Times New Roman" w:hAnsi="Times New Roman" w:cs="Times New Roman"/>
          <w:sz w:val="28"/>
          <w:szCs w:val="28"/>
        </w:rPr>
        <w:t>frica.</w:t>
      </w:r>
    </w:p>
    <w:p w14:paraId="44CFB159" w14:textId="77777777" w:rsidR="00535ED7" w:rsidRPr="00535ED7" w:rsidRDefault="00535ED7" w:rsidP="00535ED7">
      <w:pPr>
        <w:spacing w:after="0" w:line="360" w:lineRule="auto"/>
        <w:jc w:val="both"/>
        <w:rPr>
          <w:rFonts w:ascii="Times New Roman" w:hAnsi="Times New Roman" w:cs="Times New Roman"/>
          <w:sz w:val="28"/>
          <w:szCs w:val="28"/>
        </w:rPr>
      </w:pPr>
    </w:p>
    <w:p w14:paraId="0854C1E7" w14:textId="77777777" w:rsidR="00DB4D07" w:rsidRDefault="00AE6603" w:rsidP="00F96B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35ED7">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submission on behalf Oracle was </w:t>
      </w:r>
      <w:r w:rsidR="00D71520" w:rsidRPr="003E4D61">
        <w:rPr>
          <w:rFonts w:ascii="Times New Roman" w:hAnsi="Times New Roman" w:cs="Times New Roman"/>
          <w:sz w:val="28"/>
          <w:szCs w:val="28"/>
        </w:rPr>
        <w:t xml:space="preserve">that </w:t>
      </w:r>
      <w:r w:rsidR="00AD4179">
        <w:rPr>
          <w:rFonts w:ascii="Times New Roman" w:hAnsi="Times New Roman" w:cs="Times New Roman"/>
          <w:sz w:val="28"/>
          <w:szCs w:val="28"/>
        </w:rPr>
        <w:t xml:space="preserve">the </w:t>
      </w:r>
      <w:r>
        <w:rPr>
          <w:rFonts w:ascii="Times New Roman" w:hAnsi="Times New Roman" w:cs="Times New Roman"/>
          <w:sz w:val="28"/>
          <w:szCs w:val="28"/>
        </w:rPr>
        <w:t xml:space="preserve">issues raised in </w:t>
      </w:r>
      <w:r w:rsidRPr="003E4D61">
        <w:rPr>
          <w:rFonts w:ascii="Times New Roman" w:hAnsi="Times New Roman" w:cs="Times New Roman"/>
          <w:sz w:val="28"/>
          <w:szCs w:val="28"/>
        </w:rPr>
        <w:t>TQ’s cause of action</w:t>
      </w:r>
      <w:r>
        <w:rPr>
          <w:rFonts w:ascii="Times New Roman" w:hAnsi="Times New Roman" w:cs="Times New Roman"/>
          <w:sz w:val="28"/>
          <w:szCs w:val="28"/>
        </w:rPr>
        <w:t xml:space="preserve"> were governed exclusively by the licence agreements</w:t>
      </w:r>
      <w:r w:rsidR="001B6D85">
        <w:rPr>
          <w:rFonts w:ascii="Times New Roman" w:hAnsi="Times New Roman" w:cs="Times New Roman"/>
          <w:sz w:val="28"/>
          <w:szCs w:val="28"/>
        </w:rPr>
        <w:t xml:space="preserve">. The </w:t>
      </w:r>
      <w:r>
        <w:rPr>
          <w:rFonts w:ascii="Times New Roman" w:hAnsi="Times New Roman" w:cs="Times New Roman"/>
          <w:sz w:val="28"/>
          <w:szCs w:val="28"/>
        </w:rPr>
        <w:t xml:space="preserve">network membership agreements </w:t>
      </w:r>
      <w:r w:rsidR="00AD4179">
        <w:rPr>
          <w:rFonts w:ascii="Times New Roman" w:hAnsi="Times New Roman" w:cs="Times New Roman"/>
          <w:sz w:val="28"/>
          <w:szCs w:val="28"/>
        </w:rPr>
        <w:t xml:space="preserve">which </w:t>
      </w:r>
      <w:r w:rsidR="001B6D85">
        <w:rPr>
          <w:rFonts w:ascii="Times New Roman" w:hAnsi="Times New Roman" w:cs="Times New Roman"/>
          <w:sz w:val="28"/>
          <w:szCs w:val="28"/>
        </w:rPr>
        <w:t>governed other aspects of</w:t>
      </w:r>
      <w:r>
        <w:rPr>
          <w:rFonts w:ascii="Times New Roman" w:hAnsi="Times New Roman" w:cs="Times New Roman"/>
          <w:sz w:val="28"/>
          <w:szCs w:val="28"/>
        </w:rPr>
        <w:t xml:space="preserve"> </w:t>
      </w:r>
      <w:r w:rsidR="00D71520" w:rsidRPr="003E4D61">
        <w:rPr>
          <w:rFonts w:ascii="Times New Roman" w:hAnsi="Times New Roman" w:cs="Times New Roman"/>
          <w:sz w:val="28"/>
          <w:szCs w:val="28"/>
        </w:rPr>
        <w:t>the parties’ relationship</w:t>
      </w:r>
      <w:r w:rsidR="00AD4179">
        <w:rPr>
          <w:rFonts w:ascii="Times New Roman" w:hAnsi="Times New Roman" w:cs="Times New Roman"/>
          <w:sz w:val="28"/>
          <w:szCs w:val="28"/>
        </w:rPr>
        <w:t xml:space="preserve"> could not supersede the arbitration dispute resolution mechanism stipulated in the licence agreements. </w:t>
      </w:r>
      <w:r w:rsidR="001B6D85">
        <w:rPr>
          <w:rFonts w:ascii="Times New Roman" w:hAnsi="Times New Roman" w:cs="Times New Roman"/>
          <w:sz w:val="28"/>
          <w:szCs w:val="28"/>
        </w:rPr>
        <w:t xml:space="preserve"> </w:t>
      </w:r>
    </w:p>
    <w:p w14:paraId="06176853" w14:textId="77777777" w:rsidR="00521FB8" w:rsidRDefault="00521FB8" w:rsidP="00F96BD5">
      <w:pPr>
        <w:spacing w:after="0" w:line="360" w:lineRule="auto"/>
        <w:jc w:val="both"/>
        <w:rPr>
          <w:rFonts w:ascii="Times New Roman" w:hAnsi="Times New Roman" w:cs="Times New Roman"/>
          <w:sz w:val="28"/>
          <w:szCs w:val="28"/>
        </w:rPr>
      </w:pPr>
    </w:p>
    <w:p w14:paraId="5CDE136E" w14:textId="369F6481" w:rsidR="00F96BD5" w:rsidRDefault="00AD4179" w:rsidP="00F96BD5">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The agreements</w:t>
      </w:r>
    </w:p>
    <w:p w14:paraId="4E9C50BB" w14:textId="3D2ABDF2" w:rsidR="00717F6D" w:rsidRDefault="00717F6D" w:rsidP="00727A5A">
      <w:pPr>
        <w:spacing w:after="0" w:line="360" w:lineRule="auto"/>
        <w:jc w:val="both"/>
        <w:rPr>
          <w:rFonts w:ascii="Times New Roman" w:hAnsi="Times New Roman" w:cs="Times New Roman"/>
          <w:bCs/>
          <w:sz w:val="28"/>
          <w:szCs w:val="28"/>
          <w:lang w:val="en-US"/>
        </w:rPr>
      </w:pPr>
      <w:r>
        <w:rPr>
          <w:rFonts w:ascii="Times New Roman" w:hAnsi="Times New Roman" w:cs="Times New Roman"/>
          <w:sz w:val="28"/>
          <w:szCs w:val="28"/>
        </w:rPr>
        <w:t>[</w:t>
      </w:r>
      <w:r w:rsidR="00E256CC">
        <w:rPr>
          <w:rFonts w:ascii="Times New Roman" w:hAnsi="Times New Roman" w:cs="Times New Roman"/>
          <w:sz w:val="28"/>
          <w:szCs w:val="28"/>
        </w:rPr>
        <w:t>14</w:t>
      </w:r>
      <w:r>
        <w:rPr>
          <w:rFonts w:ascii="Times New Roman" w:hAnsi="Times New Roman" w:cs="Times New Roman"/>
          <w:sz w:val="28"/>
          <w:szCs w:val="28"/>
        </w:rPr>
        <w:t>]</w:t>
      </w:r>
      <w:r>
        <w:rPr>
          <w:rFonts w:ascii="Times New Roman" w:hAnsi="Times New Roman" w:cs="Times New Roman"/>
          <w:sz w:val="28"/>
          <w:szCs w:val="28"/>
        </w:rPr>
        <w:tab/>
        <w:t xml:space="preserve">Five contracts </w:t>
      </w:r>
      <w:r w:rsidR="00BB3D65">
        <w:rPr>
          <w:rFonts w:ascii="Times New Roman" w:hAnsi="Times New Roman" w:cs="Times New Roman"/>
          <w:sz w:val="28"/>
          <w:szCs w:val="28"/>
        </w:rPr>
        <w:t xml:space="preserve">require close consideration in this appeal </w:t>
      </w:r>
      <w:r w:rsidR="00727A5A">
        <w:rPr>
          <w:rFonts w:ascii="Times New Roman" w:hAnsi="Times New Roman" w:cs="Times New Roman"/>
          <w:sz w:val="28"/>
          <w:szCs w:val="28"/>
        </w:rPr>
        <w:t>–</w:t>
      </w:r>
      <w:r>
        <w:rPr>
          <w:rFonts w:ascii="Times New Roman" w:hAnsi="Times New Roman" w:cs="Times New Roman"/>
          <w:sz w:val="28"/>
          <w:szCs w:val="28"/>
        </w:rPr>
        <w:t xml:space="preserve"> the two licence agreements and</w:t>
      </w:r>
      <w:r w:rsidR="009057E5">
        <w:rPr>
          <w:rFonts w:ascii="Times New Roman" w:hAnsi="Times New Roman" w:cs="Times New Roman"/>
          <w:sz w:val="28"/>
          <w:szCs w:val="28"/>
        </w:rPr>
        <w:t xml:space="preserve"> the</w:t>
      </w:r>
      <w:r>
        <w:rPr>
          <w:rFonts w:ascii="Times New Roman" w:hAnsi="Times New Roman" w:cs="Times New Roman"/>
          <w:sz w:val="28"/>
          <w:szCs w:val="28"/>
        </w:rPr>
        <w:t xml:space="preserve"> three Oracle network membership agreements.   Each of these regulates a specific aspect of the parties’ </w:t>
      </w:r>
      <w:r w:rsidR="009057E5">
        <w:rPr>
          <w:rFonts w:ascii="Times New Roman" w:hAnsi="Times New Roman" w:cs="Times New Roman"/>
          <w:sz w:val="28"/>
          <w:szCs w:val="28"/>
        </w:rPr>
        <w:t xml:space="preserve">business </w:t>
      </w:r>
      <w:r>
        <w:rPr>
          <w:rFonts w:ascii="Times New Roman" w:hAnsi="Times New Roman" w:cs="Times New Roman"/>
          <w:sz w:val="28"/>
          <w:szCs w:val="28"/>
        </w:rPr>
        <w:t>relationship. The licence agreement laid the ground for TQ to acquire</w:t>
      </w:r>
      <w:r w:rsidR="00BB3D65">
        <w:rPr>
          <w:rFonts w:ascii="Times New Roman" w:hAnsi="Times New Roman" w:cs="Times New Roman"/>
          <w:sz w:val="28"/>
          <w:szCs w:val="28"/>
        </w:rPr>
        <w:t xml:space="preserve"> the specified</w:t>
      </w:r>
      <w:r>
        <w:rPr>
          <w:rFonts w:ascii="Times New Roman" w:hAnsi="Times New Roman" w:cs="Times New Roman"/>
          <w:sz w:val="28"/>
          <w:szCs w:val="28"/>
        </w:rPr>
        <w:t xml:space="preserve"> rights to the I-Flex s</w:t>
      </w:r>
      <w:r w:rsidR="000459F6">
        <w:rPr>
          <w:rFonts w:ascii="Times New Roman" w:hAnsi="Times New Roman" w:cs="Times New Roman"/>
          <w:sz w:val="28"/>
          <w:szCs w:val="28"/>
        </w:rPr>
        <w:t>oftware in anticipation of the s</w:t>
      </w:r>
      <w:r>
        <w:rPr>
          <w:rFonts w:ascii="Times New Roman" w:hAnsi="Times New Roman" w:cs="Times New Roman"/>
          <w:sz w:val="28"/>
          <w:szCs w:val="28"/>
        </w:rPr>
        <w:t>ub-licence</w:t>
      </w:r>
      <w:r w:rsidR="00B35EDB">
        <w:rPr>
          <w:rFonts w:ascii="Times New Roman" w:hAnsi="Times New Roman" w:cs="Times New Roman"/>
          <w:sz w:val="28"/>
          <w:szCs w:val="28"/>
        </w:rPr>
        <w:t xml:space="preserve"> agreement</w:t>
      </w:r>
      <w:r w:rsidR="000459F6">
        <w:rPr>
          <w:rFonts w:ascii="Times New Roman" w:hAnsi="Times New Roman" w:cs="Times New Roman"/>
          <w:sz w:val="28"/>
          <w:szCs w:val="28"/>
        </w:rPr>
        <w:t xml:space="preserve"> between TQ and SAPO. </w:t>
      </w:r>
      <w:r w:rsidR="00727A5A">
        <w:rPr>
          <w:rFonts w:ascii="Times New Roman" w:hAnsi="Times New Roman" w:cs="Times New Roman"/>
          <w:sz w:val="28"/>
          <w:szCs w:val="28"/>
        </w:rPr>
        <w:t>Clause</w:t>
      </w:r>
      <w:r w:rsidR="000459F6">
        <w:rPr>
          <w:rFonts w:ascii="Times New Roman" w:hAnsi="Times New Roman" w:cs="Times New Roman"/>
          <w:bCs/>
          <w:sz w:val="28"/>
          <w:szCs w:val="28"/>
          <w:lang w:val="en-US"/>
        </w:rPr>
        <w:t xml:space="preserve"> 2.1 of the </w:t>
      </w:r>
      <w:r w:rsidR="000459F6" w:rsidRPr="00727A5A">
        <w:rPr>
          <w:rFonts w:ascii="Times New Roman" w:hAnsi="Times New Roman" w:cs="Times New Roman"/>
          <w:bCs/>
          <w:sz w:val="28"/>
          <w:szCs w:val="28"/>
        </w:rPr>
        <w:t>licence</w:t>
      </w:r>
      <w:r w:rsidR="000459F6">
        <w:rPr>
          <w:rFonts w:ascii="Times New Roman" w:hAnsi="Times New Roman" w:cs="Times New Roman"/>
          <w:bCs/>
          <w:sz w:val="28"/>
          <w:szCs w:val="28"/>
          <w:lang w:val="en-US"/>
        </w:rPr>
        <w:t xml:space="preserve"> agreement</w:t>
      </w:r>
      <w:r>
        <w:rPr>
          <w:rFonts w:ascii="Times New Roman" w:hAnsi="Times New Roman" w:cs="Times New Roman"/>
          <w:bCs/>
          <w:sz w:val="28"/>
          <w:szCs w:val="28"/>
          <w:lang w:val="en-US"/>
        </w:rPr>
        <w:t xml:space="preserve"> </w:t>
      </w:r>
      <w:r w:rsidR="00727A5A">
        <w:rPr>
          <w:rFonts w:ascii="Times New Roman" w:hAnsi="Times New Roman" w:cs="Times New Roman"/>
          <w:bCs/>
          <w:sz w:val="28"/>
          <w:szCs w:val="28"/>
          <w:lang w:val="en-US"/>
        </w:rPr>
        <w:t>provided that</w:t>
      </w:r>
      <w:r>
        <w:rPr>
          <w:rFonts w:ascii="Times New Roman" w:hAnsi="Times New Roman" w:cs="Times New Roman"/>
          <w:bCs/>
          <w:sz w:val="28"/>
          <w:szCs w:val="28"/>
          <w:lang w:val="en-US"/>
        </w:rPr>
        <w:t>:</w:t>
      </w:r>
    </w:p>
    <w:p w14:paraId="5DD1F3BE" w14:textId="33116012" w:rsidR="00B068B8" w:rsidRDefault="00727A5A" w:rsidP="00B068B8">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‘2.1The Company [I-Flex]</w:t>
      </w:r>
      <w:r w:rsidR="00717F6D" w:rsidRPr="00071ED8">
        <w:rPr>
          <w:rFonts w:ascii="Times New Roman" w:hAnsi="Times New Roman" w:cs="Times New Roman"/>
          <w:bCs/>
          <w:sz w:val="24"/>
          <w:szCs w:val="24"/>
          <w:lang w:val="en-US"/>
        </w:rPr>
        <w:t xml:space="preserve"> grants to the </w:t>
      </w:r>
      <w:r w:rsidR="00717F6D" w:rsidRPr="00727A5A">
        <w:rPr>
          <w:rFonts w:ascii="Times New Roman" w:hAnsi="Times New Roman" w:cs="Times New Roman"/>
          <w:bCs/>
          <w:sz w:val="24"/>
          <w:szCs w:val="24"/>
        </w:rPr>
        <w:t>Licencee</w:t>
      </w:r>
      <w:r w:rsidR="00717F6D" w:rsidRPr="00071ED8">
        <w:rPr>
          <w:rFonts w:ascii="Times New Roman" w:hAnsi="Times New Roman" w:cs="Times New Roman"/>
          <w:bCs/>
          <w:sz w:val="24"/>
          <w:szCs w:val="24"/>
          <w:lang w:val="en-US"/>
        </w:rPr>
        <w:t xml:space="preserve"> [TQ] and the </w:t>
      </w:r>
      <w:r w:rsidR="00717F6D" w:rsidRPr="00727A5A">
        <w:rPr>
          <w:rFonts w:ascii="Times New Roman" w:hAnsi="Times New Roman" w:cs="Times New Roman"/>
          <w:bCs/>
          <w:sz w:val="24"/>
          <w:szCs w:val="24"/>
        </w:rPr>
        <w:t>Licencee</w:t>
      </w:r>
      <w:r w:rsidR="00717F6D" w:rsidRPr="00071ED8">
        <w:rPr>
          <w:rFonts w:ascii="Times New Roman" w:hAnsi="Times New Roman" w:cs="Times New Roman"/>
          <w:bCs/>
          <w:sz w:val="24"/>
          <w:szCs w:val="24"/>
          <w:lang w:val="en-US"/>
        </w:rPr>
        <w:t xml:space="preserve"> hereby accepts the non-exclusive, pers</w:t>
      </w:r>
      <w:r>
        <w:rPr>
          <w:rFonts w:ascii="Times New Roman" w:hAnsi="Times New Roman" w:cs="Times New Roman"/>
          <w:bCs/>
          <w:sz w:val="24"/>
          <w:szCs w:val="24"/>
          <w:lang w:val="en-US"/>
        </w:rPr>
        <w:t>onal, non-transferable, royalty-</w:t>
      </w:r>
      <w:r w:rsidR="00717F6D" w:rsidRPr="00071ED8">
        <w:rPr>
          <w:rFonts w:ascii="Times New Roman" w:hAnsi="Times New Roman" w:cs="Times New Roman"/>
          <w:bCs/>
          <w:sz w:val="24"/>
          <w:szCs w:val="24"/>
          <w:lang w:val="en-US"/>
        </w:rPr>
        <w:t xml:space="preserve">free and intangible right (the </w:t>
      </w:r>
      <w:r w:rsidR="00717F6D" w:rsidRPr="00727A5A">
        <w:rPr>
          <w:rFonts w:ascii="Times New Roman" w:hAnsi="Times New Roman" w:cs="Times New Roman"/>
          <w:bCs/>
          <w:sz w:val="24"/>
          <w:szCs w:val="24"/>
        </w:rPr>
        <w:t>Licence’</w:t>
      </w:r>
      <w:r w:rsidR="00717F6D" w:rsidRPr="00071ED8">
        <w:rPr>
          <w:rFonts w:ascii="Times New Roman" w:hAnsi="Times New Roman" w:cs="Times New Roman"/>
          <w:bCs/>
          <w:sz w:val="24"/>
          <w:szCs w:val="24"/>
          <w:lang w:val="en-US"/>
        </w:rPr>
        <w:t>) as further described in this section to sub-</w:t>
      </w:r>
      <w:r w:rsidR="00717F6D" w:rsidRPr="00727A5A">
        <w:rPr>
          <w:rFonts w:ascii="Times New Roman" w:hAnsi="Times New Roman" w:cs="Times New Roman"/>
          <w:bCs/>
          <w:sz w:val="24"/>
          <w:szCs w:val="24"/>
        </w:rPr>
        <w:t>licence</w:t>
      </w:r>
      <w:r w:rsidR="00717F6D" w:rsidRPr="00071ED8">
        <w:rPr>
          <w:rFonts w:ascii="Times New Roman" w:hAnsi="Times New Roman" w:cs="Times New Roman"/>
          <w:bCs/>
          <w:sz w:val="24"/>
          <w:szCs w:val="24"/>
          <w:lang w:val="en-US"/>
        </w:rPr>
        <w:t xml:space="preserve"> the Software </w:t>
      </w:r>
      <w:r>
        <w:rPr>
          <w:rFonts w:ascii="Times New Roman" w:hAnsi="Times New Roman" w:cs="Times New Roman"/>
          <w:bCs/>
          <w:sz w:val="24"/>
          <w:szCs w:val="24"/>
          <w:lang w:val="en-US"/>
        </w:rPr>
        <w:t xml:space="preserve">System </w:t>
      </w:r>
      <w:r w:rsidR="00717F6D" w:rsidRPr="00071ED8">
        <w:rPr>
          <w:rFonts w:ascii="Times New Roman" w:hAnsi="Times New Roman" w:cs="Times New Roman"/>
          <w:bCs/>
          <w:sz w:val="24"/>
          <w:szCs w:val="24"/>
          <w:lang w:val="en-US"/>
        </w:rPr>
        <w:t xml:space="preserve">to the Bank </w:t>
      </w:r>
      <w:r w:rsidR="00577D7E">
        <w:rPr>
          <w:rFonts w:ascii="Times New Roman" w:hAnsi="Times New Roman" w:cs="Times New Roman"/>
          <w:bCs/>
          <w:sz w:val="24"/>
          <w:szCs w:val="24"/>
          <w:lang w:val="en-US"/>
        </w:rPr>
        <w:t xml:space="preserve">[SAPO] </w:t>
      </w:r>
      <w:r w:rsidR="00717F6D" w:rsidRPr="00071ED8">
        <w:rPr>
          <w:rFonts w:ascii="Times New Roman" w:hAnsi="Times New Roman" w:cs="Times New Roman"/>
          <w:bCs/>
          <w:sz w:val="24"/>
          <w:szCs w:val="24"/>
          <w:lang w:val="en-US"/>
        </w:rPr>
        <w:t>as follows:</w:t>
      </w:r>
    </w:p>
    <w:p w14:paraId="5A80A9BF" w14:textId="77777777" w:rsidR="00B068B8" w:rsidRDefault="00717F6D" w:rsidP="00B068B8">
      <w:pPr>
        <w:pStyle w:val="ListParagraph"/>
        <w:numPr>
          <w:ilvl w:val="0"/>
          <w:numId w:val="7"/>
        </w:numPr>
        <w:spacing w:after="0" w:line="360" w:lineRule="auto"/>
        <w:jc w:val="both"/>
        <w:rPr>
          <w:rFonts w:ascii="Times New Roman" w:hAnsi="Times New Roman" w:cs="Times New Roman"/>
          <w:bCs/>
          <w:sz w:val="24"/>
          <w:szCs w:val="24"/>
          <w:lang w:val="en-US"/>
        </w:rPr>
      </w:pPr>
      <w:r w:rsidRPr="00B068B8">
        <w:rPr>
          <w:rFonts w:ascii="Times New Roman" w:hAnsi="Times New Roman" w:cs="Times New Roman"/>
          <w:bCs/>
          <w:sz w:val="24"/>
          <w:szCs w:val="24"/>
          <w:lang w:val="en-US"/>
        </w:rPr>
        <w:t>To directly sub</w:t>
      </w:r>
      <w:r w:rsidR="00727A5A" w:rsidRPr="00B068B8">
        <w:rPr>
          <w:rFonts w:ascii="Times New Roman" w:hAnsi="Times New Roman" w:cs="Times New Roman"/>
          <w:bCs/>
          <w:sz w:val="24"/>
          <w:szCs w:val="24"/>
          <w:lang w:val="en-US"/>
        </w:rPr>
        <w:t>-</w:t>
      </w:r>
      <w:r w:rsidRPr="00B068B8">
        <w:rPr>
          <w:rFonts w:ascii="Times New Roman" w:hAnsi="Times New Roman" w:cs="Times New Roman"/>
          <w:bCs/>
          <w:sz w:val="24"/>
          <w:szCs w:val="24"/>
        </w:rPr>
        <w:t>licence</w:t>
      </w:r>
      <w:r w:rsidRPr="00B068B8">
        <w:rPr>
          <w:rFonts w:ascii="Times New Roman" w:hAnsi="Times New Roman" w:cs="Times New Roman"/>
          <w:bCs/>
          <w:sz w:val="24"/>
          <w:szCs w:val="24"/>
          <w:lang w:val="en-US"/>
        </w:rPr>
        <w:t xml:space="preserve"> the Software System to the Bank for its own internal business purposes.</w:t>
      </w:r>
    </w:p>
    <w:p w14:paraId="14FCE98B" w14:textId="77777777" w:rsidR="00B068B8" w:rsidRDefault="00717F6D" w:rsidP="00B068B8">
      <w:pPr>
        <w:pStyle w:val="ListParagraph"/>
        <w:numPr>
          <w:ilvl w:val="0"/>
          <w:numId w:val="7"/>
        </w:numPr>
        <w:spacing w:after="0" w:line="360" w:lineRule="auto"/>
        <w:jc w:val="both"/>
        <w:rPr>
          <w:rFonts w:ascii="Times New Roman" w:hAnsi="Times New Roman" w:cs="Times New Roman"/>
          <w:bCs/>
          <w:sz w:val="24"/>
          <w:szCs w:val="24"/>
          <w:lang w:val="en-US"/>
        </w:rPr>
      </w:pPr>
      <w:r w:rsidRPr="00B068B8">
        <w:rPr>
          <w:rFonts w:ascii="Times New Roman" w:hAnsi="Times New Roman" w:cs="Times New Roman"/>
          <w:bCs/>
          <w:sz w:val="24"/>
          <w:szCs w:val="24"/>
          <w:lang w:val="en-US"/>
        </w:rPr>
        <w:t xml:space="preserve">The payment of the full </w:t>
      </w:r>
      <w:r w:rsidRPr="00B068B8">
        <w:rPr>
          <w:rFonts w:ascii="Times New Roman" w:hAnsi="Times New Roman" w:cs="Times New Roman"/>
          <w:bCs/>
          <w:sz w:val="24"/>
          <w:szCs w:val="24"/>
        </w:rPr>
        <w:t>licence</w:t>
      </w:r>
      <w:r w:rsidRPr="00B068B8">
        <w:rPr>
          <w:rFonts w:ascii="Times New Roman" w:hAnsi="Times New Roman" w:cs="Times New Roman"/>
          <w:bCs/>
          <w:sz w:val="24"/>
          <w:szCs w:val="24"/>
          <w:lang w:val="en-US"/>
        </w:rPr>
        <w:t xml:space="preserve"> fees and all other charges</w:t>
      </w:r>
      <w:r w:rsidR="00727A5A" w:rsidRPr="00B068B8">
        <w:rPr>
          <w:rFonts w:ascii="Times New Roman" w:hAnsi="Times New Roman" w:cs="Times New Roman"/>
          <w:bCs/>
          <w:sz w:val="24"/>
          <w:szCs w:val="24"/>
          <w:lang w:val="en-US"/>
        </w:rPr>
        <w:t>,</w:t>
      </w:r>
      <w:r w:rsidRPr="00B068B8">
        <w:rPr>
          <w:rFonts w:ascii="Times New Roman" w:hAnsi="Times New Roman" w:cs="Times New Roman"/>
          <w:bCs/>
          <w:sz w:val="24"/>
          <w:szCs w:val="24"/>
          <w:lang w:val="en-US"/>
        </w:rPr>
        <w:t xml:space="preserve"> as stated herein</w:t>
      </w:r>
      <w:r w:rsidR="00727A5A" w:rsidRPr="00B068B8">
        <w:rPr>
          <w:rFonts w:ascii="Times New Roman" w:hAnsi="Times New Roman" w:cs="Times New Roman"/>
          <w:bCs/>
          <w:sz w:val="24"/>
          <w:szCs w:val="24"/>
          <w:lang w:val="en-US"/>
        </w:rPr>
        <w:t xml:space="preserve"> </w:t>
      </w:r>
      <w:r w:rsidRPr="00B068B8">
        <w:rPr>
          <w:rFonts w:ascii="Times New Roman" w:hAnsi="Times New Roman" w:cs="Times New Roman"/>
          <w:bCs/>
          <w:sz w:val="24"/>
          <w:szCs w:val="24"/>
          <w:lang w:val="en-US"/>
        </w:rPr>
        <w:t>below, to the Company shall entitle the Licencee to grant the sub-licence permitting the installation and use of the Software System to the Bank in South Africa to the extent stated in Schedule 1.</w:t>
      </w:r>
    </w:p>
    <w:p w14:paraId="45983537" w14:textId="3C9F5A52" w:rsidR="00B068B8" w:rsidRDefault="00717F6D" w:rsidP="00B068B8">
      <w:pPr>
        <w:pStyle w:val="ListParagraph"/>
        <w:numPr>
          <w:ilvl w:val="0"/>
          <w:numId w:val="7"/>
        </w:numPr>
        <w:spacing w:after="0" w:line="360" w:lineRule="auto"/>
        <w:jc w:val="both"/>
        <w:rPr>
          <w:rFonts w:ascii="Times New Roman" w:hAnsi="Times New Roman" w:cs="Times New Roman"/>
          <w:bCs/>
          <w:sz w:val="24"/>
          <w:szCs w:val="24"/>
          <w:lang w:val="en-US"/>
        </w:rPr>
      </w:pPr>
      <w:r w:rsidRPr="00B068B8">
        <w:rPr>
          <w:rFonts w:ascii="Times New Roman" w:hAnsi="Times New Roman" w:cs="Times New Roman"/>
          <w:bCs/>
          <w:sz w:val="24"/>
          <w:szCs w:val="24"/>
          <w:lang w:val="en-US"/>
        </w:rPr>
        <w:t>Prior to the delivery of the Software System to the Bank, the licencee shall enter into a binding Sub-</w:t>
      </w:r>
      <w:r w:rsidRPr="00B068B8">
        <w:rPr>
          <w:rFonts w:ascii="Times New Roman" w:hAnsi="Times New Roman" w:cs="Times New Roman"/>
          <w:bCs/>
          <w:sz w:val="24"/>
          <w:szCs w:val="24"/>
        </w:rPr>
        <w:t>Licence</w:t>
      </w:r>
      <w:r w:rsidRPr="00B068B8">
        <w:rPr>
          <w:rFonts w:ascii="Times New Roman" w:hAnsi="Times New Roman" w:cs="Times New Roman"/>
          <w:bCs/>
          <w:sz w:val="24"/>
          <w:szCs w:val="24"/>
          <w:lang w:val="en-US"/>
        </w:rPr>
        <w:t xml:space="preserve"> Agreement in the form in Schedule 4, in the event that there is any change, modification or alteration in the form of the Sub-Licence Agreement which imp</w:t>
      </w:r>
      <w:r w:rsidR="00727A5A" w:rsidRPr="00B068B8">
        <w:rPr>
          <w:rFonts w:ascii="Times New Roman" w:hAnsi="Times New Roman" w:cs="Times New Roman"/>
          <w:bCs/>
          <w:sz w:val="24"/>
          <w:szCs w:val="24"/>
          <w:lang w:val="en-US"/>
        </w:rPr>
        <w:t>oses</w:t>
      </w:r>
      <w:r w:rsidRPr="00B068B8">
        <w:rPr>
          <w:rFonts w:ascii="Times New Roman" w:hAnsi="Times New Roman" w:cs="Times New Roman"/>
          <w:bCs/>
          <w:sz w:val="24"/>
          <w:szCs w:val="24"/>
          <w:lang w:val="en-US"/>
        </w:rPr>
        <w:t xml:space="preserve"> on the Licencee any obligation or liability which is additional to those stated or envisaged under this Agreement then such additional obligations or liability shall not be binding on the Company.</w:t>
      </w:r>
    </w:p>
    <w:p w14:paraId="7B3E4FE6" w14:textId="4858D614" w:rsidR="00717F6D" w:rsidRPr="00B068B8" w:rsidRDefault="00717F6D" w:rsidP="00B068B8">
      <w:pPr>
        <w:pStyle w:val="ListParagraph"/>
        <w:numPr>
          <w:ilvl w:val="0"/>
          <w:numId w:val="7"/>
        </w:numPr>
        <w:spacing w:after="0" w:line="360" w:lineRule="auto"/>
        <w:jc w:val="both"/>
        <w:rPr>
          <w:rFonts w:ascii="Times New Roman" w:hAnsi="Times New Roman" w:cs="Times New Roman"/>
          <w:bCs/>
          <w:sz w:val="24"/>
          <w:szCs w:val="24"/>
          <w:lang w:val="en-US"/>
        </w:rPr>
      </w:pPr>
      <w:r w:rsidRPr="00B068B8">
        <w:rPr>
          <w:rFonts w:ascii="Times New Roman" w:hAnsi="Times New Roman" w:cs="Times New Roman"/>
          <w:bCs/>
          <w:sz w:val="24"/>
          <w:szCs w:val="24"/>
          <w:lang w:val="en-US"/>
        </w:rPr>
        <w:t xml:space="preserve">The use of the Software System by the Bank </w:t>
      </w:r>
      <w:r w:rsidR="001F61D0" w:rsidRPr="00B068B8">
        <w:rPr>
          <w:rFonts w:ascii="Times New Roman" w:hAnsi="Times New Roman" w:cs="Times New Roman"/>
          <w:bCs/>
          <w:sz w:val="24"/>
          <w:szCs w:val="24"/>
          <w:lang w:val="en-US"/>
        </w:rPr>
        <w:t xml:space="preserve">shall </w:t>
      </w:r>
      <w:r w:rsidR="001F61D0" w:rsidRPr="00F9256F">
        <w:rPr>
          <w:rFonts w:ascii="Times New Roman" w:hAnsi="Times New Roman" w:cs="Times New Roman"/>
          <w:bCs/>
          <w:sz w:val="24"/>
          <w:szCs w:val="24"/>
          <w:lang w:val="en-US"/>
        </w:rPr>
        <w:t xml:space="preserve">be solely </w:t>
      </w:r>
      <w:r w:rsidRPr="00F9256F">
        <w:rPr>
          <w:rFonts w:ascii="Times New Roman" w:hAnsi="Times New Roman" w:cs="Times New Roman"/>
          <w:bCs/>
          <w:sz w:val="24"/>
          <w:szCs w:val="24"/>
          <w:lang w:val="en-US"/>
        </w:rPr>
        <w:t xml:space="preserve">on and in </w:t>
      </w:r>
      <w:r w:rsidR="001F61D0" w:rsidRPr="00F9256F">
        <w:rPr>
          <w:rFonts w:ascii="Times New Roman" w:hAnsi="Times New Roman" w:cs="Times New Roman"/>
          <w:bCs/>
          <w:sz w:val="24"/>
          <w:szCs w:val="24"/>
          <w:lang w:val="en-US"/>
        </w:rPr>
        <w:t>conjunction</w:t>
      </w:r>
      <w:r w:rsidRPr="00B068B8">
        <w:rPr>
          <w:rFonts w:ascii="Times New Roman" w:hAnsi="Times New Roman" w:cs="Times New Roman"/>
          <w:bCs/>
          <w:sz w:val="24"/>
          <w:szCs w:val="24"/>
          <w:lang w:val="en-US"/>
        </w:rPr>
        <w:t xml:space="preserve"> with the Equipment and software tools as described in Schedule (1) and (2) hereto for the </w:t>
      </w:r>
      <w:r w:rsidRPr="00B068B8">
        <w:rPr>
          <w:rFonts w:ascii="Times New Roman" w:hAnsi="Times New Roman" w:cs="Times New Roman"/>
          <w:bCs/>
          <w:sz w:val="24"/>
          <w:szCs w:val="24"/>
          <w:lang w:val="en-US"/>
        </w:rPr>
        <w:lastRenderedPageBreak/>
        <w:t xml:space="preserve">processing of its own </w:t>
      </w:r>
      <w:r w:rsidR="00B068B8" w:rsidRPr="00B068B8">
        <w:rPr>
          <w:rFonts w:ascii="Times New Roman" w:hAnsi="Times New Roman" w:cs="Times New Roman"/>
          <w:bCs/>
          <w:sz w:val="24"/>
          <w:szCs w:val="24"/>
          <w:lang w:val="en-US"/>
        </w:rPr>
        <w:t>data,</w:t>
      </w:r>
      <w:r w:rsidRPr="00B068B8">
        <w:rPr>
          <w:rFonts w:ascii="Times New Roman" w:hAnsi="Times New Roman" w:cs="Times New Roman"/>
          <w:bCs/>
          <w:sz w:val="24"/>
          <w:szCs w:val="24"/>
          <w:lang w:val="en-US"/>
        </w:rPr>
        <w:t xml:space="preserve"> for its own internal business purposes at the </w:t>
      </w:r>
      <w:r w:rsidR="00B068B8" w:rsidRPr="00B068B8">
        <w:rPr>
          <w:rFonts w:ascii="Times New Roman" w:hAnsi="Times New Roman" w:cs="Times New Roman"/>
          <w:bCs/>
          <w:sz w:val="24"/>
          <w:szCs w:val="24"/>
          <w:lang w:val="en-US"/>
        </w:rPr>
        <w:t>S</w:t>
      </w:r>
      <w:r w:rsidRPr="00B068B8">
        <w:rPr>
          <w:rFonts w:ascii="Times New Roman" w:hAnsi="Times New Roman" w:cs="Times New Roman"/>
          <w:bCs/>
          <w:sz w:val="24"/>
          <w:szCs w:val="24"/>
          <w:lang w:val="en-US"/>
        </w:rPr>
        <w:t>upport and Production Location during the Term of this Agreement subject to the terms and conditions herein contained.</w:t>
      </w:r>
      <w:r w:rsidR="00B068B8" w:rsidRPr="00B068B8">
        <w:rPr>
          <w:rFonts w:ascii="Times New Roman" w:hAnsi="Times New Roman" w:cs="Times New Roman"/>
          <w:bCs/>
          <w:sz w:val="24"/>
          <w:szCs w:val="24"/>
          <w:lang w:val="en-US"/>
        </w:rPr>
        <w:t>’</w:t>
      </w:r>
    </w:p>
    <w:p w14:paraId="208C315A" w14:textId="77777777" w:rsidR="00071ED8" w:rsidRPr="00071ED8" w:rsidRDefault="00071ED8" w:rsidP="00727A5A">
      <w:pPr>
        <w:spacing w:after="0" w:line="360" w:lineRule="auto"/>
        <w:ind w:left="720" w:hanging="360"/>
        <w:jc w:val="both"/>
        <w:rPr>
          <w:rFonts w:ascii="Times New Roman" w:hAnsi="Times New Roman" w:cs="Times New Roman"/>
          <w:bCs/>
          <w:sz w:val="24"/>
          <w:szCs w:val="24"/>
          <w:lang w:val="en-US"/>
        </w:rPr>
      </w:pPr>
    </w:p>
    <w:p w14:paraId="3D4E1AD8" w14:textId="7CB3AF0A" w:rsidR="002C10DA" w:rsidRDefault="0012520E" w:rsidP="0012520E">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[15</w:t>
      </w:r>
      <w:r w:rsidR="002C10DA" w:rsidRPr="00395A77">
        <w:rPr>
          <w:rFonts w:ascii="Times New Roman" w:hAnsi="Times New Roman" w:cs="Times New Roman"/>
          <w:bCs/>
          <w:sz w:val="28"/>
          <w:szCs w:val="28"/>
          <w:lang w:val="en-US"/>
        </w:rPr>
        <w:t>]</w:t>
      </w:r>
      <w:r w:rsidR="002C10DA" w:rsidRPr="00395A77">
        <w:rPr>
          <w:rFonts w:ascii="Times New Roman" w:hAnsi="Times New Roman" w:cs="Times New Roman"/>
          <w:bCs/>
          <w:sz w:val="28"/>
          <w:szCs w:val="28"/>
          <w:lang w:val="en-US"/>
        </w:rPr>
        <w:tab/>
      </w:r>
      <w:r>
        <w:rPr>
          <w:rFonts w:ascii="Times New Roman" w:hAnsi="Times New Roman" w:cs="Times New Roman"/>
          <w:bCs/>
          <w:sz w:val="28"/>
          <w:szCs w:val="28"/>
          <w:lang w:val="en-US"/>
        </w:rPr>
        <w:t xml:space="preserve">In terms of </w:t>
      </w:r>
      <w:r w:rsidR="00C13A23">
        <w:rPr>
          <w:rFonts w:ascii="Times New Roman" w:hAnsi="Times New Roman" w:cs="Times New Roman"/>
          <w:bCs/>
          <w:sz w:val="28"/>
          <w:szCs w:val="28"/>
          <w:lang w:val="en-US"/>
        </w:rPr>
        <w:t>Clause 2.1 of the s</w:t>
      </w:r>
      <w:r w:rsidR="002C10DA">
        <w:rPr>
          <w:rFonts w:ascii="Times New Roman" w:hAnsi="Times New Roman" w:cs="Times New Roman"/>
          <w:bCs/>
          <w:sz w:val="28"/>
          <w:szCs w:val="28"/>
          <w:lang w:val="en-US"/>
        </w:rPr>
        <w:t>ub-</w:t>
      </w:r>
      <w:r w:rsidR="00C13A23">
        <w:rPr>
          <w:rFonts w:ascii="Times New Roman" w:hAnsi="Times New Roman" w:cs="Times New Roman"/>
          <w:bCs/>
          <w:sz w:val="28"/>
          <w:szCs w:val="28"/>
        </w:rPr>
        <w:t>l</w:t>
      </w:r>
      <w:r w:rsidR="002C10DA" w:rsidRPr="0012520E">
        <w:rPr>
          <w:rFonts w:ascii="Times New Roman" w:hAnsi="Times New Roman" w:cs="Times New Roman"/>
          <w:bCs/>
          <w:sz w:val="28"/>
          <w:szCs w:val="28"/>
        </w:rPr>
        <w:t>icence</w:t>
      </w:r>
      <w:r w:rsidR="002C10DA">
        <w:rPr>
          <w:rFonts w:ascii="Times New Roman" w:hAnsi="Times New Roman" w:cs="Times New Roman"/>
          <w:bCs/>
          <w:sz w:val="28"/>
          <w:szCs w:val="28"/>
          <w:lang w:val="en-US"/>
        </w:rPr>
        <w:t xml:space="preserve"> agreement</w:t>
      </w:r>
      <w:r>
        <w:rPr>
          <w:rFonts w:ascii="Times New Roman" w:hAnsi="Times New Roman" w:cs="Times New Roman"/>
          <w:bCs/>
          <w:sz w:val="28"/>
          <w:szCs w:val="28"/>
          <w:lang w:val="en-US"/>
        </w:rPr>
        <w:t xml:space="preserve"> TQ granted to SAPO the rights of use of the Software System together with certain specified equipment</w:t>
      </w:r>
      <w:r w:rsidR="00904750">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002C10DA">
        <w:rPr>
          <w:rFonts w:ascii="Times New Roman" w:hAnsi="Times New Roman" w:cs="Times New Roman"/>
          <w:bCs/>
          <w:sz w:val="28"/>
          <w:szCs w:val="28"/>
          <w:lang w:val="en-US"/>
        </w:rPr>
        <w:t xml:space="preserve"> </w:t>
      </w:r>
    </w:p>
    <w:p w14:paraId="294CE5C4" w14:textId="77777777" w:rsidR="00521FB8" w:rsidRPr="006963C6" w:rsidRDefault="00521FB8" w:rsidP="0012520E">
      <w:pPr>
        <w:spacing w:after="0" w:line="360" w:lineRule="auto"/>
        <w:jc w:val="both"/>
        <w:rPr>
          <w:rFonts w:ascii="Times New Roman" w:hAnsi="Times New Roman" w:cs="Times New Roman"/>
          <w:bCs/>
          <w:sz w:val="24"/>
          <w:szCs w:val="24"/>
          <w:lang w:val="en-US"/>
        </w:rPr>
      </w:pPr>
    </w:p>
    <w:p w14:paraId="60B99D1F" w14:textId="45F08D79" w:rsidR="002C10DA" w:rsidRDefault="0012520E" w:rsidP="0012520E">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[16</w:t>
      </w:r>
      <w:r w:rsidR="002C10DA">
        <w:rPr>
          <w:rFonts w:ascii="Times New Roman" w:hAnsi="Times New Roman" w:cs="Times New Roman"/>
          <w:bCs/>
          <w:sz w:val="28"/>
          <w:szCs w:val="28"/>
          <w:lang w:val="en-US"/>
        </w:rPr>
        <w:t>]</w:t>
      </w:r>
      <w:r w:rsidR="002C10DA">
        <w:rPr>
          <w:rFonts w:ascii="Times New Roman" w:hAnsi="Times New Roman" w:cs="Times New Roman"/>
          <w:bCs/>
          <w:sz w:val="28"/>
          <w:szCs w:val="28"/>
          <w:lang w:val="en-US"/>
        </w:rPr>
        <w:tab/>
        <w:t xml:space="preserve">The complementary relationship between the </w:t>
      </w:r>
      <w:r w:rsidR="002C10DA" w:rsidRPr="00AA2D6B">
        <w:rPr>
          <w:rFonts w:ascii="Times New Roman" w:hAnsi="Times New Roman" w:cs="Times New Roman"/>
          <w:bCs/>
          <w:sz w:val="28"/>
          <w:szCs w:val="28"/>
        </w:rPr>
        <w:t>licence</w:t>
      </w:r>
      <w:r w:rsidR="002C10DA">
        <w:rPr>
          <w:rFonts w:ascii="Times New Roman" w:hAnsi="Times New Roman" w:cs="Times New Roman"/>
          <w:bCs/>
          <w:sz w:val="28"/>
          <w:szCs w:val="28"/>
          <w:lang w:val="en-US"/>
        </w:rPr>
        <w:t xml:space="preserve"> agreement</w:t>
      </w:r>
      <w:r w:rsidR="00AA2D6B">
        <w:rPr>
          <w:rFonts w:ascii="Times New Roman" w:hAnsi="Times New Roman" w:cs="Times New Roman"/>
          <w:bCs/>
          <w:sz w:val="28"/>
          <w:szCs w:val="28"/>
          <w:lang w:val="en-US"/>
        </w:rPr>
        <w:t>s</w:t>
      </w:r>
      <w:r w:rsidR="002C10DA">
        <w:rPr>
          <w:rFonts w:ascii="Times New Roman" w:hAnsi="Times New Roman" w:cs="Times New Roman"/>
          <w:bCs/>
          <w:sz w:val="28"/>
          <w:szCs w:val="28"/>
          <w:lang w:val="en-US"/>
        </w:rPr>
        <w:t xml:space="preserve"> is illustrated in Clause 5 of the sub-licence agreeme</w:t>
      </w:r>
      <w:r w:rsidR="00AA2D6B">
        <w:rPr>
          <w:rFonts w:ascii="Times New Roman" w:hAnsi="Times New Roman" w:cs="Times New Roman"/>
          <w:bCs/>
          <w:sz w:val="28"/>
          <w:szCs w:val="28"/>
          <w:lang w:val="en-US"/>
        </w:rPr>
        <w:t>nt in terms of which</w:t>
      </w:r>
      <w:r w:rsidR="002C10DA">
        <w:rPr>
          <w:rFonts w:ascii="Times New Roman" w:hAnsi="Times New Roman" w:cs="Times New Roman"/>
          <w:bCs/>
          <w:sz w:val="28"/>
          <w:szCs w:val="28"/>
          <w:lang w:val="en-US"/>
        </w:rPr>
        <w:t xml:space="preserve"> TQ, I-Flex and SAPO agreed on a project plan for installation of the software system</w:t>
      </w:r>
      <w:r w:rsidR="00AA2D6B">
        <w:rPr>
          <w:rFonts w:ascii="Times New Roman" w:hAnsi="Times New Roman" w:cs="Times New Roman"/>
          <w:bCs/>
          <w:sz w:val="28"/>
          <w:szCs w:val="28"/>
          <w:lang w:val="en-US"/>
        </w:rPr>
        <w:t xml:space="preserve"> onto </w:t>
      </w:r>
      <w:r w:rsidR="00904750">
        <w:rPr>
          <w:rFonts w:ascii="Times New Roman" w:hAnsi="Times New Roman" w:cs="Times New Roman"/>
          <w:bCs/>
          <w:sz w:val="28"/>
          <w:szCs w:val="28"/>
          <w:lang w:val="en-US"/>
        </w:rPr>
        <w:t>SAPO’s work premises</w:t>
      </w:r>
      <w:r w:rsidR="002C10DA">
        <w:rPr>
          <w:rFonts w:ascii="Times New Roman" w:hAnsi="Times New Roman" w:cs="Times New Roman"/>
          <w:bCs/>
          <w:sz w:val="28"/>
          <w:szCs w:val="28"/>
          <w:lang w:val="en-US"/>
        </w:rPr>
        <w:t xml:space="preserve">. SAPO had to pay to TQ the sub-lease fee, </w:t>
      </w:r>
      <w:r w:rsidR="002C10DA" w:rsidRPr="00904750">
        <w:rPr>
          <w:rFonts w:ascii="Times New Roman" w:hAnsi="Times New Roman" w:cs="Times New Roman"/>
          <w:bCs/>
          <w:sz w:val="28"/>
          <w:szCs w:val="28"/>
        </w:rPr>
        <w:t>customisation</w:t>
      </w:r>
      <w:r w:rsidR="002C10DA">
        <w:rPr>
          <w:rFonts w:ascii="Times New Roman" w:hAnsi="Times New Roman" w:cs="Times New Roman"/>
          <w:bCs/>
          <w:sz w:val="28"/>
          <w:szCs w:val="28"/>
          <w:lang w:val="en-US"/>
        </w:rPr>
        <w:t xml:space="preserve"> fee and on-site charges as specified in Schedule 1 to the </w:t>
      </w:r>
      <w:r w:rsidR="00FC00C7">
        <w:rPr>
          <w:rFonts w:ascii="Times New Roman" w:hAnsi="Times New Roman" w:cs="Times New Roman"/>
          <w:bCs/>
          <w:sz w:val="28"/>
          <w:szCs w:val="28"/>
          <w:lang w:val="en-US"/>
        </w:rPr>
        <w:t>sub-</w:t>
      </w:r>
      <w:r w:rsidR="00FC00C7" w:rsidRPr="00FC00C7">
        <w:rPr>
          <w:rFonts w:ascii="Times New Roman" w:hAnsi="Times New Roman" w:cs="Times New Roman"/>
          <w:bCs/>
          <w:sz w:val="28"/>
          <w:szCs w:val="28"/>
        </w:rPr>
        <w:t>licence</w:t>
      </w:r>
      <w:r w:rsidR="00FC00C7">
        <w:rPr>
          <w:rFonts w:ascii="Times New Roman" w:hAnsi="Times New Roman" w:cs="Times New Roman"/>
          <w:bCs/>
          <w:sz w:val="28"/>
          <w:szCs w:val="28"/>
          <w:lang w:val="en-US"/>
        </w:rPr>
        <w:t xml:space="preserve"> </w:t>
      </w:r>
      <w:r w:rsidR="00904750">
        <w:rPr>
          <w:rFonts w:ascii="Times New Roman" w:hAnsi="Times New Roman" w:cs="Times New Roman"/>
          <w:bCs/>
          <w:sz w:val="28"/>
          <w:szCs w:val="28"/>
          <w:lang w:val="en-US"/>
        </w:rPr>
        <w:t>a</w:t>
      </w:r>
      <w:r w:rsidR="002C10DA">
        <w:rPr>
          <w:rFonts w:ascii="Times New Roman" w:hAnsi="Times New Roman" w:cs="Times New Roman"/>
          <w:bCs/>
          <w:sz w:val="28"/>
          <w:szCs w:val="28"/>
          <w:lang w:val="en-US"/>
        </w:rPr>
        <w:t>greement.</w:t>
      </w:r>
    </w:p>
    <w:p w14:paraId="4BCD9DD4" w14:textId="77777777" w:rsidR="0012520E" w:rsidRDefault="0012520E" w:rsidP="0012520E">
      <w:pPr>
        <w:spacing w:after="0" w:line="360" w:lineRule="auto"/>
        <w:jc w:val="both"/>
        <w:rPr>
          <w:rFonts w:ascii="Times New Roman" w:hAnsi="Times New Roman" w:cs="Times New Roman"/>
          <w:bCs/>
          <w:sz w:val="28"/>
          <w:szCs w:val="28"/>
          <w:lang w:val="en-US"/>
        </w:rPr>
      </w:pPr>
    </w:p>
    <w:p w14:paraId="2A2CB99D" w14:textId="749E3149" w:rsidR="00696BC3" w:rsidRDefault="00034D17" w:rsidP="0012520E">
      <w:pPr>
        <w:spacing w:after="0" w:line="360" w:lineRule="auto"/>
        <w:jc w:val="both"/>
        <w:rPr>
          <w:rFonts w:ascii="Times New Roman" w:hAnsi="Times New Roman" w:cs="Times New Roman"/>
          <w:bCs/>
          <w:sz w:val="24"/>
          <w:szCs w:val="24"/>
          <w:lang w:val="en-US"/>
        </w:rPr>
      </w:pPr>
      <w:r w:rsidRPr="00034D17">
        <w:rPr>
          <w:rFonts w:ascii="Times New Roman" w:hAnsi="Times New Roman" w:cs="Times New Roman"/>
          <w:bCs/>
          <w:sz w:val="28"/>
          <w:szCs w:val="28"/>
          <w:lang w:val="en-US"/>
        </w:rPr>
        <w:t>[</w:t>
      </w:r>
      <w:r w:rsidR="0012520E">
        <w:rPr>
          <w:rFonts w:ascii="Times New Roman" w:hAnsi="Times New Roman" w:cs="Times New Roman"/>
          <w:bCs/>
          <w:sz w:val="28"/>
          <w:szCs w:val="28"/>
          <w:lang w:val="en-US"/>
        </w:rPr>
        <w:t>17</w:t>
      </w:r>
      <w:r w:rsidRPr="00034D17">
        <w:rPr>
          <w:rFonts w:ascii="Times New Roman" w:hAnsi="Times New Roman" w:cs="Times New Roman"/>
          <w:bCs/>
          <w:sz w:val="28"/>
          <w:szCs w:val="28"/>
          <w:lang w:val="en-US"/>
        </w:rPr>
        <w:t>]</w:t>
      </w:r>
      <w:r w:rsidRPr="00034D17">
        <w:rPr>
          <w:rFonts w:ascii="Times New Roman" w:hAnsi="Times New Roman" w:cs="Times New Roman"/>
          <w:bCs/>
          <w:sz w:val="28"/>
          <w:szCs w:val="28"/>
          <w:lang w:val="en-US"/>
        </w:rPr>
        <w:tab/>
        <w:t xml:space="preserve">The </w:t>
      </w:r>
      <w:r w:rsidR="00717F6D" w:rsidRPr="00034D17">
        <w:rPr>
          <w:rFonts w:ascii="Times New Roman" w:hAnsi="Times New Roman" w:cs="Times New Roman"/>
          <w:bCs/>
          <w:sz w:val="28"/>
          <w:szCs w:val="28"/>
          <w:lang w:val="en-US"/>
        </w:rPr>
        <w:t xml:space="preserve">period of the </w:t>
      </w:r>
      <w:r w:rsidR="00717F6D" w:rsidRPr="00FC00C7">
        <w:rPr>
          <w:rFonts w:ascii="Times New Roman" w:hAnsi="Times New Roman" w:cs="Times New Roman"/>
          <w:bCs/>
          <w:sz w:val="28"/>
          <w:szCs w:val="28"/>
        </w:rPr>
        <w:t>licence</w:t>
      </w:r>
      <w:r w:rsidR="00717F6D" w:rsidRPr="00034D17">
        <w:rPr>
          <w:rFonts w:ascii="Times New Roman" w:hAnsi="Times New Roman" w:cs="Times New Roman"/>
          <w:bCs/>
          <w:sz w:val="28"/>
          <w:szCs w:val="28"/>
          <w:lang w:val="en-US"/>
        </w:rPr>
        <w:t xml:space="preserve"> agreements w</w:t>
      </w:r>
      <w:r>
        <w:rPr>
          <w:rFonts w:ascii="Times New Roman" w:hAnsi="Times New Roman" w:cs="Times New Roman"/>
          <w:bCs/>
          <w:sz w:val="28"/>
          <w:szCs w:val="28"/>
          <w:lang w:val="en-US"/>
        </w:rPr>
        <w:t xml:space="preserve">as </w:t>
      </w:r>
      <w:r w:rsidR="00717F6D" w:rsidRPr="00034D17">
        <w:rPr>
          <w:rFonts w:ascii="Times New Roman" w:hAnsi="Times New Roman" w:cs="Times New Roman"/>
          <w:bCs/>
          <w:sz w:val="28"/>
          <w:szCs w:val="28"/>
          <w:lang w:val="en-US"/>
        </w:rPr>
        <w:t>‘perpetual’, subject</w:t>
      </w:r>
      <w:r w:rsidR="00717F6D">
        <w:rPr>
          <w:rFonts w:ascii="Times New Roman" w:hAnsi="Times New Roman" w:cs="Times New Roman"/>
          <w:bCs/>
          <w:sz w:val="28"/>
          <w:szCs w:val="28"/>
          <w:lang w:val="en-US"/>
        </w:rPr>
        <w:t xml:space="preserve"> to termination by either party as provided in the agreements.</w:t>
      </w:r>
      <w:r w:rsidR="0003013A">
        <w:rPr>
          <w:rFonts w:ascii="Times New Roman" w:hAnsi="Times New Roman" w:cs="Times New Roman"/>
          <w:bCs/>
          <w:sz w:val="28"/>
          <w:szCs w:val="28"/>
          <w:lang w:val="en-US"/>
        </w:rPr>
        <w:t xml:space="preserve"> A</w:t>
      </w:r>
      <w:r w:rsidR="00FC00C7">
        <w:rPr>
          <w:rFonts w:ascii="Times New Roman" w:hAnsi="Times New Roman" w:cs="Times New Roman"/>
          <w:bCs/>
          <w:sz w:val="28"/>
          <w:szCs w:val="28"/>
          <w:lang w:val="en-US"/>
        </w:rPr>
        <w:t xml:space="preserve">ny variation of the agreements </w:t>
      </w:r>
      <w:r>
        <w:rPr>
          <w:rFonts w:ascii="Times New Roman" w:hAnsi="Times New Roman" w:cs="Times New Roman"/>
          <w:bCs/>
          <w:sz w:val="28"/>
          <w:szCs w:val="28"/>
          <w:lang w:val="en-US"/>
        </w:rPr>
        <w:t xml:space="preserve">had to be incorporated in a revised schedule </w:t>
      </w:r>
      <w:r w:rsidR="00FC00C7">
        <w:rPr>
          <w:rFonts w:ascii="Times New Roman" w:hAnsi="Times New Roman" w:cs="Times New Roman"/>
          <w:bCs/>
          <w:sz w:val="28"/>
          <w:szCs w:val="28"/>
          <w:lang w:val="en-US"/>
        </w:rPr>
        <w:t>thereto</w:t>
      </w:r>
      <w:r>
        <w:rPr>
          <w:rFonts w:ascii="Times New Roman" w:hAnsi="Times New Roman" w:cs="Times New Roman"/>
          <w:bCs/>
          <w:sz w:val="28"/>
          <w:szCs w:val="28"/>
          <w:lang w:val="en-US"/>
        </w:rPr>
        <w:t>.</w:t>
      </w:r>
      <w:r w:rsidR="002C10DA">
        <w:rPr>
          <w:rFonts w:ascii="Times New Roman" w:hAnsi="Times New Roman" w:cs="Times New Roman"/>
          <w:bCs/>
          <w:sz w:val="28"/>
          <w:szCs w:val="28"/>
          <w:lang w:val="en-US"/>
        </w:rPr>
        <w:t xml:space="preserve"> </w:t>
      </w:r>
      <w:r w:rsidR="00A7280D">
        <w:rPr>
          <w:rFonts w:ascii="Times New Roman" w:hAnsi="Times New Roman" w:cs="Times New Roman"/>
          <w:bCs/>
          <w:sz w:val="28"/>
          <w:szCs w:val="28"/>
          <w:lang w:val="en-US"/>
        </w:rPr>
        <w:t>A party</w:t>
      </w:r>
      <w:r w:rsidR="002C10DA">
        <w:rPr>
          <w:rFonts w:ascii="Times New Roman" w:hAnsi="Times New Roman" w:cs="Times New Roman"/>
          <w:bCs/>
          <w:sz w:val="28"/>
          <w:szCs w:val="28"/>
          <w:lang w:val="en-US"/>
        </w:rPr>
        <w:t xml:space="preserve"> could terminate the </w:t>
      </w:r>
      <w:r w:rsidR="002C10DA" w:rsidRPr="00A7280D">
        <w:rPr>
          <w:rFonts w:ascii="Times New Roman" w:hAnsi="Times New Roman" w:cs="Times New Roman"/>
          <w:bCs/>
          <w:sz w:val="28"/>
          <w:szCs w:val="28"/>
        </w:rPr>
        <w:t>licence</w:t>
      </w:r>
      <w:r w:rsidR="002C10DA">
        <w:rPr>
          <w:rFonts w:ascii="Times New Roman" w:hAnsi="Times New Roman" w:cs="Times New Roman"/>
          <w:bCs/>
          <w:sz w:val="28"/>
          <w:szCs w:val="28"/>
          <w:lang w:val="en-US"/>
        </w:rPr>
        <w:t xml:space="preserve"> agreement on 30 days written notice to the </w:t>
      </w:r>
      <w:r w:rsidR="00A7280D">
        <w:rPr>
          <w:rFonts w:ascii="Times New Roman" w:hAnsi="Times New Roman" w:cs="Times New Roman"/>
          <w:bCs/>
          <w:sz w:val="28"/>
          <w:szCs w:val="28"/>
          <w:lang w:val="en-US"/>
        </w:rPr>
        <w:t>other party</w:t>
      </w:r>
      <w:r w:rsidR="002C10DA">
        <w:rPr>
          <w:rFonts w:ascii="Times New Roman" w:hAnsi="Times New Roman" w:cs="Times New Roman"/>
          <w:bCs/>
          <w:sz w:val="28"/>
          <w:szCs w:val="28"/>
          <w:lang w:val="en-US"/>
        </w:rPr>
        <w:t>.</w:t>
      </w:r>
      <w:r w:rsidR="00696BC3">
        <w:rPr>
          <w:rFonts w:ascii="Times New Roman" w:hAnsi="Times New Roman" w:cs="Times New Roman"/>
          <w:bCs/>
          <w:sz w:val="24"/>
          <w:szCs w:val="24"/>
          <w:lang w:val="en-US"/>
        </w:rPr>
        <w:t xml:space="preserve">  </w:t>
      </w:r>
      <w:r w:rsidR="00696BC3" w:rsidRPr="00371EDE">
        <w:rPr>
          <w:rFonts w:ascii="Times New Roman" w:hAnsi="Times New Roman" w:cs="Times New Roman"/>
          <w:bCs/>
          <w:sz w:val="24"/>
          <w:szCs w:val="24"/>
          <w:lang w:val="en-US"/>
        </w:rPr>
        <w:t xml:space="preserve"> </w:t>
      </w:r>
    </w:p>
    <w:p w14:paraId="10D98F95" w14:textId="77777777" w:rsidR="0012520E" w:rsidRDefault="0012520E" w:rsidP="0012520E">
      <w:pPr>
        <w:spacing w:after="0" w:line="360" w:lineRule="auto"/>
        <w:jc w:val="both"/>
        <w:rPr>
          <w:rFonts w:ascii="Times New Roman" w:hAnsi="Times New Roman" w:cs="Times New Roman"/>
          <w:bCs/>
          <w:sz w:val="24"/>
          <w:szCs w:val="24"/>
          <w:lang w:val="en-US"/>
        </w:rPr>
      </w:pPr>
    </w:p>
    <w:p w14:paraId="05660EEA" w14:textId="3EDCCE7D" w:rsidR="0012520E" w:rsidRDefault="0012520E" w:rsidP="0012520E">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[18]</w:t>
      </w:r>
      <w:r>
        <w:rPr>
          <w:rFonts w:ascii="Times New Roman" w:hAnsi="Times New Roman" w:cs="Times New Roman"/>
          <w:bCs/>
          <w:sz w:val="28"/>
          <w:szCs w:val="28"/>
          <w:lang w:val="en-US"/>
        </w:rPr>
        <w:tab/>
        <w:t xml:space="preserve">The </w:t>
      </w:r>
      <w:r w:rsidR="00FC00C7">
        <w:rPr>
          <w:rFonts w:ascii="Times New Roman" w:hAnsi="Times New Roman" w:cs="Times New Roman"/>
          <w:bCs/>
          <w:sz w:val="28"/>
          <w:szCs w:val="28"/>
          <w:lang w:val="en-US"/>
        </w:rPr>
        <w:t>arbitration clause</w:t>
      </w:r>
      <w:r>
        <w:rPr>
          <w:rFonts w:ascii="Times New Roman" w:hAnsi="Times New Roman" w:cs="Times New Roman"/>
          <w:bCs/>
          <w:sz w:val="28"/>
          <w:szCs w:val="28"/>
          <w:lang w:val="en-US"/>
        </w:rPr>
        <w:t xml:space="preserve"> specified in Clause 25 of the </w:t>
      </w:r>
      <w:r w:rsidRPr="00E256CC">
        <w:rPr>
          <w:rFonts w:ascii="Times New Roman" w:hAnsi="Times New Roman" w:cs="Times New Roman"/>
          <w:bCs/>
          <w:sz w:val="28"/>
          <w:szCs w:val="28"/>
        </w:rPr>
        <w:t>licence</w:t>
      </w:r>
      <w:r>
        <w:rPr>
          <w:rFonts w:ascii="Times New Roman" w:hAnsi="Times New Roman" w:cs="Times New Roman"/>
          <w:bCs/>
          <w:sz w:val="28"/>
          <w:szCs w:val="28"/>
          <w:lang w:val="en-US"/>
        </w:rPr>
        <w:t xml:space="preserve"> agreeme</w:t>
      </w:r>
      <w:r w:rsidR="00FC00C7">
        <w:rPr>
          <w:rFonts w:ascii="Times New Roman" w:hAnsi="Times New Roman" w:cs="Times New Roman"/>
          <w:bCs/>
          <w:sz w:val="28"/>
          <w:szCs w:val="28"/>
          <w:lang w:val="en-US"/>
        </w:rPr>
        <w:t>nts was repeated in Clause 11 of</w:t>
      </w:r>
      <w:r>
        <w:rPr>
          <w:rFonts w:ascii="Times New Roman" w:hAnsi="Times New Roman" w:cs="Times New Roman"/>
          <w:bCs/>
          <w:sz w:val="28"/>
          <w:szCs w:val="28"/>
          <w:lang w:val="en-US"/>
        </w:rPr>
        <w:t xml:space="preserve"> both </w:t>
      </w:r>
      <w:r w:rsidRPr="00E256CC">
        <w:rPr>
          <w:rFonts w:ascii="Times New Roman" w:hAnsi="Times New Roman" w:cs="Times New Roman"/>
          <w:bCs/>
          <w:sz w:val="28"/>
          <w:szCs w:val="28"/>
        </w:rPr>
        <w:t>licence</w:t>
      </w:r>
      <w:r>
        <w:rPr>
          <w:rFonts w:ascii="Times New Roman" w:hAnsi="Times New Roman" w:cs="Times New Roman"/>
          <w:bCs/>
          <w:sz w:val="28"/>
          <w:szCs w:val="28"/>
          <w:lang w:val="en-US"/>
        </w:rPr>
        <w:t xml:space="preserve"> agreements as follows: </w:t>
      </w:r>
    </w:p>
    <w:p w14:paraId="3756DAEF" w14:textId="365DD0B8" w:rsidR="0012520E" w:rsidRDefault="0012520E" w:rsidP="0012520E">
      <w:pPr>
        <w:spacing w:after="0" w:line="360" w:lineRule="auto"/>
        <w:jc w:val="both"/>
        <w:rPr>
          <w:rFonts w:ascii="Times New Roman" w:hAnsi="Times New Roman" w:cs="Times New Roman"/>
          <w:bCs/>
          <w:sz w:val="24"/>
          <w:szCs w:val="24"/>
          <w:lang w:val="en-US"/>
        </w:rPr>
      </w:pPr>
      <w:r w:rsidRPr="00E256CC">
        <w:rPr>
          <w:rFonts w:ascii="Times New Roman" w:hAnsi="Times New Roman" w:cs="Times New Roman"/>
          <w:bCs/>
          <w:sz w:val="24"/>
          <w:szCs w:val="24"/>
          <w:lang w:val="en-US"/>
        </w:rPr>
        <w:t xml:space="preserve">‘In the event of any disputes between the parties, the matter will be resolved through arbitration identified in clause </w:t>
      </w:r>
      <w:r>
        <w:rPr>
          <w:rFonts w:ascii="Times New Roman" w:hAnsi="Times New Roman" w:cs="Times New Roman"/>
          <w:bCs/>
          <w:sz w:val="24"/>
          <w:szCs w:val="24"/>
          <w:lang w:val="en-US"/>
        </w:rPr>
        <w:t>2</w:t>
      </w:r>
      <w:r w:rsidRPr="00E256CC">
        <w:rPr>
          <w:rFonts w:ascii="Times New Roman" w:hAnsi="Times New Roman" w:cs="Times New Roman"/>
          <w:bCs/>
          <w:sz w:val="24"/>
          <w:szCs w:val="24"/>
          <w:lang w:val="en-US"/>
        </w:rPr>
        <w:t xml:space="preserve">5 and </w:t>
      </w:r>
      <w:r>
        <w:rPr>
          <w:rFonts w:ascii="Times New Roman" w:hAnsi="Times New Roman" w:cs="Times New Roman"/>
          <w:bCs/>
          <w:sz w:val="24"/>
          <w:szCs w:val="24"/>
          <w:lang w:val="en-US"/>
        </w:rPr>
        <w:t>2</w:t>
      </w:r>
      <w:r w:rsidRPr="00E256CC">
        <w:rPr>
          <w:rFonts w:ascii="Times New Roman" w:hAnsi="Times New Roman" w:cs="Times New Roman"/>
          <w:bCs/>
          <w:sz w:val="24"/>
          <w:szCs w:val="24"/>
          <w:lang w:val="en-US"/>
        </w:rPr>
        <w:t>6</w:t>
      </w:r>
      <w:r>
        <w:rPr>
          <w:rFonts w:ascii="Times New Roman" w:hAnsi="Times New Roman" w:cs="Times New Roman"/>
          <w:bCs/>
          <w:sz w:val="24"/>
          <w:szCs w:val="24"/>
          <w:lang w:val="en-US"/>
        </w:rPr>
        <w:t>.</w:t>
      </w:r>
      <w:r w:rsidRPr="00E256CC">
        <w:rPr>
          <w:rFonts w:ascii="Times New Roman" w:hAnsi="Times New Roman" w:cs="Times New Roman"/>
          <w:bCs/>
          <w:sz w:val="24"/>
          <w:szCs w:val="24"/>
          <w:lang w:val="en-US"/>
        </w:rPr>
        <w:t>’</w:t>
      </w:r>
    </w:p>
    <w:p w14:paraId="1A19D7F2" w14:textId="77777777" w:rsidR="0012520E" w:rsidRPr="0012520E" w:rsidRDefault="0012520E" w:rsidP="0012520E">
      <w:pPr>
        <w:spacing w:after="0" w:line="360" w:lineRule="auto"/>
        <w:jc w:val="both"/>
        <w:rPr>
          <w:rFonts w:ascii="Times New Roman" w:hAnsi="Times New Roman" w:cs="Times New Roman"/>
          <w:bCs/>
          <w:sz w:val="24"/>
          <w:szCs w:val="24"/>
          <w:lang w:val="en-US"/>
        </w:rPr>
      </w:pPr>
    </w:p>
    <w:p w14:paraId="6C7E1F93" w14:textId="3BCF2D9A" w:rsidR="00504364" w:rsidRDefault="00141F5F" w:rsidP="00AA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520E">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t>The OPN agreement</w:t>
      </w:r>
      <w:r w:rsidR="00044848">
        <w:rPr>
          <w:rFonts w:ascii="Times New Roman" w:hAnsi="Times New Roman" w:cs="Times New Roman"/>
          <w:sz w:val="28"/>
          <w:szCs w:val="28"/>
        </w:rPr>
        <w:t>(s)</w:t>
      </w:r>
      <w:r>
        <w:rPr>
          <w:rFonts w:ascii="Times New Roman" w:hAnsi="Times New Roman" w:cs="Times New Roman"/>
          <w:sz w:val="28"/>
          <w:szCs w:val="28"/>
        </w:rPr>
        <w:t xml:space="preserve"> </w:t>
      </w:r>
      <w:r w:rsidR="00A7280D">
        <w:rPr>
          <w:rFonts w:ascii="Times New Roman" w:hAnsi="Times New Roman" w:cs="Times New Roman"/>
          <w:sz w:val="28"/>
          <w:szCs w:val="28"/>
        </w:rPr>
        <w:t xml:space="preserve">were concluded between TQ and Oracle </w:t>
      </w:r>
      <w:r w:rsidR="008D0E47">
        <w:rPr>
          <w:rFonts w:ascii="Times New Roman" w:hAnsi="Times New Roman" w:cs="Times New Roman"/>
          <w:sz w:val="28"/>
          <w:szCs w:val="28"/>
        </w:rPr>
        <w:t>only. SAPO was not party thereto</w:t>
      </w:r>
      <w:r w:rsidR="00A7280D">
        <w:rPr>
          <w:rFonts w:ascii="Times New Roman" w:hAnsi="Times New Roman" w:cs="Times New Roman"/>
          <w:sz w:val="28"/>
          <w:szCs w:val="28"/>
        </w:rPr>
        <w:t xml:space="preserve">. </w:t>
      </w:r>
      <w:r w:rsidR="008D0E47">
        <w:rPr>
          <w:rFonts w:ascii="Times New Roman" w:hAnsi="Times New Roman" w:cs="Times New Roman"/>
          <w:sz w:val="28"/>
          <w:szCs w:val="28"/>
        </w:rPr>
        <w:t xml:space="preserve">In terms thereof </w:t>
      </w:r>
      <w:r w:rsidR="00A7280D">
        <w:rPr>
          <w:rFonts w:ascii="Times New Roman" w:hAnsi="Times New Roman" w:cs="Times New Roman"/>
          <w:sz w:val="28"/>
          <w:szCs w:val="28"/>
        </w:rPr>
        <w:t xml:space="preserve">TQ had to apply </w:t>
      </w:r>
      <w:r w:rsidR="008A38F6">
        <w:rPr>
          <w:rFonts w:ascii="Times New Roman" w:hAnsi="Times New Roman" w:cs="Times New Roman"/>
          <w:sz w:val="28"/>
          <w:szCs w:val="28"/>
        </w:rPr>
        <w:t>for membership</w:t>
      </w:r>
      <w:r w:rsidR="00A7280D">
        <w:rPr>
          <w:rFonts w:ascii="Times New Roman" w:hAnsi="Times New Roman" w:cs="Times New Roman"/>
          <w:sz w:val="28"/>
          <w:szCs w:val="28"/>
        </w:rPr>
        <w:t xml:space="preserve"> of the OPN</w:t>
      </w:r>
      <w:r w:rsidR="008D0E47">
        <w:rPr>
          <w:rFonts w:ascii="Times New Roman" w:hAnsi="Times New Roman" w:cs="Times New Roman"/>
          <w:sz w:val="28"/>
          <w:szCs w:val="28"/>
        </w:rPr>
        <w:t>. O</w:t>
      </w:r>
      <w:r w:rsidR="008A38F6">
        <w:rPr>
          <w:rFonts w:ascii="Times New Roman" w:hAnsi="Times New Roman" w:cs="Times New Roman"/>
          <w:sz w:val="28"/>
          <w:szCs w:val="28"/>
        </w:rPr>
        <w:t xml:space="preserve">n acceptance of its application </w:t>
      </w:r>
      <w:r w:rsidR="00836BCD">
        <w:rPr>
          <w:rFonts w:ascii="Times New Roman" w:hAnsi="Times New Roman" w:cs="Times New Roman"/>
          <w:sz w:val="28"/>
          <w:szCs w:val="28"/>
        </w:rPr>
        <w:t>for membership of the Oracle Partnership Network</w:t>
      </w:r>
      <w:r w:rsidR="00504364">
        <w:rPr>
          <w:rFonts w:ascii="Times New Roman" w:hAnsi="Times New Roman" w:cs="Times New Roman"/>
          <w:sz w:val="28"/>
          <w:szCs w:val="28"/>
        </w:rPr>
        <w:t>,</w:t>
      </w:r>
      <w:r w:rsidR="00836BCD">
        <w:rPr>
          <w:rFonts w:ascii="Times New Roman" w:hAnsi="Times New Roman" w:cs="Times New Roman"/>
          <w:sz w:val="28"/>
          <w:szCs w:val="28"/>
        </w:rPr>
        <w:t xml:space="preserve"> </w:t>
      </w:r>
      <w:r w:rsidR="008A38F6">
        <w:rPr>
          <w:rFonts w:ascii="Times New Roman" w:hAnsi="Times New Roman" w:cs="Times New Roman"/>
          <w:sz w:val="28"/>
          <w:szCs w:val="28"/>
        </w:rPr>
        <w:t>TQ</w:t>
      </w:r>
      <w:r w:rsidR="00123FCA">
        <w:rPr>
          <w:rFonts w:ascii="Times New Roman" w:hAnsi="Times New Roman" w:cs="Times New Roman"/>
          <w:sz w:val="28"/>
          <w:szCs w:val="28"/>
        </w:rPr>
        <w:t xml:space="preserve"> </w:t>
      </w:r>
      <w:r w:rsidR="008A38F6">
        <w:rPr>
          <w:rFonts w:ascii="Times New Roman" w:hAnsi="Times New Roman" w:cs="Times New Roman"/>
          <w:sz w:val="28"/>
          <w:szCs w:val="28"/>
        </w:rPr>
        <w:t>would be allocated and enrolled to</w:t>
      </w:r>
      <w:r w:rsidR="008863FA">
        <w:rPr>
          <w:rFonts w:ascii="Times New Roman" w:hAnsi="Times New Roman" w:cs="Times New Roman"/>
          <w:sz w:val="28"/>
          <w:szCs w:val="28"/>
        </w:rPr>
        <w:t xml:space="preserve"> one of country specific </w:t>
      </w:r>
      <w:r w:rsidR="008A38F6">
        <w:rPr>
          <w:rFonts w:ascii="Times New Roman" w:hAnsi="Times New Roman" w:cs="Times New Roman"/>
          <w:sz w:val="28"/>
          <w:szCs w:val="28"/>
        </w:rPr>
        <w:t>partner level</w:t>
      </w:r>
      <w:r w:rsidR="008863FA">
        <w:rPr>
          <w:rFonts w:ascii="Times New Roman" w:hAnsi="Times New Roman" w:cs="Times New Roman"/>
          <w:sz w:val="28"/>
          <w:szCs w:val="28"/>
        </w:rPr>
        <w:t>s</w:t>
      </w:r>
      <w:r w:rsidR="00AD3668">
        <w:rPr>
          <w:rFonts w:ascii="Times New Roman" w:hAnsi="Times New Roman" w:cs="Times New Roman"/>
          <w:sz w:val="28"/>
          <w:szCs w:val="28"/>
        </w:rPr>
        <w:t xml:space="preserve"> -</w:t>
      </w:r>
      <w:r w:rsidR="008863FA">
        <w:rPr>
          <w:rFonts w:ascii="Times New Roman" w:hAnsi="Times New Roman" w:cs="Times New Roman"/>
          <w:sz w:val="28"/>
          <w:szCs w:val="28"/>
        </w:rPr>
        <w:t xml:space="preserve"> silver</w:t>
      </w:r>
      <w:r w:rsidR="00AD3668">
        <w:rPr>
          <w:rFonts w:ascii="Times New Roman" w:hAnsi="Times New Roman" w:cs="Times New Roman"/>
          <w:sz w:val="28"/>
          <w:szCs w:val="28"/>
        </w:rPr>
        <w:t>,</w:t>
      </w:r>
      <w:r w:rsidR="008863FA">
        <w:rPr>
          <w:rFonts w:ascii="Times New Roman" w:hAnsi="Times New Roman" w:cs="Times New Roman"/>
          <w:sz w:val="28"/>
          <w:szCs w:val="28"/>
        </w:rPr>
        <w:t xml:space="preserve"> gold, platinum or diamond. On payment of membership fees</w:t>
      </w:r>
      <w:r w:rsidR="00504364">
        <w:rPr>
          <w:rFonts w:ascii="Times New Roman" w:hAnsi="Times New Roman" w:cs="Times New Roman"/>
          <w:sz w:val="28"/>
          <w:szCs w:val="28"/>
        </w:rPr>
        <w:t>,</w:t>
      </w:r>
      <w:r w:rsidR="008863FA">
        <w:rPr>
          <w:rFonts w:ascii="Times New Roman" w:hAnsi="Times New Roman" w:cs="Times New Roman"/>
          <w:sz w:val="28"/>
          <w:szCs w:val="28"/>
        </w:rPr>
        <w:t xml:space="preserve"> TQ would be able to access </w:t>
      </w:r>
      <w:r w:rsidR="00AD3668">
        <w:rPr>
          <w:rFonts w:ascii="Times New Roman" w:hAnsi="Times New Roman" w:cs="Times New Roman"/>
          <w:sz w:val="28"/>
          <w:szCs w:val="28"/>
        </w:rPr>
        <w:t>‘partner level</w:t>
      </w:r>
      <w:r w:rsidR="008863FA">
        <w:rPr>
          <w:rFonts w:ascii="Times New Roman" w:hAnsi="Times New Roman" w:cs="Times New Roman"/>
          <w:sz w:val="28"/>
          <w:szCs w:val="28"/>
        </w:rPr>
        <w:t xml:space="preserve"> benefits’, subject to </w:t>
      </w:r>
      <w:r w:rsidR="008863FA">
        <w:rPr>
          <w:rFonts w:ascii="Times New Roman" w:hAnsi="Times New Roman" w:cs="Times New Roman"/>
          <w:sz w:val="28"/>
          <w:szCs w:val="28"/>
        </w:rPr>
        <w:lastRenderedPageBreak/>
        <w:t xml:space="preserve">maintenance of certain criteria applicable to </w:t>
      </w:r>
      <w:r w:rsidR="00504364">
        <w:rPr>
          <w:rFonts w:ascii="Times New Roman" w:hAnsi="Times New Roman" w:cs="Times New Roman"/>
          <w:sz w:val="28"/>
          <w:szCs w:val="28"/>
        </w:rPr>
        <w:t>the particular membership level it was admitted to</w:t>
      </w:r>
      <w:r w:rsidR="008863FA">
        <w:rPr>
          <w:rFonts w:ascii="Times New Roman" w:hAnsi="Times New Roman" w:cs="Times New Roman"/>
          <w:sz w:val="28"/>
          <w:szCs w:val="28"/>
        </w:rPr>
        <w:t xml:space="preserve">. </w:t>
      </w:r>
      <w:r w:rsidR="00AD3668">
        <w:rPr>
          <w:rFonts w:ascii="Times New Roman" w:hAnsi="Times New Roman" w:cs="Times New Roman"/>
          <w:sz w:val="28"/>
          <w:szCs w:val="28"/>
        </w:rPr>
        <w:t>The partner level benefits entailed use of technology and application programs which could be downloaded electronically,</w:t>
      </w:r>
      <w:r w:rsidR="008D0E47">
        <w:rPr>
          <w:rFonts w:ascii="Times New Roman" w:hAnsi="Times New Roman" w:cs="Times New Roman"/>
          <w:sz w:val="28"/>
          <w:szCs w:val="28"/>
        </w:rPr>
        <w:t xml:space="preserve"> together with</w:t>
      </w:r>
      <w:r w:rsidR="00AD3668">
        <w:rPr>
          <w:rFonts w:ascii="Times New Roman" w:hAnsi="Times New Roman" w:cs="Times New Roman"/>
          <w:sz w:val="28"/>
          <w:szCs w:val="28"/>
        </w:rPr>
        <w:t xml:space="preserve"> access to </w:t>
      </w:r>
      <w:r w:rsidR="00C05AB7">
        <w:rPr>
          <w:rFonts w:ascii="Times New Roman" w:hAnsi="Times New Roman" w:cs="Times New Roman"/>
          <w:sz w:val="28"/>
          <w:szCs w:val="28"/>
        </w:rPr>
        <w:t>technical support</w:t>
      </w:r>
      <w:r w:rsidR="00504364">
        <w:rPr>
          <w:rFonts w:ascii="Times New Roman" w:hAnsi="Times New Roman" w:cs="Times New Roman"/>
          <w:sz w:val="28"/>
          <w:szCs w:val="28"/>
        </w:rPr>
        <w:t>,</w:t>
      </w:r>
      <w:r w:rsidR="00C05AB7">
        <w:rPr>
          <w:rFonts w:ascii="Times New Roman" w:hAnsi="Times New Roman" w:cs="Times New Roman"/>
          <w:sz w:val="28"/>
          <w:szCs w:val="28"/>
        </w:rPr>
        <w:t xml:space="preserve"> and </w:t>
      </w:r>
      <w:r w:rsidR="00AD3668">
        <w:rPr>
          <w:rFonts w:ascii="Times New Roman" w:hAnsi="Times New Roman" w:cs="Times New Roman"/>
          <w:sz w:val="28"/>
          <w:szCs w:val="28"/>
        </w:rPr>
        <w:t>use of Oracle consulting methodologies and engagement material</w:t>
      </w:r>
      <w:r w:rsidR="00C05AB7">
        <w:rPr>
          <w:rFonts w:ascii="Times New Roman" w:hAnsi="Times New Roman" w:cs="Times New Roman"/>
          <w:sz w:val="28"/>
          <w:szCs w:val="28"/>
        </w:rPr>
        <w:t xml:space="preserve"> for the programs, and other additional Oracle resources.</w:t>
      </w:r>
    </w:p>
    <w:p w14:paraId="2357AEA6" w14:textId="77777777" w:rsidR="00772E97" w:rsidRDefault="00772E97" w:rsidP="00AA2D6B">
      <w:pPr>
        <w:spacing w:after="0" w:line="360" w:lineRule="auto"/>
        <w:jc w:val="both"/>
        <w:rPr>
          <w:rFonts w:ascii="Times New Roman" w:hAnsi="Times New Roman" w:cs="Times New Roman"/>
          <w:sz w:val="28"/>
          <w:szCs w:val="28"/>
        </w:rPr>
      </w:pPr>
    </w:p>
    <w:p w14:paraId="3D8E413D" w14:textId="6C20A53E" w:rsidR="00AA2D6B" w:rsidRDefault="00504364" w:rsidP="00AA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The OLSA regulated TQ’s</w:t>
      </w:r>
      <w:r w:rsidR="00AD3668">
        <w:rPr>
          <w:rFonts w:ascii="Times New Roman" w:hAnsi="Times New Roman" w:cs="Times New Roman"/>
          <w:sz w:val="28"/>
          <w:szCs w:val="28"/>
        </w:rPr>
        <w:t xml:space="preserve"> </w:t>
      </w:r>
      <w:r w:rsidR="000023B4">
        <w:rPr>
          <w:rFonts w:ascii="Times New Roman" w:hAnsi="Times New Roman" w:cs="Times New Roman"/>
          <w:sz w:val="28"/>
          <w:szCs w:val="28"/>
        </w:rPr>
        <w:t xml:space="preserve">limited </w:t>
      </w:r>
      <w:r w:rsidR="00C05AB7">
        <w:rPr>
          <w:rFonts w:ascii="Times New Roman" w:hAnsi="Times New Roman" w:cs="Times New Roman"/>
          <w:sz w:val="28"/>
          <w:szCs w:val="28"/>
        </w:rPr>
        <w:t>right</w:t>
      </w:r>
      <w:r w:rsidR="000023B4">
        <w:rPr>
          <w:rFonts w:ascii="Times New Roman" w:hAnsi="Times New Roman" w:cs="Times New Roman"/>
          <w:sz w:val="28"/>
          <w:szCs w:val="28"/>
        </w:rPr>
        <w:t>(s)</w:t>
      </w:r>
      <w:r w:rsidR="00C05AB7">
        <w:rPr>
          <w:rFonts w:ascii="Times New Roman" w:hAnsi="Times New Roman" w:cs="Times New Roman"/>
          <w:sz w:val="28"/>
          <w:szCs w:val="28"/>
        </w:rPr>
        <w:t xml:space="preserve"> to use the programs made available to it</w:t>
      </w:r>
      <w:r w:rsidR="000023B4">
        <w:rPr>
          <w:rFonts w:ascii="Times New Roman" w:hAnsi="Times New Roman" w:cs="Times New Roman"/>
          <w:sz w:val="28"/>
          <w:szCs w:val="28"/>
        </w:rPr>
        <w:t xml:space="preserve"> on acceptance to the network. F</w:t>
      </w:r>
      <w:r w:rsidR="00D52E82">
        <w:rPr>
          <w:rFonts w:ascii="Times New Roman" w:hAnsi="Times New Roman" w:cs="Times New Roman"/>
          <w:sz w:val="28"/>
          <w:szCs w:val="28"/>
        </w:rPr>
        <w:t>or example</w:t>
      </w:r>
      <w:r w:rsidR="00B10597">
        <w:rPr>
          <w:rFonts w:ascii="Times New Roman" w:hAnsi="Times New Roman" w:cs="Times New Roman"/>
          <w:sz w:val="28"/>
          <w:szCs w:val="28"/>
        </w:rPr>
        <w:t>,</w:t>
      </w:r>
      <w:r w:rsidR="00D52E82">
        <w:rPr>
          <w:rFonts w:ascii="Times New Roman" w:hAnsi="Times New Roman" w:cs="Times New Roman"/>
          <w:sz w:val="28"/>
          <w:szCs w:val="28"/>
        </w:rPr>
        <w:t xml:space="preserve"> removal,</w:t>
      </w:r>
      <w:r w:rsidR="000023B4">
        <w:rPr>
          <w:rFonts w:ascii="Times New Roman" w:hAnsi="Times New Roman" w:cs="Times New Roman"/>
          <w:sz w:val="28"/>
          <w:szCs w:val="28"/>
        </w:rPr>
        <w:t xml:space="preserve"> modification</w:t>
      </w:r>
      <w:r w:rsidR="00772E97">
        <w:rPr>
          <w:rFonts w:ascii="Times New Roman" w:hAnsi="Times New Roman" w:cs="Times New Roman"/>
          <w:sz w:val="28"/>
          <w:szCs w:val="28"/>
        </w:rPr>
        <w:t xml:space="preserve">, and reverse engineering of </w:t>
      </w:r>
      <w:r w:rsidR="00BE086D">
        <w:rPr>
          <w:rFonts w:ascii="Times New Roman" w:hAnsi="Times New Roman" w:cs="Times New Roman"/>
          <w:sz w:val="28"/>
          <w:szCs w:val="28"/>
        </w:rPr>
        <w:t xml:space="preserve">the </w:t>
      </w:r>
      <w:r w:rsidR="00772E97">
        <w:rPr>
          <w:rFonts w:ascii="Times New Roman" w:hAnsi="Times New Roman" w:cs="Times New Roman"/>
          <w:sz w:val="28"/>
          <w:szCs w:val="28"/>
        </w:rPr>
        <w:t>programs</w:t>
      </w:r>
      <w:r w:rsidR="000023B4">
        <w:rPr>
          <w:rFonts w:ascii="Times New Roman" w:hAnsi="Times New Roman" w:cs="Times New Roman"/>
          <w:sz w:val="28"/>
          <w:szCs w:val="28"/>
        </w:rPr>
        <w:t xml:space="preserve"> was prohibited</w:t>
      </w:r>
      <w:r w:rsidR="00D52E82">
        <w:rPr>
          <w:rFonts w:ascii="Times New Roman" w:hAnsi="Times New Roman" w:cs="Times New Roman"/>
          <w:sz w:val="28"/>
          <w:szCs w:val="28"/>
        </w:rPr>
        <w:t>. Warranties and disclaimers by Oracle, and ‘exclusive remedies’ available to members were set out in this agreement.</w:t>
      </w:r>
    </w:p>
    <w:p w14:paraId="15699E4D" w14:textId="77777777" w:rsidR="00AA2D6B" w:rsidRDefault="00AA2D6B" w:rsidP="00AA2D6B">
      <w:pPr>
        <w:spacing w:after="0" w:line="360" w:lineRule="auto"/>
        <w:jc w:val="both"/>
        <w:rPr>
          <w:rFonts w:ascii="Times New Roman" w:hAnsi="Times New Roman" w:cs="Times New Roman"/>
          <w:sz w:val="28"/>
          <w:szCs w:val="28"/>
        </w:rPr>
      </w:pPr>
    </w:p>
    <w:p w14:paraId="0FEA9AFC" w14:textId="3AD8F57D" w:rsidR="00123FCA" w:rsidRDefault="00504364" w:rsidP="00AA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D52E82">
        <w:rPr>
          <w:rFonts w:ascii="Times New Roman" w:hAnsi="Times New Roman" w:cs="Times New Roman"/>
          <w:sz w:val="28"/>
          <w:szCs w:val="28"/>
        </w:rPr>
        <w:t>]</w:t>
      </w:r>
      <w:r w:rsidR="00D52E82">
        <w:rPr>
          <w:rFonts w:ascii="Times New Roman" w:hAnsi="Times New Roman" w:cs="Times New Roman"/>
          <w:sz w:val="28"/>
          <w:szCs w:val="28"/>
        </w:rPr>
        <w:tab/>
      </w:r>
      <w:r>
        <w:rPr>
          <w:rFonts w:ascii="Times New Roman" w:hAnsi="Times New Roman" w:cs="Times New Roman"/>
          <w:sz w:val="28"/>
          <w:szCs w:val="28"/>
        </w:rPr>
        <w:t>TQ’s</w:t>
      </w:r>
      <w:r w:rsidR="0090311B">
        <w:rPr>
          <w:rFonts w:ascii="Times New Roman" w:hAnsi="Times New Roman" w:cs="Times New Roman"/>
          <w:sz w:val="28"/>
          <w:szCs w:val="28"/>
        </w:rPr>
        <w:t xml:space="preserve"> rights to distribute programs, hardware learning credits and other services to end users were regulated by t</w:t>
      </w:r>
      <w:r w:rsidR="00D52E82">
        <w:rPr>
          <w:rFonts w:ascii="Times New Roman" w:hAnsi="Times New Roman" w:cs="Times New Roman"/>
          <w:sz w:val="28"/>
          <w:szCs w:val="28"/>
        </w:rPr>
        <w:t xml:space="preserve">he </w:t>
      </w:r>
      <w:r w:rsidR="0090311B">
        <w:rPr>
          <w:rFonts w:ascii="Times New Roman" w:hAnsi="Times New Roman" w:cs="Times New Roman"/>
          <w:sz w:val="28"/>
          <w:szCs w:val="28"/>
        </w:rPr>
        <w:t xml:space="preserve">FUDA. </w:t>
      </w:r>
      <w:r w:rsidR="009149D8">
        <w:rPr>
          <w:rFonts w:ascii="Times New Roman" w:hAnsi="Times New Roman" w:cs="Times New Roman"/>
          <w:sz w:val="28"/>
          <w:szCs w:val="28"/>
        </w:rPr>
        <w:t>In terms thereof members were authorised to use Oracle’s trademarks and copyrights in te</w:t>
      </w:r>
      <w:r w:rsidR="00772E97">
        <w:rPr>
          <w:rFonts w:ascii="Times New Roman" w:hAnsi="Times New Roman" w:cs="Times New Roman"/>
          <w:sz w:val="28"/>
          <w:szCs w:val="28"/>
        </w:rPr>
        <w:t>rms of guidelines set out in</w:t>
      </w:r>
      <w:r w:rsidR="009149D8">
        <w:rPr>
          <w:rFonts w:ascii="Times New Roman" w:hAnsi="Times New Roman" w:cs="Times New Roman"/>
          <w:sz w:val="28"/>
          <w:szCs w:val="28"/>
        </w:rPr>
        <w:t xml:space="preserve"> Oracle’s Third Party Usage Guidelines.</w:t>
      </w:r>
      <w:r w:rsidR="00D52E82">
        <w:rPr>
          <w:rFonts w:ascii="Times New Roman" w:hAnsi="Times New Roman" w:cs="Times New Roman"/>
          <w:sz w:val="28"/>
          <w:szCs w:val="28"/>
        </w:rPr>
        <w:t xml:space="preserve"> </w:t>
      </w:r>
    </w:p>
    <w:p w14:paraId="36487310" w14:textId="77777777" w:rsidR="00B10597" w:rsidRDefault="00B10597" w:rsidP="00AA2D6B">
      <w:pPr>
        <w:spacing w:after="0" w:line="360" w:lineRule="auto"/>
        <w:jc w:val="both"/>
        <w:rPr>
          <w:rFonts w:ascii="Times New Roman" w:hAnsi="Times New Roman" w:cs="Times New Roman"/>
          <w:sz w:val="28"/>
          <w:szCs w:val="28"/>
        </w:rPr>
      </w:pPr>
    </w:p>
    <w:p w14:paraId="14730B86" w14:textId="5B304F94" w:rsidR="00B10597" w:rsidRDefault="00772E97" w:rsidP="00AA2D6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law</w:t>
      </w:r>
    </w:p>
    <w:p w14:paraId="1C8DDDF0" w14:textId="16153AF3" w:rsidR="00F96BD5" w:rsidRDefault="00504364" w:rsidP="00F96B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F96BD5">
        <w:rPr>
          <w:rFonts w:ascii="Times New Roman" w:hAnsi="Times New Roman" w:cs="Times New Roman"/>
          <w:sz w:val="28"/>
          <w:szCs w:val="28"/>
        </w:rPr>
        <w:t>]</w:t>
      </w:r>
      <w:r w:rsidR="00F96BD5">
        <w:rPr>
          <w:rFonts w:ascii="Times New Roman" w:hAnsi="Times New Roman" w:cs="Times New Roman"/>
          <w:sz w:val="28"/>
          <w:szCs w:val="28"/>
        </w:rPr>
        <w:tab/>
        <w:t>An arbitration agreement is interpreted according to the</w:t>
      </w:r>
      <w:r w:rsidR="008D0E47">
        <w:rPr>
          <w:rFonts w:ascii="Times New Roman" w:hAnsi="Times New Roman" w:cs="Times New Roman"/>
          <w:sz w:val="28"/>
          <w:szCs w:val="28"/>
        </w:rPr>
        <w:t xml:space="preserve"> established</w:t>
      </w:r>
      <w:r w:rsidR="00F96BD5">
        <w:rPr>
          <w:rFonts w:ascii="Times New Roman" w:hAnsi="Times New Roman" w:cs="Times New Roman"/>
          <w:sz w:val="28"/>
          <w:szCs w:val="28"/>
        </w:rPr>
        <w:t xml:space="preserve"> principles governing the interpretation of legal documents.</w:t>
      </w:r>
      <w:r w:rsidR="008D23AF">
        <w:rPr>
          <w:rStyle w:val="FootnoteReference"/>
          <w:rFonts w:ascii="Times New Roman" w:hAnsi="Times New Roman" w:cs="Times New Roman"/>
          <w:sz w:val="28"/>
          <w:szCs w:val="28"/>
        </w:rPr>
        <w:footnoteReference w:id="5"/>
      </w:r>
      <w:r w:rsidR="00F96BD5">
        <w:rPr>
          <w:rFonts w:ascii="Times New Roman" w:hAnsi="Times New Roman" w:cs="Times New Roman"/>
          <w:sz w:val="28"/>
          <w:szCs w:val="28"/>
        </w:rPr>
        <w:t xml:space="preserve"> It is a self-contained agreement </w:t>
      </w:r>
      <w:r w:rsidR="008D23AF">
        <w:rPr>
          <w:rFonts w:ascii="Times New Roman" w:hAnsi="Times New Roman" w:cs="Times New Roman"/>
          <w:sz w:val="28"/>
          <w:szCs w:val="28"/>
        </w:rPr>
        <w:t>collateral</w:t>
      </w:r>
      <w:r w:rsidR="00F96BD5">
        <w:rPr>
          <w:rFonts w:ascii="Times New Roman" w:hAnsi="Times New Roman" w:cs="Times New Roman"/>
          <w:sz w:val="28"/>
          <w:szCs w:val="28"/>
        </w:rPr>
        <w:t xml:space="preserve"> to the main agreement to which it relates.</w:t>
      </w:r>
      <w:r w:rsidR="00F96BD5">
        <w:rPr>
          <w:rStyle w:val="FootnoteReference"/>
          <w:rFonts w:ascii="Times New Roman" w:hAnsi="Times New Roman" w:cs="Times New Roman"/>
          <w:sz w:val="28"/>
          <w:szCs w:val="28"/>
        </w:rPr>
        <w:footnoteReference w:id="6"/>
      </w:r>
      <w:r w:rsidR="008D23AF">
        <w:rPr>
          <w:rFonts w:ascii="Times New Roman" w:hAnsi="Times New Roman" w:cs="Times New Roman"/>
          <w:sz w:val="28"/>
          <w:szCs w:val="28"/>
        </w:rPr>
        <w:t xml:space="preserve"> I</w:t>
      </w:r>
      <w:r w:rsidR="00F96BD5">
        <w:rPr>
          <w:rFonts w:ascii="Times New Roman" w:hAnsi="Times New Roman" w:cs="Times New Roman"/>
          <w:sz w:val="28"/>
          <w:szCs w:val="28"/>
        </w:rPr>
        <w:t>t may only be terminated with the consent of all parties, unless it provides otherwise.</w:t>
      </w:r>
      <w:r w:rsidR="00F96BD5">
        <w:rPr>
          <w:rStyle w:val="FootnoteReference"/>
          <w:rFonts w:ascii="Times New Roman" w:hAnsi="Times New Roman" w:cs="Times New Roman"/>
          <w:sz w:val="28"/>
          <w:szCs w:val="28"/>
        </w:rPr>
        <w:footnoteReference w:id="7"/>
      </w:r>
      <w:r w:rsidR="00F96BD5">
        <w:rPr>
          <w:rFonts w:ascii="Times New Roman" w:hAnsi="Times New Roman" w:cs="Times New Roman"/>
          <w:sz w:val="28"/>
          <w:szCs w:val="28"/>
        </w:rPr>
        <w:t xml:space="preserve"> </w:t>
      </w:r>
    </w:p>
    <w:p w14:paraId="2B9CCA3C" w14:textId="77777777" w:rsidR="008D23AF" w:rsidRDefault="008D23AF" w:rsidP="00AA2D6B">
      <w:pPr>
        <w:spacing w:after="0" w:line="360" w:lineRule="auto"/>
        <w:jc w:val="both"/>
        <w:rPr>
          <w:rFonts w:ascii="Times New Roman" w:hAnsi="Times New Roman" w:cs="Times New Roman"/>
          <w:b/>
          <w:sz w:val="28"/>
          <w:szCs w:val="28"/>
        </w:rPr>
      </w:pPr>
    </w:p>
    <w:p w14:paraId="4B09DCA4" w14:textId="77777777" w:rsidR="00521FB8" w:rsidRDefault="00521FB8" w:rsidP="00AA2D6B">
      <w:pPr>
        <w:spacing w:after="0" w:line="360" w:lineRule="auto"/>
        <w:jc w:val="both"/>
        <w:rPr>
          <w:rFonts w:ascii="Times New Roman" w:hAnsi="Times New Roman" w:cs="Times New Roman"/>
          <w:b/>
          <w:sz w:val="28"/>
          <w:szCs w:val="28"/>
        </w:rPr>
      </w:pPr>
    </w:p>
    <w:p w14:paraId="0D5490F5" w14:textId="77777777" w:rsidR="00AF62B9" w:rsidRDefault="00AF62B9" w:rsidP="00AA2D6B">
      <w:pPr>
        <w:spacing w:after="0" w:line="360" w:lineRule="auto"/>
        <w:jc w:val="both"/>
        <w:rPr>
          <w:rFonts w:ascii="Times New Roman" w:hAnsi="Times New Roman" w:cs="Times New Roman"/>
          <w:b/>
          <w:sz w:val="28"/>
          <w:szCs w:val="28"/>
        </w:rPr>
      </w:pPr>
    </w:p>
    <w:p w14:paraId="47F13A3D" w14:textId="4C7F189D" w:rsidR="008D23AF" w:rsidRPr="00AF62B9" w:rsidRDefault="008D23AF" w:rsidP="00AA2D6B">
      <w:pPr>
        <w:spacing w:after="0" w:line="360" w:lineRule="auto"/>
        <w:jc w:val="both"/>
        <w:rPr>
          <w:rFonts w:ascii="Times New Roman" w:hAnsi="Times New Roman" w:cs="Times New Roman"/>
          <w:b/>
          <w:sz w:val="28"/>
          <w:szCs w:val="28"/>
        </w:rPr>
      </w:pPr>
      <w:r w:rsidRPr="00AF62B9">
        <w:rPr>
          <w:rFonts w:ascii="Times New Roman" w:hAnsi="Times New Roman" w:cs="Times New Roman"/>
          <w:b/>
          <w:sz w:val="28"/>
          <w:szCs w:val="28"/>
        </w:rPr>
        <w:lastRenderedPageBreak/>
        <w:t xml:space="preserve">Discussion </w:t>
      </w:r>
    </w:p>
    <w:p w14:paraId="70CE5DDA" w14:textId="081D8ABC" w:rsidR="00717904" w:rsidRPr="00AF62B9" w:rsidRDefault="00717904" w:rsidP="00AA2D6B">
      <w:pPr>
        <w:spacing w:after="0" w:line="360" w:lineRule="auto"/>
        <w:jc w:val="both"/>
        <w:rPr>
          <w:rFonts w:ascii="Times New Roman" w:hAnsi="Times New Roman" w:cs="Times New Roman"/>
          <w:i/>
          <w:sz w:val="28"/>
          <w:szCs w:val="28"/>
        </w:rPr>
      </w:pPr>
      <w:r w:rsidRPr="00AF62B9">
        <w:rPr>
          <w:rFonts w:ascii="Times New Roman" w:hAnsi="Times New Roman" w:cs="Times New Roman"/>
          <w:i/>
          <w:sz w:val="28"/>
          <w:szCs w:val="28"/>
        </w:rPr>
        <w:t xml:space="preserve">Were the arbitration and </w:t>
      </w:r>
      <w:r w:rsidR="00B65043" w:rsidRPr="00AF62B9">
        <w:rPr>
          <w:rFonts w:ascii="Times New Roman" w:hAnsi="Times New Roman" w:cs="Times New Roman"/>
          <w:i/>
          <w:sz w:val="28"/>
          <w:szCs w:val="28"/>
        </w:rPr>
        <w:t>governing</w:t>
      </w:r>
      <w:r w:rsidRPr="00AF62B9">
        <w:rPr>
          <w:rFonts w:ascii="Times New Roman" w:hAnsi="Times New Roman" w:cs="Times New Roman"/>
          <w:i/>
          <w:sz w:val="28"/>
          <w:szCs w:val="28"/>
        </w:rPr>
        <w:t xml:space="preserve"> law clauses superseded by the </w:t>
      </w:r>
      <w:r w:rsidR="00794EB4">
        <w:rPr>
          <w:rFonts w:ascii="Times New Roman" w:hAnsi="Times New Roman" w:cs="Times New Roman"/>
          <w:i/>
          <w:sz w:val="28"/>
          <w:szCs w:val="28"/>
        </w:rPr>
        <w:t xml:space="preserve">dispute resolution clauses in the network membership </w:t>
      </w:r>
      <w:r w:rsidRPr="00AF62B9">
        <w:rPr>
          <w:rFonts w:ascii="Times New Roman" w:hAnsi="Times New Roman" w:cs="Times New Roman"/>
          <w:i/>
          <w:sz w:val="28"/>
          <w:szCs w:val="28"/>
        </w:rPr>
        <w:t>agreements?</w:t>
      </w:r>
    </w:p>
    <w:p w14:paraId="661C5E54" w14:textId="0B4C14FC" w:rsidR="00717904" w:rsidRPr="00717904" w:rsidRDefault="00717904" w:rsidP="00717904">
      <w:pPr>
        <w:spacing w:after="0" w:line="360" w:lineRule="auto"/>
        <w:jc w:val="both"/>
        <w:rPr>
          <w:rFonts w:ascii="Times New Roman" w:hAnsi="Times New Roman" w:cs="Times New Roman"/>
          <w:sz w:val="28"/>
          <w:szCs w:val="28"/>
        </w:rPr>
      </w:pPr>
      <w:r w:rsidRPr="00AF62B9">
        <w:rPr>
          <w:rFonts w:ascii="Times New Roman" w:hAnsi="Times New Roman" w:cs="Times New Roman"/>
          <w:sz w:val="28"/>
          <w:szCs w:val="28"/>
        </w:rPr>
        <w:t>[23]</w:t>
      </w:r>
      <w:r w:rsidRPr="00AF62B9">
        <w:rPr>
          <w:rFonts w:ascii="Times New Roman" w:hAnsi="Times New Roman" w:cs="Times New Roman"/>
          <w:sz w:val="28"/>
          <w:szCs w:val="28"/>
        </w:rPr>
        <w:tab/>
        <w:t xml:space="preserve">At first TQ pleaded that the dispute resolution clauses provided for in the network membership agreements had superseded clauses 25 and 26 of the licence agreements. </w:t>
      </w:r>
      <w:r w:rsidR="001E3619" w:rsidRPr="00AF62B9">
        <w:rPr>
          <w:rFonts w:ascii="Times New Roman" w:hAnsi="Times New Roman" w:cs="Times New Roman"/>
          <w:sz w:val="28"/>
          <w:szCs w:val="28"/>
        </w:rPr>
        <w:t xml:space="preserve">This meant that the </w:t>
      </w:r>
      <w:r w:rsidR="005F027E" w:rsidRPr="00AF62B9">
        <w:rPr>
          <w:rFonts w:ascii="Times New Roman" w:hAnsi="Times New Roman" w:cs="Times New Roman"/>
          <w:sz w:val="28"/>
          <w:szCs w:val="28"/>
        </w:rPr>
        <w:t xml:space="preserve">dispute resolution </w:t>
      </w:r>
      <w:r w:rsidR="001E3619" w:rsidRPr="00AF62B9">
        <w:rPr>
          <w:rFonts w:ascii="Times New Roman" w:hAnsi="Times New Roman" w:cs="Times New Roman"/>
          <w:sz w:val="28"/>
          <w:szCs w:val="28"/>
        </w:rPr>
        <w:t>clauses in the network membership agreements had to be imported onto the licence agreements. There was no explanation as to how or why some clauses of the licence agreements remained val</w:t>
      </w:r>
      <w:r w:rsidR="0091189D" w:rsidRPr="00AF62B9">
        <w:rPr>
          <w:rFonts w:ascii="Times New Roman" w:hAnsi="Times New Roman" w:cs="Times New Roman"/>
          <w:sz w:val="28"/>
          <w:szCs w:val="28"/>
        </w:rPr>
        <w:t>id and others not</w:t>
      </w:r>
      <w:r w:rsidR="001E3619" w:rsidRPr="00AF62B9">
        <w:rPr>
          <w:rFonts w:ascii="Times New Roman" w:hAnsi="Times New Roman" w:cs="Times New Roman"/>
          <w:sz w:val="28"/>
          <w:szCs w:val="28"/>
        </w:rPr>
        <w:t>. Nevertheless</w:t>
      </w:r>
      <w:r w:rsidR="0091189D" w:rsidRPr="00AF62B9">
        <w:rPr>
          <w:rFonts w:ascii="Times New Roman" w:hAnsi="Times New Roman" w:cs="Times New Roman"/>
          <w:sz w:val="28"/>
          <w:szCs w:val="28"/>
        </w:rPr>
        <w:t>,</w:t>
      </w:r>
      <w:r w:rsidR="001E3619" w:rsidRPr="00AF62B9">
        <w:rPr>
          <w:rFonts w:ascii="Times New Roman" w:hAnsi="Times New Roman" w:cs="Times New Roman"/>
          <w:sz w:val="28"/>
          <w:szCs w:val="28"/>
        </w:rPr>
        <w:t xml:space="preserve"> this </w:t>
      </w:r>
      <w:r w:rsidRPr="00AF62B9">
        <w:rPr>
          <w:rFonts w:ascii="Times New Roman" w:hAnsi="Times New Roman" w:cs="Times New Roman"/>
          <w:sz w:val="28"/>
          <w:szCs w:val="28"/>
        </w:rPr>
        <w:t>contention later changed to the effect that</w:t>
      </w:r>
      <w:r w:rsidR="001E3619" w:rsidRPr="00AF62B9">
        <w:rPr>
          <w:rFonts w:ascii="Times New Roman" w:hAnsi="Times New Roman" w:cs="Times New Roman"/>
          <w:sz w:val="28"/>
          <w:szCs w:val="28"/>
        </w:rPr>
        <w:t xml:space="preserve"> the arbitr</w:t>
      </w:r>
      <w:r w:rsidR="0091189D" w:rsidRPr="00AF62B9">
        <w:rPr>
          <w:rFonts w:ascii="Times New Roman" w:hAnsi="Times New Roman" w:cs="Times New Roman"/>
          <w:sz w:val="28"/>
          <w:szCs w:val="28"/>
        </w:rPr>
        <w:t xml:space="preserve">ation and </w:t>
      </w:r>
      <w:r w:rsidR="00B65043" w:rsidRPr="00AF62B9">
        <w:rPr>
          <w:rFonts w:ascii="Times New Roman" w:hAnsi="Times New Roman" w:cs="Times New Roman"/>
          <w:sz w:val="28"/>
          <w:szCs w:val="28"/>
        </w:rPr>
        <w:t>governing</w:t>
      </w:r>
      <w:r w:rsidR="0091189D" w:rsidRPr="00AF62B9">
        <w:rPr>
          <w:rFonts w:ascii="Times New Roman" w:hAnsi="Times New Roman" w:cs="Times New Roman"/>
          <w:sz w:val="28"/>
          <w:szCs w:val="28"/>
        </w:rPr>
        <w:t xml:space="preserve"> law clauses became inoperative on conclusion of the network membership agreements.</w:t>
      </w:r>
      <w:r w:rsidR="0091189D">
        <w:rPr>
          <w:rFonts w:ascii="Times New Roman" w:hAnsi="Times New Roman" w:cs="Times New Roman"/>
          <w:sz w:val="28"/>
          <w:szCs w:val="28"/>
        </w:rPr>
        <w:t xml:space="preserve"> </w:t>
      </w:r>
    </w:p>
    <w:p w14:paraId="021AE024" w14:textId="77777777" w:rsidR="00717904" w:rsidRPr="00717904" w:rsidRDefault="00717904" w:rsidP="00AA2D6B">
      <w:pPr>
        <w:spacing w:after="0" w:line="360" w:lineRule="auto"/>
        <w:jc w:val="both"/>
        <w:rPr>
          <w:rFonts w:ascii="Times New Roman" w:hAnsi="Times New Roman" w:cs="Times New Roman"/>
          <w:sz w:val="28"/>
          <w:szCs w:val="28"/>
        </w:rPr>
      </w:pPr>
    </w:p>
    <w:p w14:paraId="3FA4320B" w14:textId="74D4DED4" w:rsidR="0064240C" w:rsidRDefault="00344D63" w:rsidP="006424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BA1EC4">
        <w:rPr>
          <w:rFonts w:ascii="Times New Roman" w:hAnsi="Times New Roman" w:cs="Times New Roman"/>
          <w:sz w:val="28"/>
          <w:szCs w:val="28"/>
        </w:rPr>
        <w:t>]</w:t>
      </w:r>
      <w:r w:rsidR="00BA1EC4">
        <w:rPr>
          <w:rFonts w:ascii="Times New Roman" w:hAnsi="Times New Roman" w:cs="Times New Roman"/>
          <w:sz w:val="28"/>
          <w:szCs w:val="28"/>
        </w:rPr>
        <w:tab/>
      </w:r>
      <w:r w:rsidR="0091189D">
        <w:rPr>
          <w:rFonts w:ascii="Times New Roman" w:hAnsi="Times New Roman" w:cs="Times New Roman"/>
          <w:sz w:val="28"/>
          <w:szCs w:val="28"/>
        </w:rPr>
        <w:t>Whatever the ultimate contention by TQ in this regard was, its</w:t>
      </w:r>
      <w:r w:rsidR="00FD1E28">
        <w:rPr>
          <w:rFonts w:ascii="Times New Roman" w:hAnsi="Times New Roman" w:cs="Times New Roman"/>
          <w:sz w:val="28"/>
          <w:szCs w:val="28"/>
        </w:rPr>
        <w:t xml:space="preserve"> expre</w:t>
      </w:r>
      <w:r w:rsidR="0091189D">
        <w:rPr>
          <w:rFonts w:ascii="Times New Roman" w:hAnsi="Times New Roman" w:cs="Times New Roman"/>
          <w:sz w:val="28"/>
          <w:szCs w:val="28"/>
        </w:rPr>
        <w:t>ss reliance</w:t>
      </w:r>
      <w:r w:rsidR="00FD1E28">
        <w:rPr>
          <w:rFonts w:ascii="Times New Roman" w:hAnsi="Times New Roman" w:cs="Times New Roman"/>
          <w:sz w:val="28"/>
          <w:szCs w:val="28"/>
        </w:rPr>
        <w:t xml:space="preserve"> </w:t>
      </w:r>
      <w:r w:rsidR="000B4753">
        <w:rPr>
          <w:rFonts w:ascii="Times New Roman" w:hAnsi="Times New Roman" w:cs="Times New Roman"/>
          <w:sz w:val="28"/>
          <w:szCs w:val="28"/>
        </w:rPr>
        <w:t xml:space="preserve">on </w:t>
      </w:r>
      <w:r w:rsidR="00FD1E28">
        <w:rPr>
          <w:rFonts w:ascii="Times New Roman" w:hAnsi="Times New Roman" w:cs="Times New Roman"/>
          <w:sz w:val="28"/>
          <w:szCs w:val="28"/>
        </w:rPr>
        <w:t xml:space="preserve">the licence </w:t>
      </w:r>
      <w:r w:rsidR="000812B7">
        <w:rPr>
          <w:rFonts w:ascii="Times New Roman" w:hAnsi="Times New Roman" w:cs="Times New Roman"/>
          <w:sz w:val="28"/>
          <w:szCs w:val="28"/>
        </w:rPr>
        <w:t>and sub-</w:t>
      </w:r>
      <w:r w:rsidR="0091189D">
        <w:rPr>
          <w:rFonts w:ascii="Times New Roman" w:hAnsi="Times New Roman" w:cs="Times New Roman"/>
          <w:sz w:val="28"/>
          <w:szCs w:val="28"/>
        </w:rPr>
        <w:t>licence agreements is pertinent. T</w:t>
      </w:r>
      <w:r w:rsidR="003660DD">
        <w:rPr>
          <w:rFonts w:ascii="Times New Roman" w:hAnsi="Times New Roman" w:cs="Times New Roman"/>
          <w:sz w:val="28"/>
          <w:szCs w:val="28"/>
        </w:rPr>
        <w:t xml:space="preserve">he absurdity in TQ’s arguments </w:t>
      </w:r>
      <w:r w:rsidR="00C5476C">
        <w:rPr>
          <w:rFonts w:ascii="Times New Roman" w:hAnsi="Times New Roman" w:cs="Times New Roman"/>
          <w:sz w:val="28"/>
          <w:szCs w:val="28"/>
        </w:rPr>
        <w:t>was this:</w:t>
      </w:r>
      <w:r w:rsidR="0091189D">
        <w:rPr>
          <w:rFonts w:ascii="Times New Roman" w:hAnsi="Times New Roman" w:cs="Times New Roman"/>
          <w:sz w:val="28"/>
          <w:szCs w:val="28"/>
        </w:rPr>
        <w:t xml:space="preserve"> on the case pleaded by it</w:t>
      </w:r>
      <w:r w:rsidR="000B4753">
        <w:rPr>
          <w:rFonts w:ascii="Times New Roman" w:hAnsi="Times New Roman" w:cs="Times New Roman"/>
          <w:sz w:val="28"/>
          <w:szCs w:val="28"/>
        </w:rPr>
        <w:t>,</w:t>
      </w:r>
      <w:r w:rsidR="00C5476C">
        <w:rPr>
          <w:rFonts w:ascii="Times New Roman" w:hAnsi="Times New Roman" w:cs="Times New Roman"/>
          <w:sz w:val="28"/>
          <w:szCs w:val="28"/>
        </w:rPr>
        <w:t xml:space="preserve"> clauses in the network membership agreements, to which SAPO</w:t>
      </w:r>
      <w:r w:rsidR="000B4753">
        <w:rPr>
          <w:rFonts w:ascii="Times New Roman" w:hAnsi="Times New Roman" w:cs="Times New Roman"/>
          <w:sz w:val="28"/>
          <w:szCs w:val="28"/>
        </w:rPr>
        <w:t xml:space="preserve"> was not party</w:t>
      </w:r>
      <w:r w:rsidR="00C5476C">
        <w:rPr>
          <w:rFonts w:ascii="Times New Roman" w:hAnsi="Times New Roman" w:cs="Times New Roman"/>
          <w:sz w:val="28"/>
          <w:szCs w:val="28"/>
        </w:rPr>
        <w:t xml:space="preserve">, would be incorporated into the sub-licence agreement without any consent from SAPO. </w:t>
      </w:r>
      <w:r w:rsidR="0091189D">
        <w:rPr>
          <w:rFonts w:ascii="Times New Roman" w:hAnsi="Times New Roman" w:cs="Times New Roman"/>
          <w:sz w:val="28"/>
          <w:szCs w:val="28"/>
        </w:rPr>
        <w:t xml:space="preserve">Further, no regard was paid to the intention of the parties as expressed in the agreements. </w:t>
      </w:r>
    </w:p>
    <w:p w14:paraId="3387E8CA" w14:textId="77777777" w:rsidR="00C5476C" w:rsidRDefault="00C5476C" w:rsidP="0064240C">
      <w:pPr>
        <w:spacing w:after="0" w:line="360" w:lineRule="auto"/>
        <w:jc w:val="both"/>
        <w:rPr>
          <w:rFonts w:ascii="Times New Roman" w:hAnsi="Times New Roman" w:cs="Times New Roman"/>
          <w:sz w:val="28"/>
          <w:szCs w:val="28"/>
        </w:rPr>
      </w:pPr>
    </w:p>
    <w:p w14:paraId="19209D06" w14:textId="00CDD062" w:rsidR="005C1002" w:rsidRDefault="00AB2085" w:rsidP="006424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A1328">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ab/>
      </w:r>
      <w:r w:rsidR="005C43E6">
        <w:rPr>
          <w:rFonts w:ascii="Times New Roman" w:hAnsi="Times New Roman" w:cs="Times New Roman"/>
          <w:sz w:val="28"/>
          <w:szCs w:val="28"/>
        </w:rPr>
        <w:t xml:space="preserve">In </w:t>
      </w:r>
      <w:r w:rsidR="00FD15D7">
        <w:rPr>
          <w:rFonts w:ascii="Times New Roman" w:hAnsi="Times New Roman" w:cs="Times New Roman"/>
          <w:sz w:val="28"/>
          <w:szCs w:val="28"/>
        </w:rPr>
        <w:t>terms of the licence agreements, t</w:t>
      </w:r>
      <w:r w:rsidR="0064240C">
        <w:rPr>
          <w:rFonts w:ascii="Times New Roman" w:hAnsi="Times New Roman" w:cs="Times New Roman"/>
          <w:sz w:val="28"/>
          <w:szCs w:val="28"/>
        </w:rPr>
        <w:t>he arbitration</w:t>
      </w:r>
      <w:r w:rsidR="001867AB">
        <w:rPr>
          <w:rFonts w:ascii="Times New Roman" w:hAnsi="Times New Roman" w:cs="Times New Roman"/>
          <w:sz w:val="28"/>
          <w:szCs w:val="28"/>
        </w:rPr>
        <w:t xml:space="preserve"> </w:t>
      </w:r>
      <w:r w:rsidR="00FD15D7" w:rsidRPr="00AF62B9">
        <w:rPr>
          <w:rFonts w:ascii="Times New Roman" w:hAnsi="Times New Roman" w:cs="Times New Roman"/>
          <w:sz w:val="28"/>
          <w:szCs w:val="28"/>
        </w:rPr>
        <w:t xml:space="preserve">and </w:t>
      </w:r>
      <w:r w:rsidR="00B65043" w:rsidRPr="00AF62B9">
        <w:rPr>
          <w:rFonts w:ascii="Times New Roman" w:hAnsi="Times New Roman" w:cs="Times New Roman"/>
          <w:sz w:val="28"/>
          <w:szCs w:val="28"/>
        </w:rPr>
        <w:t>governing</w:t>
      </w:r>
      <w:r w:rsidR="00FD15D7" w:rsidRPr="00AF62B9">
        <w:rPr>
          <w:rFonts w:ascii="Times New Roman" w:hAnsi="Times New Roman" w:cs="Times New Roman"/>
          <w:sz w:val="28"/>
          <w:szCs w:val="28"/>
        </w:rPr>
        <w:t xml:space="preserve"> law</w:t>
      </w:r>
      <w:r w:rsidR="00FD15D7">
        <w:rPr>
          <w:rFonts w:ascii="Times New Roman" w:hAnsi="Times New Roman" w:cs="Times New Roman"/>
          <w:sz w:val="28"/>
          <w:szCs w:val="28"/>
        </w:rPr>
        <w:t xml:space="preserve"> </w:t>
      </w:r>
      <w:r w:rsidR="001867AB">
        <w:rPr>
          <w:rFonts w:ascii="Times New Roman" w:hAnsi="Times New Roman" w:cs="Times New Roman"/>
          <w:sz w:val="28"/>
          <w:szCs w:val="28"/>
        </w:rPr>
        <w:t>clause</w:t>
      </w:r>
      <w:r w:rsidR="0064240C">
        <w:rPr>
          <w:rFonts w:ascii="Times New Roman" w:hAnsi="Times New Roman" w:cs="Times New Roman"/>
          <w:sz w:val="28"/>
          <w:szCs w:val="28"/>
        </w:rPr>
        <w:t>s</w:t>
      </w:r>
      <w:r w:rsidR="001867AB">
        <w:rPr>
          <w:rFonts w:ascii="Times New Roman" w:hAnsi="Times New Roman" w:cs="Times New Roman"/>
          <w:sz w:val="28"/>
          <w:szCs w:val="28"/>
        </w:rPr>
        <w:t xml:space="preserve"> would only terminate </w:t>
      </w:r>
      <w:r w:rsidR="00B30054">
        <w:rPr>
          <w:rFonts w:ascii="Times New Roman" w:hAnsi="Times New Roman" w:cs="Times New Roman"/>
          <w:sz w:val="28"/>
          <w:szCs w:val="28"/>
        </w:rPr>
        <w:t xml:space="preserve">if the parties or one of </w:t>
      </w:r>
      <w:r w:rsidR="001867AB">
        <w:rPr>
          <w:rFonts w:ascii="Times New Roman" w:hAnsi="Times New Roman" w:cs="Times New Roman"/>
          <w:sz w:val="28"/>
          <w:szCs w:val="28"/>
        </w:rPr>
        <w:t>them invoked the provi</w:t>
      </w:r>
      <w:r w:rsidR="00B30054">
        <w:rPr>
          <w:rFonts w:ascii="Times New Roman" w:hAnsi="Times New Roman" w:cs="Times New Roman"/>
          <w:sz w:val="28"/>
          <w:szCs w:val="28"/>
        </w:rPr>
        <w:t>sions of the termination clause</w:t>
      </w:r>
      <w:r w:rsidR="00FD15D7">
        <w:rPr>
          <w:rFonts w:ascii="Times New Roman" w:hAnsi="Times New Roman" w:cs="Times New Roman"/>
          <w:sz w:val="28"/>
          <w:szCs w:val="28"/>
        </w:rPr>
        <w:t xml:space="preserve">. </w:t>
      </w:r>
      <w:r w:rsidR="00C91648">
        <w:rPr>
          <w:rFonts w:ascii="Times New Roman" w:hAnsi="Times New Roman" w:cs="Times New Roman"/>
          <w:sz w:val="28"/>
          <w:szCs w:val="28"/>
        </w:rPr>
        <w:t xml:space="preserve">Apart from regulating termination for breach, </w:t>
      </w:r>
      <w:r w:rsidR="0064240C">
        <w:rPr>
          <w:rFonts w:ascii="Times New Roman" w:hAnsi="Times New Roman" w:cs="Times New Roman"/>
          <w:sz w:val="28"/>
          <w:szCs w:val="28"/>
        </w:rPr>
        <w:t>C</w:t>
      </w:r>
      <w:r w:rsidR="00C91648">
        <w:rPr>
          <w:rFonts w:ascii="Times New Roman" w:hAnsi="Times New Roman" w:cs="Times New Roman"/>
          <w:sz w:val="28"/>
          <w:szCs w:val="28"/>
        </w:rPr>
        <w:t xml:space="preserve">lause 15, in both agreements, regulated termination </w:t>
      </w:r>
      <w:r w:rsidR="0064240C">
        <w:rPr>
          <w:rFonts w:ascii="Times New Roman" w:hAnsi="Times New Roman" w:cs="Times New Roman"/>
          <w:sz w:val="28"/>
          <w:szCs w:val="28"/>
        </w:rPr>
        <w:t>of the licence agreements</w:t>
      </w:r>
      <w:r w:rsidR="00C91648">
        <w:rPr>
          <w:rFonts w:ascii="Times New Roman" w:hAnsi="Times New Roman" w:cs="Times New Roman"/>
          <w:sz w:val="28"/>
          <w:szCs w:val="28"/>
        </w:rPr>
        <w:t xml:space="preserve"> </w:t>
      </w:r>
      <w:r w:rsidR="00CC4796">
        <w:rPr>
          <w:rFonts w:ascii="Times New Roman" w:hAnsi="Times New Roman" w:cs="Times New Roman"/>
          <w:sz w:val="28"/>
          <w:szCs w:val="28"/>
        </w:rPr>
        <w:t>as follows:</w:t>
      </w:r>
    </w:p>
    <w:p w14:paraId="1334BE88" w14:textId="2A872DCB" w:rsidR="00CC4796" w:rsidRPr="0064240C" w:rsidRDefault="00CC4796" w:rsidP="0064240C">
      <w:pPr>
        <w:spacing w:after="0" w:line="360" w:lineRule="auto"/>
        <w:jc w:val="both"/>
        <w:rPr>
          <w:rFonts w:ascii="Times New Roman" w:hAnsi="Times New Roman" w:cs="Times New Roman"/>
          <w:sz w:val="24"/>
          <w:szCs w:val="24"/>
        </w:rPr>
      </w:pPr>
      <w:r w:rsidRPr="0064240C">
        <w:rPr>
          <w:rFonts w:ascii="Times New Roman" w:hAnsi="Times New Roman" w:cs="Times New Roman"/>
          <w:sz w:val="24"/>
          <w:szCs w:val="24"/>
        </w:rPr>
        <w:t>‘T</w:t>
      </w:r>
      <w:r w:rsidR="001E5B9E" w:rsidRPr="0064240C">
        <w:rPr>
          <w:rFonts w:ascii="Times New Roman" w:hAnsi="Times New Roman" w:cs="Times New Roman"/>
          <w:sz w:val="24"/>
          <w:szCs w:val="24"/>
        </w:rPr>
        <w:t>he licencee [</w:t>
      </w:r>
      <w:r w:rsidRPr="0064240C">
        <w:rPr>
          <w:rFonts w:ascii="Times New Roman" w:hAnsi="Times New Roman" w:cs="Times New Roman"/>
          <w:sz w:val="24"/>
          <w:szCs w:val="24"/>
        </w:rPr>
        <w:t>Bank</w:t>
      </w:r>
      <w:r w:rsidR="001E5B9E" w:rsidRPr="0064240C">
        <w:rPr>
          <w:rFonts w:ascii="Times New Roman" w:hAnsi="Times New Roman" w:cs="Times New Roman"/>
          <w:sz w:val="24"/>
          <w:szCs w:val="24"/>
        </w:rPr>
        <w:t>]</w:t>
      </w:r>
      <w:r w:rsidRPr="0064240C">
        <w:rPr>
          <w:rFonts w:ascii="Times New Roman" w:hAnsi="Times New Roman" w:cs="Times New Roman"/>
          <w:sz w:val="24"/>
          <w:szCs w:val="24"/>
        </w:rPr>
        <w:t xml:space="preserve"> may terminate this A</w:t>
      </w:r>
      <w:r w:rsidR="001E5B9E" w:rsidRPr="0064240C">
        <w:rPr>
          <w:rFonts w:ascii="Times New Roman" w:hAnsi="Times New Roman" w:cs="Times New Roman"/>
          <w:sz w:val="24"/>
          <w:szCs w:val="24"/>
        </w:rPr>
        <w:t xml:space="preserve">greement </w:t>
      </w:r>
      <w:r w:rsidRPr="0064240C">
        <w:rPr>
          <w:rFonts w:ascii="Times New Roman" w:hAnsi="Times New Roman" w:cs="Times New Roman"/>
          <w:sz w:val="24"/>
          <w:szCs w:val="24"/>
        </w:rPr>
        <w:t>after full payment of the Total Licence</w:t>
      </w:r>
      <w:r w:rsidR="001E5B9E" w:rsidRPr="0064240C">
        <w:rPr>
          <w:rFonts w:ascii="Times New Roman" w:hAnsi="Times New Roman" w:cs="Times New Roman"/>
          <w:sz w:val="24"/>
          <w:szCs w:val="24"/>
        </w:rPr>
        <w:t xml:space="preserve"> [Sub-licence]</w:t>
      </w:r>
      <w:r w:rsidRPr="0064240C">
        <w:rPr>
          <w:rFonts w:ascii="Times New Roman" w:hAnsi="Times New Roman" w:cs="Times New Roman"/>
          <w:sz w:val="24"/>
          <w:szCs w:val="24"/>
        </w:rPr>
        <w:t xml:space="preserve"> Fees with 30 days written prior notice to the Company</w:t>
      </w:r>
      <w:r w:rsidR="001E5B9E" w:rsidRPr="0064240C">
        <w:rPr>
          <w:rFonts w:ascii="Times New Roman" w:hAnsi="Times New Roman" w:cs="Times New Roman"/>
          <w:sz w:val="24"/>
          <w:szCs w:val="24"/>
        </w:rPr>
        <w:t xml:space="preserve"> [TQ]</w:t>
      </w:r>
      <w:r w:rsidRPr="0064240C">
        <w:rPr>
          <w:rFonts w:ascii="Times New Roman" w:hAnsi="Times New Roman" w:cs="Times New Roman"/>
          <w:sz w:val="24"/>
          <w:szCs w:val="24"/>
        </w:rPr>
        <w:t xml:space="preserve"> of the Licencee’s </w:t>
      </w:r>
      <w:r w:rsidR="001E5B9E" w:rsidRPr="0064240C">
        <w:rPr>
          <w:rFonts w:ascii="Times New Roman" w:hAnsi="Times New Roman" w:cs="Times New Roman"/>
          <w:sz w:val="24"/>
          <w:szCs w:val="24"/>
        </w:rPr>
        <w:t xml:space="preserve">[Bank’s] </w:t>
      </w:r>
      <w:r w:rsidRPr="0064240C">
        <w:rPr>
          <w:rFonts w:ascii="Times New Roman" w:hAnsi="Times New Roman" w:cs="Times New Roman"/>
          <w:sz w:val="24"/>
          <w:szCs w:val="24"/>
        </w:rPr>
        <w:t xml:space="preserve">intent to terminate. However such termination shall not entitle the Licencee </w:t>
      </w:r>
      <w:r w:rsidR="001E5B9E" w:rsidRPr="0064240C">
        <w:rPr>
          <w:rFonts w:ascii="Times New Roman" w:hAnsi="Times New Roman" w:cs="Times New Roman"/>
          <w:sz w:val="24"/>
          <w:szCs w:val="24"/>
        </w:rPr>
        <w:t xml:space="preserve">[Bank] </w:t>
      </w:r>
      <w:r w:rsidRPr="0064240C">
        <w:rPr>
          <w:rFonts w:ascii="Times New Roman" w:hAnsi="Times New Roman" w:cs="Times New Roman"/>
          <w:sz w:val="24"/>
          <w:szCs w:val="24"/>
        </w:rPr>
        <w:t xml:space="preserve">to a refund of any </w:t>
      </w:r>
      <w:r w:rsidR="001E5B9E" w:rsidRPr="0064240C">
        <w:rPr>
          <w:rFonts w:ascii="Times New Roman" w:hAnsi="Times New Roman" w:cs="Times New Roman"/>
          <w:sz w:val="24"/>
          <w:szCs w:val="24"/>
        </w:rPr>
        <w:t>part of the Total Licencee [Sub-licence] Fee nor shall such termination prevent the Company [TQ] from recovering any balance outstanding</w:t>
      </w:r>
      <w:r w:rsidR="0064240C">
        <w:rPr>
          <w:rFonts w:ascii="Times New Roman" w:hAnsi="Times New Roman" w:cs="Times New Roman"/>
          <w:sz w:val="24"/>
          <w:szCs w:val="24"/>
        </w:rPr>
        <w:t>.</w:t>
      </w:r>
      <w:r w:rsidR="001E5B9E" w:rsidRPr="0064240C">
        <w:rPr>
          <w:rFonts w:ascii="Times New Roman" w:hAnsi="Times New Roman" w:cs="Times New Roman"/>
          <w:sz w:val="24"/>
          <w:szCs w:val="24"/>
        </w:rPr>
        <w:t>’</w:t>
      </w:r>
    </w:p>
    <w:p w14:paraId="697E2897" w14:textId="77777777" w:rsidR="0064240C" w:rsidRPr="00CC4796" w:rsidRDefault="0064240C" w:rsidP="0064240C">
      <w:pPr>
        <w:spacing w:after="0" w:line="360" w:lineRule="auto"/>
        <w:jc w:val="both"/>
        <w:rPr>
          <w:rFonts w:ascii="Times New Roman" w:hAnsi="Times New Roman" w:cs="Times New Roman"/>
        </w:rPr>
      </w:pPr>
    </w:p>
    <w:p w14:paraId="27E82A1C" w14:textId="0C74057A" w:rsidR="001C3005" w:rsidRDefault="00FD15D7" w:rsidP="00147A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r w:rsidR="005C1002">
        <w:rPr>
          <w:rFonts w:ascii="Times New Roman" w:hAnsi="Times New Roman" w:cs="Times New Roman"/>
          <w:sz w:val="28"/>
          <w:szCs w:val="28"/>
        </w:rPr>
        <w:t>]</w:t>
      </w:r>
      <w:r w:rsidR="005C1002">
        <w:rPr>
          <w:rFonts w:ascii="Times New Roman" w:hAnsi="Times New Roman" w:cs="Times New Roman"/>
          <w:sz w:val="28"/>
          <w:szCs w:val="28"/>
        </w:rPr>
        <w:tab/>
      </w:r>
      <w:r w:rsidR="001E5B9E">
        <w:rPr>
          <w:rFonts w:ascii="Times New Roman" w:hAnsi="Times New Roman" w:cs="Times New Roman"/>
          <w:sz w:val="28"/>
          <w:szCs w:val="28"/>
        </w:rPr>
        <w:t>No</w:t>
      </w:r>
      <w:r w:rsidR="006F7506">
        <w:rPr>
          <w:rFonts w:ascii="Times New Roman" w:hAnsi="Times New Roman" w:cs="Times New Roman"/>
          <w:sz w:val="28"/>
          <w:szCs w:val="28"/>
        </w:rPr>
        <w:t xml:space="preserve"> variation of the licence agreement was ever effected in terms of this clause.</w:t>
      </w:r>
      <w:r w:rsidR="001E5B9E">
        <w:rPr>
          <w:rFonts w:ascii="Times New Roman" w:hAnsi="Times New Roman" w:cs="Times New Roman"/>
          <w:sz w:val="28"/>
          <w:szCs w:val="28"/>
        </w:rPr>
        <w:t xml:space="preserve"> And n</w:t>
      </w:r>
      <w:r w:rsidR="001867AB">
        <w:rPr>
          <w:rFonts w:ascii="Times New Roman" w:hAnsi="Times New Roman" w:cs="Times New Roman"/>
          <w:sz w:val="28"/>
          <w:szCs w:val="28"/>
        </w:rPr>
        <w:t>oth</w:t>
      </w:r>
      <w:r w:rsidR="00B30054">
        <w:rPr>
          <w:rFonts w:ascii="Times New Roman" w:hAnsi="Times New Roman" w:cs="Times New Roman"/>
          <w:sz w:val="28"/>
          <w:szCs w:val="28"/>
        </w:rPr>
        <w:t>ing in the wording of the</w:t>
      </w:r>
      <w:r w:rsidR="001867AB">
        <w:rPr>
          <w:rFonts w:ascii="Times New Roman" w:hAnsi="Times New Roman" w:cs="Times New Roman"/>
          <w:sz w:val="28"/>
          <w:szCs w:val="28"/>
        </w:rPr>
        <w:t xml:space="preserve"> </w:t>
      </w:r>
      <w:r w:rsidR="006F7506">
        <w:rPr>
          <w:rFonts w:ascii="Times New Roman" w:hAnsi="Times New Roman" w:cs="Times New Roman"/>
          <w:sz w:val="28"/>
          <w:szCs w:val="28"/>
        </w:rPr>
        <w:t>network membership</w:t>
      </w:r>
      <w:r w:rsidR="00B30054">
        <w:rPr>
          <w:rFonts w:ascii="Times New Roman" w:hAnsi="Times New Roman" w:cs="Times New Roman"/>
          <w:sz w:val="28"/>
          <w:szCs w:val="28"/>
        </w:rPr>
        <w:t xml:space="preserve"> a</w:t>
      </w:r>
      <w:r w:rsidR="001867AB">
        <w:rPr>
          <w:rFonts w:ascii="Times New Roman" w:hAnsi="Times New Roman" w:cs="Times New Roman"/>
          <w:sz w:val="28"/>
          <w:szCs w:val="28"/>
        </w:rPr>
        <w:t xml:space="preserve">greements indicates </w:t>
      </w:r>
      <w:r w:rsidR="001E5B9E">
        <w:rPr>
          <w:rFonts w:ascii="Times New Roman" w:hAnsi="Times New Roman" w:cs="Times New Roman"/>
          <w:sz w:val="28"/>
          <w:szCs w:val="28"/>
        </w:rPr>
        <w:t xml:space="preserve">that </w:t>
      </w:r>
      <w:r w:rsidR="006F7506">
        <w:rPr>
          <w:rFonts w:ascii="Times New Roman" w:hAnsi="Times New Roman" w:cs="Times New Roman"/>
          <w:sz w:val="28"/>
          <w:szCs w:val="28"/>
        </w:rPr>
        <w:t xml:space="preserve">TQ and Oracle </w:t>
      </w:r>
      <w:r w:rsidR="001E5B9E">
        <w:rPr>
          <w:rFonts w:ascii="Times New Roman" w:hAnsi="Times New Roman" w:cs="Times New Roman"/>
          <w:sz w:val="28"/>
          <w:szCs w:val="28"/>
        </w:rPr>
        <w:t>intended to terminate the licence agreement</w:t>
      </w:r>
      <w:r w:rsidR="006F7506">
        <w:rPr>
          <w:rFonts w:ascii="Times New Roman" w:hAnsi="Times New Roman" w:cs="Times New Roman"/>
          <w:sz w:val="28"/>
          <w:szCs w:val="28"/>
        </w:rPr>
        <w:t>s</w:t>
      </w:r>
      <w:r w:rsidR="001E5B9E">
        <w:rPr>
          <w:rFonts w:ascii="Times New Roman" w:hAnsi="Times New Roman" w:cs="Times New Roman"/>
          <w:sz w:val="28"/>
          <w:szCs w:val="28"/>
        </w:rPr>
        <w:t xml:space="preserve"> or any clause therein. </w:t>
      </w:r>
      <w:r w:rsidR="00B30054">
        <w:rPr>
          <w:rFonts w:ascii="Times New Roman" w:hAnsi="Times New Roman" w:cs="Times New Roman"/>
          <w:sz w:val="28"/>
          <w:szCs w:val="28"/>
        </w:rPr>
        <w:t>Instead,</w:t>
      </w:r>
      <w:r>
        <w:rPr>
          <w:rFonts w:ascii="Times New Roman" w:hAnsi="Times New Roman" w:cs="Times New Roman"/>
          <w:sz w:val="28"/>
          <w:szCs w:val="28"/>
        </w:rPr>
        <w:t xml:space="preserve"> as stated,</w:t>
      </w:r>
      <w:r w:rsidR="00B30054">
        <w:rPr>
          <w:rFonts w:ascii="Times New Roman" w:hAnsi="Times New Roman" w:cs="Times New Roman"/>
          <w:sz w:val="28"/>
          <w:szCs w:val="28"/>
        </w:rPr>
        <w:t xml:space="preserve"> e</w:t>
      </w:r>
      <w:r w:rsidR="001867AB">
        <w:rPr>
          <w:rFonts w:ascii="Times New Roman" w:hAnsi="Times New Roman" w:cs="Times New Roman"/>
          <w:sz w:val="28"/>
          <w:szCs w:val="28"/>
        </w:rPr>
        <w:t>ach of the</w:t>
      </w:r>
      <w:r w:rsidR="00A849F5">
        <w:rPr>
          <w:rFonts w:ascii="Times New Roman" w:hAnsi="Times New Roman" w:cs="Times New Roman"/>
          <w:sz w:val="28"/>
          <w:szCs w:val="28"/>
        </w:rPr>
        <w:t xml:space="preserve"> agreements regulated different aspects</w:t>
      </w:r>
      <w:r w:rsidR="00B30054">
        <w:rPr>
          <w:rFonts w:ascii="Times New Roman" w:hAnsi="Times New Roman" w:cs="Times New Roman"/>
          <w:sz w:val="28"/>
          <w:szCs w:val="28"/>
        </w:rPr>
        <w:t xml:space="preserve"> of the business </w:t>
      </w:r>
      <w:r w:rsidR="001867AB">
        <w:rPr>
          <w:rFonts w:ascii="Times New Roman" w:hAnsi="Times New Roman" w:cs="Times New Roman"/>
          <w:sz w:val="28"/>
          <w:szCs w:val="28"/>
        </w:rPr>
        <w:t>re</w:t>
      </w:r>
      <w:r>
        <w:rPr>
          <w:rFonts w:ascii="Times New Roman" w:hAnsi="Times New Roman" w:cs="Times New Roman"/>
          <w:sz w:val="28"/>
          <w:szCs w:val="28"/>
        </w:rPr>
        <w:t>lationship between TQ and Oracle</w:t>
      </w:r>
      <w:r w:rsidR="001867AB">
        <w:rPr>
          <w:rFonts w:ascii="Times New Roman" w:hAnsi="Times New Roman" w:cs="Times New Roman"/>
          <w:sz w:val="28"/>
          <w:szCs w:val="28"/>
        </w:rPr>
        <w:t>.</w:t>
      </w:r>
      <w:r w:rsidR="00A849F5">
        <w:rPr>
          <w:rFonts w:ascii="Times New Roman" w:hAnsi="Times New Roman" w:cs="Times New Roman"/>
          <w:sz w:val="28"/>
          <w:szCs w:val="28"/>
        </w:rPr>
        <w:t xml:space="preserve"> </w:t>
      </w:r>
      <w:r w:rsidR="006F7506">
        <w:rPr>
          <w:rFonts w:ascii="Times New Roman" w:hAnsi="Times New Roman" w:cs="Times New Roman"/>
          <w:sz w:val="28"/>
          <w:szCs w:val="28"/>
        </w:rPr>
        <w:t>It is also relevant that i</w:t>
      </w:r>
      <w:r w:rsidR="001C3005">
        <w:rPr>
          <w:rFonts w:ascii="Times New Roman" w:hAnsi="Times New Roman" w:cs="Times New Roman"/>
          <w:sz w:val="28"/>
          <w:szCs w:val="28"/>
        </w:rPr>
        <w:t xml:space="preserve">n the summons TQ pleaded that </w:t>
      </w:r>
      <w:r w:rsidR="006F7506">
        <w:rPr>
          <w:rFonts w:ascii="Times New Roman" w:hAnsi="Times New Roman" w:cs="Times New Roman"/>
          <w:sz w:val="28"/>
          <w:szCs w:val="28"/>
        </w:rPr>
        <w:t xml:space="preserve">the </w:t>
      </w:r>
      <w:r w:rsidR="001C3005" w:rsidRPr="00657D30">
        <w:rPr>
          <w:rFonts w:ascii="Times New Roman" w:hAnsi="Times New Roman" w:cs="Times New Roman"/>
          <w:sz w:val="28"/>
          <w:szCs w:val="28"/>
        </w:rPr>
        <w:t>three</w:t>
      </w:r>
      <w:r w:rsidR="001C3005">
        <w:rPr>
          <w:rFonts w:ascii="Times New Roman" w:hAnsi="Times New Roman" w:cs="Times New Roman"/>
          <w:sz w:val="28"/>
          <w:szCs w:val="28"/>
        </w:rPr>
        <w:t xml:space="preserve"> network </w:t>
      </w:r>
      <w:r w:rsidR="006F7506">
        <w:rPr>
          <w:rFonts w:ascii="Times New Roman" w:hAnsi="Times New Roman" w:cs="Times New Roman"/>
          <w:sz w:val="28"/>
          <w:szCs w:val="28"/>
        </w:rPr>
        <w:t xml:space="preserve">membership </w:t>
      </w:r>
      <w:r w:rsidR="001C3005">
        <w:rPr>
          <w:rFonts w:ascii="Times New Roman" w:hAnsi="Times New Roman" w:cs="Times New Roman"/>
          <w:sz w:val="28"/>
          <w:szCs w:val="28"/>
        </w:rPr>
        <w:t xml:space="preserve">agreements were </w:t>
      </w:r>
      <w:r w:rsidR="001C3005" w:rsidRPr="00657D30">
        <w:rPr>
          <w:rFonts w:ascii="Times New Roman" w:hAnsi="Times New Roman" w:cs="Times New Roman"/>
          <w:sz w:val="28"/>
          <w:szCs w:val="28"/>
        </w:rPr>
        <w:t xml:space="preserve">concluded </w:t>
      </w:r>
      <w:r w:rsidR="001C3005">
        <w:rPr>
          <w:rFonts w:ascii="Times New Roman" w:hAnsi="Times New Roman" w:cs="Times New Roman"/>
          <w:sz w:val="28"/>
          <w:szCs w:val="28"/>
        </w:rPr>
        <w:t xml:space="preserve">with the intention of </w:t>
      </w:r>
      <w:r w:rsidR="001C3005" w:rsidRPr="00657D30">
        <w:rPr>
          <w:rFonts w:ascii="Times New Roman" w:hAnsi="Times New Roman" w:cs="Times New Roman"/>
          <w:sz w:val="28"/>
          <w:szCs w:val="28"/>
        </w:rPr>
        <w:t>grant</w:t>
      </w:r>
      <w:r w:rsidR="001C3005">
        <w:rPr>
          <w:rFonts w:ascii="Times New Roman" w:hAnsi="Times New Roman" w:cs="Times New Roman"/>
          <w:sz w:val="28"/>
          <w:szCs w:val="28"/>
        </w:rPr>
        <w:t>ing</w:t>
      </w:r>
      <w:r w:rsidR="001C3005" w:rsidRPr="00657D30">
        <w:rPr>
          <w:rFonts w:ascii="Times New Roman" w:hAnsi="Times New Roman" w:cs="Times New Roman"/>
          <w:sz w:val="28"/>
          <w:szCs w:val="28"/>
        </w:rPr>
        <w:t xml:space="preserve"> TQ </w:t>
      </w:r>
      <w:r w:rsidR="001C3005" w:rsidRPr="001C3005">
        <w:rPr>
          <w:rFonts w:ascii="Times New Roman" w:hAnsi="Times New Roman" w:cs="Times New Roman"/>
          <w:sz w:val="28"/>
          <w:szCs w:val="28"/>
        </w:rPr>
        <w:t>the right to distribute</w:t>
      </w:r>
      <w:r w:rsidR="001C3005" w:rsidRPr="006F7506">
        <w:rPr>
          <w:rFonts w:ascii="Times New Roman" w:hAnsi="Times New Roman" w:cs="Times New Roman"/>
          <w:sz w:val="28"/>
          <w:szCs w:val="28"/>
        </w:rPr>
        <w:t xml:space="preserve"> </w:t>
      </w:r>
      <w:r w:rsidR="00AB2085" w:rsidRPr="006F7506">
        <w:rPr>
          <w:rFonts w:ascii="Times New Roman" w:hAnsi="Times New Roman" w:cs="Times New Roman"/>
          <w:sz w:val="28"/>
          <w:szCs w:val="28"/>
        </w:rPr>
        <w:t>‘</w:t>
      </w:r>
      <w:r w:rsidR="001C3005" w:rsidRPr="00702208">
        <w:rPr>
          <w:rFonts w:ascii="Times New Roman" w:hAnsi="Times New Roman" w:cs="Times New Roman"/>
          <w:i/>
          <w:sz w:val="28"/>
          <w:szCs w:val="28"/>
        </w:rPr>
        <w:t xml:space="preserve">other Oracle products in addition to </w:t>
      </w:r>
      <w:r w:rsidR="006F7506" w:rsidRPr="00702208">
        <w:rPr>
          <w:rFonts w:ascii="Times New Roman" w:hAnsi="Times New Roman" w:cs="Times New Roman"/>
          <w:i/>
          <w:sz w:val="28"/>
          <w:szCs w:val="28"/>
        </w:rPr>
        <w:t xml:space="preserve">the </w:t>
      </w:r>
      <w:r w:rsidR="00AB2085" w:rsidRPr="00702208">
        <w:rPr>
          <w:rFonts w:ascii="Times New Roman" w:hAnsi="Times New Roman" w:cs="Times New Roman"/>
          <w:i/>
          <w:sz w:val="28"/>
          <w:szCs w:val="28"/>
        </w:rPr>
        <w:t>[</w:t>
      </w:r>
      <w:r w:rsidR="001C3005" w:rsidRPr="00702208">
        <w:rPr>
          <w:rFonts w:ascii="Times New Roman" w:hAnsi="Times New Roman" w:cs="Times New Roman"/>
          <w:i/>
          <w:sz w:val="28"/>
          <w:szCs w:val="28"/>
        </w:rPr>
        <w:t>TQ</w:t>
      </w:r>
      <w:r w:rsidR="00AB2085" w:rsidRPr="00702208">
        <w:rPr>
          <w:rFonts w:ascii="Times New Roman" w:hAnsi="Times New Roman" w:cs="Times New Roman"/>
          <w:i/>
          <w:sz w:val="28"/>
          <w:szCs w:val="28"/>
        </w:rPr>
        <w:t>’s] rights</w:t>
      </w:r>
      <w:r w:rsidR="001C3005" w:rsidRPr="00702208">
        <w:rPr>
          <w:rFonts w:ascii="Times New Roman" w:hAnsi="Times New Roman" w:cs="Times New Roman"/>
          <w:i/>
          <w:sz w:val="28"/>
          <w:szCs w:val="28"/>
        </w:rPr>
        <w:t xml:space="preserve"> acquired in terms of the Licence agreement</w:t>
      </w:r>
      <w:r w:rsidR="00AB2085" w:rsidRPr="00702208">
        <w:rPr>
          <w:rFonts w:ascii="Times New Roman" w:hAnsi="Times New Roman" w:cs="Times New Roman"/>
          <w:i/>
          <w:sz w:val="28"/>
          <w:szCs w:val="28"/>
        </w:rPr>
        <w:t>’</w:t>
      </w:r>
      <w:r w:rsidR="001C3005" w:rsidRPr="00702208">
        <w:rPr>
          <w:rFonts w:ascii="Times New Roman" w:hAnsi="Times New Roman" w:cs="Times New Roman"/>
          <w:sz w:val="28"/>
          <w:szCs w:val="28"/>
        </w:rPr>
        <w:t xml:space="preserve">. </w:t>
      </w:r>
      <w:r w:rsidR="00702208">
        <w:rPr>
          <w:rFonts w:ascii="Times New Roman" w:hAnsi="Times New Roman" w:cs="Times New Roman"/>
          <w:sz w:val="28"/>
          <w:szCs w:val="28"/>
        </w:rPr>
        <w:t>(emphasis supplied)</w:t>
      </w:r>
    </w:p>
    <w:p w14:paraId="5EB0B126" w14:textId="77777777" w:rsidR="00521FB8" w:rsidRDefault="00521FB8" w:rsidP="00147AF8">
      <w:pPr>
        <w:spacing w:after="0" w:line="360" w:lineRule="auto"/>
        <w:jc w:val="both"/>
        <w:rPr>
          <w:rFonts w:ascii="Times New Roman" w:hAnsi="Times New Roman" w:cs="Times New Roman"/>
        </w:rPr>
      </w:pPr>
    </w:p>
    <w:p w14:paraId="0677A720" w14:textId="0A332A4C" w:rsidR="00AB2085" w:rsidRDefault="000F04B8" w:rsidP="00D774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1C3005">
        <w:rPr>
          <w:rFonts w:ascii="Times New Roman" w:hAnsi="Times New Roman" w:cs="Times New Roman"/>
          <w:sz w:val="28"/>
          <w:szCs w:val="28"/>
        </w:rPr>
        <w:t>]</w:t>
      </w:r>
      <w:r w:rsidR="001C3005">
        <w:rPr>
          <w:rFonts w:ascii="Times New Roman" w:hAnsi="Times New Roman" w:cs="Times New Roman"/>
          <w:sz w:val="28"/>
          <w:szCs w:val="28"/>
        </w:rPr>
        <w:tab/>
      </w:r>
      <w:r w:rsidR="00D774CE">
        <w:rPr>
          <w:rFonts w:ascii="Times New Roman" w:hAnsi="Times New Roman" w:cs="Times New Roman"/>
          <w:sz w:val="28"/>
          <w:szCs w:val="28"/>
        </w:rPr>
        <w:t xml:space="preserve">While </w:t>
      </w:r>
      <w:r w:rsidR="00C91648">
        <w:rPr>
          <w:rFonts w:ascii="Times New Roman" w:hAnsi="Times New Roman" w:cs="Times New Roman"/>
          <w:sz w:val="28"/>
          <w:szCs w:val="28"/>
        </w:rPr>
        <w:t>the licence agreement</w:t>
      </w:r>
      <w:r w:rsidR="00A849F5">
        <w:rPr>
          <w:rFonts w:ascii="Times New Roman" w:hAnsi="Times New Roman" w:cs="Times New Roman"/>
          <w:sz w:val="28"/>
          <w:szCs w:val="28"/>
        </w:rPr>
        <w:t>s</w:t>
      </w:r>
      <w:r w:rsidR="00C91648">
        <w:rPr>
          <w:rFonts w:ascii="Times New Roman" w:hAnsi="Times New Roman" w:cs="Times New Roman"/>
          <w:sz w:val="28"/>
          <w:szCs w:val="28"/>
        </w:rPr>
        <w:t xml:space="preserve"> </w:t>
      </w:r>
      <w:r w:rsidR="00A849F5">
        <w:rPr>
          <w:rFonts w:ascii="Times New Roman" w:hAnsi="Times New Roman" w:cs="Times New Roman"/>
          <w:sz w:val="28"/>
          <w:szCs w:val="28"/>
        </w:rPr>
        <w:t>grant</w:t>
      </w:r>
      <w:r w:rsidR="00F25F7F">
        <w:rPr>
          <w:rFonts w:ascii="Times New Roman" w:hAnsi="Times New Roman" w:cs="Times New Roman"/>
          <w:sz w:val="28"/>
          <w:szCs w:val="28"/>
        </w:rPr>
        <w:t>ed</w:t>
      </w:r>
      <w:r w:rsidR="00A849F5">
        <w:rPr>
          <w:rFonts w:ascii="Times New Roman" w:hAnsi="Times New Roman" w:cs="Times New Roman"/>
          <w:sz w:val="28"/>
          <w:szCs w:val="28"/>
        </w:rPr>
        <w:t xml:space="preserve"> and regulate</w:t>
      </w:r>
      <w:r w:rsidR="00F25F7F">
        <w:rPr>
          <w:rFonts w:ascii="Times New Roman" w:hAnsi="Times New Roman" w:cs="Times New Roman"/>
          <w:sz w:val="28"/>
          <w:szCs w:val="28"/>
        </w:rPr>
        <w:t>d</w:t>
      </w:r>
      <w:r w:rsidR="00A849F5">
        <w:rPr>
          <w:rFonts w:ascii="Times New Roman" w:hAnsi="Times New Roman" w:cs="Times New Roman"/>
          <w:sz w:val="28"/>
          <w:szCs w:val="28"/>
        </w:rPr>
        <w:t xml:space="preserve"> specified rights </w:t>
      </w:r>
      <w:r w:rsidR="00D774CE">
        <w:rPr>
          <w:rFonts w:ascii="Times New Roman" w:hAnsi="Times New Roman" w:cs="Times New Roman"/>
          <w:sz w:val="28"/>
          <w:szCs w:val="28"/>
        </w:rPr>
        <w:t xml:space="preserve">between TQ, Oracle and SAPO </w:t>
      </w:r>
      <w:r w:rsidR="00A849F5">
        <w:rPr>
          <w:rFonts w:ascii="Times New Roman" w:hAnsi="Times New Roman" w:cs="Times New Roman"/>
          <w:sz w:val="28"/>
          <w:szCs w:val="28"/>
        </w:rPr>
        <w:t xml:space="preserve">in relation to the I-Flex </w:t>
      </w:r>
      <w:r w:rsidR="00D774CE">
        <w:rPr>
          <w:rFonts w:ascii="Times New Roman" w:hAnsi="Times New Roman" w:cs="Times New Roman"/>
          <w:sz w:val="28"/>
          <w:szCs w:val="28"/>
        </w:rPr>
        <w:t>S</w:t>
      </w:r>
      <w:r w:rsidR="00A849F5">
        <w:rPr>
          <w:rFonts w:ascii="Times New Roman" w:hAnsi="Times New Roman" w:cs="Times New Roman"/>
          <w:sz w:val="28"/>
          <w:szCs w:val="28"/>
        </w:rPr>
        <w:t>oftware</w:t>
      </w:r>
      <w:r w:rsidR="000810FD">
        <w:rPr>
          <w:rFonts w:ascii="Times New Roman" w:hAnsi="Times New Roman" w:cs="Times New Roman"/>
          <w:sz w:val="28"/>
          <w:szCs w:val="28"/>
        </w:rPr>
        <w:t>, the OPN</w:t>
      </w:r>
      <w:r w:rsidR="00A849F5">
        <w:rPr>
          <w:rFonts w:ascii="Times New Roman" w:hAnsi="Times New Roman" w:cs="Times New Roman"/>
          <w:sz w:val="28"/>
          <w:szCs w:val="28"/>
        </w:rPr>
        <w:t xml:space="preserve"> agreement regulated membership to the </w:t>
      </w:r>
      <w:r w:rsidR="00D774CE">
        <w:rPr>
          <w:rFonts w:ascii="Times New Roman" w:hAnsi="Times New Roman" w:cs="Times New Roman"/>
          <w:sz w:val="28"/>
          <w:szCs w:val="28"/>
        </w:rPr>
        <w:t>business relationship between TQ and Oracle based on TQ’s membership of the Oracle network</w:t>
      </w:r>
      <w:r w:rsidR="00F25F7F">
        <w:rPr>
          <w:rFonts w:ascii="Times New Roman" w:hAnsi="Times New Roman" w:cs="Times New Roman"/>
          <w:sz w:val="28"/>
          <w:szCs w:val="28"/>
        </w:rPr>
        <w:t xml:space="preserve"> and</w:t>
      </w:r>
      <w:r w:rsidR="00D774CE">
        <w:rPr>
          <w:rFonts w:ascii="Times New Roman" w:hAnsi="Times New Roman" w:cs="Times New Roman"/>
          <w:sz w:val="28"/>
          <w:szCs w:val="28"/>
        </w:rPr>
        <w:t xml:space="preserve"> as regulated by the three later agreements</w:t>
      </w:r>
      <w:r w:rsidR="00F82CF9">
        <w:rPr>
          <w:rFonts w:ascii="Times New Roman" w:hAnsi="Times New Roman" w:cs="Times New Roman"/>
          <w:sz w:val="28"/>
          <w:szCs w:val="28"/>
        </w:rPr>
        <w:t>.</w:t>
      </w:r>
      <w:r>
        <w:rPr>
          <w:rFonts w:ascii="Times New Roman" w:hAnsi="Times New Roman" w:cs="Times New Roman"/>
          <w:sz w:val="28"/>
          <w:szCs w:val="28"/>
        </w:rPr>
        <w:t xml:space="preserve"> </w:t>
      </w:r>
    </w:p>
    <w:p w14:paraId="375323BC" w14:textId="77777777" w:rsidR="00D774CE" w:rsidRDefault="00D774CE" w:rsidP="00D774CE">
      <w:pPr>
        <w:spacing w:after="0" w:line="360" w:lineRule="auto"/>
        <w:jc w:val="both"/>
        <w:rPr>
          <w:rFonts w:ascii="Times New Roman" w:hAnsi="Times New Roman" w:cs="Times New Roman"/>
          <w:sz w:val="28"/>
          <w:szCs w:val="28"/>
        </w:rPr>
      </w:pPr>
    </w:p>
    <w:p w14:paraId="0B8EA41D" w14:textId="31554002" w:rsidR="000007D0" w:rsidRDefault="00AB2085" w:rsidP="00F845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53AF8">
        <w:rPr>
          <w:rFonts w:ascii="Times New Roman" w:hAnsi="Times New Roman" w:cs="Times New Roman"/>
          <w:sz w:val="28"/>
          <w:szCs w:val="28"/>
        </w:rPr>
        <w:t>28</w:t>
      </w:r>
      <w:r w:rsidR="00CD3CDE">
        <w:rPr>
          <w:rFonts w:ascii="Times New Roman" w:hAnsi="Times New Roman" w:cs="Times New Roman"/>
          <w:sz w:val="28"/>
          <w:szCs w:val="28"/>
        </w:rPr>
        <w:t>]</w:t>
      </w:r>
      <w:r w:rsidR="00CD3CDE">
        <w:rPr>
          <w:rFonts w:ascii="Times New Roman" w:hAnsi="Times New Roman" w:cs="Times New Roman"/>
          <w:sz w:val="28"/>
          <w:szCs w:val="28"/>
        </w:rPr>
        <w:tab/>
        <w:t>A further relevant consideration is that in the summons</w:t>
      </w:r>
      <w:r>
        <w:rPr>
          <w:rFonts w:ascii="Times New Roman" w:hAnsi="Times New Roman" w:cs="Times New Roman"/>
          <w:sz w:val="28"/>
          <w:szCs w:val="28"/>
        </w:rPr>
        <w:t xml:space="preserve"> TQ </w:t>
      </w:r>
      <w:r w:rsidR="00F82CF9">
        <w:rPr>
          <w:rFonts w:ascii="Times New Roman" w:hAnsi="Times New Roman" w:cs="Times New Roman"/>
          <w:sz w:val="28"/>
          <w:szCs w:val="28"/>
        </w:rPr>
        <w:t xml:space="preserve">pleaded that </w:t>
      </w:r>
      <w:r>
        <w:rPr>
          <w:rFonts w:ascii="Times New Roman" w:hAnsi="Times New Roman" w:cs="Times New Roman"/>
          <w:sz w:val="28"/>
          <w:szCs w:val="28"/>
        </w:rPr>
        <w:t xml:space="preserve">prior to signing the </w:t>
      </w:r>
      <w:r w:rsidR="00F82CF9">
        <w:rPr>
          <w:rFonts w:ascii="Times New Roman" w:hAnsi="Times New Roman" w:cs="Times New Roman"/>
          <w:sz w:val="28"/>
          <w:szCs w:val="28"/>
        </w:rPr>
        <w:t>network membership</w:t>
      </w:r>
      <w:r>
        <w:rPr>
          <w:rFonts w:ascii="Times New Roman" w:hAnsi="Times New Roman" w:cs="Times New Roman"/>
          <w:sz w:val="28"/>
          <w:szCs w:val="28"/>
        </w:rPr>
        <w:t xml:space="preserve"> agreements it </w:t>
      </w:r>
      <w:r w:rsidR="00F82CF9">
        <w:rPr>
          <w:rFonts w:ascii="Times New Roman" w:hAnsi="Times New Roman" w:cs="Times New Roman"/>
          <w:sz w:val="28"/>
          <w:szCs w:val="28"/>
        </w:rPr>
        <w:t>was assured by Oracle that its rights under the licence a</w:t>
      </w:r>
      <w:r>
        <w:rPr>
          <w:rFonts w:ascii="Times New Roman" w:hAnsi="Times New Roman" w:cs="Times New Roman"/>
          <w:sz w:val="28"/>
          <w:szCs w:val="28"/>
        </w:rPr>
        <w:t>greement</w:t>
      </w:r>
      <w:r w:rsidR="00F82CF9">
        <w:rPr>
          <w:rFonts w:ascii="Times New Roman" w:hAnsi="Times New Roman" w:cs="Times New Roman"/>
          <w:sz w:val="28"/>
          <w:szCs w:val="28"/>
        </w:rPr>
        <w:t>s</w:t>
      </w:r>
      <w:r>
        <w:rPr>
          <w:rFonts w:ascii="Times New Roman" w:hAnsi="Times New Roman" w:cs="Times New Roman"/>
          <w:sz w:val="28"/>
          <w:szCs w:val="28"/>
        </w:rPr>
        <w:t xml:space="preserve"> </w:t>
      </w:r>
      <w:r w:rsidRPr="000C66D6">
        <w:rPr>
          <w:rFonts w:ascii="Times New Roman" w:hAnsi="Times New Roman" w:cs="Times New Roman"/>
          <w:sz w:val="28"/>
          <w:szCs w:val="28"/>
        </w:rPr>
        <w:t>would not be negatively affected by the new contracts</w:t>
      </w:r>
      <w:r w:rsidR="00F82CF9" w:rsidRPr="000C66D6">
        <w:rPr>
          <w:rFonts w:ascii="Times New Roman" w:hAnsi="Times New Roman" w:cs="Times New Roman"/>
          <w:sz w:val="28"/>
          <w:szCs w:val="28"/>
        </w:rPr>
        <w:t xml:space="preserve"> because the later agreements </w:t>
      </w:r>
      <w:r w:rsidRPr="000C66D6">
        <w:rPr>
          <w:rFonts w:ascii="Times New Roman" w:hAnsi="Times New Roman" w:cs="Times New Roman"/>
          <w:sz w:val="28"/>
          <w:szCs w:val="28"/>
        </w:rPr>
        <w:t>would ‘</w:t>
      </w:r>
      <w:r w:rsidR="0012328A" w:rsidRPr="000C66D6">
        <w:rPr>
          <w:rFonts w:ascii="Times New Roman" w:hAnsi="Times New Roman" w:cs="Times New Roman"/>
          <w:sz w:val="28"/>
          <w:szCs w:val="28"/>
        </w:rPr>
        <w:t xml:space="preserve">only apply </w:t>
      </w:r>
      <w:r w:rsidRPr="000C66D6">
        <w:rPr>
          <w:rFonts w:ascii="Times New Roman" w:hAnsi="Times New Roman" w:cs="Times New Roman"/>
          <w:sz w:val="28"/>
          <w:szCs w:val="28"/>
        </w:rPr>
        <w:t>to all new Oracle Technology Licence</w:t>
      </w:r>
      <w:r w:rsidR="0012328A" w:rsidRPr="000C66D6">
        <w:rPr>
          <w:rFonts w:ascii="Times New Roman" w:hAnsi="Times New Roman" w:cs="Times New Roman"/>
          <w:sz w:val="28"/>
          <w:szCs w:val="28"/>
        </w:rPr>
        <w:t>’. T</w:t>
      </w:r>
      <w:r w:rsidR="000007D0" w:rsidRPr="000C66D6">
        <w:rPr>
          <w:rFonts w:ascii="Times New Roman" w:hAnsi="Times New Roman" w:cs="Times New Roman"/>
          <w:sz w:val="28"/>
          <w:szCs w:val="28"/>
        </w:rPr>
        <w:t xml:space="preserve">he </w:t>
      </w:r>
      <w:r w:rsidR="00954D76" w:rsidRPr="000C66D6">
        <w:rPr>
          <w:rFonts w:ascii="Times New Roman" w:hAnsi="Times New Roman" w:cs="Times New Roman"/>
          <w:sz w:val="28"/>
          <w:szCs w:val="28"/>
        </w:rPr>
        <w:t>parties</w:t>
      </w:r>
      <w:r w:rsidR="00954D76">
        <w:rPr>
          <w:rFonts w:ascii="Times New Roman" w:hAnsi="Times New Roman" w:cs="Times New Roman"/>
          <w:sz w:val="28"/>
          <w:szCs w:val="28"/>
        </w:rPr>
        <w:t xml:space="preserve"> were therefore</w:t>
      </w:r>
      <w:r w:rsidR="00CD3CDE">
        <w:rPr>
          <w:rFonts w:ascii="Times New Roman" w:hAnsi="Times New Roman" w:cs="Times New Roman"/>
          <w:sz w:val="28"/>
          <w:szCs w:val="28"/>
        </w:rPr>
        <w:t xml:space="preserve"> </w:t>
      </w:r>
      <w:r w:rsidR="000C66D6" w:rsidRPr="00AF62B9">
        <w:rPr>
          <w:rFonts w:ascii="Times New Roman" w:hAnsi="Times New Roman" w:cs="Times New Roman"/>
          <w:sz w:val="28"/>
          <w:szCs w:val="28"/>
        </w:rPr>
        <w:t>alive</w:t>
      </w:r>
      <w:r w:rsidR="000E309A" w:rsidRPr="00AF62B9">
        <w:rPr>
          <w:rFonts w:ascii="Times New Roman" w:hAnsi="Times New Roman" w:cs="Times New Roman"/>
          <w:sz w:val="28"/>
          <w:szCs w:val="28"/>
        </w:rPr>
        <w:t xml:space="preserve"> to the</w:t>
      </w:r>
      <w:r w:rsidR="00CD3CDE" w:rsidRPr="00AF62B9">
        <w:rPr>
          <w:rFonts w:ascii="Times New Roman" w:hAnsi="Times New Roman" w:cs="Times New Roman"/>
          <w:sz w:val="28"/>
          <w:szCs w:val="28"/>
        </w:rPr>
        <w:t xml:space="preserve"> real or</w:t>
      </w:r>
      <w:r w:rsidR="00CD3CDE">
        <w:rPr>
          <w:rFonts w:ascii="Times New Roman" w:hAnsi="Times New Roman" w:cs="Times New Roman"/>
          <w:sz w:val="28"/>
          <w:szCs w:val="28"/>
        </w:rPr>
        <w:t xml:space="preserve"> perceived </w:t>
      </w:r>
      <w:r w:rsidR="00143057">
        <w:rPr>
          <w:rFonts w:ascii="Times New Roman" w:hAnsi="Times New Roman" w:cs="Times New Roman"/>
          <w:sz w:val="28"/>
          <w:szCs w:val="28"/>
        </w:rPr>
        <w:t xml:space="preserve">impact of the network membership agreement on the licence agreements and they agreed that the licence agreements remained in place. </w:t>
      </w:r>
      <w:r w:rsidR="000C66D6">
        <w:rPr>
          <w:rFonts w:ascii="Times New Roman" w:hAnsi="Times New Roman" w:cs="Times New Roman"/>
          <w:sz w:val="28"/>
          <w:szCs w:val="28"/>
        </w:rPr>
        <w:t>Their alleged discussion</w:t>
      </w:r>
      <w:r w:rsidR="00C0605E">
        <w:rPr>
          <w:rFonts w:ascii="Times New Roman" w:hAnsi="Times New Roman" w:cs="Times New Roman"/>
          <w:sz w:val="28"/>
          <w:szCs w:val="28"/>
        </w:rPr>
        <w:t>s</w:t>
      </w:r>
      <w:r w:rsidR="000C66D6">
        <w:rPr>
          <w:rFonts w:ascii="Times New Roman" w:hAnsi="Times New Roman" w:cs="Times New Roman"/>
          <w:sz w:val="28"/>
          <w:szCs w:val="28"/>
        </w:rPr>
        <w:t xml:space="preserve"> are consistent with the terms of all the contracts between them. </w:t>
      </w:r>
      <w:r w:rsidR="00143057">
        <w:rPr>
          <w:rFonts w:ascii="Times New Roman" w:hAnsi="Times New Roman" w:cs="Times New Roman"/>
          <w:sz w:val="28"/>
          <w:szCs w:val="28"/>
        </w:rPr>
        <w:t>The</w:t>
      </w:r>
      <w:r w:rsidR="00954D76">
        <w:rPr>
          <w:rFonts w:ascii="Times New Roman" w:hAnsi="Times New Roman" w:cs="Times New Roman"/>
          <w:sz w:val="28"/>
          <w:szCs w:val="28"/>
        </w:rPr>
        <w:t xml:space="preserve"> </w:t>
      </w:r>
      <w:r w:rsidR="000007D0">
        <w:rPr>
          <w:rFonts w:ascii="Times New Roman" w:hAnsi="Times New Roman" w:cs="Times New Roman"/>
          <w:sz w:val="28"/>
          <w:szCs w:val="28"/>
        </w:rPr>
        <w:t>contention by TQ that the later agreements rendered clauses 25 and 26 in the licence agreements inoperative</w:t>
      </w:r>
      <w:r w:rsidR="00CD3CDE">
        <w:rPr>
          <w:rFonts w:ascii="Times New Roman" w:hAnsi="Times New Roman" w:cs="Times New Roman"/>
          <w:sz w:val="28"/>
          <w:szCs w:val="28"/>
        </w:rPr>
        <w:t xml:space="preserve"> is </w:t>
      </w:r>
      <w:r w:rsidR="000C66D6">
        <w:rPr>
          <w:rFonts w:ascii="Times New Roman" w:hAnsi="Times New Roman" w:cs="Times New Roman"/>
          <w:sz w:val="28"/>
          <w:szCs w:val="28"/>
        </w:rPr>
        <w:t xml:space="preserve">therefore </w:t>
      </w:r>
      <w:r w:rsidR="00CD3CDE">
        <w:rPr>
          <w:rFonts w:ascii="Times New Roman" w:hAnsi="Times New Roman" w:cs="Times New Roman"/>
          <w:sz w:val="28"/>
          <w:szCs w:val="28"/>
        </w:rPr>
        <w:t>contrived</w:t>
      </w:r>
      <w:r w:rsidR="000007D0">
        <w:rPr>
          <w:rFonts w:ascii="Times New Roman" w:hAnsi="Times New Roman" w:cs="Times New Roman"/>
          <w:sz w:val="28"/>
          <w:szCs w:val="28"/>
        </w:rPr>
        <w:t>.</w:t>
      </w:r>
    </w:p>
    <w:p w14:paraId="7A3AA494" w14:textId="77777777" w:rsidR="0064240C" w:rsidRDefault="0064240C" w:rsidP="00F845C3">
      <w:pPr>
        <w:spacing w:after="0" w:line="360" w:lineRule="auto"/>
        <w:jc w:val="both"/>
        <w:rPr>
          <w:rFonts w:ascii="Times New Roman" w:hAnsi="Times New Roman" w:cs="Times New Roman"/>
          <w:sz w:val="28"/>
          <w:szCs w:val="28"/>
        </w:rPr>
      </w:pPr>
    </w:p>
    <w:p w14:paraId="3B88F531" w14:textId="77777777" w:rsidR="00521FB8" w:rsidRDefault="00521FB8" w:rsidP="00F845C3">
      <w:pPr>
        <w:spacing w:after="0" w:line="360" w:lineRule="auto"/>
        <w:jc w:val="both"/>
        <w:rPr>
          <w:rFonts w:ascii="Times New Roman" w:hAnsi="Times New Roman" w:cs="Times New Roman"/>
          <w:sz w:val="28"/>
          <w:szCs w:val="28"/>
        </w:rPr>
      </w:pPr>
    </w:p>
    <w:p w14:paraId="10333258" w14:textId="77777777" w:rsidR="00521FB8" w:rsidRDefault="00521FB8" w:rsidP="00F845C3">
      <w:pPr>
        <w:spacing w:after="0" w:line="360" w:lineRule="auto"/>
        <w:jc w:val="both"/>
        <w:rPr>
          <w:rFonts w:ascii="Times New Roman" w:hAnsi="Times New Roman" w:cs="Times New Roman"/>
          <w:sz w:val="28"/>
          <w:szCs w:val="28"/>
        </w:rPr>
      </w:pPr>
    </w:p>
    <w:p w14:paraId="36C8BCE0" w14:textId="77777777" w:rsidR="000007D0" w:rsidRPr="00CD3CDE" w:rsidRDefault="000007D0" w:rsidP="00F845C3">
      <w:pPr>
        <w:spacing w:after="0" w:line="360" w:lineRule="auto"/>
        <w:jc w:val="both"/>
        <w:rPr>
          <w:rFonts w:ascii="Times New Roman" w:hAnsi="Times New Roman" w:cs="Times New Roman"/>
          <w:i/>
          <w:sz w:val="28"/>
          <w:szCs w:val="28"/>
        </w:rPr>
      </w:pPr>
      <w:r w:rsidRPr="00CD3CDE">
        <w:rPr>
          <w:rFonts w:ascii="Times New Roman" w:hAnsi="Times New Roman" w:cs="Times New Roman"/>
          <w:i/>
          <w:sz w:val="28"/>
          <w:szCs w:val="28"/>
        </w:rPr>
        <w:lastRenderedPageBreak/>
        <w:t>Did the IAA and Model Law apply to the dispute?</w:t>
      </w:r>
    </w:p>
    <w:p w14:paraId="4E02A1A2" w14:textId="72BFE1FE" w:rsidR="001C3005" w:rsidRPr="006A5EAB" w:rsidRDefault="00153AF8" w:rsidP="00F845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0007D0">
        <w:rPr>
          <w:rFonts w:ascii="Times New Roman" w:hAnsi="Times New Roman" w:cs="Times New Roman"/>
          <w:sz w:val="28"/>
          <w:szCs w:val="28"/>
        </w:rPr>
        <w:t>]</w:t>
      </w:r>
      <w:r w:rsidR="000007D0">
        <w:rPr>
          <w:rFonts w:ascii="Times New Roman" w:hAnsi="Times New Roman" w:cs="Times New Roman"/>
          <w:sz w:val="28"/>
          <w:szCs w:val="28"/>
        </w:rPr>
        <w:tab/>
      </w:r>
      <w:r w:rsidR="006A5EAB">
        <w:rPr>
          <w:rFonts w:ascii="Times New Roman" w:hAnsi="Times New Roman" w:cs="Times New Roman"/>
          <w:sz w:val="28"/>
          <w:szCs w:val="28"/>
        </w:rPr>
        <w:t xml:space="preserve">The IAA </w:t>
      </w:r>
      <w:r w:rsidR="00CD3CDE">
        <w:rPr>
          <w:rFonts w:ascii="Times New Roman" w:hAnsi="Times New Roman" w:cs="Times New Roman"/>
          <w:sz w:val="28"/>
          <w:szCs w:val="28"/>
        </w:rPr>
        <w:t xml:space="preserve">was enacted </w:t>
      </w:r>
      <w:r w:rsidR="00B4660C">
        <w:rPr>
          <w:rFonts w:ascii="Times New Roman" w:hAnsi="Times New Roman" w:cs="Times New Roman"/>
          <w:sz w:val="28"/>
          <w:szCs w:val="28"/>
        </w:rPr>
        <w:t xml:space="preserve">in South Africa </w:t>
      </w:r>
      <w:r w:rsidR="00CD3CDE">
        <w:rPr>
          <w:rFonts w:ascii="Times New Roman" w:hAnsi="Times New Roman" w:cs="Times New Roman"/>
          <w:sz w:val="28"/>
          <w:szCs w:val="28"/>
        </w:rPr>
        <w:t xml:space="preserve">with the </w:t>
      </w:r>
      <w:r w:rsidR="00CD3CDE" w:rsidRPr="00AD7DD6">
        <w:rPr>
          <w:rFonts w:ascii="Times New Roman" w:hAnsi="Times New Roman" w:cs="Times New Roman"/>
          <w:sz w:val="28"/>
          <w:szCs w:val="28"/>
        </w:rPr>
        <w:t xml:space="preserve">specific objective, amongst others, </w:t>
      </w:r>
      <w:r w:rsidR="000E309A" w:rsidRPr="00AD7DD6">
        <w:rPr>
          <w:rFonts w:ascii="Times New Roman" w:hAnsi="Times New Roman" w:cs="Times New Roman"/>
          <w:sz w:val="28"/>
          <w:szCs w:val="28"/>
        </w:rPr>
        <w:t xml:space="preserve">to </w:t>
      </w:r>
      <w:r w:rsidR="00CD3CDE" w:rsidRPr="00AD7DD6">
        <w:rPr>
          <w:rFonts w:ascii="Times New Roman" w:hAnsi="Times New Roman" w:cs="Times New Roman"/>
          <w:sz w:val="28"/>
          <w:szCs w:val="28"/>
        </w:rPr>
        <w:t xml:space="preserve">domesticate </w:t>
      </w:r>
      <w:r w:rsidR="006A5EAB" w:rsidRPr="00AD7DD6">
        <w:rPr>
          <w:rFonts w:ascii="Times New Roman" w:hAnsi="Times New Roman" w:cs="Times New Roman"/>
          <w:sz w:val="28"/>
          <w:szCs w:val="28"/>
        </w:rPr>
        <w:t>the Model law as adopted by the</w:t>
      </w:r>
      <w:r w:rsidR="00CD3CDE" w:rsidRPr="00AD7DD6">
        <w:rPr>
          <w:rFonts w:ascii="Times New Roman" w:hAnsi="Times New Roman" w:cs="Times New Roman"/>
          <w:sz w:val="28"/>
          <w:szCs w:val="28"/>
        </w:rPr>
        <w:t xml:space="preserve"> UNICTRAL</w:t>
      </w:r>
      <w:r w:rsidR="006A5EAB" w:rsidRPr="00AD7DD6">
        <w:rPr>
          <w:rFonts w:ascii="Times New Roman" w:hAnsi="Times New Roman" w:cs="Times New Roman"/>
          <w:sz w:val="28"/>
          <w:szCs w:val="28"/>
        </w:rPr>
        <w:t xml:space="preserve"> </w:t>
      </w:r>
      <w:r w:rsidR="000B1939" w:rsidRPr="00AD7DD6">
        <w:rPr>
          <w:rFonts w:ascii="Times New Roman" w:hAnsi="Times New Roman" w:cs="Times New Roman"/>
          <w:sz w:val="28"/>
          <w:szCs w:val="28"/>
        </w:rPr>
        <w:t>in</w:t>
      </w:r>
      <w:r w:rsidR="006A5EAB" w:rsidRPr="00AD7DD6">
        <w:rPr>
          <w:rFonts w:ascii="Times New Roman" w:hAnsi="Times New Roman" w:cs="Times New Roman"/>
          <w:sz w:val="28"/>
          <w:szCs w:val="28"/>
        </w:rPr>
        <w:t xml:space="preserve"> 1985.</w:t>
      </w:r>
      <w:r w:rsidR="006A5EAB" w:rsidRPr="00AD7DD6">
        <w:rPr>
          <w:rStyle w:val="FootnoteReference"/>
          <w:rFonts w:ascii="Times New Roman" w:hAnsi="Times New Roman" w:cs="Times New Roman"/>
          <w:sz w:val="28"/>
          <w:szCs w:val="28"/>
        </w:rPr>
        <w:footnoteReference w:id="8"/>
      </w:r>
      <w:r w:rsidR="00CD3CDE" w:rsidRPr="00AD7DD6">
        <w:rPr>
          <w:rFonts w:ascii="Times New Roman" w:hAnsi="Times New Roman" w:cs="Times New Roman"/>
          <w:sz w:val="28"/>
          <w:szCs w:val="28"/>
        </w:rPr>
        <w:t xml:space="preserve"> </w:t>
      </w:r>
      <w:r w:rsidR="00CD3CDE" w:rsidRPr="00AD7DD6">
        <w:rPr>
          <w:rFonts w:ascii="Times New Roman" w:hAnsi="Times New Roman" w:cs="Times New Roman"/>
          <w:bCs/>
          <w:sz w:val="28"/>
          <w:szCs w:val="28"/>
        </w:rPr>
        <w:t>The Model Law</w:t>
      </w:r>
      <w:r w:rsidR="00B971BA" w:rsidRPr="00AD7DD6">
        <w:rPr>
          <w:rFonts w:ascii="Times New Roman" w:hAnsi="Times New Roman" w:cs="Times New Roman"/>
          <w:bCs/>
          <w:sz w:val="28"/>
          <w:szCs w:val="28"/>
        </w:rPr>
        <w:t xml:space="preserve"> reflects worldwide consensus on key aspects of international arbitration practice. </w:t>
      </w:r>
      <w:r w:rsidR="00FB4E46" w:rsidRPr="00AD7DD6">
        <w:rPr>
          <w:rFonts w:ascii="Times New Roman" w:hAnsi="Times New Roman" w:cs="Times New Roman"/>
          <w:bCs/>
          <w:sz w:val="28"/>
          <w:szCs w:val="28"/>
        </w:rPr>
        <w:t xml:space="preserve">Section 3 </w:t>
      </w:r>
      <w:r w:rsidR="006D6FFD" w:rsidRPr="00AD7DD6">
        <w:rPr>
          <w:rFonts w:ascii="Times New Roman" w:hAnsi="Times New Roman" w:cs="Times New Roman"/>
          <w:bCs/>
          <w:sz w:val="28"/>
          <w:szCs w:val="28"/>
        </w:rPr>
        <w:t>of</w:t>
      </w:r>
      <w:r w:rsidR="00FB4E46" w:rsidRPr="00AD7DD6">
        <w:rPr>
          <w:rFonts w:ascii="Times New Roman" w:hAnsi="Times New Roman" w:cs="Times New Roman"/>
          <w:bCs/>
          <w:sz w:val="28"/>
          <w:szCs w:val="28"/>
        </w:rPr>
        <w:t xml:space="preserve"> the IAA sets out the objectives</w:t>
      </w:r>
      <w:r w:rsidR="00FB4E46">
        <w:rPr>
          <w:rFonts w:ascii="Times New Roman" w:hAnsi="Times New Roman" w:cs="Times New Roman"/>
          <w:bCs/>
          <w:sz w:val="28"/>
          <w:szCs w:val="28"/>
        </w:rPr>
        <w:t xml:space="preserve"> of that Act as to</w:t>
      </w:r>
      <w:r w:rsidR="001C3005">
        <w:rPr>
          <w:rFonts w:ascii="Times New Roman" w:hAnsi="Times New Roman" w:cs="Times New Roman"/>
          <w:bCs/>
          <w:sz w:val="28"/>
          <w:szCs w:val="28"/>
        </w:rPr>
        <w:t xml:space="preserve">: </w:t>
      </w:r>
    </w:p>
    <w:p w14:paraId="55FFAFE6" w14:textId="77777777" w:rsidR="001C3005" w:rsidRPr="000B1939" w:rsidRDefault="001C3005" w:rsidP="001C3005">
      <w:pPr>
        <w:spacing w:after="0" w:line="360" w:lineRule="auto"/>
        <w:jc w:val="both"/>
        <w:rPr>
          <w:rFonts w:ascii="Times New Roman" w:hAnsi="Times New Roman" w:cs="Times New Roman"/>
          <w:sz w:val="24"/>
          <w:szCs w:val="24"/>
        </w:rPr>
      </w:pPr>
      <w:r w:rsidRPr="000B1939">
        <w:rPr>
          <w:rFonts w:ascii="Times New Roman" w:hAnsi="Times New Roman" w:cs="Times New Roman"/>
          <w:bCs/>
          <w:sz w:val="24"/>
          <w:szCs w:val="24"/>
        </w:rPr>
        <w:t>‘</w:t>
      </w:r>
      <w:r w:rsidRPr="000B1939">
        <w:rPr>
          <w:rFonts w:ascii="Times New Roman" w:hAnsi="Times New Roman" w:cs="Times New Roman"/>
          <w:sz w:val="24"/>
          <w:szCs w:val="24"/>
        </w:rPr>
        <w:t xml:space="preserve">(a) facilitate the use of arbitration as a method of resolving international commercial disputes; </w:t>
      </w:r>
    </w:p>
    <w:p w14:paraId="4D0BE18C" w14:textId="77777777" w:rsidR="001C3005" w:rsidRPr="000B1939" w:rsidRDefault="001C3005" w:rsidP="001C3005">
      <w:pPr>
        <w:spacing w:after="0" w:line="360" w:lineRule="auto"/>
        <w:jc w:val="both"/>
        <w:rPr>
          <w:rFonts w:ascii="Times New Roman" w:hAnsi="Times New Roman" w:cs="Times New Roman"/>
          <w:sz w:val="24"/>
          <w:szCs w:val="24"/>
        </w:rPr>
      </w:pPr>
      <w:r w:rsidRPr="000B1939">
        <w:rPr>
          <w:rFonts w:ascii="Times New Roman" w:hAnsi="Times New Roman" w:cs="Times New Roman"/>
          <w:sz w:val="24"/>
          <w:szCs w:val="24"/>
        </w:rPr>
        <w:t xml:space="preserve">(b) adopt the Model Law for use in international commercial disputes; </w:t>
      </w:r>
    </w:p>
    <w:p w14:paraId="5BD88D47" w14:textId="77777777" w:rsidR="001C3005" w:rsidRPr="000B1939" w:rsidRDefault="001C3005" w:rsidP="001C3005">
      <w:pPr>
        <w:spacing w:after="0" w:line="360" w:lineRule="auto"/>
        <w:jc w:val="both"/>
        <w:rPr>
          <w:rFonts w:ascii="Times New Roman" w:hAnsi="Times New Roman" w:cs="Times New Roman"/>
          <w:sz w:val="24"/>
          <w:szCs w:val="24"/>
        </w:rPr>
      </w:pPr>
      <w:r w:rsidRPr="000B1939">
        <w:rPr>
          <w:rFonts w:ascii="Times New Roman" w:hAnsi="Times New Roman" w:cs="Times New Roman"/>
          <w:sz w:val="24"/>
          <w:szCs w:val="24"/>
        </w:rPr>
        <w:t xml:space="preserve">(c) facilitate the recognition and enforcement of certain arbitration agreements and arbitral awards; and </w:t>
      </w:r>
    </w:p>
    <w:p w14:paraId="1DB0B955" w14:textId="77777777" w:rsidR="001C3005" w:rsidRDefault="001C3005" w:rsidP="001C3005">
      <w:pPr>
        <w:spacing w:after="0" w:line="360" w:lineRule="auto"/>
        <w:jc w:val="both"/>
        <w:rPr>
          <w:rFonts w:ascii="Times New Roman" w:hAnsi="Times New Roman" w:cs="Times New Roman"/>
        </w:rPr>
      </w:pPr>
      <w:r w:rsidRPr="000B1939">
        <w:rPr>
          <w:rFonts w:ascii="Times New Roman" w:hAnsi="Times New Roman" w:cs="Times New Roman"/>
          <w:sz w:val="24"/>
          <w:szCs w:val="24"/>
        </w:rPr>
        <w:t>(d) give effect to the obligations of the Republic under the Convention on the Recognition and Enforcement of Foreign Arbitral Awards (1958), the text of which is set out in Schedule 3 to this Act, subject to the provisions of the Constitution</w:t>
      </w:r>
      <w:r w:rsidR="00E95030">
        <w:rPr>
          <w:rFonts w:ascii="Times New Roman" w:hAnsi="Times New Roman" w:cs="Times New Roman"/>
          <w:sz w:val="24"/>
          <w:szCs w:val="24"/>
        </w:rPr>
        <w:t>.</w:t>
      </w:r>
      <w:r w:rsidR="008F7B75" w:rsidRPr="000B1939">
        <w:rPr>
          <w:rFonts w:ascii="Times New Roman" w:hAnsi="Times New Roman" w:cs="Times New Roman"/>
          <w:sz w:val="24"/>
          <w:szCs w:val="24"/>
        </w:rPr>
        <w:t>’</w:t>
      </w:r>
    </w:p>
    <w:p w14:paraId="1FC2B1DF" w14:textId="77777777" w:rsidR="00F845C3" w:rsidRPr="008F7B75" w:rsidRDefault="00F845C3" w:rsidP="001C3005">
      <w:pPr>
        <w:spacing w:after="0" w:line="360" w:lineRule="auto"/>
        <w:jc w:val="both"/>
        <w:rPr>
          <w:rFonts w:ascii="Times New Roman" w:hAnsi="Times New Roman" w:cs="Times New Roman"/>
        </w:rPr>
      </w:pPr>
    </w:p>
    <w:p w14:paraId="0F90A411" w14:textId="1B97EC85" w:rsidR="00F72CDB" w:rsidRPr="00153AF8" w:rsidRDefault="00153AF8" w:rsidP="000B1939">
      <w:pPr>
        <w:spacing w:after="0" w:line="360" w:lineRule="auto"/>
        <w:jc w:val="both"/>
        <w:rPr>
          <w:rFonts w:ascii="Times New Roman" w:hAnsi="Times New Roman" w:cs="Times New Roman"/>
          <w:sz w:val="28"/>
          <w:szCs w:val="28"/>
        </w:rPr>
      </w:pPr>
      <w:r w:rsidRPr="00AD7DB5">
        <w:rPr>
          <w:rFonts w:ascii="Times New Roman" w:hAnsi="Times New Roman" w:cs="Times New Roman"/>
          <w:sz w:val="28"/>
          <w:szCs w:val="28"/>
        </w:rPr>
        <w:t>[30</w:t>
      </w:r>
      <w:r w:rsidR="008F7B75" w:rsidRPr="00AD7DB5">
        <w:rPr>
          <w:rFonts w:ascii="Times New Roman" w:hAnsi="Times New Roman" w:cs="Times New Roman"/>
          <w:sz w:val="28"/>
          <w:szCs w:val="28"/>
        </w:rPr>
        <w:t>]</w:t>
      </w:r>
      <w:r w:rsidR="008F7B75" w:rsidRPr="00AD7DB5">
        <w:rPr>
          <w:rFonts w:ascii="Times New Roman" w:hAnsi="Times New Roman" w:cs="Times New Roman"/>
          <w:sz w:val="28"/>
          <w:szCs w:val="28"/>
        </w:rPr>
        <w:tab/>
      </w:r>
      <w:r w:rsidR="00BD31D0" w:rsidRPr="00AD7DB5">
        <w:rPr>
          <w:rFonts w:ascii="Times New Roman" w:hAnsi="Times New Roman" w:cs="Times New Roman"/>
          <w:sz w:val="28"/>
          <w:szCs w:val="28"/>
        </w:rPr>
        <w:t xml:space="preserve">The Model Law appears in Schedule 1 to the IAA. </w:t>
      </w:r>
      <w:r w:rsidR="006D6FFD" w:rsidRPr="00AD7DB5">
        <w:rPr>
          <w:rFonts w:ascii="Times New Roman" w:hAnsi="Times New Roman" w:cs="Times New Roman"/>
          <w:bCs/>
          <w:sz w:val="28"/>
          <w:szCs w:val="28"/>
        </w:rPr>
        <w:t>In term</w:t>
      </w:r>
      <w:r w:rsidR="00BD31D0" w:rsidRPr="00AD7DB5">
        <w:rPr>
          <w:rFonts w:ascii="Times New Roman" w:hAnsi="Times New Roman" w:cs="Times New Roman"/>
          <w:bCs/>
          <w:sz w:val="28"/>
          <w:szCs w:val="28"/>
        </w:rPr>
        <w:t>s of Article 1(1) thereof</w:t>
      </w:r>
      <w:r w:rsidR="00743661" w:rsidRPr="00AD7DB5">
        <w:rPr>
          <w:rFonts w:ascii="Times New Roman" w:hAnsi="Times New Roman" w:cs="Times New Roman"/>
          <w:bCs/>
          <w:sz w:val="28"/>
          <w:szCs w:val="28"/>
        </w:rPr>
        <w:t xml:space="preserve"> </w:t>
      </w:r>
      <w:r w:rsidR="006D6FFD" w:rsidRPr="00AD7DB5">
        <w:rPr>
          <w:rFonts w:ascii="Times New Roman" w:hAnsi="Times New Roman" w:cs="Times New Roman"/>
          <w:bCs/>
          <w:sz w:val="28"/>
          <w:szCs w:val="28"/>
        </w:rPr>
        <w:t>its</w:t>
      </w:r>
      <w:r w:rsidR="006D6FFD">
        <w:rPr>
          <w:rFonts w:ascii="Times New Roman" w:hAnsi="Times New Roman" w:cs="Times New Roman"/>
          <w:bCs/>
          <w:sz w:val="28"/>
          <w:szCs w:val="28"/>
        </w:rPr>
        <w:t xml:space="preserve"> provisions</w:t>
      </w:r>
      <w:r w:rsidR="006D6FFD" w:rsidRPr="00FE3528">
        <w:rPr>
          <w:rFonts w:ascii="Times New Roman" w:hAnsi="Times New Roman" w:cs="Times New Roman"/>
          <w:sz w:val="28"/>
          <w:szCs w:val="28"/>
        </w:rPr>
        <w:t xml:space="preserve"> </w:t>
      </w:r>
      <w:r w:rsidR="006D6FFD">
        <w:rPr>
          <w:rFonts w:ascii="Times New Roman" w:hAnsi="Times New Roman" w:cs="Times New Roman"/>
          <w:sz w:val="28"/>
          <w:szCs w:val="28"/>
        </w:rPr>
        <w:t>apply</w:t>
      </w:r>
      <w:r w:rsidR="006D6FFD" w:rsidRPr="00614650">
        <w:rPr>
          <w:rFonts w:ascii="Times New Roman" w:hAnsi="Times New Roman" w:cs="Times New Roman"/>
          <w:sz w:val="28"/>
          <w:szCs w:val="28"/>
        </w:rPr>
        <w:t xml:space="preserve"> to international commercial arbitration, subject to any agreement in force between the Republic and any other State or States.</w:t>
      </w:r>
      <w:r w:rsidR="00743661">
        <w:rPr>
          <w:rFonts w:ascii="Times New Roman" w:hAnsi="Times New Roman" w:cs="Times New Roman"/>
          <w:sz w:val="28"/>
          <w:szCs w:val="28"/>
        </w:rPr>
        <w:t xml:space="preserve"> </w:t>
      </w:r>
      <w:r w:rsidR="00666408">
        <w:rPr>
          <w:rFonts w:ascii="Times New Roman" w:hAnsi="Times New Roman" w:cs="Times New Roman"/>
          <w:sz w:val="28"/>
          <w:szCs w:val="28"/>
        </w:rPr>
        <w:t xml:space="preserve">Article 1(2) however provides that the </w:t>
      </w:r>
      <w:r w:rsidR="00DA75F6">
        <w:rPr>
          <w:rFonts w:ascii="Times New Roman" w:hAnsi="Times New Roman" w:cs="Times New Roman"/>
          <w:sz w:val="28"/>
          <w:szCs w:val="28"/>
        </w:rPr>
        <w:t xml:space="preserve">provisions of the </w:t>
      </w:r>
      <w:r w:rsidR="00666408">
        <w:rPr>
          <w:rFonts w:ascii="Times New Roman" w:hAnsi="Times New Roman" w:cs="Times New Roman"/>
          <w:sz w:val="28"/>
          <w:szCs w:val="28"/>
        </w:rPr>
        <w:t>Model Law apply only if the juridical seat of arbitration is in the R</w:t>
      </w:r>
      <w:r w:rsidR="008F6582">
        <w:rPr>
          <w:rFonts w:ascii="Times New Roman" w:hAnsi="Times New Roman" w:cs="Times New Roman"/>
          <w:sz w:val="28"/>
          <w:szCs w:val="28"/>
        </w:rPr>
        <w:t>epublic, except in relation to A</w:t>
      </w:r>
      <w:r w:rsidR="00666408">
        <w:rPr>
          <w:rFonts w:ascii="Times New Roman" w:hAnsi="Times New Roman" w:cs="Times New Roman"/>
          <w:sz w:val="28"/>
          <w:szCs w:val="28"/>
        </w:rPr>
        <w:t xml:space="preserve">rticles 8, 9, 17H, 17I, 17J, 35 and 36 thereof. </w:t>
      </w:r>
      <w:r>
        <w:rPr>
          <w:rFonts w:ascii="Times New Roman" w:hAnsi="Times New Roman" w:cs="Times New Roman"/>
          <w:sz w:val="28"/>
          <w:szCs w:val="28"/>
        </w:rPr>
        <w:t xml:space="preserve"> In terms of </w:t>
      </w:r>
      <w:r w:rsidR="00666408">
        <w:rPr>
          <w:rFonts w:ascii="Times New Roman" w:hAnsi="Times New Roman" w:cs="Times New Roman"/>
          <w:sz w:val="28"/>
          <w:szCs w:val="28"/>
        </w:rPr>
        <w:t>Article 1(3)</w:t>
      </w:r>
      <w:r w:rsidR="00F577B1">
        <w:rPr>
          <w:rFonts w:ascii="Times New Roman" w:hAnsi="Times New Roman" w:cs="Times New Roman"/>
          <w:sz w:val="24"/>
          <w:szCs w:val="24"/>
        </w:rPr>
        <w:t xml:space="preserve"> </w:t>
      </w:r>
      <w:r w:rsidR="00F577B1" w:rsidRPr="00153AF8">
        <w:rPr>
          <w:rFonts w:ascii="Times New Roman" w:hAnsi="Times New Roman" w:cs="Times New Roman"/>
          <w:sz w:val="28"/>
          <w:szCs w:val="28"/>
        </w:rPr>
        <w:t>a</w:t>
      </w:r>
      <w:r w:rsidR="006E080E" w:rsidRPr="00153AF8">
        <w:rPr>
          <w:rFonts w:ascii="Times New Roman" w:hAnsi="Times New Roman" w:cs="Times New Roman"/>
          <w:sz w:val="28"/>
          <w:szCs w:val="28"/>
        </w:rPr>
        <w:t xml:space="preserve">n </w:t>
      </w:r>
      <w:r w:rsidR="00F72CDB" w:rsidRPr="00153AF8">
        <w:rPr>
          <w:rFonts w:ascii="Times New Roman" w:hAnsi="Times New Roman" w:cs="Times New Roman"/>
          <w:sz w:val="28"/>
          <w:szCs w:val="28"/>
        </w:rPr>
        <w:t xml:space="preserve">arbitration is </w:t>
      </w:r>
      <w:r w:rsidR="006E080E" w:rsidRPr="00153AF8">
        <w:rPr>
          <w:rFonts w:ascii="Times New Roman" w:hAnsi="Times New Roman" w:cs="Times New Roman"/>
          <w:sz w:val="28"/>
          <w:szCs w:val="28"/>
        </w:rPr>
        <w:t>international if</w:t>
      </w:r>
      <w:r w:rsidR="00F72CDB" w:rsidRPr="00153AF8">
        <w:rPr>
          <w:rFonts w:ascii="Times New Roman" w:hAnsi="Times New Roman" w:cs="Times New Roman"/>
          <w:sz w:val="28"/>
          <w:szCs w:val="28"/>
        </w:rPr>
        <w:t>:</w:t>
      </w:r>
    </w:p>
    <w:p w14:paraId="3AF2E03D" w14:textId="77777777" w:rsidR="008F7B75" w:rsidRPr="00F577B1" w:rsidRDefault="00F72CDB" w:rsidP="00F577B1">
      <w:pPr>
        <w:spacing w:after="0" w:line="360" w:lineRule="auto"/>
        <w:jc w:val="both"/>
        <w:rPr>
          <w:rFonts w:ascii="Times New Roman" w:hAnsi="Times New Roman" w:cs="Times New Roman"/>
          <w:sz w:val="24"/>
          <w:szCs w:val="24"/>
        </w:rPr>
      </w:pPr>
      <w:r w:rsidRPr="00F577B1">
        <w:rPr>
          <w:rFonts w:ascii="Times New Roman" w:hAnsi="Times New Roman" w:cs="Times New Roman"/>
          <w:i/>
          <w:sz w:val="24"/>
          <w:szCs w:val="24"/>
        </w:rPr>
        <w:t>‘</w:t>
      </w:r>
      <w:r w:rsidR="00F577B1" w:rsidRPr="00F577B1">
        <w:rPr>
          <w:rFonts w:ascii="Times New Roman" w:hAnsi="Times New Roman" w:cs="Times New Roman"/>
          <w:i/>
          <w:sz w:val="24"/>
          <w:szCs w:val="24"/>
        </w:rPr>
        <w:t xml:space="preserve">(a) </w:t>
      </w:r>
      <w:r w:rsidR="00CE4874" w:rsidRPr="00F577B1">
        <w:rPr>
          <w:rFonts w:ascii="Times New Roman" w:hAnsi="Times New Roman" w:cs="Times New Roman"/>
          <w:sz w:val="24"/>
          <w:szCs w:val="24"/>
        </w:rPr>
        <w:t xml:space="preserve">the parties to the arbitration have, at the time of the conclusion of that [arbitration] agreement, their places of business in different States; or </w:t>
      </w:r>
    </w:p>
    <w:p w14:paraId="1291699E" w14:textId="77777777" w:rsidR="00CE4874" w:rsidRPr="00F577B1" w:rsidRDefault="00CE4874" w:rsidP="00F577B1">
      <w:pPr>
        <w:spacing w:after="0" w:line="360" w:lineRule="auto"/>
        <w:jc w:val="both"/>
        <w:rPr>
          <w:rFonts w:ascii="Times New Roman" w:hAnsi="Times New Roman" w:cs="Times New Roman"/>
          <w:sz w:val="24"/>
          <w:szCs w:val="24"/>
        </w:rPr>
      </w:pPr>
      <w:r w:rsidRPr="00F577B1">
        <w:rPr>
          <w:rFonts w:ascii="Times New Roman" w:hAnsi="Times New Roman" w:cs="Times New Roman"/>
          <w:i/>
          <w:sz w:val="24"/>
          <w:szCs w:val="24"/>
        </w:rPr>
        <w:t>(b)</w:t>
      </w:r>
      <w:r w:rsidR="00F577B1" w:rsidRPr="00F577B1">
        <w:rPr>
          <w:rFonts w:ascii="Times New Roman" w:hAnsi="Times New Roman" w:cs="Times New Roman"/>
          <w:sz w:val="24"/>
          <w:szCs w:val="24"/>
        </w:rPr>
        <w:t xml:space="preserve"> </w:t>
      </w:r>
      <w:r w:rsidRPr="00F577B1">
        <w:rPr>
          <w:rFonts w:ascii="Times New Roman" w:hAnsi="Times New Roman" w:cs="Times New Roman"/>
          <w:sz w:val="24"/>
          <w:szCs w:val="24"/>
        </w:rPr>
        <w:t xml:space="preserve">one of the following places is situated outside the State in which the parties have </w:t>
      </w:r>
      <w:r w:rsidR="00F577B1">
        <w:rPr>
          <w:rFonts w:ascii="Times New Roman" w:hAnsi="Times New Roman" w:cs="Times New Roman"/>
          <w:sz w:val="24"/>
          <w:szCs w:val="24"/>
        </w:rPr>
        <w:t>t</w:t>
      </w:r>
      <w:r w:rsidRPr="00F577B1">
        <w:rPr>
          <w:rFonts w:ascii="Times New Roman" w:hAnsi="Times New Roman" w:cs="Times New Roman"/>
          <w:sz w:val="24"/>
          <w:szCs w:val="24"/>
        </w:rPr>
        <w:t xml:space="preserve">heir places of business; </w:t>
      </w:r>
    </w:p>
    <w:p w14:paraId="6F8D83A0" w14:textId="77777777" w:rsidR="008F7B75" w:rsidRPr="00F577B1" w:rsidRDefault="00F577B1" w:rsidP="00F577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4874" w:rsidRPr="00F577B1">
        <w:rPr>
          <w:rFonts w:ascii="Times New Roman" w:hAnsi="Times New Roman" w:cs="Times New Roman"/>
          <w:sz w:val="24"/>
          <w:szCs w:val="24"/>
        </w:rPr>
        <w:t xml:space="preserve">(i) the place of arbitration if determined in, or pursuant to, the arbitration agreement; </w:t>
      </w:r>
    </w:p>
    <w:p w14:paraId="22FF77EE" w14:textId="77777777" w:rsidR="00CE4874" w:rsidRPr="00F577B1" w:rsidRDefault="00F577B1" w:rsidP="00F577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4874" w:rsidRPr="00F577B1">
        <w:rPr>
          <w:rFonts w:ascii="Times New Roman" w:hAnsi="Times New Roman" w:cs="Times New Roman"/>
          <w:sz w:val="24"/>
          <w:szCs w:val="24"/>
        </w:rPr>
        <w:t xml:space="preserve">(ii) any place where a substantial part of the obligations of the commercial relationship </w:t>
      </w:r>
      <w:r>
        <w:rPr>
          <w:rFonts w:ascii="Times New Roman" w:hAnsi="Times New Roman" w:cs="Times New Roman"/>
          <w:sz w:val="24"/>
          <w:szCs w:val="24"/>
        </w:rPr>
        <w:tab/>
      </w:r>
      <w:r w:rsidR="00CE4874" w:rsidRPr="00F577B1">
        <w:rPr>
          <w:rFonts w:ascii="Times New Roman" w:hAnsi="Times New Roman" w:cs="Times New Roman"/>
          <w:sz w:val="24"/>
          <w:szCs w:val="24"/>
        </w:rPr>
        <w:t xml:space="preserve">is to be performed or the place with which the subject-matter of the dispute is most </w:t>
      </w:r>
      <w:r>
        <w:rPr>
          <w:rFonts w:ascii="Times New Roman" w:hAnsi="Times New Roman" w:cs="Times New Roman"/>
          <w:sz w:val="24"/>
          <w:szCs w:val="24"/>
        </w:rPr>
        <w:tab/>
      </w:r>
      <w:r w:rsidR="00CE4874" w:rsidRPr="00F577B1">
        <w:rPr>
          <w:rFonts w:ascii="Times New Roman" w:hAnsi="Times New Roman" w:cs="Times New Roman"/>
          <w:sz w:val="24"/>
          <w:szCs w:val="24"/>
        </w:rPr>
        <w:t xml:space="preserve">closely connected; or </w:t>
      </w:r>
    </w:p>
    <w:p w14:paraId="50422F94" w14:textId="2FD33EA6" w:rsidR="001A755B" w:rsidRPr="00F577B1" w:rsidRDefault="00CE4874" w:rsidP="00F577B1">
      <w:pPr>
        <w:spacing w:after="0" w:line="360" w:lineRule="auto"/>
        <w:jc w:val="both"/>
        <w:rPr>
          <w:rFonts w:ascii="Times New Roman" w:hAnsi="Times New Roman" w:cs="Times New Roman"/>
          <w:sz w:val="24"/>
          <w:szCs w:val="24"/>
        </w:rPr>
      </w:pPr>
      <w:r w:rsidRPr="00F577B1">
        <w:rPr>
          <w:rFonts w:ascii="Times New Roman" w:hAnsi="Times New Roman" w:cs="Times New Roman"/>
          <w:i/>
          <w:sz w:val="24"/>
          <w:szCs w:val="24"/>
        </w:rPr>
        <w:t>(c)</w:t>
      </w:r>
      <w:r w:rsidR="00F577B1" w:rsidRPr="00F577B1">
        <w:rPr>
          <w:rFonts w:ascii="Times New Roman" w:hAnsi="Times New Roman" w:cs="Times New Roman"/>
          <w:sz w:val="24"/>
          <w:szCs w:val="24"/>
        </w:rPr>
        <w:t xml:space="preserve"> </w:t>
      </w:r>
      <w:r w:rsidRPr="00F577B1">
        <w:rPr>
          <w:rFonts w:ascii="Times New Roman" w:hAnsi="Times New Roman" w:cs="Times New Roman"/>
          <w:sz w:val="24"/>
          <w:szCs w:val="24"/>
        </w:rPr>
        <w:t>the parties have expressly agreed that the subject matter of the arbitration agreement re</w:t>
      </w:r>
      <w:r w:rsidR="00521FB8">
        <w:rPr>
          <w:rFonts w:ascii="Times New Roman" w:hAnsi="Times New Roman" w:cs="Times New Roman"/>
          <w:sz w:val="24"/>
          <w:szCs w:val="24"/>
        </w:rPr>
        <w:t>lates t</w:t>
      </w:r>
      <w:r w:rsidR="00F577B1">
        <w:rPr>
          <w:rFonts w:ascii="Times New Roman" w:hAnsi="Times New Roman" w:cs="Times New Roman"/>
          <w:sz w:val="24"/>
          <w:szCs w:val="24"/>
        </w:rPr>
        <w:t>o more than one country.’</w:t>
      </w:r>
      <w:r w:rsidRPr="00F577B1">
        <w:rPr>
          <w:rFonts w:ascii="Times New Roman" w:hAnsi="Times New Roman" w:cs="Times New Roman"/>
          <w:sz w:val="24"/>
          <w:szCs w:val="24"/>
        </w:rPr>
        <w:t xml:space="preserve"> </w:t>
      </w:r>
    </w:p>
    <w:p w14:paraId="59DF446D" w14:textId="292146B7" w:rsidR="004371B4" w:rsidRPr="001A755B" w:rsidRDefault="00CE4874" w:rsidP="00C5476C">
      <w:pPr>
        <w:spacing w:after="0" w:line="360" w:lineRule="auto"/>
        <w:jc w:val="both"/>
        <w:rPr>
          <w:rFonts w:ascii="Times New Roman" w:hAnsi="Times New Roman" w:cs="Times New Roman"/>
          <w:sz w:val="28"/>
          <w:szCs w:val="28"/>
        </w:rPr>
      </w:pPr>
      <w:r w:rsidRPr="00AD7DB5">
        <w:rPr>
          <w:rFonts w:ascii="Times New Roman" w:hAnsi="Times New Roman" w:cs="Times New Roman"/>
          <w:sz w:val="28"/>
          <w:szCs w:val="28"/>
        </w:rPr>
        <w:lastRenderedPageBreak/>
        <w:t>[</w:t>
      </w:r>
      <w:r w:rsidR="00CF1CF7" w:rsidRPr="00AD7DB5">
        <w:rPr>
          <w:rFonts w:ascii="Times New Roman" w:hAnsi="Times New Roman" w:cs="Times New Roman"/>
          <w:sz w:val="28"/>
          <w:szCs w:val="28"/>
        </w:rPr>
        <w:t>31</w:t>
      </w:r>
      <w:r w:rsidRPr="00AD7DB5">
        <w:rPr>
          <w:rFonts w:ascii="Times New Roman" w:hAnsi="Times New Roman" w:cs="Times New Roman"/>
          <w:sz w:val="28"/>
          <w:szCs w:val="28"/>
        </w:rPr>
        <w:t>]</w:t>
      </w:r>
      <w:r w:rsidRPr="00AD7DB5">
        <w:rPr>
          <w:rFonts w:ascii="Times New Roman" w:hAnsi="Times New Roman" w:cs="Times New Roman"/>
          <w:sz w:val="28"/>
          <w:szCs w:val="28"/>
        </w:rPr>
        <w:tab/>
      </w:r>
      <w:r w:rsidR="00CF1CF7" w:rsidRPr="00AD7DB5">
        <w:rPr>
          <w:rFonts w:ascii="Times New Roman" w:hAnsi="Times New Roman" w:cs="Times New Roman"/>
          <w:sz w:val="28"/>
          <w:szCs w:val="28"/>
        </w:rPr>
        <w:t xml:space="preserve">It was submitted on behalf of TQ that </w:t>
      </w:r>
      <w:r w:rsidR="001A755B" w:rsidRPr="00AD7DB5">
        <w:rPr>
          <w:rFonts w:ascii="Times New Roman" w:hAnsi="Times New Roman" w:cs="Times New Roman"/>
          <w:sz w:val="28"/>
          <w:szCs w:val="28"/>
        </w:rPr>
        <w:t xml:space="preserve">on a proper interpretation of Article 1of </w:t>
      </w:r>
      <w:r w:rsidR="00743661" w:rsidRPr="00AD7DB5">
        <w:rPr>
          <w:rFonts w:ascii="Times New Roman" w:hAnsi="Times New Roman" w:cs="Times New Roman"/>
          <w:sz w:val="28"/>
          <w:szCs w:val="28"/>
        </w:rPr>
        <w:t>the Model law</w:t>
      </w:r>
      <w:r w:rsidR="00C3249E" w:rsidRPr="00AD7DB5">
        <w:rPr>
          <w:rFonts w:ascii="Times New Roman" w:hAnsi="Times New Roman" w:cs="Times New Roman"/>
          <w:sz w:val="28"/>
          <w:szCs w:val="28"/>
        </w:rPr>
        <w:t>,</w:t>
      </w:r>
      <w:r w:rsidR="00743661" w:rsidRPr="00AD7DB5">
        <w:rPr>
          <w:rFonts w:ascii="Times New Roman" w:hAnsi="Times New Roman" w:cs="Times New Roman"/>
          <w:sz w:val="28"/>
          <w:szCs w:val="28"/>
        </w:rPr>
        <w:t xml:space="preserve"> </w:t>
      </w:r>
      <w:r w:rsidR="006D6FFD" w:rsidRPr="00AD7DB5">
        <w:rPr>
          <w:rFonts w:ascii="Times New Roman" w:hAnsi="Times New Roman" w:cs="Times New Roman"/>
          <w:sz w:val="28"/>
          <w:szCs w:val="28"/>
        </w:rPr>
        <w:t xml:space="preserve">Article 1(3) </w:t>
      </w:r>
      <w:r w:rsidR="00743661" w:rsidRPr="00AD7DB5">
        <w:rPr>
          <w:rFonts w:ascii="Times New Roman" w:hAnsi="Times New Roman" w:cs="Times New Roman"/>
          <w:sz w:val="28"/>
          <w:szCs w:val="28"/>
        </w:rPr>
        <w:t xml:space="preserve">thereof </w:t>
      </w:r>
      <w:r w:rsidR="006D6FFD" w:rsidRPr="00AD7DB5">
        <w:rPr>
          <w:rFonts w:ascii="Times New Roman" w:hAnsi="Times New Roman" w:cs="Times New Roman"/>
          <w:sz w:val="28"/>
          <w:szCs w:val="28"/>
        </w:rPr>
        <w:t xml:space="preserve">was </w:t>
      </w:r>
      <w:r w:rsidR="00557733" w:rsidRPr="00AD7DB5">
        <w:rPr>
          <w:rFonts w:ascii="Times New Roman" w:hAnsi="Times New Roman" w:cs="Times New Roman"/>
          <w:sz w:val="28"/>
          <w:szCs w:val="28"/>
        </w:rPr>
        <w:t>inapplicable to the dispute</w:t>
      </w:r>
      <w:r w:rsidR="00E06931" w:rsidRPr="00AD7DB5">
        <w:rPr>
          <w:rFonts w:ascii="Times New Roman" w:hAnsi="Times New Roman" w:cs="Times New Roman"/>
          <w:sz w:val="28"/>
          <w:szCs w:val="28"/>
        </w:rPr>
        <w:t xml:space="preserve"> because its application was excluded under </w:t>
      </w:r>
      <w:r w:rsidR="00C3249E" w:rsidRPr="00AD7DB5">
        <w:rPr>
          <w:rFonts w:ascii="Times New Roman" w:hAnsi="Times New Roman" w:cs="Times New Roman"/>
          <w:sz w:val="28"/>
          <w:szCs w:val="28"/>
        </w:rPr>
        <w:t>Article</w:t>
      </w:r>
      <w:r w:rsidR="00E06931" w:rsidRPr="00AD7DB5">
        <w:rPr>
          <w:rFonts w:ascii="Times New Roman" w:hAnsi="Times New Roman" w:cs="Times New Roman"/>
          <w:sz w:val="28"/>
          <w:szCs w:val="28"/>
        </w:rPr>
        <w:t xml:space="preserve"> 1(2)</w:t>
      </w:r>
      <w:r w:rsidR="00F67EE8" w:rsidRPr="00AD7DB5">
        <w:rPr>
          <w:rFonts w:ascii="Times New Roman" w:hAnsi="Times New Roman" w:cs="Times New Roman"/>
          <w:sz w:val="28"/>
          <w:szCs w:val="28"/>
        </w:rPr>
        <w:t>.</w:t>
      </w:r>
      <w:r w:rsidR="000007D0" w:rsidRPr="00AD7DB5">
        <w:rPr>
          <w:rFonts w:ascii="Times New Roman" w:hAnsi="Times New Roman" w:cs="Times New Roman"/>
          <w:sz w:val="28"/>
          <w:szCs w:val="28"/>
        </w:rPr>
        <w:t xml:space="preserve"> </w:t>
      </w:r>
      <w:r w:rsidR="00A0079A">
        <w:rPr>
          <w:rFonts w:ascii="Times New Roman" w:hAnsi="Times New Roman" w:cs="Times New Roman"/>
          <w:sz w:val="28"/>
          <w:szCs w:val="28"/>
        </w:rPr>
        <w:t xml:space="preserve">This argument was intended to provide a basis for this Court to ignore the definition of international arbitration set out in Article 1(3). </w:t>
      </w:r>
      <w:r w:rsidR="00CF1CF7" w:rsidRPr="00AD7DB5">
        <w:rPr>
          <w:rFonts w:ascii="Times New Roman" w:hAnsi="Times New Roman" w:cs="Times New Roman"/>
          <w:sz w:val="28"/>
          <w:szCs w:val="28"/>
        </w:rPr>
        <w:t>It was also contended that t</w:t>
      </w:r>
      <w:r w:rsidR="00041F42" w:rsidRPr="00AD7DB5">
        <w:rPr>
          <w:rFonts w:ascii="Times New Roman" w:hAnsi="Times New Roman" w:cs="Times New Roman"/>
          <w:sz w:val="28"/>
          <w:szCs w:val="28"/>
        </w:rPr>
        <w:t>he</w:t>
      </w:r>
      <w:r w:rsidR="00180FB5" w:rsidRPr="00AD7DB5">
        <w:rPr>
          <w:rFonts w:ascii="Times New Roman" w:hAnsi="Times New Roman" w:cs="Times New Roman"/>
          <w:sz w:val="28"/>
          <w:szCs w:val="28"/>
        </w:rPr>
        <w:t xml:space="preserve"> dispute wa</w:t>
      </w:r>
      <w:r w:rsidR="00041F42" w:rsidRPr="00AD7DB5">
        <w:rPr>
          <w:rFonts w:ascii="Times New Roman" w:hAnsi="Times New Roman" w:cs="Times New Roman"/>
          <w:sz w:val="28"/>
          <w:szCs w:val="28"/>
        </w:rPr>
        <w:t>s not an international dispute</w:t>
      </w:r>
      <w:r w:rsidR="00F66C41" w:rsidRPr="00AD7DB5">
        <w:rPr>
          <w:rFonts w:ascii="Times New Roman" w:hAnsi="Times New Roman" w:cs="Times New Roman"/>
          <w:sz w:val="28"/>
          <w:szCs w:val="28"/>
        </w:rPr>
        <w:t xml:space="preserve"> </w:t>
      </w:r>
      <w:r w:rsidR="00041F42" w:rsidRPr="00AD7DB5">
        <w:rPr>
          <w:rFonts w:ascii="Times New Roman" w:hAnsi="Times New Roman" w:cs="Times New Roman"/>
          <w:sz w:val="28"/>
          <w:szCs w:val="28"/>
        </w:rPr>
        <w:t>because all the parties thereto are South African entities, and the dispute arose in South A</w:t>
      </w:r>
      <w:r w:rsidR="00CF1CF7" w:rsidRPr="00AD7DB5">
        <w:rPr>
          <w:rFonts w:ascii="Times New Roman" w:hAnsi="Times New Roman" w:cs="Times New Roman"/>
          <w:sz w:val="28"/>
          <w:szCs w:val="28"/>
        </w:rPr>
        <w:t>frica</w:t>
      </w:r>
      <w:r w:rsidR="008F7B75" w:rsidRPr="00AD7DB5">
        <w:rPr>
          <w:rFonts w:ascii="Times New Roman" w:hAnsi="Times New Roman" w:cs="Times New Roman"/>
          <w:sz w:val="28"/>
          <w:szCs w:val="28"/>
        </w:rPr>
        <w:t>.</w:t>
      </w:r>
    </w:p>
    <w:p w14:paraId="3E3405B0" w14:textId="77777777" w:rsidR="000E38CC" w:rsidRPr="001A755B" w:rsidRDefault="000E38CC" w:rsidP="000E38CC">
      <w:pPr>
        <w:spacing w:after="0" w:line="360" w:lineRule="auto"/>
        <w:jc w:val="both"/>
        <w:rPr>
          <w:rFonts w:ascii="Times New Roman" w:hAnsi="Times New Roman" w:cs="Times New Roman"/>
          <w:sz w:val="28"/>
          <w:szCs w:val="28"/>
        </w:rPr>
      </w:pPr>
    </w:p>
    <w:p w14:paraId="6A3DB53D" w14:textId="2C28AA2E" w:rsidR="00D90614" w:rsidRPr="00AD7DB5" w:rsidRDefault="00DA75F6" w:rsidP="000E38CC">
      <w:pPr>
        <w:spacing w:after="0" w:line="360" w:lineRule="auto"/>
        <w:jc w:val="both"/>
        <w:rPr>
          <w:rFonts w:ascii="Times New Roman" w:hAnsi="Times New Roman" w:cs="Times New Roman"/>
          <w:sz w:val="28"/>
          <w:szCs w:val="28"/>
        </w:rPr>
      </w:pPr>
      <w:r w:rsidRPr="00AD7DB5">
        <w:rPr>
          <w:rFonts w:ascii="Times New Roman" w:hAnsi="Times New Roman" w:cs="Times New Roman"/>
          <w:sz w:val="28"/>
          <w:szCs w:val="28"/>
        </w:rPr>
        <w:t>[32</w:t>
      </w:r>
      <w:r w:rsidR="000E38CC" w:rsidRPr="00AD7DB5">
        <w:rPr>
          <w:rFonts w:ascii="Times New Roman" w:hAnsi="Times New Roman" w:cs="Times New Roman"/>
          <w:sz w:val="28"/>
          <w:szCs w:val="28"/>
        </w:rPr>
        <w:t>]</w:t>
      </w:r>
      <w:r w:rsidR="000E38CC" w:rsidRPr="00AD7DB5">
        <w:rPr>
          <w:rFonts w:ascii="Times New Roman" w:hAnsi="Times New Roman" w:cs="Times New Roman"/>
          <w:sz w:val="28"/>
          <w:szCs w:val="28"/>
        </w:rPr>
        <w:tab/>
        <w:t>Th</w:t>
      </w:r>
      <w:r w:rsidR="000E309A" w:rsidRPr="00AD7DB5">
        <w:rPr>
          <w:rFonts w:ascii="Times New Roman" w:hAnsi="Times New Roman" w:cs="Times New Roman"/>
          <w:sz w:val="28"/>
          <w:szCs w:val="28"/>
        </w:rPr>
        <w:t>e</w:t>
      </w:r>
      <w:r w:rsidR="000E38CC" w:rsidRPr="00AD7DB5">
        <w:rPr>
          <w:rFonts w:ascii="Times New Roman" w:hAnsi="Times New Roman" w:cs="Times New Roman"/>
          <w:sz w:val="28"/>
          <w:szCs w:val="28"/>
        </w:rPr>
        <w:t xml:space="preserve"> submission that </w:t>
      </w:r>
      <w:r w:rsidR="002C3A87" w:rsidRPr="00AD7DB5">
        <w:rPr>
          <w:rFonts w:ascii="Times New Roman" w:hAnsi="Times New Roman" w:cs="Times New Roman"/>
          <w:sz w:val="28"/>
          <w:szCs w:val="28"/>
        </w:rPr>
        <w:t>the Model Law is excluded from application in</w:t>
      </w:r>
      <w:r w:rsidRPr="00AD7DB5">
        <w:rPr>
          <w:rFonts w:ascii="Times New Roman" w:hAnsi="Times New Roman" w:cs="Times New Roman"/>
          <w:sz w:val="28"/>
          <w:szCs w:val="28"/>
        </w:rPr>
        <w:t xml:space="preserve"> the dispute between the parties is </w:t>
      </w:r>
      <w:r w:rsidR="002C3A87" w:rsidRPr="00AD7DB5">
        <w:rPr>
          <w:rFonts w:ascii="Times New Roman" w:hAnsi="Times New Roman" w:cs="Times New Roman"/>
          <w:sz w:val="28"/>
          <w:szCs w:val="28"/>
        </w:rPr>
        <w:t>misguided</w:t>
      </w:r>
      <w:r w:rsidRPr="00AD7DB5">
        <w:rPr>
          <w:rFonts w:ascii="Times New Roman" w:hAnsi="Times New Roman" w:cs="Times New Roman"/>
          <w:sz w:val="28"/>
          <w:szCs w:val="28"/>
        </w:rPr>
        <w:t xml:space="preserve">. </w:t>
      </w:r>
      <w:r w:rsidR="00D90614" w:rsidRPr="00AD7DB5">
        <w:rPr>
          <w:rFonts w:ascii="Times New Roman" w:hAnsi="Times New Roman" w:cs="Times New Roman"/>
          <w:sz w:val="28"/>
          <w:szCs w:val="28"/>
        </w:rPr>
        <w:t>It is necessary to highlight that the IAA and the Model Law, as incorporated therein, is South African law</w:t>
      </w:r>
      <w:r w:rsidR="006B5BE1">
        <w:rPr>
          <w:rFonts w:ascii="Times New Roman" w:hAnsi="Times New Roman" w:cs="Times New Roman"/>
          <w:sz w:val="28"/>
          <w:szCs w:val="28"/>
        </w:rPr>
        <w:t>. I</w:t>
      </w:r>
      <w:r w:rsidR="00D90614" w:rsidRPr="00AD7DB5">
        <w:rPr>
          <w:rFonts w:ascii="Times New Roman" w:hAnsi="Times New Roman" w:cs="Times New Roman"/>
          <w:sz w:val="28"/>
          <w:szCs w:val="28"/>
        </w:rPr>
        <w:t>t is in this context that A</w:t>
      </w:r>
      <w:r w:rsidR="008F5E84" w:rsidRPr="00AD7DB5">
        <w:rPr>
          <w:rFonts w:ascii="Times New Roman" w:hAnsi="Times New Roman" w:cs="Times New Roman"/>
          <w:sz w:val="28"/>
          <w:szCs w:val="28"/>
        </w:rPr>
        <w:t>rticle 1(2) becomes relevant</w:t>
      </w:r>
      <w:r w:rsidR="00D90614" w:rsidRPr="00AD7DB5">
        <w:rPr>
          <w:rFonts w:ascii="Times New Roman" w:hAnsi="Times New Roman" w:cs="Times New Roman"/>
          <w:sz w:val="28"/>
          <w:szCs w:val="28"/>
        </w:rPr>
        <w:t xml:space="preserve">. </w:t>
      </w:r>
      <w:r w:rsidR="008F5E84" w:rsidRPr="00AD7DB5">
        <w:rPr>
          <w:rFonts w:ascii="Times New Roman" w:hAnsi="Times New Roman" w:cs="Times New Roman"/>
          <w:sz w:val="28"/>
          <w:szCs w:val="28"/>
        </w:rPr>
        <w:t xml:space="preserve">The only sensible interpretation of Article 1(2) is that if the juridical seat of the arbitration is in the territory of South Africa, the provisions of the </w:t>
      </w:r>
      <w:r w:rsidR="006B5BE1">
        <w:rPr>
          <w:rFonts w:ascii="Times New Roman" w:hAnsi="Times New Roman" w:cs="Times New Roman"/>
          <w:sz w:val="28"/>
          <w:szCs w:val="28"/>
        </w:rPr>
        <w:t xml:space="preserve">IAA and the </w:t>
      </w:r>
      <w:r w:rsidR="008F5E84" w:rsidRPr="00AD7DB5">
        <w:rPr>
          <w:rFonts w:ascii="Times New Roman" w:hAnsi="Times New Roman" w:cs="Times New Roman"/>
          <w:sz w:val="28"/>
          <w:szCs w:val="28"/>
        </w:rPr>
        <w:t xml:space="preserve">Model law apply. </w:t>
      </w:r>
    </w:p>
    <w:p w14:paraId="432FF410" w14:textId="77777777" w:rsidR="000E38CC" w:rsidRPr="00AD7DB5" w:rsidRDefault="000E38CC" w:rsidP="000E38CC">
      <w:pPr>
        <w:spacing w:after="0" w:line="360" w:lineRule="auto"/>
        <w:jc w:val="both"/>
        <w:rPr>
          <w:rFonts w:ascii="Times New Roman" w:hAnsi="Times New Roman" w:cs="Times New Roman"/>
          <w:sz w:val="28"/>
          <w:szCs w:val="28"/>
        </w:rPr>
      </w:pPr>
    </w:p>
    <w:p w14:paraId="579CD573" w14:textId="2410A25C" w:rsidR="00540DBA" w:rsidRPr="00AD7DB5" w:rsidRDefault="00521FB8" w:rsidP="000E38CC">
      <w:pPr>
        <w:spacing w:after="0" w:line="360" w:lineRule="auto"/>
        <w:jc w:val="both"/>
        <w:rPr>
          <w:rFonts w:ascii="Times New Roman" w:hAnsi="Times New Roman" w:cs="Times New Roman"/>
          <w:sz w:val="28"/>
          <w:szCs w:val="28"/>
        </w:rPr>
      </w:pPr>
      <w:r w:rsidRPr="00AD7DB5">
        <w:rPr>
          <w:rFonts w:ascii="Times New Roman" w:hAnsi="Times New Roman" w:cs="Times New Roman"/>
          <w:sz w:val="28"/>
          <w:szCs w:val="28"/>
        </w:rPr>
        <w:t>[33</w:t>
      </w:r>
      <w:r w:rsidR="000E38CC" w:rsidRPr="00AD7DB5">
        <w:rPr>
          <w:rFonts w:ascii="Times New Roman" w:hAnsi="Times New Roman" w:cs="Times New Roman"/>
          <w:sz w:val="28"/>
          <w:szCs w:val="28"/>
        </w:rPr>
        <w:t>]</w:t>
      </w:r>
      <w:r w:rsidR="000E38CC" w:rsidRPr="00AD7DB5">
        <w:rPr>
          <w:rFonts w:ascii="Times New Roman" w:hAnsi="Times New Roman" w:cs="Times New Roman"/>
          <w:sz w:val="28"/>
          <w:szCs w:val="28"/>
        </w:rPr>
        <w:tab/>
      </w:r>
      <w:r w:rsidR="00A665C1" w:rsidRPr="00AD7DB5">
        <w:rPr>
          <w:rFonts w:ascii="Times New Roman" w:hAnsi="Times New Roman" w:cs="Times New Roman"/>
          <w:sz w:val="28"/>
          <w:szCs w:val="28"/>
        </w:rPr>
        <w:t>In this case</w:t>
      </w:r>
      <w:r w:rsidR="006B5BE1">
        <w:rPr>
          <w:rFonts w:ascii="Times New Roman" w:hAnsi="Times New Roman" w:cs="Times New Roman"/>
          <w:sz w:val="28"/>
          <w:szCs w:val="28"/>
        </w:rPr>
        <w:t>, in the licence agreement,</w:t>
      </w:r>
      <w:r w:rsidR="00A665C1" w:rsidRPr="00AD7DB5">
        <w:rPr>
          <w:rFonts w:ascii="Times New Roman" w:hAnsi="Times New Roman" w:cs="Times New Roman"/>
          <w:sz w:val="28"/>
          <w:szCs w:val="28"/>
        </w:rPr>
        <w:t xml:space="preserve"> the parties</w:t>
      </w:r>
      <w:r w:rsidR="000E38CC" w:rsidRPr="00AD7DB5">
        <w:rPr>
          <w:rFonts w:ascii="Times New Roman" w:hAnsi="Times New Roman" w:cs="Times New Roman"/>
          <w:sz w:val="28"/>
          <w:szCs w:val="28"/>
        </w:rPr>
        <w:t xml:space="preserve"> opted </w:t>
      </w:r>
      <w:r w:rsidR="0051769B" w:rsidRPr="00AD7DB5">
        <w:rPr>
          <w:rFonts w:ascii="Times New Roman" w:hAnsi="Times New Roman" w:cs="Times New Roman"/>
          <w:sz w:val="28"/>
          <w:szCs w:val="28"/>
        </w:rPr>
        <w:t xml:space="preserve">to settle their disputes through </w:t>
      </w:r>
      <w:r w:rsidR="000E38CC" w:rsidRPr="00AD7DB5">
        <w:rPr>
          <w:rFonts w:ascii="Times New Roman" w:hAnsi="Times New Roman" w:cs="Times New Roman"/>
          <w:sz w:val="28"/>
          <w:szCs w:val="28"/>
        </w:rPr>
        <w:t>international commercial arbitration.</w:t>
      </w:r>
      <w:r w:rsidR="00B27701" w:rsidRPr="00AD7DB5">
        <w:rPr>
          <w:rFonts w:ascii="Times New Roman" w:hAnsi="Times New Roman" w:cs="Times New Roman"/>
          <w:sz w:val="28"/>
          <w:szCs w:val="28"/>
        </w:rPr>
        <w:t xml:space="preserve"> They specified </w:t>
      </w:r>
      <w:r w:rsidR="008F5E84" w:rsidRPr="00AD7DB5">
        <w:rPr>
          <w:rFonts w:ascii="Times New Roman" w:hAnsi="Times New Roman" w:cs="Times New Roman"/>
          <w:sz w:val="28"/>
          <w:szCs w:val="28"/>
        </w:rPr>
        <w:t xml:space="preserve">the juridical seat of their arbitration as London, England. They also specified </w:t>
      </w:r>
      <w:r w:rsidR="00B27701" w:rsidRPr="00AD7DB5">
        <w:rPr>
          <w:rFonts w:ascii="Times New Roman" w:hAnsi="Times New Roman" w:cs="Times New Roman"/>
          <w:sz w:val="28"/>
          <w:szCs w:val="28"/>
        </w:rPr>
        <w:t>that the disputes between them would be settled by arbitration ‘according to the then applicable rules of arbitration</w:t>
      </w:r>
      <w:r w:rsidR="000E38CC" w:rsidRPr="00AD7DB5">
        <w:rPr>
          <w:rFonts w:ascii="Times New Roman" w:hAnsi="Times New Roman" w:cs="Times New Roman"/>
          <w:sz w:val="28"/>
          <w:szCs w:val="28"/>
        </w:rPr>
        <w:t xml:space="preserve"> </w:t>
      </w:r>
      <w:r w:rsidR="00B27701" w:rsidRPr="00AD7DB5">
        <w:rPr>
          <w:rFonts w:ascii="Times New Roman" w:hAnsi="Times New Roman" w:cs="Times New Roman"/>
          <w:sz w:val="28"/>
          <w:szCs w:val="28"/>
        </w:rPr>
        <w:t>of the Internatio</w:t>
      </w:r>
      <w:r w:rsidR="008F5E84" w:rsidRPr="00AD7DB5">
        <w:rPr>
          <w:rFonts w:ascii="Times New Roman" w:hAnsi="Times New Roman" w:cs="Times New Roman"/>
          <w:sz w:val="28"/>
          <w:szCs w:val="28"/>
        </w:rPr>
        <w:t>nal Chamber of Commerce (ICC)’.</w:t>
      </w:r>
      <w:r w:rsidR="00CE5486">
        <w:rPr>
          <w:rFonts w:ascii="Times New Roman" w:hAnsi="Times New Roman" w:cs="Times New Roman"/>
          <w:sz w:val="28"/>
          <w:szCs w:val="28"/>
        </w:rPr>
        <w:t xml:space="preserve"> </w:t>
      </w:r>
      <w:r w:rsidR="006B5BE1">
        <w:rPr>
          <w:rFonts w:ascii="Times New Roman" w:hAnsi="Times New Roman" w:cs="Times New Roman"/>
          <w:sz w:val="28"/>
          <w:szCs w:val="28"/>
        </w:rPr>
        <w:t>Both t</w:t>
      </w:r>
      <w:r w:rsidR="008F5E84" w:rsidRPr="00AD7DB5">
        <w:rPr>
          <w:rFonts w:ascii="Times New Roman" w:hAnsi="Times New Roman" w:cs="Times New Roman"/>
          <w:sz w:val="28"/>
          <w:szCs w:val="28"/>
        </w:rPr>
        <w:t>he specified juridical seat</w:t>
      </w:r>
      <w:r w:rsidR="006B5BE1">
        <w:rPr>
          <w:rFonts w:ascii="Times New Roman" w:hAnsi="Times New Roman" w:cs="Times New Roman"/>
          <w:sz w:val="28"/>
          <w:szCs w:val="28"/>
        </w:rPr>
        <w:t xml:space="preserve"> and the applicable rules rendered the arbitration an</w:t>
      </w:r>
      <w:r w:rsidR="008F5E84" w:rsidRPr="00AD7DB5">
        <w:rPr>
          <w:rFonts w:ascii="Times New Roman" w:hAnsi="Times New Roman" w:cs="Times New Roman"/>
          <w:sz w:val="28"/>
          <w:szCs w:val="28"/>
        </w:rPr>
        <w:t xml:space="preserve"> international arbitration. </w:t>
      </w:r>
    </w:p>
    <w:p w14:paraId="5E6B9F90" w14:textId="77777777" w:rsidR="00DA75F6" w:rsidRPr="00AD7DB5" w:rsidRDefault="00DA75F6" w:rsidP="000E38CC">
      <w:pPr>
        <w:spacing w:after="0" w:line="360" w:lineRule="auto"/>
        <w:jc w:val="both"/>
        <w:rPr>
          <w:rFonts w:ascii="Times New Roman" w:hAnsi="Times New Roman" w:cs="Times New Roman"/>
          <w:sz w:val="24"/>
          <w:szCs w:val="24"/>
        </w:rPr>
      </w:pPr>
    </w:p>
    <w:p w14:paraId="15CFC77B" w14:textId="68BF2022" w:rsidR="00540DBA" w:rsidRPr="007C0B23" w:rsidRDefault="00521FB8" w:rsidP="00DA75F6">
      <w:pPr>
        <w:spacing w:after="0" w:line="360" w:lineRule="auto"/>
        <w:jc w:val="both"/>
        <w:rPr>
          <w:rFonts w:ascii="Times New Roman" w:hAnsi="Times New Roman" w:cs="Times New Roman"/>
          <w:sz w:val="28"/>
          <w:szCs w:val="28"/>
        </w:rPr>
      </w:pPr>
      <w:r w:rsidRPr="00AD7DB5">
        <w:rPr>
          <w:rFonts w:ascii="Times New Roman" w:hAnsi="Times New Roman" w:cs="Times New Roman"/>
          <w:sz w:val="28"/>
          <w:szCs w:val="28"/>
        </w:rPr>
        <w:t>[34</w:t>
      </w:r>
      <w:r w:rsidR="00DA75F6" w:rsidRPr="00AD7DB5">
        <w:rPr>
          <w:rFonts w:ascii="Times New Roman" w:hAnsi="Times New Roman" w:cs="Times New Roman"/>
          <w:sz w:val="28"/>
          <w:szCs w:val="28"/>
        </w:rPr>
        <w:t>]</w:t>
      </w:r>
      <w:r w:rsidR="00DA75F6" w:rsidRPr="00AD7DB5">
        <w:rPr>
          <w:rFonts w:ascii="Times New Roman" w:hAnsi="Times New Roman" w:cs="Times New Roman"/>
          <w:sz w:val="28"/>
          <w:szCs w:val="28"/>
        </w:rPr>
        <w:tab/>
      </w:r>
      <w:r w:rsidR="00C34071" w:rsidRPr="00AD7DB5">
        <w:rPr>
          <w:rFonts w:ascii="Times New Roman" w:hAnsi="Times New Roman" w:cs="Times New Roman"/>
          <w:sz w:val="28"/>
          <w:szCs w:val="28"/>
        </w:rPr>
        <w:t>In relation to the parties to the dispute being South African entities</w:t>
      </w:r>
      <w:r w:rsidR="00BD2901" w:rsidRPr="00AD7DB5">
        <w:rPr>
          <w:rFonts w:ascii="Times New Roman" w:hAnsi="Times New Roman" w:cs="Times New Roman"/>
          <w:sz w:val="28"/>
          <w:szCs w:val="28"/>
        </w:rPr>
        <w:t>,</w:t>
      </w:r>
      <w:r w:rsidR="00C34071" w:rsidRPr="00AD7DB5">
        <w:rPr>
          <w:rFonts w:ascii="Times New Roman" w:hAnsi="Times New Roman" w:cs="Times New Roman"/>
          <w:sz w:val="28"/>
          <w:szCs w:val="28"/>
        </w:rPr>
        <w:t xml:space="preserve"> </w:t>
      </w:r>
      <w:r w:rsidR="00BD2901" w:rsidRPr="00AD7DB5">
        <w:rPr>
          <w:rFonts w:ascii="Times New Roman" w:hAnsi="Times New Roman" w:cs="Times New Roman"/>
          <w:sz w:val="28"/>
          <w:szCs w:val="28"/>
        </w:rPr>
        <w:t>t</w:t>
      </w:r>
      <w:r w:rsidR="00DA75F6" w:rsidRPr="00AD7DB5">
        <w:rPr>
          <w:rFonts w:ascii="Times New Roman" w:hAnsi="Times New Roman" w:cs="Times New Roman"/>
          <w:sz w:val="28"/>
          <w:szCs w:val="28"/>
        </w:rPr>
        <w:t>here is no bar to parties who conduct business in the Republic choosing a place of arbitration that is situated outside the Republic. Under Article 20 of the Model Law, parties are free to agree on the juridical seat of arbitration.</w:t>
      </w:r>
      <w:r w:rsidR="00DA75F6" w:rsidRPr="00AD7DB5">
        <w:rPr>
          <w:rFonts w:ascii="Times New Roman" w:hAnsi="Times New Roman" w:cs="Times New Roman"/>
          <w:sz w:val="28"/>
          <w:szCs w:val="28"/>
          <w:vertAlign w:val="superscript"/>
        </w:rPr>
        <w:footnoteReference w:id="9"/>
      </w:r>
      <w:r w:rsidR="00DA75F6" w:rsidRPr="00AD7DB5">
        <w:rPr>
          <w:rFonts w:ascii="Times New Roman" w:hAnsi="Times New Roman" w:cs="Times New Roman"/>
          <w:sz w:val="28"/>
          <w:szCs w:val="28"/>
        </w:rPr>
        <w:t xml:space="preserve"> </w:t>
      </w:r>
      <w:r w:rsidR="00540DBA" w:rsidRPr="00AD7DB5">
        <w:rPr>
          <w:rFonts w:ascii="Times New Roman" w:hAnsi="Times New Roman" w:cs="Times New Roman"/>
          <w:sz w:val="28"/>
          <w:szCs w:val="28"/>
        </w:rPr>
        <w:t xml:space="preserve">In </w:t>
      </w:r>
      <w:r w:rsidR="00540DBA" w:rsidRPr="00AD7DB5">
        <w:rPr>
          <w:rFonts w:ascii="Times New Roman" w:hAnsi="Times New Roman" w:cs="Times New Roman"/>
          <w:i/>
          <w:sz w:val="28"/>
          <w:szCs w:val="28"/>
        </w:rPr>
        <w:t>Polysius (Pty)</w:t>
      </w:r>
      <w:r w:rsidR="00540DBA" w:rsidRPr="00540DBA">
        <w:rPr>
          <w:rFonts w:ascii="Times New Roman" w:hAnsi="Times New Roman" w:cs="Times New Roman"/>
          <w:i/>
          <w:sz w:val="28"/>
          <w:szCs w:val="28"/>
        </w:rPr>
        <w:t xml:space="preserve"> </w:t>
      </w:r>
      <w:r w:rsidR="00540DBA" w:rsidRPr="007C0B23">
        <w:rPr>
          <w:rFonts w:ascii="Times New Roman" w:hAnsi="Times New Roman" w:cs="Times New Roman"/>
          <w:i/>
          <w:sz w:val="28"/>
          <w:szCs w:val="28"/>
        </w:rPr>
        <w:lastRenderedPageBreak/>
        <w:t>Ltd v Transvaal Alloys (Pty) Ltd</w:t>
      </w:r>
      <w:r w:rsidR="00540DBA" w:rsidRPr="007C0B23">
        <w:rPr>
          <w:rStyle w:val="FootnoteReference"/>
          <w:rFonts w:ascii="Times New Roman" w:hAnsi="Times New Roman" w:cs="Times New Roman"/>
          <w:sz w:val="28"/>
          <w:szCs w:val="28"/>
        </w:rPr>
        <w:footnoteReference w:id="10"/>
      </w:r>
      <w:r w:rsidR="00540DBA" w:rsidRPr="007C0B23">
        <w:rPr>
          <w:rFonts w:ascii="Times New Roman" w:hAnsi="Times New Roman" w:cs="Times New Roman"/>
          <w:sz w:val="28"/>
          <w:szCs w:val="28"/>
        </w:rPr>
        <w:t xml:space="preserve"> where an objection similar to that raised by TQ, Slomowitz J remarked that: ‘When the parties contracted, they were fully alive to the nature of the issues that were likely to </w:t>
      </w:r>
      <w:r w:rsidR="00925994" w:rsidRPr="007C0B23">
        <w:rPr>
          <w:rFonts w:ascii="Times New Roman" w:hAnsi="Times New Roman" w:cs="Times New Roman"/>
          <w:sz w:val="28"/>
          <w:szCs w:val="28"/>
        </w:rPr>
        <w:t>arise .</w:t>
      </w:r>
      <w:r w:rsidR="00540DBA" w:rsidRPr="007C0B23">
        <w:rPr>
          <w:rFonts w:ascii="Times New Roman" w:hAnsi="Times New Roman" w:cs="Times New Roman"/>
          <w:sz w:val="28"/>
          <w:szCs w:val="28"/>
        </w:rPr>
        <w:t xml:space="preserve"> . . </w:t>
      </w:r>
      <w:r w:rsidR="00B65043" w:rsidRPr="007C0B23">
        <w:rPr>
          <w:rFonts w:ascii="Times New Roman" w:hAnsi="Times New Roman" w:cs="Times New Roman"/>
          <w:sz w:val="28"/>
          <w:szCs w:val="28"/>
        </w:rPr>
        <w:t>W</w:t>
      </w:r>
      <w:r w:rsidR="00540DBA" w:rsidRPr="007C0B23">
        <w:rPr>
          <w:rFonts w:ascii="Times New Roman" w:hAnsi="Times New Roman" w:cs="Times New Roman"/>
          <w:sz w:val="28"/>
          <w:szCs w:val="28"/>
        </w:rPr>
        <w:t>ith this in mind, they stipulated for an arbitration in Switzerland and should be held to it’</w:t>
      </w:r>
      <w:r w:rsidR="00925994" w:rsidRPr="007C0B23">
        <w:rPr>
          <w:rFonts w:ascii="Times New Roman" w:hAnsi="Times New Roman" w:cs="Times New Roman"/>
          <w:sz w:val="28"/>
          <w:szCs w:val="28"/>
        </w:rPr>
        <w:t>. Similarly in this case, when TQ and Oracle extended the terms of the original contract between TQ and I-Flex, they were alive to the location of their businesses and opte</w:t>
      </w:r>
      <w:r w:rsidR="00BD2901" w:rsidRPr="007C0B23">
        <w:rPr>
          <w:rFonts w:ascii="Times New Roman" w:hAnsi="Times New Roman" w:cs="Times New Roman"/>
          <w:sz w:val="28"/>
          <w:szCs w:val="28"/>
        </w:rPr>
        <w:t>d retain the arbitration and governing</w:t>
      </w:r>
      <w:r w:rsidR="00925994" w:rsidRPr="007C0B23">
        <w:rPr>
          <w:rFonts w:ascii="Times New Roman" w:hAnsi="Times New Roman" w:cs="Times New Roman"/>
          <w:sz w:val="28"/>
          <w:szCs w:val="28"/>
        </w:rPr>
        <w:t xml:space="preserve"> law clauses</w:t>
      </w:r>
      <w:r w:rsidR="00DE2163" w:rsidRPr="007C0B23">
        <w:rPr>
          <w:rFonts w:ascii="Times New Roman" w:hAnsi="Times New Roman" w:cs="Times New Roman"/>
          <w:sz w:val="28"/>
          <w:szCs w:val="28"/>
        </w:rPr>
        <w:t>.</w:t>
      </w:r>
    </w:p>
    <w:p w14:paraId="04251B06" w14:textId="77777777" w:rsidR="000E38CC" w:rsidRPr="007C0B23" w:rsidRDefault="000E38CC" w:rsidP="000E38CC">
      <w:pPr>
        <w:spacing w:after="0" w:line="360" w:lineRule="auto"/>
        <w:jc w:val="both"/>
        <w:rPr>
          <w:rFonts w:ascii="Times New Roman" w:hAnsi="Times New Roman" w:cs="Times New Roman"/>
          <w:sz w:val="28"/>
          <w:szCs w:val="28"/>
        </w:rPr>
      </w:pPr>
    </w:p>
    <w:p w14:paraId="6DD544B3" w14:textId="07409484" w:rsidR="000E38CC" w:rsidRPr="007C0B23" w:rsidRDefault="00521FB8" w:rsidP="0083500A">
      <w:pPr>
        <w:spacing w:after="0" w:line="360" w:lineRule="auto"/>
        <w:jc w:val="both"/>
        <w:rPr>
          <w:rFonts w:ascii="Times New Roman" w:hAnsi="Times New Roman" w:cs="Times New Roman"/>
          <w:bCs/>
          <w:sz w:val="28"/>
          <w:szCs w:val="28"/>
        </w:rPr>
      </w:pPr>
      <w:r w:rsidRPr="007C0B23">
        <w:rPr>
          <w:rFonts w:ascii="Times New Roman" w:hAnsi="Times New Roman" w:cs="Times New Roman"/>
          <w:sz w:val="28"/>
          <w:szCs w:val="28"/>
        </w:rPr>
        <w:t>[35</w:t>
      </w:r>
      <w:r w:rsidR="000E38CC" w:rsidRPr="007C0B23">
        <w:rPr>
          <w:rFonts w:ascii="Times New Roman" w:hAnsi="Times New Roman" w:cs="Times New Roman"/>
          <w:sz w:val="28"/>
          <w:szCs w:val="28"/>
        </w:rPr>
        <w:t>]</w:t>
      </w:r>
      <w:r w:rsidR="000E38CC" w:rsidRPr="007C0B23">
        <w:rPr>
          <w:rFonts w:ascii="Times New Roman" w:hAnsi="Times New Roman" w:cs="Times New Roman"/>
          <w:sz w:val="28"/>
          <w:szCs w:val="28"/>
        </w:rPr>
        <w:tab/>
      </w:r>
      <w:r w:rsidR="00DE2163" w:rsidRPr="007C0B23">
        <w:rPr>
          <w:rFonts w:ascii="Times New Roman" w:hAnsi="Times New Roman" w:cs="Times New Roman"/>
          <w:sz w:val="28"/>
          <w:szCs w:val="28"/>
        </w:rPr>
        <w:t>This conclusion is consistent with the approach to interpretation of similar international arbitration agreements elsewhere</w:t>
      </w:r>
      <w:r w:rsidR="00BD2901" w:rsidRPr="007C0B23">
        <w:rPr>
          <w:rFonts w:ascii="Times New Roman" w:hAnsi="Times New Roman" w:cs="Times New Roman"/>
          <w:sz w:val="28"/>
          <w:szCs w:val="28"/>
        </w:rPr>
        <w:t xml:space="preserve"> in the world</w:t>
      </w:r>
      <w:r w:rsidR="00DE2163" w:rsidRPr="007C0B23">
        <w:rPr>
          <w:rFonts w:ascii="Times New Roman" w:hAnsi="Times New Roman" w:cs="Times New Roman"/>
          <w:sz w:val="28"/>
          <w:szCs w:val="28"/>
        </w:rPr>
        <w:t xml:space="preserve">. </w:t>
      </w:r>
      <w:r w:rsidR="000E38CC" w:rsidRPr="007C0B23">
        <w:rPr>
          <w:rFonts w:ascii="Times New Roman" w:hAnsi="Times New Roman" w:cs="Times New Roman"/>
          <w:sz w:val="28"/>
          <w:szCs w:val="28"/>
        </w:rPr>
        <w:t xml:space="preserve">In </w:t>
      </w:r>
      <w:r w:rsidR="000E38CC" w:rsidRPr="007C0B23">
        <w:rPr>
          <w:rFonts w:ascii="Times New Roman" w:hAnsi="Times New Roman" w:cs="Times New Roman"/>
          <w:bCs/>
          <w:i/>
          <w:sz w:val="28"/>
          <w:szCs w:val="28"/>
        </w:rPr>
        <w:t>Orbitel Mobile Communications Limited v Novatel Communications (Far East) Limited</w:t>
      </w:r>
      <w:r w:rsidR="000E38CC" w:rsidRPr="007C0B23">
        <w:rPr>
          <w:rFonts w:ascii="Times New Roman" w:hAnsi="Times New Roman" w:cs="Times New Roman"/>
          <w:bCs/>
          <w:sz w:val="28"/>
          <w:szCs w:val="28"/>
          <w:vertAlign w:val="superscript"/>
        </w:rPr>
        <w:footnoteReference w:id="11"/>
      </w:r>
      <w:r w:rsidR="000E38CC" w:rsidRPr="007C0B23">
        <w:rPr>
          <w:rFonts w:ascii="Times New Roman" w:hAnsi="Times New Roman" w:cs="Times New Roman"/>
          <w:bCs/>
          <w:sz w:val="28"/>
          <w:szCs w:val="28"/>
        </w:rPr>
        <w:t>, an agreement between Hong Kong companies that London would be the place of arbitration</w:t>
      </w:r>
      <w:r w:rsidR="000E309A" w:rsidRPr="007C0B23">
        <w:rPr>
          <w:rFonts w:ascii="Times New Roman" w:hAnsi="Times New Roman" w:cs="Times New Roman"/>
          <w:bCs/>
          <w:sz w:val="28"/>
          <w:szCs w:val="28"/>
        </w:rPr>
        <w:t>,</w:t>
      </w:r>
      <w:r w:rsidR="000E38CC" w:rsidRPr="007C0B23">
        <w:rPr>
          <w:rFonts w:ascii="Times New Roman" w:hAnsi="Times New Roman" w:cs="Times New Roman"/>
          <w:bCs/>
          <w:sz w:val="28"/>
          <w:szCs w:val="28"/>
        </w:rPr>
        <w:t xml:space="preserve"> the arbitration was held to be international. </w:t>
      </w:r>
      <w:r w:rsidR="00853879" w:rsidRPr="007C0B23">
        <w:rPr>
          <w:rFonts w:ascii="Times New Roman" w:hAnsi="Times New Roman" w:cs="Times New Roman"/>
          <w:bCs/>
          <w:sz w:val="28"/>
          <w:szCs w:val="28"/>
        </w:rPr>
        <w:t xml:space="preserve">Similarly, in </w:t>
      </w:r>
      <w:r w:rsidR="00853879" w:rsidRPr="007C0B23">
        <w:rPr>
          <w:rFonts w:ascii="Times New Roman" w:hAnsi="Times New Roman" w:cs="Times New Roman"/>
          <w:bCs/>
          <w:i/>
          <w:sz w:val="28"/>
          <w:szCs w:val="28"/>
        </w:rPr>
        <w:t>Marko Tel &amp; Hes Kablo Albania v ZTE Albania Sh pk Al</w:t>
      </w:r>
      <w:r w:rsidR="0083500A" w:rsidRPr="007C0B23">
        <w:rPr>
          <w:rFonts w:ascii="Times New Roman" w:hAnsi="Times New Roman" w:cs="Times New Roman"/>
          <w:bCs/>
          <w:i/>
          <w:sz w:val="28"/>
          <w:szCs w:val="28"/>
        </w:rPr>
        <w:t>bania</w:t>
      </w:r>
      <w:r w:rsidR="0083500A" w:rsidRPr="007C0B23">
        <w:rPr>
          <w:rStyle w:val="FootnoteReference"/>
          <w:rFonts w:ascii="Times New Roman" w:hAnsi="Times New Roman" w:cs="Times New Roman"/>
          <w:bCs/>
          <w:sz w:val="28"/>
          <w:szCs w:val="28"/>
        </w:rPr>
        <w:footnoteReference w:id="12"/>
      </w:r>
      <w:r w:rsidR="00853879" w:rsidRPr="007C0B23">
        <w:rPr>
          <w:rFonts w:ascii="Times New Roman" w:hAnsi="Times New Roman" w:cs="Times New Roman"/>
          <w:bCs/>
          <w:sz w:val="28"/>
          <w:szCs w:val="28"/>
        </w:rPr>
        <w:t xml:space="preserve"> an arbitration clause between Albanian companies that arbitration was to take place in London</w:t>
      </w:r>
      <w:r w:rsidR="000E309A" w:rsidRPr="007C0B23">
        <w:rPr>
          <w:rFonts w:ascii="Times New Roman" w:hAnsi="Times New Roman" w:cs="Times New Roman"/>
          <w:bCs/>
          <w:sz w:val="28"/>
          <w:szCs w:val="28"/>
        </w:rPr>
        <w:t>,</w:t>
      </w:r>
      <w:r w:rsidR="00853879" w:rsidRPr="007C0B23">
        <w:rPr>
          <w:rFonts w:ascii="Times New Roman" w:hAnsi="Times New Roman" w:cs="Times New Roman"/>
          <w:bCs/>
          <w:sz w:val="28"/>
          <w:szCs w:val="28"/>
        </w:rPr>
        <w:t xml:space="preserve"> was upheld.</w:t>
      </w:r>
    </w:p>
    <w:p w14:paraId="5F0FB14B" w14:textId="77777777" w:rsidR="00FF4F3B" w:rsidRPr="007C0B23" w:rsidRDefault="00FF4F3B" w:rsidP="0083500A">
      <w:pPr>
        <w:spacing w:after="0" w:line="360" w:lineRule="auto"/>
        <w:jc w:val="both"/>
        <w:rPr>
          <w:rFonts w:ascii="Times New Roman" w:hAnsi="Times New Roman" w:cs="Times New Roman"/>
          <w:bCs/>
          <w:sz w:val="28"/>
          <w:szCs w:val="28"/>
        </w:rPr>
      </w:pPr>
    </w:p>
    <w:p w14:paraId="703CC953" w14:textId="6AB17869" w:rsidR="001A755B" w:rsidRPr="007C0B23" w:rsidRDefault="00BD2901" w:rsidP="0083500A">
      <w:pPr>
        <w:spacing w:after="0" w:line="360" w:lineRule="auto"/>
        <w:jc w:val="both"/>
        <w:rPr>
          <w:rFonts w:ascii="Times New Roman" w:hAnsi="Times New Roman" w:cs="Times New Roman"/>
          <w:bCs/>
          <w:i/>
          <w:sz w:val="28"/>
          <w:szCs w:val="28"/>
        </w:rPr>
      </w:pPr>
      <w:r w:rsidRPr="007C0B23">
        <w:rPr>
          <w:rFonts w:ascii="Times New Roman" w:hAnsi="Times New Roman" w:cs="Times New Roman"/>
          <w:bCs/>
          <w:i/>
          <w:sz w:val="28"/>
          <w:szCs w:val="28"/>
        </w:rPr>
        <w:t>Discretion to refuse stay of action proceedings</w:t>
      </w:r>
    </w:p>
    <w:p w14:paraId="70EEC4DF" w14:textId="2F321AE5" w:rsidR="00B002A6" w:rsidRPr="00B002A6" w:rsidRDefault="00FF4F3B" w:rsidP="00B002A6">
      <w:pPr>
        <w:spacing w:after="0" w:line="360" w:lineRule="auto"/>
        <w:jc w:val="both"/>
        <w:rPr>
          <w:rFonts w:ascii="Times New Roman" w:hAnsi="Times New Roman" w:cs="Times New Roman"/>
          <w:bCs/>
          <w:sz w:val="28"/>
          <w:szCs w:val="28"/>
        </w:rPr>
      </w:pPr>
      <w:r w:rsidRPr="007C0B23">
        <w:rPr>
          <w:rFonts w:ascii="Times New Roman" w:hAnsi="Times New Roman" w:cs="Times New Roman"/>
          <w:bCs/>
          <w:sz w:val="28"/>
          <w:szCs w:val="28"/>
        </w:rPr>
        <w:t>[</w:t>
      </w:r>
      <w:r w:rsidR="00C15107" w:rsidRPr="007C0B23">
        <w:rPr>
          <w:rFonts w:ascii="Times New Roman" w:hAnsi="Times New Roman" w:cs="Times New Roman"/>
          <w:bCs/>
          <w:sz w:val="28"/>
          <w:szCs w:val="28"/>
        </w:rPr>
        <w:t>36</w:t>
      </w:r>
      <w:r w:rsidRPr="007C0B23">
        <w:rPr>
          <w:rFonts w:ascii="Times New Roman" w:hAnsi="Times New Roman" w:cs="Times New Roman"/>
          <w:bCs/>
          <w:sz w:val="28"/>
          <w:szCs w:val="28"/>
        </w:rPr>
        <w:t>]</w:t>
      </w:r>
      <w:r w:rsidRPr="007C0B23">
        <w:rPr>
          <w:rFonts w:ascii="Times New Roman" w:hAnsi="Times New Roman" w:cs="Times New Roman"/>
          <w:bCs/>
          <w:sz w:val="28"/>
          <w:szCs w:val="28"/>
        </w:rPr>
        <w:tab/>
        <w:t>The Model Law reflects the international approach</w:t>
      </w:r>
      <w:r w:rsidR="00C15107" w:rsidRPr="007C0B23">
        <w:rPr>
          <w:rFonts w:ascii="Times New Roman" w:hAnsi="Times New Roman" w:cs="Times New Roman"/>
          <w:bCs/>
          <w:sz w:val="28"/>
          <w:szCs w:val="28"/>
        </w:rPr>
        <w:t xml:space="preserve"> to international commercial arbitration agreements</w:t>
      </w:r>
      <w:r w:rsidRPr="007C0B23">
        <w:rPr>
          <w:rFonts w:ascii="Times New Roman" w:hAnsi="Times New Roman" w:cs="Times New Roman"/>
          <w:bCs/>
          <w:sz w:val="28"/>
          <w:szCs w:val="28"/>
        </w:rPr>
        <w:t xml:space="preserve"> that, unless an arbitration agreement is null and void, inoperable or incapable of being performed, courts are</w:t>
      </w:r>
      <w:r w:rsidR="00C15107" w:rsidRPr="007C0B23">
        <w:rPr>
          <w:rFonts w:ascii="Times New Roman" w:hAnsi="Times New Roman" w:cs="Times New Roman"/>
          <w:bCs/>
          <w:sz w:val="28"/>
          <w:szCs w:val="28"/>
        </w:rPr>
        <w:t xml:space="preserve"> obliged to stay</w:t>
      </w:r>
      <w:r w:rsidRPr="007C0B23">
        <w:rPr>
          <w:rFonts w:ascii="Times New Roman" w:hAnsi="Times New Roman" w:cs="Times New Roman"/>
          <w:bCs/>
          <w:sz w:val="28"/>
          <w:szCs w:val="28"/>
        </w:rPr>
        <w:t xml:space="preserve"> action proceedings pending referral </w:t>
      </w:r>
      <w:r w:rsidR="00C15107" w:rsidRPr="007C0B23">
        <w:rPr>
          <w:rFonts w:ascii="Times New Roman" w:hAnsi="Times New Roman" w:cs="Times New Roman"/>
          <w:bCs/>
          <w:sz w:val="28"/>
          <w:szCs w:val="28"/>
        </w:rPr>
        <w:t xml:space="preserve">to arbitration. </w:t>
      </w:r>
      <w:r w:rsidR="00B002A6" w:rsidRPr="007C0B23">
        <w:rPr>
          <w:rFonts w:ascii="Times New Roman" w:hAnsi="Times New Roman" w:cs="Times New Roman"/>
          <w:bCs/>
          <w:sz w:val="28"/>
          <w:szCs w:val="28"/>
        </w:rPr>
        <w:t>In this case, the arbitration and governing law agreements between Oracle, TQ and SAPO remain valid and operative.</w:t>
      </w:r>
    </w:p>
    <w:p w14:paraId="4D7BC225" w14:textId="77777777" w:rsidR="00BD2901" w:rsidRDefault="00BD2901" w:rsidP="0083500A">
      <w:pPr>
        <w:spacing w:after="0" w:line="360" w:lineRule="auto"/>
        <w:jc w:val="both"/>
        <w:rPr>
          <w:rFonts w:ascii="Times New Roman" w:hAnsi="Times New Roman" w:cs="Times New Roman"/>
          <w:bCs/>
          <w:sz w:val="28"/>
          <w:szCs w:val="28"/>
        </w:rPr>
      </w:pPr>
    </w:p>
    <w:p w14:paraId="3A89589C" w14:textId="503BA963" w:rsidR="00BD2901" w:rsidRPr="007C0B23" w:rsidRDefault="00BD2901" w:rsidP="00BD2901">
      <w:pPr>
        <w:spacing w:after="0" w:line="360" w:lineRule="auto"/>
        <w:jc w:val="both"/>
        <w:rPr>
          <w:rFonts w:ascii="Times New Roman" w:hAnsi="Times New Roman" w:cs="Times New Roman"/>
          <w:bCs/>
          <w:sz w:val="28"/>
          <w:szCs w:val="28"/>
        </w:rPr>
      </w:pPr>
      <w:r w:rsidRPr="007C0B23">
        <w:rPr>
          <w:rFonts w:ascii="Times New Roman" w:hAnsi="Times New Roman" w:cs="Times New Roman"/>
          <w:bCs/>
          <w:sz w:val="28"/>
          <w:szCs w:val="28"/>
        </w:rPr>
        <w:lastRenderedPageBreak/>
        <w:t>[</w:t>
      </w:r>
      <w:r w:rsidR="00E140A1" w:rsidRPr="007C0B23">
        <w:rPr>
          <w:rFonts w:ascii="Times New Roman" w:hAnsi="Times New Roman" w:cs="Times New Roman"/>
          <w:bCs/>
          <w:sz w:val="28"/>
          <w:szCs w:val="28"/>
        </w:rPr>
        <w:t>37</w:t>
      </w:r>
      <w:r w:rsidRPr="007C0B23">
        <w:rPr>
          <w:rFonts w:ascii="Times New Roman" w:hAnsi="Times New Roman" w:cs="Times New Roman"/>
          <w:bCs/>
          <w:sz w:val="28"/>
          <w:szCs w:val="28"/>
        </w:rPr>
        <w:t>]</w:t>
      </w:r>
      <w:r w:rsidRPr="007C0B23">
        <w:rPr>
          <w:rFonts w:ascii="Times New Roman" w:hAnsi="Times New Roman" w:cs="Times New Roman"/>
          <w:bCs/>
          <w:sz w:val="28"/>
          <w:szCs w:val="28"/>
        </w:rPr>
        <w:tab/>
        <w:t>Furthermore, a consequence of South Africa having ratified the Convention on Recognition and Enforcement of Foreign Arbitral Awards o</w:t>
      </w:r>
      <w:r w:rsidR="00B002A6" w:rsidRPr="007C0B23">
        <w:rPr>
          <w:rFonts w:ascii="Times New Roman" w:hAnsi="Times New Roman" w:cs="Times New Roman"/>
          <w:bCs/>
          <w:sz w:val="28"/>
          <w:szCs w:val="28"/>
        </w:rPr>
        <w:t>f 1958 (the NYC) is that the provisions of the Convention are</w:t>
      </w:r>
      <w:r w:rsidRPr="007C0B23">
        <w:rPr>
          <w:rFonts w:ascii="Times New Roman" w:hAnsi="Times New Roman" w:cs="Times New Roman"/>
          <w:bCs/>
          <w:sz w:val="28"/>
          <w:szCs w:val="28"/>
        </w:rPr>
        <w:t xml:space="preserve"> included in Schedule 3 of the IAA. </w:t>
      </w:r>
      <w:r w:rsidR="00B002A6" w:rsidRPr="007C0B23">
        <w:rPr>
          <w:rFonts w:ascii="Times New Roman" w:hAnsi="Times New Roman" w:cs="Times New Roman"/>
          <w:bCs/>
          <w:sz w:val="28"/>
          <w:szCs w:val="28"/>
        </w:rPr>
        <w:t xml:space="preserve">In Article II the </w:t>
      </w:r>
      <w:r w:rsidRPr="007C0B23">
        <w:rPr>
          <w:rFonts w:ascii="Times New Roman" w:hAnsi="Times New Roman" w:cs="Times New Roman"/>
          <w:bCs/>
          <w:sz w:val="28"/>
          <w:szCs w:val="28"/>
        </w:rPr>
        <w:t>schedule sets ou</w:t>
      </w:r>
      <w:r w:rsidR="00B002A6" w:rsidRPr="007C0B23">
        <w:rPr>
          <w:rFonts w:ascii="Times New Roman" w:hAnsi="Times New Roman" w:cs="Times New Roman"/>
          <w:bCs/>
          <w:sz w:val="28"/>
          <w:szCs w:val="28"/>
        </w:rPr>
        <w:t>t the text of the NYC as follows</w:t>
      </w:r>
      <w:r w:rsidRPr="007C0B23">
        <w:rPr>
          <w:rFonts w:ascii="Times New Roman" w:hAnsi="Times New Roman" w:cs="Times New Roman"/>
          <w:bCs/>
          <w:sz w:val="28"/>
          <w:szCs w:val="28"/>
        </w:rPr>
        <w:t xml:space="preserve">: </w:t>
      </w:r>
    </w:p>
    <w:p w14:paraId="48A54874" w14:textId="611D2A4B" w:rsidR="00B002A6" w:rsidRPr="007C0B23" w:rsidRDefault="00B002A6" w:rsidP="00BD2901">
      <w:pPr>
        <w:spacing w:after="0" w:line="360" w:lineRule="auto"/>
        <w:jc w:val="both"/>
        <w:rPr>
          <w:rFonts w:ascii="Times New Roman" w:hAnsi="Times New Roman" w:cs="Times New Roman"/>
          <w:bCs/>
          <w:sz w:val="24"/>
          <w:szCs w:val="24"/>
        </w:rPr>
      </w:pPr>
      <w:r w:rsidRPr="007C0B23">
        <w:rPr>
          <w:rFonts w:ascii="Times New Roman" w:hAnsi="Times New Roman" w:cs="Times New Roman"/>
          <w:bCs/>
          <w:sz w:val="24"/>
          <w:szCs w:val="24"/>
        </w:rPr>
        <w:t>‘Each Contracting State shall recognize an agreement in writing under which the parties undertake to submit to arbitration all or any differences which have arisen or which may arise between them in respect of a deﬁned relationship, whether contractual or not, concerning a subject matter capable of settlement by arbitration.’</w:t>
      </w:r>
    </w:p>
    <w:p w14:paraId="4D57B640" w14:textId="474FACBD" w:rsidR="000E38CC" w:rsidRPr="007C0B23" w:rsidRDefault="00B002A6" w:rsidP="000E38CC">
      <w:pPr>
        <w:spacing w:after="0" w:line="360" w:lineRule="auto"/>
        <w:jc w:val="both"/>
        <w:rPr>
          <w:rFonts w:ascii="Times New Roman" w:hAnsi="Times New Roman" w:cs="Times New Roman"/>
          <w:bCs/>
          <w:sz w:val="28"/>
          <w:szCs w:val="28"/>
        </w:rPr>
      </w:pPr>
      <w:r w:rsidRPr="007C0B23">
        <w:rPr>
          <w:rFonts w:ascii="Times New Roman" w:hAnsi="Times New Roman" w:cs="Times New Roman"/>
          <w:bCs/>
          <w:sz w:val="28"/>
          <w:szCs w:val="28"/>
        </w:rPr>
        <w:t xml:space="preserve"> No valid basis has been established for interference with the arbitration agreements in this case.</w:t>
      </w:r>
    </w:p>
    <w:p w14:paraId="31F025BB" w14:textId="77777777" w:rsidR="00B002A6" w:rsidRPr="007C0B23" w:rsidRDefault="00B002A6" w:rsidP="000E38CC">
      <w:pPr>
        <w:spacing w:after="0" w:line="360" w:lineRule="auto"/>
        <w:jc w:val="both"/>
        <w:rPr>
          <w:rFonts w:ascii="Times New Roman" w:hAnsi="Times New Roman" w:cs="Times New Roman"/>
          <w:sz w:val="28"/>
          <w:szCs w:val="28"/>
        </w:rPr>
      </w:pPr>
    </w:p>
    <w:p w14:paraId="7C534D29" w14:textId="1E57A245" w:rsidR="000E38CC" w:rsidRPr="000E38CC" w:rsidRDefault="00C15107" w:rsidP="000E38CC">
      <w:pPr>
        <w:spacing w:after="0" w:line="360" w:lineRule="auto"/>
        <w:jc w:val="both"/>
        <w:rPr>
          <w:rFonts w:ascii="Times New Roman" w:hAnsi="Times New Roman" w:cs="Times New Roman"/>
          <w:sz w:val="28"/>
          <w:szCs w:val="28"/>
        </w:rPr>
      </w:pPr>
      <w:r w:rsidRPr="007C0B23">
        <w:rPr>
          <w:rFonts w:ascii="Times New Roman" w:hAnsi="Times New Roman" w:cs="Times New Roman"/>
          <w:sz w:val="28"/>
          <w:szCs w:val="28"/>
        </w:rPr>
        <w:t>[38</w:t>
      </w:r>
      <w:r w:rsidR="000E38CC" w:rsidRPr="007C0B23">
        <w:rPr>
          <w:rFonts w:ascii="Times New Roman" w:hAnsi="Times New Roman" w:cs="Times New Roman"/>
          <w:sz w:val="28"/>
          <w:szCs w:val="28"/>
        </w:rPr>
        <w:t>]</w:t>
      </w:r>
      <w:r w:rsidR="000E38CC" w:rsidRPr="007C0B23">
        <w:rPr>
          <w:rFonts w:ascii="Times New Roman" w:hAnsi="Times New Roman" w:cs="Times New Roman"/>
          <w:sz w:val="28"/>
          <w:szCs w:val="28"/>
        </w:rPr>
        <w:tab/>
        <w:t>Consequently, the appeal is dismissed with costs including the costs of two counsel.</w:t>
      </w:r>
    </w:p>
    <w:p w14:paraId="22C4237E" w14:textId="77777777" w:rsidR="000E38CC" w:rsidRDefault="000E38CC" w:rsidP="000E38CC">
      <w:pPr>
        <w:spacing w:after="0" w:line="360" w:lineRule="auto"/>
        <w:jc w:val="both"/>
        <w:rPr>
          <w:rFonts w:ascii="Times New Roman" w:hAnsi="Times New Roman" w:cs="Times New Roman"/>
          <w:sz w:val="28"/>
          <w:szCs w:val="28"/>
        </w:rPr>
      </w:pPr>
    </w:p>
    <w:p w14:paraId="7DFA6312" w14:textId="172BC424" w:rsidR="003A6A5F" w:rsidRDefault="003A6A5F" w:rsidP="000E38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5104F08" w14:textId="051181D5" w:rsidR="003A6A5F" w:rsidRPr="000E38CC" w:rsidRDefault="003A6A5F" w:rsidP="003A6A5F">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59926D84" w14:textId="50C2D7BA"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8CC">
        <w:rPr>
          <w:rFonts w:ascii="Times New Roman" w:hAnsi="Times New Roman" w:cs="Times New Roman"/>
          <w:sz w:val="28"/>
          <w:szCs w:val="28"/>
        </w:rPr>
        <w:t>________________</w:t>
      </w:r>
    </w:p>
    <w:p w14:paraId="61804B80" w14:textId="76485A73"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Pr>
          <w:rFonts w:ascii="Times New Roman" w:hAnsi="Times New Roman" w:cs="Times New Roman"/>
          <w:sz w:val="28"/>
          <w:szCs w:val="28"/>
        </w:rPr>
        <w:t xml:space="preserve">                                                               </w:t>
      </w:r>
      <w:r w:rsidRPr="000E38CC">
        <w:rPr>
          <w:rFonts w:ascii="Times New Roman" w:hAnsi="Times New Roman" w:cs="Times New Roman"/>
          <w:sz w:val="28"/>
          <w:szCs w:val="28"/>
        </w:rPr>
        <w:t>N DAMBUZA</w:t>
      </w:r>
    </w:p>
    <w:p w14:paraId="71EC4409" w14:textId="77777777" w:rsidR="00521FB8"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Pr>
          <w:rFonts w:ascii="Times New Roman" w:hAnsi="Times New Roman" w:cs="Times New Roman"/>
          <w:sz w:val="28"/>
          <w:szCs w:val="28"/>
        </w:rPr>
        <w:t xml:space="preserve">                      </w:t>
      </w:r>
      <w:r w:rsidRPr="000E38CC">
        <w:rPr>
          <w:rFonts w:ascii="Times New Roman" w:hAnsi="Times New Roman" w:cs="Times New Roman"/>
          <w:sz w:val="28"/>
          <w:szCs w:val="28"/>
        </w:rPr>
        <w:t>JUDGE OF APPEAL</w:t>
      </w:r>
    </w:p>
    <w:p w14:paraId="67B45BFD" w14:textId="77777777" w:rsidR="00C15107" w:rsidRDefault="00C15107" w:rsidP="000E38CC">
      <w:pPr>
        <w:spacing w:after="0" w:line="360" w:lineRule="auto"/>
        <w:jc w:val="both"/>
        <w:rPr>
          <w:rFonts w:ascii="Times New Roman" w:hAnsi="Times New Roman" w:cs="Times New Roman"/>
          <w:sz w:val="28"/>
          <w:szCs w:val="28"/>
          <w:lang w:val="en-GB"/>
        </w:rPr>
      </w:pPr>
    </w:p>
    <w:p w14:paraId="0D39E7BC" w14:textId="77777777" w:rsidR="00C15107" w:rsidRDefault="00C15107" w:rsidP="000E38CC">
      <w:pPr>
        <w:spacing w:after="0" w:line="360" w:lineRule="auto"/>
        <w:jc w:val="both"/>
        <w:rPr>
          <w:rFonts w:ascii="Times New Roman" w:hAnsi="Times New Roman" w:cs="Times New Roman"/>
          <w:sz w:val="28"/>
          <w:szCs w:val="28"/>
          <w:lang w:val="en-GB"/>
        </w:rPr>
      </w:pPr>
    </w:p>
    <w:p w14:paraId="017BBD37" w14:textId="77777777" w:rsidR="00C15107" w:rsidRDefault="00C15107" w:rsidP="000E38CC">
      <w:pPr>
        <w:spacing w:after="0" w:line="360" w:lineRule="auto"/>
        <w:jc w:val="both"/>
        <w:rPr>
          <w:rFonts w:ascii="Times New Roman" w:hAnsi="Times New Roman" w:cs="Times New Roman"/>
          <w:sz w:val="28"/>
          <w:szCs w:val="28"/>
          <w:lang w:val="en-GB"/>
        </w:rPr>
      </w:pPr>
    </w:p>
    <w:p w14:paraId="03169703" w14:textId="77777777" w:rsidR="00C15107" w:rsidRDefault="00C15107" w:rsidP="000E38CC">
      <w:pPr>
        <w:spacing w:after="0" w:line="360" w:lineRule="auto"/>
        <w:jc w:val="both"/>
        <w:rPr>
          <w:rFonts w:ascii="Times New Roman" w:hAnsi="Times New Roman" w:cs="Times New Roman"/>
          <w:sz w:val="28"/>
          <w:szCs w:val="28"/>
          <w:lang w:val="en-GB"/>
        </w:rPr>
      </w:pPr>
    </w:p>
    <w:p w14:paraId="14AC1221" w14:textId="77777777" w:rsidR="00C15107" w:rsidRDefault="00C15107" w:rsidP="000E38CC">
      <w:pPr>
        <w:spacing w:after="0" w:line="360" w:lineRule="auto"/>
        <w:jc w:val="both"/>
        <w:rPr>
          <w:rFonts w:ascii="Times New Roman" w:hAnsi="Times New Roman" w:cs="Times New Roman"/>
          <w:sz w:val="28"/>
          <w:szCs w:val="28"/>
          <w:lang w:val="en-GB"/>
        </w:rPr>
      </w:pPr>
    </w:p>
    <w:p w14:paraId="28403844" w14:textId="77777777" w:rsidR="00C15107" w:rsidRDefault="00C15107" w:rsidP="000E38CC">
      <w:pPr>
        <w:spacing w:after="0" w:line="360" w:lineRule="auto"/>
        <w:jc w:val="both"/>
        <w:rPr>
          <w:rFonts w:ascii="Times New Roman" w:hAnsi="Times New Roman" w:cs="Times New Roman"/>
          <w:sz w:val="28"/>
          <w:szCs w:val="28"/>
          <w:lang w:val="en-GB"/>
        </w:rPr>
      </w:pPr>
    </w:p>
    <w:p w14:paraId="42BB63B4" w14:textId="77777777" w:rsidR="00C15107" w:rsidRDefault="00C15107" w:rsidP="000E38CC">
      <w:pPr>
        <w:spacing w:after="0" w:line="360" w:lineRule="auto"/>
        <w:jc w:val="both"/>
        <w:rPr>
          <w:rFonts w:ascii="Times New Roman" w:hAnsi="Times New Roman" w:cs="Times New Roman"/>
          <w:sz w:val="28"/>
          <w:szCs w:val="28"/>
          <w:lang w:val="en-GB"/>
        </w:rPr>
      </w:pPr>
    </w:p>
    <w:p w14:paraId="10792E57" w14:textId="77777777" w:rsidR="00C15107" w:rsidRDefault="00C15107" w:rsidP="000E38CC">
      <w:pPr>
        <w:spacing w:after="0" w:line="360" w:lineRule="auto"/>
        <w:jc w:val="both"/>
        <w:rPr>
          <w:rFonts w:ascii="Times New Roman" w:hAnsi="Times New Roman" w:cs="Times New Roman"/>
          <w:sz w:val="28"/>
          <w:szCs w:val="28"/>
          <w:lang w:val="en-GB"/>
        </w:rPr>
      </w:pPr>
    </w:p>
    <w:p w14:paraId="09B79D28" w14:textId="77777777" w:rsidR="003A6A5F" w:rsidRDefault="003A6A5F" w:rsidP="000E38CC">
      <w:pPr>
        <w:spacing w:after="0" w:line="360" w:lineRule="auto"/>
        <w:jc w:val="both"/>
        <w:rPr>
          <w:rFonts w:ascii="Times New Roman" w:hAnsi="Times New Roman" w:cs="Times New Roman"/>
          <w:sz w:val="28"/>
          <w:szCs w:val="28"/>
          <w:lang w:val="en-GB"/>
        </w:rPr>
      </w:pPr>
    </w:p>
    <w:p w14:paraId="6414C57F" w14:textId="77777777" w:rsidR="003A6A5F" w:rsidRDefault="003A6A5F" w:rsidP="000E38CC">
      <w:pPr>
        <w:spacing w:after="0" w:line="360" w:lineRule="auto"/>
        <w:jc w:val="both"/>
        <w:rPr>
          <w:rFonts w:ascii="Times New Roman" w:hAnsi="Times New Roman" w:cs="Times New Roman"/>
          <w:sz w:val="28"/>
          <w:szCs w:val="28"/>
          <w:lang w:val="en-GB"/>
        </w:rPr>
      </w:pPr>
    </w:p>
    <w:p w14:paraId="55EE8267" w14:textId="0FFAF31A" w:rsidR="000E38CC" w:rsidRPr="00521FB8" w:rsidRDefault="000E38CC" w:rsidP="000E38CC">
      <w:pPr>
        <w:spacing w:after="0" w:line="360" w:lineRule="auto"/>
        <w:jc w:val="both"/>
        <w:rPr>
          <w:rFonts w:ascii="Times New Roman" w:hAnsi="Times New Roman" w:cs="Times New Roman"/>
          <w:sz w:val="28"/>
          <w:szCs w:val="28"/>
        </w:rPr>
      </w:pPr>
      <w:bookmarkStart w:id="0" w:name="_GoBack"/>
      <w:bookmarkEnd w:id="0"/>
      <w:r w:rsidRPr="000E38CC">
        <w:rPr>
          <w:rFonts w:ascii="Times New Roman" w:hAnsi="Times New Roman" w:cs="Times New Roman"/>
          <w:sz w:val="28"/>
          <w:szCs w:val="28"/>
          <w:lang w:val="en-GB"/>
        </w:rPr>
        <w:lastRenderedPageBreak/>
        <w:t>Appearances:</w:t>
      </w:r>
    </w:p>
    <w:p w14:paraId="3A0D971D" w14:textId="77777777" w:rsidR="000E38CC" w:rsidRPr="000E38CC" w:rsidRDefault="000E38CC" w:rsidP="000E38CC">
      <w:pPr>
        <w:spacing w:after="0" w:line="360" w:lineRule="auto"/>
        <w:jc w:val="both"/>
        <w:rPr>
          <w:rFonts w:ascii="Times New Roman" w:hAnsi="Times New Roman" w:cs="Times New Roman"/>
          <w:sz w:val="28"/>
          <w:szCs w:val="28"/>
          <w:lang w:val="en-GB"/>
        </w:rPr>
      </w:pPr>
    </w:p>
    <w:p w14:paraId="366B0A61"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lang w:val="en-GB"/>
        </w:rPr>
        <w:t xml:space="preserve">For </w:t>
      </w:r>
      <w:r w:rsidRPr="000E38CC">
        <w:rPr>
          <w:rFonts w:ascii="Times New Roman" w:hAnsi="Times New Roman" w:cs="Times New Roman"/>
          <w:sz w:val="28"/>
          <w:szCs w:val="28"/>
        </w:rPr>
        <w:t>a</w:t>
      </w:r>
      <w:r w:rsidRPr="000E38CC">
        <w:rPr>
          <w:rFonts w:ascii="Times New Roman" w:hAnsi="Times New Roman" w:cs="Times New Roman"/>
          <w:sz w:val="28"/>
          <w:szCs w:val="28"/>
          <w:lang w:val="en-GB"/>
        </w:rPr>
        <w:t>ppellant:</w:t>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rPr>
        <w:t>RB Mphela with N Ngwenya</w:t>
      </w:r>
    </w:p>
    <w:p w14:paraId="4379F2B8"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Instructed by:</w:t>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t>Nicholas Ngwenya Inc, Centurion</w:t>
      </w:r>
    </w:p>
    <w:p w14:paraId="386161A0"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r>
      <w:r w:rsidRPr="000E38CC">
        <w:rPr>
          <w:rFonts w:ascii="Times New Roman" w:hAnsi="Times New Roman" w:cs="Times New Roman"/>
          <w:sz w:val="28"/>
          <w:szCs w:val="28"/>
        </w:rPr>
        <w:tab/>
        <w:t>SMO Seobe Attorneys Inc, Bloemfontein</w:t>
      </w:r>
    </w:p>
    <w:p w14:paraId="0AEAF65E"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 xml:space="preserve">                                           </w:t>
      </w:r>
    </w:p>
    <w:p w14:paraId="72FA334F" w14:textId="77777777" w:rsidR="000E38CC" w:rsidRPr="000E38CC" w:rsidRDefault="000E38CC" w:rsidP="000E38CC">
      <w:pPr>
        <w:spacing w:after="0" w:line="360" w:lineRule="auto"/>
        <w:jc w:val="both"/>
        <w:rPr>
          <w:rFonts w:ascii="Times New Roman" w:hAnsi="Times New Roman" w:cs="Times New Roman"/>
          <w:sz w:val="28"/>
          <w:szCs w:val="28"/>
          <w:lang w:val="en-GB"/>
        </w:rPr>
      </w:pPr>
      <w:r w:rsidRPr="000E38CC">
        <w:rPr>
          <w:rFonts w:ascii="Times New Roman" w:hAnsi="Times New Roman" w:cs="Times New Roman"/>
          <w:sz w:val="28"/>
          <w:szCs w:val="28"/>
          <w:lang w:val="en-GB"/>
        </w:rPr>
        <w:t>For 1</w:t>
      </w:r>
      <w:r w:rsidRPr="000E38CC">
        <w:rPr>
          <w:rFonts w:ascii="Times New Roman" w:hAnsi="Times New Roman" w:cs="Times New Roman"/>
          <w:sz w:val="28"/>
          <w:szCs w:val="28"/>
          <w:vertAlign w:val="superscript"/>
          <w:lang w:val="en-GB"/>
        </w:rPr>
        <w:t>st</w:t>
      </w:r>
      <w:r w:rsidRPr="000E38CC">
        <w:rPr>
          <w:rFonts w:ascii="Times New Roman" w:hAnsi="Times New Roman" w:cs="Times New Roman"/>
          <w:sz w:val="28"/>
          <w:szCs w:val="28"/>
          <w:lang w:val="en-GB"/>
        </w:rPr>
        <w:t xml:space="preserve"> respondent: </w:t>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rPr>
        <w:t>HWS Martin with D Bernstein</w:t>
      </w:r>
      <w:r w:rsidRPr="000E38CC">
        <w:rPr>
          <w:rFonts w:ascii="Times New Roman" w:hAnsi="Times New Roman" w:cs="Times New Roman"/>
          <w:sz w:val="28"/>
          <w:szCs w:val="28"/>
          <w:lang w:val="en-GB"/>
        </w:rPr>
        <w:tab/>
      </w:r>
    </w:p>
    <w:p w14:paraId="038F62A0"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lang w:val="en-GB"/>
        </w:rPr>
        <w:t>Instructed by:</w:t>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lang w:val="en-GB"/>
        </w:rPr>
        <w:tab/>
      </w:r>
      <w:r w:rsidRPr="000E38CC">
        <w:rPr>
          <w:rFonts w:ascii="Times New Roman" w:hAnsi="Times New Roman" w:cs="Times New Roman"/>
          <w:sz w:val="28"/>
          <w:szCs w:val="28"/>
        </w:rPr>
        <w:t>Baker McKenzie Attorneys, Sandton</w:t>
      </w:r>
    </w:p>
    <w:p w14:paraId="2EC75098" w14:textId="77777777" w:rsidR="000E38CC" w:rsidRPr="000E38CC" w:rsidRDefault="000E38CC" w:rsidP="000E38CC">
      <w:pPr>
        <w:spacing w:after="0" w:line="360" w:lineRule="auto"/>
        <w:jc w:val="both"/>
        <w:rPr>
          <w:rFonts w:ascii="Times New Roman" w:hAnsi="Times New Roman" w:cs="Times New Roman"/>
          <w:sz w:val="28"/>
          <w:szCs w:val="28"/>
        </w:rPr>
      </w:pPr>
      <w:r w:rsidRPr="000E38CC">
        <w:rPr>
          <w:rFonts w:ascii="Times New Roman" w:hAnsi="Times New Roman" w:cs="Times New Roman"/>
          <w:sz w:val="28"/>
          <w:szCs w:val="28"/>
        </w:rPr>
        <w:t xml:space="preserve">                                                        </w:t>
      </w:r>
      <w:r w:rsidRPr="000E38CC">
        <w:rPr>
          <w:rFonts w:ascii="Times New Roman" w:hAnsi="Times New Roman" w:cs="Times New Roman"/>
          <w:sz w:val="28"/>
          <w:szCs w:val="28"/>
        </w:rPr>
        <w:tab/>
        <w:t>McIntyre van der Post, Bloemfontein</w:t>
      </w:r>
    </w:p>
    <w:p w14:paraId="2F6BA119" w14:textId="77777777" w:rsidR="000E38CC" w:rsidRPr="000E38CC" w:rsidRDefault="000E38CC" w:rsidP="000E38CC">
      <w:pPr>
        <w:spacing w:after="0" w:line="360" w:lineRule="auto"/>
        <w:jc w:val="both"/>
        <w:rPr>
          <w:rFonts w:ascii="Times New Roman" w:hAnsi="Times New Roman" w:cs="Times New Roman"/>
          <w:sz w:val="28"/>
          <w:szCs w:val="28"/>
        </w:rPr>
      </w:pPr>
    </w:p>
    <w:p w14:paraId="11F7343B" w14:textId="77777777" w:rsidR="000E38CC" w:rsidRDefault="000E38CC" w:rsidP="00C5476C">
      <w:pPr>
        <w:spacing w:after="0" w:line="360" w:lineRule="auto"/>
        <w:jc w:val="both"/>
        <w:rPr>
          <w:rFonts w:ascii="Times New Roman" w:hAnsi="Times New Roman" w:cs="Times New Roman"/>
          <w:sz w:val="28"/>
          <w:szCs w:val="28"/>
        </w:rPr>
      </w:pPr>
    </w:p>
    <w:p w14:paraId="38F29B86" w14:textId="77777777" w:rsidR="00540DBA" w:rsidRDefault="00540DBA" w:rsidP="00C5476C">
      <w:pPr>
        <w:spacing w:after="0" w:line="360" w:lineRule="auto"/>
        <w:jc w:val="both"/>
        <w:rPr>
          <w:rFonts w:ascii="Times New Roman" w:hAnsi="Times New Roman" w:cs="Times New Roman"/>
          <w:sz w:val="28"/>
          <w:szCs w:val="28"/>
        </w:rPr>
      </w:pPr>
    </w:p>
    <w:p w14:paraId="4E4536A0" w14:textId="77777777" w:rsidR="00540DBA" w:rsidRDefault="00540DBA" w:rsidP="00C5476C">
      <w:pPr>
        <w:spacing w:after="0" w:line="360" w:lineRule="auto"/>
        <w:jc w:val="both"/>
        <w:rPr>
          <w:rFonts w:ascii="Times New Roman" w:hAnsi="Times New Roman" w:cs="Times New Roman"/>
          <w:sz w:val="28"/>
          <w:szCs w:val="28"/>
        </w:rPr>
      </w:pPr>
    </w:p>
    <w:p w14:paraId="504D74E3" w14:textId="77777777" w:rsidR="00540DBA" w:rsidRDefault="00540DBA" w:rsidP="00C5476C">
      <w:pPr>
        <w:spacing w:after="0" w:line="360" w:lineRule="auto"/>
        <w:jc w:val="both"/>
        <w:rPr>
          <w:rFonts w:ascii="Times New Roman" w:hAnsi="Times New Roman" w:cs="Times New Roman"/>
          <w:sz w:val="28"/>
          <w:szCs w:val="28"/>
        </w:rPr>
      </w:pPr>
    </w:p>
    <w:p w14:paraId="4689FD5C" w14:textId="77777777" w:rsidR="00540DBA" w:rsidRDefault="00540DBA" w:rsidP="00C5476C">
      <w:pPr>
        <w:spacing w:after="0" w:line="360" w:lineRule="auto"/>
        <w:jc w:val="both"/>
        <w:rPr>
          <w:rFonts w:ascii="Times New Roman" w:hAnsi="Times New Roman" w:cs="Times New Roman"/>
          <w:sz w:val="28"/>
          <w:szCs w:val="28"/>
        </w:rPr>
      </w:pPr>
    </w:p>
    <w:sectPr w:rsidR="00540DBA" w:rsidSect="00C14B0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449ED" w14:textId="77777777" w:rsidR="00DA44A5" w:rsidRDefault="00DA44A5" w:rsidP="00C14B02">
      <w:pPr>
        <w:spacing w:after="0" w:line="240" w:lineRule="auto"/>
      </w:pPr>
      <w:r>
        <w:separator/>
      </w:r>
    </w:p>
  </w:endnote>
  <w:endnote w:type="continuationSeparator" w:id="0">
    <w:p w14:paraId="7BBD1476" w14:textId="77777777" w:rsidR="00DA44A5" w:rsidRDefault="00DA44A5"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8C61" w14:textId="77777777" w:rsidR="00DA44A5" w:rsidRDefault="00DA44A5" w:rsidP="00C14B02">
      <w:pPr>
        <w:spacing w:after="0" w:line="240" w:lineRule="auto"/>
      </w:pPr>
      <w:r>
        <w:separator/>
      </w:r>
    </w:p>
  </w:footnote>
  <w:footnote w:type="continuationSeparator" w:id="0">
    <w:p w14:paraId="0D0F4F4D" w14:textId="77777777" w:rsidR="00DA44A5" w:rsidRDefault="00DA44A5" w:rsidP="00C14B02">
      <w:pPr>
        <w:spacing w:after="0" w:line="240" w:lineRule="auto"/>
      </w:pPr>
      <w:r>
        <w:continuationSeparator/>
      </w:r>
    </w:p>
  </w:footnote>
  <w:footnote w:id="1">
    <w:p w14:paraId="59163BC5" w14:textId="33DE9B59" w:rsidR="00CE5486" w:rsidRPr="00CE5486" w:rsidRDefault="00CE5486" w:rsidP="00CE5486">
      <w:pPr>
        <w:pStyle w:val="FootnoteText"/>
        <w:jc w:val="both"/>
        <w:rPr>
          <w:rFonts w:ascii="Times New Roman" w:hAnsi="Times New Roman" w:cs="Times New Roman"/>
          <w:lang w:val="en-GB"/>
        </w:rPr>
      </w:pPr>
      <w:r w:rsidRPr="00CE5486">
        <w:rPr>
          <w:rStyle w:val="FootnoteReference"/>
          <w:rFonts w:ascii="Times New Roman" w:hAnsi="Times New Roman" w:cs="Times New Roman"/>
        </w:rPr>
        <w:footnoteRef/>
      </w:r>
      <w:r w:rsidRPr="00CE5486">
        <w:rPr>
          <w:rFonts w:ascii="Times New Roman" w:hAnsi="Times New Roman" w:cs="Times New Roman"/>
        </w:rPr>
        <w:t xml:space="preserve"> </w:t>
      </w:r>
      <w:r w:rsidRPr="00CE5486">
        <w:rPr>
          <w:rFonts w:ascii="Times New Roman" w:hAnsi="Times New Roman" w:cs="Times New Roman"/>
          <w:lang w:val="en-GB"/>
        </w:rPr>
        <w:t xml:space="preserve">The </w:t>
      </w:r>
      <w:r w:rsidRPr="00CE5486">
        <w:rPr>
          <w:rFonts w:ascii="Times New Roman" w:hAnsi="Times New Roman" w:cs="Times New Roman"/>
        </w:rPr>
        <w:t>International Chamber of Commerce</w:t>
      </w:r>
      <w:r w:rsidRPr="00CE5486">
        <w:rPr>
          <w:rFonts w:ascii="Times New Roman" w:hAnsi="Times New Roman" w:cs="Times New Roman"/>
          <w:lang w:val="en-GB"/>
        </w:rPr>
        <w:t xml:space="preserve"> is an </w:t>
      </w:r>
      <w:r w:rsidR="003A6A5F">
        <w:rPr>
          <w:rFonts w:ascii="Times New Roman" w:hAnsi="Times New Roman" w:cs="Times New Roman"/>
          <w:lang w:val="en-GB"/>
        </w:rPr>
        <w:t>i</w:t>
      </w:r>
      <w:r w:rsidRPr="00CE5486">
        <w:rPr>
          <w:rFonts w:ascii="Times New Roman" w:hAnsi="Times New Roman" w:cs="Times New Roman"/>
          <w:lang w:val="en-GB"/>
        </w:rPr>
        <w:t>nternational arbitration institution. Its rules are used around the world to resolve disputes.</w:t>
      </w:r>
    </w:p>
  </w:footnote>
  <w:footnote w:id="2">
    <w:p w14:paraId="293E51D9" w14:textId="77777777" w:rsidR="000B1939" w:rsidRPr="00CE5486" w:rsidRDefault="000B1939" w:rsidP="00CE5486">
      <w:pPr>
        <w:pStyle w:val="FootnoteText"/>
        <w:jc w:val="both"/>
        <w:rPr>
          <w:rFonts w:ascii="Times New Roman" w:hAnsi="Times New Roman" w:cs="Times New Roman"/>
        </w:rPr>
      </w:pPr>
      <w:r w:rsidRPr="00CE5486">
        <w:rPr>
          <w:rStyle w:val="FootnoteReference"/>
          <w:rFonts w:ascii="Times New Roman" w:hAnsi="Times New Roman" w:cs="Times New Roman"/>
        </w:rPr>
        <w:footnoteRef/>
      </w:r>
      <w:r w:rsidRPr="00CE5486">
        <w:rPr>
          <w:rFonts w:ascii="Times New Roman" w:hAnsi="Times New Roman" w:cs="Times New Roman"/>
        </w:rPr>
        <w:t xml:space="preserve"> Clauses 25 and 26 of the licence agreement provided: </w:t>
      </w:r>
    </w:p>
    <w:p w14:paraId="56D6C9B9" w14:textId="77777777" w:rsidR="000B1939" w:rsidRPr="00CE5486" w:rsidRDefault="000B1939" w:rsidP="00CE5486">
      <w:pPr>
        <w:spacing w:after="0" w:line="240" w:lineRule="auto"/>
        <w:jc w:val="both"/>
        <w:rPr>
          <w:rFonts w:ascii="Times New Roman" w:hAnsi="Times New Roman" w:cs="Times New Roman"/>
          <w:sz w:val="20"/>
          <w:szCs w:val="20"/>
        </w:rPr>
      </w:pPr>
      <w:r w:rsidRPr="00CE5486">
        <w:rPr>
          <w:rFonts w:ascii="Times New Roman" w:hAnsi="Times New Roman" w:cs="Times New Roman"/>
          <w:sz w:val="20"/>
          <w:szCs w:val="20"/>
        </w:rPr>
        <w:t>‘25. ARBITRATION</w:t>
      </w:r>
    </w:p>
    <w:p w14:paraId="09059A86" w14:textId="77777777" w:rsidR="000B1939" w:rsidRPr="00795876" w:rsidRDefault="000B1939" w:rsidP="00BB04AE">
      <w:pPr>
        <w:spacing w:after="0" w:line="240" w:lineRule="auto"/>
        <w:jc w:val="both"/>
        <w:rPr>
          <w:rFonts w:ascii="Times New Roman" w:hAnsi="Times New Roman" w:cs="Times New Roman"/>
          <w:sz w:val="20"/>
          <w:szCs w:val="20"/>
        </w:rPr>
      </w:pPr>
      <w:r w:rsidRPr="00795876">
        <w:rPr>
          <w:rFonts w:ascii="Times New Roman" w:hAnsi="Times New Roman" w:cs="Times New Roman"/>
          <w:sz w:val="20"/>
          <w:szCs w:val="20"/>
        </w:rPr>
        <w:t>All disputes, controversies and differences of opinion arising out</w:t>
      </w:r>
      <w:r>
        <w:rPr>
          <w:rFonts w:ascii="Times New Roman" w:hAnsi="Times New Roman" w:cs="Times New Roman"/>
          <w:sz w:val="20"/>
          <w:szCs w:val="20"/>
        </w:rPr>
        <w:t xml:space="preserve"> of or in connection with this </w:t>
      </w:r>
      <w:r w:rsidRPr="00795876">
        <w:rPr>
          <w:rFonts w:ascii="Times New Roman" w:hAnsi="Times New Roman" w:cs="Times New Roman"/>
          <w:sz w:val="20"/>
          <w:szCs w:val="20"/>
        </w:rPr>
        <w:t xml:space="preserve">contract or for the breach hereof which cannot be settled amicably by the parties hereto, shall be settled by arbitration according to the then applicable rules of arbitration of the International Chamber of Commerce (ICC). The place of arbitration shall be London, England. </w:t>
      </w:r>
    </w:p>
    <w:p w14:paraId="3705B1C4" w14:textId="77777777" w:rsidR="000B1939" w:rsidRPr="00795876" w:rsidRDefault="000B1939" w:rsidP="00BB04AE">
      <w:pPr>
        <w:spacing w:after="0" w:line="240" w:lineRule="auto"/>
        <w:jc w:val="both"/>
        <w:rPr>
          <w:rFonts w:ascii="Times New Roman" w:hAnsi="Times New Roman" w:cs="Times New Roman"/>
          <w:sz w:val="20"/>
          <w:szCs w:val="20"/>
        </w:rPr>
      </w:pPr>
      <w:r w:rsidRPr="00795876">
        <w:rPr>
          <w:rFonts w:ascii="Times New Roman" w:hAnsi="Times New Roman" w:cs="Times New Roman"/>
          <w:sz w:val="20"/>
          <w:szCs w:val="20"/>
        </w:rPr>
        <w:t>26. GOVERNING LAWS</w:t>
      </w:r>
    </w:p>
    <w:p w14:paraId="708170AF" w14:textId="77777777" w:rsidR="000B1939" w:rsidRDefault="000B1939" w:rsidP="00BB04AE">
      <w:pPr>
        <w:spacing w:after="0" w:line="240" w:lineRule="auto"/>
        <w:jc w:val="both"/>
        <w:rPr>
          <w:rFonts w:ascii="Times New Roman" w:hAnsi="Times New Roman" w:cs="Times New Roman"/>
          <w:sz w:val="20"/>
          <w:szCs w:val="20"/>
        </w:rPr>
      </w:pPr>
      <w:r w:rsidRPr="00795876">
        <w:rPr>
          <w:rFonts w:ascii="Times New Roman" w:hAnsi="Times New Roman" w:cs="Times New Roman"/>
          <w:sz w:val="20"/>
          <w:szCs w:val="20"/>
        </w:rPr>
        <w:t>This agreement shall be construed and enforced in accordance with the laws of England without regard to its principles of conflict of laws. The parties agree that the jurisdiction and venue of any action with respect to this agreement shall be in a court of competent subject matter jurisdiction located in London, England and each of the parties hereby agrees to submit itself to the exclusive jurisdiction and venue of such court for the purpose of any such action.’</w:t>
      </w:r>
    </w:p>
    <w:p w14:paraId="30CCEA87" w14:textId="77777777" w:rsidR="000B1939" w:rsidRPr="00795876" w:rsidRDefault="000B1939" w:rsidP="00BB04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Clauses 25 and 26 of the sub-licence agreement were in identical terms, save for stipulating that the rules applicable to the arbitration would be the rules of arbitration of the International Chamber of Commerce (ICC), that the place of arbitration would be South Africa and that the governing laws would be South African laws.</w:t>
      </w:r>
    </w:p>
    <w:p w14:paraId="404E07BF" w14:textId="77777777" w:rsidR="000B1939" w:rsidRPr="00795876" w:rsidRDefault="000B1939" w:rsidP="00886DC6">
      <w:pPr>
        <w:pStyle w:val="FootnoteText"/>
        <w:rPr>
          <w:lang w:val="en-US"/>
        </w:rPr>
      </w:pPr>
    </w:p>
  </w:footnote>
  <w:footnote w:id="3">
    <w:p w14:paraId="0C8C07E7" w14:textId="77777777" w:rsidR="000B1939" w:rsidRPr="00E77F33" w:rsidRDefault="000B1939" w:rsidP="00E77F33">
      <w:pPr>
        <w:pStyle w:val="FootnoteText"/>
        <w:jc w:val="both"/>
        <w:rPr>
          <w:rFonts w:ascii="Times New Roman" w:hAnsi="Times New Roman" w:cs="Times New Roman"/>
        </w:rPr>
      </w:pPr>
      <w:r w:rsidRPr="00E77F33">
        <w:rPr>
          <w:rStyle w:val="FootnoteReference"/>
          <w:rFonts w:ascii="Times New Roman" w:hAnsi="Times New Roman" w:cs="Times New Roman"/>
        </w:rPr>
        <w:footnoteRef/>
      </w:r>
      <w:r w:rsidRPr="00E77F33">
        <w:rPr>
          <w:rFonts w:ascii="Times New Roman" w:hAnsi="Times New Roman" w:cs="Times New Roman"/>
        </w:rPr>
        <w:t xml:space="preserve"> </w:t>
      </w:r>
      <w:r>
        <w:rPr>
          <w:rFonts w:ascii="Times New Roman" w:hAnsi="Times New Roman" w:cs="Times New Roman"/>
        </w:rPr>
        <w:t>Section 6 provides the following: ‘(1)</w:t>
      </w:r>
      <w:r w:rsidRPr="00E77F33">
        <w:rPr>
          <w:rFonts w:ascii="Times New Roman" w:hAnsi="Times New Roman" w:cs="Times New Roman"/>
        </w:rPr>
        <w:t xml:space="preserve"> If any party to an a</w:t>
      </w:r>
      <w:r>
        <w:rPr>
          <w:rFonts w:ascii="Times New Roman" w:hAnsi="Times New Roman" w:cs="Times New Roman"/>
        </w:rPr>
        <w:t>rbitration agreement commences any legal</w:t>
      </w:r>
      <w:r w:rsidRPr="00E77F33">
        <w:rPr>
          <w:rFonts w:ascii="Times New Roman" w:hAnsi="Times New Roman" w:cs="Times New Roman"/>
        </w:rPr>
        <w:t xml:space="preserve"> proceedings in any court (including any inferior court) against any other party to the agreement in respect of any matter agreed to be referred to arbitration, any party to such legal proceedings may at any time after entering appearance but before delivering any pleadings or taking any other steps in the proceedings, apply to that court for a stay of such proceedings. </w:t>
      </w:r>
    </w:p>
    <w:p w14:paraId="7317D067" w14:textId="77777777" w:rsidR="000B1939" w:rsidRDefault="000B1939" w:rsidP="00E77F33">
      <w:pPr>
        <w:pStyle w:val="FootnoteText"/>
        <w:jc w:val="both"/>
      </w:pPr>
      <w:r w:rsidRPr="00E77F33">
        <w:rPr>
          <w:rFonts w:ascii="Times New Roman" w:hAnsi="Times New Roman" w:cs="Times New Roman"/>
        </w:rPr>
        <w:t>(2) If on any such application the court is satisfied that there is no sufficient reason why the disp</w:t>
      </w:r>
      <w:r>
        <w:rPr>
          <w:rFonts w:ascii="Times New Roman" w:hAnsi="Times New Roman" w:cs="Times New Roman"/>
        </w:rPr>
        <w:t>ute should not be referred to ar</w:t>
      </w:r>
      <w:r w:rsidRPr="00E77F33">
        <w:rPr>
          <w:rFonts w:ascii="Times New Roman" w:hAnsi="Times New Roman" w:cs="Times New Roman"/>
        </w:rPr>
        <w:t>bitration in accordance with the agreement, the court may make an order staying such proceedings subject to such terms and conditions as it may consider just</w:t>
      </w:r>
      <w:r>
        <w:rPr>
          <w:rFonts w:ascii="Times New Roman" w:hAnsi="Times New Roman" w:cs="Times New Roman"/>
        </w:rPr>
        <w:t>.’</w:t>
      </w:r>
    </w:p>
    <w:p w14:paraId="73A2F50D" w14:textId="77777777" w:rsidR="000B1939" w:rsidRDefault="000B1939" w:rsidP="00E77F33">
      <w:pPr>
        <w:pStyle w:val="FootnoteText"/>
        <w:jc w:val="both"/>
      </w:pPr>
    </w:p>
  </w:footnote>
  <w:footnote w:id="4">
    <w:p w14:paraId="1A0DA9B0" w14:textId="77777777" w:rsidR="0083500A" w:rsidRPr="0083500A" w:rsidRDefault="0083500A" w:rsidP="0083500A">
      <w:pPr>
        <w:pStyle w:val="FootnoteText"/>
        <w:jc w:val="both"/>
        <w:rPr>
          <w:rFonts w:ascii="Times New Roman" w:hAnsi="Times New Roman" w:cs="Times New Roman"/>
        </w:rPr>
      </w:pPr>
      <w:r w:rsidRPr="0083500A">
        <w:rPr>
          <w:rStyle w:val="FootnoteReference"/>
          <w:rFonts w:ascii="Times New Roman" w:hAnsi="Times New Roman" w:cs="Times New Roman"/>
        </w:rPr>
        <w:footnoteRef/>
      </w:r>
      <w:r w:rsidRPr="0083500A">
        <w:rPr>
          <w:rFonts w:ascii="Times New Roman" w:hAnsi="Times New Roman" w:cs="Times New Roman"/>
        </w:rPr>
        <w:t xml:space="preserve"> Article 8 of the Model Law provides that: </w:t>
      </w:r>
    </w:p>
    <w:p w14:paraId="1933824E" w14:textId="77777777" w:rsidR="0083500A" w:rsidRPr="0083500A" w:rsidRDefault="0083500A" w:rsidP="0083500A">
      <w:pPr>
        <w:pStyle w:val="FootnoteText"/>
        <w:jc w:val="both"/>
        <w:rPr>
          <w:rFonts w:ascii="Times New Roman" w:hAnsi="Times New Roman" w:cs="Times New Roman"/>
        </w:rPr>
      </w:pPr>
      <w:r w:rsidRPr="0083500A">
        <w:rPr>
          <w:rFonts w:ascii="Times New Roman" w:hAnsi="Times New Roman" w:cs="Times New Roman"/>
        </w:rPr>
        <w:t xml:space="preserve">‘(1) A court before which an action is brought in a matter which is the subject of an arbitration agreement shall, if a party so requests not later than when submitting his or her ﬁrst statement on the substance of the dispute, stay those proceedings and refer the parties to arbitration unless it ﬁnds that the agreement is null and void, inoperative or incapable of being performed. </w:t>
      </w:r>
    </w:p>
    <w:p w14:paraId="681ABB1B" w14:textId="77777777" w:rsidR="0083500A" w:rsidRPr="0083500A" w:rsidRDefault="0083500A" w:rsidP="0083500A">
      <w:pPr>
        <w:pStyle w:val="FootnoteText"/>
        <w:jc w:val="both"/>
        <w:rPr>
          <w:rFonts w:ascii="Times New Roman" w:hAnsi="Times New Roman" w:cs="Times New Roman"/>
        </w:rPr>
      </w:pPr>
      <w:r w:rsidRPr="0083500A">
        <w:rPr>
          <w:rFonts w:ascii="Times New Roman" w:hAnsi="Times New Roman" w:cs="Times New Roman"/>
        </w:rPr>
        <w:t>(2) Where an action referred to in paragraph (1) of this article has been brought, arbitral proceedings may nevertheless be commenced or continued, and an award may be made, while the issue is pending before the court.’</w:t>
      </w:r>
    </w:p>
    <w:p w14:paraId="054B8653" w14:textId="107F7883" w:rsidR="0083500A" w:rsidRDefault="0083500A">
      <w:pPr>
        <w:pStyle w:val="FootnoteText"/>
      </w:pPr>
    </w:p>
  </w:footnote>
  <w:footnote w:id="5">
    <w:p w14:paraId="42C85201" w14:textId="223269BC" w:rsidR="008D23AF" w:rsidRPr="00C13A23" w:rsidRDefault="008D23AF" w:rsidP="00300CFD">
      <w:pPr>
        <w:pStyle w:val="FootnoteText"/>
        <w:jc w:val="both"/>
        <w:rPr>
          <w:rFonts w:ascii="Times New Roman" w:hAnsi="Times New Roman" w:cs="Times New Roman"/>
          <w:bCs/>
          <w:iCs/>
        </w:rPr>
      </w:pPr>
      <w:r w:rsidRPr="00C13A23">
        <w:rPr>
          <w:rStyle w:val="FootnoteReference"/>
          <w:rFonts w:ascii="Times New Roman" w:hAnsi="Times New Roman" w:cs="Times New Roman"/>
        </w:rPr>
        <w:footnoteRef/>
      </w:r>
      <w:r w:rsidRPr="00C13A23">
        <w:rPr>
          <w:rFonts w:ascii="Times New Roman" w:hAnsi="Times New Roman" w:cs="Times New Roman"/>
        </w:rPr>
        <w:t xml:space="preserve"> </w:t>
      </w:r>
      <w:r w:rsidR="00300CFD" w:rsidRPr="00C13A23">
        <w:rPr>
          <w:rFonts w:ascii="Times New Roman" w:hAnsi="Times New Roman" w:cs="Times New Roman"/>
          <w:bCs/>
          <w:iCs/>
        </w:rPr>
        <w:t>In</w:t>
      </w:r>
      <w:r w:rsidR="00300CFD" w:rsidRPr="00C13A23">
        <w:rPr>
          <w:rFonts w:ascii="Times New Roman" w:hAnsi="Times New Roman" w:cs="Times New Roman"/>
          <w:bCs/>
          <w:i/>
          <w:iCs/>
        </w:rPr>
        <w:t xml:space="preserve"> KPMG Chartered Accountants (SA) v Securefin Limited and Anothe</w:t>
      </w:r>
      <w:r w:rsidR="00300CFD" w:rsidRPr="00C13A23">
        <w:rPr>
          <w:rFonts w:ascii="Times New Roman" w:hAnsi="Times New Roman" w:cs="Times New Roman"/>
          <w:bCs/>
        </w:rPr>
        <w:t>r (644/07) [2009] ZASCA 7; 2009 (4) SA 399 (SCA</w:t>
      </w:r>
      <w:r w:rsidR="00590CD7" w:rsidRPr="00C13A23">
        <w:rPr>
          <w:rFonts w:ascii="Times New Roman" w:hAnsi="Times New Roman" w:cs="Times New Roman"/>
          <w:bCs/>
        </w:rPr>
        <w:t>);</w:t>
      </w:r>
      <w:r w:rsidR="00300CFD" w:rsidRPr="00C13A23">
        <w:rPr>
          <w:rFonts w:ascii="Times New Roman" w:hAnsi="Times New Roman" w:cs="Times New Roman"/>
          <w:bCs/>
        </w:rPr>
        <w:t xml:space="preserve"> [2009] 2 All SA 523 (SCA); </w:t>
      </w:r>
      <w:r w:rsidR="00300CFD" w:rsidRPr="00C13A23">
        <w:rPr>
          <w:rFonts w:ascii="Times New Roman" w:hAnsi="Times New Roman" w:cs="Times New Roman"/>
          <w:bCs/>
          <w:i/>
          <w:iCs/>
          <w:lang w:val="en-US"/>
        </w:rPr>
        <w:t xml:space="preserve">Natal Joint Municipal Pension Fund v Endumeni Municipality </w:t>
      </w:r>
      <w:r w:rsidR="00300CFD" w:rsidRPr="00C13A23">
        <w:rPr>
          <w:rFonts w:ascii="Times New Roman" w:hAnsi="Times New Roman" w:cs="Times New Roman"/>
          <w:bCs/>
          <w:iCs/>
        </w:rPr>
        <w:t>ZASCA 13; [2012] 2 All SA 262 (SCA); 2012 (4) SA 593 (SCA).</w:t>
      </w:r>
    </w:p>
  </w:footnote>
  <w:footnote w:id="6">
    <w:p w14:paraId="3509B62D" w14:textId="76BA7D9C" w:rsidR="000B1939" w:rsidRPr="00C13A23" w:rsidRDefault="000B1939" w:rsidP="00300CFD">
      <w:pPr>
        <w:pStyle w:val="FootnoteText"/>
        <w:jc w:val="both"/>
        <w:rPr>
          <w:rFonts w:ascii="Times New Roman" w:hAnsi="Times New Roman" w:cs="Times New Roman"/>
          <w:lang w:val="en-US"/>
        </w:rPr>
      </w:pPr>
      <w:r w:rsidRPr="00C13A23">
        <w:rPr>
          <w:rStyle w:val="FootnoteReference"/>
          <w:rFonts w:ascii="Times New Roman" w:hAnsi="Times New Roman" w:cs="Times New Roman"/>
        </w:rPr>
        <w:footnoteRef/>
      </w:r>
      <w:r w:rsidRPr="00C13A23">
        <w:rPr>
          <w:rFonts w:ascii="Times New Roman" w:hAnsi="Times New Roman" w:cs="Times New Roman"/>
        </w:rPr>
        <w:t xml:space="preserve"> </w:t>
      </w:r>
      <w:r w:rsidR="00B307ED">
        <w:rPr>
          <w:rFonts w:ascii="Times New Roman" w:hAnsi="Times New Roman" w:cs="Times New Roman"/>
        </w:rPr>
        <w:t xml:space="preserve">2 </w:t>
      </w:r>
      <w:r w:rsidR="00590CD7">
        <w:rPr>
          <w:rFonts w:ascii="Times New Roman" w:hAnsi="Times New Roman" w:cs="Times New Roman"/>
          <w:lang w:val="en-US"/>
        </w:rPr>
        <w:t>Lawsa 3 ed</w:t>
      </w:r>
      <w:r w:rsidR="00532F1D">
        <w:rPr>
          <w:rFonts w:ascii="Times New Roman" w:hAnsi="Times New Roman" w:cs="Times New Roman"/>
          <w:lang w:val="en-US"/>
        </w:rPr>
        <w:t xml:space="preserve"> para</w:t>
      </w:r>
      <w:r w:rsidR="00590CD7">
        <w:rPr>
          <w:rFonts w:ascii="Times New Roman" w:hAnsi="Times New Roman" w:cs="Times New Roman"/>
          <w:lang w:val="en-US"/>
        </w:rPr>
        <w:t xml:space="preserve"> 90</w:t>
      </w:r>
      <w:r w:rsidR="006C7E5A" w:rsidRPr="00C13A23">
        <w:rPr>
          <w:rFonts w:ascii="Times New Roman" w:hAnsi="Times New Roman" w:cs="Times New Roman"/>
          <w:lang w:val="en-US"/>
        </w:rPr>
        <w:t>.</w:t>
      </w:r>
    </w:p>
  </w:footnote>
  <w:footnote w:id="7">
    <w:p w14:paraId="509EBB95" w14:textId="2247890E" w:rsidR="000B1939" w:rsidRPr="005B422B" w:rsidRDefault="000B1939" w:rsidP="000B4753">
      <w:pPr>
        <w:pStyle w:val="FootnoteText"/>
        <w:jc w:val="both"/>
        <w:rPr>
          <w:lang w:val="en-US"/>
        </w:rPr>
      </w:pPr>
      <w:r w:rsidRPr="00C13A23">
        <w:rPr>
          <w:rStyle w:val="FootnoteReference"/>
          <w:rFonts w:ascii="Times New Roman" w:hAnsi="Times New Roman" w:cs="Times New Roman"/>
        </w:rPr>
        <w:footnoteRef/>
      </w:r>
      <w:r w:rsidRPr="00C13A23">
        <w:rPr>
          <w:rFonts w:ascii="Times New Roman" w:hAnsi="Times New Roman" w:cs="Times New Roman"/>
        </w:rPr>
        <w:t xml:space="preserve"> </w:t>
      </w:r>
      <w:r w:rsidR="00B307ED">
        <w:rPr>
          <w:rFonts w:ascii="Times New Roman" w:hAnsi="Times New Roman" w:cs="Times New Roman"/>
        </w:rPr>
        <w:t xml:space="preserve">2 </w:t>
      </w:r>
      <w:r w:rsidR="00532F1D">
        <w:rPr>
          <w:rFonts w:ascii="Times New Roman" w:hAnsi="Times New Roman" w:cs="Times New Roman"/>
          <w:lang w:val="en-US"/>
        </w:rPr>
        <w:t>Lawsa</w:t>
      </w:r>
      <w:r w:rsidR="00B307ED">
        <w:rPr>
          <w:rFonts w:ascii="Times New Roman" w:hAnsi="Times New Roman" w:cs="Times New Roman"/>
          <w:lang w:val="en-US"/>
        </w:rPr>
        <w:t xml:space="preserve"> </w:t>
      </w:r>
      <w:r w:rsidR="00590CD7">
        <w:rPr>
          <w:rFonts w:ascii="Times New Roman" w:hAnsi="Times New Roman" w:cs="Times New Roman"/>
          <w:lang w:val="en-US"/>
        </w:rPr>
        <w:t xml:space="preserve">3 </w:t>
      </w:r>
      <w:r w:rsidR="00B307ED">
        <w:rPr>
          <w:rFonts w:ascii="Times New Roman" w:hAnsi="Times New Roman" w:cs="Times New Roman"/>
          <w:lang w:val="en-US"/>
        </w:rPr>
        <w:t>ed</w:t>
      </w:r>
      <w:r w:rsidR="00532F1D">
        <w:rPr>
          <w:rFonts w:ascii="Times New Roman" w:hAnsi="Times New Roman" w:cs="Times New Roman"/>
          <w:lang w:val="en-US"/>
        </w:rPr>
        <w:t xml:space="preserve"> para</w:t>
      </w:r>
      <w:r w:rsidR="00590CD7">
        <w:rPr>
          <w:rFonts w:ascii="Times New Roman" w:hAnsi="Times New Roman" w:cs="Times New Roman"/>
          <w:lang w:val="en-US"/>
        </w:rPr>
        <w:t xml:space="preserve"> 93</w:t>
      </w:r>
      <w:r w:rsidRPr="00C13A23">
        <w:rPr>
          <w:rFonts w:ascii="Times New Roman" w:hAnsi="Times New Roman" w:cs="Times New Roman"/>
          <w:lang w:val="en-US"/>
        </w:rPr>
        <w:t>. This position in this country is entrenched by the provisions of  s  the Arbitration Act 42 of 1965</w:t>
      </w:r>
      <w:r w:rsidR="00590CD7">
        <w:rPr>
          <w:rFonts w:ascii="Times New Roman" w:hAnsi="Times New Roman" w:cs="Times New Roman"/>
          <w:lang w:val="en-US"/>
        </w:rPr>
        <w:t>.</w:t>
      </w:r>
    </w:p>
  </w:footnote>
  <w:footnote w:id="8">
    <w:p w14:paraId="748F17CC" w14:textId="6B5B14B5" w:rsidR="000B1939" w:rsidRPr="006A5EAB" w:rsidRDefault="000B1939" w:rsidP="000B1939">
      <w:pPr>
        <w:pStyle w:val="FootnoteText"/>
        <w:jc w:val="both"/>
        <w:rPr>
          <w:rFonts w:ascii="Times New Roman" w:hAnsi="Times New Roman" w:cs="Times New Roman"/>
          <w:lang w:val="en-US"/>
        </w:rPr>
      </w:pPr>
      <w:r w:rsidRPr="006A5EAB">
        <w:rPr>
          <w:rStyle w:val="FootnoteReference"/>
          <w:rFonts w:ascii="Times New Roman" w:hAnsi="Times New Roman" w:cs="Times New Roman"/>
        </w:rPr>
        <w:footnoteRef/>
      </w:r>
      <w:r w:rsidRPr="006A5EAB">
        <w:rPr>
          <w:rFonts w:ascii="Times New Roman" w:hAnsi="Times New Roman" w:cs="Times New Roman"/>
        </w:rPr>
        <w:t xml:space="preserve"> </w:t>
      </w:r>
      <w:r w:rsidR="00AD7DD6">
        <w:rPr>
          <w:rFonts w:ascii="Times New Roman" w:hAnsi="Times New Roman" w:cs="Times New Roman"/>
        </w:rPr>
        <w:t xml:space="preserve">PAA </w:t>
      </w:r>
      <w:r w:rsidR="00AD7DD6">
        <w:rPr>
          <w:rFonts w:ascii="Times New Roman" w:hAnsi="Times New Roman" w:cs="Times New Roman"/>
          <w:lang w:val="en-US"/>
        </w:rPr>
        <w:t xml:space="preserve">Ramsden </w:t>
      </w:r>
      <w:r w:rsidRPr="00AD7DD6">
        <w:rPr>
          <w:rFonts w:ascii="Times New Roman" w:hAnsi="Times New Roman" w:cs="Times New Roman"/>
          <w:i/>
          <w:lang w:val="en-US"/>
        </w:rPr>
        <w:t>The Law of Arbitration – South African and International Arbitration</w:t>
      </w:r>
      <w:r w:rsidR="00E95030" w:rsidRPr="006A5EAB">
        <w:rPr>
          <w:rFonts w:ascii="Times New Roman" w:hAnsi="Times New Roman" w:cs="Times New Roman"/>
          <w:lang w:val="en-US"/>
        </w:rPr>
        <w:t xml:space="preserve"> 2nd</w:t>
      </w:r>
      <w:r w:rsidRPr="006A5EAB">
        <w:rPr>
          <w:rFonts w:ascii="Times New Roman" w:hAnsi="Times New Roman" w:cs="Times New Roman"/>
          <w:lang w:val="en-US"/>
        </w:rPr>
        <w:t xml:space="preserve"> ed</w:t>
      </w:r>
      <w:r w:rsidR="00AD7DB5">
        <w:rPr>
          <w:rFonts w:ascii="Times New Roman" w:hAnsi="Times New Roman" w:cs="Times New Roman"/>
          <w:lang w:val="en-US"/>
        </w:rPr>
        <w:t xml:space="preserve"> (2018)</w:t>
      </w:r>
      <w:r w:rsidRPr="006A5EAB">
        <w:rPr>
          <w:rFonts w:ascii="Times New Roman" w:hAnsi="Times New Roman" w:cs="Times New Roman"/>
          <w:lang w:val="en-US"/>
        </w:rPr>
        <w:t xml:space="preserve"> at 21</w:t>
      </w:r>
      <w:r w:rsidR="00E95030">
        <w:rPr>
          <w:rFonts w:ascii="Times New Roman" w:hAnsi="Times New Roman" w:cs="Times New Roman"/>
          <w:lang w:val="en-US"/>
        </w:rPr>
        <w:t>.</w:t>
      </w:r>
    </w:p>
  </w:footnote>
  <w:footnote w:id="9">
    <w:p w14:paraId="24682214" w14:textId="77777777" w:rsidR="00DA75F6" w:rsidRPr="003B1706" w:rsidRDefault="00DA75F6" w:rsidP="006B5BE1">
      <w:pPr>
        <w:pStyle w:val="FootnoteText"/>
        <w:jc w:val="both"/>
        <w:rPr>
          <w:rFonts w:ascii="Times New Roman" w:hAnsi="Times New Roman" w:cs="Times New Roman"/>
        </w:rPr>
      </w:pPr>
      <w:r w:rsidRPr="006B5BE1">
        <w:rPr>
          <w:rStyle w:val="FootnoteReference"/>
          <w:rFonts w:ascii="Times New Roman" w:hAnsi="Times New Roman" w:cs="Times New Roman"/>
        </w:rPr>
        <w:footnoteRef/>
      </w:r>
      <w:r w:rsidRPr="006B5BE1">
        <w:rPr>
          <w:rFonts w:ascii="Times New Roman" w:hAnsi="Times New Roman" w:cs="Times New Roman"/>
        </w:rPr>
        <w:t xml:space="preserve"> Article 20 states that: ‘(1) The parties are free to agree on the juridical seat of arbitration. Failing such agreement, the juridical seat of arbitration shall be determined by the arbitral tribunal having regard to the circumstances of the case, including the convenience of the parties.’</w:t>
      </w:r>
      <w:r w:rsidRPr="003B1706">
        <w:rPr>
          <w:rFonts w:ascii="Times New Roman" w:hAnsi="Times New Roman" w:cs="Times New Roman"/>
        </w:rPr>
        <w:t xml:space="preserve"> </w:t>
      </w:r>
    </w:p>
  </w:footnote>
  <w:footnote w:id="10">
    <w:p w14:paraId="7717C2B5" w14:textId="7A3CD8E7" w:rsidR="00540DBA" w:rsidRPr="00B65043" w:rsidRDefault="00540DBA">
      <w:pPr>
        <w:pStyle w:val="FootnoteText"/>
        <w:rPr>
          <w:rFonts w:ascii="Times New Roman" w:hAnsi="Times New Roman" w:cs="Times New Roman"/>
        </w:rPr>
      </w:pPr>
      <w:r w:rsidRPr="00B65043">
        <w:rPr>
          <w:rStyle w:val="FootnoteReference"/>
          <w:rFonts w:ascii="Times New Roman" w:hAnsi="Times New Roman" w:cs="Times New Roman"/>
        </w:rPr>
        <w:footnoteRef/>
      </w:r>
      <w:r w:rsidRPr="00B65043">
        <w:rPr>
          <w:rFonts w:ascii="Times New Roman" w:hAnsi="Times New Roman" w:cs="Times New Roman"/>
        </w:rPr>
        <w:t xml:space="preserve"> </w:t>
      </w:r>
      <w:r w:rsidR="00B65043" w:rsidRPr="00B65043">
        <w:rPr>
          <w:rFonts w:ascii="Times New Roman" w:hAnsi="Times New Roman" w:cs="Times New Roman"/>
          <w:i/>
        </w:rPr>
        <w:t xml:space="preserve">Polysius (Pty) Ltd v Transvaal Alloys (Pty) Ltd and Another; Transvaal Alloys (Pty) Ltd v Polysius (Pty) Ltd </w:t>
      </w:r>
      <w:r w:rsidR="00B65043" w:rsidRPr="00B65043">
        <w:rPr>
          <w:rFonts w:ascii="Times New Roman" w:hAnsi="Times New Roman" w:cs="Times New Roman"/>
        </w:rPr>
        <w:t>1983 (2) SA 630 (W) at 651G-H.</w:t>
      </w:r>
    </w:p>
  </w:footnote>
  <w:footnote w:id="11">
    <w:p w14:paraId="73DE7403" w14:textId="1F008C1E" w:rsidR="000E38CC" w:rsidRPr="0083500A" w:rsidRDefault="000E38CC" w:rsidP="0083500A">
      <w:pPr>
        <w:pStyle w:val="FootnoteText"/>
        <w:jc w:val="both"/>
        <w:rPr>
          <w:rFonts w:ascii="Times New Roman" w:hAnsi="Times New Roman" w:cs="Times New Roman"/>
        </w:rPr>
      </w:pPr>
      <w:r w:rsidRPr="0083500A">
        <w:rPr>
          <w:rStyle w:val="FootnoteReference"/>
          <w:rFonts w:ascii="Times New Roman" w:hAnsi="Times New Roman" w:cs="Times New Roman"/>
          <w:i/>
        </w:rPr>
        <w:footnoteRef/>
      </w:r>
      <w:r w:rsidRPr="0083500A">
        <w:rPr>
          <w:rFonts w:ascii="Times New Roman" w:hAnsi="Times New Roman" w:cs="Times New Roman"/>
          <w:i/>
        </w:rPr>
        <w:t xml:space="preserve"> </w:t>
      </w:r>
      <w:r w:rsidR="00553E9E" w:rsidRPr="0083500A">
        <w:rPr>
          <w:rFonts w:ascii="Times New Roman" w:hAnsi="Times New Roman" w:cs="Times New Roman"/>
          <w:bCs/>
          <w:i/>
        </w:rPr>
        <w:t xml:space="preserve">Orbitel Mobile Communications Limited v Novatel Communications (Far East) Limited </w:t>
      </w:r>
      <w:r w:rsidR="00553E9E" w:rsidRPr="0083500A">
        <w:rPr>
          <w:rFonts w:ascii="Times New Roman" w:hAnsi="Times New Roman" w:cs="Times New Roman"/>
          <w:bCs/>
        </w:rPr>
        <w:t>(case number: HCA9014/1995) High Court</w:t>
      </w:r>
      <w:r w:rsidR="00853879" w:rsidRPr="0083500A">
        <w:rPr>
          <w:rFonts w:ascii="Times New Roman" w:hAnsi="Times New Roman" w:cs="Times New Roman"/>
          <w:bCs/>
        </w:rPr>
        <w:t xml:space="preserve"> </w:t>
      </w:r>
      <w:r w:rsidR="0083500A" w:rsidRPr="0083500A">
        <w:rPr>
          <w:rFonts w:ascii="Times New Roman" w:hAnsi="Times New Roman" w:cs="Times New Roman"/>
          <w:bCs/>
        </w:rPr>
        <w:t>(Hong Kong) (16 February 1996).</w:t>
      </w:r>
    </w:p>
  </w:footnote>
  <w:footnote w:id="12">
    <w:p w14:paraId="3701B2AD" w14:textId="7A57A51D" w:rsidR="0083500A" w:rsidRDefault="0083500A" w:rsidP="0083500A">
      <w:pPr>
        <w:pStyle w:val="FootnoteText"/>
        <w:jc w:val="both"/>
      </w:pPr>
      <w:r w:rsidRPr="0083500A">
        <w:rPr>
          <w:rStyle w:val="FootnoteReference"/>
          <w:rFonts w:ascii="Times New Roman" w:hAnsi="Times New Roman" w:cs="Times New Roman"/>
        </w:rPr>
        <w:footnoteRef/>
      </w:r>
      <w:r w:rsidRPr="0083500A">
        <w:rPr>
          <w:rFonts w:ascii="Times New Roman" w:hAnsi="Times New Roman" w:cs="Times New Roman"/>
        </w:rPr>
        <w:t xml:space="preserve"> </w:t>
      </w:r>
      <w:r w:rsidR="00FF6F16" w:rsidRPr="00FF6F16">
        <w:rPr>
          <w:rFonts w:ascii="Times New Roman" w:hAnsi="Times New Roman" w:cs="Times New Roman"/>
          <w:bCs/>
          <w:i/>
        </w:rPr>
        <w:t>Marko Tel &amp; Hes Kablo Albania v ZTE Albania Sh pk Albania</w:t>
      </w:r>
      <w:r w:rsidR="00FF6F16" w:rsidRPr="00FF6F16">
        <w:rPr>
          <w:rFonts w:ascii="Times New Roman" w:hAnsi="Times New Roman" w:cs="Times New Roman"/>
          <w:bCs/>
        </w:rPr>
        <w:t xml:space="preserve"> </w:t>
      </w:r>
      <w:r w:rsidRPr="0083500A">
        <w:rPr>
          <w:rFonts w:ascii="Times New Roman" w:hAnsi="Times New Roman" w:cs="Times New Roman"/>
          <w:bCs/>
        </w:rPr>
        <w:t>Supreme Court 11243-01441-2013 (06 June 2013), CLOUT case 1459</w:t>
      </w:r>
      <w:r>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25172"/>
      <w:docPartObj>
        <w:docPartGallery w:val="Page Numbers (Top of Page)"/>
        <w:docPartUnique/>
      </w:docPartObj>
    </w:sdtPr>
    <w:sdtEndPr>
      <w:rPr>
        <w:noProof/>
      </w:rPr>
    </w:sdtEndPr>
    <w:sdtContent>
      <w:p w14:paraId="0FBA80AE" w14:textId="77777777" w:rsidR="000B1939" w:rsidRDefault="000B1939">
        <w:pPr>
          <w:pStyle w:val="Header"/>
          <w:jc w:val="right"/>
        </w:pPr>
        <w:r>
          <w:fldChar w:fldCharType="begin"/>
        </w:r>
        <w:r>
          <w:instrText xml:space="preserve"> PAGE   \* MERGEFORMAT </w:instrText>
        </w:r>
        <w:r>
          <w:fldChar w:fldCharType="separate"/>
        </w:r>
        <w:r w:rsidR="00DC7F67">
          <w:rPr>
            <w:noProof/>
          </w:rPr>
          <w:t>16</w:t>
        </w:r>
        <w:r>
          <w:rPr>
            <w:noProof/>
          </w:rPr>
          <w:fldChar w:fldCharType="end"/>
        </w:r>
      </w:p>
    </w:sdtContent>
  </w:sdt>
  <w:p w14:paraId="00E7500F" w14:textId="77777777" w:rsidR="000B1939" w:rsidRDefault="000B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8A8"/>
    <w:multiLevelType w:val="hybridMultilevel"/>
    <w:tmpl w:val="41361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3776A0"/>
    <w:multiLevelType w:val="hybridMultilevel"/>
    <w:tmpl w:val="465001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236F21"/>
    <w:multiLevelType w:val="hybridMultilevel"/>
    <w:tmpl w:val="17509C16"/>
    <w:lvl w:ilvl="0" w:tplc="F3A8FA9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9C24FC"/>
    <w:multiLevelType w:val="hybridMultilevel"/>
    <w:tmpl w:val="09520E5C"/>
    <w:lvl w:ilvl="0" w:tplc="F3A8FA9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117B82"/>
    <w:multiLevelType w:val="multilevel"/>
    <w:tmpl w:val="4DE8365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5">
    <w:nsid w:val="4FA81E7A"/>
    <w:multiLevelType w:val="hybridMultilevel"/>
    <w:tmpl w:val="26E68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1D4281"/>
    <w:multiLevelType w:val="hybridMultilevel"/>
    <w:tmpl w:val="132CC8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07D0"/>
    <w:rsid w:val="000023B4"/>
    <w:rsid w:val="00003955"/>
    <w:rsid w:val="00007E6A"/>
    <w:rsid w:val="00021FE1"/>
    <w:rsid w:val="00024FA8"/>
    <w:rsid w:val="00026770"/>
    <w:rsid w:val="0003013A"/>
    <w:rsid w:val="00033F0A"/>
    <w:rsid w:val="00034D17"/>
    <w:rsid w:val="00041CFE"/>
    <w:rsid w:val="00041F42"/>
    <w:rsid w:val="00044848"/>
    <w:rsid w:val="000450C6"/>
    <w:rsid w:val="000459F6"/>
    <w:rsid w:val="00045DB9"/>
    <w:rsid w:val="00046654"/>
    <w:rsid w:val="0005081C"/>
    <w:rsid w:val="000578A9"/>
    <w:rsid w:val="00071ED8"/>
    <w:rsid w:val="000810FD"/>
    <w:rsid w:val="000812B7"/>
    <w:rsid w:val="00093D9A"/>
    <w:rsid w:val="00095BA5"/>
    <w:rsid w:val="000A4A68"/>
    <w:rsid w:val="000A6D82"/>
    <w:rsid w:val="000B1939"/>
    <w:rsid w:val="000B4753"/>
    <w:rsid w:val="000B604D"/>
    <w:rsid w:val="000B6F5A"/>
    <w:rsid w:val="000C66D6"/>
    <w:rsid w:val="000D2EF5"/>
    <w:rsid w:val="000E309A"/>
    <w:rsid w:val="000E38CC"/>
    <w:rsid w:val="000F04B8"/>
    <w:rsid w:val="0010483B"/>
    <w:rsid w:val="0012029E"/>
    <w:rsid w:val="0012328A"/>
    <w:rsid w:val="00123FCA"/>
    <w:rsid w:val="0012520E"/>
    <w:rsid w:val="00130201"/>
    <w:rsid w:val="00133594"/>
    <w:rsid w:val="00137015"/>
    <w:rsid w:val="001418DC"/>
    <w:rsid w:val="00141F5F"/>
    <w:rsid w:val="00143057"/>
    <w:rsid w:val="0014619C"/>
    <w:rsid w:val="00147AF8"/>
    <w:rsid w:val="00153AF8"/>
    <w:rsid w:val="001737D6"/>
    <w:rsid w:val="00180FB5"/>
    <w:rsid w:val="001867AB"/>
    <w:rsid w:val="001A1328"/>
    <w:rsid w:val="001A5124"/>
    <w:rsid w:val="001A755B"/>
    <w:rsid w:val="001B6D85"/>
    <w:rsid w:val="001C03AC"/>
    <w:rsid w:val="001C3005"/>
    <w:rsid w:val="001D5983"/>
    <w:rsid w:val="001E3619"/>
    <w:rsid w:val="001E5B9E"/>
    <w:rsid w:val="001F61D0"/>
    <w:rsid w:val="00205628"/>
    <w:rsid w:val="00211BEC"/>
    <w:rsid w:val="00246745"/>
    <w:rsid w:val="0026500F"/>
    <w:rsid w:val="00274576"/>
    <w:rsid w:val="00285A6B"/>
    <w:rsid w:val="00291429"/>
    <w:rsid w:val="002B0554"/>
    <w:rsid w:val="002B05B7"/>
    <w:rsid w:val="002C10DA"/>
    <w:rsid w:val="002C3A87"/>
    <w:rsid w:val="002C6910"/>
    <w:rsid w:val="002D2BE8"/>
    <w:rsid w:val="002E395C"/>
    <w:rsid w:val="002E5B8F"/>
    <w:rsid w:val="002F0005"/>
    <w:rsid w:val="002F64B2"/>
    <w:rsid w:val="00300CFD"/>
    <w:rsid w:val="00306894"/>
    <w:rsid w:val="00330D3D"/>
    <w:rsid w:val="0033267A"/>
    <w:rsid w:val="00344D63"/>
    <w:rsid w:val="00357534"/>
    <w:rsid w:val="003660DD"/>
    <w:rsid w:val="00371EDE"/>
    <w:rsid w:val="00382518"/>
    <w:rsid w:val="00383CFC"/>
    <w:rsid w:val="00395A77"/>
    <w:rsid w:val="00396A4B"/>
    <w:rsid w:val="003A087A"/>
    <w:rsid w:val="003A1DD7"/>
    <w:rsid w:val="003A6A5F"/>
    <w:rsid w:val="003B1706"/>
    <w:rsid w:val="003C0C5C"/>
    <w:rsid w:val="003C1964"/>
    <w:rsid w:val="004371B4"/>
    <w:rsid w:val="004420CC"/>
    <w:rsid w:val="004550CA"/>
    <w:rsid w:val="0046467F"/>
    <w:rsid w:val="00471A55"/>
    <w:rsid w:val="00473FC3"/>
    <w:rsid w:val="00483EB1"/>
    <w:rsid w:val="00485D00"/>
    <w:rsid w:val="0049302A"/>
    <w:rsid w:val="00497470"/>
    <w:rsid w:val="004A1F12"/>
    <w:rsid w:val="004A3D89"/>
    <w:rsid w:val="004C2840"/>
    <w:rsid w:val="004C7893"/>
    <w:rsid w:val="004F3A60"/>
    <w:rsid w:val="00504330"/>
    <w:rsid w:val="00504364"/>
    <w:rsid w:val="005150D1"/>
    <w:rsid w:val="0051769B"/>
    <w:rsid w:val="00521FB8"/>
    <w:rsid w:val="00525693"/>
    <w:rsid w:val="0052618A"/>
    <w:rsid w:val="00530738"/>
    <w:rsid w:val="00532F1D"/>
    <w:rsid w:val="00535ED7"/>
    <w:rsid w:val="00540DBA"/>
    <w:rsid w:val="005461AB"/>
    <w:rsid w:val="00553E9E"/>
    <w:rsid w:val="00557733"/>
    <w:rsid w:val="00561C6F"/>
    <w:rsid w:val="00577D7E"/>
    <w:rsid w:val="0058225F"/>
    <w:rsid w:val="00590CD7"/>
    <w:rsid w:val="005955FB"/>
    <w:rsid w:val="005B422B"/>
    <w:rsid w:val="005C0B67"/>
    <w:rsid w:val="005C1002"/>
    <w:rsid w:val="005C43E6"/>
    <w:rsid w:val="005C60EC"/>
    <w:rsid w:val="005E4144"/>
    <w:rsid w:val="005F027E"/>
    <w:rsid w:val="006001AF"/>
    <w:rsid w:val="006257C9"/>
    <w:rsid w:val="0062729F"/>
    <w:rsid w:val="0064053B"/>
    <w:rsid w:val="0064240C"/>
    <w:rsid w:val="00651D25"/>
    <w:rsid w:val="006574B0"/>
    <w:rsid w:val="00666408"/>
    <w:rsid w:val="006753C0"/>
    <w:rsid w:val="006765A7"/>
    <w:rsid w:val="006810E1"/>
    <w:rsid w:val="00686E15"/>
    <w:rsid w:val="006963C6"/>
    <w:rsid w:val="00696BC3"/>
    <w:rsid w:val="006977E1"/>
    <w:rsid w:val="006A5EAB"/>
    <w:rsid w:val="006A7098"/>
    <w:rsid w:val="006B2EA6"/>
    <w:rsid w:val="006B543B"/>
    <w:rsid w:val="006B5885"/>
    <w:rsid w:val="006B5BE1"/>
    <w:rsid w:val="006C7E5A"/>
    <w:rsid w:val="006D3844"/>
    <w:rsid w:val="006D6FFD"/>
    <w:rsid w:val="006E080E"/>
    <w:rsid w:val="006E301F"/>
    <w:rsid w:val="006E73BC"/>
    <w:rsid w:val="006F7506"/>
    <w:rsid w:val="00702208"/>
    <w:rsid w:val="00716D47"/>
    <w:rsid w:val="00717904"/>
    <w:rsid w:val="00717F6D"/>
    <w:rsid w:val="00727A5A"/>
    <w:rsid w:val="00743661"/>
    <w:rsid w:val="00747140"/>
    <w:rsid w:val="00772090"/>
    <w:rsid w:val="00772E97"/>
    <w:rsid w:val="00774131"/>
    <w:rsid w:val="007775F1"/>
    <w:rsid w:val="00781738"/>
    <w:rsid w:val="00794EB4"/>
    <w:rsid w:val="00795876"/>
    <w:rsid w:val="007A7D39"/>
    <w:rsid w:val="007B23A1"/>
    <w:rsid w:val="007B74DA"/>
    <w:rsid w:val="007C0B23"/>
    <w:rsid w:val="007C2336"/>
    <w:rsid w:val="007E5E05"/>
    <w:rsid w:val="007F3203"/>
    <w:rsid w:val="007F398D"/>
    <w:rsid w:val="007F504A"/>
    <w:rsid w:val="0083500A"/>
    <w:rsid w:val="00836BCD"/>
    <w:rsid w:val="00853714"/>
    <w:rsid w:val="00853879"/>
    <w:rsid w:val="00855684"/>
    <w:rsid w:val="008763E0"/>
    <w:rsid w:val="00885AAC"/>
    <w:rsid w:val="008863FA"/>
    <w:rsid w:val="00886DC6"/>
    <w:rsid w:val="008A277C"/>
    <w:rsid w:val="008A38F6"/>
    <w:rsid w:val="008A7976"/>
    <w:rsid w:val="008B0C55"/>
    <w:rsid w:val="008C6034"/>
    <w:rsid w:val="008D0E47"/>
    <w:rsid w:val="008D23AF"/>
    <w:rsid w:val="008E181A"/>
    <w:rsid w:val="008F5E84"/>
    <w:rsid w:val="008F6582"/>
    <w:rsid w:val="008F7B75"/>
    <w:rsid w:val="0090311B"/>
    <w:rsid w:val="00904750"/>
    <w:rsid w:val="009057E5"/>
    <w:rsid w:val="00905BCD"/>
    <w:rsid w:val="0091144A"/>
    <w:rsid w:val="0091189D"/>
    <w:rsid w:val="009149D8"/>
    <w:rsid w:val="00925994"/>
    <w:rsid w:val="0093397A"/>
    <w:rsid w:val="00936862"/>
    <w:rsid w:val="00945C03"/>
    <w:rsid w:val="00953073"/>
    <w:rsid w:val="00954D76"/>
    <w:rsid w:val="00982D58"/>
    <w:rsid w:val="0098380A"/>
    <w:rsid w:val="00985C15"/>
    <w:rsid w:val="009A29DB"/>
    <w:rsid w:val="009A542A"/>
    <w:rsid w:val="009C0ECE"/>
    <w:rsid w:val="009D5825"/>
    <w:rsid w:val="009E43F4"/>
    <w:rsid w:val="00A0079A"/>
    <w:rsid w:val="00A146E5"/>
    <w:rsid w:val="00A17369"/>
    <w:rsid w:val="00A3180D"/>
    <w:rsid w:val="00A4532B"/>
    <w:rsid w:val="00A653AE"/>
    <w:rsid w:val="00A665C1"/>
    <w:rsid w:val="00A669ED"/>
    <w:rsid w:val="00A7280D"/>
    <w:rsid w:val="00A74E8C"/>
    <w:rsid w:val="00A849F5"/>
    <w:rsid w:val="00A87572"/>
    <w:rsid w:val="00AA2D6B"/>
    <w:rsid w:val="00AB2085"/>
    <w:rsid w:val="00AB6A43"/>
    <w:rsid w:val="00AC2121"/>
    <w:rsid w:val="00AC34BA"/>
    <w:rsid w:val="00AC5BCB"/>
    <w:rsid w:val="00AD3668"/>
    <w:rsid w:val="00AD4179"/>
    <w:rsid w:val="00AD507B"/>
    <w:rsid w:val="00AD7DB5"/>
    <w:rsid w:val="00AD7DD6"/>
    <w:rsid w:val="00AE1009"/>
    <w:rsid w:val="00AE6603"/>
    <w:rsid w:val="00AF3B09"/>
    <w:rsid w:val="00AF62B9"/>
    <w:rsid w:val="00B002A6"/>
    <w:rsid w:val="00B068B8"/>
    <w:rsid w:val="00B10597"/>
    <w:rsid w:val="00B27701"/>
    <w:rsid w:val="00B30054"/>
    <w:rsid w:val="00B307ED"/>
    <w:rsid w:val="00B35EDB"/>
    <w:rsid w:val="00B37A69"/>
    <w:rsid w:val="00B4660C"/>
    <w:rsid w:val="00B65043"/>
    <w:rsid w:val="00B91140"/>
    <w:rsid w:val="00B971BA"/>
    <w:rsid w:val="00BA1EC4"/>
    <w:rsid w:val="00BA3BAA"/>
    <w:rsid w:val="00BB04AE"/>
    <w:rsid w:val="00BB3314"/>
    <w:rsid w:val="00BB3B0B"/>
    <w:rsid w:val="00BB3D65"/>
    <w:rsid w:val="00BD2901"/>
    <w:rsid w:val="00BD31D0"/>
    <w:rsid w:val="00BE086D"/>
    <w:rsid w:val="00BE1ECA"/>
    <w:rsid w:val="00BE6E1F"/>
    <w:rsid w:val="00BE73B6"/>
    <w:rsid w:val="00BF1DBA"/>
    <w:rsid w:val="00C01473"/>
    <w:rsid w:val="00C04831"/>
    <w:rsid w:val="00C05AB7"/>
    <w:rsid w:val="00C0605E"/>
    <w:rsid w:val="00C13A23"/>
    <w:rsid w:val="00C14B02"/>
    <w:rsid w:val="00C15107"/>
    <w:rsid w:val="00C2547E"/>
    <w:rsid w:val="00C3249E"/>
    <w:rsid w:val="00C34071"/>
    <w:rsid w:val="00C5476C"/>
    <w:rsid w:val="00C74803"/>
    <w:rsid w:val="00C7682C"/>
    <w:rsid w:val="00C91648"/>
    <w:rsid w:val="00CB6296"/>
    <w:rsid w:val="00CC10EA"/>
    <w:rsid w:val="00CC4796"/>
    <w:rsid w:val="00CD2EB5"/>
    <w:rsid w:val="00CD3CDE"/>
    <w:rsid w:val="00CE4730"/>
    <w:rsid w:val="00CE4874"/>
    <w:rsid w:val="00CE5486"/>
    <w:rsid w:val="00CF1CF7"/>
    <w:rsid w:val="00CF42C8"/>
    <w:rsid w:val="00D059B7"/>
    <w:rsid w:val="00D11C04"/>
    <w:rsid w:val="00D12752"/>
    <w:rsid w:val="00D26F95"/>
    <w:rsid w:val="00D52E82"/>
    <w:rsid w:val="00D56770"/>
    <w:rsid w:val="00D71520"/>
    <w:rsid w:val="00D774CE"/>
    <w:rsid w:val="00D90614"/>
    <w:rsid w:val="00DA44A5"/>
    <w:rsid w:val="00DA688C"/>
    <w:rsid w:val="00DA75F6"/>
    <w:rsid w:val="00DA7FC1"/>
    <w:rsid w:val="00DB020F"/>
    <w:rsid w:val="00DB13F5"/>
    <w:rsid w:val="00DB4D07"/>
    <w:rsid w:val="00DC7F67"/>
    <w:rsid w:val="00DD18D0"/>
    <w:rsid w:val="00DE1E2E"/>
    <w:rsid w:val="00DE2163"/>
    <w:rsid w:val="00E06931"/>
    <w:rsid w:val="00E140A1"/>
    <w:rsid w:val="00E22E4B"/>
    <w:rsid w:val="00E256CC"/>
    <w:rsid w:val="00E36D46"/>
    <w:rsid w:val="00E43F4E"/>
    <w:rsid w:val="00E65036"/>
    <w:rsid w:val="00E77F33"/>
    <w:rsid w:val="00E824C1"/>
    <w:rsid w:val="00E95030"/>
    <w:rsid w:val="00EA10AB"/>
    <w:rsid w:val="00EB3550"/>
    <w:rsid w:val="00EF1A7D"/>
    <w:rsid w:val="00F050F9"/>
    <w:rsid w:val="00F11767"/>
    <w:rsid w:val="00F13A67"/>
    <w:rsid w:val="00F25F7F"/>
    <w:rsid w:val="00F577B1"/>
    <w:rsid w:val="00F62084"/>
    <w:rsid w:val="00F66C41"/>
    <w:rsid w:val="00F67EB7"/>
    <w:rsid w:val="00F67EE8"/>
    <w:rsid w:val="00F70C9A"/>
    <w:rsid w:val="00F72CDB"/>
    <w:rsid w:val="00F74317"/>
    <w:rsid w:val="00F82CF9"/>
    <w:rsid w:val="00F845C3"/>
    <w:rsid w:val="00F9256F"/>
    <w:rsid w:val="00F962EF"/>
    <w:rsid w:val="00F96BD5"/>
    <w:rsid w:val="00FB4818"/>
    <w:rsid w:val="00FB4E46"/>
    <w:rsid w:val="00FC00C7"/>
    <w:rsid w:val="00FD15D7"/>
    <w:rsid w:val="00FD1E28"/>
    <w:rsid w:val="00FD53E6"/>
    <w:rsid w:val="00FF0A7C"/>
    <w:rsid w:val="00FF4F3B"/>
    <w:rsid w:val="00FF6F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58E2"/>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paragraph" w:styleId="Heading1">
    <w:name w:val="heading 1"/>
    <w:basedOn w:val="Normal"/>
    <w:next w:val="Normal"/>
    <w:link w:val="Heading1Char"/>
    <w:uiPriority w:val="9"/>
    <w:qFormat/>
    <w:rsid w:val="00246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0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unhideWhenUsed/>
    <w:rsid w:val="00026770"/>
    <w:pPr>
      <w:spacing w:after="0" w:line="240" w:lineRule="auto"/>
    </w:pPr>
    <w:rPr>
      <w:sz w:val="20"/>
      <w:szCs w:val="20"/>
    </w:rPr>
  </w:style>
  <w:style w:type="character" w:customStyle="1" w:styleId="FootnoteTextChar">
    <w:name w:val="Footnote Text Char"/>
    <w:basedOn w:val="DefaultParagraphFont"/>
    <w:link w:val="FootnoteText"/>
    <w:uiPriority w:val="99"/>
    <w:rsid w:val="00026770"/>
    <w:rPr>
      <w:sz w:val="20"/>
      <w:szCs w:val="20"/>
    </w:rPr>
  </w:style>
  <w:style w:type="character" w:styleId="FootnoteReference">
    <w:name w:val="footnote reference"/>
    <w:basedOn w:val="DefaultParagraphFont"/>
    <w:uiPriority w:val="99"/>
    <w:semiHidden/>
    <w:unhideWhenUsed/>
    <w:rsid w:val="00026770"/>
    <w:rPr>
      <w:vertAlign w:val="superscript"/>
    </w:rPr>
  </w:style>
  <w:style w:type="paragraph" w:styleId="BalloonText">
    <w:name w:val="Balloon Text"/>
    <w:basedOn w:val="Normal"/>
    <w:link w:val="BalloonTextChar"/>
    <w:uiPriority w:val="99"/>
    <w:semiHidden/>
    <w:unhideWhenUsed/>
    <w:rsid w:val="0002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A8"/>
    <w:rPr>
      <w:rFonts w:ascii="Segoe UI" w:hAnsi="Segoe UI" w:cs="Segoe UI"/>
      <w:sz w:val="18"/>
      <w:szCs w:val="18"/>
    </w:rPr>
  </w:style>
  <w:style w:type="character" w:styleId="CommentReference">
    <w:name w:val="annotation reference"/>
    <w:basedOn w:val="DefaultParagraphFont"/>
    <w:uiPriority w:val="99"/>
    <w:semiHidden/>
    <w:unhideWhenUsed/>
    <w:rsid w:val="007F398D"/>
    <w:rPr>
      <w:sz w:val="16"/>
      <w:szCs w:val="16"/>
    </w:rPr>
  </w:style>
  <w:style w:type="paragraph" w:styleId="CommentText">
    <w:name w:val="annotation text"/>
    <w:basedOn w:val="Normal"/>
    <w:link w:val="CommentTextChar"/>
    <w:uiPriority w:val="99"/>
    <w:semiHidden/>
    <w:unhideWhenUsed/>
    <w:rsid w:val="007F398D"/>
    <w:pPr>
      <w:spacing w:line="240" w:lineRule="auto"/>
    </w:pPr>
    <w:rPr>
      <w:sz w:val="20"/>
      <w:szCs w:val="20"/>
    </w:rPr>
  </w:style>
  <w:style w:type="character" w:customStyle="1" w:styleId="CommentTextChar">
    <w:name w:val="Comment Text Char"/>
    <w:basedOn w:val="DefaultParagraphFont"/>
    <w:link w:val="CommentText"/>
    <w:uiPriority w:val="99"/>
    <w:semiHidden/>
    <w:rsid w:val="007F398D"/>
    <w:rPr>
      <w:sz w:val="20"/>
      <w:szCs w:val="20"/>
    </w:rPr>
  </w:style>
  <w:style w:type="paragraph" w:styleId="CommentSubject">
    <w:name w:val="annotation subject"/>
    <w:basedOn w:val="CommentText"/>
    <w:next w:val="CommentText"/>
    <w:link w:val="CommentSubjectChar"/>
    <w:uiPriority w:val="99"/>
    <w:semiHidden/>
    <w:unhideWhenUsed/>
    <w:rsid w:val="007F398D"/>
    <w:rPr>
      <w:b/>
      <w:bCs/>
    </w:rPr>
  </w:style>
  <w:style w:type="character" w:customStyle="1" w:styleId="CommentSubjectChar">
    <w:name w:val="Comment Subject Char"/>
    <w:basedOn w:val="CommentTextChar"/>
    <w:link w:val="CommentSubject"/>
    <w:uiPriority w:val="99"/>
    <w:semiHidden/>
    <w:rsid w:val="007F398D"/>
    <w:rPr>
      <w:b/>
      <w:bCs/>
      <w:sz w:val="20"/>
      <w:szCs w:val="20"/>
    </w:rPr>
  </w:style>
  <w:style w:type="character" w:customStyle="1" w:styleId="Heading2Char">
    <w:name w:val="Heading 2 Char"/>
    <w:basedOn w:val="DefaultParagraphFont"/>
    <w:link w:val="Heading2"/>
    <w:uiPriority w:val="9"/>
    <w:semiHidden/>
    <w:rsid w:val="00300C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467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35646">
      <w:bodyDiv w:val="1"/>
      <w:marLeft w:val="0"/>
      <w:marRight w:val="0"/>
      <w:marTop w:val="0"/>
      <w:marBottom w:val="0"/>
      <w:divBdr>
        <w:top w:val="none" w:sz="0" w:space="0" w:color="auto"/>
        <w:left w:val="none" w:sz="0" w:space="0" w:color="auto"/>
        <w:bottom w:val="none" w:sz="0" w:space="0" w:color="auto"/>
        <w:right w:val="none" w:sz="0" w:space="0" w:color="auto"/>
      </w:divBdr>
    </w:div>
    <w:div w:id="1541821065">
      <w:bodyDiv w:val="1"/>
      <w:marLeft w:val="0"/>
      <w:marRight w:val="0"/>
      <w:marTop w:val="0"/>
      <w:marBottom w:val="0"/>
      <w:divBdr>
        <w:top w:val="none" w:sz="0" w:space="0" w:color="auto"/>
        <w:left w:val="none" w:sz="0" w:space="0" w:color="auto"/>
        <w:bottom w:val="none" w:sz="0" w:space="0" w:color="auto"/>
        <w:right w:val="none" w:sz="0" w:space="0" w:color="auto"/>
      </w:divBdr>
    </w:div>
    <w:div w:id="20821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A5EC-0441-487F-8C98-2F52EFCD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Sibongiseni Nomongo</cp:lastModifiedBy>
  <cp:revision>2</cp:revision>
  <cp:lastPrinted>2022-05-13T12:37:00Z</cp:lastPrinted>
  <dcterms:created xsi:type="dcterms:W3CDTF">2022-05-16T14:50:00Z</dcterms:created>
  <dcterms:modified xsi:type="dcterms:W3CDTF">2022-05-16T14:50:00Z</dcterms:modified>
</cp:coreProperties>
</file>