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EE9C7" w14:textId="77777777" w:rsidR="008B223B" w:rsidRDefault="00322A94">
      <w:pPr>
        <w:rPr>
          <w:b/>
          <w:bCs/>
        </w:rPr>
      </w:pPr>
      <w:r>
        <w:tab/>
      </w:r>
      <w:r>
        <w:tab/>
      </w:r>
      <w:r>
        <w:tab/>
      </w:r>
    </w:p>
    <w:p w14:paraId="3D5B5075" w14:textId="77777777" w:rsidR="008B223B" w:rsidRDefault="008B223B">
      <w:pPr>
        <w:jc w:val="center"/>
        <w:rPr>
          <w:b/>
          <w:bCs/>
          <w:sz w:val="28"/>
          <w:szCs w:val="28"/>
        </w:rPr>
      </w:pPr>
    </w:p>
    <w:p w14:paraId="732A782F" w14:textId="77777777" w:rsidR="008B223B" w:rsidRDefault="008B223B">
      <w:pPr>
        <w:jc w:val="center"/>
        <w:rPr>
          <w:b/>
          <w:bCs/>
          <w:sz w:val="28"/>
          <w:szCs w:val="28"/>
        </w:rPr>
      </w:pPr>
    </w:p>
    <w:p w14:paraId="3F51A18E" w14:textId="77777777" w:rsidR="008B223B" w:rsidRPr="00D73D6A" w:rsidRDefault="00322A94">
      <w:pPr>
        <w:jc w:val="center"/>
        <w:rPr>
          <w:b/>
          <w:bCs/>
          <w:sz w:val="28"/>
          <w:szCs w:val="28"/>
        </w:rPr>
      </w:pPr>
      <w:r w:rsidRPr="00D73D6A">
        <w:rPr>
          <w:noProof/>
          <w:lang w:val="en-ZA" w:eastAsia="en-ZA"/>
        </w:rPr>
        <w:drawing>
          <wp:anchor distT="0" distB="0" distL="114300" distR="114300" simplePos="0" relativeHeight="251659264" behindDoc="0" locked="0" layoutInCell="1" allowOverlap="1" wp14:anchorId="490E7A2E" wp14:editId="4B720190">
            <wp:simplePos x="0" y="0"/>
            <wp:positionH relativeFrom="column">
              <wp:align>center</wp:align>
            </wp:positionH>
            <wp:positionV relativeFrom="paragraph">
              <wp:posOffset>-683895</wp:posOffset>
            </wp:positionV>
            <wp:extent cx="800100" cy="914400"/>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1" name="Picture 7"/>
                    <pic:cNvPicPr/>
                  </pic:nvPicPr>
                  <pic:blipFill>
                    <a:blip r:embed="rId9"/>
                    <a:stretch>
                      <a:fillRect/>
                    </a:stretch>
                  </pic:blipFill>
                  <pic:spPr>
                    <a:xfrm>
                      <a:off x="0" y="0"/>
                      <a:ext cx="800100" cy="914400"/>
                    </a:xfrm>
                    <a:prstGeom prst="rect">
                      <a:avLst/>
                    </a:prstGeom>
                    <a:noFill/>
                    <a:ln>
                      <a:noFill/>
                    </a:ln>
                  </pic:spPr>
                </pic:pic>
              </a:graphicData>
            </a:graphic>
          </wp:anchor>
        </w:drawing>
      </w:r>
    </w:p>
    <w:p w14:paraId="39AF8F71" w14:textId="77777777" w:rsidR="008B223B" w:rsidRPr="00D73D6A" w:rsidRDefault="008B223B">
      <w:pPr>
        <w:spacing w:line="360" w:lineRule="auto"/>
        <w:jc w:val="center"/>
        <w:rPr>
          <w:b/>
          <w:bCs/>
          <w:sz w:val="28"/>
          <w:szCs w:val="28"/>
        </w:rPr>
      </w:pPr>
    </w:p>
    <w:p w14:paraId="1F1EA723" w14:textId="77777777" w:rsidR="008B223B" w:rsidRPr="00D73D6A" w:rsidRDefault="00322A94">
      <w:pPr>
        <w:spacing w:line="360" w:lineRule="auto"/>
        <w:jc w:val="center"/>
        <w:rPr>
          <w:b/>
          <w:bCs/>
          <w:sz w:val="28"/>
          <w:szCs w:val="28"/>
        </w:rPr>
      </w:pPr>
      <w:r w:rsidRPr="00D73D6A">
        <w:rPr>
          <w:b/>
          <w:bCs/>
          <w:sz w:val="28"/>
          <w:szCs w:val="28"/>
        </w:rPr>
        <w:t>THE SUPREME COURT OF APPEAL OF SOUTH AFRICA</w:t>
      </w:r>
    </w:p>
    <w:p w14:paraId="75FEAF52" w14:textId="77777777" w:rsidR="008B223B" w:rsidRPr="00D73D6A" w:rsidRDefault="00322A94">
      <w:pPr>
        <w:pStyle w:val="Heading3"/>
        <w:jc w:val="center"/>
        <w:rPr>
          <w:rFonts w:ascii="Times New Roman" w:hAnsi="Times New Roman" w:cs="Times New Roman"/>
          <w:b/>
          <w:i w:val="0"/>
          <w:szCs w:val="28"/>
        </w:rPr>
      </w:pPr>
      <w:r w:rsidRPr="00D73D6A">
        <w:rPr>
          <w:rFonts w:ascii="Times New Roman" w:hAnsi="Times New Roman" w:cs="Times New Roman"/>
          <w:b/>
          <w:i w:val="0"/>
          <w:szCs w:val="28"/>
        </w:rPr>
        <w:t>JUDGMENT</w:t>
      </w:r>
    </w:p>
    <w:p w14:paraId="4698D32D" w14:textId="77777777" w:rsidR="008B223B" w:rsidRPr="00D73D6A" w:rsidRDefault="00322A94">
      <w:pPr>
        <w:spacing w:line="360" w:lineRule="auto"/>
        <w:jc w:val="center"/>
        <w:rPr>
          <w:b/>
          <w:bCs/>
          <w:sz w:val="28"/>
          <w:szCs w:val="28"/>
        </w:rPr>
      </w:pPr>
      <w:r w:rsidRPr="00D73D6A">
        <w:rPr>
          <w:sz w:val="28"/>
          <w:szCs w:val="28"/>
        </w:rPr>
        <w:tab/>
      </w:r>
    </w:p>
    <w:p w14:paraId="6FEA3EE2" w14:textId="79B468B0" w:rsidR="008B223B" w:rsidRPr="00D73D6A" w:rsidRDefault="00322A94">
      <w:pPr>
        <w:spacing w:line="360" w:lineRule="auto"/>
        <w:jc w:val="right"/>
        <w:rPr>
          <w:b/>
          <w:sz w:val="28"/>
          <w:szCs w:val="28"/>
        </w:rPr>
      </w:pPr>
      <w:r w:rsidRPr="00D73D6A">
        <w:rPr>
          <w:b/>
          <w:sz w:val="28"/>
          <w:szCs w:val="28"/>
        </w:rPr>
        <w:t>Reportable</w:t>
      </w:r>
    </w:p>
    <w:p w14:paraId="087B66A1" w14:textId="0844A377" w:rsidR="008B223B" w:rsidRPr="00D73D6A" w:rsidRDefault="00322A94">
      <w:pPr>
        <w:spacing w:line="360" w:lineRule="auto"/>
        <w:jc w:val="right"/>
        <w:rPr>
          <w:sz w:val="28"/>
          <w:szCs w:val="28"/>
          <w:lang w:val="en-ZA"/>
        </w:rPr>
      </w:pPr>
      <w:r w:rsidRPr="00D73D6A">
        <w:rPr>
          <w:sz w:val="28"/>
          <w:szCs w:val="28"/>
        </w:rPr>
        <w:t xml:space="preserve">Case no: </w:t>
      </w:r>
      <w:r w:rsidR="00D279E1" w:rsidRPr="00D73D6A">
        <w:rPr>
          <w:sz w:val="28"/>
          <w:szCs w:val="28"/>
          <w:lang w:val="en-ZA"/>
        </w:rPr>
        <w:t>164/2021</w:t>
      </w:r>
    </w:p>
    <w:p w14:paraId="011CF227" w14:textId="77777777" w:rsidR="008B223B" w:rsidRPr="00D73D6A" w:rsidRDefault="00322A94">
      <w:pPr>
        <w:spacing w:after="120" w:line="360" w:lineRule="auto"/>
        <w:rPr>
          <w:sz w:val="28"/>
          <w:szCs w:val="28"/>
        </w:rPr>
      </w:pPr>
      <w:r w:rsidRPr="00D73D6A">
        <w:rPr>
          <w:sz w:val="28"/>
          <w:szCs w:val="28"/>
        </w:rPr>
        <w:t>In the matter between:</w:t>
      </w:r>
    </w:p>
    <w:p w14:paraId="073F54B1" w14:textId="3DA8C47D" w:rsidR="008B223B" w:rsidRPr="00D73D6A" w:rsidRDefault="00D279E1">
      <w:pPr>
        <w:spacing w:after="120" w:line="360" w:lineRule="auto"/>
        <w:rPr>
          <w:b/>
          <w:bCs/>
          <w:sz w:val="28"/>
          <w:szCs w:val="28"/>
        </w:rPr>
      </w:pPr>
      <w:r w:rsidRPr="00D73D6A">
        <w:rPr>
          <w:b/>
          <w:bCs/>
          <w:sz w:val="28"/>
          <w:szCs w:val="28"/>
          <w:lang w:val="en-ZA"/>
        </w:rPr>
        <w:t>NEDBANK LIMITED</w:t>
      </w:r>
      <w:r w:rsidRPr="00D73D6A">
        <w:rPr>
          <w:b/>
          <w:bCs/>
          <w:sz w:val="28"/>
          <w:szCs w:val="28"/>
          <w:lang w:val="en-ZA"/>
        </w:rPr>
        <w:tab/>
      </w:r>
      <w:r w:rsidRPr="00D73D6A">
        <w:rPr>
          <w:b/>
          <w:bCs/>
          <w:sz w:val="28"/>
          <w:szCs w:val="28"/>
          <w:lang w:val="en-ZA"/>
        </w:rPr>
        <w:tab/>
      </w:r>
      <w:r w:rsidR="00E61EEC" w:rsidRPr="00D73D6A">
        <w:rPr>
          <w:b/>
          <w:bCs/>
          <w:sz w:val="28"/>
          <w:szCs w:val="28"/>
          <w:lang w:val="en-ZA"/>
        </w:rPr>
        <w:tab/>
      </w:r>
      <w:r w:rsidR="00E61EEC" w:rsidRPr="00D73D6A">
        <w:rPr>
          <w:b/>
          <w:bCs/>
          <w:sz w:val="28"/>
          <w:szCs w:val="28"/>
          <w:lang w:val="en-ZA"/>
        </w:rPr>
        <w:tab/>
      </w:r>
      <w:r w:rsidR="00E61EEC" w:rsidRPr="00D73D6A">
        <w:rPr>
          <w:b/>
          <w:bCs/>
          <w:sz w:val="28"/>
          <w:szCs w:val="28"/>
          <w:lang w:val="en-ZA"/>
        </w:rPr>
        <w:tab/>
      </w:r>
      <w:r w:rsidR="00E61EEC" w:rsidRPr="00D73D6A">
        <w:rPr>
          <w:b/>
          <w:bCs/>
          <w:sz w:val="28"/>
          <w:szCs w:val="28"/>
          <w:lang w:val="en-ZA"/>
        </w:rPr>
        <w:tab/>
        <w:t xml:space="preserve">         </w:t>
      </w:r>
      <w:r w:rsidR="00322A94" w:rsidRPr="00D73D6A">
        <w:rPr>
          <w:b/>
          <w:bCs/>
          <w:sz w:val="28"/>
          <w:szCs w:val="28"/>
        </w:rPr>
        <w:t>APPELLANT</w:t>
      </w:r>
    </w:p>
    <w:p w14:paraId="23A0AE58" w14:textId="77777777" w:rsidR="008B223B" w:rsidRPr="00D73D6A" w:rsidRDefault="00322A94">
      <w:pPr>
        <w:spacing w:after="120" w:line="360" w:lineRule="auto"/>
        <w:rPr>
          <w:bCs/>
          <w:sz w:val="28"/>
          <w:szCs w:val="28"/>
        </w:rPr>
      </w:pPr>
      <w:r w:rsidRPr="00D73D6A">
        <w:rPr>
          <w:bCs/>
          <w:sz w:val="28"/>
          <w:szCs w:val="28"/>
        </w:rPr>
        <w:t>and</w:t>
      </w:r>
    </w:p>
    <w:p w14:paraId="38F543A5" w14:textId="72DCD69F" w:rsidR="008B223B" w:rsidRPr="00D73D6A" w:rsidRDefault="00D279E1">
      <w:pPr>
        <w:spacing w:after="120" w:line="360" w:lineRule="auto"/>
        <w:rPr>
          <w:b/>
          <w:bCs/>
          <w:sz w:val="28"/>
          <w:szCs w:val="28"/>
        </w:rPr>
      </w:pPr>
      <w:r w:rsidRPr="00D73D6A">
        <w:rPr>
          <w:b/>
          <w:bCs/>
          <w:sz w:val="28"/>
          <w:szCs w:val="28"/>
          <w:lang w:val="en-ZA"/>
        </w:rPr>
        <w:t>HOUTBOSPLAAS (PTY) LTD</w:t>
      </w:r>
      <w:r w:rsidRPr="00D73D6A">
        <w:rPr>
          <w:b/>
          <w:bCs/>
          <w:sz w:val="28"/>
          <w:szCs w:val="28"/>
          <w:lang w:val="en-ZA"/>
        </w:rPr>
        <w:tab/>
      </w:r>
      <w:r w:rsidRPr="00D73D6A">
        <w:rPr>
          <w:b/>
          <w:bCs/>
          <w:sz w:val="28"/>
          <w:szCs w:val="28"/>
          <w:lang w:val="en-ZA"/>
        </w:rPr>
        <w:tab/>
      </w:r>
      <w:r w:rsidR="00A07C63" w:rsidRPr="00D73D6A">
        <w:rPr>
          <w:b/>
          <w:bCs/>
          <w:sz w:val="28"/>
          <w:szCs w:val="28"/>
        </w:rPr>
        <w:tab/>
      </w:r>
      <w:r w:rsidRPr="00D73D6A">
        <w:rPr>
          <w:b/>
          <w:bCs/>
          <w:sz w:val="28"/>
          <w:szCs w:val="28"/>
        </w:rPr>
        <w:t xml:space="preserve">   FIRST</w:t>
      </w:r>
      <w:r w:rsidR="00A07C63" w:rsidRPr="00D73D6A">
        <w:rPr>
          <w:b/>
          <w:bCs/>
          <w:sz w:val="28"/>
          <w:szCs w:val="28"/>
        </w:rPr>
        <w:t xml:space="preserve"> </w:t>
      </w:r>
      <w:r w:rsidR="00322A94" w:rsidRPr="00D73D6A">
        <w:rPr>
          <w:b/>
          <w:bCs/>
          <w:sz w:val="28"/>
          <w:szCs w:val="28"/>
        </w:rPr>
        <w:t>RESPONDENT</w:t>
      </w:r>
    </w:p>
    <w:p w14:paraId="06322FA1" w14:textId="050EC485" w:rsidR="00D279E1" w:rsidRPr="00D73D6A" w:rsidRDefault="00D279E1">
      <w:pPr>
        <w:spacing w:after="120" w:line="360" w:lineRule="auto"/>
        <w:rPr>
          <w:b/>
          <w:bCs/>
          <w:sz w:val="28"/>
          <w:szCs w:val="28"/>
        </w:rPr>
      </w:pPr>
      <w:r w:rsidRPr="00D73D6A">
        <w:rPr>
          <w:b/>
          <w:bCs/>
          <w:sz w:val="28"/>
          <w:szCs w:val="28"/>
        </w:rPr>
        <w:t>TBS ALPHA BELEGGINGS (PTY) LTD</w:t>
      </w:r>
      <w:r w:rsidRPr="00D73D6A">
        <w:rPr>
          <w:b/>
          <w:bCs/>
          <w:sz w:val="28"/>
          <w:szCs w:val="28"/>
        </w:rPr>
        <w:tab/>
        <w:t xml:space="preserve">         SECOND RESPONDENT</w:t>
      </w:r>
    </w:p>
    <w:p w14:paraId="3430DEB8" w14:textId="77777777" w:rsidR="008B223B" w:rsidRPr="00D73D6A" w:rsidRDefault="00E61EEC">
      <w:pPr>
        <w:spacing w:after="120" w:line="360" w:lineRule="auto"/>
        <w:rPr>
          <w:b/>
          <w:bCs/>
          <w:sz w:val="28"/>
          <w:szCs w:val="28"/>
        </w:rPr>
      </w:pPr>
      <w:r w:rsidRPr="00D73D6A">
        <w:rPr>
          <w:b/>
          <w:bCs/>
          <w:sz w:val="28"/>
          <w:szCs w:val="28"/>
        </w:rPr>
        <w:tab/>
      </w:r>
    </w:p>
    <w:p w14:paraId="51DD0126" w14:textId="74BE95D4" w:rsidR="008B223B" w:rsidRPr="00D73D6A" w:rsidRDefault="00322A94" w:rsidP="00E61EEC">
      <w:pPr>
        <w:spacing w:after="120" w:line="360" w:lineRule="auto"/>
        <w:ind w:left="2160" w:hanging="2160"/>
        <w:jc w:val="both"/>
        <w:rPr>
          <w:sz w:val="28"/>
          <w:szCs w:val="28"/>
        </w:rPr>
      </w:pPr>
      <w:r w:rsidRPr="00D73D6A">
        <w:rPr>
          <w:b/>
          <w:bCs/>
          <w:sz w:val="28"/>
          <w:szCs w:val="28"/>
        </w:rPr>
        <w:t>Neutral citation:</w:t>
      </w:r>
      <w:r w:rsidRPr="00D73D6A">
        <w:rPr>
          <w:b/>
          <w:bCs/>
          <w:sz w:val="28"/>
          <w:szCs w:val="28"/>
        </w:rPr>
        <w:tab/>
      </w:r>
      <w:r w:rsidR="00D279E1" w:rsidRPr="00D73D6A">
        <w:rPr>
          <w:bCs/>
          <w:i/>
          <w:sz w:val="28"/>
          <w:szCs w:val="28"/>
          <w:lang w:val="en-ZA"/>
        </w:rPr>
        <w:t>Nedbank Limited v Houtbosplaas (Pty) Ltd and Another</w:t>
      </w:r>
      <w:r w:rsidR="00E61EEC" w:rsidRPr="00D73D6A">
        <w:rPr>
          <w:b/>
          <w:bCs/>
          <w:sz w:val="28"/>
          <w:szCs w:val="28"/>
        </w:rPr>
        <w:t xml:space="preserve"> </w:t>
      </w:r>
      <w:r w:rsidRPr="00D73D6A">
        <w:rPr>
          <w:bCs/>
          <w:sz w:val="28"/>
          <w:szCs w:val="28"/>
        </w:rPr>
        <w:t xml:space="preserve">(Case no </w:t>
      </w:r>
      <w:r w:rsidR="00D279E1" w:rsidRPr="00D73D6A">
        <w:rPr>
          <w:bCs/>
          <w:sz w:val="28"/>
          <w:szCs w:val="28"/>
          <w:lang w:val="en-ZA"/>
        </w:rPr>
        <w:t>164/2021</w:t>
      </w:r>
      <w:r w:rsidRPr="00D73D6A">
        <w:rPr>
          <w:bCs/>
          <w:sz w:val="28"/>
          <w:szCs w:val="28"/>
        </w:rPr>
        <w:t>) [202</w:t>
      </w:r>
      <w:r w:rsidR="00765E41" w:rsidRPr="00D73D6A">
        <w:rPr>
          <w:bCs/>
          <w:sz w:val="28"/>
          <w:szCs w:val="28"/>
        </w:rPr>
        <w:t>2</w:t>
      </w:r>
      <w:r w:rsidRPr="00D73D6A">
        <w:rPr>
          <w:bCs/>
          <w:sz w:val="28"/>
          <w:szCs w:val="28"/>
        </w:rPr>
        <w:t xml:space="preserve">] ZASCA </w:t>
      </w:r>
      <w:r w:rsidR="0073012A" w:rsidRPr="00D73D6A">
        <w:rPr>
          <w:bCs/>
          <w:sz w:val="28"/>
          <w:szCs w:val="28"/>
        </w:rPr>
        <w:t>69</w:t>
      </w:r>
      <w:r w:rsidRPr="00D73D6A">
        <w:rPr>
          <w:bCs/>
          <w:sz w:val="28"/>
          <w:szCs w:val="28"/>
        </w:rPr>
        <w:t xml:space="preserve"> (</w:t>
      </w:r>
      <w:r w:rsidR="00606F6E" w:rsidRPr="00D73D6A">
        <w:rPr>
          <w:bCs/>
          <w:sz w:val="28"/>
          <w:szCs w:val="28"/>
        </w:rPr>
        <w:t>19 May</w:t>
      </w:r>
      <w:r w:rsidR="002949B6" w:rsidRPr="00D73D6A">
        <w:rPr>
          <w:bCs/>
          <w:sz w:val="28"/>
          <w:szCs w:val="28"/>
        </w:rPr>
        <w:t xml:space="preserve"> 202</w:t>
      </w:r>
      <w:r w:rsidR="00E03C89" w:rsidRPr="00D73D6A">
        <w:rPr>
          <w:bCs/>
          <w:sz w:val="28"/>
          <w:szCs w:val="28"/>
        </w:rPr>
        <w:t>2</w:t>
      </w:r>
      <w:r w:rsidRPr="00D73D6A">
        <w:rPr>
          <w:bCs/>
          <w:sz w:val="28"/>
          <w:szCs w:val="28"/>
        </w:rPr>
        <w:t>)</w:t>
      </w:r>
    </w:p>
    <w:p w14:paraId="2681F383" w14:textId="37F5FB37" w:rsidR="008B223B" w:rsidRPr="00D73D6A" w:rsidRDefault="00322A94">
      <w:pPr>
        <w:spacing w:after="120" w:line="360" w:lineRule="auto"/>
        <w:ind w:left="1440" w:hanging="1440"/>
        <w:jc w:val="both"/>
        <w:rPr>
          <w:b/>
          <w:bCs/>
          <w:i/>
          <w:iCs/>
          <w:sz w:val="28"/>
          <w:szCs w:val="28"/>
        </w:rPr>
      </w:pPr>
      <w:r w:rsidRPr="00D73D6A">
        <w:rPr>
          <w:b/>
          <w:bCs/>
          <w:sz w:val="28"/>
          <w:szCs w:val="28"/>
        </w:rPr>
        <w:t>Coram:</w:t>
      </w:r>
      <w:r w:rsidR="00996D5D" w:rsidRPr="00D73D6A">
        <w:rPr>
          <w:sz w:val="28"/>
          <w:szCs w:val="28"/>
        </w:rPr>
        <w:tab/>
        <w:t xml:space="preserve">PETSE </w:t>
      </w:r>
      <w:r w:rsidR="007666B9" w:rsidRPr="00D73D6A">
        <w:rPr>
          <w:sz w:val="28"/>
          <w:szCs w:val="28"/>
        </w:rPr>
        <w:t>D</w:t>
      </w:r>
      <w:r w:rsidRPr="00D73D6A">
        <w:rPr>
          <w:sz w:val="28"/>
          <w:szCs w:val="28"/>
        </w:rPr>
        <w:t xml:space="preserve">P and </w:t>
      </w:r>
      <w:r w:rsidR="007666B9" w:rsidRPr="00D73D6A">
        <w:rPr>
          <w:sz w:val="28"/>
          <w:szCs w:val="28"/>
          <w:lang w:val="en-ZA"/>
        </w:rPr>
        <w:t>ZONDI</w:t>
      </w:r>
      <w:r w:rsidR="00D279E1" w:rsidRPr="00D73D6A">
        <w:rPr>
          <w:sz w:val="28"/>
          <w:szCs w:val="28"/>
          <w:lang w:val="en-ZA"/>
        </w:rPr>
        <w:t xml:space="preserve"> and</w:t>
      </w:r>
      <w:r w:rsidR="00A07C63" w:rsidRPr="00D73D6A">
        <w:rPr>
          <w:sz w:val="28"/>
          <w:szCs w:val="28"/>
          <w:lang w:val="en-ZA"/>
        </w:rPr>
        <w:t xml:space="preserve"> </w:t>
      </w:r>
      <w:r w:rsidR="00D279E1" w:rsidRPr="00D73D6A">
        <w:rPr>
          <w:sz w:val="28"/>
          <w:szCs w:val="28"/>
          <w:lang w:val="en-ZA"/>
        </w:rPr>
        <w:t>GORVEN</w:t>
      </w:r>
      <w:r w:rsidR="00E61EEC" w:rsidRPr="00D73D6A">
        <w:rPr>
          <w:sz w:val="28"/>
          <w:szCs w:val="28"/>
          <w:lang w:val="en-ZA"/>
        </w:rPr>
        <w:t xml:space="preserve"> JJA</w:t>
      </w:r>
      <w:r w:rsidR="00A07C63" w:rsidRPr="00D73D6A">
        <w:rPr>
          <w:sz w:val="28"/>
          <w:szCs w:val="28"/>
          <w:lang w:val="en-ZA"/>
        </w:rPr>
        <w:t xml:space="preserve"> </w:t>
      </w:r>
      <w:r w:rsidR="00E61EEC" w:rsidRPr="00D73D6A">
        <w:rPr>
          <w:sz w:val="28"/>
          <w:szCs w:val="28"/>
          <w:lang w:val="en-ZA"/>
        </w:rPr>
        <w:t xml:space="preserve">and </w:t>
      </w:r>
      <w:r w:rsidR="00D279E1" w:rsidRPr="00D73D6A">
        <w:rPr>
          <w:sz w:val="28"/>
          <w:szCs w:val="28"/>
          <w:lang w:val="en-ZA"/>
        </w:rPr>
        <w:t>TSOKA and MAKAULA</w:t>
      </w:r>
      <w:r w:rsidR="00E61EEC" w:rsidRPr="00D73D6A">
        <w:rPr>
          <w:sz w:val="28"/>
          <w:szCs w:val="28"/>
          <w:lang w:val="en-ZA"/>
        </w:rPr>
        <w:t xml:space="preserve"> A</w:t>
      </w:r>
      <w:r w:rsidR="00D279E1" w:rsidRPr="00D73D6A">
        <w:rPr>
          <w:sz w:val="28"/>
          <w:szCs w:val="28"/>
          <w:lang w:val="en-ZA"/>
        </w:rPr>
        <w:t>J</w:t>
      </w:r>
      <w:r w:rsidR="00E61EEC" w:rsidRPr="00D73D6A">
        <w:rPr>
          <w:sz w:val="28"/>
          <w:szCs w:val="28"/>
          <w:lang w:val="en-ZA"/>
        </w:rPr>
        <w:t>JA</w:t>
      </w:r>
    </w:p>
    <w:p w14:paraId="6267A0DC" w14:textId="6052333F" w:rsidR="008B223B" w:rsidRPr="00D73D6A" w:rsidRDefault="00322A94">
      <w:pPr>
        <w:spacing w:after="120" w:line="360" w:lineRule="auto"/>
        <w:rPr>
          <w:b/>
          <w:bCs/>
          <w:sz w:val="28"/>
          <w:szCs w:val="28"/>
        </w:rPr>
      </w:pPr>
      <w:r w:rsidRPr="00D73D6A">
        <w:rPr>
          <w:b/>
          <w:bCs/>
          <w:sz w:val="28"/>
          <w:szCs w:val="28"/>
        </w:rPr>
        <w:t>Heard</w:t>
      </w:r>
      <w:r w:rsidRPr="00D73D6A">
        <w:rPr>
          <w:b/>
          <w:sz w:val="28"/>
          <w:szCs w:val="28"/>
        </w:rPr>
        <w:t>:</w:t>
      </w:r>
      <w:r w:rsidRPr="00D73D6A">
        <w:rPr>
          <w:sz w:val="28"/>
          <w:szCs w:val="28"/>
        </w:rPr>
        <w:tab/>
      </w:r>
      <w:r w:rsidR="00D279E1" w:rsidRPr="00D73D6A">
        <w:rPr>
          <w:sz w:val="28"/>
          <w:szCs w:val="28"/>
          <w:lang w:val="en-ZA"/>
        </w:rPr>
        <w:t>08 March 2022</w:t>
      </w:r>
    </w:p>
    <w:p w14:paraId="3C930192" w14:textId="192118B5" w:rsidR="008B223B" w:rsidRPr="00D73D6A" w:rsidRDefault="00322A94">
      <w:pPr>
        <w:spacing w:after="120" w:line="360" w:lineRule="auto"/>
        <w:jc w:val="both"/>
        <w:rPr>
          <w:b/>
          <w:bCs/>
          <w:sz w:val="28"/>
          <w:szCs w:val="28"/>
        </w:rPr>
      </w:pPr>
      <w:r w:rsidRPr="00D73D6A">
        <w:rPr>
          <w:b/>
          <w:bCs/>
          <w:sz w:val="28"/>
          <w:szCs w:val="28"/>
        </w:rPr>
        <w:t>Delivered</w:t>
      </w:r>
      <w:r w:rsidRPr="00D73D6A">
        <w:rPr>
          <w:b/>
          <w:sz w:val="28"/>
          <w:szCs w:val="28"/>
        </w:rPr>
        <w:t>:</w:t>
      </w:r>
      <w:r w:rsidRPr="00D73D6A">
        <w:rPr>
          <w:sz w:val="28"/>
          <w:szCs w:val="28"/>
        </w:rPr>
        <w:tab/>
      </w:r>
      <w:r w:rsidR="00E3367F" w:rsidRPr="00D73D6A">
        <w:rPr>
          <w:sz w:val="28"/>
          <w:szCs w:val="28"/>
        </w:rPr>
        <w:t>19 May</w:t>
      </w:r>
      <w:r w:rsidRPr="00D73D6A">
        <w:rPr>
          <w:sz w:val="28"/>
          <w:szCs w:val="28"/>
        </w:rPr>
        <w:t xml:space="preserve"> 202</w:t>
      </w:r>
      <w:r w:rsidR="00E03C89" w:rsidRPr="00D73D6A">
        <w:rPr>
          <w:sz w:val="28"/>
          <w:szCs w:val="28"/>
        </w:rPr>
        <w:t>2</w:t>
      </w:r>
    </w:p>
    <w:p w14:paraId="3BB22807" w14:textId="1B3632F5" w:rsidR="00577041" w:rsidRPr="00D73D6A" w:rsidRDefault="00322A94" w:rsidP="00577041">
      <w:pPr>
        <w:spacing w:line="360" w:lineRule="auto"/>
        <w:jc w:val="both"/>
        <w:rPr>
          <w:sz w:val="28"/>
          <w:szCs w:val="28"/>
          <w:lang w:val="en-ZA"/>
        </w:rPr>
      </w:pPr>
      <w:r w:rsidRPr="00D73D6A">
        <w:rPr>
          <w:b/>
          <w:bCs/>
          <w:sz w:val="28"/>
          <w:szCs w:val="28"/>
        </w:rPr>
        <w:t xml:space="preserve">Summary: </w:t>
      </w:r>
      <w:r w:rsidR="00577041" w:rsidRPr="00D73D6A">
        <w:rPr>
          <w:sz w:val="28"/>
          <w:szCs w:val="28"/>
          <w:lang w:val="en-ZA"/>
        </w:rPr>
        <w:t xml:space="preserve">Banking law – banker and client – summary closure of bank accounts by client – exercise of contractual right by client to do so – trusts that held shares in companies which were the bank's clients refusing to provide their trust deeds requested by bank ostensibly for verification of the companies under </w:t>
      </w:r>
      <w:r w:rsidR="00BA6DDC" w:rsidRPr="00D73D6A">
        <w:rPr>
          <w:sz w:val="28"/>
          <w:szCs w:val="28"/>
          <w:lang w:val="en-ZA"/>
        </w:rPr>
        <w:lastRenderedPageBreak/>
        <w:t>Financial Intelligence Centre Act 38 of 2001 (FICA)</w:t>
      </w:r>
      <w:r w:rsidR="00577041" w:rsidRPr="00D73D6A">
        <w:rPr>
          <w:sz w:val="28"/>
          <w:szCs w:val="28"/>
          <w:lang w:val="en-ZA"/>
        </w:rPr>
        <w:t xml:space="preserve"> – bank refusing to give effect to client's instruction on g</w:t>
      </w:r>
      <w:r w:rsidR="00D73D6A">
        <w:rPr>
          <w:sz w:val="28"/>
          <w:szCs w:val="28"/>
          <w:lang w:val="en-ZA"/>
        </w:rPr>
        <w:t xml:space="preserve">rounds that accounts restricted </w:t>
      </w:r>
      <w:r w:rsidR="00577041" w:rsidRPr="00D73D6A">
        <w:rPr>
          <w:sz w:val="28"/>
          <w:szCs w:val="28"/>
          <w:lang w:val="en-ZA"/>
        </w:rPr>
        <w:t>–</w:t>
      </w:r>
      <w:r w:rsidR="00D73D6A">
        <w:rPr>
          <w:sz w:val="28"/>
          <w:szCs w:val="28"/>
          <w:lang w:val="en-ZA"/>
        </w:rPr>
        <w:t xml:space="preserve"> </w:t>
      </w:r>
      <w:r w:rsidR="00577041" w:rsidRPr="00D73D6A">
        <w:rPr>
          <w:sz w:val="28"/>
          <w:szCs w:val="28"/>
          <w:lang w:val="en-ZA"/>
        </w:rPr>
        <w:t xml:space="preserve">ss 21 and 22 </w:t>
      </w:r>
      <w:r w:rsidR="00567790" w:rsidRPr="00D73D6A">
        <w:rPr>
          <w:sz w:val="28"/>
          <w:szCs w:val="28"/>
          <w:lang w:val="en-ZA"/>
        </w:rPr>
        <w:t xml:space="preserve">of FICA </w:t>
      </w:r>
      <w:r w:rsidR="00577041" w:rsidRPr="00D73D6A">
        <w:rPr>
          <w:sz w:val="28"/>
          <w:szCs w:val="28"/>
          <w:lang w:val="en-ZA"/>
        </w:rPr>
        <w:t xml:space="preserve">read with regulations promulgated in terms of s 77(1) </w:t>
      </w:r>
      <w:r w:rsidR="00567790" w:rsidRPr="00D73D6A">
        <w:rPr>
          <w:sz w:val="28"/>
          <w:szCs w:val="28"/>
          <w:lang w:val="en-ZA"/>
        </w:rPr>
        <w:t>thereof</w:t>
      </w:r>
      <w:r w:rsidR="00577041" w:rsidRPr="00D73D6A">
        <w:rPr>
          <w:sz w:val="28"/>
          <w:szCs w:val="28"/>
          <w:lang w:val="en-ZA"/>
        </w:rPr>
        <w:t xml:space="preserve"> – bank's refusal to execute client's instructions unlawful.</w:t>
      </w:r>
    </w:p>
    <w:p w14:paraId="4C80F4FB" w14:textId="14BD42A3" w:rsidR="00DE7FC4" w:rsidRPr="00D73D6A" w:rsidRDefault="00DE7FC4">
      <w:pPr>
        <w:spacing w:line="360" w:lineRule="auto"/>
        <w:jc w:val="both"/>
        <w:rPr>
          <w:sz w:val="28"/>
          <w:szCs w:val="28"/>
          <w:lang w:val="en-ZA"/>
        </w:rPr>
      </w:pPr>
    </w:p>
    <w:p w14:paraId="40800988" w14:textId="29157B42" w:rsidR="00D279E1" w:rsidRPr="00D73D6A" w:rsidRDefault="00D279E1">
      <w:pPr>
        <w:spacing w:line="360" w:lineRule="auto"/>
        <w:jc w:val="both"/>
        <w:rPr>
          <w:bCs/>
          <w:sz w:val="28"/>
          <w:szCs w:val="28"/>
          <w:lang w:val="en-ZA"/>
        </w:rPr>
      </w:pPr>
      <w:r w:rsidRPr="00D73D6A">
        <w:rPr>
          <w:i/>
          <w:sz w:val="28"/>
          <w:szCs w:val="28"/>
          <w:lang w:val="en-ZA"/>
        </w:rPr>
        <w:t>Mora</w:t>
      </w:r>
      <w:r w:rsidRPr="00D73D6A">
        <w:rPr>
          <w:sz w:val="28"/>
          <w:szCs w:val="28"/>
          <w:lang w:val="en-ZA"/>
        </w:rPr>
        <w:t xml:space="preserve"> interest – client's claim therefor – claim for </w:t>
      </w:r>
      <w:r w:rsidRPr="00D73D6A">
        <w:rPr>
          <w:i/>
          <w:sz w:val="28"/>
          <w:szCs w:val="28"/>
          <w:lang w:val="en-ZA"/>
        </w:rPr>
        <w:t>mora</w:t>
      </w:r>
      <w:r w:rsidRPr="00D73D6A">
        <w:rPr>
          <w:sz w:val="28"/>
          <w:szCs w:val="28"/>
          <w:lang w:val="en-ZA"/>
        </w:rPr>
        <w:t xml:space="preserve"> interest following the bank's refusal to close accounts upon client's summary termination of banker and client contractual relationship upheld. </w:t>
      </w:r>
    </w:p>
    <w:p w14:paraId="75379CE8" w14:textId="77777777" w:rsidR="008B223B" w:rsidRPr="00D73D6A" w:rsidRDefault="00322A94">
      <w:pPr>
        <w:rPr>
          <w:bCs/>
          <w:sz w:val="28"/>
          <w:szCs w:val="28"/>
        </w:rPr>
      </w:pPr>
      <w:r w:rsidRPr="00D73D6A">
        <w:rPr>
          <w:bCs/>
          <w:sz w:val="28"/>
          <w:szCs w:val="28"/>
        </w:rPr>
        <w:br w:type="page"/>
      </w:r>
    </w:p>
    <w:p w14:paraId="0C02A6D5" w14:textId="77777777" w:rsidR="008B223B" w:rsidRPr="00D73D6A" w:rsidRDefault="00322A94">
      <w:pPr>
        <w:pBdr>
          <w:bottom w:val="single" w:sz="12" w:space="1" w:color="auto"/>
        </w:pBdr>
        <w:jc w:val="both"/>
      </w:pPr>
      <w:r w:rsidRPr="00D73D6A">
        <w:rPr>
          <w:sz w:val="28"/>
          <w:szCs w:val="28"/>
        </w:rPr>
        <w:lastRenderedPageBreak/>
        <w:tab/>
      </w:r>
    </w:p>
    <w:p w14:paraId="5CC6FFBC" w14:textId="77777777" w:rsidR="008B223B" w:rsidRPr="00D73D6A" w:rsidRDefault="008B223B">
      <w:pPr>
        <w:pStyle w:val="Heading3"/>
        <w:pBdr>
          <w:bottom w:val="single" w:sz="12" w:space="12" w:color="auto"/>
        </w:pBdr>
        <w:jc w:val="center"/>
        <w:rPr>
          <w:rFonts w:ascii="Times New Roman" w:hAnsi="Times New Roman" w:cs="Times New Roman"/>
          <w:b/>
          <w:i w:val="0"/>
          <w:szCs w:val="28"/>
        </w:rPr>
      </w:pPr>
    </w:p>
    <w:p w14:paraId="594DBEA4" w14:textId="77777777" w:rsidR="008B223B" w:rsidRPr="00D73D6A" w:rsidRDefault="00322A94">
      <w:pPr>
        <w:pStyle w:val="Heading3"/>
        <w:pBdr>
          <w:bottom w:val="single" w:sz="12" w:space="12" w:color="auto"/>
        </w:pBdr>
        <w:jc w:val="center"/>
        <w:rPr>
          <w:rFonts w:ascii="Times New Roman" w:hAnsi="Times New Roman" w:cs="Times New Roman"/>
          <w:b/>
          <w:i w:val="0"/>
          <w:szCs w:val="28"/>
        </w:rPr>
      </w:pPr>
      <w:r w:rsidRPr="00D73D6A">
        <w:rPr>
          <w:rFonts w:ascii="Times New Roman" w:hAnsi="Times New Roman" w:cs="Times New Roman"/>
          <w:b/>
          <w:i w:val="0"/>
          <w:szCs w:val="28"/>
        </w:rPr>
        <w:t>ORDER</w:t>
      </w:r>
    </w:p>
    <w:p w14:paraId="16977046" w14:textId="77777777" w:rsidR="008B223B" w:rsidRPr="00D73D6A" w:rsidRDefault="008B223B"/>
    <w:p w14:paraId="4ABAE6F9" w14:textId="6C5B7507" w:rsidR="008B223B" w:rsidRPr="00D73D6A" w:rsidRDefault="00322A94">
      <w:pPr>
        <w:spacing w:line="360" w:lineRule="auto"/>
        <w:contextualSpacing/>
        <w:jc w:val="both"/>
        <w:rPr>
          <w:bCs/>
          <w:sz w:val="28"/>
          <w:szCs w:val="28"/>
        </w:rPr>
      </w:pPr>
      <w:r w:rsidRPr="00D73D6A">
        <w:rPr>
          <w:b/>
          <w:bCs/>
          <w:sz w:val="28"/>
          <w:szCs w:val="28"/>
        </w:rPr>
        <w:t xml:space="preserve">On appeal from: </w:t>
      </w:r>
      <w:r w:rsidR="007666B9" w:rsidRPr="00D73D6A">
        <w:rPr>
          <w:bCs/>
          <w:sz w:val="28"/>
          <w:szCs w:val="28"/>
          <w:lang w:val="en-ZA"/>
        </w:rPr>
        <w:t>Gauteng</w:t>
      </w:r>
      <w:r w:rsidR="00B855A7" w:rsidRPr="00D73D6A">
        <w:rPr>
          <w:bCs/>
          <w:sz w:val="28"/>
          <w:szCs w:val="28"/>
          <w:lang w:val="en-ZA"/>
        </w:rPr>
        <w:t xml:space="preserve"> Division</w:t>
      </w:r>
      <w:r w:rsidRPr="00D73D6A">
        <w:rPr>
          <w:bCs/>
          <w:sz w:val="28"/>
          <w:szCs w:val="28"/>
        </w:rPr>
        <w:t xml:space="preserve"> of the High Court, </w:t>
      </w:r>
      <w:r w:rsidR="007666B9" w:rsidRPr="00D73D6A">
        <w:rPr>
          <w:bCs/>
          <w:sz w:val="28"/>
          <w:szCs w:val="28"/>
          <w:lang w:val="en-ZA"/>
        </w:rPr>
        <w:t>Pretoria</w:t>
      </w:r>
      <w:r w:rsidRPr="00D73D6A">
        <w:rPr>
          <w:bCs/>
          <w:sz w:val="28"/>
          <w:szCs w:val="28"/>
          <w:lang w:val="en-ZA"/>
        </w:rPr>
        <w:t xml:space="preserve"> </w:t>
      </w:r>
      <w:r w:rsidRPr="00D73D6A">
        <w:rPr>
          <w:bCs/>
          <w:sz w:val="28"/>
          <w:szCs w:val="28"/>
        </w:rPr>
        <w:t>(</w:t>
      </w:r>
      <w:r w:rsidR="00D279E1" w:rsidRPr="00D73D6A">
        <w:rPr>
          <w:bCs/>
          <w:sz w:val="28"/>
          <w:szCs w:val="28"/>
          <w:lang w:val="en-ZA"/>
        </w:rPr>
        <w:t>Mothle J</w:t>
      </w:r>
      <w:r w:rsidRPr="00D73D6A">
        <w:rPr>
          <w:bCs/>
          <w:sz w:val="28"/>
          <w:szCs w:val="28"/>
        </w:rPr>
        <w:t xml:space="preserve">, sitting as court of first instance): </w:t>
      </w:r>
      <w:r w:rsidR="00CD3502" w:rsidRPr="00D73D6A">
        <w:rPr>
          <w:bCs/>
          <w:sz w:val="28"/>
          <w:szCs w:val="28"/>
        </w:rPr>
        <w:t xml:space="preserve">judgment reported </w:t>
      </w:r>
      <w:r w:rsidR="00CD3502" w:rsidRPr="00D73D6A">
        <w:rPr>
          <w:bCs/>
          <w:i/>
          <w:sz w:val="28"/>
          <w:szCs w:val="28"/>
        </w:rPr>
        <w:t xml:space="preserve">sub nom Houtbosplaas (Pty) Ltd v Nedbank Ltd </w:t>
      </w:r>
      <w:r w:rsidR="00CD3502" w:rsidRPr="00D73D6A">
        <w:rPr>
          <w:bCs/>
          <w:sz w:val="28"/>
          <w:szCs w:val="28"/>
        </w:rPr>
        <w:t>2020 (4) SA 560 (GP)</w:t>
      </w:r>
      <w:r w:rsidR="00E3367F" w:rsidRPr="00D73D6A">
        <w:rPr>
          <w:bCs/>
          <w:sz w:val="28"/>
          <w:szCs w:val="28"/>
        </w:rPr>
        <w:t>.</w:t>
      </w:r>
    </w:p>
    <w:p w14:paraId="7F3BCB79" w14:textId="77777777" w:rsidR="008B223B" w:rsidRPr="00D73D6A" w:rsidRDefault="008B223B">
      <w:pPr>
        <w:spacing w:line="360" w:lineRule="auto"/>
        <w:contextualSpacing/>
        <w:jc w:val="both"/>
        <w:rPr>
          <w:bCs/>
          <w:sz w:val="10"/>
          <w:szCs w:val="10"/>
        </w:rPr>
      </w:pPr>
    </w:p>
    <w:p w14:paraId="6B62DB1D" w14:textId="7724AB23" w:rsidR="007666B9" w:rsidRPr="00D73D6A" w:rsidRDefault="00D279E1" w:rsidP="007666B9">
      <w:pPr>
        <w:tabs>
          <w:tab w:val="left" w:pos="0"/>
        </w:tabs>
        <w:spacing w:line="360" w:lineRule="auto"/>
        <w:contextualSpacing/>
        <w:jc w:val="both"/>
        <w:rPr>
          <w:sz w:val="28"/>
          <w:szCs w:val="28"/>
        </w:rPr>
      </w:pPr>
      <w:r w:rsidRPr="00D73D6A">
        <w:rPr>
          <w:bCs/>
          <w:sz w:val="28"/>
          <w:szCs w:val="28"/>
          <w:lang w:val="en-ZA"/>
        </w:rPr>
        <w:t>The appeal is dismissed with costs.</w:t>
      </w:r>
    </w:p>
    <w:p w14:paraId="54208AFD" w14:textId="77777777" w:rsidR="008B223B" w:rsidRPr="00D73D6A" w:rsidRDefault="00322A94">
      <w:pPr>
        <w:pBdr>
          <w:bottom w:val="single" w:sz="12" w:space="1" w:color="auto"/>
        </w:pBdr>
        <w:jc w:val="both"/>
      </w:pPr>
      <w:r w:rsidRPr="00D73D6A">
        <w:rPr>
          <w:sz w:val="28"/>
          <w:szCs w:val="28"/>
        </w:rPr>
        <w:tab/>
      </w:r>
    </w:p>
    <w:p w14:paraId="7F80EBD1" w14:textId="77777777" w:rsidR="008B223B" w:rsidRPr="00D73D6A" w:rsidRDefault="008B223B">
      <w:pPr>
        <w:pStyle w:val="Heading3"/>
        <w:pBdr>
          <w:bottom w:val="single" w:sz="12" w:space="12" w:color="auto"/>
        </w:pBdr>
        <w:jc w:val="center"/>
        <w:rPr>
          <w:rFonts w:ascii="Times New Roman" w:hAnsi="Times New Roman" w:cs="Times New Roman"/>
          <w:b/>
          <w:i w:val="0"/>
          <w:szCs w:val="28"/>
        </w:rPr>
      </w:pPr>
    </w:p>
    <w:p w14:paraId="0FE39DF3" w14:textId="77777777" w:rsidR="008B223B" w:rsidRPr="00D73D6A" w:rsidRDefault="00322A94">
      <w:pPr>
        <w:pStyle w:val="Heading3"/>
        <w:pBdr>
          <w:bottom w:val="single" w:sz="12" w:space="12" w:color="auto"/>
        </w:pBdr>
        <w:jc w:val="center"/>
        <w:rPr>
          <w:rFonts w:ascii="Times New Roman" w:hAnsi="Times New Roman" w:cs="Times New Roman"/>
          <w:b/>
          <w:i w:val="0"/>
          <w:szCs w:val="28"/>
        </w:rPr>
      </w:pPr>
      <w:r w:rsidRPr="00D73D6A">
        <w:rPr>
          <w:noProof/>
          <w:lang w:val="en-ZA" w:eastAsia="en-ZA"/>
        </w:rPr>
        <mc:AlternateContent>
          <mc:Choice Requires="wps">
            <w:drawing>
              <wp:anchor distT="0" distB="0" distL="114300" distR="114300" simplePos="0" relativeHeight="251660288" behindDoc="0" locked="0" layoutInCell="1" allowOverlap="1" wp14:anchorId="6FB2DCC2" wp14:editId="3BCBEA73">
                <wp:simplePos x="0" y="0"/>
                <wp:positionH relativeFrom="column">
                  <wp:posOffset>0</wp:posOffset>
                </wp:positionH>
                <wp:positionV relativeFrom="paragraph">
                  <wp:posOffset>114300</wp:posOffset>
                </wp:positionV>
                <wp:extent cx="635" cy="0"/>
                <wp:effectExtent l="0" t="0" r="0" b="0"/>
                <wp:wrapNone/>
                <wp:docPr id="2" name="Line 6"/>
                <wp:cNvGraphicFramePr/>
                <a:graphic xmlns:a="http://schemas.openxmlformats.org/drawingml/2006/main">
                  <a:graphicData uri="http://schemas.microsoft.com/office/word/2010/wordprocessingShape">
                    <wps:wsp>
                      <wps:cNvCnPr/>
                      <wps:spPr bwMode="auto">
                        <a:xfrm>
                          <a:off x="0" y="0"/>
                          <a:ext cx="0" cy="0"/>
                        </a:xfrm>
                        <a:prstGeom prst="line">
                          <a:avLst/>
                        </a:prstGeom>
                        <a:noFill/>
                        <a:ln w="9525">
                          <a:solidFill>
                            <a:srgbClr val="000000"/>
                          </a:solidFill>
                          <a:roun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AFCA428" id="Line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9pt" to=".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"/>
            </w:pict>
          </mc:Fallback>
        </mc:AlternateContent>
      </w:r>
      <w:r w:rsidRPr="00D73D6A">
        <w:rPr>
          <w:rFonts w:ascii="Times New Roman" w:hAnsi="Times New Roman" w:cs="Times New Roman"/>
          <w:b/>
          <w:i w:val="0"/>
          <w:szCs w:val="28"/>
        </w:rPr>
        <w:t>JUDGMENT</w:t>
      </w:r>
    </w:p>
    <w:p w14:paraId="2A2F31D8" w14:textId="77777777" w:rsidR="008B223B" w:rsidRPr="00D73D6A" w:rsidRDefault="008B223B">
      <w:pPr>
        <w:spacing w:line="360" w:lineRule="auto"/>
        <w:rPr>
          <w:b/>
          <w:sz w:val="28"/>
          <w:szCs w:val="28"/>
          <w:lang w:val="en-ZA"/>
        </w:rPr>
      </w:pPr>
    </w:p>
    <w:p w14:paraId="6F97F8A4" w14:textId="1F339BD0" w:rsidR="008B223B" w:rsidRPr="00D73D6A" w:rsidRDefault="000B2D41">
      <w:pPr>
        <w:spacing w:line="360" w:lineRule="auto"/>
        <w:rPr>
          <w:b/>
          <w:sz w:val="28"/>
          <w:szCs w:val="28"/>
          <w:lang w:val="en-ZA"/>
        </w:rPr>
      </w:pPr>
      <w:r w:rsidRPr="00D73D6A">
        <w:rPr>
          <w:b/>
          <w:sz w:val="28"/>
          <w:szCs w:val="28"/>
          <w:lang w:val="en-ZA"/>
        </w:rPr>
        <w:t xml:space="preserve">Petse </w:t>
      </w:r>
      <w:r w:rsidR="007666B9" w:rsidRPr="00D73D6A">
        <w:rPr>
          <w:b/>
          <w:sz w:val="28"/>
          <w:szCs w:val="28"/>
          <w:lang w:val="en-ZA"/>
        </w:rPr>
        <w:t>D</w:t>
      </w:r>
      <w:r w:rsidR="00322A94" w:rsidRPr="00D73D6A">
        <w:rPr>
          <w:b/>
          <w:sz w:val="28"/>
          <w:szCs w:val="28"/>
          <w:lang w:val="en-ZA"/>
        </w:rPr>
        <w:t>P</w:t>
      </w:r>
      <w:r w:rsidR="00606F6E" w:rsidRPr="00D73D6A">
        <w:rPr>
          <w:b/>
          <w:sz w:val="28"/>
          <w:szCs w:val="28"/>
        </w:rPr>
        <w:t xml:space="preserve"> (Zondi and Gorven JJA and Tsoka and Makaula AJJA </w:t>
      </w:r>
      <w:r w:rsidR="00322A94" w:rsidRPr="00D73D6A">
        <w:rPr>
          <w:b/>
          <w:sz w:val="28"/>
          <w:szCs w:val="28"/>
          <w:lang w:val="en-ZA"/>
        </w:rPr>
        <w:t>concurring</w:t>
      </w:r>
      <w:r w:rsidR="00322A94" w:rsidRPr="00D73D6A">
        <w:rPr>
          <w:b/>
          <w:sz w:val="28"/>
          <w:szCs w:val="28"/>
        </w:rPr>
        <w:t>)</w:t>
      </w:r>
      <w:r w:rsidR="00322A94" w:rsidRPr="00D73D6A">
        <w:rPr>
          <w:b/>
          <w:sz w:val="28"/>
          <w:szCs w:val="28"/>
          <w:lang w:val="en-ZA"/>
        </w:rPr>
        <w:t>:</w:t>
      </w:r>
    </w:p>
    <w:p w14:paraId="342AAF3A" w14:textId="77777777" w:rsidR="008B223B" w:rsidRPr="00D73D6A" w:rsidRDefault="008B223B">
      <w:pPr>
        <w:spacing w:line="360" w:lineRule="auto"/>
        <w:rPr>
          <w:b/>
          <w:sz w:val="28"/>
          <w:szCs w:val="28"/>
          <w:lang w:val="en-ZA"/>
        </w:rPr>
      </w:pPr>
    </w:p>
    <w:p w14:paraId="5A69A265" w14:textId="2187D628" w:rsidR="00D279E1" w:rsidRPr="00D73D6A" w:rsidRDefault="00D279E1">
      <w:pPr>
        <w:spacing w:line="360" w:lineRule="auto"/>
        <w:rPr>
          <w:sz w:val="28"/>
          <w:szCs w:val="28"/>
          <w:lang w:val="en-ZA"/>
        </w:rPr>
      </w:pPr>
      <w:r w:rsidRPr="00D73D6A">
        <w:rPr>
          <w:b/>
          <w:sz w:val="28"/>
          <w:szCs w:val="28"/>
          <w:lang w:val="en-ZA"/>
        </w:rPr>
        <w:t>Introduction</w:t>
      </w:r>
    </w:p>
    <w:p w14:paraId="7D7749A3" w14:textId="58D0B1A6" w:rsidR="0023682A" w:rsidRPr="00D73D6A" w:rsidRDefault="00CD3AD6" w:rsidP="00D279E1">
      <w:pPr>
        <w:tabs>
          <w:tab w:val="left" w:pos="0"/>
        </w:tabs>
        <w:spacing w:line="360" w:lineRule="auto"/>
        <w:jc w:val="both"/>
        <w:rPr>
          <w:sz w:val="28"/>
          <w:szCs w:val="28"/>
        </w:rPr>
      </w:pPr>
      <w:r w:rsidRPr="00D73D6A">
        <w:rPr>
          <w:sz w:val="28"/>
          <w:szCs w:val="28"/>
        </w:rPr>
        <w:t>[1]</w:t>
      </w:r>
      <w:r w:rsidRPr="00D73D6A">
        <w:rPr>
          <w:sz w:val="28"/>
          <w:szCs w:val="28"/>
        </w:rPr>
        <w:tab/>
      </w:r>
      <w:r w:rsidR="00D279E1" w:rsidRPr="00D73D6A">
        <w:rPr>
          <w:sz w:val="28"/>
          <w:szCs w:val="28"/>
        </w:rPr>
        <w:t>This appeal is about two companies, namely Houtbosplaas (Pty) Ltd (Houtbosplaas) and TBS Alpha Beleggings (Pty) Ltd (TBS Alpha)</w:t>
      </w:r>
      <w:r w:rsidR="00E3367F" w:rsidRPr="00D73D6A">
        <w:rPr>
          <w:sz w:val="28"/>
          <w:szCs w:val="28"/>
        </w:rPr>
        <w:t>,</w:t>
      </w:r>
      <w:r w:rsidR="00D279E1" w:rsidRPr="00D73D6A">
        <w:rPr>
          <w:sz w:val="28"/>
          <w:szCs w:val="28"/>
        </w:rPr>
        <w:t xml:space="preserve"> suing their erstwhile </w:t>
      </w:r>
      <w:r w:rsidR="00B94946" w:rsidRPr="00D73D6A">
        <w:rPr>
          <w:sz w:val="28"/>
          <w:szCs w:val="28"/>
        </w:rPr>
        <w:t>bank</w:t>
      </w:r>
      <w:r w:rsidR="00D279E1" w:rsidRPr="00D73D6A">
        <w:rPr>
          <w:sz w:val="28"/>
          <w:szCs w:val="28"/>
        </w:rPr>
        <w:t xml:space="preserve">, Nedbank Limited (Nedbank), for damages (ie </w:t>
      </w:r>
      <w:r w:rsidR="00D279E1" w:rsidRPr="00D73D6A">
        <w:rPr>
          <w:i/>
          <w:sz w:val="28"/>
          <w:szCs w:val="28"/>
        </w:rPr>
        <w:t>mora</w:t>
      </w:r>
      <w:r w:rsidR="00D279E1" w:rsidRPr="00D73D6A">
        <w:rPr>
          <w:sz w:val="28"/>
          <w:szCs w:val="28"/>
        </w:rPr>
        <w:t xml:space="preserve"> interest) for failing to give immediate effect to their instructions. The gravamen of the complaint by Houtbosplaas and TBS Alpha is that Nedbank refused to close their bank accounts pursuant to their written instructions of 20 January 2017 to Nedbank to do so upon termination of the parties' customer and banker contractual relationship.</w:t>
      </w:r>
    </w:p>
    <w:p w14:paraId="4019F039" w14:textId="77777777" w:rsidR="00D279E1" w:rsidRPr="00D73D6A" w:rsidRDefault="00D279E1" w:rsidP="00D279E1">
      <w:pPr>
        <w:tabs>
          <w:tab w:val="left" w:pos="0"/>
        </w:tabs>
        <w:spacing w:line="360" w:lineRule="auto"/>
        <w:contextualSpacing/>
        <w:jc w:val="both"/>
        <w:rPr>
          <w:sz w:val="28"/>
          <w:szCs w:val="28"/>
        </w:rPr>
      </w:pPr>
    </w:p>
    <w:p w14:paraId="26783120" w14:textId="3F2AF7D8" w:rsidR="00D279E1" w:rsidRPr="00D73D6A" w:rsidRDefault="00D279E1" w:rsidP="00D279E1">
      <w:pPr>
        <w:tabs>
          <w:tab w:val="left" w:pos="0"/>
        </w:tabs>
        <w:spacing w:line="360" w:lineRule="auto"/>
        <w:jc w:val="both"/>
        <w:rPr>
          <w:sz w:val="28"/>
          <w:szCs w:val="28"/>
        </w:rPr>
      </w:pPr>
      <w:r w:rsidRPr="00D73D6A">
        <w:rPr>
          <w:sz w:val="28"/>
          <w:szCs w:val="28"/>
        </w:rPr>
        <w:lastRenderedPageBreak/>
        <w:t>[2]</w:t>
      </w:r>
      <w:r w:rsidRPr="00D73D6A">
        <w:rPr>
          <w:sz w:val="28"/>
          <w:szCs w:val="28"/>
        </w:rPr>
        <w:tab/>
        <w:t>The appeal concerns</w:t>
      </w:r>
      <w:r w:rsidR="00BB5662" w:rsidRPr="00D73D6A">
        <w:rPr>
          <w:sz w:val="28"/>
          <w:szCs w:val="28"/>
        </w:rPr>
        <w:t>,</w:t>
      </w:r>
      <w:r w:rsidRPr="00D73D6A">
        <w:rPr>
          <w:sz w:val="28"/>
          <w:szCs w:val="28"/>
        </w:rPr>
        <w:t xml:space="preserve"> primarily</w:t>
      </w:r>
      <w:r w:rsidR="00BB5662" w:rsidRPr="00D73D6A">
        <w:rPr>
          <w:sz w:val="28"/>
          <w:szCs w:val="28"/>
        </w:rPr>
        <w:t>,</w:t>
      </w:r>
      <w:r w:rsidRPr="00D73D6A">
        <w:rPr>
          <w:sz w:val="28"/>
          <w:szCs w:val="28"/>
        </w:rPr>
        <w:t xml:space="preserve"> the right of a customer of a bank to </w:t>
      </w:r>
      <w:r w:rsidR="00D20D0E" w:rsidRPr="00D73D6A">
        <w:rPr>
          <w:sz w:val="28"/>
          <w:szCs w:val="28"/>
        </w:rPr>
        <w:t>summarily</w:t>
      </w:r>
      <w:r w:rsidRPr="00D73D6A">
        <w:rPr>
          <w:sz w:val="28"/>
          <w:szCs w:val="28"/>
        </w:rPr>
        <w:t xml:space="preserve"> terminate its customer and banker contractual relationship</w:t>
      </w:r>
      <w:r w:rsidR="003A434C" w:rsidRPr="00D73D6A">
        <w:rPr>
          <w:rStyle w:val="FootnoteReference"/>
          <w:sz w:val="28"/>
          <w:szCs w:val="28"/>
        </w:rPr>
        <w:footnoteReference w:id="1"/>
      </w:r>
      <w:r w:rsidRPr="00D73D6A">
        <w:rPr>
          <w:sz w:val="28"/>
          <w:szCs w:val="28"/>
        </w:rPr>
        <w:t xml:space="preserve"> and close the customer's account.</w:t>
      </w:r>
      <w:r w:rsidR="007762CA" w:rsidRPr="00D73D6A">
        <w:rPr>
          <w:sz w:val="28"/>
          <w:szCs w:val="28"/>
        </w:rPr>
        <w:t xml:space="preserve"> Allied to the primary issue is the question whether Houtbosplaas and TBS Alpha have a right of recourse against Nedbank for </w:t>
      </w:r>
      <w:r w:rsidR="007762CA" w:rsidRPr="00D73D6A">
        <w:rPr>
          <w:i/>
          <w:sz w:val="28"/>
          <w:szCs w:val="28"/>
        </w:rPr>
        <w:t>mora</w:t>
      </w:r>
      <w:r w:rsidR="007762CA" w:rsidRPr="00D73D6A">
        <w:rPr>
          <w:sz w:val="28"/>
          <w:szCs w:val="28"/>
        </w:rPr>
        <w:t xml:space="preserve"> interest as a consequence of Nedbank's failure to pay over the funds held in the</w:t>
      </w:r>
      <w:r w:rsidR="00E3367F" w:rsidRPr="00D73D6A">
        <w:rPr>
          <w:sz w:val="28"/>
          <w:szCs w:val="28"/>
        </w:rPr>
        <w:t>ir respective accounts</w:t>
      </w:r>
      <w:r w:rsidR="007762CA" w:rsidRPr="00D73D6A">
        <w:rPr>
          <w:sz w:val="28"/>
          <w:szCs w:val="28"/>
        </w:rPr>
        <w:t xml:space="preserve"> to a nominated Bank within a reasonable time of having been requested to do so by its </w:t>
      </w:r>
      <w:r w:rsidR="00E3367F" w:rsidRPr="00D73D6A">
        <w:rPr>
          <w:sz w:val="28"/>
          <w:szCs w:val="28"/>
        </w:rPr>
        <w:t>customers</w:t>
      </w:r>
      <w:r w:rsidR="007762CA" w:rsidRPr="00D73D6A">
        <w:rPr>
          <w:sz w:val="28"/>
          <w:szCs w:val="28"/>
        </w:rPr>
        <w:t xml:space="preserve">. </w:t>
      </w:r>
    </w:p>
    <w:p w14:paraId="1A1B22FF" w14:textId="77777777" w:rsidR="00D279E1" w:rsidRPr="00D73D6A" w:rsidRDefault="00D279E1" w:rsidP="00D279E1">
      <w:pPr>
        <w:tabs>
          <w:tab w:val="left" w:pos="0"/>
        </w:tabs>
        <w:spacing w:line="360" w:lineRule="auto"/>
        <w:jc w:val="both"/>
        <w:rPr>
          <w:sz w:val="28"/>
          <w:szCs w:val="28"/>
        </w:rPr>
      </w:pPr>
    </w:p>
    <w:p w14:paraId="73B91B6A" w14:textId="1F5DB53C" w:rsidR="00D279E1" w:rsidRPr="00D73D6A" w:rsidRDefault="00D279E1" w:rsidP="00D279E1">
      <w:pPr>
        <w:tabs>
          <w:tab w:val="left" w:pos="0"/>
        </w:tabs>
        <w:spacing w:line="360" w:lineRule="auto"/>
        <w:jc w:val="both"/>
        <w:rPr>
          <w:sz w:val="28"/>
          <w:szCs w:val="28"/>
        </w:rPr>
      </w:pPr>
      <w:r w:rsidRPr="00D73D6A">
        <w:rPr>
          <w:b/>
          <w:sz w:val="28"/>
          <w:szCs w:val="28"/>
        </w:rPr>
        <w:t>The facts</w:t>
      </w:r>
    </w:p>
    <w:p w14:paraId="68FE7EDC" w14:textId="1260557F" w:rsidR="00D279E1" w:rsidRPr="00D73D6A" w:rsidRDefault="00D279E1" w:rsidP="00D279E1">
      <w:pPr>
        <w:tabs>
          <w:tab w:val="left" w:pos="0"/>
        </w:tabs>
        <w:spacing w:line="360" w:lineRule="auto"/>
        <w:jc w:val="both"/>
        <w:rPr>
          <w:sz w:val="28"/>
          <w:szCs w:val="28"/>
        </w:rPr>
      </w:pPr>
      <w:r w:rsidRPr="00D73D6A">
        <w:rPr>
          <w:sz w:val="28"/>
          <w:szCs w:val="28"/>
        </w:rPr>
        <w:t>[3]</w:t>
      </w:r>
      <w:r w:rsidRPr="00D73D6A">
        <w:rPr>
          <w:sz w:val="28"/>
          <w:szCs w:val="28"/>
        </w:rPr>
        <w:tab/>
      </w:r>
      <w:r w:rsidR="003A434C" w:rsidRPr="00D73D6A">
        <w:rPr>
          <w:sz w:val="28"/>
          <w:szCs w:val="28"/>
        </w:rPr>
        <w:t xml:space="preserve">Houtbosplaas and TBS Alpha are both limited liability </w:t>
      </w:r>
      <w:r w:rsidR="00D11074" w:rsidRPr="00D73D6A">
        <w:rPr>
          <w:sz w:val="28"/>
          <w:szCs w:val="28"/>
        </w:rPr>
        <w:t>private</w:t>
      </w:r>
      <w:r w:rsidR="003A434C" w:rsidRPr="00D73D6A">
        <w:rPr>
          <w:sz w:val="28"/>
          <w:szCs w:val="28"/>
        </w:rPr>
        <w:t xml:space="preserve"> companies incorporated during 1973 and 1978 respectively in accordance with the company laws of this country. Before the dispute giving rise to the current litigation</w:t>
      </w:r>
      <w:r w:rsidR="00D11074" w:rsidRPr="00D73D6A">
        <w:rPr>
          <w:sz w:val="28"/>
          <w:szCs w:val="28"/>
        </w:rPr>
        <w:t xml:space="preserve"> arose</w:t>
      </w:r>
      <w:r w:rsidR="00C87FDD" w:rsidRPr="00D73D6A">
        <w:rPr>
          <w:sz w:val="28"/>
          <w:szCs w:val="28"/>
        </w:rPr>
        <w:t>,</w:t>
      </w:r>
      <w:r w:rsidR="003A434C" w:rsidRPr="00D73D6A">
        <w:rPr>
          <w:sz w:val="28"/>
          <w:szCs w:val="28"/>
        </w:rPr>
        <w:t xml:space="preserve"> both Houtbosplaas and TBS Alpha</w:t>
      </w:r>
      <w:r w:rsidR="007762CA" w:rsidRPr="00D73D6A">
        <w:rPr>
          <w:sz w:val="28"/>
          <w:szCs w:val="28"/>
        </w:rPr>
        <w:t xml:space="preserve"> had</w:t>
      </w:r>
      <w:r w:rsidR="003A434C" w:rsidRPr="00D73D6A">
        <w:rPr>
          <w:sz w:val="28"/>
          <w:szCs w:val="28"/>
        </w:rPr>
        <w:t xml:space="preserve"> held several banking accounts with Nedbank for decades. Retired Judge van Dijkhorst is and has been the sole director of Houtbosplaas and TBS Alpha since their incorporation.</w:t>
      </w:r>
    </w:p>
    <w:p w14:paraId="7DBCBD01" w14:textId="77777777" w:rsidR="003A434C" w:rsidRPr="00D73D6A" w:rsidRDefault="003A434C" w:rsidP="00D279E1">
      <w:pPr>
        <w:tabs>
          <w:tab w:val="left" w:pos="0"/>
        </w:tabs>
        <w:spacing w:line="360" w:lineRule="auto"/>
        <w:jc w:val="both"/>
        <w:rPr>
          <w:sz w:val="28"/>
          <w:szCs w:val="28"/>
        </w:rPr>
      </w:pPr>
    </w:p>
    <w:p w14:paraId="766954CC" w14:textId="5639504C" w:rsidR="003A434C" w:rsidRPr="00D73D6A" w:rsidRDefault="003A434C" w:rsidP="00D279E1">
      <w:pPr>
        <w:tabs>
          <w:tab w:val="left" w:pos="0"/>
        </w:tabs>
        <w:spacing w:line="360" w:lineRule="auto"/>
        <w:jc w:val="both"/>
        <w:rPr>
          <w:sz w:val="28"/>
          <w:szCs w:val="28"/>
        </w:rPr>
      </w:pPr>
      <w:r w:rsidRPr="00D73D6A">
        <w:rPr>
          <w:sz w:val="28"/>
          <w:szCs w:val="28"/>
        </w:rPr>
        <w:t>[4]</w:t>
      </w:r>
      <w:r w:rsidRPr="00D73D6A">
        <w:rPr>
          <w:sz w:val="28"/>
          <w:szCs w:val="28"/>
        </w:rPr>
        <w:tab/>
        <w:t>During October 2017 Houtbosplaas and TBS Alpha, as applicants, instituted motion proceedings against Nedbank in the Gauteng Division of the High Court, Pretoria (the high court) in which they sought the following relief:</w:t>
      </w:r>
    </w:p>
    <w:p w14:paraId="41E701B5" w14:textId="6F51AB5B" w:rsidR="003A434C" w:rsidRPr="00D73D6A" w:rsidRDefault="003A434C" w:rsidP="001743D2">
      <w:pPr>
        <w:tabs>
          <w:tab w:val="left" w:pos="0"/>
          <w:tab w:val="left" w:pos="709"/>
        </w:tabs>
        <w:spacing w:line="360" w:lineRule="auto"/>
        <w:ind w:left="705" w:hanging="705"/>
        <w:jc w:val="both"/>
        <w:rPr>
          <w:szCs w:val="28"/>
        </w:rPr>
      </w:pPr>
      <w:r w:rsidRPr="00D73D6A">
        <w:rPr>
          <w:szCs w:val="28"/>
        </w:rPr>
        <w:t>'</w:t>
      </w:r>
      <w:r w:rsidR="001743D2" w:rsidRPr="00D73D6A">
        <w:rPr>
          <w:szCs w:val="28"/>
        </w:rPr>
        <w:t>1.1</w:t>
      </w:r>
      <w:r w:rsidR="001743D2" w:rsidRPr="00D73D6A">
        <w:rPr>
          <w:szCs w:val="28"/>
        </w:rPr>
        <w:tab/>
        <w:t xml:space="preserve">Judgment against </w:t>
      </w:r>
      <w:r w:rsidR="00D92D3F" w:rsidRPr="00D73D6A">
        <w:rPr>
          <w:szCs w:val="28"/>
        </w:rPr>
        <w:t xml:space="preserve">[Nedbank] </w:t>
      </w:r>
      <w:r w:rsidR="001743D2" w:rsidRPr="00D73D6A">
        <w:rPr>
          <w:szCs w:val="28"/>
        </w:rPr>
        <w:t xml:space="preserve">in favour of </w:t>
      </w:r>
      <w:r w:rsidR="00D92D3F" w:rsidRPr="00D73D6A">
        <w:rPr>
          <w:szCs w:val="28"/>
        </w:rPr>
        <w:t>[Houtbosplaas Pty Ltd]</w:t>
      </w:r>
      <w:r w:rsidR="001743D2" w:rsidRPr="00D73D6A">
        <w:rPr>
          <w:szCs w:val="28"/>
        </w:rPr>
        <w:t xml:space="preserve"> for payment of the amount of R66 814,68;</w:t>
      </w:r>
    </w:p>
    <w:p w14:paraId="311E33E5" w14:textId="4504374C" w:rsidR="001743D2" w:rsidRPr="00D73D6A" w:rsidRDefault="001743D2" w:rsidP="001743D2">
      <w:pPr>
        <w:tabs>
          <w:tab w:val="left" w:pos="0"/>
          <w:tab w:val="left" w:pos="709"/>
        </w:tabs>
        <w:spacing w:line="360" w:lineRule="auto"/>
        <w:ind w:left="705" w:hanging="705"/>
        <w:jc w:val="both"/>
        <w:rPr>
          <w:szCs w:val="28"/>
        </w:rPr>
      </w:pPr>
      <w:r w:rsidRPr="00D73D6A">
        <w:rPr>
          <w:szCs w:val="28"/>
        </w:rPr>
        <w:t>1.2</w:t>
      </w:r>
      <w:r w:rsidRPr="00D73D6A">
        <w:rPr>
          <w:szCs w:val="28"/>
        </w:rPr>
        <w:tab/>
        <w:t>Interest on the amount of R66 814,68 at the rate of 10,25% per annum from 8 July 2017 to date of final payment;</w:t>
      </w:r>
    </w:p>
    <w:p w14:paraId="174E043E" w14:textId="02C01EF9" w:rsidR="001743D2" w:rsidRPr="00D73D6A" w:rsidRDefault="001743D2" w:rsidP="001743D2">
      <w:pPr>
        <w:tabs>
          <w:tab w:val="left" w:pos="0"/>
          <w:tab w:val="left" w:pos="709"/>
        </w:tabs>
        <w:spacing w:line="360" w:lineRule="auto"/>
        <w:ind w:left="705" w:hanging="705"/>
        <w:jc w:val="both"/>
        <w:rPr>
          <w:szCs w:val="28"/>
        </w:rPr>
      </w:pPr>
      <w:r w:rsidRPr="00D73D6A">
        <w:rPr>
          <w:szCs w:val="28"/>
        </w:rPr>
        <w:t>2.1</w:t>
      </w:r>
      <w:r w:rsidRPr="00D73D6A">
        <w:rPr>
          <w:szCs w:val="28"/>
        </w:rPr>
        <w:tab/>
        <w:t xml:space="preserve">Judgment against the </w:t>
      </w:r>
      <w:r w:rsidR="00D92D3F" w:rsidRPr="00D73D6A">
        <w:rPr>
          <w:szCs w:val="28"/>
        </w:rPr>
        <w:t xml:space="preserve">[Nedbank] </w:t>
      </w:r>
      <w:r w:rsidRPr="00D73D6A">
        <w:rPr>
          <w:szCs w:val="28"/>
        </w:rPr>
        <w:t xml:space="preserve">in favour of the </w:t>
      </w:r>
      <w:r w:rsidR="00D92D3F" w:rsidRPr="00D73D6A">
        <w:rPr>
          <w:szCs w:val="28"/>
        </w:rPr>
        <w:t xml:space="preserve">[TBS Alpha </w:t>
      </w:r>
      <w:r w:rsidR="00606F6E" w:rsidRPr="00D73D6A">
        <w:rPr>
          <w:szCs w:val="28"/>
        </w:rPr>
        <w:t>Beleggings (Pty) Ltd</w:t>
      </w:r>
      <w:r w:rsidR="00D92D3F" w:rsidRPr="00D73D6A">
        <w:rPr>
          <w:szCs w:val="28"/>
        </w:rPr>
        <w:t>]</w:t>
      </w:r>
      <w:r w:rsidRPr="00D73D6A">
        <w:rPr>
          <w:szCs w:val="28"/>
        </w:rPr>
        <w:t xml:space="preserve"> for payment of the amount of R114 288,63;</w:t>
      </w:r>
    </w:p>
    <w:p w14:paraId="1CED2C7D" w14:textId="4DCA4257" w:rsidR="001743D2" w:rsidRPr="00D73D6A" w:rsidRDefault="001743D2" w:rsidP="001743D2">
      <w:pPr>
        <w:tabs>
          <w:tab w:val="left" w:pos="0"/>
          <w:tab w:val="left" w:pos="709"/>
        </w:tabs>
        <w:spacing w:line="360" w:lineRule="auto"/>
        <w:ind w:left="705" w:hanging="705"/>
        <w:jc w:val="both"/>
        <w:rPr>
          <w:szCs w:val="28"/>
        </w:rPr>
      </w:pPr>
      <w:r w:rsidRPr="00D73D6A">
        <w:rPr>
          <w:szCs w:val="28"/>
        </w:rPr>
        <w:lastRenderedPageBreak/>
        <w:t>2.2</w:t>
      </w:r>
      <w:r w:rsidRPr="00D73D6A">
        <w:rPr>
          <w:szCs w:val="28"/>
        </w:rPr>
        <w:tab/>
        <w:t>Interest on the amount of R114 288,63 at the rate of 10,25% from 8 July 2017 to date of final payment;</w:t>
      </w:r>
    </w:p>
    <w:p w14:paraId="50A94584" w14:textId="5D93125A" w:rsidR="001743D2" w:rsidRPr="00D73D6A" w:rsidRDefault="001743D2" w:rsidP="001743D2">
      <w:pPr>
        <w:tabs>
          <w:tab w:val="left" w:pos="0"/>
          <w:tab w:val="left" w:pos="709"/>
        </w:tabs>
        <w:spacing w:line="360" w:lineRule="auto"/>
        <w:ind w:left="705" w:hanging="705"/>
        <w:jc w:val="both"/>
        <w:rPr>
          <w:szCs w:val="28"/>
        </w:rPr>
      </w:pPr>
      <w:r w:rsidRPr="00D73D6A">
        <w:rPr>
          <w:szCs w:val="28"/>
        </w:rPr>
        <w:t>3</w:t>
      </w:r>
      <w:r w:rsidRPr="00D73D6A">
        <w:rPr>
          <w:szCs w:val="28"/>
        </w:rPr>
        <w:tab/>
        <w:t>Costs of the suit on the scale as between attorney-and-own-client;</w:t>
      </w:r>
    </w:p>
    <w:p w14:paraId="08DCBC29" w14:textId="74C8FCB1" w:rsidR="001743D2" w:rsidRPr="00D73D6A" w:rsidRDefault="00C87FDD" w:rsidP="001743D2">
      <w:pPr>
        <w:tabs>
          <w:tab w:val="left" w:pos="0"/>
          <w:tab w:val="left" w:pos="709"/>
        </w:tabs>
        <w:spacing w:line="360" w:lineRule="auto"/>
        <w:ind w:left="705" w:hanging="705"/>
        <w:jc w:val="both"/>
        <w:rPr>
          <w:szCs w:val="28"/>
        </w:rPr>
      </w:pPr>
      <w:r w:rsidRPr="00D73D6A">
        <w:rPr>
          <w:szCs w:val="28"/>
        </w:rPr>
        <w:tab/>
      </w:r>
      <w:r w:rsidR="001743D2" w:rsidRPr="00D73D6A">
        <w:rPr>
          <w:szCs w:val="28"/>
        </w:rPr>
        <w:t>. . .'</w:t>
      </w:r>
    </w:p>
    <w:p w14:paraId="6BBF7AE9" w14:textId="77777777" w:rsidR="001743D2" w:rsidRPr="00D73D6A" w:rsidRDefault="001743D2" w:rsidP="001743D2">
      <w:pPr>
        <w:tabs>
          <w:tab w:val="left" w:pos="0"/>
          <w:tab w:val="left" w:pos="709"/>
        </w:tabs>
        <w:spacing w:line="360" w:lineRule="auto"/>
        <w:ind w:left="705" w:hanging="705"/>
        <w:jc w:val="both"/>
        <w:rPr>
          <w:sz w:val="28"/>
          <w:szCs w:val="28"/>
        </w:rPr>
      </w:pPr>
    </w:p>
    <w:p w14:paraId="2BDB1CA1" w14:textId="4C509CBF" w:rsidR="001743D2" w:rsidRPr="00D73D6A" w:rsidRDefault="001743D2" w:rsidP="001743D2">
      <w:pPr>
        <w:tabs>
          <w:tab w:val="left" w:pos="0"/>
        </w:tabs>
        <w:spacing w:line="360" w:lineRule="auto"/>
        <w:jc w:val="both"/>
        <w:rPr>
          <w:sz w:val="28"/>
          <w:szCs w:val="28"/>
        </w:rPr>
      </w:pPr>
      <w:r w:rsidRPr="00D73D6A">
        <w:rPr>
          <w:sz w:val="28"/>
          <w:szCs w:val="28"/>
        </w:rPr>
        <w:t>[5]</w:t>
      </w:r>
      <w:r w:rsidRPr="00D73D6A">
        <w:rPr>
          <w:sz w:val="28"/>
          <w:szCs w:val="28"/>
        </w:rPr>
        <w:tab/>
        <w:t xml:space="preserve">The following is briefly what precipitated </w:t>
      </w:r>
      <w:r w:rsidR="00C87FDD" w:rsidRPr="00D73D6A">
        <w:rPr>
          <w:sz w:val="28"/>
          <w:szCs w:val="28"/>
        </w:rPr>
        <w:t xml:space="preserve">the </w:t>
      </w:r>
      <w:r w:rsidRPr="00D73D6A">
        <w:rPr>
          <w:sz w:val="28"/>
          <w:szCs w:val="28"/>
        </w:rPr>
        <w:t>litigation. As already mentioned above, Houtbosplaas and TBS Alpha were incorporated in 1973 and 1978 respectively. Retired Judge van Dijkhorst hold</w:t>
      </w:r>
      <w:r w:rsidR="007762CA" w:rsidRPr="00D73D6A">
        <w:rPr>
          <w:sz w:val="28"/>
          <w:szCs w:val="28"/>
        </w:rPr>
        <w:t>s</w:t>
      </w:r>
      <w:r w:rsidRPr="00D73D6A">
        <w:rPr>
          <w:sz w:val="28"/>
          <w:szCs w:val="28"/>
        </w:rPr>
        <w:t xml:space="preserve"> one prefer</w:t>
      </w:r>
      <w:r w:rsidR="009D57DF" w:rsidRPr="00D73D6A">
        <w:rPr>
          <w:sz w:val="28"/>
          <w:szCs w:val="28"/>
        </w:rPr>
        <w:t>e</w:t>
      </w:r>
      <w:r w:rsidRPr="00D73D6A">
        <w:rPr>
          <w:sz w:val="28"/>
          <w:szCs w:val="28"/>
        </w:rPr>
        <w:t>n</w:t>
      </w:r>
      <w:r w:rsidR="007762CA" w:rsidRPr="00D73D6A">
        <w:rPr>
          <w:sz w:val="28"/>
          <w:szCs w:val="28"/>
        </w:rPr>
        <w:t>ce</w:t>
      </w:r>
      <w:r w:rsidRPr="00D73D6A">
        <w:rPr>
          <w:sz w:val="28"/>
          <w:szCs w:val="28"/>
        </w:rPr>
        <w:t xml:space="preserve"> share</w:t>
      </w:r>
      <w:r w:rsidR="007762CA" w:rsidRPr="00D73D6A">
        <w:rPr>
          <w:rStyle w:val="FootnoteReference"/>
          <w:sz w:val="28"/>
          <w:szCs w:val="28"/>
        </w:rPr>
        <w:footnoteReference w:id="2"/>
      </w:r>
      <w:r w:rsidRPr="00D73D6A">
        <w:rPr>
          <w:sz w:val="28"/>
          <w:szCs w:val="28"/>
        </w:rPr>
        <w:t xml:space="preserve"> in each of the companies. In addition</w:t>
      </w:r>
      <w:r w:rsidR="007762CA" w:rsidRPr="00D73D6A">
        <w:rPr>
          <w:sz w:val="28"/>
          <w:szCs w:val="28"/>
        </w:rPr>
        <w:t>,</w:t>
      </w:r>
      <w:r w:rsidRPr="00D73D6A">
        <w:rPr>
          <w:sz w:val="28"/>
          <w:szCs w:val="28"/>
        </w:rPr>
        <w:t xml:space="preserve"> four trusts formed in 1978 and 1980 and named after his four daughters </w:t>
      </w:r>
      <w:r w:rsidR="00B94946" w:rsidRPr="00D73D6A">
        <w:rPr>
          <w:sz w:val="28"/>
          <w:szCs w:val="28"/>
        </w:rPr>
        <w:t xml:space="preserve">each </w:t>
      </w:r>
      <w:r w:rsidRPr="00D73D6A">
        <w:rPr>
          <w:sz w:val="28"/>
          <w:szCs w:val="28"/>
        </w:rPr>
        <w:t>hold one prefer</w:t>
      </w:r>
      <w:r w:rsidR="009D57DF" w:rsidRPr="00D73D6A">
        <w:rPr>
          <w:sz w:val="28"/>
          <w:szCs w:val="28"/>
        </w:rPr>
        <w:t>e</w:t>
      </w:r>
      <w:r w:rsidRPr="00D73D6A">
        <w:rPr>
          <w:sz w:val="28"/>
          <w:szCs w:val="28"/>
        </w:rPr>
        <w:t>n</w:t>
      </w:r>
      <w:r w:rsidR="007762CA" w:rsidRPr="00D73D6A">
        <w:rPr>
          <w:sz w:val="28"/>
          <w:szCs w:val="28"/>
        </w:rPr>
        <w:t>ce</w:t>
      </w:r>
      <w:r w:rsidRPr="00D73D6A">
        <w:rPr>
          <w:sz w:val="28"/>
          <w:szCs w:val="28"/>
        </w:rPr>
        <w:t xml:space="preserve"> and ordinary share</w:t>
      </w:r>
      <w:r w:rsidR="007762CA" w:rsidRPr="00D73D6A">
        <w:rPr>
          <w:sz w:val="28"/>
          <w:szCs w:val="28"/>
        </w:rPr>
        <w:t>s</w:t>
      </w:r>
      <w:r w:rsidRPr="00D73D6A">
        <w:rPr>
          <w:sz w:val="28"/>
          <w:szCs w:val="28"/>
        </w:rPr>
        <w:t xml:space="preserve"> in the two companies. Retired Judge van Dijkhorst is the sole trustee of the four </w:t>
      </w:r>
      <w:r w:rsidRPr="00D73D6A">
        <w:rPr>
          <w:sz w:val="28"/>
          <w:szCs w:val="28"/>
        </w:rPr>
        <w:lastRenderedPageBreak/>
        <w:t>trusts and represents them – and himself – at shareholders' meetings of the companies. For convenience, I shall henceforth refer to Judge van Dijkhorst as the companies' representative or trustee as the context dictates.</w:t>
      </w:r>
    </w:p>
    <w:p w14:paraId="5343289A" w14:textId="77777777" w:rsidR="009917BA" w:rsidRPr="00D73D6A" w:rsidRDefault="009917BA" w:rsidP="001743D2">
      <w:pPr>
        <w:tabs>
          <w:tab w:val="left" w:pos="0"/>
        </w:tabs>
        <w:spacing w:line="360" w:lineRule="auto"/>
        <w:jc w:val="both"/>
        <w:rPr>
          <w:sz w:val="28"/>
          <w:szCs w:val="28"/>
        </w:rPr>
      </w:pPr>
    </w:p>
    <w:p w14:paraId="59412C37" w14:textId="77777777" w:rsidR="00577041" w:rsidRPr="00D73D6A" w:rsidRDefault="001743D2" w:rsidP="00577041">
      <w:pPr>
        <w:tabs>
          <w:tab w:val="left" w:pos="0"/>
        </w:tabs>
        <w:spacing w:line="360" w:lineRule="auto"/>
        <w:jc w:val="both"/>
        <w:rPr>
          <w:sz w:val="28"/>
          <w:szCs w:val="28"/>
        </w:rPr>
      </w:pPr>
      <w:r w:rsidRPr="00D73D6A">
        <w:rPr>
          <w:sz w:val="28"/>
          <w:szCs w:val="28"/>
        </w:rPr>
        <w:t>[6]</w:t>
      </w:r>
      <w:r w:rsidRPr="00D73D6A">
        <w:rPr>
          <w:sz w:val="28"/>
          <w:szCs w:val="28"/>
        </w:rPr>
        <w:tab/>
        <w:t xml:space="preserve">During 2016 Nedbank requested the companies' representative to provide certain information </w:t>
      </w:r>
      <w:r w:rsidR="00C87FDD" w:rsidRPr="00D73D6A">
        <w:rPr>
          <w:sz w:val="28"/>
          <w:szCs w:val="28"/>
        </w:rPr>
        <w:t>in respect of</w:t>
      </w:r>
      <w:r w:rsidRPr="00D73D6A">
        <w:rPr>
          <w:sz w:val="28"/>
          <w:szCs w:val="28"/>
        </w:rPr>
        <w:t xml:space="preserve"> the companies ostensibly pursuant to the provisions of the Financial Intelligence Centre Act (FICA).</w:t>
      </w:r>
      <w:r w:rsidRPr="00D73D6A">
        <w:rPr>
          <w:rStyle w:val="FootnoteReference"/>
          <w:sz w:val="28"/>
          <w:szCs w:val="28"/>
        </w:rPr>
        <w:footnoteReference w:id="3"/>
      </w:r>
      <w:r w:rsidRPr="00D73D6A">
        <w:rPr>
          <w:sz w:val="28"/>
          <w:szCs w:val="28"/>
        </w:rPr>
        <w:t xml:space="preserve"> In particular, Nedbank required that it be provided with copies of the trust deeds of the four trusts together with cop</w:t>
      </w:r>
      <w:r w:rsidR="00E671B9" w:rsidRPr="00D73D6A">
        <w:rPr>
          <w:sz w:val="28"/>
          <w:szCs w:val="28"/>
        </w:rPr>
        <w:t>ies of the letter</w:t>
      </w:r>
      <w:r w:rsidR="00E73708" w:rsidRPr="00D73D6A">
        <w:rPr>
          <w:sz w:val="28"/>
          <w:szCs w:val="28"/>
        </w:rPr>
        <w:t>s</w:t>
      </w:r>
      <w:r w:rsidR="00E671B9" w:rsidRPr="00D73D6A">
        <w:rPr>
          <w:sz w:val="28"/>
          <w:szCs w:val="28"/>
        </w:rPr>
        <w:t xml:space="preserve"> issued by the</w:t>
      </w:r>
      <w:r w:rsidR="00E73708" w:rsidRPr="00D73D6A">
        <w:rPr>
          <w:sz w:val="28"/>
          <w:szCs w:val="28"/>
        </w:rPr>
        <w:t xml:space="preserve"> Master of the High Court appointing</w:t>
      </w:r>
      <w:r w:rsidR="00E671B9" w:rsidRPr="00D73D6A">
        <w:rPr>
          <w:sz w:val="28"/>
          <w:szCs w:val="28"/>
        </w:rPr>
        <w:t xml:space="preserve"> </w:t>
      </w:r>
      <w:r w:rsidR="00C87FDD" w:rsidRPr="00D73D6A">
        <w:rPr>
          <w:sz w:val="28"/>
          <w:szCs w:val="28"/>
        </w:rPr>
        <w:t>the companies' representative</w:t>
      </w:r>
      <w:r w:rsidR="00E671B9" w:rsidRPr="00D73D6A">
        <w:rPr>
          <w:sz w:val="28"/>
          <w:szCs w:val="28"/>
        </w:rPr>
        <w:t xml:space="preserve"> as the sole trustee of the four trust</w:t>
      </w:r>
      <w:r w:rsidR="00C87FDD" w:rsidRPr="00D73D6A">
        <w:rPr>
          <w:sz w:val="28"/>
          <w:szCs w:val="28"/>
        </w:rPr>
        <w:t>s</w:t>
      </w:r>
      <w:r w:rsidR="00E671B9" w:rsidRPr="00D73D6A">
        <w:rPr>
          <w:sz w:val="28"/>
          <w:szCs w:val="28"/>
        </w:rPr>
        <w:t xml:space="preserve">. </w:t>
      </w:r>
      <w:r w:rsidR="007762CA" w:rsidRPr="00D73D6A">
        <w:rPr>
          <w:sz w:val="28"/>
          <w:szCs w:val="28"/>
        </w:rPr>
        <w:t>Begrudgingly</w:t>
      </w:r>
      <w:r w:rsidR="00E671B9" w:rsidRPr="00D73D6A">
        <w:rPr>
          <w:sz w:val="28"/>
          <w:szCs w:val="28"/>
        </w:rPr>
        <w:t xml:space="preserve">, the </w:t>
      </w:r>
      <w:r w:rsidR="00E73708" w:rsidRPr="00D73D6A">
        <w:rPr>
          <w:sz w:val="28"/>
          <w:szCs w:val="28"/>
        </w:rPr>
        <w:t>auditors</w:t>
      </w:r>
      <w:r w:rsidR="00E671B9" w:rsidRPr="00D73D6A">
        <w:rPr>
          <w:sz w:val="28"/>
          <w:szCs w:val="28"/>
        </w:rPr>
        <w:t xml:space="preserve"> of the companies, on instructions from the companies</w:t>
      </w:r>
      <w:r w:rsidR="00E73708" w:rsidRPr="00D73D6A">
        <w:rPr>
          <w:sz w:val="28"/>
          <w:szCs w:val="28"/>
        </w:rPr>
        <w:t>' representative</w:t>
      </w:r>
      <w:r w:rsidR="00E671B9" w:rsidRPr="00D73D6A">
        <w:rPr>
          <w:sz w:val="28"/>
          <w:szCs w:val="28"/>
        </w:rPr>
        <w:t xml:space="preserve">, provided the trust deeds of </w:t>
      </w:r>
      <w:r w:rsidR="0070537D" w:rsidRPr="00D73D6A">
        <w:rPr>
          <w:sz w:val="28"/>
          <w:szCs w:val="28"/>
        </w:rPr>
        <w:t xml:space="preserve">only </w:t>
      </w:r>
      <w:r w:rsidR="00E671B9" w:rsidRPr="00D73D6A">
        <w:rPr>
          <w:sz w:val="28"/>
          <w:szCs w:val="28"/>
        </w:rPr>
        <w:t xml:space="preserve">three of the four trusts. The companies' representative was reluctant to provide a copy of the outstanding trust deed, </w:t>
      </w:r>
      <w:r w:rsidR="00C87FDD" w:rsidRPr="00D73D6A">
        <w:rPr>
          <w:sz w:val="28"/>
          <w:szCs w:val="28"/>
        </w:rPr>
        <w:t>asserting</w:t>
      </w:r>
      <w:r w:rsidR="00E671B9" w:rsidRPr="00D73D6A">
        <w:rPr>
          <w:sz w:val="28"/>
          <w:szCs w:val="28"/>
        </w:rPr>
        <w:t xml:space="preserve"> that Nedbank's request therefor constituted an unjustifiable intrusion into </w:t>
      </w:r>
      <w:r w:rsidR="00C87FDD" w:rsidRPr="00D73D6A">
        <w:rPr>
          <w:sz w:val="28"/>
          <w:szCs w:val="28"/>
        </w:rPr>
        <w:t>the trusts'</w:t>
      </w:r>
      <w:r w:rsidR="00E671B9" w:rsidRPr="00D73D6A">
        <w:rPr>
          <w:sz w:val="28"/>
          <w:szCs w:val="28"/>
        </w:rPr>
        <w:t xml:space="preserve"> right to privacy. Nevertheless, on 2</w:t>
      </w:r>
      <w:r w:rsidR="00B048D4" w:rsidRPr="00D73D6A">
        <w:rPr>
          <w:sz w:val="28"/>
          <w:szCs w:val="28"/>
        </w:rPr>
        <w:t> </w:t>
      </w:r>
      <w:r w:rsidR="00E671B9" w:rsidRPr="00D73D6A">
        <w:rPr>
          <w:sz w:val="28"/>
          <w:szCs w:val="28"/>
        </w:rPr>
        <w:t>December 2016 he was only prepared to show the trust deed to Nedbank's representatives, a Mr Moolman and Ms de Kock</w:t>
      </w:r>
      <w:r w:rsidR="00C87FDD" w:rsidRPr="00D73D6A">
        <w:rPr>
          <w:sz w:val="28"/>
          <w:szCs w:val="28"/>
        </w:rPr>
        <w:t>,</w:t>
      </w:r>
      <w:r w:rsidR="00E671B9" w:rsidRPr="00D73D6A">
        <w:rPr>
          <w:sz w:val="28"/>
          <w:szCs w:val="28"/>
        </w:rPr>
        <w:t xml:space="preserve"> for inspection and examination. </w:t>
      </w:r>
      <w:r w:rsidR="00577041" w:rsidRPr="00D73D6A">
        <w:rPr>
          <w:sz w:val="28"/>
          <w:szCs w:val="28"/>
        </w:rPr>
        <w:t>He was also prepared for them to photograph the trust deed but they declined this offer. However, he steadfastly refused to allow Nedbank's representatives to remove the trust deed from his home.</w:t>
      </w:r>
    </w:p>
    <w:p w14:paraId="79296519" w14:textId="77777777" w:rsidR="0070537D" w:rsidRPr="00D73D6A" w:rsidRDefault="0070537D" w:rsidP="001743D2">
      <w:pPr>
        <w:tabs>
          <w:tab w:val="left" w:pos="0"/>
        </w:tabs>
        <w:spacing w:line="360" w:lineRule="auto"/>
        <w:jc w:val="both"/>
        <w:rPr>
          <w:sz w:val="28"/>
          <w:szCs w:val="28"/>
        </w:rPr>
      </w:pPr>
    </w:p>
    <w:p w14:paraId="56CE05B1" w14:textId="7F8A23D0" w:rsidR="00E671B9" w:rsidRPr="00D73D6A" w:rsidRDefault="00E671B9" w:rsidP="001743D2">
      <w:pPr>
        <w:tabs>
          <w:tab w:val="left" w:pos="0"/>
        </w:tabs>
        <w:spacing w:line="360" w:lineRule="auto"/>
        <w:jc w:val="both"/>
        <w:rPr>
          <w:sz w:val="28"/>
          <w:szCs w:val="28"/>
        </w:rPr>
      </w:pPr>
      <w:r w:rsidRPr="00D73D6A">
        <w:rPr>
          <w:sz w:val="28"/>
          <w:szCs w:val="28"/>
        </w:rPr>
        <w:t>[7]</w:t>
      </w:r>
      <w:r w:rsidRPr="00D73D6A">
        <w:rPr>
          <w:sz w:val="28"/>
          <w:szCs w:val="28"/>
        </w:rPr>
        <w:tab/>
        <w:t>Nedbank's standpoint was tha</w:t>
      </w:r>
      <w:r w:rsidR="00C87FDD" w:rsidRPr="00D73D6A">
        <w:rPr>
          <w:sz w:val="28"/>
          <w:szCs w:val="28"/>
        </w:rPr>
        <w:t>t each of the four trusts held</w:t>
      </w:r>
      <w:r w:rsidRPr="00D73D6A">
        <w:rPr>
          <w:sz w:val="28"/>
          <w:szCs w:val="28"/>
        </w:rPr>
        <w:t xml:space="preserve"> 25%</w:t>
      </w:r>
      <w:r w:rsidR="00C87FDD" w:rsidRPr="00D73D6A">
        <w:rPr>
          <w:sz w:val="28"/>
          <w:szCs w:val="28"/>
        </w:rPr>
        <w:t xml:space="preserve"> of the issued</w:t>
      </w:r>
      <w:r w:rsidRPr="00D73D6A">
        <w:rPr>
          <w:sz w:val="28"/>
          <w:szCs w:val="28"/>
        </w:rPr>
        <w:t xml:space="preserve"> shares in the two companies. Accordingly,</w:t>
      </w:r>
      <w:r w:rsidR="0070537D" w:rsidRPr="00D73D6A">
        <w:rPr>
          <w:sz w:val="28"/>
          <w:szCs w:val="28"/>
        </w:rPr>
        <w:t xml:space="preserve"> Nedbank contended that</w:t>
      </w:r>
      <w:r w:rsidRPr="00D73D6A">
        <w:rPr>
          <w:sz w:val="28"/>
          <w:szCs w:val="28"/>
        </w:rPr>
        <w:t xml:space="preserve"> the companies were obliged under FICA to provide the requested documentation. On the contrary, Houtbosplaas and TBS Alpha asserted that according to their </w:t>
      </w:r>
      <w:r w:rsidRPr="00D73D6A">
        <w:rPr>
          <w:sz w:val="28"/>
          <w:szCs w:val="28"/>
        </w:rPr>
        <w:lastRenderedPageBreak/>
        <w:t xml:space="preserve">memoranda of incorporation each one of the trusts </w:t>
      </w:r>
      <w:r w:rsidR="0070537D" w:rsidRPr="00D73D6A">
        <w:rPr>
          <w:sz w:val="28"/>
          <w:szCs w:val="28"/>
        </w:rPr>
        <w:t xml:space="preserve">holds </w:t>
      </w:r>
      <w:r w:rsidRPr="00D73D6A">
        <w:rPr>
          <w:sz w:val="28"/>
          <w:szCs w:val="28"/>
        </w:rPr>
        <w:t xml:space="preserve">less than 25% of the issued shares in the two companies and, more specifically, they each hold </w:t>
      </w:r>
      <w:r w:rsidR="00802753" w:rsidRPr="00D73D6A">
        <w:rPr>
          <w:sz w:val="28"/>
          <w:szCs w:val="28"/>
        </w:rPr>
        <w:t>22</w:t>
      </w:r>
      <w:r w:rsidRPr="00D73D6A">
        <w:rPr>
          <w:sz w:val="28"/>
          <w:szCs w:val="28"/>
        </w:rPr>
        <w:t xml:space="preserve">% of the issued shares. </w:t>
      </w:r>
      <w:r w:rsidR="00C87FDD" w:rsidRPr="00D73D6A">
        <w:rPr>
          <w:sz w:val="28"/>
          <w:szCs w:val="28"/>
        </w:rPr>
        <w:t xml:space="preserve">The entrenched opposing views held by the parties as to the trusts' shareholding in the two companies resulted in an impasse. </w:t>
      </w:r>
      <w:r w:rsidR="002A5189" w:rsidRPr="00D73D6A">
        <w:rPr>
          <w:sz w:val="28"/>
          <w:szCs w:val="28"/>
        </w:rPr>
        <w:t>In exasperation, on 20 January 2017, the companies' representative, acting on behalf of the companies, gave written notice to Nedbank to close the companies' bank accounts and transfer all funds held in those accounts to ABSA Bank to be credited to various accounts, details of which were provided.</w:t>
      </w:r>
    </w:p>
    <w:p w14:paraId="4353C7B1" w14:textId="77777777" w:rsidR="002A5189" w:rsidRPr="00D73D6A" w:rsidRDefault="002A5189" w:rsidP="001743D2">
      <w:pPr>
        <w:tabs>
          <w:tab w:val="left" w:pos="0"/>
        </w:tabs>
        <w:spacing w:line="360" w:lineRule="auto"/>
        <w:jc w:val="both"/>
        <w:rPr>
          <w:sz w:val="28"/>
          <w:szCs w:val="28"/>
        </w:rPr>
      </w:pPr>
    </w:p>
    <w:p w14:paraId="006954B8" w14:textId="12878645" w:rsidR="002A5189" w:rsidRPr="00D73D6A" w:rsidRDefault="002A5189" w:rsidP="001743D2">
      <w:pPr>
        <w:tabs>
          <w:tab w:val="left" w:pos="0"/>
        </w:tabs>
        <w:spacing w:line="360" w:lineRule="auto"/>
        <w:jc w:val="both"/>
        <w:rPr>
          <w:sz w:val="28"/>
          <w:szCs w:val="28"/>
        </w:rPr>
      </w:pPr>
      <w:r w:rsidRPr="00D73D6A">
        <w:rPr>
          <w:sz w:val="28"/>
          <w:szCs w:val="28"/>
        </w:rPr>
        <w:t>[8]</w:t>
      </w:r>
      <w:r w:rsidRPr="00D73D6A">
        <w:rPr>
          <w:sz w:val="28"/>
          <w:szCs w:val="28"/>
        </w:rPr>
        <w:tab/>
      </w:r>
      <w:r w:rsidR="00C87FDD" w:rsidRPr="00D73D6A">
        <w:rPr>
          <w:sz w:val="28"/>
          <w:szCs w:val="28"/>
        </w:rPr>
        <w:t>In response, o</w:t>
      </w:r>
      <w:r w:rsidRPr="00D73D6A">
        <w:rPr>
          <w:sz w:val="28"/>
          <w:szCs w:val="28"/>
        </w:rPr>
        <w:t>n 8 February 2017</w:t>
      </w:r>
      <w:r w:rsidR="00670072" w:rsidRPr="00D73D6A">
        <w:rPr>
          <w:sz w:val="28"/>
          <w:szCs w:val="28"/>
        </w:rPr>
        <w:t>,</w:t>
      </w:r>
      <w:r w:rsidRPr="00D73D6A">
        <w:rPr>
          <w:sz w:val="28"/>
          <w:szCs w:val="28"/>
        </w:rPr>
        <w:t xml:space="preserve"> Nedbank advised the companies that it would not comply with the request to close the accounts and transfer the funds to ABSA Bank because the companies had failed to comply with Nedbank's request and, as a result, the accounts were restricted in</w:t>
      </w:r>
      <w:r w:rsidR="0070537D" w:rsidRPr="00D73D6A">
        <w:rPr>
          <w:sz w:val="28"/>
          <w:szCs w:val="28"/>
        </w:rPr>
        <w:t xml:space="preserve"> accordance with the prescripts</w:t>
      </w:r>
      <w:r w:rsidRPr="00D73D6A">
        <w:rPr>
          <w:sz w:val="28"/>
          <w:szCs w:val="28"/>
        </w:rPr>
        <w:t xml:space="preserve"> of FICA. For their part, the trusts asserted that they were not Nedbank's clients and were consequently under no statutory obligation to provide the trust documents required by Nedbank. On 11 February 2017 the companies turned to the Banking Ombudsman</w:t>
      </w:r>
      <w:r w:rsidR="00670072" w:rsidRPr="00D73D6A">
        <w:rPr>
          <w:sz w:val="28"/>
          <w:szCs w:val="28"/>
        </w:rPr>
        <w:t>, soliciting the latter's</w:t>
      </w:r>
      <w:r w:rsidRPr="00D73D6A">
        <w:rPr>
          <w:sz w:val="28"/>
          <w:szCs w:val="28"/>
        </w:rPr>
        <w:t xml:space="preserve"> assistance in order to resolve the impasse. This, too, failed to yield the desired outcome. </w:t>
      </w:r>
    </w:p>
    <w:p w14:paraId="775E0E01" w14:textId="77777777" w:rsidR="002A5189" w:rsidRPr="00D73D6A" w:rsidRDefault="002A5189" w:rsidP="001743D2">
      <w:pPr>
        <w:tabs>
          <w:tab w:val="left" w:pos="0"/>
        </w:tabs>
        <w:spacing w:line="360" w:lineRule="auto"/>
        <w:jc w:val="both"/>
        <w:rPr>
          <w:sz w:val="28"/>
          <w:szCs w:val="28"/>
        </w:rPr>
      </w:pPr>
    </w:p>
    <w:p w14:paraId="6E4C2A5B" w14:textId="7074C4C7" w:rsidR="002A5189" w:rsidRPr="00D73D6A" w:rsidRDefault="002A5189" w:rsidP="001743D2">
      <w:pPr>
        <w:tabs>
          <w:tab w:val="left" w:pos="0"/>
        </w:tabs>
        <w:spacing w:line="360" w:lineRule="auto"/>
        <w:jc w:val="both"/>
        <w:rPr>
          <w:sz w:val="28"/>
          <w:szCs w:val="28"/>
        </w:rPr>
      </w:pPr>
      <w:r w:rsidRPr="00D73D6A">
        <w:rPr>
          <w:sz w:val="28"/>
          <w:szCs w:val="28"/>
        </w:rPr>
        <w:t>[9]</w:t>
      </w:r>
      <w:r w:rsidRPr="00D73D6A">
        <w:rPr>
          <w:sz w:val="28"/>
          <w:szCs w:val="28"/>
        </w:rPr>
        <w:tab/>
      </w:r>
      <w:r w:rsidR="002C50D6" w:rsidRPr="00D73D6A">
        <w:rPr>
          <w:sz w:val="28"/>
          <w:szCs w:val="28"/>
        </w:rPr>
        <w:t xml:space="preserve">Ultimately, and on </w:t>
      </w:r>
      <w:r w:rsidR="00802753" w:rsidRPr="00D73D6A">
        <w:rPr>
          <w:sz w:val="28"/>
          <w:szCs w:val="28"/>
        </w:rPr>
        <w:t>7 June 2017</w:t>
      </w:r>
      <w:r w:rsidR="002C50D6" w:rsidRPr="00D73D6A">
        <w:rPr>
          <w:sz w:val="28"/>
          <w:szCs w:val="28"/>
        </w:rPr>
        <w:t xml:space="preserve">, the companies relented and provided the outstanding documentation, namely the copy of the trust deed </w:t>
      </w:r>
      <w:r w:rsidR="0070537D" w:rsidRPr="00D73D6A">
        <w:rPr>
          <w:sz w:val="28"/>
          <w:szCs w:val="28"/>
        </w:rPr>
        <w:t xml:space="preserve">of </w:t>
      </w:r>
      <w:r w:rsidR="002C50D6" w:rsidRPr="00D73D6A">
        <w:rPr>
          <w:sz w:val="28"/>
          <w:szCs w:val="28"/>
        </w:rPr>
        <w:t>the Hettie van Dijkhorst Trust</w:t>
      </w:r>
      <w:r w:rsidR="00577041" w:rsidRPr="00D73D6A">
        <w:rPr>
          <w:sz w:val="28"/>
          <w:szCs w:val="28"/>
        </w:rPr>
        <w:t>,</w:t>
      </w:r>
      <w:r w:rsidR="002C50D6" w:rsidRPr="00D73D6A">
        <w:rPr>
          <w:sz w:val="28"/>
          <w:szCs w:val="28"/>
        </w:rPr>
        <w:t xml:space="preserve"> to Nedbank. On 7 July 2017 Nedbank finally closed the companies' accounts and transferred all of the funds held in those accounts to ABSA Bank as previously requested by the companies on 20 January 201</w:t>
      </w:r>
      <w:r w:rsidR="00670072" w:rsidRPr="00D73D6A">
        <w:rPr>
          <w:sz w:val="28"/>
          <w:szCs w:val="28"/>
        </w:rPr>
        <w:t>7</w:t>
      </w:r>
      <w:r w:rsidR="002C50D6" w:rsidRPr="00D73D6A">
        <w:rPr>
          <w:sz w:val="28"/>
          <w:szCs w:val="28"/>
        </w:rPr>
        <w:t xml:space="preserve">. </w:t>
      </w:r>
      <w:r w:rsidR="00670072" w:rsidRPr="00D73D6A">
        <w:rPr>
          <w:sz w:val="28"/>
          <w:szCs w:val="28"/>
        </w:rPr>
        <w:t xml:space="preserve">Aggrieved by what the companies' representative viewed as Nedbank's unjustifiable and unlawful conduct, Houtbosplaas and TBS Alpha instituted legal proceedings against Nedbank for the relief set forth in paragraph 4 above. </w:t>
      </w:r>
      <w:r w:rsidR="0070537D" w:rsidRPr="00D73D6A">
        <w:rPr>
          <w:sz w:val="28"/>
          <w:szCs w:val="28"/>
        </w:rPr>
        <w:lastRenderedPageBreak/>
        <w:t>Nedbank resisted the claim, contending</w:t>
      </w:r>
      <w:r w:rsidR="00AD3A87" w:rsidRPr="00D73D6A">
        <w:rPr>
          <w:sz w:val="28"/>
          <w:szCs w:val="28"/>
        </w:rPr>
        <w:t>, in essence,</w:t>
      </w:r>
      <w:r w:rsidR="0070537D" w:rsidRPr="00D73D6A">
        <w:rPr>
          <w:sz w:val="28"/>
          <w:szCs w:val="28"/>
        </w:rPr>
        <w:t xml:space="preserve"> that it had acted perfectly within its rights in discharge of its statutory obligations</w:t>
      </w:r>
      <w:r w:rsidR="00AD3A87" w:rsidRPr="00D73D6A">
        <w:rPr>
          <w:sz w:val="28"/>
          <w:szCs w:val="28"/>
        </w:rPr>
        <w:t xml:space="preserve"> as required by FICA. </w:t>
      </w:r>
    </w:p>
    <w:p w14:paraId="74385733" w14:textId="77777777" w:rsidR="00F20817" w:rsidRPr="00D73D6A" w:rsidRDefault="00F20817" w:rsidP="001743D2">
      <w:pPr>
        <w:tabs>
          <w:tab w:val="left" w:pos="0"/>
        </w:tabs>
        <w:spacing w:line="360" w:lineRule="auto"/>
        <w:jc w:val="both"/>
        <w:rPr>
          <w:sz w:val="28"/>
          <w:szCs w:val="28"/>
        </w:rPr>
      </w:pPr>
    </w:p>
    <w:p w14:paraId="30762E1F" w14:textId="76A25402" w:rsidR="00F20817" w:rsidRPr="00D73D6A" w:rsidRDefault="00F20817" w:rsidP="001743D2">
      <w:pPr>
        <w:tabs>
          <w:tab w:val="left" w:pos="0"/>
        </w:tabs>
        <w:spacing w:line="360" w:lineRule="auto"/>
        <w:jc w:val="both"/>
        <w:rPr>
          <w:sz w:val="28"/>
          <w:szCs w:val="28"/>
        </w:rPr>
      </w:pPr>
      <w:r w:rsidRPr="00D73D6A">
        <w:rPr>
          <w:sz w:val="28"/>
          <w:szCs w:val="28"/>
        </w:rPr>
        <w:t>[10]</w:t>
      </w:r>
      <w:r w:rsidRPr="00D73D6A">
        <w:rPr>
          <w:sz w:val="28"/>
          <w:szCs w:val="28"/>
        </w:rPr>
        <w:tab/>
      </w:r>
      <w:r w:rsidR="00AD3A87" w:rsidRPr="00D73D6A">
        <w:rPr>
          <w:sz w:val="28"/>
          <w:szCs w:val="28"/>
        </w:rPr>
        <w:t xml:space="preserve">At the hearing of the matter, on </w:t>
      </w:r>
      <w:r w:rsidRPr="00D73D6A">
        <w:rPr>
          <w:sz w:val="28"/>
          <w:szCs w:val="28"/>
        </w:rPr>
        <w:t>8 October 2019</w:t>
      </w:r>
      <w:r w:rsidR="00AD3A87" w:rsidRPr="00D73D6A">
        <w:rPr>
          <w:sz w:val="28"/>
          <w:szCs w:val="28"/>
        </w:rPr>
        <w:t>,</w:t>
      </w:r>
      <w:r w:rsidRPr="00D73D6A">
        <w:rPr>
          <w:sz w:val="28"/>
          <w:szCs w:val="28"/>
        </w:rPr>
        <w:t xml:space="preserve"> the parties formulated seven questions for determination by the high court. These were:</w:t>
      </w:r>
    </w:p>
    <w:p w14:paraId="67DCDE1C" w14:textId="66213EF6" w:rsidR="00F20817" w:rsidRPr="00D73D6A" w:rsidRDefault="0081242E" w:rsidP="0081242E">
      <w:pPr>
        <w:tabs>
          <w:tab w:val="left" w:pos="0"/>
        </w:tabs>
        <w:spacing w:line="360" w:lineRule="auto"/>
        <w:ind w:left="720" w:hanging="720"/>
        <w:jc w:val="both"/>
        <w:rPr>
          <w:szCs w:val="28"/>
        </w:rPr>
      </w:pPr>
      <w:r w:rsidRPr="00D73D6A">
        <w:rPr>
          <w:szCs w:val="28"/>
        </w:rPr>
        <w:t>'2.1</w:t>
      </w:r>
      <w:r w:rsidRPr="00D73D6A">
        <w:rPr>
          <w:szCs w:val="28"/>
        </w:rPr>
        <w:tab/>
        <w:t>Whether the restriction/freezing of the Applicants' accounts by Nedbank was lawful, when considering the provisions of the Financial Intelligence Centre Act 38 of 2001 ("FICA").</w:t>
      </w:r>
    </w:p>
    <w:p w14:paraId="4EE5EF7C" w14:textId="6E635FBB" w:rsidR="0081242E" w:rsidRPr="00D73D6A" w:rsidRDefault="0081242E" w:rsidP="0081242E">
      <w:pPr>
        <w:tabs>
          <w:tab w:val="left" w:pos="0"/>
        </w:tabs>
        <w:spacing w:line="360" w:lineRule="auto"/>
        <w:ind w:left="720" w:hanging="720"/>
        <w:jc w:val="both"/>
        <w:rPr>
          <w:szCs w:val="28"/>
        </w:rPr>
      </w:pPr>
      <w:r w:rsidRPr="00D73D6A">
        <w:rPr>
          <w:szCs w:val="28"/>
        </w:rPr>
        <w:t>2.2</w:t>
      </w:r>
      <w:r w:rsidRPr="00D73D6A">
        <w:rPr>
          <w:szCs w:val="28"/>
        </w:rPr>
        <w:tab/>
        <w:t>Whether the restriction/freezing of the Applicants' accounts by Nedbank was lawful, in the light of the fact that the Applicants terminated Nedbank's mandate on 20</w:t>
      </w:r>
      <w:r w:rsidR="00F96959" w:rsidRPr="00D73D6A">
        <w:rPr>
          <w:szCs w:val="28"/>
        </w:rPr>
        <w:t> </w:t>
      </w:r>
      <w:r w:rsidRPr="00D73D6A">
        <w:rPr>
          <w:szCs w:val="28"/>
        </w:rPr>
        <w:t>January 2017.</w:t>
      </w:r>
    </w:p>
    <w:p w14:paraId="5E38BD5E" w14:textId="21C759C1" w:rsidR="0081242E" w:rsidRPr="00D73D6A" w:rsidRDefault="0081242E" w:rsidP="001743D2">
      <w:pPr>
        <w:tabs>
          <w:tab w:val="left" w:pos="0"/>
        </w:tabs>
        <w:spacing w:line="360" w:lineRule="auto"/>
        <w:jc w:val="both"/>
        <w:rPr>
          <w:szCs w:val="28"/>
        </w:rPr>
      </w:pPr>
      <w:r w:rsidRPr="00D73D6A">
        <w:rPr>
          <w:szCs w:val="28"/>
        </w:rPr>
        <w:t>2.3</w:t>
      </w:r>
      <w:r w:rsidRPr="00D73D6A">
        <w:rPr>
          <w:szCs w:val="28"/>
        </w:rPr>
        <w:tab/>
        <w:t>What should Nedbank's approach be to the Trust's privacy?</w:t>
      </w:r>
    </w:p>
    <w:p w14:paraId="3FBBC6D3" w14:textId="664F88B4" w:rsidR="0081242E" w:rsidRPr="00D73D6A" w:rsidRDefault="0081242E" w:rsidP="0081242E">
      <w:pPr>
        <w:tabs>
          <w:tab w:val="left" w:pos="0"/>
        </w:tabs>
        <w:spacing w:line="360" w:lineRule="auto"/>
        <w:ind w:left="720" w:hanging="720"/>
        <w:jc w:val="both"/>
        <w:rPr>
          <w:szCs w:val="28"/>
        </w:rPr>
      </w:pPr>
      <w:r w:rsidRPr="00D73D6A">
        <w:rPr>
          <w:szCs w:val="28"/>
        </w:rPr>
        <w:t>2.4</w:t>
      </w:r>
      <w:r w:rsidRPr="00D73D6A">
        <w:rPr>
          <w:szCs w:val="28"/>
        </w:rPr>
        <w:tab/>
        <w:t>How are the voting rights of the shareholders of the Applicants determined and is Nedbank's interpretation of Regulation 7(</w:t>
      </w:r>
      <w:r w:rsidRPr="00D73D6A">
        <w:rPr>
          <w:i/>
          <w:szCs w:val="28"/>
        </w:rPr>
        <w:t>f</w:t>
      </w:r>
      <w:r w:rsidRPr="00D73D6A">
        <w:rPr>
          <w:szCs w:val="28"/>
        </w:rPr>
        <w:t>)(ii) correct?</w:t>
      </w:r>
    </w:p>
    <w:p w14:paraId="785169AA" w14:textId="1FB14DF8" w:rsidR="0081242E" w:rsidRPr="00D73D6A" w:rsidRDefault="0081242E" w:rsidP="001743D2">
      <w:pPr>
        <w:tabs>
          <w:tab w:val="left" w:pos="0"/>
        </w:tabs>
        <w:spacing w:line="360" w:lineRule="auto"/>
        <w:jc w:val="both"/>
        <w:rPr>
          <w:szCs w:val="28"/>
        </w:rPr>
      </w:pPr>
      <w:r w:rsidRPr="00D73D6A">
        <w:rPr>
          <w:szCs w:val="28"/>
        </w:rPr>
        <w:t>2.5</w:t>
      </w:r>
      <w:r w:rsidRPr="00D73D6A">
        <w:rPr>
          <w:szCs w:val="28"/>
        </w:rPr>
        <w:tab/>
        <w:t>Is the closure of the Applicants' accounts a transaction as envisaged in FICA?</w:t>
      </w:r>
    </w:p>
    <w:p w14:paraId="6A92E03C" w14:textId="426276EB" w:rsidR="0081242E" w:rsidRPr="00D73D6A" w:rsidRDefault="0081242E" w:rsidP="0081242E">
      <w:pPr>
        <w:tabs>
          <w:tab w:val="left" w:pos="0"/>
        </w:tabs>
        <w:spacing w:line="360" w:lineRule="auto"/>
        <w:ind w:left="720" w:hanging="720"/>
        <w:jc w:val="both"/>
        <w:rPr>
          <w:szCs w:val="28"/>
        </w:rPr>
      </w:pPr>
      <w:r w:rsidRPr="00D73D6A">
        <w:rPr>
          <w:szCs w:val="28"/>
        </w:rPr>
        <w:t>2.6</w:t>
      </w:r>
      <w:r w:rsidRPr="00D73D6A">
        <w:rPr>
          <w:szCs w:val="28"/>
        </w:rPr>
        <w:tab/>
        <w:t xml:space="preserve">Whether the Applicants are entitled to their claims against Nedbank in terms of prayers 1, 2 and 3 of the Notice of Motion dated 2 October 2017. </w:t>
      </w:r>
      <w:r w:rsidRPr="00D73D6A">
        <w:rPr>
          <w:szCs w:val="28"/>
          <w:u w:val="single"/>
        </w:rPr>
        <w:t>Alternatively</w:t>
      </w:r>
      <w:r w:rsidRPr="00D73D6A">
        <w:rPr>
          <w:szCs w:val="28"/>
        </w:rPr>
        <w:t>, what is the correct remedy that this Honourable Court should grant?</w:t>
      </w:r>
    </w:p>
    <w:p w14:paraId="1282E39B" w14:textId="5678E565" w:rsidR="0081242E" w:rsidRPr="00D73D6A" w:rsidRDefault="0081242E" w:rsidP="001743D2">
      <w:pPr>
        <w:tabs>
          <w:tab w:val="left" w:pos="0"/>
        </w:tabs>
        <w:spacing w:line="360" w:lineRule="auto"/>
        <w:jc w:val="both"/>
        <w:rPr>
          <w:szCs w:val="28"/>
        </w:rPr>
      </w:pPr>
      <w:r w:rsidRPr="00D73D6A">
        <w:rPr>
          <w:szCs w:val="28"/>
        </w:rPr>
        <w:t>2.7</w:t>
      </w:r>
      <w:r w:rsidRPr="00D73D6A">
        <w:rPr>
          <w:szCs w:val="28"/>
        </w:rPr>
        <w:tab/>
        <w:t>Whether the Applicants are entitled to a punitive order for costs against Nedbank.'</w:t>
      </w:r>
    </w:p>
    <w:p w14:paraId="77052D3A" w14:textId="77777777" w:rsidR="0081242E" w:rsidRPr="00D73D6A" w:rsidRDefault="0081242E" w:rsidP="001743D2">
      <w:pPr>
        <w:tabs>
          <w:tab w:val="left" w:pos="0"/>
        </w:tabs>
        <w:spacing w:line="360" w:lineRule="auto"/>
        <w:jc w:val="both"/>
        <w:rPr>
          <w:sz w:val="28"/>
          <w:szCs w:val="28"/>
        </w:rPr>
      </w:pPr>
    </w:p>
    <w:p w14:paraId="1CA50C99" w14:textId="1A760D58" w:rsidR="0081242E" w:rsidRPr="00D73D6A" w:rsidRDefault="0081242E" w:rsidP="001743D2">
      <w:pPr>
        <w:tabs>
          <w:tab w:val="left" w:pos="0"/>
        </w:tabs>
        <w:spacing w:line="360" w:lineRule="auto"/>
        <w:jc w:val="both"/>
        <w:rPr>
          <w:sz w:val="28"/>
          <w:szCs w:val="28"/>
        </w:rPr>
      </w:pPr>
      <w:r w:rsidRPr="00D73D6A">
        <w:rPr>
          <w:sz w:val="28"/>
          <w:szCs w:val="28"/>
        </w:rPr>
        <w:t>[11]</w:t>
      </w:r>
      <w:r w:rsidRPr="00D73D6A">
        <w:rPr>
          <w:sz w:val="28"/>
          <w:szCs w:val="28"/>
        </w:rPr>
        <w:tab/>
      </w:r>
      <w:r w:rsidR="00E2276D" w:rsidRPr="00D73D6A">
        <w:rPr>
          <w:sz w:val="28"/>
          <w:szCs w:val="28"/>
        </w:rPr>
        <w:t>The matter came before Mothle J who granted the relief sought by Houtbosplaas and TBS Alpha as prayed in their notice of motion. In reaching his conclusion, the lea</w:t>
      </w:r>
      <w:r w:rsidR="00587EC2" w:rsidRPr="00D73D6A">
        <w:rPr>
          <w:sz w:val="28"/>
          <w:szCs w:val="28"/>
        </w:rPr>
        <w:t>r</w:t>
      </w:r>
      <w:r w:rsidR="00E2276D" w:rsidRPr="00D73D6A">
        <w:rPr>
          <w:sz w:val="28"/>
          <w:szCs w:val="28"/>
        </w:rPr>
        <w:t>ned Judge reasoned as follows:</w:t>
      </w:r>
    </w:p>
    <w:p w14:paraId="3E67C890" w14:textId="46F9A81B" w:rsidR="00E2276D" w:rsidRPr="00D73D6A" w:rsidRDefault="00802753" w:rsidP="00DF6B79">
      <w:pPr>
        <w:tabs>
          <w:tab w:val="left" w:pos="1134"/>
        </w:tabs>
        <w:spacing w:line="360" w:lineRule="auto"/>
        <w:ind w:left="567" w:hanging="567"/>
        <w:jc w:val="both"/>
        <w:rPr>
          <w:szCs w:val="28"/>
          <w:lang w:val="en-ZA"/>
        </w:rPr>
      </w:pPr>
      <w:r w:rsidRPr="00D73D6A">
        <w:rPr>
          <w:szCs w:val="28"/>
        </w:rPr>
        <w:tab/>
      </w:r>
      <w:r w:rsidR="00E2276D" w:rsidRPr="00D73D6A">
        <w:rPr>
          <w:szCs w:val="28"/>
        </w:rPr>
        <w:t xml:space="preserve">'In terms of Regulation 7 of the published Regulations, an accountable institution must obtain </w:t>
      </w:r>
      <w:r w:rsidR="00E2276D" w:rsidRPr="00D73D6A">
        <w:rPr>
          <w:i/>
          <w:szCs w:val="28"/>
        </w:rPr>
        <w:t>from the natural person</w:t>
      </w:r>
      <w:r w:rsidR="00E2276D" w:rsidRPr="00D73D6A">
        <w:rPr>
          <w:szCs w:val="28"/>
        </w:rPr>
        <w:t xml:space="preserve"> acting or purporting to act on behalf of a close corporation or the company with which it establishing a business relationship or concluding a single transaction:</w:t>
      </w:r>
    </w:p>
    <w:p w14:paraId="5FA290A8" w14:textId="755C889C" w:rsidR="006E23F6" w:rsidRPr="00D73D6A" w:rsidRDefault="006E23F6" w:rsidP="00E2276D">
      <w:pPr>
        <w:tabs>
          <w:tab w:val="left" w:pos="1418"/>
        </w:tabs>
        <w:spacing w:line="360" w:lineRule="auto"/>
        <w:ind w:left="1418" w:hanging="709"/>
        <w:jc w:val="both"/>
        <w:rPr>
          <w:i/>
          <w:szCs w:val="28"/>
        </w:rPr>
      </w:pPr>
      <w:r w:rsidRPr="00D73D6A">
        <w:rPr>
          <w:szCs w:val="28"/>
        </w:rPr>
        <w:t>"</w:t>
      </w:r>
      <w:r w:rsidRPr="00D73D6A">
        <w:rPr>
          <w:i/>
          <w:szCs w:val="28"/>
        </w:rPr>
        <w:t>(f)</w:t>
      </w:r>
      <w:r w:rsidRPr="00D73D6A">
        <w:rPr>
          <w:i/>
          <w:szCs w:val="28"/>
        </w:rPr>
        <w:tab/>
        <w:t>In the case of a company–</w:t>
      </w:r>
    </w:p>
    <w:p w14:paraId="4F2697DD" w14:textId="0650AE4C" w:rsidR="006E23F6" w:rsidRPr="00D73D6A" w:rsidRDefault="006E23F6" w:rsidP="00E2276D">
      <w:pPr>
        <w:tabs>
          <w:tab w:val="left" w:pos="1418"/>
        </w:tabs>
        <w:spacing w:line="360" w:lineRule="auto"/>
        <w:ind w:left="1418" w:hanging="709"/>
        <w:jc w:val="both"/>
        <w:rPr>
          <w:i/>
          <w:szCs w:val="28"/>
        </w:rPr>
      </w:pPr>
      <w:r w:rsidRPr="00D73D6A">
        <w:rPr>
          <w:i/>
          <w:szCs w:val="28"/>
        </w:rPr>
        <w:t>(ii)</w:t>
      </w:r>
      <w:r w:rsidRPr="00D73D6A">
        <w:rPr>
          <w:i/>
          <w:szCs w:val="28"/>
        </w:rPr>
        <w:tab/>
        <w:t>The full names, date of birth, identity number, ........</w:t>
      </w:r>
    </w:p>
    <w:p w14:paraId="10B92EB6" w14:textId="603B3B7A" w:rsidR="006E23F6" w:rsidRPr="00D73D6A" w:rsidRDefault="002D2CD3" w:rsidP="002D2CD3">
      <w:pPr>
        <w:tabs>
          <w:tab w:val="left" w:pos="1418"/>
        </w:tabs>
        <w:spacing w:line="360" w:lineRule="auto"/>
        <w:ind w:left="1418"/>
        <w:jc w:val="both"/>
        <w:rPr>
          <w:i/>
          <w:szCs w:val="28"/>
        </w:rPr>
      </w:pPr>
      <w:r w:rsidRPr="00D73D6A">
        <w:rPr>
          <w:i/>
          <w:szCs w:val="28"/>
        </w:rPr>
        <w:lastRenderedPageBreak/>
        <w:tab/>
      </w:r>
      <w:r w:rsidR="006E23F6" w:rsidRPr="00D73D6A">
        <w:rPr>
          <w:i/>
          <w:szCs w:val="28"/>
        </w:rPr>
        <w:t>concerning the natural or legal person, partnership or trust holding</w:t>
      </w:r>
      <w:r w:rsidR="001522C0" w:rsidRPr="00D73D6A">
        <w:rPr>
          <w:i/>
          <w:szCs w:val="28"/>
        </w:rPr>
        <w:t xml:space="preserve"> </w:t>
      </w:r>
      <w:r w:rsidR="006E23F6" w:rsidRPr="00D73D6A">
        <w:rPr>
          <w:i/>
          <w:szCs w:val="28"/>
        </w:rPr>
        <w:t>25% or more of the voting rights at the general meeting of the company concerned;"</w:t>
      </w:r>
    </w:p>
    <w:p w14:paraId="32E57DC7" w14:textId="54A472DD" w:rsidR="006E23F6" w:rsidRPr="00D73D6A" w:rsidRDefault="00802753" w:rsidP="00DF6B79">
      <w:pPr>
        <w:tabs>
          <w:tab w:val="left" w:pos="709"/>
        </w:tabs>
        <w:spacing w:line="360" w:lineRule="auto"/>
        <w:ind w:left="705" w:hanging="705"/>
        <w:jc w:val="both"/>
        <w:rPr>
          <w:szCs w:val="28"/>
        </w:rPr>
      </w:pPr>
      <w:r w:rsidRPr="00D73D6A">
        <w:rPr>
          <w:szCs w:val="28"/>
        </w:rPr>
        <w:tab/>
      </w:r>
      <w:r w:rsidR="006E23F6" w:rsidRPr="00D73D6A">
        <w:rPr>
          <w:szCs w:val="28"/>
        </w:rPr>
        <w:tab/>
        <w:t>In essence, the provisions of FICA read with the Regulations, in particular Regulation 7(f)(ii), obligates the Nedbank to obtain particulars of trusts holding 25% or more of the voting rights at the general meeting of the company concerned, in this case both the Applicants.</w:t>
      </w:r>
    </w:p>
    <w:p w14:paraId="62071FD3" w14:textId="26F09A9C" w:rsidR="006E23F6" w:rsidRPr="00D73D6A" w:rsidRDefault="006E23F6" w:rsidP="00DF6B79">
      <w:pPr>
        <w:tabs>
          <w:tab w:val="left" w:pos="709"/>
        </w:tabs>
        <w:spacing w:line="360" w:lineRule="auto"/>
        <w:jc w:val="both"/>
        <w:rPr>
          <w:szCs w:val="28"/>
        </w:rPr>
      </w:pPr>
      <w:r w:rsidRPr="00D73D6A">
        <w:rPr>
          <w:szCs w:val="28"/>
        </w:rPr>
        <w:tab/>
      </w:r>
      <w:r w:rsidR="00404101" w:rsidRPr="00D73D6A">
        <w:rPr>
          <w:szCs w:val="28"/>
        </w:rPr>
        <w:t>. . .</w:t>
      </w:r>
    </w:p>
    <w:p w14:paraId="47FF446B" w14:textId="43D776F4" w:rsidR="00404101" w:rsidRPr="00D73D6A" w:rsidRDefault="00404101" w:rsidP="00DF6B79">
      <w:pPr>
        <w:tabs>
          <w:tab w:val="left" w:pos="709"/>
        </w:tabs>
        <w:spacing w:line="360" w:lineRule="auto"/>
        <w:ind w:left="705" w:hanging="705"/>
        <w:jc w:val="both"/>
        <w:rPr>
          <w:i/>
          <w:szCs w:val="28"/>
        </w:rPr>
      </w:pPr>
      <w:r w:rsidRPr="00D73D6A">
        <w:rPr>
          <w:szCs w:val="28"/>
        </w:rPr>
        <w:tab/>
        <w:t xml:space="preserve">The Memorandum of Incorporation ("MOI") of the two applicant companies is identical in its description of voting rights in a general meeting. Article 2.1 of the MOI deals with shares and the rights of shareholders </w:t>
      </w:r>
      <w:r w:rsidR="00BF2B4A" w:rsidRPr="00D73D6A">
        <w:rPr>
          <w:szCs w:val="28"/>
        </w:rPr>
        <w:t>t</w:t>
      </w:r>
      <w:r w:rsidRPr="00D73D6A">
        <w:rPr>
          <w:szCs w:val="28"/>
        </w:rPr>
        <w:t xml:space="preserve">hat accrue therefrom. In particular, the voting rights accorded to the preference shares are restricted as they concern </w:t>
      </w:r>
      <w:r w:rsidRPr="00D73D6A">
        <w:rPr>
          <w:i/>
          <w:szCs w:val="28"/>
        </w:rPr>
        <w:t>"a resolution that may have the result that a determination is made concerning the property of the company for their own benefit or for the benefit of the estate."</w:t>
      </w:r>
      <w:r w:rsidRPr="00D73D6A">
        <w:rPr>
          <w:szCs w:val="28"/>
        </w:rPr>
        <w:t xml:space="preserve"> However, the restriction </w:t>
      </w:r>
      <w:r w:rsidRPr="00D73D6A">
        <w:rPr>
          <w:i/>
          <w:szCs w:val="28"/>
        </w:rPr>
        <w:t>"shall not have the effect of excluding the right of the preference shareholders to vote on any resolution relating to the compensation of directors or other matters within the normal scope of the powers of the company."</w:t>
      </w:r>
    </w:p>
    <w:p w14:paraId="33B9359B" w14:textId="77777777" w:rsidR="00802753" w:rsidRPr="00D73D6A" w:rsidRDefault="00802753" w:rsidP="00DF6B79">
      <w:pPr>
        <w:tabs>
          <w:tab w:val="left" w:pos="709"/>
        </w:tabs>
        <w:spacing w:line="360" w:lineRule="auto"/>
        <w:ind w:left="705" w:hanging="705"/>
        <w:jc w:val="both"/>
        <w:rPr>
          <w:szCs w:val="28"/>
        </w:rPr>
      </w:pPr>
    </w:p>
    <w:p w14:paraId="7DCB5EB9" w14:textId="3BFB5358" w:rsidR="00404101" w:rsidRPr="00D73D6A" w:rsidRDefault="00404101" w:rsidP="00DF6B79">
      <w:pPr>
        <w:tabs>
          <w:tab w:val="left" w:pos="709"/>
        </w:tabs>
        <w:spacing w:line="360" w:lineRule="auto"/>
        <w:ind w:left="705" w:hanging="705"/>
        <w:jc w:val="both"/>
        <w:rPr>
          <w:szCs w:val="28"/>
        </w:rPr>
      </w:pPr>
      <w:r w:rsidRPr="00D73D6A">
        <w:rPr>
          <w:szCs w:val="28"/>
        </w:rPr>
        <w:tab/>
      </w:r>
      <w:r w:rsidR="000F08B4" w:rsidRPr="00D73D6A">
        <w:rPr>
          <w:szCs w:val="28"/>
        </w:rPr>
        <w:t>The Applicants' counsel submits that in determining the voting rights exercised by</w:t>
      </w:r>
      <w:r w:rsidR="00531960" w:rsidRPr="00D73D6A">
        <w:rPr>
          <w:szCs w:val="28"/>
        </w:rPr>
        <w:t xml:space="preserve"> </w:t>
      </w:r>
      <w:r w:rsidR="000F08B4" w:rsidRPr="00D73D6A">
        <w:rPr>
          <w:szCs w:val="28"/>
        </w:rPr>
        <w:t>each trust shareholder in a general meeting, one has to include the preferential shares held by such trust and in essence, each trust will in fact have 22% of the voting rights. Consequently, Nedbank erred in invoking the provisions of Regulation 7(f)(ii), to demand the trust deeds of the shareholders to the Applicants. I agree with this submission and in my view on this point alone, Nedbank's interpretation of Regulation 7(</w:t>
      </w:r>
      <w:r w:rsidR="000F08B4" w:rsidRPr="00D73D6A">
        <w:rPr>
          <w:i/>
          <w:szCs w:val="28"/>
        </w:rPr>
        <w:t>f</w:t>
      </w:r>
      <w:r w:rsidR="000F08B4" w:rsidRPr="00D73D6A">
        <w:rPr>
          <w:szCs w:val="28"/>
        </w:rPr>
        <w:t>)(ii) in relation to the applicants was incorrect. Nedbank was therefore not lawfully entitled to demand the trust deeds of the trust's shareholders of the applicants.</w:t>
      </w:r>
    </w:p>
    <w:p w14:paraId="32502B68" w14:textId="77777777" w:rsidR="00802753" w:rsidRPr="00D73D6A" w:rsidRDefault="00802753" w:rsidP="00DF6B79">
      <w:pPr>
        <w:tabs>
          <w:tab w:val="left" w:pos="709"/>
        </w:tabs>
        <w:spacing w:line="360" w:lineRule="auto"/>
        <w:ind w:left="705" w:hanging="705"/>
        <w:jc w:val="both"/>
        <w:rPr>
          <w:szCs w:val="28"/>
        </w:rPr>
      </w:pPr>
    </w:p>
    <w:p w14:paraId="26D2B726" w14:textId="634A3E98" w:rsidR="000F08B4" w:rsidRPr="00D73D6A" w:rsidRDefault="000F08B4" w:rsidP="00DF6B79">
      <w:pPr>
        <w:tabs>
          <w:tab w:val="left" w:pos="709"/>
        </w:tabs>
        <w:spacing w:line="360" w:lineRule="auto"/>
        <w:ind w:left="705" w:hanging="705"/>
        <w:jc w:val="both"/>
        <w:rPr>
          <w:szCs w:val="28"/>
        </w:rPr>
      </w:pPr>
      <w:r w:rsidRPr="00D73D6A">
        <w:rPr>
          <w:szCs w:val="28"/>
        </w:rPr>
        <w:tab/>
        <w:t xml:space="preserve">On this point alone, Nedbank ignored or misinterpreted the provisions of the MOI of the two companies and thus acted unlawfully in imposing the restrictions of access to the accounts. Nedbank is therefore liable for payment of the loss of mora interest. </w:t>
      </w:r>
    </w:p>
    <w:p w14:paraId="230B7873" w14:textId="0FC378C1" w:rsidR="000F08B4" w:rsidRPr="00D73D6A" w:rsidRDefault="000F08B4" w:rsidP="00DF6B79">
      <w:pPr>
        <w:tabs>
          <w:tab w:val="left" w:pos="709"/>
        </w:tabs>
        <w:spacing w:line="360" w:lineRule="auto"/>
        <w:ind w:left="705" w:hanging="705"/>
        <w:jc w:val="both"/>
        <w:rPr>
          <w:szCs w:val="28"/>
        </w:rPr>
      </w:pPr>
      <w:r w:rsidRPr="00D73D6A">
        <w:rPr>
          <w:szCs w:val="28"/>
        </w:rPr>
        <w:lastRenderedPageBreak/>
        <w:tab/>
        <w:t xml:space="preserve">There is another matter. Nedbank seems to hold the view that its customers with which it has a business relationship are obligated by FICA to provide verification documents to it on demand. I could not find anywhere in the provisions of FICA, that apart from demanding new customers to submit identification documents, Nedbank, or any financial institution for that matter, can demand from their existing account holders, and enforce that demand for submission of identity documents for verification, by restricting access to their accounts. On the contrary, Section 21B(4) enjoins the bank to establish the address of </w:t>
      </w:r>
      <w:r w:rsidRPr="00D73D6A">
        <w:rPr>
          <w:i/>
          <w:szCs w:val="28"/>
        </w:rPr>
        <w:t>the Master of the High Court</w:t>
      </w:r>
      <w:r w:rsidRPr="00D73D6A">
        <w:rPr>
          <w:szCs w:val="28"/>
        </w:rPr>
        <w:t xml:space="preserve"> where a trust is registered, if applicable. It seems to me that by not specifically providing that the financial institutions should obtain identification only from the customers, FICA has left room for these financial institutions to access other sources from which such documents and/or information could be obtained, such as the office of the Companies and Intellectual Property Commission ("CIPC"), the office of the Master of the High Court in respect of trusts and the personal identity documents of individuals and partners to a partnership from the Department of Home Affairs.'</w:t>
      </w:r>
      <w:r w:rsidR="00577041" w:rsidRPr="00D73D6A">
        <w:rPr>
          <w:rStyle w:val="FootnoteReference"/>
          <w:szCs w:val="28"/>
        </w:rPr>
        <w:footnoteReference w:id="4"/>
      </w:r>
    </w:p>
    <w:p w14:paraId="1D020BE1" w14:textId="77777777" w:rsidR="000F08B4" w:rsidRPr="00D73D6A" w:rsidRDefault="000F08B4" w:rsidP="00DF6B79">
      <w:pPr>
        <w:tabs>
          <w:tab w:val="left" w:pos="709"/>
        </w:tabs>
        <w:spacing w:line="360" w:lineRule="auto"/>
        <w:jc w:val="both"/>
        <w:rPr>
          <w:sz w:val="28"/>
          <w:szCs w:val="28"/>
        </w:rPr>
      </w:pPr>
    </w:p>
    <w:p w14:paraId="617B78E0" w14:textId="6EBE484F" w:rsidR="000F08B4" w:rsidRPr="00D73D6A" w:rsidRDefault="000F08B4" w:rsidP="00140884">
      <w:pPr>
        <w:tabs>
          <w:tab w:val="left" w:pos="709"/>
        </w:tabs>
        <w:spacing w:line="360" w:lineRule="auto"/>
        <w:jc w:val="both"/>
        <w:rPr>
          <w:sz w:val="28"/>
          <w:szCs w:val="28"/>
        </w:rPr>
      </w:pPr>
      <w:r w:rsidRPr="00D73D6A">
        <w:rPr>
          <w:sz w:val="28"/>
          <w:szCs w:val="28"/>
        </w:rPr>
        <w:t>[12]</w:t>
      </w:r>
      <w:r w:rsidR="00BF2B4A" w:rsidRPr="00D73D6A">
        <w:rPr>
          <w:sz w:val="28"/>
          <w:szCs w:val="28"/>
        </w:rPr>
        <w:tab/>
      </w:r>
      <w:r w:rsidR="00C7155F" w:rsidRPr="00D73D6A">
        <w:rPr>
          <w:sz w:val="28"/>
          <w:szCs w:val="28"/>
        </w:rPr>
        <w:t xml:space="preserve">In short, the high court found in favour of Houtbosplaas and TBS Alpha on two bases. First, it held that each one of the four trusts did not exercise 25% of the voting rights at general meetings of the companies, that is Houtbosplaas and TBS Alpha. Second, it concluded that clients of a bank were under no statutory obligation under FICA to provide documents to </w:t>
      </w:r>
      <w:r w:rsidR="00AD3A87" w:rsidRPr="00D73D6A">
        <w:rPr>
          <w:sz w:val="28"/>
          <w:szCs w:val="28"/>
        </w:rPr>
        <w:t xml:space="preserve">a </w:t>
      </w:r>
      <w:r w:rsidR="00C7155F" w:rsidRPr="00D73D6A">
        <w:rPr>
          <w:sz w:val="28"/>
          <w:szCs w:val="28"/>
        </w:rPr>
        <w:t>bank</w:t>
      </w:r>
      <w:r w:rsidR="00AD3A87" w:rsidRPr="00D73D6A">
        <w:rPr>
          <w:sz w:val="28"/>
          <w:szCs w:val="28"/>
        </w:rPr>
        <w:t xml:space="preserve"> for verification purposes</w:t>
      </w:r>
      <w:r w:rsidR="00C7155F" w:rsidRPr="00D73D6A">
        <w:rPr>
          <w:sz w:val="28"/>
          <w:szCs w:val="28"/>
        </w:rPr>
        <w:t xml:space="preserve"> upon request</w:t>
      </w:r>
      <w:r w:rsidR="00AD3A87" w:rsidRPr="00D73D6A">
        <w:rPr>
          <w:sz w:val="28"/>
          <w:szCs w:val="28"/>
        </w:rPr>
        <w:t xml:space="preserve"> to do so by such bank</w:t>
      </w:r>
      <w:r w:rsidR="00C7155F" w:rsidRPr="00D73D6A">
        <w:rPr>
          <w:sz w:val="28"/>
          <w:szCs w:val="28"/>
        </w:rPr>
        <w:t xml:space="preserve">. </w:t>
      </w:r>
      <w:r w:rsidR="00140884" w:rsidRPr="00D73D6A">
        <w:rPr>
          <w:sz w:val="28"/>
          <w:szCs w:val="28"/>
        </w:rPr>
        <w:t>Thereafter</w:t>
      </w:r>
      <w:r w:rsidR="00AD3A87" w:rsidRPr="00D73D6A">
        <w:rPr>
          <w:sz w:val="28"/>
          <w:szCs w:val="28"/>
        </w:rPr>
        <w:t>,</w:t>
      </w:r>
      <w:r w:rsidR="00140884" w:rsidRPr="00D73D6A">
        <w:rPr>
          <w:sz w:val="28"/>
          <w:szCs w:val="28"/>
        </w:rPr>
        <w:t xml:space="preserve"> the high court refused Nedbank's application for leave to appeal which was subsequently granted by this </w:t>
      </w:r>
      <w:r w:rsidR="0022189A" w:rsidRPr="00D73D6A">
        <w:rPr>
          <w:sz w:val="28"/>
          <w:szCs w:val="28"/>
        </w:rPr>
        <w:t>C</w:t>
      </w:r>
      <w:r w:rsidR="00140884" w:rsidRPr="00D73D6A">
        <w:rPr>
          <w:sz w:val="28"/>
          <w:szCs w:val="28"/>
        </w:rPr>
        <w:t>ourt on petition to it.</w:t>
      </w:r>
    </w:p>
    <w:p w14:paraId="141C84A5" w14:textId="77777777" w:rsidR="00140884" w:rsidRPr="00D73D6A" w:rsidRDefault="00140884" w:rsidP="00404101">
      <w:pPr>
        <w:tabs>
          <w:tab w:val="left" w:pos="709"/>
        </w:tabs>
        <w:spacing w:line="360" w:lineRule="auto"/>
        <w:ind w:left="1440" w:hanging="1440"/>
        <w:jc w:val="both"/>
        <w:rPr>
          <w:sz w:val="28"/>
          <w:szCs w:val="28"/>
        </w:rPr>
      </w:pPr>
    </w:p>
    <w:p w14:paraId="5CFCB209" w14:textId="322C4770" w:rsidR="00140884" w:rsidRPr="00D73D6A" w:rsidRDefault="00140884" w:rsidP="00140884">
      <w:pPr>
        <w:tabs>
          <w:tab w:val="left" w:pos="709"/>
        </w:tabs>
        <w:spacing w:line="360" w:lineRule="auto"/>
        <w:jc w:val="both"/>
        <w:rPr>
          <w:sz w:val="28"/>
          <w:szCs w:val="28"/>
        </w:rPr>
      </w:pPr>
      <w:r w:rsidRPr="00D73D6A">
        <w:rPr>
          <w:sz w:val="28"/>
          <w:szCs w:val="28"/>
        </w:rPr>
        <w:t>[13]</w:t>
      </w:r>
      <w:r w:rsidRPr="00D73D6A">
        <w:rPr>
          <w:sz w:val="28"/>
          <w:szCs w:val="28"/>
        </w:rPr>
        <w:tab/>
        <w:t xml:space="preserve">Although the allegations and counter-allegations made in the affidavits of the protagonists are wide-ranging in scope, the issue that is at the core of this </w:t>
      </w:r>
      <w:r w:rsidRPr="00D73D6A">
        <w:rPr>
          <w:sz w:val="28"/>
          <w:szCs w:val="28"/>
        </w:rPr>
        <w:lastRenderedPageBreak/>
        <w:t xml:space="preserve">appeal falls </w:t>
      </w:r>
      <w:r w:rsidR="009E40E4" w:rsidRPr="00D73D6A">
        <w:rPr>
          <w:sz w:val="28"/>
          <w:szCs w:val="28"/>
        </w:rPr>
        <w:t xml:space="preserve">within a narrow compass. Ultimately, the issue revolves around the </w:t>
      </w:r>
      <w:r w:rsidR="00C7155F" w:rsidRPr="00D73D6A">
        <w:rPr>
          <w:sz w:val="28"/>
          <w:szCs w:val="28"/>
        </w:rPr>
        <w:t xml:space="preserve">sole </w:t>
      </w:r>
      <w:r w:rsidR="009E40E4" w:rsidRPr="00D73D6A">
        <w:rPr>
          <w:sz w:val="28"/>
          <w:szCs w:val="28"/>
        </w:rPr>
        <w:t xml:space="preserve">question whether Nedbank was entitled, under FICA, to certified copies of the trust deeds of the </w:t>
      </w:r>
      <w:r w:rsidR="00C7155F" w:rsidRPr="00D73D6A">
        <w:rPr>
          <w:sz w:val="28"/>
          <w:szCs w:val="28"/>
        </w:rPr>
        <w:t>four</w:t>
      </w:r>
      <w:r w:rsidR="009E40E4" w:rsidRPr="00D73D6A">
        <w:rPr>
          <w:sz w:val="28"/>
          <w:szCs w:val="28"/>
        </w:rPr>
        <w:t xml:space="preserve"> trusts of which Judge van Dijkhorst was the sole</w:t>
      </w:r>
      <w:r w:rsidR="0022189A" w:rsidRPr="00D73D6A">
        <w:rPr>
          <w:sz w:val="28"/>
          <w:szCs w:val="28"/>
        </w:rPr>
        <w:t> </w:t>
      </w:r>
      <w:r w:rsidR="009E40E4" w:rsidRPr="00D73D6A">
        <w:rPr>
          <w:sz w:val="28"/>
          <w:szCs w:val="28"/>
        </w:rPr>
        <w:t>trustee. In this regard, it bears mentioning that it is common cause between the parties that the trusts were not Nedbank's clients</w:t>
      </w:r>
      <w:r w:rsidR="009E40E4" w:rsidRPr="00D73D6A">
        <w:rPr>
          <w:rStyle w:val="FootnoteReference"/>
          <w:sz w:val="28"/>
          <w:szCs w:val="28"/>
        </w:rPr>
        <w:footnoteReference w:id="5"/>
      </w:r>
      <w:r w:rsidR="004E1685" w:rsidRPr="00D73D6A">
        <w:rPr>
          <w:sz w:val="28"/>
          <w:szCs w:val="28"/>
        </w:rPr>
        <w:t xml:space="preserve"> and therefore held no bank accounts with Nedbank. </w:t>
      </w:r>
    </w:p>
    <w:p w14:paraId="49D5882B" w14:textId="77777777" w:rsidR="004E1685" w:rsidRPr="00D73D6A" w:rsidRDefault="004E1685" w:rsidP="00140884">
      <w:pPr>
        <w:tabs>
          <w:tab w:val="left" w:pos="709"/>
        </w:tabs>
        <w:spacing w:line="360" w:lineRule="auto"/>
        <w:jc w:val="both"/>
        <w:rPr>
          <w:sz w:val="28"/>
          <w:szCs w:val="28"/>
        </w:rPr>
      </w:pPr>
    </w:p>
    <w:p w14:paraId="1FD5C00D" w14:textId="09E3B727" w:rsidR="004E1685" w:rsidRPr="00D73D6A" w:rsidRDefault="004E1685" w:rsidP="00140884">
      <w:pPr>
        <w:tabs>
          <w:tab w:val="left" w:pos="709"/>
        </w:tabs>
        <w:spacing w:line="360" w:lineRule="auto"/>
        <w:jc w:val="both"/>
        <w:rPr>
          <w:sz w:val="28"/>
          <w:szCs w:val="28"/>
        </w:rPr>
      </w:pPr>
      <w:r w:rsidRPr="00D73D6A">
        <w:rPr>
          <w:sz w:val="28"/>
          <w:szCs w:val="28"/>
        </w:rPr>
        <w:t>[14]</w:t>
      </w:r>
      <w:r w:rsidRPr="00D73D6A">
        <w:rPr>
          <w:sz w:val="28"/>
          <w:szCs w:val="28"/>
        </w:rPr>
        <w:tab/>
        <w:t>In the event that the question posed in the preceding paragraph is answered in the negative, a secondary issue will arise, namely</w:t>
      </w:r>
      <w:r w:rsidR="00086451" w:rsidRPr="00D73D6A">
        <w:rPr>
          <w:sz w:val="28"/>
          <w:szCs w:val="28"/>
        </w:rPr>
        <w:t>,</w:t>
      </w:r>
      <w:r w:rsidRPr="00D73D6A">
        <w:rPr>
          <w:sz w:val="28"/>
          <w:szCs w:val="28"/>
        </w:rPr>
        <w:t xml:space="preserve"> whether Houtbosplaas and TBS Alpha are entitled to damages by way of </w:t>
      </w:r>
      <w:r w:rsidRPr="00D73D6A">
        <w:rPr>
          <w:i/>
          <w:sz w:val="28"/>
          <w:szCs w:val="28"/>
        </w:rPr>
        <w:t>mora</w:t>
      </w:r>
      <w:r w:rsidRPr="00D73D6A">
        <w:rPr>
          <w:sz w:val="28"/>
          <w:szCs w:val="28"/>
        </w:rPr>
        <w:t xml:space="preserve"> interest because they were deprived of the use of their funds, withheld by Nedbank</w:t>
      </w:r>
      <w:r w:rsidR="00C7155F" w:rsidRPr="00D73D6A">
        <w:rPr>
          <w:sz w:val="28"/>
          <w:szCs w:val="28"/>
        </w:rPr>
        <w:t xml:space="preserve"> in the face of unequivocal instructions by the two companies to release the funds</w:t>
      </w:r>
      <w:r w:rsidRPr="00D73D6A">
        <w:rPr>
          <w:sz w:val="28"/>
          <w:szCs w:val="28"/>
        </w:rPr>
        <w:t xml:space="preserve">, for some five months. </w:t>
      </w:r>
      <w:r w:rsidR="00577041" w:rsidRPr="00D73D6A">
        <w:rPr>
          <w:sz w:val="28"/>
          <w:szCs w:val="28"/>
        </w:rPr>
        <w:t>The calculations reflected in the notice of motion in this regard were not challenged.</w:t>
      </w:r>
    </w:p>
    <w:p w14:paraId="736D88B7" w14:textId="77777777" w:rsidR="004E1685" w:rsidRPr="00D73D6A" w:rsidRDefault="004E1685" w:rsidP="00140884">
      <w:pPr>
        <w:tabs>
          <w:tab w:val="left" w:pos="709"/>
        </w:tabs>
        <w:spacing w:line="360" w:lineRule="auto"/>
        <w:jc w:val="both"/>
        <w:rPr>
          <w:sz w:val="28"/>
          <w:szCs w:val="28"/>
        </w:rPr>
      </w:pPr>
    </w:p>
    <w:p w14:paraId="4C22CB2B" w14:textId="38D5352A" w:rsidR="004E1685" w:rsidRPr="00D73D6A" w:rsidRDefault="004E1685" w:rsidP="00140884">
      <w:pPr>
        <w:tabs>
          <w:tab w:val="left" w:pos="709"/>
        </w:tabs>
        <w:spacing w:line="360" w:lineRule="auto"/>
        <w:jc w:val="both"/>
        <w:rPr>
          <w:b/>
          <w:sz w:val="28"/>
          <w:szCs w:val="28"/>
        </w:rPr>
      </w:pPr>
      <w:r w:rsidRPr="00D73D6A">
        <w:rPr>
          <w:b/>
          <w:sz w:val="28"/>
          <w:szCs w:val="28"/>
        </w:rPr>
        <w:t>The statutory framework</w:t>
      </w:r>
    </w:p>
    <w:p w14:paraId="6DD8FFAB" w14:textId="2D36D095" w:rsidR="004E1685" w:rsidRPr="00D73D6A" w:rsidRDefault="004E1685" w:rsidP="00140884">
      <w:pPr>
        <w:tabs>
          <w:tab w:val="left" w:pos="709"/>
        </w:tabs>
        <w:spacing w:line="360" w:lineRule="auto"/>
        <w:jc w:val="both"/>
        <w:rPr>
          <w:sz w:val="28"/>
          <w:szCs w:val="28"/>
        </w:rPr>
      </w:pPr>
      <w:r w:rsidRPr="00D73D6A">
        <w:rPr>
          <w:sz w:val="28"/>
          <w:szCs w:val="28"/>
        </w:rPr>
        <w:t>[15]</w:t>
      </w:r>
      <w:r w:rsidRPr="00D73D6A">
        <w:rPr>
          <w:sz w:val="28"/>
          <w:szCs w:val="28"/>
        </w:rPr>
        <w:tab/>
        <w:t xml:space="preserve">In </w:t>
      </w:r>
      <w:r w:rsidR="00C7155F" w:rsidRPr="00D73D6A">
        <w:rPr>
          <w:sz w:val="28"/>
          <w:szCs w:val="28"/>
        </w:rPr>
        <w:t>paragraph 6</w:t>
      </w:r>
      <w:r w:rsidRPr="00D73D6A">
        <w:rPr>
          <w:sz w:val="28"/>
          <w:szCs w:val="28"/>
        </w:rPr>
        <w:t xml:space="preserve"> of this judgment reference is made to FICA. FICA was enacted in order to, amongst other things, '</w:t>
      </w:r>
      <w:r w:rsidR="00AF479C" w:rsidRPr="00D73D6A">
        <w:rPr>
          <w:sz w:val="28"/>
          <w:szCs w:val="28"/>
        </w:rPr>
        <w:t xml:space="preserve">. . . </w:t>
      </w:r>
      <w:r w:rsidRPr="00D73D6A">
        <w:rPr>
          <w:sz w:val="28"/>
          <w:szCs w:val="28"/>
        </w:rPr>
        <w:t>combat money laundering activities and the financing of terrorist and related activities; to impose certain duties on institutions and other persons who might be used for money laundering</w:t>
      </w:r>
      <w:r w:rsidR="00300DA1" w:rsidRPr="00D73D6A">
        <w:rPr>
          <w:sz w:val="28"/>
          <w:szCs w:val="28"/>
        </w:rPr>
        <w:t xml:space="preserve"> . . . </w:t>
      </w:r>
      <w:r w:rsidRPr="00D73D6A">
        <w:rPr>
          <w:sz w:val="28"/>
          <w:szCs w:val="28"/>
        </w:rPr>
        <w:t>to provide for a risk based approach to client identification and verification</w:t>
      </w:r>
      <w:r w:rsidR="00C51C0F" w:rsidRPr="00D73D6A">
        <w:rPr>
          <w:sz w:val="28"/>
          <w:szCs w:val="28"/>
        </w:rPr>
        <w:t xml:space="preserve"> . . .</w:t>
      </w:r>
      <w:r w:rsidR="00802753" w:rsidRPr="00D73D6A">
        <w:rPr>
          <w:sz w:val="28"/>
          <w:szCs w:val="28"/>
        </w:rPr>
        <w:t xml:space="preserve"> </w:t>
      </w:r>
      <w:r w:rsidRPr="00D73D6A">
        <w:rPr>
          <w:sz w:val="28"/>
          <w:szCs w:val="28"/>
        </w:rPr>
        <w:t>to provide for the registration of accountable and reporting institutions</w:t>
      </w:r>
      <w:r w:rsidR="007B05D0" w:rsidRPr="00D73D6A">
        <w:rPr>
          <w:sz w:val="28"/>
          <w:szCs w:val="28"/>
        </w:rPr>
        <w:t>; to provide for the roles and responsibilities of supervisory bodies</w:t>
      </w:r>
      <w:r w:rsidRPr="00D73D6A">
        <w:rPr>
          <w:sz w:val="28"/>
          <w:szCs w:val="28"/>
        </w:rPr>
        <w:t>.</w:t>
      </w:r>
      <w:r w:rsidR="00557C5F" w:rsidRPr="00D73D6A">
        <w:rPr>
          <w:sz w:val="28"/>
          <w:szCs w:val="28"/>
        </w:rPr>
        <w:t xml:space="preserve"> . . .</w:t>
      </w:r>
      <w:r w:rsidRPr="00D73D6A">
        <w:rPr>
          <w:sz w:val="28"/>
          <w:szCs w:val="28"/>
        </w:rPr>
        <w:t>'</w:t>
      </w:r>
      <w:r w:rsidRPr="00D73D6A">
        <w:rPr>
          <w:rStyle w:val="FootnoteReference"/>
          <w:sz w:val="28"/>
          <w:szCs w:val="28"/>
        </w:rPr>
        <w:footnoteReference w:id="6"/>
      </w:r>
    </w:p>
    <w:p w14:paraId="67B0BF00" w14:textId="43F4C016" w:rsidR="00CA51A3" w:rsidRPr="00D73D6A" w:rsidRDefault="004E1685" w:rsidP="00140884">
      <w:pPr>
        <w:tabs>
          <w:tab w:val="left" w:pos="709"/>
        </w:tabs>
        <w:spacing w:line="360" w:lineRule="auto"/>
        <w:jc w:val="both"/>
        <w:rPr>
          <w:sz w:val="28"/>
          <w:szCs w:val="28"/>
        </w:rPr>
      </w:pPr>
      <w:r w:rsidRPr="00D73D6A">
        <w:rPr>
          <w:sz w:val="28"/>
          <w:szCs w:val="28"/>
        </w:rPr>
        <w:lastRenderedPageBreak/>
        <w:t>[16]</w:t>
      </w:r>
      <w:r w:rsidRPr="00D73D6A">
        <w:rPr>
          <w:sz w:val="28"/>
          <w:szCs w:val="28"/>
        </w:rPr>
        <w:tab/>
        <w:t>Section 2 established the Financial Intelligence Centre</w:t>
      </w:r>
      <w:r w:rsidR="00CA51A3" w:rsidRPr="00D73D6A">
        <w:rPr>
          <w:sz w:val="28"/>
          <w:szCs w:val="28"/>
        </w:rPr>
        <w:t xml:space="preserve"> (the Centre)</w:t>
      </w:r>
      <w:r w:rsidRPr="00D73D6A">
        <w:rPr>
          <w:sz w:val="28"/>
          <w:szCs w:val="28"/>
        </w:rPr>
        <w:t xml:space="preserve"> which is a juristic person.</w:t>
      </w:r>
      <w:r w:rsidRPr="00D73D6A">
        <w:rPr>
          <w:rStyle w:val="FootnoteReference"/>
          <w:sz w:val="28"/>
          <w:szCs w:val="28"/>
        </w:rPr>
        <w:footnoteReference w:id="7"/>
      </w:r>
      <w:r w:rsidRPr="00D73D6A">
        <w:rPr>
          <w:sz w:val="28"/>
          <w:szCs w:val="28"/>
        </w:rPr>
        <w:t xml:space="preserve"> Section 3 provides that </w:t>
      </w:r>
      <w:r w:rsidR="00C17244" w:rsidRPr="00D73D6A">
        <w:rPr>
          <w:sz w:val="28"/>
          <w:szCs w:val="28"/>
        </w:rPr>
        <w:t>'[</w:t>
      </w:r>
      <w:r w:rsidRPr="00D73D6A">
        <w:rPr>
          <w:sz w:val="28"/>
          <w:szCs w:val="28"/>
        </w:rPr>
        <w:t>t</w:t>
      </w:r>
      <w:r w:rsidR="00C17244" w:rsidRPr="00D73D6A">
        <w:rPr>
          <w:sz w:val="28"/>
          <w:szCs w:val="28"/>
        </w:rPr>
        <w:t>]</w:t>
      </w:r>
      <w:r w:rsidRPr="00D73D6A">
        <w:rPr>
          <w:sz w:val="28"/>
          <w:szCs w:val="28"/>
        </w:rPr>
        <w:t>he principal objective of the Centre is to assist in the identification of the proceeds of unlawful activities</w:t>
      </w:r>
      <w:r w:rsidR="00C17244" w:rsidRPr="00D73D6A">
        <w:rPr>
          <w:sz w:val="28"/>
          <w:szCs w:val="28"/>
        </w:rPr>
        <w:t xml:space="preserve"> [and]</w:t>
      </w:r>
      <w:r w:rsidR="005B14E5" w:rsidRPr="00D73D6A">
        <w:rPr>
          <w:sz w:val="28"/>
          <w:szCs w:val="28"/>
        </w:rPr>
        <w:t xml:space="preserve"> combating of money laundering activities</w:t>
      </w:r>
      <w:r w:rsidRPr="00D73D6A">
        <w:rPr>
          <w:sz w:val="28"/>
          <w:szCs w:val="28"/>
        </w:rPr>
        <w:t xml:space="preserve"> and the financing of terrorist and related activities.</w:t>
      </w:r>
      <w:r w:rsidR="008D6AAB" w:rsidRPr="00D73D6A">
        <w:rPr>
          <w:sz w:val="28"/>
          <w:szCs w:val="28"/>
        </w:rPr>
        <w:t xml:space="preserve"> . .</w:t>
      </w:r>
      <w:r w:rsidRPr="00D73D6A">
        <w:rPr>
          <w:sz w:val="28"/>
          <w:szCs w:val="28"/>
        </w:rPr>
        <w:t>'</w:t>
      </w:r>
      <w:r w:rsidR="008D6AAB" w:rsidRPr="00D73D6A">
        <w:rPr>
          <w:sz w:val="28"/>
          <w:szCs w:val="28"/>
        </w:rPr>
        <w:t>.</w:t>
      </w:r>
      <w:r w:rsidRPr="00D73D6A">
        <w:rPr>
          <w:sz w:val="28"/>
          <w:szCs w:val="28"/>
        </w:rPr>
        <w:t xml:space="preserve"> Section 20A provides that </w:t>
      </w:r>
      <w:r w:rsidR="00D154EA" w:rsidRPr="00D73D6A">
        <w:rPr>
          <w:sz w:val="28"/>
          <w:szCs w:val="28"/>
        </w:rPr>
        <w:t>‘[</w:t>
      </w:r>
      <w:r w:rsidRPr="00D73D6A">
        <w:rPr>
          <w:sz w:val="28"/>
          <w:szCs w:val="28"/>
        </w:rPr>
        <w:t>a</w:t>
      </w:r>
      <w:r w:rsidR="00D154EA" w:rsidRPr="00D73D6A">
        <w:rPr>
          <w:sz w:val="28"/>
          <w:szCs w:val="28"/>
        </w:rPr>
        <w:t>]</w:t>
      </w:r>
      <w:r w:rsidRPr="00D73D6A">
        <w:rPr>
          <w:sz w:val="28"/>
          <w:szCs w:val="28"/>
        </w:rPr>
        <w:t>n accountable institution</w:t>
      </w:r>
      <w:r w:rsidR="00F3077E" w:rsidRPr="00D73D6A">
        <w:rPr>
          <w:sz w:val="28"/>
          <w:szCs w:val="28"/>
        </w:rPr>
        <w:t xml:space="preserve"> </w:t>
      </w:r>
      <w:r w:rsidRPr="00D73D6A">
        <w:rPr>
          <w:sz w:val="28"/>
          <w:szCs w:val="28"/>
        </w:rPr>
        <w:t xml:space="preserve">may not establish a business relationship or conclude a single transaction with an </w:t>
      </w:r>
      <w:r w:rsidR="0052181A" w:rsidRPr="00D73D6A">
        <w:rPr>
          <w:sz w:val="28"/>
          <w:szCs w:val="28"/>
        </w:rPr>
        <w:t>anonymous client or a client with an apparent false or fictitious name</w:t>
      </w:r>
      <w:r w:rsidR="00D154EA" w:rsidRPr="00D73D6A">
        <w:rPr>
          <w:sz w:val="28"/>
          <w:szCs w:val="28"/>
        </w:rPr>
        <w:t>'</w:t>
      </w:r>
      <w:r w:rsidR="0052181A" w:rsidRPr="00D73D6A">
        <w:rPr>
          <w:sz w:val="28"/>
          <w:szCs w:val="28"/>
        </w:rPr>
        <w:t>.</w:t>
      </w:r>
      <w:r w:rsidR="00D154EA" w:rsidRPr="00D73D6A">
        <w:rPr>
          <w:rStyle w:val="FootnoteReference"/>
          <w:sz w:val="28"/>
          <w:szCs w:val="28"/>
        </w:rPr>
        <w:footnoteReference w:id="8"/>
      </w:r>
      <w:r w:rsidR="00D154EA" w:rsidRPr="00D73D6A">
        <w:rPr>
          <w:sz w:val="28"/>
          <w:szCs w:val="28"/>
        </w:rPr>
        <w:t xml:space="preserve"> </w:t>
      </w:r>
      <w:r w:rsidR="0052181A" w:rsidRPr="00D73D6A">
        <w:rPr>
          <w:sz w:val="28"/>
          <w:szCs w:val="28"/>
        </w:rPr>
        <w:t xml:space="preserve"> </w:t>
      </w:r>
    </w:p>
    <w:p w14:paraId="420A10EB" w14:textId="77777777" w:rsidR="00CA51A3" w:rsidRPr="00D73D6A" w:rsidRDefault="00CA51A3" w:rsidP="00140884">
      <w:pPr>
        <w:tabs>
          <w:tab w:val="left" w:pos="709"/>
        </w:tabs>
        <w:spacing w:line="360" w:lineRule="auto"/>
        <w:jc w:val="both"/>
        <w:rPr>
          <w:sz w:val="28"/>
          <w:szCs w:val="28"/>
        </w:rPr>
      </w:pPr>
    </w:p>
    <w:p w14:paraId="3F0102A8" w14:textId="1737EF87" w:rsidR="004E1685" w:rsidRPr="00D73D6A" w:rsidRDefault="00CA51A3" w:rsidP="00140884">
      <w:pPr>
        <w:tabs>
          <w:tab w:val="left" w:pos="709"/>
        </w:tabs>
        <w:spacing w:line="360" w:lineRule="auto"/>
        <w:jc w:val="both"/>
        <w:rPr>
          <w:sz w:val="28"/>
          <w:szCs w:val="28"/>
        </w:rPr>
      </w:pPr>
      <w:r w:rsidRPr="00D73D6A">
        <w:rPr>
          <w:sz w:val="28"/>
          <w:szCs w:val="28"/>
        </w:rPr>
        <w:t>[17]</w:t>
      </w:r>
      <w:r w:rsidRPr="00D73D6A">
        <w:rPr>
          <w:sz w:val="28"/>
          <w:szCs w:val="28"/>
        </w:rPr>
        <w:tab/>
      </w:r>
      <w:r w:rsidR="0052181A" w:rsidRPr="00D73D6A">
        <w:rPr>
          <w:sz w:val="28"/>
          <w:szCs w:val="28"/>
        </w:rPr>
        <w:t>Section 21 provides for identification of clients and other persons. It states that:</w:t>
      </w:r>
    </w:p>
    <w:p w14:paraId="621E81A6" w14:textId="77777777" w:rsidR="009B3AFE" w:rsidRPr="00D73D6A" w:rsidRDefault="0052181A" w:rsidP="00140884">
      <w:pPr>
        <w:tabs>
          <w:tab w:val="left" w:pos="709"/>
        </w:tabs>
        <w:spacing w:line="360" w:lineRule="auto"/>
        <w:jc w:val="both"/>
        <w:rPr>
          <w:szCs w:val="28"/>
        </w:rPr>
      </w:pPr>
      <w:r w:rsidRPr="00D73D6A">
        <w:rPr>
          <w:szCs w:val="28"/>
        </w:rPr>
        <w:t>'(1)</w:t>
      </w:r>
      <w:r w:rsidRPr="00D73D6A">
        <w:rPr>
          <w:szCs w:val="28"/>
        </w:rPr>
        <w:tab/>
      </w:r>
      <w:r w:rsidR="009B3AFE" w:rsidRPr="00D73D6A">
        <w:rPr>
          <w:szCs w:val="28"/>
        </w:rPr>
        <w:t>When an accountable institution engages with a prospective client to enter into a single transaction or to establish a business relationship, the institution must, in the course of concluding that single transaction or establishing that business relationship and in accordance with its Risk Management and Compliance Programme-</w:t>
      </w:r>
    </w:p>
    <w:p w14:paraId="7A081C42" w14:textId="67BD4F8E" w:rsidR="0052181A" w:rsidRPr="00D73D6A" w:rsidRDefault="0052181A" w:rsidP="00140884">
      <w:pPr>
        <w:tabs>
          <w:tab w:val="left" w:pos="709"/>
        </w:tabs>
        <w:spacing w:line="360" w:lineRule="auto"/>
        <w:jc w:val="both"/>
        <w:rPr>
          <w:szCs w:val="28"/>
        </w:rPr>
      </w:pPr>
      <w:r w:rsidRPr="00D73D6A">
        <w:rPr>
          <w:i/>
          <w:szCs w:val="28"/>
        </w:rPr>
        <w:t>(a)</w:t>
      </w:r>
      <w:r w:rsidRPr="00D73D6A">
        <w:rPr>
          <w:szCs w:val="28"/>
        </w:rPr>
        <w:tab/>
      </w:r>
      <w:r w:rsidR="009B3AFE" w:rsidRPr="00D73D6A">
        <w:rPr>
          <w:szCs w:val="28"/>
        </w:rPr>
        <w:t>establish and verify the identity of the client;</w:t>
      </w:r>
    </w:p>
    <w:p w14:paraId="4F52C1F4" w14:textId="301FC29B" w:rsidR="0052181A" w:rsidRPr="00D73D6A" w:rsidRDefault="0052181A" w:rsidP="00140884">
      <w:pPr>
        <w:tabs>
          <w:tab w:val="left" w:pos="709"/>
        </w:tabs>
        <w:spacing w:line="360" w:lineRule="auto"/>
        <w:jc w:val="both"/>
        <w:rPr>
          <w:szCs w:val="28"/>
        </w:rPr>
      </w:pPr>
      <w:r w:rsidRPr="00D73D6A">
        <w:rPr>
          <w:i/>
          <w:szCs w:val="28"/>
        </w:rPr>
        <w:t>(b)</w:t>
      </w:r>
      <w:r w:rsidRPr="00D73D6A">
        <w:rPr>
          <w:szCs w:val="28"/>
        </w:rPr>
        <w:tab/>
        <w:t>if the client is acting on behalf of another person, establish and verify</w:t>
      </w:r>
      <w:r w:rsidR="00445477" w:rsidRPr="00D73D6A">
        <w:rPr>
          <w:szCs w:val="28"/>
        </w:rPr>
        <w:t>-</w:t>
      </w:r>
    </w:p>
    <w:p w14:paraId="78471D6E" w14:textId="14A71049" w:rsidR="0052181A" w:rsidRPr="00D73D6A" w:rsidRDefault="0052181A" w:rsidP="00140884">
      <w:pPr>
        <w:tabs>
          <w:tab w:val="left" w:pos="709"/>
        </w:tabs>
        <w:spacing w:line="360" w:lineRule="auto"/>
        <w:jc w:val="both"/>
        <w:rPr>
          <w:szCs w:val="28"/>
        </w:rPr>
      </w:pPr>
      <w:r w:rsidRPr="00D73D6A">
        <w:rPr>
          <w:szCs w:val="28"/>
        </w:rPr>
        <w:tab/>
        <w:t>(i)</w:t>
      </w:r>
      <w:r w:rsidRPr="00D73D6A">
        <w:rPr>
          <w:szCs w:val="28"/>
        </w:rPr>
        <w:tab/>
        <w:t>the identity of that other person; and</w:t>
      </w:r>
    </w:p>
    <w:p w14:paraId="75E3BB90" w14:textId="402B19BD" w:rsidR="0052181A" w:rsidRPr="00D73D6A" w:rsidRDefault="0052181A" w:rsidP="002A4F7F">
      <w:pPr>
        <w:tabs>
          <w:tab w:val="left" w:pos="709"/>
        </w:tabs>
        <w:spacing w:line="360" w:lineRule="auto"/>
        <w:ind w:left="1440" w:hanging="1440"/>
        <w:jc w:val="both"/>
        <w:rPr>
          <w:szCs w:val="28"/>
        </w:rPr>
      </w:pPr>
      <w:r w:rsidRPr="00D73D6A">
        <w:rPr>
          <w:szCs w:val="28"/>
        </w:rPr>
        <w:tab/>
        <w:t>(ii)</w:t>
      </w:r>
      <w:r w:rsidRPr="00D73D6A">
        <w:rPr>
          <w:szCs w:val="28"/>
        </w:rPr>
        <w:tab/>
        <w:t>the client's authority to establish the business relationship or to conclude the single transaction on behalf of that other person; and</w:t>
      </w:r>
    </w:p>
    <w:p w14:paraId="74F3986A" w14:textId="4A1B8750" w:rsidR="0052181A" w:rsidRPr="00D73D6A" w:rsidRDefault="0052181A" w:rsidP="00140884">
      <w:pPr>
        <w:tabs>
          <w:tab w:val="left" w:pos="709"/>
        </w:tabs>
        <w:spacing w:line="360" w:lineRule="auto"/>
        <w:jc w:val="both"/>
        <w:rPr>
          <w:szCs w:val="28"/>
        </w:rPr>
      </w:pPr>
      <w:r w:rsidRPr="00D73D6A">
        <w:rPr>
          <w:i/>
          <w:szCs w:val="28"/>
        </w:rPr>
        <w:t>(c)</w:t>
      </w:r>
      <w:r w:rsidRPr="00D73D6A">
        <w:rPr>
          <w:szCs w:val="28"/>
        </w:rPr>
        <w:tab/>
        <w:t>if another person is a</w:t>
      </w:r>
      <w:r w:rsidR="009B3AFE" w:rsidRPr="00D73D6A">
        <w:rPr>
          <w:szCs w:val="28"/>
        </w:rPr>
        <w:t>cting on behalf of the client,</w:t>
      </w:r>
      <w:r w:rsidRPr="00D73D6A">
        <w:rPr>
          <w:szCs w:val="28"/>
        </w:rPr>
        <w:t xml:space="preserve"> establish and verify</w:t>
      </w:r>
      <w:r w:rsidR="00445477" w:rsidRPr="00D73D6A">
        <w:rPr>
          <w:szCs w:val="28"/>
        </w:rPr>
        <w:t>-</w:t>
      </w:r>
    </w:p>
    <w:p w14:paraId="04E5CC28" w14:textId="249E1047" w:rsidR="0052181A" w:rsidRPr="00D73D6A" w:rsidRDefault="0052181A" w:rsidP="00140884">
      <w:pPr>
        <w:tabs>
          <w:tab w:val="left" w:pos="709"/>
        </w:tabs>
        <w:spacing w:line="360" w:lineRule="auto"/>
        <w:jc w:val="both"/>
        <w:rPr>
          <w:szCs w:val="28"/>
        </w:rPr>
      </w:pPr>
      <w:r w:rsidRPr="00D73D6A">
        <w:rPr>
          <w:szCs w:val="28"/>
        </w:rPr>
        <w:tab/>
        <w:t>(i)</w:t>
      </w:r>
      <w:r w:rsidRPr="00D73D6A">
        <w:rPr>
          <w:szCs w:val="28"/>
        </w:rPr>
        <w:tab/>
        <w:t>the identity of that other person; and</w:t>
      </w:r>
    </w:p>
    <w:p w14:paraId="64E79DD0" w14:textId="4D493E03" w:rsidR="0052181A" w:rsidRPr="00D73D6A" w:rsidRDefault="0052181A" w:rsidP="00140884">
      <w:pPr>
        <w:tabs>
          <w:tab w:val="left" w:pos="709"/>
        </w:tabs>
        <w:spacing w:line="360" w:lineRule="auto"/>
        <w:jc w:val="both"/>
        <w:rPr>
          <w:szCs w:val="28"/>
        </w:rPr>
      </w:pPr>
      <w:r w:rsidRPr="00D73D6A">
        <w:rPr>
          <w:szCs w:val="28"/>
        </w:rPr>
        <w:tab/>
        <w:t>(ii)</w:t>
      </w:r>
      <w:r w:rsidRPr="00D73D6A">
        <w:rPr>
          <w:szCs w:val="28"/>
        </w:rPr>
        <w:tab/>
        <w:t>that other person's authority to act on behalf of the client.</w:t>
      </w:r>
    </w:p>
    <w:p w14:paraId="35BB8207" w14:textId="77777777" w:rsidR="009B3AFE" w:rsidRPr="00D73D6A" w:rsidRDefault="0052181A" w:rsidP="00DF6B79">
      <w:pPr>
        <w:tabs>
          <w:tab w:val="left" w:pos="709"/>
        </w:tabs>
        <w:spacing w:line="360" w:lineRule="auto"/>
        <w:jc w:val="both"/>
        <w:rPr>
          <w:szCs w:val="28"/>
        </w:rPr>
      </w:pPr>
      <w:r w:rsidRPr="00D73D6A">
        <w:rPr>
          <w:szCs w:val="28"/>
        </w:rPr>
        <w:t>(2)</w:t>
      </w:r>
      <w:r w:rsidRPr="00D73D6A">
        <w:rPr>
          <w:szCs w:val="28"/>
        </w:rPr>
        <w:tab/>
      </w:r>
      <w:r w:rsidR="009B3AFE" w:rsidRPr="00D73D6A">
        <w:rPr>
          <w:szCs w:val="28"/>
        </w:rPr>
        <w:t xml:space="preserve">If an accountable institution had established a business relationship with a client before this Act took effect, the accountable institution may not conclude a transaction in the </w:t>
      </w:r>
      <w:r w:rsidR="009B3AFE" w:rsidRPr="00D73D6A">
        <w:rPr>
          <w:szCs w:val="28"/>
        </w:rPr>
        <w:lastRenderedPageBreak/>
        <w:t>course of that business relationship, unless the accountable institution has taken the prescribed steps-</w:t>
      </w:r>
    </w:p>
    <w:p w14:paraId="3F7FE43E" w14:textId="12A802E3" w:rsidR="0052181A" w:rsidRPr="00D73D6A" w:rsidRDefault="0052181A" w:rsidP="0052181A">
      <w:pPr>
        <w:tabs>
          <w:tab w:val="left" w:pos="709"/>
        </w:tabs>
        <w:spacing w:line="360" w:lineRule="auto"/>
        <w:ind w:left="705" w:hanging="705"/>
        <w:jc w:val="both"/>
        <w:rPr>
          <w:szCs w:val="28"/>
        </w:rPr>
      </w:pPr>
      <w:r w:rsidRPr="00D73D6A">
        <w:rPr>
          <w:i/>
          <w:szCs w:val="28"/>
        </w:rPr>
        <w:t>(a)</w:t>
      </w:r>
      <w:r w:rsidRPr="00D73D6A">
        <w:rPr>
          <w:szCs w:val="28"/>
        </w:rPr>
        <w:tab/>
        <w:t>to establish and verity the identity of the client;</w:t>
      </w:r>
    </w:p>
    <w:p w14:paraId="71EF809A" w14:textId="3AC04240" w:rsidR="0052181A" w:rsidRPr="00D73D6A" w:rsidRDefault="0052181A" w:rsidP="00DF6B79">
      <w:pPr>
        <w:tabs>
          <w:tab w:val="left" w:pos="709"/>
        </w:tabs>
        <w:spacing w:line="360" w:lineRule="auto"/>
        <w:ind w:left="705" w:hanging="705"/>
        <w:jc w:val="both"/>
        <w:rPr>
          <w:szCs w:val="28"/>
        </w:rPr>
      </w:pPr>
      <w:r w:rsidRPr="00D73D6A">
        <w:rPr>
          <w:i/>
          <w:szCs w:val="28"/>
        </w:rPr>
        <w:t>(b)</w:t>
      </w:r>
      <w:r w:rsidRPr="00D73D6A">
        <w:rPr>
          <w:szCs w:val="28"/>
        </w:rPr>
        <w:tab/>
        <w:t>if another person acted on behalf of the client in establishing the business relationship, to establish and verify</w:t>
      </w:r>
      <w:r w:rsidR="00CB6380" w:rsidRPr="00D73D6A">
        <w:rPr>
          <w:szCs w:val="28"/>
        </w:rPr>
        <w:t>-</w:t>
      </w:r>
    </w:p>
    <w:p w14:paraId="01A6FBC3" w14:textId="50D3D34A" w:rsidR="0052181A" w:rsidRPr="00D73D6A" w:rsidRDefault="0052181A" w:rsidP="0052181A">
      <w:pPr>
        <w:tabs>
          <w:tab w:val="left" w:pos="709"/>
        </w:tabs>
        <w:spacing w:line="360" w:lineRule="auto"/>
        <w:ind w:left="1440" w:hanging="1440"/>
        <w:jc w:val="both"/>
        <w:rPr>
          <w:szCs w:val="28"/>
        </w:rPr>
      </w:pPr>
      <w:r w:rsidRPr="00D73D6A">
        <w:rPr>
          <w:szCs w:val="28"/>
        </w:rPr>
        <w:tab/>
        <w:t>(i)</w:t>
      </w:r>
      <w:r w:rsidRPr="00D73D6A">
        <w:rPr>
          <w:szCs w:val="28"/>
        </w:rPr>
        <w:tab/>
        <w:t>the identity of that other person; and</w:t>
      </w:r>
    </w:p>
    <w:p w14:paraId="11219813" w14:textId="4CE21352" w:rsidR="0052181A" w:rsidRPr="00D73D6A" w:rsidRDefault="0052181A" w:rsidP="0052181A">
      <w:pPr>
        <w:tabs>
          <w:tab w:val="left" w:pos="709"/>
        </w:tabs>
        <w:spacing w:line="360" w:lineRule="auto"/>
        <w:ind w:left="1440" w:hanging="1440"/>
        <w:jc w:val="both"/>
        <w:rPr>
          <w:szCs w:val="28"/>
        </w:rPr>
      </w:pPr>
      <w:r w:rsidRPr="00D73D6A">
        <w:rPr>
          <w:szCs w:val="28"/>
        </w:rPr>
        <w:tab/>
        <w:t>(ii)</w:t>
      </w:r>
      <w:r w:rsidRPr="00D73D6A">
        <w:rPr>
          <w:szCs w:val="28"/>
        </w:rPr>
        <w:tab/>
        <w:t>that other person's authority to act on behalf of the client;</w:t>
      </w:r>
    </w:p>
    <w:p w14:paraId="540131D8" w14:textId="13584950" w:rsidR="0052181A" w:rsidRPr="00D73D6A" w:rsidRDefault="0052181A" w:rsidP="00DF6B79">
      <w:pPr>
        <w:tabs>
          <w:tab w:val="left" w:pos="709"/>
        </w:tabs>
        <w:spacing w:line="360" w:lineRule="auto"/>
        <w:ind w:left="705" w:hanging="705"/>
        <w:jc w:val="both"/>
        <w:rPr>
          <w:szCs w:val="28"/>
        </w:rPr>
      </w:pPr>
      <w:r w:rsidRPr="00D73D6A">
        <w:rPr>
          <w:i/>
          <w:szCs w:val="28"/>
        </w:rPr>
        <w:t>(c)</w:t>
      </w:r>
      <w:r w:rsidRPr="00D73D6A">
        <w:rPr>
          <w:szCs w:val="28"/>
        </w:rPr>
        <w:tab/>
        <w:t xml:space="preserve">if the </w:t>
      </w:r>
      <w:r w:rsidR="009B3AFE" w:rsidRPr="00D73D6A">
        <w:rPr>
          <w:szCs w:val="28"/>
        </w:rPr>
        <w:t>client</w:t>
      </w:r>
      <w:r w:rsidRPr="00D73D6A">
        <w:rPr>
          <w:szCs w:val="28"/>
        </w:rPr>
        <w:t xml:space="preserve"> acted on behalf of another person in establishing the business relationship,</w:t>
      </w:r>
      <w:r w:rsidR="00CB6380" w:rsidRPr="00D73D6A">
        <w:rPr>
          <w:szCs w:val="28"/>
        </w:rPr>
        <w:t xml:space="preserve"> </w:t>
      </w:r>
      <w:r w:rsidRPr="00D73D6A">
        <w:rPr>
          <w:szCs w:val="28"/>
        </w:rPr>
        <w:t>to establish and verify</w:t>
      </w:r>
      <w:r w:rsidR="00CB6380" w:rsidRPr="00D73D6A">
        <w:rPr>
          <w:szCs w:val="28"/>
        </w:rPr>
        <w:t>-</w:t>
      </w:r>
    </w:p>
    <w:p w14:paraId="4648FB4D" w14:textId="067EAFA6" w:rsidR="0052181A" w:rsidRPr="00D73D6A" w:rsidRDefault="009B3AFE" w:rsidP="0052181A">
      <w:pPr>
        <w:tabs>
          <w:tab w:val="left" w:pos="709"/>
        </w:tabs>
        <w:spacing w:line="360" w:lineRule="auto"/>
        <w:ind w:left="1440" w:hanging="1440"/>
        <w:jc w:val="both"/>
        <w:rPr>
          <w:szCs w:val="28"/>
        </w:rPr>
      </w:pPr>
      <w:r w:rsidRPr="00D73D6A">
        <w:rPr>
          <w:szCs w:val="28"/>
        </w:rPr>
        <w:tab/>
        <w:t>(i)</w:t>
      </w:r>
      <w:r w:rsidRPr="00D73D6A">
        <w:rPr>
          <w:szCs w:val="28"/>
        </w:rPr>
        <w:tab/>
        <w:t>the identity of that other person; and</w:t>
      </w:r>
    </w:p>
    <w:p w14:paraId="55CBCCDA" w14:textId="0E018052" w:rsidR="009B3AFE" w:rsidRPr="00D73D6A" w:rsidRDefault="009B3AFE" w:rsidP="0052181A">
      <w:pPr>
        <w:tabs>
          <w:tab w:val="left" w:pos="709"/>
        </w:tabs>
        <w:spacing w:line="360" w:lineRule="auto"/>
        <w:ind w:left="1440" w:hanging="1440"/>
        <w:jc w:val="both"/>
        <w:rPr>
          <w:szCs w:val="28"/>
        </w:rPr>
      </w:pPr>
      <w:r w:rsidRPr="00D73D6A">
        <w:rPr>
          <w:szCs w:val="28"/>
        </w:rPr>
        <w:tab/>
        <w:t>(ii)</w:t>
      </w:r>
      <w:r w:rsidRPr="00D73D6A">
        <w:rPr>
          <w:szCs w:val="28"/>
        </w:rPr>
        <w:tab/>
        <w:t>the client's authority to act on behalf of that other person; and</w:t>
      </w:r>
    </w:p>
    <w:p w14:paraId="3E7E4A9F" w14:textId="577B92EC" w:rsidR="009B3AFE" w:rsidRPr="00D73D6A" w:rsidRDefault="009B3AFE" w:rsidP="00DF6B79">
      <w:pPr>
        <w:tabs>
          <w:tab w:val="left" w:pos="709"/>
        </w:tabs>
        <w:spacing w:line="360" w:lineRule="auto"/>
        <w:ind w:left="705" w:hanging="705"/>
        <w:jc w:val="both"/>
        <w:rPr>
          <w:szCs w:val="28"/>
        </w:rPr>
      </w:pPr>
      <w:r w:rsidRPr="00D73D6A">
        <w:rPr>
          <w:i/>
          <w:szCs w:val="28"/>
        </w:rPr>
        <w:t>(d)</w:t>
      </w:r>
      <w:r w:rsidRPr="00D73D6A">
        <w:rPr>
          <w:szCs w:val="28"/>
        </w:rPr>
        <w:tab/>
        <w:t>to trace all accounts at that accountable institution that are involved in transactions concluded in the course of that business relationship.'</w:t>
      </w:r>
    </w:p>
    <w:p w14:paraId="0D200EC7" w14:textId="77777777" w:rsidR="009B3AFE" w:rsidRPr="00D73D6A" w:rsidRDefault="009B3AFE" w:rsidP="0052181A">
      <w:pPr>
        <w:tabs>
          <w:tab w:val="left" w:pos="709"/>
        </w:tabs>
        <w:spacing w:line="360" w:lineRule="auto"/>
        <w:ind w:left="1440" w:hanging="1440"/>
        <w:jc w:val="both"/>
        <w:rPr>
          <w:szCs w:val="28"/>
        </w:rPr>
      </w:pPr>
    </w:p>
    <w:p w14:paraId="21E3AECD" w14:textId="313EB7B0" w:rsidR="009B3AFE" w:rsidRPr="00D73D6A" w:rsidRDefault="009B3AFE" w:rsidP="002A4F7F">
      <w:pPr>
        <w:tabs>
          <w:tab w:val="left" w:pos="709"/>
        </w:tabs>
        <w:spacing w:line="360" w:lineRule="auto"/>
        <w:jc w:val="both"/>
        <w:rPr>
          <w:sz w:val="28"/>
          <w:szCs w:val="28"/>
        </w:rPr>
      </w:pPr>
      <w:r w:rsidRPr="00D73D6A">
        <w:rPr>
          <w:sz w:val="28"/>
          <w:szCs w:val="28"/>
        </w:rPr>
        <w:t>[</w:t>
      </w:r>
      <w:r w:rsidR="00CA51A3" w:rsidRPr="00D73D6A">
        <w:rPr>
          <w:sz w:val="28"/>
          <w:szCs w:val="28"/>
        </w:rPr>
        <w:t>18</w:t>
      </w:r>
      <w:r w:rsidRPr="00D73D6A">
        <w:rPr>
          <w:sz w:val="28"/>
          <w:szCs w:val="28"/>
        </w:rPr>
        <w:t>]</w:t>
      </w:r>
      <w:r w:rsidRPr="00D73D6A">
        <w:rPr>
          <w:sz w:val="28"/>
          <w:szCs w:val="28"/>
        </w:rPr>
        <w:tab/>
      </w:r>
      <w:r w:rsidR="002A4F7F" w:rsidRPr="00D73D6A">
        <w:rPr>
          <w:sz w:val="28"/>
          <w:szCs w:val="28"/>
        </w:rPr>
        <w:t>Section 21C deals with ongoing due diligence which accountable institutions are required to conduct from time to time. It reads:</w:t>
      </w:r>
    </w:p>
    <w:p w14:paraId="21964E8A" w14:textId="57652B4C" w:rsidR="002A4F7F" w:rsidRPr="00D73D6A" w:rsidRDefault="002A4F7F" w:rsidP="002A4F7F">
      <w:pPr>
        <w:tabs>
          <w:tab w:val="left" w:pos="709"/>
        </w:tabs>
        <w:spacing w:line="360" w:lineRule="auto"/>
        <w:jc w:val="both"/>
        <w:rPr>
          <w:szCs w:val="28"/>
        </w:rPr>
      </w:pPr>
      <w:r w:rsidRPr="00D73D6A">
        <w:rPr>
          <w:szCs w:val="28"/>
        </w:rPr>
        <w:t>'An accountable institution must, in accordance with its Risk Management and Compliance Programme, conduct ongoing due diligence in respect of a business relationship, which includes-</w:t>
      </w:r>
    </w:p>
    <w:p w14:paraId="1E4FD9BE" w14:textId="1F79E7B5" w:rsidR="002A4F7F" w:rsidRPr="00D73D6A" w:rsidRDefault="002A4F7F" w:rsidP="00DF6B79">
      <w:pPr>
        <w:tabs>
          <w:tab w:val="left" w:pos="567"/>
          <w:tab w:val="left" w:pos="1276"/>
        </w:tabs>
        <w:spacing w:line="360" w:lineRule="auto"/>
        <w:ind w:left="567" w:hanging="567"/>
        <w:jc w:val="both"/>
        <w:rPr>
          <w:szCs w:val="28"/>
        </w:rPr>
      </w:pPr>
      <w:r w:rsidRPr="00D73D6A">
        <w:rPr>
          <w:i/>
          <w:szCs w:val="28"/>
        </w:rPr>
        <w:t>(a)</w:t>
      </w:r>
      <w:r w:rsidRPr="00D73D6A">
        <w:rPr>
          <w:szCs w:val="28"/>
        </w:rPr>
        <w:tab/>
        <w:t>monitoring of transactions undertaken throughout the course of the relationship, including, where necessary</w:t>
      </w:r>
      <w:r w:rsidR="00867431" w:rsidRPr="00D73D6A">
        <w:rPr>
          <w:szCs w:val="28"/>
        </w:rPr>
        <w:t>-</w:t>
      </w:r>
    </w:p>
    <w:p w14:paraId="7861026F" w14:textId="05438E63" w:rsidR="002A4F7F" w:rsidRPr="00D73D6A" w:rsidRDefault="00DF6B79" w:rsidP="00DF6B79">
      <w:pPr>
        <w:tabs>
          <w:tab w:val="left" w:pos="567"/>
        </w:tabs>
        <w:spacing w:line="360" w:lineRule="auto"/>
        <w:ind w:left="1134" w:hanging="1134"/>
        <w:jc w:val="both"/>
        <w:rPr>
          <w:szCs w:val="28"/>
        </w:rPr>
      </w:pPr>
      <w:r w:rsidRPr="00D73D6A">
        <w:rPr>
          <w:szCs w:val="28"/>
        </w:rPr>
        <w:tab/>
      </w:r>
      <w:r w:rsidR="002A4F7F" w:rsidRPr="00D73D6A">
        <w:rPr>
          <w:szCs w:val="28"/>
        </w:rPr>
        <w:t>(i)</w:t>
      </w:r>
      <w:r w:rsidR="002A4F7F" w:rsidRPr="00D73D6A">
        <w:rPr>
          <w:szCs w:val="28"/>
        </w:rPr>
        <w:tab/>
        <w:t>the source of funds, to ensure that the transactions are consistent with the accountable institution's knowledge of the client and the client's business and risk profile; and</w:t>
      </w:r>
    </w:p>
    <w:p w14:paraId="3CA74B8E" w14:textId="0EE05A2B" w:rsidR="002A4F7F" w:rsidRPr="00D73D6A" w:rsidRDefault="00DF6B79" w:rsidP="00DF6B79">
      <w:pPr>
        <w:tabs>
          <w:tab w:val="left" w:pos="567"/>
          <w:tab w:val="left" w:pos="709"/>
        </w:tabs>
        <w:spacing w:line="360" w:lineRule="auto"/>
        <w:ind w:left="1134" w:hanging="1134"/>
        <w:jc w:val="both"/>
        <w:rPr>
          <w:szCs w:val="28"/>
        </w:rPr>
      </w:pPr>
      <w:r w:rsidRPr="00D73D6A">
        <w:rPr>
          <w:szCs w:val="28"/>
        </w:rPr>
        <w:tab/>
      </w:r>
      <w:r w:rsidR="002A4F7F" w:rsidRPr="00D73D6A">
        <w:rPr>
          <w:szCs w:val="28"/>
        </w:rPr>
        <w:t>(ii)</w:t>
      </w:r>
      <w:r w:rsidR="002A4F7F" w:rsidRPr="00D73D6A">
        <w:rPr>
          <w:szCs w:val="28"/>
        </w:rPr>
        <w:tab/>
        <w:t>the background and purpose of all complex, unusual large transactions, and all unusual patterns of transactions, which have no apparent business or lawful purpose; and</w:t>
      </w:r>
    </w:p>
    <w:p w14:paraId="143BB6B0" w14:textId="2112BB8C" w:rsidR="002A4F7F" w:rsidRPr="00D73D6A" w:rsidRDefault="002A4F7F" w:rsidP="00DF6B79">
      <w:pPr>
        <w:tabs>
          <w:tab w:val="left" w:pos="709"/>
          <w:tab w:val="left" w:pos="1276"/>
        </w:tabs>
        <w:spacing w:line="360" w:lineRule="auto"/>
        <w:ind w:left="705" w:hanging="705"/>
        <w:jc w:val="both"/>
        <w:rPr>
          <w:szCs w:val="28"/>
        </w:rPr>
      </w:pPr>
      <w:r w:rsidRPr="00D73D6A">
        <w:rPr>
          <w:i/>
          <w:szCs w:val="28"/>
        </w:rPr>
        <w:t>(b)</w:t>
      </w:r>
      <w:r w:rsidRPr="00D73D6A">
        <w:rPr>
          <w:szCs w:val="28"/>
        </w:rPr>
        <w:tab/>
        <w:t>keeping information obtained for the purpose of establishing and verifying the identities of clients pursuant to sections 21, 21A and 21B of this Act, up to date.'</w:t>
      </w:r>
    </w:p>
    <w:p w14:paraId="6B2B4F76" w14:textId="77777777" w:rsidR="002A4F7F" w:rsidRPr="00D73D6A" w:rsidRDefault="002A4F7F" w:rsidP="002A4F7F">
      <w:pPr>
        <w:tabs>
          <w:tab w:val="left" w:pos="709"/>
          <w:tab w:val="left" w:pos="1276"/>
        </w:tabs>
        <w:spacing w:line="360" w:lineRule="auto"/>
        <w:ind w:left="1275" w:hanging="1275"/>
        <w:jc w:val="both"/>
        <w:rPr>
          <w:sz w:val="28"/>
          <w:szCs w:val="28"/>
        </w:rPr>
      </w:pPr>
    </w:p>
    <w:p w14:paraId="779442E5" w14:textId="48D4C383" w:rsidR="002A4F7F" w:rsidRPr="00D73D6A" w:rsidRDefault="002A4F7F" w:rsidP="002A4F7F">
      <w:pPr>
        <w:tabs>
          <w:tab w:val="left" w:pos="0"/>
          <w:tab w:val="left" w:pos="709"/>
        </w:tabs>
        <w:spacing w:line="360" w:lineRule="auto"/>
        <w:jc w:val="both"/>
        <w:rPr>
          <w:sz w:val="28"/>
          <w:szCs w:val="28"/>
        </w:rPr>
      </w:pPr>
      <w:r w:rsidRPr="00D73D6A">
        <w:rPr>
          <w:sz w:val="28"/>
          <w:szCs w:val="28"/>
        </w:rPr>
        <w:lastRenderedPageBreak/>
        <w:t>[</w:t>
      </w:r>
      <w:r w:rsidR="00CA51A3" w:rsidRPr="00D73D6A">
        <w:rPr>
          <w:sz w:val="28"/>
          <w:szCs w:val="28"/>
        </w:rPr>
        <w:t>19</w:t>
      </w:r>
      <w:r w:rsidRPr="00D73D6A">
        <w:rPr>
          <w:sz w:val="28"/>
          <w:szCs w:val="28"/>
        </w:rPr>
        <w:t>]</w:t>
      </w:r>
      <w:r w:rsidRPr="00D73D6A">
        <w:rPr>
          <w:sz w:val="28"/>
          <w:szCs w:val="28"/>
        </w:rPr>
        <w:tab/>
        <w:t>Reference should also be made to s 22 which imposes obligations on accountable institutions to keep customer due diligence records. It states that:</w:t>
      </w:r>
    </w:p>
    <w:p w14:paraId="506AD966" w14:textId="26139299" w:rsidR="002A4F7F" w:rsidRPr="00D73D6A" w:rsidRDefault="002A4F7F" w:rsidP="002A4F7F">
      <w:pPr>
        <w:tabs>
          <w:tab w:val="left" w:pos="0"/>
          <w:tab w:val="left" w:pos="567"/>
        </w:tabs>
        <w:spacing w:line="360" w:lineRule="auto"/>
        <w:jc w:val="both"/>
        <w:rPr>
          <w:szCs w:val="28"/>
        </w:rPr>
      </w:pPr>
      <w:r w:rsidRPr="00D73D6A">
        <w:rPr>
          <w:szCs w:val="28"/>
        </w:rPr>
        <w:t>'(1)</w:t>
      </w:r>
      <w:r w:rsidRPr="00D73D6A">
        <w:rPr>
          <w:szCs w:val="28"/>
        </w:rPr>
        <w:tab/>
        <w:t>When an accountable institution is required to obtain information pertaining to a client or prospective client pursuant to sections 21 to 21H the institution must keep a record of that information.</w:t>
      </w:r>
    </w:p>
    <w:p w14:paraId="2E22FCC4" w14:textId="77C024C4" w:rsidR="002A4F7F" w:rsidRPr="00D73D6A" w:rsidRDefault="002A4F7F" w:rsidP="002A4F7F">
      <w:pPr>
        <w:tabs>
          <w:tab w:val="left" w:pos="0"/>
          <w:tab w:val="left" w:pos="567"/>
        </w:tabs>
        <w:spacing w:line="360" w:lineRule="auto"/>
        <w:jc w:val="both"/>
        <w:rPr>
          <w:szCs w:val="28"/>
        </w:rPr>
      </w:pPr>
      <w:r w:rsidRPr="00D73D6A">
        <w:rPr>
          <w:szCs w:val="28"/>
        </w:rPr>
        <w:t>(2)</w:t>
      </w:r>
      <w:r w:rsidRPr="00D73D6A">
        <w:rPr>
          <w:szCs w:val="28"/>
        </w:rPr>
        <w:tab/>
        <w:t>Without limiting subsection (1), the records must</w:t>
      </w:r>
      <w:r w:rsidR="00EE2AFE" w:rsidRPr="00D73D6A">
        <w:rPr>
          <w:szCs w:val="28"/>
        </w:rPr>
        <w:t>-</w:t>
      </w:r>
    </w:p>
    <w:p w14:paraId="0F47B576" w14:textId="66B1B66F" w:rsidR="002A4F7F" w:rsidRPr="00D73D6A" w:rsidRDefault="002A4F7F" w:rsidP="00DF6B79">
      <w:pPr>
        <w:tabs>
          <w:tab w:val="left" w:pos="0"/>
          <w:tab w:val="left" w:pos="709"/>
          <w:tab w:val="left" w:pos="1276"/>
        </w:tabs>
        <w:spacing w:line="360" w:lineRule="auto"/>
        <w:ind w:left="705" w:hanging="705"/>
        <w:jc w:val="both"/>
        <w:rPr>
          <w:szCs w:val="28"/>
        </w:rPr>
      </w:pPr>
      <w:r w:rsidRPr="00D73D6A">
        <w:rPr>
          <w:i/>
          <w:szCs w:val="28"/>
        </w:rPr>
        <w:t>(a)</w:t>
      </w:r>
      <w:r w:rsidR="0096006E" w:rsidRPr="00D73D6A">
        <w:rPr>
          <w:szCs w:val="28"/>
        </w:rPr>
        <w:tab/>
      </w:r>
      <w:r w:rsidRPr="00D73D6A">
        <w:rPr>
          <w:szCs w:val="28"/>
        </w:rPr>
        <w:t>include copies of, or references to, information provided to or obtained by the accountable institution to verify a person's identity; and</w:t>
      </w:r>
    </w:p>
    <w:p w14:paraId="4D092391" w14:textId="4AB0B297" w:rsidR="002A4F7F" w:rsidRPr="00D73D6A" w:rsidRDefault="002A4F7F" w:rsidP="00DF6B79">
      <w:pPr>
        <w:tabs>
          <w:tab w:val="left" w:pos="0"/>
          <w:tab w:val="left" w:pos="709"/>
          <w:tab w:val="left" w:pos="1276"/>
        </w:tabs>
        <w:spacing w:line="360" w:lineRule="auto"/>
        <w:ind w:left="705" w:hanging="705"/>
        <w:jc w:val="both"/>
        <w:rPr>
          <w:szCs w:val="28"/>
        </w:rPr>
      </w:pPr>
      <w:r w:rsidRPr="00D73D6A">
        <w:rPr>
          <w:i/>
          <w:szCs w:val="28"/>
        </w:rPr>
        <w:t>(b)</w:t>
      </w:r>
      <w:r w:rsidR="0096006E" w:rsidRPr="00D73D6A">
        <w:rPr>
          <w:szCs w:val="28"/>
        </w:rPr>
        <w:tab/>
      </w:r>
      <w:r w:rsidRPr="00D73D6A">
        <w:rPr>
          <w:szCs w:val="28"/>
        </w:rPr>
        <w:t>in the case of a business relationship, reflect the information obtained by the accountable institution under section 21A concerning-</w:t>
      </w:r>
    </w:p>
    <w:p w14:paraId="72A65840" w14:textId="4CD69751" w:rsidR="002A4F7F" w:rsidRPr="00D73D6A" w:rsidRDefault="002A4F7F" w:rsidP="0096006E">
      <w:pPr>
        <w:tabs>
          <w:tab w:val="left" w:pos="0"/>
          <w:tab w:val="left" w:pos="709"/>
          <w:tab w:val="left" w:pos="1276"/>
        </w:tabs>
        <w:spacing w:line="360" w:lineRule="auto"/>
        <w:jc w:val="both"/>
        <w:rPr>
          <w:szCs w:val="28"/>
        </w:rPr>
      </w:pPr>
      <w:r w:rsidRPr="00D73D6A">
        <w:rPr>
          <w:szCs w:val="28"/>
        </w:rPr>
        <w:tab/>
        <w:t>(i)</w:t>
      </w:r>
      <w:r w:rsidR="0096006E" w:rsidRPr="00D73D6A">
        <w:rPr>
          <w:szCs w:val="28"/>
        </w:rPr>
        <w:tab/>
      </w:r>
      <w:r w:rsidRPr="00D73D6A">
        <w:rPr>
          <w:szCs w:val="28"/>
        </w:rPr>
        <w:t>the nature of the business relationship;</w:t>
      </w:r>
    </w:p>
    <w:p w14:paraId="729482A3" w14:textId="5C718493" w:rsidR="002A4F7F" w:rsidRPr="00D73D6A" w:rsidRDefault="002A4F7F" w:rsidP="0096006E">
      <w:pPr>
        <w:tabs>
          <w:tab w:val="left" w:pos="0"/>
          <w:tab w:val="left" w:pos="709"/>
          <w:tab w:val="left" w:pos="1276"/>
        </w:tabs>
        <w:spacing w:line="360" w:lineRule="auto"/>
        <w:jc w:val="both"/>
        <w:rPr>
          <w:szCs w:val="28"/>
        </w:rPr>
      </w:pPr>
      <w:r w:rsidRPr="00D73D6A">
        <w:rPr>
          <w:szCs w:val="28"/>
        </w:rPr>
        <w:tab/>
        <w:t>(ii)</w:t>
      </w:r>
      <w:r w:rsidR="0096006E" w:rsidRPr="00D73D6A">
        <w:rPr>
          <w:szCs w:val="28"/>
        </w:rPr>
        <w:tab/>
      </w:r>
      <w:r w:rsidRPr="00D73D6A">
        <w:rPr>
          <w:szCs w:val="28"/>
        </w:rPr>
        <w:t>the intended purpose of the business relationship; and</w:t>
      </w:r>
    </w:p>
    <w:p w14:paraId="62B8F146" w14:textId="37639382" w:rsidR="002A4F7F" w:rsidRPr="00D73D6A" w:rsidRDefault="002A4F7F" w:rsidP="0096006E">
      <w:pPr>
        <w:tabs>
          <w:tab w:val="left" w:pos="0"/>
          <w:tab w:val="left" w:pos="709"/>
          <w:tab w:val="left" w:pos="1276"/>
        </w:tabs>
        <w:spacing w:line="360" w:lineRule="auto"/>
        <w:ind w:left="1275" w:hanging="1275"/>
        <w:jc w:val="both"/>
        <w:rPr>
          <w:szCs w:val="28"/>
        </w:rPr>
      </w:pPr>
      <w:r w:rsidRPr="00D73D6A">
        <w:rPr>
          <w:szCs w:val="28"/>
        </w:rPr>
        <w:tab/>
        <w:t>(iii)</w:t>
      </w:r>
      <w:r w:rsidR="0096006E" w:rsidRPr="00D73D6A">
        <w:rPr>
          <w:szCs w:val="28"/>
        </w:rPr>
        <w:tab/>
      </w:r>
      <w:r w:rsidRPr="00D73D6A">
        <w:rPr>
          <w:szCs w:val="28"/>
        </w:rPr>
        <w:t>the source of the funds which the prospective client is expected to use in concluding transactions in the course of the business relationship.</w:t>
      </w:r>
      <w:r w:rsidR="0096006E" w:rsidRPr="00D73D6A">
        <w:rPr>
          <w:szCs w:val="28"/>
        </w:rPr>
        <w:t>'</w:t>
      </w:r>
    </w:p>
    <w:p w14:paraId="021EAEA9" w14:textId="77777777" w:rsidR="0096006E" w:rsidRPr="00D73D6A" w:rsidRDefault="0096006E" w:rsidP="0096006E">
      <w:pPr>
        <w:tabs>
          <w:tab w:val="left" w:pos="0"/>
          <w:tab w:val="left" w:pos="709"/>
          <w:tab w:val="left" w:pos="1276"/>
        </w:tabs>
        <w:spacing w:line="360" w:lineRule="auto"/>
        <w:ind w:left="1275" w:hanging="1275"/>
        <w:jc w:val="both"/>
        <w:rPr>
          <w:szCs w:val="28"/>
        </w:rPr>
      </w:pPr>
    </w:p>
    <w:p w14:paraId="6E1F2F61" w14:textId="403FFD49" w:rsidR="0096006E" w:rsidRPr="00D73D6A" w:rsidRDefault="0096006E" w:rsidP="0096006E">
      <w:pPr>
        <w:tabs>
          <w:tab w:val="left" w:pos="0"/>
          <w:tab w:val="left" w:pos="709"/>
        </w:tabs>
        <w:spacing w:line="360" w:lineRule="auto"/>
        <w:jc w:val="both"/>
        <w:rPr>
          <w:sz w:val="28"/>
          <w:szCs w:val="28"/>
        </w:rPr>
      </w:pPr>
      <w:r w:rsidRPr="00D73D6A">
        <w:rPr>
          <w:sz w:val="28"/>
          <w:szCs w:val="28"/>
        </w:rPr>
        <w:t>[</w:t>
      </w:r>
      <w:r w:rsidR="00CA51A3" w:rsidRPr="00D73D6A">
        <w:rPr>
          <w:sz w:val="28"/>
          <w:szCs w:val="28"/>
        </w:rPr>
        <w:t>20</w:t>
      </w:r>
      <w:r w:rsidRPr="00D73D6A">
        <w:rPr>
          <w:sz w:val="28"/>
          <w:szCs w:val="28"/>
        </w:rPr>
        <w:t>]</w:t>
      </w:r>
      <w:r w:rsidRPr="00D73D6A">
        <w:rPr>
          <w:sz w:val="28"/>
          <w:szCs w:val="28"/>
        </w:rPr>
        <w:tab/>
        <w:t xml:space="preserve">Section 77(1) authorises the Minister of Finance to </w:t>
      </w:r>
      <w:r w:rsidR="00C72F96" w:rsidRPr="00D73D6A">
        <w:rPr>
          <w:sz w:val="28"/>
          <w:szCs w:val="28"/>
        </w:rPr>
        <w:t>‘</w:t>
      </w:r>
      <w:r w:rsidRPr="00D73D6A">
        <w:rPr>
          <w:sz w:val="28"/>
          <w:szCs w:val="28"/>
        </w:rPr>
        <w:t xml:space="preserve">make, repeal </w:t>
      </w:r>
      <w:r w:rsidR="00C72F96" w:rsidRPr="00D73D6A">
        <w:rPr>
          <w:sz w:val="28"/>
          <w:szCs w:val="28"/>
        </w:rPr>
        <w:t xml:space="preserve">and </w:t>
      </w:r>
      <w:r w:rsidRPr="00D73D6A">
        <w:rPr>
          <w:sz w:val="28"/>
          <w:szCs w:val="28"/>
        </w:rPr>
        <w:t xml:space="preserve">amend regulations concerning any matter that may be prescribed in terms of </w:t>
      </w:r>
      <w:r w:rsidR="00C72F96" w:rsidRPr="00D73D6A">
        <w:rPr>
          <w:sz w:val="28"/>
          <w:szCs w:val="28"/>
        </w:rPr>
        <w:t>[</w:t>
      </w:r>
      <w:r w:rsidRPr="00D73D6A">
        <w:rPr>
          <w:sz w:val="28"/>
          <w:szCs w:val="28"/>
        </w:rPr>
        <w:t>FICA</w:t>
      </w:r>
      <w:r w:rsidR="00C72F96" w:rsidRPr="00D73D6A">
        <w:rPr>
          <w:sz w:val="28"/>
          <w:szCs w:val="28"/>
        </w:rPr>
        <w:t>]</w:t>
      </w:r>
      <w:r w:rsidRPr="00D73D6A">
        <w:rPr>
          <w:sz w:val="28"/>
          <w:szCs w:val="28"/>
        </w:rPr>
        <w:t xml:space="preserve">, and any ancillary or incidental administrative or procedural matter which is necessary to prescribe for the proper implementation or administration of </w:t>
      </w:r>
      <w:r w:rsidR="001A2CE2" w:rsidRPr="00D73D6A">
        <w:rPr>
          <w:sz w:val="28"/>
          <w:szCs w:val="28"/>
        </w:rPr>
        <w:t>[</w:t>
      </w:r>
      <w:r w:rsidRPr="00D73D6A">
        <w:rPr>
          <w:sz w:val="28"/>
          <w:szCs w:val="28"/>
        </w:rPr>
        <w:t>FICA</w:t>
      </w:r>
      <w:r w:rsidR="001A2CE2" w:rsidRPr="00D73D6A">
        <w:rPr>
          <w:sz w:val="28"/>
          <w:szCs w:val="28"/>
        </w:rPr>
        <w:t>]’</w:t>
      </w:r>
      <w:r w:rsidRPr="00D73D6A">
        <w:rPr>
          <w:sz w:val="28"/>
          <w:szCs w:val="28"/>
        </w:rPr>
        <w:t xml:space="preserve">. Of particular </w:t>
      </w:r>
      <w:r w:rsidR="00720BFF" w:rsidRPr="00D73D6A">
        <w:rPr>
          <w:sz w:val="28"/>
          <w:szCs w:val="28"/>
        </w:rPr>
        <w:t>relevance</w:t>
      </w:r>
      <w:r w:rsidRPr="00D73D6A">
        <w:rPr>
          <w:sz w:val="28"/>
          <w:szCs w:val="28"/>
        </w:rPr>
        <w:t xml:space="preserve"> for present purposes is regulation 7</w:t>
      </w:r>
      <w:r w:rsidRPr="00D73D6A">
        <w:rPr>
          <w:i/>
          <w:sz w:val="28"/>
          <w:szCs w:val="28"/>
        </w:rPr>
        <w:t>(f)</w:t>
      </w:r>
      <w:r w:rsidRPr="00D73D6A">
        <w:rPr>
          <w:sz w:val="28"/>
          <w:szCs w:val="28"/>
        </w:rPr>
        <w:t>(ii).</w:t>
      </w:r>
      <w:r w:rsidRPr="00D73D6A">
        <w:rPr>
          <w:rStyle w:val="FootnoteReference"/>
          <w:sz w:val="28"/>
          <w:szCs w:val="28"/>
        </w:rPr>
        <w:footnoteReference w:id="9"/>
      </w:r>
      <w:r w:rsidRPr="00D73D6A">
        <w:rPr>
          <w:sz w:val="28"/>
          <w:szCs w:val="28"/>
        </w:rPr>
        <w:t xml:space="preserve"> </w:t>
      </w:r>
      <w:r w:rsidR="00720BFF" w:rsidRPr="00D73D6A">
        <w:rPr>
          <w:sz w:val="28"/>
          <w:szCs w:val="28"/>
        </w:rPr>
        <w:t>R</w:t>
      </w:r>
      <w:r w:rsidRPr="00D73D6A">
        <w:rPr>
          <w:sz w:val="28"/>
          <w:szCs w:val="28"/>
        </w:rPr>
        <w:t>egulation 7 deals with information concerning</w:t>
      </w:r>
      <w:r w:rsidR="00FD1A29" w:rsidRPr="00D73D6A">
        <w:rPr>
          <w:sz w:val="28"/>
          <w:szCs w:val="28"/>
        </w:rPr>
        <w:t>,</w:t>
      </w:r>
      <w:r w:rsidRPr="00D73D6A">
        <w:rPr>
          <w:sz w:val="28"/>
          <w:szCs w:val="28"/>
        </w:rPr>
        <w:t xml:space="preserve"> </w:t>
      </w:r>
      <w:r w:rsidR="00FD1A29" w:rsidRPr="00D73D6A">
        <w:rPr>
          <w:sz w:val="28"/>
          <w:szCs w:val="28"/>
        </w:rPr>
        <w:t xml:space="preserve">inter alia, </w:t>
      </w:r>
      <w:r w:rsidRPr="00D73D6A">
        <w:rPr>
          <w:sz w:val="28"/>
          <w:szCs w:val="28"/>
        </w:rPr>
        <w:t>South</w:t>
      </w:r>
      <w:r w:rsidR="001A2CE2" w:rsidRPr="00D73D6A">
        <w:rPr>
          <w:sz w:val="28"/>
          <w:szCs w:val="28"/>
        </w:rPr>
        <w:t> </w:t>
      </w:r>
      <w:r w:rsidRPr="00D73D6A">
        <w:rPr>
          <w:sz w:val="28"/>
          <w:szCs w:val="28"/>
        </w:rPr>
        <w:t xml:space="preserve">African companies. It sets out in detail the information that </w:t>
      </w:r>
      <w:r w:rsidR="00AE544B" w:rsidRPr="00D73D6A">
        <w:rPr>
          <w:sz w:val="28"/>
          <w:szCs w:val="28"/>
        </w:rPr>
        <w:t>'[</w:t>
      </w:r>
      <w:r w:rsidRPr="00D73D6A">
        <w:rPr>
          <w:sz w:val="28"/>
          <w:szCs w:val="28"/>
        </w:rPr>
        <w:t>a</w:t>
      </w:r>
      <w:r w:rsidR="00AE544B" w:rsidRPr="00D73D6A">
        <w:rPr>
          <w:sz w:val="28"/>
          <w:szCs w:val="28"/>
        </w:rPr>
        <w:t>]</w:t>
      </w:r>
      <w:r w:rsidRPr="00D73D6A">
        <w:rPr>
          <w:sz w:val="28"/>
          <w:szCs w:val="28"/>
        </w:rPr>
        <w:t>n accountable institution must obtain from the natural person acting or purporting to act on behalf of a South African company with which it is establishing a business relationship or concluding a single transaction</w:t>
      </w:r>
      <w:r w:rsidR="00AE544B" w:rsidRPr="00D73D6A">
        <w:rPr>
          <w:sz w:val="28"/>
          <w:szCs w:val="28"/>
        </w:rPr>
        <w:t xml:space="preserve">. . . </w:t>
      </w:r>
      <w:r w:rsidRPr="00D73D6A">
        <w:rPr>
          <w:sz w:val="28"/>
          <w:szCs w:val="28"/>
        </w:rPr>
        <w:t>'. Regulation 7</w:t>
      </w:r>
      <w:r w:rsidRPr="00D73D6A">
        <w:rPr>
          <w:i/>
          <w:sz w:val="28"/>
          <w:szCs w:val="28"/>
        </w:rPr>
        <w:t>(f)</w:t>
      </w:r>
      <w:r w:rsidRPr="00D73D6A">
        <w:rPr>
          <w:sz w:val="28"/>
          <w:szCs w:val="28"/>
        </w:rPr>
        <w:t>(ii) states</w:t>
      </w:r>
      <w:r w:rsidR="005B14E5" w:rsidRPr="00D73D6A">
        <w:rPr>
          <w:sz w:val="28"/>
          <w:szCs w:val="28"/>
        </w:rPr>
        <w:t xml:space="preserve"> </w:t>
      </w:r>
      <w:r w:rsidR="00C30B35" w:rsidRPr="00D73D6A">
        <w:rPr>
          <w:sz w:val="28"/>
          <w:szCs w:val="28"/>
        </w:rPr>
        <w:t>that</w:t>
      </w:r>
      <w:r w:rsidR="005B14E5" w:rsidRPr="00D73D6A">
        <w:rPr>
          <w:sz w:val="28"/>
          <w:szCs w:val="28"/>
        </w:rPr>
        <w:t xml:space="preserve"> in the case of a company the following information is required, namely</w:t>
      </w:r>
      <w:r w:rsidRPr="00D73D6A">
        <w:rPr>
          <w:sz w:val="28"/>
          <w:szCs w:val="28"/>
        </w:rPr>
        <w:t>:</w:t>
      </w:r>
    </w:p>
    <w:p w14:paraId="744D9967" w14:textId="53D20095" w:rsidR="0096006E" w:rsidRPr="00D73D6A" w:rsidRDefault="00577041" w:rsidP="0096006E">
      <w:pPr>
        <w:tabs>
          <w:tab w:val="left" w:pos="0"/>
          <w:tab w:val="left" w:pos="709"/>
        </w:tabs>
        <w:spacing w:line="360" w:lineRule="auto"/>
        <w:jc w:val="both"/>
        <w:rPr>
          <w:szCs w:val="28"/>
        </w:rPr>
      </w:pPr>
      <w:r w:rsidRPr="00D73D6A">
        <w:rPr>
          <w:szCs w:val="28"/>
        </w:rPr>
        <w:lastRenderedPageBreak/>
        <w:t>'the full names, date of birth, identity number, referred to in regulation</w:t>
      </w:r>
      <w:r w:rsidRPr="00D73D6A">
        <w:rPr>
          <w:b/>
          <w:szCs w:val="28"/>
        </w:rPr>
        <w:t xml:space="preserve"> </w:t>
      </w:r>
      <w:r w:rsidRPr="00D73D6A">
        <w:rPr>
          <w:szCs w:val="28"/>
        </w:rPr>
        <w:t>3 (1) (a), (b) and (c), full names, date of birth and name of the country, referred to in regulation 5 (1) (a), (b) and (c), registered name, registration number, registered address, trade name and business address referred to in regulation 7 (a), (b), (c), (d) and (e), names, numbers and addresses referred to in regulation</w:t>
      </w:r>
      <w:r w:rsidRPr="00D73D6A">
        <w:rPr>
          <w:b/>
          <w:szCs w:val="28"/>
        </w:rPr>
        <w:t xml:space="preserve"> </w:t>
      </w:r>
      <w:r w:rsidRPr="00D73D6A">
        <w:rPr>
          <w:szCs w:val="28"/>
        </w:rPr>
        <w:t>9 (a), (b), and (c), name, address and legal form referred to in regulation 11 (a), (b) and (c), name referred to in regulation 13 (a) or name and number referred to in regulation 15 (a), as may be applicable, concerning the natural or legal person, partnership or trust holding 25% or more of the voting rights at a general meeting of the company concerned.'</w:t>
      </w:r>
    </w:p>
    <w:p w14:paraId="3A6D2B7F" w14:textId="77777777" w:rsidR="00577041" w:rsidRPr="00D73D6A" w:rsidRDefault="00577041" w:rsidP="0096006E">
      <w:pPr>
        <w:tabs>
          <w:tab w:val="left" w:pos="0"/>
          <w:tab w:val="left" w:pos="709"/>
        </w:tabs>
        <w:spacing w:line="360" w:lineRule="auto"/>
        <w:jc w:val="both"/>
        <w:rPr>
          <w:szCs w:val="28"/>
        </w:rPr>
      </w:pPr>
    </w:p>
    <w:p w14:paraId="600305E5" w14:textId="314BD2B5" w:rsidR="0096006E" w:rsidRPr="00D73D6A" w:rsidRDefault="0096006E" w:rsidP="0096006E">
      <w:pPr>
        <w:tabs>
          <w:tab w:val="left" w:pos="0"/>
          <w:tab w:val="left" w:pos="709"/>
        </w:tabs>
        <w:spacing w:line="360" w:lineRule="auto"/>
        <w:jc w:val="both"/>
        <w:rPr>
          <w:sz w:val="28"/>
          <w:szCs w:val="28"/>
        </w:rPr>
      </w:pPr>
      <w:r w:rsidRPr="00D73D6A">
        <w:rPr>
          <w:sz w:val="28"/>
          <w:szCs w:val="28"/>
        </w:rPr>
        <w:t>[</w:t>
      </w:r>
      <w:r w:rsidR="00CA51A3" w:rsidRPr="00D73D6A">
        <w:rPr>
          <w:sz w:val="28"/>
          <w:szCs w:val="28"/>
        </w:rPr>
        <w:t>21</w:t>
      </w:r>
      <w:r w:rsidRPr="00D73D6A">
        <w:rPr>
          <w:sz w:val="28"/>
          <w:szCs w:val="28"/>
        </w:rPr>
        <w:t>]</w:t>
      </w:r>
      <w:r w:rsidRPr="00D73D6A">
        <w:rPr>
          <w:sz w:val="28"/>
          <w:szCs w:val="28"/>
        </w:rPr>
        <w:tab/>
      </w:r>
      <w:r w:rsidR="0051651E" w:rsidRPr="00D73D6A">
        <w:rPr>
          <w:sz w:val="28"/>
          <w:szCs w:val="28"/>
        </w:rPr>
        <w:t xml:space="preserve">There is at least one crucial point that can be made about the introductory part of regulation 7. It is this: an accountable institution is authorised and obliged to obtain </w:t>
      </w:r>
      <w:r w:rsidR="00FD1A29" w:rsidRPr="00D73D6A">
        <w:rPr>
          <w:sz w:val="28"/>
          <w:szCs w:val="28"/>
        </w:rPr>
        <w:t xml:space="preserve">certain information </w:t>
      </w:r>
      <w:r w:rsidR="0051651E" w:rsidRPr="00D73D6A">
        <w:rPr>
          <w:sz w:val="28"/>
          <w:szCs w:val="28"/>
        </w:rPr>
        <w:t xml:space="preserve">from the natural person acting or purporting to act, </w:t>
      </w:r>
      <w:r w:rsidR="0051651E" w:rsidRPr="00D73D6A">
        <w:rPr>
          <w:i/>
          <w:sz w:val="28"/>
          <w:szCs w:val="28"/>
        </w:rPr>
        <w:t>inter alia</w:t>
      </w:r>
      <w:r w:rsidR="0051651E" w:rsidRPr="00D73D6A">
        <w:rPr>
          <w:sz w:val="28"/>
          <w:szCs w:val="28"/>
        </w:rPr>
        <w:t>, on behalf of a South African company – in this instance Houtbosplaas and TBS</w:t>
      </w:r>
      <w:r w:rsidR="00DA7E8B" w:rsidRPr="00D73D6A">
        <w:rPr>
          <w:sz w:val="28"/>
          <w:szCs w:val="28"/>
        </w:rPr>
        <w:t> </w:t>
      </w:r>
      <w:r w:rsidR="0051651E" w:rsidRPr="00D73D6A">
        <w:rPr>
          <w:sz w:val="28"/>
          <w:szCs w:val="28"/>
        </w:rPr>
        <w:t>Alpha – with which it (</w:t>
      </w:r>
      <w:r w:rsidR="00CA51A3" w:rsidRPr="00D73D6A">
        <w:rPr>
          <w:sz w:val="28"/>
          <w:szCs w:val="28"/>
        </w:rPr>
        <w:t>that is,</w:t>
      </w:r>
      <w:r w:rsidR="0051651E" w:rsidRPr="00D73D6A">
        <w:rPr>
          <w:sz w:val="28"/>
          <w:szCs w:val="28"/>
        </w:rPr>
        <w:t xml:space="preserve"> the </w:t>
      </w:r>
      <w:r w:rsidR="002F1CF6" w:rsidRPr="00D73D6A">
        <w:rPr>
          <w:sz w:val="28"/>
          <w:szCs w:val="28"/>
        </w:rPr>
        <w:t>accountable</w:t>
      </w:r>
      <w:r w:rsidR="0051651E" w:rsidRPr="00D73D6A">
        <w:rPr>
          <w:sz w:val="28"/>
          <w:szCs w:val="28"/>
        </w:rPr>
        <w:t xml:space="preserve"> institution) </w:t>
      </w:r>
      <w:r w:rsidR="00CA51A3" w:rsidRPr="00D73D6A">
        <w:rPr>
          <w:sz w:val="28"/>
          <w:szCs w:val="28"/>
        </w:rPr>
        <w:t xml:space="preserve">is </w:t>
      </w:r>
      <w:r w:rsidR="0051651E" w:rsidRPr="00D73D6A">
        <w:rPr>
          <w:sz w:val="28"/>
          <w:szCs w:val="28"/>
        </w:rPr>
        <w:t>establishing a business relationship</w:t>
      </w:r>
      <w:r w:rsidR="0051651E" w:rsidRPr="00D73D6A">
        <w:rPr>
          <w:rStyle w:val="FootnoteReference"/>
          <w:sz w:val="28"/>
          <w:szCs w:val="28"/>
        </w:rPr>
        <w:footnoteReference w:id="10"/>
      </w:r>
      <w:r w:rsidR="002F1CF6" w:rsidRPr="00D73D6A">
        <w:rPr>
          <w:sz w:val="28"/>
          <w:szCs w:val="28"/>
        </w:rPr>
        <w:t xml:space="preserve"> or concluding a single transaction.</w:t>
      </w:r>
      <w:r w:rsidR="002F1CF6" w:rsidRPr="00D73D6A">
        <w:rPr>
          <w:rStyle w:val="FootnoteReference"/>
          <w:sz w:val="28"/>
          <w:szCs w:val="28"/>
        </w:rPr>
        <w:footnoteReference w:id="11"/>
      </w:r>
    </w:p>
    <w:p w14:paraId="5D3643C9" w14:textId="77777777" w:rsidR="002F1CF6" w:rsidRPr="00D73D6A" w:rsidRDefault="002F1CF6" w:rsidP="0096006E">
      <w:pPr>
        <w:tabs>
          <w:tab w:val="left" w:pos="0"/>
          <w:tab w:val="left" w:pos="709"/>
        </w:tabs>
        <w:spacing w:line="360" w:lineRule="auto"/>
        <w:jc w:val="both"/>
        <w:rPr>
          <w:sz w:val="28"/>
          <w:szCs w:val="28"/>
        </w:rPr>
      </w:pPr>
    </w:p>
    <w:p w14:paraId="05D3685D" w14:textId="63C38FCD" w:rsidR="002F1CF6" w:rsidRPr="00D73D6A" w:rsidRDefault="002F1CF6" w:rsidP="0096006E">
      <w:pPr>
        <w:tabs>
          <w:tab w:val="left" w:pos="0"/>
          <w:tab w:val="left" w:pos="709"/>
        </w:tabs>
        <w:spacing w:line="360" w:lineRule="auto"/>
        <w:jc w:val="both"/>
        <w:rPr>
          <w:sz w:val="28"/>
          <w:szCs w:val="28"/>
        </w:rPr>
      </w:pPr>
      <w:r w:rsidRPr="00D73D6A">
        <w:rPr>
          <w:sz w:val="28"/>
          <w:szCs w:val="28"/>
        </w:rPr>
        <w:t>[</w:t>
      </w:r>
      <w:r w:rsidR="00CA51A3" w:rsidRPr="00D73D6A">
        <w:rPr>
          <w:sz w:val="28"/>
          <w:szCs w:val="28"/>
        </w:rPr>
        <w:t>22</w:t>
      </w:r>
      <w:r w:rsidRPr="00D73D6A">
        <w:rPr>
          <w:sz w:val="28"/>
          <w:szCs w:val="28"/>
        </w:rPr>
        <w:t>]</w:t>
      </w:r>
      <w:r w:rsidRPr="00D73D6A">
        <w:rPr>
          <w:sz w:val="28"/>
          <w:szCs w:val="28"/>
        </w:rPr>
        <w:tab/>
      </w:r>
      <w:r w:rsidR="00AD7DEC" w:rsidRPr="00D73D6A">
        <w:rPr>
          <w:sz w:val="28"/>
          <w:szCs w:val="28"/>
        </w:rPr>
        <w:t>Of relevance for present purpose</w:t>
      </w:r>
      <w:r w:rsidR="005B14E5" w:rsidRPr="00D73D6A">
        <w:rPr>
          <w:sz w:val="28"/>
          <w:szCs w:val="28"/>
        </w:rPr>
        <w:t>s</w:t>
      </w:r>
      <w:r w:rsidR="00AD7DEC" w:rsidRPr="00D73D6A">
        <w:rPr>
          <w:sz w:val="28"/>
          <w:szCs w:val="28"/>
        </w:rPr>
        <w:t xml:space="preserve"> is regulation 7</w:t>
      </w:r>
      <w:r w:rsidR="00AD7DEC" w:rsidRPr="00D73D6A">
        <w:rPr>
          <w:i/>
          <w:sz w:val="28"/>
          <w:szCs w:val="28"/>
        </w:rPr>
        <w:t>(f)</w:t>
      </w:r>
      <w:r w:rsidR="00AD7DEC" w:rsidRPr="00D73D6A">
        <w:rPr>
          <w:sz w:val="28"/>
          <w:szCs w:val="28"/>
        </w:rPr>
        <w:t xml:space="preserve">(ii) to which reference </w:t>
      </w:r>
      <w:r w:rsidR="005B14E5" w:rsidRPr="00D73D6A">
        <w:rPr>
          <w:sz w:val="28"/>
          <w:szCs w:val="28"/>
        </w:rPr>
        <w:t xml:space="preserve">has been </w:t>
      </w:r>
      <w:r w:rsidR="00AD7DEC" w:rsidRPr="00D73D6A">
        <w:rPr>
          <w:sz w:val="28"/>
          <w:szCs w:val="28"/>
        </w:rPr>
        <w:t xml:space="preserve">made in paragraph </w:t>
      </w:r>
      <w:r w:rsidR="005B14E5" w:rsidRPr="00D73D6A">
        <w:rPr>
          <w:sz w:val="28"/>
          <w:szCs w:val="28"/>
        </w:rPr>
        <w:t xml:space="preserve">20 </w:t>
      </w:r>
      <w:r w:rsidR="00AD7DEC" w:rsidRPr="00D73D6A">
        <w:rPr>
          <w:sz w:val="28"/>
          <w:szCs w:val="28"/>
        </w:rPr>
        <w:t xml:space="preserve">above. As will have been observed from paragraph </w:t>
      </w:r>
      <w:r w:rsidR="005B14E5" w:rsidRPr="00D73D6A">
        <w:rPr>
          <w:sz w:val="28"/>
          <w:szCs w:val="28"/>
        </w:rPr>
        <w:t xml:space="preserve">20 </w:t>
      </w:r>
      <w:r w:rsidR="00AD7DEC" w:rsidRPr="00D73D6A">
        <w:rPr>
          <w:sz w:val="28"/>
          <w:szCs w:val="28"/>
        </w:rPr>
        <w:t>above</w:t>
      </w:r>
      <w:r w:rsidR="005B14E5" w:rsidRPr="00D73D6A">
        <w:rPr>
          <w:sz w:val="28"/>
          <w:szCs w:val="28"/>
        </w:rPr>
        <w:t>,</w:t>
      </w:r>
      <w:r w:rsidR="00AD7DEC" w:rsidRPr="00D73D6A">
        <w:rPr>
          <w:sz w:val="28"/>
          <w:szCs w:val="28"/>
        </w:rPr>
        <w:t xml:space="preserve"> regulation 7</w:t>
      </w:r>
      <w:r w:rsidR="00AD7DEC" w:rsidRPr="00D73D6A">
        <w:rPr>
          <w:i/>
          <w:sz w:val="28"/>
          <w:szCs w:val="28"/>
        </w:rPr>
        <w:t>(f)</w:t>
      </w:r>
      <w:r w:rsidR="00AD7DEC" w:rsidRPr="00D73D6A">
        <w:rPr>
          <w:sz w:val="28"/>
          <w:szCs w:val="28"/>
        </w:rPr>
        <w:t>(ii), in turn, makes reference to regulation</w:t>
      </w:r>
      <w:r w:rsidR="0089513E" w:rsidRPr="00D73D6A">
        <w:rPr>
          <w:sz w:val="28"/>
          <w:szCs w:val="28"/>
        </w:rPr>
        <w:t> </w:t>
      </w:r>
      <w:r w:rsidR="00AD7DEC" w:rsidRPr="00D73D6A">
        <w:rPr>
          <w:sz w:val="28"/>
          <w:szCs w:val="28"/>
        </w:rPr>
        <w:t xml:space="preserve">15. </w:t>
      </w:r>
      <w:r w:rsidR="005B14E5" w:rsidRPr="00D73D6A">
        <w:rPr>
          <w:sz w:val="28"/>
          <w:szCs w:val="28"/>
        </w:rPr>
        <w:t xml:space="preserve">However, </w:t>
      </w:r>
      <w:r w:rsidR="00AD7DEC" w:rsidRPr="00D73D6A">
        <w:rPr>
          <w:sz w:val="28"/>
          <w:szCs w:val="28"/>
        </w:rPr>
        <w:t>in order for the provisions of regulation 7</w:t>
      </w:r>
      <w:r w:rsidR="00AD7DEC" w:rsidRPr="00D73D6A">
        <w:rPr>
          <w:i/>
          <w:sz w:val="28"/>
          <w:szCs w:val="28"/>
        </w:rPr>
        <w:t>(f)</w:t>
      </w:r>
      <w:r w:rsidR="00AD7DEC" w:rsidRPr="00D73D6A">
        <w:rPr>
          <w:sz w:val="28"/>
          <w:szCs w:val="28"/>
        </w:rPr>
        <w:t>(ii) to be triggered, the trust involved must '</w:t>
      </w:r>
      <w:r w:rsidR="005B29DF" w:rsidRPr="00D73D6A">
        <w:rPr>
          <w:sz w:val="28"/>
          <w:szCs w:val="28"/>
        </w:rPr>
        <w:t xml:space="preserve">. . . </w:t>
      </w:r>
      <w:r w:rsidR="0089513E" w:rsidRPr="00D73D6A">
        <w:rPr>
          <w:sz w:val="28"/>
          <w:szCs w:val="28"/>
        </w:rPr>
        <w:t>[</w:t>
      </w:r>
      <w:r w:rsidR="00AD7DEC" w:rsidRPr="00D73D6A">
        <w:rPr>
          <w:sz w:val="28"/>
          <w:szCs w:val="28"/>
        </w:rPr>
        <w:t>hold</w:t>
      </w:r>
      <w:r w:rsidR="0089513E" w:rsidRPr="00D73D6A">
        <w:rPr>
          <w:sz w:val="28"/>
          <w:szCs w:val="28"/>
        </w:rPr>
        <w:t>]</w:t>
      </w:r>
      <w:r w:rsidR="00AD7DEC" w:rsidRPr="00D73D6A">
        <w:rPr>
          <w:sz w:val="28"/>
          <w:szCs w:val="28"/>
        </w:rPr>
        <w:t xml:space="preserve"> 25% or more of the voting rights at a general meeting of the company concerned' but not otherwise. </w:t>
      </w:r>
    </w:p>
    <w:p w14:paraId="022C0E93" w14:textId="607097AB" w:rsidR="0040396A" w:rsidRPr="00D73D6A" w:rsidRDefault="0040396A" w:rsidP="0096006E">
      <w:pPr>
        <w:tabs>
          <w:tab w:val="left" w:pos="0"/>
          <w:tab w:val="left" w:pos="709"/>
        </w:tabs>
        <w:spacing w:line="360" w:lineRule="auto"/>
        <w:jc w:val="both"/>
        <w:rPr>
          <w:sz w:val="28"/>
          <w:szCs w:val="28"/>
        </w:rPr>
      </w:pPr>
      <w:r w:rsidRPr="00D73D6A">
        <w:rPr>
          <w:sz w:val="28"/>
          <w:szCs w:val="28"/>
        </w:rPr>
        <w:lastRenderedPageBreak/>
        <w:t>[23]</w:t>
      </w:r>
      <w:r w:rsidRPr="00D73D6A">
        <w:rPr>
          <w:sz w:val="28"/>
          <w:szCs w:val="28"/>
        </w:rPr>
        <w:tab/>
        <w:t xml:space="preserve">In this </w:t>
      </w:r>
      <w:r w:rsidR="005B29DF" w:rsidRPr="00D73D6A">
        <w:rPr>
          <w:sz w:val="28"/>
          <w:szCs w:val="28"/>
        </w:rPr>
        <w:t>C</w:t>
      </w:r>
      <w:r w:rsidRPr="00D73D6A">
        <w:rPr>
          <w:sz w:val="28"/>
          <w:szCs w:val="28"/>
        </w:rPr>
        <w:t>ourt counsel for Nedbank submitted that the high court erred in its conclusion because it overlooked a cardinal fact</w:t>
      </w:r>
      <w:r w:rsidR="005B14E5" w:rsidRPr="00D73D6A">
        <w:rPr>
          <w:sz w:val="28"/>
          <w:szCs w:val="28"/>
        </w:rPr>
        <w:t>, namely</w:t>
      </w:r>
      <w:r w:rsidRPr="00D73D6A">
        <w:rPr>
          <w:sz w:val="28"/>
          <w:szCs w:val="28"/>
        </w:rPr>
        <w:t xml:space="preserve"> that in terms of the memoranda of incorporation of the companies concerned </w:t>
      </w:r>
      <w:r w:rsidR="005B14E5" w:rsidRPr="00D73D6A">
        <w:rPr>
          <w:sz w:val="28"/>
          <w:szCs w:val="28"/>
        </w:rPr>
        <w:t xml:space="preserve">preference </w:t>
      </w:r>
      <w:r w:rsidRPr="00D73D6A">
        <w:rPr>
          <w:sz w:val="28"/>
          <w:szCs w:val="28"/>
        </w:rPr>
        <w:t>shareholders were not eligible to vote in relation to certain matters at general meetings of the companies. Bearing this consideration in mind, it was argued</w:t>
      </w:r>
      <w:r w:rsidR="005B14E5" w:rsidRPr="00D73D6A">
        <w:rPr>
          <w:sz w:val="28"/>
          <w:szCs w:val="28"/>
        </w:rPr>
        <w:t xml:space="preserve"> that</w:t>
      </w:r>
      <w:r w:rsidRPr="00D73D6A">
        <w:rPr>
          <w:sz w:val="28"/>
          <w:szCs w:val="28"/>
        </w:rPr>
        <w:t>, with respect to those matter</w:t>
      </w:r>
      <w:r w:rsidR="002C47A8" w:rsidRPr="00D73D6A">
        <w:rPr>
          <w:sz w:val="28"/>
          <w:szCs w:val="28"/>
        </w:rPr>
        <w:t>s</w:t>
      </w:r>
      <w:r w:rsidRPr="00D73D6A">
        <w:rPr>
          <w:sz w:val="28"/>
          <w:szCs w:val="28"/>
        </w:rPr>
        <w:t xml:space="preserve"> </w:t>
      </w:r>
      <w:r w:rsidR="005B14E5" w:rsidRPr="00D73D6A">
        <w:rPr>
          <w:sz w:val="28"/>
          <w:szCs w:val="28"/>
        </w:rPr>
        <w:t>the four trusts</w:t>
      </w:r>
      <w:r w:rsidRPr="00D73D6A">
        <w:rPr>
          <w:sz w:val="28"/>
          <w:szCs w:val="28"/>
        </w:rPr>
        <w:t xml:space="preserve"> would each </w:t>
      </w:r>
      <w:r w:rsidR="005B14E5" w:rsidRPr="00D73D6A">
        <w:rPr>
          <w:sz w:val="28"/>
          <w:szCs w:val="28"/>
        </w:rPr>
        <w:t xml:space="preserve">exercise </w:t>
      </w:r>
      <w:r w:rsidRPr="00D73D6A">
        <w:rPr>
          <w:sz w:val="28"/>
          <w:szCs w:val="28"/>
        </w:rPr>
        <w:t>25% of the voting rights. Insofar as the high court's second finding is concerned, counsel contended that the high court had regard to the amended version of s</w:t>
      </w:r>
      <w:r w:rsidR="0006594E" w:rsidRPr="00D73D6A">
        <w:rPr>
          <w:sz w:val="28"/>
          <w:szCs w:val="28"/>
        </w:rPr>
        <w:t> </w:t>
      </w:r>
      <w:r w:rsidRPr="00D73D6A">
        <w:rPr>
          <w:sz w:val="28"/>
          <w:szCs w:val="28"/>
        </w:rPr>
        <w:t>21(2) of FICA that was not of application,</w:t>
      </w:r>
      <w:r w:rsidRPr="00D73D6A">
        <w:rPr>
          <w:rStyle w:val="FootnoteReference"/>
          <w:sz w:val="28"/>
          <w:szCs w:val="28"/>
        </w:rPr>
        <w:footnoteReference w:id="12"/>
      </w:r>
      <w:r w:rsidRPr="00D73D6A">
        <w:rPr>
          <w:sz w:val="28"/>
          <w:szCs w:val="28"/>
        </w:rPr>
        <w:t xml:space="preserve"> ignoring the pre-amended version that was in operation at the relevant time.</w:t>
      </w:r>
    </w:p>
    <w:p w14:paraId="337FEAB2" w14:textId="77777777" w:rsidR="0040396A" w:rsidRPr="00D73D6A" w:rsidRDefault="0040396A" w:rsidP="0096006E">
      <w:pPr>
        <w:tabs>
          <w:tab w:val="left" w:pos="0"/>
          <w:tab w:val="left" w:pos="709"/>
        </w:tabs>
        <w:spacing w:line="360" w:lineRule="auto"/>
        <w:jc w:val="both"/>
        <w:rPr>
          <w:sz w:val="28"/>
          <w:szCs w:val="28"/>
        </w:rPr>
      </w:pPr>
    </w:p>
    <w:p w14:paraId="494BE8A9" w14:textId="4FB76529" w:rsidR="0040396A" w:rsidRPr="00D73D6A" w:rsidRDefault="0040396A" w:rsidP="0096006E">
      <w:pPr>
        <w:tabs>
          <w:tab w:val="left" w:pos="0"/>
          <w:tab w:val="left" w:pos="709"/>
        </w:tabs>
        <w:spacing w:line="360" w:lineRule="auto"/>
        <w:jc w:val="both"/>
        <w:rPr>
          <w:sz w:val="28"/>
          <w:szCs w:val="28"/>
        </w:rPr>
      </w:pPr>
      <w:r w:rsidRPr="00D73D6A">
        <w:rPr>
          <w:sz w:val="28"/>
          <w:szCs w:val="28"/>
        </w:rPr>
        <w:t>[24]</w:t>
      </w:r>
      <w:r w:rsidRPr="00D73D6A">
        <w:rPr>
          <w:sz w:val="28"/>
          <w:szCs w:val="28"/>
        </w:rPr>
        <w:tab/>
        <w:t>Before its amendment, s 21(2) read as follows:</w:t>
      </w:r>
    </w:p>
    <w:p w14:paraId="00296940" w14:textId="337974D0" w:rsidR="0040396A" w:rsidRPr="00D73D6A" w:rsidRDefault="0040396A" w:rsidP="0096006E">
      <w:pPr>
        <w:tabs>
          <w:tab w:val="left" w:pos="0"/>
          <w:tab w:val="left" w:pos="709"/>
        </w:tabs>
        <w:spacing w:line="360" w:lineRule="auto"/>
        <w:jc w:val="both"/>
        <w:rPr>
          <w:szCs w:val="28"/>
        </w:rPr>
      </w:pPr>
      <w:r w:rsidRPr="00D73D6A">
        <w:rPr>
          <w:szCs w:val="28"/>
        </w:rPr>
        <w:t>'If an accountable institution had established a business relationship with a client before this Act took effect, the accountable institution may not conclude a transaction in the course of that business relationship, unless the accountable institution has taken the prescribed steps–</w:t>
      </w:r>
    </w:p>
    <w:p w14:paraId="24D7FBCA" w14:textId="43E4F8A5" w:rsidR="00405583" w:rsidRPr="00D73D6A" w:rsidRDefault="0040396A" w:rsidP="00DF6B79">
      <w:pPr>
        <w:pStyle w:val="ListParagraph"/>
        <w:numPr>
          <w:ilvl w:val="0"/>
          <w:numId w:val="7"/>
        </w:numPr>
        <w:tabs>
          <w:tab w:val="left" w:pos="0"/>
          <w:tab w:val="left" w:pos="709"/>
        </w:tabs>
        <w:spacing w:line="360" w:lineRule="auto"/>
        <w:jc w:val="both"/>
        <w:rPr>
          <w:szCs w:val="28"/>
        </w:rPr>
      </w:pPr>
      <w:r w:rsidRPr="00D73D6A">
        <w:rPr>
          <w:szCs w:val="28"/>
        </w:rPr>
        <w:t>to establish and verify the identity of the client;</w:t>
      </w:r>
    </w:p>
    <w:p w14:paraId="1B5553B8" w14:textId="0CE32AB6" w:rsidR="0040396A" w:rsidRPr="00D73D6A" w:rsidRDefault="0040396A" w:rsidP="00A76FA3">
      <w:pPr>
        <w:tabs>
          <w:tab w:val="left" w:pos="0"/>
          <w:tab w:val="left" w:pos="709"/>
        </w:tabs>
        <w:spacing w:line="360" w:lineRule="auto"/>
        <w:jc w:val="both"/>
        <w:rPr>
          <w:sz w:val="28"/>
          <w:szCs w:val="28"/>
        </w:rPr>
      </w:pPr>
      <w:r w:rsidRPr="00D73D6A">
        <w:rPr>
          <w:szCs w:val="28"/>
        </w:rPr>
        <w:t xml:space="preserve"> . . .'</w:t>
      </w:r>
    </w:p>
    <w:p w14:paraId="13394493" w14:textId="77777777" w:rsidR="0040396A" w:rsidRPr="00D73D6A" w:rsidRDefault="0040396A" w:rsidP="0096006E">
      <w:pPr>
        <w:tabs>
          <w:tab w:val="left" w:pos="0"/>
          <w:tab w:val="left" w:pos="709"/>
        </w:tabs>
        <w:spacing w:line="360" w:lineRule="auto"/>
        <w:jc w:val="both"/>
        <w:rPr>
          <w:sz w:val="28"/>
          <w:szCs w:val="28"/>
        </w:rPr>
      </w:pPr>
    </w:p>
    <w:p w14:paraId="17086956" w14:textId="1F70F0FA" w:rsidR="0040396A" w:rsidRPr="00D73D6A" w:rsidRDefault="0040396A" w:rsidP="0096006E">
      <w:pPr>
        <w:tabs>
          <w:tab w:val="left" w:pos="0"/>
          <w:tab w:val="left" w:pos="709"/>
        </w:tabs>
        <w:spacing w:line="360" w:lineRule="auto"/>
        <w:jc w:val="both"/>
        <w:rPr>
          <w:sz w:val="28"/>
          <w:szCs w:val="28"/>
        </w:rPr>
      </w:pPr>
      <w:r w:rsidRPr="00D73D6A">
        <w:rPr>
          <w:sz w:val="28"/>
          <w:szCs w:val="28"/>
        </w:rPr>
        <w:t>[25]</w:t>
      </w:r>
      <w:r w:rsidRPr="00D73D6A">
        <w:rPr>
          <w:sz w:val="28"/>
          <w:szCs w:val="28"/>
        </w:rPr>
        <w:tab/>
        <w:t xml:space="preserve">There are at least two notable features of s 21(2) that immediately attract the attention of the reader. </w:t>
      </w:r>
      <w:r w:rsidR="00C660F8" w:rsidRPr="00D73D6A">
        <w:rPr>
          <w:sz w:val="28"/>
          <w:szCs w:val="28"/>
        </w:rPr>
        <w:t xml:space="preserve">Even on </w:t>
      </w:r>
      <w:r w:rsidR="002C47A8" w:rsidRPr="00D73D6A">
        <w:rPr>
          <w:sz w:val="28"/>
          <w:szCs w:val="28"/>
        </w:rPr>
        <w:t xml:space="preserve">a </w:t>
      </w:r>
      <w:r w:rsidR="00C660F8" w:rsidRPr="00D73D6A">
        <w:rPr>
          <w:sz w:val="28"/>
          <w:szCs w:val="28"/>
        </w:rPr>
        <w:t xml:space="preserve">cursory </w:t>
      </w:r>
      <w:r w:rsidRPr="00D73D6A">
        <w:rPr>
          <w:sz w:val="28"/>
          <w:szCs w:val="28"/>
        </w:rPr>
        <w:t xml:space="preserve">reading </w:t>
      </w:r>
      <w:r w:rsidR="002C47A8" w:rsidRPr="00D73D6A">
        <w:rPr>
          <w:sz w:val="28"/>
          <w:szCs w:val="28"/>
        </w:rPr>
        <w:t xml:space="preserve">of </w:t>
      </w:r>
      <w:r w:rsidRPr="00D73D6A">
        <w:rPr>
          <w:sz w:val="28"/>
          <w:szCs w:val="28"/>
        </w:rPr>
        <w:t>the provisions of s</w:t>
      </w:r>
      <w:r w:rsidR="00C660F8" w:rsidRPr="00D73D6A">
        <w:rPr>
          <w:sz w:val="28"/>
          <w:szCs w:val="28"/>
        </w:rPr>
        <w:t> </w:t>
      </w:r>
      <w:r w:rsidRPr="00D73D6A">
        <w:rPr>
          <w:sz w:val="28"/>
          <w:szCs w:val="28"/>
        </w:rPr>
        <w:t xml:space="preserve">21(2) it becomes </w:t>
      </w:r>
      <w:r w:rsidR="005B14E5" w:rsidRPr="00D73D6A">
        <w:rPr>
          <w:sz w:val="28"/>
          <w:szCs w:val="28"/>
        </w:rPr>
        <w:t xml:space="preserve">readily </w:t>
      </w:r>
      <w:r w:rsidRPr="00D73D6A">
        <w:rPr>
          <w:sz w:val="28"/>
          <w:szCs w:val="28"/>
        </w:rPr>
        <w:t>manifest that it applied to existing clients of a bank who had already established a business relationship like the two companies in this case. The other feature is that an accountable institution '</w:t>
      </w:r>
      <w:r w:rsidR="009E3347" w:rsidRPr="00D73D6A">
        <w:rPr>
          <w:sz w:val="28"/>
          <w:szCs w:val="28"/>
        </w:rPr>
        <w:t xml:space="preserve">. . . </w:t>
      </w:r>
      <w:r w:rsidRPr="00D73D6A">
        <w:rPr>
          <w:sz w:val="28"/>
          <w:szCs w:val="28"/>
        </w:rPr>
        <w:t>may not conclude a transaction</w:t>
      </w:r>
      <w:r w:rsidRPr="00D73D6A">
        <w:rPr>
          <w:rStyle w:val="FootnoteReference"/>
          <w:sz w:val="28"/>
          <w:szCs w:val="28"/>
        </w:rPr>
        <w:footnoteReference w:id="13"/>
      </w:r>
      <w:r w:rsidRPr="00D73D6A">
        <w:rPr>
          <w:sz w:val="28"/>
          <w:szCs w:val="28"/>
        </w:rPr>
        <w:t xml:space="preserve"> in the course of that business relationship</w:t>
      </w:r>
      <w:r w:rsidR="009E3347" w:rsidRPr="00D73D6A">
        <w:rPr>
          <w:sz w:val="28"/>
          <w:szCs w:val="28"/>
        </w:rPr>
        <w:t>. . .</w:t>
      </w:r>
      <w:r w:rsidRPr="00D73D6A">
        <w:rPr>
          <w:sz w:val="28"/>
          <w:szCs w:val="28"/>
        </w:rPr>
        <w:t xml:space="preserve">' save where the </w:t>
      </w:r>
      <w:r w:rsidRPr="00D73D6A">
        <w:rPr>
          <w:sz w:val="28"/>
          <w:szCs w:val="28"/>
        </w:rPr>
        <w:lastRenderedPageBreak/>
        <w:t>institution – Nedbank in this case – '</w:t>
      </w:r>
      <w:r w:rsidR="009E3347" w:rsidRPr="00D73D6A">
        <w:rPr>
          <w:sz w:val="28"/>
          <w:szCs w:val="28"/>
        </w:rPr>
        <w:t xml:space="preserve">. . . </w:t>
      </w:r>
      <w:r w:rsidRPr="00D73D6A">
        <w:rPr>
          <w:sz w:val="28"/>
          <w:szCs w:val="28"/>
        </w:rPr>
        <w:t>has taken steps</w:t>
      </w:r>
      <w:r w:rsidR="009E3347" w:rsidRPr="00D73D6A">
        <w:rPr>
          <w:sz w:val="28"/>
          <w:szCs w:val="28"/>
        </w:rPr>
        <w:t xml:space="preserve">. . . </w:t>
      </w:r>
      <w:r w:rsidRPr="00D73D6A">
        <w:rPr>
          <w:sz w:val="28"/>
          <w:szCs w:val="28"/>
        </w:rPr>
        <w:t>', inter alia, 'to establish and verify the identity of the client.'</w:t>
      </w:r>
    </w:p>
    <w:p w14:paraId="3F0EF738" w14:textId="77777777" w:rsidR="0040396A" w:rsidRPr="00D73D6A" w:rsidRDefault="0040396A" w:rsidP="0096006E">
      <w:pPr>
        <w:tabs>
          <w:tab w:val="left" w:pos="0"/>
          <w:tab w:val="left" w:pos="709"/>
        </w:tabs>
        <w:spacing w:line="360" w:lineRule="auto"/>
        <w:jc w:val="both"/>
        <w:rPr>
          <w:sz w:val="28"/>
          <w:szCs w:val="28"/>
        </w:rPr>
      </w:pPr>
    </w:p>
    <w:p w14:paraId="3C2F02D9" w14:textId="2D442969" w:rsidR="0040396A" w:rsidRPr="00D73D6A" w:rsidRDefault="0040396A" w:rsidP="0096006E">
      <w:pPr>
        <w:tabs>
          <w:tab w:val="left" w:pos="0"/>
          <w:tab w:val="left" w:pos="709"/>
        </w:tabs>
        <w:spacing w:line="360" w:lineRule="auto"/>
        <w:jc w:val="both"/>
        <w:rPr>
          <w:sz w:val="28"/>
          <w:szCs w:val="28"/>
        </w:rPr>
      </w:pPr>
      <w:r w:rsidRPr="00D73D6A">
        <w:rPr>
          <w:sz w:val="28"/>
          <w:szCs w:val="28"/>
        </w:rPr>
        <w:t>[26]</w:t>
      </w:r>
      <w:r w:rsidRPr="00D73D6A">
        <w:rPr>
          <w:sz w:val="28"/>
          <w:szCs w:val="28"/>
        </w:rPr>
        <w:tab/>
        <w:t xml:space="preserve">Section 21(2) of FICA, already quoted in paragraph 17 above, provides for the retention by an accountable institution of records relating to the verification of any person in terms of s 21(1) or </w:t>
      </w:r>
      <w:r w:rsidR="00851632" w:rsidRPr="00D73D6A">
        <w:rPr>
          <w:sz w:val="28"/>
          <w:szCs w:val="28"/>
        </w:rPr>
        <w:t xml:space="preserve">(2). For present purposes, the </w:t>
      </w:r>
      <w:r w:rsidRPr="00D73D6A">
        <w:rPr>
          <w:sz w:val="28"/>
          <w:szCs w:val="28"/>
        </w:rPr>
        <w:t>most crucial requirement of s 21(2) relates to the conclusion of a transaction with a client</w:t>
      </w:r>
      <w:r w:rsidR="005B14E5" w:rsidRPr="00D73D6A">
        <w:rPr>
          <w:sz w:val="28"/>
          <w:szCs w:val="28"/>
        </w:rPr>
        <w:t xml:space="preserve"> – in this instance Houtbosplaas and TBS Alpha –</w:t>
      </w:r>
      <w:r w:rsidRPr="00D73D6A">
        <w:rPr>
          <w:sz w:val="28"/>
          <w:szCs w:val="28"/>
        </w:rPr>
        <w:t xml:space="preserve"> whether it is a single transaction or one concluded in the course of a business relationship between an accountable institution and a client. </w:t>
      </w:r>
    </w:p>
    <w:p w14:paraId="23E4C4DD" w14:textId="77777777" w:rsidR="0040396A" w:rsidRPr="00D73D6A" w:rsidRDefault="0040396A" w:rsidP="0096006E">
      <w:pPr>
        <w:tabs>
          <w:tab w:val="left" w:pos="0"/>
          <w:tab w:val="left" w:pos="709"/>
        </w:tabs>
        <w:spacing w:line="360" w:lineRule="auto"/>
        <w:jc w:val="both"/>
        <w:rPr>
          <w:sz w:val="28"/>
          <w:szCs w:val="28"/>
        </w:rPr>
      </w:pPr>
    </w:p>
    <w:p w14:paraId="1A611520" w14:textId="5F1FF12D" w:rsidR="0040396A" w:rsidRPr="00D73D6A" w:rsidRDefault="0040396A" w:rsidP="0096006E">
      <w:pPr>
        <w:tabs>
          <w:tab w:val="left" w:pos="0"/>
          <w:tab w:val="left" w:pos="709"/>
        </w:tabs>
        <w:spacing w:line="360" w:lineRule="auto"/>
        <w:jc w:val="both"/>
        <w:rPr>
          <w:sz w:val="28"/>
          <w:szCs w:val="28"/>
        </w:rPr>
      </w:pPr>
      <w:r w:rsidRPr="00D73D6A">
        <w:rPr>
          <w:sz w:val="28"/>
          <w:szCs w:val="28"/>
        </w:rPr>
        <w:t>[27]</w:t>
      </w:r>
      <w:r w:rsidRPr="00D73D6A">
        <w:rPr>
          <w:sz w:val="28"/>
          <w:szCs w:val="28"/>
        </w:rPr>
        <w:tab/>
        <w:t xml:space="preserve">For the sake of completeness, it is useful to also make reference to s 21(1) of FICA. Section 21(1) deals with situations where an accountable institution engages with a </w:t>
      </w:r>
      <w:r w:rsidR="001F2F92" w:rsidRPr="00D73D6A">
        <w:rPr>
          <w:sz w:val="28"/>
          <w:szCs w:val="28"/>
        </w:rPr>
        <w:t>prospective</w:t>
      </w:r>
      <w:r w:rsidRPr="00D73D6A">
        <w:rPr>
          <w:sz w:val="28"/>
          <w:szCs w:val="28"/>
        </w:rPr>
        <w:t xml:space="preserve"> client with a </w:t>
      </w:r>
      <w:r w:rsidR="001F2F92" w:rsidRPr="00D73D6A">
        <w:rPr>
          <w:sz w:val="28"/>
          <w:szCs w:val="28"/>
        </w:rPr>
        <w:t>view</w:t>
      </w:r>
      <w:r w:rsidRPr="00D73D6A">
        <w:rPr>
          <w:sz w:val="28"/>
          <w:szCs w:val="28"/>
        </w:rPr>
        <w:t xml:space="preserve"> to entering into a single transaction or to establish a</w:t>
      </w:r>
      <w:r w:rsidR="001F2F92" w:rsidRPr="00D73D6A">
        <w:rPr>
          <w:sz w:val="28"/>
          <w:szCs w:val="28"/>
        </w:rPr>
        <w:t xml:space="preserve"> </w:t>
      </w:r>
      <w:r w:rsidRPr="00D73D6A">
        <w:rPr>
          <w:sz w:val="28"/>
          <w:szCs w:val="28"/>
        </w:rPr>
        <w:t xml:space="preserve">business relationship. In that event, </w:t>
      </w:r>
      <w:r w:rsidR="002348B7" w:rsidRPr="00D73D6A">
        <w:rPr>
          <w:sz w:val="28"/>
          <w:szCs w:val="28"/>
        </w:rPr>
        <w:t>the section imposes an obligation on such accountable institution in the course of concluding that single transaction</w:t>
      </w:r>
      <w:r w:rsidR="002348B7" w:rsidRPr="00D73D6A">
        <w:rPr>
          <w:rStyle w:val="FootnoteReference"/>
          <w:sz w:val="28"/>
          <w:szCs w:val="28"/>
        </w:rPr>
        <w:footnoteReference w:id="14"/>
      </w:r>
      <w:r w:rsidR="002348B7" w:rsidRPr="00D73D6A">
        <w:rPr>
          <w:sz w:val="28"/>
          <w:szCs w:val="28"/>
        </w:rPr>
        <w:t xml:space="preserve"> or establishing the business relationship to, amongst other things, establish and verify the identity of the client. An accountable institution does this in accordance with its risk management and compliance programme.</w:t>
      </w:r>
      <w:r w:rsidR="002348B7" w:rsidRPr="00D73D6A">
        <w:rPr>
          <w:rStyle w:val="FootnoteReference"/>
          <w:sz w:val="28"/>
          <w:szCs w:val="28"/>
        </w:rPr>
        <w:footnoteReference w:id="15"/>
      </w:r>
    </w:p>
    <w:p w14:paraId="677431C6" w14:textId="77777777" w:rsidR="002348B7" w:rsidRPr="00D73D6A" w:rsidRDefault="002348B7" w:rsidP="0096006E">
      <w:pPr>
        <w:tabs>
          <w:tab w:val="left" w:pos="0"/>
          <w:tab w:val="left" w:pos="709"/>
        </w:tabs>
        <w:spacing w:line="360" w:lineRule="auto"/>
        <w:jc w:val="both"/>
        <w:rPr>
          <w:sz w:val="28"/>
          <w:szCs w:val="28"/>
        </w:rPr>
      </w:pPr>
    </w:p>
    <w:p w14:paraId="6FA65E61" w14:textId="5A6ABF04" w:rsidR="002348B7" w:rsidRPr="00D73D6A" w:rsidRDefault="002348B7" w:rsidP="0096006E">
      <w:pPr>
        <w:tabs>
          <w:tab w:val="left" w:pos="0"/>
          <w:tab w:val="left" w:pos="709"/>
        </w:tabs>
        <w:spacing w:line="360" w:lineRule="auto"/>
        <w:jc w:val="both"/>
        <w:rPr>
          <w:sz w:val="28"/>
          <w:szCs w:val="28"/>
        </w:rPr>
      </w:pPr>
      <w:r w:rsidRPr="00D73D6A">
        <w:rPr>
          <w:sz w:val="28"/>
          <w:szCs w:val="28"/>
        </w:rPr>
        <w:t>[28]</w:t>
      </w:r>
      <w:r w:rsidRPr="00D73D6A">
        <w:rPr>
          <w:sz w:val="28"/>
          <w:szCs w:val="28"/>
        </w:rPr>
        <w:tab/>
        <w:t>It bears mentioning that in January 2012 the Centre, acting in terms of s</w:t>
      </w:r>
      <w:r w:rsidR="00CF3D82" w:rsidRPr="00D73D6A">
        <w:rPr>
          <w:sz w:val="28"/>
          <w:szCs w:val="28"/>
        </w:rPr>
        <w:t> </w:t>
      </w:r>
      <w:r w:rsidRPr="00D73D6A">
        <w:rPr>
          <w:sz w:val="28"/>
          <w:szCs w:val="28"/>
        </w:rPr>
        <w:t>4 of FICA, issued a public notice headed 'Public Compliance Communication No 11'</w:t>
      </w:r>
      <w:r w:rsidR="00CF3D82" w:rsidRPr="00D73D6A">
        <w:rPr>
          <w:sz w:val="28"/>
          <w:szCs w:val="28"/>
        </w:rPr>
        <w:t xml:space="preserve"> </w:t>
      </w:r>
      <w:r w:rsidRPr="00D73D6A">
        <w:rPr>
          <w:sz w:val="28"/>
          <w:szCs w:val="28"/>
        </w:rPr>
        <w:t>to all accountable institutions to</w:t>
      </w:r>
      <w:r w:rsidR="00C30673" w:rsidRPr="00D73D6A">
        <w:rPr>
          <w:sz w:val="28"/>
          <w:szCs w:val="28"/>
        </w:rPr>
        <w:t>,</w:t>
      </w:r>
      <w:r w:rsidRPr="00D73D6A">
        <w:rPr>
          <w:sz w:val="28"/>
          <w:szCs w:val="28"/>
        </w:rPr>
        <w:t xml:space="preserve"> </w:t>
      </w:r>
      <w:r w:rsidR="00C30673" w:rsidRPr="00D73D6A">
        <w:rPr>
          <w:sz w:val="28"/>
          <w:szCs w:val="28"/>
        </w:rPr>
        <w:t>amongst</w:t>
      </w:r>
      <w:r w:rsidR="005B14E5" w:rsidRPr="00D73D6A">
        <w:rPr>
          <w:sz w:val="28"/>
          <w:szCs w:val="28"/>
        </w:rPr>
        <w:t xml:space="preserve"> other thin</w:t>
      </w:r>
      <w:r w:rsidR="00C30673" w:rsidRPr="00D73D6A">
        <w:rPr>
          <w:sz w:val="28"/>
          <w:szCs w:val="28"/>
        </w:rPr>
        <w:t>g</w:t>
      </w:r>
      <w:r w:rsidR="005B14E5" w:rsidRPr="00D73D6A">
        <w:rPr>
          <w:sz w:val="28"/>
          <w:szCs w:val="28"/>
        </w:rPr>
        <w:t>s</w:t>
      </w:r>
      <w:r w:rsidR="00C30673" w:rsidRPr="00D73D6A">
        <w:rPr>
          <w:sz w:val="28"/>
          <w:szCs w:val="28"/>
        </w:rPr>
        <w:t>,</w:t>
      </w:r>
      <w:r w:rsidR="005B14E5" w:rsidRPr="00D73D6A">
        <w:rPr>
          <w:sz w:val="28"/>
          <w:szCs w:val="28"/>
        </w:rPr>
        <w:t xml:space="preserve"> </w:t>
      </w:r>
      <w:r w:rsidRPr="00D73D6A">
        <w:rPr>
          <w:sz w:val="28"/>
          <w:szCs w:val="28"/>
        </w:rPr>
        <w:t xml:space="preserve">regulate the closure </w:t>
      </w:r>
      <w:r w:rsidRPr="00D73D6A">
        <w:rPr>
          <w:sz w:val="28"/>
          <w:szCs w:val="28"/>
        </w:rPr>
        <w:lastRenderedPageBreak/>
        <w:t>of a client's account held with an accountable institution. For present purposes, the relevant part is clause 4</w:t>
      </w:r>
      <w:r w:rsidRPr="00D73D6A">
        <w:rPr>
          <w:rStyle w:val="FootnoteReference"/>
          <w:sz w:val="28"/>
          <w:szCs w:val="28"/>
        </w:rPr>
        <w:footnoteReference w:id="16"/>
      </w:r>
      <w:r w:rsidR="00006A1F" w:rsidRPr="00D73D6A">
        <w:rPr>
          <w:sz w:val="28"/>
          <w:szCs w:val="28"/>
        </w:rPr>
        <w:t xml:space="preserve"> thereof. </w:t>
      </w:r>
      <w:r w:rsidR="005B14E5" w:rsidRPr="00D73D6A">
        <w:rPr>
          <w:sz w:val="28"/>
          <w:szCs w:val="28"/>
        </w:rPr>
        <w:t>T</w:t>
      </w:r>
      <w:r w:rsidR="00006A1F" w:rsidRPr="00D73D6A">
        <w:rPr>
          <w:sz w:val="28"/>
          <w:szCs w:val="28"/>
        </w:rPr>
        <w:t>he material features of this clause</w:t>
      </w:r>
      <w:r w:rsidR="00C30673" w:rsidRPr="00D73D6A">
        <w:rPr>
          <w:sz w:val="28"/>
          <w:szCs w:val="28"/>
        </w:rPr>
        <w:t xml:space="preserve"> are:</w:t>
      </w:r>
    </w:p>
    <w:p w14:paraId="3DCEA1AA" w14:textId="4A709F61" w:rsidR="00006A1F" w:rsidRPr="00D73D6A" w:rsidRDefault="00006A1F" w:rsidP="00006A1F">
      <w:pPr>
        <w:tabs>
          <w:tab w:val="left" w:pos="0"/>
          <w:tab w:val="left" w:pos="567"/>
        </w:tabs>
        <w:spacing w:line="360" w:lineRule="auto"/>
        <w:jc w:val="both"/>
        <w:rPr>
          <w:sz w:val="28"/>
          <w:szCs w:val="28"/>
        </w:rPr>
      </w:pPr>
      <w:r w:rsidRPr="00D73D6A">
        <w:rPr>
          <w:sz w:val="28"/>
          <w:szCs w:val="28"/>
        </w:rPr>
        <w:t>(a)</w:t>
      </w:r>
      <w:r w:rsidRPr="00D73D6A">
        <w:rPr>
          <w:sz w:val="28"/>
          <w:szCs w:val="28"/>
        </w:rPr>
        <w:tab/>
        <w:t>The closing of an account is an action terminating a business relationship which is regarded as inherently linked to the existence of a business relationship.</w:t>
      </w:r>
    </w:p>
    <w:p w14:paraId="3C314D56" w14:textId="4FA06AC2" w:rsidR="00006A1F" w:rsidRPr="00D73D6A" w:rsidRDefault="00006A1F" w:rsidP="00006A1F">
      <w:pPr>
        <w:tabs>
          <w:tab w:val="left" w:pos="0"/>
          <w:tab w:val="left" w:pos="567"/>
        </w:tabs>
        <w:spacing w:line="360" w:lineRule="auto"/>
        <w:jc w:val="both"/>
        <w:rPr>
          <w:sz w:val="28"/>
          <w:szCs w:val="28"/>
        </w:rPr>
      </w:pPr>
      <w:r w:rsidRPr="00D73D6A">
        <w:rPr>
          <w:sz w:val="28"/>
          <w:szCs w:val="28"/>
        </w:rPr>
        <w:t>(b)</w:t>
      </w:r>
      <w:r w:rsidRPr="00D73D6A">
        <w:rPr>
          <w:sz w:val="28"/>
          <w:szCs w:val="28"/>
        </w:rPr>
        <w:tab/>
        <w:t>Therefore the closing of an account is regarded as a provision of account</w:t>
      </w:r>
      <w:r w:rsidRPr="00D73D6A">
        <w:rPr>
          <w:sz w:val="28"/>
          <w:szCs w:val="28"/>
        </w:rPr>
        <w:noBreakHyphen/>
        <w:t>based services to a client in the course of a business relationship.</w:t>
      </w:r>
    </w:p>
    <w:p w14:paraId="582C798E" w14:textId="6CC73A07" w:rsidR="00006A1F" w:rsidRPr="00D73D6A" w:rsidRDefault="00006A1F" w:rsidP="00006A1F">
      <w:pPr>
        <w:tabs>
          <w:tab w:val="left" w:pos="0"/>
          <w:tab w:val="left" w:pos="567"/>
        </w:tabs>
        <w:spacing w:line="360" w:lineRule="auto"/>
        <w:jc w:val="both"/>
        <w:rPr>
          <w:sz w:val="28"/>
          <w:szCs w:val="28"/>
        </w:rPr>
      </w:pPr>
      <w:r w:rsidRPr="00D73D6A">
        <w:rPr>
          <w:sz w:val="28"/>
          <w:szCs w:val="28"/>
        </w:rPr>
        <w:t>(c)</w:t>
      </w:r>
      <w:r w:rsidRPr="00D73D6A">
        <w:rPr>
          <w:sz w:val="28"/>
          <w:szCs w:val="28"/>
        </w:rPr>
        <w:tab/>
        <w:t>The closing of a client's account and the transferring of the remaining balance to the client constitutes a transaction.</w:t>
      </w:r>
    </w:p>
    <w:p w14:paraId="106A21EF" w14:textId="0FFCB562" w:rsidR="00006A1F" w:rsidRPr="00D73D6A" w:rsidRDefault="00006A1F" w:rsidP="00006A1F">
      <w:pPr>
        <w:tabs>
          <w:tab w:val="left" w:pos="0"/>
          <w:tab w:val="left" w:pos="567"/>
        </w:tabs>
        <w:spacing w:line="360" w:lineRule="auto"/>
        <w:jc w:val="both"/>
        <w:rPr>
          <w:sz w:val="28"/>
          <w:szCs w:val="28"/>
        </w:rPr>
      </w:pPr>
      <w:r w:rsidRPr="00D73D6A">
        <w:rPr>
          <w:sz w:val="28"/>
          <w:szCs w:val="28"/>
        </w:rPr>
        <w:t>(d)</w:t>
      </w:r>
      <w:r w:rsidRPr="00D73D6A">
        <w:rPr>
          <w:sz w:val="28"/>
          <w:szCs w:val="28"/>
        </w:rPr>
        <w:tab/>
        <w:t xml:space="preserve">In conducting such a transaction an accountable institution must comply with statutory and regulatory prescripts. </w:t>
      </w:r>
    </w:p>
    <w:p w14:paraId="320A1F0C" w14:textId="77777777" w:rsidR="00006A1F" w:rsidRPr="00D73D6A" w:rsidRDefault="00006A1F" w:rsidP="00006A1F">
      <w:pPr>
        <w:tabs>
          <w:tab w:val="left" w:pos="0"/>
          <w:tab w:val="left" w:pos="567"/>
        </w:tabs>
        <w:spacing w:line="360" w:lineRule="auto"/>
        <w:jc w:val="both"/>
        <w:rPr>
          <w:sz w:val="28"/>
          <w:szCs w:val="28"/>
        </w:rPr>
      </w:pPr>
    </w:p>
    <w:p w14:paraId="4955D69E" w14:textId="207AFD12" w:rsidR="00006A1F" w:rsidRPr="00D73D6A" w:rsidRDefault="00006A1F" w:rsidP="00006A1F">
      <w:pPr>
        <w:tabs>
          <w:tab w:val="left" w:pos="0"/>
          <w:tab w:val="left" w:pos="709"/>
        </w:tabs>
        <w:spacing w:line="360" w:lineRule="auto"/>
        <w:jc w:val="both"/>
        <w:rPr>
          <w:sz w:val="28"/>
          <w:szCs w:val="28"/>
        </w:rPr>
      </w:pPr>
      <w:r w:rsidRPr="00D73D6A">
        <w:rPr>
          <w:sz w:val="28"/>
          <w:szCs w:val="28"/>
        </w:rPr>
        <w:t>[29]</w:t>
      </w:r>
      <w:r w:rsidRPr="00D73D6A">
        <w:rPr>
          <w:sz w:val="28"/>
          <w:szCs w:val="28"/>
        </w:rPr>
        <w:tab/>
        <w:t xml:space="preserve">As already mentioned above, </w:t>
      </w:r>
      <w:r w:rsidR="00ED5CE4" w:rsidRPr="00D73D6A">
        <w:rPr>
          <w:sz w:val="28"/>
          <w:szCs w:val="28"/>
        </w:rPr>
        <w:t xml:space="preserve">the high court </w:t>
      </w:r>
      <w:r w:rsidRPr="00D73D6A">
        <w:rPr>
          <w:sz w:val="28"/>
          <w:szCs w:val="28"/>
        </w:rPr>
        <w:t xml:space="preserve">held that </w:t>
      </w:r>
      <w:r w:rsidR="00ED5CE4" w:rsidRPr="00D73D6A">
        <w:rPr>
          <w:sz w:val="28"/>
          <w:szCs w:val="28"/>
        </w:rPr>
        <w:t xml:space="preserve">Nedbank </w:t>
      </w:r>
      <w:r w:rsidRPr="00D73D6A">
        <w:rPr>
          <w:sz w:val="28"/>
          <w:szCs w:val="28"/>
        </w:rPr>
        <w:t xml:space="preserve">was not justified in law to require a copy of the Hettie van Dijkhorst trust deed. The underlying reasoning of the high court </w:t>
      </w:r>
      <w:r w:rsidR="0094294C" w:rsidRPr="00D73D6A">
        <w:rPr>
          <w:sz w:val="28"/>
          <w:szCs w:val="28"/>
        </w:rPr>
        <w:t xml:space="preserve">on this score </w:t>
      </w:r>
      <w:r w:rsidRPr="00D73D6A">
        <w:rPr>
          <w:sz w:val="28"/>
          <w:szCs w:val="28"/>
        </w:rPr>
        <w:t xml:space="preserve">was that none of the trusts, including the Hettie van Dijkhorst trust in particular, exercised 25% voting rights at the companies' general meetings. Further, the high court held that nowhere does FICA require bank clients to provide verification documents to a bank when requested to do so. In criticising the high court's findings, counsel for Nedbank contended that the high court failed to take cognisance of the fact </w:t>
      </w:r>
      <w:r w:rsidRPr="00D73D6A">
        <w:rPr>
          <w:sz w:val="28"/>
          <w:szCs w:val="28"/>
        </w:rPr>
        <w:lastRenderedPageBreak/>
        <w:t xml:space="preserve">that with respect to certain matters holders of </w:t>
      </w:r>
      <w:r w:rsidR="0094294C" w:rsidRPr="00D73D6A">
        <w:rPr>
          <w:sz w:val="28"/>
          <w:szCs w:val="28"/>
        </w:rPr>
        <w:t xml:space="preserve">preference </w:t>
      </w:r>
      <w:r w:rsidRPr="00D73D6A">
        <w:rPr>
          <w:sz w:val="28"/>
          <w:szCs w:val="28"/>
        </w:rPr>
        <w:t>shares were, in terms of the companies' memoranda of incorporation, not eligible to vote at general meetings. Therefore, it was argued</w:t>
      </w:r>
      <w:r w:rsidR="0094294C" w:rsidRPr="00D73D6A">
        <w:rPr>
          <w:sz w:val="28"/>
          <w:szCs w:val="28"/>
        </w:rPr>
        <w:t xml:space="preserve"> that </w:t>
      </w:r>
      <w:r w:rsidRPr="00D73D6A">
        <w:rPr>
          <w:sz w:val="28"/>
          <w:szCs w:val="28"/>
        </w:rPr>
        <w:t>each one of the</w:t>
      </w:r>
      <w:r w:rsidR="0094294C" w:rsidRPr="00D73D6A">
        <w:rPr>
          <w:sz w:val="28"/>
          <w:szCs w:val="28"/>
        </w:rPr>
        <w:t xml:space="preserve"> four</w:t>
      </w:r>
      <w:r w:rsidRPr="00D73D6A">
        <w:rPr>
          <w:sz w:val="28"/>
          <w:szCs w:val="28"/>
        </w:rPr>
        <w:t xml:space="preserve"> trusts would, in </w:t>
      </w:r>
      <w:r w:rsidR="0094294C" w:rsidRPr="00D73D6A">
        <w:rPr>
          <w:sz w:val="28"/>
          <w:szCs w:val="28"/>
        </w:rPr>
        <w:t>such circumstances</w:t>
      </w:r>
      <w:r w:rsidRPr="00D73D6A">
        <w:rPr>
          <w:sz w:val="28"/>
          <w:szCs w:val="28"/>
        </w:rPr>
        <w:t xml:space="preserve">, exercise 25% of the voting rights. </w:t>
      </w:r>
    </w:p>
    <w:p w14:paraId="3BEEE78B" w14:textId="77777777" w:rsidR="00006A1F" w:rsidRPr="00D73D6A" w:rsidRDefault="00006A1F" w:rsidP="00006A1F">
      <w:pPr>
        <w:tabs>
          <w:tab w:val="left" w:pos="0"/>
          <w:tab w:val="left" w:pos="709"/>
        </w:tabs>
        <w:spacing w:line="360" w:lineRule="auto"/>
        <w:jc w:val="both"/>
        <w:rPr>
          <w:sz w:val="28"/>
          <w:szCs w:val="28"/>
        </w:rPr>
      </w:pPr>
    </w:p>
    <w:p w14:paraId="5735881A" w14:textId="38FAA191" w:rsidR="00006A1F" w:rsidRPr="00D73D6A" w:rsidRDefault="00006A1F" w:rsidP="00006A1F">
      <w:pPr>
        <w:tabs>
          <w:tab w:val="left" w:pos="0"/>
          <w:tab w:val="left" w:pos="709"/>
        </w:tabs>
        <w:spacing w:line="360" w:lineRule="auto"/>
        <w:jc w:val="both"/>
        <w:rPr>
          <w:sz w:val="28"/>
          <w:szCs w:val="28"/>
        </w:rPr>
      </w:pPr>
      <w:r w:rsidRPr="00D73D6A">
        <w:rPr>
          <w:sz w:val="28"/>
          <w:szCs w:val="28"/>
        </w:rPr>
        <w:t>[30]</w:t>
      </w:r>
      <w:r w:rsidRPr="00D73D6A">
        <w:rPr>
          <w:sz w:val="28"/>
          <w:szCs w:val="28"/>
        </w:rPr>
        <w:tab/>
        <w:t>In the second place, it was submitted that in reaching its conclusion the high court relied on the wrong version of FICA, that is the post-amendment version, whereas it was the pre-</w:t>
      </w:r>
      <w:r w:rsidR="004225ED" w:rsidRPr="00D73D6A">
        <w:t xml:space="preserve"> </w:t>
      </w:r>
      <w:r w:rsidR="004225ED" w:rsidRPr="00D73D6A">
        <w:rPr>
          <w:sz w:val="28"/>
          <w:szCs w:val="28"/>
        </w:rPr>
        <w:t xml:space="preserve">amendment </w:t>
      </w:r>
      <w:r w:rsidRPr="00D73D6A">
        <w:rPr>
          <w:sz w:val="28"/>
          <w:szCs w:val="28"/>
        </w:rPr>
        <w:t>version which was relevant at the material time.</w:t>
      </w:r>
    </w:p>
    <w:p w14:paraId="3BB327A9" w14:textId="77777777" w:rsidR="00006A1F" w:rsidRPr="00D73D6A" w:rsidRDefault="00006A1F" w:rsidP="00006A1F">
      <w:pPr>
        <w:tabs>
          <w:tab w:val="left" w:pos="0"/>
          <w:tab w:val="left" w:pos="709"/>
        </w:tabs>
        <w:spacing w:line="360" w:lineRule="auto"/>
        <w:jc w:val="both"/>
        <w:rPr>
          <w:sz w:val="28"/>
          <w:szCs w:val="28"/>
        </w:rPr>
      </w:pPr>
    </w:p>
    <w:p w14:paraId="5D565BA4" w14:textId="51546262" w:rsidR="00006A1F" w:rsidRPr="00D73D6A" w:rsidRDefault="00006A1F" w:rsidP="00006A1F">
      <w:pPr>
        <w:tabs>
          <w:tab w:val="left" w:pos="0"/>
          <w:tab w:val="left" w:pos="709"/>
        </w:tabs>
        <w:spacing w:line="360" w:lineRule="auto"/>
        <w:jc w:val="both"/>
        <w:rPr>
          <w:sz w:val="28"/>
          <w:szCs w:val="28"/>
        </w:rPr>
      </w:pPr>
      <w:r w:rsidRPr="00D73D6A">
        <w:rPr>
          <w:sz w:val="28"/>
          <w:szCs w:val="28"/>
        </w:rPr>
        <w:t>[31]</w:t>
      </w:r>
      <w:r w:rsidRPr="00D73D6A">
        <w:rPr>
          <w:sz w:val="28"/>
          <w:szCs w:val="28"/>
        </w:rPr>
        <w:tab/>
      </w:r>
      <w:r w:rsidR="00941021" w:rsidRPr="00D73D6A">
        <w:rPr>
          <w:sz w:val="28"/>
          <w:szCs w:val="28"/>
        </w:rPr>
        <w:t xml:space="preserve">It was further contended that the </w:t>
      </w:r>
      <w:r w:rsidRPr="00D73D6A">
        <w:rPr>
          <w:sz w:val="28"/>
          <w:szCs w:val="28"/>
        </w:rPr>
        <w:t>memoranda of incorporation of Houtbosplaas and TBS Alpha provide, in article 2 thereof, amongst other things</w:t>
      </w:r>
      <w:r w:rsidR="00941021" w:rsidRPr="00D73D6A">
        <w:rPr>
          <w:sz w:val="28"/>
          <w:szCs w:val="28"/>
        </w:rPr>
        <w:t>,</w:t>
      </w:r>
      <w:r w:rsidRPr="00D73D6A">
        <w:rPr>
          <w:sz w:val="28"/>
          <w:szCs w:val="28"/>
        </w:rPr>
        <w:t xml:space="preserve"> that holders of </w:t>
      </w:r>
      <w:r w:rsidR="00941021" w:rsidRPr="00D73D6A">
        <w:rPr>
          <w:sz w:val="28"/>
          <w:szCs w:val="28"/>
        </w:rPr>
        <w:t xml:space="preserve">preference </w:t>
      </w:r>
      <w:r w:rsidRPr="00D73D6A">
        <w:rPr>
          <w:sz w:val="28"/>
          <w:szCs w:val="28"/>
        </w:rPr>
        <w:t xml:space="preserve">shares shall not be eligible to vote in relation to resolutions </w:t>
      </w:r>
      <w:r w:rsidR="00941021" w:rsidRPr="00D73D6A">
        <w:rPr>
          <w:sz w:val="28"/>
          <w:szCs w:val="28"/>
        </w:rPr>
        <w:t xml:space="preserve">concerning the </w:t>
      </w:r>
      <w:r w:rsidRPr="00D73D6A">
        <w:rPr>
          <w:sz w:val="28"/>
          <w:szCs w:val="28"/>
        </w:rPr>
        <w:t xml:space="preserve">property of the companies </w:t>
      </w:r>
      <w:r w:rsidR="00941021" w:rsidRPr="00D73D6A">
        <w:rPr>
          <w:sz w:val="28"/>
          <w:szCs w:val="28"/>
        </w:rPr>
        <w:t>that may have the effect of conferring a benefit on</w:t>
      </w:r>
      <w:r w:rsidRPr="00D73D6A">
        <w:rPr>
          <w:sz w:val="28"/>
          <w:szCs w:val="28"/>
        </w:rPr>
        <w:t xml:space="preserve"> </w:t>
      </w:r>
      <w:r w:rsidR="00941021" w:rsidRPr="00D73D6A">
        <w:rPr>
          <w:sz w:val="28"/>
          <w:szCs w:val="28"/>
        </w:rPr>
        <w:t xml:space="preserve">preference </w:t>
      </w:r>
      <w:r w:rsidRPr="00D73D6A">
        <w:rPr>
          <w:sz w:val="28"/>
          <w:szCs w:val="28"/>
        </w:rPr>
        <w:t>shareholders</w:t>
      </w:r>
      <w:r w:rsidR="009B307B" w:rsidRPr="00D73D6A">
        <w:rPr>
          <w:sz w:val="28"/>
          <w:szCs w:val="28"/>
        </w:rPr>
        <w:t xml:space="preserve"> or their estates</w:t>
      </w:r>
      <w:r w:rsidRPr="00D73D6A">
        <w:rPr>
          <w:sz w:val="28"/>
          <w:szCs w:val="28"/>
        </w:rPr>
        <w:t xml:space="preserve">. Nor are </w:t>
      </w:r>
      <w:r w:rsidR="009B307B" w:rsidRPr="00D73D6A">
        <w:rPr>
          <w:sz w:val="28"/>
          <w:szCs w:val="28"/>
        </w:rPr>
        <w:t xml:space="preserve">preference </w:t>
      </w:r>
      <w:r w:rsidRPr="00D73D6A">
        <w:rPr>
          <w:sz w:val="28"/>
          <w:szCs w:val="28"/>
        </w:rPr>
        <w:t xml:space="preserve">shareholders permitted to vote with respect to the </w:t>
      </w:r>
      <w:r w:rsidR="00ED4FDF" w:rsidRPr="00D73D6A">
        <w:rPr>
          <w:sz w:val="28"/>
          <w:szCs w:val="28"/>
        </w:rPr>
        <w:t>amendment</w:t>
      </w:r>
      <w:r w:rsidR="004225ED" w:rsidRPr="00D73D6A">
        <w:rPr>
          <w:sz w:val="28"/>
          <w:szCs w:val="28"/>
        </w:rPr>
        <w:t xml:space="preserve"> </w:t>
      </w:r>
      <w:r w:rsidRPr="00D73D6A">
        <w:rPr>
          <w:sz w:val="28"/>
          <w:szCs w:val="28"/>
        </w:rPr>
        <w:t>or cancellation o</w:t>
      </w:r>
      <w:r w:rsidR="004225ED" w:rsidRPr="00D73D6A">
        <w:rPr>
          <w:sz w:val="28"/>
          <w:szCs w:val="28"/>
        </w:rPr>
        <w:t>f</w:t>
      </w:r>
      <w:r w:rsidRPr="00D73D6A">
        <w:rPr>
          <w:sz w:val="28"/>
          <w:szCs w:val="28"/>
        </w:rPr>
        <w:t xml:space="preserve"> any rights relating to any class of shares, including the redemption of </w:t>
      </w:r>
      <w:r w:rsidR="009B307B" w:rsidRPr="00D73D6A">
        <w:rPr>
          <w:sz w:val="28"/>
          <w:szCs w:val="28"/>
        </w:rPr>
        <w:t xml:space="preserve">preference </w:t>
      </w:r>
      <w:r w:rsidRPr="00D73D6A">
        <w:rPr>
          <w:sz w:val="28"/>
          <w:szCs w:val="28"/>
        </w:rPr>
        <w:t xml:space="preserve">shares, </w:t>
      </w:r>
      <w:r w:rsidR="00ED4FDF" w:rsidRPr="00D73D6A">
        <w:rPr>
          <w:sz w:val="28"/>
          <w:szCs w:val="28"/>
        </w:rPr>
        <w:t xml:space="preserve">if </w:t>
      </w:r>
      <w:r w:rsidR="009B307B" w:rsidRPr="00D73D6A">
        <w:rPr>
          <w:sz w:val="28"/>
          <w:szCs w:val="28"/>
        </w:rPr>
        <w:t xml:space="preserve">preference </w:t>
      </w:r>
      <w:r w:rsidR="00ED4FDF" w:rsidRPr="00D73D6A">
        <w:rPr>
          <w:sz w:val="28"/>
          <w:szCs w:val="28"/>
        </w:rPr>
        <w:t xml:space="preserve">shareholders would thereby derive a benefit </w:t>
      </w:r>
      <w:r w:rsidR="009B307B" w:rsidRPr="00D73D6A">
        <w:rPr>
          <w:sz w:val="28"/>
          <w:szCs w:val="28"/>
        </w:rPr>
        <w:t>from</w:t>
      </w:r>
      <w:r w:rsidR="00ED4FDF" w:rsidRPr="00D73D6A">
        <w:rPr>
          <w:sz w:val="28"/>
          <w:szCs w:val="28"/>
        </w:rPr>
        <w:t xml:space="preserve"> the assets or profits of the company. Accordingly, </w:t>
      </w:r>
      <w:r w:rsidR="009B307B" w:rsidRPr="00D73D6A">
        <w:rPr>
          <w:sz w:val="28"/>
          <w:szCs w:val="28"/>
        </w:rPr>
        <w:t xml:space="preserve">so the argument went, each one of </w:t>
      </w:r>
      <w:r w:rsidR="00ED4FDF" w:rsidRPr="00D73D6A">
        <w:rPr>
          <w:sz w:val="28"/>
          <w:szCs w:val="28"/>
        </w:rPr>
        <w:t xml:space="preserve">the four trusts </w:t>
      </w:r>
      <w:r w:rsidR="00187E24" w:rsidRPr="00D73D6A">
        <w:rPr>
          <w:sz w:val="28"/>
          <w:szCs w:val="28"/>
        </w:rPr>
        <w:t xml:space="preserve">would </w:t>
      </w:r>
      <w:r w:rsidR="00ED4FDF" w:rsidRPr="00D73D6A">
        <w:rPr>
          <w:sz w:val="28"/>
          <w:szCs w:val="28"/>
        </w:rPr>
        <w:t>hold all the ordinary shares in the companies in equal proportions.</w:t>
      </w:r>
      <w:r w:rsidR="00187E24" w:rsidRPr="00D73D6A">
        <w:rPr>
          <w:sz w:val="28"/>
          <w:szCs w:val="28"/>
        </w:rPr>
        <w:t xml:space="preserve"> Thus, the four trusts individually met the minimum threshold prescribed in terms of </w:t>
      </w:r>
      <w:r w:rsidR="00E013D5" w:rsidRPr="00D73D6A">
        <w:rPr>
          <w:sz w:val="28"/>
          <w:szCs w:val="28"/>
        </w:rPr>
        <w:t>r</w:t>
      </w:r>
      <w:r w:rsidR="00187E24" w:rsidRPr="00D73D6A">
        <w:rPr>
          <w:sz w:val="28"/>
          <w:szCs w:val="28"/>
        </w:rPr>
        <w:t>egulation 7</w:t>
      </w:r>
      <w:r w:rsidR="00187E24" w:rsidRPr="00D73D6A">
        <w:rPr>
          <w:i/>
          <w:sz w:val="28"/>
          <w:szCs w:val="28"/>
        </w:rPr>
        <w:t>(f)</w:t>
      </w:r>
      <w:r w:rsidR="00187E24" w:rsidRPr="00D73D6A">
        <w:rPr>
          <w:sz w:val="28"/>
          <w:szCs w:val="28"/>
        </w:rPr>
        <w:t>(ii).</w:t>
      </w:r>
    </w:p>
    <w:p w14:paraId="297CB407" w14:textId="77777777" w:rsidR="00ED4FDF" w:rsidRPr="00D73D6A" w:rsidRDefault="00ED4FDF" w:rsidP="00006A1F">
      <w:pPr>
        <w:tabs>
          <w:tab w:val="left" w:pos="0"/>
          <w:tab w:val="left" w:pos="709"/>
        </w:tabs>
        <w:spacing w:line="360" w:lineRule="auto"/>
        <w:jc w:val="both"/>
        <w:rPr>
          <w:sz w:val="28"/>
          <w:szCs w:val="28"/>
        </w:rPr>
      </w:pPr>
    </w:p>
    <w:p w14:paraId="30134AD6" w14:textId="4AD97B57" w:rsidR="00ED4FDF" w:rsidRPr="00D73D6A" w:rsidRDefault="00ED4FDF" w:rsidP="00006A1F">
      <w:pPr>
        <w:tabs>
          <w:tab w:val="left" w:pos="0"/>
          <w:tab w:val="left" w:pos="709"/>
        </w:tabs>
        <w:spacing w:line="360" w:lineRule="auto"/>
        <w:jc w:val="both"/>
        <w:rPr>
          <w:sz w:val="28"/>
          <w:szCs w:val="28"/>
        </w:rPr>
      </w:pPr>
      <w:r w:rsidRPr="00D73D6A">
        <w:rPr>
          <w:sz w:val="28"/>
          <w:szCs w:val="28"/>
        </w:rPr>
        <w:t>[32]</w:t>
      </w:r>
      <w:r w:rsidRPr="00D73D6A">
        <w:rPr>
          <w:sz w:val="28"/>
          <w:szCs w:val="28"/>
        </w:rPr>
        <w:tab/>
        <w:t xml:space="preserve">It is not in dispute that </w:t>
      </w:r>
      <w:r w:rsidR="004225ED" w:rsidRPr="00D73D6A">
        <w:rPr>
          <w:sz w:val="28"/>
          <w:szCs w:val="28"/>
        </w:rPr>
        <w:t xml:space="preserve">of </w:t>
      </w:r>
      <w:r w:rsidRPr="00D73D6A">
        <w:rPr>
          <w:sz w:val="28"/>
          <w:szCs w:val="28"/>
        </w:rPr>
        <w:t xml:space="preserve">the </w:t>
      </w:r>
      <w:r w:rsidR="004225ED" w:rsidRPr="00D73D6A">
        <w:rPr>
          <w:sz w:val="28"/>
          <w:szCs w:val="28"/>
        </w:rPr>
        <w:t>nine</w:t>
      </w:r>
      <w:r w:rsidRPr="00D73D6A">
        <w:rPr>
          <w:sz w:val="28"/>
          <w:szCs w:val="28"/>
        </w:rPr>
        <w:t xml:space="preserve"> issued shares in the companies</w:t>
      </w:r>
      <w:r w:rsidR="005F195A" w:rsidRPr="00D73D6A">
        <w:rPr>
          <w:sz w:val="28"/>
          <w:szCs w:val="28"/>
        </w:rPr>
        <w:t>,</w:t>
      </w:r>
      <w:r w:rsidRPr="00D73D6A">
        <w:rPr>
          <w:sz w:val="28"/>
          <w:szCs w:val="28"/>
        </w:rPr>
        <w:t xml:space="preserve"> one </w:t>
      </w:r>
      <w:r w:rsidR="006C0B2A" w:rsidRPr="00D73D6A">
        <w:rPr>
          <w:sz w:val="28"/>
          <w:szCs w:val="28"/>
        </w:rPr>
        <w:t xml:space="preserve">preference share </w:t>
      </w:r>
      <w:r w:rsidRPr="00D73D6A">
        <w:rPr>
          <w:sz w:val="28"/>
          <w:szCs w:val="28"/>
        </w:rPr>
        <w:t>is held by the trustee</w:t>
      </w:r>
      <w:r w:rsidR="005B5144" w:rsidRPr="00D73D6A">
        <w:rPr>
          <w:sz w:val="28"/>
          <w:szCs w:val="28"/>
        </w:rPr>
        <w:t>,</w:t>
      </w:r>
      <w:r w:rsidRPr="00D73D6A">
        <w:rPr>
          <w:sz w:val="28"/>
          <w:szCs w:val="28"/>
        </w:rPr>
        <w:t xml:space="preserve"> and each of the </w:t>
      </w:r>
      <w:r w:rsidR="005B5144" w:rsidRPr="00D73D6A">
        <w:rPr>
          <w:sz w:val="28"/>
          <w:szCs w:val="28"/>
        </w:rPr>
        <w:t xml:space="preserve">four </w:t>
      </w:r>
      <w:r w:rsidRPr="00D73D6A">
        <w:rPr>
          <w:sz w:val="28"/>
          <w:szCs w:val="28"/>
        </w:rPr>
        <w:t>trusts hold</w:t>
      </w:r>
      <w:r w:rsidR="005B5144" w:rsidRPr="00D73D6A">
        <w:rPr>
          <w:sz w:val="28"/>
          <w:szCs w:val="28"/>
        </w:rPr>
        <w:t>s</w:t>
      </w:r>
      <w:r w:rsidRPr="00D73D6A">
        <w:rPr>
          <w:sz w:val="28"/>
          <w:szCs w:val="28"/>
        </w:rPr>
        <w:t xml:space="preserve"> one </w:t>
      </w:r>
      <w:r w:rsidR="005B5144" w:rsidRPr="00D73D6A">
        <w:rPr>
          <w:sz w:val="28"/>
          <w:szCs w:val="28"/>
        </w:rPr>
        <w:t xml:space="preserve">preference </w:t>
      </w:r>
      <w:r w:rsidRPr="00D73D6A">
        <w:rPr>
          <w:sz w:val="28"/>
          <w:szCs w:val="28"/>
        </w:rPr>
        <w:t>share</w:t>
      </w:r>
      <w:r w:rsidR="005B5144" w:rsidRPr="00D73D6A">
        <w:rPr>
          <w:sz w:val="28"/>
          <w:szCs w:val="28"/>
        </w:rPr>
        <w:t xml:space="preserve"> as well as</w:t>
      </w:r>
      <w:r w:rsidRPr="00D73D6A">
        <w:rPr>
          <w:sz w:val="28"/>
          <w:szCs w:val="28"/>
        </w:rPr>
        <w:t xml:space="preserve"> one ordinary share in each of the two companies. This then raises the question whether in </w:t>
      </w:r>
      <w:r w:rsidR="005B5144" w:rsidRPr="00D73D6A">
        <w:rPr>
          <w:sz w:val="28"/>
          <w:szCs w:val="28"/>
        </w:rPr>
        <w:t>relation to</w:t>
      </w:r>
      <w:r w:rsidRPr="00D73D6A">
        <w:rPr>
          <w:sz w:val="28"/>
          <w:szCs w:val="28"/>
        </w:rPr>
        <w:t xml:space="preserve"> matters that </w:t>
      </w:r>
      <w:r w:rsidR="005B5144" w:rsidRPr="00D73D6A">
        <w:rPr>
          <w:sz w:val="28"/>
          <w:szCs w:val="28"/>
        </w:rPr>
        <w:t xml:space="preserve">preference </w:t>
      </w:r>
      <w:r w:rsidRPr="00D73D6A">
        <w:rPr>
          <w:sz w:val="28"/>
          <w:szCs w:val="28"/>
        </w:rPr>
        <w:lastRenderedPageBreak/>
        <w:t xml:space="preserve">shareholders are not eligible to vote each trust therefore </w:t>
      </w:r>
      <w:r w:rsidR="005B5144" w:rsidRPr="00D73D6A">
        <w:rPr>
          <w:sz w:val="28"/>
          <w:szCs w:val="28"/>
        </w:rPr>
        <w:t xml:space="preserve">exercises </w:t>
      </w:r>
      <w:r w:rsidRPr="00D73D6A">
        <w:rPr>
          <w:sz w:val="28"/>
          <w:szCs w:val="28"/>
        </w:rPr>
        <w:t>25% of the voting rights at general meetings of the companies when matters</w:t>
      </w:r>
      <w:r w:rsidR="005B5144" w:rsidRPr="00D73D6A">
        <w:rPr>
          <w:sz w:val="28"/>
          <w:szCs w:val="28"/>
        </w:rPr>
        <w:t xml:space="preserve"> falling within the ambit of </w:t>
      </w:r>
      <w:r w:rsidR="005E52A4" w:rsidRPr="00D73D6A">
        <w:rPr>
          <w:sz w:val="28"/>
          <w:szCs w:val="28"/>
        </w:rPr>
        <w:t xml:space="preserve">article </w:t>
      </w:r>
      <w:r w:rsidR="005B5144" w:rsidRPr="00D73D6A">
        <w:rPr>
          <w:sz w:val="28"/>
          <w:szCs w:val="28"/>
        </w:rPr>
        <w:t>2.1 of the memoranda of incorporation</w:t>
      </w:r>
      <w:r w:rsidRPr="00D73D6A">
        <w:rPr>
          <w:sz w:val="28"/>
          <w:szCs w:val="28"/>
        </w:rPr>
        <w:t xml:space="preserve"> are to be decided.</w:t>
      </w:r>
    </w:p>
    <w:p w14:paraId="3FAF7C73" w14:textId="77777777" w:rsidR="00ED4FDF" w:rsidRPr="00D73D6A" w:rsidRDefault="00ED4FDF" w:rsidP="00006A1F">
      <w:pPr>
        <w:tabs>
          <w:tab w:val="left" w:pos="0"/>
          <w:tab w:val="left" w:pos="709"/>
        </w:tabs>
        <w:spacing w:line="360" w:lineRule="auto"/>
        <w:jc w:val="both"/>
        <w:rPr>
          <w:sz w:val="28"/>
          <w:szCs w:val="28"/>
        </w:rPr>
      </w:pPr>
    </w:p>
    <w:p w14:paraId="00BDCDFA" w14:textId="0C7F58D3" w:rsidR="00ED4FDF" w:rsidRPr="00D73D6A" w:rsidRDefault="00ED4FDF" w:rsidP="00006A1F">
      <w:pPr>
        <w:tabs>
          <w:tab w:val="left" w:pos="0"/>
          <w:tab w:val="left" w:pos="709"/>
        </w:tabs>
        <w:spacing w:line="360" w:lineRule="auto"/>
        <w:jc w:val="both"/>
        <w:rPr>
          <w:sz w:val="28"/>
          <w:szCs w:val="28"/>
        </w:rPr>
      </w:pPr>
      <w:r w:rsidRPr="00D73D6A">
        <w:rPr>
          <w:sz w:val="28"/>
          <w:szCs w:val="28"/>
        </w:rPr>
        <w:t>[33]</w:t>
      </w:r>
      <w:r w:rsidRPr="00D73D6A">
        <w:rPr>
          <w:sz w:val="28"/>
          <w:szCs w:val="28"/>
        </w:rPr>
        <w:tab/>
        <w:t>Nedbank accepts that in respect of all other matters, each one of the trusts falls below the 25% threshold prescribed in terms of regulation 7</w:t>
      </w:r>
      <w:r w:rsidRPr="00D73D6A">
        <w:rPr>
          <w:i/>
          <w:sz w:val="28"/>
          <w:szCs w:val="28"/>
        </w:rPr>
        <w:t>(f)</w:t>
      </w:r>
      <w:r w:rsidRPr="00D73D6A">
        <w:rPr>
          <w:sz w:val="28"/>
          <w:szCs w:val="28"/>
        </w:rPr>
        <w:t>(ii). However,</w:t>
      </w:r>
      <w:r w:rsidR="005B0DE0" w:rsidRPr="00D73D6A">
        <w:rPr>
          <w:sz w:val="28"/>
          <w:szCs w:val="28"/>
        </w:rPr>
        <w:t xml:space="preserve"> </w:t>
      </w:r>
      <w:r w:rsidRPr="00D73D6A">
        <w:rPr>
          <w:sz w:val="28"/>
          <w:szCs w:val="28"/>
        </w:rPr>
        <w:t xml:space="preserve">Nedbank contended that in </w:t>
      </w:r>
      <w:r w:rsidR="005E52A4" w:rsidRPr="00D73D6A">
        <w:rPr>
          <w:sz w:val="28"/>
          <w:szCs w:val="28"/>
        </w:rPr>
        <w:t>relation to</w:t>
      </w:r>
      <w:r w:rsidRPr="00D73D6A">
        <w:rPr>
          <w:sz w:val="28"/>
          <w:szCs w:val="28"/>
        </w:rPr>
        <w:t xml:space="preserve"> </w:t>
      </w:r>
      <w:r w:rsidR="005B0DE0" w:rsidRPr="00D73D6A">
        <w:rPr>
          <w:sz w:val="28"/>
          <w:szCs w:val="28"/>
        </w:rPr>
        <w:t>matters</w:t>
      </w:r>
      <w:r w:rsidRPr="00D73D6A">
        <w:rPr>
          <w:sz w:val="28"/>
          <w:szCs w:val="28"/>
        </w:rPr>
        <w:t xml:space="preserve"> </w:t>
      </w:r>
      <w:r w:rsidR="005E52A4" w:rsidRPr="00D73D6A">
        <w:rPr>
          <w:sz w:val="28"/>
          <w:szCs w:val="28"/>
        </w:rPr>
        <w:t>that</w:t>
      </w:r>
      <w:r w:rsidRPr="00D73D6A">
        <w:rPr>
          <w:sz w:val="28"/>
          <w:szCs w:val="28"/>
        </w:rPr>
        <w:t xml:space="preserve"> </w:t>
      </w:r>
      <w:r w:rsidR="005B5144" w:rsidRPr="00D73D6A">
        <w:rPr>
          <w:sz w:val="28"/>
          <w:szCs w:val="28"/>
        </w:rPr>
        <w:t xml:space="preserve">preference </w:t>
      </w:r>
      <w:r w:rsidRPr="00D73D6A">
        <w:rPr>
          <w:sz w:val="28"/>
          <w:szCs w:val="28"/>
        </w:rPr>
        <w:t xml:space="preserve">shareholders are precluded from exercising voting rights, the trusts will </w:t>
      </w:r>
      <w:r w:rsidR="00186A50" w:rsidRPr="00D73D6A">
        <w:rPr>
          <w:sz w:val="28"/>
          <w:szCs w:val="28"/>
        </w:rPr>
        <w:t>separately</w:t>
      </w:r>
      <w:r w:rsidRPr="00D73D6A">
        <w:rPr>
          <w:sz w:val="28"/>
          <w:szCs w:val="28"/>
        </w:rPr>
        <w:t xml:space="preserve"> exercise 25% voting rights thereby bringing them squarely within the purview of regulation 7</w:t>
      </w:r>
      <w:r w:rsidRPr="00D73D6A">
        <w:rPr>
          <w:i/>
          <w:sz w:val="28"/>
          <w:szCs w:val="28"/>
        </w:rPr>
        <w:t>(f)</w:t>
      </w:r>
      <w:r w:rsidRPr="00D73D6A">
        <w:rPr>
          <w:sz w:val="28"/>
          <w:szCs w:val="28"/>
        </w:rPr>
        <w:t>(ii). Building on this thes</w:t>
      </w:r>
      <w:r w:rsidR="005306EB" w:rsidRPr="00D73D6A">
        <w:rPr>
          <w:sz w:val="28"/>
          <w:szCs w:val="28"/>
        </w:rPr>
        <w:t>is</w:t>
      </w:r>
      <w:r w:rsidRPr="00D73D6A">
        <w:rPr>
          <w:sz w:val="28"/>
          <w:szCs w:val="28"/>
        </w:rPr>
        <w:t>, Nedbank argued that for as long as the companies' representative refused to provide a copy of the Hettie</w:t>
      </w:r>
      <w:r w:rsidR="005506F9" w:rsidRPr="00D73D6A">
        <w:rPr>
          <w:sz w:val="28"/>
          <w:szCs w:val="28"/>
        </w:rPr>
        <w:t> </w:t>
      </w:r>
      <w:r w:rsidRPr="00D73D6A">
        <w:rPr>
          <w:sz w:val="28"/>
          <w:szCs w:val="28"/>
        </w:rPr>
        <w:t xml:space="preserve">van Dijkhorst trust deed it was </w:t>
      </w:r>
      <w:r w:rsidR="00DA6D61" w:rsidRPr="00D73D6A">
        <w:rPr>
          <w:sz w:val="28"/>
          <w:szCs w:val="28"/>
        </w:rPr>
        <w:t>duty-</w:t>
      </w:r>
      <w:r w:rsidRPr="00D73D6A">
        <w:rPr>
          <w:sz w:val="28"/>
          <w:szCs w:val="28"/>
        </w:rPr>
        <w:t>bound not to give effect to the instruction to close the accounts and transfer the balances held in those accounts to ABSA Bank. Ha</w:t>
      </w:r>
      <w:r w:rsidR="00DA6D61" w:rsidRPr="00D73D6A">
        <w:rPr>
          <w:sz w:val="28"/>
          <w:szCs w:val="28"/>
        </w:rPr>
        <w:t>d</w:t>
      </w:r>
      <w:r w:rsidRPr="00D73D6A">
        <w:rPr>
          <w:sz w:val="28"/>
          <w:szCs w:val="28"/>
        </w:rPr>
        <w:t xml:space="preserve"> it </w:t>
      </w:r>
      <w:r w:rsidR="00DA6D61" w:rsidRPr="00D73D6A">
        <w:rPr>
          <w:sz w:val="28"/>
          <w:szCs w:val="28"/>
        </w:rPr>
        <w:t>closed the accounts and transferred the balances to ABSA Bank</w:t>
      </w:r>
      <w:r w:rsidRPr="00D73D6A">
        <w:rPr>
          <w:sz w:val="28"/>
          <w:szCs w:val="28"/>
        </w:rPr>
        <w:t xml:space="preserve">, </w:t>
      </w:r>
      <w:r w:rsidR="00DA6D61" w:rsidRPr="00D73D6A">
        <w:rPr>
          <w:sz w:val="28"/>
          <w:szCs w:val="28"/>
        </w:rPr>
        <w:t xml:space="preserve">Nedbank argued, </w:t>
      </w:r>
      <w:r w:rsidRPr="00D73D6A">
        <w:rPr>
          <w:sz w:val="28"/>
          <w:szCs w:val="28"/>
        </w:rPr>
        <w:t>the manifest purpose</w:t>
      </w:r>
      <w:r w:rsidR="00DA6D61" w:rsidRPr="00D73D6A">
        <w:rPr>
          <w:sz w:val="28"/>
          <w:szCs w:val="28"/>
        </w:rPr>
        <w:t xml:space="preserve"> and </w:t>
      </w:r>
      <w:r w:rsidR="005E52A4" w:rsidRPr="00D73D6A">
        <w:rPr>
          <w:sz w:val="28"/>
          <w:szCs w:val="28"/>
        </w:rPr>
        <w:t xml:space="preserve">objects </w:t>
      </w:r>
      <w:r w:rsidRPr="00D73D6A">
        <w:rPr>
          <w:sz w:val="28"/>
          <w:szCs w:val="28"/>
        </w:rPr>
        <w:t xml:space="preserve">of FICA which </w:t>
      </w:r>
      <w:r w:rsidR="00DA6D61" w:rsidRPr="00D73D6A">
        <w:rPr>
          <w:sz w:val="28"/>
          <w:szCs w:val="28"/>
        </w:rPr>
        <w:t xml:space="preserve">are to identify the proceeds of unlawful activities, </w:t>
      </w:r>
      <w:r w:rsidRPr="00D73D6A">
        <w:rPr>
          <w:sz w:val="28"/>
          <w:szCs w:val="28"/>
        </w:rPr>
        <w:t>combat money laundering and financing of terrorist and related activities would</w:t>
      </w:r>
      <w:r w:rsidR="00DA6D61" w:rsidRPr="00D73D6A">
        <w:rPr>
          <w:sz w:val="28"/>
          <w:szCs w:val="28"/>
        </w:rPr>
        <w:t>, as a result,</w:t>
      </w:r>
      <w:r w:rsidRPr="00D73D6A">
        <w:rPr>
          <w:sz w:val="28"/>
          <w:szCs w:val="28"/>
        </w:rPr>
        <w:t xml:space="preserve"> have been undermined. </w:t>
      </w:r>
    </w:p>
    <w:p w14:paraId="25BD6A7E" w14:textId="77777777" w:rsidR="00941CBD" w:rsidRPr="00D73D6A" w:rsidRDefault="00941CBD" w:rsidP="00006A1F">
      <w:pPr>
        <w:tabs>
          <w:tab w:val="left" w:pos="0"/>
          <w:tab w:val="left" w:pos="709"/>
        </w:tabs>
        <w:spacing w:line="360" w:lineRule="auto"/>
        <w:jc w:val="both"/>
        <w:rPr>
          <w:sz w:val="28"/>
          <w:szCs w:val="28"/>
        </w:rPr>
      </w:pPr>
    </w:p>
    <w:p w14:paraId="0C7F4749" w14:textId="77777777" w:rsidR="005E52A4" w:rsidRPr="00D73D6A" w:rsidRDefault="00941CBD" w:rsidP="00006A1F">
      <w:pPr>
        <w:tabs>
          <w:tab w:val="left" w:pos="0"/>
          <w:tab w:val="left" w:pos="709"/>
        </w:tabs>
        <w:spacing w:line="360" w:lineRule="auto"/>
        <w:jc w:val="both"/>
        <w:rPr>
          <w:sz w:val="28"/>
          <w:szCs w:val="28"/>
        </w:rPr>
      </w:pPr>
      <w:r w:rsidRPr="00D73D6A">
        <w:rPr>
          <w:sz w:val="28"/>
          <w:szCs w:val="28"/>
        </w:rPr>
        <w:t>[34]</w:t>
      </w:r>
      <w:r w:rsidRPr="00D73D6A">
        <w:rPr>
          <w:sz w:val="28"/>
          <w:szCs w:val="28"/>
        </w:rPr>
        <w:tab/>
        <w:t>The contentions advanced by counsel</w:t>
      </w:r>
      <w:r w:rsidR="00814396" w:rsidRPr="00D73D6A">
        <w:rPr>
          <w:sz w:val="28"/>
          <w:szCs w:val="28"/>
        </w:rPr>
        <w:t xml:space="preserve"> for Nedbank</w:t>
      </w:r>
      <w:r w:rsidRPr="00D73D6A">
        <w:rPr>
          <w:sz w:val="28"/>
          <w:szCs w:val="28"/>
        </w:rPr>
        <w:t xml:space="preserve"> as to the import of </w:t>
      </w:r>
      <w:r w:rsidR="002D2CD3" w:rsidRPr="00D73D6A">
        <w:rPr>
          <w:sz w:val="28"/>
          <w:szCs w:val="28"/>
        </w:rPr>
        <w:t>article</w:t>
      </w:r>
      <w:r w:rsidR="00814396" w:rsidRPr="00D73D6A">
        <w:rPr>
          <w:sz w:val="28"/>
          <w:szCs w:val="28"/>
        </w:rPr>
        <w:t xml:space="preserve"> </w:t>
      </w:r>
      <w:r w:rsidRPr="00D73D6A">
        <w:rPr>
          <w:sz w:val="28"/>
          <w:szCs w:val="28"/>
        </w:rPr>
        <w:t>2</w:t>
      </w:r>
      <w:r w:rsidR="00814396" w:rsidRPr="00D73D6A">
        <w:rPr>
          <w:sz w:val="28"/>
          <w:szCs w:val="28"/>
        </w:rPr>
        <w:t>.1</w:t>
      </w:r>
      <w:r w:rsidRPr="00D73D6A">
        <w:rPr>
          <w:sz w:val="28"/>
          <w:szCs w:val="28"/>
        </w:rPr>
        <w:t xml:space="preserve"> of the two companies' memoranda of incorporation renders it necessary to ascertain the correct construction of </w:t>
      </w:r>
      <w:r w:rsidR="00814396" w:rsidRPr="00D73D6A">
        <w:rPr>
          <w:sz w:val="28"/>
          <w:szCs w:val="28"/>
        </w:rPr>
        <w:t>the provisions of this article</w:t>
      </w:r>
      <w:r w:rsidRPr="00D73D6A">
        <w:rPr>
          <w:sz w:val="28"/>
          <w:szCs w:val="28"/>
        </w:rPr>
        <w:t xml:space="preserve">. It is trite that a </w:t>
      </w:r>
      <w:r w:rsidR="00814396" w:rsidRPr="00D73D6A">
        <w:rPr>
          <w:sz w:val="28"/>
          <w:szCs w:val="28"/>
        </w:rPr>
        <w:t xml:space="preserve">memorandum </w:t>
      </w:r>
      <w:r w:rsidRPr="00D73D6A">
        <w:rPr>
          <w:sz w:val="28"/>
          <w:szCs w:val="28"/>
        </w:rPr>
        <w:t xml:space="preserve">of incorporation is the founding document </w:t>
      </w:r>
      <w:r w:rsidR="00814396" w:rsidRPr="00D73D6A">
        <w:rPr>
          <w:sz w:val="28"/>
          <w:szCs w:val="28"/>
        </w:rPr>
        <w:t xml:space="preserve">of a company </w:t>
      </w:r>
      <w:r w:rsidRPr="00D73D6A">
        <w:rPr>
          <w:sz w:val="28"/>
          <w:szCs w:val="28"/>
        </w:rPr>
        <w:t>and</w:t>
      </w:r>
      <w:r w:rsidR="00814396" w:rsidRPr="00D73D6A">
        <w:rPr>
          <w:sz w:val="28"/>
          <w:szCs w:val="28"/>
        </w:rPr>
        <w:t>,</w:t>
      </w:r>
      <w:r w:rsidRPr="00D73D6A">
        <w:rPr>
          <w:sz w:val="28"/>
          <w:szCs w:val="28"/>
        </w:rPr>
        <w:t xml:space="preserve"> as such</w:t>
      </w:r>
      <w:r w:rsidR="00814396" w:rsidRPr="00D73D6A">
        <w:rPr>
          <w:sz w:val="28"/>
          <w:szCs w:val="28"/>
        </w:rPr>
        <w:t>,</w:t>
      </w:r>
      <w:r w:rsidRPr="00D73D6A">
        <w:rPr>
          <w:sz w:val="28"/>
          <w:szCs w:val="28"/>
        </w:rPr>
        <w:t xml:space="preserve"> the sole governing document that regulates the rights, duties and responsibilities of the shareholders and directors of the company.</w:t>
      </w:r>
      <w:r w:rsidRPr="00D73D6A">
        <w:rPr>
          <w:rStyle w:val="FootnoteReference"/>
          <w:sz w:val="28"/>
          <w:szCs w:val="28"/>
        </w:rPr>
        <w:footnoteReference w:id="17"/>
      </w:r>
      <w:r w:rsidR="007F6A75" w:rsidRPr="00D73D6A">
        <w:rPr>
          <w:sz w:val="28"/>
          <w:szCs w:val="28"/>
        </w:rPr>
        <w:t xml:space="preserve"> </w:t>
      </w:r>
    </w:p>
    <w:p w14:paraId="6EAB2E2D" w14:textId="5DC314E3" w:rsidR="00941CBD" w:rsidRPr="00D73D6A" w:rsidRDefault="005E52A4" w:rsidP="00006A1F">
      <w:pPr>
        <w:tabs>
          <w:tab w:val="left" w:pos="0"/>
          <w:tab w:val="left" w:pos="709"/>
        </w:tabs>
        <w:spacing w:line="360" w:lineRule="auto"/>
        <w:jc w:val="both"/>
        <w:rPr>
          <w:sz w:val="28"/>
          <w:szCs w:val="28"/>
        </w:rPr>
      </w:pPr>
      <w:r w:rsidRPr="00D73D6A">
        <w:rPr>
          <w:sz w:val="28"/>
          <w:szCs w:val="28"/>
        </w:rPr>
        <w:lastRenderedPageBreak/>
        <w:t>[35]</w:t>
      </w:r>
      <w:r w:rsidRPr="00D73D6A">
        <w:rPr>
          <w:sz w:val="28"/>
          <w:szCs w:val="28"/>
        </w:rPr>
        <w:tab/>
      </w:r>
      <w:r w:rsidR="007F6A75" w:rsidRPr="00D73D6A">
        <w:rPr>
          <w:sz w:val="28"/>
          <w:szCs w:val="28"/>
        </w:rPr>
        <w:t xml:space="preserve">The law relating to the interpretation of documents (whether statute or contract) is now well-settled. The logical point of departure in construing a document is the </w:t>
      </w:r>
      <w:r w:rsidR="00C31EB2" w:rsidRPr="00D73D6A">
        <w:rPr>
          <w:sz w:val="28"/>
          <w:szCs w:val="28"/>
        </w:rPr>
        <w:t>language of the document itself, interpreted in the light of its context and purpose which is a unitary exercise.</w:t>
      </w:r>
      <w:r w:rsidR="00C31EB2" w:rsidRPr="00D73D6A">
        <w:rPr>
          <w:rStyle w:val="FootnoteReference"/>
          <w:sz w:val="28"/>
          <w:szCs w:val="28"/>
        </w:rPr>
        <w:footnoteReference w:id="18"/>
      </w:r>
      <w:r w:rsidR="00DA580A" w:rsidRPr="00D73D6A">
        <w:rPr>
          <w:sz w:val="28"/>
          <w:szCs w:val="28"/>
        </w:rPr>
        <w:t xml:space="preserve"> These interpretive precepts, aptly described as '</w:t>
      </w:r>
      <w:r w:rsidR="00B92B1E" w:rsidRPr="00D73D6A">
        <w:rPr>
          <w:sz w:val="28"/>
          <w:szCs w:val="28"/>
        </w:rPr>
        <w:t>. . .</w:t>
      </w:r>
      <w:r w:rsidR="00DA580A" w:rsidRPr="00D73D6A">
        <w:rPr>
          <w:sz w:val="28"/>
          <w:szCs w:val="28"/>
        </w:rPr>
        <w:t>the triad of the text, context and purpose</w:t>
      </w:r>
      <w:r w:rsidR="00B92B1E" w:rsidRPr="00D73D6A">
        <w:rPr>
          <w:sz w:val="28"/>
          <w:szCs w:val="28"/>
        </w:rPr>
        <w:t>. . .</w:t>
      </w:r>
      <w:r w:rsidR="00DA580A" w:rsidRPr="00D73D6A">
        <w:rPr>
          <w:sz w:val="28"/>
          <w:szCs w:val="28"/>
        </w:rPr>
        <w:t xml:space="preserve">' in </w:t>
      </w:r>
      <w:r w:rsidR="00DA580A" w:rsidRPr="00D73D6A">
        <w:rPr>
          <w:i/>
          <w:sz w:val="28"/>
          <w:szCs w:val="28"/>
        </w:rPr>
        <w:t>Capitec Bank Holdings Limited and Another v Coral Lagoon Investments 194 (Pty) Ltd and Others</w:t>
      </w:r>
      <w:r w:rsidR="00DA580A" w:rsidRPr="00D73D6A">
        <w:rPr>
          <w:sz w:val="28"/>
          <w:szCs w:val="28"/>
        </w:rPr>
        <w:t>,</w:t>
      </w:r>
      <w:r w:rsidR="00DA580A" w:rsidRPr="00D73D6A">
        <w:rPr>
          <w:rStyle w:val="FootnoteReference"/>
          <w:sz w:val="28"/>
          <w:szCs w:val="28"/>
        </w:rPr>
        <w:footnoteReference w:id="19"/>
      </w:r>
      <w:r w:rsidR="00DA580A" w:rsidRPr="00D73D6A">
        <w:rPr>
          <w:sz w:val="28"/>
          <w:szCs w:val="28"/>
        </w:rPr>
        <w:t xml:space="preserve"> were </w:t>
      </w:r>
      <w:r w:rsidRPr="00D73D6A">
        <w:rPr>
          <w:sz w:val="28"/>
          <w:szCs w:val="28"/>
        </w:rPr>
        <w:t xml:space="preserve">said </w:t>
      </w:r>
      <w:r w:rsidR="00DA580A" w:rsidRPr="00D73D6A">
        <w:rPr>
          <w:sz w:val="28"/>
          <w:szCs w:val="28"/>
        </w:rPr>
        <w:t>to be '</w:t>
      </w:r>
      <w:r w:rsidR="00B92B1E" w:rsidRPr="00D73D6A">
        <w:rPr>
          <w:sz w:val="28"/>
          <w:szCs w:val="28"/>
        </w:rPr>
        <w:t>. . .</w:t>
      </w:r>
      <w:r w:rsidR="00DA580A" w:rsidRPr="00D73D6A">
        <w:rPr>
          <w:sz w:val="28"/>
          <w:szCs w:val="28"/>
        </w:rPr>
        <w:t>the relationship between the words used, the concepts expressed by [the] words and the place of the contested provision within the scheme of the agreement (or instrument) as a whole that constitutes the enterprise by recourse to which a coherent and salient interpretation is determined'</w:t>
      </w:r>
      <w:r w:rsidR="002B65DD" w:rsidRPr="00D73D6A">
        <w:rPr>
          <w:sz w:val="28"/>
          <w:szCs w:val="28"/>
        </w:rPr>
        <w:t>.</w:t>
      </w:r>
      <w:r w:rsidR="00DA580A" w:rsidRPr="00D73D6A">
        <w:rPr>
          <w:rStyle w:val="FootnoteReference"/>
          <w:sz w:val="28"/>
          <w:szCs w:val="28"/>
        </w:rPr>
        <w:footnoteReference w:id="20"/>
      </w:r>
      <w:r w:rsidR="00690035" w:rsidRPr="00D73D6A">
        <w:rPr>
          <w:sz w:val="28"/>
          <w:szCs w:val="28"/>
        </w:rPr>
        <w:t xml:space="preserve"> The position is no different when it comes to the interpre</w:t>
      </w:r>
      <w:r w:rsidR="0029771D" w:rsidRPr="00D73D6A">
        <w:rPr>
          <w:sz w:val="28"/>
          <w:szCs w:val="28"/>
        </w:rPr>
        <w:t xml:space="preserve">tation of a company's </w:t>
      </w:r>
      <w:r w:rsidR="00814396" w:rsidRPr="00D73D6A">
        <w:rPr>
          <w:sz w:val="28"/>
          <w:szCs w:val="28"/>
        </w:rPr>
        <w:t xml:space="preserve">memorandum </w:t>
      </w:r>
      <w:r w:rsidR="00690035" w:rsidRPr="00D73D6A">
        <w:rPr>
          <w:sz w:val="28"/>
          <w:szCs w:val="28"/>
        </w:rPr>
        <w:t>of incorporation.</w:t>
      </w:r>
      <w:r w:rsidR="0029771D" w:rsidRPr="00D73D6A">
        <w:rPr>
          <w:rStyle w:val="FootnoteReference"/>
          <w:sz w:val="28"/>
          <w:szCs w:val="28"/>
        </w:rPr>
        <w:footnoteReference w:id="21"/>
      </w:r>
    </w:p>
    <w:p w14:paraId="7C26CACD" w14:textId="77777777" w:rsidR="00306F09" w:rsidRPr="00D73D6A" w:rsidRDefault="00306F09" w:rsidP="00006A1F">
      <w:pPr>
        <w:tabs>
          <w:tab w:val="left" w:pos="0"/>
          <w:tab w:val="left" w:pos="709"/>
        </w:tabs>
        <w:spacing w:line="360" w:lineRule="auto"/>
        <w:jc w:val="both"/>
        <w:rPr>
          <w:sz w:val="28"/>
          <w:szCs w:val="28"/>
        </w:rPr>
      </w:pPr>
    </w:p>
    <w:p w14:paraId="773F02B2" w14:textId="4F145985" w:rsidR="00306F09" w:rsidRPr="00D73D6A" w:rsidRDefault="00306F09" w:rsidP="00006A1F">
      <w:pPr>
        <w:tabs>
          <w:tab w:val="left" w:pos="0"/>
          <w:tab w:val="left" w:pos="709"/>
        </w:tabs>
        <w:spacing w:line="360" w:lineRule="auto"/>
        <w:jc w:val="both"/>
        <w:rPr>
          <w:sz w:val="28"/>
          <w:szCs w:val="28"/>
        </w:rPr>
      </w:pPr>
      <w:r w:rsidRPr="00D73D6A">
        <w:rPr>
          <w:sz w:val="28"/>
          <w:szCs w:val="28"/>
        </w:rPr>
        <w:t>[</w:t>
      </w:r>
      <w:r w:rsidR="00C6094A" w:rsidRPr="00D73D6A">
        <w:rPr>
          <w:sz w:val="28"/>
          <w:szCs w:val="28"/>
        </w:rPr>
        <w:t>36</w:t>
      </w:r>
      <w:r w:rsidRPr="00D73D6A">
        <w:rPr>
          <w:sz w:val="28"/>
          <w:szCs w:val="28"/>
        </w:rPr>
        <w:t>]</w:t>
      </w:r>
      <w:r w:rsidRPr="00D73D6A">
        <w:rPr>
          <w:sz w:val="28"/>
          <w:szCs w:val="28"/>
        </w:rPr>
        <w:tab/>
        <w:t xml:space="preserve">Bearing those principles of interpretation in mind, I now turn to consider the question whether each one of the four trusts exercises 25% of the voting rights in circumstances where the </w:t>
      </w:r>
      <w:r w:rsidR="00A265CC" w:rsidRPr="00D73D6A">
        <w:rPr>
          <w:sz w:val="28"/>
          <w:szCs w:val="28"/>
        </w:rPr>
        <w:t xml:space="preserve">preference </w:t>
      </w:r>
      <w:r w:rsidRPr="00D73D6A">
        <w:rPr>
          <w:sz w:val="28"/>
          <w:szCs w:val="28"/>
        </w:rPr>
        <w:t>shareholder</w:t>
      </w:r>
      <w:r w:rsidR="00A265CC" w:rsidRPr="00D73D6A">
        <w:rPr>
          <w:sz w:val="28"/>
          <w:szCs w:val="28"/>
        </w:rPr>
        <w:t>s</w:t>
      </w:r>
      <w:r w:rsidRPr="00D73D6A">
        <w:rPr>
          <w:sz w:val="28"/>
          <w:szCs w:val="28"/>
        </w:rPr>
        <w:t xml:space="preserve"> </w:t>
      </w:r>
      <w:r w:rsidR="00A265CC" w:rsidRPr="00D73D6A">
        <w:rPr>
          <w:sz w:val="28"/>
          <w:szCs w:val="28"/>
        </w:rPr>
        <w:t xml:space="preserve">are </w:t>
      </w:r>
      <w:r w:rsidRPr="00D73D6A">
        <w:rPr>
          <w:sz w:val="28"/>
          <w:szCs w:val="28"/>
        </w:rPr>
        <w:t>precluded from voting by virtue of article 2</w:t>
      </w:r>
      <w:r w:rsidR="00A265CC" w:rsidRPr="00D73D6A">
        <w:rPr>
          <w:sz w:val="28"/>
          <w:szCs w:val="28"/>
        </w:rPr>
        <w:t>.1</w:t>
      </w:r>
      <w:r w:rsidRPr="00D73D6A">
        <w:rPr>
          <w:sz w:val="28"/>
          <w:szCs w:val="28"/>
        </w:rPr>
        <w:t xml:space="preserve"> of the memoranda of incorporation</w:t>
      </w:r>
      <w:r w:rsidR="00A265CC" w:rsidRPr="00D73D6A">
        <w:rPr>
          <w:sz w:val="28"/>
          <w:szCs w:val="28"/>
        </w:rPr>
        <w:t xml:space="preserve"> of Houtbosplaas and TBS Alpha</w:t>
      </w:r>
      <w:r w:rsidRPr="00D73D6A">
        <w:rPr>
          <w:sz w:val="28"/>
          <w:szCs w:val="28"/>
        </w:rPr>
        <w:t xml:space="preserve">. </w:t>
      </w:r>
    </w:p>
    <w:p w14:paraId="3313F86B" w14:textId="77777777" w:rsidR="00306F09" w:rsidRPr="00D73D6A" w:rsidRDefault="00306F09" w:rsidP="00006A1F">
      <w:pPr>
        <w:tabs>
          <w:tab w:val="left" w:pos="0"/>
          <w:tab w:val="left" w:pos="709"/>
        </w:tabs>
        <w:spacing w:line="360" w:lineRule="auto"/>
        <w:jc w:val="both"/>
        <w:rPr>
          <w:sz w:val="28"/>
          <w:szCs w:val="28"/>
        </w:rPr>
      </w:pPr>
    </w:p>
    <w:p w14:paraId="3A01405E" w14:textId="556BEF72" w:rsidR="00577041" w:rsidRPr="00D73D6A" w:rsidRDefault="00306F09" w:rsidP="00577041">
      <w:pPr>
        <w:tabs>
          <w:tab w:val="left" w:pos="0"/>
          <w:tab w:val="left" w:pos="709"/>
        </w:tabs>
        <w:spacing w:line="360" w:lineRule="auto"/>
        <w:jc w:val="both"/>
        <w:rPr>
          <w:sz w:val="28"/>
          <w:szCs w:val="28"/>
        </w:rPr>
      </w:pPr>
      <w:r w:rsidRPr="00D73D6A">
        <w:rPr>
          <w:sz w:val="28"/>
          <w:szCs w:val="28"/>
        </w:rPr>
        <w:t>[</w:t>
      </w:r>
      <w:r w:rsidR="00C6094A" w:rsidRPr="00D73D6A">
        <w:rPr>
          <w:sz w:val="28"/>
          <w:szCs w:val="28"/>
        </w:rPr>
        <w:t>37</w:t>
      </w:r>
      <w:r w:rsidRPr="00D73D6A">
        <w:rPr>
          <w:sz w:val="28"/>
          <w:szCs w:val="28"/>
        </w:rPr>
        <w:t>]</w:t>
      </w:r>
      <w:r w:rsidRPr="00D73D6A">
        <w:rPr>
          <w:sz w:val="28"/>
          <w:szCs w:val="28"/>
        </w:rPr>
        <w:tab/>
        <w:t xml:space="preserve">Reduced to its bare essentials and properly analysed, the nub of Nedbank's case is that </w:t>
      </w:r>
      <w:r w:rsidR="005E52A4" w:rsidRPr="00D73D6A">
        <w:rPr>
          <w:sz w:val="28"/>
          <w:szCs w:val="28"/>
        </w:rPr>
        <w:t xml:space="preserve">each one of </w:t>
      </w:r>
      <w:r w:rsidRPr="00D73D6A">
        <w:rPr>
          <w:sz w:val="28"/>
          <w:szCs w:val="28"/>
        </w:rPr>
        <w:t>the four trusts exercise</w:t>
      </w:r>
      <w:r w:rsidR="005E52A4" w:rsidRPr="00D73D6A">
        <w:rPr>
          <w:sz w:val="28"/>
          <w:szCs w:val="28"/>
        </w:rPr>
        <w:t>s</w:t>
      </w:r>
      <w:r w:rsidRPr="00D73D6A">
        <w:rPr>
          <w:sz w:val="28"/>
          <w:szCs w:val="28"/>
        </w:rPr>
        <w:t xml:space="preserve"> 25% voting rights </w:t>
      </w:r>
      <w:r w:rsidRPr="00D73D6A">
        <w:rPr>
          <w:sz w:val="28"/>
          <w:szCs w:val="28"/>
        </w:rPr>
        <w:lastRenderedPageBreak/>
        <w:t>whenever the provisions of article 2</w:t>
      </w:r>
      <w:r w:rsidR="006A4EE6" w:rsidRPr="00D73D6A">
        <w:rPr>
          <w:sz w:val="28"/>
          <w:szCs w:val="28"/>
        </w:rPr>
        <w:t>.1</w:t>
      </w:r>
      <w:r w:rsidRPr="00D73D6A">
        <w:rPr>
          <w:sz w:val="28"/>
          <w:szCs w:val="28"/>
        </w:rPr>
        <w:t xml:space="preserve"> of the memoranda of incorporation dictate that the voting rights of </w:t>
      </w:r>
      <w:r w:rsidR="006A4EE6" w:rsidRPr="00D73D6A">
        <w:rPr>
          <w:sz w:val="28"/>
          <w:szCs w:val="28"/>
        </w:rPr>
        <w:t xml:space="preserve">preference </w:t>
      </w:r>
      <w:r w:rsidRPr="00D73D6A">
        <w:rPr>
          <w:sz w:val="28"/>
          <w:szCs w:val="28"/>
        </w:rPr>
        <w:t xml:space="preserve">shareholders must be discounted. </w:t>
      </w:r>
      <w:r w:rsidR="00577041" w:rsidRPr="00D73D6A">
        <w:rPr>
          <w:sz w:val="28"/>
          <w:szCs w:val="28"/>
        </w:rPr>
        <w:t xml:space="preserve">From Nedbank's perspective, if this is </w:t>
      </w:r>
      <w:r w:rsidR="006F2AB8" w:rsidRPr="00D73D6A">
        <w:rPr>
          <w:sz w:val="28"/>
          <w:szCs w:val="28"/>
        </w:rPr>
        <w:t>indeed the position</w:t>
      </w:r>
      <w:r w:rsidR="00577041" w:rsidRPr="00D73D6A">
        <w:rPr>
          <w:sz w:val="28"/>
          <w:szCs w:val="28"/>
        </w:rPr>
        <w:t>, it will follow axiomatically that it was entitled to the copies of the deeds of trust of the four trusts and in particular the Hettie van Dijkhorst trust in terms of s 21(2) of FICA read with regulation 7</w:t>
      </w:r>
      <w:r w:rsidR="00577041" w:rsidRPr="00D73D6A">
        <w:rPr>
          <w:i/>
          <w:sz w:val="28"/>
          <w:szCs w:val="28"/>
        </w:rPr>
        <w:t>(f)</w:t>
      </w:r>
      <w:r w:rsidR="00577041" w:rsidRPr="00D73D6A">
        <w:rPr>
          <w:sz w:val="28"/>
          <w:szCs w:val="28"/>
        </w:rPr>
        <w:t>(ii). However, if not, the appeal would, as correctly accepted by counsel for Nedbank, fall to be dismissed. I shall return to these contentions shortly.</w:t>
      </w:r>
    </w:p>
    <w:p w14:paraId="22AF5CEE" w14:textId="77777777" w:rsidR="00AD7DEC" w:rsidRPr="00D73D6A" w:rsidRDefault="00AD7DEC" w:rsidP="0096006E">
      <w:pPr>
        <w:tabs>
          <w:tab w:val="left" w:pos="0"/>
          <w:tab w:val="left" w:pos="709"/>
        </w:tabs>
        <w:spacing w:line="360" w:lineRule="auto"/>
        <w:jc w:val="both"/>
        <w:rPr>
          <w:sz w:val="28"/>
          <w:szCs w:val="28"/>
        </w:rPr>
      </w:pPr>
    </w:p>
    <w:p w14:paraId="7FF25071" w14:textId="7B4E2A81" w:rsidR="00AD7DEC" w:rsidRPr="00D73D6A" w:rsidRDefault="00AD7DEC" w:rsidP="0096006E">
      <w:pPr>
        <w:tabs>
          <w:tab w:val="left" w:pos="0"/>
          <w:tab w:val="left" w:pos="709"/>
        </w:tabs>
        <w:spacing w:line="360" w:lineRule="auto"/>
        <w:jc w:val="both"/>
        <w:rPr>
          <w:sz w:val="28"/>
          <w:szCs w:val="28"/>
        </w:rPr>
      </w:pPr>
      <w:r w:rsidRPr="00D73D6A">
        <w:rPr>
          <w:sz w:val="28"/>
          <w:szCs w:val="28"/>
        </w:rPr>
        <w:t>[</w:t>
      </w:r>
      <w:r w:rsidR="00C6094A" w:rsidRPr="00D73D6A">
        <w:rPr>
          <w:sz w:val="28"/>
          <w:szCs w:val="28"/>
        </w:rPr>
        <w:t>38</w:t>
      </w:r>
      <w:r w:rsidRPr="00D73D6A">
        <w:rPr>
          <w:sz w:val="28"/>
          <w:szCs w:val="28"/>
        </w:rPr>
        <w:t>]</w:t>
      </w:r>
      <w:r w:rsidRPr="00D73D6A">
        <w:rPr>
          <w:sz w:val="28"/>
          <w:szCs w:val="28"/>
        </w:rPr>
        <w:tab/>
      </w:r>
      <w:r w:rsidR="00577041" w:rsidRPr="00D73D6A">
        <w:rPr>
          <w:sz w:val="28"/>
          <w:szCs w:val="28"/>
        </w:rPr>
        <w:t xml:space="preserve">I interpose here to observe </w:t>
      </w:r>
      <w:r w:rsidRPr="00D73D6A">
        <w:rPr>
          <w:sz w:val="28"/>
          <w:szCs w:val="28"/>
        </w:rPr>
        <w:t>that FICA creates a raft of offences in respect of contraventions of certain of its provisions, and prescribes severe penalties for some of the contraventions.</w:t>
      </w:r>
      <w:r w:rsidRPr="00D73D6A">
        <w:rPr>
          <w:rStyle w:val="FootnoteReference"/>
          <w:sz w:val="28"/>
          <w:szCs w:val="28"/>
        </w:rPr>
        <w:footnoteReference w:id="22"/>
      </w:r>
      <w:r w:rsidR="0008374D" w:rsidRPr="00D73D6A">
        <w:rPr>
          <w:sz w:val="28"/>
          <w:szCs w:val="28"/>
        </w:rPr>
        <w:t xml:space="preserve"> </w:t>
      </w:r>
      <w:r w:rsidR="00E545FF" w:rsidRPr="00D73D6A">
        <w:rPr>
          <w:sz w:val="28"/>
          <w:szCs w:val="28"/>
        </w:rPr>
        <w:t xml:space="preserve">In this regard, it is necessary to mention that the Centre bears the responsibility, </w:t>
      </w:r>
      <w:r w:rsidR="00E545FF" w:rsidRPr="00D73D6A">
        <w:rPr>
          <w:i/>
          <w:sz w:val="28"/>
          <w:szCs w:val="28"/>
        </w:rPr>
        <w:t>inter alia</w:t>
      </w:r>
      <w:r w:rsidR="00E545FF" w:rsidRPr="00D73D6A">
        <w:rPr>
          <w:sz w:val="28"/>
          <w:szCs w:val="28"/>
        </w:rPr>
        <w:t>, to supervise and enforce compliance with FICA,</w:t>
      </w:r>
      <w:r w:rsidR="00E545FF" w:rsidRPr="00D73D6A">
        <w:rPr>
          <w:rStyle w:val="FootnoteReference"/>
          <w:sz w:val="28"/>
          <w:szCs w:val="28"/>
        </w:rPr>
        <w:footnoteReference w:id="23"/>
      </w:r>
      <w:r w:rsidR="00E545FF" w:rsidRPr="00D73D6A">
        <w:rPr>
          <w:sz w:val="28"/>
          <w:szCs w:val="28"/>
        </w:rPr>
        <w:t xml:space="preserve"> </w:t>
      </w:r>
      <w:r w:rsidR="009D516F" w:rsidRPr="00D73D6A">
        <w:rPr>
          <w:sz w:val="28"/>
          <w:szCs w:val="28"/>
        </w:rPr>
        <w:t xml:space="preserve">and </w:t>
      </w:r>
      <w:r w:rsidR="00E545FF" w:rsidRPr="00D73D6A">
        <w:rPr>
          <w:sz w:val="28"/>
          <w:szCs w:val="28"/>
        </w:rPr>
        <w:t>is authorised in terms of s 26</w:t>
      </w:r>
      <w:r w:rsidR="00E545FF" w:rsidRPr="00D73D6A">
        <w:rPr>
          <w:rStyle w:val="FootnoteReference"/>
          <w:sz w:val="28"/>
          <w:szCs w:val="28"/>
        </w:rPr>
        <w:footnoteReference w:id="24"/>
      </w:r>
      <w:r w:rsidR="00E545FF" w:rsidRPr="00D73D6A">
        <w:rPr>
          <w:sz w:val="28"/>
          <w:szCs w:val="28"/>
        </w:rPr>
        <w:t xml:space="preserve"> through its representatives to have access to any records kept by or on behalf of an accountable institution.</w:t>
      </w:r>
    </w:p>
    <w:p w14:paraId="78E4C991" w14:textId="77777777" w:rsidR="00EC288A" w:rsidRPr="00D73D6A" w:rsidRDefault="00EC288A" w:rsidP="0096006E">
      <w:pPr>
        <w:tabs>
          <w:tab w:val="left" w:pos="0"/>
          <w:tab w:val="left" w:pos="709"/>
        </w:tabs>
        <w:spacing w:line="360" w:lineRule="auto"/>
        <w:jc w:val="both"/>
        <w:rPr>
          <w:sz w:val="28"/>
          <w:szCs w:val="28"/>
        </w:rPr>
      </w:pPr>
    </w:p>
    <w:p w14:paraId="163C2878" w14:textId="1A7A5F35" w:rsidR="00577041" w:rsidRPr="00D73D6A" w:rsidRDefault="00EC288A" w:rsidP="00577041">
      <w:pPr>
        <w:tabs>
          <w:tab w:val="left" w:pos="0"/>
          <w:tab w:val="left" w:pos="709"/>
        </w:tabs>
        <w:spacing w:line="360" w:lineRule="auto"/>
        <w:jc w:val="both"/>
        <w:rPr>
          <w:sz w:val="28"/>
          <w:szCs w:val="28"/>
        </w:rPr>
      </w:pPr>
      <w:r w:rsidRPr="00D73D6A">
        <w:rPr>
          <w:sz w:val="28"/>
          <w:szCs w:val="28"/>
        </w:rPr>
        <w:t>[</w:t>
      </w:r>
      <w:r w:rsidR="00C6094A" w:rsidRPr="00D73D6A">
        <w:rPr>
          <w:sz w:val="28"/>
          <w:szCs w:val="28"/>
        </w:rPr>
        <w:t>39</w:t>
      </w:r>
      <w:r w:rsidR="00577041" w:rsidRPr="00D73D6A">
        <w:rPr>
          <w:sz w:val="28"/>
          <w:szCs w:val="28"/>
        </w:rPr>
        <w:t>]</w:t>
      </w:r>
      <w:r w:rsidR="00577041" w:rsidRPr="00D73D6A">
        <w:rPr>
          <w:sz w:val="28"/>
          <w:szCs w:val="28"/>
        </w:rPr>
        <w:tab/>
        <w:t>Reverting to the issue of what is at the core of this case, the outcome of this appeal, in my view, hinges on the proper interpretation of s 21(2) of FICA – as it read at the material time – and the provisions of article 2.1 of the two companies' memoranda of incorporation upon which Nedbank heavily relied. I proceed to address these in turn below.</w:t>
      </w:r>
    </w:p>
    <w:p w14:paraId="1CE944B5" w14:textId="77777777" w:rsidR="00577041" w:rsidRPr="00D73D6A" w:rsidRDefault="00577041" w:rsidP="00577041">
      <w:pPr>
        <w:tabs>
          <w:tab w:val="left" w:pos="0"/>
          <w:tab w:val="left" w:pos="709"/>
        </w:tabs>
        <w:spacing w:line="360" w:lineRule="auto"/>
        <w:jc w:val="both"/>
        <w:rPr>
          <w:sz w:val="28"/>
          <w:szCs w:val="28"/>
        </w:rPr>
      </w:pPr>
    </w:p>
    <w:p w14:paraId="3BFDA7AD" w14:textId="0507304F" w:rsidR="00577041" w:rsidRPr="00D73D6A" w:rsidRDefault="00577041" w:rsidP="00577041">
      <w:pPr>
        <w:tabs>
          <w:tab w:val="left" w:pos="0"/>
          <w:tab w:val="left" w:pos="709"/>
        </w:tabs>
        <w:spacing w:line="360" w:lineRule="auto"/>
        <w:jc w:val="both"/>
        <w:rPr>
          <w:sz w:val="28"/>
          <w:szCs w:val="28"/>
        </w:rPr>
      </w:pPr>
      <w:r w:rsidRPr="00D73D6A">
        <w:rPr>
          <w:sz w:val="28"/>
          <w:szCs w:val="28"/>
        </w:rPr>
        <w:t>[</w:t>
      </w:r>
      <w:r w:rsidR="00C6094A" w:rsidRPr="00D73D6A">
        <w:rPr>
          <w:sz w:val="28"/>
          <w:szCs w:val="28"/>
        </w:rPr>
        <w:t>40</w:t>
      </w:r>
      <w:r w:rsidRPr="00D73D6A">
        <w:rPr>
          <w:sz w:val="28"/>
          <w:szCs w:val="28"/>
        </w:rPr>
        <w:t>]</w:t>
      </w:r>
      <w:r w:rsidRPr="00D73D6A">
        <w:rPr>
          <w:sz w:val="28"/>
          <w:szCs w:val="28"/>
        </w:rPr>
        <w:tab/>
        <w:t xml:space="preserve">Section 21(2) of FICA presents no controversy. It is clear and unambiguous. Although s 21(2) has already been quoted in paragraph 24 above, </w:t>
      </w:r>
      <w:r w:rsidRPr="00D73D6A">
        <w:rPr>
          <w:sz w:val="28"/>
          <w:szCs w:val="28"/>
        </w:rPr>
        <w:lastRenderedPageBreak/>
        <w:t>it is convenient to quote it again here. At the relevant time, s 21(2) read as follows:</w:t>
      </w:r>
    </w:p>
    <w:p w14:paraId="0D165C1C" w14:textId="77777777" w:rsidR="00577041" w:rsidRPr="00D73D6A" w:rsidRDefault="00577041" w:rsidP="00577041">
      <w:pPr>
        <w:tabs>
          <w:tab w:val="left" w:pos="0"/>
          <w:tab w:val="left" w:pos="709"/>
        </w:tabs>
        <w:spacing w:line="360" w:lineRule="auto"/>
        <w:jc w:val="both"/>
        <w:rPr>
          <w:szCs w:val="28"/>
        </w:rPr>
      </w:pPr>
      <w:r w:rsidRPr="00D73D6A">
        <w:rPr>
          <w:szCs w:val="28"/>
        </w:rPr>
        <w:t>'If an accountable institution had established a business relationship with a client before this Act took effect, the accountable institution may not conclude a transaction in the course of that business relationship, unless the accountable institution has taken the prescribed steps–</w:t>
      </w:r>
    </w:p>
    <w:p w14:paraId="2DD863DB" w14:textId="77777777" w:rsidR="00577041" w:rsidRPr="00D73D6A" w:rsidRDefault="00577041" w:rsidP="00577041">
      <w:pPr>
        <w:pStyle w:val="ListParagraph"/>
        <w:numPr>
          <w:ilvl w:val="0"/>
          <w:numId w:val="7"/>
        </w:numPr>
        <w:tabs>
          <w:tab w:val="left" w:pos="0"/>
          <w:tab w:val="left" w:pos="709"/>
        </w:tabs>
        <w:spacing w:line="360" w:lineRule="auto"/>
        <w:jc w:val="both"/>
        <w:rPr>
          <w:szCs w:val="28"/>
        </w:rPr>
      </w:pPr>
      <w:r w:rsidRPr="00D73D6A">
        <w:rPr>
          <w:szCs w:val="28"/>
        </w:rPr>
        <w:t>to establish and verify the identity of the client;</w:t>
      </w:r>
    </w:p>
    <w:p w14:paraId="617B9F8C" w14:textId="77777777" w:rsidR="00577041" w:rsidRPr="00D73D6A" w:rsidRDefault="00577041" w:rsidP="00577041">
      <w:pPr>
        <w:tabs>
          <w:tab w:val="left" w:pos="0"/>
          <w:tab w:val="left" w:pos="709"/>
        </w:tabs>
        <w:spacing w:line="360" w:lineRule="auto"/>
        <w:jc w:val="both"/>
        <w:rPr>
          <w:szCs w:val="28"/>
        </w:rPr>
      </w:pPr>
      <w:r w:rsidRPr="00D73D6A">
        <w:rPr>
          <w:szCs w:val="28"/>
        </w:rPr>
        <w:t xml:space="preserve"> . . .'</w:t>
      </w:r>
    </w:p>
    <w:p w14:paraId="5EA4B9A4" w14:textId="77777777" w:rsidR="00577041" w:rsidRPr="00D73D6A" w:rsidRDefault="00577041" w:rsidP="00577041">
      <w:pPr>
        <w:tabs>
          <w:tab w:val="left" w:pos="0"/>
          <w:tab w:val="left" w:pos="709"/>
        </w:tabs>
        <w:spacing w:line="360" w:lineRule="auto"/>
        <w:jc w:val="both"/>
        <w:rPr>
          <w:szCs w:val="28"/>
        </w:rPr>
      </w:pPr>
    </w:p>
    <w:p w14:paraId="7072A51D" w14:textId="29B0B4F6" w:rsidR="00577041" w:rsidRPr="00D73D6A" w:rsidRDefault="00577041" w:rsidP="00577041">
      <w:pPr>
        <w:tabs>
          <w:tab w:val="left" w:pos="0"/>
          <w:tab w:val="left" w:pos="709"/>
        </w:tabs>
        <w:spacing w:line="360" w:lineRule="auto"/>
        <w:jc w:val="both"/>
        <w:rPr>
          <w:sz w:val="28"/>
          <w:szCs w:val="28"/>
        </w:rPr>
      </w:pPr>
      <w:r w:rsidRPr="00D73D6A">
        <w:rPr>
          <w:sz w:val="28"/>
          <w:szCs w:val="28"/>
        </w:rPr>
        <w:t>[</w:t>
      </w:r>
      <w:r w:rsidR="00C6094A" w:rsidRPr="00D73D6A">
        <w:rPr>
          <w:sz w:val="28"/>
          <w:szCs w:val="28"/>
        </w:rPr>
        <w:t>41</w:t>
      </w:r>
      <w:r w:rsidRPr="00D73D6A">
        <w:rPr>
          <w:sz w:val="28"/>
          <w:szCs w:val="28"/>
        </w:rPr>
        <w:t>]</w:t>
      </w:r>
      <w:r w:rsidRPr="00D73D6A">
        <w:rPr>
          <w:sz w:val="28"/>
          <w:szCs w:val="28"/>
        </w:rPr>
        <w:tab/>
        <w:t xml:space="preserve">As regards the proper construction of s 21(2) in the light of its apparent purpose, I have already made the point (in paragraph 25 above) that it applied to existing clients of </w:t>
      </w:r>
      <w:r w:rsidR="006F2AB8" w:rsidRPr="00D73D6A">
        <w:rPr>
          <w:sz w:val="28"/>
          <w:szCs w:val="28"/>
        </w:rPr>
        <w:t>an accountable institution</w:t>
      </w:r>
      <w:r w:rsidRPr="00D73D6A">
        <w:rPr>
          <w:sz w:val="28"/>
          <w:szCs w:val="28"/>
        </w:rPr>
        <w:t xml:space="preserve"> who had already established a business relationship before FICA took effect. Its spotlight was thus cast on ensuring that an accountable institution – Nedbank in this instance – establish and verify the identity of the client, to be under</w:t>
      </w:r>
      <w:r w:rsidR="006F2AB8" w:rsidRPr="00D73D6A">
        <w:rPr>
          <w:sz w:val="28"/>
          <w:szCs w:val="28"/>
        </w:rPr>
        <w:t>stood</w:t>
      </w:r>
      <w:r w:rsidRPr="00D73D6A">
        <w:rPr>
          <w:sz w:val="28"/>
          <w:szCs w:val="28"/>
        </w:rPr>
        <w:t xml:space="preserve"> as a reference to Houtbosplaas and TBS Alpha in the context of the facts of this case, before concluding a transaction in the course of that business relationship. Accordingly, s 21(2) required that at the inception of FICA Nedbank must comply with FICA's prescripts before concluding any further transaction in the course of that relationship. Once this had happened</w:t>
      </w:r>
      <w:r w:rsidR="006F2AB8" w:rsidRPr="00D73D6A">
        <w:rPr>
          <w:sz w:val="28"/>
          <w:szCs w:val="28"/>
        </w:rPr>
        <w:t>,</w:t>
      </w:r>
      <w:r w:rsidRPr="00D73D6A">
        <w:rPr>
          <w:sz w:val="28"/>
          <w:szCs w:val="28"/>
        </w:rPr>
        <w:t xml:space="preserve"> there would be no need nor basis for Nedbank to verify the companies in respect of each and every transaction to be concluded in the course of the parties' existing business relationship. This much was rightly conceded by counsel for Nedbank during argument. Further, it was conceded on behalf of Nedbank in argument that there was no evidence that FICA was not complied with at its inception. Having regard to the object, scope and purpose of FICA</w:t>
      </w:r>
      <w:r w:rsidR="006F2AB8" w:rsidRPr="00D73D6A">
        <w:rPr>
          <w:sz w:val="28"/>
          <w:szCs w:val="28"/>
        </w:rPr>
        <w:t>,</w:t>
      </w:r>
      <w:r w:rsidRPr="00D73D6A">
        <w:rPr>
          <w:sz w:val="28"/>
          <w:szCs w:val="28"/>
        </w:rPr>
        <w:t xml:space="preserve"> I am driven to the conclusion that s 21(2), properly construed consistently with its manifest purpose, did not, on the facts of this case, apply at the time when Nedbank sought to invoke it. </w:t>
      </w:r>
    </w:p>
    <w:p w14:paraId="79352FE2" w14:textId="77777777" w:rsidR="00577041" w:rsidRPr="00D73D6A" w:rsidRDefault="00577041" w:rsidP="00577041">
      <w:pPr>
        <w:tabs>
          <w:tab w:val="left" w:pos="0"/>
          <w:tab w:val="left" w:pos="709"/>
        </w:tabs>
        <w:spacing w:line="360" w:lineRule="auto"/>
        <w:jc w:val="both"/>
        <w:rPr>
          <w:sz w:val="28"/>
          <w:szCs w:val="28"/>
        </w:rPr>
      </w:pPr>
    </w:p>
    <w:p w14:paraId="087AF61A" w14:textId="54FECAD4" w:rsidR="00577041" w:rsidRPr="00D73D6A" w:rsidRDefault="00577041" w:rsidP="00577041">
      <w:pPr>
        <w:tabs>
          <w:tab w:val="left" w:pos="0"/>
          <w:tab w:val="left" w:pos="709"/>
        </w:tabs>
        <w:spacing w:line="360" w:lineRule="auto"/>
        <w:jc w:val="both"/>
        <w:rPr>
          <w:sz w:val="28"/>
          <w:szCs w:val="28"/>
        </w:rPr>
      </w:pPr>
      <w:r w:rsidRPr="00D73D6A">
        <w:rPr>
          <w:sz w:val="28"/>
          <w:szCs w:val="28"/>
        </w:rPr>
        <w:lastRenderedPageBreak/>
        <w:t>[</w:t>
      </w:r>
      <w:r w:rsidR="00C6094A" w:rsidRPr="00D73D6A">
        <w:rPr>
          <w:sz w:val="28"/>
          <w:szCs w:val="28"/>
        </w:rPr>
        <w:t>42</w:t>
      </w:r>
      <w:r w:rsidRPr="00D73D6A">
        <w:rPr>
          <w:sz w:val="28"/>
          <w:szCs w:val="28"/>
        </w:rPr>
        <w:t>]</w:t>
      </w:r>
      <w:r w:rsidRPr="00D73D6A">
        <w:rPr>
          <w:sz w:val="28"/>
          <w:szCs w:val="28"/>
        </w:rPr>
        <w:tab/>
        <w:t>Regulation 7(</w:t>
      </w:r>
      <w:r w:rsidRPr="00D73D6A">
        <w:rPr>
          <w:i/>
          <w:sz w:val="28"/>
          <w:szCs w:val="28"/>
        </w:rPr>
        <w:t>f</w:t>
      </w:r>
      <w:r w:rsidRPr="00D73D6A">
        <w:rPr>
          <w:sz w:val="28"/>
          <w:szCs w:val="28"/>
        </w:rPr>
        <w:t xml:space="preserve">)(ii) does not avail Nedbank either. The reason for this is not far to seek. Regulation 7, as are regulations 2 to 18, is located in chapter I of the regulations. Regulation 2(2) provides, by way of a prelude to regulation 7, that when an </w:t>
      </w:r>
      <w:r w:rsidR="006F2AB8" w:rsidRPr="00D73D6A">
        <w:rPr>
          <w:sz w:val="28"/>
          <w:szCs w:val="28"/>
        </w:rPr>
        <w:t>accountable</w:t>
      </w:r>
      <w:r w:rsidRPr="00D73D6A">
        <w:rPr>
          <w:sz w:val="28"/>
          <w:szCs w:val="28"/>
        </w:rPr>
        <w:t xml:space="preserve"> institution establishes and verifies the identity of, inter alia, a legal person, </w:t>
      </w:r>
      <w:r w:rsidR="006F2AB8" w:rsidRPr="00D73D6A">
        <w:rPr>
          <w:sz w:val="28"/>
          <w:szCs w:val="28"/>
        </w:rPr>
        <w:t>such</w:t>
      </w:r>
      <w:r w:rsidRPr="00D73D6A">
        <w:rPr>
          <w:sz w:val="28"/>
          <w:szCs w:val="28"/>
        </w:rPr>
        <w:t xml:space="preserve"> institution must do so in accordance with regulations 2 to 18, whichever is of application. In this instance it is regulation 7 that would, in the normal course, have</w:t>
      </w:r>
      <w:r w:rsidR="006F2AB8" w:rsidRPr="00D73D6A">
        <w:rPr>
          <w:sz w:val="28"/>
          <w:szCs w:val="28"/>
        </w:rPr>
        <w:t xml:space="preserve"> been of</w:t>
      </w:r>
      <w:r w:rsidRPr="00D73D6A">
        <w:rPr>
          <w:sz w:val="28"/>
          <w:szCs w:val="28"/>
        </w:rPr>
        <w:t xml:space="preserve"> application. However, the introductory part of regulation 7 makes it plain that it applies only in instances where an accountable </w:t>
      </w:r>
      <w:r w:rsidR="00A2052B" w:rsidRPr="00D73D6A">
        <w:rPr>
          <w:sz w:val="28"/>
          <w:szCs w:val="28"/>
        </w:rPr>
        <w:t xml:space="preserve">institution </w:t>
      </w:r>
      <w:r w:rsidRPr="00D73D6A">
        <w:rPr>
          <w:sz w:val="28"/>
          <w:szCs w:val="28"/>
        </w:rPr>
        <w:t>is 'establishing a business relationship or concluding a single transaction'. In this case it is not in dispute that when FICA took effect on 1 February 2002, both companies had long before then established business relationships with Nedbank. Thus, regulation 7(</w:t>
      </w:r>
      <w:r w:rsidRPr="00D73D6A">
        <w:rPr>
          <w:i/>
          <w:sz w:val="28"/>
          <w:szCs w:val="28"/>
        </w:rPr>
        <w:t>f</w:t>
      </w:r>
      <w:r w:rsidRPr="00D73D6A">
        <w:rPr>
          <w:sz w:val="28"/>
          <w:szCs w:val="28"/>
        </w:rPr>
        <w:t>)(ii) finds no application where, as here, a business relationship was already in existence when FICA took effect. Moreover, in terms of s 1 of FICA a single transaction is defined as one concluded otherwise than in the course of a business relationship.</w:t>
      </w:r>
      <w:r w:rsidR="00A2052B" w:rsidRPr="00D73D6A">
        <w:rPr>
          <w:sz w:val="28"/>
          <w:szCs w:val="28"/>
        </w:rPr>
        <w:t xml:space="preserve"> Accordingly, Nedbank's reliance on regulation 7(</w:t>
      </w:r>
      <w:r w:rsidR="00A2052B" w:rsidRPr="00D73D6A">
        <w:rPr>
          <w:i/>
          <w:sz w:val="28"/>
          <w:szCs w:val="28"/>
        </w:rPr>
        <w:t>f</w:t>
      </w:r>
      <w:r w:rsidR="00A2052B" w:rsidRPr="00D73D6A">
        <w:rPr>
          <w:sz w:val="28"/>
          <w:szCs w:val="28"/>
        </w:rPr>
        <w:t xml:space="preserve">)(ii) is misplaced. </w:t>
      </w:r>
    </w:p>
    <w:p w14:paraId="704006CE" w14:textId="77777777" w:rsidR="00577041" w:rsidRPr="00D73D6A" w:rsidRDefault="00577041" w:rsidP="00577041">
      <w:pPr>
        <w:tabs>
          <w:tab w:val="left" w:pos="0"/>
          <w:tab w:val="left" w:pos="709"/>
        </w:tabs>
        <w:spacing w:line="360" w:lineRule="auto"/>
        <w:jc w:val="both"/>
        <w:rPr>
          <w:sz w:val="28"/>
          <w:szCs w:val="28"/>
        </w:rPr>
      </w:pPr>
    </w:p>
    <w:p w14:paraId="6351F1FD" w14:textId="28811229" w:rsidR="00577041" w:rsidRPr="00D73D6A" w:rsidRDefault="00577041" w:rsidP="00577041">
      <w:pPr>
        <w:tabs>
          <w:tab w:val="left" w:pos="0"/>
          <w:tab w:val="left" w:pos="709"/>
        </w:tabs>
        <w:spacing w:line="360" w:lineRule="auto"/>
        <w:jc w:val="both"/>
        <w:rPr>
          <w:sz w:val="28"/>
          <w:szCs w:val="28"/>
        </w:rPr>
      </w:pPr>
      <w:r w:rsidRPr="00D73D6A">
        <w:rPr>
          <w:sz w:val="28"/>
          <w:szCs w:val="28"/>
        </w:rPr>
        <w:t>[</w:t>
      </w:r>
      <w:r w:rsidR="00C6094A" w:rsidRPr="00D73D6A">
        <w:rPr>
          <w:sz w:val="28"/>
          <w:szCs w:val="28"/>
        </w:rPr>
        <w:t>43</w:t>
      </w:r>
      <w:r w:rsidRPr="00D73D6A">
        <w:rPr>
          <w:sz w:val="28"/>
          <w:szCs w:val="28"/>
        </w:rPr>
        <w:t>]</w:t>
      </w:r>
      <w:r w:rsidRPr="00D73D6A">
        <w:rPr>
          <w:sz w:val="28"/>
          <w:szCs w:val="28"/>
        </w:rPr>
        <w:tab/>
        <w:t>Turning to the provisions of article 2.1 of the companies' memoranda of incorporation, there was a great deal of debate before us in relation to the question whether each one of the four trusts exercised 25% voting rights in circumstances where preference shareholders are not eligible to vote. Accordingly, I consider it not only prudent but also necessary that this issue</w:t>
      </w:r>
      <w:r w:rsidR="006F2AB8" w:rsidRPr="00D73D6A">
        <w:rPr>
          <w:sz w:val="28"/>
          <w:szCs w:val="28"/>
        </w:rPr>
        <w:t>,</w:t>
      </w:r>
      <w:r w:rsidRPr="00D73D6A">
        <w:rPr>
          <w:sz w:val="28"/>
          <w:szCs w:val="28"/>
        </w:rPr>
        <w:t xml:space="preserve"> too</w:t>
      </w:r>
      <w:r w:rsidR="006F2AB8" w:rsidRPr="00D73D6A">
        <w:rPr>
          <w:sz w:val="28"/>
          <w:szCs w:val="28"/>
        </w:rPr>
        <w:t>,</w:t>
      </w:r>
      <w:r w:rsidRPr="00D73D6A">
        <w:rPr>
          <w:sz w:val="28"/>
          <w:szCs w:val="28"/>
        </w:rPr>
        <w:t xml:space="preserve"> should be addressed. </w:t>
      </w:r>
    </w:p>
    <w:p w14:paraId="59BD5924" w14:textId="77777777" w:rsidR="00577041" w:rsidRPr="00D73D6A" w:rsidRDefault="00577041" w:rsidP="00577041">
      <w:pPr>
        <w:tabs>
          <w:tab w:val="left" w:pos="0"/>
          <w:tab w:val="left" w:pos="709"/>
        </w:tabs>
        <w:spacing w:line="360" w:lineRule="auto"/>
        <w:jc w:val="both"/>
        <w:rPr>
          <w:szCs w:val="28"/>
        </w:rPr>
      </w:pPr>
    </w:p>
    <w:p w14:paraId="501198F0" w14:textId="474AB2A4" w:rsidR="00577041" w:rsidRPr="00D73D6A" w:rsidRDefault="00577041" w:rsidP="00577041">
      <w:pPr>
        <w:tabs>
          <w:tab w:val="left" w:pos="0"/>
          <w:tab w:val="left" w:pos="709"/>
        </w:tabs>
        <w:spacing w:line="360" w:lineRule="auto"/>
        <w:jc w:val="both"/>
        <w:rPr>
          <w:sz w:val="28"/>
          <w:szCs w:val="28"/>
        </w:rPr>
      </w:pPr>
      <w:r w:rsidRPr="00D73D6A">
        <w:rPr>
          <w:sz w:val="28"/>
          <w:szCs w:val="28"/>
        </w:rPr>
        <w:t>[</w:t>
      </w:r>
      <w:r w:rsidR="00C6094A" w:rsidRPr="00D73D6A">
        <w:rPr>
          <w:sz w:val="28"/>
          <w:szCs w:val="28"/>
        </w:rPr>
        <w:t>44</w:t>
      </w:r>
      <w:r w:rsidRPr="00D73D6A">
        <w:rPr>
          <w:sz w:val="28"/>
          <w:szCs w:val="28"/>
        </w:rPr>
        <w:t>]</w:t>
      </w:r>
      <w:r w:rsidRPr="00D73D6A">
        <w:rPr>
          <w:sz w:val="28"/>
          <w:szCs w:val="28"/>
        </w:rPr>
        <w:tab/>
        <w:t>Article 2.1 was reference</w:t>
      </w:r>
      <w:r w:rsidR="006F2AB8" w:rsidRPr="00D73D6A">
        <w:rPr>
          <w:sz w:val="28"/>
          <w:szCs w:val="28"/>
        </w:rPr>
        <w:t>d</w:t>
      </w:r>
      <w:r w:rsidRPr="00D73D6A">
        <w:rPr>
          <w:sz w:val="28"/>
          <w:szCs w:val="28"/>
        </w:rPr>
        <w:t xml:space="preserve"> earlier in paragraph 5 of this judgment. However, it is convenient to quote its provisions again. They read as follows:</w:t>
      </w:r>
    </w:p>
    <w:p w14:paraId="10425E27" w14:textId="2E733EC7" w:rsidR="002D434E" w:rsidRPr="00D73D6A" w:rsidRDefault="002D434E" w:rsidP="002D434E">
      <w:pPr>
        <w:tabs>
          <w:tab w:val="left" w:pos="0"/>
          <w:tab w:val="left" w:pos="709"/>
        </w:tabs>
        <w:spacing w:line="360" w:lineRule="auto"/>
        <w:jc w:val="both"/>
        <w:rPr>
          <w:szCs w:val="28"/>
        </w:rPr>
      </w:pPr>
      <w:r w:rsidRPr="00D73D6A">
        <w:rPr>
          <w:szCs w:val="28"/>
        </w:rPr>
        <w:lastRenderedPageBreak/>
        <w:t>'Shares</w:t>
      </w:r>
    </w:p>
    <w:p w14:paraId="5D22A67A" w14:textId="77777777" w:rsidR="002D434E" w:rsidRPr="00D73D6A" w:rsidRDefault="002D434E" w:rsidP="002D434E">
      <w:pPr>
        <w:tabs>
          <w:tab w:val="left" w:pos="0"/>
          <w:tab w:val="left" w:pos="709"/>
        </w:tabs>
        <w:spacing w:line="360" w:lineRule="auto"/>
        <w:jc w:val="both"/>
        <w:rPr>
          <w:szCs w:val="28"/>
        </w:rPr>
      </w:pPr>
      <w:r w:rsidRPr="00D73D6A">
        <w:rPr>
          <w:szCs w:val="28"/>
        </w:rPr>
        <w:t>(1)</w:t>
      </w:r>
      <w:r w:rsidRPr="00D73D6A">
        <w:rPr>
          <w:szCs w:val="28"/>
        </w:rPr>
        <w:tab/>
        <w:t>The company is authorised to issue no more than:</w:t>
      </w:r>
    </w:p>
    <w:p w14:paraId="15598BE3" w14:textId="77777777" w:rsidR="002D434E" w:rsidRPr="00D73D6A" w:rsidRDefault="002D434E" w:rsidP="002D434E">
      <w:pPr>
        <w:tabs>
          <w:tab w:val="left" w:pos="0"/>
          <w:tab w:val="left" w:pos="709"/>
        </w:tabs>
        <w:spacing w:line="360" w:lineRule="auto"/>
        <w:jc w:val="both"/>
        <w:rPr>
          <w:szCs w:val="28"/>
        </w:rPr>
      </w:pPr>
      <w:r w:rsidRPr="00D73D6A">
        <w:rPr>
          <w:szCs w:val="28"/>
        </w:rPr>
        <w:tab/>
        <w:t>1,800 ordinary no par value shares, each of which entitles the holder to–</w:t>
      </w:r>
    </w:p>
    <w:p w14:paraId="275836B8" w14:textId="77777777" w:rsidR="002D434E" w:rsidRPr="00D73D6A" w:rsidRDefault="002D434E" w:rsidP="002D434E">
      <w:pPr>
        <w:tabs>
          <w:tab w:val="left" w:pos="0"/>
          <w:tab w:val="left" w:pos="709"/>
        </w:tabs>
        <w:spacing w:line="360" w:lineRule="auto"/>
        <w:jc w:val="both"/>
        <w:rPr>
          <w:szCs w:val="28"/>
        </w:rPr>
      </w:pPr>
      <w:r w:rsidRPr="00D73D6A">
        <w:rPr>
          <w:szCs w:val="28"/>
        </w:rPr>
        <w:tab/>
        <w:t>. . .</w:t>
      </w:r>
    </w:p>
    <w:p w14:paraId="7E37ED9B" w14:textId="77777777" w:rsidR="002D434E" w:rsidRPr="00D73D6A" w:rsidRDefault="002D434E" w:rsidP="002D434E">
      <w:pPr>
        <w:tabs>
          <w:tab w:val="left" w:pos="0"/>
          <w:tab w:val="left" w:pos="709"/>
        </w:tabs>
        <w:spacing w:line="360" w:lineRule="auto"/>
        <w:jc w:val="both"/>
        <w:rPr>
          <w:szCs w:val="28"/>
        </w:rPr>
      </w:pPr>
      <w:r w:rsidRPr="00D73D6A">
        <w:rPr>
          <w:szCs w:val="28"/>
        </w:rPr>
        <w:tab/>
        <w:t>2,200 Preference no par value shares, each of which have the following rights–</w:t>
      </w:r>
    </w:p>
    <w:p w14:paraId="42A35F6D" w14:textId="3C8D689D" w:rsidR="002D434E" w:rsidRPr="00D73D6A" w:rsidRDefault="009D516F" w:rsidP="002D434E">
      <w:pPr>
        <w:tabs>
          <w:tab w:val="left" w:pos="0"/>
          <w:tab w:val="left" w:pos="709"/>
        </w:tabs>
        <w:spacing w:line="360" w:lineRule="auto"/>
        <w:ind w:left="705" w:hanging="705"/>
        <w:jc w:val="both"/>
        <w:rPr>
          <w:szCs w:val="28"/>
        </w:rPr>
      </w:pPr>
      <w:r w:rsidRPr="00D73D6A">
        <w:rPr>
          <w:szCs w:val="28"/>
        </w:rPr>
        <w:tab/>
      </w:r>
      <w:r w:rsidR="002D434E" w:rsidRPr="00D73D6A">
        <w:rPr>
          <w:szCs w:val="28"/>
        </w:rPr>
        <w:t>Preference Shares are entitled to, and their rights to dividends are limited to a preferred dividend of a percentage of the nominal value, which percentage will be determined by the company upon the issuing of the shares. These preference shares are non-cumulative.</w:t>
      </w:r>
    </w:p>
    <w:p w14:paraId="17F3176B" w14:textId="77777777" w:rsidR="009D516F" w:rsidRPr="00D73D6A" w:rsidRDefault="009D516F" w:rsidP="002D434E">
      <w:pPr>
        <w:tabs>
          <w:tab w:val="left" w:pos="0"/>
          <w:tab w:val="left" w:pos="709"/>
        </w:tabs>
        <w:spacing w:line="360" w:lineRule="auto"/>
        <w:ind w:left="705" w:hanging="705"/>
        <w:jc w:val="both"/>
        <w:rPr>
          <w:szCs w:val="28"/>
        </w:rPr>
      </w:pPr>
    </w:p>
    <w:p w14:paraId="1090A5DA" w14:textId="29F6A43A" w:rsidR="002D434E" w:rsidRPr="00D73D6A" w:rsidRDefault="009D516F" w:rsidP="002D434E">
      <w:pPr>
        <w:tabs>
          <w:tab w:val="left" w:pos="0"/>
          <w:tab w:val="left" w:pos="709"/>
        </w:tabs>
        <w:spacing w:line="360" w:lineRule="auto"/>
        <w:ind w:left="705" w:hanging="705"/>
        <w:jc w:val="both"/>
        <w:rPr>
          <w:szCs w:val="28"/>
        </w:rPr>
      </w:pPr>
      <w:r w:rsidRPr="00D73D6A">
        <w:rPr>
          <w:szCs w:val="28"/>
        </w:rPr>
        <w:tab/>
      </w:r>
      <w:r w:rsidR="002D434E" w:rsidRPr="00D73D6A">
        <w:rPr>
          <w:szCs w:val="28"/>
        </w:rPr>
        <w:t>The holders of preference shares shall not upon liquidation of the company be entitled to receive anything by way of distribution, with the exception of the nominal value of the shares and any unpaid dividends accruing to the shares.</w:t>
      </w:r>
    </w:p>
    <w:p w14:paraId="760708BA" w14:textId="77777777" w:rsidR="009D516F" w:rsidRPr="00D73D6A" w:rsidRDefault="009D516F" w:rsidP="002D434E">
      <w:pPr>
        <w:tabs>
          <w:tab w:val="left" w:pos="0"/>
          <w:tab w:val="left" w:pos="709"/>
        </w:tabs>
        <w:spacing w:line="360" w:lineRule="auto"/>
        <w:ind w:left="705" w:hanging="705"/>
        <w:jc w:val="both"/>
        <w:rPr>
          <w:szCs w:val="28"/>
        </w:rPr>
      </w:pPr>
    </w:p>
    <w:p w14:paraId="18375A17" w14:textId="5EAA6754" w:rsidR="002D434E" w:rsidRPr="00D73D6A" w:rsidRDefault="009D516F" w:rsidP="002D434E">
      <w:pPr>
        <w:tabs>
          <w:tab w:val="left" w:pos="0"/>
          <w:tab w:val="left" w:pos="709"/>
        </w:tabs>
        <w:spacing w:line="360" w:lineRule="auto"/>
        <w:ind w:left="705" w:hanging="705"/>
        <w:jc w:val="both"/>
        <w:rPr>
          <w:szCs w:val="28"/>
        </w:rPr>
      </w:pPr>
      <w:r w:rsidRPr="00D73D6A">
        <w:rPr>
          <w:szCs w:val="28"/>
        </w:rPr>
        <w:tab/>
      </w:r>
      <w:r w:rsidR="002D434E" w:rsidRPr="00D73D6A">
        <w:rPr>
          <w:szCs w:val="28"/>
        </w:rPr>
        <w:tab/>
        <w:t>It is expressly determined that the rights and conditions of the preference shares are not subject to amendments by the company.</w:t>
      </w:r>
    </w:p>
    <w:p w14:paraId="4A4AE1E0" w14:textId="77777777" w:rsidR="009D516F" w:rsidRPr="00D73D6A" w:rsidRDefault="009D516F" w:rsidP="002D434E">
      <w:pPr>
        <w:tabs>
          <w:tab w:val="left" w:pos="0"/>
          <w:tab w:val="left" w:pos="709"/>
        </w:tabs>
        <w:spacing w:line="360" w:lineRule="auto"/>
        <w:ind w:left="705" w:hanging="705"/>
        <w:jc w:val="both"/>
        <w:rPr>
          <w:szCs w:val="28"/>
        </w:rPr>
      </w:pPr>
    </w:p>
    <w:p w14:paraId="1E87D92F" w14:textId="585FF2CF" w:rsidR="002D434E" w:rsidRPr="00D73D6A" w:rsidRDefault="009D516F" w:rsidP="002D434E">
      <w:pPr>
        <w:tabs>
          <w:tab w:val="left" w:pos="0"/>
          <w:tab w:val="left" w:pos="709"/>
        </w:tabs>
        <w:spacing w:line="360" w:lineRule="auto"/>
        <w:ind w:left="705" w:hanging="705"/>
        <w:jc w:val="both"/>
        <w:rPr>
          <w:szCs w:val="28"/>
        </w:rPr>
      </w:pPr>
      <w:r w:rsidRPr="00D73D6A">
        <w:rPr>
          <w:szCs w:val="28"/>
        </w:rPr>
        <w:tab/>
      </w:r>
      <w:r w:rsidR="002D434E" w:rsidRPr="00D73D6A">
        <w:rPr>
          <w:szCs w:val="28"/>
        </w:rPr>
        <w:tab/>
        <w:t>The holders of preference shares will not be entitled to cast their vote when voted upon for a resolution that may have the result that a determination is made concerning the property of the company for their own benefit or for the benefit of their estates. Without derogating from the generality of the aforegoing, they are specifically not entitled or authorized to vote for a resolution that may have the effect of:</w:t>
      </w:r>
    </w:p>
    <w:p w14:paraId="73F2DE04" w14:textId="77777777" w:rsidR="009D516F" w:rsidRPr="00D73D6A" w:rsidRDefault="009D516F" w:rsidP="002D434E">
      <w:pPr>
        <w:tabs>
          <w:tab w:val="left" w:pos="0"/>
          <w:tab w:val="left" w:pos="709"/>
        </w:tabs>
        <w:spacing w:line="360" w:lineRule="auto"/>
        <w:ind w:left="705" w:hanging="705"/>
        <w:jc w:val="both"/>
        <w:rPr>
          <w:szCs w:val="28"/>
        </w:rPr>
      </w:pPr>
    </w:p>
    <w:p w14:paraId="5CA395B9" w14:textId="6B5A9942" w:rsidR="002D434E" w:rsidRPr="00D73D6A" w:rsidRDefault="009D516F" w:rsidP="002D434E">
      <w:pPr>
        <w:tabs>
          <w:tab w:val="left" w:pos="0"/>
          <w:tab w:val="left" w:pos="709"/>
        </w:tabs>
        <w:spacing w:line="360" w:lineRule="auto"/>
        <w:ind w:left="705" w:hanging="705"/>
        <w:jc w:val="both"/>
        <w:rPr>
          <w:szCs w:val="28"/>
        </w:rPr>
      </w:pPr>
      <w:r w:rsidRPr="00D73D6A">
        <w:rPr>
          <w:szCs w:val="28"/>
        </w:rPr>
        <w:tab/>
      </w:r>
      <w:r w:rsidR="002D434E" w:rsidRPr="00D73D6A">
        <w:rPr>
          <w:szCs w:val="28"/>
        </w:rPr>
        <w:tab/>
        <w:t>Accruing any of the property of the company for themselves or dispose thereof as they deem fit.</w:t>
      </w:r>
    </w:p>
    <w:p w14:paraId="0DB67151" w14:textId="77777777" w:rsidR="009D516F" w:rsidRPr="00D73D6A" w:rsidRDefault="009D516F" w:rsidP="002D434E">
      <w:pPr>
        <w:tabs>
          <w:tab w:val="left" w:pos="0"/>
          <w:tab w:val="left" w:pos="709"/>
        </w:tabs>
        <w:spacing w:line="360" w:lineRule="auto"/>
        <w:ind w:left="705" w:hanging="705"/>
        <w:jc w:val="both"/>
        <w:rPr>
          <w:szCs w:val="28"/>
        </w:rPr>
      </w:pPr>
    </w:p>
    <w:p w14:paraId="0AB3B626" w14:textId="6606F936" w:rsidR="002D434E" w:rsidRPr="00D73D6A" w:rsidRDefault="009D516F" w:rsidP="002D434E">
      <w:pPr>
        <w:tabs>
          <w:tab w:val="left" w:pos="0"/>
          <w:tab w:val="left" w:pos="709"/>
        </w:tabs>
        <w:spacing w:line="360" w:lineRule="auto"/>
        <w:ind w:left="705" w:hanging="705"/>
        <w:jc w:val="both"/>
        <w:rPr>
          <w:szCs w:val="28"/>
        </w:rPr>
      </w:pPr>
      <w:r w:rsidRPr="00D73D6A">
        <w:rPr>
          <w:szCs w:val="28"/>
        </w:rPr>
        <w:tab/>
      </w:r>
      <w:r w:rsidR="002D434E" w:rsidRPr="00D73D6A">
        <w:rPr>
          <w:szCs w:val="28"/>
        </w:rPr>
        <w:tab/>
        <w:t xml:space="preserve">The amendment or cancellation of any rights relating to any class of shares, including the authority to redeem preference shares, if they by the exercise of such authority award to themselves any benefit in respect of the assets or profits of the company. </w:t>
      </w:r>
    </w:p>
    <w:p w14:paraId="349377FE" w14:textId="77777777" w:rsidR="009D516F" w:rsidRPr="00D73D6A" w:rsidRDefault="009D516F" w:rsidP="002D434E">
      <w:pPr>
        <w:tabs>
          <w:tab w:val="left" w:pos="0"/>
          <w:tab w:val="left" w:pos="709"/>
        </w:tabs>
        <w:spacing w:line="360" w:lineRule="auto"/>
        <w:ind w:left="705" w:hanging="705"/>
        <w:jc w:val="both"/>
        <w:rPr>
          <w:szCs w:val="28"/>
        </w:rPr>
      </w:pPr>
    </w:p>
    <w:p w14:paraId="42E3B1AF" w14:textId="76DC2A26" w:rsidR="00550000" w:rsidRPr="00D73D6A" w:rsidRDefault="009D516F" w:rsidP="002D434E">
      <w:pPr>
        <w:tabs>
          <w:tab w:val="left" w:pos="0"/>
          <w:tab w:val="left" w:pos="709"/>
        </w:tabs>
        <w:spacing w:line="360" w:lineRule="auto"/>
        <w:ind w:left="705" w:hanging="705"/>
        <w:jc w:val="both"/>
        <w:rPr>
          <w:szCs w:val="28"/>
        </w:rPr>
      </w:pPr>
      <w:r w:rsidRPr="00D73D6A">
        <w:rPr>
          <w:szCs w:val="28"/>
        </w:rPr>
        <w:lastRenderedPageBreak/>
        <w:tab/>
      </w:r>
      <w:r w:rsidR="002D434E" w:rsidRPr="00D73D6A">
        <w:rPr>
          <w:szCs w:val="28"/>
        </w:rPr>
        <w:tab/>
        <w:t>The provisions of this paragraph shall not have the effect of excluding the right of the preference shareholders to vote on any resolution relating to the compensation of directors or other matters within the normal scope of the powers of the company.'</w:t>
      </w:r>
    </w:p>
    <w:p w14:paraId="22EF0353" w14:textId="77777777" w:rsidR="00C16FC4" w:rsidRPr="00D73D6A" w:rsidRDefault="00C16FC4" w:rsidP="002D434E">
      <w:pPr>
        <w:tabs>
          <w:tab w:val="left" w:pos="0"/>
          <w:tab w:val="left" w:pos="709"/>
        </w:tabs>
        <w:spacing w:line="360" w:lineRule="auto"/>
        <w:ind w:left="705" w:hanging="705"/>
        <w:jc w:val="both"/>
        <w:rPr>
          <w:szCs w:val="28"/>
        </w:rPr>
      </w:pPr>
    </w:p>
    <w:p w14:paraId="342469A1" w14:textId="75EA1366" w:rsidR="00550000" w:rsidRPr="00D73D6A" w:rsidRDefault="00550000" w:rsidP="0096006E">
      <w:pPr>
        <w:tabs>
          <w:tab w:val="left" w:pos="0"/>
          <w:tab w:val="left" w:pos="709"/>
        </w:tabs>
        <w:spacing w:line="360" w:lineRule="auto"/>
        <w:jc w:val="both"/>
        <w:rPr>
          <w:sz w:val="28"/>
          <w:szCs w:val="28"/>
        </w:rPr>
      </w:pPr>
      <w:r w:rsidRPr="00D73D6A">
        <w:rPr>
          <w:sz w:val="28"/>
          <w:szCs w:val="28"/>
        </w:rPr>
        <w:t>[</w:t>
      </w:r>
      <w:r w:rsidR="00C6094A" w:rsidRPr="00D73D6A">
        <w:rPr>
          <w:sz w:val="28"/>
          <w:szCs w:val="28"/>
        </w:rPr>
        <w:t>45</w:t>
      </w:r>
      <w:r w:rsidRPr="00D73D6A">
        <w:rPr>
          <w:sz w:val="28"/>
          <w:szCs w:val="28"/>
        </w:rPr>
        <w:t>]</w:t>
      </w:r>
      <w:r w:rsidRPr="00D73D6A">
        <w:rPr>
          <w:sz w:val="28"/>
          <w:szCs w:val="28"/>
        </w:rPr>
        <w:tab/>
        <w:t xml:space="preserve">The last sub-paragraph of article 2.1 quoted in the </w:t>
      </w:r>
      <w:r w:rsidR="00D15CFA" w:rsidRPr="00D73D6A">
        <w:rPr>
          <w:sz w:val="28"/>
          <w:szCs w:val="28"/>
        </w:rPr>
        <w:t>preceding</w:t>
      </w:r>
      <w:r w:rsidRPr="00D73D6A">
        <w:rPr>
          <w:sz w:val="28"/>
          <w:szCs w:val="28"/>
        </w:rPr>
        <w:t xml:space="preserve"> </w:t>
      </w:r>
      <w:r w:rsidR="00D15CFA" w:rsidRPr="00D73D6A">
        <w:rPr>
          <w:sz w:val="28"/>
          <w:szCs w:val="28"/>
        </w:rPr>
        <w:t>paragraph</w:t>
      </w:r>
      <w:r w:rsidRPr="00D73D6A">
        <w:rPr>
          <w:sz w:val="28"/>
          <w:szCs w:val="28"/>
        </w:rPr>
        <w:t xml:space="preserve"> is instructive. It provides that the provisions of this paragraph (ie paragraph 2.1) '</w:t>
      </w:r>
      <w:r w:rsidR="009226CA" w:rsidRPr="00D73D6A">
        <w:rPr>
          <w:sz w:val="28"/>
          <w:szCs w:val="28"/>
        </w:rPr>
        <w:t xml:space="preserve">. . . </w:t>
      </w:r>
      <w:r w:rsidRPr="00D73D6A">
        <w:rPr>
          <w:sz w:val="28"/>
          <w:szCs w:val="28"/>
        </w:rPr>
        <w:t>shall not have the effect of excluding the right of the prefere</w:t>
      </w:r>
      <w:r w:rsidR="007E32E7" w:rsidRPr="00D73D6A">
        <w:rPr>
          <w:sz w:val="28"/>
          <w:szCs w:val="28"/>
        </w:rPr>
        <w:t>n</w:t>
      </w:r>
      <w:r w:rsidRPr="00D73D6A">
        <w:rPr>
          <w:sz w:val="28"/>
          <w:szCs w:val="28"/>
        </w:rPr>
        <w:t>ce shareholders to vote on any . . . or other matters within the normal scope of the powers of the company</w:t>
      </w:r>
      <w:r w:rsidR="007E32E7" w:rsidRPr="00D73D6A">
        <w:rPr>
          <w:sz w:val="28"/>
          <w:szCs w:val="28"/>
        </w:rPr>
        <w:t>'</w:t>
      </w:r>
      <w:r w:rsidRPr="00D73D6A">
        <w:rPr>
          <w:sz w:val="28"/>
          <w:szCs w:val="28"/>
        </w:rPr>
        <w:t>.</w:t>
      </w:r>
      <w:r w:rsidR="00D15CFA" w:rsidRPr="00D73D6A">
        <w:rPr>
          <w:sz w:val="28"/>
          <w:szCs w:val="28"/>
        </w:rPr>
        <w:t xml:space="preserve"> This is important. To my mind this can only mean one thing, namely that preference shareholders have every right to vote at general meetings of the companies concerned – just like ordinary shareholders – on any matters within the normal scope of the powers of Houtbosplaas and TBS Alpha.</w:t>
      </w:r>
      <w:r w:rsidR="00B0292C" w:rsidRPr="00D73D6A">
        <w:rPr>
          <w:sz w:val="28"/>
          <w:szCs w:val="28"/>
        </w:rPr>
        <w:t xml:space="preserve"> And, in the context of the facts of this case, one of the normal scope of the powers of Houtbosplaas and TBS Alpha was to establish a business relationship or conclude a single transaction with an accountable institution, ie Nedbank. In the ordinary course, such a business relationship would entail opening, conducting and closing a bank account. </w:t>
      </w:r>
      <w:r w:rsidR="00534E8A" w:rsidRPr="00D73D6A">
        <w:rPr>
          <w:sz w:val="28"/>
          <w:szCs w:val="28"/>
        </w:rPr>
        <w:t xml:space="preserve">It is common cause between the protagonists that Houtbosplaas and TBS Alpha </w:t>
      </w:r>
      <w:r w:rsidR="00C20DC0" w:rsidRPr="00D73D6A">
        <w:rPr>
          <w:sz w:val="28"/>
          <w:szCs w:val="28"/>
        </w:rPr>
        <w:t xml:space="preserve">had more than three decades ago both opened and conducted business accounts with Nedbank long before the enactment of FICA. When a dispute between the disputants arose, resulting in an impasse, the companies' representative wrote to Nedbank on 20 January 2017 summarily terminating the business relationship. </w:t>
      </w:r>
      <w:r w:rsidR="007E578E" w:rsidRPr="00D73D6A">
        <w:rPr>
          <w:sz w:val="28"/>
          <w:szCs w:val="28"/>
        </w:rPr>
        <w:t>As already mentioned above, Nedbank was requested to immediately close the accounts and transfer the amounts held in those accounts to ABSA Bank. Again, there is no dis</w:t>
      </w:r>
      <w:r w:rsidR="008D0748" w:rsidRPr="00D73D6A">
        <w:rPr>
          <w:sz w:val="28"/>
          <w:szCs w:val="28"/>
        </w:rPr>
        <w:t>p</w:t>
      </w:r>
      <w:r w:rsidR="007E578E" w:rsidRPr="00D73D6A">
        <w:rPr>
          <w:sz w:val="28"/>
          <w:szCs w:val="28"/>
        </w:rPr>
        <w:t xml:space="preserve">ute that Nedbank gave effect to those instructions only on 20 July 2017, after some five months of having been instructed to do so. </w:t>
      </w:r>
    </w:p>
    <w:p w14:paraId="01F30EF1" w14:textId="77777777" w:rsidR="007E578E" w:rsidRPr="00D73D6A" w:rsidRDefault="007E578E" w:rsidP="0096006E">
      <w:pPr>
        <w:tabs>
          <w:tab w:val="left" w:pos="0"/>
          <w:tab w:val="left" w:pos="709"/>
        </w:tabs>
        <w:spacing w:line="360" w:lineRule="auto"/>
        <w:jc w:val="both"/>
        <w:rPr>
          <w:sz w:val="28"/>
          <w:szCs w:val="28"/>
        </w:rPr>
      </w:pPr>
    </w:p>
    <w:p w14:paraId="6490E1A1" w14:textId="36E0FE4C" w:rsidR="007E578E" w:rsidRPr="00D73D6A" w:rsidRDefault="007E578E" w:rsidP="0096006E">
      <w:pPr>
        <w:tabs>
          <w:tab w:val="left" w:pos="0"/>
          <w:tab w:val="left" w:pos="709"/>
        </w:tabs>
        <w:spacing w:line="360" w:lineRule="auto"/>
        <w:jc w:val="both"/>
        <w:rPr>
          <w:sz w:val="28"/>
          <w:szCs w:val="28"/>
        </w:rPr>
      </w:pPr>
      <w:r w:rsidRPr="00D73D6A">
        <w:rPr>
          <w:sz w:val="28"/>
          <w:szCs w:val="28"/>
        </w:rPr>
        <w:lastRenderedPageBreak/>
        <w:t>[</w:t>
      </w:r>
      <w:r w:rsidR="00C6094A" w:rsidRPr="00D73D6A">
        <w:rPr>
          <w:sz w:val="28"/>
          <w:szCs w:val="28"/>
        </w:rPr>
        <w:t>46</w:t>
      </w:r>
      <w:r w:rsidRPr="00D73D6A">
        <w:rPr>
          <w:sz w:val="28"/>
          <w:szCs w:val="28"/>
        </w:rPr>
        <w:t>]</w:t>
      </w:r>
      <w:r w:rsidRPr="00D73D6A">
        <w:rPr>
          <w:sz w:val="28"/>
          <w:szCs w:val="28"/>
        </w:rPr>
        <w:tab/>
      </w:r>
      <w:r w:rsidR="008D0748" w:rsidRPr="00D73D6A">
        <w:rPr>
          <w:sz w:val="28"/>
          <w:szCs w:val="28"/>
        </w:rPr>
        <w:t>Before</w:t>
      </w:r>
      <w:r w:rsidRPr="00D73D6A">
        <w:rPr>
          <w:sz w:val="28"/>
          <w:szCs w:val="28"/>
        </w:rPr>
        <w:t xml:space="preserve"> us, counsel for Nedbank sought to overcome the obstacles on his path and was thus driven to contend that </w:t>
      </w:r>
      <w:r w:rsidR="00A2052B" w:rsidRPr="00D73D6A">
        <w:rPr>
          <w:sz w:val="28"/>
          <w:szCs w:val="28"/>
        </w:rPr>
        <w:t xml:space="preserve">article </w:t>
      </w:r>
      <w:r w:rsidRPr="00D73D6A">
        <w:rPr>
          <w:sz w:val="28"/>
          <w:szCs w:val="28"/>
        </w:rPr>
        <w:t xml:space="preserve">2.1 of the memoranda of incorporation should be interpreted expansively. In elaboration, counsel submitted that having regard to the laudable objectives of FICA, a broader approach in the interpretive exercise was to be preferred over a </w:t>
      </w:r>
      <w:r w:rsidR="008D0748" w:rsidRPr="00D73D6A">
        <w:rPr>
          <w:sz w:val="28"/>
          <w:szCs w:val="28"/>
        </w:rPr>
        <w:t>restrictive</w:t>
      </w:r>
      <w:r w:rsidRPr="00D73D6A">
        <w:rPr>
          <w:sz w:val="28"/>
          <w:szCs w:val="28"/>
        </w:rPr>
        <w:t xml:space="preserve"> one in order to give effect to and promote FICA's objectives. The foundation for counsel's proposition was that the fact that in few instances the trusts would exercise 25% voting rights overall sufficed. Accordingly, so the argument went, the fact that in innumerable other instances this would not be the case and that the trusts would </w:t>
      </w:r>
      <w:r w:rsidR="002D2CD3" w:rsidRPr="00D73D6A">
        <w:rPr>
          <w:sz w:val="28"/>
          <w:szCs w:val="28"/>
        </w:rPr>
        <w:t>exercise</w:t>
      </w:r>
      <w:r w:rsidRPr="00D73D6A">
        <w:rPr>
          <w:sz w:val="28"/>
          <w:szCs w:val="28"/>
        </w:rPr>
        <w:t xml:space="preserve"> less than 25% voting rights was of no consequence. </w:t>
      </w:r>
    </w:p>
    <w:p w14:paraId="1CAAB170" w14:textId="77777777" w:rsidR="007E578E" w:rsidRPr="00D73D6A" w:rsidRDefault="007E578E" w:rsidP="0096006E">
      <w:pPr>
        <w:tabs>
          <w:tab w:val="left" w:pos="0"/>
          <w:tab w:val="left" w:pos="709"/>
        </w:tabs>
        <w:spacing w:line="360" w:lineRule="auto"/>
        <w:jc w:val="both"/>
        <w:rPr>
          <w:sz w:val="28"/>
          <w:szCs w:val="28"/>
        </w:rPr>
      </w:pPr>
    </w:p>
    <w:p w14:paraId="2991B613" w14:textId="3DBDA041" w:rsidR="002D434E" w:rsidRPr="00D73D6A" w:rsidRDefault="007E578E" w:rsidP="0096006E">
      <w:pPr>
        <w:tabs>
          <w:tab w:val="left" w:pos="0"/>
          <w:tab w:val="left" w:pos="709"/>
        </w:tabs>
        <w:spacing w:line="360" w:lineRule="auto"/>
        <w:jc w:val="both"/>
        <w:rPr>
          <w:sz w:val="28"/>
          <w:szCs w:val="28"/>
        </w:rPr>
      </w:pPr>
      <w:r w:rsidRPr="00D73D6A">
        <w:rPr>
          <w:sz w:val="28"/>
          <w:szCs w:val="28"/>
        </w:rPr>
        <w:t>[</w:t>
      </w:r>
      <w:r w:rsidR="00C6094A" w:rsidRPr="00D73D6A">
        <w:rPr>
          <w:sz w:val="28"/>
          <w:szCs w:val="28"/>
        </w:rPr>
        <w:t>47</w:t>
      </w:r>
      <w:r w:rsidRPr="00D73D6A">
        <w:rPr>
          <w:sz w:val="28"/>
          <w:szCs w:val="28"/>
        </w:rPr>
        <w:t>]</w:t>
      </w:r>
      <w:r w:rsidRPr="00D73D6A">
        <w:rPr>
          <w:sz w:val="28"/>
          <w:szCs w:val="28"/>
        </w:rPr>
        <w:tab/>
      </w:r>
      <w:r w:rsidR="005652A3" w:rsidRPr="00D73D6A">
        <w:rPr>
          <w:sz w:val="28"/>
          <w:szCs w:val="28"/>
        </w:rPr>
        <w:t xml:space="preserve">Counsel's </w:t>
      </w:r>
      <w:r w:rsidR="00316861" w:rsidRPr="00D73D6A">
        <w:rPr>
          <w:sz w:val="28"/>
          <w:szCs w:val="28"/>
        </w:rPr>
        <w:t>argument</w:t>
      </w:r>
      <w:r w:rsidR="005652A3" w:rsidRPr="00D73D6A">
        <w:rPr>
          <w:sz w:val="28"/>
          <w:szCs w:val="28"/>
        </w:rPr>
        <w:t xml:space="preserve"> cannot be sustained. </w:t>
      </w:r>
      <w:r w:rsidR="00316861" w:rsidRPr="00D73D6A">
        <w:rPr>
          <w:sz w:val="28"/>
          <w:szCs w:val="28"/>
        </w:rPr>
        <w:t xml:space="preserve">The answer to counsel's contentions is to be found in the terms of </w:t>
      </w:r>
      <w:r w:rsidR="00A2052B" w:rsidRPr="00D73D6A">
        <w:rPr>
          <w:sz w:val="28"/>
          <w:szCs w:val="28"/>
        </w:rPr>
        <w:t xml:space="preserve">the last sub-paragraph of article </w:t>
      </w:r>
      <w:r w:rsidR="00316861" w:rsidRPr="00D73D6A">
        <w:rPr>
          <w:sz w:val="28"/>
          <w:szCs w:val="28"/>
        </w:rPr>
        <w:t xml:space="preserve">2.1 of the memoranda of incorporation itself. The truth of the matter is that one is here, in essence, dealing with a question of interpretation, namely the proper </w:t>
      </w:r>
      <w:r w:rsidR="008D0748" w:rsidRPr="00D73D6A">
        <w:rPr>
          <w:sz w:val="28"/>
          <w:szCs w:val="28"/>
        </w:rPr>
        <w:t>meaning</w:t>
      </w:r>
      <w:r w:rsidR="00316861" w:rsidRPr="00D73D6A">
        <w:rPr>
          <w:sz w:val="28"/>
          <w:szCs w:val="28"/>
        </w:rPr>
        <w:t xml:space="preserve"> to be ascribed to the </w:t>
      </w:r>
      <w:r w:rsidR="008D0748" w:rsidRPr="00D73D6A">
        <w:rPr>
          <w:sz w:val="28"/>
          <w:szCs w:val="28"/>
        </w:rPr>
        <w:t xml:space="preserve">words contained in the concluding sub-paragraph </w:t>
      </w:r>
      <w:r w:rsidR="00316861" w:rsidRPr="00D73D6A">
        <w:rPr>
          <w:sz w:val="28"/>
          <w:szCs w:val="28"/>
        </w:rPr>
        <w:t xml:space="preserve">of article 2.1. In my view, the </w:t>
      </w:r>
      <w:r w:rsidR="008D0748" w:rsidRPr="00D73D6A">
        <w:rPr>
          <w:sz w:val="28"/>
          <w:szCs w:val="28"/>
        </w:rPr>
        <w:t>provisions</w:t>
      </w:r>
      <w:r w:rsidR="00316861" w:rsidRPr="00D73D6A">
        <w:rPr>
          <w:sz w:val="28"/>
          <w:szCs w:val="28"/>
        </w:rPr>
        <w:t xml:space="preserve"> of the relevant sub-paragraph are clear and </w:t>
      </w:r>
      <w:r w:rsidR="008D0748" w:rsidRPr="00D73D6A">
        <w:rPr>
          <w:sz w:val="28"/>
          <w:szCs w:val="28"/>
        </w:rPr>
        <w:t>unambiguous</w:t>
      </w:r>
      <w:r w:rsidR="00316861" w:rsidRPr="00D73D6A">
        <w:rPr>
          <w:sz w:val="28"/>
          <w:szCs w:val="28"/>
        </w:rPr>
        <w:t xml:space="preserve">. They enjoin us to </w:t>
      </w:r>
      <w:r w:rsidR="008D0748" w:rsidRPr="00D73D6A">
        <w:rPr>
          <w:sz w:val="28"/>
          <w:szCs w:val="28"/>
        </w:rPr>
        <w:t>give</w:t>
      </w:r>
      <w:r w:rsidR="00316861" w:rsidRPr="00D73D6A">
        <w:rPr>
          <w:sz w:val="28"/>
          <w:szCs w:val="28"/>
        </w:rPr>
        <w:t xml:space="preserve"> effect to what they explicitly say, that is</w:t>
      </w:r>
      <w:r w:rsidR="002D434E" w:rsidRPr="00D73D6A">
        <w:rPr>
          <w:sz w:val="28"/>
          <w:szCs w:val="28"/>
        </w:rPr>
        <w:t>:</w:t>
      </w:r>
      <w:r w:rsidR="00316861" w:rsidRPr="00D73D6A">
        <w:rPr>
          <w:sz w:val="28"/>
          <w:szCs w:val="28"/>
        </w:rPr>
        <w:t xml:space="preserve"> </w:t>
      </w:r>
      <w:r w:rsidR="002D434E" w:rsidRPr="00D73D6A">
        <w:rPr>
          <w:szCs w:val="28"/>
        </w:rPr>
        <w:t>'The provisions of this paragraph [</w:t>
      </w:r>
      <w:r w:rsidR="00A2052B" w:rsidRPr="00D73D6A">
        <w:rPr>
          <w:szCs w:val="28"/>
        </w:rPr>
        <w:t xml:space="preserve">ie </w:t>
      </w:r>
      <w:r w:rsidR="002D434E" w:rsidRPr="00D73D6A">
        <w:rPr>
          <w:szCs w:val="28"/>
        </w:rPr>
        <w:t>2.</w:t>
      </w:r>
      <w:r w:rsidR="00A2052B" w:rsidRPr="00D73D6A">
        <w:rPr>
          <w:szCs w:val="28"/>
        </w:rPr>
        <w:t>1</w:t>
      </w:r>
      <w:r w:rsidR="002D434E" w:rsidRPr="00D73D6A">
        <w:rPr>
          <w:szCs w:val="28"/>
        </w:rPr>
        <w:t xml:space="preserve">] shall not have the effect of excluding the right of the preference shareholders to vote on. . . </w:t>
      </w:r>
      <w:r w:rsidR="002D434E" w:rsidRPr="00D73D6A">
        <w:rPr>
          <w:i/>
          <w:szCs w:val="28"/>
        </w:rPr>
        <w:t>matters within the normal scope of the powers of the company</w:t>
      </w:r>
      <w:r w:rsidR="002D434E" w:rsidRPr="00D73D6A">
        <w:rPr>
          <w:szCs w:val="28"/>
        </w:rPr>
        <w:t xml:space="preserve">.' </w:t>
      </w:r>
      <w:r w:rsidR="002D434E" w:rsidRPr="00D73D6A">
        <w:t>(Emphasis added.)</w:t>
      </w:r>
      <w:r w:rsidR="00316861" w:rsidRPr="00D73D6A">
        <w:rPr>
          <w:sz w:val="28"/>
          <w:szCs w:val="28"/>
        </w:rPr>
        <w:t xml:space="preserve"> </w:t>
      </w:r>
    </w:p>
    <w:p w14:paraId="5B65CA70" w14:textId="27D2A84A" w:rsidR="007E578E" w:rsidRPr="00D73D6A" w:rsidRDefault="00316861" w:rsidP="0096006E">
      <w:pPr>
        <w:tabs>
          <w:tab w:val="left" w:pos="0"/>
          <w:tab w:val="left" w:pos="709"/>
        </w:tabs>
        <w:spacing w:line="360" w:lineRule="auto"/>
        <w:jc w:val="both"/>
        <w:rPr>
          <w:sz w:val="28"/>
          <w:szCs w:val="28"/>
        </w:rPr>
      </w:pPr>
      <w:r w:rsidRPr="00D73D6A">
        <w:rPr>
          <w:sz w:val="28"/>
          <w:szCs w:val="28"/>
        </w:rPr>
        <w:t xml:space="preserve">Thus, to construe them as counsel for Nedbank would have it, would subvert the well-established tenets of interpretation of </w:t>
      </w:r>
      <w:r w:rsidR="002D434E" w:rsidRPr="00D73D6A">
        <w:rPr>
          <w:sz w:val="28"/>
          <w:szCs w:val="28"/>
        </w:rPr>
        <w:t>documents</w:t>
      </w:r>
      <w:r w:rsidRPr="00D73D6A">
        <w:rPr>
          <w:sz w:val="28"/>
          <w:szCs w:val="28"/>
        </w:rPr>
        <w:t xml:space="preserve"> and undermine the underlying purpose that the relevant sub-</w:t>
      </w:r>
      <w:r w:rsidR="002D434E" w:rsidRPr="00D73D6A">
        <w:rPr>
          <w:sz w:val="28"/>
          <w:szCs w:val="28"/>
        </w:rPr>
        <w:t>paragraph</w:t>
      </w:r>
      <w:r w:rsidRPr="00D73D6A">
        <w:rPr>
          <w:sz w:val="28"/>
          <w:szCs w:val="28"/>
        </w:rPr>
        <w:t xml:space="preserve"> </w:t>
      </w:r>
      <w:r w:rsidR="00AC0C4C" w:rsidRPr="00D73D6A">
        <w:rPr>
          <w:sz w:val="28"/>
          <w:szCs w:val="28"/>
        </w:rPr>
        <w:t xml:space="preserve">– in the light of its text and context – was designed to serve. And as Wallis JA pertinently observed in </w:t>
      </w:r>
      <w:r w:rsidR="00AC0C4C" w:rsidRPr="00D73D6A">
        <w:rPr>
          <w:i/>
          <w:sz w:val="28"/>
          <w:szCs w:val="28"/>
        </w:rPr>
        <w:t xml:space="preserve">Commissioner for </w:t>
      </w:r>
      <w:r w:rsidR="00617684" w:rsidRPr="00D73D6A">
        <w:rPr>
          <w:i/>
          <w:sz w:val="28"/>
          <w:szCs w:val="28"/>
        </w:rPr>
        <w:t>the</w:t>
      </w:r>
      <w:r w:rsidR="00617684" w:rsidRPr="00D73D6A">
        <w:rPr>
          <w:sz w:val="28"/>
          <w:szCs w:val="28"/>
        </w:rPr>
        <w:t xml:space="preserve"> </w:t>
      </w:r>
      <w:r w:rsidR="00617684" w:rsidRPr="00D73D6A">
        <w:rPr>
          <w:i/>
          <w:sz w:val="28"/>
          <w:szCs w:val="28"/>
        </w:rPr>
        <w:t>South African Revenue Service</w:t>
      </w:r>
      <w:r w:rsidR="00AC0C4C" w:rsidRPr="00D73D6A">
        <w:rPr>
          <w:i/>
          <w:sz w:val="28"/>
          <w:szCs w:val="28"/>
        </w:rPr>
        <w:t xml:space="preserve"> v United Manganese of </w:t>
      </w:r>
      <w:r w:rsidR="00AC0C4C" w:rsidRPr="00D73D6A">
        <w:rPr>
          <w:i/>
          <w:sz w:val="28"/>
          <w:szCs w:val="28"/>
        </w:rPr>
        <w:lastRenderedPageBreak/>
        <w:t xml:space="preserve">Kalahari </w:t>
      </w:r>
      <w:r w:rsidR="00617684" w:rsidRPr="00D73D6A">
        <w:rPr>
          <w:i/>
          <w:sz w:val="28"/>
          <w:szCs w:val="28"/>
        </w:rPr>
        <w:t>(Pty) Ltd</w:t>
      </w:r>
      <w:r w:rsidR="00AC0C4C" w:rsidRPr="00D73D6A">
        <w:rPr>
          <w:rStyle w:val="FootnoteReference"/>
          <w:sz w:val="28"/>
          <w:szCs w:val="28"/>
        </w:rPr>
        <w:footnoteReference w:id="25"/>
      </w:r>
      <w:r w:rsidR="00AC0C4C" w:rsidRPr="00D73D6A">
        <w:rPr>
          <w:sz w:val="28"/>
          <w:szCs w:val="28"/>
        </w:rPr>
        <w:t xml:space="preserve"> '</w:t>
      </w:r>
      <w:r w:rsidR="00533A6F" w:rsidRPr="00D73D6A">
        <w:rPr>
          <w:sz w:val="28"/>
          <w:szCs w:val="28"/>
        </w:rPr>
        <w:t xml:space="preserve">. . . </w:t>
      </w:r>
      <w:r w:rsidR="00AC0C4C" w:rsidRPr="00D73D6A">
        <w:rPr>
          <w:sz w:val="28"/>
          <w:szCs w:val="28"/>
        </w:rPr>
        <w:t xml:space="preserve">context is as important in construing statutes as </w:t>
      </w:r>
      <w:r w:rsidR="00AE71C5" w:rsidRPr="00D73D6A">
        <w:rPr>
          <w:sz w:val="28"/>
          <w:szCs w:val="28"/>
        </w:rPr>
        <w:t>it is in construing contracts o</w:t>
      </w:r>
      <w:r w:rsidR="00AC0C4C" w:rsidRPr="00D73D6A">
        <w:rPr>
          <w:sz w:val="28"/>
          <w:szCs w:val="28"/>
        </w:rPr>
        <w:t>r other documents . . .</w:t>
      </w:r>
      <w:r w:rsidR="00533A6F" w:rsidRPr="00D73D6A">
        <w:rPr>
          <w:sz w:val="28"/>
          <w:szCs w:val="28"/>
        </w:rPr>
        <w:t xml:space="preserve"> .</w:t>
      </w:r>
      <w:r w:rsidR="00AC0C4C" w:rsidRPr="00D73D6A">
        <w:rPr>
          <w:sz w:val="28"/>
          <w:szCs w:val="28"/>
        </w:rPr>
        <w:t>'</w:t>
      </w:r>
    </w:p>
    <w:p w14:paraId="6D589A31" w14:textId="77777777" w:rsidR="00AE71C5" w:rsidRPr="00D73D6A" w:rsidRDefault="00AE71C5" w:rsidP="0096006E">
      <w:pPr>
        <w:tabs>
          <w:tab w:val="left" w:pos="0"/>
          <w:tab w:val="left" w:pos="709"/>
        </w:tabs>
        <w:spacing w:line="360" w:lineRule="auto"/>
        <w:jc w:val="both"/>
        <w:rPr>
          <w:sz w:val="28"/>
          <w:szCs w:val="28"/>
        </w:rPr>
      </w:pPr>
    </w:p>
    <w:p w14:paraId="7B2030F9" w14:textId="263E2920" w:rsidR="00AE71C5" w:rsidRPr="00D73D6A" w:rsidRDefault="00AE71C5" w:rsidP="0096006E">
      <w:pPr>
        <w:tabs>
          <w:tab w:val="left" w:pos="0"/>
          <w:tab w:val="left" w:pos="709"/>
        </w:tabs>
        <w:spacing w:line="360" w:lineRule="auto"/>
        <w:jc w:val="both"/>
        <w:rPr>
          <w:sz w:val="28"/>
          <w:szCs w:val="28"/>
        </w:rPr>
      </w:pPr>
      <w:r w:rsidRPr="00D73D6A">
        <w:rPr>
          <w:sz w:val="28"/>
          <w:szCs w:val="28"/>
        </w:rPr>
        <w:t>[</w:t>
      </w:r>
      <w:r w:rsidR="00C6094A" w:rsidRPr="00D73D6A">
        <w:rPr>
          <w:sz w:val="28"/>
          <w:szCs w:val="28"/>
        </w:rPr>
        <w:t>48</w:t>
      </w:r>
      <w:r w:rsidRPr="00D73D6A">
        <w:rPr>
          <w:sz w:val="28"/>
          <w:szCs w:val="28"/>
        </w:rPr>
        <w:t>]</w:t>
      </w:r>
      <w:r w:rsidRPr="00D73D6A">
        <w:rPr>
          <w:sz w:val="28"/>
          <w:szCs w:val="28"/>
        </w:rPr>
        <w:tab/>
        <w:t xml:space="preserve">In sum, preference shareholders are precluded from exercising their voting rights </w:t>
      </w:r>
      <w:r w:rsidR="002D434E" w:rsidRPr="00D73D6A">
        <w:rPr>
          <w:sz w:val="28"/>
          <w:szCs w:val="28"/>
        </w:rPr>
        <w:t>only</w:t>
      </w:r>
      <w:r w:rsidRPr="00D73D6A">
        <w:rPr>
          <w:sz w:val="28"/>
          <w:szCs w:val="28"/>
        </w:rPr>
        <w:t xml:space="preserve"> in relation to matters concerning the assets or profits of the companies that will benefit them</w:t>
      </w:r>
      <w:r w:rsidR="00435C3C" w:rsidRPr="00D73D6A">
        <w:rPr>
          <w:sz w:val="28"/>
          <w:szCs w:val="28"/>
        </w:rPr>
        <w:t xml:space="preserve"> or their estates</w:t>
      </w:r>
      <w:r w:rsidRPr="00D73D6A">
        <w:rPr>
          <w:sz w:val="28"/>
          <w:szCs w:val="28"/>
        </w:rPr>
        <w:t xml:space="preserve"> either </w:t>
      </w:r>
      <w:r w:rsidR="002D434E" w:rsidRPr="00D73D6A">
        <w:rPr>
          <w:sz w:val="28"/>
          <w:szCs w:val="28"/>
        </w:rPr>
        <w:t>financially</w:t>
      </w:r>
      <w:r w:rsidRPr="00D73D6A">
        <w:rPr>
          <w:sz w:val="28"/>
          <w:szCs w:val="28"/>
        </w:rPr>
        <w:t xml:space="preserve"> or materially. Other than that, their voting rights are untrammelled. </w:t>
      </w:r>
    </w:p>
    <w:p w14:paraId="5F4B1A5C" w14:textId="77777777" w:rsidR="00AC0C4C" w:rsidRPr="00D73D6A" w:rsidRDefault="00AC0C4C" w:rsidP="0096006E">
      <w:pPr>
        <w:tabs>
          <w:tab w:val="left" w:pos="0"/>
          <w:tab w:val="left" w:pos="709"/>
        </w:tabs>
        <w:spacing w:line="360" w:lineRule="auto"/>
        <w:jc w:val="both"/>
        <w:rPr>
          <w:sz w:val="28"/>
          <w:szCs w:val="28"/>
        </w:rPr>
      </w:pPr>
    </w:p>
    <w:p w14:paraId="5F3F224C" w14:textId="0CDA39CA" w:rsidR="00AC0C4C" w:rsidRPr="00D73D6A" w:rsidRDefault="00AC0C4C" w:rsidP="0096006E">
      <w:pPr>
        <w:tabs>
          <w:tab w:val="left" w:pos="0"/>
          <w:tab w:val="left" w:pos="709"/>
        </w:tabs>
        <w:spacing w:line="360" w:lineRule="auto"/>
        <w:jc w:val="both"/>
        <w:rPr>
          <w:sz w:val="28"/>
          <w:szCs w:val="28"/>
        </w:rPr>
      </w:pPr>
      <w:r w:rsidRPr="00D73D6A">
        <w:rPr>
          <w:sz w:val="28"/>
          <w:szCs w:val="28"/>
        </w:rPr>
        <w:t>[</w:t>
      </w:r>
      <w:r w:rsidR="00C6094A" w:rsidRPr="00D73D6A">
        <w:rPr>
          <w:sz w:val="28"/>
          <w:szCs w:val="28"/>
        </w:rPr>
        <w:t>49</w:t>
      </w:r>
      <w:r w:rsidRPr="00D73D6A">
        <w:rPr>
          <w:sz w:val="28"/>
          <w:szCs w:val="28"/>
        </w:rPr>
        <w:t>]</w:t>
      </w:r>
      <w:r w:rsidRPr="00D73D6A">
        <w:rPr>
          <w:sz w:val="28"/>
          <w:szCs w:val="28"/>
        </w:rPr>
        <w:tab/>
      </w:r>
      <w:r w:rsidR="009F5865" w:rsidRPr="00D73D6A">
        <w:rPr>
          <w:sz w:val="28"/>
          <w:szCs w:val="28"/>
        </w:rPr>
        <w:t>The conclusion to which I have come with reference to the interpretive questions renders it unnecessary to consider the issue of whether closing a bank account constitutes 'a single transaction' as contemplated in s 21(1) of FICA. I</w:t>
      </w:r>
      <w:r w:rsidR="008E38AA" w:rsidRPr="00D73D6A">
        <w:rPr>
          <w:sz w:val="28"/>
          <w:szCs w:val="28"/>
        </w:rPr>
        <w:t>,</w:t>
      </w:r>
      <w:r w:rsidR="009F5865" w:rsidRPr="00D73D6A">
        <w:rPr>
          <w:sz w:val="28"/>
          <w:szCs w:val="28"/>
        </w:rPr>
        <w:t xml:space="preserve"> therefore</w:t>
      </w:r>
      <w:r w:rsidR="008E38AA" w:rsidRPr="00D73D6A">
        <w:rPr>
          <w:sz w:val="28"/>
          <w:szCs w:val="28"/>
        </w:rPr>
        <w:t>,</w:t>
      </w:r>
      <w:r w:rsidR="009F5865" w:rsidRPr="00D73D6A">
        <w:rPr>
          <w:sz w:val="28"/>
          <w:szCs w:val="28"/>
        </w:rPr>
        <w:t xml:space="preserve"> advisedly refrain from answering that question which will be left open for another day. </w:t>
      </w:r>
    </w:p>
    <w:p w14:paraId="343B364A" w14:textId="77777777" w:rsidR="0008374D" w:rsidRPr="00D73D6A" w:rsidRDefault="0008374D" w:rsidP="0096006E">
      <w:pPr>
        <w:tabs>
          <w:tab w:val="left" w:pos="0"/>
          <w:tab w:val="left" w:pos="709"/>
        </w:tabs>
        <w:spacing w:line="360" w:lineRule="auto"/>
        <w:jc w:val="both"/>
        <w:rPr>
          <w:sz w:val="28"/>
          <w:szCs w:val="28"/>
        </w:rPr>
      </w:pPr>
    </w:p>
    <w:p w14:paraId="5E9E740C" w14:textId="186F7B48" w:rsidR="0008374D" w:rsidRPr="00D73D6A" w:rsidRDefault="0008374D" w:rsidP="0096006E">
      <w:pPr>
        <w:tabs>
          <w:tab w:val="left" w:pos="0"/>
          <w:tab w:val="left" w:pos="709"/>
        </w:tabs>
        <w:spacing w:line="360" w:lineRule="auto"/>
        <w:jc w:val="both"/>
        <w:rPr>
          <w:sz w:val="28"/>
          <w:szCs w:val="28"/>
        </w:rPr>
      </w:pPr>
      <w:r w:rsidRPr="00D73D6A">
        <w:rPr>
          <w:sz w:val="28"/>
          <w:szCs w:val="28"/>
        </w:rPr>
        <w:t>[</w:t>
      </w:r>
      <w:r w:rsidR="00C6094A" w:rsidRPr="00D73D6A">
        <w:rPr>
          <w:sz w:val="28"/>
          <w:szCs w:val="28"/>
        </w:rPr>
        <w:t>50</w:t>
      </w:r>
      <w:r w:rsidRPr="00D73D6A">
        <w:rPr>
          <w:sz w:val="28"/>
          <w:szCs w:val="28"/>
        </w:rPr>
        <w:t>]</w:t>
      </w:r>
      <w:r w:rsidRPr="00D73D6A">
        <w:rPr>
          <w:sz w:val="28"/>
          <w:szCs w:val="28"/>
        </w:rPr>
        <w:tab/>
        <w:t xml:space="preserve">I </w:t>
      </w:r>
      <w:r w:rsidR="00AB3D92" w:rsidRPr="00D73D6A">
        <w:rPr>
          <w:sz w:val="28"/>
          <w:szCs w:val="28"/>
        </w:rPr>
        <w:t>now turn</w:t>
      </w:r>
      <w:r w:rsidRPr="00D73D6A">
        <w:rPr>
          <w:sz w:val="28"/>
          <w:szCs w:val="28"/>
        </w:rPr>
        <w:t xml:space="preserve"> to </w:t>
      </w:r>
      <w:r w:rsidR="001933D2" w:rsidRPr="00D73D6A">
        <w:rPr>
          <w:sz w:val="28"/>
          <w:szCs w:val="28"/>
        </w:rPr>
        <w:t>consider</w:t>
      </w:r>
      <w:r w:rsidRPr="00D73D6A">
        <w:rPr>
          <w:sz w:val="28"/>
          <w:szCs w:val="28"/>
        </w:rPr>
        <w:t xml:space="preserve"> the secondary issue, </w:t>
      </w:r>
      <w:r w:rsidR="00CA51A3" w:rsidRPr="00D73D6A">
        <w:rPr>
          <w:sz w:val="28"/>
          <w:szCs w:val="28"/>
        </w:rPr>
        <w:t>namely</w:t>
      </w:r>
      <w:r w:rsidRPr="00D73D6A">
        <w:rPr>
          <w:sz w:val="28"/>
          <w:szCs w:val="28"/>
        </w:rPr>
        <w:t xml:space="preserve">, whether Houtbosplaas and TBS Alpha are entitled to </w:t>
      </w:r>
      <w:r w:rsidRPr="00D73D6A">
        <w:rPr>
          <w:i/>
          <w:sz w:val="28"/>
          <w:szCs w:val="28"/>
        </w:rPr>
        <w:t>mora</w:t>
      </w:r>
      <w:r w:rsidRPr="00D73D6A">
        <w:rPr>
          <w:sz w:val="28"/>
          <w:szCs w:val="28"/>
        </w:rPr>
        <w:t xml:space="preserve"> interest in the various sums claimed by them in this litigation.</w:t>
      </w:r>
      <w:r w:rsidRPr="00D73D6A">
        <w:rPr>
          <w:rStyle w:val="FootnoteReference"/>
          <w:sz w:val="28"/>
          <w:szCs w:val="28"/>
        </w:rPr>
        <w:footnoteReference w:id="26"/>
      </w:r>
      <w:r w:rsidR="001933D2" w:rsidRPr="00D73D6A">
        <w:rPr>
          <w:sz w:val="28"/>
          <w:szCs w:val="28"/>
        </w:rPr>
        <w:t xml:space="preserve"> It is not in dispute that </w:t>
      </w:r>
      <w:r w:rsidR="001E067F" w:rsidRPr="00D73D6A">
        <w:rPr>
          <w:sz w:val="28"/>
          <w:szCs w:val="28"/>
        </w:rPr>
        <w:t xml:space="preserve">on 20 January 2017 </w:t>
      </w:r>
      <w:r w:rsidR="001933D2" w:rsidRPr="00D73D6A">
        <w:rPr>
          <w:sz w:val="28"/>
          <w:szCs w:val="28"/>
        </w:rPr>
        <w:t xml:space="preserve">Nedbank was given written instructions to close the various accounts </w:t>
      </w:r>
      <w:r w:rsidR="001E067F" w:rsidRPr="00D73D6A">
        <w:rPr>
          <w:sz w:val="28"/>
          <w:szCs w:val="28"/>
        </w:rPr>
        <w:t xml:space="preserve">opened in the names of Houtbosplaas and TBS Alpha </w:t>
      </w:r>
      <w:r w:rsidR="001933D2" w:rsidRPr="00D73D6A">
        <w:rPr>
          <w:sz w:val="28"/>
          <w:szCs w:val="28"/>
        </w:rPr>
        <w:t xml:space="preserve">and transfer the funds in those accounts to ABSA Bank. </w:t>
      </w:r>
      <w:r w:rsidR="001E067F" w:rsidRPr="00D73D6A">
        <w:rPr>
          <w:sz w:val="28"/>
          <w:szCs w:val="28"/>
        </w:rPr>
        <w:t xml:space="preserve">Before delving into the secondary issue, I propose dealing first, albeit briefly, with the law relating to claims for </w:t>
      </w:r>
      <w:r w:rsidR="001E067F" w:rsidRPr="00D73D6A">
        <w:rPr>
          <w:i/>
          <w:sz w:val="28"/>
          <w:szCs w:val="28"/>
        </w:rPr>
        <w:t xml:space="preserve">mora </w:t>
      </w:r>
      <w:r w:rsidR="001E067F" w:rsidRPr="00D73D6A">
        <w:rPr>
          <w:sz w:val="28"/>
          <w:szCs w:val="28"/>
        </w:rPr>
        <w:t xml:space="preserve">interest. </w:t>
      </w:r>
      <w:r w:rsidR="001933D2" w:rsidRPr="00D73D6A">
        <w:rPr>
          <w:sz w:val="28"/>
          <w:szCs w:val="28"/>
        </w:rPr>
        <w:t xml:space="preserve">More than </w:t>
      </w:r>
      <w:r w:rsidR="00C30B35" w:rsidRPr="00D73D6A">
        <w:rPr>
          <w:sz w:val="28"/>
          <w:szCs w:val="28"/>
        </w:rPr>
        <w:t>six</w:t>
      </w:r>
      <w:r w:rsidR="001933D2" w:rsidRPr="00D73D6A">
        <w:rPr>
          <w:sz w:val="28"/>
          <w:szCs w:val="28"/>
        </w:rPr>
        <w:t xml:space="preserve"> decades ago this court recognised in </w:t>
      </w:r>
      <w:r w:rsidR="001933D2" w:rsidRPr="00D73D6A">
        <w:rPr>
          <w:i/>
          <w:sz w:val="28"/>
          <w:szCs w:val="28"/>
        </w:rPr>
        <w:t>Linton v Corser</w:t>
      </w:r>
      <w:r w:rsidR="001933D2" w:rsidRPr="00D73D6A">
        <w:rPr>
          <w:rStyle w:val="FootnoteReference"/>
          <w:sz w:val="28"/>
          <w:szCs w:val="28"/>
        </w:rPr>
        <w:footnoteReference w:id="27"/>
      </w:r>
      <w:r w:rsidR="001933D2" w:rsidRPr="00D73D6A">
        <w:rPr>
          <w:sz w:val="28"/>
          <w:szCs w:val="28"/>
        </w:rPr>
        <w:t xml:space="preserve"> that: </w:t>
      </w:r>
      <w:r w:rsidR="00B2738D" w:rsidRPr="00D73D6A">
        <w:rPr>
          <w:sz w:val="28"/>
          <w:szCs w:val="28"/>
        </w:rPr>
        <w:t>'</w:t>
      </w:r>
      <w:r w:rsidR="001933D2" w:rsidRPr="00D73D6A">
        <w:rPr>
          <w:sz w:val="28"/>
          <w:szCs w:val="28"/>
        </w:rPr>
        <w:t>[Today</w:t>
      </w:r>
      <w:r w:rsidR="00A949EB" w:rsidRPr="00D73D6A">
        <w:rPr>
          <w:sz w:val="28"/>
          <w:szCs w:val="28"/>
        </w:rPr>
        <w:t>]</w:t>
      </w:r>
      <w:r w:rsidR="001933D2" w:rsidRPr="00D73D6A">
        <w:rPr>
          <w:sz w:val="28"/>
          <w:szCs w:val="28"/>
        </w:rPr>
        <w:t xml:space="preserve"> interest is the life-blood of finance, and there is no reason to distinguish between interest </w:t>
      </w:r>
      <w:r w:rsidR="001933D2" w:rsidRPr="00D73D6A">
        <w:rPr>
          <w:i/>
          <w:sz w:val="28"/>
          <w:szCs w:val="28"/>
        </w:rPr>
        <w:t xml:space="preserve">ex contractu </w:t>
      </w:r>
      <w:r w:rsidR="001933D2" w:rsidRPr="00D73D6A">
        <w:rPr>
          <w:sz w:val="28"/>
          <w:szCs w:val="28"/>
        </w:rPr>
        <w:t>and</w:t>
      </w:r>
      <w:r w:rsidR="001933D2" w:rsidRPr="00D73D6A">
        <w:rPr>
          <w:i/>
          <w:sz w:val="28"/>
          <w:szCs w:val="28"/>
        </w:rPr>
        <w:t xml:space="preserve"> </w:t>
      </w:r>
      <w:r w:rsidR="001933D2" w:rsidRPr="00D73D6A">
        <w:rPr>
          <w:sz w:val="28"/>
          <w:szCs w:val="28"/>
        </w:rPr>
        <w:t>interest</w:t>
      </w:r>
      <w:r w:rsidR="001933D2" w:rsidRPr="00D73D6A">
        <w:rPr>
          <w:i/>
          <w:sz w:val="28"/>
          <w:szCs w:val="28"/>
        </w:rPr>
        <w:t xml:space="preserve"> ex mora</w:t>
      </w:r>
      <w:r w:rsidR="00A949EB" w:rsidRPr="00D73D6A">
        <w:rPr>
          <w:sz w:val="28"/>
          <w:szCs w:val="28"/>
        </w:rPr>
        <w:t>'</w:t>
      </w:r>
      <w:r w:rsidR="001933D2" w:rsidRPr="00D73D6A">
        <w:rPr>
          <w:sz w:val="28"/>
          <w:szCs w:val="28"/>
        </w:rPr>
        <w:t>.</w:t>
      </w:r>
    </w:p>
    <w:p w14:paraId="67DD7D04" w14:textId="337ABE8A" w:rsidR="001933D2" w:rsidRPr="00D73D6A" w:rsidRDefault="001933D2" w:rsidP="0096006E">
      <w:pPr>
        <w:tabs>
          <w:tab w:val="left" w:pos="0"/>
          <w:tab w:val="left" w:pos="709"/>
        </w:tabs>
        <w:spacing w:line="360" w:lineRule="auto"/>
        <w:jc w:val="both"/>
        <w:rPr>
          <w:sz w:val="28"/>
          <w:szCs w:val="28"/>
        </w:rPr>
      </w:pPr>
      <w:r w:rsidRPr="00D73D6A">
        <w:rPr>
          <w:sz w:val="28"/>
          <w:szCs w:val="28"/>
        </w:rPr>
        <w:lastRenderedPageBreak/>
        <w:t>[</w:t>
      </w:r>
      <w:r w:rsidR="00C6094A" w:rsidRPr="00D73D6A">
        <w:rPr>
          <w:sz w:val="28"/>
          <w:szCs w:val="28"/>
        </w:rPr>
        <w:t>51</w:t>
      </w:r>
      <w:r w:rsidRPr="00D73D6A">
        <w:rPr>
          <w:sz w:val="28"/>
          <w:szCs w:val="28"/>
        </w:rPr>
        <w:t>]</w:t>
      </w:r>
      <w:r w:rsidRPr="00D73D6A">
        <w:rPr>
          <w:sz w:val="28"/>
          <w:szCs w:val="28"/>
        </w:rPr>
        <w:tab/>
        <w:t xml:space="preserve">What </w:t>
      </w:r>
      <w:r w:rsidR="00B2738D" w:rsidRPr="00D73D6A">
        <w:rPr>
          <w:sz w:val="28"/>
          <w:szCs w:val="28"/>
        </w:rPr>
        <w:t xml:space="preserve">Fagan </w:t>
      </w:r>
      <w:r w:rsidRPr="00D73D6A">
        <w:rPr>
          <w:sz w:val="28"/>
          <w:szCs w:val="28"/>
        </w:rPr>
        <w:t xml:space="preserve">JA said in </w:t>
      </w:r>
      <w:r w:rsidRPr="00D73D6A">
        <w:rPr>
          <w:i/>
          <w:sz w:val="28"/>
          <w:szCs w:val="28"/>
        </w:rPr>
        <w:t>Union Government v Jackson and Others</w:t>
      </w:r>
      <w:r w:rsidRPr="00D73D6A">
        <w:rPr>
          <w:rStyle w:val="FootnoteReference"/>
          <w:sz w:val="28"/>
          <w:szCs w:val="28"/>
        </w:rPr>
        <w:footnoteReference w:id="28"/>
      </w:r>
      <w:r w:rsidRPr="00D73D6A">
        <w:rPr>
          <w:sz w:val="28"/>
          <w:szCs w:val="28"/>
        </w:rPr>
        <w:t xml:space="preserve"> concerning </w:t>
      </w:r>
      <w:r w:rsidRPr="00D73D6A">
        <w:rPr>
          <w:i/>
          <w:sz w:val="28"/>
          <w:szCs w:val="28"/>
        </w:rPr>
        <w:t>mora</w:t>
      </w:r>
      <w:r w:rsidRPr="00D73D6A">
        <w:rPr>
          <w:sz w:val="28"/>
          <w:szCs w:val="28"/>
        </w:rPr>
        <w:t xml:space="preserve"> interest is instructive. The learned Judge </w:t>
      </w:r>
      <w:r w:rsidR="00417E14" w:rsidRPr="00D73D6A">
        <w:rPr>
          <w:sz w:val="28"/>
          <w:szCs w:val="28"/>
        </w:rPr>
        <w:t>stated</w:t>
      </w:r>
      <w:r w:rsidRPr="00D73D6A">
        <w:rPr>
          <w:sz w:val="28"/>
          <w:szCs w:val="28"/>
        </w:rPr>
        <w:t xml:space="preserve"> the </w:t>
      </w:r>
      <w:r w:rsidR="00417E14" w:rsidRPr="00D73D6A">
        <w:rPr>
          <w:sz w:val="28"/>
          <w:szCs w:val="28"/>
        </w:rPr>
        <w:t>position thus</w:t>
      </w:r>
      <w:r w:rsidRPr="00D73D6A">
        <w:rPr>
          <w:sz w:val="28"/>
          <w:szCs w:val="28"/>
        </w:rPr>
        <w:t>:</w:t>
      </w:r>
    </w:p>
    <w:p w14:paraId="69C2F548" w14:textId="01E07DF1" w:rsidR="001933D2" w:rsidRPr="00D73D6A" w:rsidRDefault="001933D2" w:rsidP="001933D2">
      <w:pPr>
        <w:tabs>
          <w:tab w:val="left" w:pos="0"/>
          <w:tab w:val="left" w:pos="709"/>
        </w:tabs>
        <w:spacing w:line="360" w:lineRule="auto"/>
        <w:jc w:val="both"/>
        <w:rPr>
          <w:szCs w:val="28"/>
        </w:rPr>
      </w:pPr>
      <w:r w:rsidRPr="00D73D6A">
        <w:rPr>
          <w:szCs w:val="28"/>
        </w:rPr>
        <w:t xml:space="preserve">'The other approach is that of dealing with the liability to pay interest as a consequential or accessory or ancillary obligation (the three adjectives are used as interchangeable words in the judgments in </w:t>
      </w:r>
      <w:r w:rsidRPr="00D73D6A">
        <w:rPr>
          <w:i/>
          <w:szCs w:val="28"/>
        </w:rPr>
        <w:t>West Rand Estates Ltd v New Zealand Insurance Co. Ltd.</w:t>
      </w:r>
      <w:r w:rsidRPr="00D73D6A">
        <w:rPr>
          <w:szCs w:val="28"/>
        </w:rPr>
        <w:t xml:space="preserve">, 1926 AD 173 at pp. 177, 193), automatically attaching to some principal obligation by operation of law. The best illustration of this type is the liability for interest a </w:t>
      </w:r>
      <w:r w:rsidRPr="00D73D6A">
        <w:rPr>
          <w:i/>
          <w:szCs w:val="28"/>
        </w:rPr>
        <w:t>tempore morae</w:t>
      </w:r>
      <w:r w:rsidRPr="00D73D6A">
        <w:rPr>
          <w:szCs w:val="28"/>
        </w:rPr>
        <w:t xml:space="preserve"> falling on a debtor who fails to pay the sum owing by him on the due date. Here the Court does not make an assessment; it does not weigh the pros and cons in order to exercise an equitable judgment as to whether, and to what extent, the interest bearing potentialities of money are to be taken into account in computing its award. The only issue is whether the legal liability exists or not; if it does, the rest is merely a matter of mathematical calculation: the legal rate of interest on a definite sum from a definite date until date of payment. The award of interest by the Provincial Division clearly falls under the second of the two compartments of my classification.'</w:t>
      </w:r>
      <w:r w:rsidRPr="00D73D6A">
        <w:rPr>
          <w:rStyle w:val="FootnoteReference"/>
          <w:szCs w:val="28"/>
        </w:rPr>
        <w:footnoteReference w:id="29"/>
      </w:r>
    </w:p>
    <w:p w14:paraId="0587D11A" w14:textId="77777777" w:rsidR="001933D2" w:rsidRPr="00D73D6A" w:rsidRDefault="001933D2" w:rsidP="001933D2">
      <w:pPr>
        <w:tabs>
          <w:tab w:val="left" w:pos="0"/>
          <w:tab w:val="left" w:pos="709"/>
        </w:tabs>
        <w:spacing w:line="360" w:lineRule="auto"/>
        <w:jc w:val="both"/>
        <w:rPr>
          <w:szCs w:val="28"/>
        </w:rPr>
      </w:pPr>
    </w:p>
    <w:p w14:paraId="466D82B3" w14:textId="3A7CED3C" w:rsidR="001933D2" w:rsidRPr="00D73D6A" w:rsidRDefault="001933D2" w:rsidP="001933D2">
      <w:pPr>
        <w:tabs>
          <w:tab w:val="left" w:pos="0"/>
          <w:tab w:val="left" w:pos="709"/>
        </w:tabs>
        <w:spacing w:line="360" w:lineRule="auto"/>
        <w:jc w:val="both"/>
        <w:rPr>
          <w:sz w:val="28"/>
          <w:szCs w:val="28"/>
        </w:rPr>
      </w:pPr>
      <w:r w:rsidRPr="00D73D6A">
        <w:rPr>
          <w:sz w:val="28"/>
          <w:szCs w:val="28"/>
        </w:rPr>
        <w:t>[</w:t>
      </w:r>
      <w:r w:rsidR="00C6094A" w:rsidRPr="00D73D6A">
        <w:rPr>
          <w:sz w:val="28"/>
          <w:szCs w:val="28"/>
        </w:rPr>
        <w:t>52</w:t>
      </w:r>
      <w:r w:rsidRPr="00D73D6A">
        <w:rPr>
          <w:sz w:val="28"/>
          <w:szCs w:val="28"/>
        </w:rPr>
        <w:t>]</w:t>
      </w:r>
      <w:r w:rsidRPr="00D73D6A">
        <w:rPr>
          <w:sz w:val="28"/>
          <w:szCs w:val="28"/>
        </w:rPr>
        <w:tab/>
        <w:t xml:space="preserve">It is by now </w:t>
      </w:r>
      <w:r w:rsidR="00B2738D" w:rsidRPr="00D73D6A">
        <w:rPr>
          <w:sz w:val="28"/>
          <w:szCs w:val="28"/>
        </w:rPr>
        <w:t xml:space="preserve">recognised </w:t>
      </w:r>
      <w:r w:rsidRPr="00D73D6A">
        <w:rPr>
          <w:sz w:val="28"/>
          <w:szCs w:val="28"/>
        </w:rPr>
        <w:t xml:space="preserve">without question that a party who has been deprived of the use of his or her capital for a period of time has suffered a loss and does not need to establish special proof of his or her damages. This was reiterated by this court in </w:t>
      </w:r>
      <w:r w:rsidRPr="00D73D6A">
        <w:rPr>
          <w:i/>
          <w:sz w:val="28"/>
          <w:szCs w:val="28"/>
        </w:rPr>
        <w:t>Bellairs v Hodnett and Another</w:t>
      </w:r>
      <w:r w:rsidRPr="00D73D6A">
        <w:rPr>
          <w:rStyle w:val="FootnoteReference"/>
          <w:sz w:val="28"/>
          <w:szCs w:val="28"/>
        </w:rPr>
        <w:footnoteReference w:id="30"/>
      </w:r>
      <w:r w:rsidRPr="00D73D6A">
        <w:rPr>
          <w:sz w:val="28"/>
          <w:szCs w:val="28"/>
        </w:rPr>
        <w:t xml:space="preserve"> as follows:</w:t>
      </w:r>
    </w:p>
    <w:p w14:paraId="03B8F6B4" w14:textId="49F8311E" w:rsidR="001933D2" w:rsidRPr="00D73D6A" w:rsidRDefault="001933D2" w:rsidP="001933D2">
      <w:pPr>
        <w:tabs>
          <w:tab w:val="left" w:pos="0"/>
          <w:tab w:val="left" w:pos="709"/>
        </w:tabs>
        <w:spacing w:line="360" w:lineRule="auto"/>
        <w:jc w:val="both"/>
        <w:rPr>
          <w:szCs w:val="28"/>
        </w:rPr>
      </w:pPr>
      <w:r w:rsidRPr="00D73D6A">
        <w:rPr>
          <w:szCs w:val="28"/>
        </w:rPr>
        <w:t>'</w:t>
      </w:r>
      <w:r w:rsidR="00C8622D" w:rsidRPr="00D73D6A">
        <w:rPr>
          <w:szCs w:val="28"/>
        </w:rPr>
        <w:t>. . .</w:t>
      </w:r>
      <w:r w:rsidRPr="00D73D6A">
        <w:rPr>
          <w:szCs w:val="28"/>
        </w:rPr>
        <w:t xml:space="preserve">[U]nder modern conditions a debtor who is tardy in the due payment of a monetary obligation will almost invariably deprive his creditor of the productive use of the money and thereby cause him loss. It is for this loss that the award of </w:t>
      </w:r>
      <w:r w:rsidRPr="00D73D6A">
        <w:rPr>
          <w:i/>
          <w:szCs w:val="28"/>
        </w:rPr>
        <w:t>mora</w:t>
      </w:r>
      <w:r w:rsidRPr="00D73D6A">
        <w:rPr>
          <w:szCs w:val="28"/>
        </w:rPr>
        <w:t xml:space="preserve"> interest seeks to compensate the creditor.</w:t>
      </w:r>
      <w:r w:rsidRPr="00D73D6A">
        <w:rPr>
          <w:rStyle w:val="FootnoteReference"/>
          <w:szCs w:val="28"/>
        </w:rPr>
        <w:footnoteReference w:id="31"/>
      </w:r>
    </w:p>
    <w:p w14:paraId="5CFCD399" w14:textId="77777777" w:rsidR="00AF278C" w:rsidRPr="00D73D6A" w:rsidRDefault="00AF278C" w:rsidP="001933D2">
      <w:pPr>
        <w:tabs>
          <w:tab w:val="left" w:pos="0"/>
          <w:tab w:val="left" w:pos="709"/>
        </w:tabs>
        <w:spacing w:line="360" w:lineRule="auto"/>
        <w:jc w:val="both"/>
        <w:rPr>
          <w:szCs w:val="28"/>
        </w:rPr>
      </w:pPr>
    </w:p>
    <w:p w14:paraId="6A4E753D" w14:textId="2A35AD14" w:rsidR="00AF278C" w:rsidRPr="00D73D6A" w:rsidRDefault="00AF278C" w:rsidP="001933D2">
      <w:pPr>
        <w:tabs>
          <w:tab w:val="left" w:pos="0"/>
          <w:tab w:val="left" w:pos="709"/>
        </w:tabs>
        <w:spacing w:line="360" w:lineRule="auto"/>
        <w:jc w:val="both"/>
        <w:rPr>
          <w:sz w:val="28"/>
          <w:szCs w:val="28"/>
        </w:rPr>
      </w:pPr>
      <w:r w:rsidRPr="00D73D6A">
        <w:rPr>
          <w:sz w:val="28"/>
          <w:szCs w:val="28"/>
        </w:rPr>
        <w:lastRenderedPageBreak/>
        <w:t>[</w:t>
      </w:r>
      <w:r w:rsidR="00C6094A" w:rsidRPr="00D73D6A">
        <w:rPr>
          <w:sz w:val="28"/>
          <w:szCs w:val="28"/>
        </w:rPr>
        <w:t>53</w:t>
      </w:r>
      <w:r w:rsidRPr="00D73D6A">
        <w:rPr>
          <w:sz w:val="28"/>
          <w:szCs w:val="28"/>
        </w:rPr>
        <w:t>]</w:t>
      </w:r>
      <w:r w:rsidRPr="00D73D6A">
        <w:rPr>
          <w:sz w:val="28"/>
          <w:szCs w:val="28"/>
        </w:rPr>
        <w:tab/>
      </w:r>
      <w:r w:rsidR="009D57DF" w:rsidRPr="00D73D6A">
        <w:rPr>
          <w:sz w:val="28"/>
          <w:szCs w:val="28"/>
        </w:rPr>
        <w:t xml:space="preserve">The sole question to decide insofar as the respondents' claim for </w:t>
      </w:r>
      <w:r w:rsidR="009D57DF" w:rsidRPr="00D73D6A">
        <w:rPr>
          <w:i/>
          <w:sz w:val="28"/>
          <w:szCs w:val="28"/>
        </w:rPr>
        <w:t>mora</w:t>
      </w:r>
      <w:r w:rsidR="009D57DF" w:rsidRPr="00D73D6A">
        <w:rPr>
          <w:sz w:val="28"/>
          <w:szCs w:val="28"/>
        </w:rPr>
        <w:t xml:space="preserve"> interest is concerned is whether there was any lawful justification for Nedbank to restrict the accounts for the reasons upon which Nedbank relied. In this regard it will be recalled that Nedbank had refused to close the accounts and transfer all of the moneys held in those accounts to ABSA Bank pursuant to the written instructions by the companies' representative. In insisting on being provided with copies of the trust deeds, Nedbank asserted that the four trusts each </w:t>
      </w:r>
      <w:r w:rsidR="008D36EE" w:rsidRPr="00D73D6A">
        <w:rPr>
          <w:sz w:val="28"/>
          <w:szCs w:val="28"/>
        </w:rPr>
        <w:t>exercise</w:t>
      </w:r>
      <w:r w:rsidR="00B2738D" w:rsidRPr="00D73D6A">
        <w:rPr>
          <w:sz w:val="28"/>
          <w:szCs w:val="28"/>
        </w:rPr>
        <w:t xml:space="preserve"> </w:t>
      </w:r>
      <w:r w:rsidR="009D57DF" w:rsidRPr="00D73D6A">
        <w:rPr>
          <w:sz w:val="28"/>
          <w:szCs w:val="28"/>
        </w:rPr>
        <w:t xml:space="preserve">25% of </w:t>
      </w:r>
      <w:r w:rsidR="00417E14" w:rsidRPr="00D73D6A">
        <w:rPr>
          <w:sz w:val="28"/>
          <w:szCs w:val="28"/>
        </w:rPr>
        <w:t xml:space="preserve">the </w:t>
      </w:r>
      <w:r w:rsidR="009D57DF" w:rsidRPr="00D73D6A">
        <w:rPr>
          <w:sz w:val="28"/>
          <w:szCs w:val="28"/>
        </w:rPr>
        <w:t xml:space="preserve">voting rights at general meetings of the companies in </w:t>
      </w:r>
      <w:r w:rsidR="00435C3C" w:rsidRPr="00D73D6A">
        <w:rPr>
          <w:sz w:val="28"/>
          <w:szCs w:val="28"/>
        </w:rPr>
        <w:t>every instance</w:t>
      </w:r>
      <w:r w:rsidR="009D57DF" w:rsidRPr="00D73D6A">
        <w:rPr>
          <w:sz w:val="28"/>
          <w:szCs w:val="28"/>
        </w:rPr>
        <w:t xml:space="preserve"> where </w:t>
      </w:r>
      <w:r w:rsidR="00417E14" w:rsidRPr="00D73D6A">
        <w:rPr>
          <w:sz w:val="28"/>
          <w:szCs w:val="28"/>
        </w:rPr>
        <w:t xml:space="preserve">the </w:t>
      </w:r>
      <w:r w:rsidR="009D57DF" w:rsidRPr="00D73D6A">
        <w:rPr>
          <w:sz w:val="28"/>
          <w:szCs w:val="28"/>
        </w:rPr>
        <w:t xml:space="preserve">holders of </w:t>
      </w:r>
      <w:r w:rsidR="00B2738D" w:rsidRPr="00D73D6A">
        <w:rPr>
          <w:sz w:val="28"/>
          <w:szCs w:val="28"/>
        </w:rPr>
        <w:t xml:space="preserve">preference </w:t>
      </w:r>
      <w:r w:rsidR="009D57DF" w:rsidRPr="00D73D6A">
        <w:rPr>
          <w:sz w:val="28"/>
          <w:szCs w:val="28"/>
        </w:rPr>
        <w:t xml:space="preserve">shares are precluded from voting. </w:t>
      </w:r>
    </w:p>
    <w:p w14:paraId="6B0E2CB8" w14:textId="77777777" w:rsidR="00230259" w:rsidRPr="00D73D6A" w:rsidRDefault="00230259" w:rsidP="001933D2">
      <w:pPr>
        <w:tabs>
          <w:tab w:val="left" w:pos="0"/>
          <w:tab w:val="left" w:pos="709"/>
        </w:tabs>
        <w:spacing w:line="360" w:lineRule="auto"/>
        <w:jc w:val="both"/>
        <w:rPr>
          <w:sz w:val="28"/>
          <w:szCs w:val="28"/>
        </w:rPr>
      </w:pPr>
    </w:p>
    <w:p w14:paraId="577A0D6F" w14:textId="1EEFA9A0" w:rsidR="009D57DF" w:rsidRPr="00D73D6A" w:rsidRDefault="009D57DF" w:rsidP="001933D2">
      <w:pPr>
        <w:tabs>
          <w:tab w:val="left" w:pos="0"/>
          <w:tab w:val="left" w:pos="709"/>
        </w:tabs>
        <w:spacing w:line="360" w:lineRule="auto"/>
        <w:jc w:val="both"/>
        <w:rPr>
          <w:sz w:val="28"/>
          <w:szCs w:val="28"/>
        </w:rPr>
      </w:pPr>
      <w:r w:rsidRPr="00D73D6A">
        <w:rPr>
          <w:sz w:val="28"/>
          <w:szCs w:val="28"/>
        </w:rPr>
        <w:t>[</w:t>
      </w:r>
      <w:r w:rsidR="00C6094A" w:rsidRPr="00D73D6A">
        <w:rPr>
          <w:sz w:val="28"/>
          <w:szCs w:val="28"/>
        </w:rPr>
        <w:t>54</w:t>
      </w:r>
      <w:r w:rsidRPr="00D73D6A">
        <w:rPr>
          <w:sz w:val="28"/>
          <w:szCs w:val="28"/>
        </w:rPr>
        <w:t>]</w:t>
      </w:r>
      <w:r w:rsidRPr="00D73D6A">
        <w:rPr>
          <w:sz w:val="28"/>
          <w:szCs w:val="28"/>
        </w:rPr>
        <w:tab/>
        <w:t xml:space="preserve">However, Nedbank accepted that in relation to matters on which both </w:t>
      </w:r>
      <w:r w:rsidR="00417E14" w:rsidRPr="00D73D6A">
        <w:rPr>
          <w:sz w:val="28"/>
          <w:szCs w:val="28"/>
        </w:rPr>
        <w:t xml:space="preserve">the </w:t>
      </w:r>
      <w:r w:rsidR="000021DD" w:rsidRPr="00D73D6A">
        <w:rPr>
          <w:sz w:val="28"/>
          <w:szCs w:val="28"/>
        </w:rPr>
        <w:t xml:space="preserve">preference </w:t>
      </w:r>
      <w:r w:rsidRPr="00D73D6A">
        <w:rPr>
          <w:sz w:val="28"/>
          <w:szCs w:val="28"/>
        </w:rPr>
        <w:t>and ordinary shareholders may vote, each trust would then exercise 2/9</w:t>
      </w:r>
      <w:r w:rsidRPr="00D73D6A">
        <w:rPr>
          <w:sz w:val="28"/>
          <w:szCs w:val="28"/>
          <w:vertAlign w:val="superscript"/>
        </w:rPr>
        <w:t>th</w:t>
      </w:r>
      <w:r w:rsidRPr="00D73D6A">
        <w:rPr>
          <w:sz w:val="28"/>
          <w:szCs w:val="28"/>
        </w:rPr>
        <w:t xml:space="preserve"> of the votes at general meetings. Consequently, the threshold of 25% prescribed in terms of regulation 7</w:t>
      </w:r>
      <w:r w:rsidRPr="00D73D6A">
        <w:rPr>
          <w:i/>
          <w:sz w:val="28"/>
          <w:szCs w:val="28"/>
        </w:rPr>
        <w:t>(f)</w:t>
      </w:r>
      <w:r w:rsidRPr="00D73D6A">
        <w:rPr>
          <w:sz w:val="28"/>
          <w:szCs w:val="28"/>
        </w:rPr>
        <w:t>(ii) would not be met and, thus, regulation</w:t>
      </w:r>
      <w:r w:rsidR="00585125" w:rsidRPr="00D73D6A">
        <w:rPr>
          <w:sz w:val="28"/>
          <w:szCs w:val="28"/>
        </w:rPr>
        <w:t> </w:t>
      </w:r>
      <w:r w:rsidRPr="00D73D6A">
        <w:rPr>
          <w:sz w:val="28"/>
          <w:szCs w:val="28"/>
        </w:rPr>
        <w:t>7</w:t>
      </w:r>
      <w:r w:rsidRPr="00D73D6A">
        <w:rPr>
          <w:i/>
          <w:sz w:val="28"/>
          <w:szCs w:val="28"/>
        </w:rPr>
        <w:t>(f)</w:t>
      </w:r>
      <w:r w:rsidRPr="00D73D6A">
        <w:rPr>
          <w:sz w:val="28"/>
          <w:szCs w:val="28"/>
        </w:rPr>
        <w:t>(ii) would find no application. On this score, the high court, whilst cognisant of the fact that the right</w:t>
      </w:r>
      <w:r w:rsidR="00417E14" w:rsidRPr="00D73D6A">
        <w:rPr>
          <w:sz w:val="28"/>
          <w:szCs w:val="28"/>
        </w:rPr>
        <w:t>s</w:t>
      </w:r>
      <w:r w:rsidRPr="00D73D6A">
        <w:rPr>
          <w:sz w:val="28"/>
          <w:szCs w:val="28"/>
        </w:rPr>
        <w:t xml:space="preserve"> of </w:t>
      </w:r>
      <w:r w:rsidR="00417E14" w:rsidRPr="00D73D6A">
        <w:rPr>
          <w:sz w:val="28"/>
          <w:szCs w:val="28"/>
        </w:rPr>
        <w:t xml:space="preserve">the </w:t>
      </w:r>
      <w:r w:rsidR="00740FD2" w:rsidRPr="00D73D6A">
        <w:rPr>
          <w:sz w:val="28"/>
          <w:szCs w:val="28"/>
        </w:rPr>
        <w:t xml:space="preserve">preference </w:t>
      </w:r>
      <w:r w:rsidRPr="00D73D6A">
        <w:rPr>
          <w:sz w:val="28"/>
          <w:szCs w:val="28"/>
        </w:rPr>
        <w:t>shareholders were restricted under certain circumstances in terms of the companies' memoranda of incorporation, nevertheless held that the voting rights of the trusts fell below the prescribed threshold and in actual fact constitute</w:t>
      </w:r>
      <w:r w:rsidR="00A404E5" w:rsidRPr="00D73D6A">
        <w:rPr>
          <w:sz w:val="28"/>
          <w:szCs w:val="28"/>
        </w:rPr>
        <w:t>d</w:t>
      </w:r>
      <w:r w:rsidRPr="00D73D6A">
        <w:rPr>
          <w:sz w:val="28"/>
          <w:szCs w:val="28"/>
        </w:rPr>
        <w:t xml:space="preserve"> 22%. This conclusion led the high court to find that regulation 7</w:t>
      </w:r>
      <w:r w:rsidRPr="00D73D6A">
        <w:rPr>
          <w:i/>
          <w:sz w:val="28"/>
          <w:szCs w:val="28"/>
        </w:rPr>
        <w:t>(f)</w:t>
      </w:r>
      <w:r w:rsidRPr="00D73D6A">
        <w:rPr>
          <w:sz w:val="28"/>
          <w:szCs w:val="28"/>
        </w:rPr>
        <w:t>(ii) was not triggered.</w:t>
      </w:r>
    </w:p>
    <w:p w14:paraId="302716AE" w14:textId="77777777" w:rsidR="00230259" w:rsidRPr="00D73D6A" w:rsidRDefault="00230259" w:rsidP="001933D2">
      <w:pPr>
        <w:tabs>
          <w:tab w:val="left" w:pos="0"/>
          <w:tab w:val="left" w:pos="709"/>
        </w:tabs>
        <w:spacing w:line="360" w:lineRule="auto"/>
        <w:jc w:val="both"/>
        <w:rPr>
          <w:sz w:val="28"/>
          <w:szCs w:val="28"/>
        </w:rPr>
      </w:pPr>
    </w:p>
    <w:p w14:paraId="0DAC2879" w14:textId="3C151899" w:rsidR="006E23F6" w:rsidRPr="00D73D6A" w:rsidRDefault="009D57DF" w:rsidP="001743D2">
      <w:pPr>
        <w:tabs>
          <w:tab w:val="left" w:pos="0"/>
          <w:tab w:val="left" w:pos="709"/>
        </w:tabs>
        <w:spacing w:line="360" w:lineRule="auto"/>
        <w:jc w:val="both"/>
        <w:rPr>
          <w:sz w:val="28"/>
          <w:szCs w:val="28"/>
        </w:rPr>
      </w:pPr>
      <w:r w:rsidRPr="00D73D6A">
        <w:rPr>
          <w:sz w:val="28"/>
          <w:szCs w:val="28"/>
        </w:rPr>
        <w:t>[</w:t>
      </w:r>
      <w:r w:rsidR="00C6094A" w:rsidRPr="00D73D6A">
        <w:rPr>
          <w:sz w:val="28"/>
          <w:szCs w:val="28"/>
        </w:rPr>
        <w:t>55</w:t>
      </w:r>
      <w:r w:rsidRPr="00D73D6A">
        <w:rPr>
          <w:sz w:val="28"/>
          <w:szCs w:val="28"/>
        </w:rPr>
        <w:t>]</w:t>
      </w:r>
      <w:r w:rsidRPr="00D73D6A">
        <w:rPr>
          <w:sz w:val="28"/>
          <w:szCs w:val="28"/>
        </w:rPr>
        <w:tab/>
        <w:t xml:space="preserve">On the facts of this case, and viewed from the perspective of Nedbank, the </w:t>
      </w:r>
      <w:r w:rsidR="00417E14" w:rsidRPr="00D73D6A">
        <w:rPr>
          <w:sz w:val="28"/>
          <w:szCs w:val="28"/>
        </w:rPr>
        <w:t>thrust</w:t>
      </w:r>
      <w:r w:rsidRPr="00D73D6A">
        <w:rPr>
          <w:sz w:val="28"/>
          <w:szCs w:val="28"/>
        </w:rPr>
        <w:t xml:space="preserve"> of its case was that it was justified </w:t>
      </w:r>
      <w:r w:rsidR="00417E14" w:rsidRPr="00D73D6A">
        <w:rPr>
          <w:sz w:val="28"/>
          <w:szCs w:val="28"/>
        </w:rPr>
        <w:t>in</w:t>
      </w:r>
      <w:r w:rsidRPr="00D73D6A">
        <w:rPr>
          <w:sz w:val="28"/>
          <w:szCs w:val="28"/>
        </w:rPr>
        <w:t xml:space="preserve"> restrict</w:t>
      </w:r>
      <w:r w:rsidR="00417E14" w:rsidRPr="00D73D6A">
        <w:rPr>
          <w:sz w:val="28"/>
          <w:szCs w:val="28"/>
        </w:rPr>
        <w:t>ing</w:t>
      </w:r>
      <w:r w:rsidRPr="00D73D6A">
        <w:rPr>
          <w:sz w:val="28"/>
          <w:szCs w:val="28"/>
        </w:rPr>
        <w:t xml:space="preserve"> the accounts and thus withhold the funds held in those accounts</w:t>
      </w:r>
      <w:r w:rsidR="00417E14" w:rsidRPr="00D73D6A">
        <w:rPr>
          <w:sz w:val="28"/>
          <w:szCs w:val="28"/>
        </w:rPr>
        <w:t xml:space="preserve"> until the trusts complied with its request to provide the requisite documents</w:t>
      </w:r>
      <w:r w:rsidRPr="00D73D6A">
        <w:rPr>
          <w:sz w:val="28"/>
          <w:szCs w:val="28"/>
        </w:rPr>
        <w:t>. This was so</w:t>
      </w:r>
      <w:r w:rsidR="00417E14" w:rsidRPr="00D73D6A">
        <w:rPr>
          <w:sz w:val="28"/>
          <w:szCs w:val="28"/>
        </w:rPr>
        <w:t>, it was contended on Nedbank's behalf,</w:t>
      </w:r>
      <w:r w:rsidRPr="00D73D6A">
        <w:rPr>
          <w:sz w:val="28"/>
          <w:szCs w:val="28"/>
        </w:rPr>
        <w:t xml:space="preserve"> because the companies' representative had refused to provide the outstanding document, namely the trust deed in respect of the Hettie van </w:t>
      </w:r>
      <w:r w:rsidRPr="00D73D6A">
        <w:rPr>
          <w:sz w:val="28"/>
          <w:szCs w:val="28"/>
        </w:rPr>
        <w:lastRenderedPageBreak/>
        <w:t xml:space="preserve">Dijkhorst trust. Had it not </w:t>
      </w:r>
      <w:r w:rsidR="00417E14" w:rsidRPr="00D73D6A">
        <w:rPr>
          <w:sz w:val="28"/>
          <w:szCs w:val="28"/>
        </w:rPr>
        <w:t>restricted the accounts and</w:t>
      </w:r>
      <w:r w:rsidR="001E5C16" w:rsidRPr="00D73D6A">
        <w:rPr>
          <w:sz w:val="28"/>
          <w:szCs w:val="28"/>
        </w:rPr>
        <w:t>, instead,</w:t>
      </w:r>
      <w:r w:rsidR="00417E14" w:rsidRPr="00D73D6A">
        <w:rPr>
          <w:sz w:val="28"/>
          <w:szCs w:val="28"/>
        </w:rPr>
        <w:t xml:space="preserve"> released the funds</w:t>
      </w:r>
      <w:r w:rsidRPr="00D73D6A">
        <w:rPr>
          <w:sz w:val="28"/>
          <w:szCs w:val="28"/>
        </w:rPr>
        <w:t>, Nedbank argued, it would have exposed itself to criminal sanction</w:t>
      </w:r>
      <w:r w:rsidR="00417E14" w:rsidRPr="00D73D6A">
        <w:rPr>
          <w:sz w:val="28"/>
          <w:szCs w:val="28"/>
        </w:rPr>
        <w:t>s</w:t>
      </w:r>
      <w:r w:rsidRPr="00D73D6A">
        <w:rPr>
          <w:sz w:val="28"/>
          <w:szCs w:val="28"/>
        </w:rPr>
        <w:t xml:space="preserve"> for 'entering into any transaction with the companies, including closing their accounts</w:t>
      </w:r>
      <w:r w:rsidR="00417E14" w:rsidRPr="00D73D6A">
        <w:rPr>
          <w:sz w:val="28"/>
          <w:szCs w:val="28"/>
        </w:rPr>
        <w:t xml:space="preserve"> in contravention of the provisions of FICA</w:t>
      </w:r>
      <w:r w:rsidR="00C86298" w:rsidRPr="00D73D6A">
        <w:rPr>
          <w:sz w:val="28"/>
          <w:szCs w:val="28"/>
        </w:rPr>
        <w:t>'</w:t>
      </w:r>
      <w:r w:rsidR="00417E14" w:rsidRPr="00D73D6A">
        <w:rPr>
          <w:sz w:val="28"/>
          <w:szCs w:val="28"/>
        </w:rPr>
        <w:t>.</w:t>
      </w:r>
      <w:r w:rsidRPr="00D73D6A">
        <w:rPr>
          <w:sz w:val="28"/>
          <w:szCs w:val="28"/>
        </w:rPr>
        <w:t xml:space="preserve"> As pointed out above, Nedbank was mistaken in its view of the matter. </w:t>
      </w:r>
      <w:r w:rsidR="00417E14" w:rsidRPr="00D73D6A">
        <w:rPr>
          <w:sz w:val="28"/>
          <w:szCs w:val="28"/>
        </w:rPr>
        <w:t xml:space="preserve">Contrary to what Nedbank understood to be the position, </w:t>
      </w:r>
      <w:r w:rsidR="001E5C16" w:rsidRPr="00D73D6A">
        <w:rPr>
          <w:sz w:val="28"/>
          <w:szCs w:val="28"/>
        </w:rPr>
        <w:t xml:space="preserve">the true factual state of affairs is that </w:t>
      </w:r>
      <w:r w:rsidR="000B4B78" w:rsidRPr="00D73D6A">
        <w:rPr>
          <w:sz w:val="28"/>
          <w:szCs w:val="28"/>
        </w:rPr>
        <w:t xml:space="preserve">in terms of </w:t>
      </w:r>
      <w:r w:rsidR="00C30B35" w:rsidRPr="00D73D6A">
        <w:rPr>
          <w:sz w:val="28"/>
          <w:szCs w:val="28"/>
        </w:rPr>
        <w:t>article</w:t>
      </w:r>
      <w:r w:rsidR="000B4B78" w:rsidRPr="00D73D6A">
        <w:rPr>
          <w:sz w:val="28"/>
          <w:szCs w:val="28"/>
        </w:rPr>
        <w:t xml:space="preserve"> 2.1 of the companies' memoranda of incorporation – properly construed – </w:t>
      </w:r>
      <w:r w:rsidR="00417E14" w:rsidRPr="00D73D6A">
        <w:rPr>
          <w:sz w:val="28"/>
          <w:szCs w:val="28"/>
        </w:rPr>
        <w:t xml:space="preserve">none of the four trusts </w:t>
      </w:r>
      <w:r w:rsidR="000B4B78" w:rsidRPr="00D73D6A">
        <w:rPr>
          <w:sz w:val="28"/>
          <w:szCs w:val="28"/>
        </w:rPr>
        <w:t xml:space="preserve">exercised </w:t>
      </w:r>
      <w:r w:rsidR="00417E14" w:rsidRPr="00D73D6A">
        <w:rPr>
          <w:sz w:val="28"/>
          <w:szCs w:val="28"/>
        </w:rPr>
        <w:t>25% of the voting rights at general meetings of the companies.</w:t>
      </w:r>
    </w:p>
    <w:p w14:paraId="5D4A710F" w14:textId="77777777" w:rsidR="009D57DF" w:rsidRPr="00D73D6A" w:rsidRDefault="009D57DF" w:rsidP="001743D2">
      <w:pPr>
        <w:tabs>
          <w:tab w:val="left" w:pos="0"/>
          <w:tab w:val="left" w:pos="709"/>
        </w:tabs>
        <w:spacing w:line="360" w:lineRule="auto"/>
        <w:jc w:val="both"/>
        <w:rPr>
          <w:sz w:val="28"/>
          <w:szCs w:val="28"/>
        </w:rPr>
      </w:pPr>
    </w:p>
    <w:p w14:paraId="325D48B8" w14:textId="6D2AACB3" w:rsidR="009D57DF" w:rsidRPr="00D73D6A" w:rsidRDefault="009D57DF" w:rsidP="001743D2">
      <w:pPr>
        <w:tabs>
          <w:tab w:val="left" w:pos="0"/>
          <w:tab w:val="left" w:pos="709"/>
        </w:tabs>
        <w:spacing w:line="360" w:lineRule="auto"/>
        <w:jc w:val="both"/>
        <w:rPr>
          <w:sz w:val="28"/>
          <w:szCs w:val="28"/>
        </w:rPr>
      </w:pPr>
      <w:r w:rsidRPr="00D73D6A">
        <w:rPr>
          <w:sz w:val="28"/>
          <w:szCs w:val="28"/>
        </w:rPr>
        <w:t>[</w:t>
      </w:r>
      <w:r w:rsidR="00C6094A" w:rsidRPr="00D73D6A">
        <w:rPr>
          <w:sz w:val="28"/>
          <w:szCs w:val="28"/>
        </w:rPr>
        <w:t>56</w:t>
      </w:r>
      <w:r w:rsidRPr="00D73D6A">
        <w:rPr>
          <w:sz w:val="28"/>
          <w:szCs w:val="28"/>
        </w:rPr>
        <w:t>]</w:t>
      </w:r>
      <w:r w:rsidRPr="00D73D6A">
        <w:rPr>
          <w:sz w:val="28"/>
          <w:szCs w:val="28"/>
        </w:rPr>
        <w:tab/>
      </w:r>
      <w:r w:rsidR="0039459A" w:rsidRPr="00D73D6A">
        <w:rPr>
          <w:sz w:val="28"/>
          <w:szCs w:val="28"/>
        </w:rPr>
        <w:t>In the</w:t>
      </w:r>
      <w:r w:rsidR="00435C3C" w:rsidRPr="00D73D6A">
        <w:rPr>
          <w:sz w:val="28"/>
          <w:szCs w:val="28"/>
        </w:rPr>
        <w:t>se</w:t>
      </w:r>
      <w:r w:rsidR="0039459A" w:rsidRPr="00D73D6A">
        <w:rPr>
          <w:sz w:val="28"/>
          <w:szCs w:val="28"/>
        </w:rPr>
        <w:t xml:space="preserve"> circumstances both Hou</w:t>
      </w:r>
      <w:r w:rsidR="00A404E5" w:rsidRPr="00D73D6A">
        <w:rPr>
          <w:sz w:val="28"/>
          <w:szCs w:val="28"/>
        </w:rPr>
        <w:t>t</w:t>
      </w:r>
      <w:r w:rsidR="0039459A" w:rsidRPr="00D73D6A">
        <w:rPr>
          <w:sz w:val="28"/>
          <w:szCs w:val="28"/>
        </w:rPr>
        <w:t xml:space="preserve">bosplaas and TBS Alpha were </w:t>
      </w:r>
      <w:r w:rsidR="00A86683" w:rsidRPr="00D73D6A">
        <w:rPr>
          <w:sz w:val="28"/>
          <w:szCs w:val="28"/>
        </w:rPr>
        <w:t xml:space="preserve">rightfully </w:t>
      </w:r>
      <w:r w:rsidR="0039459A" w:rsidRPr="00D73D6A">
        <w:rPr>
          <w:sz w:val="28"/>
          <w:szCs w:val="28"/>
        </w:rPr>
        <w:t>entitled to judgment in the amounts claimed</w:t>
      </w:r>
      <w:r w:rsidR="00435C3C" w:rsidRPr="00D73D6A">
        <w:rPr>
          <w:sz w:val="28"/>
          <w:szCs w:val="28"/>
        </w:rPr>
        <w:t>,</w:t>
      </w:r>
      <w:r w:rsidR="0039459A" w:rsidRPr="00D73D6A">
        <w:rPr>
          <w:sz w:val="28"/>
          <w:szCs w:val="28"/>
        </w:rPr>
        <w:t xml:space="preserve"> representing </w:t>
      </w:r>
      <w:r w:rsidR="0039459A" w:rsidRPr="00D73D6A">
        <w:rPr>
          <w:i/>
          <w:sz w:val="28"/>
          <w:szCs w:val="28"/>
        </w:rPr>
        <w:t>mora</w:t>
      </w:r>
      <w:r w:rsidR="0039459A" w:rsidRPr="00D73D6A">
        <w:rPr>
          <w:sz w:val="28"/>
          <w:szCs w:val="28"/>
        </w:rPr>
        <w:t xml:space="preserve"> interest </w:t>
      </w:r>
      <w:r w:rsidR="00A01E65" w:rsidRPr="00D73D6A">
        <w:rPr>
          <w:sz w:val="28"/>
          <w:szCs w:val="28"/>
        </w:rPr>
        <w:t>calculated</w:t>
      </w:r>
      <w:r w:rsidR="0039459A" w:rsidRPr="00D73D6A">
        <w:rPr>
          <w:sz w:val="28"/>
          <w:szCs w:val="28"/>
        </w:rPr>
        <w:t xml:space="preserve"> from 20 January 2017 (ie the date of demand), to 10 July 201</w:t>
      </w:r>
      <w:r w:rsidR="00A404E5" w:rsidRPr="00D73D6A">
        <w:rPr>
          <w:sz w:val="28"/>
          <w:szCs w:val="28"/>
        </w:rPr>
        <w:t>7</w:t>
      </w:r>
      <w:r w:rsidR="0039459A" w:rsidRPr="00D73D6A">
        <w:rPr>
          <w:sz w:val="28"/>
          <w:szCs w:val="28"/>
        </w:rPr>
        <w:t xml:space="preserve"> (ie</w:t>
      </w:r>
      <w:r w:rsidR="00221076" w:rsidRPr="00D73D6A">
        <w:rPr>
          <w:sz w:val="28"/>
          <w:szCs w:val="28"/>
        </w:rPr>
        <w:t> </w:t>
      </w:r>
      <w:r w:rsidR="0039459A" w:rsidRPr="00D73D6A">
        <w:rPr>
          <w:sz w:val="28"/>
          <w:szCs w:val="28"/>
        </w:rPr>
        <w:t>the date on which effect w</w:t>
      </w:r>
      <w:r w:rsidR="00A404E5" w:rsidRPr="00D73D6A">
        <w:rPr>
          <w:sz w:val="28"/>
          <w:szCs w:val="28"/>
        </w:rPr>
        <w:t>a</w:t>
      </w:r>
      <w:r w:rsidR="0039459A" w:rsidRPr="00D73D6A">
        <w:rPr>
          <w:sz w:val="28"/>
          <w:szCs w:val="28"/>
        </w:rPr>
        <w:t xml:space="preserve">s given to their instruction to close the accounts and pay over the various funds held in those accounts to ABSA Bank). </w:t>
      </w:r>
    </w:p>
    <w:p w14:paraId="01DB2516" w14:textId="77777777" w:rsidR="0039459A" w:rsidRPr="00D73D6A" w:rsidRDefault="0039459A" w:rsidP="001743D2">
      <w:pPr>
        <w:tabs>
          <w:tab w:val="left" w:pos="0"/>
          <w:tab w:val="left" w:pos="709"/>
        </w:tabs>
        <w:spacing w:line="360" w:lineRule="auto"/>
        <w:jc w:val="both"/>
        <w:rPr>
          <w:sz w:val="28"/>
          <w:szCs w:val="28"/>
        </w:rPr>
      </w:pPr>
    </w:p>
    <w:p w14:paraId="4A236C9E" w14:textId="694BCAFE" w:rsidR="002D434E" w:rsidRPr="00D73D6A" w:rsidRDefault="002D434E" w:rsidP="002D434E">
      <w:pPr>
        <w:tabs>
          <w:tab w:val="left" w:pos="0"/>
          <w:tab w:val="left" w:pos="709"/>
        </w:tabs>
        <w:spacing w:line="360" w:lineRule="auto"/>
        <w:jc w:val="both"/>
        <w:rPr>
          <w:sz w:val="28"/>
          <w:szCs w:val="28"/>
        </w:rPr>
      </w:pPr>
      <w:r w:rsidRPr="00D73D6A">
        <w:rPr>
          <w:sz w:val="28"/>
          <w:szCs w:val="28"/>
        </w:rPr>
        <w:t>[</w:t>
      </w:r>
      <w:r w:rsidR="00C6094A" w:rsidRPr="00D73D6A">
        <w:rPr>
          <w:sz w:val="28"/>
          <w:szCs w:val="28"/>
        </w:rPr>
        <w:t>57</w:t>
      </w:r>
      <w:r w:rsidRPr="00D73D6A">
        <w:rPr>
          <w:sz w:val="28"/>
          <w:szCs w:val="28"/>
        </w:rPr>
        <w:t>]</w:t>
      </w:r>
      <w:r w:rsidRPr="00D73D6A">
        <w:rPr>
          <w:sz w:val="28"/>
          <w:szCs w:val="28"/>
        </w:rPr>
        <w:tab/>
        <w:t>The conclusion reached above addresses both the question whether with the exclusion of preference shareholders at general meetings of the companies</w:t>
      </w:r>
      <w:r w:rsidR="00221076" w:rsidRPr="00D73D6A">
        <w:rPr>
          <w:sz w:val="28"/>
          <w:szCs w:val="28"/>
        </w:rPr>
        <w:t>,</w:t>
      </w:r>
      <w:r w:rsidRPr="00D73D6A">
        <w:rPr>
          <w:sz w:val="28"/>
          <w:szCs w:val="28"/>
        </w:rPr>
        <w:t xml:space="preserve"> the four trusts</w:t>
      </w:r>
      <w:r w:rsidR="00435C3C" w:rsidRPr="00D73D6A">
        <w:rPr>
          <w:sz w:val="28"/>
          <w:szCs w:val="28"/>
        </w:rPr>
        <w:t>,</w:t>
      </w:r>
      <w:r w:rsidRPr="00D73D6A">
        <w:rPr>
          <w:sz w:val="28"/>
          <w:szCs w:val="28"/>
        </w:rPr>
        <w:t xml:space="preserve"> as holders of ordinary shares only</w:t>
      </w:r>
      <w:r w:rsidR="00435C3C" w:rsidRPr="00D73D6A">
        <w:rPr>
          <w:sz w:val="28"/>
          <w:szCs w:val="28"/>
        </w:rPr>
        <w:t>,</w:t>
      </w:r>
      <w:r w:rsidRPr="00D73D6A">
        <w:rPr>
          <w:sz w:val="28"/>
          <w:szCs w:val="28"/>
        </w:rPr>
        <w:t xml:space="preserve"> exercise 25% voting rights at general meetings and the question whether Nedbank was in law justified to insist on being provided with copies of the various trust deeds in circumstances where none of the trusts was Nedbank's client. Both questions have been answered against Nedbank. </w:t>
      </w:r>
      <w:r w:rsidR="00435C3C" w:rsidRPr="00D73D6A">
        <w:rPr>
          <w:sz w:val="28"/>
          <w:szCs w:val="28"/>
        </w:rPr>
        <w:t>Thus, in all the</w:t>
      </w:r>
      <w:r w:rsidRPr="00D73D6A">
        <w:rPr>
          <w:sz w:val="28"/>
          <w:szCs w:val="28"/>
        </w:rPr>
        <w:t xml:space="preserve"> circumstances, there is no basis for concluding that Nedbank was justified in refusing to give effect to its erstwhile clients' instructions to close the relevant bank accounts. In so doing Nedbank acted in breach of its obligations. That being so, the appeal should therefore fail. </w:t>
      </w:r>
    </w:p>
    <w:p w14:paraId="00DD7022" w14:textId="77777777" w:rsidR="002D434E" w:rsidRPr="00D73D6A" w:rsidRDefault="002D434E" w:rsidP="001743D2">
      <w:pPr>
        <w:tabs>
          <w:tab w:val="left" w:pos="0"/>
          <w:tab w:val="left" w:pos="709"/>
        </w:tabs>
        <w:spacing w:line="360" w:lineRule="auto"/>
        <w:jc w:val="both"/>
        <w:rPr>
          <w:sz w:val="28"/>
          <w:szCs w:val="28"/>
        </w:rPr>
      </w:pPr>
    </w:p>
    <w:p w14:paraId="29353F42" w14:textId="6802E03D" w:rsidR="0039459A" w:rsidRPr="00D73D6A" w:rsidRDefault="0039459A" w:rsidP="001743D2">
      <w:pPr>
        <w:tabs>
          <w:tab w:val="left" w:pos="0"/>
          <w:tab w:val="left" w:pos="709"/>
        </w:tabs>
        <w:spacing w:line="360" w:lineRule="auto"/>
        <w:jc w:val="both"/>
        <w:rPr>
          <w:sz w:val="28"/>
          <w:szCs w:val="28"/>
        </w:rPr>
      </w:pPr>
      <w:r w:rsidRPr="00D73D6A">
        <w:rPr>
          <w:sz w:val="28"/>
          <w:szCs w:val="28"/>
        </w:rPr>
        <w:lastRenderedPageBreak/>
        <w:t>[</w:t>
      </w:r>
      <w:r w:rsidR="00C6094A" w:rsidRPr="00D73D6A">
        <w:rPr>
          <w:sz w:val="28"/>
          <w:szCs w:val="28"/>
        </w:rPr>
        <w:t>58</w:t>
      </w:r>
      <w:r w:rsidRPr="00D73D6A">
        <w:rPr>
          <w:sz w:val="28"/>
          <w:szCs w:val="28"/>
        </w:rPr>
        <w:t>]</w:t>
      </w:r>
      <w:r w:rsidRPr="00D73D6A">
        <w:rPr>
          <w:sz w:val="28"/>
          <w:szCs w:val="28"/>
        </w:rPr>
        <w:tab/>
        <w:t>In the result the following order is made:</w:t>
      </w:r>
    </w:p>
    <w:p w14:paraId="7AC894AD" w14:textId="68AE0723" w:rsidR="0039459A" w:rsidRPr="00D73D6A" w:rsidRDefault="0039459A" w:rsidP="001743D2">
      <w:pPr>
        <w:tabs>
          <w:tab w:val="left" w:pos="0"/>
          <w:tab w:val="left" w:pos="709"/>
        </w:tabs>
        <w:spacing w:line="360" w:lineRule="auto"/>
        <w:jc w:val="both"/>
        <w:rPr>
          <w:sz w:val="28"/>
          <w:szCs w:val="28"/>
        </w:rPr>
      </w:pPr>
      <w:r w:rsidRPr="00D73D6A">
        <w:rPr>
          <w:sz w:val="28"/>
          <w:szCs w:val="28"/>
        </w:rPr>
        <w:t xml:space="preserve">The appeal is dismissed with costs. </w:t>
      </w:r>
    </w:p>
    <w:p w14:paraId="35F551F9" w14:textId="0F1408B6" w:rsidR="009E455F" w:rsidRPr="00D73D6A" w:rsidRDefault="009E455F" w:rsidP="009E455F">
      <w:pPr>
        <w:tabs>
          <w:tab w:val="left" w:pos="709"/>
        </w:tabs>
        <w:spacing w:line="360" w:lineRule="auto"/>
        <w:ind w:left="709" w:hanging="709"/>
        <w:jc w:val="both"/>
        <w:rPr>
          <w:sz w:val="28"/>
          <w:szCs w:val="28"/>
        </w:rPr>
      </w:pPr>
      <w:bookmarkStart w:id="0" w:name="_GoBack"/>
      <w:bookmarkEnd w:id="0"/>
    </w:p>
    <w:p w14:paraId="633A6391" w14:textId="14D7F26E" w:rsidR="00902D42" w:rsidRPr="00D73D6A" w:rsidRDefault="00902D42" w:rsidP="00902D42">
      <w:pPr>
        <w:tabs>
          <w:tab w:val="left" w:pos="284"/>
        </w:tabs>
        <w:spacing w:before="240" w:line="360" w:lineRule="auto"/>
        <w:jc w:val="both"/>
        <w:rPr>
          <w:sz w:val="28"/>
          <w:szCs w:val="28"/>
        </w:rPr>
      </w:pPr>
    </w:p>
    <w:p w14:paraId="7EEF5B10" w14:textId="33F5AFBA" w:rsidR="008B223B" w:rsidRPr="00D73D6A" w:rsidRDefault="00322A94" w:rsidP="00125697">
      <w:pPr>
        <w:spacing w:line="360" w:lineRule="auto"/>
        <w:ind w:firstLine="4860"/>
        <w:jc w:val="right"/>
        <w:rPr>
          <w:sz w:val="28"/>
          <w:szCs w:val="28"/>
          <w:lang w:val="en-ZA"/>
        </w:rPr>
      </w:pPr>
      <w:r w:rsidRPr="00D73D6A">
        <w:rPr>
          <w:sz w:val="28"/>
          <w:szCs w:val="28"/>
          <w:u w:val="single"/>
          <w:lang w:val="en-ZA"/>
        </w:rPr>
        <w:tab/>
      </w:r>
      <w:r w:rsidRPr="00D73D6A">
        <w:rPr>
          <w:sz w:val="28"/>
          <w:szCs w:val="28"/>
          <w:u w:val="single"/>
          <w:lang w:val="en-ZA"/>
        </w:rPr>
        <w:tab/>
      </w:r>
      <w:r w:rsidRPr="00D73D6A">
        <w:rPr>
          <w:sz w:val="28"/>
          <w:szCs w:val="28"/>
          <w:u w:val="single"/>
          <w:lang w:val="en-ZA"/>
        </w:rPr>
        <w:tab/>
      </w:r>
      <w:r w:rsidRPr="00D73D6A">
        <w:rPr>
          <w:sz w:val="28"/>
          <w:szCs w:val="28"/>
          <w:u w:val="single"/>
          <w:lang w:val="en-ZA"/>
        </w:rPr>
        <w:tab/>
      </w:r>
      <w:r w:rsidRPr="00D73D6A">
        <w:rPr>
          <w:sz w:val="28"/>
          <w:szCs w:val="28"/>
          <w:u w:val="single"/>
          <w:lang w:val="en-ZA"/>
        </w:rPr>
        <w:tab/>
      </w:r>
      <w:r w:rsidRPr="00D73D6A">
        <w:rPr>
          <w:sz w:val="28"/>
          <w:szCs w:val="28"/>
          <w:u w:val="single"/>
          <w:lang w:val="en-ZA"/>
        </w:rPr>
        <w:tab/>
      </w:r>
    </w:p>
    <w:p w14:paraId="3F856F78" w14:textId="47B0A6B5" w:rsidR="008B223B" w:rsidRPr="00D73D6A" w:rsidRDefault="00322A94">
      <w:pPr>
        <w:spacing w:line="360" w:lineRule="auto"/>
        <w:ind w:firstLine="4860"/>
        <w:jc w:val="right"/>
        <w:rPr>
          <w:sz w:val="28"/>
          <w:szCs w:val="28"/>
          <w:lang w:val="en-ZA"/>
        </w:rPr>
      </w:pPr>
      <w:r w:rsidRPr="00D73D6A">
        <w:rPr>
          <w:sz w:val="28"/>
          <w:szCs w:val="28"/>
          <w:lang w:val="en-ZA"/>
        </w:rPr>
        <w:t>X M PETSE</w:t>
      </w:r>
    </w:p>
    <w:p w14:paraId="7D1235C4" w14:textId="4F37CE6C" w:rsidR="008B223B" w:rsidRPr="00D73D6A" w:rsidRDefault="007666B9">
      <w:pPr>
        <w:spacing w:line="360" w:lineRule="auto"/>
        <w:ind w:firstLine="4860"/>
        <w:jc w:val="right"/>
        <w:rPr>
          <w:sz w:val="28"/>
          <w:szCs w:val="28"/>
          <w:lang w:val="en-ZA"/>
        </w:rPr>
      </w:pPr>
      <w:r w:rsidRPr="00D73D6A">
        <w:rPr>
          <w:sz w:val="28"/>
          <w:szCs w:val="28"/>
          <w:lang w:val="en-ZA"/>
        </w:rPr>
        <w:t>DEPUTY</w:t>
      </w:r>
      <w:r w:rsidR="00322A94" w:rsidRPr="00D73D6A">
        <w:rPr>
          <w:sz w:val="28"/>
          <w:szCs w:val="28"/>
          <w:lang w:val="en-ZA"/>
        </w:rPr>
        <w:t xml:space="preserve"> PRESIDENT</w:t>
      </w:r>
    </w:p>
    <w:p w14:paraId="3EA5A4FA" w14:textId="77777777" w:rsidR="008B223B" w:rsidRPr="00D73D6A" w:rsidRDefault="00322A94">
      <w:pPr>
        <w:spacing w:line="360" w:lineRule="auto"/>
        <w:ind w:firstLine="4860"/>
        <w:jc w:val="right"/>
        <w:rPr>
          <w:sz w:val="28"/>
          <w:szCs w:val="28"/>
          <w:lang w:val="en-ZA"/>
        </w:rPr>
      </w:pPr>
      <w:r w:rsidRPr="00D73D6A">
        <w:rPr>
          <w:sz w:val="28"/>
          <w:szCs w:val="28"/>
          <w:lang w:val="en-ZA"/>
        </w:rPr>
        <w:t>SUPREME COURT OF APPEAL</w:t>
      </w:r>
    </w:p>
    <w:p w14:paraId="73B6DF90" w14:textId="77777777" w:rsidR="00594D78" w:rsidRPr="00D73D6A" w:rsidRDefault="00594D78">
      <w:pPr>
        <w:rPr>
          <w:sz w:val="28"/>
          <w:szCs w:val="28"/>
        </w:rPr>
      </w:pPr>
      <w:r w:rsidRPr="00D73D6A">
        <w:rPr>
          <w:sz w:val="28"/>
          <w:szCs w:val="28"/>
        </w:rPr>
        <w:br w:type="page"/>
      </w:r>
    </w:p>
    <w:p w14:paraId="49AB81DC" w14:textId="77777777" w:rsidR="008B223B" w:rsidRPr="00D73D6A" w:rsidRDefault="00322A94">
      <w:pPr>
        <w:spacing w:line="360" w:lineRule="auto"/>
        <w:jc w:val="both"/>
        <w:rPr>
          <w:sz w:val="28"/>
          <w:szCs w:val="28"/>
        </w:rPr>
      </w:pPr>
      <w:r w:rsidRPr="00D73D6A">
        <w:rPr>
          <w:sz w:val="28"/>
          <w:szCs w:val="28"/>
        </w:rPr>
        <w:lastRenderedPageBreak/>
        <w:t>APPEARANCES</w:t>
      </w:r>
    </w:p>
    <w:p w14:paraId="53A1BA26" w14:textId="77777777" w:rsidR="008B223B" w:rsidRPr="00D73D6A" w:rsidRDefault="008B223B">
      <w:pPr>
        <w:spacing w:line="360" w:lineRule="auto"/>
        <w:jc w:val="both"/>
        <w:rPr>
          <w:sz w:val="28"/>
          <w:szCs w:val="28"/>
        </w:rPr>
      </w:pPr>
    </w:p>
    <w:p w14:paraId="7E6F2CDA" w14:textId="6BA69608" w:rsidR="008B223B" w:rsidRPr="00D73D6A" w:rsidRDefault="008234CB" w:rsidP="00D33E3D">
      <w:pPr>
        <w:tabs>
          <w:tab w:val="left" w:pos="2835"/>
        </w:tabs>
        <w:spacing w:line="360" w:lineRule="auto"/>
        <w:ind w:left="2880" w:hanging="2880"/>
        <w:jc w:val="both"/>
        <w:rPr>
          <w:sz w:val="28"/>
          <w:szCs w:val="28"/>
        </w:rPr>
      </w:pPr>
      <w:r w:rsidRPr="00D73D6A">
        <w:rPr>
          <w:sz w:val="28"/>
          <w:szCs w:val="28"/>
        </w:rPr>
        <w:t>For the appellant</w:t>
      </w:r>
      <w:r w:rsidR="00322A94" w:rsidRPr="00D73D6A">
        <w:rPr>
          <w:sz w:val="28"/>
          <w:szCs w:val="28"/>
        </w:rPr>
        <w:t>:</w:t>
      </w:r>
      <w:r w:rsidRPr="00D73D6A">
        <w:rPr>
          <w:sz w:val="28"/>
          <w:szCs w:val="28"/>
        </w:rPr>
        <w:tab/>
      </w:r>
      <w:r w:rsidRPr="00D73D6A">
        <w:rPr>
          <w:sz w:val="28"/>
          <w:szCs w:val="28"/>
        </w:rPr>
        <w:tab/>
      </w:r>
      <w:r w:rsidR="00D33E3D" w:rsidRPr="00D73D6A">
        <w:rPr>
          <w:sz w:val="28"/>
          <w:szCs w:val="28"/>
        </w:rPr>
        <w:t>A Friedman (with T Mphahlwa) (heads of argument draw</w:t>
      </w:r>
      <w:r w:rsidR="00417E14" w:rsidRPr="00D73D6A">
        <w:rPr>
          <w:sz w:val="28"/>
          <w:szCs w:val="28"/>
        </w:rPr>
        <w:t>n</w:t>
      </w:r>
      <w:r w:rsidR="00D33E3D" w:rsidRPr="00D73D6A">
        <w:rPr>
          <w:sz w:val="28"/>
          <w:szCs w:val="28"/>
        </w:rPr>
        <w:t xml:space="preserve"> by K Hofmeyr SC with </w:t>
      </w:r>
      <w:r w:rsidR="00417E14" w:rsidRPr="00D73D6A">
        <w:rPr>
          <w:sz w:val="28"/>
          <w:szCs w:val="28"/>
        </w:rPr>
        <w:t xml:space="preserve">T </w:t>
      </w:r>
      <w:r w:rsidR="00D33E3D" w:rsidRPr="00D73D6A">
        <w:rPr>
          <w:sz w:val="28"/>
          <w:szCs w:val="28"/>
        </w:rPr>
        <w:t>Mphahlwa)</w:t>
      </w:r>
    </w:p>
    <w:p w14:paraId="0A189A5D" w14:textId="45ACB15D" w:rsidR="008B223B" w:rsidRPr="00D73D6A" w:rsidRDefault="00322A94">
      <w:pPr>
        <w:spacing w:line="360" w:lineRule="auto"/>
        <w:jc w:val="both"/>
        <w:rPr>
          <w:sz w:val="28"/>
          <w:szCs w:val="28"/>
        </w:rPr>
      </w:pPr>
      <w:r w:rsidRPr="00D73D6A">
        <w:rPr>
          <w:sz w:val="28"/>
          <w:szCs w:val="28"/>
        </w:rPr>
        <w:t>Instructed by:</w:t>
      </w:r>
      <w:r w:rsidR="008234CB" w:rsidRPr="00D73D6A">
        <w:rPr>
          <w:sz w:val="28"/>
          <w:szCs w:val="28"/>
        </w:rPr>
        <w:tab/>
      </w:r>
      <w:r w:rsidR="008234CB" w:rsidRPr="00D73D6A">
        <w:rPr>
          <w:sz w:val="28"/>
          <w:szCs w:val="28"/>
        </w:rPr>
        <w:tab/>
      </w:r>
      <w:r w:rsidR="00D33E3D" w:rsidRPr="00D73D6A">
        <w:rPr>
          <w:sz w:val="28"/>
          <w:szCs w:val="28"/>
        </w:rPr>
        <w:t>Cliffe Dekker Hofmeyr Inc.</w:t>
      </w:r>
      <w:r w:rsidR="008234CB" w:rsidRPr="00D73D6A">
        <w:rPr>
          <w:sz w:val="28"/>
          <w:szCs w:val="28"/>
        </w:rPr>
        <w:t xml:space="preserve">, </w:t>
      </w:r>
      <w:r w:rsidR="00AF4824" w:rsidRPr="00D73D6A">
        <w:rPr>
          <w:sz w:val="28"/>
          <w:szCs w:val="28"/>
        </w:rPr>
        <w:t>Johannesburg</w:t>
      </w:r>
    </w:p>
    <w:p w14:paraId="6CE69C4D" w14:textId="24DEF85E" w:rsidR="008B223B" w:rsidRPr="00D73D6A" w:rsidRDefault="00D33E3D" w:rsidP="008234CB">
      <w:pPr>
        <w:spacing w:line="360" w:lineRule="auto"/>
        <w:ind w:left="2160" w:firstLine="720"/>
        <w:jc w:val="both"/>
        <w:rPr>
          <w:sz w:val="28"/>
          <w:szCs w:val="28"/>
        </w:rPr>
      </w:pPr>
      <w:r w:rsidRPr="00D73D6A">
        <w:rPr>
          <w:sz w:val="28"/>
          <w:szCs w:val="28"/>
        </w:rPr>
        <w:t>Webbers</w:t>
      </w:r>
      <w:r w:rsidR="00CF61CC" w:rsidRPr="00D73D6A">
        <w:rPr>
          <w:sz w:val="28"/>
          <w:szCs w:val="28"/>
        </w:rPr>
        <w:t xml:space="preserve"> Attorneys Inc.</w:t>
      </w:r>
      <w:r w:rsidR="00322A94" w:rsidRPr="00D73D6A">
        <w:rPr>
          <w:sz w:val="28"/>
          <w:szCs w:val="28"/>
        </w:rPr>
        <w:t xml:space="preserve">, Bloemfontein </w:t>
      </w:r>
    </w:p>
    <w:p w14:paraId="660730DA" w14:textId="77777777" w:rsidR="008234CB" w:rsidRPr="00D73D6A" w:rsidRDefault="008234CB">
      <w:pPr>
        <w:tabs>
          <w:tab w:val="left" w:pos="2340"/>
        </w:tabs>
        <w:spacing w:line="360" w:lineRule="auto"/>
        <w:jc w:val="both"/>
        <w:rPr>
          <w:sz w:val="28"/>
          <w:szCs w:val="28"/>
        </w:rPr>
      </w:pPr>
    </w:p>
    <w:p w14:paraId="3CEA1734" w14:textId="341C53EF" w:rsidR="008B223B" w:rsidRPr="00D73D6A" w:rsidRDefault="00322A94">
      <w:pPr>
        <w:tabs>
          <w:tab w:val="left" w:pos="2340"/>
        </w:tabs>
        <w:spacing w:line="360" w:lineRule="auto"/>
        <w:jc w:val="both"/>
        <w:rPr>
          <w:sz w:val="28"/>
          <w:szCs w:val="28"/>
        </w:rPr>
      </w:pPr>
      <w:r w:rsidRPr="00D73D6A">
        <w:rPr>
          <w:sz w:val="28"/>
          <w:szCs w:val="28"/>
        </w:rPr>
        <w:t>For the respondent</w:t>
      </w:r>
      <w:r w:rsidR="00D33E3D" w:rsidRPr="00D73D6A">
        <w:rPr>
          <w:sz w:val="28"/>
          <w:szCs w:val="28"/>
        </w:rPr>
        <w:t>s</w:t>
      </w:r>
      <w:r w:rsidRPr="00D73D6A">
        <w:rPr>
          <w:sz w:val="28"/>
          <w:szCs w:val="28"/>
        </w:rPr>
        <w:t>:</w:t>
      </w:r>
      <w:r w:rsidR="008234CB" w:rsidRPr="00D73D6A">
        <w:rPr>
          <w:sz w:val="28"/>
          <w:szCs w:val="28"/>
        </w:rPr>
        <w:tab/>
      </w:r>
      <w:r w:rsidR="008234CB" w:rsidRPr="00D73D6A">
        <w:rPr>
          <w:sz w:val="28"/>
          <w:szCs w:val="28"/>
        </w:rPr>
        <w:tab/>
      </w:r>
      <w:r w:rsidR="00D33E3D" w:rsidRPr="00D73D6A">
        <w:rPr>
          <w:sz w:val="28"/>
          <w:szCs w:val="28"/>
        </w:rPr>
        <w:t>C A Da Silva SC</w:t>
      </w:r>
    </w:p>
    <w:p w14:paraId="7B88F0F7" w14:textId="71304AFE" w:rsidR="008B223B" w:rsidRPr="00D73D6A" w:rsidRDefault="00322A94">
      <w:pPr>
        <w:tabs>
          <w:tab w:val="left" w:pos="2340"/>
          <w:tab w:val="left" w:pos="2520"/>
        </w:tabs>
        <w:spacing w:line="360" w:lineRule="auto"/>
        <w:jc w:val="both"/>
        <w:rPr>
          <w:sz w:val="28"/>
          <w:szCs w:val="28"/>
        </w:rPr>
      </w:pPr>
      <w:r w:rsidRPr="00D73D6A">
        <w:rPr>
          <w:sz w:val="28"/>
          <w:szCs w:val="28"/>
        </w:rPr>
        <w:t>Instructed by:</w:t>
      </w:r>
      <w:r w:rsidR="008234CB" w:rsidRPr="00D73D6A">
        <w:rPr>
          <w:sz w:val="28"/>
          <w:szCs w:val="28"/>
        </w:rPr>
        <w:tab/>
      </w:r>
      <w:r w:rsidR="008234CB" w:rsidRPr="00D73D6A">
        <w:rPr>
          <w:sz w:val="28"/>
          <w:szCs w:val="28"/>
        </w:rPr>
        <w:tab/>
      </w:r>
      <w:r w:rsidR="008234CB" w:rsidRPr="00D73D6A">
        <w:rPr>
          <w:sz w:val="28"/>
          <w:szCs w:val="28"/>
        </w:rPr>
        <w:tab/>
      </w:r>
      <w:r w:rsidR="00D33E3D" w:rsidRPr="00D73D6A">
        <w:rPr>
          <w:sz w:val="28"/>
          <w:szCs w:val="28"/>
        </w:rPr>
        <w:t>Coetzer and Partners</w:t>
      </w:r>
      <w:r w:rsidRPr="00D73D6A">
        <w:rPr>
          <w:sz w:val="28"/>
          <w:szCs w:val="28"/>
        </w:rPr>
        <w:t xml:space="preserve">, </w:t>
      </w:r>
      <w:r w:rsidR="007666B9" w:rsidRPr="00D73D6A">
        <w:rPr>
          <w:sz w:val="28"/>
          <w:szCs w:val="28"/>
        </w:rPr>
        <w:t>Pretoria</w:t>
      </w:r>
    </w:p>
    <w:p w14:paraId="4F913415" w14:textId="64B9F219" w:rsidR="008B223B" w:rsidRDefault="007666B9" w:rsidP="008234CB">
      <w:pPr>
        <w:spacing w:line="360" w:lineRule="auto"/>
        <w:ind w:left="2160" w:firstLine="720"/>
        <w:jc w:val="both"/>
        <w:rPr>
          <w:sz w:val="28"/>
          <w:szCs w:val="28"/>
        </w:rPr>
      </w:pPr>
      <w:r w:rsidRPr="00D73D6A">
        <w:rPr>
          <w:sz w:val="28"/>
          <w:szCs w:val="28"/>
        </w:rPr>
        <w:t xml:space="preserve">Honey </w:t>
      </w:r>
      <w:r w:rsidR="00D33E3D" w:rsidRPr="00D73D6A">
        <w:rPr>
          <w:sz w:val="28"/>
          <w:szCs w:val="28"/>
        </w:rPr>
        <w:t xml:space="preserve">Attorneys </w:t>
      </w:r>
      <w:r w:rsidRPr="00D73D6A">
        <w:rPr>
          <w:sz w:val="28"/>
          <w:szCs w:val="28"/>
        </w:rPr>
        <w:t>Inc.</w:t>
      </w:r>
      <w:r w:rsidR="00322A94" w:rsidRPr="00D73D6A">
        <w:rPr>
          <w:sz w:val="28"/>
          <w:szCs w:val="28"/>
        </w:rPr>
        <w:t>, Bloemfontein</w:t>
      </w:r>
    </w:p>
    <w:p w14:paraId="1087E951" w14:textId="77777777" w:rsidR="008B223B" w:rsidRDefault="008B223B">
      <w:pPr>
        <w:spacing w:line="360" w:lineRule="auto"/>
        <w:jc w:val="both"/>
        <w:rPr>
          <w:sz w:val="28"/>
          <w:szCs w:val="28"/>
        </w:rPr>
      </w:pPr>
    </w:p>
    <w:sectPr w:rsidR="008B223B" w:rsidSect="00E2276D">
      <w:headerReference w:type="even" r:id="rId10"/>
      <w:headerReference w:type="default" r:id="rId11"/>
      <w:headerReference w:type="first" r:id="rId12"/>
      <w:pgSz w:w="12240" w:h="15840"/>
      <w:pgMar w:top="1440" w:right="1608" w:bottom="1440" w:left="1800"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CD696" w16cex:dateUtc="2022-05-16T11:56:00Z"/>
  <w16cex:commentExtensible w16cex:durableId="262CD66C" w16cex:dateUtc="2022-05-16T11:55:00Z"/>
  <w16cex:commentExtensible w16cex:durableId="262CD7E7" w16cex:dateUtc="2022-05-16T1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B995D2" w16cid:durableId="262CD696"/>
  <w16cid:commentId w16cid:paraId="70BF4619" w16cid:durableId="262CD66C"/>
  <w16cid:commentId w16cid:paraId="50E9A96F" w16cid:durableId="262CD7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7773E" w14:textId="77777777" w:rsidR="00BF71E6" w:rsidRDefault="00BF71E6">
      <w:r>
        <w:separator/>
      </w:r>
    </w:p>
  </w:endnote>
  <w:endnote w:type="continuationSeparator" w:id="0">
    <w:p w14:paraId="10A47B77" w14:textId="77777777" w:rsidR="00BF71E6" w:rsidRDefault="00BF7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FDD53" w14:textId="77777777" w:rsidR="00BF71E6" w:rsidRDefault="00BF71E6">
      <w:r>
        <w:separator/>
      </w:r>
    </w:p>
  </w:footnote>
  <w:footnote w:type="continuationSeparator" w:id="0">
    <w:p w14:paraId="6FEE4F7E" w14:textId="77777777" w:rsidR="00BF71E6" w:rsidRDefault="00BF71E6">
      <w:r>
        <w:continuationSeparator/>
      </w:r>
    </w:p>
  </w:footnote>
  <w:footnote w:id="1">
    <w:p w14:paraId="243F38F9" w14:textId="411B143A" w:rsidR="00A86683" w:rsidRPr="00D73D6A" w:rsidRDefault="00A86683" w:rsidP="00802753">
      <w:pPr>
        <w:pStyle w:val="FootnoteText"/>
        <w:jc w:val="both"/>
        <w:rPr>
          <w:i/>
          <w:lang w:val="en-ZA"/>
        </w:rPr>
      </w:pPr>
      <w:r w:rsidRPr="00D73D6A">
        <w:rPr>
          <w:rStyle w:val="FootnoteReference"/>
        </w:rPr>
        <w:footnoteRef/>
      </w:r>
      <w:r w:rsidRPr="00D73D6A">
        <w:t xml:space="preserve"> </w:t>
      </w:r>
      <w:r w:rsidRPr="00D73D6A">
        <w:rPr>
          <w:lang w:val="en-ZA"/>
        </w:rPr>
        <w:t>The contractual relationship between a bank and its customers was described as '</w:t>
      </w:r>
      <w:r w:rsidR="0053053F" w:rsidRPr="00D73D6A">
        <w:rPr>
          <w:lang w:val="en-ZA"/>
        </w:rPr>
        <w:t xml:space="preserve">. . . </w:t>
      </w:r>
      <w:r w:rsidRPr="00D73D6A">
        <w:rPr>
          <w:lang w:val="en-ZA"/>
        </w:rPr>
        <w:t xml:space="preserve">an inherently and </w:t>
      </w:r>
      <w:r w:rsidR="0053053F" w:rsidRPr="00D73D6A">
        <w:rPr>
          <w:lang w:val="en-ZA"/>
        </w:rPr>
        <w:t>conspicuously</w:t>
      </w:r>
      <w:r w:rsidRPr="00D73D6A">
        <w:rPr>
          <w:lang w:val="en-ZA"/>
        </w:rPr>
        <w:t xml:space="preserve"> complex collection of juristic relationships</w:t>
      </w:r>
      <w:r w:rsidR="007C7E76" w:rsidRPr="00D73D6A">
        <w:rPr>
          <w:lang w:val="en-ZA"/>
        </w:rPr>
        <w:t>. . . .</w:t>
      </w:r>
      <w:r w:rsidRPr="00D73D6A">
        <w:rPr>
          <w:lang w:val="en-ZA"/>
        </w:rPr>
        <w:t xml:space="preserve">' by Moseneke AJ in </w:t>
      </w:r>
      <w:r w:rsidRPr="00D73D6A">
        <w:rPr>
          <w:i/>
          <w:lang w:val="en-ZA"/>
        </w:rPr>
        <w:t>Standard Bank of SA Ltd v ABSA Bank Ltd and Another</w:t>
      </w:r>
      <w:r w:rsidRPr="00D73D6A">
        <w:rPr>
          <w:lang w:val="en-ZA"/>
        </w:rPr>
        <w:t xml:space="preserve"> </w:t>
      </w:r>
      <w:r w:rsidR="000441D4" w:rsidRPr="00D73D6A">
        <w:rPr>
          <w:lang w:val="en-ZA"/>
        </w:rPr>
        <w:t xml:space="preserve">[1995] All SA 535 (T); </w:t>
      </w:r>
      <w:r w:rsidRPr="00D73D6A">
        <w:rPr>
          <w:lang w:val="en-ZA"/>
        </w:rPr>
        <w:t>1995 (2) SA 740 (T) at 746G-747E.</w:t>
      </w:r>
      <w:r w:rsidRPr="00D73D6A">
        <w:rPr>
          <w:i/>
          <w:lang w:val="en-ZA"/>
        </w:rPr>
        <w:t xml:space="preserve"> </w:t>
      </w:r>
    </w:p>
  </w:footnote>
  <w:footnote w:id="2">
    <w:p w14:paraId="6F50BFCF" w14:textId="3E64CF63" w:rsidR="00A86683" w:rsidRPr="00D73D6A" w:rsidRDefault="00A86683" w:rsidP="00802753">
      <w:pPr>
        <w:pStyle w:val="FootnoteText"/>
        <w:jc w:val="both"/>
      </w:pPr>
      <w:r w:rsidRPr="00D73D6A">
        <w:rPr>
          <w:rStyle w:val="FootnoteReference"/>
        </w:rPr>
        <w:footnoteRef/>
      </w:r>
      <w:r w:rsidRPr="00D73D6A">
        <w:t xml:space="preserve"> In so far as the right of preference shareholders are concerned, the companies' memoranda of incorporation</w:t>
      </w:r>
      <w:r w:rsidR="00761528" w:rsidRPr="00D73D6A">
        <w:t>,</w:t>
      </w:r>
      <w:r w:rsidRPr="00D73D6A">
        <w:t xml:space="preserve"> </w:t>
      </w:r>
      <w:r w:rsidR="00761528" w:rsidRPr="00D73D6A">
        <w:t xml:space="preserve">in article 2.1, </w:t>
      </w:r>
      <w:r w:rsidRPr="00D73D6A">
        <w:t>provide</w:t>
      </w:r>
      <w:r w:rsidR="00577041" w:rsidRPr="00D73D6A">
        <w:t xml:space="preserve"> </w:t>
      </w:r>
      <w:r w:rsidRPr="00D73D6A">
        <w:t>as follows:</w:t>
      </w:r>
    </w:p>
    <w:p w14:paraId="2DACA43F" w14:textId="566E6DB4" w:rsidR="00A86683" w:rsidRPr="00D73D6A" w:rsidRDefault="00A86683" w:rsidP="00802753">
      <w:pPr>
        <w:pStyle w:val="FootnoteText"/>
        <w:jc w:val="both"/>
      </w:pPr>
      <w:r w:rsidRPr="00D73D6A">
        <w:t>'</w:t>
      </w:r>
      <w:r w:rsidR="00C94D61" w:rsidRPr="00D73D6A">
        <w:t>Shares</w:t>
      </w:r>
    </w:p>
    <w:p w14:paraId="3F7068BA" w14:textId="460222D1" w:rsidR="00C94D61" w:rsidRPr="00D73D6A" w:rsidRDefault="00C94D61" w:rsidP="00802753">
      <w:pPr>
        <w:pStyle w:val="FootnoteText"/>
        <w:tabs>
          <w:tab w:val="left" w:pos="426"/>
        </w:tabs>
        <w:jc w:val="both"/>
      </w:pPr>
      <w:r w:rsidRPr="00D73D6A">
        <w:t>(1)</w:t>
      </w:r>
      <w:r w:rsidRPr="00D73D6A">
        <w:tab/>
        <w:t>The company is authorised to issue no more than:</w:t>
      </w:r>
    </w:p>
    <w:p w14:paraId="65736CD4" w14:textId="499EE86F" w:rsidR="00C94D61" w:rsidRPr="00D73D6A" w:rsidRDefault="00C94D61" w:rsidP="00802753">
      <w:pPr>
        <w:pStyle w:val="FootnoteText"/>
        <w:tabs>
          <w:tab w:val="left" w:pos="426"/>
        </w:tabs>
        <w:jc w:val="both"/>
      </w:pPr>
      <w:r w:rsidRPr="00D73D6A">
        <w:tab/>
        <w:t>1,800 ordinary no par value shares, each of which entitles the holder to–</w:t>
      </w:r>
    </w:p>
    <w:p w14:paraId="5BBF013A" w14:textId="1396FC93" w:rsidR="00C94D61" w:rsidRPr="00D73D6A" w:rsidRDefault="00C94D61" w:rsidP="00802753">
      <w:pPr>
        <w:pStyle w:val="FootnoteText"/>
        <w:tabs>
          <w:tab w:val="left" w:pos="426"/>
        </w:tabs>
        <w:jc w:val="both"/>
      </w:pPr>
      <w:r w:rsidRPr="00D73D6A">
        <w:tab/>
        <w:t>. . .</w:t>
      </w:r>
    </w:p>
    <w:p w14:paraId="7AC89DB4" w14:textId="77777777" w:rsidR="00732008" w:rsidRPr="00D73D6A" w:rsidRDefault="00C94D61" w:rsidP="00802753">
      <w:pPr>
        <w:pStyle w:val="FootnoteText"/>
        <w:tabs>
          <w:tab w:val="left" w:pos="426"/>
        </w:tabs>
        <w:jc w:val="both"/>
      </w:pPr>
      <w:r w:rsidRPr="00D73D6A">
        <w:tab/>
        <w:t xml:space="preserve">2,200 Preference no par value shares, </w:t>
      </w:r>
    </w:p>
    <w:p w14:paraId="0C938D0E" w14:textId="0CF75F62" w:rsidR="00C94D61" w:rsidRPr="00D73D6A" w:rsidRDefault="00732008" w:rsidP="00802753">
      <w:pPr>
        <w:pStyle w:val="FootnoteText"/>
        <w:tabs>
          <w:tab w:val="left" w:pos="426"/>
        </w:tabs>
        <w:jc w:val="both"/>
      </w:pPr>
      <w:r w:rsidRPr="00D73D6A">
        <w:tab/>
      </w:r>
      <w:r w:rsidR="00C94D61" w:rsidRPr="00D73D6A">
        <w:t>each of which have the following rights–</w:t>
      </w:r>
    </w:p>
    <w:p w14:paraId="7BF1980E" w14:textId="4E9A0EEF" w:rsidR="00C94D61" w:rsidRPr="00D73D6A" w:rsidRDefault="00B55FBB" w:rsidP="00802753">
      <w:pPr>
        <w:pStyle w:val="FootnoteText"/>
        <w:tabs>
          <w:tab w:val="left" w:pos="426"/>
        </w:tabs>
        <w:ind w:left="420" w:hanging="420"/>
        <w:jc w:val="both"/>
      </w:pPr>
      <w:r w:rsidRPr="00D73D6A">
        <w:tab/>
      </w:r>
      <w:r w:rsidR="00C94D61" w:rsidRPr="00D73D6A">
        <w:t>Preference Shares are entitled to, and their rights to dividends are limited to a preferred dividend of a percentage of the nominal value, which percentage will be determined by the company upon the issuing of the shares. These preference shares are noncumulative.</w:t>
      </w:r>
    </w:p>
    <w:p w14:paraId="2C99B16A" w14:textId="77777777" w:rsidR="00802753" w:rsidRPr="00D73D6A" w:rsidRDefault="00802753" w:rsidP="00802753">
      <w:pPr>
        <w:pStyle w:val="FootnoteText"/>
        <w:tabs>
          <w:tab w:val="left" w:pos="426"/>
        </w:tabs>
        <w:ind w:left="420" w:hanging="420"/>
        <w:jc w:val="both"/>
      </w:pPr>
    </w:p>
    <w:p w14:paraId="5B4F2297" w14:textId="1F37EC0D" w:rsidR="00C94D61" w:rsidRPr="00D73D6A" w:rsidRDefault="00AD4744" w:rsidP="00802753">
      <w:pPr>
        <w:pStyle w:val="FootnoteText"/>
        <w:tabs>
          <w:tab w:val="left" w:pos="426"/>
        </w:tabs>
        <w:ind w:left="420" w:hanging="420"/>
        <w:jc w:val="both"/>
      </w:pPr>
      <w:r w:rsidRPr="00D73D6A">
        <w:tab/>
      </w:r>
      <w:r w:rsidR="00C94D61" w:rsidRPr="00D73D6A">
        <w:t>The holders of preference shares shall not upon liquidation of the company be entitled to receive anything by way of distribution, with the exception of the nominal value of the shares and any unpaid dividends accruing to the shares.</w:t>
      </w:r>
    </w:p>
    <w:p w14:paraId="3F677F92" w14:textId="77777777" w:rsidR="00802753" w:rsidRPr="00D73D6A" w:rsidRDefault="00802753" w:rsidP="00802753">
      <w:pPr>
        <w:pStyle w:val="FootnoteText"/>
        <w:tabs>
          <w:tab w:val="left" w:pos="426"/>
        </w:tabs>
        <w:ind w:left="420" w:hanging="420"/>
        <w:jc w:val="both"/>
      </w:pPr>
    </w:p>
    <w:p w14:paraId="05EEEC87" w14:textId="0095DD82" w:rsidR="00C94D61" w:rsidRPr="00D73D6A" w:rsidRDefault="00AD4744" w:rsidP="00802753">
      <w:pPr>
        <w:pStyle w:val="FootnoteText"/>
        <w:tabs>
          <w:tab w:val="left" w:pos="426"/>
        </w:tabs>
        <w:ind w:left="420" w:hanging="420"/>
        <w:jc w:val="both"/>
      </w:pPr>
      <w:r w:rsidRPr="00D73D6A">
        <w:tab/>
      </w:r>
      <w:r w:rsidR="00C94D61" w:rsidRPr="00D73D6A">
        <w:t>It is expressly determined that the rights and conditions of the preference shares are not subject to amendments by the company.</w:t>
      </w:r>
    </w:p>
    <w:p w14:paraId="62FCBA7D" w14:textId="77777777" w:rsidR="00802753" w:rsidRPr="00D73D6A" w:rsidRDefault="00802753" w:rsidP="00802753">
      <w:pPr>
        <w:pStyle w:val="FootnoteText"/>
        <w:tabs>
          <w:tab w:val="left" w:pos="426"/>
        </w:tabs>
        <w:ind w:left="420" w:hanging="420"/>
        <w:jc w:val="both"/>
      </w:pPr>
    </w:p>
    <w:p w14:paraId="0008E100" w14:textId="1A9F0E85" w:rsidR="00C94D61" w:rsidRPr="00D73D6A" w:rsidRDefault="00DC661C" w:rsidP="00802753">
      <w:pPr>
        <w:pStyle w:val="FootnoteText"/>
        <w:tabs>
          <w:tab w:val="left" w:pos="426"/>
        </w:tabs>
        <w:ind w:left="420" w:hanging="420"/>
        <w:jc w:val="both"/>
      </w:pPr>
      <w:r w:rsidRPr="00D73D6A">
        <w:tab/>
      </w:r>
      <w:r w:rsidR="00186A50" w:rsidRPr="00D73D6A">
        <w:t>The holders of preference shares will not be entitled to cast their vote when voted upon for a resolution that may have the result that a determination is made concerning the property of the company for their own benefit or for the benefit of their estates. Without derogating from the generality of the aforegoing, they are specifically not entitled or authorized to vote for a resolution that may have the effect of:</w:t>
      </w:r>
    </w:p>
    <w:p w14:paraId="148B33C4" w14:textId="77777777" w:rsidR="00802753" w:rsidRPr="00D73D6A" w:rsidRDefault="00802753" w:rsidP="00802753">
      <w:pPr>
        <w:pStyle w:val="FootnoteText"/>
        <w:tabs>
          <w:tab w:val="left" w:pos="426"/>
        </w:tabs>
        <w:ind w:left="420" w:hanging="420"/>
        <w:jc w:val="both"/>
      </w:pPr>
    </w:p>
    <w:p w14:paraId="0D5046E2" w14:textId="3B4D9E53" w:rsidR="00186A50" w:rsidRPr="00D73D6A" w:rsidRDefault="00DC661C" w:rsidP="00802753">
      <w:pPr>
        <w:pStyle w:val="FootnoteText"/>
        <w:tabs>
          <w:tab w:val="left" w:pos="426"/>
        </w:tabs>
        <w:ind w:left="420" w:hanging="420"/>
        <w:jc w:val="both"/>
      </w:pPr>
      <w:r w:rsidRPr="00D73D6A">
        <w:tab/>
      </w:r>
      <w:r w:rsidR="00186A50" w:rsidRPr="00D73D6A">
        <w:t>Accruing any of the property of the company for themselves or dispose thereof as they deem fit.</w:t>
      </w:r>
    </w:p>
    <w:p w14:paraId="2BBFB1DE" w14:textId="77777777" w:rsidR="00802753" w:rsidRPr="00D73D6A" w:rsidRDefault="00802753" w:rsidP="00802753">
      <w:pPr>
        <w:pStyle w:val="FootnoteText"/>
        <w:tabs>
          <w:tab w:val="left" w:pos="426"/>
        </w:tabs>
        <w:ind w:left="420" w:hanging="420"/>
        <w:jc w:val="both"/>
      </w:pPr>
    </w:p>
    <w:p w14:paraId="7A723F92" w14:textId="741751B6" w:rsidR="00186A50" w:rsidRPr="00D73D6A" w:rsidRDefault="008F3C9C" w:rsidP="00802753">
      <w:pPr>
        <w:pStyle w:val="FootnoteText"/>
        <w:tabs>
          <w:tab w:val="left" w:pos="426"/>
        </w:tabs>
        <w:ind w:left="420" w:hanging="420"/>
        <w:jc w:val="both"/>
      </w:pPr>
      <w:r w:rsidRPr="00D73D6A">
        <w:tab/>
      </w:r>
      <w:r w:rsidR="00186A50" w:rsidRPr="00D73D6A">
        <w:t xml:space="preserve">The amendment or cancellation of any rights relating to any class of shares, including the authority to redeem preference shares, if they by the exercise of such authority award to themselves any benefit in respect of the assets or profits of the company. </w:t>
      </w:r>
    </w:p>
    <w:p w14:paraId="3DA69892" w14:textId="77777777" w:rsidR="00802753" w:rsidRPr="00D73D6A" w:rsidRDefault="00802753" w:rsidP="00802753">
      <w:pPr>
        <w:pStyle w:val="FootnoteText"/>
        <w:tabs>
          <w:tab w:val="left" w:pos="426"/>
        </w:tabs>
        <w:ind w:left="420" w:hanging="420"/>
        <w:jc w:val="both"/>
      </w:pPr>
    </w:p>
    <w:p w14:paraId="688250A7" w14:textId="3B37F0C8" w:rsidR="00186A50" w:rsidRPr="00D73D6A" w:rsidRDefault="009917BA" w:rsidP="00802753">
      <w:pPr>
        <w:pStyle w:val="FootnoteText"/>
        <w:tabs>
          <w:tab w:val="left" w:pos="426"/>
        </w:tabs>
        <w:ind w:left="420" w:hanging="420"/>
        <w:jc w:val="both"/>
      </w:pPr>
      <w:r w:rsidRPr="00D73D6A">
        <w:tab/>
      </w:r>
      <w:r w:rsidR="00186A50" w:rsidRPr="00D73D6A">
        <w:t>The provisions of this paragraph shall not have the effect of excluding the right of the preference shareholders to vote on any resolution relating to the compensation of directors or other matters within the normal scope of the powers of the company.'</w:t>
      </w:r>
    </w:p>
  </w:footnote>
  <w:footnote w:id="3">
    <w:p w14:paraId="2A381346" w14:textId="6C1CF707" w:rsidR="00A86683" w:rsidRPr="00D73D6A" w:rsidRDefault="00A86683" w:rsidP="00802753">
      <w:pPr>
        <w:pStyle w:val="FootnoteText"/>
        <w:jc w:val="both"/>
        <w:rPr>
          <w:lang w:val="en-ZA"/>
        </w:rPr>
      </w:pPr>
      <w:r w:rsidRPr="00D73D6A">
        <w:rPr>
          <w:rStyle w:val="FootnoteReference"/>
        </w:rPr>
        <w:footnoteRef/>
      </w:r>
      <w:r w:rsidRPr="00D73D6A">
        <w:t xml:space="preserve"> Financial Intelligence Centre Act 38 of 20</w:t>
      </w:r>
      <w:r w:rsidR="005908EB" w:rsidRPr="00D73D6A">
        <w:t>0</w:t>
      </w:r>
      <w:r w:rsidRPr="00D73D6A">
        <w:t>1.</w:t>
      </w:r>
    </w:p>
  </w:footnote>
  <w:footnote w:id="4">
    <w:p w14:paraId="6A3AFFD5" w14:textId="77777777" w:rsidR="00577041" w:rsidRPr="00D73D6A" w:rsidRDefault="00577041" w:rsidP="00577041">
      <w:pPr>
        <w:pStyle w:val="FootnoteText"/>
        <w:jc w:val="both"/>
        <w:rPr>
          <w:lang w:val="en-ZA"/>
        </w:rPr>
      </w:pPr>
      <w:r w:rsidRPr="00D73D6A">
        <w:rPr>
          <w:rStyle w:val="FootnoteReference"/>
        </w:rPr>
        <w:footnoteRef/>
      </w:r>
      <w:r w:rsidRPr="00D73D6A">
        <w:t xml:space="preserve"> </w:t>
      </w:r>
      <w:r w:rsidRPr="00D73D6A">
        <w:rPr>
          <w:lang w:val="en-ZA"/>
        </w:rPr>
        <w:t>Emphases from the high court judgment.</w:t>
      </w:r>
    </w:p>
    <w:p w14:paraId="58FC39E9" w14:textId="3016800B" w:rsidR="00577041" w:rsidRPr="00D73D6A" w:rsidRDefault="00577041">
      <w:pPr>
        <w:pStyle w:val="FootnoteText"/>
        <w:rPr>
          <w:lang w:val="en-ZA"/>
        </w:rPr>
      </w:pPr>
    </w:p>
  </w:footnote>
  <w:footnote w:id="5">
    <w:p w14:paraId="0DD65C32" w14:textId="1C688E52" w:rsidR="00A86683" w:rsidRPr="00D73D6A" w:rsidRDefault="00A86683" w:rsidP="00802753">
      <w:pPr>
        <w:pStyle w:val="FootnoteText"/>
        <w:jc w:val="both"/>
        <w:rPr>
          <w:lang w:val="en-ZA"/>
        </w:rPr>
      </w:pPr>
      <w:r w:rsidRPr="00D73D6A">
        <w:rPr>
          <w:rStyle w:val="FootnoteReference"/>
        </w:rPr>
        <w:footnoteRef/>
      </w:r>
      <w:r w:rsidRPr="00D73D6A">
        <w:t xml:space="preserve"> FICA defines a 'client', in relation to an accountable institution, as 'a person who has entered into business relationship or a single transaction with an accountable institution.' </w:t>
      </w:r>
    </w:p>
  </w:footnote>
  <w:footnote w:id="6">
    <w:p w14:paraId="50D63466" w14:textId="4468722E" w:rsidR="00A86683" w:rsidRPr="00D73D6A" w:rsidRDefault="00A86683" w:rsidP="00915193">
      <w:pPr>
        <w:pStyle w:val="FootnoteText"/>
        <w:jc w:val="both"/>
        <w:rPr>
          <w:lang w:val="en-ZA"/>
        </w:rPr>
      </w:pPr>
      <w:r w:rsidRPr="00D73D6A">
        <w:rPr>
          <w:rStyle w:val="FootnoteReference"/>
        </w:rPr>
        <w:footnoteRef/>
      </w:r>
      <w:r w:rsidRPr="00D73D6A">
        <w:t xml:space="preserve"> See the Preamble.</w:t>
      </w:r>
    </w:p>
  </w:footnote>
  <w:footnote w:id="7">
    <w:p w14:paraId="12DCFD90" w14:textId="305D46D9" w:rsidR="00A86683" w:rsidRPr="00D73D6A" w:rsidRDefault="00A86683" w:rsidP="00F4300C">
      <w:pPr>
        <w:pStyle w:val="FootnoteText"/>
        <w:jc w:val="both"/>
        <w:rPr>
          <w:lang w:val="en-ZA"/>
        </w:rPr>
      </w:pPr>
      <w:r w:rsidRPr="00D73D6A">
        <w:rPr>
          <w:rStyle w:val="FootnoteReference"/>
        </w:rPr>
        <w:footnoteRef/>
      </w:r>
      <w:r w:rsidRPr="00D73D6A">
        <w:t xml:space="preserve"> </w:t>
      </w:r>
      <w:r w:rsidRPr="00D73D6A">
        <w:rPr>
          <w:lang w:val="en-ZA"/>
        </w:rPr>
        <w:t>Section 2 reads:</w:t>
      </w:r>
    </w:p>
    <w:p w14:paraId="263BD575" w14:textId="588980A3" w:rsidR="00F3077E" w:rsidRPr="00D73D6A" w:rsidRDefault="00A86683" w:rsidP="00F4300C">
      <w:pPr>
        <w:pStyle w:val="FootnoteText"/>
        <w:tabs>
          <w:tab w:val="left" w:pos="426"/>
        </w:tabs>
        <w:ind w:left="420" w:hanging="420"/>
        <w:jc w:val="both"/>
        <w:rPr>
          <w:lang w:val="en-ZA"/>
        </w:rPr>
      </w:pPr>
      <w:r w:rsidRPr="00D73D6A">
        <w:rPr>
          <w:lang w:val="en-ZA"/>
        </w:rPr>
        <w:t>'</w:t>
      </w:r>
      <w:r w:rsidR="00F3077E" w:rsidRPr="00D73D6A">
        <w:rPr>
          <w:b/>
          <w:bCs/>
        </w:rPr>
        <w:t>Establishment</w:t>
      </w:r>
    </w:p>
    <w:p w14:paraId="5611D255" w14:textId="6078B4F4" w:rsidR="00A86683" w:rsidRPr="00D73D6A" w:rsidRDefault="00A86683" w:rsidP="00F4300C">
      <w:pPr>
        <w:pStyle w:val="FootnoteText"/>
        <w:tabs>
          <w:tab w:val="left" w:pos="426"/>
        </w:tabs>
        <w:ind w:left="420" w:hanging="420"/>
        <w:jc w:val="both"/>
        <w:rPr>
          <w:lang w:val="en-ZA"/>
        </w:rPr>
      </w:pPr>
      <w:r w:rsidRPr="00D73D6A">
        <w:rPr>
          <w:lang w:val="en-ZA"/>
        </w:rPr>
        <w:t>(1)</w:t>
      </w:r>
      <w:r w:rsidRPr="00D73D6A">
        <w:rPr>
          <w:lang w:val="en-ZA"/>
        </w:rPr>
        <w:tab/>
        <w:t>A Financial Intelligence Centre is hereby established as an institution outside the public service but within the public administration as envisaged in section 195 of the Constitution.</w:t>
      </w:r>
    </w:p>
    <w:p w14:paraId="0154E18B" w14:textId="01868329" w:rsidR="00A86683" w:rsidRPr="00D73D6A" w:rsidRDefault="00A86683" w:rsidP="00F4300C">
      <w:pPr>
        <w:pStyle w:val="FootnoteText"/>
        <w:tabs>
          <w:tab w:val="left" w:pos="426"/>
        </w:tabs>
        <w:jc w:val="both"/>
        <w:rPr>
          <w:lang w:val="en-ZA"/>
        </w:rPr>
      </w:pPr>
      <w:r w:rsidRPr="00D73D6A">
        <w:rPr>
          <w:lang w:val="en-ZA"/>
        </w:rPr>
        <w:t>(2)</w:t>
      </w:r>
      <w:r w:rsidRPr="00D73D6A">
        <w:rPr>
          <w:lang w:val="en-ZA"/>
        </w:rPr>
        <w:tab/>
        <w:t>The Centre is a juristic person.'</w:t>
      </w:r>
    </w:p>
  </w:footnote>
  <w:footnote w:id="8">
    <w:p w14:paraId="413DF729" w14:textId="77777777" w:rsidR="00D154EA" w:rsidRPr="00D73D6A" w:rsidRDefault="00D154EA" w:rsidP="00D154EA">
      <w:pPr>
        <w:pStyle w:val="FootnoteText"/>
        <w:jc w:val="both"/>
        <w:rPr>
          <w:lang w:val="en-ZA"/>
        </w:rPr>
      </w:pPr>
      <w:r w:rsidRPr="00D73D6A">
        <w:rPr>
          <w:rStyle w:val="FootnoteReference"/>
        </w:rPr>
        <w:footnoteRef/>
      </w:r>
      <w:r w:rsidRPr="00D73D6A">
        <w:t xml:space="preserve"> </w:t>
      </w:r>
      <w:r w:rsidRPr="00D73D6A">
        <w:rPr>
          <w:lang w:val="en-ZA"/>
        </w:rPr>
        <w:t>An 'accountable institution' is defined with reference to Schedule I of FICA which contains a list of natural and juristic persons who are described in Schedule I and are regarded as accountable institutions in terms of FICA.</w:t>
      </w:r>
    </w:p>
  </w:footnote>
  <w:footnote w:id="9">
    <w:p w14:paraId="6AD672CD" w14:textId="5362A7BB" w:rsidR="00A86683" w:rsidRPr="00D73D6A" w:rsidRDefault="00A86683" w:rsidP="00DF6B79">
      <w:pPr>
        <w:pStyle w:val="FootnoteText"/>
        <w:jc w:val="both"/>
        <w:rPr>
          <w:lang w:val="en-ZA"/>
        </w:rPr>
      </w:pPr>
      <w:r w:rsidRPr="00D73D6A">
        <w:rPr>
          <w:rStyle w:val="FootnoteReference"/>
        </w:rPr>
        <w:footnoteRef/>
      </w:r>
      <w:r w:rsidRPr="00D73D6A">
        <w:t xml:space="preserve"> </w:t>
      </w:r>
      <w:r w:rsidRPr="00D73D6A">
        <w:rPr>
          <w:lang w:val="en-ZA"/>
        </w:rPr>
        <w:t xml:space="preserve">The Regulations were promulgated in Government Gazette no 24176 of 20 December 2002. </w:t>
      </w:r>
    </w:p>
  </w:footnote>
  <w:footnote w:id="10">
    <w:p w14:paraId="49564DC5" w14:textId="432ACD29" w:rsidR="00A86683" w:rsidRPr="00D73D6A" w:rsidRDefault="00A86683" w:rsidP="00915193">
      <w:pPr>
        <w:pStyle w:val="FootnoteText"/>
        <w:jc w:val="both"/>
        <w:rPr>
          <w:lang w:val="en-ZA"/>
        </w:rPr>
      </w:pPr>
      <w:r w:rsidRPr="00D73D6A">
        <w:rPr>
          <w:rStyle w:val="FootnoteReference"/>
        </w:rPr>
        <w:footnoteRef/>
      </w:r>
      <w:r w:rsidRPr="00D73D6A">
        <w:t xml:space="preserve"> </w:t>
      </w:r>
      <w:r w:rsidRPr="00D73D6A">
        <w:rPr>
          <w:lang w:val="en-ZA"/>
        </w:rPr>
        <w:t>In terms of FICA 'business relationship' means an arrangement between a client and an accountable institution for the purpose of concluding transactions on a regular basis'.</w:t>
      </w:r>
    </w:p>
  </w:footnote>
  <w:footnote w:id="11">
    <w:p w14:paraId="10A51681" w14:textId="632AFA00" w:rsidR="00A86683" w:rsidRPr="00D73D6A" w:rsidRDefault="00A86683" w:rsidP="00DF6B79">
      <w:pPr>
        <w:pStyle w:val="FootnoteText"/>
        <w:jc w:val="both"/>
        <w:rPr>
          <w:lang w:val="en-ZA"/>
        </w:rPr>
      </w:pPr>
      <w:r w:rsidRPr="00D73D6A">
        <w:rPr>
          <w:rStyle w:val="FootnoteReference"/>
        </w:rPr>
        <w:footnoteRef/>
      </w:r>
      <w:r w:rsidRPr="00D73D6A">
        <w:t xml:space="preserve"> </w:t>
      </w:r>
      <w:r w:rsidRPr="00D73D6A">
        <w:rPr>
          <w:lang w:val="en-ZA"/>
        </w:rPr>
        <w:t>A 'single transaction' is, in turn, defined to mean 'a transaction-</w:t>
      </w:r>
    </w:p>
    <w:p w14:paraId="285D116E" w14:textId="6AB708C8" w:rsidR="00A86683" w:rsidRPr="00D73D6A" w:rsidRDefault="00A86683" w:rsidP="00DF6B79">
      <w:pPr>
        <w:pStyle w:val="FootnoteText"/>
        <w:ind w:firstLine="284"/>
        <w:jc w:val="both"/>
        <w:rPr>
          <w:lang w:val="en-ZA"/>
        </w:rPr>
      </w:pPr>
      <w:r w:rsidRPr="00D73D6A">
        <w:rPr>
          <w:lang w:val="en-ZA"/>
        </w:rPr>
        <w:t>(a)</w:t>
      </w:r>
      <w:r w:rsidRPr="00D73D6A">
        <w:rPr>
          <w:lang w:val="en-ZA"/>
        </w:rPr>
        <w:tab/>
        <w:t>other than a transaction concluded in the course of a business relationship; and</w:t>
      </w:r>
    </w:p>
    <w:p w14:paraId="22F26E51" w14:textId="0938A59E" w:rsidR="00A86683" w:rsidRPr="00D73D6A" w:rsidRDefault="00A86683" w:rsidP="00DF6B79">
      <w:pPr>
        <w:pStyle w:val="FootnoteText"/>
        <w:tabs>
          <w:tab w:val="left" w:pos="567"/>
        </w:tabs>
        <w:ind w:left="719" w:hanging="435"/>
        <w:jc w:val="both"/>
        <w:rPr>
          <w:lang w:val="en-ZA"/>
        </w:rPr>
      </w:pPr>
      <w:r w:rsidRPr="00D73D6A">
        <w:rPr>
          <w:lang w:val="en-ZA"/>
        </w:rPr>
        <w:t>(b)</w:t>
      </w:r>
      <w:r w:rsidRPr="00D73D6A">
        <w:rPr>
          <w:lang w:val="en-ZA"/>
        </w:rPr>
        <w:tab/>
      </w:r>
      <w:r w:rsidRPr="00D73D6A">
        <w:rPr>
          <w:lang w:val="en-ZA"/>
        </w:rPr>
        <w:tab/>
        <w:t>where the value of the transaction is not less than the amount prescribed, except in the case of section 20A.'</w:t>
      </w:r>
    </w:p>
  </w:footnote>
  <w:footnote w:id="12">
    <w:p w14:paraId="38CA5FA7" w14:textId="614233F2" w:rsidR="00A86683" w:rsidRPr="00D73D6A" w:rsidRDefault="00A86683" w:rsidP="00915193">
      <w:pPr>
        <w:pStyle w:val="FootnoteText"/>
        <w:jc w:val="both"/>
      </w:pPr>
      <w:r w:rsidRPr="00D73D6A">
        <w:rPr>
          <w:rStyle w:val="FootnoteReference"/>
        </w:rPr>
        <w:footnoteRef/>
      </w:r>
      <w:r w:rsidRPr="00D73D6A">
        <w:t xml:space="preserve"> The amended version was introduced in terms of s </w:t>
      </w:r>
      <w:r w:rsidR="00C352F9" w:rsidRPr="00D73D6A">
        <w:t>82(2)</w:t>
      </w:r>
      <w:r w:rsidR="00C352F9" w:rsidRPr="00D73D6A">
        <w:rPr>
          <w:i/>
        </w:rPr>
        <w:t>(b)</w:t>
      </w:r>
      <w:r w:rsidRPr="00D73D6A">
        <w:t xml:space="preserve">of Act </w:t>
      </w:r>
      <w:r w:rsidR="00C352F9" w:rsidRPr="00D73D6A">
        <w:t xml:space="preserve">38 </w:t>
      </w:r>
      <w:r w:rsidRPr="00D73D6A">
        <w:t xml:space="preserve">of </w:t>
      </w:r>
      <w:r w:rsidR="00C352F9" w:rsidRPr="00D73D6A">
        <w:t>2001</w:t>
      </w:r>
      <w:r w:rsidRPr="00D73D6A">
        <w:t xml:space="preserve"> with effect from </w:t>
      </w:r>
      <w:r w:rsidR="002F3EEC" w:rsidRPr="00D73D6A">
        <w:t>30 June 2004.</w:t>
      </w:r>
    </w:p>
  </w:footnote>
  <w:footnote w:id="13">
    <w:p w14:paraId="053A5F41" w14:textId="5A77600C" w:rsidR="00A86683" w:rsidRPr="00D73D6A" w:rsidRDefault="00A86683" w:rsidP="00F4300C">
      <w:pPr>
        <w:pStyle w:val="FootnoteText"/>
        <w:jc w:val="both"/>
      </w:pPr>
      <w:r w:rsidRPr="00D73D6A">
        <w:rPr>
          <w:rStyle w:val="FootnoteReference"/>
        </w:rPr>
        <w:footnoteRef/>
      </w:r>
      <w:r w:rsidRPr="00D73D6A">
        <w:t xml:space="preserve"> Section 1 of FICA defined a 'transaction' to mean 'a transaction concluded between a client and an accountable institution in accordance with the type of the business carried on by that institution</w:t>
      </w:r>
      <w:r w:rsidR="00D211F8" w:rsidRPr="00D73D6A">
        <w:t>'</w:t>
      </w:r>
      <w:r w:rsidRPr="00D73D6A">
        <w:t>.</w:t>
      </w:r>
      <w:r w:rsidR="00802753" w:rsidRPr="00D73D6A">
        <w:t xml:space="preserve"> This definition was deleted by s 1(5) of Act 1 of 2017.</w:t>
      </w:r>
    </w:p>
  </w:footnote>
  <w:footnote w:id="14">
    <w:p w14:paraId="6711AB92" w14:textId="30AC9FE6" w:rsidR="00A86683" w:rsidRPr="00D73D6A" w:rsidRDefault="00A86683" w:rsidP="00F4300C">
      <w:pPr>
        <w:pStyle w:val="FootnoteText"/>
        <w:jc w:val="both"/>
      </w:pPr>
      <w:r w:rsidRPr="00D73D6A">
        <w:rPr>
          <w:rStyle w:val="FootnoteReference"/>
        </w:rPr>
        <w:footnoteRef/>
      </w:r>
      <w:r w:rsidRPr="00D73D6A">
        <w:t xml:space="preserve"> A 'single transaction' is defined as </w:t>
      </w:r>
      <w:r w:rsidR="00D12565" w:rsidRPr="00D73D6A">
        <w:t>'</w:t>
      </w:r>
      <w:r w:rsidRPr="00D73D6A">
        <w:t>a transaction other than a transaction concluded in the course of a business relationship' whose value is not less than the amount prescribed.</w:t>
      </w:r>
    </w:p>
  </w:footnote>
  <w:footnote w:id="15">
    <w:p w14:paraId="79CC3423" w14:textId="0794DA4A" w:rsidR="00A86683" w:rsidRPr="00D73D6A" w:rsidRDefault="00A86683" w:rsidP="00DF6B79">
      <w:pPr>
        <w:pStyle w:val="FootnoteText"/>
        <w:jc w:val="both"/>
      </w:pPr>
      <w:r w:rsidRPr="00D73D6A">
        <w:rPr>
          <w:rStyle w:val="FootnoteReference"/>
        </w:rPr>
        <w:footnoteRef/>
      </w:r>
      <w:r w:rsidRPr="00D73D6A">
        <w:t xml:space="preserve"> Risk management and compliance programme is provided for in s 42(1) of FICA.</w:t>
      </w:r>
    </w:p>
  </w:footnote>
  <w:footnote w:id="16">
    <w:p w14:paraId="3EDB5CCB" w14:textId="5824620E" w:rsidR="00A86683" w:rsidRPr="00D73D6A" w:rsidRDefault="00A86683" w:rsidP="00915193">
      <w:pPr>
        <w:pStyle w:val="FootnoteText"/>
        <w:jc w:val="both"/>
      </w:pPr>
      <w:r w:rsidRPr="00D73D6A">
        <w:rPr>
          <w:rStyle w:val="FootnoteReference"/>
        </w:rPr>
        <w:footnoteRef/>
      </w:r>
      <w:r w:rsidRPr="00D73D6A">
        <w:t xml:space="preserve"> Clause 4, which is headed 'Closing of an account amounts to a transaction.' It reads:</w:t>
      </w:r>
    </w:p>
    <w:p w14:paraId="621B9B5E" w14:textId="3C1186EE" w:rsidR="00A86683" w:rsidRPr="00D73D6A" w:rsidRDefault="00A86683" w:rsidP="00F4300C">
      <w:pPr>
        <w:pStyle w:val="FootnoteText"/>
        <w:tabs>
          <w:tab w:val="left" w:pos="426"/>
        </w:tabs>
        <w:ind w:left="420" w:hanging="420"/>
        <w:jc w:val="both"/>
      </w:pPr>
      <w:r w:rsidRPr="00D73D6A">
        <w:t>'4.1</w:t>
      </w:r>
      <w:r w:rsidRPr="00D73D6A">
        <w:tab/>
        <w:t xml:space="preserve">A transaction is defined in the FIC Act as a transaction concluded between a client and an accountable institution in accordance with the type of business carried on by that institution. </w:t>
      </w:r>
    </w:p>
    <w:p w14:paraId="15AD7FEE" w14:textId="7577AC09" w:rsidR="00A86683" w:rsidRPr="00D73D6A" w:rsidRDefault="00A86683" w:rsidP="00F4300C">
      <w:pPr>
        <w:pStyle w:val="FootnoteText"/>
        <w:tabs>
          <w:tab w:val="left" w:pos="426"/>
        </w:tabs>
        <w:ind w:left="420" w:hanging="420"/>
        <w:jc w:val="both"/>
      </w:pPr>
      <w:r w:rsidRPr="00D73D6A">
        <w:t>4.2</w:t>
      </w:r>
      <w:r w:rsidRPr="00D73D6A">
        <w:tab/>
        <w:t>The closing of an account is an action which terminates a business relationship. This is inherently linked to the existence of a business relationship and is performed in the course of that business relationship.</w:t>
      </w:r>
    </w:p>
    <w:p w14:paraId="44D51090" w14:textId="0EBD5A21" w:rsidR="00A86683" w:rsidRPr="00D73D6A" w:rsidRDefault="00A86683" w:rsidP="00F4300C">
      <w:pPr>
        <w:pStyle w:val="FootnoteText"/>
        <w:tabs>
          <w:tab w:val="left" w:pos="426"/>
        </w:tabs>
        <w:ind w:left="420" w:hanging="420"/>
        <w:jc w:val="both"/>
      </w:pPr>
      <w:r w:rsidRPr="00D73D6A">
        <w:t>4.3</w:t>
      </w:r>
      <w:r w:rsidRPr="00D73D6A">
        <w:tab/>
        <w:t>Hence the termination of a business relationship in accordance with the nature of an accountable institution's business, such as the closing of an account by an accountable institution which provides account-based services to its clients, amounts to a transaction in the course of that business relationship.</w:t>
      </w:r>
    </w:p>
    <w:p w14:paraId="0B0FDAF2" w14:textId="012BF594" w:rsidR="00A86683" w:rsidRPr="00D73D6A" w:rsidRDefault="00A86683" w:rsidP="00F4300C">
      <w:pPr>
        <w:pStyle w:val="FootnoteText"/>
        <w:tabs>
          <w:tab w:val="left" w:pos="426"/>
        </w:tabs>
        <w:ind w:left="420" w:hanging="420"/>
        <w:jc w:val="both"/>
      </w:pPr>
      <w:r w:rsidRPr="00D73D6A">
        <w:t>4.4</w:t>
      </w:r>
      <w:r w:rsidRPr="00D73D6A">
        <w:tab/>
        <w:t>It is the Centre's view that the closing of a client's account by an accountable institution and the transferring of the remaining balance to the client amounts to the conclusion of a transaction with a client in the course of a business relationship.</w:t>
      </w:r>
    </w:p>
    <w:p w14:paraId="0E78D50F" w14:textId="4C924CF5" w:rsidR="00A86683" w:rsidRPr="00D73D6A" w:rsidRDefault="00A86683" w:rsidP="00F4300C">
      <w:pPr>
        <w:pStyle w:val="FootnoteText"/>
        <w:tabs>
          <w:tab w:val="left" w:pos="426"/>
        </w:tabs>
        <w:ind w:left="420" w:hanging="420"/>
        <w:jc w:val="both"/>
      </w:pPr>
      <w:r w:rsidRPr="00D73D6A">
        <w:t>4.5</w:t>
      </w:r>
      <w:r w:rsidRPr="00D73D6A">
        <w:tab/>
        <w:t>An accountable institution may not conduct a transaction in the course of a business relationship unless it has complied with Part 1 and Part 2 of Chapter 3 of the FIC Act as well as the relevant Regulations.'</w:t>
      </w:r>
    </w:p>
  </w:footnote>
  <w:footnote w:id="17">
    <w:p w14:paraId="1E71C4DA" w14:textId="1681B1B5" w:rsidR="00A86683" w:rsidRPr="00D73D6A" w:rsidRDefault="00A86683" w:rsidP="00F4300C">
      <w:pPr>
        <w:pStyle w:val="FootnoteText"/>
        <w:jc w:val="both"/>
      </w:pPr>
      <w:r w:rsidRPr="00D73D6A">
        <w:rPr>
          <w:rStyle w:val="FootnoteReference"/>
        </w:rPr>
        <w:footnoteRef/>
      </w:r>
      <w:r w:rsidRPr="00D73D6A">
        <w:t xml:space="preserve"> See, in this regard,</w:t>
      </w:r>
      <w:r w:rsidR="00CD5671" w:rsidRPr="00D73D6A">
        <w:t xml:space="preserve"> </w:t>
      </w:r>
      <w:r w:rsidRPr="00D73D6A">
        <w:t>Cassim</w:t>
      </w:r>
      <w:r w:rsidR="0061307B" w:rsidRPr="00D73D6A">
        <w:t xml:space="preserve"> et al</w:t>
      </w:r>
      <w:r w:rsidRPr="00D73D6A">
        <w:t xml:space="preserve"> </w:t>
      </w:r>
      <w:r w:rsidRPr="00D73D6A">
        <w:rPr>
          <w:i/>
        </w:rPr>
        <w:t>Contemporary Company Law</w:t>
      </w:r>
      <w:r w:rsidRPr="00D73D6A">
        <w:t xml:space="preserve"> 2ed </w:t>
      </w:r>
      <w:r w:rsidR="00385320" w:rsidRPr="00D73D6A">
        <w:t xml:space="preserve">(2011) </w:t>
      </w:r>
      <w:r w:rsidRPr="00D73D6A">
        <w:t>at 122.</w:t>
      </w:r>
    </w:p>
  </w:footnote>
  <w:footnote w:id="18">
    <w:p w14:paraId="02998A5B" w14:textId="5BEA6E68" w:rsidR="00A86683" w:rsidRPr="00D73D6A" w:rsidRDefault="00A86683" w:rsidP="00F4300C">
      <w:pPr>
        <w:pStyle w:val="FootnoteText"/>
        <w:jc w:val="both"/>
      </w:pPr>
      <w:r w:rsidRPr="00D73D6A">
        <w:rPr>
          <w:rStyle w:val="FootnoteReference"/>
        </w:rPr>
        <w:footnoteRef/>
      </w:r>
      <w:r w:rsidRPr="00D73D6A">
        <w:t xml:space="preserve"> </w:t>
      </w:r>
      <w:r w:rsidRPr="00D73D6A">
        <w:rPr>
          <w:i/>
        </w:rPr>
        <w:t>Natal Joint Municipal Pension Fund v Endumeni Municipality</w:t>
      </w:r>
      <w:r w:rsidRPr="00D73D6A">
        <w:t xml:space="preserve"> [2012] ZASCA 13; [2012] 2 All SA 262 (SCA); 2012 (4) SA 593 (SCA) para 18. See also: </w:t>
      </w:r>
      <w:r w:rsidRPr="00D73D6A">
        <w:rPr>
          <w:i/>
        </w:rPr>
        <w:t>S v Zuma and Others</w:t>
      </w:r>
      <w:r w:rsidRPr="00D73D6A">
        <w:t xml:space="preserve"> 1995 (2) SA 6</w:t>
      </w:r>
      <w:r w:rsidR="00500CA6" w:rsidRPr="00D73D6A">
        <w:t>4</w:t>
      </w:r>
      <w:r w:rsidRPr="00D73D6A">
        <w:t xml:space="preserve">2 (CC) para 18; </w:t>
      </w:r>
      <w:r w:rsidRPr="00D73D6A">
        <w:rPr>
          <w:i/>
        </w:rPr>
        <w:t>Kubyana v Standard Bank of South Africa Ltd</w:t>
      </w:r>
      <w:r w:rsidRPr="00D73D6A">
        <w:t xml:space="preserve"> [2014] ZACC 1; 2014 (3) SA 56 (CC); 2014 (4) BCLR 400 (CC) para 18.</w:t>
      </w:r>
    </w:p>
  </w:footnote>
  <w:footnote w:id="19">
    <w:p w14:paraId="4EE0CB0D" w14:textId="17D6A6D6" w:rsidR="00A86683" w:rsidRPr="00D73D6A" w:rsidRDefault="00A86683" w:rsidP="00F4300C">
      <w:pPr>
        <w:pStyle w:val="FootnoteText"/>
        <w:jc w:val="both"/>
      </w:pPr>
      <w:r w:rsidRPr="00D73D6A">
        <w:rPr>
          <w:rStyle w:val="FootnoteReference"/>
        </w:rPr>
        <w:footnoteRef/>
      </w:r>
      <w:r w:rsidRPr="00D73D6A">
        <w:t xml:space="preserve"> </w:t>
      </w:r>
      <w:r w:rsidRPr="00D73D6A">
        <w:rPr>
          <w:i/>
        </w:rPr>
        <w:t>Capitec Bank Holdings Limited and Another v Coral Lagoon Investments 194 (Pty) Ltd and Others</w:t>
      </w:r>
      <w:r w:rsidRPr="00D73D6A">
        <w:t xml:space="preserve"> [2021] ZASCA 99; [2021] 3 All SA 647 (SCA); 2022 (1) SA 100 (SCA)</w:t>
      </w:r>
      <w:r w:rsidR="00DF1047" w:rsidRPr="00D73D6A">
        <w:t xml:space="preserve"> para 25</w:t>
      </w:r>
      <w:r w:rsidRPr="00D73D6A">
        <w:t xml:space="preserve">. </w:t>
      </w:r>
    </w:p>
  </w:footnote>
  <w:footnote w:id="20">
    <w:p w14:paraId="4F7EF737" w14:textId="4B9A74AE" w:rsidR="00A86683" w:rsidRPr="00D73D6A" w:rsidRDefault="00A86683" w:rsidP="00F4300C">
      <w:pPr>
        <w:pStyle w:val="FootnoteText"/>
        <w:jc w:val="both"/>
      </w:pPr>
      <w:r w:rsidRPr="00D73D6A">
        <w:rPr>
          <w:rStyle w:val="FootnoteReference"/>
        </w:rPr>
        <w:footnoteRef/>
      </w:r>
      <w:r w:rsidRPr="00D73D6A">
        <w:t xml:space="preserve"> Ibid.</w:t>
      </w:r>
    </w:p>
  </w:footnote>
  <w:footnote w:id="21">
    <w:p w14:paraId="38EA6B81" w14:textId="27103733" w:rsidR="00A86683" w:rsidRPr="00D73D6A" w:rsidRDefault="00A86683" w:rsidP="00DF6B79">
      <w:pPr>
        <w:pStyle w:val="FootnoteText"/>
        <w:jc w:val="both"/>
      </w:pPr>
      <w:r w:rsidRPr="00D73D6A">
        <w:rPr>
          <w:rStyle w:val="FootnoteReference"/>
        </w:rPr>
        <w:footnoteRef/>
      </w:r>
      <w:r w:rsidRPr="00D73D6A">
        <w:t xml:space="preserve"> </w:t>
      </w:r>
      <w:r w:rsidRPr="00D73D6A">
        <w:rPr>
          <w:i/>
        </w:rPr>
        <w:t>Marrok Plase (Pty) Ltd v Advance Seed Co (Pty) Ltd</w:t>
      </w:r>
      <w:r w:rsidRPr="00D73D6A">
        <w:t xml:space="preserve"> </w:t>
      </w:r>
      <w:r w:rsidR="00DB7B49" w:rsidRPr="00D73D6A">
        <w:t xml:space="preserve">[1975] 3 All SA 412 (A); </w:t>
      </w:r>
      <w:r w:rsidRPr="00D73D6A">
        <w:t xml:space="preserve">1975 3 SA 403 (A) at 414-415; </w:t>
      </w:r>
      <w:r w:rsidRPr="00D73D6A">
        <w:rPr>
          <w:i/>
        </w:rPr>
        <w:t>South African Mutual Life Assurance Society v Anglo-Transvaal Collieries Ltd</w:t>
      </w:r>
      <w:r w:rsidRPr="00D73D6A">
        <w:t xml:space="preserve"> </w:t>
      </w:r>
      <w:r w:rsidR="00600714" w:rsidRPr="00D73D6A">
        <w:t xml:space="preserve">[1977] 4 All SA 203 (A); </w:t>
      </w:r>
      <w:r w:rsidRPr="00D73D6A">
        <w:t>1977 (3) SA 642 (A) at 656A.</w:t>
      </w:r>
    </w:p>
  </w:footnote>
  <w:footnote w:id="22">
    <w:p w14:paraId="728C934F" w14:textId="46223E5C" w:rsidR="00A86683" w:rsidRPr="00D73D6A" w:rsidRDefault="00A86683" w:rsidP="00915193">
      <w:pPr>
        <w:pStyle w:val="FootnoteText"/>
        <w:jc w:val="both"/>
        <w:rPr>
          <w:lang w:val="en-ZA"/>
        </w:rPr>
      </w:pPr>
      <w:r w:rsidRPr="00D73D6A">
        <w:rPr>
          <w:rStyle w:val="FootnoteReference"/>
        </w:rPr>
        <w:footnoteRef/>
      </w:r>
      <w:r w:rsidRPr="00D73D6A">
        <w:t xml:space="preserve"> </w:t>
      </w:r>
      <w:r w:rsidRPr="00D73D6A">
        <w:rPr>
          <w:lang w:val="en-ZA"/>
        </w:rPr>
        <w:t>See, for example, in this regard, ss 46, 47, 48, 49, 50, 51, 51A, 52, 53, 54, 55, 56, 57, 58, 59, 60 and 61-66.</w:t>
      </w:r>
    </w:p>
  </w:footnote>
  <w:footnote w:id="23">
    <w:p w14:paraId="2F3EFB24" w14:textId="6B075E83" w:rsidR="00A86683" w:rsidRPr="00D73D6A" w:rsidRDefault="00A86683" w:rsidP="00DF6B79">
      <w:pPr>
        <w:pStyle w:val="FootnoteText"/>
        <w:jc w:val="both"/>
        <w:rPr>
          <w:i/>
        </w:rPr>
      </w:pPr>
      <w:r w:rsidRPr="00D73D6A">
        <w:rPr>
          <w:rStyle w:val="FootnoteReference"/>
        </w:rPr>
        <w:footnoteRef/>
      </w:r>
      <w:r w:rsidRPr="00D73D6A">
        <w:t xml:space="preserve"> See, in this regard, s 4</w:t>
      </w:r>
      <w:r w:rsidRPr="00D73D6A">
        <w:rPr>
          <w:i/>
        </w:rPr>
        <w:t>(g).</w:t>
      </w:r>
    </w:p>
  </w:footnote>
  <w:footnote w:id="24">
    <w:p w14:paraId="51E25D1F" w14:textId="478E0500" w:rsidR="00A86683" w:rsidRPr="00D73D6A" w:rsidRDefault="00A86683" w:rsidP="00DF6B79">
      <w:pPr>
        <w:pStyle w:val="FootnoteText"/>
        <w:jc w:val="both"/>
      </w:pPr>
      <w:r w:rsidRPr="00D73D6A">
        <w:rPr>
          <w:rStyle w:val="FootnoteReference"/>
        </w:rPr>
        <w:footnoteRef/>
      </w:r>
      <w:r w:rsidRPr="00D73D6A">
        <w:t xml:space="preserve"> </w:t>
      </w:r>
      <w:r w:rsidR="00A772DB" w:rsidRPr="00D73D6A">
        <w:t>See ss 22 and 24.</w:t>
      </w:r>
    </w:p>
  </w:footnote>
  <w:footnote w:id="25">
    <w:p w14:paraId="487FF06B" w14:textId="6C960B54" w:rsidR="00A86683" w:rsidRPr="00D73D6A" w:rsidRDefault="00A86683" w:rsidP="00DF6B79">
      <w:pPr>
        <w:pStyle w:val="FootnoteText"/>
        <w:jc w:val="both"/>
      </w:pPr>
      <w:r w:rsidRPr="00D73D6A">
        <w:rPr>
          <w:rStyle w:val="FootnoteReference"/>
        </w:rPr>
        <w:footnoteRef/>
      </w:r>
      <w:r w:rsidRPr="00D73D6A">
        <w:t xml:space="preserve"> </w:t>
      </w:r>
      <w:r w:rsidRPr="00D73D6A">
        <w:rPr>
          <w:i/>
        </w:rPr>
        <w:t>Comm</w:t>
      </w:r>
      <w:r w:rsidR="00617684" w:rsidRPr="00D73D6A">
        <w:rPr>
          <w:i/>
        </w:rPr>
        <w:t>issioner for the South African Revenue Service v United Manganese of Kalahari (Pty) Ltd</w:t>
      </w:r>
      <w:r w:rsidRPr="00D73D6A">
        <w:t xml:space="preserve"> </w:t>
      </w:r>
      <w:r w:rsidR="00617684" w:rsidRPr="00D73D6A">
        <w:t>[2020] ZASCA 16</w:t>
      </w:r>
      <w:r w:rsidR="00992D67" w:rsidRPr="00D73D6A">
        <w:t>; 2020 (4) SA 428 (SCA)</w:t>
      </w:r>
      <w:r w:rsidR="00594A40" w:rsidRPr="00D73D6A">
        <w:t xml:space="preserve"> </w:t>
      </w:r>
      <w:r w:rsidRPr="00D73D6A">
        <w:t>para 17.</w:t>
      </w:r>
    </w:p>
  </w:footnote>
  <w:footnote w:id="26">
    <w:p w14:paraId="2B572906" w14:textId="394CCECD" w:rsidR="00A86683" w:rsidRPr="00D73D6A" w:rsidRDefault="00A86683" w:rsidP="00DF6B79">
      <w:pPr>
        <w:pStyle w:val="FootnoteText"/>
        <w:jc w:val="both"/>
        <w:rPr>
          <w:lang w:val="en-ZA"/>
        </w:rPr>
      </w:pPr>
      <w:r w:rsidRPr="00D73D6A">
        <w:rPr>
          <w:rStyle w:val="FootnoteReference"/>
        </w:rPr>
        <w:footnoteRef/>
      </w:r>
      <w:r w:rsidRPr="00D73D6A">
        <w:t xml:space="preserve"> </w:t>
      </w:r>
      <w:r w:rsidRPr="00D73D6A">
        <w:rPr>
          <w:lang w:val="en-ZA"/>
        </w:rPr>
        <w:t>Houtbosplaas claimed R66 814</w:t>
      </w:r>
      <w:r w:rsidR="00146EAF" w:rsidRPr="00D73D6A">
        <w:rPr>
          <w:lang w:val="en-ZA"/>
        </w:rPr>
        <w:t>.</w:t>
      </w:r>
      <w:r w:rsidR="002646F5" w:rsidRPr="00D73D6A">
        <w:rPr>
          <w:lang w:val="en-ZA"/>
        </w:rPr>
        <w:t>68</w:t>
      </w:r>
      <w:r w:rsidRPr="00D73D6A">
        <w:rPr>
          <w:lang w:val="en-ZA"/>
        </w:rPr>
        <w:t xml:space="preserve"> and TBS Alpha claimed R114</w:t>
      </w:r>
      <w:r w:rsidR="00146EAF" w:rsidRPr="00D73D6A">
        <w:rPr>
          <w:lang w:val="en-ZA"/>
        </w:rPr>
        <w:t> </w:t>
      </w:r>
      <w:r w:rsidRPr="00D73D6A">
        <w:rPr>
          <w:lang w:val="en-ZA"/>
        </w:rPr>
        <w:t>288</w:t>
      </w:r>
      <w:r w:rsidR="00146EAF" w:rsidRPr="00D73D6A">
        <w:rPr>
          <w:lang w:val="en-ZA"/>
        </w:rPr>
        <w:t>.</w:t>
      </w:r>
      <w:r w:rsidRPr="00D73D6A">
        <w:rPr>
          <w:lang w:val="en-ZA"/>
        </w:rPr>
        <w:t>63.</w:t>
      </w:r>
    </w:p>
  </w:footnote>
  <w:footnote w:id="27">
    <w:p w14:paraId="0E48BB32" w14:textId="0BFD4D4C" w:rsidR="00A86683" w:rsidRPr="00D73D6A" w:rsidRDefault="00A86683" w:rsidP="00DF6B79">
      <w:pPr>
        <w:pStyle w:val="FootnoteText"/>
        <w:jc w:val="both"/>
        <w:rPr>
          <w:lang w:val="en-ZA"/>
        </w:rPr>
      </w:pPr>
      <w:r w:rsidRPr="00D73D6A">
        <w:rPr>
          <w:rStyle w:val="FootnoteReference"/>
        </w:rPr>
        <w:footnoteRef/>
      </w:r>
      <w:r w:rsidRPr="00D73D6A">
        <w:t xml:space="preserve"> </w:t>
      </w:r>
      <w:r w:rsidRPr="00D73D6A">
        <w:rPr>
          <w:i/>
          <w:lang w:val="en-ZA"/>
        </w:rPr>
        <w:t>Linton v Corser</w:t>
      </w:r>
      <w:r w:rsidRPr="00D73D6A">
        <w:rPr>
          <w:lang w:val="en-ZA"/>
        </w:rPr>
        <w:t xml:space="preserve"> </w:t>
      </w:r>
      <w:r w:rsidR="00321100" w:rsidRPr="00D73D6A">
        <w:rPr>
          <w:lang w:val="en-ZA"/>
        </w:rPr>
        <w:t xml:space="preserve">[1952] 4 All SA 9 (A), </w:t>
      </w:r>
      <w:r w:rsidRPr="00D73D6A">
        <w:rPr>
          <w:lang w:val="en-ZA"/>
        </w:rPr>
        <w:t>1952 (3) SA 685</w:t>
      </w:r>
      <w:r w:rsidR="00321100" w:rsidRPr="00D73D6A">
        <w:rPr>
          <w:lang w:val="en-ZA"/>
        </w:rPr>
        <w:t xml:space="preserve"> </w:t>
      </w:r>
      <w:r w:rsidRPr="00D73D6A">
        <w:rPr>
          <w:lang w:val="en-ZA"/>
        </w:rPr>
        <w:t>(A) at 695G.</w:t>
      </w:r>
    </w:p>
  </w:footnote>
  <w:footnote w:id="28">
    <w:p w14:paraId="29A71498" w14:textId="4ADAB86B" w:rsidR="00A86683" w:rsidRPr="00D73D6A" w:rsidRDefault="00A86683" w:rsidP="00DF6B79">
      <w:pPr>
        <w:pStyle w:val="FootnoteText"/>
        <w:jc w:val="both"/>
        <w:rPr>
          <w:lang w:val="en-ZA"/>
        </w:rPr>
      </w:pPr>
      <w:r w:rsidRPr="00D73D6A">
        <w:rPr>
          <w:rStyle w:val="FootnoteReference"/>
        </w:rPr>
        <w:footnoteRef/>
      </w:r>
      <w:r w:rsidRPr="00D73D6A">
        <w:t xml:space="preserve"> </w:t>
      </w:r>
      <w:r w:rsidRPr="00D73D6A">
        <w:rPr>
          <w:i/>
        </w:rPr>
        <w:t>Union Government v Jackson and Others</w:t>
      </w:r>
      <w:r w:rsidRPr="00D73D6A">
        <w:t xml:space="preserve"> </w:t>
      </w:r>
      <w:r w:rsidR="00B56604" w:rsidRPr="00D73D6A">
        <w:t>[1956] 2 All SA 330 (A)</w:t>
      </w:r>
      <w:r w:rsidR="009F6937" w:rsidRPr="00D73D6A">
        <w:t xml:space="preserve">, </w:t>
      </w:r>
      <w:r w:rsidRPr="00D73D6A">
        <w:t>1956 (2) SA 398</w:t>
      </w:r>
      <w:r w:rsidR="00E32033" w:rsidRPr="00D73D6A">
        <w:t xml:space="preserve"> </w:t>
      </w:r>
      <w:r w:rsidRPr="00D73D6A">
        <w:t>(A)</w:t>
      </w:r>
      <w:r w:rsidR="00E32033" w:rsidRPr="00D73D6A">
        <w:t xml:space="preserve"> at </w:t>
      </w:r>
      <w:r w:rsidR="004F43AB" w:rsidRPr="00D73D6A">
        <w:t>411F-412</w:t>
      </w:r>
      <w:r w:rsidRPr="00D73D6A">
        <w:t>.</w:t>
      </w:r>
    </w:p>
  </w:footnote>
  <w:footnote w:id="29">
    <w:p w14:paraId="1C4C3875" w14:textId="00E6FD1E" w:rsidR="00A86683" w:rsidRPr="00D73D6A" w:rsidRDefault="00A86683" w:rsidP="00DF6B79">
      <w:pPr>
        <w:pStyle w:val="FootnoteText"/>
        <w:jc w:val="both"/>
        <w:rPr>
          <w:lang w:val="en-ZA"/>
        </w:rPr>
      </w:pPr>
      <w:r w:rsidRPr="00D73D6A">
        <w:rPr>
          <w:rStyle w:val="FootnoteReference"/>
        </w:rPr>
        <w:footnoteRef/>
      </w:r>
      <w:r w:rsidRPr="00D73D6A">
        <w:t xml:space="preserve"> </w:t>
      </w:r>
      <w:r w:rsidR="00D73D6A" w:rsidRPr="00D73D6A">
        <w:t xml:space="preserve">Ibid at </w:t>
      </w:r>
      <w:r w:rsidRPr="00D73D6A">
        <w:rPr>
          <w:lang w:val="en-ZA"/>
        </w:rPr>
        <w:t>412A.</w:t>
      </w:r>
    </w:p>
  </w:footnote>
  <w:footnote w:id="30">
    <w:p w14:paraId="67222B51" w14:textId="176FB70E" w:rsidR="00A86683" w:rsidRPr="00D73D6A" w:rsidRDefault="00A86683" w:rsidP="00DF6B79">
      <w:pPr>
        <w:pStyle w:val="FootnoteText"/>
        <w:jc w:val="both"/>
        <w:rPr>
          <w:lang w:val="en-ZA"/>
        </w:rPr>
      </w:pPr>
      <w:r w:rsidRPr="00D73D6A">
        <w:rPr>
          <w:rStyle w:val="FootnoteReference"/>
        </w:rPr>
        <w:footnoteRef/>
      </w:r>
      <w:r w:rsidRPr="00D73D6A">
        <w:t xml:space="preserve"> </w:t>
      </w:r>
      <w:r w:rsidRPr="00D73D6A">
        <w:rPr>
          <w:i/>
        </w:rPr>
        <w:t>Bellairs v Hodnett and Another</w:t>
      </w:r>
      <w:r w:rsidRPr="00D73D6A">
        <w:t xml:space="preserve"> 1978 (1) SA 1109</w:t>
      </w:r>
      <w:r w:rsidR="00115C3C" w:rsidRPr="00D73D6A">
        <w:t xml:space="preserve"> </w:t>
      </w:r>
      <w:r w:rsidRPr="00D73D6A">
        <w:t>(A).</w:t>
      </w:r>
    </w:p>
  </w:footnote>
  <w:footnote w:id="31">
    <w:p w14:paraId="659D5665" w14:textId="41A564E4" w:rsidR="00A86683" w:rsidRPr="001933D2" w:rsidRDefault="00A86683" w:rsidP="00DF6B79">
      <w:pPr>
        <w:pStyle w:val="FootnoteText"/>
        <w:jc w:val="both"/>
        <w:rPr>
          <w:lang w:val="en-ZA"/>
        </w:rPr>
      </w:pPr>
      <w:r w:rsidRPr="00D73D6A">
        <w:rPr>
          <w:rStyle w:val="FootnoteReference"/>
        </w:rPr>
        <w:footnoteRef/>
      </w:r>
      <w:r w:rsidRPr="00D73D6A">
        <w:t xml:space="preserve"> </w:t>
      </w:r>
      <w:r w:rsidRPr="00D73D6A">
        <w:rPr>
          <w:lang w:val="en-ZA"/>
        </w:rPr>
        <w:t>Ibid at 1145D-G.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2E9DF" w14:textId="77777777" w:rsidR="00A86683" w:rsidRDefault="00A866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72E760" w14:textId="77777777" w:rsidR="00A86683" w:rsidRDefault="00A8668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674A5" w14:textId="77777777" w:rsidR="00A86683" w:rsidRDefault="00A86683">
    <w:pPr>
      <w:pStyle w:val="Header"/>
      <w:jc w:val="right"/>
    </w:pPr>
    <w:r>
      <w:fldChar w:fldCharType="begin"/>
    </w:r>
    <w:r>
      <w:instrText xml:space="preserve"> PAGE   \* MERGEFORMAT </w:instrText>
    </w:r>
    <w:r>
      <w:fldChar w:fldCharType="separate"/>
    </w:r>
    <w:r w:rsidR="00F73FD0">
      <w:rPr>
        <w:noProof/>
      </w:rPr>
      <w:t>31</w:t>
    </w:r>
    <w:r>
      <w:fldChar w:fldCharType="end"/>
    </w:r>
  </w:p>
  <w:p w14:paraId="35F5C62B" w14:textId="77777777" w:rsidR="00A86683" w:rsidRDefault="00A86683">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ACBC8" w14:textId="77777777" w:rsidR="00A86683" w:rsidRDefault="00A86683">
    <w:pPr>
      <w:pStyle w:val="Header"/>
      <w:jc w:val="right"/>
    </w:pPr>
  </w:p>
  <w:p w14:paraId="1CE8A355" w14:textId="77777777" w:rsidR="00A86683" w:rsidRDefault="00A866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96B62"/>
    <w:multiLevelType w:val="hybridMultilevel"/>
    <w:tmpl w:val="CC7664C2"/>
    <w:lvl w:ilvl="0" w:tplc="68888AC2">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766342C"/>
    <w:multiLevelType w:val="singleLevel"/>
    <w:tmpl w:val="1766342C"/>
    <w:lvl w:ilvl="0">
      <w:start w:val="1"/>
      <w:numFmt w:val="decimal"/>
      <w:lvlText w:val="[%1]"/>
      <w:lvlJc w:val="left"/>
    </w:lvl>
  </w:abstractNum>
  <w:abstractNum w:abstractNumId="2" w15:restartNumberingAfterBreak="0">
    <w:nsid w:val="1B792226"/>
    <w:multiLevelType w:val="hybridMultilevel"/>
    <w:tmpl w:val="CD62C4E2"/>
    <w:lvl w:ilvl="0" w:tplc="A8D47E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5681031"/>
    <w:multiLevelType w:val="hybridMultilevel"/>
    <w:tmpl w:val="35660722"/>
    <w:lvl w:ilvl="0" w:tplc="896C8560">
      <w:start w:val="1"/>
      <w:numFmt w:val="lowerLetter"/>
      <w:lvlText w:val="(%1)"/>
      <w:lvlJc w:val="left"/>
      <w:pPr>
        <w:ind w:left="705" w:hanging="705"/>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4A8B05AC"/>
    <w:multiLevelType w:val="hybridMultilevel"/>
    <w:tmpl w:val="FD4E2642"/>
    <w:lvl w:ilvl="0" w:tplc="45EAB0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D481540"/>
    <w:multiLevelType w:val="hybridMultilevel"/>
    <w:tmpl w:val="325080EC"/>
    <w:lvl w:ilvl="0" w:tplc="2C08B95A">
      <w:numFmt w:val="decimalZero"/>
      <w:lvlText w:val="(%1)"/>
      <w:lvlJc w:val="left"/>
      <w:pPr>
        <w:ind w:left="840" w:hanging="4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887BAC6"/>
    <w:multiLevelType w:val="singleLevel"/>
    <w:tmpl w:val="7887BAC6"/>
    <w:lvl w:ilvl="0">
      <w:start w:val="1"/>
      <w:numFmt w:val="decimal"/>
      <w:suff w:val="space"/>
      <w:lvlText w:val="(%1)"/>
      <w:lvlJc w:val="left"/>
    </w:lvl>
  </w:abstractNum>
  <w:num w:numId="1">
    <w:abstractNumId w:val="6"/>
  </w:num>
  <w:num w:numId="2">
    <w:abstractNumId w:val="1"/>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noPunctuationKerning/>
  <w:characterSpacingControl w:val="doNotCompress"/>
  <w:footnotePr>
    <w:footnote w:id="-1"/>
    <w:footnote w:id="0"/>
  </w:footnotePr>
  <w:endnotePr>
    <w:endnote w:id="-1"/>
    <w:endnote w:id="0"/>
  </w:endnotePr>
  <w:compat>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11AA82C-915D-418F-A874-30C215015CBE}"/>
    <w:docVar w:name="dgnword-eventsink" w:val="855721256"/>
    <w:docVar w:name="dgnword-lastRevisionsView" w:val="0"/>
  </w:docVars>
  <w:rsids>
    <w:rsidRoot w:val="3FFE1044"/>
    <w:rsid w:val="000016DA"/>
    <w:rsid w:val="000021DD"/>
    <w:rsid w:val="00006A1F"/>
    <w:rsid w:val="00011ECA"/>
    <w:rsid w:val="0001635F"/>
    <w:rsid w:val="000217FA"/>
    <w:rsid w:val="00025280"/>
    <w:rsid w:val="0002573C"/>
    <w:rsid w:val="00026C45"/>
    <w:rsid w:val="00030F33"/>
    <w:rsid w:val="000360C2"/>
    <w:rsid w:val="00036DA7"/>
    <w:rsid w:val="00037228"/>
    <w:rsid w:val="00043D3D"/>
    <w:rsid w:val="00043DE8"/>
    <w:rsid w:val="000441D4"/>
    <w:rsid w:val="000565C8"/>
    <w:rsid w:val="000567CC"/>
    <w:rsid w:val="00057318"/>
    <w:rsid w:val="00062284"/>
    <w:rsid w:val="00063F00"/>
    <w:rsid w:val="0006594E"/>
    <w:rsid w:val="00065BA8"/>
    <w:rsid w:val="00072A9D"/>
    <w:rsid w:val="000732CF"/>
    <w:rsid w:val="00073312"/>
    <w:rsid w:val="00076444"/>
    <w:rsid w:val="0008374D"/>
    <w:rsid w:val="00084D6C"/>
    <w:rsid w:val="00086451"/>
    <w:rsid w:val="00086D19"/>
    <w:rsid w:val="00091995"/>
    <w:rsid w:val="000942FC"/>
    <w:rsid w:val="000A1EAA"/>
    <w:rsid w:val="000A5670"/>
    <w:rsid w:val="000A69ED"/>
    <w:rsid w:val="000A6BA3"/>
    <w:rsid w:val="000B2D41"/>
    <w:rsid w:val="000B4B78"/>
    <w:rsid w:val="000B75EF"/>
    <w:rsid w:val="000D0957"/>
    <w:rsid w:val="000D442E"/>
    <w:rsid w:val="000D4AFD"/>
    <w:rsid w:val="000D57E4"/>
    <w:rsid w:val="000E09A3"/>
    <w:rsid w:val="000E16D0"/>
    <w:rsid w:val="000E1CCF"/>
    <w:rsid w:val="000E5794"/>
    <w:rsid w:val="000E692C"/>
    <w:rsid w:val="000E7036"/>
    <w:rsid w:val="000F08B4"/>
    <w:rsid w:val="000F625E"/>
    <w:rsid w:val="000F7DC4"/>
    <w:rsid w:val="00103FA4"/>
    <w:rsid w:val="00105CD7"/>
    <w:rsid w:val="00112625"/>
    <w:rsid w:val="001156E4"/>
    <w:rsid w:val="00115C3C"/>
    <w:rsid w:val="0011629E"/>
    <w:rsid w:val="00120B2D"/>
    <w:rsid w:val="001214EC"/>
    <w:rsid w:val="0012259E"/>
    <w:rsid w:val="001228F6"/>
    <w:rsid w:val="00125697"/>
    <w:rsid w:val="001264CE"/>
    <w:rsid w:val="0012661E"/>
    <w:rsid w:val="00131AA3"/>
    <w:rsid w:val="001379A6"/>
    <w:rsid w:val="00140884"/>
    <w:rsid w:val="00146EAF"/>
    <w:rsid w:val="0015031E"/>
    <w:rsid w:val="001508EB"/>
    <w:rsid w:val="001522C0"/>
    <w:rsid w:val="00154EF1"/>
    <w:rsid w:val="0016114F"/>
    <w:rsid w:val="001617E5"/>
    <w:rsid w:val="00167378"/>
    <w:rsid w:val="001673EF"/>
    <w:rsid w:val="0017022E"/>
    <w:rsid w:val="001714BA"/>
    <w:rsid w:val="00172CF9"/>
    <w:rsid w:val="00173F59"/>
    <w:rsid w:val="001743D2"/>
    <w:rsid w:val="00176D62"/>
    <w:rsid w:val="00177313"/>
    <w:rsid w:val="00183A51"/>
    <w:rsid w:val="00184F92"/>
    <w:rsid w:val="00186A50"/>
    <w:rsid w:val="00186CEC"/>
    <w:rsid w:val="0018791C"/>
    <w:rsid w:val="00187E24"/>
    <w:rsid w:val="001903FD"/>
    <w:rsid w:val="001933D2"/>
    <w:rsid w:val="0019450B"/>
    <w:rsid w:val="00194557"/>
    <w:rsid w:val="00195907"/>
    <w:rsid w:val="001A2CE2"/>
    <w:rsid w:val="001A3D5E"/>
    <w:rsid w:val="001A6CF9"/>
    <w:rsid w:val="001C703E"/>
    <w:rsid w:val="001E067F"/>
    <w:rsid w:val="001E1998"/>
    <w:rsid w:val="001E5C16"/>
    <w:rsid w:val="001E7902"/>
    <w:rsid w:val="001F030E"/>
    <w:rsid w:val="001F2F92"/>
    <w:rsid w:val="001F5884"/>
    <w:rsid w:val="001F63EA"/>
    <w:rsid w:val="001F6B8C"/>
    <w:rsid w:val="00204928"/>
    <w:rsid w:val="0020563E"/>
    <w:rsid w:val="002058F9"/>
    <w:rsid w:val="00207876"/>
    <w:rsid w:val="00215D89"/>
    <w:rsid w:val="00217988"/>
    <w:rsid w:val="00221076"/>
    <w:rsid w:val="0022189A"/>
    <w:rsid w:val="00230259"/>
    <w:rsid w:val="00232001"/>
    <w:rsid w:val="00232FC2"/>
    <w:rsid w:val="00233FAA"/>
    <w:rsid w:val="002348B7"/>
    <w:rsid w:val="0023682A"/>
    <w:rsid w:val="00241F95"/>
    <w:rsid w:val="00246C02"/>
    <w:rsid w:val="00250074"/>
    <w:rsid w:val="00252049"/>
    <w:rsid w:val="00253ABC"/>
    <w:rsid w:val="00253EA8"/>
    <w:rsid w:val="002555A3"/>
    <w:rsid w:val="00260697"/>
    <w:rsid w:val="002646F5"/>
    <w:rsid w:val="0027045D"/>
    <w:rsid w:val="00270DFF"/>
    <w:rsid w:val="0027498B"/>
    <w:rsid w:val="00277BF8"/>
    <w:rsid w:val="0028292C"/>
    <w:rsid w:val="002836A5"/>
    <w:rsid w:val="00283969"/>
    <w:rsid w:val="002912EC"/>
    <w:rsid w:val="00293616"/>
    <w:rsid w:val="002949B6"/>
    <w:rsid w:val="002971E7"/>
    <w:rsid w:val="0029771D"/>
    <w:rsid w:val="002A4F7F"/>
    <w:rsid w:val="002A5189"/>
    <w:rsid w:val="002A6F7F"/>
    <w:rsid w:val="002B104B"/>
    <w:rsid w:val="002B1C9F"/>
    <w:rsid w:val="002B45D6"/>
    <w:rsid w:val="002B4B2A"/>
    <w:rsid w:val="002B65DD"/>
    <w:rsid w:val="002B6830"/>
    <w:rsid w:val="002B76DD"/>
    <w:rsid w:val="002C1286"/>
    <w:rsid w:val="002C179A"/>
    <w:rsid w:val="002C1B88"/>
    <w:rsid w:val="002C3C74"/>
    <w:rsid w:val="002C47A8"/>
    <w:rsid w:val="002C50D6"/>
    <w:rsid w:val="002C5AD6"/>
    <w:rsid w:val="002D1C2D"/>
    <w:rsid w:val="002D204E"/>
    <w:rsid w:val="002D2CD3"/>
    <w:rsid w:val="002D434E"/>
    <w:rsid w:val="002E437D"/>
    <w:rsid w:val="002E4B19"/>
    <w:rsid w:val="002F1CF6"/>
    <w:rsid w:val="002F1D85"/>
    <w:rsid w:val="002F3EEC"/>
    <w:rsid w:val="00300DA1"/>
    <w:rsid w:val="00301402"/>
    <w:rsid w:val="003042C3"/>
    <w:rsid w:val="003042FC"/>
    <w:rsid w:val="00306F09"/>
    <w:rsid w:val="003107EC"/>
    <w:rsid w:val="003113BC"/>
    <w:rsid w:val="00314323"/>
    <w:rsid w:val="00316861"/>
    <w:rsid w:val="003205E0"/>
    <w:rsid w:val="00321100"/>
    <w:rsid w:val="0032222F"/>
    <w:rsid w:val="00322A94"/>
    <w:rsid w:val="00330C04"/>
    <w:rsid w:val="003338AE"/>
    <w:rsid w:val="0033554C"/>
    <w:rsid w:val="0033637E"/>
    <w:rsid w:val="00345B00"/>
    <w:rsid w:val="00345BDF"/>
    <w:rsid w:val="00351BBB"/>
    <w:rsid w:val="003537D5"/>
    <w:rsid w:val="0035475D"/>
    <w:rsid w:val="003551BC"/>
    <w:rsid w:val="003557D3"/>
    <w:rsid w:val="00355FB2"/>
    <w:rsid w:val="00356BCB"/>
    <w:rsid w:val="00360290"/>
    <w:rsid w:val="00361834"/>
    <w:rsid w:val="003632D2"/>
    <w:rsid w:val="0036574A"/>
    <w:rsid w:val="00366B24"/>
    <w:rsid w:val="00366BEF"/>
    <w:rsid w:val="003710B8"/>
    <w:rsid w:val="00371BBC"/>
    <w:rsid w:val="00375A06"/>
    <w:rsid w:val="00375BDE"/>
    <w:rsid w:val="0038012C"/>
    <w:rsid w:val="00384FED"/>
    <w:rsid w:val="00385320"/>
    <w:rsid w:val="003929D3"/>
    <w:rsid w:val="00392C78"/>
    <w:rsid w:val="0039459A"/>
    <w:rsid w:val="00395C01"/>
    <w:rsid w:val="00397297"/>
    <w:rsid w:val="00397B61"/>
    <w:rsid w:val="003A0205"/>
    <w:rsid w:val="003A434C"/>
    <w:rsid w:val="003A67D0"/>
    <w:rsid w:val="003B05F2"/>
    <w:rsid w:val="003B1D6E"/>
    <w:rsid w:val="003B259D"/>
    <w:rsid w:val="003B50AC"/>
    <w:rsid w:val="003B59C6"/>
    <w:rsid w:val="003B708A"/>
    <w:rsid w:val="003B7992"/>
    <w:rsid w:val="003C12AE"/>
    <w:rsid w:val="003C6F8D"/>
    <w:rsid w:val="003C7AAA"/>
    <w:rsid w:val="003D05B0"/>
    <w:rsid w:val="003E02B9"/>
    <w:rsid w:val="003E1011"/>
    <w:rsid w:val="003E4921"/>
    <w:rsid w:val="003E6CC5"/>
    <w:rsid w:val="003F0E97"/>
    <w:rsid w:val="003F19C8"/>
    <w:rsid w:val="003F68A7"/>
    <w:rsid w:val="003F71A0"/>
    <w:rsid w:val="004012E5"/>
    <w:rsid w:val="0040138D"/>
    <w:rsid w:val="0040396A"/>
    <w:rsid w:val="00404101"/>
    <w:rsid w:val="00405583"/>
    <w:rsid w:val="004071BD"/>
    <w:rsid w:val="00411524"/>
    <w:rsid w:val="0041251A"/>
    <w:rsid w:val="004154DA"/>
    <w:rsid w:val="00417E14"/>
    <w:rsid w:val="00421D8B"/>
    <w:rsid w:val="004225ED"/>
    <w:rsid w:val="004245FA"/>
    <w:rsid w:val="00424771"/>
    <w:rsid w:val="00424A25"/>
    <w:rsid w:val="00424AFB"/>
    <w:rsid w:val="00427536"/>
    <w:rsid w:val="0043231C"/>
    <w:rsid w:val="0043319D"/>
    <w:rsid w:val="00435314"/>
    <w:rsid w:val="00435C3C"/>
    <w:rsid w:val="00440B62"/>
    <w:rsid w:val="00445477"/>
    <w:rsid w:val="00452211"/>
    <w:rsid w:val="00454AAD"/>
    <w:rsid w:val="00454C47"/>
    <w:rsid w:val="004559EA"/>
    <w:rsid w:val="00456F3F"/>
    <w:rsid w:val="004710F7"/>
    <w:rsid w:val="00472173"/>
    <w:rsid w:val="0047545A"/>
    <w:rsid w:val="00477669"/>
    <w:rsid w:val="0048114B"/>
    <w:rsid w:val="00481A43"/>
    <w:rsid w:val="00482E0C"/>
    <w:rsid w:val="004835A9"/>
    <w:rsid w:val="0048562E"/>
    <w:rsid w:val="004869D2"/>
    <w:rsid w:val="0048710E"/>
    <w:rsid w:val="004900BA"/>
    <w:rsid w:val="004921BA"/>
    <w:rsid w:val="00492FD1"/>
    <w:rsid w:val="004A3B07"/>
    <w:rsid w:val="004A565E"/>
    <w:rsid w:val="004A586F"/>
    <w:rsid w:val="004A6EA3"/>
    <w:rsid w:val="004B0786"/>
    <w:rsid w:val="004B4169"/>
    <w:rsid w:val="004B6F8A"/>
    <w:rsid w:val="004C1518"/>
    <w:rsid w:val="004C720E"/>
    <w:rsid w:val="004C799F"/>
    <w:rsid w:val="004C7B68"/>
    <w:rsid w:val="004D1CD9"/>
    <w:rsid w:val="004D4287"/>
    <w:rsid w:val="004E1685"/>
    <w:rsid w:val="004E488A"/>
    <w:rsid w:val="004E6A98"/>
    <w:rsid w:val="004E7609"/>
    <w:rsid w:val="004F2C32"/>
    <w:rsid w:val="004F43AB"/>
    <w:rsid w:val="004F7E10"/>
    <w:rsid w:val="00500CA6"/>
    <w:rsid w:val="005011B5"/>
    <w:rsid w:val="0050123F"/>
    <w:rsid w:val="00501BCF"/>
    <w:rsid w:val="00506F0F"/>
    <w:rsid w:val="00510BC5"/>
    <w:rsid w:val="00510D3F"/>
    <w:rsid w:val="00510EA3"/>
    <w:rsid w:val="0051382C"/>
    <w:rsid w:val="0051651E"/>
    <w:rsid w:val="00517DA6"/>
    <w:rsid w:val="00520308"/>
    <w:rsid w:val="00520F3F"/>
    <w:rsid w:val="0052181A"/>
    <w:rsid w:val="005224E2"/>
    <w:rsid w:val="005252CB"/>
    <w:rsid w:val="0053053F"/>
    <w:rsid w:val="005306EB"/>
    <w:rsid w:val="00531960"/>
    <w:rsid w:val="00531BA8"/>
    <w:rsid w:val="00531F18"/>
    <w:rsid w:val="00533A6F"/>
    <w:rsid w:val="00534E8A"/>
    <w:rsid w:val="005356F1"/>
    <w:rsid w:val="005370A5"/>
    <w:rsid w:val="005427D5"/>
    <w:rsid w:val="00542A61"/>
    <w:rsid w:val="00544167"/>
    <w:rsid w:val="00544C8E"/>
    <w:rsid w:val="00550000"/>
    <w:rsid w:val="005506F9"/>
    <w:rsid w:val="005522AE"/>
    <w:rsid w:val="00554514"/>
    <w:rsid w:val="00554ADB"/>
    <w:rsid w:val="00555207"/>
    <w:rsid w:val="00556DB2"/>
    <w:rsid w:val="00557C5F"/>
    <w:rsid w:val="00563E47"/>
    <w:rsid w:val="005652A3"/>
    <w:rsid w:val="00567790"/>
    <w:rsid w:val="00571049"/>
    <w:rsid w:val="005741B6"/>
    <w:rsid w:val="00577041"/>
    <w:rsid w:val="00577EC1"/>
    <w:rsid w:val="00580A2E"/>
    <w:rsid w:val="005827DC"/>
    <w:rsid w:val="005842B5"/>
    <w:rsid w:val="00585125"/>
    <w:rsid w:val="005877AC"/>
    <w:rsid w:val="00587EC2"/>
    <w:rsid w:val="005908EB"/>
    <w:rsid w:val="0059131C"/>
    <w:rsid w:val="00593021"/>
    <w:rsid w:val="0059323C"/>
    <w:rsid w:val="00594A40"/>
    <w:rsid w:val="00594A76"/>
    <w:rsid w:val="00594D78"/>
    <w:rsid w:val="00594FA1"/>
    <w:rsid w:val="005A32FB"/>
    <w:rsid w:val="005A4024"/>
    <w:rsid w:val="005B0DE0"/>
    <w:rsid w:val="005B14E5"/>
    <w:rsid w:val="005B29DF"/>
    <w:rsid w:val="005B41B5"/>
    <w:rsid w:val="005B5144"/>
    <w:rsid w:val="005B66BA"/>
    <w:rsid w:val="005B6B70"/>
    <w:rsid w:val="005B6C1C"/>
    <w:rsid w:val="005C457A"/>
    <w:rsid w:val="005C788B"/>
    <w:rsid w:val="005D1C22"/>
    <w:rsid w:val="005D328E"/>
    <w:rsid w:val="005E52A4"/>
    <w:rsid w:val="005E72C1"/>
    <w:rsid w:val="005F0358"/>
    <w:rsid w:val="005F195A"/>
    <w:rsid w:val="005F23DE"/>
    <w:rsid w:val="005F36D7"/>
    <w:rsid w:val="005F3859"/>
    <w:rsid w:val="005F7F5E"/>
    <w:rsid w:val="00600714"/>
    <w:rsid w:val="00606E05"/>
    <w:rsid w:val="00606F6E"/>
    <w:rsid w:val="006110DE"/>
    <w:rsid w:val="0061307B"/>
    <w:rsid w:val="006172B4"/>
    <w:rsid w:val="00617684"/>
    <w:rsid w:val="00617ACC"/>
    <w:rsid w:val="00620A4C"/>
    <w:rsid w:val="00620E22"/>
    <w:rsid w:val="00621899"/>
    <w:rsid w:val="00623F15"/>
    <w:rsid w:val="006305B4"/>
    <w:rsid w:val="0063648F"/>
    <w:rsid w:val="006377A3"/>
    <w:rsid w:val="00640760"/>
    <w:rsid w:val="00640C77"/>
    <w:rsid w:val="00640F72"/>
    <w:rsid w:val="00647B8F"/>
    <w:rsid w:val="00653244"/>
    <w:rsid w:val="00661A7A"/>
    <w:rsid w:val="006657C6"/>
    <w:rsid w:val="00666096"/>
    <w:rsid w:val="00667377"/>
    <w:rsid w:val="00670072"/>
    <w:rsid w:val="006772EF"/>
    <w:rsid w:val="00681B18"/>
    <w:rsid w:val="006844A4"/>
    <w:rsid w:val="00686FE8"/>
    <w:rsid w:val="00690035"/>
    <w:rsid w:val="00694113"/>
    <w:rsid w:val="006946B1"/>
    <w:rsid w:val="006947E9"/>
    <w:rsid w:val="006A2DEA"/>
    <w:rsid w:val="006A4EE6"/>
    <w:rsid w:val="006A77DA"/>
    <w:rsid w:val="006B5816"/>
    <w:rsid w:val="006C0B2A"/>
    <w:rsid w:val="006C1D0B"/>
    <w:rsid w:val="006D0C29"/>
    <w:rsid w:val="006D3F32"/>
    <w:rsid w:val="006D640D"/>
    <w:rsid w:val="006E23F6"/>
    <w:rsid w:val="006E4D90"/>
    <w:rsid w:val="006E79B2"/>
    <w:rsid w:val="006F2AB8"/>
    <w:rsid w:val="006F324B"/>
    <w:rsid w:val="007048AF"/>
    <w:rsid w:val="0070537D"/>
    <w:rsid w:val="00710B42"/>
    <w:rsid w:val="0071130E"/>
    <w:rsid w:val="00714B93"/>
    <w:rsid w:val="00714D69"/>
    <w:rsid w:val="0071683B"/>
    <w:rsid w:val="00717395"/>
    <w:rsid w:val="00717AFF"/>
    <w:rsid w:val="007207E4"/>
    <w:rsid w:val="00720BFF"/>
    <w:rsid w:val="00720DBA"/>
    <w:rsid w:val="0073012A"/>
    <w:rsid w:val="0073039E"/>
    <w:rsid w:val="00732008"/>
    <w:rsid w:val="007345B6"/>
    <w:rsid w:val="00736F8E"/>
    <w:rsid w:val="00740FD2"/>
    <w:rsid w:val="00741960"/>
    <w:rsid w:val="00741EBD"/>
    <w:rsid w:val="00754868"/>
    <w:rsid w:val="00761528"/>
    <w:rsid w:val="00763905"/>
    <w:rsid w:val="007639C9"/>
    <w:rsid w:val="00765E41"/>
    <w:rsid w:val="007666B9"/>
    <w:rsid w:val="00766A5C"/>
    <w:rsid w:val="00767988"/>
    <w:rsid w:val="0077319C"/>
    <w:rsid w:val="00774172"/>
    <w:rsid w:val="007762CA"/>
    <w:rsid w:val="00776F76"/>
    <w:rsid w:val="00791015"/>
    <w:rsid w:val="00791380"/>
    <w:rsid w:val="00796616"/>
    <w:rsid w:val="007A3843"/>
    <w:rsid w:val="007A68A2"/>
    <w:rsid w:val="007B05D0"/>
    <w:rsid w:val="007B1710"/>
    <w:rsid w:val="007B2664"/>
    <w:rsid w:val="007B623B"/>
    <w:rsid w:val="007B7026"/>
    <w:rsid w:val="007B7CAC"/>
    <w:rsid w:val="007C7E76"/>
    <w:rsid w:val="007D3A38"/>
    <w:rsid w:val="007E32E7"/>
    <w:rsid w:val="007E3FDC"/>
    <w:rsid w:val="007E578E"/>
    <w:rsid w:val="007F0B1D"/>
    <w:rsid w:val="007F41F2"/>
    <w:rsid w:val="007F5116"/>
    <w:rsid w:val="007F6A75"/>
    <w:rsid w:val="00802753"/>
    <w:rsid w:val="00804A52"/>
    <w:rsid w:val="0080653A"/>
    <w:rsid w:val="0081242E"/>
    <w:rsid w:val="008130E8"/>
    <w:rsid w:val="008140AD"/>
    <w:rsid w:val="00814396"/>
    <w:rsid w:val="00821E32"/>
    <w:rsid w:val="008234CB"/>
    <w:rsid w:val="008252C5"/>
    <w:rsid w:val="00834618"/>
    <w:rsid w:val="00834722"/>
    <w:rsid w:val="00834F16"/>
    <w:rsid w:val="00836EF7"/>
    <w:rsid w:val="00841953"/>
    <w:rsid w:val="00844B1E"/>
    <w:rsid w:val="00851632"/>
    <w:rsid w:val="00851728"/>
    <w:rsid w:val="0085523A"/>
    <w:rsid w:val="0085738C"/>
    <w:rsid w:val="00860274"/>
    <w:rsid w:val="008615E2"/>
    <w:rsid w:val="00863A9B"/>
    <w:rsid w:val="00867431"/>
    <w:rsid w:val="00867BA0"/>
    <w:rsid w:val="00870C3C"/>
    <w:rsid w:val="00871F9C"/>
    <w:rsid w:val="00872252"/>
    <w:rsid w:val="00872B46"/>
    <w:rsid w:val="008746DB"/>
    <w:rsid w:val="008751A2"/>
    <w:rsid w:val="00885F33"/>
    <w:rsid w:val="00890F3B"/>
    <w:rsid w:val="00894847"/>
    <w:rsid w:val="0089513E"/>
    <w:rsid w:val="008A1472"/>
    <w:rsid w:val="008A14DB"/>
    <w:rsid w:val="008A287C"/>
    <w:rsid w:val="008A2CB1"/>
    <w:rsid w:val="008B0F6E"/>
    <w:rsid w:val="008B17C3"/>
    <w:rsid w:val="008B1A03"/>
    <w:rsid w:val="008B1C66"/>
    <w:rsid w:val="008B2141"/>
    <w:rsid w:val="008B223B"/>
    <w:rsid w:val="008C12C5"/>
    <w:rsid w:val="008C4195"/>
    <w:rsid w:val="008C6A70"/>
    <w:rsid w:val="008C76C7"/>
    <w:rsid w:val="008D0748"/>
    <w:rsid w:val="008D12F4"/>
    <w:rsid w:val="008D23DA"/>
    <w:rsid w:val="008D36EE"/>
    <w:rsid w:val="008D37C0"/>
    <w:rsid w:val="008D38D0"/>
    <w:rsid w:val="008D6AAB"/>
    <w:rsid w:val="008E38AA"/>
    <w:rsid w:val="008E5FF1"/>
    <w:rsid w:val="008F3C9C"/>
    <w:rsid w:val="008F552B"/>
    <w:rsid w:val="00900113"/>
    <w:rsid w:val="00902D42"/>
    <w:rsid w:val="00904648"/>
    <w:rsid w:val="009055FD"/>
    <w:rsid w:val="00915193"/>
    <w:rsid w:val="009162C3"/>
    <w:rsid w:val="00916558"/>
    <w:rsid w:val="009202CA"/>
    <w:rsid w:val="009226CA"/>
    <w:rsid w:val="00924E53"/>
    <w:rsid w:val="009251AA"/>
    <w:rsid w:val="0092609C"/>
    <w:rsid w:val="0093250D"/>
    <w:rsid w:val="00935632"/>
    <w:rsid w:val="009367D8"/>
    <w:rsid w:val="00937727"/>
    <w:rsid w:val="0094093A"/>
    <w:rsid w:val="00941021"/>
    <w:rsid w:val="00941CBD"/>
    <w:rsid w:val="0094294C"/>
    <w:rsid w:val="009434C9"/>
    <w:rsid w:val="0095169E"/>
    <w:rsid w:val="00951FDB"/>
    <w:rsid w:val="0095321B"/>
    <w:rsid w:val="009549AF"/>
    <w:rsid w:val="00954C7C"/>
    <w:rsid w:val="009571C5"/>
    <w:rsid w:val="0096006E"/>
    <w:rsid w:val="009611BD"/>
    <w:rsid w:val="00965CB7"/>
    <w:rsid w:val="00967080"/>
    <w:rsid w:val="00967CC6"/>
    <w:rsid w:val="009710B4"/>
    <w:rsid w:val="009749B2"/>
    <w:rsid w:val="0097512A"/>
    <w:rsid w:val="00983F4B"/>
    <w:rsid w:val="009917BA"/>
    <w:rsid w:val="00992D67"/>
    <w:rsid w:val="00994091"/>
    <w:rsid w:val="00996D5D"/>
    <w:rsid w:val="00997844"/>
    <w:rsid w:val="009A0B53"/>
    <w:rsid w:val="009A34EF"/>
    <w:rsid w:val="009B1D47"/>
    <w:rsid w:val="009B2636"/>
    <w:rsid w:val="009B307B"/>
    <w:rsid w:val="009B35B6"/>
    <w:rsid w:val="009B3AFE"/>
    <w:rsid w:val="009B3D75"/>
    <w:rsid w:val="009B4AE6"/>
    <w:rsid w:val="009C2592"/>
    <w:rsid w:val="009C25D2"/>
    <w:rsid w:val="009C57E3"/>
    <w:rsid w:val="009C6B1C"/>
    <w:rsid w:val="009C7F70"/>
    <w:rsid w:val="009D32C0"/>
    <w:rsid w:val="009D516F"/>
    <w:rsid w:val="009D57DF"/>
    <w:rsid w:val="009D67DB"/>
    <w:rsid w:val="009E2408"/>
    <w:rsid w:val="009E2697"/>
    <w:rsid w:val="009E2D09"/>
    <w:rsid w:val="009E3347"/>
    <w:rsid w:val="009E40E4"/>
    <w:rsid w:val="009E455F"/>
    <w:rsid w:val="009E476A"/>
    <w:rsid w:val="009E4793"/>
    <w:rsid w:val="009E4F0F"/>
    <w:rsid w:val="009E5FAD"/>
    <w:rsid w:val="009E64B9"/>
    <w:rsid w:val="009F3AC3"/>
    <w:rsid w:val="009F5865"/>
    <w:rsid w:val="009F5EEE"/>
    <w:rsid w:val="009F6937"/>
    <w:rsid w:val="00A019FF"/>
    <w:rsid w:val="00A01E65"/>
    <w:rsid w:val="00A036CF"/>
    <w:rsid w:val="00A06F4E"/>
    <w:rsid w:val="00A07C63"/>
    <w:rsid w:val="00A12F61"/>
    <w:rsid w:val="00A168A5"/>
    <w:rsid w:val="00A2052B"/>
    <w:rsid w:val="00A265CC"/>
    <w:rsid w:val="00A33B99"/>
    <w:rsid w:val="00A37010"/>
    <w:rsid w:val="00A404E5"/>
    <w:rsid w:val="00A411AF"/>
    <w:rsid w:val="00A44121"/>
    <w:rsid w:val="00A442C7"/>
    <w:rsid w:val="00A472C2"/>
    <w:rsid w:val="00A52D91"/>
    <w:rsid w:val="00A558CE"/>
    <w:rsid w:val="00A6418A"/>
    <w:rsid w:val="00A70553"/>
    <w:rsid w:val="00A73DAA"/>
    <w:rsid w:val="00A73F3C"/>
    <w:rsid w:val="00A76FA3"/>
    <w:rsid w:val="00A772DB"/>
    <w:rsid w:val="00A82D6A"/>
    <w:rsid w:val="00A8552D"/>
    <w:rsid w:val="00A85538"/>
    <w:rsid w:val="00A86683"/>
    <w:rsid w:val="00A86F4B"/>
    <w:rsid w:val="00A9464B"/>
    <w:rsid w:val="00A949EB"/>
    <w:rsid w:val="00A96614"/>
    <w:rsid w:val="00A9769F"/>
    <w:rsid w:val="00AA6B9D"/>
    <w:rsid w:val="00AB3380"/>
    <w:rsid w:val="00AB3D92"/>
    <w:rsid w:val="00AC0C4C"/>
    <w:rsid w:val="00AC0D9E"/>
    <w:rsid w:val="00AC125C"/>
    <w:rsid w:val="00AC24DC"/>
    <w:rsid w:val="00AD1055"/>
    <w:rsid w:val="00AD3A87"/>
    <w:rsid w:val="00AD4744"/>
    <w:rsid w:val="00AD4FD9"/>
    <w:rsid w:val="00AD6C1D"/>
    <w:rsid w:val="00AD7DEC"/>
    <w:rsid w:val="00AE11EB"/>
    <w:rsid w:val="00AE544B"/>
    <w:rsid w:val="00AE71C5"/>
    <w:rsid w:val="00AF278C"/>
    <w:rsid w:val="00AF479C"/>
    <w:rsid w:val="00AF4824"/>
    <w:rsid w:val="00AF5107"/>
    <w:rsid w:val="00AF7A39"/>
    <w:rsid w:val="00AF7B20"/>
    <w:rsid w:val="00AF7C37"/>
    <w:rsid w:val="00B0292C"/>
    <w:rsid w:val="00B048D4"/>
    <w:rsid w:val="00B063DE"/>
    <w:rsid w:val="00B1367A"/>
    <w:rsid w:val="00B13E6E"/>
    <w:rsid w:val="00B1694D"/>
    <w:rsid w:val="00B23CFD"/>
    <w:rsid w:val="00B2738D"/>
    <w:rsid w:val="00B27EE2"/>
    <w:rsid w:val="00B42125"/>
    <w:rsid w:val="00B43098"/>
    <w:rsid w:val="00B444A7"/>
    <w:rsid w:val="00B53D87"/>
    <w:rsid w:val="00B55FBB"/>
    <w:rsid w:val="00B56604"/>
    <w:rsid w:val="00B57423"/>
    <w:rsid w:val="00B66139"/>
    <w:rsid w:val="00B711CD"/>
    <w:rsid w:val="00B7329A"/>
    <w:rsid w:val="00B760BA"/>
    <w:rsid w:val="00B76645"/>
    <w:rsid w:val="00B76A42"/>
    <w:rsid w:val="00B80952"/>
    <w:rsid w:val="00B84DC0"/>
    <w:rsid w:val="00B855A7"/>
    <w:rsid w:val="00B85E4D"/>
    <w:rsid w:val="00B92B1E"/>
    <w:rsid w:val="00B93F90"/>
    <w:rsid w:val="00B94946"/>
    <w:rsid w:val="00BA09AC"/>
    <w:rsid w:val="00BA6CD9"/>
    <w:rsid w:val="00BA6DDC"/>
    <w:rsid w:val="00BA6ECA"/>
    <w:rsid w:val="00BB1157"/>
    <w:rsid w:val="00BB263E"/>
    <w:rsid w:val="00BB5662"/>
    <w:rsid w:val="00BB6E2F"/>
    <w:rsid w:val="00BB7CD2"/>
    <w:rsid w:val="00BC1994"/>
    <w:rsid w:val="00BC1CFB"/>
    <w:rsid w:val="00BC3A09"/>
    <w:rsid w:val="00BD13F7"/>
    <w:rsid w:val="00BD28DD"/>
    <w:rsid w:val="00BF28F7"/>
    <w:rsid w:val="00BF2B4A"/>
    <w:rsid w:val="00BF71E6"/>
    <w:rsid w:val="00C061C6"/>
    <w:rsid w:val="00C14010"/>
    <w:rsid w:val="00C14282"/>
    <w:rsid w:val="00C1555F"/>
    <w:rsid w:val="00C16FC4"/>
    <w:rsid w:val="00C17244"/>
    <w:rsid w:val="00C20763"/>
    <w:rsid w:val="00C20DC0"/>
    <w:rsid w:val="00C2447B"/>
    <w:rsid w:val="00C25776"/>
    <w:rsid w:val="00C30673"/>
    <w:rsid w:val="00C30B35"/>
    <w:rsid w:val="00C31EB2"/>
    <w:rsid w:val="00C323F1"/>
    <w:rsid w:val="00C352F9"/>
    <w:rsid w:val="00C41963"/>
    <w:rsid w:val="00C421E4"/>
    <w:rsid w:val="00C51C0F"/>
    <w:rsid w:val="00C546F8"/>
    <w:rsid w:val="00C6094A"/>
    <w:rsid w:val="00C60E97"/>
    <w:rsid w:val="00C61C75"/>
    <w:rsid w:val="00C6275D"/>
    <w:rsid w:val="00C660F8"/>
    <w:rsid w:val="00C7155F"/>
    <w:rsid w:val="00C7166A"/>
    <w:rsid w:val="00C72F96"/>
    <w:rsid w:val="00C73946"/>
    <w:rsid w:val="00C7644A"/>
    <w:rsid w:val="00C800B0"/>
    <w:rsid w:val="00C81FC6"/>
    <w:rsid w:val="00C841D2"/>
    <w:rsid w:val="00C84AAD"/>
    <w:rsid w:val="00C8622D"/>
    <w:rsid w:val="00C86298"/>
    <w:rsid w:val="00C876B8"/>
    <w:rsid w:val="00C87FDD"/>
    <w:rsid w:val="00C92831"/>
    <w:rsid w:val="00C94D61"/>
    <w:rsid w:val="00CA0755"/>
    <w:rsid w:val="00CA2868"/>
    <w:rsid w:val="00CA51A3"/>
    <w:rsid w:val="00CA6D6A"/>
    <w:rsid w:val="00CA6F7D"/>
    <w:rsid w:val="00CB161C"/>
    <w:rsid w:val="00CB45DF"/>
    <w:rsid w:val="00CB6380"/>
    <w:rsid w:val="00CB747C"/>
    <w:rsid w:val="00CC1746"/>
    <w:rsid w:val="00CC1AD7"/>
    <w:rsid w:val="00CC27BB"/>
    <w:rsid w:val="00CC692C"/>
    <w:rsid w:val="00CC6AB5"/>
    <w:rsid w:val="00CC786B"/>
    <w:rsid w:val="00CC7D26"/>
    <w:rsid w:val="00CD1EB4"/>
    <w:rsid w:val="00CD3502"/>
    <w:rsid w:val="00CD3AD6"/>
    <w:rsid w:val="00CD5671"/>
    <w:rsid w:val="00CD5C4D"/>
    <w:rsid w:val="00CD622D"/>
    <w:rsid w:val="00CE074C"/>
    <w:rsid w:val="00CE2F01"/>
    <w:rsid w:val="00CE39A1"/>
    <w:rsid w:val="00CE3A61"/>
    <w:rsid w:val="00CE4DF8"/>
    <w:rsid w:val="00CF0A6D"/>
    <w:rsid w:val="00CF2756"/>
    <w:rsid w:val="00CF3D82"/>
    <w:rsid w:val="00CF61CC"/>
    <w:rsid w:val="00D0526C"/>
    <w:rsid w:val="00D11074"/>
    <w:rsid w:val="00D12565"/>
    <w:rsid w:val="00D12C40"/>
    <w:rsid w:val="00D154EA"/>
    <w:rsid w:val="00D15CFA"/>
    <w:rsid w:val="00D16D44"/>
    <w:rsid w:val="00D16DA2"/>
    <w:rsid w:val="00D177D1"/>
    <w:rsid w:val="00D20D0E"/>
    <w:rsid w:val="00D211F8"/>
    <w:rsid w:val="00D279E1"/>
    <w:rsid w:val="00D27A29"/>
    <w:rsid w:val="00D27D0F"/>
    <w:rsid w:val="00D32EF3"/>
    <w:rsid w:val="00D3380C"/>
    <w:rsid w:val="00D33E3D"/>
    <w:rsid w:val="00D42F16"/>
    <w:rsid w:val="00D4614E"/>
    <w:rsid w:val="00D46184"/>
    <w:rsid w:val="00D46748"/>
    <w:rsid w:val="00D538F4"/>
    <w:rsid w:val="00D54734"/>
    <w:rsid w:val="00D55554"/>
    <w:rsid w:val="00D57257"/>
    <w:rsid w:val="00D57C6D"/>
    <w:rsid w:val="00D57CAB"/>
    <w:rsid w:val="00D64BA4"/>
    <w:rsid w:val="00D65BEB"/>
    <w:rsid w:val="00D66085"/>
    <w:rsid w:val="00D67B8A"/>
    <w:rsid w:val="00D67E97"/>
    <w:rsid w:val="00D73D6A"/>
    <w:rsid w:val="00D75A7F"/>
    <w:rsid w:val="00D7647F"/>
    <w:rsid w:val="00D77E3A"/>
    <w:rsid w:val="00D81D96"/>
    <w:rsid w:val="00D870D7"/>
    <w:rsid w:val="00D873B3"/>
    <w:rsid w:val="00D91731"/>
    <w:rsid w:val="00D91A84"/>
    <w:rsid w:val="00D92B4A"/>
    <w:rsid w:val="00D92D3F"/>
    <w:rsid w:val="00D93A46"/>
    <w:rsid w:val="00D948F3"/>
    <w:rsid w:val="00D975ED"/>
    <w:rsid w:val="00DA3BBE"/>
    <w:rsid w:val="00DA55D0"/>
    <w:rsid w:val="00DA580A"/>
    <w:rsid w:val="00DA6D61"/>
    <w:rsid w:val="00DA7E8B"/>
    <w:rsid w:val="00DB3D0A"/>
    <w:rsid w:val="00DB6361"/>
    <w:rsid w:val="00DB7B49"/>
    <w:rsid w:val="00DC0C99"/>
    <w:rsid w:val="00DC2183"/>
    <w:rsid w:val="00DC4AD8"/>
    <w:rsid w:val="00DC4D4D"/>
    <w:rsid w:val="00DC52DC"/>
    <w:rsid w:val="00DC661C"/>
    <w:rsid w:val="00DD0B79"/>
    <w:rsid w:val="00DD129E"/>
    <w:rsid w:val="00DE0260"/>
    <w:rsid w:val="00DE13D2"/>
    <w:rsid w:val="00DE1D87"/>
    <w:rsid w:val="00DE7FC4"/>
    <w:rsid w:val="00DF1047"/>
    <w:rsid w:val="00DF30E4"/>
    <w:rsid w:val="00DF3B3A"/>
    <w:rsid w:val="00DF6B79"/>
    <w:rsid w:val="00E013D5"/>
    <w:rsid w:val="00E03C89"/>
    <w:rsid w:val="00E04344"/>
    <w:rsid w:val="00E063F7"/>
    <w:rsid w:val="00E1635F"/>
    <w:rsid w:val="00E2276D"/>
    <w:rsid w:val="00E26978"/>
    <w:rsid w:val="00E32033"/>
    <w:rsid w:val="00E3367F"/>
    <w:rsid w:val="00E40542"/>
    <w:rsid w:val="00E40B7E"/>
    <w:rsid w:val="00E41749"/>
    <w:rsid w:val="00E42065"/>
    <w:rsid w:val="00E42262"/>
    <w:rsid w:val="00E46FBA"/>
    <w:rsid w:val="00E47392"/>
    <w:rsid w:val="00E4793A"/>
    <w:rsid w:val="00E5286E"/>
    <w:rsid w:val="00E545FF"/>
    <w:rsid w:val="00E56521"/>
    <w:rsid w:val="00E57175"/>
    <w:rsid w:val="00E61EEC"/>
    <w:rsid w:val="00E633B9"/>
    <w:rsid w:val="00E639A7"/>
    <w:rsid w:val="00E64637"/>
    <w:rsid w:val="00E671B9"/>
    <w:rsid w:val="00E73708"/>
    <w:rsid w:val="00E77B85"/>
    <w:rsid w:val="00E77D09"/>
    <w:rsid w:val="00E80AAB"/>
    <w:rsid w:val="00E80DEE"/>
    <w:rsid w:val="00E90200"/>
    <w:rsid w:val="00E9177E"/>
    <w:rsid w:val="00E957F7"/>
    <w:rsid w:val="00E9644C"/>
    <w:rsid w:val="00EA3F97"/>
    <w:rsid w:val="00EA4B36"/>
    <w:rsid w:val="00EB37B9"/>
    <w:rsid w:val="00EC11D8"/>
    <w:rsid w:val="00EC27EC"/>
    <w:rsid w:val="00EC288A"/>
    <w:rsid w:val="00EC47E7"/>
    <w:rsid w:val="00EC6D53"/>
    <w:rsid w:val="00EC7A66"/>
    <w:rsid w:val="00ED0BFC"/>
    <w:rsid w:val="00ED2101"/>
    <w:rsid w:val="00ED224C"/>
    <w:rsid w:val="00ED337D"/>
    <w:rsid w:val="00ED4FDF"/>
    <w:rsid w:val="00ED58A7"/>
    <w:rsid w:val="00ED5CE4"/>
    <w:rsid w:val="00ED6818"/>
    <w:rsid w:val="00ED791B"/>
    <w:rsid w:val="00EE2AFE"/>
    <w:rsid w:val="00EE6218"/>
    <w:rsid w:val="00EF04BD"/>
    <w:rsid w:val="00EF0D8F"/>
    <w:rsid w:val="00EF234D"/>
    <w:rsid w:val="00EF53D9"/>
    <w:rsid w:val="00EF6295"/>
    <w:rsid w:val="00F01ABE"/>
    <w:rsid w:val="00F035F3"/>
    <w:rsid w:val="00F03E46"/>
    <w:rsid w:val="00F04A2D"/>
    <w:rsid w:val="00F073F6"/>
    <w:rsid w:val="00F11675"/>
    <w:rsid w:val="00F13A4A"/>
    <w:rsid w:val="00F13C13"/>
    <w:rsid w:val="00F20817"/>
    <w:rsid w:val="00F21BAD"/>
    <w:rsid w:val="00F228A1"/>
    <w:rsid w:val="00F23A40"/>
    <w:rsid w:val="00F24E5F"/>
    <w:rsid w:val="00F26B4F"/>
    <w:rsid w:val="00F3077E"/>
    <w:rsid w:val="00F364FA"/>
    <w:rsid w:val="00F36557"/>
    <w:rsid w:val="00F37336"/>
    <w:rsid w:val="00F4300C"/>
    <w:rsid w:val="00F46051"/>
    <w:rsid w:val="00F51060"/>
    <w:rsid w:val="00F53ECA"/>
    <w:rsid w:val="00F57285"/>
    <w:rsid w:val="00F6100D"/>
    <w:rsid w:val="00F62802"/>
    <w:rsid w:val="00F6713A"/>
    <w:rsid w:val="00F73FD0"/>
    <w:rsid w:val="00F8245A"/>
    <w:rsid w:val="00F82BBE"/>
    <w:rsid w:val="00F84AB3"/>
    <w:rsid w:val="00F903EC"/>
    <w:rsid w:val="00F91149"/>
    <w:rsid w:val="00F911F2"/>
    <w:rsid w:val="00F915B8"/>
    <w:rsid w:val="00F96959"/>
    <w:rsid w:val="00F97368"/>
    <w:rsid w:val="00FA06AC"/>
    <w:rsid w:val="00FA2C8E"/>
    <w:rsid w:val="00FA5B67"/>
    <w:rsid w:val="00FB1715"/>
    <w:rsid w:val="00FB1B45"/>
    <w:rsid w:val="00FB3292"/>
    <w:rsid w:val="00FB662F"/>
    <w:rsid w:val="00FC3F2E"/>
    <w:rsid w:val="00FD1A29"/>
    <w:rsid w:val="00FD635D"/>
    <w:rsid w:val="00FD731E"/>
    <w:rsid w:val="00FE2BF8"/>
    <w:rsid w:val="00FE4410"/>
    <w:rsid w:val="00FE4DC0"/>
    <w:rsid w:val="00FE6534"/>
    <w:rsid w:val="00FE7BE0"/>
    <w:rsid w:val="00FF0CD0"/>
    <w:rsid w:val="00FF14B4"/>
    <w:rsid w:val="00FF15EA"/>
    <w:rsid w:val="00FF1E5E"/>
    <w:rsid w:val="00FF3A8F"/>
    <w:rsid w:val="102B4101"/>
    <w:rsid w:val="3FFE1044"/>
    <w:rsid w:val="40D211BF"/>
    <w:rsid w:val="44A92340"/>
    <w:rsid w:val="4D4F78F1"/>
    <w:rsid w:val="5153491D"/>
    <w:rsid w:val="55CB55AB"/>
    <w:rsid w:val="5D317188"/>
    <w:rsid w:val="5F1D4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92F8E0B"/>
  <w15:docId w15:val="{470A8DCE-D6AF-4F96-92FF-11502A1F0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unhideWhenUsed="1" w:qFormat="1"/>
    <w:lsdException w:name="header"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3F6"/>
    <w:rPr>
      <w:rFonts w:eastAsia="Times New Roman"/>
      <w:sz w:val="24"/>
      <w:szCs w:val="24"/>
      <w:lang w:val="en-GB" w:eastAsia="en-US"/>
    </w:rPr>
  </w:style>
  <w:style w:type="paragraph" w:styleId="Heading2">
    <w:name w:val="heading 2"/>
    <w:basedOn w:val="Normal"/>
    <w:next w:val="Normal"/>
    <w:link w:val="Heading2Char"/>
    <w:uiPriority w:val="9"/>
    <w:unhideWhenUsed/>
    <w:qFormat/>
    <w:pPr>
      <w:keepNext/>
      <w:keepLines/>
      <w:spacing w:before="40"/>
      <w:outlineLvl w:val="1"/>
    </w:pPr>
    <w:rPr>
      <w:rFonts w:ascii="Calibri Light" w:eastAsia="SimSun" w:hAnsi="Calibri Light"/>
      <w:color w:val="2E75B5"/>
      <w:sz w:val="26"/>
      <w:szCs w:val="26"/>
    </w:rPr>
  </w:style>
  <w:style w:type="paragraph" w:styleId="Heading3">
    <w:name w:val="heading 3"/>
    <w:basedOn w:val="Normal"/>
    <w:next w:val="Normal"/>
    <w:link w:val="Heading3Char"/>
    <w:qFormat/>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Segoe UI" w:hAnsi="Segoe UI" w:cs="Segoe UI"/>
      <w:sz w:val="18"/>
      <w:szCs w:val="18"/>
    </w:rPr>
  </w:style>
  <w:style w:type="character" w:styleId="CommentReference">
    <w:name w:val="annotation reference"/>
    <w:basedOn w:val="DefaultParagraphFont"/>
    <w:uiPriority w:val="99"/>
    <w:unhideWhenUsed/>
    <w:qFormat/>
    <w:rPr>
      <w:sz w:val="16"/>
      <w:szCs w:val="16"/>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unhideWhenUsed/>
    <w:rPr>
      <w:b/>
      <w:bCs/>
    </w:rPr>
  </w:style>
  <w:style w:type="character" w:styleId="FootnoteReference">
    <w:name w:val="footnote reference"/>
    <w:basedOn w:val="DefaultParagraphFont"/>
    <w:uiPriority w:val="99"/>
    <w:unhideWhenUsed/>
    <w:qFormat/>
    <w:rPr>
      <w:vertAlign w:val="superscript"/>
    </w:rPr>
  </w:style>
  <w:style w:type="paragraph" w:styleId="FootnoteText">
    <w:name w:val="footnote text"/>
    <w:basedOn w:val="Normal"/>
    <w:link w:val="FootnoteTextChar"/>
    <w:uiPriority w:val="99"/>
    <w:qFormat/>
    <w:rPr>
      <w:sz w:val="20"/>
      <w:szCs w:val="20"/>
    </w:rPr>
  </w:style>
  <w:style w:type="paragraph" w:styleId="Header">
    <w:name w:val="header"/>
    <w:basedOn w:val="Normal"/>
    <w:link w:val="HeaderChar"/>
    <w:uiPriority w:val="99"/>
    <w:qFormat/>
    <w:pPr>
      <w:tabs>
        <w:tab w:val="center" w:pos="4153"/>
        <w:tab w:val="right" w:pos="8306"/>
      </w:tabs>
    </w:pPr>
  </w:style>
  <w:style w:type="character" w:styleId="Hyperlink">
    <w:name w:val="Hyperlink"/>
    <w:basedOn w:val="DefaultParagraphFont"/>
    <w:uiPriority w:val="99"/>
    <w:unhideWhenUsed/>
    <w:qFormat/>
    <w:rPr>
      <w:color w:val="0000FF"/>
      <w:u w:val="single"/>
    </w:rPr>
  </w:style>
  <w:style w:type="paragraph" w:styleId="NormalWeb">
    <w:name w:val="Normal (Web)"/>
    <w:basedOn w:val="Normal"/>
    <w:uiPriority w:val="99"/>
    <w:unhideWhenUsed/>
    <w:qFormat/>
    <w:pPr>
      <w:spacing w:before="100" w:beforeAutospacing="1" w:after="100" w:afterAutospacing="1"/>
    </w:pPr>
    <w:rPr>
      <w:lang w:val="en-US"/>
    </w:rPr>
  </w:style>
  <w:style w:type="character" w:styleId="PageNumber">
    <w:name w:val="page number"/>
    <w:basedOn w:val="DefaultParagraphFont"/>
    <w:qFormat/>
    <w:rPr>
      <w:rFonts w:cs="Times New Roman"/>
    </w:rPr>
  </w:style>
  <w:style w:type="character" w:customStyle="1" w:styleId="Heading2Char">
    <w:name w:val="Heading 2 Char"/>
    <w:basedOn w:val="DefaultParagraphFont"/>
    <w:link w:val="Heading2"/>
    <w:uiPriority w:val="9"/>
    <w:semiHidden/>
    <w:rPr>
      <w:rFonts w:ascii="Calibri Light" w:eastAsia="SimSun" w:hAnsi="Calibri Light" w:cs="Times New Roman"/>
      <w:color w:val="2E75B5"/>
      <w:sz w:val="26"/>
      <w:szCs w:val="26"/>
      <w:lang w:val="en-GB"/>
    </w:rPr>
  </w:style>
  <w:style w:type="character" w:customStyle="1" w:styleId="Heading3Char">
    <w:name w:val="Heading 3 Char"/>
    <w:basedOn w:val="DefaultParagraphFont"/>
    <w:link w:val="Heading3"/>
    <w:qFormat/>
    <w:rPr>
      <w:rFonts w:ascii="Arial" w:eastAsia="Times New Roman" w:hAnsi="Arial" w:cs="Arial"/>
      <w:i/>
      <w:iCs/>
      <w:sz w:val="28"/>
      <w:szCs w:val="24"/>
      <w:lang w:val="en-GB"/>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rPr>
  </w:style>
  <w:style w:type="character" w:customStyle="1" w:styleId="CommentTextChar">
    <w:name w:val="Comment Text Char"/>
    <w:basedOn w:val="DefaultParagraphFont"/>
    <w:link w:val="CommentText"/>
    <w:uiPriority w:val="99"/>
    <w:semiHidden/>
    <w:qFormat/>
    <w:rPr>
      <w:rFonts w:ascii="Times New Roman" w:eastAsia="Times New Roman" w:hAnsi="Times New Roman" w:cs="Times New Roman"/>
      <w:sz w:val="20"/>
      <w:szCs w:val="20"/>
      <w:lang w:val="en-GB"/>
    </w:rPr>
  </w:style>
  <w:style w:type="character" w:customStyle="1" w:styleId="CommentSubjectChar">
    <w:name w:val="Comment Subject Char"/>
    <w:basedOn w:val="CommentTextChar"/>
    <w:link w:val="CommentSubject"/>
    <w:uiPriority w:val="99"/>
    <w:semiHidden/>
    <w:qFormat/>
    <w:rPr>
      <w:rFonts w:ascii="Times New Roman" w:eastAsia="Times New Roman" w:hAnsi="Times New Roman" w:cs="Times New Roman"/>
      <w:b/>
      <w:bCs/>
      <w:sz w:val="20"/>
      <w:szCs w:val="20"/>
      <w:lang w:val="en-GB"/>
    </w:rPr>
  </w:style>
  <w:style w:type="character" w:customStyle="1" w:styleId="FootnoteTextChar">
    <w:name w:val="Footnote Text Char"/>
    <w:basedOn w:val="DefaultParagraphFont"/>
    <w:link w:val="FootnoteText"/>
    <w:uiPriority w:val="99"/>
    <w:qFormat/>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lang w:val="en-GB"/>
    </w:rPr>
  </w:style>
  <w:style w:type="paragraph" w:styleId="ListParagraph">
    <w:name w:val="List Paragraph"/>
    <w:basedOn w:val="Normal"/>
    <w:uiPriority w:val="34"/>
    <w:qFormat/>
    <w:pPr>
      <w:ind w:left="720"/>
      <w:contextualSpacing/>
    </w:pPr>
  </w:style>
  <w:style w:type="paragraph" w:customStyle="1" w:styleId="western">
    <w:name w:val="western"/>
    <w:basedOn w:val="Normal"/>
    <w:qFormat/>
    <w:pPr>
      <w:spacing w:before="144" w:after="288"/>
    </w:pPr>
    <w:rPr>
      <w:lang w:val="en-US"/>
    </w:rPr>
  </w:style>
  <w:style w:type="character" w:styleId="PlaceholderText">
    <w:name w:val="Placeholder Text"/>
    <w:basedOn w:val="DefaultParagraphFont"/>
    <w:uiPriority w:val="99"/>
    <w:semiHidden/>
    <w:rPr>
      <w:color w:val="808080"/>
    </w:rPr>
  </w:style>
  <w:style w:type="paragraph" w:customStyle="1" w:styleId="Revision1">
    <w:name w:val="Revision1"/>
    <w:uiPriority w:val="99"/>
    <w:semiHidden/>
    <w:qFormat/>
    <w:rPr>
      <w:rFonts w:eastAsia="Times New Roman"/>
      <w:sz w:val="24"/>
      <w:szCs w:val="24"/>
      <w:lang w:val="en-GB" w:eastAsia="en-US"/>
    </w:rPr>
  </w:style>
  <w:style w:type="paragraph" w:styleId="Footer">
    <w:name w:val="footer"/>
    <w:basedOn w:val="Normal"/>
    <w:link w:val="FooterChar"/>
    <w:uiPriority w:val="99"/>
    <w:unhideWhenUsed/>
    <w:rsid w:val="000F7DC4"/>
    <w:pPr>
      <w:tabs>
        <w:tab w:val="center" w:pos="4513"/>
        <w:tab w:val="right" w:pos="9026"/>
      </w:tabs>
    </w:pPr>
  </w:style>
  <w:style w:type="character" w:customStyle="1" w:styleId="FooterChar">
    <w:name w:val="Footer Char"/>
    <w:basedOn w:val="DefaultParagraphFont"/>
    <w:link w:val="Footer"/>
    <w:uiPriority w:val="99"/>
    <w:rsid w:val="000F7DC4"/>
    <w:rPr>
      <w:rFonts w:eastAsia="Times New Roman"/>
      <w:sz w:val="24"/>
      <w:szCs w:val="24"/>
      <w:lang w:val="en-GB" w:eastAsia="en-US"/>
    </w:rPr>
  </w:style>
  <w:style w:type="paragraph" w:styleId="Revision">
    <w:name w:val="Revision"/>
    <w:hidden/>
    <w:uiPriority w:val="99"/>
    <w:semiHidden/>
    <w:rsid w:val="00555207"/>
    <w:rPr>
      <w:rFonts w:eastAsia="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3422">
      <w:bodyDiv w:val="1"/>
      <w:marLeft w:val="0"/>
      <w:marRight w:val="0"/>
      <w:marTop w:val="0"/>
      <w:marBottom w:val="0"/>
      <w:divBdr>
        <w:top w:val="none" w:sz="0" w:space="0" w:color="auto"/>
        <w:left w:val="none" w:sz="0" w:space="0" w:color="auto"/>
        <w:bottom w:val="none" w:sz="0" w:space="0" w:color="auto"/>
        <w:right w:val="none" w:sz="0" w:space="0" w:color="auto"/>
      </w:divBdr>
    </w:div>
    <w:div w:id="144593046">
      <w:bodyDiv w:val="1"/>
      <w:marLeft w:val="0"/>
      <w:marRight w:val="0"/>
      <w:marTop w:val="0"/>
      <w:marBottom w:val="0"/>
      <w:divBdr>
        <w:top w:val="none" w:sz="0" w:space="0" w:color="auto"/>
        <w:left w:val="none" w:sz="0" w:space="0" w:color="auto"/>
        <w:bottom w:val="none" w:sz="0" w:space="0" w:color="auto"/>
        <w:right w:val="none" w:sz="0" w:space="0" w:color="auto"/>
      </w:divBdr>
      <w:divsChild>
        <w:div w:id="31074659">
          <w:marLeft w:val="1134"/>
          <w:marRight w:val="0"/>
          <w:marTop w:val="120"/>
          <w:marBottom w:val="0"/>
          <w:divBdr>
            <w:top w:val="none" w:sz="0" w:space="0" w:color="auto"/>
            <w:left w:val="none" w:sz="0" w:space="0" w:color="auto"/>
            <w:bottom w:val="none" w:sz="0" w:space="0" w:color="auto"/>
            <w:right w:val="none" w:sz="0" w:space="0" w:color="auto"/>
          </w:divBdr>
        </w:div>
        <w:div w:id="55974466">
          <w:marLeft w:val="1134"/>
          <w:marRight w:val="0"/>
          <w:marTop w:val="120"/>
          <w:marBottom w:val="0"/>
          <w:divBdr>
            <w:top w:val="none" w:sz="0" w:space="0" w:color="auto"/>
            <w:left w:val="none" w:sz="0" w:space="0" w:color="auto"/>
            <w:bottom w:val="none" w:sz="0" w:space="0" w:color="auto"/>
            <w:right w:val="none" w:sz="0" w:space="0" w:color="auto"/>
          </w:divBdr>
        </w:div>
        <w:div w:id="147601199">
          <w:marLeft w:val="1134"/>
          <w:marRight w:val="0"/>
          <w:marTop w:val="120"/>
          <w:marBottom w:val="0"/>
          <w:divBdr>
            <w:top w:val="none" w:sz="0" w:space="0" w:color="auto"/>
            <w:left w:val="none" w:sz="0" w:space="0" w:color="auto"/>
            <w:bottom w:val="none" w:sz="0" w:space="0" w:color="auto"/>
            <w:right w:val="none" w:sz="0" w:space="0" w:color="auto"/>
          </w:divBdr>
        </w:div>
        <w:div w:id="248125213">
          <w:marLeft w:val="1134"/>
          <w:marRight w:val="0"/>
          <w:marTop w:val="120"/>
          <w:marBottom w:val="0"/>
          <w:divBdr>
            <w:top w:val="none" w:sz="0" w:space="0" w:color="auto"/>
            <w:left w:val="none" w:sz="0" w:space="0" w:color="auto"/>
            <w:bottom w:val="none" w:sz="0" w:space="0" w:color="auto"/>
            <w:right w:val="none" w:sz="0" w:space="0" w:color="auto"/>
          </w:divBdr>
        </w:div>
        <w:div w:id="255940425">
          <w:marLeft w:val="1134"/>
          <w:marRight w:val="0"/>
          <w:marTop w:val="120"/>
          <w:marBottom w:val="0"/>
          <w:divBdr>
            <w:top w:val="none" w:sz="0" w:space="0" w:color="auto"/>
            <w:left w:val="none" w:sz="0" w:space="0" w:color="auto"/>
            <w:bottom w:val="none" w:sz="0" w:space="0" w:color="auto"/>
            <w:right w:val="none" w:sz="0" w:space="0" w:color="auto"/>
          </w:divBdr>
        </w:div>
        <w:div w:id="283077416">
          <w:marLeft w:val="1134"/>
          <w:marRight w:val="0"/>
          <w:marTop w:val="120"/>
          <w:marBottom w:val="0"/>
          <w:divBdr>
            <w:top w:val="none" w:sz="0" w:space="0" w:color="auto"/>
            <w:left w:val="none" w:sz="0" w:space="0" w:color="auto"/>
            <w:bottom w:val="none" w:sz="0" w:space="0" w:color="auto"/>
            <w:right w:val="none" w:sz="0" w:space="0" w:color="auto"/>
          </w:divBdr>
        </w:div>
        <w:div w:id="320891662">
          <w:marLeft w:val="1134"/>
          <w:marRight w:val="0"/>
          <w:marTop w:val="120"/>
          <w:marBottom w:val="0"/>
          <w:divBdr>
            <w:top w:val="none" w:sz="0" w:space="0" w:color="auto"/>
            <w:left w:val="none" w:sz="0" w:space="0" w:color="auto"/>
            <w:bottom w:val="none" w:sz="0" w:space="0" w:color="auto"/>
            <w:right w:val="none" w:sz="0" w:space="0" w:color="auto"/>
          </w:divBdr>
        </w:div>
        <w:div w:id="336736917">
          <w:marLeft w:val="1134"/>
          <w:marRight w:val="0"/>
          <w:marTop w:val="120"/>
          <w:marBottom w:val="0"/>
          <w:divBdr>
            <w:top w:val="none" w:sz="0" w:space="0" w:color="auto"/>
            <w:left w:val="none" w:sz="0" w:space="0" w:color="auto"/>
            <w:bottom w:val="none" w:sz="0" w:space="0" w:color="auto"/>
            <w:right w:val="none" w:sz="0" w:space="0" w:color="auto"/>
          </w:divBdr>
        </w:div>
        <w:div w:id="632710688">
          <w:marLeft w:val="0"/>
          <w:marRight w:val="0"/>
          <w:marTop w:val="240"/>
          <w:marBottom w:val="24"/>
          <w:divBdr>
            <w:top w:val="single" w:sz="8" w:space="2" w:color="808080"/>
            <w:left w:val="none" w:sz="0" w:space="0" w:color="auto"/>
            <w:bottom w:val="none" w:sz="0" w:space="0" w:color="auto"/>
            <w:right w:val="none" w:sz="0" w:space="0" w:color="auto"/>
          </w:divBdr>
        </w:div>
        <w:div w:id="948970209">
          <w:marLeft w:val="1134"/>
          <w:marRight w:val="0"/>
          <w:marTop w:val="120"/>
          <w:marBottom w:val="0"/>
          <w:divBdr>
            <w:top w:val="none" w:sz="0" w:space="0" w:color="auto"/>
            <w:left w:val="none" w:sz="0" w:space="0" w:color="auto"/>
            <w:bottom w:val="none" w:sz="0" w:space="0" w:color="auto"/>
            <w:right w:val="none" w:sz="0" w:space="0" w:color="auto"/>
          </w:divBdr>
        </w:div>
        <w:div w:id="1026636854">
          <w:marLeft w:val="1134"/>
          <w:marRight w:val="0"/>
          <w:marTop w:val="120"/>
          <w:marBottom w:val="0"/>
          <w:divBdr>
            <w:top w:val="none" w:sz="0" w:space="0" w:color="auto"/>
            <w:left w:val="none" w:sz="0" w:space="0" w:color="auto"/>
            <w:bottom w:val="none" w:sz="0" w:space="0" w:color="auto"/>
            <w:right w:val="none" w:sz="0" w:space="0" w:color="auto"/>
          </w:divBdr>
        </w:div>
        <w:div w:id="1075861967">
          <w:marLeft w:val="1134"/>
          <w:marRight w:val="0"/>
          <w:marTop w:val="120"/>
          <w:marBottom w:val="0"/>
          <w:divBdr>
            <w:top w:val="none" w:sz="0" w:space="0" w:color="auto"/>
            <w:left w:val="none" w:sz="0" w:space="0" w:color="auto"/>
            <w:bottom w:val="none" w:sz="0" w:space="0" w:color="auto"/>
            <w:right w:val="none" w:sz="0" w:space="0" w:color="auto"/>
          </w:divBdr>
        </w:div>
        <w:div w:id="1397317893">
          <w:marLeft w:val="1134"/>
          <w:marRight w:val="0"/>
          <w:marTop w:val="120"/>
          <w:marBottom w:val="0"/>
          <w:divBdr>
            <w:top w:val="none" w:sz="0" w:space="0" w:color="auto"/>
            <w:left w:val="none" w:sz="0" w:space="0" w:color="auto"/>
            <w:bottom w:val="none" w:sz="0" w:space="0" w:color="auto"/>
            <w:right w:val="none" w:sz="0" w:space="0" w:color="auto"/>
          </w:divBdr>
        </w:div>
        <w:div w:id="1463232382">
          <w:marLeft w:val="0"/>
          <w:marRight w:val="0"/>
          <w:marTop w:val="120"/>
          <w:marBottom w:val="0"/>
          <w:divBdr>
            <w:top w:val="none" w:sz="0" w:space="0" w:color="auto"/>
            <w:left w:val="none" w:sz="0" w:space="0" w:color="auto"/>
            <w:bottom w:val="none" w:sz="0" w:space="0" w:color="auto"/>
            <w:right w:val="none" w:sz="0" w:space="0" w:color="auto"/>
          </w:divBdr>
        </w:div>
      </w:divsChild>
    </w:div>
    <w:div w:id="469831471">
      <w:bodyDiv w:val="1"/>
      <w:marLeft w:val="0"/>
      <w:marRight w:val="0"/>
      <w:marTop w:val="0"/>
      <w:marBottom w:val="0"/>
      <w:divBdr>
        <w:top w:val="none" w:sz="0" w:space="0" w:color="auto"/>
        <w:left w:val="none" w:sz="0" w:space="0" w:color="auto"/>
        <w:bottom w:val="none" w:sz="0" w:space="0" w:color="auto"/>
        <w:right w:val="none" w:sz="0" w:space="0" w:color="auto"/>
      </w:divBdr>
    </w:div>
    <w:div w:id="1107845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Corona%20Home%20Work\Commissioner%20for%20SARS%20v%20Glencore%20Draft%20Judgment%2015.07.202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DF9998-B3D6-431D-91C1-97A43E610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Commissioner for SARS v Glencore Draft Judgment 15.07.2021</Template>
  <TotalTime>8</TotalTime>
  <Pages>33</Pages>
  <Words>7479</Words>
  <Characters>42634</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Annerie Vorster</cp:lastModifiedBy>
  <cp:revision>7</cp:revision>
  <cp:lastPrinted>2022-05-18T08:05:00Z</cp:lastPrinted>
  <dcterms:created xsi:type="dcterms:W3CDTF">2022-05-18T07:59:00Z</dcterms:created>
  <dcterms:modified xsi:type="dcterms:W3CDTF">2022-05-19T11:58:00Z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1033-11.2.0.10200</vt:lpwstr>
  </property>
</Properties>
</file>