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4565" w14:textId="77777777" w:rsidR="00D503A6" w:rsidRPr="000A5351" w:rsidRDefault="00D503A6" w:rsidP="00D503A6">
      <w:pPr>
        <w:pStyle w:val="Pa3"/>
        <w:jc w:val="center"/>
      </w:pPr>
      <w:bookmarkStart w:id="0" w:name="OLE_LINK1"/>
      <w:r w:rsidRPr="000A5351">
        <w:rPr>
          <w:noProof/>
          <w:lang w:val="en-ZA" w:eastAsia="en-ZA"/>
        </w:rPr>
        <w:drawing>
          <wp:anchor distT="0" distB="0" distL="114300" distR="114300" simplePos="0" relativeHeight="251659264" behindDoc="0" locked="0" layoutInCell="1" allowOverlap="1" wp14:anchorId="10F324FD" wp14:editId="5ADEAE50">
            <wp:simplePos x="0" y="0"/>
            <wp:positionH relativeFrom="page">
              <wp:align>center</wp:align>
            </wp:positionH>
            <wp:positionV relativeFrom="paragraph">
              <wp:posOffset>381</wp:posOffset>
            </wp:positionV>
            <wp:extent cx="799200" cy="913371"/>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9200" cy="913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725A9" w14:textId="77777777" w:rsidR="00D503A6" w:rsidRPr="000A5351" w:rsidRDefault="00D503A6" w:rsidP="00D503A6">
      <w:pPr>
        <w:rPr>
          <w:lang w:val="en-US" w:eastAsia="en-US"/>
        </w:rPr>
      </w:pPr>
    </w:p>
    <w:bookmarkEnd w:id="0"/>
    <w:p w14:paraId="5CDC8282" w14:textId="77777777" w:rsidR="00D503A6" w:rsidRPr="000A5351" w:rsidRDefault="00D503A6" w:rsidP="00D503A6">
      <w:pPr>
        <w:pStyle w:val="Pa3"/>
        <w:spacing w:line="276" w:lineRule="auto"/>
        <w:jc w:val="center"/>
        <w:rPr>
          <w:b/>
          <w:bCs/>
        </w:rPr>
      </w:pPr>
    </w:p>
    <w:p w14:paraId="1287A553" w14:textId="77777777" w:rsidR="00D503A6" w:rsidRPr="000A5351" w:rsidRDefault="00D503A6" w:rsidP="00D503A6">
      <w:pPr>
        <w:pStyle w:val="Pa3"/>
        <w:spacing w:line="276" w:lineRule="auto"/>
        <w:jc w:val="center"/>
        <w:rPr>
          <w:b/>
          <w:bCs/>
        </w:rPr>
      </w:pPr>
    </w:p>
    <w:p w14:paraId="78DE0A6F" w14:textId="77777777" w:rsidR="00D503A6" w:rsidRPr="000A5351" w:rsidRDefault="00D503A6" w:rsidP="00D503A6">
      <w:pPr>
        <w:pStyle w:val="Pa3"/>
        <w:spacing w:line="276" w:lineRule="auto"/>
        <w:jc w:val="center"/>
        <w:rPr>
          <w:b/>
          <w:bCs/>
        </w:rPr>
      </w:pPr>
    </w:p>
    <w:p w14:paraId="794347BF" w14:textId="77777777" w:rsidR="00D503A6" w:rsidRPr="000A5351" w:rsidRDefault="00D503A6" w:rsidP="00D503A6">
      <w:pPr>
        <w:pStyle w:val="Pa3"/>
        <w:spacing w:line="360" w:lineRule="auto"/>
        <w:jc w:val="center"/>
        <w:rPr>
          <w:b/>
          <w:bCs/>
          <w:color w:val="000000"/>
        </w:rPr>
      </w:pPr>
      <w:r w:rsidRPr="000A5351">
        <w:rPr>
          <w:b/>
          <w:bCs/>
        </w:rPr>
        <w:t>THE SUPREME COURT OF APPEAL OF SOUTH AFRICA</w:t>
      </w:r>
    </w:p>
    <w:p w14:paraId="25245B4E" w14:textId="77777777" w:rsidR="00D503A6" w:rsidRPr="000A5351" w:rsidRDefault="00D503A6" w:rsidP="00D503A6">
      <w:pPr>
        <w:spacing w:line="360" w:lineRule="auto"/>
        <w:jc w:val="center"/>
        <w:rPr>
          <w:b/>
          <w:bCs/>
        </w:rPr>
      </w:pPr>
      <w:r w:rsidRPr="000A5351">
        <w:rPr>
          <w:b/>
          <w:bCs/>
        </w:rPr>
        <w:t>JUDGMENT</w:t>
      </w:r>
    </w:p>
    <w:p w14:paraId="7ECF8EFB" w14:textId="77777777" w:rsidR="00D503A6" w:rsidRPr="000A5351" w:rsidRDefault="00D503A6" w:rsidP="00D503A6">
      <w:pPr>
        <w:spacing w:line="276" w:lineRule="auto"/>
        <w:jc w:val="center"/>
        <w:rPr>
          <w:b/>
          <w:bCs/>
        </w:rPr>
      </w:pPr>
    </w:p>
    <w:p w14:paraId="7BAD369B" w14:textId="15005A0F" w:rsidR="00D503A6" w:rsidRPr="000A5351" w:rsidRDefault="00D503A6" w:rsidP="00D503A6">
      <w:pPr>
        <w:spacing w:line="360" w:lineRule="auto"/>
        <w:jc w:val="right"/>
        <w:rPr>
          <w:b/>
        </w:rPr>
      </w:pPr>
      <w:r w:rsidRPr="000A5351">
        <w:rPr>
          <w:b/>
        </w:rPr>
        <w:t>Not Reportable</w:t>
      </w:r>
    </w:p>
    <w:p w14:paraId="3F14C93A" w14:textId="77777777" w:rsidR="00D503A6" w:rsidRPr="000A5351" w:rsidRDefault="00D503A6" w:rsidP="00D503A6">
      <w:pPr>
        <w:spacing w:line="360" w:lineRule="auto"/>
        <w:jc w:val="right"/>
      </w:pPr>
      <w:r w:rsidRPr="000A5351">
        <w:t>Case No: 50</w:t>
      </w:r>
      <w:r w:rsidR="00BA669D" w:rsidRPr="000A5351">
        <w:t>8</w:t>
      </w:r>
      <w:r w:rsidRPr="000A5351">
        <w:t>/2020</w:t>
      </w:r>
    </w:p>
    <w:p w14:paraId="1B7885B9" w14:textId="77777777" w:rsidR="00D503A6" w:rsidRPr="000A5351" w:rsidRDefault="00D503A6" w:rsidP="00D503A6">
      <w:pPr>
        <w:spacing w:line="360" w:lineRule="auto"/>
        <w:jc w:val="right"/>
      </w:pPr>
    </w:p>
    <w:p w14:paraId="79AEC0E7" w14:textId="77777777" w:rsidR="00D503A6" w:rsidRPr="000A5351" w:rsidRDefault="00D503A6" w:rsidP="00D503A6">
      <w:pPr>
        <w:tabs>
          <w:tab w:val="left" w:pos="4155"/>
        </w:tabs>
        <w:spacing w:line="360" w:lineRule="auto"/>
        <w:jc w:val="left"/>
      </w:pPr>
      <w:r w:rsidRPr="000A5351">
        <w:t>In the matter between:</w:t>
      </w:r>
    </w:p>
    <w:p w14:paraId="402B4EAF" w14:textId="77777777" w:rsidR="00D503A6" w:rsidRPr="000A5351" w:rsidRDefault="00D503A6" w:rsidP="00D503A6">
      <w:pPr>
        <w:tabs>
          <w:tab w:val="left" w:pos="4155"/>
        </w:tabs>
        <w:spacing w:line="360" w:lineRule="auto"/>
        <w:jc w:val="left"/>
      </w:pPr>
    </w:p>
    <w:p w14:paraId="587677A6" w14:textId="77777777" w:rsidR="00D503A6" w:rsidRPr="000A5351" w:rsidRDefault="00BA669D" w:rsidP="00E556CB">
      <w:pPr>
        <w:tabs>
          <w:tab w:val="right" w:pos="9360"/>
        </w:tabs>
        <w:spacing w:line="360" w:lineRule="auto"/>
        <w:jc w:val="left"/>
        <w:rPr>
          <w:b/>
        </w:rPr>
      </w:pPr>
      <w:r w:rsidRPr="000A5351">
        <w:rPr>
          <w:b/>
          <w:bCs/>
          <w:lang w:val="en-ZA"/>
        </w:rPr>
        <w:t>SCHENKER SOUTH AFRICA (PTY) LTD</w:t>
      </w:r>
      <w:r w:rsidR="00D503A6" w:rsidRPr="000A5351">
        <w:rPr>
          <w:b/>
        </w:rPr>
        <w:tab/>
        <w:t>APPELLANT</w:t>
      </w:r>
    </w:p>
    <w:p w14:paraId="53D9009B" w14:textId="77777777" w:rsidR="00D503A6" w:rsidRPr="000A5351" w:rsidRDefault="00D503A6" w:rsidP="00D503A6">
      <w:pPr>
        <w:spacing w:line="360" w:lineRule="auto"/>
      </w:pPr>
    </w:p>
    <w:p w14:paraId="46F92A54" w14:textId="77777777" w:rsidR="00D503A6" w:rsidRPr="000A5351" w:rsidRDefault="00D503A6" w:rsidP="00D503A6">
      <w:pPr>
        <w:spacing w:line="360" w:lineRule="auto"/>
      </w:pPr>
      <w:r w:rsidRPr="000A5351">
        <w:t>and</w:t>
      </w:r>
    </w:p>
    <w:p w14:paraId="5FD9A132" w14:textId="77777777" w:rsidR="00D503A6" w:rsidRPr="000A5351" w:rsidRDefault="00D503A6" w:rsidP="00D503A6">
      <w:pPr>
        <w:spacing w:line="360" w:lineRule="auto"/>
      </w:pPr>
    </w:p>
    <w:p w14:paraId="3B09DC59" w14:textId="77777777" w:rsidR="00D503A6" w:rsidRPr="000A5351" w:rsidRDefault="00BA669D" w:rsidP="002B6FDE">
      <w:pPr>
        <w:tabs>
          <w:tab w:val="left" w:pos="720"/>
          <w:tab w:val="right" w:pos="9360"/>
        </w:tabs>
        <w:spacing w:line="360" w:lineRule="auto"/>
        <w:rPr>
          <w:b/>
        </w:rPr>
      </w:pPr>
      <w:r w:rsidRPr="000A5351">
        <w:rPr>
          <w:b/>
          <w:bCs/>
          <w:lang w:val="en-ZA"/>
        </w:rPr>
        <w:t>FUJITSU SERVICES CORE (PTY) LTD</w:t>
      </w:r>
      <w:r w:rsidR="00D503A6" w:rsidRPr="000A5351">
        <w:rPr>
          <w:b/>
        </w:rPr>
        <w:tab/>
        <w:t>RESPONDENT</w:t>
      </w:r>
    </w:p>
    <w:p w14:paraId="04570C5D" w14:textId="77777777" w:rsidR="00D503A6" w:rsidRPr="000A5351" w:rsidRDefault="00D503A6" w:rsidP="00D503A6">
      <w:pPr>
        <w:tabs>
          <w:tab w:val="left" w:pos="720"/>
          <w:tab w:val="right" w:pos="9498"/>
        </w:tabs>
        <w:spacing w:line="360" w:lineRule="auto"/>
        <w:rPr>
          <w:b/>
        </w:rPr>
      </w:pPr>
    </w:p>
    <w:p w14:paraId="1A8210F2" w14:textId="770AD910" w:rsidR="00D503A6" w:rsidRPr="000A5351" w:rsidRDefault="00D503A6" w:rsidP="00D503A6">
      <w:pPr>
        <w:spacing w:after="240" w:line="360" w:lineRule="auto"/>
        <w:ind w:left="2160" w:hanging="2160"/>
        <w:rPr>
          <w:bCs/>
        </w:rPr>
      </w:pPr>
      <w:r w:rsidRPr="000A5351">
        <w:rPr>
          <w:b/>
          <w:bCs/>
        </w:rPr>
        <w:t>Neutral citation:</w:t>
      </w:r>
      <w:r w:rsidRPr="000A5351">
        <w:rPr>
          <w:b/>
          <w:bCs/>
        </w:rPr>
        <w:tab/>
      </w:r>
      <w:r w:rsidR="00BA669D" w:rsidRPr="000A5351">
        <w:rPr>
          <w:bCs/>
          <w:i/>
        </w:rPr>
        <w:t>Schenker South Africa (Pty) Ltd v Fujitsu Ser</w:t>
      </w:r>
      <w:r w:rsidR="00E556CB" w:rsidRPr="000A5351">
        <w:rPr>
          <w:bCs/>
          <w:i/>
        </w:rPr>
        <w:t>v</w:t>
      </w:r>
      <w:r w:rsidR="00BA669D" w:rsidRPr="000A5351">
        <w:rPr>
          <w:bCs/>
          <w:i/>
        </w:rPr>
        <w:t>ices Core (Pty) Ltd</w:t>
      </w:r>
      <w:r w:rsidRPr="000A5351">
        <w:rPr>
          <w:bCs/>
          <w:i/>
        </w:rPr>
        <w:t xml:space="preserve"> </w:t>
      </w:r>
      <w:r w:rsidRPr="000A5351">
        <w:rPr>
          <w:bCs/>
        </w:rPr>
        <w:t>(50</w:t>
      </w:r>
      <w:r w:rsidR="00BA669D" w:rsidRPr="000A5351">
        <w:rPr>
          <w:bCs/>
        </w:rPr>
        <w:t>8</w:t>
      </w:r>
      <w:r w:rsidR="00FC21A4">
        <w:rPr>
          <w:bCs/>
        </w:rPr>
        <w:t>/2020) [2022</w:t>
      </w:r>
      <w:bookmarkStart w:id="1" w:name="_GoBack"/>
      <w:bookmarkEnd w:id="1"/>
      <w:r w:rsidR="0011151A">
        <w:rPr>
          <w:bCs/>
        </w:rPr>
        <w:t>] ZASCA 7</w:t>
      </w:r>
      <w:r w:rsidR="00FB3989">
        <w:rPr>
          <w:bCs/>
        </w:rPr>
        <w:t xml:space="preserve"> (18</w:t>
      </w:r>
      <w:r w:rsidRPr="000A5351">
        <w:rPr>
          <w:bCs/>
        </w:rPr>
        <w:t xml:space="preserve"> </w:t>
      </w:r>
      <w:r w:rsidR="0095252D" w:rsidRPr="000A5351">
        <w:rPr>
          <w:bCs/>
        </w:rPr>
        <w:t xml:space="preserve">January </w:t>
      </w:r>
      <w:r w:rsidRPr="000A5351">
        <w:rPr>
          <w:bCs/>
        </w:rPr>
        <w:t>202</w:t>
      </w:r>
      <w:r w:rsidR="0095252D" w:rsidRPr="000A5351">
        <w:rPr>
          <w:bCs/>
        </w:rPr>
        <w:t>2</w:t>
      </w:r>
      <w:r w:rsidRPr="000A5351">
        <w:rPr>
          <w:bCs/>
        </w:rPr>
        <w:t>)</w:t>
      </w:r>
    </w:p>
    <w:p w14:paraId="0AD0E07F" w14:textId="77777777" w:rsidR="00D503A6" w:rsidRPr="000A5351" w:rsidRDefault="00D503A6" w:rsidP="00B908C2">
      <w:pPr>
        <w:spacing w:after="240" w:line="360" w:lineRule="auto"/>
        <w:ind w:left="1440" w:hanging="1440"/>
        <w:rPr>
          <w:rFonts w:ascii="Times New Roman" w:hAnsi="Times New Roman" w:cs="Times New Roman"/>
          <w:bCs/>
          <w:sz w:val="28"/>
          <w:szCs w:val="28"/>
        </w:rPr>
      </w:pPr>
      <w:r w:rsidRPr="000A5351">
        <w:rPr>
          <w:b/>
          <w:bCs/>
        </w:rPr>
        <w:t>Coram:</w:t>
      </w:r>
      <w:r w:rsidRPr="000A5351">
        <w:rPr>
          <w:rFonts w:ascii="Times New Roman" w:hAnsi="Times New Roman" w:cs="Times New Roman"/>
          <w:b/>
          <w:bCs/>
          <w:sz w:val="28"/>
          <w:szCs w:val="28"/>
        </w:rPr>
        <w:tab/>
      </w:r>
      <w:r w:rsidR="00B908C2" w:rsidRPr="000A5351">
        <w:rPr>
          <w:bCs/>
        </w:rPr>
        <w:t>DAMBUZA,</w:t>
      </w:r>
      <w:r w:rsidR="00B908C2" w:rsidRPr="000A5351">
        <w:rPr>
          <w:rFonts w:ascii="Times New Roman" w:hAnsi="Times New Roman" w:cs="Times New Roman"/>
          <w:b/>
          <w:bCs/>
          <w:sz w:val="28"/>
          <w:szCs w:val="28"/>
        </w:rPr>
        <w:t xml:space="preserve"> </w:t>
      </w:r>
      <w:r w:rsidRPr="000A5351">
        <w:rPr>
          <w:bCs/>
        </w:rPr>
        <w:t>GORVEN</w:t>
      </w:r>
      <w:r w:rsidR="00B908C2" w:rsidRPr="000A5351">
        <w:rPr>
          <w:bCs/>
        </w:rPr>
        <w:t xml:space="preserve">, MOTHLE </w:t>
      </w:r>
      <w:r w:rsidRPr="000A5351">
        <w:rPr>
          <w:bCs/>
        </w:rPr>
        <w:t xml:space="preserve">JJA and </w:t>
      </w:r>
      <w:r w:rsidR="00B908C2" w:rsidRPr="000A5351">
        <w:rPr>
          <w:bCs/>
        </w:rPr>
        <w:t xml:space="preserve">SMITH and </w:t>
      </w:r>
      <w:r w:rsidRPr="000A5351">
        <w:rPr>
          <w:bCs/>
        </w:rPr>
        <w:t>PHATSHOANE AJJA</w:t>
      </w:r>
    </w:p>
    <w:p w14:paraId="0A410DAE" w14:textId="77777777" w:rsidR="00D503A6" w:rsidRPr="000A5351" w:rsidRDefault="00D503A6" w:rsidP="00D503A6">
      <w:pPr>
        <w:spacing w:after="240" w:line="360" w:lineRule="auto"/>
        <w:ind w:left="1440" w:hanging="1440"/>
        <w:rPr>
          <w:rFonts w:ascii="Times New Roman" w:hAnsi="Times New Roman" w:cs="Times New Roman"/>
          <w:bCs/>
          <w:sz w:val="28"/>
          <w:szCs w:val="28"/>
        </w:rPr>
      </w:pPr>
      <w:r w:rsidRPr="000A5351">
        <w:rPr>
          <w:b/>
          <w:bCs/>
        </w:rPr>
        <w:t>Heard:</w:t>
      </w:r>
      <w:r w:rsidRPr="000A5351">
        <w:rPr>
          <w:rFonts w:ascii="Times New Roman" w:hAnsi="Times New Roman" w:cs="Times New Roman"/>
          <w:b/>
          <w:bCs/>
          <w:sz w:val="28"/>
          <w:szCs w:val="28"/>
        </w:rPr>
        <w:tab/>
      </w:r>
      <w:r w:rsidRPr="000A5351">
        <w:t>0</w:t>
      </w:r>
      <w:r w:rsidR="00BA669D" w:rsidRPr="000A5351">
        <w:t>9</w:t>
      </w:r>
      <w:r w:rsidRPr="000A5351">
        <w:t xml:space="preserve"> </w:t>
      </w:r>
      <w:r w:rsidR="00BA669D" w:rsidRPr="000A5351">
        <w:t xml:space="preserve">November </w:t>
      </w:r>
      <w:r w:rsidRPr="000A5351">
        <w:t>2021</w:t>
      </w:r>
    </w:p>
    <w:p w14:paraId="7CB67FC2" w14:textId="77777777" w:rsidR="00D503A6" w:rsidRPr="000A5351" w:rsidRDefault="00D503A6" w:rsidP="00D503A6">
      <w:pPr>
        <w:spacing w:line="360" w:lineRule="auto"/>
        <w:ind w:left="1440" w:hanging="1440"/>
      </w:pPr>
      <w:r w:rsidRPr="000A5351">
        <w:rPr>
          <w:b/>
          <w:bCs/>
        </w:rPr>
        <w:t>Delivered</w:t>
      </w:r>
      <w:r w:rsidRPr="000A5351">
        <w:rPr>
          <w:b/>
        </w:rPr>
        <w:t>:</w:t>
      </w:r>
      <w:r w:rsidRPr="000A5351">
        <w:tab/>
        <w:t>This judgment was handed down electronically by circulation to the parties’</w:t>
      </w:r>
    </w:p>
    <w:p w14:paraId="0050347C" w14:textId="2F1AD94D" w:rsidR="00D503A6" w:rsidRPr="000A5351" w:rsidRDefault="00D503A6" w:rsidP="00D503A6">
      <w:pPr>
        <w:spacing w:after="240" w:line="360" w:lineRule="auto"/>
      </w:pPr>
      <w:r w:rsidRPr="000A5351">
        <w:t xml:space="preserve">legal representatives via email. It has been published on the Supreme Court of Appeal website and released to SAFLII. The date and time for hand-down is deemed to be </w:t>
      </w:r>
      <w:r w:rsidR="00FB3989" w:rsidRPr="00FB3989">
        <w:t>18</w:t>
      </w:r>
      <w:r w:rsidR="00263A79">
        <w:t xml:space="preserve"> January</w:t>
      </w:r>
      <w:r w:rsidRPr="000A5351">
        <w:t xml:space="preserve"> 202</w:t>
      </w:r>
      <w:r w:rsidR="0095252D" w:rsidRPr="000A5351">
        <w:t>2</w:t>
      </w:r>
      <w:r w:rsidRPr="000A5351">
        <w:t>.</w:t>
      </w:r>
    </w:p>
    <w:p w14:paraId="6F088D93" w14:textId="4F0E0AEB" w:rsidR="00BB065C" w:rsidRPr="000A5351" w:rsidRDefault="00D503A6" w:rsidP="00BB065C">
      <w:pPr>
        <w:spacing w:line="360" w:lineRule="auto"/>
        <w:contextualSpacing/>
        <w:rPr>
          <w:color w:val="000000"/>
        </w:rPr>
      </w:pPr>
      <w:r w:rsidRPr="000A5351">
        <w:rPr>
          <w:b/>
          <w:bCs/>
        </w:rPr>
        <w:t>Summary:</w:t>
      </w:r>
      <w:r w:rsidRPr="000A5351">
        <w:rPr>
          <w:b/>
          <w:bCs/>
        </w:rPr>
        <w:tab/>
      </w:r>
      <w:r w:rsidR="00BB065C" w:rsidRPr="000A5351">
        <w:rPr>
          <w:bCs/>
        </w:rPr>
        <w:t>Delict – damages – contract – exemption clause –</w:t>
      </w:r>
      <w:r w:rsidR="00BB065C" w:rsidRPr="000A5351">
        <w:rPr>
          <w:b/>
          <w:bCs/>
        </w:rPr>
        <w:t xml:space="preserve"> </w:t>
      </w:r>
      <w:r w:rsidR="00BB065C" w:rsidRPr="000A5351">
        <w:rPr>
          <w:bCs/>
        </w:rPr>
        <w:t xml:space="preserve">whether the respondent’s cause of action founded on delict fell within the ambit of the exemption clause </w:t>
      </w:r>
      <w:r w:rsidR="00BB065C" w:rsidRPr="000A5351">
        <w:t xml:space="preserve">contained in the contract concluded between the parties </w:t>
      </w:r>
      <w:r w:rsidR="00BB065C" w:rsidRPr="000A5351">
        <w:rPr>
          <w:bCs/>
        </w:rPr>
        <w:t>–</w:t>
      </w:r>
      <w:r w:rsidR="00BB065C" w:rsidRPr="000A5351">
        <w:rPr>
          <w:b/>
          <w:bCs/>
        </w:rPr>
        <w:t xml:space="preserve"> </w:t>
      </w:r>
      <w:r w:rsidR="00BB065C" w:rsidRPr="000A5351">
        <w:t xml:space="preserve">whether the high court was correct in </w:t>
      </w:r>
      <w:r w:rsidR="00BB065C" w:rsidRPr="000A5351">
        <w:lastRenderedPageBreak/>
        <w:t xml:space="preserve">finding that liability for a delictual claim for damages was not excluded on the basis of the exemption clause </w:t>
      </w:r>
      <w:r w:rsidR="00BB065C" w:rsidRPr="000A5351">
        <w:rPr>
          <w:bCs/>
        </w:rPr>
        <w:t>–</w:t>
      </w:r>
      <w:r w:rsidR="00BB065C" w:rsidRPr="000A5351">
        <w:t xml:space="preserve"> construction of</w:t>
      </w:r>
      <w:r w:rsidR="00BB065C" w:rsidRPr="000A5351">
        <w:rPr>
          <w:color w:val="000000"/>
        </w:rPr>
        <w:t xml:space="preserve"> the exemption clause</w:t>
      </w:r>
      <w:r w:rsidR="00BB065C" w:rsidRPr="000A5351">
        <w:rPr>
          <w:b/>
          <w:bCs/>
        </w:rPr>
        <w:t xml:space="preserve"> </w:t>
      </w:r>
      <w:r w:rsidR="00D30460" w:rsidRPr="000A5351">
        <w:rPr>
          <w:bCs/>
        </w:rPr>
        <w:t xml:space="preserve">– </w:t>
      </w:r>
      <w:r w:rsidR="00BB065C" w:rsidRPr="000A5351">
        <w:rPr>
          <w:color w:val="000000"/>
        </w:rPr>
        <w:t xml:space="preserve">the respondent’s cause of action fell within the ambit of the clause </w:t>
      </w:r>
      <w:r w:rsidR="00D30460" w:rsidRPr="000A5351">
        <w:rPr>
          <w:bCs/>
        </w:rPr>
        <w:t>–</w:t>
      </w:r>
      <w:r w:rsidR="00BB065C" w:rsidRPr="000A5351">
        <w:rPr>
          <w:color w:val="000000"/>
        </w:rPr>
        <w:t xml:space="preserve"> appellant’s liability for the claim excluded.</w:t>
      </w:r>
    </w:p>
    <w:p w14:paraId="5ADE6A1C" w14:textId="77777777" w:rsidR="00763974" w:rsidRPr="000A5351" w:rsidRDefault="00763974">
      <w:pPr>
        <w:spacing w:after="160" w:line="259" w:lineRule="auto"/>
        <w:jc w:val="left"/>
        <w:rPr>
          <w:color w:val="000000"/>
        </w:rPr>
      </w:pPr>
      <w:r w:rsidRPr="000A5351">
        <w:rPr>
          <w:color w:val="000000"/>
        </w:rPr>
        <w:br w:type="page"/>
      </w:r>
    </w:p>
    <w:p w14:paraId="2199AD09" w14:textId="77777777" w:rsidR="00D503A6" w:rsidRPr="000A5351" w:rsidRDefault="00D503A6" w:rsidP="00763974">
      <w:pPr>
        <w:spacing w:after="160" w:line="259" w:lineRule="auto"/>
        <w:jc w:val="left"/>
        <w:rPr>
          <w:color w:val="000000"/>
        </w:rPr>
      </w:pPr>
      <w:r w:rsidRPr="000A5351">
        <w:rPr>
          <w:color w:val="000000"/>
        </w:rPr>
        <w:lastRenderedPageBreak/>
        <w:t xml:space="preserve"> </w:t>
      </w:r>
      <w:r w:rsidRPr="000A5351">
        <w:rPr>
          <w:rFonts w:ascii="Times New Roman" w:hAnsi="Times New Roman" w:cs="Times New Roman"/>
          <w:sz w:val="28"/>
          <w:szCs w:val="28"/>
        </w:rPr>
        <w:t>__________________________________________________________________</w:t>
      </w:r>
    </w:p>
    <w:p w14:paraId="1F8FE539" w14:textId="77777777" w:rsidR="00D503A6" w:rsidRPr="000A5351" w:rsidRDefault="00D503A6" w:rsidP="00D503A6">
      <w:pPr>
        <w:jc w:val="center"/>
        <w:rPr>
          <w:rFonts w:ascii="Times New Roman" w:hAnsi="Times New Roman" w:cs="Times New Roman"/>
          <w:sz w:val="16"/>
          <w:szCs w:val="16"/>
        </w:rPr>
      </w:pPr>
    </w:p>
    <w:p w14:paraId="6E5982F6" w14:textId="77777777" w:rsidR="00D503A6" w:rsidRPr="000A5351" w:rsidRDefault="00D503A6" w:rsidP="00D503A6">
      <w:pPr>
        <w:jc w:val="center"/>
        <w:rPr>
          <w:b/>
          <w:bCs/>
        </w:rPr>
      </w:pPr>
      <w:r w:rsidRPr="00D50147">
        <w:rPr>
          <w:b/>
          <w:bCs/>
        </w:rPr>
        <w:t>ORDER</w:t>
      </w:r>
    </w:p>
    <w:p w14:paraId="7B020D9A" w14:textId="77777777" w:rsidR="00D503A6" w:rsidRPr="000A5351" w:rsidRDefault="00D503A6" w:rsidP="00D503A6">
      <w:pPr>
        <w:rPr>
          <w:rFonts w:ascii="Times New Roman" w:hAnsi="Times New Roman" w:cs="Times New Roman"/>
          <w:sz w:val="28"/>
          <w:szCs w:val="28"/>
        </w:rPr>
      </w:pPr>
      <w:r w:rsidRPr="000A5351">
        <w:rPr>
          <w:rFonts w:ascii="Times New Roman" w:hAnsi="Times New Roman" w:cs="Times New Roman"/>
          <w:sz w:val="28"/>
          <w:szCs w:val="28"/>
        </w:rPr>
        <w:t>__________________________________________________________________</w:t>
      </w:r>
    </w:p>
    <w:p w14:paraId="18D0BF10" w14:textId="77777777" w:rsidR="00D503A6" w:rsidRPr="000A5351" w:rsidRDefault="00D503A6" w:rsidP="00D503A6">
      <w:pPr>
        <w:spacing w:line="360" w:lineRule="auto"/>
        <w:jc w:val="center"/>
        <w:rPr>
          <w:rFonts w:ascii="Times New Roman" w:hAnsi="Times New Roman" w:cs="Times New Roman"/>
          <w:b/>
          <w:bCs/>
          <w:sz w:val="16"/>
          <w:szCs w:val="16"/>
        </w:rPr>
      </w:pPr>
    </w:p>
    <w:p w14:paraId="1B3E94DE" w14:textId="0CE5ABB9" w:rsidR="00D503A6" w:rsidRPr="000A5351" w:rsidRDefault="00D503A6" w:rsidP="00D503A6">
      <w:pPr>
        <w:spacing w:line="360" w:lineRule="auto"/>
        <w:contextualSpacing/>
        <w:rPr>
          <w:bCs/>
        </w:rPr>
      </w:pPr>
      <w:r w:rsidRPr="000A5351">
        <w:rPr>
          <w:b/>
          <w:bCs/>
        </w:rPr>
        <w:t>On appeal from:</w:t>
      </w:r>
      <w:r w:rsidR="00F14E9E" w:rsidRPr="000A5351">
        <w:rPr>
          <w:b/>
          <w:bCs/>
        </w:rPr>
        <w:t xml:space="preserve"> </w:t>
      </w:r>
      <w:r w:rsidR="00F14E9E" w:rsidRPr="000A5351">
        <w:rPr>
          <w:bCs/>
        </w:rPr>
        <w:t>Gauteng Division of the High Court</w:t>
      </w:r>
      <w:r w:rsidRPr="000A5351">
        <w:rPr>
          <w:bCs/>
        </w:rPr>
        <w:t xml:space="preserve">, </w:t>
      </w:r>
      <w:r w:rsidR="00F14E9E" w:rsidRPr="000A5351">
        <w:rPr>
          <w:bCs/>
        </w:rPr>
        <w:t>Johannesburg</w:t>
      </w:r>
      <w:r w:rsidRPr="000A5351">
        <w:rPr>
          <w:bCs/>
        </w:rPr>
        <w:t xml:space="preserve"> (</w:t>
      </w:r>
      <w:r w:rsidR="00F14E9E" w:rsidRPr="000A5351">
        <w:rPr>
          <w:bCs/>
        </w:rPr>
        <w:t xml:space="preserve">Adams </w:t>
      </w:r>
      <w:r w:rsidRPr="000A5351">
        <w:t>J, sitting as the court of first instance</w:t>
      </w:r>
      <w:r w:rsidRPr="000A5351">
        <w:rPr>
          <w:bCs/>
        </w:rPr>
        <w:t>):</w:t>
      </w:r>
    </w:p>
    <w:p w14:paraId="4AE1CA23" w14:textId="7EA2A3F8" w:rsidR="00A777C8" w:rsidRPr="000A5351" w:rsidRDefault="00A777C8" w:rsidP="00EB213E">
      <w:pPr>
        <w:pStyle w:val="ListParagraph"/>
        <w:numPr>
          <w:ilvl w:val="0"/>
          <w:numId w:val="1"/>
        </w:numPr>
        <w:spacing w:line="360" w:lineRule="auto"/>
        <w:ind w:left="0" w:firstLine="0"/>
        <w:jc w:val="both"/>
        <w:rPr>
          <w:rFonts w:ascii="Arial" w:hAnsi="Arial" w:cs="Arial"/>
          <w:color w:val="000000"/>
          <w:sz w:val="24"/>
          <w:szCs w:val="24"/>
          <w:lang w:eastAsia="en-ZA"/>
        </w:rPr>
      </w:pPr>
      <w:r w:rsidRPr="000A5351">
        <w:rPr>
          <w:rFonts w:ascii="Arial" w:hAnsi="Arial" w:cs="Arial"/>
          <w:color w:val="000000"/>
          <w:sz w:val="24"/>
          <w:szCs w:val="24"/>
          <w:lang w:eastAsia="en-ZA"/>
        </w:rPr>
        <w:t>The appeal is upheld with costs</w:t>
      </w:r>
      <w:r w:rsidR="000D0F10" w:rsidRPr="000A5351">
        <w:rPr>
          <w:rFonts w:ascii="Arial" w:hAnsi="Arial" w:cs="Arial"/>
          <w:color w:val="000000"/>
          <w:sz w:val="24"/>
          <w:szCs w:val="24"/>
          <w:lang w:eastAsia="en-ZA"/>
        </w:rPr>
        <w:t>.</w:t>
      </w:r>
    </w:p>
    <w:p w14:paraId="5314711D" w14:textId="77777777" w:rsidR="00A777C8" w:rsidRPr="000A5351" w:rsidRDefault="00A777C8" w:rsidP="00EB213E">
      <w:pPr>
        <w:pStyle w:val="ListParagraph"/>
        <w:numPr>
          <w:ilvl w:val="0"/>
          <w:numId w:val="1"/>
        </w:numPr>
        <w:spacing w:line="360" w:lineRule="auto"/>
        <w:ind w:left="0" w:firstLine="0"/>
        <w:jc w:val="both"/>
        <w:rPr>
          <w:rFonts w:ascii="Arial" w:hAnsi="Arial" w:cs="Arial"/>
          <w:color w:val="000000"/>
          <w:sz w:val="24"/>
          <w:szCs w:val="24"/>
          <w:lang w:eastAsia="en-ZA"/>
        </w:rPr>
      </w:pPr>
      <w:r w:rsidRPr="000A5351">
        <w:rPr>
          <w:rFonts w:ascii="Arial" w:hAnsi="Arial" w:cs="Arial"/>
          <w:color w:val="000000"/>
          <w:sz w:val="24"/>
          <w:szCs w:val="24"/>
          <w:lang w:eastAsia="en-ZA"/>
        </w:rPr>
        <w:t>The order made by the high court is set aside and in its place is substituted the following:</w:t>
      </w:r>
    </w:p>
    <w:p w14:paraId="52443B8D" w14:textId="41EC2547" w:rsidR="00A777C8" w:rsidRPr="000A5351" w:rsidRDefault="00A777C8" w:rsidP="006F0256">
      <w:pPr>
        <w:spacing w:line="360" w:lineRule="auto"/>
        <w:ind w:left="709"/>
        <w:rPr>
          <w:color w:val="000000"/>
          <w:lang w:val="en-ZA" w:eastAsia="en-ZA"/>
        </w:rPr>
      </w:pPr>
      <w:r w:rsidRPr="000A5351">
        <w:rPr>
          <w:color w:val="000000"/>
          <w:lang w:val="en-ZA" w:eastAsia="en-ZA"/>
        </w:rPr>
        <w:t xml:space="preserve">‘The </w:t>
      </w:r>
      <w:r w:rsidRPr="00001B87">
        <w:rPr>
          <w:color w:val="000000"/>
          <w:lang w:val="en-ZA" w:eastAsia="en-ZA"/>
        </w:rPr>
        <w:t>plaintiff’s</w:t>
      </w:r>
      <w:r w:rsidRPr="000A5351">
        <w:rPr>
          <w:color w:val="000000"/>
          <w:lang w:val="en-ZA" w:eastAsia="en-ZA"/>
        </w:rPr>
        <w:t xml:space="preserve"> claim is dismissed with costs.’</w:t>
      </w:r>
    </w:p>
    <w:p w14:paraId="1EAD7E25" w14:textId="77777777" w:rsidR="00D503A6" w:rsidRPr="000A5351" w:rsidRDefault="00D503A6" w:rsidP="00D503A6">
      <w:pPr>
        <w:contextualSpacing/>
        <w:rPr>
          <w:rFonts w:ascii="Times New Roman" w:hAnsi="Times New Roman" w:cs="Times New Roman"/>
          <w:sz w:val="28"/>
          <w:szCs w:val="28"/>
        </w:rPr>
      </w:pPr>
      <w:r w:rsidRPr="000A5351">
        <w:rPr>
          <w:rFonts w:ascii="Times New Roman" w:hAnsi="Times New Roman" w:cs="Times New Roman"/>
          <w:sz w:val="28"/>
          <w:szCs w:val="28"/>
        </w:rPr>
        <w:t>__________________________________________________________________</w:t>
      </w:r>
    </w:p>
    <w:p w14:paraId="00CD16D4" w14:textId="77777777" w:rsidR="00D503A6" w:rsidRPr="000A5351" w:rsidRDefault="00D503A6" w:rsidP="00D503A6">
      <w:pPr>
        <w:contextualSpacing/>
        <w:jc w:val="center"/>
        <w:rPr>
          <w:rFonts w:ascii="Times New Roman" w:hAnsi="Times New Roman" w:cs="Times New Roman"/>
          <w:sz w:val="28"/>
          <w:szCs w:val="28"/>
        </w:rPr>
      </w:pPr>
    </w:p>
    <w:p w14:paraId="56F17E22" w14:textId="77777777" w:rsidR="00D503A6" w:rsidRPr="000A5351" w:rsidRDefault="00D503A6" w:rsidP="00D503A6">
      <w:pPr>
        <w:contextualSpacing/>
        <w:jc w:val="center"/>
        <w:rPr>
          <w:b/>
          <w:bCs/>
        </w:rPr>
      </w:pPr>
      <w:r w:rsidRPr="000A5351">
        <w:rPr>
          <w:b/>
          <w:bCs/>
        </w:rPr>
        <w:t>JUDGMENT</w:t>
      </w:r>
    </w:p>
    <w:p w14:paraId="0980C442" w14:textId="77777777" w:rsidR="00D503A6" w:rsidRPr="000A5351" w:rsidRDefault="00D503A6" w:rsidP="00D503A6">
      <w:pPr>
        <w:contextualSpacing/>
        <w:jc w:val="left"/>
        <w:rPr>
          <w:rFonts w:ascii="Times New Roman" w:hAnsi="Times New Roman" w:cs="Times New Roman"/>
          <w:sz w:val="28"/>
          <w:szCs w:val="28"/>
        </w:rPr>
      </w:pPr>
      <w:r w:rsidRPr="000A5351">
        <w:rPr>
          <w:rFonts w:ascii="Times New Roman" w:hAnsi="Times New Roman" w:cs="Times New Roman"/>
          <w:sz w:val="28"/>
          <w:szCs w:val="28"/>
        </w:rPr>
        <w:t>__________________________________________________________________</w:t>
      </w:r>
    </w:p>
    <w:p w14:paraId="2BF5D81E" w14:textId="77777777" w:rsidR="00D503A6" w:rsidRPr="000A5351" w:rsidRDefault="00D503A6" w:rsidP="00D503A6">
      <w:pPr>
        <w:contextualSpacing/>
        <w:rPr>
          <w:rFonts w:ascii="Times New Roman" w:hAnsi="Times New Roman" w:cs="Times New Roman"/>
          <w:b/>
          <w:sz w:val="28"/>
          <w:szCs w:val="28"/>
        </w:rPr>
      </w:pPr>
    </w:p>
    <w:p w14:paraId="1170BCF6" w14:textId="5EE1A466" w:rsidR="00D503A6" w:rsidRPr="000A5351" w:rsidRDefault="00D503A6" w:rsidP="00D503A6">
      <w:pPr>
        <w:spacing w:after="240" w:line="360" w:lineRule="auto"/>
        <w:ind w:left="1440" w:hanging="1440"/>
      </w:pPr>
      <w:r w:rsidRPr="000A5351">
        <w:rPr>
          <w:b/>
        </w:rPr>
        <w:t>Phatshoane AJA (</w:t>
      </w:r>
      <w:r w:rsidR="009B3896" w:rsidRPr="000A5351">
        <w:rPr>
          <w:b/>
          <w:bCs/>
        </w:rPr>
        <w:t>Dambuza,</w:t>
      </w:r>
      <w:r w:rsidR="009B3896" w:rsidRPr="000A5351">
        <w:rPr>
          <w:rFonts w:ascii="Times New Roman" w:hAnsi="Times New Roman" w:cs="Times New Roman"/>
          <w:b/>
          <w:bCs/>
          <w:sz w:val="28"/>
          <w:szCs w:val="28"/>
        </w:rPr>
        <w:t xml:space="preserve"> </w:t>
      </w:r>
      <w:r w:rsidR="009B3896" w:rsidRPr="000A5351">
        <w:rPr>
          <w:b/>
          <w:bCs/>
        </w:rPr>
        <w:t>Gorven</w:t>
      </w:r>
      <w:r w:rsidR="00263A79">
        <w:rPr>
          <w:b/>
          <w:bCs/>
        </w:rPr>
        <w:t xml:space="preserve">, </w:t>
      </w:r>
      <w:r w:rsidR="00263A79" w:rsidRPr="00263A79">
        <w:rPr>
          <w:b/>
          <w:bCs/>
        </w:rPr>
        <w:t>Mothle</w:t>
      </w:r>
      <w:r w:rsidR="009B3896" w:rsidRPr="00263A79">
        <w:rPr>
          <w:b/>
          <w:bCs/>
        </w:rPr>
        <w:t xml:space="preserve"> </w:t>
      </w:r>
      <w:r w:rsidR="009B3896" w:rsidRPr="000A5351">
        <w:rPr>
          <w:b/>
          <w:bCs/>
        </w:rPr>
        <w:t>JJA and Smith</w:t>
      </w:r>
      <w:r w:rsidR="004A2010" w:rsidRPr="000A5351">
        <w:rPr>
          <w:b/>
          <w:bCs/>
        </w:rPr>
        <w:t xml:space="preserve"> AJA</w:t>
      </w:r>
      <w:r w:rsidR="009B3896" w:rsidRPr="000A5351">
        <w:rPr>
          <w:bCs/>
        </w:rPr>
        <w:t xml:space="preserve"> </w:t>
      </w:r>
      <w:r w:rsidRPr="000A5351">
        <w:rPr>
          <w:b/>
        </w:rPr>
        <w:t>concurring</w:t>
      </w:r>
      <w:r w:rsidR="004A2010" w:rsidRPr="000A5351">
        <w:rPr>
          <w:b/>
        </w:rPr>
        <w:t>)</w:t>
      </w:r>
    </w:p>
    <w:p w14:paraId="2D0DD67A" w14:textId="5E0B5F71" w:rsidR="00D503A6" w:rsidRPr="000A5351" w:rsidRDefault="00D503A6" w:rsidP="00D503A6">
      <w:pPr>
        <w:spacing w:line="360" w:lineRule="auto"/>
        <w:ind w:left="-15" w:firstLine="15"/>
      </w:pPr>
      <w:r w:rsidRPr="000A5351">
        <w:t>[1]</w:t>
      </w:r>
      <w:r w:rsidRPr="000A5351">
        <w:tab/>
        <w:t xml:space="preserve">This </w:t>
      </w:r>
      <w:r w:rsidR="00353C11" w:rsidRPr="000A5351">
        <w:t xml:space="preserve">is an </w:t>
      </w:r>
      <w:r w:rsidRPr="000A5351">
        <w:t>appeal</w:t>
      </w:r>
      <w:r w:rsidR="00606183" w:rsidRPr="00A67B82">
        <w:t>,</w:t>
      </w:r>
      <w:r w:rsidR="00D53037" w:rsidRPr="000A5351">
        <w:t xml:space="preserve"> with leave of the Gauteng Division</w:t>
      </w:r>
      <w:r w:rsidR="00CB429F" w:rsidRPr="000A5351">
        <w:t xml:space="preserve"> of the High Court</w:t>
      </w:r>
      <w:r w:rsidR="00D53037" w:rsidRPr="000A5351">
        <w:t xml:space="preserve">, Johannesburg </w:t>
      </w:r>
      <w:r w:rsidR="00617E71" w:rsidRPr="00A67B82">
        <w:t>(Adams J</w:t>
      </w:r>
      <w:r w:rsidR="00227C6B" w:rsidRPr="00A67B82">
        <w:t>, the high court</w:t>
      </w:r>
      <w:r w:rsidR="00617E71" w:rsidRPr="00A67B82">
        <w:t>)</w:t>
      </w:r>
      <w:r w:rsidR="00617E71" w:rsidRPr="000A5351">
        <w:t xml:space="preserve">, </w:t>
      </w:r>
      <w:r w:rsidR="009C39A2" w:rsidRPr="000A5351">
        <w:t xml:space="preserve">against </w:t>
      </w:r>
      <w:r w:rsidR="00D53037" w:rsidRPr="000A5351">
        <w:t>its judgment</w:t>
      </w:r>
      <w:r w:rsidR="008E07EE" w:rsidRPr="000A5351">
        <w:t>,</w:t>
      </w:r>
      <w:r w:rsidR="00D53037" w:rsidRPr="000A5351">
        <w:t xml:space="preserve"> </w:t>
      </w:r>
      <w:r w:rsidR="00606183" w:rsidRPr="000A5351">
        <w:t xml:space="preserve">in terms of which </w:t>
      </w:r>
      <w:r w:rsidR="009C39A2" w:rsidRPr="000A5351">
        <w:t>the appellant, Schenker South Africa (Pty) L</w:t>
      </w:r>
      <w:r w:rsidR="000D0F10" w:rsidRPr="000A5351">
        <w:t>imited</w:t>
      </w:r>
      <w:r w:rsidR="009C39A2" w:rsidRPr="000A5351">
        <w:t xml:space="preserve"> (Schenker), </w:t>
      </w:r>
      <w:r w:rsidR="00606183" w:rsidRPr="000A5351">
        <w:t xml:space="preserve">was ordered to pay </w:t>
      </w:r>
      <w:r w:rsidR="009C39A2" w:rsidRPr="000A5351">
        <w:t>the respondent, Fujitsu Services Core (Pty) L</w:t>
      </w:r>
      <w:r w:rsidR="000D0F10" w:rsidRPr="000A5351">
        <w:t>imited</w:t>
      </w:r>
      <w:r w:rsidR="009C39A2" w:rsidRPr="000A5351">
        <w:t xml:space="preserve"> (Fujitsu), </w:t>
      </w:r>
      <w:r w:rsidR="00606183" w:rsidRPr="000A5351">
        <w:t xml:space="preserve">an amount </w:t>
      </w:r>
      <w:r w:rsidR="009C39A2" w:rsidRPr="000A5351">
        <w:t xml:space="preserve">of </w:t>
      </w:r>
      <w:r w:rsidR="009C39A2" w:rsidRPr="00001B87">
        <w:t>US$516 877</w:t>
      </w:r>
      <w:r w:rsidR="009C39A2" w:rsidRPr="000A5351">
        <w:t xml:space="preserve"> </w:t>
      </w:r>
      <w:r w:rsidR="00593954" w:rsidRPr="000A5351">
        <w:t xml:space="preserve">as damages </w:t>
      </w:r>
      <w:r w:rsidR="003B258F" w:rsidRPr="000A5351">
        <w:t xml:space="preserve">for theft of goods from </w:t>
      </w:r>
      <w:r w:rsidR="00CC57FA" w:rsidRPr="000A5351">
        <w:t xml:space="preserve">the South African Airways (SAA) </w:t>
      </w:r>
      <w:r w:rsidR="00933127" w:rsidRPr="000A5351">
        <w:t xml:space="preserve">cargo warehouse </w:t>
      </w:r>
      <w:r w:rsidR="00593954" w:rsidRPr="000A5351">
        <w:t xml:space="preserve">at </w:t>
      </w:r>
      <w:r w:rsidR="003B258F" w:rsidRPr="000A5351">
        <w:t>the OR Tambo International Airport</w:t>
      </w:r>
      <w:r w:rsidR="005A15CE" w:rsidRPr="000A5351">
        <w:t xml:space="preserve"> (ORTIA)</w:t>
      </w:r>
      <w:r w:rsidR="003B258F" w:rsidRPr="000A5351">
        <w:t>,</w:t>
      </w:r>
      <w:r w:rsidR="00593954" w:rsidRPr="000A5351">
        <w:t xml:space="preserve"> in Johannesburg</w:t>
      </w:r>
      <w:r w:rsidR="00C52367" w:rsidRPr="000A5351">
        <w:t xml:space="preserve">. </w:t>
      </w:r>
    </w:p>
    <w:p w14:paraId="06E9C723" w14:textId="77777777" w:rsidR="00D503A6" w:rsidRPr="000A5351" w:rsidRDefault="00D503A6" w:rsidP="00D503A6">
      <w:pPr>
        <w:spacing w:line="360" w:lineRule="auto"/>
        <w:ind w:left="-17" w:firstLine="17"/>
      </w:pPr>
    </w:p>
    <w:p w14:paraId="66822568" w14:textId="1AAFCC5F" w:rsidR="00F97633" w:rsidRPr="000A5351" w:rsidRDefault="00561C45" w:rsidP="00CA70CA">
      <w:pPr>
        <w:spacing w:line="360" w:lineRule="auto"/>
      </w:pPr>
      <w:r w:rsidRPr="000A5351">
        <w:t>[</w:t>
      </w:r>
      <w:r w:rsidR="00F97633" w:rsidRPr="000A5351">
        <w:t>2</w:t>
      </w:r>
      <w:r w:rsidRPr="000A5351">
        <w:t>]</w:t>
      </w:r>
      <w:r w:rsidRPr="000A5351">
        <w:tab/>
      </w:r>
      <w:r w:rsidR="00CA70CA" w:rsidRPr="000A5351">
        <w:t xml:space="preserve">Schenker </w:t>
      </w:r>
      <w:r w:rsidR="00380100" w:rsidRPr="000A5351">
        <w:t>conducts</w:t>
      </w:r>
      <w:r w:rsidR="00CA70CA" w:rsidRPr="000A5351">
        <w:t xml:space="preserve"> business as a warehouse operator, distributor, clearing and forwarding agent. </w:t>
      </w:r>
      <w:r w:rsidR="00CA70CA" w:rsidRPr="00A94696">
        <w:t>On 10 July 2009</w:t>
      </w:r>
      <w:r w:rsidR="00216527" w:rsidRPr="000A5351">
        <w:t>,</w:t>
      </w:r>
      <w:r w:rsidR="00CA70CA" w:rsidRPr="000A5351">
        <w:t xml:space="preserve"> </w:t>
      </w:r>
      <w:r w:rsidR="004B7150" w:rsidRPr="000A5351">
        <w:t xml:space="preserve">Schenker </w:t>
      </w:r>
      <w:r w:rsidR="00CA70CA" w:rsidRPr="000A5351">
        <w:t xml:space="preserve">and </w:t>
      </w:r>
      <w:r w:rsidR="004B7150" w:rsidRPr="000A5351">
        <w:t xml:space="preserve">Fujitsu </w:t>
      </w:r>
      <w:r w:rsidR="00CA70CA" w:rsidRPr="000A5351">
        <w:t xml:space="preserve">concluded </w:t>
      </w:r>
      <w:r w:rsidR="00EC3ACD" w:rsidRPr="000A5351">
        <w:t>a written ‘</w:t>
      </w:r>
      <w:r w:rsidR="00CA70CA" w:rsidRPr="000A5351">
        <w:t>National Distribution Agreement</w:t>
      </w:r>
      <w:r w:rsidR="00EC3ACD" w:rsidRPr="000A5351">
        <w:t>’</w:t>
      </w:r>
      <w:r w:rsidR="00F2150A" w:rsidRPr="000A5351">
        <w:t xml:space="preserve"> </w:t>
      </w:r>
      <w:r w:rsidR="00593954" w:rsidRPr="000A5351">
        <w:t>(</w:t>
      </w:r>
      <w:r w:rsidR="001B297C" w:rsidRPr="000A5351">
        <w:t>the</w:t>
      </w:r>
      <w:r w:rsidR="00593954" w:rsidRPr="000A5351">
        <w:t xml:space="preserve"> agreement) </w:t>
      </w:r>
      <w:r w:rsidR="00F2150A" w:rsidRPr="000A5351">
        <w:t xml:space="preserve">the </w:t>
      </w:r>
      <w:r w:rsidR="00CA70CA" w:rsidRPr="000A5351">
        <w:t xml:space="preserve">material terms of </w:t>
      </w:r>
      <w:r w:rsidR="00F2150A" w:rsidRPr="000A5351">
        <w:t xml:space="preserve">which </w:t>
      </w:r>
      <w:r w:rsidR="00CA70CA" w:rsidRPr="000A5351">
        <w:t>were that Schenker would</w:t>
      </w:r>
      <w:r w:rsidR="00593954" w:rsidRPr="000A5351">
        <w:t>,</w:t>
      </w:r>
      <w:r w:rsidR="00CA70CA" w:rsidRPr="000A5351">
        <w:t xml:space="preserve"> from time to time</w:t>
      </w:r>
      <w:r w:rsidR="00713784" w:rsidRPr="000A5351">
        <w:t>,</w:t>
      </w:r>
      <w:r w:rsidR="00CA70CA" w:rsidRPr="000A5351">
        <w:t xml:space="preserve"> at Fujitsu’s special instance and request</w:t>
      </w:r>
      <w:r w:rsidR="00593954" w:rsidRPr="000A5351">
        <w:t>,</w:t>
      </w:r>
      <w:r w:rsidR="00CA70CA" w:rsidRPr="000A5351">
        <w:t xml:space="preserve"> on behalf of Fujitsu</w:t>
      </w:r>
      <w:r w:rsidR="00DA5373" w:rsidRPr="000A5351">
        <w:t xml:space="preserve"> and </w:t>
      </w:r>
      <w:r w:rsidR="00CA70CA" w:rsidRPr="000A5351">
        <w:t xml:space="preserve">for reward, </w:t>
      </w:r>
      <w:r w:rsidR="00A76DAC" w:rsidRPr="000A5351">
        <w:t>make use of Schenker</w:t>
      </w:r>
      <w:r w:rsidR="00F2150A" w:rsidRPr="000A5351">
        <w:t>’s</w:t>
      </w:r>
      <w:r w:rsidR="00A76DAC" w:rsidRPr="000A5351">
        <w:t xml:space="preserve"> mentioned services</w:t>
      </w:r>
      <w:r w:rsidR="00CA70CA" w:rsidRPr="000A5351">
        <w:t xml:space="preserve">. </w:t>
      </w:r>
      <w:r w:rsidR="00CD1F9A" w:rsidRPr="000A5351">
        <w:t>All business undertaken or advi</w:t>
      </w:r>
      <w:r w:rsidR="00606183" w:rsidRPr="000A5351">
        <w:t>c</w:t>
      </w:r>
      <w:r w:rsidR="00CD1F9A" w:rsidRPr="000A5351">
        <w:t xml:space="preserve">e, information or services provided by Schenker </w:t>
      </w:r>
      <w:r w:rsidR="00AA7E9E" w:rsidRPr="000A5351">
        <w:t>to Fujitsu</w:t>
      </w:r>
      <w:r w:rsidR="00606183" w:rsidRPr="000A5351">
        <w:t>,</w:t>
      </w:r>
      <w:r w:rsidR="00AA7E9E" w:rsidRPr="000A5351">
        <w:t xml:space="preserve"> </w:t>
      </w:r>
      <w:r w:rsidR="00CD1F9A" w:rsidRPr="000A5351">
        <w:t>whether gratuitous or not</w:t>
      </w:r>
      <w:r w:rsidR="00606183" w:rsidRPr="000A5351">
        <w:t>,</w:t>
      </w:r>
      <w:r w:rsidR="00CD1F9A" w:rsidRPr="000A5351">
        <w:t xml:space="preserve"> </w:t>
      </w:r>
      <w:r w:rsidR="00AA7E9E" w:rsidRPr="000A5351">
        <w:lastRenderedPageBreak/>
        <w:t xml:space="preserve">was </w:t>
      </w:r>
      <w:r w:rsidR="00CD1F9A" w:rsidRPr="000A5351">
        <w:t>subject to the Standard Trading Terms and Conditions (STC) of the South African Association of Freight Forwarders.</w:t>
      </w:r>
      <w:r w:rsidR="00CD1F9A" w:rsidRPr="000A5351">
        <w:rPr>
          <w:rStyle w:val="FootnoteReference"/>
        </w:rPr>
        <w:footnoteReference w:id="1"/>
      </w:r>
      <w:r w:rsidR="00CD1F9A" w:rsidRPr="000A5351">
        <w:t xml:space="preserve"> </w:t>
      </w:r>
    </w:p>
    <w:p w14:paraId="5A6FFA0D" w14:textId="77777777" w:rsidR="00F97633" w:rsidRPr="000A5351" w:rsidRDefault="00F97633" w:rsidP="00CA70CA">
      <w:pPr>
        <w:spacing w:line="360" w:lineRule="auto"/>
      </w:pPr>
    </w:p>
    <w:p w14:paraId="6B0588A9" w14:textId="0DC2BB79" w:rsidR="00A629AA" w:rsidRPr="000A5351" w:rsidRDefault="00F97633" w:rsidP="000434A8">
      <w:pPr>
        <w:spacing w:line="360" w:lineRule="auto"/>
      </w:pPr>
      <w:r w:rsidRPr="000A5351">
        <w:t>[3]</w:t>
      </w:r>
      <w:r w:rsidRPr="000A5351">
        <w:tab/>
      </w:r>
      <w:r w:rsidR="003B0FB4" w:rsidRPr="000A5351">
        <w:t xml:space="preserve">Between </w:t>
      </w:r>
      <w:r w:rsidR="003B0FB4" w:rsidRPr="00116718">
        <w:t>19 and 23 June 2012</w:t>
      </w:r>
      <w:r w:rsidR="003B0FB4" w:rsidRPr="000A5351">
        <w:t>, the SAA carried three consignments of computers and related accessories</w:t>
      </w:r>
      <w:r w:rsidR="00020970" w:rsidRPr="000A5351">
        <w:t xml:space="preserve">, pursuant to three master airway bills, </w:t>
      </w:r>
      <w:r w:rsidR="003B0FB4" w:rsidRPr="000A5351">
        <w:t>from Munich, Germany, to OR</w:t>
      </w:r>
      <w:r w:rsidR="005A15CE" w:rsidRPr="000A5351">
        <w:t>TIA</w:t>
      </w:r>
      <w:r w:rsidR="003B0FB4" w:rsidRPr="000A5351">
        <w:t xml:space="preserve">. </w:t>
      </w:r>
      <w:r w:rsidRPr="000A5351">
        <w:t>Fujits</w:t>
      </w:r>
      <w:r w:rsidR="00593954" w:rsidRPr="000A5351">
        <w:t xml:space="preserve">u, having imported </w:t>
      </w:r>
      <w:r w:rsidR="003B0FB4" w:rsidRPr="000A5351">
        <w:t>these goods</w:t>
      </w:r>
      <w:r w:rsidR="00705F69" w:rsidRPr="000A5351">
        <w:t>,</w:t>
      </w:r>
      <w:r w:rsidR="003B0FB4" w:rsidRPr="000A5351">
        <w:t xml:space="preserve"> </w:t>
      </w:r>
      <w:r w:rsidRPr="000A5351">
        <w:t xml:space="preserve">engaged Schenker’s </w:t>
      </w:r>
      <w:r w:rsidR="00593954" w:rsidRPr="000A5351">
        <w:t xml:space="preserve">services </w:t>
      </w:r>
      <w:r w:rsidRPr="000A5351">
        <w:t>for logistics, warehousing</w:t>
      </w:r>
      <w:r w:rsidR="00020970" w:rsidRPr="000A5351">
        <w:t>,</w:t>
      </w:r>
      <w:r w:rsidRPr="000A5351">
        <w:t xml:space="preserve"> clearing, and forwarding thereof.</w:t>
      </w:r>
      <w:r w:rsidR="00740B63" w:rsidRPr="000A5351">
        <w:t xml:space="preserve"> </w:t>
      </w:r>
    </w:p>
    <w:p w14:paraId="30171D55" w14:textId="77777777" w:rsidR="001F2325" w:rsidRPr="000A5351" w:rsidRDefault="001F2325" w:rsidP="000434A8">
      <w:pPr>
        <w:spacing w:line="360" w:lineRule="auto"/>
      </w:pPr>
    </w:p>
    <w:p w14:paraId="7E73D13D" w14:textId="76CDDE84" w:rsidR="001F2325" w:rsidRPr="000A5351" w:rsidRDefault="001F2325" w:rsidP="000434A8">
      <w:pPr>
        <w:spacing w:line="360" w:lineRule="auto"/>
      </w:pPr>
      <w:r w:rsidRPr="000A5351">
        <w:t>[4]</w:t>
      </w:r>
      <w:r w:rsidRPr="000A5351">
        <w:tab/>
        <w:t xml:space="preserve">Mr </w:t>
      </w:r>
      <w:r w:rsidRPr="00116718">
        <w:t>Lerama</w:t>
      </w:r>
      <w:r w:rsidRPr="000A5351">
        <w:t xml:space="preserve"> was employed as a drawing clerk by Schenker and was by all accounts an exemplary employee who had passed the criminal vetting process. He was no stranger to the SAA cargo warehouse employees. He had been drawing cargo for Schenker for a period of one year when he was instructed to collect Fujitsu’s goods from the incoming air shipments at OR</w:t>
      </w:r>
      <w:r w:rsidR="005A15CE" w:rsidRPr="000A5351">
        <w:t xml:space="preserve">TIA </w:t>
      </w:r>
      <w:r w:rsidRPr="000A5351">
        <w:t>and to transport th</w:t>
      </w:r>
      <w:r w:rsidR="0067511F" w:rsidRPr="000A5351">
        <w:t xml:space="preserve">em </w:t>
      </w:r>
      <w:r w:rsidRPr="000A5351">
        <w:t xml:space="preserve">to Schenker’s warehouse in Pomona. Ordinarily, on the arrival of the cargo at </w:t>
      </w:r>
      <w:r w:rsidR="00B643E5" w:rsidRPr="000A5351">
        <w:t>ORTIA</w:t>
      </w:r>
      <w:r w:rsidRPr="000A5351">
        <w:t xml:space="preserve"> </w:t>
      </w:r>
      <w:r w:rsidR="0067511F" w:rsidRPr="000A5351">
        <w:t xml:space="preserve">it </w:t>
      </w:r>
      <w:r w:rsidRPr="000A5351">
        <w:t>would be checked by Freight</w:t>
      </w:r>
      <w:r w:rsidR="0087286E">
        <w:t> </w:t>
      </w:r>
      <w:r w:rsidRPr="000A5351">
        <w:t>Surveillance International (FSI) on the instruction of Schenker. Schenker would provide Mr Lerama with the identity verification system (IVS) card, the master airway bills, and custom clearance documents, which he would produce at the SAA cargo warehouse in order to lift the cargo.</w:t>
      </w:r>
    </w:p>
    <w:p w14:paraId="385085E3" w14:textId="77777777" w:rsidR="00520D95" w:rsidRPr="000A5351" w:rsidRDefault="00520D95" w:rsidP="00A9400A">
      <w:pPr>
        <w:spacing w:line="360" w:lineRule="auto"/>
      </w:pPr>
    </w:p>
    <w:p w14:paraId="042D19A7" w14:textId="51FF7928" w:rsidR="00A629AA" w:rsidRPr="000A5351" w:rsidRDefault="00520D95" w:rsidP="00A9400A">
      <w:pPr>
        <w:spacing w:line="360" w:lineRule="auto"/>
      </w:pPr>
      <w:r w:rsidRPr="000A5351">
        <w:t>[</w:t>
      </w:r>
      <w:r w:rsidR="001F2325" w:rsidRPr="000A5351">
        <w:t>5</w:t>
      </w:r>
      <w:r w:rsidRPr="000A5351">
        <w:t>]</w:t>
      </w:r>
      <w:r w:rsidRPr="000A5351">
        <w:tab/>
        <w:t xml:space="preserve">On Thursday </w:t>
      </w:r>
      <w:r w:rsidRPr="00116718">
        <w:t>21 Ju</w:t>
      </w:r>
      <w:r w:rsidR="0063095D" w:rsidRPr="00116718">
        <w:t>ne</w:t>
      </w:r>
      <w:r w:rsidRPr="00116718">
        <w:t xml:space="preserve"> 2012</w:t>
      </w:r>
      <w:r w:rsidR="003439DE" w:rsidRPr="000A5351">
        <w:t>,</w:t>
      </w:r>
      <w:r w:rsidRPr="000A5351">
        <w:t xml:space="preserve"> only a Unit Load Device (one pallet of the cargo) arrived at the SAA cargo warehouse. </w:t>
      </w:r>
      <w:r w:rsidR="00FB6429" w:rsidRPr="000A5351">
        <w:t>Having signed</w:t>
      </w:r>
      <w:r w:rsidR="009C17BE" w:rsidRPr="000A5351">
        <w:t xml:space="preserve"> the necessary documents</w:t>
      </w:r>
      <w:r w:rsidR="0088348D" w:rsidRPr="000A5351">
        <w:t>,</w:t>
      </w:r>
      <w:r w:rsidR="00FB6429" w:rsidRPr="000A5351">
        <w:t xml:space="preserve"> th</w:t>
      </w:r>
      <w:r w:rsidR="00837A0D" w:rsidRPr="000A5351">
        <w:t xml:space="preserve">e cargo was released to </w:t>
      </w:r>
      <w:r w:rsidRPr="000A5351">
        <w:t>Mr Lerama</w:t>
      </w:r>
      <w:r w:rsidR="00774C14" w:rsidRPr="000A5351">
        <w:t xml:space="preserve"> </w:t>
      </w:r>
      <w:r w:rsidR="002433B6" w:rsidRPr="000A5351">
        <w:t xml:space="preserve">but </w:t>
      </w:r>
      <w:r w:rsidR="00705F69" w:rsidRPr="000A5351">
        <w:t xml:space="preserve">was </w:t>
      </w:r>
      <w:r w:rsidR="002433B6" w:rsidRPr="000A5351">
        <w:t xml:space="preserve">later returned to the SAA cargo warehouse </w:t>
      </w:r>
      <w:r w:rsidR="00837A0D" w:rsidRPr="000A5351">
        <w:t xml:space="preserve">as there </w:t>
      </w:r>
      <w:r w:rsidR="00D25C86" w:rsidRPr="000A5351">
        <w:t xml:space="preserve">was </w:t>
      </w:r>
      <w:r w:rsidR="00837A0D" w:rsidRPr="000A5351">
        <w:t>no truck available</w:t>
      </w:r>
      <w:r w:rsidR="002433B6" w:rsidRPr="000A5351">
        <w:t xml:space="preserve"> to load them</w:t>
      </w:r>
      <w:r w:rsidR="00B643E5" w:rsidRPr="000A5351">
        <w:t>.</w:t>
      </w:r>
      <w:r w:rsidR="00A9400A" w:rsidRPr="000A5351">
        <w:t xml:space="preserve"> </w:t>
      </w:r>
      <w:r w:rsidR="00B264EC" w:rsidRPr="000A5351">
        <w:t xml:space="preserve">The next day, </w:t>
      </w:r>
      <w:r w:rsidR="00FB6429" w:rsidRPr="000A5351">
        <w:t xml:space="preserve">Friday </w:t>
      </w:r>
      <w:r w:rsidR="00816EC3" w:rsidRPr="000A5351">
        <w:t>22 Ju</w:t>
      </w:r>
      <w:r w:rsidR="0063095D" w:rsidRPr="000A5351">
        <w:t>ne</w:t>
      </w:r>
      <w:r w:rsidR="00816EC3" w:rsidRPr="000A5351">
        <w:t xml:space="preserve"> 2012</w:t>
      </w:r>
      <w:r w:rsidR="001016B9" w:rsidRPr="000A5351">
        <w:t>,</w:t>
      </w:r>
      <w:r w:rsidR="00816EC3" w:rsidRPr="000A5351">
        <w:t xml:space="preserve"> </w:t>
      </w:r>
      <w:r w:rsidR="00B264EC" w:rsidRPr="000A5351">
        <w:t>the rest of the pallets arrived. T</w:t>
      </w:r>
      <w:r w:rsidR="00816EC3" w:rsidRPr="000A5351">
        <w:t xml:space="preserve">he </w:t>
      </w:r>
      <w:r w:rsidR="00FB6429" w:rsidRPr="000A5351">
        <w:t>cargo was not collected.</w:t>
      </w:r>
      <w:r w:rsidR="00B264EC" w:rsidRPr="000A5351">
        <w:t xml:space="preserve"> </w:t>
      </w:r>
      <w:r w:rsidR="00FA7836" w:rsidRPr="000A5351">
        <w:t>Th</w:t>
      </w:r>
      <w:r w:rsidR="00623CD3" w:rsidRPr="000A5351">
        <w:t xml:space="preserve">is was not </w:t>
      </w:r>
      <w:r w:rsidR="00FA7836" w:rsidRPr="000A5351">
        <w:t>unusual</w:t>
      </w:r>
      <w:r w:rsidR="00623CD3" w:rsidRPr="000A5351">
        <w:t>.</w:t>
      </w:r>
      <w:r w:rsidR="00FA7836" w:rsidRPr="000A5351">
        <w:t xml:space="preserve"> </w:t>
      </w:r>
      <w:r w:rsidR="00B264EC" w:rsidRPr="000A5351">
        <w:t>On Saturday 23</w:t>
      </w:r>
      <w:r w:rsidR="0087286E">
        <w:t> </w:t>
      </w:r>
      <w:r w:rsidR="00B264EC" w:rsidRPr="000A5351">
        <w:t>Ju</w:t>
      </w:r>
      <w:r w:rsidR="0063095D" w:rsidRPr="000A5351">
        <w:t>n</w:t>
      </w:r>
      <w:r w:rsidR="00671843">
        <w:t>e</w:t>
      </w:r>
      <w:r w:rsidR="00B264EC" w:rsidRPr="000A5351">
        <w:t xml:space="preserve"> 2012</w:t>
      </w:r>
      <w:r w:rsidR="00185A1E" w:rsidRPr="000A5351">
        <w:t>,</w:t>
      </w:r>
      <w:r w:rsidR="00B264EC" w:rsidRPr="000A5351">
        <w:t xml:space="preserve"> Mr Lerama </w:t>
      </w:r>
      <w:r w:rsidR="00774C14" w:rsidRPr="000A5351">
        <w:t xml:space="preserve">furnished </w:t>
      </w:r>
      <w:r w:rsidR="0088348D" w:rsidRPr="000A5351">
        <w:t xml:space="preserve">the </w:t>
      </w:r>
      <w:r w:rsidR="008756C3" w:rsidRPr="000A5351">
        <w:t>necessary</w:t>
      </w:r>
      <w:r w:rsidR="00774C14" w:rsidRPr="000A5351">
        <w:t xml:space="preserve"> custom </w:t>
      </w:r>
      <w:r w:rsidR="008756C3" w:rsidRPr="000A5351">
        <w:t>release docu</w:t>
      </w:r>
      <w:r w:rsidR="003376E1" w:rsidRPr="000A5351">
        <w:t>ments</w:t>
      </w:r>
      <w:r w:rsidR="00774C14" w:rsidRPr="000A5351">
        <w:t xml:space="preserve"> to SAA cargo employees</w:t>
      </w:r>
      <w:r w:rsidR="00BC39D9" w:rsidRPr="000A5351">
        <w:t xml:space="preserve"> and loaded </w:t>
      </w:r>
      <w:r w:rsidR="00B264EC" w:rsidRPr="000A5351">
        <w:t>the consignment</w:t>
      </w:r>
      <w:r w:rsidR="008756C3" w:rsidRPr="000A5351">
        <w:t xml:space="preserve"> </w:t>
      </w:r>
      <w:r w:rsidR="00BC39D9" w:rsidRPr="000A5351">
        <w:t xml:space="preserve">in an </w:t>
      </w:r>
      <w:r w:rsidR="008756C3" w:rsidRPr="000A5351">
        <w:t xml:space="preserve">unmarked </w:t>
      </w:r>
      <w:r w:rsidR="00D33496" w:rsidRPr="000A5351">
        <w:t>truck</w:t>
      </w:r>
      <w:r w:rsidR="00BC39D9" w:rsidRPr="000A5351">
        <w:t>.</w:t>
      </w:r>
      <w:r w:rsidR="00276964" w:rsidRPr="000A5351">
        <w:t xml:space="preserve"> </w:t>
      </w:r>
      <w:r w:rsidR="00D33496" w:rsidRPr="000A5351">
        <w:t xml:space="preserve">He signed </w:t>
      </w:r>
      <w:r w:rsidR="00216529" w:rsidRPr="000A5351">
        <w:t xml:space="preserve">the SAA cargo </w:t>
      </w:r>
      <w:r w:rsidR="00D33496" w:rsidRPr="000A5351">
        <w:t>delivery slip and left</w:t>
      </w:r>
      <w:r w:rsidR="00E96411" w:rsidRPr="000A5351">
        <w:t>.</w:t>
      </w:r>
      <w:r w:rsidR="00F160C6" w:rsidRPr="000A5351">
        <w:t xml:space="preserve"> </w:t>
      </w:r>
      <w:r w:rsidR="00A12DD8" w:rsidRPr="000A5351">
        <w:t xml:space="preserve">He never delivered the </w:t>
      </w:r>
      <w:r w:rsidR="00BC39D9" w:rsidRPr="000A5351">
        <w:t xml:space="preserve">goods </w:t>
      </w:r>
      <w:r w:rsidR="00A12DD8" w:rsidRPr="000A5351">
        <w:t xml:space="preserve">and effectively </w:t>
      </w:r>
      <w:r w:rsidR="00385D76" w:rsidRPr="000A5351">
        <w:t>stole</w:t>
      </w:r>
      <w:r w:rsidR="00A12DD8" w:rsidRPr="000A5351">
        <w:t xml:space="preserve"> them. </w:t>
      </w:r>
    </w:p>
    <w:p w14:paraId="513DDA62" w14:textId="77777777" w:rsidR="0067332E" w:rsidRPr="000A5351" w:rsidRDefault="0067332E" w:rsidP="000434A8">
      <w:pPr>
        <w:spacing w:line="360" w:lineRule="auto"/>
      </w:pPr>
    </w:p>
    <w:p w14:paraId="2118E7D3" w14:textId="7DA8BF34" w:rsidR="00593954" w:rsidRPr="000A5351" w:rsidRDefault="003E5D0C" w:rsidP="00593954">
      <w:pPr>
        <w:spacing w:line="360" w:lineRule="auto"/>
        <w:ind w:left="-15" w:firstLine="15"/>
      </w:pPr>
      <w:r w:rsidRPr="000A5351">
        <w:t>[6</w:t>
      </w:r>
      <w:r w:rsidR="00593954" w:rsidRPr="000A5351">
        <w:t>]</w:t>
      </w:r>
      <w:r w:rsidR="00593954" w:rsidRPr="000A5351">
        <w:tab/>
        <w:t xml:space="preserve">Consequently, Fujitsu instituted a delictual action </w:t>
      </w:r>
      <w:r w:rsidR="00593954" w:rsidRPr="000A5351">
        <w:rPr>
          <w:color w:val="000000"/>
        </w:rPr>
        <w:t>for damages against Schenker</w:t>
      </w:r>
      <w:r w:rsidR="00CC57FA" w:rsidRPr="000A5351">
        <w:rPr>
          <w:color w:val="000000"/>
        </w:rPr>
        <w:t xml:space="preserve"> in relation to the theft</w:t>
      </w:r>
      <w:r w:rsidR="00593954" w:rsidRPr="000A5351">
        <w:rPr>
          <w:color w:val="000000"/>
        </w:rPr>
        <w:t xml:space="preserve">. </w:t>
      </w:r>
      <w:r w:rsidR="00593954" w:rsidRPr="000A5351">
        <w:t xml:space="preserve">Schenker conceded in the high court that, at the time of theft, </w:t>
      </w:r>
      <w:r w:rsidR="00593954" w:rsidRPr="000A5351">
        <w:lastRenderedPageBreak/>
        <w:t>Mr</w:t>
      </w:r>
      <w:r w:rsidR="0087286E">
        <w:t> </w:t>
      </w:r>
      <w:r w:rsidR="00593954" w:rsidRPr="000A5351">
        <w:t xml:space="preserve">Lerama </w:t>
      </w:r>
      <w:r w:rsidR="00CC57FA" w:rsidRPr="000A5351">
        <w:t xml:space="preserve">had </w:t>
      </w:r>
      <w:r w:rsidR="00593954" w:rsidRPr="000A5351">
        <w:t>acted within the course and scope of his employment and that, unless liability was excluded in terms of the contract, Schenker</w:t>
      </w:r>
      <w:r w:rsidRPr="000A5351">
        <w:t xml:space="preserve"> </w:t>
      </w:r>
      <w:r w:rsidR="00593954" w:rsidRPr="000A5351">
        <w:t>was vicariously liable for the loss suffered as a result of Mr Lerama’s deviant conduct.</w:t>
      </w:r>
      <w:r w:rsidR="00593954" w:rsidRPr="000A5351">
        <w:rPr>
          <w:rStyle w:val="FootnoteReference"/>
        </w:rPr>
        <w:footnoteReference w:id="2"/>
      </w:r>
      <w:r w:rsidR="00593954" w:rsidRPr="000A5351">
        <w:t xml:space="preserve"> </w:t>
      </w:r>
      <w:r w:rsidR="00593954" w:rsidRPr="000A5351">
        <w:rPr>
          <w:color w:val="000000"/>
        </w:rPr>
        <w:t xml:space="preserve">The quantum was not contested.  </w:t>
      </w:r>
      <w:r w:rsidR="00593954" w:rsidRPr="000A5351">
        <w:t xml:space="preserve"> </w:t>
      </w:r>
    </w:p>
    <w:p w14:paraId="717FF5D3" w14:textId="77777777" w:rsidR="00373DE8" w:rsidRPr="000A5351" w:rsidRDefault="00373DE8" w:rsidP="00373DE8">
      <w:pPr>
        <w:spacing w:line="360" w:lineRule="auto"/>
      </w:pPr>
    </w:p>
    <w:p w14:paraId="58A06FE8" w14:textId="2E58A5B3" w:rsidR="00D16285" w:rsidRPr="000A5351" w:rsidRDefault="00373DE8" w:rsidP="00373DE8">
      <w:pPr>
        <w:spacing w:line="360" w:lineRule="auto"/>
      </w:pPr>
      <w:r w:rsidRPr="000A5351">
        <w:t>[7]</w:t>
      </w:r>
      <w:r w:rsidRPr="000A5351">
        <w:tab/>
        <w:t xml:space="preserve">The gist of Schenker’s argument </w:t>
      </w:r>
      <w:r w:rsidR="00C45832" w:rsidRPr="000A5351">
        <w:t>wa</w:t>
      </w:r>
      <w:r w:rsidRPr="000A5351">
        <w:t>s that in terms of the contractual relationship between the parties</w:t>
      </w:r>
      <w:r w:rsidR="0087286E">
        <w:t>,</w:t>
      </w:r>
      <w:r w:rsidRPr="000A5351">
        <w:t xml:space="preserve"> a delictual claim based on theft </w:t>
      </w:r>
      <w:r w:rsidR="006A018D" w:rsidRPr="000A5351">
        <w:t>wa</w:t>
      </w:r>
      <w:r w:rsidRPr="000A5351">
        <w:t xml:space="preserve">s excluded and therefore, </w:t>
      </w:r>
      <w:r w:rsidR="0081633D" w:rsidRPr="000A5351">
        <w:t>it</w:t>
      </w:r>
      <w:r w:rsidRPr="000A5351">
        <w:t xml:space="preserve"> </w:t>
      </w:r>
      <w:r w:rsidR="006A018D" w:rsidRPr="000A5351">
        <w:t>wa</w:t>
      </w:r>
      <w:r w:rsidRPr="000A5351">
        <w:t xml:space="preserve">s not liable for Fujitsu’s loss. </w:t>
      </w:r>
      <w:r w:rsidR="00986F22" w:rsidRPr="000A5351">
        <w:t xml:space="preserve">The countervailing argument by </w:t>
      </w:r>
      <w:r w:rsidRPr="000A5351">
        <w:t xml:space="preserve">Fujitsu </w:t>
      </w:r>
      <w:r w:rsidR="00C45832" w:rsidRPr="000A5351">
        <w:t>wa</w:t>
      </w:r>
      <w:r w:rsidR="005231CE" w:rsidRPr="000A5351">
        <w:t>s that</w:t>
      </w:r>
      <w:r w:rsidRPr="000A5351">
        <w:t>, on a proper construction, the agreement d</w:t>
      </w:r>
      <w:r w:rsidR="00C45832" w:rsidRPr="000A5351">
        <w:t>id</w:t>
      </w:r>
      <w:r w:rsidRPr="000A5351">
        <w:t xml:space="preserve"> not exclude or limit liability for the theft of the goods</w:t>
      </w:r>
      <w:r w:rsidR="005231CE" w:rsidRPr="000A5351">
        <w:t>.</w:t>
      </w:r>
      <w:r w:rsidRPr="000A5351">
        <w:t xml:space="preserve"> </w:t>
      </w:r>
    </w:p>
    <w:p w14:paraId="0A2383EF" w14:textId="77777777" w:rsidR="00D16285" w:rsidRPr="000A5351" w:rsidRDefault="00D16285" w:rsidP="00373DE8">
      <w:pPr>
        <w:spacing w:line="360" w:lineRule="auto"/>
      </w:pPr>
    </w:p>
    <w:p w14:paraId="05E0EE0C" w14:textId="1CADC367" w:rsidR="00593954" w:rsidRPr="000A5351" w:rsidRDefault="00D16285" w:rsidP="00671843">
      <w:pPr>
        <w:spacing w:line="360" w:lineRule="auto"/>
        <w:ind w:left="720" w:hanging="720"/>
        <w:rPr>
          <w:color w:val="000000"/>
        </w:rPr>
      </w:pPr>
      <w:r w:rsidRPr="000A5351">
        <w:t>[8]</w:t>
      </w:r>
      <w:r w:rsidRPr="000A5351">
        <w:tab/>
      </w:r>
      <w:r w:rsidRPr="005C5D98">
        <w:t>The exemption c</w:t>
      </w:r>
      <w:r w:rsidR="00881F08" w:rsidRPr="005C5D98">
        <w:t xml:space="preserve">lauses 17 and 40 </w:t>
      </w:r>
      <w:r w:rsidR="001C77A3" w:rsidRPr="005C5D98">
        <w:t xml:space="preserve">of the STC </w:t>
      </w:r>
      <w:r w:rsidR="00C45832" w:rsidRPr="005C5D98">
        <w:t>we</w:t>
      </w:r>
      <w:r w:rsidR="00881F08" w:rsidRPr="005C5D98">
        <w:t xml:space="preserve">re </w:t>
      </w:r>
      <w:r w:rsidR="00986F22" w:rsidRPr="005C5D98">
        <w:rPr>
          <w:color w:val="000000"/>
        </w:rPr>
        <w:t>in contention</w:t>
      </w:r>
      <w:r w:rsidR="00881F08" w:rsidRPr="005C5D98">
        <w:rPr>
          <w:color w:val="000000"/>
        </w:rPr>
        <w:t>. The</w:t>
      </w:r>
      <w:r w:rsidR="001C77A3" w:rsidRPr="005C5D98">
        <w:rPr>
          <w:color w:val="000000"/>
        </w:rPr>
        <w:t>y</w:t>
      </w:r>
      <w:r w:rsidR="005C0364" w:rsidRPr="005C5D98">
        <w:rPr>
          <w:color w:val="000000"/>
        </w:rPr>
        <w:t xml:space="preserve"> </w:t>
      </w:r>
      <w:r w:rsidR="00881F08" w:rsidRPr="005C5D98">
        <w:rPr>
          <w:color w:val="000000"/>
        </w:rPr>
        <w:t>read as follows:</w:t>
      </w:r>
    </w:p>
    <w:p w14:paraId="38DB56B4" w14:textId="228F4C47" w:rsidR="003549B9" w:rsidRPr="000A5351" w:rsidRDefault="00881F08" w:rsidP="00671843">
      <w:pPr>
        <w:spacing w:line="360" w:lineRule="auto"/>
        <w:ind w:left="720" w:hanging="720"/>
      </w:pPr>
      <w:r w:rsidRPr="000A5351">
        <w:t>‘</w:t>
      </w:r>
      <w:r w:rsidR="003549B9" w:rsidRPr="000A5351">
        <w:t>17</w:t>
      </w:r>
      <w:r w:rsidRPr="000A5351">
        <w:t>.</w:t>
      </w:r>
      <w:r w:rsidR="005C0364" w:rsidRPr="000A5351">
        <w:tab/>
      </w:r>
      <w:r w:rsidR="005D6AE5" w:rsidRPr="000A5351">
        <w:t>GOOD</w:t>
      </w:r>
      <w:r w:rsidRPr="000A5351">
        <w:t>S RE</w:t>
      </w:r>
      <w:r w:rsidR="005D6AE5" w:rsidRPr="000A5351">
        <w:t>QUIRING SPECIAL ARRANGEMENTS</w:t>
      </w:r>
      <w:r w:rsidR="003549B9" w:rsidRPr="000A5351">
        <w:t xml:space="preserve"> </w:t>
      </w:r>
    </w:p>
    <w:p w14:paraId="519A071D" w14:textId="7CF5D0CA" w:rsidR="003549B9" w:rsidRPr="000A5351" w:rsidRDefault="003549B9" w:rsidP="00671843">
      <w:pPr>
        <w:spacing w:line="360" w:lineRule="auto"/>
        <w:ind w:left="720"/>
        <w:rPr>
          <w:sz w:val="22"/>
          <w:szCs w:val="22"/>
        </w:rPr>
      </w:pPr>
      <w:r w:rsidRPr="000A5351">
        <w:rPr>
          <w:sz w:val="22"/>
          <w:szCs w:val="22"/>
        </w:rPr>
        <w:t>Except under special arrangements previously made in writing [Schenker] will not accept or deal with bullion, coin, precious stones, jewellery, valuables, antiques, pictures, human remains, livestock or plants. Should [Fujitsu] nevertheless deliver such goods to [Schenker] or cause [Schenker] to handle or deal with any such goods otherwise than under special arrangements previously made in writing [Schenker] shall incur no liability whatsoever in respect of such goods, and in particular, shall incur no liability in respect of its negligent acts or omissions in respect of such goods. A claim, if any, against [Schenker] in respect of the goods referred to in this clause 17 shall be governed by the provisions of clauses 40 and 41.</w:t>
      </w:r>
    </w:p>
    <w:p w14:paraId="1D0FC791" w14:textId="6B9A5E63" w:rsidR="003549B9" w:rsidRPr="000A5351" w:rsidRDefault="00C9365B" w:rsidP="003549B9">
      <w:pPr>
        <w:spacing w:line="360" w:lineRule="auto"/>
        <w:rPr>
          <w:color w:val="000000"/>
        </w:rPr>
      </w:pPr>
      <w:r>
        <w:rPr>
          <w:color w:val="000000"/>
        </w:rPr>
        <w:t xml:space="preserve">. . . </w:t>
      </w:r>
    </w:p>
    <w:p w14:paraId="0167CBF6" w14:textId="194EDC97" w:rsidR="003549B9" w:rsidRPr="000A5351" w:rsidRDefault="00881F08" w:rsidP="003549B9">
      <w:pPr>
        <w:spacing w:line="360" w:lineRule="auto"/>
      </w:pPr>
      <w:r w:rsidRPr="000A5351">
        <w:t>40</w:t>
      </w:r>
      <w:r w:rsidR="005C0364" w:rsidRPr="000A5351">
        <w:t>.</w:t>
      </w:r>
      <w:r w:rsidR="005C0364" w:rsidRPr="000A5351">
        <w:tab/>
      </w:r>
      <w:r w:rsidRPr="000A5351">
        <w:t>LIMITATION OF [S</w:t>
      </w:r>
      <w:r w:rsidR="005C0364" w:rsidRPr="000A5351">
        <w:t>C</w:t>
      </w:r>
      <w:r w:rsidRPr="000A5351">
        <w:t xml:space="preserve">HENKER’S] </w:t>
      </w:r>
      <w:r w:rsidR="005C0364" w:rsidRPr="000A5351">
        <w:t>LIABILITY</w:t>
      </w:r>
    </w:p>
    <w:p w14:paraId="06085E62" w14:textId="5BDC74A0" w:rsidR="003549B9" w:rsidRPr="000A5351" w:rsidRDefault="003549B9" w:rsidP="00671843">
      <w:pPr>
        <w:spacing w:line="360" w:lineRule="auto"/>
        <w:ind w:left="720" w:hanging="720"/>
        <w:rPr>
          <w:sz w:val="22"/>
          <w:szCs w:val="22"/>
        </w:rPr>
      </w:pPr>
      <w:r w:rsidRPr="000A5351">
        <w:rPr>
          <w:sz w:val="22"/>
          <w:szCs w:val="22"/>
        </w:rPr>
        <w:t>40.1</w:t>
      </w:r>
      <w:r w:rsidRPr="000A5351">
        <w:rPr>
          <w:sz w:val="22"/>
          <w:szCs w:val="22"/>
        </w:rPr>
        <w:tab/>
        <w:t>Subject to the provisions of clause 40.2 and clause 41, [Schenker] shall not be liable for any claim of whatsoever nature (whether in contract or in delict) and whether for damages or otherwise, howsoever arising including but without limiting the generality of the aforesaid -</w:t>
      </w:r>
    </w:p>
    <w:p w14:paraId="0A198A0E" w14:textId="77777777" w:rsidR="003549B9" w:rsidRPr="000A5351" w:rsidRDefault="003549B9" w:rsidP="00671843">
      <w:pPr>
        <w:spacing w:line="360" w:lineRule="auto"/>
        <w:ind w:left="720" w:hanging="720"/>
        <w:rPr>
          <w:sz w:val="22"/>
          <w:szCs w:val="22"/>
        </w:rPr>
      </w:pPr>
      <w:r w:rsidRPr="000A5351">
        <w:rPr>
          <w:sz w:val="22"/>
          <w:szCs w:val="22"/>
        </w:rPr>
        <w:t>40.1.1 any negligent act or omission or statement by [Schenker] or its servants, agents and nominees; and/or</w:t>
      </w:r>
    </w:p>
    <w:p w14:paraId="10D1FFC2" w14:textId="77777777" w:rsidR="003549B9" w:rsidRPr="000A5351" w:rsidRDefault="003549B9" w:rsidP="003549B9">
      <w:pPr>
        <w:spacing w:line="360" w:lineRule="auto"/>
        <w:rPr>
          <w:sz w:val="22"/>
          <w:szCs w:val="22"/>
        </w:rPr>
      </w:pPr>
      <w:r w:rsidRPr="000A5351">
        <w:rPr>
          <w:sz w:val="22"/>
          <w:szCs w:val="22"/>
        </w:rPr>
        <w:t xml:space="preserve">. . . </w:t>
      </w:r>
    </w:p>
    <w:p w14:paraId="634D6051" w14:textId="77777777" w:rsidR="003549B9" w:rsidRPr="000A5351" w:rsidRDefault="003549B9" w:rsidP="00671843">
      <w:pPr>
        <w:spacing w:line="360" w:lineRule="auto"/>
        <w:ind w:left="720" w:hanging="720"/>
        <w:rPr>
          <w:sz w:val="22"/>
          <w:szCs w:val="22"/>
        </w:rPr>
      </w:pPr>
      <w:r w:rsidRPr="000A5351">
        <w:rPr>
          <w:sz w:val="22"/>
          <w:szCs w:val="22"/>
        </w:rPr>
        <w:lastRenderedPageBreak/>
        <w:t>40.1.3 any loss, damage or expense arising from or in any way connected with the marking, labelling, numbering, non-delivery or mis-delivery of any goods; and or</w:t>
      </w:r>
    </w:p>
    <w:p w14:paraId="2A74E138" w14:textId="77777777" w:rsidR="003549B9" w:rsidRPr="000A5351" w:rsidRDefault="003549B9" w:rsidP="003549B9">
      <w:pPr>
        <w:spacing w:line="360" w:lineRule="auto"/>
        <w:rPr>
          <w:sz w:val="22"/>
          <w:szCs w:val="22"/>
        </w:rPr>
      </w:pPr>
      <w:r w:rsidRPr="000A5351">
        <w:rPr>
          <w:sz w:val="22"/>
          <w:szCs w:val="22"/>
        </w:rPr>
        <w:t xml:space="preserve">. . . </w:t>
      </w:r>
    </w:p>
    <w:p w14:paraId="60F0EC92" w14:textId="77777777" w:rsidR="003549B9" w:rsidRPr="000A5351" w:rsidRDefault="003549B9" w:rsidP="003549B9">
      <w:pPr>
        <w:spacing w:line="360" w:lineRule="auto"/>
        <w:rPr>
          <w:sz w:val="22"/>
          <w:szCs w:val="22"/>
        </w:rPr>
      </w:pPr>
      <w:r w:rsidRPr="000A5351">
        <w:rPr>
          <w:sz w:val="22"/>
          <w:szCs w:val="22"/>
        </w:rPr>
        <w:t>Unless -</w:t>
      </w:r>
    </w:p>
    <w:p w14:paraId="15B084F8" w14:textId="77777777" w:rsidR="003549B9" w:rsidRPr="000A5351" w:rsidRDefault="003549B9" w:rsidP="003549B9">
      <w:pPr>
        <w:pStyle w:val="ListParagraph"/>
        <w:numPr>
          <w:ilvl w:val="0"/>
          <w:numId w:val="2"/>
        </w:numPr>
        <w:spacing w:line="360" w:lineRule="auto"/>
        <w:rPr>
          <w:rFonts w:ascii="Arial" w:hAnsi="Arial" w:cs="Arial"/>
        </w:rPr>
      </w:pPr>
      <w:r w:rsidRPr="000A5351">
        <w:rPr>
          <w:rFonts w:ascii="Arial" w:hAnsi="Arial" w:cs="Arial"/>
        </w:rPr>
        <w:t xml:space="preserve">such claim arises from a grossly negligent act or omission on the part of [Schenker] or its servants; and </w:t>
      </w:r>
    </w:p>
    <w:p w14:paraId="2FE9CF19" w14:textId="4E3DAF75" w:rsidR="003549B9" w:rsidRPr="000A5351" w:rsidRDefault="003549B9" w:rsidP="003549B9">
      <w:pPr>
        <w:pStyle w:val="ListParagraph"/>
        <w:numPr>
          <w:ilvl w:val="0"/>
          <w:numId w:val="2"/>
        </w:numPr>
        <w:spacing w:line="360" w:lineRule="auto"/>
        <w:rPr>
          <w:rFonts w:ascii="Arial" w:hAnsi="Arial" w:cs="Arial"/>
        </w:rPr>
      </w:pPr>
      <w:r w:rsidRPr="000A5351">
        <w:rPr>
          <w:rFonts w:ascii="Arial" w:hAnsi="Arial" w:cs="Arial"/>
        </w:rPr>
        <w:t>such claim arises at a time when the goods in question are in the actual custody of [Schenker] and under its actual control;</w:t>
      </w:r>
      <w:r w:rsidR="0097679A">
        <w:rPr>
          <w:rFonts w:ascii="Arial" w:hAnsi="Arial" w:cs="Arial"/>
        </w:rPr>
        <w:t xml:space="preserve"> and</w:t>
      </w:r>
      <w:r w:rsidRPr="000A5351">
        <w:rPr>
          <w:rFonts w:ascii="Arial" w:hAnsi="Arial" w:cs="Arial"/>
        </w:rPr>
        <w:t xml:space="preserve"> </w:t>
      </w:r>
    </w:p>
    <w:p w14:paraId="37BAC3FB" w14:textId="77777777" w:rsidR="003549B9" w:rsidRPr="00F42CCB" w:rsidRDefault="003549B9" w:rsidP="00671843">
      <w:pPr>
        <w:spacing w:line="360" w:lineRule="auto"/>
      </w:pPr>
      <w:r w:rsidRPr="00F42CCB">
        <w:t xml:space="preserve">. . . </w:t>
      </w:r>
    </w:p>
    <w:p w14:paraId="12FD3C1E" w14:textId="0C3CC10B" w:rsidR="003549B9" w:rsidRPr="000A5351" w:rsidRDefault="003549B9" w:rsidP="003549B9">
      <w:pPr>
        <w:spacing w:line="360" w:lineRule="auto"/>
      </w:pPr>
      <w:r w:rsidRPr="000A5351">
        <w:rPr>
          <w:sz w:val="22"/>
          <w:szCs w:val="22"/>
        </w:rPr>
        <w:t>40.2</w:t>
      </w:r>
      <w:r w:rsidRPr="000A5351">
        <w:rPr>
          <w:sz w:val="22"/>
          <w:szCs w:val="22"/>
        </w:rPr>
        <w:tab/>
        <w:t>Notwithstanding anything to the contrary contained in these trading terms and conditions, [Schenker] shall not be liable for any indirect and consequential loss arising from any act or omission or statement by [Schenker], its agents, servants or nominees, whether negligent or otherwise.’</w:t>
      </w:r>
    </w:p>
    <w:p w14:paraId="17F80CC3" w14:textId="77777777" w:rsidR="003549B9" w:rsidRPr="000A5351" w:rsidRDefault="003549B9" w:rsidP="003549B9">
      <w:pPr>
        <w:spacing w:line="360" w:lineRule="auto"/>
        <w:ind w:left="-17" w:firstLine="17"/>
      </w:pPr>
    </w:p>
    <w:p w14:paraId="220E61B8" w14:textId="77777777" w:rsidR="003549B9" w:rsidRPr="000A5351" w:rsidRDefault="003549B9" w:rsidP="003549B9">
      <w:pPr>
        <w:spacing w:line="360" w:lineRule="auto"/>
        <w:ind w:left="-17" w:firstLine="17"/>
      </w:pPr>
      <w:r w:rsidRPr="000A5351">
        <w:t>Clause 41 concerns the monetary limitation of liability and operates only where Schenker’s liability is established in terms of clause 17 read with 40.</w:t>
      </w:r>
    </w:p>
    <w:p w14:paraId="1CC79142" w14:textId="77777777" w:rsidR="003549B9" w:rsidRPr="000A5351" w:rsidRDefault="003549B9" w:rsidP="003549B9">
      <w:pPr>
        <w:spacing w:line="360" w:lineRule="auto"/>
      </w:pPr>
    </w:p>
    <w:p w14:paraId="2F1C5A68" w14:textId="40D9D03F" w:rsidR="003549B9" w:rsidRPr="000A5351" w:rsidRDefault="003549B9" w:rsidP="001C77A3">
      <w:pPr>
        <w:spacing w:line="360" w:lineRule="auto"/>
      </w:pPr>
      <w:r w:rsidRPr="000A5351">
        <w:t>[</w:t>
      </w:r>
      <w:r w:rsidR="00340362" w:rsidRPr="000A5351">
        <w:t>9</w:t>
      </w:r>
      <w:r w:rsidRPr="000A5351">
        <w:t>]</w:t>
      </w:r>
      <w:r w:rsidRPr="000A5351">
        <w:tab/>
      </w:r>
      <w:r w:rsidR="005C0364" w:rsidRPr="000A5351">
        <w:t xml:space="preserve">The other </w:t>
      </w:r>
      <w:r w:rsidR="005C0364" w:rsidRPr="000A5351">
        <w:rPr>
          <w:color w:val="000000"/>
        </w:rPr>
        <w:t>term which it was contended w</w:t>
      </w:r>
      <w:r w:rsidR="00D95AFA" w:rsidRPr="000A5351">
        <w:rPr>
          <w:color w:val="000000"/>
        </w:rPr>
        <w:t xml:space="preserve">as </w:t>
      </w:r>
      <w:r w:rsidR="005C0364" w:rsidRPr="000A5351">
        <w:rPr>
          <w:color w:val="000000"/>
        </w:rPr>
        <w:t xml:space="preserve">relevant </w:t>
      </w:r>
      <w:r w:rsidR="00D95AFA" w:rsidRPr="000A5351">
        <w:rPr>
          <w:color w:val="000000"/>
        </w:rPr>
        <w:t xml:space="preserve">is </w:t>
      </w:r>
      <w:r w:rsidR="005C0364" w:rsidRPr="000A5351">
        <w:rPr>
          <w:color w:val="000000"/>
        </w:rPr>
        <w:t>clause</w:t>
      </w:r>
      <w:r w:rsidR="001C77A3" w:rsidRPr="000A5351">
        <w:rPr>
          <w:color w:val="000000"/>
        </w:rPr>
        <w:t xml:space="preserve"> 1.3.3 </w:t>
      </w:r>
      <w:r w:rsidR="00D95AFA" w:rsidRPr="000A5351">
        <w:rPr>
          <w:color w:val="000000"/>
        </w:rPr>
        <w:t xml:space="preserve">which defines </w:t>
      </w:r>
      <w:r w:rsidRPr="000A5351">
        <w:t xml:space="preserve">‘goods’ </w:t>
      </w:r>
      <w:r w:rsidR="00D95AFA" w:rsidRPr="00785F76">
        <w:t>as follows</w:t>
      </w:r>
      <w:r w:rsidRPr="00785F76">
        <w:t>:</w:t>
      </w:r>
    </w:p>
    <w:p w14:paraId="6DC521EB" w14:textId="7F9E5A7E" w:rsidR="003549B9" w:rsidRPr="000A5351" w:rsidRDefault="000A5351" w:rsidP="003549B9">
      <w:pPr>
        <w:spacing w:line="360" w:lineRule="auto"/>
        <w:rPr>
          <w:sz w:val="22"/>
          <w:szCs w:val="22"/>
        </w:rPr>
      </w:pPr>
      <w:r>
        <w:rPr>
          <w:sz w:val="22"/>
          <w:szCs w:val="22"/>
        </w:rPr>
        <w:t>‘</w:t>
      </w:r>
      <w:r w:rsidR="007860C5">
        <w:rPr>
          <w:sz w:val="22"/>
          <w:szCs w:val="22"/>
        </w:rPr>
        <w:t xml:space="preserve">. . . </w:t>
      </w:r>
      <w:r>
        <w:rPr>
          <w:sz w:val="22"/>
          <w:szCs w:val="22"/>
        </w:rPr>
        <w:t>[A]</w:t>
      </w:r>
      <w:r w:rsidR="003549B9" w:rsidRPr="000A5351">
        <w:rPr>
          <w:sz w:val="22"/>
          <w:szCs w:val="22"/>
        </w:rPr>
        <w:t>ny goods handled, transported or dealt with by or on behalf of or at the instance of [Schenker] or which come under the control of [Schenker] or its agents, servants or nominees on the instructions of [Fujitsu], and includes any container, transportable tank, flat pallet, package or any other form of covering, packaging, container or equipment used in connection with or in relation to such goods.</w:t>
      </w:r>
      <w:r w:rsidR="00785F76" w:rsidRPr="000A5351">
        <w:rPr>
          <w:sz w:val="22"/>
          <w:szCs w:val="22"/>
        </w:rPr>
        <w:t>’</w:t>
      </w:r>
      <w:r w:rsidR="003549B9" w:rsidRPr="000A5351">
        <w:rPr>
          <w:sz w:val="22"/>
          <w:szCs w:val="22"/>
        </w:rPr>
        <w:t xml:space="preserve"> </w:t>
      </w:r>
    </w:p>
    <w:p w14:paraId="3EB321EB" w14:textId="77777777" w:rsidR="003549B9" w:rsidRPr="000A5351" w:rsidRDefault="003549B9" w:rsidP="003549B9">
      <w:pPr>
        <w:spacing w:line="360" w:lineRule="auto"/>
      </w:pPr>
    </w:p>
    <w:p w14:paraId="1C6D2DBE" w14:textId="5F7E0D82" w:rsidR="002E79DD" w:rsidRPr="000A5351" w:rsidRDefault="009A4FB2" w:rsidP="009A4FB2">
      <w:pPr>
        <w:spacing w:line="360" w:lineRule="auto"/>
      </w:pPr>
      <w:r w:rsidRPr="000A5351">
        <w:t>[</w:t>
      </w:r>
      <w:r w:rsidR="00340362" w:rsidRPr="000A5351">
        <w:t>10</w:t>
      </w:r>
      <w:r w:rsidRPr="000A5351">
        <w:t>]</w:t>
      </w:r>
      <w:r w:rsidRPr="000A5351">
        <w:tab/>
      </w:r>
      <w:r w:rsidR="00FE3D8F" w:rsidRPr="000A5351">
        <w:t>T</w:t>
      </w:r>
      <w:r w:rsidR="00FE3D8F" w:rsidRPr="000A5351">
        <w:rPr>
          <w:lang w:val="en-ZA"/>
        </w:rPr>
        <w:t xml:space="preserve">he high court </w:t>
      </w:r>
      <w:r w:rsidRPr="000A5351">
        <w:t>found that Mr Lerama was not executing the contract when he attended to SAA Cargo on Saturday 23 Ju</w:t>
      </w:r>
      <w:r w:rsidR="004F4A45" w:rsidRPr="000A5351">
        <w:t>ne</w:t>
      </w:r>
      <w:r w:rsidRPr="000A5351">
        <w:t xml:space="preserve"> 2012 </w:t>
      </w:r>
      <w:r w:rsidR="009C6379" w:rsidRPr="000A5351">
        <w:t xml:space="preserve">to steal </w:t>
      </w:r>
      <w:r w:rsidRPr="000A5351">
        <w:t>Fujitsu’s goods</w:t>
      </w:r>
      <w:r w:rsidR="008C1370" w:rsidRPr="000A5351">
        <w:t xml:space="preserve"> and that</w:t>
      </w:r>
      <w:r w:rsidRPr="000A5351">
        <w:t xml:space="preserve"> </w:t>
      </w:r>
      <w:r w:rsidR="008C1370" w:rsidRPr="000A5351">
        <w:t>t</w:t>
      </w:r>
      <w:r w:rsidRPr="000A5351">
        <w:t xml:space="preserve">he theft was an act outside the performance of the </w:t>
      </w:r>
      <w:r w:rsidR="008C1370" w:rsidRPr="000A5351">
        <w:t>agreement</w:t>
      </w:r>
      <w:r w:rsidRPr="000A5351">
        <w:t xml:space="preserve">. Therefore, the </w:t>
      </w:r>
      <w:r w:rsidR="00E029E7" w:rsidRPr="000A5351">
        <w:t xml:space="preserve">high </w:t>
      </w:r>
      <w:r w:rsidRPr="000A5351">
        <w:t>court held, the exemption clause relied upon by Schenker to escape liability did not apply. The court reasoned that the parties did not contemplate that clauses 40 and 41</w:t>
      </w:r>
      <w:r w:rsidR="00BB58D9" w:rsidRPr="000A5351">
        <w:t xml:space="preserve"> of the contract</w:t>
      </w:r>
      <w:r w:rsidRPr="000A5351">
        <w:t xml:space="preserve"> would include </w:t>
      </w:r>
      <w:r w:rsidR="001D1279" w:rsidRPr="000A5351">
        <w:t xml:space="preserve">a </w:t>
      </w:r>
      <w:r w:rsidRPr="000A5351">
        <w:t>delictual liability of the sort articulated in the particulars of claim</w:t>
      </w:r>
      <w:r w:rsidR="00644013" w:rsidRPr="000A5351">
        <w:t xml:space="preserve"> (theft by </w:t>
      </w:r>
      <w:r w:rsidR="00644013" w:rsidRPr="000A5351">
        <w:lastRenderedPageBreak/>
        <w:t xml:space="preserve">an employee) </w:t>
      </w:r>
      <w:r w:rsidRPr="000A5351">
        <w:t xml:space="preserve">because the claim did not arise pursuant to or during the services rendered by Schenker or while the goods were in its custody or control. </w:t>
      </w:r>
    </w:p>
    <w:p w14:paraId="26B1DF0F" w14:textId="77777777" w:rsidR="00593954" w:rsidRPr="000A5351" w:rsidRDefault="00593954" w:rsidP="00593954">
      <w:pPr>
        <w:spacing w:line="360" w:lineRule="auto"/>
      </w:pPr>
    </w:p>
    <w:p w14:paraId="4C137EB6" w14:textId="02414042" w:rsidR="00F62E9A" w:rsidRPr="000A5351" w:rsidRDefault="009A4FB2" w:rsidP="006C5FAE">
      <w:pPr>
        <w:spacing w:line="360" w:lineRule="auto"/>
        <w:rPr>
          <w:color w:val="000000"/>
        </w:rPr>
      </w:pPr>
      <w:r w:rsidRPr="000A5351">
        <w:rPr>
          <w:color w:val="000000"/>
        </w:rPr>
        <w:t>[</w:t>
      </w:r>
      <w:r w:rsidR="00340362" w:rsidRPr="000A5351">
        <w:rPr>
          <w:color w:val="000000"/>
        </w:rPr>
        <w:t>11</w:t>
      </w:r>
      <w:r w:rsidRPr="000A5351">
        <w:rPr>
          <w:color w:val="000000"/>
        </w:rPr>
        <w:t>]</w:t>
      </w:r>
      <w:r w:rsidRPr="000A5351">
        <w:rPr>
          <w:color w:val="000000"/>
        </w:rPr>
        <w:tab/>
      </w:r>
      <w:r w:rsidR="00C3660B" w:rsidRPr="000A5351">
        <w:t>The crux of the appeal therefore is whether on a proper construction of the agreement, in particular clause 17 read with 40 and 41</w:t>
      </w:r>
      <w:r w:rsidR="00D95AFA" w:rsidRPr="000A5351">
        <w:t xml:space="preserve"> of the STC</w:t>
      </w:r>
      <w:r w:rsidR="00C3660B" w:rsidRPr="000A5351">
        <w:t xml:space="preserve">, Schenker’s liability is exempted or limited. </w:t>
      </w:r>
      <w:r w:rsidR="0081199A" w:rsidRPr="000A5351">
        <w:rPr>
          <w:color w:val="000000"/>
        </w:rPr>
        <w:t xml:space="preserve">The enquiry into this question </w:t>
      </w:r>
      <w:r w:rsidR="00E47FCB" w:rsidRPr="000A5351">
        <w:t xml:space="preserve">is a matter of interpretation </w:t>
      </w:r>
      <w:r w:rsidR="00965993" w:rsidRPr="000A5351">
        <w:t xml:space="preserve">of </w:t>
      </w:r>
      <w:r w:rsidR="009F0776" w:rsidRPr="000A5351">
        <w:rPr>
          <w:color w:val="000000"/>
        </w:rPr>
        <w:t>the clauses</w:t>
      </w:r>
      <w:r w:rsidR="0081199A" w:rsidRPr="000A5351">
        <w:rPr>
          <w:color w:val="000000"/>
        </w:rPr>
        <w:t xml:space="preserve">. </w:t>
      </w:r>
      <w:r w:rsidR="00F62E9A" w:rsidRPr="000A5351">
        <w:rPr>
          <w:color w:val="000000"/>
        </w:rPr>
        <w:t xml:space="preserve">This </w:t>
      </w:r>
      <w:r w:rsidR="009E52AD" w:rsidRPr="000A5351">
        <w:rPr>
          <w:color w:val="000000"/>
        </w:rPr>
        <w:t>C</w:t>
      </w:r>
      <w:r w:rsidR="00F62E9A" w:rsidRPr="000A5351">
        <w:rPr>
          <w:color w:val="000000"/>
        </w:rPr>
        <w:t>ourt restated the correct approach to interpretation of documents in </w:t>
      </w:r>
      <w:r w:rsidR="00084066" w:rsidRPr="000A5351">
        <w:rPr>
          <w:i/>
          <w:color w:val="000000"/>
        </w:rPr>
        <w:t>Natal Joint Municipal Pension</w:t>
      </w:r>
      <w:r w:rsidR="00084066" w:rsidRPr="000A5351">
        <w:rPr>
          <w:color w:val="000000"/>
        </w:rPr>
        <w:t xml:space="preserve"> </w:t>
      </w:r>
      <w:r w:rsidR="00F62E9A" w:rsidRPr="000A5351">
        <w:rPr>
          <w:i/>
          <w:iCs/>
          <w:color w:val="000000"/>
        </w:rPr>
        <w:t>Fund v Endumeni Municipality</w:t>
      </w:r>
      <w:bookmarkStart w:id="2" w:name="0-0-0-630971"/>
      <w:bookmarkEnd w:id="2"/>
      <w:r w:rsidR="00F62E9A" w:rsidRPr="000A5351">
        <w:rPr>
          <w:rStyle w:val="FootnoteReference"/>
          <w:rFonts w:cs="Arial"/>
          <w:color w:val="000000"/>
          <w:lang w:val="en-ZA" w:eastAsia="en-ZA"/>
        </w:rPr>
        <w:footnoteReference w:id="3"/>
      </w:r>
      <w:r w:rsidR="00F62E9A" w:rsidRPr="000A5351">
        <w:rPr>
          <w:color w:val="000000"/>
        </w:rPr>
        <w:t> in the following terms:</w:t>
      </w:r>
    </w:p>
    <w:p w14:paraId="13C51A3A" w14:textId="546F191F" w:rsidR="007C512E" w:rsidRPr="000A5351" w:rsidRDefault="00F62E9A" w:rsidP="006C5FAE">
      <w:pPr>
        <w:spacing w:line="360" w:lineRule="auto"/>
        <w:rPr>
          <w:color w:val="000000"/>
          <w:lang w:val="en-ZA" w:eastAsia="en-ZA"/>
        </w:rPr>
      </w:pPr>
      <w:r w:rsidRPr="000A5351">
        <w:rPr>
          <w:iCs/>
          <w:color w:val="000000"/>
          <w:sz w:val="22"/>
          <w:szCs w:val="22"/>
        </w:rPr>
        <w:t>'</w:t>
      </w:r>
      <w:r w:rsidR="0041004E">
        <w:rPr>
          <w:iCs/>
          <w:color w:val="000000"/>
          <w:sz w:val="22"/>
          <w:szCs w:val="22"/>
        </w:rPr>
        <w:t xml:space="preserve">. . . </w:t>
      </w:r>
      <w:r w:rsidRPr="000A5351">
        <w:rPr>
          <w:iCs/>
          <w:color w:val="000000"/>
          <w:sz w:val="22"/>
          <w:szCs w:val="22"/>
        </w:rPr>
        <w:t>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w:t>
      </w:r>
      <w:r w:rsidR="0041004E">
        <w:rPr>
          <w:iCs/>
          <w:color w:val="000000"/>
          <w:sz w:val="22"/>
          <w:szCs w:val="22"/>
        </w:rPr>
        <w:t xml:space="preserve"> </w:t>
      </w:r>
      <w:r w:rsidRPr="000A5351">
        <w:rPr>
          <w:iCs/>
          <w:color w:val="000000"/>
          <w:sz w:val="22"/>
          <w:szCs w:val="22"/>
        </w:rPr>
        <w:t>.</w:t>
      </w:r>
      <w:r w:rsidR="0041004E">
        <w:rPr>
          <w:iCs/>
          <w:color w:val="000000"/>
          <w:sz w:val="22"/>
          <w:szCs w:val="22"/>
        </w:rPr>
        <w:t xml:space="preserve"> </w:t>
      </w:r>
      <w:r w:rsidRPr="000A5351">
        <w:rPr>
          <w:iCs/>
          <w:color w:val="000000"/>
          <w:sz w:val="22"/>
          <w:szCs w:val="22"/>
        </w:rPr>
        <w:t>.</w:t>
      </w:r>
      <w:r w:rsidR="0041004E">
        <w:rPr>
          <w:iCs/>
          <w:color w:val="000000"/>
          <w:sz w:val="22"/>
          <w:szCs w:val="22"/>
        </w:rPr>
        <w:t xml:space="preserve"> .</w:t>
      </w:r>
      <w:r w:rsidRPr="000A5351">
        <w:rPr>
          <w:iCs/>
          <w:color w:val="000000"/>
          <w:sz w:val="22"/>
          <w:szCs w:val="22"/>
        </w:rPr>
        <w:t>’</w:t>
      </w:r>
      <w:r w:rsidRPr="000A5351">
        <w:rPr>
          <w:rFonts w:ascii="Verdana" w:hAnsi="Verdana"/>
          <w:i/>
          <w:iCs/>
          <w:color w:val="000000"/>
          <w:sz w:val="16"/>
          <w:szCs w:val="16"/>
        </w:rPr>
        <w:t> </w:t>
      </w:r>
      <w:r w:rsidRPr="000A5351">
        <w:rPr>
          <w:color w:val="000000"/>
          <w:lang w:val="en-ZA" w:eastAsia="en-ZA"/>
        </w:rPr>
        <w:t xml:space="preserve"> </w:t>
      </w:r>
      <w:bookmarkStart w:id="3" w:name="LPHit1"/>
      <w:bookmarkStart w:id="4" w:name="LPHit2"/>
      <w:bookmarkStart w:id="5" w:name="LPHit3"/>
      <w:bookmarkStart w:id="6" w:name="LPHit4"/>
      <w:bookmarkStart w:id="7" w:name="0-0-0-13381"/>
      <w:bookmarkEnd w:id="3"/>
      <w:bookmarkEnd w:id="4"/>
      <w:bookmarkEnd w:id="5"/>
      <w:bookmarkEnd w:id="6"/>
      <w:bookmarkEnd w:id="7"/>
    </w:p>
    <w:p w14:paraId="0B8BEA08" w14:textId="77777777" w:rsidR="0013523D" w:rsidRPr="000A5351" w:rsidRDefault="0013523D" w:rsidP="0013523D">
      <w:pPr>
        <w:spacing w:line="360" w:lineRule="auto"/>
        <w:rPr>
          <w:color w:val="000000"/>
          <w:shd w:val="clear" w:color="auto" w:fill="FFFFFF"/>
        </w:rPr>
      </w:pPr>
    </w:p>
    <w:p w14:paraId="5B34B54D" w14:textId="2473A131" w:rsidR="003C202B" w:rsidRPr="000A5351" w:rsidRDefault="0013523D" w:rsidP="0013523D">
      <w:pPr>
        <w:spacing w:line="360" w:lineRule="auto"/>
        <w:rPr>
          <w:color w:val="000000"/>
        </w:rPr>
      </w:pPr>
      <w:r w:rsidRPr="000A5351">
        <w:rPr>
          <w:color w:val="000000"/>
          <w:shd w:val="clear" w:color="auto" w:fill="FFFFFF"/>
        </w:rPr>
        <w:t>[</w:t>
      </w:r>
      <w:r w:rsidR="00340362" w:rsidRPr="000A5351">
        <w:rPr>
          <w:color w:val="000000"/>
          <w:shd w:val="clear" w:color="auto" w:fill="FFFFFF"/>
        </w:rPr>
        <w:t>12</w:t>
      </w:r>
      <w:r w:rsidRPr="000A5351">
        <w:rPr>
          <w:color w:val="000000"/>
          <w:shd w:val="clear" w:color="auto" w:fill="FFFFFF"/>
        </w:rPr>
        <w:t>]</w:t>
      </w:r>
      <w:r w:rsidRPr="000A5351">
        <w:rPr>
          <w:color w:val="000000"/>
          <w:shd w:val="clear" w:color="auto" w:fill="FFFFFF"/>
        </w:rPr>
        <w:tab/>
        <w:t xml:space="preserve">In matters of contract the parties are taken to have intended their legal rights and obligations to be governed by common law unless they have plainly and unambiguously indicated the contrary. </w:t>
      </w:r>
      <w:r w:rsidR="00161DBD" w:rsidRPr="000A5351">
        <w:rPr>
          <w:color w:val="000000"/>
          <w:shd w:val="clear" w:color="auto" w:fill="FFFFFF"/>
        </w:rPr>
        <w:t>A disclaimer clause is a contractual modification of the common</w:t>
      </w:r>
      <w:r w:rsidR="0041004E">
        <w:rPr>
          <w:color w:val="000000"/>
          <w:shd w:val="clear" w:color="auto" w:fill="FFFFFF"/>
        </w:rPr>
        <w:t> </w:t>
      </w:r>
      <w:r w:rsidR="00161DBD" w:rsidRPr="000A5351">
        <w:rPr>
          <w:color w:val="000000"/>
          <w:shd w:val="clear" w:color="auto" w:fill="FFFFFF"/>
        </w:rPr>
        <w:t>law rule as to risk which, in the absence of a special agreement, would apply to the contract between the parties.</w:t>
      </w:r>
      <w:r w:rsidR="00161DBD" w:rsidRPr="000A5351">
        <w:rPr>
          <w:rStyle w:val="FootnoteReference"/>
          <w:rFonts w:cs="Arial"/>
          <w:color w:val="000000"/>
          <w:shd w:val="clear" w:color="auto" w:fill="FFFFFF"/>
        </w:rPr>
        <w:footnoteReference w:id="4"/>
      </w:r>
      <w:r w:rsidR="00F9570F" w:rsidRPr="000A5351">
        <w:rPr>
          <w:color w:val="000000"/>
          <w:shd w:val="clear" w:color="auto" w:fill="FFFFFF"/>
        </w:rPr>
        <w:t xml:space="preserve"> </w:t>
      </w:r>
      <w:r w:rsidRPr="000A5351">
        <w:rPr>
          <w:color w:val="000000"/>
          <w:shd w:val="clear" w:color="auto" w:fill="FFFFFF"/>
        </w:rPr>
        <w:t>Where one of the parties wishes to be absolved either wholly or partially from an obligation or liability which would or could arise at common law under a contract of the kind which the parties intend to conclude, it is for that party to ensure that the extent to which he, she or it is to be absolved is plainly spelt out.</w:t>
      </w:r>
      <w:r w:rsidRPr="000A5351">
        <w:rPr>
          <w:rStyle w:val="FootnoteReference"/>
          <w:rFonts w:cs="Arial"/>
          <w:color w:val="000000"/>
          <w:shd w:val="clear" w:color="auto" w:fill="FFFFFF"/>
        </w:rPr>
        <w:footnoteReference w:id="5"/>
      </w:r>
      <w:r w:rsidRPr="000A5351">
        <w:rPr>
          <w:color w:val="000000"/>
        </w:rPr>
        <w:t xml:space="preserve"> </w:t>
      </w:r>
    </w:p>
    <w:p w14:paraId="68EC8A16" w14:textId="77777777" w:rsidR="003C202B" w:rsidRPr="000A5351" w:rsidRDefault="003C202B" w:rsidP="0013523D">
      <w:pPr>
        <w:spacing w:line="360" w:lineRule="auto"/>
        <w:rPr>
          <w:color w:val="000000"/>
        </w:rPr>
      </w:pPr>
    </w:p>
    <w:p w14:paraId="119DE8E9" w14:textId="5B209E9A" w:rsidR="0013523D" w:rsidRPr="000A5351" w:rsidRDefault="003C202B" w:rsidP="0013523D">
      <w:pPr>
        <w:spacing w:line="360" w:lineRule="auto"/>
        <w:rPr>
          <w:color w:val="000000"/>
        </w:rPr>
      </w:pPr>
      <w:r w:rsidRPr="000A5351">
        <w:rPr>
          <w:color w:val="000000"/>
        </w:rPr>
        <w:t>[1</w:t>
      </w:r>
      <w:r w:rsidR="00340362" w:rsidRPr="000A5351">
        <w:rPr>
          <w:color w:val="000000"/>
        </w:rPr>
        <w:t>3</w:t>
      </w:r>
      <w:r w:rsidRPr="000A5351">
        <w:rPr>
          <w:color w:val="000000"/>
        </w:rPr>
        <w:t>]</w:t>
      </w:r>
      <w:r w:rsidRPr="000A5351">
        <w:rPr>
          <w:color w:val="000000"/>
        </w:rPr>
        <w:tab/>
      </w:r>
      <w:r w:rsidR="0013523D" w:rsidRPr="000A5351">
        <w:rPr>
          <w:color w:val="000000"/>
        </w:rPr>
        <w:t xml:space="preserve">This Court restated the correct approach with regard to the interpretation of an exemption clause in </w:t>
      </w:r>
      <w:r w:rsidR="0013523D" w:rsidRPr="00294265">
        <w:rPr>
          <w:bCs/>
          <w:i/>
          <w:color w:val="000000"/>
        </w:rPr>
        <w:t>Durban’s W</w:t>
      </w:r>
      <w:r w:rsidR="0013523D" w:rsidRPr="000A5351">
        <w:rPr>
          <w:bCs/>
          <w:i/>
          <w:color w:val="000000"/>
        </w:rPr>
        <w:t>ater Wonderland</w:t>
      </w:r>
      <w:r w:rsidR="0013523D" w:rsidRPr="000A5351">
        <w:rPr>
          <w:rStyle w:val="FootnoteReference"/>
          <w:rFonts w:cs="Arial"/>
          <w:bCs/>
          <w:color w:val="000000"/>
        </w:rPr>
        <w:footnoteReference w:id="6"/>
      </w:r>
      <w:r w:rsidR="0013523D" w:rsidRPr="000A5351">
        <w:rPr>
          <w:bCs/>
          <w:color w:val="000000"/>
        </w:rPr>
        <w:t xml:space="preserve"> as follows: </w:t>
      </w:r>
    </w:p>
    <w:p w14:paraId="71FCE85E" w14:textId="36C9B9CD" w:rsidR="0013523D" w:rsidRPr="000A5351" w:rsidRDefault="0013523D" w:rsidP="0013523D">
      <w:pPr>
        <w:spacing w:line="360" w:lineRule="auto"/>
        <w:rPr>
          <w:color w:val="000000"/>
          <w:sz w:val="22"/>
          <w:szCs w:val="22"/>
        </w:rPr>
      </w:pPr>
      <w:r w:rsidRPr="000A5351">
        <w:rPr>
          <w:color w:val="000000"/>
          <w:sz w:val="22"/>
          <w:szCs w:val="22"/>
        </w:rPr>
        <w:t>‘If the language of a disclaimer or exemption clause is such that it exempts the </w:t>
      </w:r>
      <w:r w:rsidRPr="000A5351">
        <w:rPr>
          <w:i/>
          <w:iCs/>
          <w:color w:val="000000"/>
          <w:sz w:val="22"/>
          <w:szCs w:val="22"/>
        </w:rPr>
        <w:t>proferens</w:t>
      </w:r>
      <w:r w:rsidRPr="000A5351">
        <w:rPr>
          <w:color w:val="000000"/>
          <w:sz w:val="22"/>
          <w:szCs w:val="22"/>
        </w:rPr>
        <w:t> from liability in express and unambiguous terms, effect must be given to that meaning. If there is ambiguity, the language must be construed against the </w:t>
      </w:r>
      <w:r w:rsidRPr="000A5351">
        <w:rPr>
          <w:i/>
          <w:iCs/>
          <w:color w:val="000000"/>
          <w:sz w:val="22"/>
          <w:szCs w:val="22"/>
        </w:rPr>
        <w:t>proferens</w:t>
      </w:r>
      <w:r w:rsidRPr="000A5351">
        <w:rPr>
          <w:color w:val="000000"/>
          <w:sz w:val="22"/>
          <w:szCs w:val="22"/>
        </w:rPr>
        <w:t>. (See </w:t>
      </w:r>
      <w:r w:rsidRPr="000A5351">
        <w:rPr>
          <w:i/>
          <w:iCs/>
          <w:color w:val="000000"/>
          <w:sz w:val="22"/>
          <w:szCs w:val="22"/>
        </w:rPr>
        <w:t>Government of the Republic of South Africa v Fibre Spinners &amp; Weavers (Pty) Ltd</w:t>
      </w:r>
      <w:r w:rsidR="00A25A9D" w:rsidRPr="000A5351">
        <w:rPr>
          <w:i/>
          <w:iCs/>
          <w:color w:val="000000"/>
          <w:sz w:val="22"/>
          <w:szCs w:val="22"/>
        </w:rPr>
        <w:t xml:space="preserve"> </w:t>
      </w:r>
      <w:r w:rsidRPr="000A5351">
        <w:rPr>
          <w:sz w:val="22"/>
          <w:szCs w:val="22"/>
        </w:rPr>
        <w:t>1978 (2) SA 794 (A)</w:t>
      </w:r>
      <w:r w:rsidRPr="000A5351">
        <w:rPr>
          <w:color w:val="000000"/>
          <w:sz w:val="22"/>
          <w:szCs w:val="22"/>
        </w:rPr>
        <w:t xml:space="preserve"> at 804C.) But the alternative meaning upon which reliance is placed to demonstrate the ambiguity must be one to which the language is fairly susceptible; it must not be </w:t>
      </w:r>
      <w:r w:rsidR="00A25A9D" w:rsidRPr="000A5351">
        <w:rPr>
          <w:color w:val="000000"/>
          <w:sz w:val="22"/>
          <w:szCs w:val="22"/>
        </w:rPr>
        <w:t>“</w:t>
      </w:r>
      <w:r w:rsidRPr="000A5351">
        <w:rPr>
          <w:color w:val="000000"/>
          <w:sz w:val="22"/>
          <w:szCs w:val="22"/>
        </w:rPr>
        <w:t>fanciful</w:t>
      </w:r>
      <w:r w:rsidR="00A25A9D" w:rsidRPr="000A5351">
        <w:rPr>
          <w:color w:val="000000"/>
          <w:sz w:val="22"/>
          <w:szCs w:val="22"/>
        </w:rPr>
        <w:t>”</w:t>
      </w:r>
      <w:r w:rsidRPr="000A5351">
        <w:rPr>
          <w:color w:val="000000"/>
          <w:sz w:val="22"/>
          <w:szCs w:val="22"/>
        </w:rPr>
        <w:t xml:space="preserve"> or </w:t>
      </w:r>
      <w:r w:rsidR="00A25A9D" w:rsidRPr="000A5351">
        <w:rPr>
          <w:color w:val="000000"/>
          <w:sz w:val="22"/>
          <w:szCs w:val="22"/>
        </w:rPr>
        <w:t>“</w:t>
      </w:r>
      <w:r w:rsidRPr="000A5351">
        <w:rPr>
          <w:color w:val="000000"/>
          <w:sz w:val="22"/>
          <w:szCs w:val="22"/>
        </w:rPr>
        <w:t>remote</w:t>
      </w:r>
      <w:r w:rsidR="00A25A9D" w:rsidRPr="000A5351">
        <w:rPr>
          <w:color w:val="000000"/>
          <w:sz w:val="22"/>
          <w:szCs w:val="22"/>
        </w:rPr>
        <w:t>”</w:t>
      </w:r>
      <w:r w:rsidRPr="000A5351">
        <w:rPr>
          <w:color w:val="000000"/>
          <w:sz w:val="22"/>
          <w:szCs w:val="22"/>
        </w:rPr>
        <w:t xml:space="preserve"> (cf </w:t>
      </w:r>
      <w:r w:rsidRPr="000A5351">
        <w:rPr>
          <w:i/>
          <w:iCs/>
          <w:color w:val="000000"/>
          <w:sz w:val="22"/>
          <w:szCs w:val="22"/>
        </w:rPr>
        <w:t>Canada Steamship Lines Ltd v Regem</w:t>
      </w:r>
      <w:r w:rsidRPr="000A5351">
        <w:rPr>
          <w:color w:val="000000"/>
          <w:sz w:val="22"/>
          <w:szCs w:val="22"/>
        </w:rPr>
        <w:t> [1952] 1 All ER 305 (PC) at 310C-D).’</w:t>
      </w:r>
    </w:p>
    <w:p w14:paraId="0E6B410F" w14:textId="77777777" w:rsidR="00C819FA" w:rsidRPr="000A5351" w:rsidRDefault="00C819FA" w:rsidP="007F585E">
      <w:pPr>
        <w:spacing w:line="360" w:lineRule="auto"/>
      </w:pPr>
    </w:p>
    <w:p w14:paraId="729BE413" w14:textId="25F6BAEC" w:rsidR="007F585E" w:rsidRPr="000A5351" w:rsidRDefault="00877241" w:rsidP="007F585E">
      <w:pPr>
        <w:spacing w:line="360" w:lineRule="auto"/>
      </w:pPr>
      <w:r w:rsidRPr="000A5351">
        <w:rPr>
          <w:color w:val="000000"/>
        </w:rPr>
        <w:t>[1</w:t>
      </w:r>
      <w:r w:rsidR="003447CE" w:rsidRPr="000A5351">
        <w:rPr>
          <w:color w:val="000000"/>
        </w:rPr>
        <w:t>4</w:t>
      </w:r>
      <w:r w:rsidRPr="000A5351">
        <w:rPr>
          <w:color w:val="000000"/>
        </w:rPr>
        <w:t>]</w:t>
      </w:r>
      <w:r w:rsidRPr="000A5351">
        <w:rPr>
          <w:color w:val="000000"/>
        </w:rPr>
        <w:tab/>
      </w:r>
      <w:r w:rsidR="00220254" w:rsidRPr="000A5351">
        <w:rPr>
          <w:color w:val="000000"/>
        </w:rPr>
        <w:t xml:space="preserve">Fujitsu </w:t>
      </w:r>
      <w:r w:rsidR="00445F80" w:rsidRPr="000A5351">
        <w:rPr>
          <w:color w:val="000000"/>
        </w:rPr>
        <w:t xml:space="preserve">submitted </w:t>
      </w:r>
      <w:r w:rsidR="00220254" w:rsidRPr="000A5351">
        <w:rPr>
          <w:color w:val="000000"/>
        </w:rPr>
        <w:t xml:space="preserve">that Mr Lerama was not executing the agreement when he </w:t>
      </w:r>
      <w:r w:rsidR="0046038C">
        <w:rPr>
          <w:color w:val="000000"/>
        </w:rPr>
        <w:t>up</w:t>
      </w:r>
      <w:r w:rsidR="00220254" w:rsidRPr="000A5351">
        <w:rPr>
          <w:color w:val="000000"/>
        </w:rPr>
        <w:t>lifted the goods</w:t>
      </w:r>
      <w:r w:rsidR="00D373D8" w:rsidRPr="000A5351">
        <w:rPr>
          <w:color w:val="000000"/>
        </w:rPr>
        <w:t xml:space="preserve">. Thus, it </w:t>
      </w:r>
      <w:r w:rsidR="00D63084" w:rsidRPr="000A5351">
        <w:rPr>
          <w:color w:val="000000"/>
        </w:rPr>
        <w:t>was contended for Fujitsu</w:t>
      </w:r>
      <w:r w:rsidR="00D373D8" w:rsidRPr="000A5351">
        <w:rPr>
          <w:color w:val="000000"/>
        </w:rPr>
        <w:t xml:space="preserve">, </w:t>
      </w:r>
      <w:r w:rsidR="00445F80" w:rsidRPr="000A5351">
        <w:rPr>
          <w:color w:val="000000"/>
        </w:rPr>
        <w:t>it was a bit far-fetched</w:t>
      </w:r>
      <w:r w:rsidR="00220254" w:rsidRPr="000A5351">
        <w:rPr>
          <w:color w:val="000000"/>
        </w:rPr>
        <w:t xml:space="preserve"> that the goods were being ‘handled’ or ‘dealt with’ as set out in the definition of </w:t>
      </w:r>
      <w:r w:rsidR="00445F80" w:rsidRPr="000A5351">
        <w:rPr>
          <w:color w:val="000000"/>
        </w:rPr>
        <w:t>‘</w:t>
      </w:r>
      <w:r w:rsidR="00220254" w:rsidRPr="000A5351">
        <w:rPr>
          <w:color w:val="000000"/>
        </w:rPr>
        <w:t>goods</w:t>
      </w:r>
      <w:r w:rsidR="00445F80" w:rsidRPr="000A5351">
        <w:rPr>
          <w:color w:val="000000"/>
        </w:rPr>
        <w:t>’ in clause 1.3.3</w:t>
      </w:r>
      <w:r w:rsidR="00D373D8" w:rsidRPr="000A5351">
        <w:rPr>
          <w:color w:val="000000"/>
        </w:rPr>
        <w:t xml:space="preserve"> of the STC.</w:t>
      </w:r>
      <w:r w:rsidR="00220254" w:rsidRPr="000A5351">
        <w:rPr>
          <w:color w:val="000000"/>
        </w:rPr>
        <w:t xml:space="preserve"> </w:t>
      </w:r>
      <w:r w:rsidR="00380FDE" w:rsidRPr="000A5351">
        <w:t>In terms of the Concise Oxford English Dictionary</w:t>
      </w:r>
      <w:r w:rsidR="003E0778" w:rsidRPr="000A5351">
        <w:t>,</w:t>
      </w:r>
      <w:r w:rsidR="00E010ED" w:rsidRPr="000A5351">
        <w:rPr>
          <w:rStyle w:val="FootnoteReference"/>
        </w:rPr>
        <w:footnoteReference w:id="7"/>
      </w:r>
      <w:r w:rsidR="00380FDE" w:rsidRPr="000A5351">
        <w:t xml:space="preserve"> ‘deal’ is defined as including taking part in </w:t>
      </w:r>
      <w:r w:rsidR="00135598">
        <w:t>‘</w:t>
      </w:r>
      <w:r w:rsidR="00380FDE" w:rsidRPr="000A5351">
        <w:t>commercial trading of a commodity</w:t>
      </w:r>
      <w:r w:rsidR="00135598">
        <w:t>’</w:t>
      </w:r>
      <w:r w:rsidR="00380FDE" w:rsidRPr="000A5351">
        <w:t xml:space="preserve">; </w:t>
      </w:r>
      <w:r w:rsidR="00EF4AB9" w:rsidRPr="000A5351">
        <w:t xml:space="preserve">and to </w:t>
      </w:r>
      <w:r w:rsidR="00380FDE" w:rsidRPr="000A5351">
        <w:t xml:space="preserve">‘deal with’ </w:t>
      </w:r>
      <w:r w:rsidR="00EF4AB9" w:rsidRPr="000A5351">
        <w:t>means to ‘</w:t>
      </w:r>
      <w:r w:rsidR="00380FDE" w:rsidRPr="000A5351">
        <w:t>have relations with in a commercial context</w:t>
      </w:r>
      <w:r w:rsidR="00EF4AB9" w:rsidRPr="000A5351">
        <w:t>’</w:t>
      </w:r>
      <w:r w:rsidR="00380FDE" w:rsidRPr="000A5351">
        <w:t xml:space="preserve"> </w:t>
      </w:r>
      <w:r w:rsidR="00F363E1" w:rsidRPr="000A5351">
        <w:t>and more importantly</w:t>
      </w:r>
      <w:r w:rsidR="00EF4AB9" w:rsidRPr="000A5351">
        <w:t xml:space="preserve"> to</w:t>
      </w:r>
      <w:r w:rsidR="00F363E1" w:rsidRPr="000A5351">
        <w:t xml:space="preserve"> ‘</w:t>
      </w:r>
      <w:r w:rsidR="00380FDE" w:rsidRPr="000A5351">
        <w:t>take measures concerning</w:t>
      </w:r>
      <w:r w:rsidR="00F363E1" w:rsidRPr="000A5351">
        <w:t xml:space="preserve">’. </w:t>
      </w:r>
      <w:r w:rsidR="00EF4AB9" w:rsidRPr="000A5351">
        <w:t xml:space="preserve">To ‘handle’ is defined, </w:t>
      </w:r>
      <w:r w:rsidR="00EF4AB9" w:rsidRPr="000A5351">
        <w:rPr>
          <w:i/>
        </w:rPr>
        <w:t>inter alia</w:t>
      </w:r>
      <w:r w:rsidR="00EF4AB9" w:rsidRPr="000A5351">
        <w:t>, as to ‘manage o</w:t>
      </w:r>
      <w:r w:rsidR="00F363E1" w:rsidRPr="000A5351">
        <w:t>r cope with (a situation or problem</w:t>
      </w:r>
      <w:r w:rsidR="00F4328E" w:rsidRPr="000A5351">
        <w:t>)</w:t>
      </w:r>
      <w:r w:rsidR="00135598">
        <w:t>’</w:t>
      </w:r>
      <w:r w:rsidR="00F363E1" w:rsidRPr="000A5351">
        <w:t xml:space="preserve">; </w:t>
      </w:r>
      <w:r w:rsidR="00C756FB" w:rsidRPr="000A5351">
        <w:t xml:space="preserve">or </w:t>
      </w:r>
      <w:r w:rsidR="00EF4AB9" w:rsidRPr="000A5351">
        <w:t>to</w:t>
      </w:r>
      <w:r w:rsidR="00F4328E" w:rsidRPr="000A5351">
        <w:t xml:space="preserve"> </w:t>
      </w:r>
      <w:r w:rsidR="00135598">
        <w:t>‘</w:t>
      </w:r>
      <w:r w:rsidR="00F4328E" w:rsidRPr="000A5351">
        <w:t>deal with</w:t>
      </w:r>
      <w:r w:rsidR="00EF4AB9" w:rsidRPr="000A5351">
        <w:t xml:space="preserve"> </w:t>
      </w:r>
      <w:r w:rsidR="002825D3">
        <w:t>–</w:t>
      </w:r>
      <w:r w:rsidR="00D52328" w:rsidRPr="000A5351">
        <w:t xml:space="preserve"> </w:t>
      </w:r>
      <w:r w:rsidR="00F363E1" w:rsidRPr="000A5351">
        <w:t>receive or deal in</w:t>
      </w:r>
      <w:r w:rsidR="00135598">
        <w:t>’</w:t>
      </w:r>
      <w:r w:rsidR="00F363E1" w:rsidRPr="000A5351">
        <w:t>.</w:t>
      </w:r>
      <w:r w:rsidR="00BE20B0" w:rsidRPr="000A5351">
        <w:t xml:space="preserve"> </w:t>
      </w:r>
      <w:r w:rsidR="00604524" w:rsidRPr="000A5351">
        <w:t>To my mind, a</w:t>
      </w:r>
      <w:r w:rsidR="00C940B7" w:rsidRPr="000A5351">
        <w:rPr>
          <w:color w:val="000000"/>
        </w:rPr>
        <w:t xml:space="preserve">bsent </w:t>
      </w:r>
      <w:r w:rsidR="00870F89" w:rsidRPr="000A5351">
        <w:rPr>
          <w:color w:val="000000"/>
        </w:rPr>
        <w:t xml:space="preserve">any </w:t>
      </w:r>
      <w:r w:rsidR="00C940B7" w:rsidRPr="000A5351">
        <w:rPr>
          <w:color w:val="000000"/>
        </w:rPr>
        <w:t xml:space="preserve">ambiguity, the </w:t>
      </w:r>
      <w:r w:rsidR="005D4938" w:rsidRPr="000A5351">
        <w:rPr>
          <w:color w:val="000000"/>
        </w:rPr>
        <w:t xml:space="preserve">ordinary </w:t>
      </w:r>
      <w:r w:rsidR="00C940B7" w:rsidRPr="000A5351">
        <w:rPr>
          <w:color w:val="000000"/>
        </w:rPr>
        <w:t>meaning conveyed by the words must be given effect to.</w:t>
      </w:r>
      <w:r w:rsidR="00C940B7" w:rsidRPr="000A5351">
        <w:t xml:space="preserve"> </w:t>
      </w:r>
      <w:r w:rsidR="00445F80" w:rsidRPr="000A5351">
        <w:t xml:space="preserve">The argument that Schenker did not deal with or handle any goods for Fujitsu is plainly unsound. </w:t>
      </w:r>
      <w:r w:rsidR="00C940B7" w:rsidRPr="000A5351">
        <w:t>The evidence established that S</w:t>
      </w:r>
      <w:r w:rsidR="00EF4AB9" w:rsidRPr="000A5351">
        <w:t>c</w:t>
      </w:r>
      <w:r w:rsidR="00C940B7" w:rsidRPr="000A5351">
        <w:t xml:space="preserve">henker </w:t>
      </w:r>
      <w:r w:rsidR="00EF4AB9" w:rsidRPr="000A5351">
        <w:t xml:space="preserve">was informed of the arrival of </w:t>
      </w:r>
      <w:r w:rsidR="00F2318D" w:rsidRPr="000A5351">
        <w:t xml:space="preserve">Fujitsu’s goods </w:t>
      </w:r>
      <w:r w:rsidR="00EF4AB9" w:rsidRPr="000A5351">
        <w:t xml:space="preserve">at </w:t>
      </w:r>
      <w:r w:rsidR="00F2318D" w:rsidRPr="000A5351">
        <w:t>OR</w:t>
      </w:r>
      <w:r w:rsidR="00445F80" w:rsidRPr="000A5351">
        <w:t>TIA</w:t>
      </w:r>
      <w:r w:rsidR="00F2318D" w:rsidRPr="000A5351">
        <w:t xml:space="preserve"> and </w:t>
      </w:r>
      <w:r w:rsidR="00EF4AB9" w:rsidRPr="000A5351">
        <w:t>SAA cargo warehouse</w:t>
      </w:r>
      <w:r w:rsidR="00DB172E" w:rsidRPr="000A5351">
        <w:t>; t</w:t>
      </w:r>
      <w:r w:rsidR="00FF7525" w:rsidRPr="000A5351">
        <w:t xml:space="preserve">he goods were checked by </w:t>
      </w:r>
      <w:r w:rsidR="00365327" w:rsidRPr="000A5351">
        <w:t xml:space="preserve">FSI </w:t>
      </w:r>
      <w:r w:rsidR="00FF7525" w:rsidRPr="000A5351">
        <w:t>on the instructions of S</w:t>
      </w:r>
      <w:r w:rsidR="00B60306" w:rsidRPr="000A5351">
        <w:t>c</w:t>
      </w:r>
      <w:r w:rsidR="00FF7525" w:rsidRPr="000A5351">
        <w:t>henker</w:t>
      </w:r>
      <w:r w:rsidR="00DB172E" w:rsidRPr="000A5351">
        <w:t xml:space="preserve">; </w:t>
      </w:r>
      <w:r w:rsidR="00DE6DBC" w:rsidRPr="000A5351">
        <w:t xml:space="preserve">Mr Lerama had been issued with the IVS security access card; he </w:t>
      </w:r>
      <w:r w:rsidR="00C67C1F">
        <w:t>custom</w:t>
      </w:r>
      <w:r w:rsidR="00C67C1F">
        <w:noBreakHyphen/>
      </w:r>
      <w:r w:rsidR="00DE6DBC" w:rsidRPr="000A5351">
        <w:t>cleared the goods using documents prepared by Schenker</w:t>
      </w:r>
      <w:r w:rsidR="00282DFA" w:rsidRPr="000A5351">
        <w:t xml:space="preserve">; and the goods were handed over to </w:t>
      </w:r>
      <w:r w:rsidR="00375423" w:rsidRPr="000A5351">
        <w:t>him</w:t>
      </w:r>
      <w:r w:rsidR="00282DFA" w:rsidRPr="000A5351">
        <w:t xml:space="preserve"> on the basis of these documents.</w:t>
      </w:r>
      <w:r w:rsidR="00F2318D" w:rsidRPr="000A5351">
        <w:t xml:space="preserve"> </w:t>
      </w:r>
      <w:r w:rsidR="000E118A" w:rsidRPr="000A5351">
        <w:t xml:space="preserve">In light of this, </w:t>
      </w:r>
      <w:r w:rsidR="0082465F" w:rsidRPr="000A5351">
        <w:t>t</w:t>
      </w:r>
      <w:r w:rsidR="00F2318D" w:rsidRPr="000A5351">
        <w:t xml:space="preserve">here can be little question that </w:t>
      </w:r>
      <w:r w:rsidR="00C940B7" w:rsidRPr="000A5351">
        <w:t xml:space="preserve">the goods were handled, transported, or dealt with by or on behalf </w:t>
      </w:r>
      <w:r w:rsidR="006729C2" w:rsidRPr="000A5351">
        <w:t xml:space="preserve">of </w:t>
      </w:r>
      <w:r w:rsidR="00C940B7" w:rsidRPr="000A5351">
        <w:t>Schenker</w:t>
      </w:r>
      <w:r w:rsidR="006777C4" w:rsidRPr="000A5351">
        <w:t xml:space="preserve"> as contemplated in </w:t>
      </w:r>
      <w:r w:rsidR="003447CE" w:rsidRPr="000A5351">
        <w:t>clause 1.3.3 of the STC</w:t>
      </w:r>
      <w:r w:rsidR="00F2318D" w:rsidRPr="000A5351">
        <w:t xml:space="preserve">. </w:t>
      </w:r>
    </w:p>
    <w:p w14:paraId="61453442" w14:textId="77777777" w:rsidR="00614848" w:rsidRPr="000A5351" w:rsidRDefault="00614848" w:rsidP="00603968">
      <w:pPr>
        <w:spacing w:line="360" w:lineRule="auto"/>
      </w:pPr>
    </w:p>
    <w:p w14:paraId="5203C8B4" w14:textId="45CE0B78" w:rsidR="00F13117" w:rsidRPr="000A5351" w:rsidRDefault="008F1600" w:rsidP="00FF6061">
      <w:pPr>
        <w:spacing w:line="360" w:lineRule="auto"/>
        <w:rPr>
          <w:color w:val="000000"/>
        </w:rPr>
      </w:pPr>
      <w:r w:rsidRPr="000A5351">
        <w:lastRenderedPageBreak/>
        <w:t>[1</w:t>
      </w:r>
      <w:r w:rsidR="00DD7374" w:rsidRPr="000A5351">
        <w:t>5</w:t>
      </w:r>
      <w:r w:rsidRPr="000A5351">
        <w:t>]</w:t>
      </w:r>
      <w:r w:rsidRPr="000A5351">
        <w:tab/>
      </w:r>
      <w:r w:rsidR="00765051" w:rsidRPr="000A5351">
        <w:t>In developing his argument further</w:t>
      </w:r>
      <w:r w:rsidR="00DB0825" w:rsidRPr="000A5351">
        <w:t>,</w:t>
      </w:r>
      <w:r w:rsidR="00765051" w:rsidRPr="000A5351">
        <w:rPr>
          <w:color w:val="000000"/>
        </w:rPr>
        <w:t xml:space="preserve"> Fujitsu’s counsel submitted </w:t>
      </w:r>
      <w:r w:rsidR="00DF0025" w:rsidRPr="000A5351">
        <w:t xml:space="preserve">that </w:t>
      </w:r>
      <w:r w:rsidR="0029414C" w:rsidRPr="000A5351">
        <w:t xml:space="preserve">in its language clause 17 </w:t>
      </w:r>
      <w:r w:rsidR="00DF0025" w:rsidRPr="000A5351">
        <w:rPr>
          <w:color w:val="000000"/>
        </w:rPr>
        <w:t xml:space="preserve">cannot be construed so as to include within </w:t>
      </w:r>
      <w:r w:rsidR="000057A7" w:rsidRPr="000A5351">
        <w:rPr>
          <w:color w:val="000000"/>
        </w:rPr>
        <w:t>its a</w:t>
      </w:r>
      <w:r w:rsidR="00DF0025" w:rsidRPr="000A5351">
        <w:rPr>
          <w:color w:val="000000"/>
        </w:rPr>
        <w:t xml:space="preserve">mbit </w:t>
      </w:r>
      <w:r w:rsidR="0029414C" w:rsidRPr="000A5351">
        <w:rPr>
          <w:color w:val="000000"/>
        </w:rPr>
        <w:t xml:space="preserve">intentional acts </w:t>
      </w:r>
      <w:r w:rsidR="001F01FF" w:rsidRPr="000A5351">
        <w:rPr>
          <w:color w:val="000000"/>
        </w:rPr>
        <w:t>by</w:t>
      </w:r>
      <w:r w:rsidR="0029414C" w:rsidRPr="000A5351">
        <w:rPr>
          <w:color w:val="000000"/>
        </w:rPr>
        <w:t xml:space="preserve"> </w:t>
      </w:r>
      <w:r w:rsidR="00E82EE6" w:rsidRPr="000A5351">
        <w:rPr>
          <w:color w:val="000000"/>
        </w:rPr>
        <w:t xml:space="preserve">the </w:t>
      </w:r>
      <w:r w:rsidR="0029414C" w:rsidRPr="000A5351">
        <w:rPr>
          <w:color w:val="000000"/>
        </w:rPr>
        <w:t>employees of Schenker</w:t>
      </w:r>
      <w:r w:rsidR="000057A7" w:rsidRPr="000A5351">
        <w:rPr>
          <w:color w:val="000000"/>
        </w:rPr>
        <w:t>.</w:t>
      </w:r>
      <w:r w:rsidR="0018600E" w:rsidRPr="000A5351">
        <w:rPr>
          <w:color w:val="000000"/>
        </w:rPr>
        <w:t xml:space="preserve"> </w:t>
      </w:r>
      <w:r w:rsidR="00021005" w:rsidRPr="000A5351">
        <w:rPr>
          <w:color w:val="000000"/>
        </w:rPr>
        <w:t xml:space="preserve">Apparent from the clear language </w:t>
      </w:r>
      <w:r w:rsidR="00FF6061" w:rsidRPr="000A5351">
        <w:rPr>
          <w:color w:val="000000"/>
        </w:rPr>
        <w:t>of clause 17 a</w:t>
      </w:r>
      <w:r w:rsidR="00FF6061" w:rsidRPr="000A5351">
        <w:t xml:space="preserve"> claim against Schenker in respect of valuable goods, </w:t>
      </w:r>
      <w:r w:rsidR="00ED6DF9" w:rsidRPr="000A5351">
        <w:t>as in this case</w:t>
      </w:r>
      <w:r w:rsidR="00FF6061" w:rsidRPr="000A5351">
        <w:t xml:space="preserve">, is governed by the provisions of clauses 40 and 41. </w:t>
      </w:r>
      <w:r w:rsidR="009272D8" w:rsidRPr="000A5351">
        <w:t xml:space="preserve">Sub-clause </w:t>
      </w:r>
      <w:r w:rsidR="001E2802" w:rsidRPr="000A5351">
        <w:rPr>
          <w:color w:val="000000"/>
        </w:rPr>
        <w:t xml:space="preserve">40.1 expressly excludes Schenker’s liability </w:t>
      </w:r>
      <w:r w:rsidR="001E2802" w:rsidRPr="008A0CA9">
        <w:rPr>
          <w:color w:val="000000"/>
        </w:rPr>
        <w:t>‘</w:t>
      </w:r>
      <w:r w:rsidR="00505658" w:rsidRPr="00815ABD">
        <w:rPr>
          <w:color w:val="000000"/>
        </w:rPr>
        <w:t xml:space="preserve">. . . </w:t>
      </w:r>
      <w:r w:rsidR="001E2802" w:rsidRPr="008A0CA9">
        <w:t>for</w:t>
      </w:r>
      <w:r w:rsidR="001E2802" w:rsidRPr="000A5351">
        <w:t xml:space="preserve"> any claim of whatsoever nature (whether in contract or in delict) and whether for damages or otherwise, howsoever arising</w:t>
      </w:r>
      <w:r w:rsidR="0010274E">
        <w:t>. . .</w:t>
      </w:r>
      <w:r w:rsidR="001E2802" w:rsidRPr="000A5351">
        <w:t>’</w:t>
      </w:r>
      <w:r w:rsidR="00455422" w:rsidRPr="000A5351">
        <w:t>.</w:t>
      </w:r>
      <w:r w:rsidR="009272D8" w:rsidRPr="000A5351">
        <w:t xml:space="preserve"> </w:t>
      </w:r>
      <w:r w:rsidR="001A4AF9" w:rsidRPr="000A5351">
        <w:t>A delict can arise through intentional or negligent acts.</w:t>
      </w:r>
      <w:r w:rsidR="002D58C7" w:rsidRPr="000A5351">
        <w:t xml:space="preserve"> </w:t>
      </w:r>
      <w:r w:rsidR="007E7B78" w:rsidRPr="000A5351">
        <w:t>Read contextually and having regard to the agreement as a whole</w:t>
      </w:r>
      <w:r w:rsidR="00455422" w:rsidRPr="000A5351">
        <w:t>,</w:t>
      </w:r>
      <w:r w:rsidR="007E7B78" w:rsidRPr="000A5351">
        <w:t xml:space="preserve"> </w:t>
      </w:r>
      <w:r w:rsidR="00A23A0C" w:rsidRPr="000A5351">
        <w:t>t</w:t>
      </w:r>
      <w:r w:rsidR="0022024A" w:rsidRPr="000A5351">
        <w:t xml:space="preserve">he </w:t>
      </w:r>
      <w:r w:rsidR="00062585" w:rsidRPr="000A5351">
        <w:rPr>
          <w:color w:val="000000"/>
        </w:rPr>
        <w:t xml:space="preserve">phrases </w:t>
      </w:r>
      <w:r w:rsidR="00E72AB6" w:rsidRPr="000A5351">
        <w:rPr>
          <w:color w:val="000000"/>
        </w:rPr>
        <w:t>‘of whatsoever nature’ and ‘howsoever arising’ should be given their ordinary literal meaning and are</w:t>
      </w:r>
      <w:r w:rsidR="0022024A" w:rsidRPr="000A5351">
        <w:rPr>
          <w:color w:val="000000"/>
        </w:rPr>
        <w:t>, in my view,</w:t>
      </w:r>
      <w:r w:rsidR="00E72AB6" w:rsidRPr="000A5351">
        <w:rPr>
          <w:color w:val="000000"/>
        </w:rPr>
        <w:t> </w:t>
      </w:r>
      <w:r w:rsidR="00094C4F" w:rsidRPr="000A5351">
        <w:rPr>
          <w:color w:val="000000"/>
        </w:rPr>
        <w:t xml:space="preserve">sufficiently </w:t>
      </w:r>
      <w:r w:rsidR="00062585" w:rsidRPr="000A5351">
        <w:rPr>
          <w:color w:val="000000"/>
        </w:rPr>
        <w:t xml:space="preserve">wide </w:t>
      </w:r>
      <w:r w:rsidR="00B42861" w:rsidRPr="000A5351">
        <w:rPr>
          <w:color w:val="000000"/>
        </w:rPr>
        <w:t xml:space="preserve">in their ordinary import </w:t>
      </w:r>
      <w:r w:rsidR="00062585" w:rsidRPr="000A5351">
        <w:rPr>
          <w:color w:val="000000"/>
        </w:rPr>
        <w:t xml:space="preserve">to </w:t>
      </w:r>
      <w:r w:rsidR="00B42861" w:rsidRPr="000A5351">
        <w:rPr>
          <w:color w:val="000000"/>
        </w:rPr>
        <w:t>draw into the protective scope of the exemption the deliberate and intentional acts of the employees of Schenker</w:t>
      </w:r>
      <w:r w:rsidR="0033227C" w:rsidRPr="000A5351">
        <w:rPr>
          <w:color w:val="000000"/>
        </w:rPr>
        <w:t xml:space="preserve">. </w:t>
      </w:r>
      <w:r w:rsidR="00B24C8A" w:rsidRPr="000A5351">
        <w:rPr>
          <w:color w:val="000000"/>
        </w:rPr>
        <w:t>The exclusion of liability under clause 40.1 includes loss, damage or expense arising from or in any way connected with the</w:t>
      </w:r>
      <w:r w:rsidR="000433ED">
        <w:rPr>
          <w:color w:val="000000"/>
        </w:rPr>
        <w:t xml:space="preserve"> non</w:t>
      </w:r>
      <w:r w:rsidR="000433ED">
        <w:rPr>
          <w:color w:val="000000"/>
        </w:rPr>
        <w:noBreakHyphen/>
      </w:r>
      <w:r w:rsidR="00B24C8A" w:rsidRPr="000A5351">
        <w:rPr>
          <w:color w:val="000000"/>
        </w:rPr>
        <w:t>delivery or mis-delivery of any goods.</w:t>
      </w:r>
      <w:r w:rsidR="00B24C8A" w:rsidRPr="000A5351">
        <w:rPr>
          <w:rStyle w:val="FootnoteReference"/>
          <w:rFonts w:cs="Arial"/>
          <w:color w:val="000000"/>
        </w:rPr>
        <w:footnoteReference w:id="8"/>
      </w:r>
      <w:r w:rsidR="00B24C8A" w:rsidRPr="000A5351">
        <w:rPr>
          <w:color w:val="000000"/>
        </w:rPr>
        <w:t xml:space="preserve"> </w:t>
      </w:r>
    </w:p>
    <w:p w14:paraId="218911A9" w14:textId="77777777" w:rsidR="00721398" w:rsidRPr="000A5351" w:rsidRDefault="00721398" w:rsidP="00721398">
      <w:pPr>
        <w:spacing w:line="360" w:lineRule="auto"/>
      </w:pPr>
    </w:p>
    <w:p w14:paraId="07FB37AB" w14:textId="6CF1FB89" w:rsidR="00721398" w:rsidRPr="000A5351" w:rsidRDefault="00721398" w:rsidP="00721398">
      <w:pPr>
        <w:spacing w:line="360" w:lineRule="auto"/>
        <w:rPr>
          <w:color w:val="000000"/>
        </w:rPr>
      </w:pPr>
      <w:r w:rsidRPr="000A5351">
        <w:t>[1</w:t>
      </w:r>
      <w:r w:rsidR="00F1153D">
        <w:t>6</w:t>
      </w:r>
      <w:r w:rsidRPr="000A5351">
        <w:t>]</w:t>
      </w:r>
      <w:r w:rsidRPr="000A5351">
        <w:tab/>
        <w:t xml:space="preserve">It is not in dispute that the goods were ‘valuables’ as stipulated in clause 17 of the STC. There is no evidence that Fujitsu made prior </w:t>
      </w:r>
      <w:r w:rsidR="00584723" w:rsidRPr="000A5351">
        <w:t>‘</w:t>
      </w:r>
      <w:r w:rsidRPr="000A5351">
        <w:t>special arrangements</w:t>
      </w:r>
      <w:r w:rsidR="00584723" w:rsidRPr="000A5351">
        <w:t>’</w:t>
      </w:r>
      <w:r w:rsidRPr="000A5351">
        <w:t xml:space="preserve"> in respect of the goods as envisaged in the clause. The </w:t>
      </w:r>
      <w:r w:rsidR="00584723" w:rsidRPr="000A5351">
        <w:t xml:space="preserve">commercial rationale </w:t>
      </w:r>
      <w:r w:rsidRPr="000A5351">
        <w:t>behind the inclusion of the clause is manifest. Prior written notice would be necessary in respect of valuable goods to enable Schenker to take steps to mitigate the risk of theft or any potential claim.</w:t>
      </w:r>
      <w:r w:rsidR="00584723" w:rsidRPr="000A5351">
        <w:t xml:space="preserve"> </w:t>
      </w:r>
      <w:r w:rsidRPr="000A5351">
        <w:rPr>
          <w:color w:val="000000"/>
        </w:rPr>
        <w:t>Where the language of the exemption clause exempts the </w:t>
      </w:r>
      <w:r w:rsidRPr="0010274E">
        <w:rPr>
          <w:i/>
          <w:iCs/>
          <w:color w:val="000000"/>
        </w:rPr>
        <w:t>proferens</w:t>
      </w:r>
      <w:r w:rsidRPr="000A5351">
        <w:rPr>
          <w:color w:val="000000"/>
        </w:rPr>
        <w:t xml:space="preserve"> from liability in express and unambiguous terms, as here, effect must be given to it. To hold otherwise would render the clauses nugatory and not in keeping with </w:t>
      </w:r>
      <w:r w:rsidRPr="000A5351">
        <w:rPr>
          <w:color w:val="000000"/>
          <w:lang w:val="en-ZA" w:eastAsia="en-ZA"/>
        </w:rPr>
        <w:t>sound commercial principles and good business sense.</w:t>
      </w:r>
    </w:p>
    <w:p w14:paraId="52443273" w14:textId="77777777" w:rsidR="006A6BE3" w:rsidRPr="000A5351" w:rsidRDefault="006A6BE3" w:rsidP="006A6BE3">
      <w:pPr>
        <w:spacing w:line="360" w:lineRule="auto"/>
      </w:pPr>
    </w:p>
    <w:p w14:paraId="2D6A11AB" w14:textId="47D26EA4" w:rsidR="00657C33" w:rsidRPr="000A5351" w:rsidRDefault="008C4713" w:rsidP="00C063A3">
      <w:pPr>
        <w:spacing w:line="360" w:lineRule="auto"/>
      </w:pPr>
      <w:r w:rsidRPr="000A5351">
        <w:t>[</w:t>
      </w:r>
      <w:r w:rsidR="00384C5F" w:rsidRPr="000A5351">
        <w:t>1</w:t>
      </w:r>
      <w:r w:rsidR="00F1153D">
        <w:t>7</w:t>
      </w:r>
      <w:r w:rsidRPr="000A5351">
        <w:t>]</w:t>
      </w:r>
      <w:r w:rsidRPr="000A5351">
        <w:tab/>
      </w:r>
      <w:r w:rsidR="00510E66" w:rsidRPr="000A5351">
        <w:t xml:space="preserve">Much attention was devoted to the </w:t>
      </w:r>
      <w:r w:rsidR="003616A8" w:rsidRPr="000A5351">
        <w:t xml:space="preserve">decision </w:t>
      </w:r>
      <w:r w:rsidR="00510E66" w:rsidRPr="000A5351">
        <w:t xml:space="preserve">of the full court in </w:t>
      </w:r>
      <w:r w:rsidR="00BF7852" w:rsidRPr="000A5351">
        <w:rPr>
          <w:bCs/>
          <w:i/>
        </w:rPr>
        <w:t>Goodman Brothers (Pty) Ltd v Rennies Group Ltd</w:t>
      </w:r>
      <w:r w:rsidR="004D060F">
        <w:rPr>
          <w:bCs/>
          <w:i/>
        </w:rPr>
        <w:t xml:space="preserve"> (</w:t>
      </w:r>
      <w:r w:rsidR="004D060F" w:rsidRPr="004D060F">
        <w:rPr>
          <w:bCs/>
          <w:i/>
        </w:rPr>
        <w:t>Goodman Brothers</w:t>
      </w:r>
      <w:r w:rsidR="004D060F">
        <w:rPr>
          <w:bCs/>
          <w:i/>
        </w:rPr>
        <w:t>)</w:t>
      </w:r>
      <w:r w:rsidR="00510E66" w:rsidRPr="000A5351">
        <w:rPr>
          <w:i/>
        </w:rPr>
        <w:t>.</w:t>
      </w:r>
      <w:r w:rsidR="00510E66" w:rsidRPr="000A5351">
        <w:rPr>
          <w:rStyle w:val="FootnoteReference"/>
        </w:rPr>
        <w:footnoteReference w:id="9"/>
      </w:r>
      <w:r w:rsidR="00510E66" w:rsidRPr="000A5351">
        <w:rPr>
          <w:i/>
        </w:rPr>
        <w:t xml:space="preserve"> </w:t>
      </w:r>
      <w:r w:rsidR="00510E66" w:rsidRPr="000A5351">
        <w:t>It was submitted for Schenker, on one hand,</w:t>
      </w:r>
      <w:r w:rsidR="0091180C">
        <w:t xml:space="preserve"> </w:t>
      </w:r>
      <w:r w:rsidR="00510E66" w:rsidRPr="000A5351">
        <w:t xml:space="preserve">that the issues and the principles </w:t>
      </w:r>
      <w:r w:rsidR="00267C4D" w:rsidRPr="000A5351">
        <w:t xml:space="preserve">there </w:t>
      </w:r>
      <w:r w:rsidR="00191F37" w:rsidRPr="000A5351">
        <w:t>enunciated were on all fours with the present</w:t>
      </w:r>
      <w:r w:rsidR="00854DBF" w:rsidRPr="000A5351">
        <w:t xml:space="preserve"> matter</w:t>
      </w:r>
      <w:r w:rsidR="00191F37" w:rsidRPr="000A5351">
        <w:t xml:space="preserve">. </w:t>
      </w:r>
      <w:r w:rsidR="008700BC" w:rsidRPr="000A5351">
        <w:t>On</w:t>
      </w:r>
      <w:r w:rsidR="00191F37" w:rsidRPr="000A5351">
        <w:t xml:space="preserve"> the other hand, </w:t>
      </w:r>
      <w:r w:rsidR="001B297C" w:rsidRPr="000A5351">
        <w:t xml:space="preserve">it was </w:t>
      </w:r>
      <w:r w:rsidR="00191F37" w:rsidRPr="000A5351">
        <w:t xml:space="preserve">argued </w:t>
      </w:r>
      <w:r w:rsidR="001B297C" w:rsidRPr="000A5351">
        <w:t xml:space="preserve">on behalf of Fujitsu </w:t>
      </w:r>
      <w:r w:rsidR="00191F37" w:rsidRPr="000A5351">
        <w:t xml:space="preserve">that </w:t>
      </w:r>
      <w:r w:rsidR="00854DBF" w:rsidRPr="000A5351">
        <w:t xml:space="preserve">the </w:t>
      </w:r>
      <w:r w:rsidR="00017E6D" w:rsidRPr="000A5351">
        <w:t xml:space="preserve">judgment </w:t>
      </w:r>
      <w:r w:rsidR="00191F37" w:rsidRPr="000A5351">
        <w:t xml:space="preserve">was distinguishable. </w:t>
      </w:r>
      <w:r w:rsidRPr="000A5351">
        <w:t xml:space="preserve">The high court </w:t>
      </w:r>
      <w:r w:rsidR="00701306" w:rsidRPr="000A5351">
        <w:t xml:space="preserve">took the view </w:t>
      </w:r>
      <w:r w:rsidRPr="000A5351">
        <w:t xml:space="preserve">that the decision did not find application </w:t>
      </w:r>
      <w:r w:rsidRPr="000A5351">
        <w:lastRenderedPageBreak/>
        <w:t>as it predate</w:t>
      </w:r>
      <w:r w:rsidR="00E976C8" w:rsidRPr="000A5351">
        <w:t>d</w:t>
      </w:r>
      <w:r w:rsidRPr="000A5351">
        <w:t xml:space="preserve"> the decision of this Court in </w:t>
      </w:r>
      <w:r w:rsidRPr="000A5351">
        <w:rPr>
          <w:i/>
        </w:rPr>
        <w:t>Stallion Security</w:t>
      </w:r>
      <w:r w:rsidR="00056F8D" w:rsidRPr="000A5351">
        <w:rPr>
          <w:i/>
        </w:rPr>
        <w:t xml:space="preserve"> (Pty) Ltd v Van Staden</w:t>
      </w:r>
      <w:r w:rsidR="006E432E" w:rsidRPr="000A5351">
        <w:t>.</w:t>
      </w:r>
      <w:r w:rsidR="006E432E" w:rsidRPr="000A5351">
        <w:rPr>
          <w:rStyle w:val="FootnoteReference"/>
        </w:rPr>
        <w:footnoteReference w:id="10"/>
      </w:r>
      <w:r w:rsidRPr="000A5351">
        <w:t xml:space="preserve"> </w:t>
      </w:r>
      <w:r w:rsidR="004B6701" w:rsidRPr="000A5351">
        <w:t xml:space="preserve">At issue in </w:t>
      </w:r>
      <w:r w:rsidR="004B6701" w:rsidRPr="000A5351">
        <w:rPr>
          <w:i/>
        </w:rPr>
        <w:t>Stallion Security</w:t>
      </w:r>
      <w:r w:rsidR="004B6701" w:rsidRPr="000A5351">
        <w:t xml:space="preserve"> was a </w:t>
      </w:r>
      <w:r w:rsidR="005C3855" w:rsidRPr="000A5351">
        <w:t xml:space="preserve">delictual claim founded only on vicarious liability for </w:t>
      </w:r>
      <w:r w:rsidR="00D82D66" w:rsidRPr="000A5351">
        <w:t xml:space="preserve">a </w:t>
      </w:r>
      <w:r w:rsidR="005C3855" w:rsidRPr="000A5351">
        <w:t xml:space="preserve">wrong committed by </w:t>
      </w:r>
      <w:r w:rsidR="002C1B59" w:rsidRPr="000A5351">
        <w:t xml:space="preserve">Stallion Security’s </w:t>
      </w:r>
      <w:r w:rsidR="005C3855" w:rsidRPr="000A5351">
        <w:t>employee</w:t>
      </w:r>
      <w:r w:rsidR="005B52F0" w:rsidRPr="000A5351">
        <w:t>.</w:t>
      </w:r>
      <w:r w:rsidR="008E7065" w:rsidRPr="000A5351">
        <w:t xml:space="preserve"> Th</w:t>
      </w:r>
      <w:r w:rsidR="005B52F0" w:rsidRPr="000A5351">
        <w:t>ere, the</w:t>
      </w:r>
      <w:r w:rsidR="008E7065" w:rsidRPr="000A5351">
        <w:t xml:space="preserve"> </w:t>
      </w:r>
      <w:r w:rsidR="00191F37" w:rsidRPr="000A5351">
        <w:t>c</w:t>
      </w:r>
      <w:r w:rsidR="008E7065" w:rsidRPr="000A5351">
        <w:t xml:space="preserve">ourt considered the question whether the risk of harm caused by an employee to a third party was sufficiently closely connected to the conduct authorised by the employer to justify the imposition of vicarious liability. </w:t>
      </w:r>
      <w:r w:rsidR="008E7065" w:rsidRPr="000A5351">
        <w:rPr>
          <w:i/>
        </w:rPr>
        <w:t>Stallion</w:t>
      </w:r>
      <w:r w:rsidR="00F455D3" w:rsidRPr="000A5351">
        <w:rPr>
          <w:i/>
        </w:rPr>
        <w:t xml:space="preserve"> Security</w:t>
      </w:r>
      <w:r w:rsidR="00F455D3" w:rsidRPr="000A5351">
        <w:t xml:space="preserve"> </w:t>
      </w:r>
      <w:r w:rsidR="00C53246" w:rsidRPr="000A5351">
        <w:t xml:space="preserve">did </w:t>
      </w:r>
      <w:r w:rsidR="008E7065" w:rsidRPr="000A5351">
        <w:t xml:space="preserve">not concern </w:t>
      </w:r>
      <w:r w:rsidR="00FE4893" w:rsidRPr="000A5351">
        <w:t>the question whether a defendant’s liability was excluded or limited on the basis of the agreement</w:t>
      </w:r>
      <w:r w:rsidR="0092231C" w:rsidRPr="000A5351">
        <w:t>,</w:t>
      </w:r>
      <w:r w:rsidR="00FE4893" w:rsidRPr="000A5351">
        <w:t xml:space="preserve"> </w:t>
      </w:r>
      <w:r w:rsidR="00340F07" w:rsidRPr="000A5351">
        <w:t xml:space="preserve">an </w:t>
      </w:r>
      <w:r w:rsidR="00C53246" w:rsidRPr="000A5351">
        <w:t xml:space="preserve">issue </w:t>
      </w:r>
      <w:r w:rsidR="00CD570C" w:rsidRPr="000A5351">
        <w:t xml:space="preserve">with </w:t>
      </w:r>
      <w:r w:rsidR="00C53246" w:rsidRPr="000A5351">
        <w:t>which we are here concerned</w:t>
      </w:r>
      <w:r w:rsidR="00226F39" w:rsidRPr="000A5351">
        <w:t>,</w:t>
      </w:r>
      <w:r w:rsidR="00C53246" w:rsidRPr="000A5351">
        <w:t xml:space="preserve"> </w:t>
      </w:r>
      <w:r w:rsidR="009803BE" w:rsidRPr="000A5351">
        <w:t xml:space="preserve">as </w:t>
      </w:r>
      <w:r w:rsidR="00C53246" w:rsidRPr="000A5351">
        <w:t xml:space="preserve">in </w:t>
      </w:r>
      <w:r w:rsidR="00C53246" w:rsidRPr="000A5351">
        <w:rPr>
          <w:i/>
        </w:rPr>
        <w:t>Goodman Brothers</w:t>
      </w:r>
      <w:r w:rsidR="00F455D3" w:rsidRPr="000A5351">
        <w:rPr>
          <w:i/>
        </w:rPr>
        <w:t xml:space="preserve">, </w:t>
      </w:r>
      <w:r w:rsidR="002C1B59" w:rsidRPr="000A5351">
        <w:t xml:space="preserve">which was </w:t>
      </w:r>
      <w:r w:rsidR="00F455D3" w:rsidRPr="000A5351">
        <w:t>referred to i</w:t>
      </w:r>
      <w:r w:rsidR="009E2A83" w:rsidRPr="000A5351">
        <w:t xml:space="preserve">n </w:t>
      </w:r>
      <w:r w:rsidR="009E2A83" w:rsidRPr="000A5351">
        <w:rPr>
          <w:bCs/>
          <w:i/>
          <w:color w:val="000000"/>
          <w:shd w:val="clear" w:color="auto" w:fill="FFFFFF"/>
        </w:rPr>
        <w:t>First National Bank</w:t>
      </w:r>
      <w:r w:rsidR="00056F8D" w:rsidRPr="000A5351">
        <w:rPr>
          <w:bCs/>
          <w:i/>
          <w:shd w:val="clear" w:color="auto" w:fill="FFFFFF"/>
        </w:rPr>
        <w:t xml:space="preserve"> of Southern Africa Ltd v Rosenblum and Another</w:t>
      </w:r>
      <w:r w:rsidR="009E2A83" w:rsidRPr="000A5351">
        <w:rPr>
          <w:rStyle w:val="FootnoteReference"/>
          <w:rFonts w:cs="Arial"/>
          <w:bCs/>
          <w:color w:val="000000"/>
          <w:shd w:val="clear" w:color="auto" w:fill="FFFFFF"/>
        </w:rPr>
        <w:footnoteReference w:id="11"/>
      </w:r>
      <w:r w:rsidR="00340F07" w:rsidRPr="000A5351">
        <w:t xml:space="preserve"> </w:t>
      </w:r>
      <w:r w:rsidR="00C46F75" w:rsidRPr="000A5351">
        <w:t>with approval.</w:t>
      </w:r>
    </w:p>
    <w:p w14:paraId="59348730" w14:textId="77777777" w:rsidR="00657C33" w:rsidRPr="000A5351" w:rsidRDefault="00657C33" w:rsidP="008C4713">
      <w:pPr>
        <w:spacing w:line="360" w:lineRule="auto"/>
      </w:pPr>
    </w:p>
    <w:p w14:paraId="4F3333DF" w14:textId="0FD80D78" w:rsidR="00267329" w:rsidRPr="000A5351" w:rsidRDefault="00657C33" w:rsidP="008C4713">
      <w:pPr>
        <w:spacing w:line="360" w:lineRule="auto"/>
      </w:pPr>
      <w:r w:rsidRPr="000A5351">
        <w:t>[</w:t>
      </w:r>
      <w:r w:rsidR="00340362" w:rsidRPr="000A5351">
        <w:t>1</w:t>
      </w:r>
      <w:r w:rsidR="00F1153D">
        <w:t>8</w:t>
      </w:r>
      <w:r w:rsidRPr="000A5351">
        <w:t>]</w:t>
      </w:r>
      <w:r w:rsidRPr="000A5351">
        <w:tab/>
        <w:t xml:space="preserve">In </w:t>
      </w:r>
      <w:r w:rsidRPr="000A5351">
        <w:rPr>
          <w:i/>
        </w:rPr>
        <w:t xml:space="preserve">Goodman </w:t>
      </w:r>
      <w:r w:rsidR="00616D75" w:rsidRPr="000A5351">
        <w:rPr>
          <w:i/>
        </w:rPr>
        <w:t>B</w:t>
      </w:r>
      <w:r w:rsidRPr="000A5351">
        <w:rPr>
          <w:i/>
        </w:rPr>
        <w:t>rothers</w:t>
      </w:r>
      <w:r w:rsidRPr="000A5351">
        <w:t xml:space="preserve"> the </w:t>
      </w:r>
      <w:r w:rsidR="002C1B59" w:rsidRPr="000A5351">
        <w:t>c</w:t>
      </w:r>
      <w:r w:rsidRPr="000A5351">
        <w:t>ourt had occasion to consider a</w:t>
      </w:r>
      <w:r w:rsidR="00616D75" w:rsidRPr="000A5351">
        <w:t>n exemption clause</w:t>
      </w:r>
      <w:r w:rsidR="00397784" w:rsidRPr="000A5351">
        <w:t xml:space="preserve"> (clause 9) </w:t>
      </w:r>
      <w:r w:rsidR="00616D75" w:rsidRPr="000A5351">
        <w:t>worded in terms almost identical to clause 17</w:t>
      </w:r>
      <w:r w:rsidR="00B3043D" w:rsidRPr="000A5351">
        <w:t xml:space="preserve"> in circumstances w</w:t>
      </w:r>
      <w:r w:rsidR="00854DBF" w:rsidRPr="000A5351">
        <w:t>h</w:t>
      </w:r>
      <w:r w:rsidR="00B3043D" w:rsidRPr="000A5351">
        <w:t>ere</w:t>
      </w:r>
      <w:r w:rsidR="00B3043D" w:rsidRPr="000A5351">
        <w:rPr>
          <w:color w:val="000000"/>
        </w:rPr>
        <w:t xml:space="preserve"> the </w:t>
      </w:r>
      <w:r w:rsidR="00397784" w:rsidRPr="000A5351">
        <w:rPr>
          <w:color w:val="000000"/>
        </w:rPr>
        <w:t xml:space="preserve">appellant </w:t>
      </w:r>
      <w:r w:rsidR="00B3043D" w:rsidRPr="000A5351">
        <w:rPr>
          <w:color w:val="000000"/>
        </w:rPr>
        <w:t>claimed damages as the result of the theft of its watches</w:t>
      </w:r>
      <w:r w:rsidR="00397784" w:rsidRPr="000A5351">
        <w:rPr>
          <w:color w:val="000000"/>
        </w:rPr>
        <w:t xml:space="preserve"> </w:t>
      </w:r>
      <w:r w:rsidR="00B3043D" w:rsidRPr="000A5351">
        <w:rPr>
          <w:color w:val="000000"/>
        </w:rPr>
        <w:t>by </w:t>
      </w:r>
      <w:r w:rsidR="00E83BA5" w:rsidRPr="000A5351">
        <w:rPr>
          <w:color w:val="000000"/>
        </w:rPr>
        <w:t xml:space="preserve">the </w:t>
      </w:r>
      <w:r w:rsidR="00B3043D" w:rsidRPr="000A5351">
        <w:rPr>
          <w:color w:val="000000"/>
        </w:rPr>
        <w:t xml:space="preserve">employees of </w:t>
      </w:r>
      <w:r w:rsidR="000C129A" w:rsidRPr="000A5351">
        <w:rPr>
          <w:color w:val="000000"/>
        </w:rPr>
        <w:t xml:space="preserve">the </w:t>
      </w:r>
      <w:r w:rsidR="00B3043D" w:rsidRPr="000A5351">
        <w:rPr>
          <w:color w:val="000000"/>
        </w:rPr>
        <w:t xml:space="preserve">respondent, </w:t>
      </w:r>
      <w:r w:rsidR="000C129A" w:rsidRPr="000A5351">
        <w:rPr>
          <w:color w:val="000000"/>
        </w:rPr>
        <w:t xml:space="preserve">Rennies Group Ltd, </w:t>
      </w:r>
      <w:r w:rsidR="00B3043D" w:rsidRPr="000A5351">
        <w:rPr>
          <w:color w:val="000000"/>
        </w:rPr>
        <w:t>a carriage company</w:t>
      </w:r>
      <w:r w:rsidR="00397784" w:rsidRPr="001A0EDE">
        <w:rPr>
          <w:color w:val="000000"/>
        </w:rPr>
        <w:t>.</w:t>
      </w:r>
      <w:r w:rsidR="00397784" w:rsidRPr="001A0EDE">
        <w:rPr>
          <w:rFonts w:ascii="Verdana" w:hAnsi="Verdana"/>
          <w:color w:val="000000"/>
          <w:sz w:val="20"/>
          <w:szCs w:val="20"/>
        </w:rPr>
        <w:t xml:space="preserve"> </w:t>
      </w:r>
      <w:r w:rsidR="00397784" w:rsidRPr="001A0EDE">
        <w:rPr>
          <w:color w:val="000000"/>
        </w:rPr>
        <w:t>Clause 9</w:t>
      </w:r>
      <w:r w:rsidR="00397784" w:rsidRPr="001A0EDE">
        <w:t xml:space="preserve"> read</w:t>
      </w:r>
      <w:r w:rsidR="00397784" w:rsidRPr="000A5351">
        <w:t>:</w:t>
      </w:r>
    </w:p>
    <w:p w14:paraId="7A59E061" w14:textId="20F7E12C" w:rsidR="00267329" w:rsidRPr="000A5351" w:rsidRDefault="000C129A" w:rsidP="00267329">
      <w:pPr>
        <w:spacing w:line="360" w:lineRule="auto"/>
        <w:jc w:val="left"/>
        <w:rPr>
          <w:color w:val="000000"/>
          <w:sz w:val="22"/>
          <w:szCs w:val="22"/>
          <w:lang w:val="en-ZA" w:eastAsia="en-ZA"/>
        </w:rPr>
      </w:pPr>
      <w:r w:rsidRPr="000A5351">
        <w:rPr>
          <w:color w:val="000000"/>
          <w:sz w:val="22"/>
          <w:szCs w:val="22"/>
        </w:rPr>
        <w:t>‘</w:t>
      </w:r>
      <w:r w:rsidR="00267329" w:rsidRPr="000A5351">
        <w:rPr>
          <w:color w:val="000000"/>
          <w:sz w:val="22"/>
          <w:szCs w:val="22"/>
        </w:rPr>
        <w:t>9. </w:t>
      </w:r>
      <w:r w:rsidR="00267329" w:rsidRPr="00FC483B">
        <w:rPr>
          <w:color w:val="000000"/>
          <w:sz w:val="22"/>
          <w:szCs w:val="22"/>
          <w:u w:val="single"/>
        </w:rPr>
        <w:t>Exclusion of liability</w:t>
      </w:r>
    </w:p>
    <w:p w14:paraId="6991DFB7" w14:textId="428B7E29" w:rsidR="008E5E0B" w:rsidRPr="000A5351" w:rsidRDefault="00267329" w:rsidP="00267329">
      <w:pPr>
        <w:spacing w:line="360" w:lineRule="auto"/>
        <w:rPr>
          <w:color w:val="000000"/>
        </w:rPr>
      </w:pPr>
      <w:r w:rsidRPr="000A5351">
        <w:rPr>
          <w:color w:val="000000"/>
          <w:sz w:val="22"/>
          <w:szCs w:val="22"/>
        </w:rPr>
        <w:t>The company shall not accept liability for the handling of any bullion, coins, precious stones, jewellery, valuables, antiques, pictures, bank notes, securities and other valuable documents or articles, livestock or plants, unless special arrangements have previously been made in writing. Should any customer nevertheless deliver any such goods to the company or cause the company to handle or deal with any such goods otherwise than under special arrangements previously made in writing with the company, whether or not it is aware of the nature of the goods, shall bear no liability whatsoever, for or in connection with any loss or damage to the goods.’</w:t>
      </w:r>
      <w:r w:rsidR="00247C8B" w:rsidRPr="000A5351">
        <w:rPr>
          <w:rStyle w:val="FootnoteReference"/>
          <w:color w:val="000000"/>
          <w:sz w:val="22"/>
          <w:szCs w:val="22"/>
        </w:rPr>
        <w:footnoteReference w:id="12"/>
      </w:r>
    </w:p>
    <w:p w14:paraId="12D8E315" w14:textId="38247464" w:rsidR="00153E0E" w:rsidRPr="000A5351" w:rsidRDefault="00E83BA5" w:rsidP="00267329">
      <w:pPr>
        <w:spacing w:line="360" w:lineRule="auto"/>
        <w:rPr>
          <w:color w:val="000000"/>
        </w:rPr>
      </w:pPr>
      <w:r w:rsidRPr="000A5351">
        <w:rPr>
          <w:color w:val="000000"/>
        </w:rPr>
        <w:t>Significantly, a</w:t>
      </w:r>
      <w:r w:rsidR="00153E0E" w:rsidRPr="000A5351">
        <w:rPr>
          <w:color w:val="000000"/>
        </w:rPr>
        <w:t xml:space="preserve">t 96C-E </w:t>
      </w:r>
      <w:r w:rsidR="00017E6D" w:rsidRPr="001A0EDE">
        <w:rPr>
          <w:color w:val="000000"/>
        </w:rPr>
        <w:t xml:space="preserve">the court </w:t>
      </w:r>
      <w:r w:rsidR="00153E0E" w:rsidRPr="001A0EDE">
        <w:rPr>
          <w:color w:val="000000"/>
        </w:rPr>
        <w:t>said</w:t>
      </w:r>
      <w:r w:rsidR="00153E0E" w:rsidRPr="000A5351">
        <w:rPr>
          <w:color w:val="000000"/>
        </w:rPr>
        <w:t>:</w:t>
      </w:r>
    </w:p>
    <w:p w14:paraId="150EF4C8" w14:textId="40FCC09D" w:rsidR="005F71E8" w:rsidRPr="000A5351" w:rsidRDefault="00153E0E" w:rsidP="00267329">
      <w:pPr>
        <w:spacing w:line="360" w:lineRule="auto"/>
        <w:rPr>
          <w:color w:val="000000"/>
        </w:rPr>
      </w:pPr>
      <w:r w:rsidRPr="000A5351">
        <w:rPr>
          <w:color w:val="000000"/>
          <w:sz w:val="22"/>
          <w:szCs w:val="22"/>
        </w:rPr>
        <w:t>‘So understood, in my view, the meaning of the clause is unambiguous; there is accordingly no room for the application of the </w:t>
      </w:r>
      <w:r w:rsidRPr="000A5351">
        <w:rPr>
          <w:i/>
          <w:iCs/>
          <w:color w:val="000000"/>
          <w:sz w:val="22"/>
          <w:szCs w:val="22"/>
        </w:rPr>
        <w:t>contra proferentem</w:t>
      </w:r>
      <w:r w:rsidRPr="000A5351">
        <w:rPr>
          <w:color w:val="000000"/>
          <w:sz w:val="22"/>
          <w:szCs w:val="22"/>
        </w:rPr>
        <w:t xml:space="preserve"> doctrine of interpretation; and the word </w:t>
      </w:r>
      <w:r w:rsidR="00247C8B" w:rsidRPr="000A5351">
        <w:rPr>
          <w:color w:val="000000"/>
          <w:sz w:val="22"/>
          <w:szCs w:val="22"/>
        </w:rPr>
        <w:t>“</w:t>
      </w:r>
      <w:r w:rsidRPr="000A5351">
        <w:rPr>
          <w:color w:val="000000"/>
          <w:sz w:val="22"/>
          <w:szCs w:val="22"/>
        </w:rPr>
        <w:t>whatsoever</w:t>
      </w:r>
      <w:r w:rsidR="00247C8B" w:rsidRPr="000A5351">
        <w:rPr>
          <w:color w:val="000000"/>
          <w:sz w:val="22"/>
          <w:szCs w:val="22"/>
        </w:rPr>
        <w:t>”</w:t>
      </w:r>
      <w:r w:rsidRPr="000A5351">
        <w:rPr>
          <w:color w:val="000000"/>
          <w:sz w:val="22"/>
          <w:szCs w:val="22"/>
        </w:rPr>
        <w:t xml:space="preserve"> which qualifies </w:t>
      </w:r>
      <w:r w:rsidR="00247C8B" w:rsidRPr="000A5351">
        <w:rPr>
          <w:color w:val="000000"/>
          <w:sz w:val="22"/>
          <w:szCs w:val="22"/>
        </w:rPr>
        <w:t>“</w:t>
      </w:r>
      <w:r w:rsidRPr="000A5351">
        <w:rPr>
          <w:color w:val="000000"/>
          <w:sz w:val="22"/>
          <w:szCs w:val="22"/>
        </w:rPr>
        <w:t>no liability</w:t>
      </w:r>
      <w:r w:rsidR="00247C8B" w:rsidRPr="000A5351">
        <w:rPr>
          <w:color w:val="000000"/>
          <w:sz w:val="22"/>
          <w:szCs w:val="22"/>
        </w:rPr>
        <w:t>”</w:t>
      </w:r>
      <w:r w:rsidRPr="000A5351">
        <w:rPr>
          <w:color w:val="000000"/>
          <w:sz w:val="22"/>
          <w:szCs w:val="22"/>
        </w:rPr>
        <w:t xml:space="preserve"> and the phrase </w:t>
      </w:r>
      <w:r w:rsidR="00247C8B" w:rsidRPr="000A5351">
        <w:rPr>
          <w:color w:val="000000"/>
          <w:sz w:val="22"/>
          <w:szCs w:val="22"/>
        </w:rPr>
        <w:t>“</w:t>
      </w:r>
      <w:r w:rsidRPr="000A5351">
        <w:rPr>
          <w:color w:val="000000"/>
          <w:sz w:val="22"/>
          <w:szCs w:val="22"/>
        </w:rPr>
        <w:t>any loss</w:t>
      </w:r>
      <w:r w:rsidR="00247C8B" w:rsidRPr="000A5351">
        <w:rPr>
          <w:color w:val="000000"/>
          <w:sz w:val="22"/>
          <w:szCs w:val="22"/>
        </w:rPr>
        <w:t>”</w:t>
      </w:r>
      <w:r w:rsidRPr="000A5351">
        <w:rPr>
          <w:color w:val="000000"/>
          <w:sz w:val="22"/>
          <w:szCs w:val="22"/>
        </w:rPr>
        <w:t xml:space="preserve"> must be given their literal meaning as being intended to exempt the respondent (in the circumstances contemplated) from liability even for loss or damage caused by its own deliberate wrongdoing or negligent conduct, or by that of its servants acting within the course and scope of their employment as such, and whether the customer of the respondent seeks to assert a claim in contract or in delict.</w:t>
      </w:r>
      <w:r w:rsidR="004277CF" w:rsidRPr="000A5351">
        <w:rPr>
          <w:color w:val="000000"/>
          <w:sz w:val="22"/>
          <w:szCs w:val="22"/>
        </w:rPr>
        <w:t>’</w:t>
      </w:r>
    </w:p>
    <w:p w14:paraId="79D16230" w14:textId="76A083BF" w:rsidR="004277CF" w:rsidRPr="000A5351" w:rsidRDefault="004277CF" w:rsidP="00267329">
      <w:pPr>
        <w:spacing w:line="360" w:lineRule="auto"/>
        <w:rPr>
          <w:rFonts w:ascii="Verdana" w:hAnsi="Verdana"/>
          <w:color w:val="000000"/>
          <w:sz w:val="20"/>
          <w:szCs w:val="20"/>
        </w:rPr>
      </w:pPr>
    </w:p>
    <w:p w14:paraId="70B0BADA" w14:textId="0F6FECAF" w:rsidR="00146854" w:rsidRPr="000A5351" w:rsidRDefault="00AB3CBB" w:rsidP="008C5C31">
      <w:pPr>
        <w:spacing w:line="360" w:lineRule="auto"/>
        <w:rPr>
          <w:color w:val="000000"/>
          <w:lang w:val="en-ZA" w:eastAsia="en-ZA"/>
        </w:rPr>
      </w:pPr>
      <w:r w:rsidRPr="000A5351">
        <w:rPr>
          <w:color w:val="000000"/>
          <w:lang w:val="en-ZA" w:eastAsia="en-ZA"/>
        </w:rPr>
        <w:t>[</w:t>
      </w:r>
      <w:r w:rsidR="00F1153D">
        <w:rPr>
          <w:color w:val="000000"/>
          <w:lang w:val="en-ZA" w:eastAsia="en-ZA"/>
        </w:rPr>
        <w:t>19</w:t>
      </w:r>
      <w:r w:rsidRPr="000A5351">
        <w:rPr>
          <w:color w:val="000000"/>
          <w:lang w:val="en-ZA" w:eastAsia="en-ZA"/>
        </w:rPr>
        <w:t>]</w:t>
      </w:r>
      <w:r w:rsidRPr="000A5351">
        <w:rPr>
          <w:color w:val="000000"/>
          <w:lang w:val="en-ZA" w:eastAsia="en-ZA"/>
        </w:rPr>
        <w:tab/>
      </w:r>
      <w:r w:rsidR="00E23DFD" w:rsidRPr="000A5351">
        <w:rPr>
          <w:color w:val="000000"/>
          <w:lang w:val="en-ZA" w:eastAsia="en-ZA"/>
        </w:rPr>
        <w:t xml:space="preserve">In </w:t>
      </w:r>
      <w:r w:rsidR="00E23DFD" w:rsidRPr="00A00FC3">
        <w:rPr>
          <w:i/>
          <w:color w:val="000000"/>
          <w:lang w:val="en-ZA" w:eastAsia="en-ZA"/>
        </w:rPr>
        <w:t>Goodman Brothers</w:t>
      </w:r>
      <w:r w:rsidR="00E23DFD" w:rsidRPr="000A5351">
        <w:rPr>
          <w:color w:val="000000"/>
          <w:lang w:val="en-ZA" w:eastAsia="en-ZA"/>
        </w:rPr>
        <w:t xml:space="preserve"> it was held that i</w:t>
      </w:r>
      <w:r w:rsidR="00D40B39" w:rsidRPr="000A5351">
        <w:rPr>
          <w:color w:val="000000"/>
          <w:lang w:val="en-ZA" w:eastAsia="en-ZA"/>
        </w:rPr>
        <w:t>f an employer responsible to deliver goods to another person with whom he has contracted to do just that, can validly and without more contract out of liability for the dishonesty of his servants entrusted by him with the performance of his contractual duty</w:t>
      </w:r>
      <w:r w:rsidR="00E23DFD" w:rsidRPr="000A5351">
        <w:rPr>
          <w:color w:val="000000"/>
          <w:lang w:val="en-ZA" w:eastAsia="en-ZA"/>
        </w:rPr>
        <w:t xml:space="preserve">, </w:t>
      </w:r>
      <w:r w:rsidR="00D40B39" w:rsidRPr="000A5351">
        <w:rPr>
          <w:color w:val="000000"/>
          <w:lang w:val="en-ZA" w:eastAsia="en-ZA"/>
        </w:rPr>
        <w:t>then </w:t>
      </w:r>
      <w:r w:rsidR="00D40B39" w:rsidRPr="000A5351">
        <w:rPr>
          <w:i/>
          <w:iCs/>
          <w:color w:val="000000"/>
          <w:lang w:val="en-ZA" w:eastAsia="en-ZA"/>
        </w:rPr>
        <w:t>a fortiori</w:t>
      </w:r>
      <w:r w:rsidR="00D40B39" w:rsidRPr="000A5351">
        <w:rPr>
          <w:color w:val="000000"/>
          <w:lang w:val="en-ZA" w:eastAsia="en-ZA"/>
        </w:rPr>
        <w:t> must the respondent be entitled to escape liability whe</w:t>
      </w:r>
      <w:r w:rsidR="00E23DFD" w:rsidRPr="000A5351">
        <w:rPr>
          <w:color w:val="000000"/>
          <w:lang w:val="en-ZA" w:eastAsia="en-ZA"/>
        </w:rPr>
        <w:t>re</w:t>
      </w:r>
      <w:r w:rsidR="00D40B39" w:rsidRPr="000A5351">
        <w:rPr>
          <w:color w:val="000000"/>
          <w:lang w:val="en-ZA" w:eastAsia="en-ZA"/>
        </w:rPr>
        <w:t xml:space="preserve"> </w:t>
      </w:r>
      <w:r w:rsidR="00E23DFD" w:rsidRPr="000A5351">
        <w:rPr>
          <w:color w:val="000000"/>
          <w:lang w:val="en-ZA" w:eastAsia="en-ZA"/>
        </w:rPr>
        <w:t xml:space="preserve">it had </w:t>
      </w:r>
      <w:r w:rsidR="00D40B39" w:rsidRPr="000A5351">
        <w:rPr>
          <w:color w:val="000000"/>
          <w:lang w:val="en-ZA" w:eastAsia="en-ZA"/>
        </w:rPr>
        <w:t xml:space="preserve">stipulated for 'special arrangements' to be made in the case of valuables. Had these 'special arrangements' been made, the respondent would have been able to protect </w:t>
      </w:r>
      <w:r w:rsidR="00E23DFD" w:rsidRPr="000A5351">
        <w:rPr>
          <w:color w:val="000000"/>
          <w:lang w:val="en-ZA" w:eastAsia="en-ZA"/>
        </w:rPr>
        <w:t xml:space="preserve">itself </w:t>
      </w:r>
      <w:r w:rsidR="00D40B39" w:rsidRPr="000A5351">
        <w:rPr>
          <w:color w:val="000000"/>
          <w:lang w:val="en-ZA" w:eastAsia="en-ZA"/>
        </w:rPr>
        <w:t xml:space="preserve">against the dishonesty of </w:t>
      </w:r>
      <w:r w:rsidR="00E23DFD" w:rsidRPr="000A5351">
        <w:rPr>
          <w:color w:val="000000"/>
          <w:lang w:val="en-ZA" w:eastAsia="en-ZA"/>
        </w:rPr>
        <w:t>its</w:t>
      </w:r>
      <w:r w:rsidR="00D40B39" w:rsidRPr="000A5351">
        <w:rPr>
          <w:color w:val="000000"/>
          <w:lang w:val="en-ZA" w:eastAsia="en-ZA"/>
        </w:rPr>
        <w:t xml:space="preserve"> employees by taking out fidelity insurance or by taking additional precautions for the safe conveyance of the </w:t>
      </w:r>
      <w:r w:rsidR="00E23DFD" w:rsidRPr="000A5351">
        <w:rPr>
          <w:color w:val="000000"/>
          <w:lang w:val="en-ZA" w:eastAsia="en-ZA"/>
        </w:rPr>
        <w:t>valuable</w:t>
      </w:r>
      <w:r w:rsidR="00646CBA" w:rsidRPr="000A5351">
        <w:rPr>
          <w:color w:val="000000"/>
          <w:lang w:val="en-ZA" w:eastAsia="en-ZA"/>
        </w:rPr>
        <w:t>s,</w:t>
      </w:r>
      <w:r w:rsidR="00E23DFD" w:rsidRPr="000A5351">
        <w:rPr>
          <w:color w:val="000000"/>
          <w:lang w:val="en-ZA" w:eastAsia="en-ZA"/>
        </w:rPr>
        <w:t xml:space="preserve"> </w:t>
      </w:r>
      <w:r w:rsidR="00D40B39" w:rsidRPr="000A5351">
        <w:rPr>
          <w:color w:val="000000"/>
          <w:lang w:val="en-ZA" w:eastAsia="en-ZA"/>
        </w:rPr>
        <w:t xml:space="preserve">or both. The respondent could validly stipulate that in the absence of special arrangements as contemplated in clause 9, it would not be liable even </w:t>
      </w:r>
      <w:r w:rsidR="00360AF0" w:rsidRPr="000A5351">
        <w:rPr>
          <w:color w:val="000000"/>
          <w:lang w:val="en-ZA" w:eastAsia="en-ZA"/>
        </w:rPr>
        <w:t xml:space="preserve">where </w:t>
      </w:r>
      <w:r w:rsidR="00D40B39" w:rsidRPr="000A5351">
        <w:rPr>
          <w:color w:val="000000"/>
          <w:lang w:val="en-ZA" w:eastAsia="en-ZA"/>
        </w:rPr>
        <w:t xml:space="preserve">the valuables </w:t>
      </w:r>
      <w:r w:rsidR="006C2829" w:rsidRPr="000A5351">
        <w:rPr>
          <w:color w:val="000000"/>
          <w:lang w:val="en-ZA" w:eastAsia="en-ZA"/>
        </w:rPr>
        <w:t xml:space="preserve">were </w:t>
      </w:r>
      <w:r w:rsidR="00D40B39" w:rsidRPr="000A5351">
        <w:rPr>
          <w:color w:val="000000"/>
          <w:lang w:val="en-ZA" w:eastAsia="en-ZA"/>
        </w:rPr>
        <w:t>to be stolen by the very employees whom it had instructed to clear, convey and deliver them.</w:t>
      </w:r>
      <w:r w:rsidR="00AD0431" w:rsidRPr="000A5351">
        <w:rPr>
          <w:color w:val="000000"/>
          <w:lang w:val="en-ZA" w:eastAsia="en-ZA"/>
        </w:rPr>
        <w:t xml:space="preserve"> The court went on to say that </w:t>
      </w:r>
      <w:r w:rsidR="00D40B39" w:rsidRPr="000A5351">
        <w:rPr>
          <w:color w:val="000000"/>
          <w:lang w:val="en-ZA" w:eastAsia="en-ZA"/>
        </w:rPr>
        <w:t xml:space="preserve">there </w:t>
      </w:r>
      <w:r w:rsidR="008C5C31" w:rsidRPr="000A5351">
        <w:rPr>
          <w:color w:val="000000"/>
          <w:lang w:val="en-ZA" w:eastAsia="en-ZA"/>
        </w:rPr>
        <w:t xml:space="preserve">were </w:t>
      </w:r>
      <w:r w:rsidR="00D40B39" w:rsidRPr="000A5351">
        <w:rPr>
          <w:color w:val="000000"/>
          <w:lang w:val="en-ZA" w:eastAsia="en-ZA"/>
        </w:rPr>
        <w:t>no considerations of public</w:t>
      </w:r>
      <w:r w:rsidR="00763FDB">
        <w:rPr>
          <w:color w:val="000000"/>
          <w:lang w:val="en-ZA" w:eastAsia="en-ZA"/>
        </w:rPr>
        <w:t> </w:t>
      </w:r>
      <w:r w:rsidR="00D40B39" w:rsidRPr="000A5351">
        <w:rPr>
          <w:color w:val="000000"/>
          <w:lang w:val="en-ZA" w:eastAsia="en-ZA"/>
        </w:rPr>
        <w:t>policy which require</w:t>
      </w:r>
      <w:r w:rsidR="008C5C31" w:rsidRPr="000A5351">
        <w:rPr>
          <w:color w:val="000000"/>
          <w:lang w:val="en-ZA" w:eastAsia="en-ZA"/>
        </w:rPr>
        <w:t>d</w:t>
      </w:r>
      <w:r w:rsidR="00D40B39" w:rsidRPr="000A5351">
        <w:rPr>
          <w:color w:val="000000"/>
          <w:lang w:val="en-ZA" w:eastAsia="en-ZA"/>
        </w:rPr>
        <w:t xml:space="preserve"> that the respondent be precluded from enforcing the risk allocation agreed upon by the parties as contained in clause 9 of </w:t>
      </w:r>
      <w:r w:rsidR="00646CBA" w:rsidRPr="000A5351">
        <w:rPr>
          <w:color w:val="000000"/>
          <w:lang w:val="en-ZA" w:eastAsia="en-ZA"/>
        </w:rPr>
        <w:t xml:space="preserve">its </w:t>
      </w:r>
      <w:r w:rsidR="00D40B39" w:rsidRPr="000A5351">
        <w:rPr>
          <w:color w:val="000000"/>
          <w:lang w:val="en-ZA" w:eastAsia="en-ZA"/>
        </w:rPr>
        <w:t>standard trading conditions.</w:t>
      </w:r>
      <w:r w:rsidR="008C5C31" w:rsidRPr="000A5351">
        <w:rPr>
          <w:color w:val="000000"/>
          <w:lang w:val="en-ZA" w:eastAsia="en-ZA"/>
        </w:rPr>
        <w:t xml:space="preserve"> </w:t>
      </w:r>
    </w:p>
    <w:p w14:paraId="46FD414B" w14:textId="77777777" w:rsidR="00146854" w:rsidRPr="000A5351" w:rsidRDefault="00146854" w:rsidP="008C5C31">
      <w:pPr>
        <w:spacing w:line="360" w:lineRule="auto"/>
        <w:rPr>
          <w:color w:val="000000"/>
          <w:lang w:val="en-ZA" w:eastAsia="en-ZA"/>
        </w:rPr>
      </w:pPr>
    </w:p>
    <w:p w14:paraId="7CBEBD13" w14:textId="18EE4DE8" w:rsidR="008C4713" w:rsidRPr="000A5351" w:rsidRDefault="00146854" w:rsidP="008C5C31">
      <w:pPr>
        <w:spacing w:line="360" w:lineRule="auto"/>
      </w:pPr>
      <w:r w:rsidRPr="000A5351">
        <w:rPr>
          <w:color w:val="000000"/>
          <w:lang w:val="en-ZA" w:eastAsia="en-ZA"/>
        </w:rPr>
        <w:t>[</w:t>
      </w:r>
      <w:r w:rsidR="00384C5F" w:rsidRPr="000A5351">
        <w:rPr>
          <w:color w:val="000000"/>
          <w:lang w:val="en-ZA" w:eastAsia="en-ZA"/>
        </w:rPr>
        <w:t>2</w:t>
      </w:r>
      <w:r w:rsidR="00F1153D">
        <w:rPr>
          <w:color w:val="000000"/>
          <w:lang w:val="en-ZA" w:eastAsia="en-ZA"/>
        </w:rPr>
        <w:t>0</w:t>
      </w:r>
      <w:r w:rsidRPr="000A5351">
        <w:rPr>
          <w:color w:val="000000"/>
          <w:lang w:val="en-ZA" w:eastAsia="en-ZA"/>
        </w:rPr>
        <w:t>]</w:t>
      </w:r>
      <w:r w:rsidRPr="000A5351">
        <w:rPr>
          <w:color w:val="000000"/>
          <w:lang w:val="en-ZA" w:eastAsia="en-ZA"/>
        </w:rPr>
        <w:tab/>
      </w:r>
      <w:r w:rsidR="00885A55" w:rsidRPr="000A5351">
        <w:t>It was never contended</w:t>
      </w:r>
      <w:r w:rsidR="008C5C31" w:rsidRPr="000A5351">
        <w:t xml:space="preserve"> before us </w:t>
      </w:r>
      <w:r w:rsidR="00885A55" w:rsidRPr="000A5351">
        <w:t xml:space="preserve">that </w:t>
      </w:r>
      <w:r w:rsidR="00885A55" w:rsidRPr="000A5351">
        <w:rPr>
          <w:i/>
        </w:rPr>
        <w:t>Goodman</w:t>
      </w:r>
      <w:r w:rsidR="008C5C31" w:rsidRPr="000A5351">
        <w:rPr>
          <w:i/>
        </w:rPr>
        <w:t xml:space="preserve"> Brothers</w:t>
      </w:r>
      <w:r w:rsidR="00885A55" w:rsidRPr="000A5351">
        <w:t xml:space="preserve"> was wrongly decided. </w:t>
      </w:r>
      <w:r w:rsidR="00CF7D5D" w:rsidRPr="000A5351">
        <w:t xml:space="preserve">The </w:t>
      </w:r>
      <w:r w:rsidR="0062764E" w:rsidRPr="000A5351">
        <w:t xml:space="preserve">legal position </w:t>
      </w:r>
      <w:r w:rsidR="00885A55" w:rsidRPr="000A5351">
        <w:t xml:space="preserve">there </w:t>
      </w:r>
      <w:r w:rsidR="00F70C19" w:rsidRPr="000A5351">
        <w:t xml:space="preserve">articulated </w:t>
      </w:r>
      <w:r w:rsidR="009B6B4F" w:rsidRPr="000A5351">
        <w:t>still holds sway and</w:t>
      </w:r>
      <w:r w:rsidR="00CF7D5D" w:rsidRPr="000A5351">
        <w:t xml:space="preserve"> appl</w:t>
      </w:r>
      <w:r w:rsidR="00646CBA" w:rsidRPr="000A5351">
        <w:t>ies</w:t>
      </w:r>
      <w:r w:rsidR="00CF7D5D" w:rsidRPr="000A5351">
        <w:t xml:space="preserve"> equally here. </w:t>
      </w:r>
    </w:p>
    <w:p w14:paraId="3C687225" w14:textId="77777777" w:rsidR="008C4713" w:rsidRPr="000A5351" w:rsidRDefault="008C4713" w:rsidP="00D503A6">
      <w:pPr>
        <w:spacing w:line="360" w:lineRule="auto"/>
      </w:pPr>
    </w:p>
    <w:p w14:paraId="41B1B5BD" w14:textId="13BF5EA0" w:rsidR="00721398" w:rsidRPr="000A5351" w:rsidRDefault="00721398" w:rsidP="00721398">
      <w:pPr>
        <w:spacing w:line="360" w:lineRule="auto"/>
      </w:pPr>
      <w:r w:rsidRPr="000A5351">
        <w:t>[2</w:t>
      </w:r>
      <w:r w:rsidR="00F1153D">
        <w:t>1</w:t>
      </w:r>
      <w:r w:rsidRPr="000A5351">
        <w:t>]</w:t>
      </w:r>
      <w:r w:rsidRPr="000A5351">
        <w:tab/>
      </w:r>
      <w:r w:rsidRPr="000A5351">
        <w:rPr>
          <w:color w:val="000000"/>
        </w:rPr>
        <w:t>To further bolster its argument that liability for theft was excluded for purposes of the disclaimer, counsel for Fujitsu sought to persuade us that annexure F</w:t>
      </w:r>
      <w:r w:rsidRPr="000A5351">
        <w:t xml:space="preserve"> to the STC</w:t>
      </w:r>
      <w:r w:rsidRPr="000A5351">
        <w:rPr>
          <w:color w:val="000000"/>
        </w:rPr>
        <w:t>,</w:t>
      </w:r>
      <w:r w:rsidRPr="000A5351">
        <w:t xml:space="preserve"> in particular section two thereof, provided that no liability for ‘loss in-transit’ would be accepted in terms of the STC. In addition, under negligence the contract condition stipulated that: ‘No liability for loss in transit or negligence will be accepted’. He further </w:t>
      </w:r>
      <w:r w:rsidR="002F578A" w:rsidRPr="000A5351">
        <w:t>highlighted</w:t>
      </w:r>
      <w:r w:rsidRPr="000A5351">
        <w:t>, that the preamble to section three,</w:t>
      </w:r>
      <w:r w:rsidR="002F578A" w:rsidRPr="000A5351">
        <w:t xml:space="preserve"> which related to</w:t>
      </w:r>
      <w:r w:rsidRPr="000A5351">
        <w:t xml:space="preserve"> goods in-transit insurance, provided that ‘Schenker service fees do not include cover for loss, damage or negligence whilst goods are in transit’. All these contractual provisions, he argued, set the scene for Schenker, in effect, disclaiming liability for loss in transit or negligence in transit. They signified that Schenker would not be liable for loss that occurs once it had collected the goods for purposes of executing the agreement and they were in transit at the time of </w:t>
      </w:r>
      <w:r w:rsidRPr="000A5351">
        <w:lastRenderedPageBreak/>
        <w:t>the loss. This did not include a disclaimer for theft from a storage facility on a third party’s premises, the argument continued. I have already determined that the exemption clause</w:t>
      </w:r>
      <w:r w:rsidR="00763FDB">
        <w:t> </w:t>
      </w:r>
      <w:r w:rsidRPr="000A5351">
        <w:t>17 read with clause 40 applied to theft in the circumstances described in this case. It therefore does not matter that annexure F to the STC refers to exclusion of liability for ‘loss in-transit’. The STCs are incorporated by reference to annexure F. At the foot of the pages which contain annexure F it is recorded that: ‘All business undertaken is subject to the Standard Trading Terms and Conditions of SAAFF which have been adopted by Schenker (SA) (Pty) Ltd’.</w:t>
      </w:r>
    </w:p>
    <w:p w14:paraId="3E626093" w14:textId="77777777" w:rsidR="00721398" w:rsidRPr="000A5351" w:rsidRDefault="00721398" w:rsidP="00721398">
      <w:pPr>
        <w:spacing w:line="360" w:lineRule="auto"/>
        <w:contextualSpacing/>
      </w:pPr>
      <w:r w:rsidRPr="000A5351">
        <w:t xml:space="preserve"> </w:t>
      </w:r>
    </w:p>
    <w:p w14:paraId="59A4D28D" w14:textId="6DC06D37" w:rsidR="005F71E8" w:rsidRPr="000A5351" w:rsidRDefault="008D0EE6" w:rsidP="00721398">
      <w:pPr>
        <w:spacing w:line="360" w:lineRule="auto"/>
        <w:contextualSpacing/>
        <w:rPr>
          <w:color w:val="000000"/>
          <w:lang w:eastAsia="en-ZA"/>
        </w:rPr>
      </w:pPr>
      <w:r w:rsidRPr="000A5351">
        <w:t>[</w:t>
      </w:r>
      <w:r w:rsidR="00384C5F" w:rsidRPr="000A5351">
        <w:t>2</w:t>
      </w:r>
      <w:r w:rsidR="00F1153D">
        <w:t>2</w:t>
      </w:r>
      <w:r w:rsidRPr="000A5351">
        <w:t>]</w:t>
      </w:r>
      <w:r w:rsidRPr="000A5351">
        <w:tab/>
      </w:r>
      <w:r w:rsidR="00453B2E" w:rsidRPr="000A5351">
        <w:t xml:space="preserve">Fujitsu also relied on the decision of this Court in </w:t>
      </w:r>
      <w:r w:rsidR="00BF7852" w:rsidRPr="000A5351">
        <w:rPr>
          <w:bCs/>
          <w:i/>
        </w:rPr>
        <w:t xml:space="preserve">G4S Cash Solutions (SA) (Pty) Ltd v Zandspruit Cash </w:t>
      </w:r>
      <w:r w:rsidR="00763FDB">
        <w:rPr>
          <w:bCs/>
          <w:i/>
        </w:rPr>
        <w:t>and</w:t>
      </w:r>
      <w:r w:rsidR="00BF7852" w:rsidRPr="000A5351">
        <w:rPr>
          <w:bCs/>
          <w:i/>
        </w:rPr>
        <w:t xml:space="preserve"> Carry (Pty) Ltd</w:t>
      </w:r>
      <w:r w:rsidR="00763FDB">
        <w:rPr>
          <w:bCs/>
          <w:i/>
        </w:rPr>
        <w:t xml:space="preserve"> and Another</w:t>
      </w:r>
      <w:r w:rsidR="00135598">
        <w:rPr>
          <w:bCs/>
          <w:i/>
        </w:rPr>
        <w:t xml:space="preserve"> </w:t>
      </w:r>
      <w:r w:rsidR="00763FDB">
        <w:rPr>
          <w:bCs/>
          <w:i/>
        </w:rPr>
        <w:t>(G4S)</w:t>
      </w:r>
      <w:r w:rsidR="00453B2E" w:rsidRPr="000A5351">
        <w:rPr>
          <w:rStyle w:val="FootnoteReference"/>
          <w:rFonts w:cs="Arial"/>
        </w:rPr>
        <w:footnoteReference w:id="13"/>
      </w:r>
      <w:r w:rsidR="00453B2E" w:rsidRPr="000A5351">
        <w:t xml:space="preserve"> </w:t>
      </w:r>
      <w:r w:rsidR="00EC0721" w:rsidRPr="000A5351">
        <w:t xml:space="preserve">and </w:t>
      </w:r>
      <w:r w:rsidR="00453B2E" w:rsidRPr="000A5351">
        <w:t>contended that the reasoning there applied in this case.</w:t>
      </w:r>
      <w:r w:rsidR="00453B2E" w:rsidRPr="000A5351">
        <w:rPr>
          <w:color w:val="000000"/>
        </w:rPr>
        <w:t xml:space="preserve"> The facts and the issues raised in </w:t>
      </w:r>
      <w:r w:rsidR="00453B2E" w:rsidRPr="000A5351">
        <w:rPr>
          <w:i/>
        </w:rPr>
        <w:t>G4S</w:t>
      </w:r>
      <w:r w:rsidR="00453B2E" w:rsidRPr="000A5351">
        <w:rPr>
          <w:i/>
          <w:iCs/>
          <w:color w:val="000000"/>
        </w:rPr>
        <w:t xml:space="preserve"> </w:t>
      </w:r>
      <w:r w:rsidR="00453B2E" w:rsidRPr="000A5351">
        <w:rPr>
          <w:color w:val="000000"/>
        </w:rPr>
        <w:t xml:space="preserve">are entirely distinguishable from the present. At issue in </w:t>
      </w:r>
      <w:r w:rsidR="00453B2E" w:rsidRPr="000A5351">
        <w:rPr>
          <w:i/>
        </w:rPr>
        <w:t>G4S</w:t>
      </w:r>
      <w:r w:rsidR="00453B2E" w:rsidRPr="000A5351">
        <w:rPr>
          <w:color w:val="000000"/>
        </w:rPr>
        <w:t xml:space="preserve"> was whether a time-limitation clause in </w:t>
      </w:r>
      <w:r w:rsidR="001F4F13" w:rsidRPr="000A5351">
        <w:rPr>
          <w:color w:val="000000"/>
        </w:rPr>
        <w:t xml:space="preserve">the </w:t>
      </w:r>
      <w:r w:rsidR="00453B2E" w:rsidRPr="000A5351">
        <w:rPr>
          <w:color w:val="000000"/>
        </w:rPr>
        <w:t xml:space="preserve">agreements concluded between the parties precluded </w:t>
      </w:r>
      <w:r w:rsidR="00453B2E" w:rsidRPr="000A5351">
        <w:rPr>
          <w:color w:val="000000"/>
          <w:lang w:eastAsia="en-ZA"/>
        </w:rPr>
        <w:t>Zandspruit</w:t>
      </w:r>
      <w:r w:rsidR="00BF7852" w:rsidRPr="000A5351">
        <w:rPr>
          <w:color w:val="000000"/>
          <w:lang w:eastAsia="en-ZA"/>
        </w:rPr>
        <w:t xml:space="preserve"> </w:t>
      </w:r>
      <w:r w:rsidR="00453B2E" w:rsidRPr="000A5351">
        <w:rPr>
          <w:color w:val="000000"/>
        </w:rPr>
        <w:t xml:space="preserve">from instituting delictual claims for damages against </w:t>
      </w:r>
      <w:r w:rsidR="00453B2E" w:rsidRPr="000A5351">
        <w:rPr>
          <w:color w:val="000000"/>
          <w:lang w:eastAsia="en-ZA"/>
        </w:rPr>
        <w:t>G4S</w:t>
      </w:r>
      <w:r w:rsidR="004E0370">
        <w:rPr>
          <w:color w:val="000000"/>
          <w:lang w:eastAsia="en-ZA"/>
        </w:rPr>
        <w:t xml:space="preserve">, </w:t>
      </w:r>
      <w:r w:rsidR="004E0370" w:rsidRPr="004E0370">
        <w:rPr>
          <w:color w:val="000000"/>
          <w:lang w:eastAsia="en-ZA"/>
        </w:rPr>
        <w:t xml:space="preserve">formerly </w:t>
      </w:r>
      <w:r w:rsidR="004E0370" w:rsidRPr="004E0370">
        <w:rPr>
          <w:color w:val="000000"/>
        </w:rPr>
        <w:t>known as Fidelity Cash Management Services (Pty) Ltd</w:t>
      </w:r>
      <w:r w:rsidR="003A3C47" w:rsidRPr="004E0370">
        <w:rPr>
          <w:color w:val="000000"/>
          <w:lang w:eastAsia="en-ZA"/>
        </w:rPr>
        <w:t>.</w:t>
      </w:r>
      <w:r w:rsidR="00BF7852" w:rsidRPr="004E0370">
        <w:rPr>
          <w:color w:val="D5DCE4" w:themeColor="text2" w:themeTint="33"/>
          <w:lang w:eastAsia="en-ZA"/>
        </w:rPr>
        <w:t xml:space="preserve"> </w:t>
      </w:r>
      <w:r w:rsidR="00453B2E" w:rsidRPr="000A5351">
        <w:rPr>
          <w:color w:val="000000"/>
          <w:lang w:eastAsia="en-ZA"/>
        </w:rPr>
        <w:t xml:space="preserve">In terms of the agreement, G4S had to collect money from Zandspruit and store it. Thieves pretending to be G4S employees stole money from Zandspruit. </w:t>
      </w:r>
      <w:r w:rsidR="00453B2E" w:rsidRPr="00792F9D">
        <w:rPr>
          <w:color w:val="000000"/>
          <w:lang w:eastAsia="en-ZA"/>
        </w:rPr>
        <w:t xml:space="preserve">Clause 9.1 </w:t>
      </w:r>
      <w:r w:rsidR="00453B2E" w:rsidRPr="00792F9D">
        <w:rPr>
          <w:color w:val="000000"/>
        </w:rPr>
        <w:t xml:space="preserve">provided </w:t>
      </w:r>
      <w:r w:rsidR="00E3792B">
        <w:rPr>
          <w:color w:val="000000"/>
        </w:rPr>
        <w:t xml:space="preserve">in part </w:t>
      </w:r>
      <w:r w:rsidR="00453B2E" w:rsidRPr="00792F9D">
        <w:rPr>
          <w:color w:val="000000"/>
        </w:rPr>
        <w:t>that</w:t>
      </w:r>
      <w:r w:rsidR="00453B2E" w:rsidRPr="000A5351">
        <w:rPr>
          <w:color w:val="000000"/>
        </w:rPr>
        <w:t xml:space="preserve"> G4S ‘</w:t>
      </w:r>
      <w:r w:rsidR="00A00FC3">
        <w:rPr>
          <w:color w:val="000000"/>
        </w:rPr>
        <w:t xml:space="preserve">. . . </w:t>
      </w:r>
      <w:r w:rsidR="00453B2E" w:rsidRPr="000A5351">
        <w:rPr>
          <w:color w:val="000000"/>
        </w:rPr>
        <w:t xml:space="preserve">shall not be liable for any loss or damage howsoever arising or for any reason whatsoever suffered by </w:t>
      </w:r>
      <w:r w:rsidR="00E87F46">
        <w:rPr>
          <w:color w:val="000000"/>
        </w:rPr>
        <w:t xml:space="preserve">the client </w:t>
      </w:r>
      <w:r w:rsidR="002828EA">
        <w:rPr>
          <w:color w:val="000000"/>
        </w:rPr>
        <w:t>[</w:t>
      </w:r>
      <w:r w:rsidR="00453B2E" w:rsidRPr="000A5351">
        <w:rPr>
          <w:color w:val="000000"/>
          <w:lang w:eastAsia="en-ZA"/>
        </w:rPr>
        <w:t>Zandspruit</w:t>
      </w:r>
      <w:r w:rsidR="002828EA">
        <w:rPr>
          <w:color w:val="000000"/>
          <w:lang w:eastAsia="en-ZA"/>
        </w:rPr>
        <w:t>]</w:t>
      </w:r>
      <w:r w:rsidR="00453B2E" w:rsidRPr="000A5351">
        <w:rPr>
          <w:color w:val="000000"/>
        </w:rPr>
        <w:t xml:space="preserve"> pursuant to or during the provision of services by </w:t>
      </w:r>
      <w:r w:rsidR="00907347">
        <w:rPr>
          <w:color w:val="000000"/>
        </w:rPr>
        <w:t>Fidelity</w:t>
      </w:r>
      <w:r w:rsidR="00453B2E" w:rsidRPr="000A5351">
        <w:rPr>
          <w:color w:val="000000"/>
        </w:rPr>
        <w:t xml:space="preserve">, unless such loss or damage is the direct result of the gross negligence of or theft by </w:t>
      </w:r>
      <w:r w:rsidR="00E87F46">
        <w:rPr>
          <w:color w:val="000000"/>
        </w:rPr>
        <w:t>Fidelity</w:t>
      </w:r>
      <w:r w:rsidR="002828EA">
        <w:rPr>
          <w:color w:val="000000"/>
        </w:rPr>
        <w:t xml:space="preserve"> </w:t>
      </w:r>
      <w:r w:rsidR="00453B2E" w:rsidRPr="000A5351">
        <w:rPr>
          <w:color w:val="000000"/>
        </w:rPr>
        <w:t xml:space="preserve">employees, acting within the course and scope of their employment, and which occurs while the money is in the custody of </w:t>
      </w:r>
      <w:r w:rsidR="00E87F46">
        <w:rPr>
          <w:color w:val="000000"/>
        </w:rPr>
        <w:t>Fidelity’</w:t>
      </w:r>
      <w:r w:rsidR="00453B2E" w:rsidRPr="000A5351">
        <w:rPr>
          <w:color w:val="000000"/>
        </w:rPr>
        <w:t>.</w:t>
      </w:r>
      <w:r w:rsidR="00453B2E" w:rsidRPr="000A5351">
        <w:rPr>
          <w:color w:val="000000"/>
          <w:lang w:eastAsia="en-ZA"/>
        </w:rPr>
        <w:t xml:space="preserve"> </w:t>
      </w:r>
      <w:r w:rsidR="00453B2E" w:rsidRPr="000A5351">
        <w:rPr>
          <w:color w:val="000000"/>
        </w:rPr>
        <w:t xml:space="preserve">The court held that clause 9.1 conveyed a loss or damage which has its genesis in ‘the provision of services’ by G4S to Zandspruit. </w:t>
      </w:r>
      <w:r w:rsidR="00B74A34" w:rsidRPr="000A5351">
        <w:rPr>
          <w:color w:val="000000"/>
        </w:rPr>
        <w:t>T</w:t>
      </w:r>
      <w:r w:rsidR="00453B2E" w:rsidRPr="000A5351">
        <w:rPr>
          <w:color w:val="000000"/>
          <w:lang w:eastAsia="en-ZA"/>
        </w:rPr>
        <w:t xml:space="preserve">he parties did not contemplate that </w:t>
      </w:r>
      <w:r w:rsidR="009226E2" w:rsidRPr="000A5351">
        <w:rPr>
          <w:color w:val="000000"/>
          <w:lang w:eastAsia="en-ZA"/>
        </w:rPr>
        <w:t xml:space="preserve">the time-limitation clause </w:t>
      </w:r>
      <w:r w:rsidR="00453B2E" w:rsidRPr="000A5351">
        <w:rPr>
          <w:color w:val="000000"/>
          <w:lang w:eastAsia="en-ZA"/>
        </w:rPr>
        <w:t xml:space="preserve">would encompass delictual claims </w:t>
      </w:r>
      <w:r w:rsidR="00F3663B" w:rsidRPr="000A5351">
        <w:rPr>
          <w:color w:val="000000"/>
          <w:lang w:eastAsia="en-ZA"/>
        </w:rPr>
        <w:t xml:space="preserve">which </w:t>
      </w:r>
      <w:r w:rsidR="00453B2E" w:rsidRPr="000A5351">
        <w:rPr>
          <w:color w:val="000000"/>
          <w:lang w:eastAsia="en-ZA"/>
        </w:rPr>
        <w:t>did not arise pursuant to or during the services rendered by G4S</w:t>
      </w:r>
      <w:r w:rsidR="00F3663B" w:rsidRPr="000A5351">
        <w:rPr>
          <w:color w:val="000000"/>
          <w:lang w:eastAsia="en-ZA"/>
        </w:rPr>
        <w:t xml:space="preserve">. </w:t>
      </w:r>
      <w:r w:rsidR="00453B2E" w:rsidRPr="000A5351">
        <w:rPr>
          <w:color w:val="000000"/>
          <w:lang w:eastAsia="en-ZA"/>
        </w:rPr>
        <w:t>To reiterate, in th</w:t>
      </w:r>
      <w:r w:rsidR="00B27C11" w:rsidRPr="000A5351">
        <w:rPr>
          <w:color w:val="000000"/>
          <w:lang w:eastAsia="en-ZA"/>
        </w:rPr>
        <w:t xml:space="preserve">e present </w:t>
      </w:r>
      <w:r w:rsidR="00453B2E" w:rsidRPr="000A5351">
        <w:rPr>
          <w:color w:val="000000"/>
          <w:lang w:eastAsia="en-ZA"/>
        </w:rPr>
        <w:t>case</w:t>
      </w:r>
      <w:r w:rsidR="00B8585C" w:rsidRPr="000A5351">
        <w:rPr>
          <w:color w:val="000000"/>
          <w:lang w:eastAsia="en-ZA"/>
        </w:rPr>
        <w:t>,</w:t>
      </w:r>
      <w:r w:rsidR="00453B2E" w:rsidRPr="000A5351">
        <w:rPr>
          <w:color w:val="000000"/>
          <w:lang w:eastAsia="en-ZA"/>
        </w:rPr>
        <w:t xml:space="preserve"> all business and all services were undertaken in terms of </w:t>
      </w:r>
      <w:r w:rsidR="009226E2" w:rsidRPr="000A5351">
        <w:rPr>
          <w:color w:val="000000"/>
          <w:lang w:eastAsia="en-ZA"/>
        </w:rPr>
        <w:t xml:space="preserve">the </w:t>
      </w:r>
      <w:r w:rsidR="00453B2E" w:rsidRPr="000A5351">
        <w:rPr>
          <w:color w:val="000000"/>
          <w:lang w:eastAsia="en-ZA"/>
        </w:rPr>
        <w:t xml:space="preserve">STC.   </w:t>
      </w:r>
    </w:p>
    <w:p w14:paraId="232E3FAB" w14:textId="77777777" w:rsidR="00DA0D45" w:rsidRPr="000A5351" w:rsidRDefault="00DA0D45" w:rsidP="001A29A9">
      <w:pPr>
        <w:spacing w:line="360" w:lineRule="auto"/>
        <w:contextualSpacing/>
        <w:rPr>
          <w:color w:val="000000"/>
          <w:lang w:val="en-ZA" w:eastAsia="en-ZA"/>
        </w:rPr>
      </w:pPr>
    </w:p>
    <w:p w14:paraId="7147CE4E" w14:textId="34272163" w:rsidR="00FD0795" w:rsidRPr="000A5351" w:rsidRDefault="00885A55" w:rsidP="00D503A6">
      <w:pPr>
        <w:spacing w:line="360" w:lineRule="auto"/>
        <w:contextualSpacing/>
      </w:pPr>
      <w:r w:rsidRPr="000A5351">
        <w:rPr>
          <w:color w:val="000000"/>
        </w:rPr>
        <w:lastRenderedPageBreak/>
        <w:t>[</w:t>
      </w:r>
      <w:r w:rsidR="003C5AA0" w:rsidRPr="000A5351">
        <w:rPr>
          <w:color w:val="000000"/>
        </w:rPr>
        <w:t>2</w:t>
      </w:r>
      <w:r w:rsidR="00F1153D">
        <w:rPr>
          <w:color w:val="000000"/>
        </w:rPr>
        <w:t>3</w:t>
      </w:r>
      <w:r w:rsidRPr="000A5351">
        <w:rPr>
          <w:color w:val="000000"/>
        </w:rPr>
        <w:t>]</w:t>
      </w:r>
      <w:r w:rsidRPr="000A5351">
        <w:rPr>
          <w:color w:val="000000"/>
        </w:rPr>
        <w:tab/>
      </w:r>
      <w:r w:rsidR="00453B2E" w:rsidRPr="000A5351">
        <w:rPr>
          <w:color w:val="000000"/>
        </w:rPr>
        <w:t xml:space="preserve">In conclusion, </w:t>
      </w:r>
      <w:r w:rsidR="00E03713" w:rsidRPr="000A5351">
        <w:rPr>
          <w:color w:val="000000"/>
        </w:rPr>
        <w:t>Schenker established that its liability is excluded by clause</w:t>
      </w:r>
      <w:r w:rsidR="000049FF" w:rsidRPr="000A5351">
        <w:rPr>
          <w:color w:val="000000"/>
        </w:rPr>
        <w:t xml:space="preserve"> 17 read with clause</w:t>
      </w:r>
      <w:r w:rsidR="00E03713" w:rsidRPr="000A5351">
        <w:rPr>
          <w:color w:val="000000"/>
        </w:rPr>
        <w:t xml:space="preserve"> 40.1 which </w:t>
      </w:r>
      <w:r w:rsidR="00870F89" w:rsidRPr="000A5351">
        <w:rPr>
          <w:color w:val="000000"/>
        </w:rPr>
        <w:t>absolve</w:t>
      </w:r>
      <w:r w:rsidR="00E03713" w:rsidRPr="000A5351">
        <w:rPr>
          <w:color w:val="000000"/>
        </w:rPr>
        <w:t xml:space="preserve">d it </w:t>
      </w:r>
      <w:r w:rsidR="004B2CFB" w:rsidRPr="000A5351">
        <w:t xml:space="preserve">from liability for the loss suffered by Fujitsu. </w:t>
      </w:r>
      <w:r w:rsidR="00FA59F9" w:rsidRPr="000A5351">
        <w:rPr>
          <w:color w:val="000000"/>
        </w:rPr>
        <w:t>It follows that Fujitsu's cause of action was one which fell within the ambit of the disclaimer</w:t>
      </w:r>
      <w:r w:rsidR="00FF6A4C" w:rsidRPr="000A5351">
        <w:rPr>
          <w:color w:val="000000"/>
        </w:rPr>
        <w:t xml:space="preserve"> and ought to have been dismissed</w:t>
      </w:r>
      <w:r w:rsidR="00FA59F9" w:rsidRPr="000A5351">
        <w:rPr>
          <w:color w:val="000000"/>
        </w:rPr>
        <w:t>.</w:t>
      </w:r>
      <w:r w:rsidR="00C229AA" w:rsidRPr="000A5351">
        <w:rPr>
          <w:color w:val="000000"/>
        </w:rPr>
        <w:t xml:space="preserve"> </w:t>
      </w:r>
      <w:r w:rsidR="00340362" w:rsidRPr="000A5351">
        <w:rPr>
          <w:color w:val="000000"/>
        </w:rPr>
        <w:t>Therefore, t</w:t>
      </w:r>
      <w:r w:rsidR="0059681A" w:rsidRPr="000A5351">
        <w:rPr>
          <w:color w:val="000000"/>
        </w:rPr>
        <w:t>he appeal must succeed.</w:t>
      </w:r>
    </w:p>
    <w:p w14:paraId="5D082875" w14:textId="77777777" w:rsidR="0059681A" w:rsidRPr="000A5351" w:rsidRDefault="0059681A" w:rsidP="00657127">
      <w:pPr>
        <w:spacing w:line="360" w:lineRule="auto"/>
      </w:pPr>
    </w:p>
    <w:p w14:paraId="43A78E31" w14:textId="497DCF05" w:rsidR="00FA59F9" w:rsidRPr="000A5351" w:rsidRDefault="00670CFC" w:rsidP="00657127">
      <w:pPr>
        <w:spacing w:line="360" w:lineRule="auto"/>
        <w:rPr>
          <w:color w:val="000000"/>
          <w:lang w:eastAsia="en-ZA"/>
        </w:rPr>
      </w:pPr>
      <w:r w:rsidRPr="000A5351">
        <w:t>[2</w:t>
      </w:r>
      <w:r w:rsidR="00F1153D">
        <w:t>4</w:t>
      </w:r>
      <w:r w:rsidRPr="000A5351">
        <w:t>]</w:t>
      </w:r>
      <w:r w:rsidRPr="000A5351">
        <w:tab/>
      </w:r>
      <w:r w:rsidR="00D503A6" w:rsidRPr="000A5351">
        <w:t>In the result</w:t>
      </w:r>
      <w:r w:rsidR="005F71E8" w:rsidRPr="000A5351">
        <w:t>,</w:t>
      </w:r>
      <w:r w:rsidR="00D503A6" w:rsidRPr="000A5351">
        <w:t xml:space="preserve"> the following order is made:</w:t>
      </w:r>
    </w:p>
    <w:p w14:paraId="0E06D38F" w14:textId="3A5AD994" w:rsidR="00FA59F9" w:rsidRPr="000A5351" w:rsidRDefault="00670CFC" w:rsidP="00EB213E">
      <w:pPr>
        <w:pStyle w:val="ListParagraph"/>
        <w:numPr>
          <w:ilvl w:val="0"/>
          <w:numId w:val="4"/>
        </w:numPr>
        <w:spacing w:line="360" w:lineRule="auto"/>
        <w:ind w:left="0" w:firstLine="0"/>
        <w:rPr>
          <w:rFonts w:ascii="Arial" w:hAnsi="Arial" w:cs="Arial"/>
          <w:color w:val="000000"/>
          <w:sz w:val="24"/>
          <w:szCs w:val="24"/>
          <w:lang w:eastAsia="en-ZA"/>
        </w:rPr>
      </w:pPr>
      <w:r w:rsidRPr="000A5351">
        <w:rPr>
          <w:rFonts w:ascii="Arial" w:hAnsi="Arial" w:cs="Arial"/>
          <w:color w:val="000000"/>
          <w:sz w:val="24"/>
          <w:szCs w:val="24"/>
          <w:lang w:eastAsia="en-ZA"/>
        </w:rPr>
        <w:t>The appeal is upheld with costs</w:t>
      </w:r>
      <w:r w:rsidR="0059681A" w:rsidRPr="000A5351">
        <w:rPr>
          <w:rFonts w:ascii="Arial" w:hAnsi="Arial" w:cs="Arial"/>
          <w:color w:val="000000"/>
          <w:sz w:val="24"/>
          <w:szCs w:val="24"/>
          <w:lang w:eastAsia="en-ZA"/>
        </w:rPr>
        <w:t>.</w:t>
      </w:r>
    </w:p>
    <w:p w14:paraId="36EEBBB0" w14:textId="77777777" w:rsidR="00670CFC" w:rsidRPr="000A5351" w:rsidRDefault="00670CFC" w:rsidP="00EB213E">
      <w:pPr>
        <w:pStyle w:val="ListParagraph"/>
        <w:numPr>
          <w:ilvl w:val="0"/>
          <w:numId w:val="4"/>
        </w:numPr>
        <w:spacing w:line="360" w:lineRule="auto"/>
        <w:ind w:left="0" w:firstLine="0"/>
        <w:rPr>
          <w:rFonts w:ascii="Arial" w:hAnsi="Arial" w:cs="Arial"/>
          <w:color w:val="000000"/>
          <w:sz w:val="24"/>
          <w:szCs w:val="24"/>
          <w:lang w:eastAsia="en-ZA"/>
        </w:rPr>
      </w:pPr>
      <w:r w:rsidRPr="000A5351">
        <w:rPr>
          <w:rFonts w:ascii="Arial" w:hAnsi="Arial" w:cs="Arial"/>
          <w:color w:val="000000"/>
          <w:sz w:val="24"/>
          <w:szCs w:val="24"/>
          <w:lang w:eastAsia="en-ZA"/>
        </w:rPr>
        <w:t>The order made by the high court is set aside and in its place is substituted the following:</w:t>
      </w:r>
    </w:p>
    <w:p w14:paraId="7FA32540" w14:textId="24E5D33B" w:rsidR="00670CFC" w:rsidRPr="000A5351" w:rsidRDefault="00670CFC" w:rsidP="00EB213E">
      <w:pPr>
        <w:spacing w:line="360" w:lineRule="auto"/>
        <w:ind w:left="709"/>
        <w:rPr>
          <w:color w:val="000000"/>
          <w:lang w:val="en-ZA" w:eastAsia="en-ZA"/>
        </w:rPr>
      </w:pPr>
      <w:r w:rsidRPr="000A5351">
        <w:rPr>
          <w:color w:val="000000"/>
          <w:lang w:val="en-ZA" w:eastAsia="en-ZA"/>
        </w:rPr>
        <w:t>‘The plaintiff</w:t>
      </w:r>
      <w:r w:rsidR="005E22F2" w:rsidRPr="000A5351">
        <w:rPr>
          <w:color w:val="000000"/>
          <w:lang w:val="en-ZA" w:eastAsia="en-ZA"/>
        </w:rPr>
        <w:t>’</w:t>
      </w:r>
      <w:r w:rsidRPr="000A5351">
        <w:rPr>
          <w:color w:val="000000"/>
          <w:lang w:val="en-ZA" w:eastAsia="en-ZA"/>
        </w:rPr>
        <w:t xml:space="preserve">s claim </w:t>
      </w:r>
      <w:r w:rsidR="000434A8" w:rsidRPr="000A5351">
        <w:rPr>
          <w:color w:val="000000"/>
          <w:lang w:val="en-ZA" w:eastAsia="en-ZA"/>
        </w:rPr>
        <w:t xml:space="preserve">is </w:t>
      </w:r>
      <w:r w:rsidRPr="000A5351">
        <w:rPr>
          <w:color w:val="000000"/>
          <w:lang w:val="en-ZA" w:eastAsia="en-ZA"/>
        </w:rPr>
        <w:t>dismissed with costs.’</w:t>
      </w:r>
    </w:p>
    <w:p w14:paraId="30D9120B" w14:textId="44660F81" w:rsidR="00D503A6" w:rsidRPr="000A5351" w:rsidRDefault="00AA1E75" w:rsidP="00670CFC">
      <w:pPr>
        <w:spacing w:line="360" w:lineRule="auto"/>
      </w:pPr>
      <w:r w:rsidRPr="000A5351">
        <w:t xml:space="preserve"> </w:t>
      </w:r>
    </w:p>
    <w:p w14:paraId="12960B56" w14:textId="09819CA4" w:rsidR="00D503A6" w:rsidRPr="000A5351" w:rsidRDefault="00D503A6" w:rsidP="00D503A6">
      <w:pPr>
        <w:spacing w:line="360" w:lineRule="auto"/>
      </w:pPr>
    </w:p>
    <w:p w14:paraId="213DA5D4" w14:textId="1289EEFA" w:rsidR="00670CFC" w:rsidRPr="000A5351" w:rsidRDefault="0091180C" w:rsidP="0091180C">
      <w:pPr>
        <w:tabs>
          <w:tab w:val="left" w:pos="6060"/>
        </w:tabs>
        <w:spacing w:line="360" w:lineRule="auto"/>
      </w:pPr>
      <w:r>
        <w:tab/>
      </w:r>
    </w:p>
    <w:p w14:paraId="550F89B6" w14:textId="78E0C16D" w:rsidR="00D503A6" w:rsidRPr="000A5351" w:rsidRDefault="005F71E8" w:rsidP="00D503A6">
      <w:pPr>
        <w:spacing w:line="360" w:lineRule="auto"/>
        <w:jc w:val="right"/>
      </w:pPr>
      <w:r w:rsidRPr="000A5351">
        <w:t>_________________________</w:t>
      </w:r>
    </w:p>
    <w:p w14:paraId="5022E0D6" w14:textId="77777777" w:rsidR="00D503A6" w:rsidRPr="000A5351" w:rsidRDefault="00D503A6" w:rsidP="00D503A6">
      <w:pPr>
        <w:spacing w:line="360" w:lineRule="auto"/>
        <w:jc w:val="right"/>
      </w:pPr>
      <w:r w:rsidRPr="000A5351">
        <w:t>M V PHATSHOANE</w:t>
      </w:r>
    </w:p>
    <w:p w14:paraId="651843C9" w14:textId="77777777" w:rsidR="00D503A6" w:rsidRPr="000A5351" w:rsidRDefault="00EB213E" w:rsidP="00C23994">
      <w:pPr>
        <w:spacing w:line="360" w:lineRule="auto"/>
        <w:jc w:val="right"/>
      </w:pPr>
      <w:r w:rsidRPr="000A5351">
        <w:t>ACTING JUDGE OF APPEAL</w:t>
      </w:r>
    </w:p>
    <w:p w14:paraId="72E3212D" w14:textId="77777777" w:rsidR="002C40E5" w:rsidRPr="000A5351" w:rsidRDefault="002C40E5" w:rsidP="00EB213E">
      <w:pPr>
        <w:spacing w:after="160" w:line="259" w:lineRule="auto"/>
        <w:jc w:val="left"/>
      </w:pPr>
    </w:p>
    <w:p w14:paraId="1F8CCCE4" w14:textId="77777777" w:rsidR="002C40E5" w:rsidRPr="000A5351" w:rsidRDefault="002C40E5" w:rsidP="00EB213E">
      <w:pPr>
        <w:spacing w:after="160" w:line="259" w:lineRule="auto"/>
        <w:jc w:val="left"/>
      </w:pPr>
    </w:p>
    <w:p w14:paraId="0768E4FB" w14:textId="77777777" w:rsidR="005C1646" w:rsidRPr="000A5351" w:rsidRDefault="005C1646" w:rsidP="00EB213E">
      <w:pPr>
        <w:spacing w:after="160" w:line="259" w:lineRule="auto"/>
        <w:jc w:val="left"/>
      </w:pPr>
    </w:p>
    <w:p w14:paraId="5FEBE9F1" w14:textId="77777777" w:rsidR="00FB3989" w:rsidRDefault="00FB3989" w:rsidP="00EB213E">
      <w:pPr>
        <w:spacing w:after="160" w:line="259" w:lineRule="auto"/>
        <w:jc w:val="left"/>
      </w:pPr>
    </w:p>
    <w:p w14:paraId="787AB8EF" w14:textId="77777777" w:rsidR="00FB3989" w:rsidRDefault="00FB3989" w:rsidP="00EB213E">
      <w:pPr>
        <w:spacing w:after="160" w:line="259" w:lineRule="auto"/>
        <w:jc w:val="left"/>
      </w:pPr>
    </w:p>
    <w:p w14:paraId="1715A8BB" w14:textId="77777777" w:rsidR="00FB3989" w:rsidRDefault="00FB3989" w:rsidP="00EB213E">
      <w:pPr>
        <w:spacing w:after="160" w:line="259" w:lineRule="auto"/>
        <w:jc w:val="left"/>
      </w:pPr>
    </w:p>
    <w:p w14:paraId="34F6C3CF" w14:textId="77777777" w:rsidR="00FB3989" w:rsidRDefault="00FB3989" w:rsidP="00EB213E">
      <w:pPr>
        <w:spacing w:after="160" w:line="259" w:lineRule="auto"/>
        <w:jc w:val="left"/>
      </w:pPr>
    </w:p>
    <w:p w14:paraId="79C2A6AD" w14:textId="77777777" w:rsidR="00FB3989" w:rsidRDefault="00FB3989" w:rsidP="00EB213E">
      <w:pPr>
        <w:spacing w:after="160" w:line="259" w:lineRule="auto"/>
        <w:jc w:val="left"/>
      </w:pPr>
    </w:p>
    <w:p w14:paraId="3B8129D1" w14:textId="77777777" w:rsidR="00FB3989" w:rsidRDefault="00FB3989" w:rsidP="00EB213E">
      <w:pPr>
        <w:spacing w:after="160" w:line="259" w:lineRule="auto"/>
        <w:jc w:val="left"/>
      </w:pPr>
    </w:p>
    <w:p w14:paraId="652E1136" w14:textId="77777777" w:rsidR="00FB3989" w:rsidRDefault="00FB3989" w:rsidP="00EB213E">
      <w:pPr>
        <w:spacing w:after="160" w:line="259" w:lineRule="auto"/>
        <w:jc w:val="left"/>
      </w:pPr>
    </w:p>
    <w:p w14:paraId="3357401A" w14:textId="77777777" w:rsidR="00FB3989" w:rsidRDefault="00FB3989" w:rsidP="00EB213E">
      <w:pPr>
        <w:spacing w:after="160" w:line="259" w:lineRule="auto"/>
        <w:jc w:val="left"/>
      </w:pPr>
    </w:p>
    <w:p w14:paraId="3542E61C" w14:textId="77777777" w:rsidR="00FB3989" w:rsidRDefault="00FB3989" w:rsidP="00EB213E">
      <w:pPr>
        <w:spacing w:after="160" w:line="259" w:lineRule="auto"/>
        <w:jc w:val="left"/>
      </w:pPr>
    </w:p>
    <w:p w14:paraId="628290A5" w14:textId="77777777" w:rsidR="00FB3989" w:rsidRDefault="00FB3989" w:rsidP="00EB213E">
      <w:pPr>
        <w:spacing w:after="160" w:line="259" w:lineRule="auto"/>
        <w:jc w:val="left"/>
      </w:pPr>
    </w:p>
    <w:p w14:paraId="055C9592" w14:textId="5C8714E9" w:rsidR="00C23994" w:rsidRPr="000A5351" w:rsidRDefault="00EB213E" w:rsidP="00EB213E">
      <w:pPr>
        <w:spacing w:after="160" w:line="259" w:lineRule="auto"/>
        <w:jc w:val="left"/>
      </w:pPr>
      <w:r w:rsidRPr="00815ABD">
        <w:lastRenderedPageBreak/>
        <w:t>Appearances</w:t>
      </w:r>
    </w:p>
    <w:p w14:paraId="4BE2BA03" w14:textId="77777777" w:rsidR="00EB213E" w:rsidRPr="000A5351" w:rsidRDefault="00EB213E" w:rsidP="00D503A6">
      <w:pPr>
        <w:spacing w:line="360" w:lineRule="auto"/>
      </w:pPr>
    </w:p>
    <w:p w14:paraId="5406D2DD" w14:textId="77777777" w:rsidR="00D503A6" w:rsidRPr="000A5351" w:rsidRDefault="00D503A6" w:rsidP="00D503A6">
      <w:pPr>
        <w:spacing w:line="360" w:lineRule="auto"/>
      </w:pPr>
      <w:r w:rsidRPr="000A5351">
        <w:t xml:space="preserve">For </w:t>
      </w:r>
      <w:r w:rsidR="00F81A92" w:rsidRPr="000A5351">
        <w:t xml:space="preserve">the </w:t>
      </w:r>
      <w:r w:rsidRPr="000A5351">
        <w:t>appellant:</w:t>
      </w:r>
      <w:r w:rsidRPr="000A5351">
        <w:tab/>
      </w:r>
      <w:r w:rsidRPr="000A5351">
        <w:tab/>
      </w:r>
      <w:r w:rsidRPr="000A5351">
        <w:tab/>
      </w:r>
      <w:r w:rsidR="002A4CFF" w:rsidRPr="000A5351">
        <w:t>P Stais SC</w:t>
      </w:r>
      <w:r w:rsidRPr="000A5351">
        <w:t xml:space="preserve"> </w:t>
      </w:r>
    </w:p>
    <w:p w14:paraId="24D456F5" w14:textId="77777777" w:rsidR="00D503A6" w:rsidRPr="000A5351" w:rsidRDefault="00D503A6" w:rsidP="00D503A6">
      <w:pPr>
        <w:spacing w:line="360" w:lineRule="auto"/>
        <w:rPr>
          <w:bCs/>
        </w:rPr>
      </w:pPr>
      <w:r w:rsidRPr="000A5351">
        <w:rPr>
          <w:bCs/>
        </w:rPr>
        <w:t>Instructed by:</w:t>
      </w:r>
      <w:r w:rsidRPr="000A5351">
        <w:rPr>
          <w:bCs/>
        </w:rPr>
        <w:tab/>
      </w:r>
      <w:r w:rsidRPr="000A5351">
        <w:rPr>
          <w:bCs/>
        </w:rPr>
        <w:tab/>
      </w:r>
      <w:r w:rsidRPr="000A5351">
        <w:rPr>
          <w:bCs/>
        </w:rPr>
        <w:tab/>
      </w:r>
      <w:r w:rsidR="002A4CFF" w:rsidRPr="000A5351">
        <w:rPr>
          <w:bCs/>
        </w:rPr>
        <w:t>Prinsloo Inc</w:t>
      </w:r>
      <w:r w:rsidR="005F71E8" w:rsidRPr="000A5351">
        <w:rPr>
          <w:bCs/>
        </w:rPr>
        <w:t>orporated</w:t>
      </w:r>
      <w:r w:rsidR="002A4CFF" w:rsidRPr="000A5351">
        <w:rPr>
          <w:bCs/>
        </w:rPr>
        <w:t xml:space="preserve">, </w:t>
      </w:r>
      <w:r w:rsidRPr="000A5351">
        <w:rPr>
          <w:bCs/>
        </w:rPr>
        <w:t xml:space="preserve">Johannesburg  </w:t>
      </w:r>
    </w:p>
    <w:p w14:paraId="0118B359" w14:textId="2C02C03A" w:rsidR="00D503A6" w:rsidRPr="000A5351" w:rsidRDefault="00D503A6" w:rsidP="00D503A6">
      <w:pPr>
        <w:spacing w:line="360" w:lineRule="auto"/>
        <w:ind w:left="459" w:firstLine="1701"/>
        <w:rPr>
          <w:bCs/>
        </w:rPr>
      </w:pPr>
      <w:r w:rsidRPr="000A5351">
        <w:rPr>
          <w:bCs/>
        </w:rPr>
        <w:tab/>
      </w:r>
      <w:r w:rsidRPr="000A5351">
        <w:rPr>
          <w:bCs/>
        </w:rPr>
        <w:tab/>
      </w:r>
      <w:r w:rsidR="002A4CFF" w:rsidRPr="000A5351">
        <w:rPr>
          <w:bCs/>
        </w:rPr>
        <w:t xml:space="preserve">Rosendorff Reitz Barry </w:t>
      </w:r>
      <w:r w:rsidRPr="000A5351">
        <w:rPr>
          <w:bCs/>
        </w:rPr>
        <w:t>Attorneys, Bloemfontein</w:t>
      </w:r>
    </w:p>
    <w:p w14:paraId="2BA5159B" w14:textId="77777777" w:rsidR="00D503A6" w:rsidRPr="000A5351" w:rsidRDefault="00D503A6" w:rsidP="00D503A6">
      <w:pPr>
        <w:spacing w:line="360" w:lineRule="auto"/>
        <w:rPr>
          <w:bCs/>
        </w:rPr>
      </w:pPr>
    </w:p>
    <w:p w14:paraId="773A9E98" w14:textId="77777777" w:rsidR="00D503A6" w:rsidRPr="000A5351" w:rsidRDefault="00D503A6" w:rsidP="00D503A6">
      <w:pPr>
        <w:spacing w:line="360" w:lineRule="auto"/>
        <w:rPr>
          <w:bCs/>
        </w:rPr>
      </w:pPr>
      <w:r w:rsidRPr="000A5351">
        <w:rPr>
          <w:bCs/>
        </w:rPr>
        <w:t xml:space="preserve">For the </w:t>
      </w:r>
      <w:r w:rsidR="00F81A92" w:rsidRPr="000A5351">
        <w:rPr>
          <w:bCs/>
        </w:rPr>
        <w:t>respondent</w:t>
      </w:r>
      <w:r w:rsidR="002A4CFF" w:rsidRPr="000A5351">
        <w:rPr>
          <w:bCs/>
        </w:rPr>
        <w:t>:</w:t>
      </w:r>
      <w:r w:rsidR="00F81A92" w:rsidRPr="000A5351">
        <w:rPr>
          <w:bCs/>
        </w:rPr>
        <w:tab/>
      </w:r>
      <w:r w:rsidR="002A4CFF" w:rsidRPr="000A5351">
        <w:rPr>
          <w:bCs/>
        </w:rPr>
        <w:tab/>
      </w:r>
      <w:r w:rsidR="002A4CFF" w:rsidRPr="000A5351">
        <w:rPr>
          <w:bCs/>
        </w:rPr>
        <w:tab/>
      </w:r>
      <w:r w:rsidR="00F81A92" w:rsidRPr="000A5351">
        <w:rPr>
          <w:bCs/>
        </w:rPr>
        <w:t>J Marais SC (with C Gibson)</w:t>
      </w:r>
    </w:p>
    <w:p w14:paraId="1EE316E8" w14:textId="77777777" w:rsidR="00D503A6" w:rsidRPr="000A5351" w:rsidRDefault="00D503A6" w:rsidP="00D503A6">
      <w:pPr>
        <w:spacing w:line="360" w:lineRule="auto"/>
        <w:ind w:left="2160" w:hanging="2160"/>
        <w:rPr>
          <w:bCs/>
        </w:rPr>
      </w:pPr>
      <w:r w:rsidRPr="000A5351">
        <w:rPr>
          <w:bCs/>
        </w:rPr>
        <w:t>Instructed by:</w:t>
      </w:r>
      <w:r w:rsidRPr="000A5351">
        <w:rPr>
          <w:bCs/>
        </w:rPr>
        <w:tab/>
      </w:r>
      <w:r w:rsidRPr="000A5351">
        <w:rPr>
          <w:bCs/>
        </w:rPr>
        <w:tab/>
      </w:r>
      <w:r w:rsidRPr="000A5351">
        <w:rPr>
          <w:bCs/>
        </w:rPr>
        <w:tab/>
      </w:r>
      <w:r w:rsidR="00F81A92" w:rsidRPr="000A5351">
        <w:rPr>
          <w:bCs/>
        </w:rPr>
        <w:t>EVH Incorporated, Umhlanga</w:t>
      </w:r>
      <w:r w:rsidRPr="000A5351">
        <w:rPr>
          <w:bCs/>
        </w:rPr>
        <w:t xml:space="preserve"> </w:t>
      </w:r>
    </w:p>
    <w:p w14:paraId="24580BCF" w14:textId="5A39F828" w:rsidR="00D503A6" w:rsidRDefault="00F81A92" w:rsidP="00F1153D">
      <w:pPr>
        <w:spacing w:line="360" w:lineRule="auto"/>
        <w:ind w:left="2880" w:firstLine="720"/>
        <w:rPr>
          <w:b/>
          <w:bCs/>
          <w:color w:val="000000"/>
        </w:rPr>
      </w:pPr>
      <w:r w:rsidRPr="000A5351">
        <w:rPr>
          <w:bCs/>
        </w:rPr>
        <w:t>Lovius Block Incorporated</w:t>
      </w:r>
      <w:r w:rsidR="00D503A6" w:rsidRPr="000A5351">
        <w:rPr>
          <w:bCs/>
        </w:rPr>
        <w:t>, Bloemfontein</w:t>
      </w:r>
    </w:p>
    <w:p w14:paraId="60C9CD7A" w14:textId="77777777" w:rsidR="0092231C" w:rsidRDefault="0092231C" w:rsidP="0092231C">
      <w:pPr>
        <w:rPr>
          <w:rFonts w:ascii="Verdana" w:hAnsi="Verdana"/>
          <w:color w:val="000000"/>
          <w:sz w:val="20"/>
          <w:szCs w:val="20"/>
        </w:rPr>
      </w:pPr>
    </w:p>
    <w:p w14:paraId="38DCB3E3" w14:textId="77777777" w:rsidR="0092231C" w:rsidRDefault="0092231C" w:rsidP="0092231C">
      <w:pPr>
        <w:rPr>
          <w:rFonts w:ascii="Verdana" w:hAnsi="Verdana"/>
          <w:color w:val="000000"/>
          <w:sz w:val="20"/>
          <w:szCs w:val="20"/>
        </w:rPr>
      </w:pPr>
    </w:p>
    <w:p w14:paraId="05EDDAE5" w14:textId="77777777" w:rsidR="0092231C" w:rsidRDefault="0092231C" w:rsidP="0092231C">
      <w:pPr>
        <w:spacing w:line="360" w:lineRule="auto"/>
        <w:rPr>
          <w:rFonts w:ascii="Verdana" w:hAnsi="Verdana"/>
          <w:color w:val="000000"/>
          <w:sz w:val="20"/>
          <w:szCs w:val="20"/>
        </w:rPr>
      </w:pPr>
    </w:p>
    <w:sectPr w:rsidR="0092231C" w:rsidSect="005A2B90">
      <w:headerReference w:type="default" r:id="rId9"/>
      <w:footerReference w:type="default" r:id="rId10"/>
      <w:pgSz w:w="12240" w:h="15840" w:code="1"/>
      <w:pgMar w:top="1440" w:right="1440" w:bottom="1440" w:left="1440" w:header="709"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477DE" w16cid:durableId="255DBD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D4A28" w14:textId="77777777" w:rsidR="00DF714F" w:rsidRDefault="00DF714F" w:rsidP="00D503A6">
      <w:r>
        <w:separator/>
      </w:r>
    </w:p>
  </w:endnote>
  <w:endnote w:type="continuationSeparator" w:id="0">
    <w:p w14:paraId="00366818" w14:textId="77777777" w:rsidR="00DF714F" w:rsidRDefault="00DF714F" w:rsidP="00D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D860" w14:textId="77777777" w:rsidR="00191F37" w:rsidRDefault="00191F37" w:rsidP="005A2B90">
    <w:pPr>
      <w:pStyle w:val="Footer"/>
      <w:framePr w:wrap="auto" w:vAnchor="text" w:hAnchor="margin" w:xAlign="right" w:y="1"/>
      <w:rPr>
        <w:rStyle w:val="PageNumber"/>
      </w:rPr>
    </w:pPr>
  </w:p>
  <w:p w14:paraId="09DF9938" w14:textId="77777777" w:rsidR="00191F37" w:rsidRDefault="00191F37" w:rsidP="005A2B9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B3F10" w14:textId="77777777" w:rsidR="00DF714F" w:rsidRDefault="00DF714F" w:rsidP="00D503A6">
      <w:r>
        <w:separator/>
      </w:r>
    </w:p>
  </w:footnote>
  <w:footnote w:type="continuationSeparator" w:id="0">
    <w:p w14:paraId="1C0F40D4" w14:textId="77777777" w:rsidR="00DF714F" w:rsidRDefault="00DF714F" w:rsidP="00D503A6">
      <w:r>
        <w:continuationSeparator/>
      </w:r>
    </w:p>
  </w:footnote>
  <w:footnote w:id="1">
    <w:p w14:paraId="205B8FD2" w14:textId="77777777" w:rsidR="00CD1F9A" w:rsidRPr="00A25A9D" w:rsidRDefault="00CD1F9A" w:rsidP="00CD1F9A">
      <w:pPr>
        <w:pStyle w:val="FootnoteText"/>
        <w:jc w:val="both"/>
        <w:rPr>
          <w:lang w:val="en-GB"/>
        </w:rPr>
      </w:pPr>
      <w:r w:rsidRPr="00CC7CB6">
        <w:rPr>
          <w:rStyle w:val="FootnoteReference"/>
        </w:rPr>
        <w:footnoteRef/>
      </w:r>
      <w:r w:rsidRPr="00CC7CB6">
        <w:t xml:space="preserve"> </w:t>
      </w:r>
      <w:r w:rsidRPr="00CC7CB6">
        <w:rPr>
          <w:lang w:val="en-GB"/>
        </w:rPr>
        <w:t>Clause 3 of the South African Association of Freight Forwarders Trading Terms and Conditions (STC).</w:t>
      </w:r>
    </w:p>
  </w:footnote>
  <w:footnote w:id="2">
    <w:p w14:paraId="4B273658" w14:textId="52832E6A" w:rsidR="00593954" w:rsidRPr="001A29A9" w:rsidRDefault="00593954" w:rsidP="00593954">
      <w:pPr>
        <w:pStyle w:val="FootnoteText"/>
        <w:jc w:val="both"/>
        <w:rPr>
          <w:lang w:val="en-ZA"/>
        </w:rPr>
      </w:pPr>
      <w:r w:rsidRPr="00CC7CB6">
        <w:rPr>
          <w:rStyle w:val="FootnoteReference"/>
          <w:rFonts w:cs="Arial"/>
        </w:rPr>
        <w:footnoteRef/>
      </w:r>
      <w:r w:rsidRPr="00CC7CB6">
        <w:t xml:space="preserve"> </w:t>
      </w:r>
      <w:r w:rsidR="003C202B">
        <w:t xml:space="preserve">See </w:t>
      </w:r>
      <w:r w:rsidRPr="00CC7CB6">
        <w:rPr>
          <w:i/>
          <w:lang w:val="en-GB"/>
        </w:rPr>
        <w:t>K v Minister of Safety and Security</w:t>
      </w:r>
      <w:r w:rsidRPr="00CC7CB6">
        <w:rPr>
          <w:lang w:val="en-GB"/>
        </w:rPr>
        <w:t xml:space="preserve"> 2005 (6) SA 419 (CC)</w:t>
      </w:r>
      <w:r w:rsidRPr="00CC7CB6">
        <w:rPr>
          <w:lang w:val="en-ZA" w:eastAsia="en-US"/>
        </w:rPr>
        <w:t xml:space="preserve">; </w:t>
      </w:r>
      <w:r w:rsidRPr="00CC7CB6">
        <w:rPr>
          <w:lang w:val="en-ZA"/>
        </w:rPr>
        <w:t xml:space="preserve">2005 (9) BCLR 835 (CC) </w:t>
      </w:r>
      <w:r w:rsidRPr="00CC7CB6">
        <w:rPr>
          <w:lang w:val="en-GB"/>
        </w:rPr>
        <w:t>paras 44-45</w:t>
      </w:r>
      <w:r w:rsidR="003C202B">
        <w:rPr>
          <w:lang w:val="en-GB"/>
        </w:rPr>
        <w:t xml:space="preserve">; </w:t>
      </w:r>
      <w:r w:rsidRPr="00CC7CB6">
        <w:rPr>
          <w:i/>
          <w:lang w:val="en-GB"/>
        </w:rPr>
        <w:t>Stallion Security (Pty) Ltd v Van Staden</w:t>
      </w:r>
      <w:r w:rsidRPr="00CC7CB6">
        <w:rPr>
          <w:lang w:val="en-GB"/>
        </w:rPr>
        <w:t xml:space="preserve"> [2019] ZASCA 127; 2020 (1) SA 64 (SCA) para 32</w:t>
      </w:r>
      <w:r w:rsidR="003C202B">
        <w:rPr>
          <w:lang w:val="en-GB"/>
        </w:rPr>
        <w:t xml:space="preserve">. </w:t>
      </w:r>
    </w:p>
  </w:footnote>
  <w:footnote w:id="3">
    <w:p w14:paraId="032754D1" w14:textId="77777777" w:rsidR="00F62E9A" w:rsidRPr="00CC7CB6" w:rsidRDefault="00F62E9A" w:rsidP="00F62E9A">
      <w:pPr>
        <w:pStyle w:val="FootnoteText"/>
        <w:jc w:val="both"/>
        <w:rPr>
          <w:lang w:val="en-GB"/>
        </w:rPr>
      </w:pPr>
      <w:r w:rsidRPr="00CC7CB6">
        <w:rPr>
          <w:rStyle w:val="FootnoteReference"/>
          <w:rFonts w:cs="Arial"/>
        </w:rPr>
        <w:footnoteRef/>
      </w:r>
      <w:r w:rsidRPr="00CC7CB6">
        <w:t xml:space="preserve"> </w:t>
      </w:r>
      <w:r w:rsidRPr="00CC7CB6">
        <w:rPr>
          <w:i/>
          <w:iCs/>
        </w:rPr>
        <w:t>Natal Joint Municipal Pension Fund v Endumeni Municipality</w:t>
      </w:r>
      <w:r w:rsidRPr="00CC7CB6">
        <w:t> </w:t>
      </w:r>
      <w:r w:rsidRPr="003E0778">
        <w:rPr>
          <w:lang w:val="en-GB"/>
        </w:rPr>
        <w:t xml:space="preserve">[2012] ZASCA 13; </w:t>
      </w:r>
      <w:r w:rsidRPr="003E0778">
        <w:t>2012 (4) SA 593 (SCA)</w:t>
      </w:r>
      <w:r w:rsidRPr="00455422">
        <w:t xml:space="preserve">; [2012] 2 All SA </w:t>
      </w:r>
      <w:r w:rsidRPr="00CC7CB6">
        <w:t>262 para 18.</w:t>
      </w:r>
    </w:p>
  </w:footnote>
  <w:footnote w:id="4">
    <w:p w14:paraId="73A763B5" w14:textId="77777777" w:rsidR="00191F37" w:rsidRPr="00CC7CB6" w:rsidRDefault="00191F37" w:rsidP="00455422">
      <w:pPr>
        <w:pStyle w:val="FootnoteText"/>
        <w:jc w:val="both"/>
        <w:rPr>
          <w:lang w:val="en-GB"/>
        </w:rPr>
      </w:pPr>
      <w:r w:rsidRPr="00CC7CB6">
        <w:rPr>
          <w:rStyle w:val="FootnoteReference"/>
        </w:rPr>
        <w:footnoteRef/>
      </w:r>
      <w:r w:rsidRPr="00CC7CB6">
        <w:t xml:space="preserve"> </w:t>
      </w:r>
      <w:r w:rsidRPr="00766D03">
        <w:rPr>
          <w:i/>
          <w:lang w:val="en-GB"/>
        </w:rPr>
        <w:t>Weinberg v Olivier</w:t>
      </w:r>
      <w:r w:rsidRPr="00766D03">
        <w:rPr>
          <w:lang w:val="en-GB"/>
        </w:rPr>
        <w:t xml:space="preserve"> 1943 AD 181 at 188</w:t>
      </w:r>
      <w:r w:rsidR="00CC7CB6" w:rsidRPr="00766D03">
        <w:rPr>
          <w:lang w:val="en-GB"/>
        </w:rPr>
        <w:t>.</w:t>
      </w:r>
    </w:p>
  </w:footnote>
  <w:footnote w:id="5">
    <w:p w14:paraId="77A9178D" w14:textId="77777777" w:rsidR="00191F37" w:rsidRPr="001A29A9" w:rsidRDefault="00191F37">
      <w:pPr>
        <w:pStyle w:val="FootnoteText"/>
        <w:jc w:val="both"/>
        <w:rPr>
          <w:bCs/>
          <w:shd w:val="clear" w:color="auto" w:fill="FFFFFF"/>
          <w:lang w:val="en-ZA"/>
        </w:rPr>
      </w:pPr>
      <w:r w:rsidRPr="00CC7CB6">
        <w:rPr>
          <w:rStyle w:val="FootnoteReference"/>
          <w:rFonts w:cs="Arial"/>
        </w:rPr>
        <w:footnoteRef/>
      </w:r>
      <w:r w:rsidRPr="00CC7CB6">
        <w:t xml:space="preserve"> </w:t>
      </w:r>
      <w:r w:rsidRPr="00CC7CB6">
        <w:rPr>
          <w:bCs/>
          <w:i/>
          <w:shd w:val="clear" w:color="auto" w:fill="FFFFFF"/>
        </w:rPr>
        <w:t xml:space="preserve">First National Bank of Southern Africa Ltd v Rosenblum and Another </w:t>
      </w:r>
      <w:r w:rsidRPr="00CC7CB6">
        <w:rPr>
          <w:bCs/>
          <w:shd w:val="clear" w:color="auto" w:fill="FFFFFF"/>
        </w:rPr>
        <w:t>[</w:t>
      </w:r>
      <w:r w:rsidRPr="00766D03">
        <w:rPr>
          <w:bCs/>
          <w:shd w:val="clear" w:color="auto" w:fill="FFFFFF"/>
        </w:rPr>
        <w:t>2001] 4 All SA 355 (A)</w:t>
      </w:r>
      <w:r w:rsidR="00877A46" w:rsidRPr="00766D03">
        <w:rPr>
          <w:bCs/>
          <w:shd w:val="clear" w:color="auto" w:fill="FFFFFF"/>
        </w:rPr>
        <w:t>;</w:t>
      </w:r>
      <w:r w:rsidR="00877A46" w:rsidRPr="00A25A9D">
        <w:rPr>
          <w:bCs/>
          <w:shd w:val="clear" w:color="auto" w:fill="FFFFFF"/>
        </w:rPr>
        <w:t xml:space="preserve"> </w:t>
      </w:r>
      <w:r w:rsidR="00877A46" w:rsidRPr="00A25A9D">
        <w:rPr>
          <w:bCs/>
          <w:shd w:val="clear" w:color="auto" w:fill="FFFFFF"/>
          <w:lang w:val="en-ZA"/>
        </w:rPr>
        <w:t>2001 (4) SA 189 (SCA)</w:t>
      </w:r>
      <w:r w:rsidRPr="00A25A9D">
        <w:rPr>
          <w:bCs/>
          <w:shd w:val="clear" w:color="auto" w:fill="FFFFFF"/>
        </w:rPr>
        <w:t xml:space="preserve"> para 6.</w:t>
      </w:r>
    </w:p>
  </w:footnote>
  <w:footnote w:id="6">
    <w:p w14:paraId="2CF985B8" w14:textId="77777777" w:rsidR="00191F37" w:rsidRPr="001A29A9" w:rsidRDefault="00191F37">
      <w:pPr>
        <w:rPr>
          <w:bCs/>
          <w:sz w:val="20"/>
          <w:szCs w:val="20"/>
          <w:lang w:val="en-ZA"/>
        </w:rPr>
      </w:pPr>
      <w:r w:rsidRPr="00CC7CB6">
        <w:rPr>
          <w:rStyle w:val="FootnoteReference"/>
          <w:rFonts w:cs="Arial"/>
          <w:sz w:val="20"/>
          <w:szCs w:val="20"/>
        </w:rPr>
        <w:footnoteRef/>
      </w:r>
      <w:r w:rsidRPr="00CC7CB6">
        <w:rPr>
          <w:sz w:val="20"/>
          <w:szCs w:val="20"/>
        </w:rPr>
        <w:t xml:space="preserve"> </w:t>
      </w:r>
      <w:r w:rsidRPr="00294265">
        <w:rPr>
          <w:bCs/>
          <w:i/>
          <w:sz w:val="20"/>
          <w:szCs w:val="20"/>
        </w:rPr>
        <w:t>Durban’s Water Wonderland (Pty) Ltd v Botha and Another</w:t>
      </w:r>
      <w:r w:rsidRPr="00294265">
        <w:rPr>
          <w:bCs/>
          <w:sz w:val="20"/>
          <w:szCs w:val="20"/>
        </w:rPr>
        <w:t xml:space="preserve"> </w:t>
      </w:r>
      <w:r w:rsidR="00E029E7" w:rsidRPr="00294265">
        <w:rPr>
          <w:bCs/>
          <w:sz w:val="20"/>
          <w:szCs w:val="20"/>
          <w:lang w:val="en-ZA"/>
        </w:rPr>
        <w:t xml:space="preserve">[1999] 1 All SA 411 (A); </w:t>
      </w:r>
      <w:r w:rsidRPr="00294265">
        <w:rPr>
          <w:bCs/>
          <w:sz w:val="20"/>
          <w:szCs w:val="20"/>
        </w:rPr>
        <w:t>1999 (1) SA 982 (SCA)</w:t>
      </w:r>
      <w:r w:rsidRPr="00A25A9D">
        <w:rPr>
          <w:bCs/>
          <w:sz w:val="20"/>
          <w:szCs w:val="20"/>
        </w:rPr>
        <w:t xml:space="preserve"> at 989G-I</w:t>
      </w:r>
      <w:r w:rsidR="00E029E7" w:rsidRPr="00A25A9D">
        <w:rPr>
          <w:bCs/>
          <w:sz w:val="20"/>
          <w:szCs w:val="20"/>
        </w:rPr>
        <w:t>.</w:t>
      </w:r>
      <w:r w:rsidRPr="00A25A9D">
        <w:rPr>
          <w:bCs/>
          <w:sz w:val="20"/>
          <w:szCs w:val="20"/>
        </w:rPr>
        <w:t xml:space="preserve"> </w:t>
      </w:r>
    </w:p>
  </w:footnote>
  <w:footnote w:id="7">
    <w:p w14:paraId="6E6D2062" w14:textId="77777777" w:rsidR="00E010ED" w:rsidRPr="003E0778" w:rsidRDefault="00E010ED">
      <w:pPr>
        <w:pStyle w:val="FootnoteText"/>
        <w:jc w:val="both"/>
        <w:rPr>
          <w:lang w:val="en-GB"/>
        </w:rPr>
      </w:pPr>
      <w:r w:rsidRPr="00CC7CB6">
        <w:rPr>
          <w:rStyle w:val="FootnoteReference"/>
        </w:rPr>
        <w:footnoteRef/>
      </w:r>
      <w:r w:rsidRPr="00CC7CB6">
        <w:t xml:space="preserve"> </w:t>
      </w:r>
      <w:r w:rsidR="0061766C" w:rsidRPr="004A7EA5">
        <w:rPr>
          <w:lang w:val="en-GB"/>
        </w:rPr>
        <w:t>Concise Oxford English Dictionary Tenth ed (1999)</w:t>
      </w:r>
      <w:r w:rsidRPr="004A7EA5">
        <w:rPr>
          <w:lang w:val="en-GB"/>
        </w:rPr>
        <w:t>.</w:t>
      </w:r>
    </w:p>
  </w:footnote>
  <w:footnote w:id="8">
    <w:p w14:paraId="173E16A7" w14:textId="77777777" w:rsidR="00191F37" w:rsidRPr="001C36B6" w:rsidRDefault="00191F37">
      <w:pPr>
        <w:pStyle w:val="FootnoteText"/>
        <w:jc w:val="both"/>
        <w:rPr>
          <w:lang w:val="en-GB"/>
        </w:rPr>
      </w:pPr>
      <w:r w:rsidRPr="00E4081E">
        <w:rPr>
          <w:rStyle w:val="FootnoteReference"/>
        </w:rPr>
        <w:footnoteRef/>
      </w:r>
      <w:r w:rsidRPr="00E4081E">
        <w:t xml:space="preserve"> </w:t>
      </w:r>
      <w:r w:rsidRPr="00C64B8E">
        <w:rPr>
          <w:lang w:val="en-GB"/>
        </w:rPr>
        <w:t>Sub-clause 40.1.3</w:t>
      </w:r>
      <w:r w:rsidR="00455422">
        <w:rPr>
          <w:lang w:val="en-GB"/>
        </w:rPr>
        <w:t>.</w:t>
      </w:r>
    </w:p>
  </w:footnote>
  <w:footnote w:id="9">
    <w:p w14:paraId="2C923533" w14:textId="40B34DCE" w:rsidR="00191F37" w:rsidRPr="00455422" w:rsidRDefault="00191F37">
      <w:pPr>
        <w:pStyle w:val="FootnoteText"/>
        <w:jc w:val="both"/>
        <w:rPr>
          <w:lang w:val="en-GB"/>
        </w:rPr>
      </w:pPr>
      <w:r w:rsidRPr="001C36B6">
        <w:rPr>
          <w:rStyle w:val="FootnoteReference"/>
          <w:rFonts w:cs="Arial"/>
        </w:rPr>
        <w:footnoteRef/>
      </w:r>
      <w:r w:rsidRPr="001C36B6">
        <w:t xml:space="preserve"> </w:t>
      </w:r>
      <w:r w:rsidRPr="00455422">
        <w:rPr>
          <w:bCs/>
          <w:i/>
        </w:rPr>
        <w:t>Goodman Brothers (Pty) Ltd v Rennies Group Ltd</w:t>
      </w:r>
      <w:r w:rsidRPr="00455422">
        <w:rPr>
          <w:b/>
          <w:bCs/>
        </w:rPr>
        <w:t xml:space="preserve"> </w:t>
      </w:r>
      <w:r w:rsidRPr="00455422">
        <w:rPr>
          <w:bCs/>
        </w:rPr>
        <w:t>1997 (4) SA 91 (W)</w:t>
      </w:r>
      <w:r w:rsidR="004D060F">
        <w:rPr>
          <w:bCs/>
        </w:rPr>
        <w:t xml:space="preserve"> </w:t>
      </w:r>
      <w:r w:rsidR="004D060F" w:rsidRPr="00E3792B">
        <w:rPr>
          <w:bCs/>
          <w:i/>
        </w:rPr>
        <w:t>(</w:t>
      </w:r>
      <w:r w:rsidR="004D060F" w:rsidRPr="004D060F">
        <w:rPr>
          <w:bCs/>
          <w:i/>
          <w:lang w:val="en-GB"/>
        </w:rPr>
        <w:t>Goodman Brothers</w:t>
      </w:r>
      <w:r w:rsidR="004D060F">
        <w:rPr>
          <w:bCs/>
          <w:i/>
          <w:lang w:val="en-GB"/>
        </w:rPr>
        <w:t>)</w:t>
      </w:r>
      <w:r w:rsidRPr="00455422">
        <w:rPr>
          <w:bCs/>
        </w:rPr>
        <w:t>.</w:t>
      </w:r>
    </w:p>
  </w:footnote>
  <w:footnote w:id="10">
    <w:p w14:paraId="000FB854" w14:textId="3DEF6E9A" w:rsidR="006E432E" w:rsidRPr="00455422" w:rsidRDefault="006E432E">
      <w:pPr>
        <w:pStyle w:val="FootnoteText"/>
        <w:jc w:val="both"/>
        <w:rPr>
          <w:lang w:val="en-GB"/>
        </w:rPr>
      </w:pPr>
      <w:r w:rsidRPr="001C36B6">
        <w:rPr>
          <w:rStyle w:val="FootnoteReference"/>
        </w:rPr>
        <w:footnoteRef/>
      </w:r>
      <w:r w:rsidRPr="001C36B6">
        <w:t xml:space="preserve"> </w:t>
      </w:r>
      <w:r w:rsidR="000C129A" w:rsidRPr="000C129A">
        <w:rPr>
          <w:i/>
          <w:lang w:val="en-GB"/>
        </w:rPr>
        <w:t>Stallion Security (Pty) Ltd v Van Staden</w:t>
      </w:r>
      <w:r w:rsidR="000C129A" w:rsidRPr="000C129A">
        <w:rPr>
          <w:lang w:val="en-GB"/>
        </w:rPr>
        <w:t xml:space="preserve"> [2019] ZASCA 127; 2020 (1) SA 64 (SCA)</w:t>
      </w:r>
      <w:r w:rsidR="000C129A">
        <w:rPr>
          <w:lang w:val="en-GB"/>
        </w:rPr>
        <w:t>.</w:t>
      </w:r>
    </w:p>
  </w:footnote>
  <w:footnote w:id="11">
    <w:p w14:paraId="761F16F9" w14:textId="0E98E462" w:rsidR="00191F37" w:rsidRPr="00455422" w:rsidRDefault="00191F37">
      <w:pPr>
        <w:pStyle w:val="FootnoteText"/>
        <w:jc w:val="both"/>
        <w:rPr>
          <w:lang w:val="en-GB"/>
        </w:rPr>
      </w:pPr>
      <w:r w:rsidRPr="001C36B6">
        <w:rPr>
          <w:rStyle w:val="FootnoteReference"/>
          <w:rFonts w:cs="Arial"/>
        </w:rPr>
        <w:footnoteRef/>
      </w:r>
      <w:r w:rsidRPr="001C36B6">
        <w:t xml:space="preserve"> </w:t>
      </w:r>
      <w:r w:rsidRPr="00455422">
        <w:rPr>
          <w:bCs/>
          <w:i/>
          <w:shd w:val="clear" w:color="auto" w:fill="FFFFFF"/>
        </w:rPr>
        <w:t xml:space="preserve">First National Bank of Southern Africa Ltd </w:t>
      </w:r>
      <w:r w:rsidR="004D060F">
        <w:rPr>
          <w:bCs/>
          <w:shd w:val="clear" w:color="auto" w:fill="FFFFFF"/>
        </w:rPr>
        <w:t>supra,</w:t>
      </w:r>
      <w:r w:rsidR="000C129A">
        <w:rPr>
          <w:bCs/>
          <w:shd w:val="clear" w:color="auto" w:fill="FFFFFF"/>
        </w:rPr>
        <w:t xml:space="preserve"> </w:t>
      </w:r>
      <w:r w:rsidRPr="00455422">
        <w:rPr>
          <w:bCs/>
          <w:shd w:val="clear" w:color="auto" w:fill="FFFFFF"/>
        </w:rPr>
        <w:t xml:space="preserve">para 22. </w:t>
      </w:r>
    </w:p>
  </w:footnote>
  <w:footnote w:id="12">
    <w:p w14:paraId="21C151F6" w14:textId="77777777" w:rsidR="00247C8B" w:rsidRDefault="00247C8B" w:rsidP="001A29A9">
      <w:pPr>
        <w:pStyle w:val="FootnoteText"/>
        <w:jc w:val="both"/>
      </w:pPr>
      <w:r>
        <w:rPr>
          <w:rStyle w:val="FootnoteReference"/>
        </w:rPr>
        <w:footnoteRef/>
      </w:r>
      <w:r>
        <w:t xml:space="preserve"> </w:t>
      </w:r>
      <w:r w:rsidRPr="00247C8B">
        <w:rPr>
          <w:i/>
          <w:lang w:val="en-ZA"/>
        </w:rPr>
        <w:t>Goodman Brothers</w:t>
      </w:r>
      <w:r w:rsidRPr="00247C8B">
        <w:rPr>
          <w:lang w:val="en-ZA"/>
        </w:rPr>
        <w:t xml:space="preserve"> </w:t>
      </w:r>
      <w:r>
        <w:t>at 94E-G.</w:t>
      </w:r>
    </w:p>
  </w:footnote>
  <w:footnote w:id="13">
    <w:p w14:paraId="10720317" w14:textId="4D0B8486" w:rsidR="00191F37" w:rsidRPr="00CC7CB6" w:rsidRDefault="00191F37">
      <w:pPr>
        <w:pStyle w:val="FootnoteText"/>
        <w:jc w:val="both"/>
        <w:rPr>
          <w:lang w:val="en-GB"/>
        </w:rPr>
      </w:pPr>
      <w:r w:rsidRPr="00455422">
        <w:rPr>
          <w:rStyle w:val="FootnoteReference"/>
          <w:rFonts w:cs="Arial"/>
        </w:rPr>
        <w:footnoteRef/>
      </w:r>
      <w:r w:rsidRPr="00455422">
        <w:t xml:space="preserve"> </w:t>
      </w:r>
      <w:r w:rsidRPr="005F71E8">
        <w:rPr>
          <w:bCs/>
          <w:i/>
        </w:rPr>
        <w:t xml:space="preserve">G4S Cash Solutions (SA) (Pty) Ltd v Zandspruit Cash </w:t>
      </w:r>
      <w:r w:rsidR="00763FDB">
        <w:rPr>
          <w:bCs/>
          <w:i/>
        </w:rPr>
        <w:t>and</w:t>
      </w:r>
      <w:r w:rsidRPr="005F71E8">
        <w:rPr>
          <w:bCs/>
          <w:i/>
        </w:rPr>
        <w:t xml:space="preserve"> Carry (Pty) Ltd and Another</w:t>
      </w:r>
      <w:r w:rsidRPr="005F71E8">
        <w:rPr>
          <w:bCs/>
        </w:rPr>
        <w:t xml:space="preserve"> </w:t>
      </w:r>
      <w:r w:rsidR="00E15F22" w:rsidRPr="005F71E8">
        <w:rPr>
          <w:bCs/>
        </w:rPr>
        <w:t xml:space="preserve">[2016] ZASCA 113; </w:t>
      </w:r>
      <w:r w:rsidRPr="00CC7CB6">
        <w:rPr>
          <w:bCs/>
        </w:rPr>
        <w:t xml:space="preserve">2017 (2) SA 24 (SCA).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C85E" w14:textId="39A5EB99" w:rsidR="00191F37" w:rsidRDefault="00191F37" w:rsidP="005A2B9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1A4">
      <w:rPr>
        <w:rStyle w:val="PageNumber"/>
        <w:noProof/>
      </w:rPr>
      <w:t>2</w:t>
    </w:r>
    <w:r>
      <w:rPr>
        <w:rStyle w:val="PageNumber"/>
      </w:rPr>
      <w:fldChar w:fldCharType="end"/>
    </w:r>
  </w:p>
  <w:p w14:paraId="1A6396CB" w14:textId="77777777" w:rsidR="00191F37" w:rsidRDefault="00191F37" w:rsidP="005A2B90">
    <w:pPr>
      <w:pStyle w:val="Header"/>
      <w:framePr w:wrap="auto" w:vAnchor="text" w:hAnchor="margin" w:xAlign="center" w:y="1"/>
      <w:ind w:right="360"/>
      <w:rPr>
        <w:rStyle w:val="PageNumber"/>
      </w:rPr>
    </w:pPr>
  </w:p>
  <w:p w14:paraId="799C98A6" w14:textId="77777777" w:rsidR="00191F37" w:rsidRDefault="00191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57"/>
    <w:multiLevelType w:val="hybridMultilevel"/>
    <w:tmpl w:val="72E2D35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9A0F45"/>
    <w:multiLevelType w:val="hybridMultilevel"/>
    <w:tmpl w:val="4BCE9F36"/>
    <w:lvl w:ilvl="0" w:tplc="9236A270">
      <w:start w:val="1"/>
      <w:numFmt w:val="decimal"/>
      <w:lvlText w:val="%1."/>
      <w:lvlJc w:val="left"/>
      <w:pPr>
        <w:ind w:left="570" w:hanging="360"/>
      </w:pPr>
      <w:rPr>
        <w:rFonts w:hint="default"/>
      </w:rPr>
    </w:lvl>
    <w:lvl w:ilvl="1" w:tplc="1C090019" w:tentative="1">
      <w:start w:val="1"/>
      <w:numFmt w:val="lowerLetter"/>
      <w:lvlText w:val="%2."/>
      <w:lvlJc w:val="left"/>
      <w:pPr>
        <w:ind w:left="1290" w:hanging="360"/>
      </w:pPr>
    </w:lvl>
    <w:lvl w:ilvl="2" w:tplc="1C09001B" w:tentative="1">
      <w:start w:val="1"/>
      <w:numFmt w:val="lowerRoman"/>
      <w:lvlText w:val="%3."/>
      <w:lvlJc w:val="right"/>
      <w:pPr>
        <w:ind w:left="2010" w:hanging="180"/>
      </w:pPr>
    </w:lvl>
    <w:lvl w:ilvl="3" w:tplc="1C09000F" w:tentative="1">
      <w:start w:val="1"/>
      <w:numFmt w:val="decimal"/>
      <w:lvlText w:val="%4."/>
      <w:lvlJc w:val="left"/>
      <w:pPr>
        <w:ind w:left="2730" w:hanging="360"/>
      </w:pPr>
    </w:lvl>
    <w:lvl w:ilvl="4" w:tplc="1C090019" w:tentative="1">
      <w:start w:val="1"/>
      <w:numFmt w:val="lowerLetter"/>
      <w:lvlText w:val="%5."/>
      <w:lvlJc w:val="left"/>
      <w:pPr>
        <w:ind w:left="3450" w:hanging="360"/>
      </w:pPr>
    </w:lvl>
    <w:lvl w:ilvl="5" w:tplc="1C09001B" w:tentative="1">
      <w:start w:val="1"/>
      <w:numFmt w:val="lowerRoman"/>
      <w:lvlText w:val="%6."/>
      <w:lvlJc w:val="right"/>
      <w:pPr>
        <w:ind w:left="4170" w:hanging="180"/>
      </w:pPr>
    </w:lvl>
    <w:lvl w:ilvl="6" w:tplc="1C09000F" w:tentative="1">
      <w:start w:val="1"/>
      <w:numFmt w:val="decimal"/>
      <w:lvlText w:val="%7."/>
      <w:lvlJc w:val="left"/>
      <w:pPr>
        <w:ind w:left="4890" w:hanging="360"/>
      </w:pPr>
    </w:lvl>
    <w:lvl w:ilvl="7" w:tplc="1C090019" w:tentative="1">
      <w:start w:val="1"/>
      <w:numFmt w:val="lowerLetter"/>
      <w:lvlText w:val="%8."/>
      <w:lvlJc w:val="left"/>
      <w:pPr>
        <w:ind w:left="5610" w:hanging="360"/>
      </w:pPr>
    </w:lvl>
    <w:lvl w:ilvl="8" w:tplc="1C09001B" w:tentative="1">
      <w:start w:val="1"/>
      <w:numFmt w:val="lowerRoman"/>
      <w:lvlText w:val="%9."/>
      <w:lvlJc w:val="right"/>
      <w:pPr>
        <w:ind w:left="6330" w:hanging="180"/>
      </w:pPr>
    </w:lvl>
  </w:abstractNum>
  <w:abstractNum w:abstractNumId="2" w15:restartNumberingAfterBreak="0">
    <w:nsid w:val="241451DE"/>
    <w:multiLevelType w:val="hybridMultilevel"/>
    <w:tmpl w:val="839C9B50"/>
    <w:lvl w:ilvl="0" w:tplc="0F6A9F9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675C06B4"/>
    <w:multiLevelType w:val="hybridMultilevel"/>
    <w:tmpl w:val="CC3473EE"/>
    <w:lvl w:ilvl="0" w:tplc="0F6A9F90">
      <w:start w:val="1"/>
      <w:numFmt w:val="decimal"/>
      <w:lvlText w:val="%1"/>
      <w:lvlJc w:val="left"/>
      <w:pPr>
        <w:ind w:left="520" w:hanging="5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72C947BF"/>
    <w:multiLevelType w:val="hybridMultilevel"/>
    <w:tmpl w:val="72E2D35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A6"/>
    <w:rsid w:val="00001B87"/>
    <w:rsid w:val="000049FF"/>
    <w:rsid w:val="000057A7"/>
    <w:rsid w:val="0000755E"/>
    <w:rsid w:val="00012290"/>
    <w:rsid w:val="000132FD"/>
    <w:rsid w:val="00017E6D"/>
    <w:rsid w:val="00020970"/>
    <w:rsid w:val="00021005"/>
    <w:rsid w:val="000216C3"/>
    <w:rsid w:val="000247A8"/>
    <w:rsid w:val="0003473F"/>
    <w:rsid w:val="00037A60"/>
    <w:rsid w:val="000415E0"/>
    <w:rsid w:val="00041B77"/>
    <w:rsid w:val="00042E1F"/>
    <w:rsid w:val="000433ED"/>
    <w:rsid w:val="000434A8"/>
    <w:rsid w:val="00043C22"/>
    <w:rsid w:val="00052708"/>
    <w:rsid w:val="00056F8D"/>
    <w:rsid w:val="00060D29"/>
    <w:rsid w:val="00062585"/>
    <w:rsid w:val="000749BB"/>
    <w:rsid w:val="000770FD"/>
    <w:rsid w:val="000772B6"/>
    <w:rsid w:val="00084066"/>
    <w:rsid w:val="00086DAA"/>
    <w:rsid w:val="00094C4F"/>
    <w:rsid w:val="000A0904"/>
    <w:rsid w:val="000A2906"/>
    <w:rsid w:val="000A5351"/>
    <w:rsid w:val="000B6D9F"/>
    <w:rsid w:val="000C129A"/>
    <w:rsid w:val="000C1528"/>
    <w:rsid w:val="000C5502"/>
    <w:rsid w:val="000D0F10"/>
    <w:rsid w:val="000D7E60"/>
    <w:rsid w:val="000E118A"/>
    <w:rsid w:val="000F38DA"/>
    <w:rsid w:val="000F3D77"/>
    <w:rsid w:val="000F6C25"/>
    <w:rsid w:val="000F774F"/>
    <w:rsid w:val="000F7ED4"/>
    <w:rsid w:val="001016B9"/>
    <w:rsid w:val="0010274E"/>
    <w:rsid w:val="001042CF"/>
    <w:rsid w:val="00110EA8"/>
    <w:rsid w:val="0011151A"/>
    <w:rsid w:val="00116718"/>
    <w:rsid w:val="001207EF"/>
    <w:rsid w:val="001231FA"/>
    <w:rsid w:val="00125760"/>
    <w:rsid w:val="001272CB"/>
    <w:rsid w:val="001272E9"/>
    <w:rsid w:val="00132E26"/>
    <w:rsid w:val="0013523D"/>
    <w:rsid w:val="00135598"/>
    <w:rsid w:val="001405B7"/>
    <w:rsid w:val="00141AE1"/>
    <w:rsid w:val="00146854"/>
    <w:rsid w:val="00150110"/>
    <w:rsid w:val="001513EE"/>
    <w:rsid w:val="00153E0E"/>
    <w:rsid w:val="00154FAA"/>
    <w:rsid w:val="00161DBD"/>
    <w:rsid w:val="00162454"/>
    <w:rsid w:val="00164B38"/>
    <w:rsid w:val="00167B40"/>
    <w:rsid w:val="00174A69"/>
    <w:rsid w:val="00177095"/>
    <w:rsid w:val="00181B40"/>
    <w:rsid w:val="001854ED"/>
    <w:rsid w:val="00185A1E"/>
    <w:rsid w:val="0018600E"/>
    <w:rsid w:val="00191F37"/>
    <w:rsid w:val="001929C4"/>
    <w:rsid w:val="00193A00"/>
    <w:rsid w:val="001A0EDE"/>
    <w:rsid w:val="001A1FF7"/>
    <w:rsid w:val="001A29A9"/>
    <w:rsid w:val="001A4AF9"/>
    <w:rsid w:val="001A5841"/>
    <w:rsid w:val="001A7ED9"/>
    <w:rsid w:val="001B1BDD"/>
    <w:rsid w:val="001B297C"/>
    <w:rsid w:val="001B468B"/>
    <w:rsid w:val="001C07FB"/>
    <w:rsid w:val="001C36B6"/>
    <w:rsid w:val="001C4F50"/>
    <w:rsid w:val="001C59E0"/>
    <w:rsid w:val="001C77A3"/>
    <w:rsid w:val="001D0ED1"/>
    <w:rsid w:val="001D1279"/>
    <w:rsid w:val="001D4A29"/>
    <w:rsid w:val="001D5BD2"/>
    <w:rsid w:val="001E2802"/>
    <w:rsid w:val="001F01FF"/>
    <w:rsid w:val="001F1027"/>
    <w:rsid w:val="001F2325"/>
    <w:rsid w:val="001F4F13"/>
    <w:rsid w:val="001F76AF"/>
    <w:rsid w:val="00200DFF"/>
    <w:rsid w:val="00201370"/>
    <w:rsid w:val="00216527"/>
    <w:rsid w:val="00216529"/>
    <w:rsid w:val="0022024A"/>
    <w:rsid w:val="00220254"/>
    <w:rsid w:val="00226F39"/>
    <w:rsid w:val="00227C6B"/>
    <w:rsid w:val="00231736"/>
    <w:rsid w:val="002433B6"/>
    <w:rsid w:val="00245053"/>
    <w:rsid w:val="00247C8B"/>
    <w:rsid w:val="0025392D"/>
    <w:rsid w:val="00255121"/>
    <w:rsid w:val="002578F1"/>
    <w:rsid w:val="00262812"/>
    <w:rsid w:val="00263A79"/>
    <w:rsid w:val="0026673E"/>
    <w:rsid w:val="00266C05"/>
    <w:rsid w:val="00267329"/>
    <w:rsid w:val="00267C4D"/>
    <w:rsid w:val="002730A8"/>
    <w:rsid w:val="00276964"/>
    <w:rsid w:val="00277080"/>
    <w:rsid w:val="00280B86"/>
    <w:rsid w:val="002825D3"/>
    <w:rsid w:val="002828EA"/>
    <w:rsid w:val="00282DFA"/>
    <w:rsid w:val="002871E2"/>
    <w:rsid w:val="00287A7D"/>
    <w:rsid w:val="0029414C"/>
    <w:rsid w:val="00294265"/>
    <w:rsid w:val="002A4991"/>
    <w:rsid w:val="002A4CFF"/>
    <w:rsid w:val="002B6FDE"/>
    <w:rsid w:val="002C1B59"/>
    <w:rsid w:val="002C393A"/>
    <w:rsid w:val="002C3E94"/>
    <w:rsid w:val="002C40E5"/>
    <w:rsid w:val="002D03E4"/>
    <w:rsid w:val="002D58C7"/>
    <w:rsid w:val="002D71BE"/>
    <w:rsid w:val="002E79DD"/>
    <w:rsid w:val="002F578A"/>
    <w:rsid w:val="002F79E6"/>
    <w:rsid w:val="00305755"/>
    <w:rsid w:val="00316FDF"/>
    <w:rsid w:val="0033227C"/>
    <w:rsid w:val="00336904"/>
    <w:rsid w:val="003376E1"/>
    <w:rsid w:val="00340362"/>
    <w:rsid w:val="00340F07"/>
    <w:rsid w:val="003439DE"/>
    <w:rsid w:val="003447CE"/>
    <w:rsid w:val="00344A8C"/>
    <w:rsid w:val="003537A0"/>
    <w:rsid w:val="00353C11"/>
    <w:rsid w:val="003549B9"/>
    <w:rsid w:val="00360A58"/>
    <w:rsid w:val="00360AF0"/>
    <w:rsid w:val="003614AB"/>
    <w:rsid w:val="003616A8"/>
    <w:rsid w:val="00361708"/>
    <w:rsid w:val="0036212A"/>
    <w:rsid w:val="00365327"/>
    <w:rsid w:val="00373DE8"/>
    <w:rsid w:val="00375423"/>
    <w:rsid w:val="003760F1"/>
    <w:rsid w:val="00380100"/>
    <w:rsid w:val="00380FDE"/>
    <w:rsid w:val="00384709"/>
    <w:rsid w:val="00384C5F"/>
    <w:rsid w:val="00385D76"/>
    <w:rsid w:val="00386129"/>
    <w:rsid w:val="00386CB7"/>
    <w:rsid w:val="003872F0"/>
    <w:rsid w:val="0039434B"/>
    <w:rsid w:val="00396A46"/>
    <w:rsid w:val="00397784"/>
    <w:rsid w:val="003A12BF"/>
    <w:rsid w:val="003A3C47"/>
    <w:rsid w:val="003A3E7B"/>
    <w:rsid w:val="003A638B"/>
    <w:rsid w:val="003B0FB4"/>
    <w:rsid w:val="003B258F"/>
    <w:rsid w:val="003B6A4A"/>
    <w:rsid w:val="003C05B7"/>
    <w:rsid w:val="003C202B"/>
    <w:rsid w:val="003C4064"/>
    <w:rsid w:val="003C5AA0"/>
    <w:rsid w:val="003C742A"/>
    <w:rsid w:val="003D5A7C"/>
    <w:rsid w:val="003D6B3E"/>
    <w:rsid w:val="003E04BA"/>
    <w:rsid w:val="003E0778"/>
    <w:rsid w:val="003E1CBF"/>
    <w:rsid w:val="003E5D0C"/>
    <w:rsid w:val="003E759C"/>
    <w:rsid w:val="003F1A0A"/>
    <w:rsid w:val="003F54E1"/>
    <w:rsid w:val="004015F0"/>
    <w:rsid w:val="004021AC"/>
    <w:rsid w:val="00402D2D"/>
    <w:rsid w:val="0040605D"/>
    <w:rsid w:val="0041004E"/>
    <w:rsid w:val="004142BB"/>
    <w:rsid w:val="00421A21"/>
    <w:rsid w:val="0042727B"/>
    <w:rsid w:val="004273DD"/>
    <w:rsid w:val="004277CF"/>
    <w:rsid w:val="00427F7C"/>
    <w:rsid w:val="00431634"/>
    <w:rsid w:val="00442C60"/>
    <w:rsid w:val="00443988"/>
    <w:rsid w:val="00445F80"/>
    <w:rsid w:val="0045267C"/>
    <w:rsid w:val="004531BE"/>
    <w:rsid w:val="00453640"/>
    <w:rsid w:val="00453B2E"/>
    <w:rsid w:val="004550B4"/>
    <w:rsid w:val="004551F6"/>
    <w:rsid w:val="00455422"/>
    <w:rsid w:val="0046038C"/>
    <w:rsid w:val="0046731A"/>
    <w:rsid w:val="00474CC1"/>
    <w:rsid w:val="00476E0D"/>
    <w:rsid w:val="00485079"/>
    <w:rsid w:val="00492764"/>
    <w:rsid w:val="00495192"/>
    <w:rsid w:val="004A0461"/>
    <w:rsid w:val="004A05F9"/>
    <w:rsid w:val="004A2010"/>
    <w:rsid w:val="004A2555"/>
    <w:rsid w:val="004A77D7"/>
    <w:rsid w:val="004A7EA5"/>
    <w:rsid w:val="004B0E8D"/>
    <w:rsid w:val="004B15C4"/>
    <w:rsid w:val="004B1AE9"/>
    <w:rsid w:val="004B1F5E"/>
    <w:rsid w:val="004B2041"/>
    <w:rsid w:val="004B2CFB"/>
    <w:rsid w:val="004B2F5E"/>
    <w:rsid w:val="004B4B20"/>
    <w:rsid w:val="004B5016"/>
    <w:rsid w:val="004B6701"/>
    <w:rsid w:val="004B7150"/>
    <w:rsid w:val="004C0B86"/>
    <w:rsid w:val="004D060F"/>
    <w:rsid w:val="004D0A50"/>
    <w:rsid w:val="004D0A55"/>
    <w:rsid w:val="004D41AF"/>
    <w:rsid w:val="004E0370"/>
    <w:rsid w:val="004E6863"/>
    <w:rsid w:val="004F4A45"/>
    <w:rsid w:val="004F562C"/>
    <w:rsid w:val="004F619A"/>
    <w:rsid w:val="004F6278"/>
    <w:rsid w:val="00505658"/>
    <w:rsid w:val="00505DAE"/>
    <w:rsid w:val="0050790C"/>
    <w:rsid w:val="00510E66"/>
    <w:rsid w:val="00514B82"/>
    <w:rsid w:val="005171E0"/>
    <w:rsid w:val="00520D95"/>
    <w:rsid w:val="00521EEE"/>
    <w:rsid w:val="005231CE"/>
    <w:rsid w:val="00526CCB"/>
    <w:rsid w:val="0052791A"/>
    <w:rsid w:val="005304B9"/>
    <w:rsid w:val="00536547"/>
    <w:rsid w:val="0054000D"/>
    <w:rsid w:val="005446BF"/>
    <w:rsid w:val="00544F46"/>
    <w:rsid w:val="00555563"/>
    <w:rsid w:val="00555CC2"/>
    <w:rsid w:val="0055746A"/>
    <w:rsid w:val="00561C45"/>
    <w:rsid w:val="005663FE"/>
    <w:rsid w:val="00571233"/>
    <w:rsid w:val="00571838"/>
    <w:rsid w:val="0057657E"/>
    <w:rsid w:val="00580746"/>
    <w:rsid w:val="00583765"/>
    <w:rsid w:val="00584723"/>
    <w:rsid w:val="00586D39"/>
    <w:rsid w:val="00587D63"/>
    <w:rsid w:val="00590073"/>
    <w:rsid w:val="005915D0"/>
    <w:rsid w:val="00593954"/>
    <w:rsid w:val="005963E4"/>
    <w:rsid w:val="0059681A"/>
    <w:rsid w:val="005A15CE"/>
    <w:rsid w:val="005A2B90"/>
    <w:rsid w:val="005B294B"/>
    <w:rsid w:val="005B52F0"/>
    <w:rsid w:val="005B6990"/>
    <w:rsid w:val="005B7988"/>
    <w:rsid w:val="005C0364"/>
    <w:rsid w:val="005C1646"/>
    <w:rsid w:val="005C3855"/>
    <w:rsid w:val="005C5D98"/>
    <w:rsid w:val="005D1049"/>
    <w:rsid w:val="005D3419"/>
    <w:rsid w:val="005D492D"/>
    <w:rsid w:val="005D4938"/>
    <w:rsid w:val="005D5E8E"/>
    <w:rsid w:val="005D6AE5"/>
    <w:rsid w:val="005E00D3"/>
    <w:rsid w:val="005E22F2"/>
    <w:rsid w:val="005E5BD9"/>
    <w:rsid w:val="005F25EC"/>
    <w:rsid w:val="005F2858"/>
    <w:rsid w:val="005F71E8"/>
    <w:rsid w:val="005F76B5"/>
    <w:rsid w:val="0060130B"/>
    <w:rsid w:val="0060373F"/>
    <w:rsid w:val="00603968"/>
    <w:rsid w:val="00604524"/>
    <w:rsid w:val="00606183"/>
    <w:rsid w:val="00610B0D"/>
    <w:rsid w:val="00614848"/>
    <w:rsid w:val="006162AE"/>
    <w:rsid w:val="00616D75"/>
    <w:rsid w:val="0061766C"/>
    <w:rsid w:val="00617E71"/>
    <w:rsid w:val="00620951"/>
    <w:rsid w:val="00623CD3"/>
    <w:rsid w:val="0062764E"/>
    <w:rsid w:val="0063095D"/>
    <w:rsid w:val="00635BD2"/>
    <w:rsid w:val="0064315C"/>
    <w:rsid w:val="006436D6"/>
    <w:rsid w:val="00643707"/>
    <w:rsid w:val="00643D1C"/>
    <w:rsid w:val="00644013"/>
    <w:rsid w:val="006453E8"/>
    <w:rsid w:val="00646CBA"/>
    <w:rsid w:val="00651A2C"/>
    <w:rsid w:val="00651FCF"/>
    <w:rsid w:val="00655811"/>
    <w:rsid w:val="00657127"/>
    <w:rsid w:val="00657C33"/>
    <w:rsid w:val="006601F1"/>
    <w:rsid w:val="00660E6E"/>
    <w:rsid w:val="00663885"/>
    <w:rsid w:val="0066413E"/>
    <w:rsid w:val="00670CFC"/>
    <w:rsid w:val="00671843"/>
    <w:rsid w:val="006729C2"/>
    <w:rsid w:val="0067332E"/>
    <w:rsid w:val="0067440B"/>
    <w:rsid w:val="0067511F"/>
    <w:rsid w:val="006777C4"/>
    <w:rsid w:val="006852CA"/>
    <w:rsid w:val="00692D10"/>
    <w:rsid w:val="006A018D"/>
    <w:rsid w:val="006A6BE3"/>
    <w:rsid w:val="006B12A4"/>
    <w:rsid w:val="006B2D4F"/>
    <w:rsid w:val="006B5CBC"/>
    <w:rsid w:val="006C078E"/>
    <w:rsid w:val="006C2829"/>
    <w:rsid w:val="006C2CBB"/>
    <w:rsid w:val="006C3F77"/>
    <w:rsid w:val="006C5FAE"/>
    <w:rsid w:val="006C772D"/>
    <w:rsid w:val="006D31E9"/>
    <w:rsid w:val="006E0166"/>
    <w:rsid w:val="006E06F8"/>
    <w:rsid w:val="006E2B87"/>
    <w:rsid w:val="006E432E"/>
    <w:rsid w:val="006F0256"/>
    <w:rsid w:val="006F496A"/>
    <w:rsid w:val="006F61AF"/>
    <w:rsid w:val="00701306"/>
    <w:rsid w:val="007018E8"/>
    <w:rsid w:val="00705F69"/>
    <w:rsid w:val="007071C7"/>
    <w:rsid w:val="0070797C"/>
    <w:rsid w:val="00713784"/>
    <w:rsid w:val="00721398"/>
    <w:rsid w:val="00721930"/>
    <w:rsid w:val="00732908"/>
    <w:rsid w:val="00740B63"/>
    <w:rsid w:val="00763974"/>
    <w:rsid w:val="00763D61"/>
    <w:rsid w:val="00763FDB"/>
    <w:rsid w:val="00765051"/>
    <w:rsid w:val="007652D9"/>
    <w:rsid w:val="007666DE"/>
    <w:rsid w:val="00766D03"/>
    <w:rsid w:val="007733E7"/>
    <w:rsid w:val="00773990"/>
    <w:rsid w:val="00774C14"/>
    <w:rsid w:val="00781AE0"/>
    <w:rsid w:val="00784B71"/>
    <w:rsid w:val="00785F76"/>
    <w:rsid w:val="007860C5"/>
    <w:rsid w:val="007867DF"/>
    <w:rsid w:val="00787B9B"/>
    <w:rsid w:val="00792F9D"/>
    <w:rsid w:val="00794C69"/>
    <w:rsid w:val="00796DB4"/>
    <w:rsid w:val="007A1459"/>
    <w:rsid w:val="007A6A16"/>
    <w:rsid w:val="007A76DF"/>
    <w:rsid w:val="007B1B67"/>
    <w:rsid w:val="007B561E"/>
    <w:rsid w:val="007B6A77"/>
    <w:rsid w:val="007C0435"/>
    <w:rsid w:val="007C2441"/>
    <w:rsid w:val="007C512E"/>
    <w:rsid w:val="007D72DA"/>
    <w:rsid w:val="007E7B78"/>
    <w:rsid w:val="007F585E"/>
    <w:rsid w:val="007F62E4"/>
    <w:rsid w:val="008037D1"/>
    <w:rsid w:val="00803BBB"/>
    <w:rsid w:val="00806B56"/>
    <w:rsid w:val="0081199A"/>
    <w:rsid w:val="00815A13"/>
    <w:rsid w:val="00815ABD"/>
    <w:rsid w:val="0081633D"/>
    <w:rsid w:val="00816496"/>
    <w:rsid w:val="00816EC3"/>
    <w:rsid w:val="008225BC"/>
    <w:rsid w:val="0082465F"/>
    <w:rsid w:val="00837A0D"/>
    <w:rsid w:val="00837BB9"/>
    <w:rsid w:val="00841F89"/>
    <w:rsid w:val="00845335"/>
    <w:rsid w:val="008453E1"/>
    <w:rsid w:val="008469EB"/>
    <w:rsid w:val="0085093D"/>
    <w:rsid w:val="00853895"/>
    <w:rsid w:val="00854DBF"/>
    <w:rsid w:val="00855B8D"/>
    <w:rsid w:val="00860F1F"/>
    <w:rsid w:val="008634EC"/>
    <w:rsid w:val="008650CE"/>
    <w:rsid w:val="008700BC"/>
    <w:rsid w:val="00870F89"/>
    <w:rsid w:val="0087286E"/>
    <w:rsid w:val="008756C3"/>
    <w:rsid w:val="00877241"/>
    <w:rsid w:val="00877A46"/>
    <w:rsid w:val="00881F08"/>
    <w:rsid w:val="0088348D"/>
    <w:rsid w:val="00885A55"/>
    <w:rsid w:val="00887D59"/>
    <w:rsid w:val="00890F4F"/>
    <w:rsid w:val="008A0CA9"/>
    <w:rsid w:val="008A1100"/>
    <w:rsid w:val="008A1464"/>
    <w:rsid w:val="008B0300"/>
    <w:rsid w:val="008B4467"/>
    <w:rsid w:val="008B52B5"/>
    <w:rsid w:val="008B69FE"/>
    <w:rsid w:val="008C1370"/>
    <w:rsid w:val="008C4713"/>
    <w:rsid w:val="008C5C31"/>
    <w:rsid w:val="008C7CB0"/>
    <w:rsid w:val="008D0EE6"/>
    <w:rsid w:val="008D5961"/>
    <w:rsid w:val="008E05A2"/>
    <w:rsid w:val="008E07EE"/>
    <w:rsid w:val="008E251D"/>
    <w:rsid w:val="008E28AD"/>
    <w:rsid w:val="008E50DD"/>
    <w:rsid w:val="008E5E0B"/>
    <w:rsid w:val="008E7065"/>
    <w:rsid w:val="008F1600"/>
    <w:rsid w:val="008F49C8"/>
    <w:rsid w:val="008F6307"/>
    <w:rsid w:val="00900835"/>
    <w:rsid w:val="00901C59"/>
    <w:rsid w:val="00901FB6"/>
    <w:rsid w:val="00907347"/>
    <w:rsid w:val="0091180C"/>
    <w:rsid w:val="00912B3B"/>
    <w:rsid w:val="009167BC"/>
    <w:rsid w:val="0092231C"/>
    <w:rsid w:val="009226E2"/>
    <w:rsid w:val="00923365"/>
    <w:rsid w:val="0092603C"/>
    <w:rsid w:val="009272D8"/>
    <w:rsid w:val="00933127"/>
    <w:rsid w:val="00934C9B"/>
    <w:rsid w:val="00944601"/>
    <w:rsid w:val="00944F9C"/>
    <w:rsid w:val="0095252D"/>
    <w:rsid w:val="0096163C"/>
    <w:rsid w:val="00962336"/>
    <w:rsid w:val="00965993"/>
    <w:rsid w:val="0097679A"/>
    <w:rsid w:val="009803BE"/>
    <w:rsid w:val="0098554B"/>
    <w:rsid w:val="00986F22"/>
    <w:rsid w:val="009A4E28"/>
    <w:rsid w:val="009A4FB2"/>
    <w:rsid w:val="009A5650"/>
    <w:rsid w:val="009A6B34"/>
    <w:rsid w:val="009A7228"/>
    <w:rsid w:val="009B00E0"/>
    <w:rsid w:val="009B0CF1"/>
    <w:rsid w:val="009B3896"/>
    <w:rsid w:val="009B6B4F"/>
    <w:rsid w:val="009B7301"/>
    <w:rsid w:val="009C06D9"/>
    <w:rsid w:val="009C17BE"/>
    <w:rsid w:val="009C1F9E"/>
    <w:rsid w:val="009C2E15"/>
    <w:rsid w:val="009C39A2"/>
    <w:rsid w:val="009C3AE2"/>
    <w:rsid w:val="009C6379"/>
    <w:rsid w:val="009C7B76"/>
    <w:rsid w:val="009D6346"/>
    <w:rsid w:val="009E2A83"/>
    <w:rsid w:val="009E2D8F"/>
    <w:rsid w:val="009E52AD"/>
    <w:rsid w:val="009F0776"/>
    <w:rsid w:val="009F2647"/>
    <w:rsid w:val="009F4D30"/>
    <w:rsid w:val="009F5ED7"/>
    <w:rsid w:val="00A00FC3"/>
    <w:rsid w:val="00A014E0"/>
    <w:rsid w:val="00A04C56"/>
    <w:rsid w:val="00A05FAF"/>
    <w:rsid w:val="00A10542"/>
    <w:rsid w:val="00A12DD8"/>
    <w:rsid w:val="00A14CBB"/>
    <w:rsid w:val="00A17635"/>
    <w:rsid w:val="00A17AB6"/>
    <w:rsid w:val="00A2153D"/>
    <w:rsid w:val="00A23A0C"/>
    <w:rsid w:val="00A25A9D"/>
    <w:rsid w:val="00A43014"/>
    <w:rsid w:val="00A47BE5"/>
    <w:rsid w:val="00A515E4"/>
    <w:rsid w:val="00A5265C"/>
    <w:rsid w:val="00A629AA"/>
    <w:rsid w:val="00A64859"/>
    <w:rsid w:val="00A67B82"/>
    <w:rsid w:val="00A70CB3"/>
    <w:rsid w:val="00A76DAC"/>
    <w:rsid w:val="00A777C8"/>
    <w:rsid w:val="00A8585F"/>
    <w:rsid w:val="00A92F91"/>
    <w:rsid w:val="00A9400A"/>
    <w:rsid w:val="00A94696"/>
    <w:rsid w:val="00AA1E75"/>
    <w:rsid w:val="00AA7E9E"/>
    <w:rsid w:val="00AB3CBB"/>
    <w:rsid w:val="00AB5BD2"/>
    <w:rsid w:val="00AC3BB1"/>
    <w:rsid w:val="00AC430C"/>
    <w:rsid w:val="00AD0431"/>
    <w:rsid w:val="00AE05CE"/>
    <w:rsid w:val="00AE4210"/>
    <w:rsid w:val="00AF05F3"/>
    <w:rsid w:val="00B032E1"/>
    <w:rsid w:val="00B0572C"/>
    <w:rsid w:val="00B10FF4"/>
    <w:rsid w:val="00B1430E"/>
    <w:rsid w:val="00B170EA"/>
    <w:rsid w:val="00B24C8A"/>
    <w:rsid w:val="00B25057"/>
    <w:rsid w:val="00B25D9E"/>
    <w:rsid w:val="00B26197"/>
    <w:rsid w:val="00B264EC"/>
    <w:rsid w:val="00B269B8"/>
    <w:rsid w:val="00B27C11"/>
    <w:rsid w:val="00B3043D"/>
    <w:rsid w:val="00B30B30"/>
    <w:rsid w:val="00B40123"/>
    <w:rsid w:val="00B42861"/>
    <w:rsid w:val="00B510A0"/>
    <w:rsid w:val="00B514FD"/>
    <w:rsid w:val="00B57EB7"/>
    <w:rsid w:val="00B60306"/>
    <w:rsid w:val="00B616FF"/>
    <w:rsid w:val="00B643E5"/>
    <w:rsid w:val="00B66265"/>
    <w:rsid w:val="00B724DA"/>
    <w:rsid w:val="00B74A34"/>
    <w:rsid w:val="00B8176B"/>
    <w:rsid w:val="00B8585C"/>
    <w:rsid w:val="00B86D0C"/>
    <w:rsid w:val="00B908C2"/>
    <w:rsid w:val="00BA288C"/>
    <w:rsid w:val="00BA43D7"/>
    <w:rsid w:val="00BA669D"/>
    <w:rsid w:val="00BA6BF0"/>
    <w:rsid w:val="00BA74A1"/>
    <w:rsid w:val="00BB065C"/>
    <w:rsid w:val="00BB2D89"/>
    <w:rsid w:val="00BB58D9"/>
    <w:rsid w:val="00BC264E"/>
    <w:rsid w:val="00BC39D9"/>
    <w:rsid w:val="00BC7AB5"/>
    <w:rsid w:val="00BD4E6A"/>
    <w:rsid w:val="00BD4E9E"/>
    <w:rsid w:val="00BD52BD"/>
    <w:rsid w:val="00BD686C"/>
    <w:rsid w:val="00BE0A6C"/>
    <w:rsid w:val="00BE17BD"/>
    <w:rsid w:val="00BE1B8F"/>
    <w:rsid w:val="00BE20B0"/>
    <w:rsid w:val="00BE4EE9"/>
    <w:rsid w:val="00BE5D9D"/>
    <w:rsid w:val="00BE654E"/>
    <w:rsid w:val="00BE7F4B"/>
    <w:rsid w:val="00BF27B2"/>
    <w:rsid w:val="00BF52FC"/>
    <w:rsid w:val="00BF7852"/>
    <w:rsid w:val="00C002F2"/>
    <w:rsid w:val="00C00616"/>
    <w:rsid w:val="00C036F5"/>
    <w:rsid w:val="00C063A3"/>
    <w:rsid w:val="00C107F1"/>
    <w:rsid w:val="00C10EE6"/>
    <w:rsid w:val="00C11181"/>
    <w:rsid w:val="00C11C39"/>
    <w:rsid w:val="00C21481"/>
    <w:rsid w:val="00C229AA"/>
    <w:rsid w:val="00C23994"/>
    <w:rsid w:val="00C24ABA"/>
    <w:rsid w:val="00C262C1"/>
    <w:rsid w:val="00C308F2"/>
    <w:rsid w:val="00C3422C"/>
    <w:rsid w:val="00C3660B"/>
    <w:rsid w:val="00C375D2"/>
    <w:rsid w:val="00C407E2"/>
    <w:rsid w:val="00C45832"/>
    <w:rsid w:val="00C46F75"/>
    <w:rsid w:val="00C5198F"/>
    <w:rsid w:val="00C51E0F"/>
    <w:rsid w:val="00C52367"/>
    <w:rsid w:val="00C53246"/>
    <w:rsid w:val="00C64B8E"/>
    <w:rsid w:val="00C66868"/>
    <w:rsid w:val="00C67C1F"/>
    <w:rsid w:val="00C70A87"/>
    <w:rsid w:val="00C71415"/>
    <w:rsid w:val="00C71D53"/>
    <w:rsid w:val="00C71D63"/>
    <w:rsid w:val="00C756FB"/>
    <w:rsid w:val="00C75D9E"/>
    <w:rsid w:val="00C819FA"/>
    <w:rsid w:val="00C85B06"/>
    <w:rsid w:val="00C9365B"/>
    <w:rsid w:val="00C940B7"/>
    <w:rsid w:val="00C9451A"/>
    <w:rsid w:val="00C953A8"/>
    <w:rsid w:val="00C9562F"/>
    <w:rsid w:val="00CA3973"/>
    <w:rsid w:val="00CA70CA"/>
    <w:rsid w:val="00CB33BD"/>
    <w:rsid w:val="00CB429F"/>
    <w:rsid w:val="00CB55C7"/>
    <w:rsid w:val="00CB6323"/>
    <w:rsid w:val="00CC0877"/>
    <w:rsid w:val="00CC57FA"/>
    <w:rsid w:val="00CC5A01"/>
    <w:rsid w:val="00CC7CB6"/>
    <w:rsid w:val="00CD1F9A"/>
    <w:rsid w:val="00CD570C"/>
    <w:rsid w:val="00CE05D4"/>
    <w:rsid w:val="00CE5415"/>
    <w:rsid w:val="00CE61DD"/>
    <w:rsid w:val="00CE72C3"/>
    <w:rsid w:val="00CF228E"/>
    <w:rsid w:val="00CF31F3"/>
    <w:rsid w:val="00CF37C5"/>
    <w:rsid w:val="00CF75D8"/>
    <w:rsid w:val="00CF7D5D"/>
    <w:rsid w:val="00D01A51"/>
    <w:rsid w:val="00D03EB4"/>
    <w:rsid w:val="00D04E82"/>
    <w:rsid w:val="00D13DD3"/>
    <w:rsid w:val="00D16285"/>
    <w:rsid w:val="00D25C86"/>
    <w:rsid w:val="00D30460"/>
    <w:rsid w:val="00D30488"/>
    <w:rsid w:val="00D30A82"/>
    <w:rsid w:val="00D33496"/>
    <w:rsid w:val="00D341A4"/>
    <w:rsid w:val="00D373D8"/>
    <w:rsid w:val="00D401B7"/>
    <w:rsid w:val="00D40B39"/>
    <w:rsid w:val="00D41E57"/>
    <w:rsid w:val="00D50147"/>
    <w:rsid w:val="00D503A6"/>
    <w:rsid w:val="00D52328"/>
    <w:rsid w:val="00D53037"/>
    <w:rsid w:val="00D53DFB"/>
    <w:rsid w:val="00D6046C"/>
    <w:rsid w:val="00D60DE6"/>
    <w:rsid w:val="00D622E6"/>
    <w:rsid w:val="00D63084"/>
    <w:rsid w:val="00D6358D"/>
    <w:rsid w:val="00D66DD8"/>
    <w:rsid w:val="00D6727D"/>
    <w:rsid w:val="00D73B52"/>
    <w:rsid w:val="00D802C8"/>
    <w:rsid w:val="00D81FB7"/>
    <w:rsid w:val="00D82D66"/>
    <w:rsid w:val="00D84BCD"/>
    <w:rsid w:val="00D924F2"/>
    <w:rsid w:val="00D932EB"/>
    <w:rsid w:val="00D95AFA"/>
    <w:rsid w:val="00DA0D45"/>
    <w:rsid w:val="00DA5373"/>
    <w:rsid w:val="00DA5A79"/>
    <w:rsid w:val="00DA7A14"/>
    <w:rsid w:val="00DB0825"/>
    <w:rsid w:val="00DB172E"/>
    <w:rsid w:val="00DB5CE7"/>
    <w:rsid w:val="00DB5DA5"/>
    <w:rsid w:val="00DB79DD"/>
    <w:rsid w:val="00DC4A18"/>
    <w:rsid w:val="00DD7374"/>
    <w:rsid w:val="00DD7D06"/>
    <w:rsid w:val="00DE299E"/>
    <w:rsid w:val="00DE6525"/>
    <w:rsid w:val="00DE6DBC"/>
    <w:rsid w:val="00DE7774"/>
    <w:rsid w:val="00DF0025"/>
    <w:rsid w:val="00DF1D92"/>
    <w:rsid w:val="00DF42A7"/>
    <w:rsid w:val="00DF714F"/>
    <w:rsid w:val="00E010ED"/>
    <w:rsid w:val="00E029E7"/>
    <w:rsid w:val="00E03713"/>
    <w:rsid w:val="00E15F22"/>
    <w:rsid w:val="00E206BD"/>
    <w:rsid w:val="00E2122A"/>
    <w:rsid w:val="00E23DFD"/>
    <w:rsid w:val="00E30B36"/>
    <w:rsid w:val="00E3117C"/>
    <w:rsid w:val="00E3792B"/>
    <w:rsid w:val="00E37DCD"/>
    <w:rsid w:val="00E4081E"/>
    <w:rsid w:val="00E43D79"/>
    <w:rsid w:val="00E47FCB"/>
    <w:rsid w:val="00E50A13"/>
    <w:rsid w:val="00E556CB"/>
    <w:rsid w:val="00E61CD9"/>
    <w:rsid w:val="00E6307A"/>
    <w:rsid w:val="00E63301"/>
    <w:rsid w:val="00E70EF5"/>
    <w:rsid w:val="00E71773"/>
    <w:rsid w:val="00E72AB6"/>
    <w:rsid w:val="00E82EE6"/>
    <w:rsid w:val="00E83BA5"/>
    <w:rsid w:val="00E869D6"/>
    <w:rsid w:val="00E87F46"/>
    <w:rsid w:val="00E90E99"/>
    <w:rsid w:val="00E96411"/>
    <w:rsid w:val="00E976C8"/>
    <w:rsid w:val="00EA2847"/>
    <w:rsid w:val="00EA4667"/>
    <w:rsid w:val="00EA5116"/>
    <w:rsid w:val="00EB0924"/>
    <w:rsid w:val="00EB20A4"/>
    <w:rsid w:val="00EB213E"/>
    <w:rsid w:val="00EB429B"/>
    <w:rsid w:val="00EC0721"/>
    <w:rsid w:val="00EC1899"/>
    <w:rsid w:val="00EC3ACD"/>
    <w:rsid w:val="00ED07A4"/>
    <w:rsid w:val="00ED42CD"/>
    <w:rsid w:val="00ED4359"/>
    <w:rsid w:val="00ED5296"/>
    <w:rsid w:val="00ED6DF9"/>
    <w:rsid w:val="00ED7EFE"/>
    <w:rsid w:val="00EE495D"/>
    <w:rsid w:val="00EF4AB9"/>
    <w:rsid w:val="00F00816"/>
    <w:rsid w:val="00F04E23"/>
    <w:rsid w:val="00F079C8"/>
    <w:rsid w:val="00F1153D"/>
    <w:rsid w:val="00F1251E"/>
    <w:rsid w:val="00F13117"/>
    <w:rsid w:val="00F14E9E"/>
    <w:rsid w:val="00F151A5"/>
    <w:rsid w:val="00F160C6"/>
    <w:rsid w:val="00F211FA"/>
    <w:rsid w:val="00F2150A"/>
    <w:rsid w:val="00F2318D"/>
    <w:rsid w:val="00F241F3"/>
    <w:rsid w:val="00F2523C"/>
    <w:rsid w:val="00F26810"/>
    <w:rsid w:val="00F27278"/>
    <w:rsid w:val="00F27801"/>
    <w:rsid w:val="00F363E1"/>
    <w:rsid w:val="00F3663B"/>
    <w:rsid w:val="00F37BB8"/>
    <w:rsid w:val="00F408F0"/>
    <w:rsid w:val="00F42CCB"/>
    <w:rsid w:val="00F4328E"/>
    <w:rsid w:val="00F455D3"/>
    <w:rsid w:val="00F4790C"/>
    <w:rsid w:val="00F50490"/>
    <w:rsid w:val="00F50E5E"/>
    <w:rsid w:val="00F52407"/>
    <w:rsid w:val="00F527C8"/>
    <w:rsid w:val="00F54E74"/>
    <w:rsid w:val="00F62E9A"/>
    <w:rsid w:val="00F648E4"/>
    <w:rsid w:val="00F70C19"/>
    <w:rsid w:val="00F75C54"/>
    <w:rsid w:val="00F80C8C"/>
    <w:rsid w:val="00F81A92"/>
    <w:rsid w:val="00F82473"/>
    <w:rsid w:val="00F87B36"/>
    <w:rsid w:val="00F92FAD"/>
    <w:rsid w:val="00F9570F"/>
    <w:rsid w:val="00F95756"/>
    <w:rsid w:val="00F97633"/>
    <w:rsid w:val="00FA5325"/>
    <w:rsid w:val="00FA59F9"/>
    <w:rsid w:val="00FA601A"/>
    <w:rsid w:val="00FA760A"/>
    <w:rsid w:val="00FA7836"/>
    <w:rsid w:val="00FB11AB"/>
    <w:rsid w:val="00FB3989"/>
    <w:rsid w:val="00FB6429"/>
    <w:rsid w:val="00FB66E7"/>
    <w:rsid w:val="00FC21A4"/>
    <w:rsid w:val="00FC483B"/>
    <w:rsid w:val="00FC5F56"/>
    <w:rsid w:val="00FC5FF0"/>
    <w:rsid w:val="00FC6BAE"/>
    <w:rsid w:val="00FD0795"/>
    <w:rsid w:val="00FE3D8F"/>
    <w:rsid w:val="00FE4893"/>
    <w:rsid w:val="00FF3D7C"/>
    <w:rsid w:val="00FF6061"/>
    <w:rsid w:val="00FF6A4C"/>
    <w:rsid w:val="00FF75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FE16"/>
  <w15:chartTrackingRefBased/>
  <w15:docId w15:val="{14A5E6C9-FA77-4528-A77B-3DF1CC67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E7"/>
    <w:pPr>
      <w:spacing w:after="0" w:line="240" w:lineRule="auto"/>
      <w:jc w:val="both"/>
    </w:pPr>
    <w:rPr>
      <w:rFonts w:ascii="Arial" w:eastAsia="Times New Roman" w:hAnsi="Arial" w:cs="Arial"/>
      <w:sz w:val="24"/>
      <w:szCs w:val="24"/>
      <w:lang w:val="en-GB" w:eastAsia="en-GB"/>
    </w:rPr>
  </w:style>
  <w:style w:type="paragraph" w:styleId="Heading2">
    <w:name w:val="heading 2"/>
    <w:basedOn w:val="Normal"/>
    <w:next w:val="Normal"/>
    <w:link w:val="Heading2Char"/>
    <w:uiPriority w:val="9"/>
    <w:unhideWhenUsed/>
    <w:qFormat/>
    <w:rsid w:val="00F2523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03A6"/>
    <w:pPr>
      <w:tabs>
        <w:tab w:val="center" w:pos="4320"/>
        <w:tab w:val="right" w:pos="8640"/>
      </w:tabs>
    </w:pPr>
  </w:style>
  <w:style w:type="character" w:customStyle="1" w:styleId="HeaderChar">
    <w:name w:val="Header Char"/>
    <w:basedOn w:val="DefaultParagraphFont"/>
    <w:link w:val="Header"/>
    <w:uiPriority w:val="99"/>
    <w:rsid w:val="00D503A6"/>
    <w:rPr>
      <w:rFonts w:ascii="Arial" w:eastAsia="Times New Roman" w:hAnsi="Arial" w:cs="Arial"/>
      <w:sz w:val="24"/>
      <w:szCs w:val="24"/>
      <w:lang w:val="en-GB" w:eastAsia="en-GB"/>
    </w:rPr>
  </w:style>
  <w:style w:type="character" w:styleId="PageNumber">
    <w:name w:val="page number"/>
    <w:basedOn w:val="DefaultParagraphFont"/>
    <w:uiPriority w:val="99"/>
    <w:rsid w:val="00D503A6"/>
    <w:rPr>
      <w:rFonts w:cs="Times New Roman"/>
    </w:rPr>
  </w:style>
  <w:style w:type="paragraph" w:styleId="FootnoteText">
    <w:name w:val="footnote text"/>
    <w:basedOn w:val="Normal"/>
    <w:link w:val="FootnoteTextChar"/>
    <w:uiPriority w:val="99"/>
    <w:semiHidden/>
    <w:rsid w:val="00D503A6"/>
    <w:pPr>
      <w:widowControl w:val="0"/>
      <w:autoSpaceDE w:val="0"/>
      <w:autoSpaceDN w:val="0"/>
      <w:adjustRightInd w:val="0"/>
      <w:jc w:val="left"/>
    </w:pPr>
    <w:rPr>
      <w:sz w:val="20"/>
      <w:szCs w:val="20"/>
      <w:lang w:val="en-US"/>
    </w:rPr>
  </w:style>
  <w:style w:type="character" w:customStyle="1" w:styleId="FootnoteTextChar">
    <w:name w:val="Footnote Text Char"/>
    <w:basedOn w:val="DefaultParagraphFont"/>
    <w:link w:val="FootnoteText"/>
    <w:uiPriority w:val="99"/>
    <w:semiHidden/>
    <w:rsid w:val="00D503A6"/>
    <w:rPr>
      <w:rFonts w:ascii="Arial" w:eastAsia="Times New Roman" w:hAnsi="Arial" w:cs="Arial"/>
      <w:sz w:val="20"/>
      <w:szCs w:val="20"/>
      <w:lang w:val="en-US" w:eastAsia="en-GB"/>
    </w:rPr>
  </w:style>
  <w:style w:type="character" w:styleId="FootnoteReference">
    <w:name w:val="footnote reference"/>
    <w:basedOn w:val="DefaultParagraphFont"/>
    <w:uiPriority w:val="99"/>
    <w:semiHidden/>
    <w:rsid w:val="00D503A6"/>
    <w:rPr>
      <w:rFonts w:cs="Times New Roman"/>
      <w:vertAlign w:val="superscript"/>
    </w:rPr>
  </w:style>
  <w:style w:type="paragraph" w:customStyle="1" w:styleId="Pa3">
    <w:name w:val="Pa3"/>
    <w:basedOn w:val="Normal"/>
    <w:next w:val="Normal"/>
    <w:uiPriority w:val="99"/>
    <w:rsid w:val="00D503A6"/>
    <w:pPr>
      <w:autoSpaceDE w:val="0"/>
      <w:autoSpaceDN w:val="0"/>
      <w:adjustRightInd w:val="0"/>
      <w:spacing w:line="241" w:lineRule="atLeast"/>
      <w:jc w:val="left"/>
    </w:pPr>
    <w:rPr>
      <w:lang w:val="en-US" w:eastAsia="en-US"/>
    </w:rPr>
  </w:style>
  <w:style w:type="paragraph" w:styleId="Footer">
    <w:name w:val="footer"/>
    <w:basedOn w:val="Normal"/>
    <w:link w:val="FooterChar"/>
    <w:uiPriority w:val="99"/>
    <w:rsid w:val="00D503A6"/>
    <w:pPr>
      <w:tabs>
        <w:tab w:val="center" w:pos="4153"/>
        <w:tab w:val="right" w:pos="8306"/>
      </w:tabs>
    </w:pPr>
  </w:style>
  <w:style w:type="character" w:customStyle="1" w:styleId="FooterChar">
    <w:name w:val="Footer Char"/>
    <w:basedOn w:val="DefaultParagraphFont"/>
    <w:link w:val="Footer"/>
    <w:uiPriority w:val="99"/>
    <w:rsid w:val="00D503A6"/>
    <w:rPr>
      <w:rFonts w:ascii="Arial" w:eastAsia="Times New Roman" w:hAnsi="Arial" w:cs="Arial"/>
      <w:sz w:val="24"/>
      <w:szCs w:val="24"/>
      <w:lang w:val="en-GB" w:eastAsia="en-GB"/>
    </w:rPr>
  </w:style>
  <w:style w:type="paragraph" w:styleId="ListParagraph">
    <w:name w:val="List Paragraph"/>
    <w:basedOn w:val="Normal"/>
    <w:qFormat/>
    <w:rsid w:val="00D503A6"/>
    <w:pPr>
      <w:spacing w:after="160" w:line="259" w:lineRule="auto"/>
      <w:ind w:left="720"/>
      <w:contextualSpacing/>
      <w:jc w:val="left"/>
    </w:pPr>
    <w:rPr>
      <w:rFonts w:asciiTheme="minorHAnsi" w:eastAsiaTheme="minorHAnsi" w:hAnsiTheme="minorHAnsi" w:cstheme="minorBidi"/>
      <w:sz w:val="22"/>
      <w:szCs w:val="22"/>
      <w:lang w:val="en-ZA" w:eastAsia="en-US"/>
    </w:rPr>
  </w:style>
  <w:style w:type="paragraph" w:customStyle="1" w:styleId="frg-leveltwo">
    <w:name w:val="frg-leveltwo"/>
    <w:basedOn w:val="Normal"/>
    <w:rsid w:val="00D503A6"/>
    <w:pPr>
      <w:spacing w:before="100" w:beforeAutospacing="1" w:after="100" w:afterAutospacing="1"/>
      <w:jc w:val="left"/>
    </w:pPr>
    <w:rPr>
      <w:rFonts w:ascii="Times New Roman" w:hAnsi="Times New Roman" w:cs="Times New Roman"/>
      <w:lang w:val="en-ZA" w:eastAsia="en-ZA"/>
    </w:rPr>
  </w:style>
  <w:style w:type="character" w:customStyle="1" w:styleId="mc">
    <w:name w:val="mc"/>
    <w:basedOn w:val="DefaultParagraphFont"/>
    <w:rsid w:val="005B7988"/>
  </w:style>
  <w:style w:type="character" w:styleId="Hyperlink">
    <w:name w:val="Hyperlink"/>
    <w:basedOn w:val="DefaultParagraphFont"/>
    <w:uiPriority w:val="99"/>
    <w:semiHidden/>
    <w:unhideWhenUsed/>
    <w:rsid w:val="00BE5D9D"/>
    <w:rPr>
      <w:color w:val="0000FF"/>
      <w:u w:val="single"/>
    </w:rPr>
  </w:style>
  <w:style w:type="character" w:customStyle="1" w:styleId="g1">
    <w:name w:val="g1"/>
    <w:basedOn w:val="DefaultParagraphFont"/>
    <w:rsid w:val="00C819FA"/>
  </w:style>
  <w:style w:type="paragraph" w:styleId="BalloonText">
    <w:name w:val="Balloon Text"/>
    <w:basedOn w:val="Normal"/>
    <w:link w:val="BalloonTextChar"/>
    <w:uiPriority w:val="99"/>
    <w:semiHidden/>
    <w:unhideWhenUsed/>
    <w:rsid w:val="00E556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6CB"/>
    <w:rPr>
      <w:rFonts w:ascii="Times New Roman" w:eastAsia="Times New Roman" w:hAnsi="Times New Roman" w:cs="Times New Roman"/>
      <w:sz w:val="18"/>
      <w:szCs w:val="18"/>
      <w:lang w:val="en-GB" w:eastAsia="en-GB"/>
    </w:rPr>
  </w:style>
  <w:style w:type="character" w:customStyle="1" w:styleId="Heading2Char">
    <w:name w:val="Heading 2 Char"/>
    <w:basedOn w:val="DefaultParagraphFont"/>
    <w:link w:val="Heading2"/>
    <w:uiPriority w:val="9"/>
    <w:rsid w:val="00F2523C"/>
    <w:rPr>
      <w:rFonts w:asciiTheme="majorHAnsi" w:eastAsiaTheme="majorEastAsia" w:hAnsiTheme="majorHAnsi" w:cstheme="majorBidi"/>
      <w:color w:val="2E74B5" w:themeColor="accent1" w:themeShade="BF"/>
      <w:sz w:val="26"/>
      <w:szCs w:val="26"/>
      <w:lang w:val="en-GB" w:eastAsia="en-GB"/>
    </w:rPr>
  </w:style>
  <w:style w:type="character" w:styleId="CommentReference">
    <w:name w:val="annotation reference"/>
    <w:basedOn w:val="DefaultParagraphFont"/>
    <w:uiPriority w:val="99"/>
    <w:semiHidden/>
    <w:unhideWhenUsed/>
    <w:rsid w:val="00646CBA"/>
    <w:rPr>
      <w:sz w:val="16"/>
      <w:szCs w:val="16"/>
    </w:rPr>
  </w:style>
  <w:style w:type="paragraph" w:styleId="CommentText">
    <w:name w:val="annotation text"/>
    <w:basedOn w:val="Normal"/>
    <w:link w:val="CommentTextChar"/>
    <w:uiPriority w:val="99"/>
    <w:unhideWhenUsed/>
    <w:rsid w:val="00646CBA"/>
    <w:rPr>
      <w:sz w:val="20"/>
      <w:szCs w:val="20"/>
    </w:rPr>
  </w:style>
  <w:style w:type="character" w:customStyle="1" w:styleId="CommentTextChar">
    <w:name w:val="Comment Text Char"/>
    <w:basedOn w:val="DefaultParagraphFont"/>
    <w:link w:val="CommentText"/>
    <w:uiPriority w:val="99"/>
    <w:rsid w:val="00646CBA"/>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646CBA"/>
    <w:rPr>
      <w:b/>
      <w:bCs/>
    </w:rPr>
  </w:style>
  <w:style w:type="character" w:customStyle="1" w:styleId="CommentSubjectChar">
    <w:name w:val="Comment Subject Char"/>
    <w:basedOn w:val="CommentTextChar"/>
    <w:link w:val="CommentSubject"/>
    <w:uiPriority w:val="99"/>
    <w:semiHidden/>
    <w:rsid w:val="00646CBA"/>
    <w:rPr>
      <w:rFonts w:ascii="Arial" w:eastAsia="Times New Roman" w:hAnsi="Arial" w:cs="Arial"/>
      <w:b/>
      <w:bCs/>
      <w:sz w:val="20"/>
      <w:szCs w:val="20"/>
      <w:lang w:val="en-GB" w:eastAsia="en-GB"/>
    </w:rPr>
  </w:style>
  <w:style w:type="paragraph" w:styleId="Revision">
    <w:name w:val="Revision"/>
    <w:hidden/>
    <w:uiPriority w:val="99"/>
    <w:semiHidden/>
    <w:rsid w:val="00F42CCB"/>
    <w:pPr>
      <w:spacing w:after="0" w:line="240" w:lineRule="auto"/>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52">
      <w:bodyDiv w:val="1"/>
      <w:marLeft w:val="0"/>
      <w:marRight w:val="0"/>
      <w:marTop w:val="0"/>
      <w:marBottom w:val="0"/>
      <w:divBdr>
        <w:top w:val="none" w:sz="0" w:space="0" w:color="auto"/>
        <w:left w:val="none" w:sz="0" w:space="0" w:color="auto"/>
        <w:bottom w:val="none" w:sz="0" w:space="0" w:color="auto"/>
        <w:right w:val="none" w:sz="0" w:space="0" w:color="auto"/>
      </w:divBdr>
    </w:div>
    <w:div w:id="335765990">
      <w:bodyDiv w:val="1"/>
      <w:marLeft w:val="0"/>
      <w:marRight w:val="0"/>
      <w:marTop w:val="0"/>
      <w:marBottom w:val="0"/>
      <w:divBdr>
        <w:top w:val="none" w:sz="0" w:space="0" w:color="auto"/>
        <w:left w:val="none" w:sz="0" w:space="0" w:color="auto"/>
        <w:bottom w:val="none" w:sz="0" w:space="0" w:color="auto"/>
        <w:right w:val="none" w:sz="0" w:space="0" w:color="auto"/>
      </w:divBdr>
      <w:divsChild>
        <w:div w:id="775635108">
          <w:marLeft w:val="0"/>
          <w:marRight w:val="0"/>
          <w:marTop w:val="180"/>
          <w:marBottom w:val="0"/>
          <w:divBdr>
            <w:top w:val="none" w:sz="0" w:space="0" w:color="auto"/>
            <w:left w:val="none" w:sz="0" w:space="0" w:color="auto"/>
            <w:bottom w:val="none" w:sz="0" w:space="0" w:color="auto"/>
            <w:right w:val="none" w:sz="0" w:space="0" w:color="auto"/>
          </w:divBdr>
        </w:div>
        <w:div w:id="1650668938">
          <w:marLeft w:val="0"/>
          <w:marRight w:val="0"/>
          <w:marTop w:val="240"/>
          <w:marBottom w:val="24"/>
          <w:divBdr>
            <w:top w:val="single" w:sz="8" w:space="2" w:color="808080"/>
            <w:left w:val="none" w:sz="0" w:space="0" w:color="auto"/>
            <w:bottom w:val="none" w:sz="0" w:space="0" w:color="auto"/>
            <w:right w:val="none" w:sz="0" w:space="0" w:color="auto"/>
          </w:divBdr>
        </w:div>
        <w:div w:id="231353655">
          <w:marLeft w:val="0"/>
          <w:marRight w:val="0"/>
          <w:marTop w:val="180"/>
          <w:marBottom w:val="0"/>
          <w:divBdr>
            <w:top w:val="none" w:sz="0" w:space="0" w:color="auto"/>
            <w:left w:val="none" w:sz="0" w:space="0" w:color="auto"/>
            <w:bottom w:val="none" w:sz="0" w:space="0" w:color="auto"/>
            <w:right w:val="none" w:sz="0" w:space="0" w:color="auto"/>
          </w:divBdr>
        </w:div>
        <w:div w:id="520321173">
          <w:marLeft w:val="0"/>
          <w:marRight w:val="0"/>
          <w:marTop w:val="180"/>
          <w:marBottom w:val="0"/>
          <w:divBdr>
            <w:top w:val="none" w:sz="0" w:space="0" w:color="auto"/>
            <w:left w:val="none" w:sz="0" w:space="0" w:color="auto"/>
            <w:bottom w:val="none" w:sz="0" w:space="0" w:color="auto"/>
            <w:right w:val="none" w:sz="0" w:space="0" w:color="auto"/>
          </w:divBdr>
        </w:div>
      </w:divsChild>
    </w:div>
    <w:div w:id="372852129">
      <w:bodyDiv w:val="1"/>
      <w:marLeft w:val="0"/>
      <w:marRight w:val="0"/>
      <w:marTop w:val="0"/>
      <w:marBottom w:val="0"/>
      <w:divBdr>
        <w:top w:val="none" w:sz="0" w:space="0" w:color="auto"/>
        <w:left w:val="none" w:sz="0" w:space="0" w:color="auto"/>
        <w:bottom w:val="none" w:sz="0" w:space="0" w:color="auto"/>
        <w:right w:val="none" w:sz="0" w:space="0" w:color="auto"/>
      </w:divBdr>
    </w:div>
    <w:div w:id="543949373">
      <w:bodyDiv w:val="1"/>
      <w:marLeft w:val="0"/>
      <w:marRight w:val="0"/>
      <w:marTop w:val="0"/>
      <w:marBottom w:val="0"/>
      <w:divBdr>
        <w:top w:val="none" w:sz="0" w:space="0" w:color="auto"/>
        <w:left w:val="none" w:sz="0" w:space="0" w:color="auto"/>
        <w:bottom w:val="none" w:sz="0" w:space="0" w:color="auto"/>
        <w:right w:val="none" w:sz="0" w:space="0" w:color="auto"/>
      </w:divBdr>
      <w:divsChild>
        <w:div w:id="2085688219">
          <w:marLeft w:val="1293"/>
          <w:marRight w:val="0"/>
          <w:marTop w:val="0"/>
          <w:marBottom w:val="180"/>
          <w:divBdr>
            <w:top w:val="none" w:sz="0" w:space="0" w:color="auto"/>
            <w:left w:val="none" w:sz="0" w:space="0" w:color="auto"/>
            <w:bottom w:val="none" w:sz="0" w:space="0" w:color="auto"/>
            <w:right w:val="none" w:sz="0" w:space="0" w:color="auto"/>
          </w:divBdr>
        </w:div>
        <w:div w:id="846753450">
          <w:marLeft w:val="0"/>
          <w:marRight w:val="0"/>
          <w:marTop w:val="240"/>
          <w:marBottom w:val="60"/>
          <w:divBdr>
            <w:top w:val="single" w:sz="8" w:space="2" w:color="808080"/>
            <w:left w:val="none" w:sz="0" w:space="0" w:color="auto"/>
            <w:bottom w:val="none" w:sz="0" w:space="0" w:color="auto"/>
            <w:right w:val="none" w:sz="0" w:space="0" w:color="auto"/>
          </w:divBdr>
        </w:div>
        <w:div w:id="672031076">
          <w:marLeft w:val="1293"/>
          <w:marRight w:val="0"/>
          <w:marTop w:val="0"/>
          <w:marBottom w:val="180"/>
          <w:divBdr>
            <w:top w:val="none" w:sz="0" w:space="0" w:color="auto"/>
            <w:left w:val="none" w:sz="0" w:space="0" w:color="auto"/>
            <w:bottom w:val="none" w:sz="0" w:space="0" w:color="auto"/>
            <w:right w:val="none" w:sz="0" w:space="0" w:color="auto"/>
          </w:divBdr>
        </w:div>
        <w:div w:id="1518688480">
          <w:marLeft w:val="1293"/>
          <w:marRight w:val="0"/>
          <w:marTop w:val="0"/>
          <w:marBottom w:val="180"/>
          <w:divBdr>
            <w:top w:val="none" w:sz="0" w:space="0" w:color="auto"/>
            <w:left w:val="none" w:sz="0" w:space="0" w:color="auto"/>
            <w:bottom w:val="none" w:sz="0" w:space="0" w:color="auto"/>
            <w:right w:val="none" w:sz="0" w:space="0" w:color="auto"/>
          </w:divBdr>
        </w:div>
      </w:divsChild>
    </w:div>
    <w:div w:id="667943181">
      <w:bodyDiv w:val="1"/>
      <w:marLeft w:val="0"/>
      <w:marRight w:val="0"/>
      <w:marTop w:val="0"/>
      <w:marBottom w:val="0"/>
      <w:divBdr>
        <w:top w:val="none" w:sz="0" w:space="0" w:color="auto"/>
        <w:left w:val="none" w:sz="0" w:space="0" w:color="auto"/>
        <w:bottom w:val="none" w:sz="0" w:space="0" w:color="auto"/>
        <w:right w:val="none" w:sz="0" w:space="0" w:color="auto"/>
      </w:divBdr>
      <w:divsChild>
        <w:div w:id="568074014">
          <w:marLeft w:val="567"/>
          <w:marRight w:val="0"/>
          <w:marTop w:val="120"/>
          <w:marBottom w:val="0"/>
          <w:divBdr>
            <w:top w:val="none" w:sz="0" w:space="0" w:color="auto"/>
            <w:left w:val="none" w:sz="0" w:space="0" w:color="auto"/>
            <w:bottom w:val="none" w:sz="0" w:space="0" w:color="auto"/>
            <w:right w:val="none" w:sz="0" w:space="0" w:color="auto"/>
          </w:divBdr>
        </w:div>
        <w:div w:id="1639804016">
          <w:marLeft w:val="567"/>
          <w:marRight w:val="0"/>
          <w:marTop w:val="120"/>
          <w:marBottom w:val="0"/>
          <w:divBdr>
            <w:top w:val="none" w:sz="0" w:space="0" w:color="auto"/>
            <w:left w:val="none" w:sz="0" w:space="0" w:color="auto"/>
            <w:bottom w:val="none" w:sz="0" w:space="0" w:color="auto"/>
            <w:right w:val="none" w:sz="0" w:space="0" w:color="auto"/>
          </w:divBdr>
        </w:div>
      </w:divsChild>
    </w:div>
    <w:div w:id="688794879">
      <w:bodyDiv w:val="1"/>
      <w:marLeft w:val="0"/>
      <w:marRight w:val="0"/>
      <w:marTop w:val="0"/>
      <w:marBottom w:val="0"/>
      <w:divBdr>
        <w:top w:val="none" w:sz="0" w:space="0" w:color="auto"/>
        <w:left w:val="none" w:sz="0" w:space="0" w:color="auto"/>
        <w:bottom w:val="none" w:sz="0" w:space="0" w:color="auto"/>
        <w:right w:val="none" w:sz="0" w:space="0" w:color="auto"/>
      </w:divBdr>
      <w:divsChild>
        <w:div w:id="342972967">
          <w:marLeft w:val="567"/>
          <w:marRight w:val="0"/>
          <w:marTop w:val="120"/>
          <w:marBottom w:val="0"/>
          <w:divBdr>
            <w:top w:val="none" w:sz="0" w:space="0" w:color="auto"/>
            <w:left w:val="none" w:sz="0" w:space="0" w:color="auto"/>
            <w:bottom w:val="none" w:sz="0" w:space="0" w:color="auto"/>
            <w:right w:val="none" w:sz="0" w:space="0" w:color="auto"/>
          </w:divBdr>
        </w:div>
        <w:div w:id="452871110">
          <w:marLeft w:val="567"/>
          <w:marRight w:val="0"/>
          <w:marTop w:val="120"/>
          <w:marBottom w:val="0"/>
          <w:divBdr>
            <w:top w:val="none" w:sz="0" w:space="0" w:color="auto"/>
            <w:left w:val="none" w:sz="0" w:space="0" w:color="auto"/>
            <w:bottom w:val="none" w:sz="0" w:space="0" w:color="auto"/>
            <w:right w:val="none" w:sz="0" w:space="0" w:color="auto"/>
          </w:divBdr>
        </w:div>
      </w:divsChild>
    </w:div>
    <w:div w:id="873420994">
      <w:bodyDiv w:val="1"/>
      <w:marLeft w:val="0"/>
      <w:marRight w:val="0"/>
      <w:marTop w:val="0"/>
      <w:marBottom w:val="0"/>
      <w:divBdr>
        <w:top w:val="none" w:sz="0" w:space="0" w:color="auto"/>
        <w:left w:val="none" w:sz="0" w:space="0" w:color="auto"/>
        <w:bottom w:val="none" w:sz="0" w:space="0" w:color="auto"/>
        <w:right w:val="none" w:sz="0" w:space="0" w:color="auto"/>
      </w:divBdr>
      <w:divsChild>
        <w:div w:id="81344848">
          <w:marLeft w:val="0"/>
          <w:marRight w:val="0"/>
          <w:marTop w:val="120"/>
          <w:marBottom w:val="0"/>
          <w:divBdr>
            <w:top w:val="none" w:sz="0" w:space="0" w:color="auto"/>
            <w:left w:val="none" w:sz="0" w:space="0" w:color="auto"/>
            <w:bottom w:val="none" w:sz="0" w:space="0" w:color="auto"/>
            <w:right w:val="none" w:sz="0" w:space="0" w:color="auto"/>
          </w:divBdr>
        </w:div>
        <w:div w:id="1071394416">
          <w:marLeft w:val="0"/>
          <w:marRight w:val="0"/>
          <w:marTop w:val="120"/>
          <w:marBottom w:val="0"/>
          <w:divBdr>
            <w:top w:val="none" w:sz="0" w:space="0" w:color="auto"/>
            <w:left w:val="none" w:sz="0" w:space="0" w:color="auto"/>
            <w:bottom w:val="none" w:sz="0" w:space="0" w:color="auto"/>
            <w:right w:val="none" w:sz="0" w:space="0" w:color="auto"/>
          </w:divBdr>
        </w:div>
        <w:div w:id="270667328">
          <w:marLeft w:val="0"/>
          <w:marRight w:val="0"/>
          <w:marTop w:val="120"/>
          <w:marBottom w:val="0"/>
          <w:divBdr>
            <w:top w:val="none" w:sz="0" w:space="0" w:color="auto"/>
            <w:left w:val="none" w:sz="0" w:space="0" w:color="auto"/>
            <w:bottom w:val="none" w:sz="0" w:space="0" w:color="auto"/>
            <w:right w:val="none" w:sz="0" w:space="0" w:color="auto"/>
          </w:divBdr>
        </w:div>
      </w:divsChild>
    </w:div>
    <w:div w:id="1054428417">
      <w:bodyDiv w:val="1"/>
      <w:marLeft w:val="0"/>
      <w:marRight w:val="0"/>
      <w:marTop w:val="0"/>
      <w:marBottom w:val="0"/>
      <w:divBdr>
        <w:top w:val="none" w:sz="0" w:space="0" w:color="auto"/>
        <w:left w:val="none" w:sz="0" w:space="0" w:color="auto"/>
        <w:bottom w:val="none" w:sz="0" w:space="0" w:color="auto"/>
        <w:right w:val="none" w:sz="0" w:space="0" w:color="auto"/>
      </w:divBdr>
    </w:div>
    <w:div w:id="116909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4859">
          <w:marLeft w:val="567"/>
          <w:marRight w:val="0"/>
          <w:marTop w:val="120"/>
          <w:marBottom w:val="0"/>
          <w:divBdr>
            <w:top w:val="none" w:sz="0" w:space="0" w:color="auto"/>
            <w:left w:val="none" w:sz="0" w:space="0" w:color="auto"/>
            <w:bottom w:val="none" w:sz="0" w:space="0" w:color="auto"/>
            <w:right w:val="none" w:sz="0" w:space="0" w:color="auto"/>
          </w:divBdr>
        </w:div>
        <w:div w:id="231158275">
          <w:marLeft w:val="567"/>
          <w:marRight w:val="0"/>
          <w:marTop w:val="120"/>
          <w:marBottom w:val="0"/>
          <w:divBdr>
            <w:top w:val="none" w:sz="0" w:space="0" w:color="auto"/>
            <w:left w:val="none" w:sz="0" w:space="0" w:color="auto"/>
            <w:bottom w:val="none" w:sz="0" w:space="0" w:color="auto"/>
            <w:right w:val="none" w:sz="0" w:space="0" w:color="auto"/>
          </w:divBdr>
        </w:div>
      </w:divsChild>
    </w:div>
    <w:div w:id="1278877389">
      <w:bodyDiv w:val="1"/>
      <w:marLeft w:val="0"/>
      <w:marRight w:val="0"/>
      <w:marTop w:val="0"/>
      <w:marBottom w:val="0"/>
      <w:divBdr>
        <w:top w:val="none" w:sz="0" w:space="0" w:color="auto"/>
        <w:left w:val="none" w:sz="0" w:space="0" w:color="auto"/>
        <w:bottom w:val="none" w:sz="0" w:space="0" w:color="auto"/>
        <w:right w:val="none" w:sz="0" w:space="0" w:color="auto"/>
      </w:divBdr>
      <w:divsChild>
        <w:div w:id="1733578334">
          <w:marLeft w:val="0"/>
          <w:marRight w:val="0"/>
          <w:marTop w:val="120"/>
          <w:marBottom w:val="0"/>
          <w:divBdr>
            <w:top w:val="none" w:sz="0" w:space="0" w:color="auto"/>
            <w:left w:val="none" w:sz="0" w:space="0" w:color="auto"/>
            <w:bottom w:val="none" w:sz="0" w:space="0" w:color="auto"/>
            <w:right w:val="none" w:sz="0" w:space="0" w:color="auto"/>
          </w:divBdr>
        </w:div>
        <w:div w:id="132410715">
          <w:marLeft w:val="0"/>
          <w:marRight w:val="0"/>
          <w:marTop w:val="240"/>
          <w:marBottom w:val="24"/>
          <w:divBdr>
            <w:top w:val="single" w:sz="8" w:space="2" w:color="808080"/>
            <w:left w:val="none" w:sz="0" w:space="0" w:color="auto"/>
            <w:bottom w:val="none" w:sz="0" w:space="0" w:color="auto"/>
            <w:right w:val="none" w:sz="0" w:space="0" w:color="auto"/>
          </w:divBdr>
        </w:div>
        <w:div w:id="1995835455">
          <w:marLeft w:val="0"/>
          <w:marRight w:val="0"/>
          <w:marTop w:val="120"/>
          <w:marBottom w:val="0"/>
          <w:divBdr>
            <w:top w:val="none" w:sz="0" w:space="0" w:color="auto"/>
            <w:left w:val="none" w:sz="0" w:space="0" w:color="auto"/>
            <w:bottom w:val="none" w:sz="0" w:space="0" w:color="auto"/>
            <w:right w:val="none" w:sz="0" w:space="0" w:color="auto"/>
          </w:divBdr>
        </w:div>
        <w:div w:id="1530336579">
          <w:marLeft w:val="0"/>
          <w:marRight w:val="0"/>
          <w:marTop w:val="120"/>
          <w:marBottom w:val="0"/>
          <w:divBdr>
            <w:top w:val="none" w:sz="0" w:space="0" w:color="auto"/>
            <w:left w:val="none" w:sz="0" w:space="0" w:color="auto"/>
            <w:bottom w:val="none" w:sz="0" w:space="0" w:color="auto"/>
            <w:right w:val="none" w:sz="0" w:space="0" w:color="auto"/>
          </w:divBdr>
        </w:div>
      </w:divsChild>
    </w:div>
    <w:div w:id="1287196799">
      <w:bodyDiv w:val="1"/>
      <w:marLeft w:val="0"/>
      <w:marRight w:val="0"/>
      <w:marTop w:val="0"/>
      <w:marBottom w:val="0"/>
      <w:divBdr>
        <w:top w:val="none" w:sz="0" w:space="0" w:color="auto"/>
        <w:left w:val="none" w:sz="0" w:space="0" w:color="auto"/>
        <w:bottom w:val="none" w:sz="0" w:space="0" w:color="auto"/>
        <w:right w:val="none" w:sz="0" w:space="0" w:color="auto"/>
      </w:divBdr>
      <w:divsChild>
        <w:div w:id="1120101044">
          <w:marLeft w:val="0"/>
          <w:marRight w:val="0"/>
          <w:marTop w:val="180"/>
          <w:marBottom w:val="0"/>
          <w:divBdr>
            <w:top w:val="none" w:sz="0" w:space="0" w:color="auto"/>
            <w:left w:val="none" w:sz="0" w:space="0" w:color="auto"/>
            <w:bottom w:val="none" w:sz="0" w:space="0" w:color="auto"/>
            <w:right w:val="none" w:sz="0" w:space="0" w:color="auto"/>
          </w:divBdr>
        </w:div>
        <w:div w:id="670254464">
          <w:marLeft w:val="567"/>
          <w:marRight w:val="0"/>
          <w:marTop w:val="120"/>
          <w:marBottom w:val="20"/>
          <w:divBdr>
            <w:top w:val="none" w:sz="0" w:space="0" w:color="auto"/>
            <w:left w:val="none" w:sz="0" w:space="0" w:color="auto"/>
            <w:bottom w:val="none" w:sz="0" w:space="0" w:color="auto"/>
            <w:right w:val="none" w:sz="0" w:space="0" w:color="auto"/>
          </w:divBdr>
        </w:div>
      </w:divsChild>
    </w:div>
    <w:div w:id="1381174021">
      <w:bodyDiv w:val="1"/>
      <w:marLeft w:val="0"/>
      <w:marRight w:val="0"/>
      <w:marTop w:val="0"/>
      <w:marBottom w:val="0"/>
      <w:divBdr>
        <w:top w:val="none" w:sz="0" w:space="0" w:color="auto"/>
        <w:left w:val="none" w:sz="0" w:space="0" w:color="auto"/>
        <w:bottom w:val="none" w:sz="0" w:space="0" w:color="auto"/>
        <w:right w:val="none" w:sz="0" w:space="0" w:color="auto"/>
      </w:divBdr>
      <w:divsChild>
        <w:div w:id="1838958185">
          <w:marLeft w:val="0"/>
          <w:marRight w:val="0"/>
          <w:marTop w:val="180"/>
          <w:marBottom w:val="0"/>
          <w:divBdr>
            <w:top w:val="none" w:sz="0" w:space="0" w:color="auto"/>
            <w:left w:val="none" w:sz="0" w:space="0" w:color="auto"/>
            <w:bottom w:val="none" w:sz="0" w:space="0" w:color="auto"/>
            <w:right w:val="none" w:sz="0" w:space="0" w:color="auto"/>
          </w:divBdr>
        </w:div>
        <w:div w:id="1299533724">
          <w:marLeft w:val="0"/>
          <w:marRight w:val="0"/>
          <w:marTop w:val="240"/>
          <w:marBottom w:val="24"/>
          <w:divBdr>
            <w:top w:val="single" w:sz="8" w:space="2" w:color="808080"/>
            <w:left w:val="none" w:sz="0" w:space="0" w:color="auto"/>
            <w:bottom w:val="none" w:sz="0" w:space="0" w:color="auto"/>
            <w:right w:val="none" w:sz="0" w:space="0" w:color="auto"/>
          </w:divBdr>
        </w:div>
        <w:div w:id="839077486">
          <w:marLeft w:val="0"/>
          <w:marRight w:val="0"/>
          <w:marTop w:val="180"/>
          <w:marBottom w:val="0"/>
          <w:divBdr>
            <w:top w:val="none" w:sz="0" w:space="0" w:color="auto"/>
            <w:left w:val="none" w:sz="0" w:space="0" w:color="auto"/>
            <w:bottom w:val="none" w:sz="0" w:space="0" w:color="auto"/>
            <w:right w:val="none" w:sz="0" w:space="0" w:color="auto"/>
          </w:divBdr>
        </w:div>
        <w:div w:id="2036073908">
          <w:marLeft w:val="0"/>
          <w:marRight w:val="0"/>
          <w:marTop w:val="180"/>
          <w:marBottom w:val="0"/>
          <w:divBdr>
            <w:top w:val="none" w:sz="0" w:space="0" w:color="auto"/>
            <w:left w:val="none" w:sz="0" w:space="0" w:color="auto"/>
            <w:bottom w:val="none" w:sz="0" w:space="0" w:color="auto"/>
            <w:right w:val="none" w:sz="0" w:space="0" w:color="auto"/>
          </w:divBdr>
        </w:div>
      </w:divsChild>
    </w:div>
    <w:div w:id="1559167481">
      <w:bodyDiv w:val="1"/>
      <w:marLeft w:val="0"/>
      <w:marRight w:val="0"/>
      <w:marTop w:val="0"/>
      <w:marBottom w:val="0"/>
      <w:divBdr>
        <w:top w:val="none" w:sz="0" w:space="0" w:color="auto"/>
        <w:left w:val="none" w:sz="0" w:space="0" w:color="auto"/>
        <w:bottom w:val="none" w:sz="0" w:space="0" w:color="auto"/>
        <w:right w:val="none" w:sz="0" w:space="0" w:color="auto"/>
      </w:divBdr>
    </w:div>
    <w:div w:id="1599173160">
      <w:bodyDiv w:val="1"/>
      <w:marLeft w:val="0"/>
      <w:marRight w:val="0"/>
      <w:marTop w:val="0"/>
      <w:marBottom w:val="0"/>
      <w:divBdr>
        <w:top w:val="none" w:sz="0" w:space="0" w:color="auto"/>
        <w:left w:val="none" w:sz="0" w:space="0" w:color="auto"/>
        <w:bottom w:val="none" w:sz="0" w:space="0" w:color="auto"/>
        <w:right w:val="none" w:sz="0" w:space="0" w:color="auto"/>
      </w:divBdr>
      <w:divsChild>
        <w:div w:id="1961647662">
          <w:marLeft w:val="0"/>
          <w:marRight w:val="0"/>
          <w:marTop w:val="180"/>
          <w:marBottom w:val="0"/>
          <w:divBdr>
            <w:top w:val="none" w:sz="0" w:space="0" w:color="auto"/>
            <w:left w:val="none" w:sz="0" w:space="0" w:color="auto"/>
            <w:bottom w:val="none" w:sz="0" w:space="0" w:color="auto"/>
            <w:right w:val="none" w:sz="0" w:space="0" w:color="auto"/>
          </w:divBdr>
        </w:div>
        <w:div w:id="730928362">
          <w:marLeft w:val="0"/>
          <w:marRight w:val="0"/>
          <w:marTop w:val="240"/>
          <w:marBottom w:val="24"/>
          <w:divBdr>
            <w:top w:val="single" w:sz="8" w:space="2" w:color="808080"/>
            <w:left w:val="none" w:sz="0" w:space="0" w:color="auto"/>
            <w:bottom w:val="none" w:sz="0" w:space="0" w:color="auto"/>
            <w:right w:val="none" w:sz="0" w:space="0" w:color="auto"/>
          </w:divBdr>
        </w:div>
        <w:div w:id="1774209951">
          <w:marLeft w:val="0"/>
          <w:marRight w:val="0"/>
          <w:marTop w:val="180"/>
          <w:marBottom w:val="0"/>
          <w:divBdr>
            <w:top w:val="none" w:sz="0" w:space="0" w:color="auto"/>
            <w:left w:val="none" w:sz="0" w:space="0" w:color="auto"/>
            <w:bottom w:val="none" w:sz="0" w:space="0" w:color="auto"/>
            <w:right w:val="none" w:sz="0" w:space="0" w:color="auto"/>
          </w:divBdr>
        </w:div>
        <w:div w:id="899900402">
          <w:marLeft w:val="0"/>
          <w:marRight w:val="0"/>
          <w:marTop w:val="180"/>
          <w:marBottom w:val="0"/>
          <w:divBdr>
            <w:top w:val="none" w:sz="0" w:space="0" w:color="auto"/>
            <w:left w:val="none" w:sz="0" w:space="0" w:color="auto"/>
            <w:bottom w:val="none" w:sz="0" w:space="0" w:color="auto"/>
            <w:right w:val="none" w:sz="0" w:space="0" w:color="auto"/>
          </w:divBdr>
        </w:div>
      </w:divsChild>
    </w:div>
    <w:div w:id="1677079469">
      <w:bodyDiv w:val="1"/>
      <w:marLeft w:val="0"/>
      <w:marRight w:val="0"/>
      <w:marTop w:val="0"/>
      <w:marBottom w:val="0"/>
      <w:divBdr>
        <w:top w:val="none" w:sz="0" w:space="0" w:color="auto"/>
        <w:left w:val="none" w:sz="0" w:space="0" w:color="auto"/>
        <w:bottom w:val="none" w:sz="0" w:space="0" w:color="auto"/>
        <w:right w:val="none" w:sz="0" w:space="0" w:color="auto"/>
      </w:divBdr>
      <w:divsChild>
        <w:div w:id="634989979">
          <w:marLeft w:val="0"/>
          <w:marRight w:val="0"/>
          <w:marTop w:val="120"/>
          <w:marBottom w:val="0"/>
          <w:divBdr>
            <w:top w:val="none" w:sz="0" w:space="0" w:color="auto"/>
            <w:left w:val="none" w:sz="0" w:space="0" w:color="auto"/>
            <w:bottom w:val="none" w:sz="0" w:space="0" w:color="auto"/>
            <w:right w:val="none" w:sz="0" w:space="0" w:color="auto"/>
          </w:divBdr>
        </w:div>
        <w:div w:id="581525814">
          <w:marLeft w:val="0"/>
          <w:marRight w:val="0"/>
          <w:marTop w:val="240"/>
          <w:marBottom w:val="24"/>
          <w:divBdr>
            <w:top w:val="single" w:sz="8" w:space="2" w:color="808080"/>
            <w:left w:val="none" w:sz="0" w:space="0" w:color="auto"/>
            <w:bottom w:val="none" w:sz="0" w:space="0" w:color="auto"/>
            <w:right w:val="none" w:sz="0" w:space="0" w:color="auto"/>
          </w:divBdr>
        </w:div>
        <w:div w:id="2021160902">
          <w:marLeft w:val="0"/>
          <w:marRight w:val="0"/>
          <w:marTop w:val="120"/>
          <w:marBottom w:val="0"/>
          <w:divBdr>
            <w:top w:val="none" w:sz="0" w:space="0" w:color="auto"/>
            <w:left w:val="none" w:sz="0" w:space="0" w:color="auto"/>
            <w:bottom w:val="none" w:sz="0" w:space="0" w:color="auto"/>
            <w:right w:val="none" w:sz="0" w:space="0" w:color="auto"/>
          </w:divBdr>
        </w:div>
        <w:div w:id="535318212">
          <w:marLeft w:val="0"/>
          <w:marRight w:val="0"/>
          <w:marTop w:val="120"/>
          <w:marBottom w:val="0"/>
          <w:divBdr>
            <w:top w:val="none" w:sz="0" w:space="0" w:color="auto"/>
            <w:left w:val="none" w:sz="0" w:space="0" w:color="auto"/>
            <w:bottom w:val="none" w:sz="0" w:space="0" w:color="auto"/>
            <w:right w:val="none" w:sz="0" w:space="0" w:color="auto"/>
          </w:divBdr>
        </w:div>
      </w:divsChild>
    </w:div>
    <w:div w:id="1831167668">
      <w:bodyDiv w:val="1"/>
      <w:marLeft w:val="0"/>
      <w:marRight w:val="0"/>
      <w:marTop w:val="0"/>
      <w:marBottom w:val="0"/>
      <w:divBdr>
        <w:top w:val="none" w:sz="0" w:space="0" w:color="auto"/>
        <w:left w:val="none" w:sz="0" w:space="0" w:color="auto"/>
        <w:bottom w:val="none" w:sz="0" w:space="0" w:color="auto"/>
        <w:right w:val="none" w:sz="0" w:space="0" w:color="auto"/>
      </w:divBdr>
    </w:div>
    <w:div w:id="1864972562">
      <w:bodyDiv w:val="1"/>
      <w:marLeft w:val="0"/>
      <w:marRight w:val="0"/>
      <w:marTop w:val="0"/>
      <w:marBottom w:val="0"/>
      <w:divBdr>
        <w:top w:val="none" w:sz="0" w:space="0" w:color="auto"/>
        <w:left w:val="none" w:sz="0" w:space="0" w:color="auto"/>
        <w:bottom w:val="none" w:sz="0" w:space="0" w:color="auto"/>
        <w:right w:val="none" w:sz="0" w:space="0" w:color="auto"/>
      </w:divBdr>
    </w:div>
    <w:div w:id="2041784664">
      <w:bodyDiv w:val="1"/>
      <w:marLeft w:val="0"/>
      <w:marRight w:val="0"/>
      <w:marTop w:val="0"/>
      <w:marBottom w:val="0"/>
      <w:divBdr>
        <w:top w:val="none" w:sz="0" w:space="0" w:color="auto"/>
        <w:left w:val="none" w:sz="0" w:space="0" w:color="auto"/>
        <w:bottom w:val="none" w:sz="0" w:space="0" w:color="auto"/>
        <w:right w:val="none" w:sz="0" w:space="0" w:color="auto"/>
      </w:divBdr>
      <w:divsChild>
        <w:div w:id="960382217">
          <w:marLeft w:val="0"/>
          <w:marRight w:val="0"/>
          <w:marTop w:val="180"/>
          <w:marBottom w:val="0"/>
          <w:divBdr>
            <w:top w:val="none" w:sz="0" w:space="0" w:color="auto"/>
            <w:left w:val="none" w:sz="0" w:space="0" w:color="auto"/>
            <w:bottom w:val="none" w:sz="0" w:space="0" w:color="auto"/>
            <w:right w:val="none" w:sz="0" w:space="0" w:color="auto"/>
          </w:divBdr>
        </w:div>
        <w:div w:id="411002605">
          <w:marLeft w:val="1134"/>
          <w:marRight w:val="0"/>
          <w:marTop w:val="120"/>
          <w:marBottom w:val="0"/>
          <w:divBdr>
            <w:top w:val="none" w:sz="0" w:space="0" w:color="auto"/>
            <w:left w:val="none" w:sz="0" w:space="0" w:color="auto"/>
            <w:bottom w:val="none" w:sz="0" w:space="0" w:color="auto"/>
            <w:right w:val="none" w:sz="0" w:space="0" w:color="auto"/>
          </w:divBdr>
        </w:div>
        <w:div w:id="1030109406">
          <w:marLeft w:val="1134"/>
          <w:marRight w:val="0"/>
          <w:marTop w:val="120"/>
          <w:marBottom w:val="0"/>
          <w:divBdr>
            <w:top w:val="none" w:sz="0" w:space="0" w:color="auto"/>
            <w:left w:val="none" w:sz="0" w:space="0" w:color="auto"/>
            <w:bottom w:val="none" w:sz="0" w:space="0" w:color="auto"/>
            <w:right w:val="none" w:sz="0" w:space="0" w:color="auto"/>
          </w:divBdr>
        </w:div>
        <w:div w:id="614945594">
          <w:marLeft w:val="1984"/>
          <w:marRight w:val="0"/>
          <w:marTop w:val="120"/>
          <w:marBottom w:val="0"/>
          <w:divBdr>
            <w:top w:val="none" w:sz="0" w:space="0" w:color="auto"/>
            <w:left w:val="none" w:sz="0" w:space="0" w:color="auto"/>
            <w:bottom w:val="none" w:sz="0" w:space="0" w:color="auto"/>
            <w:right w:val="none" w:sz="0" w:space="0" w:color="auto"/>
          </w:divBdr>
        </w:div>
        <w:div w:id="1923879448">
          <w:marLeft w:val="1984"/>
          <w:marRight w:val="0"/>
          <w:marTop w:val="120"/>
          <w:marBottom w:val="0"/>
          <w:divBdr>
            <w:top w:val="none" w:sz="0" w:space="0" w:color="auto"/>
            <w:left w:val="none" w:sz="0" w:space="0" w:color="auto"/>
            <w:bottom w:val="none" w:sz="0" w:space="0" w:color="auto"/>
            <w:right w:val="none" w:sz="0" w:space="0" w:color="auto"/>
          </w:divBdr>
        </w:div>
        <w:div w:id="668100475">
          <w:marLeft w:val="198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E86F-0B60-4B7C-82CB-07822D1F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Judge-Violet Phatshoane</dc:creator>
  <cp:keywords/>
  <dc:description/>
  <cp:lastModifiedBy>Ayanda Mdletshe</cp:lastModifiedBy>
  <cp:revision>2</cp:revision>
  <cp:lastPrinted>2022-01-17T10:18:00Z</cp:lastPrinted>
  <dcterms:created xsi:type="dcterms:W3CDTF">2022-01-18T09:33:00Z</dcterms:created>
  <dcterms:modified xsi:type="dcterms:W3CDTF">2022-01-18T09:33:00Z</dcterms:modified>
</cp:coreProperties>
</file>